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A2A35" w14:textId="4296A30A" w:rsidR="0040723F" w:rsidRPr="0018386D" w:rsidRDefault="00B12E43" w:rsidP="00DD3106">
      <w:pPr>
        <w:rPr>
          <w:b/>
          <w:sz w:val="32"/>
          <w:szCs w:val="32"/>
          <w:lang w:val="en-NZ"/>
        </w:rPr>
      </w:pPr>
      <w:bookmarkStart w:id="0" w:name="_Hlk532914245"/>
      <w:r w:rsidRPr="0018386D">
        <w:rPr>
          <w:b/>
          <w:noProof/>
          <w:sz w:val="40"/>
          <w:szCs w:val="40"/>
          <w:lang w:val="en-NZ"/>
        </w:rPr>
        <w:drawing>
          <wp:anchor distT="0" distB="0" distL="114300" distR="114300" simplePos="0" relativeHeight="251658240" behindDoc="0" locked="0" layoutInCell="1" allowOverlap="1" wp14:anchorId="273045B7" wp14:editId="7A5F3D15">
            <wp:simplePos x="0" y="0"/>
            <wp:positionH relativeFrom="column">
              <wp:posOffset>-1089515</wp:posOffset>
            </wp:positionH>
            <wp:positionV relativeFrom="paragraph">
              <wp:posOffset>-739140</wp:posOffset>
            </wp:positionV>
            <wp:extent cx="7564437" cy="10700019"/>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4437" cy="10700019"/>
                    </a:xfrm>
                    <a:prstGeom prst="rect">
                      <a:avLst/>
                    </a:prstGeom>
                  </pic:spPr>
                </pic:pic>
              </a:graphicData>
            </a:graphic>
            <wp14:sizeRelH relativeFrom="page">
              <wp14:pctWidth>0</wp14:pctWidth>
            </wp14:sizeRelH>
            <wp14:sizeRelV relativeFrom="page">
              <wp14:pctHeight>0</wp14:pctHeight>
            </wp14:sizeRelV>
          </wp:anchor>
        </w:drawing>
      </w:r>
      <w:r w:rsidR="00284C8C" w:rsidRPr="0018386D">
        <w:rPr>
          <w:b/>
          <w:noProof/>
          <w:sz w:val="40"/>
          <w:szCs w:val="40"/>
          <w:lang w:val="en-NZ"/>
        </w:rPr>
        <w:t>l</w:t>
      </w:r>
    </w:p>
    <w:p w14:paraId="3FB926F2" w14:textId="0CAFF462" w:rsidR="00945689" w:rsidRPr="0018386D" w:rsidRDefault="00945689" w:rsidP="00DD3106">
      <w:pPr>
        <w:spacing w:line="276" w:lineRule="auto"/>
        <w:rPr>
          <w:b/>
          <w:sz w:val="40"/>
          <w:szCs w:val="40"/>
          <w:lang w:val="en-NZ"/>
        </w:rPr>
      </w:pPr>
      <w:r w:rsidRPr="0018386D">
        <w:rPr>
          <w:b/>
          <w:sz w:val="40"/>
          <w:szCs w:val="40"/>
          <w:lang w:val="en-NZ"/>
        </w:rPr>
        <w:br w:type="page"/>
      </w:r>
    </w:p>
    <w:p w14:paraId="793597DE" w14:textId="77777777" w:rsidR="00751A23" w:rsidRPr="0018386D" w:rsidRDefault="00751A23" w:rsidP="00DD3106">
      <w:pPr>
        <w:spacing w:after="0"/>
        <w:rPr>
          <w:b/>
          <w:lang w:val="en-NZ"/>
        </w:rPr>
      </w:pPr>
      <w:r w:rsidRPr="0018386D">
        <w:rPr>
          <w:b/>
          <w:lang w:val="en-NZ"/>
        </w:rPr>
        <w:lastRenderedPageBreak/>
        <w:t>Disclaimer</w:t>
      </w:r>
    </w:p>
    <w:p w14:paraId="3C247138" w14:textId="4E5A53E2" w:rsidR="00751A23" w:rsidRPr="0018386D" w:rsidRDefault="7930CB03" w:rsidP="00DD3106">
      <w:pPr>
        <w:pStyle w:val="Imprint"/>
      </w:pPr>
      <w:r w:rsidRPr="0018386D">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D183D52" w14:textId="77777777" w:rsidR="00751A23" w:rsidRPr="0018386D" w:rsidRDefault="00751A23" w:rsidP="00DD3106">
      <w:pPr>
        <w:pStyle w:val="Bullet"/>
      </w:pPr>
      <w:r w:rsidRPr="0018386D">
        <w:t xml:space="preserve">the information does not alter the laws of New Zealand, other official guidelines, or </w:t>
      </w:r>
      <w:proofErr w:type="gramStart"/>
      <w:r w:rsidRPr="0018386D">
        <w:t>requirements</w:t>
      </w:r>
      <w:proofErr w:type="gramEnd"/>
      <w:r w:rsidRPr="0018386D">
        <w:t xml:space="preserve"> </w:t>
      </w:r>
    </w:p>
    <w:p w14:paraId="05F553AD" w14:textId="4E5A53E2" w:rsidR="00751A23" w:rsidRPr="0018386D" w:rsidRDefault="7930CB03" w:rsidP="00DD3106">
      <w:pPr>
        <w:pStyle w:val="Bullet"/>
      </w:pPr>
      <w:r w:rsidRPr="0018386D">
        <w:t xml:space="preserve">it does not constitute legal advice, and users should take specific advice from qualified professionals before taking any action based on information in this </w:t>
      </w:r>
      <w:proofErr w:type="gramStart"/>
      <w:r w:rsidRPr="0018386D">
        <w:t>publication</w:t>
      </w:r>
      <w:proofErr w:type="gramEnd"/>
      <w:r w:rsidRPr="0018386D">
        <w:t xml:space="preserve"> </w:t>
      </w:r>
    </w:p>
    <w:p w14:paraId="2F97C201" w14:textId="77777777" w:rsidR="00751A23" w:rsidRPr="0018386D" w:rsidRDefault="00751A23" w:rsidP="00DD3106">
      <w:pPr>
        <w:pStyle w:val="Bullet"/>
      </w:pPr>
      <w:r w:rsidRPr="0018386D">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rsidRPr="0018386D">
        <w:t>publication</w:t>
      </w:r>
      <w:proofErr w:type="gramEnd"/>
      <w:r w:rsidRPr="0018386D">
        <w:t xml:space="preserve"> </w:t>
      </w:r>
    </w:p>
    <w:p w14:paraId="6BFA7601" w14:textId="4E5A53E2" w:rsidR="00751A23" w:rsidRPr="0018386D" w:rsidRDefault="7930CB03" w:rsidP="00DD3106">
      <w:pPr>
        <w:pStyle w:val="Bullet"/>
      </w:pPr>
      <w:r w:rsidRPr="0018386D">
        <w:t xml:space="preserve">all references to websites, </w:t>
      </w:r>
      <w:proofErr w:type="gramStart"/>
      <w:r w:rsidRPr="0018386D">
        <w:t>organisations</w:t>
      </w:r>
      <w:proofErr w:type="gramEnd"/>
      <w:r w:rsidRPr="0018386D">
        <w:t xml:space="preserve"> or people not within the Ministry are for convenience only and should not be taken as endorsement of those websites or information contained in those websites nor of organisations or people referred to.</w:t>
      </w:r>
    </w:p>
    <w:p w14:paraId="27AFE866" w14:textId="77777777" w:rsidR="00417196" w:rsidRPr="0018386D" w:rsidRDefault="00417196" w:rsidP="00DD3106">
      <w:pPr>
        <w:rPr>
          <w:b/>
          <w:lang w:val="en-NZ"/>
        </w:rPr>
      </w:pPr>
    </w:p>
    <w:p w14:paraId="650911E4" w14:textId="0C9E159D" w:rsidR="00700515" w:rsidRPr="0018386D" w:rsidRDefault="00700515" w:rsidP="00DD3106">
      <w:pPr>
        <w:spacing w:after="0"/>
        <w:rPr>
          <w:b/>
          <w:lang w:val="en-NZ"/>
        </w:rPr>
      </w:pPr>
      <w:r w:rsidRPr="0018386D">
        <w:rPr>
          <w:b/>
          <w:lang w:val="en-NZ"/>
        </w:rPr>
        <w:t>Acknowledgements</w:t>
      </w:r>
    </w:p>
    <w:p w14:paraId="650911E5" w14:textId="47DA9EA8" w:rsidR="00700515" w:rsidRPr="0018386D" w:rsidRDefault="4AEA4C24" w:rsidP="00DD3106">
      <w:pPr>
        <w:pStyle w:val="Imprint"/>
      </w:pPr>
      <w:r w:rsidRPr="0018386D">
        <w:t xml:space="preserve">Prepared by the Ministry for the Environment, with technical expert advice from </w:t>
      </w:r>
      <w:proofErr w:type="spellStart"/>
      <w:r w:rsidR="4C5C5A57" w:rsidRPr="0018386D">
        <w:t>Toitū</w:t>
      </w:r>
      <w:proofErr w:type="spellEnd"/>
      <w:r w:rsidR="4C5C5A57" w:rsidRPr="0018386D">
        <w:t> </w:t>
      </w:r>
      <w:proofErr w:type="spellStart"/>
      <w:r w:rsidR="4C5C5A57" w:rsidRPr="0018386D">
        <w:t>Envirocare</w:t>
      </w:r>
      <w:proofErr w:type="spellEnd"/>
      <w:r w:rsidR="4C5C5A57" w:rsidRPr="0018386D">
        <w:t xml:space="preserve"> and </w:t>
      </w:r>
      <w:proofErr w:type="spellStart"/>
      <w:r w:rsidRPr="0018386D">
        <w:t>Agrilink</w:t>
      </w:r>
      <w:proofErr w:type="spellEnd"/>
      <w:r w:rsidR="4C5C5A57" w:rsidRPr="0018386D">
        <w:t xml:space="preserve"> </w:t>
      </w:r>
      <w:r w:rsidRPr="0018386D">
        <w:t>Limited</w:t>
      </w:r>
      <w:r w:rsidR="00CB16D7" w:rsidRPr="0018386D">
        <w:t>.</w:t>
      </w:r>
      <w:r w:rsidR="709277DF" w:rsidRPr="0018386D">
        <w:t xml:space="preserve"> </w:t>
      </w:r>
    </w:p>
    <w:p w14:paraId="790CB14A" w14:textId="63B861BE" w:rsidR="005247E7" w:rsidRPr="0018386D" w:rsidRDefault="5B4CFAC2" w:rsidP="00DD3106">
      <w:pPr>
        <w:pStyle w:val="Imprint"/>
        <w:spacing w:before="240"/>
      </w:pPr>
      <w:r w:rsidRPr="0018386D">
        <w:t xml:space="preserve">The Ministry for the Environment thanks the following </w:t>
      </w:r>
      <w:r w:rsidR="70B64F1E" w:rsidRPr="0018386D">
        <w:t xml:space="preserve">organisations and </w:t>
      </w:r>
      <w:r w:rsidRPr="0018386D">
        <w:t xml:space="preserve">government </w:t>
      </w:r>
      <w:r w:rsidR="03993ED3" w:rsidRPr="0018386D">
        <w:t>agencies for their contribution</w:t>
      </w:r>
      <w:r w:rsidRPr="0018386D">
        <w:t xml:space="preserve"> to the production of </w:t>
      </w:r>
      <w:r w:rsidR="00D349A5" w:rsidRPr="0018386D">
        <w:t>this publication</w:t>
      </w:r>
      <w:r w:rsidR="59D2F264" w:rsidRPr="0018386D">
        <w:t>:</w:t>
      </w:r>
    </w:p>
    <w:p w14:paraId="42ACFE3B" w14:textId="231D6838" w:rsidR="00822A51" w:rsidRPr="0018386D" w:rsidRDefault="5B4CFAC2" w:rsidP="00DD3106">
      <w:pPr>
        <w:pStyle w:val="Imprint"/>
        <w:spacing w:before="240"/>
        <w:rPr>
          <w:rFonts w:eastAsia="Calibri" w:cs="Calibri"/>
          <w:color w:val="000000" w:themeColor="text1"/>
        </w:rPr>
      </w:pPr>
      <w:r w:rsidRPr="0018386D">
        <w:rPr>
          <w:rFonts w:eastAsia="Calibri" w:cs="Calibri"/>
          <w:color w:val="000000" w:themeColor="text1"/>
        </w:rPr>
        <w:t xml:space="preserve">Ministry of Business, Innovation and Employment, Ministry for Primary Industries, </w:t>
      </w:r>
      <w:r w:rsidR="00F144A0" w:rsidRPr="0018386D">
        <w:t xml:space="preserve">Te Manatū Waka </w:t>
      </w:r>
      <w:r w:rsidRPr="0018386D">
        <w:rPr>
          <w:rFonts w:eastAsia="Calibri" w:cs="Calibri"/>
          <w:color w:val="000000" w:themeColor="text1"/>
        </w:rPr>
        <w:t>Ministry of Transport</w:t>
      </w:r>
      <w:r w:rsidR="3E6AAE0A" w:rsidRPr="0018386D">
        <w:rPr>
          <w:rFonts w:eastAsia="Calibri" w:cs="Calibri"/>
          <w:color w:val="000000" w:themeColor="text1"/>
        </w:rPr>
        <w:t>, BRANZ,</w:t>
      </w:r>
      <w:r w:rsidRPr="0018386D">
        <w:rPr>
          <w:rFonts w:eastAsia="Calibri" w:cs="Calibri"/>
          <w:color w:val="000000" w:themeColor="text1"/>
        </w:rPr>
        <w:t xml:space="preserve"> </w:t>
      </w:r>
      <w:proofErr w:type="spellStart"/>
      <w:r w:rsidR="00E47F3C" w:rsidRPr="0018386D">
        <w:rPr>
          <w:rFonts w:eastAsia="Calibri" w:cs="Calibri"/>
          <w:color w:val="000000" w:themeColor="text1"/>
        </w:rPr>
        <w:t>Metlink</w:t>
      </w:r>
      <w:proofErr w:type="spellEnd"/>
      <w:r w:rsidR="00E47F3C" w:rsidRPr="0018386D">
        <w:rPr>
          <w:rFonts w:eastAsia="Calibri" w:cs="Calibri"/>
          <w:color w:val="000000" w:themeColor="text1"/>
        </w:rPr>
        <w:t xml:space="preserve">, </w:t>
      </w:r>
      <w:r w:rsidRPr="0018386D">
        <w:rPr>
          <w:rFonts w:eastAsia="Calibri" w:cs="Calibri"/>
          <w:color w:val="000000" w:themeColor="text1"/>
        </w:rPr>
        <w:t>Air New Zealand, KiwiRail</w:t>
      </w:r>
      <w:r w:rsidR="4EB12215" w:rsidRPr="0018386D">
        <w:rPr>
          <w:rFonts w:eastAsia="Calibri" w:cs="Calibri"/>
          <w:color w:val="000000" w:themeColor="text1"/>
        </w:rPr>
        <w:t>,</w:t>
      </w:r>
      <w:r w:rsidR="2F7EB405" w:rsidRPr="0018386D">
        <w:rPr>
          <w:rFonts w:eastAsia="Calibri" w:cs="Calibri"/>
          <w:color w:val="000000" w:themeColor="text1"/>
        </w:rPr>
        <w:t xml:space="preserve"> </w:t>
      </w:r>
      <w:proofErr w:type="spellStart"/>
      <w:r w:rsidR="00C358C7" w:rsidRPr="0018386D">
        <w:rPr>
          <w:rFonts w:eastAsia="Calibri" w:cs="Calibri"/>
          <w:color w:val="000000" w:themeColor="text1"/>
        </w:rPr>
        <w:t>Origin</w:t>
      </w:r>
      <w:r w:rsidR="00D349A5" w:rsidRPr="0018386D">
        <w:rPr>
          <w:rFonts w:eastAsia="Calibri" w:cs="Calibri"/>
          <w:color w:val="000000" w:themeColor="text1"/>
        </w:rPr>
        <w:t>a</w:t>
      </w:r>
      <w:r w:rsidR="00C358C7" w:rsidRPr="0018386D">
        <w:rPr>
          <w:rFonts w:eastAsia="Calibri" w:cs="Calibri"/>
          <w:color w:val="000000" w:themeColor="text1"/>
        </w:rPr>
        <w:t>ir</w:t>
      </w:r>
      <w:proofErr w:type="spellEnd"/>
      <w:r w:rsidR="00C358C7" w:rsidRPr="0018386D">
        <w:rPr>
          <w:rFonts w:eastAsia="Calibri" w:cs="Calibri"/>
          <w:color w:val="000000" w:themeColor="text1"/>
        </w:rPr>
        <w:t xml:space="preserve">, Air </w:t>
      </w:r>
      <w:proofErr w:type="spellStart"/>
      <w:r w:rsidR="00C358C7" w:rsidRPr="0018386D">
        <w:rPr>
          <w:rFonts w:eastAsia="Calibri" w:cs="Calibri"/>
          <w:color w:val="000000" w:themeColor="text1"/>
        </w:rPr>
        <w:t>Chathams</w:t>
      </w:r>
      <w:proofErr w:type="spellEnd"/>
      <w:r w:rsidR="00C358C7" w:rsidRPr="0018386D">
        <w:rPr>
          <w:rFonts w:eastAsia="Calibri" w:cs="Calibri"/>
          <w:color w:val="000000" w:themeColor="text1"/>
        </w:rPr>
        <w:t xml:space="preserve">, Sounds Air and Auckland Council. </w:t>
      </w:r>
    </w:p>
    <w:bookmarkEnd w:id="0"/>
    <w:p w14:paraId="40683F59" w14:textId="77777777" w:rsidR="003927EF" w:rsidRPr="0018386D" w:rsidRDefault="003927EF" w:rsidP="00DD3106">
      <w:pPr>
        <w:pStyle w:val="Imprint"/>
        <w:spacing w:before="240"/>
      </w:pPr>
    </w:p>
    <w:p w14:paraId="45E6F709" w14:textId="36971A42" w:rsidR="00700515" w:rsidRPr="0018386D" w:rsidRDefault="0809480E" w:rsidP="00DD3106">
      <w:pPr>
        <w:spacing w:before="240"/>
        <w:rPr>
          <w:lang w:val="en-NZ"/>
        </w:rPr>
      </w:pPr>
      <w:r w:rsidRPr="0018386D">
        <w:rPr>
          <w:rFonts w:eastAsia="Calibri" w:cs="Calibri"/>
          <w:color w:val="000000" w:themeColor="text1"/>
          <w:lang w:val="en-NZ"/>
        </w:rPr>
        <w:t xml:space="preserve">This document may be cited as: Ministry for the Environment. 2023. </w:t>
      </w:r>
      <w:r w:rsidRPr="0018386D">
        <w:rPr>
          <w:rFonts w:eastAsia="Calibri" w:cs="Calibri"/>
          <w:i/>
          <w:iCs/>
          <w:color w:val="000000" w:themeColor="text1"/>
          <w:lang w:val="en-NZ"/>
        </w:rPr>
        <w:t xml:space="preserve">Measuring emissions: A guide for organisations: 2023 </w:t>
      </w:r>
      <w:r w:rsidRPr="0018386D">
        <w:rPr>
          <w:rFonts w:eastAsia="Calibri" w:cs="Calibri"/>
          <w:i/>
          <w:color w:val="000000" w:themeColor="text1"/>
          <w:lang w:val="en-NZ"/>
        </w:rPr>
        <w:t>detailed guide</w:t>
      </w:r>
      <w:r w:rsidRPr="0018386D">
        <w:rPr>
          <w:rFonts w:eastAsia="Calibri" w:cs="Calibri"/>
          <w:color w:val="000000" w:themeColor="text1"/>
          <w:lang w:val="en-NZ"/>
        </w:rPr>
        <w:t>. Wellington: Ministry for the Environment.</w:t>
      </w:r>
    </w:p>
    <w:p w14:paraId="650911E8" w14:textId="7999CF00" w:rsidR="00700515" w:rsidRPr="0018386D" w:rsidRDefault="00700515" w:rsidP="00DD3106">
      <w:pPr>
        <w:pStyle w:val="Imprint"/>
      </w:pPr>
    </w:p>
    <w:p w14:paraId="16A5B8F9" w14:textId="77777777" w:rsidR="003927EF" w:rsidRPr="0018386D" w:rsidRDefault="003927EF" w:rsidP="00DD3106">
      <w:pPr>
        <w:pStyle w:val="Imprint"/>
      </w:pPr>
    </w:p>
    <w:p w14:paraId="23FD60C0" w14:textId="1900C7B0" w:rsidR="00643506" w:rsidRPr="0018386D" w:rsidRDefault="00643506" w:rsidP="00DD3106">
      <w:pPr>
        <w:pStyle w:val="Imprint"/>
      </w:pPr>
      <w:bookmarkStart w:id="1" w:name="_Hlk532914258"/>
      <w:r w:rsidRPr="0018386D">
        <w:t xml:space="preserve">Published in </w:t>
      </w:r>
      <w:r w:rsidR="00EC046C" w:rsidRPr="0018386D">
        <w:t>July</w:t>
      </w:r>
      <w:r w:rsidRPr="0018386D">
        <w:t xml:space="preserve"> </w:t>
      </w:r>
      <w:r w:rsidR="000936E7" w:rsidRPr="0018386D">
        <w:t>2023</w:t>
      </w:r>
      <w:r w:rsidRPr="0018386D">
        <w:t xml:space="preserve"> by the</w:t>
      </w:r>
      <w:r w:rsidRPr="0018386D">
        <w:br/>
        <w:t xml:space="preserve">Ministry for the Environment </w:t>
      </w:r>
      <w:r w:rsidRPr="0018386D">
        <w:br/>
        <w:t>Manatū Mō Te Taiao</w:t>
      </w:r>
      <w:r w:rsidRPr="0018386D">
        <w:br/>
        <w:t>PO Box 10362, Wellington 6143, New Zealand</w:t>
      </w:r>
      <w:r w:rsidRPr="0018386D">
        <w:br/>
      </w:r>
      <w:hyperlink r:id="rId13" w:history="1">
        <w:r w:rsidRPr="0018386D">
          <w:rPr>
            <w:rStyle w:val="Hyperlink"/>
          </w:rPr>
          <w:t>environment.govt.nz</w:t>
        </w:r>
      </w:hyperlink>
    </w:p>
    <w:p w14:paraId="16092AED" w14:textId="7913A601" w:rsidR="00643506" w:rsidRPr="0018386D" w:rsidRDefault="00643506" w:rsidP="00DD3106">
      <w:pPr>
        <w:pStyle w:val="Imprint"/>
      </w:pPr>
      <w:r w:rsidRPr="0018386D">
        <w:t>ISBN</w:t>
      </w:r>
      <w:r w:rsidR="00B34C33" w:rsidRPr="0018386D">
        <w:t xml:space="preserve">: </w:t>
      </w:r>
      <w:r w:rsidR="003927EF" w:rsidRPr="0018386D">
        <w:t>978-1-991077-52-3</w:t>
      </w:r>
      <w:r w:rsidR="00B34C33" w:rsidRPr="0018386D">
        <w:br/>
      </w:r>
      <w:r w:rsidRPr="0018386D">
        <w:t xml:space="preserve">Publication number: ME </w:t>
      </w:r>
      <w:r w:rsidR="00776D02" w:rsidRPr="0018386D">
        <w:rPr>
          <w:rFonts w:cs="Calibri"/>
          <w:color w:val="000000"/>
          <w:shd w:val="clear" w:color="auto" w:fill="FFFFFF"/>
        </w:rPr>
        <w:t>1764</w:t>
      </w:r>
    </w:p>
    <w:p w14:paraId="6F1B37E6" w14:textId="5BF071CE" w:rsidR="00E9458F" w:rsidRPr="0018386D" w:rsidRDefault="00643506" w:rsidP="00DD3106">
      <w:pPr>
        <w:rPr>
          <w:lang w:val="en-NZ"/>
        </w:rPr>
      </w:pPr>
      <w:r w:rsidRPr="0018386D">
        <w:rPr>
          <w:lang w:val="en-NZ"/>
        </w:rPr>
        <w:t xml:space="preserve">© Crown copyright New Zealand </w:t>
      </w:r>
      <w:r w:rsidR="000936E7" w:rsidRPr="0018386D">
        <w:rPr>
          <w:lang w:val="en-NZ"/>
        </w:rPr>
        <w:t>2023</w:t>
      </w:r>
    </w:p>
    <w:p w14:paraId="71B28434" w14:textId="77777777" w:rsidR="005016C2" w:rsidRPr="0018386D" w:rsidRDefault="005016C2" w:rsidP="00DD3106">
      <w:pPr>
        <w:pStyle w:val="Heading1"/>
        <w:sectPr w:rsidR="005016C2" w:rsidRPr="0018386D" w:rsidSect="00055FC0">
          <w:footerReference w:type="default" r:id="rId14"/>
          <w:pgSz w:w="11907" w:h="16840" w:code="9"/>
          <w:pgMar w:top="1134" w:right="1701" w:bottom="1134" w:left="1701" w:header="567" w:footer="567" w:gutter="0"/>
          <w:cols w:space="720"/>
          <w:docGrid w:linePitch="299"/>
        </w:sectPr>
      </w:pPr>
      <w:bookmarkStart w:id="2" w:name="_Toc600552"/>
      <w:bookmarkStart w:id="3" w:name="_Toc532904837"/>
      <w:bookmarkEnd w:id="1"/>
    </w:p>
    <w:p w14:paraId="6FCD1493" w14:textId="65E6A1CA" w:rsidR="00973889" w:rsidRPr="0018386D" w:rsidRDefault="00206E30" w:rsidP="00DD3106">
      <w:pPr>
        <w:pStyle w:val="Heading"/>
        <w:spacing w:after="200"/>
      </w:pPr>
      <w:r w:rsidRPr="0018386D">
        <w:lastRenderedPageBreak/>
        <w:t>Contents</w:t>
      </w:r>
    </w:p>
    <w:bookmarkStart w:id="4" w:name="_Hlk136603653"/>
    <w:bookmarkStart w:id="5" w:name="_Toc600553"/>
    <w:bookmarkEnd w:id="2"/>
    <w:p w14:paraId="6558ABB9" w14:textId="1BAFFE85" w:rsidR="00FA4D37" w:rsidRPr="0018386D" w:rsidRDefault="00031FF2">
      <w:pPr>
        <w:pStyle w:val="TOC1"/>
        <w:rPr>
          <w:rFonts w:asciiTheme="minorHAnsi" w:hAnsiTheme="minorHAnsi"/>
          <w:noProof/>
          <w:kern w:val="2"/>
          <w14:ligatures w14:val="standardContextual"/>
        </w:rPr>
      </w:pPr>
      <w:r w:rsidRPr="0018386D">
        <w:rPr>
          <w:rFonts w:asciiTheme="minorHAnsi" w:hAnsiTheme="minorHAnsi"/>
        </w:rPr>
        <w:fldChar w:fldCharType="begin"/>
      </w:r>
      <w:r w:rsidRPr="0018386D">
        <w:instrText xml:space="preserve"> TOC \h \z \t "Heading 1,1,Heading 2,2" </w:instrText>
      </w:r>
      <w:r w:rsidRPr="0018386D">
        <w:rPr>
          <w:rFonts w:asciiTheme="minorHAnsi" w:hAnsiTheme="minorHAnsi"/>
        </w:rPr>
        <w:fldChar w:fldCharType="separate"/>
      </w:r>
      <w:hyperlink w:anchor="_Toc140048877" w:history="1">
        <w:r w:rsidR="00FA4D37" w:rsidRPr="0018386D">
          <w:rPr>
            <w:rStyle w:val="Hyperlink"/>
            <w:noProof/>
          </w:rPr>
          <w:t>Overview of changes since the previous update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_Toc140048877 \h </w:instrText>
        </w:r>
        <w:r w:rsidR="00FA4D37" w:rsidRPr="0018386D">
          <w:rPr>
            <w:noProof/>
            <w:webHidden/>
          </w:rPr>
        </w:r>
        <w:r w:rsidR="00FA4D37" w:rsidRPr="0018386D">
          <w:rPr>
            <w:noProof/>
            <w:webHidden/>
          </w:rPr>
          <w:fldChar w:fldCharType="separate"/>
        </w:r>
        <w:r w:rsidR="00FA4D37" w:rsidRPr="0018386D">
          <w:rPr>
            <w:noProof/>
            <w:webHidden/>
          </w:rPr>
          <w:t>9</w:t>
        </w:r>
        <w:r w:rsidR="00FA4D37" w:rsidRPr="0018386D">
          <w:rPr>
            <w:noProof/>
            <w:webHidden/>
          </w:rPr>
          <w:fldChar w:fldCharType="end"/>
        </w:r>
      </w:hyperlink>
    </w:p>
    <w:p w14:paraId="15C0B4F9" w14:textId="5F848E48" w:rsidR="00FA4D37" w:rsidRPr="0018386D" w:rsidRDefault="00C7627E">
      <w:pPr>
        <w:pStyle w:val="TOC1"/>
        <w:rPr>
          <w:rFonts w:asciiTheme="minorHAnsi" w:hAnsiTheme="minorHAnsi"/>
          <w:noProof/>
          <w:kern w:val="2"/>
          <w14:ligatures w14:val="standardContextual"/>
        </w:rPr>
      </w:pPr>
      <w:hyperlink w:anchor="_Toc140048878" w:history="1">
        <w:r w:rsidR="00FA4D37" w:rsidRPr="0018386D">
          <w:rPr>
            <w:rStyle w:val="Hyperlink"/>
            <w:noProof/>
          </w:rPr>
          <w:t>1.</w:t>
        </w:r>
        <w:r w:rsidR="00FA4D37" w:rsidRPr="0018386D">
          <w:rPr>
            <w:rFonts w:asciiTheme="minorHAnsi" w:hAnsiTheme="minorHAnsi"/>
            <w:noProof/>
            <w:kern w:val="2"/>
            <w14:ligatures w14:val="standardContextual"/>
          </w:rPr>
          <w:tab/>
        </w:r>
        <w:r w:rsidR="00FA4D37" w:rsidRPr="0018386D">
          <w:rPr>
            <w:rStyle w:val="Hyperlink"/>
            <w:noProof/>
          </w:rPr>
          <w:t>Introduction</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_Toc140048878 \h </w:instrText>
        </w:r>
        <w:r w:rsidR="00FA4D37" w:rsidRPr="0018386D">
          <w:rPr>
            <w:noProof/>
            <w:webHidden/>
          </w:rPr>
        </w:r>
        <w:r w:rsidR="00FA4D37" w:rsidRPr="0018386D">
          <w:rPr>
            <w:noProof/>
            <w:webHidden/>
          </w:rPr>
          <w:fldChar w:fldCharType="separate"/>
        </w:r>
        <w:r w:rsidR="00FA4D37" w:rsidRPr="0018386D">
          <w:rPr>
            <w:noProof/>
            <w:webHidden/>
          </w:rPr>
          <w:t>11</w:t>
        </w:r>
        <w:r w:rsidR="00FA4D37" w:rsidRPr="0018386D">
          <w:rPr>
            <w:noProof/>
            <w:webHidden/>
          </w:rPr>
          <w:fldChar w:fldCharType="end"/>
        </w:r>
      </w:hyperlink>
    </w:p>
    <w:p w14:paraId="1CEB62FD" w14:textId="51C3FC10" w:rsidR="00FA4D37" w:rsidRPr="0018386D" w:rsidRDefault="00C7627E">
      <w:pPr>
        <w:pStyle w:val="TOC2"/>
        <w:rPr>
          <w:rFonts w:asciiTheme="minorHAnsi" w:hAnsiTheme="minorHAnsi"/>
          <w:kern w:val="2"/>
          <w14:ligatures w14:val="standardContextual"/>
        </w:rPr>
      </w:pPr>
      <w:hyperlink w:anchor="_Toc140048879" w:history="1">
        <w:r w:rsidR="00FA4D37" w:rsidRPr="0018386D">
          <w:rPr>
            <w:rStyle w:val="Hyperlink"/>
          </w:rPr>
          <w:t>1.1.</w:t>
        </w:r>
        <w:r w:rsidR="00FA4D37" w:rsidRPr="0018386D">
          <w:rPr>
            <w:rFonts w:asciiTheme="minorHAnsi" w:hAnsiTheme="minorHAnsi"/>
            <w:kern w:val="2"/>
            <w14:ligatures w14:val="standardContextual"/>
          </w:rPr>
          <w:tab/>
        </w:r>
        <w:r w:rsidR="00FA4D37" w:rsidRPr="0018386D">
          <w:rPr>
            <w:rStyle w:val="Hyperlink"/>
          </w:rPr>
          <w:t>Purpose of this guide</w:t>
        </w:r>
        <w:r w:rsidR="00FA4D37" w:rsidRPr="0018386D">
          <w:rPr>
            <w:webHidden/>
          </w:rPr>
          <w:tab/>
        </w:r>
        <w:r w:rsidR="00FA4D37" w:rsidRPr="0018386D">
          <w:rPr>
            <w:webHidden/>
          </w:rPr>
          <w:fldChar w:fldCharType="begin"/>
        </w:r>
        <w:r w:rsidR="00FA4D37" w:rsidRPr="0018386D">
          <w:rPr>
            <w:webHidden/>
          </w:rPr>
          <w:instrText xml:space="preserve"> PAGEREF _Toc140048879 \h </w:instrText>
        </w:r>
        <w:r w:rsidR="00FA4D37" w:rsidRPr="0018386D">
          <w:rPr>
            <w:webHidden/>
          </w:rPr>
        </w:r>
        <w:r w:rsidR="00FA4D37" w:rsidRPr="0018386D">
          <w:rPr>
            <w:webHidden/>
          </w:rPr>
          <w:fldChar w:fldCharType="separate"/>
        </w:r>
        <w:r w:rsidR="00FA4D37" w:rsidRPr="0018386D">
          <w:rPr>
            <w:webHidden/>
          </w:rPr>
          <w:t>11</w:t>
        </w:r>
        <w:r w:rsidR="00FA4D37" w:rsidRPr="0018386D">
          <w:rPr>
            <w:webHidden/>
          </w:rPr>
          <w:fldChar w:fldCharType="end"/>
        </w:r>
      </w:hyperlink>
    </w:p>
    <w:p w14:paraId="0D415609" w14:textId="00BB66AE" w:rsidR="00FA4D37" w:rsidRPr="0018386D" w:rsidRDefault="00C7627E">
      <w:pPr>
        <w:pStyle w:val="TOC2"/>
        <w:rPr>
          <w:rFonts w:asciiTheme="minorHAnsi" w:hAnsiTheme="minorHAnsi"/>
          <w:kern w:val="2"/>
          <w14:ligatures w14:val="standardContextual"/>
        </w:rPr>
      </w:pPr>
      <w:hyperlink w:anchor="_Toc140048880" w:history="1">
        <w:r w:rsidR="00FA4D37" w:rsidRPr="0018386D">
          <w:rPr>
            <w:rStyle w:val="Hyperlink"/>
          </w:rPr>
          <w:t>1.2.</w:t>
        </w:r>
        <w:r w:rsidR="00FA4D37" w:rsidRPr="0018386D">
          <w:rPr>
            <w:rFonts w:asciiTheme="minorHAnsi" w:hAnsiTheme="minorHAnsi"/>
            <w:kern w:val="2"/>
            <w14:ligatures w14:val="standardContextual"/>
          </w:rPr>
          <w:tab/>
        </w:r>
        <w:r w:rsidR="00FA4D37" w:rsidRPr="0018386D">
          <w:rPr>
            <w:rStyle w:val="Hyperlink"/>
          </w:rPr>
          <w:t>Important notes</w:t>
        </w:r>
        <w:r w:rsidR="00FA4D37" w:rsidRPr="0018386D">
          <w:rPr>
            <w:webHidden/>
          </w:rPr>
          <w:tab/>
        </w:r>
        <w:r w:rsidR="00FA4D37" w:rsidRPr="0018386D">
          <w:rPr>
            <w:webHidden/>
          </w:rPr>
          <w:fldChar w:fldCharType="begin"/>
        </w:r>
        <w:r w:rsidR="00FA4D37" w:rsidRPr="0018386D">
          <w:rPr>
            <w:webHidden/>
          </w:rPr>
          <w:instrText xml:space="preserve"> PAGEREF _Toc140048880 \h </w:instrText>
        </w:r>
        <w:r w:rsidR="00FA4D37" w:rsidRPr="0018386D">
          <w:rPr>
            <w:webHidden/>
          </w:rPr>
        </w:r>
        <w:r w:rsidR="00FA4D37" w:rsidRPr="0018386D">
          <w:rPr>
            <w:webHidden/>
          </w:rPr>
          <w:fldChar w:fldCharType="separate"/>
        </w:r>
        <w:r w:rsidR="00FA4D37" w:rsidRPr="0018386D">
          <w:rPr>
            <w:webHidden/>
          </w:rPr>
          <w:t>12</w:t>
        </w:r>
        <w:r w:rsidR="00FA4D37" w:rsidRPr="0018386D">
          <w:rPr>
            <w:webHidden/>
          </w:rPr>
          <w:fldChar w:fldCharType="end"/>
        </w:r>
      </w:hyperlink>
    </w:p>
    <w:p w14:paraId="1E8E4DBF" w14:textId="128324DF" w:rsidR="00FA4D37" w:rsidRPr="0018386D" w:rsidRDefault="00C7627E">
      <w:pPr>
        <w:pStyle w:val="TOC2"/>
        <w:rPr>
          <w:rFonts w:asciiTheme="minorHAnsi" w:hAnsiTheme="minorHAnsi"/>
          <w:kern w:val="2"/>
          <w14:ligatures w14:val="standardContextual"/>
        </w:rPr>
      </w:pPr>
      <w:hyperlink w:anchor="_Toc140048881" w:history="1">
        <w:r w:rsidR="00FA4D37" w:rsidRPr="0018386D">
          <w:rPr>
            <w:rStyle w:val="Hyperlink"/>
          </w:rPr>
          <w:t>1.3.</w:t>
        </w:r>
        <w:r w:rsidR="00FA4D37" w:rsidRPr="0018386D">
          <w:rPr>
            <w:rFonts w:asciiTheme="minorHAnsi" w:hAnsiTheme="minorHAnsi"/>
            <w:kern w:val="2"/>
            <w14:ligatures w14:val="standardContextual"/>
          </w:rPr>
          <w:tab/>
        </w:r>
        <w:r w:rsidR="00FA4D37" w:rsidRPr="0018386D">
          <w:rPr>
            <w:rStyle w:val="Hyperlink"/>
          </w:rPr>
          <w:t>Gases included in the guide</w:t>
        </w:r>
        <w:r w:rsidR="00FA4D37" w:rsidRPr="0018386D">
          <w:rPr>
            <w:webHidden/>
          </w:rPr>
          <w:tab/>
        </w:r>
        <w:r w:rsidR="00FA4D37" w:rsidRPr="0018386D">
          <w:rPr>
            <w:webHidden/>
          </w:rPr>
          <w:fldChar w:fldCharType="begin"/>
        </w:r>
        <w:r w:rsidR="00FA4D37" w:rsidRPr="0018386D">
          <w:rPr>
            <w:webHidden/>
          </w:rPr>
          <w:instrText xml:space="preserve"> PAGEREF _Toc140048881 \h </w:instrText>
        </w:r>
        <w:r w:rsidR="00FA4D37" w:rsidRPr="0018386D">
          <w:rPr>
            <w:webHidden/>
          </w:rPr>
        </w:r>
        <w:r w:rsidR="00FA4D37" w:rsidRPr="0018386D">
          <w:rPr>
            <w:webHidden/>
          </w:rPr>
          <w:fldChar w:fldCharType="separate"/>
        </w:r>
        <w:r w:rsidR="00FA4D37" w:rsidRPr="0018386D">
          <w:rPr>
            <w:webHidden/>
          </w:rPr>
          <w:t>15</w:t>
        </w:r>
        <w:r w:rsidR="00FA4D37" w:rsidRPr="0018386D">
          <w:rPr>
            <w:webHidden/>
          </w:rPr>
          <w:fldChar w:fldCharType="end"/>
        </w:r>
      </w:hyperlink>
    </w:p>
    <w:p w14:paraId="54494DE2" w14:textId="48E01719" w:rsidR="00FA4D37" w:rsidRPr="0018386D" w:rsidRDefault="00C7627E">
      <w:pPr>
        <w:pStyle w:val="TOC2"/>
        <w:rPr>
          <w:rFonts w:asciiTheme="minorHAnsi" w:hAnsiTheme="minorHAnsi"/>
          <w:kern w:val="2"/>
          <w14:ligatures w14:val="standardContextual"/>
        </w:rPr>
      </w:pPr>
      <w:hyperlink w:anchor="_Toc140048882" w:history="1">
        <w:r w:rsidR="00FA4D37" w:rsidRPr="0018386D">
          <w:rPr>
            <w:rStyle w:val="Hyperlink"/>
            <w:rFonts w:cs="Times New Roman"/>
          </w:rPr>
          <w:t>1.4.</w:t>
        </w:r>
        <w:r w:rsidR="00FA4D37" w:rsidRPr="0018386D">
          <w:rPr>
            <w:rFonts w:asciiTheme="minorHAnsi" w:hAnsiTheme="minorHAnsi"/>
            <w:kern w:val="2"/>
            <w14:ligatures w14:val="standardContextual"/>
          </w:rPr>
          <w:tab/>
        </w:r>
        <w:r w:rsidR="00FA4D37" w:rsidRPr="0018386D">
          <w:rPr>
            <w:rStyle w:val="Hyperlink"/>
          </w:rPr>
          <w:t>Uncertainties</w:t>
        </w:r>
        <w:r w:rsidR="00FA4D37" w:rsidRPr="0018386D">
          <w:rPr>
            <w:webHidden/>
          </w:rPr>
          <w:tab/>
        </w:r>
        <w:r w:rsidR="00FA4D37" w:rsidRPr="0018386D">
          <w:rPr>
            <w:webHidden/>
          </w:rPr>
          <w:fldChar w:fldCharType="begin"/>
        </w:r>
        <w:r w:rsidR="00FA4D37" w:rsidRPr="0018386D">
          <w:rPr>
            <w:webHidden/>
          </w:rPr>
          <w:instrText xml:space="preserve"> PAGEREF _Toc140048882 \h </w:instrText>
        </w:r>
        <w:r w:rsidR="00FA4D37" w:rsidRPr="0018386D">
          <w:rPr>
            <w:webHidden/>
          </w:rPr>
        </w:r>
        <w:r w:rsidR="00FA4D37" w:rsidRPr="0018386D">
          <w:rPr>
            <w:webHidden/>
          </w:rPr>
          <w:fldChar w:fldCharType="separate"/>
        </w:r>
        <w:r w:rsidR="00FA4D37" w:rsidRPr="0018386D">
          <w:rPr>
            <w:webHidden/>
          </w:rPr>
          <w:t>16</w:t>
        </w:r>
        <w:r w:rsidR="00FA4D37" w:rsidRPr="0018386D">
          <w:rPr>
            <w:webHidden/>
          </w:rPr>
          <w:fldChar w:fldCharType="end"/>
        </w:r>
      </w:hyperlink>
    </w:p>
    <w:p w14:paraId="1B3DCB78" w14:textId="25704185" w:rsidR="00FA4D37" w:rsidRPr="0018386D" w:rsidRDefault="00C7627E">
      <w:pPr>
        <w:pStyle w:val="TOC2"/>
        <w:rPr>
          <w:rFonts w:asciiTheme="minorHAnsi" w:hAnsiTheme="minorHAnsi"/>
          <w:kern w:val="2"/>
          <w14:ligatures w14:val="standardContextual"/>
        </w:rPr>
      </w:pPr>
      <w:hyperlink w:anchor="_Toc140048883" w:history="1">
        <w:r w:rsidR="00FA4D37" w:rsidRPr="0018386D">
          <w:rPr>
            <w:rStyle w:val="Hyperlink"/>
          </w:rPr>
          <w:t>1.5.</w:t>
        </w:r>
        <w:r w:rsidR="00FA4D37" w:rsidRPr="0018386D">
          <w:rPr>
            <w:rFonts w:asciiTheme="minorHAnsi" w:hAnsiTheme="minorHAnsi"/>
            <w:kern w:val="2"/>
            <w14:ligatures w14:val="standardContextual"/>
          </w:rPr>
          <w:tab/>
        </w:r>
        <w:r w:rsidR="00FA4D37" w:rsidRPr="0018386D">
          <w:rPr>
            <w:rStyle w:val="Hyperlink"/>
          </w:rPr>
          <w:t>Standards to follow</w:t>
        </w:r>
        <w:r w:rsidR="00FA4D37" w:rsidRPr="0018386D">
          <w:rPr>
            <w:webHidden/>
          </w:rPr>
          <w:tab/>
        </w:r>
        <w:r w:rsidR="00FA4D37" w:rsidRPr="0018386D">
          <w:rPr>
            <w:webHidden/>
          </w:rPr>
          <w:fldChar w:fldCharType="begin"/>
        </w:r>
        <w:r w:rsidR="00FA4D37" w:rsidRPr="0018386D">
          <w:rPr>
            <w:webHidden/>
          </w:rPr>
          <w:instrText xml:space="preserve"> PAGEREF _Toc140048883 \h </w:instrText>
        </w:r>
        <w:r w:rsidR="00FA4D37" w:rsidRPr="0018386D">
          <w:rPr>
            <w:webHidden/>
          </w:rPr>
        </w:r>
        <w:r w:rsidR="00FA4D37" w:rsidRPr="0018386D">
          <w:rPr>
            <w:webHidden/>
          </w:rPr>
          <w:fldChar w:fldCharType="separate"/>
        </w:r>
        <w:r w:rsidR="00FA4D37" w:rsidRPr="0018386D">
          <w:rPr>
            <w:webHidden/>
          </w:rPr>
          <w:t>17</w:t>
        </w:r>
        <w:r w:rsidR="00FA4D37" w:rsidRPr="0018386D">
          <w:rPr>
            <w:webHidden/>
          </w:rPr>
          <w:fldChar w:fldCharType="end"/>
        </w:r>
      </w:hyperlink>
    </w:p>
    <w:p w14:paraId="2CB37171" w14:textId="67F761F0" w:rsidR="00FA4D37" w:rsidRPr="0018386D" w:rsidRDefault="00C7627E">
      <w:pPr>
        <w:pStyle w:val="TOC1"/>
        <w:rPr>
          <w:rFonts w:asciiTheme="minorHAnsi" w:hAnsiTheme="minorHAnsi"/>
          <w:noProof/>
          <w:kern w:val="2"/>
          <w14:ligatures w14:val="standardContextual"/>
        </w:rPr>
      </w:pPr>
      <w:hyperlink w:anchor="_Toc140048884" w:history="1">
        <w:r w:rsidR="00FA4D37" w:rsidRPr="0018386D">
          <w:rPr>
            <w:rStyle w:val="Hyperlink"/>
            <w:noProof/>
          </w:rPr>
          <w:t>2.</w:t>
        </w:r>
        <w:r w:rsidR="00FA4D37" w:rsidRPr="0018386D">
          <w:rPr>
            <w:rFonts w:asciiTheme="minorHAnsi" w:hAnsiTheme="minorHAnsi"/>
            <w:noProof/>
            <w:kern w:val="2"/>
            <w14:ligatures w14:val="standardContextual"/>
          </w:rPr>
          <w:tab/>
        </w:r>
        <w:r w:rsidR="00FA4D37" w:rsidRPr="0018386D">
          <w:rPr>
            <w:rStyle w:val="Hyperlink"/>
            <w:noProof/>
          </w:rPr>
          <w:t>How to quantify and report GHG emissions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_Toc140048884 \h </w:instrText>
        </w:r>
        <w:r w:rsidR="00FA4D37" w:rsidRPr="0018386D">
          <w:rPr>
            <w:noProof/>
            <w:webHidden/>
          </w:rPr>
        </w:r>
        <w:r w:rsidR="00FA4D37" w:rsidRPr="0018386D">
          <w:rPr>
            <w:noProof/>
            <w:webHidden/>
          </w:rPr>
          <w:fldChar w:fldCharType="separate"/>
        </w:r>
        <w:r w:rsidR="00FA4D37" w:rsidRPr="0018386D">
          <w:rPr>
            <w:noProof/>
            <w:webHidden/>
          </w:rPr>
          <w:t>20</w:t>
        </w:r>
        <w:r w:rsidR="00FA4D37" w:rsidRPr="0018386D">
          <w:rPr>
            <w:noProof/>
            <w:webHidden/>
          </w:rPr>
          <w:fldChar w:fldCharType="end"/>
        </w:r>
      </w:hyperlink>
    </w:p>
    <w:p w14:paraId="7B13D463" w14:textId="3C0821B2" w:rsidR="00FA4D37" w:rsidRPr="0018386D" w:rsidRDefault="00C7627E">
      <w:pPr>
        <w:pStyle w:val="TOC2"/>
        <w:rPr>
          <w:rFonts w:asciiTheme="minorHAnsi" w:hAnsiTheme="minorHAnsi"/>
          <w:kern w:val="2"/>
          <w14:ligatures w14:val="standardContextual"/>
        </w:rPr>
      </w:pPr>
      <w:hyperlink w:anchor="_Toc140048885" w:history="1">
        <w:r w:rsidR="00FA4D37" w:rsidRPr="0018386D">
          <w:rPr>
            <w:rStyle w:val="Hyperlink"/>
          </w:rPr>
          <w:t>2.1.</w:t>
        </w:r>
        <w:r w:rsidR="00FA4D37" w:rsidRPr="0018386D">
          <w:rPr>
            <w:rFonts w:asciiTheme="minorHAnsi" w:hAnsiTheme="minorHAnsi"/>
            <w:kern w:val="2"/>
            <w14:ligatures w14:val="standardContextual"/>
          </w:rPr>
          <w:tab/>
        </w:r>
        <w:r w:rsidR="00FA4D37" w:rsidRPr="0018386D">
          <w:rPr>
            <w:rStyle w:val="Hyperlink"/>
          </w:rPr>
          <w:t>Step-by-step inventory preparation</w:t>
        </w:r>
        <w:r w:rsidR="00FA4D37" w:rsidRPr="0018386D">
          <w:rPr>
            <w:webHidden/>
          </w:rPr>
          <w:tab/>
        </w:r>
        <w:r w:rsidR="00FA4D37" w:rsidRPr="0018386D">
          <w:rPr>
            <w:webHidden/>
          </w:rPr>
          <w:fldChar w:fldCharType="begin"/>
        </w:r>
        <w:r w:rsidR="00FA4D37" w:rsidRPr="0018386D">
          <w:rPr>
            <w:webHidden/>
          </w:rPr>
          <w:instrText xml:space="preserve"> PAGEREF _Toc140048885 \h </w:instrText>
        </w:r>
        <w:r w:rsidR="00FA4D37" w:rsidRPr="0018386D">
          <w:rPr>
            <w:webHidden/>
          </w:rPr>
        </w:r>
        <w:r w:rsidR="00FA4D37" w:rsidRPr="0018386D">
          <w:rPr>
            <w:webHidden/>
          </w:rPr>
          <w:fldChar w:fldCharType="separate"/>
        </w:r>
        <w:r w:rsidR="00FA4D37" w:rsidRPr="0018386D">
          <w:rPr>
            <w:webHidden/>
          </w:rPr>
          <w:t>21</w:t>
        </w:r>
        <w:r w:rsidR="00FA4D37" w:rsidRPr="0018386D">
          <w:rPr>
            <w:webHidden/>
          </w:rPr>
          <w:fldChar w:fldCharType="end"/>
        </w:r>
      </w:hyperlink>
    </w:p>
    <w:p w14:paraId="42C7E016" w14:textId="62D194AB" w:rsidR="00FA4D37" w:rsidRPr="0018386D" w:rsidRDefault="00C7627E">
      <w:pPr>
        <w:pStyle w:val="TOC2"/>
        <w:rPr>
          <w:rFonts w:asciiTheme="minorHAnsi" w:hAnsiTheme="minorHAnsi"/>
          <w:kern w:val="2"/>
          <w14:ligatures w14:val="standardContextual"/>
        </w:rPr>
      </w:pPr>
      <w:hyperlink w:anchor="_Toc140048886" w:history="1">
        <w:r w:rsidR="00FA4D37" w:rsidRPr="0018386D">
          <w:rPr>
            <w:rStyle w:val="Hyperlink"/>
          </w:rPr>
          <w:t>2.2.</w:t>
        </w:r>
        <w:r w:rsidR="00FA4D37" w:rsidRPr="0018386D">
          <w:rPr>
            <w:rFonts w:asciiTheme="minorHAnsi" w:hAnsiTheme="minorHAnsi"/>
            <w:kern w:val="2"/>
            <w14:ligatures w14:val="standardContextual"/>
          </w:rPr>
          <w:tab/>
        </w:r>
        <w:r w:rsidR="00FA4D37" w:rsidRPr="0018386D">
          <w:rPr>
            <w:rStyle w:val="Hyperlink"/>
          </w:rPr>
          <w:t>Using the emission factors</w:t>
        </w:r>
        <w:r w:rsidR="00FA4D37" w:rsidRPr="0018386D">
          <w:rPr>
            <w:webHidden/>
          </w:rPr>
          <w:tab/>
        </w:r>
        <w:r w:rsidR="00FA4D37" w:rsidRPr="0018386D">
          <w:rPr>
            <w:webHidden/>
          </w:rPr>
          <w:fldChar w:fldCharType="begin"/>
        </w:r>
        <w:r w:rsidR="00FA4D37" w:rsidRPr="0018386D">
          <w:rPr>
            <w:webHidden/>
          </w:rPr>
          <w:instrText xml:space="preserve"> PAGEREF _Toc140048886 \h </w:instrText>
        </w:r>
        <w:r w:rsidR="00FA4D37" w:rsidRPr="0018386D">
          <w:rPr>
            <w:webHidden/>
          </w:rPr>
        </w:r>
        <w:r w:rsidR="00FA4D37" w:rsidRPr="0018386D">
          <w:rPr>
            <w:webHidden/>
          </w:rPr>
          <w:fldChar w:fldCharType="separate"/>
        </w:r>
        <w:r w:rsidR="00FA4D37" w:rsidRPr="0018386D">
          <w:rPr>
            <w:webHidden/>
          </w:rPr>
          <w:t>22</w:t>
        </w:r>
        <w:r w:rsidR="00FA4D37" w:rsidRPr="0018386D">
          <w:rPr>
            <w:webHidden/>
          </w:rPr>
          <w:fldChar w:fldCharType="end"/>
        </w:r>
      </w:hyperlink>
    </w:p>
    <w:p w14:paraId="08EC8B3B" w14:textId="1CB1F88F" w:rsidR="00FA4D37" w:rsidRPr="0018386D" w:rsidRDefault="00C7627E">
      <w:pPr>
        <w:pStyle w:val="TOC2"/>
        <w:rPr>
          <w:rFonts w:asciiTheme="minorHAnsi" w:hAnsiTheme="minorHAnsi"/>
          <w:kern w:val="2"/>
          <w14:ligatures w14:val="standardContextual"/>
        </w:rPr>
      </w:pPr>
      <w:hyperlink w:anchor="_Toc140048887" w:history="1">
        <w:r w:rsidR="00FA4D37" w:rsidRPr="0018386D">
          <w:rPr>
            <w:rStyle w:val="Hyperlink"/>
          </w:rPr>
          <w:t>2.3.</w:t>
        </w:r>
        <w:r w:rsidR="00FA4D37" w:rsidRPr="0018386D">
          <w:rPr>
            <w:rFonts w:asciiTheme="minorHAnsi" w:hAnsiTheme="minorHAnsi"/>
            <w:kern w:val="2"/>
            <w14:ligatures w14:val="standardContextual"/>
          </w:rPr>
          <w:tab/>
        </w:r>
        <w:r w:rsidR="00FA4D37" w:rsidRPr="0018386D">
          <w:rPr>
            <w:rStyle w:val="Hyperlink"/>
          </w:rPr>
          <w:t>Producing a GHG report</w:t>
        </w:r>
        <w:r w:rsidR="00FA4D37" w:rsidRPr="0018386D">
          <w:rPr>
            <w:webHidden/>
          </w:rPr>
          <w:tab/>
        </w:r>
        <w:r w:rsidR="00FA4D37" w:rsidRPr="0018386D">
          <w:rPr>
            <w:webHidden/>
          </w:rPr>
          <w:fldChar w:fldCharType="begin"/>
        </w:r>
        <w:r w:rsidR="00FA4D37" w:rsidRPr="0018386D">
          <w:rPr>
            <w:webHidden/>
          </w:rPr>
          <w:instrText xml:space="preserve"> PAGEREF _Toc140048887 \h </w:instrText>
        </w:r>
        <w:r w:rsidR="00FA4D37" w:rsidRPr="0018386D">
          <w:rPr>
            <w:webHidden/>
          </w:rPr>
        </w:r>
        <w:r w:rsidR="00FA4D37" w:rsidRPr="0018386D">
          <w:rPr>
            <w:webHidden/>
          </w:rPr>
          <w:fldChar w:fldCharType="separate"/>
        </w:r>
        <w:r w:rsidR="00FA4D37" w:rsidRPr="0018386D">
          <w:rPr>
            <w:webHidden/>
          </w:rPr>
          <w:t>23</w:t>
        </w:r>
        <w:r w:rsidR="00FA4D37" w:rsidRPr="0018386D">
          <w:rPr>
            <w:webHidden/>
          </w:rPr>
          <w:fldChar w:fldCharType="end"/>
        </w:r>
      </w:hyperlink>
    </w:p>
    <w:p w14:paraId="75A604BD" w14:textId="1B472F20" w:rsidR="00FA4D37" w:rsidRPr="0018386D" w:rsidRDefault="00C7627E">
      <w:pPr>
        <w:pStyle w:val="TOC2"/>
        <w:rPr>
          <w:rFonts w:asciiTheme="minorHAnsi" w:hAnsiTheme="minorHAnsi"/>
          <w:kern w:val="2"/>
          <w14:ligatures w14:val="standardContextual"/>
        </w:rPr>
      </w:pPr>
      <w:hyperlink w:anchor="_Toc140048888" w:history="1">
        <w:r w:rsidR="00FA4D37" w:rsidRPr="0018386D">
          <w:rPr>
            <w:rStyle w:val="Hyperlink"/>
          </w:rPr>
          <w:t>2.4.</w:t>
        </w:r>
        <w:r w:rsidR="00FA4D37" w:rsidRPr="0018386D">
          <w:rPr>
            <w:rFonts w:asciiTheme="minorHAnsi" w:hAnsiTheme="minorHAnsi"/>
            <w:kern w:val="2"/>
            <w14:ligatures w14:val="standardContextual"/>
          </w:rPr>
          <w:tab/>
        </w:r>
        <w:r w:rsidR="00FA4D37" w:rsidRPr="0018386D">
          <w:rPr>
            <w:rStyle w:val="Hyperlink"/>
          </w:rPr>
          <w:t>Assurance and verification</w:t>
        </w:r>
        <w:r w:rsidR="00FA4D37" w:rsidRPr="0018386D">
          <w:rPr>
            <w:webHidden/>
          </w:rPr>
          <w:tab/>
        </w:r>
        <w:r w:rsidR="00FA4D37" w:rsidRPr="0018386D">
          <w:rPr>
            <w:webHidden/>
          </w:rPr>
          <w:fldChar w:fldCharType="begin"/>
        </w:r>
        <w:r w:rsidR="00FA4D37" w:rsidRPr="0018386D">
          <w:rPr>
            <w:webHidden/>
          </w:rPr>
          <w:instrText xml:space="preserve"> PAGEREF _Toc140048888 \h </w:instrText>
        </w:r>
        <w:r w:rsidR="00FA4D37" w:rsidRPr="0018386D">
          <w:rPr>
            <w:webHidden/>
          </w:rPr>
        </w:r>
        <w:r w:rsidR="00FA4D37" w:rsidRPr="0018386D">
          <w:rPr>
            <w:webHidden/>
          </w:rPr>
          <w:fldChar w:fldCharType="separate"/>
        </w:r>
        <w:r w:rsidR="00FA4D37" w:rsidRPr="0018386D">
          <w:rPr>
            <w:webHidden/>
          </w:rPr>
          <w:t>24</w:t>
        </w:r>
        <w:r w:rsidR="00FA4D37" w:rsidRPr="0018386D">
          <w:rPr>
            <w:webHidden/>
          </w:rPr>
          <w:fldChar w:fldCharType="end"/>
        </w:r>
      </w:hyperlink>
    </w:p>
    <w:p w14:paraId="7D10AA3D" w14:textId="4B83EE4A" w:rsidR="00FA4D37" w:rsidRPr="0018386D" w:rsidRDefault="00C7627E">
      <w:pPr>
        <w:pStyle w:val="TOC1"/>
        <w:rPr>
          <w:rFonts w:asciiTheme="minorHAnsi" w:hAnsiTheme="minorHAnsi"/>
          <w:noProof/>
          <w:kern w:val="2"/>
          <w14:ligatures w14:val="standardContextual"/>
        </w:rPr>
      </w:pPr>
      <w:hyperlink w:anchor="_Toc140048889" w:history="1">
        <w:r w:rsidR="00FA4D37" w:rsidRPr="0018386D">
          <w:rPr>
            <w:rStyle w:val="Hyperlink"/>
            <w:noProof/>
          </w:rPr>
          <w:t>3.</w:t>
        </w:r>
        <w:r w:rsidR="00FA4D37" w:rsidRPr="0018386D">
          <w:rPr>
            <w:rFonts w:asciiTheme="minorHAnsi" w:hAnsiTheme="minorHAnsi"/>
            <w:noProof/>
            <w:kern w:val="2"/>
            <w14:ligatures w14:val="standardContextual"/>
          </w:rPr>
          <w:tab/>
        </w:r>
        <w:r w:rsidR="00FA4D37" w:rsidRPr="0018386D">
          <w:rPr>
            <w:rStyle w:val="Hyperlink"/>
            <w:noProof/>
          </w:rPr>
          <w:t>Fuel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_Toc140048889 \h </w:instrText>
        </w:r>
        <w:r w:rsidR="00FA4D37" w:rsidRPr="0018386D">
          <w:rPr>
            <w:noProof/>
            <w:webHidden/>
          </w:rPr>
        </w:r>
        <w:r w:rsidR="00FA4D37" w:rsidRPr="0018386D">
          <w:rPr>
            <w:noProof/>
            <w:webHidden/>
          </w:rPr>
          <w:fldChar w:fldCharType="separate"/>
        </w:r>
        <w:r w:rsidR="00FA4D37" w:rsidRPr="0018386D">
          <w:rPr>
            <w:noProof/>
            <w:webHidden/>
          </w:rPr>
          <w:t>26</w:t>
        </w:r>
        <w:r w:rsidR="00FA4D37" w:rsidRPr="0018386D">
          <w:rPr>
            <w:noProof/>
            <w:webHidden/>
          </w:rPr>
          <w:fldChar w:fldCharType="end"/>
        </w:r>
      </w:hyperlink>
    </w:p>
    <w:p w14:paraId="035FCF70" w14:textId="48460916" w:rsidR="00FA4D37" w:rsidRPr="0018386D" w:rsidRDefault="00C7627E">
      <w:pPr>
        <w:pStyle w:val="TOC2"/>
        <w:rPr>
          <w:rFonts w:asciiTheme="minorHAnsi" w:hAnsiTheme="minorHAnsi"/>
          <w:kern w:val="2"/>
          <w14:ligatures w14:val="standardContextual"/>
        </w:rPr>
      </w:pPr>
      <w:hyperlink w:anchor="_Toc140048890" w:history="1">
        <w:r w:rsidR="00FA4D37" w:rsidRPr="0018386D">
          <w:rPr>
            <w:rStyle w:val="Hyperlink"/>
          </w:rPr>
          <w:t>3.1.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_Toc140048890 \h </w:instrText>
        </w:r>
        <w:r w:rsidR="00FA4D37" w:rsidRPr="0018386D">
          <w:rPr>
            <w:webHidden/>
          </w:rPr>
        </w:r>
        <w:r w:rsidR="00FA4D37" w:rsidRPr="0018386D">
          <w:rPr>
            <w:webHidden/>
          </w:rPr>
          <w:fldChar w:fldCharType="separate"/>
        </w:r>
        <w:r w:rsidR="00FA4D37" w:rsidRPr="0018386D">
          <w:rPr>
            <w:webHidden/>
          </w:rPr>
          <w:t>26</w:t>
        </w:r>
        <w:r w:rsidR="00FA4D37" w:rsidRPr="0018386D">
          <w:rPr>
            <w:webHidden/>
          </w:rPr>
          <w:fldChar w:fldCharType="end"/>
        </w:r>
      </w:hyperlink>
    </w:p>
    <w:p w14:paraId="0DA5B71C" w14:textId="7F3709D5" w:rsidR="00FA4D37" w:rsidRPr="0018386D" w:rsidRDefault="00C7627E">
      <w:pPr>
        <w:pStyle w:val="TOC2"/>
        <w:rPr>
          <w:rFonts w:asciiTheme="minorHAnsi" w:hAnsiTheme="minorHAnsi"/>
          <w:kern w:val="2"/>
          <w14:ligatures w14:val="standardContextual"/>
        </w:rPr>
      </w:pPr>
      <w:hyperlink w:anchor="_Toc140048891" w:history="1">
        <w:r w:rsidR="00FA4D37" w:rsidRPr="0018386D">
          <w:rPr>
            <w:rStyle w:val="Hyperlink"/>
          </w:rPr>
          <w:t>3.2.</w:t>
        </w:r>
        <w:r w:rsidR="00FA4D37" w:rsidRPr="0018386D">
          <w:rPr>
            <w:rFonts w:asciiTheme="minorHAnsi" w:hAnsiTheme="minorHAnsi"/>
            <w:kern w:val="2"/>
            <w14:ligatures w14:val="standardContextual"/>
          </w:rPr>
          <w:tab/>
        </w:r>
        <w:r w:rsidR="00FA4D37" w:rsidRPr="0018386D">
          <w:rPr>
            <w:rStyle w:val="Hyperlink"/>
          </w:rPr>
          <w:t>Stationary combustion fuel</w:t>
        </w:r>
        <w:r w:rsidR="00FA4D37" w:rsidRPr="0018386D">
          <w:rPr>
            <w:webHidden/>
          </w:rPr>
          <w:tab/>
        </w:r>
        <w:r w:rsidR="00FA4D37" w:rsidRPr="0018386D">
          <w:rPr>
            <w:webHidden/>
          </w:rPr>
          <w:fldChar w:fldCharType="begin"/>
        </w:r>
        <w:r w:rsidR="00FA4D37" w:rsidRPr="0018386D">
          <w:rPr>
            <w:webHidden/>
          </w:rPr>
          <w:instrText xml:space="preserve"> PAGEREF _Toc140048891 \h </w:instrText>
        </w:r>
        <w:r w:rsidR="00FA4D37" w:rsidRPr="0018386D">
          <w:rPr>
            <w:webHidden/>
          </w:rPr>
        </w:r>
        <w:r w:rsidR="00FA4D37" w:rsidRPr="0018386D">
          <w:rPr>
            <w:webHidden/>
          </w:rPr>
          <w:fldChar w:fldCharType="separate"/>
        </w:r>
        <w:r w:rsidR="00FA4D37" w:rsidRPr="0018386D">
          <w:rPr>
            <w:webHidden/>
          </w:rPr>
          <w:t>26</w:t>
        </w:r>
        <w:r w:rsidR="00FA4D37" w:rsidRPr="0018386D">
          <w:rPr>
            <w:webHidden/>
          </w:rPr>
          <w:fldChar w:fldCharType="end"/>
        </w:r>
      </w:hyperlink>
    </w:p>
    <w:p w14:paraId="296E6239" w14:textId="6896EBA7" w:rsidR="00FA4D37" w:rsidRPr="0018386D" w:rsidRDefault="00C7627E">
      <w:pPr>
        <w:pStyle w:val="TOC2"/>
        <w:rPr>
          <w:rFonts w:asciiTheme="minorHAnsi" w:hAnsiTheme="minorHAnsi"/>
          <w:kern w:val="2"/>
          <w14:ligatures w14:val="standardContextual"/>
        </w:rPr>
      </w:pPr>
      <w:hyperlink w:anchor="_Toc140048892" w:history="1">
        <w:r w:rsidR="00FA4D37" w:rsidRPr="0018386D">
          <w:rPr>
            <w:rStyle w:val="Hyperlink"/>
          </w:rPr>
          <w:t>3.3.</w:t>
        </w:r>
        <w:r w:rsidR="00FA4D37" w:rsidRPr="0018386D">
          <w:rPr>
            <w:rFonts w:asciiTheme="minorHAnsi" w:hAnsiTheme="minorHAnsi"/>
            <w:kern w:val="2"/>
            <w14:ligatures w14:val="standardContextual"/>
          </w:rPr>
          <w:tab/>
        </w:r>
        <w:r w:rsidR="00FA4D37" w:rsidRPr="0018386D">
          <w:rPr>
            <w:rStyle w:val="Hyperlink"/>
          </w:rPr>
          <w:t>Transport fuel</w:t>
        </w:r>
        <w:r w:rsidR="00FA4D37" w:rsidRPr="0018386D">
          <w:rPr>
            <w:webHidden/>
          </w:rPr>
          <w:tab/>
        </w:r>
        <w:r w:rsidR="00FA4D37" w:rsidRPr="0018386D">
          <w:rPr>
            <w:webHidden/>
          </w:rPr>
          <w:fldChar w:fldCharType="begin"/>
        </w:r>
        <w:r w:rsidR="00FA4D37" w:rsidRPr="0018386D">
          <w:rPr>
            <w:webHidden/>
          </w:rPr>
          <w:instrText xml:space="preserve"> PAGEREF _Toc140048892 \h </w:instrText>
        </w:r>
        <w:r w:rsidR="00FA4D37" w:rsidRPr="0018386D">
          <w:rPr>
            <w:webHidden/>
          </w:rPr>
        </w:r>
        <w:r w:rsidR="00FA4D37" w:rsidRPr="0018386D">
          <w:rPr>
            <w:webHidden/>
          </w:rPr>
          <w:fldChar w:fldCharType="separate"/>
        </w:r>
        <w:r w:rsidR="00FA4D37" w:rsidRPr="0018386D">
          <w:rPr>
            <w:webHidden/>
          </w:rPr>
          <w:t>29</w:t>
        </w:r>
        <w:r w:rsidR="00FA4D37" w:rsidRPr="0018386D">
          <w:rPr>
            <w:webHidden/>
          </w:rPr>
          <w:fldChar w:fldCharType="end"/>
        </w:r>
      </w:hyperlink>
    </w:p>
    <w:p w14:paraId="0ABAEF44" w14:textId="0DDAEE4C" w:rsidR="00FA4D37" w:rsidRPr="0018386D" w:rsidRDefault="00C7627E">
      <w:pPr>
        <w:pStyle w:val="TOC2"/>
        <w:rPr>
          <w:rFonts w:asciiTheme="minorHAnsi" w:hAnsiTheme="minorHAnsi"/>
          <w:kern w:val="2"/>
          <w14:ligatures w14:val="standardContextual"/>
        </w:rPr>
      </w:pPr>
      <w:hyperlink w:anchor="_Toc140048893" w:history="1">
        <w:r w:rsidR="00FA4D37" w:rsidRPr="0018386D">
          <w:rPr>
            <w:rStyle w:val="Hyperlink"/>
          </w:rPr>
          <w:t>3.4.</w:t>
        </w:r>
        <w:r w:rsidR="00FA4D37" w:rsidRPr="0018386D">
          <w:rPr>
            <w:rFonts w:asciiTheme="minorHAnsi" w:hAnsiTheme="minorHAnsi"/>
            <w:kern w:val="2"/>
            <w14:ligatures w14:val="standardContextual"/>
          </w:rPr>
          <w:tab/>
        </w:r>
        <w:r w:rsidR="00FA4D37" w:rsidRPr="0018386D">
          <w:rPr>
            <w:rStyle w:val="Hyperlink"/>
          </w:rPr>
          <w:t>Biofuels and biomass</w:t>
        </w:r>
        <w:r w:rsidR="00FA4D37" w:rsidRPr="0018386D">
          <w:rPr>
            <w:webHidden/>
          </w:rPr>
          <w:tab/>
        </w:r>
        <w:r w:rsidR="00FA4D37" w:rsidRPr="0018386D">
          <w:rPr>
            <w:webHidden/>
          </w:rPr>
          <w:fldChar w:fldCharType="begin"/>
        </w:r>
        <w:r w:rsidR="00FA4D37" w:rsidRPr="0018386D">
          <w:rPr>
            <w:webHidden/>
          </w:rPr>
          <w:instrText xml:space="preserve"> PAGEREF _Toc140048893 \h </w:instrText>
        </w:r>
        <w:r w:rsidR="00FA4D37" w:rsidRPr="0018386D">
          <w:rPr>
            <w:webHidden/>
          </w:rPr>
        </w:r>
        <w:r w:rsidR="00FA4D37" w:rsidRPr="0018386D">
          <w:rPr>
            <w:webHidden/>
          </w:rPr>
          <w:fldChar w:fldCharType="separate"/>
        </w:r>
        <w:r w:rsidR="00FA4D37" w:rsidRPr="0018386D">
          <w:rPr>
            <w:webHidden/>
          </w:rPr>
          <w:t>30</w:t>
        </w:r>
        <w:r w:rsidR="00FA4D37" w:rsidRPr="0018386D">
          <w:rPr>
            <w:webHidden/>
          </w:rPr>
          <w:fldChar w:fldCharType="end"/>
        </w:r>
      </w:hyperlink>
    </w:p>
    <w:p w14:paraId="4079ACEA" w14:textId="2103F2E6" w:rsidR="00FA4D37" w:rsidRPr="0018386D" w:rsidRDefault="00C7627E">
      <w:pPr>
        <w:pStyle w:val="TOC2"/>
        <w:rPr>
          <w:rFonts w:asciiTheme="minorHAnsi" w:hAnsiTheme="minorHAnsi"/>
          <w:kern w:val="2"/>
          <w14:ligatures w14:val="standardContextual"/>
        </w:rPr>
      </w:pPr>
      <w:hyperlink w:anchor="_Toc140048894" w:history="1">
        <w:r w:rsidR="00FA4D37" w:rsidRPr="0018386D">
          <w:rPr>
            <w:rStyle w:val="Hyperlink"/>
          </w:rPr>
          <w:t>3.5.</w:t>
        </w:r>
        <w:r w:rsidR="00FA4D37" w:rsidRPr="0018386D">
          <w:rPr>
            <w:rFonts w:asciiTheme="minorHAnsi" w:hAnsiTheme="minorHAnsi"/>
            <w:kern w:val="2"/>
            <w14:ligatures w14:val="standardContextual"/>
          </w:rPr>
          <w:tab/>
        </w:r>
        <w:r w:rsidR="00FA4D37" w:rsidRPr="0018386D">
          <w:rPr>
            <w:rStyle w:val="Hyperlink"/>
          </w:rPr>
          <w:t>Transmission and distribution losses for reticulated gases</w:t>
        </w:r>
        <w:r w:rsidR="00FA4D37" w:rsidRPr="0018386D">
          <w:rPr>
            <w:webHidden/>
          </w:rPr>
          <w:tab/>
        </w:r>
        <w:r w:rsidR="00FA4D37" w:rsidRPr="0018386D">
          <w:rPr>
            <w:webHidden/>
          </w:rPr>
          <w:fldChar w:fldCharType="begin"/>
        </w:r>
        <w:r w:rsidR="00FA4D37" w:rsidRPr="0018386D">
          <w:rPr>
            <w:webHidden/>
          </w:rPr>
          <w:instrText xml:space="preserve"> PAGEREF _Toc140048894 \h </w:instrText>
        </w:r>
        <w:r w:rsidR="00FA4D37" w:rsidRPr="0018386D">
          <w:rPr>
            <w:webHidden/>
          </w:rPr>
        </w:r>
        <w:r w:rsidR="00FA4D37" w:rsidRPr="0018386D">
          <w:rPr>
            <w:webHidden/>
          </w:rPr>
          <w:fldChar w:fldCharType="separate"/>
        </w:r>
        <w:r w:rsidR="00FA4D37" w:rsidRPr="0018386D">
          <w:rPr>
            <w:webHidden/>
          </w:rPr>
          <w:t>32</w:t>
        </w:r>
        <w:r w:rsidR="00FA4D37" w:rsidRPr="0018386D">
          <w:rPr>
            <w:webHidden/>
          </w:rPr>
          <w:fldChar w:fldCharType="end"/>
        </w:r>
      </w:hyperlink>
    </w:p>
    <w:p w14:paraId="16EB631A" w14:textId="45EE8BDE" w:rsidR="00FA4D37" w:rsidRPr="0018386D" w:rsidRDefault="00C7627E">
      <w:pPr>
        <w:pStyle w:val="TOC1"/>
        <w:rPr>
          <w:rFonts w:asciiTheme="minorHAnsi" w:hAnsiTheme="minorHAnsi"/>
          <w:noProof/>
          <w:kern w:val="2"/>
          <w14:ligatures w14:val="standardContextual"/>
        </w:rPr>
      </w:pPr>
      <w:hyperlink w:anchor="_Toc140048895" w:history="1">
        <w:r w:rsidR="00FA4D37" w:rsidRPr="0018386D">
          <w:rPr>
            <w:rStyle w:val="Hyperlink"/>
            <w:noProof/>
          </w:rPr>
          <w:t>4.</w:t>
        </w:r>
        <w:r w:rsidR="00FA4D37" w:rsidRPr="0018386D">
          <w:rPr>
            <w:rFonts w:asciiTheme="minorHAnsi" w:hAnsiTheme="minorHAnsi"/>
            <w:noProof/>
            <w:kern w:val="2"/>
            <w14:ligatures w14:val="standardContextual"/>
          </w:rPr>
          <w:tab/>
        </w:r>
        <w:r w:rsidR="00FA4D37" w:rsidRPr="0018386D">
          <w:rPr>
            <w:rStyle w:val="Hyperlink"/>
            <w:noProof/>
          </w:rPr>
          <w:t>Refrigerant and other gases: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_Toc140048895 \h </w:instrText>
        </w:r>
        <w:r w:rsidR="00FA4D37" w:rsidRPr="0018386D">
          <w:rPr>
            <w:noProof/>
            <w:webHidden/>
          </w:rPr>
        </w:r>
        <w:r w:rsidR="00FA4D37" w:rsidRPr="0018386D">
          <w:rPr>
            <w:noProof/>
            <w:webHidden/>
          </w:rPr>
          <w:fldChar w:fldCharType="separate"/>
        </w:r>
        <w:r w:rsidR="00FA4D37" w:rsidRPr="0018386D">
          <w:rPr>
            <w:noProof/>
            <w:webHidden/>
          </w:rPr>
          <w:t>35</w:t>
        </w:r>
        <w:r w:rsidR="00FA4D37" w:rsidRPr="0018386D">
          <w:rPr>
            <w:noProof/>
            <w:webHidden/>
          </w:rPr>
          <w:fldChar w:fldCharType="end"/>
        </w:r>
      </w:hyperlink>
    </w:p>
    <w:p w14:paraId="5F45AAF8" w14:textId="71B9B27E" w:rsidR="00FA4D37" w:rsidRPr="0018386D" w:rsidRDefault="00C7627E">
      <w:pPr>
        <w:pStyle w:val="TOC2"/>
        <w:rPr>
          <w:rFonts w:asciiTheme="minorHAnsi" w:hAnsiTheme="minorHAnsi"/>
          <w:kern w:val="2"/>
          <w14:ligatures w14:val="standardContextual"/>
        </w:rPr>
      </w:pPr>
      <w:hyperlink w:anchor="_Toc140048896" w:history="1">
        <w:r w:rsidR="00FA4D37" w:rsidRPr="0018386D">
          <w:rPr>
            <w:rStyle w:val="Hyperlink"/>
          </w:rPr>
          <w:t>4.1.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_Toc140048896 \h </w:instrText>
        </w:r>
        <w:r w:rsidR="00FA4D37" w:rsidRPr="0018386D">
          <w:rPr>
            <w:webHidden/>
          </w:rPr>
        </w:r>
        <w:r w:rsidR="00FA4D37" w:rsidRPr="0018386D">
          <w:rPr>
            <w:webHidden/>
          </w:rPr>
          <w:fldChar w:fldCharType="separate"/>
        </w:r>
        <w:r w:rsidR="00FA4D37" w:rsidRPr="0018386D">
          <w:rPr>
            <w:webHidden/>
          </w:rPr>
          <w:t>35</w:t>
        </w:r>
        <w:r w:rsidR="00FA4D37" w:rsidRPr="0018386D">
          <w:rPr>
            <w:webHidden/>
          </w:rPr>
          <w:fldChar w:fldCharType="end"/>
        </w:r>
      </w:hyperlink>
    </w:p>
    <w:p w14:paraId="0EBCD3B9" w14:textId="79F32444" w:rsidR="00FA4D37" w:rsidRPr="0018386D" w:rsidRDefault="00C7627E">
      <w:pPr>
        <w:pStyle w:val="TOC2"/>
        <w:rPr>
          <w:rFonts w:asciiTheme="minorHAnsi" w:hAnsiTheme="minorHAnsi"/>
          <w:kern w:val="2"/>
          <w14:ligatures w14:val="standardContextual"/>
        </w:rPr>
      </w:pPr>
      <w:hyperlink w:anchor="_Toc140048897" w:history="1">
        <w:r w:rsidR="00FA4D37" w:rsidRPr="0018386D">
          <w:rPr>
            <w:rStyle w:val="Hyperlink"/>
          </w:rPr>
          <w:t>4.2.</w:t>
        </w:r>
        <w:r w:rsidR="00FA4D37" w:rsidRPr="0018386D">
          <w:rPr>
            <w:rFonts w:asciiTheme="minorHAnsi" w:hAnsiTheme="minorHAnsi"/>
            <w:kern w:val="2"/>
            <w14:ligatures w14:val="standardContextual"/>
          </w:rPr>
          <w:tab/>
        </w:r>
        <w:r w:rsidR="00FA4D37" w:rsidRPr="0018386D">
          <w:rPr>
            <w:rStyle w:val="Hyperlink"/>
          </w:rPr>
          <w:t>Refrigerant use</w:t>
        </w:r>
        <w:r w:rsidR="00FA4D37" w:rsidRPr="0018386D">
          <w:rPr>
            <w:webHidden/>
          </w:rPr>
          <w:tab/>
        </w:r>
        <w:r w:rsidR="00FA4D37" w:rsidRPr="0018386D">
          <w:rPr>
            <w:webHidden/>
          </w:rPr>
          <w:fldChar w:fldCharType="begin"/>
        </w:r>
        <w:r w:rsidR="00FA4D37" w:rsidRPr="0018386D">
          <w:rPr>
            <w:webHidden/>
          </w:rPr>
          <w:instrText xml:space="preserve"> PAGEREF _Toc140048897 \h </w:instrText>
        </w:r>
        <w:r w:rsidR="00FA4D37" w:rsidRPr="0018386D">
          <w:rPr>
            <w:webHidden/>
          </w:rPr>
        </w:r>
        <w:r w:rsidR="00FA4D37" w:rsidRPr="0018386D">
          <w:rPr>
            <w:webHidden/>
          </w:rPr>
          <w:fldChar w:fldCharType="separate"/>
        </w:r>
        <w:r w:rsidR="00FA4D37" w:rsidRPr="0018386D">
          <w:rPr>
            <w:webHidden/>
          </w:rPr>
          <w:t>35</w:t>
        </w:r>
        <w:r w:rsidR="00FA4D37" w:rsidRPr="0018386D">
          <w:rPr>
            <w:webHidden/>
          </w:rPr>
          <w:fldChar w:fldCharType="end"/>
        </w:r>
      </w:hyperlink>
    </w:p>
    <w:p w14:paraId="7D131BB2" w14:textId="5890F125" w:rsidR="00FA4D37" w:rsidRPr="0018386D" w:rsidRDefault="00C7627E">
      <w:pPr>
        <w:pStyle w:val="TOC2"/>
        <w:rPr>
          <w:rFonts w:asciiTheme="minorHAnsi" w:hAnsiTheme="minorHAnsi"/>
          <w:kern w:val="2"/>
          <w14:ligatures w14:val="standardContextual"/>
        </w:rPr>
      </w:pPr>
      <w:hyperlink w:anchor="_Toc140048898" w:history="1">
        <w:r w:rsidR="00FA4D37" w:rsidRPr="0018386D">
          <w:rPr>
            <w:rStyle w:val="Hyperlink"/>
          </w:rPr>
          <w:t>4.3.</w:t>
        </w:r>
        <w:r w:rsidR="00FA4D37" w:rsidRPr="0018386D">
          <w:rPr>
            <w:rFonts w:asciiTheme="minorHAnsi" w:hAnsiTheme="minorHAnsi"/>
            <w:kern w:val="2"/>
            <w14:ligatures w14:val="standardContextual"/>
          </w:rPr>
          <w:tab/>
        </w:r>
        <w:r w:rsidR="00FA4D37" w:rsidRPr="0018386D">
          <w:rPr>
            <w:rStyle w:val="Hyperlink"/>
          </w:rPr>
          <w:t>Global warming potentials (GWPs) of refrigerants and other GHGs</w:t>
        </w:r>
        <w:r w:rsidR="00FA4D37" w:rsidRPr="0018386D">
          <w:rPr>
            <w:webHidden/>
          </w:rPr>
          <w:tab/>
        </w:r>
        <w:r w:rsidR="00FA4D37" w:rsidRPr="0018386D">
          <w:rPr>
            <w:webHidden/>
          </w:rPr>
          <w:fldChar w:fldCharType="begin"/>
        </w:r>
        <w:r w:rsidR="00FA4D37" w:rsidRPr="0018386D">
          <w:rPr>
            <w:webHidden/>
          </w:rPr>
          <w:instrText xml:space="preserve"> PAGEREF _Toc140048898 \h </w:instrText>
        </w:r>
        <w:r w:rsidR="00FA4D37" w:rsidRPr="0018386D">
          <w:rPr>
            <w:webHidden/>
          </w:rPr>
        </w:r>
        <w:r w:rsidR="00FA4D37" w:rsidRPr="0018386D">
          <w:rPr>
            <w:webHidden/>
          </w:rPr>
          <w:fldChar w:fldCharType="separate"/>
        </w:r>
        <w:r w:rsidR="00FA4D37" w:rsidRPr="0018386D">
          <w:rPr>
            <w:webHidden/>
          </w:rPr>
          <w:t>35</w:t>
        </w:r>
        <w:r w:rsidR="00FA4D37" w:rsidRPr="0018386D">
          <w:rPr>
            <w:webHidden/>
          </w:rPr>
          <w:fldChar w:fldCharType="end"/>
        </w:r>
      </w:hyperlink>
    </w:p>
    <w:p w14:paraId="611A8468" w14:textId="202B8E04" w:rsidR="00FA4D37" w:rsidRPr="0018386D" w:rsidRDefault="00C7627E">
      <w:pPr>
        <w:pStyle w:val="TOC2"/>
        <w:rPr>
          <w:rFonts w:asciiTheme="minorHAnsi" w:hAnsiTheme="minorHAnsi"/>
          <w:kern w:val="2"/>
          <w14:ligatures w14:val="standardContextual"/>
        </w:rPr>
      </w:pPr>
      <w:hyperlink w:anchor="_Toc140048899" w:history="1">
        <w:r w:rsidR="00FA4D37" w:rsidRPr="0018386D">
          <w:rPr>
            <w:rStyle w:val="Hyperlink"/>
          </w:rPr>
          <w:t>4.4.</w:t>
        </w:r>
        <w:r w:rsidR="00FA4D37" w:rsidRPr="0018386D">
          <w:rPr>
            <w:rFonts w:asciiTheme="minorHAnsi" w:hAnsiTheme="minorHAnsi"/>
            <w:kern w:val="2"/>
            <w14:ligatures w14:val="standardContextual"/>
          </w:rPr>
          <w:tab/>
        </w:r>
        <w:r w:rsidR="00FA4D37" w:rsidRPr="0018386D">
          <w:rPr>
            <w:rStyle w:val="Hyperlink"/>
          </w:rPr>
          <w:t>Medical gases use</w:t>
        </w:r>
        <w:r w:rsidR="00FA4D37" w:rsidRPr="0018386D">
          <w:rPr>
            <w:webHidden/>
          </w:rPr>
          <w:tab/>
        </w:r>
        <w:r w:rsidR="00FA4D37" w:rsidRPr="0018386D">
          <w:rPr>
            <w:webHidden/>
          </w:rPr>
          <w:fldChar w:fldCharType="begin"/>
        </w:r>
        <w:r w:rsidR="00FA4D37" w:rsidRPr="0018386D">
          <w:rPr>
            <w:webHidden/>
          </w:rPr>
          <w:instrText xml:space="preserve"> PAGEREF _Toc140048899 \h </w:instrText>
        </w:r>
        <w:r w:rsidR="00FA4D37" w:rsidRPr="0018386D">
          <w:rPr>
            <w:webHidden/>
          </w:rPr>
        </w:r>
        <w:r w:rsidR="00FA4D37" w:rsidRPr="0018386D">
          <w:rPr>
            <w:webHidden/>
          </w:rPr>
          <w:fldChar w:fldCharType="separate"/>
        </w:r>
        <w:r w:rsidR="00FA4D37" w:rsidRPr="0018386D">
          <w:rPr>
            <w:webHidden/>
          </w:rPr>
          <w:t>40</w:t>
        </w:r>
        <w:r w:rsidR="00FA4D37" w:rsidRPr="0018386D">
          <w:rPr>
            <w:webHidden/>
          </w:rPr>
          <w:fldChar w:fldCharType="end"/>
        </w:r>
      </w:hyperlink>
    </w:p>
    <w:p w14:paraId="515676A7" w14:textId="498F46FB" w:rsidR="00FA4D37" w:rsidRPr="0018386D" w:rsidRDefault="00C7627E">
      <w:pPr>
        <w:pStyle w:val="TOC1"/>
        <w:rPr>
          <w:rFonts w:asciiTheme="minorHAnsi" w:hAnsiTheme="minorHAnsi"/>
          <w:noProof/>
          <w:kern w:val="2"/>
          <w14:ligatures w14:val="standardContextual"/>
        </w:rPr>
      </w:pPr>
      <w:hyperlink w:anchor="_Toc140048900" w:history="1">
        <w:r w:rsidR="00FA4D37" w:rsidRPr="0018386D">
          <w:rPr>
            <w:rStyle w:val="Hyperlink"/>
            <w:noProof/>
          </w:rPr>
          <w:t>5.</w:t>
        </w:r>
        <w:r w:rsidR="00FA4D37" w:rsidRPr="0018386D">
          <w:rPr>
            <w:rFonts w:asciiTheme="minorHAnsi" w:hAnsiTheme="minorHAnsi"/>
            <w:noProof/>
            <w:kern w:val="2"/>
            <w14:ligatures w14:val="standardContextual"/>
          </w:rPr>
          <w:tab/>
        </w:r>
        <w:r w:rsidR="00FA4D37" w:rsidRPr="0018386D">
          <w:rPr>
            <w:rStyle w:val="Hyperlink"/>
            <w:noProof/>
          </w:rPr>
          <w:t>Purchased electricity, heat and steam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_Toc140048900 \h </w:instrText>
        </w:r>
        <w:r w:rsidR="00FA4D37" w:rsidRPr="0018386D">
          <w:rPr>
            <w:noProof/>
            <w:webHidden/>
          </w:rPr>
        </w:r>
        <w:r w:rsidR="00FA4D37" w:rsidRPr="0018386D">
          <w:rPr>
            <w:noProof/>
            <w:webHidden/>
          </w:rPr>
          <w:fldChar w:fldCharType="separate"/>
        </w:r>
        <w:r w:rsidR="00FA4D37" w:rsidRPr="0018386D">
          <w:rPr>
            <w:noProof/>
            <w:webHidden/>
          </w:rPr>
          <w:t>42</w:t>
        </w:r>
        <w:r w:rsidR="00FA4D37" w:rsidRPr="0018386D">
          <w:rPr>
            <w:noProof/>
            <w:webHidden/>
          </w:rPr>
          <w:fldChar w:fldCharType="end"/>
        </w:r>
      </w:hyperlink>
    </w:p>
    <w:p w14:paraId="7D12BB95" w14:textId="607D1BB5" w:rsidR="00FA4D37" w:rsidRPr="0018386D" w:rsidRDefault="00C7627E">
      <w:pPr>
        <w:pStyle w:val="TOC2"/>
        <w:rPr>
          <w:rFonts w:asciiTheme="minorHAnsi" w:hAnsiTheme="minorHAnsi"/>
          <w:kern w:val="2"/>
          <w14:ligatures w14:val="standardContextual"/>
        </w:rPr>
      </w:pPr>
      <w:hyperlink w:anchor="_Toc140048901" w:history="1">
        <w:r w:rsidR="00FA4D37" w:rsidRPr="0018386D">
          <w:rPr>
            <w:rStyle w:val="Hyperlink"/>
          </w:rPr>
          <w:t>5.1.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_Toc140048901 \h </w:instrText>
        </w:r>
        <w:r w:rsidR="00FA4D37" w:rsidRPr="0018386D">
          <w:rPr>
            <w:webHidden/>
          </w:rPr>
        </w:r>
        <w:r w:rsidR="00FA4D37" w:rsidRPr="0018386D">
          <w:rPr>
            <w:webHidden/>
          </w:rPr>
          <w:fldChar w:fldCharType="separate"/>
        </w:r>
        <w:r w:rsidR="00FA4D37" w:rsidRPr="0018386D">
          <w:rPr>
            <w:webHidden/>
          </w:rPr>
          <w:t>42</w:t>
        </w:r>
        <w:r w:rsidR="00FA4D37" w:rsidRPr="0018386D">
          <w:rPr>
            <w:webHidden/>
          </w:rPr>
          <w:fldChar w:fldCharType="end"/>
        </w:r>
      </w:hyperlink>
    </w:p>
    <w:p w14:paraId="52B337F1" w14:textId="3FA07AD0" w:rsidR="00FA4D37" w:rsidRPr="0018386D" w:rsidRDefault="00C7627E">
      <w:pPr>
        <w:pStyle w:val="TOC2"/>
        <w:rPr>
          <w:rFonts w:asciiTheme="minorHAnsi" w:hAnsiTheme="minorHAnsi"/>
          <w:kern w:val="2"/>
          <w14:ligatures w14:val="standardContextual"/>
        </w:rPr>
      </w:pPr>
      <w:hyperlink w:anchor="_Toc140048902" w:history="1">
        <w:r w:rsidR="00FA4D37" w:rsidRPr="0018386D">
          <w:rPr>
            <w:rStyle w:val="Hyperlink"/>
          </w:rPr>
          <w:t>5.2.</w:t>
        </w:r>
        <w:r w:rsidR="00FA4D37" w:rsidRPr="0018386D">
          <w:rPr>
            <w:rFonts w:asciiTheme="minorHAnsi" w:hAnsiTheme="minorHAnsi"/>
            <w:kern w:val="2"/>
            <w14:ligatures w14:val="standardContextual"/>
          </w:rPr>
          <w:tab/>
        </w:r>
        <w:r w:rsidR="00FA4D37" w:rsidRPr="0018386D">
          <w:rPr>
            <w:rStyle w:val="Hyperlink"/>
          </w:rPr>
          <w:t>Indirect Scope 2 emissions from purchased electricity from the New Zealand grid – using the location</w:t>
        </w:r>
        <w:r w:rsidR="00FA4D37" w:rsidRPr="0018386D">
          <w:rPr>
            <w:rStyle w:val="Hyperlink"/>
          </w:rPr>
          <w:noBreakHyphen/>
          <w:t>based method</w:t>
        </w:r>
        <w:r w:rsidR="00FA4D37" w:rsidRPr="0018386D">
          <w:rPr>
            <w:webHidden/>
          </w:rPr>
          <w:tab/>
        </w:r>
        <w:r w:rsidR="00FA4D37" w:rsidRPr="0018386D">
          <w:rPr>
            <w:webHidden/>
          </w:rPr>
          <w:fldChar w:fldCharType="begin"/>
        </w:r>
        <w:r w:rsidR="00FA4D37" w:rsidRPr="0018386D">
          <w:rPr>
            <w:webHidden/>
          </w:rPr>
          <w:instrText xml:space="preserve"> PAGEREF _Toc140048902 \h </w:instrText>
        </w:r>
        <w:r w:rsidR="00FA4D37" w:rsidRPr="0018386D">
          <w:rPr>
            <w:webHidden/>
          </w:rPr>
        </w:r>
        <w:r w:rsidR="00FA4D37" w:rsidRPr="0018386D">
          <w:rPr>
            <w:webHidden/>
          </w:rPr>
          <w:fldChar w:fldCharType="separate"/>
        </w:r>
        <w:r w:rsidR="00FA4D37" w:rsidRPr="0018386D">
          <w:rPr>
            <w:webHidden/>
          </w:rPr>
          <w:t>42</w:t>
        </w:r>
        <w:r w:rsidR="00FA4D37" w:rsidRPr="0018386D">
          <w:rPr>
            <w:webHidden/>
          </w:rPr>
          <w:fldChar w:fldCharType="end"/>
        </w:r>
      </w:hyperlink>
    </w:p>
    <w:p w14:paraId="4075F949" w14:textId="79B70B94" w:rsidR="00FA4D37" w:rsidRPr="0018386D" w:rsidRDefault="00C7627E">
      <w:pPr>
        <w:pStyle w:val="TOC2"/>
        <w:rPr>
          <w:rFonts w:asciiTheme="minorHAnsi" w:hAnsiTheme="minorHAnsi"/>
          <w:kern w:val="2"/>
          <w14:ligatures w14:val="standardContextual"/>
        </w:rPr>
      </w:pPr>
      <w:hyperlink w:anchor="_Toc140048903" w:history="1">
        <w:r w:rsidR="00FA4D37" w:rsidRPr="0018386D">
          <w:rPr>
            <w:rStyle w:val="Hyperlink"/>
          </w:rPr>
          <w:t>5.3.</w:t>
        </w:r>
        <w:r w:rsidR="00FA4D37" w:rsidRPr="0018386D">
          <w:rPr>
            <w:rFonts w:asciiTheme="minorHAnsi" w:hAnsiTheme="minorHAnsi"/>
            <w:kern w:val="2"/>
            <w14:ligatures w14:val="standardContextual"/>
          </w:rPr>
          <w:tab/>
        </w:r>
        <w:r w:rsidR="00FA4D37" w:rsidRPr="0018386D">
          <w:rPr>
            <w:rStyle w:val="Hyperlink"/>
          </w:rPr>
          <w:t>Transmission and distribution losses for electricity</w:t>
        </w:r>
        <w:r w:rsidR="00FA4D37" w:rsidRPr="0018386D">
          <w:rPr>
            <w:webHidden/>
          </w:rPr>
          <w:tab/>
        </w:r>
        <w:r w:rsidR="00FA4D37" w:rsidRPr="0018386D">
          <w:rPr>
            <w:webHidden/>
          </w:rPr>
          <w:fldChar w:fldCharType="begin"/>
        </w:r>
        <w:r w:rsidR="00FA4D37" w:rsidRPr="0018386D">
          <w:rPr>
            <w:webHidden/>
          </w:rPr>
          <w:instrText xml:space="preserve"> PAGEREF _Toc140048903 \h </w:instrText>
        </w:r>
        <w:r w:rsidR="00FA4D37" w:rsidRPr="0018386D">
          <w:rPr>
            <w:webHidden/>
          </w:rPr>
        </w:r>
        <w:r w:rsidR="00FA4D37" w:rsidRPr="0018386D">
          <w:rPr>
            <w:webHidden/>
          </w:rPr>
          <w:fldChar w:fldCharType="separate"/>
        </w:r>
        <w:r w:rsidR="00FA4D37" w:rsidRPr="0018386D">
          <w:rPr>
            <w:webHidden/>
          </w:rPr>
          <w:t>45</w:t>
        </w:r>
        <w:r w:rsidR="00FA4D37" w:rsidRPr="0018386D">
          <w:rPr>
            <w:webHidden/>
          </w:rPr>
          <w:fldChar w:fldCharType="end"/>
        </w:r>
      </w:hyperlink>
    </w:p>
    <w:p w14:paraId="08E92C1B" w14:textId="6F16D397" w:rsidR="00FA4D37" w:rsidRPr="0018386D" w:rsidRDefault="00C7627E">
      <w:pPr>
        <w:pStyle w:val="TOC2"/>
        <w:rPr>
          <w:rFonts w:asciiTheme="minorHAnsi" w:hAnsiTheme="minorHAnsi"/>
          <w:kern w:val="2"/>
          <w14:ligatures w14:val="standardContextual"/>
        </w:rPr>
      </w:pPr>
      <w:hyperlink w:anchor="_Toc140048904" w:history="1">
        <w:r w:rsidR="00FA4D37" w:rsidRPr="0018386D">
          <w:rPr>
            <w:rStyle w:val="Hyperlink"/>
          </w:rPr>
          <w:t>5.4.</w:t>
        </w:r>
        <w:r w:rsidR="00FA4D37" w:rsidRPr="0018386D">
          <w:rPr>
            <w:rFonts w:asciiTheme="minorHAnsi" w:hAnsiTheme="minorHAnsi"/>
            <w:kern w:val="2"/>
            <w14:ligatures w14:val="standardContextual"/>
          </w:rPr>
          <w:tab/>
        </w:r>
        <w:r w:rsidR="00FA4D37" w:rsidRPr="0018386D">
          <w:rPr>
            <w:rStyle w:val="Hyperlink"/>
          </w:rPr>
          <w:t>Imported heat and steam</w:t>
        </w:r>
        <w:r w:rsidR="00FA4D37" w:rsidRPr="0018386D">
          <w:rPr>
            <w:webHidden/>
          </w:rPr>
          <w:tab/>
        </w:r>
        <w:r w:rsidR="00FA4D37" w:rsidRPr="0018386D">
          <w:rPr>
            <w:webHidden/>
          </w:rPr>
          <w:fldChar w:fldCharType="begin"/>
        </w:r>
        <w:r w:rsidR="00FA4D37" w:rsidRPr="0018386D">
          <w:rPr>
            <w:webHidden/>
          </w:rPr>
          <w:instrText xml:space="preserve"> PAGEREF _Toc140048904 \h </w:instrText>
        </w:r>
        <w:r w:rsidR="00FA4D37" w:rsidRPr="0018386D">
          <w:rPr>
            <w:webHidden/>
          </w:rPr>
        </w:r>
        <w:r w:rsidR="00FA4D37" w:rsidRPr="0018386D">
          <w:rPr>
            <w:webHidden/>
          </w:rPr>
          <w:fldChar w:fldCharType="separate"/>
        </w:r>
        <w:r w:rsidR="00FA4D37" w:rsidRPr="0018386D">
          <w:rPr>
            <w:webHidden/>
          </w:rPr>
          <w:t>47</w:t>
        </w:r>
        <w:r w:rsidR="00FA4D37" w:rsidRPr="0018386D">
          <w:rPr>
            <w:webHidden/>
          </w:rPr>
          <w:fldChar w:fldCharType="end"/>
        </w:r>
      </w:hyperlink>
    </w:p>
    <w:p w14:paraId="744DBF54" w14:textId="2E211E7F" w:rsidR="00FA4D37" w:rsidRPr="0018386D" w:rsidRDefault="00C7627E">
      <w:pPr>
        <w:pStyle w:val="TOC2"/>
        <w:rPr>
          <w:rFonts w:asciiTheme="minorHAnsi" w:hAnsiTheme="minorHAnsi"/>
          <w:kern w:val="2"/>
          <w14:ligatures w14:val="standardContextual"/>
        </w:rPr>
      </w:pPr>
      <w:hyperlink w:anchor="_Toc140048905" w:history="1">
        <w:r w:rsidR="00FA4D37" w:rsidRPr="0018386D">
          <w:rPr>
            <w:rStyle w:val="Hyperlink"/>
          </w:rPr>
          <w:t>5.5.</w:t>
        </w:r>
        <w:r w:rsidR="00FA4D37" w:rsidRPr="0018386D">
          <w:rPr>
            <w:rFonts w:asciiTheme="minorHAnsi" w:hAnsiTheme="minorHAnsi"/>
            <w:kern w:val="2"/>
            <w14:ligatures w14:val="standardContextual"/>
          </w:rPr>
          <w:tab/>
        </w:r>
        <w:r w:rsidR="00FA4D37" w:rsidRPr="0018386D">
          <w:rPr>
            <w:rStyle w:val="Hyperlink"/>
          </w:rPr>
          <w:t>Geothermal energy</w:t>
        </w:r>
        <w:r w:rsidR="00FA4D37" w:rsidRPr="0018386D">
          <w:rPr>
            <w:webHidden/>
          </w:rPr>
          <w:tab/>
        </w:r>
        <w:r w:rsidR="00FA4D37" w:rsidRPr="0018386D">
          <w:rPr>
            <w:webHidden/>
          </w:rPr>
          <w:fldChar w:fldCharType="begin"/>
        </w:r>
        <w:r w:rsidR="00FA4D37" w:rsidRPr="0018386D">
          <w:rPr>
            <w:webHidden/>
          </w:rPr>
          <w:instrText xml:space="preserve"> PAGEREF _Toc140048905 \h </w:instrText>
        </w:r>
        <w:r w:rsidR="00FA4D37" w:rsidRPr="0018386D">
          <w:rPr>
            <w:webHidden/>
          </w:rPr>
        </w:r>
        <w:r w:rsidR="00FA4D37" w:rsidRPr="0018386D">
          <w:rPr>
            <w:webHidden/>
          </w:rPr>
          <w:fldChar w:fldCharType="separate"/>
        </w:r>
        <w:r w:rsidR="00FA4D37" w:rsidRPr="0018386D">
          <w:rPr>
            <w:webHidden/>
          </w:rPr>
          <w:t>47</w:t>
        </w:r>
        <w:r w:rsidR="00FA4D37" w:rsidRPr="0018386D">
          <w:rPr>
            <w:webHidden/>
          </w:rPr>
          <w:fldChar w:fldCharType="end"/>
        </w:r>
      </w:hyperlink>
    </w:p>
    <w:p w14:paraId="65B1EA35" w14:textId="6AA4ECAF" w:rsidR="00FA4D37" w:rsidRPr="0018386D" w:rsidRDefault="00C7627E">
      <w:pPr>
        <w:pStyle w:val="TOC1"/>
        <w:rPr>
          <w:rFonts w:asciiTheme="minorHAnsi" w:hAnsiTheme="minorHAnsi"/>
          <w:noProof/>
          <w:kern w:val="2"/>
          <w14:ligatures w14:val="standardContextual"/>
        </w:rPr>
      </w:pPr>
      <w:hyperlink w:anchor="_Toc140048906" w:history="1">
        <w:r w:rsidR="00FA4D37" w:rsidRPr="0018386D">
          <w:rPr>
            <w:rStyle w:val="Hyperlink"/>
            <w:noProof/>
          </w:rPr>
          <w:t>6.</w:t>
        </w:r>
        <w:r w:rsidR="00FA4D37" w:rsidRPr="0018386D">
          <w:rPr>
            <w:rFonts w:asciiTheme="minorHAnsi" w:hAnsiTheme="minorHAnsi"/>
            <w:noProof/>
            <w:kern w:val="2"/>
            <w14:ligatures w14:val="standardContextual"/>
          </w:rPr>
          <w:tab/>
        </w:r>
        <w:r w:rsidR="00FA4D37" w:rsidRPr="0018386D">
          <w:rPr>
            <w:rStyle w:val="Hyperlink"/>
            <w:noProof/>
          </w:rPr>
          <w:t>Indirect business-related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_Toc140048906 \h </w:instrText>
        </w:r>
        <w:r w:rsidR="00FA4D37" w:rsidRPr="0018386D">
          <w:rPr>
            <w:noProof/>
            <w:webHidden/>
          </w:rPr>
        </w:r>
        <w:r w:rsidR="00FA4D37" w:rsidRPr="0018386D">
          <w:rPr>
            <w:noProof/>
            <w:webHidden/>
          </w:rPr>
          <w:fldChar w:fldCharType="separate"/>
        </w:r>
        <w:r w:rsidR="00FA4D37" w:rsidRPr="0018386D">
          <w:rPr>
            <w:noProof/>
            <w:webHidden/>
          </w:rPr>
          <w:t>48</w:t>
        </w:r>
        <w:r w:rsidR="00FA4D37" w:rsidRPr="0018386D">
          <w:rPr>
            <w:noProof/>
            <w:webHidden/>
          </w:rPr>
          <w:fldChar w:fldCharType="end"/>
        </w:r>
      </w:hyperlink>
    </w:p>
    <w:p w14:paraId="7572D448" w14:textId="3311D8B9" w:rsidR="00FA4D37" w:rsidRPr="0018386D" w:rsidRDefault="00C7627E">
      <w:pPr>
        <w:pStyle w:val="TOC2"/>
        <w:rPr>
          <w:rFonts w:asciiTheme="minorHAnsi" w:hAnsiTheme="minorHAnsi"/>
          <w:kern w:val="2"/>
          <w14:ligatures w14:val="standardContextual"/>
        </w:rPr>
      </w:pPr>
      <w:hyperlink w:anchor="_Toc140048907" w:history="1">
        <w:r w:rsidR="00FA4D37" w:rsidRPr="0018386D">
          <w:rPr>
            <w:rStyle w:val="Hyperlink"/>
          </w:rPr>
          <w:t>6.1.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_Toc140048907 \h </w:instrText>
        </w:r>
        <w:r w:rsidR="00FA4D37" w:rsidRPr="0018386D">
          <w:rPr>
            <w:webHidden/>
          </w:rPr>
        </w:r>
        <w:r w:rsidR="00FA4D37" w:rsidRPr="0018386D">
          <w:rPr>
            <w:webHidden/>
          </w:rPr>
          <w:fldChar w:fldCharType="separate"/>
        </w:r>
        <w:r w:rsidR="00FA4D37" w:rsidRPr="0018386D">
          <w:rPr>
            <w:webHidden/>
          </w:rPr>
          <w:t>48</w:t>
        </w:r>
        <w:r w:rsidR="00FA4D37" w:rsidRPr="0018386D">
          <w:rPr>
            <w:webHidden/>
          </w:rPr>
          <w:fldChar w:fldCharType="end"/>
        </w:r>
      </w:hyperlink>
    </w:p>
    <w:p w14:paraId="5146D6F9" w14:textId="18E78E4D" w:rsidR="00FA4D37" w:rsidRPr="0018386D" w:rsidRDefault="00C7627E">
      <w:pPr>
        <w:pStyle w:val="TOC2"/>
        <w:rPr>
          <w:rFonts w:asciiTheme="minorHAnsi" w:hAnsiTheme="minorHAnsi"/>
          <w:kern w:val="2"/>
          <w14:ligatures w14:val="standardContextual"/>
        </w:rPr>
      </w:pPr>
      <w:hyperlink w:anchor="_Toc140048908" w:history="1">
        <w:r w:rsidR="00FA4D37" w:rsidRPr="0018386D">
          <w:rPr>
            <w:rStyle w:val="Hyperlink"/>
          </w:rPr>
          <w:t>6.2.</w:t>
        </w:r>
        <w:r w:rsidR="00FA4D37" w:rsidRPr="0018386D">
          <w:rPr>
            <w:rFonts w:asciiTheme="minorHAnsi" w:hAnsiTheme="minorHAnsi"/>
            <w:kern w:val="2"/>
            <w14:ligatures w14:val="standardContextual"/>
          </w:rPr>
          <w:tab/>
        </w:r>
        <w:r w:rsidR="00FA4D37" w:rsidRPr="0018386D">
          <w:rPr>
            <w:rStyle w:val="Hyperlink"/>
          </w:rPr>
          <w:t>Emissions associated with employees working from home</w:t>
        </w:r>
        <w:r w:rsidR="00FA4D37" w:rsidRPr="0018386D">
          <w:rPr>
            <w:webHidden/>
          </w:rPr>
          <w:tab/>
        </w:r>
        <w:r w:rsidR="00FA4D37" w:rsidRPr="0018386D">
          <w:rPr>
            <w:webHidden/>
          </w:rPr>
          <w:fldChar w:fldCharType="begin"/>
        </w:r>
        <w:r w:rsidR="00FA4D37" w:rsidRPr="0018386D">
          <w:rPr>
            <w:webHidden/>
          </w:rPr>
          <w:instrText xml:space="preserve"> PAGEREF _Toc140048908 \h </w:instrText>
        </w:r>
        <w:r w:rsidR="00FA4D37" w:rsidRPr="0018386D">
          <w:rPr>
            <w:webHidden/>
          </w:rPr>
        </w:r>
        <w:r w:rsidR="00FA4D37" w:rsidRPr="0018386D">
          <w:rPr>
            <w:webHidden/>
          </w:rPr>
          <w:fldChar w:fldCharType="separate"/>
        </w:r>
        <w:r w:rsidR="00FA4D37" w:rsidRPr="0018386D">
          <w:rPr>
            <w:webHidden/>
          </w:rPr>
          <w:t>48</w:t>
        </w:r>
        <w:r w:rsidR="00FA4D37" w:rsidRPr="0018386D">
          <w:rPr>
            <w:webHidden/>
          </w:rPr>
          <w:fldChar w:fldCharType="end"/>
        </w:r>
      </w:hyperlink>
    </w:p>
    <w:p w14:paraId="25B2025F" w14:textId="08262305" w:rsidR="00FA4D37" w:rsidRPr="0018386D" w:rsidRDefault="00C7627E">
      <w:pPr>
        <w:pStyle w:val="TOC2"/>
        <w:rPr>
          <w:rFonts w:asciiTheme="minorHAnsi" w:hAnsiTheme="minorHAnsi"/>
          <w:kern w:val="2"/>
          <w14:ligatures w14:val="standardContextual"/>
        </w:rPr>
      </w:pPr>
      <w:hyperlink w:anchor="_Toc140048909" w:history="1">
        <w:r w:rsidR="00FA4D37" w:rsidRPr="0018386D">
          <w:rPr>
            <w:rStyle w:val="Hyperlink"/>
          </w:rPr>
          <w:t>6.3.</w:t>
        </w:r>
        <w:r w:rsidR="00FA4D37" w:rsidRPr="0018386D">
          <w:rPr>
            <w:rFonts w:asciiTheme="minorHAnsi" w:hAnsiTheme="minorHAnsi"/>
            <w:kern w:val="2"/>
            <w14:ligatures w14:val="standardContextual"/>
          </w:rPr>
          <w:tab/>
        </w:r>
        <w:r w:rsidR="00FA4D37" w:rsidRPr="0018386D">
          <w:rPr>
            <w:rStyle w:val="Hyperlink"/>
          </w:rPr>
          <w:t>Guidance on the use of cloud-based data centres</w:t>
        </w:r>
        <w:r w:rsidR="00FA4D37" w:rsidRPr="0018386D">
          <w:rPr>
            <w:webHidden/>
          </w:rPr>
          <w:tab/>
        </w:r>
        <w:r w:rsidR="00FA4D37" w:rsidRPr="0018386D">
          <w:rPr>
            <w:webHidden/>
          </w:rPr>
          <w:fldChar w:fldCharType="begin"/>
        </w:r>
        <w:r w:rsidR="00FA4D37" w:rsidRPr="0018386D">
          <w:rPr>
            <w:webHidden/>
          </w:rPr>
          <w:instrText xml:space="preserve"> PAGEREF _Toc140048909 \h </w:instrText>
        </w:r>
        <w:r w:rsidR="00FA4D37" w:rsidRPr="0018386D">
          <w:rPr>
            <w:webHidden/>
          </w:rPr>
        </w:r>
        <w:r w:rsidR="00FA4D37" w:rsidRPr="0018386D">
          <w:rPr>
            <w:webHidden/>
          </w:rPr>
          <w:fldChar w:fldCharType="separate"/>
        </w:r>
        <w:r w:rsidR="00FA4D37" w:rsidRPr="0018386D">
          <w:rPr>
            <w:webHidden/>
          </w:rPr>
          <w:t>51</w:t>
        </w:r>
        <w:r w:rsidR="00FA4D37" w:rsidRPr="0018386D">
          <w:rPr>
            <w:webHidden/>
          </w:rPr>
          <w:fldChar w:fldCharType="end"/>
        </w:r>
      </w:hyperlink>
    </w:p>
    <w:p w14:paraId="3911D047" w14:textId="031CC921" w:rsidR="00FA4D37" w:rsidRPr="0018386D" w:rsidRDefault="00C7627E">
      <w:pPr>
        <w:pStyle w:val="TOC1"/>
        <w:rPr>
          <w:rFonts w:asciiTheme="minorHAnsi" w:hAnsiTheme="minorHAnsi"/>
          <w:noProof/>
          <w:kern w:val="2"/>
          <w14:ligatures w14:val="standardContextual"/>
        </w:rPr>
      </w:pPr>
      <w:hyperlink w:anchor="_Toc140048910" w:history="1">
        <w:r w:rsidR="00FA4D37" w:rsidRPr="0018386D">
          <w:rPr>
            <w:rStyle w:val="Hyperlink"/>
            <w:noProof/>
          </w:rPr>
          <w:t>7.</w:t>
        </w:r>
        <w:r w:rsidR="00FA4D37" w:rsidRPr="0018386D">
          <w:rPr>
            <w:rFonts w:asciiTheme="minorHAnsi" w:hAnsiTheme="minorHAnsi"/>
            <w:noProof/>
            <w:kern w:val="2"/>
            <w14:ligatures w14:val="standardContextual"/>
          </w:rPr>
          <w:tab/>
        </w:r>
        <w:r w:rsidR="00FA4D37" w:rsidRPr="0018386D">
          <w:rPr>
            <w:rStyle w:val="Hyperlink"/>
            <w:noProof/>
          </w:rPr>
          <w:t>Travel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_Toc140048910 \h </w:instrText>
        </w:r>
        <w:r w:rsidR="00FA4D37" w:rsidRPr="0018386D">
          <w:rPr>
            <w:noProof/>
            <w:webHidden/>
          </w:rPr>
        </w:r>
        <w:r w:rsidR="00FA4D37" w:rsidRPr="0018386D">
          <w:rPr>
            <w:noProof/>
            <w:webHidden/>
          </w:rPr>
          <w:fldChar w:fldCharType="separate"/>
        </w:r>
        <w:r w:rsidR="00FA4D37" w:rsidRPr="0018386D">
          <w:rPr>
            <w:noProof/>
            <w:webHidden/>
          </w:rPr>
          <w:t>52</w:t>
        </w:r>
        <w:r w:rsidR="00FA4D37" w:rsidRPr="0018386D">
          <w:rPr>
            <w:noProof/>
            <w:webHidden/>
          </w:rPr>
          <w:fldChar w:fldCharType="end"/>
        </w:r>
      </w:hyperlink>
    </w:p>
    <w:p w14:paraId="7B6FFE7E" w14:textId="7CD22C6D" w:rsidR="00FA4D37" w:rsidRPr="0018386D" w:rsidRDefault="00C7627E">
      <w:pPr>
        <w:pStyle w:val="TOC2"/>
        <w:rPr>
          <w:rFonts w:asciiTheme="minorHAnsi" w:hAnsiTheme="minorHAnsi"/>
          <w:kern w:val="2"/>
          <w14:ligatures w14:val="standardContextual"/>
        </w:rPr>
      </w:pPr>
      <w:hyperlink w:anchor="_Toc140048911" w:history="1">
        <w:r w:rsidR="00FA4D37" w:rsidRPr="0018386D">
          <w:rPr>
            <w:rStyle w:val="Hyperlink"/>
          </w:rPr>
          <w:t>7.1.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_Toc140048911 \h </w:instrText>
        </w:r>
        <w:r w:rsidR="00FA4D37" w:rsidRPr="0018386D">
          <w:rPr>
            <w:webHidden/>
          </w:rPr>
        </w:r>
        <w:r w:rsidR="00FA4D37" w:rsidRPr="0018386D">
          <w:rPr>
            <w:webHidden/>
          </w:rPr>
          <w:fldChar w:fldCharType="separate"/>
        </w:r>
        <w:r w:rsidR="00FA4D37" w:rsidRPr="0018386D">
          <w:rPr>
            <w:webHidden/>
          </w:rPr>
          <w:t>52</w:t>
        </w:r>
        <w:r w:rsidR="00FA4D37" w:rsidRPr="0018386D">
          <w:rPr>
            <w:webHidden/>
          </w:rPr>
          <w:fldChar w:fldCharType="end"/>
        </w:r>
      </w:hyperlink>
    </w:p>
    <w:p w14:paraId="12832BA6" w14:textId="4F7D9BAA" w:rsidR="00FA4D37" w:rsidRPr="0018386D" w:rsidRDefault="00C7627E">
      <w:pPr>
        <w:pStyle w:val="TOC2"/>
        <w:rPr>
          <w:rFonts w:asciiTheme="minorHAnsi" w:hAnsiTheme="minorHAnsi"/>
          <w:kern w:val="2"/>
          <w14:ligatures w14:val="standardContextual"/>
        </w:rPr>
      </w:pPr>
      <w:hyperlink w:anchor="_Toc140048912" w:history="1">
        <w:r w:rsidR="00FA4D37" w:rsidRPr="0018386D">
          <w:rPr>
            <w:rStyle w:val="Hyperlink"/>
          </w:rPr>
          <w:t>7.2.</w:t>
        </w:r>
        <w:r w:rsidR="00FA4D37" w:rsidRPr="0018386D">
          <w:rPr>
            <w:rFonts w:asciiTheme="minorHAnsi" w:hAnsiTheme="minorHAnsi"/>
            <w:kern w:val="2"/>
            <w14:ligatures w14:val="standardContextual"/>
          </w:rPr>
          <w:tab/>
        </w:r>
        <w:r w:rsidR="00FA4D37" w:rsidRPr="0018386D">
          <w:rPr>
            <w:rStyle w:val="Hyperlink"/>
          </w:rPr>
          <w:t>Passenger vehicles</w:t>
        </w:r>
        <w:r w:rsidR="00FA4D37" w:rsidRPr="0018386D">
          <w:rPr>
            <w:webHidden/>
          </w:rPr>
          <w:tab/>
        </w:r>
        <w:r w:rsidR="00FA4D37" w:rsidRPr="0018386D">
          <w:rPr>
            <w:webHidden/>
          </w:rPr>
          <w:fldChar w:fldCharType="begin"/>
        </w:r>
        <w:r w:rsidR="00FA4D37" w:rsidRPr="0018386D">
          <w:rPr>
            <w:webHidden/>
          </w:rPr>
          <w:instrText xml:space="preserve"> PAGEREF _Toc140048912 \h </w:instrText>
        </w:r>
        <w:r w:rsidR="00FA4D37" w:rsidRPr="0018386D">
          <w:rPr>
            <w:webHidden/>
          </w:rPr>
        </w:r>
        <w:r w:rsidR="00FA4D37" w:rsidRPr="0018386D">
          <w:rPr>
            <w:webHidden/>
          </w:rPr>
          <w:fldChar w:fldCharType="separate"/>
        </w:r>
        <w:r w:rsidR="00FA4D37" w:rsidRPr="0018386D">
          <w:rPr>
            <w:webHidden/>
          </w:rPr>
          <w:t>53</w:t>
        </w:r>
        <w:r w:rsidR="00FA4D37" w:rsidRPr="0018386D">
          <w:rPr>
            <w:webHidden/>
          </w:rPr>
          <w:fldChar w:fldCharType="end"/>
        </w:r>
      </w:hyperlink>
    </w:p>
    <w:p w14:paraId="4D2E4D28" w14:textId="6D71EAD1" w:rsidR="00FA4D37" w:rsidRPr="0018386D" w:rsidRDefault="00C7627E">
      <w:pPr>
        <w:pStyle w:val="TOC2"/>
        <w:rPr>
          <w:rFonts w:asciiTheme="minorHAnsi" w:hAnsiTheme="minorHAnsi"/>
          <w:kern w:val="2"/>
          <w14:ligatures w14:val="standardContextual"/>
        </w:rPr>
      </w:pPr>
      <w:hyperlink w:anchor="_Toc140048913" w:history="1">
        <w:r w:rsidR="00FA4D37" w:rsidRPr="0018386D">
          <w:rPr>
            <w:rStyle w:val="Hyperlink"/>
          </w:rPr>
          <w:t>7.3.</w:t>
        </w:r>
        <w:r w:rsidR="00FA4D37" w:rsidRPr="0018386D">
          <w:rPr>
            <w:rFonts w:asciiTheme="minorHAnsi" w:hAnsiTheme="minorHAnsi"/>
            <w:kern w:val="2"/>
            <w14:ligatures w14:val="standardContextual"/>
          </w:rPr>
          <w:tab/>
        </w:r>
        <w:r w:rsidR="00FA4D37" w:rsidRPr="0018386D">
          <w:rPr>
            <w:rStyle w:val="Hyperlink"/>
          </w:rPr>
          <w:t>Public transport passenger travel</w:t>
        </w:r>
        <w:r w:rsidR="00FA4D37" w:rsidRPr="0018386D">
          <w:rPr>
            <w:webHidden/>
          </w:rPr>
          <w:tab/>
        </w:r>
        <w:r w:rsidR="00FA4D37" w:rsidRPr="0018386D">
          <w:rPr>
            <w:webHidden/>
          </w:rPr>
          <w:fldChar w:fldCharType="begin"/>
        </w:r>
        <w:r w:rsidR="00FA4D37" w:rsidRPr="0018386D">
          <w:rPr>
            <w:webHidden/>
          </w:rPr>
          <w:instrText xml:space="preserve"> PAGEREF _Toc140048913 \h </w:instrText>
        </w:r>
        <w:r w:rsidR="00FA4D37" w:rsidRPr="0018386D">
          <w:rPr>
            <w:webHidden/>
          </w:rPr>
        </w:r>
        <w:r w:rsidR="00FA4D37" w:rsidRPr="0018386D">
          <w:rPr>
            <w:webHidden/>
          </w:rPr>
          <w:fldChar w:fldCharType="separate"/>
        </w:r>
        <w:r w:rsidR="00FA4D37" w:rsidRPr="0018386D">
          <w:rPr>
            <w:webHidden/>
          </w:rPr>
          <w:t>63</w:t>
        </w:r>
        <w:r w:rsidR="00FA4D37" w:rsidRPr="0018386D">
          <w:rPr>
            <w:webHidden/>
          </w:rPr>
          <w:fldChar w:fldCharType="end"/>
        </w:r>
      </w:hyperlink>
    </w:p>
    <w:p w14:paraId="0452C6CF" w14:textId="5845168D" w:rsidR="00FA4D37" w:rsidRPr="0018386D" w:rsidRDefault="00C7627E">
      <w:pPr>
        <w:pStyle w:val="TOC2"/>
        <w:rPr>
          <w:rFonts w:asciiTheme="minorHAnsi" w:hAnsiTheme="minorHAnsi"/>
          <w:kern w:val="2"/>
          <w14:ligatures w14:val="standardContextual"/>
        </w:rPr>
      </w:pPr>
      <w:hyperlink w:anchor="_Toc140048914" w:history="1">
        <w:r w:rsidR="00FA4D37" w:rsidRPr="0018386D">
          <w:rPr>
            <w:rStyle w:val="Hyperlink"/>
          </w:rPr>
          <w:t>7.4.</w:t>
        </w:r>
        <w:r w:rsidR="00FA4D37" w:rsidRPr="0018386D">
          <w:rPr>
            <w:rFonts w:asciiTheme="minorHAnsi" w:hAnsiTheme="minorHAnsi"/>
            <w:kern w:val="2"/>
            <w14:ligatures w14:val="standardContextual"/>
          </w:rPr>
          <w:tab/>
        </w:r>
        <w:r w:rsidR="00FA4D37" w:rsidRPr="0018386D">
          <w:rPr>
            <w:rStyle w:val="Hyperlink"/>
          </w:rPr>
          <w:t>Public transport vehicles</w:t>
        </w:r>
        <w:r w:rsidR="00FA4D37" w:rsidRPr="0018386D">
          <w:rPr>
            <w:webHidden/>
          </w:rPr>
          <w:tab/>
        </w:r>
        <w:r w:rsidR="00FA4D37" w:rsidRPr="0018386D">
          <w:rPr>
            <w:webHidden/>
          </w:rPr>
          <w:fldChar w:fldCharType="begin"/>
        </w:r>
        <w:r w:rsidR="00FA4D37" w:rsidRPr="0018386D">
          <w:rPr>
            <w:webHidden/>
          </w:rPr>
          <w:instrText xml:space="preserve"> PAGEREF _Toc140048914 \h </w:instrText>
        </w:r>
        <w:r w:rsidR="00FA4D37" w:rsidRPr="0018386D">
          <w:rPr>
            <w:webHidden/>
          </w:rPr>
        </w:r>
        <w:r w:rsidR="00FA4D37" w:rsidRPr="0018386D">
          <w:rPr>
            <w:webHidden/>
          </w:rPr>
          <w:fldChar w:fldCharType="separate"/>
        </w:r>
        <w:r w:rsidR="00FA4D37" w:rsidRPr="0018386D">
          <w:rPr>
            <w:webHidden/>
          </w:rPr>
          <w:t>66</w:t>
        </w:r>
        <w:r w:rsidR="00FA4D37" w:rsidRPr="0018386D">
          <w:rPr>
            <w:webHidden/>
          </w:rPr>
          <w:fldChar w:fldCharType="end"/>
        </w:r>
      </w:hyperlink>
    </w:p>
    <w:p w14:paraId="76A1AD6A" w14:textId="09BEA018" w:rsidR="00FA4D37" w:rsidRPr="0018386D" w:rsidRDefault="00C7627E">
      <w:pPr>
        <w:pStyle w:val="TOC2"/>
        <w:rPr>
          <w:rFonts w:asciiTheme="minorHAnsi" w:hAnsiTheme="minorHAnsi"/>
          <w:kern w:val="2"/>
          <w14:ligatures w14:val="standardContextual"/>
        </w:rPr>
      </w:pPr>
      <w:hyperlink w:anchor="_Toc140048915" w:history="1">
        <w:r w:rsidR="00FA4D37" w:rsidRPr="0018386D">
          <w:rPr>
            <w:rStyle w:val="Hyperlink"/>
          </w:rPr>
          <w:t>7.5.</w:t>
        </w:r>
        <w:r w:rsidR="00FA4D37" w:rsidRPr="0018386D">
          <w:rPr>
            <w:rFonts w:asciiTheme="minorHAnsi" w:hAnsiTheme="minorHAnsi"/>
            <w:kern w:val="2"/>
            <w14:ligatures w14:val="standardContextual"/>
          </w:rPr>
          <w:tab/>
        </w:r>
        <w:r w:rsidR="00FA4D37" w:rsidRPr="0018386D">
          <w:rPr>
            <w:rStyle w:val="Hyperlink"/>
          </w:rPr>
          <w:t>Air travel</w:t>
        </w:r>
        <w:r w:rsidR="00FA4D37" w:rsidRPr="0018386D">
          <w:rPr>
            <w:webHidden/>
          </w:rPr>
          <w:tab/>
        </w:r>
        <w:r w:rsidR="00FA4D37" w:rsidRPr="0018386D">
          <w:rPr>
            <w:webHidden/>
          </w:rPr>
          <w:fldChar w:fldCharType="begin"/>
        </w:r>
        <w:r w:rsidR="00FA4D37" w:rsidRPr="0018386D">
          <w:rPr>
            <w:webHidden/>
          </w:rPr>
          <w:instrText xml:space="preserve"> PAGEREF _Toc140048915 \h </w:instrText>
        </w:r>
        <w:r w:rsidR="00FA4D37" w:rsidRPr="0018386D">
          <w:rPr>
            <w:webHidden/>
          </w:rPr>
        </w:r>
        <w:r w:rsidR="00FA4D37" w:rsidRPr="0018386D">
          <w:rPr>
            <w:webHidden/>
          </w:rPr>
          <w:fldChar w:fldCharType="separate"/>
        </w:r>
        <w:r w:rsidR="00FA4D37" w:rsidRPr="0018386D">
          <w:rPr>
            <w:webHidden/>
          </w:rPr>
          <w:t>68</w:t>
        </w:r>
        <w:r w:rsidR="00FA4D37" w:rsidRPr="0018386D">
          <w:rPr>
            <w:webHidden/>
          </w:rPr>
          <w:fldChar w:fldCharType="end"/>
        </w:r>
      </w:hyperlink>
    </w:p>
    <w:p w14:paraId="3386C0E2" w14:textId="00A20052" w:rsidR="00FA4D37" w:rsidRPr="0018386D" w:rsidRDefault="00C7627E">
      <w:pPr>
        <w:pStyle w:val="TOC2"/>
        <w:rPr>
          <w:rFonts w:asciiTheme="minorHAnsi" w:hAnsiTheme="minorHAnsi"/>
          <w:kern w:val="2"/>
          <w14:ligatures w14:val="standardContextual"/>
        </w:rPr>
      </w:pPr>
      <w:hyperlink w:anchor="_Toc140048916" w:history="1">
        <w:r w:rsidR="00FA4D37" w:rsidRPr="0018386D">
          <w:rPr>
            <w:rStyle w:val="Hyperlink"/>
          </w:rPr>
          <w:t>7.6.</w:t>
        </w:r>
        <w:r w:rsidR="00FA4D37" w:rsidRPr="0018386D">
          <w:rPr>
            <w:rFonts w:asciiTheme="minorHAnsi" w:hAnsiTheme="minorHAnsi"/>
            <w:kern w:val="2"/>
            <w14:ligatures w14:val="standardContextual"/>
          </w:rPr>
          <w:tab/>
        </w:r>
        <w:r w:rsidR="00FA4D37" w:rsidRPr="0018386D">
          <w:rPr>
            <w:rStyle w:val="Hyperlink"/>
          </w:rPr>
          <w:t>Helicopters</w:t>
        </w:r>
        <w:r w:rsidR="00FA4D37" w:rsidRPr="0018386D">
          <w:rPr>
            <w:webHidden/>
          </w:rPr>
          <w:tab/>
        </w:r>
        <w:r w:rsidR="00FA4D37" w:rsidRPr="0018386D">
          <w:rPr>
            <w:webHidden/>
          </w:rPr>
          <w:fldChar w:fldCharType="begin"/>
        </w:r>
        <w:r w:rsidR="00FA4D37" w:rsidRPr="0018386D">
          <w:rPr>
            <w:webHidden/>
          </w:rPr>
          <w:instrText xml:space="preserve"> PAGEREF _Toc140048916 \h </w:instrText>
        </w:r>
        <w:r w:rsidR="00FA4D37" w:rsidRPr="0018386D">
          <w:rPr>
            <w:webHidden/>
          </w:rPr>
        </w:r>
        <w:r w:rsidR="00FA4D37" w:rsidRPr="0018386D">
          <w:rPr>
            <w:webHidden/>
          </w:rPr>
          <w:fldChar w:fldCharType="separate"/>
        </w:r>
        <w:r w:rsidR="00FA4D37" w:rsidRPr="0018386D">
          <w:rPr>
            <w:webHidden/>
          </w:rPr>
          <w:t>75</w:t>
        </w:r>
        <w:r w:rsidR="00FA4D37" w:rsidRPr="0018386D">
          <w:rPr>
            <w:webHidden/>
          </w:rPr>
          <w:fldChar w:fldCharType="end"/>
        </w:r>
      </w:hyperlink>
    </w:p>
    <w:p w14:paraId="53A25DDD" w14:textId="0FE6F00F" w:rsidR="00FA4D37" w:rsidRPr="0018386D" w:rsidRDefault="00C7627E">
      <w:pPr>
        <w:pStyle w:val="TOC2"/>
        <w:rPr>
          <w:rFonts w:asciiTheme="minorHAnsi" w:hAnsiTheme="minorHAnsi"/>
          <w:kern w:val="2"/>
          <w14:ligatures w14:val="standardContextual"/>
        </w:rPr>
      </w:pPr>
      <w:hyperlink w:anchor="_Toc140048917" w:history="1">
        <w:r w:rsidR="00FA4D37" w:rsidRPr="0018386D">
          <w:rPr>
            <w:rStyle w:val="Hyperlink"/>
          </w:rPr>
          <w:t>7.7.</w:t>
        </w:r>
        <w:r w:rsidR="00FA4D37" w:rsidRPr="0018386D">
          <w:rPr>
            <w:rFonts w:asciiTheme="minorHAnsi" w:hAnsiTheme="minorHAnsi"/>
            <w:kern w:val="2"/>
            <w14:ligatures w14:val="standardContextual"/>
          </w:rPr>
          <w:tab/>
        </w:r>
        <w:r w:rsidR="00FA4D37" w:rsidRPr="0018386D">
          <w:rPr>
            <w:rStyle w:val="Hyperlink"/>
          </w:rPr>
          <w:t>Accommodation</w:t>
        </w:r>
        <w:r w:rsidR="00FA4D37" w:rsidRPr="0018386D">
          <w:rPr>
            <w:webHidden/>
          </w:rPr>
          <w:tab/>
        </w:r>
        <w:r w:rsidR="00FA4D37" w:rsidRPr="0018386D">
          <w:rPr>
            <w:webHidden/>
          </w:rPr>
          <w:fldChar w:fldCharType="begin"/>
        </w:r>
        <w:r w:rsidR="00FA4D37" w:rsidRPr="0018386D">
          <w:rPr>
            <w:webHidden/>
          </w:rPr>
          <w:instrText xml:space="preserve"> PAGEREF _Toc140048917 \h </w:instrText>
        </w:r>
        <w:r w:rsidR="00FA4D37" w:rsidRPr="0018386D">
          <w:rPr>
            <w:webHidden/>
          </w:rPr>
        </w:r>
        <w:r w:rsidR="00FA4D37" w:rsidRPr="0018386D">
          <w:rPr>
            <w:webHidden/>
          </w:rPr>
          <w:fldChar w:fldCharType="separate"/>
        </w:r>
        <w:r w:rsidR="00FA4D37" w:rsidRPr="0018386D">
          <w:rPr>
            <w:webHidden/>
          </w:rPr>
          <w:t>76</w:t>
        </w:r>
        <w:r w:rsidR="00FA4D37" w:rsidRPr="0018386D">
          <w:rPr>
            <w:webHidden/>
          </w:rPr>
          <w:fldChar w:fldCharType="end"/>
        </w:r>
      </w:hyperlink>
    </w:p>
    <w:p w14:paraId="16F7D73B" w14:textId="6B5EC93F" w:rsidR="00FA4D37" w:rsidRPr="0018386D" w:rsidRDefault="00C7627E">
      <w:pPr>
        <w:pStyle w:val="TOC1"/>
        <w:rPr>
          <w:rFonts w:asciiTheme="minorHAnsi" w:hAnsiTheme="minorHAnsi"/>
          <w:noProof/>
          <w:kern w:val="2"/>
          <w14:ligatures w14:val="standardContextual"/>
        </w:rPr>
      </w:pPr>
      <w:hyperlink w:anchor="_Toc140048918" w:history="1">
        <w:r w:rsidR="00FA4D37" w:rsidRPr="0018386D">
          <w:rPr>
            <w:rStyle w:val="Hyperlink"/>
            <w:noProof/>
          </w:rPr>
          <w:t>8.</w:t>
        </w:r>
        <w:r w:rsidR="00FA4D37" w:rsidRPr="0018386D">
          <w:rPr>
            <w:rFonts w:asciiTheme="minorHAnsi" w:hAnsiTheme="minorHAnsi"/>
            <w:noProof/>
            <w:kern w:val="2"/>
            <w14:ligatures w14:val="standardContextual"/>
          </w:rPr>
          <w:tab/>
        </w:r>
        <w:r w:rsidR="00FA4D37" w:rsidRPr="0018386D">
          <w:rPr>
            <w:rStyle w:val="Hyperlink"/>
            <w:noProof/>
          </w:rPr>
          <w:t>Freight transport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_Toc140048918 \h </w:instrText>
        </w:r>
        <w:r w:rsidR="00FA4D37" w:rsidRPr="0018386D">
          <w:rPr>
            <w:noProof/>
            <w:webHidden/>
          </w:rPr>
        </w:r>
        <w:r w:rsidR="00FA4D37" w:rsidRPr="0018386D">
          <w:rPr>
            <w:noProof/>
            <w:webHidden/>
          </w:rPr>
          <w:fldChar w:fldCharType="separate"/>
        </w:r>
        <w:r w:rsidR="00FA4D37" w:rsidRPr="0018386D">
          <w:rPr>
            <w:noProof/>
            <w:webHidden/>
          </w:rPr>
          <w:t>79</w:t>
        </w:r>
        <w:r w:rsidR="00FA4D37" w:rsidRPr="0018386D">
          <w:rPr>
            <w:noProof/>
            <w:webHidden/>
          </w:rPr>
          <w:fldChar w:fldCharType="end"/>
        </w:r>
      </w:hyperlink>
    </w:p>
    <w:p w14:paraId="3D08B425" w14:textId="054AFF3E" w:rsidR="00FA4D37" w:rsidRPr="0018386D" w:rsidRDefault="00C7627E">
      <w:pPr>
        <w:pStyle w:val="TOC2"/>
        <w:rPr>
          <w:rFonts w:asciiTheme="minorHAnsi" w:hAnsiTheme="minorHAnsi"/>
          <w:kern w:val="2"/>
          <w14:ligatures w14:val="standardContextual"/>
        </w:rPr>
      </w:pPr>
      <w:hyperlink w:anchor="_Toc140048919" w:history="1">
        <w:r w:rsidR="00FA4D37" w:rsidRPr="0018386D">
          <w:rPr>
            <w:rStyle w:val="Hyperlink"/>
          </w:rPr>
          <w:t>8.1.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_Toc140048919 \h </w:instrText>
        </w:r>
        <w:r w:rsidR="00FA4D37" w:rsidRPr="0018386D">
          <w:rPr>
            <w:webHidden/>
          </w:rPr>
        </w:r>
        <w:r w:rsidR="00FA4D37" w:rsidRPr="0018386D">
          <w:rPr>
            <w:webHidden/>
          </w:rPr>
          <w:fldChar w:fldCharType="separate"/>
        </w:r>
        <w:r w:rsidR="00FA4D37" w:rsidRPr="0018386D">
          <w:rPr>
            <w:webHidden/>
          </w:rPr>
          <w:t>79</w:t>
        </w:r>
        <w:r w:rsidR="00FA4D37" w:rsidRPr="0018386D">
          <w:rPr>
            <w:webHidden/>
          </w:rPr>
          <w:fldChar w:fldCharType="end"/>
        </w:r>
      </w:hyperlink>
    </w:p>
    <w:p w14:paraId="11F3D4BF" w14:textId="58DA3E07" w:rsidR="00FA4D37" w:rsidRPr="0018386D" w:rsidRDefault="00C7627E">
      <w:pPr>
        <w:pStyle w:val="TOC2"/>
        <w:rPr>
          <w:rFonts w:asciiTheme="minorHAnsi" w:hAnsiTheme="minorHAnsi"/>
          <w:kern w:val="2"/>
          <w14:ligatures w14:val="standardContextual"/>
        </w:rPr>
      </w:pPr>
      <w:hyperlink w:anchor="_Toc140048920" w:history="1">
        <w:r w:rsidR="00FA4D37" w:rsidRPr="0018386D">
          <w:rPr>
            <w:rStyle w:val="Hyperlink"/>
          </w:rPr>
          <w:t>8.2.</w:t>
        </w:r>
        <w:r w:rsidR="00FA4D37" w:rsidRPr="0018386D">
          <w:rPr>
            <w:rFonts w:asciiTheme="minorHAnsi" w:hAnsiTheme="minorHAnsi"/>
            <w:kern w:val="2"/>
            <w14:ligatures w14:val="standardContextual"/>
          </w:rPr>
          <w:tab/>
        </w:r>
        <w:r w:rsidR="00FA4D37" w:rsidRPr="0018386D">
          <w:rPr>
            <w:rStyle w:val="Hyperlink"/>
          </w:rPr>
          <w:t>Road freight</w:t>
        </w:r>
        <w:r w:rsidR="00FA4D37" w:rsidRPr="0018386D">
          <w:rPr>
            <w:webHidden/>
          </w:rPr>
          <w:tab/>
        </w:r>
        <w:r w:rsidR="00FA4D37" w:rsidRPr="0018386D">
          <w:rPr>
            <w:webHidden/>
          </w:rPr>
          <w:fldChar w:fldCharType="begin"/>
        </w:r>
        <w:r w:rsidR="00FA4D37" w:rsidRPr="0018386D">
          <w:rPr>
            <w:webHidden/>
          </w:rPr>
          <w:instrText xml:space="preserve"> PAGEREF _Toc140048920 \h </w:instrText>
        </w:r>
        <w:r w:rsidR="00FA4D37" w:rsidRPr="0018386D">
          <w:rPr>
            <w:webHidden/>
          </w:rPr>
        </w:r>
        <w:r w:rsidR="00FA4D37" w:rsidRPr="0018386D">
          <w:rPr>
            <w:webHidden/>
          </w:rPr>
          <w:fldChar w:fldCharType="separate"/>
        </w:r>
        <w:r w:rsidR="00FA4D37" w:rsidRPr="0018386D">
          <w:rPr>
            <w:webHidden/>
          </w:rPr>
          <w:t>79</w:t>
        </w:r>
        <w:r w:rsidR="00FA4D37" w:rsidRPr="0018386D">
          <w:rPr>
            <w:webHidden/>
          </w:rPr>
          <w:fldChar w:fldCharType="end"/>
        </w:r>
      </w:hyperlink>
    </w:p>
    <w:p w14:paraId="52356D0A" w14:textId="58DB7D73" w:rsidR="00FA4D37" w:rsidRPr="0018386D" w:rsidRDefault="00C7627E">
      <w:pPr>
        <w:pStyle w:val="TOC2"/>
        <w:rPr>
          <w:rFonts w:asciiTheme="minorHAnsi" w:hAnsiTheme="minorHAnsi"/>
          <w:kern w:val="2"/>
          <w14:ligatures w14:val="standardContextual"/>
        </w:rPr>
      </w:pPr>
      <w:hyperlink w:anchor="_Toc140048921" w:history="1">
        <w:r w:rsidR="00FA4D37" w:rsidRPr="0018386D">
          <w:rPr>
            <w:rStyle w:val="Hyperlink"/>
          </w:rPr>
          <w:t>8.3.</w:t>
        </w:r>
        <w:r w:rsidR="00FA4D37" w:rsidRPr="0018386D">
          <w:rPr>
            <w:rFonts w:asciiTheme="minorHAnsi" w:hAnsiTheme="minorHAnsi"/>
            <w:kern w:val="2"/>
            <w14:ligatures w14:val="standardContextual"/>
          </w:rPr>
          <w:tab/>
        </w:r>
        <w:r w:rsidR="00FA4D37" w:rsidRPr="0018386D">
          <w:rPr>
            <w:rStyle w:val="Hyperlink"/>
          </w:rPr>
          <w:t>Rail freight</w:t>
        </w:r>
        <w:r w:rsidR="00FA4D37" w:rsidRPr="0018386D">
          <w:rPr>
            <w:webHidden/>
          </w:rPr>
          <w:tab/>
        </w:r>
        <w:r w:rsidR="00FA4D37" w:rsidRPr="0018386D">
          <w:rPr>
            <w:webHidden/>
          </w:rPr>
          <w:fldChar w:fldCharType="begin"/>
        </w:r>
        <w:r w:rsidR="00FA4D37" w:rsidRPr="0018386D">
          <w:rPr>
            <w:webHidden/>
          </w:rPr>
          <w:instrText xml:space="preserve"> PAGEREF _Toc140048921 \h </w:instrText>
        </w:r>
        <w:r w:rsidR="00FA4D37" w:rsidRPr="0018386D">
          <w:rPr>
            <w:webHidden/>
          </w:rPr>
        </w:r>
        <w:r w:rsidR="00FA4D37" w:rsidRPr="0018386D">
          <w:rPr>
            <w:webHidden/>
          </w:rPr>
          <w:fldChar w:fldCharType="separate"/>
        </w:r>
        <w:r w:rsidR="00FA4D37" w:rsidRPr="0018386D">
          <w:rPr>
            <w:webHidden/>
          </w:rPr>
          <w:t>90</w:t>
        </w:r>
        <w:r w:rsidR="00FA4D37" w:rsidRPr="0018386D">
          <w:rPr>
            <w:webHidden/>
          </w:rPr>
          <w:fldChar w:fldCharType="end"/>
        </w:r>
      </w:hyperlink>
    </w:p>
    <w:p w14:paraId="66A507AD" w14:textId="4FD22C16" w:rsidR="00FA4D37" w:rsidRPr="0018386D" w:rsidRDefault="00C7627E">
      <w:pPr>
        <w:pStyle w:val="TOC2"/>
        <w:rPr>
          <w:rFonts w:asciiTheme="minorHAnsi" w:hAnsiTheme="minorHAnsi"/>
          <w:kern w:val="2"/>
          <w14:ligatures w14:val="standardContextual"/>
        </w:rPr>
      </w:pPr>
      <w:hyperlink w:anchor="_Toc140048922" w:history="1">
        <w:r w:rsidR="00FA4D37" w:rsidRPr="0018386D">
          <w:rPr>
            <w:rStyle w:val="Hyperlink"/>
          </w:rPr>
          <w:t>8.4.</w:t>
        </w:r>
        <w:r w:rsidR="00FA4D37" w:rsidRPr="0018386D">
          <w:rPr>
            <w:rFonts w:asciiTheme="minorHAnsi" w:hAnsiTheme="minorHAnsi"/>
            <w:kern w:val="2"/>
            <w14:ligatures w14:val="standardContextual"/>
          </w:rPr>
          <w:tab/>
        </w:r>
        <w:r w:rsidR="00FA4D37" w:rsidRPr="0018386D">
          <w:rPr>
            <w:rStyle w:val="Hyperlink"/>
          </w:rPr>
          <w:t>Air freight</w:t>
        </w:r>
        <w:r w:rsidR="00FA4D37" w:rsidRPr="0018386D">
          <w:rPr>
            <w:webHidden/>
          </w:rPr>
          <w:tab/>
        </w:r>
        <w:r w:rsidR="00FA4D37" w:rsidRPr="0018386D">
          <w:rPr>
            <w:webHidden/>
          </w:rPr>
          <w:fldChar w:fldCharType="begin"/>
        </w:r>
        <w:r w:rsidR="00FA4D37" w:rsidRPr="0018386D">
          <w:rPr>
            <w:webHidden/>
          </w:rPr>
          <w:instrText xml:space="preserve"> PAGEREF _Toc140048922 \h </w:instrText>
        </w:r>
        <w:r w:rsidR="00FA4D37" w:rsidRPr="0018386D">
          <w:rPr>
            <w:webHidden/>
          </w:rPr>
        </w:r>
        <w:r w:rsidR="00FA4D37" w:rsidRPr="0018386D">
          <w:rPr>
            <w:webHidden/>
          </w:rPr>
          <w:fldChar w:fldCharType="separate"/>
        </w:r>
        <w:r w:rsidR="00FA4D37" w:rsidRPr="0018386D">
          <w:rPr>
            <w:webHidden/>
          </w:rPr>
          <w:t>92</w:t>
        </w:r>
        <w:r w:rsidR="00FA4D37" w:rsidRPr="0018386D">
          <w:rPr>
            <w:webHidden/>
          </w:rPr>
          <w:fldChar w:fldCharType="end"/>
        </w:r>
      </w:hyperlink>
    </w:p>
    <w:p w14:paraId="64245907" w14:textId="45988882" w:rsidR="00FA4D37" w:rsidRPr="0018386D" w:rsidRDefault="00C7627E">
      <w:pPr>
        <w:pStyle w:val="TOC2"/>
        <w:rPr>
          <w:rFonts w:asciiTheme="minorHAnsi" w:hAnsiTheme="minorHAnsi"/>
          <w:kern w:val="2"/>
          <w14:ligatures w14:val="standardContextual"/>
        </w:rPr>
      </w:pPr>
      <w:hyperlink w:anchor="_Toc140048923" w:history="1">
        <w:r w:rsidR="00FA4D37" w:rsidRPr="0018386D">
          <w:rPr>
            <w:rStyle w:val="Hyperlink"/>
          </w:rPr>
          <w:t>8.5.</w:t>
        </w:r>
        <w:r w:rsidR="00FA4D37" w:rsidRPr="0018386D">
          <w:rPr>
            <w:rFonts w:asciiTheme="minorHAnsi" w:hAnsiTheme="minorHAnsi"/>
            <w:kern w:val="2"/>
            <w14:ligatures w14:val="standardContextual"/>
          </w:rPr>
          <w:tab/>
        </w:r>
        <w:r w:rsidR="00FA4D37" w:rsidRPr="0018386D">
          <w:rPr>
            <w:rStyle w:val="Hyperlink"/>
          </w:rPr>
          <w:t>Coastal and international shipping freight</w:t>
        </w:r>
        <w:r w:rsidR="00FA4D37" w:rsidRPr="0018386D">
          <w:rPr>
            <w:webHidden/>
          </w:rPr>
          <w:tab/>
        </w:r>
        <w:r w:rsidR="00FA4D37" w:rsidRPr="0018386D">
          <w:rPr>
            <w:webHidden/>
          </w:rPr>
          <w:fldChar w:fldCharType="begin"/>
        </w:r>
        <w:r w:rsidR="00FA4D37" w:rsidRPr="0018386D">
          <w:rPr>
            <w:webHidden/>
          </w:rPr>
          <w:instrText xml:space="preserve"> PAGEREF _Toc140048923 \h </w:instrText>
        </w:r>
        <w:r w:rsidR="00FA4D37" w:rsidRPr="0018386D">
          <w:rPr>
            <w:webHidden/>
          </w:rPr>
        </w:r>
        <w:r w:rsidR="00FA4D37" w:rsidRPr="0018386D">
          <w:rPr>
            <w:webHidden/>
          </w:rPr>
          <w:fldChar w:fldCharType="separate"/>
        </w:r>
        <w:r w:rsidR="00FA4D37" w:rsidRPr="0018386D">
          <w:rPr>
            <w:webHidden/>
          </w:rPr>
          <w:t>93</w:t>
        </w:r>
        <w:r w:rsidR="00FA4D37" w:rsidRPr="0018386D">
          <w:rPr>
            <w:webHidden/>
          </w:rPr>
          <w:fldChar w:fldCharType="end"/>
        </w:r>
      </w:hyperlink>
    </w:p>
    <w:p w14:paraId="617851EF" w14:textId="43F4F0B9" w:rsidR="00FA4D37" w:rsidRPr="0018386D" w:rsidRDefault="00C7627E">
      <w:pPr>
        <w:pStyle w:val="TOC1"/>
        <w:rPr>
          <w:rFonts w:asciiTheme="minorHAnsi" w:hAnsiTheme="minorHAnsi"/>
          <w:noProof/>
          <w:kern w:val="2"/>
          <w14:ligatures w14:val="standardContextual"/>
        </w:rPr>
      </w:pPr>
      <w:hyperlink w:anchor="_Toc140048924" w:history="1">
        <w:r w:rsidR="00FA4D37" w:rsidRPr="0018386D">
          <w:rPr>
            <w:rStyle w:val="Hyperlink"/>
            <w:noProof/>
          </w:rPr>
          <w:t>9.</w:t>
        </w:r>
        <w:r w:rsidR="00FA4D37" w:rsidRPr="0018386D">
          <w:rPr>
            <w:rFonts w:asciiTheme="minorHAnsi" w:hAnsiTheme="minorHAnsi"/>
            <w:noProof/>
            <w:kern w:val="2"/>
            <w14:ligatures w14:val="standardContextual"/>
          </w:rPr>
          <w:tab/>
        </w:r>
        <w:r w:rsidR="00FA4D37" w:rsidRPr="0018386D">
          <w:rPr>
            <w:rStyle w:val="Hyperlink"/>
            <w:noProof/>
          </w:rPr>
          <w:t>Water supply and wastewater treatment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_Toc140048924 \h </w:instrText>
        </w:r>
        <w:r w:rsidR="00FA4D37" w:rsidRPr="0018386D">
          <w:rPr>
            <w:noProof/>
            <w:webHidden/>
          </w:rPr>
        </w:r>
        <w:r w:rsidR="00FA4D37" w:rsidRPr="0018386D">
          <w:rPr>
            <w:noProof/>
            <w:webHidden/>
          </w:rPr>
          <w:fldChar w:fldCharType="separate"/>
        </w:r>
        <w:r w:rsidR="00FA4D37" w:rsidRPr="0018386D">
          <w:rPr>
            <w:noProof/>
            <w:webHidden/>
          </w:rPr>
          <w:t>97</w:t>
        </w:r>
        <w:r w:rsidR="00FA4D37" w:rsidRPr="0018386D">
          <w:rPr>
            <w:noProof/>
            <w:webHidden/>
          </w:rPr>
          <w:fldChar w:fldCharType="end"/>
        </w:r>
      </w:hyperlink>
    </w:p>
    <w:p w14:paraId="5FEC2958" w14:textId="1C0B03F6" w:rsidR="00FA4D37" w:rsidRPr="0018386D" w:rsidRDefault="00C7627E">
      <w:pPr>
        <w:pStyle w:val="TOC2"/>
        <w:rPr>
          <w:rFonts w:asciiTheme="minorHAnsi" w:hAnsiTheme="minorHAnsi"/>
          <w:kern w:val="2"/>
          <w14:ligatures w14:val="standardContextual"/>
        </w:rPr>
      </w:pPr>
      <w:hyperlink w:anchor="_Toc140048925" w:history="1">
        <w:r w:rsidR="00FA4D37" w:rsidRPr="0018386D">
          <w:rPr>
            <w:rStyle w:val="Hyperlink"/>
          </w:rPr>
          <w:t>9.1.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_Toc140048925 \h </w:instrText>
        </w:r>
        <w:r w:rsidR="00FA4D37" w:rsidRPr="0018386D">
          <w:rPr>
            <w:webHidden/>
          </w:rPr>
        </w:r>
        <w:r w:rsidR="00FA4D37" w:rsidRPr="0018386D">
          <w:rPr>
            <w:webHidden/>
          </w:rPr>
          <w:fldChar w:fldCharType="separate"/>
        </w:r>
        <w:r w:rsidR="00FA4D37" w:rsidRPr="0018386D">
          <w:rPr>
            <w:webHidden/>
          </w:rPr>
          <w:t>97</w:t>
        </w:r>
        <w:r w:rsidR="00FA4D37" w:rsidRPr="0018386D">
          <w:rPr>
            <w:webHidden/>
          </w:rPr>
          <w:fldChar w:fldCharType="end"/>
        </w:r>
      </w:hyperlink>
    </w:p>
    <w:p w14:paraId="01FB07EA" w14:textId="22B839C7" w:rsidR="00FA4D37" w:rsidRPr="0018386D" w:rsidRDefault="00C7627E">
      <w:pPr>
        <w:pStyle w:val="TOC2"/>
        <w:rPr>
          <w:rFonts w:asciiTheme="minorHAnsi" w:hAnsiTheme="minorHAnsi"/>
          <w:kern w:val="2"/>
          <w14:ligatures w14:val="standardContextual"/>
        </w:rPr>
      </w:pPr>
      <w:hyperlink w:anchor="_Toc140048926" w:history="1">
        <w:r w:rsidR="00FA4D37" w:rsidRPr="0018386D">
          <w:rPr>
            <w:rStyle w:val="Hyperlink"/>
          </w:rPr>
          <w:t>9.2.</w:t>
        </w:r>
        <w:r w:rsidR="00FA4D37" w:rsidRPr="0018386D">
          <w:rPr>
            <w:rFonts w:asciiTheme="minorHAnsi" w:hAnsiTheme="minorHAnsi"/>
            <w:kern w:val="2"/>
            <w14:ligatures w14:val="standardContextual"/>
          </w:rPr>
          <w:tab/>
        </w:r>
        <w:r w:rsidR="00FA4D37" w:rsidRPr="0018386D">
          <w:rPr>
            <w:rStyle w:val="Hyperlink"/>
          </w:rPr>
          <w:t>Water supply</w:t>
        </w:r>
        <w:r w:rsidR="00FA4D37" w:rsidRPr="0018386D">
          <w:rPr>
            <w:webHidden/>
          </w:rPr>
          <w:tab/>
        </w:r>
        <w:r w:rsidR="00FA4D37" w:rsidRPr="0018386D">
          <w:rPr>
            <w:webHidden/>
          </w:rPr>
          <w:fldChar w:fldCharType="begin"/>
        </w:r>
        <w:r w:rsidR="00FA4D37" w:rsidRPr="0018386D">
          <w:rPr>
            <w:webHidden/>
          </w:rPr>
          <w:instrText xml:space="preserve"> PAGEREF _Toc140048926 \h </w:instrText>
        </w:r>
        <w:r w:rsidR="00FA4D37" w:rsidRPr="0018386D">
          <w:rPr>
            <w:webHidden/>
          </w:rPr>
        </w:r>
        <w:r w:rsidR="00FA4D37" w:rsidRPr="0018386D">
          <w:rPr>
            <w:webHidden/>
          </w:rPr>
          <w:fldChar w:fldCharType="separate"/>
        </w:r>
        <w:r w:rsidR="00FA4D37" w:rsidRPr="0018386D">
          <w:rPr>
            <w:webHidden/>
          </w:rPr>
          <w:t>97</w:t>
        </w:r>
        <w:r w:rsidR="00FA4D37" w:rsidRPr="0018386D">
          <w:rPr>
            <w:webHidden/>
          </w:rPr>
          <w:fldChar w:fldCharType="end"/>
        </w:r>
      </w:hyperlink>
    </w:p>
    <w:p w14:paraId="166B418D" w14:textId="5E786282" w:rsidR="00FA4D37" w:rsidRPr="0018386D" w:rsidRDefault="00C7627E">
      <w:pPr>
        <w:pStyle w:val="TOC2"/>
        <w:rPr>
          <w:rFonts w:asciiTheme="minorHAnsi" w:hAnsiTheme="minorHAnsi"/>
          <w:kern w:val="2"/>
          <w14:ligatures w14:val="standardContextual"/>
        </w:rPr>
      </w:pPr>
      <w:hyperlink w:anchor="_Toc140048927" w:history="1">
        <w:r w:rsidR="00FA4D37" w:rsidRPr="0018386D">
          <w:rPr>
            <w:rStyle w:val="Hyperlink"/>
          </w:rPr>
          <w:t>9.3.</w:t>
        </w:r>
        <w:r w:rsidR="00FA4D37" w:rsidRPr="0018386D">
          <w:rPr>
            <w:rFonts w:asciiTheme="minorHAnsi" w:hAnsiTheme="minorHAnsi"/>
            <w:kern w:val="2"/>
            <w14:ligatures w14:val="standardContextual"/>
          </w:rPr>
          <w:tab/>
        </w:r>
        <w:r w:rsidR="00FA4D37" w:rsidRPr="0018386D">
          <w:rPr>
            <w:rStyle w:val="Hyperlink"/>
          </w:rPr>
          <w:t>Wastewater treatment</w:t>
        </w:r>
        <w:r w:rsidR="00FA4D37" w:rsidRPr="0018386D">
          <w:rPr>
            <w:webHidden/>
          </w:rPr>
          <w:tab/>
        </w:r>
        <w:r w:rsidR="00FA4D37" w:rsidRPr="0018386D">
          <w:rPr>
            <w:webHidden/>
          </w:rPr>
          <w:fldChar w:fldCharType="begin"/>
        </w:r>
        <w:r w:rsidR="00FA4D37" w:rsidRPr="0018386D">
          <w:rPr>
            <w:webHidden/>
          </w:rPr>
          <w:instrText xml:space="preserve"> PAGEREF _Toc140048927 \h </w:instrText>
        </w:r>
        <w:r w:rsidR="00FA4D37" w:rsidRPr="0018386D">
          <w:rPr>
            <w:webHidden/>
          </w:rPr>
        </w:r>
        <w:r w:rsidR="00FA4D37" w:rsidRPr="0018386D">
          <w:rPr>
            <w:webHidden/>
          </w:rPr>
          <w:fldChar w:fldCharType="separate"/>
        </w:r>
        <w:r w:rsidR="00FA4D37" w:rsidRPr="0018386D">
          <w:rPr>
            <w:webHidden/>
          </w:rPr>
          <w:t>100</w:t>
        </w:r>
        <w:r w:rsidR="00FA4D37" w:rsidRPr="0018386D">
          <w:rPr>
            <w:webHidden/>
          </w:rPr>
          <w:fldChar w:fldCharType="end"/>
        </w:r>
      </w:hyperlink>
    </w:p>
    <w:p w14:paraId="2BBE71C7" w14:textId="081328F3" w:rsidR="00FA4D37" w:rsidRPr="0018386D" w:rsidRDefault="00C7627E">
      <w:pPr>
        <w:pStyle w:val="TOC1"/>
        <w:rPr>
          <w:rFonts w:asciiTheme="minorHAnsi" w:hAnsiTheme="minorHAnsi"/>
          <w:noProof/>
          <w:kern w:val="2"/>
          <w14:ligatures w14:val="standardContextual"/>
        </w:rPr>
      </w:pPr>
      <w:hyperlink w:anchor="_Toc140048928" w:history="1">
        <w:r w:rsidR="00FA4D37" w:rsidRPr="0018386D">
          <w:rPr>
            <w:rStyle w:val="Hyperlink"/>
            <w:noProof/>
          </w:rPr>
          <w:t>10.</w:t>
        </w:r>
        <w:r w:rsidR="00FA4D37" w:rsidRPr="0018386D">
          <w:rPr>
            <w:rFonts w:asciiTheme="minorHAnsi" w:hAnsiTheme="minorHAnsi"/>
            <w:noProof/>
            <w:kern w:val="2"/>
            <w14:ligatures w14:val="standardContextual"/>
          </w:rPr>
          <w:tab/>
        </w:r>
        <w:r w:rsidR="00FA4D37" w:rsidRPr="0018386D">
          <w:rPr>
            <w:rStyle w:val="Hyperlink"/>
            <w:noProof/>
          </w:rPr>
          <w:t>Materials and waste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_Toc140048928 \h </w:instrText>
        </w:r>
        <w:r w:rsidR="00FA4D37" w:rsidRPr="0018386D">
          <w:rPr>
            <w:noProof/>
            <w:webHidden/>
          </w:rPr>
        </w:r>
        <w:r w:rsidR="00FA4D37" w:rsidRPr="0018386D">
          <w:rPr>
            <w:noProof/>
            <w:webHidden/>
          </w:rPr>
          <w:fldChar w:fldCharType="separate"/>
        </w:r>
        <w:r w:rsidR="00FA4D37" w:rsidRPr="0018386D">
          <w:rPr>
            <w:noProof/>
            <w:webHidden/>
          </w:rPr>
          <w:t>106</w:t>
        </w:r>
        <w:r w:rsidR="00FA4D37" w:rsidRPr="0018386D">
          <w:rPr>
            <w:noProof/>
            <w:webHidden/>
          </w:rPr>
          <w:fldChar w:fldCharType="end"/>
        </w:r>
      </w:hyperlink>
    </w:p>
    <w:p w14:paraId="441FA893" w14:textId="6C1678D9" w:rsidR="00FA4D37" w:rsidRPr="0018386D" w:rsidRDefault="00C7627E">
      <w:pPr>
        <w:pStyle w:val="TOC2"/>
        <w:rPr>
          <w:rFonts w:asciiTheme="minorHAnsi" w:hAnsiTheme="minorHAnsi"/>
          <w:kern w:val="2"/>
          <w14:ligatures w14:val="standardContextual"/>
        </w:rPr>
      </w:pPr>
      <w:hyperlink w:anchor="_Toc140048929" w:history="1">
        <w:r w:rsidR="00FA4D37" w:rsidRPr="0018386D">
          <w:rPr>
            <w:rStyle w:val="Hyperlink"/>
          </w:rPr>
          <w:t>10.1.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_Toc140048929 \h </w:instrText>
        </w:r>
        <w:r w:rsidR="00FA4D37" w:rsidRPr="0018386D">
          <w:rPr>
            <w:webHidden/>
          </w:rPr>
        </w:r>
        <w:r w:rsidR="00FA4D37" w:rsidRPr="0018386D">
          <w:rPr>
            <w:webHidden/>
          </w:rPr>
          <w:fldChar w:fldCharType="separate"/>
        </w:r>
        <w:r w:rsidR="00FA4D37" w:rsidRPr="0018386D">
          <w:rPr>
            <w:webHidden/>
          </w:rPr>
          <w:t>106</w:t>
        </w:r>
        <w:r w:rsidR="00FA4D37" w:rsidRPr="0018386D">
          <w:rPr>
            <w:webHidden/>
          </w:rPr>
          <w:fldChar w:fldCharType="end"/>
        </w:r>
      </w:hyperlink>
    </w:p>
    <w:p w14:paraId="0D92DB9C" w14:textId="09C38D15" w:rsidR="00FA4D37" w:rsidRPr="0018386D" w:rsidRDefault="00C7627E">
      <w:pPr>
        <w:pStyle w:val="TOC2"/>
        <w:rPr>
          <w:rFonts w:asciiTheme="minorHAnsi" w:hAnsiTheme="minorHAnsi"/>
          <w:kern w:val="2"/>
          <w14:ligatures w14:val="standardContextual"/>
        </w:rPr>
      </w:pPr>
      <w:hyperlink w:anchor="_Toc140048930" w:history="1">
        <w:r w:rsidR="00FA4D37" w:rsidRPr="0018386D">
          <w:rPr>
            <w:rStyle w:val="Hyperlink"/>
          </w:rPr>
          <w:t>10.2.</w:t>
        </w:r>
        <w:r w:rsidR="00FA4D37" w:rsidRPr="0018386D">
          <w:rPr>
            <w:rFonts w:asciiTheme="minorHAnsi" w:hAnsiTheme="minorHAnsi"/>
            <w:kern w:val="2"/>
            <w14:ligatures w14:val="standardContextual"/>
          </w:rPr>
          <w:tab/>
        </w:r>
        <w:r w:rsidR="00FA4D37" w:rsidRPr="0018386D">
          <w:rPr>
            <w:rStyle w:val="Hyperlink"/>
          </w:rPr>
          <w:t>Construction materials</w:t>
        </w:r>
        <w:r w:rsidR="00FA4D37" w:rsidRPr="0018386D">
          <w:rPr>
            <w:webHidden/>
          </w:rPr>
          <w:tab/>
        </w:r>
        <w:r w:rsidR="00FA4D37" w:rsidRPr="0018386D">
          <w:rPr>
            <w:webHidden/>
          </w:rPr>
          <w:fldChar w:fldCharType="begin"/>
        </w:r>
        <w:r w:rsidR="00FA4D37" w:rsidRPr="0018386D">
          <w:rPr>
            <w:webHidden/>
          </w:rPr>
          <w:instrText xml:space="preserve"> PAGEREF _Toc140048930 \h </w:instrText>
        </w:r>
        <w:r w:rsidR="00FA4D37" w:rsidRPr="0018386D">
          <w:rPr>
            <w:webHidden/>
          </w:rPr>
        </w:r>
        <w:r w:rsidR="00FA4D37" w:rsidRPr="0018386D">
          <w:rPr>
            <w:webHidden/>
          </w:rPr>
          <w:fldChar w:fldCharType="separate"/>
        </w:r>
        <w:r w:rsidR="00FA4D37" w:rsidRPr="0018386D">
          <w:rPr>
            <w:webHidden/>
          </w:rPr>
          <w:t>106</w:t>
        </w:r>
        <w:r w:rsidR="00FA4D37" w:rsidRPr="0018386D">
          <w:rPr>
            <w:webHidden/>
          </w:rPr>
          <w:fldChar w:fldCharType="end"/>
        </w:r>
      </w:hyperlink>
    </w:p>
    <w:p w14:paraId="55FF98BB" w14:textId="063C29BD" w:rsidR="00FA4D37" w:rsidRPr="0018386D" w:rsidRDefault="00C7627E">
      <w:pPr>
        <w:pStyle w:val="TOC2"/>
        <w:rPr>
          <w:rFonts w:asciiTheme="minorHAnsi" w:hAnsiTheme="minorHAnsi"/>
          <w:kern w:val="2"/>
          <w14:ligatures w14:val="standardContextual"/>
        </w:rPr>
      </w:pPr>
      <w:hyperlink w:anchor="_Toc140048931" w:history="1">
        <w:r w:rsidR="00FA4D37" w:rsidRPr="0018386D">
          <w:rPr>
            <w:rStyle w:val="Hyperlink"/>
          </w:rPr>
          <w:t>10.3.</w:t>
        </w:r>
        <w:r w:rsidR="00FA4D37" w:rsidRPr="0018386D">
          <w:rPr>
            <w:rFonts w:asciiTheme="minorHAnsi" w:hAnsiTheme="minorHAnsi"/>
            <w:kern w:val="2"/>
            <w14:ligatures w14:val="standardContextual"/>
          </w:rPr>
          <w:tab/>
        </w:r>
        <w:r w:rsidR="00FA4D37" w:rsidRPr="0018386D">
          <w:rPr>
            <w:rStyle w:val="Hyperlink"/>
          </w:rPr>
          <w:t>Waste disposal</w:t>
        </w:r>
        <w:r w:rsidR="00FA4D37" w:rsidRPr="0018386D">
          <w:rPr>
            <w:webHidden/>
          </w:rPr>
          <w:tab/>
        </w:r>
        <w:r w:rsidR="00FA4D37" w:rsidRPr="0018386D">
          <w:rPr>
            <w:webHidden/>
          </w:rPr>
          <w:fldChar w:fldCharType="begin"/>
        </w:r>
        <w:r w:rsidR="00FA4D37" w:rsidRPr="0018386D">
          <w:rPr>
            <w:webHidden/>
          </w:rPr>
          <w:instrText xml:space="preserve"> PAGEREF _Toc140048931 \h </w:instrText>
        </w:r>
        <w:r w:rsidR="00FA4D37" w:rsidRPr="0018386D">
          <w:rPr>
            <w:webHidden/>
          </w:rPr>
        </w:r>
        <w:r w:rsidR="00FA4D37" w:rsidRPr="0018386D">
          <w:rPr>
            <w:webHidden/>
          </w:rPr>
          <w:fldChar w:fldCharType="separate"/>
        </w:r>
        <w:r w:rsidR="00FA4D37" w:rsidRPr="0018386D">
          <w:rPr>
            <w:webHidden/>
          </w:rPr>
          <w:t>107</w:t>
        </w:r>
        <w:r w:rsidR="00FA4D37" w:rsidRPr="0018386D">
          <w:rPr>
            <w:webHidden/>
          </w:rPr>
          <w:fldChar w:fldCharType="end"/>
        </w:r>
      </w:hyperlink>
    </w:p>
    <w:p w14:paraId="49932C74" w14:textId="12366E97" w:rsidR="00FA4D37" w:rsidRPr="0018386D" w:rsidRDefault="00C7627E">
      <w:pPr>
        <w:pStyle w:val="TOC1"/>
        <w:rPr>
          <w:rFonts w:asciiTheme="minorHAnsi" w:hAnsiTheme="minorHAnsi"/>
          <w:noProof/>
          <w:kern w:val="2"/>
          <w14:ligatures w14:val="standardContextual"/>
        </w:rPr>
      </w:pPr>
      <w:hyperlink w:anchor="_Toc140048932" w:history="1">
        <w:r w:rsidR="00FA4D37" w:rsidRPr="0018386D">
          <w:rPr>
            <w:rStyle w:val="Hyperlink"/>
            <w:noProof/>
          </w:rPr>
          <w:t>11.</w:t>
        </w:r>
        <w:r w:rsidR="00FA4D37" w:rsidRPr="0018386D">
          <w:rPr>
            <w:rFonts w:asciiTheme="minorHAnsi" w:hAnsiTheme="minorHAnsi"/>
            <w:noProof/>
            <w:kern w:val="2"/>
            <w14:ligatures w14:val="standardContextual"/>
          </w:rPr>
          <w:tab/>
        </w:r>
        <w:r w:rsidR="00FA4D37" w:rsidRPr="0018386D">
          <w:rPr>
            <w:rStyle w:val="Hyperlink"/>
            <w:noProof/>
          </w:rPr>
          <w:t>Agriculture, forestry and other land-use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_Toc140048932 \h </w:instrText>
        </w:r>
        <w:r w:rsidR="00FA4D37" w:rsidRPr="0018386D">
          <w:rPr>
            <w:noProof/>
            <w:webHidden/>
          </w:rPr>
        </w:r>
        <w:r w:rsidR="00FA4D37" w:rsidRPr="0018386D">
          <w:rPr>
            <w:noProof/>
            <w:webHidden/>
          </w:rPr>
          <w:fldChar w:fldCharType="separate"/>
        </w:r>
        <w:r w:rsidR="00FA4D37" w:rsidRPr="0018386D">
          <w:rPr>
            <w:noProof/>
            <w:webHidden/>
          </w:rPr>
          <w:t>114</w:t>
        </w:r>
        <w:r w:rsidR="00FA4D37" w:rsidRPr="0018386D">
          <w:rPr>
            <w:noProof/>
            <w:webHidden/>
          </w:rPr>
          <w:fldChar w:fldCharType="end"/>
        </w:r>
      </w:hyperlink>
    </w:p>
    <w:p w14:paraId="2E1D34E9" w14:textId="5D0D72BD" w:rsidR="00FA4D37" w:rsidRPr="0018386D" w:rsidRDefault="00C7627E">
      <w:pPr>
        <w:pStyle w:val="TOC2"/>
        <w:rPr>
          <w:rFonts w:asciiTheme="minorHAnsi" w:hAnsiTheme="minorHAnsi"/>
          <w:kern w:val="2"/>
          <w14:ligatures w14:val="standardContextual"/>
        </w:rPr>
      </w:pPr>
      <w:hyperlink w:anchor="_Toc140048933" w:history="1">
        <w:r w:rsidR="00FA4D37" w:rsidRPr="0018386D">
          <w:rPr>
            <w:rStyle w:val="Hyperlink"/>
          </w:rPr>
          <w:t>11.1.</w:t>
        </w:r>
        <w:r w:rsidR="00FA4D37" w:rsidRPr="0018386D">
          <w:rPr>
            <w:rFonts w:asciiTheme="minorHAnsi" w:hAnsiTheme="minorHAnsi"/>
            <w:kern w:val="2"/>
            <w14:ligatures w14:val="standardContextual"/>
          </w:rPr>
          <w:tab/>
        </w:r>
        <w:r w:rsidR="00FA4D37" w:rsidRPr="0018386D">
          <w:rPr>
            <w:rStyle w:val="Hyperlink"/>
          </w:rPr>
          <w:t>Overview of changes since previous update</w:t>
        </w:r>
        <w:r w:rsidR="00FA4D37" w:rsidRPr="0018386D">
          <w:rPr>
            <w:webHidden/>
          </w:rPr>
          <w:tab/>
        </w:r>
        <w:r w:rsidR="00FA4D37" w:rsidRPr="0018386D">
          <w:rPr>
            <w:webHidden/>
          </w:rPr>
          <w:fldChar w:fldCharType="begin"/>
        </w:r>
        <w:r w:rsidR="00FA4D37" w:rsidRPr="0018386D">
          <w:rPr>
            <w:webHidden/>
          </w:rPr>
          <w:instrText xml:space="preserve"> PAGEREF _Toc140048933 \h </w:instrText>
        </w:r>
        <w:r w:rsidR="00FA4D37" w:rsidRPr="0018386D">
          <w:rPr>
            <w:webHidden/>
          </w:rPr>
        </w:r>
        <w:r w:rsidR="00FA4D37" w:rsidRPr="0018386D">
          <w:rPr>
            <w:webHidden/>
          </w:rPr>
          <w:fldChar w:fldCharType="separate"/>
        </w:r>
        <w:r w:rsidR="00FA4D37" w:rsidRPr="0018386D">
          <w:rPr>
            <w:webHidden/>
          </w:rPr>
          <w:t>114</w:t>
        </w:r>
        <w:r w:rsidR="00FA4D37" w:rsidRPr="0018386D">
          <w:rPr>
            <w:webHidden/>
          </w:rPr>
          <w:fldChar w:fldCharType="end"/>
        </w:r>
      </w:hyperlink>
    </w:p>
    <w:p w14:paraId="31838F29" w14:textId="593902F5" w:rsidR="00FA4D37" w:rsidRPr="0018386D" w:rsidRDefault="00C7627E">
      <w:pPr>
        <w:pStyle w:val="TOC2"/>
        <w:rPr>
          <w:rFonts w:asciiTheme="minorHAnsi" w:hAnsiTheme="minorHAnsi"/>
          <w:kern w:val="2"/>
          <w14:ligatures w14:val="standardContextual"/>
        </w:rPr>
      </w:pPr>
      <w:hyperlink w:anchor="_Toc140048934" w:history="1">
        <w:r w:rsidR="00FA4D37" w:rsidRPr="0018386D">
          <w:rPr>
            <w:rStyle w:val="Hyperlink"/>
          </w:rPr>
          <w:t>11.2.</w:t>
        </w:r>
        <w:r w:rsidR="00FA4D37" w:rsidRPr="0018386D">
          <w:rPr>
            <w:rFonts w:asciiTheme="minorHAnsi" w:hAnsiTheme="minorHAnsi"/>
            <w:kern w:val="2"/>
            <w14:ligatures w14:val="standardContextual"/>
          </w:rPr>
          <w:tab/>
        </w:r>
        <w:r w:rsidR="00FA4D37" w:rsidRPr="0018386D">
          <w:rPr>
            <w:rStyle w:val="Hyperlink"/>
            <w:rFonts w:eastAsia="Georgia" w:cs="Georgia"/>
          </w:rPr>
          <w:t>Land use, land-use change and forestry (LULUCF)</w:t>
        </w:r>
        <w:r w:rsidR="00FA4D37" w:rsidRPr="0018386D">
          <w:rPr>
            <w:webHidden/>
          </w:rPr>
          <w:tab/>
        </w:r>
        <w:r w:rsidR="00FA4D37" w:rsidRPr="0018386D">
          <w:rPr>
            <w:webHidden/>
          </w:rPr>
          <w:fldChar w:fldCharType="begin"/>
        </w:r>
        <w:r w:rsidR="00FA4D37" w:rsidRPr="0018386D">
          <w:rPr>
            <w:webHidden/>
          </w:rPr>
          <w:instrText xml:space="preserve"> PAGEREF _Toc140048934 \h </w:instrText>
        </w:r>
        <w:r w:rsidR="00FA4D37" w:rsidRPr="0018386D">
          <w:rPr>
            <w:webHidden/>
          </w:rPr>
        </w:r>
        <w:r w:rsidR="00FA4D37" w:rsidRPr="0018386D">
          <w:rPr>
            <w:webHidden/>
          </w:rPr>
          <w:fldChar w:fldCharType="separate"/>
        </w:r>
        <w:r w:rsidR="00FA4D37" w:rsidRPr="0018386D">
          <w:rPr>
            <w:webHidden/>
          </w:rPr>
          <w:t>115</w:t>
        </w:r>
        <w:r w:rsidR="00FA4D37" w:rsidRPr="0018386D">
          <w:rPr>
            <w:webHidden/>
          </w:rPr>
          <w:fldChar w:fldCharType="end"/>
        </w:r>
      </w:hyperlink>
    </w:p>
    <w:p w14:paraId="1F17DA6F" w14:textId="34FBDD53" w:rsidR="00FA4D37" w:rsidRPr="0018386D" w:rsidRDefault="00C7627E">
      <w:pPr>
        <w:pStyle w:val="TOC2"/>
        <w:rPr>
          <w:rFonts w:asciiTheme="minorHAnsi" w:hAnsiTheme="minorHAnsi"/>
          <w:kern w:val="2"/>
          <w14:ligatures w14:val="standardContextual"/>
        </w:rPr>
      </w:pPr>
      <w:hyperlink w:anchor="_Toc140048935" w:history="1">
        <w:r w:rsidR="00FA4D37" w:rsidRPr="0018386D">
          <w:rPr>
            <w:rStyle w:val="Hyperlink"/>
          </w:rPr>
          <w:t>11.3.</w:t>
        </w:r>
        <w:r w:rsidR="00FA4D37" w:rsidRPr="0018386D">
          <w:rPr>
            <w:rFonts w:asciiTheme="minorHAnsi" w:hAnsiTheme="minorHAnsi"/>
            <w:kern w:val="2"/>
            <w14:ligatures w14:val="standardContextual"/>
          </w:rPr>
          <w:tab/>
        </w:r>
        <w:r w:rsidR="00FA4D37" w:rsidRPr="0018386D">
          <w:rPr>
            <w:rStyle w:val="Hyperlink"/>
          </w:rPr>
          <w:t>Agriculture</w:t>
        </w:r>
        <w:r w:rsidR="00FA4D37" w:rsidRPr="0018386D">
          <w:rPr>
            <w:webHidden/>
          </w:rPr>
          <w:tab/>
        </w:r>
        <w:r w:rsidR="00FA4D37" w:rsidRPr="0018386D">
          <w:rPr>
            <w:webHidden/>
          </w:rPr>
          <w:fldChar w:fldCharType="begin"/>
        </w:r>
        <w:r w:rsidR="00FA4D37" w:rsidRPr="0018386D">
          <w:rPr>
            <w:webHidden/>
          </w:rPr>
          <w:instrText xml:space="preserve"> PAGEREF _Toc140048935 \h </w:instrText>
        </w:r>
        <w:r w:rsidR="00FA4D37" w:rsidRPr="0018386D">
          <w:rPr>
            <w:webHidden/>
          </w:rPr>
        </w:r>
        <w:r w:rsidR="00FA4D37" w:rsidRPr="0018386D">
          <w:rPr>
            <w:webHidden/>
          </w:rPr>
          <w:fldChar w:fldCharType="separate"/>
        </w:r>
        <w:r w:rsidR="00FA4D37" w:rsidRPr="0018386D">
          <w:rPr>
            <w:webHidden/>
          </w:rPr>
          <w:t>122</w:t>
        </w:r>
        <w:r w:rsidR="00FA4D37" w:rsidRPr="0018386D">
          <w:rPr>
            <w:webHidden/>
          </w:rPr>
          <w:fldChar w:fldCharType="end"/>
        </w:r>
      </w:hyperlink>
    </w:p>
    <w:p w14:paraId="71239330" w14:textId="7AE6D95E" w:rsidR="00FA4D37" w:rsidRPr="0018386D" w:rsidRDefault="00C7627E">
      <w:pPr>
        <w:pStyle w:val="TOC1"/>
        <w:rPr>
          <w:rFonts w:asciiTheme="minorHAnsi" w:hAnsiTheme="minorHAnsi"/>
          <w:noProof/>
          <w:kern w:val="2"/>
          <w14:ligatures w14:val="standardContextual"/>
        </w:rPr>
      </w:pPr>
      <w:hyperlink w:anchor="_Toc140048936" w:history="1">
        <w:r w:rsidR="00FA4D37" w:rsidRPr="0018386D">
          <w:rPr>
            <w:rStyle w:val="Hyperlink"/>
            <w:noProof/>
          </w:rPr>
          <w:t>Appendix A: Derivation of fuel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_Toc140048936 \h </w:instrText>
        </w:r>
        <w:r w:rsidR="00FA4D37" w:rsidRPr="0018386D">
          <w:rPr>
            <w:noProof/>
            <w:webHidden/>
          </w:rPr>
        </w:r>
        <w:r w:rsidR="00FA4D37" w:rsidRPr="0018386D">
          <w:rPr>
            <w:noProof/>
            <w:webHidden/>
          </w:rPr>
          <w:fldChar w:fldCharType="separate"/>
        </w:r>
        <w:r w:rsidR="00FA4D37" w:rsidRPr="0018386D">
          <w:rPr>
            <w:noProof/>
            <w:webHidden/>
          </w:rPr>
          <w:t>132</w:t>
        </w:r>
        <w:r w:rsidR="00FA4D37" w:rsidRPr="0018386D">
          <w:rPr>
            <w:noProof/>
            <w:webHidden/>
          </w:rPr>
          <w:fldChar w:fldCharType="end"/>
        </w:r>
      </w:hyperlink>
    </w:p>
    <w:p w14:paraId="7CD2817C" w14:textId="37DAB4CC" w:rsidR="00FA4D37" w:rsidRPr="0018386D" w:rsidRDefault="00C7627E">
      <w:pPr>
        <w:pStyle w:val="TOC1"/>
        <w:rPr>
          <w:rFonts w:asciiTheme="minorHAnsi" w:hAnsiTheme="minorHAnsi"/>
          <w:noProof/>
          <w:kern w:val="2"/>
          <w14:ligatures w14:val="standardContextual"/>
        </w:rPr>
      </w:pPr>
      <w:hyperlink w:anchor="_Toc140048937" w:history="1">
        <w:r w:rsidR="00FA4D37" w:rsidRPr="0018386D">
          <w:rPr>
            <w:rStyle w:val="Hyperlink"/>
            <w:noProof/>
          </w:rPr>
          <w:t>Appendix B: Alternative methods of calculating emissions from refrigerants and medical gases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_Toc140048937 \h </w:instrText>
        </w:r>
        <w:r w:rsidR="00FA4D37" w:rsidRPr="0018386D">
          <w:rPr>
            <w:noProof/>
            <w:webHidden/>
          </w:rPr>
        </w:r>
        <w:r w:rsidR="00FA4D37" w:rsidRPr="0018386D">
          <w:rPr>
            <w:noProof/>
            <w:webHidden/>
          </w:rPr>
          <w:fldChar w:fldCharType="separate"/>
        </w:r>
        <w:r w:rsidR="00FA4D37" w:rsidRPr="0018386D">
          <w:rPr>
            <w:noProof/>
            <w:webHidden/>
          </w:rPr>
          <w:t>135</w:t>
        </w:r>
        <w:r w:rsidR="00FA4D37" w:rsidRPr="0018386D">
          <w:rPr>
            <w:noProof/>
            <w:webHidden/>
          </w:rPr>
          <w:fldChar w:fldCharType="end"/>
        </w:r>
      </w:hyperlink>
    </w:p>
    <w:p w14:paraId="32BE655D" w14:textId="782B49F2" w:rsidR="00FA4D37" w:rsidRPr="0018386D" w:rsidRDefault="00C7627E">
      <w:pPr>
        <w:pStyle w:val="TOC1"/>
        <w:rPr>
          <w:rFonts w:asciiTheme="minorHAnsi" w:hAnsiTheme="minorHAnsi"/>
          <w:noProof/>
          <w:kern w:val="2"/>
          <w14:ligatures w14:val="standardContextual"/>
        </w:rPr>
      </w:pPr>
      <w:hyperlink w:anchor="_Toc140048938" w:history="1">
        <w:r w:rsidR="00FA4D37" w:rsidRPr="0018386D">
          <w:rPr>
            <w:rStyle w:val="Hyperlink"/>
            <w:noProof/>
          </w:rPr>
          <w:t>Appendix C: Landfills with and without landfill gas recovery</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_Toc140048938 \h </w:instrText>
        </w:r>
        <w:r w:rsidR="00FA4D37" w:rsidRPr="0018386D">
          <w:rPr>
            <w:noProof/>
            <w:webHidden/>
          </w:rPr>
        </w:r>
        <w:r w:rsidR="00FA4D37" w:rsidRPr="0018386D">
          <w:rPr>
            <w:noProof/>
            <w:webHidden/>
          </w:rPr>
          <w:fldChar w:fldCharType="separate"/>
        </w:r>
        <w:r w:rsidR="00FA4D37" w:rsidRPr="0018386D">
          <w:rPr>
            <w:noProof/>
            <w:webHidden/>
          </w:rPr>
          <w:t>139</w:t>
        </w:r>
        <w:r w:rsidR="00FA4D37" w:rsidRPr="0018386D">
          <w:rPr>
            <w:noProof/>
            <w:webHidden/>
          </w:rPr>
          <w:fldChar w:fldCharType="end"/>
        </w:r>
      </w:hyperlink>
    </w:p>
    <w:p w14:paraId="4D43693E" w14:textId="42358F88" w:rsidR="00FA4D37" w:rsidRPr="0018386D" w:rsidRDefault="00C7627E">
      <w:pPr>
        <w:pStyle w:val="TOC1"/>
        <w:rPr>
          <w:rFonts w:asciiTheme="minorHAnsi" w:hAnsiTheme="minorHAnsi"/>
          <w:noProof/>
          <w:kern w:val="2"/>
          <w14:ligatures w14:val="standardContextual"/>
        </w:rPr>
      </w:pPr>
      <w:hyperlink w:anchor="_Toc140048939" w:history="1">
        <w:r w:rsidR="00FA4D37" w:rsidRPr="0018386D">
          <w:rPr>
            <w:rStyle w:val="Hyperlink"/>
            <w:noProof/>
          </w:rPr>
          <w:t>Appendix D: Spend-based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_Toc140048939 \h </w:instrText>
        </w:r>
        <w:r w:rsidR="00FA4D37" w:rsidRPr="0018386D">
          <w:rPr>
            <w:noProof/>
            <w:webHidden/>
          </w:rPr>
        </w:r>
        <w:r w:rsidR="00FA4D37" w:rsidRPr="0018386D">
          <w:rPr>
            <w:noProof/>
            <w:webHidden/>
          </w:rPr>
          <w:fldChar w:fldCharType="separate"/>
        </w:r>
        <w:r w:rsidR="00FA4D37" w:rsidRPr="0018386D">
          <w:rPr>
            <w:noProof/>
            <w:webHidden/>
          </w:rPr>
          <w:t>140</w:t>
        </w:r>
        <w:r w:rsidR="00FA4D37" w:rsidRPr="0018386D">
          <w:rPr>
            <w:noProof/>
            <w:webHidden/>
          </w:rPr>
          <w:fldChar w:fldCharType="end"/>
        </w:r>
      </w:hyperlink>
    </w:p>
    <w:p w14:paraId="2E293BCD" w14:textId="422BC81D" w:rsidR="00FA4D37" w:rsidRPr="0018386D" w:rsidRDefault="00C7627E">
      <w:pPr>
        <w:pStyle w:val="TOC1"/>
        <w:rPr>
          <w:rFonts w:asciiTheme="minorHAnsi" w:hAnsiTheme="minorHAnsi"/>
          <w:noProof/>
          <w:kern w:val="2"/>
          <w14:ligatures w14:val="standardContextual"/>
        </w:rPr>
      </w:pPr>
      <w:hyperlink w:anchor="_Toc140048940" w:history="1">
        <w:r w:rsidR="00FA4D37" w:rsidRPr="0018386D">
          <w:rPr>
            <w:rStyle w:val="Hyperlink"/>
            <w:noProof/>
          </w:rPr>
          <w:t>Glossary</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_Toc140048940 \h </w:instrText>
        </w:r>
        <w:r w:rsidR="00FA4D37" w:rsidRPr="0018386D">
          <w:rPr>
            <w:noProof/>
            <w:webHidden/>
          </w:rPr>
        </w:r>
        <w:r w:rsidR="00FA4D37" w:rsidRPr="0018386D">
          <w:rPr>
            <w:noProof/>
            <w:webHidden/>
          </w:rPr>
          <w:fldChar w:fldCharType="separate"/>
        </w:r>
        <w:r w:rsidR="00FA4D37" w:rsidRPr="0018386D">
          <w:rPr>
            <w:noProof/>
            <w:webHidden/>
          </w:rPr>
          <w:t>141</w:t>
        </w:r>
        <w:r w:rsidR="00FA4D37" w:rsidRPr="0018386D">
          <w:rPr>
            <w:noProof/>
            <w:webHidden/>
          </w:rPr>
          <w:fldChar w:fldCharType="end"/>
        </w:r>
      </w:hyperlink>
    </w:p>
    <w:p w14:paraId="3DC6E72F" w14:textId="5F4047DD" w:rsidR="00D97073" w:rsidRPr="0018386D" w:rsidRDefault="00031FF2" w:rsidP="00DD3106">
      <w:pPr>
        <w:pStyle w:val="BodyText"/>
      </w:pPr>
      <w:r w:rsidRPr="0018386D">
        <w:fldChar w:fldCharType="end"/>
      </w:r>
      <w:r w:rsidR="00D97073" w:rsidRPr="0018386D">
        <w:br w:type="page"/>
      </w:r>
    </w:p>
    <w:bookmarkEnd w:id="4"/>
    <w:p w14:paraId="65091236" w14:textId="59A8DA2D" w:rsidR="0080531E" w:rsidRPr="0018386D" w:rsidRDefault="00411E70" w:rsidP="00DD3106">
      <w:pPr>
        <w:pStyle w:val="Heading"/>
      </w:pPr>
      <w:r w:rsidRPr="0018386D">
        <w:lastRenderedPageBreak/>
        <w:t>Tables</w:t>
      </w:r>
      <w:bookmarkEnd w:id="3"/>
      <w:bookmarkEnd w:id="5"/>
    </w:p>
    <w:bookmarkStart w:id="6" w:name="_Toc532904838"/>
    <w:bookmarkStart w:id="7" w:name="_Toc600554"/>
    <w:p w14:paraId="75E66624" w14:textId="0B9C6503" w:rsidR="00FA4D37" w:rsidRPr="0018386D" w:rsidRDefault="007607CB">
      <w:pPr>
        <w:pStyle w:val="TableofFigures"/>
        <w:tabs>
          <w:tab w:val="right" w:pos="8495"/>
        </w:tabs>
        <w:rPr>
          <w:rFonts w:asciiTheme="minorHAnsi" w:hAnsiTheme="minorHAnsi"/>
          <w:noProof/>
          <w:kern w:val="2"/>
          <w14:ligatures w14:val="standardContextual"/>
        </w:rPr>
      </w:pPr>
      <w:r w:rsidRPr="0018386D">
        <w:fldChar w:fldCharType="begin"/>
      </w:r>
      <w:r w:rsidRPr="0018386D">
        <w:instrText xml:space="preserve"> TOC \h \z \t "Table heading" \c </w:instrText>
      </w:r>
      <w:r w:rsidRPr="0018386D">
        <w:fldChar w:fldCharType="separate"/>
      </w:r>
      <w:hyperlink w:anchor="_Toc140048941" w:history="1">
        <w:r w:rsidR="00FA4D37" w:rsidRPr="0018386D">
          <w:rPr>
            <w:rStyle w:val="Hyperlink"/>
            <w:noProof/>
          </w:rPr>
          <w:t>Table 1:</w:t>
        </w:r>
        <w:r w:rsidR="00FA4D37" w:rsidRPr="0018386D">
          <w:rPr>
            <w:rFonts w:asciiTheme="minorHAnsi" w:hAnsiTheme="minorHAnsi"/>
            <w:noProof/>
            <w:kern w:val="2"/>
            <w14:ligatures w14:val="standardContextual"/>
          </w:rPr>
          <w:tab/>
        </w:r>
        <w:r w:rsidR="00FA4D37" w:rsidRPr="0018386D">
          <w:rPr>
            <w:rStyle w:val="Hyperlink"/>
            <w:noProof/>
          </w:rPr>
          <w:t>Global warming potential (GWP) of GHGs (excluding fossil methane), based on 100-year period</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_Toc140048941 \h </w:instrText>
        </w:r>
        <w:r w:rsidR="00FA4D37" w:rsidRPr="0018386D">
          <w:rPr>
            <w:noProof/>
            <w:webHidden/>
          </w:rPr>
        </w:r>
        <w:r w:rsidR="00FA4D37" w:rsidRPr="0018386D">
          <w:rPr>
            <w:noProof/>
            <w:webHidden/>
          </w:rPr>
          <w:fldChar w:fldCharType="separate"/>
        </w:r>
        <w:r w:rsidR="00FA4D37" w:rsidRPr="0018386D">
          <w:rPr>
            <w:noProof/>
            <w:webHidden/>
          </w:rPr>
          <w:t>15</w:t>
        </w:r>
        <w:r w:rsidR="00FA4D37" w:rsidRPr="0018386D">
          <w:rPr>
            <w:noProof/>
            <w:webHidden/>
          </w:rPr>
          <w:fldChar w:fldCharType="end"/>
        </w:r>
      </w:hyperlink>
    </w:p>
    <w:p w14:paraId="22E97621" w14:textId="0188B7C4" w:rsidR="00FA4D37" w:rsidRPr="0018386D" w:rsidRDefault="00C7627E">
      <w:pPr>
        <w:pStyle w:val="TableofFigures"/>
        <w:tabs>
          <w:tab w:val="right" w:pos="8495"/>
        </w:tabs>
        <w:rPr>
          <w:rFonts w:asciiTheme="minorHAnsi" w:hAnsiTheme="minorHAnsi"/>
          <w:noProof/>
          <w:kern w:val="2"/>
          <w14:ligatures w14:val="standardContextual"/>
        </w:rPr>
      </w:pPr>
      <w:hyperlink w:anchor="_Toc140048942" w:history="1">
        <w:r w:rsidR="00FA4D37" w:rsidRPr="0018386D">
          <w:rPr>
            <w:rStyle w:val="Hyperlink"/>
            <w:noProof/>
          </w:rPr>
          <w:t>Table 2:</w:t>
        </w:r>
        <w:r w:rsidR="00FA4D37" w:rsidRPr="0018386D">
          <w:rPr>
            <w:rFonts w:asciiTheme="minorHAnsi" w:hAnsiTheme="minorHAnsi"/>
            <w:noProof/>
            <w:kern w:val="2"/>
            <w14:ligatures w14:val="standardContextual"/>
          </w:rPr>
          <w:tab/>
        </w:r>
        <w:r w:rsidR="00FA4D37" w:rsidRPr="0018386D">
          <w:rPr>
            <w:rStyle w:val="Hyperlink"/>
            <w:noProof/>
          </w:rPr>
          <w:t>Emissions by scope, category and source</w:t>
        </w:r>
        <w:r w:rsidR="00FA4D37" w:rsidRPr="0018386D">
          <w:rPr>
            <w:rStyle w:val="Hyperlink"/>
            <w:rFonts w:cs="Calibri"/>
            <w:noProof/>
            <w:vertAlign w:val="superscript"/>
          </w:rPr>
          <w:t>†</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_Toc140048942 \h </w:instrText>
        </w:r>
        <w:r w:rsidR="00FA4D37" w:rsidRPr="0018386D">
          <w:rPr>
            <w:noProof/>
            <w:webHidden/>
          </w:rPr>
        </w:r>
        <w:r w:rsidR="00FA4D37" w:rsidRPr="0018386D">
          <w:rPr>
            <w:noProof/>
            <w:webHidden/>
          </w:rPr>
          <w:fldChar w:fldCharType="separate"/>
        </w:r>
        <w:r w:rsidR="00FA4D37" w:rsidRPr="0018386D">
          <w:rPr>
            <w:noProof/>
            <w:webHidden/>
          </w:rPr>
          <w:t>18</w:t>
        </w:r>
        <w:r w:rsidR="00FA4D37" w:rsidRPr="0018386D">
          <w:rPr>
            <w:noProof/>
            <w:webHidden/>
          </w:rPr>
          <w:fldChar w:fldCharType="end"/>
        </w:r>
      </w:hyperlink>
    </w:p>
    <w:p w14:paraId="71659DFC" w14:textId="29A1F036" w:rsidR="00FA4D37" w:rsidRPr="0018386D" w:rsidRDefault="00C7627E">
      <w:pPr>
        <w:pStyle w:val="TableofFigures"/>
        <w:tabs>
          <w:tab w:val="right" w:pos="8495"/>
        </w:tabs>
        <w:rPr>
          <w:rFonts w:asciiTheme="minorHAnsi" w:hAnsiTheme="minorHAnsi"/>
          <w:noProof/>
          <w:kern w:val="2"/>
          <w14:ligatures w14:val="standardContextual"/>
        </w:rPr>
      </w:pPr>
      <w:hyperlink w:anchor="_Toc140048943" w:history="1">
        <w:r w:rsidR="00FA4D37" w:rsidRPr="0018386D">
          <w:rPr>
            <w:rStyle w:val="Hyperlink"/>
            <w:noProof/>
          </w:rPr>
          <w:t>Table 3:</w:t>
        </w:r>
        <w:r w:rsidR="00FA4D37" w:rsidRPr="0018386D">
          <w:rPr>
            <w:rFonts w:asciiTheme="minorHAnsi" w:hAnsiTheme="minorHAnsi"/>
            <w:noProof/>
            <w:kern w:val="2"/>
            <w14:ligatures w14:val="standardContextual"/>
          </w:rPr>
          <w:tab/>
        </w:r>
        <w:r w:rsidR="00FA4D37" w:rsidRPr="0018386D">
          <w:rPr>
            <w:rStyle w:val="Hyperlink"/>
            <w:noProof/>
          </w:rPr>
          <w:t>Emission factors for the stationary combustion of fuels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_Toc140048943 \h </w:instrText>
        </w:r>
        <w:r w:rsidR="00FA4D37" w:rsidRPr="0018386D">
          <w:rPr>
            <w:noProof/>
            <w:webHidden/>
          </w:rPr>
        </w:r>
        <w:r w:rsidR="00FA4D37" w:rsidRPr="0018386D">
          <w:rPr>
            <w:noProof/>
            <w:webHidden/>
          </w:rPr>
          <w:fldChar w:fldCharType="separate"/>
        </w:r>
        <w:r w:rsidR="00FA4D37" w:rsidRPr="0018386D">
          <w:rPr>
            <w:noProof/>
            <w:webHidden/>
          </w:rPr>
          <w:t>27</w:t>
        </w:r>
        <w:r w:rsidR="00FA4D37" w:rsidRPr="0018386D">
          <w:rPr>
            <w:noProof/>
            <w:webHidden/>
          </w:rPr>
          <w:fldChar w:fldCharType="end"/>
        </w:r>
      </w:hyperlink>
    </w:p>
    <w:p w14:paraId="626AD01F" w14:textId="1B01BF97" w:rsidR="00FA4D37" w:rsidRPr="0018386D" w:rsidRDefault="00C7627E">
      <w:pPr>
        <w:pStyle w:val="TableofFigures"/>
        <w:tabs>
          <w:tab w:val="right" w:pos="8495"/>
        </w:tabs>
        <w:rPr>
          <w:rFonts w:asciiTheme="minorHAnsi" w:hAnsiTheme="minorHAnsi"/>
          <w:noProof/>
          <w:kern w:val="2"/>
          <w14:ligatures w14:val="standardContextual"/>
        </w:rPr>
      </w:pPr>
      <w:hyperlink w:anchor="_Toc140048944" w:history="1">
        <w:r w:rsidR="00FA4D37" w:rsidRPr="0018386D">
          <w:rPr>
            <w:rStyle w:val="Hyperlink"/>
            <w:noProof/>
          </w:rPr>
          <w:t>Table 4:</w:t>
        </w:r>
        <w:r w:rsidR="00FA4D37" w:rsidRPr="0018386D">
          <w:rPr>
            <w:rFonts w:asciiTheme="minorHAnsi" w:hAnsiTheme="minorHAnsi"/>
            <w:noProof/>
            <w:kern w:val="2"/>
            <w14:ligatures w14:val="standardContextual"/>
          </w:rPr>
          <w:tab/>
        </w:r>
        <w:r w:rsidR="00FA4D37" w:rsidRPr="0018386D">
          <w:rPr>
            <w:rStyle w:val="Hyperlink"/>
            <w:noProof/>
          </w:rPr>
          <w:t>Transport fuel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_Toc140048944 \h </w:instrText>
        </w:r>
        <w:r w:rsidR="00FA4D37" w:rsidRPr="0018386D">
          <w:rPr>
            <w:noProof/>
            <w:webHidden/>
          </w:rPr>
        </w:r>
        <w:r w:rsidR="00FA4D37" w:rsidRPr="0018386D">
          <w:rPr>
            <w:noProof/>
            <w:webHidden/>
          </w:rPr>
          <w:fldChar w:fldCharType="separate"/>
        </w:r>
        <w:r w:rsidR="00FA4D37" w:rsidRPr="0018386D">
          <w:rPr>
            <w:noProof/>
            <w:webHidden/>
          </w:rPr>
          <w:t>29</w:t>
        </w:r>
        <w:r w:rsidR="00FA4D37" w:rsidRPr="0018386D">
          <w:rPr>
            <w:noProof/>
            <w:webHidden/>
          </w:rPr>
          <w:fldChar w:fldCharType="end"/>
        </w:r>
      </w:hyperlink>
    </w:p>
    <w:p w14:paraId="36BF0D9A" w14:textId="5BEB3AE0" w:rsidR="00FA4D37" w:rsidRPr="0018386D" w:rsidRDefault="00C7627E">
      <w:pPr>
        <w:pStyle w:val="TableofFigures"/>
        <w:tabs>
          <w:tab w:val="right" w:pos="8495"/>
        </w:tabs>
        <w:rPr>
          <w:rFonts w:asciiTheme="minorHAnsi" w:hAnsiTheme="minorHAnsi"/>
          <w:noProof/>
          <w:kern w:val="2"/>
          <w14:ligatures w14:val="standardContextual"/>
        </w:rPr>
      </w:pPr>
      <w:hyperlink w:anchor="_Toc140048945" w:history="1">
        <w:r w:rsidR="00FA4D37" w:rsidRPr="0018386D">
          <w:rPr>
            <w:rStyle w:val="Hyperlink"/>
            <w:noProof/>
          </w:rPr>
          <w:t>Table 5:</w:t>
        </w:r>
        <w:r w:rsidR="00FA4D37" w:rsidRPr="0018386D">
          <w:rPr>
            <w:rFonts w:asciiTheme="minorHAnsi" w:hAnsiTheme="minorHAnsi"/>
            <w:noProof/>
            <w:kern w:val="2"/>
            <w14:ligatures w14:val="standardContextual"/>
          </w:rPr>
          <w:tab/>
        </w:r>
        <w:r w:rsidR="00FA4D37" w:rsidRPr="0018386D">
          <w:rPr>
            <w:rStyle w:val="Hyperlink"/>
            <w:noProof/>
          </w:rPr>
          <w:t>Biofuels and biomass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_Toc140048945 \h </w:instrText>
        </w:r>
        <w:r w:rsidR="00FA4D37" w:rsidRPr="0018386D">
          <w:rPr>
            <w:noProof/>
            <w:webHidden/>
          </w:rPr>
        </w:r>
        <w:r w:rsidR="00FA4D37" w:rsidRPr="0018386D">
          <w:rPr>
            <w:noProof/>
            <w:webHidden/>
          </w:rPr>
          <w:fldChar w:fldCharType="separate"/>
        </w:r>
        <w:r w:rsidR="00FA4D37" w:rsidRPr="0018386D">
          <w:rPr>
            <w:noProof/>
            <w:webHidden/>
          </w:rPr>
          <w:t>31</w:t>
        </w:r>
        <w:r w:rsidR="00FA4D37" w:rsidRPr="0018386D">
          <w:rPr>
            <w:noProof/>
            <w:webHidden/>
          </w:rPr>
          <w:fldChar w:fldCharType="end"/>
        </w:r>
      </w:hyperlink>
    </w:p>
    <w:p w14:paraId="5A79ACB4" w14:textId="2558EB43" w:rsidR="00FA4D37" w:rsidRPr="0018386D" w:rsidRDefault="00C7627E">
      <w:pPr>
        <w:pStyle w:val="TableofFigures"/>
        <w:tabs>
          <w:tab w:val="right" w:pos="8495"/>
        </w:tabs>
        <w:rPr>
          <w:rFonts w:asciiTheme="minorHAnsi" w:hAnsiTheme="minorHAnsi"/>
          <w:noProof/>
          <w:kern w:val="2"/>
          <w14:ligatures w14:val="standardContextual"/>
        </w:rPr>
      </w:pPr>
      <w:hyperlink w:anchor="_Toc140048946" w:history="1">
        <w:r w:rsidR="00FA4D37" w:rsidRPr="0018386D">
          <w:rPr>
            <w:rStyle w:val="Hyperlink"/>
            <w:noProof/>
          </w:rPr>
          <w:t>Table 6:</w:t>
        </w:r>
        <w:r w:rsidR="00FA4D37" w:rsidRPr="0018386D">
          <w:rPr>
            <w:rFonts w:asciiTheme="minorHAnsi" w:hAnsiTheme="minorHAnsi"/>
            <w:noProof/>
            <w:kern w:val="2"/>
            <w14:ligatures w14:val="standardContextual"/>
          </w:rPr>
          <w:tab/>
        </w:r>
        <w:r w:rsidR="00FA4D37" w:rsidRPr="0018386D">
          <w:rPr>
            <w:rStyle w:val="Hyperlink"/>
            <w:noProof/>
          </w:rPr>
          <w:t>Transmission and distribution loss emission factors for natural gas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_Toc140048946 \h </w:instrText>
        </w:r>
        <w:r w:rsidR="00FA4D37" w:rsidRPr="0018386D">
          <w:rPr>
            <w:noProof/>
            <w:webHidden/>
          </w:rPr>
        </w:r>
        <w:r w:rsidR="00FA4D37" w:rsidRPr="0018386D">
          <w:rPr>
            <w:noProof/>
            <w:webHidden/>
          </w:rPr>
          <w:fldChar w:fldCharType="separate"/>
        </w:r>
        <w:r w:rsidR="00FA4D37" w:rsidRPr="0018386D">
          <w:rPr>
            <w:noProof/>
            <w:webHidden/>
          </w:rPr>
          <w:t>33</w:t>
        </w:r>
        <w:r w:rsidR="00FA4D37" w:rsidRPr="0018386D">
          <w:rPr>
            <w:noProof/>
            <w:webHidden/>
          </w:rPr>
          <w:fldChar w:fldCharType="end"/>
        </w:r>
      </w:hyperlink>
    </w:p>
    <w:p w14:paraId="08E3547A" w14:textId="6FB438BB" w:rsidR="00FA4D37" w:rsidRPr="0018386D" w:rsidRDefault="00C7627E">
      <w:pPr>
        <w:pStyle w:val="TableofFigures"/>
        <w:tabs>
          <w:tab w:val="right" w:pos="8495"/>
        </w:tabs>
        <w:rPr>
          <w:rFonts w:asciiTheme="minorHAnsi" w:hAnsiTheme="minorHAnsi"/>
          <w:noProof/>
          <w:kern w:val="2"/>
          <w14:ligatures w14:val="standardContextual"/>
        </w:rPr>
      </w:pPr>
      <w:hyperlink w:anchor="_Toc140048947" w:history="1">
        <w:r w:rsidR="00FA4D37" w:rsidRPr="0018386D">
          <w:rPr>
            <w:rStyle w:val="Hyperlink"/>
            <w:noProof/>
          </w:rPr>
          <w:t>Table 7:</w:t>
        </w:r>
        <w:r w:rsidR="00FA4D37" w:rsidRPr="0018386D">
          <w:rPr>
            <w:rFonts w:asciiTheme="minorHAnsi" w:hAnsiTheme="minorHAnsi"/>
            <w:noProof/>
            <w:kern w:val="2"/>
            <w14:ligatures w14:val="standardContextual"/>
          </w:rPr>
          <w:tab/>
        </w:r>
        <w:r w:rsidR="00FA4D37" w:rsidRPr="0018386D">
          <w:rPr>
            <w:rStyle w:val="Hyperlink"/>
            <w:noProof/>
          </w:rPr>
          <w:t>Global warming potentials (GWPs) of refrigerants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_Toc140048947 \h </w:instrText>
        </w:r>
        <w:r w:rsidR="00FA4D37" w:rsidRPr="0018386D">
          <w:rPr>
            <w:noProof/>
            <w:webHidden/>
          </w:rPr>
        </w:r>
        <w:r w:rsidR="00FA4D37" w:rsidRPr="0018386D">
          <w:rPr>
            <w:noProof/>
            <w:webHidden/>
          </w:rPr>
          <w:fldChar w:fldCharType="separate"/>
        </w:r>
        <w:r w:rsidR="00FA4D37" w:rsidRPr="0018386D">
          <w:rPr>
            <w:noProof/>
            <w:webHidden/>
          </w:rPr>
          <w:t>36</w:t>
        </w:r>
        <w:r w:rsidR="00FA4D37" w:rsidRPr="0018386D">
          <w:rPr>
            <w:noProof/>
            <w:webHidden/>
          </w:rPr>
          <w:fldChar w:fldCharType="end"/>
        </w:r>
      </w:hyperlink>
    </w:p>
    <w:p w14:paraId="142C930E" w14:textId="2EEB9221" w:rsidR="00FA4D37" w:rsidRPr="0018386D" w:rsidRDefault="00C7627E">
      <w:pPr>
        <w:pStyle w:val="TableofFigures"/>
        <w:tabs>
          <w:tab w:val="right" w:pos="8495"/>
        </w:tabs>
        <w:rPr>
          <w:rFonts w:asciiTheme="minorHAnsi" w:hAnsiTheme="minorHAnsi"/>
          <w:noProof/>
          <w:kern w:val="2"/>
          <w14:ligatures w14:val="standardContextual"/>
        </w:rPr>
      </w:pPr>
      <w:hyperlink w:anchor="_Toc140048948" w:history="1">
        <w:r w:rsidR="00FA4D37" w:rsidRPr="0018386D">
          <w:rPr>
            <w:rStyle w:val="Hyperlink"/>
            <w:noProof/>
          </w:rPr>
          <w:t>Table 8:</w:t>
        </w:r>
        <w:r w:rsidR="00FA4D37" w:rsidRPr="0018386D">
          <w:rPr>
            <w:rFonts w:asciiTheme="minorHAnsi" w:hAnsiTheme="minorHAnsi"/>
            <w:noProof/>
            <w:kern w:val="2"/>
            <w14:ligatures w14:val="standardContextual"/>
          </w:rPr>
          <w:tab/>
        </w:r>
        <w:r w:rsidR="00FA4D37" w:rsidRPr="0018386D">
          <w:rPr>
            <w:rStyle w:val="Hyperlink"/>
            <w:noProof/>
          </w:rPr>
          <w:t>GWPs of medical gases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_Toc140048948 \h </w:instrText>
        </w:r>
        <w:r w:rsidR="00FA4D37" w:rsidRPr="0018386D">
          <w:rPr>
            <w:noProof/>
            <w:webHidden/>
          </w:rPr>
        </w:r>
        <w:r w:rsidR="00FA4D37" w:rsidRPr="0018386D">
          <w:rPr>
            <w:noProof/>
            <w:webHidden/>
          </w:rPr>
          <w:fldChar w:fldCharType="separate"/>
        </w:r>
        <w:r w:rsidR="00FA4D37" w:rsidRPr="0018386D">
          <w:rPr>
            <w:noProof/>
            <w:webHidden/>
          </w:rPr>
          <w:t>41</w:t>
        </w:r>
        <w:r w:rsidR="00FA4D37" w:rsidRPr="0018386D">
          <w:rPr>
            <w:noProof/>
            <w:webHidden/>
          </w:rPr>
          <w:fldChar w:fldCharType="end"/>
        </w:r>
      </w:hyperlink>
    </w:p>
    <w:p w14:paraId="0D12458C" w14:textId="46B96E9C" w:rsidR="00FA4D37" w:rsidRPr="0018386D" w:rsidRDefault="00C7627E">
      <w:pPr>
        <w:pStyle w:val="TableofFigures"/>
        <w:tabs>
          <w:tab w:val="right" w:pos="8495"/>
        </w:tabs>
        <w:rPr>
          <w:rFonts w:asciiTheme="minorHAnsi" w:hAnsiTheme="minorHAnsi"/>
          <w:noProof/>
          <w:kern w:val="2"/>
          <w14:ligatures w14:val="standardContextual"/>
        </w:rPr>
      </w:pPr>
      <w:hyperlink w:anchor="_Toc140048949" w:history="1">
        <w:r w:rsidR="00FA4D37" w:rsidRPr="0018386D">
          <w:rPr>
            <w:rStyle w:val="Hyperlink"/>
            <w:noProof/>
          </w:rPr>
          <w:t>Table 9:</w:t>
        </w:r>
        <w:r w:rsidR="00FA4D37" w:rsidRPr="0018386D">
          <w:rPr>
            <w:rFonts w:asciiTheme="minorHAnsi" w:hAnsiTheme="minorHAnsi"/>
            <w:noProof/>
            <w:kern w:val="2"/>
            <w14:ligatures w14:val="standardContextual"/>
          </w:rPr>
          <w:tab/>
        </w:r>
        <w:r w:rsidR="00FA4D37" w:rsidRPr="0018386D">
          <w:rPr>
            <w:rStyle w:val="Hyperlink"/>
            <w:noProof/>
          </w:rPr>
          <w:t>Emission factor for purchased grid-average electricity – annual average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_Toc140048949 \h </w:instrText>
        </w:r>
        <w:r w:rsidR="00FA4D37" w:rsidRPr="0018386D">
          <w:rPr>
            <w:noProof/>
            <w:webHidden/>
          </w:rPr>
        </w:r>
        <w:r w:rsidR="00FA4D37" w:rsidRPr="0018386D">
          <w:rPr>
            <w:noProof/>
            <w:webHidden/>
          </w:rPr>
          <w:fldChar w:fldCharType="separate"/>
        </w:r>
        <w:r w:rsidR="00FA4D37" w:rsidRPr="0018386D">
          <w:rPr>
            <w:noProof/>
            <w:webHidden/>
          </w:rPr>
          <w:t>43</w:t>
        </w:r>
        <w:r w:rsidR="00FA4D37" w:rsidRPr="0018386D">
          <w:rPr>
            <w:noProof/>
            <w:webHidden/>
          </w:rPr>
          <w:fldChar w:fldCharType="end"/>
        </w:r>
      </w:hyperlink>
    </w:p>
    <w:p w14:paraId="1102CDF3" w14:textId="2876C12A" w:rsidR="00FA4D37" w:rsidRPr="0018386D" w:rsidRDefault="00C7627E">
      <w:pPr>
        <w:pStyle w:val="TableofFigures"/>
        <w:tabs>
          <w:tab w:val="right" w:pos="8495"/>
        </w:tabs>
        <w:rPr>
          <w:rFonts w:asciiTheme="minorHAnsi" w:hAnsiTheme="minorHAnsi"/>
          <w:noProof/>
          <w:kern w:val="2"/>
          <w14:ligatures w14:val="standardContextual"/>
        </w:rPr>
      </w:pPr>
      <w:hyperlink w:anchor="_Toc140048950" w:history="1">
        <w:r w:rsidR="00FA4D37" w:rsidRPr="0018386D">
          <w:rPr>
            <w:rStyle w:val="Hyperlink"/>
            <w:noProof/>
          </w:rPr>
          <w:t>Table 10:</w:t>
        </w:r>
        <w:r w:rsidR="00FA4D37" w:rsidRPr="0018386D">
          <w:rPr>
            <w:rFonts w:asciiTheme="minorHAnsi" w:hAnsiTheme="minorHAnsi"/>
            <w:noProof/>
            <w:kern w:val="2"/>
            <w14:ligatures w14:val="standardContextual"/>
          </w:rPr>
          <w:tab/>
        </w:r>
        <w:r w:rsidR="00FA4D37" w:rsidRPr="0018386D">
          <w:rPr>
            <w:rStyle w:val="Hyperlink"/>
            <w:noProof/>
          </w:rPr>
          <w:t>Emission factor for purchased grid-average electricity – calendar quarters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_Toc140048950 \h </w:instrText>
        </w:r>
        <w:r w:rsidR="00FA4D37" w:rsidRPr="0018386D">
          <w:rPr>
            <w:noProof/>
            <w:webHidden/>
          </w:rPr>
        </w:r>
        <w:r w:rsidR="00FA4D37" w:rsidRPr="0018386D">
          <w:rPr>
            <w:noProof/>
            <w:webHidden/>
          </w:rPr>
          <w:fldChar w:fldCharType="separate"/>
        </w:r>
        <w:r w:rsidR="00FA4D37" w:rsidRPr="0018386D">
          <w:rPr>
            <w:noProof/>
            <w:webHidden/>
          </w:rPr>
          <w:t>43</w:t>
        </w:r>
        <w:r w:rsidR="00FA4D37" w:rsidRPr="0018386D">
          <w:rPr>
            <w:noProof/>
            <w:webHidden/>
          </w:rPr>
          <w:fldChar w:fldCharType="end"/>
        </w:r>
      </w:hyperlink>
    </w:p>
    <w:p w14:paraId="33A39EB2" w14:textId="03A992B6" w:rsidR="00FA4D37" w:rsidRPr="0018386D" w:rsidRDefault="00C7627E">
      <w:pPr>
        <w:pStyle w:val="TableofFigures"/>
        <w:tabs>
          <w:tab w:val="right" w:pos="8495"/>
        </w:tabs>
        <w:rPr>
          <w:rFonts w:asciiTheme="minorHAnsi" w:hAnsiTheme="minorHAnsi"/>
          <w:noProof/>
          <w:kern w:val="2"/>
          <w14:ligatures w14:val="standardContextual"/>
        </w:rPr>
      </w:pPr>
      <w:hyperlink w:anchor="_Toc140048951" w:history="1">
        <w:r w:rsidR="00FA4D37" w:rsidRPr="0018386D">
          <w:rPr>
            <w:rStyle w:val="Hyperlink"/>
            <w:noProof/>
          </w:rPr>
          <w:t xml:space="preserve">Table 11: </w:t>
        </w:r>
        <w:r w:rsidR="00FA4D37" w:rsidRPr="0018386D">
          <w:rPr>
            <w:rFonts w:asciiTheme="minorHAnsi" w:hAnsiTheme="minorHAnsi"/>
            <w:noProof/>
            <w:kern w:val="2"/>
            <w14:ligatures w14:val="standardContextual"/>
          </w:rPr>
          <w:tab/>
        </w:r>
        <w:r w:rsidR="00FA4D37" w:rsidRPr="0018386D">
          <w:rPr>
            <w:rStyle w:val="Hyperlink"/>
            <w:noProof/>
          </w:rPr>
          <w:t>Information used to calculate the purchased electricity emission factor for 2010–2022</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_Toc140048951 \h </w:instrText>
        </w:r>
        <w:r w:rsidR="00FA4D37" w:rsidRPr="0018386D">
          <w:rPr>
            <w:noProof/>
            <w:webHidden/>
          </w:rPr>
        </w:r>
        <w:r w:rsidR="00FA4D37" w:rsidRPr="0018386D">
          <w:rPr>
            <w:noProof/>
            <w:webHidden/>
          </w:rPr>
          <w:fldChar w:fldCharType="separate"/>
        </w:r>
        <w:r w:rsidR="00FA4D37" w:rsidRPr="0018386D">
          <w:rPr>
            <w:noProof/>
            <w:webHidden/>
          </w:rPr>
          <w:t>45</w:t>
        </w:r>
        <w:r w:rsidR="00FA4D37" w:rsidRPr="0018386D">
          <w:rPr>
            <w:noProof/>
            <w:webHidden/>
          </w:rPr>
          <w:fldChar w:fldCharType="end"/>
        </w:r>
      </w:hyperlink>
    </w:p>
    <w:p w14:paraId="270BEE14" w14:textId="14FDA1B4" w:rsidR="00FA4D37" w:rsidRPr="0018386D" w:rsidRDefault="00C7627E">
      <w:pPr>
        <w:pStyle w:val="TableofFigures"/>
        <w:tabs>
          <w:tab w:val="right" w:pos="8495"/>
        </w:tabs>
        <w:rPr>
          <w:rFonts w:asciiTheme="minorHAnsi" w:hAnsiTheme="minorHAnsi"/>
          <w:noProof/>
          <w:kern w:val="2"/>
          <w14:ligatures w14:val="standardContextual"/>
        </w:rPr>
      </w:pPr>
      <w:hyperlink w:anchor="_Toc140048952" w:history="1">
        <w:r w:rsidR="00FA4D37" w:rsidRPr="0018386D">
          <w:rPr>
            <w:rStyle w:val="Hyperlink"/>
            <w:noProof/>
          </w:rPr>
          <w:t>Table 12:</w:t>
        </w:r>
        <w:r w:rsidR="00FA4D37" w:rsidRPr="0018386D">
          <w:rPr>
            <w:rFonts w:asciiTheme="minorHAnsi" w:hAnsiTheme="minorHAnsi"/>
            <w:noProof/>
            <w:kern w:val="2"/>
            <w14:ligatures w14:val="standardContextual"/>
          </w:rPr>
          <w:tab/>
        </w:r>
        <w:r w:rsidR="00FA4D37" w:rsidRPr="0018386D">
          <w:rPr>
            <w:rStyle w:val="Hyperlink"/>
            <w:noProof/>
          </w:rPr>
          <w:t>Transmission and distribution losses for electricity consumption</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_Toc140048952 \h </w:instrText>
        </w:r>
        <w:r w:rsidR="00FA4D37" w:rsidRPr="0018386D">
          <w:rPr>
            <w:noProof/>
            <w:webHidden/>
          </w:rPr>
        </w:r>
        <w:r w:rsidR="00FA4D37" w:rsidRPr="0018386D">
          <w:rPr>
            <w:noProof/>
            <w:webHidden/>
          </w:rPr>
          <w:fldChar w:fldCharType="separate"/>
        </w:r>
        <w:r w:rsidR="00FA4D37" w:rsidRPr="0018386D">
          <w:rPr>
            <w:noProof/>
            <w:webHidden/>
          </w:rPr>
          <w:t>46</w:t>
        </w:r>
        <w:r w:rsidR="00FA4D37" w:rsidRPr="0018386D">
          <w:rPr>
            <w:noProof/>
            <w:webHidden/>
          </w:rPr>
          <w:fldChar w:fldCharType="end"/>
        </w:r>
      </w:hyperlink>
    </w:p>
    <w:p w14:paraId="0FB93FD3" w14:textId="7DC8318E" w:rsidR="00FA4D37" w:rsidRPr="0018386D" w:rsidRDefault="00C7627E">
      <w:pPr>
        <w:pStyle w:val="TableofFigures"/>
        <w:tabs>
          <w:tab w:val="right" w:pos="8495"/>
        </w:tabs>
        <w:rPr>
          <w:rFonts w:asciiTheme="minorHAnsi" w:hAnsiTheme="minorHAnsi"/>
          <w:noProof/>
          <w:kern w:val="2"/>
          <w14:ligatures w14:val="standardContextual"/>
        </w:rPr>
      </w:pPr>
      <w:hyperlink w:anchor="_Toc140048953" w:history="1">
        <w:r w:rsidR="00FA4D37" w:rsidRPr="0018386D">
          <w:rPr>
            <w:rStyle w:val="Hyperlink"/>
            <w:noProof/>
          </w:rPr>
          <w:t>Table 13:</w:t>
        </w:r>
        <w:r w:rsidR="00FA4D37" w:rsidRPr="0018386D">
          <w:rPr>
            <w:rFonts w:asciiTheme="minorHAnsi" w:hAnsiTheme="minorHAnsi"/>
            <w:noProof/>
            <w:kern w:val="2"/>
            <w14:ligatures w14:val="standardContextual"/>
          </w:rPr>
          <w:tab/>
        </w:r>
        <w:r w:rsidR="00FA4D37" w:rsidRPr="0018386D">
          <w:rPr>
            <w:rStyle w:val="Hyperlink"/>
            <w:noProof/>
          </w:rPr>
          <w:t>Information used to calculate the emission factor for electricity consumption 2010–2022</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_Toc140048953 \h </w:instrText>
        </w:r>
        <w:r w:rsidR="00FA4D37" w:rsidRPr="0018386D">
          <w:rPr>
            <w:noProof/>
            <w:webHidden/>
          </w:rPr>
        </w:r>
        <w:r w:rsidR="00FA4D37" w:rsidRPr="0018386D">
          <w:rPr>
            <w:noProof/>
            <w:webHidden/>
          </w:rPr>
          <w:fldChar w:fldCharType="separate"/>
        </w:r>
        <w:r w:rsidR="00FA4D37" w:rsidRPr="0018386D">
          <w:rPr>
            <w:noProof/>
            <w:webHidden/>
          </w:rPr>
          <w:t>47</w:t>
        </w:r>
        <w:r w:rsidR="00FA4D37" w:rsidRPr="0018386D">
          <w:rPr>
            <w:noProof/>
            <w:webHidden/>
          </w:rPr>
          <w:fldChar w:fldCharType="end"/>
        </w:r>
      </w:hyperlink>
    </w:p>
    <w:p w14:paraId="50D22ADD" w14:textId="423A794F" w:rsidR="00FA4D37" w:rsidRPr="0018386D" w:rsidRDefault="00C7627E">
      <w:pPr>
        <w:pStyle w:val="TableofFigures"/>
        <w:tabs>
          <w:tab w:val="right" w:pos="8495"/>
        </w:tabs>
        <w:rPr>
          <w:rFonts w:asciiTheme="minorHAnsi" w:hAnsiTheme="minorHAnsi"/>
          <w:noProof/>
          <w:kern w:val="2"/>
          <w14:ligatures w14:val="standardContextual"/>
        </w:rPr>
      </w:pPr>
      <w:hyperlink w:anchor="_Toc140048954" w:history="1">
        <w:r w:rsidR="00FA4D37" w:rsidRPr="0018386D">
          <w:rPr>
            <w:rStyle w:val="Hyperlink"/>
            <w:noProof/>
          </w:rPr>
          <w:t>Table 14:</w:t>
        </w:r>
        <w:r w:rsidR="00FA4D37" w:rsidRPr="0018386D">
          <w:rPr>
            <w:rFonts w:asciiTheme="minorHAnsi" w:hAnsiTheme="minorHAnsi"/>
            <w:noProof/>
            <w:kern w:val="2"/>
            <w14:ligatures w14:val="standardContextual"/>
          </w:rPr>
          <w:tab/>
        </w:r>
        <w:r w:rsidR="00FA4D37" w:rsidRPr="0018386D">
          <w:rPr>
            <w:rStyle w:val="Hyperlink"/>
            <w:noProof/>
          </w:rPr>
          <w:t>Working from home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_Toc140048954 \h </w:instrText>
        </w:r>
        <w:r w:rsidR="00FA4D37" w:rsidRPr="0018386D">
          <w:rPr>
            <w:noProof/>
            <w:webHidden/>
          </w:rPr>
        </w:r>
        <w:r w:rsidR="00FA4D37" w:rsidRPr="0018386D">
          <w:rPr>
            <w:noProof/>
            <w:webHidden/>
          </w:rPr>
          <w:fldChar w:fldCharType="separate"/>
        </w:r>
        <w:r w:rsidR="00FA4D37" w:rsidRPr="0018386D">
          <w:rPr>
            <w:noProof/>
            <w:webHidden/>
          </w:rPr>
          <w:t>48</w:t>
        </w:r>
        <w:r w:rsidR="00FA4D37" w:rsidRPr="0018386D">
          <w:rPr>
            <w:noProof/>
            <w:webHidden/>
          </w:rPr>
          <w:fldChar w:fldCharType="end"/>
        </w:r>
      </w:hyperlink>
    </w:p>
    <w:p w14:paraId="29C33661" w14:textId="709FDA4F" w:rsidR="00FA4D37" w:rsidRPr="0018386D" w:rsidRDefault="00C7627E">
      <w:pPr>
        <w:pStyle w:val="TableofFigures"/>
        <w:tabs>
          <w:tab w:val="right" w:pos="8495"/>
        </w:tabs>
        <w:rPr>
          <w:rFonts w:asciiTheme="minorHAnsi" w:hAnsiTheme="minorHAnsi"/>
          <w:noProof/>
          <w:kern w:val="2"/>
          <w14:ligatures w14:val="standardContextual"/>
        </w:rPr>
      </w:pPr>
      <w:hyperlink w:anchor="_Toc140048955" w:history="1">
        <w:r w:rsidR="00FA4D37" w:rsidRPr="0018386D">
          <w:rPr>
            <w:rStyle w:val="Hyperlink"/>
            <w:noProof/>
          </w:rPr>
          <w:t>Table 15:</w:t>
        </w:r>
        <w:r w:rsidR="00FA4D37" w:rsidRPr="0018386D">
          <w:rPr>
            <w:rFonts w:asciiTheme="minorHAnsi" w:hAnsiTheme="minorHAnsi"/>
            <w:noProof/>
            <w:kern w:val="2"/>
            <w14:ligatures w14:val="standardContextual"/>
          </w:rPr>
          <w:tab/>
        </w:r>
        <w:r w:rsidR="00FA4D37" w:rsidRPr="0018386D">
          <w:rPr>
            <w:rStyle w:val="Hyperlink"/>
            <w:noProof/>
          </w:rPr>
          <w:t>Data used to calculate the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_Toc140048955 \h </w:instrText>
        </w:r>
        <w:r w:rsidR="00FA4D37" w:rsidRPr="0018386D">
          <w:rPr>
            <w:noProof/>
            <w:webHidden/>
          </w:rPr>
        </w:r>
        <w:r w:rsidR="00FA4D37" w:rsidRPr="0018386D">
          <w:rPr>
            <w:noProof/>
            <w:webHidden/>
          </w:rPr>
          <w:fldChar w:fldCharType="separate"/>
        </w:r>
        <w:r w:rsidR="00FA4D37" w:rsidRPr="0018386D">
          <w:rPr>
            <w:noProof/>
            <w:webHidden/>
          </w:rPr>
          <w:t>50</w:t>
        </w:r>
        <w:r w:rsidR="00FA4D37" w:rsidRPr="0018386D">
          <w:rPr>
            <w:noProof/>
            <w:webHidden/>
          </w:rPr>
          <w:fldChar w:fldCharType="end"/>
        </w:r>
      </w:hyperlink>
    </w:p>
    <w:p w14:paraId="4109F5C3" w14:textId="53038267" w:rsidR="00FA4D37" w:rsidRPr="0018386D" w:rsidRDefault="00C7627E">
      <w:pPr>
        <w:pStyle w:val="TableofFigures"/>
        <w:tabs>
          <w:tab w:val="right" w:pos="8495"/>
        </w:tabs>
        <w:rPr>
          <w:rFonts w:asciiTheme="minorHAnsi" w:hAnsiTheme="minorHAnsi"/>
          <w:noProof/>
          <w:kern w:val="2"/>
          <w14:ligatures w14:val="standardContextual"/>
        </w:rPr>
      </w:pPr>
      <w:hyperlink w:anchor="_Toc140048956" w:history="1">
        <w:r w:rsidR="00FA4D37" w:rsidRPr="0018386D">
          <w:rPr>
            <w:rStyle w:val="Hyperlink"/>
            <w:noProof/>
          </w:rPr>
          <w:t>Table 16:</w:t>
        </w:r>
        <w:r w:rsidR="00FA4D37" w:rsidRPr="0018386D">
          <w:rPr>
            <w:rFonts w:asciiTheme="minorHAnsi" w:hAnsiTheme="minorHAnsi"/>
            <w:noProof/>
            <w:kern w:val="2"/>
            <w14:ligatures w14:val="standardContextual"/>
          </w:rPr>
          <w:tab/>
        </w:r>
        <w:r w:rsidR="00FA4D37" w:rsidRPr="0018386D">
          <w:rPr>
            <w:rStyle w:val="Hyperlink"/>
            <w:noProof/>
          </w:rPr>
          <w:t>Vehicle engine sizes and common car types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_Toc140048956 \h </w:instrText>
        </w:r>
        <w:r w:rsidR="00FA4D37" w:rsidRPr="0018386D">
          <w:rPr>
            <w:noProof/>
            <w:webHidden/>
          </w:rPr>
        </w:r>
        <w:r w:rsidR="00FA4D37" w:rsidRPr="0018386D">
          <w:rPr>
            <w:noProof/>
            <w:webHidden/>
          </w:rPr>
          <w:fldChar w:fldCharType="separate"/>
        </w:r>
        <w:r w:rsidR="00FA4D37" w:rsidRPr="0018386D">
          <w:rPr>
            <w:noProof/>
            <w:webHidden/>
          </w:rPr>
          <w:t>53</w:t>
        </w:r>
        <w:r w:rsidR="00FA4D37" w:rsidRPr="0018386D">
          <w:rPr>
            <w:noProof/>
            <w:webHidden/>
          </w:rPr>
          <w:fldChar w:fldCharType="end"/>
        </w:r>
      </w:hyperlink>
    </w:p>
    <w:p w14:paraId="36262177" w14:textId="38D9ABCA" w:rsidR="00FA4D37" w:rsidRPr="0018386D" w:rsidRDefault="00C7627E">
      <w:pPr>
        <w:pStyle w:val="TableofFigures"/>
        <w:tabs>
          <w:tab w:val="right" w:pos="8495"/>
        </w:tabs>
        <w:rPr>
          <w:rFonts w:asciiTheme="minorHAnsi" w:hAnsiTheme="minorHAnsi"/>
          <w:noProof/>
          <w:kern w:val="2"/>
          <w14:ligatures w14:val="standardContextual"/>
        </w:rPr>
      </w:pPr>
      <w:hyperlink w:anchor="_Toc140048957" w:history="1">
        <w:r w:rsidR="00FA4D37" w:rsidRPr="0018386D">
          <w:rPr>
            <w:rStyle w:val="Hyperlink"/>
            <w:noProof/>
          </w:rPr>
          <w:t>Table 17:</w:t>
        </w:r>
        <w:r w:rsidR="00FA4D37" w:rsidRPr="0018386D">
          <w:rPr>
            <w:rFonts w:asciiTheme="minorHAnsi" w:hAnsiTheme="minorHAnsi"/>
            <w:noProof/>
            <w:kern w:val="2"/>
            <w14:ligatures w14:val="standardContextual"/>
          </w:rPr>
          <w:tab/>
        </w:r>
        <w:r w:rsidR="00FA4D37" w:rsidRPr="0018386D">
          <w:rPr>
            <w:rStyle w:val="Hyperlink"/>
            <w:noProof/>
          </w:rPr>
          <w:t>Pre-2010 vehicle fleet emission factors per km travelled</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_Toc140048957 \h </w:instrText>
        </w:r>
        <w:r w:rsidR="00FA4D37" w:rsidRPr="0018386D">
          <w:rPr>
            <w:noProof/>
            <w:webHidden/>
          </w:rPr>
        </w:r>
        <w:r w:rsidR="00FA4D37" w:rsidRPr="0018386D">
          <w:rPr>
            <w:noProof/>
            <w:webHidden/>
          </w:rPr>
          <w:fldChar w:fldCharType="separate"/>
        </w:r>
        <w:r w:rsidR="00FA4D37" w:rsidRPr="0018386D">
          <w:rPr>
            <w:noProof/>
            <w:webHidden/>
          </w:rPr>
          <w:t>53</w:t>
        </w:r>
        <w:r w:rsidR="00FA4D37" w:rsidRPr="0018386D">
          <w:rPr>
            <w:noProof/>
            <w:webHidden/>
          </w:rPr>
          <w:fldChar w:fldCharType="end"/>
        </w:r>
      </w:hyperlink>
    </w:p>
    <w:p w14:paraId="6FDEB416" w14:textId="0DBE0E0F" w:rsidR="00FA4D37" w:rsidRPr="0018386D" w:rsidRDefault="00C7627E">
      <w:pPr>
        <w:pStyle w:val="TableofFigures"/>
        <w:tabs>
          <w:tab w:val="right" w:pos="8495"/>
        </w:tabs>
        <w:rPr>
          <w:rFonts w:asciiTheme="minorHAnsi" w:hAnsiTheme="minorHAnsi"/>
          <w:noProof/>
          <w:kern w:val="2"/>
          <w14:ligatures w14:val="standardContextual"/>
        </w:rPr>
      </w:pPr>
      <w:hyperlink w:anchor="_Toc140048958" w:history="1">
        <w:r w:rsidR="00FA4D37" w:rsidRPr="0018386D">
          <w:rPr>
            <w:rStyle w:val="Hyperlink"/>
            <w:noProof/>
          </w:rPr>
          <w:t>Table 18:</w:t>
        </w:r>
        <w:r w:rsidR="00FA4D37" w:rsidRPr="0018386D">
          <w:rPr>
            <w:rFonts w:asciiTheme="minorHAnsi" w:hAnsiTheme="minorHAnsi"/>
            <w:noProof/>
            <w:kern w:val="2"/>
            <w14:ligatures w14:val="standardContextual"/>
          </w:rPr>
          <w:tab/>
        </w:r>
        <w:r w:rsidR="00FA4D37" w:rsidRPr="0018386D">
          <w:rPr>
            <w:rStyle w:val="Hyperlink"/>
            <w:noProof/>
          </w:rPr>
          <w:t>2010–2015 vehicle fleet emission factors per km travelled</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_Toc140048958 \h </w:instrText>
        </w:r>
        <w:r w:rsidR="00FA4D37" w:rsidRPr="0018386D">
          <w:rPr>
            <w:noProof/>
            <w:webHidden/>
          </w:rPr>
        </w:r>
        <w:r w:rsidR="00FA4D37" w:rsidRPr="0018386D">
          <w:rPr>
            <w:noProof/>
            <w:webHidden/>
          </w:rPr>
          <w:fldChar w:fldCharType="separate"/>
        </w:r>
        <w:r w:rsidR="00FA4D37" w:rsidRPr="0018386D">
          <w:rPr>
            <w:noProof/>
            <w:webHidden/>
          </w:rPr>
          <w:t>54</w:t>
        </w:r>
        <w:r w:rsidR="00FA4D37" w:rsidRPr="0018386D">
          <w:rPr>
            <w:noProof/>
            <w:webHidden/>
          </w:rPr>
          <w:fldChar w:fldCharType="end"/>
        </w:r>
      </w:hyperlink>
    </w:p>
    <w:p w14:paraId="4DAF925F" w14:textId="26157A04" w:rsidR="00FA4D37" w:rsidRPr="0018386D" w:rsidRDefault="00C7627E">
      <w:pPr>
        <w:pStyle w:val="TableofFigures"/>
        <w:tabs>
          <w:tab w:val="right" w:pos="8495"/>
        </w:tabs>
        <w:rPr>
          <w:rFonts w:asciiTheme="minorHAnsi" w:hAnsiTheme="minorHAnsi"/>
          <w:noProof/>
          <w:kern w:val="2"/>
          <w14:ligatures w14:val="standardContextual"/>
        </w:rPr>
      </w:pPr>
      <w:hyperlink w:anchor="_Toc140048959" w:history="1">
        <w:r w:rsidR="00FA4D37" w:rsidRPr="0018386D">
          <w:rPr>
            <w:rStyle w:val="Hyperlink"/>
            <w:noProof/>
          </w:rPr>
          <w:t>Table 19:</w:t>
        </w:r>
        <w:r w:rsidR="00FA4D37" w:rsidRPr="0018386D">
          <w:rPr>
            <w:rFonts w:asciiTheme="minorHAnsi" w:hAnsiTheme="minorHAnsi"/>
            <w:noProof/>
            <w:kern w:val="2"/>
            <w14:ligatures w14:val="standardContextual"/>
          </w:rPr>
          <w:tab/>
        </w:r>
        <w:r w:rsidR="00FA4D37" w:rsidRPr="0018386D">
          <w:rPr>
            <w:rStyle w:val="Hyperlink"/>
            <w:noProof/>
          </w:rPr>
          <w:t>Post-2015 vehicle fleet emissions per km travelled</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_Toc140048959 \h </w:instrText>
        </w:r>
        <w:r w:rsidR="00FA4D37" w:rsidRPr="0018386D">
          <w:rPr>
            <w:noProof/>
            <w:webHidden/>
          </w:rPr>
        </w:r>
        <w:r w:rsidR="00FA4D37" w:rsidRPr="0018386D">
          <w:rPr>
            <w:noProof/>
            <w:webHidden/>
          </w:rPr>
          <w:fldChar w:fldCharType="separate"/>
        </w:r>
        <w:r w:rsidR="00FA4D37" w:rsidRPr="0018386D">
          <w:rPr>
            <w:noProof/>
            <w:webHidden/>
          </w:rPr>
          <w:t>55</w:t>
        </w:r>
        <w:r w:rsidR="00FA4D37" w:rsidRPr="0018386D">
          <w:rPr>
            <w:noProof/>
            <w:webHidden/>
          </w:rPr>
          <w:fldChar w:fldCharType="end"/>
        </w:r>
      </w:hyperlink>
    </w:p>
    <w:p w14:paraId="638F3361" w14:textId="32DE3906" w:rsidR="00FA4D37" w:rsidRPr="0018386D" w:rsidRDefault="00C7627E">
      <w:pPr>
        <w:pStyle w:val="TableofFigures"/>
        <w:tabs>
          <w:tab w:val="right" w:pos="8495"/>
        </w:tabs>
        <w:rPr>
          <w:rFonts w:asciiTheme="minorHAnsi" w:hAnsiTheme="minorHAnsi"/>
          <w:noProof/>
          <w:kern w:val="2"/>
          <w14:ligatures w14:val="standardContextual"/>
        </w:rPr>
      </w:pPr>
      <w:hyperlink w:anchor="_Toc140048960" w:history="1">
        <w:r w:rsidR="00FA4D37" w:rsidRPr="0018386D">
          <w:rPr>
            <w:rStyle w:val="Hyperlink"/>
            <w:noProof/>
          </w:rPr>
          <w:t>Table 20:</w:t>
        </w:r>
        <w:r w:rsidR="00FA4D37" w:rsidRPr="0018386D">
          <w:rPr>
            <w:rFonts w:asciiTheme="minorHAnsi" w:hAnsiTheme="minorHAnsi"/>
            <w:noProof/>
            <w:kern w:val="2"/>
            <w14:ligatures w14:val="standardContextual"/>
          </w:rPr>
          <w:tab/>
        </w:r>
        <w:r w:rsidR="00FA4D37" w:rsidRPr="0018386D">
          <w:rPr>
            <w:rStyle w:val="Hyperlink"/>
            <w:noProof/>
          </w:rPr>
          <w:t>Default private car emission factors per km travelled for default age of vehicle and &lt;3000 cc engine size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_Toc140048960 \h </w:instrText>
        </w:r>
        <w:r w:rsidR="00FA4D37" w:rsidRPr="0018386D">
          <w:rPr>
            <w:noProof/>
            <w:webHidden/>
          </w:rPr>
        </w:r>
        <w:r w:rsidR="00FA4D37" w:rsidRPr="0018386D">
          <w:rPr>
            <w:noProof/>
            <w:webHidden/>
          </w:rPr>
          <w:fldChar w:fldCharType="separate"/>
        </w:r>
        <w:r w:rsidR="00FA4D37" w:rsidRPr="0018386D">
          <w:rPr>
            <w:noProof/>
            <w:webHidden/>
          </w:rPr>
          <w:t>57</w:t>
        </w:r>
        <w:r w:rsidR="00FA4D37" w:rsidRPr="0018386D">
          <w:rPr>
            <w:noProof/>
            <w:webHidden/>
          </w:rPr>
          <w:fldChar w:fldCharType="end"/>
        </w:r>
      </w:hyperlink>
    </w:p>
    <w:p w14:paraId="07B30D86" w14:textId="1D88C414" w:rsidR="00FA4D37" w:rsidRPr="0018386D" w:rsidRDefault="00C7627E">
      <w:pPr>
        <w:pStyle w:val="TableofFigures"/>
        <w:tabs>
          <w:tab w:val="right" w:pos="8495"/>
        </w:tabs>
        <w:rPr>
          <w:rFonts w:asciiTheme="minorHAnsi" w:hAnsiTheme="minorHAnsi"/>
          <w:noProof/>
          <w:kern w:val="2"/>
          <w14:ligatures w14:val="standardContextual"/>
        </w:rPr>
      </w:pPr>
      <w:hyperlink w:anchor="_Toc140048961" w:history="1">
        <w:r w:rsidR="00FA4D37" w:rsidRPr="0018386D">
          <w:rPr>
            <w:rStyle w:val="Hyperlink"/>
            <w:noProof/>
          </w:rPr>
          <w:t>Table 21:</w:t>
        </w:r>
        <w:r w:rsidR="00FA4D37" w:rsidRPr="0018386D">
          <w:rPr>
            <w:rFonts w:asciiTheme="minorHAnsi" w:hAnsiTheme="minorHAnsi"/>
            <w:noProof/>
            <w:kern w:val="2"/>
            <w14:ligatures w14:val="standardContextual"/>
          </w:rPr>
          <w:tab/>
        </w:r>
        <w:r w:rsidR="00FA4D37" w:rsidRPr="0018386D">
          <w:rPr>
            <w:rStyle w:val="Hyperlink"/>
            <w:noProof/>
          </w:rPr>
          <w:t>Default rental car emission factors per km travelled</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_Toc140048961 \h </w:instrText>
        </w:r>
        <w:r w:rsidR="00FA4D37" w:rsidRPr="0018386D">
          <w:rPr>
            <w:noProof/>
            <w:webHidden/>
          </w:rPr>
        </w:r>
        <w:r w:rsidR="00FA4D37" w:rsidRPr="0018386D">
          <w:rPr>
            <w:noProof/>
            <w:webHidden/>
          </w:rPr>
          <w:fldChar w:fldCharType="separate"/>
        </w:r>
        <w:r w:rsidR="00FA4D37" w:rsidRPr="0018386D">
          <w:rPr>
            <w:noProof/>
            <w:webHidden/>
          </w:rPr>
          <w:t>57</w:t>
        </w:r>
        <w:r w:rsidR="00FA4D37" w:rsidRPr="0018386D">
          <w:rPr>
            <w:noProof/>
            <w:webHidden/>
          </w:rPr>
          <w:fldChar w:fldCharType="end"/>
        </w:r>
      </w:hyperlink>
    </w:p>
    <w:p w14:paraId="7B1A75C3" w14:textId="2CAD154F" w:rsidR="00FA4D37" w:rsidRPr="0018386D" w:rsidRDefault="00C7627E">
      <w:pPr>
        <w:pStyle w:val="TableofFigures"/>
        <w:tabs>
          <w:tab w:val="right" w:pos="8495"/>
        </w:tabs>
        <w:rPr>
          <w:rFonts w:asciiTheme="minorHAnsi" w:hAnsiTheme="minorHAnsi"/>
          <w:noProof/>
          <w:kern w:val="2"/>
          <w14:ligatures w14:val="standardContextual"/>
        </w:rPr>
      </w:pPr>
      <w:hyperlink w:anchor="_Toc140048962" w:history="1">
        <w:r w:rsidR="00FA4D37" w:rsidRPr="0018386D">
          <w:rPr>
            <w:rStyle w:val="Hyperlink"/>
            <w:noProof/>
          </w:rPr>
          <w:t xml:space="preserve">Table 22: </w:t>
        </w:r>
        <w:r w:rsidR="00FA4D37" w:rsidRPr="0018386D">
          <w:rPr>
            <w:rFonts w:asciiTheme="minorHAnsi" w:hAnsiTheme="minorHAnsi"/>
            <w:noProof/>
            <w:kern w:val="2"/>
            <w14:ligatures w14:val="standardContextual"/>
          </w:rPr>
          <w:tab/>
        </w:r>
        <w:r w:rsidR="00FA4D37" w:rsidRPr="0018386D">
          <w:rPr>
            <w:rStyle w:val="Hyperlink"/>
            <w:noProof/>
          </w:rPr>
          <w:t>Emission factors for taxi travel</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_Toc140048962 \h </w:instrText>
        </w:r>
        <w:r w:rsidR="00FA4D37" w:rsidRPr="0018386D">
          <w:rPr>
            <w:noProof/>
            <w:webHidden/>
          </w:rPr>
        </w:r>
        <w:r w:rsidR="00FA4D37" w:rsidRPr="0018386D">
          <w:rPr>
            <w:noProof/>
            <w:webHidden/>
          </w:rPr>
          <w:fldChar w:fldCharType="separate"/>
        </w:r>
        <w:r w:rsidR="00FA4D37" w:rsidRPr="0018386D">
          <w:rPr>
            <w:noProof/>
            <w:webHidden/>
          </w:rPr>
          <w:t>58</w:t>
        </w:r>
        <w:r w:rsidR="00FA4D37" w:rsidRPr="0018386D">
          <w:rPr>
            <w:noProof/>
            <w:webHidden/>
          </w:rPr>
          <w:fldChar w:fldCharType="end"/>
        </w:r>
      </w:hyperlink>
    </w:p>
    <w:p w14:paraId="4124C0DC" w14:textId="22DC036C" w:rsidR="00FA4D37" w:rsidRPr="0018386D" w:rsidRDefault="00C7627E">
      <w:pPr>
        <w:pStyle w:val="TableofFigures"/>
        <w:tabs>
          <w:tab w:val="right" w:pos="8495"/>
        </w:tabs>
        <w:rPr>
          <w:rFonts w:asciiTheme="minorHAnsi" w:hAnsiTheme="minorHAnsi"/>
          <w:noProof/>
          <w:kern w:val="2"/>
          <w14:ligatures w14:val="standardContextual"/>
        </w:rPr>
      </w:pPr>
      <w:hyperlink w:anchor="_Toc140048963" w:history="1">
        <w:r w:rsidR="00FA4D37" w:rsidRPr="0018386D">
          <w:rPr>
            <w:rStyle w:val="Hyperlink"/>
            <w:noProof/>
          </w:rPr>
          <w:t>Table 23:</w:t>
        </w:r>
        <w:r w:rsidR="00FA4D37" w:rsidRPr="0018386D">
          <w:rPr>
            <w:rFonts w:asciiTheme="minorHAnsi" w:hAnsiTheme="minorHAnsi"/>
            <w:noProof/>
            <w:kern w:val="2"/>
            <w14:ligatures w14:val="standardContextual"/>
          </w:rPr>
          <w:tab/>
        </w:r>
        <w:r w:rsidR="00FA4D37" w:rsidRPr="0018386D">
          <w:rPr>
            <w:rStyle w:val="Hyperlink"/>
            <w:noProof/>
          </w:rPr>
          <w:t>Fuel consumption in litres per 100 km</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_Toc140048963 \h </w:instrText>
        </w:r>
        <w:r w:rsidR="00FA4D37" w:rsidRPr="0018386D">
          <w:rPr>
            <w:noProof/>
            <w:webHidden/>
          </w:rPr>
        </w:r>
        <w:r w:rsidR="00FA4D37" w:rsidRPr="0018386D">
          <w:rPr>
            <w:noProof/>
            <w:webHidden/>
          </w:rPr>
          <w:fldChar w:fldCharType="separate"/>
        </w:r>
        <w:r w:rsidR="00FA4D37" w:rsidRPr="0018386D">
          <w:rPr>
            <w:noProof/>
            <w:webHidden/>
          </w:rPr>
          <w:t>60</w:t>
        </w:r>
        <w:r w:rsidR="00FA4D37" w:rsidRPr="0018386D">
          <w:rPr>
            <w:noProof/>
            <w:webHidden/>
          </w:rPr>
          <w:fldChar w:fldCharType="end"/>
        </w:r>
      </w:hyperlink>
    </w:p>
    <w:p w14:paraId="3A079E0D" w14:textId="00F801BF" w:rsidR="00FA4D37" w:rsidRPr="0018386D" w:rsidRDefault="00C7627E">
      <w:pPr>
        <w:pStyle w:val="TableofFigures"/>
        <w:tabs>
          <w:tab w:val="right" w:pos="8495"/>
        </w:tabs>
        <w:rPr>
          <w:rFonts w:asciiTheme="minorHAnsi" w:hAnsiTheme="minorHAnsi"/>
          <w:noProof/>
          <w:kern w:val="2"/>
          <w14:ligatures w14:val="standardContextual"/>
        </w:rPr>
      </w:pPr>
      <w:hyperlink w:anchor="_Toc140048964" w:history="1">
        <w:r w:rsidR="00FA4D37" w:rsidRPr="0018386D">
          <w:rPr>
            <w:rStyle w:val="Hyperlink"/>
            <w:noProof/>
          </w:rPr>
          <w:t>Table 24:</w:t>
        </w:r>
        <w:r w:rsidR="00FA4D37" w:rsidRPr="0018386D">
          <w:rPr>
            <w:rFonts w:asciiTheme="minorHAnsi" w:hAnsiTheme="minorHAnsi"/>
            <w:noProof/>
            <w:kern w:val="2"/>
            <w14:ligatures w14:val="standardContextual"/>
          </w:rPr>
          <w:tab/>
        </w:r>
        <w:r w:rsidR="00FA4D37" w:rsidRPr="0018386D">
          <w:rPr>
            <w:rStyle w:val="Hyperlink"/>
            <w:noProof/>
          </w:rPr>
          <w:t>Data used for calculating the taxi (regular) emission factor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_Toc140048964 \h </w:instrText>
        </w:r>
        <w:r w:rsidR="00FA4D37" w:rsidRPr="0018386D">
          <w:rPr>
            <w:noProof/>
            <w:webHidden/>
          </w:rPr>
        </w:r>
        <w:r w:rsidR="00FA4D37" w:rsidRPr="0018386D">
          <w:rPr>
            <w:noProof/>
            <w:webHidden/>
          </w:rPr>
          <w:fldChar w:fldCharType="separate"/>
        </w:r>
        <w:r w:rsidR="00FA4D37" w:rsidRPr="0018386D">
          <w:rPr>
            <w:noProof/>
            <w:webHidden/>
          </w:rPr>
          <w:t>61</w:t>
        </w:r>
        <w:r w:rsidR="00FA4D37" w:rsidRPr="0018386D">
          <w:rPr>
            <w:noProof/>
            <w:webHidden/>
          </w:rPr>
          <w:fldChar w:fldCharType="end"/>
        </w:r>
      </w:hyperlink>
    </w:p>
    <w:p w14:paraId="5147224D" w14:textId="3697DBA8" w:rsidR="00FA4D37" w:rsidRPr="0018386D" w:rsidRDefault="00C7627E">
      <w:pPr>
        <w:pStyle w:val="TableofFigures"/>
        <w:tabs>
          <w:tab w:val="right" w:pos="8495"/>
        </w:tabs>
        <w:rPr>
          <w:rFonts w:asciiTheme="minorHAnsi" w:hAnsiTheme="minorHAnsi"/>
          <w:noProof/>
          <w:kern w:val="2"/>
          <w14:ligatures w14:val="standardContextual"/>
        </w:rPr>
      </w:pPr>
      <w:hyperlink w:anchor="_Toc140048965" w:history="1">
        <w:r w:rsidR="00FA4D37" w:rsidRPr="0018386D">
          <w:rPr>
            <w:rStyle w:val="Hyperlink"/>
            <w:noProof/>
          </w:rPr>
          <w:t>Table 25:</w:t>
        </w:r>
        <w:r w:rsidR="00FA4D37" w:rsidRPr="0018386D">
          <w:rPr>
            <w:rFonts w:asciiTheme="minorHAnsi" w:hAnsiTheme="minorHAnsi"/>
            <w:noProof/>
            <w:kern w:val="2"/>
            <w14:ligatures w14:val="standardContextual"/>
          </w:rPr>
          <w:tab/>
        </w:r>
        <w:r w:rsidR="00FA4D37" w:rsidRPr="0018386D">
          <w:rPr>
            <w:rStyle w:val="Hyperlink"/>
            <w:noProof/>
          </w:rPr>
          <w:t>Figures used to derive the taxi regular factor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_Toc140048965 \h </w:instrText>
        </w:r>
        <w:r w:rsidR="00FA4D37" w:rsidRPr="0018386D">
          <w:rPr>
            <w:noProof/>
            <w:webHidden/>
          </w:rPr>
        </w:r>
        <w:r w:rsidR="00FA4D37" w:rsidRPr="0018386D">
          <w:rPr>
            <w:noProof/>
            <w:webHidden/>
          </w:rPr>
          <w:fldChar w:fldCharType="separate"/>
        </w:r>
        <w:r w:rsidR="00FA4D37" w:rsidRPr="0018386D">
          <w:rPr>
            <w:noProof/>
            <w:webHidden/>
          </w:rPr>
          <w:t>62</w:t>
        </w:r>
        <w:r w:rsidR="00FA4D37" w:rsidRPr="0018386D">
          <w:rPr>
            <w:noProof/>
            <w:webHidden/>
          </w:rPr>
          <w:fldChar w:fldCharType="end"/>
        </w:r>
      </w:hyperlink>
    </w:p>
    <w:p w14:paraId="30FBCC0D" w14:textId="174799B0" w:rsidR="00FA4D37" w:rsidRPr="0018386D" w:rsidRDefault="00C7627E">
      <w:pPr>
        <w:pStyle w:val="TableofFigures"/>
        <w:tabs>
          <w:tab w:val="right" w:pos="8495"/>
        </w:tabs>
        <w:rPr>
          <w:rFonts w:asciiTheme="minorHAnsi" w:hAnsiTheme="minorHAnsi"/>
          <w:noProof/>
          <w:kern w:val="2"/>
          <w14:ligatures w14:val="standardContextual"/>
        </w:rPr>
      </w:pPr>
      <w:hyperlink w:anchor="_Toc140048966" w:history="1">
        <w:r w:rsidR="00FA4D37" w:rsidRPr="0018386D">
          <w:rPr>
            <w:rStyle w:val="Hyperlink"/>
            <w:noProof/>
          </w:rPr>
          <w:t>Table 26:</w:t>
        </w:r>
        <w:r w:rsidR="00FA4D37" w:rsidRPr="0018386D">
          <w:rPr>
            <w:rFonts w:asciiTheme="minorHAnsi" w:hAnsiTheme="minorHAnsi"/>
            <w:noProof/>
            <w:kern w:val="2"/>
            <w14:ligatures w14:val="standardContextual"/>
          </w:rPr>
          <w:tab/>
        </w:r>
        <w:r w:rsidR="00FA4D37" w:rsidRPr="0018386D">
          <w:rPr>
            <w:rStyle w:val="Hyperlink"/>
            <w:noProof/>
          </w:rPr>
          <w:t>Energy consumption per 100 km for average light passenger vehicles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_Toc140048966 \h </w:instrText>
        </w:r>
        <w:r w:rsidR="00FA4D37" w:rsidRPr="0018386D">
          <w:rPr>
            <w:noProof/>
            <w:webHidden/>
          </w:rPr>
        </w:r>
        <w:r w:rsidR="00FA4D37" w:rsidRPr="0018386D">
          <w:rPr>
            <w:noProof/>
            <w:webHidden/>
          </w:rPr>
          <w:fldChar w:fldCharType="separate"/>
        </w:r>
        <w:r w:rsidR="00FA4D37" w:rsidRPr="0018386D">
          <w:rPr>
            <w:noProof/>
            <w:webHidden/>
          </w:rPr>
          <w:t>62</w:t>
        </w:r>
        <w:r w:rsidR="00FA4D37" w:rsidRPr="0018386D">
          <w:rPr>
            <w:noProof/>
            <w:webHidden/>
          </w:rPr>
          <w:fldChar w:fldCharType="end"/>
        </w:r>
      </w:hyperlink>
    </w:p>
    <w:p w14:paraId="46CFCDAA" w14:textId="1BA8BAFA" w:rsidR="00FA4D37" w:rsidRPr="0018386D" w:rsidRDefault="00C7627E">
      <w:pPr>
        <w:pStyle w:val="TableofFigures"/>
        <w:tabs>
          <w:tab w:val="right" w:pos="8495"/>
        </w:tabs>
        <w:rPr>
          <w:rFonts w:asciiTheme="minorHAnsi" w:hAnsiTheme="minorHAnsi"/>
          <w:noProof/>
          <w:kern w:val="2"/>
          <w14:ligatures w14:val="standardContextual"/>
        </w:rPr>
      </w:pPr>
      <w:hyperlink w:anchor="_Toc140048967" w:history="1">
        <w:r w:rsidR="00FA4D37" w:rsidRPr="0018386D">
          <w:rPr>
            <w:rStyle w:val="Hyperlink"/>
            <w:noProof/>
          </w:rPr>
          <w:t>Table 27:</w:t>
        </w:r>
        <w:r w:rsidR="00FA4D37" w:rsidRPr="0018386D">
          <w:rPr>
            <w:rFonts w:asciiTheme="minorHAnsi" w:hAnsiTheme="minorHAnsi"/>
            <w:noProof/>
            <w:kern w:val="2"/>
            <w14:ligatures w14:val="standardContextual"/>
          </w:rPr>
          <w:tab/>
        </w:r>
        <w:r w:rsidR="00FA4D37" w:rsidRPr="0018386D">
          <w:rPr>
            <w:rStyle w:val="Hyperlink"/>
            <w:noProof/>
          </w:rPr>
          <w:t>Emission factors for public transport</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_Toc140048967 \h </w:instrText>
        </w:r>
        <w:r w:rsidR="00FA4D37" w:rsidRPr="0018386D">
          <w:rPr>
            <w:noProof/>
            <w:webHidden/>
          </w:rPr>
        </w:r>
        <w:r w:rsidR="00FA4D37" w:rsidRPr="0018386D">
          <w:rPr>
            <w:noProof/>
            <w:webHidden/>
          </w:rPr>
          <w:fldChar w:fldCharType="separate"/>
        </w:r>
        <w:r w:rsidR="00FA4D37" w:rsidRPr="0018386D">
          <w:rPr>
            <w:noProof/>
            <w:webHidden/>
          </w:rPr>
          <w:t>63</w:t>
        </w:r>
        <w:r w:rsidR="00FA4D37" w:rsidRPr="0018386D">
          <w:rPr>
            <w:noProof/>
            <w:webHidden/>
          </w:rPr>
          <w:fldChar w:fldCharType="end"/>
        </w:r>
      </w:hyperlink>
    </w:p>
    <w:p w14:paraId="2D11BC6A" w14:textId="7AF29FE2" w:rsidR="00FA4D37" w:rsidRPr="0018386D" w:rsidRDefault="00C7627E">
      <w:pPr>
        <w:pStyle w:val="TableofFigures"/>
        <w:tabs>
          <w:tab w:val="right" w:pos="8495"/>
        </w:tabs>
        <w:rPr>
          <w:rFonts w:asciiTheme="minorHAnsi" w:hAnsiTheme="minorHAnsi"/>
          <w:noProof/>
          <w:kern w:val="2"/>
          <w14:ligatures w14:val="standardContextual"/>
        </w:rPr>
      </w:pPr>
      <w:hyperlink w:anchor="_Toc140048968" w:history="1">
        <w:r w:rsidR="00FA4D37" w:rsidRPr="0018386D">
          <w:rPr>
            <w:rStyle w:val="Hyperlink"/>
            <w:noProof/>
          </w:rPr>
          <w:t>Table 28:</w:t>
        </w:r>
        <w:r w:rsidR="00FA4D37" w:rsidRPr="0018386D">
          <w:rPr>
            <w:rFonts w:asciiTheme="minorHAnsi" w:hAnsiTheme="minorHAnsi"/>
            <w:noProof/>
            <w:kern w:val="2"/>
            <w14:ligatures w14:val="standardContextual"/>
          </w:rPr>
          <w:tab/>
        </w:r>
        <w:r w:rsidR="00FA4D37" w:rsidRPr="0018386D">
          <w:rPr>
            <w:rStyle w:val="Hyperlink"/>
            <w:noProof/>
          </w:rPr>
          <w:t>National bus passenger kilometres in 2020/21</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_Toc140048968 \h </w:instrText>
        </w:r>
        <w:r w:rsidR="00FA4D37" w:rsidRPr="0018386D">
          <w:rPr>
            <w:noProof/>
            <w:webHidden/>
          </w:rPr>
        </w:r>
        <w:r w:rsidR="00FA4D37" w:rsidRPr="0018386D">
          <w:rPr>
            <w:noProof/>
            <w:webHidden/>
          </w:rPr>
          <w:fldChar w:fldCharType="separate"/>
        </w:r>
        <w:r w:rsidR="00FA4D37" w:rsidRPr="0018386D">
          <w:rPr>
            <w:noProof/>
            <w:webHidden/>
          </w:rPr>
          <w:t>64</w:t>
        </w:r>
        <w:r w:rsidR="00FA4D37" w:rsidRPr="0018386D">
          <w:rPr>
            <w:noProof/>
            <w:webHidden/>
          </w:rPr>
          <w:fldChar w:fldCharType="end"/>
        </w:r>
      </w:hyperlink>
    </w:p>
    <w:p w14:paraId="1C75F731" w14:textId="027D7CAA" w:rsidR="00FA4D37" w:rsidRPr="0018386D" w:rsidRDefault="00C7627E">
      <w:pPr>
        <w:pStyle w:val="TableofFigures"/>
        <w:tabs>
          <w:tab w:val="right" w:pos="8495"/>
        </w:tabs>
        <w:rPr>
          <w:rFonts w:asciiTheme="minorHAnsi" w:hAnsiTheme="minorHAnsi"/>
          <w:noProof/>
          <w:kern w:val="2"/>
          <w14:ligatures w14:val="standardContextual"/>
        </w:rPr>
      </w:pPr>
      <w:hyperlink w:anchor="_Toc140048969" w:history="1">
        <w:r w:rsidR="00FA4D37" w:rsidRPr="0018386D">
          <w:rPr>
            <w:rStyle w:val="Hyperlink"/>
            <w:noProof/>
          </w:rPr>
          <w:t>Table 29:</w:t>
        </w:r>
        <w:r w:rsidR="00FA4D37" w:rsidRPr="0018386D">
          <w:rPr>
            <w:rFonts w:asciiTheme="minorHAnsi" w:hAnsiTheme="minorHAnsi"/>
            <w:noProof/>
            <w:kern w:val="2"/>
            <w14:ligatures w14:val="standardContextual"/>
          </w:rPr>
          <w:tab/>
        </w:r>
        <w:r w:rsidR="00FA4D37" w:rsidRPr="0018386D">
          <w:rPr>
            <w:rStyle w:val="Hyperlink"/>
            <w:noProof/>
          </w:rPr>
          <w:t>National bus passenger loading by region</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_Toc140048969 \h </w:instrText>
        </w:r>
        <w:r w:rsidR="00FA4D37" w:rsidRPr="0018386D">
          <w:rPr>
            <w:noProof/>
            <w:webHidden/>
          </w:rPr>
        </w:r>
        <w:r w:rsidR="00FA4D37" w:rsidRPr="0018386D">
          <w:rPr>
            <w:noProof/>
            <w:webHidden/>
          </w:rPr>
          <w:fldChar w:fldCharType="separate"/>
        </w:r>
        <w:r w:rsidR="00FA4D37" w:rsidRPr="0018386D">
          <w:rPr>
            <w:noProof/>
            <w:webHidden/>
          </w:rPr>
          <w:t>64</w:t>
        </w:r>
        <w:r w:rsidR="00FA4D37" w:rsidRPr="0018386D">
          <w:rPr>
            <w:noProof/>
            <w:webHidden/>
          </w:rPr>
          <w:fldChar w:fldCharType="end"/>
        </w:r>
      </w:hyperlink>
    </w:p>
    <w:p w14:paraId="7498CD9E" w14:textId="20F15B55" w:rsidR="00FA4D37" w:rsidRPr="0018386D" w:rsidRDefault="00C7627E">
      <w:pPr>
        <w:pStyle w:val="TableofFigures"/>
        <w:tabs>
          <w:tab w:val="right" w:pos="8495"/>
        </w:tabs>
        <w:rPr>
          <w:rFonts w:asciiTheme="minorHAnsi" w:hAnsiTheme="minorHAnsi"/>
          <w:noProof/>
          <w:kern w:val="2"/>
          <w14:ligatures w14:val="standardContextual"/>
        </w:rPr>
      </w:pPr>
      <w:hyperlink w:anchor="_Toc140048970" w:history="1">
        <w:r w:rsidR="00FA4D37" w:rsidRPr="0018386D">
          <w:rPr>
            <w:rStyle w:val="Hyperlink"/>
            <w:noProof/>
          </w:rPr>
          <w:t>Table 30:</w:t>
        </w:r>
        <w:r w:rsidR="00FA4D37" w:rsidRPr="0018386D">
          <w:rPr>
            <w:rFonts w:asciiTheme="minorHAnsi" w:hAnsiTheme="minorHAnsi"/>
            <w:noProof/>
            <w:kern w:val="2"/>
            <w14:ligatures w14:val="standardContextual"/>
          </w:rPr>
          <w:tab/>
        </w:r>
        <w:r w:rsidR="00FA4D37" w:rsidRPr="0018386D">
          <w:rPr>
            <w:rStyle w:val="Hyperlink"/>
            <w:noProof/>
          </w:rPr>
          <w:t>Emission factor for national average bus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_Toc140048970 \h </w:instrText>
        </w:r>
        <w:r w:rsidR="00FA4D37" w:rsidRPr="0018386D">
          <w:rPr>
            <w:noProof/>
            <w:webHidden/>
          </w:rPr>
        </w:r>
        <w:r w:rsidR="00FA4D37" w:rsidRPr="0018386D">
          <w:rPr>
            <w:noProof/>
            <w:webHidden/>
          </w:rPr>
          <w:fldChar w:fldCharType="separate"/>
        </w:r>
        <w:r w:rsidR="00FA4D37" w:rsidRPr="0018386D">
          <w:rPr>
            <w:noProof/>
            <w:webHidden/>
          </w:rPr>
          <w:t>65</w:t>
        </w:r>
        <w:r w:rsidR="00FA4D37" w:rsidRPr="0018386D">
          <w:rPr>
            <w:noProof/>
            <w:webHidden/>
          </w:rPr>
          <w:fldChar w:fldCharType="end"/>
        </w:r>
      </w:hyperlink>
    </w:p>
    <w:p w14:paraId="251516CB" w14:textId="499EC13D" w:rsidR="00FA4D37" w:rsidRPr="0018386D" w:rsidRDefault="00C7627E">
      <w:pPr>
        <w:pStyle w:val="TableofFigures"/>
        <w:tabs>
          <w:tab w:val="right" w:pos="8495"/>
        </w:tabs>
        <w:rPr>
          <w:rFonts w:asciiTheme="minorHAnsi" w:hAnsiTheme="minorHAnsi"/>
          <w:noProof/>
          <w:kern w:val="2"/>
          <w14:ligatures w14:val="standardContextual"/>
        </w:rPr>
      </w:pPr>
      <w:hyperlink w:anchor="_Toc140048971" w:history="1">
        <w:r w:rsidR="00FA4D37" w:rsidRPr="0018386D">
          <w:rPr>
            <w:rStyle w:val="Hyperlink"/>
            <w:noProof/>
          </w:rPr>
          <w:t>Table 31:</w:t>
        </w:r>
        <w:r w:rsidR="00FA4D37" w:rsidRPr="0018386D">
          <w:rPr>
            <w:rFonts w:asciiTheme="minorHAnsi" w:hAnsiTheme="minorHAnsi"/>
            <w:noProof/>
            <w:kern w:val="2"/>
            <w14:ligatures w14:val="standardContextual"/>
          </w:rPr>
          <w:tab/>
        </w:r>
        <w:r w:rsidR="00FA4D37" w:rsidRPr="0018386D">
          <w:rPr>
            <w:rStyle w:val="Hyperlink"/>
            <w:noProof/>
          </w:rPr>
          <w:t>Greater Wellington Regional Council 2020 data for electric buses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_Toc140048971 \h </w:instrText>
        </w:r>
        <w:r w:rsidR="00FA4D37" w:rsidRPr="0018386D">
          <w:rPr>
            <w:noProof/>
            <w:webHidden/>
          </w:rPr>
        </w:r>
        <w:r w:rsidR="00FA4D37" w:rsidRPr="0018386D">
          <w:rPr>
            <w:noProof/>
            <w:webHidden/>
          </w:rPr>
          <w:fldChar w:fldCharType="separate"/>
        </w:r>
        <w:r w:rsidR="00FA4D37" w:rsidRPr="0018386D">
          <w:rPr>
            <w:noProof/>
            <w:webHidden/>
          </w:rPr>
          <w:t>65</w:t>
        </w:r>
        <w:r w:rsidR="00FA4D37" w:rsidRPr="0018386D">
          <w:rPr>
            <w:noProof/>
            <w:webHidden/>
          </w:rPr>
          <w:fldChar w:fldCharType="end"/>
        </w:r>
      </w:hyperlink>
    </w:p>
    <w:p w14:paraId="35182EE8" w14:textId="6E09355D" w:rsidR="00FA4D37" w:rsidRPr="0018386D" w:rsidRDefault="00C7627E">
      <w:pPr>
        <w:pStyle w:val="TableofFigures"/>
        <w:tabs>
          <w:tab w:val="right" w:pos="8495"/>
        </w:tabs>
        <w:rPr>
          <w:rFonts w:asciiTheme="minorHAnsi" w:hAnsiTheme="minorHAnsi"/>
          <w:noProof/>
          <w:kern w:val="2"/>
          <w14:ligatures w14:val="standardContextual"/>
        </w:rPr>
      </w:pPr>
      <w:hyperlink w:anchor="_Toc140048972" w:history="1">
        <w:r w:rsidR="00FA4D37" w:rsidRPr="0018386D">
          <w:rPr>
            <w:rStyle w:val="Hyperlink"/>
            <w:noProof/>
          </w:rPr>
          <w:t>Table 32:</w:t>
        </w:r>
        <w:r w:rsidR="00FA4D37" w:rsidRPr="0018386D">
          <w:rPr>
            <w:rFonts w:asciiTheme="minorHAnsi" w:hAnsiTheme="minorHAnsi"/>
            <w:noProof/>
            <w:kern w:val="2"/>
            <w14:ligatures w14:val="standardContextual"/>
          </w:rPr>
          <w:tab/>
        </w:r>
        <w:r w:rsidR="00FA4D37" w:rsidRPr="0018386D">
          <w:rPr>
            <w:rStyle w:val="Hyperlink"/>
            <w:noProof/>
          </w:rPr>
          <w:t>Greater Wellington Regional Council 2020 data for diesel buses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_Toc140048972 \h </w:instrText>
        </w:r>
        <w:r w:rsidR="00FA4D37" w:rsidRPr="0018386D">
          <w:rPr>
            <w:noProof/>
            <w:webHidden/>
          </w:rPr>
        </w:r>
        <w:r w:rsidR="00FA4D37" w:rsidRPr="0018386D">
          <w:rPr>
            <w:noProof/>
            <w:webHidden/>
          </w:rPr>
          <w:fldChar w:fldCharType="separate"/>
        </w:r>
        <w:r w:rsidR="00FA4D37" w:rsidRPr="0018386D">
          <w:rPr>
            <w:noProof/>
            <w:webHidden/>
          </w:rPr>
          <w:t>65</w:t>
        </w:r>
        <w:r w:rsidR="00FA4D37" w:rsidRPr="0018386D">
          <w:rPr>
            <w:noProof/>
            <w:webHidden/>
          </w:rPr>
          <w:fldChar w:fldCharType="end"/>
        </w:r>
      </w:hyperlink>
    </w:p>
    <w:p w14:paraId="7BCC46DB" w14:textId="61E54AD2" w:rsidR="00FA4D37" w:rsidRPr="0018386D" w:rsidRDefault="00C7627E">
      <w:pPr>
        <w:pStyle w:val="TableofFigures"/>
        <w:tabs>
          <w:tab w:val="right" w:pos="8495"/>
        </w:tabs>
        <w:rPr>
          <w:rFonts w:asciiTheme="minorHAnsi" w:hAnsiTheme="minorHAnsi"/>
          <w:noProof/>
          <w:kern w:val="2"/>
          <w14:ligatures w14:val="standardContextual"/>
        </w:rPr>
      </w:pPr>
      <w:hyperlink w:anchor="_Toc140048973" w:history="1">
        <w:r w:rsidR="00FA4D37" w:rsidRPr="0018386D">
          <w:rPr>
            <w:rStyle w:val="Hyperlink"/>
            <w:noProof/>
          </w:rPr>
          <w:t>Table 33:</w:t>
        </w:r>
        <w:r w:rsidR="00FA4D37" w:rsidRPr="0018386D">
          <w:rPr>
            <w:rFonts w:asciiTheme="minorHAnsi" w:hAnsiTheme="minorHAnsi"/>
            <w:noProof/>
            <w:kern w:val="2"/>
            <w14:ligatures w14:val="standardContextual"/>
          </w:rPr>
          <w:tab/>
        </w:r>
        <w:r w:rsidR="00FA4D37" w:rsidRPr="0018386D">
          <w:rPr>
            <w:rStyle w:val="Hyperlink"/>
            <w:noProof/>
          </w:rPr>
          <w:t>Wellington train data</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_Toc140048973 \h </w:instrText>
        </w:r>
        <w:r w:rsidR="00FA4D37" w:rsidRPr="0018386D">
          <w:rPr>
            <w:noProof/>
            <w:webHidden/>
          </w:rPr>
        </w:r>
        <w:r w:rsidR="00FA4D37" w:rsidRPr="0018386D">
          <w:rPr>
            <w:noProof/>
            <w:webHidden/>
          </w:rPr>
          <w:fldChar w:fldCharType="separate"/>
        </w:r>
        <w:r w:rsidR="00FA4D37" w:rsidRPr="0018386D">
          <w:rPr>
            <w:noProof/>
            <w:webHidden/>
          </w:rPr>
          <w:t>66</w:t>
        </w:r>
        <w:r w:rsidR="00FA4D37" w:rsidRPr="0018386D">
          <w:rPr>
            <w:noProof/>
            <w:webHidden/>
          </w:rPr>
          <w:fldChar w:fldCharType="end"/>
        </w:r>
      </w:hyperlink>
    </w:p>
    <w:p w14:paraId="66C731D2" w14:textId="7C047277" w:rsidR="00FA4D37" w:rsidRPr="0018386D" w:rsidRDefault="00C7627E">
      <w:pPr>
        <w:pStyle w:val="TableofFigures"/>
        <w:tabs>
          <w:tab w:val="right" w:pos="8495"/>
        </w:tabs>
        <w:rPr>
          <w:rFonts w:asciiTheme="minorHAnsi" w:hAnsiTheme="minorHAnsi"/>
          <w:noProof/>
          <w:kern w:val="2"/>
          <w14:ligatures w14:val="standardContextual"/>
        </w:rPr>
      </w:pPr>
      <w:hyperlink w:anchor="_Toc140048974" w:history="1">
        <w:r w:rsidR="00FA4D37" w:rsidRPr="0018386D">
          <w:rPr>
            <w:rStyle w:val="Hyperlink"/>
            <w:noProof/>
          </w:rPr>
          <w:t>Table 34:</w:t>
        </w:r>
        <w:r w:rsidR="00FA4D37" w:rsidRPr="0018386D">
          <w:rPr>
            <w:rFonts w:asciiTheme="minorHAnsi" w:hAnsiTheme="minorHAnsi"/>
            <w:noProof/>
            <w:kern w:val="2"/>
            <w14:ligatures w14:val="standardContextual"/>
          </w:rPr>
          <w:tab/>
        </w:r>
        <w:r w:rsidR="00FA4D37" w:rsidRPr="0018386D">
          <w:rPr>
            <w:rStyle w:val="Hyperlink"/>
            <w:noProof/>
          </w:rPr>
          <w:t>Bus emission factors per km travelled</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_Toc140048974 \h </w:instrText>
        </w:r>
        <w:r w:rsidR="00FA4D37" w:rsidRPr="0018386D">
          <w:rPr>
            <w:noProof/>
            <w:webHidden/>
          </w:rPr>
        </w:r>
        <w:r w:rsidR="00FA4D37" w:rsidRPr="0018386D">
          <w:rPr>
            <w:noProof/>
            <w:webHidden/>
          </w:rPr>
          <w:fldChar w:fldCharType="separate"/>
        </w:r>
        <w:r w:rsidR="00FA4D37" w:rsidRPr="0018386D">
          <w:rPr>
            <w:noProof/>
            <w:webHidden/>
          </w:rPr>
          <w:t>66</w:t>
        </w:r>
        <w:r w:rsidR="00FA4D37" w:rsidRPr="0018386D">
          <w:rPr>
            <w:noProof/>
            <w:webHidden/>
          </w:rPr>
          <w:fldChar w:fldCharType="end"/>
        </w:r>
      </w:hyperlink>
    </w:p>
    <w:p w14:paraId="02CF45A5" w14:textId="6BAFBE34" w:rsidR="00FA4D37" w:rsidRPr="0018386D" w:rsidRDefault="00C7627E">
      <w:pPr>
        <w:pStyle w:val="TableofFigures"/>
        <w:tabs>
          <w:tab w:val="right" w:pos="8495"/>
        </w:tabs>
        <w:rPr>
          <w:rFonts w:asciiTheme="minorHAnsi" w:hAnsiTheme="minorHAnsi"/>
          <w:noProof/>
          <w:kern w:val="2"/>
          <w14:ligatures w14:val="standardContextual"/>
        </w:rPr>
      </w:pPr>
      <w:hyperlink w:anchor="_Toc140048975" w:history="1">
        <w:r w:rsidR="00FA4D37" w:rsidRPr="0018386D">
          <w:rPr>
            <w:rStyle w:val="Hyperlink"/>
            <w:noProof/>
          </w:rPr>
          <w:t>Table 35:</w:t>
        </w:r>
        <w:r w:rsidR="00FA4D37" w:rsidRPr="0018386D">
          <w:rPr>
            <w:rFonts w:asciiTheme="minorHAnsi" w:hAnsiTheme="minorHAnsi"/>
            <w:noProof/>
            <w:kern w:val="2"/>
            <w14:ligatures w14:val="standardContextual"/>
          </w:rPr>
          <w:tab/>
        </w:r>
        <w:r w:rsidR="00FA4D37" w:rsidRPr="0018386D">
          <w:rPr>
            <w:rStyle w:val="Hyperlink"/>
            <w:noProof/>
          </w:rPr>
          <w:t>Fuel/energy consumption per 100 km for pre-2010 fleet buses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_Toc140048975 \h </w:instrText>
        </w:r>
        <w:r w:rsidR="00FA4D37" w:rsidRPr="0018386D">
          <w:rPr>
            <w:noProof/>
            <w:webHidden/>
          </w:rPr>
        </w:r>
        <w:r w:rsidR="00FA4D37" w:rsidRPr="0018386D">
          <w:rPr>
            <w:noProof/>
            <w:webHidden/>
          </w:rPr>
          <w:fldChar w:fldCharType="separate"/>
        </w:r>
        <w:r w:rsidR="00FA4D37" w:rsidRPr="0018386D">
          <w:rPr>
            <w:noProof/>
            <w:webHidden/>
          </w:rPr>
          <w:t>67</w:t>
        </w:r>
        <w:r w:rsidR="00FA4D37" w:rsidRPr="0018386D">
          <w:rPr>
            <w:noProof/>
            <w:webHidden/>
          </w:rPr>
          <w:fldChar w:fldCharType="end"/>
        </w:r>
      </w:hyperlink>
    </w:p>
    <w:p w14:paraId="64AF842F" w14:textId="596E0D1E" w:rsidR="00FA4D37" w:rsidRPr="0018386D" w:rsidRDefault="00C7627E">
      <w:pPr>
        <w:pStyle w:val="TableofFigures"/>
        <w:tabs>
          <w:tab w:val="right" w:pos="8495"/>
        </w:tabs>
        <w:rPr>
          <w:rFonts w:asciiTheme="minorHAnsi" w:hAnsiTheme="minorHAnsi"/>
          <w:noProof/>
          <w:kern w:val="2"/>
          <w14:ligatures w14:val="standardContextual"/>
        </w:rPr>
      </w:pPr>
      <w:hyperlink w:anchor="_Toc140048976" w:history="1">
        <w:r w:rsidR="00FA4D37" w:rsidRPr="0018386D">
          <w:rPr>
            <w:rStyle w:val="Hyperlink"/>
            <w:noProof/>
          </w:rPr>
          <w:t>Table 36:</w:t>
        </w:r>
        <w:r w:rsidR="00FA4D37" w:rsidRPr="0018386D">
          <w:rPr>
            <w:rFonts w:asciiTheme="minorHAnsi" w:hAnsiTheme="minorHAnsi"/>
            <w:noProof/>
            <w:kern w:val="2"/>
            <w14:ligatures w14:val="standardContextual"/>
          </w:rPr>
          <w:tab/>
        </w:r>
        <w:r w:rsidR="00FA4D37" w:rsidRPr="0018386D">
          <w:rPr>
            <w:rStyle w:val="Hyperlink"/>
            <w:noProof/>
          </w:rPr>
          <w:t>Domestic air travel emission factors without a radiative forcing multiplier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_Toc140048976 \h </w:instrText>
        </w:r>
        <w:r w:rsidR="00FA4D37" w:rsidRPr="0018386D">
          <w:rPr>
            <w:noProof/>
            <w:webHidden/>
          </w:rPr>
        </w:r>
        <w:r w:rsidR="00FA4D37" w:rsidRPr="0018386D">
          <w:rPr>
            <w:noProof/>
            <w:webHidden/>
          </w:rPr>
          <w:fldChar w:fldCharType="separate"/>
        </w:r>
        <w:r w:rsidR="00FA4D37" w:rsidRPr="0018386D">
          <w:rPr>
            <w:noProof/>
            <w:webHidden/>
          </w:rPr>
          <w:t>69</w:t>
        </w:r>
        <w:r w:rsidR="00FA4D37" w:rsidRPr="0018386D">
          <w:rPr>
            <w:noProof/>
            <w:webHidden/>
          </w:rPr>
          <w:fldChar w:fldCharType="end"/>
        </w:r>
      </w:hyperlink>
    </w:p>
    <w:p w14:paraId="3C6EF696" w14:textId="53139D0A" w:rsidR="00FA4D37" w:rsidRPr="0018386D" w:rsidRDefault="00C7627E">
      <w:pPr>
        <w:pStyle w:val="TableofFigures"/>
        <w:tabs>
          <w:tab w:val="right" w:pos="8495"/>
        </w:tabs>
        <w:rPr>
          <w:rFonts w:asciiTheme="minorHAnsi" w:hAnsiTheme="minorHAnsi"/>
          <w:noProof/>
          <w:kern w:val="2"/>
          <w14:ligatures w14:val="standardContextual"/>
        </w:rPr>
      </w:pPr>
      <w:hyperlink w:anchor="_Toc140048977" w:history="1">
        <w:r w:rsidR="00FA4D37" w:rsidRPr="0018386D">
          <w:rPr>
            <w:rStyle w:val="Hyperlink"/>
            <w:noProof/>
          </w:rPr>
          <w:t>Table 37:</w:t>
        </w:r>
        <w:r w:rsidR="00FA4D37" w:rsidRPr="0018386D">
          <w:rPr>
            <w:rFonts w:asciiTheme="minorHAnsi" w:hAnsiTheme="minorHAnsi"/>
            <w:noProof/>
            <w:kern w:val="2"/>
            <w14:ligatures w14:val="standardContextual"/>
          </w:rPr>
          <w:tab/>
        </w:r>
        <w:r w:rsidR="00FA4D37" w:rsidRPr="0018386D">
          <w:rPr>
            <w:rStyle w:val="Hyperlink"/>
            <w:noProof/>
          </w:rPr>
          <w:t>Domestic aviation emission factors with a radiative forcing multiplier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_Toc140048977 \h </w:instrText>
        </w:r>
        <w:r w:rsidR="00FA4D37" w:rsidRPr="0018386D">
          <w:rPr>
            <w:noProof/>
            <w:webHidden/>
          </w:rPr>
        </w:r>
        <w:r w:rsidR="00FA4D37" w:rsidRPr="0018386D">
          <w:rPr>
            <w:noProof/>
            <w:webHidden/>
          </w:rPr>
          <w:fldChar w:fldCharType="separate"/>
        </w:r>
        <w:r w:rsidR="00FA4D37" w:rsidRPr="0018386D">
          <w:rPr>
            <w:noProof/>
            <w:webHidden/>
          </w:rPr>
          <w:t>69</w:t>
        </w:r>
        <w:r w:rsidR="00FA4D37" w:rsidRPr="0018386D">
          <w:rPr>
            <w:noProof/>
            <w:webHidden/>
          </w:rPr>
          <w:fldChar w:fldCharType="end"/>
        </w:r>
      </w:hyperlink>
    </w:p>
    <w:p w14:paraId="07F6BE79" w14:textId="01CCCD9F" w:rsidR="00FA4D37" w:rsidRPr="0018386D" w:rsidRDefault="00C7627E">
      <w:pPr>
        <w:pStyle w:val="TableofFigures"/>
        <w:tabs>
          <w:tab w:val="right" w:pos="8495"/>
        </w:tabs>
        <w:rPr>
          <w:rFonts w:asciiTheme="minorHAnsi" w:hAnsiTheme="minorHAnsi"/>
          <w:noProof/>
          <w:kern w:val="2"/>
          <w14:ligatures w14:val="standardContextual"/>
        </w:rPr>
      </w:pPr>
      <w:hyperlink w:anchor="_Toc140048978" w:history="1">
        <w:r w:rsidR="00FA4D37" w:rsidRPr="0018386D">
          <w:rPr>
            <w:rStyle w:val="Hyperlink"/>
            <w:noProof/>
          </w:rPr>
          <w:t>Table 38:</w:t>
        </w:r>
        <w:r w:rsidR="00FA4D37" w:rsidRPr="0018386D">
          <w:rPr>
            <w:rFonts w:asciiTheme="minorHAnsi" w:hAnsiTheme="minorHAnsi"/>
            <w:noProof/>
            <w:kern w:val="2"/>
            <w14:ligatures w14:val="standardContextual"/>
          </w:rPr>
          <w:tab/>
        </w:r>
        <w:r w:rsidR="00FA4D37" w:rsidRPr="0018386D">
          <w:rPr>
            <w:rStyle w:val="Hyperlink"/>
            <w:noProof/>
          </w:rPr>
          <w:t>Domestic aviation data (2020)</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_Toc140048978 \h </w:instrText>
        </w:r>
        <w:r w:rsidR="00FA4D37" w:rsidRPr="0018386D">
          <w:rPr>
            <w:noProof/>
            <w:webHidden/>
          </w:rPr>
        </w:r>
        <w:r w:rsidR="00FA4D37" w:rsidRPr="0018386D">
          <w:rPr>
            <w:noProof/>
            <w:webHidden/>
          </w:rPr>
          <w:fldChar w:fldCharType="separate"/>
        </w:r>
        <w:r w:rsidR="00FA4D37" w:rsidRPr="0018386D">
          <w:rPr>
            <w:noProof/>
            <w:webHidden/>
          </w:rPr>
          <w:t>70</w:t>
        </w:r>
        <w:r w:rsidR="00FA4D37" w:rsidRPr="0018386D">
          <w:rPr>
            <w:noProof/>
            <w:webHidden/>
          </w:rPr>
          <w:fldChar w:fldCharType="end"/>
        </w:r>
      </w:hyperlink>
    </w:p>
    <w:p w14:paraId="1FF5E39A" w14:textId="3B36FD64" w:rsidR="00FA4D37" w:rsidRPr="0018386D" w:rsidRDefault="00C7627E">
      <w:pPr>
        <w:pStyle w:val="TableofFigures"/>
        <w:tabs>
          <w:tab w:val="right" w:pos="8495"/>
        </w:tabs>
        <w:rPr>
          <w:rFonts w:asciiTheme="minorHAnsi" w:hAnsiTheme="minorHAnsi"/>
          <w:noProof/>
          <w:kern w:val="2"/>
          <w14:ligatures w14:val="standardContextual"/>
        </w:rPr>
      </w:pPr>
      <w:hyperlink w:anchor="_Toc140048979" w:history="1">
        <w:r w:rsidR="00FA4D37" w:rsidRPr="0018386D">
          <w:rPr>
            <w:rStyle w:val="Hyperlink"/>
            <w:noProof/>
          </w:rPr>
          <w:t>Table 39:</w:t>
        </w:r>
        <w:r w:rsidR="00FA4D37" w:rsidRPr="0018386D">
          <w:rPr>
            <w:rFonts w:asciiTheme="minorHAnsi" w:hAnsiTheme="minorHAnsi"/>
            <w:noProof/>
            <w:kern w:val="2"/>
            <w14:ligatures w14:val="standardContextual"/>
          </w:rPr>
          <w:tab/>
        </w:r>
        <w:r w:rsidR="00FA4D37" w:rsidRPr="0018386D">
          <w:rPr>
            <w:rStyle w:val="Hyperlink"/>
            <w:noProof/>
          </w:rPr>
          <w:t>Calculated emissions, without the radiative forcing multiplier, per aircraft type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_Toc140048979 \h </w:instrText>
        </w:r>
        <w:r w:rsidR="00FA4D37" w:rsidRPr="0018386D">
          <w:rPr>
            <w:noProof/>
            <w:webHidden/>
          </w:rPr>
        </w:r>
        <w:r w:rsidR="00FA4D37" w:rsidRPr="0018386D">
          <w:rPr>
            <w:noProof/>
            <w:webHidden/>
          </w:rPr>
          <w:fldChar w:fldCharType="separate"/>
        </w:r>
        <w:r w:rsidR="00FA4D37" w:rsidRPr="0018386D">
          <w:rPr>
            <w:noProof/>
            <w:webHidden/>
          </w:rPr>
          <w:t>71</w:t>
        </w:r>
        <w:r w:rsidR="00FA4D37" w:rsidRPr="0018386D">
          <w:rPr>
            <w:noProof/>
            <w:webHidden/>
          </w:rPr>
          <w:fldChar w:fldCharType="end"/>
        </w:r>
      </w:hyperlink>
    </w:p>
    <w:p w14:paraId="372954E7" w14:textId="46506DF3" w:rsidR="00FA4D37" w:rsidRPr="0018386D" w:rsidRDefault="00C7627E">
      <w:pPr>
        <w:pStyle w:val="TableofFigures"/>
        <w:tabs>
          <w:tab w:val="right" w:pos="8495"/>
        </w:tabs>
        <w:rPr>
          <w:rFonts w:asciiTheme="minorHAnsi" w:hAnsiTheme="minorHAnsi"/>
          <w:noProof/>
          <w:kern w:val="2"/>
          <w14:ligatures w14:val="standardContextual"/>
        </w:rPr>
      </w:pPr>
      <w:hyperlink w:anchor="_Toc140048980" w:history="1">
        <w:r w:rsidR="00FA4D37" w:rsidRPr="0018386D">
          <w:rPr>
            <w:rStyle w:val="Hyperlink"/>
            <w:noProof/>
          </w:rPr>
          <w:t>Table 40:</w:t>
        </w:r>
        <w:r w:rsidR="00FA4D37" w:rsidRPr="0018386D">
          <w:rPr>
            <w:rFonts w:asciiTheme="minorHAnsi" w:hAnsiTheme="minorHAnsi"/>
            <w:noProof/>
            <w:kern w:val="2"/>
            <w14:ligatures w14:val="standardContextual"/>
          </w:rPr>
          <w:tab/>
        </w:r>
        <w:r w:rsidR="00FA4D37" w:rsidRPr="0018386D">
          <w:rPr>
            <w:rStyle w:val="Hyperlink"/>
            <w:noProof/>
          </w:rPr>
          <w:t>Calculated emissions, with the radiative forcing multiplier, per aircraft type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_Toc140048980 \h </w:instrText>
        </w:r>
        <w:r w:rsidR="00FA4D37" w:rsidRPr="0018386D">
          <w:rPr>
            <w:noProof/>
            <w:webHidden/>
          </w:rPr>
        </w:r>
        <w:r w:rsidR="00FA4D37" w:rsidRPr="0018386D">
          <w:rPr>
            <w:noProof/>
            <w:webHidden/>
          </w:rPr>
          <w:fldChar w:fldCharType="separate"/>
        </w:r>
        <w:r w:rsidR="00FA4D37" w:rsidRPr="0018386D">
          <w:rPr>
            <w:noProof/>
            <w:webHidden/>
          </w:rPr>
          <w:t>72</w:t>
        </w:r>
        <w:r w:rsidR="00FA4D37" w:rsidRPr="0018386D">
          <w:rPr>
            <w:noProof/>
            <w:webHidden/>
          </w:rPr>
          <w:fldChar w:fldCharType="end"/>
        </w:r>
      </w:hyperlink>
    </w:p>
    <w:p w14:paraId="47AAE01C" w14:textId="540CCAD3" w:rsidR="00FA4D37" w:rsidRPr="0018386D" w:rsidRDefault="00C7627E">
      <w:pPr>
        <w:pStyle w:val="TableofFigures"/>
        <w:tabs>
          <w:tab w:val="right" w:pos="8495"/>
        </w:tabs>
        <w:rPr>
          <w:rFonts w:asciiTheme="minorHAnsi" w:hAnsiTheme="minorHAnsi"/>
          <w:noProof/>
          <w:kern w:val="2"/>
          <w14:ligatures w14:val="standardContextual"/>
        </w:rPr>
      </w:pPr>
      <w:hyperlink w:anchor="_Toc140048981" w:history="1">
        <w:r w:rsidR="00FA4D37" w:rsidRPr="0018386D">
          <w:rPr>
            <w:rStyle w:val="Hyperlink"/>
            <w:noProof/>
          </w:rPr>
          <w:t>Table 41:</w:t>
        </w:r>
        <w:r w:rsidR="00FA4D37" w:rsidRPr="0018386D">
          <w:rPr>
            <w:rFonts w:asciiTheme="minorHAnsi" w:hAnsiTheme="minorHAnsi"/>
            <w:noProof/>
            <w:kern w:val="2"/>
            <w14:ligatures w14:val="standardContextual"/>
          </w:rPr>
          <w:tab/>
        </w:r>
        <w:r w:rsidR="00FA4D37" w:rsidRPr="0018386D">
          <w:rPr>
            <w:rStyle w:val="Hyperlink"/>
            <w:noProof/>
          </w:rPr>
          <w:t>Emission factors for international air travel without radiative forcing multiplier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_Toc140048981 \h </w:instrText>
        </w:r>
        <w:r w:rsidR="00FA4D37" w:rsidRPr="0018386D">
          <w:rPr>
            <w:noProof/>
            <w:webHidden/>
          </w:rPr>
        </w:r>
        <w:r w:rsidR="00FA4D37" w:rsidRPr="0018386D">
          <w:rPr>
            <w:noProof/>
            <w:webHidden/>
          </w:rPr>
          <w:fldChar w:fldCharType="separate"/>
        </w:r>
        <w:r w:rsidR="00FA4D37" w:rsidRPr="0018386D">
          <w:rPr>
            <w:noProof/>
            <w:webHidden/>
          </w:rPr>
          <w:t>73</w:t>
        </w:r>
        <w:r w:rsidR="00FA4D37" w:rsidRPr="0018386D">
          <w:rPr>
            <w:noProof/>
            <w:webHidden/>
          </w:rPr>
          <w:fldChar w:fldCharType="end"/>
        </w:r>
      </w:hyperlink>
    </w:p>
    <w:p w14:paraId="016462E0" w14:textId="7450C3CC" w:rsidR="00FA4D37" w:rsidRPr="0018386D" w:rsidRDefault="00C7627E">
      <w:pPr>
        <w:pStyle w:val="TableofFigures"/>
        <w:tabs>
          <w:tab w:val="right" w:pos="8495"/>
        </w:tabs>
        <w:rPr>
          <w:rFonts w:asciiTheme="minorHAnsi" w:hAnsiTheme="minorHAnsi"/>
          <w:noProof/>
          <w:kern w:val="2"/>
          <w14:ligatures w14:val="standardContextual"/>
        </w:rPr>
      </w:pPr>
      <w:hyperlink w:anchor="_Toc140048982" w:history="1">
        <w:r w:rsidR="00FA4D37" w:rsidRPr="0018386D">
          <w:rPr>
            <w:rStyle w:val="Hyperlink"/>
            <w:noProof/>
          </w:rPr>
          <w:t>Table 42:</w:t>
        </w:r>
        <w:r w:rsidR="00FA4D37" w:rsidRPr="0018386D">
          <w:rPr>
            <w:rFonts w:asciiTheme="minorHAnsi" w:hAnsiTheme="minorHAnsi"/>
            <w:noProof/>
            <w:kern w:val="2"/>
            <w14:ligatures w14:val="standardContextual"/>
          </w:rPr>
          <w:tab/>
        </w:r>
        <w:r w:rsidR="00FA4D37" w:rsidRPr="0018386D">
          <w:rPr>
            <w:rStyle w:val="Hyperlink"/>
            <w:noProof/>
          </w:rPr>
          <w:t>Emission factors for international air travel with radiative forcing multiplier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_Toc140048982 \h </w:instrText>
        </w:r>
        <w:r w:rsidR="00FA4D37" w:rsidRPr="0018386D">
          <w:rPr>
            <w:noProof/>
            <w:webHidden/>
          </w:rPr>
        </w:r>
        <w:r w:rsidR="00FA4D37" w:rsidRPr="0018386D">
          <w:rPr>
            <w:noProof/>
            <w:webHidden/>
          </w:rPr>
          <w:fldChar w:fldCharType="separate"/>
        </w:r>
        <w:r w:rsidR="00FA4D37" w:rsidRPr="0018386D">
          <w:rPr>
            <w:noProof/>
            <w:webHidden/>
          </w:rPr>
          <w:t>73</w:t>
        </w:r>
        <w:r w:rsidR="00FA4D37" w:rsidRPr="0018386D">
          <w:rPr>
            <w:noProof/>
            <w:webHidden/>
          </w:rPr>
          <w:fldChar w:fldCharType="end"/>
        </w:r>
      </w:hyperlink>
    </w:p>
    <w:p w14:paraId="0331D08B" w14:textId="1145EB6E" w:rsidR="00FA4D37" w:rsidRPr="0018386D" w:rsidRDefault="00C7627E">
      <w:pPr>
        <w:pStyle w:val="TableofFigures"/>
        <w:tabs>
          <w:tab w:val="right" w:pos="8495"/>
        </w:tabs>
        <w:rPr>
          <w:rFonts w:asciiTheme="minorHAnsi" w:hAnsiTheme="minorHAnsi"/>
          <w:noProof/>
          <w:kern w:val="2"/>
          <w14:ligatures w14:val="standardContextual"/>
        </w:rPr>
      </w:pPr>
      <w:hyperlink w:anchor="_Toc140048983" w:history="1">
        <w:r w:rsidR="00FA4D37" w:rsidRPr="0018386D">
          <w:rPr>
            <w:rStyle w:val="Hyperlink"/>
            <w:noProof/>
          </w:rPr>
          <w:t>Table 43:</w:t>
        </w:r>
        <w:r w:rsidR="00FA4D37" w:rsidRPr="0018386D">
          <w:rPr>
            <w:rFonts w:asciiTheme="minorHAnsi" w:hAnsiTheme="minorHAnsi"/>
            <w:noProof/>
            <w:kern w:val="2"/>
            <w14:ligatures w14:val="standardContextual"/>
          </w:rPr>
          <w:tab/>
        </w:r>
        <w:r w:rsidR="00FA4D37" w:rsidRPr="0018386D">
          <w:rPr>
            <w:rStyle w:val="Hyperlink"/>
            <w:noProof/>
          </w:rPr>
          <w:t>Emission factors for helicopters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_Toc140048983 \h </w:instrText>
        </w:r>
        <w:r w:rsidR="00FA4D37" w:rsidRPr="0018386D">
          <w:rPr>
            <w:noProof/>
            <w:webHidden/>
          </w:rPr>
        </w:r>
        <w:r w:rsidR="00FA4D37" w:rsidRPr="0018386D">
          <w:rPr>
            <w:noProof/>
            <w:webHidden/>
          </w:rPr>
          <w:fldChar w:fldCharType="separate"/>
        </w:r>
        <w:r w:rsidR="00FA4D37" w:rsidRPr="0018386D">
          <w:rPr>
            <w:noProof/>
            <w:webHidden/>
          </w:rPr>
          <w:t>75</w:t>
        </w:r>
        <w:r w:rsidR="00FA4D37" w:rsidRPr="0018386D">
          <w:rPr>
            <w:noProof/>
            <w:webHidden/>
          </w:rPr>
          <w:fldChar w:fldCharType="end"/>
        </w:r>
      </w:hyperlink>
    </w:p>
    <w:p w14:paraId="291A1B92" w14:textId="2025802A" w:rsidR="00FA4D37" w:rsidRPr="0018386D" w:rsidRDefault="00C7627E">
      <w:pPr>
        <w:pStyle w:val="TableofFigures"/>
        <w:tabs>
          <w:tab w:val="right" w:pos="8495"/>
        </w:tabs>
        <w:rPr>
          <w:rFonts w:asciiTheme="minorHAnsi" w:hAnsiTheme="minorHAnsi"/>
          <w:noProof/>
          <w:kern w:val="2"/>
          <w14:ligatures w14:val="standardContextual"/>
        </w:rPr>
      </w:pPr>
      <w:hyperlink w:anchor="_Toc140048984" w:history="1">
        <w:r w:rsidR="00FA4D37" w:rsidRPr="0018386D">
          <w:rPr>
            <w:rStyle w:val="Hyperlink"/>
            <w:noProof/>
          </w:rPr>
          <w:t>Table 44:</w:t>
        </w:r>
        <w:r w:rsidR="00FA4D37" w:rsidRPr="0018386D">
          <w:rPr>
            <w:rFonts w:asciiTheme="minorHAnsi" w:hAnsiTheme="minorHAnsi"/>
            <w:noProof/>
            <w:kern w:val="2"/>
            <w14:ligatures w14:val="standardContextual"/>
          </w:rPr>
          <w:tab/>
        </w:r>
        <w:r w:rsidR="00FA4D37" w:rsidRPr="0018386D">
          <w:rPr>
            <w:rStyle w:val="Hyperlink"/>
            <w:noProof/>
          </w:rPr>
          <w:t>Accommodation emission factors by unit (room per night)</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_Toc140048984 \h </w:instrText>
        </w:r>
        <w:r w:rsidR="00FA4D37" w:rsidRPr="0018386D">
          <w:rPr>
            <w:noProof/>
            <w:webHidden/>
          </w:rPr>
        </w:r>
        <w:r w:rsidR="00FA4D37" w:rsidRPr="0018386D">
          <w:rPr>
            <w:noProof/>
            <w:webHidden/>
          </w:rPr>
          <w:fldChar w:fldCharType="separate"/>
        </w:r>
        <w:r w:rsidR="00FA4D37" w:rsidRPr="0018386D">
          <w:rPr>
            <w:noProof/>
            <w:webHidden/>
          </w:rPr>
          <w:t>77</w:t>
        </w:r>
        <w:r w:rsidR="00FA4D37" w:rsidRPr="0018386D">
          <w:rPr>
            <w:noProof/>
            <w:webHidden/>
          </w:rPr>
          <w:fldChar w:fldCharType="end"/>
        </w:r>
      </w:hyperlink>
    </w:p>
    <w:p w14:paraId="69A0826B" w14:textId="0FA21829" w:rsidR="00FA4D37" w:rsidRPr="0018386D" w:rsidRDefault="00C7627E">
      <w:pPr>
        <w:pStyle w:val="TableofFigures"/>
        <w:tabs>
          <w:tab w:val="right" w:pos="8495"/>
        </w:tabs>
        <w:rPr>
          <w:rFonts w:asciiTheme="minorHAnsi" w:hAnsiTheme="minorHAnsi"/>
          <w:noProof/>
          <w:kern w:val="2"/>
          <w14:ligatures w14:val="standardContextual"/>
        </w:rPr>
      </w:pPr>
      <w:hyperlink w:anchor="_Toc140048985" w:history="1">
        <w:r w:rsidR="00FA4D37" w:rsidRPr="0018386D">
          <w:rPr>
            <w:rStyle w:val="Hyperlink"/>
            <w:noProof/>
          </w:rPr>
          <w:t>Table 45:</w:t>
        </w:r>
        <w:r w:rsidR="00FA4D37" w:rsidRPr="0018386D">
          <w:rPr>
            <w:rFonts w:asciiTheme="minorHAnsi" w:hAnsiTheme="minorHAnsi"/>
            <w:noProof/>
            <w:kern w:val="2"/>
            <w14:ligatures w14:val="standardContextual"/>
          </w:rPr>
          <w:tab/>
        </w:r>
        <w:r w:rsidR="00FA4D37" w:rsidRPr="0018386D">
          <w:rPr>
            <w:rStyle w:val="Hyperlink"/>
            <w:noProof/>
          </w:rPr>
          <w:t>Emission factors for light commercial vehicles manufactured pre-2010</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_Toc140048985 \h </w:instrText>
        </w:r>
        <w:r w:rsidR="00FA4D37" w:rsidRPr="0018386D">
          <w:rPr>
            <w:noProof/>
            <w:webHidden/>
          </w:rPr>
        </w:r>
        <w:r w:rsidR="00FA4D37" w:rsidRPr="0018386D">
          <w:rPr>
            <w:noProof/>
            <w:webHidden/>
          </w:rPr>
          <w:fldChar w:fldCharType="separate"/>
        </w:r>
        <w:r w:rsidR="00FA4D37" w:rsidRPr="0018386D">
          <w:rPr>
            <w:noProof/>
            <w:webHidden/>
          </w:rPr>
          <w:t>80</w:t>
        </w:r>
        <w:r w:rsidR="00FA4D37" w:rsidRPr="0018386D">
          <w:rPr>
            <w:noProof/>
            <w:webHidden/>
          </w:rPr>
          <w:fldChar w:fldCharType="end"/>
        </w:r>
      </w:hyperlink>
    </w:p>
    <w:p w14:paraId="4DB83446" w14:textId="35A821C6" w:rsidR="00FA4D37" w:rsidRPr="0018386D" w:rsidRDefault="00C7627E">
      <w:pPr>
        <w:pStyle w:val="TableofFigures"/>
        <w:tabs>
          <w:tab w:val="right" w:pos="8495"/>
        </w:tabs>
        <w:rPr>
          <w:rFonts w:asciiTheme="minorHAnsi" w:hAnsiTheme="minorHAnsi"/>
          <w:noProof/>
          <w:kern w:val="2"/>
          <w14:ligatures w14:val="standardContextual"/>
        </w:rPr>
      </w:pPr>
      <w:hyperlink w:anchor="_Toc140048986" w:history="1">
        <w:r w:rsidR="00FA4D37" w:rsidRPr="0018386D">
          <w:rPr>
            <w:rStyle w:val="Hyperlink"/>
            <w:noProof/>
          </w:rPr>
          <w:t>Table 46:</w:t>
        </w:r>
        <w:r w:rsidR="00FA4D37" w:rsidRPr="0018386D">
          <w:rPr>
            <w:rFonts w:asciiTheme="minorHAnsi" w:hAnsiTheme="minorHAnsi"/>
            <w:noProof/>
            <w:kern w:val="2"/>
            <w14:ligatures w14:val="standardContextual"/>
          </w:rPr>
          <w:tab/>
        </w:r>
        <w:r w:rsidR="00FA4D37" w:rsidRPr="0018386D">
          <w:rPr>
            <w:rStyle w:val="Hyperlink"/>
            <w:noProof/>
          </w:rPr>
          <w:t>Emission factors for light commercial vehicles manufactured between 2010 and 2015</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_Toc140048986 \h </w:instrText>
        </w:r>
        <w:r w:rsidR="00FA4D37" w:rsidRPr="0018386D">
          <w:rPr>
            <w:noProof/>
            <w:webHidden/>
          </w:rPr>
        </w:r>
        <w:r w:rsidR="00FA4D37" w:rsidRPr="0018386D">
          <w:rPr>
            <w:noProof/>
            <w:webHidden/>
          </w:rPr>
          <w:fldChar w:fldCharType="separate"/>
        </w:r>
        <w:r w:rsidR="00FA4D37" w:rsidRPr="0018386D">
          <w:rPr>
            <w:noProof/>
            <w:webHidden/>
          </w:rPr>
          <w:t>80</w:t>
        </w:r>
        <w:r w:rsidR="00FA4D37" w:rsidRPr="0018386D">
          <w:rPr>
            <w:noProof/>
            <w:webHidden/>
          </w:rPr>
          <w:fldChar w:fldCharType="end"/>
        </w:r>
      </w:hyperlink>
    </w:p>
    <w:p w14:paraId="2EBA4B14" w14:textId="0EADCA0E" w:rsidR="00FA4D37" w:rsidRPr="0018386D" w:rsidRDefault="00C7627E">
      <w:pPr>
        <w:pStyle w:val="TableofFigures"/>
        <w:tabs>
          <w:tab w:val="right" w:pos="8495"/>
        </w:tabs>
        <w:rPr>
          <w:rFonts w:asciiTheme="minorHAnsi" w:hAnsiTheme="minorHAnsi"/>
          <w:noProof/>
          <w:kern w:val="2"/>
          <w14:ligatures w14:val="standardContextual"/>
        </w:rPr>
      </w:pPr>
      <w:hyperlink w:anchor="_Toc140048987" w:history="1">
        <w:r w:rsidR="00FA4D37" w:rsidRPr="0018386D">
          <w:rPr>
            <w:rStyle w:val="Hyperlink"/>
            <w:noProof/>
          </w:rPr>
          <w:t>Table 47:</w:t>
        </w:r>
        <w:r w:rsidR="00FA4D37" w:rsidRPr="0018386D">
          <w:rPr>
            <w:rFonts w:asciiTheme="minorHAnsi" w:hAnsiTheme="minorHAnsi"/>
            <w:noProof/>
            <w:kern w:val="2"/>
            <w14:ligatures w14:val="standardContextual"/>
          </w:rPr>
          <w:tab/>
        </w:r>
        <w:r w:rsidR="00FA4D37" w:rsidRPr="0018386D">
          <w:rPr>
            <w:rStyle w:val="Hyperlink"/>
            <w:noProof/>
          </w:rPr>
          <w:t>Emission factors for light commercial vehicles manufactured post-2015</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_Toc140048987 \h </w:instrText>
        </w:r>
        <w:r w:rsidR="00FA4D37" w:rsidRPr="0018386D">
          <w:rPr>
            <w:noProof/>
            <w:webHidden/>
          </w:rPr>
        </w:r>
        <w:r w:rsidR="00FA4D37" w:rsidRPr="0018386D">
          <w:rPr>
            <w:noProof/>
            <w:webHidden/>
          </w:rPr>
          <w:fldChar w:fldCharType="separate"/>
        </w:r>
        <w:r w:rsidR="00FA4D37" w:rsidRPr="0018386D">
          <w:rPr>
            <w:noProof/>
            <w:webHidden/>
          </w:rPr>
          <w:t>82</w:t>
        </w:r>
        <w:r w:rsidR="00FA4D37" w:rsidRPr="0018386D">
          <w:rPr>
            <w:noProof/>
            <w:webHidden/>
          </w:rPr>
          <w:fldChar w:fldCharType="end"/>
        </w:r>
      </w:hyperlink>
    </w:p>
    <w:p w14:paraId="3BDF1C73" w14:textId="2B140C7A" w:rsidR="00FA4D37" w:rsidRPr="0018386D" w:rsidRDefault="00C7627E">
      <w:pPr>
        <w:pStyle w:val="TableofFigures"/>
        <w:tabs>
          <w:tab w:val="right" w:pos="8495"/>
        </w:tabs>
        <w:rPr>
          <w:rFonts w:asciiTheme="minorHAnsi" w:hAnsiTheme="minorHAnsi"/>
          <w:noProof/>
          <w:kern w:val="2"/>
          <w14:ligatures w14:val="standardContextual"/>
        </w:rPr>
      </w:pPr>
      <w:hyperlink w:anchor="_Toc140048988" w:history="1">
        <w:r w:rsidR="00FA4D37" w:rsidRPr="0018386D">
          <w:rPr>
            <w:rStyle w:val="Hyperlink"/>
            <w:noProof/>
          </w:rPr>
          <w:t>Table 48:</w:t>
        </w:r>
        <w:r w:rsidR="00FA4D37" w:rsidRPr="0018386D">
          <w:rPr>
            <w:rFonts w:asciiTheme="minorHAnsi" w:hAnsiTheme="minorHAnsi"/>
            <w:noProof/>
            <w:kern w:val="2"/>
            <w14:ligatures w14:val="standardContextual"/>
          </w:rPr>
          <w:tab/>
        </w:r>
        <w:r w:rsidR="00FA4D37" w:rsidRPr="0018386D">
          <w:rPr>
            <w:rStyle w:val="Hyperlink"/>
            <w:noProof/>
          </w:rPr>
          <w:t>Default light commercial vehicle values (based on pre-2010 fleet  and a 2000–3000 cc engine size)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_Toc140048988 \h </w:instrText>
        </w:r>
        <w:r w:rsidR="00FA4D37" w:rsidRPr="0018386D">
          <w:rPr>
            <w:noProof/>
            <w:webHidden/>
          </w:rPr>
        </w:r>
        <w:r w:rsidR="00FA4D37" w:rsidRPr="0018386D">
          <w:rPr>
            <w:noProof/>
            <w:webHidden/>
          </w:rPr>
          <w:fldChar w:fldCharType="separate"/>
        </w:r>
        <w:r w:rsidR="00FA4D37" w:rsidRPr="0018386D">
          <w:rPr>
            <w:noProof/>
            <w:webHidden/>
          </w:rPr>
          <w:t>83</w:t>
        </w:r>
        <w:r w:rsidR="00FA4D37" w:rsidRPr="0018386D">
          <w:rPr>
            <w:noProof/>
            <w:webHidden/>
          </w:rPr>
          <w:fldChar w:fldCharType="end"/>
        </w:r>
      </w:hyperlink>
    </w:p>
    <w:p w14:paraId="79534DFA" w14:textId="4E5C55AA" w:rsidR="00FA4D37" w:rsidRPr="0018386D" w:rsidRDefault="00C7627E">
      <w:pPr>
        <w:pStyle w:val="TableofFigures"/>
        <w:tabs>
          <w:tab w:val="right" w:pos="8495"/>
        </w:tabs>
        <w:rPr>
          <w:rFonts w:asciiTheme="minorHAnsi" w:hAnsiTheme="minorHAnsi"/>
          <w:noProof/>
          <w:kern w:val="2"/>
          <w14:ligatures w14:val="standardContextual"/>
        </w:rPr>
      </w:pPr>
      <w:hyperlink w:anchor="_Toc140048989" w:history="1">
        <w:r w:rsidR="00FA4D37" w:rsidRPr="0018386D">
          <w:rPr>
            <w:rStyle w:val="Hyperlink"/>
            <w:noProof/>
          </w:rPr>
          <w:t>Table 49:</w:t>
        </w:r>
        <w:r w:rsidR="00FA4D37" w:rsidRPr="0018386D">
          <w:rPr>
            <w:rFonts w:asciiTheme="minorHAnsi" w:hAnsiTheme="minorHAnsi"/>
            <w:noProof/>
            <w:kern w:val="2"/>
            <w14:ligatures w14:val="standardContextual"/>
          </w:rPr>
          <w:tab/>
        </w:r>
        <w:r w:rsidR="00FA4D37" w:rsidRPr="0018386D">
          <w:rPr>
            <w:rStyle w:val="Hyperlink"/>
            <w:noProof/>
          </w:rPr>
          <w:t>Emission factors for heavy goods vehicles manufactured pre-2010</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_Toc140048989 \h </w:instrText>
        </w:r>
        <w:r w:rsidR="00FA4D37" w:rsidRPr="0018386D">
          <w:rPr>
            <w:noProof/>
            <w:webHidden/>
          </w:rPr>
        </w:r>
        <w:r w:rsidR="00FA4D37" w:rsidRPr="0018386D">
          <w:rPr>
            <w:noProof/>
            <w:webHidden/>
          </w:rPr>
          <w:fldChar w:fldCharType="separate"/>
        </w:r>
        <w:r w:rsidR="00FA4D37" w:rsidRPr="0018386D">
          <w:rPr>
            <w:noProof/>
            <w:webHidden/>
          </w:rPr>
          <w:t>83</w:t>
        </w:r>
        <w:r w:rsidR="00FA4D37" w:rsidRPr="0018386D">
          <w:rPr>
            <w:noProof/>
            <w:webHidden/>
          </w:rPr>
          <w:fldChar w:fldCharType="end"/>
        </w:r>
      </w:hyperlink>
    </w:p>
    <w:p w14:paraId="0BE366BC" w14:textId="766654FF" w:rsidR="00FA4D37" w:rsidRPr="0018386D" w:rsidRDefault="00C7627E">
      <w:pPr>
        <w:pStyle w:val="TableofFigures"/>
        <w:tabs>
          <w:tab w:val="right" w:pos="8495"/>
        </w:tabs>
        <w:rPr>
          <w:rFonts w:asciiTheme="minorHAnsi" w:hAnsiTheme="minorHAnsi"/>
          <w:noProof/>
          <w:kern w:val="2"/>
          <w14:ligatures w14:val="standardContextual"/>
        </w:rPr>
      </w:pPr>
      <w:hyperlink w:anchor="_Toc140048990" w:history="1">
        <w:r w:rsidR="00FA4D37" w:rsidRPr="0018386D">
          <w:rPr>
            <w:rStyle w:val="Hyperlink"/>
            <w:noProof/>
          </w:rPr>
          <w:t>Table 50:</w:t>
        </w:r>
        <w:r w:rsidR="00FA4D37" w:rsidRPr="0018386D">
          <w:rPr>
            <w:rFonts w:asciiTheme="minorHAnsi" w:hAnsiTheme="minorHAnsi"/>
            <w:noProof/>
            <w:kern w:val="2"/>
            <w14:ligatures w14:val="standardContextual"/>
          </w:rPr>
          <w:tab/>
        </w:r>
        <w:r w:rsidR="00FA4D37" w:rsidRPr="0018386D">
          <w:rPr>
            <w:rStyle w:val="Hyperlink"/>
            <w:noProof/>
          </w:rPr>
          <w:t>Emission factors for heavy goods vehicles manufactured between 2010 and 2015</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_Toc140048990 \h </w:instrText>
        </w:r>
        <w:r w:rsidR="00FA4D37" w:rsidRPr="0018386D">
          <w:rPr>
            <w:noProof/>
            <w:webHidden/>
          </w:rPr>
        </w:r>
        <w:r w:rsidR="00FA4D37" w:rsidRPr="0018386D">
          <w:rPr>
            <w:noProof/>
            <w:webHidden/>
          </w:rPr>
          <w:fldChar w:fldCharType="separate"/>
        </w:r>
        <w:r w:rsidR="00FA4D37" w:rsidRPr="0018386D">
          <w:rPr>
            <w:noProof/>
            <w:webHidden/>
          </w:rPr>
          <w:t>84</w:t>
        </w:r>
        <w:r w:rsidR="00FA4D37" w:rsidRPr="0018386D">
          <w:rPr>
            <w:noProof/>
            <w:webHidden/>
          </w:rPr>
          <w:fldChar w:fldCharType="end"/>
        </w:r>
      </w:hyperlink>
    </w:p>
    <w:p w14:paraId="2DE8F7F7" w14:textId="0BBD48A4" w:rsidR="00FA4D37" w:rsidRPr="0018386D" w:rsidRDefault="00C7627E">
      <w:pPr>
        <w:pStyle w:val="TableofFigures"/>
        <w:tabs>
          <w:tab w:val="right" w:pos="8495"/>
        </w:tabs>
        <w:rPr>
          <w:rFonts w:asciiTheme="minorHAnsi" w:hAnsiTheme="minorHAnsi"/>
          <w:noProof/>
          <w:kern w:val="2"/>
          <w14:ligatures w14:val="standardContextual"/>
        </w:rPr>
      </w:pPr>
      <w:hyperlink w:anchor="_Toc140048991" w:history="1">
        <w:r w:rsidR="00FA4D37" w:rsidRPr="0018386D">
          <w:rPr>
            <w:rStyle w:val="Hyperlink"/>
            <w:noProof/>
          </w:rPr>
          <w:t>Table 51:</w:t>
        </w:r>
        <w:r w:rsidR="00FA4D37" w:rsidRPr="0018386D">
          <w:rPr>
            <w:rFonts w:asciiTheme="minorHAnsi" w:hAnsiTheme="minorHAnsi"/>
            <w:noProof/>
            <w:kern w:val="2"/>
            <w14:ligatures w14:val="standardContextual"/>
          </w:rPr>
          <w:tab/>
        </w:r>
        <w:r w:rsidR="00FA4D37" w:rsidRPr="0018386D">
          <w:rPr>
            <w:rStyle w:val="Hyperlink"/>
            <w:noProof/>
          </w:rPr>
          <w:t>Emission factors for heavy goods vehicles manufactured post-2015</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_Toc140048991 \h </w:instrText>
        </w:r>
        <w:r w:rsidR="00FA4D37" w:rsidRPr="0018386D">
          <w:rPr>
            <w:noProof/>
            <w:webHidden/>
          </w:rPr>
        </w:r>
        <w:r w:rsidR="00FA4D37" w:rsidRPr="0018386D">
          <w:rPr>
            <w:noProof/>
            <w:webHidden/>
          </w:rPr>
          <w:fldChar w:fldCharType="separate"/>
        </w:r>
        <w:r w:rsidR="00FA4D37" w:rsidRPr="0018386D">
          <w:rPr>
            <w:noProof/>
            <w:webHidden/>
          </w:rPr>
          <w:t>84</w:t>
        </w:r>
        <w:r w:rsidR="00FA4D37" w:rsidRPr="0018386D">
          <w:rPr>
            <w:noProof/>
            <w:webHidden/>
          </w:rPr>
          <w:fldChar w:fldCharType="end"/>
        </w:r>
      </w:hyperlink>
    </w:p>
    <w:p w14:paraId="5D7D8503" w14:textId="54337D96" w:rsidR="00FA4D37" w:rsidRPr="0018386D" w:rsidRDefault="00C7627E">
      <w:pPr>
        <w:pStyle w:val="TableofFigures"/>
        <w:tabs>
          <w:tab w:val="right" w:pos="8495"/>
        </w:tabs>
        <w:rPr>
          <w:rFonts w:asciiTheme="minorHAnsi" w:hAnsiTheme="minorHAnsi"/>
          <w:noProof/>
          <w:kern w:val="2"/>
          <w14:ligatures w14:val="standardContextual"/>
        </w:rPr>
      </w:pPr>
      <w:hyperlink w:anchor="_Toc140048992" w:history="1">
        <w:r w:rsidR="00FA4D37" w:rsidRPr="0018386D">
          <w:rPr>
            <w:rStyle w:val="Hyperlink"/>
            <w:noProof/>
          </w:rPr>
          <w:t>Table 52:</w:t>
        </w:r>
        <w:r w:rsidR="00FA4D37" w:rsidRPr="0018386D">
          <w:rPr>
            <w:rFonts w:asciiTheme="minorHAnsi" w:hAnsiTheme="minorHAnsi"/>
            <w:noProof/>
            <w:kern w:val="2"/>
            <w14:ligatures w14:val="standardContextual"/>
          </w:rPr>
          <w:tab/>
        </w:r>
        <w:r w:rsidR="00FA4D37" w:rsidRPr="0018386D">
          <w:rPr>
            <w:rStyle w:val="Hyperlink"/>
            <w:noProof/>
          </w:rPr>
          <w:t>Default emission factors for heavy goods vehicles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_Toc140048992 \h </w:instrText>
        </w:r>
        <w:r w:rsidR="00FA4D37" w:rsidRPr="0018386D">
          <w:rPr>
            <w:noProof/>
            <w:webHidden/>
          </w:rPr>
        </w:r>
        <w:r w:rsidR="00FA4D37" w:rsidRPr="0018386D">
          <w:rPr>
            <w:noProof/>
            <w:webHidden/>
          </w:rPr>
          <w:fldChar w:fldCharType="separate"/>
        </w:r>
        <w:r w:rsidR="00FA4D37" w:rsidRPr="0018386D">
          <w:rPr>
            <w:noProof/>
            <w:webHidden/>
          </w:rPr>
          <w:t>85</w:t>
        </w:r>
        <w:r w:rsidR="00FA4D37" w:rsidRPr="0018386D">
          <w:rPr>
            <w:noProof/>
            <w:webHidden/>
          </w:rPr>
          <w:fldChar w:fldCharType="end"/>
        </w:r>
      </w:hyperlink>
    </w:p>
    <w:p w14:paraId="3364AC77" w14:textId="0C88E42A" w:rsidR="00FA4D37" w:rsidRPr="0018386D" w:rsidRDefault="00C7627E">
      <w:pPr>
        <w:pStyle w:val="TableofFigures"/>
        <w:tabs>
          <w:tab w:val="right" w:pos="8495"/>
        </w:tabs>
        <w:rPr>
          <w:rFonts w:asciiTheme="minorHAnsi" w:hAnsiTheme="minorHAnsi"/>
          <w:noProof/>
          <w:kern w:val="2"/>
          <w14:ligatures w14:val="standardContextual"/>
        </w:rPr>
      </w:pPr>
      <w:hyperlink w:anchor="_Toc140048993" w:history="1">
        <w:r w:rsidR="00FA4D37" w:rsidRPr="0018386D">
          <w:rPr>
            <w:rStyle w:val="Hyperlink"/>
            <w:noProof/>
          </w:rPr>
          <w:t>Table 53:</w:t>
        </w:r>
        <w:r w:rsidR="00FA4D37" w:rsidRPr="0018386D">
          <w:rPr>
            <w:rFonts w:asciiTheme="minorHAnsi" w:hAnsiTheme="minorHAnsi"/>
            <w:noProof/>
            <w:kern w:val="2"/>
            <w14:ligatures w14:val="standardContextual"/>
          </w:rPr>
          <w:tab/>
        </w:r>
        <w:r w:rsidR="00FA4D37" w:rsidRPr="0018386D">
          <w:rPr>
            <w:rStyle w:val="Hyperlink"/>
            <w:noProof/>
          </w:rPr>
          <w:t>Emission factors for freighting goods by road</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_Toc140048993 \h </w:instrText>
        </w:r>
        <w:r w:rsidR="00FA4D37" w:rsidRPr="0018386D">
          <w:rPr>
            <w:noProof/>
            <w:webHidden/>
          </w:rPr>
        </w:r>
        <w:r w:rsidR="00FA4D37" w:rsidRPr="0018386D">
          <w:rPr>
            <w:noProof/>
            <w:webHidden/>
          </w:rPr>
          <w:fldChar w:fldCharType="separate"/>
        </w:r>
        <w:r w:rsidR="00FA4D37" w:rsidRPr="0018386D">
          <w:rPr>
            <w:noProof/>
            <w:webHidden/>
          </w:rPr>
          <w:t>85</w:t>
        </w:r>
        <w:r w:rsidR="00FA4D37" w:rsidRPr="0018386D">
          <w:rPr>
            <w:noProof/>
            <w:webHidden/>
          </w:rPr>
          <w:fldChar w:fldCharType="end"/>
        </w:r>
      </w:hyperlink>
    </w:p>
    <w:p w14:paraId="38392C0B" w14:textId="6B5D5A50" w:rsidR="00FA4D37" w:rsidRPr="0018386D" w:rsidRDefault="00C7627E">
      <w:pPr>
        <w:pStyle w:val="TableofFigures"/>
        <w:tabs>
          <w:tab w:val="right" w:pos="8495"/>
        </w:tabs>
        <w:rPr>
          <w:rFonts w:asciiTheme="minorHAnsi" w:hAnsiTheme="minorHAnsi"/>
          <w:noProof/>
          <w:kern w:val="2"/>
          <w14:ligatures w14:val="standardContextual"/>
        </w:rPr>
      </w:pPr>
      <w:hyperlink w:anchor="_Toc140048994" w:history="1">
        <w:r w:rsidR="00FA4D37" w:rsidRPr="0018386D">
          <w:rPr>
            <w:rStyle w:val="Hyperlink"/>
            <w:noProof/>
          </w:rPr>
          <w:t>Table 54:</w:t>
        </w:r>
        <w:r w:rsidR="00FA4D37" w:rsidRPr="0018386D">
          <w:rPr>
            <w:rFonts w:asciiTheme="minorHAnsi" w:hAnsiTheme="minorHAnsi"/>
            <w:noProof/>
            <w:kern w:val="2"/>
            <w14:ligatures w14:val="standardContextual"/>
          </w:rPr>
          <w:tab/>
        </w:r>
        <w:r w:rsidR="00FA4D37" w:rsidRPr="0018386D">
          <w:rPr>
            <w:rStyle w:val="Hyperlink"/>
            <w:noProof/>
          </w:rPr>
          <w:t>Light commercial vehicles (energy consumption per 100 km)</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_Toc140048994 \h </w:instrText>
        </w:r>
        <w:r w:rsidR="00FA4D37" w:rsidRPr="0018386D">
          <w:rPr>
            <w:noProof/>
            <w:webHidden/>
          </w:rPr>
        </w:r>
        <w:r w:rsidR="00FA4D37" w:rsidRPr="0018386D">
          <w:rPr>
            <w:noProof/>
            <w:webHidden/>
          </w:rPr>
          <w:fldChar w:fldCharType="separate"/>
        </w:r>
        <w:r w:rsidR="00FA4D37" w:rsidRPr="0018386D">
          <w:rPr>
            <w:noProof/>
            <w:webHidden/>
          </w:rPr>
          <w:t>87</w:t>
        </w:r>
        <w:r w:rsidR="00FA4D37" w:rsidRPr="0018386D">
          <w:rPr>
            <w:noProof/>
            <w:webHidden/>
          </w:rPr>
          <w:fldChar w:fldCharType="end"/>
        </w:r>
      </w:hyperlink>
    </w:p>
    <w:p w14:paraId="045B8189" w14:textId="4621721D" w:rsidR="00FA4D37" w:rsidRPr="0018386D" w:rsidRDefault="00C7627E">
      <w:pPr>
        <w:pStyle w:val="TableofFigures"/>
        <w:tabs>
          <w:tab w:val="right" w:pos="8495"/>
        </w:tabs>
        <w:rPr>
          <w:rFonts w:asciiTheme="minorHAnsi" w:hAnsiTheme="minorHAnsi"/>
          <w:noProof/>
          <w:kern w:val="2"/>
          <w14:ligatures w14:val="standardContextual"/>
        </w:rPr>
      </w:pPr>
      <w:hyperlink w:anchor="_Toc140048995" w:history="1">
        <w:r w:rsidR="00FA4D37" w:rsidRPr="0018386D">
          <w:rPr>
            <w:rStyle w:val="Hyperlink"/>
            <w:noProof/>
          </w:rPr>
          <w:t>Table 55:</w:t>
        </w:r>
        <w:r w:rsidR="00FA4D37" w:rsidRPr="0018386D">
          <w:rPr>
            <w:rFonts w:asciiTheme="minorHAnsi" w:hAnsiTheme="minorHAnsi"/>
            <w:noProof/>
            <w:kern w:val="2"/>
            <w14:ligatures w14:val="standardContextual"/>
          </w:rPr>
          <w:tab/>
        </w:r>
        <w:r w:rsidR="00FA4D37" w:rsidRPr="0018386D">
          <w:rPr>
            <w:rStyle w:val="Hyperlink"/>
            <w:noProof/>
          </w:rPr>
          <w:t>Heavy goods vehicles (energy consumption per 100 km)</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_Toc140048995 \h </w:instrText>
        </w:r>
        <w:r w:rsidR="00FA4D37" w:rsidRPr="0018386D">
          <w:rPr>
            <w:noProof/>
            <w:webHidden/>
          </w:rPr>
        </w:r>
        <w:r w:rsidR="00FA4D37" w:rsidRPr="0018386D">
          <w:rPr>
            <w:noProof/>
            <w:webHidden/>
          </w:rPr>
          <w:fldChar w:fldCharType="separate"/>
        </w:r>
        <w:r w:rsidR="00FA4D37" w:rsidRPr="0018386D">
          <w:rPr>
            <w:noProof/>
            <w:webHidden/>
          </w:rPr>
          <w:t>88</w:t>
        </w:r>
        <w:r w:rsidR="00FA4D37" w:rsidRPr="0018386D">
          <w:rPr>
            <w:noProof/>
            <w:webHidden/>
          </w:rPr>
          <w:fldChar w:fldCharType="end"/>
        </w:r>
      </w:hyperlink>
    </w:p>
    <w:p w14:paraId="45850896" w14:textId="6A575098" w:rsidR="00FA4D37" w:rsidRPr="0018386D" w:rsidRDefault="00C7627E">
      <w:pPr>
        <w:pStyle w:val="TableofFigures"/>
        <w:tabs>
          <w:tab w:val="right" w:pos="8495"/>
        </w:tabs>
        <w:rPr>
          <w:rFonts w:asciiTheme="minorHAnsi" w:hAnsiTheme="minorHAnsi"/>
          <w:noProof/>
          <w:kern w:val="2"/>
          <w14:ligatures w14:val="standardContextual"/>
        </w:rPr>
      </w:pPr>
      <w:hyperlink w:anchor="_Toc140048996" w:history="1">
        <w:r w:rsidR="00FA4D37" w:rsidRPr="0018386D">
          <w:rPr>
            <w:rStyle w:val="Hyperlink"/>
            <w:noProof/>
          </w:rPr>
          <w:t>Table 56:</w:t>
        </w:r>
        <w:r w:rsidR="00FA4D37" w:rsidRPr="0018386D">
          <w:rPr>
            <w:rFonts w:asciiTheme="minorHAnsi" w:hAnsiTheme="minorHAnsi"/>
            <w:noProof/>
            <w:kern w:val="2"/>
            <w14:ligatures w14:val="standardContextual"/>
          </w:rPr>
          <w:tab/>
        </w:r>
        <w:r w:rsidR="00FA4D37" w:rsidRPr="0018386D">
          <w:rPr>
            <w:rStyle w:val="Hyperlink"/>
            <w:noProof/>
          </w:rPr>
          <w:t>Data used to calculate the road freight (tkm) emission factor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_Toc140048996 \h </w:instrText>
        </w:r>
        <w:r w:rsidR="00FA4D37" w:rsidRPr="0018386D">
          <w:rPr>
            <w:noProof/>
            <w:webHidden/>
          </w:rPr>
        </w:r>
        <w:r w:rsidR="00FA4D37" w:rsidRPr="0018386D">
          <w:rPr>
            <w:noProof/>
            <w:webHidden/>
          </w:rPr>
          <w:fldChar w:fldCharType="separate"/>
        </w:r>
        <w:r w:rsidR="00FA4D37" w:rsidRPr="0018386D">
          <w:rPr>
            <w:noProof/>
            <w:webHidden/>
          </w:rPr>
          <w:t>89</w:t>
        </w:r>
        <w:r w:rsidR="00FA4D37" w:rsidRPr="0018386D">
          <w:rPr>
            <w:noProof/>
            <w:webHidden/>
          </w:rPr>
          <w:fldChar w:fldCharType="end"/>
        </w:r>
      </w:hyperlink>
    </w:p>
    <w:p w14:paraId="1BA73597" w14:textId="19A648A6" w:rsidR="00FA4D37" w:rsidRPr="0018386D" w:rsidRDefault="00C7627E">
      <w:pPr>
        <w:pStyle w:val="TableofFigures"/>
        <w:tabs>
          <w:tab w:val="right" w:pos="8495"/>
        </w:tabs>
        <w:rPr>
          <w:rFonts w:asciiTheme="minorHAnsi" w:hAnsiTheme="minorHAnsi"/>
          <w:noProof/>
          <w:kern w:val="2"/>
          <w14:ligatures w14:val="standardContextual"/>
        </w:rPr>
      </w:pPr>
      <w:hyperlink w:anchor="_Toc140048997" w:history="1">
        <w:r w:rsidR="00FA4D37" w:rsidRPr="0018386D">
          <w:rPr>
            <w:rStyle w:val="Hyperlink"/>
            <w:noProof/>
          </w:rPr>
          <w:t>Table 57:</w:t>
        </w:r>
        <w:r w:rsidR="00FA4D37" w:rsidRPr="0018386D">
          <w:rPr>
            <w:rFonts w:asciiTheme="minorHAnsi" w:hAnsiTheme="minorHAnsi"/>
            <w:noProof/>
            <w:kern w:val="2"/>
            <w14:ligatures w14:val="standardContextual"/>
          </w:rPr>
          <w:tab/>
        </w:r>
        <w:r w:rsidR="00FA4D37" w:rsidRPr="0018386D">
          <w:rPr>
            <w:rStyle w:val="Hyperlink"/>
            <w:noProof/>
          </w:rPr>
          <w:t>Calculating the ratio of gases in diesel</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_Toc140048997 \h </w:instrText>
        </w:r>
        <w:r w:rsidR="00FA4D37" w:rsidRPr="0018386D">
          <w:rPr>
            <w:noProof/>
            <w:webHidden/>
          </w:rPr>
        </w:r>
        <w:r w:rsidR="00FA4D37" w:rsidRPr="0018386D">
          <w:rPr>
            <w:noProof/>
            <w:webHidden/>
          </w:rPr>
          <w:fldChar w:fldCharType="separate"/>
        </w:r>
        <w:r w:rsidR="00FA4D37" w:rsidRPr="0018386D">
          <w:rPr>
            <w:noProof/>
            <w:webHidden/>
          </w:rPr>
          <w:t>89</w:t>
        </w:r>
        <w:r w:rsidR="00FA4D37" w:rsidRPr="0018386D">
          <w:rPr>
            <w:noProof/>
            <w:webHidden/>
          </w:rPr>
          <w:fldChar w:fldCharType="end"/>
        </w:r>
      </w:hyperlink>
    </w:p>
    <w:p w14:paraId="78BFA630" w14:textId="46932BCB" w:rsidR="00FA4D37" w:rsidRPr="0018386D" w:rsidRDefault="00C7627E">
      <w:pPr>
        <w:pStyle w:val="TableofFigures"/>
        <w:tabs>
          <w:tab w:val="right" w:pos="8495"/>
        </w:tabs>
        <w:rPr>
          <w:rFonts w:asciiTheme="minorHAnsi" w:hAnsiTheme="minorHAnsi"/>
          <w:noProof/>
          <w:kern w:val="2"/>
          <w14:ligatures w14:val="standardContextual"/>
        </w:rPr>
      </w:pPr>
      <w:hyperlink w:anchor="_Toc140048998" w:history="1">
        <w:r w:rsidR="00FA4D37" w:rsidRPr="0018386D">
          <w:rPr>
            <w:rStyle w:val="Hyperlink"/>
            <w:noProof/>
          </w:rPr>
          <w:t>Table 58:</w:t>
        </w:r>
        <w:r w:rsidR="00FA4D37" w:rsidRPr="0018386D">
          <w:rPr>
            <w:rFonts w:asciiTheme="minorHAnsi" w:hAnsiTheme="minorHAnsi"/>
            <w:noProof/>
            <w:kern w:val="2"/>
            <w14:ligatures w14:val="standardContextual"/>
          </w:rPr>
          <w:tab/>
        </w:r>
        <w:r w:rsidR="00FA4D37" w:rsidRPr="0018386D">
          <w:rPr>
            <w:rStyle w:val="Hyperlink"/>
            <w:noProof/>
          </w:rPr>
          <w:t>Emission factors for rail freight</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_Toc140048998 \h </w:instrText>
        </w:r>
        <w:r w:rsidR="00FA4D37" w:rsidRPr="0018386D">
          <w:rPr>
            <w:noProof/>
            <w:webHidden/>
          </w:rPr>
        </w:r>
        <w:r w:rsidR="00FA4D37" w:rsidRPr="0018386D">
          <w:rPr>
            <w:noProof/>
            <w:webHidden/>
          </w:rPr>
          <w:fldChar w:fldCharType="separate"/>
        </w:r>
        <w:r w:rsidR="00FA4D37" w:rsidRPr="0018386D">
          <w:rPr>
            <w:noProof/>
            <w:webHidden/>
          </w:rPr>
          <w:t>90</w:t>
        </w:r>
        <w:r w:rsidR="00FA4D37" w:rsidRPr="0018386D">
          <w:rPr>
            <w:noProof/>
            <w:webHidden/>
          </w:rPr>
          <w:fldChar w:fldCharType="end"/>
        </w:r>
      </w:hyperlink>
    </w:p>
    <w:p w14:paraId="6B577273" w14:textId="2B8BF1FC" w:rsidR="00FA4D37" w:rsidRPr="0018386D" w:rsidRDefault="00C7627E">
      <w:pPr>
        <w:pStyle w:val="TableofFigures"/>
        <w:tabs>
          <w:tab w:val="right" w:pos="8495"/>
        </w:tabs>
        <w:rPr>
          <w:rFonts w:asciiTheme="minorHAnsi" w:hAnsiTheme="minorHAnsi"/>
          <w:noProof/>
          <w:kern w:val="2"/>
          <w14:ligatures w14:val="standardContextual"/>
        </w:rPr>
      </w:pPr>
      <w:hyperlink w:anchor="_Toc140048999" w:history="1">
        <w:r w:rsidR="00FA4D37" w:rsidRPr="0018386D">
          <w:rPr>
            <w:rStyle w:val="Hyperlink"/>
            <w:noProof/>
          </w:rPr>
          <w:t>Table 59:</w:t>
        </w:r>
        <w:r w:rsidR="00FA4D37" w:rsidRPr="0018386D">
          <w:rPr>
            <w:rFonts w:asciiTheme="minorHAnsi" w:hAnsiTheme="minorHAnsi"/>
            <w:noProof/>
            <w:kern w:val="2"/>
            <w14:ligatures w14:val="standardContextual"/>
          </w:rPr>
          <w:tab/>
        </w:r>
        <w:r w:rsidR="00FA4D37" w:rsidRPr="0018386D">
          <w:rPr>
            <w:rStyle w:val="Hyperlink"/>
            <w:noProof/>
          </w:rPr>
          <w:t>Information provided by KiwiRail</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_Toc140048999 \h </w:instrText>
        </w:r>
        <w:r w:rsidR="00FA4D37" w:rsidRPr="0018386D">
          <w:rPr>
            <w:noProof/>
            <w:webHidden/>
          </w:rPr>
        </w:r>
        <w:r w:rsidR="00FA4D37" w:rsidRPr="0018386D">
          <w:rPr>
            <w:noProof/>
            <w:webHidden/>
          </w:rPr>
          <w:fldChar w:fldCharType="separate"/>
        </w:r>
        <w:r w:rsidR="00FA4D37" w:rsidRPr="0018386D">
          <w:rPr>
            <w:noProof/>
            <w:webHidden/>
          </w:rPr>
          <w:t>91</w:t>
        </w:r>
        <w:r w:rsidR="00FA4D37" w:rsidRPr="0018386D">
          <w:rPr>
            <w:noProof/>
            <w:webHidden/>
          </w:rPr>
          <w:fldChar w:fldCharType="end"/>
        </w:r>
      </w:hyperlink>
    </w:p>
    <w:p w14:paraId="14CE9F17" w14:textId="6F482130" w:rsidR="00FA4D37" w:rsidRPr="0018386D" w:rsidRDefault="00C7627E">
      <w:pPr>
        <w:pStyle w:val="TableofFigures"/>
        <w:tabs>
          <w:tab w:val="right" w:pos="8495"/>
        </w:tabs>
        <w:rPr>
          <w:rFonts w:asciiTheme="minorHAnsi" w:hAnsiTheme="minorHAnsi"/>
          <w:noProof/>
          <w:kern w:val="2"/>
          <w14:ligatures w14:val="standardContextual"/>
        </w:rPr>
      </w:pPr>
      <w:hyperlink w:anchor="_Toc140049000" w:history="1">
        <w:r w:rsidR="00FA4D37" w:rsidRPr="0018386D">
          <w:rPr>
            <w:rStyle w:val="Hyperlink"/>
            <w:noProof/>
          </w:rPr>
          <w:t>Table 60:</w:t>
        </w:r>
        <w:r w:rsidR="00FA4D37" w:rsidRPr="0018386D">
          <w:rPr>
            <w:rFonts w:asciiTheme="minorHAnsi" w:hAnsiTheme="minorHAnsi"/>
            <w:noProof/>
            <w:kern w:val="2"/>
            <w14:ligatures w14:val="standardContextual"/>
          </w:rPr>
          <w:tab/>
        </w:r>
        <w:r w:rsidR="00FA4D37" w:rsidRPr="0018386D">
          <w:rPr>
            <w:rStyle w:val="Hyperlink"/>
            <w:noProof/>
          </w:rPr>
          <w:t>Air freight emission factors without radiative forcing multiplier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_Toc140049000 \h </w:instrText>
        </w:r>
        <w:r w:rsidR="00FA4D37" w:rsidRPr="0018386D">
          <w:rPr>
            <w:noProof/>
            <w:webHidden/>
          </w:rPr>
        </w:r>
        <w:r w:rsidR="00FA4D37" w:rsidRPr="0018386D">
          <w:rPr>
            <w:noProof/>
            <w:webHidden/>
          </w:rPr>
          <w:fldChar w:fldCharType="separate"/>
        </w:r>
        <w:r w:rsidR="00FA4D37" w:rsidRPr="0018386D">
          <w:rPr>
            <w:noProof/>
            <w:webHidden/>
          </w:rPr>
          <w:t>92</w:t>
        </w:r>
        <w:r w:rsidR="00FA4D37" w:rsidRPr="0018386D">
          <w:rPr>
            <w:noProof/>
            <w:webHidden/>
          </w:rPr>
          <w:fldChar w:fldCharType="end"/>
        </w:r>
      </w:hyperlink>
    </w:p>
    <w:p w14:paraId="55B9EBD4" w14:textId="4F1D7E4A" w:rsidR="00FA4D37" w:rsidRPr="0018386D" w:rsidRDefault="00C7627E">
      <w:pPr>
        <w:pStyle w:val="TableofFigures"/>
        <w:tabs>
          <w:tab w:val="right" w:pos="8495"/>
        </w:tabs>
        <w:rPr>
          <w:rFonts w:asciiTheme="minorHAnsi" w:hAnsiTheme="minorHAnsi"/>
          <w:noProof/>
          <w:kern w:val="2"/>
          <w14:ligatures w14:val="standardContextual"/>
        </w:rPr>
      </w:pPr>
      <w:hyperlink w:anchor="_Toc140049001" w:history="1">
        <w:r w:rsidR="00FA4D37" w:rsidRPr="0018386D">
          <w:rPr>
            <w:rStyle w:val="Hyperlink"/>
            <w:noProof/>
          </w:rPr>
          <w:t>Table 61:</w:t>
        </w:r>
        <w:r w:rsidR="00FA4D37" w:rsidRPr="0018386D">
          <w:rPr>
            <w:rFonts w:asciiTheme="minorHAnsi" w:hAnsiTheme="minorHAnsi"/>
            <w:noProof/>
            <w:kern w:val="2"/>
            <w14:ligatures w14:val="standardContextual"/>
          </w:rPr>
          <w:tab/>
        </w:r>
        <w:r w:rsidR="00FA4D37" w:rsidRPr="0018386D">
          <w:rPr>
            <w:rStyle w:val="Hyperlink"/>
            <w:noProof/>
          </w:rPr>
          <w:t>Air freight emissions with radiative forcing multiplier</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_Toc140049001 \h </w:instrText>
        </w:r>
        <w:r w:rsidR="00FA4D37" w:rsidRPr="0018386D">
          <w:rPr>
            <w:noProof/>
            <w:webHidden/>
          </w:rPr>
        </w:r>
        <w:r w:rsidR="00FA4D37" w:rsidRPr="0018386D">
          <w:rPr>
            <w:noProof/>
            <w:webHidden/>
          </w:rPr>
          <w:fldChar w:fldCharType="separate"/>
        </w:r>
        <w:r w:rsidR="00FA4D37" w:rsidRPr="0018386D">
          <w:rPr>
            <w:noProof/>
            <w:webHidden/>
          </w:rPr>
          <w:t>92</w:t>
        </w:r>
        <w:r w:rsidR="00FA4D37" w:rsidRPr="0018386D">
          <w:rPr>
            <w:noProof/>
            <w:webHidden/>
          </w:rPr>
          <w:fldChar w:fldCharType="end"/>
        </w:r>
      </w:hyperlink>
    </w:p>
    <w:p w14:paraId="5898FFE0" w14:textId="2FDA96BC" w:rsidR="00FA4D37" w:rsidRPr="0018386D" w:rsidRDefault="00C7627E">
      <w:pPr>
        <w:pStyle w:val="TableofFigures"/>
        <w:tabs>
          <w:tab w:val="right" w:pos="8495"/>
        </w:tabs>
        <w:rPr>
          <w:rFonts w:asciiTheme="minorHAnsi" w:hAnsiTheme="minorHAnsi"/>
          <w:noProof/>
          <w:kern w:val="2"/>
          <w14:ligatures w14:val="standardContextual"/>
        </w:rPr>
      </w:pPr>
      <w:hyperlink w:anchor="_Toc140049002" w:history="1">
        <w:r w:rsidR="00FA4D37" w:rsidRPr="0018386D">
          <w:rPr>
            <w:rStyle w:val="Hyperlink"/>
            <w:noProof/>
          </w:rPr>
          <w:t>Table 62:</w:t>
        </w:r>
        <w:r w:rsidR="00FA4D37" w:rsidRPr="0018386D">
          <w:rPr>
            <w:rFonts w:asciiTheme="minorHAnsi" w:hAnsiTheme="minorHAnsi"/>
            <w:noProof/>
            <w:kern w:val="2"/>
            <w14:ligatures w14:val="standardContextual"/>
          </w:rPr>
          <w:tab/>
        </w:r>
        <w:r w:rsidR="00FA4D37" w:rsidRPr="0018386D">
          <w:rPr>
            <w:rStyle w:val="Hyperlink"/>
            <w:noProof/>
          </w:rPr>
          <w:t>Coastal shipping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_Toc140049002 \h </w:instrText>
        </w:r>
        <w:r w:rsidR="00FA4D37" w:rsidRPr="0018386D">
          <w:rPr>
            <w:noProof/>
            <w:webHidden/>
          </w:rPr>
        </w:r>
        <w:r w:rsidR="00FA4D37" w:rsidRPr="0018386D">
          <w:rPr>
            <w:noProof/>
            <w:webHidden/>
          </w:rPr>
          <w:fldChar w:fldCharType="separate"/>
        </w:r>
        <w:r w:rsidR="00FA4D37" w:rsidRPr="0018386D">
          <w:rPr>
            <w:noProof/>
            <w:webHidden/>
          </w:rPr>
          <w:t>93</w:t>
        </w:r>
        <w:r w:rsidR="00FA4D37" w:rsidRPr="0018386D">
          <w:rPr>
            <w:noProof/>
            <w:webHidden/>
          </w:rPr>
          <w:fldChar w:fldCharType="end"/>
        </w:r>
      </w:hyperlink>
    </w:p>
    <w:p w14:paraId="009D28BE" w14:textId="6359A256" w:rsidR="00FA4D37" w:rsidRPr="0018386D" w:rsidRDefault="00C7627E">
      <w:pPr>
        <w:pStyle w:val="TableofFigures"/>
        <w:tabs>
          <w:tab w:val="right" w:pos="8495"/>
        </w:tabs>
        <w:rPr>
          <w:rFonts w:asciiTheme="minorHAnsi" w:hAnsiTheme="minorHAnsi"/>
          <w:noProof/>
          <w:kern w:val="2"/>
          <w14:ligatures w14:val="standardContextual"/>
        </w:rPr>
      </w:pPr>
      <w:hyperlink w:anchor="_Toc140049003" w:history="1">
        <w:r w:rsidR="00FA4D37" w:rsidRPr="0018386D">
          <w:rPr>
            <w:rStyle w:val="Hyperlink"/>
            <w:noProof/>
          </w:rPr>
          <w:t>Table 63:</w:t>
        </w:r>
        <w:r w:rsidR="00FA4D37" w:rsidRPr="0018386D">
          <w:rPr>
            <w:rFonts w:asciiTheme="minorHAnsi" w:hAnsiTheme="minorHAnsi"/>
            <w:noProof/>
            <w:kern w:val="2"/>
            <w14:ligatures w14:val="standardContextual"/>
          </w:rPr>
          <w:tab/>
        </w:r>
        <w:r w:rsidR="00FA4D37" w:rsidRPr="0018386D">
          <w:rPr>
            <w:rStyle w:val="Hyperlink"/>
            <w:noProof/>
          </w:rPr>
          <w:t>International shipping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_Toc140049003 \h </w:instrText>
        </w:r>
        <w:r w:rsidR="00FA4D37" w:rsidRPr="0018386D">
          <w:rPr>
            <w:noProof/>
            <w:webHidden/>
          </w:rPr>
        </w:r>
        <w:r w:rsidR="00FA4D37" w:rsidRPr="0018386D">
          <w:rPr>
            <w:noProof/>
            <w:webHidden/>
          </w:rPr>
          <w:fldChar w:fldCharType="separate"/>
        </w:r>
        <w:r w:rsidR="00FA4D37" w:rsidRPr="0018386D">
          <w:rPr>
            <w:noProof/>
            <w:webHidden/>
          </w:rPr>
          <w:t>94</w:t>
        </w:r>
        <w:r w:rsidR="00FA4D37" w:rsidRPr="0018386D">
          <w:rPr>
            <w:noProof/>
            <w:webHidden/>
          </w:rPr>
          <w:fldChar w:fldCharType="end"/>
        </w:r>
      </w:hyperlink>
    </w:p>
    <w:p w14:paraId="2830B7DF" w14:textId="48EAA2C6" w:rsidR="00FA4D37" w:rsidRPr="0018386D" w:rsidRDefault="00C7627E">
      <w:pPr>
        <w:pStyle w:val="TableofFigures"/>
        <w:tabs>
          <w:tab w:val="right" w:pos="8495"/>
        </w:tabs>
        <w:rPr>
          <w:rFonts w:asciiTheme="minorHAnsi" w:hAnsiTheme="minorHAnsi"/>
          <w:noProof/>
          <w:kern w:val="2"/>
          <w14:ligatures w14:val="standardContextual"/>
        </w:rPr>
      </w:pPr>
      <w:hyperlink w:anchor="_Toc140049004" w:history="1">
        <w:r w:rsidR="00FA4D37" w:rsidRPr="0018386D">
          <w:rPr>
            <w:rStyle w:val="Hyperlink"/>
            <w:noProof/>
          </w:rPr>
          <w:t>Table 64:</w:t>
        </w:r>
        <w:r w:rsidR="00FA4D37" w:rsidRPr="0018386D">
          <w:rPr>
            <w:rFonts w:asciiTheme="minorHAnsi" w:hAnsiTheme="minorHAnsi"/>
            <w:noProof/>
            <w:kern w:val="2"/>
            <w14:ligatures w14:val="standardContextual"/>
          </w:rPr>
          <w:tab/>
        </w:r>
        <w:r w:rsidR="00FA4D37" w:rsidRPr="0018386D">
          <w:rPr>
            <w:rStyle w:val="Hyperlink"/>
            <w:noProof/>
          </w:rPr>
          <w:t>Coastal shipping data</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_Toc140049004 \h </w:instrText>
        </w:r>
        <w:r w:rsidR="00FA4D37" w:rsidRPr="0018386D">
          <w:rPr>
            <w:noProof/>
            <w:webHidden/>
          </w:rPr>
        </w:r>
        <w:r w:rsidR="00FA4D37" w:rsidRPr="0018386D">
          <w:rPr>
            <w:noProof/>
            <w:webHidden/>
          </w:rPr>
          <w:fldChar w:fldCharType="separate"/>
        </w:r>
        <w:r w:rsidR="00FA4D37" w:rsidRPr="0018386D">
          <w:rPr>
            <w:noProof/>
            <w:webHidden/>
          </w:rPr>
          <w:t>95</w:t>
        </w:r>
        <w:r w:rsidR="00FA4D37" w:rsidRPr="0018386D">
          <w:rPr>
            <w:noProof/>
            <w:webHidden/>
          </w:rPr>
          <w:fldChar w:fldCharType="end"/>
        </w:r>
      </w:hyperlink>
    </w:p>
    <w:p w14:paraId="700ABE5A" w14:textId="55EB3ECA" w:rsidR="00FA4D37" w:rsidRPr="0018386D" w:rsidRDefault="00C7627E">
      <w:pPr>
        <w:pStyle w:val="TableofFigures"/>
        <w:tabs>
          <w:tab w:val="right" w:pos="8495"/>
        </w:tabs>
        <w:rPr>
          <w:rFonts w:asciiTheme="minorHAnsi" w:hAnsiTheme="minorHAnsi"/>
          <w:noProof/>
          <w:kern w:val="2"/>
          <w14:ligatures w14:val="standardContextual"/>
        </w:rPr>
      </w:pPr>
      <w:hyperlink w:anchor="_Toc140049005" w:history="1">
        <w:r w:rsidR="00FA4D37" w:rsidRPr="0018386D">
          <w:rPr>
            <w:rStyle w:val="Hyperlink"/>
            <w:noProof/>
          </w:rPr>
          <w:t>Table 65:</w:t>
        </w:r>
        <w:r w:rsidR="00FA4D37" w:rsidRPr="0018386D">
          <w:rPr>
            <w:rFonts w:asciiTheme="minorHAnsi" w:hAnsiTheme="minorHAnsi"/>
            <w:noProof/>
            <w:kern w:val="2"/>
            <w14:ligatures w14:val="standardContextual"/>
          </w:rPr>
          <w:tab/>
        </w:r>
        <w:r w:rsidR="00FA4D37" w:rsidRPr="0018386D">
          <w:rPr>
            <w:rStyle w:val="Hyperlink"/>
            <w:noProof/>
          </w:rPr>
          <w:t>Water supply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_Toc140049005 \h </w:instrText>
        </w:r>
        <w:r w:rsidR="00FA4D37" w:rsidRPr="0018386D">
          <w:rPr>
            <w:noProof/>
            <w:webHidden/>
          </w:rPr>
        </w:r>
        <w:r w:rsidR="00FA4D37" w:rsidRPr="0018386D">
          <w:rPr>
            <w:noProof/>
            <w:webHidden/>
          </w:rPr>
          <w:fldChar w:fldCharType="separate"/>
        </w:r>
        <w:r w:rsidR="00FA4D37" w:rsidRPr="0018386D">
          <w:rPr>
            <w:noProof/>
            <w:webHidden/>
          </w:rPr>
          <w:t>97</w:t>
        </w:r>
        <w:r w:rsidR="00FA4D37" w:rsidRPr="0018386D">
          <w:rPr>
            <w:noProof/>
            <w:webHidden/>
          </w:rPr>
          <w:fldChar w:fldCharType="end"/>
        </w:r>
      </w:hyperlink>
    </w:p>
    <w:p w14:paraId="67356DF4" w14:textId="37FB9247" w:rsidR="00FA4D37" w:rsidRPr="0018386D" w:rsidRDefault="00C7627E">
      <w:pPr>
        <w:pStyle w:val="TableofFigures"/>
        <w:tabs>
          <w:tab w:val="right" w:pos="8495"/>
        </w:tabs>
        <w:rPr>
          <w:rFonts w:asciiTheme="minorHAnsi" w:hAnsiTheme="minorHAnsi"/>
          <w:noProof/>
          <w:kern w:val="2"/>
          <w14:ligatures w14:val="standardContextual"/>
        </w:rPr>
      </w:pPr>
      <w:hyperlink w:anchor="_Toc140049006" w:history="1">
        <w:r w:rsidR="00FA4D37" w:rsidRPr="0018386D">
          <w:rPr>
            <w:rStyle w:val="Hyperlink"/>
            <w:noProof/>
          </w:rPr>
          <w:t>Table 66:</w:t>
        </w:r>
        <w:r w:rsidR="00FA4D37" w:rsidRPr="0018386D">
          <w:rPr>
            <w:rFonts w:asciiTheme="minorHAnsi" w:hAnsiTheme="minorHAnsi"/>
            <w:noProof/>
            <w:kern w:val="2"/>
            <w14:ligatures w14:val="standardContextual"/>
          </w:rPr>
          <w:tab/>
        </w:r>
        <w:r w:rsidR="00FA4D37" w:rsidRPr="0018386D">
          <w:rPr>
            <w:rStyle w:val="Hyperlink"/>
            <w:noProof/>
          </w:rPr>
          <w:t>Domestic wastewater treatment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_Toc140049006 \h </w:instrText>
        </w:r>
        <w:r w:rsidR="00FA4D37" w:rsidRPr="0018386D">
          <w:rPr>
            <w:noProof/>
            <w:webHidden/>
          </w:rPr>
        </w:r>
        <w:r w:rsidR="00FA4D37" w:rsidRPr="0018386D">
          <w:rPr>
            <w:noProof/>
            <w:webHidden/>
          </w:rPr>
          <w:fldChar w:fldCharType="separate"/>
        </w:r>
        <w:r w:rsidR="00FA4D37" w:rsidRPr="0018386D">
          <w:rPr>
            <w:noProof/>
            <w:webHidden/>
          </w:rPr>
          <w:t>100</w:t>
        </w:r>
        <w:r w:rsidR="00FA4D37" w:rsidRPr="0018386D">
          <w:rPr>
            <w:noProof/>
            <w:webHidden/>
          </w:rPr>
          <w:fldChar w:fldCharType="end"/>
        </w:r>
      </w:hyperlink>
    </w:p>
    <w:p w14:paraId="07C8176A" w14:textId="2C010937" w:rsidR="00FA4D37" w:rsidRPr="0018386D" w:rsidRDefault="00C7627E">
      <w:pPr>
        <w:pStyle w:val="TableofFigures"/>
        <w:tabs>
          <w:tab w:val="right" w:pos="8495"/>
        </w:tabs>
        <w:rPr>
          <w:rFonts w:asciiTheme="minorHAnsi" w:hAnsiTheme="minorHAnsi"/>
          <w:noProof/>
          <w:kern w:val="2"/>
          <w14:ligatures w14:val="standardContextual"/>
        </w:rPr>
      </w:pPr>
      <w:hyperlink w:anchor="_Toc140049007" w:history="1">
        <w:r w:rsidR="00FA4D37" w:rsidRPr="0018386D">
          <w:rPr>
            <w:rStyle w:val="Hyperlink"/>
            <w:noProof/>
          </w:rPr>
          <w:t>Table 67:</w:t>
        </w:r>
        <w:r w:rsidR="00FA4D37" w:rsidRPr="0018386D">
          <w:rPr>
            <w:rFonts w:asciiTheme="minorHAnsi" w:hAnsiTheme="minorHAnsi"/>
            <w:noProof/>
            <w:kern w:val="2"/>
            <w14:ligatures w14:val="standardContextual"/>
          </w:rPr>
          <w:tab/>
        </w:r>
        <w:r w:rsidR="00FA4D37" w:rsidRPr="0018386D">
          <w:rPr>
            <w:rStyle w:val="Hyperlink"/>
            <w:noProof/>
          </w:rPr>
          <w:t>Industrial wastewater treatment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_Toc140049007 \h </w:instrText>
        </w:r>
        <w:r w:rsidR="00FA4D37" w:rsidRPr="0018386D">
          <w:rPr>
            <w:noProof/>
            <w:webHidden/>
          </w:rPr>
        </w:r>
        <w:r w:rsidR="00FA4D37" w:rsidRPr="0018386D">
          <w:rPr>
            <w:noProof/>
            <w:webHidden/>
          </w:rPr>
          <w:fldChar w:fldCharType="separate"/>
        </w:r>
        <w:r w:rsidR="00FA4D37" w:rsidRPr="0018386D">
          <w:rPr>
            <w:noProof/>
            <w:webHidden/>
          </w:rPr>
          <w:t>100</w:t>
        </w:r>
        <w:r w:rsidR="00FA4D37" w:rsidRPr="0018386D">
          <w:rPr>
            <w:noProof/>
            <w:webHidden/>
          </w:rPr>
          <w:fldChar w:fldCharType="end"/>
        </w:r>
      </w:hyperlink>
    </w:p>
    <w:p w14:paraId="2236F4F5" w14:textId="4B3AA77D" w:rsidR="00FA4D37" w:rsidRPr="0018386D" w:rsidRDefault="00C7627E">
      <w:pPr>
        <w:pStyle w:val="TableofFigures"/>
        <w:tabs>
          <w:tab w:val="right" w:pos="8495"/>
        </w:tabs>
        <w:rPr>
          <w:rFonts w:asciiTheme="minorHAnsi" w:hAnsiTheme="minorHAnsi"/>
          <w:noProof/>
          <w:kern w:val="2"/>
          <w14:ligatures w14:val="standardContextual"/>
        </w:rPr>
      </w:pPr>
      <w:hyperlink w:anchor="_Toc140049008" w:history="1">
        <w:r w:rsidR="00FA4D37" w:rsidRPr="0018386D">
          <w:rPr>
            <w:rStyle w:val="Hyperlink"/>
            <w:noProof/>
          </w:rPr>
          <w:t>Table 68:</w:t>
        </w:r>
        <w:r w:rsidR="00FA4D37" w:rsidRPr="0018386D">
          <w:rPr>
            <w:rFonts w:asciiTheme="minorHAnsi" w:hAnsiTheme="minorHAnsi"/>
            <w:noProof/>
            <w:kern w:val="2"/>
            <w14:ligatures w14:val="standardContextual"/>
          </w:rPr>
          <w:tab/>
        </w:r>
        <w:r w:rsidR="00FA4D37" w:rsidRPr="0018386D">
          <w:rPr>
            <w:rStyle w:val="Hyperlink"/>
            <w:noProof/>
          </w:rPr>
          <w:t>Domestic wastewater treatment emissions calculation components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_Toc140049008 \h </w:instrText>
        </w:r>
        <w:r w:rsidR="00FA4D37" w:rsidRPr="0018386D">
          <w:rPr>
            <w:noProof/>
            <w:webHidden/>
          </w:rPr>
        </w:r>
        <w:r w:rsidR="00FA4D37" w:rsidRPr="0018386D">
          <w:rPr>
            <w:noProof/>
            <w:webHidden/>
          </w:rPr>
          <w:fldChar w:fldCharType="separate"/>
        </w:r>
        <w:r w:rsidR="00FA4D37" w:rsidRPr="0018386D">
          <w:rPr>
            <w:noProof/>
            <w:webHidden/>
          </w:rPr>
          <w:t>103</w:t>
        </w:r>
        <w:r w:rsidR="00FA4D37" w:rsidRPr="0018386D">
          <w:rPr>
            <w:noProof/>
            <w:webHidden/>
          </w:rPr>
          <w:fldChar w:fldCharType="end"/>
        </w:r>
      </w:hyperlink>
    </w:p>
    <w:p w14:paraId="31601E5E" w14:textId="14F9D8C0" w:rsidR="00FA4D37" w:rsidRPr="0018386D" w:rsidRDefault="00C7627E">
      <w:pPr>
        <w:pStyle w:val="TableofFigures"/>
        <w:tabs>
          <w:tab w:val="right" w:pos="8495"/>
        </w:tabs>
        <w:rPr>
          <w:rFonts w:asciiTheme="minorHAnsi" w:hAnsiTheme="minorHAnsi"/>
          <w:noProof/>
          <w:kern w:val="2"/>
          <w14:ligatures w14:val="standardContextual"/>
        </w:rPr>
      </w:pPr>
      <w:hyperlink w:anchor="_Toc140049009" w:history="1">
        <w:r w:rsidR="00FA4D37" w:rsidRPr="0018386D">
          <w:rPr>
            <w:rStyle w:val="Hyperlink"/>
            <w:noProof/>
          </w:rPr>
          <w:t>Table 69:</w:t>
        </w:r>
        <w:r w:rsidR="00FA4D37" w:rsidRPr="0018386D">
          <w:rPr>
            <w:rFonts w:asciiTheme="minorHAnsi" w:hAnsiTheme="minorHAnsi"/>
            <w:noProof/>
            <w:kern w:val="2"/>
            <w14:ligatures w14:val="standardContextual"/>
          </w:rPr>
          <w:tab/>
        </w:r>
        <w:r w:rsidR="00FA4D37" w:rsidRPr="0018386D">
          <w:rPr>
            <w:rStyle w:val="Hyperlink"/>
            <w:noProof/>
          </w:rPr>
          <w:t>Industrial wastewater treatment methane emissions calculation information</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_Toc140049009 \h </w:instrText>
        </w:r>
        <w:r w:rsidR="00FA4D37" w:rsidRPr="0018386D">
          <w:rPr>
            <w:noProof/>
            <w:webHidden/>
          </w:rPr>
        </w:r>
        <w:r w:rsidR="00FA4D37" w:rsidRPr="0018386D">
          <w:rPr>
            <w:noProof/>
            <w:webHidden/>
          </w:rPr>
          <w:fldChar w:fldCharType="separate"/>
        </w:r>
        <w:r w:rsidR="00FA4D37" w:rsidRPr="0018386D">
          <w:rPr>
            <w:noProof/>
            <w:webHidden/>
          </w:rPr>
          <w:t>104</w:t>
        </w:r>
        <w:r w:rsidR="00FA4D37" w:rsidRPr="0018386D">
          <w:rPr>
            <w:noProof/>
            <w:webHidden/>
          </w:rPr>
          <w:fldChar w:fldCharType="end"/>
        </w:r>
      </w:hyperlink>
    </w:p>
    <w:p w14:paraId="4F79BAF0" w14:textId="3CF7707D" w:rsidR="00FA4D37" w:rsidRPr="0018386D" w:rsidRDefault="00C7627E">
      <w:pPr>
        <w:pStyle w:val="TableofFigures"/>
        <w:tabs>
          <w:tab w:val="right" w:pos="8495"/>
        </w:tabs>
        <w:rPr>
          <w:rFonts w:asciiTheme="minorHAnsi" w:hAnsiTheme="minorHAnsi"/>
          <w:noProof/>
          <w:kern w:val="2"/>
          <w14:ligatures w14:val="standardContextual"/>
        </w:rPr>
      </w:pPr>
      <w:hyperlink w:anchor="_Toc140049010" w:history="1">
        <w:r w:rsidR="00FA4D37" w:rsidRPr="0018386D">
          <w:rPr>
            <w:rStyle w:val="Hyperlink"/>
            <w:noProof/>
          </w:rPr>
          <w:t>Table 70:</w:t>
        </w:r>
        <w:r w:rsidR="00FA4D37" w:rsidRPr="0018386D">
          <w:rPr>
            <w:rFonts w:asciiTheme="minorHAnsi" w:hAnsiTheme="minorHAnsi"/>
            <w:noProof/>
            <w:kern w:val="2"/>
            <w14:ligatures w14:val="standardContextual"/>
          </w:rPr>
          <w:tab/>
        </w:r>
        <w:r w:rsidR="00FA4D37" w:rsidRPr="0018386D">
          <w:rPr>
            <w:rStyle w:val="Hyperlink"/>
            <w:noProof/>
          </w:rPr>
          <w:t>Industrial wastewater treatment nitrous oxide emissions calculation information</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_Toc140049010 \h </w:instrText>
        </w:r>
        <w:r w:rsidR="00FA4D37" w:rsidRPr="0018386D">
          <w:rPr>
            <w:noProof/>
            <w:webHidden/>
          </w:rPr>
        </w:r>
        <w:r w:rsidR="00FA4D37" w:rsidRPr="0018386D">
          <w:rPr>
            <w:noProof/>
            <w:webHidden/>
          </w:rPr>
          <w:fldChar w:fldCharType="separate"/>
        </w:r>
        <w:r w:rsidR="00FA4D37" w:rsidRPr="0018386D">
          <w:rPr>
            <w:noProof/>
            <w:webHidden/>
          </w:rPr>
          <w:t>104</w:t>
        </w:r>
        <w:r w:rsidR="00FA4D37" w:rsidRPr="0018386D">
          <w:rPr>
            <w:noProof/>
            <w:webHidden/>
          </w:rPr>
          <w:fldChar w:fldCharType="end"/>
        </w:r>
      </w:hyperlink>
    </w:p>
    <w:p w14:paraId="0C056B46" w14:textId="61F22E77" w:rsidR="00FA4D37" w:rsidRPr="0018386D" w:rsidRDefault="00C7627E">
      <w:pPr>
        <w:pStyle w:val="TableofFigures"/>
        <w:tabs>
          <w:tab w:val="right" w:pos="8495"/>
        </w:tabs>
        <w:rPr>
          <w:rFonts w:asciiTheme="minorHAnsi" w:hAnsiTheme="minorHAnsi"/>
          <w:noProof/>
          <w:kern w:val="2"/>
          <w14:ligatures w14:val="standardContextual"/>
        </w:rPr>
      </w:pPr>
      <w:hyperlink w:anchor="_Toc140049011" w:history="1">
        <w:r w:rsidR="00FA4D37" w:rsidRPr="0018386D">
          <w:rPr>
            <w:rStyle w:val="Hyperlink"/>
            <w:noProof/>
          </w:rPr>
          <w:t>Table 71:</w:t>
        </w:r>
        <w:r w:rsidR="00FA4D37" w:rsidRPr="0018386D">
          <w:rPr>
            <w:rFonts w:asciiTheme="minorHAnsi" w:hAnsiTheme="minorHAnsi"/>
            <w:noProof/>
            <w:kern w:val="2"/>
            <w14:ligatures w14:val="standardContextual"/>
          </w:rPr>
          <w:tab/>
        </w:r>
        <w:r w:rsidR="00FA4D37" w:rsidRPr="0018386D">
          <w:rPr>
            <w:rStyle w:val="Hyperlink"/>
            <w:noProof/>
          </w:rPr>
          <w:t>Uncertainties with wastewater treatment emission source category</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_Toc140049011 \h </w:instrText>
        </w:r>
        <w:r w:rsidR="00FA4D37" w:rsidRPr="0018386D">
          <w:rPr>
            <w:noProof/>
            <w:webHidden/>
          </w:rPr>
        </w:r>
        <w:r w:rsidR="00FA4D37" w:rsidRPr="0018386D">
          <w:rPr>
            <w:noProof/>
            <w:webHidden/>
          </w:rPr>
          <w:fldChar w:fldCharType="separate"/>
        </w:r>
        <w:r w:rsidR="00FA4D37" w:rsidRPr="0018386D">
          <w:rPr>
            <w:noProof/>
            <w:webHidden/>
          </w:rPr>
          <w:t>105</w:t>
        </w:r>
        <w:r w:rsidR="00FA4D37" w:rsidRPr="0018386D">
          <w:rPr>
            <w:noProof/>
            <w:webHidden/>
          </w:rPr>
          <w:fldChar w:fldCharType="end"/>
        </w:r>
      </w:hyperlink>
    </w:p>
    <w:p w14:paraId="46F106FD" w14:textId="24B2E8AF" w:rsidR="00FA4D37" w:rsidRPr="0018386D" w:rsidRDefault="00C7627E">
      <w:pPr>
        <w:pStyle w:val="TableofFigures"/>
        <w:tabs>
          <w:tab w:val="right" w:pos="8495"/>
        </w:tabs>
        <w:rPr>
          <w:rFonts w:asciiTheme="minorHAnsi" w:hAnsiTheme="minorHAnsi"/>
          <w:noProof/>
          <w:kern w:val="2"/>
          <w14:ligatures w14:val="standardContextual"/>
        </w:rPr>
      </w:pPr>
      <w:hyperlink w:anchor="_Toc140049012" w:history="1">
        <w:r w:rsidR="00FA4D37" w:rsidRPr="0018386D">
          <w:rPr>
            <w:rStyle w:val="Hyperlink"/>
            <w:noProof/>
          </w:rPr>
          <w:t>Table 72:</w:t>
        </w:r>
        <w:r w:rsidR="00FA4D37" w:rsidRPr="0018386D">
          <w:rPr>
            <w:rFonts w:asciiTheme="minorHAnsi" w:hAnsiTheme="minorHAnsi"/>
            <w:noProof/>
            <w:kern w:val="2"/>
            <w14:ligatures w14:val="standardContextual"/>
          </w:rPr>
          <w:tab/>
        </w:r>
        <w:r w:rsidR="00FA4D37" w:rsidRPr="0018386D">
          <w:rPr>
            <w:rStyle w:val="Hyperlink"/>
            <w:noProof/>
          </w:rPr>
          <w:t>Description of landfill types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_Toc140049012 \h </w:instrText>
        </w:r>
        <w:r w:rsidR="00FA4D37" w:rsidRPr="0018386D">
          <w:rPr>
            <w:noProof/>
            <w:webHidden/>
          </w:rPr>
        </w:r>
        <w:r w:rsidR="00FA4D37" w:rsidRPr="0018386D">
          <w:rPr>
            <w:noProof/>
            <w:webHidden/>
          </w:rPr>
          <w:fldChar w:fldCharType="separate"/>
        </w:r>
        <w:r w:rsidR="00FA4D37" w:rsidRPr="0018386D">
          <w:rPr>
            <w:noProof/>
            <w:webHidden/>
          </w:rPr>
          <w:t>107</w:t>
        </w:r>
        <w:r w:rsidR="00FA4D37" w:rsidRPr="0018386D">
          <w:rPr>
            <w:noProof/>
            <w:webHidden/>
          </w:rPr>
          <w:fldChar w:fldCharType="end"/>
        </w:r>
      </w:hyperlink>
    </w:p>
    <w:p w14:paraId="27A5F858" w14:textId="405B418D" w:rsidR="00FA4D37" w:rsidRPr="0018386D" w:rsidRDefault="00C7627E">
      <w:pPr>
        <w:pStyle w:val="TableofFigures"/>
        <w:tabs>
          <w:tab w:val="right" w:pos="8495"/>
        </w:tabs>
        <w:rPr>
          <w:rFonts w:asciiTheme="minorHAnsi" w:hAnsiTheme="minorHAnsi"/>
          <w:noProof/>
          <w:kern w:val="2"/>
          <w14:ligatures w14:val="standardContextual"/>
        </w:rPr>
      </w:pPr>
      <w:hyperlink w:anchor="_Toc140049013" w:history="1">
        <w:r w:rsidR="00FA4D37" w:rsidRPr="0018386D">
          <w:rPr>
            <w:rStyle w:val="Hyperlink"/>
            <w:noProof/>
          </w:rPr>
          <w:t>Table 73:</w:t>
        </w:r>
        <w:r w:rsidR="00FA4D37" w:rsidRPr="0018386D">
          <w:rPr>
            <w:rFonts w:asciiTheme="minorHAnsi" w:hAnsiTheme="minorHAnsi"/>
            <w:noProof/>
            <w:kern w:val="2"/>
            <w14:ligatures w14:val="standardContextual"/>
          </w:rPr>
          <w:tab/>
        </w:r>
        <w:r w:rsidR="00FA4D37" w:rsidRPr="0018386D">
          <w:rPr>
            <w:rStyle w:val="Hyperlink"/>
            <w:noProof/>
          </w:rPr>
          <w:t>Waste disposal to municipal (class 1) landfills with gas recovery</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_Toc140049013 \h </w:instrText>
        </w:r>
        <w:r w:rsidR="00FA4D37" w:rsidRPr="0018386D">
          <w:rPr>
            <w:noProof/>
            <w:webHidden/>
          </w:rPr>
        </w:r>
        <w:r w:rsidR="00FA4D37" w:rsidRPr="0018386D">
          <w:rPr>
            <w:noProof/>
            <w:webHidden/>
          </w:rPr>
          <w:fldChar w:fldCharType="separate"/>
        </w:r>
        <w:r w:rsidR="00FA4D37" w:rsidRPr="0018386D">
          <w:rPr>
            <w:noProof/>
            <w:webHidden/>
          </w:rPr>
          <w:t>108</w:t>
        </w:r>
        <w:r w:rsidR="00FA4D37" w:rsidRPr="0018386D">
          <w:rPr>
            <w:noProof/>
            <w:webHidden/>
          </w:rPr>
          <w:fldChar w:fldCharType="end"/>
        </w:r>
      </w:hyperlink>
    </w:p>
    <w:p w14:paraId="2535190B" w14:textId="6AC9499A" w:rsidR="00FA4D37" w:rsidRPr="0018386D" w:rsidRDefault="00C7627E">
      <w:pPr>
        <w:pStyle w:val="TableofFigures"/>
        <w:tabs>
          <w:tab w:val="right" w:pos="8495"/>
        </w:tabs>
        <w:rPr>
          <w:rFonts w:asciiTheme="minorHAnsi" w:hAnsiTheme="minorHAnsi"/>
          <w:noProof/>
          <w:kern w:val="2"/>
          <w14:ligatures w14:val="standardContextual"/>
        </w:rPr>
      </w:pPr>
      <w:hyperlink w:anchor="_Toc140049014" w:history="1">
        <w:r w:rsidR="00FA4D37" w:rsidRPr="0018386D">
          <w:rPr>
            <w:rStyle w:val="Hyperlink"/>
            <w:noProof/>
          </w:rPr>
          <w:t>Table 74:</w:t>
        </w:r>
        <w:r w:rsidR="00FA4D37" w:rsidRPr="0018386D">
          <w:rPr>
            <w:rFonts w:asciiTheme="minorHAnsi" w:hAnsiTheme="minorHAnsi"/>
            <w:noProof/>
            <w:kern w:val="2"/>
            <w14:ligatures w14:val="standardContextual"/>
          </w:rPr>
          <w:tab/>
        </w:r>
        <w:r w:rsidR="00FA4D37" w:rsidRPr="0018386D">
          <w:rPr>
            <w:rStyle w:val="Hyperlink"/>
            <w:noProof/>
          </w:rPr>
          <w:t>Waste disposal to municipal (class 1) landfills without gas recovery</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_Toc140049014 \h </w:instrText>
        </w:r>
        <w:r w:rsidR="00FA4D37" w:rsidRPr="0018386D">
          <w:rPr>
            <w:noProof/>
            <w:webHidden/>
          </w:rPr>
        </w:r>
        <w:r w:rsidR="00FA4D37" w:rsidRPr="0018386D">
          <w:rPr>
            <w:noProof/>
            <w:webHidden/>
          </w:rPr>
          <w:fldChar w:fldCharType="separate"/>
        </w:r>
        <w:r w:rsidR="00FA4D37" w:rsidRPr="0018386D">
          <w:rPr>
            <w:noProof/>
            <w:webHidden/>
          </w:rPr>
          <w:t>108</w:t>
        </w:r>
        <w:r w:rsidR="00FA4D37" w:rsidRPr="0018386D">
          <w:rPr>
            <w:noProof/>
            <w:webHidden/>
          </w:rPr>
          <w:fldChar w:fldCharType="end"/>
        </w:r>
      </w:hyperlink>
    </w:p>
    <w:p w14:paraId="010E8302" w14:textId="0AA70D64" w:rsidR="00FA4D37" w:rsidRPr="0018386D" w:rsidRDefault="00C7627E">
      <w:pPr>
        <w:pStyle w:val="TableofFigures"/>
        <w:tabs>
          <w:tab w:val="right" w:pos="8495"/>
        </w:tabs>
        <w:rPr>
          <w:rFonts w:asciiTheme="minorHAnsi" w:hAnsiTheme="minorHAnsi"/>
          <w:noProof/>
          <w:kern w:val="2"/>
          <w14:ligatures w14:val="standardContextual"/>
        </w:rPr>
      </w:pPr>
      <w:hyperlink w:anchor="_Toc140049015" w:history="1">
        <w:r w:rsidR="00FA4D37" w:rsidRPr="0018386D">
          <w:rPr>
            <w:rStyle w:val="Hyperlink"/>
            <w:noProof/>
          </w:rPr>
          <w:t>Table 75:</w:t>
        </w:r>
        <w:r w:rsidR="00FA4D37" w:rsidRPr="0018386D">
          <w:rPr>
            <w:rFonts w:asciiTheme="minorHAnsi" w:hAnsiTheme="minorHAnsi"/>
            <w:noProof/>
            <w:kern w:val="2"/>
            <w14:ligatures w14:val="standardContextual"/>
          </w:rPr>
          <w:tab/>
        </w:r>
        <w:r w:rsidR="00FA4D37" w:rsidRPr="0018386D">
          <w:rPr>
            <w:rStyle w:val="Hyperlink"/>
            <w:noProof/>
          </w:rPr>
          <w:t>Waste disposal to non-municipal (class 2-5) landfills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_Toc140049015 \h </w:instrText>
        </w:r>
        <w:r w:rsidR="00FA4D37" w:rsidRPr="0018386D">
          <w:rPr>
            <w:noProof/>
            <w:webHidden/>
          </w:rPr>
        </w:r>
        <w:r w:rsidR="00FA4D37" w:rsidRPr="0018386D">
          <w:rPr>
            <w:noProof/>
            <w:webHidden/>
          </w:rPr>
          <w:fldChar w:fldCharType="separate"/>
        </w:r>
        <w:r w:rsidR="00FA4D37" w:rsidRPr="0018386D">
          <w:rPr>
            <w:noProof/>
            <w:webHidden/>
          </w:rPr>
          <w:t>109</w:t>
        </w:r>
        <w:r w:rsidR="00FA4D37" w:rsidRPr="0018386D">
          <w:rPr>
            <w:noProof/>
            <w:webHidden/>
          </w:rPr>
          <w:fldChar w:fldCharType="end"/>
        </w:r>
      </w:hyperlink>
    </w:p>
    <w:p w14:paraId="24C48632" w14:textId="35D742A9" w:rsidR="00FA4D37" w:rsidRPr="0018386D" w:rsidRDefault="00C7627E">
      <w:pPr>
        <w:pStyle w:val="TableofFigures"/>
        <w:tabs>
          <w:tab w:val="right" w:pos="8495"/>
        </w:tabs>
        <w:rPr>
          <w:rFonts w:asciiTheme="minorHAnsi" w:hAnsiTheme="minorHAnsi"/>
          <w:noProof/>
          <w:kern w:val="2"/>
          <w14:ligatures w14:val="standardContextual"/>
        </w:rPr>
      </w:pPr>
      <w:hyperlink w:anchor="_Toc140049016" w:history="1">
        <w:r w:rsidR="00FA4D37" w:rsidRPr="0018386D">
          <w:rPr>
            <w:rStyle w:val="Hyperlink"/>
            <w:noProof/>
          </w:rPr>
          <w:t>Table 76:</w:t>
        </w:r>
        <w:r w:rsidR="00FA4D37" w:rsidRPr="0018386D">
          <w:rPr>
            <w:rFonts w:asciiTheme="minorHAnsi" w:hAnsiTheme="minorHAnsi"/>
            <w:noProof/>
            <w:kern w:val="2"/>
            <w14:ligatures w14:val="standardContextual"/>
          </w:rPr>
          <w:tab/>
        </w:r>
        <w:r w:rsidR="00FA4D37" w:rsidRPr="0018386D">
          <w:rPr>
            <w:rStyle w:val="Hyperlink"/>
            <w:noProof/>
          </w:rPr>
          <w:t>Biological treatment of waste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_Toc140049016 \h </w:instrText>
        </w:r>
        <w:r w:rsidR="00FA4D37" w:rsidRPr="0018386D">
          <w:rPr>
            <w:noProof/>
            <w:webHidden/>
          </w:rPr>
        </w:r>
        <w:r w:rsidR="00FA4D37" w:rsidRPr="0018386D">
          <w:rPr>
            <w:noProof/>
            <w:webHidden/>
          </w:rPr>
          <w:fldChar w:fldCharType="separate"/>
        </w:r>
        <w:r w:rsidR="00FA4D37" w:rsidRPr="0018386D">
          <w:rPr>
            <w:noProof/>
            <w:webHidden/>
          </w:rPr>
          <w:t>109</w:t>
        </w:r>
        <w:r w:rsidR="00FA4D37" w:rsidRPr="0018386D">
          <w:rPr>
            <w:noProof/>
            <w:webHidden/>
          </w:rPr>
          <w:fldChar w:fldCharType="end"/>
        </w:r>
      </w:hyperlink>
    </w:p>
    <w:p w14:paraId="225CF4EC" w14:textId="08B749FA" w:rsidR="00FA4D37" w:rsidRPr="0018386D" w:rsidRDefault="00C7627E">
      <w:pPr>
        <w:pStyle w:val="TableofFigures"/>
        <w:tabs>
          <w:tab w:val="right" w:pos="8495"/>
        </w:tabs>
        <w:rPr>
          <w:rFonts w:asciiTheme="minorHAnsi" w:hAnsiTheme="minorHAnsi"/>
          <w:noProof/>
          <w:kern w:val="2"/>
          <w14:ligatures w14:val="standardContextual"/>
        </w:rPr>
      </w:pPr>
      <w:hyperlink w:anchor="_Toc140049017" w:history="1">
        <w:r w:rsidR="00FA4D37" w:rsidRPr="0018386D">
          <w:rPr>
            <w:rStyle w:val="Hyperlink"/>
            <w:noProof/>
          </w:rPr>
          <w:t>Table 77:</w:t>
        </w:r>
        <w:r w:rsidR="00FA4D37" w:rsidRPr="0018386D">
          <w:rPr>
            <w:rFonts w:asciiTheme="minorHAnsi" w:hAnsiTheme="minorHAnsi"/>
            <w:noProof/>
            <w:kern w:val="2"/>
            <w14:ligatures w14:val="standardContextual"/>
          </w:rPr>
          <w:tab/>
        </w:r>
        <w:r w:rsidR="00FA4D37" w:rsidRPr="0018386D">
          <w:rPr>
            <w:rStyle w:val="Hyperlink"/>
            <w:noProof/>
          </w:rPr>
          <w:t>Composition of waste sent to NZ landfills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_Toc140049017 \h </w:instrText>
        </w:r>
        <w:r w:rsidR="00FA4D37" w:rsidRPr="0018386D">
          <w:rPr>
            <w:noProof/>
            <w:webHidden/>
          </w:rPr>
        </w:r>
        <w:r w:rsidR="00FA4D37" w:rsidRPr="0018386D">
          <w:rPr>
            <w:noProof/>
            <w:webHidden/>
          </w:rPr>
          <w:fldChar w:fldCharType="separate"/>
        </w:r>
        <w:r w:rsidR="00FA4D37" w:rsidRPr="0018386D">
          <w:rPr>
            <w:noProof/>
            <w:webHidden/>
          </w:rPr>
          <w:t>110</w:t>
        </w:r>
        <w:r w:rsidR="00FA4D37" w:rsidRPr="0018386D">
          <w:rPr>
            <w:noProof/>
            <w:webHidden/>
          </w:rPr>
          <w:fldChar w:fldCharType="end"/>
        </w:r>
      </w:hyperlink>
    </w:p>
    <w:p w14:paraId="632CCF05" w14:textId="7585B590" w:rsidR="00FA4D37" w:rsidRPr="0018386D" w:rsidRDefault="00C7627E">
      <w:pPr>
        <w:pStyle w:val="TableofFigures"/>
        <w:tabs>
          <w:tab w:val="right" w:pos="8495"/>
        </w:tabs>
        <w:rPr>
          <w:rFonts w:asciiTheme="minorHAnsi" w:hAnsiTheme="minorHAnsi"/>
          <w:noProof/>
          <w:kern w:val="2"/>
          <w14:ligatures w14:val="standardContextual"/>
        </w:rPr>
      </w:pPr>
      <w:hyperlink w:anchor="_Toc140049018" w:history="1">
        <w:r w:rsidR="00FA4D37" w:rsidRPr="0018386D">
          <w:rPr>
            <w:rStyle w:val="Hyperlink"/>
            <w:noProof/>
          </w:rPr>
          <w:t>Table 78:</w:t>
        </w:r>
        <w:r w:rsidR="00FA4D37" w:rsidRPr="0018386D">
          <w:rPr>
            <w:rFonts w:asciiTheme="minorHAnsi" w:hAnsiTheme="minorHAnsi"/>
            <w:noProof/>
            <w:kern w:val="2"/>
            <w14:ligatures w14:val="standardContextual"/>
          </w:rPr>
          <w:tab/>
        </w:r>
        <w:r w:rsidR="00FA4D37" w:rsidRPr="0018386D">
          <w:rPr>
            <w:rStyle w:val="Hyperlink"/>
            <w:noProof/>
          </w:rPr>
          <w:t>Information on managed solid waste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_Toc140049018 \h </w:instrText>
        </w:r>
        <w:r w:rsidR="00FA4D37" w:rsidRPr="0018386D">
          <w:rPr>
            <w:noProof/>
            <w:webHidden/>
          </w:rPr>
        </w:r>
        <w:r w:rsidR="00FA4D37" w:rsidRPr="0018386D">
          <w:rPr>
            <w:noProof/>
            <w:webHidden/>
          </w:rPr>
          <w:fldChar w:fldCharType="separate"/>
        </w:r>
        <w:r w:rsidR="00FA4D37" w:rsidRPr="0018386D">
          <w:rPr>
            <w:noProof/>
            <w:webHidden/>
          </w:rPr>
          <w:t>111</w:t>
        </w:r>
        <w:r w:rsidR="00FA4D37" w:rsidRPr="0018386D">
          <w:rPr>
            <w:noProof/>
            <w:webHidden/>
          </w:rPr>
          <w:fldChar w:fldCharType="end"/>
        </w:r>
      </w:hyperlink>
    </w:p>
    <w:p w14:paraId="490EEDBC" w14:textId="3391E1CC" w:rsidR="00FA4D37" w:rsidRPr="0018386D" w:rsidRDefault="00C7627E">
      <w:pPr>
        <w:pStyle w:val="TableofFigures"/>
        <w:tabs>
          <w:tab w:val="right" w:pos="8495"/>
        </w:tabs>
        <w:rPr>
          <w:rFonts w:asciiTheme="minorHAnsi" w:hAnsiTheme="minorHAnsi"/>
          <w:noProof/>
          <w:kern w:val="2"/>
          <w14:ligatures w14:val="standardContextual"/>
        </w:rPr>
      </w:pPr>
      <w:hyperlink w:anchor="_Toc140049019" w:history="1">
        <w:r w:rsidR="00FA4D37" w:rsidRPr="0018386D">
          <w:rPr>
            <w:rStyle w:val="Hyperlink"/>
            <w:noProof/>
          </w:rPr>
          <w:t>Table 79:</w:t>
        </w:r>
        <w:r w:rsidR="00FA4D37" w:rsidRPr="0018386D">
          <w:rPr>
            <w:rFonts w:asciiTheme="minorHAnsi" w:hAnsiTheme="minorHAnsi"/>
            <w:noProof/>
            <w:kern w:val="2"/>
            <w14:ligatures w14:val="standardContextual"/>
          </w:rPr>
          <w:tab/>
        </w:r>
        <w:r w:rsidR="00FA4D37" w:rsidRPr="0018386D">
          <w:rPr>
            <w:rStyle w:val="Hyperlink"/>
            <w:noProof/>
          </w:rPr>
          <w:t>Information on non-municipal solid waste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_Toc140049019 \h </w:instrText>
        </w:r>
        <w:r w:rsidR="00FA4D37" w:rsidRPr="0018386D">
          <w:rPr>
            <w:noProof/>
            <w:webHidden/>
          </w:rPr>
        </w:r>
        <w:r w:rsidR="00FA4D37" w:rsidRPr="0018386D">
          <w:rPr>
            <w:noProof/>
            <w:webHidden/>
          </w:rPr>
          <w:fldChar w:fldCharType="separate"/>
        </w:r>
        <w:r w:rsidR="00FA4D37" w:rsidRPr="0018386D">
          <w:rPr>
            <w:noProof/>
            <w:webHidden/>
          </w:rPr>
          <w:t>112</w:t>
        </w:r>
        <w:r w:rsidR="00FA4D37" w:rsidRPr="0018386D">
          <w:rPr>
            <w:noProof/>
            <w:webHidden/>
          </w:rPr>
          <w:fldChar w:fldCharType="end"/>
        </w:r>
      </w:hyperlink>
    </w:p>
    <w:p w14:paraId="5CC331A4" w14:textId="6D67FC63" w:rsidR="00FA4D37" w:rsidRPr="0018386D" w:rsidRDefault="00C7627E">
      <w:pPr>
        <w:pStyle w:val="TableofFigures"/>
        <w:tabs>
          <w:tab w:val="right" w:pos="8495"/>
        </w:tabs>
        <w:rPr>
          <w:rFonts w:asciiTheme="minorHAnsi" w:hAnsiTheme="minorHAnsi"/>
          <w:noProof/>
          <w:kern w:val="2"/>
          <w14:ligatures w14:val="standardContextual"/>
        </w:rPr>
      </w:pPr>
      <w:hyperlink w:anchor="_Toc140049020" w:history="1">
        <w:r w:rsidR="00FA4D37" w:rsidRPr="0018386D">
          <w:rPr>
            <w:rStyle w:val="Hyperlink"/>
            <w:noProof/>
          </w:rPr>
          <w:t>Table 80:</w:t>
        </w:r>
        <w:r w:rsidR="00FA4D37" w:rsidRPr="0018386D">
          <w:rPr>
            <w:rFonts w:asciiTheme="minorHAnsi" w:hAnsiTheme="minorHAnsi"/>
            <w:noProof/>
            <w:kern w:val="2"/>
            <w14:ligatures w14:val="standardContextual"/>
          </w:rPr>
          <w:tab/>
        </w:r>
        <w:r w:rsidR="00FA4D37" w:rsidRPr="0018386D">
          <w:rPr>
            <w:rStyle w:val="Hyperlink"/>
            <w:noProof/>
          </w:rPr>
          <w:t>Composition of typical office waste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_Toc140049020 \h </w:instrText>
        </w:r>
        <w:r w:rsidR="00FA4D37" w:rsidRPr="0018386D">
          <w:rPr>
            <w:noProof/>
            <w:webHidden/>
          </w:rPr>
        </w:r>
        <w:r w:rsidR="00FA4D37" w:rsidRPr="0018386D">
          <w:rPr>
            <w:noProof/>
            <w:webHidden/>
          </w:rPr>
          <w:fldChar w:fldCharType="separate"/>
        </w:r>
        <w:r w:rsidR="00FA4D37" w:rsidRPr="0018386D">
          <w:rPr>
            <w:noProof/>
            <w:webHidden/>
          </w:rPr>
          <w:t>112</w:t>
        </w:r>
        <w:r w:rsidR="00FA4D37" w:rsidRPr="0018386D">
          <w:rPr>
            <w:noProof/>
            <w:webHidden/>
          </w:rPr>
          <w:fldChar w:fldCharType="end"/>
        </w:r>
      </w:hyperlink>
    </w:p>
    <w:p w14:paraId="47545371" w14:textId="72E42CEF" w:rsidR="00FA4D37" w:rsidRPr="0018386D" w:rsidRDefault="00C7627E">
      <w:pPr>
        <w:pStyle w:val="TableofFigures"/>
        <w:tabs>
          <w:tab w:val="right" w:pos="8495"/>
        </w:tabs>
        <w:rPr>
          <w:rFonts w:asciiTheme="minorHAnsi" w:hAnsiTheme="minorHAnsi"/>
          <w:noProof/>
          <w:kern w:val="2"/>
          <w14:ligatures w14:val="standardContextual"/>
        </w:rPr>
      </w:pPr>
      <w:hyperlink w:anchor="_Toc140049021" w:history="1">
        <w:r w:rsidR="00FA4D37" w:rsidRPr="0018386D">
          <w:rPr>
            <w:rStyle w:val="Hyperlink"/>
            <w:noProof/>
          </w:rPr>
          <w:t>Table 81:</w:t>
        </w:r>
        <w:r w:rsidR="00FA4D37" w:rsidRPr="0018386D">
          <w:rPr>
            <w:rFonts w:asciiTheme="minorHAnsi" w:hAnsiTheme="minorHAnsi"/>
            <w:noProof/>
            <w:kern w:val="2"/>
            <w14:ligatures w14:val="standardContextual"/>
          </w:rPr>
          <w:tab/>
        </w:r>
        <w:r w:rsidR="00FA4D37" w:rsidRPr="0018386D">
          <w:rPr>
            <w:rStyle w:val="Hyperlink"/>
            <w:noProof/>
          </w:rPr>
          <w:t>IPCC default data used to calculate composting and anaerobic digestion</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_Toc140049021 \h </w:instrText>
        </w:r>
        <w:r w:rsidR="00FA4D37" w:rsidRPr="0018386D">
          <w:rPr>
            <w:noProof/>
            <w:webHidden/>
          </w:rPr>
        </w:r>
        <w:r w:rsidR="00FA4D37" w:rsidRPr="0018386D">
          <w:rPr>
            <w:noProof/>
            <w:webHidden/>
          </w:rPr>
          <w:fldChar w:fldCharType="separate"/>
        </w:r>
        <w:r w:rsidR="00FA4D37" w:rsidRPr="0018386D">
          <w:rPr>
            <w:noProof/>
            <w:webHidden/>
          </w:rPr>
          <w:t>113</w:t>
        </w:r>
        <w:r w:rsidR="00FA4D37" w:rsidRPr="0018386D">
          <w:rPr>
            <w:noProof/>
            <w:webHidden/>
          </w:rPr>
          <w:fldChar w:fldCharType="end"/>
        </w:r>
      </w:hyperlink>
    </w:p>
    <w:p w14:paraId="0912015A" w14:textId="13E2E865" w:rsidR="00FA4D37" w:rsidRPr="0018386D" w:rsidRDefault="00C7627E">
      <w:pPr>
        <w:pStyle w:val="TableofFigures"/>
        <w:tabs>
          <w:tab w:val="right" w:pos="8495"/>
        </w:tabs>
        <w:rPr>
          <w:rFonts w:asciiTheme="minorHAnsi" w:hAnsiTheme="minorHAnsi"/>
          <w:noProof/>
          <w:kern w:val="2"/>
          <w14:ligatures w14:val="standardContextual"/>
        </w:rPr>
      </w:pPr>
      <w:hyperlink w:anchor="_Toc140049022" w:history="1">
        <w:r w:rsidR="00FA4D37" w:rsidRPr="0018386D">
          <w:rPr>
            <w:rStyle w:val="Hyperlink"/>
            <w:noProof/>
          </w:rPr>
          <w:t>Table 82:</w:t>
        </w:r>
        <w:r w:rsidR="00FA4D37" w:rsidRPr="0018386D">
          <w:rPr>
            <w:rFonts w:asciiTheme="minorHAnsi" w:hAnsiTheme="minorHAnsi"/>
            <w:noProof/>
            <w:kern w:val="2"/>
            <w14:ligatures w14:val="standardContextual"/>
          </w:rPr>
          <w:tab/>
        </w:r>
        <w:r w:rsidR="00FA4D37" w:rsidRPr="0018386D">
          <w:rPr>
            <w:rStyle w:val="Hyperlink"/>
            <w:noProof/>
          </w:rPr>
          <w:t>LULUCF forest growth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_Toc140049022 \h </w:instrText>
        </w:r>
        <w:r w:rsidR="00FA4D37" w:rsidRPr="0018386D">
          <w:rPr>
            <w:noProof/>
            <w:webHidden/>
          </w:rPr>
        </w:r>
        <w:r w:rsidR="00FA4D37" w:rsidRPr="0018386D">
          <w:rPr>
            <w:noProof/>
            <w:webHidden/>
          </w:rPr>
          <w:fldChar w:fldCharType="separate"/>
        </w:r>
        <w:r w:rsidR="00FA4D37" w:rsidRPr="0018386D">
          <w:rPr>
            <w:noProof/>
            <w:webHidden/>
          </w:rPr>
          <w:t>117</w:t>
        </w:r>
        <w:r w:rsidR="00FA4D37" w:rsidRPr="0018386D">
          <w:rPr>
            <w:noProof/>
            <w:webHidden/>
          </w:rPr>
          <w:fldChar w:fldCharType="end"/>
        </w:r>
      </w:hyperlink>
    </w:p>
    <w:p w14:paraId="12CA915F" w14:textId="492A5D63" w:rsidR="00FA4D37" w:rsidRPr="0018386D" w:rsidRDefault="00C7627E">
      <w:pPr>
        <w:pStyle w:val="TableofFigures"/>
        <w:tabs>
          <w:tab w:val="right" w:pos="8495"/>
        </w:tabs>
        <w:rPr>
          <w:rFonts w:asciiTheme="minorHAnsi" w:hAnsiTheme="minorHAnsi"/>
          <w:noProof/>
          <w:kern w:val="2"/>
          <w14:ligatures w14:val="standardContextual"/>
        </w:rPr>
      </w:pPr>
      <w:hyperlink w:anchor="_Toc140049023" w:history="1">
        <w:r w:rsidR="00FA4D37" w:rsidRPr="0018386D">
          <w:rPr>
            <w:rStyle w:val="Hyperlink"/>
            <w:noProof/>
          </w:rPr>
          <w:t>Table 83:</w:t>
        </w:r>
        <w:r w:rsidR="00FA4D37" w:rsidRPr="0018386D">
          <w:rPr>
            <w:rFonts w:asciiTheme="minorHAnsi" w:hAnsiTheme="minorHAnsi"/>
            <w:noProof/>
            <w:kern w:val="2"/>
            <w14:ligatures w14:val="standardContextual"/>
          </w:rPr>
          <w:tab/>
        </w:r>
        <w:r w:rsidR="00FA4D37" w:rsidRPr="0018386D">
          <w:rPr>
            <w:rStyle w:val="Hyperlink"/>
            <w:noProof/>
          </w:rPr>
          <w:t>LULUCF land-use change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_Toc140049023 \h </w:instrText>
        </w:r>
        <w:r w:rsidR="00FA4D37" w:rsidRPr="0018386D">
          <w:rPr>
            <w:noProof/>
            <w:webHidden/>
          </w:rPr>
        </w:r>
        <w:r w:rsidR="00FA4D37" w:rsidRPr="0018386D">
          <w:rPr>
            <w:noProof/>
            <w:webHidden/>
          </w:rPr>
          <w:fldChar w:fldCharType="separate"/>
        </w:r>
        <w:r w:rsidR="00FA4D37" w:rsidRPr="0018386D">
          <w:rPr>
            <w:noProof/>
            <w:webHidden/>
          </w:rPr>
          <w:t>117</w:t>
        </w:r>
        <w:r w:rsidR="00FA4D37" w:rsidRPr="0018386D">
          <w:rPr>
            <w:noProof/>
            <w:webHidden/>
          </w:rPr>
          <w:fldChar w:fldCharType="end"/>
        </w:r>
      </w:hyperlink>
    </w:p>
    <w:p w14:paraId="00379B6B" w14:textId="715844E4" w:rsidR="00FA4D37" w:rsidRPr="0018386D" w:rsidRDefault="00C7627E">
      <w:pPr>
        <w:pStyle w:val="TableofFigures"/>
        <w:tabs>
          <w:tab w:val="right" w:pos="8495"/>
        </w:tabs>
        <w:rPr>
          <w:rFonts w:asciiTheme="minorHAnsi" w:hAnsiTheme="minorHAnsi"/>
          <w:noProof/>
          <w:kern w:val="2"/>
          <w14:ligatures w14:val="standardContextual"/>
        </w:rPr>
      </w:pPr>
      <w:hyperlink w:anchor="_Toc140049024" w:history="1">
        <w:r w:rsidR="00FA4D37" w:rsidRPr="0018386D">
          <w:rPr>
            <w:rStyle w:val="Hyperlink"/>
            <w:noProof/>
          </w:rPr>
          <w:t>Table 84:</w:t>
        </w:r>
        <w:r w:rsidR="00FA4D37" w:rsidRPr="0018386D">
          <w:rPr>
            <w:rFonts w:asciiTheme="minorHAnsi" w:hAnsiTheme="minorHAnsi"/>
            <w:noProof/>
            <w:kern w:val="2"/>
            <w14:ligatures w14:val="standardContextual"/>
          </w:rPr>
          <w:tab/>
        </w:r>
        <w:r w:rsidR="00FA4D37" w:rsidRPr="0018386D">
          <w:rPr>
            <w:rStyle w:val="Hyperlink"/>
            <w:noProof/>
          </w:rPr>
          <w:t xml:space="preserve"> Implied emission factors from enteric fermentation</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_Toc140049024 \h </w:instrText>
        </w:r>
        <w:r w:rsidR="00FA4D37" w:rsidRPr="0018386D">
          <w:rPr>
            <w:noProof/>
            <w:webHidden/>
          </w:rPr>
        </w:r>
        <w:r w:rsidR="00FA4D37" w:rsidRPr="0018386D">
          <w:rPr>
            <w:noProof/>
            <w:webHidden/>
          </w:rPr>
          <w:fldChar w:fldCharType="separate"/>
        </w:r>
        <w:r w:rsidR="00FA4D37" w:rsidRPr="0018386D">
          <w:rPr>
            <w:noProof/>
            <w:webHidden/>
          </w:rPr>
          <w:t>122</w:t>
        </w:r>
        <w:r w:rsidR="00FA4D37" w:rsidRPr="0018386D">
          <w:rPr>
            <w:noProof/>
            <w:webHidden/>
          </w:rPr>
          <w:fldChar w:fldCharType="end"/>
        </w:r>
      </w:hyperlink>
    </w:p>
    <w:p w14:paraId="70520A4C" w14:textId="5C314520" w:rsidR="00FA4D37" w:rsidRPr="0018386D" w:rsidRDefault="00C7627E">
      <w:pPr>
        <w:pStyle w:val="TableofFigures"/>
        <w:tabs>
          <w:tab w:val="right" w:pos="8495"/>
        </w:tabs>
        <w:rPr>
          <w:rFonts w:asciiTheme="minorHAnsi" w:hAnsiTheme="minorHAnsi"/>
          <w:noProof/>
          <w:kern w:val="2"/>
          <w14:ligatures w14:val="standardContextual"/>
        </w:rPr>
      </w:pPr>
      <w:hyperlink w:anchor="_Toc140049025" w:history="1">
        <w:r w:rsidR="00FA4D37" w:rsidRPr="0018386D">
          <w:rPr>
            <w:rStyle w:val="Hyperlink"/>
            <w:noProof/>
          </w:rPr>
          <w:t>Table 85:</w:t>
        </w:r>
        <w:r w:rsidR="00FA4D37" w:rsidRPr="0018386D">
          <w:rPr>
            <w:rFonts w:asciiTheme="minorHAnsi" w:hAnsiTheme="minorHAnsi"/>
            <w:noProof/>
            <w:kern w:val="2"/>
            <w14:ligatures w14:val="standardContextual"/>
          </w:rPr>
          <w:tab/>
        </w:r>
        <w:r w:rsidR="00FA4D37" w:rsidRPr="0018386D">
          <w:rPr>
            <w:rStyle w:val="Hyperlink"/>
            <w:noProof/>
          </w:rPr>
          <w:t>Enteric fermentation figures per livestock type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_Toc140049025 \h </w:instrText>
        </w:r>
        <w:r w:rsidR="00FA4D37" w:rsidRPr="0018386D">
          <w:rPr>
            <w:noProof/>
            <w:webHidden/>
          </w:rPr>
        </w:r>
        <w:r w:rsidR="00FA4D37" w:rsidRPr="0018386D">
          <w:rPr>
            <w:noProof/>
            <w:webHidden/>
          </w:rPr>
          <w:fldChar w:fldCharType="separate"/>
        </w:r>
        <w:r w:rsidR="00FA4D37" w:rsidRPr="0018386D">
          <w:rPr>
            <w:noProof/>
            <w:webHidden/>
          </w:rPr>
          <w:t>124</w:t>
        </w:r>
        <w:r w:rsidR="00FA4D37" w:rsidRPr="0018386D">
          <w:rPr>
            <w:noProof/>
            <w:webHidden/>
          </w:rPr>
          <w:fldChar w:fldCharType="end"/>
        </w:r>
      </w:hyperlink>
    </w:p>
    <w:p w14:paraId="1661E8D2" w14:textId="64DB5E78" w:rsidR="00FA4D37" w:rsidRPr="0018386D" w:rsidRDefault="00C7627E">
      <w:pPr>
        <w:pStyle w:val="TableofFigures"/>
        <w:tabs>
          <w:tab w:val="right" w:pos="8495"/>
        </w:tabs>
        <w:rPr>
          <w:rFonts w:asciiTheme="minorHAnsi" w:hAnsiTheme="minorHAnsi"/>
          <w:noProof/>
          <w:kern w:val="2"/>
          <w14:ligatures w14:val="standardContextual"/>
        </w:rPr>
      </w:pPr>
      <w:hyperlink w:anchor="_Toc140049026" w:history="1">
        <w:r w:rsidR="00FA4D37" w:rsidRPr="0018386D">
          <w:rPr>
            <w:rStyle w:val="Hyperlink"/>
            <w:noProof/>
          </w:rPr>
          <w:t>Table 86:</w:t>
        </w:r>
        <w:r w:rsidR="00FA4D37" w:rsidRPr="0018386D">
          <w:rPr>
            <w:rFonts w:asciiTheme="minorHAnsi" w:hAnsiTheme="minorHAnsi"/>
            <w:noProof/>
            <w:kern w:val="2"/>
            <w14:ligatures w14:val="standardContextual"/>
          </w:rPr>
          <w:tab/>
        </w:r>
        <w:r w:rsidR="00FA4D37" w:rsidRPr="0018386D">
          <w:rPr>
            <w:rStyle w:val="Hyperlink"/>
            <w:noProof/>
          </w:rPr>
          <w:t>Implied emission factors from manure management</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_Toc140049026 \h </w:instrText>
        </w:r>
        <w:r w:rsidR="00FA4D37" w:rsidRPr="0018386D">
          <w:rPr>
            <w:noProof/>
            <w:webHidden/>
          </w:rPr>
        </w:r>
        <w:r w:rsidR="00FA4D37" w:rsidRPr="0018386D">
          <w:rPr>
            <w:noProof/>
            <w:webHidden/>
          </w:rPr>
          <w:fldChar w:fldCharType="separate"/>
        </w:r>
        <w:r w:rsidR="00FA4D37" w:rsidRPr="0018386D">
          <w:rPr>
            <w:noProof/>
            <w:webHidden/>
          </w:rPr>
          <w:t>124</w:t>
        </w:r>
        <w:r w:rsidR="00FA4D37" w:rsidRPr="0018386D">
          <w:rPr>
            <w:noProof/>
            <w:webHidden/>
          </w:rPr>
          <w:fldChar w:fldCharType="end"/>
        </w:r>
      </w:hyperlink>
    </w:p>
    <w:p w14:paraId="452D6EAB" w14:textId="7F7B84C3" w:rsidR="00FA4D37" w:rsidRPr="0018386D" w:rsidRDefault="00C7627E">
      <w:pPr>
        <w:pStyle w:val="TableofFigures"/>
        <w:tabs>
          <w:tab w:val="right" w:pos="8495"/>
        </w:tabs>
        <w:rPr>
          <w:rFonts w:asciiTheme="minorHAnsi" w:hAnsiTheme="minorHAnsi"/>
          <w:noProof/>
          <w:kern w:val="2"/>
          <w14:ligatures w14:val="standardContextual"/>
        </w:rPr>
      </w:pPr>
      <w:hyperlink w:anchor="_Toc140049027" w:history="1">
        <w:r w:rsidR="00FA4D37" w:rsidRPr="0018386D">
          <w:rPr>
            <w:rStyle w:val="Hyperlink"/>
            <w:noProof/>
          </w:rPr>
          <w:t>Table 87:</w:t>
        </w:r>
        <w:r w:rsidR="00FA4D37" w:rsidRPr="0018386D">
          <w:rPr>
            <w:rFonts w:asciiTheme="minorHAnsi" w:hAnsiTheme="minorHAnsi"/>
            <w:noProof/>
            <w:kern w:val="2"/>
            <w14:ligatures w14:val="standardContextual"/>
          </w:rPr>
          <w:tab/>
        </w:r>
        <w:r w:rsidR="00FA4D37" w:rsidRPr="0018386D">
          <w:rPr>
            <w:rStyle w:val="Hyperlink"/>
            <w:noProof/>
          </w:rPr>
          <w:t>Manure management source data</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_Toc140049027 \h </w:instrText>
        </w:r>
        <w:r w:rsidR="00FA4D37" w:rsidRPr="0018386D">
          <w:rPr>
            <w:noProof/>
            <w:webHidden/>
          </w:rPr>
        </w:r>
        <w:r w:rsidR="00FA4D37" w:rsidRPr="0018386D">
          <w:rPr>
            <w:noProof/>
            <w:webHidden/>
          </w:rPr>
          <w:fldChar w:fldCharType="separate"/>
        </w:r>
        <w:r w:rsidR="00FA4D37" w:rsidRPr="0018386D">
          <w:rPr>
            <w:noProof/>
            <w:webHidden/>
          </w:rPr>
          <w:t>125</w:t>
        </w:r>
        <w:r w:rsidR="00FA4D37" w:rsidRPr="0018386D">
          <w:rPr>
            <w:noProof/>
            <w:webHidden/>
          </w:rPr>
          <w:fldChar w:fldCharType="end"/>
        </w:r>
      </w:hyperlink>
    </w:p>
    <w:p w14:paraId="7AFB80AA" w14:textId="6B0B0A00" w:rsidR="00FA4D37" w:rsidRPr="0018386D" w:rsidRDefault="00C7627E">
      <w:pPr>
        <w:pStyle w:val="TableofFigures"/>
        <w:tabs>
          <w:tab w:val="right" w:pos="8495"/>
        </w:tabs>
        <w:rPr>
          <w:rFonts w:asciiTheme="minorHAnsi" w:hAnsiTheme="minorHAnsi"/>
          <w:noProof/>
          <w:kern w:val="2"/>
          <w14:ligatures w14:val="standardContextual"/>
        </w:rPr>
      </w:pPr>
      <w:hyperlink w:anchor="_Toc140049028" w:history="1">
        <w:r w:rsidR="00FA4D37" w:rsidRPr="0018386D">
          <w:rPr>
            <w:rStyle w:val="Hyperlink"/>
            <w:noProof/>
          </w:rPr>
          <w:t>Table 88:</w:t>
        </w:r>
        <w:r w:rsidR="00FA4D37" w:rsidRPr="0018386D">
          <w:rPr>
            <w:rFonts w:asciiTheme="minorHAnsi" w:hAnsiTheme="minorHAnsi"/>
            <w:noProof/>
            <w:kern w:val="2"/>
            <w14:ligatures w14:val="standardContextual"/>
          </w:rPr>
          <w:tab/>
        </w:r>
        <w:r w:rsidR="00FA4D37" w:rsidRPr="0018386D">
          <w:rPr>
            <w:rStyle w:val="Hyperlink"/>
            <w:noProof/>
          </w:rPr>
          <w:t>Emissions from dairy cattle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_Toc140049028 \h </w:instrText>
        </w:r>
        <w:r w:rsidR="00FA4D37" w:rsidRPr="0018386D">
          <w:rPr>
            <w:noProof/>
            <w:webHidden/>
          </w:rPr>
        </w:r>
        <w:r w:rsidR="00FA4D37" w:rsidRPr="0018386D">
          <w:rPr>
            <w:noProof/>
            <w:webHidden/>
          </w:rPr>
          <w:fldChar w:fldCharType="separate"/>
        </w:r>
        <w:r w:rsidR="00FA4D37" w:rsidRPr="0018386D">
          <w:rPr>
            <w:noProof/>
            <w:webHidden/>
          </w:rPr>
          <w:t>126</w:t>
        </w:r>
        <w:r w:rsidR="00FA4D37" w:rsidRPr="0018386D">
          <w:rPr>
            <w:noProof/>
            <w:webHidden/>
          </w:rPr>
          <w:fldChar w:fldCharType="end"/>
        </w:r>
      </w:hyperlink>
    </w:p>
    <w:p w14:paraId="1D840534" w14:textId="03C765BD" w:rsidR="00FA4D37" w:rsidRPr="0018386D" w:rsidRDefault="00C7627E">
      <w:pPr>
        <w:pStyle w:val="TableofFigures"/>
        <w:tabs>
          <w:tab w:val="right" w:pos="8495"/>
        </w:tabs>
        <w:rPr>
          <w:rFonts w:asciiTheme="minorHAnsi" w:hAnsiTheme="minorHAnsi"/>
          <w:noProof/>
          <w:kern w:val="2"/>
          <w14:ligatures w14:val="standardContextual"/>
        </w:rPr>
      </w:pPr>
      <w:hyperlink w:anchor="_Toc140049029" w:history="1">
        <w:r w:rsidR="00FA4D37" w:rsidRPr="0018386D">
          <w:rPr>
            <w:rStyle w:val="Hyperlink"/>
            <w:noProof/>
          </w:rPr>
          <w:t>Table 89:</w:t>
        </w:r>
        <w:r w:rsidR="00FA4D37" w:rsidRPr="0018386D">
          <w:rPr>
            <w:rFonts w:asciiTheme="minorHAnsi" w:hAnsiTheme="minorHAnsi"/>
            <w:noProof/>
            <w:kern w:val="2"/>
            <w14:ligatures w14:val="standardContextual"/>
          </w:rPr>
          <w:tab/>
        </w:r>
        <w:r w:rsidR="00FA4D37" w:rsidRPr="0018386D">
          <w:rPr>
            <w:rStyle w:val="Hyperlink"/>
            <w:noProof/>
          </w:rPr>
          <w:t>Implied emission factors from agricultural soils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_Toc140049029 \h </w:instrText>
        </w:r>
        <w:r w:rsidR="00FA4D37" w:rsidRPr="0018386D">
          <w:rPr>
            <w:noProof/>
            <w:webHidden/>
          </w:rPr>
        </w:r>
        <w:r w:rsidR="00FA4D37" w:rsidRPr="0018386D">
          <w:rPr>
            <w:noProof/>
            <w:webHidden/>
          </w:rPr>
          <w:fldChar w:fldCharType="separate"/>
        </w:r>
        <w:r w:rsidR="00FA4D37" w:rsidRPr="0018386D">
          <w:rPr>
            <w:noProof/>
            <w:webHidden/>
          </w:rPr>
          <w:t>127</w:t>
        </w:r>
        <w:r w:rsidR="00FA4D37" w:rsidRPr="0018386D">
          <w:rPr>
            <w:noProof/>
            <w:webHidden/>
          </w:rPr>
          <w:fldChar w:fldCharType="end"/>
        </w:r>
      </w:hyperlink>
    </w:p>
    <w:p w14:paraId="6CC850B6" w14:textId="4312D5F9" w:rsidR="00FA4D37" w:rsidRPr="0018386D" w:rsidRDefault="00C7627E">
      <w:pPr>
        <w:pStyle w:val="TableofFigures"/>
        <w:tabs>
          <w:tab w:val="right" w:pos="8495"/>
        </w:tabs>
        <w:rPr>
          <w:rFonts w:asciiTheme="minorHAnsi" w:hAnsiTheme="minorHAnsi"/>
          <w:noProof/>
          <w:kern w:val="2"/>
          <w14:ligatures w14:val="standardContextual"/>
        </w:rPr>
      </w:pPr>
      <w:hyperlink w:anchor="_Toc140049030" w:history="1">
        <w:r w:rsidR="00FA4D37" w:rsidRPr="0018386D">
          <w:rPr>
            <w:rStyle w:val="Hyperlink"/>
            <w:noProof/>
          </w:rPr>
          <w:t>Table 90:</w:t>
        </w:r>
        <w:r w:rsidR="00FA4D37" w:rsidRPr="0018386D">
          <w:rPr>
            <w:rFonts w:asciiTheme="minorHAnsi" w:hAnsiTheme="minorHAnsi"/>
            <w:noProof/>
            <w:kern w:val="2"/>
            <w14:ligatures w14:val="standardContextual"/>
          </w:rPr>
          <w:tab/>
        </w:r>
        <w:r w:rsidR="00FA4D37" w:rsidRPr="0018386D">
          <w:rPr>
            <w:rStyle w:val="Hyperlink"/>
            <w:rFonts w:eastAsia="Calibri" w:cs="Calibri"/>
            <w:noProof/>
          </w:rPr>
          <w:t>Agricultural soils source data</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_Toc140049030 \h </w:instrText>
        </w:r>
        <w:r w:rsidR="00FA4D37" w:rsidRPr="0018386D">
          <w:rPr>
            <w:noProof/>
            <w:webHidden/>
          </w:rPr>
        </w:r>
        <w:r w:rsidR="00FA4D37" w:rsidRPr="0018386D">
          <w:rPr>
            <w:noProof/>
            <w:webHidden/>
          </w:rPr>
          <w:fldChar w:fldCharType="separate"/>
        </w:r>
        <w:r w:rsidR="00FA4D37" w:rsidRPr="0018386D">
          <w:rPr>
            <w:noProof/>
            <w:webHidden/>
          </w:rPr>
          <w:t>127</w:t>
        </w:r>
        <w:r w:rsidR="00FA4D37" w:rsidRPr="0018386D">
          <w:rPr>
            <w:noProof/>
            <w:webHidden/>
          </w:rPr>
          <w:fldChar w:fldCharType="end"/>
        </w:r>
      </w:hyperlink>
    </w:p>
    <w:p w14:paraId="5BCD587E" w14:textId="74E2C09D" w:rsidR="00FA4D37" w:rsidRPr="0018386D" w:rsidRDefault="00C7627E">
      <w:pPr>
        <w:pStyle w:val="TableofFigures"/>
        <w:tabs>
          <w:tab w:val="right" w:pos="8495"/>
        </w:tabs>
        <w:rPr>
          <w:rFonts w:asciiTheme="minorHAnsi" w:hAnsiTheme="minorHAnsi"/>
          <w:noProof/>
          <w:kern w:val="2"/>
          <w14:ligatures w14:val="standardContextual"/>
        </w:rPr>
      </w:pPr>
      <w:hyperlink w:anchor="_Toc140049031" w:history="1">
        <w:r w:rsidR="00FA4D37" w:rsidRPr="0018386D">
          <w:rPr>
            <w:rStyle w:val="Hyperlink"/>
            <w:noProof/>
          </w:rPr>
          <w:t>Table 91:</w:t>
        </w:r>
        <w:r w:rsidR="00FA4D37" w:rsidRPr="0018386D">
          <w:rPr>
            <w:rFonts w:asciiTheme="minorHAnsi" w:hAnsiTheme="minorHAnsi"/>
            <w:noProof/>
            <w:kern w:val="2"/>
            <w14:ligatures w14:val="standardContextual"/>
          </w:rPr>
          <w:tab/>
        </w:r>
        <w:r w:rsidR="00FA4D37" w:rsidRPr="0018386D">
          <w:rPr>
            <w:rStyle w:val="Hyperlink"/>
            <w:noProof/>
          </w:rPr>
          <w:t>Fertiliser use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_Toc140049031 \h </w:instrText>
        </w:r>
        <w:r w:rsidR="00FA4D37" w:rsidRPr="0018386D">
          <w:rPr>
            <w:noProof/>
            <w:webHidden/>
          </w:rPr>
        </w:r>
        <w:r w:rsidR="00FA4D37" w:rsidRPr="0018386D">
          <w:rPr>
            <w:noProof/>
            <w:webHidden/>
          </w:rPr>
          <w:fldChar w:fldCharType="separate"/>
        </w:r>
        <w:r w:rsidR="00FA4D37" w:rsidRPr="0018386D">
          <w:rPr>
            <w:noProof/>
            <w:webHidden/>
          </w:rPr>
          <w:t>128</w:t>
        </w:r>
        <w:r w:rsidR="00FA4D37" w:rsidRPr="0018386D">
          <w:rPr>
            <w:noProof/>
            <w:webHidden/>
          </w:rPr>
          <w:fldChar w:fldCharType="end"/>
        </w:r>
      </w:hyperlink>
    </w:p>
    <w:p w14:paraId="6FC8B5B5" w14:textId="442574FA" w:rsidR="00FA4D37" w:rsidRPr="0018386D" w:rsidRDefault="00C7627E">
      <w:pPr>
        <w:pStyle w:val="TableofFigures"/>
        <w:tabs>
          <w:tab w:val="right" w:pos="8495"/>
        </w:tabs>
        <w:rPr>
          <w:rFonts w:asciiTheme="minorHAnsi" w:hAnsiTheme="minorHAnsi"/>
          <w:noProof/>
          <w:kern w:val="2"/>
          <w14:ligatures w14:val="standardContextual"/>
        </w:rPr>
      </w:pPr>
      <w:hyperlink w:anchor="_Toc140049032" w:history="1">
        <w:r w:rsidR="00FA4D37" w:rsidRPr="0018386D">
          <w:rPr>
            <w:rStyle w:val="Hyperlink"/>
            <w:noProof/>
          </w:rPr>
          <w:t>Table 92:</w:t>
        </w:r>
        <w:r w:rsidR="00FA4D37" w:rsidRPr="0018386D">
          <w:rPr>
            <w:rFonts w:asciiTheme="minorHAnsi" w:hAnsiTheme="minorHAnsi"/>
            <w:noProof/>
            <w:kern w:val="2"/>
            <w14:ligatures w14:val="standardContextual"/>
          </w:rPr>
          <w:tab/>
        </w:r>
        <w:r w:rsidR="00FA4D37" w:rsidRPr="0018386D">
          <w:rPr>
            <w:rStyle w:val="Hyperlink"/>
            <w:noProof/>
          </w:rPr>
          <w:t>Examples of different categories of fertilisers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_Toc140049032 \h </w:instrText>
        </w:r>
        <w:r w:rsidR="00FA4D37" w:rsidRPr="0018386D">
          <w:rPr>
            <w:noProof/>
            <w:webHidden/>
          </w:rPr>
        </w:r>
        <w:r w:rsidR="00FA4D37" w:rsidRPr="0018386D">
          <w:rPr>
            <w:noProof/>
            <w:webHidden/>
          </w:rPr>
          <w:fldChar w:fldCharType="separate"/>
        </w:r>
        <w:r w:rsidR="00FA4D37" w:rsidRPr="0018386D">
          <w:rPr>
            <w:noProof/>
            <w:webHidden/>
          </w:rPr>
          <w:t>129</w:t>
        </w:r>
        <w:r w:rsidR="00FA4D37" w:rsidRPr="0018386D">
          <w:rPr>
            <w:noProof/>
            <w:webHidden/>
          </w:rPr>
          <w:fldChar w:fldCharType="end"/>
        </w:r>
      </w:hyperlink>
    </w:p>
    <w:p w14:paraId="01EFDC17" w14:textId="0C6CEF67" w:rsidR="00FA4D37" w:rsidRPr="0018386D" w:rsidRDefault="00C7627E">
      <w:pPr>
        <w:pStyle w:val="TableofFigures"/>
        <w:tabs>
          <w:tab w:val="right" w:pos="8495"/>
        </w:tabs>
        <w:rPr>
          <w:rFonts w:asciiTheme="minorHAnsi" w:hAnsiTheme="minorHAnsi"/>
          <w:noProof/>
          <w:kern w:val="2"/>
          <w14:ligatures w14:val="standardContextual"/>
        </w:rPr>
      </w:pPr>
      <w:hyperlink w:anchor="_Toc140049033" w:history="1">
        <w:r w:rsidR="00FA4D37" w:rsidRPr="0018386D">
          <w:rPr>
            <w:rStyle w:val="Hyperlink"/>
            <w:noProof/>
          </w:rPr>
          <w:t>Table 93:</w:t>
        </w:r>
        <w:r w:rsidR="00FA4D37" w:rsidRPr="0018386D">
          <w:rPr>
            <w:rFonts w:asciiTheme="minorHAnsi" w:hAnsiTheme="minorHAnsi"/>
            <w:noProof/>
            <w:kern w:val="2"/>
            <w14:ligatures w14:val="standardContextual"/>
          </w:rPr>
          <w:tab/>
        </w:r>
        <w:r w:rsidR="00FA4D37" w:rsidRPr="0018386D">
          <w:rPr>
            <w:rStyle w:val="Hyperlink"/>
            <w:noProof/>
          </w:rPr>
          <w:t>Nitrogen fertiliser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_Toc140049033 \h </w:instrText>
        </w:r>
        <w:r w:rsidR="00FA4D37" w:rsidRPr="0018386D">
          <w:rPr>
            <w:noProof/>
            <w:webHidden/>
          </w:rPr>
        </w:r>
        <w:r w:rsidR="00FA4D37" w:rsidRPr="0018386D">
          <w:rPr>
            <w:noProof/>
            <w:webHidden/>
          </w:rPr>
          <w:fldChar w:fldCharType="separate"/>
        </w:r>
        <w:r w:rsidR="00FA4D37" w:rsidRPr="0018386D">
          <w:rPr>
            <w:noProof/>
            <w:webHidden/>
          </w:rPr>
          <w:t>129</w:t>
        </w:r>
        <w:r w:rsidR="00FA4D37" w:rsidRPr="0018386D">
          <w:rPr>
            <w:noProof/>
            <w:webHidden/>
          </w:rPr>
          <w:fldChar w:fldCharType="end"/>
        </w:r>
      </w:hyperlink>
    </w:p>
    <w:p w14:paraId="69DB113B" w14:textId="4C3560B8" w:rsidR="00FA4D37" w:rsidRPr="0018386D" w:rsidRDefault="00C7627E">
      <w:pPr>
        <w:pStyle w:val="TableofFigures"/>
        <w:tabs>
          <w:tab w:val="right" w:pos="8495"/>
        </w:tabs>
        <w:rPr>
          <w:rFonts w:asciiTheme="minorHAnsi" w:hAnsiTheme="minorHAnsi"/>
          <w:noProof/>
          <w:kern w:val="2"/>
          <w14:ligatures w14:val="standardContextual"/>
        </w:rPr>
      </w:pPr>
      <w:hyperlink w:anchor="_Toc140049034" w:history="1">
        <w:r w:rsidR="00FA4D37" w:rsidRPr="0018386D">
          <w:rPr>
            <w:rStyle w:val="Hyperlink"/>
            <w:noProof/>
          </w:rPr>
          <w:t>Table 94:</w:t>
        </w:r>
        <w:r w:rsidR="00FA4D37" w:rsidRPr="0018386D">
          <w:rPr>
            <w:rFonts w:asciiTheme="minorHAnsi" w:hAnsiTheme="minorHAnsi"/>
            <w:noProof/>
            <w:kern w:val="2"/>
            <w14:ligatures w14:val="standardContextual"/>
          </w:rPr>
          <w:tab/>
        </w:r>
        <w:r w:rsidR="00FA4D37" w:rsidRPr="0018386D">
          <w:rPr>
            <w:rStyle w:val="Hyperlink"/>
            <w:noProof/>
          </w:rPr>
          <w:t>Quantified emissions factors from limestone and dolomite</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_Toc140049034 \h </w:instrText>
        </w:r>
        <w:r w:rsidR="00FA4D37" w:rsidRPr="0018386D">
          <w:rPr>
            <w:noProof/>
            <w:webHidden/>
          </w:rPr>
        </w:r>
        <w:r w:rsidR="00FA4D37" w:rsidRPr="0018386D">
          <w:rPr>
            <w:noProof/>
            <w:webHidden/>
          </w:rPr>
          <w:fldChar w:fldCharType="separate"/>
        </w:r>
        <w:r w:rsidR="00FA4D37" w:rsidRPr="0018386D">
          <w:rPr>
            <w:noProof/>
            <w:webHidden/>
          </w:rPr>
          <w:t>129</w:t>
        </w:r>
        <w:r w:rsidR="00FA4D37" w:rsidRPr="0018386D">
          <w:rPr>
            <w:noProof/>
            <w:webHidden/>
          </w:rPr>
          <w:fldChar w:fldCharType="end"/>
        </w:r>
      </w:hyperlink>
    </w:p>
    <w:p w14:paraId="1430EB17" w14:textId="69BA1A78" w:rsidR="00FA4D37" w:rsidRPr="0018386D" w:rsidRDefault="00C7627E">
      <w:pPr>
        <w:pStyle w:val="TableofFigures"/>
        <w:tabs>
          <w:tab w:val="right" w:pos="8495"/>
        </w:tabs>
        <w:rPr>
          <w:rFonts w:asciiTheme="minorHAnsi" w:hAnsiTheme="minorHAnsi"/>
          <w:noProof/>
          <w:kern w:val="2"/>
          <w14:ligatures w14:val="standardContextual"/>
        </w:rPr>
      </w:pPr>
      <w:hyperlink w:anchor="_Toc140049035" w:history="1">
        <w:r w:rsidR="00FA4D37" w:rsidRPr="0018386D">
          <w:rPr>
            <w:rStyle w:val="Hyperlink"/>
            <w:noProof/>
          </w:rPr>
          <w:t xml:space="preserve">Table 95: </w:t>
        </w:r>
        <w:r w:rsidR="00FA4D37" w:rsidRPr="0018386D">
          <w:rPr>
            <w:rFonts w:asciiTheme="minorHAnsi" w:hAnsiTheme="minorHAnsi"/>
            <w:noProof/>
            <w:kern w:val="2"/>
            <w14:ligatures w14:val="standardContextual"/>
          </w:rPr>
          <w:tab/>
        </w:r>
        <w:r w:rsidR="00FA4D37" w:rsidRPr="0018386D">
          <w:rPr>
            <w:rStyle w:val="Hyperlink"/>
            <w:noProof/>
          </w:rPr>
          <w:t>Parameters for calculating emissions from fertilisers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_Toc140049035 \h </w:instrText>
        </w:r>
        <w:r w:rsidR="00FA4D37" w:rsidRPr="0018386D">
          <w:rPr>
            <w:noProof/>
            <w:webHidden/>
          </w:rPr>
        </w:r>
        <w:r w:rsidR="00FA4D37" w:rsidRPr="0018386D">
          <w:rPr>
            <w:noProof/>
            <w:webHidden/>
          </w:rPr>
          <w:fldChar w:fldCharType="separate"/>
        </w:r>
        <w:r w:rsidR="00FA4D37" w:rsidRPr="0018386D">
          <w:rPr>
            <w:noProof/>
            <w:webHidden/>
          </w:rPr>
          <w:t>130</w:t>
        </w:r>
        <w:r w:rsidR="00FA4D37" w:rsidRPr="0018386D">
          <w:rPr>
            <w:noProof/>
            <w:webHidden/>
          </w:rPr>
          <w:fldChar w:fldCharType="end"/>
        </w:r>
      </w:hyperlink>
    </w:p>
    <w:p w14:paraId="33B795FE" w14:textId="53766AEC" w:rsidR="00FA4D37" w:rsidRPr="0018386D" w:rsidRDefault="00C7627E">
      <w:pPr>
        <w:pStyle w:val="TableofFigures"/>
        <w:tabs>
          <w:tab w:val="right" w:pos="8495"/>
        </w:tabs>
        <w:rPr>
          <w:rFonts w:asciiTheme="minorHAnsi" w:hAnsiTheme="minorHAnsi"/>
          <w:noProof/>
          <w:kern w:val="2"/>
          <w14:ligatures w14:val="standardContextual"/>
        </w:rPr>
      </w:pPr>
      <w:hyperlink w:anchor="_Toc140049036" w:history="1">
        <w:r w:rsidR="00FA4D37" w:rsidRPr="0018386D">
          <w:rPr>
            <w:rStyle w:val="Hyperlink"/>
            <w:noProof/>
          </w:rPr>
          <w:t>Table A1:</w:t>
        </w:r>
        <w:r w:rsidR="00FA4D37" w:rsidRPr="0018386D">
          <w:rPr>
            <w:rFonts w:asciiTheme="minorHAnsi" w:hAnsiTheme="minorHAnsi"/>
            <w:noProof/>
            <w:kern w:val="2"/>
            <w14:ligatures w14:val="standardContextual"/>
          </w:rPr>
          <w:tab/>
        </w:r>
        <w:r w:rsidR="00FA4D37" w:rsidRPr="0018386D">
          <w:rPr>
            <w:rStyle w:val="Hyperlink"/>
            <w:noProof/>
          </w:rPr>
          <w:t>Mappings used for industrial and commercial sectors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_Toc140049036 \h </w:instrText>
        </w:r>
        <w:r w:rsidR="00FA4D37" w:rsidRPr="0018386D">
          <w:rPr>
            <w:noProof/>
            <w:webHidden/>
          </w:rPr>
        </w:r>
        <w:r w:rsidR="00FA4D37" w:rsidRPr="0018386D">
          <w:rPr>
            <w:noProof/>
            <w:webHidden/>
          </w:rPr>
          <w:fldChar w:fldCharType="separate"/>
        </w:r>
        <w:r w:rsidR="00FA4D37" w:rsidRPr="0018386D">
          <w:rPr>
            <w:noProof/>
            <w:webHidden/>
          </w:rPr>
          <w:t>133</w:t>
        </w:r>
        <w:r w:rsidR="00FA4D37" w:rsidRPr="0018386D">
          <w:rPr>
            <w:noProof/>
            <w:webHidden/>
          </w:rPr>
          <w:fldChar w:fldCharType="end"/>
        </w:r>
      </w:hyperlink>
    </w:p>
    <w:p w14:paraId="2501F370" w14:textId="7D7C0BB5" w:rsidR="00FA4D37" w:rsidRPr="0018386D" w:rsidRDefault="00C7627E">
      <w:pPr>
        <w:pStyle w:val="TableofFigures"/>
        <w:tabs>
          <w:tab w:val="right" w:pos="8495"/>
        </w:tabs>
        <w:rPr>
          <w:rFonts w:asciiTheme="minorHAnsi" w:hAnsiTheme="minorHAnsi"/>
          <w:noProof/>
          <w:kern w:val="2"/>
          <w14:ligatures w14:val="standardContextual"/>
        </w:rPr>
      </w:pPr>
      <w:hyperlink w:anchor="_Toc140049037" w:history="1">
        <w:r w:rsidR="00FA4D37" w:rsidRPr="0018386D">
          <w:rPr>
            <w:rStyle w:val="Hyperlink"/>
            <w:noProof/>
          </w:rPr>
          <w:t>Table A2:</w:t>
        </w:r>
        <w:r w:rsidR="00FA4D37" w:rsidRPr="0018386D">
          <w:rPr>
            <w:rFonts w:asciiTheme="minorHAnsi" w:hAnsiTheme="minorHAnsi"/>
            <w:noProof/>
            <w:kern w:val="2"/>
            <w14:ligatures w14:val="standardContextual"/>
          </w:rPr>
          <w:tab/>
        </w:r>
        <w:r w:rsidR="00FA4D37" w:rsidRPr="0018386D">
          <w:rPr>
            <w:rStyle w:val="Hyperlink"/>
            <w:noProof/>
          </w:rPr>
          <w:t>Underlying data used to calculate fuel emission factors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_Toc140049037 \h </w:instrText>
        </w:r>
        <w:r w:rsidR="00FA4D37" w:rsidRPr="0018386D">
          <w:rPr>
            <w:noProof/>
            <w:webHidden/>
          </w:rPr>
        </w:r>
        <w:r w:rsidR="00FA4D37" w:rsidRPr="0018386D">
          <w:rPr>
            <w:noProof/>
            <w:webHidden/>
          </w:rPr>
          <w:fldChar w:fldCharType="separate"/>
        </w:r>
        <w:r w:rsidR="00FA4D37" w:rsidRPr="0018386D">
          <w:rPr>
            <w:noProof/>
            <w:webHidden/>
          </w:rPr>
          <w:t>133</w:t>
        </w:r>
        <w:r w:rsidR="00FA4D37" w:rsidRPr="0018386D">
          <w:rPr>
            <w:noProof/>
            <w:webHidden/>
          </w:rPr>
          <w:fldChar w:fldCharType="end"/>
        </w:r>
      </w:hyperlink>
    </w:p>
    <w:p w14:paraId="56E4D213" w14:textId="5FAD865D" w:rsidR="00FA4D37" w:rsidRPr="0018386D" w:rsidRDefault="00C7627E">
      <w:pPr>
        <w:pStyle w:val="TableofFigures"/>
        <w:tabs>
          <w:tab w:val="right" w:pos="8495"/>
        </w:tabs>
        <w:rPr>
          <w:rFonts w:asciiTheme="minorHAnsi" w:hAnsiTheme="minorHAnsi"/>
          <w:noProof/>
          <w:kern w:val="2"/>
          <w14:ligatures w14:val="standardContextual"/>
        </w:rPr>
      </w:pPr>
      <w:hyperlink w:anchor="_Toc140049038" w:history="1">
        <w:r w:rsidR="00FA4D37" w:rsidRPr="0018386D">
          <w:rPr>
            <w:rStyle w:val="Hyperlink"/>
            <w:noProof/>
          </w:rPr>
          <w:t>Table B1:</w:t>
        </w:r>
        <w:r w:rsidR="00FA4D37" w:rsidRPr="0018386D">
          <w:rPr>
            <w:rFonts w:asciiTheme="minorHAnsi" w:hAnsiTheme="minorHAnsi"/>
            <w:noProof/>
            <w:kern w:val="2"/>
            <w14:ligatures w14:val="standardContextual"/>
          </w:rPr>
          <w:tab/>
        </w:r>
        <w:r w:rsidR="00FA4D37" w:rsidRPr="0018386D">
          <w:rPr>
            <w:rStyle w:val="Hyperlink"/>
            <w:noProof/>
          </w:rPr>
          <w:t>Default refrigerant charges for refrigeration and air-conditioning equipment</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_Toc140049038 \h </w:instrText>
        </w:r>
        <w:r w:rsidR="00FA4D37" w:rsidRPr="0018386D">
          <w:rPr>
            <w:noProof/>
            <w:webHidden/>
          </w:rPr>
        </w:r>
        <w:r w:rsidR="00FA4D37" w:rsidRPr="0018386D">
          <w:rPr>
            <w:noProof/>
            <w:webHidden/>
          </w:rPr>
          <w:fldChar w:fldCharType="separate"/>
        </w:r>
        <w:r w:rsidR="00FA4D37" w:rsidRPr="0018386D">
          <w:rPr>
            <w:noProof/>
            <w:webHidden/>
          </w:rPr>
          <w:t>136</w:t>
        </w:r>
        <w:r w:rsidR="00FA4D37" w:rsidRPr="0018386D">
          <w:rPr>
            <w:noProof/>
            <w:webHidden/>
          </w:rPr>
          <w:fldChar w:fldCharType="end"/>
        </w:r>
      </w:hyperlink>
    </w:p>
    <w:p w14:paraId="235BFA32" w14:textId="3BE38B73" w:rsidR="00FA4D37" w:rsidRPr="0018386D" w:rsidRDefault="00C7627E">
      <w:pPr>
        <w:pStyle w:val="TableofFigures"/>
        <w:tabs>
          <w:tab w:val="right" w:pos="8495"/>
        </w:tabs>
        <w:rPr>
          <w:rFonts w:asciiTheme="minorHAnsi" w:hAnsiTheme="minorHAnsi"/>
          <w:noProof/>
          <w:kern w:val="2"/>
          <w14:ligatures w14:val="standardContextual"/>
        </w:rPr>
      </w:pPr>
      <w:hyperlink w:anchor="_Toc140049039" w:history="1">
        <w:r w:rsidR="00FA4D37" w:rsidRPr="0018386D">
          <w:rPr>
            <w:rStyle w:val="Hyperlink"/>
            <w:noProof/>
          </w:rPr>
          <w:t>Table B2:</w:t>
        </w:r>
        <w:r w:rsidR="00FA4D37" w:rsidRPr="0018386D">
          <w:rPr>
            <w:rFonts w:asciiTheme="minorHAnsi" w:hAnsiTheme="minorHAnsi"/>
            <w:noProof/>
            <w:kern w:val="2"/>
            <w14:ligatures w14:val="standardContextual"/>
          </w:rPr>
          <w:tab/>
        </w:r>
        <w:r w:rsidR="00FA4D37" w:rsidRPr="0018386D">
          <w:rPr>
            <w:rStyle w:val="Hyperlink"/>
            <w:noProof/>
          </w:rPr>
          <w:t>Detailed 100-year GWPs for various refrigerant mixtures</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_Toc140049039 \h </w:instrText>
        </w:r>
        <w:r w:rsidR="00FA4D37" w:rsidRPr="0018386D">
          <w:rPr>
            <w:noProof/>
            <w:webHidden/>
          </w:rPr>
        </w:r>
        <w:r w:rsidR="00FA4D37" w:rsidRPr="0018386D">
          <w:rPr>
            <w:noProof/>
            <w:webHidden/>
          </w:rPr>
          <w:fldChar w:fldCharType="separate"/>
        </w:r>
        <w:r w:rsidR="00FA4D37" w:rsidRPr="0018386D">
          <w:rPr>
            <w:noProof/>
            <w:webHidden/>
          </w:rPr>
          <w:t>137</w:t>
        </w:r>
        <w:r w:rsidR="00FA4D37" w:rsidRPr="0018386D">
          <w:rPr>
            <w:noProof/>
            <w:webHidden/>
          </w:rPr>
          <w:fldChar w:fldCharType="end"/>
        </w:r>
      </w:hyperlink>
    </w:p>
    <w:p w14:paraId="1A9A1B18" w14:textId="29CF2793" w:rsidR="00FA4D37" w:rsidRPr="0018386D" w:rsidRDefault="00C7627E">
      <w:pPr>
        <w:pStyle w:val="TableofFigures"/>
        <w:tabs>
          <w:tab w:val="right" w:pos="8495"/>
        </w:tabs>
        <w:rPr>
          <w:rFonts w:asciiTheme="minorHAnsi" w:hAnsiTheme="minorHAnsi"/>
          <w:noProof/>
          <w:kern w:val="2"/>
          <w14:ligatures w14:val="standardContextual"/>
        </w:rPr>
      </w:pPr>
      <w:hyperlink w:anchor="_Toc140049040" w:history="1">
        <w:r w:rsidR="00FA4D37" w:rsidRPr="0018386D">
          <w:rPr>
            <w:rStyle w:val="Hyperlink"/>
            <w:noProof/>
          </w:rPr>
          <w:t>Table C1:</w:t>
        </w:r>
        <w:r w:rsidR="00FA4D37" w:rsidRPr="0018386D">
          <w:rPr>
            <w:rFonts w:asciiTheme="minorHAnsi" w:hAnsiTheme="minorHAnsi"/>
            <w:noProof/>
            <w:kern w:val="2"/>
            <w14:ligatures w14:val="standardContextual"/>
          </w:rPr>
          <w:tab/>
        </w:r>
        <w:r w:rsidR="00FA4D37" w:rsidRPr="0018386D">
          <w:rPr>
            <w:rStyle w:val="Hyperlink"/>
            <w:noProof/>
          </w:rPr>
          <w:t>Landfills with landfill gas recovery</w:t>
        </w:r>
        <w:r w:rsidR="00FA4D37" w:rsidRPr="0018386D">
          <w:rPr>
            <w:noProof/>
            <w:webHidden/>
          </w:rPr>
          <w:tab/>
        </w:r>
        <w:r w:rsidR="00FA4D37" w:rsidRPr="0018386D">
          <w:rPr>
            <w:noProof/>
            <w:webHidden/>
          </w:rPr>
          <w:fldChar w:fldCharType="begin"/>
        </w:r>
        <w:r w:rsidR="00FA4D37" w:rsidRPr="0018386D">
          <w:rPr>
            <w:noProof/>
            <w:webHidden/>
          </w:rPr>
          <w:instrText xml:space="preserve"> PAGEREF _Toc140049040 \h </w:instrText>
        </w:r>
        <w:r w:rsidR="00FA4D37" w:rsidRPr="0018386D">
          <w:rPr>
            <w:noProof/>
            <w:webHidden/>
          </w:rPr>
        </w:r>
        <w:r w:rsidR="00FA4D37" w:rsidRPr="0018386D">
          <w:rPr>
            <w:noProof/>
            <w:webHidden/>
          </w:rPr>
          <w:fldChar w:fldCharType="separate"/>
        </w:r>
        <w:r w:rsidR="00FA4D37" w:rsidRPr="0018386D">
          <w:rPr>
            <w:noProof/>
            <w:webHidden/>
          </w:rPr>
          <w:t>139</w:t>
        </w:r>
        <w:r w:rsidR="00FA4D37" w:rsidRPr="0018386D">
          <w:rPr>
            <w:noProof/>
            <w:webHidden/>
          </w:rPr>
          <w:fldChar w:fldCharType="end"/>
        </w:r>
      </w:hyperlink>
    </w:p>
    <w:p w14:paraId="0F66DE89" w14:textId="4562749D" w:rsidR="00B27A68" w:rsidRPr="0018386D" w:rsidRDefault="007607CB" w:rsidP="00DD3106">
      <w:pPr>
        <w:pStyle w:val="TableofFigures"/>
        <w:tabs>
          <w:tab w:val="right" w:leader="dot" w:pos="8636"/>
        </w:tabs>
      </w:pPr>
      <w:r w:rsidRPr="0018386D">
        <w:fldChar w:fldCharType="end"/>
      </w:r>
    </w:p>
    <w:p w14:paraId="35D753FA" w14:textId="64122DB6" w:rsidR="00FC6A7D" w:rsidRPr="0018386D" w:rsidRDefault="00FC6A7D" w:rsidP="00DD3106">
      <w:pPr>
        <w:pStyle w:val="BodyText"/>
      </w:pPr>
    </w:p>
    <w:p w14:paraId="372C4C34" w14:textId="093441B2" w:rsidR="00411E70" w:rsidRPr="0018386D" w:rsidRDefault="00411E70" w:rsidP="00DD3106">
      <w:pPr>
        <w:pStyle w:val="Heading"/>
      </w:pPr>
      <w:r w:rsidRPr="0018386D">
        <w:lastRenderedPageBreak/>
        <w:t>Figure</w:t>
      </w:r>
      <w:bookmarkEnd w:id="6"/>
      <w:bookmarkEnd w:id="7"/>
    </w:p>
    <w:p w14:paraId="3DAFCA76" w14:textId="36C0B8CB" w:rsidR="007D261A" w:rsidRPr="0018386D" w:rsidRDefault="00411F52" w:rsidP="00DD3106">
      <w:pPr>
        <w:pStyle w:val="TableofFigures"/>
        <w:tabs>
          <w:tab w:val="right" w:pos="8495"/>
        </w:tabs>
        <w:rPr>
          <w:rFonts w:asciiTheme="minorHAnsi" w:hAnsiTheme="minorHAnsi"/>
          <w:noProof/>
          <w:kern w:val="2"/>
          <w14:ligatures w14:val="standardContextual"/>
        </w:rPr>
      </w:pPr>
      <w:r w:rsidRPr="0018386D">
        <w:rPr>
          <w:b/>
          <w:bCs/>
        </w:rPr>
        <w:fldChar w:fldCharType="begin"/>
      </w:r>
      <w:r w:rsidRPr="0018386D">
        <w:rPr>
          <w:b/>
          <w:bCs/>
        </w:rPr>
        <w:instrText xml:space="preserve"> TOC \h \z \c "Figure" </w:instrText>
      </w:r>
      <w:r w:rsidRPr="0018386D">
        <w:rPr>
          <w:b/>
          <w:bCs/>
        </w:rPr>
        <w:fldChar w:fldCharType="separate"/>
      </w:r>
      <w:hyperlink w:anchor="_Toc140032932" w:history="1">
        <w:r w:rsidR="007D261A" w:rsidRPr="0018386D">
          <w:rPr>
            <w:rStyle w:val="Hyperlink"/>
            <w:noProof/>
          </w:rPr>
          <w:t>Figure 1:</w:t>
        </w:r>
        <w:r w:rsidR="007D261A" w:rsidRPr="0018386D">
          <w:rPr>
            <w:rFonts w:asciiTheme="minorHAnsi" w:hAnsiTheme="minorHAnsi"/>
            <w:noProof/>
            <w:kern w:val="2"/>
            <w14:ligatures w14:val="standardContextual"/>
          </w:rPr>
          <w:tab/>
        </w:r>
        <w:r w:rsidR="007D261A" w:rsidRPr="0018386D">
          <w:rPr>
            <w:rStyle w:val="Hyperlink"/>
            <w:noProof/>
          </w:rPr>
          <w:t xml:space="preserve">Documents in </w:t>
        </w:r>
        <w:r w:rsidR="007D261A" w:rsidRPr="0018386D">
          <w:rPr>
            <w:rStyle w:val="Hyperlink"/>
            <w:i/>
            <w:iCs/>
            <w:noProof/>
          </w:rPr>
          <w:t>Measuring emissions: A guide for organisations</w:t>
        </w:r>
        <w:r w:rsidR="007D261A" w:rsidRPr="0018386D">
          <w:rPr>
            <w:noProof/>
            <w:webHidden/>
          </w:rPr>
          <w:tab/>
        </w:r>
        <w:r w:rsidR="007D261A" w:rsidRPr="0018386D">
          <w:rPr>
            <w:noProof/>
            <w:webHidden/>
          </w:rPr>
          <w:fldChar w:fldCharType="begin"/>
        </w:r>
        <w:r w:rsidR="007D261A" w:rsidRPr="0018386D">
          <w:rPr>
            <w:noProof/>
            <w:webHidden/>
          </w:rPr>
          <w:instrText xml:space="preserve"> PAGEREF _Toc140032932 \h </w:instrText>
        </w:r>
        <w:r w:rsidR="007D261A" w:rsidRPr="0018386D">
          <w:rPr>
            <w:noProof/>
            <w:webHidden/>
          </w:rPr>
        </w:r>
        <w:r w:rsidR="007D261A" w:rsidRPr="0018386D">
          <w:rPr>
            <w:noProof/>
            <w:webHidden/>
          </w:rPr>
          <w:fldChar w:fldCharType="separate"/>
        </w:r>
        <w:r w:rsidR="007D261A" w:rsidRPr="0018386D">
          <w:rPr>
            <w:noProof/>
            <w:webHidden/>
          </w:rPr>
          <w:t>12</w:t>
        </w:r>
        <w:r w:rsidR="007D261A" w:rsidRPr="0018386D">
          <w:rPr>
            <w:noProof/>
            <w:webHidden/>
          </w:rPr>
          <w:fldChar w:fldCharType="end"/>
        </w:r>
      </w:hyperlink>
    </w:p>
    <w:p w14:paraId="1F14D2D7" w14:textId="1BF6D415" w:rsidR="004A7289" w:rsidRPr="0018386D" w:rsidRDefault="00411F52" w:rsidP="00DD3106">
      <w:pPr>
        <w:rPr>
          <w:lang w:val="en-NZ"/>
        </w:rPr>
      </w:pPr>
      <w:r w:rsidRPr="0018386D">
        <w:rPr>
          <w:rFonts w:eastAsiaTheme="minorEastAsia" w:cstheme="minorBidi"/>
          <w:b/>
          <w:bCs/>
          <w:szCs w:val="22"/>
          <w:lang w:val="en-NZ"/>
        </w:rPr>
        <w:fldChar w:fldCharType="end"/>
      </w:r>
    </w:p>
    <w:p w14:paraId="637D6239" w14:textId="77777777" w:rsidR="004A7289" w:rsidRPr="0018386D" w:rsidRDefault="004A7289" w:rsidP="00DD3106">
      <w:pPr>
        <w:pStyle w:val="BodyText"/>
      </w:pPr>
      <w:bookmarkStart w:id="8" w:name="_Toc532904835"/>
      <w:bookmarkStart w:id="9" w:name="_Toc600551"/>
      <w:bookmarkStart w:id="10" w:name="_Ref53143370"/>
      <w:bookmarkStart w:id="11" w:name="_Ref53143377"/>
      <w:bookmarkStart w:id="12" w:name="_Ref54880677"/>
      <w:bookmarkStart w:id="13" w:name="_Ref54880681"/>
      <w:r w:rsidRPr="0018386D">
        <w:br w:type="page"/>
      </w:r>
    </w:p>
    <w:p w14:paraId="3A0EF9A3" w14:textId="3C6400BF" w:rsidR="0072215D" w:rsidRPr="0018386D" w:rsidRDefault="0072215D" w:rsidP="00DD3106">
      <w:pPr>
        <w:pStyle w:val="Heading1"/>
      </w:pPr>
      <w:bookmarkStart w:id="14" w:name="_Toc140048877"/>
      <w:r w:rsidRPr="0018386D">
        <w:lastRenderedPageBreak/>
        <w:t>Overview of changes since the previous</w:t>
      </w:r>
      <w:r w:rsidR="00724C42" w:rsidRPr="0018386D">
        <w:t> </w:t>
      </w:r>
      <w:r w:rsidRPr="0018386D">
        <w:t>update</w:t>
      </w:r>
      <w:bookmarkEnd w:id="8"/>
      <w:bookmarkEnd w:id="9"/>
      <w:bookmarkEnd w:id="10"/>
      <w:bookmarkEnd w:id="11"/>
      <w:bookmarkEnd w:id="12"/>
      <w:bookmarkEnd w:id="13"/>
      <w:bookmarkEnd w:id="14"/>
    </w:p>
    <w:p w14:paraId="3666F207" w14:textId="4F3AF770" w:rsidR="007B6EF4" w:rsidRPr="0018386D" w:rsidRDefault="0072215D" w:rsidP="00DD3106">
      <w:pPr>
        <w:pStyle w:val="BodyText"/>
      </w:pPr>
      <w:r w:rsidRPr="0018386D">
        <w:t xml:space="preserve">This is the </w:t>
      </w:r>
      <w:r w:rsidR="0012711E" w:rsidRPr="0018386D">
        <w:t>13</w:t>
      </w:r>
      <w:r w:rsidR="0012711E" w:rsidRPr="0018386D">
        <w:rPr>
          <w:vertAlign w:val="superscript"/>
        </w:rPr>
        <w:t>th</w:t>
      </w:r>
      <w:r w:rsidR="00543112" w:rsidRPr="0018386D">
        <w:t xml:space="preserve"> </w:t>
      </w:r>
      <w:r w:rsidRPr="0018386D">
        <w:t xml:space="preserve">version of the publication </w:t>
      </w:r>
      <w:r w:rsidR="009D1367" w:rsidRPr="0018386D">
        <w:t xml:space="preserve">originally </w:t>
      </w:r>
      <w:r w:rsidRPr="0018386D">
        <w:t xml:space="preserve">titled </w:t>
      </w:r>
      <w:r w:rsidRPr="0018386D">
        <w:rPr>
          <w:i/>
        </w:rPr>
        <w:t>Guidance for Voluntary Greenhouse Gas Reporting</w:t>
      </w:r>
      <w:r w:rsidRPr="0018386D">
        <w:t xml:space="preserve">. </w:t>
      </w:r>
    </w:p>
    <w:p w14:paraId="6B8BB2D6" w14:textId="395AA4B1" w:rsidR="0072215D" w:rsidRPr="0018386D" w:rsidRDefault="007B6EF4" w:rsidP="00DD3106">
      <w:pPr>
        <w:pStyle w:val="BodyText"/>
        <w:spacing w:after="240"/>
      </w:pPr>
      <w:r w:rsidRPr="0018386D">
        <w:t>For p</w:t>
      </w:r>
      <w:r w:rsidR="00F4752E" w:rsidRPr="0018386D">
        <w:t>revious versions</w:t>
      </w:r>
      <w:r w:rsidRPr="0018386D">
        <w:t>, see</w:t>
      </w:r>
      <w:r w:rsidR="00F4752E" w:rsidRPr="0018386D">
        <w:t xml:space="preserve"> </w:t>
      </w:r>
      <w:hyperlink r:id="rId15" w:history="1">
        <w:r w:rsidR="00F4752E" w:rsidRPr="0018386D">
          <w:rPr>
            <w:rStyle w:val="Hyperlink"/>
          </w:rPr>
          <w:t>the Ministry’s website</w:t>
        </w:r>
      </w:hyperlink>
      <w:r w:rsidRPr="0018386D">
        <w:t>.</w:t>
      </w:r>
    </w:p>
    <w:tbl>
      <w:tblPr>
        <w:tblStyle w:val="mfebox"/>
        <w:tblW w:w="8561"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61"/>
      </w:tblGrid>
      <w:tr w:rsidR="00C358C7" w:rsidRPr="0018386D" w14:paraId="581D42E6" w14:textId="77777777" w:rsidTr="00151F7F">
        <w:tc>
          <w:tcPr>
            <w:tcW w:w="8561" w:type="dxa"/>
            <w:shd w:val="clear" w:color="auto" w:fill="D2DDE1" w:themeFill="background2"/>
          </w:tcPr>
          <w:p w14:paraId="45827C59" w14:textId="24D35CA1" w:rsidR="00C358C7" w:rsidRPr="0018386D" w:rsidRDefault="00E546E7" w:rsidP="00DD3106">
            <w:pPr>
              <w:pStyle w:val="Boxheading"/>
              <w:keepNext w:val="0"/>
            </w:pPr>
            <w:r w:rsidRPr="0018386D">
              <w:t>U</w:t>
            </w:r>
            <w:r w:rsidR="00C358C7" w:rsidRPr="0018386D">
              <w:t xml:space="preserve">pdates since the </w:t>
            </w:r>
            <w:r w:rsidRPr="0018386D">
              <w:t xml:space="preserve">2022 </w:t>
            </w:r>
            <w:r w:rsidR="00C358C7" w:rsidRPr="0018386D">
              <w:t xml:space="preserve">edition </w:t>
            </w:r>
          </w:p>
          <w:p w14:paraId="7034D09B" w14:textId="57D12B84" w:rsidR="007B6EF4" w:rsidRPr="0018386D" w:rsidRDefault="007B6EF4" w:rsidP="00DD3106">
            <w:pPr>
              <w:pStyle w:val="Boxtext"/>
              <w:spacing w:after="80"/>
              <w:rPr>
                <w:rFonts w:eastAsia="Calibri" w:cs="Calibri"/>
                <w:color w:val="1B556B" w:themeColor="text2"/>
                <w:szCs w:val="20"/>
              </w:rPr>
            </w:pPr>
            <w:r w:rsidRPr="0018386D">
              <w:rPr>
                <w:rFonts w:eastAsia="Calibri" w:cs="Calibri"/>
                <w:color w:val="1B556B" w:themeColor="text2"/>
                <w:szCs w:val="20"/>
              </w:rPr>
              <w:t>During each successive assessment cycle, the Intergovernmental Panel on Climate Change (IPCC) re-evaluates t</w:t>
            </w:r>
            <w:r w:rsidR="00C358C7" w:rsidRPr="0018386D">
              <w:rPr>
                <w:rFonts w:eastAsia="Calibri" w:cs="Calibri"/>
                <w:color w:val="1B556B" w:themeColor="text2"/>
                <w:szCs w:val="20"/>
              </w:rPr>
              <w:t>he science underpinning the Global Warming Potential (GWP) values used for national greenhouse gas (GHG) inventory reports. This edition updates the GWP values to align with the requirements for GHG inventory reporting under the Paris Agreement. As agreed in decisions 18/CMA.1 and 5/CMA.3, Parties to the Paris Agreement are required to use the 100-year time-horizon GWP (GWP100) values</w:t>
            </w:r>
            <w:r w:rsidRPr="0018386D">
              <w:rPr>
                <w:rFonts w:eastAsia="Calibri" w:cs="Calibri"/>
                <w:color w:val="1B556B" w:themeColor="text2"/>
                <w:szCs w:val="20"/>
              </w:rPr>
              <w:t>,</w:t>
            </w:r>
            <w:r w:rsidR="00C358C7" w:rsidRPr="0018386D">
              <w:rPr>
                <w:rFonts w:eastAsia="Calibri" w:cs="Calibri"/>
                <w:color w:val="1B556B" w:themeColor="text2"/>
                <w:szCs w:val="20"/>
              </w:rPr>
              <w:t xml:space="preserve"> as listed in table 8.A.1 of the Fifth Assessment Report</w:t>
            </w:r>
            <w:r w:rsidR="00F060C1" w:rsidRPr="0018386D">
              <w:rPr>
                <w:rFonts w:eastAsia="Calibri" w:cs="Calibri"/>
                <w:color w:val="1B556B" w:themeColor="text2"/>
                <w:szCs w:val="20"/>
              </w:rPr>
              <w:t xml:space="preserve"> (AR5)</w:t>
            </w:r>
            <w:r w:rsidR="00C358C7" w:rsidRPr="0018386D">
              <w:rPr>
                <w:rFonts w:eastAsia="Calibri" w:cs="Calibri"/>
                <w:color w:val="1B556B" w:themeColor="text2"/>
                <w:szCs w:val="20"/>
              </w:rPr>
              <w:t xml:space="preserve"> of the </w:t>
            </w:r>
            <w:r w:rsidRPr="0018386D">
              <w:rPr>
                <w:rFonts w:eastAsia="Calibri" w:cs="Calibri"/>
                <w:color w:val="1B556B" w:themeColor="text2"/>
                <w:szCs w:val="20"/>
              </w:rPr>
              <w:t>IPCC</w:t>
            </w:r>
            <w:r w:rsidR="007A5CF8" w:rsidRPr="0018386D">
              <w:rPr>
                <w:rFonts w:eastAsia="Calibri" w:cs="Calibri"/>
                <w:color w:val="1B556B" w:themeColor="text2"/>
                <w:szCs w:val="20"/>
              </w:rPr>
              <w:t>, excluding the value for fossil methane</w:t>
            </w:r>
            <w:r w:rsidRPr="0018386D">
              <w:rPr>
                <w:rFonts w:eastAsia="Calibri" w:cs="Calibri"/>
                <w:color w:val="1B556B" w:themeColor="text2"/>
                <w:szCs w:val="20"/>
              </w:rPr>
              <w:t xml:space="preserve">. </w:t>
            </w:r>
          </w:p>
          <w:p w14:paraId="7AF13FC5" w14:textId="77777777" w:rsidR="00F943C3" w:rsidRPr="0018386D" w:rsidRDefault="00F943C3" w:rsidP="00DD3106">
            <w:pPr>
              <w:pStyle w:val="Boxtext"/>
              <w:spacing w:after="80"/>
              <w:rPr>
                <w:rFonts w:eastAsia="Calibri" w:cs="Calibri"/>
                <w:color w:val="1B556B" w:themeColor="text2"/>
                <w:szCs w:val="20"/>
              </w:rPr>
            </w:pPr>
            <w:r w:rsidRPr="0018386D">
              <w:rPr>
                <w:rFonts w:eastAsia="Calibri" w:cs="Calibri"/>
                <w:color w:val="1B556B" w:themeColor="text2"/>
                <w:szCs w:val="20"/>
              </w:rPr>
              <w:t>Other government published emissions factor sets are also moving to the AR5 GWP100 this year. The UK Greenhouse gas reporting: conversion factors 2022, published by the UK Department of Business, Energy &amp; Industrial Strategy, will be provided in AR5 from this year. Likewise, the US GHG Emission Factors Hub, published by the US Environmental Protection Agency will be provided in AR5 from 2024.</w:t>
            </w:r>
          </w:p>
          <w:p w14:paraId="5F519540" w14:textId="1D0DA445" w:rsidR="00C95FC7" w:rsidRPr="0018386D" w:rsidRDefault="00C95FC7" w:rsidP="00DD3106">
            <w:pPr>
              <w:pStyle w:val="Boxtext"/>
              <w:spacing w:after="80"/>
              <w:rPr>
                <w:rFonts w:eastAsia="Calibri" w:cs="Calibri"/>
                <w:b/>
                <w:bCs/>
                <w:color w:val="1B556B" w:themeColor="text2"/>
                <w:szCs w:val="20"/>
              </w:rPr>
            </w:pPr>
            <w:r w:rsidRPr="0018386D">
              <w:rPr>
                <w:rFonts w:eastAsia="Calibri" w:cs="Calibri"/>
                <w:color w:val="1B556B" w:themeColor="text2"/>
                <w:szCs w:val="20"/>
              </w:rPr>
              <w:t>A brief outline of the impact of switching to AR5 GWP100 on the emission factor values will be provided in the following sections, under Overview of changes since previous update.</w:t>
            </w:r>
          </w:p>
          <w:p w14:paraId="171FC95B" w14:textId="68ED1099" w:rsidR="001516B3" w:rsidRPr="0018386D" w:rsidRDefault="001516B3" w:rsidP="00DD3106">
            <w:pPr>
              <w:pStyle w:val="Boxtext"/>
              <w:spacing w:after="0"/>
              <w:rPr>
                <w:rFonts w:eastAsia="Calibri" w:cs="Calibri"/>
                <w:b/>
                <w:bCs/>
                <w:color w:val="1B556B" w:themeColor="text2"/>
                <w:szCs w:val="20"/>
              </w:rPr>
            </w:pPr>
            <w:r w:rsidRPr="0018386D">
              <w:rPr>
                <w:rFonts w:eastAsia="Calibri" w:cs="Calibri"/>
                <w:b/>
                <w:bCs/>
                <w:color w:val="1B556B" w:themeColor="text2"/>
                <w:szCs w:val="20"/>
              </w:rPr>
              <w:t>Other updates</w:t>
            </w:r>
          </w:p>
          <w:p w14:paraId="066E9B1E" w14:textId="5166DC7C" w:rsidR="00C358C7" w:rsidRPr="0018386D" w:rsidRDefault="001516B3" w:rsidP="00DD3106">
            <w:pPr>
              <w:pStyle w:val="Boxtext"/>
              <w:spacing w:after="80"/>
              <w:rPr>
                <w:rStyle w:val="Hyperlink"/>
                <w:rFonts w:eastAsia="Calibri" w:cs="Calibri"/>
                <w:szCs w:val="20"/>
              </w:rPr>
            </w:pPr>
            <w:r w:rsidRPr="0018386D">
              <w:rPr>
                <w:rFonts w:eastAsia="Calibri" w:cs="Calibri"/>
                <w:b/>
                <w:bCs/>
                <w:color w:val="1B556B" w:themeColor="text2"/>
                <w:szCs w:val="20"/>
              </w:rPr>
              <w:t>S</w:t>
            </w:r>
            <w:r w:rsidR="007B6EF4" w:rsidRPr="0018386D">
              <w:rPr>
                <w:rFonts w:eastAsia="Calibri" w:cs="Calibri"/>
                <w:b/>
                <w:bCs/>
                <w:color w:val="1B556B" w:themeColor="text2"/>
                <w:szCs w:val="20"/>
              </w:rPr>
              <w:t xml:space="preserve">ection </w:t>
            </w:r>
            <w:r w:rsidR="00581A60" w:rsidRPr="0018386D">
              <w:rPr>
                <w:rFonts w:eastAsia="Calibri" w:cs="Calibri"/>
                <w:b/>
                <w:bCs/>
                <w:color w:val="1B556B" w:themeColor="text2"/>
                <w:szCs w:val="20"/>
              </w:rPr>
              <w:t>3</w:t>
            </w:r>
            <w:r w:rsidR="007B6EF4" w:rsidRPr="0018386D">
              <w:rPr>
                <w:rFonts w:eastAsia="Calibri" w:cs="Calibri"/>
                <w:b/>
                <w:bCs/>
                <w:color w:val="1B556B" w:themeColor="text2"/>
                <w:szCs w:val="20"/>
              </w:rPr>
              <w:t xml:space="preserve"> </w:t>
            </w:r>
            <w:r w:rsidRPr="0018386D">
              <w:rPr>
                <w:rFonts w:eastAsia="Calibri" w:cs="Calibri"/>
                <w:b/>
                <w:bCs/>
                <w:color w:val="1B556B" w:themeColor="text2"/>
                <w:szCs w:val="20"/>
              </w:rPr>
              <w:t>(</w:t>
            </w:r>
            <w:r w:rsidR="00581A60" w:rsidRPr="0018386D">
              <w:rPr>
                <w:rFonts w:eastAsia="Calibri" w:cs="Calibri"/>
                <w:b/>
                <w:bCs/>
                <w:color w:val="1B556B" w:themeColor="text2"/>
                <w:szCs w:val="20"/>
              </w:rPr>
              <w:t>F</w:t>
            </w:r>
            <w:r w:rsidRPr="0018386D">
              <w:rPr>
                <w:rFonts w:eastAsia="Calibri" w:cs="Calibri"/>
                <w:b/>
                <w:bCs/>
                <w:color w:val="1B556B" w:themeColor="text2"/>
                <w:szCs w:val="20"/>
              </w:rPr>
              <w:t xml:space="preserve">uel): </w:t>
            </w:r>
            <w:r w:rsidR="00C358C7" w:rsidRPr="0018386D">
              <w:rPr>
                <w:rFonts w:eastAsia="Calibri" w:cs="Calibri"/>
                <w:color w:val="1B556B" w:themeColor="text2"/>
                <w:szCs w:val="20"/>
              </w:rPr>
              <w:t xml:space="preserve">The emission factors </w:t>
            </w:r>
            <w:r w:rsidRPr="0018386D">
              <w:rPr>
                <w:rFonts w:eastAsia="Calibri" w:cs="Calibri"/>
                <w:color w:val="1B556B" w:themeColor="text2"/>
                <w:szCs w:val="20"/>
              </w:rPr>
              <w:t xml:space="preserve">now </w:t>
            </w:r>
            <w:r w:rsidR="00C358C7" w:rsidRPr="0018386D">
              <w:rPr>
                <w:rFonts w:eastAsia="Calibri" w:cs="Calibri"/>
                <w:color w:val="1B556B" w:themeColor="text2"/>
                <w:szCs w:val="20"/>
              </w:rPr>
              <w:t xml:space="preserve">align with activity data from </w:t>
            </w:r>
            <w:hyperlink r:id="rId16" w:history="1">
              <w:r w:rsidR="00C358C7" w:rsidRPr="0018386D">
                <w:rPr>
                  <w:rStyle w:val="Hyperlink"/>
                  <w:rFonts w:eastAsia="Calibri" w:cs="Calibri"/>
                  <w:i/>
                  <w:iCs/>
                  <w:szCs w:val="20"/>
                </w:rPr>
                <w:t>New Zealand’s Greenhouse Gas Inventory 1990–2021</w:t>
              </w:r>
            </w:hyperlink>
            <w:r w:rsidR="00C358C7" w:rsidRPr="0018386D">
              <w:rPr>
                <w:rStyle w:val="Hyperlink"/>
                <w:rFonts w:eastAsia="Calibri" w:cs="Calibri"/>
                <w:szCs w:val="20"/>
              </w:rPr>
              <w:t>.</w:t>
            </w:r>
          </w:p>
          <w:p w14:paraId="7E0AF55C" w14:textId="22578E6A" w:rsidR="002501C5" w:rsidRPr="0018386D" w:rsidRDefault="002501C5" w:rsidP="00DD3106">
            <w:pPr>
              <w:pStyle w:val="Boxtext"/>
              <w:spacing w:after="80"/>
              <w:rPr>
                <w:rFonts w:eastAsia="Calibri" w:cs="Calibri"/>
                <w:color w:val="1B556B" w:themeColor="text2"/>
                <w:szCs w:val="20"/>
              </w:rPr>
            </w:pPr>
            <w:r w:rsidRPr="0018386D">
              <w:rPr>
                <w:rFonts w:eastAsia="Calibri" w:cs="Calibri"/>
                <w:color w:val="1B556B" w:themeColor="text2"/>
                <w:szCs w:val="20"/>
              </w:rPr>
              <w:t>For clarity, biogenic</w:t>
            </w:r>
            <w:r w:rsidRPr="0018386D">
              <w:rPr>
                <w:rFonts w:eastAsia="Times New Roman"/>
              </w:rPr>
              <w:t xml:space="preserve"> CO</w:t>
            </w:r>
            <w:r w:rsidRPr="0018386D">
              <w:rPr>
                <w:rFonts w:eastAsia="Times New Roman"/>
                <w:vertAlign w:val="subscript"/>
              </w:rPr>
              <w:t>2</w:t>
            </w:r>
            <w:r w:rsidRPr="0018386D">
              <w:rPr>
                <w:rFonts w:eastAsia="Calibri" w:cs="Calibri"/>
                <w:color w:val="1B556B" w:themeColor="text2"/>
                <w:szCs w:val="20"/>
              </w:rPr>
              <w:t xml:space="preserve"> emissions for biofuels and biomass are now reported under the new column heading Biogenic </w:t>
            </w:r>
            <w:r w:rsidRPr="0018386D">
              <w:rPr>
                <w:rFonts w:eastAsia="Times New Roman"/>
              </w:rPr>
              <w:t>CO</w:t>
            </w:r>
            <w:r w:rsidRPr="0018386D">
              <w:rPr>
                <w:rFonts w:eastAsia="Times New Roman"/>
                <w:vertAlign w:val="subscript"/>
              </w:rPr>
              <w:t>2</w:t>
            </w:r>
            <w:r w:rsidRPr="0018386D">
              <w:rPr>
                <w:rFonts w:eastAsia="Calibri" w:cs="Calibri"/>
                <w:color w:val="1B556B" w:themeColor="text2"/>
                <w:szCs w:val="20"/>
              </w:rPr>
              <w:t xml:space="preserve">. Previously these were reported under </w:t>
            </w:r>
            <w:r w:rsidRPr="0018386D">
              <w:rPr>
                <w:rFonts w:eastAsia="Times New Roman"/>
              </w:rPr>
              <w:t>CO</w:t>
            </w:r>
            <w:r w:rsidRPr="0018386D">
              <w:rPr>
                <w:rFonts w:eastAsia="Times New Roman"/>
                <w:vertAlign w:val="subscript"/>
              </w:rPr>
              <w:t>2</w:t>
            </w:r>
            <w:r w:rsidRPr="0018386D">
              <w:rPr>
                <w:rFonts w:eastAsia="Calibri" w:cs="Calibri"/>
                <w:color w:val="1B556B" w:themeColor="text2"/>
                <w:szCs w:val="20"/>
              </w:rPr>
              <w:t>.</w:t>
            </w:r>
          </w:p>
          <w:p w14:paraId="229C206E" w14:textId="6DBF3D44" w:rsidR="00A126E5" w:rsidRPr="0018386D" w:rsidRDefault="00A126E5" w:rsidP="00DD3106">
            <w:pPr>
              <w:pStyle w:val="Boxtext"/>
              <w:spacing w:after="80"/>
              <w:rPr>
                <w:rFonts w:asciiTheme="minorHAnsi" w:eastAsia="Calibri" w:hAnsiTheme="minorHAnsi" w:cstheme="minorHAnsi"/>
                <w:color w:val="1B556B" w:themeColor="text2"/>
                <w:szCs w:val="20"/>
              </w:rPr>
            </w:pPr>
            <w:r w:rsidRPr="0018386D">
              <w:rPr>
                <w:rFonts w:asciiTheme="minorHAnsi" w:eastAsia="Calibri" w:hAnsiTheme="minorHAnsi" w:cstheme="minorHAnsi"/>
                <w:b/>
                <w:bCs/>
                <w:color w:val="1B556B" w:themeColor="text2"/>
                <w:szCs w:val="20"/>
              </w:rPr>
              <w:t xml:space="preserve">Section 5 (Purchased electricity, </w:t>
            </w:r>
            <w:proofErr w:type="gramStart"/>
            <w:r w:rsidRPr="0018386D">
              <w:rPr>
                <w:rFonts w:asciiTheme="minorHAnsi" w:eastAsia="Calibri" w:hAnsiTheme="minorHAnsi" w:cstheme="minorHAnsi"/>
                <w:b/>
                <w:bCs/>
                <w:color w:val="1B556B" w:themeColor="text2"/>
                <w:szCs w:val="20"/>
              </w:rPr>
              <w:t>heat</w:t>
            </w:r>
            <w:proofErr w:type="gramEnd"/>
            <w:r w:rsidRPr="0018386D">
              <w:rPr>
                <w:rFonts w:asciiTheme="minorHAnsi" w:eastAsia="Calibri" w:hAnsiTheme="minorHAnsi" w:cstheme="minorHAnsi"/>
                <w:b/>
                <w:bCs/>
                <w:color w:val="1B556B" w:themeColor="text2"/>
                <w:szCs w:val="20"/>
              </w:rPr>
              <w:t xml:space="preserve"> and steam):</w:t>
            </w:r>
            <w:r w:rsidRPr="0018386D">
              <w:rPr>
                <w:rFonts w:asciiTheme="minorHAnsi" w:eastAsia="Calibri" w:hAnsiTheme="minorHAnsi" w:cstheme="minorHAnsi"/>
                <w:color w:val="1B556B" w:themeColor="text2"/>
                <w:szCs w:val="20"/>
              </w:rPr>
              <w:t xml:space="preserve"> </w:t>
            </w:r>
            <w:r w:rsidR="00480CCA" w:rsidRPr="0018386D">
              <w:rPr>
                <w:rFonts w:asciiTheme="minorHAnsi" w:eastAsia="Calibri" w:hAnsiTheme="minorHAnsi" w:cstheme="minorHAnsi"/>
                <w:color w:val="1B556B" w:themeColor="text2"/>
                <w:szCs w:val="20"/>
              </w:rPr>
              <w:t>E</w:t>
            </w:r>
            <w:r w:rsidRPr="0018386D">
              <w:rPr>
                <w:rFonts w:asciiTheme="minorHAnsi" w:hAnsiTheme="minorHAnsi" w:cstheme="minorHAnsi"/>
                <w:szCs w:val="20"/>
              </w:rPr>
              <w:t>lectricity factors for the 2022 calendar year</w:t>
            </w:r>
            <w:r w:rsidR="00BD76C2" w:rsidRPr="0018386D">
              <w:rPr>
                <w:rFonts w:asciiTheme="minorHAnsi" w:hAnsiTheme="minorHAnsi" w:cstheme="minorHAnsi"/>
                <w:szCs w:val="20"/>
              </w:rPr>
              <w:t xml:space="preserve"> have been incorporated</w:t>
            </w:r>
            <w:r w:rsidRPr="0018386D">
              <w:rPr>
                <w:rFonts w:asciiTheme="minorHAnsi" w:hAnsiTheme="minorHAnsi" w:cstheme="minorHAnsi"/>
                <w:szCs w:val="20"/>
              </w:rPr>
              <w:t>, as opposed to using electricity factors from two years ago as per previous guidance.</w:t>
            </w:r>
          </w:p>
          <w:p w14:paraId="19F31280" w14:textId="130F8119" w:rsidR="007D57CD" w:rsidRPr="0018386D" w:rsidRDefault="001516B3" w:rsidP="00DD3106">
            <w:pPr>
              <w:pStyle w:val="Boxtext"/>
              <w:spacing w:after="80"/>
              <w:rPr>
                <w:rFonts w:eastAsia="Calibri" w:cs="Calibri"/>
                <w:color w:val="1B556B" w:themeColor="text2"/>
              </w:rPr>
            </w:pPr>
            <w:r w:rsidRPr="0018386D">
              <w:rPr>
                <w:rFonts w:eastAsia="Calibri" w:cs="Calibri"/>
                <w:b/>
                <w:bCs/>
                <w:color w:val="1B556B" w:themeColor="text2"/>
                <w:szCs w:val="20"/>
              </w:rPr>
              <w:t>Section 7 (</w:t>
            </w:r>
            <w:r w:rsidR="00581A60" w:rsidRPr="0018386D">
              <w:rPr>
                <w:rFonts w:eastAsia="Calibri" w:cs="Calibri"/>
                <w:b/>
                <w:bCs/>
                <w:color w:val="1B556B" w:themeColor="text2"/>
                <w:szCs w:val="20"/>
              </w:rPr>
              <w:t>T</w:t>
            </w:r>
            <w:r w:rsidRPr="0018386D">
              <w:rPr>
                <w:rFonts w:eastAsia="Calibri" w:cs="Calibri"/>
                <w:b/>
                <w:bCs/>
                <w:color w:val="1B556B" w:themeColor="text2"/>
                <w:szCs w:val="20"/>
              </w:rPr>
              <w:t>ravel):</w:t>
            </w:r>
            <w:r w:rsidRPr="0018386D">
              <w:rPr>
                <w:rFonts w:eastAsia="Calibri" w:cs="Calibri"/>
                <w:color w:val="1B556B" w:themeColor="text2"/>
                <w:szCs w:val="20"/>
              </w:rPr>
              <w:t xml:space="preserve"> </w:t>
            </w:r>
            <w:r w:rsidR="007D57CD" w:rsidRPr="0018386D">
              <w:rPr>
                <w:rFonts w:eastAsia="Calibri" w:cs="Calibri"/>
                <w:color w:val="1B556B" w:themeColor="text2"/>
                <w:szCs w:val="20"/>
              </w:rPr>
              <w:t>T</w:t>
            </w:r>
            <w:r w:rsidR="007D57CD" w:rsidRPr="0018386D">
              <w:rPr>
                <w:rFonts w:eastAsia="Calibri" w:cs="Calibri"/>
                <w:color w:val="1B556B" w:themeColor="text2"/>
              </w:rPr>
              <w:t xml:space="preserve">o reflect the increasing diversity of New Zealand’s </w:t>
            </w:r>
            <w:r w:rsidR="007D57CD" w:rsidRPr="0018386D">
              <w:rPr>
                <w:rFonts w:eastAsia="Calibri" w:cs="Calibri"/>
                <w:bCs/>
                <w:color w:val="1B556B" w:themeColor="text2"/>
              </w:rPr>
              <w:t>taxi</w:t>
            </w:r>
            <w:r w:rsidR="007D57CD" w:rsidRPr="0018386D">
              <w:rPr>
                <w:rFonts w:eastAsia="Calibri" w:cs="Calibri"/>
                <w:b/>
                <w:color w:val="1B556B" w:themeColor="text2"/>
              </w:rPr>
              <w:t xml:space="preserve"> </w:t>
            </w:r>
            <w:r w:rsidR="007D57CD" w:rsidRPr="0018386D">
              <w:rPr>
                <w:rFonts w:eastAsia="Calibri" w:cs="Calibri"/>
                <w:bCs/>
                <w:color w:val="1B556B" w:themeColor="text2"/>
              </w:rPr>
              <w:t>fleet</w:t>
            </w:r>
            <w:r w:rsidR="007D57CD" w:rsidRPr="0018386D">
              <w:rPr>
                <w:rFonts w:eastAsia="Calibri" w:cs="Calibri"/>
                <w:color w:val="1B556B" w:themeColor="text2"/>
              </w:rPr>
              <w:t>, two new taxi factors were added this year for a petrol hybrid and an electric vehicle.</w:t>
            </w:r>
          </w:p>
          <w:p w14:paraId="45FEB973" w14:textId="4CA8D1BF" w:rsidR="00C358C7" w:rsidRPr="0018386D" w:rsidRDefault="00581A60" w:rsidP="00DD3106">
            <w:pPr>
              <w:pStyle w:val="Boxtext"/>
              <w:rPr>
                <w:rFonts w:eastAsia="Calibri" w:cs="Calibri"/>
                <w:color w:val="1B556B" w:themeColor="text2"/>
                <w:szCs w:val="20"/>
              </w:rPr>
            </w:pPr>
            <w:r w:rsidRPr="0018386D">
              <w:rPr>
                <w:rFonts w:eastAsia="Calibri" w:cs="Calibri"/>
                <w:b/>
                <w:bCs/>
                <w:color w:val="1B556B" w:themeColor="text2"/>
                <w:szCs w:val="20"/>
              </w:rPr>
              <w:t>Section 9 (Water supply and wastewater treatment):</w:t>
            </w:r>
            <w:r w:rsidRPr="0018386D">
              <w:rPr>
                <w:rFonts w:eastAsia="Calibri" w:cs="Calibri"/>
                <w:color w:val="1B556B" w:themeColor="text2"/>
                <w:szCs w:val="20"/>
              </w:rPr>
              <w:t xml:space="preserve"> U</w:t>
            </w:r>
            <w:r w:rsidR="00C358C7" w:rsidRPr="0018386D">
              <w:rPr>
                <w:rFonts w:eastAsia="Calibri" w:cs="Calibri"/>
                <w:color w:val="1B556B" w:themeColor="text2"/>
                <w:szCs w:val="20"/>
              </w:rPr>
              <w:t>pdated emission factors for water supply and domestic wastewater</w:t>
            </w:r>
            <w:r w:rsidRPr="0018386D">
              <w:rPr>
                <w:rFonts w:eastAsia="Calibri" w:cs="Calibri"/>
                <w:color w:val="1B556B" w:themeColor="text2"/>
                <w:szCs w:val="20"/>
              </w:rPr>
              <w:t>.</w:t>
            </w:r>
            <w:r w:rsidR="00C358C7" w:rsidRPr="0018386D">
              <w:rPr>
                <w:rFonts w:eastAsia="Calibri" w:cs="Calibri"/>
                <w:color w:val="1B556B" w:themeColor="text2"/>
                <w:szCs w:val="20"/>
              </w:rPr>
              <w:t xml:space="preserve"> </w:t>
            </w:r>
          </w:p>
        </w:tc>
      </w:tr>
      <w:tr w:rsidR="00C358C7" w:rsidRPr="0018386D" w14:paraId="08782E32" w14:textId="77777777" w:rsidTr="00151F7F">
        <w:trPr>
          <w:trHeight w:val="477"/>
        </w:trPr>
        <w:tc>
          <w:tcPr>
            <w:tcW w:w="8561" w:type="dxa"/>
            <w:shd w:val="clear" w:color="auto" w:fill="D2DDE1" w:themeFill="background2"/>
          </w:tcPr>
          <w:p w14:paraId="0CE7B151" w14:textId="03837584" w:rsidR="00151F7F" w:rsidRPr="0018386D" w:rsidRDefault="00151F7F" w:rsidP="00DD3106">
            <w:pPr>
              <w:pStyle w:val="Boxtext"/>
              <w:spacing w:after="80"/>
              <w:rPr>
                <w:rFonts w:eastAsia="Calibri" w:cs="Calibri"/>
                <w:color w:val="1B556B" w:themeColor="text2"/>
                <w:szCs w:val="20"/>
              </w:rPr>
            </w:pPr>
            <w:r w:rsidRPr="0018386D">
              <w:rPr>
                <w:rFonts w:eastAsia="Calibri" w:cs="Calibri"/>
                <w:b/>
                <w:bCs/>
                <w:color w:val="1B556B" w:themeColor="text2"/>
                <w:szCs w:val="20"/>
              </w:rPr>
              <w:t>Section 10 (Materials and waste):</w:t>
            </w:r>
            <w:r w:rsidRPr="0018386D">
              <w:rPr>
                <w:rFonts w:eastAsia="Calibri" w:cs="Calibri"/>
                <w:color w:val="1B556B" w:themeColor="text2"/>
                <w:szCs w:val="20"/>
              </w:rPr>
              <w:t xml:space="preserve"> Two additional emission factors for waste wood to landfill, for treated and untreated wood.</w:t>
            </w:r>
          </w:p>
          <w:p w14:paraId="2F8A3B6E" w14:textId="77777777" w:rsidR="00151F7F" w:rsidRPr="0018386D" w:rsidRDefault="00151F7F" w:rsidP="00DD3106">
            <w:pPr>
              <w:pStyle w:val="Boxtext"/>
              <w:spacing w:after="80"/>
              <w:rPr>
                <w:rFonts w:eastAsia="Calibri" w:cs="Calibri"/>
                <w:i/>
                <w:iCs/>
                <w:color w:val="1B556B" w:themeColor="text2"/>
              </w:rPr>
            </w:pPr>
            <w:r w:rsidRPr="0018386D">
              <w:rPr>
                <w:rFonts w:eastAsia="Calibri" w:cs="Calibri"/>
                <w:b/>
                <w:bCs/>
                <w:color w:val="1B556B" w:themeColor="text2"/>
              </w:rPr>
              <w:t xml:space="preserve">Section 11 </w:t>
            </w:r>
            <w:r w:rsidRPr="0018386D">
              <w:rPr>
                <w:b/>
                <w:bCs/>
              </w:rPr>
              <w:t>(</w:t>
            </w:r>
            <w:r w:rsidRPr="0018386D">
              <w:rPr>
                <w:rFonts w:eastAsia="Calibri" w:cs="Calibri"/>
                <w:b/>
                <w:bCs/>
                <w:color w:val="1B556B" w:themeColor="text2"/>
              </w:rPr>
              <w:t>Agriculture, forestry, and other land use):</w:t>
            </w:r>
            <w:r w:rsidRPr="0018386D">
              <w:rPr>
                <w:rFonts w:eastAsia="Calibri" w:cs="Calibri"/>
                <w:color w:val="1B556B" w:themeColor="text2"/>
              </w:rPr>
              <w:t xml:space="preserve"> The methodology and emission factors now align with </w:t>
            </w:r>
            <w:hyperlink r:id="rId17" w:history="1">
              <w:r w:rsidRPr="0018386D">
                <w:rPr>
                  <w:rStyle w:val="Hyperlink"/>
                  <w:rFonts w:eastAsia="Calibri" w:cs="Calibri"/>
                  <w:i/>
                  <w:iCs/>
                </w:rPr>
                <w:t>New Zealand’s Greenhouse Gas Inventory 1990–2021</w:t>
              </w:r>
            </w:hyperlink>
            <w:r w:rsidRPr="0018386D">
              <w:rPr>
                <w:rFonts w:eastAsia="Calibri" w:cs="Calibri"/>
                <w:i/>
                <w:color w:val="1B556B" w:themeColor="text2"/>
              </w:rPr>
              <w:t>.</w:t>
            </w:r>
          </w:p>
          <w:p w14:paraId="6516BDFB" w14:textId="6542BBCE" w:rsidR="00151F7F" w:rsidRPr="0018386D" w:rsidRDefault="00151F7F" w:rsidP="00DD3106">
            <w:pPr>
              <w:pStyle w:val="Boxtext"/>
              <w:spacing w:after="80"/>
              <w:rPr>
                <w:rFonts w:eastAsia="Times New Roman" w:cstheme="minorHAnsi"/>
              </w:rPr>
            </w:pPr>
            <w:r w:rsidRPr="0018386D">
              <w:rPr>
                <w:rFonts w:eastAsia="Calibri" w:cs="Calibri"/>
                <w:b/>
                <w:bCs/>
                <w:color w:val="1B556B" w:themeColor="text2"/>
                <w:szCs w:val="20"/>
              </w:rPr>
              <w:t>Appendix D (Spend-based emissions):</w:t>
            </w:r>
            <w:r w:rsidRPr="0018386D">
              <w:rPr>
                <w:rFonts w:eastAsia="Calibri" w:cs="Calibri"/>
                <w:color w:val="1B556B" w:themeColor="text2"/>
                <w:szCs w:val="20"/>
              </w:rPr>
              <w:t xml:space="preserve"> Auckland Council has published a new report on</w:t>
            </w:r>
            <w:r w:rsidR="004C3308" w:rsidRPr="0018386D">
              <w:rPr>
                <w:rFonts w:eastAsia="Calibri" w:cs="Calibri"/>
                <w:color w:val="1B556B" w:themeColor="text2"/>
                <w:szCs w:val="20"/>
              </w:rPr>
              <w:t xml:space="preserve"> </w:t>
            </w:r>
            <w:r w:rsidRPr="0018386D">
              <w:rPr>
                <w:rFonts w:eastAsia="Calibri" w:cs="Calibri"/>
                <w:color w:val="1B556B" w:themeColor="text2"/>
                <w:szCs w:val="20"/>
              </w:rPr>
              <w:t xml:space="preserve">spend-based emissions – the emissions generated by the whole supply chain for the goods and services that people consume. The study looks at the GHG emissions (per every $ spent) of over </w:t>
            </w:r>
            <w:r w:rsidRPr="0018386D">
              <w:rPr>
                <w:rFonts w:eastAsia="Calibri" w:cs="Calibri"/>
                <w:color w:val="1B556B" w:themeColor="text2"/>
                <w:szCs w:val="20"/>
              </w:rPr>
              <w:lastRenderedPageBreak/>
              <w:t xml:space="preserve">400 products and services commonly used by </w:t>
            </w:r>
            <w:r w:rsidR="00BC7FD6" w:rsidRPr="0018386D">
              <w:rPr>
                <w:rFonts w:eastAsia="Calibri" w:cs="Calibri"/>
                <w:color w:val="1B556B" w:themeColor="text2"/>
                <w:szCs w:val="20"/>
              </w:rPr>
              <w:t>households and</w:t>
            </w:r>
            <w:r w:rsidRPr="0018386D">
              <w:rPr>
                <w:rFonts w:eastAsia="Calibri" w:cs="Calibri"/>
                <w:color w:val="1B556B" w:themeColor="text2"/>
                <w:szCs w:val="20"/>
              </w:rPr>
              <w:t xml:space="preserve"> </w:t>
            </w:r>
            <w:r w:rsidRPr="0018386D">
              <w:rPr>
                <w:rFonts w:eastAsia="Times New Roman" w:cstheme="minorHAnsi"/>
              </w:rPr>
              <w:t xml:space="preserve">shows how spend-based emissions can be estimated from data readily available from Stats NZ. </w:t>
            </w:r>
          </w:p>
          <w:p w14:paraId="348329EA" w14:textId="77777777" w:rsidR="00151F7F" w:rsidRPr="0018386D" w:rsidRDefault="00151F7F" w:rsidP="00DD3106">
            <w:pPr>
              <w:pStyle w:val="Boxtext"/>
              <w:spacing w:after="80"/>
              <w:rPr>
                <w:rFonts w:eastAsia="Times New Roman" w:cstheme="minorHAnsi"/>
              </w:rPr>
            </w:pPr>
            <w:r w:rsidRPr="0018386D">
              <w:rPr>
                <w:rFonts w:eastAsia="Times New Roman" w:cstheme="minorHAnsi"/>
              </w:rPr>
              <w:t xml:space="preserve">Access the Auckland Council Consumption Emissions Modelling report here: </w:t>
            </w:r>
            <w:hyperlink r:id="rId18" w:history="1">
              <w:r w:rsidRPr="0018386D">
                <w:rPr>
                  <w:rStyle w:val="Hyperlink"/>
                  <w:rFonts w:eastAsia="Times New Roman" w:cstheme="minorHAnsi"/>
                </w:rPr>
                <w:t>https://www.knowledgeauckland.org.nz/publications/consumption-emissions-modelling/</w:t>
              </w:r>
            </w:hyperlink>
            <w:r w:rsidRPr="0018386D">
              <w:rPr>
                <w:rFonts w:eastAsia="Times New Roman" w:cstheme="minorHAnsi"/>
              </w:rPr>
              <w:t xml:space="preserve">. </w:t>
            </w:r>
          </w:p>
          <w:p w14:paraId="759C4E63" w14:textId="7C297544" w:rsidR="00C358C7" w:rsidRPr="0018386D" w:rsidRDefault="00151F7F" w:rsidP="00DD3106">
            <w:pPr>
              <w:pStyle w:val="Boxtext"/>
              <w:spacing w:after="240"/>
            </w:pPr>
            <w:r w:rsidRPr="0018386D">
              <w:rPr>
                <w:rFonts w:eastAsia="Times New Roman" w:cstheme="minorHAnsi"/>
              </w:rPr>
              <w:t xml:space="preserve">See </w:t>
            </w:r>
            <w:hyperlink w:anchor="_A__" w:history="1">
              <w:r w:rsidRPr="0018386D">
                <w:rPr>
                  <w:rStyle w:val="Hyperlink"/>
                  <w:rFonts w:eastAsia="Times New Roman" w:cstheme="minorHAnsi"/>
                </w:rPr>
                <w:t>appendix D</w:t>
              </w:r>
            </w:hyperlink>
            <w:r w:rsidRPr="0018386D">
              <w:rPr>
                <w:rFonts w:eastAsia="Times New Roman" w:cstheme="minorHAnsi"/>
              </w:rPr>
              <w:t xml:space="preserve"> for more information.</w:t>
            </w:r>
          </w:p>
        </w:tc>
      </w:tr>
    </w:tbl>
    <w:p w14:paraId="6628BBE6" w14:textId="5DB7B9AE" w:rsidR="00D97D22" w:rsidRPr="0018386D" w:rsidRDefault="00D97D22" w:rsidP="00DD3106">
      <w:pPr>
        <w:pStyle w:val="BodyText"/>
      </w:pPr>
      <w:bookmarkStart w:id="15" w:name="_Toc532904839"/>
      <w:bookmarkStart w:id="16" w:name="_Toc600555"/>
    </w:p>
    <w:p w14:paraId="6C5B2126" w14:textId="77777777" w:rsidR="00D97D22" w:rsidRPr="0018386D" w:rsidRDefault="00D97D22" w:rsidP="00DD3106">
      <w:pPr>
        <w:pStyle w:val="BodyText"/>
      </w:pPr>
      <w:r w:rsidRPr="0018386D">
        <w:br w:type="page"/>
      </w:r>
    </w:p>
    <w:p w14:paraId="74A1C1CF" w14:textId="205D92CC" w:rsidR="005A054A" w:rsidRPr="0018386D" w:rsidRDefault="005A054A" w:rsidP="00DD3106">
      <w:pPr>
        <w:pStyle w:val="Heading1"/>
        <w:numPr>
          <w:ilvl w:val="0"/>
          <w:numId w:val="8"/>
        </w:numPr>
        <w:rPr>
          <w:szCs w:val="48"/>
        </w:rPr>
      </w:pPr>
      <w:bookmarkStart w:id="17" w:name="_Toc140048878"/>
      <w:bookmarkStart w:id="18" w:name="_Toc532904840"/>
      <w:bookmarkStart w:id="19" w:name="_Toc600556"/>
      <w:bookmarkEnd w:id="15"/>
      <w:bookmarkEnd w:id="16"/>
      <w:r w:rsidRPr="0018386D">
        <w:rPr>
          <w:szCs w:val="48"/>
        </w:rPr>
        <w:lastRenderedPageBreak/>
        <w:t>Introduction</w:t>
      </w:r>
      <w:bookmarkEnd w:id="17"/>
    </w:p>
    <w:p w14:paraId="74E6CA91" w14:textId="725DBE7C" w:rsidR="00B17ABF" w:rsidRPr="0018386D" w:rsidRDefault="00B17ABF" w:rsidP="00DD3106">
      <w:pPr>
        <w:pStyle w:val="Heading2"/>
        <w:numPr>
          <w:ilvl w:val="1"/>
          <w:numId w:val="8"/>
        </w:numPr>
        <w:spacing w:before="0"/>
      </w:pPr>
      <w:bookmarkStart w:id="20" w:name="_Toc140048879"/>
      <w:r w:rsidRPr="0018386D">
        <w:t>Purpose of this guid</w:t>
      </w:r>
      <w:r w:rsidR="00B43474" w:rsidRPr="0018386D">
        <w:t>e</w:t>
      </w:r>
      <w:bookmarkEnd w:id="18"/>
      <w:bookmarkEnd w:id="19"/>
      <w:bookmarkEnd w:id="20"/>
    </w:p>
    <w:p w14:paraId="550BDB8F" w14:textId="431F2C4D" w:rsidR="00391C2A" w:rsidRPr="0018386D" w:rsidRDefault="00B17ABF" w:rsidP="00DD3106">
      <w:pPr>
        <w:pStyle w:val="BodyText"/>
        <w:spacing w:after="100"/>
      </w:pPr>
      <w:r w:rsidRPr="0018386D">
        <w:t>The Ministry for the Environment support</w:t>
      </w:r>
      <w:r w:rsidR="004107B6" w:rsidRPr="0018386D">
        <w:t>s</w:t>
      </w:r>
      <w:r w:rsidRPr="0018386D">
        <w:t xml:space="preserve"> organisations </w:t>
      </w:r>
      <w:r w:rsidR="005A635A" w:rsidRPr="0018386D">
        <w:t>taking climate action</w:t>
      </w:r>
      <w:r w:rsidRPr="0018386D">
        <w:t>. We recognise there is strong interest</w:t>
      </w:r>
      <w:r w:rsidR="004C5FD3" w:rsidRPr="0018386D">
        <w:t>,</w:t>
      </w:r>
      <w:r w:rsidR="00191452" w:rsidRPr="0018386D">
        <w:t xml:space="preserve"> and </w:t>
      </w:r>
      <w:r w:rsidR="004C5FD3" w:rsidRPr="0018386D">
        <w:t xml:space="preserve">in some cases </w:t>
      </w:r>
      <w:r w:rsidR="00191452" w:rsidRPr="0018386D">
        <w:t>requirements</w:t>
      </w:r>
      <w:r w:rsidR="004C5FD3" w:rsidRPr="0018386D">
        <w:t>,</w:t>
      </w:r>
      <w:r w:rsidRPr="0018386D">
        <w:t xml:space="preserve"> f</w:t>
      </w:r>
      <w:r w:rsidR="00191452" w:rsidRPr="0018386D">
        <w:t>or</w:t>
      </w:r>
      <w:r w:rsidRPr="0018386D">
        <w:t xml:space="preserve"> organisations across New Zealand to measure, report and</w:t>
      </w:r>
      <w:r w:rsidR="00ED3F1A" w:rsidRPr="0018386D">
        <w:t xml:space="preserve"> </w:t>
      </w:r>
      <w:r w:rsidRPr="0018386D">
        <w:t xml:space="preserve">reduce their emissions. </w:t>
      </w:r>
      <w:r w:rsidR="00E135B6" w:rsidRPr="0018386D">
        <w:t>We prepared t</w:t>
      </w:r>
      <w:r w:rsidRPr="0018386D">
        <w:t xml:space="preserve">his guide to </w:t>
      </w:r>
      <w:r w:rsidR="003102AF" w:rsidRPr="0018386D">
        <w:t xml:space="preserve">help you measure and report your </w:t>
      </w:r>
      <w:r w:rsidR="00640C77" w:rsidRPr="0018386D">
        <w:t xml:space="preserve">organisation’s </w:t>
      </w:r>
      <w:r w:rsidRPr="0018386D">
        <w:t>greenhouse gas</w:t>
      </w:r>
      <w:r w:rsidR="005870E3" w:rsidRPr="0018386D">
        <w:t xml:space="preserve"> (GHG)</w:t>
      </w:r>
      <w:r w:rsidRPr="0018386D">
        <w:t xml:space="preserve"> emissions</w:t>
      </w:r>
      <w:r w:rsidR="00D45DD5" w:rsidRPr="0018386D">
        <w:t xml:space="preserve"> on a voluntary basis</w:t>
      </w:r>
      <w:r w:rsidR="005A2249" w:rsidRPr="0018386D">
        <w:t xml:space="preserve"> (see </w:t>
      </w:r>
      <w:hyperlink w:anchor="_Important_notes" w:history="1">
        <w:r w:rsidR="005A2249" w:rsidRPr="0018386D">
          <w:rPr>
            <w:rStyle w:val="Hyperlink"/>
          </w:rPr>
          <w:t>section 1.2</w:t>
        </w:r>
      </w:hyperlink>
      <w:r w:rsidR="005A2249" w:rsidRPr="0018386D">
        <w:t xml:space="preserve"> for important notes on this guide’s use)</w:t>
      </w:r>
      <w:r w:rsidR="005870E3" w:rsidRPr="0018386D">
        <w:t xml:space="preserve">. Measuring and reporting </w:t>
      </w:r>
      <w:r w:rsidR="004107B6" w:rsidRPr="0018386D">
        <w:t>empowers</w:t>
      </w:r>
      <w:r w:rsidR="005870E3" w:rsidRPr="0018386D">
        <w:t xml:space="preserve"> organisat</w:t>
      </w:r>
      <w:r w:rsidR="005870E3" w:rsidRPr="0018386D">
        <w:rPr>
          <w:rStyle w:val="BodyTextChar"/>
        </w:rPr>
        <w:t>i</w:t>
      </w:r>
      <w:r w:rsidR="005870E3" w:rsidRPr="0018386D">
        <w:t>ons</w:t>
      </w:r>
      <w:r w:rsidRPr="0018386D">
        <w:t xml:space="preserve"> </w:t>
      </w:r>
      <w:r w:rsidR="005870E3" w:rsidRPr="0018386D">
        <w:t>to</w:t>
      </w:r>
      <w:r w:rsidRPr="0018386D">
        <w:t xml:space="preserve"> manage and reduce emissions</w:t>
      </w:r>
      <w:r w:rsidR="003102AF" w:rsidRPr="0018386D">
        <w:t xml:space="preserve"> </w:t>
      </w:r>
      <w:r w:rsidR="00002C36" w:rsidRPr="0018386D">
        <w:t>in line</w:t>
      </w:r>
      <w:r w:rsidR="001039DC" w:rsidRPr="0018386D">
        <w:t xml:space="preserve"> with </w:t>
      </w:r>
      <w:r w:rsidR="00002C36" w:rsidRPr="0018386D">
        <w:t>the</w:t>
      </w:r>
      <w:r w:rsidR="001039DC" w:rsidRPr="0018386D">
        <w:t xml:space="preserve"> transition to a low-emissions</w:t>
      </w:r>
      <w:r w:rsidR="00002C36" w:rsidRPr="0018386D">
        <w:t>,</w:t>
      </w:r>
      <w:r w:rsidR="001039DC" w:rsidRPr="0018386D">
        <w:t xml:space="preserve"> climate</w:t>
      </w:r>
      <w:r w:rsidR="00002C36" w:rsidRPr="0018386D">
        <w:t>-</w:t>
      </w:r>
      <w:r w:rsidR="001039DC" w:rsidRPr="0018386D">
        <w:t>resilient future</w:t>
      </w:r>
      <w:r w:rsidRPr="0018386D">
        <w:t>.</w:t>
      </w:r>
    </w:p>
    <w:p w14:paraId="489BB164" w14:textId="39C26B01" w:rsidR="001464A6" w:rsidRPr="0018386D" w:rsidRDefault="56E9FF78" w:rsidP="00DD3106">
      <w:pPr>
        <w:pStyle w:val="BodyText"/>
        <w:spacing w:after="100"/>
        <w:rPr>
          <w:rFonts w:eastAsia="Calibri" w:cs="Calibri"/>
          <w:color w:val="000000" w:themeColor="text1"/>
        </w:rPr>
      </w:pPr>
      <w:r w:rsidRPr="0018386D">
        <w:t>The guide aligns with and endorses the</w:t>
      </w:r>
      <w:r w:rsidRPr="0018386D">
        <w:rPr>
          <w:rFonts w:eastAsia="Calibri" w:cs="Calibri"/>
          <w:color w:val="000000" w:themeColor="text1"/>
        </w:rPr>
        <w:t xml:space="preserve"> use of the</w:t>
      </w:r>
      <w:r w:rsidRPr="0018386D">
        <w:rPr>
          <w:rFonts w:eastAsia="Calibri" w:cs="Calibri"/>
          <w:i/>
          <w:iCs/>
          <w:color w:val="000000" w:themeColor="text1"/>
        </w:rPr>
        <w:t xml:space="preserve"> </w:t>
      </w:r>
      <w:hyperlink r:id="rId19" w:history="1">
        <w:r w:rsidRPr="0018386D">
          <w:rPr>
            <w:rStyle w:val="Hyperlink"/>
            <w:rFonts w:eastAsia="Calibri" w:cs="Calibri"/>
          </w:rPr>
          <w:t>GHG Protocol Corporate Accounting and Reporting Standard</w:t>
        </w:r>
      </w:hyperlink>
      <w:r w:rsidRPr="0018386D">
        <w:rPr>
          <w:rFonts w:eastAsia="Calibri" w:cs="Calibri"/>
          <w:color w:val="000000" w:themeColor="text1"/>
        </w:rPr>
        <w:t xml:space="preserve"> (referred to </w:t>
      </w:r>
      <w:r w:rsidR="00002C36" w:rsidRPr="0018386D">
        <w:rPr>
          <w:rFonts w:eastAsia="Calibri" w:cs="Calibri"/>
          <w:color w:val="000000" w:themeColor="text1"/>
        </w:rPr>
        <w:t xml:space="preserve">here </w:t>
      </w:r>
      <w:r w:rsidRPr="0018386D">
        <w:rPr>
          <w:rFonts w:eastAsia="Calibri" w:cs="Calibri"/>
          <w:color w:val="000000" w:themeColor="text1"/>
        </w:rPr>
        <w:t>as the GHG Protocol) and</w:t>
      </w:r>
      <w:r w:rsidR="00BC5EC3" w:rsidRPr="0018386D">
        <w:rPr>
          <w:rFonts w:eastAsia="Calibri" w:cs="Calibri"/>
          <w:color w:val="000000" w:themeColor="text1"/>
        </w:rPr>
        <w:t xml:space="preserve"> </w:t>
      </w:r>
      <w:hyperlink r:id="rId20" w:history="1">
        <w:r w:rsidRPr="0018386D">
          <w:rPr>
            <w:rStyle w:val="Hyperlink"/>
            <w:rFonts w:eastAsia="Calibri" w:cs="Calibri"/>
          </w:rPr>
          <w:t>ISO 14064-1:2018</w:t>
        </w:r>
      </w:hyperlink>
      <w:r w:rsidRPr="0018386D">
        <w:rPr>
          <w:rFonts w:eastAsia="Calibri" w:cs="Calibri"/>
          <w:i/>
          <w:iCs/>
          <w:color w:val="000000" w:themeColor="text1"/>
        </w:rPr>
        <w:t xml:space="preserve"> </w:t>
      </w:r>
      <w:r w:rsidRPr="0018386D">
        <w:rPr>
          <w:rFonts w:eastAsia="Calibri" w:cs="Calibri"/>
          <w:color w:val="000000" w:themeColor="text1"/>
        </w:rPr>
        <w:t xml:space="preserve">(see </w:t>
      </w:r>
      <w:hyperlink w:anchor="_Standards_to_follow_1" w:history="1">
        <w:r w:rsidR="00FB5F56" w:rsidRPr="0018386D">
          <w:rPr>
            <w:rStyle w:val="Hyperlink"/>
            <w:rFonts w:eastAsia="Calibri" w:cs="Calibri"/>
          </w:rPr>
          <w:t>section 1.5</w:t>
        </w:r>
      </w:hyperlink>
      <w:r w:rsidRPr="0018386D">
        <w:rPr>
          <w:rFonts w:eastAsia="Calibri" w:cs="Calibri"/>
          <w:color w:val="000000" w:themeColor="text1"/>
        </w:rPr>
        <w:t>). It provides information about preparing a GHG inventory (</w:t>
      </w:r>
      <w:hyperlink w:anchor="_How_to_quantify" w:history="1">
        <w:r w:rsidR="00FB5F56" w:rsidRPr="0018386D">
          <w:rPr>
            <w:rStyle w:val="Hyperlink"/>
            <w:rFonts w:eastAsia="Calibri" w:cs="Calibri"/>
          </w:rPr>
          <w:t>section 2</w:t>
        </w:r>
      </w:hyperlink>
      <w:r w:rsidRPr="0018386D">
        <w:rPr>
          <w:rFonts w:eastAsia="Calibri" w:cs="Calibri"/>
          <w:color w:val="000000" w:themeColor="text1"/>
        </w:rPr>
        <w:t xml:space="preserve">), emission factors (sections 3–10, and the </w:t>
      </w:r>
      <w:hyperlink r:id="rId21" w:history="1">
        <w:r w:rsidR="000A1D56" w:rsidRPr="0018386D">
          <w:rPr>
            <w:rStyle w:val="Hyperlink"/>
            <w:rFonts w:eastAsia="Calibri" w:cs="Calibri"/>
          </w:rPr>
          <w:t>Emission factors workbook</w:t>
        </w:r>
      </w:hyperlink>
      <w:r w:rsidR="000A1D56" w:rsidRPr="0018386D">
        <w:rPr>
          <w:rFonts w:eastAsia="Calibri" w:cs="Calibri"/>
          <w:color w:val="000000" w:themeColor="text1"/>
        </w:rPr>
        <w:t>)</w:t>
      </w:r>
      <w:r w:rsidRPr="0018386D">
        <w:rPr>
          <w:rFonts w:eastAsia="Calibri" w:cs="Calibri"/>
          <w:color w:val="000000" w:themeColor="text1"/>
        </w:rPr>
        <w:t xml:space="preserve"> and methods to apply them to activity data. We</w:t>
      </w:r>
      <w:r w:rsidR="00B52F89" w:rsidRPr="0018386D">
        <w:rPr>
          <w:rFonts w:eastAsia="Calibri" w:cs="Calibri"/>
          <w:color w:val="000000" w:themeColor="text1"/>
        </w:rPr>
        <w:t xml:space="preserve"> have</w:t>
      </w:r>
      <w:r w:rsidRPr="0018386D">
        <w:rPr>
          <w:rFonts w:eastAsia="Calibri" w:cs="Calibri"/>
          <w:color w:val="000000" w:themeColor="text1"/>
        </w:rPr>
        <w:t xml:space="preserve"> update</w:t>
      </w:r>
      <w:r w:rsidR="00B52F89" w:rsidRPr="0018386D">
        <w:rPr>
          <w:rFonts w:eastAsia="Calibri" w:cs="Calibri"/>
          <w:color w:val="000000" w:themeColor="text1"/>
        </w:rPr>
        <w:t>d</w:t>
      </w:r>
      <w:r w:rsidRPr="0018386D">
        <w:rPr>
          <w:rFonts w:eastAsia="Calibri" w:cs="Calibri"/>
          <w:color w:val="000000" w:themeColor="text1"/>
        </w:rPr>
        <w:t xml:space="preserve"> the guide in line with international best practice and </w:t>
      </w:r>
      <w:hyperlink r:id="rId22" w:history="1">
        <w:r w:rsidRPr="0018386D">
          <w:rPr>
            <w:rStyle w:val="Hyperlink"/>
            <w:i/>
          </w:rPr>
          <w:t>New Zealand’s Greenhouse Gas Inventory</w:t>
        </w:r>
        <w:r w:rsidR="00195954" w:rsidRPr="0018386D">
          <w:rPr>
            <w:rStyle w:val="Hyperlink"/>
            <w:rFonts w:eastAsia="Calibri" w:cs="Calibri"/>
            <w:i/>
            <w:iCs/>
          </w:rPr>
          <w:t xml:space="preserve"> 1990</w:t>
        </w:r>
        <w:r w:rsidR="003E743D" w:rsidRPr="0018386D">
          <w:rPr>
            <w:rStyle w:val="Hyperlink"/>
            <w:rFonts w:eastAsia="Calibri" w:cs="Calibri"/>
            <w:i/>
            <w:iCs/>
          </w:rPr>
          <w:t>–</w:t>
        </w:r>
        <w:r w:rsidR="00195954" w:rsidRPr="0018386D">
          <w:rPr>
            <w:rStyle w:val="Hyperlink"/>
            <w:rFonts w:eastAsia="Calibri" w:cs="Calibri"/>
            <w:i/>
            <w:iCs/>
          </w:rPr>
          <w:t>2021</w:t>
        </w:r>
      </w:hyperlink>
      <w:r w:rsidRPr="0018386D">
        <w:rPr>
          <w:rFonts w:eastAsia="Calibri" w:cs="Calibri"/>
          <w:color w:val="000000" w:themeColor="text1"/>
        </w:rPr>
        <w:t xml:space="preserve"> to provide new emission factors.</w:t>
      </w:r>
    </w:p>
    <w:p w14:paraId="020A0BA7" w14:textId="037EB912" w:rsidR="56E9FF78" w:rsidRPr="0018386D" w:rsidRDefault="56E9FF78" w:rsidP="00DD3106">
      <w:pPr>
        <w:pStyle w:val="BodyText"/>
        <w:spacing w:after="100"/>
      </w:pPr>
      <w:proofErr w:type="gramStart"/>
      <w:r w:rsidRPr="0018386D">
        <w:rPr>
          <w:rFonts w:eastAsia="Calibri" w:cs="Calibri"/>
          <w:color w:val="000000" w:themeColor="text1"/>
        </w:rPr>
        <w:t>The majority of</w:t>
      </w:r>
      <w:proofErr w:type="gramEnd"/>
      <w:r w:rsidRPr="0018386D">
        <w:rPr>
          <w:rFonts w:eastAsia="Calibri" w:cs="Calibri"/>
          <w:color w:val="000000" w:themeColor="text1"/>
        </w:rPr>
        <w:t xml:space="preserve"> the source data which was used in the development of these emission factors is from 202</w:t>
      </w:r>
      <w:r w:rsidR="00BC5AB8" w:rsidRPr="0018386D">
        <w:rPr>
          <w:rFonts w:eastAsia="Calibri" w:cs="Calibri"/>
          <w:color w:val="000000" w:themeColor="text1"/>
        </w:rPr>
        <w:t>1</w:t>
      </w:r>
      <w:r w:rsidR="00E158AA" w:rsidRPr="0018386D">
        <w:rPr>
          <w:rFonts w:eastAsia="Calibri" w:cs="Calibri"/>
          <w:color w:val="000000" w:themeColor="text1"/>
        </w:rPr>
        <w:t>, unless otherwise mentioned</w:t>
      </w:r>
      <w:r w:rsidRPr="0018386D">
        <w:rPr>
          <w:rFonts w:eastAsia="Calibri" w:cs="Calibri"/>
          <w:color w:val="000000" w:themeColor="text1"/>
        </w:rPr>
        <w:t xml:space="preserve">. This is done to align with </w:t>
      </w:r>
      <w:hyperlink r:id="rId23" w:history="1">
        <w:r w:rsidRPr="0018386D">
          <w:rPr>
            <w:rStyle w:val="Hyperlink"/>
            <w:rFonts w:eastAsia="Calibri" w:cs="Calibri"/>
            <w:i/>
            <w:iCs/>
          </w:rPr>
          <w:t>New Zealand’s Greenhouse Gas Inventory 1990</w:t>
        </w:r>
        <w:r w:rsidR="006145D3" w:rsidRPr="0018386D">
          <w:rPr>
            <w:rStyle w:val="Hyperlink"/>
            <w:rFonts w:eastAsia="Calibri" w:cs="Calibri"/>
            <w:i/>
            <w:iCs/>
          </w:rPr>
          <w:t>–</w:t>
        </w:r>
        <w:r w:rsidRPr="0018386D">
          <w:rPr>
            <w:rStyle w:val="Hyperlink"/>
            <w:rFonts w:eastAsia="Calibri" w:cs="Calibri"/>
            <w:i/>
            <w:iCs/>
          </w:rPr>
          <w:t>2021</w:t>
        </w:r>
      </w:hyperlink>
      <w:r w:rsidRPr="0018386D">
        <w:rPr>
          <w:rFonts w:eastAsia="Calibri" w:cs="Calibri"/>
          <w:color w:val="000000" w:themeColor="text1"/>
        </w:rPr>
        <w:t>. This contains data for the calendar years from 1990 to 202</w:t>
      </w:r>
      <w:r w:rsidR="00BC5AB8" w:rsidRPr="0018386D">
        <w:rPr>
          <w:rFonts w:eastAsia="Calibri" w:cs="Calibri"/>
          <w:color w:val="000000" w:themeColor="text1"/>
        </w:rPr>
        <w:t>1</w:t>
      </w:r>
      <w:r w:rsidRPr="0018386D">
        <w:rPr>
          <w:rFonts w:eastAsia="Calibri" w:cs="Calibri"/>
          <w:color w:val="000000" w:themeColor="text1"/>
        </w:rPr>
        <w:t xml:space="preserve"> (inclusive). </w:t>
      </w:r>
      <w:r w:rsidR="006145D3" w:rsidRPr="0018386D">
        <w:rPr>
          <w:rFonts w:eastAsia="Calibri" w:cs="Calibri"/>
          <w:color w:val="000000" w:themeColor="text1"/>
        </w:rPr>
        <w:t>The i</w:t>
      </w:r>
      <w:r w:rsidRPr="0018386D">
        <w:rPr>
          <w:rFonts w:eastAsia="Calibri" w:cs="Calibri"/>
          <w:color w:val="000000" w:themeColor="text1"/>
        </w:rPr>
        <w:t>nventory is published 15 months after the end of the period being reported on</w:t>
      </w:r>
      <w:r w:rsidR="003D2324" w:rsidRPr="0018386D">
        <w:rPr>
          <w:rFonts w:eastAsia="Calibri" w:cs="Calibri"/>
          <w:color w:val="000000" w:themeColor="text1"/>
        </w:rPr>
        <w:t>,</w:t>
      </w:r>
      <w:r w:rsidRPr="0018386D">
        <w:rPr>
          <w:rFonts w:eastAsia="Calibri" w:cs="Calibri"/>
          <w:color w:val="000000" w:themeColor="text1"/>
        </w:rPr>
        <w:t xml:space="preserve"> </w:t>
      </w:r>
      <w:r w:rsidR="005C0C81" w:rsidRPr="0018386D">
        <w:rPr>
          <w:rFonts w:eastAsia="Calibri" w:cs="Calibri"/>
          <w:color w:val="000000" w:themeColor="text1"/>
        </w:rPr>
        <w:t xml:space="preserve">following </w:t>
      </w:r>
      <w:r w:rsidR="00A51AFD" w:rsidRPr="0018386D">
        <w:rPr>
          <w:rFonts w:eastAsia="Calibri" w:cs="Calibri"/>
          <w:color w:val="000000" w:themeColor="text1"/>
        </w:rPr>
        <w:t xml:space="preserve">the </w:t>
      </w:r>
      <w:r w:rsidR="009C2697" w:rsidRPr="0018386D">
        <w:t>United Nations Framework Convention on Climate Change</w:t>
      </w:r>
      <w:r w:rsidR="009C2697" w:rsidRPr="0018386D" w:rsidDel="0066481B">
        <w:t xml:space="preserve"> </w:t>
      </w:r>
      <w:r w:rsidR="009C2697" w:rsidRPr="0018386D">
        <w:t>(</w:t>
      </w:r>
      <w:r w:rsidR="009C2697" w:rsidRPr="0018386D">
        <w:rPr>
          <w:rFonts w:eastAsia="Calibri" w:cs="Calibri"/>
          <w:color w:val="000000" w:themeColor="text1"/>
        </w:rPr>
        <w:t>UNFCCC) reporting</w:t>
      </w:r>
      <w:r w:rsidR="00320596" w:rsidRPr="0018386D">
        <w:rPr>
          <w:rFonts w:eastAsia="Calibri" w:cs="Calibri"/>
          <w:color w:val="000000" w:themeColor="text1"/>
        </w:rPr>
        <w:t xml:space="preserve"> guidelines</w:t>
      </w:r>
      <w:r w:rsidR="009C2697" w:rsidRPr="0018386D">
        <w:rPr>
          <w:rFonts w:eastAsia="Calibri" w:cs="Calibri"/>
          <w:color w:val="000000" w:themeColor="text1"/>
        </w:rPr>
        <w:t xml:space="preserve"> </w:t>
      </w:r>
      <w:r w:rsidR="00327A86" w:rsidRPr="0018386D">
        <w:t>on annual inventories for Parties included in Annex I to the Convention</w:t>
      </w:r>
      <w:r w:rsidR="008C1001" w:rsidRPr="0018386D">
        <w:rPr>
          <w:rFonts w:eastAsia="Calibri" w:cs="Calibri"/>
          <w:color w:val="000000" w:themeColor="text1"/>
        </w:rPr>
        <w:t xml:space="preserve">. This </w:t>
      </w:r>
      <w:r w:rsidRPr="0018386D">
        <w:rPr>
          <w:rFonts w:eastAsia="Calibri" w:cs="Calibri"/>
          <w:color w:val="000000" w:themeColor="text1"/>
        </w:rPr>
        <w:t>allow</w:t>
      </w:r>
      <w:r w:rsidR="008C1001" w:rsidRPr="0018386D">
        <w:rPr>
          <w:rFonts w:eastAsia="Calibri" w:cs="Calibri"/>
          <w:color w:val="000000" w:themeColor="text1"/>
        </w:rPr>
        <w:t>s</w:t>
      </w:r>
      <w:r w:rsidRPr="0018386D">
        <w:rPr>
          <w:rFonts w:eastAsia="Calibri" w:cs="Calibri"/>
          <w:color w:val="000000" w:themeColor="text1"/>
        </w:rPr>
        <w:t xml:space="preserve"> time to collect and process the data and prepare its publication.</w:t>
      </w:r>
      <w:r w:rsidR="004C3308" w:rsidRPr="0018386D">
        <w:rPr>
          <w:rFonts w:eastAsia="Calibri" w:cs="Calibri"/>
          <w:color w:val="000000" w:themeColor="text1"/>
        </w:rPr>
        <w:t xml:space="preserve"> </w:t>
      </w:r>
    </w:p>
    <w:p w14:paraId="4AE7F1E2" w14:textId="546DE494" w:rsidR="00F10774" w:rsidRPr="0018386D" w:rsidRDefault="00B17ABF" w:rsidP="00DD3106">
      <w:pPr>
        <w:pStyle w:val="BodyText"/>
        <w:spacing w:after="100"/>
        <w:rPr>
          <w:rFonts w:asciiTheme="minorHAnsi" w:hAnsiTheme="minorHAnsi"/>
        </w:rPr>
      </w:pPr>
      <w:r w:rsidRPr="0018386D">
        <w:t xml:space="preserve">This </w:t>
      </w:r>
      <w:r w:rsidR="006A2B36" w:rsidRPr="0018386D">
        <w:t>d</w:t>
      </w:r>
      <w:r w:rsidRPr="0018386D">
        <w:t xml:space="preserve">etailed </w:t>
      </w:r>
      <w:r w:rsidR="006A2B36" w:rsidRPr="0018386D">
        <w:t>g</w:t>
      </w:r>
      <w:r w:rsidRPr="0018386D">
        <w:t xml:space="preserve">uide is part of a suite of documents that comprise </w:t>
      </w:r>
      <w:r w:rsidR="00CC3634" w:rsidRPr="0018386D">
        <w:rPr>
          <w:i/>
        </w:rPr>
        <w:t xml:space="preserve">Measuring </w:t>
      </w:r>
      <w:r w:rsidR="003B5906" w:rsidRPr="0018386D">
        <w:rPr>
          <w:i/>
        </w:rPr>
        <w:t>e</w:t>
      </w:r>
      <w:r w:rsidR="00CC3634" w:rsidRPr="0018386D">
        <w:rPr>
          <w:i/>
        </w:rPr>
        <w:t xml:space="preserve">missions: A </w:t>
      </w:r>
      <w:r w:rsidR="003B5906" w:rsidRPr="0018386D">
        <w:rPr>
          <w:i/>
        </w:rPr>
        <w:t>g</w:t>
      </w:r>
      <w:r w:rsidR="00CC3634" w:rsidRPr="0018386D">
        <w:rPr>
          <w:i/>
        </w:rPr>
        <w:t xml:space="preserve">uide for </w:t>
      </w:r>
      <w:r w:rsidR="003B5906" w:rsidRPr="0018386D">
        <w:rPr>
          <w:i/>
        </w:rPr>
        <w:t>o</w:t>
      </w:r>
      <w:r w:rsidR="00CC3634" w:rsidRPr="0018386D">
        <w:rPr>
          <w:i/>
        </w:rPr>
        <w:t>rganisations</w:t>
      </w:r>
      <w:r w:rsidR="00CC3634" w:rsidRPr="0018386D">
        <w:t>,</w:t>
      </w:r>
      <w:r w:rsidR="00CC3634" w:rsidRPr="0018386D">
        <w:rPr>
          <w:b/>
        </w:rPr>
        <w:t xml:space="preserve"> </w:t>
      </w:r>
      <w:r w:rsidR="00615796" w:rsidRPr="0018386D">
        <w:t>listed</w:t>
      </w:r>
      <w:r w:rsidR="005052ED" w:rsidRPr="0018386D">
        <w:t xml:space="preserve"> in </w:t>
      </w:r>
      <w:r w:rsidR="0082360E" w:rsidRPr="0018386D">
        <w:t>figure 1</w:t>
      </w:r>
      <w:r w:rsidRPr="0018386D">
        <w:t xml:space="preserve">. The </w:t>
      </w:r>
      <w:r w:rsidR="006A2B36" w:rsidRPr="0018386D">
        <w:t>d</w:t>
      </w:r>
      <w:r w:rsidRPr="0018386D">
        <w:t xml:space="preserve">etailed </w:t>
      </w:r>
      <w:r w:rsidR="003B5906" w:rsidRPr="0018386D">
        <w:t>g</w:t>
      </w:r>
      <w:r w:rsidRPr="0018386D">
        <w:t xml:space="preserve">uide explains how </w:t>
      </w:r>
      <w:r w:rsidR="00E135B6" w:rsidRPr="0018386D">
        <w:t xml:space="preserve">we derived </w:t>
      </w:r>
      <w:r w:rsidRPr="0018386D">
        <w:t>these emission factors and sets out the assumptions surrounding their use.</w:t>
      </w:r>
      <w:r w:rsidR="005932C5" w:rsidRPr="0018386D">
        <w:t xml:space="preserve"> The emission factor information contained </w:t>
      </w:r>
      <w:r w:rsidR="005F7A4A" w:rsidRPr="0018386D">
        <w:t>in this guide</w:t>
      </w:r>
      <w:r w:rsidR="005932C5" w:rsidRPr="0018386D">
        <w:t xml:space="preserve"> is not intended to be an exhaustively detailed explanation of every calculation performed</w:t>
      </w:r>
      <w:r w:rsidR="006A59E4" w:rsidRPr="0018386D">
        <w:t>,</w:t>
      </w:r>
      <w:r w:rsidR="005932C5" w:rsidRPr="0018386D">
        <w:t xml:space="preserve"> as this is not practical.</w:t>
      </w:r>
    </w:p>
    <w:p w14:paraId="04812E04" w14:textId="1B99E0FE" w:rsidR="00B756AD" w:rsidRPr="0018386D" w:rsidRDefault="00B756AD" w:rsidP="00DD3106">
      <w:pPr>
        <w:pStyle w:val="Figureheading"/>
        <w:spacing w:after="0"/>
      </w:pPr>
      <w:bookmarkStart w:id="21" w:name="_Ref55217060"/>
      <w:bookmarkStart w:id="22" w:name="_Toc111536714"/>
      <w:bookmarkStart w:id="23" w:name="_Toc140032932"/>
      <w:r w:rsidRPr="0018386D">
        <w:lastRenderedPageBreak/>
        <w:t xml:space="preserve">Figure </w:t>
      </w:r>
      <w:r w:rsidRPr="0018386D">
        <w:fldChar w:fldCharType="begin"/>
      </w:r>
      <w:r w:rsidRPr="0018386D">
        <w:instrText>SEQ Figure \* ARABIC</w:instrText>
      </w:r>
      <w:r w:rsidRPr="0018386D">
        <w:fldChar w:fldCharType="separate"/>
      </w:r>
      <w:r w:rsidR="003E141C" w:rsidRPr="0018386D">
        <w:t>1</w:t>
      </w:r>
      <w:r w:rsidRPr="0018386D">
        <w:fldChar w:fldCharType="end"/>
      </w:r>
      <w:bookmarkEnd w:id="21"/>
      <w:r w:rsidRPr="0018386D">
        <w:t>:</w:t>
      </w:r>
      <w:r w:rsidRPr="0018386D">
        <w:tab/>
        <w:t xml:space="preserve">Documents in </w:t>
      </w:r>
      <w:r w:rsidR="00AC21DF" w:rsidRPr="0018386D">
        <w:rPr>
          <w:i/>
          <w:iCs/>
        </w:rPr>
        <w:t>M</w:t>
      </w:r>
      <w:r w:rsidRPr="0018386D">
        <w:rPr>
          <w:i/>
          <w:iCs/>
        </w:rPr>
        <w:t xml:space="preserve">easuring </w:t>
      </w:r>
      <w:r w:rsidR="003B5906" w:rsidRPr="0018386D">
        <w:rPr>
          <w:i/>
          <w:iCs/>
        </w:rPr>
        <w:t>e</w:t>
      </w:r>
      <w:r w:rsidRPr="0018386D">
        <w:rPr>
          <w:i/>
          <w:iCs/>
        </w:rPr>
        <w:t xml:space="preserve">missions: A </w:t>
      </w:r>
      <w:r w:rsidR="003B5906" w:rsidRPr="0018386D">
        <w:rPr>
          <w:i/>
          <w:iCs/>
        </w:rPr>
        <w:t>g</w:t>
      </w:r>
      <w:r w:rsidRPr="0018386D">
        <w:rPr>
          <w:i/>
          <w:iCs/>
        </w:rPr>
        <w:t xml:space="preserve">uide for </w:t>
      </w:r>
      <w:r w:rsidR="003B5906" w:rsidRPr="0018386D">
        <w:rPr>
          <w:i/>
          <w:iCs/>
        </w:rPr>
        <w:t>o</w:t>
      </w:r>
      <w:r w:rsidRPr="0018386D">
        <w:rPr>
          <w:i/>
          <w:iCs/>
        </w:rPr>
        <w:t>rganisations</w:t>
      </w:r>
      <w:bookmarkEnd w:id="22"/>
      <w:bookmarkEnd w:id="23"/>
    </w:p>
    <w:p w14:paraId="30E94451" w14:textId="6607BA94" w:rsidR="00084998" w:rsidRPr="0018386D" w:rsidRDefault="00606F88" w:rsidP="00DD3106">
      <w:pPr>
        <w:pStyle w:val="BodyText"/>
      </w:pPr>
      <w:r w:rsidRPr="0018386D">
        <w:rPr>
          <w:noProof/>
        </w:rPr>
        <w:drawing>
          <wp:inline distT="0" distB="0" distL="0" distR="0" wp14:anchorId="19DD6781" wp14:editId="6335EE98">
            <wp:extent cx="5581650" cy="3228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586525" cy="3231451"/>
                    </a:xfrm>
                    <a:prstGeom prst="rect">
                      <a:avLst/>
                    </a:prstGeom>
                    <a:ln>
                      <a:noFill/>
                    </a:ln>
                    <a:extLst>
                      <a:ext uri="{53640926-AAD7-44D8-BBD7-CCE9431645EC}">
                        <a14:shadowObscured xmlns:a14="http://schemas.microsoft.com/office/drawing/2010/main"/>
                      </a:ext>
                    </a:extLst>
                  </pic:spPr>
                </pic:pic>
              </a:graphicData>
            </a:graphic>
          </wp:inline>
        </w:drawing>
      </w:r>
    </w:p>
    <w:p w14:paraId="2DF0BAA0" w14:textId="02A1D43C" w:rsidR="00CC3634" w:rsidRPr="0018386D" w:rsidRDefault="005A3901" w:rsidP="00DD3106">
      <w:pPr>
        <w:pStyle w:val="Heading3"/>
        <w:numPr>
          <w:ilvl w:val="2"/>
          <w:numId w:val="8"/>
        </w:numPr>
        <w:tabs>
          <w:tab w:val="left" w:pos="851"/>
        </w:tabs>
        <w:spacing w:before="400"/>
        <w:ind w:left="709" w:hanging="709"/>
      </w:pPr>
      <w:r w:rsidRPr="0018386D">
        <w:tab/>
        <w:t>Feedback</w:t>
      </w:r>
    </w:p>
    <w:p w14:paraId="74266964" w14:textId="4EAFE5B7" w:rsidR="00B17ABF" w:rsidRPr="0018386D" w:rsidRDefault="00B17ABF" w:rsidP="00DD3106">
      <w:pPr>
        <w:pStyle w:val="BodyText"/>
        <w:rPr>
          <w:rFonts w:eastAsia="Times New Roman"/>
        </w:rPr>
      </w:pPr>
      <w:r w:rsidRPr="0018386D">
        <w:rPr>
          <w:rFonts w:eastAsia="Times New Roman"/>
        </w:rPr>
        <w:t>We welcome your feedback on this update</w:t>
      </w:r>
      <w:r w:rsidR="00CC3634" w:rsidRPr="0018386D">
        <w:rPr>
          <w:rFonts w:eastAsia="Times New Roman"/>
        </w:rPr>
        <w:t>. P</w:t>
      </w:r>
      <w:r w:rsidRPr="0018386D">
        <w:rPr>
          <w:rFonts w:eastAsia="Times New Roman"/>
        </w:rPr>
        <w:t xml:space="preserve">lease email </w:t>
      </w:r>
      <w:hyperlink r:id="rId25" w:history="1">
        <w:r w:rsidR="00F225C7" w:rsidRPr="0018386D">
          <w:rPr>
            <w:rStyle w:val="Hyperlink"/>
            <w:rFonts w:eastAsia="Times New Roman"/>
          </w:rPr>
          <w:t>emissions-guide@mfe.govt.nz</w:t>
        </w:r>
      </w:hyperlink>
    </w:p>
    <w:p w14:paraId="5D9095DD" w14:textId="0162B8CA" w:rsidR="00B17ABF" w:rsidRPr="0018386D" w:rsidRDefault="00B17ABF" w:rsidP="00DD3106">
      <w:pPr>
        <w:pStyle w:val="Heading2"/>
        <w:numPr>
          <w:ilvl w:val="1"/>
          <w:numId w:val="8"/>
        </w:numPr>
      </w:pPr>
      <w:bookmarkStart w:id="24" w:name="_Important_notes"/>
      <w:bookmarkStart w:id="25" w:name="_Toc532904841"/>
      <w:bookmarkStart w:id="26" w:name="_Toc600557"/>
      <w:bookmarkStart w:id="27" w:name="_Toc140048880"/>
      <w:bookmarkEnd w:id="24"/>
      <w:r w:rsidRPr="0018386D">
        <w:t>Important notes</w:t>
      </w:r>
      <w:bookmarkEnd w:id="25"/>
      <w:bookmarkEnd w:id="26"/>
      <w:bookmarkEnd w:id="27"/>
    </w:p>
    <w:p w14:paraId="298DBF9F" w14:textId="604F79A4" w:rsidR="00B17ABF" w:rsidRPr="0018386D" w:rsidRDefault="005E756A" w:rsidP="00DD3106">
      <w:pPr>
        <w:pStyle w:val="BodyText"/>
      </w:pPr>
      <w:r w:rsidRPr="0018386D">
        <w:t xml:space="preserve">The information in this guide is intended to help organisations that want to report their </w:t>
      </w:r>
      <w:r w:rsidR="00B905F9" w:rsidRPr="0018386D">
        <w:t>GHG</w:t>
      </w:r>
      <w:r w:rsidRPr="0018386D">
        <w:t xml:space="preserve"> emissions on a voluntary basis.</w:t>
      </w:r>
      <w:r w:rsidR="00C33E5B" w:rsidRPr="0018386D">
        <w:t xml:space="preserve"> </w:t>
      </w:r>
      <w:r w:rsidR="13DE81D4" w:rsidRPr="0018386D">
        <w:t xml:space="preserve">This </w:t>
      </w:r>
      <w:r w:rsidR="2D7E42FF" w:rsidRPr="0018386D">
        <w:t>guidance</w:t>
      </w:r>
      <w:r w:rsidR="13DE81D4" w:rsidRPr="0018386D">
        <w:t xml:space="preserve"> does not replace the reporting requirements for:</w:t>
      </w:r>
    </w:p>
    <w:p w14:paraId="34DD93B2" w14:textId="162DE06D" w:rsidR="00B17ABF" w:rsidRPr="0018386D" w:rsidRDefault="13DE81D4" w:rsidP="00DD3106">
      <w:pPr>
        <w:pStyle w:val="Bullet"/>
      </w:pPr>
      <w:r w:rsidRPr="0018386D">
        <w:t>Climate-related disclosure statements; or</w:t>
      </w:r>
    </w:p>
    <w:p w14:paraId="4795FCE2" w14:textId="0B107F0C" w:rsidR="00B17ABF" w:rsidRPr="0018386D" w:rsidRDefault="13DE81D4" w:rsidP="00DD3106">
      <w:pPr>
        <w:pStyle w:val="Bullet"/>
      </w:pPr>
      <w:r w:rsidRPr="0018386D">
        <w:t>Carbon Neutral Government Programme reporting</w:t>
      </w:r>
      <w:r w:rsidR="00F979D6" w:rsidRPr="0018386D">
        <w:t>.</w:t>
      </w:r>
    </w:p>
    <w:p w14:paraId="554538B8" w14:textId="067056C8" w:rsidR="00B17ABF" w:rsidRPr="0018386D" w:rsidRDefault="2697B82D" w:rsidP="00DD3106">
      <w:pPr>
        <w:pStyle w:val="BodyText"/>
      </w:pPr>
      <w:r w:rsidRPr="0018386D">
        <w:t>However, it may</w:t>
      </w:r>
      <w:r w:rsidR="00C33E5B" w:rsidRPr="0018386D">
        <w:t xml:space="preserve"> be used as a source of emission factors in climate-related disclosures, </w:t>
      </w:r>
      <w:r w:rsidR="0B86139F" w:rsidRPr="0018386D">
        <w:t>and Carbon Neutral Government Programme (CNGP) reporting,</w:t>
      </w:r>
      <w:r w:rsidR="00C33E5B" w:rsidRPr="0018386D">
        <w:t xml:space="preserve"> but this is not </w:t>
      </w:r>
      <w:r w:rsidR="00325D63" w:rsidRPr="0018386D">
        <w:t>this guidance’s</w:t>
      </w:r>
      <w:r w:rsidR="00C33E5B" w:rsidRPr="0018386D">
        <w:t xml:space="preserve"> main purpose</w:t>
      </w:r>
      <w:r w:rsidR="00E45BE9" w:rsidRPr="0018386D">
        <w:t xml:space="preserve">. </w:t>
      </w:r>
      <w:r w:rsidR="2DEAD71D" w:rsidRPr="0018386D">
        <w:t>Guidance on how to report climate-related disclosures is found in the Aotearoa New Zealand Climate Standards</w:t>
      </w:r>
      <w:r w:rsidR="0086361C" w:rsidRPr="0018386D">
        <w:t>.</w:t>
      </w:r>
      <w:r w:rsidR="2DEAD71D" w:rsidRPr="0018386D">
        <w:t xml:space="preserve"> </w:t>
      </w:r>
      <w:r w:rsidR="0086361C" w:rsidRPr="0018386D">
        <w:t>F</w:t>
      </w:r>
      <w:r w:rsidR="2DEAD71D" w:rsidRPr="0018386D">
        <w:t xml:space="preserve">or CNGP reporting </w:t>
      </w:r>
      <w:r w:rsidR="00DC7490" w:rsidRPr="0018386D">
        <w:t>guidance</w:t>
      </w:r>
      <w:r w:rsidR="2DEAD71D" w:rsidRPr="0018386D">
        <w:t xml:space="preserve"> can be found in the Carbon Neutral Government Programme: A guide to managing your greenhouse gas emissions – measuring, reporting, target-</w:t>
      </w:r>
      <w:proofErr w:type="gramStart"/>
      <w:r w:rsidR="2DEAD71D" w:rsidRPr="0018386D">
        <w:t>setting</w:t>
      </w:r>
      <w:proofErr w:type="gramEnd"/>
      <w:r w:rsidR="2DEAD71D" w:rsidRPr="0018386D">
        <w:t xml:space="preserve"> and reduction planning.  </w:t>
      </w:r>
    </w:p>
    <w:p w14:paraId="0ED22DF5" w14:textId="488F2FF8" w:rsidR="00B17ABF" w:rsidRPr="0018386D" w:rsidRDefault="001E08B5" w:rsidP="00DD3106">
      <w:pPr>
        <w:pStyle w:val="BodyText"/>
      </w:pPr>
      <w:r w:rsidRPr="0018386D">
        <w:t>The emission factors and methods in this guide are for sources common to many New Zealand organisations</w:t>
      </w:r>
      <w:r w:rsidR="00E72600" w:rsidRPr="0018386D">
        <w:t xml:space="preserve"> and</w:t>
      </w:r>
      <w:r w:rsidRPr="0018386D">
        <w:t xml:space="preserve"> support the recommended disclosure of GHG emissions consistent with the </w:t>
      </w:r>
      <w:r w:rsidRPr="0018386D">
        <w:rPr>
          <w:rFonts w:asciiTheme="minorHAnsi" w:eastAsia="Calibri" w:hAnsiTheme="minorHAnsi"/>
        </w:rPr>
        <w:t>Aotearoa New Zealand Climate Standards (NZCS)</w:t>
      </w:r>
      <w:r w:rsidRPr="0018386D" w:rsidDel="00A3765C">
        <w:t xml:space="preserve"> </w:t>
      </w:r>
      <w:r w:rsidRPr="0018386D">
        <w:t xml:space="preserve">and the Carbon Neutral Government Programme (CNGP). </w:t>
      </w:r>
      <w:r w:rsidR="005E756A" w:rsidRPr="0018386D">
        <w:t xml:space="preserve"> </w:t>
      </w:r>
      <w:r w:rsidR="3E420FF3" w:rsidRPr="0018386D">
        <w:t xml:space="preserve"> </w:t>
      </w:r>
    </w:p>
    <w:p w14:paraId="15256755" w14:textId="6AD942F5" w:rsidR="001C5567" w:rsidRPr="0018386D" w:rsidRDefault="001C5567" w:rsidP="00DD3106">
      <w:pPr>
        <w:pStyle w:val="BodyText"/>
      </w:pPr>
      <w:r w:rsidRPr="0018386D">
        <w:t xml:space="preserve">This guide recognises and supports the Government’s ambition </w:t>
      </w:r>
      <w:r w:rsidR="009014C5" w:rsidRPr="0018386D">
        <w:t>for its</w:t>
      </w:r>
      <w:r w:rsidRPr="0018386D">
        <w:t xml:space="preserve"> </w:t>
      </w:r>
      <w:r w:rsidR="00B8490F" w:rsidRPr="0018386D">
        <w:t xml:space="preserve">target of </w:t>
      </w:r>
      <w:r w:rsidRPr="0018386D">
        <w:t>Net</w:t>
      </w:r>
      <w:r w:rsidR="00AF3001" w:rsidRPr="0018386D">
        <w:t xml:space="preserve"> </w:t>
      </w:r>
      <w:r w:rsidRPr="0018386D">
        <w:t xml:space="preserve">Zero by 2050, and the many organisations that have already set, or are looking to set, ambitious emission reduction targets aligned with a science-based approach. </w:t>
      </w:r>
      <w:r w:rsidR="16C74F7F" w:rsidRPr="0018386D">
        <w:rPr>
          <w:rFonts w:eastAsia="Calibri" w:cs="Calibri"/>
        </w:rPr>
        <w:t xml:space="preserve">The </w:t>
      </w:r>
      <w:hyperlink r:id="rId26" w:history="1">
        <w:r w:rsidR="16C74F7F" w:rsidRPr="0018386D">
          <w:rPr>
            <w:rStyle w:val="Hyperlink"/>
            <w:rFonts w:eastAsia="Calibri" w:cs="Calibri"/>
          </w:rPr>
          <w:t>Aotearoa New Zealand Climate Standards</w:t>
        </w:r>
      </w:hyperlink>
      <w:r w:rsidR="16C74F7F" w:rsidRPr="0018386D">
        <w:rPr>
          <w:rFonts w:eastAsia="Calibri" w:cs="Calibri"/>
        </w:rPr>
        <w:t xml:space="preserve"> developed by the </w:t>
      </w:r>
      <w:r w:rsidR="009D5B5C" w:rsidRPr="0018386D">
        <w:rPr>
          <w:rFonts w:eastAsia="Calibri" w:cs="Calibri"/>
        </w:rPr>
        <w:t>External Reporting Board (</w:t>
      </w:r>
      <w:r w:rsidR="16C74F7F" w:rsidRPr="0018386D">
        <w:rPr>
          <w:rFonts w:eastAsia="Calibri" w:cs="Calibri"/>
        </w:rPr>
        <w:t>XRB</w:t>
      </w:r>
      <w:r w:rsidR="009D5B5C" w:rsidRPr="0018386D">
        <w:rPr>
          <w:rFonts w:eastAsia="Calibri" w:cs="Calibri"/>
        </w:rPr>
        <w:t>)</w:t>
      </w:r>
      <w:r w:rsidR="16C74F7F" w:rsidRPr="0018386D">
        <w:rPr>
          <w:rFonts w:eastAsia="Calibri" w:cs="Calibri"/>
        </w:rPr>
        <w:t xml:space="preserve"> contain disclosure requirements for GHG emissions and targets.</w:t>
      </w:r>
      <w:r w:rsidR="16C74F7F" w:rsidRPr="0018386D">
        <w:t xml:space="preserve"> </w:t>
      </w:r>
    </w:p>
    <w:p w14:paraId="21760AA6" w14:textId="2BEA9064" w:rsidR="00C17B04" w:rsidRPr="0018386D" w:rsidRDefault="29DC4360" w:rsidP="00DD3106">
      <w:pPr>
        <w:pStyle w:val="BodyText"/>
        <w:spacing w:after="240"/>
      </w:pPr>
      <w:r w:rsidRPr="0018386D">
        <w:lastRenderedPageBreak/>
        <w:t>Th</w:t>
      </w:r>
      <w:r w:rsidR="5F4F1A4E" w:rsidRPr="0018386D">
        <w:t>e</w:t>
      </w:r>
      <w:r w:rsidR="00C17B04" w:rsidRPr="0018386D">
        <w:t xml:space="preserve"> </w:t>
      </w:r>
      <w:r w:rsidR="00C17B04" w:rsidRPr="0018386D">
        <w:rPr>
          <w:rFonts w:eastAsia="Times New Roman"/>
          <w:spacing w:val="-2"/>
        </w:rPr>
        <w:t>information</w:t>
      </w:r>
      <w:r w:rsidRPr="0018386D">
        <w:rPr>
          <w:rFonts w:eastAsia="Times New Roman"/>
        </w:rPr>
        <w:t xml:space="preserve"> </w:t>
      </w:r>
      <w:r w:rsidR="6ED74A22" w:rsidRPr="0018386D">
        <w:rPr>
          <w:rFonts w:eastAsia="Times New Roman"/>
        </w:rPr>
        <w:t>in this guide</w:t>
      </w:r>
      <w:r w:rsidR="00C17B04" w:rsidRPr="0018386D">
        <w:rPr>
          <w:rFonts w:eastAsia="Times New Roman"/>
          <w:spacing w:val="-2"/>
        </w:rPr>
        <w:t xml:space="preserve"> is not appropriate for use in an emissions trading scheme. Organisations required to participate in the New Zealand Emissions Trading Scheme (NZ ETS) need to comply with the scheme-specific reporting requirements. The NZ ETS regulations determine which emission factors and methods must be used to calculate and report emissions. </w:t>
      </w:r>
      <w:r w:rsidR="24018E4F" w:rsidRPr="0018386D">
        <w:t>Furthermore, this guide is not intended to be an exhaustively detailed explanation of all practicalities of reporting.</w:t>
      </w:r>
    </w:p>
    <w:tbl>
      <w:tblPr>
        <w:tblStyle w:val="TableGrid"/>
        <w:tblW w:w="8604"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604"/>
      </w:tblGrid>
      <w:tr w:rsidR="00A30347" w:rsidRPr="0018386D" w14:paraId="437B1B35" w14:textId="77777777" w:rsidTr="00B92612">
        <w:trPr>
          <w:trHeight w:val="840"/>
        </w:trPr>
        <w:tc>
          <w:tcPr>
            <w:tcW w:w="0" w:type="auto"/>
            <w:shd w:val="clear" w:color="auto" w:fill="D2DDE1" w:themeFill="background2"/>
          </w:tcPr>
          <w:p w14:paraId="70E7717F" w14:textId="77777777" w:rsidR="004532D7" w:rsidRPr="0018386D" w:rsidRDefault="004532D7" w:rsidP="00DD3106">
            <w:pPr>
              <w:pStyle w:val="Boxheading"/>
            </w:pPr>
            <w:r w:rsidRPr="0018386D">
              <w:t>Climate-related disclosures</w:t>
            </w:r>
          </w:p>
          <w:p w14:paraId="52AA9320" w14:textId="34001F24" w:rsidR="00B8490F" w:rsidRPr="0018386D" w:rsidRDefault="00B8490F" w:rsidP="00DD3106">
            <w:pPr>
              <w:pStyle w:val="Boxtext"/>
              <w:spacing w:after="80"/>
            </w:pPr>
            <w:r w:rsidRPr="0018386D">
              <w:t xml:space="preserve">New Zealand’s </w:t>
            </w:r>
            <w:r w:rsidR="004532D7" w:rsidRPr="0018386D">
              <w:t xml:space="preserve">climate-related disclosure framework is made up of three climate standards, referred to as Aotearoa New Zealand Climate Standards (NZCS). </w:t>
            </w:r>
          </w:p>
          <w:p w14:paraId="79F9FB43" w14:textId="33B2DF0B" w:rsidR="004532D7" w:rsidRPr="0018386D" w:rsidRDefault="004532D7" w:rsidP="00DD3106">
            <w:pPr>
              <w:pStyle w:val="Boxtext"/>
              <w:spacing w:after="80"/>
            </w:pPr>
            <w:r w:rsidRPr="0018386D">
              <w:t xml:space="preserve">The aim is to support the allocation of capital towards activities that are consistent with a transition to a </w:t>
            </w:r>
            <w:bookmarkStart w:id="28" w:name="_Int_r3wDVJLy"/>
            <w:r w:rsidRPr="0018386D">
              <w:t>low</w:t>
            </w:r>
            <w:r w:rsidR="00831AE8" w:rsidRPr="0018386D">
              <w:t>-</w:t>
            </w:r>
            <w:r w:rsidRPr="0018386D">
              <w:t>emissions</w:t>
            </w:r>
            <w:bookmarkEnd w:id="28"/>
            <w:r w:rsidRPr="0018386D">
              <w:t>, climate-resilient future. Climate-related disclosures are mandatory for over 200 entities in New Zealand, for reporting periods beginning on or after 1 January 2023</w:t>
            </w:r>
            <w:r w:rsidR="00B8490F" w:rsidRPr="0018386D">
              <w:t>. T</w:t>
            </w:r>
            <w:r w:rsidRPr="0018386D">
              <w:t xml:space="preserve">hey include disclosure requirements covering </w:t>
            </w:r>
            <w:r w:rsidR="00B8490F" w:rsidRPr="0018386D">
              <w:t>g</w:t>
            </w:r>
            <w:r w:rsidRPr="0018386D">
              <w:t xml:space="preserve">overnance, </w:t>
            </w:r>
            <w:r w:rsidR="00B8490F" w:rsidRPr="0018386D">
              <w:t>s</w:t>
            </w:r>
            <w:r w:rsidRPr="0018386D">
              <w:t xml:space="preserve">trategy, </w:t>
            </w:r>
            <w:r w:rsidR="00B8490F" w:rsidRPr="0018386D">
              <w:t>r</w:t>
            </w:r>
            <w:r w:rsidRPr="0018386D">
              <w:t xml:space="preserve">isk </w:t>
            </w:r>
            <w:r w:rsidR="00B8490F" w:rsidRPr="0018386D">
              <w:t>m</w:t>
            </w:r>
            <w:r w:rsidRPr="0018386D">
              <w:t xml:space="preserve">anagement, and </w:t>
            </w:r>
            <w:r w:rsidR="00B8490F" w:rsidRPr="0018386D">
              <w:t>m</w:t>
            </w:r>
            <w:r w:rsidRPr="0018386D">
              <w:t xml:space="preserve">etrics and </w:t>
            </w:r>
            <w:r w:rsidR="00B8490F" w:rsidRPr="0018386D">
              <w:t>t</w:t>
            </w:r>
            <w:r w:rsidRPr="0018386D">
              <w:t xml:space="preserve">argets. Metrics and </w:t>
            </w:r>
            <w:r w:rsidR="00B8490F" w:rsidRPr="0018386D">
              <w:t>t</w:t>
            </w:r>
            <w:r w:rsidRPr="0018386D">
              <w:t xml:space="preserve">argets </w:t>
            </w:r>
            <w:r w:rsidR="00B8490F" w:rsidRPr="0018386D">
              <w:t>have</w:t>
            </w:r>
            <w:r w:rsidRPr="0018386D">
              <w:t xml:space="preserve"> the requirement to disclose gross GHG emissions in metric tonnes of carbon dioxide equivalent (CO</w:t>
            </w:r>
            <w:r w:rsidRPr="0018386D">
              <w:rPr>
                <w:vertAlign w:val="subscript"/>
              </w:rPr>
              <w:t>2</w:t>
            </w:r>
            <w:r w:rsidRPr="0018386D">
              <w:t xml:space="preserve">-e) classified as: </w:t>
            </w:r>
          </w:p>
          <w:p w14:paraId="0629295D" w14:textId="72AF7AD6" w:rsidR="004532D7" w:rsidRPr="0018386D" w:rsidRDefault="004532D7" w:rsidP="00DD3106">
            <w:pPr>
              <w:pStyle w:val="Boxbullet"/>
              <w:spacing w:after="80"/>
            </w:pPr>
            <w:r w:rsidRPr="0018386D">
              <w:t>Scope 1</w:t>
            </w:r>
          </w:p>
          <w:p w14:paraId="7424772D" w14:textId="77777777" w:rsidR="004532D7" w:rsidRPr="0018386D" w:rsidRDefault="004532D7" w:rsidP="00DD3106">
            <w:pPr>
              <w:pStyle w:val="Boxbullet"/>
              <w:spacing w:after="80"/>
            </w:pPr>
            <w:r w:rsidRPr="0018386D">
              <w:t>Scope 2 (calculated using the location-based method)</w:t>
            </w:r>
          </w:p>
          <w:p w14:paraId="35FCE180" w14:textId="7FC3C717" w:rsidR="004532D7" w:rsidRPr="0018386D" w:rsidRDefault="004532D7" w:rsidP="00DD3106">
            <w:pPr>
              <w:pStyle w:val="Boxbullet"/>
              <w:spacing w:after="80"/>
            </w:pPr>
            <w:r w:rsidRPr="0018386D">
              <w:t xml:space="preserve">Scope 3 </w:t>
            </w:r>
          </w:p>
          <w:p w14:paraId="4163B18F" w14:textId="77777777" w:rsidR="004532D7" w:rsidRPr="0018386D" w:rsidRDefault="004532D7" w:rsidP="00DD3106">
            <w:pPr>
              <w:pStyle w:val="Boxtext"/>
              <w:spacing w:after="80"/>
            </w:pPr>
            <w:r w:rsidRPr="0018386D">
              <w:t xml:space="preserve">The following information must also be disclosed in relation to the reporting entity’s GHG emissions: </w:t>
            </w:r>
          </w:p>
          <w:p w14:paraId="289F8E6C" w14:textId="77777777" w:rsidR="004532D7" w:rsidRPr="0018386D" w:rsidRDefault="004532D7" w:rsidP="00DD3106">
            <w:pPr>
              <w:pStyle w:val="Boxbullet"/>
              <w:spacing w:after="80"/>
            </w:pPr>
            <w:r w:rsidRPr="0018386D">
              <w:t xml:space="preserve">a statement describing the standard or standards that GHG emissions have been measured in accordance </w:t>
            </w:r>
            <w:proofErr w:type="gramStart"/>
            <w:r w:rsidRPr="0018386D">
              <w:t>with;</w:t>
            </w:r>
            <w:proofErr w:type="gramEnd"/>
            <w:r w:rsidRPr="0018386D">
              <w:t xml:space="preserve"> </w:t>
            </w:r>
          </w:p>
          <w:p w14:paraId="0C27860D" w14:textId="77777777" w:rsidR="004532D7" w:rsidRPr="0018386D" w:rsidRDefault="004532D7" w:rsidP="00DD3106">
            <w:pPr>
              <w:pStyle w:val="Boxbullet"/>
              <w:spacing w:after="80"/>
            </w:pPr>
            <w:r w:rsidRPr="0018386D">
              <w:t xml:space="preserve">the GHG emissions consolidation approach used: equity share, financial control, or operational </w:t>
            </w:r>
            <w:proofErr w:type="gramStart"/>
            <w:r w:rsidRPr="0018386D">
              <w:t>control;</w:t>
            </w:r>
            <w:proofErr w:type="gramEnd"/>
          </w:p>
          <w:p w14:paraId="634E58C4" w14:textId="360E58A9" w:rsidR="004532D7" w:rsidRPr="0018386D" w:rsidRDefault="004532D7" w:rsidP="00DD3106">
            <w:pPr>
              <w:pStyle w:val="Boxbullet"/>
              <w:spacing w:after="80"/>
            </w:pPr>
            <w:r w:rsidRPr="0018386D">
              <w:t xml:space="preserve">the source of emission factors and the GWP </w:t>
            </w:r>
            <w:r w:rsidR="00424241" w:rsidRPr="0018386D">
              <w:t>values</w:t>
            </w:r>
            <w:r w:rsidRPr="0018386D">
              <w:t xml:space="preserve"> used or a reference to the GWP </w:t>
            </w:r>
            <w:proofErr w:type="gramStart"/>
            <w:r w:rsidRPr="0018386D">
              <w:t>source;</w:t>
            </w:r>
            <w:proofErr w:type="gramEnd"/>
            <w:r w:rsidRPr="0018386D">
              <w:t xml:space="preserve"> </w:t>
            </w:r>
          </w:p>
          <w:p w14:paraId="4FB0524F" w14:textId="0B6DBC0D" w:rsidR="004532D7" w:rsidRPr="0018386D" w:rsidRDefault="004532D7" w:rsidP="00DD3106">
            <w:pPr>
              <w:pStyle w:val="Boxbullet"/>
              <w:spacing w:after="80"/>
            </w:pPr>
            <w:r w:rsidRPr="0018386D">
              <w:t>a summary of specific exclusions of sources, including facilities, operations</w:t>
            </w:r>
            <w:r w:rsidR="00687C97" w:rsidRPr="0018386D">
              <w:t>,</w:t>
            </w:r>
            <w:r w:rsidRPr="0018386D">
              <w:t xml:space="preserve"> or assets with a justification for their exclusion.</w:t>
            </w:r>
          </w:p>
          <w:p w14:paraId="3A528B3F" w14:textId="510849F2" w:rsidR="004532D7" w:rsidRPr="0018386D" w:rsidRDefault="004532D7" w:rsidP="00DD3106">
            <w:pPr>
              <w:pStyle w:val="Boxtext"/>
              <w:spacing w:after="80"/>
            </w:pPr>
            <w:r w:rsidRPr="0018386D">
              <w:t xml:space="preserve">A limited number of adoption provisions apply to Scope 3 emissions. </w:t>
            </w:r>
          </w:p>
          <w:p w14:paraId="0BB4D4F8" w14:textId="63D85DC1" w:rsidR="004532D7" w:rsidRPr="0018386D" w:rsidRDefault="004532D7" w:rsidP="00DD3106">
            <w:pPr>
              <w:pStyle w:val="Boxtext"/>
              <w:spacing w:after="80"/>
            </w:pPr>
            <w:r w:rsidRPr="0018386D">
              <w:t xml:space="preserve">The </w:t>
            </w:r>
            <w:hyperlink r:id="rId27">
              <w:r w:rsidRPr="0018386D">
                <w:rPr>
                  <w:rStyle w:val="Hyperlink"/>
                </w:rPr>
                <w:t>Aotearoa New Zealand Climate Standards</w:t>
              </w:r>
            </w:hyperlink>
            <w:r w:rsidRPr="0018386D">
              <w:t xml:space="preserve"> and </w:t>
            </w:r>
            <w:hyperlink r:id="rId28">
              <w:r w:rsidRPr="0018386D">
                <w:rPr>
                  <w:rStyle w:val="Hyperlink"/>
                </w:rPr>
                <w:t>Staff Guidance for All Sectors</w:t>
              </w:r>
            </w:hyperlink>
            <w:r w:rsidRPr="0018386D">
              <w:t xml:space="preserve"> can be found on the XRB’s website. </w:t>
            </w:r>
          </w:p>
          <w:p w14:paraId="335AE2D8" w14:textId="77777777" w:rsidR="004532D7" w:rsidRPr="0018386D" w:rsidRDefault="004532D7" w:rsidP="00DD3106">
            <w:pPr>
              <w:pStyle w:val="Boxtext"/>
              <w:keepNext/>
              <w:spacing w:after="0"/>
              <w:rPr>
                <w:b/>
              </w:rPr>
            </w:pPr>
            <w:r w:rsidRPr="0018386D">
              <w:rPr>
                <w:b/>
              </w:rPr>
              <w:t>Carbon Neutral Government Programme</w:t>
            </w:r>
          </w:p>
          <w:p w14:paraId="40BD4D83" w14:textId="33989C1F" w:rsidR="004532D7" w:rsidRPr="0018386D" w:rsidRDefault="004532D7" w:rsidP="00DD3106">
            <w:pPr>
              <w:pStyle w:val="Boxtext"/>
              <w:spacing w:before="80" w:after="80"/>
              <w:rPr>
                <w:color w:val="1B556B" w:themeColor="text2"/>
              </w:rPr>
            </w:pPr>
            <w:r w:rsidRPr="0018386D">
              <w:t xml:space="preserve">The Carbon Neutral Government Programme (CNGP) was set up by the government to accelerate the reduction of emissions within the public sector. The CNGP has published guidance for CNGP </w:t>
            </w:r>
            <w:r w:rsidRPr="0018386D">
              <w:rPr>
                <w:color w:val="1B556B" w:themeColor="text2"/>
                <w:szCs w:val="20"/>
              </w:rPr>
              <w:t>organisations on measuring and reporting their GHG emissions.</w:t>
            </w:r>
            <w:r w:rsidRPr="0018386D">
              <w:rPr>
                <w:rStyle w:val="FootnoteReference"/>
                <w:color w:val="1B556B" w:themeColor="text2"/>
                <w:sz w:val="20"/>
                <w:szCs w:val="20"/>
              </w:rPr>
              <w:footnoteReference w:id="2"/>
            </w:r>
            <w:r w:rsidRPr="0018386D">
              <w:rPr>
                <w:color w:val="1B556B" w:themeColor="text2"/>
                <w:szCs w:val="20"/>
              </w:rPr>
              <w:t xml:space="preserve"> It includes information on what sources of GHG emissions organisations need to collect, standards to follow, methods for calculating emissions, the required information to report, who to report</w:t>
            </w:r>
            <w:r w:rsidRPr="0018386D">
              <w:rPr>
                <w:color w:val="1B556B" w:themeColor="text2"/>
              </w:rPr>
              <w:t xml:space="preserve"> to, and by when. </w:t>
            </w:r>
          </w:p>
          <w:p w14:paraId="1510E057" w14:textId="00AA1A9F" w:rsidR="00A30347" w:rsidRPr="0018386D" w:rsidRDefault="004532D7" w:rsidP="00DD3106">
            <w:pPr>
              <w:pStyle w:val="Boxtext"/>
              <w:spacing w:after="240"/>
              <w:rPr>
                <w:rStyle w:val="FootnoteReference"/>
                <w:sz w:val="20"/>
                <w:szCs w:val="20"/>
              </w:rPr>
            </w:pPr>
            <w:r w:rsidRPr="0018386D">
              <w:rPr>
                <w:color w:val="1B556B" w:themeColor="text2"/>
              </w:rPr>
              <w:t>For further guidance on this consult the CNGP website</w:t>
            </w:r>
            <w:r w:rsidRPr="0018386D">
              <w:rPr>
                <w:rStyle w:val="FootnoteReference"/>
                <w:color w:val="1B556B" w:themeColor="text2"/>
                <w:sz w:val="20"/>
                <w:szCs w:val="20"/>
              </w:rPr>
              <w:footnoteReference w:id="3"/>
            </w:r>
            <w:r w:rsidRPr="0018386D">
              <w:rPr>
                <w:color w:val="1B556B" w:themeColor="text2"/>
              </w:rPr>
              <w:t xml:space="preserve"> or </w:t>
            </w:r>
            <w:r w:rsidRPr="0018386D">
              <w:t xml:space="preserve">contact </w:t>
            </w:r>
            <w:hyperlink r:id="rId29" w:history="1">
              <w:r w:rsidRPr="0018386D">
                <w:rPr>
                  <w:rStyle w:val="Hyperlink"/>
                </w:rPr>
                <w:t>cngp@mfe.govt.nz</w:t>
              </w:r>
            </w:hyperlink>
          </w:p>
        </w:tc>
      </w:tr>
    </w:tbl>
    <w:p w14:paraId="4A562CBE" w14:textId="77777777" w:rsidR="0010210D" w:rsidRPr="0018386D" w:rsidRDefault="0010210D" w:rsidP="00DD3106">
      <w:pPr>
        <w:pStyle w:val="BodyText"/>
        <w:spacing w:before="240"/>
      </w:pPr>
      <w:bookmarkStart w:id="29" w:name="_Hlk52444003"/>
    </w:p>
    <w:p w14:paraId="6992DC33" w14:textId="77777777" w:rsidR="0010210D" w:rsidRPr="0018386D" w:rsidRDefault="0010210D" w:rsidP="00DD3106">
      <w:pPr>
        <w:spacing w:line="23" w:lineRule="auto"/>
        <w:rPr>
          <w:rFonts w:eastAsiaTheme="minorEastAsia" w:cstheme="minorBidi"/>
          <w:szCs w:val="22"/>
          <w:lang w:val="en-NZ" w:eastAsia="en-NZ"/>
        </w:rPr>
      </w:pPr>
      <w:r w:rsidRPr="0018386D">
        <w:br w:type="page"/>
      </w:r>
    </w:p>
    <w:p w14:paraId="34ADE49B" w14:textId="3FBFA741" w:rsidR="00B17ABF" w:rsidRPr="0018386D" w:rsidRDefault="00B17ABF" w:rsidP="00DD3106">
      <w:pPr>
        <w:pStyle w:val="BodyText"/>
        <w:spacing w:before="240"/>
      </w:pPr>
      <w:r w:rsidRPr="0018386D">
        <w:lastRenderedPageBreak/>
        <w:t>This guide, and the emission factors and methods</w:t>
      </w:r>
      <w:bookmarkEnd w:id="29"/>
      <w:r w:rsidRPr="0018386D">
        <w:t>, are not appropriate for a full life-cycle assessment or product carbon foot</w:t>
      </w:r>
      <w:r w:rsidR="00B545AD" w:rsidRPr="0018386D">
        <w:t xml:space="preserve"> </w:t>
      </w:r>
      <w:r w:rsidRPr="0018386D">
        <w:t>printing. T</w:t>
      </w:r>
      <w:r w:rsidR="00B905F9" w:rsidRPr="0018386D">
        <w:t>he</w:t>
      </w:r>
      <w:r w:rsidRPr="0018386D">
        <w:t xml:space="preserve"> factors</w:t>
      </w:r>
      <w:r w:rsidR="00B905F9" w:rsidRPr="0018386D">
        <w:t xml:space="preserve"> presented in this guide</w:t>
      </w:r>
      <w:r w:rsidRPr="0018386D">
        <w:t xml:space="preserve"> only include direct emissions from activities, and do not include all sources of emissions required for a full life-cycle </w:t>
      </w:r>
      <w:r w:rsidR="000C5EAC" w:rsidRPr="0018386D">
        <w:t>assessment</w:t>
      </w:r>
      <w:r w:rsidRPr="0018386D">
        <w:t xml:space="preserve">. If you want to do a full life-cycle assessment, we recommend </w:t>
      </w:r>
      <w:r w:rsidR="00991D31" w:rsidRPr="0018386D">
        <w:t>using</w:t>
      </w:r>
      <w:r w:rsidRPr="0018386D">
        <w:t xml:space="preserve"> </w:t>
      </w:r>
      <w:r w:rsidR="00D47600" w:rsidRPr="0018386D">
        <w:t>l</w:t>
      </w:r>
      <w:r w:rsidR="005D0A83" w:rsidRPr="0018386D">
        <w:t xml:space="preserve">ife-cycle assessment </w:t>
      </w:r>
      <w:r w:rsidR="00430590" w:rsidRPr="0018386D">
        <w:t>databases and/or</w:t>
      </w:r>
      <w:r w:rsidR="005D0A83" w:rsidRPr="0018386D">
        <w:t xml:space="preserve"> software tools.</w:t>
      </w:r>
      <w:r w:rsidR="008231D0" w:rsidRPr="0018386D">
        <w:t xml:space="preserve"> A list of </w:t>
      </w:r>
      <w:r w:rsidR="00F3584B" w:rsidRPr="0018386D">
        <w:t>relevant life</w:t>
      </w:r>
      <w:r w:rsidR="00293949" w:rsidRPr="0018386D">
        <w:t>-</w:t>
      </w:r>
      <w:r w:rsidR="00F3584B" w:rsidRPr="0018386D">
        <w:t>cycle inventory databases can be found on the</w:t>
      </w:r>
      <w:hyperlink r:id="rId30" w:anchor="LCI" w:history="1">
        <w:r w:rsidR="6B4DBC6E" w:rsidRPr="0018386D">
          <w:rPr>
            <w:rStyle w:val="Hyperlink"/>
            <w:rFonts w:asciiTheme="minorHAnsi" w:eastAsia="Times New Roman" w:hAnsiTheme="minorHAnsi"/>
          </w:rPr>
          <w:t xml:space="preserve"> LCANZ website</w:t>
        </w:r>
        <w:r w:rsidR="7F440435" w:rsidRPr="0018386D">
          <w:rPr>
            <w:rStyle w:val="Hyperlink"/>
            <w:rFonts w:asciiTheme="minorHAnsi" w:eastAsia="Times New Roman" w:hAnsiTheme="minorHAnsi"/>
          </w:rPr>
          <w:t>.</w:t>
        </w:r>
        <w:r w:rsidR="007F4695" w:rsidRPr="0018386D">
          <w:rPr>
            <w:rStyle w:val="FootnoteReference"/>
            <w:rFonts w:eastAsia="Times New Roman"/>
          </w:rPr>
          <w:footnoteReference w:id="4"/>
        </w:r>
      </w:hyperlink>
    </w:p>
    <w:p w14:paraId="5162C961" w14:textId="4010CB16" w:rsidR="00D4767A" w:rsidRPr="0018386D" w:rsidRDefault="00BF7F60" w:rsidP="00DD3106">
      <w:pPr>
        <w:pStyle w:val="BodyText"/>
        <w:spacing w:after="100"/>
      </w:pPr>
      <w:bookmarkStart w:id="30" w:name="_Hlk532887735"/>
      <w:r w:rsidRPr="0018386D">
        <w:t xml:space="preserve">Measuring your organisation’s emissions is the first step in the journey to reducing your emissions. Developing and implementing a reduction plan is the next important step. </w:t>
      </w:r>
      <w:r w:rsidR="00A63C4F" w:rsidRPr="0018386D">
        <w:t>The New</w:t>
      </w:r>
      <w:r w:rsidR="00FD6370" w:rsidRPr="0018386D">
        <w:t> </w:t>
      </w:r>
      <w:r w:rsidR="00A63C4F" w:rsidRPr="0018386D">
        <w:t>Zealand Government’s</w:t>
      </w:r>
      <w:r w:rsidR="00C011B2" w:rsidRPr="0018386D">
        <w:t xml:space="preserve"> first</w:t>
      </w:r>
      <w:r w:rsidRPr="0018386D">
        <w:t xml:space="preserve"> </w:t>
      </w:r>
      <w:hyperlink r:id="rId31" w:history="1">
        <w:r w:rsidR="00B5194E" w:rsidRPr="0018386D">
          <w:rPr>
            <w:rStyle w:val="Hyperlink"/>
          </w:rPr>
          <w:t>e</w:t>
        </w:r>
        <w:r w:rsidR="5587453F" w:rsidRPr="0018386D">
          <w:rPr>
            <w:rStyle w:val="Hyperlink"/>
          </w:rPr>
          <w:t xml:space="preserve">missions </w:t>
        </w:r>
        <w:r w:rsidR="63B229BA" w:rsidRPr="0018386D">
          <w:rPr>
            <w:rStyle w:val="Hyperlink"/>
          </w:rPr>
          <w:t>r</w:t>
        </w:r>
        <w:r w:rsidR="5587453F" w:rsidRPr="0018386D">
          <w:rPr>
            <w:rStyle w:val="Hyperlink"/>
          </w:rPr>
          <w:t xml:space="preserve">eduction </w:t>
        </w:r>
        <w:r w:rsidR="63B229BA" w:rsidRPr="0018386D">
          <w:rPr>
            <w:rStyle w:val="Hyperlink"/>
          </w:rPr>
          <w:t>p</w:t>
        </w:r>
        <w:r w:rsidR="5587453F" w:rsidRPr="0018386D">
          <w:rPr>
            <w:rStyle w:val="Hyperlink"/>
          </w:rPr>
          <w:t>lan</w:t>
        </w:r>
      </w:hyperlink>
      <w:r w:rsidRPr="0018386D">
        <w:rPr>
          <w:rStyle w:val="Hyperlink"/>
        </w:rPr>
        <w:t xml:space="preserve"> </w:t>
      </w:r>
      <w:r w:rsidR="1DDC6307" w:rsidRPr="0018386D">
        <w:t>was</w:t>
      </w:r>
      <w:r w:rsidRPr="0018386D">
        <w:t xml:space="preserve"> published in</w:t>
      </w:r>
      <w:r w:rsidR="00A63C4F" w:rsidRPr="0018386D">
        <w:t xml:space="preserve"> </w:t>
      </w:r>
      <w:r w:rsidR="4491ACF6" w:rsidRPr="0018386D">
        <w:t xml:space="preserve">May </w:t>
      </w:r>
      <w:r w:rsidRPr="0018386D">
        <w:t>2022</w:t>
      </w:r>
      <w:r w:rsidR="00D4767A" w:rsidRPr="0018386D">
        <w:t>. Th</w:t>
      </w:r>
      <w:r w:rsidR="00AC164E" w:rsidRPr="0018386D">
        <w:t xml:space="preserve">e </w:t>
      </w:r>
      <w:r w:rsidR="004D5962" w:rsidRPr="0018386D">
        <w:t>p</w:t>
      </w:r>
      <w:r w:rsidR="00AC164E" w:rsidRPr="0018386D">
        <w:t>lan</w:t>
      </w:r>
      <w:r w:rsidR="00D4767A" w:rsidRPr="0018386D">
        <w:t xml:space="preserve"> is </w:t>
      </w:r>
      <w:r w:rsidR="6586B5CE" w:rsidRPr="0018386D">
        <w:t xml:space="preserve">an example of a national scale </w:t>
      </w:r>
      <w:r w:rsidR="005F5675" w:rsidRPr="0018386D">
        <w:t>plan but</w:t>
      </w:r>
      <w:r w:rsidR="6586B5CE" w:rsidRPr="0018386D">
        <w:t xml:space="preserve"> is not intended to provide </w:t>
      </w:r>
      <w:r w:rsidR="6586B5CE" w:rsidRPr="0018386D" w:rsidDel="00CB6C33">
        <w:t xml:space="preserve">guidance </w:t>
      </w:r>
      <w:r w:rsidR="00CB6C33" w:rsidRPr="0018386D">
        <w:t>for</w:t>
      </w:r>
      <w:r w:rsidR="00D4767A" w:rsidRPr="0018386D">
        <w:t xml:space="preserve"> how organisations </w:t>
      </w:r>
      <w:r w:rsidR="008A7EC7" w:rsidRPr="0018386D">
        <w:t>should create their own emission reduction plan</w:t>
      </w:r>
      <w:r w:rsidR="0023637B" w:rsidRPr="0018386D">
        <w:t>s.</w:t>
      </w:r>
      <w:r w:rsidR="009D50F2" w:rsidRPr="0018386D">
        <w:t xml:space="preserve"> </w:t>
      </w:r>
      <w:r w:rsidR="008B1ED2" w:rsidRPr="0018386D">
        <w:t xml:space="preserve">Examples of </w:t>
      </w:r>
      <w:r w:rsidR="00953EFA" w:rsidRPr="0018386D">
        <w:t>emission reduction plans</w:t>
      </w:r>
      <w:r w:rsidR="008B1ED2" w:rsidRPr="0018386D">
        <w:t xml:space="preserve"> published by New Zealand corporations are available</w:t>
      </w:r>
      <w:r w:rsidR="00953EFA" w:rsidRPr="0018386D">
        <w:t xml:space="preserve"> online</w:t>
      </w:r>
      <w:r w:rsidR="00561C4C" w:rsidRPr="0018386D">
        <w:t>.</w:t>
      </w:r>
    </w:p>
    <w:p w14:paraId="5AD22443" w14:textId="5EE029B1" w:rsidR="00BF7F60" w:rsidRPr="0018386D" w:rsidRDefault="00C6006C" w:rsidP="00DD3106">
      <w:pPr>
        <w:pStyle w:val="BodyText"/>
        <w:spacing w:after="100"/>
      </w:pPr>
      <w:r w:rsidRPr="0018386D">
        <w:t>Measuring your emissions enables you to set reduction targets, take climate action and report quantified progress towards your goals.</w:t>
      </w:r>
      <w:r w:rsidR="008D2581" w:rsidRPr="0018386D">
        <w:t xml:space="preserve"> </w:t>
      </w:r>
      <w:r w:rsidRPr="0018386D">
        <w:t>T</w:t>
      </w:r>
      <w:r w:rsidR="008D2581" w:rsidRPr="0018386D">
        <w:t xml:space="preserve">o </w:t>
      </w:r>
      <w:r w:rsidR="009D4385" w:rsidRPr="0018386D">
        <w:t xml:space="preserve">reach your </w:t>
      </w:r>
      <w:r w:rsidR="007B597C" w:rsidRPr="0018386D">
        <w:t>organis</w:t>
      </w:r>
      <w:r w:rsidR="79A8BD7F" w:rsidRPr="0018386D">
        <w:t>at</w:t>
      </w:r>
      <w:r w:rsidR="007B597C" w:rsidRPr="0018386D">
        <w:t>ion</w:t>
      </w:r>
      <w:r w:rsidR="00E91DFE" w:rsidRPr="0018386D">
        <w:t xml:space="preserve">’s </w:t>
      </w:r>
      <w:r w:rsidR="009D4385" w:rsidRPr="0018386D">
        <w:t>targets</w:t>
      </w:r>
      <w:r w:rsidR="00BF7F60" w:rsidRPr="0018386D">
        <w:t xml:space="preserve"> see the Ministry’s </w:t>
      </w:r>
      <w:hyperlink r:id="rId32">
        <w:r w:rsidR="008148EF" w:rsidRPr="0018386D">
          <w:rPr>
            <w:rStyle w:val="Hyperlink"/>
            <w:i/>
            <w:iCs/>
          </w:rPr>
          <w:t>Interim guidance for voluntary climate change mitigation</w:t>
        </w:r>
      </w:hyperlink>
      <w:r w:rsidR="008148EF" w:rsidRPr="0018386D">
        <w:t xml:space="preserve">. </w:t>
      </w:r>
    </w:p>
    <w:p w14:paraId="527F2972" w14:textId="0D768D08" w:rsidR="003B7105" w:rsidRPr="0018386D" w:rsidRDefault="003B7105" w:rsidP="00DD3106">
      <w:pPr>
        <w:pStyle w:val="BodyText"/>
        <w:spacing w:after="100"/>
      </w:pPr>
      <w:r w:rsidRPr="0018386D">
        <w:t xml:space="preserve">Users seeking guidance on preparing a regional inventory should refer to the </w:t>
      </w:r>
      <w:hyperlink r:id="rId33" w:history="1">
        <w:r w:rsidRPr="0018386D">
          <w:rPr>
            <w:rStyle w:val="Hyperlink"/>
          </w:rPr>
          <w:t>GHG Protocol for Community-scale Greenhouse Gas Emission Inventories</w:t>
        </w:r>
      </w:hyperlink>
      <w:r w:rsidRPr="0018386D">
        <w:t>.</w:t>
      </w:r>
    </w:p>
    <w:p w14:paraId="25C88DEC" w14:textId="5F7B0D57" w:rsidR="004C4413" w:rsidRPr="0018386D" w:rsidRDefault="00ED26A1" w:rsidP="00DD3106">
      <w:pPr>
        <w:pStyle w:val="BodyText"/>
        <w:spacing w:after="100"/>
        <w:rPr>
          <w:rStyle w:val="Hyperlink"/>
          <w:color w:val="auto"/>
        </w:rPr>
      </w:pPr>
      <w:r w:rsidRPr="0018386D">
        <w:t xml:space="preserve">If emission factors relevant to your organisation are not included in </w:t>
      </w:r>
      <w:r w:rsidRPr="0018386D">
        <w:rPr>
          <w:i/>
        </w:rPr>
        <w:t xml:space="preserve">Measuring </w:t>
      </w:r>
      <w:r w:rsidR="006C07C9" w:rsidRPr="0018386D">
        <w:rPr>
          <w:i/>
        </w:rPr>
        <w:t>e</w:t>
      </w:r>
      <w:r w:rsidRPr="0018386D">
        <w:rPr>
          <w:i/>
        </w:rPr>
        <w:t>missions: A</w:t>
      </w:r>
      <w:r w:rsidR="001F3124" w:rsidRPr="0018386D">
        <w:rPr>
          <w:i/>
        </w:rPr>
        <w:t> </w:t>
      </w:r>
      <w:r w:rsidR="006C07C9" w:rsidRPr="0018386D">
        <w:rPr>
          <w:i/>
        </w:rPr>
        <w:t>g</w:t>
      </w:r>
      <w:r w:rsidRPr="0018386D">
        <w:rPr>
          <w:i/>
        </w:rPr>
        <w:t xml:space="preserve">uide for </w:t>
      </w:r>
      <w:r w:rsidR="006C07C9" w:rsidRPr="0018386D">
        <w:rPr>
          <w:i/>
        </w:rPr>
        <w:t>o</w:t>
      </w:r>
      <w:r w:rsidRPr="0018386D">
        <w:rPr>
          <w:i/>
        </w:rPr>
        <w:t>rganisations</w:t>
      </w:r>
      <w:r w:rsidR="009D6E17" w:rsidRPr="0018386D">
        <w:rPr>
          <w:iCs/>
        </w:rPr>
        <w:t xml:space="preserve"> or </w:t>
      </w:r>
      <w:r w:rsidR="00E10CDB" w:rsidRPr="0018386D">
        <w:rPr>
          <w:iCs/>
        </w:rPr>
        <w:t>in Auckland Council’s spend-based emissions repo</w:t>
      </w:r>
      <w:r w:rsidR="009C1076" w:rsidRPr="0018386D">
        <w:rPr>
          <w:iCs/>
        </w:rPr>
        <w:t>r</w:t>
      </w:r>
      <w:r w:rsidR="00E10CDB" w:rsidRPr="0018386D">
        <w:rPr>
          <w:iCs/>
        </w:rPr>
        <w:t xml:space="preserve">t (see </w:t>
      </w:r>
      <w:hyperlink w:anchor="_A__" w:history="1">
        <w:r w:rsidR="00E10CDB" w:rsidRPr="0018386D">
          <w:rPr>
            <w:rStyle w:val="Hyperlink"/>
            <w:iCs/>
          </w:rPr>
          <w:t>App</w:t>
        </w:r>
        <w:bookmarkStart w:id="31" w:name="_Hlt138688102"/>
        <w:r w:rsidR="00E10CDB" w:rsidRPr="0018386D">
          <w:rPr>
            <w:rStyle w:val="Hyperlink"/>
            <w:iCs/>
          </w:rPr>
          <w:t>e</w:t>
        </w:r>
        <w:bookmarkEnd w:id="31"/>
        <w:r w:rsidR="00E10CDB" w:rsidRPr="0018386D">
          <w:rPr>
            <w:rStyle w:val="Hyperlink"/>
            <w:iCs/>
          </w:rPr>
          <w:t>ndix</w:t>
        </w:r>
        <w:r w:rsidR="001F3124" w:rsidRPr="0018386D">
          <w:rPr>
            <w:rStyle w:val="Hyperlink"/>
            <w:iCs/>
          </w:rPr>
          <w:t> </w:t>
        </w:r>
        <w:r w:rsidR="00E10CDB" w:rsidRPr="0018386D">
          <w:rPr>
            <w:rStyle w:val="Hyperlink"/>
            <w:iCs/>
          </w:rPr>
          <w:t>D</w:t>
        </w:r>
      </w:hyperlink>
      <w:r w:rsidR="00E10CDB" w:rsidRPr="0018386D">
        <w:rPr>
          <w:iCs/>
        </w:rPr>
        <w:t>)</w:t>
      </w:r>
      <w:r w:rsidRPr="0018386D">
        <w:t xml:space="preserve">, we suggest using alternatives such as those published by the </w:t>
      </w:r>
      <w:hyperlink r:id="rId34" w:history="1">
        <w:r w:rsidRPr="0018386D">
          <w:rPr>
            <w:rStyle w:val="Hyperlink"/>
          </w:rPr>
          <w:t xml:space="preserve">UK </w:t>
        </w:r>
        <w:r w:rsidR="55DA01B7" w:rsidRPr="0018386D">
          <w:rPr>
            <w:rStyle w:val="Hyperlink"/>
          </w:rPr>
          <w:t>Department for Business Energy &amp; Industrial Strategy</w:t>
        </w:r>
      </w:hyperlink>
      <w:r w:rsidR="55DA01B7" w:rsidRPr="0018386D">
        <w:t xml:space="preserve"> (BEIS) and the </w:t>
      </w:r>
      <w:hyperlink r:id="rId35" w:history="1">
        <w:r w:rsidR="55DA01B7" w:rsidRPr="0018386D">
          <w:rPr>
            <w:rStyle w:val="Hyperlink"/>
          </w:rPr>
          <w:t>Department for Environment Food &amp; Rural Affairs</w:t>
        </w:r>
      </w:hyperlink>
      <w:r w:rsidR="004C4413" w:rsidRPr="0018386D">
        <w:rPr>
          <w:rStyle w:val="Hyperlink"/>
          <w:color w:val="auto"/>
        </w:rPr>
        <w:t xml:space="preserve">. </w:t>
      </w:r>
    </w:p>
    <w:p w14:paraId="661E99E1" w14:textId="676E956F" w:rsidR="004C4413" w:rsidRPr="0018386D" w:rsidRDefault="004C4413" w:rsidP="00DD3106">
      <w:pPr>
        <w:pStyle w:val="Bullet"/>
        <w:numPr>
          <w:ilvl w:val="0"/>
          <w:numId w:val="0"/>
        </w:numPr>
      </w:pPr>
    </w:p>
    <w:p w14:paraId="041F3A33" w14:textId="77777777" w:rsidR="00A85EF3" w:rsidRPr="0018386D" w:rsidRDefault="00A85EF3" w:rsidP="00DD3106">
      <w:pPr>
        <w:pStyle w:val="Bullet"/>
        <w:numPr>
          <w:ilvl w:val="0"/>
          <w:numId w:val="0"/>
        </w:numPr>
        <w:ind w:left="397" w:hanging="397"/>
      </w:pPr>
    </w:p>
    <w:p w14:paraId="1DFD9509" w14:textId="77777777" w:rsidR="00A85EF3" w:rsidRPr="0018386D" w:rsidRDefault="00A85EF3" w:rsidP="00DD3106">
      <w:pPr>
        <w:pStyle w:val="Bullet"/>
        <w:numPr>
          <w:ilvl w:val="0"/>
          <w:numId w:val="0"/>
        </w:numPr>
        <w:ind w:left="397" w:hanging="397"/>
      </w:pPr>
    </w:p>
    <w:p w14:paraId="7A661793" w14:textId="77777777" w:rsidR="00A85EF3" w:rsidRPr="0018386D" w:rsidRDefault="00A85EF3" w:rsidP="00DD3106">
      <w:pPr>
        <w:pStyle w:val="Bullet"/>
        <w:numPr>
          <w:ilvl w:val="0"/>
          <w:numId w:val="0"/>
        </w:numPr>
        <w:ind w:left="397" w:hanging="397"/>
      </w:pPr>
    </w:p>
    <w:p w14:paraId="3867D117" w14:textId="77777777" w:rsidR="00A85EF3" w:rsidRPr="0018386D" w:rsidRDefault="00A85EF3" w:rsidP="00DD3106">
      <w:pPr>
        <w:pStyle w:val="Bullet"/>
        <w:numPr>
          <w:ilvl w:val="0"/>
          <w:numId w:val="0"/>
        </w:numPr>
        <w:ind w:left="397" w:hanging="397"/>
      </w:pPr>
    </w:p>
    <w:p w14:paraId="49510CFA" w14:textId="77777777" w:rsidR="00A85EF3" w:rsidRPr="0018386D" w:rsidRDefault="00A85EF3" w:rsidP="00DD3106">
      <w:pPr>
        <w:pStyle w:val="Bullet"/>
        <w:numPr>
          <w:ilvl w:val="0"/>
          <w:numId w:val="0"/>
        </w:numPr>
        <w:ind w:left="397" w:hanging="397"/>
      </w:pPr>
    </w:p>
    <w:p w14:paraId="38C8EB6B" w14:textId="15AD4495" w:rsidR="00A85EF3" w:rsidRPr="0018386D" w:rsidRDefault="00A85EF3" w:rsidP="00DD3106">
      <w:pPr>
        <w:pStyle w:val="Bullet"/>
        <w:numPr>
          <w:ilvl w:val="0"/>
          <w:numId w:val="0"/>
        </w:numPr>
        <w:ind w:left="397" w:hanging="397"/>
      </w:pPr>
      <w:r w:rsidRPr="0018386D">
        <w:br w:type="page"/>
      </w:r>
    </w:p>
    <w:p w14:paraId="5673EE2E" w14:textId="37884BB8" w:rsidR="00206E30" w:rsidRPr="0018386D" w:rsidRDefault="00206E30" w:rsidP="00DD3106">
      <w:pPr>
        <w:pStyle w:val="Heading2"/>
        <w:numPr>
          <w:ilvl w:val="1"/>
          <w:numId w:val="8"/>
        </w:numPr>
        <w:jc w:val="both"/>
      </w:pPr>
      <w:bookmarkStart w:id="32" w:name="_Toc600558"/>
      <w:bookmarkStart w:id="33" w:name="_Toc140048881"/>
      <w:bookmarkStart w:id="34" w:name="_Toc532904836"/>
      <w:bookmarkStart w:id="35" w:name="_Toc532904842"/>
      <w:bookmarkEnd w:id="30"/>
      <w:r w:rsidRPr="0018386D">
        <w:lastRenderedPageBreak/>
        <w:t xml:space="preserve">Gases included in the </w:t>
      </w:r>
      <w:proofErr w:type="gramStart"/>
      <w:r w:rsidRPr="0018386D">
        <w:t>guide</w:t>
      </w:r>
      <w:bookmarkEnd w:id="32"/>
      <w:bookmarkEnd w:id="33"/>
      <w:proofErr w:type="gramEnd"/>
    </w:p>
    <w:p w14:paraId="151BE6AC" w14:textId="5070E78E" w:rsidR="00CC3634" w:rsidRPr="0018386D" w:rsidRDefault="00206E30" w:rsidP="00DD3106">
      <w:pPr>
        <w:pStyle w:val="BodyText"/>
        <w:spacing w:before="100"/>
      </w:pPr>
      <w:r w:rsidRPr="0018386D">
        <w:rPr>
          <w:spacing w:val="-2"/>
        </w:rPr>
        <w:t>Th</w:t>
      </w:r>
      <w:r w:rsidR="00D018DE" w:rsidRPr="0018386D">
        <w:rPr>
          <w:spacing w:val="-2"/>
        </w:rPr>
        <w:t>is</w:t>
      </w:r>
      <w:r w:rsidRPr="0018386D">
        <w:rPr>
          <w:spacing w:val="-2"/>
        </w:rPr>
        <w:t xml:space="preserve"> guide covers the following GHGs: </w:t>
      </w:r>
      <w:r w:rsidRPr="0018386D">
        <w:rPr>
          <w:rFonts w:cs="Calibri"/>
          <w:spacing w:val="-2"/>
          <w:shd w:val="clear" w:color="auto" w:fill="FFFFFF"/>
        </w:rPr>
        <w:t>carbon dioxide (</w:t>
      </w:r>
      <w:r w:rsidRPr="0018386D">
        <w:rPr>
          <w:spacing w:val="-2"/>
          <w:shd w:val="clear" w:color="auto" w:fill="FFFFFF"/>
        </w:rPr>
        <w:t>CO</w:t>
      </w:r>
      <w:r w:rsidRPr="0018386D">
        <w:rPr>
          <w:spacing w:val="-2"/>
          <w:shd w:val="clear" w:color="auto" w:fill="FFFFFF"/>
          <w:vertAlign w:val="subscript"/>
        </w:rPr>
        <w:t>2</w:t>
      </w:r>
      <w:r w:rsidRPr="0018386D">
        <w:rPr>
          <w:rFonts w:cs="Calibri"/>
          <w:spacing w:val="-2"/>
          <w:shd w:val="clear" w:color="auto" w:fill="FFFFFF"/>
        </w:rPr>
        <w:t>)</w:t>
      </w:r>
      <w:r w:rsidRPr="0018386D">
        <w:rPr>
          <w:spacing w:val="-2"/>
        </w:rPr>
        <w:t>, methane (CH</w:t>
      </w:r>
      <w:r w:rsidRPr="0018386D">
        <w:rPr>
          <w:spacing w:val="-2"/>
          <w:vertAlign w:val="subscript"/>
        </w:rPr>
        <w:t>4</w:t>
      </w:r>
      <w:r w:rsidRPr="0018386D">
        <w:rPr>
          <w:rFonts w:cs="Calibri"/>
          <w:spacing w:val="-2"/>
          <w:shd w:val="clear" w:color="auto" w:fill="FFFFFF"/>
        </w:rPr>
        <w:t>),</w:t>
      </w:r>
      <w:r w:rsidRPr="0018386D">
        <w:rPr>
          <w:spacing w:val="-2"/>
        </w:rPr>
        <w:t xml:space="preserve"> nitrous oxide (N</w:t>
      </w:r>
      <w:r w:rsidRPr="0018386D">
        <w:rPr>
          <w:spacing w:val="-2"/>
          <w:vertAlign w:val="subscript"/>
        </w:rPr>
        <w:t>2</w:t>
      </w:r>
      <w:r w:rsidRPr="0018386D">
        <w:rPr>
          <w:spacing w:val="-2"/>
        </w:rPr>
        <w:t>O)</w:t>
      </w:r>
      <w:r w:rsidRPr="0018386D">
        <w:t xml:space="preserve">, </w:t>
      </w:r>
      <w:r w:rsidRPr="0018386D">
        <w:rPr>
          <w:rFonts w:cs="Calibri"/>
          <w:shd w:val="clear" w:color="auto" w:fill="FFFFFF"/>
        </w:rPr>
        <w:t>hydrofluorocarbons (</w:t>
      </w:r>
      <w:r w:rsidRPr="0018386D">
        <w:rPr>
          <w:shd w:val="clear" w:color="auto" w:fill="FFFFFF"/>
        </w:rPr>
        <w:t>HFCs</w:t>
      </w:r>
      <w:r w:rsidRPr="0018386D">
        <w:rPr>
          <w:rFonts w:cs="Calibri"/>
          <w:shd w:val="clear" w:color="auto" w:fill="FFFFFF"/>
        </w:rPr>
        <w:t>)</w:t>
      </w:r>
      <w:r w:rsidRPr="0018386D">
        <w:t>, perfluorocarbons (PFCs), sulphur hexafluoride (SF</w:t>
      </w:r>
      <w:r w:rsidRPr="0018386D">
        <w:rPr>
          <w:vertAlign w:val="subscript"/>
        </w:rPr>
        <w:t>6</w:t>
      </w:r>
      <w:r w:rsidRPr="0018386D">
        <w:t>)</w:t>
      </w:r>
      <w:r w:rsidR="00EE5ED9" w:rsidRPr="0018386D">
        <w:t xml:space="preserve">, </w:t>
      </w:r>
      <w:r w:rsidRPr="0018386D">
        <w:t>nitrogen trifluoride (NF</w:t>
      </w:r>
      <w:r w:rsidRPr="0018386D">
        <w:rPr>
          <w:vertAlign w:val="subscript"/>
        </w:rPr>
        <w:t>3</w:t>
      </w:r>
      <w:r w:rsidRPr="0018386D">
        <w:t>)</w:t>
      </w:r>
      <w:bookmarkStart w:id="36" w:name="_Hlk532887809"/>
      <w:r w:rsidR="00F5320E" w:rsidRPr="0018386D">
        <w:rPr>
          <w:vertAlign w:val="superscript"/>
        </w:rPr>
        <w:footnoteReference w:id="5"/>
      </w:r>
      <w:r w:rsidR="00D67A71" w:rsidRPr="0018386D">
        <w:t xml:space="preserve"> </w:t>
      </w:r>
      <w:bookmarkEnd w:id="36"/>
      <w:r w:rsidR="00587D87" w:rsidRPr="0018386D">
        <w:t>and other gases (eg</w:t>
      </w:r>
      <w:r w:rsidR="00360E64" w:rsidRPr="0018386D">
        <w:t>,</w:t>
      </w:r>
      <w:r w:rsidR="00587D87" w:rsidRPr="0018386D">
        <w:t xml:space="preserve"> </w:t>
      </w:r>
      <w:r w:rsidR="00DB262F" w:rsidRPr="0018386D">
        <w:t>Montreal Protocol refrigerant gases or medical gases</w:t>
      </w:r>
      <w:r w:rsidR="00B24D48" w:rsidRPr="0018386D">
        <w:t>)</w:t>
      </w:r>
      <w:r w:rsidR="00FB197E" w:rsidRPr="0018386D">
        <w:t>.</w:t>
      </w:r>
      <w:r w:rsidR="00F5320E" w:rsidRPr="0018386D" w:rsidDel="00F5320E">
        <w:t xml:space="preserve"> </w:t>
      </w:r>
    </w:p>
    <w:p w14:paraId="47671B10" w14:textId="1EA2FBEB" w:rsidR="006D2E70" w:rsidRPr="0018386D" w:rsidRDefault="00206E30" w:rsidP="00DD3106">
      <w:pPr>
        <w:pStyle w:val="BodyText"/>
        <w:spacing w:before="100"/>
        <w:rPr>
          <w:rFonts w:eastAsia="Times New Roman"/>
        </w:rPr>
      </w:pPr>
      <w:r w:rsidRPr="0018386D">
        <w:t xml:space="preserve">GHGs can trap differing amounts of heat in the atmosphere, meaning they have different relative impacts on climate change. </w:t>
      </w:r>
      <w:r w:rsidR="008A2A9F" w:rsidRPr="0018386D">
        <w:t>We apply</w:t>
      </w:r>
      <w:r w:rsidRPr="0018386D">
        <w:rPr>
          <w:rFonts w:eastAsia="Times New Roman"/>
        </w:rPr>
        <w:t xml:space="preserve"> GWPs</w:t>
      </w:r>
      <w:r w:rsidR="009227A5" w:rsidRPr="0018386D">
        <w:rPr>
          <w:rFonts w:eastAsia="Times New Roman"/>
        </w:rPr>
        <w:t xml:space="preserve"> </w:t>
      </w:r>
      <w:r w:rsidR="00AB4453" w:rsidRPr="0018386D">
        <w:rPr>
          <w:rFonts w:eastAsia="Times New Roman"/>
        </w:rPr>
        <w:t>to the non-CO</w:t>
      </w:r>
      <w:r w:rsidR="00AB4453" w:rsidRPr="0018386D">
        <w:rPr>
          <w:rFonts w:eastAsia="Times New Roman"/>
          <w:vertAlign w:val="subscript"/>
        </w:rPr>
        <w:t>2</w:t>
      </w:r>
      <w:r w:rsidR="00AB4453" w:rsidRPr="0018386D">
        <w:rPr>
          <w:rFonts w:eastAsia="Times New Roman"/>
        </w:rPr>
        <w:t xml:space="preserve"> gases to</w:t>
      </w:r>
      <w:r w:rsidRPr="0018386D">
        <w:rPr>
          <w:rFonts w:eastAsia="Times New Roman"/>
        </w:rPr>
        <w:t xml:space="preserve"> enable meaningful comparison</w:t>
      </w:r>
      <w:r w:rsidR="00755AA1" w:rsidRPr="0018386D">
        <w:rPr>
          <w:rFonts w:eastAsia="Times New Roman"/>
        </w:rPr>
        <w:t>s</w:t>
      </w:r>
      <w:r w:rsidRPr="0018386D">
        <w:rPr>
          <w:rFonts w:eastAsia="Times New Roman"/>
        </w:rPr>
        <w:t xml:space="preserve"> </w:t>
      </w:r>
      <w:r w:rsidR="00755AA1" w:rsidRPr="0018386D">
        <w:rPr>
          <w:rFonts w:eastAsia="Times New Roman"/>
        </w:rPr>
        <w:t xml:space="preserve">among </w:t>
      </w:r>
      <w:r w:rsidRPr="0018386D">
        <w:rPr>
          <w:rFonts w:eastAsia="Times New Roman"/>
        </w:rPr>
        <w:t>the gas</w:t>
      </w:r>
      <w:r w:rsidR="00957626" w:rsidRPr="0018386D">
        <w:rPr>
          <w:rFonts w:eastAsia="Times New Roman"/>
        </w:rPr>
        <w:t xml:space="preserve"> types</w:t>
      </w:r>
      <w:r w:rsidR="000E4433" w:rsidRPr="0018386D">
        <w:rPr>
          <w:rFonts w:eastAsia="Times New Roman"/>
        </w:rPr>
        <w:t xml:space="preserve"> compared with CO</w:t>
      </w:r>
      <w:r w:rsidR="000E4433" w:rsidRPr="0018386D">
        <w:rPr>
          <w:rFonts w:eastAsia="Times New Roman"/>
          <w:vertAlign w:val="subscript"/>
        </w:rPr>
        <w:t>2</w:t>
      </w:r>
      <w:r w:rsidR="000E4433" w:rsidRPr="0018386D">
        <w:rPr>
          <w:rFonts w:eastAsia="Times New Roman"/>
        </w:rPr>
        <w:t>. Where GWPs are applied to these gases,</w:t>
      </w:r>
      <w:r w:rsidRPr="0018386D">
        <w:rPr>
          <w:rFonts w:eastAsia="Times New Roman"/>
        </w:rPr>
        <w:t xml:space="preserve"> GHG emissions are commonly expressed as </w:t>
      </w:r>
      <w:r w:rsidR="009D50EF" w:rsidRPr="0018386D">
        <w:rPr>
          <w:rFonts w:eastAsia="Times New Roman"/>
        </w:rPr>
        <w:t xml:space="preserve">their </w:t>
      </w:r>
      <w:r w:rsidRPr="0018386D">
        <w:rPr>
          <w:rFonts w:eastAsia="Times New Roman"/>
        </w:rPr>
        <w:t>carbon dioxide equivalent or CO</w:t>
      </w:r>
      <w:r w:rsidRPr="0018386D">
        <w:rPr>
          <w:rFonts w:eastAsia="Times New Roman"/>
          <w:vertAlign w:val="subscript"/>
        </w:rPr>
        <w:t>2</w:t>
      </w:r>
      <w:r w:rsidRPr="0018386D">
        <w:rPr>
          <w:rFonts w:eastAsia="Times New Roman"/>
        </w:rPr>
        <w:t>-e</w:t>
      </w:r>
      <w:r w:rsidR="00991D31" w:rsidRPr="0018386D">
        <w:rPr>
          <w:rFonts w:eastAsia="Times New Roman"/>
        </w:rPr>
        <w:t xml:space="preserve">. </w:t>
      </w:r>
      <w:r w:rsidR="00264308" w:rsidRPr="0018386D">
        <w:rPr>
          <w:rFonts w:eastAsia="Times New Roman"/>
        </w:rPr>
        <w:t xml:space="preserve">The larger the GWP, the more a given gas warms the </w:t>
      </w:r>
      <w:r w:rsidR="00FE6B5E" w:rsidRPr="0018386D">
        <w:rPr>
          <w:rFonts w:eastAsia="Times New Roman"/>
        </w:rPr>
        <w:t>e</w:t>
      </w:r>
      <w:r w:rsidR="00264308" w:rsidRPr="0018386D">
        <w:rPr>
          <w:rFonts w:eastAsia="Times New Roman"/>
        </w:rPr>
        <w:t>arth compared to CO</w:t>
      </w:r>
      <w:r w:rsidR="00264308" w:rsidRPr="0018386D">
        <w:rPr>
          <w:rFonts w:eastAsia="Times New Roman"/>
          <w:vertAlign w:val="subscript"/>
        </w:rPr>
        <w:t>2</w:t>
      </w:r>
      <w:r w:rsidR="00264308" w:rsidRPr="0018386D">
        <w:rPr>
          <w:rFonts w:eastAsia="Times New Roman"/>
        </w:rPr>
        <w:t xml:space="preserve"> over that </w:t>
      </w:r>
      <w:proofErr w:type="gramStart"/>
      <w:r w:rsidR="007E5765" w:rsidRPr="0018386D">
        <w:rPr>
          <w:rFonts w:eastAsia="Times New Roman"/>
        </w:rPr>
        <w:t xml:space="preserve">time </w:t>
      </w:r>
      <w:r w:rsidR="00264308" w:rsidRPr="0018386D">
        <w:rPr>
          <w:rFonts w:eastAsia="Times New Roman"/>
        </w:rPr>
        <w:t>period</w:t>
      </w:r>
      <w:proofErr w:type="gramEnd"/>
      <w:r w:rsidR="00264308" w:rsidRPr="0018386D">
        <w:rPr>
          <w:rFonts w:eastAsia="Times New Roman"/>
        </w:rPr>
        <w:t xml:space="preserve">. </w:t>
      </w:r>
      <w:r w:rsidR="0087424B" w:rsidRPr="0018386D">
        <w:rPr>
          <w:rFonts w:eastAsia="Times New Roman"/>
        </w:rPr>
        <w:t xml:space="preserve">The </w:t>
      </w:r>
      <w:proofErr w:type="gramStart"/>
      <w:r w:rsidR="009B5B36" w:rsidRPr="0018386D">
        <w:rPr>
          <w:rFonts w:eastAsia="Times New Roman"/>
        </w:rPr>
        <w:t>time</w:t>
      </w:r>
      <w:r w:rsidR="0087424B" w:rsidRPr="0018386D">
        <w:rPr>
          <w:rFonts w:eastAsia="Times New Roman"/>
        </w:rPr>
        <w:t xml:space="preserve"> period</w:t>
      </w:r>
      <w:proofErr w:type="gramEnd"/>
      <w:r w:rsidR="0087424B" w:rsidRPr="0018386D">
        <w:rPr>
          <w:rFonts w:eastAsia="Times New Roman"/>
        </w:rPr>
        <w:t xml:space="preserve"> usually used for GWPs is 100 years</w:t>
      </w:r>
      <w:r w:rsidR="00E02301" w:rsidRPr="0018386D">
        <w:rPr>
          <w:rFonts w:eastAsia="Times New Roman"/>
        </w:rPr>
        <w:t xml:space="preserve"> to align with UNFCCC greenhouse gas inventory reporting requirements</w:t>
      </w:r>
      <w:r w:rsidR="0087424B" w:rsidRPr="0018386D">
        <w:rPr>
          <w:rFonts w:eastAsia="Times New Roman"/>
        </w:rPr>
        <w:t xml:space="preserve">. </w:t>
      </w:r>
      <w:r w:rsidR="00991D31" w:rsidRPr="0018386D">
        <w:rPr>
          <w:rFonts w:eastAsia="Times New Roman"/>
        </w:rPr>
        <w:t>T</w:t>
      </w:r>
      <w:r w:rsidRPr="0018386D">
        <w:rPr>
          <w:rFonts w:eastAsia="Times New Roman"/>
        </w:rPr>
        <w:t xml:space="preserve">his is used throughout the guide. </w:t>
      </w:r>
    </w:p>
    <w:p w14:paraId="19F2E5A8" w14:textId="6BEFE314" w:rsidR="00206E30" w:rsidRPr="0018386D" w:rsidRDefault="00206E30" w:rsidP="00DD3106">
      <w:pPr>
        <w:pStyle w:val="BodyText"/>
      </w:pPr>
      <w:r w:rsidRPr="0018386D">
        <w:t xml:space="preserve">To do this, we multiply the emissions for each </w:t>
      </w:r>
      <w:r w:rsidR="00F01E87" w:rsidRPr="0018386D">
        <w:t>non-</w:t>
      </w:r>
      <w:r w:rsidR="00527B5B" w:rsidRPr="0018386D">
        <w:t>CO</w:t>
      </w:r>
      <w:r w:rsidR="00527B5B" w:rsidRPr="0018386D">
        <w:rPr>
          <w:vertAlign w:val="subscript"/>
        </w:rPr>
        <w:t>2</w:t>
      </w:r>
      <w:r w:rsidR="00F01E87" w:rsidRPr="0018386D">
        <w:t xml:space="preserve"> </w:t>
      </w:r>
      <w:r w:rsidRPr="0018386D">
        <w:t xml:space="preserve">gas by </w:t>
      </w:r>
      <w:r w:rsidR="00527B5B" w:rsidRPr="0018386D">
        <w:t xml:space="preserve">its </w:t>
      </w:r>
      <w:r w:rsidR="001C297D" w:rsidRPr="0018386D">
        <w:t>100-year time-horizon GWP</w:t>
      </w:r>
      <w:r w:rsidR="00031DF7" w:rsidRPr="0018386D">
        <w:t> </w:t>
      </w:r>
      <w:r w:rsidR="001C297D" w:rsidRPr="0018386D">
        <w:t>(GWP</w:t>
      </w:r>
      <w:r w:rsidR="001C297D" w:rsidRPr="0018386D">
        <w:rPr>
          <w:vertAlign w:val="subscript"/>
        </w:rPr>
        <w:t>100</w:t>
      </w:r>
      <w:r w:rsidR="001C297D" w:rsidRPr="0018386D">
        <w:t>) value</w:t>
      </w:r>
      <w:r w:rsidR="00991D31" w:rsidRPr="0018386D">
        <w:t xml:space="preserve"> – see</w:t>
      </w:r>
      <w:r w:rsidR="009E3E3F" w:rsidRPr="0018386D">
        <w:t xml:space="preserve"> </w:t>
      </w:r>
      <w:r w:rsidR="006642BD" w:rsidRPr="0018386D">
        <w:t xml:space="preserve">table </w:t>
      </w:r>
      <w:r w:rsidR="00395A90" w:rsidRPr="0018386D">
        <w:t>1</w:t>
      </w:r>
      <w:r w:rsidR="009E3E3F" w:rsidRPr="0018386D">
        <w:t>.</w:t>
      </w:r>
      <w:r w:rsidR="00991D31" w:rsidRPr="0018386D">
        <w:t xml:space="preserve"> </w:t>
      </w:r>
      <w:r w:rsidRPr="0018386D">
        <w:t>The IPCC provides more information on</w:t>
      </w:r>
      <w:r w:rsidR="000B68D1" w:rsidRPr="0018386D">
        <w:t> </w:t>
      </w:r>
      <w:r w:rsidRPr="0018386D">
        <w:t>how these factors are calculated.</w:t>
      </w:r>
      <w:r w:rsidR="1A35FD23" w:rsidRPr="0018386D">
        <w:t xml:space="preserve"> </w:t>
      </w:r>
    </w:p>
    <w:p w14:paraId="0884A36B" w14:textId="4708B946" w:rsidR="55D7753B" w:rsidRPr="0018386D" w:rsidRDefault="55D7753B" w:rsidP="00DD3106">
      <w:pPr>
        <w:pStyle w:val="BodyText"/>
      </w:pPr>
      <w:r w:rsidRPr="0018386D">
        <w:t xml:space="preserve">As of this update to </w:t>
      </w:r>
      <w:r w:rsidRPr="0018386D">
        <w:rPr>
          <w:i/>
          <w:iCs/>
        </w:rPr>
        <w:t>Measuring emissions: A guide for organisations</w:t>
      </w:r>
      <w:r w:rsidR="00700B48" w:rsidRPr="0018386D">
        <w:t>,</w:t>
      </w:r>
      <w:r w:rsidRPr="0018386D">
        <w:t xml:space="preserve"> the 100-year GWPs in the IPCC Fifth </w:t>
      </w:r>
      <w:r w:rsidR="00D5693C" w:rsidRPr="0018386D">
        <w:t xml:space="preserve">Assessment </w:t>
      </w:r>
      <w:r w:rsidRPr="0018386D">
        <w:t>Report (AR5) are used, as we enter the reporting period for the Paris Agreement.</w:t>
      </w:r>
    </w:p>
    <w:p w14:paraId="5E426776" w14:textId="21E9C694" w:rsidR="0084555C" w:rsidRPr="0018386D" w:rsidRDefault="0084555C" w:rsidP="00DD3106">
      <w:pPr>
        <w:pStyle w:val="BodyText"/>
      </w:pPr>
      <w:r w:rsidRPr="0018386D">
        <w:t>Throughout the guide, kilograms (kg) of methane and nitrous oxide are reported in kg CO</w:t>
      </w:r>
      <w:r w:rsidRPr="0018386D">
        <w:rPr>
          <w:vertAlign w:val="subscript"/>
        </w:rPr>
        <w:t>2</w:t>
      </w:r>
      <w:r w:rsidRPr="0018386D">
        <w:t>-e by multiplying the actual methane emissions by the GWP of 28 and actual nitrous oxide emissions by the GWP of 265, as per</w:t>
      </w:r>
      <w:r w:rsidRPr="0018386D">
        <w:rPr>
          <w:color w:val="327F9B"/>
        </w:rPr>
        <w:t xml:space="preserve"> </w:t>
      </w:r>
      <w:r w:rsidRPr="0018386D">
        <w:t>table 1.</w:t>
      </w:r>
    </w:p>
    <w:p w14:paraId="3E6CE9C9" w14:textId="3E250237" w:rsidR="55D7753B" w:rsidRPr="0018386D" w:rsidRDefault="55D7753B" w:rsidP="00DD3106">
      <w:pPr>
        <w:pStyle w:val="BodyText"/>
      </w:pPr>
      <w:r w:rsidRPr="0018386D">
        <w:t>The change from AR4 to AR5 GWPs may cause a significant change in some organisations</w:t>
      </w:r>
      <w:r w:rsidR="007436DE" w:rsidRPr="0018386D">
        <w:t>’</w:t>
      </w:r>
      <w:r w:rsidRPr="0018386D">
        <w:t xml:space="preserve"> inventories, including those </w:t>
      </w:r>
      <w:r w:rsidR="007436DE" w:rsidRPr="0018386D">
        <w:t xml:space="preserve">that </w:t>
      </w:r>
      <w:r w:rsidRPr="0018386D">
        <w:t>use large quantities of refrigerants</w:t>
      </w:r>
      <w:r w:rsidR="000F4328" w:rsidRPr="0018386D">
        <w:t>, or</w:t>
      </w:r>
      <w:r w:rsidR="007436DE" w:rsidRPr="0018386D">
        <w:t xml:space="preserve"> that</w:t>
      </w:r>
      <w:r w:rsidR="002372E0" w:rsidRPr="0018386D">
        <w:t xml:space="preserve"> use</w:t>
      </w:r>
      <w:r w:rsidR="0092367B" w:rsidRPr="0018386D">
        <w:t xml:space="preserve"> emission factors with relatively high contributions of methane</w:t>
      </w:r>
      <w:r w:rsidR="00A00AB9" w:rsidRPr="0018386D">
        <w:t>.</w:t>
      </w:r>
      <w:r w:rsidRPr="0018386D">
        <w:t xml:space="preserve"> For those that see </w:t>
      </w:r>
      <w:r w:rsidR="000A129D" w:rsidRPr="0018386D">
        <w:t xml:space="preserve">increases or </w:t>
      </w:r>
      <w:r w:rsidRPr="0018386D">
        <w:t xml:space="preserve">reductions in their footprints, it would be misleading to interpret this as a true </w:t>
      </w:r>
      <w:r w:rsidR="000A129D" w:rsidRPr="0018386D">
        <w:t xml:space="preserve">increase or </w:t>
      </w:r>
      <w:r w:rsidRPr="0018386D">
        <w:t xml:space="preserve">reduction. It </w:t>
      </w:r>
      <w:r w:rsidR="00363EF8" w:rsidRPr="0018386D">
        <w:t>is</w:t>
      </w:r>
      <w:r w:rsidR="000A129D" w:rsidRPr="0018386D">
        <w:t xml:space="preserve"> best pract</w:t>
      </w:r>
      <w:r w:rsidR="00006D1E" w:rsidRPr="0018386D">
        <w:t>ic</w:t>
      </w:r>
      <w:r w:rsidR="000A129D" w:rsidRPr="0018386D">
        <w:t>e</w:t>
      </w:r>
      <w:r w:rsidRPr="0018386D">
        <w:t xml:space="preserve"> to </w:t>
      </w:r>
      <w:r w:rsidR="00363EF8" w:rsidRPr="0018386D">
        <w:t xml:space="preserve">recalculate </w:t>
      </w:r>
      <w:r w:rsidRPr="0018386D">
        <w:t>previous inventories based on updated</w:t>
      </w:r>
      <w:r w:rsidR="004A42A9" w:rsidRPr="0018386D">
        <w:t xml:space="preserve"> GWPs</w:t>
      </w:r>
      <w:r w:rsidR="00A73E64" w:rsidRPr="0018386D">
        <w:t xml:space="preserve">, </w:t>
      </w:r>
      <w:r w:rsidR="004A42A9" w:rsidRPr="0018386D">
        <w:t>to</w:t>
      </w:r>
      <w:r w:rsidR="00001C42" w:rsidRPr="0018386D">
        <w:t xml:space="preserve"> ensure </w:t>
      </w:r>
      <w:r w:rsidR="00CF0D08" w:rsidRPr="0018386D">
        <w:t>time</w:t>
      </w:r>
      <w:r w:rsidR="00001C42" w:rsidRPr="0018386D">
        <w:t xml:space="preserve"> series consistency</w:t>
      </w:r>
      <w:r w:rsidRPr="0018386D">
        <w:t>.</w:t>
      </w:r>
    </w:p>
    <w:p w14:paraId="2AA0DB55" w14:textId="693709F1" w:rsidR="00845DB4" w:rsidRPr="0018386D" w:rsidRDefault="0073634B" w:rsidP="00DD3106">
      <w:pPr>
        <w:pStyle w:val="BodyText"/>
        <w:rPr>
          <w:rFonts w:eastAsia="Times New Roman"/>
        </w:rPr>
      </w:pPr>
      <w:r w:rsidRPr="0018386D">
        <w:t>Table 1 shows the GWPs for nitrous oxide and methane comparing AR4 and AR5 values. The GWP of nitrous oxide has decreased by 11.1 per cent and the GWP of methane has increased by 12 per cent.</w:t>
      </w:r>
      <w:r w:rsidR="00BB4D4E" w:rsidRPr="0018386D">
        <w:t xml:space="preserve"> AR5 GWPs for other gases such as refrigerants are shown in </w:t>
      </w:r>
      <w:hyperlink w:anchor="table7" w:history="1">
        <w:r w:rsidR="00BB4D4E" w:rsidRPr="0018386D">
          <w:rPr>
            <w:rStyle w:val="Hyperlink"/>
          </w:rPr>
          <w:t>table 7</w:t>
        </w:r>
      </w:hyperlink>
      <w:r w:rsidR="00BB4D4E" w:rsidRPr="0018386D">
        <w:t>.</w:t>
      </w:r>
      <w:r w:rsidR="00845DB4" w:rsidRPr="0018386D">
        <w:rPr>
          <w:rFonts w:eastAsia="Times New Roman"/>
        </w:rPr>
        <w:t xml:space="preserve"> </w:t>
      </w:r>
    </w:p>
    <w:p w14:paraId="26AFA577" w14:textId="7A9FEA53" w:rsidR="00206E30" w:rsidRPr="0018386D" w:rsidRDefault="00206E30" w:rsidP="00DD3106">
      <w:pPr>
        <w:pStyle w:val="Tableheading"/>
      </w:pPr>
      <w:bookmarkStart w:id="37" w:name="_Toc111536606"/>
      <w:bookmarkStart w:id="38" w:name="_Toc140048941"/>
      <w:r w:rsidRPr="0018386D">
        <w:t xml:space="preserve">Table </w:t>
      </w:r>
      <w:bookmarkStart w:id="39" w:name="_Ref606115"/>
      <w:r w:rsidR="00845DB4" w:rsidRPr="0018386D">
        <w:fldChar w:fldCharType="begin"/>
      </w:r>
      <w:r w:rsidR="00845DB4" w:rsidRPr="0018386D">
        <w:instrText>SEQ Table \* ARABIC</w:instrText>
      </w:r>
      <w:r w:rsidR="00845DB4" w:rsidRPr="0018386D">
        <w:fldChar w:fldCharType="separate"/>
      </w:r>
      <w:r w:rsidR="003E141C" w:rsidRPr="0018386D">
        <w:t>1</w:t>
      </w:r>
      <w:r w:rsidR="00845DB4" w:rsidRPr="0018386D">
        <w:fldChar w:fldCharType="end"/>
      </w:r>
      <w:bookmarkEnd w:id="39"/>
      <w:r w:rsidRPr="0018386D">
        <w:t>:</w:t>
      </w:r>
      <w:r w:rsidR="00845DB4" w:rsidRPr="0018386D">
        <w:tab/>
      </w:r>
      <w:r w:rsidRPr="0018386D">
        <w:t xml:space="preserve">Global warming potential (GWP) of </w:t>
      </w:r>
      <w:r w:rsidR="00831325" w:rsidRPr="0018386D">
        <w:t>GHGs</w:t>
      </w:r>
      <w:r w:rsidR="00E6754B" w:rsidRPr="0018386D">
        <w:t xml:space="preserve"> (excluding fossil methane),</w:t>
      </w:r>
      <w:r w:rsidR="0010421C" w:rsidRPr="0018386D">
        <w:br/>
      </w:r>
      <w:r w:rsidRPr="0018386D">
        <w:t xml:space="preserve">based on 100-year </w:t>
      </w:r>
      <w:proofErr w:type="gramStart"/>
      <w:r w:rsidRPr="0018386D">
        <w:t>period</w:t>
      </w:r>
      <w:bookmarkEnd w:id="37"/>
      <w:bookmarkEnd w:id="38"/>
      <w:proofErr w:type="gramEnd"/>
      <w:r w:rsidR="00001C42" w:rsidRPr="0018386D">
        <w:t xml:space="preserve"> </w:t>
      </w:r>
    </w:p>
    <w:tbl>
      <w:tblPr>
        <w:tblStyle w:val="LightList-Accent11"/>
        <w:tblW w:w="8505" w:type="dxa"/>
        <w:tblLook w:val="04A0" w:firstRow="1" w:lastRow="0" w:firstColumn="1" w:lastColumn="0" w:noHBand="0" w:noVBand="1"/>
      </w:tblPr>
      <w:tblGrid>
        <w:gridCol w:w="2416"/>
        <w:gridCol w:w="2031"/>
        <w:gridCol w:w="2029"/>
        <w:gridCol w:w="2029"/>
      </w:tblGrid>
      <w:tr w:rsidR="007A40BD" w:rsidRPr="0018386D" w14:paraId="2C23D422" w14:textId="3F1AC7E0" w:rsidTr="00660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Borders>
              <w:left w:val="single" w:sz="4" w:space="0" w:color="1B556B" w:themeColor="text2"/>
              <w:bottom w:val="single" w:sz="8" w:space="0" w:color="1C556C" w:themeColor="accent1"/>
            </w:tcBorders>
            <w:shd w:val="clear" w:color="auto" w:fill="1B556B" w:themeFill="text2"/>
          </w:tcPr>
          <w:p w14:paraId="3B6BA0AB" w14:textId="6AB9F1F3" w:rsidR="007A40BD" w:rsidRPr="0018386D" w:rsidRDefault="007A40BD" w:rsidP="00DD3106">
            <w:pPr>
              <w:pStyle w:val="TableTextbold"/>
              <w:spacing w:before="40" w:after="40"/>
              <w:rPr>
                <w:b/>
                <w:bCs w:val="0"/>
              </w:rPr>
            </w:pPr>
            <w:r w:rsidRPr="0018386D">
              <w:rPr>
                <w:b/>
                <w:bCs w:val="0"/>
              </w:rPr>
              <w:t>GHGs</w:t>
            </w:r>
          </w:p>
        </w:tc>
        <w:tc>
          <w:tcPr>
            <w:tcW w:w="1194" w:type="pct"/>
            <w:tcBorders>
              <w:bottom w:val="single" w:sz="8" w:space="0" w:color="1C556C" w:themeColor="accent1"/>
            </w:tcBorders>
            <w:shd w:val="clear" w:color="auto" w:fill="1B556B" w:themeFill="text2"/>
          </w:tcPr>
          <w:p w14:paraId="24BA36A9" w14:textId="7DF03F93" w:rsidR="007A40BD" w:rsidRPr="0018386D" w:rsidRDefault="007A40BD" w:rsidP="00DD3106">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Scientific Formula</w:t>
            </w:r>
          </w:p>
        </w:tc>
        <w:tc>
          <w:tcPr>
            <w:tcW w:w="1193" w:type="pct"/>
            <w:tcBorders>
              <w:bottom w:val="single" w:sz="8" w:space="0" w:color="1C556C" w:themeColor="accent1"/>
            </w:tcBorders>
            <w:shd w:val="clear" w:color="auto" w:fill="1B556B" w:themeFill="text2"/>
          </w:tcPr>
          <w:p w14:paraId="2AFFA32E" w14:textId="604A25E0" w:rsidR="007A40BD" w:rsidRPr="0018386D" w:rsidRDefault="007A40BD" w:rsidP="00DD3106">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GWP (AR4)</w:t>
            </w:r>
          </w:p>
        </w:tc>
        <w:tc>
          <w:tcPr>
            <w:tcW w:w="1193" w:type="pct"/>
            <w:tcBorders>
              <w:bottom w:val="single" w:sz="8" w:space="0" w:color="1C556C" w:themeColor="accent1"/>
            </w:tcBorders>
            <w:shd w:val="clear" w:color="auto" w:fill="1B556B" w:themeFill="text2"/>
          </w:tcPr>
          <w:p w14:paraId="0172BA1D" w14:textId="1B059D25" w:rsidR="007A40BD" w:rsidRPr="0018386D" w:rsidRDefault="007A40BD" w:rsidP="00DD3106">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GWP (AR5)</w:t>
            </w:r>
          </w:p>
        </w:tc>
      </w:tr>
      <w:tr w:rsidR="007A40BD" w:rsidRPr="0018386D" w14:paraId="0AFA7500" w14:textId="6A9B18B8" w:rsidTr="0066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Borders>
              <w:left w:val="nil"/>
            </w:tcBorders>
          </w:tcPr>
          <w:p w14:paraId="758DED92" w14:textId="05B4F459" w:rsidR="007A40BD" w:rsidRPr="0018386D" w:rsidRDefault="007A40BD" w:rsidP="00DD3106">
            <w:pPr>
              <w:pStyle w:val="TableText"/>
              <w:spacing w:before="40" w:after="40"/>
              <w:rPr>
                <w:rFonts w:eastAsia="Times New Roman"/>
                <w:b w:val="0"/>
              </w:rPr>
            </w:pPr>
            <w:r w:rsidRPr="0018386D">
              <w:rPr>
                <w:rFonts w:eastAsia="Times New Roman"/>
              </w:rPr>
              <w:t xml:space="preserve">Nitrous </w:t>
            </w:r>
            <w:r w:rsidR="00E6754B" w:rsidRPr="0018386D">
              <w:rPr>
                <w:rFonts w:eastAsia="Times New Roman"/>
              </w:rPr>
              <w:t>o</w:t>
            </w:r>
            <w:r w:rsidRPr="0018386D">
              <w:rPr>
                <w:rFonts w:eastAsia="Times New Roman"/>
              </w:rPr>
              <w:t xml:space="preserve">xide </w:t>
            </w:r>
          </w:p>
        </w:tc>
        <w:tc>
          <w:tcPr>
            <w:tcW w:w="1194" w:type="pct"/>
          </w:tcPr>
          <w:p w14:paraId="3975D3D8" w14:textId="0F4E897D" w:rsidR="007A40BD" w:rsidRPr="0018386D" w:rsidRDefault="007A40B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18386D">
              <w:rPr>
                <w:rFonts w:eastAsia="Times New Roman"/>
              </w:rPr>
              <w:t>N</w:t>
            </w:r>
            <w:r w:rsidRPr="0018386D">
              <w:rPr>
                <w:rFonts w:eastAsia="Times New Roman"/>
                <w:vertAlign w:val="subscript"/>
              </w:rPr>
              <w:t>2</w:t>
            </w:r>
            <w:r w:rsidRPr="0018386D">
              <w:rPr>
                <w:rFonts w:eastAsia="Times New Roman"/>
              </w:rPr>
              <w:t>O</w:t>
            </w:r>
          </w:p>
        </w:tc>
        <w:tc>
          <w:tcPr>
            <w:tcW w:w="1193" w:type="pct"/>
          </w:tcPr>
          <w:p w14:paraId="60DFF658" w14:textId="16CFB595" w:rsidR="007A40BD" w:rsidRPr="0018386D" w:rsidRDefault="007A40B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18386D">
              <w:rPr>
                <w:rFonts w:eastAsia="Times New Roman"/>
              </w:rPr>
              <w:t>298</w:t>
            </w:r>
          </w:p>
        </w:tc>
        <w:tc>
          <w:tcPr>
            <w:tcW w:w="1193" w:type="pct"/>
            <w:tcBorders>
              <w:right w:val="nil"/>
            </w:tcBorders>
          </w:tcPr>
          <w:p w14:paraId="5B102DEF" w14:textId="61709372" w:rsidR="007A40BD" w:rsidRPr="0018386D" w:rsidRDefault="0008657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18386D">
              <w:rPr>
                <w:rFonts w:eastAsia="Times New Roman"/>
              </w:rPr>
              <w:t>265</w:t>
            </w:r>
          </w:p>
        </w:tc>
      </w:tr>
      <w:tr w:rsidR="007A40BD" w:rsidRPr="0018386D" w14:paraId="363F1E55" w14:textId="38D79101" w:rsidTr="006604B1">
        <w:tc>
          <w:tcPr>
            <w:cnfStyle w:val="001000000000" w:firstRow="0" w:lastRow="0" w:firstColumn="1" w:lastColumn="0" w:oddVBand="0" w:evenVBand="0" w:oddHBand="0" w:evenHBand="0" w:firstRowFirstColumn="0" w:firstRowLastColumn="0" w:lastRowFirstColumn="0" w:lastRowLastColumn="0"/>
            <w:tcW w:w="1420" w:type="pct"/>
            <w:tcBorders>
              <w:top w:val="single" w:sz="8" w:space="0" w:color="1C556C" w:themeColor="accent1"/>
              <w:left w:val="nil"/>
              <w:bottom w:val="single" w:sz="8" w:space="0" w:color="1C556C" w:themeColor="accent1"/>
            </w:tcBorders>
          </w:tcPr>
          <w:p w14:paraId="45672B1C" w14:textId="7021E6E1" w:rsidR="007A40BD" w:rsidRPr="0018386D" w:rsidRDefault="007A40BD" w:rsidP="00DD3106">
            <w:pPr>
              <w:pStyle w:val="TableText"/>
              <w:spacing w:before="40" w:after="40"/>
              <w:rPr>
                <w:rFonts w:eastAsia="Times New Roman"/>
                <w:b w:val="0"/>
              </w:rPr>
            </w:pPr>
            <w:r w:rsidRPr="0018386D">
              <w:rPr>
                <w:rFonts w:eastAsia="Times New Roman"/>
              </w:rPr>
              <w:t xml:space="preserve">Methane </w:t>
            </w:r>
          </w:p>
        </w:tc>
        <w:tc>
          <w:tcPr>
            <w:tcW w:w="1194" w:type="pct"/>
            <w:tcBorders>
              <w:top w:val="single" w:sz="8" w:space="0" w:color="1C556C" w:themeColor="accent1"/>
              <w:bottom w:val="single" w:sz="8" w:space="0" w:color="1C556C" w:themeColor="accent1"/>
            </w:tcBorders>
          </w:tcPr>
          <w:p w14:paraId="3850892C" w14:textId="0201B656" w:rsidR="007A40BD" w:rsidRPr="0018386D" w:rsidRDefault="007A40B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18386D">
              <w:rPr>
                <w:rFonts w:eastAsia="Times New Roman"/>
              </w:rPr>
              <w:t>CH</w:t>
            </w:r>
            <w:r w:rsidRPr="0018386D">
              <w:rPr>
                <w:rFonts w:eastAsia="Times New Roman"/>
                <w:vertAlign w:val="subscript"/>
              </w:rPr>
              <w:t>4</w:t>
            </w:r>
          </w:p>
        </w:tc>
        <w:tc>
          <w:tcPr>
            <w:tcW w:w="1193" w:type="pct"/>
            <w:tcBorders>
              <w:top w:val="single" w:sz="8" w:space="0" w:color="1C556C" w:themeColor="accent1"/>
              <w:bottom w:val="single" w:sz="8" w:space="0" w:color="1C556C" w:themeColor="accent1"/>
            </w:tcBorders>
          </w:tcPr>
          <w:p w14:paraId="21EDAE29" w14:textId="784CE094" w:rsidR="007A40BD" w:rsidRPr="0018386D" w:rsidRDefault="007A40B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18386D">
              <w:rPr>
                <w:rFonts w:eastAsia="Times New Roman"/>
              </w:rPr>
              <w:t>25</w:t>
            </w:r>
          </w:p>
        </w:tc>
        <w:tc>
          <w:tcPr>
            <w:tcW w:w="1193" w:type="pct"/>
            <w:tcBorders>
              <w:top w:val="single" w:sz="8" w:space="0" w:color="1C556C" w:themeColor="accent1"/>
              <w:bottom w:val="single" w:sz="8" w:space="0" w:color="1C556C" w:themeColor="accent1"/>
              <w:right w:val="nil"/>
            </w:tcBorders>
          </w:tcPr>
          <w:p w14:paraId="40E2B8BE" w14:textId="799949C9" w:rsidR="007A40BD" w:rsidRPr="0018386D" w:rsidRDefault="00086579"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sidRPr="0018386D">
              <w:rPr>
                <w:rFonts w:eastAsia="Times New Roman"/>
              </w:rPr>
              <w:t>28</w:t>
            </w:r>
          </w:p>
        </w:tc>
      </w:tr>
      <w:tr w:rsidR="007A40BD" w:rsidRPr="0018386D" w14:paraId="336E76A5" w14:textId="5FAF7CD7" w:rsidTr="0066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Borders>
              <w:left w:val="nil"/>
            </w:tcBorders>
          </w:tcPr>
          <w:p w14:paraId="2E7B68A3" w14:textId="0A0E9C5A" w:rsidR="007A40BD" w:rsidRPr="0018386D" w:rsidRDefault="007A40BD" w:rsidP="00DD3106">
            <w:pPr>
              <w:pStyle w:val="TableText"/>
              <w:spacing w:before="40" w:after="40"/>
              <w:rPr>
                <w:rFonts w:eastAsia="Times New Roman"/>
                <w:b w:val="0"/>
              </w:rPr>
            </w:pPr>
            <w:r w:rsidRPr="0018386D">
              <w:rPr>
                <w:rFonts w:eastAsia="Times New Roman"/>
              </w:rPr>
              <w:t xml:space="preserve">Carbon </w:t>
            </w:r>
            <w:r w:rsidR="00E6754B" w:rsidRPr="0018386D">
              <w:rPr>
                <w:rFonts w:eastAsia="Times New Roman"/>
              </w:rPr>
              <w:t>d</w:t>
            </w:r>
            <w:r w:rsidRPr="0018386D">
              <w:rPr>
                <w:rFonts w:eastAsia="Times New Roman"/>
              </w:rPr>
              <w:t xml:space="preserve">ioxide </w:t>
            </w:r>
          </w:p>
        </w:tc>
        <w:tc>
          <w:tcPr>
            <w:tcW w:w="1194" w:type="pct"/>
          </w:tcPr>
          <w:p w14:paraId="38548376" w14:textId="44B0114B" w:rsidR="007A40BD" w:rsidRPr="0018386D" w:rsidRDefault="007A40B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18386D">
              <w:rPr>
                <w:rFonts w:eastAsia="Times New Roman"/>
              </w:rPr>
              <w:t>CO</w:t>
            </w:r>
            <w:r w:rsidRPr="0018386D">
              <w:rPr>
                <w:rFonts w:eastAsia="Times New Roman"/>
                <w:vertAlign w:val="subscript"/>
              </w:rPr>
              <w:t>2</w:t>
            </w:r>
          </w:p>
        </w:tc>
        <w:tc>
          <w:tcPr>
            <w:tcW w:w="1193" w:type="pct"/>
          </w:tcPr>
          <w:p w14:paraId="4F6A132D" w14:textId="04AB3D1F" w:rsidR="007A40BD" w:rsidRPr="0018386D" w:rsidRDefault="007A40B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18386D">
              <w:rPr>
                <w:rFonts w:eastAsia="Times New Roman"/>
              </w:rPr>
              <w:t>1</w:t>
            </w:r>
          </w:p>
        </w:tc>
        <w:tc>
          <w:tcPr>
            <w:tcW w:w="1193" w:type="pct"/>
            <w:tcBorders>
              <w:right w:val="nil"/>
            </w:tcBorders>
          </w:tcPr>
          <w:p w14:paraId="6A5530F9" w14:textId="60DE8B42" w:rsidR="007A40BD" w:rsidRPr="0018386D" w:rsidRDefault="0008657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rPr>
            </w:pPr>
            <w:r w:rsidRPr="0018386D">
              <w:rPr>
                <w:rFonts w:eastAsia="Times New Roman"/>
              </w:rPr>
              <w:t>1</w:t>
            </w:r>
          </w:p>
        </w:tc>
      </w:tr>
    </w:tbl>
    <w:p w14:paraId="56E2F38F" w14:textId="75685965" w:rsidR="00206E30" w:rsidRPr="0018386D" w:rsidRDefault="00206E30" w:rsidP="00DD3106">
      <w:pPr>
        <w:pStyle w:val="Heading3"/>
        <w:numPr>
          <w:ilvl w:val="2"/>
          <w:numId w:val="8"/>
        </w:numPr>
        <w:tabs>
          <w:tab w:val="left" w:pos="851"/>
        </w:tabs>
        <w:spacing w:before="400"/>
        <w:ind w:left="709" w:hanging="709"/>
      </w:pPr>
      <w:bookmarkStart w:id="40" w:name="_Toc532904843"/>
      <w:r w:rsidRPr="0018386D">
        <w:lastRenderedPageBreak/>
        <w:t xml:space="preserve">Kyoto and Montreal </w:t>
      </w:r>
      <w:r w:rsidR="003C0AE2" w:rsidRPr="0018386D">
        <w:t>p</w:t>
      </w:r>
      <w:r w:rsidRPr="0018386D">
        <w:t>rotocols and Paris Agreement</w:t>
      </w:r>
      <w:bookmarkEnd w:id="40"/>
    </w:p>
    <w:p w14:paraId="5BA6965B" w14:textId="018AE7D3" w:rsidR="00206E30" w:rsidRPr="0018386D" w:rsidRDefault="00206E30" w:rsidP="00DD3106">
      <w:pPr>
        <w:pStyle w:val="BodyText"/>
        <w:jc w:val="both"/>
        <w:rPr>
          <w:shd w:val="clear" w:color="auto" w:fill="FFFFFF"/>
        </w:rPr>
      </w:pPr>
      <w:r w:rsidRPr="0018386D">
        <w:t>The Kyoto Protocol</w:t>
      </w:r>
      <w:r w:rsidR="00145AB2" w:rsidRPr="0018386D">
        <w:t>,</w:t>
      </w:r>
      <w:r w:rsidR="00F66B9F" w:rsidRPr="0018386D">
        <w:rPr>
          <w:rStyle w:val="FootnoteReference"/>
          <w:spacing w:val="2"/>
        </w:rPr>
        <w:footnoteReference w:id="6"/>
      </w:r>
      <w:r w:rsidRPr="0018386D">
        <w:t xml:space="preserve"> </w:t>
      </w:r>
      <w:r w:rsidR="00115B9F" w:rsidRPr="0018386D">
        <w:t xml:space="preserve">adopted </w:t>
      </w:r>
      <w:r w:rsidRPr="0018386D">
        <w:t>in 1997</w:t>
      </w:r>
      <w:r w:rsidR="00ED26A1" w:rsidRPr="0018386D">
        <w:t xml:space="preserve">, </w:t>
      </w:r>
      <w:r w:rsidR="00361DB1" w:rsidRPr="0018386D">
        <w:t>operationalised</w:t>
      </w:r>
      <w:r w:rsidRPr="0018386D">
        <w:t xml:space="preserve"> the UNFCCC</w:t>
      </w:r>
      <w:r w:rsidR="00493539" w:rsidRPr="0018386D">
        <w:rPr>
          <w:spacing w:val="2"/>
        </w:rPr>
        <w:t xml:space="preserve"> by </w:t>
      </w:r>
      <w:r w:rsidR="00A968EA" w:rsidRPr="0018386D">
        <w:t>commit</w:t>
      </w:r>
      <w:r w:rsidR="00C57A76" w:rsidRPr="0018386D">
        <w:t>ting</w:t>
      </w:r>
      <w:r w:rsidRPr="0018386D">
        <w:t xml:space="preserve"> developed country parties to </w:t>
      </w:r>
      <w:r w:rsidR="00914376" w:rsidRPr="0018386D">
        <w:t xml:space="preserve">limit and </w:t>
      </w:r>
      <w:r w:rsidRPr="0018386D">
        <w:t>reduc</w:t>
      </w:r>
      <w:r w:rsidR="00914376" w:rsidRPr="0018386D">
        <w:t>e</w:t>
      </w:r>
      <w:r w:rsidRPr="0018386D">
        <w:t xml:space="preserve"> GHG emissions </w:t>
      </w:r>
      <w:r w:rsidR="000F196B" w:rsidRPr="0018386D">
        <w:t>in accordance with agreed individual targets. It</w:t>
      </w:r>
      <w:r w:rsidRPr="0018386D">
        <w:t xml:space="preserve"> </w:t>
      </w:r>
      <w:r w:rsidR="6116F90B" w:rsidRPr="0018386D">
        <w:t>includes the following</w:t>
      </w:r>
      <w:r w:rsidRPr="0018386D">
        <w:t xml:space="preserve"> gases: </w:t>
      </w:r>
      <w:r w:rsidR="0055299F" w:rsidRPr="0018386D">
        <w:rPr>
          <w:shd w:val="clear" w:color="auto" w:fill="FFFFFF"/>
        </w:rPr>
        <w:t>CO</w:t>
      </w:r>
      <w:r w:rsidR="0055299F" w:rsidRPr="0018386D">
        <w:rPr>
          <w:shd w:val="clear" w:color="auto" w:fill="FFFFFF"/>
          <w:vertAlign w:val="subscript"/>
        </w:rPr>
        <w:t>2</w:t>
      </w:r>
      <w:r w:rsidR="0055299F" w:rsidRPr="0018386D">
        <w:rPr>
          <w:shd w:val="clear" w:color="auto" w:fill="FFFFFF"/>
        </w:rPr>
        <w:t>, CH</w:t>
      </w:r>
      <w:r w:rsidR="0055299F" w:rsidRPr="0018386D">
        <w:rPr>
          <w:shd w:val="clear" w:color="auto" w:fill="FFFFFF"/>
          <w:vertAlign w:val="subscript"/>
        </w:rPr>
        <w:t>4</w:t>
      </w:r>
      <w:r w:rsidRPr="0018386D">
        <w:rPr>
          <w:shd w:val="clear" w:color="auto" w:fill="FFFFFF"/>
        </w:rPr>
        <w:t xml:space="preserve">, </w:t>
      </w:r>
      <w:r w:rsidR="0055299F" w:rsidRPr="0018386D">
        <w:rPr>
          <w:shd w:val="clear" w:color="auto" w:fill="FFFFFF"/>
        </w:rPr>
        <w:t>N</w:t>
      </w:r>
      <w:r w:rsidR="0055299F" w:rsidRPr="0018386D">
        <w:rPr>
          <w:shd w:val="clear" w:color="auto" w:fill="FFFFFF"/>
          <w:vertAlign w:val="subscript"/>
        </w:rPr>
        <w:t>2</w:t>
      </w:r>
      <w:r w:rsidR="0055299F" w:rsidRPr="0018386D">
        <w:rPr>
          <w:shd w:val="clear" w:color="auto" w:fill="FFFFFF"/>
        </w:rPr>
        <w:t>O</w:t>
      </w:r>
      <w:r w:rsidRPr="0018386D">
        <w:rPr>
          <w:shd w:val="clear" w:color="auto" w:fill="FFFFFF"/>
        </w:rPr>
        <w:t xml:space="preserve">, </w:t>
      </w:r>
      <w:r w:rsidRPr="0018386D">
        <w:rPr>
          <w:rFonts w:eastAsia="Times New Roman" w:cs="Calibri"/>
          <w:shd w:val="clear" w:color="auto" w:fill="FFFFFF"/>
        </w:rPr>
        <w:t>HFCs</w:t>
      </w:r>
      <w:r w:rsidR="0055299F" w:rsidRPr="0018386D">
        <w:rPr>
          <w:rFonts w:eastAsia="Times New Roman" w:cs="Times New Roman"/>
        </w:rPr>
        <w:t>, PFCs</w:t>
      </w:r>
      <w:r w:rsidRPr="0018386D">
        <w:rPr>
          <w:rFonts w:eastAsia="Times New Roman" w:cs="Times New Roman"/>
        </w:rPr>
        <w:t xml:space="preserve">, </w:t>
      </w:r>
      <w:r w:rsidR="0055299F" w:rsidRPr="0018386D">
        <w:rPr>
          <w:rFonts w:eastAsia="Times New Roman" w:cs="Calibri"/>
          <w:shd w:val="clear" w:color="auto" w:fill="FFFFFF"/>
        </w:rPr>
        <w:t>SF</w:t>
      </w:r>
      <w:r w:rsidR="0055299F" w:rsidRPr="0018386D">
        <w:rPr>
          <w:rFonts w:eastAsia="Times New Roman" w:cs="Calibri"/>
          <w:shd w:val="clear" w:color="auto" w:fill="FFFFFF"/>
          <w:vertAlign w:val="subscript"/>
        </w:rPr>
        <w:t>6</w:t>
      </w:r>
      <w:r w:rsidRPr="0018386D">
        <w:rPr>
          <w:rFonts w:eastAsia="Times New Roman" w:cs="Calibri"/>
          <w:shd w:val="clear" w:color="auto" w:fill="FFFFFF"/>
        </w:rPr>
        <w:t xml:space="preserve"> </w:t>
      </w:r>
      <w:r w:rsidRPr="0018386D">
        <w:rPr>
          <w:rFonts w:eastAsia="Times New Roman" w:cs="Times New Roman"/>
        </w:rPr>
        <w:t xml:space="preserve">and </w:t>
      </w:r>
      <w:r w:rsidR="0055299F" w:rsidRPr="0018386D">
        <w:rPr>
          <w:rFonts w:eastAsia="Times New Roman" w:cs="Calibri"/>
          <w:shd w:val="clear" w:color="auto" w:fill="FFFFFF"/>
        </w:rPr>
        <w:t>NF</w:t>
      </w:r>
      <w:r w:rsidR="0055299F" w:rsidRPr="0018386D">
        <w:rPr>
          <w:rFonts w:eastAsia="Times New Roman" w:cs="Calibri"/>
          <w:shd w:val="clear" w:color="auto" w:fill="FFFFFF"/>
          <w:vertAlign w:val="subscript"/>
        </w:rPr>
        <w:t>3</w:t>
      </w:r>
      <w:r w:rsidR="00FB197E" w:rsidRPr="0018386D">
        <w:t>.</w:t>
      </w:r>
      <w:r w:rsidRPr="0018386D">
        <w:rPr>
          <w:shd w:val="clear" w:color="auto" w:fill="FFFFFF"/>
        </w:rPr>
        <w:t xml:space="preserve"> </w:t>
      </w:r>
    </w:p>
    <w:p w14:paraId="20E2FFFF" w14:textId="48EC30B1" w:rsidR="00206E30" w:rsidRPr="0018386D" w:rsidRDefault="00206E30" w:rsidP="00DD3106">
      <w:pPr>
        <w:pStyle w:val="BodyText"/>
      </w:pPr>
      <w:r w:rsidRPr="0018386D">
        <w:t>The Montreal Protocol,</w:t>
      </w:r>
      <w:r w:rsidRPr="0018386D">
        <w:rPr>
          <w:rStyle w:val="FootnoteReference"/>
        </w:rPr>
        <w:footnoteReference w:id="7"/>
      </w:r>
      <w:r w:rsidRPr="0018386D">
        <w:t xml:space="preserve"> </w:t>
      </w:r>
      <w:r w:rsidR="00705BA2" w:rsidRPr="0018386D">
        <w:t xml:space="preserve">adopted </w:t>
      </w:r>
      <w:r w:rsidRPr="0018386D">
        <w:t>in 1987, is an international environmental agreement to</w:t>
      </w:r>
      <w:r w:rsidR="00A6758F" w:rsidRPr="0018386D">
        <w:t> </w:t>
      </w:r>
      <w:r w:rsidRPr="0018386D">
        <w:t>protect the ozone layer by phasing out production and consumption of ozone</w:t>
      </w:r>
      <w:r w:rsidR="00991D31" w:rsidRPr="0018386D">
        <w:t>-</w:t>
      </w:r>
      <w:r w:rsidRPr="0018386D">
        <w:t xml:space="preserve">depleting substances (ODS). The Montreal Protocol includes chlorofluorocarbons (CFCs), </w:t>
      </w:r>
      <w:r w:rsidR="005C3447" w:rsidRPr="0018386D">
        <w:t>hydro</w:t>
      </w:r>
      <w:r w:rsidRPr="0018386D">
        <w:t>chloro</w:t>
      </w:r>
      <w:r w:rsidR="005C3447" w:rsidRPr="0018386D">
        <w:t>fluoro</w:t>
      </w:r>
      <w:r w:rsidRPr="0018386D">
        <w:t>carbons</w:t>
      </w:r>
      <w:r w:rsidR="005C3447" w:rsidRPr="0018386D">
        <w:t xml:space="preserve"> (HCFCs)</w:t>
      </w:r>
      <w:r w:rsidRPr="0018386D">
        <w:t xml:space="preserve">, </w:t>
      </w:r>
      <w:proofErr w:type="spellStart"/>
      <w:r w:rsidR="005C3447" w:rsidRPr="0018386D">
        <w:t>hydro</w:t>
      </w:r>
      <w:r w:rsidRPr="0018386D">
        <w:t>bromo</w:t>
      </w:r>
      <w:r w:rsidR="005C3447" w:rsidRPr="0018386D">
        <w:t>fluoro</w:t>
      </w:r>
      <w:r w:rsidRPr="0018386D">
        <w:t>carbons</w:t>
      </w:r>
      <w:proofErr w:type="spellEnd"/>
      <w:r w:rsidRPr="0018386D">
        <w:t xml:space="preserve"> </w:t>
      </w:r>
      <w:r w:rsidR="005C3447" w:rsidRPr="0018386D">
        <w:t>(HBFCs)</w:t>
      </w:r>
      <w:r w:rsidR="00461359" w:rsidRPr="0018386D">
        <w:t>, methyl bromide, carbon tetrachloride, methyl chloroform</w:t>
      </w:r>
      <w:r w:rsidR="005C3447" w:rsidRPr="0018386D">
        <w:t xml:space="preserve"> </w:t>
      </w:r>
      <w:r w:rsidRPr="0018386D">
        <w:t>and halons. New Zealand prohibits imports of CFCs</w:t>
      </w:r>
      <w:r w:rsidR="00E80E1E" w:rsidRPr="0018386D">
        <w:t> </w:t>
      </w:r>
      <w:r w:rsidRPr="0018386D">
        <w:t xml:space="preserve">and </w:t>
      </w:r>
      <w:r w:rsidRPr="0018386D">
        <w:rPr>
          <w:rFonts w:eastAsia="Times New Roman" w:cs="Calibri"/>
          <w:shd w:val="clear" w:color="auto" w:fill="FFFFFF"/>
        </w:rPr>
        <w:t>H</w:t>
      </w:r>
      <w:r w:rsidR="005C3447" w:rsidRPr="0018386D">
        <w:rPr>
          <w:rFonts w:eastAsia="Times New Roman" w:cs="Calibri"/>
          <w:shd w:val="clear" w:color="auto" w:fill="FFFFFF"/>
        </w:rPr>
        <w:t>C</w:t>
      </w:r>
      <w:r w:rsidRPr="0018386D">
        <w:rPr>
          <w:rFonts w:eastAsia="Times New Roman" w:cs="Calibri"/>
          <w:shd w:val="clear" w:color="auto" w:fill="FFFFFF"/>
        </w:rPr>
        <w:t>FCs</w:t>
      </w:r>
      <w:r w:rsidRPr="0018386D">
        <w:t xml:space="preserve"> as part of our implementation of the </w:t>
      </w:r>
      <w:r w:rsidR="00991D31" w:rsidRPr="0018386D">
        <w:t>p</w:t>
      </w:r>
      <w:r w:rsidRPr="0018386D">
        <w:t>rotocol.</w:t>
      </w:r>
    </w:p>
    <w:p w14:paraId="3F83926F" w14:textId="1867B30C" w:rsidR="00206E30" w:rsidRPr="0018386D" w:rsidRDefault="00A931A5" w:rsidP="00DD3106">
      <w:pPr>
        <w:pStyle w:val="BodyText"/>
      </w:pPr>
      <w:r w:rsidRPr="0018386D">
        <w:t>Many of the ozone depleting substances controlled by t</w:t>
      </w:r>
      <w:r w:rsidR="00206E30" w:rsidRPr="0018386D">
        <w:t xml:space="preserve">he Montreal Protocol </w:t>
      </w:r>
      <w:r w:rsidRPr="0018386D">
        <w:t>are also powerful</w:t>
      </w:r>
      <w:r w:rsidR="00A6758F" w:rsidRPr="0018386D">
        <w:t> </w:t>
      </w:r>
      <w:r w:rsidR="008A197E" w:rsidRPr="0018386D">
        <w:t>greenhouse gases. This, together with the 20</w:t>
      </w:r>
      <w:r w:rsidR="00206E30" w:rsidRPr="0018386D">
        <w:t>16</w:t>
      </w:r>
      <w:r w:rsidR="00086579" w:rsidRPr="0018386D">
        <w:t xml:space="preserve"> </w:t>
      </w:r>
      <w:r w:rsidR="00A27D8D" w:rsidRPr="0018386D">
        <w:t>Kigali</w:t>
      </w:r>
      <w:r w:rsidR="003E2354" w:rsidRPr="0018386D">
        <w:t xml:space="preserve"> </w:t>
      </w:r>
      <w:r w:rsidR="00086579" w:rsidRPr="0018386D">
        <w:t>A</w:t>
      </w:r>
      <w:r w:rsidR="008A197E" w:rsidRPr="0018386D">
        <w:t>mendment of t</w:t>
      </w:r>
      <w:r w:rsidR="00206E30" w:rsidRPr="0018386D">
        <w:t xml:space="preserve">he </w:t>
      </w:r>
      <w:r w:rsidR="00145AB2" w:rsidRPr="0018386D">
        <w:t>Montreal P</w:t>
      </w:r>
      <w:r w:rsidR="00206E30" w:rsidRPr="0018386D">
        <w:t xml:space="preserve">rotocol </w:t>
      </w:r>
      <w:r w:rsidR="003E2354" w:rsidRPr="0018386D">
        <w:t xml:space="preserve">to include the </w:t>
      </w:r>
      <w:r w:rsidR="00206E30" w:rsidRPr="0018386D">
        <w:t>phas</w:t>
      </w:r>
      <w:r w:rsidR="003E2354" w:rsidRPr="0018386D">
        <w:t>e</w:t>
      </w:r>
      <w:r w:rsidR="003C0AE2" w:rsidRPr="0018386D">
        <w:t>-</w:t>
      </w:r>
      <w:r w:rsidR="003E2354" w:rsidRPr="0018386D">
        <w:t xml:space="preserve">down </w:t>
      </w:r>
      <w:r w:rsidR="00145AB2" w:rsidRPr="0018386D">
        <w:t xml:space="preserve">of </w:t>
      </w:r>
      <w:r w:rsidR="00206E30" w:rsidRPr="0018386D">
        <w:rPr>
          <w:rFonts w:eastAsia="Times New Roman" w:cs="Calibri"/>
          <w:shd w:val="clear" w:color="auto" w:fill="FFFFFF"/>
        </w:rPr>
        <w:t>HFC</w:t>
      </w:r>
      <w:r w:rsidR="00242B5E" w:rsidRPr="0018386D">
        <w:rPr>
          <w:rFonts w:eastAsia="Times New Roman" w:cs="Calibri"/>
          <w:shd w:val="clear" w:color="auto" w:fill="FFFFFF"/>
        </w:rPr>
        <w:t>s</w:t>
      </w:r>
      <w:r w:rsidR="007E21BF" w:rsidRPr="0018386D">
        <w:rPr>
          <w:rFonts w:eastAsia="Times New Roman" w:cs="Calibri"/>
          <w:shd w:val="clear" w:color="auto" w:fill="FFFFFF"/>
        </w:rPr>
        <w:t>,</w:t>
      </w:r>
      <w:r w:rsidR="003E2354" w:rsidRPr="0018386D">
        <w:t xml:space="preserve"> means it has a </w:t>
      </w:r>
      <w:r w:rsidR="00185A86" w:rsidRPr="0018386D">
        <w:t>significant</w:t>
      </w:r>
      <w:r w:rsidR="00206E30" w:rsidRPr="0018386D">
        <w:t xml:space="preserve"> role in mitigating climate change.</w:t>
      </w:r>
    </w:p>
    <w:p w14:paraId="42771FE1" w14:textId="34C923E5" w:rsidR="00206E30" w:rsidRPr="0018386D" w:rsidRDefault="00206E30" w:rsidP="00DD3106">
      <w:pPr>
        <w:pStyle w:val="BodyText"/>
        <w:spacing w:after="100"/>
      </w:pPr>
      <w:r w:rsidRPr="0018386D">
        <w:t>The Paris Agreement</w:t>
      </w:r>
      <w:r w:rsidR="003A050C" w:rsidRPr="0018386D">
        <w:t>, adopted in</w:t>
      </w:r>
      <w:r w:rsidR="00A07FD1" w:rsidRPr="0018386D">
        <w:t xml:space="preserve"> 2015,</w:t>
      </w:r>
      <w:r w:rsidRPr="0018386D">
        <w:t xml:space="preserve"> commits </w:t>
      </w:r>
      <w:r w:rsidR="00A07FD1" w:rsidRPr="0018386D">
        <w:t>P</w:t>
      </w:r>
      <w:r w:rsidRPr="0018386D">
        <w:t xml:space="preserve">arties </w:t>
      </w:r>
      <w:r w:rsidR="00A07FD1" w:rsidRPr="0018386D">
        <w:t>t</w:t>
      </w:r>
      <w:r w:rsidR="00905BEF" w:rsidRPr="0018386D">
        <w:t xml:space="preserve">o the agreement </w:t>
      </w:r>
      <w:r w:rsidRPr="0018386D">
        <w:t>to put forward their best efforts to limit global temperature rise through nationally determined contributions (NDCs)</w:t>
      </w:r>
      <w:r w:rsidR="00991D31" w:rsidRPr="0018386D">
        <w:t>,</w:t>
      </w:r>
      <w:r w:rsidRPr="0018386D">
        <w:t xml:space="preserve"> and to strengthen these</w:t>
      </w:r>
      <w:r w:rsidR="00A6758F" w:rsidRPr="0018386D">
        <w:t> </w:t>
      </w:r>
      <w:r w:rsidRPr="0018386D">
        <w:t xml:space="preserve">efforts over time. </w:t>
      </w:r>
      <w:r w:rsidR="00C57A76" w:rsidRPr="0018386D">
        <w:t xml:space="preserve">From 2024 onwards, </w:t>
      </w:r>
      <w:r w:rsidR="006C748C" w:rsidRPr="0018386D">
        <w:rPr>
          <w:i/>
          <w:iCs/>
        </w:rPr>
        <w:t xml:space="preserve">New Zealand’s </w:t>
      </w:r>
      <w:r w:rsidR="00820644" w:rsidRPr="0018386D">
        <w:rPr>
          <w:i/>
          <w:iCs/>
        </w:rPr>
        <w:t>Greenhouse Gas</w:t>
      </w:r>
      <w:r w:rsidR="00BF3EAD" w:rsidRPr="0018386D">
        <w:rPr>
          <w:i/>
          <w:iCs/>
        </w:rPr>
        <w:t xml:space="preserve"> I</w:t>
      </w:r>
      <w:r w:rsidR="004C3BEF" w:rsidRPr="0018386D">
        <w:rPr>
          <w:i/>
          <w:iCs/>
        </w:rPr>
        <w:t>nventory</w:t>
      </w:r>
      <w:r w:rsidR="004C3BEF" w:rsidRPr="0018386D">
        <w:t xml:space="preserve"> </w:t>
      </w:r>
      <w:r w:rsidR="00C57A76" w:rsidRPr="0018386D">
        <w:t xml:space="preserve">reports </w:t>
      </w:r>
      <w:r w:rsidR="004C3BEF" w:rsidRPr="0018386D">
        <w:t>under the Paris Agreement</w:t>
      </w:r>
      <w:r w:rsidR="006C748C" w:rsidRPr="0018386D">
        <w:t xml:space="preserve"> </w:t>
      </w:r>
      <w:r w:rsidR="004C3BEF" w:rsidRPr="0018386D">
        <w:t xml:space="preserve">will </w:t>
      </w:r>
      <w:r w:rsidR="00EE32C5" w:rsidRPr="0018386D">
        <w:t>apply the</w:t>
      </w:r>
      <w:r w:rsidR="005F32A0" w:rsidRPr="0018386D">
        <w:t xml:space="preserve"> </w:t>
      </w:r>
      <w:r w:rsidR="652D9D5D" w:rsidRPr="0018386D">
        <w:t>100</w:t>
      </w:r>
      <w:r w:rsidR="00622359" w:rsidRPr="0018386D">
        <w:t>-</w:t>
      </w:r>
      <w:r w:rsidR="652D9D5D" w:rsidRPr="0018386D">
        <w:t>year</w:t>
      </w:r>
      <w:r w:rsidR="002D258A" w:rsidRPr="0018386D">
        <w:t xml:space="preserve"> </w:t>
      </w:r>
      <w:r w:rsidR="005F32A0" w:rsidRPr="0018386D">
        <w:t xml:space="preserve">time horizon </w:t>
      </w:r>
      <w:r w:rsidR="004C3BEF" w:rsidRPr="0018386D">
        <w:t xml:space="preserve">GWPs from </w:t>
      </w:r>
      <w:r w:rsidR="005F32A0" w:rsidRPr="0018386D">
        <w:t xml:space="preserve">the </w:t>
      </w:r>
      <w:r w:rsidR="004C3BEF" w:rsidRPr="0018386D">
        <w:t>IPCC</w:t>
      </w:r>
      <w:r w:rsidR="005F32A0" w:rsidRPr="0018386D">
        <w:t>’s</w:t>
      </w:r>
      <w:r w:rsidR="004C3BEF" w:rsidRPr="0018386D">
        <w:t xml:space="preserve"> AR5</w:t>
      </w:r>
      <w:r w:rsidR="00C75076" w:rsidRPr="0018386D">
        <w:t>.</w:t>
      </w:r>
      <w:r w:rsidR="006C748C" w:rsidRPr="0018386D">
        <w:t xml:space="preserve"> </w:t>
      </w:r>
    </w:p>
    <w:p w14:paraId="68F5A96D" w14:textId="2A15DA1E" w:rsidR="00206E30" w:rsidRPr="0018386D" w:rsidRDefault="00206E30" w:rsidP="00DD3106">
      <w:pPr>
        <w:pStyle w:val="Heading2"/>
        <w:numPr>
          <w:ilvl w:val="1"/>
          <w:numId w:val="8"/>
        </w:numPr>
        <w:spacing w:before="280"/>
        <w:rPr>
          <w:rFonts w:cs="Times New Roman"/>
        </w:rPr>
      </w:pPr>
      <w:bookmarkStart w:id="41" w:name="_Toc532904844"/>
      <w:bookmarkStart w:id="42" w:name="_Toc600559"/>
      <w:bookmarkStart w:id="43" w:name="_Toc140048882"/>
      <w:r w:rsidRPr="0018386D">
        <w:t>Uncertainties</w:t>
      </w:r>
      <w:bookmarkEnd w:id="41"/>
      <w:bookmarkEnd w:id="42"/>
      <w:bookmarkEnd w:id="43"/>
    </w:p>
    <w:p w14:paraId="703F237E" w14:textId="76D16E43" w:rsidR="008A74B8" w:rsidRPr="0018386D" w:rsidRDefault="00C7627E" w:rsidP="00DD3106">
      <w:pPr>
        <w:pStyle w:val="BodyText"/>
        <w:spacing w:after="100"/>
      </w:pPr>
      <w:hyperlink r:id="rId36" w:history="1">
        <w:r w:rsidR="00AA1077" w:rsidRPr="0018386D">
          <w:rPr>
            <w:rStyle w:val="Hyperlink"/>
            <w:rFonts w:eastAsia="Calibri" w:cs="Calibri"/>
          </w:rPr>
          <w:t>ISO 14064-1:2018</w:t>
        </w:r>
      </w:hyperlink>
      <w:r w:rsidR="00AA1077" w:rsidRPr="0018386D">
        <w:t xml:space="preserve"> </w:t>
      </w:r>
      <w:r w:rsidR="05A1FB7B" w:rsidRPr="0018386D">
        <w:t xml:space="preserve">and </w:t>
      </w:r>
      <w:r w:rsidR="00607842" w:rsidRPr="0018386D">
        <w:t>the</w:t>
      </w:r>
      <w:r w:rsidR="05A1FB7B" w:rsidRPr="0018386D">
        <w:t xml:space="preserve"> </w:t>
      </w:r>
      <w:hyperlink r:id="rId37" w:history="1">
        <w:r w:rsidR="05A1FB7B" w:rsidRPr="0018386D">
          <w:rPr>
            <w:rStyle w:val="Hyperlink"/>
            <w:rFonts w:eastAsia="Calibri" w:cs="Calibri"/>
          </w:rPr>
          <w:t>GHG Protocol</w:t>
        </w:r>
      </w:hyperlink>
      <w:r w:rsidR="05A1FB7B" w:rsidRPr="0018386D">
        <w:t xml:space="preserve"> </w:t>
      </w:r>
      <w:r w:rsidR="00F86889" w:rsidRPr="0018386D">
        <w:t>require consideration of</w:t>
      </w:r>
      <w:r w:rsidR="00AA1077" w:rsidRPr="0018386D">
        <w:t xml:space="preserve"> uncertainty</w:t>
      </w:r>
      <w:r w:rsidR="1EB5D192" w:rsidRPr="0018386D">
        <w:t>:</w:t>
      </w:r>
      <w:r w:rsidR="00AA1077" w:rsidRPr="0018386D">
        <w:t xml:space="preserve"> in </w:t>
      </w:r>
      <w:r w:rsidR="001579AA" w:rsidRPr="0018386D">
        <w:t>particular,</w:t>
      </w:r>
      <w:r w:rsidR="00AA1077" w:rsidRPr="0018386D">
        <w:t xml:space="preserve"> assessing and disclosing uncertainty associated with the </w:t>
      </w:r>
      <w:r w:rsidR="00112C8B" w:rsidRPr="0018386D">
        <w:t xml:space="preserve">organisation’s GHG </w:t>
      </w:r>
      <w:r w:rsidR="00AA1077" w:rsidRPr="0018386D">
        <w:t>inventory.</w:t>
      </w:r>
    </w:p>
    <w:p w14:paraId="504DB65F" w14:textId="5B8000FE" w:rsidR="00E90252" w:rsidRPr="0018386D" w:rsidRDefault="00B9295F" w:rsidP="00DD3106">
      <w:pPr>
        <w:pStyle w:val="Bullet"/>
        <w:spacing w:after="100"/>
      </w:pPr>
      <w:r w:rsidRPr="0018386D">
        <w:t xml:space="preserve">Compared with financial accounting, carbon accounting operates in </w:t>
      </w:r>
      <w:r w:rsidR="003C0AE2" w:rsidRPr="0018386D">
        <w:t xml:space="preserve">a </w:t>
      </w:r>
      <w:r w:rsidRPr="0018386D">
        <w:t xml:space="preserve">more unpredictable, </w:t>
      </w:r>
      <w:proofErr w:type="gramStart"/>
      <w:r w:rsidRPr="0018386D">
        <w:t>dynamic</w:t>
      </w:r>
      <w:proofErr w:type="gramEnd"/>
      <w:r w:rsidRPr="0018386D">
        <w:t xml:space="preserve"> and complex environment, where uncertainty is a known and accepted </w:t>
      </w:r>
      <w:r w:rsidR="008C54A3" w:rsidRPr="0018386D">
        <w:t>c</w:t>
      </w:r>
      <w:r w:rsidR="00B0279E" w:rsidRPr="0018386D">
        <w:t>oncept</w:t>
      </w:r>
      <w:r w:rsidRPr="0018386D">
        <w:t>.</w:t>
      </w:r>
    </w:p>
    <w:p w14:paraId="1826D0FD" w14:textId="6219F439" w:rsidR="003C0AE2" w:rsidRPr="0018386D" w:rsidRDefault="004859CA" w:rsidP="00DD3106">
      <w:pPr>
        <w:pStyle w:val="Bullet"/>
        <w:spacing w:after="100"/>
      </w:pPr>
      <w:r w:rsidRPr="0018386D">
        <w:t>Uncertainties associated with GHG inventories can be broadly categori</w:t>
      </w:r>
      <w:r w:rsidR="003C0AE2" w:rsidRPr="0018386D">
        <w:t>s</w:t>
      </w:r>
      <w:r w:rsidRPr="0018386D">
        <w:t xml:space="preserve">ed </w:t>
      </w:r>
      <w:r w:rsidR="003C0AE2" w:rsidRPr="0018386D">
        <w:t>as</w:t>
      </w:r>
      <w:r w:rsidRPr="0018386D">
        <w:t xml:space="preserve"> scientific uncertainty and estimation uncertainty. </w:t>
      </w:r>
    </w:p>
    <w:p w14:paraId="64050E01" w14:textId="76DD2BBB" w:rsidR="004859CA" w:rsidRPr="0018386D" w:rsidRDefault="00863372" w:rsidP="00DD3106">
      <w:pPr>
        <w:pStyle w:val="Bullet"/>
        <w:spacing w:after="100"/>
      </w:pPr>
      <w:r w:rsidRPr="0018386D">
        <w:t xml:space="preserve">Scientific uncertainty arises when the science of the actual emission and/or removal process is not completely understood. Quantifying such scientific uncertainty is extremely </w:t>
      </w:r>
      <w:r w:rsidR="000B3368" w:rsidRPr="0018386D">
        <w:t>challenging</w:t>
      </w:r>
      <w:r w:rsidR="003222F8" w:rsidRPr="0018386D">
        <w:t xml:space="preserve"> and</w:t>
      </w:r>
      <w:r w:rsidRPr="0018386D">
        <w:t xml:space="preserve"> is likely beyond the </w:t>
      </w:r>
      <w:r w:rsidR="00402318" w:rsidRPr="0018386D">
        <w:t xml:space="preserve">capability </w:t>
      </w:r>
      <w:r w:rsidRPr="0018386D">
        <w:t>of most company inventory program</w:t>
      </w:r>
      <w:r w:rsidR="003C0AE2" w:rsidRPr="0018386D">
        <w:t>me</w:t>
      </w:r>
      <w:r w:rsidRPr="0018386D">
        <w:t>s.</w:t>
      </w:r>
    </w:p>
    <w:p w14:paraId="7CF8245B" w14:textId="14896660" w:rsidR="008F33AC" w:rsidRPr="0018386D" w:rsidRDefault="006B5299" w:rsidP="00DD3106">
      <w:pPr>
        <w:pStyle w:val="Bullet"/>
        <w:spacing w:after="100"/>
      </w:pPr>
      <w:r w:rsidRPr="0018386D">
        <w:t>Estimation uncertainty arises any time GHG emissions are quantified</w:t>
      </w:r>
      <w:r w:rsidR="00ED31C5" w:rsidRPr="0018386D">
        <w:t xml:space="preserve"> and can be classed as either </w:t>
      </w:r>
      <w:r w:rsidRPr="0018386D">
        <w:t xml:space="preserve">model uncertainty </w:t>
      </w:r>
      <w:r w:rsidR="004F5EC4" w:rsidRPr="0018386D">
        <w:t>or</w:t>
      </w:r>
      <w:r w:rsidRPr="0018386D">
        <w:t xml:space="preserve"> parameter uncertainty. Model uncertainty refers to the uncertainty associated with the mathematical equations</w:t>
      </w:r>
      <w:r w:rsidR="004F5EC4" w:rsidRPr="0018386D">
        <w:t xml:space="preserve"> and models </w:t>
      </w:r>
      <w:r w:rsidRPr="0018386D">
        <w:t>used to characteri</w:t>
      </w:r>
      <w:r w:rsidR="00FE774C" w:rsidRPr="0018386D">
        <w:t>s</w:t>
      </w:r>
      <w:r w:rsidRPr="0018386D">
        <w:t>e the relationship</w:t>
      </w:r>
      <w:r w:rsidR="00FE774C" w:rsidRPr="0018386D">
        <w:t xml:space="preserve"> between activity data and </w:t>
      </w:r>
      <w:r w:rsidRPr="0018386D">
        <w:t>emission</w:t>
      </w:r>
      <w:r w:rsidR="00FE774C" w:rsidRPr="0018386D">
        <w:t>s.</w:t>
      </w:r>
      <w:r w:rsidRPr="0018386D">
        <w:t xml:space="preserve"> Parameter uncertainty refers to </w:t>
      </w:r>
      <w:r w:rsidR="000F3620" w:rsidRPr="0018386D">
        <w:t xml:space="preserve">the </w:t>
      </w:r>
      <w:r w:rsidRPr="0018386D">
        <w:t xml:space="preserve">uncertainty associated with </w:t>
      </w:r>
      <w:r w:rsidR="00121795" w:rsidRPr="0018386D">
        <w:t>the assumptions used and</w:t>
      </w:r>
      <w:r w:rsidRPr="0018386D">
        <w:t xml:space="preserve"> the</w:t>
      </w:r>
      <w:r w:rsidR="000F3620" w:rsidRPr="0018386D">
        <w:t xml:space="preserve"> activity data. </w:t>
      </w:r>
      <w:r w:rsidR="008F33AC" w:rsidRPr="0018386D">
        <w:t>Organisations that choose to investigate uncertainty in their emission inventories will focus on the latter.</w:t>
      </w:r>
    </w:p>
    <w:p w14:paraId="7E31E3EB" w14:textId="77777777" w:rsidR="00F33B5A" w:rsidRPr="0018386D" w:rsidRDefault="00F33B5A" w:rsidP="00DD3106">
      <w:pPr>
        <w:spacing w:line="23" w:lineRule="auto"/>
        <w:rPr>
          <w:rFonts w:eastAsiaTheme="minorEastAsia" w:cstheme="minorBidi"/>
          <w:szCs w:val="22"/>
          <w:lang w:val="en-NZ" w:eastAsia="en-NZ"/>
        </w:rPr>
      </w:pPr>
      <w:bookmarkStart w:id="44" w:name="_Standards_to_follow"/>
      <w:bookmarkStart w:id="45" w:name="_Toc530051489"/>
      <w:bookmarkStart w:id="46" w:name="_Toc530051517"/>
      <w:bookmarkStart w:id="47" w:name="_Toc530055796"/>
      <w:bookmarkStart w:id="48" w:name="_Ref532548819"/>
      <w:bookmarkStart w:id="49" w:name="_Toc532904845"/>
      <w:bookmarkStart w:id="50" w:name="_Toc600560"/>
      <w:bookmarkEnd w:id="44"/>
      <w:r w:rsidRPr="0018386D">
        <w:br w:type="page"/>
      </w:r>
    </w:p>
    <w:p w14:paraId="693698AD" w14:textId="3FECE59F" w:rsidR="00F93A55" w:rsidRPr="0018386D" w:rsidRDefault="00F93A55" w:rsidP="00DD3106">
      <w:pPr>
        <w:pStyle w:val="BodyText"/>
        <w:spacing w:after="100"/>
      </w:pPr>
      <w:r w:rsidRPr="0018386D">
        <w:lastRenderedPageBreak/>
        <w:t>We have used the following approach to disclose uncertainty, in order of preference.</w:t>
      </w:r>
    </w:p>
    <w:p w14:paraId="6E8C2546" w14:textId="75C2F27E" w:rsidR="00F93A55" w:rsidRPr="0018386D" w:rsidRDefault="00F93A55" w:rsidP="00DD3106">
      <w:pPr>
        <w:pStyle w:val="Bullet"/>
        <w:spacing w:after="100"/>
      </w:pPr>
      <w:r w:rsidRPr="0018386D">
        <w:t xml:space="preserve">Disclose the quantified uncertainty </w:t>
      </w:r>
      <w:r w:rsidR="00CB27E6" w:rsidRPr="0018386D">
        <w:t>of the data,</w:t>
      </w:r>
      <w:r w:rsidRPr="0018386D">
        <w:t xml:space="preserve"> if known.</w:t>
      </w:r>
    </w:p>
    <w:p w14:paraId="117ED502" w14:textId="77777777" w:rsidR="00F93A55" w:rsidRPr="0018386D" w:rsidRDefault="00F93A55" w:rsidP="00DD3106">
      <w:pPr>
        <w:pStyle w:val="Bullet"/>
        <w:spacing w:after="100"/>
      </w:pPr>
      <w:r w:rsidRPr="0018386D">
        <w:t>Disclose the qualitative uncertainty if known based on expert judgement from those providing the data.</w:t>
      </w:r>
    </w:p>
    <w:p w14:paraId="49BE7AD4" w14:textId="52DDC9A7" w:rsidR="00F93A55" w:rsidRPr="0018386D" w:rsidRDefault="00F93A55" w:rsidP="00DD3106">
      <w:pPr>
        <w:pStyle w:val="Bullet"/>
        <w:spacing w:after="100"/>
      </w:pPr>
      <w:r w:rsidRPr="0018386D">
        <w:t>Disclose the uncertainty ranges in the</w:t>
      </w:r>
      <w:r w:rsidRPr="0018386D">
        <w:rPr>
          <w:i/>
        </w:rPr>
        <w:t xml:space="preserve"> </w:t>
      </w:r>
      <w:hyperlink r:id="rId38">
        <w:r w:rsidRPr="0018386D">
          <w:rPr>
            <w:rStyle w:val="Hyperlink"/>
          </w:rPr>
          <w:t>IPCC Guidelines</w:t>
        </w:r>
      </w:hyperlink>
      <w:r w:rsidRPr="0018386D">
        <w:t xml:space="preserve"> if provided.</w:t>
      </w:r>
    </w:p>
    <w:p w14:paraId="2B7AED56" w14:textId="77777777" w:rsidR="00F93A55" w:rsidRPr="0018386D" w:rsidRDefault="00F93A55" w:rsidP="00DD3106">
      <w:pPr>
        <w:pStyle w:val="Bullet"/>
      </w:pPr>
      <w:r w:rsidRPr="0018386D">
        <w:t>Disclose that the uncertainty is unknown.</w:t>
      </w:r>
    </w:p>
    <w:p w14:paraId="072A0BA4" w14:textId="7B89AC96" w:rsidR="00206E30" w:rsidRPr="0018386D" w:rsidRDefault="00206E30" w:rsidP="00DD3106">
      <w:pPr>
        <w:pStyle w:val="Heading2"/>
        <w:numPr>
          <w:ilvl w:val="1"/>
          <w:numId w:val="8"/>
        </w:numPr>
        <w:spacing w:before="280"/>
      </w:pPr>
      <w:bookmarkStart w:id="51" w:name="_Standards_to_follow_1"/>
      <w:bookmarkStart w:id="52" w:name="_Toc140048883"/>
      <w:bookmarkEnd w:id="51"/>
      <w:r w:rsidRPr="0018386D">
        <w:t>Standards</w:t>
      </w:r>
      <w:bookmarkEnd w:id="45"/>
      <w:bookmarkEnd w:id="46"/>
      <w:bookmarkEnd w:id="47"/>
      <w:r w:rsidRPr="0018386D">
        <w:t xml:space="preserve"> to </w:t>
      </w:r>
      <w:proofErr w:type="gramStart"/>
      <w:r w:rsidRPr="0018386D">
        <w:t>follow</w:t>
      </w:r>
      <w:bookmarkEnd w:id="48"/>
      <w:bookmarkEnd w:id="49"/>
      <w:bookmarkEnd w:id="50"/>
      <w:bookmarkEnd w:id="52"/>
      <w:proofErr w:type="gramEnd"/>
    </w:p>
    <w:p w14:paraId="730D3844" w14:textId="75727B42" w:rsidR="00206E30" w:rsidRPr="0018386D" w:rsidRDefault="00BD685C" w:rsidP="00DD3106">
      <w:pPr>
        <w:pStyle w:val="BodyText"/>
        <w:spacing w:after="100"/>
      </w:pPr>
      <w:bookmarkStart w:id="53" w:name="_Hlk532887954"/>
      <w:r w:rsidRPr="0018386D">
        <w:t>We recommend</w:t>
      </w:r>
      <w:r w:rsidR="00206E30" w:rsidRPr="0018386D">
        <w:t xml:space="preserve"> follow</w:t>
      </w:r>
      <w:r w:rsidR="00D018DE" w:rsidRPr="0018386D">
        <w:t>ing</w:t>
      </w:r>
      <w:r w:rsidR="00206E30" w:rsidRPr="0018386D">
        <w:t xml:space="preserve"> </w:t>
      </w:r>
      <w:hyperlink r:id="rId39">
        <w:r w:rsidR="00D018DE" w:rsidRPr="0018386D">
          <w:rPr>
            <w:rStyle w:val="Hyperlink"/>
          </w:rPr>
          <w:t>ISO 14064-1:2018</w:t>
        </w:r>
      </w:hyperlink>
      <w:r w:rsidR="00D018DE" w:rsidRPr="0018386D">
        <w:rPr>
          <w:rStyle w:val="Hyperlink"/>
        </w:rPr>
        <w:t xml:space="preserve"> </w:t>
      </w:r>
      <w:r w:rsidR="00DE61D5" w:rsidRPr="0018386D">
        <w:rPr>
          <w:rFonts w:eastAsia="Calibri" w:cs="Calibri"/>
        </w:rPr>
        <w:t>or</w:t>
      </w:r>
      <w:r w:rsidR="00D018DE" w:rsidRPr="0018386D">
        <w:t xml:space="preserve"> </w:t>
      </w:r>
      <w:r w:rsidR="00206E30" w:rsidRPr="0018386D">
        <w:t xml:space="preserve">the </w:t>
      </w:r>
      <w:hyperlink r:id="rId40">
        <w:r w:rsidR="00206E30" w:rsidRPr="0018386D">
          <w:rPr>
            <w:rStyle w:val="Hyperlink"/>
          </w:rPr>
          <w:t>GHG Protocol</w:t>
        </w:r>
      </w:hyperlink>
      <w:r w:rsidR="00206E30" w:rsidRPr="0018386D">
        <w:t xml:space="preserve">. We wrote this guide to align with both. </w:t>
      </w:r>
      <w:r w:rsidR="00954512" w:rsidRPr="0018386D">
        <w:t xml:space="preserve">Depending on your intended final use and users, we recommend downloading the relevant standards and using </w:t>
      </w:r>
      <w:r w:rsidR="00331799" w:rsidRPr="0018386D">
        <w:t xml:space="preserve">them </w:t>
      </w:r>
      <w:r w:rsidR="00954512" w:rsidRPr="0018386D">
        <w:t>in tandem with this guidance:</w:t>
      </w:r>
    </w:p>
    <w:p w14:paraId="5D34708D" w14:textId="4218BBC2" w:rsidR="00206E30" w:rsidRPr="0018386D" w:rsidRDefault="00C7627E" w:rsidP="00DD3106">
      <w:pPr>
        <w:pStyle w:val="Bullet"/>
        <w:spacing w:after="100"/>
      </w:pPr>
      <w:hyperlink r:id="rId41" w:history="1">
        <w:r w:rsidR="00206E30" w:rsidRPr="0018386D">
          <w:rPr>
            <w:rStyle w:val="Hyperlink"/>
          </w:rPr>
          <w:t>ISO 14064-1</w:t>
        </w:r>
        <w:r w:rsidR="00330EAD" w:rsidRPr="0018386D">
          <w:rPr>
            <w:rStyle w:val="Hyperlink"/>
          </w:rPr>
          <w:t>:2018</w:t>
        </w:r>
      </w:hyperlink>
      <w:r w:rsidR="00206E30" w:rsidRPr="0018386D">
        <w:rPr>
          <w:rStyle w:val="FootnoteReference"/>
        </w:rPr>
        <w:footnoteReference w:id="8"/>
      </w:r>
      <w:r w:rsidR="00206E30" w:rsidRPr="0018386D">
        <w:t xml:space="preserve"> is shorter and more direct than the </w:t>
      </w:r>
      <w:r w:rsidR="008167E1" w:rsidRPr="0018386D">
        <w:t>GHG Protocol</w:t>
      </w:r>
      <w:r w:rsidR="00ED26A1" w:rsidRPr="0018386D">
        <w:t>. A</w:t>
      </w:r>
      <w:r w:rsidR="006151BD" w:rsidRPr="0018386D">
        <w:t xml:space="preserve"> PDF copy </w:t>
      </w:r>
      <w:r w:rsidR="00E45D0B" w:rsidRPr="0018386D">
        <w:t>can be purchased.</w:t>
      </w:r>
    </w:p>
    <w:p w14:paraId="3FCEC7FC" w14:textId="40D70524" w:rsidR="00206E30" w:rsidRPr="0018386D" w:rsidRDefault="00206E30" w:rsidP="00DD3106">
      <w:pPr>
        <w:pStyle w:val="Bullet"/>
        <w:spacing w:after="100"/>
      </w:pPr>
      <w:r w:rsidRPr="0018386D">
        <w:t>The</w:t>
      </w:r>
      <w:r w:rsidRPr="0018386D">
        <w:rPr>
          <w:i/>
        </w:rPr>
        <w:t xml:space="preserve"> </w:t>
      </w:r>
      <w:hyperlink r:id="rId42" w:history="1">
        <w:r w:rsidRPr="0018386D">
          <w:rPr>
            <w:rStyle w:val="Hyperlink"/>
          </w:rPr>
          <w:t>GHG Protocol</w:t>
        </w:r>
      </w:hyperlink>
      <w:r w:rsidRPr="0018386D">
        <w:rPr>
          <w:rStyle w:val="FootnoteReference"/>
        </w:rPr>
        <w:footnoteReference w:id="9"/>
      </w:r>
      <w:r w:rsidRPr="0018386D">
        <w:t xml:space="preserve"> gives more description and context </w:t>
      </w:r>
      <w:r w:rsidR="00ED26A1" w:rsidRPr="0018386D">
        <w:t>around</w:t>
      </w:r>
      <w:r w:rsidRPr="0018386D">
        <w:t xml:space="preserve"> what to do</w:t>
      </w:r>
      <w:r w:rsidR="00A8360E" w:rsidRPr="0018386D">
        <w:t xml:space="preserve"> </w:t>
      </w:r>
      <w:r w:rsidR="00ED26A1" w:rsidRPr="0018386D">
        <w:t>to produce an inventory</w:t>
      </w:r>
      <w:r w:rsidRPr="0018386D">
        <w:t xml:space="preserve">. It is free to download. </w:t>
      </w:r>
      <w:r w:rsidR="0053377B" w:rsidRPr="0018386D">
        <w:t xml:space="preserve">The </w:t>
      </w:r>
      <w:hyperlink r:id="rId43" w:history="1">
        <w:r w:rsidR="0053377B" w:rsidRPr="0018386D">
          <w:rPr>
            <w:rStyle w:val="Hyperlink"/>
          </w:rPr>
          <w:t>Corporate Value Chain (Scope 3) Accounting and Reporting Standard</w:t>
        </w:r>
      </w:hyperlink>
      <w:r w:rsidR="0053377B" w:rsidRPr="0018386D">
        <w:t xml:space="preserve"> </w:t>
      </w:r>
      <w:r w:rsidR="45715D24" w:rsidRPr="0018386D">
        <w:t>is</w:t>
      </w:r>
      <w:r w:rsidR="0053377B" w:rsidRPr="0018386D">
        <w:t xml:space="preserve"> </w:t>
      </w:r>
      <w:r w:rsidR="00990BA2" w:rsidRPr="0018386D">
        <w:t>also available</w:t>
      </w:r>
      <w:r w:rsidR="003C0AE2" w:rsidRPr="0018386D">
        <w:t xml:space="preserve">. </w:t>
      </w:r>
      <w:r w:rsidR="00C84794" w:rsidRPr="0018386D">
        <w:t>It</w:t>
      </w:r>
      <w:r w:rsidR="00990BA2" w:rsidRPr="0018386D">
        <w:t xml:space="preserve"> </w:t>
      </w:r>
      <w:r w:rsidR="484ACE04" w:rsidRPr="0018386D">
        <w:t>is a guide for</w:t>
      </w:r>
      <w:r w:rsidR="00990BA2" w:rsidRPr="0018386D">
        <w:t xml:space="preserve"> companies to assess their entire value chain emissions impact</w:t>
      </w:r>
      <w:r w:rsidR="007F64CC" w:rsidRPr="0018386D">
        <w:t xml:space="preserve"> and</w:t>
      </w:r>
      <w:r w:rsidR="00990BA2" w:rsidRPr="0018386D">
        <w:t xml:space="preserve"> identify where to focus reduction activities.</w:t>
      </w:r>
    </w:p>
    <w:p w14:paraId="7ADAE490" w14:textId="60C228A6" w:rsidR="00206E30" w:rsidRPr="0018386D" w:rsidRDefault="00EF50D7" w:rsidP="00DD3106">
      <w:pPr>
        <w:pStyle w:val="BodyText"/>
      </w:pPr>
      <w:r w:rsidRPr="0018386D">
        <w:t>These</w:t>
      </w:r>
      <w:r w:rsidR="00206E30" w:rsidRPr="0018386D">
        <w:t xml:space="preserve"> standards provide comprehensive guidance on the core issues of GHG monitoring and reporting at an organisational level, including:</w:t>
      </w:r>
    </w:p>
    <w:p w14:paraId="3A7F563C" w14:textId="77777777" w:rsidR="00206E30" w:rsidRPr="0018386D" w:rsidRDefault="00206E30" w:rsidP="00DD3106">
      <w:pPr>
        <w:pStyle w:val="Bullet"/>
      </w:pPr>
      <w:r w:rsidRPr="0018386D">
        <w:t xml:space="preserve">principles underlying monitoring and </w:t>
      </w:r>
      <w:proofErr w:type="gramStart"/>
      <w:r w:rsidRPr="0018386D">
        <w:t>reporting</w:t>
      </w:r>
      <w:proofErr w:type="gramEnd"/>
    </w:p>
    <w:p w14:paraId="421C0141" w14:textId="77777777" w:rsidR="00206E30" w:rsidRPr="0018386D" w:rsidRDefault="00206E30" w:rsidP="00DD3106">
      <w:pPr>
        <w:pStyle w:val="Bullet"/>
      </w:pPr>
      <w:r w:rsidRPr="0018386D">
        <w:t>setting organisational boundaries</w:t>
      </w:r>
    </w:p>
    <w:p w14:paraId="47690310" w14:textId="23B5AFDE" w:rsidR="00206E30" w:rsidRPr="0018386D" w:rsidRDefault="00206E30" w:rsidP="00DD3106">
      <w:pPr>
        <w:pStyle w:val="Bullet"/>
      </w:pPr>
      <w:r w:rsidRPr="0018386D">
        <w:t xml:space="preserve">setting </w:t>
      </w:r>
      <w:r w:rsidR="003D1674" w:rsidRPr="0018386D">
        <w:t>reporting</w:t>
      </w:r>
      <w:r w:rsidRPr="0018386D">
        <w:t xml:space="preserve"> boundaries</w:t>
      </w:r>
    </w:p>
    <w:p w14:paraId="22A75E99" w14:textId="77777777" w:rsidR="00206E30" w:rsidRPr="0018386D" w:rsidRDefault="00206E30" w:rsidP="00DD3106">
      <w:pPr>
        <w:pStyle w:val="Bullet"/>
      </w:pPr>
      <w:r w:rsidRPr="0018386D">
        <w:t>establishing a base year</w:t>
      </w:r>
    </w:p>
    <w:p w14:paraId="09E4C8A3" w14:textId="77777777" w:rsidR="00206E30" w:rsidRPr="0018386D" w:rsidRDefault="00206E30" w:rsidP="00DD3106">
      <w:pPr>
        <w:pStyle w:val="Bullet"/>
      </w:pPr>
      <w:r w:rsidRPr="0018386D">
        <w:t>managing the quality of a GHG inventory</w:t>
      </w:r>
    </w:p>
    <w:p w14:paraId="28F1B968" w14:textId="3CA3FDB8" w:rsidR="00206E30" w:rsidRPr="0018386D" w:rsidRDefault="00206E30" w:rsidP="00DD3106">
      <w:pPr>
        <w:pStyle w:val="Bullet"/>
      </w:pPr>
      <w:r w:rsidRPr="0018386D">
        <w:t xml:space="preserve">content of </w:t>
      </w:r>
      <w:r w:rsidR="00ED26A1" w:rsidRPr="0018386D">
        <w:t xml:space="preserve">a </w:t>
      </w:r>
      <w:r w:rsidRPr="0018386D">
        <w:t>GHG report</w:t>
      </w:r>
      <w:bookmarkStart w:id="54" w:name="_Hlk530037436"/>
      <w:r w:rsidR="00E80E1E" w:rsidRPr="0018386D">
        <w:t>.</w:t>
      </w:r>
    </w:p>
    <w:p w14:paraId="49CF74A3" w14:textId="156B5818" w:rsidR="00206E30" w:rsidRPr="0018386D" w:rsidRDefault="00206E30" w:rsidP="00DD3106">
      <w:pPr>
        <w:pStyle w:val="Heading3"/>
        <w:numPr>
          <w:ilvl w:val="2"/>
          <w:numId w:val="8"/>
        </w:numPr>
        <w:spacing w:before="240"/>
        <w:ind w:left="1224" w:hanging="1224"/>
        <w:jc w:val="both"/>
      </w:pPr>
      <w:bookmarkStart w:id="55" w:name="_How_emission_sources"/>
      <w:bookmarkStart w:id="56" w:name="_Ref532821687"/>
      <w:bookmarkStart w:id="57" w:name="_Toc532904846"/>
      <w:bookmarkEnd w:id="53"/>
      <w:bookmarkEnd w:id="54"/>
      <w:bookmarkEnd w:id="55"/>
      <w:r w:rsidRPr="0018386D">
        <w:t>How emission sources are categorised</w:t>
      </w:r>
      <w:bookmarkEnd w:id="56"/>
      <w:bookmarkEnd w:id="57"/>
    </w:p>
    <w:p w14:paraId="36BA5E9E" w14:textId="4A6F807B" w:rsidR="00206E30" w:rsidRPr="0018386D" w:rsidRDefault="00206E30" w:rsidP="00DD3106">
      <w:pPr>
        <w:pStyle w:val="BodyText"/>
      </w:pPr>
      <w:r w:rsidRPr="0018386D">
        <w:t>The</w:t>
      </w:r>
      <w:r w:rsidRPr="0018386D">
        <w:rPr>
          <w:i/>
        </w:rPr>
        <w:t xml:space="preserve"> </w:t>
      </w:r>
      <w:hyperlink r:id="rId44" w:history="1">
        <w:r w:rsidRPr="0018386D">
          <w:rPr>
            <w:rStyle w:val="Hyperlink"/>
            <w:spacing w:val="2"/>
          </w:rPr>
          <w:t>GHG Protocol</w:t>
        </w:r>
      </w:hyperlink>
      <w:r w:rsidRPr="0018386D">
        <w:t xml:space="preserve"> </w:t>
      </w:r>
      <w:r w:rsidR="00ED26A1" w:rsidRPr="0018386D">
        <w:t>place</w:t>
      </w:r>
      <w:r w:rsidRPr="0018386D">
        <w:t xml:space="preserve">s emission sources into Scope 1, Scope </w:t>
      </w:r>
      <w:proofErr w:type="gramStart"/>
      <w:r w:rsidRPr="0018386D">
        <w:t>2</w:t>
      </w:r>
      <w:proofErr w:type="gramEnd"/>
      <w:r w:rsidRPr="0018386D">
        <w:t xml:space="preserve"> and Scope 3 activities</w:t>
      </w:r>
      <w:r w:rsidR="00ED26A1" w:rsidRPr="0018386D">
        <w:t xml:space="preserve">. </w:t>
      </w:r>
    </w:p>
    <w:p w14:paraId="26CC9F3A" w14:textId="4753B1DA" w:rsidR="00206E30" w:rsidRPr="0018386D" w:rsidRDefault="479232FA" w:rsidP="00DD3106">
      <w:pPr>
        <w:pStyle w:val="Bullet"/>
      </w:pPr>
      <w:r w:rsidRPr="0018386D">
        <w:t xml:space="preserve">Scope 1: Direct GHG emissions from sources owned or controlled by the </w:t>
      </w:r>
      <w:r w:rsidR="00C47F96" w:rsidRPr="0018386D">
        <w:t>organisation</w:t>
      </w:r>
      <w:r w:rsidRPr="0018386D">
        <w:t xml:space="preserve"> (ie, within the organisational boundary). For example, emissions from combustion of fuel in vehicles</w:t>
      </w:r>
      <w:r w:rsidR="09A5D66B" w:rsidRPr="0018386D">
        <w:t xml:space="preserve"> owned or controlled by the organisation</w:t>
      </w:r>
      <w:r w:rsidRPr="0018386D">
        <w:t xml:space="preserve">. </w:t>
      </w:r>
    </w:p>
    <w:p w14:paraId="13054705" w14:textId="74C2187E" w:rsidR="00206E30" w:rsidRPr="0018386D" w:rsidRDefault="00206E30" w:rsidP="00DD3106">
      <w:pPr>
        <w:pStyle w:val="Bullet"/>
      </w:pPr>
      <w:r w:rsidRPr="0018386D">
        <w:t xml:space="preserve">Scope 2: Indirect GHG emissions from the generation of purchased energy (in the form of electricity, </w:t>
      </w:r>
      <w:proofErr w:type="gramStart"/>
      <w:r w:rsidRPr="0018386D">
        <w:t>heat</w:t>
      </w:r>
      <w:proofErr w:type="gramEnd"/>
      <w:r w:rsidRPr="0018386D">
        <w:t xml:space="preserve"> or steam) </w:t>
      </w:r>
      <w:r w:rsidR="0093657E" w:rsidRPr="0018386D">
        <w:t>that</w:t>
      </w:r>
      <w:r w:rsidRPr="0018386D">
        <w:t xml:space="preserve"> the </w:t>
      </w:r>
      <w:r w:rsidR="00950C0B" w:rsidRPr="0018386D">
        <w:t>organisation</w:t>
      </w:r>
      <w:r w:rsidR="0093657E" w:rsidRPr="0018386D">
        <w:t xml:space="preserve"> uses</w:t>
      </w:r>
      <w:r w:rsidRPr="0018386D">
        <w:t xml:space="preserve">. </w:t>
      </w:r>
    </w:p>
    <w:p w14:paraId="4C824137" w14:textId="5051EA12" w:rsidR="00206E30" w:rsidRPr="0018386D" w:rsidRDefault="0CA79FE7" w:rsidP="00DD3106">
      <w:pPr>
        <w:pStyle w:val="Bullet"/>
      </w:pPr>
      <w:r w:rsidRPr="0018386D">
        <w:t>Scope 3: Other indirect GHG emissions occurring because of the activities of the</w:t>
      </w:r>
      <w:r w:rsidR="05E6B465" w:rsidRPr="0018386D">
        <w:t xml:space="preserve"> organisation</w:t>
      </w:r>
      <w:r w:rsidRPr="0018386D">
        <w:t xml:space="preserve"> but generated from sources </w:t>
      </w:r>
      <w:r w:rsidR="5F5907C8" w:rsidRPr="0018386D">
        <w:t xml:space="preserve">that </w:t>
      </w:r>
      <w:r w:rsidR="05E6B465" w:rsidRPr="0018386D">
        <w:t>it</w:t>
      </w:r>
      <w:r w:rsidR="5F5907C8" w:rsidRPr="0018386D">
        <w:t xml:space="preserve"> does not own or control</w:t>
      </w:r>
      <w:r w:rsidRPr="0018386D">
        <w:t xml:space="preserve"> (eg, air travel). </w:t>
      </w:r>
    </w:p>
    <w:p w14:paraId="1EF93C22" w14:textId="29B73FEF" w:rsidR="00B1498D" w:rsidRPr="0018386D" w:rsidRDefault="00C7627E" w:rsidP="00DD3106">
      <w:pPr>
        <w:pStyle w:val="BodyText"/>
      </w:pPr>
      <w:hyperlink r:id="rId45">
        <w:r w:rsidR="00206E30" w:rsidRPr="0018386D">
          <w:rPr>
            <w:rStyle w:val="Hyperlink"/>
          </w:rPr>
          <w:t>ISO 14064-1</w:t>
        </w:r>
        <w:r w:rsidR="00330EAD" w:rsidRPr="0018386D">
          <w:rPr>
            <w:rStyle w:val="Hyperlink"/>
          </w:rPr>
          <w:t>:2018</w:t>
        </w:r>
      </w:hyperlink>
      <w:r w:rsidR="00206E30" w:rsidRPr="0018386D">
        <w:t xml:space="preserve"> categorises emissions as direct or indirect sources. </w:t>
      </w:r>
      <w:r w:rsidR="5387D06F" w:rsidRPr="0018386D">
        <w:t>The</w:t>
      </w:r>
      <w:r w:rsidR="07627A27" w:rsidRPr="0018386D">
        <w:t>se</w:t>
      </w:r>
      <w:r w:rsidR="5387D06F" w:rsidRPr="0018386D">
        <w:t xml:space="preserve"> categories help</w:t>
      </w:r>
      <w:r w:rsidR="008E3476" w:rsidRPr="0018386D">
        <w:t> </w:t>
      </w:r>
      <w:r w:rsidR="07627A27" w:rsidRPr="0018386D">
        <w:t>better</w:t>
      </w:r>
      <w:r w:rsidR="5387D06F" w:rsidRPr="0018386D">
        <w:t xml:space="preserve"> describe the activit</w:t>
      </w:r>
      <w:r w:rsidR="0AD66BB3" w:rsidRPr="0018386D">
        <w:t>ies</w:t>
      </w:r>
      <w:r w:rsidR="5387D06F" w:rsidRPr="0018386D">
        <w:t xml:space="preserve"> associated with emissions source</w:t>
      </w:r>
      <w:r w:rsidR="0AD66BB3" w:rsidRPr="0018386D">
        <w:t>s</w:t>
      </w:r>
      <w:r w:rsidR="5387D06F" w:rsidRPr="0018386D">
        <w:t xml:space="preserve">. Choosing the most </w:t>
      </w:r>
      <w:r w:rsidR="5387D06F" w:rsidRPr="0018386D">
        <w:lastRenderedPageBreak/>
        <w:t>appropriate subcategory</w:t>
      </w:r>
      <w:r w:rsidR="099188EA" w:rsidRPr="0018386D">
        <w:t xml:space="preserve"> in your inventory</w:t>
      </w:r>
      <w:r w:rsidR="5387D06F" w:rsidRPr="0018386D">
        <w:t xml:space="preserve"> will </w:t>
      </w:r>
      <w:r w:rsidR="364FC186" w:rsidRPr="0018386D">
        <w:t>enhance your reporting</w:t>
      </w:r>
      <w:r w:rsidR="5387D06F" w:rsidRPr="0018386D">
        <w:t xml:space="preserve">, as well as helping </w:t>
      </w:r>
      <w:r w:rsidR="00C84794" w:rsidRPr="0018386D">
        <w:t>to</w:t>
      </w:r>
      <w:r w:rsidR="008E3476" w:rsidRPr="0018386D">
        <w:t> </w:t>
      </w:r>
      <w:r w:rsidR="5387D06F" w:rsidRPr="0018386D">
        <w:t xml:space="preserve">translate between ISO Categories and </w:t>
      </w:r>
      <w:r w:rsidR="00DC67DB" w:rsidRPr="0018386D">
        <w:t>GHG Protocol</w:t>
      </w:r>
      <w:r w:rsidR="5387D06F" w:rsidRPr="0018386D">
        <w:t xml:space="preserve"> Scopes.</w:t>
      </w:r>
      <w:r w:rsidR="364FC186" w:rsidRPr="0018386D">
        <w:t xml:space="preserve"> </w:t>
      </w:r>
      <w:r w:rsidR="71FC299C" w:rsidRPr="0018386D">
        <w:t>Using categories also helps</w:t>
      </w:r>
      <w:r w:rsidR="00206E30" w:rsidRPr="0018386D">
        <w:t xml:space="preserve"> to</w:t>
      </w:r>
      <w:r w:rsidR="008E3476" w:rsidRPr="0018386D">
        <w:t> </w:t>
      </w:r>
      <w:r w:rsidR="00206E30" w:rsidRPr="0018386D">
        <w:t>manage double counting of emissions (such as between an electricity generator’s direct emissions associated with generation and the indirect emissions linked to the user of that</w:t>
      </w:r>
      <w:r w:rsidR="008E3476" w:rsidRPr="0018386D">
        <w:t> </w:t>
      </w:r>
      <w:r w:rsidR="00206E30" w:rsidRPr="0018386D">
        <w:t xml:space="preserve">electricity). </w:t>
      </w:r>
    </w:p>
    <w:p w14:paraId="3C0CAFE0" w14:textId="7DC3F29F" w:rsidR="00206E30" w:rsidRPr="0018386D" w:rsidRDefault="00C6317C" w:rsidP="00DD3106">
      <w:pPr>
        <w:pStyle w:val="BodyText"/>
      </w:pPr>
      <w:r w:rsidRPr="0018386D">
        <w:t xml:space="preserve">The </w:t>
      </w:r>
      <w:r w:rsidR="002A6CC4" w:rsidRPr="0018386D">
        <w:t xml:space="preserve">terminology of ‘Categories’ is used in </w:t>
      </w:r>
      <w:hyperlink r:id="rId46" w:history="1">
        <w:r w:rsidR="002A6CC4" w:rsidRPr="0018386D">
          <w:rPr>
            <w:rStyle w:val="Hyperlink"/>
          </w:rPr>
          <w:t>ISO 14064</w:t>
        </w:r>
        <w:r w:rsidR="00CF3584" w:rsidRPr="0018386D">
          <w:rPr>
            <w:rStyle w:val="Hyperlink"/>
          </w:rPr>
          <w:t>-</w:t>
        </w:r>
        <w:r w:rsidR="002A6CC4" w:rsidRPr="0018386D">
          <w:rPr>
            <w:rStyle w:val="Hyperlink"/>
          </w:rPr>
          <w:t>1:2018</w:t>
        </w:r>
      </w:hyperlink>
      <w:r w:rsidR="002A6CC4" w:rsidRPr="0018386D">
        <w:t>, replacing the use of ‘Scopes’</w:t>
      </w:r>
      <w:r w:rsidR="00CF3584" w:rsidRPr="0018386D">
        <w:t>.</w:t>
      </w:r>
    </w:p>
    <w:p w14:paraId="68C6EA5A" w14:textId="0C84FDAB" w:rsidR="001B3080" w:rsidRPr="0018386D" w:rsidRDefault="007D55A4" w:rsidP="00DD3106">
      <w:pPr>
        <w:pStyle w:val="BodyText"/>
      </w:pPr>
      <w:r w:rsidRPr="0018386D">
        <w:t xml:space="preserve">The GHG Protocol </w:t>
      </w:r>
      <w:hyperlink r:id="rId47">
        <w:r w:rsidR="00897AD6" w:rsidRPr="0018386D">
          <w:rPr>
            <w:rStyle w:val="Hyperlink"/>
          </w:rPr>
          <w:t>Corporate Value Chain (Scope 3) Accounting and Reporting Standard</w:t>
        </w:r>
      </w:hyperlink>
      <w:r w:rsidR="00897AD6" w:rsidRPr="0018386D">
        <w:t xml:space="preserve"> </w:t>
      </w:r>
      <w:r w:rsidR="00AE155E" w:rsidRPr="0018386D">
        <w:t>goes</w:t>
      </w:r>
      <w:r w:rsidR="00122C0A" w:rsidRPr="0018386D">
        <w:t> </w:t>
      </w:r>
      <w:r w:rsidR="00AE155E" w:rsidRPr="0018386D">
        <w:t>into more detail</w:t>
      </w:r>
      <w:r w:rsidR="00EC3A37" w:rsidRPr="0018386D">
        <w:t>,</w:t>
      </w:r>
      <w:r w:rsidR="002D66CD" w:rsidRPr="0018386D">
        <w:t xml:space="preserve"> providing a</w:t>
      </w:r>
      <w:r w:rsidR="001B14AD" w:rsidRPr="0018386D">
        <w:t xml:space="preserve"> method to enable GHG </w:t>
      </w:r>
      <w:r w:rsidR="00375E45" w:rsidRPr="0018386D">
        <w:t xml:space="preserve">management of </w:t>
      </w:r>
      <w:r w:rsidR="00494524" w:rsidRPr="0018386D">
        <w:t>organisations’ value</w:t>
      </w:r>
      <w:r w:rsidR="00122C0A" w:rsidRPr="0018386D">
        <w:t> </w:t>
      </w:r>
      <w:r w:rsidR="00494524" w:rsidRPr="0018386D">
        <w:t xml:space="preserve">chains. </w:t>
      </w:r>
      <w:r w:rsidR="00ED131B" w:rsidRPr="0018386D">
        <w:t xml:space="preserve">Users should be aware that in this standard, Scope 3 is broken down into 15 ‘Categories’. These should not be confused with the Categories outlined in </w:t>
      </w:r>
      <w:hyperlink r:id="rId48" w:history="1">
        <w:r w:rsidR="00ED131B" w:rsidRPr="0018386D">
          <w:rPr>
            <w:rStyle w:val="Hyperlink"/>
          </w:rPr>
          <w:t>ISO 14064-1:2018</w:t>
        </w:r>
      </w:hyperlink>
      <w:r w:rsidR="00ED131B" w:rsidRPr="0018386D">
        <w:t>.</w:t>
      </w:r>
      <w:r w:rsidR="002F6D7F" w:rsidRPr="0018386D">
        <w:t xml:space="preserve"> </w:t>
      </w:r>
    </w:p>
    <w:p w14:paraId="48693AE2" w14:textId="52AFC58F" w:rsidR="000D3678" w:rsidRPr="0018386D" w:rsidRDefault="00206E30" w:rsidP="00DD3106">
      <w:pPr>
        <w:pStyle w:val="BodyText"/>
      </w:pPr>
      <w:r w:rsidRPr="0018386D">
        <w:t>Th</w:t>
      </w:r>
      <w:r w:rsidR="452908E5" w:rsidRPr="0018386D">
        <w:t>is</w:t>
      </w:r>
      <w:r w:rsidRPr="0018386D">
        <w:t xml:space="preserve"> guide </w:t>
      </w:r>
      <w:r w:rsidR="00D915D3" w:rsidRPr="0018386D">
        <w:t xml:space="preserve">reports emission factors for </w:t>
      </w:r>
      <w:r w:rsidRPr="0018386D">
        <w:t>direct (Scope 1)</w:t>
      </w:r>
      <w:r w:rsidR="00D915D3" w:rsidRPr="0018386D">
        <w:t xml:space="preserve"> and</w:t>
      </w:r>
      <w:r w:rsidRPr="0018386D">
        <w:t xml:space="preserve"> indirect (Scope 2) </w:t>
      </w:r>
      <w:r w:rsidR="00D915D3" w:rsidRPr="0018386D">
        <w:t>emissions</w:t>
      </w:r>
      <w:r w:rsidR="00EC3A37" w:rsidRPr="0018386D">
        <w:t>,</w:t>
      </w:r>
      <w:r w:rsidR="00D915D3" w:rsidRPr="0018386D">
        <w:t xml:space="preserve"> and a limited set of </w:t>
      </w:r>
      <w:r w:rsidRPr="0018386D">
        <w:t>indirect (Scope 3) emissions</w:t>
      </w:r>
      <w:r w:rsidR="7BB6AE29" w:rsidRPr="0018386D">
        <w:t xml:space="preserve">. </w:t>
      </w:r>
      <w:r w:rsidR="00EC3A37" w:rsidRPr="0018386D">
        <w:t>T</w:t>
      </w:r>
      <w:r w:rsidR="00FB197E" w:rsidRPr="0018386D">
        <w:t xml:space="preserve">able </w:t>
      </w:r>
      <w:r w:rsidR="00EC3A37" w:rsidRPr="0018386D">
        <w:t>2</w:t>
      </w:r>
      <w:r w:rsidR="7BB6AE29" w:rsidRPr="0018386D">
        <w:t xml:space="preserve"> shows</w:t>
      </w:r>
      <w:r w:rsidR="00F07E34" w:rsidRPr="0018386D">
        <w:t xml:space="preserve"> the </w:t>
      </w:r>
      <w:r w:rsidR="00D67E58" w:rsidRPr="0018386D">
        <w:t>relatio</w:t>
      </w:r>
      <w:r w:rsidR="002D6D7B" w:rsidRPr="0018386D">
        <w:t>n</w:t>
      </w:r>
      <w:r w:rsidR="00D67E58" w:rsidRPr="0018386D">
        <w:t>ship between the GH</w:t>
      </w:r>
      <w:r w:rsidR="002D6D7B" w:rsidRPr="0018386D">
        <w:t>G</w:t>
      </w:r>
      <w:r w:rsidR="00D67E58" w:rsidRPr="0018386D">
        <w:t xml:space="preserve"> Protocol Scopes</w:t>
      </w:r>
      <w:r w:rsidR="002D6D7B" w:rsidRPr="0018386D">
        <w:t xml:space="preserve"> and</w:t>
      </w:r>
      <w:r w:rsidR="00D67E58" w:rsidRPr="0018386D">
        <w:t xml:space="preserve"> the ISO </w:t>
      </w:r>
      <w:r w:rsidR="00084506" w:rsidRPr="0018386D">
        <w:t>categories</w:t>
      </w:r>
      <w:r w:rsidRPr="0018386D">
        <w:t>.</w:t>
      </w:r>
    </w:p>
    <w:p w14:paraId="2E02B6C7" w14:textId="3C3AE740" w:rsidR="009C2CAF" w:rsidRPr="0018386D" w:rsidRDefault="00206E30" w:rsidP="00DD3106">
      <w:pPr>
        <w:pStyle w:val="Tableheading"/>
      </w:pPr>
      <w:bookmarkStart w:id="58" w:name="_Ref532379207"/>
      <w:bookmarkStart w:id="59" w:name="_Toc111536607"/>
      <w:bookmarkStart w:id="60" w:name="_Toc140048942"/>
      <w:r w:rsidRPr="0018386D">
        <w:t xml:space="preserve">Table </w:t>
      </w:r>
      <w:r w:rsidRPr="0018386D">
        <w:fldChar w:fldCharType="begin"/>
      </w:r>
      <w:r w:rsidRPr="0018386D">
        <w:instrText>SEQ Table \* ARABIC</w:instrText>
      </w:r>
      <w:r w:rsidRPr="0018386D">
        <w:fldChar w:fldCharType="separate"/>
      </w:r>
      <w:r w:rsidR="003E141C" w:rsidRPr="0018386D">
        <w:t>2</w:t>
      </w:r>
      <w:r w:rsidRPr="0018386D">
        <w:fldChar w:fldCharType="end"/>
      </w:r>
      <w:bookmarkEnd w:id="58"/>
      <w:r w:rsidRPr="0018386D">
        <w:t>:</w:t>
      </w:r>
      <w:r w:rsidRPr="0018386D">
        <w:tab/>
      </w:r>
      <w:r w:rsidR="00253690" w:rsidRPr="0018386D">
        <w:t xml:space="preserve">Emissions by scope, </w:t>
      </w:r>
      <w:proofErr w:type="gramStart"/>
      <w:r w:rsidR="00253690" w:rsidRPr="0018386D">
        <w:t>category</w:t>
      </w:r>
      <w:proofErr w:type="gramEnd"/>
      <w:r w:rsidR="00253690" w:rsidRPr="0018386D">
        <w:t xml:space="preserve"> and source</w:t>
      </w:r>
      <w:bookmarkEnd w:id="59"/>
      <w:r w:rsidR="00F50DF6" w:rsidRPr="0018386D">
        <w:rPr>
          <w:rFonts w:cs="Calibri"/>
          <w:vertAlign w:val="superscript"/>
        </w:rPr>
        <w:t>†</w:t>
      </w:r>
      <w:bookmarkEnd w:id="60"/>
      <w:r w:rsidR="00253690" w:rsidRPr="0018386D">
        <w:t xml:space="preserve"> </w:t>
      </w:r>
    </w:p>
    <w:tbl>
      <w:tblPr>
        <w:tblStyle w:val="LightList-Accent11"/>
        <w:tblW w:w="8505" w:type="dxa"/>
        <w:tblLook w:val="04A0" w:firstRow="1" w:lastRow="0" w:firstColumn="1" w:lastColumn="0" w:noHBand="0" w:noVBand="1"/>
      </w:tblPr>
      <w:tblGrid>
        <w:gridCol w:w="1560"/>
        <w:gridCol w:w="1822"/>
        <w:gridCol w:w="2746"/>
        <w:gridCol w:w="2377"/>
      </w:tblGrid>
      <w:tr w:rsidR="008513DD" w:rsidRPr="0018386D" w14:paraId="4F056257" w14:textId="77777777" w:rsidTr="00660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1B556B" w:themeColor="text2"/>
              <w:bottom w:val="single" w:sz="8" w:space="0" w:color="1C556C" w:themeColor="accent1"/>
            </w:tcBorders>
            <w:shd w:val="clear" w:color="auto" w:fill="1B556B" w:themeFill="text2"/>
            <w:vAlign w:val="bottom"/>
          </w:tcPr>
          <w:p w14:paraId="6508945A" w14:textId="425B3C06" w:rsidR="008513DD" w:rsidRPr="0018386D" w:rsidRDefault="008513DD" w:rsidP="00DD3106">
            <w:pPr>
              <w:pStyle w:val="TableTextbold"/>
              <w:rPr>
                <w:b/>
                <w:bCs w:val="0"/>
              </w:rPr>
            </w:pPr>
            <w:bookmarkStart w:id="61" w:name="_Hlk532888203"/>
            <w:r w:rsidRPr="0018386D">
              <w:rPr>
                <w:b/>
                <w:bCs w:val="0"/>
              </w:rPr>
              <w:t>Scopes used in the GHG Protocol</w:t>
            </w:r>
          </w:p>
        </w:tc>
        <w:tc>
          <w:tcPr>
            <w:tcW w:w="1822" w:type="dxa"/>
            <w:shd w:val="clear" w:color="auto" w:fill="1B556B" w:themeFill="text2"/>
            <w:vAlign w:val="bottom"/>
          </w:tcPr>
          <w:p w14:paraId="15302FF7" w14:textId="77777777" w:rsidR="008513DD" w:rsidRPr="0018386D" w:rsidRDefault="008513DD" w:rsidP="00DD310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 xml:space="preserve">ISO Inventory Category </w:t>
            </w:r>
          </w:p>
        </w:tc>
        <w:tc>
          <w:tcPr>
            <w:tcW w:w="2746" w:type="dxa"/>
            <w:shd w:val="clear" w:color="auto" w:fill="1B556B" w:themeFill="text2"/>
            <w:vAlign w:val="bottom"/>
          </w:tcPr>
          <w:p w14:paraId="74ACE674" w14:textId="77777777" w:rsidR="008513DD" w:rsidRPr="0018386D" w:rsidRDefault="008513DD" w:rsidP="00DD310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 xml:space="preserve">ISO sub-category (Annex B) </w:t>
            </w:r>
          </w:p>
        </w:tc>
        <w:tc>
          <w:tcPr>
            <w:tcW w:w="2377" w:type="dxa"/>
            <w:tcBorders>
              <w:bottom w:val="single" w:sz="8" w:space="0" w:color="1C556C" w:themeColor="accent1"/>
            </w:tcBorders>
            <w:shd w:val="clear" w:color="auto" w:fill="1B556B" w:themeFill="text2"/>
            <w:vAlign w:val="bottom"/>
          </w:tcPr>
          <w:p w14:paraId="2811D42C" w14:textId="77777777" w:rsidR="008513DD" w:rsidRPr="0018386D" w:rsidRDefault="008513DD" w:rsidP="00DD310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 xml:space="preserve">GHG Protocol </w:t>
            </w:r>
          </w:p>
        </w:tc>
      </w:tr>
      <w:tr w:rsidR="008513DD" w:rsidRPr="0018386D" w14:paraId="47860AC3" w14:textId="77777777" w:rsidTr="0066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1C9A92F4" w14:textId="77777777" w:rsidR="008513DD" w:rsidRPr="0018386D" w:rsidRDefault="008513DD" w:rsidP="00DD3106">
            <w:pPr>
              <w:pStyle w:val="TableText"/>
              <w:spacing w:before="40" w:after="40" w:line="240" w:lineRule="auto"/>
              <w:rPr>
                <w:rFonts w:asciiTheme="minorHAnsi" w:hAnsiTheme="minorHAnsi" w:cstheme="minorHAnsi"/>
                <w:szCs w:val="18"/>
              </w:rPr>
            </w:pPr>
            <w:r w:rsidRPr="0018386D">
              <w:rPr>
                <w:rFonts w:asciiTheme="minorHAnsi" w:hAnsiTheme="minorHAnsi" w:cstheme="minorHAnsi"/>
                <w:szCs w:val="18"/>
              </w:rPr>
              <w:t>1</w:t>
            </w:r>
          </w:p>
        </w:tc>
        <w:tc>
          <w:tcPr>
            <w:tcW w:w="1822" w:type="dxa"/>
          </w:tcPr>
          <w:p w14:paraId="71044AF7"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Direct GHG emissions</w:t>
            </w:r>
          </w:p>
        </w:tc>
        <w:tc>
          <w:tcPr>
            <w:tcW w:w="2746" w:type="dxa"/>
          </w:tcPr>
          <w:p w14:paraId="4CBCEC00"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Stationary combustion</w:t>
            </w:r>
          </w:p>
          <w:p w14:paraId="06B6A906"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Mobile combustion</w:t>
            </w:r>
          </w:p>
          <w:p w14:paraId="287F09AC"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Process</w:t>
            </w:r>
          </w:p>
          <w:p w14:paraId="2CA2D1B2"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Fugitive</w:t>
            </w:r>
          </w:p>
          <w:p w14:paraId="7D5354B4"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Land use, land use change, and forestry (LULUCF)</w:t>
            </w:r>
          </w:p>
        </w:tc>
        <w:tc>
          <w:tcPr>
            <w:tcW w:w="2377" w:type="dxa"/>
            <w:tcBorders>
              <w:right w:val="nil"/>
            </w:tcBorders>
          </w:tcPr>
          <w:p w14:paraId="00E582B1"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Stationary combustion</w:t>
            </w:r>
          </w:p>
          <w:p w14:paraId="7FD3792B"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Mobile combustion</w:t>
            </w:r>
          </w:p>
          <w:p w14:paraId="6EDC61A7"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Process</w:t>
            </w:r>
          </w:p>
          <w:p w14:paraId="179B32CA"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Fugitive</w:t>
            </w:r>
          </w:p>
          <w:p w14:paraId="37F8313F"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Land use, land use change, and forestry (LULUCF)</w:t>
            </w:r>
          </w:p>
        </w:tc>
      </w:tr>
      <w:tr w:rsidR="008513DD" w:rsidRPr="0018386D" w14:paraId="06AAA9F8" w14:textId="77777777" w:rsidTr="006604B1">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1C556C" w:themeColor="accent1"/>
              <w:left w:val="nil"/>
              <w:bottom w:val="single" w:sz="8" w:space="0" w:color="1C556C" w:themeColor="accent1"/>
            </w:tcBorders>
          </w:tcPr>
          <w:p w14:paraId="7C57C29D" w14:textId="77777777" w:rsidR="008513DD" w:rsidRPr="0018386D" w:rsidRDefault="008513DD" w:rsidP="00DD3106">
            <w:pPr>
              <w:pStyle w:val="TableText"/>
              <w:spacing w:before="40" w:after="40" w:line="240" w:lineRule="auto"/>
              <w:rPr>
                <w:rFonts w:asciiTheme="minorHAnsi" w:hAnsiTheme="minorHAnsi" w:cstheme="minorHAnsi"/>
                <w:szCs w:val="18"/>
              </w:rPr>
            </w:pPr>
            <w:r w:rsidRPr="0018386D">
              <w:rPr>
                <w:rFonts w:asciiTheme="minorHAnsi" w:hAnsiTheme="minorHAnsi" w:cstheme="minorHAnsi"/>
                <w:szCs w:val="18"/>
              </w:rPr>
              <w:t>1</w:t>
            </w:r>
          </w:p>
        </w:tc>
        <w:tc>
          <w:tcPr>
            <w:tcW w:w="1822" w:type="dxa"/>
          </w:tcPr>
          <w:p w14:paraId="4DD1F0D4"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Direct GHG removals </w:t>
            </w:r>
          </w:p>
        </w:tc>
        <w:tc>
          <w:tcPr>
            <w:tcW w:w="2746" w:type="dxa"/>
          </w:tcPr>
          <w:p w14:paraId="0A10CF28"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Process</w:t>
            </w:r>
          </w:p>
          <w:p w14:paraId="41E7F8B7"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Land use, land use change, and forestry (LULUCF)</w:t>
            </w:r>
          </w:p>
        </w:tc>
        <w:tc>
          <w:tcPr>
            <w:tcW w:w="2377" w:type="dxa"/>
            <w:tcBorders>
              <w:top w:val="single" w:sz="8" w:space="0" w:color="1C556C" w:themeColor="accent1"/>
              <w:bottom w:val="single" w:sz="8" w:space="0" w:color="1C556C" w:themeColor="accent1"/>
              <w:right w:val="nil"/>
            </w:tcBorders>
          </w:tcPr>
          <w:p w14:paraId="7B3D4D62"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Process</w:t>
            </w:r>
          </w:p>
          <w:p w14:paraId="79CE9EAF"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Land use, land use change, and forestry (LULUCF)</w:t>
            </w:r>
          </w:p>
        </w:tc>
      </w:tr>
      <w:tr w:rsidR="008513DD" w:rsidRPr="0018386D" w14:paraId="2B264F94" w14:textId="77777777" w:rsidTr="0066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5C475573" w14:textId="77777777" w:rsidR="008513DD" w:rsidRPr="0018386D" w:rsidRDefault="008513DD" w:rsidP="00DD3106">
            <w:pPr>
              <w:pStyle w:val="TableText"/>
              <w:spacing w:before="40" w:after="40" w:line="240" w:lineRule="auto"/>
              <w:rPr>
                <w:rFonts w:asciiTheme="minorHAnsi" w:hAnsiTheme="minorHAnsi" w:cstheme="minorHAnsi"/>
                <w:b w:val="0"/>
                <w:szCs w:val="18"/>
              </w:rPr>
            </w:pPr>
            <w:r w:rsidRPr="0018386D">
              <w:rPr>
                <w:rFonts w:asciiTheme="minorHAnsi" w:hAnsiTheme="minorHAnsi" w:cstheme="minorHAnsi"/>
                <w:szCs w:val="18"/>
              </w:rPr>
              <w:t>2</w:t>
            </w:r>
          </w:p>
        </w:tc>
        <w:tc>
          <w:tcPr>
            <w:tcW w:w="1822" w:type="dxa"/>
          </w:tcPr>
          <w:p w14:paraId="37A60C1F"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Indirect GHG emissions from imported energy</w:t>
            </w:r>
          </w:p>
        </w:tc>
        <w:tc>
          <w:tcPr>
            <w:tcW w:w="2746" w:type="dxa"/>
          </w:tcPr>
          <w:p w14:paraId="782BD7F3"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Electricity</w:t>
            </w:r>
          </w:p>
          <w:p w14:paraId="45088B8D"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Energy</w:t>
            </w:r>
          </w:p>
        </w:tc>
        <w:tc>
          <w:tcPr>
            <w:tcW w:w="2377" w:type="dxa"/>
            <w:tcBorders>
              <w:right w:val="nil"/>
            </w:tcBorders>
          </w:tcPr>
          <w:p w14:paraId="73DE66E1"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Electricity</w:t>
            </w:r>
          </w:p>
          <w:p w14:paraId="361DAA98"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Energy</w:t>
            </w:r>
          </w:p>
        </w:tc>
      </w:tr>
      <w:tr w:rsidR="008513DD" w:rsidRPr="0018386D" w14:paraId="0C4D15E6" w14:textId="77777777" w:rsidTr="006604B1">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1C556C" w:themeColor="accent1"/>
              <w:left w:val="nil"/>
              <w:bottom w:val="single" w:sz="8" w:space="0" w:color="1C556C" w:themeColor="accent1"/>
            </w:tcBorders>
          </w:tcPr>
          <w:p w14:paraId="77C7A9BE" w14:textId="77777777" w:rsidR="008513DD" w:rsidRPr="0018386D" w:rsidRDefault="008513DD" w:rsidP="00DD3106">
            <w:pPr>
              <w:pStyle w:val="TableText"/>
              <w:spacing w:before="40" w:after="40" w:line="240" w:lineRule="auto"/>
              <w:rPr>
                <w:rFonts w:asciiTheme="minorHAnsi" w:hAnsiTheme="minorHAnsi" w:cstheme="minorHAnsi"/>
                <w:szCs w:val="18"/>
              </w:rPr>
            </w:pPr>
            <w:r w:rsidRPr="0018386D">
              <w:rPr>
                <w:rFonts w:asciiTheme="minorHAnsi" w:hAnsiTheme="minorHAnsi" w:cstheme="minorHAnsi"/>
                <w:szCs w:val="18"/>
              </w:rPr>
              <w:t>3</w:t>
            </w:r>
          </w:p>
        </w:tc>
        <w:tc>
          <w:tcPr>
            <w:tcW w:w="1822" w:type="dxa"/>
          </w:tcPr>
          <w:p w14:paraId="41C7DB14"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Indirect GHG emissions from transportation</w:t>
            </w:r>
          </w:p>
        </w:tc>
        <w:tc>
          <w:tcPr>
            <w:tcW w:w="2746" w:type="dxa"/>
          </w:tcPr>
          <w:p w14:paraId="2B2C6E40"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Upstream transport and distribution for goods </w:t>
            </w:r>
          </w:p>
          <w:p w14:paraId="628E5AE0"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Downstream transport and distribution for goods </w:t>
            </w:r>
          </w:p>
          <w:p w14:paraId="0A41241C"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Client and visitor transport </w:t>
            </w:r>
          </w:p>
          <w:p w14:paraId="00130CC2"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Business travel</w:t>
            </w:r>
          </w:p>
        </w:tc>
        <w:tc>
          <w:tcPr>
            <w:tcW w:w="2377" w:type="dxa"/>
            <w:tcBorders>
              <w:top w:val="single" w:sz="8" w:space="0" w:color="1C556C" w:themeColor="accent1"/>
              <w:bottom w:val="single" w:sz="8" w:space="0" w:color="1C556C" w:themeColor="accent1"/>
              <w:right w:val="nil"/>
            </w:tcBorders>
          </w:tcPr>
          <w:p w14:paraId="75DD25FF"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4. Upstream transportation and distribution </w:t>
            </w:r>
          </w:p>
          <w:p w14:paraId="40079855"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9. Downstream transportation and distribution </w:t>
            </w:r>
          </w:p>
          <w:p w14:paraId="7E6BBD55"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7. Employee commuting </w:t>
            </w:r>
          </w:p>
          <w:p w14:paraId="064B5886"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6. Business travel </w:t>
            </w:r>
          </w:p>
          <w:p w14:paraId="138FBCDD"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3. Fuel- and energy-related activities</w:t>
            </w:r>
          </w:p>
        </w:tc>
      </w:tr>
      <w:tr w:rsidR="008513DD" w:rsidRPr="0018386D" w14:paraId="7CC710C7" w14:textId="77777777" w:rsidTr="0066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044DC118" w14:textId="77777777" w:rsidR="008513DD" w:rsidRPr="0018386D" w:rsidRDefault="008513DD" w:rsidP="00DD3106">
            <w:pPr>
              <w:pStyle w:val="TableText"/>
              <w:spacing w:before="40" w:after="40" w:line="240" w:lineRule="auto"/>
              <w:rPr>
                <w:rFonts w:asciiTheme="minorHAnsi" w:hAnsiTheme="minorHAnsi" w:cstheme="minorHAnsi"/>
                <w:szCs w:val="18"/>
              </w:rPr>
            </w:pPr>
            <w:r w:rsidRPr="0018386D">
              <w:rPr>
                <w:rFonts w:asciiTheme="minorHAnsi" w:hAnsiTheme="minorHAnsi" w:cstheme="minorHAnsi"/>
                <w:szCs w:val="18"/>
              </w:rPr>
              <w:t>3</w:t>
            </w:r>
          </w:p>
        </w:tc>
        <w:tc>
          <w:tcPr>
            <w:tcW w:w="1822" w:type="dxa"/>
          </w:tcPr>
          <w:p w14:paraId="35F57376"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Indirect GHG emissions from products used by the organisation</w:t>
            </w:r>
          </w:p>
        </w:tc>
        <w:tc>
          <w:tcPr>
            <w:tcW w:w="2746" w:type="dxa"/>
          </w:tcPr>
          <w:p w14:paraId="245B431F"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Purchased </w:t>
            </w:r>
            <w:proofErr w:type="gramStart"/>
            <w:r w:rsidRPr="0018386D">
              <w:rPr>
                <w:rFonts w:asciiTheme="minorHAnsi" w:hAnsiTheme="minorHAnsi" w:cstheme="minorHAnsi"/>
                <w:szCs w:val="18"/>
              </w:rPr>
              <w:t>goods</w:t>
            </w:r>
            <w:proofErr w:type="gramEnd"/>
            <w:r w:rsidRPr="0018386D">
              <w:rPr>
                <w:rFonts w:asciiTheme="minorHAnsi" w:hAnsiTheme="minorHAnsi" w:cstheme="minorHAnsi"/>
                <w:szCs w:val="18"/>
              </w:rPr>
              <w:t xml:space="preserve"> </w:t>
            </w:r>
          </w:p>
          <w:p w14:paraId="5C2ABA27"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Capital </w:t>
            </w:r>
            <w:proofErr w:type="gramStart"/>
            <w:r w:rsidRPr="0018386D">
              <w:rPr>
                <w:rFonts w:asciiTheme="minorHAnsi" w:hAnsiTheme="minorHAnsi" w:cstheme="minorHAnsi"/>
                <w:szCs w:val="18"/>
              </w:rPr>
              <w:t>goods</w:t>
            </w:r>
            <w:proofErr w:type="gramEnd"/>
            <w:r w:rsidRPr="0018386D">
              <w:rPr>
                <w:rFonts w:asciiTheme="minorHAnsi" w:hAnsiTheme="minorHAnsi" w:cstheme="minorHAnsi"/>
                <w:szCs w:val="18"/>
              </w:rPr>
              <w:t xml:space="preserve"> </w:t>
            </w:r>
          </w:p>
          <w:p w14:paraId="6E34455A"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Waste disposal (liquid and solid) </w:t>
            </w:r>
          </w:p>
          <w:p w14:paraId="66559012"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Equipment leased by reporting </w:t>
            </w:r>
            <w:proofErr w:type="gramStart"/>
            <w:r w:rsidRPr="0018386D">
              <w:rPr>
                <w:rFonts w:asciiTheme="minorHAnsi" w:hAnsiTheme="minorHAnsi" w:cstheme="minorHAnsi"/>
                <w:szCs w:val="18"/>
              </w:rPr>
              <w:t>organisation</w:t>
            </w:r>
            <w:proofErr w:type="gramEnd"/>
            <w:r w:rsidRPr="0018386D">
              <w:rPr>
                <w:rFonts w:asciiTheme="minorHAnsi" w:hAnsiTheme="minorHAnsi" w:cstheme="minorHAnsi"/>
                <w:szCs w:val="18"/>
              </w:rPr>
              <w:t xml:space="preserve"> </w:t>
            </w:r>
          </w:p>
          <w:p w14:paraId="7B84DE79"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Services not described above</w:t>
            </w:r>
          </w:p>
        </w:tc>
        <w:tc>
          <w:tcPr>
            <w:tcW w:w="2377" w:type="dxa"/>
            <w:tcBorders>
              <w:right w:val="nil"/>
            </w:tcBorders>
          </w:tcPr>
          <w:p w14:paraId="3357C34A"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1. Purchased goods and services </w:t>
            </w:r>
          </w:p>
          <w:p w14:paraId="48EBC71F"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2. Capital goods </w:t>
            </w:r>
          </w:p>
          <w:p w14:paraId="1842D6EB"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5. Waste generated in operations </w:t>
            </w:r>
          </w:p>
          <w:p w14:paraId="573BA300"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8. Upstream leased assets </w:t>
            </w:r>
          </w:p>
          <w:p w14:paraId="25E92898"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1. Purchased goods and services</w:t>
            </w:r>
          </w:p>
        </w:tc>
      </w:tr>
      <w:tr w:rsidR="008513DD" w:rsidRPr="0018386D" w14:paraId="776AD97B" w14:textId="77777777" w:rsidTr="006604B1">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1C556C" w:themeColor="accent1"/>
              <w:left w:val="nil"/>
              <w:bottom w:val="single" w:sz="8" w:space="0" w:color="1C556C" w:themeColor="accent1"/>
            </w:tcBorders>
          </w:tcPr>
          <w:p w14:paraId="7BDBA005" w14:textId="77777777" w:rsidR="008513DD" w:rsidRPr="0018386D" w:rsidRDefault="008513DD" w:rsidP="00DD3106">
            <w:pPr>
              <w:pStyle w:val="TableText"/>
              <w:spacing w:before="40" w:after="40" w:line="240" w:lineRule="auto"/>
              <w:rPr>
                <w:rFonts w:asciiTheme="minorHAnsi" w:hAnsiTheme="minorHAnsi" w:cstheme="minorHAnsi"/>
                <w:szCs w:val="18"/>
              </w:rPr>
            </w:pPr>
            <w:r w:rsidRPr="0018386D">
              <w:rPr>
                <w:rFonts w:asciiTheme="minorHAnsi" w:hAnsiTheme="minorHAnsi" w:cstheme="minorHAnsi"/>
                <w:szCs w:val="18"/>
              </w:rPr>
              <w:t>3</w:t>
            </w:r>
          </w:p>
        </w:tc>
        <w:tc>
          <w:tcPr>
            <w:tcW w:w="1822" w:type="dxa"/>
          </w:tcPr>
          <w:p w14:paraId="3396D83A"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Indirect GHG emissions associated with use of products from the organisation</w:t>
            </w:r>
          </w:p>
        </w:tc>
        <w:tc>
          <w:tcPr>
            <w:tcW w:w="2746" w:type="dxa"/>
          </w:tcPr>
          <w:p w14:paraId="3CF1FF03"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Use stage of product </w:t>
            </w:r>
          </w:p>
          <w:p w14:paraId="2AD0FD0B"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Downstream leased assets </w:t>
            </w:r>
          </w:p>
          <w:p w14:paraId="2E885881"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End-of-life stage of product </w:t>
            </w:r>
          </w:p>
          <w:p w14:paraId="3FB8079B"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lastRenderedPageBreak/>
              <w:t>Investments</w:t>
            </w:r>
          </w:p>
        </w:tc>
        <w:tc>
          <w:tcPr>
            <w:tcW w:w="2377" w:type="dxa"/>
            <w:tcBorders>
              <w:top w:val="single" w:sz="8" w:space="0" w:color="1C556C" w:themeColor="accent1"/>
              <w:bottom w:val="single" w:sz="8" w:space="0" w:color="1C556C" w:themeColor="accent1"/>
              <w:right w:val="nil"/>
            </w:tcBorders>
          </w:tcPr>
          <w:p w14:paraId="1208AEBC"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lastRenderedPageBreak/>
              <w:t xml:space="preserve">11. Use of sold product </w:t>
            </w:r>
          </w:p>
          <w:p w14:paraId="72242B93"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13. Downstream leased assets </w:t>
            </w:r>
          </w:p>
          <w:p w14:paraId="70A898F7"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lastRenderedPageBreak/>
              <w:t xml:space="preserve">12. End-of-life treatment of sold products </w:t>
            </w:r>
          </w:p>
          <w:p w14:paraId="0F013199"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15. Investments </w:t>
            </w:r>
          </w:p>
          <w:p w14:paraId="3BD8636B" w14:textId="77777777" w:rsidR="008513DD" w:rsidRPr="0018386D" w:rsidRDefault="008513DD" w:rsidP="00DD3106">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10. Processing of sold products</w:t>
            </w:r>
          </w:p>
        </w:tc>
      </w:tr>
      <w:tr w:rsidR="008513DD" w:rsidRPr="0018386D" w14:paraId="3CF6B1FB" w14:textId="77777777" w:rsidTr="0066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59264D2D" w14:textId="77777777" w:rsidR="008513DD" w:rsidRPr="0018386D" w:rsidRDefault="008513DD" w:rsidP="00DD3106">
            <w:pPr>
              <w:pStyle w:val="TableText"/>
              <w:spacing w:before="40" w:after="40" w:line="240" w:lineRule="auto"/>
              <w:rPr>
                <w:rFonts w:asciiTheme="minorHAnsi" w:hAnsiTheme="minorHAnsi" w:cstheme="minorHAnsi"/>
                <w:szCs w:val="18"/>
              </w:rPr>
            </w:pPr>
            <w:r w:rsidRPr="0018386D">
              <w:rPr>
                <w:rFonts w:asciiTheme="minorHAnsi" w:hAnsiTheme="minorHAnsi" w:cstheme="minorHAnsi"/>
                <w:szCs w:val="18"/>
              </w:rPr>
              <w:lastRenderedPageBreak/>
              <w:t>3</w:t>
            </w:r>
          </w:p>
        </w:tc>
        <w:tc>
          <w:tcPr>
            <w:tcW w:w="1822" w:type="dxa"/>
          </w:tcPr>
          <w:p w14:paraId="2D6B9D2D"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Indirect GHG emissions from other sources</w:t>
            </w:r>
          </w:p>
        </w:tc>
        <w:tc>
          <w:tcPr>
            <w:tcW w:w="2746" w:type="dxa"/>
          </w:tcPr>
          <w:p w14:paraId="14799B6C"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p>
        </w:tc>
        <w:tc>
          <w:tcPr>
            <w:tcW w:w="2377" w:type="dxa"/>
            <w:tcBorders>
              <w:right w:val="nil"/>
            </w:tcBorders>
          </w:tcPr>
          <w:p w14:paraId="184C2A12" w14:textId="77777777" w:rsidR="008513DD" w:rsidRPr="0018386D" w:rsidRDefault="008513DD" w:rsidP="00DD3106">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8386D">
              <w:rPr>
                <w:rFonts w:asciiTheme="minorHAnsi" w:hAnsiTheme="minorHAnsi" w:cstheme="minorHAnsi"/>
                <w:szCs w:val="18"/>
              </w:rPr>
              <w:t xml:space="preserve">14. Franchises </w:t>
            </w:r>
          </w:p>
        </w:tc>
      </w:tr>
    </w:tbl>
    <w:p w14:paraId="29089DE8" w14:textId="05D164BD" w:rsidR="00206E30" w:rsidRPr="0018386D" w:rsidRDefault="00206E30" w:rsidP="00DD3106">
      <w:pPr>
        <w:pStyle w:val="Note"/>
        <w:spacing w:after="0"/>
      </w:pPr>
      <w:r w:rsidRPr="0018386D">
        <w:rPr>
          <w:b/>
          <w:bCs/>
        </w:rPr>
        <w:t>Note:</w:t>
      </w:r>
      <w:r w:rsidRPr="0018386D">
        <w:t xml:space="preserve"> Depending on </w:t>
      </w:r>
      <w:r w:rsidR="00950C0B" w:rsidRPr="0018386D">
        <w:t>your</w:t>
      </w:r>
      <w:r w:rsidRPr="0018386D">
        <w:t xml:space="preserve"> organisation’s </w:t>
      </w:r>
      <w:r w:rsidR="003D1674" w:rsidRPr="0018386D">
        <w:t>reporting</w:t>
      </w:r>
      <w:r w:rsidRPr="0018386D">
        <w:t xml:space="preserve"> and financial boundaries, some </w:t>
      </w:r>
      <w:r w:rsidR="00A90D22" w:rsidRPr="0018386D">
        <w:t>emission sources</w:t>
      </w:r>
      <w:r w:rsidRPr="0018386D">
        <w:t xml:space="preserve"> may be either Scope 1 or Scope 3</w:t>
      </w:r>
      <w:r w:rsidR="000E290B" w:rsidRPr="0018386D">
        <w:t>.</w:t>
      </w:r>
      <w:r w:rsidR="00825664" w:rsidRPr="0018386D">
        <w:t xml:space="preserve"> </w:t>
      </w:r>
    </w:p>
    <w:p w14:paraId="4966DC78" w14:textId="215DB557" w:rsidR="00F50DF6" w:rsidRPr="0018386D" w:rsidRDefault="00F50DF6" w:rsidP="00DD3106">
      <w:pPr>
        <w:pStyle w:val="Note"/>
        <w:spacing w:before="60" w:after="0"/>
      </w:pPr>
      <w:r w:rsidRPr="0018386D">
        <w:rPr>
          <w:szCs w:val="18"/>
        </w:rPr>
        <w:t>†</w:t>
      </w:r>
      <w:r w:rsidR="00BE0D31" w:rsidRPr="0018386D">
        <w:rPr>
          <w:szCs w:val="18"/>
        </w:rPr>
        <w:t xml:space="preserve"> </w:t>
      </w:r>
      <w:r w:rsidR="075EF7C0" w:rsidRPr="0018386D">
        <w:rPr>
          <w:szCs w:val="18"/>
        </w:rPr>
        <w:t>Spend</w:t>
      </w:r>
      <w:r w:rsidR="003D1819" w:rsidRPr="0018386D">
        <w:rPr>
          <w:szCs w:val="18"/>
        </w:rPr>
        <w:t>-</w:t>
      </w:r>
      <w:r w:rsidR="001D090D" w:rsidRPr="0018386D">
        <w:rPr>
          <w:szCs w:val="18"/>
        </w:rPr>
        <w:t xml:space="preserve">based emission factors </w:t>
      </w:r>
      <w:r w:rsidR="006F5A1E" w:rsidRPr="0018386D">
        <w:rPr>
          <w:szCs w:val="18"/>
        </w:rPr>
        <w:t xml:space="preserve">might be used </w:t>
      </w:r>
      <w:r w:rsidR="00BE0D31" w:rsidRPr="0018386D">
        <w:rPr>
          <w:szCs w:val="18"/>
        </w:rPr>
        <w:t xml:space="preserve">for some of the indirect emissions </w:t>
      </w:r>
      <w:proofErr w:type="gramStart"/>
      <w:r w:rsidR="00BE0D31" w:rsidRPr="0018386D">
        <w:rPr>
          <w:szCs w:val="18"/>
        </w:rPr>
        <w:t>where</w:t>
      </w:r>
      <w:proofErr w:type="gramEnd"/>
      <w:r w:rsidR="00BE0D31" w:rsidRPr="0018386D">
        <w:rPr>
          <w:szCs w:val="18"/>
        </w:rPr>
        <w:t xml:space="preserve"> better quality</w:t>
      </w:r>
      <w:r w:rsidR="01834887" w:rsidRPr="0018386D">
        <w:rPr>
          <w:szCs w:val="18"/>
        </w:rPr>
        <w:t>, activity specific</w:t>
      </w:r>
      <w:r w:rsidR="00BE0D31" w:rsidRPr="0018386D">
        <w:rPr>
          <w:szCs w:val="18"/>
        </w:rPr>
        <w:t xml:space="preserve"> </w:t>
      </w:r>
      <w:r w:rsidR="008B0F35" w:rsidRPr="0018386D">
        <w:rPr>
          <w:szCs w:val="18"/>
        </w:rPr>
        <w:t>emission factors may be lacking</w:t>
      </w:r>
      <w:r w:rsidR="003D1819" w:rsidRPr="0018386D">
        <w:rPr>
          <w:szCs w:val="18"/>
        </w:rPr>
        <w:t>.</w:t>
      </w:r>
      <w:r w:rsidR="008B0F35" w:rsidRPr="0018386D">
        <w:rPr>
          <w:szCs w:val="18"/>
        </w:rPr>
        <w:t xml:space="preserve"> </w:t>
      </w:r>
    </w:p>
    <w:p w14:paraId="60B253DE" w14:textId="05821919" w:rsidR="0009645C" w:rsidRPr="0018386D" w:rsidRDefault="0009645C" w:rsidP="00DD3106">
      <w:pPr>
        <w:pStyle w:val="Note"/>
        <w:spacing w:before="60"/>
      </w:pPr>
      <w:r w:rsidRPr="0018386D">
        <w:t xml:space="preserve">* Emissions inventories, in line with the Greenhouse Gas Protocol, report only Kyoto Protocol gases under direct (Scope 1) emissions. All non-Kyoto gases, such as the Montreal Protocol refrigerant gases or medical gases, should be reported separately as ‘other </w:t>
      </w:r>
      <w:proofErr w:type="gramStart"/>
      <w:r w:rsidRPr="0018386D">
        <w:t>gases’</w:t>
      </w:r>
      <w:proofErr w:type="gramEnd"/>
      <w:r w:rsidRPr="0018386D">
        <w:t xml:space="preserve">. </w:t>
      </w:r>
      <w:r w:rsidR="003D0F78" w:rsidRPr="0018386D">
        <w:t>The</w:t>
      </w:r>
      <w:hyperlink r:id="rId49" w:history="1">
        <w:r w:rsidR="003D0F78" w:rsidRPr="00A60102">
          <w:rPr>
            <w:rStyle w:val="Hyperlink"/>
          </w:rPr>
          <w:t xml:space="preserve"> </w:t>
        </w:r>
        <w:r w:rsidR="00B60500" w:rsidRPr="00A60102">
          <w:rPr>
            <w:rStyle w:val="Hyperlink"/>
          </w:rPr>
          <w:t xml:space="preserve">Interactive </w:t>
        </w:r>
        <w:r w:rsidR="00530951" w:rsidRPr="00A60102">
          <w:rPr>
            <w:rStyle w:val="Hyperlink"/>
          </w:rPr>
          <w:t>workbook</w:t>
        </w:r>
      </w:hyperlink>
      <w:r w:rsidR="00B60471" w:rsidRPr="0018386D">
        <w:t xml:space="preserve"> has been structured on the</w:t>
      </w:r>
      <w:r w:rsidRPr="0018386D">
        <w:t xml:space="preserve"> ISO 14064-1:2018 </w:t>
      </w:r>
      <w:r w:rsidR="00B60471" w:rsidRPr="0018386D">
        <w:t xml:space="preserve">standard, which </w:t>
      </w:r>
      <w:r w:rsidRPr="0018386D">
        <w:t>requires all relevant direct (</w:t>
      </w:r>
      <w:r w:rsidR="001E15DC" w:rsidRPr="0018386D">
        <w:t>S</w:t>
      </w:r>
      <w:r w:rsidRPr="0018386D">
        <w:t>cope 1) emissions to be reported.</w:t>
      </w:r>
    </w:p>
    <w:p w14:paraId="2D6C8199" w14:textId="50023429" w:rsidR="4F94C2BA" w:rsidRPr="0018386D" w:rsidRDefault="31AB7B38" w:rsidP="00DD3106">
      <w:pPr>
        <w:pStyle w:val="BodyText"/>
      </w:pPr>
      <w:bookmarkStart w:id="62" w:name="_Hlk532888226"/>
      <w:r w:rsidRPr="0018386D">
        <w:t>Both the</w:t>
      </w:r>
      <w:r w:rsidR="00206E30" w:rsidRPr="0018386D">
        <w:t xml:space="preserve"> </w:t>
      </w:r>
      <w:hyperlink r:id="rId50" w:history="1">
        <w:r w:rsidR="43E6D66C" w:rsidRPr="0018386D">
          <w:rPr>
            <w:rStyle w:val="Hyperlink"/>
            <w:rFonts w:eastAsia="Calibri" w:cs="Calibri"/>
          </w:rPr>
          <w:t>ISO 14064-1:2018</w:t>
        </w:r>
      </w:hyperlink>
      <w:r w:rsidR="00206E30" w:rsidRPr="0018386D">
        <w:t xml:space="preserve"> </w:t>
      </w:r>
      <w:r w:rsidR="548C8794" w:rsidRPr="0018386D">
        <w:t xml:space="preserve">and </w:t>
      </w:r>
      <w:hyperlink r:id="rId51" w:history="1">
        <w:r w:rsidR="43E6D66C" w:rsidRPr="0018386D">
          <w:rPr>
            <w:rStyle w:val="Hyperlink"/>
            <w:rFonts w:eastAsia="Calibri" w:cs="Calibri"/>
          </w:rPr>
          <w:t>GHG Corporate Protocol</w:t>
        </w:r>
      </w:hyperlink>
      <w:r w:rsidR="548C8794" w:rsidRPr="0018386D">
        <w:t xml:space="preserve"> </w:t>
      </w:r>
      <w:r w:rsidR="00206E30" w:rsidRPr="0018386D">
        <w:t>require that organisations</w:t>
      </w:r>
      <w:r w:rsidR="0AF38C49" w:rsidRPr="0018386D">
        <w:t xml:space="preserve"> calculate the </w:t>
      </w:r>
      <w:r w:rsidR="00206E30" w:rsidRPr="0018386D">
        <w:t xml:space="preserve">emissions </w:t>
      </w:r>
      <w:r w:rsidR="321A43E2" w:rsidRPr="0018386D">
        <w:t xml:space="preserve">of each </w:t>
      </w:r>
      <w:r w:rsidR="00206E30" w:rsidRPr="0018386D">
        <w:t>GHG</w:t>
      </w:r>
      <w:r w:rsidR="21176F0A" w:rsidRPr="0018386D">
        <w:t xml:space="preserve"> </w:t>
      </w:r>
      <w:r w:rsidR="1AA986C5" w:rsidRPr="0018386D">
        <w:t>separately and</w:t>
      </w:r>
      <w:r w:rsidR="21176F0A" w:rsidRPr="0018386D">
        <w:t xml:space="preserve"> </w:t>
      </w:r>
      <w:r w:rsidR="621C27FE" w:rsidRPr="0018386D">
        <w:t xml:space="preserve">quantify </w:t>
      </w:r>
      <w:r w:rsidR="008A1073" w:rsidRPr="0018386D">
        <w:t>them</w:t>
      </w:r>
      <w:r w:rsidR="43E6D66C" w:rsidRPr="0018386D">
        <w:t xml:space="preserve"> </w:t>
      </w:r>
      <w:r w:rsidR="621C27FE" w:rsidRPr="0018386D">
        <w:t xml:space="preserve">as </w:t>
      </w:r>
      <w:r w:rsidR="00206E30" w:rsidRPr="0018386D">
        <w:t>carbon dioxide equivalents</w:t>
      </w:r>
      <w:r w:rsidR="00ED26A1" w:rsidRPr="0018386D">
        <w:t xml:space="preserve"> (CO</w:t>
      </w:r>
      <w:r w:rsidR="00ED26A1" w:rsidRPr="0018386D">
        <w:rPr>
          <w:vertAlign w:val="subscript"/>
        </w:rPr>
        <w:t>2</w:t>
      </w:r>
      <w:r w:rsidR="008E3476" w:rsidRPr="0018386D">
        <w:noBreakHyphen/>
      </w:r>
      <w:r w:rsidR="00ED26A1" w:rsidRPr="0018386D">
        <w:t>e)</w:t>
      </w:r>
      <w:r w:rsidR="00206E30" w:rsidRPr="0018386D">
        <w:t xml:space="preserve">. </w:t>
      </w:r>
      <w:r w:rsidR="43E6D66C" w:rsidRPr="0018386D">
        <w:t xml:space="preserve">Example calculations in this guide </w:t>
      </w:r>
      <w:bookmarkEnd w:id="62"/>
      <w:r w:rsidR="43E6D66C" w:rsidRPr="0018386D">
        <w:t xml:space="preserve">show this format </w:t>
      </w:r>
      <w:r w:rsidR="003D1819" w:rsidRPr="0018386D">
        <w:t>(</w:t>
      </w:r>
      <w:r w:rsidR="43E6D66C" w:rsidRPr="0018386D">
        <w:t xml:space="preserve">see also the </w:t>
      </w:r>
      <w:hyperlink r:id="rId52" w:history="1">
        <w:r w:rsidR="43E6D66C" w:rsidRPr="0018386D">
          <w:rPr>
            <w:rStyle w:val="Hyperlink"/>
            <w:rFonts w:eastAsia="Calibri" w:cs="Calibri"/>
          </w:rPr>
          <w:t>2019 Example GHG Report</w:t>
        </w:r>
      </w:hyperlink>
      <w:bookmarkStart w:id="63" w:name="_How_to_calculate"/>
      <w:bookmarkStart w:id="64" w:name="_Toc530051490"/>
      <w:bookmarkStart w:id="65" w:name="_Toc530051519"/>
      <w:bookmarkStart w:id="66" w:name="_Toc530055798"/>
      <w:bookmarkStart w:id="67" w:name="_Ref532548882"/>
      <w:bookmarkStart w:id="68" w:name="_Ref532556630"/>
      <w:bookmarkStart w:id="69" w:name="_Ref532556657"/>
      <w:bookmarkStart w:id="70" w:name="_Ref532557549"/>
      <w:bookmarkStart w:id="71" w:name="_Ref532820773"/>
      <w:bookmarkStart w:id="72" w:name="_Toc532904847"/>
      <w:bookmarkStart w:id="73" w:name="_Toc600561"/>
      <w:bookmarkStart w:id="74" w:name="_Ref55219925"/>
      <w:bookmarkEnd w:id="34"/>
      <w:bookmarkEnd w:id="35"/>
      <w:bookmarkEnd w:id="61"/>
      <w:bookmarkEnd w:id="63"/>
      <w:r w:rsidR="00631A05" w:rsidRPr="0018386D">
        <w:t>).</w:t>
      </w:r>
      <w:r w:rsidR="4FE925F1" w:rsidRPr="0018386D">
        <w:t xml:space="preserve"> While the NZCS does not mandate a single approach for measuring GHG emissions, the TCFD requires organisations to report in accordance with the </w:t>
      </w:r>
      <w:hyperlink r:id="rId53" w:history="1">
        <w:r w:rsidR="4FE925F1" w:rsidRPr="0018386D">
          <w:rPr>
            <w:rStyle w:val="Hyperlink"/>
          </w:rPr>
          <w:t>GHG Protocol</w:t>
        </w:r>
      </w:hyperlink>
      <w:r w:rsidR="4FE925F1" w:rsidRPr="0018386D">
        <w:t xml:space="preserve">. </w:t>
      </w:r>
    </w:p>
    <w:p w14:paraId="4CD10AF6" w14:textId="02971A83" w:rsidR="00B17ABF" w:rsidRPr="0018386D" w:rsidRDefault="00B17ABF" w:rsidP="00DD3106">
      <w:pPr>
        <w:pStyle w:val="Heading1"/>
        <w:pageBreakBefore/>
        <w:numPr>
          <w:ilvl w:val="0"/>
          <w:numId w:val="8"/>
        </w:numPr>
      </w:pPr>
      <w:bookmarkStart w:id="75" w:name="_How_to_quantify"/>
      <w:bookmarkStart w:id="76" w:name="_Toc140048884"/>
      <w:bookmarkEnd w:id="75"/>
      <w:r w:rsidRPr="0018386D">
        <w:lastRenderedPageBreak/>
        <w:t xml:space="preserve">How to </w:t>
      </w:r>
      <w:bookmarkEnd w:id="64"/>
      <w:bookmarkEnd w:id="65"/>
      <w:bookmarkEnd w:id="66"/>
      <w:bookmarkEnd w:id="67"/>
      <w:bookmarkEnd w:id="68"/>
      <w:bookmarkEnd w:id="69"/>
      <w:bookmarkEnd w:id="70"/>
      <w:bookmarkEnd w:id="71"/>
      <w:bookmarkEnd w:id="72"/>
      <w:r w:rsidR="00950C0B" w:rsidRPr="0018386D">
        <w:t>quantify and report GHG</w:t>
      </w:r>
      <w:bookmarkEnd w:id="73"/>
      <w:r w:rsidR="523DBFC2" w:rsidRPr="0018386D">
        <w:t xml:space="preserve"> </w:t>
      </w:r>
      <w:r w:rsidR="002C6649" w:rsidRPr="0018386D">
        <w:t>emissions</w:t>
      </w:r>
      <w:bookmarkEnd w:id="74"/>
      <w:bookmarkEnd w:id="76"/>
    </w:p>
    <w:p w14:paraId="470461FF" w14:textId="4FEB13AF" w:rsidR="008D1B42" w:rsidRPr="0018386D" w:rsidRDefault="00B17ABF" w:rsidP="00DD3106">
      <w:pPr>
        <w:pStyle w:val="BodyText"/>
      </w:pPr>
      <w:r w:rsidRPr="0018386D">
        <w:t xml:space="preserve">To </w:t>
      </w:r>
      <w:r w:rsidR="00F230F3" w:rsidRPr="0018386D">
        <w:t xml:space="preserve">quantify and </w:t>
      </w:r>
      <w:r w:rsidRPr="0018386D">
        <w:t xml:space="preserve">report GHG emissions, organisations need data about their </w:t>
      </w:r>
      <w:r w:rsidR="00E60829" w:rsidRPr="0018386D">
        <w:t>activities (</w:t>
      </w:r>
      <w:r w:rsidR="004128C3" w:rsidRPr="0018386D">
        <w:t>for example</w:t>
      </w:r>
      <w:r w:rsidR="5E690463" w:rsidRPr="0018386D">
        <w:t>,</w:t>
      </w:r>
      <w:r w:rsidR="004128C3" w:rsidRPr="0018386D">
        <w:t xml:space="preserve"> the</w:t>
      </w:r>
      <w:r w:rsidR="00E60829" w:rsidRPr="0018386D">
        <w:t xml:space="preserve"> quantity of fuel used</w:t>
      </w:r>
      <w:r w:rsidRPr="0018386D">
        <w:t>). They can then convert this into information about their emissions (measured in tonnes of CO</w:t>
      </w:r>
      <w:r w:rsidRPr="0018386D">
        <w:rPr>
          <w:vertAlign w:val="subscript"/>
        </w:rPr>
        <w:t>2</w:t>
      </w:r>
      <w:r w:rsidRPr="0018386D">
        <w:t>-e) using emission factors</w:t>
      </w:r>
      <w:r w:rsidR="00B8798E" w:rsidRPr="0018386D">
        <w:t xml:space="preserve">. </w:t>
      </w:r>
    </w:p>
    <w:p w14:paraId="0A9E6041" w14:textId="19369552" w:rsidR="00B17ABF" w:rsidRPr="0018386D" w:rsidRDefault="008D1B42" w:rsidP="00DD3106">
      <w:pPr>
        <w:pStyle w:val="BodyText"/>
        <w:spacing w:after="240"/>
      </w:pPr>
      <w:r w:rsidRPr="0018386D">
        <w:t>An emission factor</w:t>
      </w:r>
      <w:r w:rsidR="00B17ABF" w:rsidRPr="0018386D">
        <w:t xml:space="preserve"> allows </w:t>
      </w:r>
      <w:r w:rsidR="00285D36" w:rsidRPr="0018386D">
        <w:t xml:space="preserve">the estimation of </w:t>
      </w:r>
      <w:r w:rsidR="00B17ABF" w:rsidRPr="0018386D">
        <w:t xml:space="preserve">GHG emissions from a unit of available activity data (eg, litres of fuel </w:t>
      </w:r>
      <w:r w:rsidR="00F230F3" w:rsidRPr="0018386D">
        <w:t>us</w:t>
      </w:r>
      <w:r w:rsidR="00B17ABF" w:rsidRPr="0018386D">
        <w:t>ed).</w:t>
      </w:r>
      <w:r w:rsidRPr="0018386D">
        <w:t xml:space="preserve"> The factors are set out in the </w:t>
      </w:r>
      <w:hyperlink r:id="rId54" w:history="1">
        <w:r w:rsidR="00F230F3" w:rsidRPr="0018386D">
          <w:rPr>
            <w:rStyle w:val="Hyperlink"/>
          </w:rPr>
          <w:t xml:space="preserve">Emission </w:t>
        </w:r>
        <w:r w:rsidR="006956FA" w:rsidRPr="0018386D">
          <w:rPr>
            <w:rStyle w:val="Hyperlink"/>
          </w:rPr>
          <w:t>f</w:t>
        </w:r>
        <w:r w:rsidR="00F230F3" w:rsidRPr="0018386D">
          <w:rPr>
            <w:rStyle w:val="Hyperlink"/>
          </w:rPr>
          <w:t xml:space="preserve">actors </w:t>
        </w:r>
        <w:r w:rsidR="0006386E">
          <w:rPr>
            <w:rStyle w:val="Hyperlink"/>
          </w:rPr>
          <w:t>interactive</w:t>
        </w:r>
      </w:hyperlink>
      <w:r w:rsidR="00F230F3" w:rsidRPr="0018386D">
        <w:t xml:space="preserve"> and the </w:t>
      </w:r>
      <w:hyperlink r:id="rId55" w:history="1">
        <w:r w:rsidR="009A30EE" w:rsidRPr="0018386D">
          <w:rPr>
            <w:rStyle w:val="Hyperlink"/>
          </w:rPr>
          <w:t>Emission factors workbook</w:t>
        </w:r>
      </w:hyperlink>
      <w:r w:rsidR="009A30EE" w:rsidRPr="0018386D">
        <w:t>.</w:t>
      </w:r>
    </w:p>
    <w:tbl>
      <w:tblPr>
        <w:tblW w:w="850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9A0989" w:rsidRPr="0018386D" w14:paraId="049B560A" w14:textId="77777777" w:rsidTr="00B11EDC">
        <w:tc>
          <w:tcPr>
            <w:tcW w:w="8505" w:type="dxa"/>
            <w:tcBorders>
              <w:top w:val="single" w:sz="4" w:space="0" w:color="0F7B7D"/>
              <w:left w:val="single" w:sz="4" w:space="0" w:color="0F7B7D"/>
              <w:bottom w:val="nil"/>
              <w:right w:val="single" w:sz="4" w:space="0" w:color="0F7B7D"/>
            </w:tcBorders>
            <w:shd w:val="clear" w:color="auto" w:fill="0F7B7D"/>
            <w:vAlign w:val="center"/>
          </w:tcPr>
          <w:p w14:paraId="31CF9BDE" w14:textId="711A3BA8" w:rsidR="009A0989" w:rsidRPr="0018386D" w:rsidDel="00D5390D" w:rsidRDefault="009A0989" w:rsidP="00DD3106">
            <w:pPr>
              <w:pStyle w:val="Casestudyheading"/>
            </w:pPr>
            <w:r w:rsidRPr="0018386D">
              <w:t>CALCULATION METHODOLOGY</w:t>
            </w:r>
          </w:p>
        </w:tc>
      </w:tr>
      <w:tr w:rsidR="009A0989" w:rsidRPr="0018386D" w14:paraId="6B430544" w14:textId="77777777" w:rsidTr="5ABF1750">
        <w:tc>
          <w:tcPr>
            <w:tcW w:w="8505" w:type="dxa"/>
            <w:tcBorders>
              <w:top w:val="nil"/>
              <w:left w:val="single" w:sz="4" w:space="0" w:color="CFE5E5"/>
              <w:bottom w:val="single" w:sz="4" w:space="0" w:color="CFE5E5"/>
              <w:right w:val="single" w:sz="4" w:space="0" w:color="CFE5E5"/>
            </w:tcBorders>
            <w:shd w:val="clear" w:color="auto" w:fill="D5EBE8" w:themeFill="accent3"/>
          </w:tcPr>
          <w:p w14:paraId="6D408FE8" w14:textId="277AA32B" w:rsidR="009A0989" w:rsidRPr="0018386D" w:rsidRDefault="009A0989" w:rsidP="00DD3106">
            <w:pPr>
              <w:pStyle w:val="Boxtext"/>
              <w:spacing w:after="0"/>
            </w:pPr>
            <w:r w:rsidRPr="0018386D">
              <w:t xml:space="preserve">E = Q </w:t>
            </w:r>
            <w:r w:rsidR="00B96968" w:rsidRPr="0018386D">
              <w:rPr>
                <w:rFonts w:cs="Calibri"/>
              </w:rPr>
              <w:t>×</w:t>
            </w:r>
            <w:r w:rsidRPr="0018386D">
              <w:t xml:space="preserve"> F</w:t>
            </w:r>
          </w:p>
          <w:p w14:paraId="60DDB05D" w14:textId="77777777" w:rsidR="009A0989" w:rsidRPr="0018386D" w:rsidRDefault="009A0989" w:rsidP="00DD3106">
            <w:pPr>
              <w:pStyle w:val="Boxtext"/>
              <w:spacing w:after="60"/>
            </w:pPr>
            <w:r w:rsidRPr="0018386D">
              <w:t>Where:</w:t>
            </w:r>
          </w:p>
          <w:p w14:paraId="33C3CE01" w14:textId="430CB689" w:rsidR="009A0989" w:rsidRPr="0018386D" w:rsidRDefault="009A0989" w:rsidP="00DD3106">
            <w:pPr>
              <w:pStyle w:val="Boxtext"/>
              <w:tabs>
                <w:tab w:val="left" w:pos="1128"/>
              </w:tabs>
              <w:spacing w:before="20" w:after="20"/>
            </w:pPr>
            <w:r w:rsidRPr="0018386D">
              <w:t>E</w:t>
            </w:r>
            <w:r w:rsidRPr="0018386D">
              <w:tab/>
              <w:t>=</w:t>
            </w:r>
            <w:r w:rsidRPr="0018386D">
              <w:tab/>
              <w:t>emissions from the emissions source in kg CO</w:t>
            </w:r>
            <w:r w:rsidRPr="0018386D">
              <w:rPr>
                <w:vertAlign w:val="subscript"/>
              </w:rPr>
              <w:t>2</w:t>
            </w:r>
            <w:r w:rsidRPr="0018386D">
              <w:t>-e per year</w:t>
            </w:r>
          </w:p>
          <w:p w14:paraId="79C2DD9E" w14:textId="118DE3CE" w:rsidR="009A0989" w:rsidRPr="0018386D" w:rsidRDefault="009A0989" w:rsidP="00DD3106">
            <w:pPr>
              <w:pStyle w:val="Boxtext"/>
              <w:tabs>
                <w:tab w:val="left" w:pos="1128"/>
              </w:tabs>
              <w:spacing w:before="20" w:after="20"/>
            </w:pPr>
            <w:r w:rsidRPr="0018386D">
              <w:t>Q</w:t>
            </w:r>
            <w:r w:rsidRPr="0018386D">
              <w:tab/>
              <w:t>=</w:t>
            </w:r>
            <w:r w:rsidRPr="0018386D">
              <w:tab/>
              <w:t>activity data eg</w:t>
            </w:r>
            <w:r w:rsidR="00BD685C" w:rsidRPr="0018386D">
              <w:t>,</w:t>
            </w:r>
            <w:r w:rsidRPr="0018386D">
              <w:t xml:space="preserve"> quantity of fuel used</w:t>
            </w:r>
          </w:p>
          <w:p w14:paraId="43BCEDC2" w14:textId="77777777" w:rsidR="009A0989" w:rsidRPr="0018386D" w:rsidRDefault="009A0989" w:rsidP="00DD3106">
            <w:pPr>
              <w:pStyle w:val="Boxtext"/>
              <w:tabs>
                <w:tab w:val="left" w:pos="1128"/>
              </w:tabs>
              <w:spacing w:before="20" w:after="20"/>
            </w:pPr>
            <w:r w:rsidRPr="0018386D">
              <w:t>F</w:t>
            </w:r>
            <w:r w:rsidRPr="0018386D">
              <w:tab/>
              <w:t>=</w:t>
            </w:r>
            <w:r w:rsidRPr="0018386D">
              <w:tab/>
              <w:t>emission factor for emissions source</w:t>
            </w:r>
          </w:p>
          <w:p w14:paraId="41FA12F4" w14:textId="12853A21" w:rsidR="009A0989" w:rsidRPr="0018386D" w:rsidRDefault="009A0989" w:rsidP="00DD3106">
            <w:pPr>
              <w:pStyle w:val="Boxtext"/>
              <w:spacing w:after="80"/>
            </w:pPr>
            <w:r w:rsidRPr="0018386D">
              <w:t xml:space="preserve">This formula applies to the calculation of </w:t>
            </w:r>
            <w:r w:rsidR="008D1B42" w:rsidRPr="0018386D">
              <w:t xml:space="preserve">both </w:t>
            </w:r>
            <w:r w:rsidRPr="0018386D">
              <w:t>CO</w:t>
            </w:r>
            <w:r w:rsidRPr="0018386D">
              <w:rPr>
                <w:vertAlign w:val="subscript"/>
              </w:rPr>
              <w:t>2</w:t>
            </w:r>
            <w:r w:rsidRPr="0018386D">
              <w:t xml:space="preserve">-e emissions and individual </w:t>
            </w:r>
            <w:r w:rsidR="00D86618" w:rsidRPr="0018386D">
              <w:t>carbon dioxide</w:t>
            </w:r>
            <w:r w:rsidRPr="0018386D">
              <w:t xml:space="preserve">, </w:t>
            </w:r>
            <w:proofErr w:type="gramStart"/>
            <w:r w:rsidR="00D86618" w:rsidRPr="0018386D">
              <w:t>methane</w:t>
            </w:r>
            <w:proofErr w:type="gramEnd"/>
            <w:r w:rsidR="00D86618" w:rsidRPr="0018386D">
              <w:t xml:space="preserve"> </w:t>
            </w:r>
            <w:r w:rsidRPr="0018386D">
              <w:t xml:space="preserve">and </w:t>
            </w:r>
            <w:r w:rsidR="00D86618" w:rsidRPr="0018386D">
              <w:t xml:space="preserve">nitrous oxide </w:t>
            </w:r>
            <w:r w:rsidRPr="0018386D">
              <w:t>emissions, with the appropriate emission factors applied for F.</w:t>
            </w:r>
          </w:p>
          <w:p w14:paraId="68965B8C" w14:textId="2A4764D2" w:rsidR="009A0989" w:rsidRPr="0018386D" w:rsidRDefault="009A0989" w:rsidP="00DD3106">
            <w:pPr>
              <w:pStyle w:val="Boxtext"/>
              <w:spacing w:after="180"/>
            </w:pPr>
            <w:r w:rsidRPr="0018386D">
              <w:t>The preferred form of data is in the units expressed in the emission factor tables, which results in the most accurate emission calculation. If the data cannot be collected in this unit</w:t>
            </w:r>
            <w:r w:rsidR="008D1B42" w:rsidRPr="0018386D">
              <w:t xml:space="preserve">, use the </w:t>
            </w:r>
            <w:r w:rsidRPr="0018386D">
              <w:t xml:space="preserve">appropriate conversion factors. </w:t>
            </w:r>
          </w:p>
        </w:tc>
      </w:tr>
    </w:tbl>
    <w:p w14:paraId="01A7747C" w14:textId="0B690FD5" w:rsidR="0092578C" w:rsidRPr="0018386D" w:rsidRDefault="001A749D" w:rsidP="00DD3106">
      <w:pPr>
        <w:pStyle w:val="BodyText"/>
        <w:spacing w:before="240"/>
      </w:pPr>
      <w:bookmarkStart w:id="77" w:name="_Hlk532888370"/>
      <w:r w:rsidRPr="0018386D">
        <w:t>A</w:t>
      </w:r>
      <w:r w:rsidR="00301928" w:rsidRPr="0018386D">
        <w:t xml:space="preserve"> </w:t>
      </w:r>
      <w:r w:rsidR="00301928" w:rsidRPr="0018386D">
        <w:rPr>
          <w:b/>
        </w:rPr>
        <w:t>GHG</w:t>
      </w:r>
      <w:r w:rsidRPr="0018386D">
        <w:rPr>
          <w:b/>
        </w:rPr>
        <w:t xml:space="preserve"> inventory</w:t>
      </w:r>
      <w:r w:rsidRPr="0018386D">
        <w:t xml:space="preserve"> </w:t>
      </w:r>
      <w:r w:rsidR="0092578C" w:rsidRPr="0018386D">
        <w:t>(</w:t>
      </w:r>
      <w:r w:rsidR="00F230F3" w:rsidRPr="0018386D">
        <w:t>see</w:t>
      </w:r>
      <w:r w:rsidR="00CE1779" w:rsidRPr="0018386D">
        <w:t xml:space="preserve"> </w:t>
      </w:r>
      <w:hyperlink w:anchor="_Step-by-step_inventory_preparation">
        <w:r w:rsidR="008B10A2" w:rsidRPr="0018386D">
          <w:rPr>
            <w:rStyle w:val="Hyperlink"/>
          </w:rPr>
          <w:t>section 2.1</w:t>
        </w:r>
      </w:hyperlink>
      <w:r w:rsidR="0092578C" w:rsidRPr="0018386D">
        <w:t xml:space="preserve">) </w:t>
      </w:r>
      <w:r w:rsidRPr="0018386D">
        <w:t xml:space="preserve">contains all applicable </w:t>
      </w:r>
      <w:r w:rsidR="004A0EA2" w:rsidRPr="0018386D">
        <w:t>emissions</w:t>
      </w:r>
      <w:r w:rsidRPr="0018386D">
        <w:t xml:space="preserve"> for an organisation within a defined boundary during a set period. A</w:t>
      </w:r>
      <w:r w:rsidR="00301928" w:rsidRPr="0018386D">
        <w:t xml:space="preserve"> GHG</w:t>
      </w:r>
      <w:r w:rsidRPr="0018386D">
        <w:t xml:space="preserve"> inventory is key to measuring emissions. </w:t>
      </w:r>
    </w:p>
    <w:p w14:paraId="1157F8DC" w14:textId="5891287B" w:rsidR="0092578C" w:rsidRPr="0018386D" w:rsidRDefault="00301928" w:rsidP="00DD3106">
      <w:pPr>
        <w:pStyle w:val="BodyText"/>
      </w:pPr>
      <w:r w:rsidRPr="0018386D">
        <w:t>A</w:t>
      </w:r>
      <w:r w:rsidR="008F7859" w:rsidRPr="0018386D">
        <w:t xml:space="preserve"> </w:t>
      </w:r>
      <w:r w:rsidRPr="0018386D">
        <w:rPr>
          <w:b/>
        </w:rPr>
        <w:t>GHG</w:t>
      </w:r>
      <w:r w:rsidR="008F7859" w:rsidRPr="0018386D">
        <w:rPr>
          <w:b/>
        </w:rPr>
        <w:t xml:space="preserve"> report</w:t>
      </w:r>
      <w:r w:rsidR="008F7859" w:rsidRPr="0018386D">
        <w:t xml:space="preserve"> (see </w:t>
      </w:r>
      <w:hyperlink w:anchor="_Producing_a_GHG">
        <w:r w:rsidR="008F7859" w:rsidRPr="0018386D">
          <w:rPr>
            <w:rStyle w:val="Hyperlink"/>
          </w:rPr>
          <w:t>section</w:t>
        </w:r>
        <w:r w:rsidR="002347CE" w:rsidRPr="0018386D">
          <w:rPr>
            <w:rStyle w:val="Hyperlink"/>
          </w:rPr>
          <w:t xml:space="preserve"> 2.3</w:t>
        </w:r>
      </w:hyperlink>
      <w:r w:rsidR="008F7859" w:rsidRPr="0018386D">
        <w:t>) expands on the inventory</w:t>
      </w:r>
      <w:r w:rsidR="001A749D" w:rsidRPr="0018386D">
        <w:t xml:space="preserve"> </w:t>
      </w:r>
      <w:r w:rsidR="008F7859" w:rsidRPr="0018386D">
        <w:t>with</w:t>
      </w:r>
      <w:r w:rsidR="001A749D" w:rsidRPr="0018386D">
        <w:t xml:space="preserve"> context about the </w:t>
      </w:r>
      <w:r w:rsidR="008F7859" w:rsidRPr="0018386D">
        <w:t>organisation,</w:t>
      </w:r>
      <w:r w:rsidR="0092578C" w:rsidRPr="0018386D">
        <w:t xml:space="preserve"> </w:t>
      </w:r>
      <w:r w:rsidR="00474407" w:rsidRPr="0018386D">
        <w:t xml:space="preserve">methods used, </w:t>
      </w:r>
      <w:r w:rsidR="0092578C" w:rsidRPr="0018386D">
        <w:t>as well as</w:t>
      </w:r>
      <w:r w:rsidR="001A749D" w:rsidRPr="0018386D">
        <w:t xml:space="preserve"> analysis </w:t>
      </w:r>
      <w:r w:rsidR="00474407" w:rsidRPr="0018386D">
        <w:t xml:space="preserve">of drivers </w:t>
      </w:r>
      <w:r w:rsidR="0092578C" w:rsidRPr="0018386D">
        <w:t>and progress over time</w:t>
      </w:r>
      <w:r w:rsidR="001A749D" w:rsidRPr="0018386D">
        <w:t>. A</w:t>
      </w:r>
      <w:r w:rsidRPr="0018386D">
        <w:t xml:space="preserve"> GHG</w:t>
      </w:r>
      <w:r w:rsidR="001A749D" w:rsidRPr="0018386D">
        <w:t xml:space="preserve"> report is key to reporting emissions. </w:t>
      </w:r>
    </w:p>
    <w:p w14:paraId="4DE0FF4C" w14:textId="2A602BCE" w:rsidR="0092578C" w:rsidRPr="0018386D" w:rsidRDefault="0092578C" w:rsidP="00DD3106">
      <w:pPr>
        <w:pStyle w:val="BodyText"/>
      </w:pPr>
      <w:r w:rsidRPr="0018386D">
        <w:t xml:space="preserve">Organisations that wish to </w:t>
      </w:r>
      <w:r w:rsidR="5C325F01" w:rsidRPr="0018386D">
        <w:t xml:space="preserve">report </w:t>
      </w:r>
      <w:r w:rsidRPr="0018386D">
        <w:t xml:space="preserve">in line with </w:t>
      </w:r>
      <w:hyperlink r:id="rId56">
        <w:r w:rsidRPr="0018386D">
          <w:rPr>
            <w:rStyle w:val="Hyperlink"/>
          </w:rPr>
          <w:t>ISO 14064-1</w:t>
        </w:r>
        <w:r w:rsidR="00330EAD" w:rsidRPr="0018386D">
          <w:rPr>
            <w:rStyle w:val="Hyperlink"/>
          </w:rPr>
          <w:t>:2018</w:t>
        </w:r>
      </w:hyperlink>
      <w:r w:rsidRPr="0018386D">
        <w:rPr>
          <w:i/>
        </w:rPr>
        <w:t xml:space="preserve"> </w:t>
      </w:r>
      <w:r w:rsidRPr="0018386D">
        <w:t xml:space="preserve">should be aware that the standard has specific requirements about what </w:t>
      </w:r>
      <w:r w:rsidR="00F230F3" w:rsidRPr="0018386D">
        <w:t>to include</w:t>
      </w:r>
      <w:r w:rsidRPr="0018386D">
        <w:t xml:space="preserve"> in the inventory and report.</w:t>
      </w:r>
    </w:p>
    <w:p w14:paraId="2DE8188B" w14:textId="28304A8A" w:rsidR="00774924" w:rsidRPr="0018386D" w:rsidRDefault="00E25AB6" w:rsidP="00DD3106">
      <w:pPr>
        <w:pStyle w:val="BodyText"/>
      </w:pPr>
      <w:r w:rsidRPr="0018386D">
        <w:t>With voluntary reporting, it is</w:t>
      </w:r>
      <w:r w:rsidR="00155801" w:rsidRPr="0018386D">
        <w:t xml:space="preserve"> best practice for organisations to understand their full </w:t>
      </w:r>
      <w:r w:rsidR="00E36805" w:rsidRPr="0018386D">
        <w:t xml:space="preserve">Scope </w:t>
      </w:r>
      <w:r w:rsidR="00155801" w:rsidRPr="0018386D">
        <w:t>3 (value chain) emissions</w:t>
      </w:r>
      <w:r w:rsidRPr="0018386D">
        <w:t xml:space="preserve"> and report material sources.</w:t>
      </w:r>
    </w:p>
    <w:p w14:paraId="4CEA959E" w14:textId="5FA85FEE" w:rsidR="1614CF46" w:rsidRPr="0018386D" w:rsidRDefault="1614CF46" w:rsidP="00DD3106">
      <w:pPr>
        <w:pStyle w:val="BodyText"/>
      </w:pPr>
      <w:r w:rsidRPr="0018386D">
        <w:t xml:space="preserve">Note that the </w:t>
      </w:r>
      <w:hyperlink r:id="rId57" w:history="1">
        <w:r w:rsidRPr="0018386D">
          <w:rPr>
            <w:rStyle w:val="Hyperlink"/>
          </w:rPr>
          <w:t>GHG Protocol</w:t>
        </w:r>
      </w:hyperlink>
      <w:r w:rsidRPr="0018386D">
        <w:t xml:space="preserve"> requires certain information to be reported alongside the GHG emissions totals if these are reported publicly. If you are planning to make a public GHG statement claiming conformity with the ISO standard, note that you are also required to publi</w:t>
      </w:r>
      <w:r w:rsidR="00F818DF" w:rsidRPr="0018386D">
        <w:t>s</w:t>
      </w:r>
      <w:r w:rsidRPr="0018386D">
        <w:t xml:space="preserve">h a separate GHG report. Organisations that wish to report in line with </w:t>
      </w:r>
      <w:hyperlink r:id="rId58" w:history="1">
        <w:r w:rsidRPr="0018386D">
          <w:rPr>
            <w:rStyle w:val="Hyperlink"/>
          </w:rPr>
          <w:t>ISO 14064-1:2018</w:t>
        </w:r>
      </w:hyperlink>
      <w:r w:rsidRPr="0018386D">
        <w:t xml:space="preserve"> should also be aware that the standard includes specific requirements about what to include in the inventory and report.</w:t>
      </w:r>
    </w:p>
    <w:p w14:paraId="580B1108" w14:textId="3016CC08" w:rsidR="5B861353" w:rsidRPr="0018386D" w:rsidRDefault="001A749D" w:rsidP="00DD3106">
      <w:pPr>
        <w:pStyle w:val="BodyText"/>
        <w:jc w:val="both"/>
      </w:pPr>
      <w:r w:rsidRPr="0018386D">
        <w:t>Organisations may opt</w:t>
      </w:r>
      <w:r w:rsidR="00296E1A" w:rsidRPr="0018386D">
        <w:t xml:space="preserve"> to verify </w:t>
      </w:r>
      <w:r w:rsidR="64D2293E" w:rsidRPr="0018386D">
        <w:t>or obtain assurance over</w:t>
      </w:r>
      <w:r w:rsidR="00296E1A" w:rsidRPr="0018386D">
        <w:t xml:space="preserve"> </w:t>
      </w:r>
      <w:r w:rsidR="00301928" w:rsidRPr="0018386D">
        <w:t>the GHG</w:t>
      </w:r>
      <w:r w:rsidRPr="0018386D">
        <w:t xml:space="preserve"> inventory or </w:t>
      </w:r>
      <w:r w:rsidR="006E2B02" w:rsidRPr="0018386D">
        <w:t xml:space="preserve">GHG </w:t>
      </w:r>
      <w:r w:rsidRPr="0018386D">
        <w:t>report against the measurement standards</w:t>
      </w:r>
      <w:r w:rsidR="0092578C" w:rsidRPr="0018386D">
        <w:t xml:space="preserve"> (see </w:t>
      </w:r>
      <w:hyperlink w:anchor="_Verification">
        <w:r w:rsidR="0092578C" w:rsidRPr="0018386D">
          <w:rPr>
            <w:rStyle w:val="Hyperlink"/>
          </w:rPr>
          <w:t>section</w:t>
        </w:r>
        <w:r w:rsidR="00CB406C" w:rsidRPr="0018386D">
          <w:rPr>
            <w:rStyle w:val="Hyperlink"/>
          </w:rPr>
          <w:t xml:space="preserve"> 2.4</w:t>
        </w:r>
      </w:hyperlink>
      <w:r w:rsidR="0092578C" w:rsidRPr="0018386D">
        <w:t>)</w:t>
      </w:r>
      <w:r w:rsidRPr="0018386D">
        <w:t xml:space="preserve">. </w:t>
      </w:r>
    </w:p>
    <w:p w14:paraId="39FB98A2" w14:textId="7C510D3F" w:rsidR="00B17ABF" w:rsidRPr="0018386D" w:rsidRDefault="00B17ABF" w:rsidP="00DD3106">
      <w:pPr>
        <w:pStyle w:val="Heading2"/>
        <w:numPr>
          <w:ilvl w:val="1"/>
          <w:numId w:val="8"/>
        </w:numPr>
      </w:pPr>
      <w:bookmarkStart w:id="78" w:name="_Step-by-step_inventory_preparation"/>
      <w:bookmarkStart w:id="79" w:name="_Ref532552858"/>
      <w:bookmarkStart w:id="80" w:name="_Toc532904848"/>
      <w:bookmarkStart w:id="81" w:name="_Toc600562"/>
      <w:bookmarkStart w:id="82" w:name="_Ref606432"/>
      <w:bookmarkStart w:id="83" w:name="_Toc140048885"/>
      <w:bookmarkEnd w:id="77"/>
      <w:bookmarkEnd w:id="78"/>
      <w:r w:rsidRPr="0018386D">
        <w:lastRenderedPageBreak/>
        <w:t>Step</w:t>
      </w:r>
      <w:r w:rsidR="00BD685C" w:rsidRPr="0018386D">
        <w:t>-</w:t>
      </w:r>
      <w:r w:rsidRPr="0018386D">
        <w:t>by</w:t>
      </w:r>
      <w:r w:rsidR="00BD685C" w:rsidRPr="0018386D">
        <w:t>-</w:t>
      </w:r>
      <w:r w:rsidRPr="0018386D">
        <w:t>step</w:t>
      </w:r>
      <w:r w:rsidR="009A0989" w:rsidRPr="0018386D">
        <w:t xml:space="preserve"> inventory preparation</w:t>
      </w:r>
      <w:bookmarkEnd w:id="79"/>
      <w:bookmarkEnd w:id="80"/>
      <w:bookmarkEnd w:id="81"/>
      <w:bookmarkEnd w:id="82"/>
      <w:bookmarkEnd w:id="83"/>
    </w:p>
    <w:p w14:paraId="0A25D8D6" w14:textId="66BE828A" w:rsidR="008F7859" w:rsidRPr="0018386D" w:rsidRDefault="008F7859" w:rsidP="00DD3106">
      <w:pPr>
        <w:pStyle w:val="BodyText"/>
        <w:spacing w:after="100"/>
      </w:pPr>
      <w:r w:rsidRPr="0018386D">
        <w:t>To prepare an inventory:</w:t>
      </w:r>
    </w:p>
    <w:p w14:paraId="041B4FA1" w14:textId="237E3077" w:rsidR="00B17ABF" w:rsidRPr="0018386D" w:rsidRDefault="0C33A2AB" w:rsidP="00DD3106">
      <w:pPr>
        <w:pStyle w:val="Bullet"/>
        <w:spacing w:after="100"/>
        <w:rPr>
          <w:szCs w:val="22"/>
        </w:rPr>
      </w:pPr>
      <w:r w:rsidRPr="0018386D">
        <w:rPr>
          <w:szCs w:val="22"/>
        </w:rPr>
        <w:t>Select the boundar</w:t>
      </w:r>
      <w:r w:rsidR="298B86AF" w:rsidRPr="0018386D">
        <w:rPr>
          <w:szCs w:val="22"/>
        </w:rPr>
        <w:t>ies</w:t>
      </w:r>
      <w:r w:rsidRPr="0018386D">
        <w:rPr>
          <w:szCs w:val="22"/>
        </w:rPr>
        <w:t xml:space="preserve"> (organisational and </w:t>
      </w:r>
      <w:r w:rsidR="298B86AF" w:rsidRPr="0018386D">
        <w:rPr>
          <w:szCs w:val="22"/>
        </w:rPr>
        <w:t>reporting</w:t>
      </w:r>
      <w:r w:rsidR="00B17ABF" w:rsidRPr="0018386D">
        <w:rPr>
          <w:rStyle w:val="FootnoteReference"/>
          <w:szCs w:val="22"/>
        </w:rPr>
        <w:footnoteReference w:id="10"/>
      </w:r>
      <w:r w:rsidRPr="0018386D">
        <w:rPr>
          <w:szCs w:val="22"/>
        </w:rPr>
        <w:t>) and measurement period (ie, calendar or financial year) you will report against for your organisation</w:t>
      </w:r>
      <w:r w:rsidR="16E820B0" w:rsidRPr="0018386D">
        <w:rPr>
          <w:szCs w:val="22"/>
        </w:rPr>
        <w:t xml:space="preserve">, based on the </w:t>
      </w:r>
      <w:r w:rsidR="67DC6CDE" w:rsidRPr="0018386D">
        <w:rPr>
          <w:szCs w:val="22"/>
        </w:rPr>
        <w:t>intended uses of the inventory</w:t>
      </w:r>
      <w:r w:rsidRPr="0018386D">
        <w:rPr>
          <w:szCs w:val="22"/>
        </w:rPr>
        <w:t xml:space="preserve">. </w:t>
      </w:r>
    </w:p>
    <w:p w14:paraId="26CA7F9F" w14:textId="1E3BFAEF" w:rsidR="00B17ABF" w:rsidRPr="0018386D" w:rsidRDefault="00B17ABF" w:rsidP="00DD3106">
      <w:pPr>
        <w:pStyle w:val="Bullet"/>
        <w:spacing w:after="100"/>
        <w:rPr>
          <w:szCs w:val="22"/>
        </w:rPr>
      </w:pPr>
      <w:bookmarkStart w:id="84" w:name="_Hlk532888497"/>
      <w:r w:rsidRPr="0018386D">
        <w:rPr>
          <w:szCs w:val="22"/>
        </w:rPr>
        <w:t xml:space="preserve">Collect </w:t>
      </w:r>
      <w:r w:rsidR="004D24E7" w:rsidRPr="0018386D">
        <w:rPr>
          <w:szCs w:val="22"/>
        </w:rPr>
        <w:t xml:space="preserve">activity </w:t>
      </w:r>
      <w:r w:rsidRPr="0018386D">
        <w:rPr>
          <w:szCs w:val="22"/>
        </w:rPr>
        <w:t>data on each emission source within the boundar</w:t>
      </w:r>
      <w:r w:rsidR="003D1674" w:rsidRPr="0018386D">
        <w:rPr>
          <w:szCs w:val="22"/>
        </w:rPr>
        <w:t>ies</w:t>
      </w:r>
      <w:r w:rsidRPr="0018386D">
        <w:rPr>
          <w:szCs w:val="22"/>
        </w:rPr>
        <w:t xml:space="preserve"> for that period. </w:t>
      </w:r>
    </w:p>
    <w:p w14:paraId="418ED014" w14:textId="51884881" w:rsidR="00B17ABF" w:rsidRPr="0018386D" w:rsidRDefault="00E65C02" w:rsidP="00DD3106">
      <w:pPr>
        <w:pStyle w:val="Bullet"/>
        <w:spacing w:after="100"/>
        <w:rPr>
          <w:szCs w:val="22"/>
        </w:rPr>
      </w:pPr>
      <w:r w:rsidRPr="0018386D">
        <w:rPr>
          <w:szCs w:val="22"/>
        </w:rPr>
        <w:t>M</w:t>
      </w:r>
      <w:r w:rsidR="00B17ABF" w:rsidRPr="0018386D">
        <w:rPr>
          <w:szCs w:val="22"/>
        </w:rPr>
        <w:t xml:space="preserve">ultiply the </w:t>
      </w:r>
      <w:r w:rsidR="001E16B5" w:rsidRPr="0018386D">
        <w:rPr>
          <w:szCs w:val="22"/>
        </w:rPr>
        <w:t>activity data</w:t>
      </w:r>
      <w:r w:rsidR="00B17ABF" w:rsidRPr="0018386D">
        <w:rPr>
          <w:szCs w:val="22"/>
        </w:rPr>
        <w:t xml:space="preserve"> by the appropriate emission factor </w:t>
      </w:r>
      <w:r w:rsidR="00BC196E" w:rsidRPr="0018386D">
        <w:rPr>
          <w:szCs w:val="22"/>
        </w:rPr>
        <w:t>for each emission source and record the calculation (eg</w:t>
      </w:r>
      <w:r w:rsidR="00EE5D20" w:rsidRPr="0018386D">
        <w:rPr>
          <w:szCs w:val="22"/>
        </w:rPr>
        <w:t>,</w:t>
      </w:r>
      <w:r w:rsidR="00BC196E" w:rsidRPr="0018386D">
        <w:rPr>
          <w:szCs w:val="22"/>
        </w:rPr>
        <w:t xml:space="preserve"> </w:t>
      </w:r>
      <w:r w:rsidR="00B17ABF" w:rsidRPr="0018386D">
        <w:rPr>
          <w:szCs w:val="22"/>
        </w:rPr>
        <w:t>in a spreadsheet</w:t>
      </w:r>
      <w:r w:rsidR="00EE5D20" w:rsidRPr="0018386D">
        <w:rPr>
          <w:szCs w:val="22"/>
        </w:rPr>
        <w:t>)</w:t>
      </w:r>
      <w:r w:rsidR="00B17ABF" w:rsidRPr="0018386D">
        <w:rPr>
          <w:szCs w:val="22"/>
        </w:rPr>
        <w:t xml:space="preserve">. See </w:t>
      </w:r>
      <w:r w:rsidR="00710E9C" w:rsidRPr="0018386D">
        <w:rPr>
          <w:szCs w:val="22"/>
        </w:rPr>
        <w:t xml:space="preserve">the </w:t>
      </w:r>
      <w:hyperlink r:id="rId59" w:history="1">
        <w:r w:rsidR="009A30EE" w:rsidRPr="0018386D">
          <w:rPr>
            <w:rStyle w:val="Hyperlink"/>
            <w:szCs w:val="22"/>
          </w:rPr>
          <w:t>2019 Example GHG Inventory</w:t>
        </w:r>
      </w:hyperlink>
      <w:r w:rsidR="00B17ABF" w:rsidRPr="0018386D">
        <w:rPr>
          <w:szCs w:val="22"/>
        </w:rPr>
        <w:t xml:space="preserve">. </w:t>
      </w:r>
    </w:p>
    <w:p w14:paraId="1ED15686" w14:textId="2820DD6A" w:rsidR="00B17ABF" w:rsidRPr="0018386D" w:rsidRDefault="00B17ABF" w:rsidP="00DD3106">
      <w:pPr>
        <w:pStyle w:val="Bullet"/>
        <w:rPr>
          <w:rStyle w:val="Hyperlink"/>
        </w:rPr>
      </w:pPr>
      <w:r w:rsidRPr="0018386D">
        <w:rPr>
          <w:szCs w:val="22"/>
        </w:rPr>
        <w:t>Produce a</w:t>
      </w:r>
      <w:r w:rsidR="00301928" w:rsidRPr="0018386D">
        <w:rPr>
          <w:szCs w:val="22"/>
        </w:rPr>
        <w:t xml:space="preserve"> GHG</w:t>
      </w:r>
      <w:r w:rsidRPr="0018386D">
        <w:rPr>
          <w:szCs w:val="22"/>
        </w:rPr>
        <w:t xml:space="preserve"> report</w:t>
      </w:r>
      <w:r w:rsidR="00E65C02" w:rsidRPr="0018386D">
        <w:rPr>
          <w:szCs w:val="22"/>
        </w:rPr>
        <w:t>, if applicable. S</w:t>
      </w:r>
      <w:r w:rsidRPr="0018386D">
        <w:rPr>
          <w:szCs w:val="22"/>
        </w:rPr>
        <w:t xml:space="preserve">ee </w:t>
      </w:r>
      <w:hyperlink w:anchor="_Producing_a_GHG">
        <w:r w:rsidRPr="0018386D">
          <w:rPr>
            <w:rStyle w:val="Hyperlink"/>
            <w:szCs w:val="22"/>
          </w:rPr>
          <w:t xml:space="preserve">section </w:t>
        </w:r>
        <w:r w:rsidR="00CB406C" w:rsidRPr="0018386D">
          <w:rPr>
            <w:rStyle w:val="Hyperlink"/>
            <w:szCs w:val="22"/>
          </w:rPr>
          <w:t>2.3</w:t>
        </w:r>
      </w:hyperlink>
      <w:r w:rsidR="004D24E7" w:rsidRPr="0018386D">
        <w:rPr>
          <w:szCs w:val="22"/>
        </w:rPr>
        <w:t xml:space="preserve"> </w:t>
      </w:r>
      <w:r w:rsidRPr="0018386D">
        <w:rPr>
          <w:szCs w:val="22"/>
        </w:rPr>
        <w:t>and</w:t>
      </w:r>
      <w:r w:rsidR="00710E9C" w:rsidRPr="0018386D">
        <w:rPr>
          <w:szCs w:val="22"/>
        </w:rPr>
        <w:t xml:space="preserve"> the </w:t>
      </w:r>
      <w:hyperlink r:id="rId60" w:history="1">
        <w:r w:rsidR="008279C5" w:rsidRPr="0018386D">
          <w:rPr>
            <w:rStyle w:val="Hyperlink"/>
          </w:rPr>
          <w:t xml:space="preserve">2019 </w:t>
        </w:r>
        <w:r w:rsidR="004821B4" w:rsidRPr="0018386D">
          <w:rPr>
            <w:rStyle w:val="Hyperlink"/>
          </w:rPr>
          <w:t>E</w:t>
        </w:r>
        <w:r w:rsidRPr="0018386D">
          <w:rPr>
            <w:rStyle w:val="Hyperlink"/>
          </w:rPr>
          <w:t xml:space="preserve">xample </w:t>
        </w:r>
        <w:r w:rsidR="00CC5743" w:rsidRPr="0018386D">
          <w:rPr>
            <w:rStyle w:val="Hyperlink"/>
          </w:rPr>
          <w:t xml:space="preserve">GHG </w:t>
        </w:r>
        <w:r w:rsidR="004821B4" w:rsidRPr="0018386D">
          <w:rPr>
            <w:rStyle w:val="Hyperlink"/>
          </w:rPr>
          <w:t>R</w:t>
        </w:r>
        <w:r w:rsidRPr="0018386D">
          <w:rPr>
            <w:rStyle w:val="Hyperlink"/>
          </w:rPr>
          <w:t>eport.</w:t>
        </w:r>
      </w:hyperlink>
      <w:r w:rsidRPr="0018386D">
        <w:rPr>
          <w:rStyle w:val="Hyperlink"/>
        </w:rPr>
        <w:t xml:space="preserve"> </w:t>
      </w:r>
    </w:p>
    <w:p w14:paraId="64A753C0" w14:textId="048AB804" w:rsidR="00E60829" w:rsidRPr="0018386D" w:rsidRDefault="00E60829" w:rsidP="00DD3106">
      <w:pPr>
        <w:pStyle w:val="BodyText"/>
        <w:spacing w:after="100"/>
      </w:pPr>
      <w:bookmarkStart w:id="85" w:name="_Hlk532888612"/>
      <w:bookmarkEnd w:id="84"/>
      <w:r w:rsidRPr="0018386D">
        <w:t xml:space="preserve">If this is the first year your organisation has produced an inventory, </w:t>
      </w:r>
      <w:r w:rsidR="006F44B2" w:rsidRPr="0018386D">
        <w:t>you can use it as a base year for measuring the change in emissions over time</w:t>
      </w:r>
      <w:r w:rsidR="79FBF95D" w:rsidRPr="0018386D">
        <w:t xml:space="preserve">, </w:t>
      </w:r>
      <w:proofErr w:type="gramStart"/>
      <w:r w:rsidR="79FBF95D" w:rsidRPr="0018386D">
        <w:t>as</w:t>
      </w:r>
      <w:r w:rsidR="006F44B2" w:rsidRPr="0018386D">
        <w:t xml:space="preserve"> long as</w:t>
      </w:r>
      <w:proofErr w:type="gramEnd"/>
      <w:r w:rsidR="006F44B2" w:rsidRPr="0018386D">
        <w:t xml:space="preserve"> the scope and boundaries represent your usual operations, and that comparable reporting is used in future years</w:t>
      </w:r>
      <w:r w:rsidR="7DF12122" w:rsidRPr="0018386D">
        <w:t>.</w:t>
      </w:r>
      <w:r w:rsidR="00635506" w:rsidRPr="0018386D">
        <w:t xml:space="preserve"> </w:t>
      </w:r>
      <w:r w:rsidR="7ADF0564" w:rsidRPr="0018386D">
        <w:t xml:space="preserve">Both the </w:t>
      </w:r>
      <w:hyperlink r:id="rId61" w:history="1">
        <w:r w:rsidR="00635506" w:rsidRPr="0018386D">
          <w:rPr>
            <w:rStyle w:val="Hyperlink"/>
          </w:rPr>
          <w:t>ISO</w:t>
        </w:r>
        <w:r w:rsidR="00905090" w:rsidRPr="0018386D">
          <w:rPr>
            <w:rStyle w:val="Hyperlink"/>
          </w:rPr>
          <w:t> </w:t>
        </w:r>
        <w:r w:rsidR="00635506" w:rsidRPr="0018386D">
          <w:rPr>
            <w:rStyle w:val="Hyperlink"/>
          </w:rPr>
          <w:t>14064-1:2018</w:t>
        </w:r>
      </w:hyperlink>
      <w:r w:rsidR="00635506" w:rsidRPr="0018386D">
        <w:t xml:space="preserve"> </w:t>
      </w:r>
      <w:r w:rsidR="16A01910" w:rsidRPr="0018386D">
        <w:t xml:space="preserve">and </w:t>
      </w:r>
      <w:hyperlink r:id="rId62" w:history="1">
        <w:r w:rsidR="16A01910" w:rsidRPr="0018386D">
          <w:rPr>
            <w:rStyle w:val="Hyperlink"/>
          </w:rPr>
          <w:t>GHG Protocol</w:t>
        </w:r>
      </w:hyperlink>
      <w:r w:rsidR="16A01910" w:rsidRPr="0018386D">
        <w:t xml:space="preserve"> </w:t>
      </w:r>
      <w:r w:rsidR="00635506" w:rsidRPr="0018386D">
        <w:t xml:space="preserve">allow a base year to be quantified using an average of several years. </w:t>
      </w:r>
      <w:r w:rsidR="2CCC2746" w:rsidRPr="0018386D">
        <w:t xml:space="preserve">This can be useful as a method of smoothing out unusual fluctuations </w:t>
      </w:r>
      <w:r w:rsidR="00DC3F9E" w:rsidRPr="0018386D">
        <w:t xml:space="preserve">when a single year’s estimate is not representative of </w:t>
      </w:r>
      <w:r w:rsidR="79F33AF6" w:rsidRPr="0018386D">
        <w:t>normal activity</w:t>
      </w:r>
      <w:r w:rsidR="2CCC2746" w:rsidRPr="0018386D">
        <w:t xml:space="preserve">. </w:t>
      </w:r>
    </w:p>
    <w:p w14:paraId="23BA32B1" w14:textId="6F9CEE86" w:rsidR="108780F8" w:rsidRPr="0018386D" w:rsidRDefault="00B010D8" w:rsidP="00DD3106">
      <w:pPr>
        <w:pStyle w:val="BodyText"/>
        <w:spacing w:after="100"/>
      </w:pPr>
      <w:r w:rsidRPr="0018386D">
        <w:t xml:space="preserve">Ensuring time series consistency is central to the GHG inventory because it provides information on the emissions trends for your organisation. All emissions estimates in a time series should be estimated consistently. This means that the same methods and data sources should be used across all years covered by the GHG inventory. Using different methods and data in a time series will mask the trend and will not reflect real changes in emissions. </w:t>
      </w:r>
      <w:r w:rsidR="108780F8" w:rsidRPr="0018386D">
        <w:rPr>
          <w:rFonts w:eastAsia="Calibri" w:cs="Calibri"/>
          <w:color w:val="000000" w:themeColor="text1"/>
        </w:rPr>
        <w:t xml:space="preserve">To ensure the representativeness of your base year GHG inventory, </w:t>
      </w:r>
      <w:r w:rsidRPr="0018386D">
        <w:rPr>
          <w:rFonts w:eastAsia="Calibri" w:cs="Calibri"/>
          <w:color w:val="000000" w:themeColor="text1"/>
        </w:rPr>
        <w:t>therefore,</w:t>
      </w:r>
      <w:r w:rsidR="108780F8" w:rsidRPr="0018386D">
        <w:rPr>
          <w:rFonts w:eastAsia="Calibri" w:cs="Calibri"/>
          <w:color w:val="000000" w:themeColor="text1"/>
        </w:rPr>
        <w:t xml:space="preserve"> it is good practice to undertake a base year review and </w:t>
      </w:r>
      <w:r w:rsidRPr="0018386D">
        <w:rPr>
          <w:rFonts w:eastAsia="Calibri" w:cs="Calibri"/>
          <w:color w:val="000000" w:themeColor="text1"/>
        </w:rPr>
        <w:t xml:space="preserve">recalculate the time series </w:t>
      </w:r>
      <w:r w:rsidR="108780F8" w:rsidRPr="0018386D">
        <w:rPr>
          <w:rFonts w:eastAsia="Calibri" w:cs="Calibri"/>
          <w:color w:val="000000" w:themeColor="text1"/>
        </w:rPr>
        <w:t>to account for any changes that have occurred</w:t>
      </w:r>
      <w:r w:rsidR="00B157C7" w:rsidRPr="0018386D">
        <w:rPr>
          <w:rFonts w:eastAsia="Calibri" w:cs="Calibri"/>
          <w:color w:val="000000" w:themeColor="text1"/>
        </w:rPr>
        <w:t xml:space="preserve"> </w:t>
      </w:r>
      <w:r w:rsidR="00B977EC" w:rsidRPr="0018386D">
        <w:rPr>
          <w:rFonts w:eastAsia="Calibri" w:cs="Calibri"/>
          <w:color w:val="000000" w:themeColor="text1"/>
        </w:rPr>
        <w:t>due to:</w:t>
      </w:r>
      <w:r w:rsidR="108780F8" w:rsidRPr="0018386D">
        <w:t xml:space="preserve"> </w:t>
      </w:r>
    </w:p>
    <w:p w14:paraId="0C668A16" w14:textId="77777777" w:rsidR="00B157C7" w:rsidRPr="0018386D" w:rsidRDefault="00B157C7" w:rsidP="00DD3106">
      <w:pPr>
        <w:pStyle w:val="Bullet"/>
        <w:spacing w:after="100"/>
      </w:pPr>
      <w:r w:rsidRPr="0018386D">
        <w:t>a structural change in your reporting or organisational boundary</w:t>
      </w:r>
    </w:p>
    <w:p w14:paraId="54CC15DA" w14:textId="72778F86" w:rsidR="00B157C7" w:rsidRPr="0018386D" w:rsidRDefault="00B157C7" w:rsidP="00DD3106">
      <w:pPr>
        <w:pStyle w:val="Bullet"/>
        <w:spacing w:after="100"/>
      </w:pPr>
      <w:r w:rsidRPr="0018386D">
        <w:t xml:space="preserve">a change </w:t>
      </w:r>
      <w:r w:rsidR="001E3CB4" w:rsidRPr="0018386D">
        <w:t xml:space="preserve">or refinement to </w:t>
      </w:r>
      <w:r w:rsidRPr="0018386D">
        <w:t>calculation methodologies or emission factors, or</w:t>
      </w:r>
    </w:p>
    <w:p w14:paraId="346F3E50" w14:textId="77777777" w:rsidR="00B157C7" w:rsidRPr="0018386D" w:rsidRDefault="00B157C7" w:rsidP="00DD3106">
      <w:pPr>
        <w:pStyle w:val="Bullet"/>
        <w:spacing w:after="100"/>
      </w:pPr>
      <w:r w:rsidRPr="0018386D">
        <w:t>the discovery of an error or cumulative errors in your activity data.</w:t>
      </w:r>
    </w:p>
    <w:p w14:paraId="6344B35C" w14:textId="5A986D05" w:rsidR="00B157C7" w:rsidRPr="0018386D" w:rsidRDefault="00B157C7" w:rsidP="00DD3106">
      <w:pPr>
        <w:pStyle w:val="BodyText"/>
        <w:spacing w:after="100"/>
      </w:pPr>
      <w:r w:rsidRPr="0018386D">
        <w:t xml:space="preserve">Any base year </w:t>
      </w:r>
      <w:r w:rsidR="00C26E0C" w:rsidRPr="0018386D">
        <w:t>and time series</w:t>
      </w:r>
      <w:r w:rsidRPr="0018386D">
        <w:t xml:space="preserve"> recalculations should be documented in subsequent inventories.</w:t>
      </w:r>
    </w:p>
    <w:p w14:paraId="0960F78D" w14:textId="45D6B1E8" w:rsidR="00DB6594" w:rsidRPr="0018386D" w:rsidRDefault="00252BC1" w:rsidP="00DD3106">
      <w:pPr>
        <w:pStyle w:val="BodyText"/>
        <w:spacing w:after="100"/>
      </w:pPr>
      <w:r w:rsidRPr="0018386D">
        <w:t>If</w:t>
      </w:r>
      <w:r w:rsidR="00DB6594" w:rsidRPr="0018386D">
        <w:t xml:space="preserve"> historic emission factors have changed</w:t>
      </w:r>
      <w:r w:rsidRPr="0018386D">
        <w:t>,</w:t>
      </w:r>
      <w:r w:rsidR="00DB6594" w:rsidRPr="0018386D">
        <w:t xml:space="preserve"> </w:t>
      </w:r>
      <w:r w:rsidRPr="0018386D">
        <w:t>we suggest providing</w:t>
      </w:r>
      <w:r w:rsidR="00DB6594" w:rsidRPr="0018386D">
        <w:t xml:space="preserve"> these figures in the document itself</w:t>
      </w:r>
      <w:r w:rsidRPr="0018386D">
        <w:t>,</w:t>
      </w:r>
      <w:r w:rsidR="00DB6594" w:rsidRPr="0018386D">
        <w:t xml:space="preserve"> or ma</w:t>
      </w:r>
      <w:r w:rsidRPr="0018386D">
        <w:t>king them</w:t>
      </w:r>
      <w:r w:rsidR="00DB6594" w:rsidRPr="0018386D">
        <w:t xml:space="preserve"> available elsewhere.</w:t>
      </w:r>
    </w:p>
    <w:p w14:paraId="21A6BC96" w14:textId="5873DE75" w:rsidR="00294FE7" w:rsidRPr="0018386D" w:rsidRDefault="00294FE7" w:rsidP="00DD3106">
      <w:pPr>
        <w:pStyle w:val="BodyText"/>
        <w:spacing w:after="100"/>
      </w:pPr>
      <w:r w:rsidRPr="0018386D">
        <w:t xml:space="preserve">For some </w:t>
      </w:r>
      <w:r w:rsidR="00365684" w:rsidRPr="0018386D">
        <w:t>organisations</w:t>
      </w:r>
      <w:r w:rsidRPr="0018386D">
        <w:t xml:space="preserve">, certain GHG emissions may contribute such a small portion of the inventory that they make up less than </w:t>
      </w:r>
      <w:r w:rsidR="00337406" w:rsidRPr="0018386D">
        <w:t>(for instance)</w:t>
      </w:r>
      <w:r w:rsidRPr="0018386D">
        <w:t xml:space="preserve"> </w:t>
      </w:r>
      <w:r w:rsidR="00E14C88" w:rsidRPr="0018386D">
        <w:t xml:space="preserve">1 </w:t>
      </w:r>
      <w:r w:rsidRPr="0018386D">
        <w:t xml:space="preserve">per cent of the total inventory. These are known as </w:t>
      </w:r>
      <w:r w:rsidRPr="0018386D">
        <w:rPr>
          <w:i/>
        </w:rPr>
        <w:t>de</w:t>
      </w:r>
      <w:r w:rsidR="00954A9E" w:rsidRPr="0018386D">
        <w:rPr>
          <w:i/>
        </w:rPr>
        <w:t> </w:t>
      </w:r>
      <w:r w:rsidRPr="0018386D">
        <w:rPr>
          <w:i/>
        </w:rPr>
        <w:t>minimis</w:t>
      </w:r>
      <w:r w:rsidR="00365684" w:rsidRPr="0018386D">
        <w:rPr>
          <w:rStyle w:val="FootnoteReference"/>
        </w:rPr>
        <w:footnoteReference w:id="11"/>
      </w:r>
      <w:r w:rsidRPr="0018386D">
        <w:t xml:space="preserve"> and </w:t>
      </w:r>
      <w:r w:rsidR="008F7859" w:rsidRPr="0018386D">
        <w:t>may</w:t>
      </w:r>
      <w:r w:rsidRPr="0018386D">
        <w:t xml:space="preserve"> be excluded from the total inventory</w:t>
      </w:r>
      <w:r w:rsidR="00CB31B8" w:rsidRPr="0018386D">
        <w:t xml:space="preserve">, provided that the </w:t>
      </w:r>
      <w:r w:rsidR="00CB31B8" w:rsidRPr="0018386D">
        <w:rPr>
          <w:spacing w:val="-2"/>
        </w:rPr>
        <w:t>total of excluded emissions does not exceed the materiality</w:t>
      </w:r>
      <w:r w:rsidR="0070085B" w:rsidRPr="0018386D">
        <w:rPr>
          <w:rStyle w:val="FootnoteReference"/>
          <w:spacing w:val="-2"/>
        </w:rPr>
        <w:footnoteReference w:id="12"/>
      </w:r>
      <w:r w:rsidR="00CB31B8" w:rsidRPr="0018386D">
        <w:rPr>
          <w:spacing w:val="-2"/>
        </w:rPr>
        <w:t xml:space="preserve"> threshold</w:t>
      </w:r>
      <w:r w:rsidR="696E5473" w:rsidRPr="0018386D">
        <w:rPr>
          <w:spacing w:val="-2"/>
        </w:rPr>
        <w:t xml:space="preserve"> set by your organisation</w:t>
      </w:r>
      <w:r w:rsidRPr="0018386D">
        <w:t>.</w:t>
      </w:r>
      <w:r w:rsidR="00CB31B8" w:rsidRPr="0018386D">
        <w:t xml:space="preserve"> For example, if </w:t>
      </w:r>
      <w:r w:rsidR="009076C9" w:rsidRPr="0018386D">
        <w:t xml:space="preserve">using </w:t>
      </w:r>
      <w:r w:rsidR="00CB31B8" w:rsidRPr="0018386D">
        <w:t>a</w:t>
      </w:r>
      <w:r w:rsidR="038CD93F" w:rsidRPr="0018386D">
        <w:t>n overall</w:t>
      </w:r>
      <w:r w:rsidR="00CB31B8" w:rsidRPr="0018386D">
        <w:t xml:space="preserve"> materiality threshold of </w:t>
      </w:r>
      <w:r w:rsidR="00E14C88" w:rsidRPr="0018386D">
        <w:t xml:space="preserve">5 </w:t>
      </w:r>
      <w:r w:rsidR="009076C9" w:rsidRPr="0018386D">
        <w:t>per cent</w:t>
      </w:r>
      <w:r w:rsidR="00CB31B8" w:rsidRPr="0018386D">
        <w:t xml:space="preserve">, the total of all </w:t>
      </w:r>
      <w:r w:rsidR="00A90D22" w:rsidRPr="0018386D">
        <w:t>emission sources</w:t>
      </w:r>
      <w:r w:rsidR="00CB31B8" w:rsidRPr="0018386D">
        <w:t xml:space="preserve"> excluded as </w:t>
      </w:r>
      <w:r w:rsidR="00CB31B8" w:rsidRPr="0018386D">
        <w:rPr>
          <w:i/>
        </w:rPr>
        <w:t>de minimis</w:t>
      </w:r>
      <w:r w:rsidR="00CB31B8" w:rsidRPr="0018386D">
        <w:t xml:space="preserve"> must not exceed </w:t>
      </w:r>
      <w:r w:rsidR="00E14C88" w:rsidRPr="0018386D">
        <w:t xml:space="preserve">5 </w:t>
      </w:r>
      <w:r w:rsidR="009076C9" w:rsidRPr="0018386D">
        <w:t>per cent</w:t>
      </w:r>
      <w:r w:rsidR="00CB31B8" w:rsidRPr="0018386D">
        <w:t xml:space="preserve"> of the inventory</w:t>
      </w:r>
      <w:r w:rsidR="009076C9" w:rsidRPr="0018386D">
        <w:t>.</w:t>
      </w:r>
      <w:r w:rsidRPr="0018386D">
        <w:t xml:space="preserve"> </w:t>
      </w:r>
      <w:r w:rsidR="00365684" w:rsidRPr="0018386D">
        <w:t>Typically,</w:t>
      </w:r>
      <w:r w:rsidRPr="0018386D">
        <w:t xml:space="preserve"> </w:t>
      </w:r>
      <w:r w:rsidR="008F7859" w:rsidRPr="0018386D">
        <w:t xml:space="preserve">an organisation estimates </w:t>
      </w:r>
      <w:r w:rsidRPr="0018386D">
        <w:t xml:space="preserve">any emissions considered </w:t>
      </w:r>
      <w:r w:rsidRPr="0018386D">
        <w:rPr>
          <w:i/>
        </w:rPr>
        <w:t>de</w:t>
      </w:r>
      <w:r w:rsidR="00954A9E" w:rsidRPr="0018386D">
        <w:rPr>
          <w:i/>
        </w:rPr>
        <w:t> </w:t>
      </w:r>
      <w:r w:rsidRPr="0018386D">
        <w:rPr>
          <w:i/>
        </w:rPr>
        <w:t>minimis</w:t>
      </w:r>
      <w:r w:rsidRPr="0018386D">
        <w:t xml:space="preserve"> using simplified methods to justify the classification. </w:t>
      </w:r>
      <w:r w:rsidR="006F44B2" w:rsidRPr="0018386D">
        <w:t xml:space="preserve">It is important these are transparently documented and justified. </w:t>
      </w:r>
      <w:r w:rsidR="2C69BFA8" w:rsidRPr="0018386D">
        <w:t>Often, y</w:t>
      </w:r>
      <w:r w:rsidR="006F44B2" w:rsidRPr="0018386D">
        <w:t xml:space="preserve">ou </w:t>
      </w:r>
      <w:r w:rsidR="008F7859" w:rsidRPr="0018386D">
        <w:t>only need to re-estimate</w:t>
      </w:r>
      <w:r w:rsidRPr="0018386D">
        <w:t xml:space="preserve"> excluded emissions in subsequent years if the assumptions </w:t>
      </w:r>
      <w:r w:rsidR="00183EFB" w:rsidRPr="0018386D">
        <w:t>change.</w:t>
      </w:r>
    </w:p>
    <w:p w14:paraId="48D818BA" w14:textId="350D80FB" w:rsidR="00D36CD0" w:rsidRPr="0018386D" w:rsidRDefault="00D22417" w:rsidP="00DD3106">
      <w:pPr>
        <w:pStyle w:val="BodyText"/>
        <w:rPr>
          <w:u w:val="single"/>
        </w:rPr>
      </w:pPr>
      <w:r w:rsidRPr="0018386D">
        <w:lastRenderedPageBreak/>
        <w:t>H</w:t>
      </w:r>
      <w:r w:rsidR="00D36CD0" w:rsidRPr="0018386D">
        <w:t xml:space="preserve">owever, if the user </w:t>
      </w:r>
      <w:r w:rsidRPr="0018386D">
        <w:t>needs</w:t>
      </w:r>
      <w:r w:rsidR="00D36CD0" w:rsidRPr="0018386D">
        <w:t xml:space="preserve"> to report into a particular programme or satisfy an intended use or user, they may decide to</w:t>
      </w:r>
      <w:r w:rsidR="0AD39AED" w:rsidRPr="0018386D">
        <w:t xml:space="preserve">, </w:t>
      </w:r>
      <w:r w:rsidR="2EF78544" w:rsidRPr="0018386D">
        <w:t>or be required</w:t>
      </w:r>
      <w:r w:rsidR="00D36CD0" w:rsidRPr="0018386D">
        <w:t xml:space="preserve"> to</w:t>
      </w:r>
      <w:r w:rsidR="001939A9" w:rsidRPr="0018386D">
        <w:t>,</w:t>
      </w:r>
      <w:r w:rsidR="00D36CD0" w:rsidRPr="0018386D">
        <w:t xml:space="preserve"> include </w:t>
      </w:r>
      <w:r w:rsidR="00D36CD0" w:rsidRPr="0018386D">
        <w:rPr>
          <w:i/>
        </w:rPr>
        <w:t>de minimis</w:t>
      </w:r>
      <w:r w:rsidR="00D36CD0" w:rsidRPr="0018386D">
        <w:t xml:space="preserve"> activities.</w:t>
      </w:r>
      <w:r w:rsidR="6332DA9E" w:rsidRPr="0018386D">
        <w:t xml:space="preserve"> Under the </w:t>
      </w:r>
      <w:r w:rsidR="00E270DF" w:rsidRPr="0018386D">
        <w:t>NZCS</w:t>
      </w:r>
      <w:r w:rsidR="6332DA9E" w:rsidRPr="0018386D">
        <w:t xml:space="preserve">, </w:t>
      </w:r>
      <w:r w:rsidR="73B1A230" w:rsidRPr="0018386D">
        <w:t>information</w:t>
      </w:r>
      <w:r w:rsidR="58F4613E" w:rsidRPr="0018386D">
        <w:t xml:space="preserve"> </w:t>
      </w:r>
      <w:proofErr w:type="gramStart"/>
      <w:r w:rsidR="5CA8458E" w:rsidRPr="0018386D">
        <w:t>is considered to be</w:t>
      </w:r>
      <w:proofErr w:type="gramEnd"/>
      <w:r w:rsidR="00A36493" w:rsidRPr="0018386D">
        <w:t xml:space="preserve"> </w:t>
      </w:r>
      <w:r w:rsidR="00F23298" w:rsidRPr="0018386D">
        <w:t>‘</w:t>
      </w:r>
      <w:r w:rsidR="00A36493" w:rsidRPr="0018386D">
        <w:t>significant</w:t>
      </w:r>
      <w:r w:rsidR="00F23298" w:rsidRPr="0018386D">
        <w:t>’</w:t>
      </w:r>
      <w:r w:rsidR="00A36493" w:rsidRPr="0018386D">
        <w:t xml:space="preserve"> or</w:t>
      </w:r>
      <w:r w:rsidR="58F4613E" w:rsidRPr="0018386D">
        <w:t xml:space="preserve"> </w:t>
      </w:r>
      <w:r w:rsidR="00F23298" w:rsidRPr="0018386D">
        <w:t>‘</w:t>
      </w:r>
      <w:r w:rsidR="58F4613E" w:rsidRPr="0018386D">
        <w:t>material</w:t>
      </w:r>
      <w:r w:rsidR="00F23298" w:rsidRPr="0018386D">
        <w:t>’</w:t>
      </w:r>
      <w:r w:rsidR="58F4613E" w:rsidRPr="0018386D">
        <w:t xml:space="preserve"> if </w:t>
      </w:r>
      <w:r w:rsidR="11A8F9FB" w:rsidRPr="0018386D">
        <w:t xml:space="preserve">omitting, </w:t>
      </w:r>
      <w:r w:rsidR="41592BA4" w:rsidRPr="0018386D">
        <w:t>misstating</w:t>
      </w:r>
      <w:r w:rsidR="11A8F9FB" w:rsidRPr="0018386D">
        <w:t xml:space="preserve"> or obscuring it could </w:t>
      </w:r>
      <w:r w:rsidR="03CBF00E" w:rsidRPr="0018386D">
        <w:t xml:space="preserve">reasonably be expected to </w:t>
      </w:r>
      <w:r w:rsidR="11A8F9FB" w:rsidRPr="0018386D">
        <w:t xml:space="preserve">influence </w:t>
      </w:r>
      <w:r w:rsidR="63714AD0" w:rsidRPr="0018386D">
        <w:t>decisions that primary users make on the basis of those climate-related disclosures.</w:t>
      </w:r>
    </w:p>
    <w:p w14:paraId="5FF1228D" w14:textId="591BF318" w:rsidR="00B17ABF" w:rsidRPr="0018386D" w:rsidRDefault="00B17ABF" w:rsidP="00DD3106">
      <w:pPr>
        <w:pStyle w:val="Heading2"/>
        <w:numPr>
          <w:ilvl w:val="1"/>
          <w:numId w:val="8"/>
        </w:numPr>
        <w:jc w:val="both"/>
      </w:pPr>
      <w:bookmarkStart w:id="86" w:name="_Toc135053256"/>
      <w:bookmarkStart w:id="87" w:name="_Toc532904849"/>
      <w:bookmarkStart w:id="88" w:name="_Toc600563"/>
      <w:bookmarkStart w:id="89" w:name="_Toc140048886"/>
      <w:bookmarkStart w:id="90" w:name="_Toc530051521"/>
      <w:bookmarkStart w:id="91" w:name="_Toc530055800"/>
      <w:bookmarkEnd w:id="85"/>
      <w:bookmarkEnd w:id="86"/>
      <w:r w:rsidRPr="0018386D">
        <w:t>Using the emission factors</w:t>
      </w:r>
      <w:bookmarkEnd w:id="87"/>
      <w:bookmarkEnd w:id="88"/>
      <w:bookmarkEnd w:id="89"/>
      <w:r w:rsidRPr="0018386D">
        <w:t xml:space="preserve"> </w:t>
      </w:r>
      <w:bookmarkEnd w:id="90"/>
      <w:bookmarkEnd w:id="91"/>
    </w:p>
    <w:p w14:paraId="77C355A0" w14:textId="1674F1EF" w:rsidR="0EE1B2EF" w:rsidRPr="0018386D" w:rsidRDefault="0EE1B2EF" w:rsidP="00DD3106">
      <w:pPr>
        <w:pStyle w:val="BodyText"/>
      </w:pPr>
      <w:r w:rsidRPr="0018386D">
        <w:rPr>
          <w:color w:val="000000" w:themeColor="text1"/>
        </w:rPr>
        <w:t>Emission factors rely on historical data. This version of the guidance is</w:t>
      </w:r>
      <w:r w:rsidR="00A32C48" w:rsidRPr="0018386D">
        <w:rPr>
          <w:color w:val="000000" w:themeColor="text1"/>
        </w:rPr>
        <w:t xml:space="preserve"> largely</w:t>
      </w:r>
      <w:r w:rsidRPr="0018386D">
        <w:rPr>
          <w:color w:val="000000" w:themeColor="text1"/>
        </w:rPr>
        <w:t xml:space="preserve"> based on </w:t>
      </w:r>
      <w:hyperlink r:id="rId63" w:history="1">
        <w:r w:rsidRPr="0018386D" w:rsidDel="00EA60B5">
          <w:rPr>
            <w:rStyle w:val="Hyperlink"/>
            <w:rFonts w:eastAsia="Calibri" w:cs="Calibri"/>
            <w:i/>
          </w:rPr>
          <w:t>New Zealand’s Greenhouse Gas Inventory 1990–</w:t>
        </w:r>
        <w:r w:rsidRPr="0018386D">
          <w:rPr>
            <w:rStyle w:val="Hyperlink"/>
            <w:rFonts w:eastAsia="Calibri" w:cs="Calibri"/>
            <w:i/>
            <w:iCs/>
          </w:rPr>
          <w:t>2021</w:t>
        </w:r>
      </w:hyperlink>
      <w:r w:rsidRPr="0018386D">
        <w:rPr>
          <w:color w:val="000000" w:themeColor="text1"/>
        </w:rPr>
        <w:t xml:space="preserve"> as this was the latest complete set of data available. We intend to update these emissions factors </w:t>
      </w:r>
      <w:proofErr w:type="gramStart"/>
      <w:r w:rsidRPr="0018386D">
        <w:rPr>
          <w:color w:val="000000" w:themeColor="text1"/>
        </w:rPr>
        <w:t xml:space="preserve">annually, </w:t>
      </w:r>
      <w:r w:rsidR="0018454A" w:rsidRPr="0018386D">
        <w:rPr>
          <w:color w:val="000000" w:themeColor="text1"/>
        </w:rPr>
        <w:t>when</w:t>
      </w:r>
      <w:proofErr w:type="gramEnd"/>
      <w:r w:rsidR="0018454A" w:rsidRPr="0018386D">
        <w:rPr>
          <w:color w:val="000000" w:themeColor="text1"/>
        </w:rPr>
        <w:t xml:space="preserve"> </w:t>
      </w:r>
      <w:r w:rsidRPr="0018386D">
        <w:rPr>
          <w:color w:val="000000" w:themeColor="text1"/>
        </w:rPr>
        <w:t>more recent data is available.</w:t>
      </w:r>
      <w:r w:rsidR="004C3308" w:rsidRPr="0018386D">
        <w:rPr>
          <w:color w:val="000000" w:themeColor="text1"/>
        </w:rPr>
        <w:t xml:space="preserve"> </w:t>
      </w:r>
    </w:p>
    <w:p w14:paraId="61FBA563" w14:textId="4EF0C402" w:rsidR="006F44B2" w:rsidRPr="0018386D" w:rsidRDefault="006F44B2" w:rsidP="00DD3106">
      <w:pPr>
        <w:pStyle w:val="BodyText"/>
      </w:pPr>
      <w:bookmarkStart w:id="92" w:name="_Hlk532888669"/>
      <w:r w:rsidRPr="0018386D">
        <w:t xml:space="preserve">If you use the </w:t>
      </w:r>
      <w:hyperlink r:id="rId64" w:history="1">
        <w:r w:rsidR="009A30EE" w:rsidRPr="0018386D">
          <w:rPr>
            <w:rStyle w:val="Hyperlink"/>
          </w:rPr>
          <w:t>Interactive workbook</w:t>
        </w:r>
      </w:hyperlink>
      <w:r w:rsidR="009A30EE" w:rsidRPr="0018386D">
        <w:t>,</w:t>
      </w:r>
      <w:r w:rsidRPr="0018386D">
        <w:t xml:space="preserve"> input your activity data and the emission factors will</w:t>
      </w:r>
      <w:r w:rsidR="007C0168" w:rsidRPr="0018386D">
        <w:t xml:space="preserve"> </w:t>
      </w:r>
      <w:r w:rsidRPr="0018386D">
        <w:t>be</w:t>
      </w:r>
      <w:r w:rsidR="00905090" w:rsidRPr="0018386D">
        <w:t> </w:t>
      </w:r>
      <w:r w:rsidRPr="0018386D">
        <w:t xml:space="preserve">applied automatically. If you do not use the Interactive </w:t>
      </w:r>
      <w:r w:rsidR="00BC56F5" w:rsidRPr="0018386D">
        <w:t>w</w:t>
      </w:r>
      <w:r w:rsidRPr="0018386D">
        <w:t xml:space="preserve">orkbook, </w:t>
      </w:r>
      <w:r w:rsidR="00F57943" w:rsidRPr="0018386D">
        <w:t xml:space="preserve">simplified </w:t>
      </w:r>
      <w:r w:rsidRPr="0018386D">
        <w:t>example</w:t>
      </w:r>
      <w:r w:rsidR="007C0168" w:rsidRPr="0018386D">
        <w:t xml:space="preserve"> </w:t>
      </w:r>
      <w:r w:rsidRPr="0018386D">
        <w:t xml:space="preserve">calculations are provided throughout </w:t>
      </w:r>
      <w:r w:rsidR="00EF02FC" w:rsidRPr="0018386D">
        <w:t xml:space="preserve">section </w:t>
      </w:r>
      <w:r w:rsidRPr="0018386D">
        <w:t>4 to demonstrate how to use the emission</w:t>
      </w:r>
      <w:r w:rsidR="007C0168" w:rsidRPr="0018386D">
        <w:t xml:space="preserve"> </w:t>
      </w:r>
      <w:r w:rsidRPr="0018386D">
        <w:t>factors.</w:t>
      </w:r>
      <w:r w:rsidRPr="0018386D">
        <w:rPr>
          <w:rStyle w:val="FootnoteReference"/>
        </w:rPr>
        <w:footnoteReference w:id="13"/>
      </w:r>
      <w:r w:rsidRPr="0018386D">
        <w:t xml:space="preserve"> </w:t>
      </w:r>
    </w:p>
    <w:p w14:paraId="204FC19E" w14:textId="46A736D5" w:rsidR="00E31367" w:rsidRPr="0018386D" w:rsidRDefault="00E31367" w:rsidP="00DD3106">
      <w:pPr>
        <w:pStyle w:val="BodyText"/>
      </w:pPr>
      <w:bookmarkStart w:id="93" w:name="_Toc530051522"/>
      <w:bookmarkStart w:id="94" w:name="_Toc530055801"/>
      <w:r w:rsidRPr="0018386D">
        <w:rPr>
          <w:rFonts w:eastAsia="Calibri" w:cs="Calibri"/>
          <w:color w:val="000000" w:themeColor="text1"/>
        </w:rPr>
        <w:t xml:space="preserve">Most organisations reporting voluntarily do so </w:t>
      </w:r>
      <w:r w:rsidR="00D22417" w:rsidRPr="0018386D">
        <w:rPr>
          <w:rFonts w:eastAsia="Calibri" w:cs="Calibri"/>
          <w:color w:val="000000" w:themeColor="text1"/>
        </w:rPr>
        <w:t>each</w:t>
      </w:r>
      <w:r w:rsidRPr="0018386D">
        <w:rPr>
          <w:rFonts w:eastAsia="Calibri" w:cs="Calibri"/>
          <w:color w:val="000000" w:themeColor="text1"/>
        </w:rPr>
        <w:t xml:space="preserve"> </w:t>
      </w:r>
      <w:r w:rsidRPr="0018386D">
        <w:t>calendar</w:t>
      </w:r>
      <w:r w:rsidRPr="0018386D">
        <w:rPr>
          <w:rFonts w:eastAsia="Calibri" w:cs="Calibri"/>
        </w:rPr>
        <w:t xml:space="preserve"> year or financial</w:t>
      </w:r>
      <w:r w:rsidRPr="0018386D">
        <w:rPr>
          <w:rFonts w:eastAsia="Calibri" w:cs="Calibri"/>
          <w:color w:val="000000" w:themeColor="text1"/>
        </w:rPr>
        <w:t xml:space="preserve"> year</w:t>
      </w:r>
      <w:r w:rsidR="00D22417" w:rsidRPr="0018386D">
        <w:rPr>
          <w:rFonts w:eastAsia="Calibri" w:cs="Calibri"/>
          <w:color w:val="000000" w:themeColor="text1"/>
        </w:rPr>
        <w:t>.</w:t>
      </w:r>
      <w:r w:rsidRPr="0018386D">
        <w:rPr>
          <w:rFonts w:eastAsia="Calibri" w:cs="Calibri"/>
          <w:color w:val="000000" w:themeColor="text1"/>
        </w:rPr>
        <w:t xml:space="preserve"> </w:t>
      </w:r>
      <w:r w:rsidRPr="0018386D">
        <w:t>However, the</w:t>
      </w:r>
      <w:r w:rsidRPr="0018386D">
        <w:rPr>
          <w:b/>
          <w:bCs/>
        </w:rPr>
        <w:t xml:space="preserve"> </w:t>
      </w:r>
      <w:r w:rsidRPr="0018386D">
        <w:t xml:space="preserve">Financial Sector (Climate-related Disclosures and Other Matters) Amendment Act 2021 (CRD) and the CNGP requires reporting based on financial year. </w:t>
      </w:r>
      <w:r w:rsidRPr="0018386D">
        <w:rPr>
          <w:rFonts w:eastAsia="Calibri" w:cs="Calibri"/>
          <w:color w:val="000000" w:themeColor="text1"/>
        </w:rPr>
        <w:t xml:space="preserve">Most commonly, a single year serves as their base year. </w:t>
      </w:r>
      <w:r w:rsidRPr="0018386D">
        <w:t xml:space="preserve">However, it is also possible to choose an average of annual emissions over several consecutive years as a base year. </w:t>
      </w:r>
    </w:p>
    <w:p w14:paraId="29DD9CB1" w14:textId="14181CEB" w:rsidR="00B17ABF" w:rsidRPr="0018386D" w:rsidRDefault="00B17ABF" w:rsidP="00DD3106">
      <w:pPr>
        <w:pStyle w:val="BodyText"/>
      </w:pPr>
      <w:r w:rsidRPr="0018386D">
        <w:t xml:space="preserve">The emission factors in this guide are: </w:t>
      </w:r>
    </w:p>
    <w:p w14:paraId="35D1088B" w14:textId="0F59C61B" w:rsidR="00B17ABF" w:rsidRPr="0018386D" w:rsidRDefault="00B17ABF" w:rsidP="00DD3106">
      <w:pPr>
        <w:pStyle w:val="Bullet"/>
      </w:pPr>
      <w:bookmarkStart w:id="95" w:name="_Hlk532888707"/>
      <w:bookmarkEnd w:id="92"/>
      <w:r w:rsidRPr="0018386D">
        <w:t>default factors</w:t>
      </w:r>
      <w:r w:rsidR="00CF740B" w:rsidRPr="0018386D">
        <w:t>,</w:t>
      </w:r>
      <w:r w:rsidRPr="0018386D">
        <w:t xml:space="preserve"> used in the absence of better company</w:t>
      </w:r>
      <w:r w:rsidR="004D24E7" w:rsidRPr="0018386D">
        <w:t>-</w:t>
      </w:r>
      <w:r w:rsidR="3E47B739" w:rsidRPr="0018386D">
        <w:t>specific</w:t>
      </w:r>
      <w:r w:rsidR="735293F0" w:rsidRPr="0018386D">
        <w:t xml:space="preserve"> </w:t>
      </w:r>
      <w:r w:rsidRPr="0018386D">
        <w:t>or industry-specific information</w:t>
      </w:r>
      <w:r w:rsidR="002E5E06" w:rsidRPr="0018386D">
        <w:t>.</w:t>
      </w:r>
      <w:r w:rsidRPr="0018386D">
        <w:t xml:space="preserve"> </w:t>
      </w:r>
    </w:p>
    <w:p w14:paraId="2F4198F5" w14:textId="1AE6B3B5" w:rsidR="00B17ABF" w:rsidRPr="0018386D" w:rsidRDefault="00B17ABF" w:rsidP="00DD3106">
      <w:pPr>
        <w:pStyle w:val="Bullet"/>
      </w:pPr>
      <w:r w:rsidRPr="0018386D">
        <w:t xml:space="preserve">consistent with the reporting requirements of </w:t>
      </w:r>
      <w:hyperlink r:id="rId65">
        <w:r w:rsidRPr="0018386D">
          <w:rPr>
            <w:rStyle w:val="Hyperlink"/>
          </w:rPr>
          <w:t>ISO 14064-1</w:t>
        </w:r>
        <w:r w:rsidR="000179C1" w:rsidRPr="0018386D">
          <w:rPr>
            <w:rStyle w:val="Hyperlink"/>
          </w:rPr>
          <w:t>:2018</w:t>
        </w:r>
      </w:hyperlink>
      <w:r w:rsidRPr="0018386D">
        <w:t xml:space="preserve"> and </w:t>
      </w:r>
      <w:r w:rsidR="004D24E7" w:rsidRPr="0018386D">
        <w:t>t</w:t>
      </w:r>
      <w:r w:rsidRPr="0018386D">
        <w:t>he</w:t>
      </w:r>
      <w:r w:rsidRPr="0018386D">
        <w:rPr>
          <w:i/>
          <w:iCs/>
        </w:rPr>
        <w:t xml:space="preserve"> </w:t>
      </w:r>
      <w:hyperlink r:id="rId66">
        <w:r w:rsidR="00C107FC" w:rsidRPr="0018386D">
          <w:rPr>
            <w:rStyle w:val="Hyperlink"/>
          </w:rPr>
          <w:t>GHG Protocol</w:t>
        </w:r>
      </w:hyperlink>
    </w:p>
    <w:bookmarkEnd w:id="95"/>
    <w:p w14:paraId="57489736" w14:textId="445695D5" w:rsidR="00B17ABF" w:rsidRPr="0018386D" w:rsidRDefault="4D1391C2" w:rsidP="00DD3106">
      <w:pPr>
        <w:pStyle w:val="Bullet"/>
      </w:pPr>
      <w:r w:rsidRPr="0018386D">
        <w:t>aligned with</w:t>
      </w:r>
      <w:r w:rsidR="5073F3F1" w:rsidRPr="0018386D">
        <w:t xml:space="preserve"> </w:t>
      </w:r>
      <w:hyperlink r:id="rId67" w:history="1">
        <w:r w:rsidR="00D34C23" w:rsidRPr="0018386D" w:rsidDel="00EA60B5">
          <w:rPr>
            <w:rStyle w:val="Hyperlink"/>
            <w:rFonts w:eastAsia="Calibri" w:cs="Calibri"/>
            <w:i/>
          </w:rPr>
          <w:t>New Zealand’s Greenhouse Gas Inventory 1990–</w:t>
        </w:r>
        <w:r w:rsidR="00D34C23" w:rsidRPr="0018386D">
          <w:rPr>
            <w:rStyle w:val="Hyperlink"/>
            <w:rFonts w:eastAsia="Calibri" w:cs="Calibri"/>
            <w:i/>
            <w:iCs/>
          </w:rPr>
          <w:t>2021</w:t>
        </w:r>
      </w:hyperlink>
      <w:r w:rsidRPr="0018386D">
        <w:t xml:space="preserve"> </w:t>
      </w:r>
    </w:p>
    <w:p w14:paraId="481B8E92" w14:textId="0FD38C1A" w:rsidR="00B17ABF" w:rsidRPr="0018386D" w:rsidRDefault="0008545C" w:rsidP="00DD3106">
      <w:pPr>
        <w:pStyle w:val="Bullet"/>
      </w:pPr>
      <w:r w:rsidRPr="0018386D">
        <w:t>presented in kg CO</w:t>
      </w:r>
      <w:r w:rsidRPr="0018386D">
        <w:rPr>
          <w:vertAlign w:val="subscript"/>
        </w:rPr>
        <w:t>2</w:t>
      </w:r>
      <w:r w:rsidRPr="0018386D">
        <w:t xml:space="preserve">-e per unit. </w:t>
      </w:r>
      <w:r w:rsidR="00B17ABF" w:rsidRPr="0018386D">
        <w:t xml:space="preserve">Under the reporting requirements of </w:t>
      </w:r>
      <w:hyperlink r:id="rId68">
        <w:r w:rsidR="00B17ABF" w:rsidRPr="0018386D">
          <w:rPr>
            <w:rStyle w:val="Hyperlink"/>
          </w:rPr>
          <w:t>ISO 14064-1</w:t>
        </w:r>
        <w:r w:rsidR="00330EAD" w:rsidRPr="0018386D">
          <w:rPr>
            <w:rStyle w:val="Hyperlink"/>
          </w:rPr>
          <w:t>:2018</w:t>
        </w:r>
      </w:hyperlink>
      <w:r w:rsidR="2B21C733" w:rsidRPr="0018386D">
        <w:t xml:space="preserve"> </w:t>
      </w:r>
      <w:r w:rsidR="00B17ABF" w:rsidRPr="0018386D">
        <w:t>and the</w:t>
      </w:r>
      <w:r w:rsidR="00B17ABF" w:rsidRPr="0018386D">
        <w:rPr>
          <w:i/>
          <w:iCs/>
        </w:rPr>
        <w:t xml:space="preserve"> </w:t>
      </w:r>
      <w:hyperlink r:id="rId69">
        <w:r w:rsidR="00B17ABF" w:rsidRPr="0018386D">
          <w:rPr>
            <w:rStyle w:val="Hyperlink"/>
          </w:rPr>
          <w:t>GHG Protocol</w:t>
        </w:r>
      </w:hyperlink>
      <w:r w:rsidR="00B17ABF" w:rsidRPr="0018386D">
        <w:rPr>
          <w:i/>
          <w:iCs/>
        </w:rPr>
        <w:t>,</w:t>
      </w:r>
      <w:r w:rsidR="00B17ABF" w:rsidRPr="0018386D">
        <w:t xml:space="preserve"> GHG emissions should be reported in tonnes CO</w:t>
      </w:r>
      <w:r w:rsidR="00B17ABF" w:rsidRPr="0018386D">
        <w:rPr>
          <w:vertAlign w:val="subscript"/>
        </w:rPr>
        <w:t>2</w:t>
      </w:r>
      <w:r w:rsidR="00B17ABF" w:rsidRPr="0018386D">
        <w:t>-e. However, many emission factors are too small to be reported meaningfully in tonnes. Divi</w:t>
      </w:r>
      <w:r w:rsidR="002B2817" w:rsidRPr="0018386D">
        <w:t>ding</w:t>
      </w:r>
      <w:r w:rsidR="00B17ABF" w:rsidRPr="0018386D">
        <w:t xml:space="preserve"> by 1</w:t>
      </w:r>
      <w:r w:rsidR="004250BC" w:rsidRPr="0018386D">
        <w:t>,</w:t>
      </w:r>
      <w:r w:rsidR="00B17ABF" w:rsidRPr="0018386D">
        <w:t xml:space="preserve">000 converts kg to tonnes (see example calculations on the following pages). </w:t>
      </w:r>
    </w:p>
    <w:p w14:paraId="10BAB285" w14:textId="1803A666" w:rsidR="7C6AF251" w:rsidRPr="0018386D" w:rsidRDefault="3EA0F5B4" w:rsidP="00DD3106">
      <w:pPr>
        <w:pStyle w:val="BodyText"/>
      </w:pPr>
      <w:r w:rsidRPr="0018386D">
        <w:t>In line with the reporting requirements of the standards</w:t>
      </w:r>
      <w:r w:rsidR="00D22417" w:rsidRPr="0018386D">
        <w:t>,</w:t>
      </w:r>
      <w:r w:rsidRPr="0018386D" w:rsidDel="00B05D6A">
        <w:t xml:space="preserve"> </w:t>
      </w:r>
      <w:r w:rsidRPr="0018386D">
        <w:t xml:space="preserve">the emission factors allow calculation of carbon dioxide, </w:t>
      </w:r>
      <w:proofErr w:type="gramStart"/>
      <w:r w:rsidRPr="0018386D">
        <w:t>methane</w:t>
      </w:r>
      <w:proofErr w:type="gramEnd"/>
      <w:r w:rsidRPr="0018386D">
        <w:t xml:space="preserve"> and nitrous oxide separately, as well as the total carbon dioxide equivalent for direct (Scope 1) emission sources.</w:t>
      </w:r>
    </w:p>
    <w:p w14:paraId="061A2DD5" w14:textId="66020A80" w:rsidR="00B17ABF" w:rsidRPr="0018386D" w:rsidRDefault="00B17ABF" w:rsidP="00DD3106">
      <w:pPr>
        <w:pStyle w:val="BodyText"/>
      </w:pPr>
      <w:r w:rsidRPr="0018386D">
        <w:t xml:space="preserve">Carbon dioxide emission factors are based on the carbon and energy content of a </w:t>
      </w:r>
      <w:r w:rsidR="004D24E7" w:rsidRPr="0018386D">
        <w:t>fuel</w:t>
      </w:r>
      <w:r w:rsidR="002B2817" w:rsidRPr="0018386D">
        <w:t>. T</w:t>
      </w:r>
      <w:r w:rsidR="004D24E7" w:rsidRPr="0018386D">
        <w:t>herefore,</w:t>
      </w:r>
      <w:r w:rsidRPr="0018386D">
        <w:t xml:space="preserve"> the </w:t>
      </w:r>
      <w:r w:rsidR="00D86618" w:rsidRPr="0018386D">
        <w:t>carbon dioxide</w:t>
      </w:r>
      <w:r w:rsidRPr="0018386D">
        <w:t xml:space="preserve"> emissions remain constant </w:t>
      </w:r>
      <w:r w:rsidR="00615A41" w:rsidRPr="0018386D">
        <w:t xml:space="preserve">irrespective of how </w:t>
      </w:r>
      <w:r w:rsidRPr="0018386D">
        <w:t xml:space="preserve">a fuel is combusted. </w:t>
      </w:r>
    </w:p>
    <w:p w14:paraId="355CE8A5" w14:textId="4C123F9D" w:rsidR="00B17ABF" w:rsidRPr="0018386D" w:rsidRDefault="004D24E7" w:rsidP="00DD3106">
      <w:pPr>
        <w:pStyle w:val="BodyText"/>
        <w:keepLines/>
      </w:pPr>
      <w:r w:rsidRPr="0018386D">
        <w:lastRenderedPageBreak/>
        <w:t>Non-carbon dioxide emissions (</w:t>
      </w:r>
      <w:r w:rsidR="004311BF" w:rsidRPr="0018386D">
        <w:t>eg</w:t>
      </w:r>
      <w:r w:rsidRPr="0018386D">
        <w:t xml:space="preserve">, </w:t>
      </w:r>
      <w:r w:rsidR="00D86618" w:rsidRPr="0018386D">
        <w:t>methane and nitrous oxide</w:t>
      </w:r>
      <w:r w:rsidR="00B17ABF" w:rsidRPr="0018386D">
        <w:t>) and emission factors depend on</w:t>
      </w:r>
      <w:r w:rsidR="00BD7E36" w:rsidRPr="0018386D">
        <w:t> </w:t>
      </w:r>
      <w:r w:rsidR="00B17ABF" w:rsidRPr="0018386D">
        <w:t xml:space="preserve">the </w:t>
      </w:r>
      <w:r w:rsidR="003B7105" w:rsidRPr="0018386D">
        <w:t>way</w:t>
      </w:r>
      <w:r w:rsidR="00B17ABF" w:rsidRPr="0018386D">
        <w:t xml:space="preserve"> the fuel is combusted</w:t>
      </w:r>
      <w:r w:rsidR="009279C4" w:rsidRPr="0018386D">
        <w:t>.</w:t>
      </w:r>
      <w:r w:rsidR="00B17ABF" w:rsidRPr="0018386D">
        <w:rPr>
          <w:rStyle w:val="FootnoteReference"/>
        </w:rPr>
        <w:footnoteReference w:id="14"/>
      </w:r>
      <w:r w:rsidR="00B17ABF" w:rsidRPr="0018386D">
        <w:t xml:space="preserve"> To reflect this variability, the guide provides uncertainty estimates for </w:t>
      </w:r>
      <w:r w:rsidR="003B7105" w:rsidRPr="0018386D">
        <w:t>direct (</w:t>
      </w:r>
      <w:r w:rsidR="001C6281" w:rsidRPr="0018386D">
        <w:t xml:space="preserve">Scope </w:t>
      </w:r>
      <w:r w:rsidR="00B17ABF" w:rsidRPr="0018386D">
        <w:t>1</w:t>
      </w:r>
      <w:r w:rsidR="003B7105" w:rsidRPr="0018386D">
        <w:t>)</w:t>
      </w:r>
      <w:r w:rsidR="00B17ABF" w:rsidRPr="0018386D">
        <w:t xml:space="preserve"> emission factors. </w:t>
      </w:r>
      <w:hyperlink w:anchor="table3" w:history="1">
        <w:r w:rsidR="007F767D" w:rsidRPr="0018386D">
          <w:rPr>
            <w:rStyle w:val="Hyperlink"/>
          </w:rPr>
          <w:t>Table 3</w:t>
        </w:r>
      </w:hyperlink>
      <w:r w:rsidR="00672B63" w:rsidRPr="0018386D">
        <w:t xml:space="preserve"> </w:t>
      </w:r>
      <w:r w:rsidR="004A1AA3" w:rsidRPr="0018386D">
        <w:t>presents s</w:t>
      </w:r>
      <w:r w:rsidR="00B17ABF" w:rsidRPr="0018386D">
        <w:t xml:space="preserve">eparate </w:t>
      </w:r>
      <w:r w:rsidR="00C2252B" w:rsidRPr="0018386D">
        <w:t>carbon dioxide equivalent</w:t>
      </w:r>
      <w:r w:rsidR="00B17ABF" w:rsidRPr="0018386D">
        <w:t xml:space="preserve"> emission factors for residential, </w:t>
      </w:r>
      <w:proofErr w:type="gramStart"/>
      <w:r w:rsidR="00B17ABF" w:rsidRPr="0018386D">
        <w:t>commercial</w:t>
      </w:r>
      <w:proofErr w:type="gramEnd"/>
      <w:r w:rsidR="00B17ABF" w:rsidRPr="0018386D">
        <w:t xml:space="preserve"> and industrial users. </w:t>
      </w:r>
      <w:r w:rsidR="00FD364D" w:rsidRPr="0018386D">
        <w:t>It follows t</w:t>
      </w:r>
      <w:r w:rsidR="00B17ABF" w:rsidRPr="0018386D">
        <w:t>he</w:t>
      </w:r>
      <w:r w:rsidR="00F710B4" w:rsidRPr="0018386D">
        <w:t xml:space="preserve"> IPCC</w:t>
      </w:r>
      <w:r w:rsidR="00BD7E36" w:rsidRPr="0018386D">
        <w:t> </w:t>
      </w:r>
      <w:r w:rsidR="00F710B4" w:rsidRPr="0018386D">
        <w:t xml:space="preserve">guidelines for combustion and </w:t>
      </w:r>
      <w:r w:rsidR="00FD364D" w:rsidRPr="0018386D">
        <w:t xml:space="preserve">adopts </w:t>
      </w:r>
      <w:r w:rsidR="00F710B4" w:rsidRPr="0018386D">
        <w:t>the uncertainties</w:t>
      </w:r>
      <w:r w:rsidR="009279C4" w:rsidRPr="0018386D">
        <w:t>.</w:t>
      </w:r>
      <w:r w:rsidR="00F710B4" w:rsidRPr="0018386D">
        <w:rPr>
          <w:rStyle w:val="FootnoteReference"/>
        </w:rPr>
        <w:footnoteReference w:id="15"/>
      </w:r>
    </w:p>
    <w:p w14:paraId="205EDF05" w14:textId="6CF8461E" w:rsidR="00B17ABF" w:rsidRPr="0018386D" w:rsidRDefault="3B28F0B0" w:rsidP="00DD3106">
      <w:pPr>
        <w:pStyle w:val="BodyText"/>
      </w:pPr>
      <w:r w:rsidRPr="0018386D">
        <w:t xml:space="preserve">We </w:t>
      </w:r>
      <w:r w:rsidR="00C26B20" w:rsidRPr="0018386D">
        <w:t>derived</w:t>
      </w:r>
      <w:r w:rsidR="00CF740B" w:rsidRPr="0018386D">
        <w:t xml:space="preserve"> t</w:t>
      </w:r>
      <w:r w:rsidR="00B17ABF" w:rsidRPr="0018386D">
        <w:t xml:space="preserve">hese emission factors </w:t>
      </w:r>
      <w:r w:rsidR="00F06063" w:rsidRPr="0018386D">
        <w:t xml:space="preserve">primarily </w:t>
      </w:r>
      <w:r w:rsidR="00B17ABF" w:rsidRPr="0018386D">
        <w:t>from technical information published by New</w:t>
      </w:r>
      <w:r w:rsidR="00143832" w:rsidRPr="0018386D">
        <w:t> </w:t>
      </w:r>
      <w:r w:rsidR="00B17ABF" w:rsidRPr="0018386D">
        <w:t xml:space="preserve">Zealand government agencies. Each section </w:t>
      </w:r>
      <w:r w:rsidR="003B7105" w:rsidRPr="0018386D">
        <w:t xml:space="preserve">below </w:t>
      </w:r>
      <w:r w:rsidR="00B17ABF" w:rsidRPr="0018386D">
        <w:t>provides the source for each emission</w:t>
      </w:r>
      <w:r w:rsidR="00143832" w:rsidRPr="0018386D">
        <w:t> </w:t>
      </w:r>
      <w:r w:rsidR="00B17ABF" w:rsidRPr="0018386D">
        <w:t xml:space="preserve">factor and </w:t>
      </w:r>
      <w:r w:rsidR="00CF740B" w:rsidRPr="0018386D">
        <w:t xml:space="preserve">describes </w:t>
      </w:r>
      <w:r w:rsidR="00B17ABF" w:rsidRPr="0018386D">
        <w:t xml:space="preserve">how </w:t>
      </w:r>
      <w:r w:rsidR="00CF740B" w:rsidRPr="0018386D">
        <w:t>we derived the</w:t>
      </w:r>
      <w:r w:rsidR="00B17ABF" w:rsidRPr="0018386D">
        <w:t xml:space="preserve"> factors.</w:t>
      </w:r>
    </w:p>
    <w:p w14:paraId="729E91B7" w14:textId="5273CF62" w:rsidR="00B17ABF" w:rsidRPr="0018386D" w:rsidRDefault="00B17ABF" w:rsidP="00DD3106">
      <w:pPr>
        <w:pStyle w:val="Heading2"/>
        <w:numPr>
          <w:ilvl w:val="1"/>
          <w:numId w:val="8"/>
        </w:numPr>
      </w:pPr>
      <w:bookmarkStart w:id="96" w:name="_Producing_a_GHG"/>
      <w:bookmarkStart w:id="97" w:name="_Ref532552867"/>
      <w:bookmarkStart w:id="98" w:name="_Toc532904850"/>
      <w:bookmarkStart w:id="99" w:name="_Toc600564"/>
      <w:bookmarkStart w:id="100" w:name="_Ref54881295"/>
      <w:bookmarkStart w:id="101" w:name="_Toc140048887"/>
      <w:bookmarkEnd w:id="96"/>
      <w:r w:rsidRPr="0018386D">
        <w:t>Producing a</w:t>
      </w:r>
      <w:r w:rsidR="00301928" w:rsidRPr="0018386D">
        <w:t xml:space="preserve"> GHG</w:t>
      </w:r>
      <w:r w:rsidRPr="0018386D">
        <w:t xml:space="preserve"> report</w:t>
      </w:r>
      <w:bookmarkEnd w:id="93"/>
      <w:bookmarkEnd w:id="94"/>
      <w:bookmarkEnd w:id="97"/>
      <w:bookmarkEnd w:id="98"/>
      <w:bookmarkEnd w:id="99"/>
      <w:bookmarkEnd w:id="100"/>
      <w:bookmarkEnd w:id="101"/>
    </w:p>
    <w:p w14:paraId="6C3E7FC4" w14:textId="77777777" w:rsidR="00EA42E6" w:rsidRPr="0018386D" w:rsidRDefault="00B17ABF" w:rsidP="00DD3106">
      <w:pPr>
        <w:pStyle w:val="BodyText"/>
        <w:spacing w:after="240"/>
      </w:pPr>
      <w:r w:rsidRPr="0018386D">
        <w:t xml:space="preserve">A full </w:t>
      </w:r>
      <w:r w:rsidR="00301928" w:rsidRPr="0018386D">
        <w:t xml:space="preserve">GHG </w:t>
      </w:r>
      <w:r w:rsidRPr="0018386D">
        <w:t xml:space="preserve">report provides context to the GHG </w:t>
      </w:r>
      <w:r w:rsidR="003B7105" w:rsidRPr="0018386D">
        <w:t>inventory</w:t>
      </w:r>
      <w:r w:rsidRPr="0018386D">
        <w:t xml:space="preserve"> by including information about the organisation, comparing annual inventories, </w:t>
      </w:r>
      <w:r w:rsidR="00CF740B" w:rsidRPr="0018386D">
        <w:t>discussing</w:t>
      </w:r>
      <w:r w:rsidRPr="0018386D">
        <w:t xml:space="preserve"> significant changes to emissions,</w:t>
      </w:r>
      <w:r w:rsidR="00CF740B" w:rsidRPr="0018386D">
        <w:t xml:space="preserve"> listing</w:t>
      </w:r>
      <w:r w:rsidRPr="0018386D">
        <w:t xml:space="preserve"> excluded emissions, and </w:t>
      </w:r>
      <w:r w:rsidR="00CF740B" w:rsidRPr="0018386D">
        <w:t xml:space="preserve">stating </w:t>
      </w:r>
      <w:r w:rsidRPr="0018386D">
        <w:t xml:space="preserve">the methods and references for the calculations. </w:t>
      </w:r>
      <w:bookmarkStart w:id="102" w:name="_Hlk530039161"/>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B17ABF" w:rsidRPr="0018386D" w14:paraId="1A9BCD48" w14:textId="77777777" w:rsidTr="36E8805A">
        <w:trPr>
          <w:tblHeader/>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333530BF" w14:textId="31B93AE3" w:rsidR="00B17ABF" w:rsidRPr="0018386D" w:rsidDel="00D5390D" w:rsidRDefault="00B17ABF" w:rsidP="00DD3106">
            <w:pPr>
              <w:pStyle w:val="Casestudyheading"/>
            </w:pPr>
            <w:r w:rsidRPr="0018386D">
              <w:t>A</w:t>
            </w:r>
            <w:r w:rsidR="00301928" w:rsidRPr="0018386D">
              <w:t xml:space="preserve"> GHG</w:t>
            </w:r>
            <w:r w:rsidRPr="0018386D">
              <w:t xml:space="preserve"> Report </w:t>
            </w:r>
          </w:p>
        </w:tc>
      </w:tr>
      <w:tr w:rsidR="00B17ABF" w:rsidRPr="0018386D" w14:paraId="002CEB14" w14:textId="77777777" w:rsidTr="36E8805A">
        <w:tc>
          <w:tcPr>
            <w:tcW w:w="8505"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99450E9" w14:textId="6C648C7B" w:rsidR="007D0127" w:rsidRPr="0018386D" w:rsidRDefault="007D0127" w:rsidP="00DD3106">
            <w:pPr>
              <w:pStyle w:val="Boxtext"/>
              <w:spacing w:before="240" w:after="80"/>
            </w:pPr>
            <w:r w:rsidRPr="0018386D">
              <w:t>To compile a full GHG report, organisations should include:</w:t>
            </w:r>
            <w:r w:rsidR="00F06063" w:rsidRPr="0018386D">
              <w:t xml:space="preserve"> </w:t>
            </w:r>
          </w:p>
          <w:p w14:paraId="59F0DD8C" w14:textId="77777777" w:rsidR="007D0127" w:rsidRPr="0018386D" w:rsidRDefault="007D0127" w:rsidP="00DD3106">
            <w:pPr>
              <w:pStyle w:val="Boxbullet"/>
              <w:spacing w:after="80"/>
            </w:pPr>
            <w:r w:rsidRPr="0018386D">
              <w:t>a description of the organisation</w:t>
            </w:r>
          </w:p>
          <w:p w14:paraId="08703B13" w14:textId="77777777" w:rsidR="007D0127" w:rsidRPr="0018386D" w:rsidRDefault="007D0127" w:rsidP="00DD3106">
            <w:pPr>
              <w:pStyle w:val="Boxbullet"/>
              <w:spacing w:after="80"/>
            </w:pPr>
            <w:r w:rsidRPr="0018386D">
              <w:t>the person or entity responsible for the report</w:t>
            </w:r>
          </w:p>
          <w:p w14:paraId="5496FB01" w14:textId="77777777" w:rsidR="007D0127" w:rsidRPr="0018386D" w:rsidRDefault="007D0127" w:rsidP="00DD3106">
            <w:pPr>
              <w:pStyle w:val="Boxbullet"/>
              <w:spacing w:after="80"/>
            </w:pPr>
            <w:r w:rsidRPr="0018386D">
              <w:t xml:space="preserve">a description of the inventory boundaries </w:t>
            </w:r>
          </w:p>
          <w:p w14:paraId="3F282A8F" w14:textId="5B85F63D" w:rsidR="007D0127" w:rsidRPr="0018386D" w:rsidRDefault="007D0127" w:rsidP="00DD3106">
            <w:pPr>
              <w:pStyle w:val="Boxsub-bullet"/>
              <w:spacing w:after="80"/>
            </w:pPr>
            <w:r w:rsidRPr="0018386D">
              <w:t>organisational boundary</w:t>
            </w:r>
          </w:p>
          <w:p w14:paraId="02F57796" w14:textId="77777777" w:rsidR="007D0127" w:rsidRPr="0018386D" w:rsidRDefault="007D0127" w:rsidP="00DD3106">
            <w:pPr>
              <w:pStyle w:val="Boxsub-bullet"/>
              <w:spacing w:after="80"/>
            </w:pPr>
            <w:r w:rsidRPr="0018386D">
              <w:t>reporting boundary</w:t>
            </w:r>
          </w:p>
          <w:p w14:paraId="1DF95B7C" w14:textId="77777777" w:rsidR="007D0127" w:rsidRPr="0018386D" w:rsidRDefault="007D0127" w:rsidP="00DD3106">
            <w:pPr>
              <w:pStyle w:val="Boxsub-bullet"/>
              <w:spacing w:after="80"/>
            </w:pPr>
            <w:r w:rsidRPr="0018386D">
              <w:t>measurement period</w:t>
            </w:r>
          </w:p>
          <w:p w14:paraId="02375B0D" w14:textId="77777777" w:rsidR="007D0127" w:rsidRPr="0018386D" w:rsidRDefault="007D0127" w:rsidP="00DD3106">
            <w:pPr>
              <w:pStyle w:val="Boxbullet"/>
              <w:spacing w:after="80"/>
            </w:pPr>
            <w:r w:rsidRPr="0018386D">
              <w:t>the chosen base year (initial measurement period for comparing annual results)</w:t>
            </w:r>
          </w:p>
          <w:p w14:paraId="20ACB247" w14:textId="77777777" w:rsidR="007D0127" w:rsidRPr="0018386D" w:rsidRDefault="007D0127" w:rsidP="00DD3106">
            <w:pPr>
              <w:pStyle w:val="Boxbullet"/>
              <w:spacing w:after="80"/>
            </w:pPr>
            <w:r w:rsidRPr="0018386D">
              <w:t xml:space="preserve">emissions (and removals where appropriate) for </w:t>
            </w:r>
            <w:r w:rsidRPr="0018386D" w:rsidDel="00C26B20">
              <w:t xml:space="preserve">all </w:t>
            </w:r>
            <w:r w:rsidRPr="0018386D">
              <w:t>GHGs, separately reported in metric tonnes CO</w:t>
            </w:r>
            <w:r w:rsidRPr="0018386D">
              <w:rPr>
                <w:vertAlign w:val="subscript"/>
              </w:rPr>
              <w:t>2</w:t>
            </w:r>
            <w:r w:rsidRPr="0018386D">
              <w:t>-</w:t>
            </w:r>
            <w:proofErr w:type="gramStart"/>
            <w:r w:rsidRPr="0018386D">
              <w:t>e</w:t>
            </w:r>
            <w:proofErr w:type="gramEnd"/>
          </w:p>
          <w:p w14:paraId="1C401C3F" w14:textId="77777777" w:rsidR="007D0127" w:rsidRPr="0018386D" w:rsidRDefault="007D0127" w:rsidP="00DD3106">
            <w:pPr>
              <w:pStyle w:val="Boxbullet"/>
              <w:spacing w:after="80"/>
            </w:pPr>
            <w:r w:rsidRPr="0018386D">
              <w:t xml:space="preserve">emissions separated by </w:t>
            </w:r>
            <w:proofErr w:type="gramStart"/>
            <w:r w:rsidRPr="0018386D">
              <w:t>scope</w:t>
            </w:r>
            <w:proofErr w:type="gramEnd"/>
            <w:r w:rsidRPr="0018386D">
              <w:t xml:space="preserve"> </w:t>
            </w:r>
          </w:p>
          <w:p w14:paraId="62886E2F" w14:textId="77777777" w:rsidR="007D0127" w:rsidRPr="0018386D" w:rsidRDefault="007D0127" w:rsidP="00DD3106">
            <w:pPr>
              <w:pStyle w:val="Boxsub-bullet"/>
              <w:spacing w:after="80"/>
            </w:pPr>
            <w:r w:rsidRPr="0018386D">
              <w:t>total Scope 1 and 2 emissions</w:t>
            </w:r>
          </w:p>
          <w:p w14:paraId="26F7DDFD" w14:textId="77777777" w:rsidR="007D0127" w:rsidRPr="0018386D" w:rsidRDefault="007D0127" w:rsidP="00DD3106">
            <w:pPr>
              <w:pStyle w:val="Boxsub-bullet"/>
              <w:spacing w:after="80"/>
            </w:pPr>
            <w:r w:rsidRPr="0018386D">
              <w:t xml:space="preserve">total and specified Scope 3 emissions </w:t>
            </w:r>
          </w:p>
          <w:p w14:paraId="0E0BEF61" w14:textId="1FA35F8C" w:rsidR="007D0127" w:rsidRPr="0018386D" w:rsidRDefault="007D0127" w:rsidP="00DD3106">
            <w:pPr>
              <w:pStyle w:val="Boxbullet"/>
              <w:spacing w:after="80"/>
            </w:pPr>
            <w:r w:rsidRPr="0018386D">
              <w:t xml:space="preserve">emissions </w:t>
            </w:r>
            <w:r w:rsidR="004E3E5E" w:rsidRPr="0018386D">
              <w:t>from the combustion of</w:t>
            </w:r>
            <w:r w:rsidRPr="0018386D">
              <w:t xml:space="preserve"> biologically sequestered carbon</w:t>
            </w:r>
            <w:r w:rsidR="00F06063" w:rsidRPr="0018386D">
              <w:t>,</w:t>
            </w:r>
            <w:r w:rsidRPr="0018386D">
              <w:t xml:space="preserve"> reported separately from the </w:t>
            </w:r>
            <w:proofErr w:type="gramStart"/>
            <w:r w:rsidRPr="0018386D">
              <w:t>scopes</w:t>
            </w:r>
            <w:proofErr w:type="gramEnd"/>
          </w:p>
          <w:p w14:paraId="7AEB261D" w14:textId="77777777" w:rsidR="007D0127" w:rsidRPr="0018386D" w:rsidRDefault="007D0127" w:rsidP="00DD3106">
            <w:pPr>
              <w:pStyle w:val="Boxbullet"/>
              <w:spacing w:after="80"/>
            </w:pPr>
            <w:r w:rsidRPr="0018386D">
              <w:t xml:space="preserve">a time series of emissions results from base year to present year </w:t>
            </w:r>
          </w:p>
          <w:p w14:paraId="2A222A7C" w14:textId="599531A2" w:rsidR="007D0127" w:rsidRPr="0018386D" w:rsidRDefault="007D0127" w:rsidP="00DD3106">
            <w:pPr>
              <w:pStyle w:val="Boxbullet"/>
              <w:spacing w:after="80"/>
            </w:pPr>
            <w:r w:rsidRPr="0018386D">
              <w:t>significant changes</w:t>
            </w:r>
            <w:r w:rsidR="00303667" w:rsidRPr="0018386D">
              <w:t xml:space="preserve"> to the inventory</w:t>
            </w:r>
            <w:r w:rsidRPr="0018386D">
              <w:t xml:space="preserve">, including in the context of triggering any base year </w:t>
            </w:r>
            <w:proofErr w:type="gramStart"/>
            <w:r w:rsidRPr="0018386D">
              <w:t>recalculations</w:t>
            </w:r>
            <w:proofErr w:type="gramEnd"/>
          </w:p>
          <w:p w14:paraId="7BC4ABF0" w14:textId="77777777" w:rsidR="007D0127" w:rsidRPr="0018386D" w:rsidRDefault="007D0127" w:rsidP="00DD3106">
            <w:pPr>
              <w:pStyle w:val="Boxbullet"/>
              <w:spacing w:after="80"/>
            </w:pPr>
            <w:r w:rsidRPr="0018386D">
              <w:t xml:space="preserve">the methodologies for calculating emissions, and references to key data </w:t>
            </w:r>
            <w:proofErr w:type="gramStart"/>
            <w:r w:rsidRPr="0018386D">
              <w:t>sources</w:t>
            </w:r>
            <w:proofErr w:type="gramEnd"/>
          </w:p>
          <w:p w14:paraId="0DE54EDE" w14:textId="4F001D99" w:rsidR="00B156BC" w:rsidRPr="0018386D" w:rsidRDefault="00B156BC" w:rsidP="00DD3106">
            <w:pPr>
              <w:pStyle w:val="Boxbullet"/>
              <w:spacing w:after="80"/>
            </w:pPr>
            <w:r w:rsidRPr="0018386D">
              <w:t xml:space="preserve">impacts of uncertainty on the inventory </w:t>
            </w:r>
          </w:p>
          <w:p w14:paraId="6FD839D0" w14:textId="2B88922B" w:rsidR="00B17ABF" w:rsidRPr="0018386D" w:rsidRDefault="00A359E7" w:rsidP="00DD3106">
            <w:pPr>
              <w:pStyle w:val="Boxbullet"/>
              <w:spacing w:after="80"/>
            </w:pPr>
            <w:r w:rsidRPr="0018386D">
              <w:t>a</w:t>
            </w:r>
            <w:r w:rsidR="00B17ABF" w:rsidRPr="0018386D">
              <w:t xml:space="preserve">ny specific exclusions of sources, </w:t>
            </w:r>
            <w:proofErr w:type="gramStart"/>
            <w:r w:rsidR="00B17ABF" w:rsidRPr="0018386D">
              <w:t>facilities</w:t>
            </w:r>
            <w:proofErr w:type="gramEnd"/>
            <w:r w:rsidR="00EB657F" w:rsidRPr="0018386D">
              <w:t xml:space="preserve"> </w:t>
            </w:r>
            <w:r w:rsidR="00B17ABF" w:rsidRPr="0018386D">
              <w:t>or operations</w:t>
            </w:r>
            <w:r w:rsidR="00EB657F" w:rsidRPr="0018386D">
              <w:t>.</w:t>
            </w:r>
          </w:p>
          <w:p w14:paraId="552ED1A1" w14:textId="21CF90C1" w:rsidR="00B17ABF" w:rsidRPr="0018386D" w:rsidRDefault="00EB657F" w:rsidP="00DD3106">
            <w:pPr>
              <w:pStyle w:val="Boxtext"/>
              <w:spacing w:after="240"/>
            </w:pPr>
            <w:r w:rsidRPr="0018386D">
              <w:t>View a</w:t>
            </w:r>
            <w:r w:rsidR="00B17ABF" w:rsidRPr="0018386D">
              <w:t>n example</w:t>
            </w:r>
            <w:r w:rsidR="00BB1C42" w:rsidRPr="0018386D">
              <w:t xml:space="preserve"> reporting</w:t>
            </w:r>
            <w:r w:rsidR="00B17ABF" w:rsidRPr="0018386D">
              <w:t xml:space="preserve"> template on the </w:t>
            </w:r>
            <w:hyperlink r:id="rId70" w:history="1">
              <w:r w:rsidR="00BB1C42" w:rsidRPr="0018386D">
                <w:rPr>
                  <w:color w:val="4CAAD0" w:themeColor="accent1" w:themeTint="99"/>
                </w:rPr>
                <w:t>GHG Protocol Corporate Standard webpage</w:t>
              </w:r>
            </w:hyperlink>
            <w:r w:rsidR="00BB1C42" w:rsidRPr="0018386D">
              <w:t xml:space="preserve">. </w:t>
            </w:r>
          </w:p>
        </w:tc>
      </w:tr>
    </w:tbl>
    <w:p w14:paraId="654BE05C" w14:textId="4B9E0165" w:rsidR="00B17ABF" w:rsidRPr="0018386D" w:rsidRDefault="00966370" w:rsidP="00DD3106">
      <w:pPr>
        <w:pStyle w:val="Heading2"/>
        <w:numPr>
          <w:ilvl w:val="1"/>
          <w:numId w:val="8"/>
        </w:numPr>
      </w:pPr>
      <w:bookmarkStart w:id="103" w:name="_Verification"/>
      <w:bookmarkStart w:id="104" w:name="_Toc530051491"/>
      <w:bookmarkStart w:id="105" w:name="_Toc530051523"/>
      <w:bookmarkStart w:id="106" w:name="_Toc530055802"/>
      <w:bookmarkStart w:id="107" w:name="_Ref532552874"/>
      <w:bookmarkStart w:id="108" w:name="_Toc532904851"/>
      <w:bookmarkStart w:id="109" w:name="_Toc600565"/>
      <w:bookmarkStart w:id="110" w:name="_Toc140048888"/>
      <w:bookmarkEnd w:id="102"/>
      <w:bookmarkEnd w:id="103"/>
      <w:r w:rsidRPr="0018386D">
        <w:lastRenderedPageBreak/>
        <w:t xml:space="preserve">Assurance and </w:t>
      </w:r>
      <w:r w:rsidR="00F06063" w:rsidRPr="0018386D">
        <w:t>v</w:t>
      </w:r>
      <w:r w:rsidR="00B17ABF" w:rsidRPr="0018386D">
        <w:t>erification</w:t>
      </w:r>
      <w:bookmarkEnd w:id="104"/>
      <w:bookmarkEnd w:id="105"/>
      <w:bookmarkEnd w:id="106"/>
      <w:bookmarkEnd w:id="107"/>
      <w:bookmarkEnd w:id="108"/>
      <w:bookmarkEnd w:id="109"/>
      <w:bookmarkEnd w:id="110"/>
    </w:p>
    <w:p w14:paraId="0DE0CA3F" w14:textId="0FC6AD4B" w:rsidR="65C5240A" w:rsidRPr="0018386D" w:rsidRDefault="65C5240A" w:rsidP="00DD3106">
      <w:pPr>
        <w:pStyle w:val="BodyText"/>
      </w:pPr>
      <w:r w:rsidRPr="0018386D">
        <w:t>Seeking independent</w:t>
      </w:r>
      <w:r w:rsidR="002E4FF6" w:rsidRPr="0018386D">
        <w:rPr>
          <w:rStyle w:val="FootnoteReference"/>
        </w:rPr>
        <w:footnoteReference w:id="16"/>
      </w:r>
      <w:r w:rsidRPr="0018386D">
        <w:t xml:space="preserve"> third-party assurance of your inventory is a key component of a responsible reporting approach. Obtaining assurance means to appoint an independent practitioner to undertake a selection of procedures to enable them to express an opinion or conclusion of your organisation’s reported statement and is int</w:t>
      </w:r>
      <w:r w:rsidR="30B303E2" w:rsidRPr="0018386D">
        <w:t xml:space="preserve">ended to increase the confidence that users can place on the reported information. </w:t>
      </w:r>
    </w:p>
    <w:p w14:paraId="036E54C4" w14:textId="3A82A246" w:rsidR="3C555650" w:rsidRPr="0018386D" w:rsidRDefault="3C555650" w:rsidP="00DD3106">
      <w:pPr>
        <w:pStyle w:val="BodyText"/>
      </w:pPr>
      <w:r w:rsidRPr="0018386D">
        <w:t>There are differing levels of assurance which result in different types of reports. Reasonable assurance is the highest level of assurance, where your assurance practitioner will perform procedures to enable them to state</w:t>
      </w:r>
      <w:r w:rsidR="009D4698" w:rsidRPr="0018386D">
        <w:t>,</w:t>
      </w:r>
      <w:r w:rsidRPr="0018386D">
        <w:t xml:space="preserve"> in their opinion</w:t>
      </w:r>
      <w:r w:rsidR="009D4698" w:rsidRPr="0018386D">
        <w:t>,</w:t>
      </w:r>
      <w:r w:rsidRPr="0018386D">
        <w:t xml:space="preserve"> that the subject matter is not materially misst</w:t>
      </w:r>
      <w:r w:rsidR="432AB55E" w:rsidRPr="0018386D">
        <w:t xml:space="preserve">ated. Limited assurance provides a lower level of assurance, where the assurance practitioner will perform </w:t>
      </w:r>
      <w:r w:rsidR="00F679EE" w:rsidRPr="0018386D">
        <w:t xml:space="preserve">fewer </w:t>
      </w:r>
      <w:r w:rsidR="432AB55E" w:rsidRPr="0018386D">
        <w:t>procedures comparative to reasonable assurance. A limited assurance conclusion will state nothing has come to the assurance practitioner’s attention wh</w:t>
      </w:r>
      <w:r w:rsidR="00BD29CC" w:rsidRPr="0018386D">
        <w:t>i</w:t>
      </w:r>
      <w:r w:rsidR="432AB55E" w:rsidRPr="0018386D">
        <w:t>ch indicates the information is materially misstated.</w:t>
      </w:r>
      <w:r w:rsidR="004C3308" w:rsidRPr="0018386D">
        <w:t xml:space="preserve"> </w:t>
      </w:r>
    </w:p>
    <w:p w14:paraId="11B75582" w14:textId="27F30852" w:rsidR="5E64A72D" w:rsidRPr="0018386D" w:rsidRDefault="5E64A72D" w:rsidP="00DD3106">
      <w:pPr>
        <w:pStyle w:val="BodyText"/>
      </w:pPr>
      <w:r w:rsidRPr="0018386D">
        <w:t xml:space="preserve">It is recommended that you speak to </w:t>
      </w:r>
      <w:r w:rsidR="004E6595" w:rsidRPr="0018386D">
        <w:t>an</w:t>
      </w:r>
      <w:r w:rsidRPr="0018386D">
        <w:t xml:space="preserve"> assurance provider about your GHG data quality, available </w:t>
      </w:r>
      <w:proofErr w:type="gramStart"/>
      <w:r w:rsidRPr="0018386D">
        <w:t>evidence</w:t>
      </w:r>
      <w:proofErr w:type="gramEnd"/>
      <w:r w:rsidRPr="0018386D">
        <w:t xml:space="preserve"> and the level of assurance you require. Many assurance providers also provide pre-assurance</w:t>
      </w:r>
      <w:r w:rsidR="3C555650" w:rsidRPr="0018386D">
        <w:t xml:space="preserve"> </w:t>
      </w:r>
      <w:r w:rsidR="007D31E4" w:rsidRPr="0018386D">
        <w:t xml:space="preserve">or an assurance gap analysis, </w:t>
      </w:r>
      <w:r w:rsidR="3A0DE95D" w:rsidRPr="0018386D">
        <w:t>with the aim of providing you with a preliminary assessment of whether the pre-conditions to an assurance engagement are met and feedback ahead of formal assurance. The purpose of</w:t>
      </w:r>
      <w:r w:rsidR="3A0DE95D" w:rsidRPr="0018386D" w:rsidDel="000C53DF">
        <w:t xml:space="preserve"> </w:t>
      </w:r>
      <w:r w:rsidR="3A0DE95D" w:rsidRPr="0018386D">
        <w:t xml:space="preserve">pre-assurance </w:t>
      </w:r>
      <w:r w:rsidR="000C53DF" w:rsidRPr="0018386D">
        <w:t xml:space="preserve">is to prepare the reporter for attaining assurance, though it </w:t>
      </w:r>
      <w:proofErr w:type="gramStart"/>
      <w:r w:rsidR="000C53DF" w:rsidRPr="0018386D">
        <w:t>will</w:t>
      </w:r>
      <w:r w:rsidR="3A0DE95D" w:rsidRPr="0018386D">
        <w:t xml:space="preserve"> not to</w:t>
      </w:r>
      <w:proofErr w:type="gramEnd"/>
      <w:r w:rsidR="3A0DE95D" w:rsidRPr="0018386D">
        <w:t xml:space="preserve"> provide </w:t>
      </w:r>
      <w:r w:rsidR="000C53DF" w:rsidRPr="0018386D">
        <w:t>guidance</w:t>
      </w:r>
      <w:r w:rsidR="3A0DE95D" w:rsidRPr="0018386D">
        <w:t xml:space="preserve"> o</w:t>
      </w:r>
      <w:r w:rsidR="000C53DF" w:rsidRPr="0018386D">
        <w:t>n</w:t>
      </w:r>
      <w:r w:rsidR="3A0DE95D" w:rsidRPr="0018386D">
        <w:t xml:space="preserve"> whether </w:t>
      </w:r>
      <w:r w:rsidR="000C53DF" w:rsidRPr="0018386D">
        <w:t>or not assurance will be attained</w:t>
      </w:r>
      <w:r w:rsidR="3A0DE95D" w:rsidRPr="0018386D">
        <w:t>.</w:t>
      </w:r>
      <w:r w:rsidR="004C3308" w:rsidRPr="0018386D">
        <w:t xml:space="preserve"> </w:t>
      </w:r>
    </w:p>
    <w:p w14:paraId="168752C1" w14:textId="18D8F2B4" w:rsidR="3A0DE95D" w:rsidRPr="0018386D" w:rsidRDefault="3A0DE95D" w:rsidP="00DD3106">
      <w:pPr>
        <w:pStyle w:val="BodyText"/>
      </w:pPr>
      <w:r w:rsidRPr="0018386D">
        <w:t>If you are a Climate Reporting Entity (CRE) under the</w:t>
      </w:r>
      <w:r w:rsidR="009F26D7" w:rsidRPr="0018386D">
        <w:t xml:space="preserve"> Financial Sector (Climate-related Disclosures and Other Matters) Amendment Act 2021 (</w:t>
      </w:r>
      <w:r w:rsidRPr="0018386D">
        <w:t>CRD</w:t>
      </w:r>
      <w:r w:rsidR="009F26D7" w:rsidRPr="0018386D">
        <w:t>)</w:t>
      </w:r>
      <w:r w:rsidRPr="0018386D">
        <w:t xml:space="preserve"> or required to report under the </w:t>
      </w:r>
      <w:r w:rsidR="009F26D7" w:rsidRPr="0018386D">
        <w:rPr>
          <w:spacing w:val="-2"/>
        </w:rPr>
        <w:t>Carbon Neutral Government Programme (</w:t>
      </w:r>
      <w:r w:rsidRPr="0018386D">
        <w:t>CNGP</w:t>
      </w:r>
      <w:r w:rsidR="009F26D7" w:rsidRPr="0018386D">
        <w:t>)</w:t>
      </w:r>
      <w:r w:rsidRPr="0018386D">
        <w:t xml:space="preserve">, specific assurance requirements apply: </w:t>
      </w:r>
    </w:p>
    <w:p w14:paraId="4395657A" w14:textId="6B6BD7D1" w:rsidR="3A0DE95D" w:rsidRPr="0018386D" w:rsidRDefault="3A0DE95D" w:rsidP="00DD3106">
      <w:pPr>
        <w:pStyle w:val="Bullet"/>
      </w:pPr>
      <w:r w:rsidRPr="0018386D">
        <w:t>If your organisation is a covered entity under the Financial Markets Conduct Act, as amended by the Financial Sector (Climate-related Disclosures and Other Matters) Amendment Act 2021 (the FMC Act as amended)</w:t>
      </w:r>
      <w:r w:rsidR="001202A3" w:rsidRPr="0018386D">
        <w:t>,</w:t>
      </w:r>
      <w:r w:rsidRPr="0018386D">
        <w:t xml:space="preserve"> you are required to obtain third-party assurance in relation to the parts of your climate statement that relate to </w:t>
      </w:r>
      <w:r w:rsidR="60A50B64" w:rsidRPr="0018386D">
        <w:t>GHG emissions for periods that end on or after 27 October 2024. For more detail, please see (</w:t>
      </w:r>
      <w:hyperlink r:id="rId71" w:history="1">
        <w:r w:rsidR="60A50B64" w:rsidRPr="0018386D">
          <w:rPr>
            <w:rStyle w:val="Hyperlink"/>
          </w:rPr>
          <w:t>Assurance, XRB</w:t>
        </w:r>
      </w:hyperlink>
      <w:r w:rsidR="60A50B64" w:rsidRPr="0018386D">
        <w:t xml:space="preserve">). </w:t>
      </w:r>
    </w:p>
    <w:p w14:paraId="43143B7C" w14:textId="349466A9" w:rsidR="009C4D76" w:rsidRPr="0018386D" w:rsidRDefault="60A50B64" w:rsidP="00DD3106">
      <w:pPr>
        <w:pStyle w:val="BodyText"/>
        <w:rPr>
          <w:rStyle w:val="Hyperlink"/>
          <w:rFonts w:eastAsia="Times New Roman" w:cs="Times New Roman"/>
          <w:b/>
          <w:szCs w:val="20"/>
        </w:rPr>
      </w:pPr>
      <w:r w:rsidRPr="0018386D">
        <w:t xml:space="preserve">If your organisation is a participant to the CNGP, please note that you must seek assurance from an independent third-party annually. Please see the CNGP </w:t>
      </w:r>
      <w:hyperlink r:id="rId72" w:history="1">
        <w:r w:rsidR="00975C45" w:rsidRPr="0018386D">
          <w:rPr>
            <w:rStyle w:val="Hyperlink"/>
          </w:rPr>
          <w:t>guide to measuring and reporting greenhouse gas emissions</w:t>
        </w:r>
      </w:hyperlink>
      <w:r w:rsidRPr="0018386D">
        <w:t xml:space="preserve"> for more information</w:t>
      </w:r>
      <w:r w:rsidR="004A144B" w:rsidRPr="0018386D">
        <w:t>.</w:t>
      </w:r>
    </w:p>
    <w:p w14:paraId="298CF8EC" w14:textId="65E2A657" w:rsidR="00966370" w:rsidRPr="0018386D" w:rsidRDefault="00D038F9" w:rsidP="00DD3106">
      <w:pPr>
        <w:pStyle w:val="Heading3"/>
        <w:rPr>
          <w:rFonts w:cs="Segoe UI"/>
          <w:szCs w:val="28"/>
        </w:rPr>
      </w:pPr>
      <w:bookmarkStart w:id="111" w:name="_Hlk532888905"/>
      <w:r w:rsidRPr="0018386D">
        <w:t xml:space="preserve">2.4.1 </w:t>
      </w:r>
      <w:r w:rsidR="00966370" w:rsidRPr="0018386D">
        <w:t xml:space="preserve">Choosing an assurance </w:t>
      </w:r>
      <w:proofErr w:type="gramStart"/>
      <w:r w:rsidR="00966370" w:rsidRPr="0018386D">
        <w:t>provider</w:t>
      </w:r>
      <w:proofErr w:type="gramEnd"/>
    </w:p>
    <w:p w14:paraId="0461C40D" w14:textId="66796861" w:rsidR="00C61DC3" w:rsidRPr="0018386D" w:rsidRDefault="00966370" w:rsidP="00DD3106">
      <w:pPr>
        <w:pStyle w:val="BodyText"/>
      </w:pPr>
      <w:bookmarkStart w:id="112" w:name="_Hlk532888919"/>
      <w:r w:rsidRPr="0018386D">
        <w:t xml:space="preserve">If you are seeking independent assurance </w:t>
      </w:r>
      <w:r w:rsidR="00072F71" w:rsidRPr="0018386D">
        <w:t>over</w:t>
      </w:r>
      <w:r w:rsidRPr="0018386D">
        <w:t xml:space="preserve"> your GHG disclosures, </w:t>
      </w:r>
      <w:bookmarkStart w:id="113" w:name="_Ref532640055"/>
      <w:bookmarkStart w:id="114" w:name="_Toc532904853"/>
      <w:bookmarkStart w:id="115" w:name="_Toc600566"/>
      <w:bookmarkEnd w:id="111"/>
      <w:r w:rsidR="00C61DC3" w:rsidRPr="0018386D">
        <w:t>consider the following factors when choosing a verifier:</w:t>
      </w:r>
    </w:p>
    <w:p w14:paraId="747F1F58" w14:textId="3A6AC934" w:rsidR="00C61DC3" w:rsidRPr="0018386D" w:rsidRDefault="006655A7" w:rsidP="00DD3106">
      <w:pPr>
        <w:pStyle w:val="Bullet"/>
        <w:rPr>
          <w:rFonts w:eastAsiaTheme="minorEastAsia"/>
        </w:rPr>
      </w:pPr>
      <w:bookmarkStart w:id="116" w:name="_Toc185407814"/>
      <w:bookmarkEnd w:id="112"/>
      <w:bookmarkEnd w:id="116"/>
      <w:r w:rsidRPr="0018386D">
        <w:rPr>
          <w:rFonts w:eastAsiaTheme="minorEastAsia"/>
        </w:rPr>
        <w:t>i</w:t>
      </w:r>
      <w:r w:rsidR="00C61DC3" w:rsidRPr="0018386D">
        <w:rPr>
          <w:rFonts w:eastAsiaTheme="minorEastAsia"/>
        </w:rPr>
        <w:t>ndependence and objectivity</w:t>
      </w:r>
    </w:p>
    <w:p w14:paraId="4BE27B7D" w14:textId="56755C6B" w:rsidR="00C61DC3" w:rsidRPr="0018386D" w:rsidRDefault="00150377" w:rsidP="00DD3106">
      <w:pPr>
        <w:pStyle w:val="Bullet"/>
        <w:rPr>
          <w:rFonts w:eastAsiaTheme="minorEastAsia"/>
        </w:rPr>
      </w:pPr>
      <w:r w:rsidRPr="0018386D">
        <w:rPr>
          <w:rFonts w:eastAsiaTheme="minorEastAsia"/>
        </w:rPr>
        <w:t>s</w:t>
      </w:r>
      <w:r w:rsidR="00C61DC3" w:rsidRPr="0018386D">
        <w:rPr>
          <w:rFonts w:eastAsiaTheme="minorEastAsia"/>
        </w:rPr>
        <w:t>ufficient skill</w:t>
      </w:r>
      <w:r w:rsidRPr="0018386D">
        <w:rPr>
          <w:rFonts w:eastAsiaTheme="minorEastAsia"/>
        </w:rPr>
        <w:t>s</w:t>
      </w:r>
      <w:r w:rsidR="006655A7" w:rsidRPr="0018386D">
        <w:rPr>
          <w:rFonts w:eastAsiaTheme="minorEastAsia"/>
        </w:rPr>
        <w:t>, with</w:t>
      </w:r>
      <w:r w:rsidR="00C61DC3" w:rsidRPr="0018386D">
        <w:rPr>
          <w:rFonts w:eastAsiaTheme="minorEastAsia"/>
        </w:rPr>
        <w:t xml:space="preserve"> previous experience in GHG </w:t>
      </w:r>
      <w:r w:rsidR="00D56A30" w:rsidRPr="0018386D">
        <w:rPr>
          <w:rFonts w:eastAsiaTheme="minorEastAsia"/>
        </w:rPr>
        <w:t xml:space="preserve">inventory </w:t>
      </w:r>
      <w:r w:rsidR="00C61DC3" w:rsidRPr="0018386D">
        <w:rPr>
          <w:rFonts w:eastAsiaTheme="minorEastAsia"/>
        </w:rPr>
        <w:t>verifications or assurance</w:t>
      </w:r>
    </w:p>
    <w:p w14:paraId="4AA84273" w14:textId="37CB0672" w:rsidR="00C61DC3" w:rsidRPr="0018386D" w:rsidRDefault="00C61DC3" w:rsidP="00DD3106">
      <w:pPr>
        <w:pStyle w:val="Bullet"/>
        <w:rPr>
          <w:rFonts w:eastAsiaTheme="minorEastAsia"/>
        </w:rPr>
      </w:pPr>
      <w:r w:rsidRPr="0018386D">
        <w:rPr>
          <w:rFonts w:eastAsiaTheme="minorEastAsia"/>
        </w:rPr>
        <w:t xml:space="preserve">competence and understanding of GHG </w:t>
      </w:r>
      <w:r w:rsidR="00A53423" w:rsidRPr="0018386D">
        <w:rPr>
          <w:rFonts w:eastAsiaTheme="minorEastAsia"/>
        </w:rPr>
        <w:t>reporting/</w:t>
      </w:r>
      <w:r w:rsidRPr="0018386D">
        <w:rPr>
          <w:rFonts w:eastAsiaTheme="minorEastAsia"/>
        </w:rPr>
        <w:t xml:space="preserve">accounting standards and </w:t>
      </w:r>
      <w:proofErr w:type="gramStart"/>
      <w:r w:rsidRPr="0018386D">
        <w:rPr>
          <w:rFonts w:eastAsiaTheme="minorEastAsia"/>
        </w:rPr>
        <w:t>frameworks</w:t>
      </w:r>
      <w:proofErr w:type="gramEnd"/>
    </w:p>
    <w:p w14:paraId="1C106D3B" w14:textId="48434BE2" w:rsidR="006655A7" w:rsidRPr="0018386D" w:rsidRDefault="006655A7" w:rsidP="00DD3106">
      <w:pPr>
        <w:pStyle w:val="Bullet"/>
        <w:rPr>
          <w:rFonts w:eastAsiaTheme="minorEastAsia"/>
        </w:rPr>
      </w:pPr>
      <w:r w:rsidRPr="0018386D">
        <w:rPr>
          <w:rFonts w:eastAsiaTheme="minorEastAsia"/>
        </w:rPr>
        <w:lastRenderedPageBreak/>
        <w:t>can</w:t>
      </w:r>
      <w:r w:rsidR="00C61DC3" w:rsidRPr="0018386D">
        <w:rPr>
          <w:rFonts w:eastAsiaTheme="minorEastAsia"/>
        </w:rPr>
        <w:t xml:space="preserve"> carry out GHG </w:t>
      </w:r>
      <w:r w:rsidR="00BA60D0" w:rsidRPr="0018386D">
        <w:rPr>
          <w:rFonts w:eastAsiaTheme="minorEastAsia"/>
        </w:rPr>
        <w:t>inventory</w:t>
      </w:r>
      <w:r w:rsidR="00C61DC3" w:rsidRPr="0018386D">
        <w:rPr>
          <w:rFonts w:eastAsiaTheme="minorEastAsia"/>
        </w:rPr>
        <w:t xml:space="preserve"> assurance in accordance with applicable assurance standards. </w:t>
      </w:r>
      <w:hyperlink r:id="rId73" w:history="1">
        <w:r w:rsidR="00C61DC3" w:rsidRPr="0018386D">
          <w:rPr>
            <w:rStyle w:val="Hyperlink"/>
            <w:rFonts w:eastAsiaTheme="minorEastAsia" w:cstheme="minorBidi"/>
            <w:szCs w:val="22"/>
          </w:rPr>
          <w:t>ISAE 3410</w:t>
        </w:r>
      </w:hyperlink>
      <w:r w:rsidR="00C61DC3" w:rsidRPr="0018386D">
        <w:rPr>
          <w:rFonts w:eastAsiaTheme="minorEastAsia"/>
        </w:rPr>
        <w:t xml:space="preserve"> and </w:t>
      </w:r>
      <w:hyperlink r:id="rId74" w:history="1">
        <w:r w:rsidR="00C61DC3" w:rsidRPr="0018386D">
          <w:rPr>
            <w:rStyle w:val="Hyperlink"/>
            <w:rFonts w:eastAsiaTheme="minorEastAsia" w:cstheme="minorBidi"/>
            <w:szCs w:val="22"/>
          </w:rPr>
          <w:t>ISO 14064-3:2019</w:t>
        </w:r>
      </w:hyperlink>
      <w:r w:rsidR="00C61DC3" w:rsidRPr="0018386D">
        <w:rPr>
          <w:rFonts w:eastAsiaTheme="minorEastAsia"/>
        </w:rPr>
        <w:t xml:space="preserve"> are widely used for the assurance or verification of GHG emissions reports. </w:t>
      </w:r>
      <w:r w:rsidR="00CB349B" w:rsidRPr="0018386D">
        <w:rPr>
          <w:rFonts w:eastAsiaTheme="minorEastAsia"/>
        </w:rPr>
        <w:t>One or the other of these standards should be used.</w:t>
      </w:r>
    </w:p>
    <w:p w14:paraId="54BCE509" w14:textId="0147C017" w:rsidR="006655A7" w:rsidRPr="0018386D" w:rsidRDefault="00C7627E" w:rsidP="00DD3106">
      <w:pPr>
        <w:pStyle w:val="Sub-list"/>
      </w:pPr>
      <w:hyperlink r:id="rId75" w:history="1">
        <w:r w:rsidR="007E71EC" w:rsidRPr="0018386D">
          <w:rPr>
            <w:rStyle w:val="Hyperlink"/>
          </w:rPr>
          <w:t>ISAE</w:t>
        </w:r>
      </w:hyperlink>
      <w:r w:rsidR="007E71EC" w:rsidRPr="0018386D">
        <w:rPr>
          <w:rStyle w:val="BodyTextChar"/>
        </w:rPr>
        <w:t xml:space="preserve"> standard</w:t>
      </w:r>
      <w:r w:rsidR="00C61DC3" w:rsidRPr="0018386D">
        <w:rPr>
          <w:rStyle w:val="BodyTextChar"/>
        </w:rPr>
        <w:t xml:space="preserve"> </w:t>
      </w:r>
      <w:r w:rsidR="006655A7" w:rsidRPr="0018386D">
        <w:rPr>
          <w:rStyle w:val="BodyTextChar"/>
        </w:rPr>
        <w:t>–</w:t>
      </w:r>
      <w:r w:rsidR="00C61DC3" w:rsidRPr="0018386D">
        <w:rPr>
          <w:rStyle w:val="BodyTextChar"/>
        </w:rPr>
        <w:t xml:space="preserve"> free</w:t>
      </w:r>
      <w:r w:rsidR="00C61DC3" w:rsidRPr="0018386D">
        <w:rPr>
          <w:sz w:val="20"/>
          <w:szCs w:val="20"/>
        </w:rPr>
        <w:t xml:space="preserve"> </w:t>
      </w:r>
      <w:r w:rsidR="00C61DC3" w:rsidRPr="0018386D">
        <w:t>to download</w:t>
      </w:r>
      <w:r w:rsidR="006655A7" w:rsidRPr="0018386D">
        <w:t>.</w:t>
      </w:r>
      <w:r w:rsidR="00C61DC3" w:rsidRPr="0018386D">
        <w:t xml:space="preserve"> </w:t>
      </w:r>
    </w:p>
    <w:p w14:paraId="340A2007" w14:textId="56451D19" w:rsidR="00C61DC3" w:rsidRPr="0018386D" w:rsidRDefault="00C7627E" w:rsidP="00DD3106">
      <w:pPr>
        <w:pStyle w:val="Sub-list"/>
      </w:pPr>
      <w:hyperlink r:id="rId76" w:history="1">
        <w:r w:rsidR="002128EF" w:rsidRPr="0018386D">
          <w:rPr>
            <w:rStyle w:val="Hyperlink"/>
          </w:rPr>
          <w:t>ISO</w:t>
        </w:r>
      </w:hyperlink>
      <w:r w:rsidR="002128EF" w:rsidRPr="0018386D">
        <w:rPr>
          <w:rStyle w:val="BodyTextChar"/>
        </w:rPr>
        <w:t xml:space="preserve"> standard</w:t>
      </w:r>
      <w:r w:rsidR="00C61DC3" w:rsidRPr="0018386D">
        <w:t xml:space="preserve"> </w:t>
      </w:r>
      <w:r w:rsidR="006655A7" w:rsidRPr="0018386D">
        <w:t>– there is a download charge</w:t>
      </w:r>
      <w:r w:rsidR="00C61DC3" w:rsidRPr="0018386D">
        <w:t>.</w:t>
      </w:r>
    </w:p>
    <w:p w14:paraId="50159617" w14:textId="79251CF6" w:rsidR="00C61DC3" w:rsidRPr="0018386D" w:rsidRDefault="00C7627E" w:rsidP="00DD3106">
      <w:pPr>
        <w:pStyle w:val="BodyText"/>
      </w:pPr>
      <w:hyperlink r:id="rId77" w:history="1">
        <w:r w:rsidR="00C61DC3" w:rsidRPr="0018386D">
          <w:rPr>
            <w:rStyle w:val="Hyperlink"/>
          </w:rPr>
          <w:t>ISO 14064-3:2019</w:t>
        </w:r>
      </w:hyperlink>
      <w:r w:rsidR="00C61DC3" w:rsidRPr="0018386D">
        <w:t xml:space="preserve"> uses the terms </w:t>
      </w:r>
      <w:r w:rsidR="00C77F92" w:rsidRPr="0018386D">
        <w:t>‘</w:t>
      </w:r>
      <w:r w:rsidR="00C61DC3" w:rsidRPr="0018386D">
        <w:t>validation</w:t>
      </w:r>
      <w:r w:rsidR="00C77F92" w:rsidRPr="0018386D">
        <w:t>’</w:t>
      </w:r>
      <w:r w:rsidR="00C61DC3" w:rsidRPr="0018386D">
        <w:t xml:space="preserve"> and </w:t>
      </w:r>
      <w:r w:rsidR="00C77F92" w:rsidRPr="0018386D">
        <w:t>‘</w:t>
      </w:r>
      <w:r w:rsidR="00C61DC3" w:rsidRPr="0018386D">
        <w:t>verification</w:t>
      </w:r>
      <w:r w:rsidR="00C77F92" w:rsidRPr="0018386D">
        <w:t>’,</w:t>
      </w:r>
      <w:r w:rsidR="00C61DC3" w:rsidRPr="0018386D">
        <w:t xml:space="preserve"> whereas ISAE 3410 uses </w:t>
      </w:r>
      <w:r w:rsidR="00C77F92" w:rsidRPr="0018386D">
        <w:t>‘</w:t>
      </w:r>
      <w:r w:rsidR="00C61DC3" w:rsidRPr="0018386D">
        <w:t>assurance</w:t>
      </w:r>
      <w:r w:rsidR="00C77F92" w:rsidRPr="0018386D">
        <w:t>’</w:t>
      </w:r>
      <w:r w:rsidR="00C61DC3" w:rsidRPr="0018386D">
        <w:t>. However, assurance engagements undertaken in accordance with the two international assurance standards include the same, or substantively similar, procedures. </w:t>
      </w:r>
    </w:p>
    <w:p w14:paraId="72E99B64" w14:textId="548B311D" w:rsidR="0030513F" w:rsidRPr="0018386D" w:rsidRDefault="00866768" w:rsidP="00DD3106">
      <w:pPr>
        <w:pStyle w:val="BodyText"/>
        <w:rPr>
          <w:i/>
        </w:rPr>
      </w:pPr>
      <w:r w:rsidRPr="0018386D">
        <w:t>T</w:t>
      </w:r>
      <w:r w:rsidR="00C61DC3" w:rsidRPr="0018386D">
        <w:t xml:space="preserve">he topic of assurance over GHG reports and providers of such assurance is currently evolving in New Zealand. At the time of </w:t>
      </w:r>
      <w:r w:rsidR="00072F71" w:rsidRPr="0018386D">
        <w:t>publication of this guide, t</w:t>
      </w:r>
      <w:r w:rsidR="00C61DC3" w:rsidRPr="0018386D">
        <w:t>he Ministry of Business, Innovation and Employment</w:t>
      </w:r>
      <w:r w:rsidR="00072F71" w:rsidRPr="0018386D">
        <w:t xml:space="preserve"> had not issued its</w:t>
      </w:r>
      <w:r w:rsidR="00C61DC3" w:rsidRPr="0018386D">
        <w:t xml:space="preserve"> decision following feedback on the licen</w:t>
      </w:r>
      <w:r w:rsidR="00072F71" w:rsidRPr="0018386D">
        <w:t>s</w:t>
      </w:r>
      <w:r w:rsidR="00C61DC3" w:rsidRPr="0018386D">
        <w:t xml:space="preserve">ing regime consultation for assurance providers. </w:t>
      </w:r>
      <w:r w:rsidR="00E961D2" w:rsidRPr="0018386D">
        <w:t>We</w:t>
      </w:r>
      <w:r w:rsidR="00C61DC3" w:rsidRPr="0018386D">
        <w:t xml:space="preserve"> recommend </w:t>
      </w:r>
      <w:r w:rsidR="0030513F" w:rsidRPr="0018386D">
        <w:t xml:space="preserve">that </w:t>
      </w:r>
      <w:r w:rsidR="00C61DC3" w:rsidRPr="0018386D">
        <w:t>organisations regularly review developments in this area.</w:t>
      </w:r>
      <w:r w:rsidR="000751EB" w:rsidRPr="0018386D">
        <w:t xml:space="preserve"> </w:t>
      </w:r>
      <w:r w:rsidR="0030513F" w:rsidRPr="0018386D">
        <w:t>See</w:t>
      </w:r>
      <w:r w:rsidR="00D47882" w:rsidRPr="0018386D">
        <w:t xml:space="preserve"> the </w:t>
      </w:r>
      <w:r w:rsidR="00FD3221" w:rsidRPr="0018386D">
        <w:t xml:space="preserve">Ministry of Business, Innovation and Employment’s </w:t>
      </w:r>
      <w:hyperlink r:id="rId78" w:tgtFrame="_blank" w:history="1">
        <w:r w:rsidR="00C61DC3" w:rsidRPr="0018386D">
          <w:rPr>
            <w:rStyle w:val="Hyperlink"/>
            <w:i/>
          </w:rPr>
          <w:t>Assurance over climate-related disclosures: occupational regulation and expanding the scope of assurance</w:t>
        </w:r>
        <w:r w:rsidR="00C61DC3" w:rsidRPr="0018386D">
          <w:rPr>
            <w:rStyle w:val="Hyperlink"/>
            <w:i/>
            <w:iCs/>
          </w:rPr>
          <w:t>.</w:t>
        </w:r>
      </w:hyperlink>
    </w:p>
    <w:p w14:paraId="7ED012D3" w14:textId="1AA86D06" w:rsidR="004265A6" w:rsidRPr="0018386D" w:rsidRDefault="0024530D" w:rsidP="00DD3106">
      <w:pPr>
        <w:pStyle w:val="BodyText"/>
      </w:pPr>
      <w:r w:rsidRPr="0018386D">
        <w:t>W</w:t>
      </w:r>
      <w:r w:rsidR="00C61DC3" w:rsidRPr="0018386D">
        <w:t xml:space="preserve">e also recommend </w:t>
      </w:r>
      <w:r w:rsidRPr="0018386D">
        <w:t xml:space="preserve">that </w:t>
      </w:r>
      <w:r w:rsidR="00C61DC3" w:rsidRPr="0018386D">
        <w:t>organisations covered by the CRD monitor developments of the XRB</w:t>
      </w:r>
      <w:r w:rsidRPr="0018386D">
        <w:t>,</w:t>
      </w:r>
      <w:r w:rsidR="00C61DC3" w:rsidRPr="0018386D">
        <w:t xml:space="preserve"> following its consultation on </w:t>
      </w:r>
      <w:hyperlink r:id="rId79" w:history="1">
        <w:r w:rsidR="007C440F" w:rsidRPr="0018386D">
          <w:rPr>
            <w:rStyle w:val="Hyperlink"/>
          </w:rPr>
          <w:t>a</w:t>
        </w:r>
        <w:r w:rsidR="00C61DC3" w:rsidRPr="0018386D">
          <w:rPr>
            <w:rStyle w:val="Hyperlink"/>
          </w:rPr>
          <w:t>ssurance of GHG emissions disclosures</w:t>
        </w:r>
      </w:hyperlink>
      <w:r w:rsidR="007C440F" w:rsidRPr="0018386D">
        <w:t>.</w:t>
      </w:r>
    </w:p>
    <w:p w14:paraId="277037AA" w14:textId="7AC8A788" w:rsidR="000013C2" w:rsidRPr="0018386D" w:rsidRDefault="000013C2" w:rsidP="00DD3106">
      <w:pPr>
        <w:pStyle w:val="BodyText"/>
      </w:pPr>
      <w:r w:rsidRPr="0018386D">
        <w:br w:type="page"/>
      </w:r>
    </w:p>
    <w:p w14:paraId="65091368" w14:textId="5E4C128B" w:rsidR="00321918" w:rsidRPr="0018386D" w:rsidRDefault="00321918" w:rsidP="00DD3106">
      <w:pPr>
        <w:pStyle w:val="Heading1"/>
        <w:numPr>
          <w:ilvl w:val="0"/>
          <w:numId w:val="8"/>
        </w:numPr>
      </w:pPr>
      <w:bookmarkStart w:id="117" w:name="_Fuel_emission_factors"/>
      <w:bookmarkStart w:id="118" w:name="_Toc140048889"/>
      <w:bookmarkEnd w:id="117"/>
      <w:r w:rsidRPr="0018386D">
        <w:lastRenderedPageBreak/>
        <w:t>Fuel emission factors</w:t>
      </w:r>
      <w:bookmarkEnd w:id="113"/>
      <w:bookmarkEnd w:id="114"/>
      <w:bookmarkEnd w:id="115"/>
      <w:bookmarkEnd w:id="118"/>
    </w:p>
    <w:p w14:paraId="54200AC3" w14:textId="14038970" w:rsidR="00817D03" w:rsidRPr="0018386D" w:rsidRDefault="00817D03" w:rsidP="00DD3106">
      <w:pPr>
        <w:pStyle w:val="BodyText"/>
      </w:pPr>
      <w:r w:rsidRPr="0018386D">
        <w:t xml:space="preserve">Fuel can be categorised </w:t>
      </w:r>
      <w:r w:rsidR="00500CFC" w:rsidRPr="0018386D">
        <w:t>by its end-use, i</w:t>
      </w:r>
      <w:r w:rsidR="00BB0DC9" w:rsidRPr="0018386D">
        <w:t>.</w:t>
      </w:r>
      <w:r w:rsidR="007C0168" w:rsidRPr="0018386D">
        <w:t>e</w:t>
      </w:r>
      <w:r w:rsidR="00BB0DC9" w:rsidRPr="0018386D">
        <w:t>.</w:t>
      </w:r>
      <w:r w:rsidR="00500CFC" w:rsidRPr="0018386D">
        <w:t>, either</w:t>
      </w:r>
      <w:r w:rsidRPr="0018386D">
        <w:t xml:space="preserve"> stationary combustion or transport. This section also includes biofuels and the transmission and distribution losses for reticulated natural gas. </w:t>
      </w:r>
    </w:p>
    <w:p w14:paraId="15DDF6FA" w14:textId="60DD25C1" w:rsidR="00E813CC" w:rsidRPr="0018386D" w:rsidRDefault="00E813CC" w:rsidP="00DD3106">
      <w:pPr>
        <w:pStyle w:val="BodyText"/>
      </w:pPr>
      <w:r w:rsidRPr="0018386D">
        <w:t xml:space="preserve">In line with the reporting requirements of </w:t>
      </w:r>
      <w:hyperlink r:id="rId80">
        <w:r w:rsidR="2B763DB0" w:rsidRPr="0018386D">
          <w:rPr>
            <w:rStyle w:val="Hyperlink"/>
          </w:rPr>
          <w:t>ISO 14064-1</w:t>
        </w:r>
        <w:r w:rsidR="2FDBA7CE" w:rsidRPr="0018386D">
          <w:rPr>
            <w:rStyle w:val="Hyperlink"/>
          </w:rPr>
          <w:t>:2018</w:t>
        </w:r>
      </w:hyperlink>
      <w:r w:rsidR="003634E1" w:rsidRPr="0018386D">
        <w:rPr>
          <w:rStyle w:val="Hyperlink"/>
        </w:rPr>
        <w:t xml:space="preserve"> </w:t>
      </w:r>
      <w:r w:rsidRPr="0018386D">
        <w:t xml:space="preserve">and </w:t>
      </w:r>
      <w:r w:rsidR="00CC5B26" w:rsidRPr="0018386D">
        <w:t>t</w:t>
      </w:r>
      <w:r w:rsidRPr="0018386D">
        <w:t>he</w:t>
      </w:r>
      <w:r w:rsidRPr="0018386D">
        <w:rPr>
          <w:i/>
        </w:rPr>
        <w:t xml:space="preserve"> </w:t>
      </w:r>
      <w:hyperlink r:id="rId81">
        <w:r w:rsidR="2B763DB0" w:rsidRPr="0018386D">
          <w:rPr>
            <w:rStyle w:val="Hyperlink"/>
          </w:rPr>
          <w:t>GHG Protocol</w:t>
        </w:r>
      </w:hyperlink>
      <w:r w:rsidRPr="0018386D">
        <w:t xml:space="preserve">, </w:t>
      </w:r>
      <w:r w:rsidR="00D34AC3" w:rsidRPr="0018386D">
        <w:t xml:space="preserve">we provide </w:t>
      </w:r>
      <w:r w:rsidRPr="0018386D">
        <w:t xml:space="preserve">emission factors for direct (Scope 1) sources to allow </w:t>
      </w:r>
      <w:r w:rsidR="008F43BF" w:rsidRPr="0018386D">
        <w:t>separate</w:t>
      </w:r>
      <w:r w:rsidRPr="0018386D">
        <w:t xml:space="preserve"> </w:t>
      </w:r>
      <w:r w:rsidR="4A5AC3F6" w:rsidRPr="0018386D">
        <w:t xml:space="preserve">estimation of </w:t>
      </w:r>
      <w:r w:rsidR="00C2252B" w:rsidRPr="0018386D">
        <w:t>carbon dioxide</w:t>
      </w:r>
      <w:r w:rsidRPr="0018386D">
        <w:t xml:space="preserve">, </w:t>
      </w:r>
      <w:r w:rsidR="00C2252B" w:rsidRPr="0018386D">
        <w:t>methane and nitrous oxide</w:t>
      </w:r>
      <w:r w:rsidRPr="0018386D">
        <w:t xml:space="preserve"> </w:t>
      </w:r>
      <w:r w:rsidR="28D2D1C6" w:rsidRPr="0018386D">
        <w:t xml:space="preserve">emissions </w:t>
      </w:r>
      <w:r w:rsidR="008F43BF" w:rsidRPr="0018386D">
        <w:t>calculations</w:t>
      </w:r>
      <w:r w:rsidRPr="0018386D">
        <w:t xml:space="preserve">. </w:t>
      </w:r>
    </w:p>
    <w:p w14:paraId="44880DBC" w14:textId="61B0276A" w:rsidR="00DF357B" w:rsidRPr="0018386D" w:rsidRDefault="00DF357B" w:rsidP="00DD3106">
      <w:pPr>
        <w:pStyle w:val="Heading2"/>
        <w:numPr>
          <w:ilvl w:val="1"/>
          <w:numId w:val="8"/>
        </w:numPr>
      </w:pPr>
      <w:bookmarkStart w:id="119" w:name="_Toc137807627"/>
      <w:bookmarkStart w:id="120" w:name="_Toc140048890"/>
      <w:bookmarkEnd w:id="119"/>
      <w:r w:rsidRPr="0018386D">
        <w:t>Overview of changes since previous</w:t>
      </w:r>
      <w:r w:rsidR="00A86FFC" w:rsidRPr="0018386D">
        <w:t> </w:t>
      </w:r>
      <w:r w:rsidRPr="0018386D">
        <w:t>update</w:t>
      </w:r>
      <w:bookmarkEnd w:id="120"/>
      <w:r w:rsidRPr="0018386D">
        <w:t xml:space="preserve"> </w:t>
      </w:r>
    </w:p>
    <w:p w14:paraId="36E05557" w14:textId="25BF48F6" w:rsidR="00B773AF" w:rsidRPr="0018386D" w:rsidRDefault="00D7676A" w:rsidP="00DD3106">
      <w:pPr>
        <w:pStyle w:val="BodyText"/>
        <w:rPr>
          <w:rFonts w:eastAsia="Calibri" w:cs="Calibri"/>
        </w:rPr>
      </w:pPr>
      <w:r w:rsidRPr="0018386D">
        <w:t>T</w:t>
      </w:r>
      <w:r w:rsidR="001107C4" w:rsidRPr="0018386D">
        <w:t xml:space="preserve">he fuel emissions factors are based on data from </w:t>
      </w:r>
      <w:hyperlink r:id="rId82" w:history="1">
        <w:r w:rsidR="00E058D5" w:rsidRPr="0018386D">
          <w:rPr>
            <w:rStyle w:val="Hyperlink"/>
            <w:i/>
          </w:rPr>
          <w:t>New Zealand</w:t>
        </w:r>
        <w:r w:rsidR="00892CEB" w:rsidRPr="0018386D">
          <w:rPr>
            <w:rStyle w:val="Hyperlink"/>
            <w:i/>
          </w:rPr>
          <w:t>’s</w:t>
        </w:r>
        <w:r w:rsidR="00E058D5" w:rsidRPr="0018386D">
          <w:rPr>
            <w:rStyle w:val="Hyperlink"/>
            <w:i/>
          </w:rPr>
          <w:t xml:space="preserve"> Greenhouse Gas Inventory 1990</w:t>
        </w:r>
        <w:r w:rsidR="00892CEB" w:rsidRPr="0018386D">
          <w:rPr>
            <w:rStyle w:val="Hyperlink"/>
            <w:i/>
          </w:rPr>
          <w:t>–</w:t>
        </w:r>
        <w:r w:rsidR="00E058D5" w:rsidRPr="0018386D">
          <w:rPr>
            <w:rStyle w:val="Hyperlink"/>
            <w:i/>
          </w:rPr>
          <w:t>2021</w:t>
        </w:r>
        <w:r w:rsidR="00E058D5" w:rsidRPr="0018386D">
          <w:t>.</w:t>
        </w:r>
      </w:hyperlink>
      <w:r w:rsidR="00E058D5" w:rsidRPr="0018386D">
        <w:rPr>
          <w:rFonts w:eastAsia="Calibri" w:cs="Calibri"/>
          <w:i/>
          <w:iCs/>
        </w:rPr>
        <w:t xml:space="preserve"> </w:t>
      </w:r>
      <w:r w:rsidR="004F05AB" w:rsidRPr="0018386D">
        <w:rPr>
          <w:rFonts w:eastAsia="Calibri" w:cs="Calibri"/>
        </w:rPr>
        <w:t>With the change to AR5 values</w:t>
      </w:r>
      <w:r w:rsidR="002C36A7" w:rsidRPr="0018386D">
        <w:rPr>
          <w:rFonts w:eastAsia="Calibri" w:cs="Calibri"/>
        </w:rPr>
        <w:t>,</w:t>
      </w:r>
      <w:r w:rsidR="004F05AB" w:rsidRPr="0018386D">
        <w:rPr>
          <w:rFonts w:eastAsia="Calibri" w:cs="Calibri"/>
        </w:rPr>
        <w:t xml:space="preserve"> all fuels have changed since the previous update</w:t>
      </w:r>
      <w:r w:rsidR="0039481D" w:rsidRPr="0018386D">
        <w:rPr>
          <w:rFonts w:eastAsia="Calibri" w:cs="Calibri"/>
        </w:rPr>
        <w:t xml:space="preserve">, </w:t>
      </w:r>
      <w:r w:rsidR="002C36A7" w:rsidRPr="0018386D">
        <w:rPr>
          <w:rFonts w:eastAsia="Calibri" w:cs="Calibri"/>
        </w:rPr>
        <w:t>but</w:t>
      </w:r>
      <w:r w:rsidR="0039481D" w:rsidRPr="0018386D">
        <w:rPr>
          <w:rFonts w:eastAsia="Calibri" w:cs="Calibri"/>
        </w:rPr>
        <w:t xml:space="preserve"> these changes are not </w:t>
      </w:r>
      <w:r w:rsidR="00507D6F" w:rsidRPr="0018386D">
        <w:rPr>
          <w:rFonts w:eastAsia="Calibri" w:cs="Calibri"/>
        </w:rPr>
        <w:t>large</w:t>
      </w:r>
      <w:r w:rsidR="00B773AF" w:rsidRPr="0018386D">
        <w:rPr>
          <w:rFonts w:eastAsia="Calibri" w:cs="Calibri"/>
        </w:rPr>
        <w:t>. Fossil-based fuels changed</w:t>
      </w:r>
      <w:r w:rsidR="004F567D" w:rsidRPr="0018386D">
        <w:rPr>
          <w:rFonts w:eastAsia="Calibri" w:cs="Calibri"/>
        </w:rPr>
        <w:t xml:space="preserve"> between</w:t>
      </w:r>
      <w:r w:rsidR="00221DE2" w:rsidRPr="0018386D">
        <w:rPr>
          <w:rFonts w:eastAsia="Calibri" w:cs="Calibri"/>
        </w:rPr>
        <w:t xml:space="preserve"> </w:t>
      </w:r>
      <w:r w:rsidR="004F567D" w:rsidRPr="0018386D">
        <w:rPr>
          <w:rFonts w:eastAsia="Calibri" w:cs="Calibri"/>
        </w:rPr>
        <w:t>-2</w:t>
      </w:r>
      <w:r w:rsidR="00BA5166" w:rsidRPr="0018386D">
        <w:rPr>
          <w:rFonts w:eastAsia="Calibri" w:cs="Calibri"/>
        </w:rPr>
        <w:t>.5</w:t>
      </w:r>
      <w:r w:rsidR="004F567D" w:rsidRPr="0018386D">
        <w:rPr>
          <w:rFonts w:eastAsia="Calibri" w:cs="Calibri"/>
        </w:rPr>
        <w:t xml:space="preserve"> and +</w:t>
      </w:r>
      <w:r w:rsidR="00BA5166" w:rsidRPr="0018386D">
        <w:rPr>
          <w:rFonts w:eastAsia="Calibri" w:cs="Calibri"/>
        </w:rPr>
        <w:t>1.5</w:t>
      </w:r>
      <w:r w:rsidR="00221DE2" w:rsidRPr="0018386D">
        <w:rPr>
          <w:rFonts w:eastAsia="Calibri" w:cs="Calibri"/>
        </w:rPr>
        <w:t xml:space="preserve"> per cent</w:t>
      </w:r>
      <w:r w:rsidR="00B773AF" w:rsidRPr="0018386D">
        <w:rPr>
          <w:rFonts w:eastAsia="Calibri" w:cs="Calibri"/>
        </w:rPr>
        <w:t>.</w:t>
      </w:r>
    </w:p>
    <w:p w14:paraId="01D8068D" w14:textId="02C37EE1" w:rsidR="00B1743E" w:rsidRPr="0018386D" w:rsidRDefault="00B1743E" w:rsidP="00DD3106">
      <w:pPr>
        <w:pStyle w:val="BodyText"/>
      </w:pPr>
      <w:r w:rsidRPr="0018386D">
        <w:t>Biogenic CO</w:t>
      </w:r>
      <w:r w:rsidRPr="0018386D">
        <w:rPr>
          <w:vertAlign w:val="subscript"/>
        </w:rPr>
        <w:t>2</w:t>
      </w:r>
      <w:r w:rsidRPr="0018386D">
        <w:t xml:space="preserve"> emissions for biofuels and biomass are now reported under the new column heading Biogenic CO</w:t>
      </w:r>
      <w:r w:rsidRPr="0018386D">
        <w:rPr>
          <w:vertAlign w:val="subscript"/>
        </w:rPr>
        <w:t>2</w:t>
      </w:r>
      <w:r w:rsidRPr="0018386D">
        <w:t xml:space="preserve"> </w:t>
      </w:r>
      <w:r w:rsidR="00F167BF" w:rsidRPr="0018386D">
        <w:t>(</w:t>
      </w:r>
      <w:r w:rsidRPr="0018386D">
        <w:t>previously under CO</w:t>
      </w:r>
      <w:r w:rsidRPr="0018386D">
        <w:rPr>
          <w:vertAlign w:val="subscript"/>
        </w:rPr>
        <w:t>2</w:t>
      </w:r>
      <w:r w:rsidR="00F167BF" w:rsidRPr="0018386D">
        <w:t>).</w:t>
      </w:r>
    </w:p>
    <w:p w14:paraId="749636A4" w14:textId="5B04C27E" w:rsidR="003E4C67" w:rsidRPr="0018386D" w:rsidRDefault="004A4AFC" w:rsidP="00DD3106">
      <w:pPr>
        <w:pStyle w:val="BodyText"/>
      </w:pPr>
      <w:r w:rsidRPr="0018386D">
        <w:rPr>
          <w:b/>
          <w:bCs/>
        </w:rPr>
        <w:t>Bioethanol</w:t>
      </w:r>
      <w:r w:rsidRPr="0018386D">
        <w:t xml:space="preserve"> Increased </w:t>
      </w:r>
      <w:r w:rsidR="008027AD" w:rsidRPr="0018386D">
        <w:t xml:space="preserve">because the </w:t>
      </w:r>
      <w:r w:rsidR="00B27265" w:rsidRPr="0018386D">
        <w:rPr>
          <w:i/>
        </w:rPr>
        <w:t xml:space="preserve">Guidance </w:t>
      </w:r>
      <w:r w:rsidR="008027AD" w:rsidRPr="0018386D">
        <w:t>2022 used the</w:t>
      </w:r>
      <w:r w:rsidR="00BC1ACB" w:rsidRPr="0018386D">
        <w:t xml:space="preserve"> T CH</w:t>
      </w:r>
      <w:r w:rsidR="00BC1ACB" w:rsidRPr="0018386D">
        <w:rPr>
          <w:vertAlign w:val="subscript"/>
        </w:rPr>
        <w:t>4</w:t>
      </w:r>
      <w:r w:rsidR="00BC1ACB" w:rsidRPr="0018386D">
        <w:t>/TJ and T N</w:t>
      </w:r>
      <w:r w:rsidR="00BC1ACB" w:rsidRPr="0018386D">
        <w:rPr>
          <w:vertAlign w:val="subscript"/>
        </w:rPr>
        <w:t>2</w:t>
      </w:r>
      <w:r w:rsidR="00BC1ACB" w:rsidRPr="0018386D">
        <w:t xml:space="preserve">O/TJ emission factors </w:t>
      </w:r>
      <w:r w:rsidR="008027AD" w:rsidRPr="0018386D">
        <w:t xml:space="preserve">for </w:t>
      </w:r>
      <w:r w:rsidR="00E1117B" w:rsidRPr="0018386D">
        <w:t>f</w:t>
      </w:r>
      <w:r w:rsidR="00E5700A" w:rsidRPr="0018386D">
        <w:t xml:space="preserve">uel </w:t>
      </w:r>
      <w:r w:rsidR="00E1117B" w:rsidRPr="0018386D">
        <w:t>o</w:t>
      </w:r>
      <w:r w:rsidR="0089368F" w:rsidRPr="0018386D">
        <w:t>il</w:t>
      </w:r>
      <w:r w:rsidR="00BC1ACB" w:rsidRPr="0018386D">
        <w:t>,</w:t>
      </w:r>
      <w:r w:rsidR="0089368F" w:rsidRPr="0018386D">
        <w:t xml:space="preserve"> instead of </w:t>
      </w:r>
      <w:r w:rsidR="00E1117B" w:rsidRPr="0018386D">
        <w:t>b</w:t>
      </w:r>
      <w:r w:rsidR="0089368F" w:rsidRPr="0018386D">
        <w:t>ioethanol.</w:t>
      </w:r>
      <w:r w:rsidR="00BC1ACB" w:rsidRPr="0018386D">
        <w:t xml:space="preserve"> </w:t>
      </w:r>
      <w:r w:rsidR="00AC6745" w:rsidRPr="0018386D">
        <w:t>As a result, t</w:t>
      </w:r>
      <w:r w:rsidR="000A36CF" w:rsidRPr="0018386D">
        <w:t>he CH</w:t>
      </w:r>
      <w:r w:rsidR="000A36CF" w:rsidRPr="0018386D">
        <w:rPr>
          <w:vertAlign w:val="subscript"/>
        </w:rPr>
        <w:t>4</w:t>
      </w:r>
      <w:r w:rsidR="000A36CF" w:rsidRPr="0018386D">
        <w:t xml:space="preserve"> factor </w:t>
      </w:r>
      <w:r w:rsidR="005B1754" w:rsidRPr="0018386D">
        <w:t>is</w:t>
      </w:r>
      <w:r w:rsidR="000A36CF" w:rsidRPr="0018386D">
        <w:t xml:space="preserve"> 6.3x higher </w:t>
      </w:r>
      <w:r w:rsidR="005B1754" w:rsidRPr="0018386D">
        <w:t>and the N</w:t>
      </w:r>
      <w:r w:rsidR="005B1754" w:rsidRPr="0018386D">
        <w:rPr>
          <w:vertAlign w:val="subscript"/>
        </w:rPr>
        <w:t>2</w:t>
      </w:r>
      <w:r w:rsidR="005B1754" w:rsidRPr="0018386D">
        <w:t>O factor is 13x higher.</w:t>
      </w:r>
    </w:p>
    <w:p w14:paraId="2F361909" w14:textId="67F864F1" w:rsidR="005B1754" w:rsidRPr="0018386D" w:rsidRDefault="005B1754" w:rsidP="00DD3106">
      <w:pPr>
        <w:pStyle w:val="BodyText"/>
      </w:pPr>
      <w:r w:rsidRPr="0018386D">
        <w:rPr>
          <w:b/>
          <w:bCs/>
        </w:rPr>
        <w:t>Biodiesel</w:t>
      </w:r>
      <w:r w:rsidR="0075318F" w:rsidRPr="0018386D">
        <w:rPr>
          <w:b/>
          <w:bCs/>
        </w:rPr>
        <w:t xml:space="preserve"> </w:t>
      </w:r>
      <w:r w:rsidRPr="0018386D">
        <w:t xml:space="preserve">Increased because the </w:t>
      </w:r>
      <w:r w:rsidR="00B27265" w:rsidRPr="0018386D">
        <w:rPr>
          <w:i/>
        </w:rPr>
        <w:t xml:space="preserve">Guidance </w:t>
      </w:r>
      <w:r w:rsidRPr="0018386D">
        <w:t>2022 used the T CH</w:t>
      </w:r>
      <w:r w:rsidRPr="0018386D">
        <w:rPr>
          <w:vertAlign w:val="subscript"/>
        </w:rPr>
        <w:t>4</w:t>
      </w:r>
      <w:r w:rsidRPr="0018386D">
        <w:t>/TJ and T N</w:t>
      </w:r>
      <w:r w:rsidRPr="0018386D">
        <w:rPr>
          <w:vertAlign w:val="subscript"/>
        </w:rPr>
        <w:t>2</w:t>
      </w:r>
      <w:r w:rsidRPr="0018386D">
        <w:t xml:space="preserve">O/TJ emission factors for fuel oil, instead of bioethanol. </w:t>
      </w:r>
      <w:r w:rsidR="00AC6745" w:rsidRPr="0018386D">
        <w:t>As a result, t</w:t>
      </w:r>
      <w:r w:rsidRPr="0018386D">
        <w:t>he CH</w:t>
      </w:r>
      <w:r w:rsidRPr="0018386D">
        <w:rPr>
          <w:vertAlign w:val="subscript"/>
        </w:rPr>
        <w:t>4</w:t>
      </w:r>
      <w:r w:rsidRPr="0018386D">
        <w:t xml:space="preserve"> factor is 6.3x higher and the N</w:t>
      </w:r>
      <w:r w:rsidRPr="0018386D">
        <w:rPr>
          <w:vertAlign w:val="subscript"/>
        </w:rPr>
        <w:t>2</w:t>
      </w:r>
      <w:r w:rsidRPr="0018386D">
        <w:t xml:space="preserve">O factor is </w:t>
      </w:r>
      <w:r w:rsidR="0075318F" w:rsidRPr="0018386D">
        <w:t>6.5</w:t>
      </w:r>
      <w:r w:rsidRPr="0018386D">
        <w:t>x higher.</w:t>
      </w:r>
    </w:p>
    <w:p w14:paraId="5C0E898D" w14:textId="042E6BC0" w:rsidR="00AB7C46" w:rsidRPr="0018386D" w:rsidRDefault="00D058E3" w:rsidP="00DD3106">
      <w:pPr>
        <w:pStyle w:val="BodyText"/>
      </w:pPr>
      <w:r w:rsidRPr="0018386D">
        <w:rPr>
          <w:b/>
          <w:bCs/>
        </w:rPr>
        <w:t xml:space="preserve">Wood – Residential </w:t>
      </w:r>
      <w:r w:rsidRPr="0018386D">
        <w:t xml:space="preserve">Increased by </w:t>
      </w:r>
      <w:r w:rsidR="000F7C4F" w:rsidRPr="0018386D">
        <w:t>9</w:t>
      </w:r>
      <w:r w:rsidR="001E54E9" w:rsidRPr="0018386D">
        <w:t xml:space="preserve"> per cent</w:t>
      </w:r>
      <w:r w:rsidRPr="0018386D">
        <w:t xml:space="preserve">, because in the </w:t>
      </w:r>
      <w:r w:rsidR="00B27265" w:rsidRPr="0018386D">
        <w:rPr>
          <w:i/>
        </w:rPr>
        <w:t xml:space="preserve">Guidance </w:t>
      </w:r>
      <w:r w:rsidRPr="0018386D">
        <w:t xml:space="preserve">2022 the </w:t>
      </w:r>
      <w:r w:rsidR="00A31CAA" w:rsidRPr="0018386D">
        <w:t>T CH</w:t>
      </w:r>
      <w:r w:rsidR="00A31CAA" w:rsidRPr="0018386D">
        <w:rPr>
          <w:vertAlign w:val="subscript"/>
        </w:rPr>
        <w:t>4</w:t>
      </w:r>
      <w:r w:rsidR="00A31CAA" w:rsidRPr="0018386D">
        <w:t>/TJ emission factor</w:t>
      </w:r>
      <w:r w:rsidR="000F7C4F" w:rsidRPr="0018386D">
        <w:t xml:space="preserve"> was</w:t>
      </w:r>
      <w:r w:rsidR="00A31CAA" w:rsidRPr="0018386D">
        <w:t xml:space="preserve"> </w:t>
      </w:r>
      <w:r w:rsidR="00DA05F7" w:rsidRPr="0018386D">
        <w:t>incorrect by</w:t>
      </w:r>
      <w:r w:rsidR="00A31CAA" w:rsidRPr="0018386D">
        <w:t xml:space="preserve"> </w:t>
      </w:r>
      <w:r w:rsidR="000F7C4F" w:rsidRPr="0018386D">
        <w:t>a factor of 10</w:t>
      </w:r>
      <w:r w:rsidR="00AD2AC9" w:rsidRPr="0018386D">
        <w:t xml:space="preserve">. </w:t>
      </w:r>
      <w:r w:rsidR="00642628" w:rsidRPr="0018386D">
        <w:t>This is not likely to be a commonly reported emissions source for organisational inventories</w:t>
      </w:r>
      <w:r w:rsidR="00AD2AC9" w:rsidRPr="0018386D">
        <w:t>.</w:t>
      </w:r>
    </w:p>
    <w:p w14:paraId="65091380" w14:textId="6C215F81" w:rsidR="00BC2EEA" w:rsidRPr="0018386D" w:rsidRDefault="00BC2EEA" w:rsidP="00DD3106">
      <w:pPr>
        <w:pStyle w:val="Heading2"/>
        <w:numPr>
          <w:ilvl w:val="1"/>
          <w:numId w:val="8"/>
        </w:numPr>
      </w:pPr>
      <w:bookmarkStart w:id="121" w:name="_Toc140048891"/>
      <w:bookmarkStart w:id="122" w:name="_Toc532904855"/>
      <w:bookmarkStart w:id="123" w:name="_Toc600568"/>
      <w:r w:rsidRPr="0018386D">
        <w:t>Stationary combustion fuel</w:t>
      </w:r>
      <w:bookmarkEnd w:id="121"/>
      <w:r w:rsidRPr="0018386D">
        <w:t xml:space="preserve"> </w:t>
      </w:r>
      <w:bookmarkEnd w:id="122"/>
      <w:bookmarkEnd w:id="123"/>
    </w:p>
    <w:p w14:paraId="65091381" w14:textId="6155C265" w:rsidR="00564C0D" w:rsidRPr="0018386D" w:rsidRDefault="00564C0D" w:rsidP="00DD3106">
      <w:pPr>
        <w:pStyle w:val="BodyText"/>
      </w:pPr>
      <w:bookmarkStart w:id="124" w:name="_Hlk532891054"/>
      <w:r w:rsidRPr="0018386D">
        <w:t>Stationary combustion fuels are burnt in a fixed unit or asset</w:t>
      </w:r>
      <w:r w:rsidR="00B20C46" w:rsidRPr="0018386D">
        <w:t>, such as a boiler</w:t>
      </w:r>
      <w:r w:rsidRPr="0018386D">
        <w:t xml:space="preserve">. </w:t>
      </w:r>
      <w:bookmarkEnd w:id="124"/>
      <w:r w:rsidR="00A0565D" w:rsidRPr="0018386D">
        <w:t>Direct (</w:t>
      </w:r>
      <w:r w:rsidR="00BC2EEA" w:rsidRPr="0018386D">
        <w:t>Scope 1</w:t>
      </w:r>
      <w:r w:rsidR="00A0565D" w:rsidRPr="0018386D">
        <w:t>)</w:t>
      </w:r>
      <w:r w:rsidR="00BC2EEA" w:rsidRPr="0018386D">
        <w:t xml:space="preserve"> emissions occur from the combustion of fuels </w:t>
      </w:r>
      <w:r w:rsidR="00813C8F" w:rsidRPr="0018386D">
        <w:t>within equipment</w:t>
      </w:r>
      <w:r w:rsidR="00BC2EEA" w:rsidRPr="0018386D">
        <w:t xml:space="preserve"> owned or controlled by the</w:t>
      </w:r>
      <w:r w:rsidR="000F53F6" w:rsidRPr="0018386D">
        <w:t xml:space="preserve"> reporting organisation. </w:t>
      </w:r>
      <w:r w:rsidR="0041480A" w:rsidRPr="0018386D">
        <w:t xml:space="preserve">If the organisation does not own or control the assets where combustion takes </w:t>
      </w:r>
      <w:r w:rsidR="007745C8" w:rsidRPr="0018386D">
        <w:t>place,</w:t>
      </w:r>
      <w:r w:rsidR="0041480A" w:rsidRPr="0018386D">
        <w:t xml:space="preserve"> then these emissions are </w:t>
      </w:r>
      <w:r w:rsidR="00E20896" w:rsidRPr="0018386D">
        <w:t>indirect (</w:t>
      </w:r>
      <w:r w:rsidR="00B20C46" w:rsidRPr="0018386D">
        <w:t xml:space="preserve">Scope </w:t>
      </w:r>
      <w:r w:rsidR="0041480A" w:rsidRPr="0018386D">
        <w:t>3</w:t>
      </w:r>
      <w:r w:rsidR="00E20896" w:rsidRPr="0018386D">
        <w:t>) emissions</w:t>
      </w:r>
      <w:r w:rsidR="00A87561" w:rsidRPr="0018386D">
        <w:t>. For more information see</w:t>
      </w:r>
      <w:r w:rsidR="0041480A" w:rsidRPr="0018386D">
        <w:t xml:space="preserve"> </w:t>
      </w:r>
      <w:hyperlink w:anchor="_How_emission_sources">
        <w:r w:rsidR="75AC2F70" w:rsidRPr="0018386D">
          <w:rPr>
            <w:rStyle w:val="Hyperlink"/>
          </w:rPr>
          <w:t>section</w:t>
        </w:r>
        <w:r w:rsidR="58006A33" w:rsidRPr="0018386D">
          <w:rPr>
            <w:rStyle w:val="Hyperlink"/>
          </w:rPr>
          <w:t xml:space="preserve"> 1.5.1</w:t>
        </w:r>
      </w:hyperlink>
      <w:r w:rsidR="75AC2F70" w:rsidRPr="0018386D">
        <w:t xml:space="preserve">. </w:t>
      </w:r>
    </w:p>
    <w:p w14:paraId="6FEB3E12" w14:textId="01E85041" w:rsidR="09D81A3A" w:rsidRPr="0018386D" w:rsidRDefault="00C7627E" w:rsidP="00DD3106">
      <w:pPr>
        <w:pStyle w:val="BodyText"/>
      </w:pPr>
      <w:hyperlink w:anchor="table3" w:history="1">
        <w:r w:rsidR="09D81A3A" w:rsidRPr="0018386D">
          <w:rPr>
            <w:rStyle w:val="Hyperlink"/>
          </w:rPr>
          <w:t>Table 3</w:t>
        </w:r>
      </w:hyperlink>
      <w:r w:rsidR="09D81A3A" w:rsidRPr="0018386D">
        <w:t xml:space="preserve"> contains emission factors for common fuels used for stationary combustion in New </w:t>
      </w:r>
      <w:r w:rsidR="09D81A3A" w:rsidRPr="0018386D">
        <w:rPr>
          <w:rStyle w:val="Hyperlink"/>
          <w:color w:val="auto"/>
        </w:rPr>
        <w:t>Zealand</w:t>
      </w:r>
      <w:r w:rsidR="09D81A3A" w:rsidRPr="0018386D">
        <w:t xml:space="preserve">. The Ministry of Business, Innovation and Employment (MBIE) provided the emission factors and supporting data. The same data were used in </w:t>
      </w:r>
      <w:hyperlink r:id="rId83" w:history="1">
        <w:r w:rsidR="09D81A3A" w:rsidRPr="0018386D">
          <w:rPr>
            <w:rStyle w:val="Hyperlink"/>
            <w:rFonts w:eastAsia="Calibri" w:cs="Calibri"/>
            <w:i/>
          </w:rPr>
          <w:t>New Zealand</w:t>
        </w:r>
        <w:r w:rsidR="00892CEB" w:rsidRPr="0018386D">
          <w:rPr>
            <w:rStyle w:val="Hyperlink"/>
            <w:rFonts w:eastAsia="Calibri" w:cs="Calibri"/>
            <w:i/>
          </w:rPr>
          <w:t>’s</w:t>
        </w:r>
        <w:r w:rsidR="09D81A3A" w:rsidRPr="0018386D">
          <w:rPr>
            <w:rStyle w:val="Hyperlink"/>
            <w:rFonts w:eastAsia="Calibri" w:cs="Calibri"/>
            <w:i/>
          </w:rPr>
          <w:t xml:space="preserve"> Greenhouse </w:t>
        </w:r>
        <w:r w:rsidR="09D81A3A" w:rsidRPr="0018386D">
          <w:rPr>
            <w:rStyle w:val="Hyperlink"/>
            <w:rFonts w:eastAsia="Calibri" w:cs="Calibri"/>
            <w:i/>
            <w:iCs/>
          </w:rPr>
          <w:t>Gas Inventory 1990</w:t>
        </w:r>
        <w:r w:rsidR="00975A43" w:rsidRPr="0018386D">
          <w:rPr>
            <w:rStyle w:val="Hyperlink"/>
            <w:rFonts w:eastAsia="Calibri" w:cs="Calibri"/>
            <w:i/>
            <w:iCs/>
          </w:rPr>
          <w:t>–</w:t>
        </w:r>
        <w:r w:rsidR="09D81A3A" w:rsidRPr="0018386D">
          <w:rPr>
            <w:rStyle w:val="Hyperlink"/>
            <w:rFonts w:eastAsia="Calibri" w:cs="Calibri"/>
            <w:i/>
            <w:iCs/>
          </w:rPr>
          <w:t>2021</w:t>
        </w:r>
      </w:hyperlink>
      <w:r w:rsidR="00892CEB" w:rsidRPr="0018386D">
        <w:t>.</w:t>
      </w:r>
    </w:p>
    <w:p w14:paraId="538C7FB7" w14:textId="358B9196" w:rsidR="00A45DC7" w:rsidRPr="0018386D" w:rsidRDefault="00A45DC7" w:rsidP="00DD3106">
      <w:pPr>
        <w:pStyle w:val="BodyText"/>
      </w:pPr>
      <w:r w:rsidRPr="0018386D">
        <w:t xml:space="preserve">Sectors for consumption statistics are based on </w:t>
      </w:r>
      <w:hyperlink r:id="rId84" w:history="1">
        <w:r w:rsidRPr="0018386D">
          <w:rPr>
            <w:rStyle w:val="Hyperlink"/>
          </w:rPr>
          <w:t>Australian and New Zealand Standard Industrial Classification (ANZSIC) codes</w:t>
        </w:r>
      </w:hyperlink>
      <w:r w:rsidRPr="0018386D">
        <w:t xml:space="preserve">. </w:t>
      </w:r>
    </w:p>
    <w:p w14:paraId="75335691" w14:textId="54FFB6FF" w:rsidR="00A6073F" w:rsidRPr="0018386D" w:rsidRDefault="00A6073F" w:rsidP="00DD3106">
      <w:pPr>
        <w:pStyle w:val="BodyText"/>
      </w:pPr>
      <w:r w:rsidRPr="0018386D">
        <w:lastRenderedPageBreak/>
        <w:t>Residential use emission factors are for fuel used primarily at residential properties.</w:t>
      </w:r>
      <w:r w:rsidR="00A2330A" w:rsidRPr="0018386D">
        <w:t xml:space="preserve"> </w:t>
      </w:r>
      <w:r w:rsidRPr="0018386D">
        <w:t>Commercial use is for fuels used at properties or sites where commercial activities take place</w:t>
      </w:r>
      <w:r w:rsidR="00567A34" w:rsidRPr="0018386D">
        <w:t>.</w:t>
      </w:r>
      <w:r w:rsidR="00B92EF3" w:rsidRPr="0018386D">
        <w:t xml:space="preserve"> </w:t>
      </w:r>
      <w:r w:rsidR="00567A34" w:rsidRPr="0018386D">
        <w:t>I</w:t>
      </w:r>
      <w:r w:rsidRPr="0018386D">
        <w:t xml:space="preserve">ndustrial use emission factors can be applied where combustion takes place at sites where </w:t>
      </w:r>
      <w:r w:rsidR="005D119C" w:rsidRPr="0018386D">
        <w:t xml:space="preserve">there are </w:t>
      </w:r>
      <w:r w:rsidRPr="0018386D">
        <w:t>industrial processes or within engines that support industrial activities.</w:t>
      </w:r>
    </w:p>
    <w:p w14:paraId="65091384" w14:textId="118FAEF9" w:rsidR="001D5C82" w:rsidRPr="0018386D" w:rsidRDefault="001D5C82" w:rsidP="00DD3106">
      <w:pPr>
        <w:pStyle w:val="Tableheading"/>
      </w:pPr>
      <w:bookmarkStart w:id="125" w:name="_Ref529879360"/>
      <w:bookmarkStart w:id="126" w:name="_Ref529526813"/>
      <w:bookmarkStart w:id="127" w:name="_Ref532307649"/>
      <w:bookmarkStart w:id="128" w:name="_Ref606746"/>
      <w:bookmarkStart w:id="129" w:name="table3"/>
      <w:bookmarkStart w:id="130" w:name="_Ref529877207"/>
      <w:bookmarkStart w:id="131" w:name="_Toc111536608"/>
      <w:bookmarkStart w:id="132" w:name="_Toc140048943"/>
      <w:r w:rsidRPr="0018386D">
        <w:t>Table</w:t>
      </w:r>
      <w:bookmarkEnd w:id="125"/>
      <w:r w:rsidRPr="0018386D">
        <w:t xml:space="preserve"> </w:t>
      </w:r>
      <w:bookmarkEnd w:id="126"/>
      <w:r w:rsidR="009C6F41" w:rsidRPr="0018386D">
        <w:fldChar w:fldCharType="begin"/>
      </w:r>
      <w:r w:rsidR="009C6F41" w:rsidRPr="0018386D">
        <w:instrText xml:space="preserve"> SEQ Table \* ARABIC </w:instrText>
      </w:r>
      <w:r w:rsidR="009C6F41" w:rsidRPr="0018386D">
        <w:fldChar w:fldCharType="separate"/>
      </w:r>
      <w:r w:rsidR="003E141C" w:rsidRPr="0018386D">
        <w:t>3</w:t>
      </w:r>
      <w:r w:rsidR="009C6F41" w:rsidRPr="0018386D">
        <w:fldChar w:fldCharType="end"/>
      </w:r>
      <w:bookmarkEnd w:id="127"/>
      <w:bookmarkEnd w:id="128"/>
      <w:bookmarkEnd w:id="129"/>
      <w:r w:rsidR="009C6F41" w:rsidRPr="0018386D">
        <w:t>:</w:t>
      </w:r>
      <w:r w:rsidR="009C6F41" w:rsidRPr="0018386D">
        <w:tab/>
      </w:r>
      <w:r w:rsidR="004411AD" w:rsidRPr="0018386D">
        <w:t>Emission factors for the stationary combustion of fuels</w:t>
      </w:r>
      <w:bookmarkEnd w:id="130"/>
      <w:bookmarkEnd w:id="131"/>
      <w:bookmarkEnd w:id="132"/>
      <w:r w:rsidRPr="0018386D">
        <w:t xml:space="preserve"> </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824"/>
        <w:gridCol w:w="563"/>
        <w:gridCol w:w="1264"/>
        <w:gridCol w:w="1124"/>
        <w:gridCol w:w="1264"/>
        <w:gridCol w:w="1203"/>
        <w:gridCol w:w="1263"/>
      </w:tblGrid>
      <w:tr w:rsidR="00FC2F04" w:rsidRPr="0018386D" w14:paraId="40F9A2DB" w14:textId="77777777" w:rsidTr="001C33D9">
        <w:trPr>
          <w:divId w:val="1990136145"/>
        </w:trPr>
        <w:tc>
          <w:tcPr>
            <w:tcW w:w="1824" w:type="dxa"/>
            <w:shd w:val="clear" w:color="auto" w:fill="1B556B" w:themeFill="text2"/>
            <w:noWrap/>
            <w:vAlign w:val="bottom"/>
            <w:hideMark/>
          </w:tcPr>
          <w:p w14:paraId="6739A660" w14:textId="3E3F7447" w:rsidR="008E2ED2" w:rsidRPr="0018386D" w:rsidRDefault="008E2ED2" w:rsidP="00DD3106">
            <w:pPr>
              <w:pStyle w:val="TableTextbold"/>
              <w:spacing w:before="40" w:after="40"/>
              <w:rPr>
                <w:rFonts w:cs="Calibri"/>
                <w:color w:val="FFFFFF" w:themeColor="background1"/>
                <w:szCs w:val="18"/>
              </w:rPr>
            </w:pPr>
            <w:bookmarkStart w:id="133" w:name="_1746366735"/>
            <w:bookmarkStart w:id="134" w:name="_1745997825"/>
            <w:bookmarkStart w:id="135" w:name="_1746254036"/>
            <w:bookmarkStart w:id="136" w:name="_1747051233"/>
            <w:bookmarkEnd w:id="133"/>
            <w:bookmarkEnd w:id="134"/>
            <w:bookmarkEnd w:id="135"/>
            <w:bookmarkEnd w:id="136"/>
            <w:r w:rsidRPr="0018386D">
              <w:rPr>
                <w:rFonts w:cs="Calibri"/>
                <w:color w:val="FFFFFF" w:themeColor="background1"/>
                <w:szCs w:val="18"/>
              </w:rPr>
              <w:t>Emission source</w:t>
            </w:r>
          </w:p>
        </w:tc>
        <w:tc>
          <w:tcPr>
            <w:tcW w:w="563" w:type="dxa"/>
            <w:shd w:val="clear" w:color="auto" w:fill="1B556B" w:themeFill="text2"/>
            <w:noWrap/>
            <w:vAlign w:val="bottom"/>
            <w:hideMark/>
          </w:tcPr>
          <w:p w14:paraId="29B099A0" w14:textId="77777777" w:rsidR="008E2ED2" w:rsidRPr="0018386D" w:rsidRDefault="008E2ED2" w:rsidP="00DD3106">
            <w:pPr>
              <w:pStyle w:val="TableTextbold"/>
              <w:spacing w:before="40" w:after="40"/>
              <w:rPr>
                <w:rFonts w:cs="Calibri"/>
                <w:color w:val="FFFFFF" w:themeColor="background1"/>
                <w:szCs w:val="18"/>
              </w:rPr>
            </w:pPr>
            <w:r w:rsidRPr="0018386D">
              <w:rPr>
                <w:rFonts w:cs="Calibri"/>
                <w:color w:val="FFFFFF" w:themeColor="background1"/>
                <w:szCs w:val="18"/>
              </w:rPr>
              <w:t>Unit</w:t>
            </w:r>
          </w:p>
        </w:tc>
        <w:tc>
          <w:tcPr>
            <w:tcW w:w="1264" w:type="dxa"/>
            <w:shd w:val="clear" w:color="auto" w:fill="1B556B" w:themeFill="text2"/>
            <w:noWrap/>
            <w:vAlign w:val="bottom"/>
            <w:hideMark/>
          </w:tcPr>
          <w:p w14:paraId="7702666A" w14:textId="77A1591B" w:rsidR="008E2ED2" w:rsidRPr="0018386D" w:rsidRDefault="008E2ED2" w:rsidP="00DD3106">
            <w:pPr>
              <w:pStyle w:val="TableTextbold"/>
              <w:spacing w:before="40" w:after="40"/>
              <w:rPr>
                <w:rFonts w:cs="Calibri"/>
                <w:color w:val="FFFFFF" w:themeColor="background1"/>
                <w:szCs w:val="18"/>
              </w:rPr>
            </w:pPr>
            <w:r w:rsidRPr="0018386D">
              <w:rPr>
                <w:rFonts w:cs="Calibri"/>
                <w:color w:val="FFFFFF" w:themeColor="background1"/>
                <w:szCs w:val="18"/>
              </w:rPr>
              <w:t>kg CO₂-e/unit</w:t>
            </w:r>
          </w:p>
        </w:tc>
        <w:tc>
          <w:tcPr>
            <w:tcW w:w="1124" w:type="dxa"/>
            <w:shd w:val="clear" w:color="auto" w:fill="1B556B" w:themeFill="text2"/>
            <w:noWrap/>
            <w:vAlign w:val="bottom"/>
            <w:hideMark/>
          </w:tcPr>
          <w:p w14:paraId="321FE1CD" w14:textId="1F408AE5" w:rsidR="008E2ED2" w:rsidRPr="0018386D" w:rsidRDefault="008E2ED2" w:rsidP="00DD3106">
            <w:pPr>
              <w:pStyle w:val="TableTextbold"/>
              <w:spacing w:before="40" w:after="40"/>
              <w:rPr>
                <w:rFonts w:cs="Calibri"/>
                <w:color w:val="FFFFFF" w:themeColor="background1"/>
                <w:szCs w:val="18"/>
              </w:rPr>
            </w:pPr>
            <w:r w:rsidRPr="0018386D">
              <w:rPr>
                <w:rFonts w:cs="Calibri"/>
                <w:color w:val="FFFFFF" w:themeColor="background1"/>
                <w:szCs w:val="18"/>
              </w:rPr>
              <w:t>kg CO₂/unit</w:t>
            </w:r>
          </w:p>
        </w:tc>
        <w:tc>
          <w:tcPr>
            <w:tcW w:w="1264" w:type="dxa"/>
            <w:shd w:val="clear" w:color="auto" w:fill="1B556B" w:themeFill="text2"/>
            <w:noWrap/>
            <w:vAlign w:val="bottom"/>
            <w:hideMark/>
          </w:tcPr>
          <w:p w14:paraId="0C264187" w14:textId="1F623D22" w:rsidR="008E2ED2" w:rsidRPr="0018386D" w:rsidRDefault="008E2ED2" w:rsidP="00DD3106">
            <w:pPr>
              <w:pStyle w:val="TableTextbold"/>
              <w:spacing w:before="40" w:after="40"/>
              <w:rPr>
                <w:rFonts w:cs="Calibri"/>
                <w:color w:val="FFFFFF" w:themeColor="background1"/>
                <w:szCs w:val="18"/>
              </w:rPr>
            </w:pPr>
            <w:r w:rsidRPr="0018386D">
              <w:rPr>
                <w:rFonts w:cs="Calibri"/>
                <w:color w:val="FFFFFF" w:themeColor="background1"/>
                <w:szCs w:val="18"/>
              </w:rPr>
              <w:t>kg CH₄/unit (kg CO₂-e)</w:t>
            </w:r>
          </w:p>
        </w:tc>
        <w:tc>
          <w:tcPr>
            <w:tcW w:w="1203" w:type="dxa"/>
            <w:shd w:val="clear" w:color="auto" w:fill="1B556B" w:themeFill="text2"/>
            <w:noWrap/>
            <w:vAlign w:val="bottom"/>
            <w:hideMark/>
          </w:tcPr>
          <w:p w14:paraId="32AC9988" w14:textId="1BC6B035" w:rsidR="008E2ED2" w:rsidRPr="0018386D" w:rsidRDefault="008E2ED2" w:rsidP="00DD3106">
            <w:pPr>
              <w:pStyle w:val="TableTextbold"/>
              <w:spacing w:before="40" w:after="40"/>
              <w:rPr>
                <w:rFonts w:cs="Calibri"/>
                <w:color w:val="FFFFFF" w:themeColor="background1"/>
                <w:szCs w:val="18"/>
              </w:rPr>
            </w:pPr>
            <w:r w:rsidRPr="0018386D">
              <w:rPr>
                <w:rFonts w:cs="Calibri"/>
                <w:color w:val="FFFFFF" w:themeColor="background1"/>
                <w:szCs w:val="18"/>
              </w:rPr>
              <w:t>kg N₂O/unit (kg CO₂-e)</w:t>
            </w:r>
          </w:p>
        </w:tc>
        <w:tc>
          <w:tcPr>
            <w:tcW w:w="1263" w:type="dxa"/>
            <w:shd w:val="clear" w:color="auto" w:fill="1B556B" w:themeFill="text2"/>
            <w:noWrap/>
            <w:vAlign w:val="bottom"/>
            <w:hideMark/>
          </w:tcPr>
          <w:p w14:paraId="228AC6CE" w14:textId="3C8CC370" w:rsidR="008E2ED2" w:rsidRPr="0018386D" w:rsidRDefault="008E2ED2" w:rsidP="00DD3106">
            <w:pPr>
              <w:pStyle w:val="TableTextbold"/>
              <w:spacing w:before="40" w:after="40"/>
              <w:rPr>
                <w:rFonts w:cs="Calibri"/>
                <w:color w:val="FFFFFF" w:themeColor="background1"/>
                <w:szCs w:val="18"/>
              </w:rPr>
            </w:pPr>
            <w:r w:rsidRPr="0018386D">
              <w:rPr>
                <w:rFonts w:cs="Calibri"/>
                <w:color w:val="FFFFFF" w:themeColor="background1"/>
                <w:szCs w:val="18"/>
              </w:rPr>
              <w:t>Uncertainties</w:t>
            </w:r>
          </w:p>
        </w:tc>
      </w:tr>
      <w:tr w:rsidR="008B0B1F" w:rsidRPr="0018386D" w14:paraId="043EEF1D" w14:textId="77777777" w:rsidTr="001C33D9">
        <w:trPr>
          <w:divId w:val="1990136145"/>
        </w:trPr>
        <w:tc>
          <w:tcPr>
            <w:tcW w:w="1824" w:type="dxa"/>
            <w:shd w:val="clear" w:color="auto" w:fill="D2DDE1" w:themeFill="background2"/>
            <w:noWrap/>
            <w:hideMark/>
          </w:tcPr>
          <w:p w14:paraId="43E9731D" w14:textId="77777777" w:rsidR="008E2ED2" w:rsidRPr="0018386D" w:rsidRDefault="008E2ED2" w:rsidP="00DD3106">
            <w:pPr>
              <w:pStyle w:val="TableTextbold"/>
              <w:spacing w:before="40" w:after="40"/>
              <w:rPr>
                <w:rFonts w:cs="Calibri"/>
                <w:szCs w:val="18"/>
              </w:rPr>
            </w:pPr>
            <w:r w:rsidRPr="0018386D">
              <w:rPr>
                <w:rFonts w:cs="Calibri"/>
                <w:szCs w:val="18"/>
              </w:rPr>
              <w:t>Residential use</w:t>
            </w:r>
          </w:p>
        </w:tc>
        <w:tc>
          <w:tcPr>
            <w:tcW w:w="563" w:type="dxa"/>
            <w:shd w:val="clear" w:color="auto" w:fill="D2DDE1" w:themeFill="background2"/>
            <w:noWrap/>
            <w:hideMark/>
          </w:tcPr>
          <w:p w14:paraId="6DF20B48"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4" w:type="dxa"/>
            <w:shd w:val="clear" w:color="auto" w:fill="D2DDE1" w:themeFill="background2"/>
            <w:noWrap/>
            <w:hideMark/>
          </w:tcPr>
          <w:p w14:paraId="79A7AAA3"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124" w:type="dxa"/>
            <w:shd w:val="clear" w:color="auto" w:fill="D2DDE1" w:themeFill="background2"/>
            <w:noWrap/>
            <w:hideMark/>
          </w:tcPr>
          <w:p w14:paraId="304A1532"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4" w:type="dxa"/>
            <w:shd w:val="clear" w:color="auto" w:fill="D2DDE1" w:themeFill="background2"/>
            <w:noWrap/>
            <w:hideMark/>
          </w:tcPr>
          <w:p w14:paraId="251BDAE2"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03" w:type="dxa"/>
            <w:shd w:val="clear" w:color="auto" w:fill="D2DDE1" w:themeFill="background2"/>
            <w:noWrap/>
            <w:hideMark/>
          </w:tcPr>
          <w:p w14:paraId="38A8E106"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3" w:type="dxa"/>
            <w:shd w:val="clear" w:color="auto" w:fill="D2DDE1" w:themeFill="background2"/>
            <w:noWrap/>
            <w:hideMark/>
          </w:tcPr>
          <w:p w14:paraId="41CD839D" w14:textId="77777777" w:rsidR="008E2ED2" w:rsidRPr="0018386D" w:rsidRDefault="008E2ED2" w:rsidP="00DD3106">
            <w:pPr>
              <w:pStyle w:val="TableTextbold"/>
              <w:spacing w:before="40" w:after="40"/>
              <w:rPr>
                <w:rFonts w:cs="Calibri"/>
                <w:szCs w:val="18"/>
              </w:rPr>
            </w:pPr>
            <w:r w:rsidRPr="0018386D">
              <w:rPr>
                <w:rFonts w:cs="Calibri"/>
                <w:szCs w:val="18"/>
              </w:rPr>
              <w:t> </w:t>
            </w:r>
          </w:p>
        </w:tc>
      </w:tr>
      <w:tr w:rsidR="005016C2" w:rsidRPr="0018386D" w14:paraId="6534A1F4" w14:textId="77777777" w:rsidTr="008B0B1F">
        <w:trPr>
          <w:divId w:val="1990136145"/>
        </w:trPr>
        <w:tc>
          <w:tcPr>
            <w:tcW w:w="1824" w:type="dxa"/>
            <w:shd w:val="clear" w:color="auto" w:fill="FFFFFF" w:themeFill="background1"/>
            <w:noWrap/>
            <w:hideMark/>
          </w:tcPr>
          <w:p w14:paraId="7D67CD2D" w14:textId="214779FD"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Default</w:t>
            </w:r>
          </w:p>
        </w:tc>
        <w:tc>
          <w:tcPr>
            <w:tcW w:w="563" w:type="dxa"/>
            <w:shd w:val="clear" w:color="auto" w:fill="FFFFFF" w:themeFill="background1"/>
            <w:noWrap/>
            <w:hideMark/>
          </w:tcPr>
          <w:p w14:paraId="1237268B"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68CE6B40" w14:textId="4E1FB574" w:rsidR="008E2ED2" w:rsidRPr="0018386D" w:rsidRDefault="008E2ED2" w:rsidP="00DD3106">
            <w:pPr>
              <w:pStyle w:val="TableText"/>
              <w:spacing w:before="40" w:after="40"/>
              <w:jc w:val="center"/>
              <w:rPr>
                <w:rFonts w:cs="Calibri"/>
                <w:szCs w:val="18"/>
              </w:rPr>
            </w:pPr>
            <w:r w:rsidRPr="0018386D">
              <w:rPr>
                <w:rFonts w:cs="Calibri"/>
                <w:szCs w:val="18"/>
              </w:rPr>
              <w:t>2.12</w:t>
            </w:r>
          </w:p>
        </w:tc>
        <w:tc>
          <w:tcPr>
            <w:tcW w:w="1124" w:type="dxa"/>
            <w:shd w:val="clear" w:color="auto" w:fill="FFFFFF" w:themeFill="background1"/>
            <w:noWrap/>
            <w:hideMark/>
          </w:tcPr>
          <w:p w14:paraId="51F55E66" w14:textId="3180F51D" w:rsidR="008E2ED2" w:rsidRPr="0018386D" w:rsidRDefault="008E2ED2" w:rsidP="00DD3106">
            <w:pPr>
              <w:pStyle w:val="TableText"/>
              <w:spacing w:before="40" w:after="40"/>
              <w:jc w:val="center"/>
              <w:rPr>
                <w:rFonts w:cs="Calibri"/>
                <w:szCs w:val="18"/>
              </w:rPr>
            </w:pPr>
            <w:r w:rsidRPr="0018386D">
              <w:rPr>
                <w:rFonts w:cs="Calibri"/>
                <w:szCs w:val="18"/>
              </w:rPr>
              <w:t>1.95</w:t>
            </w:r>
          </w:p>
        </w:tc>
        <w:tc>
          <w:tcPr>
            <w:tcW w:w="1264" w:type="dxa"/>
            <w:shd w:val="clear" w:color="auto" w:fill="FFFFFF" w:themeFill="background1"/>
            <w:noWrap/>
            <w:hideMark/>
          </w:tcPr>
          <w:p w14:paraId="4D335B53" w14:textId="5A440E6D" w:rsidR="008E2ED2" w:rsidRPr="0018386D" w:rsidRDefault="008E2ED2" w:rsidP="00DD3106">
            <w:pPr>
              <w:pStyle w:val="TableText"/>
              <w:spacing w:before="40" w:after="40"/>
              <w:jc w:val="center"/>
              <w:rPr>
                <w:rFonts w:cs="Calibri"/>
                <w:szCs w:val="18"/>
              </w:rPr>
            </w:pPr>
            <w:r w:rsidRPr="0018386D">
              <w:rPr>
                <w:rFonts w:cs="Calibri"/>
                <w:szCs w:val="18"/>
              </w:rPr>
              <w:t>0.169</w:t>
            </w:r>
          </w:p>
        </w:tc>
        <w:tc>
          <w:tcPr>
            <w:tcW w:w="1203" w:type="dxa"/>
            <w:shd w:val="clear" w:color="auto" w:fill="FFFFFF" w:themeFill="background1"/>
            <w:noWrap/>
            <w:hideMark/>
          </w:tcPr>
          <w:p w14:paraId="46436B0D" w14:textId="5D537EDF" w:rsidR="008E2ED2" w:rsidRPr="0018386D" w:rsidRDefault="008E2ED2" w:rsidP="00DD3106">
            <w:pPr>
              <w:pStyle w:val="TableText"/>
              <w:spacing w:before="40" w:after="40"/>
              <w:jc w:val="center"/>
              <w:rPr>
                <w:rFonts w:cs="Calibri"/>
                <w:szCs w:val="18"/>
              </w:rPr>
            </w:pPr>
            <w:r w:rsidRPr="0018386D">
              <w:rPr>
                <w:rFonts w:cs="Calibri"/>
                <w:szCs w:val="18"/>
              </w:rPr>
              <w:t>0.00800</w:t>
            </w:r>
          </w:p>
        </w:tc>
        <w:tc>
          <w:tcPr>
            <w:tcW w:w="1263" w:type="dxa"/>
            <w:shd w:val="clear" w:color="auto" w:fill="FFFFFF" w:themeFill="background1"/>
            <w:noWrap/>
            <w:hideMark/>
          </w:tcPr>
          <w:p w14:paraId="236E9AC8" w14:textId="63D50AE9" w:rsidR="008E2ED2" w:rsidRPr="0018386D" w:rsidRDefault="00823076" w:rsidP="00DD3106">
            <w:pPr>
              <w:pStyle w:val="TableText"/>
              <w:spacing w:before="40" w:after="40"/>
              <w:jc w:val="center"/>
              <w:rPr>
                <w:rFonts w:cs="Calibri"/>
                <w:szCs w:val="18"/>
              </w:rPr>
            </w:pPr>
            <w:r w:rsidRPr="0018386D">
              <w:rPr>
                <w:rFonts w:cs="Calibri"/>
                <w:szCs w:val="18"/>
              </w:rPr>
              <w:t>4.9%</w:t>
            </w:r>
          </w:p>
        </w:tc>
      </w:tr>
      <w:tr w:rsidR="005016C2" w:rsidRPr="0018386D" w14:paraId="2A53ABEE" w14:textId="77777777" w:rsidTr="008B0B1F">
        <w:trPr>
          <w:divId w:val="1990136145"/>
        </w:trPr>
        <w:tc>
          <w:tcPr>
            <w:tcW w:w="1824" w:type="dxa"/>
            <w:shd w:val="clear" w:color="auto" w:fill="FFFFFF" w:themeFill="background1"/>
            <w:noWrap/>
            <w:hideMark/>
          </w:tcPr>
          <w:p w14:paraId="2F35E96E" w14:textId="4672B40E"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Bituminous</w:t>
            </w:r>
          </w:p>
        </w:tc>
        <w:tc>
          <w:tcPr>
            <w:tcW w:w="563" w:type="dxa"/>
            <w:shd w:val="clear" w:color="auto" w:fill="FFFFFF" w:themeFill="background1"/>
            <w:noWrap/>
            <w:hideMark/>
          </w:tcPr>
          <w:p w14:paraId="4248E7FE"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01F8DC9C" w14:textId="397252F4" w:rsidR="008E2ED2" w:rsidRPr="0018386D" w:rsidRDefault="008E2ED2" w:rsidP="00DD3106">
            <w:pPr>
              <w:pStyle w:val="TableText"/>
              <w:spacing w:before="40" w:after="40"/>
              <w:jc w:val="center"/>
              <w:rPr>
                <w:rFonts w:cs="Calibri"/>
                <w:szCs w:val="18"/>
              </w:rPr>
            </w:pPr>
            <w:r w:rsidRPr="0018386D">
              <w:rPr>
                <w:rFonts w:cs="Calibri"/>
                <w:szCs w:val="18"/>
              </w:rPr>
              <w:t>2.88</w:t>
            </w:r>
          </w:p>
        </w:tc>
        <w:tc>
          <w:tcPr>
            <w:tcW w:w="1124" w:type="dxa"/>
            <w:shd w:val="clear" w:color="auto" w:fill="FFFFFF" w:themeFill="background1"/>
            <w:noWrap/>
            <w:hideMark/>
          </w:tcPr>
          <w:p w14:paraId="4333FE46" w14:textId="77777777" w:rsidR="008E2ED2" w:rsidRPr="0018386D" w:rsidRDefault="008E2ED2" w:rsidP="00DD3106">
            <w:pPr>
              <w:pStyle w:val="TableText"/>
              <w:spacing w:before="40" w:after="40"/>
              <w:jc w:val="center"/>
              <w:rPr>
                <w:rFonts w:cs="Calibri"/>
                <w:szCs w:val="18"/>
              </w:rPr>
            </w:pPr>
            <w:r w:rsidRPr="0018386D">
              <w:rPr>
                <w:rFonts w:cs="Calibri"/>
                <w:szCs w:val="18"/>
              </w:rPr>
              <w:t>2.64</w:t>
            </w:r>
          </w:p>
        </w:tc>
        <w:tc>
          <w:tcPr>
            <w:tcW w:w="1264" w:type="dxa"/>
            <w:shd w:val="clear" w:color="auto" w:fill="FFFFFF" w:themeFill="background1"/>
            <w:noWrap/>
            <w:hideMark/>
          </w:tcPr>
          <w:p w14:paraId="3CAEA6B6" w14:textId="71E53A9F" w:rsidR="008E2ED2" w:rsidRPr="0018386D" w:rsidRDefault="008E2ED2" w:rsidP="00DD3106">
            <w:pPr>
              <w:pStyle w:val="TableText"/>
              <w:spacing w:before="40" w:after="40"/>
              <w:jc w:val="center"/>
              <w:rPr>
                <w:rFonts w:cs="Calibri"/>
                <w:szCs w:val="18"/>
              </w:rPr>
            </w:pPr>
            <w:r w:rsidRPr="0018386D">
              <w:rPr>
                <w:rFonts w:cs="Calibri"/>
                <w:szCs w:val="18"/>
              </w:rPr>
              <w:t>0.236</w:t>
            </w:r>
          </w:p>
        </w:tc>
        <w:tc>
          <w:tcPr>
            <w:tcW w:w="1203" w:type="dxa"/>
            <w:shd w:val="clear" w:color="auto" w:fill="FFFFFF" w:themeFill="background1"/>
            <w:noWrap/>
            <w:hideMark/>
          </w:tcPr>
          <w:p w14:paraId="133E7873" w14:textId="0206D9C1" w:rsidR="008E2ED2" w:rsidRPr="0018386D" w:rsidRDefault="008E2ED2" w:rsidP="00DD3106">
            <w:pPr>
              <w:pStyle w:val="TableText"/>
              <w:spacing w:before="40" w:after="40"/>
              <w:jc w:val="center"/>
              <w:rPr>
                <w:rFonts w:cs="Calibri"/>
                <w:szCs w:val="18"/>
              </w:rPr>
            </w:pPr>
            <w:r w:rsidRPr="0018386D">
              <w:rPr>
                <w:rFonts w:cs="Calibri"/>
                <w:szCs w:val="18"/>
              </w:rPr>
              <w:t>0.0112</w:t>
            </w:r>
          </w:p>
        </w:tc>
        <w:tc>
          <w:tcPr>
            <w:tcW w:w="1263" w:type="dxa"/>
            <w:shd w:val="clear" w:color="auto" w:fill="FFFFFF" w:themeFill="background1"/>
            <w:noWrap/>
            <w:hideMark/>
          </w:tcPr>
          <w:p w14:paraId="5E9F8F92" w14:textId="57609749" w:rsidR="008E2ED2" w:rsidRPr="0018386D" w:rsidRDefault="00914EE1" w:rsidP="00DD3106">
            <w:pPr>
              <w:pStyle w:val="TableText"/>
              <w:spacing w:before="40" w:after="40"/>
              <w:jc w:val="center"/>
              <w:rPr>
                <w:rFonts w:cs="Calibri"/>
                <w:szCs w:val="18"/>
              </w:rPr>
            </w:pPr>
            <w:r w:rsidRPr="0018386D">
              <w:rPr>
                <w:rFonts w:cs="Calibri"/>
                <w:szCs w:val="18"/>
              </w:rPr>
              <w:t>4.8%</w:t>
            </w:r>
          </w:p>
        </w:tc>
      </w:tr>
      <w:tr w:rsidR="005016C2" w:rsidRPr="0018386D" w14:paraId="602D8021" w14:textId="77777777" w:rsidTr="008B0B1F">
        <w:trPr>
          <w:divId w:val="1990136145"/>
        </w:trPr>
        <w:tc>
          <w:tcPr>
            <w:tcW w:w="1824" w:type="dxa"/>
            <w:shd w:val="clear" w:color="auto" w:fill="FFFFFF" w:themeFill="background1"/>
            <w:noWrap/>
            <w:hideMark/>
          </w:tcPr>
          <w:p w14:paraId="66F7A5C5" w14:textId="31C797DE"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Sub-</w:t>
            </w:r>
            <w:r w:rsidR="00AC6745" w:rsidRPr="0018386D">
              <w:rPr>
                <w:rFonts w:cs="Calibri"/>
                <w:szCs w:val="18"/>
              </w:rPr>
              <w:t>b</w:t>
            </w:r>
            <w:r w:rsidRPr="0018386D">
              <w:rPr>
                <w:rFonts w:cs="Calibri"/>
                <w:szCs w:val="18"/>
              </w:rPr>
              <w:t>ituminous</w:t>
            </w:r>
          </w:p>
        </w:tc>
        <w:tc>
          <w:tcPr>
            <w:tcW w:w="563" w:type="dxa"/>
            <w:shd w:val="clear" w:color="auto" w:fill="FFFFFF" w:themeFill="background1"/>
            <w:noWrap/>
            <w:hideMark/>
          </w:tcPr>
          <w:p w14:paraId="459F6E60"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105A43BA" w14:textId="5119EE19" w:rsidR="008E2ED2" w:rsidRPr="0018386D" w:rsidRDefault="008E2ED2" w:rsidP="00DD3106">
            <w:pPr>
              <w:pStyle w:val="TableText"/>
              <w:spacing w:before="40" w:after="40"/>
              <w:jc w:val="center"/>
              <w:rPr>
                <w:rFonts w:cs="Calibri"/>
                <w:szCs w:val="18"/>
              </w:rPr>
            </w:pPr>
            <w:r w:rsidRPr="0018386D">
              <w:rPr>
                <w:rFonts w:cs="Calibri"/>
                <w:szCs w:val="18"/>
              </w:rPr>
              <w:t>2.17</w:t>
            </w:r>
          </w:p>
        </w:tc>
        <w:tc>
          <w:tcPr>
            <w:tcW w:w="1124" w:type="dxa"/>
            <w:shd w:val="clear" w:color="auto" w:fill="FFFFFF" w:themeFill="background1"/>
            <w:noWrap/>
            <w:hideMark/>
          </w:tcPr>
          <w:p w14:paraId="71E4EACB" w14:textId="77777777" w:rsidR="008E2ED2" w:rsidRPr="0018386D" w:rsidRDefault="008E2ED2" w:rsidP="00DD3106">
            <w:pPr>
              <w:pStyle w:val="TableText"/>
              <w:spacing w:before="40" w:after="40"/>
              <w:jc w:val="center"/>
              <w:rPr>
                <w:rFonts w:cs="Calibri"/>
                <w:szCs w:val="18"/>
              </w:rPr>
            </w:pPr>
            <w:r w:rsidRPr="0018386D">
              <w:rPr>
                <w:rFonts w:cs="Calibri"/>
                <w:szCs w:val="18"/>
              </w:rPr>
              <w:t>1.99</w:t>
            </w:r>
          </w:p>
        </w:tc>
        <w:tc>
          <w:tcPr>
            <w:tcW w:w="1264" w:type="dxa"/>
            <w:shd w:val="clear" w:color="auto" w:fill="FFFFFF" w:themeFill="background1"/>
            <w:noWrap/>
            <w:hideMark/>
          </w:tcPr>
          <w:p w14:paraId="76105EBC" w14:textId="6AD015BD" w:rsidR="008E2ED2" w:rsidRPr="0018386D" w:rsidRDefault="008E2ED2" w:rsidP="00DD3106">
            <w:pPr>
              <w:pStyle w:val="TableText"/>
              <w:spacing w:before="40" w:after="40"/>
              <w:jc w:val="center"/>
              <w:rPr>
                <w:rFonts w:cs="Calibri"/>
                <w:szCs w:val="18"/>
              </w:rPr>
            </w:pPr>
            <w:r w:rsidRPr="0018386D">
              <w:rPr>
                <w:rFonts w:cs="Calibri"/>
                <w:szCs w:val="18"/>
              </w:rPr>
              <w:t>0.173</w:t>
            </w:r>
          </w:p>
        </w:tc>
        <w:tc>
          <w:tcPr>
            <w:tcW w:w="1203" w:type="dxa"/>
            <w:shd w:val="clear" w:color="auto" w:fill="FFFFFF" w:themeFill="background1"/>
            <w:noWrap/>
            <w:hideMark/>
          </w:tcPr>
          <w:p w14:paraId="6D0F4F33" w14:textId="4BDED9A3" w:rsidR="008E2ED2" w:rsidRPr="0018386D" w:rsidRDefault="008E2ED2" w:rsidP="00DD3106">
            <w:pPr>
              <w:pStyle w:val="TableText"/>
              <w:spacing w:before="40" w:after="40"/>
              <w:jc w:val="center"/>
              <w:rPr>
                <w:rFonts w:cs="Calibri"/>
                <w:szCs w:val="18"/>
              </w:rPr>
            </w:pPr>
            <w:r w:rsidRPr="0018386D">
              <w:rPr>
                <w:rFonts w:cs="Calibri"/>
                <w:szCs w:val="18"/>
              </w:rPr>
              <w:t>0.00817</w:t>
            </w:r>
          </w:p>
        </w:tc>
        <w:tc>
          <w:tcPr>
            <w:tcW w:w="1263" w:type="dxa"/>
            <w:shd w:val="clear" w:color="auto" w:fill="FFFFFF" w:themeFill="background1"/>
            <w:noWrap/>
            <w:hideMark/>
          </w:tcPr>
          <w:p w14:paraId="7F5E4FEF" w14:textId="63213A9F" w:rsidR="008E2ED2" w:rsidRPr="0018386D" w:rsidRDefault="00914EE1" w:rsidP="00DD3106">
            <w:pPr>
              <w:pStyle w:val="TableText"/>
              <w:spacing w:before="40" w:after="40"/>
              <w:jc w:val="center"/>
              <w:rPr>
                <w:rFonts w:cs="Calibri"/>
                <w:szCs w:val="18"/>
              </w:rPr>
            </w:pPr>
            <w:r w:rsidRPr="0018386D">
              <w:rPr>
                <w:rFonts w:cs="Calibri"/>
                <w:szCs w:val="18"/>
              </w:rPr>
              <w:t>4.8%</w:t>
            </w:r>
          </w:p>
        </w:tc>
      </w:tr>
      <w:tr w:rsidR="008B0B1F" w:rsidRPr="0018386D" w14:paraId="69B0B456" w14:textId="77777777" w:rsidTr="001C33D9">
        <w:trPr>
          <w:divId w:val="1990136145"/>
        </w:trPr>
        <w:tc>
          <w:tcPr>
            <w:tcW w:w="1824" w:type="dxa"/>
            <w:shd w:val="clear" w:color="auto" w:fill="FFFFFF" w:themeFill="background1"/>
            <w:noWrap/>
            <w:hideMark/>
          </w:tcPr>
          <w:p w14:paraId="4C995904" w14:textId="3DE16E2E"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Lignite</w:t>
            </w:r>
          </w:p>
        </w:tc>
        <w:tc>
          <w:tcPr>
            <w:tcW w:w="563" w:type="dxa"/>
            <w:shd w:val="clear" w:color="auto" w:fill="FFFFFF" w:themeFill="background1"/>
            <w:noWrap/>
            <w:hideMark/>
          </w:tcPr>
          <w:p w14:paraId="31F8BEED"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2EC16716" w14:textId="0C4CC1E4" w:rsidR="008E2ED2" w:rsidRPr="0018386D" w:rsidRDefault="008E2ED2" w:rsidP="00DD3106">
            <w:pPr>
              <w:pStyle w:val="TableText"/>
              <w:spacing w:before="40" w:after="40"/>
              <w:jc w:val="center"/>
              <w:rPr>
                <w:rFonts w:cs="Calibri"/>
                <w:szCs w:val="18"/>
              </w:rPr>
            </w:pPr>
            <w:r w:rsidRPr="0018386D">
              <w:rPr>
                <w:rFonts w:cs="Calibri"/>
                <w:szCs w:val="18"/>
              </w:rPr>
              <w:t>1.55</w:t>
            </w:r>
          </w:p>
        </w:tc>
        <w:tc>
          <w:tcPr>
            <w:tcW w:w="1124" w:type="dxa"/>
            <w:shd w:val="clear" w:color="auto" w:fill="FFFFFF" w:themeFill="background1"/>
            <w:noWrap/>
            <w:hideMark/>
          </w:tcPr>
          <w:p w14:paraId="4C9C7A6D" w14:textId="77777777" w:rsidR="008E2ED2" w:rsidRPr="0018386D" w:rsidRDefault="008E2ED2" w:rsidP="00DD3106">
            <w:pPr>
              <w:pStyle w:val="TableText"/>
              <w:spacing w:before="40" w:after="40"/>
              <w:jc w:val="center"/>
              <w:rPr>
                <w:rFonts w:cs="Calibri"/>
                <w:szCs w:val="18"/>
              </w:rPr>
            </w:pPr>
            <w:r w:rsidRPr="0018386D">
              <w:rPr>
                <w:rFonts w:cs="Calibri"/>
                <w:szCs w:val="18"/>
              </w:rPr>
              <w:t>1.42</w:t>
            </w:r>
          </w:p>
        </w:tc>
        <w:tc>
          <w:tcPr>
            <w:tcW w:w="1264" w:type="dxa"/>
            <w:shd w:val="clear" w:color="auto" w:fill="FFFFFF" w:themeFill="background1"/>
            <w:noWrap/>
            <w:hideMark/>
          </w:tcPr>
          <w:p w14:paraId="2A1193B9" w14:textId="77B6FFDF" w:rsidR="008E2ED2" w:rsidRPr="0018386D" w:rsidRDefault="008E2ED2" w:rsidP="00DD3106">
            <w:pPr>
              <w:pStyle w:val="TableText"/>
              <w:spacing w:before="40" w:after="40"/>
              <w:jc w:val="center"/>
              <w:rPr>
                <w:rFonts w:cs="Calibri"/>
                <w:szCs w:val="18"/>
              </w:rPr>
            </w:pPr>
            <w:r w:rsidRPr="0018386D">
              <w:rPr>
                <w:rFonts w:cs="Calibri"/>
                <w:szCs w:val="18"/>
              </w:rPr>
              <w:t>0.122</w:t>
            </w:r>
          </w:p>
        </w:tc>
        <w:tc>
          <w:tcPr>
            <w:tcW w:w="1203" w:type="dxa"/>
            <w:shd w:val="clear" w:color="auto" w:fill="FFFFFF" w:themeFill="background1"/>
            <w:noWrap/>
            <w:hideMark/>
          </w:tcPr>
          <w:p w14:paraId="7F5CD7CD" w14:textId="4283091E" w:rsidR="008E2ED2" w:rsidRPr="0018386D" w:rsidRDefault="008E2ED2" w:rsidP="00DD3106">
            <w:pPr>
              <w:pStyle w:val="TableText"/>
              <w:spacing w:before="40" w:after="40"/>
              <w:jc w:val="center"/>
              <w:rPr>
                <w:rFonts w:cs="Calibri"/>
                <w:szCs w:val="18"/>
              </w:rPr>
            </w:pPr>
            <w:r w:rsidRPr="0018386D">
              <w:rPr>
                <w:rFonts w:cs="Calibri"/>
                <w:szCs w:val="18"/>
              </w:rPr>
              <w:t>0.00576</w:t>
            </w:r>
          </w:p>
        </w:tc>
        <w:tc>
          <w:tcPr>
            <w:tcW w:w="1263" w:type="dxa"/>
            <w:shd w:val="clear" w:color="auto" w:fill="FFFFFF" w:themeFill="background1"/>
            <w:noWrap/>
            <w:hideMark/>
          </w:tcPr>
          <w:p w14:paraId="27CFCB23" w14:textId="703BA1F5" w:rsidR="008E2ED2" w:rsidRPr="0018386D" w:rsidRDefault="00914EE1" w:rsidP="00DD3106">
            <w:pPr>
              <w:pStyle w:val="TableText"/>
              <w:spacing w:before="40" w:after="40"/>
              <w:jc w:val="center"/>
              <w:rPr>
                <w:rFonts w:cs="Calibri"/>
                <w:szCs w:val="18"/>
              </w:rPr>
            </w:pPr>
            <w:r w:rsidRPr="0018386D">
              <w:rPr>
                <w:rFonts w:cs="Calibri"/>
                <w:szCs w:val="18"/>
              </w:rPr>
              <w:t>4.8%</w:t>
            </w:r>
          </w:p>
        </w:tc>
      </w:tr>
      <w:tr w:rsidR="008B0B1F" w:rsidRPr="0018386D" w14:paraId="03F23FC1" w14:textId="77777777" w:rsidTr="001C33D9">
        <w:trPr>
          <w:divId w:val="1990136145"/>
        </w:trPr>
        <w:tc>
          <w:tcPr>
            <w:tcW w:w="1824" w:type="dxa"/>
            <w:shd w:val="clear" w:color="auto" w:fill="D2DDE1" w:themeFill="background2"/>
            <w:noWrap/>
            <w:hideMark/>
          </w:tcPr>
          <w:p w14:paraId="3B03310B" w14:textId="77777777" w:rsidR="008E2ED2" w:rsidRPr="0018386D" w:rsidRDefault="008E2ED2" w:rsidP="00DD3106">
            <w:pPr>
              <w:pStyle w:val="TableTextbold"/>
              <w:spacing w:before="40" w:after="40"/>
              <w:rPr>
                <w:rFonts w:cs="Calibri"/>
                <w:szCs w:val="18"/>
              </w:rPr>
            </w:pPr>
            <w:r w:rsidRPr="0018386D">
              <w:rPr>
                <w:rFonts w:cs="Calibri"/>
                <w:szCs w:val="18"/>
              </w:rPr>
              <w:t>Commercial use</w:t>
            </w:r>
          </w:p>
        </w:tc>
        <w:tc>
          <w:tcPr>
            <w:tcW w:w="563" w:type="dxa"/>
            <w:shd w:val="clear" w:color="auto" w:fill="D2DDE1" w:themeFill="background2"/>
            <w:noWrap/>
            <w:hideMark/>
          </w:tcPr>
          <w:p w14:paraId="047D38C2"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4" w:type="dxa"/>
            <w:shd w:val="clear" w:color="auto" w:fill="D2DDE1" w:themeFill="background2"/>
            <w:noWrap/>
            <w:hideMark/>
          </w:tcPr>
          <w:p w14:paraId="52F72213"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124" w:type="dxa"/>
            <w:shd w:val="clear" w:color="auto" w:fill="D2DDE1" w:themeFill="background2"/>
            <w:noWrap/>
            <w:hideMark/>
          </w:tcPr>
          <w:p w14:paraId="6DE30432"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4" w:type="dxa"/>
            <w:shd w:val="clear" w:color="auto" w:fill="D2DDE1" w:themeFill="background2"/>
            <w:noWrap/>
            <w:hideMark/>
          </w:tcPr>
          <w:p w14:paraId="3924F570"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03" w:type="dxa"/>
            <w:shd w:val="clear" w:color="auto" w:fill="D2DDE1" w:themeFill="background2"/>
            <w:noWrap/>
            <w:hideMark/>
          </w:tcPr>
          <w:p w14:paraId="59E8AC84"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3" w:type="dxa"/>
            <w:shd w:val="clear" w:color="auto" w:fill="D2DDE1" w:themeFill="background2"/>
            <w:noWrap/>
            <w:hideMark/>
          </w:tcPr>
          <w:p w14:paraId="4E2F3432" w14:textId="77777777" w:rsidR="008E2ED2" w:rsidRPr="0018386D" w:rsidRDefault="008E2ED2" w:rsidP="00DD3106">
            <w:pPr>
              <w:pStyle w:val="TableTextbold"/>
              <w:spacing w:before="40" w:after="40"/>
              <w:rPr>
                <w:rFonts w:cs="Calibri"/>
                <w:szCs w:val="18"/>
              </w:rPr>
            </w:pPr>
            <w:r w:rsidRPr="0018386D">
              <w:rPr>
                <w:rFonts w:cs="Calibri"/>
                <w:szCs w:val="18"/>
              </w:rPr>
              <w:t> </w:t>
            </w:r>
          </w:p>
        </w:tc>
      </w:tr>
      <w:tr w:rsidR="005016C2" w:rsidRPr="0018386D" w14:paraId="51E77DDA" w14:textId="77777777" w:rsidTr="008B0B1F">
        <w:trPr>
          <w:divId w:val="1990136145"/>
        </w:trPr>
        <w:tc>
          <w:tcPr>
            <w:tcW w:w="1824" w:type="dxa"/>
            <w:shd w:val="clear" w:color="auto" w:fill="FFFFFF" w:themeFill="background1"/>
            <w:noWrap/>
            <w:hideMark/>
          </w:tcPr>
          <w:p w14:paraId="7F847D91" w14:textId="1AF993A8"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Default</w:t>
            </w:r>
          </w:p>
        </w:tc>
        <w:tc>
          <w:tcPr>
            <w:tcW w:w="563" w:type="dxa"/>
            <w:shd w:val="clear" w:color="auto" w:fill="FFFFFF" w:themeFill="background1"/>
            <w:noWrap/>
            <w:hideMark/>
          </w:tcPr>
          <w:p w14:paraId="18D21532"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4E83D9D5" w14:textId="77777777" w:rsidR="008E2ED2" w:rsidRPr="0018386D" w:rsidRDefault="008E2ED2" w:rsidP="00DD3106">
            <w:pPr>
              <w:pStyle w:val="TableText"/>
              <w:spacing w:before="40" w:after="40"/>
              <w:jc w:val="center"/>
              <w:rPr>
                <w:rFonts w:cs="Calibri"/>
                <w:szCs w:val="18"/>
              </w:rPr>
            </w:pPr>
            <w:r w:rsidRPr="0018386D">
              <w:rPr>
                <w:rFonts w:cs="Calibri"/>
                <w:szCs w:val="18"/>
              </w:rPr>
              <w:t>2.01</w:t>
            </w:r>
          </w:p>
        </w:tc>
        <w:tc>
          <w:tcPr>
            <w:tcW w:w="1124" w:type="dxa"/>
            <w:shd w:val="clear" w:color="auto" w:fill="FFFFFF" w:themeFill="background1"/>
            <w:noWrap/>
            <w:hideMark/>
          </w:tcPr>
          <w:p w14:paraId="3348A2D6" w14:textId="77777777" w:rsidR="008E2ED2" w:rsidRPr="0018386D" w:rsidRDefault="008E2ED2" w:rsidP="00DD3106">
            <w:pPr>
              <w:pStyle w:val="TableText"/>
              <w:spacing w:before="40" w:after="40"/>
              <w:jc w:val="center"/>
              <w:rPr>
                <w:rFonts w:cs="Calibri"/>
                <w:szCs w:val="18"/>
              </w:rPr>
            </w:pPr>
            <w:r w:rsidRPr="0018386D">
              <w:rPr>
                <w:rFonts w:cs="Calibri"/>
                <w:szCs w:val="18"/>
              </w:rPr>
              <w:t>1.99</w:t>
            </w:r>
          </w:p>
        </w:tc>
        <w:tc>
          <w:tcPr>
            <w:tcW w:w="1264" w:type="dxa"/>
            <w:shd w:val="clear" w:color="auto" w:fill="FFFFFF" w:themeFill="background1"/>
            <w:noWrap/>
            <w:hideMark/>
          </w:tcPr>
          <w:p w14:paraId="049BB926" w14:textId="3581022C" w:rsidR="008E2ED2" w:rsidRPr="0018386D" w:rsidRDefault="008E2ED2" w:rsidP="00DD3106">
            <w:pPr>
              <w:pStyle w:val="TableText"/>
              <w:spacing w:before="40" w:after="40"/>
              <w:jc w:val="center"/>
              <w:rPr>
                <w:rFonts w:cs="Calibri"/>
                <w:szCs w:val="18"/>
              </w:rPr>
            </w:pPr>
            <w:r w:rsidRPr="0018386D">
              <w:rPr>
                <w:rFonts w:cs="Calibri"/>
                <w:szCs w:val="18"/>
              </w:rPr>
              <w:t>0.00580</w:t>
            </w:r>
          </w:p>
        </w:tc>
        <w:tc>
          <w:tcPr>
            <w:tcW w:w="1203" w:type="dxa"/>
            <w:shd w:val="clear" w:color="auto" w:fill="FFFFFF" w:themeFill="background1"/>
            <w:noWrap/>
            <w:hideMark/>
          </w:tcPr>
          <w:p w14:paraId="651A8C44" w14:textId="127692F3" w:rsidR="008E2ED2" w:rsidRPr="0018386D" w:rsidRDefault="008E2ED2" w:rsidP="00DD3106">
            <w:pPr>
              <w:pStyle w:val="TableText"/>
              <w:spacing w:before="40" w:after="40"/>
              <w:jc w:val="center"/>
              <w:rPr>
                <w:rFonts w:cs="Calibri"/>
                <w:szCs w:val="18"/>
              </w:rPr>
            </w:pPr>
            <w:r w:rsidRPr="0018386D">
              <w:rPr>
                <w:rFonts w:cs="Calibri"/>
                <w:szCs w:val="18"/>
              </w:rPr>
              <w:t>0.00823</w:t>
            </w:r>
          </w:p>
        </w:tc>
        <w:tc>
          <w:tcPr>
            <w:tcW w:w="1263" w:type="dxa"/>
            <w:shd w:val="clear" w:color="auto" w:fill="FFFFFF" w:themeFill="background1"/>
            <w:noWrap/>
            <w:hideMark/>
          </w:tcPr>
          <w:p w14:paraId="46840603" w14:textId="4991E809" w:rsidR="008E2ED2" w:rsidRPr="0018386D" w:rsidRDefault="00BE584C" w:rsidP="00DD3106">
            <w:pPr>
              <w:pStyle w:val="TableText"/>
              <w:spacing w:before="40" w:after="40"/>
              <w:jc w:val="center"/>
              <w:rPr>
                <w:rFonts w:cs="Calibri"/>
                <w:szCs w:val="18"/>
              </w:rPr>
            </w:pPr>
            <w:r w:rsidRPr="0018386D">
              <w:rPr>
                <w:rFonts w:cs="Calibri"/>
                <w:szCs w:val="18"/>
              </w:rPr>
              <w:t>3.5%</w:t>
            </w:r>
          </w:p>
        </w:tc>
      </w:tr>
      <w:tr w:rsidR="005016C2" w:rsidRPr="0018386D" w14:paraId="053CE639" w14:textId="77777777" w:rsidTr="008B0B1F">
        <w:trPr>
          <w:divId w:val="1990136145"/>
        </w:trPr>
        <w:tc>
          <w:tcPr>
            <w:tcW w:w="1824" w:type="dxa"/>
            <w:shd w:val="clear" w:color="auto" w:fill="FFFFFF" w:themeFill="background1"/>
            <w:noWrap/>
            <w:hideMark/>
          </w:tcPr>
          <w:p w14:paraId="38D3E917" w14:textId="20C1BB87"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Bituminous</w:t>
            </w:r>
          </w:p>
        </w:tc>
        <w:tc>
          <w:tcPr>
            <w:tcW w:w="563" w:type="dxa"/>
            <w:shd w:val="clear" w:color="auto" w:fill="FFFFFF" w:themeFill="background1"/>
            <w:noWrap/>
            <w:hideMark/>
          </w:tcPr>
          <w:p w14:paraId="34A1E97A"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4286CA28" w14:textId="77777777" w:rsidR="008E2ED2" w:rsidRPr="0018386D" w:rsidRDefault="008E2ED2" w:rsidP="00DD3106">
            <w:pPr>
              <w:pStyle w:val="TableText"/>
              <w:spacing w:before="40" w:after="40"/>
              <w:jc w:val="center"/>
              <w:rPr>
                <w:rFonts w:cs="Calibri"/>
                <w:szCs w:val="18"/>
              </w:rPr>
            </w:pPr>
            <w:r w:rsidRPr="0018386D">
              <w:rPr>
                <w:rFonts w:cs="Calibri"/>
                <w:szCs w:val="18"/>
              </w:rPr>
              <w:t>2.66</w:t>
            </w:r>
          </w:p>
        </w:tc>
        <w:tc>
          <w:tcPr>
            <w:tcW w:w="1124" w:type="dxa"/>
            <w:shd w:val="clear" w:color="auto" w:fill="FFFFFF" w:themeFill="background1"/>
            <w:noWrap/>
            <w:hideMark/>
          </w:tcPr>
          <w:p w14:paraId="48063C65" w14:textId="77777777" w:rsidR="008E2ED2" w:rsidRPr="0018386D" w:rsidRDefault="008E2ED2" w:rsidP="00DD3106">
            <w:pPr>
              <w:pStyle w:val="TableText"/>
              <w:spacing w:before="40" w:after="40"/>
              <w:jc w:val="center"/>
              <w:rPr>
                <w:rFonts w:cs="Calibri"/>
                <w:szCs w:val="18"/>
              </w:rPr>
            </w:pPr>
            <w:r w:rsidRPr="0018386D">
              <w:rPr>
                <w:rFonts w:cs="Calibri"/>
                <w:szCs w:val="18"/>
              </w:rPr>
              <w:t>2.64</w:t>
            </w:r>
          </w:p>
        </w:tc>
        <w:tc>
          <w:tcPr>
            <w:tcW w:w="1264" w:type="dxa"/>
            <w:shd w:val="clear" w:color="auto" w:fill="FFFFFF" w:themeFill="background1"/>
            <w:noWrap/>
            <w:hideMark/>
          </w:tcPr>
          <w:p w14:paraId="3247BCB1" w14:textId="4343F8DE" w:rsidR="008E2ED2" w:rsidRPr="0018386D" w:rsidRDefault="008E2ED2" w:rsidP="00DD3106">
            <w:pPr>
              <w:pStyle w:val="TableText"/>
              <w:spacing w:before="40" w:after="40"/>
              <w:jc w:val="center"/>
              <w:rPr>
                <w:rFonts w:cs="Calibri"/>
                <w:szCs w:val="18"/>
              </w:rPr>
            </w:pPr>
            <w:r w:rsidRPr="0018386D">
              <w:rPr>
                <w:rFonts w:cs="Calibri"/>
                <w:szCs w:val="18"/>
              </w:rPr>
              <w:t>0.00787</w:t>
            </w:r>
          </w:p>
        </w:tc>
        <w:tc>
          <w:tcPr>
            <w:tcW w:w="1203" w:type="dxa"/>
            <w:shd w:val="clear" w:color="auto" w:fill="FFFFFF" w:themeFill="background1"/>
            <w:noWrap/>
            <w:hideMark/>
          </w:tcPr>
          <w:p w14:paraId="051EAF84" w14:textId="21AF39C9" w:rsidR="008E2ED2" w:rsidRPr="0018386D" w:rsidRDefault="008E2ED2" w:rsidP="00DD3106">
            <w:pPr>
              <w:pStyle w:val="TableText"/>
              <w:spacing w:before="40" w:after="40"/>
              <w:jc w:val="center"/>
              <w:rPr>
                <w:rFonts w:cs="Calibri"/>
                <w:szCs w:val="18"/>
              </w:rPr>
            </w:pPr>
            <w:r w:rsidRPr="0018386D">
              <w:rPr>
                <w:rFonts w:cs="Calibri"/>
                <w:szCs w:val="18"/>
              </w:rPr>
              <w:t>0.0112</w:t>
            </w:r>
          </w:p>
        </w:tc>
        <w:tc>
          <w:tcPr>
            <w:tcW w:w="1263" w:type="dxa"/>
            <w:shd w:val="clear" w:color="auto" w:fill="FFFFFF" w:themeFill="background1"/>
            <w:noWrap/>
            <w:hideMark/>
          </w:tcPr>
          <w:p w14:paraId="05400CEF" w14:textId="1E4996DB" w:rsidR="008E2ED2" w:rsidRPr="0018386D" w:rsidRDefault="00BE584C" w:rsidP="00DD3106">
            <w:pPr>
              <w:pStyle w:val="TableText"/>
              <w:spacing w:before="40" w:after="40"/>
              <w:jc w:val="center"/>
              <w:rPr>
                <w:rFonts w:cs="Calibri"/>
                <w:szCs w:val="18"/>
              </w:rPr>
            </w:pPr>
            <w:r w:rsidRPr="0018386D">
              <w:rPr>
                <w:rFonts w:cs="Calibri"/>
                <w:szCs w:val="18"/>
              </w:rPr>
              <w:t>3.5%</w:t>
            </w:r>
          </w:p>
        </w:tc>
      </w:tr>
      <w:tr w:rsidR="005016C2" w:rsidRPr="0018386D" w14:paraId="6F9D5748" w14:textId="77777777" w:rsidTr="008B0B1F">
        <w:trPr>
          <w:divId w:val="1990136145"/>
        </w:trPr>
        <w:tc>
          <w:tcPr>
            <w:tcW w:w="1824" w:type="dxa"/>
            <w:shd w:val="clear" w:color="auto" w:fill="FFFFFF" w:themeFill="background1"/>
            <w:noWrap/>
            <w:hideMark/>
          </w:tcPr>
          <w:p w14:paraId="0C58D16E" w14:textId="37A4E003"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Sub-</w:t>
            </w:r>
            <w:r w:rsidR="00AC6745" w:rsidRPr="0018386D">
              <w:rPr>
                <w:rFonts w:cs="Calibri"/>
                <w:szCs w:val="18"/>
              </w:rPr>
              <w:t>b</w:t>
            </w:r>
            <w:r w:rsidRPr="0018386D">
              <w:rPr>
                <w:rFonts w:cs="Calibri"/>
                <w:szCs w:val="18"/>
              </w:rPr>
              <w:t>ituminous</w:t>
            </w:r>
          </w:p>
        </w:tc>
        <w:tc>
          <w:tcPr>
            <w:tcW w:w="563" w:type="dxa"/>
            <w:shd w:val="clear" w:color="auto" w:fill="FFFFFF" w:themeFill="background1"/>
            <w:noWrap/>
            <w:hideMark/>
          </w:tcPr>
          <w:p w14:paraId="46672FB1"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7F9D851E" w14:textId="4B32B685" w:rsidR="008E2ED2" w:rsidRPr="0018386D" w:rsidRDefault="008E2ED2" w:rsidP="00DD3106">
            <w:pPr>
              <w:pStyle w:val="TableText"/>
              <w:spacing w:before="40" w:after="40"/>
              <w:jc w:val="center"/>
              <w:rPr>
                <w:rFonts w:cs="Calibri"/>
                <w:szCs w:val="18"/>
              </w:rPr>
            </w:pPr>
            <w:r w:rsidRPr="0018386D">
              <w:rPr>
                <w:rFonts w:cs="Calibri"/>
                <w:szCs w:val="18"/>
              </w:rPr>
              <w:t>2.00</w:t>
            </w:r>
          </w:p>
        </w:tc>
        <w:tc>
          <w:tcPr>
            <w:tcW w:w="1124" w:type="dxa"/>
            <w:shd w:val="clear" w:color="auto" w:fill="FFFFFF" w:themeFill="background1"/>
            <w:noWrap/>
            <w:hideMark/>
          </w:tcPr>
          <w:p w14:paraId="5908DEB6" w14:textId="77777777" w:rsidR="008E2ED2" w:rsidRPr="0018386D" w:rsidRDefault="008E2ED2" w:rsidP="00DD3106">
            <w:pPr>
              <w:pStyle w:val="TableText"/>
              <w:spacing w:before="40" w:after="40"/>
              <w:jc w:val="center"/>
              <w:rPr>
                <w:rFonts w:cs="Calibri"/>
                <w:szCs w:val="18"/>
              </w:rPr>
            </w:pPr>
            <w:r w:rsidRPr="0018386D">
              <w:rPr>
                <w:rFonts w:cs="Calibri"/>
                <w:szCs w:val="18"/>
              </w:rPr>
              <w:t>1.99</w:t>
            </w:r>
          </w:p>
        </w:tc>
        <w:tc>
          <w:tcPr>
            <w:tcW w:w="1264" w:type="dxa"/>
            <w:shd w:val="clear" w:color="auto" w:fill="FFFFFF" w:themeFill="background1"/>
            <w:noWrap/>
            <w:hideMark/>
          </w:tcPr>
          <w:p w14:paraId="4454CE0C" w14:textId="7390E794" w:rsidR="008E2ED2" w:rsidRPr="0018386D" w:rsidRDefault="008E2ED2" w:rsidP="00DD3106">
            <w:pPr>
              <w:pStyle w:val="TableText"/>
              <w:spacing w:before="40" w:after="40"/>
              <w:jc w:val="center"/>
              <w:rPr>
                <w:rFonts w:cs="Calibri"/>
                <w:szCs w:val="18"/>
              </w:rPr>
            </w:pPr>
            <w:r w:rsidRPr="0018386D">
              <w:rPr>
                <w:rFonts w:cs="Calibri"/>
                <w:szCs w:val="18"/>
              </w:rPr>
              <w:t>0.00576</w:t>
            </w:r>
          </w:p>
        </w:tc>
        <w:tc>
          <w:tcPr>
            <w:tcW w:w="1203" w:type="dxa"/>
            <w:shd w:val="clear" w:color="auto" w:fill="FFFFFF" w:themeFill="background1"/>
            <w:noWrap/>
            <w:hideMark/>
          </w:tcPr>
          <w:p w14:paraId="04718BB6" w14:textId="1910FBC0" w:rsidR="008E2ED2" w:rsidRPr="0018386D" w:rsidRDefault="008E2ED2" w:rsidP="00DD3106">
            <w:pPr>
              <w:pStyle w:val="TableText"/>
              <w:spacing w:before="40" w:after="40"/>
              <w:jc w:val="center"/>
              <w:rPr>
                <w:rFonts w:cs="Calibri"/>
                <w:szCs w:val="18"/>
              </w:rPr>
            </w:pPr>
            <w:r w:rsidRPr="0018386D">
              <w:rPr>
                <w:rFonts w:cs="Calibri"/>
                <w:szCs w:val="18"/>
              </w:rPr>
              <w:t>0.00817</w:t>
            </w:r>
          </w:p>
        </w:tc>
        <w:tc>
          <w:tcPr>
            <w:tcW w:w="1263" w:type="dxa"/>
            <w:shd w:val="clear" w:color="auto" w:fill="FFFFFF" w:themeFill="background1"/>
            <w:noWrap/>
            <w:hideMark/>
          </w:tcPr>
          <w:p w14:paraId="1309876F" w14:textId="43B1ACBB" w:rsidR="008E2ED2" w:rsidRPr="0018386D" w:rsidRDefault="00BE584C" w:rsidP="00DD3106">
            <w:pPr>
              <w:pStyle w:val="TableText"/>
              <w:spacing w:before="40" w:after="40"/>
              <w:jc w:val="center"/>
              <w:rPr>
                <w:rFonts w:cs="Calibri"/>
                <w:szCs w:val="18"/>
              </w:rPr>
            </w:pPr>
            <w:r w:rsidRPr="0018386D">
              <w:rPr>
                <w:rFonts w:cs="Calibri"/>
                <w:szCs w:val="18"/>
              </w:rPr>
              <w:t>3.5%</w:t>
            </w:r>
          </w:p>
        </w:tc>
      </w:tr>
      <w:tr w:rsidR="005016C2" w:rsidRPr="0018386D" w14:paraId="2A1E0D5B" w14:textId="77777777" w:rsidTr="008B0B1F">
        <w:trPr>
          <w:divId w:val="1990136145"/>
        </w:trPr>
        <w:tc>
          <w:tcPr>
            <w:tcW w:w="1824" w:type="dxa"/>
            <w:shd w:val="clear" w:color="auto" w:fill="FFFFFF" w:themeFill="background1"/>
            <w:noWrap/>
            <w:hideMark/>
          </w:tcPr>
          <w:p w14:paraId="022A5A93" w14:textId="4BED1C75"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Lignite</w:t>
            </w:r>
          </w:p>
        </w:tc>
        <w:tc>
          <w:tcPr>
            <w:tcW w:w="563" w:type="dxa"/>
            <w:shd w:val="clear" w:color="auto" w:fill="FFFFFF" w:themeFill="background1"/>
            <w:noWrap/>
            <w:hideMark/>
          </w:tcPr>
          <w:p w14:paraId="2DE15ECB"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39FE5DBA" w14:textId="77777777" w:rsidR="008E2ED2" w:rsidRPr="0018386D" w:rsidRDefault="008E2ED2" w:rsidP="00DD3106">
            <w:pPr>
              <w:pStyle w:val="TableText"/>
              <w:spacing w:before="40" w:after="40"/>
              <w:jc w:val="center"/>
              <w:rPr>
                <w:rFonts w:cs="Calibri"/>
                <w:szCs w:val="18"/>
              </w:rPr>
            </w:pPr>
            <w:r w:rsidRPr="0018386D">
              <w:rPr>
                <w:rFonts w:cs="Calibri"/>
                <w:szCs w:val="18"/>
              </w:rPr>
              <w:t>1.43</w:t>
            </w:r>
          </w:p>
        </w:tc>
        <w:tc>
          <w:tcPr>
            <w:tcW w:w="1124" w:type="dxa"/>
            <w:shd w:val="clear" w:color="auto" w:fill="FFFFFF" w:themeFill="background1"/>
            <w:noWrap/>
            <w:hideMark/>
          </w:tcPr>
          <w:p w14:paraId="6E5E7A17" w14:textId="77777777" w:rsidR="008E2ED2" w:rsidRPr="0018386D" w:rsidRDefault="008E2ED2" w:rsidP="00DD3106">
            <w:pPr>
              <w:pStyle w:val="TableText"/>
              <w:spacing w:before="40" w:after="40"/>
              <w:jc w:val="center"/>
              <w:rPr>
                <w:rFonts w:cs="Calibri"/>
                <w:szCs w:val="18"/>
              </w:rPr>
            </w:pPr>
            <w:r w:rsidRPr="0018386D">
              <w:rPr>
                <w:rFonts w:cs="Calibri"/>
                <w:szCs w:val="18"/>
              </w:rPr>
              <w:t>1.42</w:t>
            </w:r>
          </w:p>
        </w:tc>
        <w:tc>
          <w:tcPr>
            <w:tcW w:w="1264" w:type="dxa"/>
            <w:shd w:val="clear" w:color="auto" w:fill="FFFFFF" w:themeFill="background1"/>
            <w:noWrap/>
            <w:hideMark/>
          </w:tcPr>
          <w:p w14:paraId="397EB62C" w14:textId="62697F21" w:rsidR="008E2ED2" w:rsidRPr="0018386D" w:rsidRDefault="008E2ED2" w:rsidP="00DD3106">
            <w:pPr>
              <w:pStyle w:val="TableText"/>
              <w:spacing w:before="40" w:after="40"/>
              <w:jc w:val="center"/>
              <w:rPr>
                <w:rFonts w:cs="Calibri"/>
                <w:szCs w:val="18"/>
              </w:rPr>
            </w:pPr>
            <w:r w:rsidRPr="0018386D">
              <w:rPr>
                <w:rFonts w:cs="Calibri"/>
                <w:szCs w:val="18"/>
              </w:rPr>
              <w:t>0.00406</w:t>
            </w:r>
          </w:p>
        </w:tc>
        <w:tc>
          <w:tcPr>
            <w:tcW w:w="1203" w:type="dxa"/>
            <w:shd w:val="clear" w:color="auto" w:fill="FFFFFF" w:themeFill="background1"/>
            <w:noWrap/>
            <w:hideMark/>
          </w:tcPr>
          <w:p w14:paraId="4D1F8C87" w14:textId="043F11E6" w:rsidR="008E2ED2" w:rsidRPr="0018386D" w:rsidRDefault="008E2ED2" w:rsidP="00DD3106">
            <w:pPr>
              <w:pStyle w:val="TableText"/>
              <w:spacing w:before="40" w:after="40"/>
              <w:jc w:val="center"/>
              <w:rPr>
                <w:rFonts w:cs="Calibri"/>
                <w:szCs w:val="18"/>
              </w:rPr>
            </w:pPr>
            <w:r w:rsidRPr="0018386D">
              <w:rPr>
                <w:rFonts w:cs="Calibri"/>
                <w:szCs w:val="18"/>
              </w:rPr>
              <w:t>0.00576</w:t>
            </w:r>
          </w:p>
        </w:tc>
        <w:tc>
          <w:tcPr>
            <w:tcW w:w="1263" w:type="dxa"/>
            <w:shd w:val="clear" w:color="auto" w:fill="FFFFFF" w:themeFill="background1"/>
            <w:noWrap/>
            <w:hideMark/>
          </w:tcPr>
          <w:p w14:paraId="4E5EE904" w14:textId="32BBB408" w:rsidR="008E2ED2" w:rsidRPr="0018386D" w:rsidRDefault="00BE584C" w:rsidP="00DD3106">
            <w:pPr>
              <w:pStyle w:val="TableText"/>
              <w:spacing w:before="40" w:after="40"/>
              <w:jc w:val="center"/>
              <w:rPr>
                <w:rFonts w:cs="Calibri"/>
                <w:szCs w:val="18"/>
              </w:rPr>
            </w:pPr>
            <w:r w:rsidRPr="0018386D">
              <w:rPr>
                <w:rFonts w:cs="Calibri"/>
                <w:szCs w:val="18"/>
              </w:rPr>
              <w:t>3.5%</w:t>
            </w:r>
          </w:p>
        </w:tc>
      </w:tr>
      <w:tr w:rsidR="005016C2" w:rsidRPr="0018386D" w14:paraId="718F4542" w14:textId="77777777" w:rsidTr="008B0B1F">
        <w:trPr>
          <w:divId w:val="1990136145"/>
        </w:trPr>
        <w:tc>
          <w:tcPr>
            <w:tcW w:w="1824" w:type="dxa"/>
            <w:shd w:val="clear" w:color="auto" w:fill="FFFFFF" w:themeFill="background1"/>
            <w:noWrap/>
            <w:hideMark/>
          </w:tcPr>
          <w:p w14:paraId="5DF319CC" w14:textId="77777777" w:rsidR="008E2ED2" w:rsidRPr="0018386D" w:rsidRDefault="008E2ED2" w:rsidP="00DD3106">
            <w:pPr>
              <w:pStyle w:val="TableText"/>
              <w:spacing w:before="40" w:after="40"/>
              <w:rPr>
                <w:rFonts w:cs="Calibri"/>
                <w:szCs w:val="18"/>
              </w:rPr>
            </w:pPr>
            <w:r w:rsidRPr="0018386D">
              <w:rPr>
                <w:rFonts w:cs="Calibri"/>
                <w:szCs w:val="18"/>
              </w:rPr>
              <w:t>Diesel</w:t>
            </w:r>
          </w:p>
        </w:tc>
        <w:tc>
          <w:tcPr>
            <w:tcW w:w="563" w:type="dxa"/>
            <w:shd w:val="clear" w:color="auto" w:fill="FFFFFF" w:themeFill="background1"/>
            <w:noWrap/>
            <w:hideMark/>
          </w:tcPr>
          <w:p w14:paraId="52319AB9" w14:textId="77777777" w:rsidR="008E2ED2" w:rsidRPr="0018386D" w:rsidRDefault="008E2ED2" w:rsidP="00DD3106">
            <w:pPr>
              <w:pStyle w:val="TableText"/>
              <w:spacing w:before="40" w:after="40"/>
              <w:jc w:val="center"/>
              <w:rPr>
                <w:rFonts w:cs="Calibri"/>
                <w:szCs w:val="18"/>
              </w:rPr>
            </w:pPr>
            <w:r w:rsidRPr="0018386D">
              <w:rPr>
                <w:rFonts w:cs="Calibri"/>
                <w:szCs w:val="18"/>
              </w:rPr>
              <w:t>litre</w:t>
            </w:r>
          </w:p>
        </w:tc>
        <w:tc>
          <w:tcPr>
            <w:tcW w:w="1264" w:type="dxa"/>
            <w:shd w:val="clear" w:color="auto" w:fill="D2DDE1" w:themeFill="background2"/>
            <w:noWrap/>
            <w:hideMark/>
          </w:tcPr>
          <w:p w14:paraId="54098F76" w14:textId="0E762A29" w:rsidR="008E2ED2" w:rsidRPr="0018386D" w:rsidRDefault="008E2ED2" w:rsidP="00DD3106">
            <w:pPr>
              <w:pStyle w:val="TableText"/>
              <w:spacing w:before="40" w:after="40"/>
              <w:jc w:val="center"/>
              <w:rPr>
                <w:rFonts w:cs="Calibri"/>
                <w:szCs w:val="18"/>
              </w:rPr>
            </w:pPr>
            <w:r w:rsidRPr="0018386D">
              <w:rPr>
                <w:rFonts w:cs="Calibri"/>
                <w:szCs w:val="18"/>
              </w:rPr>
              <w:t>2.69</w:t>
            </w:r>
          </w:p>
        </w:tc>
        <w:tc>
          <w:tcPr>
            <w:tcW w:w="1124" w:type="dxa"/>
            <w:shd w:val="clear" w:color="auto" w:fill="FFFFFF" w:themeFill="background1"/>
            <w:noWrap/>
            <w:hideMark/>
          </w:tcPr>
          <w:p w14:paraId="0DD17D0F" w14:textId="663C24A3" w:rsidR="008E2ED2" w:rsidRPr="0018386D" w:rsidRDefault="008E2ED2" w:rsidP="00DD3106">
            <w:pPr>
              <w:pStyle w:val="TableText"/>
              <w:spacing w:before="40" w:after="40"/>
              <w:jc w:val="center"/>
              <w:rPr>
                <w:rFonts w:cs="Calibri"/>
                <w:szCs w:val="18"/>
              </w:rPr>
            </w:pPr>
            <w:r w:rsidRPr="0018386D">
              <w:rPr>
                <w:rFonts w:cs="Calibri"/>
                <w:szCs w:val="18"/>
              </w:rPr>
              <w:t>2.67</w:t>
            </w:r>
          </w:p>
        </w:tc>
        <w:tc>
          <w:tcPr>
            <w:tcW w:w="1264" w:type="dxa"/>
            <w:shd w:val="clear" w:color="auto" w:fill="FFFFFF" w:themeFill="background1"/>
            <w:noWrap/>
            <w:hideMark/>
          </w:tcPr>
          <w:p w14:paraId="38B75E19" w14:textId="2C566578" w:rsidR="008E2ED2" w:rsidRPr="0018386D" w:rsidRDefault="008E2ED2" w:rsidP="00DD3106">
            <w:pPr>
              <w:pStyle w:val="TableText"/>
              <w:spacing w:before="40" w:after="40"/>
              <w:jc w:val="center"/>
              <w:rPr>
                <w:rFonts w:cs="Calibri"/>
                <w:szCs w:val="18"/>
              </w:rPr>
            </w:pPr>
            <w:r w:rsidRPr="0018386D">
              <w:rPr>
                <w:rFonts w:cs="Calibri"/>
                <w:szCs w:val="18"/>
              </w:rPr>
              <w:t>0.0102</w:t>
            </w:r>
          </w:p>
        </w:tc>
        <w:tc>
          <w:tcPr>
            <w:tcW w:w="1203" w:type="dxa"/>
            <w:shd w:val="clear" w:color="auto" w:fill="FFFFFF" w:themeFill="background1"/>
            <w:noWrap/>
            <w:hideMark/>
          </w:tcPr>
          <w:p w14:paraId="6DA1C104" w14:textId="097F87C9" w:rsidR="008E2ED2" w:rsidRPr="0018386D" w:rsidRDefault="008E2ED2" w:rsidP="00DD3106">
            <w:pPr>
              <w:pStyle w:val="TableText"/>
              <w:spacing w:before="40" w:after="40"/>
              <w:jc w:val="center"/>
              <w:rPr>
                <w:rFonts w:cs="Calibri"/>
                <w:szCs w:val="18"/>
              </w:rPr>
            </w:pPr>
            <w:r w:rsidRPr="0018386D">
              <w:rPr>
                <w:rFonts w:cs="Calibri"/>
                <w:szCs w:val="18"/>
              </w:rPr>
              <w:t>0.00581</w:t>
            </w:r>
          </w:p>
        </w:tc>
        <w:tc>
          <w:tcPr>
            <w:tcW w:w="1263" w:type="dxa"/>
            <w:shd w:val="clear" w:color="auto" w:fill="FFFFFF" w:themeFill="background1"/>
            <w:noWrap/>
            <w:hideMark/>
          </w:tcPr>
          <w:p w14:paraId="7176B1C8" w14:textId="3CDD36E4" w:rsidR="008E2ED2" w:rsidRPr="0018386D" w:rsidRDefault="00A3501D" w:rsidP="00DD3106">
            <w:pPr>
              <w:pStyle w:val="TableText"/>
              <w:spacing w:before="40" w:after="40"/>
              <w:jc w:val="center"/>
              <w:rPr>
                <w:rFonts w:cs="Calibri"/>
                <w:szCs w:val="18"/>
              </w:rPr>
            </w:pPr>
            <w:r w:rsidRPr="0018386D">
              <w:rPr>
                <w:rFonts w:cs="Calibri"/>
                <w:szCs w:val="18"/>
              </w:rPr>
              <w:t>0.5%</w:t>
            </w:r>
          </w:p>
        </w:tc>
      </w:tr>
      <w:tr w:rsidR="005016C2" w:rsidRPr="0018386D" w14:paraId="2E885EB1" w14:textId="77777777" w:rsidTr="008B0B1F">
        <w:trPr>
          <w:divId w:val="1990136145"/>
        </w:trPr>
        <w:tc>
          <w:tcPr>
            <w:tcW w:w="1824" w:type="dxa"/>
            <w:shd w:val="clear" w:color="auto" w:fill="FFFFFF" w:themeFill="background1"/>
            <w:noWrap/>
            <w:hideMark/>
          </w:tcPr>
          <w:p w14:paraId="2060DBB5" w14:textId="77777777" w:rsidR="008E2ED2" w:rsidRPr="0018386D" w:rsidRDefault="008E2ED2" w:rsidP="00DD3106">
            <w:pPr>
              <w:pStyle w:val="TableText"/>
              <w:spacing w:before="40" w:after="40"/>
              <w:rPr>
                <w:rFonts w:cs="Calibri"/>
                <w:szCs w:val="18"/>
              </w:rPr>
            </w:pPr>
            <w:r w:rsidRPr="0018386D">
              <w:rPr>
                <w:rFonts w:cs="Calibri"/>
                <w:szCs w:val="18"/>
              </w:rPr>
              <w:t>LPG</w:t>
            </w:r>
          </w:p>
        </w:tc>
        <w:tc>
          <w:tcPr>
            <w:tcW w:w="563" w:type="dxa"/>
            <w:shd w:val="clear" w:color="auto" w:fill="FFFFFF" w:themeFill="background1"/>
            <w:noWrap/>
            <w:hideMark/>
          </w:tcPr>
          <w:p w14:paraId="3ED9636E"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34C8410A" w14:textId="7C88DFAA" w:rsidR="008E2ED2" w:rsidRPr="0018386D" w:rsidRDefault="008E2ED2" w:rsidP="00DD3106">
            <w:pPr>
              <w:pStyle w:val="TableText"/>
              <w:spacing w:before="40" w:after="40"/>
              <w:jc w:val="center"/>
              <w:rPr>
                <w:rFonts w:cs="Calibri"/>
                <w:szCs w:val="18"/>
              </w:rPr>
            </w:pPr>
            <w:r w:rsidRPr="0018386D">
              <w:rPr>
                <w:rFonts w:cs="Calibri"/>
                <w:szCs w:val="18"/>
              </w:rPr>
              <w:t>2.97</w:t>
            </w:r>
          </w:p>
        </w:tc>
        <w:tc>
          <w:tcPr>
            <w:tcW w:w="1124" w:type="dxa"/>
            <w:shd w:val="clear" w:color="auto" w:fill="FFFFFF" w:themeFill="background1"/>
            <w:noWrap/>
            <w:hideMark/>
          </w:tcPr>
          <w:p w14:paraId="0173DA74" w14:textId="29F97F0F" w:rsidR="008E2ED2" w:rsidRPr="0018386D" w:rsidRDefault="008E2ED2" w:rsidP="00DD3106">
            <w:pPr>
              <w:pStyle w:val="TableText"/>
              <w:spacing w:before="40" w:after="40"/>
              <w:jc w:val="center"/>
              <w:rPr>
                <w:rFonts w:cs="Calibri"/>
                <w:szCs w:val="18"/>
              </w:rPr>
            </w:pPr>
            <w:r w:rsidRPr="0018386D">
              <w:rPr>
                <w:rFonts w:cs="Calibri"/>
                <w:szCs w:val="18"/>
              </w:rPr>
              <w:t>2.96</w:t>
            </w:r>
          </w:p>
        </w:tc>
        <w:tc>
          <w:tcPr>
            <w:tcW w:w="1264" w:type="dxa"/>
            <w:shd w:val="clear" w:color="auto" w:fill="FFFFFF" w:themeFill="background1"/>
            <w:noWrap/>
            <w:hideMark/>
          </w:tcPr>
          <w:p w14:paraId="549041FF" w14:textId="638C377E" w:rsidR="008E2ED2" w:rsidRPr="0018386D" w:rsidRDefault="008E2ED2" w:rsidP="00DD3106">
            <w:pPr>
              <w:pStyle w:val="TableText"/>
              <w:spacing w:before="40" w:after="40"/>
              <w:jc w:val="center"/>
              <w:rPr>
                <w:rFonts w:cs="Calibri"/>
                <w:szCs w:val="18"/>
              </w:rPr>
            </w:pPr>
            <w:r w:rsidRPr="0018386D">
              <w:rPr>
                <w:rFonts w:cs="Calibri"/>
                <w:szCs w:val="18"/>
              </w:rPr>
              <w:t>0.00665</w:t>
            </w:r>
          </w:p>
        </w:tc>
        <w:tc>
          <w:tcPr>
            <w:tcW w:w="1203" w:type="dxa"/>
            <w:shd w:val="clear" w:color="auto" w:fill="FFFFFF" w:themeFill="background1"/>
            <w:noWrap/>
            <w:hideMark/>
          </w:tcPr>
          <w:p w14:paraId="3D40B3C5" w14:textId="1539BCD6" w:rsidR="008E2ED2" w:rsidRPr="0018386D" w:rsidRDefault="008E2ED2" w:rsidP="00DD3106">
            <w:pPr>
              <w:pStyle w:val="TableText"/>
              <w:spacing w:before="40" w:after="40"/>
              <w:jc w:val="center"/>
              <w:rPr>
                <w:rFonts w:cs="Calibri"/>
                <w:szCs w:val="18"/>
              </w:rPr>
            </w:pPr>
            <w:r w:rsidRPr="0018386D">
              <w:rPr>
                <w:rFonts w:cs="Calibri"/>
                <w:szCs w:val="18"/>
              </w:rPr>
              <w:t>0.00126</w:t>
            </w:r>
          </w:p>
        </w:tc>
        <w:tc>
          <w:tcPr>
            <w:tcW w:w="1263" w:type="dxa"/>
            <w:shd w:val="clear" w:color="auto" w:fill="FFFFFF" w:themeFill="background1"/>
            <w:noWrap/>
            <w:hideMark/>
          </w:tcPr>
          <w:p w14:paraId="763D7397" w14:textId="5AB687E9" w:rsidR="008E2ED2" w:rsidRPr="0018386D" w:rsidRDefault="00A3501D" w:rsidP="00DD3106">
            <w:pPr>
              <w:pStyle w:val="TableText"/>
              <w:spacing w:before="40" w:after="40"/>
              <w:jc w:val="center"/>
              <w:rPr>
                <w:rFonts w:cs="Calibri"/>
                <w:szCs w:val="18"/>
              </w:rPr>
            </w:pPr>
            <w:r w:rsidRPr="0018386D">
              <w:rPr>
                <w:rFonts w:cs="Calibri"/>
                <w:szCs w:val="18"/>
              </w:rPr>
              <w:t>0.5%</w:t>
            </w:r>
          </w:p>
        </w:tc>
      </w:tr>
      <w:tr w:rsidR="005016C2" w:rsidRPr="0018386D" w14:paraId="789B02F9" w14:textId="77777777" w:rsidTr="008B0B1F">
        <w:trPr>
          <w:divId w:val="1990136145"/>
        </w:trPr>
        <w:tc>
          <w:tcPr>
            <w:tcW w:w="1824" w:type="dxa"/>
            <w:shd w:val="clear" w:color="auto" w:fill="FFFFFF" w:themeFill="background1"/>
            <w:noWrap/>
            <w:hideMark/>
          </w:tcPr>
          <w:p w14:paraId="40A58970" w14:textId="0620BA67" w:rsidR="008E2ED2" w:rsidRPr="0018386D" w:rsidRDefault="008E2ED2" w:rsidP="00DD3106">
            <w:pPr>
              <w:pStyle w:val="TableText"/>
              <w:spacing w:before="40" w:after="40"/>
              <w:rPr>
                <w:rFonts w:cs="Calibri"/>
                <w:szCs w:val="18"/>
              </w:rPr>
            </w:pPr>
            <w:r w:rsidRPr="0018386D">
              <w:rPr>
                <w:rFonts w:cs="Calibri"/>
                <w:szCs w:val="18"/>
              </w:rPr>
              <w:t xml:space="preserve">Heavy </w:t>
            </w:r>
            <w:r w:rsidR="00AC6745" w:rsidRPr="0018386D">
              <w:rPr>
                <w:rFonts w:cs="Calibri"/>
                <w:szCs w:val="18"/>
              </w:rPr>
              <w:t>f</w:t>
            </w:r>
            <w:r w:rsidRPr="0018386D">
              <w:rPr>
                <w:rFonts w:cs="Calibri"/>
                <w:szCs w:val="18"/>
              </w:rPr>
              <w:t xml:space="preserve">uel </w:t>
            </w:r>
            <w:r w:rsidR="00AC6745" w:rsidRPr="0018386D">
              <w:rPr>
                <w:rFonts w:cs="Calibri"/>
                <w:szCs w:val="18"/>
              </w:rPr>
              <w:t>o</w:t>
            </w:r>
            <w:r w:rsidRPr="0018386D">
              <w:rPr>
                <w:rFonts w:cs="Calibri"/>
                <w:szCs w:val="18"/>
              </w:rPr>
              <w:t>il</w:t>
            </w:r>
          </w:p>
        </w:tc>
        <w:tc>
          <w:tcPr>
            <w:tcW w:w="563" w:type="dxa"/>
            <w:shd w:val="clear" w:color="auto" w:fill="FFFFFF" w:themeFill="background1"/>
            <w:noWrap/>
            <w:hideMark/>
          </w:tcPr>
          <w:p w14:paraId="29965F10" w14:textId="77777777" w:rsidR="008E2ED2" w:rsidRPr="0018386D" w:rsidRDefault="008E2ED2" w:rsidP="00DD3106">
            <w:pPr>
              <w:pStyle w:val="TableText"/>
              <w:spacing w:before="40" w:after="40"/>
              <w:jc w:val="center"/>
              <w:rPr>
                <w:rFonts w:cs="Calibri"/>
                <w:szCs w:val="18"/>
              </w:rPr>
            </w:pPr>
            <w:r w:rsidRPr="0018386D">
              <w:rPr>
                <w:rFonts w:cs="Calibri"/>
                <w:szCs w:val="18"/>
              </w:rPr>
              <w:t>litre</w:t>
            </w:r>
          </w:p>
        </w:tc>
        <w:tc>
          <w:tcPr>
            <w:tcW w:w="1264" w:type="dxa"/>
            <w:shd w:val="clear" w:color="auto" w:fill="D2DDE1" w:themeFill="background2"/>
            <w:noWrap/>
            <w:hideMark/>
          </w:tcPr>
          <w:p w14:paraId="08C9A655" w14:textId="5F1E9661" w:rsidR="008E2ED2" w:rsidRPr="0018386D" w:rsidRDefault="008E2ED2" w:rsidP="00DD3106">
            <w:pPr>
              <w:pStyle w:val="TableText"/>
              <w:spacing w:before="40" w:after="40"/>
              <w:jc w:val="center"/>
              <w:rPr>
                <w:rFonts w:cs="Calibri"/>
                <w:szCs w:val="18"/>
              </w:rPr>
            </w:pPr>
            <w:r w:rsidRPr="0018386D">
              <w:rPr>
                <w:rFonts w:cs="Calibri"/>
                <w:szCs w:val="18"/>
              </w:rPr>
              <w:t>3.00</w:t>
            </w:r>
          </w:p>
        </w:tc>
        <w:tc>
          <w:tcPr>
            <w:tcW w:w="1124" w:type="dxa"/>
            <w:shd w:val="clear" w:color="auto" w:fill="FFFFFF" w:themeFill="background1"/>
            <w:noWrap/>
            <w:hideMark/>
          </w:tcPr>
          <w:p w14:paraId="3AFEC33A" w14:textId="378413BE" w:rsidR="008E2ED2" w:rsidRPr="0018386D" w:rsidRDefault="008E2ED2" w:rsidP="00DD3106">
            <w:pPr>
              <w:pStyle w:val="TableText"/>
              <w:spacing w:before="40" w:after="40"/>
              <w:jc w:val="center"/>
              <w:rPr>
                <w:rFonts w:cs="Calibri"/>
                <w:szCs w:val="18"/>
              </w:rPr>
            </w:pPr>
            <w:r w:rsidRPr="0018386D">
              <w:rPr>
                <w:rFonts w:cs="Calibri"/>
                <w:szCs w:val="18"/>
              </w:rPr>
              <w:t>2.99</w:t>
            </w:r>
          </w:p>
        </w:tc>
        <w:tc>
          <w:tcPr>
            <w:tcW w:w="1264" w:type="dxa"/>
            <w:shd w:val="clear" w:color="auto" w:fill="FFFFFF" w:themeFill="background1"/>
            <w:noWrap/>
            <w:hideMark/>
          </w:tcPr>
          <w:p w14:paraId="5A945253" w14:textId="60F62C60" w:rsidR="008E2ED2" w:rsidRPr="0018386D" w:rsidRDefault="008E2ED2" w:rsidP="00DD3106">
            <w:pPr>
              <w:pStyle w:val="TableText"/>
              <w:spacing w:before="40" w:after="40"/>
              <w:jc w:val="center"/>
              <w:rPr>
                <w:rFonts w:cs="Calibri"/>
                <w:szCs w:val="18"/>
              </w:rPr>
            </w:pPr>
            <w:r w:rsidRPr="0018386D">
              <w:rPr>
                <w:rFonts w:cs="Calibri"/>
                <w:szCs w:val="18"/>
              </w:rPr>
              <w:t>0.0108</w:t>
            </w:r>
          </w:p>
        </w:tc>
        <w:tc>
          <w:tcPr>
            <w:tcW w:w="1203" w:type="dxa"/>
            <w:shd w:val="clear" w:color="auto" w:fill="FFFFFF" w:themeFill="background1"/>
            <w:noWrap/>
            <w:hideMark/>
          </w:tcPr>
          <w:p w14:paraId="07271438" w14:textId="5F113C3C" w:rsidR="008E2ED2" w:rsidRPr="0018386D" w:rsidRDefault="008E2ED2" w:rsidP="00DD3106">
            <w:pPr>
              <w:pStyle w:val="TableText"/>
              <w:spacing w:before="40" w:after="40"/>
              <w:jc w:val="center"/>
              <w:rPr>
                <w:rFonts w:cs="Calibri"/>
                <w:szCs w:val="18"/>
              </w:rPr>
            </w:pPr>
            <w:r w:rsidRPr="0018386D">
              <w:rPr>
                <w:rFonts w:cs="Calibri"/>
                <w:szCs w:val="18"/>
              </w:rPr>
              <w:t>0.00615</w:t>
            </w:r>
          </w:p>
        </w:tc>
        <w:tc>
          <w:tcPr>
            <w:tcW w:w="1263" w:type="dxa"/>
            <w:shd w:val="clear" w:color="auto" w:fill="FFFFFF" w:themeFill="background1"/>
            <w:noWrap/>
            <w:hideMark/>
          </w:tcPr>
          <w:p w14:paraId="013F6890" w14:textId="4AF36706" w:rsidR="008E2ED2" w:rsidRPr="0018386D" w:rsidRDefault="00A3501D" w:rsidP="00DD3106">
            <w:pPr>
              <w:pStyle w:val="TableText"/>
              <w:spacing w:before="40" w:after="40"/>
              <w:jc w:val="center"/>
              <w:rPr>
                <w:rFonts w:cs="Calibri"/>
                <w:szCs w:val="18"/>
              </w:rPr>
            </w:pPr>
            <w:r w:rsidRPr="0018386D">
              <w:rPr>
                <w:rFonts w:cs="Calibri"/>
                <w:szCs w:val="18"/>
              </w:rPr>
              <w:t>0.5%</w:t>
            </w:r>
          </w:p>
        </w:tc>
      </w:tr>
      <w:tr w:rsidR="005016C2" w:rsidRPr="0018386D" w14:paraId="180AFDB3" w14:textId="77777777" w:rsidTr="00905A73">
        <w:trPr>
          <w:divId w:val="1990136145"/>
        </w:trPr>
        <w:tc>
          <w:tcPr>
            <w:tcW w:w="1824" w:type="dxa"/>
            <w:tcBorders>
              <w:bottom w:val="single" w:sz="4" w:space="0" w:color="auto"/>
            </w:tcBorders>
            <w:shd w:val="clear" w:color="auto" w:fill="FFFFFF" w:themeFill="background1"/>
            <w:noWrap/>
            <w:hideMark/>
          </w:tcPr>
          <w:p w14:paraId="6DCE002B" w14:textId="56788973" w:rsidR="008E2ED2" w:rsidRPr="0018386D" w:rsidRDefault="008E2ED2" w:rsidP="00DD3106">
            <w:pPr>
              <w:pStyle w:val="TableText"/>
              <w:spacing w:before="40" w:after="40"/>
              <w:rPr>
                <w:rFonts w:cs="Calibri"/>
                <w:szCs w:val="18"/>
              </w:rPr>
            </w:pPr>
            <w:r w:rsidRPr="0018386D">
              <w:rPr>
                <w:rFonts w:cs="Calibri"/>
                <w:szCs w:val="18"/>
              </w:rPr>
              <w:t xml:space="preserve">Light </w:t>
            </w:r>
            <w:r w:rsidR="00AC6745" w:rsidRPr="0018386D">
              <w:rPr>
                <w:rFonts w:cs="Calibri"/>
                <w:szCs w:val="18"/>
              </w:rPr>
              <w:t>f</w:t>
            </w:r>
            <w:r w:rsidRPr="0018386D">
              <w:rPr>
                <w:rFonts w:cs="Calibri"/>
                <w:szCs w:val="18"/>
              </w:rPr>
              <w:t xml:space="preserve">uel </w:t>
            </w:r>
            <w:r w:rsidR="00AC6745" w:rsidRPr="0018386D">
              <w:rPr>
                <w:rFonts w:cs="Calibri"/>
                <w:szCs w:val="18"/>
              </w:rPr>
              <w:t>o</w:t>
            </w:r>
            <w:r w:rsidRPr="0018386D">
              <w:rPr>
                <w:rFonts w:cs="Calibri"/>
                <w:szCs w:val="18"/>
              </w:rPr>
              <w:t>il</w:t>
            </w:r>
          </w:p>
        </w:tc>
        <w:tc>
          <w:tcPr>
            <w:tcW w:w="563" w:type="dxa"/>
            <w:shd w:val="clear" w:color="auto" w:fill="FFFFFF" w:themeFill="background1"/>
            <w:noWrap/>
            <w:hideMark/>
          </w:tcPr>
          <w:p w14:paraId="12E964CA" w14:textId="77777777" w:rsidR="008E2ED2" w:rsidRPr="0018386D" w:rsidRDefault="008E2ED2" w:rsidP="00DD3106">
            <w:pPr>
              <w:pStyle w:val="TableText"/>
              <w:spacing w:before="40" w:after="40"/>
              <w:jc w:val="center"/>
              <w:rPr>
                <w:rFonts w:cs="Calibri"/>
                <w:szCs w:val="18"/>
              </w:rPr>
            </w:pPr>
            <w:r w:rsidRPr="0018386D">
              <w:rPr>
                <w:rFonts w:cs="Calibri"/>
                <w:szCs w:val="18"/>
              </w:rPr>
              <w:t>litre</w:t>
            </w:r>
          </w:p>
        </w:tc>
        <w:tc>
          <w:tcPr>
            <w:tcW w:w="1264" w:type="dxa"/>
            <w:shd w:val="clear" w:color="auto" w:fill="D2DDE1" w:themeFill="background2"/>
            <w:noWrap/>
            <w:hideMark/>
          </w:tcPr>
          <w:p w14:paraId="1ECC53E7" w14:textId="07AD71E8" w:rsidR="008E2ED2" w:rsidRPr="0018386D" w:rsidRDefault="008E2ED2" w:rsidP="00DD3106">
            <w:pPr>
              <w:pStyle w:val="TableText"/>
              <w:spacing w:before="40" w:after="40"/>
              <w:jc w:val="center"/>
              <w:rPr>
                <w:rFonts w:cs="Calibri"/>
                <w:szCs w:val="18"/>
              </w:rPr>
            </w:pPr>
            <w:r w:rsidRPr="0018386D">
              <w:rPr>
                <w:rFonts w:cs="Calibri"/>
                <w:szCs w:val="18"/>
              </w:rPr>
              <w:t>2.97</w:t>
            </w:r>
          </w:p>
        </w:tc>
        <w:tc>
          <w:tcPr>
            <w:tcW w:w="1124" w:type="dxa"/>
            <w:shd w:val="clear" w:color="auto" w:fill="FFFFFF" w:themeFill="background1"/>
            <w:noWrap/>
            <w:hideMark/>
          </w:tcPr>
          <w:p w14:paraId="1FBB9970" w14:textId="6A3F718D" w:rsidR="008E2ED2" w:rsidRPr="0018386D" w:rsidRDefault="008E2ED2" w:rsidP="00DD3106">
            <w:pPr>
              <w:pStyle w:val="TableText"/>
              <w:spacing w:before="40" w:after="40"/>
              <w:jc w:val="center"/>
              <w:rPr>
                <w:rFonts w:cs="Calibri"/>
                <w:szCs w:val="18"/>
              </w:rPr>
            </w:pPr>
            <w:r w:rsidRPr="0018386D">
              <w:rPr>
                <w:rFonts w:cs="Calibri"/>
                <w:szCs w:val="18"/>
              </w:rPr>
              <w:t>2.95</w:t>
            </w:r>
          </w:p>
        </w:tc>
        <w:tc>
          <w:tcPr>
            <w:tcW w:w="1264" w:type="dxa"/>
            <w:shd w:val="clear" w:color="auto" w:fill="FFFFFF" w:themeFill="background1"/>
            <w:noWrap/>
            <w:hideMark/>
          </w:tcPr>
          <w:p w14:paraId="7AFA3354" w14:textId="1EF41B9F" w:rsidR="008E2ED2" w:rsidRPr="0018386D" w:rsidRDefault="008E2ED2" w:rsidP="00DD3106">
            <w:pPr>
              <w:pStyle w:val="TableText"/>
              <w:spacing w:before="40" w:after="40"/>
              <w:jc w:val="center"/>
              <w:rPr>
                <w:rFonts w:cs="Calibri"/>
                <w:szCs w:val="18"/>
              </w:rPr>
            </w:pPr>
            <w:r w:rsidRPr="0018386D">
              <w:rPr>
                <w:rFonts w:cs="Calibri"/>
                <w:szCs w:val="18"/>
              </w:rPr>
              <w:t>0.0108</w:t>
            </w:r>
          </w:p>
        </w:tc>
        <w:tc>
          <w:tcPr>
            <w:tcW w:w="1203" w:type="dxa"/>
            <w:shd w:val="clear" w:color="auto" w:fill="FFFFFF" w:themeFill="background1"/>
            <w:noWrap/>
            <w:hideMark/>
          </w:tcPr>
          <w:p w14:paraId="6B900EF4" w14:textId="15D45DBC" w:rsidR="008E2ED2" w:rsidRPr="0018386D" w:rsidRDefault="008E2ED2" w:rsidP="00DD3106">
            <w:pPr>
              <w:pStyle w:val="TableText"/>
              <w:spacing w:before="40" w:after="40"/>
              <w:jc w:val="center"/>
              <w:rPr>
                <w:rFonts w:cs="Calibri"/>
                <w:szCs w:val="18"/>
              </w:rPr>
            </w:pPr>
            <w:r w:rsidRPr="0018386D">
              <w:rPr>
                <w:rFonts w:cs="Calibri"/>
                <w:szCs w:val="18"/>
              </w:rPr>
              <w:t>0.00611</w:t>
            </w:r>
          </w:p>
        </w:tc>
        <w:tc>
          <w:tcPr>
            <w:tcW w:w="1263" w:type="dxa"/>
            <w:shd w:val="clear" w:color="auto" w:fill="FFFFFF" w:themeFill="background1"/>
            <w:noWrap/>
            <w:hideMark/>
          </w:tcPr>
          <w:p w14:paraId="109AA725" w14:textId="5E00F881" w:rsidR="008E2ED2" w:rsidRPr="0018386D" w:rsidRDefault="00A3501D" w:rsidP="00DD3106">
            <w:pPr>
              <w:pStyle w:val="TableText"/>
              <w:spacing w:before="40" w:after="40"/>
              <w:jc w:val="center"/>
              <w:rPr>
                <w:rFonts w:cs="Calibri"/>
                <w:szCs w:val="18"/>
              </w:rPr>
            </w:pPr>
            <w:r w:rsidRPr="0018386D">
              <w:rPr>
                <w:rFonts w:cs="Calibri"/>
                <w:szCs w:val="18"/>
              </w:rPr>
              <w:t>0.5%</w:t>
            </w:r>
          </w:p>
        </w:tc>
      </w:tr>
      <w:tr w:rsidR="005016C2" w:rsidRPr="0018386D" w14:paraId="722C66BF" w14:textId="77777777" w:rsidTr="00905A73">
        <w:trPr>
          <w:divId w:val="1990136145"/>
        </w:trPr>
        <w:tc>
          <w:tcPr>
            <w:tcW w:w="1824" w:type="dxa"/>
            <w:tcBorders>
              <w:top w:val="single" w:sz="4" w:space="0" w:color="auto"/>
              <w:bottom w:val="nil"/>
              <w:right w:val="single" w:sz="4" w:space="0" w:color="auto"/>
            </w:tcBorders>
            <w:shd w:val="clear" w:color="000000" w:fill="FFFFFF"/>
            <w:noWrap/>
            <w:hideMark/>
          </w:tcPr>
          <w:p w14:paraId="78B38BE6" w14:textId="60C8E711" w:rsidR="008E2ED2" w:rsidRPr="0018386D" w:rsidRDefault="008E2ED2" w:rsidP="00DD3106">
            <w:pPr>
              <w:pStyle w:val="TableText"/>
              <w:spacing w:before="40" w:after="40"/>
              <w:rPr>
                <w:rFonts w:cs="Calibri"/>
                <w:szCs w:val="18"/>
              </w:rPr>
            </w:pPr>
            <w:r w:rsidRPr="0018386D">
              <w:rPr>
                <w:rFonts w:cs="Calibri"/>
                <w:szCs w:val="18"/>
              </w:rPr>
              <w:t xml:space="preserve">Natural </w:t>
            </w:r>
            <w:r w:rsidR="00AC6745" w:rsidRPr="0018386D">
              <w:rPr>
                <w:rFonts w:cs="Calibri"/>
                <w:szCs w:val="18"/>
              </w:rPr>
              <w:t>g</w:t>
            </w:r>
            <w:r w:rsidRPr="0018386D">
              <w:rPr>
                <w:rFonts w:cs="Calibri"/>
                <w:szCs w:val="18"/>
              </w:rPr>
              <w:t>as</w:t>
            </w:r>
          </w:p>
        </w:tc>
        <w:tc>
          <w:tcPr>
            <w:tcW w:w="563" w:type="dxa"/>
            <w:tcBorders>
              <w:left w:val="single" w:sz="4" w:space="0" w:color="auto"/>
            </w:tcBorders>
            <w:shd w:val="clear" w:color="auto" w:fill="FFFFFF" w:themeFill="background1"/>
            <w:noWrap/>
            <w:hideMark/>
          </w:tcPr>
          <w:p w14:paraId="1B0AE886" w14:textId="77777777" w:rsidR="008E2ED2" w:rsidRPr="0018386D" w:rsidRDefault="008E2ED2" w:rsidP="00DD3106">
            <w:pPr>
              <w:pStyle w:val="TableText"/>
              <w:spacing w:before="40" w:after="40"/>
              <w:jc w:val="center"/>
              <w:rPr>
                <w:rFonts w:cs="Calibri"/>
                <w:szCs w:val="18"/>
              </w:rPr>
            </w:pPr>
            <w:r w:rsidRPr="0018386D">
              <w:rPr>
                <w:rFonts w:cs="Calibri"/>
                <w:szCs w:val="18"/>
              </w:rPr>
              <w:t>kWh</w:t>
            </w:r>
          </w:p>
        </w:tc>
        <w:tc>
          <w:tcPr>
            <w:tcW w:w="1264" w:type="dxa"/>
            <w:shd w:val="clear" w:color="auto" w:fill="D2DDE1" w:themeFill="background2"/>
            <w:noWrap/>
            <w:hideMark/>
          </w:tcPr>
          <w:p w14:paraId="0C871ACC" w14:textId="64ACBA1F" w:rsidR="008E2ED2" w:rsidRPr="0018386D" w:rsidRDefault="008E2ED2" w:rsidP="00DD3106">
            <w:pPr>
              <w:pStyle w:val="TableText"/>
              <w:spacing w:before="40" w:after="40"/>
              <w:jc w:val="center"/>
              <w:rPr>
                <w:rFonts w:cs="Calibri"/>
                <w:szCs w:val="18"/>
              </w:rPr>
            </w:pPr>
            <w:r w:rsidRPr="0018386D">
              <w:rPr>
                <w:rFonts w:cs="Calibri"/>
                <w:szCs w:val="18"/>
              </w:rPr>
              <w:t>0.194</w:t>
            </w:r>
          </w:p>
        </w:tc>
        <w:tc>
          <w:tcPr>
            <w:tcW w:w="1124" w:type="dxa"/>
            <w:shd w:val="clear" w:color="auto" w:fill="FFFFFF" w:themeFill="background1"/>
            <w:noWrap/>
            <w:hideMark/>
          </w:tcPr>
          <w:p w14:paraId="361BCDD7" w14:textId="516D13A6" w:rsidR="008E2ED2" w:rsidRPr="0018386D" w:rsidRDefault="008E2ED2" w:rsidP="00DD3106">
            <w:pPr>
              <w:pStyle w:val="TableText"/>
              <w:spacing w:before="40" w:after="40"/>
              <w:jc w:val="center"/>
              <w:rPr>
                <w:rFonts w:cs="Calibri"/>
                <w:szCs w:val="18"/>
              </w:rPr>
            </w:pPr>
            <w:r w:rsidRPr="0018386D">
              <w:rPr>
                <w:rFonts w:cs="Calibri"/>
                <w:szCs w:val="18"/>
              </w:rPr>
              <w:t>0.193</w:t>
            </w:r>
          </w:p>
        </w:tc>
        <w:tc>
          <w:tcPr>
            <w:tcW w:w="1264" w:type="dxa"/>
            <w:shd w:val="clear" w:color="auto" w:fill="FFFFFF" w:themeFill="background1"/>
            <w:noWrap/>
            <w:hideMark/>
          </w:tcPr>
          <w:p w14:paraId="63B480C1" w14:textId="60979FB8" w:rsidR="008E2ED2" w:rsidRPr="0018386D" w:rsidRDefault="008E2ED2" w:rsidP="00DD3106">
            <w:pPr>
              <w:pStyle w:val="TableText"/>
              <w:spacing w:before="40" w:after="40"/>
              <w:jc w:val="center"/>
              <w:rPr>
                <w:rFonts w:cs="Calibri"/>
                <w:szCs w:val="18"/>
              </w:rPr>
            </w:pPr>
            <w:r w:rsidRPr="0018386D">
              <w:rPr>
                <w:rFonts w:cs="Calibri"/>
                <w:szCs w:val="18"/>
              </w:rPr>
              <w:t>0.0005</w:t>
            </w:r>
          </w:p>
        </w:tc>
        <w:tc>
          <w:tcPr>
            <w:tcW w:w="1203" w:type="dxa"/>
            <w:shd w:val="clear" w:color="auto" w:fill="FFFFFF" w:themeFill="background1"/>
            <w:noWrap/>
            <w:hideMark/>
          </w:tcPr>
          <w:p w14:paraId="1EBC492D" w14:textId="633B8800" w:rsidR="008E2ED2" w:rsidRPr="0018386D" w:rsidRDefault="008E2ED2" w:rsidP="00DD3106">
            <w:pPr>
              <w:pStyle w:val="TableText"/>
              <w:spacing w:before="40" w:after="40"/>
              <w:jc w:val="center"/>
              <w:rPr>
                <w:rFonts w:cs="Calibri"/>
                <w:szCs w:val="18"/>
              </w:rPr>
            </w:pPr>
            <w:r w:rsidRPr="0018386D">
              <w:rPr>
                <w:rFonts w:cs="Calibri"/>
                <w:szCs w:val="18"/>
              </w:rPr>
              <w:t>0.00009</w:t>
            </w:r>
          </w:p>
        </w:tc>
        <w:tc>
          <w:tcPr>
            <w:tcW w:w="1263" w:type="dxa"/>
            <w:shd w:val="clear" w:color="auto" w:fill="FFFFFF" w:themeFill="background1"/>
            <w:noWrap/>
            <w:hideMark/>
          </w:tcPr>
          <w:p w14:paraId="38500DC1" w14:textId="4E418E20" w:rsidR="008E2ED2" w:rsidRPr="0018386D" w:rsidRDefault="00A3501D" w:rsidP="00DD3106">
            <w:pPr>
              <w:pStyle w:val="TableText"/>
              <w:spacing w:before="40" w:after="40"/>
              <w:jc w:val="center"/>
              <w:rPr>
                <w:rFonts w:cs="Calibri"/>
                <w:szCs w:val="18"/>
              </w:rPr>
            </w:pPr>
            <w:r w:rsidRPr="0018386D">
              <w:rPr>
                <w:rFonts w:cs="Calibri"/>
                <w:szCs w:val="18"/>
              </w:rPr>
              <w:t>2.4%</w:t>
            </w:r>
          </w:p>
        </w:tc>
      </w:tr>
      <w:tr w:rsidR="008B0B1F" w:rsidRPr="0018386D" w14:paraId="33D74B56" w14:textId="77777777" w:rsidTr="00905A73">
        <w:trPr>
          <w:divId w:val="1990136145"/>
        </w:trPr>
        <w:tc>
          <w:tcPr>
            <w:tcW w:w="1824" w:type="dxa"/>
            <w:tcBorders>
              <w:top w:val="nil"/>
              <w:bottom w:val="single" w:sz="4" w:space="0" w:color="auto"/>
              <w:right w:val="single" w:sz="4" w:space="0" w:color="auto"/>
            </w:tcBorders>
            <w:shd w:val="clear" w:color="000000" w:fill="FFFFFF"/>
            <w:noWrap/>
            <w:hideMark/>
          </w:tcPr>
          <w:p w14:paraId="2C6EB216" w14:textId="77777777" w:rsidR="008E2ED2" w:rsidRPr="0018386D" w:rsidRDefault="008E2ED2" w:rsidP="00DD3106">
            <w:pPr>
              <w:pStyle w:val="TableText"/>
              <w:spacing w:before="40" w:after="40"/>
              <w:rPr>
                <w:rFonts w:cs="Calibri"/>
                <w:szCs w:val="18"/>
              </w:rPr>
            </w:pPr>
            <w:r w:rsidRPr="0018386D">
              <w:rPr>
                <w:rFonts w:cs="Calibri"/>
                <w:szCs w:val="18"/>
              </w:rPr>
              <w:t> </w:t>
            </w:r>
          </w:p>
        </w:tc>
        <w:tc>
          <w:tcPr>
            <w:tcW w:w="563" w:type="dxa"/>
            <w:tcBorders>
              <w:left w:val="single" w:sz="4" w:space="0" w:color="auto"/>
            </w:tcBorders>
            <w:shd w:val="clear" w:color="auto" w:fill="FFFFFF" w:themeFill="background1"/>
            <w:noWrap/>
            <w:hideMark/>
          </w:tcPr>
          <w:p w14:paraId="2DB2C3D8" w14:textId="77777777" w:rsidR="008E2ED2" w:rsidRPr="0018386D" w:rsidRDefault="008E2ED2" w:rsidP="00DD3106">
            <w:pPr>
              <w:pStyle w:val="TableText"/>
              <w:spacing w:before="40" w:after="40"/>
              <w:jc w:val="center"/>
              <w:rPr>
                <w:rFonts w:cs="Calibri"/>
                <w:szCs w:val="18"/>
              </w:rPr>
            </w:pPr>
            <w:r w:rsidRPr="0018386D">
              <w:rPr>
                <w:rFonts w:cs="Calibri"/>
                <w:szCs w:val="18"/>
              </w:rPr>
              <w:t>GJ</w:t>
            </w:r>
          </w:p>
        </w:tc>
        <w:tc>
          <w:tcPr>
            <w:tcW w:w="1264" w:type="dxa"/>
            <w:shd w:val="clear" w:color="auto" w:fill="D2DDE1" w:themeFill="background2"/>
            <w:noWrap/>
            <w:hideMark/>
          </w:tcPr>
          <w:p w14:paraId="3E1004BE" w14:textId="7DDD5577" w:rsidR="008E2ED2" w:rsidRPr="0018386D" w:rsidRDefault="008E2ED2" w:rsidP="00DD3106">
            <w:pPr>
              <w:pStyle w:val="TableText"/>
              <w:spacing w:before="40" w:after="40"/>
              <w:jc w:val="center"/>
              <w:rPr>
                <w:rFonts w:cs="Calibri"/>
                <w:szCs w:val="18"/>
              </w:rPr>
            </w:pPr>
            <w:r w:rsidRPr="0018386D">
              <w:rPr>
                <w:rFonts w:cs="Calibri"/>
                <w:szCs w:val="18"/>
              </w:rPr>
              <w:t>53.8</w:t>
            </w:r>
          </w:p>
        </w:tc>
        <w:tc>
          <w:tcPr>
            <w:tcW w:w="1124" w:type="dxa"/>
            <w:shd w:val="clear" w:color="auto" w:fill="FFFFFF" w:themeFill="background1"/>
            <w:noWrap/>
            <w:hideMark/>
          </w:tcPr>
          <w:p w14:paraId="0792CD9C" w14:textId="2F24C4E5" w:rsidR="008E2ED2" w:rsidRPr="0018386D" w:rsidRDefault="008E2ED2" w:rsidP="00DD3106">
            <w:pPr>
              <w:pStyle w:val="TableText"/>
              <w:spacing w:before="40" w:after="40"/>
              <w:jc w:val="center"/>
              <w:rPr>
                <w:rFonts w:cs="Calibri"/>
                <w:szCs w:val="18"/>
              </w:rPr>
            </w:pPr>
            <w:r w:rsidRPr="0018386D">
              <w:rPr>
                <w:rFonts w:cs="Calibri"/>
                <w:szCs w:val="18"/>
              </w:rPr>
              <w:t>53.6</w:t>
            </w:r>
          </w:p>
        </w:tc>
        <w:tc>
          <w:tcPr>
            <w:tcW w:w="1264" w:type="dxa"/>
            <w:shd w:val="clear" w:color="auto" w:fill="FFFFFF" w:themeFill="background1"/>
            <w:noWrap/>
            <w:hideMark/>
          </w:tcPr>
          <w:p w14:paraId="25E69252" w14:textId="30A2590A" w:rsidR="008E2ED2" w:rsidRPr="0018386D" w:rsidRDefault="008E2ED2" w:rsidP="00DD3106">
            <w:pPr>
              <w:pStyle w:val="TableText"/>
              <w:spacing w:before="40" w:after="40"/>
              <w:jc w:val="center"/>
              <w:rPr>
                <w:rFonts w:cs="Calibri"/>
                <w:szCs w:val="18"/>
              </w:rPr>
            </w:pPr>
            <w:r w:rsidRPr="0018386D">
              <w:rPr>
                <w:rFonts w:cs="Calibri"/>
                <w:szCs w:val="18"/>
              </w:rPr>
              <w:t>0.126</w:t>
            </w:r>
          </w:p>
        </w:tc>
        <w:tc>
          <w:tcPr>
            <w:tcW w:w="1203" w:type="dxa"/>
            <w:shd w:val="clear" w:color="auto" w:fill="FFFFFF" w:themeFill="background1"/>
            <w:noWrap/>
            <w:hideMark/>
          </w:tcPr>
          <w:p w14:paraId="1988138E" w14:textId="7E70FAE6" w:rsidR="008E2ED2" w:rsidRPr="0018386D" w:rsidRDefault="008E2ED2" w:rsidP="00DD3106">
            <w:pPr>
              <w:pStyle w:val="TableText"/>
              <w:spacing w:before="40" w:after="40"/>
              <w:jc w:val="center"/>
              <w:rPr>
                <w:rFonts w:cs="Calibri"/>
                <w:szCs w:val="18"/>
              </w:rPr>
            </w:pPr>
            <w:r w:rsidRPr="0018386D">
              <w:rPr>
                <w:rFonts w:cs="Calibri"/>
                <w:color w:val="000000" w:themeColor="text1"/>
                <w:szCs w:val="18"/>
              </w:rPr>
              <w:t>0.023</w:t>
            </w:r>
            <w:r w:rsidR="00DF15AC" w:rsidRPr="0018386D">
              <w:rPr>
                <w:rFonts w:cs="Calibri"/>
                <w:color w:val="000000" w:themeColor="text1"/>
                <w:szCs w:val="18"/>
              </w:rPr>
              <w:t>9</w:t>
            </w:r>
          </w:p>
        </w:tc>
        <w:tc>
          <w:tcPr>
            <w:tcW w:w="1263" w:type="dxa"/>
            <w:shd w:val="clear" w:color="auto" w:fill="FFFFFF" w:themeFill="background1"/>
            <w:noWrap/>
            <w:hideMark/>
          </w:tcPr>
          <w:p w14:paraId="1462F82B" w14:textId="5A31406F" w:rsidR="008E2ED2" w:rsidRPr="0018386D" w:rsidRDefault="00A3501D" w:rsidP="00DD3106">
            <w:pPr>
              <w:pStyle w:val="TableText"/>
              <w:spacing w:before="40" w:after="40"/>
              <w:jc w:val="center"/>
              <w:rPr>
                <w:rFonts w:cs="Calibri"/>
                <w:szCs w:val="18"/>
              </w:rPr>
            </w:pPr>
            <w:r w:rsidRPr="0018386D">
              <w:rPr>
                <w:rFonts w:cs="Calibri"/>
                <w:szCs w:val="18"/>
              </w:rPr>
              <w:t>2.4%</w:t>
            </w:r>
          </w:p>
        </w:tc>
      </w:tr>
      <w:tr w:rsidR="008B0B1F" w:rsidRPr="0018386D" w14:paraId="6F2B90D3" w14:textId="77777777" w:rsidTr="00905A73">
        <w:trPr>
          <w:divId w:val="1990136145"/>
        </w:trPr>
        <w:tc>
          <w:tcPr>
            <w:tcW w:w="1824" w:type="dxa"/>
            <w:tcBorders>
              <w:top w:val="single" w:sz="4" w:space="0" w:color="auto"/>
            </w:tcBorders>
            <w:shd w:val="clear" w:color="auto" w:fill="D2DDE1" w:themeFill="background2"/>
            <w:noWrap/>
            <w:hideMark/>
          </w:tcPr>
          <w:p w14:paraId="6571E12E" w14:textId="20F2E6E6" w:rsidR="008E2ED2" w:rsidRPr="0018386D" w:rsidRDefault="008E2ED2" w:rsidP="00DD3106">
            <w:pPr>
              <w:pStyle w:val="TableTextbold"/>
              <w:spacing w:before="40" w:after="40"/>
              <w:rPr>
                <w:rFonts w:cs="Calibri"/>
                <w:szCs w:val="18"/>
              </w:rPr>
            </w:pPr>
            <w:r w:rsidRPr="0018386D">
              <w:rPr>
                <w:rFonts w:cs="Calibri"/>
                <w:szCs w:val="18"/>
              </w:rPr>
              <w:t xml:space="preserve">Industrial </w:t>
            </w:r>
            <w:r w:rsidR="00AC6745" w:rsidRPr="0018386D">
              <w:rPr>
                <w:rFonts w:cs="Calibri"/>
                <w:szCs w:val="18"/>
              </w:rPr>
              <w:t>u</w:t>
            </w:r>
            <w:r w:rsidRPr="0018386D">
              <w:rPr>
                <w:rFonts w:cs="Calibri"/>
                <w:szCs w:val="18"/>
              </w:rPr>
              <w:t>se</w:t>
            </w:r>
          </w:p>
        </w:tc>
        <w:tc>
          <w:tcPr>
            <w:tcW w:w="563" w:type="dxa"/>
            <w:shd w:val="clear" w:color="auto" w:fill="D2DDE1" w:themeFill="background2"/>
            <w:noWrap/>
            <w:hideMark/>
          </w:tcPr>
          <w:p w14:paraId="5CD891BA"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4" w:type="dxa"/>
            <w:shd w:val="clear" w:color="auto" w:fill="D2DDE1" w:themeFill="background2"/>
            <w:noWrap/>
            <w:hideMark/>
          </w:tcPr>
          <w:p w14:paraId="7B5B7B9C"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124" w:type="dxa"/>
            <w:shd w:val="clear" w:color="auto" w:fill="D2DDE1" w:themeFill="background2"/>
            <w:noWrap/>
            <w:hideMark/>
          </w:tcPr>
          <w:p w14:paraId="7FA21737"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4" w:type="dxa"/>
            <w:shd w:val="clear" w:color="auto" w:fill="D2DDE1" w:themeFill="background2"/>
            <w:noWrap/>
            <w:hideMark/>
          </w:tcPr>
          <w:p w14:paraId="08618974"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03" w:type="dxa"/>
            <w:shd w:val="clear" w:color="auto" w:fill="D2DDE1" w:themeFill="background2"/>
            <w:noWrap/>
            <w:hideMark/>
          </w:tcPr>
          <w:p w14:paraId="20E2CCFB" w14:textId="77777777" w:rsidR="008E2ED2" w:rsidRPr="0018386D" w:rsidRDefault="008E2ED2" w:rsidP="00DD3106">
            <w:pPr>
              <w:pStyle w:val="TableTextbold"/>
              <w:spacing w:before="40" w:after="40"/>
              <w:rPr>
                <w:rFonts w:cs="Calibri"/>
                <w:szCs w:val="18"/>
              </w:rPr>
            </w:pPr>
            <w:r w:rsidRPr="0018386D">
              <w:rPr>
                <w:rFonts w:cs="Calibri"/>
                <w:szCs w:val="18"/>
              </w:rPr>
              <w:t> </w:t>
            </w:r>
          </w:p>
        </w:tc>
        <w:tc>
          <w:tcPr>
            <w:tcW w:w="1263" w:type="dxa"/>
            <w:shd w:val="clear" w:color="auto" w:fill="D2DDE1" w:themeFill="background2"/>
            <w:noWrap/>
            <w:hideMark/>
          </w:tcPr>
          <w:p w14:paraId="37DE889C" w14:textId="77777777" w:rsidR="008E2ED2" w:rsidRPr="0018386D" w:rsidRDefault="008E2ED2" w:rsidP="00DD3106">
            <w:pPr>
              <w:pStyle w:val="TableTextbold"/>
              <w:spacing w:before="40" w:after="40"/>
              <w:rPr>
                <w:rFonts w:cs="Calibri"/>
                <w:szCs w:val="18"/>
              </w:rPr>
            </w:pPr>
            <w:r w:rsidRPr="0018386D">
              <w:rPr>
                <w:rFonts w:cs="Calibri"/>
                <w:szCs w:val="18"/>
              </w:rPr>
              <w:t> </w:t>
            </w:r>
          </w:p>
        </w:tc>
      </w:tr>
      <w:tr w:rsidR="008B0B1F" w:rsidRPr="0018386D" w14:paraId="55B2431B" w14:textId="77777777" w:rsidTr="008B0B1F">
        <w:trPr>
          <w:divId w:val="1990136145"/>
        </w:trPr>
        <w:tc>
          <w:tcPr>
            <w:tcW w:w="1824" w:type="dxa"/>
            <w:shd w:val="clear" w:color="auto" w:fill="FFFFFF" w:themeFill="background1"/>
            <w:noWrap/>
            <w:hideMark/>
          </w:tcPr>
          <w:p w14:paraId="755FEBC8" w14:textId="691778A1"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Default</w:t>
            </w:r>
          </w:p>
        </w:tc>
        <w:tc>
          <w:tcPr>
            <w:tcW w:w="563" w:type="dxa"/>
            <w:shd w:val="clear" w:color="auto" w:fill="FFFFFF" w:themeFill="background1"/>
            <w:noWrap/>
            <w:hideMark/>
          </w:tcPr>
          <w:p w14:paraId="7BE53EAE"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24A29020" w14:textId="447B958D" w:rsidR="008E2ED2" w:rsidRPr="0018386D" w:rsidRDefault="008E2ED2" w:rsidP="00DD3106">
            <w:pPr>
              <w:pStyle w:val="TableText"/>
              <w:spacing w:before="40" w:after="40"/>
              <w:jc w:val="center"/>
              <w:rPr>
                <w:rFonts w:cs="Calibri"/>
                <w:szCs w:val="18"/>
              </w:rPr>
            </w:pPr>
            <w:r w:rsidRPr="0018386D">
              <w:rPr>
                <w:rFonts w:cs="Calibri"/>
                <w:szCs w:val="18"/>
              </w:rPr>
              <w:t>1.96</w:t>
            </w:r>
          </w:p>
        </w:tc>
        <w:tc>
          <w:tcPr>
            <w:tcW w:w="1124" w:type="dxa"/>
            <w:shd w:val="clear" w:color="auto" w:fill="FFFFFF" w:themeFill="background1"/>
            <w:noWrap/>
            <w:hideMark/>
          </w:tcPr>
          <w:p w14:paraId="0B7FD94B" w14:textId="54250CA0" w:rsidR="008E2ED2" w:rsidRPr="0018386D" w:rsidRDefault="008E2ED2" w:rsidP="00DD3106">
            <w:pPr>
              <w:pStyle w:val="TableText"/>
              <w:spacing w:before="40" w:after="40"/>
              <w:jc w:val="center"/>
              <w:rPr>
                <w:rFonts w:cs="Calibri"/>
                <w:szCs w:val="18"/>
              </w:rPr>
            </w:pPr>
            <w:r w:rsidRPr="0018386D">
              <w:rPr>
                <w:rFonts w:cs="Calibri"/>
                <w:szCs w:val="18"/>
              </w:rPr>
              <w:t>1.94</w:t>
            </w:r>
          </w:p>
        </w:tc>
        <w:tc>
          <w:tcPr>
            <w:tcW w:w="1264" w:type="dxa"/>
            <w:shd w:val="clear" w:color="auto" w:fill="FFFFFF" w:themeFill="background1"/>
            <w:noWrap/>
            <w:hideMark/>
          </w:tcPr>
          <w:p w14:paraId="42BFD887" w14:textId="2C623E21" w:rsidR="008E2ED2" w:rsidRPr="0018386D" w:rsidRDefault="008E2ED2" w:rsidP="00DD3106">
            <w:pPr>
              <w:pStyle w:val="TableText"/>
              <w:spacing w:before="40" w:after="40"/>
              <w:jc w:val="center"/>
              <w:rPr>
                <w:rFonts w:cs="Calibri"/>
                <w:szCs w:val="18"/>
              </w:rPr>
            </w:pPr>
            <w:r w:rsidRPr="0018386D">
              <w:rPr>
                <w:rFonts w:cs="Calibri"/>
                <w:szCs w:val="18"/>
              </w:rPr>
              <w:t>0.00564</w:t>
            </w:r>
          </w:p>
        </w:tc>
        <w:tc>
          <w:tcPr>
            <w:tcW w:w="1203" w:type="dxa"/>
            <w:shd w:val="clear" w:color="auto" w:fill="FFFFFF" w:themeFill="background1"/>
            <w:noWrap/>
            <w:hideMark/>
          </w:tcPr>
          <w:p w14:paraId="54E29B6B" w14:textId="4FF62FF6" w:rsidR="008E2ED2" w:rsidRPr="0018386D" w:rsidRDefault="008E2ED2" w:rsidP="00DD3106">
            <w:pPr>
              <w:pStyle w:val="TableText"/>
              <w:spacing w:before="40" w:after="40"/>
              <w:jc w:val="center"/>
              <w:rPr>
                <w:rFonts w:cs="Calibri"/>
                <w:szCs w:val="18"/>
              </w:rPr>
            </w:pPr>
            <w:r w:rsidRPr="0018386D">
              <w:rPr>
                <w:rFonts w:cs="Calibri"/>
                <w:szCs w:val="18"/>
              </w:rPr>
              <w:t>0.00801</w:t>
            </w:r>
          </w:p>
        </w:tc>
        <w:tc>
          <w:tcPr>
            <w:tcW w:w="1263" w:type="dxa"/>
            <w:shd w:val="clear" w:color="auto" w:fill="FFFFFF" w:themeFill="background1"/>
            <w:noWrap/>
            <w:hideMark/>
          </w:tcPr>
          <w:p w14:paraId="147132B0" w14:textId="1896222F" w:rsidR="008E2ED2" w:rsidRPr="0018386D" w:rsidRDefault="004418C6" w:rsidP="00DD3106">
            <w:pPr>
              <w:pStyle w:val="TableText"/>
              <w:spacing w:before="40" w:after="40"/>
              <w:jc w:val="center"/>
              <w:rPr>
                <w:rFonts w:cs="Calibri"/>
                <w:szCs w:val="18"/>
              </w:rPr>
            </w:pPr>
            <w:r w:rsidRPr="0018386D">
              <w:rPr>
                <w:rFonts w:cs="Calibri"/>
                <w:szCs w:val="18"/>
              </w:rPr>
              <w:t>3.5%</w:t>
            </w:r>
          </w:p>
        </w:tc>
      </w:tr>
      <w:tr w:rsidR="008B0B1F" w:rsidRPr="0018386D" w14:paraId="22630CBA" w14:textId="77777777" w:rsidTr="008B0B1F">
        <w:trPr>
          <w:divId w:val="1990136145"/>
        </w:trPr>
        <w:tc>
          <w:tcPr>
            <w:tcW w:w="1824" w:type="dxa"/>
            <w:shd w:val="clear" w:color="auto" w:fill="FFFFFF" w:themeFill="background1"/>
            <w:noWrap/>
            <w:hideMark/>
          </w:tcPr>
          <w:p w14:paraId="32C5535A" w14:textId="6607448F"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Bituminous</w:t>
            </w:r>
          </w:p>
        </w:tc>
        <w:tc>
          <w:tcPr>
            <w:tcW w:w="563" w:type="dxa"/>
            <w:shd w:val="clear" w:color="auto" w:fill="FFFFFF" w:themeFill="background1"/>
            <w:noWrap/>
            <w:hideMark/>
          </w:tcPr>
          <w:p w14:paraId="571B76CA"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53A90E14" w14:textId="77777777" w:rsidR="008E2ED2" w:rsidRPr="0018386D" w:rsidRDefault="008E2ED2" w:rsidP="00DD3106">
            <w:pPr>
              <w:pStyle w:val="TableText"/>
              <w:spacing w:before="40" w:after="40"/>
              <w:jc w:val="center"/>
              <w:rPr>
                <w:rFonts w:cs="Calibri"/>
                <w:szCs w:val="18"/>
              </w:rPr>
            </w:pPr>
            <w:r w:rsidRPr="0018386D">
              <w:rPr>
                <w:rFonts w:cs="Calibri"/>
                <w:szCs w:val="18"/>
              </w:rPr>
              <w:t>2.66</w:t>
            </w:r>
          </w:p>
        </w:tc>
        <w:tc>
          <w:tcPr>
            <w:tcW w:w="1124" w:type="dxa"/>
            <w:shd w:val="clear" w:color="auto" w:fill="FFFFFF" w:themeFill="background1"/>
            <w:noWrap/>
            <w:hideMark/>
          </w:tcPr>
          <w:p w14:paraId="178E0849" w14:textId="77777777" w:rsidR="008E2ED2" w:rsidRPr="0018386D" w:rsidRDefault="008E2ED2" w:rsidP="00DD3106">
            <w:pPr>
              <w:pStyle w:val="TableText"/>
              <w:spacing w:before="40" w:after="40"/>
              <w:jc w:val="center"/>
              <w:rPr>
                <w:rFonts w:cs="Calibri"/>
                <w:szCs w:val="18"/>
              </w:rPr>
            </w:pPr>
            <w:r w:rsidRPr="0018386D">
              <w:rPr>
                <w:rFonts w:cs="Calibri"/>
                <w:szCs w:val="18"/>
              </w:rPr>
              <w:t>2.64</w:t>
            </w:r>
          </w:p>
        </w:tc>
        <w:tc>
          <w:tcPr>
            <w:tcW w:w="1264" w:type="dxa"/>
            <w:shd w:val="clear" w:color="auto" w:fill="FFFFFF" w:themeFill="background1"/>
            <w:noWrap/>
            <w:hideMark/>
          </w:tcPr>
          <w:p w14:paraId="3EE08507" w14:textId="3FDE0022" w:rsidR="008E2ED2" w:rsidRPr="0018386D" w:rsidRDefault="008E2ED2" w:rsidP="00DD3106">
            <w:pPr>
              <w:pStyle w:val="TableText"/>
              <w:spacing w:before="40" w:after="40"/>
              <w:jc w:val="center"/>
              <w:rPr>
                <w:rFonts w:cs="Calibri"/>
                <w:szCs w:val="18"/>
              </w:rPr>
            </w:pPr>
            <w:r w:rsidRPr="0018386D">
              <w:rPr>
                <w:rFonts w:cs="Calibri"/>
                <w:szCs w:val="18"/>
              </w:rPr>
              <w:t>0.00787</w:t>
            </w:r>
          </w:p>
        </w:tc>
        <w:tc>
          <w:tcPr>
            <w:tcW w:w="1203" w:type="dxa"/>
            <w:shd w:val="clear" w:color="auto" w:fill="FFFFFF" w:themeFill="background1"/>
            <w:noWrap/>
            <w:hideMark/>
          </w:tcPr>
          <w:p w14:paraId="465C3356" w14:textId="42B7FE8E" w:rsidR="008E2ED2" w:rsidRPr="0018386D" w:rsidRDefault="008E2ED2" w:rsidP="00DD3106">
            <w:pPr>
              <w:pStyle w:val="TableText"/>
              <w:spacing w:before="40" w:after="40"/>
              <w:jc w:val="center"/>
              <w:rPr>
                <w:rFonts w:cs="Calibri"/>
                <w:szCs w:val="18"/>
              </w:rPr>
            </w:pPr>
            <w:r w:rsidRPr="0018386D">
              <w:rPr>
                <w:rFonts w:cs="Calibri"/>
                <w:szCs w:val="18"/>
              </w:rPr>
              <w:t>0.0112</w:t>
            </w:r>
          </w:p>
        </w:tc>
        <w:tc>
          <w:tcPr>
            <w:tcW w:w="1263" w:type="dxa"/>
            <w:shd w:val="clear" w:color="auto" w:fill="FFFFFF" w:themeFill="background1"/>
            <w:noWrap/>
            <w:hideMark/>
          </w:tcPr>
          <w:p w14:paraId="5A2A4341" w14:textId="6315040A" w:rsidR="008E2ED2" w:rsidRPr="0018386D" w:rsidRDefault="004418C6" w:rsidP="00DD3106">
            <w:pPr>
              <w:pStyle w:val="TableText"/>
              <w:spacing w:before="40" w:after="40"/>
              <w:jc w:val="center"/>
              <w:rPr>
                <w:rFonts w:cs="Calibri"/>
                <w:szCs w:val="18"/>
              </w:rPr>
            </w:pPr>
            <w:r w:rsidRPr="0018386D">
              <w:rPr>
                <w:rFonts w:cs="Calibri"/>
                <w:szCs w:val="18"/>
              </w:rPr>
              <w:t>3.5%</w:t>
            </w:r>
          </w:p>
        </w:tc>
      </w:tr>
      <w:tr w:rsidR="008B0B1F" w:rsidRPr="0018386D" w14:paraId="6FAF91FA" w14:textId="77777777" w:rsidTr="008B0B1F">
        <w:trPr>
          <w:divId w:val="1990136145"/>
        </w:trPr>
        <w:tc>
          <w:tcPr>
            <w:tcW w:w="1824" w:type="dxa"/>
            <w:shd w:val="clear" w:color="auto" w:fill="FFFFFF" w:themeFill="background1"/>
            <w:noWrap/>
            <w:hideMark/>
          </w:tcPr>
          <w:p w14:paraId="4CEBF590" w14:textId="6E02499F"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Sub-</w:t>
            </w:r>
            <w:r w:rsidR="00AC6745" w:rsidRPr="0018386D">
              <w:rPr>
                <w:rFonts w:cs="Calibri"/>
                <w:szCs w:val="18"/>
              </w:rPr>
              <w:t>b</w:t>
            </w:r>
            <w:r w:rsidRPr="0018386D">
              <w:rPr>
                <w:rFonts w:cs="Calibri"/>
                <w:szCs w:val="18"/>
              </w:rPr>
              <w:t>ituminous</w:t>
            </w:r>
          </w:p>
        </w:tc>
        <w:tc>
          <w:tcPr>
            <w:tcW w:w="563" w:type="dxa"/>
            <w:shd w:val="clear" w:color="auto" w:fill="FFFFFF" w:themeFill="background1"/>
            <w:noWrap/>
            <w:hideMark/>
          </w:tcPr>
          <w:p w14:paraId="133885C8"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7A7115C8" w14:textId="68CF4CD3" w:rsidR="008E2ED2" w:rsidRPr="0018386D" w:rsidRDefault="008E2ED2" w:rsidP="00DD3106">
            <w:pPr>
              <w:pStyle w:val="TableText"/>
              <w:spacing w:before="40" w:after="40"/>
              <w:jc w:val="center"/>
              <w:rPr>
                <w:rFonts w:cs="Calibri"/>
                <w:szCs w:val="18"/>
              </w:rPr>
            </w:pPr>
            <w:r w:rsidRPr="0018386D">
              <w:rPr>
                <w:rFonts w:cs="Calibri"/>
                <w:szCs w:val="18"/>
              </w:rPr>
              <w:t>2.00</w:t>
            </w:r>
          </w:p>
        </w:tc>
        <w:tc>
          <w:tcPr>
            <w:tcW w:w="1124" w:type="dxa"/>
            <w:shd w:val="clear" w:color="auto" w:fill="FFFFFF" w:themeFill="background1"/>
            <w:noWrap/>
            <w:hideMark/>
          </w:tcPr>
          <w:p w14:paraId="5F5D8879" w14:textId="77777777" w:rsidR="008E2ED2" w:rsidRPr="0018386D" w:rsidRDefault="008E2ED2" w:rsidP="00DD3106">
            <w:pPr>
              <w:pStyle w:val="TableText"/>
              <w:spacing w:before="40" w:after="40"/>
              <w:jc w:val="center"/>
              <w:rPr>
                <w:rFonts w:cs="Calibri"/>
                <w:szCs w:val="18"/>
              </w:rPr>
            </w:pPr>
            <w:r w:rsidRPr="0018386D">
              <w:rPr>
                <w:rFonts w:cs="Calibri"/>
                <w:szCs w:val="18"/>
              </w:rPr>
              <w:t>1.99</w:t>
            </w:r>
          </w:p>
        </w:tc>
        <w:tc>
          <w:tcPr>
            <w:tcW w:w="1264" w:type="dxa"/>
            <w:shd w:val="clear" w:color="auto" w:fill="FFFFFF" w:themeFill="background1"/>
            <w:noWrap/>
            <w:hideMark/>
          </w:tcPr>
          <w:p w14:paraId="22497CAD" w14:textId="73C3226D" w:rsidR="008E2ED2" w:rsidRPr="0018386D" w:rsidRDefault="008E2ED2" w:rsidP="00DD3106">
            <w:pPr>
              <w:pStyle w:val="TableText"/>
              <w:spacing w:before="40" w:after="40"/>
              <w:jc w:val="center"/>
              <w:rPr>
                <w:rFonts w:cs="Calibri"/>
                <w:szCs w:val="18"/>
              </w:rPr>
            </w:pPr>
            <w:r w:rsidRPr="0018386D">
              <w:rPr>
                <w:rFonts w:cs="Calibri"/>
                <w:szCs w:val="18"/>
              </w:rPr>
              <w:t>0.00576</w:t>
            </w:r>
          </w:p>
        </w:tc>
        <w:tc>
          <w:tcPr>
            <w:tcW w:w="1203" w:type="dxa"/>
            <w:shd w:val="clear" w:color="auto" w:fill="FFFFFF" w:themeFill="background1"/>
            <w:noWrap/>
            <w:hideMark/>
          </w:tcPr>
          <w:p w14:paraId="7840AFD8" w14:textId="200C9F65" w:rsidR="008E2ED2" w:rsidRPr="0018386D" w:rsidRDefault="008E2ED2" w:rsidP="00DD3106">
            <w:pPr>
              <w:pStyle w:val="TableText"/>
              <w:spacing w:before="40" w:after="40"/>
              <w:jc w:val="center"/>
              <w:rPr>
                <w:rFonts w:cs="Calibri"/>
                <w:szCs w:val="18"/>
              </w:rPr>
            </w:pPr>
            <w:r w:rsidRPr="0018386D">
              <w:rPr>
                <w:rFonts w:cs="Calibri"/>
                <w:szCs w:val="18"/>
              </w:rPr>
              <w:t>0.00817</w:t>
            </w:r>
          </w:p>
        </w:tc>
        <w:tc>
          <w:tcPr>
            <w:tcW w:w="1263" w:type="dxa"/>
            <w:shd w:val="clear" w:color="auto" w:fill="FFFFFF" w:themeFill="background1"/>
            <w:noWrap/>
            <w:hideMark/>
          </w:tcPr>
          <w:p w14:paraId="64A6D7BE" w14:textId="5DB17919" w:rsidR="008E2ED2" w:rsidRPr="0018386D" w:rsidRDefault="004418C6" w:rsidP="00DD3106">
            <w:pPr>
              <w:pStyle w:val="TableText"/>
              <w:spacing w:before="40" w:after="40"/>
              <w:jc w:val="center"/>
              <w:rPr>
                <w:rFonts w:cs="Calibri"/>
                <w:szCs w:val="18"/>
              </w:rPr>
            </w:pPr>
            <w:r w:rsidRPr="0018386D">
              <w:rPr>
                <w:rFonts w:cs="Calibri"/>
                <w:szCs w:val="18"/>
              </w:rPr>
              <w:t>3.5%</w:t>
            </w:r>
          </w:p>
        </w:tc>
      </w:tr>
      <w:tr w:rsidR="008B0B1F" w:rsidRPr="0018386D" w14:paraId="1110ADB5" w14:textId="77777777" w:rsidTr="008B0B1F">
        <w:trPr>
          <w:divId w:val="1990136145"/>
        </w:trPr>
        <w:tc>
          <w:tcPr>
            <w:tcW w:w="1824" w:type="dxa"/>
            <w:shd w:val="clear" w:color="auto" w:fill="FFFFFF" w:themeFill="background1"/>
            <w:noWrap/>
            <w:hideMark/>
          </w:tcPr>
          <w:p w14:paraId="3D800A9F" w14:textId="0F733634" w:rsidR="008E2ED2" w:rsidRPr="0018386D" w:rsidRDefault="008E2ED2" w:rsidP="00DD3106">
            <w:pPr>
              <w:pStyle w:val="TableText"/>
              <w:spacing w:before="40" w:after="40"/>
              <w:rPr>
                <w:rFonts w:cs="Calibri"/>
                <w:szCs w:val="18"/>
              </w:rPr>
            </w:pPr>
            <w:r w:rsidRPr="0018386D">
              <w:rPr>
                <w:rFonts w:cs="Calibri"/>
                <w:szCs w:val="18"/>
              </w:rPr>
              <w:t xml:space="preserve">Coal </w:t>
            </w:r>
            <w:r w:rsidR="00AC6745" w:rsidRPr="0018386D">
              <w:rPr>
                <w:rFonts w:cs="Calibri"/>
                <w:szCs w:val="18"/>
              </w:rPr>
              <w:t>–</w:t>
            </w:r>
            <w:r w:rsidRPr="0018386D">
              <w:rPr>
                <w:rFonts w:cs="Calibri"/>
                <w:szCs w:val="18"/>
              </w:rPr>
              <w:t xml:space="preserve"> Lignite</w:t>
            </w:r>
          </w:p>
        </w:tc>
        <w:tc>
          <w:tcPr>
            <w:tcW w:w="563" w:type="dxa"/>
            <w:shd w:val="clear" w:color="auto" w:fill="FFFFFF" w:themeFill="background1"/>
            <w:noWrap/>
            <w:hideMark/>
          </w:tcPr>
          <w:p w14:paraId="742457B1"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31450AA7" w14:textId="77777777" w:rsidR="008E2ED2" w:rsidRPr="0018386D" w:rsidRDefault="008E2ED2" w:rsidP="00DD3106">
            <w:pPr>
              <w:pStyle w:val="TableText"/>
              <w:spacing w:before="40" w:after="40"/>
              <w:jc w:val="center"/>
              <w:rPr>
                <w:rFonts w:cs="Calibri"/>
                <w:szCs w:val="18"/>
              </w:rPr>
            </w:pPr>
            <w:r w:rsidRPr="0018386D">
              <w:rPr>
                <w:rFonts w:cs="Calibri"/>
                <w:szCs w:val="18"/>
              </w:rPr>
              <w:t>1.43</w:t>
            </w:r>
          </w:p>
        </w:tc>
        <w:tc>
          <w:tcPr>
            <w:tcW w:w="1124" w:type="dxa"/>
            <w:shd w:val="clear" w:color="auto" w:fill="FFFFFF" w:themeFill="background1"/>
            <w:noWrap/>
            <w:hideMark/>
          </w:tcPr>
          <w:p w14:paraId="40B66B21" w14:textId="77777777" w:rsidR="008E2ED2" w:rsidRPr="0018386D" w:rsidRDefault="008E2ED2" w:rsidP="00DD3106">
            <w:pPr>
              <w:pStyle w:val="TableText"/>
              <w:spacing w:before="40" w:after="40"/>
              <w:jc w:val="center"/>
              <w:rPr>
                <w:rFonts w:cs="Calibri"/>
                <w:szCs w:val="18"/>
              </w:rPr>
            </w:pPr>
            <w:r w:rsidRPr="0018386D">
              <w:rPr>
                <w:rFonts w:cs="Calibri"/>
                <w:szCs w:val="18"/>
              </w:rPr>
              <w:t>1.42</w:t>
            </w:r>
          </w:p>
        </w:tc>
        <w:tc>
          <w:tcPr>
            <w:tcW w:w="1264" w:type="dxa"/>
            <w:shd w:val="clear" w:color="auto" w:fill="FFFFFF" w:themeFill="background1"/>
            <w:noWrap/>
            <w:hideMark/>
          </w:tcPr>
          <w:p w14:paraId="3138AF40" w14:textId="51F31240" w:rsidR="008E2ED2" w:rsidRPr="0018386D" w:rsidRDefault="008E2ED2" w:rsidP="00DD3106">
            <w:pPr>
              <w:pStyle w:val="TableText"/>
              <w:spacing w:before="40" w:after="40"/>
              <w:jc w:val="center"/>
              <w:rPr>
                <w:rFonts w:cs="Calibri"/>
                <w:szCs w:val="18"/>
              </w:rPr>
            </w:pPr>
            <w:r w:rsidRPr="0018386D">
              <w:rPr>
                <w:rFonts w:cs="Calibri"/>
                <w:szCs w:val="18"/>
              </w:rPr>
              <w:t>0.00406</w:t>
            </w:r>
          </w:p>
        </w:tc>
        <w:tc>
          <w:tcPr>
            <w:tcW w:w="1203" w:type="dxa"/>
            <w:shd w:val="clear" w:color="auto" w:fill="FFFFFF" w:themeFill="background1"/>
            <w:noWrap/>
            <w:hideMark/>
          </w:tcPr>
          <w:p w14:paraId="66A7F10E" w14:textId="75100547" w:rsidR="008E2ED2" w:rsidRPr="0018386D" w:rsidRDefault="008E2ED2" w:rsidP="00DD3106">
            <w:pPr>
              <w:pStyle w:val="TableText"/>
              <w:spacing w:before="40" w:after="40"/>
              <w:jc w:val="center"/>
              <w:rPr>
                <w:rFonts w:cs="Calibri"/>
                <w:szCs w:val="18"/>
              </w:rPr>
            </w:pPr>
            <w:r w:rsidRPr="0018386D">
              <w:rPr>
                <w:rFonts w:cs="Calibri"/>
                <w:szCs w:val="18"/>
              </w:rPr>
              <w:t>0.00576</w:t>
            </w:r>
          </w:p>
        </w:tc>
        <w:tc>
          <w:tcPr>
            <w:tcW w:w="1263" w:type="dxa"/>
            <w:shd w:val="clear" w:color="auto" w:fill="FFFFFF" w:themeFill="background1"/>
            <w:noWrap/>
            <w:hideMark/>
          </w:tcPr>
          <w:p w14:paraId="53D798E0" w14:textId="48DE1595" w:rsidR="008E2ED2" w:rsidRPr="0018386D" w:rsidRDefault="004418C6" w:rsidP="00DD3106">
            <w:pPr>
              <w:pStyle w:val="TableText"/>
              <w:spacing w:before="40" w:after="40"/>
              <w:jc w:val="center"/>
              <w:rPr>
                <w:rFonts w:cs="Calibri"/>
                <w:szCs w:val="18"/>
              </w:rPr>
            </w:pPr>
            <w:r w:rsidRPr="0018386D">
              <w:rPr>
                <w:rFonts w:cs="Calibri"/>
                <w:szCs w:val="18"/>
              </w:rPr>
              <w:t>3.5%</w:t>
            </w:r>
          </w:p>
        </w:tc>
      </w:tr>
      <w:tr w:rsidR="008B0B1F" w:rsidRPr="0018386D" w14:paraId="6D247DB5" w14:textId="77777777" w:rsidTr="008B0B1F">
        <w:trPr>
          <w:divId w:val="1990136145"/>
        </w:trPr>
        <w:tc>
          <w:tcPr>
            <w:tcW w:w="1824" w:type="dxa"/>
            <w:shd w:val="clear" w:color="auto" w:fill="FFFFFF" w:themeFill="background1"/>
            <w:noWrap/>
            <w:hideMark/>
          </w:tcPr>
          <w:p w14:paraId="47E4B48C" w14:textId="77777777" w:rsidR="008E2ED2" w:rsidRPr="0018386D" w:rsidRDefault="008E2ED2" w:rsidP="00DD3106">
            <w:pPr>
              <w:pStyle w:val="TableText"/>
              <w:spacing w:before="40" w:after="40"/>
              <w:rPr>
                <w:rFonts w:cs="Calibri"/>
                <w:szCs w:val="18"/>
              </w:rPr>
            </w:pPr>
            <w:r w:rsidRPr="0018386D">
              <w:rPr>
                <w:rFonts w:cs="Calibri"/>
                <w:szCs w:val="18"/>
              </w:rPr>
              <w:t>Diesel</w:t>
            </w:r>
          </w:p>
        </w:tc>
        <w:tc>
          <w:tcPr>
            <w:tcW w:w="563" w:type="dxa"/>
            <w:shd w:val="clear" w:color="auto" w:fill="FFFFFF" w:themeFill="background1"/>
            <w:noWrap/>
            <w:hideMark/>
          </w:tcPr>
          <w:p w14:paraId="2BEF36C0" w14:textId="77777777" w:rsidR="008E2ED2" w:rsidRPr="0018386D" w:rsidRDefault="008E2ED2" w:rsidP="00DD3106">
            <w:pPr>
              <w:pStyle w:val="TableText"/>
              <w:spacing w:before="40" w:after="40"/>
              <w:jc w:val="center"/>
              <w:rPr>
                <w:rFonts w:cs="Calibri"/>
                <w:szCs w:val="18"/>
              </w:rPr>
            </w:pPr>
            <w:r w:rsidRPr="0018386D">
              <w:rPr>
                <w:rFonts w:cs="Calibri"/>
                <w:szCs w:val="18"/>
              </w:rPr>
              <w:t>litre</w:t>
            </w:r>
          </w:p>
        </w:tc>
        <w:tc>
          <w:tcPr>
            <w:tcW w:w="1264" w:type="dxa"/>
            <w:shd w:val="clear" w:color="auto" w:fill="D2DDE1" w:themeFill="background2"/>
            <w:noWrap/>
            <w:hideMark/>
          </w:tcPr>
          <w:p w14:paraId="13144011" w14:textId="02A76171" w:rsidR="008E2ED2" w:rsidRPr="0018386D" w:rsidRDefault="008E2ED2" w:rsidP="00DD3106">
            <w:pPr>
              <w:pStyle w:val="TableText"/>
              <w:spacing w:before="40" w:after="40"/>
              <w:jc w:val="center"/>
              <w:rPr>
                <w:rFonts w:cs="Calibri"/>
                <w:szCs w:val="18"/>
              </w:rPr>
            </w:pPr>
            <w:r w:rsidRPr="0018386D">
              <w:rPr>
                <w:rFonts w:cs="Calibri"/>
                <w:szCs w:val="18"/>
              </w:rPr>
              <w:t>2.68</w:t>
            </w:r>
          </w:p>
        </w:tc>
        <w:tc>
          <w:tcPr>
            <w:tcW w:w="1124" w:type="dxa"/>
            <w:shd w:val="clear" w:color="auto" w:fill="FFFFFF" w:themeFill="background1"/>
            <w:noWrap/>
            <w:hideMark/>
          </w:tcPr>
          <w:p w14:paraId="0AEA7743" w14:textId="6A51EE36" w:rsidR="008E2ED2" w:rsidRPr="0018386D" w:rsidRDefault="008E2ED2" w:rsidP="00DD3106">
            <w:pPr>
              <w:pStyle w:val="TableText"/>
              <w:spacing w:before="40" w:after="40"/>
              <w:jc w:val="center"/>
              <w:rPr>
                <w:rFonts w:cs="Calibri"/>
                <w:szCs w:val="18"/>
              </w:rPr>
            </w:pPr>
            <w:r w:rsidRPr="0018386D">
              <w:rPr>
                <w:rFonts w:cs="Calibri"/>
                <w:szCs w:val="18"/>
              </w:rPr>
              <w:t>2.67</w:t>
            </w:r>
          </w:p>
        </w:tc>
        <w:tc>
          <w:tcPr>
            <w:tcW w:w="1264" w:type="dxa"/>
            <w:shd w:val="clear" w:color="auto" w:fill="FFFFFF" w:themeFill="background1"/>
            <w:noWrap/>
            <w:hideMark/>
          </w:tcPr>
          <w:p w14:paraId="5FEE09D3" w14:textId="642C765E" w:rsidR="008E2ED2" w:rsidRPr="0018386D" w:rsidRDefault="008E2ED2" w:rsidP="00DD3106">
            <w:pPr>
              <w:pStyle w:val="TableText"/>
              <w:spacing w:before="40" w:after="40"/>
              <w:jc w:val="center"/>
              <w:rPr>
                <w:rFonts w:cs="Calibri"/>
                <w:szCs w:val="18"/>
              </w:rPr>
            </w:pPr>
            <w:r w:rsidRPr="0018386D">
              <w:rPr>
                <w:rFonts w:cs="Calibri"/>
                <w:szCs w:val="18"/>
              </w:rPr>
              <w:t>0.00307</w:t>
            </w:r>
          </w:p>
        </w:tc>
        <w:tc>
          <w:tcPr>
            <w:tcW w:w="1203" w:type="dxa"/>
            <w:shd w:val="clear" w:color="auto" w:fill="FFFFFF" w:themeFill="background1"/>
            <w:noWrap/>
            <w:hideMark/>
          </w:tcPr>
          <w:p w14:paraId="49FBBE3E" w14:textId="7A8CF146" w:rsidR="008E2ED2" w:rsidRPr="0018386D" w:rsidRDefault="008E2ED2" w:rsidP="00DD3106">
            <w:pPr>
              <w:pStyle w:val="TableText"/>
              <w:spacing w:before="40" w:after="40"/>
              <w:jc w:val="center"/>
              <w:rPr>
                <w:rFonts w:cs="Calibri"/>
                <w:szCs w:val="18"/>
              </w:rPr>
            </w:pPr>
            <w:r w:rsidRPr="0018386D">
              <w:rPr>
                <w:rFonts w:cs="Calibri"/>
                <w:szCs w:val="18"/>
              </w:rPr>
              <w:t>0.00581</w:t>
            </w:r>
          </w:p>
        </w:tc>
        <w:tc>
          <w:tcPr>
            <w:tcW w:w="1263" w:type="dxa"/>
            <w:shd w:val="clear" w:color="auto" w:fill="FFFFFF" w:themeFill="background1"/>
            <w:noWrap/>
            <w:hideMark/>
          </w:tcPr>
          <w:p w14:paraId="59BE1B27" w14:textId="053960C5" w:rsidR="008E2ED2" w:rsidRPr="0018386D" w:rsidRDefault="004418C6" w:rsidP="00DD3106">
            <w:pPr>
              <w:pStyle w:val="TableText"/>
              <w:spacing w:before="40" w:after="40"/>
              <w:jc w:val="center"/>
              <w:rPr>
                <w:rFonts w:cs="Calibri"/>
                <w:szCs w:val="18"/>
              </w:rPr>
            </w:pPr>
            <w:r w:rsidRPr="0018386D">
              <w:rPr>
                <w:rFonts w:cs="Calibri"/>
                <w:szCs w:val="18"/>
              </w:rPr>
              <w:t>0.5%</w:t>
            </w:r>
          </w:p>
        </w:tc>
      </w:tr>
      <w:tr w:rsidR="008B0B1F" w:rsidRPr="0018386D" w14:paraId="3CC077C2" w14:textId="77777777" w:rsidTr="008B0B1F">
        <w:trPr>
          <w:divId w:val="1990136145"/>
        </w:trPr>
        <w:tc>
          <w:tcPr>
            <w:tcW w:w="1824" w:type="dxa"/>
            <w:shd w:val="clear" w:color="auto" w:fill="FFFFFF" w:themeFill="background1"/>
            <w:noWrap/>
            <w:hideMark/>
          </w:tcPr>
          <w:p w14:paraId="2BF78117" w14:textId="77777777" w:rsidR="008E2ED2" w:rsidRPr="0018386D" w:rsidRDefault="008E2ED2" w:rsidP="00DD3106">
            <w:pPr>
              <w:pStyle w:val="TableText"/>
              <w:spacing w:before="40" w:after="40"/>
              <w:rPr>
                <w:rFonts w:cs="Calibri"/>
                <w:szCs w:val="18"/>
              </w:rPr>
            </w:pPr>
            <w:r w:rsidRPr="0018386D">
              <w:rPr>
                <w:rFonts w:cs="Calibri"/>
                <w:szCs w:val="18"/>
              </w:rPr>
              <w:t>LPG</w:t>
            </w:r>
          </w:p>
        </w:tc>
        <w:tc>
          <w:tcPr>
            <w:tcW w:w="563" w:type="dxa"/>
            <w:shd w:val="clear" w:color="auto" w:fill="FFFFFF" w:themeFill="background1"/>
            <w:noWrap/>
            <w:hideMark/>
          </w:tcPr>
          <w:p w14:paraId="51201E67" w14:textId="77777777" w:rsidR="008E2ED2" w:rsidRPr="0018386D" w:rsidRDefault="008E2ED2" w:rsidP="00DD3106">
            <w:pPr>
              <w:pStyle w:val="TableText"/>
              <w:spacing w:before="40" w:after="40"/>
              <w:jc w:val="center"/>
              <w:rPr>
                <w:rFonts w:cs="Calibri"/>
                <w:szCs w:val="18"/>
              </w:rPr>
            </w:pPr>
            <w:r w:rsidRPr="0018386D">
              <w:rPr>
                <w:rFonts w:cs="Calibri"/>
                <w:szCs w:val="18"/>
              </w:rPr>
              <w:t>kg</w:t>
            </w:r>
          </w:p>
        </w:tc>
        <w:tc>
          <w:tcPr>
            <w:tcW w:w="1264" w:type="dxa"/>
            <w:shd w:val="clear" w:color="auto" w:fill="D2DDE1" w:themeFill="background2"/>
            <w:noWrap/>
            <w:hideMark/>
          </w:tcPr>
          <w:p w14:paraId="583B4775" w14:textId="0C10FDAC" w:rsidR="008E2ED2" w:rsidRPr="0018386D" w:rsidRDefault="008E2ED2" w:rsidP="00DD3106">
            <w:pPr>
              <w:pStyle w:val="TableText"/>
              <w:spacing w:before="40" w:after="40"/>
              <w:jc w:val="center"/>
              <w:rPr>
                <w:rFonts w:cs="Calibri"/>
                <w:szCs w:val="18"/>
              </w:rPr>
            </w:pPr>
            <w:r w:rsidRPr="0018386D">
              <w:rPr>
                <w:rFonts w:cs="Calibri"/>
                <w:szCs w:val="18"/>
              </w:rPr>
              <w:t>2.97</w:t>
            </w:r>
          </w:p>
        </w:tc>
        <w:tc>
          <w:tcPr>
            <w:tcW w:w="1124" w:type="dxa"/>
            <w:shd w:val="clear" w:color="auto" w:fill="FFFFFF" w:themeFill="background1"/>
            <w:noWrap/>
            <w:hideMark/>
          </w:tcPr>
          <w:p w14:paraId="75313EE0" w14:textId="02E0710D" w:rsidR="008E2ED2" w:rsidRPr="0018386D" w:rsidRDefault="008E2ED2" w:rsidP="00DD3106">
            <w:pPr>
              <w:pStyle w:val="TableText"/>
              <w:spacing w:before="40" w:after="40"/>
              <w:jc w:val="center"/>
              <w:rPr>
                <w:rFonts w:cs="Calibri"/>
                <w:szCs w:val="18"/>
              </w:rPr>
            </w:pPr>
            <w:r w:rsidRPr="0018386D">
              <w:rPr>
                <w:rFonts w:cs="Calibri"/>
                <w:szCs w:val="18"/>
              </w:rPr>
              <w:t>2.96</w:t>
            </w:r>
          </w:p>
        </w:tc>
        <w:tc>
          <w:tcPr>
            <w:tcW w:w="1264" w:type="dxa"/>
            <w:shd w:val="clear" w:color="auto" w:fill="FFFFFF" w:themeFill="background1"/>
            <w:noWrap/>
            <w:hideMark/>
          </w:tcPr>
          <w:p w14:paraId="7D45FC60" w14:textId="775DB0B9" w:rsidR="008E2ED2" w:rsidRPr="0018386D" w:rsidRDefault="008E2ED2" w:rsidP="00DD3106">
            <w:pPr>
              <w:pStyle w:val="TableText"/>
              <w:spacing w:before="40" w:after="40"/>
              <w:jc w:val="center"/>
              <w:rPr>
                <w:rFonts w:cs="Calibri"/>
                <w:szCs w:val="18"/>
              </w:rPr>
            </w:pPr>
            <w:r w:rsidRPr="0018386D">
              <w:rPr>
                <w:rFonts w:cs="Calibri"/>
                <w:szCs w:val="18"/>
              </w:rPr>
              <w:t>0.00133</w:t>
            </w:r>
          </w:p>
        </w:tc>
        <w:tc>
          <w:tcPr>
            <w:tcW w:w="1203" w:type="dxa"/>
            <w:shd w:val="clear" w:color="auto" w:fill="FFFFFF" w:themeFill="background1"/>
            <w:noWrap/>
            <w:hideMark/>
          </w:tcPr>
          <w:p w14:paraId="00EFE963" w14:textId="6051A178" w:rsidR="008E2ED2" w:rsidRPr="0018386D" w:rsidRDefault="008E2ED2" w:rsidP="00DD3106">
            <w:pPr>
              <w:pStyle w:val="TableText"/>
              <w:spacing w:before="40" w:after="40"/>
              <w:jc w:val="center"/>
              <w:rPr>
                <w:rFonts w:cs="Calibri"/>
                <w:szCs w:val="18"/>
              </w:rPr>
            </w:pPr>
            <w:r w:rsidRPr="0018386D">
              <w:rPr>
                <w:rFonts w:cs="Calibri"/>
                <w:szCs w:val="18"/>
              </w:rPr>
              <w:t>0.00126</w:t>
            </w:r>
          </w:p>
        </w:tc>
        <w:tc>
          <w:tcPr>
            <w:tcW w:w="1263" w:type="dxa"/>
            <w:shd w:val="clear" w:color="auto" w:fill="FFFFFF" w:themeFill="background1"/>
            <w:noWrap/>
            <w:hideMark/>
          </w:tcPr>
          <w:p w14:paraId="0ED92DD8" w14:textId="565CAEEC" w:rsidR="008E2ED2" w:rsidRPr="0018386D" w:rsidRDefault="004418C6" w:rsidP="00DD3106">
            <w:pPr>
              <w:pStyle w:val="TableText"/>
              <w:spacing w:before="40" w:after="40"/>
              <w:jc w:val="center"/>
              <w:rPr>
                <w:rFonts w:cs="Calibri"/>
                <w:szCs w:val="18"/>
              </w:rPr>
            </w:pPr>
            <w:r w:rsidRPr="0018386D">
              <w:rPr>
                <w:rFonts w:cs="Calibri"/>
                <w:szCs w:val="18"/>
              </w:rPr>
              <w:t>0.5%</w:t>
            </w:r>
          </w:p>
        </w:tc>
      </w:tr>
      <w:tr w:rsidR="008B0B1F" w:rsidRPr="0018386D" w14:paraId="3EEA45E6" w14:textId="77777777" w:rsidTr="008B0B1F">
        <w:trPr>
          <w:divId w:val="1990136145"/>
        </w:trPr>
        <w:tc>
          <w:tcPr>
            <w:tcW w:w="1824" w:type="dxa"/>
            <w:shd w:val="clear" w:color="auto" w:fill="FFFFFF" w:themeFill="background1"/>
            <w:noWrap/>
            <w:hideMark/>
          </w:tcPr>
          <w:p w14:paraId="3EBF2CF9" w14:textId="478A2DB8" w:rsidR="008E2ED2" w:rsidRPr="0018386D" w:rsidRDefault="008E2ED2" w:rsidP="00DD3106">
            <w:pPr>
              <w:pStyle w:val="TableText"/>
              <w:spacing w:before="40" w:after="40"/>
              <w:rPr>
                <w:rFonts w:cs="Calibri"/>
                <w:szCs w:val="18"/>
              </w:rPr>
            </w:pPr>
            <w:r w:rsidRPr="0018386D">
              <w:rPr>
                <w:rFonts w:cs="Calibri"/>
                <w:szCs w:val="18"/>
              </w:rPr>
              <w:t xml:space="preserve">Heavy </w:t>
            </w:r>
            <w:r w:rsidR="00A87561" w:rsidRPr="0018386D">
              <w:rPr>
                <w:rFonts w:cs="Calibri"/>
                <w:szCs w:val="18"/>
              </w:rPr>
              <w:t>f</w:t>
            </w:r>
            <w:r w:rsidR="00817D03" w:rsidRPr="0018386D">
              <w:rPr>
                <w:rFonts w:cs="Calibri"/>
                <w:szCs w:val="18"/>
              </w:rPr>
              <w:t xml:space="preserve">uel </w:t>
            </w:r>
            <w:r w:rsidR="00A87561" w:rsidRPr="0018386D">
              <w:rPr>
                <w:rFonts w:cs="Calibri"/>
                <w:szCs w:val="18"/>
              </w:rPr>
              <w:t>o</w:t>
            </w:r>
            <w:r w:rsidR="00817D03" w:rsidRPr="0018386D">
              <w:rPr>
                <w:rFonts w:cs="Calibri"/>
                <w:szCs w:val="18"/>
              </w:rPr>
              <w:t xml:space="preserve">il </w:t>
            </w:r>
          </w:p>
        </w:tc>
        <w:tc>
          <w:tcPr>
            <w:tcW w:w="563" w:type="dxa"/>
            <w:shd w:val="clear" w:color="auto" w:fill="FFFFFF" w:themeFill="background1"/>
            <w:noWrap/>
            <w:hideMark/>
          </w:tcPr>
          <w:p w14:paraId="472D265F" w14:textId="77777777" w:rsidR="008E2ED2" w:rsidRPr="0018386D" w:rsidRDefault="008E2ED2" w:rsidP="00DD3106">
            <w:pPr>
              <w:pStyle w:val="TableText"/>
              <w:spacing w:before="40" w:after="40"/>
              <w:jc w:val="center"/>
              <w:rPr>
                <w:rFonts w:cs="Calibri"/>
                <w:szCs w:val="18"/>
              </w:rPr>
            </w:pPr>
            <w:r w:rsidRPr="0018386D">
              <w:rPr>
                <w:rFonts w:cs="Calibri"/>
                <w:szCs w:val="18"/>
              </w:rPr>
              <w:t>litre</w:t>
            </w:r>
          </w:p>
        </w:tc>
        <w:tc>
          <w:tcPr>
            <w:tcW w:w="1264" w:type="dxa"/>
            <w:shd w:val="clear" w:color="auto" w:fill="D2DDE1" w:themeFill="background2"/>
            <w:noWrap/>
            <w:hideMark/>
          </w:tcPr>
          <w:p w14:paraId="2A25E327" w14:textId="36AC5787" w:rsidR="008E2ED2" w:rsidRPr="0018386D" w:rsidRDefault="008E2ED2" w:rsidP="00DD3106">
            <w:pPr>
              <w:pStyle w:val="TableText"/>
              <w:spacing w:before="40" w:after="40"/>
              <w:jc w:val="center"/>
              <w:rPr>
                <w:rFonts w:cs="Calibri"/>
                <w:szCs w:val="18"/>
              </w:rPr>
            </w:pPr>
            <w:r w:rsidRPr="0018386D">
              <w:rPr>
                <w:rFonts w:cs="Calibri"/>
                <w:szCs w:val="18"/>
              </w:rPr>
              <w:t>3.00</w:t>
            </w:r>
          </w:p>
        </w:tc>
        <w:tc>
          <w:tcPr>
            <w:tcW w:w="1124" w:type="dxa"/>
            <w:shd w:val="clear" w:color="auto" w:fill="FFFFFF" w:themeFill="background1"/>
            <w:noWrap/>
            <w:hideMark/>
          </w:tcPr>
          <w:p w14:paraId="0A882471" w14:textId="0CA6B535" w:rsidR="008E2ED2" w:rsidRPr="0018386D" w:rsidRDefault="008E2ED2" w:rsidP="00DD3106">
            <w:pPr>
              <w:pStyle w:val="TableText"/>
              <w:spacing w:before="40" w:after="40"/>
              <w:jc w:val="center"/>
              <w:rPr>
                <w:rFonts w:cs="Calibri"/>
                <w:szCs w:val="18"/>
              </w:rPr>
            </w:pPr>
            <w:r w:rsidRPr="0018386D">
              <w:rPr>
                <w:rFonts w:cs="Calibri"/>
                <w:szCs w:val="18"/>
              </w:rPr>
              <w:t>2.99</w:t>
            </w:r>
          </w:p>
        </w:tc>
        <w:tc>
          <w:tcPr>
            <w:tcW w:w="1264" w:type="dxa"/>
            <w:shd w:val="clear" w:color="auto" w:fill="FFFFFF" w:themeFill="background1"/>
            <w:noWrap/>
            <w:hideMark/>
          </w:tcPr>
          <w:p w14:paraId="23EAAB4A" w14:textId="72825997" w:rsidR="008E2ED2" w:rsidRPr="0018386D" w:rsidRDefault="008E2ED2" w:rsidP="00DD3106">
            <w:pPr>
              <w:pStyle w:val="TableText"/>
              <w:spacing w:before="40" w:after="40"/>
              <w:jc w:val="center"/>
              <w:rPr>
                <w:rFonts w:cs="Calibri"/>
                <w:szCs w:val="18"/>
              </w:rPr>
            </w:pPr>
            <w:r w:rsidRPr="0018386D">
              <w:rPr>
                <w:rFonts w:cs="Calibri"/>
                <w:szCs w:val="18"/>
              </w:rPr>
              <w:t>0.00325</w:t>
            </w:r>
          </w:p>
        </w:tc>
        <w:tc>
          <w:tcPr>
            <w:tcW w:w="1203" w:type="dxa"/>
            <w:shd w:val="clear" w:color="auto" w:fill="FFFFFF" w:themeFill="background1"/>
            <w:noWrap/>
            <w:hideMark/>
          </w:tcPr>
          <w:p w14:paraId="7CB9FE1C" w14:textId="0DB3DD8F" w:rsidR="008E2ED2" w:rsidRPr="0018386D" w:rsidRDefault="008E2ED2" w:rsidP="00DD3106">
            <w:pPr>
              <w:pStyle w:val="TableText"/>
              <w:spacing w:before="40" w:after="40"/>
              <w:jc w:val="center"/>
              <w:rPr>
                <w:rFonts w:cs="Calibri"/>
                <w:szCs w:val="18"/>
              </w:rPr>
            </w:pPr>
            <w:r w:rsidRPr="0018386D">
              <w:rPr>
                <w:rFonts w:cs="Calibri"/>
                <w:szCs w:val="18"/>
              </w:rPr>
              <w:t>0.00615</w:t>
            </w:r>
          </w:p>
        </w:tc>
        <w:tc>
          <w:tcPr>
            <w:tcW w:w="1263" w:type="dxa"/>
            <w:shd w:val="clear" w:color="auto" w:fill="FFFFFF" w:themeFill="background1"/>
            <w:noWrap/>
            <w:hideMark/>
          </w:tcPr>
          <w:p w14:paraId="06567C46" w14:textId="32A95F74" w:rsidR="008E2ED2" w:rsidRPr="0018386D" w:rsidRDefault="004418C6" w:rsidP="00DD3106">
            <w:pPr>
              <w:pStyle w:val="TableText"/>
              <w:spacing w:before="40" w:after="40"/>
              <w:jc w:val="center"/>
              <w:rPr>
                <w:rFonts w:cs="Calibri"/>
                <w:szCs w:val="18"/>
              </w:rPr>
            </w:pPr>
            <w:r w:rsidRPr="0018386D">
              <w:rPr>
                <w:rFonts w:cs="Calibri"/>
                <w:szCs w:val="18"/>
              </w:rPr>
              <w:t>0.5%</w:t>
            </w:r>
          </w:p>
        </w:tc>
      </w:tr>
      <w:tr w:rsidR="008B0B1F" w:rsidRPr="0018386D" w14:paraId="52F28A12" w14:textId="77777777" w:rsidTr="00905A73">
        <w:trPr>
          <w:divId w:val="1990136145"/>
        </w:trPr>
        <w:tc>
          <w:tcPr>
            <w:tcW w:w="1824" w:type="dxa"/>
            <w:tcBorders>
              <w:bottom w:val="single" w:sz="4" w:space="0" w:color="auto"/>
            </w:tcBorders>
            <w:shd w:val="clear" w:color="auto" w:fill="FFFFFF" w:themeFill="background1"/>
            <w:noWrap/>
            <w:hideMark/>
          </w:tcPr>
          <w:p w14:paraId="3C88526F" w14:textId="49CFD542" w:rsidR="008E2ED2" w:rsidRPr="0018386D" w:rsidRDefault="008E2ED2" w:rsidP="00DD3106">
            <w:pPr>
              <w:pStyle w:val="TableText"/>
              <w:spacing w:before="40" w:after="40"/>
              <w:rPr>
                <w:rFonts w:cs="Calibri"/>
                <w:szCs w:val="18"/>
              </w:rPr>
            </w:pPr>
            <w:r w:rsidRPr="0018386D">
              <w:rPr>
                <w:rFonts w:cs="Calibri"/>
                <w:szCs w:val="18"/>
              </w:rPr>
              <w:t xml:space="preserve">Light </w:t>
            </w:r>
            <w:r w:rsidR="00A87561" w:rsidRPr="0018386D">
              <w:rPr>
                <w:rFonts w:cs="Calibri"/>
                <w:szCs w:val="18"/>
              </w:rPr>
              <w:t>f</w:t>
            </w:r>
            <w:r w:rsidR="00817D03" w:rsidRPr="0018386D">
              <w:rPr>
                <w:rFonts w:cs="Calibri"/>
                <w:szCs w:val="18"/>
              </w:rPr>
              <w:t xml:space="preserve">uel </w:t>
            </w:r>
            <w:r w:rsidR="00A87561" w:rsidRPr="0018386D">
              <w:rPr>
                <w:rFonts w:cs="Calibri"/>
                <w:szCs w:val="18"/>
              </w:rPr>
              <w:t>o</w:t>
            </w:r>
            <w:r w:rsidR="00817D03" w:rsidRPr="0018386D">
              <w:rPr>
                <w:rFonts w:cs="Calibri"/>
                <w:szCs w:val="18"/>
              </w:rPr>
              <w:t xml:space="preserve">il </w:t>
            </w:r>
          </w:p>
        </w:tc>
        <w:tc>
          <w:tcPr>
            <w:tcW w:w="563" w:type="dxa"/>
            <w:shd w:val="clear" w:color="auto" w:fill="FFFFFF" w:themeFill="background1"/>
            <w:noWrap/>
            <w:hideMark/>
          </w:tcPr>
          <w:p w14:paraId="54CF49E9" w14:textId="77777777" w:rsidR="008E2ED2" w:rsidRPr="0018386D" w:rsidRDefault="008E2ED2" w:rsidP="00DD3106">
            <w:pPr>
              <w:pStyle w:val="TableText"/>
              <w:spacing w:before="40" w:after="40"/>
              <w:jc w:val="center"/>
              <w:rPr>
                <w:rFonts w:cs="Calibri"/>
                <w:szCs w:val="18"/>
              </w:rPr>
            </w:pPr>
            <w:r w:rsidRPr="0018386D">
              <w:rPr>
                <w:rFonts w:cs="Calibri"/>
                <w:szCs w:val="18"/>
              </w:rPr>
              <w:t>litre</w:t>
            </w:r>
          </w:p>
        </w:tc>
        <w:tc>
          <w:tcPr>
            <w:tcW w:w="1264" w:type="dxa"/>
            <w:shd w:val="clear" w:color="auto" w:fill="D2DDE1" w:themeFill="background2"/>
            <w:noWrap/>
            <w:hideMark/>
          </w:tcPr>
          <w:p w14:paraId="2F534477" w14:textId="48477969" w:rsidR="008E2ED2" w:rsidRPr="0018386D" w:rsidRDefault="008E2ED2" w:rsidP="00DD3106">
            <w:pPr>
              <w:pStyle w:val="TableText"/>
              <w:spacing w:before="40" w:after="40"/>
              <w:jc w:val="center"/>
              <w:rPr>
                <w:rFonts w:cs="Calibri"/>
                <w:szCs w:val="18"/>
              </w:rPr>
            </w:pPr>
            <w:r w:rsidRPr="0018386D">
              <w:rPr>
                <w:rFonts w:cs="Calibri"/>
                <w:szCs w:val="18"/>
              </w:rPr>
              <w:t>2.96</w:t>
            </w:r>
          </w:p>
        </w:tc>
        <w:tc>
          <w:tcPr>
            <w:tcW w:w="1124" w:type="dxa"/>
            <w:shd w:val="clear" w:color="auto" w:fill="FFFFFF" w:themeFill="background1"/>
            <w:noWrap/>
            <w:hideMark/>
          </w:tcPr>
          <w:p w14:paraId="28765463" w14:textId="79098F67" w:rsidR="008E2ED2" w:rsidRPr="0018386D" w:rsidRDefault="008E2ED2" w:rsidP="00DD3106">
            <w:pPr>
              <w:pStyle w:val="TableText"/>
              <w:spacing w:before="40" w:after="40"/>
              <w:jc w:val="center"/>
              <w:rPr>
                <w:rFonts w:cs="Calibri"/>
                <w:szCs w:val="18"/>
              </w:rPr>
            </w:pPr>
            <w:r w:rsidRPr="0018386D">
              <w:rPr>
                <w:rFonts w:cs="Calibri"/>
                <w:szCs w:val="18"/>
              </w:rPr>
              <w:t>2.95</w:t>
            </w:r>
          </w:p>
        </w:tc>
        <w:tc>
          <w:tcPr>
            <w:tcW w:w="1264" w:type="dxa"/>
            <w:shd w:val="clear" w:color="auto" w:fill="FFFFFF" w:themeFill="background1"/>
            <w:noWrap/>
            <w:hideMark/>
          </w:tcPr>
          <w:p w14:paraId="5E90148F" w14:textId="7ECF4F96" w:rsidR="008E2ED2" w:rsidRPr="0018386D" w:rsidRDefault="008E2ED2" w:rsidP="00DD3106">
            <w:pPr>
              <w:pStyle w:val="TableText"/>
              <w:spacing w:before="40" w:after="40"/>
              <w:jc w:val="center"/>
              <w:rPr>
                <w:rFonts w:cs="Calibri"/>
                <w:szCs w:val="18"/>
              </w:rPr>
            </w:pPr>
            <w:r w:rsidRPr="0018386D">
              <w:rPr>
                <w:rFonts w:cs="Calibri"/>
                <w:szCs w:val="18"/>
              </w:rPr>
              <w:t>0.00323</w:t>
            </w:r>
          </w:p>
        </w:tc>
        <w:tc>
          <w:tcPr>
            <w:tcW w:w="1203" w:type="dxa"/>
            <w:shd w:val="clear" w:color="auto" w:fill="FFFFFF" w:themeFill="background1"/>
            <w:noWrap/>
            <w:hideMark/>
          </w:tcPr>
          <w:p w14:paraId="58718D6F" w14:textId="722D205B" w:rsidR="008E2ED2" w:rsidRPr="0018386D" w:rsidRDefault="008E2ED2" w:rsidP="00DD3106">
            <w:pPr>
              <w:pStyle w:val="TableText"/>
              <w:spacing w:before="40" w:after="40"/>
              <w:jc w:val="center"/>
              <w:rPr>
                <w:rFonts w:cs="Calibri"/>
                <w:szCs w:val="18"/>
              </w:rPr>
            </w:pPr>
            <w:r w:rsidRPr="0018386D">
              <w:rPr>
                <w:rFonts w:cs="Calibri"/>
                <w:szCs w:val="18"/>
              </w:rPr>
              <w:t>0.00611</w:t>
            </w:r>
          </w:p>
        </w:tc>
        <w:tc>
          <w:tcPr>
            <w:tcW w:w="1263" w:type="dxa"/>
            <w:shd w:val="clear" w:color="auto" w:fill="FFFFFF" w:themeFill="background1"/>
            <w:noWrap/>
            <w:hideMark/>
          </w:tcPr>
          <w:p w14:paraId="174BD336" w14:textId="224B54AC" w:rsidR="008E2ED2" w:rsidRPr="0018386D" w:rsidRDefault="004418C6" w:rsidP="00DD3106">
            <w:pPr>
              <w:pStyle w:val="TableText"/>
              <w:spacing w:before="40" w:after="40"/>
              <w:jc w:val="center"/>
              <w:rPr>
                <w:rFonts w:cs="Calibri"/>
                <w:szCs w:val="18"/>
              </w:rPr>
            </w:pPr>
            <w:r w:rsidRPr="0018386D">
              <w:rPr>
                <w:rFonts w:cs="Calibri"/>
                <w:szCs w:val="18"/>
              </w:rPr>
              <w:t>0.5%</w:t>
            </w:r>
          </w:p>
        </w:tc>
      </w:tr>
      <w:tr w:rsidR="008B0B1F" w:rsidRPr="0018386D" w14:paraId="2F4004D4" w14:textId="77777777" w:rsidTr="00905A73">
        <w:trPr>
          <w:divId w:val="1990136145"/>
        </w:trPr>
        <w:tc>
          <w:tcPr>
            <w:tcW w:w="1824" w:type="dxa"/>
            <w:tcBorders>
              <w:top w:val="single" w:sz="4" w:space="0" w:color="auto"/>
              <w:bottom w:val="nil"/>
              <w:right w:val="single" w:sz="4" w:space="0" w:color="auto"/>
            </w:tcBorders>
            <w:shd w:val="clear" w:color="auto" w:fill="FFFFFF" w:themeFill="background1"/>
            <w:noWrap/>
            <w:hideMark/>
          </w:tcPr>
          <w:p w14:paraId="3DA7AB02" w14:textId="087745C3" w:rsidR="008E2ED2" w:rsidRPr="0018386D" w:rsidRDefault="008E2ED2" w:rsidP="00DD3106">
            <w:pPr>
              <w:pStyle w:val="TableText"/>
              <w:spacing w:before="40" w:after="40"/>
              <w:rPr>
                <w:rFonts w:cs="Calibri"/>
                <w:szCs w:val="18"/>
              </w:rPr>
            </w:pPr>
            <w:r w:rsidRPr="0018386D">
              <w:rPr>
                <w:rFonts w:cs="Calibri"/>
                <w:szCs w:val="18"/>
              </w:rPr>
              <w:t xml:space="preserve">Natural </w:t>
            </w:r>
            <w:r w:rsidR="00A87561" w:rsidRPr="0018386D">
              <w:rPr>
                <w:rFonts w:cs="Calibri"/>
                <w:szCs w:val="18"/>
              </w:rPr>
              <w:t>g</w:t>
            </w:r>
            <w:r w:rsidR="00817D03" w:rsidRPr="0018386D">
              <w:rPr>
                <w:rFonts w:cs="Calibri"/>
                <w:szCs w:val="18"/>
              </w:rPr>
              <w:t>as</w:t>
            </w:r>
          </w:p>
        </w:tc>
        <w:tc>
          <w:tcPr>
            <w:tcW w:w="563" w:type="dxa"/>
            <w:tcBorders>
              <w:left w:val="single" w:sz="4" w:space="0" w:color="auto"/>
            </w:tcBorders>
            <w:shd w:val="clear" w:color="auto" w:fill="FFFFFF" w:themeFill="background1"/>
            <w:noWrap/>
            <w:hideMark/>
          </w:tcPr>
          <w:p w14:paraId="645836BA" w14:textId="77777777" w:rsidR="008E2ED2" w:rsidRPr="0018386D" w:rsidRDefault="008E2ED2" w:rsidP="00DD3106">
            <w:pPr>
              <w:pStyle w:val="TableText"/>
              <w:spacing w:before="40" w:after="40"/>
              <w:jc w:val="center"/>
              <w:rPr>
                <w:rFonts w:cs="Calibri"/>
                <w:szCs w:val="18"/>
              </w:rPr>
            </w:pPr>
            <w:r w:rsidRPr="0018386D">
              <w:rPr>
                <w:rFonts w:cs="Calibri"/>
                <w:szCs w:val="18"/>
              </w:rPr>
              <w:t>kWh</w:t>
            </w:r>
          </w:p>
        </w:tc>
        <w:tc>
          <w:tcPr>
            <w:tcW w:w="1264" w:type="dxa"/>
            <w:shd w:val="clear" w:color="auto" w:fill="D2DDE1" w:themeFill="background2"/>
            <w:noWrap/>
            <w:hideMark/>
          </w:tcPr>
          <w:p w14:paraId="273876F5" w14:textId="483F2E6E" w:rsidR="008E2ED2" w:rsidRPr="0018386D" w:rsidRDefault="008E2ED2" w:rsidP="00DD3106">
            <w:pPr>
              <w:pStyle w:val="TableText"/>
              <w:spacing w:before="40" w:after="40"/>
              <w:jc w:val="center"/>
              <w:rPr>
                <w:rFonts w:cs="Calibri"/>
                <w:szCs w:val="18"/>
              </w:rPr>
            </w:pPr>
            <w:r w:rsidRPr="0018386D">
              <w:rPr>
                <w:rFonts w:cs="Calibri"/>
                <w:szCs w:val="18"/>
              </w:rPr>
              <w:t>0.193</w:t>
            </w:r>
          </w:p>
        </w:tc>
        <w:tc>
          <w:tcPr>
            <w:tcW w:w="1124" w:type="dxa"/>
            <w:shd w:val="clear" w:color="auto" w:fill="FFFFFF" w:themeFill="background1"/>
            <w:noWrap/>
            <w:hideMark/>
          </w:tcPr>
          <w:p w14:paraId="3C38525F" w14:textId="3AE5170A" w:rsidR="008E2ED2" w:rsidRPr="0018386D" w:rsidRDefault="008E2ED2" w:rsidP="00DD3106">
            <w:pPr>
              <w:pStyle w:val="TableText"/>
              <w:spacing w:before="40" w:after="40"/>
              <w:jc w:val="center"/>
              <w:rPr>
                <w:rFonts w:cs="Calibri"/>
                <w:szCs w:val="18"/>
              </w:rPr>
            </w:pPr>
            <w:r w:rsidRPr="0018386D">
              <w:rPr>
                <w:rFonts w:cs="Calibri"/>
                <w:szCs w:val="18"/>
              </w:rPr>
              <w:t>0.193</w:t>
            </w:r>
          </w:p>
        </w:tc>
        <w:tc>
          <w:tcPr>
            <w:tcW w:w="1264" w:type="dxa"/>
            <w:shd w:val="clear" w:color="auto" w:fill="FFFFFF" w:themeFill="background1"/>
            <w:noWrap/>
            <w:hideMark/>
          </w:tcPr>
          <w:p w14:paraId="57BCD749" w14:textId="01B1B5C0" w:rsidR="008E2ED2" w:rsidRPr="0018386D" w:rsidRDefault="008E2ED2" w:rsidP="00DD3106">
            <w:pPr>
              <w:pStyle w:val="TableText"/>
              <w:spacing w:before="40" w:after="40"/>
              <w:jc w:val="center"/>
              <w:rPr>
                <w:rFonts w:cs="Calibri"/>
                <w:szCs w:val="18"/>
              </w:rPr>
            </w:pPr>
            <w:r w:rsidRPr="0018386D">
              <w:rPr>
                <w:rFonts w:cs="Calibri"/>
                <w:szCs w:val="18"/>
              </w:rPr>
              <w:t>0.00009</w:t>
            </w:r>
          </w:p>
        </w:tc>
        <w:tc>
          <w:tcPr>
            <w:tcW w:w="1203" w:type="dxa"/>
            <w:shd w:val="clear" w:color="auto" w:fill="FFFFFF" w:themeFill="background1"/>
            <w:noWrap/>
            <w:hideMark/>
          </w:tcPr>
          <w:p w14:paraId="029BDE05" w14:textId="1996356F" w:rsidR="008E2ED2" w:rsidRPr="0018386D" w:rsidRDefault="008E2ED2" w:rsidP="00DD3106">
            <w:pPr>
              <w:pStyle w:val="TableText"/>
              <w:spacing w:before="40" w:after="40"/>
              <w:jc w:val="center"/>
              <w:rPr>
                <w:rFonts w:cs="Calibri"/>
                <w:szCs w:val="18"/>
              </w:rPr>
            </w:pPr>
            <w:r w:rsidRPr="0018386D">
              <w:rPr>
                <w:rFonts w:cs="Calibri"/>
                <w:szCs w:val="18"/>
              </w:rPr>
              <w:t>0.00009</w:t>
            </w:r>
          </w:p>
        </w:tc>
        <w:tc>
          <w:tcPr>
            <w:tcW w:w="1263" w:type="dxa"/>
            <w:shd w:val="clear" w:color="auto" w:fill="FFFFFF" w:themeFill="background1"/>
            <w:noWrap/>
            <w:hideMark/>
          </w:tcPr>
          <w:p w14:paraId="30A118C5" w14:textId="66ABFC9F" w:rsidR="008E2ED2" w:rsidRPr="0018386D" w:rsidRDefault="004418C6" w:rsidP="00DD3106">
            <w:pPr>
              <w:pStyle w:val="TableText"/>
              <w:spacing w:before="40" w:after="40"/>
              <w:jc w:val="center"/>
              <w:rPr>
                <w:rFonts w:cs="Calibri"/>
                <w:szCs w:val="18"/>
              </w:rPr>
            </w:pPr>
            <w:r w:rsidRPr="0018386D">
              <w:rPr>
                <w:rFonts w:cs="Calibri"/>
                <w:szCs w:val="18"/>
              </w:rPr>
              <w:t>2.4%</w:t>
            </w:r>
          </w:p>
        </w:tc>
      </w:tr>
      <w:tr w:rsidR="008B0B1F" w:rsidRPr="0018386D" w14:paraId="64AFD5BB" w14:textId="77777777" w:rsidTr="00905A73">
        <w:trPr>
          <w:divId w:val="1990136145"/>
        </w:trPr>
        <w:tc>
          <w:tcPr>
            <w:tcW w:w="1824" w:type="dxa"/>
            <w:tcBorders>
              <w:top w:val="nil"/>
              <w:bottom w:val="single" w:sz="4" w:space="0" w:color="auto"/>
              <w:right w:val="single" w:sz="4" w:space="0" w:color="auto"/>
            </w:tcBorders>
            <w:shd w:val="clear" w:color="000000" w:fill="FFFFFF"/>
            <w:noWrap/>
            <w:hideMark/>
          </w:tcPr>
          <w:p w14:paraId="4605F987" w14:textId="77777777" w:rsidR="008E2ED2" w:rsidRPr="0018386D" w:rsidRDefault="008E2ED2" w:rsidP="00DD3106">
            <w:pPr>
              <w:pStyle w:val="TableText"/>
              <w:spacing w:before="40" w:after="40"/>
              <w:rPr>
                <w:rFonts w:cs="Calibri"/>
                <w:szCs w:val="18"/>
              </w:rPr>
            </w:pPr>
            <w:r w:rsidRPr="0018386D">
              <w:rPr>
                <w:rFonts w:cs="Calibri"/>
                <w:szCs w:val="18"/>
              </w:rPr>
              <w:t> </w:t>
            </w:r>
          </w:p>
        </w:tc>
        <w:tc>
          <w:tcPr>
            <w:tcW w:w="563" w:type="dxa"/>
            <w:tcBorders>
              <w:left w:val="single" w:sz="4" w:space="0" w:color="auto"/>
            </w:tcBorders>
            <w:shd w:val="clear" w:color="auto" w:fill="FFFFFF" w:themeFill="background1"/>
            <w:noWrap/>
            <w:hideMark/>
          </w:tcPr>
          <w:p w14:paraId="6E4298F1" w14:textId="77777777" w:rsidR="008E2ED2" w:rsidRPr="0018386D" w:rsidRDefault="008E2ED2" w:rsidP="00DD3106">
            <w:pPr>
              <w:pStyle w:val="TableText"/>
              <w:spacing w:before="40" w:after="40"/>
              <w:jc w:val="center"/>
              <w:rPr>
                <w:rFonts w:cs="Calibri"/>
                <w:szCs w:val="18"/>
              </w:rPr>
            </w:pPr>
            <w:r w:rsidRPr="0018386D">
              <w:rPr>
                <w:rFonts w:cs="Calibri"/>
                <w:szCs w:val="18"/>
              </w:rPr>
              <w:t>GJ</w:t>
            </w:r>
          </w:p>
        </w:tc>
        <w:tc>
          <w:tcPr>
            <w:tcW w:w="1264" w:type="dxa"/>
            <w:shd w:val="clear" w:color="auto" w:fill="D2DDE1" w:themeFill="background2"/>
            <w:noWrap/>
            <w:hideMark/>
          </w:tcPr>
          <w:p w14:paraId="0BF23AC8" w14:textId="328C9D06" w:rsidR="008E2ED2" w:rsidRPr="0018386D" w:rsidRDefault="008E2ED2" w:rsidP="00DD3106">
            <w:pPr>
              <w:pStyle w:val="TableText"/>
              <w:spacing w:before="40" w:after="40"/>
              <w:jc w:val="center"/>
              <w:rPr>
                <w:rFonts w:cs="Calibri"/>
                <w:szCs w:val="18"/>
              </w:rPr>
            </w:pPr>
            <w:r w:rsidRPr="0018386D">
              <w:rPr>
                <w:rFonts w:cs="Calibri"/>
                <w:szCs w:val="18"/>
              </w:rPr>
              <w:t>53.7</w:t>
            </w:r>
          </w:p>
        </w:tc>
        <w:tc>
          <w:tcPr>
            <w:tcW w:w="1124" w:type="dxa"/>
            <w:shd w:val="clear" w:color="auto" w:fill="FFFFFF" w:themeFill="background1"/>
            <w:noWrap/>
            <w:hideMark/>
          </w:tcPr>
          <w:p w14:paraId="66C5CD6A" w14:textId="5770B46A" w:rsidR="008E2ED2" w:rsidRPr="0018386D" w:rsidRDefault="008E2ED2" w:rsidP="00DD3106">
            <w:pPr>
              <w:pStyle w:val="TableText"/>
              <w:spacing w:before="40" w:after="40"/>
              <w:jc w:val="center"/>
              <w:rPr>
                <w:rFonts w:cs="Calibri"/>
                <w:szCs w:val="18"/>
              </w:rPr>
            </w:pPr>
            <w:r w:rsidRPr="0018386D">
              <w:rPr>
                <w:rFonts w:cs="Calibri"/>
                <w:szCs w:val="18"/>
              </w:rPr>
              <w:t>53.6</w:t>
            </w:r>
          </w:p>
        </w:tc>
        <w:tc>
          <w:tcPr>
            <w:tcW w:w="1264" w:type="dxa"/>
            <w:shd w:val="clear" w:color="auto" w:fill="FFFFFF" w:themeFill="background1"/>
            <w:noWrap/>
            <w:hideMark/>
          </w:tcPr>
          <w:p w14:paraId="4D6655A4" w14:textId="19C61A0E" w:rsidR="008E2ED2" w:rsidRPr="0018386D" w:rsidRDefault="008E2ED2" w:rsidP="00DD3106">
            <w:pPr>
              <w:pStyle w:val="TableText"/>
              <w:spacing w:before="40" w:after="40"/>
              <w:jc w:val="center"/>
              <w:rPr>
                <w:rFonts w:cs="Calibri"/>
                <w:szCs w:val="18"/>
              </w:rPr>
            </w:pPr>
            <w:r w:rsidRPr="0018386D">
              <w:rPr>
                <w:rFonts w:cs="Calibri"/>
                <w:szCs w:val="18"/>
              </w:rPr>
              <w:t>0.0252</w:t>
            </w:r>
          </w:p>
        </w:tc>
        <w:tc>
          <w:tcPr>
            <w:tcW w:w="1203" w:type="dxa"/>
            <w:shd w:val="clear" w:color="auto" w:fill="FFFFFF" w:themeFill="background1"/>
            <w:noWrap/>
            <w:hideMark/>
          </w:tcPr>
          <w:p w14:paraId="69F05143" w14:textId="0891E8F1" w:rsidR="008E2ED2" w:rsidRPr="0018386D" w:rsidRDefault="008E2ED2" w:rsidP="00DD3106">
            <w:pPr>
              <w:pStyle w:val="TableText"/>
              <w:spacing w:before="40" w:after="40"/>
              <w:jc w:val="center"/>
              <w:rPr>
                <w:rFonts w:cs="Calibri"/>
                <w:szCs w:val="18"/>
              </w:rPr>
            </w:pPr>
            <w:r w:rsidRPr="0018386D">
              <w:rPr>
                <w:rFonts w:cs="Calibri"/>
                <w:color w:val="000000" w:themeColor="text1"/>
                <w:szCs w:val="18"/>
              </w:rPr>
              <w:t>0.023</w:t>
            </w:r>
            <w:r w:rsidR="00213490" w:rsidRPr="0018386D">
              <w:rPr>
                <w:rFonts w:cs="Calibri"/>
                <w:color w:val="000000" w:themeColor="text1"/>
                <w:szCs w:val="18"/>
              </w:rPr>
              <w:t>9</w:t>
            </w:r>
          </w:p>
        </w:tc>
        <w:tc>
          <w:tcPr>
            <w:tcW w:w="1263" w:type="dxa"/>
            <w:shd w:val="clear" w:color="auto" w:fill="FFFFFF" w:themeFill="background1"/>
            <w:noWrap/>
            <w:hideMark/>
          </w:tcPr>
          <w:p w14:paraId="436A6BA1" w14:textId="0475CC65" w:rsidR="008E2ED2" w:rsidRPr="0018386D" w:rsidRDefault="004418C6" w:rsidP="00DD3106">
            <w:pPr>
              <w:pStyle w:val="TableText"/>
              <w:spacing w:before="40" w:after="40"/>
              <w:jc w:val="center"/>
              <w:rPr>
                <w:rFonts w:cs="Calibri"/>
                <w:szCs w:val="18"/>
              </w:rPr>
            </w:pPr>
            <w:r w:rsidRPr="0018386D">
              <w:rPr>
                <w:rFonts w:cs="Calibri"/>
                <w:szCs w:val="18"/>
              </w:rPr>
              <w:t>2.4%</w:t>
            </w:r>
          </w:p>
        </w:tc>
      </w:tr>
    </w:tbl>
    <w:p w14:paraId="33ACF055" w14:textId="66FEF570" w:rsidR="0041106E" w:rsidRPr="0018386D" w:rsidRDefault="0041106E" w:rsidP="00DD3106">
      <w:pPr>
        <w:pStyle w:val="Note"/>
        <w:spacing w:after="0"/>
      </w:pPr>
      <w:bookmarkStart w:id="137" w:name="_Hlk532730916"/>
      <w:r w:rsidRPr="0018386D">
        <w:rPr>
          <w:b/>
          <w:bCs/>
        </w:rPr>
        <w:t>Notes</w:t>
      </w:r>
      <w:r w:rsidR="00A86FFC" w:rsidRPr="0018386D">
        <w:rPr>
          <w:b/>
          <w:bCs/>
        </w:rPr>
        <w:t xml:space="preserve">: </w:t>
      </w:r>
      <w:r w:rsidRPr="0018386D">
        <w:t xml:space="preserve">Commercial and industrial classifications are based on standard </w:t>
      </w:r>
      <w:r w:rsidR="008760C6" w:rsidRPr="0018386D">
        <w:t>classi</w:t>
      </w:r>
      <w:r w:rsidR="00E813CC" w:rsidRPr="0018386D">
        <w:t>f</w:t>
      </w:r>
      <w:r w:rsidR="008760C6" w:rsidRPr="0018386D">
        <w:t>i</w:t>
      </w:r>
      <w:r w:rsidR="00E813CC" w:rsidRPr="0018386D">
        <w:t>c</w:t>
      </w:r>
      <w:r w:rsidR="008760C6" w:rsidRPr="0018386D">
        <w:t>atio</w:t>
      </w:r>
      <w:r w:rsidR="008760C6" w:rsidRPr="0018386D">
        <w:rPr>
          <w:rFonts w:cs="Calibri"/>
        </w:rPr>
        <w:t>n</w:t>
      </w:r>
      <w:r w:rsidR="00E31F04" w:rsidRPr="0018386D">
        <w:rPr>
          <w:rFonts w:cs="Calibri"/>
        </w:rPr>
        <w:t>.</w:t>
      </w:r>
      <w:r w:rsidRPr="0018386D">
        <w:rPr>
          <w:rStyle w:val="FootnoteReference"/>
          <w:rFonts w:cs="Calibri"/>
          <w:sz w:val="18"/>
          <w:szCs w:val="18"/>
        </w:rPr>
        <w:footnoteReference w:id="17"/>
      </w:r>
    </w:p>
    <w:p w14:paraId="0C8CC12D" w14:textId="1C2C777F" w:rsidR="0041106E" w:rsidRPr="0018386D" w:rsidRDefault="00E31F04" w:rsidP="00DD3106">
      <w:pPr>
        <w:pStyle w:val="Note"/>
        <w:spacing w:before="60" w:after="0"/>
      </w:pPr>
      <w:r w:rsidRPr="0018386D">
        <w:t>Use t</w:t>
      </w:r>
      <w:r w:rsidR="0041106E" w:rsidRPr="0018386D">
        <w:t xml:space="preserve">he default coal emission factor if it is not possible to identify the type of coal. </w:t>
      </w:r>
    </w:p>
    <w:p w14:paraId="556F4C0E" w14:textId="62B1E1B3" w:rsidR="00405261" w:rsidRPr="0018386D" w:rsidRDefault="00E31F04" w:rsidP="00DD3106">
      <w:pPr>
        <w:pStyle w:val="Note"/>
        <w:spacing w:before="60" w:after="0"/>
      </w:pPr>
      <w:r w:rsidRPr="0018386D">
        <w:t xml:space="preserve">Convert </w:t>
      </w:r>
      <w:r w:rsidR="0041106E" w:rsidRPr="0018386D">
        <w:t>LPG-use data in litres to kilograms by multiplying by the specific gravity of 0.536 kg/litre.</w:t>
      </w:r>
      <w:bookmarkEnd w:id="137"/>
    </w:p>
    <w:p w14:paraId="7E89668F" w14:textId="717F63C8" w:rsidR="0041106E" w:rsidRPr="0018386D" w:rsidRDefault="00301928" w:rsidP="00DD3106">
      <w:pPr>
        <w:pStyle w:val="Heading3"/>
        <w:numPr>
          <w:ilvl w:val="2"/>
          <w:numId w:val="8"/>
        </w:numPr>
        <w:spacing w:before="320"/>
      </w:pPr>
      <w:bookmarkStart w:id="138" w:name="_GHG_inventory_development"/>
      <w:bookmarkStart w:id="139" w:name="_Toc532904856"/>
      <w:bookmarkEnd w:id="138"/>
      <w:r w:rsidRPr="0018386D">
        <w:lastRenderedPageBreak/>
        <w:t xml:space="preserve">GHG </w:t>
      </w:r>
      <w:r w:rsidR="0041106E" w:rsidRPr="0018386D">
        <w:t>inventory development</w:t>
      </w:r>
      <w:bookmarkEnd w:id="139"/>
    </w:p>
    <w:p w14:paraId="7830745B" w14:textId="1CED56CE" w:rsidR="0041106E" w:rsidRPr="0018386D" w:rsidRDefault="0041106E" w:rsidP="00DD3106">
      <w:pPr>
        <w:pStyle w:val="BodyText"/>
      </w:pPr>
      <w:r w:rsidRPr="0018386D">
        <w:t xml:space="preserve">To calculate stationary combustion fuel emissions, </w:t>
      </w:r>
      <w:r w:rsidR="5D7D5B4C" w:rsidRPr="0018386D">
        <w:t xml:space="preserve">first </w:t>
      </w:r>
      <w:r w:rsidRPr="0018386D">
        <w:t>collect data on the quantity of fuel used</w:t>
      </w:r>
      <w:r w:rsidR="00A77C87" w:rsidRPr="0018386D">
        <w:t>,</w:t>
      </w:r>
      <w:r w:rsidRPr="0018386D">
        <w:t xml:space="preserve"> </w:t>
      </w:r>
      <w:r w:rsidR="2ABCDB57" w:rsidRPr="0018386D">
        <w:t>and</w:t>
      </w:r>
      <w:r w:rsidR="4C05B743" w:rsidRPr="0018386D">
        <w:t xml:space="preserve"> then </w:t>
      </w:r>
      <w:r w:rsidR="4C05B743" w:rsidRPr="0018386D">
        <w:rPr>
          <w:rFonts w:eastAsia="Calibri" w:cs="Calibri"/>
        </w:rPr>
        <w:t>multiply this by</w:t>
      </w:r>
      <w:r w:rsidRPr="0018386D">
        <w:rPr>
          <w:rFonts w:eastAsia="Calibri" w:cs="Calibri"/>
        </w:rPr>
        <w:t xml:space="preserve"> the </w:t>
      </w:r>
      <w:r w:rsidR="4C05B743" w:rsidRPr="0018386D">
        <w:rPr>
          <w:rFonts w:eastAsia="Calibri" w:cs="Calibri"/>
        </w:rPr>
        <w:t>appropriate emission factor from the table</w:t>
      </w:r>
      <w:r w:rsidR="4818A494" w:rsidRPr="0018386D">
        <w:t>.</w:t>
      </w:r>
      <w:r w:rsidRPr="0018386D">
        <w:t xml:space="preserve"> </w:t>
      </w:r>
      <w:bookmarkStart w:id="140" w:name="_Hlk532730909"/>
      <w:r w:rsidR="00055A0C" w:rsidRPr="0018386D">
        <w:t>Applying</w:t>
      </w:r>
      <w:r w:rsidRPr="0018386D">
        <w:t xml:space="preserve"> the equation </w:t>
      </w:r>
      <w:r w:rsidR="00A71EB9" w:rsidRPr="0018386D">
        <w:t>E</w:t>
      </w:r>
      <w:r w:rsidR="00765080" w:rsidRPr="0018386D">
        <w:t xml:space="preserve"> </w:t>
      </w:r>
      <w:r w:rsidR="00A71EB9" w:rsidRPr="0018386D">
        <w:t>=</w:t>
      </w:r>
      <w:r w:rsidR="00765080" w:rsidRPr="0018386D">
        <w:t xml:space="preserve"> </w:t>
      </w:r>
      <w:r w:rsidR="00A71EB9" w:rsidRPr="0018386D">
        <w:t>Q x F (</w:t>
      </w:r>
      <w:hyperlink w:anchor="_How_to_quantify">
        <w:r w:rsidR="041AF329" w:rsidRPr="0018386D">
          <w:rPr>
            <w:rStyle w:val="Hyperlink"/>
          </w:rPr>
          <w:t>section 2</w:t>
        </w:r>
      </w:hyperlink>
      <w:r w:rsidR="047BC955" w:rsidRPr="0018386D">
        <w:rPr>
          <w:rStyle w:val="Hyperlink"/>
          <w:color w:val="auto"/>
        </w:rPr>
        <w:t>)</w:t>
      </w:r>
      <w:r w:rsidR="29A78DE3" w:rsidRPr="0018386D">
        <w:t>,</w:t>
      </w:r>
      <w:r w:rsidR="4818A494" w:rsidRPr="0018386D">
        <w:t xml:space="preserve"> </w:t>
      </w:r>
      <w:r w:rsidR="29A78DE3" w:rsidRPr="0018386D">
        <w:t>this means</w:t>
      </w:r>
      <w:r w:rsidR="4818A494" w:rsidRPr="0018386D">
        <w:t>:</w:t>
      </w:r>
    </w:p>
    <w:p w14:paraId="6EE29FBF" w14:textId="7B772689" w:rsidR="00A71EB9" w:rsidRPr="0018386D" w:rsidRDefault="00A71EB9" w:rsidP="00DD3106">
      <w:pPr>
        <w:pStyle w:val="BodyText"/>
        <w:tabs>
          <w:tab w:val="left" w:pos="567"/>
          <w:tab w:val="left" w:pos="993"/>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75ECC35D" w14:textId="03CCF741" w:rsidR="0041106E" w:rsidRPr="0018386D" w:rsidRDefault="00C87034" w:rsidP="00DD3106">
      <w:pPr>
        <w:pStyle w:val="BodyText"/>
        <w:tabs>
          <w:tab w:val="left" w:pos="567"/>
          <w:tab w:val="left" w:pos="993"/>
        </w:tabs>
        <w:contextualSpacing/>
      </w:pPr>
      <w:r w:rsidRPr="0018386D">
        <w:t>Q</w:t>
      </w:r>
      <w:r w:rsidRPr="0018386D">
        <w:tab/>
      </w:r>
      <w:r w:rsidR="0041106E" w:rsidRPr="0018386D">
        <w:t>=</w:t>
      </w:r>
      <w:r w:rsidRPr="0018386D">
        <w:tab/>
      </w:r>
      <w:r w:rsidR="0041106E" w:rsidRPr="0018386D">
        <w:t>quantity of fuel used (unit)</w:t>
      </w:r>
    </w:p>
    <w:p w14:paraId="170FADD0" w14:textId="0D7CA118" w:rsidR="0041106E" w:rsidRPr="0018386D" w:rsidRDefault="00C87034" w:rsidP="00DD3106">
      <w:pPr>
        <w:pStyle w:val="BodyText"/>
        <w:tabs>
          <w:tab w:val="left" w:pos="567"/>
          <w:tab w:val="left" w:pos="993"/>
        </w:tabs>
        <w:contextualSpacing/>
      </w:pPr>
      <w:r w:rsidRPr="0018386D">
        <w:t>F</w:t>
      </w:r>
      <w:r w:rsidRPr="0018386D">
        <w:tab/>
        <w:t>=</w:t>
      </w:r>
      <w:r w:rsidRPr="0018386D">
        <w:tab/>
      </w:r>
      <w:r w:rsidR="0041106E" w:rsidRPr="0018386D">
        <w:t>appropriate emission factors from</w:t>
      </w:r>
      <w:r w:rsidR="002E1293" w:rsidRPr="0018386D">
        <w:t xml:space="preserve"> </w:t>
      </w:r>
      <w:hyperlink w:anchor="table3" w:history="1">
        <w:r w:rsidR="00124E50" w:rsidRPr="0018386D">
          <w:rPr>
            <w:rStyle w:val="Hyperlink"/>
          </w:rPr>
          <w:t>table 3</w:t>
        </w:r>
      </w:hyperlink>
      <w:r w:rsidR="00526F22" w:rsidRPr="0018386D">
        <w:rPr>
          <w:rStyle w:val="Hyperlink"/>
          <w:color w:val="auto"/>
        </w:rPr>
        <w:t>.</w:t>
      </w:r>
    </w:p>
    <w:bookmarkEnd w:id="140"/>
    <w:p w14:paraId="4D20DD5A" w14:textId="29ED0A1C" w:rsidR="00710A25" w:rsidRPr="0018386D" w:rsidRDefault="2E277863" w:rsidP="00DD3106">
      <w:pPr>
        <w:pStyle w:val="BodyText"/>
        <w:spacing w:after="240"/>
      </w:pPr>
      <w:r w:rsidRPr="0018386D">
        <w:t>O</w:t>
      </w:r>
      <w:r w:rsidR="4818A494" w:rsidRPr="0018386D">
        <w:t>rganisations</w:t>
      </w:r>
      <w:r w:rsidR="0041106E" w:rsidRPr="0018386D">
        <w:t xml:space="preserve"> typically report emissions using data on the amount of fuel used during the reporting period. </w:t>
      </w:r>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26324D" w:rsidRPr="0018386D" w:rsidDel="00D5390D" w14:paraId="7F4C962A" w14:textId="77777777" w:rsidTr="00E732A7">
        <w:tc>
          <w:tcPr>
            <w:tcW w:w="8500" w:type="dxa"/>
            <w:tcBorders>
              <w:top w:val="single" w:sz="4" w:space="0" w:color="0F7B7D"/>
              <w:left w:val="single" w:sz="4" w:space="0" w:color="0F7B7D"/>
              <w:bottom w:val="nil"/>
              <w:right w:val="single" w:sz="4" w:space="0" w:color="0F7B7D"/>
            </w:tcBorders>
            <w:shd w:val="clear" w:color="auto" w:fill="0F7B7D"/>
            <w:vAlign w:val="center"/>
          </w:tcPr>
          <w:p w14:paraId="2EA4B1FA" w14:textId="1E024696" w:rsidR="00B7561C" w:rsidRPr="0018386D" w:rsidDel="00D5390D" w:rsidRDefault="00FF1037" w:rsidP="00DD3106">
            <w:pPr>
              <w:pStyle w:val="Casestudyheading"/>
            </w:pPr>
            <w:bookmarkStart w:id="141" w:name="_Hlk532556830"/>
            <w:r w:rsidRPr="0018386D">
              <w:t xml:space="preserve">STATIONARY COMBUSTION: </w:t>
            </w:r>
            <w:r w:rsidR="00B7561C" w:rsidRPr="0018386D">
              <w:t>Example Calculation</w:t>
            </w:r>
          </w:p>
        </w:tc>
      </w:tr>
      <w:tr w:rsidR="0026324D" w:rsidRPr="0018386D" w14:paraId="140D3CC6" w14:textId="77777777" w:rsidTr="00E732A7">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829BB00" w14:textId="396C68BC" w:rsidR="00B7561C" w:rsidRPr="0018386D" w:rsidRDefault="00B7561C" w:rsidP="00DD3106">
            <w:pPr>
              <w:pStyle w:val="Boxtext"/>
            </w:pPr>
            <w:r w:rsidRPr="0018386D">
              <w:t xml:space="preserve">An organisation </w:t>
            </w:r>
            <w:r w:rsidR="00526F22" w:rsidRPr="0018386D">
              <w:t xml:space="preserve">uses </w:t>
            </w:r>
            <w:r w:rsidRPr="0018386D">
              <w:t>1</w:t>
            </w:r>
            <w:r w:rsidR="00A67512" w:rsidRPr="0018386D">
              <w:t>,</w:t>
            </w:r>
            <w:r w:rsidRPr="0018386D">
              <w:t xml:space="preserve">400 kg of LPG to heat </w:t>
            </w:r>
            <w:r w:rsidR="00526F22" w:rsidRPr="0018386D">
              <w:t>an</w:t>
            </w:r>
            <w:r w:rsidRPr="0018386D">
              <w:t xml:space="preserve"> office building in the reporting year. </w:t>
            </w:r>
          </w:p>
          <w:p w14:paraId="33F7BEA6" w14:textId="6CF08A05" w:rsidR="00B7561C" w:rsidRPr="0018386D" w:rsidRDefault="00B7561C" w:rsidP="00DD3106">
            <w:pPr>
              <w:pStyle w:val="Boxtext"/>
              <w:tabs>
                <w:tab w:val="left" w:pos="2921"/>
                <w:tab w:val="left" w:pos="4619"/>
              </w:tabs>
              <w:spacing w:before="20" w:after="20"/>
              <w:ind w:left="850"/>
            </w:pPr>
            <w:r w:rsidRPr="0018386D">
              <w:t>CO</w:t>
            </w:r>
            <w:r w:rsidRPr="0018386D">
              <w:rPr>
                <w:vertAlign w:val="subscript"/>
              </w:rPr>
              <w:t>2</w:t>
            </w:r>
            <w:r w:rsidRPr="0018386D">
              <w:t xml:space="preserve"> emissions</w:t>
            </w:r>
            <w:r w:rsidRPr="0018386D">
              <w:tab/>
              <w:t xml:space="preserve">= 1,400 </w:t>
            </w:r>
            <w:r w:rsidR="00B96968" w:rsidRPr="0018386D">
              <w:rPr>
                <w:rFonts w:cs="Calibri"/>
              </w:rPr>
              <w:t>×</w:t>
            </w:r>
            <w:r w:rsidRPr="0018386D">
              <w:t xml:space="preserve"> </w:t>
            </w:r>
            <w:r w:rsidR="00024B44" w:rsidRPr="0018386D">
              <w:t>2.96</w:t>
            </w:r>
            <w:r w:rsidRPr="0018386D">
              <w:tab/>
              <w:t>= 4,</w:t>
            </w:r>
            <w:r w:rsidR="004168C8" w:rsidRPr="0018386D">
              <w:t>144</w:t>
            </w:r>
            <w:r w:rsidRPr="0018386D">
              <w:t xml:space="preserve"> kg CO</w:t>
            </w:r>
            <w:r w:rsidRPr="0018386D">
              <w:rPr>
                <w:vertAlign w:val="subscript"/>
              </w:rPr>
              <w:t>2</w:t>
            </w:r>
            <w:r w:rsidRPr="0018386D">
              <w:t xml:space="preserve"> </w:t>
            </w:r>
          </w:p>
          <w:p w14:paraId="4259C35E" w14:textId="0BC554F0" w:rsidR="00B7561C" w:rsidRPr="0018386D" w:rsidRDefault="00B7561C" w:rsidP="00DD3106">
            <w:pPr>
              <w:pStyle w:val="Boxtext"/>
              <w:tabs>
                <w:tab w:val="left" w:pos="2921"/>
                <w:tab w:val="left" w:pos="4619"/>
              </w:tabs>
              <w:spacing w:before="20" w:after="20"/>
              <w:ind w:left="850"/>
            </w:pPr>
            <w:r w:rsidRPr="0018386D">
              <w:t>CH</w:t>
            </w:r>
            <w:r w:rsidRPr="0018386D">
              <w:rPr>
                <w:vertAlign w:val="subscript"/>
              </w:rPr>
              <w:t>4</w:t>
            </w:r>
            <w:r w:rsidRPr="0018386D">
              <w:t xml:space="preserve"> emissions</w:t>
            </w:r>
            <w:r w:rsidRPr="0018386D">
              <w:tab/>
              <w:t xml:space="preserve">= 1,400 </w:t>
            </w:r>
            <w:r w:rsidR="00B96968" w:rsidRPr="0018386D">
              <w:rPr>
                <w:rFonts w:cs="Calibri"/>
              </w:rPr>
              <w:t>×</w:t>
            </w:r>
            <w:r w:rsidRPr="0018386D">
              <w:t xml:space="preserve"> </w:t>
            </w:r>
            <w:r w:rsidR="00024B44" w:rsidRPr="0018386D">
              <w:t>0.006</w:t>
            </w:r>
            <w:r w:rsidR="006D29E4" w:rsidRPr="0018386D">
              <w:t>65</w:t>
            </w:r>
            <w:r w:rsidRPr="0018386D">
              <w:tab/>
              <w:t xml:space="preserve">= </w:t>
            </w:r>
            <w:r w:rsidR="00B9017D" w:rsidRPr="0018386D">
              <w:t>9.3</w:t>
            </w:r>
            <w:r w:rsidR="00AF4491" w:rsidRPr="0018386D">
              <w:t>1</w:t>
            </w:r>
            <w:r w:rsidRPr="0018386D">
              <w:t xml:space="preserve"> kg CO</w:t>
            </w:r>
            <w:r w:rsidRPr="0018386D">
              <w:rPr>
                <w:vertAlign w:val="subscript"/>
              </w:rPr>
              <w:t>2</w:t>
            </w:r>
            <w:r w:rsidRPr="0018386D">
              <w:t xml:space="preserve">-e </w:t>
            </w:r>
          </w:p>
          <w:p w14:paraId="08A8B78E" w14:textId="21F0ADB2" w:rsidR="00B7561C" w:rsidRPr="0018386D" w:rsidRDefault="00B7561C" w:rsidP="00DD3106">
            <w:pPr>
              <w:pStyle w:val="Boxtext"/>
              <w:tabs>
                <w:tab w:val="left" w:pos="2921"/>
                <w:tab w:val="left" w:pos="4619"/>
              </w:tabs>
              <w:spacing w:before="20" w:after="20"/>
              <w:ind w:left="850"/>
            </w:pPr>
            <w:r w:rsidRPr="0018386D">
              <w:t>N</w:t>
            </w:r>
            <w:r w:rsidRPr="0018386D">
              <w:rPr>
                <w:vertAlign w:val="subscript"/>
              </w:rPr>
              <w:t>2</w:t>
            </w:r>
            <w:r w:rsidRPr="0018386D">
              <w:t>O emissions</w:t>
            </w:r>
            <w:r w:rsidRPr="0018386D">
              <w:tab/>
              <w:t xml:space="preserve">= 1,400 </w:t>
            </w:r>
            <w:r w:rsidR="00B96968" w:rsidRPr="0018386D">
              <w:rPr>
                <w:rFonts w:cs="Calibri"/>
              </w:rPr>
              <w:t>×</w:t>
            </w:r>
            <w:r w:rsidRPr="0018386D">
              <w:t xml:space="preserve"> </w:t>
            </w:r>
            <w:r w:rsidR="00024B44" w:rsidRPr="0018386D">
              <w:t>0.001</w:t>
            </w:r>
            <w:r w:rsidR="00A64918" w:rsidRPr="0018386D">
              <w:t>26</w:t>
            </w:r>
            <w:r w:rsidRPr="0018386D">
              <w:tab/>
              <w:t xml:space="preserve">= </w:t>
            </w:r>
            <w:r w:rsidR="00B9017D" w:rsidRPr="0018386D">
              <w:t>1.</w:t>
            </w:r>
            <w:r w:rsidR="005C626D" w:rsidRPr="0018386D">
              <w:t>764</w:t>
            </w:r>
            <w:r w:rsidRPr="0018386D">
              <w:t xml:space="preserve"> kg CO</w:t>
            </w:r>
            <w:r w:rsidRPr="0018386D">
              <w:rPr>
                <w:vertAlign w:val="subscript"/>
              </w:rPr>
              <w:t>2</w:t>
            </w:r>
            <w:r w:rsidRPr="0018386D">
              <w:t xml:space="preserve">-e </w:t>
            </w:r>
          </w:p>
          <w:p w14:paraId="4B968439" w14:textId="3EA939B1" w:rsidR="00B7561C" w:rsidRPr="0018386D" w:rsidRDefault="00B7561C" w:rsidP="00DD3106">
            <w:pPr>
              <w:pStyle w:val="Boxtext"/>
              <w:tabs>
                <w:tab w:val="left" w:pos="2921"/>
                <w:tab w:val="left" w:pos="4619"/>
              </w:tabs>
              <w:spacing w:before="20" w:after="20"/>
              <w:ind w:left="850"/>
            </w:pPr>
            <w:r w:rsidRPr="0018386D">
              <w:t>Total CO</w:t>
            </w:r>
            <w:r w:rsidRPr="0018386D">
              <w:rPr>
                <w:vertAlign w:val="subscript"/>
              </w:rPr>
              <w:t>2</w:t>
            </w:r>
            <w:r w:rsidRPr="0018386D">
              <w:t>-e emissions</w:t>
            </w:r>
            <w:r w:rsidR="00FE7049" w:rsidRPr="0018386D">
              <w:tab/>
            </w:r>
            <w:r w:rsidRPr="0018386D">
              <w:t xml:space="preserve">= 1,400 </w:t>
            </w:r>
            <w:r w:rsidR="00B96968" w:rsidRPr="0018386D">
              <w:rPr>
                <w:rFonts w:cs="Calibri"/>
              </w:rPr>
              <w:t>×</w:t>
            </w:r>
            <w:r w:rsidRPr="0018386D">
              <w:t xml:space="preserve"> </w:t>
            </w:r>
            <w:r w:rsidR="00104452" w:rsidRPr="0018386D">
              <w:t>2.97</w:t>
            </w:r>
            <w:r w:rsidRPr="0018386D">
              <w:tab/>
              <w:t>= 4,</w:t>
            </w:r>
            <w:r w:rsidR="004168C8" w:rsidRPr="0018386D">
              <w:t>158</w:t>
            </w:r>
            <w:r w:rsidRPr="0018386D">
              <w:t xml:space="preserve"> kg CO</w:t>
            </w:r>
            <w:r w:rsidRPr="0018386D">
              <w:rPr>
                <w:vertAlign w:val="subscript"/>
              </w:rPr>
              <w:t>2</w:t>
            </w:r>
            <w:r w:rsidRPr="0018386D">
              <w:t xml:space="preserve">-e </w:t>
            </w:r>
          </w:p>
          <w:p w14:paraId="685B5D0A" w14:textId="2B18868B" w:rsidR="00B7561C" w:rsidRPr="0018386D" w:rsidRDefault="00741514" w:rsidP="00DD3106">
            <w:pPr>
              <w:pStyle w:val="Boxtext"/>
              <w:spacing w:before="80" w:after="180"/>
            </w:pPr>
            <w:r w:rsidRPr="0018386D">
              <w:rPr>
                <w:sz w:val="18"/>
              </w:rPr>
              <w:t>N</w:t>
            </w:r>
            <w:r w:rsidR="00B7561C" w:rsidRPr="0018386D">
              <w:rPr>
                <w:sz w:val="18"/>
              </w:rPr>
              <w:t>ote</w:t>
            </w:r>
            <w:r w:rsidR="00526F22" w:rsidRPr="0018386D">
              <w:rPr>
                <w:sz w:val="18"/>
              </w:rPr>
              <w:t>:</w:t>
            </w:r>
            <w:r w:rsidR="00B7561C" w:rsidRPr="0018386D">
              <w:rPr>
                <w:sz w:val="18"/>
              </w:rPr>
              <w:t xml:space="preserve"> </w:t>
            </w:r>
            <w:r w:rsidR="00526F22" w:rsidRPr="0018386D">
              <w:rPr>
                <w:sz w:val="18"/>
              </w:rPr>
              <w:t>N</w:t>
            </w:r>
            <w:r w:rsidR="00B7561C" w:rsidRPr="0018386D">
              <w:rPr>
                <w:sz w:val="18"/>
              </w:rPr>
              <w:t>umbers may not add due to rounding</w:t>
            </w:r>
            <w:r w:rsidR="009279C4" w:rsidRPr="0018386D">
              <w:rPr>
                <w:sz w:val="18"/>
              </w:rPr>
              <w:t>.</w:t>
            </w:r>
          </w:p>
        </w:tc>
      </w:tr>
    </w:tbl>
    <w:p w14:paraId="767B1C23" w14:textId="55B15CCC" w:rsidR="0041106E" w:rsidRPr="0018386D" w:rsidRDefault="0041106E" w:rsidP="00DD3106">
      <w:pPr>
        <w:pStyle w:val="Heading3"/>
        <w:numPr>
          <w:ilvl w:val="2"/>
          <w:numId w:val="8"/>
        </w:numPr>
      </w:pPr>
      <w:bookmarkStart w:id="142" w:name="_Emission_factor_derivation_1"/>
      <w:bookmarkStart w:id="143" w:name="_Toc532904857"/>
      <w:bookmarkStart w:id="144" w:name="_Ref534892130"/>
      <w:bookmarkEnd w:id="141"/>
      <w:bookmarkEnd w:id="142"/>
      <w:r w:rsidRPr="0018386D">
        <w:t>Emission factor derivation methodology</w:t>
      </w:r>
      <w:bookmarkEnd w:id="143"/>
      <w:bookmarkEnd w:id="144"/>
    </w:p>
    <w:p w14:paraId="6D184FC7" w14:textId="7F329396" w:rsidR="00C276CD" w:rsidRPr="0018386D" w:rsidRDefault="00C276CD" w:rsidP="00DD3106">
      <w:pPr>
        <w:pStyle w:val="BodyText"/>
      </w:pPr>
      <w:bookmarkStart w:id="145" w:name="_Toc532904858"/>
      <w:r w:rsidRPr="0018386D">
        <w:t>We derived the kg CO</w:t>
      </w:r>
      <w:r w:rsidRPr="0018386D">
        <w:rPr>
          <w:vertAlign w:val="subscript"/>
        </w:rPr>
        <w:t>2</w:t>
      </w:r>
      <w:r w:rsidRPr="0018386D">
        <w:t xml:space="preserve">-e per activity unit emission factors supplied in </w:t>
      </w:r>
      <w:hyperlink w:anchor="table3" w:history="1">
        <w:r w:rsidRPr="0018386D">
          <w:rPr>
            <w:rStyle w:val="Hyperlink"/>
          </w:rPr>
          <w:t>table 3</w:t>
        </w:r>
      </w:hyperlink>
      <w:r w:rsidRPr="0018386D">
        <w:t xml:space="preserve"> using calorific values and emission factors for tonnes (t) of gas per terajoule (TJ).</w:t>
      </w:r>
      <w:r w:rsidR="16D81B53" w:rsidRPr="0018386D">
        <w:t xml:space="preserve"> </w:t>
      </w:r>
      <w:r w:rsidRPr="0018386D">
        <w:t xml:space="preserve">The calorific values are in </w:t>
      </w:r>
      <w:hyperlink w:anchor="_Appendix_A:_Derivation_2" w:history="1">
        <w:r w:rsidRPr="0018386D">
          <w:rPr>
            <w:rStyle w:val="Hyperlink"/>
          </w:rPr>
          <w:t>Appendix A: Derivation of fuel emission factors</w:t>
        </w:r>
      </w:hyperlink>
      <w:r w:rsidRPr="0018386D">
        <w:t xml:space="preserve"> alongside further information on the methodology.</w:t>
      </w:r>
    </w:p>
    <w:p w14:paraId="4F20B1F1" w14:textId="1041E8CF" w:rsidR="0041106E" w:rsidRPr="0018386D" w:rsidRDefault="48317B27" w:rsidP="00DD3106">
      <w:pPr>
        <w:pStyle w:val="Heading3"/>
        <w:numPr>
          <w:ilvl w:val="2"/>
          <w:numId w:val="8"/>
        </w:numPr>
        <w:spacing w:before="240"/>
        <w:jc w:val="both"/>
      </w:pPr>
      <w:r w:rsidRPr="0018386D">
        <w:t xml:space="preserve">Assumptions, </w:t>
      </w:r>
      <w:proofErr w:type="gramStart"/>
      <w:r w:rsidRPr="0018386D">
        <w:t>limitations</w:t>
      </w:r>
      <w:proofErr w:type="gramEnd"/>
      <w:r w:rsidRPr="0018386D">
        <w:t xml:space="preserve"> and uncertainties</w:t>
      </w:r>
      <w:bookmarkEnd w:id="145"/>
    </w:p>
    <w:p w14:paraId="34573D59" w14:textId="41D40A40" w:rsidR="0041106E" w:rsidRPr="0018386D" w:rsidRDefault="000B6423" w:rsidP="00DD3106">
      <w:pPr>
        <w:pStyle w:val="BodyText"/>
      </w:pPr>
      <w:r w:rsidRPr="0018386D">
        <w:t>We</w:t>
      </w:r>
      <w:r w:rsidR="00EA3E4C" w:rsidRPr="0018386D">
        <w:t xml:space="preserve"> derived t</w:t>
      </w:r>
      <w:r w:rsidR="0041106E" w:rsidRPr="0018386D">
        <w:t>he kg CO</w:t>
      </w:r>
      <w:r w:rsidR="0041106E" w:rsidRPr="0018386D">
        <w:rPr>
          <w:vertAlign w:val="subscript"/>
        </w:rPr>
        <w:t>2</w:t>
      </w:r>
      <w:r w:rsidR="0041106E" w:rsidRPr="0018386D">
        <w:t>-e per activity unit emission factors in</w:t>
      </w:r>
      <w:r w:rsidR="000317A9" w:rsidRPr="0018386D">
        <w:t xml:space="preserve"> </w:t>
      </w:r>
      <w:hyperlink w:anchor="table3">
        <w:r w:rsidR="40A1FD1B" w:rsidRPr="0018386D">
          <w:rPr>
            <w:rStyle w:val="Hyperlink"/>
          </w:rPr>
          <w:t>table 3</w:t>
        </w:r>
      </w:hyperlink>
      <w:r w:rsidR="00E967C2" w:rsidRPr="0018386D">
        <w:rPr>
          <w:color w:val="32809C" w:themeColor="accent2"/>
        </w:rPr>
        <w:t xml:space="preserve"> </w:t>
      </w:r>
      <w:r w:rsidR="0041106E" w:rsidRPr="0018386D">
        <w:t>using calorific values</w:t>
      </w:r>
      <w:r w:rsidR="00526F22" w:rsidRPr="0018386D">
        <w:t xml:space="preserve">, listed </w:t>
      </w:r>
      <w:r w:rsidR="00543DC9" w:rsidRPr="0018386D">
        <w:t>in</w:t>
      </w:r>
      <w:hyperlink w:anchor="_Appendix_A:_Derivation_2" w:history="1">
        <w:r w:rsidR="00904E57" w:rsidRPr="00ED6B08">
          <w:rPr>
            <w:rStyle w:val="Hyperlink"/>
          </w:rPr>
          <w:t xml:space="preserve"> </w:t>
        </w:r>
        <w:r w:rsidR="302C7F96" w:rsidRPr="00ED6B08">
          <w:rPr>
            <w:rStyle w:val="Hyperlink"/>
          </w:rPr>
          <w:t>Appendix A: Derivation of fuel emission factors</w:t>
        </w:r>
      </w:hyperlink>
      <w:r w:rsidR="0041106E" w:rsidRPr="0018386D">
        <w:t xml:space="preserve">. </w:t>
      </w:r>
    </w:p>
    <w:p w14:paraId="11D94E29" w14:textId="3919C31C" w:rsidR="0041106E" w:rsidRPr="0018386D" w:rsidRDefault="0041106E" w:rsidP="00DD3106">
      <w:pPr>
        <w:pStyle w:val="BodyText"/>
      </w:pPr>
      <w:r w:rsidRPr="0018386D">
        <w:t xml:space="preserve">For a breakdown of the uncertainty by gas type see the </w:t>
      </w:r>
      <w:hyperlink r:id="rId85" w:history="1">
        <w:r w:rsidR="00975178" w:rsidRPr="0018386D">
          <w:rPr>
            <w:rStyle w:val="Hyperlink"/>
          </w:rPr>
          <w:t>Emission factors workbook</w:t>
        </w:r>
      </w:hyperlink>
      <w:r w:rsidRPr="0018386D">
        <w:t>.</w:t>
      </w:r>
    </w:p>
    <w:p w14:paraId="3A2ED636" w14:textId="2DF5F7A8" w:rsidR="00E9178B" w:rsidRPr="0018386D" w:rsidRDefault="0041106E" w:rsidP="00DD3106">
      <w:pPr>
        <w:pStyle w:val="BodyText"/>
      </w:pPr>
      <w:r w:rsidRPr="0018386D">
        <w:t>The emission factors above account for the direct (Scope 1) emissions from fuel combustion. They are not full fuel</w:t>
      </w:r>
      <w:r w:rsidR="00415675" w:rsidRPr="0018386D">
        <w:t>-</w:t>
      </w:r>
      <w:r w:rsidRPr="0018386D">
        <w:t xml:space="preserve">cycle emission factors and do not incorporate indirect (Scope 3) emissions associated with the extraction, </w:t>
      </w:r>
      <w:proofErr w:type="gramStart"/>
      <w:r w:rsidRPr="0018386D">
        <w:t>production</w:t>
      </w:r>
      <w:proofErr w:type="gramEnd"/>
      <w:r w:rsidRPr="0018386D">
        <w:t xml:space="preserve"> and transport of the </w:t>
      </w:r>
      <w:r w:rsidR="00401E16" w:rsidRPr="0018386D">
        <w:t>fuel.</w:t>
      </w:r>
    </w:p>
    <w:p w14:paraId="151916B9" w14:textId="3FCB1E88" w:rsidR="0041106E" w:rsidRPr="0018386D" w:rsidRDefault="00EA3E4C" w:rsidP="00DD3106">
      <w:pPr>
        <w:pStyle w:val="BodyText"/>
      </w:pPr>
      <w:r w:rsidRPr="0018386D">
        <w:t>We calculated t</w:t>
      </w:r>
      <w:r w:rsidR="0041106E" w:rsidRPr="0018386D">
        <w:t>he default coal emission factor</w:t>
      </w:r>
      <w:r w:rsidR="00AD02C4" w:rsidRPr="0018386D">
        <w:t>s</w:t>
      </w:r>
      <w:r w:rsidR="0041106E" w:rsidRPr="0018386D">
        <w:t xml:space="preserve"> by weighting the emission factors for the different ranks of coal (bituminous, sub-bituminous and lignite) by the amount of coal used for</w:t>
      </w:r>
      <w:r w:rsidR="00CD1B90" w:rsidRPr="0018386D">
        <w:t> </w:t>
      </w:r>
      <w:r w:rsidR="0041106E" w:rsidRPr="0018386D">
        <w:t xml:space="preserve">each sector (commercial, residential, industrial). </w:t>
      </w:r>
      <w:r w:rsidRPr="0018386D">
        <w:t>The guide includes e</w:t>
      </w:r>
      <w:r w:rsidR="0041106E" w:rsidRPr="0018386D">
        <w:t>mission factors for residential coal for completeness.</w:t>
      </w:r>
    </w:p>
    <w:p w14:paraId="650915A5" w14:textId="020E994D" w:rsidR="00321918" w:rsidRPr="0018386D" w:rsidRDefault="00321918" w:rsidP="00DD3106">
      <w:pPr>
        <w:pStyle w:val="Heading2"/>
        <w:numPr>
          <w:ilvl w:val="1"/>
          <w:numId w:val="8"/>
        </w:numPr>
        <w:spacing w:before="280"/>
      </w:pPr>
      <w:bookmarkStart w:id="146" w:name="_Transport_fuel_emission"/>
      <w:bookmarkStart w:id="147" w:name="_Transport_fuel"/>
      <w:bookmarkStart w:id="148" w:name="_Ref55214499"/>
      <w:bookmarkStart w:id="149" w:name="_Ref55214530"/>
      <w:bookmarkStart w:id="150" w:name="_Ref55214556"/>
      <w:bookmarkStart w:id="151" w:name="_Ref55214582"/>
      <w:bookmarkStart w:id="152" w:name="_Ref532308943"/>
      <w:bookmarkStart w:id="153" w:name="_Toc532904859"/>
      <w:bookmarkStart w:id="154" w:name="_Toc600569"/>
      <w:bookmarkStart w:id="155" w:name="_Toc140048892"/>
      <w:bookmarkStart w:id="156" w:name="section3point3"/>
      <w:bookmarkEnd w:id="146"/>
      <w:bookmarkEnd w:id="147"/>
      <w:r w:rsidRPr="0018386D">
        <w:lastRenderedPageBreak/>
        <w:t>Transport fuel</w:t>
      </w:r>
      <w:bookmarkEnd w:id="148"/>
      <w:bookmarkEnd w:id="149"/>
      <w:bookmarkEnd w:id="150"/>
      <w:bookmarkEnd w:id="151"/>
      <w:bookmarkEnd w:id="152"/>
      <w:bookmarkEnd w:id="153"/>
      <w:bookmarkEnd w:id="154"/>
      <w:bookmarkEnd w:id="155"/>
    </w:p>
    <w:p w14:paraId="650915A7" w14:textId="26F949FC" w:rsidR="00E02CE6" w:rsidRPr="0018386D" w:rsidRDefault="003C5D9D" w:rsidP="00DD3106">
      <w:pPr>
        <w:pStyle w:val="BodyText"/>
        <w:keepNext/>
      </w:pPr>
      <w:bookmarkStart w:id="157" w:name="_Hlk532891046"/>
      <w:bookmarkEnd w:id="156"/>
      <w:r w:rsidRPr="0018386D">
        <w:t xml:space="preserve">Transport fuels are used in an engine to move a vehicle. </w:t>
      </w:r>
      <w:bookmarkEnd w:id="157"/>
      <w:r w:rsidR="00CA32AE" w:rsidRPr="0018386D">
        <w:fldChar w:fldCharType="begin"/>
      </w:r>
      <w:r w:rsidR="00620C8C" w:rsidRPr="0018386D">
        <w:instrText>HYPERLINK  \l "table4"</w:instrText>
      </w:r>
      <w:r w:rsidR="00CA32AE" w:rsidRPr="0018386D">
        <w:fldChar w:fldCharType="separate"/>
      </w:r>
      <w:r w:rsidR="00904E57" w:rsidRPr="0018386D">
        <w:rPr>
          <w:rStyle w:val="Hyperlink"/>
        </w:rPr>
        <w:t>Table 4</w:t>
      </w:r>
      <w:r w:rsidR="00CA32AE" w:rsidRPr="0018386D">
        <w:fldChar w:fldCharType="end"/>
      </w:r>
      <w:r w:rsidR="00B96968" w:rsidRPr="0018386D">
        <w:t xml:space="preserve"> </w:t>
      </w:r>
      <w:r w:rsidR="00526F22" w:rsidRPr="0018386D">
        <w:t>lists the</w:t>
      </w:r>
      <w:r w:rsidR="00157D27" w:rsidRPr="0018386D">
        <w:t xml:space="preserve"> emission factors</w:t>
      </w:r>
      <w:r w:rsidR="002149FC" w:rsidRPr="0018386D">
        <w:t>.</w:t>
      </w:r>
    </w:p>
    <w:p w14:paraId="650915A8" w14:textId="0CBFE508" w:rsidR="002149FC" w:rsidRPr="0018386D" w:rsidRDefault="002149FC" w:rsidP="00DD3106">
      <w:pPr>
        <w:pStyle w:val="Tableheading"/>
      </w:pPr>
      <w:bookmarkStart w:id="158" w:name="_Ref529535569"/>
      <w:bookmarkStart w:id="159" w:name="_Ref529909871"/>
      <w:bookmarkStart w:id="160" w:name="table4"/>
      <w:bookmarkStart w:id="161" w:name="_Ref529909862"/>
      <w:bookmarkStart w:id="162" w:name="_Toc111536609"/>
      <w:bookmarkStart w:id="163" w:name="_Toc140048944"/>
      <w:r w:rsidRPr="0018386D">
        <w:t xml:space="preserve">Table </w:t>
      </w:r>
      <w:bookmarkEnd w:id="158"/>
      <w:r w:rsidR="009C6F41" w:rsidRPr="0018386D">
        <w:fldChar w:fldCharType="begin"/>
      </w:r>
      <w:r w:rsidR="009C6F41" w:rsidRPr="0018386D">
        <w:instrText xml:space="preserve"> SEQ Table \* ARABIC </w:instrText>
      </w:r>
      <w:r w:rsidR="009C6F41" w:rsidRPr="0018386D">
        <w:fldChar w:fldCharType="separate"/>
      </w:r>
      <w:r w:rsidR="003E141C" w:rsidRPr="0018386D">
        <w:t>4</w:t>
      </w:r>
      <w:r w:rsidR="009C6F41" w:rsidRPr="0018386D">
        <w:fldChar w:fldCharType="end"/>
      </w:r>
      <w:bookmarkEnd w:id="159"/>
      <w:bookmarkEnd w:id="160"/>
      <w:r w:rsidR="009C6F41" w:rsidRPr="0018386D">
        <w:t>:</w:t>
      </w:r>
      <w:r w:rsidR="009C6F41" w:rsidRPr="0018386D">
        <w:tab/>
      </w:r>
      <w:r w:rsidRPr="0018386D">
        <w:t>Transport fuel emission factors</w:t>
      </w:r>
      <w:bookmarkEnd w:id="161"/>
      <w:bookmarkEnd w:id="162"/>
      <w:bookmarkEnd w:id="163"/>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2125"/>
        <w:gridCol w:w="758"/>
        <w:gridCol w:w="1060"/>
        <w:gridCol w:w="1027"/>
        <w:gridCol w:w="1027"/>
        <w:gridCol w:w="1201"/>
        <w:gridCol w:w="1307"/>
      </w:tblGrid>
      <w:tr w:rsidR="00E15F7A" w:rsidRPr="0018386D" w14:paraId="2B95A9B0" w14:textId="77777777" w:rsidTr="00A23FB3">
        <w:tc>
          <w:tcPr>
            <w:tcW w:w="1985" w:type="dxa"/>
            <w:tcBorders>
              <w:bottom w:val="single" w:sz="4" w:space="0" w:color="1B556B" w:themeColor="text2"/>
            </w:tcBorders>
            <w:shd w:val="clear" w:color="auto" w:fill="1B556B" w:themeFill="text2"/>
            <w:noWrap/>
            <w:vAlign w:val="bottom"/>
          </w:tcPr>
          <w:p w14:paraId="786F6165" w14:textId="6F45563F" w:rsidR="00207214" w:rsidRPr="0018386D" w:rsidRDefault="00207214" w:rsidP="00DD3106">
            <w:pPr>
              <w:pStyle w:val="TableTextbold"/>
              <w:keepNext/>
              <w:rPr>
                <w:rFonts w:eastAsia="Times New Roman" w:cs="Calibri"/>
                <w:color w:val="FFFFFF" w:themeColor="background1"/>
                <w:szCs w:val="18"/>
                <w:lang w:eastAsia="zh-CN" w:bidi="th-TH"/>
              </w:rPr>
            </w:pPr>
            <w:bookmarkStart w:id="164" w:name="_1746366742"/>
            <w:bookmarkStart w:id="165" w:name="_1745997827"/>
            <w:bookmarkStart w:id="166" w:name="_1746254038"/>
            <w:bookmarkStart w:id="167" w:name="_1747051239"/>
            <w:bookmarkEnd w:id="164"/>
            <w:bookmarkEnd w:id="165"/>
            <w:bookmarkEnd w:id="166"/>
            <w:bookmarkEnd w:id="167"/>
            <w:r w:rsidRPr="0018386D">
              <w:rPr>
                <w:rFonts w:cs="Calibri"/>
                <w:color w:val="FFFFFF" w:themeColor="background1"/>
                <w:szCs w:val="18"/>
                <w:lang w:bidi="th-TH"/>
              </w:rPr>
              <w:t>Fuel type</w:t>
            </w:r>
          </w:p>
        </w:tc>
        <w:tc>
          <w:tcPr>
            <w:tcW w:w="709" w:type="dxa"/>
            <w:tcBorders>
              <w:bottom w:val="single" w:sz="4" w:space="0" w:color="1B556B" w:themeColor="text2"/>
            </w:tcBorders>
            <w:shd w:val="clear" w:color="auto" w:fill="1B556B" w:themeFill="text2"/>
            <w:noWrap/>
            <w:vAlign w:val="bottom"/>
          </w:tcPr>
          <w:p w14:paraId="63F858B3" w14:textId="0D9EAF97" w:rsidR="00207214" w:rsidRPr="0018386D" w:rsidRDefault="00207214" w:rsidP="00DD3106">
            <w:pPr>
              <w:pStyle w:val="TableTextbold"/>
              <w:keepNext/>
              <w:jc w:val="center"/>
              <w:rPr>
                <w:rFonts w:eastAsia="Times New Roman" w:cs="Calibri"/>
                <w:color w:val="FFFFFF" w:themeColor="background1"/>
                <w:szCs w:val="18"/>
                <w:lang w:eastAsia="zh-CN" w:bidi="th-TH"/>
              </w:rPr>
            </w:pPr>
            <w:r w:rsidRPr="0018386D">
              <w:rPr>
                <w:rFonts w:cs="Calibri"/>
                <w:color w:val="FFFFFF" w:themeColor="background1"/>
                <w:szCs w:val="18"/>
                <w:lang w:bidi="th-TH"/>
              </w:rPr>
              <w:t>Unit</w:t>
            </w:r>
          </w:p>
        </w:tc>
        <w:tc>
          <w:tcPr>
            <w:tcW w:w="991" w:type="dxa"/>
            <w:tcBorders>
              <w:bottom w:val="single" w:sz="4" w:space="0" w:color="1B556B" w:themeColor="text2"/>
            </w:tcBorders>
            <w:shd w:val="clear" w:color="auto" w:fill="1B556B" w:themeFill="text2"/>
            <w:noWrap/>
            <w:vAlign w:val="bottom"/>
          </w:tcPr>
          <w:p w14:paraId="496FB25A" w14:textId="21B5B657" w:rsidR="00207214" w:rsidRPr="0018386D" w:rsidRDefault="00207214" w:rsidP="00DD3106">
            <w:pPr>
              <w:pStyle w:val="TableTextbold"/>
              <w:keepNext/>
              <w:jc w:val="center"/>
              <w:rPr>
                <w:rFonts w:eastAsia="Times New Roman" w:cs="Calibri"/>
                <w:color w:val="FFFFFF" w:themeColor="background1"/>
                <w:szCs w:val="18"/>
                <w:lang w:eastAsia="zh-CN" w:bidi="th-TH"/>
              </w:rPr>
            </w:pPr>
            <w:r w:rsidRPr="0018386D">
              <w:rPr>
                <w:rFonts w:cs="Calibri"/>
                <w:color w:val="FFFFFF" w:themeColor="background1"/>
                <w:szCs w:val="18"/>
                <w:lang w:bidi="th-TH"/>
              </w:rPr>
              <w:t>kg CO₂-e/</w:t>
            </w:r>
            <w:r w:rsidR="00A23FB3" w:rsidRPr="0018386D">
              <w:rPr>
                <w:rFonts w:cs="Calibri"/>
                <w:color w:val="FFFFFF" w:themeColor="background1"/>
                <w:szCs w:val="18"/>
                <w:lang w:bidi="th-TH"/>
              </w:rPr>
              <w:t xml:space="preserve"> </w:t>
            </w:r>
            <w:r w:rsidRPr="0018386D">
              <w:rPr>
                <w:rFonts w:cs="Calibri"/>
                <w:color w:val="FFFFFF" w:themeColor="background1"/>
                <w:szCs w:val="18"/>
                <w:lang w:bidi="th-TH"/>
              </w:rPr>
              <w:t>unit</w:t>
            </w:r>
          </w:p>
        </w:tc>
        <w:tc>
          <w:tcPr>
            <w:tcW w:w="960" w:type="dxa"/>
            <w:tcBorders>
              <w:bottom w:val="single" w:sz="4" w:space="0" w:color="1B556B" w:themeColor="text2"/>
            </w:tcBorders>
            <w:shd w:val="clear" w:color="auto" w:fill="1B556B" w:themeFill="text2"/>
            <w:noWrap/>
            <w:vAlign w:val="bottom"/>
          </w:tcPr>
          <w:p w14:paraId="5D1A130A" w14:textId="19C8CF33" w:rsidR="00207214" w:rsidRPr="0018386D" w:rsidRDefault="00E15F7A" w:rsidP="00DD3106">
            <w:pPr>
              <w:pStyle w:val="TableTextbold"/>
              <w:keepNext/>
              <w:jc w:val="center"/>
              <w:rPr>
                <w:rFonts w:eastAsia="Times New Roman" w:cs="Calibri"/>
                <w:color w:val="FFFFFF" w:themeColor="background1"/>
                <w:szCs w:val="18"/>
                <w:lang w:eastAsia="zh-CN" w:bidi="th-TH"/>
              </w:rPr>
            </w:pPr>
            <w:r w:rsidRPr="0018386D">
              <w:rPr>
                <w:rFonts w:cs="Calibri"/>
                <w:color w:val="FFFFFF" w:themeColor="background1"/>
                <w:szCs w:val="18"/>
                <w:lang w:bidi="th-TH"/>
              </w:rPr>
              <w:t>kg CO₂/unit</w:t>
            </w:r>
          </w:p>
        </w:tc>
        <w:tc>
          <w:tcPr>
            <w:tcW w:w="960" w:type="dxa"/>
            <w:tcBorders>
              <w:bottom w:val="single" w:sz="4" w:space="0" w:color="1B556B" w:themeColor="text2"/>
            </w:tcBorders>
            <w:shd w:val="clear" w:color="auto" w:fill="1B556B" w:themeFill="text2"/>
            <w:noWrap/>
            <w:vAlign w:val="bottom"/>
          </w:tcPr>
          <w:p w14:paraId="4C59597F" w14:textId="73B4FC9A" w:rsidR="00207214" w:rsidRPr="0018386D" w:rsidRDefault="00E15F7A" w:rsidP="00DD3106">
            <w:pPr>
              <w:pStyle w:val="TableTextbold"/>
              <w:keepNext/>
              <w:jc w:val="center"/>
              <w:rPr>
                <w:rFonts w:eastAsia="Times New Roman" w:cs="Calibri"/>
                <w:color w:val="FFFFFF" w:themeColor="background1"/>
                <w:szCs w:val="18"/>
                <w:lang w:eastAsia="zh-CN" w:bidi="th-TH"/>
              </w:rPr>
            </w:pPr>
            <w:r w:rsidRPr="0018386D">
              <w:rPr>
                <w:rFonts w:cs="Calibri"/>
                <w:color w:val="FFFFFF" w:themeColor="background1"/>
                <w:szCs w:val="18"/>
                <w:lang w:bidi="th-TH"/>
              </w:rPr>
              <w:t>kg CH₄/unit (kg CO₂-e)</w:t>
            </w:r>
          </w:p>
        </w:tc>
        <w:tc>
          <w:tcPr>
            <w:tcW w:w="1123" w:type="dxa"/>
            <w:tcBorders>
              <w:bottom w:val="single" w:sz="4" w:space="0" w:color="1B556B" w:themeColor="text2"/>
            </w:tcBorders>
            <w:shd w:val="clear" w:color="auto" w:fill="1B556B" w:themeFill="text2"/>
            <w:noWrap/>
            <w:vAlign w:val="bottom"/>
          </w:tcPr>
          <w:p w14:paraId="1ACB4870" w14:textId="0B310458" w:rsidR="00207214" w:rsidRPr="0018386D" w:rsidRDefault="00E15F7A" w:rsidP="00DD3106">
            <w:pPr>
              <w:pStyle w:val="TableTextbold"/>
              <w:keepNext/>
              <w:jc w:val="center"/>
              <w:rPr>
                <w:rFonts w:eastAsia="Times New Roman" w:cs="Calibri"/>
                <w:color w:val="FFFFFF" w:themeColor="background1"/>
                <w:szCs w:val="18"/>
                <w:lang w:eastAsia="zh-CN" w:bidi="th-TH"/>
              </w:rPr>
            </w:pPr>
            <w:r w:rsidRPr="0018386D">
              <w:rPr>
                <w:rFonts w:cs="Calibri"/>
                <w:color w:val="FFFFFF" w:themeColor="background1"/>
                <w:szCs w:val="18"/>
                <w:lang w:bidi="th-TH"/>
              </w:rPr>
              <w:t>kg N₂O/unit (kg CO₂-e)</w:t>
            </w:r>
          </w:p>
        </w:tc>
        <w:tc>
          <w:tcPr>
            <w:tcW w:w="1222" w:type="dxa"/>
            <w:tcBorders>
              <w:bottom w:val="single" w:sz="4" w:space="0" w:color="1B556B" w:themeColor="text2"/>
            </w:tcBorders>
            <w:shd w:val="clear" w:color="auto" w:fill="1B556B" w:themeFill="text2"/>
            <w:noWrap/>
            <w:vAlign w:val="bottom"/>
          </w:tcPr>
          <w:p w14:paraId="03A6A85D" w14:textId="0984E988" w:rsidR="00207214" w:rsidRPr="0018386D" w:rsidRDefault="00E15F7A" w:rsidP="00DD3106">
            <w:pPr>
              <w:pStyle w:val="TableTextbold"/>
              <w:keepNext/>
              <w:jc w:val="center"/>
              <w:rPr>
                <w:rFonts w:cs="Calibri"/>
                <w:color w:val="FFFFFF" w:themeColor="background1"/>
                <w:szCs w:val="18"/>
              </w:rPr>
            </w:pPr>
            <w:r w:rsidRPr="0018386D">
              <w:rPr>
                <w:rFonts w:cs="Calibri"/>
                <w:color w:val="FFFFFF" w:themeColor="background1"/>
                <w:szCs w:val="18"/>
                <w:lang w:bidi="th-TH"/>
              </w:rPr>
              <w:t>Uncertainties</w:t>
            </w:r>
          </w:p>
        </w:tc>
      </w:tr>
      <w:tr w:rsidR="00A23FB3" w:rsidRPr="0018386D" w14:paraId="1E33A88D" w14:textId="77777777" w:rsidTr="00A23FB3">
        <w:tc>
          <w:tcPr>
            <w:tcW w:w="1985" w:type="dxa"/>
            <w:tcBorders>
              <w:right w:val="nil"/>
            </w:tcBorders>
            <w:shd w:val="clear" w:color="auto" w:fill="D2DDE1" w:themeFill="background2"/>
            <w:noWrap/>
          </w:tcPr>
          <w:p w14:paraId="7B8CA965" w14:textId="281528AC" w:rsidR="00207214" w:rsidRPr="0018386D" w:rsidRDefault="00207214" w:rsidP="00DD3106">
            <w:pPr>
              <w:pStyle w:val="TableTextbold"/>
              <w:spacing w:before="40" w:after="40"/>
              <w:rPr>
                <w:lang w:bidi="th-TH"/>
              </w:rPr>
            </w:pPr>
            <w:r w:rsidRPr="0018386D">
              <w:rPr>
                <w:lang w:bidi="th-TH"/>
              </w:rPr>
              <w:t>Transport fuels</w:t>
            </w:r>
          </w:p>
        </w:tc>
        <w:tc>
          <w:tcPr>
            <w:tcW w:w="709" w:type="dxa"/>
            <w:tcBorders>
              <w:left w:val="nil"/>
              <w:right w:val="nil"/>
            </w:tcBorders>
            <w:shd w:val="clear" w:color="auto" w:fill="D2DDE1" w:themeFill="background2"/>
            <w:noWrap/>
          </w:tcPr>
          <w:p w14:paraId="5E4B8BCA" w14:textId="77777777" w:rsidR="00207214" w:rsidRPr="0018386D" w:rsidRDefault="00207214" w:rsidP="00DD3106">
            <w:pPr>
              <w:pStyle w:val="TableTextbold"/>
              <w:spacing w:before="40" w:after="40"/>
              <w:rPr>
                <w:lang w:bidi="th-TH"/>
              </w:rPr>
            </w:pPr>
          </w:p>
        </w:tc>
        <w:tc>
          <w:tcPr>
            <w:tcW w:w="991" w:type="dxa"/>
            <w:tcBorders>
              <w:left w:val="nil"/>
              <w:right w:val="nil"/>
            </w:tcBorders>
            <w:shd w:val="clear" w:color="auto" w:fill="D2DDE1" w:themeFill="background2"/>
            <w:noWrap/>
          </w:tcPr>
          <w:p w14:paraId="133EA737" w14:textId="77777777" w:rsidR="00207214" w:rsidRPr="0018386D" w:rsidRDefault="00207214" w:rsidP="00DD3106">
            <w:pPr>
              <w:pStyle w:val="TableTextbold"/>
              <w:spacing w:before="40" w:after="40"/>
              <w:rPr>
                <w:lang w:bidi="th-TH"/>
              </w:rPr>
            </w:pPr>
          </w:p>
        </w:tc>
        <w:tc>
          <w:tcPr>
            <w:tcW w:w="960" w:type="dxa"/>
            <w:tcBorders>
              <w:left w:val="nil"/>
              <w:right w:val="nil"/>
            </w:tcBorders>
            <w:shd w:val="clear" w:color="auto" w:fill="D2DDE1" w:themeFill="background2"/>
            <w:noWrap/>
          </w:tcPr>
          <w:p w14:paraId="65A1B2DC" w14:textId="77777777" w:rsidR="00207214" w:rsidRPr="0018386D" w:rsidRDefault="00207214" w:rsidP="00DD3106">
            <w:pPr>
              <w:pStyle w:val="TableTextbold"/>
              <w:spacing w:before="40" w:after="40"/>
              <w:rPr>
                <w:lang w:bidi="th-TH"/>
              </w:rPr>
            </w:pPr>
          </w:p>
        </w:tc>
        <w:tc>
          <w:tcPr>
            <w:tcW w:w="960" w:type="dxa"/>
            <w:tcBorders>
              <w:left w:val="nil"/>
              <w:right w:val="nil"/>
            </w:tcBorders>
            <w:shd w:val="clear" w:color="auto" w:fill="D2DDE1" w:themeFill="background2"/>
            <w:noWrap/>
          </w:tcPr>
          <w:p w14:paraId="07577F83" w14:textId="77777777" w:rsidR="00207214" w:rsidRPr="0018386D" w:rsidRDefault="00207214" w:rsidP="00DD3106">
            <w:pPr>
              <w:pStyle w:val="TableTextbold"/>
              <w:spacing w:before="40" w:after="40"/>
              <w:rPr>
                <w:lang w:bidi="th-TH"/>
              </w:rPr>
            </w:pPr>
          </w:p>
        </w:tc>
        <w:tc>
          <w:tcPr>
            <w:tcW w:w="1123" w:type="dxa"/>
            <w:tcBorders>
              <w:left w:val="nil"/>
              <w:right w:val="nil"/>
            </w:tcBorders>
            <w:shd w:val="clear" w:color="auto" w:fill="D2DDE1" w:themeFill="background2"/>
            <w:noWrap/>
          </w:tcPr>
          <w:p w14:paraId="42C3730C" w14:textId="77777777" w:rsidR="00207214" w:rsidRPr="0018386D" w:rsidRDefault="00207214" w:rsidP="00DD3106">
            <w:pPr>
              <w:pStyle w:val="TableTextbold"/>
              <w:spacing w:before="40" w:after="40"/>
              <w:rPr>
                <w:lang w:bidi="th-TH"/>
              </w:rPr>
            </w:pPr>
          </w:p>
        </w:tc>
        <w:tc>
          <w:tcPr>
            <w:tcW w:w="1222" w:type="dxa"/>
            <w:tcBorders>
              <w:left w:val="nil"/>
            </w:tcBorders>
            <w:shd w:val="clear" w:color="auto" w:fill="D2DDE1" w:themeFill="background2"/>
            <w:noWrap/>
          </w:tcPr>
          <w:p w14:paraId="5F215E83" w14:textId="77777777" w:rsidR="00207214" w:rsidRPr="0018386D" w:rsidRDefault="00207214" w:rsidP="00DD3106">
            <w:pPr>
              <w:pStyle w:val="TableTextbold"/>
              <w:spacing w:before="40" w:after="40"/>
            </w:pPr>
          </w:p>
        </w:tc>
      </w:tr>
      <w:tr w:rsidR="00A23FB3" w:rsidRPr="0018386D" w14:paraId="44F22EF2" w14:textId="77777777" w:rsidTr="00A23FB3">
        <w:tc>
          <w:tcPr>
            <w:tcW w:w="1985" w:type="dxa"/>
            <w:shd w:val="clear" w:color="auto" w:fill="FFFFFF" w:themeFill="background1"/>
            <w:noWrap/>
            <w:hideMark/>
          </w:tcPr>
          <w:p w14:paraId="10FDB650" w14:textId="6C6B564B" w:rsidR="008E2ED2" w:rsidRPr="0018386D" w:rsidRDefault="008E2ED2" w:rsidP="00DD3106">
            <w:pPr>
              <w:pStyle w:val="TableText"/>
              <w:spacing w:before="40" w:after="40"/>
              <w:rPr>
                <w:szCs w:val="18"/>
                <w:lang w:bidi="th-TH"/>
              </w:rPr>
            </w:pPr>
            <w:r w:rsidRPr="0018386D">
              <w:rPr>
                <w:szCs w:val="18"/>
                <w:lang w:bidi="th-TH"/>
              </w:rPr>
              <w:t xml:space="preserve">Regular </w:t>
            </w:r>
            <w:r w:rsidR="00A6375F" w:rsidRPr="0018386D">
              <w:rPr>
                <w:szCs w:val="18"/>
                <w:lang w:bidi="th-TH"/>
              </w:rPr>
              <w:t>p</w:t>
            </w:r>
            <w:r w:rsidRPr="0018386D">
              <w:rPr>
                <w:szCs w:val="18"/>
                <w:lang w:bidi="th-TH"/>
              </w:rPr>
              <w:t>etrol</w:t>
            </w:r>
          </w:p>
        </w:tc>
        <w:tc>
          <w:tcPr>
            <w:tcW w:w="709" w:type="dxa"/>
            <w:shd w:val="clear" w:color="auto" w:fill="FFFFFF" w:themeFill="background1"/>
            <w:noWrap/>
            <w:hideMark/>
          </w:tcPr>
          <w:p w14:paraId="7047E41D"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11073090" w14:textId="77777777" w:rsidR="008E2ED2" w:rsidRPr="0018386D" w:rsidRDefault="008E2ED2" w:rsidP="00DD3106">
            <w:pPr>
              <w:pStyle w:val="TableText"/>
              <w:spacing w:before="40" w:after="40"/>
              <w:rPr>
                <w:szCs w:val="18"/>
                <w:lang w:bidi="th-TH"/>
              </w:rPr>
            </w:pPr>
            <w:r w:rsidRPr="0018386D">
              <w:rPr>
                <w:szCs w:val="18"/>
                <w:lang w:bidi="th-TH"/>
              </w:rPr>
              <w:t>2.46</w:t>
            </w:r>
          </w:p>
        </w:tc>
        <w:tc>
          <w:tcPr>
            <w:tcW w:w="960" w:type="dxa"/>
            <w:shd w:val="clear" w:color="auto" w:fill="FFFFFF" w:themeFill="background1"/>
            <w:noWrap/>
            <w:hideMark/>
          </w:tcPr>
          <w:p w14:paraId="5BDEB9E3" w14:textId="77777777" w:rsidR="008E2ED2" w:rsidRPr="0018386D" w:rsidRDefault="008E2ED2" w:rsidP="00DD3106">
            <w:pPr>
              <w:pStyle w:val="TableText"/>
              <w:spacing w:before="40" w:after="40"/>
              <w:rPr>
                <w:szCs w:val="18"/>
                <w:lang w:bidi="th-TH"/>
              </w:rPr>
            </w:pPr>
            <w:r w:rsidRPr="0018386D">
              <w:rPr>
                <w:szCs w:val="18"/>
                <w:lang w:bidi="th-TH"/>
              </w:rPr>
              <w:t>2.35</w:t>
            </w:r>
          </w:p>
        </w:tc>
        <w:tc>
          <w:tcPr>
            <w:tcW w:w="960" w:type="dxa"/>
            <w:shd w:val="clear" w:color="auto" w:fill="FFFFFF" w:themeFill="background1"/>
            <w:noWrap/>
            <w:hideMark/>
          </w:tcPr>
          <w:p w14:paraId="0A8E0E70" w14:textId="77777777" w:rsidR="008E2ED2" w:rsidRPr="0018386D" w:rsidRDefault="008E2ED2" w:rsidP="00DD3106">
            <w:pPr>
              <w:pStyle w:val="TableText"/>
              <w:spacing w:before="40" w:after="40"/>
              <w:rPr>
                <w:szCs w:val="18"/>
                <w:lang w:bidi="th-TH"/>
              </w:rPr>
            </w:pPr>
            <w:r w:rsidRPr="0018386D">
              <w:rPr>
                <w:szCs w:val="18"/>
                <w:lang w:bidi="th-TH"/>
              </w:rPr>
              <w:t>0.0309</w:t>
            </w:r>
          </w:p>
        </w:tc>
        <w:tc>
          <w:tcPr>
            <w:tcW w:w="1123" w:type="dxa"/>
            <w:shd w:val="clear" w:color="auto" w:fill="FFFFFF" w:themeFill="background1"/>
            <w:noWrap/>
            <w:hideMark/>
          </w:tcPr>
          <w:p w14:paraId="06CC916B" w14:textId="77777777" w:rsidR="008E2ED2" w:rsidRPr="0018386D" w:rsidRDefault="008E2ED2" w:rsidP="00DD3106">
            <w:pPr>
              <w:pStyle w:val="TableText"/>
              <w:spacing w:before="40" w:after="40"/>
              <w:rPr>
                <w:szCs w:val="18"/>
                <w:lang w:bidi="th-TH"/>
              </w:rPr>
            </w:pPr>
            <w:r w:rsidRPr="0018386D">
              <w:rPr>
                <w:szCs w:val="18"/>
                <w:lang w:bidi="th-TH"/>
              </w:rPr>
              <w:t>0.0710</w:t>
            </w:r>
          </w:p>
        </w:tc>
        <w:tc>
          <w:tcPr>
            <w:tcW w:w="1222" w:type="dxa"/>
            <w:shd w:val="clear" w:color="auto" w:fill="FFFFFF" w:themeFill="background1"/>
            <w:noWrap/>
            <w:hideMark/>
          </w:tcPr>
          <w:p w14:paraId="70F36838" w14:textId="74B01627" w:rsidR="008E2ED2" w:rsidRPr="0018386D" w:rsidRDefault="00AD1332" w:rsidP="00DD3106">
            <w:pPr>
              <w:pStyle w:val="TableText"/>
              <w:spacing w:before="40" w:after="40"/>
              <w:rPr>
                <w:szCs w:val="18"/>
                <w:lang w:bidi="th-TH"/>
              </w:rPr>
            </w:pPr>
            <w:r w:rsidRPr="0018386D">
              <w:rPr>
                <w:szCs w:val="18"/>
              </w:rPr>
              <w:t>1.8%</w:t>
            </w:r>
          </w:p>
        </w:tc>
      </w:tr>
      <w:tr w:rsidR="00A23FB3" w:rsidRPr="0018386D" w14:paraId="06813D15" w14:textId="77777777" w:rsidTr="00A23FB3">
        <w:tc>
          <w:tcPr>
            <w:tcW w:w="1985" w:type="dxa"/>
            <w:shd w:val="clear" w:color="auto" w:fill="FFFFFF" w:themeFill="background1"/>
            <w:noWrap/>
            <w:hideMark/>
          </w:tcPr>
          <w:p w14:paraId="19FFC478" w14:textId="6CDA7E85" w:rsidR="008E2ED2" w:rsidRPr="0018386D" w:rsidRDefault="008E2ED2" w:rsidP="00DD3106">
            <w:pPr>
              <w:pStyle w:val="TableText"/>
              <w:spacing w:before="40" w:after="40"/>
              <w:rPr>
                <w:szCs w:val="18"/>
                <w:lang w:bidi="th-TH"/>
              </w:rPr>
            </w:pPr>
            <w:r w:rsidRPr="0018386D">
              <w:rPr>
                <w:szCs w:val="18"/>
                <w:lang w:bidi="th-TH"/>
              </w:rPr>
              <w:t xml:space="preserve">Premium </w:t>
            </w:r>
            <w:r w:rsidR="00A6375F" w:rsidRPr="0018386D">
              <w:rPr>
                <w:szCs w:val="18"/>
                <w:lang w:bidi="th-TH"/>
              </w:rPr>
              <w:t>p</w:t>
            </w:r>
            <w:r w:rsidRPr="0018386D">
              <w:rPr>
                <w:szCs w:val="18"/>
                <w:lang w:bidi="th-TH"/>
              </w:rPr>
              <w:t>etrol</w:t>
            </w:r>
          </w:p>
        </w:tc>
        <w:tc>
          <w:tcPr>
            <w:tcW w:w="709" w:type="dxa"/>
            <w:shd w:val="clear" w:color="auto" w:fill="FFFFFF" w:themeFill="background1"/>
            <w:noWrap/>
            <w:hideMark/>
          </w:tcPr>
          <w:p w14:paraId="0420FF2C"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00E9EAB8" w14:textId="77777777" w:rsidR="008E2ED2" w:rsidRPr="0018386D" w:rsidRDefault="008E2ED2" w:rsidP="00DD3106">
            <w:pPr>
              <w:pStyle w:val="TableText"/>
              <w:spacing w:before="40" w:after="40"/>
              <w:rPr>
                <w:szCs w:val="18"/>
                <w:lang w:bidi="th-TH"/>
              </w:rPr>
            </w:pPr>
            <w:r w:rsidRPr="0018386D">
              <w:rPr>
                <w:szCs w:val="18"/>
                <w:lang w:bidi="th-TH"/>
              </w:rPr>
              <w:t>2.46</w:t>
            </w:r>
          </w:p>
        </w:tc>
        <w:tc>
          <w:tcPr>
            <w:tcW w:w="960" w:type="dxa"/>
            <w:shd w:val="clear" w:color="auto" w:fill="FFFFFF" w:themeFill="background1"/>
            <w:noWrap/>
            <w:hideMark/>
          </w:tcPr>
          <w:p w14:paraId="28DE3D02" w14:textId="77777777" w:rsidR="008E2ED2" w:rsidRPr="0018386D" w:rsidRDefault="008E2ED2" w:rsidP="00DD3106">
            <w:pPr>
              <w:pStyle w:val="TableText"/>
              <w:spacing w:before="40" w:after="40"/>
              <w:rPr>
                <w:szCs w:val="18"/>
                <w:lang w:bidi="th-TH"/>
              </w:rPr>
            </w:pPr>
            <w:r w:rsidRPr="0018386D">
              <w:rPr>
                <w:szCs w:val="18"/>
                <w:lang w:bidi="th-TH"/>
              </w:rPr>
              <w:t>2.36</w:t>
            </w:r>
          </w:p>
        </w:tc>
        <w:tc>
          <w:tcPr>
            <w:tcW w:w="960" w:type="dxa"/>
            <w:shd w:val="clear" w:color="auto" w:fill="FFFFFF" w:themeFill="background1"/>
            <w:noWrap/>
            <w:hideMark/>
          </w:tcPr>
          <w:p w14:paraId="70D736FD" w14:textId="77777777" w:rsidR="008E2ED2" w:rsidRPr="0018386D" w:rsidRDefault="008E2ED2" w:rsidP="00DD3106">
            <w:pPr>
              <w:pStyle w:val="TableText"/>
              <w:spacing w:before="40" w:after="40"/>
              <w:rPr>
                <w:szCs w:val="18"/>
                <w:lang w:bidi="th-TH"/>
              </w:rPr>
            </w:pPr>
            <w:r w:rsidRPr="0018386D">
              <w:rPr>
                <w:szCs w:val="18"/>
                <w:lang w:bidi="th-TH"/>
              </w:rPr>
              <w:t>0.0309</w:t>
            </w:r>
          </w:p>
        </w:tc>
        <w:tc>
          <w:tcPr>
            <w:tcW w:w="1123" w:type="dxa"/>
            <w:shd w:val="clear" w:color="auto" w:fill="FFFFFF" w:themeFill="background1"/>
            <w:noWrap/>
            <w:hideMark/>
          </w:tcPr>
          <w:p w14:paraId="0B657546" w14:textId="77777777" w:rsidR="008E2ED2" w:rsidRPr="0018386D" w:rsidRDefault="008E2ED2" w:rsidP="00DD3106">
            <w:pPr>
              <w:pStyle w:val="TableText"/>
              <w:spacing w:before="40" w:after="40"/>
              <w:rPr>
                <w:szCs w:val="18"/>
                <w:lang w:bidi="th-TH"/>
              </w:rPr>
            </w:pPr>
            <w:r w:rsidRPr="0018386D">
              <w:rPr>
                <w:szCs w:val="18"/>
                <w:lang w:bidi="th-TH"/>
              </w:rPr>
              <w:t>0.0709</w:t>
            </w:r>
          </w:p>
        </w:tc>
        <w:tc>
          <w:tcPr>
            <w:tcW w:w="1222" w:type="dxa"/>
            <w:shd w:val="clear" w:color="auto" w:fill="FFFFFF" w:themeFill="background1"/>
            <w:noWrap/>
            <w:hideMark/>
          </w:tcPr>
          <w:p w14:paraId="4E50A2C5" w14:textId="465A62A2" w:rsidR="008E2ED2" w:rsidRPr="0018386D" w:rsidRDefault="00AD1332" w:rsidP="00DD3106">
            <w:pPr>
              <w:pStyle w:val="TableText"/>
              <w:spacing w:before="40" w:after="40"/>
              <w:rPr>
                <w:szCs w:val="18"/>
                <w:lang w:bidi="th-TH"/>
              </w:rPr>
            </w:pPr>
            <w:r w:rsidRPr="0018386D">
              <w:rPr>
                <w:szCs w:val="18"/>
              </w:rPr>
              <w:t>1.8%</w:t>
            </w:r>
          </w:p>
        </w:tc>
      </w:tr>
      <w:tr w:rsidR="00A23FB3" w:rsidRPr="0018386D" w14:paraId="44AF9AED" w14:textId="77777777" w:rsidTr="00A23FB3">
        <w:tc>
          <w:tcPr>
            <w:tcW w:w="1985" w:type="dxa"/>
            <w:shd w:val="clear" w:color="auto" w:fill="FFFFFF" w:themeFill="background1"/>
            <w:noWrap/>
            <w:hideMark/>
          </w:tcPr>
          <w:p w14:paraId="2710F61E" w14:textId="77777777" w:rsidR="008E2ED2" w:rsidRPr="0018386D" w:rsidRDefault="008E2ED2" w:rsidP="00DD3106">
            <w:pPr>
              <w:pStyle w:val="TableText"/>
              <w:spacing w:before="40" w:after="40"/>
              <w:rPr>
                <w:szCs w:val="18"/>
                <w:lang w:bidi="th-TH"/>
              </w:rPr>
            </w:pPr>
            <w:r w:rsidRPr="0018386D">
              <w:rPr>
                <w:szCs w:val="18"/>
                <w:lang w:bidi="th-TH"/>
              </w:rPr>
              <w:t>Diesel</w:t>
            </w:r>
          </w:p>
        </w:tc>
        <w:tc>
          <w:tcPr>
            <w:tcW w:w="709" w:type="dxa"/>
            <w:shd w:val="clear" w:color="auto" w:fill="FFFFFF" w:themeFill="background1"/>
            <w:noWrap/>
            <w:hideMark/>
          </w:tcPr>
          <w:p w14:paraId="50BEAC2C"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3DDFF491" w14:textId="77777777" w:rsidR="008E2ED2" w:rsidRPr="0018386D" w:rsidRDefault="008E2ED2" w:rsidP="00DD3106">
            <w:pPr>
              <w:pStyle w:val="TableText"/>
              <w:spacing w:before="40" w:after="40"/>
              <w:rPr>
                <w:szCs w:val="18"/>
                <w:lang w:bidi="th-TH"/>
              </w:rPr>
            </w:pPr>
            <w:r w:rsidRPr="0018386D">
              <w:rPr>
                <w:szCs w:val="18"/>
                <w:lang w:bidi="th-TH"/>
              </w:rPr>
              <w:t>2.71</w:t>
            </w:r>
          </w:p>
        </w:tc>
        <w:tc>
          <w:tcPr>
            <w:tcW w:w="960" w:type="dxa"/>
            <w:shd w:val="clear" w:color="auto" w:fill="FFFFFF" w:themeFill="background1"/>
            <w:noWrap/>
            <w:hideMark/>
          </w:tcPr>
          <w:p w14:paraId="53B63DAF" w14:textId="77777777" w:rsidR="008E2ED2" w:rsidRPr="0018386D" w:rsidRDefault="008E2ED2" w:rsidP="00DD3106">
            <w:pPr>
              <w:pStyle w:val="TableText"/>
              <w:spacing w:before="40" w:after="40"/>
              <w:rPr>
                <w:szCs w:val="18"/>
                <w:lang w:bidi="th-TH"/>
              </w:rPr>
            </w:pPr>
            <w:r w:rsidRPr="0018386D">
              <w:rPr>
                <w:szCs w:val="18"/>
                <w:lang w:bidi="th-TH"/>
              </w:rPr>
              <w:t>2.67</w:t>
            </w:r>
          </w:p>
        </w:tc>
        <w:tc>
          <w:tcPr>
            <w:tcW w:w="960" w:type="dxa"/>
            <w:shd w:val="clear" w:color="auto" w:fill="FFFFFF" w:themeFill="background1"/>
            <w:noWrap/>
            <w:hideMark/>
          </w:tcPr>
          <w:p w14:paraId="116948B4" w14:textId="77777777" w:rsidR="008E2ED2" w:rsidRPr="0018386D" w:rsidRDefault="008E2ED2" w:rsidP="00DD3106">
            <w:pPr>
              <w:pStyle w:val="TableText"/>
              <w:spacing w:before="40" w:after="40"/>
              <w:rPr>
                <w:szCs w:val="18"/>
                <w:lang w:bidi="th-TH"/>
              </w:rPr>
            </w:pPr>
            <w:r w:rsidRPr="0018386D">
              <w:rPr>
                <w:szCs w:val="18"/>
                <w:lang w:bidi="th-TH"/>
              </w:rPr>
              <w:t>0.00399</w:t>
            </w:r>
          </w:p>
        </w:tc>
        <w:tc>
          <w:tcPr>
            <w:tcW w:w="1123" w:type="dxa"/>
            <w:shd w:val="clear" w:color="auto" w:fill="FFFFFF" w:themeFill="background1"/>
            <w:noWrap/>
            <w:hideMark/>
          </w:tcPr>
          <w:p w14:paraId="0F16EAF9" w14:textId="77777777" w:rsidR="008E2ED2" w:rsidRPr="0018386D" w:rsidRDefault="008E2ED2" w:rsidP="00DD3106">
            <w:pPr>
              <w:pStyle w:val="TableText"/>
              <w:spacing w:before="40" w:after="40"/>
              <w:rPr>
                <w:szCs w:val="18"/>
                <w:lang w:bidi="th-TH"/>
              </w:rPr>
            </w:pPr>
            <w:r w:rsidRPr="0018386D">
              <w:rPr>
                <w:szCs w:val="18"/>
                <w:lang w:bidi="th-TH"/>
              </w:rPr>
              <w:t>0.0378</w:t>
            </w:r>
          </w:p>
        </w:tc>
        <w:tc>
          <w:tcPr>
            <w:tcW w:w="1222" w:type="dxa"/>
            <w:shd w:val="clear" w:color="auto" w:fill="FFFFFF" w:themeFill="background1"/>
            <w:noWrap/>
            <w:hideMark/>
          </w:tcPr>
          <w:p w14:paraId="7D41142A" w14:textId="1166F673" w:rsidR="008E2ED2" w:rsidRPr="0018386D" w:rsidRDefault="00AD1332" w:rsidP="00DD3106">
            <w:pPr>
              <w:pStyle w:val="TableText"/>
              <w:spacing w:before="40" w:after="40"/>
              <w:rPr>
                <w:szCs w:val="18"/>
                <w:lang w:bidi="th-TH"/>
              </w:rPr>
            </w:pPr>
            <w:r w:rsidRPr="0018386D">
              <w:rPr>
                <w:szCs w:val="18"/>
              </w:rPr>
              <w:t>1.8%</w:t>
            </w:r>
          </w:p>
        </w:tc>
      </w:tr>
      <w:tr w:rsidR="00A23FB3" w:rsidRPr="0018386D" w14:paraId="7B0AE4B3" w14:textId="77777777" w:rsidTr="00A23FB3">
        <w:tc>
          <w:tcPr>
            <w:tcW w:w="1985" w:type="dxa"/>
            <w:shd w:val="clear" w:color="auto" w:fill="FFFFFF" w:themeFill="background1"/>
            <w:noWrap/>
            <w:hideMark/>
          </w:tcPr>
          <w:p w14:paraId="1FD73FC1" w14:textId="77777777" w:rsidR="008E2ED2" w:rsidRPr="0018386D" w:rsidRDefault="008E2ED2" w:rsidP="00DD3106">
            <w:pPr>
              <w:pStyle w:val="TableText"/>
              <w:spacing w:before="40" w:after="40"/>
              <w:rPr>
                <w:szCs w:val="18"/>
                <w:lang w:bidi="th-TH"/>
              </w:rPr>
            </w:pPr>
            <w:r w:rsidRPr="0018386D">
              <w:rPr>
                <w:szCs w:val="18"/>
                <w:lang w:bidi="th-TH"/>
              </w:rPr>
              <w:t>LPG</w:t>
            </w:r>
          </w:p>
        </w:tc>
        <w:tc>
          <w:tcPr>
            <w:tcW w:w="709" w:type="dxa"/>
            <w:shd w:val="clear" w:color="auto" w:fill="FFFFFF" w:themeFill="background1"/>
            <w:noWrap/>
            <w:hideMark/>
          </w:tcPr>
          <w:p w14:paraId="1FB597CC"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148D27EE" w14:textId="77777777" w:rsidR="008E2ED2" w:rsidRPr="0018386D" w:rsidRDefault="008E2ED2" w:rsidP="00DD3106">
            <w:pPr>
              <w:pStyle w:val="TableText"/>
              <w:spacing w:before="40" w:after="40"/>
              <w:rPr>
                <w:szCs w:val="18"/>
                <w:lang w:bidi="th-TH"/>
              </w:rPr>
            </w:pPr>
            <w:r w:rsidRPr="0018386D">
              <w:rPr>
                <w:szCs w:val="18"/>
                <w:lang w:bidi="th-TH"/>
              </w:rPr>
              <w:t>1.62</w:t>
            </w:r>
          </w:p>
        </w:tc>
        <w:tc>
          <w:tcPr>
            <w:tcW w:w="960" w:type="dxa"/>
            <w:shd w:val="clear" w:color="auto" w:fill="FFFFFF" w:themeFill="background1"/>
            <w:noWrap/>
            <w:hideMark/>
          </w:tcPr>
          <w:p w14:paraId="06419F7E" w14:textId="77777777" w:rsidR="008E2ED2" w:rsidRPr="0018386D" w:rsidRDefault="008E2ED2" w:rsidP="00DD3106">
            <w:pPr>
              <w:pStyle w:val="TableText"/>
              <w:spacing w:before="40" w:after="40"/>
              <w:rPr>
                <w:szCs w:val="18"/>
                <w:lang w:bidi="th-TH"/>
              </w:rPr>
            </w:pPr>
            <w:r w:rsidRPr="0018386D">
              <w:rPr>
                <w:szCs w:val="18"/>
                <w:lang w:bidi="th-TH"/>
              </w:rPr>
              <w:t>1.57</w:t>
            </w:r>
          </w:p>
        </w:tc>
        <w:tc>
          <w:tcPr>
            <w:tcW w:w="960" w:type="dxa"/>
            <w:shd w:val="clear" w:color="auto" w:fill="FFFFFF" w:themeFill="background1"/>
            <w:noWrap/>
            <w:hideMark/>
          </w:tcPr>
          <w:p w14:paraId="1E9069EF" w14:textId="77777777" w:rsidR="008E2ED2" w:rsidRPr="0018386D" w:rsidRDefault="008E2ED2" w:rsidP="00DD3106">
            <w:pPr>
              <w:pStyle w:val="TableText"/>
              <w:spacing w:before="40" w:after="40"/>
              <w:rPr>
                <w:szCs w:val="18"/>
                <w:lang w:bidi="th-TH"/>
              </w:rPr>
            </w:pPr>
            <w:r w:rsidRPr="0018386D">
              <w:rPr>
                <w:szCs w:val="18"/>
                <w:lang w:bidi="th-TH"/>
              </w:rPr>
              <w:t>0.0438</w:t>
            </w:r>
          </w:p>
        </w:tc>
        <w:tc>
          <w:tcPr>
            <w:tcW w:w="1123" w:type="dxa"/>
            <w:shd w:val="clear" w:color="auto" w:fill="FFFFFF" w:themeFill="background1"/>
            <w:noWrap/>
            <w:hideMark/>
          </w:tcPr>
          <w:p w14:paraId="253CC267" w14:textId="77777777" w:rsidR="008E2ED2" w:rsidRPr="0018386D" w:rsidRDefault="008E2ED2" w:rsidP="00DD3106">
            <w:pPr>
              <w:pStyle w:val="TableText"/>
              <w:spacing w:before="40" w:after="40"/>
              <w:rPr>
                <w:szCs w:val="18"/>
                <w:lang w:bidi="th-TH"/>
              </w:rPr>
            </w:pPr>
            <w:r w:rsidRPr="0018386D">
              <w:rPr>
                <w:szCs w:val="18"/>
                <w:lang w:bidi="th-TH"/>
              </w:rPr>
              <w:t>0.00134</w:t>
            </w:r>
          </w:p>
        </w:tc>
        <w:tc>
          <w:tcPr>
            <w:tcW w:w="1222" w:type="dxa"/>
            <w:shd w:val="clear" w:color="auto" w:fill="FFFFFF" w:themeFill="background1"/>
            <w:noWrap/>
            <w:hideMark/>
          </w:tcPr>
          <w:p w14:paraId="26FAB552" w14:textId="1C8F77AD" w:rsidR="008E2ED2" w:rsidRPr="0018386D" w:rsidRDefault="00AD1332" w:rsidP="00DD3106">
            <w:pPr>
              <w:pStyle w:val="TableText"/>
              <w:spacing w:before="40" w:after="40"/>
              <w:rPr>
                <w:szCs w:val="18"/>
                <w:lang w:bidi="th-TH"/>
              </w:rPr>
            </w:pPr>
            <w:r w:rsidRPr="0018386D">
              <w:rPr>
                <w:szCs w:val="18"/>
              </w:rPr>
              <w:t>0.9%</w:t>
            </w:r>
          </w:p>
        </w:tc>
      </w:tr>
      <w:tr w:rsidR="00A23FB3" w:rsidRPr="0018386D" w14:paraId="579D4E89" w14:textId="77777777" w:rsidTr="00A23FB3">
        <w:tc>
          <w:tcPr>
            <w:tcW w:w="1985" w:type="dxa"/>
            <w:shd w:val="clear" w:color="auto" w:fill="FFFFFF" w:themeFill="background1"/>
            <w:noWrap/>
            <w:hideMark/>
          </w:tcPr>
          <w:p w14:paraId="6BF4A607" w14:textId="1D9756C3" w:rsidR="008E2ED2" w:rsidRPr="0018386D" w:rsidRDefault="008E2ED2" w:rsidP="00DD3106">
            <w:pPr>
              <w:pStyle w:val="TableText"/>
              <w:spacing w:before="40" w:after="40"/>
              <w:rPr>
                <w:szCs w:val="18"/>
                <w:lang w:bidi="th-TH"/>
              </w:rPr>
            </w:pPr>
            <w:r w:rsidRPr="0018386D">
              <w:rPr>
                <w:szCs w:val="18"/>
                <w:lang w:bidi="th-TH"/>
              </w:rPr>
              <w:t xml:space="preserve">Heavy </w:t>
            </w:r>
            <w:r w:rsidR="00A6375F" w:rsidRPr="0018386D">
              <w:rPr>
                <w:szCs w:val="18"/>
                <w:lang w:bidi="th-TH"/>
              </w:rPr>
              <w:t>f</w:t>
            </w:r>
            <w:r w:rsidRPr="0018386D">
              <w:rPr>
                <w:szCs w:val="18"/>
                <w:lang w:bidi="th-TH"/>
              </w:rPr>
              <w:t xml:space="preserve">uel </w:t>
            </w:r>
            <w:r w:rsidR="00A6375F" w:rsidRPr="0018386D">
              <w:rPr>
                <w:szCs w:val="18"/>
                <w:lang w:bidi="th-TH"/>
              </w:rPr>
              <w:t>o</w:t>
            </w:r>
            <w:r w:rsidRPr="0018386D">
              <w:rPr>
                <w:szCs w:val="18"/>
                <w:lang w:bidi="th-TH"/>
              </w:rPr>
              <w:t>il</w:t>
            </w:r>
          </w:p>
        </w:tc>
        <w:tc>
          <w:tcPr>
            <w:tcW w:w="709" w:type="dxa"/>
            <w:shd w:val="clear" w:color="auto" w:fill="FFFFFF" w:themeFill="background1"/>
            <w:noWrap/>
            <w:hideMark/>
          </w:tcPr>
          <w:p w14:paraId="23925640"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4003AAE5" w14:textId="77777777" w:rsidR="008E2ED2" w:rsidRPr="0018386D" w:rsidRDefault="008E2ED2" w:rsidP="00DD3106">
            <w:pPr>
              <w:pStyle w:val="TableText"/>
              <w:spacing w:before="40" w:after="40"/>
              <w:rPr>
                <w:szCs w:val="18"/>
                <w:lang w:bidi="th-TH"/>
              </w:rPr>
            </w:pPr>
            <w:r w:rsidRPr="0018386D">
              <w:rPr>
                <w:szCs w:val="18"/>
                <w:lang w:bidi="th-TH"/>
              </w:rPr>
              <w:t>3.02</w:t>
            </w:r>
          </w:p>
        </w:tc>
        <w:tc>
          <w:tcPr>
            <w:tcW w:w="960" w:type="dxa"/>
            <w:shd w:val="clear" w:color="auto" w:fill="FFFFFF" w:themeFill="background1"/>
            <w:noWrap/>
            <w:hideMark/>
          </w:tcPr>
          <w:p w14:paraId="67BFDE44" w14:textId="77777777" w:rsidR="008E2ED2" w:rsidRPr="0018386D" w:rsidRDefault="008E2ED2" w:rsidP="00DD3106">
            <w:pPr>
              <w:pStyle w:val="TableText"/>
              <w:spacing w:before="40" w:after="40"/>
              <w:rPr>
                <w:szCs w:val="18"/>
                <w:lang w:bidi="th-TH"/>
              </w:rPr>
            </w:pPr>
            <w:r w:rsidRPr="0018386D">
              <w:rPr>
                <w:szCs w:val="18"/>
                <w:lang w:bidi="th-TH"/>
              </w:rPr>
              <w:t>2.99</w:t>
            </w:r>
          </w:p>
        </w:tc>
        <w:tc>
          <w:tcPr>
            <w:tcW w:w="960" w:type="dxa"/>
            <w:shd w:val="clear" w:color="auto" w:fill="FFFFFF" w:themeFill="background1"/>
            <w:noWrap/>
            <w:hideMark/>
          </w:tcPr>
          <w:p w14:paraId="46BED70E" w14:textId="77777777" w:rsidR="008E2ED2" w:rsidRPr="0018386D" w:rsidRDefault="008E2ED2" w:rsidP="00DD3106">
            <w:pPr>
              <w:pStyle w:val="TableText"/>
              <w:spacing w:before="40" w:after="40"/>
              <w:rPr>
                <w:szCs w:val="18"/>
                <w:lang w:bidi="th-TH"/>
              </w:rPr>
            </w:pPr>
            <w:r w:rsidRPr="0018386D">
              <w:rPr>
                <w:szCs w:val="18"/>
                <w:lang w:bidi="th-TH"/>
              </w:rPr>
              <w:t>0.00759</w:t>
            </w:r>
          </w:p>
        </w:tc>
        <w:tc>
          <w:tcPr>
            <w:tcW w:w="1123" w:type="dxa"/>
            <w:shd w:val="clear" w:color="auto" w:fill="FFFFFF" w:themeFill="background1"/>
            <w:noWrap/>
            <w:hideMark/>
          </w:tcPr>
          <w:p w14:paraId="224D13B2" w14:textId="77777777" w:rsidR="008E2ED2" w:rsidRPr="0018386D" w:rsidRDefault="008E2ED2" w:rsidP="00DD3106">
            <w:pPr>
              <w:pStyle w:val="TableText"/>
              <w:spacing w:before="40" w:after="40"/>
              <w:rPr>
                <w:szCs w:val="18"/>
                <w:lang w:bidi="th-TH"/>
              </w:rPr>
            </w:pPr>
            <w:r w:rsidRPr="0018386D">
              <w:rPr>
                <w:szCs w:val="18"/>
                <w:lang w:bidi="th-TH"/>
              </w:rPr>
              <w:t>0.0205</w:t>
            </w:r>
          </w:p>
        </w:tc>
        <w:tc>
          <w:tcPr>
            <w:tcW w:w="1222" w:type="dxa"/>
            <w:shd w:val="clear" w:color="auto" w:fill="FFFFFF" w:themeFill="background1"/>
            <w:noWrap/>
            <w:hideMark/>
          </w:tcPr>
          <w:p w14:paraId="01F964D1" w14:textId="58D03DBD" w:rsidR="008E2ED2" w:rsidRPr="0018386D" w:rsidRDefault="00AD1332" w:rsidP="00DD3106">
            <w:pPr>
              <w:pStyle w:val="TableText"/>
              <w:spacing w:before="40" w:after="40"/>
              <w:rPr>
                <w:szCs w:val="18"/>
                <w:lang w:bidi="th-TH"/>
              </w:rPr>
            </w:pPr>
            <w:r w:rsidRPr="0018386D">
              <w:rPr>
                <w:szCs w:val="18"/>
              </w:rPr>
              <w:t>1.3%</w:t>
            </w:r>
          </w:p>
        </w:tc>
      </w:tr>
      <w:tr w:rsidR="00A23FB3" w:rsidRPr="0018386D" w14:paraId="26822CF0" w14:textId="77777777" w:rsidTr="00905A73">
        <w:tc>
          <w:tcPr>
            <w:tcW w:w="1985" w:type="dxa"/>
            <w:tcBorders>
              <w:bottom w:val="single" w:sz="4" w:space="0" w:color="auto"/>
            </w:tcBorders>
            <w:shd w:val="clear" w:color="auto" w:fill="FFFFFF" w:themeFill="background1"/>
            <w:noWrap/>
            <w:hideMark/>
          </w:tcPr>
          <w:p w14:paraId="48DAC8D8" w14:textId="5447449A" w:rsidR="008E2ED2" w:rsidRPr="0018386D" w:rsidRDefault="008E2ED2" w:rsidP="00DD3106">
            <w:pPr>
              <w:pStyle w:val="TableText"/>
              <w:spacing w:before="40" w:after="40"/>
              <w:rPr>
                <w:szCs w:val="18"/>
                <w:lang w:bidi="th-TH"/>
              </w:rPr>
            </w:pPr>
            <w:r w:rsidRPr="0018386D">
              <w:rPr>
                <w:szCs w:val="18"/>
                <w:lang w:bidi="th-TH"/>
              </w:rPr>
              <w:t xml:space="preserve">Light </w:t>
            </w:r>
            <w:r w:rsidR="00A6375F" w:rsidRPr="0018386D">
              <w:rPr>
                <w:szCs w:val="18"/>
                <w:lang w:bidi="th-TH"/>
              </w:rPr>
              <w:t>f</w:t>
            </w:r>
            <w:r w:rsidRPr="0018386D">
              <w:rPr>
                <w:szCs w:val="18"/>
                <w:lang w:bidi="th-TH"/>
              </w:rPr>
              <w:t xml:space="preserve">uel </w:t>
            </w:r>
            <w:r w:rsidR="00A6375F" w:rsidRPr="0018386D">
              <w:rPr>
                <w:szCs w:val="18"/>
                <w:lang w:bidi="th-TH"/>
              </w:rPr>
              <w:t>o</w:t>
            </w:r>
            <w:r w:rsidRPr="0018386D">
              <w:rPr>
                <w:szCs w:val="18"/>
                <w:lang w:bidi="th-TH"/>
              </w:rPr>
              <w:t>il</w:t>
            </w:r>
          </w:p>
        </w:tc>
        <w:tc>
          <w:tcPr>
            <w:tcW w:w="709" w:type="dxa"/>
            <w:shd w:val="clear" w:color="auto" w:fill="FFFFFF" w:themeFill="background1"/>
            <w:noWrap/>
            <w:hideMark/>
          </w:tcPr>
          <w:p w14:paraId="0C57E69B"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23367D83" w14:textId="77777777" w:rsidR="008E2ED2" w:rsidRPr="0018386D" w:rsidRDefault="008E2ED2" w:rsidP="00DD3106">
            <w:pPr>
              <w:pStyle w:val="TableText"/>
              <w:spacing w:before="40" w:after="40"/>
              <w:rPr>
                <w:szCs w:val="18"/>
                <w:lang w:bidi="th-TH"/>
              </w:rPr>
            </w:pPr>
            <w:r w:rsidRPr="0018386D">
              <w:rPr>
                <w:szCs w:val="18"/>
                <w:lang w:bidi="th-TH"/>
              </w:rPr>
              <w:t>2.98</w:t>
            </w:r>
          </w:p>
        </w:tc>
        <w:tc>
          <w:tcPr>
            <w:tcW w:w="960" w:type="dxa"/>
            <w:shd w:val="clear" w:color="auto" w:fill="FFFFFF" w:themeFill="background1"/>
            <w:noWrap/>
            <w:hideMark/>
          </w:tcPr>
          <w:p w14:paraId="7C79BCB7" w14:textId="77777777" w:rsidR="008E2ED2" w:rsidRPr="0018386D" w:rsidRDefault="008E2ED2" w:rsidP="00DD3106">
            <w:pPr>
              <w:pStyle w:val="TableText"/>
              <w:spacing w:before="40" w:after="40"/>
              <w:rPr>
                <w:szCs w:val="18"/>
                <w:lang w:bidi="th-TH"/>
              </w:rPr>
            </w:pPr>
            <w:r w:rsidRPr="0018386D">
              <w:rPr>
                <w:szCs w:val="18"/>
                <w:lang w:bidi="th-TH"/>
              </w:rPr>
              <w:t>2.95</w:t>
            </w:r>
          </w:p>
        </w:tc>
        <w:tc>
          <w:tcPr>
            <w:tcW w:w="960" w:type="dxa"/>
            <w:shd w:val="clear" w:color="auto" w:fill="FFFFFF" w:themeFill="background1"/>
            <w:noWrap/>
            <w:hideMark/>
          </w:tcPr>
          <w:p w14:paraId="6549A62C" w14:textId="77777777" w:rsidR="008E2ED2" w:rsidRPr="0018386D" w:rsidRDefault="008E2ED2" w:rsidP="00DD3106">
            <w:pPr>
              <w:pStyle w:val="TableText"/>
              <w:spacing w:before="40" w:after="40"/>
              <w:rPr>
                <w:szCs w:val="18"/>
                <w:lang w:bidi="th-TH"/>
              </w:rPr>
            </w:pPr>
            <w:r w:rsidRPr="0018386D">
              <w:rPr>
                <w:szCs w:val="18"/>
                <w:lang w:bidi="th-TH"/>
              </w:rPr>
              <w:t>0.00753</w:t>
            </w:r>
          </w:p>
        </w:tc>
        <w:tc>
          <w:tcPr>
            <w:tcW w:w="1123" w:type="dxa"/>
            <w:shd w:val="clear" w:color="auto" w:fill="FFFFFF" w:themeFill="background1"/>
            <w:noWrap/>
            <w:hideMark/>
          </w:tcPr>
          <w:p w14:paraId="5578E330" w14:textId="77777777" w:rsidR="008E2ED2" w:rsidRPr="0018386D" w:rsidRDefault="008E2ED2" w:rsidP="00DD3106">
            <w:pPr>
              <w:pStyle w:val="TableText"/>
              <w:spacing w:before="40" w:after="40"/>
              <w:rPr>
                <w:szCs w:val="18"/>
                <w:lang w:bidi="th-TH"/>
              </w:rPr>
            </w:pPr>
            <w:r w:rsidRPr="0018386D">
              <w:rPr>
                <w:szCs w:val="18"/>
                <w:lang w:bidi="th-TH"/>
              </w:rPr>
              <w:t>0.0204</w:t>
            </w:r>
          </w:p>
        </w:tc>
        <w:tc>
          <w:tcPr>
            <w:tcW w:w="1222" w:type="dxa"/>
            <w:shd w:val="clear" w:color="auto" w:fill="FFFFFF" w:themeFill="background1"/>
            <w:noWrap/>
            <w:hideMark/>
          </w:tcPr>
          <w:p w14:paraId="19B09649" w14:textId="14591C51" w:rsidR="008E2ED2" w:rsidRPr="0018386D" w:rsidRDefault="00AD1332" w:rsidP="00DD3106">
            <w:pPr>
              <w:pStyle w:val="TableText"/>
              <w:spacing w:before="40" w:after="40"/>
              <w:rPr>
                <w:szCs w:val="18"/>
                <w:lang w:bidi="th-TH"/>
              </w:rPr>
            </w:pPr>
            <w:r w:rsidRPr="0018386D">
              <w:rPr>
                <w:szCs w:val="18"/>
              </w:rPr>
              <w:t>0.6%</w:t>
            </w:r>
          </w:p>
        </w:tc>
      </w:tr>
      <w:tr w:rsidR="00A23FB3" w:rsidRPr="0018386D" w14:paraId="52999F2F" w14:textId="77777777" w:rsidTr="00905A73">
        <w:tc>
          <w:tcPr>
            <w:tcW w:w="1985" w:type="dxa"/>
            <w:tcBorders>
              <w:top w:val="single" w:sz="4" w:space="0" w:color="auto"/>
              <w:bottom w:val="nil"/>
              <w:right w:val="single" w:sz="4" w:space="0" w:color="auto"/>
            </w:tcBorders>
            <w:shd w:val="clear" w:color="auto" w:fill="FFFFFF" w:themeFill="background1"/>
            <w:noWrap/>
            <w:hideMark/>
          </w:tcPr>
          <w:p w14:paraId="6B02B26D" w14:textId="4D1FB9D6" w:rsidR="008E2ED2" w:rsidRPr="0018386D" w:rsidRDefault="008E2ED2" w:rsidP="00DD3106">
            <w:pPr>
              <w:pStyle w:val="TableText"/>
              <w:spacing w:before="40" w:after="40"/>
              <w:rPr>
                <w:szCs w:val="18"/>
                <w:lang w:bidi="th-TH"/>
              </w:rPr>
            </w:pPr>
            <w:r w:rsidRPr="0018386D">
              <w:rPr>
                <w:szCs w:val="18"/>
                <w:lang w:bidi="th-TH"/>
              </w:rPr>
              <w:t>Aviation fuel (</w:t>
            </w:r>
            <w:r w:rsidR="00A6375F" w:rsidRPr="0018386D">
              <w:rPr>
                <w:szCs w:val="18"/>
                <w:lang w:bidi="th-TH"/>
              </w:rPr>
              <w:t>k</w:t>
            </w:r>
            <w:r w:rsidRPr="0018386D">
              <w:rPr>
                <w:szCs w:val="18"/>
                <w:lang w:bidi="th-TH"/>
              </w:rPr>
              <w:t>erosene)</w:t>
            </w:r>
          </w:p>
        </w:tc>
        <w:tc>
          <w:tcPr>
            <w:tcW w:w="709" w:type="dxa"/>
            <w:tcBorders>
              <w:left w:val="single" w:sz="4" w:space="0" w:color="auto"/>
            </w:tcBorders>
            <w:shd w:val="clear" w:color="auto" w:fill="FFFFFF" w:themeFill="background1"/>
            <w:noWrap/>
            <w:hideMark/>
          </w:tcPr>
          <w:p w14:paraId="6183E520" w14:textId="77777777" w:rsidR="008E2ED2" w:rsidRPr="0018386D" w:rsidRDefault="008E2ED2" w:rsidP="00DD3106">
            <w:pPr>
              <w:pStyle w:val="TableText"/>
              <w:spacing w:before="40" w:after="40"/>
              <w:rPr>
                <w:szCs w:val="18"/>
                <w:lang w:bidi="th-TH"/>
              </w:rPr>
            </w:pPr>
            <w:r w:rsidRPr="0018386D">
              <w:rPr>
                <w:szCs w:val="18"/>
                <w:lang w:bidi="th-TH"/>
              </w:rPr>
              <w:t>GJ</w:t>
            </w:r>
          </w:p>
        </w:tc>
        <w:tc>
          <w:tcPr>
            <w:tcW w:w="991" w:type="dxa"/>
            <w:shd w:val="clear" w:color="auto" w:fill="D2DDE1" w:themeFill="background2"/>
            <w:noWrap/>
            <w:hideMark/>
          </w:tcPr>
          <w:p w14:paraId="1BF9DB43" w14:textId="77777777" w:rsidR="008E2ED2" w:rsidRPr="0018386D" w:rsidRDefault="008E2ED2" w:rsidP="00DD3106">
            <w:pPr>
              <w:pStyle w:val="TableText"/>
              <w:spacing w:before="40" w:after="40"/>
              <w:rPr>
                <w:szCs w:val="18"/>
                <w:lang w:bidi="th-TH"/>
              </w:rPr>
            </w:pPr>
            <w:r w:rsidRPr="0018386D">
              <w:rPr>
                <w:szCs w:val="18"/>
                <w:lang w:bidi="th-TH"/>
              </w:rPr>
              <w:t>68.8</w:t>
            </w:r>
          </w:p>
        </w:tc>
        <w:tc>
          <w:tcPr>
            <w:tcW w:w="960" w:type="dxa"/>
            <w:shd w:val="clear" w:color="auto" w:fill="FFFFFF" w:themeFill="background1"/>
            <w:noWrap/>
            <w:hideMark/>
          </w:tcPr>
          <w:p w14:paraId="5B5D5CA0" w14:textId="77777777" w:rsidR="008E2ED2" w:rsidRPr="0018386D" w:rsidRDefault="008E2ED2" w:rsidP="00DD3106">
            <w:pPr>
              <w:pStyle w:val="TableText"/>
              <w:spacing w:before="40" w:after="40"/>
              <w:rPr>
                <w:szCs w:val="18"/>
                <w:lang w:bidi="th-TH"/>
              </w:rPr>
            </w:pPr>
            <w:r w:rsidRPr="0018386D">
              <w:rPr>
                <w:szCs w:val="18"/>
                <w:lang w:bidi="th-TH"/>
              </w:rPr>
              <w:t>68.3</w:t>
            </w:r>
          </w:p>
        </w:tc>
        <w:tc>
          <w:tcPr>
            <w:tcW w:w="960" w:type="dxa"/>
            <w:shd w:val="clear" w:color="auto" w:fill="FFFFFF" w:themeFill="background1"/>
            <w:noWrap/>
            <w:hideMark/>
          </w:tcPr>
          <w:p w14:paraId="27B74450" w14:textId="77777777" w:rsidR="008E2ED2" w:rsidRPr="0018386D" w:rsidRDefault="008E2ED2" w:rsidP="00DD3106">
            <w:pPr>
              <w:pStyle w:val="TableText"/>
              <w:spacing w:before="40" w:after="40"/>
              <w:rPr>
                <w:szCs w:val="18"/>
                <w:lang w:bidi="th-TH"/>
              </w:rPr>
            </w:pPr>
            <w:r w:rsidRPr="0018386D">
              <w:rPr>
                <w:szCs w:val="18"/>
                <w:lang w:bidi="th-TH"/>
              </w:rPr>
              <w:t>0.0133</w:t>
            </w:r>
          </w:p>
        </w:tc>
        <w:tc>
          <w:tcPr>
            <w:tcW w:w="1123" w:type="dxa"/>
            <w:shd w:val="clear" w:color="auto" w:fill="FFFFFF" w:themeFill="background1"/>
            <w:noWrap/>
            <w:hideMark/>
          </w:tcPr>
          <w:p w14:paraId="3CC470E7" w14:textId="77777777" w:rsidR="008E2ED2" w:rsidRPr="0018386D" w:rsidRDefault="008E2ED2" w:rsidP="00DD3106">
            <w:pPr>
              <w:pStyle w:val="TableText"/>
              <w:spacing w:before="40" w:after="40"/>
              <w:rPr>
                <w:szCs w:val="18"/>
                <w:lang w:bidi="th-TH"/>
              </w:rPr>
            </w:pPr>
            <w:r w:rsidRPr="0018386D">
              <w:rPr>
                <w:szCs w:val="18"/>
                <w:lang w:bidi="th-TH"/>
              </w:rPr>
              <w:t>0.503</w:t>
            </w:r>
          </w:p>
        </w:tc>
        <w:tc>
          <w:tcPr>
            <w:tcW w:w="1222" w:type="dxa"/>
            <w:shd w:val="clear" w:color="auto" w:fill="FFFFFF" w:themeFill="background1"/>
            <w:noWrap/>
            <w:hideMark/>
          </w:tcPr>
          <w:p w14:paraId="572C1E77" w14:textId="4CC130E3" w:rsidR="008E2ED2" w:rsidRPr="0018386D" w:rsidRDefault="00AD1332" w:rsidP="00DD3106">
            <w:pPr>
              <w:pStyle w:val="TableText"/>
              <w:spacing w:before="40" w:after="40"/>
              <w:rPr>
                <w:szCs w:val="18"/>
                <w:lang w:bidi="th-TH"/>
              </w:rPr>
            </w:pPr>
            <w:r w:rsidRPr="0018386D">
              <w:rPr>
                <w:szCs w:val="18"/>
              </w:rPr>
              <w:t>0.6%</w:t>
            </w:r>
          </w:p>
        </w:tc>
      </w:tr>
      <w:tr w:rsidR="00A23FB3" w:rsidRPr="0018386D" w14:paraId="50A7E373" w14:textId="77777777" w:rsidTr="00905A73">
        <w:tc>
          <w:tcPr>
            <w:tcW w:w="1985" w:type="dxa"/>
            <w:tcBorders>
              <w:top w:val="nil"/>
              <w:bottom w:val="single" w:sz="4" w:space="0" w:color="auto"/>
              <w:right w:val="single" w:sz="4" w:space="0" w:color="auto"/>
            </w:tcBorders>
            <w:shd w:val="clear" w:color="auto" w:fill="FFFFFF" w:themeFill="background1"/>
            <w:noWrap/>
            <w:hideMark/>
          </w:tcPr>
          <w:p w14:paraId="6A7CB3C0" w14:textId="5E192515" w:rsidR="008E2ED2" w:rsidRPr="0018386D" w:rsidRDefault="008E2ED2" w:rsidP="00DD3106">
            <w:pPr>
              <w:pStyle w:val="TableText"/>
              <w:spacing w:before="40" w:after="40"/>
              <w:rPr>
                <w:szCs w:val="18"/>
                <w:lang w:bidi="th-TH"/>
              </w:rPr>
            </w:pPr>
            <w:r w:rsidRPr="0018386D">
              <w:rPr>
                <w:szCs w:val="18"/>
                <w:lang w:bidi="th-TH"/>
              </w:rPr>
              <w:t> </w:t>
            </w:r>
          </w:p>
        </w:tc>
        <w:tc>
          <w:tcPr>
            <w:tcW w:w="709" w:type="dxa"/>
            <w:tcBorders>
              <w:left w:val="single" w:sz="4" w:space="0" w:color="auto"/>
            </w:tcBorders>
            <w:shd w:val="clear" w:color="auto" w:fill="FFFFFF" w:themeFill="background1"/>
            <w:noWrap/>
            <w:hideMark/>
          </w:tcPr>
          <w:p w14:paraId="4D08B93F"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62B78053" w14:textId="77777777" w:rsidR="008E2ED2" w:rsidRPr="0018386D" w:rsidRDefault="008E2ED2" w:rsidP="00DD3106">
            <w:pPr>
              <w:pStyle w:val="TableText"/>
              <w:spacing w:before="40" w:after="40"/>
              <w:rPr>
                <w:szCs w:val="18"/>
                <w:lang w:bidi="th-TH"/>
              </w:rPr>
            </w:pPr>
            <w:r w:rsidRPr="0018386D">
              <w:rPr>
                <w:szCs w:val="18"/>
                <w:lang w:bidi="th-TH"/>
              </w:rPr>
              <w:t>2.56</w:t>
            </w:r>
          </w:p>
        </w:tc>
        <w:tc>
          <w:tcPr>
            <w:tcW w:w="960" w:type="dxa"/>
            <w:shd w:val="clear" w:color="auto" w:fill="FFFFFF" w:themeFill="background1"/>
            <w:noWrap/>
            <w:hideMark/>
          </w:tcPr>
          <w:p w14:paraId="34C2D335" w14:textId="77777777" w:rsidR="008E2ED2" w:rsidRPr="0018386D" w:rsidRDefault="008E2ED2" w:rsidP="00DD3106">
            <w:pPr>
              <w:pStyle w:val="TableText"/>
              <w:spacing w:before="40" w:after="40"/>
              <w:rPr>
                <w:szCs w:val="18"/>
                <w:lang w:bidi="th-TH"/>
              </w:rPr>
            </w:pPr>
            <w:r w:rsidRPr="0018386D">
              <w:rPr>
                <w:szCs w:val="18"/>
                <w:lang w:bidi="th-TH"/>
              </w:rPr>
              <w:t>2.54</w:t>
            </w:r>
          </w:p>
        </w:tc>
        <w:tc>
          <w:tcPr>
            <w:tcW w:w="960" w:type="dxa"/>
            <w:shd w:val="clear" w:color="auto" w:fill="FFFFFF" w:themeFill="background1"/>
            <w:noWrap/>
            <w:hideMark/>
          </w:tcPr>
          <w:p w14:paraId="312D770A" w14:textId="77777777" w:rsidR="008E2ED2" w:rsidRPr="0018386D" w:rsidRDefault="008E2ED2" w:rsidP="00DD3106">
            <w:pPr>
              <w:pStyle w:val="TableText"/>
              <w:spacing w:before="40" w:after="40"/>
              <w:rPr>
                <w:szCs w:val="18"/>
                <w:lang w:bidi="th-TH"/>
              </w:rPr>
            </w:pPr>
            <w:r w:rsidRPr="0018386D">
              <w:rPr>
                <w:szCs w:val="18"/>
                <w:lang w:bidi="th-TH"/>
              </w:rPr>
              <w:t>0.0005</w:t>
            </w:r>
          </w:p>
        </w:tc>
        <w:tc>
          <w:tcPr>
            <w:tcW w:w="1123" w:type="dxa"/>
            <w:shd w:val="clear" w:color="auto" w:fill="FFFFFF" w:themeFill="background1"/>
            <w:noWrap/>
            <w:hideMark/>
          </w:tcPr>
          <w:p w14:paraId="383C8BDB" w14:textId="77777777" w:rsidR="008E2ED2" w:rsidRPr="0018386D" w:rsidRDefault="008E2ED2" w:rsidP="00DD3106">
            <w:pPr>
              <w:pStyle w:val="TableText"/>
              <w:spacing w:before="40" w:after="40"/>
              <w:rPr>
                <w:szCs w:val="18"/>
                <w:lang w:bidi="th-TH"/>
              </w:rPr>
            </w:pPr>
            <w:r w:rsidRPr="0018386D">
              <w:rPr>
                <w:szCs w:val="18"/>
                <w:lang w:bidi="th-TH"/>
              </w:rPr>
              <w:t>0.0187</w:t>
            </w:r>
          </w:p>
        </w:tc>
        <w:tc>
          <w:tcPr>
            <w:tcW w:w="1222" w:type="dxa"/>
            <w:shd w:val="clear" w:color="auto" w:fill="FFFFFF" w:themeFill="background1"/>
            <w:noWrap/>
            <w:hideMark/>
          </w:tcPr>
          <w:p w14:paraId="05CE2681" w14:textId="26E698D8" w:rsidR="008E2ED2" w:rsidRPr="0018386D" w:rsidRDefault="00AD1332" w:rsidP="00DD3106">
            <w:pPr>
              <w:pStyle w:val="TableText"/>
              <w:spacing w:before="40" w:after="40"/>
              <w:rPr>
                <w:szCs w:val="18"/>
                <w:lang w:bidi="th-TH"/>
              </w:rPr>
            </w:pPr>
            <w:r w:rsidRPr="0018386D">
              <w:rPr>
                <w:szCs w:val="18"/>
              </w:rPr>
              <w:t>0.1%</w:t>
            </w:r>
          </w:p>
        </w:tc>
      </w:tr>
      <w:tr w:rsidR="00A23FB3" w:rsidRPr="0018386D" w14:paraId="79320FC2" w14:textId="77777777" w:rsidTr="00905A73">
        <w:tc>
          <w:tcPr>
            <w:tcW w:w="1985" w:type="dxa"/>
            <w:tcBorders>
              <w:top w:val="single" w:sz="4" w:space="0" w:color="auto"/>
              <w:bottom w:val="nil"/>
              <w:right w:val="single" w:sz="4" w:space="0" w:color="auto"/>
            </w:tcBorders>
            <w:shd w:val="clear" w:color="auto" w:fill="FFFFFF" w:themeFill="background1"/>
            <w:noWrap/>
            <w:hideMark/>
          </w:tcPr>
          <w:p w14:paraId="53CDA2A5" w14:textId="5529242D" w:rsidR="008E2ED2" w:rsidRPr="0018386D" w:rsidRDefault="008E2ED2" w:rsidP="00DD3106">
            <w:pPr>
              <w:pStyle w:val="TableText"/>
              <w:spacing w:before="40" w:after="40"/>
              <w:rPr>
                <w:szCs w:val="18"/>
                <w:lang w:bidi="th-TH"/>
              </w:rPr>
            </w:pPr>
            <w:r w:rsidRPr="0018386D">
              <w:rPr>
                <w:szCs w:val="18"/>
                <w:lang w:bidi="th-TH"/>
              </w:rPr>
              <w:t>Aviation gas</w:t>
            </w:r>
          </w:p>
        </w:tc>
        <w:tc>
          <w:tcPr>
            <w:tcW w:w="709" w:type="dxa"/>
            <w:tcBorders>
              <w:left w:val="single" w:sz="4" w:space="0" w:color="auto"/>
            </w:tcBorders>
            <w:shd w:val="clear" w:color="auto" w:fill="FFFFFF" w:themeFill="background1"/>
            <w:noWrap/>
            <w:hideMark/>
          </w:tcPr>
          <w:p w14:paraId="12E5750D" w14:textId="77777777" w:rsidR="008E2ED2" w:rsidRPr="0018386D" w:rsidRDefault="008E2ED2" w:rsidP="00DD3106">
            <w:pPr>
              <w:pStyle w:val="TableText"/>
              <w:spacing w:before="40" w:after="40"/>
              <w:rPr>
                <w:szCs w:val="18"/>
                <w:lang w:bidi="th-TH"/>
              </w:rPr>
            </w:pPr>
            <w:r w:rsidRPr="0018386D">
              <w:rPr>
                <w:szCs w:val="18"/>
                <w:lang w:bidi="th-TH"/>
              </w:rPr>
              <w:t>GJ</w:t>
            </w:r>
          </w:p>
        </w:tc>
        <w:tc>
          <w:tcPr>
            <w:tcW w:w="991" w:type="dxa"/>
            <w:shd w:val="clear" w:color="auto" w:fill="D2DDE1" w:themeFill="background2"/>
            <w:noWrap/>
            <w:hideMark/>
          </w:tcPr>
          <w:p w14:paraId="07C836CA" w14:textId="77777777" w:rsidR="008E2ED2" w:rsidRPr="0018386D" w:rsidRDefault="008E2ED2" w:rsidP="00DD3106">
            <w:pPr>
              <w:pStyle w:val="TableText"/>
              <w:spacing w:before="40" w:after="40"/>
              <w:rPr>
                <w:szCs w:val="18"/>
                <w:lang w:bidi="th-TH"/>
              </w:rPr>
            </w:pPr>
            <w:r w:rsidRPr="0018386D">
              <w:rPr>
                <w:szCs w:val="18"/>
                <w:lang w:bidi="th-TH"/>
              </w:rPr>
              <w:t>66.4</w:t>
            </w:r>
          </w:p>
        </w:tc>
        <w:tc>
          <w:tcPr>
            <w:tcW w:w="960" w:type="dxa"/>
            <w:shd w:val="clear" w:color="auto" w:fill="FFFFFF" w:themeFill="background1"/>
            <w:noWrap/>
            <w:hideMark/>
          </w:tcPr>
          <w:p w14:paraId="26EA864D" w14:textId="77777777" w:rsidR="008E2ED2" w:rsidRPr="0018386D" w:rsidRDefault="008E2ED2" w:rsidP="00DD3106">
            <w:pPr>
              <w:pStyle w:val="TableText"/>
              <w:spacing w:before="40" w:after="40"/>
              <w:rPr>
                <w:szCs w:val="18"/>
                <w:lang w:bidi="th-TH"/>
              </w:rPr>
            </w:pPr>
            <w:r w:rsidRPr="0018386D">
              <w:rPr>
                <w:szCs w:val="18"/>
                <w:lang w:bidi="th-TH"/>
              </w:rPr>
              <w:t>65.9</w:t>
            </w:r>
          </w:p>
        </w:tc>
        <w:tc>
          <w:tcPr>
            <w:tcW w:w="960" w:type="dxa"/>
            <w:shd w:val="clear" w:color="auto" w:fill="FFFFFF" w:themeFill="background1"/>
            <w:noWrap/>
            <w:hideMark/>
          </w:tcPr>
          <w:p w14:paraId="0E2F042E" w14:textId="77777777" w:rsidR="008E2ED2" w:rsidRPr="0018386D" w:rsidRDefault="008E2ED2" w:rsidP="00DD3106">
            <w:pPr>
              <w:pStyle w:val="TableText"/>
              <w:spacing w:before="40" w:after="40"/>
              <w:rPr>
                <w:szCs w:val="18"/>
                <w:lang w:bidi="th-TH"/>
              </w:rPr>
            </w:pPr>
            <w:r w:rsidRPr="0018386D">
              <w:rPr>
                <w:szCs w:val="18"/>
                <w:lang w:bidi="th-TH"/>
              </w:rPr>
              <w:t>0.0133</w:t>
            </w:r>
          </w:p>
        </w:tc>
        <w:tc>
          <w:tcPr>
            <w:tcW w:w="1123" w:type="dxa"/>
            <w:shd w:val="clear" w:color="auto" w:fill="FFFFFF" w:themeFill="background1"/>
            <w:noWrap/>
            <w:hideMark/>
          </w:tcPr>
          <w:p w14:paraId="3CC001C6" w14:textId="265DBF98" w:rsidR="008E2ED2" w:rsidRPr="0018386D" w:rsidRDefault="008E2ED2" w:rsidP="00DD3106">
            <w:pPr>
              <w:pStyle w:val="TableText"/>
              <w:spacing w:before="40" w:after="40"/>
              <w:rPr>
                <w:szCs w:val="18"/>
                <w:lang w:bidi="th-TH"/>
              </w:rPr>
            </w:pPr>
            <w:r w:rsidRPr="0018386D">
              <w:rPr>
                <w:color w:val="000000" w:themeColor="text1"/>
                <w:szCs w:val="18"/>
                <w:lang w:bidi="th-TH"/>
              </w:rPr>
              <w:t>0.50</w:t>
            </w:r>
            <w:r w:rsidR="00874995" w:rsidRPr="0018386D">
              <w:rPr>
                <w:color w:val="000000" w:themeColor="text1"/>
                <w:szCs w:val="18"/>
                <w:lang w:bidi="th-TH"/>
              </w:rPr>
              <w:t>4</w:t>
            </w:r>
          </w:p>
        </w:tc>
        <w:tc>
          <w:tcPr>
            <w:tcW w:w="1222" w:type="dxa"/>
            <w:shd w:val="clear" w:color="auto" w:fill="FFFFFF" w:themeFill="background1"/>
            <w:noWrap/>
            <w:hideMark/>
          </w:tcPr>
          <w:p w14:paraId="2D10D116" w14:textId="5CEE33FD" w:rsidR="008E2ED2" w:rsidRPr="0018386D" w:rsidRDefault="00AD1332" w:rsidP="00DD3106">
            <w:pPr>
              <w:pStyle w:val="TableText"/>
              <w:spacing w:before="40" w:after="40"/>
              <w:rPr>
                <w:szCs w:val="18"/>
                <w:lang w:bidi="th-TH"/>
              </w:rPr>
            </w:pPr>
            <w:r w:rsidRPr="0018386D">
              <w:rPr>
                <w:szCs w:val="18"/>
              </w:rPr>
              <w:t>0.1%</w:t>
            </w:r>
          </w:p>
        </w:tc>
      </w:tr>
      <w:tr w:rsidR="00A23FB3" w:rsidRPr="0018386D" w14:paraId="46317513" w14:textId="77777777" w:rsidTr="00905A73">
        <w:tc>
          <w:tcPr>
            <w:tcW w:w="1985" w:type="dxa"/>
            <w:tcBorders>
              <w:top w:val="nil"/>
              <w:bottom w:val="single" w:sz="4" w:space="0" w:color="auto"/>
              <w:right w:val="single" w:sz="4" w:space="0" w:color="auto"/>
            </w:tcBorders>
            <w:shd w:val="clear" w:color="auto" w:fill="FFFFFF" w:themeFill="background1"/>
            <w:noWrap/>
            <w:hideMark/>
          </w:tcPr>
          <w:p w14:paraId="10936C5B" w14:textId="77777777" w:rsidR="008E2ED2" w:rsidRPr="0018386D" w:rsidRDefault="008E2ED2" w:rsidP="00DD3106">
            <w:pPr>
              <w:pStyle w:val="TableText"/>
              <w:spacing w:before="40" w:after="40"/>
              <w:rPr>
                <w:szCs w:val="18"/>
                <w:lang w:bidi="th-TH"/>
              </w:rPr>
            </w:pPr>
            <w:r w:rsidRPr="0018386D">
              <w:rPr>
                <w:szCs w:val="18"/>
                <w:lang w:bidi="th-TH"/>
              </w:rPr>
              <w:t> </w:t>
            </w:r>
          </w:p>
        </w:tc>
        <w:tc>
          <w:tcPr>
            <w:tcW w:w="709" w:type="dxa"/>
            <w:tcBorders>
              <w:left w:val="single" w:sz="4" w:space="0" w:color="auto"/>
            </w:tcBorders>
            <w:shd w:val="clear" w:color="auto" w:fill="FFFFFF" w:themeFill="background1"/>
            <w:noWrap/>
            <w:hideMark/>
          </w:tcPr>
          <w:p w14:paraId="02B0A1AD" w14:textId="77777777" w:rsidR="008E2ED2" w:rsidRPr="0018386D" w:rsidRDefault="008E2ED2" w:rsidP="00DD3106">
            <w:pPr>
              <w:pStyle w:val="TableText"/>
              <w:spacing w:before="40" w:after="40"/>
              <w:rPr>
                <w:szCs w:val="18"/>
                <w:lang w:bidi="th-TH"/>
              </w:rPr>
            </w:pPr>
            <w:r w:rsidRPr="0018386D">
              <w:rPr>
                <w:szCs w:val="18"/>
                <w:lang w:bidi="th-TH"/>
              </w:rPr>
              <w:t>litre</w:t>
            </w:r>
          </w:p>
        </w:tc>
        <w:tc>
          <w:tcPr>
            <w:tcW w:w="991" w:type="dxa"/>
            <w:shd w:val="clear" w:color="auto" w:fill="D2DDE1" w:themeFill="background2"/>
            <w:noWrap/>
            <w:hideMark/>
          </w:tcPr>
          <w:p w14:paraId="4D370951" w14:textId="77777777" w:rsidR="008E2ED2" w:rsidRPr="0018386D" w:rsidRDefault="008E2ED2" w:rsidP="00DD3106">
            <w:pPr>
              <w:pStyle w:val="TableText"/>
              <w:spacing w:before="40" w:after="40"/>
              <w:rPr>
                <w:szCs w:val="18"/>
                <w:lang w:bidi="th-TH"/>
              </w:rPr>
            </w:pPr>
            <w:r w:rsidRPr="0018386D">
              <w:rPr>
                <w:szCs w:val="18"/>
                <w:lang w:bidi="th-TH"/>
              </w:rPr>
              <w:t>2.25</w:t>
            </w:r>
          </w:p>
        </w:tc>
        <w:tc>
          <w:tcPr>
            <w:tcW w:w="960" w:type="dxa"/>
            <w:shd w:val="clear" w:color="auto" w:fill="FFFFFF" w:themeFill="background1"/>
            <w:noWrap/>
            <w:hideMark/>
          </w:tcPr>
          <w:p w14:paraId="536D4D5B" w14:textId="77777777" w:rsidR="008E2ED2" w:rsidRPr="0018386D" w:rsidRDefault="008E2ED2" w:rsidP="00DD3106">
            <w:pPr>
              <w:pStyle w:val="TableText"/>
              <w:spacing w:before="40" w:after="40"/>
              <w:rPr>
                <w:szCs w:val="18"/>
                <w:lang w:bidi="th-TH"/>
              </w:rPr>
            </w:pPr>
            <w:r w:rsidRPr="0018386D">
              <w:rPr>
                <w:szCs w:val="18"/>
                <w:lang w:bidi="th-TH"/>
              </w:rPr>
              <w:t>2.23</w:t>
            </w:r>
          </w:p>
        </w:tc>
        <w:tc>
          <w:tcPr>
            <w:tcW w:w="960" w:type="dxa"/>
            <w:shd w:val="clear" w:color="auto" w:fill="FFFFFF" w:themeFill="background1"/>
            <w:noWrap/>
            <w:hideMark/>
          </w:tcPr>
          <w:p w14:paraId="233D803D" w14:textId="77777777" w:rsidR="008E2ED2" w:rsidRPr="0018386D" w:rsidRDefault="008E2ED2" w:rsidP="00DD3106">
            <w:pPr>
              <w:pStyle w:val="TableText"/>
              <w:spacing w:before="40" w:after="40"/>
              <w:rPr>
                <w:szCs w:val="18"/>
                <w:lang w:bidi="th-TH"/>
              </w:rPr>
            </w:pPr>
            <w:r w:rsidRPr="0018386D">
              <w:rPr>
                <w:szCs w:val="18"/>
                <w:lang w:bidi="th-TH"/>
              </w:rPr>
              <w:t>0.0005</w:t>
            </w:r>
          </w:p>
        </w:tc>
        <w:tc>
          <w:tcPr>
            <w:tcW w:w="1123" w:type="dxa"/>
            <w:shd w:val="clear" w:color="auto" w:fill="FFFFFF" w:themeFill="background1"/>
            <w:noWrap/>
            <w:hideMark/>
          </w:tcPr>
          <w:p w14:paraId="096D7862" w14:textId="77777777" w:rsidR="008E2ED2" w:rsidRPr="0018386D" w:rsidRDefault="008E2ED2" w:rsidP="00DD3106">
            <w:pPr>
              <w:pStyle w:val="TableText"/>
              <w:spacing w:before="40" w:after="40"/>
              <w:rPr>
                <w:szCs w:val="18"/>
                <w:lang w:bidi="th-TH"/>
              </w:rPr>
            </w:pPr>
            <w:r w:rsidRPr="0018386D">
              <w:rPr>
                <w:szCs w:val="18"/>
                <w:lang w:bidi="th-TH"/>
              </w:rPr>
              <w:t>0.0171</w:t>
            </w:r>
          </w:p>
        </w:tc>
        <w:tc>
          <w:tcPr>
            <w:tcW w:w="1222" w:type="dxa"/>
            <w:shd w:val="clear" w:color="auto" w:fill="FFFFFF" w:themeFill="background1"/>
            <w:noWrap/>
            <w:hideMark/>
          </w:tcPr>
          <w:p w14:paraId="47B0015F" w14:textId="682A9789" w:rsidR="008E2ED2" w:rsidRPr="0018386D" w:rsidRDefault="00AD1332" w:rsidP="00DD3106">
            <w:pPr>
              <w:pStyle w:val="TableText"/>
              <w:spacing w:before="40" w:after="40"/>
              <w:rPr>
                <w:szCs w:val="18"/>
                <w:lang w:bidi="th-TH"/>
              </w:rPr>
            </w:pPr>
            <w:r w:rsidRPr="0018386D">
              <w:rPr>
                <w:szCs w:val="18"/>
              </w:rPr>
              <w:t>0.1%</w:t>
            </w:r>
          </w:p>
        </w:tc>
      </w:tr>
    </w:tbl>
    <w:p w14:paraId="2E2026BC" w14:textId="55372F19" w:rsidR="001C2C5A" w:rsidRPr="0018386D" w:rsidRDefault="0022416C" w:rsidP="00DD3106">
      <w:pPr>
        <w:pStyle w:val="Note"/>
        <w:spacing w:after="0"/>
      </w:pPr>
      <w:r w:rsidRPr="0018386D">
        <w:rPr>
          <w:b/>
          <w:bCs/>
        </w:rPr>
        <w:t>Note</w:t>
      </w:r>
      <w:r w:rsidR="001C2C5A" w:rsidRPr="0018386D">
        <w:rPr>
          <w:b/>
          <w:bCs/>
        </w:rPr>
        <w:t>s</w:t>
      </w:r>
      <w:r w:rsidR="00CB487A" w:rsidRPr="0018386D">
        <w:rPr>
          <w:b/>
          <w:bCs/>
        </w:rPr>
        <w:t>:</w:t>
      </w:r>
      <w:r w:rsidR="00917653" w:rsidRPr="0018386D">
        <w:rPr>
          <w:b/>
          <w:bCs/>
        </w:rPr>
        <w:t xml:space="preserve"> </w:t>
      </w:r>
      <w:bookmarkStart w:id="168" w:name="_Hlk532755132"/>
      <w:r w:rsidR="001919D9" w:rsidRPr="0018386D">
        <w:rPr>
          <w:b/>
          <w:bCs/>
        </w:rPr>
        <w:t xml:space="preserve"> </w:t>
      </w:r>
      <w:r w:rsidR="5552D81E" w:rsidRPr="0018386D">
        <w:t xml:space="preserve">No estimates are available for marine diesel as </w:t>
      </w:r>
      <w:r w:rsidR="00ED7BE0" w:rsidRPr="0018386D">
        <w:t xml:space="preserve">Marsden Point </w:t>
      </w:r>
      <w:r w:rsidR="0086469C" w:rsidRPr="0018386D">
        <w:t>o</w:t>
      </w:r>
      <w:r w:rsidR="00ED7BE0" w:rsidRPr="0018386D">
        <w:t xml:space="preserve">il </w:t>
      </w:r>
      <w:r w:rsidR="0086469C" w:rsidRPr="0018386D">
        <w:t>r</w:t>
      </w:r>
      <w:r w:rsidR="00ED7BE0" w:rsidRPr="0018386D">
        <w:t>efinery</w:t>
      </w:r>
      <w:r w:rsidR="5552D81E" w:rsidRPr="0018386D">
        <w:t xml:space="preserve"> has stopped making the marine diesel blend. If an organisation was using marine diesel, it is now likely to be using light fuel oil; </w:t>
      </w:r>
      <w:r w:rsidR="0086469C" w:rsidRPr="0018386D">
        <w:t xml:space="preserve">use </w:t>
      </w:r>
      <w:r w:rsidR="5552D81E" w:rsidRPr="0018386D">
        <w:t>the corresponding emission factor for light fuel oil instead.</w:t>
      </w:r>
    </w:p>
    <w:p w14:paraId="1F4E85C2" w14:textId="0D4AC24D" w:rsidR="009918B3" w:rsidRPr="0018386D" w:rsidRDefault="009918B3" w:rsidP="00DD3106">
      <w:pPr>
        <w:pStyle w:val="Note"/>
        <w:spacing w:before="60"/>
      </w:pPr>
      <w:r w:rsidRPr="0018386D">
        <w:t xml:space="preserve">These petrol emission factors </w:t>
      </w:r>
      <w:r w:rsidR="003F29C9" w:rsidRPr="0018386D">
        <w:t xml:space="preserve">may be different </w:t>
      </w:r>
      <w:r w:rsidR="0086469C" w:rsidRPr="0018386D">
        <w:t>from</w:t>
      </w:r>
      <w:r w:rsidR="003F29C9" w:rsidRPr="0018386D">
        <w:t xml:space="preserve"> those in the ETS regulations.</w:t>
      </w:r>
      <w:r w:rsidRPr="0018386D">
        <w:rPr>
          <w:rStyle w:val="FootnoteReference"/>
          <w:sz w:val="18"/>
          <w:szCs w:val="18"/>
        </w:rPr>
        <w:footnoteReference w:id="18"/>
      </w:r>
    </w:p>
    <w:p w14:paraId="09B2C6EF" w14:textId="5B60C790" w:rsidR="0041106E" w:rsidRPr="0018386D" w:rsidRDefault="00301928" w:rsidP="00DD3106">
      <w:pPr>
        <w:pStyle w:val="Heading3"/>
        <w:numPr>
          <w:ilvl w:val="2"/>
          <w:numId w:val="8"/>
        </w:numPr>
      </w:pPr>
      <w:bookmarkStart w:id="169" w:name="_Toc532904860"/>
      <w:bookmarkEnd w:id="168"/>
      <w:r w:rsidRPr="0018386D">
        <w:t xml:space="preserve">GHG </w:t>
      </w:r>
      <w:r w:rsidR="0041106E" w:rsidRPr="0018386D">
        <w:t>inventory development</w:t>
      </w:r>
      <w:bookmarkEnd w:id="169"/>
    </w:p>
    <w:p w14:paraId="2A8670CE" w14:textId="2A9EB3C1" w:rsidR="0041106E" w:rsidRPr="0018386D" w:rsidRDefault="0041106E" w:rsidP="00DD3106">
      <w:pPr>
        <w:pStyle w:val="BodyText"/>
      </w:pPr>
      <w:r w:rsidRPr="0018386D">
        <w:t xml:space="preserve">To calculate transport fuel emissions, </w:t>
      </w:r>
      <w:r w:rsidR="0006587A" w:rsidRPr="0018386D">
        <w:t xml:space="preserve">first </w:t>
      </w:r>
      <w:r w:rsidRPr="0018386D">
        <w:t>collect data on the quantity of fuel</w:t>
      </w:r>
      <w:r w:rsidR="0086469C" w:rsidRPr="0018386D">
        <w:t>,</w:t>
      </w:r>
      <w:r w:rsidRPr="0018386D">
        <w:t xml:space="preserve"> </w:t>
      </w:r>
      <w:bookmarkStart w:id="170" w:name="_Hlk135054576"/>
      <w:r w:rsidR="00FA1DDB" w:rsidRPr="0018386D">
        <w:t>a</w:t>
      </w:r>
      <w:r w:rsidR="0006587A" w:rsidRPr="0018386D">
        <w:t xml:space="preserve">nd then multiply this by the appropriate </w:t>
      </w:r>
      <w:r w:rsidR="00CC6B4B" w:rsidRPr="0018386D">
        <w:t>emission</w:t>
      </w:r>
      <w:r w:rsidR="0006587A" w:rsidRPr="0018386D">
        <w:t xml:space="preserve"> factor from the table.</w:t>
      </w:r>
      <w:r w:rsidRPr="0018386D">
        <w:t xml:space="preserve"> </w:t>
      </w:r>
      <w:bookmarkEnd w:id="170"/>
      <w:r w:rsidR="00EA3E4C" w:rsidRPr="0018386D">
        <w:t xml:space="preserve">Applying the equation </w:t>
      </w:r>
      <w:r w:rsidR="00A71EB9" w:rsidRPr="0018386D">
        <w:t>E</w:t>
      </w:r>
      <w:r w:rsidR="00806DE4" w:rsidRPr="0018386D">
        <w:t> </w:t>
      </w:r>
      <w:r w:rsidR="00A71EB9" w:rsidRPr="0018386D">
        <w:t>=</w:t>
      </w:r>
      <w:r w:rsidR="00806DE4" w:rsidRPr="0018386D">
        <w:t> </w:t>
      </w:r>
      <w:r w:rsidR="00A71EB9" w:rsidRPr="0018386D">
        <w:t>Q</w:t>
      </w:r>
      <w:r w:rsidR="00806DE4" w:rsidRPr="0018386D">
        <w:t> </w:t>
      </w:r>
      <w:r w:rsidR="00A71EB9" w:rsidRPr="0018386D">
        <w:t>x</w:t>
      </w:r>
      <w:r w:rsidR="00806DE4" w:rsidRPr="0018386D">
        <w:t> </w:t>
      </w:r>
      <w:r w:rsidR="00A71EB9" w:rsidRPr="0018386D">
        <w:t>F</w:t>
      </w:r>
      <w:r w:rsidR="00806DE4" w:rsidRPr="0018386D">
        <w:t> </w:t>
      </w:r>
      <w:r w:rsidR="00A71EB9" w:rsidRPr="0018386D">
        <w:t>(</w:t>
      </w:r>
      <w:hyperlink w:anchor="_How_to_quantify">
        <w:r w:rsidR="39A468F1" w:rsidRPr="0018386D">
          <w:rPr>
            <w:rStyle w:val="Hyperlink"/>
          </w:rPr>
          <w:t>s</w:t>
        </w:r>
        <w:r w:rsidR="269CE652" w:rsidRPr="0018386D">
          <w:rPr>
            <w:rStyle w:val="Hyperlink"/>
          </w:rPr>
          <w:t>ection</w:t>
        </w:r>
        <w:r w:rsidR="269CE652" w:rsidRPr="0018386D">
          <w:rPr>
            <w:rStyle w:val="Hyperlink"/>
            <w:color w:val="auto"/>
          </w:rPr>
          <w:t xml:space="preserve"> </w:t>
        </w:r>
        <w:r w:rsidR="269CE652" w:rsidRPr="0018386D">
          <w:rPr>
            <w:rStyle w:val="Hyperlink"/>
          </w:rPr>
          <w:t>2</w:t>
        </w:r>
      </w:hyperlink>
      <w:r w:rsidR="047BC955" w:rsidRPr="0018386D">
        <w:rPr>
          <w:rStyle w:val="Hyperlink"/>
        </w:rPr>
        <w:t>)</w:t>
      </w:r>
      <w:r w:rsidR="5E0CABB6" w:rsidRPr="0018386D">
        <w:t>, this means:</w:t>
      </w:r>
    </w:p>
    <w:p w14:paraId="0503C539" w14:textId="2B37F73C" w:rsidR="00A71EB9" w:rsidRPr="0018386D" w:rsidRDefault="00A71EB9" w:rsidP="00DD3106">
      <w:pPr>
        <w:pStyle w:val="BodyT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02A2483C" w14:textId="0B4E465F" w:rsidR="0041106E" w:rsidRPr="0018386D" w:rsidRDefault="00ED6FAB" w:rsidP="00DD3106">
      <w:pPr>
        <w:pStyle w:val="BodyText"/>
        <w:tabs>
          <w:tab w:val="left" w:pos="680"/>
          <w:tab w:val="left" w:pos="1134"/>
        </w:tabs>
        <w:contextualSpacing/>
        <w:jc w:val="both"/>
      </w:pPr>
      <w:r w:rsidRPr="0018386D">
        <w:t>Q</w:t>
      </w:r>
      <w:r w:rsidRPr="0018386D">
        <w:tab/>
      </w:r>
      <w:r w:rsidR="0041106E" w:rsidRPr="0018386D">
        <w:t>=</w:t>
      </w:r>
      <w:r w:rsidRPr="0018386D">
        <w:tab/>
      </w:r>
      <w:r w:rsidR="0041106E" w:rsidRPr="0018386D">
        <w:t>quantity of fuel used (unit)</w:t>
      </w:r>
    </w:p>
    <w:p w14:paraId="26B9DE85" w14:textId="0377EA20" w:rsidR="0041106E" w:rsidRPr="0018386D" w:rsidRDefault="00ED6FAB" w:rsidP="00DD3106">
      <w:pPr>
        <w:pStyle w:val="BodyText"/>
        <w:tabs>
          <w:tab w:val="left" w:pos="680"/>
          <w:tab w:val="left" w:pos="1134"/>
        </w:tabs>
        <w:contextualSpacing/>
        <w:jc w:val="both"/>
      </w:pPr>
      <w:r w:rsidRPr="0018386D">
        <w:t>F</w:t>
      </w:r>
      <w:r w:rsidRPr="0018386D">
        <w:tab/>
        <w:t>=</w:t>
      </w:r>
      <w:r w:rsidRPr="0018386D">
        <w:tab/>
      </w:r>
      <w:r w:rsidR="0041106E" w:rsidRPr="0018386D">
        <w:t xml:space="preserve">appropriate emission factors from </w:t>
      </w:r>
      <w:hyperlink w:anchor="table4" w:history="1">
        <w:r w:rsidR="00E424AB" w:rsidRPr="0018386D">
          <w:rPr>
            <w:rStyle w:val="Hyperlink"/>
          </w:rPr>
          <w:t>table 4</w:t>
        </w:r>
      </w:hyperlink>
    </w:p>
    <w:p w14:paraId="439A5B0D" w14:textId="7549CF30" w:rsidR="0041106E" w:rsidRPr="0018386D" w:rsidRDefault="0041106E" w:rsidP="00DD3106">
      <w:pPr>
        <w:pStyle w:val="BodyText"/>
        <w:spacing w:after="240"/>
      </w:pPr>
      <w:r w:rsidRPr="0018386D">
        <w:t xml:space="preserve">All organisations across sectors typically report emissions using data on the amount of fuel used during the reporting period. Quantified units of fuel weight or volume (commonly in litres) are preferable. If this information is unavailable see </w:t>
      </w:r>
      <w:hyperlink w:anchor="_3.3.2_When_no" w:history="1">
        <w:r w:rsidRPr="0018386D">
          <w:rPr>
            <w:rStyle w:val="Hyperlink"/>
          </w:rPr>
          <w:t>section</w:t>
        </w:r>
        <w:r w:rsidR="00DE4319" w:rsidRPr="0018386D">
          <w:rPr>
            <w:rStyle w:val="Hyperlink"/>
          </w:rPr>
          <w:t xml:space="preserve"> </w:t>
        </w:r>
        <w:r w:rsidR="00215A70" w:rsidRPr="0018386D">
          <w:rPr>
            <w:rStyle w:val="Hyperlink"/>
          </w:rPr>
          <w:t>3.3.2</w:t>
        </w:r>
      </w:hyperlink>
      <w:r w:rsidR="00AC2F56" w:rsidRPr="0018386D">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564258" w:rsidRPr="0018386D" w:rsidDel="00D5390D" w14:paraId="255CA5D8" w14:textId="77777777" w:rsidTr="00E0423B">
        <w:tc>
          <w:tcPr>
            <w:tcW w:w="8500" w:type="dxa"/>
            <w:tcBorders>
              <w:top w:val="single" w:sz="4" w:space="0" w:color="0F7B7D"/>
              <w:left w:val="single" w:sz="4" w:space="0" w:color="0F7B7D"/>
              <w:bottom w:val="nil"/>
              <w:right w:val="single" w:sz="4" w:space="0" w:color="0F7B7D"/>
            </w:tcBorders>
            <w:shd w:val="clear" w:color="auto" w:fill="0F7B7D"/>
            <w:vAlign w:val="center"/>
          </w:tcPr>
          <w:p w14:paraId="5074A14B" w14:textId="1E9A1A10" w:rsidR="00564258" w:rsidRPr="0018386D" w:rsidDel="00D5390D" w:rsidRDefault="00CF34FF" w:rsidP="00DD3106">
            <w:pPr>
              <w:pStyle w:val="Casestudyheading"/>
            </w:pPr>
            <w:bookmarkStart w:id="171" w:name="_Hlk532556882"/>
            <w:r w:rsidRPr="0018386D">
              <w:lastRenderedPageBreak/>
              <w:t xml:space="preserve">transport fuel: </w:t>
            </w:r>
            <w:r w:rsidR="00564258" w:rsidRPr="0018386D">
              <w:t>Example Calculation</w:t>
            </w:r>
          </w:p>
        </w:tc>
      </w:tr>
      <w:tr w:rsidR="00564258" w:rsidRPr="0018386D" w14:paraId="17FFE2BA" w14:textId="77777777" w:rsidTr="00E0423B">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E532303" w14:textId="53365A97" w:rsidR="00564258" w:rsidRPr="0018386D" w:rsidRDefault="00564258" w:rsidP="00DD3106">
            <w:pPr>
              <w:pStyle w:val="Boxtext"/>
              <w:keepNext/>
              <w:spacing w:after="80"/>
            </w:pPr>
            <w:r w:rsidRPr="0018386D">
              <w:t xml:space="preserve">An organisation has 15 petrol vehicles. They use a total of 40,000 litres of regular petrol in the reporting year. </w:t>
            </w:r>
          </w:p>
          <w:p w14:paraId="0673183D" w14:textId="488F4597" w:rsidR="00564258" w:rsidRPr="0018386D" w:rsidRDefault="00564258" w:rsidP="00DD3106">
            <w:pPr>
              <w:pStyle w:val="Boxtext"/>
              <w:tabs>
                <w:tab w:val="left" w:pos="2934"/>
                <w:tab w:val="left" w:pos="4809"/>
              </w:tabs>
              <w:spacing w:before="20" w:after="20"/>
              <w:ind w:left="850"/>
            </w:pPr>
            <w:r w:rsidRPr="0018386D">
              <w:t>CO</w:t>
            </w:r>
            <w:r w:rsidRPr="0018386D">
              <w:rPr>
                <w:vertAlign w:val="subscript"/>
              </w:rPr>
              <w:t>2</w:t>
            </w:r>
            <w:r w:rsidRPr="0018386D">
              <w:t xml:space="preserve"> emissions</w:t>
            </w:r>
            <w:r w:rsidRPr="0018386D">
              <w:tab/>
              <w:t xml:space="preserve">= 40,000 </w:t>
            </w:r>
            <w:r w:rsidRPr="0018386D">
              <w:rPr>
                <w:rFonts w:cs="Calibri"/>
              </w:rPr>
              <w:t>×</w:t>
            </w:r>
            <w:r w:rsidRPr="0018386D">
              <w:t xml:space="preserve"> 2.35</w:t>
            </w:r>
            <w:r w:rsidRPr="0018386D">
              <w:tab/>
            </w:r>
            <w:r w:rsidR="00033CC3" w:rsidRPr="0018386D">
              <w:t xml:space="preserve"> </w:t>
            </w:r>
            <w:r w:rsidRPr="0018386D">
              <w:t xml:space="preserve">= </w:t>
            </w:r>
            <w:r w:rsidR="00AE52EB" w:rsidRPr="0018386D">
              <w:t>94,000</w:t>
            </w:r>
            <w:r w:rsidRPr="0018386D">
              <w:t xml:space="preserve"> kg CO</w:t>
            </w:r>
            <w:r w:rsidRPr="0018386D">
              <w:rPr>
                <w:vertAlign w:val="subscript"/>
              </w:rPr>
              <w:t>2</w:t>
            </w:r>
            <w:r w:rsidRPr="0018386D">
              <w:t xml:space="preserve"> </w:t>
            </w:r>
          </w:p>
          <w:p w14:paraId="0875903D" w14:textId="4D1035E2" w:rsidR="00564258" w:rsidRPr="0018386D" w:rsidRDefault="00564258" w:rsidP="00DD3106">
            <w:pPr>
              <w:pStyle w:val="Boxtext"/>
              <w:tabs>
                <w:tab w:val="left" w:pos="2934"/>
                <w:tab w:val="left" w:pos="4809"/>
              </w:tabs>
              <w:spacing w:before="20" w:after="20"/>
              <w:ind w:left="850"/>
            </w:pPr>
            <w:r w:rsidRPr="0018386D">
              <w:t>CH</w:t>
            </w:r>
            <w:r w:rsidRPr="0018386D">
              <w:rPr>
                <w:vertAlign w:val="subscript"/>
              </w:rPr>
              <w:t>4</w:t>
            </w:r>
            <w:r w:rsidRPr="0018386D">
              <w:t xml:space="preserve"> emissions</w:t>
            </w:r>
            <w:r w:rsidRPr="0018386D">
              <w:tab/>
              <w:t xml:space="preserve">= 40,000 </w:t>
            </w:r>
            <w:r w:rsidRPr="0018386D">
              <w:rPr>
                <w:rFonts w:cs="Calibri"/>
              </w:rPr>
              <w:t>×</w:t>
            </w:r>
            <w:r w:rsidRPr="0018386D">
              <w:t xml:space="preserve"> </w:t>
            </w:r>
            <w:r w:rsidR="00A05F1E" w:rsidRPr="0018386D">
              <w:t>0.0309</w:t>
            </w:r>
            <w:r w:rsidRPr="0018386D">
              <w:tab/>
            </w:r>
            <w:r w:rsidR="00033CC3" w:rsidRPr="0018386D">
              <w:t xml:space="preserve"> </w:t>
            </w:r>
            <w:r w:rsidRPr="0018386D">
              <w:t xml:space="preserve">= </w:t>
            </w:r>
            <w:r w:rsidR="00CA6F12" w:rsidRPr="0018386D">
              <w:t xml:space="preserve">1,236 </w:t>
            </w:r>
            <w:r w:rsidRPr="0018386D">
              <w:t>kg CO</w:t>
            </w:r>
            <w:r w:rsidRPr="0018386D">
              <w:rPr>
                <w:vertAlign w:val="subscript"/>
              </w:rPr>
              <w:t>2</w:t>
            </w:r>
            <w:r w:rsidRPr="0018386D">
              <w:t xml:space="preserve">-e </w:t>
            </w:r>
          </w:p>
          <w:p w14:paraId="212B30DB" w14:textId="70C5EB95" w:rsidR="00564258" w:rsidRPr="0018386D" w:rsidRDefault="00564258" w:rsidP="00DD3106">
            <w:pPr>
              <w:pStyle w:val="Boxtext"/>
              <w:tabs>
                <w:tab w:val="left" w:pos="2934"/>
                <w:tab w:val="left" w:pos="4809"/>
              </w:tabs>
              <w:spacing w:before="20" w:after="20"/>
              <w:ind w:left="850"/>
            </w:pPr>
            <w:r w:rsidRPr="0018386D">
              <w:t>N</w:t>
            </w:r>
            <w:r w:rsidRPr="0018386D">
              <w:rPr>
                <w:vertAlign w:val="subscript"/>
              </w:rPr>
              <w:t>2</w:t>
            </w:r>
            <w:r w:rsidRPr="0018386D">
              <w:t>O emissions</w:t>
            </w:r>
            <w:r w:rsidRPr="0018386D">
              <w:tab/>
              <w:t xml:space="preserve">= 40,000 </w:t>
            </w:r>
            <w:r w:rsidRPr="0018386D">
              <w:rPr>
                <w:rFonts w:cs="Calibri"/>
              </w:rPr>
              <w:t>×</w:t>
            </w:r>
            <w:r w:rsidRPr="0018386D">
              <w:t xml:space="preserve"> </w:t>
            </w:r>
            <w:r w:rsidR="00347937" w:rsidRPr="0018386D">
              <w:t>0.07</w:t>
            </w:r>
            <w:r w:rsidR="00335F5F" w:rsidRPr="0018386D">
              <w:t>10</w:t>
            </w:r>
            <w:r w:rsidRPr="0018386D">
              <w:tab/>
            </w:r>
            <w:r w:rsidR="00033CC3" w:rsidRPr="0018386D">
              <w:t xml:space="preserve"> </w:t>
            </w:r>
            <w:r w:rsidRPr="0018386D">
              <w:t xml:space="preserve">= </w:t>
            </w:r>
            <w:r w:rsidR="00CA6F12" w:rsidRPr="0018386D">
              <w:t>2,8</w:t>
            </w:r>
            <w:r w:rsidR="003853E5" w:rsidRPr="0018386D">
              <w:t>40</w:t>
            </w:r>
            <w:r w:rsidRPr="0018386D">
              <w:t xml:space="preserve"> kg CO</w:t>
            </w:r>
            <w:r w:rsidRPr="0018386D">
              <w:rPr>
                <w:vertAlign w:val="subscript"/>
              </w:rPr>
              <w:t>2</w:t>
            </w:r>
            <w:r w:rsidRPr="0018386D">
              <w:t xml:space="preserve">-e </w:t>
            </w:r>
          </w:p>
          <w:p w14:paraId="10FDF9FC" w14:textId="5A85E17C" w:rsidR="00564258" w:rsidRPr="0018386D" w:rsidRDefault="00564258" w:rsidP="00DD3106">
            <w:pPr>
              <w:pStyle w:val="Boxtext"/>
              <w:tabs>
                <w:tab w:val="left" w:pos="2934"/>
                <w:tab w:val="left" w:pos="4809"/>
              </w:tabs>
              <w:spacing w:before="20" w:after="20"/>
              <w:ind w:left="850"/>
            </w:pPr>
            <w:r w:rsidRPr="0018386D">
              <w:t>Total CO</w:t>
            </w:r>
            <w:r w:rsidRPr="0018386D">
              <w:rPr>
                <w:vertAlign w:val="subscript"/>
              </w:rPr>
              <w:t>2</w:t>
            </w:r>
            <w:r w:rsidRPr="0018386D">
              <w:t>-e emissions</w:t>
            </w:r>
            <w:r w:rsidRPr="0018386D">
              <w:tab/>
              <w:t xml:space="preserve">= 40,000 </w:t>
            </w:r>
            <w:r w:rsidRPr="0018386D">
              <w:rPr>
                <w:rFonts w:cs="Calibri"/>
              </w:rPr>
              <w:t>×</w:t>
            </w:r>
            <w:r w:rsidRPr="0018386D">
              <w:t xml:space="preserve"> </w:t>
            </w:r>
            <w:r w:rsidR="00347937" w:rsidRPr="0018386D">
              <w:t>2.4</w:t>
            </w:r>
            <w:r w:rsidR="00A4577C" w:rsidRPr="0018386D">
              <w:t>6</w:t>
            </w:r>
            <w:r w:rsidRPr="0018386D">
              <w:tab/>
              <w:t xml:space="preserve">= </w:t>
            </w:r>
            <w:r w:rsidR="007F42D2" w:rsidRPr="0018386D">
              <w:t>98,</w:t>
            </w:r>
            <w:r w:rsidR="00D90120" w:rsidRPr="0018386D">
              <w:t>400</w:t>
            </w:r>
            <w:r w:rsidRPr="0018386D">
              <w:t xml:space="preserve"> kg CO</w:t>
            </w:r>
            <w:r w:rsidRPr="0018386D">
              <w:rPr>
                <w:vertAlign w:val="subscript"/>
              </w:rPr>
              <w:t>2</w:t>
            </w:r>
            <w:r w:rsidRPr="0018386D">
              <w:t xml:space="preserve">-e </w:t>
            </w:r>
          </w:p>
          <w:p w14:paraId="7A6BE367" w14:textId="2E32F5C8" w:rsidR="00564258" w:rsidRPr="0018386D" w:rsidRDefault="00741514" w:rsidP="00DD3106">
            <w:pPr>
              <w:pStyle w:val="Boxtext"/>
              <w:spacing w:after="180"/>
            </w:pPr>
            <w:r w:rsidRPr="0018386D">
              <w:rPr>
                <w:sz w:val="18"/>
              </w:rPr>
              <w:t>N</w:t>
            </w:r>
            <w:r w:rsidR="00564258" w:rsidRPr="0018386D">
              <w:rPr>
                <w:sz w:val="18"/>
              </w:rPr>
              <w:t>ote</w:t>
            </w:r>
            <w:r w:rsidR="00CA1B76" w:rsidRPr="0018386D">
              <w:rPr>
                <w:sz w:val="18"/>
              </w:rPr>
              <w:t>:</w:t>
            </w:r>
            <w:r w:rsidR="00564258" w:rsidRPr="0018386D">
              <w:rPr>
                <w:sz w:val="18"/>
              </w:rPr>
              <w:t xml:space="preserve"> </w:t>
            </w:r>
            <w:r w:rsidR="00CA1B76" w:rsidRPr="0018386D">
              <w:rPr>
                <w:sz w:val="18"/>
              </w:rPr>
              <w:t>N</w:t>
            </w:r>
            <w:r w:rsidR="00564258" w:rsidRPr="0018386D">
              <w:rPr>
                <w:sz w:val="18"/>
              </w:rPr>
              <w:t>umbers may not add due to rounding</w:t>
            </w:r>
            <w:r w:rsidR="00415675" w:rsidRPr="0018386D">
              <w:rPr>
                <w:sz w:val="18"/>
              </w:rPr>
              <w:t>.</w:t>
            </w:r>
          </w:p>
        </w:tc>
      </w:tr>
    </w:tbl>
    <w:p w14:paraId="13A3DE30" w14:textId="48D2B22B" w:rsidR="0041106E" w:rsidRPr="0018386D" w:rsidRDefault="00AC2F56" w:rsidP="00DD3106">
      <w:pPr>
        <w:pStyle w:val="Heading3"/>
        <w:spacing w:before="400"/>
      </w:pPr>
      <w:bookmarkStart w:id="172" w:name="_3.3.2_When_no"/>
      <w:bookmarkStart w:id="173" w:name="_Toc532904861"/>
      <w:bookmarkStart w:id="174" w:name="_Ref532905802"/>
      <w:bookmarkStart w:id="175" w:name="_Ref607253"/>
      <w:bookmarkEnd w:id="171"/>
      <w:bookmarkEnd w:id="172"/>
      <w:r w:rsidRPr="0018386D">
        <w:t>3.3.2</w:t>
      </w:r>
      <w:r w:rsidR="00936D52" w:rsidRPr="0018386D">
        <w:tab/>
      </w:r>
      <w:r w:rsidR="0041106E" w:rsidRPr="0018386D">
        <w:t>Whe</w:t>
      </w:r>
      <w:r w:rsidR="0069175A" w:rsidRPr="0018386D">
        <w:t>n</w:t>
      </w:r>
      <w:r w:rsidR="0041106E" w:rsidRPr="0018386D">
        <w:t xml:space="preserve"> no fuel data </w:t>
      </w:r>
      <w:r w:rsidR="00A863CE" w:rsidRPr="0018386D">
        <w:t xml:space="preserve">are </w:t>
      </w:r>
      <w:proofErr w:type="gramStart"/>
      <w:r w:rsidR="0041106E" w:rsidRPr="0018386D">
        <w:t>available</w:t>
      </w:r>
      <w:bookmarkEnd w:id="173"/>
      <w:bookmarkEnd w:id="174"/>
      <w:bookmarkEnd w:id="175"/>
      <w:proofErr w:type="gramEnd"/>
    </w:p>
    <w:p w14:paraId="108F9076" w14:textId="557D62E6" w:rsidR="0041106E" w:rsidRPr="0018386D" w:rsidRDefault="0041106E" w:rsidP="00DD3106">
      <w:pPr>
        <w:pStyle w:val="BodyText"/>
      </w:pPr>
      <w:bookmarkStart w:id="176" w:name="_Hlk532891162"/>
      <w:r w:rsidRPr="0018386D">
        <w:t>If your records only provide information on kilometres</w:t>
      </w:r>
      <w:r w:rsidR="00564258" w:rsidRPr="0018386D">
        <w:t xml:space="preserve"> (km)</w:t>
      </w:r>
      <w:r w:rsidRPr="0018386D">
        <w:t xml:space="preserve"> travelled, and you do not have information on fuel</w:t>
      </w:r>
      <w:r w:rsidR="0069175A" w:rsidRPr="0018386D">
        <w:t xml:space="preserve"> </w:t>
      </w:r>
      <w:r w:rsidRPr="0018386D">
        <w:t xml:space="preserve">use, see </w:t>
      </w:r>
      <w:hyperlink w:anchor="_Indirect_business_related_1" w:history="1">
        <w:r w:rsidR="00564258" w:rsidRPr="0018386D">
          <w:rPr>
            <w:rStyle w:val="Hyperlink"/>
          </w:rPr>
          <w:t>section</w:t>
        </w:r>
        <w:r w:rsidR="005E05E7" w:rsidRPr="0018386D">
          <w:rPr>
            <w:rStyle w:val="Hyperlink"/>
          </w:rPr>
          <w:t xml:space="preserve"> </w:t>
        </w:r>
        <w:r w:rsidR="005C1A6C" w:rsidRPr="0018386D">
          <w:rPr>
            <w:rStyle w:val="Hyperlink"/>
          </w:rPr>
          <w:t>7</w:t>
        </w:r>
      </w:hyperlink>
      <w:r w:rsidR="000B4D16" w:rsidRPr="0018386D">
        <w:rPr>
          <w:rStyle w:val="Hyperlink"/>
        </w:rPr>
        <w:t>:</w:t>
      </w:r>
      <w:r w:rsidR="00CF7F84" w:rsidRPr="0018386D">
        <w:rPr>
          <w:rStyle w:val="Hyperlink"/>
        </w:rPr>
        <w:t xml:space="preserve"> </w:t>
      </w:r>
      <w:r w:rsidR="00395A90" w:rsidRPr="0018386D">
        <w:t>Travel emission factors</w:t>
      </w:r>
      <w:r w:rsidR="34120510" w:rsidRPr="0018386D">
        <w:t>.</w:t>
      </w:r>
      <w:r w:rsidRPr="0018386D">
        <w:t xml:space="preserve"> Factors such as individual vehicle fuel efficiency and driving efficiency mean that kilometre-based estimates of </w:t>
      </w:r>
      <w:r w:rsidR="00C2252B" w:rsidRPr="0018386D">
        <w:t>carbon dioxide equivalent</w:t>
      </w:r>
      <w:r w:rsidRPr="0018386D">
        <w:t xml:space="preserve"> emissions are less accurate than calculating emissions based on fuel-use data. The</w:t>
      </w:r>
      <w:r w:rsidR="0022416C" w:rsidRPr="0018386D">
        <w:t>refore, only use the</w:t>
      </w:r>
      <w:r w:rsidRPr="0018386D">
        <w:t xml:space="preserve"> emission factors based on distance travelled if information on fuel use is</w:t>
      </w:r>
      <w:r w:rsidR="00C66C43" w:rsidRPr="0018386D">
        <w:t> </w:t>
      </w:r>
      <w:r w:rsidRPr="0018386D">
        <w:t>not available.</w:t>
      </w:r>
    </w:p>
    <w:p w14:paraId="6EA5BB1B" w14:textId="5CFB5829" w:rsidR="0041106E" w:rsidRPr="0018386D" w:rsidRDefault="0041106E" w:rsidP="00DD3106">
      <w:pPr>
        <w:pStyle w:val="BodyText"/>
      </w:pPr>
      <w:r w:rsidRPr="0018386D">
        <w:t xml:space="preserve">Calculating transport fuel based on dollars spent is less accurate and </w:t>
      </w:r>
      <w:r w:rsidR="007A23A6" w:rsidRPr="0018386D">
        <w:t xml:space="preserve">should </w:t>
      </w:r>
      <w:r w:rsidRPr="0018386D">
        <w:t>only be applied to taxis</w:t>
      </w:r>
      <w:r w:rsidR="0069175A" w:rsidRPr="0018386D">
        <w:t>. S</w:t>
      </w:r>
      <w:r w:rsidRPr="0018386D">
        <w:t>ee</w:t>
      </w:r>
      <w:hyperlink w:anchor="_Passenger_vehicles" w:history="1">
        <w:r w:rsidR="006A762F" w:rsidRPr="0018386D">
          <w:rPr>
            <w:rStyle w:val="Hyperlink"/>
          </w:rPr>
          <w:t xml:space="preserve"> section</w:t>
        </w:r>
        <w:r w:rsidR="004D4F15" w:rsidRPr="0018386D">
          <w:rPr>
            <w:rStyle w:val="Hyperlink"/>
          </w:rPr>
          <w:t xml:space="preserve"> 7.2</w:t>
        </w:r>
        <w:r w:rsidR="006A762F" w:rsidRPr="0018386D">
          <w:rPr>
            <w:rStyle w:val="Hyperlink"/>
          </w:rPr>
          <w:t xml:space="preserve"> </w:t>
        </w:r>
      </w:hyperlink>
    </w:p>
    <w:p w14:paraId="18DBF445" w14:textId="08220D90" w:rsidR="0041106E" w:rsidRPr="0018386D" w:rsidRDefault="000F23FA" w:rsidP="00DD3106">
      <w:pPr>
        <w:pStyle w:val="Heading3"/>
      </w:pPr>
      <w:bookmarkStart w:id="177" w:name="_Toc532904862"/>
      <w:bookmarkEnd w:id="176"/>
      <w:r w:rsidRPr="0018386D">
        <w:t xml:space="preserve">3.3.3 </w:t>
      </w:r>
      <w:r w:rsidR="00936D52" w:rsidRPr="0018386D">
        <w:tab/>
      </w:r>
      <w:r w:rsidR="0041106E" w:rsidRPr="0018386D">
        <w:t>Emission factor derivation methodology</w:t>
      </w:r>
      <w:bookmarkEnd w:id="177"/>
    </w:p>
    <w:p w14:paraId="4936CA31" w14:textId="787081C3" w:rsidR="0041106E" w:rsidRPr="0018386D" w:rsidRDefault="0022416C" w:rsidP="00DD3106">
      <w:pPr>
        <w:pStyle w:val="BodyText"/>
      </w:pPr>
      <w:r w:rsidRPr="0018386D">
        <w:t>We applied t</w:t>
      </w:r>
      <w:r w:rsidR="0041106E" w:rsidRPr="0018386D">
        <w:t xml:space="preserve">he same methodology </w:t>
      </w:r>
      <w:r w:rsidRPr="0018386D">
        <w:t xml:space="preserve">to the transport fuels that we </w:t>
      </w:r>
      <w:r w:rsidR="0041106E" w:rsidRPr="0018386D">
        <w:t>used to calculate the stationary combustion fuels</w:t>
      </w:r>
      <w:r w:rsidRPr="0018386D">
        <w:t>,</w:t>
      </w:r>
      <w:r w:rsidR="0041106E" w:rsidRPr="0018386D">
        <w:t xml:space="preserve"> using the raw data in</w:t>
      </w:r>
      <w:r w:rsidR="00544E46" w:rsidRPr="0018386D">
        <w:t xml:space="preserve"> </w:t>
      </w:r>
      <w:hyperlink w:anchor="table4" w:history="1">
        <w:r w:rsidR="004A3D94" w:rsidRPr="0018386D">
          <w:rPr>
            <w:rStyle w:val="Hyperlink"/>
          </w:rPr>
          <w:t>table 4</w:t>
        </w:r>
      </w:hyperlink>
      <w:r w:rsidR="0041106E" w:rsidRPr="0018386D">
        <w:t>.</w:t>
      </w:r>
      <w:r w:rsidR="00B2237E" w:rsidRPr="0018386D">
        <w:t xml:space="preserve"> The fuel properties of kerosene and aviation gas are 0.0371 and 0.0388 litres per GJ respectively. </w:t>
      </w:r>
    </w:p>
    <w:p w14:paraId="55F78C72" w14:textId="1542539F" w:rsidR="0041106E" w:rsidRPr="0018386D" w:rsidRDefault="000F23FA" w:rsidP="00DD3106">
      <w:pPr>
        <w:pStyle w:val="Heading3"/>
      </w:pPr>
      <w:bookmarkStart w:id="178" w:name="_Toc532904863"/>
      <w:r w:rsidRPr="0018386D">
        <w:t xml:space="preserve">3.3.4 </w:t>
      </w:r>
      <w:r w:rsidR="00936D52" w:rsidRPr="0018386D">
        <w:tab/>
      </w:r>
      <w:r w:rsidR="48317B27" w:rsidRPr="0018386D">
        <w:t xml:space="preserve">Assumptions, </w:t>
      </w:r>
      <w:proofErr w:type="gramStart"/>
      <w:r w:rsidR="48317B27" w:rsidRPr="0018386D">
        <w:t>limitations</w:t>
      </w:r>
      <w:proofErr w:type="gramEnd"/>
      <w:r w:rsidR="48317B27" w:rsidRPr="0018386D">
        <w:t xml:space="preserve"> and uncertainties</w:t>
      </w:r>
      <w:bookmarkEnd w:id="178"/>
    </w:p>
    <w:p w14:paraId="14D3D8AB" w14:textId="191166BC" w:rsidR="0041106E" w:rsidRPr="0018386D" w:rsidRDefault="00C76AC0" w:rsidP="00DD3106">
      <w:pPr>
        <w:pStyle w:val="BodyText"/>
      </w:pPr>
      <w:r w:rsidRPr="0018386D">
        <w:t>We</w:t>
      </w:r>
      <w:r w:rsidR="0022416C" w:rsidRPr="0018386D">
        <w:t xml:space="preserve"> derived t</w:t>
      </w:r>
      <w:r w:rsidR="0041106E" w:rsidRPr="0018386D">
        <w:t>he kg CO</w:t>
      </w:r>
      <w:r w:rsidR="0041106E" w:rsidRPr="0018386D">
        <w:rPr>
          <w:vertAlign w:val="subscript"/>
        </w:rPr>
        <w:t>2</w:t>
      </w:r>
      <w:r w:rsidR="0041106E" w:rsidRPr="0018386D">
        <w:t xml:space="preserve">-e per activity unit emission factors in </w:t>
      </w:r>
      <w:hyperlink w:anchor="table3" w:history="1">
        <w:r w:rsidR="004A3D94" w:rsidRPr="0018386D">
          <w:rPr>
            <w:rStyle w:val="Hyperlink"/>
          </w:rPr>
          <w:t>table 3</w:t>
        </w:r>
      </w:hyperlink>
      <w:r w:rsidR="0041106E" w:rsidRPr="0018386D">
        <w:rPr>
          <w:color w:val="32809C" w:themeColor="accent2"/>
        </w:rPr>
        <w:t xml:space="preserve"> </w:t>
      </w:r>
      <w:r w:rsidR="0041106E" w:rsidRPr="0018386D">
        <w:t xml:space="preserve">using calorific values. All emission factors incorporate relevant oxidation </w:t>
      </w:r>
      <w:r w:rsidR="00B67D7F" w:rsidRPr="0018386D">
        <w:t>factors</w:t>
      </w:r>
      <w:r w:rsidR="0041106E" w:rsidRPr="0018386D">
        <w:t xml:space="preserve"> sourced from</w:t>
      </w:r>
      <w:r w:rsidR="008F5103" w:rsidRPr="0018386D">
        <w:t xml:space="preserve"> the</w:t>
      </w:r>
      <w:r w:rsidR="0041106E" w:rsidRPr="0018386D">
        <w:t xml:space="preserve"> </w:t>
      </w:r>
      <w:r w:rsidR="008F5103" w:rsidRPr="0018386D">
        <w:rPr>
          <w:i/>
        </w:rPr>
        <w:t>2006 I</w:t>
      </w:r>
      <w:r w:rsidR="0041106E" w:rsidRPr="0018386D">
        <w:rPr>
          <w:i/>
        </w:rPr>
        <w:t>PCC Guidelines for National Greenhouse Gas Inventories</w:t>
      </w:r>
      <w:r w:rsidR="0041106E" w:rsidRPr="0018386D">
        <w:t>.</w:t>
      </w:r>
    </w:p>
    <w:p w14:paraId="6509161B" w14:textId="1AC19C14" w:rsidR="00DA5493" w:rsidRPr="0018386D" w:rsidRDefault="0041106E" w:rsidP="00DD3106">
      <w:pPr>
        <w:pStyle w:val="BodyText"/>
      </w:pPr>
      <w:r w:rsidRPr="0018386D">
        <w:t>As with the fuels for stationary combustion</w:t>
      </w:r>
      <w:r w:rsidR="0022416C" w:rsidRPr="0018386D">
        <w:t>,</w:t>
      </w:r>
      <w:r w:rsidRPr="0018386D">
        <w:t xml:space="preserve"> these emission factors are not full fuel</w:t>
      </w:r>
      <w:r w:rsidR="00415675" w:rsidRPr="0018386D">
        <w:t>-</w:t>
      </w:r>
      <w:r w:rsidRPr="0018386D">
        <w:t xml:space="preserve">cycle emission factors and do not incorporate the indirect (Scope 3) emissions associated with the extraction, </w:t>
      </w:r>
      <w:proofErr w:type="gramStart"/>
      <w:r w:rsidRPr="0018386D">
        <w:t>production</w:t>
      </w:r>
      <w:proofErr w:type="gramEnd"/>
      <w:r w:rsidRPr="0018386D">
        <w:t xml:space="preserve"> and transport of the fuel.</w:t>
      </w:r>
    </w:p>
    <w:p w14:paraId="72E09F6B" w14:textId="0BBF5FFB" w:rsidR="0041106E" w:rsidRPr="0018386D" w:rsidRDefault="0041106E" w:rsidP="00DD3106">
      <w:pPr>
        <w:pStyle w:val="Heading2"/>
        <w:numPr>
          <w:ilvl w:val="1"/>
          <w:numId w:val="8"/>
        </w:numPr>
      </w:pPr>
      <w:bookmarkStart w:id="179" w:name="_Toc529960690"/>
      <w:bookmarkStart w:id="180" w:name="_Toc140048893"/>
      <w:bookmarkStart w:id="181" w:name="_Toc532904864"/>
      <w:bookmarkStart w:id="182" w:name="_Toc600570"/>
      <w:bookmarkStart w:id="183" w:name="_Hlk532201047"/>
      <w:bookmarkStart w:id="184" w:name="_Hlk529439678"/>
      <w:r w:rsidRPr="0018386D">
        <w:t>Biofuels</w:t>
      </w:r>
      <w:bookmarkEnd w:id="179"/>
      <w:r w:rsidRPr="0018386D">
        <w:t xml:space="preserve"> </w:t>
      </w:r>
      <w:r w:rsidR="00564258" w:rsidRPr="0018386D">
        <w:t>and biomass</w:t>
      </w:r>
      <w:bookmarkEnd w:id="180"/>
      <w:r w:rsidR="00717FDD" w:rsidRPr="0018386D">
        <w:t xml:space="preserve"> </w:t>
      </w:r>
      <w:bookmarkEnd w:id="181"/>
      <w:bookmarkEnd w:id="182"/>
    </w:p>
    <w:p w14:paraId="2E50C5B5" w14:textId="45347080" w:rsidR="0041106E" w:rsidRPr="0018386D" w:rsidRDefault="00D86685" w:rsidP="00DD3106">
      <w:pPr>
        <w:pStyle w:val="BodyText"/>
      </w:pPr>
      <w:bookmarkStart w:id="185" w:name="_Hlk532891374"/>
      <w:r w:rsidRPr="0018386D">
        <w:t xml:space="preserve">This section </w:t>
      </w:r>
      <w:r w:rsidR="0022416C" w:rsidRPr="0018386D">
        <w:t>provides e</w:t>
      </w:r>
      <w:r w:rsidR="0041106E" w:rsidRPr="0018386D">
        <w:t>mission factors for bioethanol</w:t>
      </w:r>
      <w:r w:rsidR="00D21771" w:rsidRPr="0018386D">
        <w:t>,</w:t>
      </w:r>
      <w:r w:rsidR="0041106E" w:rsidRPr="0018386D">
        <w:t xml:space="preserve"> </w:t>
      </w:r>
      <w:proofErr w:type="gramStart"/>
      <w:r w:rsidR="0041106E" w:rsidRPr="0018386D">
        <w:t>biodiesel</w:t>
      </w:r>
      <w:proofErr w:type="gramEnd"/>
      <w:r w:rsidR="0041106E" w:rsidRPr="0018386D">
        <w:t xml:space="preserve"> and wood emission sources</w:t>
      </w:r>
      <w:r w:rsidR="00F62BEF" w:rsidRPr="0018386D">
        <w:t>.</w:t>
      </w:r>
      <w:bookmarkEnd w:id="185"/>
    </w:p>
    <w:p w14:paraId="55C01392" w14:textId="5116D251" w:rsidR="005536B0" w:rsidRPr="0018386D" w:rsidRDefault="0041106E" w:rsidP="00DD3106">
      <w:pPr>
        <w:pStyle w:val="BodyText"/>
      </w:pPr>
      <w:r w:rsidRPr="0018386D">
        <w:t xml:space="preserve">The </w:t>
      </w:r>
      <w:r w:rsidR="008D6410" w:rsidRPr="0018386D">
        <w:t>carbon dioxide</w:t>
      </w:r>
      <w:r w:rsidRPr="0018386D">
        <w:t xml:space="preserve"> emitted from the combustion of biofuels and biomass (including wood) is biogenic, meaning it equates to the </w:t>
      </w:r>
      <w:r w:rsidR="008D6410" w:rsidRPr="0018386D">
        <w:t>carbon dioxide</w:t>
      </w:r>
      <w:r w:rsidRPr="0018386D">
        <w:t xml:space="preserve"> absorbed by the feedstock during its lifespan. This means</w:t>
      </w:r>
      <w:r w:rsidR="0022416C" w:rsidRPr="0018386D">
        <w:t xml:space="preserve"> we treat</w:t>
      </w:r>
      <w:r w:rsidRPr="0018386D">
        <w:t xml:space="preserve"> the </w:t>
      </w:r>
      <w:r w:rsidR="008D6410" w:rsidRPr="0018386D">
        <w:t>carbon dioxide</w:t>
      </w:r>
      <w:r w:rsidRPr="0018386D">
        <w:t xml:space="preserve"> portion of the combustion emissions of biofuels as carbon neutral. </w:t>
      </w:r>
      <w:r w:rsidR="005536B0" w:rsidRPr="0018386D">
        <w:t>However, these CO</w:t>
      </w:r>
      <w:r w:rsidR="005536B0" w:rsidRPr="0018386D">
        <w:rPr>
          <w:vertAlign w:val="subscript"/>
        </w:rPr>
        <w:t>2</w:t>
      </w:r>
      <w:r w:rsidR="005536B0" w:rsidRPr="0018386D">
        <w:t xml:space="preserve"> emissions still need to be reported separately in the inventory, under biogenic emissions. This is why the kg CO</w:t>
      </w:r>
      <w:r w:rsidR="005536B0" w:rsidRPr="0018386D">
        <w:rPr>
          <w:vertAlign w:val="subscript"/>
        </w:rPr>
        <w:t>2</w:t>
      </w:r>
      <w:r w:rsidR="005536B0" w:rsidRPr="0018386D">
        <w:t xml:space="preserve">-e/unit figures in </w:t>
      </w:r>
      <w:hyperlink w:anchor="Table5" w:history="1">
        <w:r w:rsidR="0091737C" w:rsidRPr="0018386D">
          <w:rPr>
            <w:rStyle w:val="Hyperlink"/>
          </w:rPr>
          <w:t>t</w:t>
        </w:r>
        <w:r w:rsidR="005536B0" w:rsidRPr="0018386D">
          <w:rPr>
            <w:rStyle w:val="Hyperlink"/>
          </w:rPr>
          <w:t>able 5</w:t>
        </w:r>
      </w:hyperlink>
      <w:r w:rsidR="005536B0" w:rsidRPr="0018386D">
        <w:t xml:space="preserve"> are the sum of the CH</w:t>
      </w:r>
      <w:r w:rsidR="005536B0" w:rsidRPr="0018386D">
        <w:rPr>
          <w:vertAlign w:val="subscript"/>
        </w:rPr>
        <w:t>4</w:t>
      </w:r>
      <w:r w:rsidR="005536B0" w:rsidRPr="0018386D">
        <w:t xml:space="preserve"> and N</w:t>
      </w:r>
      <w:r w:rsidR="005536B0" w:rsidRPr="0018386D">
        <w:rPr>
          <w:vertAlign w:val="subscript"/>
        </w:rPr>
        <w:t>2</w:t>
      </w:r>
      <w:r w:rsidR="005536B0" w:rsidRPr="0018386D">
        <w:t>O.</w:t>
      </w:r>
    </w:p>
    <w:p w14:paraId="6BBD71B7" w14:textId="365EC6EE" w:rsidR="0041106E" w:rsidRPr="0018386D" w:rsidRDefault="005536B0" w:rsidP="00DD3106">
      <w:pPr>
        <w:pStyle w:val="BodyText"/>
        <w:spacing w:before="100" w:after="100"/>
      </w:pPr>
      <w:r w:rsidRPr="0018386D">
        <w:lastRenderedPageBreak/>
        <w:t>T</w:t>
      </w:r>
      <w:r w:rsidR="0041106E" w:rsidRPr="0018386D">
        <w:t xml:space="preserve">he combustion of biofuels generates anthropogenic </w:t>
      </w:r>
      <w:r w:rsidR="008D6410" w:rsidRPr="0018386D">
        <w:t>methane</w:t>
      </w:r>
      <w:r w:rsidR="0041106E" w:rsidRPr="0018386D">
        <w:t xml:space="preserve"> and </w:t>
      </w:r>
      <w:r w:rsidR="008D6410" w:rsidRPr="0018386D">
        <w:t>nitrous oxide</w:t>
      </w:r>
      <w:r w:rsidR="0022416C" w:rsidRPr="0018386D">
        <w:t>.</w:t>
      </w:r>
      <w:r w:rsidR="001A6378" w:rsidRPr="0018386D">
        <w:t xml:space="preserve"> </w:t>
      </w:r>
      <w:r w:rsidR="0022416C" w:rsidRPr="0018386D">
        <w:t>Organisations should calculate and report</w:t>
      </w:r>
      <w:r w:rsidR="0041106E" w:rsidRPr="0018386D">
        <w:t xml:space="preserve"> these gases</w:t>
      </w:r>
      <w:r w:rsidR="0022416C" w:rsidRPr="0018386D">
        <w:t xml:space="preserve"> as </w:t>
      </w:r>
      <w:r w:rsidR="00840159" w:rsidRPr="0018386D">
        <w:t>is done at the national level according to</w:t>
      </w:r>
      <w:r w:rsidR="0041106E" w:rsidRPr="0018386D">
        <w:t xml:space="preserve"> </w:t>
      </w:r>
      <w:r w:rsidR="0022416C" w:rsidRPr="0018386D">
        <w:t>t</w:t>
      </w:r>
      <w:r w:rsidR="0041106E" w:rsidRPr="0018386D">
        <w:t xml:space="preserve">he </w:t>
      </w:r>
      <w:r w:rsidR="0041106E" w:rsidRPr="0018386D">
        <w:rPr>
          <w:i/>
        </w:rPr>
        <w:t>2006</w:t>
      </w:r>
      <w:r w:rsidR="0041106E" w:rsidRPr="0018386D">
        <w:t xml:space="preserve"> </w:t>
      </w:r>
      <w:r w:rsidR="0041106E" w:rsidRPr="0018386D">
        <w:rPr>
          <w:i/>
        </w:rPr>
        <w:t>IPCC Guidelines for National Greenhouse Gas Inventories</w:t>
      </w:r>
      <w:r w:rsidR="00415675" w:rsidRPr="0018386D">
        <w:rPr>
          <w:i/>
        </w:rPr>
        <w:t>.</w:t>
      </w:r>
      <w:r w:rsidR="0041106E" w:rsidRPr="0018386D">
        <w:rPr>
          <w:rStyle w:val="FootnoteReference"/>
        </w:rPr>
        <w:footnoteReference w:id="19"/>
      </w:r>
    </w:p>
    <w:p w14:paraId="5DC065D3" w14:textId="595A9CA2" w:rsidR="0041106E" w:rsidRPr="0018386D" w:rsidRDefault="00C7627E" w:rsidP="00DD3106">
      <w:pPr>
        <w:pStyle w:val="BodyText"/>
        <w:spacing w:before="100" w:after="100"/>
      </w:pPr>
      <w:hyperlink w:anchor="Table5" w:history="1">
        <w:r w:rsidR="00933A4C" w:rsidRPr="0018386D">
          <w:rPr>
            <w:rStyle w:val="Hyperlink"/>
            <w:spacing w:val="2"/>
          </w:rPr>
          <w:t>Table 5</w:t>
        </w:r>
      </w:hyperlink>
      <w:r w:rsidR="00C66C43" w:rsidRPr="0018386D">
        <w:t xml:space="preserve"> </w:t>
      </w:r>
      <w:r w:rsidR="0041106E" w:rsidRPr="0018386D">
        <w:t>details the emission conversion factors for the GHG emissions from the combustion of</w:t>
      </w:r>
      <w:r w:rsidR="00C66C43" w:rsidRPr="0018386D">
        <w:t> </w:t>
      </w:r>
      <w:r w:rsidR="0041106E" w:rsidRPr="0018386D">
        <w:t>biofuels.</w:t>
      </w:r>
    </w:p>
    <w:p w14:paraId="390F42AB" w14:textId="1E1E7B6A" w:rsidR="0041106E" w:rsidRPr="0018386D" w:rsidRDefault="0041106E" w:rsidP="00DD3106">
      <w:pPr>
        <w:pStyle w:val="Tableheading"/>
      </w:pPr>
      <w:bookmarkStart w:id="186" w:name="_Ref529535174"/>
      <w:bookmarkStart w:id="187" w:name="Table5"/>
      <w:bookmarkStart w:id="188" w:name="_Toc111536610"/>
      <w:bookmarkStart w:id="189" w:name="_Toc140048945"/>
      <w:r w:rsidRPr="0018386D">
        <w:t xml:space="preserve">Table </w:t>
      </w:r>
      <w:r w:rsidRPr="0018386D">
        <w:fldChar w:fldCharType="begin"/>
      </w:r>
      <w:r w:rsidRPr="0018386D">
        <w:instrText>SEQ Table \* ARABIC</w:instrText>
      </w:r>
      <w:r w:rsidRPr="0018386D">
        <w:fldChar w:fldCharType="separate"/>
      </w:r>
      <w:r w:rsidR="003E141C" w:rsidRPr="0018386D">
        <w:t>5</w:t>
      </w:r>
      <w:r w:rsidRPr="0018386D">
        <w:fldChar w:fldCharType="end"/>
      </w:r>
      <w:bookmarkEnd w:id="186"/>
      <w:bookmarkEnd w:id="187"/>
      <w:r w:rsidRPr="0018386D">
        <w:t>:</w:t>
      </w:r>
      <w:r w:rsidRPr="0018386D">
        <w:tab/>
        <w:t>Biofuel</w:t>
      </w:r>
      <w:r w:rsidR="00BA1DBF" w:rsidRPr="0018386D">
        <w:t>s</w:t>
      </w:r>
      <w:r w:rsidRPr="0018386D">
        <w:t xml:space="preserve"> and biomass emission factors</w:t>
      </w:r>
      <w:bookmarkEnd w:id="188"/>
      <w:bookmarkEnd w:id="189"/>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604"/>
        <w:gridCol w:w="709"/>
        <w:gridCol w:w="1210"/>
        <w:gridCol w:w="1210"/>
        <w:gridCol w:w="1210"/>
        <w:gridCol w:w="1352"/>
        <w:gridCol w:w="1210"/>
      </w:tblGrid>
      <w:tr w:rsidR="00D015DE" w:rsidRPr="0018386D" w14:paraId="4F9FA825" w14:textId="77777777" w:rsidTr="4CD657CB">
        <w:trPr>
          <w:divId w:val="1808468637"/>
        </w:trPr>
        <w:tc>
          <w:tcPr>
            <w:tcW w:w="1277" w:type="dxa"/>
            <w:tcBorders>
              <w:bottom w:val="single" w:sz="4" w:space="0" w:color="1B556B" w:themeColor="text2"/>
            </w:tcBorders>
            <w:shd w:val="clear" w:color="auto" w:fill="1B556B" w:themeFill="text2"/>
            <w:noWrap/>
            <w:vAlign w:val="bottom"/>
            <w:hideMark/>
          </w:tcPr>
          <w:p w14:paraId="39555753" w14:textId="1BCFB4C0" w:rsidR="008E2ED2" w:rsidRPr="0018386D" w:rsidRDefault="008E2ED2" w:rsidP="00DD3106">
            <w:pPr>
              <w:pStyle w:val="TableTextbold"/>
              <w:spacing w:before="30" w:after="30"/>
              <w:rPr>
                <w:rFonts w:cs="Calibri"/>
                <w:color w:val="FFFFFF" w:themeColor="background1"/>
                <w:szCs w:val="18"/>
              </w:rPr>
            </w:pPr>
            <w:bookmarkStart w:id="190" w:name="_1747051241"/>
            <w:bookmarkEnd w:id="190"/>
            <w:r w:rsidRPr="0018386D">
              <w:rPr>
                <w:rFonts w:cs="Calibri"/>
                <w:color w:val="FFFFFF" w:themeColor="background1"/>
                <w:szCs w:val="18"/>
              </w:rPr>
              <w:t>Biofuel type</w:t>
            </w:r>
          </w:p>
        </w:tc>
        <w:tc>
          <w:tcPr>
            <w:tcW w:w="565" w:type="dxa"/>
            <w:tcBorders>
              <w:bottom w:val="single" w:sz="4" w:space="0" w:color="1B556B" w:themeColor="text2"/>
            </w:tcBorders>
            <w:shd w:val="clear" w:color="auto" w:fill="1B556B" w:themeFill="text2"/>
            <w:noWrap/>
            <w:vAlign w:val="bottom"/>
            <w:hideMark/>
          </w:tcPr>
          <w:p w14:paraId="1A03F075" w14:textId="77777777"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Unit</w:t>
            </w:r>
          </w:p>
        </w:tc>
        <w:tc>
          <w:tcPr>
            <w:tcW w:w="964" w:type="dxa"/>
            <w:tcBorders>
              <w:bottom w:val="single" w:sz="4" w:space="0" w:color="1B556B" w:themeColor="text2"/>
            </w:tcBorders>
            <w:shd w:val="clear" w:color="auto" w:fill="1B556B" w:themeFill="text2"/>
            <w:noWrap/>
            <w:vAlign w:val="bottom"/>
            <w:hideMark/>
          </w:tcPr>
          <w:p w14:paraId="242C8229" w14:textId="632F0956" w:rsidR="008E2ED2" w:rsidRPr="0018386D" w:rsidRDefault="008E2ED2" w:rsidP="00DD3106">
            <w:pPr>
              <w:pStyle w:val="TableTextbold"/>
              <w:spacing w:before="30" w:after="30"/>
              <w:jc w:val="center"/>
              <w:rPr>
                <w:rFonts w:cs="Calibri"/>
                <w:color w:val="FFFFFF" w:themeColor="background1"/>
                <w:szCs w:val="18"/>
              </w:rPr>
            </w:pPr>
            <w:r w:rsidRPr="0018386D">
              <w:rPr>
                <w:rFonts w:cs="Calibri"/>
                <w:color w:val="FFFFFF" w:themeColor="background1"/>
                <w:szCs w:val="18"/>
              </w:rPr>
              <w:t>kg CO₂-e/</w:t>
            </w:r>
            <w:r w:rsidR="00A662E4" w:rsidRPr="0018386D">
              <w:rPr>
                <w:rFonts w:cs="Calibri"/>
                <w:color w:val="FFFFFF" w:themeColor="background1"/>
                <w:szCs w:val="18"/>
              </w:rPr>
              <w:t xml:space="preserve"> </w:t>
            </w:r>
            <w:r w:rsidRPr="0018386D">
              <w:rPr>
                <w:rFonts w:cs="Calibri"/>
                <w:color w:val="FFFFFF" w:themeColor="background1"/>
                <w:szCs w:val="18"/>
              </w:rPr>
              <w:t>unit</w:t>
            </w:r>
          </w:p>
        </w:tc>
        <w:tc>
          <w:tcPr>
            <w:tcW w:w="964" w:type="dxa"/>
            <w:tcBorders>
              <w:bottom w:val="single" w:sz="4" w:space="0" w:color="1B556B" w:themeColor="text2"/>
            </w:tcBorders>
            <w:shd w:val="clear" w:color="auto" w:fill="1B556B" w:themeFill="text2"/>
            <w:noWrap/>
            <w:vAlign w:val="bottom"/>
            <w:hideMark/>
          </w:tcPr>
          <w:p w14:paraId="5A8A2793" w14:textId="6D534A68" w:rsidR="008E2ED2" w:rsidRPr="0018386D" w:rsidRDefault="008E2ED2" w:rsidP="00DD3106">
            <w:pPr>
              <w:pStyle w:val="TableTextbold"/>
              <w:spacing w:before="30" w:after="30"/>
              <w:jc w:val="center"/>
              <w:rPr>
                <w:rFonts w:cs="Calibri"/>
                <w:color w:val="FFFFFF" w:themeColor="background1"/>
                <w:szCs w:val="18"/>
              </w:rPr>
            </w:pPr>
            <w:r w:rsidRPr="0018386D">
              <w:rPr>
                <w:rFonts w:cs="Calibri"/>
                <w:color w:val="FFFFFF" w:themeColor="background1"/>
                <w:szCs w:val="18"/>
              </w:rPr>
              <w:t xml:space="preserve">kg CH₄/unit </w:t>
            </w:r>
            <w:r w:rsidR="00442FEE" w:rsidRPr="0018386D">
              <w:rPr>
                <w:rFonts w:cs="Calibri"/>
                <w:color w:val="FFFFFF" w:themeColor="background1"/>
                <w:szCs w:val="18"/>
              </w:rPr>
              <w:br/>
            </w:r>
            <w:r w:rsidRPr="0018386D">
              <w:rPr>
                <w:rFonts w:cs="Calibri"/>
                <w:color w:val="FFFFFF" w:themeColor="background1"/>
                <w:szCs w:val="18"/>
              </w:rPr>
              <w:t>(kg CO₂-e)</w:t>
            </w:r>
          </w:p>
        </w:tc>
        <w:tc>
          <w:tcPr>
            <w:tcW w:w="964" w:type="dxa"/>
            <w:tcBorders>
              <w:bottom w:val="single" w:sz="4" w:space="0" w:color="1B556B" w:themeColor="text2"/>
            </w:tcBorders>
            <w:shd w:val="clear" w:color="auto" w:fill="1B556B" w:themeFill="text2"/>
            <w:noWrap/>
            <w:vAlign w:val="bottom"/>
            <w:hideMark/>
          </w:tcPr>
          <w:p w14:paraId="011D1397" w14:textId="2F5A621B" w:rsidR="008E2ED2" w:rsidRPr="0018386D" w:rsidRDefault="008E2ED2" w:rsidP="00DD3106">
            <w:pPr>
              <w:pStyle w:val="TableTextbold"/>
              <w:spacing w:before="30" w:after="30"/>
              <w:jc w:val="center"/>
              <w:rPr>
                <w:rFonts w:cs="Calibri"/>
                <w:color w:val="FFFFFF" w:themeColor="background1"/>
                <w:szCs w:val="18"/>
              </w:rPr>
            </w:pPr>
            <w:r w:rsidRPr="0018386D">
              <w:rPr>
                <w:rFonts w:cs="Calibri"/>
                <w:color w:val="FFFFFF" w:themeColor="background1"/>
                <w:szCs w:val="18"/>
              </w:rPr>
              <w:t xml:space="preserve">kg N₂O/unit </w:t>
            </w:r>
            <w:r w:rsidR="00442FEE" w:rsidRPr="0018386D">
              <w:rPr>
                <w:rFonts w:cs="Calibri"/>
                <w:color w:val="FFFFFF" w:themeColor="background1"/>
                <w:szCs w:val="18"/>
              </w:rPr>
              <w:br/>
            </w:r>
            <w:r w:rsidRPr="0018386D">
              <w:rPr>
                <w:rFonts w:cs="Calibri"/>
                <w:color w:val="FFFFFF" w:themeColor="background1"/>
                <w:szCs w:val="18"/>
              </w:rPr>
              <w:t>(kg CO₂-e)</w:t>
            </w:r>
          </w:p>
        </w:tc>
        <w:tc>
          <w:tcPr>
            <w:tcW w:w="1077" w:type="dxa"/>
            <w:tcBorders>
              <w:bottom w:val="single" w:sz="4" w:space="0" w:color="1B556B" w:themeColor="text2"/>
            </w:tcBorders>
            <w:shd w:val="clear" w:color="auto" w:fill="1B556B" w:themeFill="text2"/>
            <w:noWrap/>
            <w:vAlign w:val="bottom"/>
            <w:hideMark/>
          </w:tcPr>
          <w:p w14:paraId="53852B85" w14:textId="3972760F" w:rsidR="008E2ED2" w:rsidRPr="0018386D" w:rsidRDefault="008E2ED2" w:rsidP="00DD3106">
            <w:pPr>
              <w:pStyle w:val="TableTextbold"/>
              <w:spacing w:before="30" w:after="30"/>
              <w:jc w:val="center"/>
              <w:rPr>
                <w:rFonts w:cs="Calibri"/>
                <w:color w:val="FFFFFF" w:themeColor="background1"/>
                <w:szCs w:val="18"/>
              </w:rPr>
            </w:pPr>
            <w:r w:rsidRPr="0018386D">
              <w:rPr>
                <w:rFonts w:cs="Calibri"/>
                <w:color w:val="FFFFFF" w:themeColor="background1"/>
                <w:szCs w:val="18"/>
              </w:rPr>
              <w:t xml:space="preserve">Biogenic </w:t>
            </w:r>
            <w:r w:rsidR="00442FEE" w:rsidRPr="0018386D">
              <w:rPr>
                <w:rFonts w:cs="Calibri"/>
                <w:color w:val="FFFFFF" w:themeColor="background1"/>
                <w:szCs w:val="18"/>
              </w:rPr>
              <w:br/>
            </w:r>
            <w:r w:rsidRPr="0018386D">
              <w:rPr>
                <w:rFonts w:cs="Calibri"/>
                <w:color w:val="FFFFFF" w:themeColor="background1"/>
                <w:szCs w:val="18"/>
              </w:rPr>
              <w:t>kg CO</w:t>
            </w:r>
            <w:r w:rsidRPr="0018386D">
              <w:rPr>
                <w:rFonts w:cs="Calibri"/>
                <w:color w:val="FFFFFF" w:themeColor="background1"/>
                <w:szCs w:val="18"/>
                <w:vertAlign w:val="subscript"/>
              </w:rPr>
              <w:t>2</w:t>
            </w:r>
            <w:r w:rsidRPr="0018386D">
              <w:rPr>
                <w:rFonts w:cs="Calibri"/>
                <w:color w:val="FFFFFF" w:themeColor="background1"/>
                <w:szCs w:val="18"/>
              </w:rPr>
              <w:t>/unit</w:t>
            </w:r>
          </w:p>
        </w:tc>
        <w:tc>
          <w:tcPr>
            <w:tcW w:w="964" w:type="dxa"/>
            <w:tcBorders>
              <w:bottom w:val="single" w:sz="4" w:space="0" w:color="1B556B" w:themeColor="text2"/>
            </w:tcBorders>
            <w:shd w:val="clear" w:color="auto" w:fill="1B556B" w:themeFill="text2"/>
            <w:noWrap/>
            <w:vAlign w:val="bottom"/>
            <w:hideMark/>
          </w:tcPr>
          <w:p w14:paraId="36E378D7" w14:textId="01A97388"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Uncertainties</w:t>
            </w:r>
          </w:p>
        </w:tc>
      </w:tr>
      <w:tr w:rsidR="00442FEE" w:rsidRPr="0018386D" w14:paraId="26CA2177" w14:textId="77777777" w:rsidTr="00585C64">
        <w:trPr>
          <w:divId w:val="1808468637"/>
          <w:trHeight w:val="240"/>
        </w:trPr>
        <w:tc>
          <w:tcPr>
            <w:tcW w:w="1277" w:type="dxa"/>
            <w:tcBorders>
              <w:bottom w:val="single" w:sz="4" w:space="0" w:color="auto"/>
              <w:right w:val="nil"/>
            </w:tcBorders>
            <w:shd w:val="clear" w:color="auto" w:fill="D2DDE1" w:themeFill="background2"/>
            <w:noWrap/>
          </w:tcPr>
          <w:p w14:paraId="7B2AF7E5" w14:textId="463FAAE5" w:rsidR="00F93841" w:rsidRPr="0018386D" w:rsidRDefault="00F93841" w:rsidP="00DD3106">
            <w:pPr>
              <w:pStyle w:val="TableText"/>
              <w:spacing w:before="30" w:after="30"/>
              <w:rPr>
                <w:rFonts w:cs="Calibri"/>
                <w:b/>
                <w:bCs/>
                <w:szCs w:val="18"/>
              </w:rPr>
            </w:pPr>
            <w:r w:rsidRPr="0018386D">
              <w:rPr>
                <w:rFonts w:cs="Calibri"/>
                <w:b/>
                <w:bCs/>
                <w:szCs w:val="18"/>
              </w:rPr>
              <w:t>Biofuel</w:t>
            </w:r>
          </w:p>
        </w:tc>
        <w:tc>
          <w:tcPr>
            <w:tcW w:w="565" w:type="dxa"/>
            <w:tcBorders>
              <w:left w:val="nil"/>
              <w:bottom w:val="single" w:sz="4" w:space="0" w:color="1B556B" w:themeColor="text2"/>
              <w:right w:val="nil"/>
            </w:tcBorders>
            <w:shd w:val="clear" w:color="auto" w:fill="D2DDE1" w:themeFill="background2"/>
            <w:noWrap/>
          </w:tcPr>
          <w:p w14:paraId="3A751456" w14:textId="77777777" w:rsidR="00F93841" w:rsidRPr="0018386D" w:rsidRDefault="00F93841" w:rsidP="00DD3106">
            <w:pPr>
              <w:pStyle w:val="TableText"/>
              <w:spacing w:before="30" w:after="30"/>
              <w:rPr>
                <w:rFonts w:cs="Calibri"/>
                <w:szCs w:val="18"/>
              </w:rPr>
            </w:pPr>
          </w:p>
        </w:tc>
        <w:tc>
          <w:tcPr>
            <w:tcW w:w="964" w:type="dxa"/>
            <w:tcBorders>
              <w:left w:val="nil"/>
              <w:bottom w:val="single" w:sz="4" w:space="0" w:color="1B556B" w:themeColor="text2"/>
              <w:right w:val="nil"/>
            </w:tcBorders>
            <w:shd w:val="clear" w:color="auto" w:fill="D2DDE1" w:themeFill="background2"/>
            <w:noWrap/>
          </w:tcPr>
          <w:p w14:paraId="389A02BB" w14:textId="77777777" w:rsidR="00F93841" w:rsidRPr="0018386D" w:rsidRDefault="00F93841" w:rsidP="00DD3106">
            <w:pPr>
              <w:pStyle w:val="TableText"/>
              <w:spacing w:before="30" w:after="30"/>
              <w:jc w:val="center"/>
              <w:rPr>
                <w:rFonts w:cs="Calibri"/>
                <w:szCs w:val="18"/>
              </w:rPr>
            </w:pPr>
          </w:p>
        </w:tc>
        <w:tc>
          <w:tcPr>
            <w:tcW w:w="964" w:type="dxa"/>
            <w:tcBorders>
              <w:left w:val="nil"/>
              <w:bottom w:val="single" w:sz="4" w:space="0" w:color="1B556B" w:themeColor="text2"/>
              <w:right w:val="nil"/>
            </w:tcBorders>
            <w:shd w:val="clear" w:color="auto" w:fill="D2DDE1" w:themeFill="background2"/>
            <w:noWrap/>
          </w:tcPr>
          <w:p w14:paraId="07679176" w14:textId="77777777" w:rsidR="00F93841" w:rsidRPr="0018386D" w:rsidRDefault="00F93841" w:rsidP="00DD3106">
            <w:pPr>
              <w:pStyle w:val="TableText"/>
              <w:spacing w:before="30" w:after="30"/>
              <w:jc w:val="center"/>
              <w:rPr>
                <w:rFonts w:cs="Calibri"/>
                <w:szCs w:val="18"/>
              </w:rPr>
            </w:pPr>
          </w:p>
        </w:tc>
        <w:tc>
          <w:tcPr>
            <w:tcW w:w="964" w:type="dxa"/>
            <w:tcBorders>
              <w:left w:val="nil"/>
              <w:bottom w:val="single" w:sz="4" w:space="0" w:color="1B556B" w:themeColor="text2"/>
              <w:right w:val="nil"/>
            </w:tcBorders>
            <w:shd w:val="clear" w:color="auto" w:fill="D2DDE1" w:themeFill="background2"/>
            <w:noWrap/>
          </w:tcPr>
          <w:p w14:paraId="2B4400F5" w14:textId="77777777" w:rsidR="00F93841" w:rsidRPr="0018386D" w:rsidRDefault="00F93841" w:rsidP="00DD3106">
            <w:pPr>
              <w:pStyle w:val="TableText"/>
              <w:spacing w:before="30" w:after="30"/>
              <w:jc w:val="center"/>
              <w:rPr>
                <w:rFonts w:cs="Calibri"/>
                <w:szCs w:val="18"/>
              </w:rPr>
            </w:pPr>
          </w:p>
        </w:tc>
        <w:tc>
          <w:tcPr>
            <w:tcW w:w="1077" w:type="dxa"/>
            <w:tcBorders>
              <w:left w:val="nil"/>
              <w:bottom w:val="single" w:sz="4" w:space="0" w:color="1B556B" w:themeColor="text2"/>
              <w:right w:val="nil"/>
            </w:tcBorders>
            <w:shd w:val="clear" w:color="auto" w:fill="D2DDE1" w:themeFill="background2"/>
            <w:noWrap/>
          </w:tcPr>
          <w:p w14:paraId="6AE58D78" w14:textId="77777777" w:rsidR="00F93841" w:rsidRPr="0018386D" w:rsidRDefault="00F93841" w:rsidP="00DD3106">
            <w:pPr>
              <w:pStyle w:val="TableText"/>
              <w:spacing w:before="30" w:after="30"/>
              <w:jc w:val="center"/>
              <w:rPr>
                <w:rFonts w:cs="Calibri"/>
                <w:szCs w:val="18"/>
              </w:rPr>
            </w:pPr>
          </w:p>
        </w:tc>
        <w:tc>
          <w:tcPr>
            <w:tcW w:w="964" w:type="dxa"/>
            <w:tcBorders>
              <w:left w:val="nil"/>
              <w:bottom w:val="single" w:sz="4" w:space="0" w:color="1B556B" w:themeColor="text2"/>
            </w:tcBorders>
            <w:shd w:val="clear" w:color="auto" w:fill="D2DDE1" w:themeFill="background2"/>
            <w:noWrap/>
          </w:tcPr>
          <w:p w14:paraId="037125F7" w14:textId="77777777" w:rsidR="00F93841" w:rsidRPr="0018386D" w:rsidRDefault="00F93841" w:rsidP="00DD3106">
            <w:pPr>
              <w:pStyle w:val="TableText"/>
              <w:spacing w:before="30" w:after="30"/>
              <w:rPr>
                <w:rFonts w:cs="Calibri"/>
                <w:szCs w:val="18"/>
              </w:rPr>
            </w:pPr>
          </w:p>
        </w:tc>
      </w:tr>
      <w:tr w:rsidR="00F93841" w:rsidRPr="0018386D" w14:paraId="2FAD1A45" w14:textId="77777777" w:rsidTr="00585C64">
        <w:trPr>
          <w:divId w:val="1808468637"/>
          <w:trHeight w:val="240"/>
        </w:trPr>
        <w:tc>
          <w:tcPr>
            <w:tcW w:w="1277" w:type="dxa"/>
            <w:tcBorders>
              <w:top w:val="single" w:sz="4" w:space="0" w:color="auto"/>
              <w:bottom w:val="nil"/>
              <w:right w:val="single" w:sz="4" w:space="0" w:color="auto"/>
            </w:tcBorders>
            <w:shd w:val="clear" w:color="auto" w:fill="FFFFFF" w:themeFill="background1"/>
            <w:noWrap/>
            <w:hideMark/>
          </w:tcPr>
          <w:p w14:paraId="128D3E53" w14:textId="77777777" w:rsidR="008E2ED2" w:rsidRPr="0018386D" w:rsidRDefault="008E2ED2" w:rsidP="00DD3106">
            <w:pPr>
              <w:pStyle w:val="TableText"/>
              <w:spacing w:before="30" w:after="30"/>
              <w:rPr>
                <w:rFonts w:cs="Calibri"/>
                <w:szCs w:val="18"/>
              </w:rPr>
            </w:pPr>
            <w:r w:rsidRPr="0018386D">
              <w:rPr>
                <w:rFonts w:cs="Calibri"/>
                <w:szCs w:val="18"/>
              </w:rPr>
              <w:t>Bioethanol</w:t>
            </w:r>
          </w:p>
        </w:tc>
        <w:tc>
          <w:tcPr>
            <w:tcW w:w="565" w:type="dxa"/>
            <w:tcBorders>
              <w:left w:val="single" w:sz="4" w:space="0" w:color="auto"/>
            </w:tcBorders>
            <w:shd w:val="clear" w:color="auto" w:fill="FFFFFF" w:themeFill="background1"/>
            <w:noWrap/>
            <w:hideMark/>
          </w:tcPr>
          <w:p w14:paraId="4F9CAD26" w14:textId="77777777" w:rsidR="008E2ED2" w:rsidRPr="0018386D" w:rsidRDefault="008E2ED2" w:rsidP="00DD3106">
            <w:pPr>
              <w:pStyle w:val="TableText"/>
              <w:spacing w:before="30" w:after="30"/>
              <w:rPr>
                <w:rFonts w:cs="Calibri"/>
                <w:szCs w:val="18"/>
              </w:rPr>
            </w:pPr>
            <w:r w:rsidRPr="0018386D">
              <w:rPr>
                <w:rFonts w:cs="Calibri"/>
                <w:szCs w:val="18"/>
              </w:rPr>
              <w:t>GJ</w:t>
            </w:r>
          </w:p>
        </w:tc>
        <w:tc>
          <w:tcPr>
            <w:tcW w:w="964" w:type="dxa"/>
            <w:shd w:val="clear" w:color="auto" w:fill="D2DDE1" w:themeFill="background2"/>
            <w:noWrap/>
            <w:hideMark/>
          </w:tcPr>
          <w:p w14:paraId="48AB7115" w14:textId="5CC1EB51" w:rsidR="008E2ED2" w:rsidRPr="0018386D" w:rsidRDefault="008E2ED2" w:rsidP="00DD3106">
            <w:pPr>
              <w:pStyle w:val="TableText"/>
              <w:spacing w:before="30" w:after="30"/>
              <w:jc w:val="center"/>
              <w:rPr>
                <w:rFonts w:cs="Calibri"/>
                <w:szCs w:val="18"/>
              </w:rPr>
            </w:pPr>
            <w:r w:rsidRPr="0018386D">
              <w:rPr>
                <w:rFonts w:cs="Calibri"/>
                <w:szCs w:val="18"/>
              </w:rPr>
              <w:t>3.89</w:t>
            </w:r>
          </w:p>
        </w:tc>
        <w:tc>
          <w:tcPr>
            <w:tcW w:w="964" w:type="dxa"/>
            <w:shd w:val="clear" w:color="auto" w:fill="FFFFFF" w:themeFill="background1"/>
            <w:noWrap/>
            <w:hideMark/>
          </w:tcPr>
          <w:p w14:paraId="741E0A24" w14:textId="166D6423" w:rsidR="008E2ED2" w:rsidRPr="0018386D" w:rsidRDefault="008E2ED2" w:rsidP="00DD3106">
            <w:pPr>
              <w:pStyle w:val="TableText"/>
              <w:spacing w:before="30" w:after="30"/>
              <w:jc w:val="center"/>
              <w:rPr>
                <w:rFonts w:cs="Calibri"/>
                <w:szCs w:val="18"/>
              </w:rPr>
            </w:pPr>
            <w:r w:rsidRPr="0018386D">
              <w:rPr>
                <w:rFonts w:cs="Calibri"/>
                <w:szCs w:val="18"/>
              </w:rPr>
              <w:t>0.778</w:t>
            </w:r>
          </w:p>
        </w:tc>
        <w:tc>
          <w:tcPr>
            <w:tcW w:w="964" w:type="dxa"/>
            <w:shd w:val="clear" w:color="auto" w:fill="FFFFFF" w:themeFill="background1"/>
            <w:noWrap/>
            <w:hideMark/>
          </w:tcPr>
          <w:p w14:paraId="3F780D46" w14:textId="7DA74C42" w:rsidR="008E2ED2" w:rsidRPr="0018386D" w:rsidRDefault="008E2ED2" w:rsidP="00DD3106">
            <w:pPr>
              <w:pStyle w:val="TableText"/>
              <w:spacing w:before="30" w:after="30"/>
              <w:jc w:val="center"/>
              <w:rPr>
                <w:rFonts w:cs="Calibri"/>
                <w:szCs w:val="18"/>
              </w:rPr>
            </w:pPr>
            <w:r w:rsidRPr="0018386D">
              <w:rPr>
                <w:rFonts w:cs="Calibri"/>
                <w:szCs w:val="18"/>
              </w:rPr>
              <w:t>3.11</w:t>
            </w:r>
          </w:p>
        </w:tc>
        <w:tc>
          <w:tcPr>
            <w:tcW w:w="1077" w:type="dxa"/>
            <w:shd w:val="clear" w:color="auto" w:fill="FFFFFF" w:themeFill="background1"/>
            <w:noWrap/>
            <w:hideMark/>
          </w:tcPr>
          <w:p w14:paraId="7BA21C8E" w14:textId="16256D00" w:rsidR="008E2ED2" w:rsidRPr="0018386D" w:rsidRDefault="008E2ED2" w:rsidP="00DD3106">
            <w:pPr>
              <w:pStyle w:val="TableText"/>
              <w:spacing w:before="30" w:after="30"/>
              <w:jc w:val="center"/>
              <w:rPr>
                <w:rFonts w:cs="Calibri"/>
                <w:szCs w:val="18"/>
              </w:rPr>
            </w:pPr>
            <w:r w:rsidRPr="0018386D">
              <w:rPr>
                <w:rFonts w:cs="Calibri"/>
                <w:szCs w:val="18"/>
              </w:rPr>
              <w:t>99.1</w:t>
            </w:r>
          </w:p>
        </w:tc>
        <w:tc>
          <w:tcPr>
            <w:tcW w:w="964" w:type="dxa"/>
            <w:shd w:val="clear" w:color="auto" w:fill="FFFFFF" w:themeFill="background1"/>
            <w:noWrap/>
            <w:hideMark/>
          </w:tcPr>
          <w:p w14:paraId="152E6388" w14:textId="3FD238E6" w:rsidR="008E2ED2" w:rsidRPr="0018386D" w:rsidRDefault="00026F12" w:rsidP="00DD3106">
            <w:pPr>
              <w:pStyle w:val="TableText"/>
              <w:spacing w:before="30" w:after="30"/>
              <w:rPr>
                <w:rFonts w:cs="Calibri"/>
                <w:color w:val="888888"/>
                <w:szCs w:val="18"/>
              </w:rPr>
            </w:pPr>
            <w:r w:rsidRPr="0018386D">
              <w:rPr>
                <w:rFonts w:cs="Calibri"/>
                <w:szCs w:val="18"/>
              </w:rPr>
              <w:t>0.05%</w:t>
            </w:r>
          </w:p>
        </w:tc>
      </w:tr>
      <w:tr w:rsidR="00F93841" w:rsidRPr="0018386D" w14:paraId="25A874FE" w14:textId="77777777" w:rsidTr="00585C64">
        <w:trPr>
          <w:divId w:val="1808468637"/>
          <w:trHeight w:val="240"/>
        </w:trPr>
        <w:tc>
          <w:tcPr>
            <w:tcW w:w="1277" w:type="dxa"/>
            <w:tcBorders>
              <w:top w:val="nil"/>
              <w:bottom w:val="single" w:sz="4" w:space="0" w:color="auto"/>
              <w:right w:val="single" w:sz="4" w:space="0" w:color="auto"/>
            </w:tcBorders>
            <w:shd w:val="clear" w:color="auto" w:fill="FFFFFF" w:themeFill="background1"/>
            <w:noWrap/>
            <w:hideMark/>
          </w:tcPr>
          <w:p w14:paraId="1ED595F2" w14:textId="77777777" w:rsidR="008E2ED2" w:rsidRPr="0018386D" w:rsidRDefault="008E2ED2" w:rsidP="00DD3106">
            <w:pPr>
              <w:pStyle w:val="TableText"/>
              <w:spacing w:before="30" w:after="30"/>
              <w:rPr>
                <w:rFonts w:cs="Calibri"/>
                <w:szCs w:val="18"/>
              </w:rPr>
            </w:pPr>
            <w:r w:rsidRPr="0018386D">
              <w:rPr>
                <w:rFonts w:cs="Calibri"/>
                <w:szCs w:val="18"/>
              </w:rPr>
              <w:t> </w:t>
            </w:r>
          </w:p>
        </w:tc>
        <w:tc>
          <w:tcPr>
            <w:tcW w:w="565" w:type="dxa"/>
            <w:tcBorders>
              <w:left w:val="single" w:sz="4" w:space="0" w:color="auto"/>
            </w:tcBorders>
            <w:shd w:val="clear" w:color="auto" w:fill="FFFFFF" w:themeFill="background1"/>
            <w:noWrap/>
            <w:hideMark/>
          </w:tcPr>
          <w:p w14:paraId="02E62655" w14:textId="77777777" w:rsidR="008E2ED2" w:rsidRPr="0018386D" w:rsidRDefault="008E2ED2" w:rsidP="00DD3106">
            <w:pPr>
              <w:pStyle w:val="TableText"/>
              <w:spacing w:before="30" w:after="30"/>
              <w:rPr>
                <w:rFonts w:cs="Calibri"/>
                <w:szCs w:val="18"/>
              </w:rPr>
            </w:pPr>
            <w:r w:rsidRPr="0018386D">
              <w:rPr>
                <w:rFonts w:cs="Calibri"/>
                <w:szCs w:val="18"/>
              </w:rPr>
              <w:t>litre</w:t>
            </w:r>
          </w:p>
        </w:tc>
        <w:tc>
          <w:tcPr>
            <w:tcW w:w="964" w:type="dxa"/>
            <w:shd w:val="clear" w:color="auto" w:fill="D2DDE1" w:themeFill="background2"/>
            <w:noWrap/>
            <w:hideMark/>
          </w:tcPr>
          <w:p w14:paraId="52592DF2" w14:textId="2AD322DB" w:rsidR="008E2ED2" w:rsidRPr="0018386D" w:rsidRDefault="008E2ED2" w:rsidP="00DD3106">
            <w:pPr>
              <w:pStyle w:val="TableText"/>
              <w:spacing w:before="30" w:after="30"/>
              <w:jc w:val="center"/>
              <w:rPr>
                <w:rFonts w:cs="Calibri"/>
                <w:szCs w:val="18"/>
              </w:rPr>
            </w:pPr>
            <w:r w:rsidRPr="0018386D">
              <w:rPr>
                <w:rFonts w:cs="Calibri"/>
                <w:szCs w:val="18"/>
              </w:rPr>
              <w:t>0.0917</w:t>
            </w:r>
          </w:p>
        </w:tc>
        <w:tc>
          <w:tcPr>
            <w:tcW w:w="964" w:type="dxa"/>
            <w:shd w:val="clear" w:color="auto" w:fill="FFFFFF" w:themeFill="background1"/>
            <w:noWrap/>
            <w:hideMark/>
          </w:tcPr>
          <w:p w14:paraId="4244770E" w14:textId="00ECE27C" w:rsidR="008E2ED2" w:rsidRPr="0018386D" w:rsidRDefault="008E2ED2" w:rsidP="00DD3106">
            <w:pPr>
              <w:pStyle w:val="TableText"/>
              <w:spacing w:before="30" w:after="30"/>
              <w:jc w:val="center"/>
              <w:rPr>
                <w:rFonts w:cs="Calibri"/>
                <w:szCs w:val="18"/>
              </w:rPr>
            </w:pPr>
            <w:r w:rsidRPr="0018386D">
              <w:rPr>
                <w:rFonts w:cs="Calibri"/>
                <w:szCs w:val="18"/>
              </w:rPr>
              <w:t>0.0184</w:t>
            </w:r>
          </w:p>
        </w:tc>
        <w:tc>
          <w:tcPr>
            <w:tcW w:w="964" w:type="dxa"/>
            <w:shd w:val="clear" w:color="auto" w:fill="FFFFFF" w:themeFill="background1"/>
            <w:noWrap/>
            <w:hideMark/>
          </w:tcPr>
          <w:p w14:paraId="57983245" w14:textId="1AB967FF" w:rsidR="008E2ED2" w:rsidRPr="0018386D" w:rsidRDefault="008E2ED2" w:rsidP="00DD3106">
            <w:pPr>
              <w:pStyle w:val="TableText"/>
              <w:spacing w:before="30" w:after="30"/>
              <w:jc w:val="center"/>
              <w:rPr>
                <w:rFonts w:cs="Calibri"/>
                <w:szCs w:val="18"/>
              </w:rPr>
            </w:pPr>
            <w:r w:rsidRPr="0018386D">
              <w:rPr>
                <w:rFonts w:cs="Calibri"/>
                <w:szCs w:val="18"/>
              </w:rPr>
              <w:t>0.0733</w:t>
            </w:r>
          </w:p>
        </w:tc>
        <w:tc>
          <w:tcPr>
            <w:tcW w:w="1077" w:type="dxa"/>
            <w:shd w:val="clear" w:color="auto" w:fill="FFFFFF" w:themeFill="background1"/>
            <w:noWrap/>
            <w:hideMark/>
          </w:tcPr>
          <w:p w14:paraId="04CD6746" w14:textId="55D756E9" w:rsidR="008E2ED2" w:rsidRPr="0018386D" w:rsidRDefault="008E2ED2" w:rsidP="00DD3106">
            <w:pPr>
              <w:pStyle w:val="TableText"/>
              <w:spacing w:before="30" w:after="30"/>
              <w:jc w:val="center"/>
              <w:rPr>
                <w:rFonts w:cs="Calibri"/>
                <w:szCs w:val="18"/>
              </w:rPr>
            </w:pPr>
            <w:r w:rsidRPr="0018386D">
              <w:rPr>
                <w:rFonts w:cs="Calibri"/>
                <w:szCs w:val="18"/>
              </w:rPr>
              <w:t>2.34</w:t>
            </w:r>
          </w:p>
        </w:tc>
        <w:tc>
          <w:tcPr>
            <w:tcW w:w="964" w:type="dxa"/>
            <w:shd w:val="clear" w:color="auto" w:fill="FFFFFF" w:themeFill="background1"/>
            <w:noWrap/>
            <w:hideMark/>
          </w:tcPr>
          <w:p w14:paraId="56FF929D" w14:textId="17B1A5CE" w:rsidR="008E2ED2" w:rsidRPr="0018386D" w:rsidRDefault="00026F12" w:rsidP="00DD3106">
            <w:pPr>
              <w:pStyle w:val="TableText"/>
              <w:spacing w:before="30" w:after="30"/>
              <w:rPr>
                <w:rFonts w:cs="Calibri"/>
                <w:color w:val="888888"/>
                <w:szCs w:val="18"/>
              </w:rPr>
            </w:pPr>
            <w:r w:rsidRPr="0018386D">
              <w:rPr>
                <w:rFonts w:cs="Calibri"/>
                <w:szCs w:val="18"/>
              </w:rPr>
              <w:t>0.05%</w:t>
            </w:r>
          </w:p>
        </w:tc>
      </w:tr>
      <w:tr w:rsidR="00F93841" w:rsidRPr="0018386D" w14:paraId="3E171259" w14:textId="77777777" w:rsidTr="00585C64">
        <w:trPr>
          <w:divId w:val="1808468637"/>
          <w:trHeight w:val="240"/>
        </w:trPr>
        <w:tc>
          <w:tcPr>
            <w:tcW w:w="1277" w:type="dxa"/>
            <w:tcBorders>
              <w:top w:val="single" w:sz="4" w:space="0" w:color="auto"/>
              <w:bottom w:val="nil"/>
              <w:right w:val="single" w:sz="4" w:space="0" w:color="auto"/>
            </w:tcBorders>
            <w:shd w:val="clear" w:color="auto" w:fill="FFFFFF" w:themeFill="background1"/>
            <w:noWrap/>
            <w:hideMark/>
          </w:tcPr>
          <w:p w14:paraId="4A9CF396" w14:textId="1FB2F322" w:rsidR="008E2ED2" w:rsidRPr="0018386D" w:rsidRDefault="008E2ED2" w:rsidP="00DD3106">
            <w:pPr>
              <w:pStyle w:val="TableText"/>
              <w:spacing w:before="30" w:after="30"/>
              <w:rPr>
                <w:rFonts w:cs="Calibri"/>
                <w:szCs w:val="18"/>
              </w:rPr>
            </w:pPr>
            <w:r w:rsidRPr="0018386D">
              <w:rPr>
                <w:rFonts w:cs="Calibri"/>
                <w:szCs w:val="18"/>
              </w:rPr>
              <w:t>Biodiesel</w:t>
            </w:r>
          </w:p>
        </w:tc>
        <w:tc>
          <w:tcPr>
            <w:tcW w:w="565" w:type="dxa"/>
            <w:tcBorders>
              <w:left w:val="single" w:sz="4" w:space="0" w:color="auto"/>
            </w:tcBorders>
            <w:shd w:val="clear" w:color="auto" w:fill="FFFFFF" w:themeFill="background1"/>
            <w:noWrap/>
            <w:hideMark/>
          </w:tcPr>
          <w:p w14:paraId="0239ADFE" w14:textId="77777777" w:rsidR="008E2ED2" w:rsidRPr="0018386D" w:rsidRDefault="008E2ED2" w:rsidP="00DD3106">
            <w:pPr>
              <w:pStyle w:val="TableText"/>
              <w:spacing w:before="30" w:after="30"/>
              <w:rPr>
                <w:rFonts w:cs="Calibri"/>
                <w:szCs w:val="18"/>
              </w:rPr>
            </w:pPr>
            <w:r w:rsidRPr="0018386D">
              <w:rPr>
                <w:rFonts w:cs="Calibri"/>
                <w:szCs w:val="18"/>
              </w:rPr>
              <w:t>GJ</w:t>
            </w:r>
          </w:p>
        </w:tc>
        <w:tc>
          <w:tcPr>
            <w:tcW w:w="964" w:type="dxa"/>
            <w:shd w:val="clear" w:color="auto" w:fill="D2DDE1" w:themeFill="background2"/>
            <w:noWrap/>
            <w:hideMark/>
          </w:tcPr>
          <w:p w14:paraId="79D49D58" w14:textId="2F262051" w:rsidR="008E2ED2" w:rsidRPr="0018386D" w:rsidRDefault="008E2ED2" w:rsidP="00DD3106">
            <w:pPr>
              <w:pStyle w:val="TableText"/>
              <w:spacing w:before="30" w:after="30"/>
              <w:jc w:val="center"/>
              <w:rPr>
                <w:rFonts w:cs="Calibri"/>
                <w:szCs w:val="18"/>
              </w:rPr>
            </w:pPr>
            <w:r w:rsidRPr="0018386D">
              <w:rPr>
                <w:rFonts w:cs="Calibri"/>
                <w:szCs w:val="18"/>
              </w:rPr>
              <w:t>0.963</w:t>
            </w:r>
          </w:p>
        </w:tc>
        <w:tc>
          <w:tcPr>
            <w:tcW w:w="964" w:type="dxa"/>
            <w:shd w:val="clear" w:color="auto" w:fill="FFFFFF" w:themeFill="background1"/>
            <w:noWrap/>
            <w:hideMark/>
          </w:tcPr>
          <w:p w14:paraId="6CA54263" w14:textId="64B28968" w:rsidR="008E2ED2" w:rsidRPr="0018386D" w:rsidRDefault="008E2ED2" w:rsidP="00DD3106">
            <w:pPr>
              <w:pStyle w:val="TableText"/>
              <w:spacing w:before="30" w:after="30"/>
              <w:jc w:val="center"/>
              <w:rPr>
                <w:rFonts w:cs="Calibri"/>
                <w:szCs w:val="18"/>
              </w:rPr>
            </w:pPr>
            <w:r w:rsidRPr="0018386D">
              <w:rPr>
                <w:rFonts w:cs="Calibri"/>
                <w:szCs w:val="18"/>
              </w:rPr>
              <w:t>0.327</w:t>
            </w:r>
          </w:p>
        </w:tc>
        <w:tc>
          <w:tcPr>
            <w:tcW w:w="964" w:type="dxa"/>
            <w:shd w:val="clear" w:color="auto" w:fill="FFFFFF" w:themeFill="background1"/>
            <w:noWrap/>
            <w:hideMark/>
          </w:tcPr>
          <w:p w14:paraId="1AF0C5D4" w14:textId="304E4DA6" w:rsidR="008E2ED2" w:rsidRPr="0018386D" w:rsidRDefault="008E2ED2" w:rsidP="00DD3106">
            <w:pPr>
              <w:pStyle w:val="TableText"/>
              <w:spacing w:before="30" w:after="30"/>
              <w:jc w:val="center"/>
              <w:rPr>
                <w:rFonts w:cs="Calibri"/>
                <w:szCs w:val="18"/>
              </w:rPr>
            </w:pPr>
            <w:r w:rsidRPr="0018386D">
              <w:rPr>
                <w:rFonts w:cs="Calibri"/>
                <w:szCs w:val="18"/>
              </w:rPr>
              <w:t>0.636</w:t>
            </w:r>
          </w:p>
        </w:tc>
        <w:tc>
          <w:tcPr>
            <w:tcW w:w="1077" w:type="dxa"/>
            <w:shd w:val="clear" w:color="auto" w:fill="FFFFFF" w:themeFill="background1"/>
            <w:noWrap/>
            <w:hideMark/>
          </w:tcPr>
          <w:p w14:paraId="21E22538" w14:textId="47059E3D" w:rsidR="008E2ED2" w:rsidRPr="0018386D" w:rsidRDefault="008E2ED2" w:rsidP="00DD3106">
            <w:pPr>
              <w:pStyle w:val="TableText"/>
              <w:spacing w:before="30" w:after="30"/>
              <w:jc w:val="center"/>
              <w:rPr>
                <w:rFonts w:cs="Calibri"/>
                <w:szCs w:val="18"/>
              </w:rPr>
            </w:pPr>
            <w:r w:rsidRPr="0018386D">
              <w:rPr>
                <w:rFonts w:cs="Calibri"/>
                <w:szCs w:val="18"/>
              </w:rPr>
              <w:t>43.6</w:t>
            </w:r>
          </w:p>
        </w:tc>
        <w:tc>
          <w:tcPr>
            <w:tcW w:w="964" w:type="dxa"/>
            <w:shd w:val="clear" w:color="auto" w:fill="FFFFFF" w:themeFill="background1"/>
            <w:noWrap/>
            <w:hideMark/>
          </w:tcPr>
          <w:p w14:paraId="7BBA8897" w14:textId="700926CE" w:rsidR="008E2ED2" w:rsidRPr="0018386D" w:rsidRDefault="00026F12" w:rsidP="00DD3106">
            <w:pPr>
              <w:pStyle w:val="TableText"/>
              <w:spacing w:before="30" w:after="30"/>
              <w:rPr>
                <w:rFonts w:cs="Calibri"/>
                <w:color w:val="888888"/>
                <w:szCs w:val="18"/>
              </w:rPr>
            </w:pPr>
            <w:r w:rsidRPr="0018386D">
              <w:rPr>
                <w:rFonts w:cs="Calibri"/>
                <w:szCs w:val="18"/>
              </w:rPr>
              <w:t>0.05%</w:t>
            </w:r>
          </w:p>
        </w:tc>
      </w:tr>
      <w:tr w:rsidR="00F93841" w:rsidRPr="0018386D" w14:paraId="79721AB6" w14:textId="77777777" w:rsidTr="00585C64">
        <w:trPr>
          <w:divId w:val="1808468637"/>
          <w:trHeight w:val="240"/>
        </w:trPr>
        <w:tc>
          <w:tcPr>
            <w:tcW w:w="1277" w:type="dxa"/>
            <w:tcBorders>
              <w:top w:val="nil"/>
              <w:bottom w:val="single" w:sz="4" w:space="0" w:color="auto"/>
              <w:right w:val="single" w:sz="4" w:space="0" w:color="auto"/>
            </w:tcBorders>
            <w:shd w:val="clear" w:color="auto" w:fill="FFFFFF" w:themeFill="background1"/>
            <w:noWrap/>
            <w:hideMark/>
          </w:tcPr>
          <w:p w14:paraId="1627C62A" w14:textId="77777777" w:rsidR="008E2ED2" w:rsidRPr="0018386D" w:rsidRDefault="008E2ED2" w:rsidP="00DD3106">
            <w:pPr>
              <w:pStyle w:val="TableText"/>
              <w:spacing w:before="30" w:after="30"/>
              <w:rPr>
                <w:rFonts w:cs="Calibri"/>
                <w:szCs w:val="18"/>
              </w:rPr>
            </w:pPr>
            <w:r w:rsidRPr="0018386D">
              <w:rPr>
                <w:rFonts w:cs="Calibri"/>
                <w:szCs w:val="18"/>
              </w:rPr>
              <w:t> </w:t>
            </w:r>
          </w:p>
        </w:tc>
        <w:tc>
          <w:tcPr>
            <w:tcW w:w="565" w:type="dxa"/>
            <w:tcBorders>
              <w:left w:val="single" w:sz="4" w:space="0" w:color="auto"/>
            </w:tcBorders>
            <w:shd w:val="clear" w:color="auto" w:fill="FFFFFF" w:themeFill="background1"/>
            <w:noWrap/>
            <w:hideMark/>
          </w:tcPr>
          <w:p w14:paraId="0EE9E6F8" w14:textId="77777777" w:rsidR="008E2ED2" w:rsidRPr="0018386D" w:rsidRDefault="008E2ED2" w:rsidP="00DD3106">
            <w:pPr>
              <w:pStyle w:val="TableText"/>
              <w:spacing w:before="30" w:after="30"/>
              <w:rPr>
                <w:rFonts w:cs="Calibri"/>
                <w:szCs w:val="18"/>
              </w:rPr>
            </w:pPr>
            <w:r w:rsidRPr="0018386D">
              <w:rPr>
                <w:rFonts w:cs="Calibri"/>
                <w:szCs w:val="18"/>
              </w:rPr>
              <w:t>litre</w:t>
            </w:r>
          </w:p>
        </w:tc>
        <w:tc>
          <w:tcPr>
            <w:tcW w:w="964" w:type="dxa"/>
            <w:shd w:val="clear" w:color="auto" w:fill="D2DDE1" w:themeFill="background2"/>
            <w:noWrap/>
            <w:hideMark/>
          </w:tcPr>
          <w:p w14:paraId="3E4E63ED" w14:textId="016E1E6F" w:rsidR="008E2ED2" w:rsidRPr="0018386D" w:rsidRDefault="008E2ED2" w:rsidP="00DD3106">
            <w:pPr>
              <w:pStyle w:val="TableText"/>
              <w:spacing w:before="30" w:after="30"/>
              <w:jc w:val="center"/>
              <w:rPr>
                <w:rFonts w:cs="Calibri"/>
                <w:szCs w:val="18"/>
              </w:rPr>
            </w:pPr>
            <w:r w:rsidRPr="0018386D">
              <w:rPr>
                <w:rFonts w:cs="Calibri"/>
                <w:szCs w:val="18"/>
              </w:rPr>
              <w:t>0.0351</w:t>
            </w:r>
          </w:p>
        </w:tc>
        <w:tc>
          <w:tcPr>
            <w:tcW w:w="964" w:type="dxa"/>
            <w:shd w:val="clear" w:color="auto" w:fill="FFFFFF" w:themeFill="background1"/>
            <w:noWrap/>
            <w:hideMark/>
          </w:tcPr>
          <w:p w14:paraId="605C5EE7" w14:textId="78923ABF" w:rsidR="008E2ED2" w:rsidRPr="0018386D" w:rsidRDefault="008E2ED2" w:rsidP="00DD3106">
            <w:pPr>
              <w:pStyle w:val="TableText"/>
              <w:spacing w:before="30" w:after="30"/>
              <w:jc w:val="center"/>
              <w:rPr>
                <w:rFonts w:cs="Calibri"/>
                <w:szCs w:val="18"/>
              </w:rPr>
            </w:pPr>
            <w:r w:rsidRPr="0018386D">
              <w:rPr>
                <w:rFonts w:cs="Calibri"/>
                <w:szCs w:val="18"/>
              </w:rPr>
              <w:t>0.0119</w:t>
            </w:r>
          </w:p>
        </w:tc>
        <w:tc>
          <w:tcPr>
            <w:tcW w:w="964" w:type="dxa"/>
            <w:shd w:val="clear" w:color="auto" w:fill="FFFFFF" w:themeFill="background1"/>
            <w:noWrap/>
            <w:hideMark/>
          </w:tcPr>
          <w:p w14:paraId="52B19BA8" w14:textId="1CE4BAF5" w:rsidR="008E2ED2" w:rsidRPr="0018386D" w:rsidRDefault="008E2ED2" w:rsidP="00DD3106">
            <w:pPr>
              <w:pStyle w:val="TableText"/>
              <w:spacing w:before="30" w:after="30"/>
              <w:jc w:val="center"/>
              <w:rPr>
                <w:rFonts w:cs="Calibri"/>
                <w:szCs w:val="18"/>
              </w:rPr>
            </w:pPr>
            <w:r w:rsidRPr="0018386D">
              <w:rPr>
                <w:rFonts w:cs="Calibri"/>
                <w:szCs w:val="18"/>
              </w:rPr>
              <w:t>0.0232</w:t>
            </w:r>
          </w:p>
        </w:tc>
        <w:tc>
          <w:tcPr>
            <w:tcW w:w="1077" w:type="dxa"/>
            <w:shd w:val="clear" w:color="auto" w:fill="FFFFFF" w:themeFill="background1"/>
            <w:noWrap/>
            <w:hideMark/>
          </w:tcPr>
          <w:p w14:paraId="02AD70C6" w14:textId="0DE51AE7" w:rsidR="008E2ED2" w:rsidRPr="0018386D" w:rsidRDefault="008E2ED2" w:rsidP="00DD3106">
            <w:pPr>
              <w:pStyle w:val="TableText"/>
              <w:spacing w:before="30" w:after="30"/>
              <w:jc w:val="center"/>
              <w:rPr>
                <w:rFonts w:cs="Calibri"/>
                <w:szCs w:val="18"/>
              </w:rPr>
            </w:pPr>
            <w:r w:rsidRPr="0018386D">
              <w:rPr>
                <w:rFonts w:cs="Calibri"/>
                <w:szCs w:val="18"/>
              </w:rPr>
              <w:t>1.59</w:t>
            </w:r>
          </w:p>
        </w:tc>
        <w:tc>
          <w:tcPr>
            <w:tcW w:w="964" w:type="dxa"/>
            <w:shd w:val="clear" w:color="auto" w:fill="FFFFFF" w:themeFill="background1"/>
            <w:noWrap/>
            <w:hideMark/>
          </w:tcPr>
          <w:p w14:paraId="52CC0F41" w14:textId="041C8B4A" w:rsidR="008E2ED2" w:rsidRPr="0018386D" w:rsidRDefault="00026F12" w:rsidP="00DD3106">
            <w:pPr>
              <w:pStyle w:val="TableText"/>
              <w:spacing w:before="30" w:after="30"/>
              <w:rPr>
                <w:rFonts w:cs="Calibri"/>
                <w:color w:val="888888"/>
                <w:szCs w:val="18"/>
              </w:rPr>
            </w:pPr>
            <w:r w:rsidRPr="0018386D">
              <w:rPr>
                <w:rFonts w:cs="Calibri"/>
                <w:szCs w:val="18"/>
              </w:rPr>
              <w:t>0.05%</w:t>
            </w:r>
          </w:p>
        </w:tc>
      </w:tr>
      <w:tr w:rsidR="00F93841" w:rsidRPr="0018386D" w14:paraId="659D1BE6" w14:textId="77777777" w:rsidTr="00585C64">
        <w:trPr>
          <w:divId w:val="1808468637"/>
          <w:trHeight w:val="240"/>
        </w:trPr>
        <w:tc>
          <w:tcPr>
            <w:tcW w:w="1277" w:type="dxa"/>
            <w:tcBorders>
              <w:top w:val="single" w:sz="4" w:space="0" w:color="auto"/>
            </w:tcBorders>
            <w:shd w:val="clear" w:color="auto" w:fill="FFFFFF" w:themeFill="background1"/>
            <w:noWrap/>
            <w:hideMark/>
          </w:tcPr>
          <w:p w14:paraId="2977B0C1" w14:textId="010F46B2" w:rsidR="008E2ED2" w:rsidRPr="0018386D" w:rsidRDefault="008E2ED2" w:rsidP="00DD3106">
            <w:pPr>
              <w:pStyle w:val="TableText"/>
              <w:spacing w:before="30" w:after="30"/>
              <w:rPr>
                <w:rFonts w:cs="Calibri"/>
                <w:szCs w:val="18"/>
              </w:rPr>
            </w:pPr>
            <w:r w:rsidRPr="0018386D">
              <w:rPr>
                <w:rFonts w:cs="Calibri"/>
                <w:szCs w:val="18"/>
              </w:rPr>
              <w:t xml:space="preserve">Wood </w:t>
            </w:r>
            <w:r w:rsidR="0086469C" w:rsidRPr="0018386D">
              <w:rPr>
                <w:rFonts w:cs="Calibri"/>
                <w:szCs w:val="18"/>
              </w:rPr>
              <w:t>–</w:t>
            </w:r>
            <w:r w:rsidR="00A63D20" w:rsidRPr="0018386D">
              <w:rPr>
                <w:rFonts w:cs="Calibri"/>
                <w:szCs w:val="18"/>
              </w:rPr>
              <w:t xml:space="preserve"> </w:t>
            </w:r>
            <w:r w:rsidR="0086469C" w:rsidRPr="0018386D">
              <w:rPr>
                <w:rFonts w:cs="Calibri"/>
                <w:szCs w:val="18"/>
              </w:rPr>
              <w:t>r</w:t>
            </w:r>
            <w:r w:rsidRPr="0018386D">
              <w:rPr>
                <w:rFonts w:cs="Calibri"/>
                <w:szCs w:val="18"/>
              </w:rPr>
              <w:t>esidential</w:t>
            </w:r>
          </w:p>
        </w:tc>
        <w:tc>
          <w:tcPr>
            <w:tcW w:w="565" w:type="dxa"/>
            <w:shd w:val="clear" w:color="auto" w:fill="FFFFFF" w:themeFill="background1"/>
            <w:noWrap/>
            <w:hideMark/>
          </w:tcPr>
          <w:p w14:paraId="6FC4A0AC" w14:textId="77777777" w:rsidR="008E2ED2" w:rsidRPr="0018386D" w:rsidRDefault="008E2ED2" w:rsidP="00DD3106">
            <w:pPr>
              <w:pStyle w:val="TableText"/>
              <w:spacing w:before="30" w:after="30"/>
              <w:rPr>
                <w:rFonts w:cs="Calibri"/>
                <w:szCs w:val="18"/>
              </w:rPr>
            </w:pPr>
            <w:r w:rsidRPr="0018386D">
              <w:rPr>
                <w:rFonts w:cs="Calibri"/>
                <w:szCs w:val="18"/>
              </w:rPr>
              <w:t>kg</w:t>
            </w:r>
          </w:p>
        </w:tc>
        <w:tc>
          <w:tcPr>
            <w:tcW w:w="964" w:type="dxa"/>
            <w:shd w:val="clear" w:color="auto" w:fill="D2DDE1" w:themeFill="background2"/>
            <w:noWrap/>
            <w:hideMark/>
          </w:tcPr>
          <w:p w14:paraId="6554C80A" w14:textId="53B032E6" w:rsidR="008E2ED2" w:rsidRPr="0018386D" w:rsidRDefault="008E2ED2" w:rsidP="00DD3106">
            <w:pPr>
              <w:pStyle w:val="TableText"/>
              <w:spacing w:before="30" w:after="30"/>
              <w:jc w:val="center"/>
              <w:rPr>
                <w:rFonts w:cs="Calibri"/>
                <w:szCs w:val="18"/>
              </w:rPr>
            </w:pPr>
            <w:r w:rsidRPr="0018386D">
              <w:rPr>
                <w:rFonts w:cs="Calibri"/>
                <w:szCs w:val="18"/>
              </w:rPr>
              <w:t>0.0729</w:t>
            </w:r>
          </w:p>
        </w:tc>
        <w:tc>
          <w:tcPr>
            <w:tcW w:w="964" w:type="dxa"/>
            <w:shd w:val="clear" w:color="auto" w:fill="FFFFFF" w:themeFill="background1"/>
            <w:noWrap/>
            <w:hideMark/>
          </w:tcPr>
          <w:p w14:paraId="008B14A8" w14:textId="299D776D" w:rsidR="008E2ED2" w:rsidRPr="0018386D" w:rsidRDefault="008E2ED2" w:rsidP="00DD3106">
            <w:pPr>
              <w:pStyle w:val="TableText"/>
              <w:spacing w:before="30" w:after="30"/>
              <w:jc w:val="center"/>
              <w:rPr>
                <w:rFonts w:cs="Calibri"/>
                <w:szCs w:val="18"/>
              </w:rPr>
            </w:pPr>
            <w:r w:rsidRPr="0018386D">
              <w:rPr>
                <w:rFonts w:cs="Calibri"/>
                <w:szCs w:val="18"/>
              </w:rPr>
              <w:t>0.0647</w:t>
            </w:r>
          </w:p>
        </w:tc>
        <w:tc>
          <w:tcPr>
            <w:tcW w:w="964" w:type="dxa"/>
            <w:shd w:val="clear" w:color="auto" w:fill="FFFFFF" w:themeFill="background1"/>
            <w:noWrap/>
            <w:hideMark/>
          </w:tcPr>
          <w:p w14:paraId="72A42F85" w14:textId="18FB4A38" w:rsidR="008E2ED2" w:rsidRPr="0018386D" w:rsidRDefault="008E2ED2" w:rsidP="00DD3106">
            <w:pPr>
              <w:pStyle w:val="TableText"/>
              <w:spacing w:before="30" w:after="30"/>
              <w:jc w:val="center"/>
              <w:rPr>
                <w:rFonts w:cs="Calibri"/>
                <w:szCs w:val="18"/>
              </w:rPr>
            </w:pPr>
            <w:r w:rsidRPr="0018386D">
              <w:rPr>
                <w:rFonts w:cs="Calibri"/>
                <w:szCs w:val="18"/>
              </w:rPr>
              <w:t>0.00817</w:t>
            </w:r>
          </w:p>
        </w:tc>
        <w:tc>
          <w:tcPr>
            <w:tcW w:w="1077" w:type="dxa"/>
            <w:shd w:val="clear" w:color="auto" w:fill="FFFFFF" w:themeFill="background1"/>
            <w:noWrap/>
            <w:hideMark/>
          </w:tcPr>
          <w:p w14:paraId="1FBFEDE4" w14:textId="7B5B13F7" w:rsidR="008E2ED2" w:rsidRPr="0018386D" w:rsidRDefault="008E2ED2" w:rsidP="00DD3106">
            <w:pPr>
              <w:pStyle w:val="TableText"/>
              <w:spacing w:before="30" w:after="30"/>
              <w:jc w:val="center"/>
              <w:rPr>
                <w:rFonts w:cs="Calibri"/>
                <w:szCs w:val="18"/>
              </w:rPr>
            </w:pPr>
            <w:r w:rsidRPr="0018386D">
              <w:rPr>
                <w:rFonts w:cs="Calibri"/>
                <w:szCs w:val="18"/>
              </w:rPr>
              <w:t>0.862</w:t>
            </w:r>
          </w:p>
        </w:tc>
        <w:tc>
          <w:tcPr>
            <w:tcW w:w="964" w:type="dxa"/>
            <w:shd w:val="clear" w:color="auto" w:fill="FFFFFF" w:themeFill="background1"/>
            <w:noWrap/>
            <w:hideMark/>
          </w:tcPr>
          <w:p w14:paraId="21160A7D" w14:textId="1882D9CD" w:rsidR="008E2ED2" w:rsidRPr="0018386D" w:rsidRDefault="009A3D33" w:rsidP="00DD3106">
            <w:pPr>
              <w:pStyle w:val="TableText"/>
              <w:spacing w:before="30" w:after="30"/>
              <w:rPr>
                <w:rFonts w:cs="Calibri"/>
                <w:color w:val="888888"/>
                <w:szCs w:val="18"/>
              </w:rPr>
            </w:pPr>
            <w:r w:rsidRPr="0018386D">
              <w:rPr>
                <w:rFonts w:cs="Calibri"/>
                <w:szCs w:val="18"/>
              </w:rPr>
              <w:t>36.26</w:t>
            </w:r>
            <w:r w:rsidR="006F3F71" w:rsidRPr="0018386D">
              <w:rPr>
                <w:rFonts w:cs="Calibri"/>
                <w:szCs w:val="18"/>
              </w:rPr>
              <w:t>%</w:t>
            </w:r>
          </w:p>
        </w:tc>
      </w:tr>
      <w:tr w:rsidR="00F93841" w:rsidRPr="0018386D" w14:paraId="2D8B50E0" w14:textId="77777777" w:rsidTr="4CD657CB">
        <w:trPr>
          <w:divId w:val="1808468637"/>
          <w:trHeight w:val="240"/>
        </w:trPr>
        <w:tc>
          <w:tcPr>
            <w:tcW w:w="1277" w:type="dxa"/>
            <w:shd w:val="clear" w:color="auto" w:fill="FFFFFF" w:themeFill="background1"/>
            <w:noWrap/>
            <w:hideMark/>
          </w:tcPr>
          <w:p w14:paraId="57443320" w14:textId="1142636A" w:rsidR="008E2ED2" w:rsidRPr="0018386D" w:rsidRDefault="008E2ED2" w:rsidP="00DD3106">
            <w:pPr>
              <w:pStyle w:val="TableText"/>
              <w:spacing w:before="30" w:after="30"/>
              <w:rPr>
                <w:rFonts w:cs="Calibri"/>
              </w:rPr>
            </w:pPr>
            <w:r w:rsidRPr="0018386D">
              <w:rPr>
                <w:rFonts w:cs="Calibri"/>
              </w:rPr>
              <w:t xml:space="preserve">Wood </w:t>
            </w:r>
            <w:r w:rsidR="0086469C" w:rsidRPr="0018386D">
              <w:rPr>
                <w:rFonts w:cs="Calibri"/>
              </w:rPr>
              <w:t>– i</w:t>
            </w:r>
            <w:r w:rsidRPr="0018386D">
              <w:rPr>
                <w:rFonts w:cs="Calibri"/>
              </w:rPr>
              <w:t>ndustrial</w:t>
            </w:r>
          </w:p>
        </w:tc>
        <w:tc>
          <w:tcPr>
            <w:tcW w:w="565" w:type="dxa"/>
            <w:shd w:val="clear" w:color="auto" w:fill="FFFFFF" w:themeFill="background1"/>
            <w:noWrap/>
            <w:hideMark/>
          </w:tcPr>
          <w:p w14:paraId="6E6A3407" w14:textId="77777777" w:rsidR="008E2ED2" w:rsidRPr="0018386D" w:rsidRDefault="008E2ED2" w:rsidP="00DD3106">
            <w:pPr>
              <w:pStyle w:val="TableText"/>
              <w:spacing w:before="30" w:after="30"/>
              <w:rPr>
                <w:rFonts w:cs="Calibri"/>
                <w:szCs w:val="18"/>
              </w:rPr>
            </w:pPr>
            <w:r w:rsidRPr="0018386D">
              <w:rPr>
                <w:rFonts w:cs="Calibri"/>
                <w:szCs w:val="18"/>
              </w:rPr>
              <w:t>kg</w:t>
            </w:r>
          </w:p>
        </w:tc>
        <w:tc>
          <w:tcPr>
            <w:tcW w:w="964" w:type="dxa"/>
            <w:shd w:val="clear" w:color="auto" w:fill="D2DDE1" w:themeFill="background2"/>
            <w:noWrap/>
            <w:hideMark/>
          </w:tcPr>
          <w:p w14:paraId="7B5AF5D6" w14:textId="3AECA6AF" w:rsidR="008E2ED2" w:rsidRPr="0018386D" w:rsidRDefault="008E2ED2" w:rsidP="00DD3106">
            <w:pPr>
              <w:pStyle w:val="TableText"/>
              <w:spacing w:before="30" w:after="30"/>
              <w:jc w:val="center"/>
              <w:rPr>
                <w:rFonts w:cs="Calibri"/>
                <w:szCs w:val="18"/>
              </w:rPr>
            </w:pPr>
            <w:r w:rsidRPr="0018386D">
              <w:rPr>
                <w:rFonts w:cs="Calibri"/>
                <w:szCs w:val="18"/>
              </w:rPr>
              <w:t>0.0146</w:t>
            </w:r>
          </w:p>
        </w:tc>
        <w:tc>
          <w:tcPr>
            <w:tcW w:w="964" w:type="dxa"/>
            <w:shd w:val="clear" w:color="auto" w:fill="FFFFFF" w:themeFill="background1"/>
            <w:noWrap/>
            <w:hideMark/>
          </w:tcPr>
          <w:p w14:paraId="6B961856" w14:textId="23C364DD" w:rsidR="008E2ED2" w:rsidRPr="0018386D" w:rsidRDefault="008E2ED2" w:rsidP="00DD3106">
            <w:pPr>
              <w:pStyle w:val="TableText"/>
              <w:spacing w:before="30" w:after="30"/>
              <w:jc w:val="center"/>
              <w:rPr>
                <w:rFonts w:cs="Calibri"/>
                <w:szCs w:val="18"/>
              </w:rPr>
            </w:pPr>
            <w:r w:rsidRPr="0018386D">
              <w:rPr>
                <w:rFonts w:cs="Calibri"/>
                <w:szCs w:val="18"/>
              </w:rPr>
              <w:t>0.00647</w:t>
            </w:r>
          </w:p>
        </w:tc>
        <w:tc>
          <w:tcPr>
            <w:tcW w:w="964" w:type="dxa"/>
            <w:shd w:val="clear" w:color="auto" w:fill="FFFFFF" w:themeFill="background1"/>
            <w:noWrap/>
            <w:hideMark/>
          </w:tcPr>
          <w:p w14:paraId="78309659" w14:textId="1A012B3C" w:rsidR="008E2ED2" w:rsidRPr="0018386D" w:rsidRDefault="008E2ED2" w:rsidP="00DD3106">
            <w:pPr>
              <w:pStyle w:val="TableText"/>
              <w:spacing w:before="30" w:after="30"/>
              <w:jc w:val="center"/>
              <w:rPr>
                <w:rFonts w:cs="Calibri"/>
                <w:szCs w:val="18"/>
              </w:rPr>
            </w:pPr>
            <w:r w:rsidRPr="0018386D">
              <w:rPr>
                <w:rFonts w:cs="Calibri"/>
                <w:szCs w:val="18"/>
              </w:rPr>
              <w:t>0.00817</w:t>
            </w:r>
          </w:p>
        </w:tc>
        <w:tc>
          <w:tcPr>
            <w:tcW w:w="1077" w:type="dxa"/>
            <w:shd w:val="clear" w:color="auto" w:fill="FFFFFF" w:themeFill="background1"/>
            <w:noWrap/>
            <w:hideMark/>
          </w:tcPr>
          <w:p w14:paraId="7B04BEF4" w14:textId="39E45212" w:rsidR="008E2ED2" w:rsidRPr="0018386D" w:rsidRDefault="008E2ED2" w:rsidP="00DD3106">
            <w:pPr>
              <w:pStyle w:val="TableText"/>
              <w:spacing w:before="30" w:after="30"/>
              <w:jc w:val="center"/>
              <w:rPr>
                <w:rFonts w:cs="Calibri"/>
                <w:szCs w:val="18"/>
              </w:rPr>
            </w:pPr>
            <w:r w:rsidRPr="0018386D">
              <w:rPr>
                <w:rFonts w:cs="Calibri"/>
                <w:szCs w:val="18"/>
              </w:rPr>
              <w:t>0.862</w:t>
            </w:r>
          </w:p>
        </w:tc>
        <w:tc>
          <w:tcPr>
            <w:tcW w:w="964" w:type="dxa"/>
            <w:shd w:val="clear" w:color="auto" w:fill="FFFFFF" w:themeFill="background1"/>
            <w:noWrap/>
            <w:hideMark/>
          </w:tcPr>
          <w:p w14:paraId="001E82C4" w14:textId="572F9E6F" w:rsidR="008E2ED2" w:rsidRPr="0018386D" w:rsidRDefault="00FB1AED" w:rsidP="00DD3106">
            <w:pPr>
              <w:pStyle w:val="TableText"/>
              <w:spacing w:before="30" w:after="30"/>
              <w:rPr>
                <w:rFonts w:cs="Calibri"/>
                <w:color w:val="888888"/>
              </w:rPr>
            </w:pPr>
            <w:r w:rsidRPr="0018386D">
              <w:rPr>
                <w:rFonts w:cs="Calibri"/>
              </w:rPr>
              <w:t>43.68</w:t>
            </w:r>
            <w:r w:rsidR="006F3F71" w:rsidRPr="0018386D">
              <w:rPr>
                <w:rFonts w:cs="Calibri"/>
              </w:rPr>
              <w:t>%</w:t>
            </w:r>
          </w:p>
        </w:tc>
      </w:tr>
    </w:tbl>
    <w:p w14:paraId="368973FE" w14:textId="12E691EE" w:rsidR="00564258" w:rsidRPr="0018386D" w:rsidRDefault="0041106E" w:rsidP="00DD3106">
      <w:pPr>
        <w:pStyle w:val="Note"/>
        <w:spacing w:after="60"/>
        <w:rPr>
          <w:b/>
          <w:bCs/>
        </w:rPr>
      </w:pPr>
      <w:r w:rsidRPr="0018386D">
        <w:rPr>
          <w:b/>
          <w:bCs/>
        </w:rPr>
        <w:t>Note</w:t>
      </w:r>
      <w:r w:rsidR="00564258" w:rsidRPr="0018386D">
        <w:rPr>
          <w:b/>
          <w:bCs/>
        </w:rPr>
        <w:t>s</w:t>
      </w:r>
    </w:p>
    <w:p w14:paraId="1294AA95" w14:textId="5C9BD99A" w:rsidR="00543DC9" w:rsidRPr="0018386D" w:rsidRDefault="0022416C" w:rsidP="00DD3106">
      <w:pPr>
        <w:pStyle w:val="Note"/>
        <w:spacing w:before="0" w:after="60"/>
      </w:pPr>
      <w:r w:rsidRPr="0018386D">
        <w:t>The guide does</w:t>
      </w:r>
      <w:r w:rsidR="00543DC9" w:rsidRPr="0018386D">
        <w:t xml:space="preserve"> not expect many commercial or industrial users will burn wood in </w:t>
      </w:r>
      <w:r w:rsidR="00C1583F" w:rsidRPr="0018386D">
        <w:t>fireplaces,</w:t>
      </w:r>
      <w:r w:rsidR="00543DC9" w:rsidRPr="0018386D">
        <w:t xml:space="preserve"> but this emission factor has been provided for completeness. It is the default residential emission factor.</w:t>
      </w:r>
    </w:p>
    <w:p w14:paraId="63A380E5" w14:textId="1F7259A5" w:rsidR="00543DC9" w:rsidRPr="0018386D" w:rsidRDefault="00543DC9" w:rsidP="00DD3106">
      <w:pPr>
        <w:pStyle w:val="Note"/>
        <w:spacing w:before="0"/>
      </w:pPr>
      <w:r w:rsidRPr="0018386D">
        <w:t>The total CO</w:t>
      </w:r>
      <w:r w:rsidRPr="0018386D">
        <w:rPr>
          <w:vertAlign w:val="subscript"/>
        </w:rPr>
        <w:t>2</w:t>
      </w:r>
      <w:r w:rsidRPr="0018386D">
        <w:t xml:space="preserve">-e emission factor for biofuels and biomass only includes </w:t>
      </w:r>
      <w:r w:rsidR="002D0F9F" w:rsidRPr="0018386D">
        <w:t>methane and nitrous oxide</w:t>
      </w:r>
      <w:r w:rsidRPr="0018386D">
        <w:t xml:space="preserve"> emissions. This is based on </w:t>
      </w:r>
      <w:hyperlink r:id="rId86">
        <w:r w:rsidRPr="0018386D">
          <w:rPr>
            <w:rStyle w:val="Hyperlink"/>
            <w:sz w:val="19"/>
            <w:szCs w:val="19"/>
          </w:rPr>
          <w:t>ISO 14064-1</w:t>
        </w:r>
        <w:r w:rsidR="00A8360E" w:rsidRPr="0018386D">
          <w:rPr>
            <w:rStyle w:val="Hyperlink"/>
            <w:sz w:val="19"/>
            <w:szCs w:val="19"/>
          </w:rPr>
          <w:t>:2018</w:t>
        </w:r>
      </w:hyperlink>
      <w:r w:rsidRPr="0018386D">
        <w:t xml:space="preserve"> and the </w:t>
      </w:r>
      <w:hyperlink r:id="rId87">
        <w:r w:rsidRPr="0018386D">
          <w:rPr>
            <w:rStyle w:val="Hyperlink"/>
            <w:sz w:val="19"/>
            <w:szCs w:val="19"/>
          </w:rPr>
          <w:t>GHG Protocol</w:t>
        </w:r>
      </w:hyperlink>
      <w:r w:rsidRPr="0018386D">
        <w:t xml:space="preserve"> reporting requirements for combustion of biomass as direct (Scope 1) emissions. </w:t>
      </w:r>
      <w:r w:rsidR="002D0F9F" w:rsidRPr="0018386D">
        <w:t>Carbon dioxide</w:t>
      </w:r>
      <w:r w:rsidRPr="0018386D">
        <w:t xml:space="preserve"> emissions from the combustion of biologically sequestered carbon are reported separately.</w:t>
      </w:r>
    </w:p>
    <w:p w14:paraId="4E542075" w14:textId="3EF96DCE" w:rsidR="0041106E" w:rsidRPr="0018386D" w:rsidRDefault="00301928" w:rsidP="00DD3106">
      <w:pPr>
        <w:pStyle w:val="Heading3"/>
        <w:numPr>
          <w:ilvl w:val="2"/>
          <w:numId w:val="8"/>
        </w:numPr>
        <w:spacing w:before="320" w:after="240"/>
      </w:pPr>
      <w:bookmarkStart w:id="191" w:name="_Toc532904865"/>
      <w:r w:rsidRPr="0018386D">
        <w:t xml:space="preserve">GHG </w:t>
      </w:r>
      <w:r w:rsidR="0041106E" w:rsidRPr="0018386D">
        <w:t>inventory development</w:t>
      </w:r>
      <w:bookmarkEnd w:id="191"/>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C64EB2" w:rsidRPr="0018386D" w14:paraId="513ABA12" w14:textId="77777777" w:rsidTr="00E739F2">
        <w:tc>
          <w:tcPr>
            <w:tcW w:w="8720" w:type="dxa"/>
            <w:shd w:val="clear" w:color="auto" w:fill="D2DDE1" w:themeFill="background2"/>
          </w:tcPr>
          <w:p w14:paraId="1CAF4B1A" w14:textId="021DC2DA" w:rsidR="00F96A27" w:rsidRPr="0018386D" w:rsidRDefault="00C64EB2" w:rsidP="00DD3106">
            <w:pPr>
              <w:pStyle w:val="Boxtext"/>
              <w:spacing w:before="180" w:after="80"/>
            </w:pPr>
            <w:r w:rsidRPr="0018386D">
              <w:t xml:space="preserve">Note that although the direct (Scope 1) </w:t>
            </w:r>
            <w:r w:rsidR="008D6410" w:rsidRPr="0018386D">
              <w:t>carbon dioxide</w:t>
            </w:r>
            <w:r w:rsidRPr="0018386D">
              <w:t xml:space="preserve"> emissions </w:t>
            </w:r>
            <w:r w:rsidR="00010738" w:rsidRPr="0018386D">
              <w:t xml:space="preserve">of </w:t>
            </w:r>
            <w:r w:rsidR="003C2B98" w:rsidRPr="0018386D">
              <w:t xml:space="preserve">biomass </w:t>
            </w:r>
            <w:r w:rsidR="00CB6B05" w:rsidRPr="0018386D">
              <w:t xml:space="preserve">combustion </w:t>
            </w:r>
            <w:r w:rsidRPr="0018386D">
              <w:t xml:space="preserve">are </w:t>
            </w:r>
            <w:r w:rsidR="00CB6B05" w:rsidRPr="0018386D">
              <w:t xml:space="preserve">considered </w:t>
            </w:r>
            <w:r w:rsidRPr="0018386D">
              <w:t>carbon neutral</w:t>
            </w:r>
            <w:r w:rsidR="00FE1E0B" w:rsidRPr="0018386D">
              <w:t xml:space="preserve"> over the </w:t>
            </w:r>
            <w:r w:rsidR="004E76C1" w:rsidRPr="0018386D">
              <w:t>short-term</w:t>
            </w:r>
            <w:r w:rsidR="00FE1E0B" w:rsidRPr="0018386D">
              <w:t xml:space="preserve"> carbon cycle</w:t>
            </w:r>
            <w:r w:rsidRPr="0018386D">
              <w:t xml:space="preserve">, organisations should </w:t>
            </w:r>
            <w:r w:rsidR="00944746" w:rsidRPr="0018386D">
              <w:t xml:space="preserve">still </w:t>
            </w:r>
            <w:r w:rsidRPr="0018386D">
              <w:t xml:space="preserve">report the </w:t>
            </w:r>
            <w:r w:rsidR="008D6410" w:rsidRPr="0018386D">
              <w:t>carbon dioxide</w:t>
            </w:r>
            <w:r w:rsidRPr="0018386D">
              <w:t xml:space="preserve"> released through </w:t>
            </w:r>
            <w:r w:rsidR="00944746" w:rsidRPr="0018386D">
              <w:t>biofuel</w:t>
            </w:r>
            <w:r w:rsidRPr="0018386D">
              <w:t xml:space="preserve"> and biomass</w:t>
            </w:r>
            <w:r w:rsidR="00944746" w:rsidRPr="0018386D">
              <w:t xml:space="preserve"> combustion</w:t>
            </w:r>
            <w:r w:rsidR="00E739F2" w:rsidRPr="0018386D">
              <w:t>.</w:t>
            </w:r>
            <w:r w:rsidR="00806A62" w:rsidRPr="0018386D">
              <w:rPr>
                <w:rStyle w:val="FootnoteReference"/>
                <w:rFonts w:eastAsia="Times New Roman" w:cs="Arial"/>
                <w:color w:val="1C556C"/>
                <w:sz w:val="20"/>
                <w:szCs w:val="20"/>
              </w:rPr>
              <w:footnoteReference w:id="20"/>
            </w:r>
          </w:p>
          <w:p w14:paraId="318EE02C" w14:textId="4C827E03" w:rsidR="00C64EB2" w:rsidRPr="0018386D" w:rsidRDefault="00944746" w:rsidP="00DD3106">
            <w:pPr>
              <w:pStyle w:val="Boxtext"/>
              <w:spacing w:after="180"/>
            </w:pPr>
            <w:r w:rsidRPr="0018386D">
              <w:t xml:space="preserve">Calculate </w:t>
            </w:r>
            <w:r w:rsidR="00020870" w:rsidRPr="0018386D">
              <w:t xml:space="preserve">the </w:t>
            </w:r>
            <w:r w:rsidR="00DC15CC" w:rsidRPr="0018386D">
              <w:t>carbon dioxide</w:t>
            </w:r>
            <w:r w:rsidR="00C64EB2" w:rsidRPr="0018386D">
              <w:t xml:space="preserve"> emissions in the same way as the direct emissions</w:t>
            </w:r>
            <w:r w:rsidRPr="0018386D">
              <w:t>. Then, instead of including them</w:t>
            </w:r>
            <w:r w:rsidR="00C64EB2" w:rsidRPr="0018386D">
              <w:t xml:space="preserve"> within the emissions total</w:t>
            </w:r>
            <w:r w:rsidR="00DC15CC" w:rsidRPr="0018386D">
              <w:t xml:space="preserve"> (</w:t>
            </w:r>
            <w:r w:rsidR="0079752E" w:rsidRPr="0018386D">
              <w:t>where</w:t>
            </w:r>
            <w:r w:rsidR="00DC15CC" w:rsidRPr="0018386D">
              <w:t xml:space="preserve"> CH</w:t>
            </w:r>
            <w:r w:rsidR="00DC15CC" w:rsidRPr="0018386D">
              <w:rPr>
                <w:vertAlign w:val="subscript"/>
              </w:rPr>
              <w:t>4</w:t>
            </w:r>
            <w:r w:rsidR="00DC15CC" w:rsidRPr="0018386D">
              <w:t xml:space="preserve"> and N</w:t>
            </w:r>
            <w:r w:rsidR="00B42527" w:rsidRPr="0018386D">
              <w:rPr>
                <w:vertAlign w:val="subscript"/>
              </w:rPr>
              <w:t>2</w:t>
            </w:r>
            <w:r w:rsidR="00DC15CC" w:rsidRPr="0018386D">
              <w:t>O</w:t>
            </w:r>
            <w:r w:rsidR="0079752E" w:rsidRPr="0018386D">
              <w:t xml:space="preserve"> gases are reported</w:t>
            </w:r>
            <w:r w:rsidR="00DC15CC" w:rsidRPr="0018386D">
              <w:t>)</w:t>
            </w:r>
            <w:r w:rsidRPr="0018386D">
              <w:t xml:space="preserve">, </w:t>
            </w:r>
            <w:r w:rsidR="0069175A" w:rsidRPr="0018386D">
              <w:t xml:space="preserve">list </w:t>
            </w:r>
            <w:r w:rsidRPr="0018386D">
              <w:t>the</w:t>
            </w:r>
            <w:r w:rsidR="00E00E11" w:rsidRPr="0018386D">
              <w:t>m</w:t>
            </w:r>
            <w:r w:rsidR="00E739F2" w:rsidRPr="0018386D">
              <w:t> </w:t>
            </w:r>
            <w:r w:rsidR="00C64EB2" w:rsidRPr="0018386D">
              <w:t>a</w:t>
            </w:r>
            <w:r w:rsidR="0069175A" w:rsidRPr="0018386D">
              <w:t>s a</w:t>
            </w:r>
            <w:r w:rsidR="00C64EB2" w:rsidRPr="0018386D">
              <w:t xml:space="preserve"> separate line item called ‘</w:t>
            </w:r>
            <w:r w:rsidR="00FE1E0B" w:rsidRPr="0018386D">
              <w:t xml:space="preserve">biogenic </w:t>
            </w:r>
            <w:proofErr w:type="gramStart"/>
            <w:r w:rsidR="00FE1E0B" w:rsidRPr="0018386D">
              <w:t>emissions</w:t>
            </w:r>
            <w:r w:rsidR="00C64EB2" w:rsidRPr="0018386D">
              <w:t>’</w:t>
            </w:r>
            <w:proofErr w:type="gramEnd"/>
            <w:r w:rsidR="00E739F2" w:rsidRPr="0018386D">
              <w:t>.</w:t>
            </w:r>
            <w:r w:rsidR="00632614" w:rsidRPr="0018386D">
              <w:t xml:space="preserve"> </w:t>
            </w:r>
            <w:r w:rsidR="00C64EB2" w:rsidRPr="0018386D">
              <w:t xml:space="preserve">This ensures the organisation is transparent regarding all potential sources of </w:t>
            </w:r>
            <w:r w:rsidR="008D6410" w:rsidRPr="0018386D">
              <w:t>carbon dioxide</w:t>
            </w:r>
            <w:r w:rsidR="00C64EB2" w:rsidRPr="0018386D">
              <w:t xml:space="preserve"> from its activities.</w:t>
            </w:r>
          </w:p>
        </w:tc>
      </w:tr>
    </w:tbl>
    <w:p w14:paraId="76287B6F" w14:textId="56FB4146" w:rsidR="0041106E" w:rsidRPr="0018386D" w:rsidRDefault="00710A25" w:rsidP="00DD3106">
      <w:pPr>
        <w:pStyle w:val="BodyText"/>
        <w:spacing w:before="240"/>
      </w:pPr>
      <w:r w:rsidRPr="0018386D">
        <w:t xml:space="preserve">To calculate biofuel and biomass emissions, </w:t>
      </w:r>
      <w:r w:rsidR="00823752" w:rsidRPr="0018386D">
        <w:t xml:space="preserve">first </w:t>
      </w:r>
      <w:r w:rsidRPr="0018386D">
        <w:t xml:space="preserve">collect data on the quantity of fuel </w:t>
      </w:r>
      <w:r w:rsidR="00AB3F4F" w:rsidRPr="0018386D">
        <w:t>used</w:t>
      </w:r>
      <w:r w:rsidR="00823752" w:rsidRPr="0018386D">
        <w:t xml:space="preserve"> then multiply this by the appropriate emission factor from the table. </w:t>
      </w:r>
      <w:r w:rsidR="0022416C" w:rsidRPr="0018386D">
        <w:t xml:space="preserve">Applying the equation </w:t>
      </w:r>
      <w:r w:rsidR="00A71EB9" w:rsidRPr="0018386D">
        <w:t>E</w:t>
      </w:r>
      <w:r w:rsidR="00315701" w:rsidRPr="0018386D">
        <w:t> </w:t>
      </w:r>
      <w:r w:rsidR="00A71EB9" w:rsidRPr="0018386D">
        <w:t>=</w:t>
      </w:r>
      <w:r w:rsidR="00315701" w:rsidRPr="0018386D">
        <w:t> </w:t>
      </w:r>
      <w:r w:rsidR="00A71EB9" w:rsidRPr="0018386D">
        <w:t>Q x F (</w:t>
      </w:r>
      <w:hyperlink w:anchor="_How_to_quantify" w:history="1">
        <w:r w:rsidR="00AD3E41" w:rsidRPr="0018386D">
          <w:rPr>
            <w:rStyle w:val="Hyperlink"/>
          </w:rPr>
          <w:t>section 2</w:t>
        </w:r>
      </w:hyperlink>
      <w:r w:rsidR="00283DFF" w:rsidRPr="0018386D">
        <w:rPr>
          <w:rStyle w:val="Hyperlink"/>
          <w:color w:val="auto"/>
        </w:rPr>
        <w:t>)</w:t>
      </w:r>
      <w:r w:rsidR="0022416C" w:rsidRPr="0018386D">
        <w:t>, this means</w:t>
      </w:r>
      <w:r w:rsidR="0041106E" w:rsidRPr="0018386D">
        <w:t>:</w:t>
      </w:r>
    </w:p>
    <w:p w14:paraId="7555C5A5" w14:textId="72C0BCA5" w:rsidR="00A71EB9" w:rsidRPr="0018386D" w:rsidRDefault="00A71EB9"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0A145ABF" w14:textId="5E22BC63" w:rsidR="0041106E" w:rsidRPr="0018386D" w:rsidRDefault="00E57DD8" w:rsidP="00DD3106">
      <w:pPr>
        <w:pStyle w:val="BodyText"/>
        <w:tabs>
          <w:tab w:val="left" w:pos="680"/>
          <w:tab w:val="left" w:pos="1134"/>
        </w:tabs>
        <w:contextualSpacing/>
      </w:pPr>
      <w:r w:rsidRPr="0018386D">
        <w:t>Q</w:t>
      </w:r>
      <w:r w:rsidRPr="0018386D">
        <w:tab/>
      </w:r>
      <w:r w:rsidR="0041106E" w:rsidRPr="0018386D">
        <w:t>=</w:t>
      </w:r>
      <w:r w:rsidRPr="0018386D">
        <w:tab/>
      </w:r>
      <w:r w:rsidR="0041106E" w:rsidRPr="0018386D">
        <w:t>quantity of fuel used (unit)</w:t>
      </w:r>
    </w:p>
    <w:p w14:paraId="49EA09F5" w14:textId="5BF56BAE" w:rsidR="0041106E" w:rsidRPr="0018386D" w:rsidRDefault="00E57DD8" w:rsidP="00DD3106">
      <w:pPr>
        <w:pStyle w:val="BodyText"/>
        <w:tabs>
          <w:tab w:val="left" w:pos="680"/>
          <w:tab w:val="left" w:pos="1134"/>
        </w:tabs>
        <w:contextualSpacing/>
      </w:pPr>
      <w:r w:rsidRPr="0018386D">
        <w:t>F</w:t>
      </w:r>
      <w:r w:rsidRPr="0018386D">
        <w:tab/>
        <w:t>=</w:t>
      </w:r>
      <w:r w:rsidRPr="0018386D">
        <w:tab/>
      </w:r>
      <w:r w:rsidR="0041106E" w:rsidRPr="0018386D">
        <w:t xml:space="preserve">appropriate emission factors from </w:t>
      </w:r>
      <w:hyperlink w:anchor="Table5" w:history="1">
        <w:r w:rsidR="00F635CD" w:rsidRPr="0018386D">
          <w:rPr>
            <w:rStyle w:val="Hyperlink"/>
          </w:rPr>
          <w:t>table 5</w:t>
        </w:r>
      </w:hyperlink>
    </w:p>
    <w:p w14:paraId="40419690" w14:textId="77777777" w:rsidR="00710A25" w:rsidRPr="0018386D" w:rsidRDefault="00C64EB2" w:rsidP="00DD3106">
      <w:pPr>
        <w:pStyle w:val="BodyText"/>
        <w:spacing w:after="0"/>
        <w:rPr>
          <w:rFonts w:eastAsia="Times New Roman" w:cs="Arial"/>
          <w:spacing w:val="-2"/>
        </w:rPr>
      </w:pPr>
      <w:r w:rsidRPr="0018386D">
        <w:rPr>
          <w:rFonts w:eastAsia="Times New Roman" w:cs="Arial"/>
          <w:spacing w:val="-2"/>
        </w:rPr>
        <w:t>O</w:t>
      </w:r>
      <w:r w:rsidR="00B320FF" w:rsidRPr="0018386D">
        <w:rPr>
          <w:rFonts w:eastAsia="Times New Roman" w:cs="Arial"/>
          <w:spacing w:val="-2"/>
        </w:rPr>
        <w:t xml:space="preserve">rganisations </w:t>
      </w:r>
      <w:r w:rsidRPr="0018386D">
        <w:rPr>
          <w:rFonts w:eastAsia="Times New Roman" w:cs="Arial"/>
          <w:spacing w:val="-2"/>
        </w:rPr>
        <w:t>can</w:t>
      </w:r>
      <w:r w:rsidR="00B320FF" w:rsidRPr="0018386D">
        <w:rPr>
          <w:rFonts w:eastAsia="Times New Roman" w:cs="Arial"/>
          <w:spacing w:val="-2"/>
        </w:rPr>
        <w:t xml:space="preserve"> calculate emissions from biofuel blends if the specific </w:t>
      </w:r>
      <w:r w:rsidRPr="0018386D">
        <w:rPr>
          <w:rFonts w:eastAsia="Times New Roman" w:cs="Arial"/>
          <w:spacing w:val="-2"/>
        </w:rPr>
        <w:t>per cent</w:t>
      </w:r>
      <w:r w:rsidR="00B320FF" w:rsidRPr="0018386D">
        <w:rPr>
          <w:rFonts w:eastAsia="Times New Roman" w:cs="Arial"/>
          <w:spacing w:val="-2"/>
        </w:rPr>
        <w:t xml:space="preserve"> blend is known. </w:t>
      </w:r>
    </w:p>
    <w:p w14:paraId="335E0B73" w14:textId="3E9ECFDC" w:rsidR="00C64EB2" w:rsidRPr="0018386D" w:rsidRDefault="00C64EB2" w:rsidP="00DD3106">
      <w:pPr>
        <w:pStyle w:val="BodyText"/>
        <w:keepNext/>
        <w:rPr>
          <w:rFonts w:eastAsia="Times New Roman" w:cs="Arial"/>
        </w:rPr>
      </w:pPr>
      <w:r w:rsidRPr="0018386D">
        <w:rPr>
          <w:rFonts w:eastAsia="Times New Roman" w:cs="Arial"/>
        </w:rPr>
        <w:lastRenderedPageBreak/>
        <w:t>The equation used is:</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184CE6" w:rsidRPr="0018386D" w14:paraId="7A0F64CD" w14:textId="77777777" w:rsidTr="00B30401">
        <w:tc>
          <w:tcPr>
            <w:tcW w:w="8720" w:type="dxa"/>
            <w:shd w:val="clear" w:color="auto" w:fill="D2DDE1" w:themeFill="background2"/>
          </w:tcPr>
          <w:p w14:paraId="05ADDD4C" w14:textId="7B5594F3" w:rsidR="00184CE6" w:rsidRPr="0018386D" w:rsidRDefault="008E1E71" w:rsidP="00DD3106">
            <w:pPr>
              <w:pStyle w:val="Box"/>
              <w:shd w:val="clear" w:color="auto" w:fill="auto"/>
              <w:spacing w:before="0" w:after="0"/>
              <w:ind w:left="794"/>
            </w:pPr>
            <m:oMath>
              <m:r>
                <w:rPr>
                  <w:rFonts w:ascii="Cambria Math" w:hAnsi="Cambria Math"/>
                </w:rPr>
                <m:t>X</m:t>
              </m:r>
              <m:r>
                <m:rPr>
                  <m:sty m:val="p"/>
                </m:rPr>
                <w:rPr>
                  <w:rFonts w:ascii="Cambria Math" w:hAnsi="Cambria Math"/>
                </w:rPr>
                <m:t xml:space="preserve">% </m:t>
              </m:r>
              <m:r>
                <w:rPr>
                  <w:rFonts w:ascii="Cambria Math" w:hAnsi="Cambria Math"/>
                </w:rPr>
                <m:t>biofuel</m:t>
              </m:r>
              <m:r>
                <m:rPr>
                  <m:sty m:val="p"/>
                </m:rPr>
                <w:rPr>
                  <w:rFonts w:ascii="Cambria Math" w:hAnsi="Cambria Math"/>
                </w:rPr>
                <m:t xml:space="preserve"> </m:t>
              </m:r>
              <m:r>
                <w:rPr>
                  <w:rFonts w:ascii="Cambria Math" w:hAnsi="Cambria Math"/>
                </w:rPr>
                <m:t>blend</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oMath>
            <w:r w:rsidR="00133DBC" w:rsidRPr="0018386D">
              <w:rPr>
                <w:rFonts w:eastAsia="Times New Roman" w:cs="Arial"/>
              </w:rPr>
              <w:t xml:space="preserve"> </w:t>
            </w:r>
            <m:oMath>
              <m:r>
                <m:rPr>
                  <m:sty m:val="p"/>
                </m:rPr>
                <w:rPr>
                  <w:rFonts w:ascii="Cambria Math" w:hAnsi="Cambria Math"/>
                </w:rPr>
                <w:br/>
                <m:t>(</m:t>
              </m:r>
              <m:r>
                <w:rPr>
                  <w:rFonts w:ascii="Cambria Math" w:hAnsi="Cambria Math"/>
                </w:rPr>
                <m:t>X</m:t>
              </m:r>
              <m:r>
                <m:rPr>
                  <m:sty m:val="p"/>
                </m:rPr>
                <w:rPr>
                  <w:rFonts w:ascii="Cambria Math" w:hAnsi="Cambria Math"/>
                </w:rPr>
                <m:t xml:space="preserve">% ×pure </m:t>
              </m:r>
              <m:r>
                <w:rPr>
                  <w:rFonts w:ascii="Cambria Math" w:hAnsi="Cambria Math"/>
                </w:rPr>
                <m:t>biofuel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fossil</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m:t>
              </m:r>
            </m:oMath>
            <w:r w:rsidR="00184CE6" w:rsidRPr="0018386D">
              <w:t xml:space="preserve"> </w:t>
            </w:r>
          </w:p>
        </w:tc>
      </w:tr>
    </w:tbl>
    <w:p w14:paraId="05E97611" w14:textId="1B039C9D" w:rsidR="00291F56" w:rsidRPr="0018386D" w:rsidRDefault="00291F56" w:rsidP="00DD3106">
      <w:pPr>
        <w:pStyle w:val="BodyText"/>
      </w:pPr>
      <w:bookmarkStart w:id="192" w:name="_Hlk532558866"/>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47"/>
      </w:tblGrid>
      <w:tr w:rsidR="0026324D" w:rsidRPr="0018386D" w14:paraId="71396F07" w14:textId="77777777" w:rsidTr="00D75347">
        <w:trPr>
          <w:tblHeader/>
        </w:trPr>
        <w:tc>
          <w:tcPr>
            <w:tcW w:w="8647" w:type="dxa"/>
            <w:tcBorders>
              <w:top w:val="single" w:sz="4" w:space="0" w:color="0F7B7D"/>
              <w:left w:val="single" w:sz="4" w:space="0" w:color="0F7B7D"/>
              <w:bottom w:val="nil"/>
              <w:right w:val="single" w:sz="4" w:space="0" w:color="0F7B7D"/>
            </w:tcBorders>
            <w:shd w:val="clear" w:color="auto" w:fill="0F7B7D"/>
            <w:vAlign w:val="center"/>
          </w:tcPr>
          <w:p w14:paraId="2B0EC8C8" w14:textId="53FC021A" w:rsidR="00184CE6" w:rsidRPr="0018386D" w:rsidDel="00D5390D" w:rsidRDefault="008E0C45" w:rsidP="00DD3106">
            <w:pPr>
              <w:pStyle w:val="Casestudyheading"/>
            </w:pPr>
            <w:r w:rsidRPr="0018386D">
              <w:t>BIOFUEL</w:t>
            </w:r>
            <w:r w:rsidR="007F1695" w:rsidRPr="0018386D">
              <w:t>s and biomass</w:t>
            </w:r>
            <w:r w:rsidRPr="0018386D">
              <w:t xml:space="preserve">: </w:t>
            </w:r>
            <w:r w:rsidR="00184CE6" w:rsidRPr="0018386D">
              <w:t>Example Calculation</w:t>
            </w:r>
          </w:p>
        </w:tc>
      </w:tr>
      <w:tr w:rsidR="0026324D" w:rsidRPr="0018386D" w14:paraId="07871D55" w14:textId="77777777" w:rsidTr="00936C54">
        <w:tc>
          <w:tcPr>
            <w:tcW w:w="8647" w:type="dxa"/>
            <w:tcBorders>
              <w:top w:val="nil"/>
              <w:left w:val="single" w:sz="4" w:space="0" w:color="D5EBE8"/>
              <w:bottom w:val="nil"/>
              <w:right w:val="single" w:sz="4" w:space="0" w:color="D5EBE8"/>
            </w:tcBorders>
            <w:shd w:val="clear" w:color="auto" w:fill="D5EBE8" w:themeFill="accent3"/>
          </w:tcPr>
          <w:p w14:paraId="43655F98" w14:textId="34E1376A" w:rsidR="00184CE6" w:rsidRPr="0018386D" w:rsidRDefault="00184CE6" w:rsidP="00DD3106">
            <w:pPr>
              <w:pStyle w:val="Boxtext"/>
              <w:spacing w:after="80"/>
            </w:pPr>
            <w:r w:rsidRPr="0018386D">
              <w:t xml:space="preserve">An organisation uses 100 per cent biofuel in </w:t>
            </w:r>
            <w:r w:rsidR="00754921" w:rsidRPr="0018386D">
              <w:t>five</w:t>
            </w:r>
            <w:r w:rsidRPr="0018386D">
              <w:t xml:space="preserve"> vehicles. They use 7</w:t>
            </w:r>
            <w:r w:rsidR="00415675" w:rsidRPr="0018386D">
              <w:t>,</w:t>
            </w:r>
            <w:r w:rsidRPr="0018386D">
              <w:t xml:space="preserve">000 litres of biodiesel in the reporting year. </w:t>
            </w:r>
          </w:p>
          <w:p w14:paraId="23113465" w14:textId="405D3C23" w:rsidR="00184CE6" w:rsidRPr="0018386D" w:rsidRDefault="00184CE6" w:rsidP="00DD3106">
            <w:pPr>
              <w:pStyle w:val="Boxtext"/>
              <w:tabs>
                <w:tab w:val="left" w:pos="2585"/>
                <w:tab w:val="left" w:pos="4483"/>
              </w:tabs>
              <w:spacing w:before="20" w:after="20"/>
              <w:ind w:left="567"/>
              <w:rPr>
                <w:strike/>
              </w:rPr>
            </w:pPr>
            <w:r w:rsidRPr="0018386D">
              <w:t>CO</w:t>
            </w:r>
            <w:r w:rsidRPr="0018386D">
              <w:rPr>
                <w:vertAlign w:val="subscript"/>
              </w:rPr>
              <w:t>2</w:t>
            </w:r>
            <w:r w:rsidRPr="0018386D">
              <w:t xml:space="preserve"> emissions</w:t>
            </w:r>
            <w:r w:rsidRPr="0018386D">
              <w:tab/>
              <w:t xml:space="preserve">= 7,000 </w:t>
            </w:r>
            <w:r w:rsidR="00C1583F" w:rsidRPr="0018386D">
              <w:rPr>
                <w:rFonts w:cs="Calibri"/>
              </w:rPr>
              <w:t>×</w:t>
            </w:r>
            <w:r w:rsidRPr="0018386D">
              <w:rPr>
                <w:rFonts w:cs="Calibri"/>
              </w:rPr>
              <w:t xml:space="preserve"> </w:t>
            </w:r>
            <w:r w:rsidR="000C0913" w:rsidRPr="0018386D">
              <w:rPr>
                <w:rFonts w:cs="Calibri"/>
              </w:rPr>
              <w:t>0.00</w:t>
            </w:r>
            <w:r w:rsidRPr="0018386D">
              <w:tab/>
            </w:r>
            <w:r w:rsidRPr="0018386D">
              <w:rPr>
                <w:rFonts w:cs="Calibri"/>
              </w:rPr>
              <w:t xml:space="preserve">= </w:t>
            </w:r>
            <w:r w:rsidR="002C17F3" w:rsidRPr="0018386D">
              <w:rPr>
                <w:rFonts w:cs="Calibri"/>
              </w:rPr>
              <w:t>0.00</w:t>
            </w:r>
            <w:r w:rsidRPr="0018386D">
              <w:rPr>
                <w:rFonts w:cs="Calibri"/>
              </w:rPr>
              <w:t xml:space="preserve"> </w:t>
            </w:r>
            <w:r w:rsidRPr="0018386D">
              <w:t>kg CO</w:t>
            </w:r>
            <w:r w:rsidRPr="0018386D">
              <w:rPr>
                <w:vertAlign w:val="subscript"/>
              </w:rPr>
              <w:t>2</w:t>
            </w:r>
            <w:r w:rsidR="00724C42" w:rsidRPr="0018386D">
              <w:rPr>
                <w:vertAlign w:val="subscript"/>
              </w:rPr>
              <w:t xml:space="preserve"> </w:t>
            </w:r>
          </w:p>
          <w:p w14:paraId="6613C8ED" w14:textId="3123FCBB" w:rsidR="00184CE6" w:rsidRPr="0018386D" w:rsidRDefault="00184CE6" w:rsidP="00DD3106">
            <w:pPr>
              <w:pStyle w:val="Boxtext"/>
              <w:tabs>
                <w:tab w:val="left" w:pos="2585"/>
                <w:tab w:val="left" w:pos="4483"/>
              </w:tabs>
              <w:spacing w:before="20" w:after="20"/>
              <w:ind w:left="567"/>
            </w:pPr>
            <w:r w:rsidRPr="0018386D">
              <w:t>CH</w:t>
            </w:r>
            <w:r w:rsidRPr="0018386D">
              <w:rPr>
                <w:vertAlign w:val="subscript"/>
              </w:rPr>
              <w:t>4</w:t>
            </w:r>
            <w:r w:rsidRPr="0018386D">
              <w:t xml:space="preserve"> emissions</w:t>
            </w:r>
            <w:r w:rsidRPr="0018386D">
              <w:tab/>
              <w:t xml:space="preserve">= 7,000 </w:t>
            </w:r>
            <w:r w:rsidR="00C1583F" w:rsidRPr="0018386D">
              <w:rPr>
                <w:rFonts w:cs="Calibri"/>
              </w:rPr>
              <w:t>×</w:t>
            </w:r>
            <w:r w:rsidRPr="0018386D">
              <w:t xml:space="preserve"> </w:t>
            </w:r>
            <w:r w:rsidR="006B6E05" w:rsidRPr="0018386D">
              <w:t>0.01</w:t>
            </w:r>
            <w:r w:rsidR="00724CC0" w:rsidRPr="0018386D">
              <w:t>19</w:t>
            </w:r>
            <w:r w:rsidR="00FE7049" w:rsidRPr="0018386D">
              <w:tab/>
            </w:r>
            <w:r w:rsidRPr="0018386D">
              <w:t xml:space="preserve">= </w:t>
            </w:r>
            <w:r w:rsidR="006B6E05" w:rsidRPr="0018386D">
              <w:t>83.</w:t>
            </w:r>
            <w:r w:rsidR="004D7932" w:rsidRPr="0018386D">
              <w:t>3</w:t>
            </w:r>
            <w:r w:rsidRPr="0018386D">
              <w:t xml:space="preserve"> kg CO</w:t>
            </w:r>
            <w:r w:rsidRPr="0018386D">
              <w:rPr>
                <w:vertAlign w:val="subscript"/>
              </w:rPr>
              <w:t>2</w:t>
            </w:r>
            <w:r w:rsidRPr="0018386D">
              <w:t>-e</w:t>
            </w:r>
          </w:p>
          <w:p w14:paraId="20101BD1" w14:textId="34F45665" w:rsidR="00184CE6" w:rsidRPr="0018386D" w:rsidRDefault="00184CE6" w:rsidP="00DD3106">
            <w:pPr>
              <w:pStyle w:val="Boxtext"/>
              <w:tabs>
                <w:tab w:val="left" w:pos="2585"/>
                <w:tab w:val="left" w:pos="4483"/>
              </w:tabs>
              <w:spacing w:before="20" w:after="20"/>
              <w:ind w:left="567"/>
            </w:pPr>
            <w:r w:rsidRPr="0018386D">
              <w:t>N</w:t>
            </w:r>
            <w:r w:rsidRPr="0018386D">
              <w:rPr>
                <w:vertAlign w:val="subscript"/>
              </w:rPr>
              <w:t>2</w:t>
            </w:r>
            <w:r w:rsidRPr="0018386D">
              <w:t>O emissions</w:t>
            </w:r>
            <w:r w:rsidRPr="0018386D">
              <w:tab/>
              <w:t xml:space="preserve">= 7,000 </w:t>
            </w:r>
            <w:r w:rsidR="00C1583F" w:rsidRPr="0018386D">
              <w:rPr>
                <w:rFonts w:cs="Calibri"/>
              </w:rPr>
              <w:t>×</w:t>
            </w:r>
            <w:r w:rsidRPr="0018386D">
              <w:t xml:space="preserve"> </w:t>
            </w:r>
            <w:r w:rsidR="006B6E05" w:rsidRPr="0018386D">
              <w:t>0.023</w:t>
            </w:r>
            <w:r w:rsidR="00D11306" w:rsidRPr="0018386D">
              <w:t>2</w:t>
            </w:r>
            <w:r w:rsidR="00FE7049" w:rsidRPr="0018386D">
              <w:tab/>
            </w:r>
            <w:r w:rsidRPr="0018386D">
              <w:t xml:space="preserve">= </w:t>
            </w:r>
            <w:r w:rsidR="00007A5E" w:rsidRPr="0018386D">
              <w:t>162.</w:t>
            </w:r>
            <w:r w:rsidR="00CB1D85" w:rsidRPr="0018386D">
              <w:t>4</w:t>
            </w:r>
            <w:r w:rsidRPr="0018386D">
              <w:t xml:space="preserve"> kg CO</w:t>
            </w:r>
            <w:r w:rsidRPr="0018386D">
              <w:rPr>
                <w:vertAlign w:val="subscript"/>
              </w:rPr>
              <w:t>2</w:t>
            </w:r>
            <w:r w:rsidRPr="0018386D">
              <w:t xml:space="preserve">-e </w:t>
            </w:r>
          </w:p>
          <w:p w14:paraId="2507F419" w14:textId="3C121033" w:rsidR="00184CE6" w:rsidRPr="0018386D" w:rsidRDefault="00184CE6" w:rsidP="00DD3106">
            <w:pPr>
              <w:pStyle w:val="Boxtext"/>
              <w:tabs>
                <w:tab w:val="left" w:pos="2585"/>
                <w:tab w:val="left" w:pos="4483"/>
              </w:tabs>
              <w:spacing w:before="20" w:after="20"/>
              <w:ind w:left="4569" w:hanging="4002"/>
            </w:pPr>
            <w:r w:rsidRPr="0018386D">
              <w:t>Total CO</w:t>
            </w:r>
            <w:r w:rsidRPr="0018386D">
              <w:rPr>
                <w:vertAlign w:val="subscript"/>
              </w:rPr>
              <w:t>2</w:t>
            </w:r>
            <w:r w:rsidRPr="0018386D">
              <w:t>-e emissions</w:t>
            </w:r>
            <w:r w:rsidRPr="0018386D">
              <w:tab/>
              <w:t xml:space="preserve">= 7,000 </w:t>
            </w:r>
            <w:r w:rsidR="00C1583F" w:rsidRPr="0018386D">
              <w:rPr>
                <w:rFonts w:cs="Calibri"/>
              </w:rPr>
              <w:t>×</w:t>
            </w:r>
            <w:r w:rsidRPr="0018386D">
              <w:t xml:space="preserve"> </w:t>
            </w:r>
            <w:r w:rsidR="00BF71B1" w:rsidRPr="0018386D">
              <w:t>0.0</w:t>
            </w:r>
            <w:r w:rsidR="0098023F" w:rsidRPr="0018386D">
              <w:t>35</w:t>
            </w:r>
            <w:r w:rsidR="00D11306" w:rsidRPr="0018386D">
              <w:t>1</w:t>
            </w:r>
            <w:r w:rsidR="00FE7049" w:rsidRPr="0018386D">
              <w:tab/>
            </w:r>
            <w:r w:rsidRPr="0018386D">
              <w:t xml:space="preserve">= </w:t>
            </w:r>
            <w:r w:rsidR="00BF71B1" w:rsidRPr="0018386D">
              <w:t>245.</w:t>
            </w:r>
            <w:r w:rsidR="00EE6EB6" w:rsidRPr="0018386D">
              <w:t>7</w:t>
            </w:r>
            <w:r w:rsidRPr="0018386D">
              <w:t xml:space="preserve"> kg CO</w:t>
            </w:r>
            <w:r w:rsidRPr="0018386D">
              <w:rPr>
                <w:vertAlign w:val="subscript"/>
              </w:rPr>
              <w:t>2</w:t>
            </w:r>
            <w:r w:rsidRPr="0018386D">
              <w:t>-e</w:t>
            </w:r>
            <w:r w:rsidR="0032278F" w:rsidRPr="0018386D">
              <w:t xml:space="preserve"> (reported as Scope/Category 1)</w:t>
            </w:r>
          </w:p>
          <w:p w14:paraId="6DDEA80F" w14:textId="3E222B8F" w:rsidR="00596BFA" w:rsidRPr="0018386D" w:rsidRDefault="00596BFA" w:rsidP="00DD3106">
            <w:pPr>
              <w:pStyle w:val="Boxtext"/>
              <w:tabs>
                <w:tab w:val="left" w:pos="2585"/>
                <w:tab w:val="left" w:pos="4483"/>
              </w:tabs>
              <w:spacing w:before="20" w:after="20"/>
              <w:ind w:left="4569" w:hanging="4002"/>
            </w:pPr>
            <w:r w:rsidRPr="0018386D">
              <w:t>Biogenic</w:t>
            </w:r>
            <w:r w:rsidR="007E78D2" w:rsidRPr="0018386D">
              <w:t xml:space="preserve"> CO</w:t>
            </w:r>
            <w:r w:rsidR="007E78D2" w:rsidRPr="0018386D">
              <w:rPr>
                <w:vertAlign w:val="subscript"/>
              </w:rPr>
              <w:t>2</w:t>
            </w:r>
            <w:r w:rsidR="007E78D2" w:rsidRPr="0018386D">
              <w:t xml:space="preserve"> emissions</w:t>
            </w:r>
            <w:r w:rsidR="004C3308" w:rsidRPr="0018386D">
              <w:tab/>
            </w:r>
            <w:r w:rsidR="007E78D2" w:rsidRPr="0018386D">
              <w:t>= 7,000 x 1.59</w:t>
            </w:r>
            <w:r w:rsidR="00715FD3" w:rsidRPr="0018386D">
              <w:t xml:space="preserve"> </w:t>
            </w:r>
            <w:r w:rsidR="00315701" w:rsidRPr="0018386D">
              <w:tab/>
            </w:r>
            <w:r w:rsidR="00715FD3" w:rsidRPr="0018386D">
              <w:t xml:space="preserve">= </w:t>
            </w:r>
            <w:r w:rsidR="00BF75EE" w:rsidRPr="0018386D">
              <w:t>11,1</w:t>
            </w:r>
            <w:r w:rsidR="00137CD3" w:rsidRPr="0018386D">
              <w:t>30</w:t>
            </w:r>
            <w:r w:rsidR="002C17F3" w:rsidRPr="0018386D">
              <w:t xml:space="preserve"> kg CO</w:t>
            </w:r>
            <w:r w:rsidR="002C17F3" w:rsidRPr="0018386D">
              <w:rPr>
                <w:vertAlign w:val="subscript"/>
              </w:rPr>
              <w:t>2</w:t>
            </w:r>
            <w:r w:rsidR="002C17F3" w:rsidRPr="0018386D">
              <w:t xml:space="preserve"> (reported separately)</w:t>
            </w:r>
          </w:p>
          <w:p w14:paraId="62FC547E" w14:textId="6EAE3317" w:rsidR="00184CE6" w:rsidRPr="0018386D" w:rsidRDefault="00184CE6" w:rsidP="00DD3106">
            <w:pPr>
              <w:pStyle w:val="Boxtext"/>
              <w:spacing w:before="80" w:after="80"/>
            </w:pPr>
            <w:r w:rsidRPr="0018386D">
              <w:t>A</w:t>
            </w:r>
            <w:r w:rsidR="00BA1DBF" w:rsidRPr="0018386D">
              <w:t>n organisation</w:t>
            </w:r>
            <w:r w:rsidRPr="0018386D">
              <w:t xml:space="preserve"> wants to report on its Scope 1 fuel emissions (in kg CO</w:t>
            </w:r>
            <w:r w:rsidRPr="0018386D">
              <w:rPr>
                <w:vertAlign w:val="subscript"/>
              </w:rPr>
              <w:t>2</w:t>
            </w:r>
            <w:r w:rsidRPr="0018386D">
              <w:t>-e/litre) from a specific biodiesel blend of 10 per cent. It is known that:</w:t>
            </w:r>
          </w:p>
          <w:p w14:paraId="05425F63" w14:textId="6D8CAED1" w:rsidR="00184CE6" w:rsidRPr="0018386D" w:rsidRDefault="00184CE6" w:rsidP="00DD3106">
            <w:pPr>
              <w:pStyle w:val="Boxtext"/>
              <w:tabs>
                <w:tab w:val="left" w:pos="3433"/>
              </w:tabs>
              <w:spacing w:before="20" w:after="20"/>
              <w:ind w:left="567"/>
            </w:pPr>
            <w:r w:rsidRPr="0018386D">
              <w:t xml:space="preserve">mineral diesel </w:t>
            </w:r>
            <w:r w:rsidR="00776F57" w:rsidRPr="0018386D">
              <w:t xml:space="preserve">emission </w:t>
            </w:r>
            <w:r w:rsidRPr="0018386D">
              <w:t>factor</w:t>
            </w:r>
            <w:r w:rsidR="00291F56" w:rsidRPr="0018386D">
              <w:tab/>
            </w:r>
            <w:r w:rsidRPr="0018386D">
              <w:t>= 2.</w:t>
            </w:r>
            <w:r w:rsidR="00B824CD" w:rsidRPr="0018386D">
              <w:t>72</w:t>
            </w:r>
            <w:r w:rsidRPr="0018386D">
              <w:t xml:space="preserve"> kg CO</w:t>
            </w:r>
            <w:r w:rsidRPr="0018386D">
              <w:rPr>
                <w:vertAlign w:val="subscript"/>
              </w:rPr>
              <w:t>2</w:t>
            </w:r>
            <w:r w:rsidRPr="0018386D">
              <w:t>-e/litre</w:t>
            </w:r>
          </w:p>
          <w:p w14:paraId="5E5204DF" w14:textId="491B75FF" w:rsidR="00184CE6" w:rsidRPr="0018386D" w:rsidRDefault="00184CE6" w:rsidP="00DD3106">
            <w:pPr>
              <w:pStyle w:val="Boxtext"/>
              <w:tabs>
                <w:tab w:val="left" w:pos="3433"/>
              </w:tabs>
              <w:spacing w:before="20" w:after="20"/>
              <w:ind w:left="567"/>
            </w:pPr>
            <w:r w:rsidRPr="0018386D">
              <w:t xml:space="preserve">biodiesel </w:t>
            </w:r>
            <w:r w:rsidR="00776F57" w:rsidRPr="0018386D">
              <w:t xml:space="preserve">emission </w:t>
            </w:r>
            <w:r w:rsidRPr="0018386D">
              <w:t>factor</w:t>
            </w:r>
            <w:r w:rsidRPr="0018386D">
              <w:tab/>
              <w:t xml:space="preserve">= </w:t>
            </w:r>
            <w:r w:rsidR="00C855D9" w:rsidRPr="0018386D">
              <w:t>0.035</w:t>
            </w:r>
            <w:r w:rsidR="009D5698" w:rsidRPr="0018386D">
              <w:t>1</w:t>
            </w:r>
            <w:r w:rsidRPr="0018386D">
              <w:t xml:space="preserve"> kg CO</w:t>
            </w:r>
            <w:r w:rsidRPr="0018386D">
              <w:rPr>
                <w:vertAlign w:val="subscript"/>
              </w:rPr>
              <w:t>2</w:t>
            </w:r>
            <w:r w:rsidRPr="0018386D">
              <w:t>-e/litre</w:t>
            </w:r>
          </w:p>
          <w:p w14:paraId="34824B9E" w14:textId="73F28FED" w:rsidR="00C1583F" w:rsidRPr="0018386D" w:rsidRDefault="00184CE6" w:rsidP="00DD3106">
            <w:pPr>
              <w:pStyle w:val="Boxtext"/>
              <w:spacing w:after="80"/>
            </w:pPr>
            <w:r w:rsidRPr="0018386D">
              <w:t xml:space="preserve">Therefore, 10 per cent biodiesel blend </w:t>
            </w:r>
            <w:r w:rsidR="003C2194" w:rsidRPr="0018386D">
              <w:t xml:space="preserve">emission </w:t>
            </w:r>
            <w:r w:rsidRPr="0018386D">
              <w:t xml:space="preserve">factor = </w:t>
            </w:r>
          </w:p>
          <w:p w14:paraId="20820F49" w14:textId="220BC100" w:rsidR="00184CE6" w:rsidRPr="0018386D" w:rsidRDefault="00184CE6" w:rsidP="00DD3106">
            <w:pPr>
              <w:pStyle w:val="Boxtext"/>
              <w:tabs>
                <w:tab w:val="left" w:pos="3433"/>
              </w:tabs>
              <w:spacing w:before="20" w:after="20"/>
              <w:ind w:left="567"/>
            </w:pPr>
            <w:r w:rsidRPr="0018386D">
              <w:t xml:space="preserve">(10% </w:t>
            </w:r>
            <w:r w:rsidR="00C1583F" w:rsidRPr="0018386D">
              <w:rPr>
                <w:rFonts w:cs="Calibri"/>
              </w:rPr>
              <w:t>×</w:t>
            </w:r>
            <w:r w:rsidRPr="0018386D">
              <w:t xml:space="preserve"> </w:t>
            </w:r>
            <w:r w:rsidR="00C855D9" w:rsidRPr="0018386D">
              <w:t>0.035</w:t>
            </w:r>
            <w:r w:rsidR="009D5698" w:rsidRPr="0018386D">
              <w:t>1</w:t>
            </w:r>
            <w:r w:rsidRPr="0018386D">
              <w:t xml:space="preserve">) + [(1-10%) </w:t>
            </w:r>
            <w:r w:rsidR="00C1583F" w:rsidRPr="0018386D">
              <w:rPr>
                <w:rFonts w:cs="Calibri"/>
              </w:rPr>
              <w:t>×</w:t>
            </w:r>
            <w:r w:rsidRPr="0018386D">
              <w:t xml:space="preserve"> 2.</w:t>
            </w:r>
            <w:r w:rsidR="0096536D" w:rsidRPr="0018386D">
              <w:t>72</w:t>
            </w:r>
            <w:r w:rsidRPr="0018386D">
              <w:t>]</w:t>
            </w:r>
            <w:r w:rsidR="00C1583F" w:rsidRPr="0018386D">
              <w:t xml:space="preserve"> </w:t>
            </w:r>
            <w:r w:rsidR="00C1583F" w:rsidRPr="0018386D">
              <w:tab/>
            </w:r>
            <w:r w:rsidRPr="0018386D">
              <w:t>= 2.</w:t>
            </w:r>
            <w:r w:rsidR="00826FF8" w:rsidRPr="0018386D">
              <w:t>45</w:t>
            </w:r>
            <w:r w:rsidR="00D42D17" w:rsidRPr="0018386D">
              <w:t>15</w:t>
            </w:r>
            <w:r w:rsidRPr="0018386D">
              <w:t xml:space="preserve"> kg CO</w:t>
            </w:r>
            <w:r w:rsidRPr="0018386D">
              <w:rPr>
                <w:vertAlign w:val="subscript"/>
              </w:rPr>
              <w:t>2</w:t>
            </w:r>
            <w:r w:rsidR="009767D4" w:rsidRPr="0018386D">
              <w:t>-e/litre</w:t>
            </w:r>
            <w:r w:rsidRPr="0018386D">
              <w:t xml:space="preserve"> biofuel blend</w:t>
            </w:r>
          </w:p>
          <w:p w14:paraId="72F6F7A3" w14:textId="40B9EC0E" w:rsidR="009F2CAE" w:rsidRPr="0018386D" w:rsidRDefault="009F2CAE" w:rsidP="00DD3106">
            <w:pPr>
              <w:pStyle w:val="Boxtext"/>
              <w:spacing w:before="80" w:after="240"/>
            </w:pPr>
            <w:r w:rsidRPr="0018386D">
              <w:rPr>
                <w:sz w:val="18"/>
              </w:rPr>
              <w:t>Note</w:t>
            </w:r>
            <w:r w:rsidR="00E00E11" w:rsidRPr="0018386D">
              <w:rPr>
                <w:sz w:val="18"/>
              </w:rPr>
              <w:t>:</w:t>
            </w:r>
            <w:r w:rsidRPr="0018386D">
              <w:rPr>
                <w:sz w:val="18"/>
              </w:rPr>
              <w:t xml:space="preserve"> </w:t>
            </w:r>
            <w:r w:rsidR="00E00E11" w:rsidRPr="0018386D">
              <w:rPr>
                <w:sz w:val="18"/>
              </w:rPr>
              <w:t>N</w:t>
            </w:r>
            <w:r w:rsidRPr="0018386D">
              <w:rPr>
                <w:sz w:val="18"/>
              </w:rPr>
              <w:t>umbers may not add due to rounding</w:t>
            </w:r>
            <w:r w:rsidR="00415675" w:rsidRPr="0018386D">
              <w:rPr>
                <w:sz w:val="18"/>
              </w:rPr>
              <w:t>.</w:t>
            </w:r>
          </w:p>
        </w:tc>
      </w:tr>
    </w:tbl>
    <w:p w14:paraId="289D3091" w14:textId="69316D56" w:rsidR="0041106E" w:rsidRPr="0018386D" w:rsidRDefault="0041106E" w:rsidP="00DD3106">
      <w:pPr>
        <w:pStyle w:val="Heading3"/>
        <w:numPr>
          <w:ilvl w:val="2"/>
          <w:numId w:val="8"/>
        </w:numPr>
      </w:pPr>
      <w:bookmarkStart w:id="193" w:name="_Toc532904866"/>
      <w:bookmarkEnd w:id="192"/>
      <w:r w:rsidRPr="0018386D">
        <w:t>Emission factor derivation methodology</w:t>
      </w:r>
      <w:bookmarkEnd w:id="193"/>
    </w:p>
    <w:p w14:paraId="315D056A" w14:textId="71943A72" w:rsidR="0041106E" w:rsidRPr="0018386D" w:rsidRDefault="00754921" w:rsidP="00DD3106">
      <w:pPr>
        <w:pStyle w:val="BodyText"/>
        <w:rPr>
          <w:color w:val="32809C" w:themeColor="accent2"/>
        </w:rPr>
      </w:pPr>
      <w:r w:rsidRPr="0018386D">
        <w:t>We applied t</w:t>
      </w:r>
      <w:r w:rsidR="0041106E" w:rsidRPr="0018386D">
        <w:t xml:space="preserve">he same methodology used to calculate the stationary combustion fuels to the </w:t>
      </w:r>
      <w:r w:rsidR="00717FDD" w:rsidRPr="0018386D">
        <w:t>bio</w:t>
      </w:r>
      <w:r w:rsidR="0041106E" w:rsidRPr="0018386D">
        <w:t>fuels</w:t>
      </w:r>
      <w:r w:rsidRPr="0018386D">
        <w:t>,</w:t>
      </w:r>
      <w:r w:rsidR="0041106E" w:rsidRPr="0018386D">
        <w:t xml:space="preserve"> using the raw data in </w:t>
      </w:r>
      <w:hyperlink w:anchor="_Appendix_A:_Derivation_2">
        <w:r w:rsidR="0086469C" w:rsidRPr="0018386D">
          <w:rPr>
            <w:rStyle w:val="Hyperlink"/>
          </w:rPr>
          <w:t>Ap</w:t>
        </w:r>
        <w:r w:rsidR="2D19D964" w:rsidRPr="0018386D">
          <w:rPr>
            <w:rStyle w:val="Hyperlink"/>
          </w:rPr>
          <w:t>pendix A: Derivation of fuel emission factors</w:t>
        </w:r>
      </w:hyperlink>
      <w:r w:rsidR="00C1583F" w:rsidRPr="005D37E0">
        <w:t>.</w:t>
      </w:r>
    </w:p>
    <w:p w14:paraId="58A58C12" w14:textId="266A6C21" w:rsidR="0041106E" w:rsidRPr="0018386D" w:rsidRDefault="48317B27" w:rsidP="00DD3106">
      <w:pPr>
        <w:pStyle w:val="Heading3"/>
        <w:numPr>
          <w:ilvl w:val="2"/>
          <w:numId w:val="8"/>
        </w:numPr>
        <w:jc w:val="both"/>
      </w:pPr>
      <w:bookmarkStart w:id="194" w:name="_Toc532904867"/>
      <w:r w:rsidRPr="0018386D">
        <w:t xml:space="preserve">Assumptions, </w:t>
      </w:r>
      <w:proofErr w:type="gramStart"/>
      <w:r w:rsidRPr="0018386D">
        <w:t>limitations</w:t>
      </w:r>
      <w:proofErr w:type="gramEnd"/>
      <w:r w:rsidRPr="0018386D">
        <w:t xml:space="preserve"> and uncertainties</w:t>
      </w:r>
      <w:bookmarkEnd w:id="194"/>
    </w:p>
    <w:p w14:paraId="189383ED" w14:textId="63A449B2" w:rsidR="004C3FF4" w:rsidRPr="0018386D" w:rsidRDefault="0041106E" w:rsidP="00DD3106">
      <w:pPr>
        <w:pStyle w:val="BodyText"/>
      </w:pPr>
      <w:r w:rsidRPr="0018386D">
        <w:t>The same assumption</w:t>
      </w:r>
      <w:r w:rsidR="00754921" w:rsidRPr="0018386D">
        <w:t>s</w:t>
      </w:r>
      <w:r w:rsidRPr="0018386D">
        <w:t xml:space="preserve">, limitations and uncertainties associated with transport and stationary combustion </w:t>
      </w:r>
      <w:r w:rsidR="00754921" w:rsidRPr="0018386D">
        <w:t>apply</w:t>
      </w:r>
      <w:r w:rsidRPr="0018386D">
        <w:t xml:space="preserve"> to biofuels. There is no difference between transport or stationary combustion of biofuels.</w:t>
      </w:r>
      <w:bookmarkEnd w:id="183"/>
    </w:p>
    <w:p w14:paraId="5DC94EF9" w14:textId="0BAE4866" w:rsidR="005C0D7A" w:rsidRPr="0018386D" w:rsidRDefault="005C0D7A" w:rsidP="00DD3106">
      <w:pPr>
        <w:pStyle w:val="Heading2"/>
        <w:numPr>
          <w:ilvl w:val="1"/>
          <w:numId w:val="8"/>
        </w:numPr>
      </w:pPr>
      <w:bookmarkStart w:id="195" w:name="_Toc529960692"/>
      <w:bookmarkStart w:id="196" w:name="_Toc140048894"/>
      <w:bookmarkStart w:id="197" w:name="_Toc532904868"/>
      <w:bookmarkStart w:id="198" w:name="_Toc600571"/>
      <w:r w:rsidRPr="0018386D">
        <w:t>Transmission and distribution losses for</w:t>
      </w:r>
      <w:r w:rsidR="006D319A" w:rsidRPr="0018386D">
        <w:t> </w:t>
      </w:r>
      <w:r w:rsidRPr="0018386D">
        <w:t>reticulated</w:t>
      </w:r>
      <w:bookmarkEnd w:id="195"/>
      <w:r w:rsidR="00AB3F4F" w:rsidRPr="0018386D">
        <w:t xml:space="preserve"> </w:t>
      </w:r>
      <w:r w:rsidR="00611BAE" w:rsidRPr="0018386D">
        <w:t>gases</w:t>
      </w:r>
      <w:bookmarkEnd w:id="196"/>
      <w:r w:rsidRPr="0018386D">
        <w:t xml:space="preserve"> </w:t>
      </w:r>
      <w:bookmarkEnd w:id="197"/>
      <w:bookmarkEnd w:id="198"/>
    </w:p>
    <w:p w14:paraId="27C4FECE" w14:textId="78AD28B2" w:rsidR="00DE75BD" w:rsidRPr="0018386D" w:rsidRDefault="0026272F" w:rsidP="00DD3106">
      <w:pPr>
        <w:pStyle w:val="BodyText"/>
      </w:pPr>
      <w:bookmarkStart w:id="199" w:name="_Hlk532891765"/>
      <w:r w:rsidRPr="0018386D">
        <w:rPr>
          <w:b/>
          <w:bCs/>
        </w:rPr>
        <w:t>Natural gas reticulation</w:t>
      </w:r>
      <w:r w:rsidRPr="0018386D">
        <w:t xml:space="preserve"> losses decreased by 38 per cent, due to a change in calculation methodology from the </w:t>
      </w:r>
      <w:r w:rsidR="7A524D3E" w:rsidRPr="0018386D">
        <w:t>2022</w:t>
      </w:r>
      <w:r w:rsidRPr="0018386D">
        <w:t xml:space="preserve"> </w:t>
      </w:r>
      <w:r w:rsidRPr="0018386D">
        <w:rPr>
          <w:i/>
        </w:rPr>
        <w:t>Guidance</w:t>
      </w:r>
      <w:r w:rsidRPr="0018386D">
        <w:t xml:space="preserve">. </w:t>
      </w:r>
    </w:p>
    <w:p w14:paraId="7E004377" w14:textId="00040296" w:rsidR="00DE75BD" w:rsidRPr="0018386D" w:rsidRDefault="0026272F" w:rsidP="00DD3106">
      <w:pPr>
        <w:pStyle w:val="BodyText"/>
      </w:pPr>
      <w:r w:rsidRPr="0018386D">
        <w:t xml:space="preserve">For </w:t>
      </w:r>
      <w:r w:rsidR="00DE75BD" w:rsidRPr="0018386D">
        <w:t>t</w:t>
      </w:r>
      <w:r w:rsidRPr="0018386D">
        <w:t>ransmission</w:t>
      </w:r>
      <w:r w:rsidR="00DE75BD" w:rsidRPr="0018386D">
        <w:t>,</w:t>
      </w:r>
      <w:r w:rsidRPr="0018386D">
        <w:t xml:space="preserve"> the fugitive emissions from vented gas and burned gas were </w:t>
      </w:r>
      <w:r w:rsidR="00DE75BD" w:rsidRPr="0018386D">
        <w:t xml:space="preserve">previously </w:t>
      </w:r>
      <w:r w:rsidRPr="0018386D">
        <w:t>included</w:t>
      </w:r>
      <w:r w:rsidR="003672F2" w:rsidRPr="0018386D">
        <w:t xml:space="preserve"> but</w:t>
      </w:r>
      <w:r w:rsidRPr="0018386D">
        <w:t xml:space="preserve"> </w:t>
      </w:r>
      <w:r w:rsidR="00DE75BD" w:rsidRPr="0018386D">
        <w:t>were</w:t>
      </w:r>
      <w:r w:rsidRPr="0018386D">
        <w:t xml:space="preserve"> expanded </w:t>
      </w:r>
      <w:r w:rsidR="00DE75BD" w:rsidRPr="0018386D">
        <w:t>in 2023</w:t>
      </w:r>
      <w:r w:rsidRPr="0018386D">
        <w:t xml:space="preserve"> to include fugitive emissions from industry assets. </w:t>
      </w:r>
    </w:p>
    <w:p w14:paraId="3AE5CA05" w14:textId="34E3D40A" w:rsidR="002368EA" w:rsidRPr="0018386D" w:rsidRDefault="0026272F" w:rsidP="00DD3106">
      <w:pPr>
        <w:pStyle w:val="BodyText"/>
      </w:pPr>
      <w:r w:rsidRPr="0018386D">
        <w:lastRenderedPageBreak/>
        <w:t xml:space="preserve">Distribution fugitive emissions </w:t>
      </w:r>
      <w:r w:rsidR="00DE75BD" w:rsidRPr="0018386D">
        <w:t>were</w:t>
      </w:r>
      <w:r w:rsidRPr="0018386D">
        <w:t xml:space="preserve"> previously estimated on international default factors</w:t>
      </w:r>
      <w:r w:rsidR="000F30DF" w:rsidRPr="0018386D">
        <w:t xml:space="preserve"> but</w:t>
      </w:r>
      <w:r w:rsidRPr="0018386D">
        <w:t xml:space="preserve"> </w:t>
      </w:r>
      <w:r w:rsidR="00DE75BD" w:rsidRPr="0018386D">
        <w:t>have</w:t>
      </w:r>
      <w:r w:rsidRPr="0018386D">
        <w:t xml:space="preserve"> moved to facility</w:t>
      </w:r>
      <w:r w:rsidR="00DE75BD" w:rsidRPr="0018386D">
        <w:t>-</w:t>
      </w:r>
      <w:r w:rsidRPr="0018386D">
        <w:t xml:space="preserve">level estimates of emission </w:t>
      </w:r>
      <w:r w:rsidR="002368EA" w:rsidRPr="0018386D">
        <w:t xml:space="preserve">factors. </w:t>
      </w:r>
    </w:p>
    <w:p w14:paraId="0EE79EA5" w14:textId="52647458" w:rsidR="005C0D7A" w:rsidRPr="0018386D" w:rsidRDefault="005C0D7A" w:rsidP="00DD3106">
      <w:pPr>
        <w:pStyle w:val="BodyText"/>
      </w:pPr>
      <w:r w:rsidRPr="0018386D">
        <w:t xml:space="preserve">Reticulated gases are delivered via a piped gas system. </w:t>
      </w:r>
      <w:bookmarkEnd w:id="199"/>
      <w:r w:rsidRPr="0018386D">
        <w:t xml:space="preserve">Users should be aware what type of reticulated gas they are receiving: natural gas or liquefied petroleum gas (LPG). </w:t>
      </w:r>
    </w:p>
    <w:p w14:paraId="07E137B6" w14:textId="28265033" w:rsidR="00705AC2" w:rsidRPr="0018386D" w:rsidRDefault="00705AC2" w:rsidP="00DD3106">
      <w:pPr>
        <w:pStyle w:val="BodyText"/>
      </w:pPr>
      <w:r w:rsidRPr="0018386D">
        <w:t xml:space="preserve">Fugitive emissions from reticulated natural gas </w:t>
      </w:r>
      <w:r w:rsidR="00A412B4" w:rsidRPr="0018386D">
        <w:t>t</w:t>
      </w:r>
      <w:r w:rsidR="005F3010" w:rsidRPr="0018386D">
        <w:t xml:space="preserve">ransmission and </w:t>
      </w:r>
      <w:r w:rsidR="00A412B4" w:rsidRPr="0018386D">
        <w:t>d</w:t>
      </w:r>
      <w:r w:rsidR="005F3010" w:rsidRPr="0018386D">
        <w:t>istribution losses</w:t>
      </w:r>
      <w:r w:rsidRPr="0018386D">
        <w:t xml:space="preserve"> only fall under Scope 1 for specific sectors </w:t>
      </w:r>
      <w:r w:rsidR="00F46B64" w:rsidRPr="0018386D">
        <w:t>(</w:t>
      </w:r>
      <w:r w:rsidR="00F56975" w:rsidRPr="0018386D">
        <w:t>eg</w:t>
      </w:r>
      <w:r w:rsidR="00E9175E" w:rsidRPr="0018386D">
        <w:t>,</w:t>
      </w:r>
      <w:r w:rsidRPr="0018386D">
        <w:t xml:space="preserve"> gas distribution businesses</w:t>
      </w:r>
      <w:r w:rsidR="00F46B64" w:rsidRPr="0018386D">
        <w:t>)</w:t>
      </w:r>
      <w:r w:rsidRPr="0018386D">
        <w:t xml:space="preserve">. </w:t>
      </w:r>
    </w:p>
    <w:p w14:paraId="67DF4AED" w14:textId="74650FF2" w:rsidR="00705AC2" w:rsidRPr="0018386D" w:rsidRDefault="00705AC2" w:rsidP="00DD3106">
      <w:pPr>
        <w:pStyle w:val="BodyText"/>
      </w:pPr>
      <w:r w:rsidRPr="0018386D">
        <w:t xml:space="preserve">If an organisation consumes reticulated gas </w:t>
      </w:r>
      <w:r w:rsidR="00F56975" w:rsidRPr="0018386D">
        <w:t>eg</w:t>
      </w:r>
      <w:r w:rsidR="00E9175E" w:rsidRPr="0018386D">
        <w:t>,</w:t>
      </w:r>
      <w:r w:rsidRPr="0018386D">
        <w:t xml:space="preserve"> for cooking (as shown in the example </w:t>
      </w:r>
      <w:r w:rsidR="00E9175E" w:rsidRPr="0018386D">
        <w:t xml:space="preserve">calculation </w:t>
      </w:r>
      <w:r w:rsidRPr="0018386D">
        <w:t xml:space="preserve">under 3.5.1) related natural gas </w:t>
      </w:r>
      <w:r w:rsidR="00806324" w:rsidRPr="0018386D">
        <w:t>t</w:t>
      </w:r>
      <w:r w:rsidR="005F3010" w:rsidRPr="0018386D">
        <w:t xml:space="preserve">ransmission and </w:t>
      </w:r>
      <w:r w:rsidR="00806324" w:rsidRPr="0018386D">
        <w:t>d</w:t>
      </w:r>
      <w:r w:rsidR="005F3010" w:rsidRPr="0018386D">
        <w:t>istribution losses</w:t>
      </w:r>
      <w:r w:rsidRPr="0018386D">
        <w:t xml:space="preserve"> emissions would fall under Scope 3</w:t>
      </w:r>
      <w:r w:rsidR="00E9175E" w:rsidRPr="0018386D">
        <w:t>/</w:t>
      </w:r>
      <w:r w:rsidRPr="0018386D">
        <w:t>Category</w:t>
      </w:r>
      <w:r w:rsidR="00E9175E" w:rsidRPr="0018386D">
        <w:t xml:space="preserve"> </w:t>
      </w:r>
      <w:r w:rsidRPr="0018386D">
        <w:t xml:space="preserve">3. </w:t>
      </w:r>
      <w:r w:rsidR="2E029E12" w:rsidRPr="0018386D">
        <w:t>See p</w:t>
      </w:r>
      <w:r w:rsidR="177A0581" w:rsidRPr="0018386D">
        <w:t xml:space="preserve">age </w:t>
      </w:r>
      <w:r w:rsidR="2E029E12" w:rsidRPr="0018386D">
        <w:t>41</w:t>
      </w:r>
      <w:r w:rsidR="00AE7CF8" w:rsidRPr="0018386D">
        <w:t>,</w:t>
      </w:r>
      <w:r w:rsidR="2E029E12" w:rsidRPr="0018386D">
        <w:t xml:space="preserve"> the GHG Protocol </w:t>
      </w:r>
      <w:hyperlink r:id="rId88">
        <w:r w:rsidR="2E029E12" w:rsidRPr="0018386D">
          <w:rPr>
            <w:rStyle w:val="Hyperlink"/>
          </w:rPr>
          <w:t>Corporate Value Chain (Scope 3) Accounting and Reporting Standard</w:t>
        </w:r>
      </w:hyperlink>
      <w:r w:rsidR="2E029E12" w:rsidRPr="0018386D">
        <w:t>.</w:t>
      </w:r>
    </w:p>
    <w:p w14:paraId="66BDE0E7" w14:textId="5C2B0357" w:rsidR="005C0D7A" w:rsidRPr="0018386D" w:rsidRDefault="005C0D7A" w:rsidP="00DD3106">
      <w:pPr>
        <w:pStyle w:val="BodyText"/>
      </w:pPr>
      <w:r w:rsidRPr="0018386D">
        <w:t xml:space="preserve">Reticulated LPG is supplied in </w:t>
      </w:r>
      <w:r w:rsidR="007F4E21" w:rsidRPr="0018386D">
        <w:t xml:space="preserve">parts of </w:t>
      </w:r>
      <w:r w:rsidRPr="0018386D">
        <w:t>Canterbury</w:t>
      </w:r>
      <w:r w:rsidR="00AF4757" w:rsidRPr="0018386D">
        <w:t xml:space="preserve"> </w:t>
      </w:r>
      <w:r w:rsidR="00AA7B14" w:rsidRPr="0018386D">
        <w:t xml:space="preserve">and Otago </w:t>
      </w:r>
      <w:r w:rsidR="00AF4757" w:rsidRPr="0018386D">
        <w:t>only</w:t>
      </w:r>
      <w:r w:rsidR="001527E2" w:rsidRPr="0018386D">
        <w:t xml:space="preserve"> (natural gas is not available in the South Island)</w:t>
      </w:r>
      <w:r w:rsidRPr="0018386D">
        <w:t xml:space="preserve">. </w:t>
      </w:r>
      <w:r w:rsidR="00754921" w:rsidRPr="0018386D">
        <w:t>The guide</w:t>
      </w:r>
      <w:r w:rsidRPr="0018386D">
        <w:t xml:space="preserve"> assume</w:t>
      </w:r>
      <w:r w:rsidR="00754921" w:rsidRPr="0018386D">
        <w:t>s</w:t>
      </w:r>
      <w:r w:rsidRPr="0018386D">
        <w:t xml:space="preserve"> there are no transmission and distribution losses from reticulated LPG due to the chemical composition of the gas</w:t>
      </w:r>
      <w:r w:rsidR="00E00E11" w:rsidRPr="0018386D">
        <w:t>. A</w:t>
      </w:r>
      <w:r w:rsidR="007F4E21" w:rsidRPr="0018386D">
        <w:t>s</w:t>
      </w:r>
      <w:r w:rsidR="00DE75BD" w:rsidRPr="0018386D">
        <w:t xml:space="preserve"> </w:t>
      </w:r>
      <w:r w:rsidR="127B5BD0" w:rsidRPr="0018386D">
        <w:t>LPG is</w:t>
      </w:r>
      <w:r w:rsidR="007F4E21" w:rsidRPr="0018386D">
        <w:t xml:space="preserve"> a mixture of propane and butane,</w:t>
      </w:r>
      <w:r w:rsidR="00C1583F" w:rsidRPr="0018386D">
        <w:t xml:space="preserve"> </w:t>
      </w:r>
      <w:r w:rsidRPr="0018386D">
        <w:t xml:space="preserve">it does not emit fugitive </w:t>
      </w:r>
      <w:r w:rsidR="009C2D99" w:rsidRPr="0018386D">
        <w:t>greenhouse gases.</w:t>
      </w:r>
    </w:p>
    <w:p w14:paraId="1D69EA44" w14:textId="7F667438" w:rsidR="005C0D7A" w:rsidRPr="0018386D" w:rsidRDefault="005C0D7A" w:rsidP="00DD3106">
      <w:pPr>
        <w:pStyle w:val="BodyText"/>
      </w:pPr>
      <w:r w:rsidRPr="0018386D">
        <w:t>The emission factor for reticulated natural gas transmission and distribution losses accounts for fugitive emissions from the transmission and distribution system</w:t>
      </w:r>
      <w:r w:rsidR="00AF4757" w:rsidRPr="0018386D">
        <w:t xml:space="preserve"> for natural gas</w:t>
      </w:r>
      <w:r w:rsidRPr="0018386D">
        <w:t>. These emissions occur during the delivery of the gas to the end user.</w:t>
      </w:r>
    </w:p>
    <w:p w14:paraId="182AF8EC" w14:textId="792BF57F" w:rsidR="00C25D64" w:rsidRPr="0018386D" w:rsidRDefault="00C7627E" w:rsidP="00DD3106">
      <w:pPr>
        <w:pStyle w:val="BodyText"/>
      </w:pPr>
      <w:hyperlink w:anchor="table6" w:history="1">
        <w:r w:rsidR="00A111FA" w:rsidRPr="0018386D">
          <w:rPr>
            <w:rStyle w:val="Hyperlink"/>
          </w:rPr>
          <w:t>Table 6</w:t>
        </w:r>
      </w:hyperlink>
      <w:r w:rsidR="00155373" w:rsidRPr="0018386D">
        <w:t xml:space="preserve"> </w:t>
      </w:r>
      <w:r w:rsidR="005C0D7A" w:rsidRPr="0018386D">
        <w:t xml:space="preserve">details the emission factors for the transmission and distribution losses for reticulated natural gas. These represent an estimate of the average amount of </w:t>
      </w:r>
      <w:r w:rsidR="004A1AA3" w:rsidRPr="0018386D">
        <w:t>carbon dioxide equivalents</w:t>
      </w:r>
      <w:r w:rsidR="005C0D7A" w:rsidRPr="0018386D">
        <w:t xml:space="preserve"> emitted from losses associated with the delivery (transmission and distribution) of each unit of</w:t>
      </w:r>
      <w:r w:rsidR="00E81B34" w:rsidRPr="0018386D">
        <w:t> </w:t>
      </w:r>
      <w:r w:rsidR="005C0D7A" w:rsidRPr="0018386D">
        <w:t>gas consumed through local distribution networks in 201</w:t>
      </w:r>
      <w:r w:rsidR="00CA36E7" w:rsidRPr="0018386D">
        <w:t>8</w:t>
      </w:r>
      <w:r w:rsidR="005C0D7A" w:rsidRPr="0018386D">
        <w:t>. They are average figures and therefore make no allowance for distance from off-take point, or other factors that may vary between individual consumers</w:t>
      </w:r>
      <w:r w:rsidR="00F814CC" w:rsidRPr="0018386D">
        <w:t>.</w:t>
      </w:r>
    </w:p>
    <w:p w14:paraId="3BE75930" w14:textId="5F583C1F" w:rsidR="005C0D7A" w:rsidRPr="0018386D" w:rsidRDefault="005C0D7A" w:rsidP="00DD3106">
      <w:pPr>
        <w:pStyle w:val="Tableheading"/>
      </w:pPr>
      <w:bookmarkStart w:id="200" w:name="_Ref532381820"/>
      <w:bookmarkStart w:id="201" w:name="table6"/>
      <w:bookmarkStart w:id="202" w:name="_Toc111536611"/>
      <w:bookmarkStart w:id="203" w:name="_Toc140048946"/>
      <w:r w:rsidRPr="0018386D">
        <w:t xml:space="preserve">Table </w:t>
      </w:r>
      <w:r w:rsidRPr="0018386D">
        <w:fldChar w:fldCharType="begin"/>
      </w:r>
      <w:r w:rsidRPr="0018386D">
        <w:instrText>SEQ Table \* ARABIC</w:instrText>
      </w:r>
      <w:r w:rsidRPr="0018386D">
        <w:fldChar w:fldCharType="separate"/>
      </w:r>
      <w:r w:rsidR="003E141C" w:rsidRPr="0018386D">
        <w:t>6</w:t>
      </w:r>
      <w:r w:rsidRPr="0018386D">
        <w:fldChar w:fldCharType="end"/>
      </w:r>
      <w:bookmarkEnd w:id="200"/>
      <w:bookmarkEnd w:id="201"/>
      <w:r w:rsidRPr="0018386D">
        <w:t>:</w:t>
      </w:r>
      <w:r w:rsidRPr="0018386D">
        <w:tab/>
        <w:t>Transmission and distribution loss emission factors for natural gas</w:t>
      </w:r>
      <w:bookmarkEnd w:id="202"/>
      <w:bookmarkEnd w:id="203"/>
    </w:p>
    <w:tbl>
      <w:tblPr>
        <w:tblW w:w="8505" w:type="dxa"/>
        <w:tblLook w:val="04A0" w:firstRow="1" w:lastRow="0" w:firstColumn="1" w:lastColumn="0" w:noHBand="0" w:noVBand="1"/>
      </w:tblPr>
      <w:tblGrid>
        <w:gridCol w:w="2552"/>
        <w:gridCol w:w="850"/>
        <w:gridCol w:w="1290"/>
        <w:gridCol w:w="1271"/>
        <w:gridCol w:w="1271"/>
        <w:gridCol w:w="1271"/>
      </w:tblGrid>
      <w:tr w:rsidR="00E11E09" w:rsidRPr="0018386D" w14:paraId="09018D09" w14:textId="77777777" w:rsidTr="00C843BB">
        <w:trPr>
          <w:divId w:val="845633225"/>
          <w:trHeight w:val="240"/>
        </w:trPr>
        <w:tc>
          <w:tcPr>
            <w:tcW w:w="2552" w:type="dxa"/>
            <w:tcBorders>
              <w:top w:val="nil"/>
              <w:left w:val="nil"/>
              <w:right w:val="nil"/>
            </w:tcBorders>
            <w:shd w:val="clear" w:color="000000" w:fill="1C556C"/>
            <w:noWrap/>
            <w:vAlign w:val="bottom"/>
            <w:hideMark/>
          </w:tcPr>
          <w:p w14:paraId="7228E28D" w14:textId="5B86F4F9" w:rsidR="008E2ED2" w:rsidRPr="0018386D" w:rsidRDefault="008E2ED2" w:rsidP="00DD3106">
            <w:pPr>
              <w:pStyle w:val="TableTextbold"/>
              <w:rPr>
                <w:color w:val="FFFFFF" w:themeColor="background1"/>
                <w:lang w:bidi="th-TH"/>
              </w:rPr>
            </w:pPr>
            <w:bookmarkStart w:id="204" w:name="_1746366752"/>
            <w:bookmarkStart w:id="205" w:name="_1745997829"/>
            <w:bookmarkStart w:id="206" w:name="_1746254041"/>
            <w:bookmarkStart w:id="207" w:name="_1747051243"/>
            <w:bookmarkEnd w:id="204"/>
            <w:bookmarkEnd w:id="205"/>
            <w:bookmarkEnd w:id="206"/>
            <w:bookmarkEnd w:id="207"/>
            <w:r w:rsidRPr="0018386D">
              <w:rPr>
                <w:color w:val="FFFFFF" w:themeColor="background1"/>
                <w:lang w:bidi="th-TH"/>
              </w:rPr>
              <w:t>Transmission and distribution losses source</w:t>
            </w:r>
          </w:p>
        </w:tc>
        <w:tc>
          <w:tcPr>
            <w:tcW w:w="850" w:type="dxa"/>
            <w:tcBorders>
              <w:top w:val="nil"/>
              <w:left w:val="nil"/>
              <w:bottom w:val="single" w:sz="4" w:space="0" w:color="1B556B" w:themeColor="text2"/>
              <w:right w:val="nil"/>
            </w:tcBorders>
            <w:shd w:val="clear" w:color="000000" w:fill="1C556C"/>
            <w:noWrap/>
            <w:vAlign w:val="bottom"/>
            <w:hideMark/>
          </w:tcPr>
          <w:p w14:paraId="25883E0D" w14:textId="77777777" w:rsidR="008E2ED2" w:rsidRPr="0018386D" w:rsidRDefault="008E2ED2" w:rsidP="00DD3106">
            <w:pPr>
              <w:pStyle w:val="TableTextbold"/>
              <w:jc w:val="center"/>
              <w:rPr>
                <w:color w:val="FFFFFF" w:themeColor="background1"/>
                <w:lang w:bidi="th-TH"/>
              </w:rPr>
            </w:pPr>
            <w:r w:rsidRPr="0018386D">
              <w:rPr>
                <w:color w:val="FFFFFF" w:themeColor="background1"/>
                <w:lang w:bidi="th-TH"/>
              </w:rPr>
              <w:t>Unit</w:t>
            </w:r>
          </w:p>
        </w:tc>
        <w:tc>
          <w:tcPr>
            <w:tcW w:w="1290" w:type="dxa"/>
            <w:tcBorders>
              <w:top w:val="nil"/>
              <w:left w:val="nil"/>
              <w:bottom w:val="single" w:sz="4" w:space="0" w:color="1B556B" w:themeColor="text2"/>
              <w:right w:val="nil"/>
            </w:tcBorders>
            <w:shd w:val="clear" w:color="000000" w:fill="1C556C"/>
            <w:noWrap/>
            <w:vAlign w:val="bottom"/>
            <w:hideMark/>
          </w:tcPr>
          <w:p w14:paraId="76C131E4" w14:textId="79FB8271" w:rsidR="008E2ED2" w:rsidRPr="0018386D" w:rsidRDefault="008E2ED2" w:rsidP="00DD3106">
            <w:pPr>
              <w:pStyle w:val="TableTextbold"/>
              <w:jc w:val="center"/>
              <w:rPr>
                <w:color w:val="FFFFFF" w:themeColor="background1"/>
                <w:lang w:bidi="th-TH"/>
              </w:rPr>
            </w:pPr>
            <w:r w:rsidRPr="0018386D">
              <w:rPr>
                <w:color w:val="FFFFFF" w:themeColor="background1"/>
                <w:lang w:bidi="th-TH"/>
              </w:rPr>
              <w:t>kg CO₂-e/unit</w:t>
            </w:r>
          </w:p>
        </w:tc>
        <w:tc>
          <w:tcPr>
            <w:tcW w:w="1271" w:type="dxa"/>
            <w:tcBorders>
              <w:top w:val="nil"/>
              <w:left w:val="nil"/>
              <w:bottom w:val="single" w:sz="4" w:space="0" w:color="1B556B" w:themeColor="text2"/>
              <w:right w:val="nil"/>
            </w:tcBorders>
            <w:shd w:val="clear" w:color="000000" w:fill="1C556C"/>
            <w:noWrap/>
            <w:vAlign w:val="bottom"/>
            <w:hideMark/>
          </w:tcPr>
          <w:p w14:paraId="6CA3E85E" w14:textId="767E730D" w:rsidR="008E2ED2" w:rsidRPr="0018386D" w:rsidRDefault="008E2ED2" w:rsidP="00DD3106">
            <w:pPr>
              <w:pStyle w:val="TableTextbold"/>
              <w:jc w:val="center"/>
              <w:rPr>
                <w:color w:val="FFFFFF" w:themeColor="background1"/>
                <w:lang w:bidi="th-TH"/>
              </w:rPr>
            </w:pPr>
            <w:r w:rsidRPr="0018386D">
              <w:rPr>
                <w:color w:val="FFFFFF" w:themeColor="background1"/>
                <w:lang w:bidi="th-TH"/>
              </w:rPr>
              <w:t>kg CO₂/unit</w:t>
            </w:r>
          </w:p>
        </w:tc>
        <w:tc>
          <w:tcPr>
            <w:tcW w:w="1271" w:type="dxa"/>
            <w:tcBorders>
              <w:top w:val="nil"/>
              <w:left w:val="nil"/>
              <w:bottom w:val="single" w:sz="4" w:space="0" w:color="1B556B" w:themeColor="text2"/>
              <w:right w:val="nil"/>
            </w:tcBorders>
            <w:shd w:val="clear" w:color="000000" w:fill="1C556C"/>
            <w:noWrap/>
            <w:vAlign w:val="bottom"/>
            <w:hideMark/>
          </w:tcPr>
          <w:p w14:paraId="671657C1" w14:textId="10FB8EBF" w:rsidR="008E2ED2" w:rsidRPr="0018386D" w:rsidRDefault="008E2ED2" w:rsidP="00DD3106">
            <w:pPr>
              <w:pStyle w:val="TableTextbold"/>
              <w:jc w:val="center"/>
              <w:rPr>
                <w:color w:val="FFFFFF" w:themeColor="background1"/>
                <w:lang w:bidi="th-TH"/>
              </w:rPr>
            </w:pPr>
            <w:r w:rsidRPr="0018386D">
              <w:rPr>
                <w:color w:val="FFFFFF" w:themeColor="background1"/>
                <w:lang w:bidi="th-TH"/>
              </w:rPr>
              <w:t>kg CH₄/unit (kg CO₂-e)</w:t>
            </w:r>
          </w:p>
        </w:tc>
        <w:tc>
          <w:tcPr>
            <w:tcW w:w="1271" w:type="dxa"/>
            <w:tcBorders>
              <w:top w:val="nil"/>
              <w:left w:val="nil"/>
              <w:bottom w:val="single" w:sz="4" w:space="0" w:color="1B556B" w:themeColor="text2"/>
              <w:right w:val="nil"/>
            </w:tcBorders>
            <w:shd w:val="clear" w:color="000000" w:fill="1C556C"/>
            <w:noWrap/>
            <w:vAlign w:val="bottom"/>
            <w:hideMark/>
          </w:tcPr>
          <w:p w14:paraId="5F317FD2" w14:textId="04B23EB4" w:rsidR="008E2ED2" w:rsidRPr="0018386D" w:rsidRDefault="008E2ED2" w:rsidP="00DD3106">
            <w:pPr>
              <w:pStyle w:val="TableTextbold"/>
              <w:jc w:val="center"/>
              <w:rPr>
                <w:color w:val="FFFFFF" w:themeColor="background1"/>
                <w:lang w:bidi="th-TH"/>
              </w:rPr>
            </w:pPr>
            <w:r w:rsidRPr="0018386D">
              <w:rPr>
                <w:color w:val="FFFFFF" w:themeColor="background1"/>
                <w:lang w:bidi="th-TH"/>
              </w:rPr>
              <w:t>kg N₂O/unit (kg CO₂-e)</w:t>
            </w:r>
          </w:p>
        </w:tc>
      </w:tr>
      <w:tr w:rsidR="00FB1B1C" w:rsidRPr="0018386D" w14:paraId="6F88C2DC" w14:textId="77777777" w:rsidTr="00C843BB">
        <w:trPr>
          <w:divId w:val="845633225"/>
          <w:trHeight w:val="240"/>
        </w:trPr>
        <w:tc>
          <w:tcPr>
            <w:tcW w:w="2552" w:type="dxa"/>
            <w:tcBorders>
              <w:right w:val="single" w:sz="4" w:space="0" w:color="auto"/>
            </w:tcBorders>
            <w:shd w:val="clear" w:color="000000" w:fill="FFFFFF"/>
            <w:noWrap/>
            <w:hideMark/>
          </w:tcPr>
          <w:p w14:paraId="1B8C3B68" w14:textId="77777777" w:rsidR="008E2ED2" w:rsidRPr="0018386D" w:rsidRDefault="008E2ED2" w:rsidP="00DD3106">
            <w:pPr>
              <w:pStyle w:val="TableText"/>
            </w:pPr>
            <w:r w:rsidRPr="0018386D">
              <w:t>Natural gas used</w:t>
            </w:r>
          </w:p>
        </w:tc>
        <w:tc>
          <w:tcPr>
            <w:tcW w:w="850" w:type="dxa"/>
            <w:tcBorders>
              <w:top w:val="single" w:sz="4" w:space="0" w:color="1B556B" w:themeColor="text2"/>
              <w:left w:val="single" w:sz="4" w:space="0" w:color="auto"/>
              <w:bottom w:val="single" w:sz="4" w:space="0" w:color="1B556B" w:themeColor="text2"/>
              <w:right w:val="single" w:sz="4" w:space="0" w:color="1B556B" w:themeColor="text2"/>
            </w:tcBorders>
            <w:shd w:val="clear" w:color="000000" w:fill="FFFFFF"/>
            <w:noWrap/>
            <w:hideMark/>
          </w:tcPr>
          <w:p w14:paraId="6DCFD3E7" w14:textId="77777777" w:rsidR="008E2ED2" w:rsidRPr="0018386D" w:rsidRDefault="008E2ED2" w:rsidP="00DD3106">
            <w:pPr>
              <w:pStyle w:val="TableText"/>
              <w:jc w:val="center"/>
            </w:pPr>
            <w:r w:rsidRPr="0018386D">
              <w:t>kWh</w:t>
            </w:r>
          </w:p>
        </w:tc>
        <w:tc>
          <w:tcPr>
            <w:tcW w:w="1290"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D2DDE1"/>
            <w:noWrap/>
            <w:hideMark/>
          </w:tcPr>
          <w:p w14:paraId="59013DED" w14:textId="451C4034" w:rsidR="008E2ED2" w:rsidRPr="0018386D" w:rsidRDefault="008E2ED2" w:rsidP="00DD3106">
            <w:pPr>
              <w:pStyle w:val="TableText"/>
              <w:jc w:val="center"/>
            </w:pPr>
            <w:r w:rsidRPr="0018386D">
              <w:t>0.00713</w:t>
            </w:r>
          </w:p>
        </w:tc>
        <w:tc>
          <w:tcPr>
            <w:tcW w:w="127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hideMark/>
          </w:tcPr>
          <w:p w14:paraId="1FB1946D" w14:textId="67D7E94C" w:rsidR="008E2ED2" w:rsidRPr="0018386D" w:rsidRDefault="008E2ED2" w:rsidP="00DD3106">
            <w:pPr>
              <w:pStyle w:val="TableText"/>
              <w:jc w:val="center"/>
            </w:pPr>
            <w:r w:rsidRPr="0018386D">
              <w:t>0.00006</w:t>
            </w:r>
          </w:p>
        </w:tc>
        <w:tc>
          <w:tcPr>
            <w:tcW w:w="127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hideMark/>
          </w:tcPr>
          <w:p w14:paraId="7A97DF94" w14:textId="611E03B7" w:rsidR="008E2ED2" w:rsidRPr="0018386D" w:rsidRDefault="008E2ED2" w:rsidP="00DD3106">
            <w:pPr>
              <w:pStyle w:val="TableText"/>
              <w:jc w:val="center"/>
            </w:pPr>
            <w:r w:rsidRPr="0018386D">
              <w:t>0.00707</w:t>
            </w:r>
          </w:p>
        </w:tc>
        <w:tc>
          <w:tcPr>
            <w:tcW w:w="1271" w:type="dxa"/>
            <w:tcBorders>
              <w:top w:val="single" w:sz="4" w:space="0" w:color="1B556B" w:themeColor="text2"/>
              <w:left w:val="single" w:sz="4" w:space="0" w:color="1B556B" w:themeColor="text2"/>
              <w:bottom w:val="single" w:sz="4" w:space="0" w:color="1B556B" w:themeColor="text2"/>
            </w:tcBorders>
            <w:shd w:val="clear" w:color="000000" w:fill="FFFFFF"/>
            <w:noWrap/>
            <w:hideMark/>
          </w:tcPr>
          <w:p w14:paraId="2F6923A2" w14:textId="77777777" w:rsidR="008E2ED2" w:rsidRPr="0018386D" w:rsidRDefault="008E2ED2" w:rsidP="00DD3106">
            <w:pPr>
              <w:pStyle w:val="TableText"/>
              <w:jc w:val="center"/>
            </w:pPr>
            <w:r w:rsidRPr="0018386D">
              <w:t>n/a</w:t>
            </w:r>
          </w:p>
        </w:tc>
      </w:tr>
      <w:tr w:rsidR="00FB1B1C" w:rsidRPr="0018386D" w14:paraId="6FD76C9D" w14:textId="77777777" w:rsidTr="00C843BB">
        <w:trPr>
          <w:divId w:val="845633225"/>
          <w:trHeight w:val="240"/>
        </w:trPr>
        <w:tc>
          <w:tcPr>
            <w:tcW w:w="2552" w:type="dxa"/>
            <w:tcBorders>
              <w:bottom w:val="single" w:sz="4" w:space="0" w:color="auto"/>
              <w:right w:val="single" w:sz="4" w:space="0" w:color="auto"/>
            </w:tcBorders>
            <w:shd w:val="clear" w:color="000000" w:fill="FFFFFF"/>
            <w:noWrap/>
            <w:hideMark/>
          </w:tcPr>
          <w:p w14:paraId="6CA856EC" w14:textId="77777777" w:rsidR="008E2ED2" w:rsidRPr="0018386D" w:rsidRDefault="008E2ED2" w:rsidP="00DD3106">
            <w:pPr>
              <w:pStyle w:val="TableText"/>
            </w:pPr>
            <w:r w:rsidRPr="0018386D">
              <w:t> </w:t>
            </w:r>
          </w:p>
        </w:tc>
        <w:tc>
          <w:tcPr>
            <w:tcW w:w="850" w:type="dxa"/>
            <w:tcBorders>
              <w:top w:val="single" w:sz="4" w:space="0" w:color="1B556B" w:themeColor="text2"/>
              <w:left w:val="single" w:sz="4" w:space="0" w:color="auto"/>
              <w:bottom w:val="single" w:sz="4" w:space="0" w:color="1B556B" w:themeColor="text2"/>
              <w:right w:val="single" w:sz="4" w:space="0" w:color="1B556B" w:themeColor="text2"/>
            </w:tcBorders>
            <w:shd w:val="clear" w:color="000000" w:fill="FFFFFF"/>
            <w:noWrap/>
            <w:hideMark/>
          </w:tcPr>
          <w:p w14:paraId="111B963F" w14:textId="77777777" w:rsidR="008E2ED2" w:rsidRPr="0018386D" w:rsidRDefault="008E2ED2" w:rsidP="00DD3106">
            <w:pPr>
              <w:pStyle w:val="TableText"/>
              <w:jc w:val="center"/>
            </w:pPr>
            <w:r w:rsidRPr="0018386D">
              <w:t>GJ</w:t>
            </w:r>
          </w:p>
        </w:tc>
        <w:tc>
          <w:tcPr>
            <w:tcW w:w="1290"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D2DDE1"/>
            <w:noWrap/>
            <w:hideMark/>
          </w:tcPr>
          <w:p w14:paraId="6A5FA1C3" w14:textId="57816E07" w:rsidR="008E2ED2" w:rsidRPr="0018386D" w:rsidRDefault="008E2ED2" w:rsidP="00DD3106">
            <w:pPr>
              <w:pStyle w:val="TableText"/>
              <w:jc w:val="center"/>
            </w:pPr>
            <w:r w:rsidRPr="0018386D">
              <w:t>1.98</w:t>
            </w:r>
          </w:p>
        </w:tc>
        <w:tc>
          <w:tcPr>
            <w:tcW w:w="127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hideMark/>
          </w:tcPr>
          <w:p w14:paraId="71CD9C7D" w14:textId="1B66E7A0" w:rsidR="008E2ED2" w:rsidRPr="0018386D" w:rsidRDefault="008E2ED2" w:rsidP="00DD3106">
            <w:pPr>
              <w:pStyle w:val="TableText"/>
              <w:jc w:val="center"/>
            </w:pPr>
            <w:r w:rsidRPr="0018386D">
              <w:t>0.0160</w:t>
            </w:r>
          </w:p>
        </w:tc>
        <w:tc>
          <w:tcPr>
            <w:tcW w:w="127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hideMark/>
          </w:tcPr>
          <w:p w14:paraId="77F961C4" w14:textId="55D099E0" w:rsidR="008E2ED2" w:rsidRPr="0018386D" w:rsidRDefault="008E2ED2" w:rsidP="00DD3106">
            <w:pPr>
              <w:pStyle w:val="TableText"/>
              <w:jc w:val="center"/>
            </w:pPr>
            <w:r w:rsidRPr="0018386D">
              <w:t>1.96</w:t>
            </w:r>
          </w:p>
        </w:tc>
        <w:tc>
          <w:tcPr>
            <w:tcW w:w="1271" w:type="dxa"/>
            <w:tcBorders>
              <w:top w:val="single" w:sz="4" w:space="0" w:color="1B556B" w:themeColor="text2"/>
              <w:left w:val="single" w:sz="4" w:space="0" w:color="1B556B" w:themeColor="text2"/>
              <w:bottom w:val="single" w:sz="4" w:space="0" w:color="1B556B" w:themeColor="text2"/>
            </w:tcBorders>
            <w:shd w:val="clear" w:color="000000" w:fill="FFFFFF"/>
            <w:noWrap/>
            <w:hideMark/>
          </w:tcPr>
          <w:p w14:paraId="35288DDF" w14:textId="77777777" w:rsidR="008E2ED2" w:rsidRPr="0018386D" w:rsidRDefault="008E2ED2" w:rsidP="00DD3106">
            <w:pPr>
              <w:pStyle w:val="TableText"/>
              <w:jc w:val="center"/>
            </w:pPr>
            <w:r w:rsidRPr="0018386D">
              <w:t>n/a</w:t>
            </w:r>
          </w:p>
        </w:tc>
      </w:tr>
    </w:tbl>
    <w:p w14:paraId="0CA3AF2C" w14:textId="39B9FAE2" w:rsidR="005C0D7A" w:rsidRPr="0018386D" w:rsidRDefault="00301928" w:rsidP="00DD3106">
      <w:pPr>
        <w:pStyle w:val="Heading3"/>
        <w:numPr>
          <w:ilvl w:val="1"/>
          <w:numId w:val="8"/>
        </w:numPr>
        <w:spacing w:before="440"/>
        <w:ind w:left="907" w:hanging="907"/>
      </w:pPr>
      <w:bookmarkStart w:id="208" w:name="_Toc532904869"/>
      <w:r w:rsidRPr="0018386D">
        <w:t xml:space="preserve">GHG </w:t>
      </w:r>
      <w:r w:rsidR="005C0D7A" w:rsidRPr="0018386D">
        <w:t>inventory development</w:t>
      </w:r>
      <w:bookmarkEnd w:id="208"/>
    </w:p>
    <w:p w14:paraId="03244757" w14:textId="2100C4FD" w:rsidR="00754921" w:rsidRPr="0018386D" w:rsidRDefault="005C0D7A" w:rsidP="00DD3106">
      <w:pPr>
        <w:pStyle w:val="BodyText"/>
      </w:pPr>
      <w:r w:rsidRPr="0018386D">
        <w:t xml:space="preserve">To calculate the emissions from transmission and distribution losses, organisations should </w:t>
      </w:r>
      <w:r w:rsidR="242C5A27" w:rsidRPr="0018386D">
        <w:t xml:space="preserve">first </w:t>
      </w:r>
      <w:r w:rsidRPr="0018386D">
        <w:t xml:space="preserve">collect data on the quantity of natural gas used </w:t>
      </w:r>
      <w:r w:rsidR="1CA9BCE0" w:rsidRPr="0018386D">
        <w:t xml:space="preserve">and </w:t>
      </w:r>
      <w:r w:rsidR="22E1C106" w:rsidRPr="0018386D">
        <w:t>then</w:t>
      </w:r>
      <w:r w:rsidRPr="0018386D">
        <w:t xml:space="preserve"> multiply this by the emission factors for each gas.</w:t>
      </w:r>
      <w:r w:rsidR="00754921" w:rsidRPr="0018386D">
        <w:t xml:space="preserve"> Applying the equation </w:t>
      </w:r>
      <w:r w:rsidR="00A71EB9" w:rsidRPr="0018386D">
        <w:t>E</w:t>
      </w:r>
      <w:r w:rsidR="00B37794" w:rsidRPr="0018386D">
        <w:t xml:space="preserve"> </w:t>
      </w:r>
      <w:r w:rsidR="00A71EB9" w:rsidRPr="0018386D">
        <w:t>= Q x F (</w:t>
      </w:r>
      <w:hyperlink w:anchor="_How_to_quantify">
        <w:r w:rsidR="652649D8" w:rsidRPr="0018386D">
          <w:rPr>
            <w:rStyle w:val="Hyperlink"/>
          </w:rPr>
          <w:t>section 2</w:t>
        </w:r>
      </w:hyperlink>
      <w:r w:rsidR="00A71EB9" w:rsidRPr="0018386D">
        <w:rPr>
          <w:rStyle w:val="Hyperlink"/>
          <w:color w:val="auto"/>
        </w:rPr>
        <w:t>)</w:t>
      </w:r>
      <w:r w:rsidR="00754921" w:rsidRPr="0018386D">
        <w:rPr>
          <w:i/>
        </w:rPr>
        <w:t>,</w:t>
      </w:r>
      <w:r w:rsidR="00754921" w:rsidRPr="0018386D">
        <w:t xml:space="preserve"> this means:</w:t>
      </w:r>
    </w:p>
    <w:p w14:paraId="5D8CE094" w14:textId="355F1FB8" w:rsidR="00A71EB9" w:rsidRPr="0018386D" w:rsidRDefault="00A71EB9"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21D17534" w14:textId="0F016DB7" w:rsidR="00754921" w:rsidRPr="0018386D" w:rsidRDefault="00E57DD8" w:rsidP="00DD3106">
      <w:pPr>
        <w:pStyle w:val="BodyText"/>
        <w:tabs>
          <w:tab w:val="left" w:pos="680"/>
          <w:tab w:val="left" w:pos="1134"/>
        </w:tabs>
        <w:contextualSpacing/>
      </w:pPr>
      <w:r w:rsidRPr="0018386D">
        <w:t>Q</w:t>
      </w:r>
      <w:r w:rsidRPr="0018386D">
        <w:tab/>
      </w:r>
      <w:r w:rsidR="00754921" w:rsidRPr="0018386D">
        <w:t>=</w:t>
      </w:r>
      <w:r w:rsidRPr="0018386D">
        <w:tab/>
      </w:r>
      <w:r w:rsidR="00754921" w:rsidRPr="0018386D">
        <w:t>quantity of fuel used (unit)</w:t>
      </w:r>
    </w:p>
    <w:p w14:paraId="7E83EFEA" w14:textId="3591D1E9" w:rsidR="005C0D7A" w:rsidRPr="0018386D" w:rsidRDefault="00E57DD8" w:rsidP="00DD3106">
      <w:pPr>
        <w:pStyle w:val="BodyText"/>
        <w:tabs>
          <w:tab w:val="left" w:pos="680"/>
          <w:tab w:val="left" w:pos="1134"/>
        </w:tabs>
        <w:spacing w:after="240"/>
        <w:contextualSpacing/>
      </w:pPr>
      <w:r w:rsidRPr="0018386D">
        <w:t>F</w:t>
      </w:r>
      <w:r w:rsidRPr="0018386D">
        <w:tab/>
        <w:t>=</w:t>
      </w:r>
      <w:r w:rsidRPr="0018386D">
        <w:tab/>
      </w:r>
      <w:r w:rsidR="00754921" w:rsidRPr="0018386D">
        <w:t xml:space="preserve">appropriate emission factors from </w:t>
      </w:r>
      <w:hyperlink w:anchor="table6" w:history="1">
        <w:r w:rsidR="00155373" w:rsidRPr="0018386D">
          <w:rPr>
            <w:rStyle w:val="Hyperlink"/>
          </w:rPr>
          <w:t>table 6</w:t>
        </w:r>
      </w:hyperlink>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C1583F" w:rsidRPr="0018386D" w14:paraId="65FCAE45" w14:textId="77777777" w:rsidTr="00E81B34">
        <w:tc>
          <w:tcPr>
            <w:tcW w:w="8500" w:type="dxa"/>
            <w:tcBorders>
              <w:top w:val="single" w:sz="4" w:space="0" w:color="0F7B7D"/>
              <w:left w:val="single" w:sz="4" w:space="0" w:color="0F7B7D"/>
              <w:bottom w:val="nil"/>
              <w:right w:val="single" w:sz="4" w:space="0" w:color="0F7B7D"/>
            </w:tcBorders>
            <w:shd w:val="clear" w:color="auto" w:fill="0F7B7D"/>
            <w:vAlign w:val="center"/>
          </w:tcPr>
          <w:p w14:paraId="55A64046" w14:textId="77E3F4C4" w:rsidR="00C1583F" w:rsidRPr="0018386D" w:rsidDel="00D5390D" w:rsidRDefault="00DD32A4" w:rsidP="00DD3106">
            <w:pPr>
              <w:pStyle w:val="Casestudyheading"/>
            </w:pPr>
            <w:bookmarkStart w:id="209" w:name="_Hlk532637377"/>
            <w:r w:rsidRPr="0018386D">
              <w:lastRenderedPageBreak/>
              <w:t xml:space="preserve">transmission and distribution losses: </w:t>
            </w:r>
            <w:r w:rsidR="00C1583F" w:rsidRPr="0018386D">
              <w:t>Example Calculation</w:t>
            </w:r>
          </w:p>
        </w:tc>
      </w:tr>
      <w:tr w:rsidR="00C1583F" w:rsidRPr="0018386D" w14:paraId="5DA62067" w14:textId="77777777" w:rsidTr="00E81B34">
        <w:trPr>
          <w:trHeight w:val="2033"/>
        </w:trPr>
        <w:tc>
          <w:tcPr>
            <w:tcW w:w="8500" w:type="dxa"/>
            <w:tcBorders>
              <w:top w:val="nil"/>
              <w:left w:val="single" w:sz="4" w:space="0" w:color="D5EBE8"/>
              <w:bottom w:val="single" w:sz="4" w:space="0" w:color="D5EBE8"/>
              <w:right w:val="single" w:sz="4" w:space="0" w:color="D5EBE8"/>
            </w:tcBorders>
            <w:shd w:val="clear" w:color="auto" w:fill="D5EBE8" w:themeFill="accent3"/>
          </w:tcPr>
          <w:p w14:paraId="29B67C09" w14:textId="77777777" w:rsidR="00C1583F" w:rsidRPr="0018386D" w:rsidRDefault="00C1583F" w:rsidP="00DD3106">
            <w:pPr>
              <w:pStyle w:val="Boxtext"/>
              <w:spacing w:after="80"/>
            </w:pPr>
            <w:r w:rsidRPr="0018386D">
              <w:t xml:space="preserve">An organisation uses 800 gigajoules of distributed natural gas in the reporting period. </w:t>
            </w:r>
          </w:p>
          <w:p w14:paraId="58C13F7B" w14:textId="38B1EFD7" w:rsidR="00C1583F" w:rsidRPr="0018386D" w:rsidRDefault="00C1583F" w:rsidP="00DD3106">
            <w:pPr>
              <w:pStyle w:val="Boxtext"/>
              <w:tabs>
                <w:tab w:val="left" w:pos="2983"/>
                <w:tab w:val="left" w:pos="4684"/>
              </w:tabs>
              <w:spacing w:before="20" w:after="20"/>
              <w:ind w:left="850"/>
            </w:pPr>
            <w:r w:rsidRPr="0018386D">
              <w:t>CO</w:t>
            </w:r>
            <w:r w:rsidRPr="0018386D">
              <w:rPr>
                <w:vertAlign w:val="subscript"/>
              </w:rPr>
              <w:t>2</w:t>
            </w:r>
            <w:r w:rsidRPr="0018386D">
              <w:t xml:space="preserve"> emissions </w:t>
            </w:r>
            <w:r w:rsidRPr="0018386D">
              <w:tab/>
              <w:t xml:space="preserve">= 800 </w:t>
            </w:r>
            <w:r w:rsidR="00F86E56" w:rsidRPr="0018386D">
              <w:t>×</w:t>
            </w:r>
            <w:r w:rsidRPr="0018386D">
              <w:t xml:space="preserve"> </w:t>
            </w:r>
            <w:r w:rsidR="000D5CEF" w:rsidRPr="0018386D">
              <w:t>0.016</w:t>
            </w:r>
            <w:r w:rsidRPr="0018386D">
              <w:tab/>
              <w:t xml:space="preserve">= </w:t>
            </w:r>
            <w:r w:rsidR="00451627" w:rsidRPr="0018386D">
              <w:t xml:space="preserve">12.8 </w:t>
            </w:r>
            <w:r w:rsidRPr="0018386D">
              <w:t>kg CO</w:t>
            </w:r>
            <w:r w:rsidRPr="0018386D">
              <w:rPr>
                <w:vertAlign w:val="subscript"/>
              </w:rPr>
              <w:t>2</w:t>
            </w:r>
          </w:p>
          <w:p w14:paraId="08AD4633" w14:textId="57A8FE60" w:rsidR="00C1583F" w:rsidRPr="0018386D" w:rsidRDefault="00C1583F" w:rsidP="00DD3106">
            <w:pPr>
              <w:pStyle w:val="Boxtext"/>
              <w:tabs>
                <w:tab w:val="left" w:pos="2983"/>
                <w:tab w:val="left" w:pos="4684"/>
              </w:tabs>
              <w:spacing w:before="20" w:after="20"/>
              <w:ind w:left="850"/>
            </w:pPr>
            <w:r w:rsidRPr="0018386D">
              <w:t>CH</w:t>
            </w:r>
            <w:r w:rsidRPr="0018386D">
              <w:rPr>
                <w:vertAlign w:val="subscript"/>
              </w:rPr>
              <w:t>4</w:t>
            </w:r>
            <w:r w:rsidRPr="0018386D">
              <w:t xml:space="preserve"> emissions</w:t>
            </w:r>
            <w:r w:rsidRPr="0018386D">
              <w:tab/>
              <w:t xml:space="preserve">= 800 </w:t>
            </w:r>
            <w:r w:rsidR="00F86E56" w:rsidRPr="0018386D">
              <w:t>×</w:t>
            </w:r>
            <w:r w:rsidRPr="0018386D">
              <w:t xml:space="preserve"> </w:t>
            </w:r>
            <w:r w:rsidR="000D5CEF" w:rsidRPr="0018386D">
              <w:t>1.96</w:t>
            </w:r>
            <w:r w:rsidR="00E81B34" w:rsidRPr="0018386D">
              <w:tab/>
            </w:r>
            <w:r w:rsidRPr="0018386D">
              <w:t xml:space="preserve">= </w:t>
            </w:r>
            <w:r w:rsidR="00CE1510" w:rsidRPr="0018386D">
              <w:t>1</w:t>
            </w:r>
            <w:r w:rsidR="0010646C" w:rsidRPr="0018386D">
              <w:t>,</w:t>
            </w:r>
            <w:r w:rsidR="00CE1510" w:rsidRPr="0018386D">
              <w:t>5</w:t>
            </w:r>
            <w:r w:rsidR="00FC237B" w:rsidRPr="0018386D">
              <w:t>68</w:t>
            </w:r>
            <w:r w:rsidR="008F581D" w:rsidRPr="0018386D">
              <w:t xml:space="preserve"> </w:t>
            </w:r>
            <w:r w:rsidRPr="0018386D">
              <w:t>kg CO</w:t>
            </w:r>
            <w:r w:rsidRPr="0018386D">
              <w:rPr>
                <w:vertAlign w:val="subscript"/>
              </w:rPr>
              <w:t>2</w:t>
            </w:r>
            <w:r w:rsidRPr="0018386D">
              <w:t xml:space="preserve">-e </w:t>
            </w:r>
          </w:p>
          <w:p w14:paraId="7A6AD74F" w14:textId="39CEE23C" w:rsidR="00C1583F" w:rsidRPr="0018386D" w:rsidRDefault="00C1583F" w:rsidP="00DD3106">
            <w:pPr>
              <w:pStyle w:val="Boxtext"/>
              <w:tabs>
                <w:tab w:val="left" w:pos="2983"/>
                <w:tab w:val="left" w:pos="4684"/>
              </w:tabs>
              <w:spacing w:before="20" w:after="20"/>
              <w:ind w:left="850"/>
            </w:pPr>
            <w:r w:rsidRPr="0018386D">
              <w:t>N</w:t>
            </w:r>
            <w:r w:rsidRPr="0018386D">
              <w:rPr>
                <w:vertAlign w:val="subscript"/>
              </w:rPr>
              <w:t>2</w:t>
            </w:r>
            <w:r w:rsidRPr="0018386D">
              <w:t>O emissions</w:t>
            </w:r>
            <w:r w:rsidRPr="0018386D">
              <w:tab/>
              <w:t xml:space="preserve">= 800 </w:t>
            </w:r>
            <w:r w:rsidR="00F86E56" w:rsidRPr="0018386D">
              <w:t>×</w:t>
            </w:r>
            <w:r w:rsidRPr="0018386D">
              <w:t xml:space="preserve"> 0.00</w:t>
            </w:r>
            <w:r w:rsidRPr="0018386D">
              <w:tab/>
              <w:t>= 0 kg CO</w:t>
            </w:r>
            <w:r w:rsidRPr="0018386D">
              <w:rPr>
                <w:vertAlign w:val="subscript"/>
              </w:rPr>
              <w:t>2</w:t>
            </w:r>
            <w:r w:rsidRPr="0018386D">
              <w:t xml:space="preserve">-e </w:t>
            </w:r>
          </w:p>
          <w:p w14:paraId="6FD2E829" w14:textId="021B0967" w:rsidR="00C1583F" w:rsidRPr="0018386D" w:rsidRDefault="00C1583F" w:rsidP="00DD3106">
            <w:pPr>
              <w:pStyle w:val="Boxtext"/>
              <w:tabs>
                <w:tab w:val="left" w:pos="2983"/>
                <w:tab w:val="left" w:pos="4684"/>
              </w:tabs>
              <w:spacing w:before="20" w:after="20"/>
              <w:ind w:left="850"/>
            </w:pPr>
            <w:r w:rsidRPr="0018386D">
              <w:t>Total CO</w:t>
            </w:r>
            <w:r w:rsidRPr="0018386D">
              <w:rPr>
                <w:vertAlign w:val="subscript"/>
              </w:rPr>
              <w:t>2</w:t>
            </w:r>
            <w:r w:rsidRPr="0018386D">
              <w:t>-e emissions</w:t>
            </w:r>
            <w:r w:rsidRPr="0018386D">
              <w:tab/>
              <w:t xml:space="preserve">= 800 </w:t>
            </w:r>
            <w:r w:rsidR="00F86E56" w:rsidRPr="0018386D">
              <w:t>×</w:t>
            </w:r>
            <w:r w:rsidRPr="0018386D">
              <w:t xml:space="preserve"> </w:t>
            </w:r>
            <w:r w:rsidR="000D5CEF" w:rsidRPr="0018386D">
              <w:t>1.98</w:t>
            </w:r>
            <w:r w:rsidRPr="0018386D">
              <w:tab/>
              <w:t xml:space="preserve">= </w:t>
            </w:r>
            <w:r w:rsidR="00451627" w:rsidRPr="0018386D">
              <w:t>1</w:t>
            </w:r>
            <w:r w:rsidR="00272455" w:rsidRPr="0018386D">
              <w:t>,</w:t>
            </w:r>
            <w:r w:rsidR="00451627" w:rsidRPr="0018386D">
              <w:t>584</w:t>
            </w:r>
            <w:r w:rsidR="008F581D" w:rsidRPr="0018386D">
              <w:t xml:space="preserve"> kg CO</w:t>
            </w:r>
            <w:r w:rsidR="008F581D" w:rsidRPr="0018386D">
              <w:rPr>
                <w:vertAlign w:val="subscript"/>
              </w:rPr>
              <w:t>2</w:t>
            </w:r>
            <w:r w:rsidR="008F581D" w:rsidRPr="0018386D">
              <w:t>-e</w:t>
            </w:r>
          </w:p>
          <w:p w14:paraId="09214D7B" w14:textId="2B8E3D0C" w:rsidR="00C1583F" w:rsidRPr="0018386D" w:rsidRDefault="00944746" w:rsidP="00DD3106">
            <w:pPr>
              <w:pStyle w:val="Boxtext"/>
              <w:spacing w:after="180"/>
              <w:rPr>
                <w:sz w:val="18"/>
              </w:rPr>
            </w:pPr>
            <w:r w:rsidRPr="0018386D">
              <w:rPr>
                <w:sz w:val="18"/>
              </w:rPr>
              <w:t>N</w:t>
            </w:r>
            <w:r w:rsidR="00C1583F" w:rsidRPr="0018386D">
              <w:rPr>
                <w:sz w:val="18"/>
              </w:rPr>
              <w:t>ote</w:t>
            </w:r>
            <w:r w:rsidR="00236DFE" w:rsidRPr="0018386D">
              <w:rPr>
                <w:sz w:val="18"/>
              </w:rPr>
              <w:t>: N</w:t>
            </w:r>
            <w:r w:rsidR="00C1583F" w:rsidRPr="0018386D">
              <w:rPr>
                <w:sz w:val="18"/>
              </w:rPr>
              <w:t>umbers may not add due to rounding</w:t>
            </w:r>
            <w:r w:rsidR="00BB436A" w:rsidRPr="0018386D">
              <w:rPr>
                <w:sz w:val="18"/>
              </w:rPr>
              <w:t>.</w:t>
            </w:r>
          </w:p>
        </w:tc>
      </w:tr>
    </w:tbl>
    <w:p w14:paraId="5C46CBFC" w14:textId="36726573" w:rsidR="005C0D7A" w:rsidRPr="0018386D" w:rsidRDefault="005C0D7A" w:rsidP="00DD3106">
      <w:pPr>
        <w:pStyle w:val="Heading3"/>
        <w:numPr>
          <w:ilvl w:val="2"/>
          <w:numId w:val="8"/>
        </w:numPr>
        <w:spacing w:before="400"/>
      </w:pPr>
      <w:bookmarkStart w:id="210" w:name="_Toc532904870"/>
      <w:bookmarkEnd w:id="209"/>
      <w:r w:rsidRPr="0018386D">
        <w:t>Emission factor derivation methodology</w:t>
      </w:r>
      <w:bookmarkEnd w:id="210"/>
    </w:p>
    <w:p w14:paraId="4D8FBC13" w14:textId="520985A6" w:rsidR="00477887" w:rsidRPr="0018386D" w:rsidRDefault="00754921" w:rsidP="00DD3106">
      <w:pPr>
        <w:pStyle w:val="BodyText"/>
      </w:pPr>
      <w:r w:rsidRPr="0018386D">
        <w:t xml:space="preserve">MBIE provided </w:t>
      </w:r>
      <w:r w:rsidR="00EB4725" w:rsidRPr="0018386D">
        <w:t xml:space="preserve">data on losses from </w:t>
      </w:r>
      <w:r w:rsidR="005C0D7A" w:rsidRPr="0018386D">
        <w:t>transmission and distribution</w:t>
      </w:r>
      <w:r w:rsidR="1CA9BCE0" w:rsidRPr="0018386D">
        <w:t>.</w:t>
      </w:r>
      <w:r w:rsidR="005C0D7A" w:rsidRPr="0018386D">
        <w:t xml:space="preserve"> </w:t>
      </w:r>
      <w:r w:rsidR="00E50F2B" w:rsidRPr="0018386D">
        <w:t>The</w:t>
      </w:r>
      <w:r w:rsidR="005C0D7A" w:rsidRPr="0018386D">
        <w:t xml:space="preserve"> </w:t>
      </w:r>
      <w:r w:rsidR="00397F72" w:rsidRPr="0018386D">
        <w:t xml:space="preserve">fugitive losses of </w:t>
      </w:r>
      <w:r w:rsidR="005C0D7A" w:rsidRPr="0018386D">
        <w:t xml:space="preserve">natural gas </w:t>
      </w:r>
      <w:r w:rsidR="00EB4725" w:rsidRPr="0018386D">
        <w:t>are</w:t>
      </w:r>
      <w:r w:rsidR="005C0D7A" w:rsidRPr="0018386D">
        <w:t xml:space="preserve"> predominantly methane</w:t>
      </w:r>
      <w:r w:rsidR="0011196C" w:rsidRPr="0018386D">
        <w:t xml:space="preserve"> but</w:t>
      </w:r>
      <w:r w:rsidR="00E50F2B" w:rsidRPr="0018386D">
        <w:t xml:space="preserve"> include a </w:t>
      </w:r>
      <w:r w:rsidR="009050B2" w:rsidRPr="0018386D">
        <w:t>component</w:t>
      </w:r>
      <w:r w:rsidR="00E50F2B" w:rsidRPr="0018386D">
        <w:t xml:space="preserve"> of carbon dioxide.</w:t>
      </w:r>
      <w:r w:rsidR="004C1EF8" w:rsidRPr="0018386D">
        <w:t xml:space="preserve"> The methodology was revised </w:t>
      </w:r>
      <w:r w:rsidR="00E51FDD" w:rsidRPr="0018386D">
        <w:t>to be based on higher quality estimates</w:t>
      </w:r>
      <w:r w:rsidR="00ED35FA" w:rsidRPr="0018386D">
        <w:t xml:space="preserve"> from </w:t>
      </w:r>
      <w:proofErr w:type="spellStart"/>
      <w:r w:rsidR="00ED35FA" w:rsidRPr="0018386D">
        <w:t>Firstgas</w:t>
      </w:r>
      <w:proofErr w:type="spellEnd"/>
      <w:r w:rsidR="00332044" w:rsidRPr="0018386D">
        <w:t xml:space="preserve"> on fugitive emissions</w:t>
      </w:r>
      <w:r w:rsidR="00E51FDD" w:rsidRPr="0018386D">
        <w:t>.</w:t>
      </w:r>
      <w:r w:rsidR="00732C07" w:rsidRPr="0018386D">
        <w:t xml:space="preserve"> </w:t>
      </w:r>
    </w:p>
    <w:p w14:paraId="20171E8C" w14:textId="77777777" w:rsidR="00477887" w:rsidRPr="0018386D" w:rsidRDefault="00732C07" w:rsidP="00DD3106">
      <w:pPr>
        <w:pStyle w:val="BodyText"/>
      </w:pPr>
      <w:r w:rsidRPr="0018386D">
        <w:t xml:space="preserve">Transmission emission </w:t>
      </w:r>
      <w:r w:rsidR="00ED35FA" w:rsidRPr="0018386D">
        <w:t>estimates</w:t>
      </w:r>
      <w:r w:rsidRPr="0018386D">
        <w:t xml:space="preserve"> </w:t>
      </w:r>
      <w:r w:rsidR="00ED35FA" w:rsidRPr="0018386D">
        <w:t xml:space="preserve">were </w:t>
      </w:r>
      <w:r w:rsidRPr="0018386D">
        <w:t>model</w:t>
      </w:r>
      <w:r w:rsidR="00332044" w:rsidRPr="0018386D">
        <w:t>led to</w:t>
      </w:r>
      <w:r w:rsidRPr="0018386D">
        <w:t xml:space="preserve"> includ</w:t>
      </w:r>
      <w:r w:rsidR="00332044" w:rsidRPr="0018386D">
        <w:t>e</w:t>
      </w:r>
      <w:r w:rsidRPr="0018386D">
        <w:t xml:space="preserve"> vented gas, own use gas and fugitive emissions from assets and work </w:t>
      </w:r>
      <w:r w:rsidR="00332044" w:rsidRPr="0018386D">
        <w:t xml:space="preserve">undertaken. </w:t>
      </w:r>
    </w:p>
    <w:p w14:paraId="230C7377" w14:textId="0BB3FBB4" w:rsidR="005C0D7A" w:rsidRPr="0018386D" w:rsidRDefault="004A0144" w:rsidP="00DD3106">
      <w:pPr>
        <w:pStyle w:val="BodyText"/>
      </w:pPr>
      <w:r w:rsidRPr="0018386D">
        <w:t xml:space="preserve">For </w:t>
      </w:r>
      <w:r w:rsidR="003560A5" w:rsidRPr="0018386D">
        <w:t>d</w:t>
      </w:r>
      <w:r w:rsidRPr="0018386D">
        <w:t>istribution</w:t>
      </w:r>
      <w:r w:rsidR="003560A5" w:rsidRPr="0018386D">
        <w:t>,</w:t>
      </w:r>
      <w:r w:rsidR="00E256D6" w:rsidRPr="0018386D">
        <w:t xml:space="preserve"> an</w:t>
      </w:r>
      <w:r w:rsidRPr="0018386D">
        <w:t xml:space="preserve"> emissions estimate model using a best practice </w:t>
      </w:r>
      <w:proofErr w:type="spellStart"/>
      <w:r w:rsidRPr="0018386D">
        <w:t>MarcoGaz</w:t>
      </w:r>
      <w:proofErr w:type="spellEnd"/>
      <w:r w:rsidRPr="0018386D">
        <w:t xml:space="preserve"> template </w:t>
      </w:r>
      <w:r w:rsidR="00E256D6" w:rsidRPr="0018386D">
        <w:t xml:space="preserve">was applied, </w:t>
      </w:r>
      <w:r w:rsidRPr="0018386D">
        <w:t>a</w:t>
      </w:r>
      <w:r w:rsidR="00E256D6" w:rsidRPr="0018386D">
        <w:t xml:space="preserve">long with </w:t>
      </w:r>
      <w:r w:rsidRPr="0018386D">
        <w:t xml:space="preserve">internationally published emission rates (American Petroleum Institute Compendium of emissions rates) combined with company specific asset </w:t>
      </w:r>
      <w:r w:rsidR="00E256D6" w:rsidRPr="0018386D">
        <w:t>values. This is complemented</w:t>
      </w:r>
      <w:r w:rsidRPr="0018386D">
        <w:t xml:space="preserve"> </w:t>
      </w:r>
      <w:r w:rsidR="00E256D6" w:rsidRPr="0018386D">
        <w:t xml:space="preserve">by </w:t>
      </w:r>
      <w:r w:rsidRPr="0018386D">
        <w:t>annual asset level leakage measurements</w:t>
      </w:r>
      <w:r w:rsidR="00E256D6" w:rsidRPr="0018386D">
        <w:t>.</w:t>
      </w:r>
    </w:p>
    <w:p w14:paraId="2FB66BCE" w14:textId="735393C0" w:rsidR="005C0D7A" w:rsidRPr="0018386D" w:rsidRDefault="0664092F" w:rsidP="00DD3106">
      <w:pPr>
        <w:pStyle w:val="Heading3"/>
        <w:numPr>
          <w:ilvl w:val="2"/>
          <w:numId w:val="8"/>
        </w:numPr>
      </w:pPr>
      <w:bookmarkStart w:id="211" w:name="_Toc532904871"/>
      <w:r w:rsidRPr="0018386D">
        <w:t xml:space="preserve">Assumptions, </w:t>
      </w:r>
      <w:proofErr w:type="gramStart"/>
      <w:r w:rsidRPr="0018386D">
        <w:t>limitations</w:t>
      </w:r>
      <w:proofErr w:type="gramEnd"/>
      <w:r w:rsidRPr="0018386D">
        <w:t xml:space="preserve"> and uncertainties</w:t>
      </w:r>
      <w:bookmarkEnd w:id="211"/>
    </w:p>
    <w:p w14:paraId="2F70DD9D" w14:textId="62B56A67" w:rsidR="00290F36" w:rsidRPr="0018386D" w:rsidRDefault="00290F36" w:rsidP="00DD3106">
      <w:pPr>
        <w:pStyle w:val="BodyText"/>
      </w:pPr>
      <w:r w:rsidRPr="0018386D">
        <w:t>The guide assumes there are no transmission and distribution losses from reticulated LPG.</w:t>
      </w:r>
    </w:p>
    <w:p w14:paraId="045293EF" w14:textId="5EDB06D9" w:rsidR="005C0D7A" w:rsidRPr="0018386D" w:rsidRDefault="00C32A0F" w:rsidP="00DD3106">
      <w:pPr>
        <w:pStyle w:val="BodyText"/>
      </w:pPr>
      <w:r w:rsidRPr="0018386D">
        <w:t>E</w:t>
      </w:r>
      <w:r w:rsidR="005C0D7A" w:rsidRPr="0018386D">
        <w:t xml:space="preserve">missions from transmission and distribution of natural gas </w:t>
      </w:r>
      <w:r w:rsidR="001C6E49" w:rsidRPr="0018386D">
        <w:t>have moved to a higher quality estimation method</w:t>
      </w:r>
      <w:r w:rsidR="00657C86" w:rsidRPr="0018386D">
        <w:t xml:space="preserve"> in</w:t>
      </w:r>
      <w:r w:rsidR="001C6E49" w:rsidRPr="0018386D">
        <w:t xml:space="preserve"> this </w:t>
      </w:r>
      <w:r w:rsidR="00657C86" w:rsidRPr="0018386D">
        <w:t>guide</w:t>
      </w:r>
      <w:r w:rsidR="001C6E49" w:rsidRPr="0018386D">
        <w:t xml:space="preserve">. This still requires </w:t>
      </w:r>
      <w:r w:rsidR="00FF4654" w:rsidRPr="0018386D">
        <w:t>modelling those fugitive emissions</w:t>
      </w:r>
      <w:r w:rsidR="003560A5" w:rsidRPr="0018386D">
        <w:t>,</w:t>
      </w:r>
      <w:r w:rsidR="00FF4654" w:rsidRPr="0018386D">
        <w:t xml:space="preserve"> and therefore uncertainty remains in the estimate.</w:t>
      </w:r>
    </w:p>
    <w:p w14:paraId="39642FAF" w14:textId="77777777" w:rsidR="00155373" w:rsidRPr="0018386D" w:rsidRDefault="00155373" w:rsidP="00DD3106">
      <w:pPr>
        <w:pStyle w:val="BodyText"/>
      </w:pPr>
      <w:bookmarkStart w:id="212" w:name="_Toc532904872"/>
      <w:bookmarkStart w:id="213" w:name="_Toc600572"/>
      <w:bookmarkEnd w:id="184"/>
      <w:r w:rsidRPr="0018386D">
        <w:br w:type="page"/>
      </w:r>
    </w:p>
    <w:p w14:paraId="6509168F" w14:textId="61BE68D5" w:rsidR="00321918" w:rsidRPr="0018386D" w:rsidRDefault="00321918" w:rsidP="00DD3106">
      <w:pPr>
        <w:pStyle w:val="Heading1"/>
        <w:numPr>
          <w:ilvl w:val="0"/>
          <w:numId w:val="8"/>
        </w:numPr>
      </w:pPr>
      <w:bookmarkStart w:id="214" w:name="_Toc140048895"/>
      <w:r w:rsidRPr="0018386D">
        <w:lastRenderedPageBreak/>
        <w:t xml:space="preserve">Refrigerant </w:t>
      </w:r>
      <w:r w:rsidR="00683D2E" w:rsidRPr="0018386D">
        <w:t xml:space="preserve">and other </w:t>
      </w:r>
      <w:r w:rsidR="004F7530" w:rsidRPr="0018386D">
        <w:t>gases</w:t>
      </w:r>
      <w:r w:rsidR="0086776A" w:rsidRPr="0018386D">
        <w:t>:</w:t>
      </w:r>
      <w:r w:rsidRPr="0018386D">
        <w:t xml:space="preserve"> emission factors</w:t>
      </w:r>
      <w:bookmarkEnd w:id="212"/>
      <w:bookmarkEnd w:id="213"/>
      <w:bookmarkEnd w:id="214"/>
    </w:p>
    <w:p w14:paraId="60178909" w14:textId="440DC985" w:rsidR="005C0D7A" w:rsidRPr="0018386D" w:rsidRDefault="005C0D7A" w:rsidP="00DD3106">
      <w:pPr>
        <w:pStyle w:val="Heading2"/>
        <w:numPr>
          <w:ilvl w:val="1"/>
          <w:numId w:val="8"/>
        </w:numPr>
        <w:spacing w:before="240"/>
      </w:pPr>
      <w:bookmarkStart w:id="215" w:name="_Toc529960695"/>
      <w:bookmarkStart w:id="216" w:name="_Toc532904873"/>
      <w:bookmarkStart w:id="217" w:name="_Toc600573"/>
      <w:bookmarkStart w:id="218" w:name="_Toc140048896"/>
      <w:bookmarkStart w:id="219" w:name="_Hlk52976832"/>
      <w:r w:rsidRPr="0018386D">
        <w:t>Overview of changes since previous</w:t>
      </w:r>
      <w:r w:rsidR="00637904" w:rsidRPr="0018386D">
        <w:t> </w:t>
      </w:r>
      <w:r w:rsidRPr="0018386D">
        <w:t>update</w:t>
      </w:r>
      <w:bookmarkEnd w:id="215"/>
      <w:bookmarkEnd w:id="216"/>
      <w:bookmarkEnd w:id="217"/>
      <w:bookmarkEnd w:id="218"/>
      <w:r w:rsidRPr="0018386D">
        <w:t xml:space="preserve"> </w:t>
      </w:r>
    </w:p>
    <w:bookmarkEnd w:id="219"/>
    <w:p w14:paraId="13ADAE4F" w14:textId="2E031691" w:rsidR="00FB5FC4" w:rsidRPr="0018386D" w:rsidRDefault="006A16CB" w:rsidP="00DD3106">
      <w:pPr>
        <w:pStyle w:val="BodyText"/>
      </w:pPr>
      <w:r w:rsidRPr="0018386D">
        <w:t>This</w:t>
      </w:r>
      <w:r w:rsidR="005F412E" w:rsidRPr="0018386D">
        <w:t xml:space="preserve"> </w:t>
      </w:r>
      <w:r w:rsidR="00C26059" w:rsidRPr="0018386D">
        <w:t>guide</w:t>
      </w:r>
      <w:r w:rsidR="005F412E" w:rsidRPr="0018386D">
        <w:t xml:space="preserve"> includes the 100-</w:t>
      </w:r>
      <w:r w:rsidR="00F64130" w:rsidRPr="0018386D">
        <w:t xml:space="preserve">year </w:t>
      </w:r>
      <w:r w:rsidR="00DF0E1B" w:rsidRPr="0018386D">
        <w:t>global warming potential</w:t>
      </w:r>
      <w:r w:rsidR="00F64130" w:rsidRPr="0018386D">
        <w:t>s</w:t>
      </w:r>
      <w:r w:rsidR="00DF0E1B" w:rsidRPr="0018386D">
        <w:t xml:space="preserve"> (GWPs)</w:t>
      </w:r>
      <w:r w:rsidR="005F412E" w:rsidRPr="0018386D">
        <w:t xml:space="preserve"> of </w:t>
      </w:r>
      <w:r w:rsidR="00F6354E" w:rsidRPr="0018386D">
        <w:t xml:space="preserve">gases reported under </w:t>
      </w:r>
      <w:r w:rsidR="005F412E" w:rsidRPr="0018386D">
        <w:t xml:space="preserve">the </w:t>
      </w:r>
      <w:r w:rsidR="008E70BE" w:rsidRPr="0018386D">
        <w:t>Paris Agreement</w:t>
      </w:r>
      <w:r w:rsidR="009D134C" w:rsidRPr="0018386D">
        <w:t xml:space="preserve"> and </w:t>
      </w:r>
      <w:r w:rsidR="001C1E89" w:rsidRPr="0018386D">
        <w:t xml:space="preserve">the </w:t>
      </w:r>
      <w:r w:rsidR="005F412E" w:rsidRPr="0018386D">
        <w:t xml:space="preserve">Montreal </w:t>
      </w:r>
      <w:r w:rsidR="00BB436A" w:rsidRPr="0018386D">
        <w:t>P</w:t>
      </w:r>
      <w:r w:rsidR="005F412E" w:rsidRPr="0018386D">
        <w:t>rotocol</w:t>
      </w:r>
      <w:r w:rsidR="00236DFE" w:rsidRPr="0018386D">
        <w:t xml:space="preserve">. </w:t>
      </w:r>
    </w:p>
    <w:p w14:paraId="7FCF7CF5" w14:textId="3B25BD2A" w:rsidR="006F4CD8" w:rsidRPr="0018386D" w:rsidRDefault="6F321D8A" w:rsidP="00DD3106">
      <w:pPr>
        <w:pStyle w:val="BodyText"/>
        <w:rPr>
          <w:rStyle w:val="Hyperlink"/>
          <w:color w:val="auto"/>
        </w:rPr>
      </w:pPr>
      <w:r w:rsidRPr="0018386D">
        <w:t xml:space="preserve">We use the GWPs published in the </w:t>
      </w:r>
      <w:hyperlink r:id="rId89">
        <w:r w:rsidRPr="0018386D">
          <w:rPr>
            <w:rStyle w:val="Hyperlink"/>
          </w:rPr>
          <w:t xml:space="preserve">IPCC Fifth Assessment Report </w:t>
        </w:r>
        <w:r w:rsidRPr="0018386D">
          <w:rPr>
            <w:rStyle w:val="Hyperlink"/>
            <w:color w:val="auto"/>
          </w:rPr>
          <w:t>(IPCC AR5)</w:t>
        </w:r>
      </w:hyperlink>
      <w:r w:rsidR="4B0E9887" w:rsidRPr="0018386D">
        <w:rPr>
          <w:rStyle w:val="Hyperlink"/>
          <w:color w:val="auto"/>
        </w:rPr>
        <w:t xml:space="preserve"> </w:t>
      </w:r>
      <w:r w:rsidR="003560A5" w:rsidRPr="0018386D">
        <w:rPr>
          <w:rStyle w:val="Hyperlink"/>
          <w:color w:val="auto"/>
        </w:rPr>
        <w:t>in this update</w:t>
      </w:r>
      <w:r w:rsidR="4B0E9887" w:rsidRPr="0018386D">
        <w:rPr>
          <w:rStyle w:val="Hyperlink"/>
          <w:color w:val="auto"/>
        </w:rPr>
        <w:t xml:space="preserve">. </w:t>
      </w:r>
      <w:r w:rsidR="005F4D3D" w:rsidRPr="0018386D">
        <w:rPr>
          <w:rStyle w:val="Hyperlink"/>
          <w:iCs/>
          <w:color w:val="auto"/>
        </w:rPr>
        <w:t xml:space="preserve">This is a change from </w:t>
      </w:r>
      <w:r w:rsidR="003560A5" w:rsidRPr="0018386D">
        <w:rPr>
          <w:rStyle w:val="Hyperlink"/>
          <w:iCs/>
          <w:color w:val="auto"/>
        </w:rPr>
        <w:t>2022,</w:t>
      </w:r>
      <w:r w:rsidR="005F4D3D" w:rsidRPr="0018386D">
        <w:rPr>
          <w:rStyle w:val="Hyperlink"/>
          <w:iCs/>
          <w:color w:val="auto"/>
        </w:rPr>
        <w:t xml:space="preserve"> which used the IPCC AR4 values</w:t>
      </w:r>
      <w:r w:rsidR="005D28B6" w:rsidRPr="0018386D">
        <w:rPr>
          <w:rStyle w:val="Hyperlink"/>
          <w:iCs/>
          <w:color w:val="auto"/>
        </w:rPr>
        <w:t xml:space="preserve"> where </w:t>
      </w:r>
      <w:r w:rsidR="005D28B6" w:rsidRPr="0018386D">
        <w:t>available</w:t>
      </w:r>
      <w:r w:rsidR="005F4D3D" w:rsidRPr="0018386D">
        <w:rPr>
          <w:rStyle w:val="Hyperlink"/>
          <w:iCs/>
          <w:color w:val="auto"/>
        </w:rPr>
        <w:t>.</w:t>
      </w:r>
      <w:r w:rsidR="006E027C" w:rsidRPr="0018386D">
        <w:rPr>
          <w:rStyle w:val="Hyperlink"/>
          <w:iCs/>
          <w:color w:val="auto"/>
        </w:rPr>
        <w:t xml:space="preserve"> </w:t>
      </w:r>
      <w:bookmarkStart w:id="220" w:name="_Hlk135731949"/>
      <w:r w:rsidR="00C16D0F" w:rsidRPr="0018386D">
        <w:rPr>
          <w:rStyle w:val="Hyperlink"/>
          <w:color w:val="auto"/>
        </w:rPr>
        <w:t xml:space="preserve">Almost all </w:t>
      </w:r>
      <w:r w:rsidR="005E00AD" w:rsidRPr="0018386D">
        <w:rPr>
          <w:rStyle w:val="Hyperlink"/>
          <w:color w:val="auto"/>
        </w:rPr>
        <w:t xml:space="preserve">changes in GWP are less than 20 per cent, </w:t>
      </w:r>
      <w:r w:rsidR="003560A5" w:rsidRPr="0018386D">
        <w:rPr>
          <w:rStyle w:val="Hyperlink"/>
          <w:color w:val="auto"/>
        </w:rPr>
        <w:t>al</w:t>
      </w:r>
      <w:r w:rsidR="005E00AD" w:rsidRPr="0018386D">
        <w:rPr>
          <w:rStyle w:val="Hyperlink"/>
          <w:color w:val="auto"/>
        </w:rPr>
        <w:t xml:space="preserve">though there are some significant changes in some gases. The largest reduction was in methyl bromide (decreasing by 60 per cent) and the largest increase </w:t>
      </w:r>
      <w:r w:rsidR="005E00AD" w:rsidRPr="0018386D">
        <w:rPr>
          <w:rStyle w:val="Hyperlink"/>
          <w:color w:val="auto"/>
          <w:spacing w:val="-2"/>
        </w:rPr>
        <w:t>was seen in HFE-356pcc3 (increasing by 275 per cent).</w:t>
      </w:r>
      <w:r w:rsidR="00CB165C" w:rsidRPr="0018386D">
        <w:rPr>
          <w:rStyle w:val="Hyperlink"/>
          <w:color w:val="auto"/>
          <w:spacing w:val="-2"/>
        </w:rPr>
        <w:t xml:space="preserve"> </w:t>
      </w:r>
      <w:r w:rsidR="00B36F96" w:rsidRPr="0018386D">
        <w:rPr>
          <w:rStyle w:val="Hyperlink"/>
          <w:color w:val="auto"/>
          <w:spacing w:val="-2"/>
        </w:rPr>
        <w:t>Only six refrigerants remained unchanged</w:t>
      </w:r>
      <w:r w:rsidR="00162FCD" w:rsidRPr="0018386D">
        <w:rPr>
          <w:rStyle w:val="Hyperlink"/>
          <w:color w:val="auto"/>
          <w:spacing w:val="-2"/>
        </w:rPr>
        <w:t>.</w:t>
      </w:r>
    </w:p>
    <w:p w14:paraId="1473BB75" w14:textId="34DAA05B" w:rsidR="005C0D7A" w:rsidRPr="0018386D" w:rsidRDefault="005C0D7A" w:rsidP="00DD3106">
      <w:pPr>
        <w:pStyle w:val="Heading2"/>
        <w:numPr>
          <w:ilvl w:val="1"/>
          <w:numId w:val="8"/>
        </w:numPr>
      </w:pPr>
      <w:bookmarkStart w:id="221" w:name="_Refrigerant_use"/>
      <w:bookmarkStart w:id="222" w:name="_Toc529960696"/>
      <w:bookmarkStart w:id="223" w:name="_Toc532904874"/>
      <w:bookmarkStart w:id="224" w:name="_Toc600574"/>
      <w:bookmarkStart w:id="225" w:name="_Toc140048897"/>
      <w:bookmarkStart w:id="226" w:name="_Hlk532202197"/>
      <w:bookmarkEnd w:id="220"/>
      <w:bookmarkEnd w:id="221"/>
      <w:r w:rsidRPr="0018386D">
        <w:t>Refrigerant</w:t>
      </w:r>
      <w:r w:rsidR="00717FDD" w:rsidRPr="0018386D">
        <w:t xml:space="preserve"> </w:t>
      </w:r>
      <w:bookmarkEnd w:id="222"/>
      <w:r w:rsidR="00717FDD" w:rsidRPr="0018386D">
        <w:t>use</w:t>
      </w:r>
      <w:bookmarkEnd w:id="223"/>
      <w:bookmarkEnd w:id="224"/>
      <w:bookmarkEnd w:id="225"/>
    </w:p>
    <w:p w14:paraId="3F9B2970" w14:textId="4817F29D" w:rsidR="00124714" w:rsidRPr="0018386D" w:rsidRDefault="005F412E" w:rsidP="00DD3106">
      <w:pPr>
        <w:pStyle w:val="BodyText"/>
      </w:pPr>
      <w:bookmarkStart w:id="227" w:name="_Hlk532891937"/>
      <w:bookmarkStart w:id="228" w:name="_Hlk532201857"/>
      <w:bookmarkEnd w:id="226"/>
      <w:r w:rsidRPr="0018386D">
        <w:t>GHG emi</w:t>
      </w:r>
      <w:r w:rsidR="00695576" w:rsidRPr="0018386D">
        <w:t>ssions from HFCs</w:t>
      </w:r>
      <w:r w:rsidRPr="0018386D">
        <w:t xml:space="preserve"> are associated with unintentional leaks and spills from refrigeration units, </w:t>
      </w:r>
      <w:r w:rsidR="0041003D" w:rsidRPr="0018386D">
        <w:t>HVAC systems</w:t>
      </w:r>
      <w:r w:rsidRPr="0018386D">
        <w:t xml:space="preserve">, air conditioners and heat pumps. </w:t>
      </w:r>
      <w:r w:rsidR="00124714" w:rsidRPr="0018386D">
        <w:t>Q</w:t>
      </w:r>
      <w:r w:rsidRPr="0018386D">
        <w:t>uantities of HFCs in a</w:t>
      </w:r>
      <w:r w:rsidR="00301928" w:rsidRPr="0018386D">
        <w:t xml:space="preserve"> GHG</w:t>
      </w:r>
      <w:r w:rsidRPr="0018386D">
        <w:t xml:space="preserve"> inventory may be small, </w:t>
      </w:r>
      <w:r w:rsidR="00124714" w:rsidRPr="0018386D">
        <w:t xml:space="preserve">but </w:t>
      </w:r>
      <w:r w:rsidRPr="0018386D">
        <w:t xml:space="preserve">HFCs have very high </w:t>
      </w:r>
      <w:r w:rsidR="00124714" w:rsidRPr="0018386D">
        <w:t>GWPs</w:t>
      </w:r>
      <w:r w:rsidR="0097078D" w:rsidRPr="0018386D">
        <w:t xml:space="preserve"> </w:t>
      </w:r>
      <w:r w:rsidR="00376F35" w:rsidRPr="0018386D">
        <w:t>s</w:t>
      </w:r>
      <w:r w:rsidR="00124714" w:rsidRPr="0018386D">
        <w:t>o</w:t>
      </w:r>
      <w:r w:rsidRPr="0018386D">
        <w:t xml:space="preserve"> emissions from this source may be material. </w:t>
      </w:r>
      <w:bookmarkEnd w:id="227"/>
      <w:r w:rsidR="00236DFE" w:rsidRPr="0018386D">
        <w:t>Also</w:t>
      </w:r>
      <w:r w:rsidR="00124714" w:rsidRPr="0018386D">
        <w:t>, e</w:t>
      </w:r>
      <w:r w:rsidRPr="0018386D">
        <w:t xml:space="preserve">missions associated with this sector have grown significantly as they replace </w:t>
      </w:r>
      <w:r w:rsidR="006E16F4" w:rsidRPr="0018386D">
        <w:t>ozone depleting chemical</w:t>
      </w:r>
      <w:r w:rsidR="00C80D5D" w:rsidRPr="0018386D">
        <w:t>s</w:t>
      </w:r>
      <w:r w:rsidR="006E16F4" w:rsidRPr="0018386D">
        <w:t xml:space="preserve"> such as </w:t>
      </w:r>
      <w:r w:rsidR="00695576" w:rsidRPr="0018386D">
        <w:t>CFCs</w:t>
      </w:r>
      <w:r w:rsidRPr="0018386D">
        <w:t xml:space="preserve"> and </w:t>
      </w:r>
      <w:r w:rsidR="00695576" w:rsidRPr="0018386D">
        <w:t>HCFCs</w:t>
      </w:r>
      <w:r w:rsidRPr="0018386D">
        <w:t xml:space="preserve">. </w:t>
      </w:r>
    </w:p>
    <w:p w14:paraId="4E4C8D46" w14:textId="2C16E180" w:rsidR="005F412E" w:rsidRPr="0018386D" w:rsidRDefault="005F412E" w:rsidP="00DD3106">
      <w:pPr>
        <w:pStyle w:val="BodyText"/>
      </w:pPr>
      <w:r w:rsidRPr="0018386D">
        <w:t>The list of refrigerant gases is continuously evolving with technology and scientific knowledge</w:t>
      </w:r>
      <w:r w:rsidR="00124714" w:rsidRPr="0018386D">
        <w:t>.</w:t>
      </w:r>
      <w:r w:rsidRPr="0018386D">
        <w:t xml:space="preserve"> </w:t>
      </w:r>
      <w:r w:rsidR="006562AB" w:rsidRPr="0018386D">
        <w:t>We note</w:t>
      </w:r>
      <w:r w:rsidR="00754921" w:rsidRPr="0018386D">
        <w:t xml:space="preserve"> that i</w:t>
      </w:r>
      <w:r w:rsidRPr="0018386D">
        <w:t>f a known gas is not listed in this guide</w:t>
      </w:r>
      <w:r w:rsidR="00754921" w:rsidRPr="0018386D">
        <w:t>,</w:t>
      </w:r>
      <w:r w:rsidRPr="0018386D">
        <w:t xml:space="preserve"> </w:t>
      </w:r>
      <w:r w:rsidR="00754921" w:rsidRPr="0018386D">
        <w:t>it</w:t>
      </w:r>
      <w:r w:rsidRPr="0018386D">
        <w:t xml:space="preserve"> does not imply there is no impact.</w:t>
      </w:r>
    </w:p>
    <w:p w14:paraId="77470B0F" w14:textId="14D2F0E1" w:rsidR="00DF72C7" w:rsidRPr="0018386D" w:rsidRDefault="005F412E" w:rsidP="00DD3106">
      <w:pPr>
        <w:pStyle w:val="BodyText"/>
      </w:pPr>
      <w:r w:rsidRPr="0018386D">
        <w:t xml:space="preserve">Emissions </w:t>
      </w:r>
      <w:r w:rsidR="00124714" w:rsidRPr="0018386D">
        <w:t>from</w:t>
      </w:r>
      <w:r w:rsidRPr="0018386D">
        <w:t xml:space="preserve"> HFCs are determined by estimating refrigerant equipment </w:t>
      </w:r>
      <w:r w:rsidR="00124714" w:rsidRPr="0018386D">
        <w:t xml:space="preserve">leakage </w:t>
      </w:r>
      <w:r w:rsidRPr="0018386D">
        <w:t xml:space="preserve">and multiplying the </w:t>
      </w:r>
      <w:r w:rsidR="00124714" w:rsidRPr="0018386D">
        <w:t xml:space="preserve">leaked </w:t>
      </w:r>
      <w:r w:rsidRPr="0018386D">
        <w:t xml:space="preserve">amount by the </w:t>
      </w:r>
      <w:r w:rsidR="00124714" w:rsidRPr="0018386D">
        <w:t>GWP</w:t>
      </w:r>
      <w:r w:rsidRPr="0018386D">
        <w:t xml:space="preserve"> of th</w:t>
      </w:r>
      <w:r w:rsidR="00005441" w:rsidRPr="0018386D">
        <w:t>at</w:t>
      </w:r>
      <w:r w:rsidRPr="0018386D">
        <w:t xml:space="preserve"> refrigerant. </w:t>
      </w:r>
      <w:r w:rsidR="00005441" w:rsidRPr="0018386D">
        <w:t>There are three methods depending on the data available</w:t>
      </w:r>
      <w:r w:rsidR="00236DFE" w:rsidRPr="0018386D">
        <w:t xml:space="preserve"> – see </w:t>
      </w:r>
      <w:hyperlink w:anchor="_GHG_inventory_development_1" w:history="1">
        <w:r w:rsidR="00236DFE" w:rsidRPr="0018386D">
          <w:rPr>
            <w:rStyle w:val="Hyperlink"/>
          </w:rPr>
          <w:t>s</w:t>
        </w:r>
        <w:r w:rsidR="00B90DBD" w:rsidRPr="0018386D">
          <w:rPr>
            <w:rStyle w:val="Hyperlink"/>
          </w:rPr>
          <w:t>ection</w:t>
        </w:r>
        <w:r w:rsidR="008C5B2D" w:rsidRPr="0018386D">
          <w:rPr>
            <w:rStyle w:val="Hyperlink"/>
          </w:rPr>
          <w:t xml:space="preserve"> 4.</w:t>
        </w:r>
        <w:r w:rsidR="000D41D9" w:rsidRPr="0018386D">
          <w:rPr>
            <w:rStyle w:val="Hyperlink"/>
          </w:rPr>
          <w:t>3.1</w:t>
        </w:r>
        <w:r w:rsidR="0016377A" w:rsidRPr="0018386D">
          <w:rPr>
            <w:rStyle w:val="Hyperlink"/>
          </w:rPr>
          <w:t>-4.3</w:t>
        </w:r>
        <w:r w:rsidR="001152F5" w:rsidRPr="0018386D">
          <w:rPr>
            <w:rStyle w:val="Hyperlink"/>
          </w:rPr>
          <w:t>.4</w:t>
        </w:r>
      </w:hyperlink>
      <w:r w:rsidR="00B90DBD" w:rsidRPr="0018386D">
        <w:t>.</w:t>
      </w:r>
    </w:p>
    <w:p w14:paraId="2A060BAF" w14:textId="3FD25660" w:rsidR="00B90DBD" w:rsidRPr="0018386D" w:rsidRDefault="00B90DBD" w:rsidP="00DD3106">
      <w:pPr>
        <w:pStyle w:val="BodyText"/>
      </w:pPr>
      <w:bookmarkStart w:id="229" w:name="_Hlk532892118"/>
      <w:bookmarkEnd w:id="228"/>
      <w:r w:rsidRPr="0018386D">
        <w:t xml:space="preserve">If you consider it likely that emissions from refrigerant equipment and leakage </w:t>
      </w:r>
      <w:r w:rsidR="00BB436A" w:rsidRPr="0018386D">
        <w:t xml:space="preserve">are </w:t>
      </w:r>
      <w:r w:rsidRPr="0018386D">
        <w:t>a significant proportion of your total emissions (</w:t>
      </w:r>
      <w:r w:rsidR="007727C2" w:rsidRPr="0018386D">
        <w:t>eg</w:t>
      </w:r>
      <w:r w:rsidRPr="0018386D">
        <w:t xml:space="preserve">, greater than </w:t>
      </w:r>
      <w:r w:rsidR="00DA46BB" w:rsidRPr="0018386D">
        <w:t xml:space="preserve">5 </w:t>
      </w:r>
      <w:r w:rsidRPr="0018386D">
        <w:t xml:space="preserve">per cent), include them in your </w:t>
      </w:r>
      <w:r w:rsidR="00301928" w:rsidRPr="0018386D">
        <w:t>GHG</w:t>
      </w:r>
      <w:r w:rsidR="00BA1DBF" w:rsidRPr="0018386D">
        <w:t xml:space="preserve"> </w:t>
      </w:r>
      <w:r w:rsidRPr="0018386D">
        <w:t xml:space="preserve">inventory. You may need to carry out a preliminary screening test to determine if this is a material source. </w:t>
      </w:r>
    </w:p>
    <w:p w14:paraId="580FFA62" w14:textId="43EA3B34" w:rsidR="00B90DBD" w:rsidRPr="0018386D" w:rsidRDefault="00754921" w:rsidP="00DD3106">
      <w:pPr>
        <w:pStyle w:val="BodyText"/>
      </w:pPr>
      <w:r w:rsidRPr="0018386D">
        <w:t xml:space="preserve">If the reporting organisation owns or controls the refrigeration units, emissions from refrigeration are </w:t>
      </w:r>
      <w:r w:rsidR="004A1AA3" w:rsidRPr="0018386D">
        <w:t>d</w:t>
      </w:r>
      <w:r w:rsidR="00B90DBD" w:rsidRPr="0018386D">
        <w:t>irect (Scope 1). If the</w:t>
      </w:r>
      <w:r w:rsidR="004A1AA3" w:rsidRPr="0018386D">
        <w:t xml:space="preserve"> organisation leases the</w:t>
      </w:r>
      <w:r w:rsidR="00B90DBD" w:rsidRPr="0018386D">
        <w:t xml:space="preserve"> unit, associated emissions should</w:t>
      </w:r>
      <w:r w:rsidR="00D21330" w:rsidRPr="0018386D">
        <w:t> </w:t>
      </w:r>
      <w:r w:rsidR="00B90DBD" w:rsidRPr="0018386D">
        <w:t>be reported under indirect (Scope 3) emissions.</w:t>
      </w:r>
    </w:p>
    <w:p w14:paraId="5572A1D0" w14:textId="3DFEF081" w:rsidR="005C0D7A" w:rsidRPr="0018386D" w:rsidRDefault="005C0D7A" w:rsidP="00DD3106">
      <w:pPr>
        <w:pStyle w:val="Heading2"/>
        <w:numPr>
          <w:ilvl w:val="1"/>
          <w:numId w:val="8"/>
        </w:numPr>
      </w:pPr>
      <w:bookmarkStart w:id="230" w:name="_Toc532904875"/>
      <w:bookmarkStart w:id="231" w:name="_Toc140048898"/>
      <w:bookmarkEnd w:id="229"/>
      <w:r w:rsidRPr="0018386D">
        <w:t xml:space="preserve">Global </w:t>
      </w:r>
      <w:r w:rsidR="001A3AD9" w:rsidRPr="0018386D">
        <w:t>w</w:t>
      </w:r>
      <w:r w:rsidRPr="0018386D">
        <w:t xml:space="preserve">arming </w:t>
      </w:r>
      <w:r w:rsidR="001A3AD9" w:rsidRPr="0018386D">
        <w:t>p</w:t>
      </w:r>
      <w:r w:rsidRPr="0018386D">
        <w:t>otentials (GWPs) of</w:t>
      </w:r>
      <w:r w:rsidR="00DC6920" w:rsidRPr="0018386D">
        <w:t> </w:t>
      </w:r>
      <w:r w:rsidR="00E11C2C" w:rsidRPr="0018386D">
        <w:t>refrigerants</w:t>
      </w:r>
      <w:bookmarkEnd w:id="230"/>
      <w:r w:rsidR="00E35E14" w:rsidRPr="0018386D">
        <w:t xml:space="preserve"> and other GHGs</w:t>
      </w:r>
      <w:bookmarkEnd w:id="231"/>
      <w:r w:rsidRPr="0018386D">
        <w:t xml:space="preserve"> </w:t>
      </w:r>
    </w:p>
    <w:p w14:paraId="308B6073" w14:textId="12C9335E" w:rsidR="00E11C2C" w:rsidRPr="0018386D" w:rsidRDefault="00C7627E" w:rsidP="00DD3106">
      <w:pPr>
        <w:pStyle w:val="BodyText"/>
      </w:pPr>
      <w:hyperlink w:anchor="table7" w:history="1">
        <w:r w:rsidR="476D5D02" w:rsidRPr="0018386D">
          <w:rPr>
            <w:rStyle w:val="Hyperlink"/>
            <w:rFonts w:eastAsia="Calibri" w:cs="Calibri"/>
          </w:rPr>
          <w:t>Table 7</w:t>
        </w:r>
      </w:hyperlink>
      <w:r w:rsidR="009F7BE6" w:rsidRPr="0018386D">
        <w:t xml:space="preserve"> d</w:t>
      </w:r>
      <w:r w:rsidR="005C0D7A" w:rsidRPr="0018386D">
        <w:t xml:space="preserve">etails the </w:t>
      </w:r>
      <w:r w:rsidR="00E11C2C" w:rsidRPr="0018386D">
        <w:t>GWPs</w:t>
      </w:r>
      <w:r w:rsidR="005C0D7A" w:rsidRPr="0018386D">
        <w:t xml:space="preserve"> of the </w:t>
      </w:r>
      <w:r w:rsidR="00E11C2C" w:rsidRPr="0018386D">
        <w:t xml:space="preserve">refrigerants </w:t>
      </w:r>
      <w:r w:rsidR="005C0D7A" w:rsidRPr="0018386D">
        <w:t xml:space="preserve">included in this </w:t>
      </w:r>
      <w:r w:rsidR="001431E5" w:rsidRPr="0018386D">
        <w:t>section</w:t>
      </w:r>
      <w:r w:rsidR="005C0D7A" w:rsidRPr="0018386D">
        <w:t xml:space="preserve">. The </w:t>
      </w:r>
      <w:r w:rsidR="00E11C2C" w:rsidRPr="0018386D">
        <w:t>GWP</w:t>
      </w:r>
      <w:r w:rsidR="005C0D7A" w:rsidRPr="0018386D">
        <w:t xml:space="preserve"> is </w:t>
      </w:r>
      <w:r w:rsidR="00540BD6" w:rsidRPr="0018386D">
        <w:t xml:space="preserve">effectively </w:t>
      </w:r>
      <w:r w:rsidR="005C0D7A" w:rsidRPr="0018386D">
        <w:t>the</w:t>
      </w:r>
      <w:r w:rsidR="00A111FA" w:rsidRPr="0018386D">
        <w:t> </w:t>
      </w:r>
      <w:r w:rsidR="005C0D7A" w:rsidRPr="0018386D">
        <w:t xml:space="preserve">emission factor for </w:t>
      </w:r>
      <w:r w:rsidR="00540BD6" w:rsidRPr="0018386D">
        <w:t xml:space="preserve">each unit of </w:t>
      </w:r>
      <w:r w:rsidR="005C0D7A" w:rsidRPr="0018386D">
        <w:t>refrigerant gas</w:t>
      </w:r>
      <w:r w:rsidR="00540BD6" w:rsidRPr="0018386D">
        <w:t xml:space="preserve"> lost to the atmosphere</w:t>
      </w:r>
      <w:r w:rsidR="005C0D7A" w:rsidRPr="0018386D">
        <w:t>.</w:t>
      </w:r>
      <w:r w:rsidR="00717FDD" w:rsidRPr="0018386D">
        <w:t xml:space="preserve"> </w:t>
      </w:r>
      <w:r w:rsidR="00E11C2C" w:rsidRPr="0018386D">
        <w:t>The guide uses the</w:t>
      </w:r>
      <w:r w:rsidR="00A111FA" w:rsidRPr="0018386D">
        <w:t> </w:t>
      </w:r>
      <w:r w:rsidR="476D5D02" w:rsidRPr="0018386D">
        <w:t>100</w:t>
      </w:r>
      <w:r w:rsidR="00FB2B17" w:rsidRPr="0018386D">
        <w:t xml:space="preserve"> </w:t>
      </w:r>
      <w:r w:rsidR="476D5D02" w:rsidRPr="0018386D">
        <w:t>year</w:t>
      </w:r>
      <w:r w:rsidR="00D672DE" w:rsidRPr="0018386D">
        <w:t xml:space="preserve"> </w:t>
      </w:r>
      <w:r w:rsidR="003B0498" w:rsidRPr="0018386D">
        <w:t xml:space="preserve">GWPs from the </w:t>
      </w:r>
      <w:hyperlink r:id="rId90" w:history="1">
        <w:r w:rsidR="003B0498" w:rsidRPr="0018386D">
          <w:rPr>
            <w:rStyle w:val="Hyperlink"/>
          </w:rPr>
          <w:t xml:space="preserve">IPCC’s </w:t>
        </w:r>
        <w:r w:rsidR="005F73A4" w:rsidRPr="0018386D">
          <w:rPr>
            <w:rStyle w:val="Hyperlink"/>
          </w:rPr>
          <w:t xml:space="preserve">Fifth </w:t>
        </w:r>
        <w:r w:rsidR="003B0498" w:rsidRPr="0018386D">
          <w:rPr>
            <w:rStyle w:val="Hyperlink"/>
          </w:rPr>
          <w:t xml:space="preserve">Assessment </w:t>
        </w:r>
        <w:r w:rsidR="476D5D02" w:rsidRPr="0018386D">
          <w:rPr>
            <w:rStyle w:val="Hyperlink"/>
          </w:rPr>
          <w:t>Report</w:t>
        </w:r>
      </w:hyperlink>
      <w:r w:rsidR="00E11C2C" w:rsidRPr="0018386D">
        <w:t xml:space="preserve"> to ensure consistency with the </w:t>
      </w:r>
      <w:hyperlink r:id="rId91" w:history="1">
        <w:r w:rsidR="476D5D02" w:rsidRPr="0018386D">
          <w:rPr>
            <w:rStyle w:val="Hyperlink"/>
            <w:rFonts w:eastAsia="Calibri" w:cs="Calibri"/>
            <w:i/>
            <w:iCs/>
          </w:rPr>
          <w:t>New Zealand Greenhouse Gas Inventory 1990</w:t>
        </w:r>
        <w:r w:rsidR="00B57BB8" w:rsidRPr="0018386D">
          <w:rPr>
            <w:rStyle w:val="Hyperlink"/>
            <w:rFonts w:eastAsia="Calibri" w:cs="Calibri"/>
            <w:i/>
            <w:iCs/>
          </w:rPr>
          <w:t>–</w:t>
        </w:r>
        <w:r w:rsidR="476D5D02" w:rsidRPr="0018386D">
          <w:rPr>
            <w:rStyle w:val="Hyperlink"/>
            <w:rFonts w:eastAsia="Calibri" w:cs="Calibri"/>
            <w:i/>
          </w:rPr>
          <w:t>2021</w:t>
        </w:r>
      </w:hyperlink>
      <w:r w:rsidR="00DF570C" w:rsidRPr="0018386D">
        <w:rPr>
          <w:i/>
        </w:rPr>
        <w:t>.</w:t>
      </w:r>
      <w:r w:rsidR="476D5D02" w:rsidRPr="0018386D">
        <w:t xml:space="preserve"> </w:t>
      </w:r>
    </w:p>
    <w:p w14:paraId="29B69B94" w14:textId="72D347A4" w:rsidR="005C0D7A" w:rsidRPr="0018386D" w:rsidRDefault="00E11C2C" w:rsidP="00DD3106">
      <w:pPr>
        <w:pStyle w:val="BodyText"/>
      </w:pPr>
      <w:r w:rsidRPr="0018386D">
        <w:lastRenderedPageBreak/>
        <w:t>S</w:t>
      </w:r>
      <w:r w:rsidR="00540BD6" w:rsidRPr="0018386D">
        <w:t xml:space="preserve">ome refrigerants </w:t>
      </w:r>
      <w:r w:rsidR="00566FB0" w:rsidRPr="0018386D">
        <w:t>are</w:t>
      </w:r>
      <w:r w:rsidR="00540BD6" w:rsidRPr="0018386D">
        <w:t xml:space="preserve"> </w:t>
      </w:r>
      <w:r w:rsidRPr="0018386D">
        <w:t xml:space="preserve">a </w:t>
      </w:r>
      <w:r w:rsidR="00540BD6" w:rsidRPr="0018386D">
        <w:t>mixture (or blend) of gases. If</w:t>
      </w:r>
      <w:r w:rsidR="00754921" w:rsidRPr="0018386D">
        <w:t xml:space="preserve"> </w:t>
      </w:r>
      <w:r w:rsidR="001A3AD9" w:rsidRPr="0018386D">
        <w:t xml:space="preserve">you </w:t>
      </w:r>
      <w:r w:rsidR="00754921" w:rsidRPr="0018386D">
        <w:t>know</w:t>
      </w:r>
      <w:r w:rsidR="00540BD6" w:rsidRPr="0018386D">
        <w:t xml:space="preserve"> the blend </w:t>
      </w:r>
      <w:r w:rsidR="00754921" w:rsidRPr="0018386D">
        <w:t>composition,</w:t>
      </w:r>
      <w:r w:rsidR="00540BD6" w:rsidRPr="0018386D">
        <w:t xml:space="preserve"> </w:t>
      </w:r>
      <w:r w:rsidR="001A3AD9" w:rsidRPr="0018386D">
        <w:t>you</w:t>
      </w:r>
      <w:r w:rsidR="004A1AA3" w:rsidRPr="0018386D">
        <w:t xml:space="preserve"> can calculate the</w:t>
      </w:r>
      <w:r w:rsidR="00540BD6" w:rsidRPr="0018386D">
        <w:t xml:space="preserve"> GWP based on the percentage </w:t>
      </w:r>
      <w:r w:rsidR="761E22F5" w:rsidRPr="0018386D">
        <w:t xml:space="preserve">mass </w:t>
      </w:r>
      <w:r w:rsidR="00540BD6" w:rsidRPr="0018386D">
        <w:t>of each gas</w:t>
      </w:r>
      <w:r w:rsidR="009076C9" w:rsidRPr="0018386D">
        <w:t xml:space="preserve">. </w:t>
      </w:r>
      <w:r w:rsidR="005B1AFB" w:rsidRPr="0018386D">
        <w:t>Alternatively,</w:t>
      </w:r>
      <w:r w:rsidR="00540BD6" w:rsidRPr="0018386D">
        <w:t xml:space="preserve"> f</w:t>
      </w:r>
      <w:r w:rsidR="00DC011F" w:rsidRPr="0018386D">
        <w:t xml:space="preserve">or the </w:t>
      </w:r>
      <w:r w:rsidR="005F73A4" w:rsidRPr="0018386D">
        <w:t xml:space="preserve">AR5 </w:t>
      </w:r>
      <w:r w:rsidR="00DC011F" w:rsidRPr="0018386D">
        <w:t>GWP of var</w:t>
      </w:r>
      <w:r w:rsidR="008A1A01" w:rsidRPr="0018386D">
        <w:t>ious refrigerant mixtures</w:t>
      </w:r>
      <w:r w:rsidR="001A3AD9" w:rsidRPr="0018386D">
        <w:t>,</w:t>
      </w:r>
      <w:r w:rsidR="008A1A01" w:rsidRPr="0018386D">
        <w:t xml:space="preserve"> see </w:t>
      </w:r>
      <w:hyperlink w:anchor="tableb2">
        <w:r w:rsidR="00D92FFC" w:rsidRPr="0018386D">
          <w:rPr>
            <w:rStyle w:val="Hyperlink"/>
          </w:rPr>
          <w:t>table B2</w:t>
        </w:r>
      </w:hyperlink>
      <w:r w:rsidR="00070A60" w:rsidRPr="0018386D">
        <w:t xml:space="preserve"> </w:t>
      </w:r>
      <w:r w:rsidR="008A1A01" w:rsidRPr="0018386D">
        <w:t xml:space="preserve">in </w:t>
      </w:r>
      <w:hyperlink w:anchor="_Appendix_B:_Alternative">
        <w:r w:rsidR="00D213DC" w:rsidRPr="0018386D">
          <w:rPr>
            <w:rStyle w:val="Hyperlink"/>
          </w:rPr>
          <w:t>Appendix B: Alternative methods of calculating emissions from refrigerants</w:t>
        </w:r>
      </w:hyperlink>
      <w:r w:rsidR="008A1A01" w:rsidRPr="0018386D">
        <w:t>.</w:t>
      </w:r>
      <w:r w:rsidR="00D079A9" w:rsidRPr="0018386D">
        <w:t xml:space="preserve"> For the AR5 GWP values, refer to </w:t>
      </w:r>
      <w:r w:rsidR="00A77C87" w:rsidRPr="0018386D">
        <w:t xml:space="preserve">the Fifth IPCC Assessment Report, </w:t>
      </w:r>
      <w:hyperlink r:id="rId92">
        <w:r w:rsidR="000B447B" w:rsidRPr="0018386D">
          <w:rPr>
            <w:rStyle w:val="Hyperlink"/>
          </w:rPr>
          <w:t>Appendix 8.A in</w:t>
        </w:r>
        <w:r w:rsidR="0054210E" w:rsidRPr="0018386D">
          <w:rPr>
            <w:rStyle w:val="Hyperlink"/>
          </w:rPr>
          <w:t xml:space="preserve"> Chapter 8: Anthropogenic and Natural Radiative Forcing</w:t>
        </w:r>
      </w:hyperlink>
      <w:r w:rsidR="0054210E" w:rsidRPr="0018386D">
        <w:t>.</w:t>
      </w:r>
    </w:p>
    <w:p w14:paraId="51D7692E" w14:textId="7C1A5097" w:rsidR="008E2ED2" w:rsidRPr="0018386D" w:rsidRDefault="005C0D7A" w:rsidP="00DD3106">
      <w:pPr>
        <w:pStyle w:val="Tableheading"/>
        <w:rPr>
          <w:rFonts w:asciiTheme="minorHAnsi" w:hAnsiTheme="minorHAnsi"/>
          <w:bCs/>
        </w:rPr>
      </w:pPr>
      <w:bookmarkStart w:id="232" w:name="_Ref532369489"/>
      <w:bookmarkStart w:id="233" w:name="table7"/>
      <w:bookmarkStart w:id="234" w:name="_Ref532369341"/>
      <w:bookmarkStart w:id="235" w:name="_Toc111536612"/>
      <w:bookmarkStart w:id="236" w:name="_Toc140048947"/>
      <w:r w:rsidRPr="0018386D">
        <w:t xml:space="preserve">Table </w:t>
      </w:r>
      <w:r w:rsidRPr="0018386D">
        <w:fldChar w:fldCharType="begin"/>
      </w:r>
      <w:r w:rsidRPr="0018386D">
        <w:instrText>SEQ Table \* ARABIC</w:instrText>
      </w:r>
      <w:r w:rsidRPr="0018386D">
        <w:fldChar w:fldCharType="separate"/>
      </w:r>
      <w:r w:rsidR="003E141C" w:rsidRPr="0018386D">
        <w:t>7</w:t>
      </w:r>
      <w:r w:rsidRPr="0018386D">
        <w:fldChar w:fldCharType="end"/>
      </w:r>
      <w:bookmarkEnd w:id="232"/>
      <w:bookmarkEnd w:id="233"/>
      <w:bookmarkEnd w:id="234"/>
      <w:r w:rsidRPr="0018386D">
        <w:t>:</w:t>
      </w:r>
      <w:r w:rsidRPr="0018386D">
        <w:tab/>
      </w:r>
      <w:r w:rsidR="00F64130" w:rsidRPr="0018386D">
        <w:t>G</w:t>
      </w:r>
      <w:r w:rsidR="007B2207" w:rsidRPr="0018386D">
        <w:t xml:space="preserve">lobal </w:t>
      </w:r>
      <w:r w:rsidR="00A77C87" w:rsidRPr="0018386D">
        <w:t>w</w:t>
      </w:r>
      <w:r w:rsidR="007B2207" w:rsidRPr="0018386D">
        <w:t xml:space="preserve">arming </w:t>
      </w:r>
      <w:r w:rsidR="00A77C87" w:rsidRPr="0018386D">
        <w:t>p</w:t>
      </w:r>
      <w:r w:rsidR="007B2207" w:rsidRPr="0018386D">
        <w:t>otentials (GWP</w:t>
      </w:r>
      <w:r w:rsidR="00F64130" w:rsidRPr="0018386D">
        <w:t>s</w:t>
      </w:r>
      <w:r w:rsidR="007B2207" w:rsidRPr="0018386D">
        <w:t>)</w:t>
      </w:r>
      <w:r w:rsidR="005F412E" w:rsidRPr="0018386D">
        <w:t xml:space="preserve"> of refrigerants</w:t>
      </w:r>
      <w:bookmarkStart w:id="237" w:name="_1746366759"/>
      <w:bookmarkStart w:id="238" w:name="_1746044007"/>
      <w:bookmarkStart w:id="239" w:name="_1746254043"/>
      <w:bookmarkStart w:id="240" w:name="_1747051244"/>
      <w:bookmarkEnd w:id="235"/>
      <w:bookmarkEnd w:id="236"/>
      <w:bookmarkEnd w:id="237"/>
      <w:bookmarkEnd w:id="238"/>
      <w:bookmarkEnd w:id="239"/>
      <w:bookmarkEnd w:id="240"/>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3686"/>
        <w:gridCol w:w="2835"/>
        <w:gridCol w:w="709"/>
        <w:gridCol w:w="1275"/>
      </w:tblGrid>
      <w:tr w:rsidR="00507499" w:rsidRPr="0018386D" w14:paraId="6ECB6E78" w14:textId="77777777" w:rsidTr="00BE7C13">
        <w:trPr>
          <w:divId w:val="253637040"/>
          <w:tblHeader/>
        </w:trPr>
        <w:tc>
          <w:tcPr>
            <w:tcW w:w="3686" w:type="dxa"/>
            <w:tcBorders>
              <w:bottom w:val="single" w:sz="4" w:space="0" w:color="1B556B" w:themeColor="text2"/>
            </w:tcBorders>
            <w:shd w:val="clear" w:color="auto" w:fill="1B556B" w:themeFill="text2"/>
            <w:noWrap/>
            <w:hideMark/>
          </w:tcPr>
          <w:p w14:paraId="4DD6A0F0" w14:textId="77777777" w:rsidR="00A94C3E" w:rsidRPr="0018386D" w:rsidRDefault="00A94C3E" w:rsidP="00DD3106">
            <w:pPr>
              <w:pStyle w:val="TableText"/>
              <w:spacing w:before="20" w:after="20"/>
              <w:rPr>
                <w:rFonts w:cs="Calibri"/>
                <w:b/>
                <w:bCs/>
                <w:color w:val="FFFFFF" w:themeColor="background1"/>
                <w:szCs w:val="18"/>
                <w:lang w:bidi="th-TH"/>
              </w:rPr>
            </w:pPr>
            <w:r w:rsidRPr="0018386D">
              <w:rPr>
                <w:rFonts w:cs="Calibri"/>
                <w:b/>
                <w:bCs/>
                <w:color w:val="FFFFFF" w:themeColor="background1"/>
                <w:szCs w:val="18"/>
                <w:lang w:bidi="th-TH"/>
              </w:rPr>
              <w:t>Industrial designation/common name </w:t>
            </w:r>
          </w:p>
        </w:tc>
        <w:tc>
          <w:tcPr>
            <w:tcW w:w="2835" w:type="dxa"/>
            <w:tcBorders>
              <w:bottom w:val="single" w:sz="4" w:space="0" w:color="1B556B" w:themeColor="text2"/>
            </w:tcBorders>
            <w:shd w:val="clear" w:color="auto" w:fill="1B556B" w:themeFill="text2"/>
            <w:noWrap/>
            <w:hideMark/>
          </w:tcPr>
          <w:p w14:paraId="3DE904E2" w14:textId="77777777" w:rsidR="00A94C3E" w:rsidRPr="0018386D" w:rsidRDefault="00A94C3E" w:rsidP="00DD3106">
            <w:pPr>
              <w:pStyle w:val="TableText"/>
              <w:spacing w:before="20" w:after="20"/>
              <w:rPr>
                <w:rFonts w:cs="Calibri"/>
                <w:b/>
                <w:bCs/>
                <w:color w:val="FFFFFF" w:themeColor="background1"/>
                <w:szCs w:val="18"/>
                <w:lang w:bidi="th-TH"/>
              </w:rPr>
            </w:pPr>
            <w:r w:rsidRPr="0018386D">
              <w:rPr>
                <w:rFonts w:cs="Calibri"/>
                <w:b/>
                <w:bCs/>
                <w:color w:val="FFFFFF" w:themeColor="background1"/>
                <w:szCs w:val="18"/>
                <w:lang w:bidi="th-TH"/>
              </w:rPr>
              <w:t>Chemical formula</w:t>
            </w:r>
          </w:p>
        </w:tc>
        <w:tc>
          <w:tcPr>
            <w:tcW w:w="709" w:type="dxa"/>
            <w:tcBorders>
              <w:bottom w:val="single" w:sz="4" w:space="0" w:color="1B556B" w:themeColor="text2"/>
            </w:tcBorders>
            <w:shd w:val="clear" w:color="auto" w:fill="1B556B" w:themeFill="text2"/>
            <w:noWrap/>
            <w:hideMark/>
          </w:tcPr>
          <w:p w14:paraId="2F6D28F2" w14:textId="77777777" w:rsidR="00A94C3E" w:rsidRPr="0018386D" w:rsidRDefault="00A94C3E" w:rsidP="00DD3106">
            <w:pPr>
              <w:pStyle w:val="TableText"/>
              <w:spacing w:before="20" w:after="20"/>
              <w:rPr>
                <w:rFonts w:cs="Calibri"/>
                <w:b/>
                <w:bCs/>
                <w:color w:val="FFFFFF" w:themeColor="background1"/>
                <w:szCs w:val="18"/>
                <w:lang w:bidi="th-TH"/>
              </w:rPr>
            </w:pPr>
            <w:r w:rsidRPr="0018386D">
              <w:rPr>
                <w:rFonts w:cs="Calibri"/>
                <w:b/>
                <w:bCs/>
                <w:color w:val="FFFFFF" w:themeColor="background1"/>
                <w:szCs w:val="18"/>
                <w:lang w:bidi="th-TH"/>
              </w:rPr>
              <w:t>Unit</w:t>
            </w:r>
          </w:p>
        </w:tc>
        <w:tc>
          <w:tcPr>
            <w:tcW w:w="1275" w:type="dxa"/>
            <w:tcBorders>
              <w:bottom w:val="single" w:sz="4" w:space="0" w:color="1B556B" w:themeColor="text2"/>
            </w:tcBorders>
            <w:shd w:val="clear" w:color="auto" w:fill="1B556B" w:themeFill="text2"/>
            <w:noWrap/>
            <w:hideMark/>
          </w:tcPr>
          <w:p w14:paraId="09C89366" w14:textId="77777777" w:rsidR="00A94C3E" w:rsidRPr="0018386D" w:rsidRDefault="00A94C3E" w:rsidP="00DD3106">
            <w:pPr>
              <w:pStyle w:val="TableText"/>
              <w:spacing w:before="20" w:after="20"/>
              <w:rPr>
                <w:rFonts w:cs="Calibri"/>
                <w:b/>
                <w:bCs/>
                <w:color w:val="FFFFFF" w:themeColor="background1"/>
                <w:szCs w:val="18"/>
                <w:lang w:bidi="th-TH"/>
              </w:rPr>
            </w:pPr>
            <w:r w:rsidRPr="0018386D">
              <w:rPr>
                <w:rFonts w:cs="Calibri"/>
                <w:b/>
                <w:bCs/>
                <w:color w:val="FFFFFF" w:themeColor="background1"/>
                <w:szCs w:val="18"/>
                <w:lang w:bidi="th-TH"/>
              </w:rPr>
              <w:t>AR5 GWP100</w:t>
            </w:r>
          </w:p>
        </w:tc>
      </w:tr>
      <w:tr w:rsidR="005C743C" w:rsidRPr="0018386D" w14:paraId="390F1D38" w14:textId="77777777">
        <w:trPr>
          <w:divId w:val="253637040"/>
        </w:trPr>
        <w:tc>
          <w:tcPr>
            <w:tcW w:w="8505" w:type="dxa"/>
            <w:gridSpan w:val="4"/>
            <w:shd w:val="clear" w:color="auto" w:fill="D2DDE1" w:themeFill="background2"/>
            <w:noWrap/>
            <w:hideMark/>
          </w:tcPr>
          <w:p w14:paraId="2BBE27F1" w14:textId="002EC07A" w:rsidR="008E2ED2" w:rsidRPr="0018386D" w:rsidRDefault="002D1F13" w:rsidP="00DD3106">
            <w:pPr>
              <w:pStyle w:val="TableTextbold"/>
              <w:spacing w:before="20" w:after="20"/>
              <w:rPr>
                <w:rFonts w:cs="Calibri"/>
                <w:b w:val="0"/>
                <w:bCs/>
                <w:szCs w:val="18"/>
                <w:lang w:bidi="th-TH"/>
              </w:rPr>
            </w:pPr>
            <w:r w:rsidRPr="0018386D">
              <w:rPr>
                <w:rFonts w:cs="Calibri"/>
                <w:szCs w:val="18"/>
                <w:lang w:bidi="th-TH"/>
              </w:rPr>
              <w:t>Industrial designation or common name</w:t>
            </w:r>
          </w:p>
        </w:tc>
      </w:tr>
      <w:tr w:rsidR="005C743C" w:rsidRPr="0018386D" w14:paraId="0E083331" w14:textId="77777777" w:rsidTr="00BE7C13">
        <w:trPr>
          <w:divId w:val="253637040"/>
        </w:trPr>
        <w:tc>
          <w:tcPr>
            <w:tcW w:w="3686" w:type="dxa"/>
            <w:shd w:val="clear" w:color="auto" w:fill="FFFFFF" w:themeFill="background1"/>
            <w:noWrap/>
            <w:hideMark/>
          </w:tcPr>
          <w:p w14:paraId="13E0D0ED" w14:textId="45812240" w:rsidR="008E2ED2" w:rsidRPr="0018386D" w:rsidRDefault="008E2ED2" w:rsidP="00DD3106">
            <w:pPr>
              <w:pStyle w:val="TableText"/>
              <w:spacing w:before="20" w:after="20"/>
              <w:rPr>
                <w:rFonts w:cs="Calibri"/>
                <w:szCs w:val="18"/>
                <w:lang w:bidi="th-TH"/>
              </w:rPr>
            </w:pPr>
            <w:r w:rsidRPr="0018386D">
              <w:rPr>
                <w:rFonts w:cs="Calibri"/>
                <w:szCs w:val="18"/>
                <w:lang w:bidi="th-TH"/>
              </w:rPr>
              <w:t>Carbon dioxide (R-744)</w:t>
            </w:r>
          </w:p>
        </w:tc>
        <w:tc>
          <w:tcPr>
            <w:tcW w:w="2835" w:type="dxa"/>
            <w:shd w:val="clear" w:color="auto" w:fill="FFFFFF" w:themeFill="background1"/>
            <w:noWrap/>
            <w:hideMark/>
          </w:tcPr>
          <w:p w14:paraId="32BBD6EF"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CO₂</w:t>
            </w:r>
          </w:p>
        </w:tc>
        <w:tc>
          <w:tcPr>
            <w:tcW w:w="709" w:type="dxa"/>
            <w:shd w:val="clear" w:color="auto" w:fill="FFFFFF" w:themeFill="background1"/>
            <w:noWrap/>
            <w:hideMark/>
          </w:tcPr>
          <w:p w14:paraId="6B31698F"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1AB91E0"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1</w:t>
            </w:r>
          </w:p>
        </w:tc>
      </w:tr>
      <w:tr w:rsidR="005C743C" w:rsidRPr="0018386D" w14:paraId="77194421" w14:textId="77777777" w:rsidTr="00BE7C13">
        <w:trPr>
          <w:divId w:val="253637040"/>
        </w:trPr>
        <w:tc>
          <w:tcPr>
            <w:tcW w:w="3686" w:type="dxa"/>
            <w:shd w:val="clear" w:color="auto" w:fill="FFFFFF" w:themeFill="background1"/>
            <w:noWrap/>
            <w:hideMark/>
          </w:tcPr>
          <w:p w14:paraId="6BA09918"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Methane</w:t>
            </w:r>
          </w:p>
        </w:tc>
        <w:tc>
          <w:tcPr>
            <w:tcW w:w="2835" w:type="dxa"/>
            <w:shd w:val="clear" w:color="auto" w:fill="FFFFFF" w:themeFill="background1"/>
            <w:noWrap/>
            <w:hideMark/>
          </w:tcPr>
          <w:p w14:paraId="0B1E13B3"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CH₄</w:t>
            </w:r>
          </w:p>
        </w:tc>
        <w:tc>
          <w:tcPr>
            <w:tcW w:w="709" w:type="dxa"/>
            <w:shd w:val="clear" w:color="auto" w:fill="FFFFFF" w:themeFill="background1"/>
            <w:noWrap/>
            <w:hideMark/>
          </w:tcPr>
          <w:p w14:paraId="1BE675BF"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33FF14E"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28</w:t>
            </w:r>
          </w:p>
        </w:tc>
      </w:tr>
      <w:tr w:rsidR="005C743C" w:rsidRPr="0018386D" w14:paraId="73D12CD7" w14:textId="77777777" w:rsidTr="00BE7C13">
        <w:trPr>
          <w:divId w:val="253637040"/>
        </w:trPr>
        <w:tc>
          <w:tcPr>
            <w:tcW w:w="3686" w:type="dxa"/>
            <w:shd w:val="clear" w:color="auto" w:fill="FFFFFF" w:themeFill="background1"/>
            <w:noWrap/>
            <w:hideMark/>
          </w:tcPr>
          <w:p w14:paraId="1F579D80" w14:textId="0B430F7F" w:rsidR="008E2ED2" w:rsidRPr="0018386D" w:rsidRDefault="008E2ED2" w:rsidP="00DD3106">
            <w:pPr>
              <w:pStyle w:val="TableText"/>
              <w:spacing w:before="20" w:after="20"/>
              <w:rPr>
                <w:rFonts w:cs="Calibri"/>
                <w:szCs w:val="18"/>
                <w:lang w:bidi="th-TH"/>
              </w:rPr>
            </w:pPr>
            <w:r w:rsidRPr="0018386D">
              <w:rPr>
                <w:rFonts w:cs="Calibri"/>
                <w:szCs w:val="18"/>
                <w:lang w:bidi="th-TH"/>
              </w:rPr>
              <w:t>Propane (R-290)</w:t>
            </w:r>
          </w:p>
        </w:tc>
        <w:tc>
          <w:tcPr>
            <w:tcW w:w="2835" w:type="dxa"/>
            <w:shd w:val="clear" w:color="auto" w:fill="FFFFFF" w:themeFill="background1"/>
            <w:noWrap/>
            <w:hideMark/>
          </w:tcPr>
          <w:p w14:paraId="7F42068C"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C₃H₈</w:t>
            </w:r>
          </w:p>
        </w:tc>
        <w:tc>
          <w:tcPr>
            <w:tcW w:w="709" w:type="dxa"/>
            <w:shd w:val="clear" w:color="auto" w:fill="FFFFFF" w:themeFill="background1"/>
            <w:noWrap/>
            <w:hideMark/>
          </w:tcPr>
          <w:p w14:paraId="23021AE7"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22CED514" w14:textId="5C08AE13" w:rsidR="008E2ED2" w:rsidRPr="0018386D" w:rsidRDefault="008C15AA" w:rsidP="00DD3106">
            <w:pPr>
              <w:pStyle w:val="TableText"/>
              <w:spacing w:before="20" w:after="20"/>
              <w:rPr>
                <w:rFonts w:cs="Calibri"/>
                <w:szCs w:val="18"/>
                <w:lang w:bidi="th-TH"/>
              </w:rPr>
            </w:pPr>
            <w:r w:rsidRPr="0018386D">
              <w:rPr>
                <w:rFonts w:cs="Calibri"/>
                <w:szCs w:val="18"/>
                <w:lang w:bidi="th-TH"/>
              </w:rPr>
              <w:t>0.02</w:t>
            </w:r>
            <w:r w:rsidR="009830D1" w:rsidRPr="0018386D">
              <w:rPr>
                <w:rFonts w:cs="Calibri"/>
                <w:szCs w:val="18"/>
                <w:lang w:bidi="th-TH"/>
              </w:rPr>
              <w:t>*</w:t>
            </w:r>
          </w:p>
        </w:tc>
      </w:tr>
      <w:tr w:rsidR="005C743C" w:rsidRPr="0018386D" w14:paraId="0AACA1D8" w14:textId="77777777" w:rsidTr="00BE7C13">
        <w:trPr>
          <w:divId w:val="253637040"/>
        </w:trPr>
        <w:tc>
          <w:tcPr>
            <w:tcW w:w="3686" w:type="dxa"/>
            <w:shd w:val="clear" w:color="auto" w:fill="FFFFFF" w:themeFill="background1"/>
            <w:noWrap/>
            <w:hideMark/>
          </w:tcPr>
          <w:p w14:paraId="3AB2265F"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Nitrous oxide (R-744a)</w:t>
            </w:r>
          </w:p>
        </w:tc>
        <w:tc>
          <w:tcPr>
            <w:tcW w:w="2835" w:type="dxa"/>
            <w:shd w:val="clear" w:color="auto" w:fill="FFFFFF" w:themeFill="background1"/>
            <w:noWrap/>
            <w:hideMark/>
          </w:tcPr>
          <w:p w14:paraId="5F76E480"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N₂O</w:t>
            </w:r>
          </w:p>
        </w:tc>
        <w:tc>
          <w:tcPr>
            <w:tcW w:w="709" w:type="dxa"/>
            <w:shd w:val="clear" w:color="auto" w:fill="FFFFFF" w:themeFill="background1"/>
            <w:noWrap/>
            <w:hideMark/>
          </w:tcPr>
          <w:p w14:paraId="6F28E21B"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E771D53"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265</w:t>
            </w:r>
          </w:p>
        </w:tc>
      </w:tr>
      <w:tr w:rsidR="005C743C" w:rsidRPr="0018386D" w14:paraId="7F094A29" w14:textId="77777777" w:rsidTr="00BE7C13">
        <w:trPr>
          <w:divId w:val="253637040"/>
        </w:trPr>
        <w:tc>
          <w:tcPr>
            <w:tcW w:w="3686" w:type="dxa"/>
            <w:shd w:val="clear" w:color="auto" w:fill="FFFFFF" w:themeFill="background1"/>
            <w:noWrap/>
          </w:tcPr>
          <w:p w14:paraId="43CD9592" w14:textId="483614A6" w:rsidR="006D214C" w:rsidRPr="0018386D" w:rsidRDefault="00171D0A" w:rsidP="00DD3106">
            <w:pPr>
              <w:pStyle w:val="TableText"/>
              <w:spacing w:before="20" w:after="20"/>
              <w:rPr>
                <w:rFonts w:cs="Calibri"/>
                <w:szCs w:val="18"/>
                <w:lang w:bidi="th-TH"/>
              </w:rPr>
            </w:pPr>
            <w:r w:rsidRPr="0018386D">
              <w:rPr>
                <w:rFonts w:cs="Calibri"/>
                <w:szCs w:val="18"/>
                <w:lang w:bidi="th-TH"/>
              </w:rPr>
              <w:t>Butane</w:t>
            </w:r>
          </w:p>
        </w:tc>
        <w:tc>
          <w:tcPr>
            <w:tcW w:w="2835" w:type="dxa"/>
            <w:shd w:val="clear" w:color="auto" w:fill="FFFFFF" w:themeFill="background1"/>
            <w:noWrap/>
          </w:tcPr>
          <w:p w14:paraId="40EFE5EB" w14:textId="4C0269F3" w:rsidR="006D214C" w:rsidRPr="0018386D" w:rsidRDefault="00171D0A" w:rsidP="00DD3106">
            <w:pPr>
              <w:pStyle w:val="TableText"/>
              <w:spacing w:before="20" w:after="20"/>
              <w:rPr>
                <w:rFonts w:cs="Calibri"/>
                <w:szCs w:val="18"/>
                <w:lang w:bidi="th-TH"/>
              </w:rPr>
            </w:pPr>
            <w:r w:rsidRPr="0018386D">
              <w:rPr>
                <w:rFonts w:cs="Calibri"/>
                <w:szCs w:val="18"/>
                <w:lang w:bidi="th-TH"/>
              </w:rPr>
              <w:t>C</w:t>
            </w:r>
            <w:r w:rsidRPr="0018386D">
              <w:rPr>
                <w:rFonts w:cs="Calibri"/>
                <w:szCs w:val="18"/>
                <w:vertAlign w:val="subscript"/>
                <w:lang w:bidi="th-TH"/>
              </w:rPr>
              <w:t>4</w:t>
            </w:r>
            <w:r w:rsidRPr="0018386D">
              <w:rPr>
                <w:rFonts w:cs="Calibri"/>
                <w:szCs w:val="18"/>
                <w:lang w:bidi="th-TH"/>
              </w:rPr>
              <w:t>H</w:t>
            </w:r>
            <w:r w:rsidRPr="0018386D">
              <w:rPr>
                <w:rFonts w:cs="Calibri"/>
                <w:szCs w:val="18"/>
                <w:vertAlign w:val="subscript"/>
                <w:lang w:bidi="th-TH"/>
              </w:rPr>
              <w:t>10</w:t>
            </w:r>
          </w:p>
        </w:tc>
        <w:tc>
          <w:tcPr>
            <w:tcW w:w="709" w:type="dxa"/>
            <w:shd w:val="clear" w:color="auto" w:fill="FFFFFF" w:themeFill="background1"/>
            <w:noWrap/>
          </w:tcPr>
          <w:p w14:paraId="4E544714" w14:textId="2DA40BBD" w:rsidR="006D214C" w:rsidRPr="0018386D" w:rsidRDefault="002E1A9B"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tcPr>
          <w:p w14:paraId="1237BAE3" w14:textId="3DD2F2B8" w:rsidR="006D214C" w:rsidRPr="0018386D" w:rsidRDefault="002E1A9B" w:rsidP="00DD3106">
            <w:pPr>
              <w:pStyle w:val="TableText"/>
              <w:spacing w:before="20" w:after="20"/>
              <w:rPr>
                <w:rFonts w:cs="Calibri"/>
                <w:szCs w:val="18"/>
                <w:lang w:bidi="th-TH"/>
              </w:rPr>
            </w:pPr>
            <w:r w:rsidRPr="0018386D">
              <w:rPr>
                <w:rFonts w:cs="Calibri"/>
                <w:szCs w:val="18"/>
                <w:lang w:bidi="th-TH"/>
              </w:rPr>
              <w:t>0.006</w:t>
            </w:r>
            <w:r w:rsidR="009830D1" w:rsidRPr="0018386D">
              <w:rPr>
                <w:rFonts w:cs="Calibri"/>
                <w:szCs w:val="18"/>
                <w:lang w:bidi="th-TH"/>
              </w:rPr>
              <w:t>*</w:t>
            </w:r>
          </w:p>
        </w:tc>
      </w:tr>
      <w:tr w:rsidR="00BE7C13" w:rsidRPr="0018386D" w14:paraId="776F1DE4" w14:textId="77777777">
        <w:trPr>
          <w:divId w:val="253637040"/>
        </w:trPr>
        <w:tc>
          <w:tcPr>
            <w:tcW w:w="8505" w:type="dxa"/>
            <w:gridSpan w:val="4"/>
            <w:shd w:val="clear" w:color="auto" w:fill="D2DDE1" w:themeFill="background2"/>
            <w:noWrap/>
            <w:hideMark/>
          </w:tcPr>
          <w:p w14:paraId="02970A34" w14:textId="10E5964C" w:rsidR="00BE7C13" w:rsidRPr="0018386D" w:rsidRDefault="002D1F13" w:rsidP="00DD3106">
            <w:pPr>
              <w:pStyle w:val="TableTextbold"/>
              <w:spacing w:before="20" w:after="20"/>
              <w:rPr>
                <w:rFonts w:cs="Calibri"/>
                <w:szCs w:val="18"/>
                <w:lang w:bidi="th-TH"/>
              </w:rPr>
            </w:pPr>
            <w:r w:rsidRPr="0018386D">
              <w:rPr>
                <w:rFonts w:cs="Calibri"/>
                <w:szCs w:val="18"/>
                <w:lang w:bidi="th-TH"/>
              </w:rPr>
              <w:t>Substances controlled by the Montreal Protocol</w:t>
            </w:r>
          </w:p>
        </w:tc>
      </w:tr>
      <w:tr w:rsidR="00507499" w:rsidRPr="0018386D" w14:paraId="6D63D8E3" w14:textId="77777777" w:rsidTr="00BE7C13">
        <w:trPr>
          <w:divId w:val="253637040"/>
        </w:trPr>
        <w:tc>
          <w:tcPr>
            <w:tcW w:w="3686" w:type="dxa"/>
            <w:shd w:val="clear" w:color="auto" w:fill="FFFFFF" w:themeFill="background1"/>
            <w:noWrap/>
            <w:hideMark/>
          </w:tcPr>
          <w:p w14:paraId="25D0739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CFC-11 (R-11)</w:t>
            </w:r>
          </w:p>
        </w:tc>
        <w:tc>
          <w:tcPr>
            <w:tcW w:w="2835" w:type="dxa"/>
            <w:shd w:val="clear" w:color="auto" w:fill="FFFFFF" w:themeFill="background1"/>
            <w:noWrap/>
            <w:hideMark/>
          </w:tcPr>
          <w:p w14:paraId="48EF31BC"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CCl₃F</w:t>
            </w:r>
            <w:proofErr w:type="spellEnd"/>
          </w:p>
        </w:tc>
        <w:tc>
          <w:tcPr>
            <w:tcW w:w="709" w:type="dxa"/>
            <w:shd w:val="clear" w:color="auto" w:fill="FFFFFF" w:themeFill="background1"/>
            <w:noWrap/>
            <w:hideMark/>
          </w:tcPr>
          <w:p w14:paraId="1B53D6E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A6770E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4660</w:t>
            </w:r>
          </w:p>
        </w:tc>
      </w:tr>
      <w:tr w:rsidR="00507499" w:rsidRPr="0018386D" w14:paraId="6CD86F45" w14:textId="77777777" w:rsidTr="00BE7C13">
        <w:trPr>
          <w:divId w:val="253637040"/>
        </w:trPr>
        <w:tc>
          <w:tcPr>
            <w:tcW w:w="3686" w:type="dxa"/>
            <w:shd w:val="clear" w:color="auto" w:fill="FFFFFF" w:themeFill="background1"/>
            <w:noWrap/>
            <w:hideMark/>
          </w:tcPr>
          <w:p w14:paraId="6A56AC1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CFC-12 (R-12)</w:t>
            </w:r>
          </w:p>
        </w:tc>
        <w:tc>
          <w:tcPr>
            <w:tcW w:w="2835" w:type="dxa"/>
            <w:shd w:val="clear" w:color="auto" w:fill="FFFFFF" w:themeFill="background1"/>
            <w:noWrap/>
            <w:hideMark/>
          </w:tcPr>
          <w:p w14:paraId="1A153C7C"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CCl₂F</w:t>
            </w:r>
            <w:proofErr w:type="spellEnd"/>
            <w:r w:rsidRPr="0018386D">
              <w:rPr>
                <w:rFonts w:cs="Calibri"/>
                <w:szCs w:val="18"/>
                <w:lang w:bidi="th-TH"/>
              </w:rPr>
              <w:t>₂</w:t>
            </w:r>
          </w:p>
        </w:tc>
        <w:tc>
          <w:tcPr>
            <w:tcW w:w="709" w:type="dxa"/>
            <w:shd w:val="clear" w:color="auto" w:fill="FFFFFF" w:themeFill="background1"/>
            <w:noWrap/>
            <w:hideMark/>
          </w:tcPr>
          <w:p w14:paraId="3BBE2F1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A229C7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10200</w:t>
            </w:r>
          </w:p>
        </w:tc>
      </w:tr>
      <w:tr w:rsidR="00507499" w:rsidRPr="0018386D" w14:paraId="5BFC1750" w14:textId="77777777" w:rsidTr="00BE7C13">
        <w:trPr>
          <w:divId w:val="253637040"/>
        </w:trPr>
        <w:tc>
          <w:tcPr>
            <w:tcW w:w="3686" w:type="dxa"/>
            <w:shd w:val="clear" w:color="auto" w:fill="FFFFFF" w:themeFill="background1"/>
            <w:noWrap/>
            <w:hideMark/>
          </w:tcPr>
          <w:p w14:paraId="202F300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CFC-13 (R-13)</w:t>
            </w:r>
          </w:p>
        </w:tc>
        <w:tc>
          <w:tcPr>
            <w:tcW w:w="2835" w:type="dxa"/>
            <w:shd w:val="clear" w:color="auto" w:fill="FFFFFF" w:themeFill="background1"/>
            <w:noWrap/>
            <w:hideMark/>
          </w:tcPr>
          <w:p w14:paraId="4D528FED"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CClF</w:t>
            </w:r>
            <w:proofErr w:type="spellEnd"/>
            <w:r w:rsidRPr="0018386D">
              <w:rPr>
                <w:rFonts w:cs="Calibri"/>
                <w:szCs w:val="18"/>
                <w:lang w:bidi="th-TH"/>
              </w:rPr>
              <w:t>₃</w:t>
            </w:r>
          </w:p>
        </w:tc>
        <w:tc>
          <w:tcPr>
            <w:tcW w:w="709" w:type="dxa"/>
            <w:shd w:val="clear" w:color="auto" w:fill="FFFFFF" w:themeFill="background1"/>
            <w:noWrap/>
            <w:hideMark/>
          </w:tcPr>
          <w:p w14:paraId="73685BF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59C65D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13900</w:t>
            </w:r>
          </w:p>
        </w:tc>
      </w:tr>
      <w:tr w:rsidR="00507499" w:rsidRPr="0018386D" w14:paraId="55E5C2F7" w14:textId="77777777" w:rsidTr="00BE7C13">
        <w:trPr>
          <w:divId w:val="253637040"/>
        </w:trPr>
        <w:tc>
          <w:tcPr>
            <w:tcW w:w="3686" w:type="dxa"/>
            <w:shd w:val="clear" w:color="auto" w:fill="FFFFFF" w:themeFill="background1"/>
            <w:noWrap/>
            <w:hideMark/>
          </w:tcPr>
          <w:p w14:paraId="02F7287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CFC-113 (R-113)</w:t>
            </w:r>
          </w:p>
        </w:tc>
        <w:tc>
          <w:tcPr>
            <w:tcW w:w="2835" w:type="dxa"/>
            <w:shd w:val="clear" w:color="auto" w:fill="FFFFFF" w:themeFill="background1"/>
            <w:noWrap/>
            <w:hideMark/>
          </w:tcPr>
          <w:p w14:paraId="5ED72B6D"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CCl₂FCClF</w:t>
            </w:r>
            <w:proofErr w:type="spellEnd"/>
            <w:r w:rsidRPr="0018386D">
              <w:rPr>
                <w:rFonts w:cs="Calibri"/>
                <w:szCs w:val="18"/>
                <w:lang w:bidi="th-TH"/>
              </w:rPr>
              <w:t>₂</w:t>
            </w:r>
          </w:p>
        </w:tc>
        <w:tc>
          <w:tcPr>
            <w:tcW w:w="709" w:type="dxa"/>
            <w:shd w:val="clear" w:color="auto" w:fill="FFFFFF" w:themeFill="background1"/>
            <w:noWrap/>
            <w:hideMark/>
          </w:tcPr>
          <w:p w14:paraId="7FA9CD2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030A99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5820</w:t>
            </w:r>
          </w:p>
        </w:tc>
      </w:tr>
      <w:tr w:rsidR="00507499" w:rsidRPr="0018386D" w14:paraId="3A0834B5" w14:textId="77777777" w:rsidTr="00BE7C13">
        <w:trPr>
          <w:divId w:val="253637040"/>
        </w:trPr>
        <w:tc>
          <w:tcPr>
            <w:tcW w:w="3686" w:type="dxa"/>
            <w:shd w:val="clear" w:color="auto" w:fill="FFFFFF" w:themeFill="background1"/>
            <w:noWrap/>
            <w:hideMark/>
          </w:tcPr>
          <w:p w14:paraId="15D7A73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CFC-114 (R-114)</w:t>
            </w:r>
          </w:p>
        </w:tc>
        <w:tc>
          <w:tcPr>
            <w:tcW w:w="2835" w:type="dxa"/>
            <w:shd w:val="clear" w:color="auto" w:fill="FFFFFF" w:themeFill="background1"/>
            <w:noWrap/>
            <w:hideMark/>
          </w:tcPr>
          <w:p w14:paraId="0D3719AA"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CClF₂CClF</w:t>
            </w:r>
            <w:proofErr w:type="spellEnd"/>
            <w:r w:rsidRPr="0018386D">
              <w:rPr>
                <w:rFonts w:cs="Calibri"/>
                <w:szCs w:val="18"/>
                <w:lang w:bidi="th-TH"/>
              </w:rPr>
              <w:t>₂</w:t>
            </w:r>
          </w:p>
        </w:tc>
        <w:tc>
          <w:tcPr>
            <w:tcW w:w="709" w:type="dxa"/>
            <w:shd w:val="clear" w:color="auto" w:fill="FFFFFF" w:themeFill="background1"/>
            <w:noWrap/>
            <w:hideMark/>
          </w:tcPr>
          <w:p w14:paraId="15E04E1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91FF50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8590</w:t>
            </w:r>
          </w:p>
        </w:tc>
      </w:tr>
      <w:tr w:rsidR="00507499" w:rsidRPr="0018386D" w14:paraId="28EB4D8C" w14:textId="77777777" w:rsidTr="00BE7C13">
        <w:trPr>
          <w:divId w:val="253637040"/>
        </w:trPr>
        <w:tc>
          <w:tcPr>
            <w:tcW w:w="3686" w:type="dxa"/>
            <w:shd w:val="clear" w:color="auto" w:fill="FFFFFF" w:themeFill="background1"/>
            <w:noWrap/>
            <w:hideMark/>
          </w:tcPr>
          <w:p w14:paraId="3CEFF91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CFC-115 (R-115)</w:t>
            </w:r>
          </w:p>
        </w:tc>
        <w:tc>
          <w:tcPr>
            <w:tcW w:w="2835" w:type="dxa"/>
            <w:shd w:val="clear" w:color="auto" w:fill="FFFFFF" w:themeFill="background1"/>
            <w:noWrap/>
            <w:hideMark/>
          </w:tcPr>
          <w:p w14:paraId="5D34C9C4"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CClF₂CF</w:t>
            </w:r>
            <w:proofErr w:type="spellEnd"/>
            <w:r w:rsidRPr="0018386D">
              <w:rPr>
                <w:rFonts w:cs="Calibri"/>
                <w:szCs w:val="18"/>
                <w:lang w:bidi="th-TH"/>
              </w:rPr>
              <w:t>₃</w:t>
            </w:r>
          </w:p>
        </w:tc>
        <w:tc>
          <w:tcPr>
            <w:tcW w:w="709" w:type="dxa"/>
            <w:shd w:val="clear" w:color="auto" w:fill="FFFFFF" w:themeFill="background1"/>
            <w:noWrap/>
            <w:hideMark/>
          </w:tcPr>
          <w:p w14:paraId="4D2D443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C9DB31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7670</w:t>
            </w:r>
          </w:p>
        </w:tc>
      </w:tr>
      <w:tr w:rsidR="00507499" w:rsidRPr="0018386D" w14:paraId="0ED70798" w14:textId="77777777" w:rsidTr="00BE7C13">
        <w:trPr>
          <w:divId w:val="253637040"/>
        </w:trPr>
        <w:tc>
          <w:tcPr>
            <w:tcW w:w="3686" w:type="dxa"/>
            <w:shd w:val="clear" w:color="auto" w:fill="FFFFFF" w:themeFill="background1"/>
            <w:noWrap/>
            <w:hideMark/>
          </w:tcPr>
          <w:p w14:paraId="2B0C542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Halon-1301 (R-1301)</w:t>
            </w:r>
          </w:p>
        </w:tc>
        <w:tc>
          <w:tcPr>
            <w:tcW w:w="2835" w:type="dxa"/>
            <w:shd w:val="clear" w:color="auto" w:fill="FFFFFF" w:themeFill="background1"/>
            <w:noWrap/>
            <w:hideMark/>
          </w:tcPr>
          <w:p w14:paraId="1304EE4E"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CBrF</w:t>
            </w:r>
            <w:proofErr w:type="spellEnd"/>
            <w:r w:rsidRPr="0018386D">
              <w:rPr>
                <w:rFonts w:cs="Calibri"/>
                <w:szCs w:val="18"/>
                <w:lang w:bidi="th-TH"/>
              </w:rPr>
              <w:t>₃</w:t>
            </w:r>
          </w:p>
        </w:tc>
        <w:tc>
          <w:tcPr>
            <w:tcW w:w="709" w:type="dxa"/>
            <w:shd w:val="clear" w:color="auto" w:fill="FFFFFF" w:themeFill="background1"/>
            <w:noWrap/>
            <w:hideMark/>
          </w:tcPr>
          <w:p w14:paraId="3F36D82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60F951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6290</w:t>
            </w:r>
          </w:p>
        </w:tc>
      </w:tr>
      <w:tr w:rsidR="00507499" w:rsidRPr="0018386D" w14:paraId="5CC8CC6C" w14:textId="77777777" w:rsidTr="00BE7C13">
        <w:trPr>
          <w:divId w:val="253637040"/>
        </w:trPr>
        <w:tc>
          <w:tcPr>
            <w:tcW w:w="3686" w:type="dxa"/>
            <w:shd w:val="clear" w:color="auto" w:fill="FFFFFF" w:themeFill="background1"/>
            <w:noWrap/>
            <w:hideMark/>
          </w:tcPr>
          <w:p w14:paraId="30D0771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Halon-1211 (R-1211)</w:t>
            </w:r>
          </w:p>
        </w:tc>
        <w:tc>
          <w:tcPr>
            <w:tcW w:w="2835" w:type="dxa"/>
            <w:shd w:val="clear" w:color="auto" w:fill="FFFFFF" w:themeFill="background1"/>
            <w:noWrap/>
            <w:hideMark/>
          </w:tcPr>
          <w:p w14:paraId="48752184"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CBrClF</w:t>
            </w:r>
            <w:proofErr w:type="spellEnd"/>
            <w:r w:rsidRPr="0018386D">
              <w:rPr>
                <w:rFonts w:cs="Calibri"/>
                <w:szCs w:val="18"/>
                <w:lang w:bidi="th-TH"/>
              </w:rPr>
              <w:t>₂</w:t>
            </w:r>
          </w:p>
        </w:tc>
        <w:tc>
          <w:tcPr>
            <w:tcW w:w="709" w:type="dxa"/>
            <w:shd w:val="clear" w:color="auto" w:fill="FFFFFF" w:themeFill="background1"/>
            <w:noWrap/>
            <w:hideMark/>
          </w:tcPr>
          <w:p w14:paraId="5093AA5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BFA4F8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1750</w:t>
            </w:r>
          </w:p>
        </w:tc>
      </w:tr>
      <w:tr w:rsidR="00507499" w:rsidRPr="0018386D" w14:paraId="1FB8E100" w14:textId="77777777" w:rsidTr="00BE7C13">
        <w:trPr>
          <w:divId w:val="253637040"/>
        </w:trPr>
        <w:tc>
          <w:tcPr>
            <w:tcW w:w="3686" w:type="dxa"/>
            <w:shd w:val="clear" w:color="auto" w:fill="FFFFFF" w:themeFill="background1"/>
            <w:noWrap/>
            <w:hideMark/>
          </w:tcPr>
          <w:p w14:paraId="35691F9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Halon-2402 (R-2402)</w:t>
            </w:r>
          </w:p>
        </w:tc>
        <w:tc>
          <w:tcPr>
            <w:tcW w:w="2835" w:type="dxa"/>
            <w:shd w:val="clear" w:color="auto" w:fill="FFFFFF" w:themeFill="background1"/>
            <w:noWrap/>
            <w:hideMark/>
          </w:tcPr>
          <w:p w14:paraId="1CED5F70"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CBrF₂CBrF</w:t>
            </w:r>
            <w:proofErr w:type="spellEnd"/>
            <w:r w:rsidRPr="0018386D">
              <w:rPr>
                <w:rFonts w:cs="Calibri"/>
                <w:szCs w:val="18"/>
                <w:lang w:bidi="th-TH"/>
              </w:rPr>
              <w:t>₂</w:t>
            </w:r>
          </w:p>
        </w:tc>
        <w:tc>
          <w:tcPr>
            <w:tcW w:w="709" w:type="dxa"/>
            <w:shd w:val="clear" w:color="auto" w:fill="FFFFFF" w:themeFill="background1"/>
            <w:noWrap/>
            <w:hideMark/>
          </w:tcPr>
          <w:p w14:paraId="59730A0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2D548D2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1470</w:t>
            </w:r>
          </w:p>
        </w:tc>
      </w:tr>
      <w:tr w:rsidR="00507499" w:rsidRPr="0018386D" w14:paraId="52085C3E" w14:textId="77777777" w:rsidTr="00BE7C13">
        <w:trPr>
          <w:divId w:val="253637040"/>
        </w:trPr>
        <w:tc>
          <w:tcPr>
            <w:tcW w:w="3686" w:type="dxa"/>
            <w:shd w:val="clear" w:color="auto" w:fill="FFFFFF" w:themeFill="background1"/>
            <w:noWrap/>
            <w:hideMark/>
          </w:tcPr>
          <w:p w14:paraId="5543560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Carbon tetrachloride (R-10)</w:t>
            </w:r>
          </w:p>
        </w:tc>
        <w:tc>
          <w:tcPr>
            <w:tcW w:w="2835" w:type="dxa"/>
            <w:shd w:val="clear" w:color="auto" w:fill="FFFFFF" w:themeFill="background1"/>
            <w:noWrap/>
            <w:hideMark/>
          </w:tcPr>
          <w:p w14:paraId="13482270"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CCl</w:t>
            </w:r>
            <w:proofErr w:type="spellEnd"/>
            <w:r w:rsidRPr="0018386D">
              <w:rPr>
                <w:rFonts w:cs="Calibri"/>
                <w:szCs w:val="18"/>
                <w:lang w:bidi="th-TH"/>
              </w:rPr>
              <w:t>₄</w:t>
            </w:r>
          </w:p>
        </w:tc>
        <w:tc>
          <w:tcPr>
            <w:tcW w:w="709" w:type="dxa"/>
            <w:shd w:val="clear" w:color="auto" w:fill="FFFFFF" w:themeFill="background1"/>
            <w:noWrap/>
            <w:hideMark/>
          </w:tcPr>
          <w:p w14:paraId="515DD8A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84CB6A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1730</w:t>
            </w:r>
          </w:p>
        </w:tc>
      </w:tr>
      <w:tr w:rsidR="00507499" w:rsidRPr="0018386D" w14:paraId="7335F692" w14:textId="77777777" w:rsidTr="00BE7C13">
        <w:trPr>
          <w:divId w:val="253637040"/>
        </w:trPr>
        <w:tc>
          <w:tcPr>
            <w:tcW w:w="3686" w:type="dxa"/>
            <w:shd w:val="clear" w:color="auto" w:fill="FFFFFF" w:themeFill="background1"/>
            <w:noWrap/>
            <w:hideMark/>
          </w:tcPr>
          <w:p w14:paraId="3E4B2FB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Methyl bromide</w:t>
            </w:r>
          </w:p>
        </w:tc>
        <w:tc>
          <w:tcPr>
            <w:tcW w:w="2835" w:type="dxa"/>
            <w:shd w:val="clear" w:color="auto" w:fill="FFFFFF" w:themeFill="background1"/>
            <w:noWrap/>
            <w:hideMark/>
          </w:tcPr>
          <w:p w14:paraId="65732100"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CH₃Br</w:t>
            </w:r>
            <w:proofErr w:type="spellEnd"/>
          </w:p>
        </w:tc>
        <w:tc>
          <w:tcPr>
            <w:tcW w:w="709" w:type="dxa"/>
            <w:shd w:val="clear" w:color="auto" w:fill="FFFFFF" w:themeFill="background1"/>
            <w:noWrap/>
            <w:hideMark/>
          </w:tcPr>
          <w:p w14:paraId="0CC5F7D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21C08EE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2</w:t>
            </w:r>
          </w:p>
        </w:tc>
      </w:tr>
      <w:tr w:rsidR="00507499" w:rsidRPr="0018386D" w14:paraId="5C59DBCE" w14:textId="77777777" w:rsidTr="00BE7C13">
        <w:trPr>
          <w:divId w:val="253637040"/>
        </w:trPr>
        <w:tc>
          <w:tcPr>
            <w:tcW w:w="3686" w:type="dxa"/>
            <w:shd w:val="clear" w:color="auto" w:fill="FFFFFF" w:themeFill="background1"/>
            <w:noWrap/>
            <w:hideMark/>
          </w:tcPr>
          <w:p w14:paraId="74B3C46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Methyl chloroform</w:t>
            </w:r>
          </w:p>
        </w:tc>
        <w:tc>
          <w:tcPr>
            <w:tcW w:w="2835" w:type="dxa"/>
            <w:shd w:val="clear" w:color="auto" w:fill="FFFFFF" w:themeFill="background1"/>
            <w:noWrap/>
            <w:hideMark/>
          </w:tcPr>
          <w:p w14:paraId="2F826AC0"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CH₃CCl</w:t>
            </w:r>
            <w:proofErr w:type="spellEnd"/>
            <w:r w:rsidRPr="0018386D">
              <w:rPr>
                <w:rFonts w:cs="Calibri"/>
                <w:szCs w:val="18"/>
                <w:lang w:bidi="th-TH"/>
              </w:rPr>
              <w:t>₃</w:t>
            </w:r>
          </w:p>
        </w:tc>
        <w:tc>
          <w:tcPr>
            <w:tcW w:w="709" w:type="dxa"/>
            <w:shd w:val="clear" w:color="auto" w:fill="FFFFFF" w:themeFill="background1"/>
            <w:noWrap/>
            <w:hideMark/>
          </w:tcPr>
          <w:p w14:paraId="39461E9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21074B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160</w:t>
            </w:r>
          </w:p>
        </w:tc>
      </w:tr>
      <w:tr w:rsidR="00507499" w:rsidRPr="0018386D" w14:paraId="6AD62C7C" w14:textId="77777777" w:rsidTr="00BE7C13">
        <w:trPr>
          <w:divId w:val="253637040"/>
        </w:trPr>
        <w:tc>
          <w:tcPr>
            <w:tcW w:w="3686" w:type="dxa"/>
            <w:shd w:val="clear" w:color="auto" w:fill="FFFFFF" w:themeFill="background1"/>
            <w:noWrap/>
            <w:hideMark/>
          </w:tcPr>
          <w:p w14:paraId="7C3CD5A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HCFC-21</w:t>
            </w:r>
          </w:p>
        </w:tc>
        <w:tc>
          <w:tcPr>
            <w:tcW w:w="2835" w:type="dxa"/>
            <w:shd w:val="clear" w:color="auto" w:fill="FFFFFF" w:themeFill="background1"/>
            <w:noWrap/>
            <w:hideMark/>
          </w:tcPr>
          <w:p w14:paraId="44DD8BE9"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CHCl₂F</w:t>
            </w:r>
            <w:proofErr w:type="spellEnd"/>
          </w:p>
        </w:tc>
        <w:tc>
          <w:tcPr>
            <w:tcW w:w="709" w:type="dxa"/>
            <w:shd w:val="clear" w:color="auto" w:fill="FFFFFF" w:themeFill="background1"/>
            <w:noWrap/>
            <w:hideMark/>
          </w:tcPr>
          <w:p w14:paraId="024D497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A08B35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148</w:t>
            </w:r>
          </w:p>
        </w:tc>
      </w:tr>
      <w:tr w:rsidR="00507499" w:rsidRPr="0018386D" w14:paraId="6204C7C2" w14:textId="77777777" w:rsidTr="00BE7C13">
        <w:trPr>
          <w:divId w:val="253637040"/>
        </w:trPr>
        <w:tc>
          <w:tcPr>
            <w:tcW w:w="3686" w:type="dxa"/>
            <w:shd w:val="clear" w:color="auto" w:fill="FFFFFF" w:themeFill="background1"/>
            <w:noWrap/>
            <w:hideMark/>
          </w:tcPr>
          <w:p w14:paraId="70CA41C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HCFC-22 (R-22)</w:t>
            </w:r>
          </w:p>
        </w:tc>
        <w:tc>
          <w:tcPr>
            <w:tcW w:w="2835" w:type="dxa"/>
            <w:shd w:val="clear" w:color="auto" w:fill="FFFFFF" w:themeFill="background1"/>
            <w:noWrap/>
            <w:hideMark/>
          </w:tcPr>
          <w:p w14:paraId="1A4975FD"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CHClF</w:t>
            </w:r>
            <w:proofErr w:type="spellEnd"/>
            <w:r w:rsidRPr="0018386D">
              <w:rPr>
                <w:rFonts w:cs="Calibri"/>
                <w:szCs w:val="18"/>
                <w:lang w:bidi="th-TH"/>
              </w:rPr>
              <w:t>₂</w:t>
            </w:r>
          </w:p>
        </w:tc>
        <w:tc>
          <w:tcPr>
            <w:tcW w:w="709" w:type="dxa"/>
            <w:shd w:val="clear" w:color="auto" w:fill="FFFFFF" w:themeFill="background1"/>
            <w:noWrap/>
            <w:hideMark/>
          </w:tcPr>
          <w:p w14:paraId="0F401B8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296D528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1760</w:t>
            </w:r>
          </w:p>
        </w:tc>
      </w:tr>
      <w:tr w:rsidR="00507499" w:rsidRPr="0018386D" w14:paraId="136DD55B" w14:textId="77777777" w:rsidTr="00BE7C13">
        <w:trPr>
          <w:divId w:val="253637040"/>
        </w:trPr>
        <w:tc>
          <w:tcPr>
            <w:tcW w:w="3686" w:type="dxa"/>
            <w:shd w:val="clear" w:color="auto" w:fill="FFFFFF" w:themeFill="background1"/>
            <w:noWrap/>
            <w:hideMark/>
          </w:tcPr>
          <w:p w14:paraId="4FE22D7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HCFC-123 (R-123)</w:t>
            </w:r>
          </w:p>
        </w:tc>
        <w:tc>
          <w:tcPr>
            <w:tcW w:w="2835" w:type="dxa"/>
            <w:shd w:val="clear" w:color="auto" w:fill="FFFFFF" w:themeFill="background1"/>
            <w:noWrap/>
            <w:hideMark/>
          </w:tcPr>
          <w:p w14:paraId="32F743B7"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CHCl₂CF</w:t>
            </w:r>
            <w:proofErr w:type="spellEnd"/>
            <w:r w:rsidRPr="0018386D">
              <w:rPr>
                <w:rFonts w:cs="Calibri"/>
                <w:szCs w:val="18"/>
                <w:lang w:bidi="th-TH"/>
              </w:rPr>
              <w:t>₃</w:t>
            </w:r>
          </w:p>
        </w:tc>
        <w:tc>
          <w:tcPr>
            <w:tcW w:w="709" w:type="dxa"/>
            <w:shd w:val="clear" w:color="auto" w:fill="FFFFFF" w:themeFill="background1"/>
            <w:noWrap/>
            <w:hideMark/>
          </w:tcPr>
          <w:p w14:paraId="52ED854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D1E6DF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79</w:t>
            </w:r>
          </w:p>
        </w:tc>
      </w:tr>
      <w:tr w:rsidR="00507499" w:rsidRPr="0018386D" w14:paraId="53718BE6" w14:textId="77777777" w:rsidTr="00BE7C13">
        <w:trPr>
          <w:divId w:val="253637040"/>
        </w:trPr>
        <w:tc>
          <w:tcPr>
            <w:tcW w:w="3686" w:type="dxa"/>
            <w:shd w:val="clear" w:color="auto" w:fill="FFFFFF" w:themeFill="background1"/>
            <w:noWrap/>
            <w:hideMark/>
          </w:tcPr>
          <w:p w14:paraId="38A953A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HCFC-124 (R-124)</w:t>
            </w:r>
          </w:p>
        </w:tc>
        <w:tc>
          <w:tcPr>
            <w:tcW w:w="2835" w:type="dxa"/>
            <w:shd w:val="clear" w:color="auto" w:fill="FFFFFF" w:themeFill="background1"/>
            <w:noWrap/>
            <w:hideMark/>
          </w:tcPr>
          <w:p w14:paraId="52FA0D3F"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CHClFCF</w:t>
            </w:r>
            <w:proofErr w:type="spellEnd"/>
            <w:r w:rsidRPr="0018386D">
              <w:rPr>
                <w:rFonts w:cs="Calibri"/>
                <w:szCs w:val="18"/>
                <w:lang w:bidi="th-TH"/>
              </w:rPr>
              <w:t>₃</w:t>
            </w:r>
          </w:p>
        </w:tc>
        <w:tc>
          <w:tcPr>
            <w:tcW w:w="709" w:type="dxa"/>
            <w:shd w:val="clear" w:color="auto" w:fill="FFFFFF" w:themeFill="background1"/>
            <w:noWrap/>
            <w:hideMark/>
          </w:tcPr>
          <w:p w14:paraId="5DDB07D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6C8E12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527</w:t>
            </w:r>
          </w:p>
        </w:tc>
      </w:tr>
      <w:tr w:rsidR="00507499" w:rsidRPr="0018386D" w14:paraId="17B2960C" w14:textId="77777777" w:rsidTr="00BE7C13">
        <w:trPr>
          <w:divId w:val="253637040"/>
        </w:trPr>
        <w:tc>
          <w:tcPr>
            <w:tcW w:w="3686" w:type="dxa"/>
            <w:shd w:val="clear" w:color="auto" w:fill="FFFFFF" w:themeFill="background1"/>
            <w:noWrap/>
            <w:hideMark/>
          </w:tcPr>
          <w:p w14:paraId="528F7AC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HCFC-141b (R-141b)</w:t>
            </w:r>
          </w:p>
        </w:tc>
        <w:tc>
          <w:tcPr>
            <w:tcW w:w="2835" w:type="dxa"/>
            <w:shd w:val="clear" w:color="auto" w:fill="FFFFFF" w:themeFill="background1"/>
            <w:noWrap/>
            <w:hideMark/>
          </w:tcPr>
          <w:p w14:paraId="656669F4"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CH₃CCl₂F</w:t>
            </w:r>
            <w:proofErr w:type="spellEnd"/>
          </w:p>
        </w:tc>
        <w:tc>
          <w:tcPr>
            <w:tcW w:w="709" w:type="dxa"/>
            <w:shd w:val="clear" w:color="auto" w:fill="FFFFFF" w:themeFill="background1"/>
            <w:noWrap/>
            <w:hideMark/>
          </w:tcPr>
          <w:p w14:paraId="24FB95E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2B3683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782</w:t>
            </w:r>
          </w:p>
        </w:tc>
      </w:tr>
      <w:tr w:rsidR="00507499" w:rsidRPr="0018386D" w14:paraId="279E66AB" w14:textId="77777777" w:rsidTr="00BE7C13">
        <w:trPr>
          <w:divId w:val="253637040"/>
        </w:trPr>
        <w:tc>
          <w:tcPr>
            <w:tcW w:w="3686" w:type="dxa"/>
            <w:shd w:val="clear" w:color="auto" w:fill="FFFFFF" w:themeFill="background1"/>
            <w:noWrap/>
            <w:hideMark/>
          </w:tcPr>
          <w:p w14:paraId="1AD085E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HCFC-142b (R-142b)</w:t>
            </w:r>
          </w:p>
        </w:tc>
        <w:tc>
          <w:tcPr>
            <w:tcW w:w="2835" w:type="dxa"/>
            <w:shd w:val="clear" w:color="auto" w:fill="FFFFFF" w:themeFill="background1"/>
            <w:noWrap/>
            <w:hideMark/>
          </w:tcPr>
          <w:p w14:paraId="4CAD22F1"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CH₃CClF</w:t>
            </w:r>
            <w:proofErr w:type="spellEnd"/>
            <w:r w:rsidRPr="0018386D">
              <w:rPr>
                <w:rFonts w:cs="Calibri"/>
                <w:szCs w:val="18"/>
                <w:lang w:bidi="th-TH"/>
              </w:rPr>
              <w:t>₂</w:t>
            </w:r>
          </w:p>
        </w:tc>
        <w:tc>
          <w:tcPr>
            <w:tcW w:w="709" w:type="dxa"/>
            <w:shd w:val="clear" w:color="auto" w:fill="FFFFFF" w:themeFill="background1"/>
            <w:noWrap/>
            <w:hideMark/>
          </w:tcPr>
          <w:p w14:paraId="29224A5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238B072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1980</w:t>
            </w:r>
          </w:p>
        </w:tc>
      </w:tr>
      <w:tr w:rsidR="00507499" w:rsidRPr="0018386D" w14:paraId="1D5D642A" w14:textId="77777777" w:rsidTr="00BE7C13">
        <w:trPr>
          <w:divId w:val="253637040"/>
        </w:trPr>
        <w:tc>
          <w:tcPr>
            <w:tcW w:w="3686" w:type="dxa"/>
            <w:shd w:val="clear" w:color="auto" w:fill="FFFFFF" w:themeFill="background1"/>
            <w:noWrap/>
            <w:hideMark/>
          </w:tcPr>
          <w:p w14:paraId="33FDD78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HCFC-225ca (R-225ca)</w:t>
            </w:r>
          </w:p>
        </w:tc>
        <w:tc>
          <w:tcPr>
            <w:tcW w:w="2835" w:type="dxa"/>
            <w:shd w:val="clear" w:color="auto" w:fill="FFFFFF" w:themeFill="background1"/>
            <w:noWrap/>
            <w:hideMark/>
          </w:tcPr>
          <w:p w14:paraId="2C42FC4A"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CHCl₂CF₂CF</w:t>
            </w:r>
            <w:proofErr w:type="spellEnd"/>
            <w:r w:rsidRPr="0018386D">
              <w:rPr>
                <w:rFonts w:cs="Calibri"/>
                <w:szCs w:val="18"/>
                <w:lang w:bidi="th-TH"/>
              </w:rPr>
              <w:t>₃</w:t>
            </w:r>
          </w:p>
        </w:tc>
        <w:tc>
          <w:tcPr>
            <w:tcW w:w="709" w:type="dxa"/>
            <w:shd w:val="clear" w:color="auto" w:fill="FFFFFF" w:themeFill="background1"/>
            <w:noWrap/>
            <w:hideMark/>
          </w:tcPr>
          <w:p w14:paraId="20D561F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51C650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127</w:t>
            </w:r>
          </w:p>
        </w:tc>
      </w:tr>
      <w:tr w:rsidR="00507499" w:rsidRPr="0018386D" w14:paraId="31B3C772" w14:textId="77777777" w:rsidTr="00BE7C13">
        <w:trPr>
          <w:divId w:val="253637040"/>
        </w:trPr>
        <w:tc>
          <w:tcPr>
            <w:tcW w:w="3686" w:type="dxa"/>
            <w:tcBorders>
              <w:bottom w:val="single" w:sz="4" w:space="0" w:color="1B556B" w:themeColor="text2"/>
            </w:tcBorders>
            <w:shd w:val="clear" w:color="auto" w:fill="FFFFFF" w:themeFill="background1"/>
            <w:noWrap/>
            <w:hideMark/>
          </w:tcPr>
          <w:p w14:paraId="46A1663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HCFC-225cb (R-225cb)</w:t>
            </w:r>
          </w:p>
        </w:tc>
        <w:tc>
          <w:tcPr>
            <w:tcW w:w="2835" w:type="dxa"/>
            <w:tcBorders>
              <w:bottom w:val="single" w:sz="4" w:space="0" w:color="1B556B" w:themeColor="text2"/>
            </w:tcBorders>
            <w:shd w:val="clear" w:color="auto" w:fill="FFFFFF" w:themeFill="background1"/>
            <w:noWrap/>
            <w:hideMark/>
          </w:tcPr>
          <w:p w14:paraId="38DA9775"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CHClFCF₂CClF</w:t>
            </w:r>
            <w:proofErr w:type="spellEnd"/>
            <w:r w:rsidRPr="0018386D">
              <w:rPr>
                <w:rFonts w:cs="Calibri"/>
                <w:szCs w:val="18"/>
                <w:lang w:bidi="th-TH"/>
              </w:rPr>
              <w:t>₂</w:t>
            </w:r>
          </w:p>
        </w:tc>
        <w:tc>
          <w:tcPr>
            <w:tcW w:w="709" w:type="dxa"/>
            <w:tcBorders>
              <w:bottom w:val="single" w:sz="4" w:space="0" w:color="1B556B" w:themeColor="text2"/>
            </w:tcBorders>
            <w:shd w:val="clear" w:color="auto" w:fill="FFFFFF" w:themeFill="background1"/>
            <w:noWrap/>
            <w:hideMark/>
          </w:tcPr>
          <w:p w14:paraId="34F130A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23E5608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525</w:t>
            </w:r>
          </w:p>
        </w:tc>
      </w:tr>
      <w:tr w:rsidR="00507499" w:rsidRPr="0018386D" w14:paraId="1B9E8378" w14:textId="77777777">
        <w:trPr>
          <w:divId w:val="253637040"/>
        </w:trPr>
        <w:tc>
          <w:tcPr>
            <w:tcW w:w="8505" w:type="dxa"/>
            <w:gridSpan w:val="4"/>
            <w:shd w:val="clear" w:color="auto" w:fill="D2DDE1" w:themeFill="background2"/>
            <w:noWrap/>
            <w:hideMark/>
          </w:tcPr>
          <w:p w14:paraId="16281AF2" w14:textId="7C66F2E9" w:rsidR="008E2ED2" w:rsidRPr="0018386D" w:rsidRDefault="002D1F13" w:rsidP="00DD3106">
            <w:pPr>
              <w:pStyle w:val="TableText"/>
              <w:spacing w:before="20" w:after="20"/>
              <w:rPr>
                <w:rFonts w:cs="Calibri"/>
                <w:b/>
                <w:szCs w:val="18"/>
                <w:lang w:bidi="th-TH"/>
              </w:rPr>
            </w:pPr>
            <w:r w:rsidRPr="0018386D">
              <w:rPr>
                <w:rFonts w:cs="Calibri"/>
                <w:b/>
                <w:bCs/>
                <w:szCs w:val="18"/>
                <w:lang w:bidi="th-TH"/>
              </w:rPr>
              <w:t>Hydrofluorocarbons</w:t>
            </w:r>
          </w:p>
        </w:tc>
      </w:tr>
      <w:tr w:rsidR="00507499" w:rsidRPr="0018386D" w14:paraId="5256CBDC" w14:textId="77777777" w:rsidTr="00BE7C13">
        <w:trPr>
          <w:divId w:val="253637040"/>
        </w:trPr>
        <w:tc>
          <w:tcPr>
            <w:tcW w:w="3686" w:type="dxa"/>
            <w:shd w:val="clear" w:color="auto" w:fill="FFFFFF" w:themeFill="background1"/>
            <w:noWrap/>
            <w:hideMark/>
          </w:tcPr>
          <w:p w14:paraId="742CA17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HFC-23 (R-23)</w:t>
            </w:r>
          </w:p>
        </w:tc>
        <w:tc>
          <w:tcPr>
            <w:tcW w:w="2835" w:type="dxa"/>
            <w:shd w:val="clear" w:color="auto" w:fill="FFFFFF" w:themeFill="background1"/>
            <w:noWrap/>
            <w:hideMark/>
          </w:tcPr>
          <w:p w14:paraId="6F3C5D5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CHF₃</w:t>
            </w:r>
          </w:p>
        </w:tc>
        <w:tc>
          <w:tcPr>
            <w:tcW w:w="709" w:type="dxa"/>
            <w:shd w:val="clear" w:color="auto" w:fill="FFFFFF" w:themeFill="background1"/>
            <w:noWrap/>
            <w:hideMark/>
          </w:tcPr>
          <w:p w14:paraId="79D5316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2D5778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12400</w:t>
            </w:r>
          </w:p>
        </w:tc>
      </w:tr>
      <w:tr w:rsidR="00507499" w:rsidRPr="0018386D" w14:paraId="2F180A04" w14:textId="77777777" w:rsidTr="00BE7C13">
        <w:trPr>
          <w:divId w:val="253637040"/>
        </w:trPr>
        <w:tc>
          <w:tcPr>
            <w:tcW w:w="3686" w:type="dxa"/>
            <w:shd w:val="clear" w:color="auto" w:fill="FFFFFF" w:themeFill="background1"/>
            <w:noWrap/>
            <w:hideMark/>
          </w:tcPr>
          <w:p w14:paraId="2576C51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HFC-32 (R-32)</w:t>
            </w:r>
          </w:p>
        </w:tc>
        <w:tc>
          <w:tcPr>
            <w:tcW w:w="2835" w:type="dxa"/>
            <w:shd w:val="clear" w:color="auto" w:fill="FFFFFF" w:themeFill="background1"/>
            <w:noWrap/>
            <w:hideMark/>
          </w:tcPr>
          <w:p w14:paraId="5872B44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CH₂F₂</w:t>
            </w:r>
          </w:p>
        </w:tc>
        <w:tc>
          <w:tcPr>
            <w:tcW w:w="709" w:type="dxa"/>
            <w:shd w:val="clear" w:color="auto" w:fill="FFFFFF" w:themeFill="background1"/>
            <w:noWrap/>
            <w:hideMark/>
          </w:tcPr>
          <w:p w14:paraId="4379F95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95FE66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677</w:t>
            </w:r>
          </w:p>
        </w:tc>
      </w:tr>
      <w:tr w:rsidR="00507499" w:rsidRPr="0018386D" w14:paraId="78A28E56" w14:textId="77777777" w:rsidTr="00BE7C13">
        <w:trPr>
          <w:divId w:val="253637040"/>
        </w:trPr>
        <w:tc>
          <w:tcPr>
            <w:tcW w:w="3686" w:type="dxa"/>
            <w:shd w:val="clear" w:color="auto" w:fill="FFFFFF" w:themeFill="background1"/>
            <w:noWrap/>
            <w:hideMark/>
          </w:tcPr>
          <w:p w14:paraId="1A7B659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HFC-41</w:t>
            </w:r>
          </w:p>
        </w:tc>
        <w:tc>
          <w:tcPr>
            <w:tcW w:w="2835" w:type="dxa"/>
            <w:shd w:val="clear" w:color="auto" w:fill="FFFFFF" w:themeFill="background1"/>
            <w:noWrap/>
            <w:hideMark/>
          </w:tcPr>
          <w:p w14:paraId="0AF5E02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CH₃F</w:t>
            </w:r>
          </w:p>
        </w:tc>
        <w:tc>
          <w:tcPr>
            <w:tcW w:w="709" w:type="dxa"/>
            <w:shd w:val="clear" w:color="auto" w:fill="FFFFFF" w:themeFill="background1"/>
            <w:noWrap/>
            <w:hideMark/>
          </w:tcPr>
          <w:p w14:paraId="15A3E5E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BB84E5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116</w:t>
            </w:r>
          </w:p>
        </w:tc>
      </w:tr>
      <w:tr w:rsidR="00507499" w:rsidRPr="0018386D" w14:paraId="53B17279" w14:textId="77777777" w:rsidTr="00BE7C13">
        <w:trPr>
          <w:divId w:val="253637040"/>
        </w:trPr>
        <w:tc>
          <w:tcPr>
            <w:tcW w:w="3686" w:type="dxa"/>
            <w:shd w:val="clear" w:color="auto" w:fill="FFFFFF" w:themeFill="background1"/>
            <w:noWrap/>
            <w:hideMark/>
          </w:tcPr>
          <w:p w14:paraId="481D7B4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HFC-125 (R-125)</w:t>
            </w:r>
          </w:p>
        </w:tc>
        <w:tc>
          <w:tcPr>
            <w:tcW w:w="2835" w:type="dxa"/>
            <w:shd w:val="clear" w:color="auto" w:fill="FFFFFF" w:themeFill="background1"/>
            <w:noWrap/>
            <w:hideMark/>
          </w:tcPr>
          <w:p w14:paraId="2E0FB18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CHF₂CF₃</w:t>
            </w:r>
          </w:p>
        </w:tc>
        <w:tc>
          <w:tcPr>
            <w:tcW w:w="709" w:type="dxa"/>
            <w:shd w:val="clear" w:color="auto" w:fill="FFFFFF" w:themeFill="background1"/>
            <w:noWrap/>
            <w:hideMark/>
          </w:tcPr>
          <w:p w14:paraId="2B1B6F1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681FC1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3170</w:t>
            </w:r>
          </w:p>
        </w:tc>
      </w:tr>
      <w:tr w:rsidR="00507499" w:rsidRPr="0018386D" w14:paraId="1D70FBEF" w14:textId="77777777" w:rsidTr="00BE7C13">
        <w:trPr>
          <w:divId w:val="253637040"/>
        </w:trPr>
        <w:tc>
          <w:tcPr>
            <w:tcW w:w="3686" w:type="dxa"/>
            <w:shd w:val="clear" w:color="auto" w:fill="FFFFFF" w:themeFill="background1"/>
            <w:noWrap/>
            <w:hideMark/>
          </w:tcPr>
          <w:p w14:paraId="5008D30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HFC-134</w:t>
            </w:r>
          </w:p>
        </w:tc>
        <w:tc>
          <w:tcPr>
            <w:tcW w:w="2835" w:type="dxa"/>
            <w:shd w:val="clear" w:color="auto" w:fill="FFFFFF" w:themeFill="background1"/>
            <w:noWrap/>
            <w:hideMark/>
          </w:tcPr>
          <w:p w14:paraId="7D94458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CHF₂CHF₂</w:t>
            </w:r>
          </w:p>
        </w:tc>
        <w:tc>
          <w:tcPr>
            <w:tcW w:w="709" w:type="dxa"/>
            <w:shd w:val="clear" w:color="auto" w:fill="FFFFFF" w:themeFill="background1"/>
            <w:noWrap/>
            <w:hideMark/>
          </w:tcPr>
          <w:p w14:paraId="3C3C164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8303BB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1120</w:t>
            </w:r>
          </w:p>
        </w:tc>
      </w:tr>
      <w:tr w:rsidR="00507499" w:rsidRPr="0018386D" w14:paraId="7189BE9F" w14:textId="77777777" w:rsidTr="00BE7C13">
        <w:trPr>
          <w:divId w:val="253637040"/>
        </w:trPr>
        <w:tc>
          <w:tcPr>
            <w:tcW w:w="3686" w:type="dxa"/>
            <w:shd w:val="clear" w:color="auto" w:fill="FFFFFF" w:themeFill="background1"/>
            <w:noWrap/>
            <w:hideMark/>
          </w:tcPr>
          <w:p w14:paraId="1C03375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HFC-134a (R-134a)</w:t>
            </w:r>
          </w:p>
        </w:tc>
        <w:tc>
          <w:tcPr>
            <w:tcW w:w="2835" w:type="dxa"/>
            <w:shd w:val="clear" w:color="auto" w:fill="FFFFFF" w:themeFill="background1"/>
            <w:noWrap/>
            <w:hideMark/>
          </w:tcPr>
          <w:p w14:paraId="426DF00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CH₂FCF₃</w:t>
            </w:r>
          </w:p>
        </w:tc>
        <w:tc>
          <w:tcPr>
            <w:tcW w:w="709" w:type="dxa"/>
            <w:shd w:val="clear" w:color="auto" w:fill="FFFFFF" w:themeFill="background1"/>
            <w:noWrap/>
            <w:hideMark/>
          </w:tcPr>
          <w:p w14:paraId="0E9DE89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AF12E4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1300</w:t>
            </w:r>
          </w:p>
        </w:tc>
      </w:tr>
      <w:tr w:rsidR="00507499" w:rsidRPr="0018386D" w14:paraId="1664FB39" w14:textId="77777777" w:rsidTr="00BE7C13">
        <w:trPr>
          <w:divId w:val="253637040"/>
        </w:trPr>
        <w:tc>
          <w:tcPr>
            <w:tcW w:w="3686" w:type="dxa"/>
            <w:shd w:val="clear" w:color="auto" w:fill="FFFFFF" w:themeFill="background1"/>
            <w:noWrap/>
            <w:hideMark/>
          </w:tcPr>
          <w:p w14:paraId="361BA14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HFC-143</w:t>
            </w:r>
          </w:p>
        </w:tc>
        <w:tc>
          <w:tcPr>
            <w:tcW w:w="2835" w:type="dxa"/>
            <w:shd w:val="clear" w:color="auto" w:fill="FFFFFF" w:themeFill="background1"/>
            <w:noWrap/>
            <w:hideMark/>
          </w:tcPr>
          <w:p w14:paraId="5D07E51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CH₂FCHF₂</w:t>
            </w:r>
          </w:p>
        </w:tc>
        <w:tc>
          <w:tcPr>
            <w:tcW w:w="709" w:type="dxa"/>
            <w:shd w:val="clear" w:color="auto" w:fill="FFFFFF" w:themeFill="background1"/>
            <w:noWrap/>
            <w:hideMark/>
          </w:tcPr>
          <w:p w14:paraId="12EC35D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ADB33F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328</w:t>
            </w:r>
          </w:p>
        </w:tc>
      </w:tr>
      <w:tr w:rsidR="00507499" w:rsidRPr="0018386D" w14:paraId="262605D4" w14:textId="77777777" w:rsidTr="00BE7C13">
        <w:trPr>
          <w:divId w:val="253637040"/>
        </w:trPr>
        <w:tc>
          <w:tcPr>
            <w:tcW w:w="3686" w:type="dxa"/>
            <w:shd w:val="clear" w:color="auto" w:fill="FFFFFF" w:themeFill="background1"/>
            <w:noWrap/>
            <w:hideMark/>
          </w:tcPr>
          <w:p w14:paraId="1EFF96F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HFC-143a (R-143a)</w:t>
            </w:r>
          </w:p>
        </w:tc>
        <w:tc>
          <w:tcPr>
            <w:tcW w:w="2835" w:type="dxa"/>
            <w:shd w:val="clear" w:color="auto" w:fill="FFFFFF" w:themeFill="background1"/>
            <w:noWrap/>
            <w:hideMark/>
          </w:tcPr>
          <w:p w14:paraId="4E4FFB5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CH₃CF₃</w:t>
            </w:r>
          </w:p>
        </w:tc>
        <w:tc>
          <w:tcPr>
            <w:tcW w:w="709" w:type="dxa"/>
            <w:shd w:val="clear" w:color="auto" w:fill="FFFFFF" w:themeFill="background1"/>
            <w:noWrap/>
            <w:hideMark/>
          </w:tcPr>
          <w:p w14:paraId="6D692DF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7161B6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4800</w:t>
            </w:r>
          </w:p>
        </w:tc>
      </w:tr>
      <w:tr w:rsidR="00507499" w:rsidRPr="0018386D" w14:paraId="5115E7BE" w14:textId="77777777" w:rsidTr="00BE7C13">
        <w:trPr>
          <w:divId w:val="253637040"/>
        </w:trPr>
        <w:tc>
          <w:tcPr>
            <w:tcW w:w="3686" w:type="dxa"/>
            <w:shd w:val="clear" w:color="auto" w:fill="FFFFFF" w:themeFill="background1"/>
            <w:noWrap/>
            <w:hideMark/>
          </w:tcPr>
          <w:p w14:paraId="5EDEA10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HFC-152</w:t>
            </w:r>
          </w:p>
        </w:tc>
        <w:tc>
          <w:tcPr>
            <w:tcW w:w="2835" w:type="dxa"/>
            <w:shd w:val="clear" w:color="auto" w:fill="FFFFFF" w:themeFill="background1"/>
            <w:noWrap/>
            <w:hideMark/>
          </w:tcPr>
          <w:p w14:paraId="1DD4C03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CH₂FCH₂F</w:t>
            </w:r>
          </w:p>
        </w:tc>
        <w:tc>
          <w:tcPr>
            <w:tcW w:w="709" w:type="dxa"/>
            <w:shd w:val="clear" w:color="auto" w:fill="FFFFFF" w:themeFill="background1"/>
            <w:noWrap/>
            <w:hideMark/>
          </w:tcPr>
          <w:p w14:paraId="05DEF80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5DE6D5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16</w:t>
            </w:r>
          </w:p>
        </w:tc>
      </w:tr>
      <w:tr w:rsidR="00507499" w:rsidRPr="0018386D" w14:paraId="4196F55E" w14:textId="77777777" w:rsidTr="00BE7C13">
        <w:trPr>
          <w:divId w:val="253637040"/>
        </w:trPr>
        <w:tc>
          <w:tcPr>
            <w:tcW w:w="3686" w:type="dxa"/>
            <w:shd w:val="clear" w:color="auto" w:fill="FFFFFF" w:themeFill="background1"/>
            <w:noWrap/>
            <w:hideMark/>
          </w:tcPr>
          <w:p w14:paraId="47D4185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HFC-152a (R-152a)</w:t>
            </w:r>
          </w:p>
        </w:tc>
        <w:tc>
          <w:tcPr>
            <w:tcW w:w="2835" w:type="dxa"/>
            <w:shd w:val="clear" w:color="auto" w:fill="FFFFFF" w:themeFill="background1"/>
            <w:noWrap/>
            <w:hideMark/>
          </w:tcPr>
          <w:p w14:paraId="2EB7C92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CH₃CHF₂</w:t>
            </w:r>
          </w:p>
        </w:tc>
        <w:tc>
          <w:tcPr>
            <w:tcW w:w="709" w:type="dxa"/>
            <w:shd w:val="clear" w:color="auto" w:fill="FFFFFF" w:themeFill="background1"/>
            <w:noWrap/>
            <w:hideMark/>
          </w:tcPr>
          <w:p w14:paraId="5BADCD4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5A9791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138</w:t>
            </w:r>
          </w:p>
        </w:tc>
      </w:tr>
      <w:tr w:rsidR="00507499" w:rsidRPr="0018386D" w14:paraId="43C5CB1D" w14:textId="77777777" w:rsidTr="00BE7C13">
        <w:trPr>
          <w:divId w:val="253637040"/>
        </w:trPr>
        <w:tc>
          <w:tcPr>
            <w:tcW w:w="3686" w:type="dxa"/>
            <w:shd w:val="clear" w:color="auto" w:fill="FFFFFF" w:themeFill="background1"/>
            <w:noWrap/>
            <w:hideMark/>
          </w:tcPr>
          <w:p w14:paraId="276C3DE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HFC-161</w:t>
            </w:r>
          </w:p>
        </w:tc>
        <w:tc>
          <w:tcPr>
            <w:tcW w:w="2835" w:type="dxa"/>
            <w:shd w:val="clear" w:color="auto" w:fill="FFFFFF" w:themeFill="background1"/>
            <w:noWrap/>
            <w:hideMark/>
          </w:tcPr>
          <w:p w14:paraId="7E8F81A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CH₃CH₂F</w:t>
            </w:r>
          </w:p>
        </w:tc>
        <w:tc>
          <w:tcPr>
            <w:tcW w:w="709" w:type="dxa"/>
            <w:shd w:val="clear" w:color="auto" w:fill="FFFFFF" w:themeFill="background1"/>
            <w:noWrap/>
            <w:hideMark/>
          </w:tcPr>
          <w:p w14:paraId="626E19D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4E156A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w:t>
            </w:r>
          </w:p>
        </w:tc>
      </w:tr>
      <w:tr w:rsidR="00507499" w:rsidRPr="0018386D" w14:paraId="3519C86D" w14:textId="77777777" w:rsidTr="00BE7C13">
        <w:trPr>
          <w:divId w:val="253637040"/>
        </w:trPr>
        <w:tc>
          <w:tcPr>
            <w:tcW w:w="3686" w:type="dxa"/>
            <w:shd w:val="clear" w:color="auto" w:fill="FFFFFF" w:themeFill="background1"/>
            <w:noWrap/>
            <w:hideMark/>
          </w:tcPr>
          <w:p w14:paraId="4739D66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HFC-227ea (R-227ea)</w:t>
            </w:r>
          </w:p>
        </w:tc>
        <w:tc>
          <w:tcPr>
            <w:tcW w:w="2835" w:type="dxa"/>
            <w:shd w:val="clear" w:color="auto" w:fill="FFFFFF" w:themeFill="background1"/>
            <w:noWrap/>
            <w:hideMark/>
          </w:tcPr>
          <w:p w14:paraId="10E3220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CF₃CHFCF₃</w:t>
            </w:r>
          </w:p>
        </w:tc>
        <w:tc>
          <w:tcPr>
            <w:tcW w:w="709" w:type="dxa"/>
            <w:shd w:val="clear" w:color="auto" w:fill="FFFFFF" w:themeFill="background1"/>
            <w:noWrap/>
            <w:hideMark/>
          </w:tcPr>
          <w:p w14:paraId="749C727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0E0A4A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3350</w:t>
            </w:r>
          </w:p>
        </w:tc>
      </w:tr>
      <w:tr w:rsidR="00507499" w:rsidRPr="0018386D" w14:paraId="7577F02F" w14:textId="77777777" w:rsidTr="00BE7C13">
        <w:trPr>
          <w:divId w:val="253637040"/>
        </w:trPr>
        <w:tc>
          <w:tcPr>
            <w:tcW w:w="3686" w:type="dxa"/>
            <w:shd w:val="clear" w:color="auto" w:fill="FFFFFF" w:themeFill="background1"/>
            <w:noWrap/>
            <w:hideMark/>
          </w:tcPr>
          <w:p w14:paraId="4609A44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HFC-236cb</w:t>
            </w:r>
          </w:p>
        </w:tc>
        <w:tc>
          <w:tcPr>
            <w:tcW w:w="2835" w:type="dxa"/>
            <w:shd w:val="clear" w:color="auto" w:fill="FFFFFF" w:themeFill="background1"/>
            <w:noWrap/>
            <w:hideMark/>
          </w:tcPr>
          <w:p w14:paraId="7AEFB7B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CH₂FCF₂CF₃</w:t>
            </w:r>
          </w:p>
        </w:tc>
        <w:tc>
          <w:tcPr>
            <w:tcW w:w="709" w:type="dxa"/>
            <w:shd w:val="clear" w:color="auto" w:fill="FFFFFF" w:themeFill="background1"/>
            <w:noWrap/>
            <w:hideMark/>
          </w:tcPr>
          <w:p w14:paraId="5967E0B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124A26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1210</w:t>
            </w:r>
          </w:p>
        </w:tc>
      </w:tr>
      <w:tr w:rsidR="00507499" w:rsidRPr="0018386D" w14:paraId="7B338E7E" w14:textId="77777777" w:rsidTr="00BE7C13">
        <w:trPr>
          <w:divId w:val="253637040"/>
        </w:trPr>
        <w:tc>
          <w:tcPr>
            <w:tcW w:w="3686" w:type="dxa"/>
            <w:shd w:val="clear" w:color="auto" w:fill="FFFFFF" w:themeFill="background1"/>
            <w:noWrap/>
            <w:hideMark/>
          </w:tcPr>
          <w:p w14:paraId="40D64D4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HFC-236ea</w:t>
            </w:r>
          </w:p>
        </w:tc>
        <w:tc>
          <w:tcPr>
            <w:tcW w:w="2835" w:type="dxa"/>
            <w:shd w:val="clear" w:color="auto" w:fill="FFFFFF" w:themeFill="background1"/>
            <w:noWrap/>
            <w:hideMark/>
          </w:tcPr>
          <w:p w14:paraId="785F12D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CHF₂CHFCF₃</w:t>
            </w:r>
          </w:p>
        </w:tc>
        <w:tc>
          <w:tcPr>
            <w:tcW w:w="709" w:type="dxa"/>
            <w:shd w:val="clear" w:color="auto" w:fill="FFFFFF" w:themeFill="background1"/>
            <w:noWrap/>
            <w:hideMark/>
          </w:tcPr>
          <w:p w14:paraId="726222C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9DD55D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1330</w:t>
            </w:r>
          </w:p>
        </w:tc>
      </w:tr>
      <w:tr w:rsidR="00507499" w:rsidRPr="0018386D" w14:paraId="5AF0537B" w14:textId="77777777" w:rsidTr="00BE7C13">
        <w:trPr>
          <w:divId w:val="253637040"/>
        </w:trPr>
        <w:tc>
          <w:tcPr>
            <w:tcW w:w="3686" w:type="dxa"/>
            <w:shd w:val="clear" w:color="auto" w:fill="FFFFFF" w:themeFill="background1"/>
            <w:noWrap/>
            <w:hideMark/>
          </w:tcPr>
          <w:p w14:paraId="3E8FD13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lastRenderedPageBreak/>
              <w:t>HFC-236fa (R-236fa)</w:t>
            </w:r>
          </w:p>
        </w:tc>
        <w:tc>
          <w:tcPr>
            <w:tcW w:w="2835" w:type="dxa"/>
            <w:shd w:val="clear" w:color="auto" w:fill="FFFFFF" w:themeFill="background1"/>
            <w:noWrap/>
            <w:hideMark/>
          </w:tcPr>
          <w:p w14:paraId="2E59FED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CF₃CH₂CF₃</w:t>
            </w:r>
          </w:p>
        </w:tc>
        <w:tc>
          <w:tcPr>
            <w:tcW w:w="709" w:type="dxa"/>
            <w:shd w:val="clear" w:color="auto" w:fill="FFFFFF" w:themeFill="background1"/>
            <w:noWrap/>
            <w:hideMark/>
          </w:tcPr>
          <w:p w14:paraId="4D91C84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CBE488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8060</w:t>
            </w:r>
          </w:p>
        </w:tc>
      </w:tr>
      <w:tr w:rsidR="00507499" w:rsidRPr="0018386D" w14:paraId="542C5544" w14:textId="77777777" w:rsidTr="00BE7C13">
        <w:trPr>
          <w:divId w:val="253637040"/>
        </w:trPr>
        <w:tc>
          <w:tcPr>
            <w:tcW w:w="3686" w:type="dxa"/>
            <w:shd w:val="clear" w:color="auto" w:fill="FFFFFF" w:themeFill="background1"/>
            <w:noWrap/>
            <w:hideMark/>
          </w:tcPr>
          <w:p w14:paraId="49E37F5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HFC-245ca</w:t>
            </w:r>
          </w:p>
        </w:tc>
        <w:tc>
          <w:tcPr>
            <w:tcW w:w="2835" w:type="dxa"/>
            <w:shd w:val="clear" w:color="auto" w:fill="FFFFFF" w:themeFill="background1"/>
            <w:noWrap/>
            <w:hideMark/>
          </w:tcPr>
          <w:p w14:paraId="37992D6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CH₂FCF₂CHF₂</w:t>
            </w:r>
          </w:p>
        </w:tc>
        <w:tc>
          <w:tcPr>
            <w:tcW w:w="709" w:type="dxa"/>
            <w:shd w:val="clear" w:color="auto" w:fill="FFFFFF" w:themeFill="background1"/>
            <w:noWrap/>
            <w:hideMark/>
          </w:tcPr>
          <w:p w14:paraId="0A6FD1D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ED1DD8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716</w:t>
            </w:r>
          </w:p>
        </w:tc>
      </w:tr>
      <w:tr w:rsidR="00507499" w:rsidRPr="0018386D" w14:paraId="74509D66" w14:textId="77777777" w:rsidTr="00BE7C13">
        <w:trPr>
          <w:divId w:val="253637040"/>
        </w:trPr>
        <w:tc>
          <w:tcPr>
            <w:tcW w:w="3686" w:type="dxa"/>
            <w:shd w:val="clear" w:color="auto" w:fill="FFFFFF" w:themeFill="background1"/>
            <w:noWrap/>
            <w:hideMark/>
          </w:tcPr>
          <w:p w14:paraId="4217515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HFC-245fa (R-245fa)</w:t>
            </w:r>
          </w:p>
        </w:tc>
        <w:tc>
          <w:tcPr>
            <w:tcW w:w="2835" w:type="dxa"/>
            <w:shd w:val="clear" w:color="auto" w:fill="FFFFFF" w:themeFill="background1"/>
            <w:noWrap/>
            <w:hideMark/>
          </w:tcPr>
          <w:p w14:paraId="1397C84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CHF₂CH₂CF₃</w:t>
            </w:r>
          </w:p>
        </w:tc>
        <w:tc>
          <w:tcPr>
            <w:tcW w:w="709" w:type="dxa"/>
            <w:shd w:val="clear" w:color="auto" w:fill="FFFFFF" w:themeFill="background1"/>
            <w:noWrap/>
            <w:hideMark/>
          </w:tcPr>
          <w:p w14:paraId="40EC021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9184D0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858</w:t>
            </w:r>
          </w:p>
        </w:tc>
      </w:tr>
      <w:tr w:rsidR="00507499" w:rsidRPr="0018386D" w14:paraId="4FAD758C" w14:textId="77777777" w:rsidTr="00BE7C13">
        <w:trPr>
          <w:divId w:val="253637040"/>
        </w:trPr>
        <w:tc>
          <w:tcPr>
            <w:tcW w:w="3686" w:type="dxa"/>
            <w:shd w:val="clear" w:color="auto" w:fill="FFFFFF" w:themeFill="background1"/>
            <w:noWrap/>
            <w:hideMark/>
          </w:tcPr>
          <w:p w14:paraId="1C65DE1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HFC-365mfc (R-365mfc)</w:t>
            </w:r>
          </w:p>
        </w:tc>
        <w:tc>
          <w:tcPr>
            <w:tcW w:w="2835" w:type="dxa"/>
            <w:shd w:val="clear" w:color="auto" w:fill="FFFFFF" w:themeFill="background1"/>
            <w:noWrap/>
            <w:hideMark/>
          </w:tcPr>
          <w:p w14:paraId="0B06F00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CH₃CF₂CH₂CF₃</w:t>
            </w:r>
          </w:p>
        </w:tc>
        <w:tc>
          <w:tcPr>
            <w:tcW w:w="709" w:type="dxa"/>
            <w:shd w:val="clear" w:color="auto" w:fill="FFFFFF" w:themeFill="background1"/>
            <w:noWrap/>
            <w:hideMark/>
          </w:tcPr>
          <w:p w14:paraId="243403A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A7E05B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804</w:t>
            </w:r>
          </w:p>
        </w:tc>
      </w:tr>
      <w:tr w:rsidR="00507499" w:rsidRPr="0018386D" w14:paraId="417F280B" w14:textId="77777777" w:rsidTr="00BE7C13">
        <w:trPr>
          <w:divId w:val="253637040"/>
        </w:trPr>
        <w:tc>
          <w:tcPr>
            <w:tcW w:w="3686" w:type="dxa"/>
            <w:tcBorders>
              <w:bottom w:val="single" w:sz="4" w:space="0" w:color="1B556B" w:themeColor="text2"/>
            </w:tcBorders>
            <w:shd w:val="clear" w:color="auto" w:fill="FFFFFF" w:themeFill="background1"/>
            <w:noWrap/>
            <w:hideMark/>
          </w:tcPr>
          <w:p w14:paraId="20A9783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HFC-43-10mee</w:t>
            </w:r>
          </w:p>
        </w:tc>
        <w:tc>
          <w:tcPr>
            <w:tcW w:w="2835" w:type="dxa"/>
            <w:tcBorders>
              <w:bottom w:val="single" w:sz="4" w:space="0" w:color="1B556B" w:themeColor="text2"/>
            </w:tcBorders>
            <w:shd w:val="clear" w:color="auto" w:fill="FFFFFF" w:themeFill="background1"/>
            <w:noWrap/>
            <w:hideMark/>
          </w:tcPr>
          <w:p w14:paraId="2074A4C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CF₃CHFCHFCF₂CF₃</w:t>
            </w:r>
          </w:p>
        </w:tc>
        <w:tc>
          <w:tcPr>
            <w:tcW w:w="709" w:type="dxa"/>
            <w:tcBorders>
              <w:bottom w:val="single" w:sz="4" w:space="0" w:color="1B556B" w:themeColor="text2"/>
            </w:tcBorders>
            <w:shd w:val="clear" w:color="auto" w:fill="FFFFFF" w:themeFill="background1"/>
            <w:noWrap/>
            <w:hideMark/>
          </w:tcPr>
          <w:p w14:paraId="35E229E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406D706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1650</w:t>
            </w:r>
          </w:p>
        </w:tc>
      </w:tr>
      <w:tr w:rsidR="00507499" w:rsidRPr="0018386D" w14:paraId="278D587F" w14:textId="77777777">
        <w:trPr>
          <w:divId w:val="253637040"/>
        </w:trPr>
        <w:tc>
          <w:tcPr>
            <w:tcW w:w="8505" w:type="dxa"/>
            <w:gridSpan w:val="4"/>
            <w:shd w:val="clear" w:color="auto" w:fill="D2DDE1" w:themeFill="background2"/>
            <w:noWrap/>
            <w:hideMark/>
          </w:tcPr>
          <w:p w14:paraId="12216E33" w14:textId="204314AB" w:rsidR="008E2ED2" w:rsidRPr="0018386D" w:rsidRDefault="002D1F13" w:rsidP="00DD3106">
            <w:pPr>
              <w:pStyle w:val="TableText"/>
              <w:spacing w:before="20" w:after="20"/>
              <w:rPr>
                <w:rFonts w:cs="Calibri"/>
                <w:b/>
                <w:bCs/>
                <w:szCs w:val="18"/>
                <w:lang w:bidi="th-TH"/>
              </w:rPr>
            </w:pPr>
            <w:r w:rsidRPr="0018386D">
              <w:rPr>
                <w:rFonts w:cs="Calibri"/>
                <w:b/>
                <w:bCs/>
                <w:szCs w:val="18"/>
                <w:lang w:bidi="th-TH"/>
              </w:rPr>
              <w:t>Perfluorinated compounds</w:t>
            </w:r>
          </w:p>
        </w:tc>
      </w:tr>
      <w:tr w:rsidR="00507499" w:rsidRPr="0018386D" w14:paraId="4B192A81" w14:textId="77777777" w:rsidTr="00BE7C13">
        <w:trPr>
          <w:divId w:val="253637040"/>
        </w:trPr>
        <w:tc>
          <w:tcPr>
            <w:tcW w:w="3686" w:type="dxa"/>
            <w:shd w:val="clear" w:color="auto" w:fill="FFFFFF" w:themeFill="background1"/>
            <w:noWrap/>
            <w:hideMark/>
          </w:tcPr>
          <w:p w14:paraId="3934177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Sulphur hexafluoride</w:t>
            </w:r>
          </w:p>
        </w:tc>
        <w:tc>
          <w:tcPr>
            <w:tcW w:w="2835" w:type="dxa"/>
            <w:shd w:val="clear" w:color="auto" w:fill="FFFFFF" w:themeFill="background1"/>
            <w:noWrap/>
            <w:hideMark/>
          </w:tcPr>
          <w:p w14:paraId="1E7508C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SF₆</w:t>
            </w:r>
          </w:p>
        </w:tc>
        <w:tc>
          <w:tcPr>
            <w:tcW w:w="709" w:type="dxa"/>
            <w:shd w:val="clear" w:color="auto" w:fill="FFFFFF" w:themeFill="background1"/>
            <w:noWrap/>
            <w:hideMark/>
          </w:tcPr>
          <w:p w14:paraId="0ADF486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2E9B6D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23500</w:t>
            </w:r>
          </w:p>
        </w:tc>
      </w:tr>
      <w:tr w:rsidR="00507499" w:rsidRPr="0018386D" w14:paraId="21FAC3BF" w14:textId="77777777" w:rsidTr="00BE7C13">
        <w:trPr>
          <w:divId w:val="253637040"/>
        </w:trPr>
        <w:tc>
          <w:tcPr>
            <w:tcW w:w="3686" w:type="dxa"/>
            <w:shd w:val="clear" w:color="auto" w:fill="FFFFFF" w:themeFill="background1"/>
            <w:noWrap/>
            <w:hideMark/>
          </w:tcPr>
          <w:p w14:paraId="1FB646E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Nitrogen trifluoride</w:t>
            </w:r>
          </w:p>
        </w:tc>
        <w:tc>
          <w:tcPr>
            <w:tcW w:w="2835" w:type="dxa"/>
            <w:shd w:val="clear" w:color="auto" w:fill="FFFFFF" w:themeFill="background1"/>
            <w:noWrap/>
            <w:hideMark/>
          </w:tcPr>
          <w:p w14:paraId="2ECB2AF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NF₃</w:t>
            </w:r>
          </w:p>
        </w:tc>
        <w:tc>
          <w:tcPr>
            <w:tcW w:w="709" w:type="dxa"/>
            <w:shd w:val="clear" w:color="auto" w:fill="FFFFFF" w:themeFill="background1"/>
            <w:noWrap/>
            <w:hideMark/>
          </w:tcPr>
          <w:p w14:paraId="433D1DA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AA75F2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16100</w:t>
            </w:r>
          </w:p>
        </w:tc>
      </w:tr>
      <w:tr w:rsidR="00507499" w:rsidRPr="0018386D" w14:paraId="49DC1683" w14:textId="77777777" w:rsidTr="00BE7C13">
        <w:trPr>
          <w:divId w:val="253637040"/>
        </w:trPr>
        <w:tc>
          <w:tcPr>
            <w:tcW w:w="3686" w:type="dxa"/>
            <w:shd w:val="clear" w:color="auto" w:fill="FFFFFF" w:themeFill="background1"/>
            <w:noWrap/>
            <w:hideMark/>
          </w:tcPr>
          <w:p w14:paraId="039E17E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PFC-14</w:t>
            </w:r>
          </w:p>
        </w:tc>
        <w:tc>
          <w:tcPr>
            <w:tcW w:w="2835" w:type="dxa"/>
            <w:shd w:val="clear" w:color="auto" w:fill="FFFFFF" w:themeFill="background1"/>
            <w:noWrap/>
            <w:hideMark/>
          </w:tcPr>
          <w:p w14:paraId="630784D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CF₄</w:t>
            </w:r>
          </w:p>
        </w:tc>
        <w:tc>
          <w:tcPr>
            <w:tcW w:w="709" w:type="dxa"/>
            <w:shd w:val="clear" w:color="auto" w:fill="FFFFFF" w:themeFill="background1"/>
            <w:noWrap/>
            <w:hideMark/>
          </w:tcPr>
          <w:p w14:paraId="327FB4A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84212E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6630</w:t>
            </w:r>
          </w:p>
        </w:tc>
      </w:tr>
      <w:tr w:rsidR="00507499" w:rsidRPr="0018386D" w14:paraId="5CD51646" w14:textId="77777777" w:rsidTr="00BE7C13">
        <w:trPr>
          <w:divId w:val="253637040"/>
        </w:trPr>
        <w:tc>
          <w:tcPr>
            <w:tcW w:w="3686" w:type="dxa"/>
            <w:shd w:val="clear" w:color="auto" w:fill="FFFFFF" w:themeFill="background1"/>
            <w:noWrap/>
            <w:hideMark/>
          </w:tcPr>
          <w:p w14:paraId="3A638FE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PFC-116</w:t>
            </w:r>
          </w:p>
        </w:tc>
        <w:tc>
          <w:tcPr>
            <w:tcW w:w="2835" w:type="dxa"/>
            <w:shd w:val="clear" w:color="auto" w:fill="FFFFFF" w:themeFill="background1"/>
            <w:noWrap/>
            <w:hideMark/>
          </w:tcPr>
          <w:p w14:paraId="1894B38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C₂F₆</w:t>
            </w:r>
          </w:p>
        </w:tc>
        <w:tc>
          <w:tcPr>
            <w:tcW w:w="709" w:type="dxa"/>
            <w:shd w:val="clear" w:color="auto" w:fill="FFFFFF" w:themeFill="background1"/>
            <w:noWrap/>
            <w:hideMark/>
          </w:tcPr>
          <w:p w14:paraId="1BB7889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AFF3D0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11100</w:t>
            </w:r>
          </w:p>
        </w:tc>
      </w:tr>
      <w:tr w:rsidR="00507499" w:rsidRPr="0018386D" w14:paraId="3ED84A8C" w14:textId="77777777" w:rsidTr="00BE7C13">
        <w:trPr>
          <w:divId w:val="253637040"/>
        </w:trPr>
        <w:tc>
          <w:tcPr>
            <w:tcW w:w="3686" w:type="dxa"/>
            <w:shd w:val="clear" w:color="auto" w:fill="FFFFFF" w:themeFill="background1"/>
            <w:noWrap/>
            <w:hideMark/>
          </w:tcPr>
          <w:p w14:paraId="42EE2A1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PFC-218</w:t>
            </w:r>
          </w:p>
        </w:tc>
        <w:tc>
          <w:tcPr>
            <w:tcW w:w="2835" w:type="dxa"/>
            <w:shd w:val="clear" w:color="auto" w:fill="FFFFFF" w:themeFill="background1"/>
            <w:noWrap/>
            <w:hideMark/>
          </w:tcPr>
          <w:p w14:paraId="45D2A70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C₃F₈</w:t>
            </w:r>
          </w:p>
        </w:tc>
        <w:tc>
          <w:tcPr>
            <w:tcW w:w="709" w:type="dxa"/>
            <w:shd w:val="clear" w:color="auto" w:fill="FFFFFF" w:themeFill="background1"/>
            <w:noWrap/>
            <w:hideMark/>
          </w:tcPr>
          <w:p w14:paraId="3D5E811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D8C6A5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8900</w:t>
            </w:r>
          </w:p>
        </w:tc>
      </w:tr>
      <w:tr w:rsidR="00507499" w:rsidRPr="0018386D" w14:paraId="03707452" w14:textId="77777777" w:rsidTr="00BE7C13">
        <w:trPr>
          <w:divId w:val="253637040"/>
        </w:trPr>
        <w:tc>
          <w:tcPr>
            <w:tcW w:w="3686" w:type="dxa"/>
            <w:shd w:val="clear" w:color="auto" w:fill="FFFFFF" w:themeFill="background1"/>
            <w:noWrap/>
            <w:hideMark/>
          </w:tcPr>
          <w:p w14:paraId="7746D06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PFC-318</w:t>
            </w:r>
          </w:p>
        </w:tc>
        <w:tc>
          <w:tcPr>
            <w:tcW w:w="2835" w:type="dxa"/>
            <w:shd w:val="clear" w:color="auto" w:fill="FFFFFF" w:themeFill="background1"/>
            <w:noWrap/>
            <w:hideMark/>
          </w:tcPr>
          <w:p w14:paraId="72B62C4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c-C₄F₈</w:t>
            </w:r>
          </w:p>
        </w:tc>
        <w:tc>
          <w:tcPr>
            <w:tcW w:w="709" w:type="dxa"/>
            <w:shd w:val="clear" w:color="auto" w:fill="FFFFFF" w:themeFill="background1"/>
            <w:noWrap/>
            <w:hideMark/>
          </w:tcPr>
          <w:p w14:paraId="51CD7B6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3050A7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9540</w:t>
            </w:r>
          </w:p>
        </w:tc>
      </w:tr>
      <w:tr w:rsidR="00507499" w:rsidRPr="0018386D" w14:paraId="362F6610" w14:textId="77777777" w:rsidTr="00BE7C13">
        <w:trPr>
          <w:divId w:val="253637040"/>
        </w:trPr>
        <w:tc>
          <w:tcPr>
            <w:tcW w:w="3686" w:type="dxa"/>
            <w:shd w:val="clear" w:color="auto" w:fill="FFFFFF" w:themeFill="background1"/>
            <w:noWrap/>
            <w:hideMark/>
          </w:tcPr>
          <w:p w14:paraId="7C33C9B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PFC-31-10</w:t>
            </w:r>
          </w:p>
        </w:tc>
        <w:tc>
          <w:tcPr>
            <w:tcW w:w="2835" w:type="dxa"/>
            <w:shd w:val="clear" w:color="auto" w:fill="FFFFFF" w:themeFill="background1"/>
            <w:noWrap/>
            <w:hideMark/>
          </w:tcPr>
          <w:p w14:paraId="69CF642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C₄F₁₀</w:t>
            </w:r>
          </w:p>
        </w:tc>
        <w:tc>
          <w:tcPr>
            <w:tcW w:w="709" w:type="dxa"/>
            <w:shd w:val="clear" w:color="auto" w:fill="FFFFFF" w:themeFill="background1"/>
            <w:noWrap/>
            <w:hideMark/>
          </w:tcPr>
          <w:p w14:paraId="5441F5D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180685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9200</w:t>
            </w:r>
          </w:p>
        </w:tc>
      </w:tr>
      <w:tr w:rsidR="00507499" w:rsidRPr="0018386D" w14:paraId="60226A2F" w14:textId="77777777" w:rsidTr="00BE7C13">
        <w:trPr>
          <w:divId w:val="253637040"/>
        </w:trPr>
        <w:tc>
          <w:tcPr>
            <w:tcW w:w="3686" w:type="dxa"/>
            <w:shd w:val="clear" w:color="auto" w:fill="FFFFFF" w:themeFill="background1"/>
            <w:noWrap/>
            <w:hideMark/>
          </w:tcPr>
          <w:p w14:paraId="1B602C8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PFC-41-12</w:t>
            </w:r>
          </w:p>
        </w:tc>
        <w:tc>
          <w:tcPr>
            <w:tcW w:w="2835" w:type="dxa"/>
            <w:shd w:val="clear" w:color="auto" w:fill="FFFFFF" w:themeFill="background1"/>
            <w:noWrap/>
            <w:hideMark/>
          </w:tcPr>
          <w:p w14:paraId="53989E64" w14:textId="34525CB3" w:rsidR="00A94C3E" w:rsidRPr="0018386D" w:rsidRDefault="00A94C3E" w:rsidP="00DD3106">
            <w:pPr>
              <w:pStyle w:val="TableText"/>
              <w:spacing w:before="20" w:after="20"/>
              <w:rPr>
                <w:rFonts w:cs="Calibri"/>
                <w:szCs w:val="18"/>
                <w:lang w:bidi="th-TH"/>
              </w:rPr>
            </w:pPr>
            <w:r w:rsidRPr="0018386D">
              <w:rPr>
                <w:rFonts w:cs="Calibri"/>
                <w:szCs w:val="18"/>
                <w:lang w:bidi="th-TH"/>
              </w:rPr>
              <w:t>C₅F₁₂</w:t>
            </w:r>
          </w:p>
        </w:tc>
        <w:tc>
          <w:tcPr>
            <w:tcW w:w="709" w:type="dxa"/>
            <w:shd w:val="clear" w:color="auto" w:fill="FFFFFF" w:themeFill="background1"/>
            <w:noWrap/>
            <w:hideMark/>
          </w:tcPr>
          <w:p w14:paraId="2101456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8CF9F6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8550</w:t>
            </w:r>
          </w:p>
        </w:tc>
      </w:tr>
      <w:tr w:rsidR="00507499" w:rsidRPr="0018386D" w14:paraId="4A0CE1DD" w14:textId="77777777" w:rsidTr="00BE7C13">
        <w:trPr>
          <w:divId w:val="253637040"/>
        </w:trPr>
        <w:tc>
          <w:tcPr>
            <w:tcW w:w="3686" w:type="dxa"/>
            <w:shd w:val="clear" w:color="auto" w:fill="FFFFFF" w:themeFill="background1"/>
            <w:noWrap/>
            <w:hideMark/>
          </w:tcPr>
          <w:p w14:paraId="61422E8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PFC-51-14</w:t>
            </w:r>
          </w:p>
        </w:tc>
        <w:tc>
          <w:tcPr>
            <w:tcW w:w="2835" w:type="dxa"/>
            <w:shd w:val="clear" w:color="auto" w:fill="FFFFFF" w:themeFill="background1"/>
            <w:noWrap/>
            <w:hideMark/>
          </w:tcPr>
          <w:p w14:paraId="42FF1974" w14:textId="353A2EB0" w:rsidR="00A94C3E" w:rsidRPr="0018386D" w:rsidRDefault="00A94C3E" w:rsidP="00DD3106">
            <w:pPr>
              <w:pStyle w:val="TableText"/>
              <w:spacing w:before="20" w:after="20"/>
              <w:rPr>
                <w:rFonts w:cs="Calibri"/>
                <w:szCs w:val="18"/>
                <w:lang w:bidi="th-TH"/>
              </w:rPr>
            </w:pPr>
            <w:r w:rsidRPr="0018386D">
              <w:rPr>
                <w:rFonts w:cs="Calibri"/>
                <w:szCs w:val="18"/>
                <w:lang w:bidi="th-TH"/>
              </w:rPr>
              <w:t>C₆F₁₄</w:t>
            </w:r>
          </w:p>
        </w:tc>
        <w:tc>
          <w:tcPr>
            <w:tcW w:w="709" w:type="dxa"/>
            <w:shd w:val="clear" w:color="auto" w:fill="FFFFFF" w:themeFill="background1"/>
            <w:noWrap/>
            <w:hideMark/>
          </w:tcPr>
          <w:p w14:paraId="4F80440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6BE353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7910</w:t>
            </w:r>
          </w:p>
        </w:tc>
      </w:tr>
      <w:tr w:rsidR="00507499" w:rsidRPr="0018386D" w14:paraId="20A9B88F" w14:textId="77777777" w:rsidTr="00BE7C13">
        <w:trPr>
          <w:divId w:val="253637040"/>
        </w:trPr>
        <w:tc>
          <w:tcPr>
            <w:tcW w:w="3686" w:type="dxa"/>
            <w:shd w:val="clear" w:color="auto" w:fill="FFFFFF" w:themeFill="background1"/>
            <w:noWrap/>
            <w:hideMark/>
          </w:tcPr>
          <w:p w14:paraId="5BF65E5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PFC-91-18</w:t>
            </w:r>
          </w:p>
        </w:tc>
        <w:tc>
          <w:tcPr>
            <w:tcW w:w="2835" w:type="dxa"/>
            <w:shd w:val="clear" w:color="auto" w:fill="FFFFFF" w:themeFill="background1"/>
            <w:noWrap/>
            <w:hideMark/>
          </w:tcPr>
          <w:p w14:paraId="158D39A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C₁₀F₁₈</w:t>
            </w:r>
          </w:p>
        </w:tc>
        <w:tc>
          <w:tcPr>
            <w:tcW w:w="709" w:type="dxa"/>
            <w:shd w:val="clear" w:color="auto" w:fill="FFFFFF" w:themeFill="background1"/>
            <w:noWrap/>
            <w:hideMark/>
          </w:tcPr>
          <w:p w14:paraId="65EA32B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4A81E9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7190</w:t>
            </w:r>
          </w:p>
        </w:tc>
      </w:tr>
      <w:tr w:rsidR="00507499" w:rsidRPr="0018386D" w14:paraId="04EDB70C" w14:textId="77777777" w:rsidTr="00BE7C13">
        <w:trPr>
          <w:divId w:val="253637040"/>
        </w:trPr>
        <w:tc>
          <w:tcPr>
            <w:tcW w:w="3686" w:type="dxa"/>
            <w:shd w:val="clear" w:color="auto" w:fill="FFFFFF" w:themeFill="background1"/>
            <w:noWrap/>
            <w:hideMark/>
          </w:tcPr>
          <w:p w14:paraId="57FC00C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Trifluoromethyl sulphur pentafluoride</w:t>
            </w:r>
          </w:p>
        </w:tc>
        <w:tc>
          <w:tcPr>
            <w:tcW w:w="2835" w:type="dxa"/>
            <w:shd w:val="clear" w:color="auto" w:fill="FFFFFF" w:themeFill="background1"/>
            <w:noWrap/>
            <w:hideMark/>
          </w:tcPr>
          <w:p w14:paraId="79B63B7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SF₅CF₃</w:t>
            </w:r>
          </w:p>
        </w:tc>
        <w:tc>
          <w:tcPr>
            <w:tcW w:w="709" w:type="dxa"/>
            <w:shd w:val="clear" w:color="auto" w:fill="FFFFFF" w:themeFill="background1"/>
            <w:noWrap/>
            <w:hideMark/>
          </w:tcPr>
          <w:p w14:paraId="5F13288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D06B22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17400</w:t>
            </w:r>
          </w:p>
        </w:tc>
      </w:tr>
      <w:tr w:rsidR="00507499" w:rsidRPr="0018386D" w14:paraId="2BABA21C" w14:textId="77777777" w:rsidTr="00BE7C13">
        <w:trPr>
          <w:divId w:val="253637040"/>
        </w:trPr>
        <w:tc>
          <w:tcPr>
            <w:tcW w:w="3686" w:type="dxa"/>
            <w:tcBorders>
              <w:bottom w:val="single" w:sz="4" w:space="0" w:color="1B556B" w:themeColor="text2"/>
            </w:tcBorders>
            <w:shd w:val="clear" w:color="auto" w:fill="FFFFFF" w:themeFill="background1"/>
            <w:noWrap/>
            <w:hideMark/>
          </w:tcPr>
          <w:p w14:paraId="04CBB0E4"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Perfluorocyclopropane</w:t>
            </w:r>
            <w:proofErr w:type="spellEnd"/>
          </w:p>
        </w:tc>
        <w:tc>
          <w:tcPr>
            <w:tcW w:w="2835" w:type="dxa"/>
            <w:tcBorders>
              <w:bottom w:val="single" w:sz="4" w:space="0" w:color="1B556B" w:themeColor="text2"/>
            </w:tcBorders>
            <w:shd w:val="clear" w:color="auto" w:fill="FFFFFF" w:themeFill="background1"/>
            <w:noWrap/>
            <w:hideMark/>
          </w:tcPr>
          <w:p w14:paraId="154DCDE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c-C₃F₆</w:t>
            </w:r>
          </w:p>
        </w:tc>
        <w:tc>
          <w:tcPr>
            <w:tcW w:w="709" w:type="dxa"/>
            <w:tcBorders>
              <w:bottom w:val="single" w:sz="4" w:space="0" w:color="1B556B" w:themeColor="text2"/>
            </w:tcBorders>
            <w:shd w:val="clear" w:color="auto" w:fill="FFFFFF" w:themeFill="background1"/>
            <w:noWrap/>
            <w:hideMark/>
          </w:tcPr>
          <w:p w14:paraId="64E1F8A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4C0D0CA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9200</w:t>
            </w:r>
          </w:p>
        </w:tc>
      </w:tr>
      <w:tr w:rsidR="00507499" w:rsidRPr="0018386D" w14:paraId="7B6B1FE1" w14:textId="77777777">
        <w:trPr>
          <w:divId w:val="253637040"/>
        </w:trPr>
        <w:tc>
          <w:tcPr>
            <w:tcW w:w="8505" w:type="dxa"/>
            <w:gridSpan w:val="4"/>
            <w:shd w:val="clear" w:color="auto" w:fill="D2DDE1" w:themeFill="background2"/>
            <w:noWrap/>
            <w:hideMark/>
          </w:tcPr>
          <w:p w14:paraId="2B47C55C" w14:textId="054252A3" w:rsidR="008E2ED2" w:rsidRPr="0018386D" w:rsidRDefault="0085183D" w:rsidP="00DD3106">
            <w:pPr>
              <w:pStyle w:val="TableText"/>
              <w:spacing w:before="20" w:after="20"/>
              <w:rPr>
                <w:rFonts w:cs="Calibri"/>
                <w:b/>
                <w:bCs/>
                <w:szCs w:val="18"/>
                <w:lang w:bidi="th-TH"/>
              </w:rPr>
            </w:pPr>
            <w:r w:rsidRPr="0018386D">
              <w:rPr>
                <w:rFonts w:cs="Calibri"/>
                <w:b/>
                <w:bCs/>
                <w:szCs w:val="18"/>
                <w:lang w:bidi="th-TH"/>
              </w:rPr>
              <w:t>Fluorinated ethers</w:t>
            </w:r>
          </w:p>
        </w:tc>
      </w:tr>
      <w:tr w:rsidR="00507499" w:rsidRPr="0018386D" w14:paraId="1ACAC6B9" w14:textId="77777777" w:rsidTr="00BE7C13">
        <w:trPr>
          <w:divId w:val="253637040"/>
        </w:trPr>
        <w:tc>
          <w:tcPr>
            <w:tcW w:w="3686" w:type="dxa"/>
            <w:shd w:val="clear" w:color="auto" w:fill="FFFFFF" w:themeFill="background1"/>
            <w:noWrap/>
            <w:hideMark/>
          </w:tcPr>
          <w:p w14:paraId="2AEF4B0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HFE-125</w:t>
            </w:r>
          </w:p>
        </w:tc>
        <w:tc>
          <w:tcPr>
            <w:tcW w:w="2835" w:type="dxa"/>
            <w:shd w:val="clear" w:color="auto" w:fill="FFFFFF" w:themeFill="background1"/>
            <w:noWrap/>
            <w:hideMark/>
          </w:tcPr>
          <w:p w14:paraId="391E667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CHF₂OCF₃</w:t>
            </w:r>
          </w:p>
        </w:tc>
        <w:tc>
          <w:tcPr>
            <w:tcW w:w="709" w:type="dxa"/>
            <w:shd w:val="clear" w:color="auto" w:fill="FFFFFF" w:themeFill="background1"/>
            <w:noWrap/>
            <w:hideMark/>
          </w:tcPr>
          <w:p w14:paraId="5E4EE1E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33CB3C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12400</w:t>
            </w:r>
          </w:p>
        </w:tc>
      </w:tr>
      <w:tr w:rsidR="00507499" w:rsidRPr="0018386D" w14:paraId="4F21ED56" w14:textId="77777777" w:rsidTr="00BE7C13">
        <w:trPr>
          <w:divId w:val="253637040"/>
        </w:trPr>
        <w:tc>
          <w:tcPr>
            <w:tcW w:w="3686" w:type="dxa"/>
            <w:shd w:val="clear" w:color="auto" w:fill="FFFFFF" w:themeFill="background1"/>
            <w:noWrap/>
            <w:hideMark/>
          </w:tcPr>
          <w:p w14:paraId="4CB4E17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HFE-134</w:t>
            </w:r>
          </w:p>
        </w:tc>
        <w:tc>
          <w:tcPr>
            <w:tcW w:w="2835" w:type="dxa"/>
            <w:shd w:val="clear" w:color="auto" w:fill="FFFFFF" w:themeFill="background1"/>
            <w:noWrap/>
            <w:hideMark/>
          </w:tcPr>
          <w:p w14:paraId="523B139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CHF₂OCHF₂</w:t>
            </w:r>
          </w:p>
        </w:tc>
        <w:tc>
          <w:tcPr>
            <w:tcW w:w="709" w:type="dxa"/>
            <w:shd w:val="clear" w:color="auto" w:fill="FFFFFF" w:themeFill="background1"/>
            <w:noWrap/>
            <w:hideMark/>
          </w:tcPr>
          <w:p w14:paraId="3F6C1F0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1EF948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5560</w:t>
            </w:r>
          </w:p>
        </w:tc>
      </w:tr>
      <w:tr w:rsidR="00507499" w:rsidRPr="0018386D" w14:paraId="6FBA803A" w14:textId="77777777" w:rsidTr="00BE7C13">
        <w:trPr>
          <w:divId w:val="253637040"/>
        </w:trPr>
        <w:tc>
          <w:tcPr>
            <w:tcW w:w="3686" w:type="dxa"/>
            <w:shd w:val="clear" w:color="auto" w:fill="FFFFFF" w:themeFill="background1"/>
            <w:noWrap/>
            <w:hideMark/>
          </w:tcPr>
          <w:p w14:paraId="7A31B78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HFE-143a</w:t>
            </w:r>
          </w:p>
        </w:tc>
        <w:tc>
          <w:tcPr>
            <w:tcW w:w="2835" w:type="dxa"/>
            <w:shd w:val="clear" w:color="auto" w:fill="FFFFFF" w:themeFill="background1"/>
            <w:noWrap/>
            <w:hideMark/>
          </w:tcPr>
          <w:p w14:paraId="605A801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CH₃OCF₃</w:t>
            </w:r>
          </w:p>
        </w:tc>
        <w:tc>
          <w:tcPr>
            <w:tcW w:w="709" w:type="dxa"/>
            <w:shd w:val="clear" w:color="auto" w:fill="FFFFFF" w:themeFill="background1"/>
            <w:noWrap/>
            <w:hideMark/>
          </w:tcPr>
          <w:p w14:paraId="0AF01E1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8BE186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523</w:t>
            </w:r>
          </w:p>
        </w:tc>
      </w:tr>
      <w:tr w:rsidR="00507499" w:rsidRPr="0018386D" w14:paraId="55874927" w14:textId="77777777" w:rsidTr="00BE7C13">
        <w:trPr>
          <w:divId w:val="253637040"/>
        </w:trPr>
        <w:tc>
          <w:tcPr>
            <w:tcW w:w="3686" w:type="dxa"/>
            <w:shd w:val="clear" w:color="auto" w:fill="FFFFFF" w:themeFill="background1"/>
            <w:noWrap/>
            <w:hideMark/>
          </w:tcPr>
          <w:p w14:paraId="1C3A570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HFE-227ea</w:t>
            </w:r>
          </w:p>
        </w:tc>
        <w:tc>
          <w:tcPr>
            <w:tcW w:w="2835" w:type="dxa"/>
            <w:shd w:val="clear" w:color="auto" w:fill="FFFFFF" w:themeFill="background1"/>
            <w:noWrap/>
            <w:hideMark/>
          </w:tcPr>
          <w:p w14:paraId="0529F42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CF₃CHFOCF₃</w:t>
            </w:r>
          </w:p>
        </w:tc>
        <w:tc>
          <w:tcPr>
            <w:tcW w:w="709" w:type="dxa"/>
            <w:shd w:val="clear" w:color="auto" w:fill="FFFFFF" w:themeFill="background1"/>
            <w:noWrap/>
            <w:hideMark/>
          </w:tcPr>
          <w:p w14:paraId="3589182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7702D5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6450</w:t>
            </w:r>
          </w:p>
        </w:tc>
      </w:tr>
      <w:tr w:rsidR="00507499" w:rsidRPr="0018386D" w14:paraId="250C0BE9" w14:textId="77777777" w:rsidTr="00BE7C13">
        <w:trPr>
          <w:divId w:val="253637040"/>
        </w:trPr>
        <w:tc>
          <w:tcPr>
            <w:tcW w:w="3686" w:type="dxa"/>
            <w:shd w:val="clear" w:color="auto" w:fill="FFFFFF" w:themeFill="background1"/>
            <w:noWrap/>
            <w:hideMark/>
          </w:tcPr>
          <w:p w14:paraId="35658C1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HCFE-235da2 (Isoflurane)</w:t>
            </w:r>
          </w:p>
        </w:tc>
        <w:tc>
          <w:tcPr>
            <w:tcW w:w="2835" w:type="dxa"/>
            <w:shd w:val="clear" w:color="auto" w:fill="FFFFFF" w:themeFill="background1"/>
            <w:noWrap/>
            <w:hideMark/>
          </w:tcPr>
          <w:p w14:paraId="13BB739F"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CHF₂OCHClCF</w:t>
            </w:r>
            <w:proofErr w:type="spellEnd"/>
            <w:r w:rsidRPr="0018386D">
              <w:rPr>
                <w:rFonts w:cs="Calibri"/>
                <w:szCs w:val="18"/>
                <w:lang w:bidi="th-TH"/>
              </w:rPr>
              <w:t>₃</w:t>
            </w:r>
          </w:p>
        </w:tc>
        <w:tc>
          <w:tcPr>
            <w:tcW w:w="709" w:type="dxa"/>
            <w:shd w:val="clear" w:color="auto" w:fill="FFFFFF" w:themeFill="background1"/>
            <w:noWrap/>
            <w:hideMark/>
          </w:tcPr>
          <w:p w14:paraId="194F4F8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2AA29A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491</w:t>
            </w:r>
          </w:p>
        </w:tc>
      </w:tr>
      <w:tr w:rsidR="00507499" w:rsidRPr="0018386D" w14:paraId="5441C1FA" w14:textId="77777777" w:rsidTr="00BE7C13">
        <w:trPr>
          <w:divId w:val="253637040"/>
        </w:trPr>
        <w:tc>
          <w:tcPr>
            <w:tcW w:w="3686" w:type="dxa"/>
            <w:shd w:val="clear" w:color="auto" w:fill="FFFFFF" w:themeFill="background1"/>
            <w:noWrap/>
            <w:hideMark/>
          </w:tcPr>
          <w:p w14:paraId="4B9C541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HFE-236ea2</w:t>
            </w:r>
          </w:p>
        </w:tc>
        <w:tc>
          <w:tcPr>
            <w:tcW w:w="2835" w:type="dxa"/>
            <w:shd w:val="clear" w:color="auto" w:fill="FFFFFF" w:themeFill="background1"/>
            <w:noWrap/>
            <w:hideMark/>
          </w:tcPr>
          <w:p w14:paraId="4752FB9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CHF₂OCHFCF₃</w:t>
            </w:r>
          </w:p>
        </w:tc>
        <w:tc>
          <w:tcPr>
            <w:tcW w:w="709" w:type="dxa"/>
            <w:shd w:val="clear" w:color="auto" w:fill="FFFFFF" w:themeFill="background1"/>
            <w:noWrap/>
            <w:hideMark/>
          </w:tcPr>
          <w:p w14:paraId="558A34F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21E6CD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1790</w:t>
            </w:r>
          </w:p>
        </w:tc>
      </w:tr>
      <w:tr w:rsidR="00507499" w:rsidRPr="0018386D" w14:paraId="525DEA04" w14:textId="77777777" w:rsidTr="00BE7C13">
        <w:trPr>
          <w:divId w:val="253637040"/>
        </w:trPr>
        <w:tc>
          <w:tcPr>
            <w:tcW w:w="3686" w:type="dxa"/>
            <w:shd w:val="clear" w:color="auto" w:fill="FFFFFF" w:themeFill="background1"/>
            <w:noWrap/>
            <w:hideMark/>
          </w:tcPr>
          <w:p w14:paraId="12EA38E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HFE-236fa</w:t>
            </w:r>
          </w:p>
        </w:tc>
        <w:tc>
          <w:tcPr>
            <w:tcW w:w="2835" w:type="dxa"/>
            <w:shd w:val="clear" w:color="auto" w:fill="FFFFFF" w:themeFill="background1"/>
            <w:noWrap/>
            <w:hideMark/>
          </w:tcPr>
          <w:p w14:paraId="3E9500A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CF₃CH₂OCF₃</w:t>
            </w:r>
          </w:p>
        </w:tc>
        <w:tc>
          <w:tcPr>
            <w:tcW w:w="709" w:type="dxa"/>
            <w:shd w:val="clear" w:color="auto" w:fill="FFFFFF" w:themeFill="background1"/>
            <w:noWrap/>
            <w:hideMark/>
          </w:tcPr>
          <w:p w14:paraId="7546FC9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F559C6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979</w:t>
            </w:r>
          </w:p>
        </w:tc>
      </w:tr>
      <w:tr w:rsidR="00507499" w:rsidRPr="0018386D" w14:paraId="7FAA144E" w14:textId="77777777" w:rsidTr="00BE7C13">
        <w:trPr>
          <w:divId w:val="253637040"/>
        </w:trPr>
        <w:tc>
          <w:tcPr>
            <w:tcW w:w="3686" w:type="dxa"/>
            <w:shd w:val="clear" w:color="auto" w:fill="FFFFFF" w:themeFill="background1"/>
            <w:noWrap/>
            <w:hideMark/>
          </w:tcPr>
          <w:p w14:paraId="13474C6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HFE-245cb2</w:t>
            </w:r>
          </w:p>
        </w:tc>
        <w:tc>
          <w:tcPr>
            <w:tcW w:w="2835" w:type="dxa"/>
            <w:shd w:val="clear" w:color="auto" w:fill="FFFFFF" w:themeFill="background1"/>
            <w:noWrap/>
            <w:hideMark/>
          </w:tcPr>
          <w:p w14:paraId="314AE55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CH₃OCF₂CF₃</w:t>
            </w:r>
          </w:p>
        </w:tc>
        <w:tc>
          <w:tcPr>
            <w:tcW w:w="709" w:type="dxa"/>
            <w:shd w:val="clear" w:color="auto" w:fill="FFFFFF" w:themeFill="background1"/>
            <w:noWrap/>
            <w:hideMark/>
          </w:tcPr>
          <w:p w14:paraId="214CD20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B21EDB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654</w:t>
            </w:r>
          </w:p>
        </w:tc>
      </w:tr>
      <w:tr w:rsidR="00507499" w:rsidRPr="0018386D" w14:paraId="63C2BE8B" w14:textId="77777777" w:rsidTr="00BE7C13">
        <w:trPr>
          <w:divId w:val="253637040"/>
        </w:trPr>
        <w:tc>
          <w:tcPr>
            <w:tcW w:w="3686" w:type="dxa"/>
            <w:shd w:val="clear" w:color="auto" w:fill="FFFFFF" w:themeFill="background1"/>
            <w:noWrap/>
            <w:hideMark/>
          </w:tcPr>
          <w:p w14:paraId="2BFEAEE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HFE-245fa1</w:t>
            </w:r>
          </w:p>
        </w:tc>
        <w:tc>
          <w:tcPr>
            <w:tcW w:w="2835" w:type="dxa"/>
            <w:shd w:val="clear" w:color="auto" w:fill="FFFFFF" w:themeFill="background1"/>
            <w:noWrap/>
            <w:hideMark/>
          </w:tcPr>
          <w:p w14:paraId="6488251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CHF₂CH₂OCF₃</w:t>
            </w:r>
          </w:p>
        </w:tc>
        <w:tc>
          <w:tcPr>
            <w:tcW w:w="709" w:type="dxa"/>
            <w:shd w:val="clear" w:color="auto" w:fill="FFFFFF" w:themeFill="background1"/>
            <w:noWrap/>
            <w:hideMark/>
          </w:tcPr>
          <w:p w14:paraId="5603A90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578BB9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828</w:t>
            </w:r>
          </w:p>
        </w:tc>
      </w:tr>
      <w:tr w:rsidR="00507499" w:rsidRPr="0018386D" w14:paraId="2FB50606" w14:textId="77777777" w:rsidTr="00BE7C13">
        <w:trPr>
          <w:divId w:val="253637040"/>
        </w:trPr>
        <w:tc>
          <w:tcPr>
            <w:tcW w:w="3686" w:type="dxa"/>
            <w:shd w:val="clear" w:color="auto" w:fill="FFFFFF" w:themeFill="background1"/>
            <w:noWrap/>
            <w:hideMark/>
          </w:tcPr>
          <w:p w14:paraId="2FD4538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HFE-245fa2</w:t>
            </w:r>
          </w:p>
        </w:tc>
        <w:tc>
          <w:tcPr>
            <w:tcW w:w="2835" w:type="dxa"/>
            <w:shd w:val="clear" w:color="auto" w:fill="FFFFFF" w:themeFill="background1"/>
            <w:noWrap/>
            <w:hideMark/>
          </w:tcPr>
          <w:p w14:paraId="7F95C38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CHF₂OCH₂CF₃</w:t>
            </w:r>
          </w:p>
        </w:tc>
        <w:tc>
          <w:tcPr>
            <w:tcW w:w="709" w:type="dxa"/>
            <w:shd w:val="clear" w:color="auto" w:fill="FFFFFF" w:themeFill="background1"/>
            <w:noWrap/>
            <w:hideMark/>
          </w:tcPr>
          <w:p w14:paraId="2F79F4B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4AD196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812</w:t>
            </w:r>
          </w:p>
        </w:tc>
      </w:tr>
      <w:tr w:rsidR="00507499" w:rsidRPr="0018386D" w14:paraId="725B0193" w14:textId="77777777" w:rsidTr="00BE7C13">
        <w:trPr>
          <w:divId w:val="253637040"/>
        </w:trPr>
        <w:tc>
          <w:tcPr>
            <w:tcW w:w="3686" w:type="dxa"/>
            <w:shd w:val="clear" w:color="auto" w:fill="FFFFFF" w:themeFill="background1"/>
            <w:noWrap/>
          </w:tcPr>
          <w:p w14:paraId="23693820" w14:textId="4BCE5352" w:rsidR="00A94C3E" w:rsidRPr="0018386D" w:rsidRDefault="00A94C3E" w:rsidP="00DD3106">
            <w:pPr>
              <w:pStyle w:val="TableText"/>
              <w:spacing w:before="20" w:after="20"/>
              <w:rPr>
                <w:rFonts w:cs="Calibri"/>
                <w:szCs w:val="18"/>
                <w:lang w:bidi="th-TH"/>
              </w:rPr>
            </w:pPr>
            <w:r w:rsidRPr="0018386D">
              <w:rPr>
                <w:rFonts w:cs="Calibri"/>
                <w:szCs w:val="18"/>
                <w:lang w:bidi="th-TH"/>
              </w:rPr>
              <w:t>HFE-254cb1</w:t>
            </w:r>
          </w:p>
        </w:tc>
        <w:tc>
          <w:tcPr>
            <w:tcW w:w="2835" w:type="dxa"/>
            <w:shd w:val="clear" w:color="auto" w:fill="FFFFFF" w:themeFill="background1"/>
            <w:noWrap/>
          </w:tcPr>
          <w:p w14:paraId="169AE3D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CH₃OCF₂CHF₂</w:t>
            </w:r>
          </w:p>
        </w:tc>
        <w:tc>
          <w:tcPr>
            <w:tcW w:w="709" w:type="dxa"/>
            <w:shd w:val="clear" w:color="auto" w:fill="FFFFFF" w:themeFill="background1"/>
            <w:noWrap/>
          </w:tcPr>
          <w:p w14:paraId="4F237C2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tcPr>
          <w:p w14:paraId="1F5DF3B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301</w:t>
            </w:r>
          </w:p>
        </w:tc>
      </w:tr>
      <w:tr w:rsidR="005C743C" w:rsidRPr="0018386D" w14:paraId="0DDEB169" w14:textId="77777777" w:rsidTr="00BE7C13">
        <w:trPr>
          <w:divId w:val="253637040"/>
        </w:trPr>
        <w:tc>
          <w:tcPr>
            <w:tcW w:w="3686" w:type="dxa"/>
            <w:shd w:val="clear" w:color="auto" w:fill="FFFFFF" w:themeFill="background1"/>
            <w:noWrap/>
            <w:hideMark/>
          </w:tcPr>
          <w:p w14:paraId="38835D90"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HFE-263fb2</w:t>
            </w:r>
          </w:p>
        </w:tc>
        <w:tc>
          <w:tcPr>
            <w:tcW w:w="2835" w:type="dxa"/>
            <w:shd w:val="clear" w:color="auto" w:fill="FFFFFF" w:themeFill="background1"/>
            <w:noWrap/>
            <w:hideMark/>
          </w:tcPr>
          <w:p w14:paraId="22A91D4E"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CF₃CH₂OCH₃</w:t>
            </w:r>
          </w:p>
        </w:tc>
        <w:tc>
          <w:tcPr>
            <w:tcW w:w="709" w:type="dxa"/>
            <w:shd w:val="clear" w:color="auto" w:fill="FFFFFF" w:themeFill="background1"/>
            <w:noWrap/>
            <w:hideMark/>
          </w:tcPr>
          <w:p w14:paraId="4CD5F175"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69CF137"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1</w:t>
            </w:r>
          </w:p>
        </w:tc>
      </w:tr>
      <w:tr w:rsidR="00507499" w:rsidRPr="0018386D" w14:paraId="7A47865C" w14:textId="77777777" w:rsidTr="00BE7C13">
        <w:trPr>
          <w:divId w:val="253637040"/>
        </w:trPr>
        <w:tc>
          <w:tcPr>
            <w:tcW w:w="3686" w:type="dxa"/>
            <w:shd w:val="clear" w:color="auto" w:fill="FFFFFF" w:themeFill="background1"/>
            <w:noWrap/>
            <w:hideMark/>
          </w:tcPr>
          <w:p w14:paraId="4E20FDB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HFE-329mcc2</w:t>
            </w:r>
          </w:p>
        </w:tc>
        <w:tc>
          <w:tcPr>
            <w:tcW w:w="2835" w:type="dxa"/>
            <w:shd w:val="clear" w:color="auto" w:fill="FFFFFF" w:themeFill="background1"/>
            <w:noWrap/>
            <w:hideMark/>
          </w:tcPr>
          <w:p w14:paraId="62B2931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CHF₂CF₂OCF₂CF₃</w:t>
            </w:r>
          </w:p>
        </w:tc>
        <w:tc>
          <w:tcPr>
            <w:tcW w:w="709" w:type="dxa"/>
            <w:shd w:val="clear" w:color="auto" w:fill="FFFFFF" w:themeFill="background1"/>
            <w:noWrap/>
            <w:hideMark/>
          </w:tcPr>
          <w:p w14:paraId="77C3023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F3834A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3070</w:t>
            </w:r>
          </w:p>
        </w:tc>
      </w:tr>
      <w:tr w:rsidR="00507499" w:rsidRPr="0018386D" w14:paraId="0D3995BB" w14:textId="77777777" w:rsidTr="00BE7C13">
        <w:trPr>
          <w:divId w:val="253637040"/>
        </w:trPr>
        <w:tc>
          <w:tcPr>
            <w:tcW w:w="3686" w:type="dxa"/>
            <w:shd w:val="clear" w:color="auto" w:fill="FFFFFF" w:themeFill="background1"/>
            <w:noWrap/>
            <w:hideMark/>
          </w:tcPr>
          <w:p w14:paraId="724FD77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HFE-338mcf2</w:t>
            </w:r>
          </w:p>
        </w:tc>
        <w:tc>
          <w:tcPr>
            <w:tcW w:w="2835" w:type="dxa"/>
            <w:shd w:val="clear" w:color="auto" w:fill="FFFFFF" w:themeFill="background1"/>
            <w:noWrap/>
            <w:hideMark/>
          </w:tcPr>
          <w:p w14:paraId="7C0B1A5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CF₃CH₂OCF₂CF₃</w:t>
            </w:r>
          </w:p>
        </w:tc>
        <w:tc>
          <w:tcPr>
            <w:tcW w:w="709" w:type="dxa"/>
            <w:shd w:val="clear" w:color="auto" w:fill="FFFFFF" w:themeFill="background1"/>
            <w:noWrap/>
            <w:hideMark/>
          </w:tcPr>
          <w:p w14:paraId="50FEA1D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394C43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929</w:t>
            </w:r>
          </w:p>
        </w:tc>
      </w:tr>
      <w:tr w:rsidR="00507499" w:rsidRPr="0018386D" w14:paraId="3B5CBEC7" w14:textId="77777777" w:rsidTr="00BE7C13">
        <w:trPr>
          <w:divId w:val="253637040"/>
        </w:trPr>
        <w:tc>
          <w:tcPr>
            <w:tcW w:w="3686" w:type="dxa"/>
            <w:shd w:val="clear" w:color="auto" w:fill="FFFFFF" w:themeFill="background1"/>
            <w:noWrap/>
            <w:hideMark/>
          </w:tcPr>
          <w:p w14:paraId="31616E6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HFE-347mcc3</w:t>
            </w:r>
          </w:p>
        </w:tc>
        <w:tc>
          <w:tcPr>
            <w:tcW w:w="2835" w:type="dxa"/>
            <w:shd w:val="clear" w:color="auto" w:fill="FFFFFF" w:themeFill="background1"/>
            <w:noWrap/>
            <w:hideMark/>
          </w:tcPr>
          <w:p w14:paraId="01D499A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CH₃OCF₂CF₂CF₃</w:t>
            </w:r>
          </w:p>
        </w:tc>
        <w:tc>
          <w:tcPr>
            <w:tcW w:w="709" w:type="dxa"/>
            <w:shd w:val="clear" w:color="auto" w:fill="FFFFFF" w:themeFill="background1"/>
            <w:noWrap/>
            <w:hideMark/>
          </w:tcPr>
          <w:p w14:paraId="5417F67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656CF5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530</w:t>
            </w:r>
          </w:p>
        </w:tc>
      </w:tr>
      <w:tr w:rsidR="00507499" w:rsidRPr="0018386D" w14:paraId="4B271CFE" w14:textId="77777777" w:rsidTr="00BE7C13">
        <w:trPr>
          <w:divId w:val="253637040"/>
        </w:trPr>
        <w:tc>
          <w:tcPr>
            <w:tcW w:w="3686" w:type="dxa"/>
            <w:shd w:val="clear" w:color="auto" w:fill="FFFFFF" w:themeFill="background1"/>
            <w:noWrap/>
            <w:hideMark/>
          </w:tcPr>
          <w:p w14:paraId="6FA64C7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HFE-347mcf2</w:t>
            </w:r>
          </w:p>
        </w:tc>
        <w:tc>
          <w:tcPr>
            <w:tcW w:w="2835" w:type="dxa"/>
            <w:shd w:val="clear" w:color="auto" w:fill="FFFFFF" w:themeFill="background1"/>
            <w:noWrap/>
            <w:hideMark/>
          </w:tcPr>
          <w:p w14:paraId="59D0BB7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CHF₂CH₂OCF₂CF₃</w:t>
            </w:r>
          </w:p>
        </w:tc>
        <w:tc>
          <w:tcPr>
            <w:tcW w:w="709" w:type="dxa"/>
            <w:shd w:val="clear" w:color="auto" w:fill="FFFFFF" w:themeFill="background1"/>
            <w:noWrap/>
            <w:hideMark/>
          </w:tcPr>
          <w:p w14:paraId="37B4814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22D11BE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854</w:t>
            </w:r>
          </w:p>
        </w:tc>
      </w:tr>
      <w:tr w:rsidR="00507499" w:rsidRPr="0018386D" w14:paraId="4A82F813" w14:textId="77777777" w:rsidTr="00BE7C13">
        <w:trPr>
          <w:divId w:val="253637040"/>
        </w:trPr>
        <w:tc>
          <w:tcPr>
            <w:tcW w:w="3686" w:type="dxa"/>
            <w:shd w:val="clear" w:color="auto" w:fill="FFFFFF" w:themeFill="background1"/>
            <w:noWrap/>
            <w:hideMark/>
          </w:tcPr>
          <w:p w14:paraId="175F06C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HFE-347pcf2</w:t>
            </w:r>
          </w:p>
        </w:tc>
        <w:tc>
          <w:tcPr>
            <w:tcW w:w="2835" w:type="dxa"/>
            <w:shd w:val="clear" w:color="auto" w:fill="FFFFFF" w:themeFill="background1"/>
            <w:noWrap/>
            <w:hideMark/>
          </w:tcPr>
          <w:p w14:paraId="3394777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CHF₂CF₂OCH₂CF₃</w:t>
            </w:r>
          </w:p>
        </w:tc>
        <w:tc>
          <w:tcPr>
            <w:tcW w:w="709" w:type="dxa"/>
            <w:shd w:val="clear" w:color="auto" w:fill="FFFFFF" w:themeFill="background1"/>
            <w:noWrap/>
            <w:hideMark/>
          </w:tcPr>
          <w:p w14:paraId="61B88C7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FF08DF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889</w:t>
            </w:r>
          </w:p>
        </w:tc>
      </w:tr>
      <w:tr w:rsidR="00507499" w:rsidRPr="0018386D" w14:paraId="3EE1B519" w14:textId="77777777" w:rsidTr="00BE7C13">
        <w:trPr>
          <w:divId w:val="253637040"/>
        </w:trPr>
        <w:tc>
          <w:tcPr>
            <w:tcW w:w="3686" w:type="dxa"/>
            <w:shd w:val="clear" w:color="auto" w:fill="FFFFFF" w:themeFill="background1"/>
            <w:noWrap/>
            <w:hideMark/>
          </w:tcPr>
          <w:p w14:paraId="1DFAC89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HFE-356mec3</w:t>
            </w:r>
          </w:p>
        </w:tc>
        <w:tc>
          <w:tcPr>
            <w:tcW w:w="2835" w:type="dxa"/>
            <w:shd w:val="clear" w:color="auto" w:fill="FFFFFF" w:themeFill="background1"/>
            <w:noWrap/>
            <w:hideMark/>
          </w:tcPr>
          <w:p w14:paraId="38EE38E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CH₃OCF₂CHFCF₃</w:t>
            </w:r>
          </w:p>
        </w:tc>
        <w:tc>
          <w:tcPr>
            <w:tcW w:w="709" w:type="dxa"/>
            <w:shd w:val="clear" w:color="auto" w:fill="FFFFFF" w:themeFill="background1"/>
            <w:noWrap/>
            <w:hideMark/>
          </w:tcPr>
          <w:p w14:paraId="2608B20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6A3A44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387</w:t>
            </w:r>
          </w:p>
        </w:tc>
      </w:tr>
      <w:tr w:rsidR="00507499" w:rsidRPr="0018386D" w14:paraId="21B15EF6" w14:textId="77777777" w:rsidTr="00BE7C13">
        <w:trPr>
          <w:divId w:val="253637040"/>
        </w:trPr>
        <w:tc>
          <w:tcPr>
            <w:tcW w:w="3686" w:type="dxa"/>
            <w:shd w:val="clear" w:color="auto" w:fill="FFFFFF" w:themeFill="background1"/>
            <w:noWrap/>
            <w:hideMark/>
          </w:tcPr>
          <w:p w14:paraId="4CB50E5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HFE-356pcc3</w:t>
            </w:r>
          </w:p>
        </w:tc>
        <w:tc>
          <w:tcPr>
            <w:tcW w:w="2835" w:type="dxa"/>
            <w:shd w:val="clear" w:color="auto" w:fill="FFFFFF" w:themeFill="background1"/>
            <w:noWrap/>
            <w:hideMark/>
          </w:tcPr>
          <w:p w14:paraId="58F453A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CH₃OCF₂CF₂CHF₂</w:t>
            </w:r>
          </w:p>
        </w:tc>
        <w:tc>
          <w:tcPr>
            <w:tcW w:w="709" w:type="dxa"/>
            <w:shd w:val="clear" w:color="auto" w:fill="FFFFFF" w:themeFill="background1"/>
            <w:noWrap/>
            <w:hideMark/>
          </w:tcPr>
          <w:p w14:paraId="303A406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5C495B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413</w:t>
            </w:r>
          </w:p>
        </w:tc>
      </w:tr>
      <w:tr w:rsidR="00507499" w:rsidRPr="0018386D" w14:paraId="345BC83B" w14:textId="77777777" w:rsidTr="00BE7C13">
        <w:trPr>
          <w:divId w:val="253637040"/>
        </w:trPr>
        <w:tc>
          <w:tcPr>
            <w:tcW w:w="3686" w:type="dxa"/>
            <w:shd w:val="clear" w:color="auto" w:fill="FFFFFF" w:themeFill="background1"/>
            <w:noWrap/>
            <w:hideMark/>
          </w:tcPr>
          <w:p w14:paraId="535DF85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HFE-356pcf2</w:t>
            </w:r>
          </w:p>
        </w:tc>
        <w:tc>
          <w:tcPr>
            <w:tcW w:w="2835" w:type="dxa"/>
            <w:shd w:val="clear" w:color="auto" w:fill="FFFFFF" w:themeFill="background1"/>
            <w:noWrap/>
            <w:hideMark/>
          </w:tcPr>
          <w:p w14:paraId="570D56B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CHF₂CH₂OCF₂CHF₂</w:t>
            </w:r>
          </w:p>
        </w:tc>
        <w:tc>
          <w:tcPr>
            <w:tcW w:w="709" w:type="dxa"/>
            <w:shd w:val="clear" w:color="auto" w:fill="FFFFFF" w:themeFill="background1"/>
            <w:noWrap/>
            <w:hideMark/>
          </w:tcPr>
          <w:p w14:paraId="35C44F9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72D6A8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719</w:t>
            </w:r>
          </w:p>
        </w:tc>
      </w:tr>
      <w:tr w:rsidR="00507499" w:rsidRPr="0018386D" w14:paraId="0992F707" w14:textId="77777777" w:rsidTr="00BE7C13">
        <w:trPr>
          <w:divId w:val="253637040"/>
        </w:trPr>
        <w:tc>
          <w:tcPr>
            <w:tcW w:w="3686" w:type="dxa"/>
            <w:shd w:val="clear" w:color="auto" w:fill="FFFFFF" w:themeFill="background1"/>
            <w:noWrap/>
            <w:hideMark/>
          </w:tcPr>
          <w:p w14:paraId="64A8081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HFE-356pcf3</w:t>
            </w:r>
          </w:p>
        </w:tc>
        <w:tc>
          <w:tcPr>
            <w:tcW w:w="2835" w:type="dxa"/>
            <w:shd w:val="clear" w:color="auto" w:fill="FFFFFF" w:themeFill="background1"/>
            <w:noWrap/>
            <w:hideMark/>
          </w:tcPr>
          <w:p w14:paraId="1D4AA8A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CHF₂OCH₂CF₂CHF₂</w:t>
            </w:r>
          </w:p>
        </w:tc>
        <w:tc>
          <w:tcPr>
            <w:tcW w:w="709" w:type="dxa"/>
            <w:shd w:val="clear" w:color="auto" w:fill="FFFFFF" w:themeFill="background1"/>
            <w:noWrap/>
            <w:hideMark/>
          </w:tcPr>
          <w:p w14:paraId="5435E4A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29141B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446</w:t>
            </w:r>
          </w:p>
        </w:tc>
      </w:tr>
      <w:tr w:rsidR="00507499" w:rsidRPr="0018386D" w14:paraId="37362C3D" w14:textId="77777777" w:rsidTr="00BE7C13">
        <w:trPr>
          <w:divId w:val="253637040"/>
        </w:trPr>
        <w:tc>
          <w:tcPr>
            <w:tcW w:w="3686" w:type="dxa"/>
            <w:shd w:val="clear" w:color="auto" w:fill="FFFFFF" w:themeFill="background1"/>
            <w:noWrap/>
            <w:hideMark/>
          </w:tcPr>
          <w:p w14:paraId="281CFB1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HFE-365mcf3</w:t>
            </w:r>
          </w:p>
        </w:tc>
        <w:tc>
          <w:tcPr>
            <w:tcW w:w="2835" w:type="dxa"/>
            <w:shd w:val="clear" w:color="auto" w:fill="FFFFFF" w:themeFill="background1"/>
            <w:noWrap/>
            <w:hideMark/>
          </w:tcPr>
          <w:p w14:paraId="7AD8FC5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CF₃CF₂CH₂OCH₃</w:t>
            </w:r>
          </w:p>
        </w:tc>
        <w:tc>
          <w:tcPr>
            <w:tcW w:w="709" w:type="dxa"/>
            <w:shd w:val="clear" w:color="auto" w:fill="FFFFFF" w:themeFill="background1"/>
            <w:noWrap/>
            <w:hideMark/>
          </w:tcPr>
          <w:p w14:paraId="715579C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72DE850" w14:textId="617B3DE6" w:rsidR="00A94C3E" w:rsidRPr="0018386D" w:rsidRDefault="00A94C3E" w:rsidP="00DD3106">
            <w:pPr>
              <w:pStyle w:val="TableText"/>
              <w:spacing w:before="20" w:after="20"/>
              <w:rPr>
                <w:rFonts w:cs="Calibri"/>
                <w:szCs w:val="18"/>
                <w:lang w:bidi="th-TH"/>
              </w:rPr>
            </w:pPr>
            <w:r w:rsidRPr="0018386D">
              <w:rPr>
                <w:rFonts w:cs="Calibri"/>
                <w:szCs w:val="18"/>
                <w:lang w:bidi="th-TH"/>
              </w:rPr>
              <w:t>1</w:t>
            </w:r>
          </w:p>
        </w:tc>
      </w:tr>
      <w:tr w:rsidR="00507499" w:rsidRPr="0018386D" w14:paraId="5683CA3A" w14:textId="77777777" w:rsidTr="00BE7C13">
        <w:trPr>
          <w:divId w:val="253637040"/>
        </w:trPr>
        <w:tc>
          <w:tcPr>
            <w:tcW w:w="3686" w:type="dxa"/>
            <w:shd w:val="clear" w:color="auto" w:fill="FFFFFF" w:themeFill="background1"/>
            <w:noWrap/>
            <w:hideMark/>
          </w:tcPr>
          <w:p w14:paraId="7BD83F3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HFE-374pc2</w:t>
            </w:r>
          </w:p>
        </w:tc>
        <w:tc>
          <w:tcPr>
            <w:tcW w:w="2835" w:type="dxa"/>
            <w:shd w:val="clear" w:color="auto" w:fill="FFFFFF" w:themeFill="background1"/>
            <w:noWrap/>
            <w:hideMark/>
          </w:tcPr>
          <w:p w14:paraId="31FD89F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CHF₂CF₂OCH₂CH₃</w:t>
            </w:r>
          </w:p>
        </w:tc>
        <w:tc>
          <w:tcPr>
            <w:tcW w:w="709" w:type="dxa"/>
            <w:shd w:val="clear" w:color="auto" w:fill="FFFFFF" w:themeFill="background1"/>
            <w:noWrap/>
            <w:hideMark/>
          </w:tcPr>
          <w:p w14:paraId="66A31EC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AE1764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627</w:t>
            </w:r>
          </w:p>
        </w:tc>
      </w:tr>
      <w:tr w:rsidR="00507499" w:rsidRPr="0018386D" w14:paraId="5E285091" w14:textId="77777777" w:rsidTr="00BE7C13">
        <w:trPr>
          <w:divId w:val="253637040"/>
        </w:trPr>
        <w:tc>
          <w:tcPr>
            <w:tcW w:w="3686" w:type="dxa"/>
            <w:shd w:val="clear" w:color="auto" w:fill="FFFFFF" w:themeFill="background1"/>
            <w:noWrap/>
            <w:hideMark/>
          </w:tcPr>
          <w:p w14:paraId="71AF5D3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HFE-449sl (HFE-7100)</w:t>
            </w:r>
          </w:p>
        </w:tc>
        <w:tc>
          <w:tcPr>
            <w:tcW w:w="2835" w:type="dxa"/>
            <w:shd w:val="clear" w:color="auto" w:fill="FFFFFF" w:themeFill="background1"/>
            <w:noWrap/>
            <w:hideMark/>
          </w:tcPr>
          <w:p w14:paraId="6F97B07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C₄F₉OCH₃</w:t>
            </w:r>
          </w:p>
        </w:tc>
        <w:tc>
          <w:tcPr>
            <w:tcW w:w="709" w:type="dxa"/>
            <w:shd w:val="clear" w:color="auto" w:fill="FFFFFF" w:themeFill="background1"/>
            <w:noWrap/>
            <w:hideMark/>
          </w:tcPr>
          <w:p w14:paraId="295A9D8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45A101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421</w:t>
            </w:r>
          </w:p>
        </w:tc>
      </w:tr>
      <w:tr w:rsidR="00507499" w:rsidRPr="0018386D" w14:paraId="623CA87B" w14:textId="77777777" w:rsidTr="00BE7C13">
        <w:trPr>
          <w:divId w:val="253637040"/>
        </w:trPr>
        <w:tc>
          <w:tcPr>
            <w:tcW w:w="3686" w:type="dxa"/>
            <w:shd w:val="clear" w:color="auto" w:fill="FFFFFF" w:themeFill="background1"/>
            <w:noWrap/>
            <w:hideMark/>
          </w:tcPr>
          <w:p w14:paraId="00FA10D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HFE-569sf2 (HFE-7200)</w:t>
            </w:r>
          </w:p>
        </w:tc>
        <w:tc>
          <w:tcPr>
            <w:tcW w:w="2835" w:type="dxa"/>
            <w:shd w:val="clear" w:color="auto" w:fill="FFFFFF" w:themeFill="background1"/>
            <w:noWrap/>
            <w:hideMark/>
          </w:tcPr>
          <w:p w14:paraId="1464A37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C₄F₉OC₂H₅</w:t>
            </w:r>
          </w:p>
        </w:tc>
        <w:tc>
          <w:tcPr>
            <w:tcW w:w="709" w:type="dxa"/>
            <w:shd w:val="clear" w:color="auto" w:fill="FFFFFF" w:themeFill="background1"/>
            <w:noWrap/>
            <w:hideMark/>
          </w:tcPr>
          <w:p w14:paraId="73DF7E7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002B09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57</w:t>
            </w:r>
          </w:p>
        </w:tc>
      </w:tr>
      <w:tr w:rsidR="00507499" w:rsidRPr="0018386D" w14:paraId="13EAC780" w14:textId="77777777" w:rsidTr="00BE7C13">
        <w:trPr>
          <w:divId w:val="253637040"/>
        </w:trPr>
        <w:tc>
          <w:tcPr>
            <w:tcW w:w="3686" w:type="dxa"/>
            <w:shd w:val="clear" w:color="auto" w:fill="FFFFFF" w:themeFill="background1"/>
            <w:noWrap/>
            <w:hideMark/>
          </w:tcPr>
          <w:p w14:paraId="5CB1BA2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HFE-43-10pccc124 (H-</w:t>
            </w:r>
            <w:proofErr w:type="spellStart"/>
            <w:r w:rsidRPr="0018386D">
              <w:rPr>
                <w:rFonts w:cs="Calibri"/>
                <w:szCs w:val="18"/>
                <w:lang w:bidi="th-TH"/>
              </w:rPr>
              <w:t>Galden</w:t>
            </w:r>
            <w:proofErr w:type="spellEnd"/>
            <w:r w:rsidRPr="0018386D">
              <w:rPr>
                <w:rFonts w:cs="Calibri"/>
                <w:szCs w:val="18"/>
                <w:lang w:bidi="th-TH"/>
              </w:rPr>
              <w:t xml:space="preserve"> 1040x)</w:t>
            </w:r>
          </w:p>
        </w:tc>
        <w:tc>
          <w:tcPr>
            <w:tcW w:w="2835" w:type="dxa"/>
            <w:shd w:val="clear" w:color="auto" w:fill="FFFFFF" w:themeFill="background1"/>
            <w:noWrap/>
            <w:hideMark/>
          </w:tcPr>
          <w:p w14:paraId="29407A5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CHF₂OCF₂OC₂F₄OCHF₂</w:t>
            </w:r>
          </w:p>
        </w:tc>
        <w:tc>
          <w:tcPr>
            <w:tcW w:w="709" w:type="dxa"/>
            <w:shd w:val="clear" w:color="auto" w:fill="FFFFFF" w:themeFill="background1"/>
            <w:noWrap/>
            <w:hideMark/>
          </w:tcPr>
          <w:p w14:paraId="29A2FAB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C79B39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2820</w:t>
            </w:r>
          </w:p>
        </w:tc>
      </w:tr>
      <w:tr w:rsidR="00507499" w:rsidRPr="0018386D" w14:paraId="36991959" w14:textId="77777777" w:rsidTr="00BE7C13">
        <w:trPr>
          <w:divId w:val="253637040"/>
        </w:trPr>
        <w:tc>
          <w:tcPr>
            <w:tcW w:w="3686" w:type="dxa"/>
            <w:shd w:val="clear" w:color="auto" w:fill="FFFFFF" w:themeFill="background1"/>
            <w:noWrap/>
            <w:hideMark/>
          </w:tcPr>
          <w:p w14:paraId="004B75D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HFE-236ca12 (HG-10)</w:t>
            </w:r>
          </w:p>
        </w:tc>
        <w:tc>
          <w:tcPr>
            <w:tcW w:w="2835" w:type="dxa"/>
            <w:shd w:val="clear" w:color="auto" w:fill="FFFFFF" w:themeFill="background1"/>
            <w:noWrap/>
            <w:hideMark/>
          </w:tcPr>
          <w:p w14:paraId="69F4431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CHF₂OCF₂OCHF₂</w:t>
            </w:r>
          </w:p>
        </w:tc>
        <w:tc>
          <w:tcPr>
            <w:tcW w:w="709" w:type="dxa"/>
            <w:shd w:val="clear" w:color="auto" w:fill="FFFFFF" w:themeFill="background1"/>
            <w:noWrap/>
            <w:hideMark/>
          </w:tcPr>
          <w:p w14:paraId="5ABDE97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2B1B5D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5350</w:t>
            </w:r>
          </w:p>
        </w:tc>
      </w:tr>
      <w:tr w:rsidR="00507499" w:rsidRPr="0018386D" w14:paraId="1E1A7B98" w14:textId="77777777" w:rsidTr="00BE7C13">
        <w:trPr>
          <w:divId w:val="253637040"/>
        </w:trPr>
        <w:tc>
          <w:tcPr>
            <w:tcW w:w="3686" w:type="dxa"/>
            <w:tcBorders>
              <w:bottom w:val="single" w:sz="4" w:space="0" w:color="1B556B" w:themeColor="text2"/>
            </w:tcBorders>
            <w:shd w:val="clear" w:color="auto" w:fill="FFFFFF" w:themeFill="background1"/>
            <w:noWrap/>
            <w:hideMark/>
          </w:tcPr>
          <w:p w14:paraId="4ED2148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HFE-338pcc13 (HG-01)</w:t>
            </w:r>
          </w:p>
        </w:tc>
        <w:tc>
          <w:tcPr>
            <w:tcW w:w="2835" w:type="dxa"/>
            <w:tcBorders>
              <w:bottom w:val="single" w:sz="4" w:space="0" w:color="1B556B" w:themeColor="text2"/>
            </w:tcBorders>
            <w:shd w:val="clear" w:color="auto" w:fill="FFFFFF" w:themeFill="background1"/>
            <w:noWrap/>
            <w:hideMark/>
          </w:tcPr>
          <w:p w14:paraId="6C6A546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CHF₂OCF₂CF₂OCHF₂</w:t>
            </w:r>
          </w:p>
        </w:tc>
        <w:tc>
          <w:tcPr>
            <w:tcW w:w="709" w:type="dxa"/>
            <w:tcBorders>
              <w:bottom w:val="single" w:sz="4" w:space="0" w:color="1B556B" w:themeColor="text2"/>
            </w:tcBorders>
            <w:shd w:val="clear" w:color="auto" w:fill="FFFFFF" w:themeFill="background1"/>
            <w:noWrap/>
            <w:hideMark/>
          </w:tcPr>
          <w:p w14:paraId="46342F8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5B105F0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2910</w:t>
            </w:r>
          </w:p>
        </w:tc>
      </w:tr>
      <w:tr w:rsidR="00507499" w:rsidRPr="0018386D" w14:paraId="02E513E8" w14:textId="77777777">
        <w:trPr>
          <w:divId w:val="253637040"/>
        </w:trPr>
        <w:tc>
          <w:tcPr>
            <w:tcW w:w="8505" w:type="dxa"/>
            <w:gridSpan w:val="4"/>
            <w:shd w:val="clear" w:color="auto" w:fill="D2DDE1" w:themeFill="background2"/>
            <w:noWrap/>
            <w:hideMark/>
          </w:tcPr>
          <w:p w14:paraId="42DBBCC1" w14:textId="31596DE3" w:rsidR="008E2ED2" w:rsidRPr="0018386D" w:rsidRDefault="0085183D" w:rsidP="00DD3106">
            <w:pPr>
              <w:pStyle w:val="TableText"/>
              <w:spacing w:before="20" w:after="20"/>
              <w:rPr>
                <w:rFonts w:cs="Calibri"/>
                <w:b/>
                <w:bCs/>
                <w:szCs w:val="18"/>
                <w:lang w:bidi="th-TH"/>
              </w:rPr>
            </w:pPr>
            <w:proofErr w:type="spellStart"/>
            <w:r w:rsidRPr="0018386D">
              <w:rPr>
                <w:rFonts w:cs="Calibri"/>
                <w:b/>
                <w:bCs/>
                <w:szCs w:val="18"/>
                <w:lang w:bidi="th-TH"/>
              </w:rPr>
              <w:t>Perfluoropolyethers</w:t>
            </w:r>
            <w:proofErr w:type="spellEnd"/>
          </w:p>
        </w:tc>
      </w:tr>
      <w:tr w:rsidR="00507499" w:rsidRPr="0018386D" w14:paraId="35CAE3F8" w14:textId="77777777" w:rsidTr="00BE7C13">
        <w:trPr>
          <w:divId w:val="253637040"/>
        </w:trPr>
        <w:tc>
          <w:tcPr>
            <w:tcW w:w="3686" w:type="dxa"/>
            <w:tcBorders>
              <w:bottom w:val="single" w:sz="4" w:space="0" w:color="1B556B" w:themeColor="text2"/>
            </w:tcBorders>
            <w:shd w:val="clear" w:color="auto" w:fill="FFFFFF" w:themeFill="background1"/>
            <w:noWrap/>
            <w:hideMark/>
          </w:tcPr>
          <w:p w14:paraId="76574CF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PFPMIE</w:t>
            </w:r>
          </w:p>
        </w:tc>
        <w:tc>
          <w:tcPr>
            <w:tcW w:w="2835" w:type="dxa"/>
            <w:tcBorders>
              <w:bottom w:val="single" w:sz="4" w:space="0" w:color="1B556B" w:themeColor="text2"/>
            </w:tcBorders>
            <w:shd w:val="clear" w:color="auto" w:fill="FFFFFF" w:themeFill="background1"/>
            <w:noWrap/>
            <w:hideMark/>
          </w:tcPr>
          <w:p w14:paraId="0E2FCFD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CF₃OCF(CF</w:t>
            </w:r>
            <w:proofErr w:type="gramStart"/>
            <w:r w:rsidRPr="0018386D">
              <w:rPr>
                <w:rFonts w:cs="Calibri"/>
                <w:szCs w:val="18"/>
                <w:lang w:bidi="th-TH"/>
              </w:rPr>
              <w:t>₃)CF</w:t>
            </w:r>
            <w:proofErr w:type="gramEnd"/>
            <w:r w:rsidRPr="0018386D">
              <w:rPr>
                <w:rFonts w:cs="Calibri"/>
                <w:szCs w:val="18"/>
                <w:lang w:bidi="th-TH"/>
              </w:rPr>
              <w:t>₂OCF₂OCF₃</w:t>
            </w:r>
          </w:p>
        </w:tc>
        <w:tc>
          <w:tcPr>
            <w:tcW w:w="709" w:type="dxa"/>
            <w:tcBorders>
              <w:bottom w:val="single" w:sz="4" w:space="0" w:color="1B556B" w:themeColor="text2"/>
            </w:tcBorders>
            <w:shd w:val="clear" w:color="auto" w:fill="FFFFFF" w:themeFill="background1"/>
            <w:noWrap/>
            <w:hideMark/>
          </w:tcPr>
          <w:p w14:paraId="5B45ECC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2499A7E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9710</w:t>
            </w:r>
          </w:p>
        </w:tc>
      </w:tr>
      <w:tr w:rsidR="00D016F2" w:rsidRPr="0018386D" w14:paraId="172684D7" w14:textId="77777777">
        <w:trPr>
          <w:divId w:val="253637040"/>
        </w:trPr>
        <w:tc>
          <w:tcPr>
            <w:tcW w:w="8505" w:type="dxa"/>
            <w:gridSpan w:val="4"/>
            <w:shd w:val="clear" w:color="auto" w:fill="D2DDE1" w:themeFill="background2"/>
            <w:noWrap/>
            <w:hideMark/>
          </w:tcPr>
          <w:p w14:paraId="6C9E7CCC" w14:textId="1D95B871" w:rsidR="00D016F2" w:rsidRPr="0018386D" w:rsidRDefault="00D016F2" w:rsidP="00DD3106">
            <w:pPr>
              <w:pStyle w:val="TableText"/>
              <w:spacing w:before="20" w:after="20"/>
              <w:rPr>
                <w:rFonts w:cs="Calibri"/>
                <w:b/>
                <w:bCs/>
                <w:szCs w:val="18"/>
                <w:lang w:bidi="th-TH"/>
              </w:rPr>
            </w:pPr>
            <w:r w:rsidRPr="0018386D">
              <w:rPr>
                <w:rFonts w:cs="Calibri"/>
                <w:b/>
                <w:bCs/>
                <w:szCs w:val="18"/>
                <w:lang w:bidi="th-TH"/>
              </w:rPr>
              <w:lastRenderedPageBreak/>
              <w:t>Hydrocarbons and other compounds – Direct effects</w:t>
            </w:r>
          </w:p>
        </w:tc>
      </w:tr>
      <w:tr w:rsidR="00507499" w:rsidRPr="0018386D" w14:paraId="14ABE627" w14:textId="77777777" w:rsidTr="00BE7C13">
        <w:trPr>
          <w:divId w:val="253637040"/>
        </w:trPr>
        <w:tc>
          <w:tcPr>
            <w:tcW w:w="3686" w:type="dxa"/>
            <w:shd w:val="clear" w:color="auto" w:fill="FFFFFF" w:themeFill="background1"/>
            <w:noWrap/>
            <w:hideMark/>
          </w:tcPr>
          <w:p w14:paraId="54F5449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Chloroform</w:t>
            </w:r>
          </w:p>
        </w:tc>
        <w:tc>
          <w:tcPr>
            <w:tcW w:w="2835" w:type="dxa"/>
            <w:shd w:val="clear" w:color="auto" w:fill="FFFFFF" w:themeFill="background1"/>
            <w:noWrap/>
            <w:hideMark/>
          </w:tcPr>
          <w:p w14:paraId="6055C2E7"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CHCl</w:t>
            </w:r>
            <w:proofErr w:type="spellEnd"/>
            <w:r w:rsidRPr="0018386D">
              <w:rPr>
                <w:rFonts w:cs="Calibri"/>
                <w:szCs w:val="18"/>
                <w:lang w:bidi="th-TH"/>
              </w:rPr>
              <w:t>₃</w:t>
            </w:r>
          </w:p>
        </w:tc>
        <w:tc>
          <w:tcPr>
            <w:tcW w:w="709" w:type="dxa"/>
            <w:shd w:val="clear" w:color="auto" w:fill="FFFFFF" w:themeFill="background1"/>
            <w:noWrap/>
            <w:hideMark/>
          </w:tcPr>
          <w:p w14:paraId="5522F48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90BCC5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16</w:t>
            </w:r>
          </w:p>
        </w:tc>
      </w:tr>
      <w:tr w:rsidR="002215CA" w:rsidRPr="0018386D" w14:paraId="682C2380" w14:textId="77777777" w:rsidTr="00BE7C13">
        <w:trPr>
          <w:divId w:val="253637040"/>
        </w:trPr>
        <w:tc>
          <w:tcPr>
            <w:tcW w:w="3686" w:type="dxa"/>
            <w:shd w:val="clear" w:color="auto" w:fill="FFFFFF" w:themeFill="background1"/>
            <w:noWrap/>
            <w:hideMark/>
          </w:tcPr>
          <w:p w14:paraId="08283C5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Methylene chloride</w:t>
            </w:r>
          </w:p>
        </w:tc>
        <w:tc>
          <w:tcPr>
            <w:tcW w:w="2835" w:type="dxa"/>
            <w:shd w:val="clear" w:color="auto" w:fill="FFFFFF" w:themeFill="background1"/>
            <w:noWrap/>
            <w:hideMark/>
          </w:tcPr>
          <w:p w14:paraId="0AA05EDB"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CH₂Cl</w:t>
            </w:r>
            <w:proofErr w:type="spellEnd"/>
            <w:r w:rsidRPr="0018386D">
              <w:rPr>
                <w:rFonts w:cs="Calibri"/>
                <w:szCs w:val="18"/>
                <w:lang w:bidi="th-TH"/>
              </w:rPr>
              <w:t>₂</w:t>
            </w:r>
          </w:p>
        </w:tc>
        <w:tc>
          <w:tcPr>
            <w:tcW w:w="709" w:type="dxa"/>
            <w:shd w:val="clear" w:color="auto" w:fill="FFFFFF" w:themeFill="background1"/>
            <w:noWrap/>
            <w:hideMark/>
          </w:tcPr>
          <w:p w14:paraId="4563AB5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BB0C96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9</w:t>
            </w:r>
          </w:p>
        </w:tc>
      </w:tr>
      <w:tr w:rsidR="00507499" w:rsidRPr="0018386D" w14:paraId="27FD4141" w14:textId="77777777" w:rsidTr="00BE7C13">
        <w:trPr>
          <w:divId w:val="253637040"/>
        </w:trPr>
        <w:tc>
          <w:tcPr>
            <w:tcW w:w="3686" w:type="dxa"/>
            <w:shd w:val="clear" w:color="auto" w:fill="FFFFFF" w:themeFill="background1"/>
            <w:noWrap/>
            <w:hideMark/>
          </w:tcPr>
          <w:p w14:paraId="710EB110" w14:textId="6D07F585" w:rsidR="008E2ED2" w:rsidRPr="0018386D" w:rsidRDefault="008E2ED2" w:rsidP="00DD3106">
            <w:pPr>
              <w:pStyle w:val="TableText"/>
              <w:spacing w:before="20" w:after="20"/>
              <w:rPr>
                <w:rFonts w:cs="Calibri"/>
                <w:szCs w:val="18"/>
                <w:lang w:bidi="th-TH"/>
              </w:rPr>
            </w:pPr>
            <w:r w:rsidRPr="0018386D">
              <w:rPr>
                <w:rFonts w:cs="Calibri"/>
                <w:szCs w:val="18"/>
                <w:lang w:bidi="th-TH"/>
              </w:rPr>
              <w:t>Halon-1201</w:t>
            </w:r>
          </w:p>
        </w:tc>
        <w:tc>
          <w:tcPr>
            <w:tcW w:w="2835" w:type="dxa"/>
            <w:shd w:val="clear" w:color="auto" w:fill="FFFFFF" w:themeFill="background1"/>
            <w:noWrap/>
            <w:hideMark/>
          </w:tcPr>
          <w:p w14:paraId="5BAB9A23" w14:textId="77777777" w:rsidR="008E2ED2" w:rsidRPr="0018386D" w:rsidRDefault="008E2ED2" w:rsidP="00DD3106">
            <w:pPr>
              <w:pStyle w:val="TableText"/>
              <w:spacing w:before="20" w:after="20"/>
              <w:rPr>
                <w:rFonts w:cs="Calibri"/>
                <w:szCs w:val="18"/>
                <w:lang w:bidi="th-TH"/>
              </w:rPr>
            </w:pPr>
            <w:proofErr w:type="spellStart"/>
            <w:r w:rsidRPr="0018386D">
              <w:rPr>
                <w:rFonts w:cs="Calibri"/>
                <w:szCs w:val="18"/>
                <w:lang w:bidi="th-TH"/>
              </w:rPr>
              <w:t>CHBrF</w:t>
            </w:r>
            <w:proofErr w:type="spellEnd"/>
            <w:r w:rsidRPr="0018386D">
              <w:rPr>
                <w:rFonts w:cs="Calibri"/>
                <w:szCs w:val="18"/>
                <w:lang w:bidi="th-TH"/>
              </w:rPr>
              <w:t>₂</w:t>
            </w:r>
          </w:p>
        </w:tc>
        <w:tc>
          <w:tcPr>
            <w:tcW w:w="709" w:type="dxa"/>
            <w:shd w:val="clear" w:color="auto" w:fill="FFFFFF" w:themeFill="background1"/>
            <w:noWrap/>
            <w:hideMark/>
          </w:tcPr>
          <w:p w14:paraId="61451D22"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37B9B30"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376</w:t>
            </w:r>
          </w:p>
        </w:tc>
      </w:tr>
      <w:tr w:rsidR="002215CA" w:rsidRPr="0018386D" w14:paraId="6FE197F9" w14:textId="77777777" w:rsidTr="00BE7C13">
        <w:trPr>
          <w:divId w:val="253637040"/>
        </w:trPr>
        <w:tc>
          <w:tcPr>
            <w:tcW w:w="3686" w:type="dxa"/>
            <w:tcBorders>
              <w:bottom w:val="single" w:sz="4" w:space="0" w:color="1B556B" w:themeColor="text2"/>
            </w:tcBorders>
            <w:shd w:val="clear" w:color="auto" w:fill="FFFFFF" w:themeFill="background1"/>
            <w:noWrap/>
            <w:hideMark/>
          </w:tcPr>
          <w:p w14:paraId="22F11A1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Methyl chloride</w:t>
            </w:r>
          </w:p>
        </w:tc>
        <w:tc>
          <w:tcPr>
            <w:tcW w:w="2835" w:type="dxa"/>
            <w:tcBorders>
              <w:bottom w:val="single" w:sz="4" w:space="0" w:color="1B556B" w:themeColor="text2"/>
            </w:tcBorders>
            <w:shd w:val="clear" w:color="auto" w:fill="FFFFFF" w:themeFill="background1"/>
            <w:noWrap/>
            <w:hideMark/>
          </w:tcPr>
          <w:p w14:paraId="16822678"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CH₃Cl</w:t>
            </w:r>
            <w:proofErr w:type="spellEnd"/>
          </w:p>
        </w:tc>
        <w:tc>
          <w:tcPr>
            <w:tcW w:w="709" w:type="dxa"/>
            <w:tcBorders>
              <w:bottom w:val="single" w:sz="4" w:space="0" w:color="1B556B" w:themeColor="text2"/>
            </w:tcBorders>
            <w:shd w:val="clear" w:color="auto" w:fill="FFFFFF" w:themeFill="background1"/>
            <w:noWrap/>
            <w:hideMark/>
          </w:tcPr>
          <w:p w14:paraId="1A0A7BB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1F392F8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12</w:t>
            </w:r>
          </w:p>
        </w:tc>
      </w:tr>
      <w:tr w:rsidR="00D85C74" w:rsidRPr="0018386D" w14:paraId="3ECED9D0" w14:textId="77777777">
        <w:trPr>
          <w:divId w:val="253637040"/>
        </w:trPr>
        <w:tc>
          <w:tcPr>
            <w:tcW w:w="8505" w:type="dxa"/>
            <w:gridSpan w:val="4"/>
            <w:shd w:val="clear" w:color="auto" w:fill="D2DDE1" w:themeFill="background2"/>
            <w:noWrap/>
            <w:hideMark/>
          </w:tcPr>
          <w:p w14:paraId="4596A1ED" w14:textId="49D7F229" w:rsidR="008E2ED2" w:rsidRPr="0018386D" w:rsidRDefault="0085183D" w:rsidP="00DD3106">
            <w:pPr>
              <w:pStyle w:val="TableText"/>
              <w:spacing w:before="20" w:after="20"/>
              <w:rPr>
                <w:rFonts w:cs="Calibri"/>
                <w:b/>
                <w:bCs/>
                <w:szCs w:val="18"/>
                <w:lang w:bidi="th-TH"/>
              </w:rPr>
            </w:pPr>
            <w:r w:rsidRPr="0018386D">
              <w:rPr>
                <w:rFonts w:cs="Calibri"/>
                <w:b/>
                <w:bCs/>
                <w:szCs w:val="18"/>
                <w:lang w:bidi="th-TH"/>
              </w:rPr>
              <w:t xml:space="preserve">Refrigerant blends – </w:t>
            </w:r>
            <w:proofErr w:type="spellStart"/>
            <w:r w:rsidRPr="0018386D">
              <w:rPr>
                <w:rFonts w:cs="Calibri"/>
                <w:b/>
                <w:bCs/>
                <w:szCs w:val="18"/>
                <w:lang w:bidi="th-TH"/>
              </w:rPr>
              <w:t>Zeotropes</w:t>
            </w:r>
            <w:proofErr w:type="spellEnd"/>
          </w:p>
        </w:tc>
      </w:tr>
      <w:tr w:rsidR="00507499" w:rsidRPr="0018386D" w14:paraId="6CC9D977" w14:textId="77777777" w:rsidTr="00BE7C13">
        <w:trPr>
          <w:divId w:val="253637040"/>
        </w:trPr>
        <w:tc>
          <w:tcPr>
            <w:tcW w:w="3686" w:type="dxa"/>
            <w:shd w:val="clear" w:color="auto" w:fill="FFFFFF" w:themeFill="background1"/>
            <w:noWrap/>
            <w:hideMark/>
          </w:tcPr>
          <w:p w14:paraId="2086DCCD" w14:textId="0C01B844" w:rsidR="008E2ED2" w:rsidRPr="0018386D" w:rsidRDefault="008E2ED2" w:rsidP="00DD3106">
            <w:pPr>
              <w:pStyle w:val="TableText"/>
              <w:spacing w:before="20" w:after="20"/>
              <w:rPr>
                <w:rFonts w:cs="Calibri"/>
                <w:szCs w:val="18"/>
                <w:lang w:bidi="th-TH"/>
              </w:rPr>
            </w:pPr>
            <w:r w:rsidRPr="0018386D">
              <w:rPr>
                <w:rFonts w:cs="Calibri"/>
                <w:szCs w:val="18"/>
                <w:lang w:bidi="th-TH"/>
              </w:rPr>
              <w:t>ASHRAE Refrigerant designation</w:t>
            </w:r>
            <w:r w:rsidR="001E0CF1" w:rsidRPr="0018386D">
              <w:rPr>
                <w:rStyle w:val="FootnoteReference"/>
                <w:rFonts w:cs="Calibri"/>
                <w:szCs w:val="18"/>
                <w:lang w:bidi="th-TH"/>
              </w:rPr>
              <w:footnoteReference w:id="21"/>
            </w:r>
          </w:p>
        </w:tc>
        <w:tc>
          <w:tcPr>
            <w:tcW w:w="2835" w:type="dxa"/>
            <w:shd w:val="clear" w:color="auto" w:fill="FFFFFF" w:themeFill="background1"/>
            <w:noWrap/>
            <w:hideMark/>
          </w:tcPr>
          <w:p w14:paraId="70D16EF3"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Mix (mass %)</w:t>
            </w:r>
          </w:p>
        </w:tc>
        <w:tc>
          <w:tcPr>
            <w:tcW w:w="709" w:type="dxa"/>
            <w:shd w:val="clear" w:color="auto" w:fill="FFFFFF" w:themeFill="background1"/>
            <w:noWrap/>
            <w:hideMark/>
          </w:tcPr>
          <w:p w14:paraId="2D9A4F3F"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Unit</w:t>
            </w:r>
          </w:p>
        </w:tc>
        <w:tc>
          <w:tcPr>
            <w:tcW w:w="1275" w:type="dxa"/>
            <w:shd w:val="clear" w:color="auto" w:fill="FFFFFF" w:themeFill="background1"/>
            <w:noWrap/>
            <w:hideMark/>
          </w:tcPr>
          <w:p w14:paraId="13DEFE2E"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n/a</w:t>
            </w:r>
          </w:p>
        </w:tc>
      </w:tr>
      <w:tr w:rsidR="00507499" w:rsidRPr="0018386D" w14:paraId="3A2BC08A" w14:textId="77777777" w:rsidTr="00BE7C13">
        <w:trPr>
          <w:divId w:val="253637040"/>
        </w:trPr>
        <w:tc>
          <w:tcPr>
            <w:tcW w:w="3686" w:type="dxa"/>
            <w:shd w:val="clear" w:color="auto" w:fill="FFFFFF" w:themeFill="background1"/>
            <w:noWrap/>
            <w:hideMark/>
          </w:tcPr>
          <w:p w14:paraId="16A89142"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403B</w:t>
            </w:r>
          </w:p>
        </w:tc>
        <w:tc>
          <w:tcPr>
            <w:tcW w:w="2835" w:type="dxa"/>
            <w:shd w:val="clear" w:color="auto" w:fill="FFFFFF" w:themeFill="background1"/>
            <w:noWrap/>
            <w:hideMark/>
          </w:tcPr>
          <w:p w14:paraId="5BD96186"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R-290/22/218 (5.0/56.0/39.0)</w:t>
            </w:r>
          </w:p>
        </w:tc>
        <w:tc>
          <w:tcPr>
            <w:tcW w:w="709" w:type="dxa"/>
            <w:shd w:val="clear" w:color="auto" w:fill="FFFFFF" w:themeFill="background1"/>
            <w:noWrap/>
            <w:hideMark/>
          </w:tcPr>
          <w:p w14:paraId="3D7F35A2"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4396D87"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4456.75</w:t>
            </w:r>
          </w:p>
        </w:tc>
      </w:tr>
      <w:tr w:rsidR="002215CA" w:rsidRPr="0018386D" w14:paraId="396DFFEA" w14:textId="77777777" w:rsidTr="00BE7C13">
        <w:trPr>
          <w:divId w:val="253637040"/>
        </w:trPr>
        <w:tc>
          <w:tcPr>
            <w:tcW w:w="3686" w:type="dxa"/>
            <w:shd w:val="clear" w:color="auto" w:fill="FFFFFF" w:themeFill="background1"/>
            <w:noWrap/>
            <w:hideMark/>
          </w:tcPr>
          <w:p w14:paraId="21FE5CC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404A</w:t>
            </w:r>
          </w:p>
        </w:tc>
        <w:tc>
          <w:tcPr>
            <w:tcW w:w="2835" w:type="dxa"/>
            <w:shd w:val="clear" w:color="auto" w:fill="FFFFFF" w:themeFill="background1"/>
            <w:noWrap/>
            <w:hideMark/>
          </w:tcPr>
          <w:p w14:paraId="3639B7E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R-125/143a/134a (44.0/52.0/4.0)</w:t>
            </w:r>
          </w:p>
        </w:tc>
        <w:tc>
          <w:tcPr>
            <w:tcW w:w="709" w:type="dxa"/>
            <w:shd w:val="clear" w:color="auto" w:fill="FFFFFF" w:themeFill="background1"/>
            <w:noWrap/>
            <w:hideMark/>
          </w:tcPr>
          <w:p w14:paraId="5F51C81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5F757DF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3942.8</w:t>
            </w:r>
          </w:p>
        </w:tc>
      </w:tr>
      <w:tr w:rsidR="002215CA" w:rsidRPr="0018386D" w14:paraId="4DDF2215" w14:textId="77777777" w:rsidTr="00BE7C13">
        <w:trPr>
          <w:divId w:val="253637040"/>
        </w:trPr>
        <w:tc>
          <w:tcPr>
            <w:tcW w:w="3686" w:type="dxa"/>
            <w:shd w:val="clear" w:color="auto" w:fill="FFFFFF" w:themeFill="background1"/>
            <w:noWrap/>
            <w:hideMark/>
          </w:tcPr>
          <w:p w14:paraId="0C52AFD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406A</w:t>
            </w:r>
          </w:p>
        </w:tc>
        <w:tc>
          <w:tcPr>
            <w:tcW w:w="2835" w:type="dxa"/>
            <w:shd w:val="clear" w:color="auto" w:fill="FFFFFF" w:themeFill="background1"/>
            <w:noWrap/>
            <w:hideMark/>
          </w:tcPr>
          <w:p w14:paraId="5B316150"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R-22/600a/142b (55.0/4.0/41.0)</w:t>
            </w:r>
          </w:p>
        </w:tc>
        <w:tc>
          <w:tcPr>
            <w:tcW w:w="709" w:type="dxa"/>
            <w:shd w:val="clear" w:color="auto" w:fill="FFFFFF" w:themeFill="background1"/>
            <w:noWrap/>
            <w:hideMark/>
          </w:tcPr>
          <w:p w14:paraId="106F247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2D69A0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1779.92</w:t>
            </w:r>
          </w:p>
        </w:tc>
      </w:tr>
      <w:tr w:rsidR="002215CA" w:rsidRPr="0018386D" w14:paraId="02ED7C15" w14:textId="77777777" w:rsidTr="00BE7C13">
        <w:trPr>
          <w:divId w:val="253637040"/>
        </w:trPr>
        <w:tc>
          <w:tcPr>
            <w:tcW w:w="3686" w:type="dxa"/>
            <w:shd w:val="clear" w:color="auto" w:fill="FFFFFF" w:themeFill="background1"/>
            <w:noWrap/>
            <w:hideMark/>
          </w:tcPr>
          <w:p w14:paraId="5ED4917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407C</w:t>
            </w:r>
          </w:p>
        </w:tc>
        <w:tc>
          <w:tcPr>
            <w:tcW w:w="2835" w:type="dxa"/>
            <w:shd w:val="clear" w:color="auto" w:fill="FFFFFF" w:themeFill="background1"/>
            <w:noWrap/>
            <w:hideMark/>
          </w:tcPr>
          <w:p w14:paraId="1BDCF32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R-32/125/134a (23.0/25.0/52.0)</w:t>
            </w:r>
          </w:p>
        </w:tc>
        <w:tc>
          <w:tcPr>
            <w:tcW w:w="709" w:type="dxa"/>
            <w:shd w:val="clear" w:color="auto" w:fill="FFFFFF" w:themeFill="background1"/>
            <w:noWrap/>
            <w:hideMark/>
          </w:tcPr>
          <w:p w14:paraId="0669A54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DF60A1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1624.21</w:t>
            </w:r>
          </w:p>
        </w:tc>
      </w:tr>
      <w:tr w:rsidR="002215CA" w:rsidRPr="0018386D" w14:paraId="33C48E28" w14:textId="77777777" w:rsidTr="00BE7C13">
        <w:trPr>
          <w:divId w:val="253637040"/>
        </w:trPr>
        <w:tc>
          <w:tcPr>
            <w:tcW w:w="3686" w:type="dxa"/>
            <w:shd w:val="clear" w:color="auto" w:fill="FFFFFF" w:themeFill="background1"/>
            <w:noWrap/>
            <w:hideMark/>
          </w:tcPr>
          <w:p w14:paraId="73540A1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407F</w:t>
            </w:r>
          </w:p>
        </w:tc>
        <w:tc>
          <w:tcPr>
            <w:tcW w:w="2835" w:type="dxa"/>
            <w:shd w:val="clear" w:color="auto" w:fill="FFFFFF" w:themeFill="background1"/>
            <w:noWrap/>
            <w:hideMark/>
          </w:tcPr>
          <w:p w14:paraId="7A14A3E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R-32/125/134a (30.0/30.0/40.0)</w:t>
            </w:r>
          </w:p>
        </w:tc>
        <w:tc>
          <w:tcPr>
            <w:tcW w:w="709" w:type="dxa"/>
            <w:shd w:val="clear" w:color="auto" w:fill="FFFFFF" w:themeFill="background1"/>
            <w:noWrap/>
            <w:hideMark/>
          </w:tcPr>
          <w:p w14:paraId="04E06C3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0A48D1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1674.1</w:t>
            </w:r>
          </w:p>
        </w:tc>
      </w:tr>
      <w:tr w:rsidR="002215CA" w:rsidRPr="0018386D" w14:paraId="59B8E2E6" w14:textId="77777777" w:rsidTr="00BE7C13">
        <w:trPr>
          <w:divId w:val="253637040"/>
        </w:trPr>
        <w:tc>
          <w:tcPr>
            <w:tcW w:w="3686" w:type="dxa"/>
            <w:shd w:val="clear" w:color="auto" w:fill="FFFFFF" w:themeFill="background1"/>
            <w:noWrap/>
            <w:hideMark/>
          </w:tcPr>
          <w:p w14:paraId="2CB550D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408A</w:t>
            </w:r>
          </w:p>
        </w:tc>
        <w:tc>
          <w:tcPr>
            <w:tcW w:w="2835" w:type="dxa"/>
            <w:shd w:val="clear" w:color="auto" w:fill="FFFFFF" w:themeFill="background1"/>
            <w:noWrap/>
            <w:hideMark/>
          </w:tcPr>
          <w:p w14:paraId="42EC4E8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R-125/143a/22 (7.0/46.0/47.0)</w:t>
            </w:r>
          </w:p>
        </w:tc>
        <w:tc>
          <w:tcPr>
            <w:tcW w:w="709" w:type="dxa"/>
            <w:shd w:val="clear" w:color="auto" w:fill="FFFFFF" w:themeFill="background1"/>
            <w:noWrap/>
            <w:hideMark/>
          </w:tcPr>
          <w:p w14:paraId="7E8E8BB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D935F3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3257.1</w:t>
            </w:r>
          </w:p>
        </w:tc>
      </w:tr>
      <w:tr w:rsidR="002215CA" w:rsidRPr="0018386D" w14:paraId="04C576DE" w14:textId="77777777" w:rsidTr="00BE7C13">
        <w:trPr>
          <w:divId w:val="253637040"/>
        </w:trPr>
        <w:tc>
          <w:tcPr>
            <w:tcW w:w="3686" w:type="dxa"/>
            <w:shd w:val="clear" w:color="auto" w:fill="FFFFFF" w:themeFill="background1"/>
            <w:noWrap/>
            <w:hideMark/>
          </w:tcPr>
          <w:p w14:paraId="3AAE4F6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409A</w:t>
            </w:r>
          </w:p>
        </w:tc>
        <w:tc>
          <w:tcPr>
            <w:tcW w:w="2835" w:type="dxa"/>
            <w:shd w:val="clear" w:color="auto" w:fill="FFFFFF" w:themeFill="background1"/>
            <w:noWrap/>
            <w:hideMark/>
          </w:tcPr>
          <w:p w14:paraId="4C2965E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R-22/124/142b (60.0/25.0/15.0)</w:t>
            </w:r>
          </w:p>
        </w:tc>
        <w:tc>
          <w:tcPr>
            <w:tcW w:w="709" w:type="dxa"/>
            <w:shd w:val="clear" w:color="auto" w:fill="FFFFFF" w:themeFill="background1"/>
            <w:noWrap/>
            <w:hideMark/>
          </w:tcPr>
          <w:p w14:paraId="6B374B4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350908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1484.75</w:t>
            </w:r>
          </w:p>
        </w:tc>
      </w:tr>
      <w:tr w:rsidR="002215CA" w:rsidRPr="0018386D" w14:paraId="74CD1EA3" w14:textId="77777777" w:rsidTr="00BE7C13">
        <w:trPr>
          <w:divId w:val="253637040"/>
        </w:trPr>
        <w:tc>
          <w:tcPr>
            <w:tcW w:w="3686" w:type="dxa"/>
            <w:shd w:val="clear" w:color="auto" w:fill="FFFFFF" w:themeFill="background1"/>
            <w:noWrap/>
            <w:hideMark/>
          </w:tcPr>
          <w:p w14:paraId="5F66F0D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409B</w:t>
            </w:r>
          </w:p>
        </w:tc>
        <w:tc>
          <w:tcPr>
            <w:tcW w:w="2835" w:type="dxa"/>
            <w:shd w:val="clear" w:color="auto" w:fill="FFFFFF" w:themeFill="background1"/>
            <w:noWrap/>
            <w:hideMark/>
          </w:tcPr>
          <w:p w14:paraId="0B32C18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R-22/124/142b (65.0/25.0/10.0)</w:t>
            </w:r>
          </w:p>
        </w:tc>
        <w:tc>
          <w:tcPr>
            <w:tcW w:w="709" w:type="dxa"/>
            <w:shd w:val="clear" w:color="auto" w:fill="FFFFFF" w:themeFill="background1"/>
            <w:noWrap/>
            <w:hideMark/>
          </w:tcPr>
          <w:p w14:paraId="3537F65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EF269A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1473.75</w:t>
            </w:r>
          </w:p>
        </w:tc>
      </w:tr>
      <w:tr w:rsidR="002215CA" w:rsidRPr="0018386D" w14:paraId="581225BB" w14:textId="77777777" w:rsidTr="00BE7C13">
        <w:trPr>
          <w:divId w:val="253637040"/>
        </w:trPr>
        <w:tc>
          <w:tcPr>
            <w:tcW w:w="3686" w:type="dxa"/>
            <w:shd w:val="clear" w:color="auto" w:fill="FFFFFF" w:themeFill="background1"/>
            <w:noWrap/>
            <w:hideMark/>
          </w:tcPr>
          <w:p w14:paraId="739488F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410A</w:t>
            </w:r>
          </w:p>
        </w:tc>
        <w:tc>
          <w:tcPr>
            <w:tcW w:w="2835" w:type="dxa"/>
            <w:shd w:val="clear" w:color="auto" w:fill="FFFFFF" w:themeFill="background1"/>
            <w:noWrap/>
            <w:hideMark/>
          </w:tcPr>
          <w:p w14:paraId="24588E9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R-32/125 (50.0/50.0)</w:t>
            </w:r>
          </w:p>
        </w:tc>
        <w:tc>
          <w:tcPr>
            <w:tcW w:w="709" w:type="dxa"/>
            <w:shd w:val="clear" w:color="auto" w:fill="FFFFFF" w:themeFill="background1"/>
            <w:noWrap/>
            <w:hideMark/>
          </w:tcPr>
          <w:p w14:paraId="7462ABF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86CFC27"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1923.5</w:t>
            </w:r>
          </w:p>
        </w:tc>
      </w:tr>
      <w:tr w:rsidR="00507499" w:rsidRPr="0018386D" w14:paraId="226ED2DC" w14:textId="77777777" w:rsidTr="00BE7C13">
        <w:trPr>
          <w:divId w:val="253637040"/>
        </w:trPr>
        <w:tc>
          <w:tcPr>
            <w:tcW w:w="3686" w:type="dxa"/>
            <w:shd w:val="clear" w:color="auto" w:fill="FFFFFF" w:themeFill="background1"/>
            <w:noWrap/>
            <w:hideMark/>
          </w:tcPr>
          <w:p w14:paraId="77107390" w14:textId="4B3E4E4D" w:rsidR="008E2ED2" w:rsidRPr="0018386D" w:rsidRDefault="00410FBD" w:rsidP="00DD3106">
            <w:pPr>
              <w:pStyle w:val="TableText"/>
              <w:spacing w:before="20" w:after="20"/>
              <w:rPr>
                <w:rFonts w:cs="Calibri"/>
                <w:szCs w:val="18"/>
                <w:lang w:bidi="th-TH"/>
              </w:rPr>
            </w:pPr>
            <w:r w:rsidRPr="0018386D">
              <w:rPr>
                <w:rFonts w:cs="Calibri"/>
                <w:szCs w:val="18"/>
                <w:lang w:bidi="th-TH"/>
              </w:rPr>
              <w:t>413A</w:t>
            </w:r>
          </w:p>
        </w:tc>
        <w:tc>
          <w:tcPr>
            <w:tcW w:w="2835" w:type="dxa"/>
            <w:shd w:val="clear" w:color="auto" w:fill="FFFFFF" w:themeFill="background1"/>
            <w:noWrap/>
            <w:hideMark/>
          </w:tcPr>
          <w:p w14:paraId="4D2E5359" w14:textId="6BDB28C6" w:rsidR="008E2ED2" w:rsidRPr="0018386D" w:rsidRDefault="00410FBD" w:rsidP="00DD3106">
            <w:pPr>
              <w:pStyle w:val="TableText"/>
              <w:spacing w:before="20" w:after="20"/>
              <w:rPr>
                <w:rFonts w:cs="Calibri"/>
                <w:szCs w:val="18"/>
                <w:lang w:bidi="th-TH"/>
              </w:rPr>
            </w:pPr>
            <w:r w:rsidRPr="0018386D">
              <w:rPr>
                <w:rFonts w:cs="Calibri"/>
                <w:szCs w:val="18"/>
                <w:lang w:bidi="th-TH"/>
              </w:rPr>
              <w:t>R-218/134a/600a (9.0/88.0/3.0)</w:t>
            </w:r>
          </w:p>
        </w:tc>
        <w:tc>
          <w:tcPr>
            <w:tcW w:w="709" w:type="dxa"/>
            <w:shd w:val="clear" w:color="auto" w:fill="FFFFFF" w:themeFill="background1"/>
            <w:noWrap/>
            <w:hideMark/>
          </w:tcPr>
          <w:p w14:paraId="054056E0" w14:textId="51B8272B" w:rsidR="008E2ED2" w:rsidRPr="0018386D" w:rsidRDefault="00410FBD"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051852D" w14:textId="07C0C63B" w:rsidR="008E2ED2" w:rsidRPr="0018386D" w:rsidRDefault="00410FBD" w:rsidP="00DD3106">
            <w:pPr>
              <w:pStyle w:val="TableText"/>
              <w:spacing w:before="20" w:after="20"/>
              <w:rPr>
                <w:rFonts w:cs="Calibri"/>
                <w:szCs w:val="18"/>
                <w:lang w:bidi="th-TH"/>
              </w:rPr>
            </w:pPr>
            <w:r w:rsidRPr="0018386D">
              <w:rPr>
                <w:rFonts w:cs="Calibri"/>
                <w:szCs w:val="18"/>
                <w:lang w:bidi="th-TH"/>
              </w:rPr>
              <w:t>1945.09</w:t>
            </w:r>
          </w:p>
        </w:tc>
      </w:tr>
      <w:tr w:rsidR="00507499" w:rsidRPr="0018386D" w14:paraId="18DF3453" w14:textId="77777777" w:rsidTr="00BE7C13">
        <w:trPr>
          <w:divId w:val="253637040"/>
        </w:trPr>
        <w:tc>
          <w:tcPr>
            <w:tcW w:w="3686" w:type="dxa"/>
            <w:shd w:val="clear" w:color="auto" w:fill="FFFFFF" w:themeFill="background1"/>
            <w:noWrap/>
            <w:hideMark/>
          </w:tcPr>
          <w:p w14:paraId="109C0EA7" w14:textId="098170F8" w:rsidR="008E2ED2" w:rsidRPr="0018386D" w:rsidRDefault="00410FBD" w:rsidP="00DD3106">
            <w:pPr>
              <w:pStyle w:val="TableText"/>
              <w:spacing w:before="20" w:after="20"/>
              <w:rPr>
                <w:rFonts w:cs="Calibri"/>
                <w:szCs w:val="18"/>
                <w:lang w:bidi="th-TH"/>
              </w:rPr>
            </w:pPr>
            <w:r w:rsidRPr="0018386D">
              <w:rPr>
                <w:rFonts w:cs="Calibri"/>
                <w:szCs w:val="18"/>
                <w:lang w:bidi="th-TH"/>
              </w:rPr>
              <w:t>416A</w:t>
            </w:r>
          </w:p>
        </w:tc>
        <w:tc>
          <w:tcPr>
            <w:tcW w:w="2835" w:type="dxa"/>
            <w:shd w:val="clear" w:color="auto" w:fill="FFFFFF" w:themeFill="background1"/>
            <w:noWrap/>
            <w:hideMark/>
          </w:tcPr>
          <w:p w14:paraId="4DEAD025" w14:textId="7C6FA867" w:rsidR="008E2ED2" w:rsidRPr="0018386D" w:rsidRDefault="00410FBD" w:rsidP="00DD3106">
            <w:pPr>
              <w:pStyle w:val="TableText"/>
              <w:spacing w:before="20" w:after="20"/>
              <w:rPr>
                <w:rFonts w:cs="Calibri"/>
                <w:szCs w:val="18"/>
                <w:lang w:bidi="th-TH"/>
              </w:rPr>
            </w:pPr>
            <w:r w:rsidRPr="0018386D">
              <w:rPr>
                <w:rFonts w:cs="Calibri"/>
                <w:szCs w:val="18"/>
                <w:lang w:bidi="th-TH"/>
              </w:rPr>
              <w:t>R-134a/124/600 (59.0/39.5/1.5)</w:t>
            </w:r>
          </w:p>
        </w:tc>
        <w:tc>
          <w:tcPr>
            <w:tcW w:w="709" w:type="dxa"/>
            <w:shd w:val="clear" w:color="auto" w:fill="FFFFFF" w:themeFill="background1"/>
            <w:noWrap/>
            <w:hideMark/>
          </w:tcPr>
          <w:p w14:paraId="443FED1D" w14:textId="629C6AA8" w:rsidR="008E2ED2" w:rsidRPr="0018386D" w:rsidRDefault="00410FBD"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3784AEC" w14:textId="25B496F5" w:rsidR="008E2ED2" w:rsidRPr="0018386D" w:rsidRDefault="00410FBD" w:rsidP="00DD3106">
            <w:pPr>
              <w:pStyle w:val="TableText"/>
              <w:spacing w:before="20" w:after="20"/>
              <w:rPr>
                <w:rFonts w:cs="Calibri"/>
                <w:szCs w:val="18"/>
                <w:lang w:bidi="th-TH"/>
              </w:rPr>
            </w:pPr>
            <w:r w:rsidRPr="0018386D">
              <w:rPr>
                <w:rFonts w:cs="Calibri"/>
                <w:szCs w:val="18"/>
                <w:lang w:bidi="th-TH"/>
              </w:rPr>
              <w:t>975.21</w:t>
            </w:r>
          </w:p>
        </w:tc>
      </w:tr>
      <w:tr w:rsidR="00507499" w:rsidRPr="0018386D" w14:paraId="6633E3B1" w14:textId="77777777" w:rsidTr="00BE7C13">
        <w:trPr>
          <w:divId w:val="253637040"/>
        </w:trPr>
        <w:tc>
          <w:tcPr>
            <w:tcW w:w="3686" w:type="dxa"/>
            <w:shd w:val="clear" w:color="auto" w:fill="FFFFFF" w:themeFill="background1"/>
            <w:noWrap/>
            <w:hideMark/>
          </w:tcPr>
          <w:p w14:paraId="45E71FE8" w14:textId="1C100C5F" w:rsidR="008E2ED2" w:rsidRPr="0018386D" w:rsidRDefault="00410FBD" w:rsidP="00DD3106">
            <w:pPr>
              <w:pStyle w:val="TableText"/>
              <w:spacing w:before="20" w:after="20"/>
              <w:rPr>
                <w:rFonts w:cs="Calibri"/>
                <w:szCs w:val="18"/>
                <w:lang w:bidi="th-TH"/>
              </w:rPr>
            </w:pPr>
            <w:r w:rsidRPr="0018386D">
              <w:rPr>
                <w:rFonts w:cs="Calibri"/>
                <w:szCs w:val="18"/>
                <w:lang w:bidi="th-TH"/>
              </w:rPr>
              <w:t>417A</w:t>
            </w:r>
          </w:p>
        </w:tc>
        <w:tc>
          <w:tcPr>
            <w:tcW w:w="2835" w:type="dxa"/>
            <w:shd w:val="clear" w:color="auto" w:fill="FFFFFF" w:themeFill="background1"/>
            <w:noWrap/>
            <w:hideMark/>
          </w:tcPr>
          <w:p w14:paraId="4EBFD342" w14:textId="4D7A0613" w:rsidR="008E2ED2" w:rsidRPr="0018386D" w:rsidRDefault="00410FBD" w:rsidP="00DD3106">
            <w:pPr>
              <w:pStyle w:val="TableText"/>
              <w:spacing w:before="20" w:after="20"/>
              <w:rPr>
                <w:rFonts w:cs="Calibri"/>
                <w:szCs w:val="18"/>
                <w:lang w:bidi="th-TH"/>
              </w:rPr>
            </w:pPr>
            <w:r w:rsidRPr="0018386D">
              <w:rPr>
                <w:rFonts w:cs="Calibri"/>
                <w:szCs w:val="18"/>
                <w:lang w:bidi="th-TH"/>
              </w:rPr>
              <w:t>R-125/134a/600 (46.6/50.0/3.4)</w:t>
            </w:r>
          </w:p>
        </w:tc>
        <w:tc>
          <w:tcPr>
            <w:tcW w:w="709" w:type="dxa"/>
            <w:shd w:val="clear" w:color="auto" w:fill="FFFFFF" w:themeFill="background1"/>
            <w:noWrap/>
            <w:hideMark/>
          </w:tcPr>
          <w:p w14:paraId="30186BDC" w14:textId="5D47EF20" w:rsidR="008E2ED2" w:rsidRPr="0018386D" w:rsidRDefault="00410FBD"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33EEAB71" w14:textId="2BAD91DE" w:rsidR="008E2ED2" w:rsidRPr="0018386D" w:rsidRDefault="00410FBD" w:rsidP="00DD3106">
            <w:pPr>
              <w:pStyle w:val="TableText"/>
              <w:spacing w:before="20" w:after="20"/>
              <w:rPr>
                <w:rFonts w:cs="Calibri"/>
                <w:szCs w:val="18"/>
                <w:lang w:bidi="th-TH"/>
              </w:rPr>
            </w:pPr>
            <w:r w:rsidRPr="0018386D">
              <w:rPr>
                <w:rFonts w:cs="Calibri"/>
                <w:szCs w:val="18"/>
                <w:lang w:bidi="th-TH"/>
              </w:rPr>
              <w:t>2127.322</w:t>
            </w:r>
          </w:p>
        </w:tc>
      </w:tr>
      <w:tr w:rsidR="00507499" w:rsidRPr="0018386D" w14:paraId="3294DA37" w14:textId="77777777" w:rsidTr="00BE7C13">
        <w:trPr>
          <w:divId w:val="253637040"/>
        </w:trPr>
        <w:tc>
          <w:tcPr>
            <w:tcW w:w="3686" w:type="dxa"/>
            <w:shd w:val="clear" w:color="auto" w:fill="FFFFFF" w:themeFill="background1"/>
            <w:noWrap/>
            <w:hideMark/>
          </w:tcPr>
          <w:p w14:paraId="6FB2EEBD" w14:textId="3CC1B310" w:rsidR="008E2ED2" w:rsidRPr="0018386D" w:rsidRDefault="00DE434C" w:rsidP="00DD3106">
            <w:pPr>
              <w:pStyle w:val="TableText"/>
              <w:spacing w:before="20" w:after="20"/>
              <w:rPr>
                <w:rFonts w:cs="Calibri"/>
                <w:szCs w:val="18"/>
                <w:lang w:bidi="th-TH"/>
              </w:rPr>
            </w:pPr>
            <w:r w:rsidRPr="0018386D">
              <w:rPr>
                <w:rFonts w:cs="Calibri"/>
                <w:szCs w:val="18"/>
                <w:lang w:bidi="th-TH"/>
              </w:rPr>
              <w:t>422A</w:t>
            </w:r>
          </w:p>
        </w:tc>
        <w:tc>
          <w:tcPr>
            <w:tcW w:w="2835" w:type="dxa"/>
            <w:shd w:val="clear" w:color="auto" w:fill="FFFFFF" w:themeFill="background1"/>
            <w:noWrap/>
            <w:hideMark/>
          </w:tcPr>
          <w:p w14:paraId="3E7DC903" w14:textId="5B18644C" w:rsidR="008E2ED2" w:rsidRPr="0018386D" w:rsidRDefault="00DE434C" w:rsidP="00DD3106">
            <w:pPr>
              <w:pStyle w:val="TableText"/>
              <w:spacing w:before="20" w:after="20"/>
              <w:rPr>
                <w:rFonts w:cs="Calibri"/>
                <w:szCs w:val="18"/>
                <w:lang w:bidi="th-TH"/>
              </w:rPr>
            </w:pPr>
            <w:r w:rsidRPr="0018386D">
              <w:rPr>
                <w:rFonts w:cs="Calibri"/>
                <w:szCs w:val="18"/>
                <w:lang w:bidi="th-TH"/>
              </w:rPr>
              <w:t>R-125/134a/600a (85.1/11.5/3.4))</w:t>
            </w:r>
          </w:p>
        </w:tc>
        <w:tc>
          <w:tcPr>
            <w:tcW w:w="709" w:type="dxa"/>
            <w:shd w:val="clear" w:color="auto" w:fill="FFFFFF" w:themeFill="background1"/>
            <w:noWrap/>
            <w:hideMark/>
          </w:tcPr>
          <w:p w14:paraId="7A9557C5" w14:textId="51CCAE38" w:rsidR="008E2ED2" w:rsidRPr="0018386D" w:rsidRDefault="00DE434C"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E551F0B" w14:textId="344488CA" w:rsidR="008E2ED2" w:rsidRPr="0018386D" w:rsidRDefault="00DE434C" w:rsidP="00DD3106">
            <w:pPr>
              <w:pStyle w:val="TableText"/>
              <w:spacing w:before="20" w:after="20"/>
              <w:rPr>
                <w:rFonts w:cs="Calibri"/>
                <w:szCs w:val="18"/>
                <w:lang w:bidi="th-TH"/>
              </w:rPr>
            </w:pPr>
            <w:r w:rsidRPr="0018386D">
              <w:rPr>
                <w:rFonts w:cs="Calibri"/>
                <w:szCs w:val="18"/>
                <w:lang w:bidi="th-TH"/>
              </w:rPr>
              <w:t>2847.272</w:t>
            </w:r>
          </w:p>
        </w:tc>
      </w:tr>
      <w:tr w:rsidR="002215CA" w:rsidRPr="0018386D" w14:paraId="09881FF6" w14:textId="77777777" w:rsidTr="00BE7C13">
        <w:trPr>
          <w:divId w:val="253637040"/>
        </w:trPr>
        <w:tc>
          <w:tcPr>
            <w:tcW w:w="3686" w:type="dxa"/>
            <w:shd w:val="clear" w:color="auto" w:fill="FFFFFF" w:themeFill="background1"/>
            <w:noWrap/>
            <w:hideMark/>
          </w:tcPr>
          <w:p w14:paraId="701B3331"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436A</w:t>
            </w:r>
          </w:p>
        </w:tc>
        <w:tc>
          <w:tcPr>
            <w:tcW w:w="2835" w:type="dxa"/>
            <w:shd w:val="clear" w:color="auto" w:fill="FFFFFF" w:themeFill="background1"/>
            <w:noWrap/>
            <w:hideMark/>
          </w:tcPr>
          <w:p w14:paraId="5E87D004"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R-290/600a (56.0/44.0)</w:t>
            </w:r>
          </w:p>
        </w:tc>
        <w:tc>
          <w:tcPr>
            <w:tcW w:w="709" w:type="dxa"/>
            <w:shd w:val="clear" w:color="auto" w:fill="FFFFFF" w:themeFill="background1"/>
            <w:noWrap/>
            <w:hideMark/>
          </w:tcPr>
          <w:p w14:paraId="1B4414F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1DE58766"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w:t>
            </w:r>
          </w:p>
        </w:tc>
      </w:tr>
      <w:tr w:rsidR="002215CA" w:rsidRPr="0018386D" w14:paraId="581EC3A8" w14:textId="77777777" w:rsidTr="00BE7C13">
        <w:trPr>
          <w:divId w:val="253637040"/>
        </w:trPr>
        <w:tc>
          <w:tcPr>
            <w:tcW w:w="3686" w:type="dxa"/>
            <w:shd w:val="clear" w:color="auto" w:fill="FFFFFF" w:themeFill="background1"/>
            <w:noWrap/>
            <w:hideMark/>
          </w:tcPr>
          <w:p w14:paraId="63C6A9D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436B</w:t>
            </w:r>
          </w:p>
        </w:tc>
        <w:tc>
          <w:tcPr>
            <w:tcW w:w="2835" w:type="dxa"/>
            <w:shd w:val="clear" w:color="auto" w:fill="FFFFFF" w:themeFill="background1"/>
            <w:noWrap/>
            <w:hideMark/>
          </w:tcPr>
          <w:p w14:paraId="576F8EC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R-290/600a (52.0/48.0)</w:t>
            </w:r>
          </w:p>
        </w:tc>
        <w:tc>
          <w:tcPr>
            <w:tcW w:w="709" w:type="dxa"/>
            <w:shd w:val="clear" w:color="auto" w:fill="FFFFFF" w:themeFill="background1"/>
            <w:noWrap/>
            <w:hideMark/>
          </w:tcPr>
          <w:p w14:paraId="6DC6308D"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6741888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w:t>
            </w:r>
          </w:p>
        </w:tc>
      </w:tr>
      <w:tr w:rsidR="00507499" w:rsidRPr="0018386D" w14:paraId="52D2DB54" w14:textId="77777777" w:rsidTr="00BE7C13">
        <w:trPr>
          <w:divId w:val="253637040"/>
        </w:trPr>
        <w:tc>
          <w:tcPr>
            <w:tcW w:w="3686" w:type="dxa"/>
            <w:tcBorders>
              <w:bottom w:val="single" w:sz="4" w:space="0" w:color="1B556B" w:themeColor="text2"/>
            </w:tcBorders>
            <w:shd w:val="clear" w:color="auto" w:fill="FFFFFF" w:themeFill="background1"/>
            <w:noWrap/>
            <w:hideMark/>
          </w:tcPr>
          <w:p w14:paraId="7EB970C9"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502</w:t>
            </w:r>
          </w:p>
        </w:tc>
        <w:tc>
          <w:tcPr>
            <w:tcW w:w="2835" w:type="dxa"/>
            <w:tcBorders>
              <w:bottom w:val="single" w:sz="4" w:space="0" w:color="1B556B" w:themeColor="text2"/>
            </w:tcBorders>
            <w:shd w:val="clear" w:color="auto" w:fill="FFFFFF" w:themeFill="background1"/>
            <w:noWrap/>
            <w:hideMark/>
          </w:tcPr>
          <w:p w14:paraId="2B28BA78"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R-22/115 (48.8/51.2)</w:t>
            </w:r>
          </w:p>
        </w:tc>
        <w:tc>
          <w:tcPr>
            <w:tcW w:w="709" w:type="dxa"/>
            <w:tcBorders>
              <w:bottom w:val="single" w:sz="4" w:space="0" w:color="1B556B" w:themeColor="text2"/>
            </w:tcBorders>
            <w:shd w:val="clear" w:color="auto" w:fill="FFFFFF" w:themeFill="background1"/>
            <w:noWrap/>
            <w:hideMark/>
          </w:tcPr>
          <w:p w14:paraId="5486535A"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403881A8" w14:textId="77777777" w:rsidR="008E2ED2" w:rsidRPr="0018386D" w:rsidRDefault="008E2ED2" w:rsidP="00DD3106">
            <w:pPr>
              <w:pStyle w:val="TableText"/>
              <w:spacing w:before="20" w:after="20"/>
              <w:rPr>
                <w:rFonts w:cs="Calibri"/>
                <w:szCs w:val="18"/>
                <w:lang w:bidi="th-TH"/>
              </w:rPr>
            </w:pPr>
            <w:r w:rsidRPr="0018386D">
              <w:rPr>
                <w:rFonts w:cs="Calibri"/>
                <w:szCs w:val="18"/>
                <w:lang w:bidi="th-TH"/>
              </w:rPr>
              <w:t>4785.92</w:t>
            </w:r>
          </w:p>
        </w:tc>
      </w:tr>
      <w:tr w:rsidR="002215CA" w:rsidRPr="0018386D" w14:paraId="02D208DE" w14:textId="77777777" w:rsidTr="00BE7C13">
        <w:trPr>
          <w:divId w:val="253637040"/>
        </w:trPr>
        <w:tc>
          <w:tcPr>
            <w:tcW w:w="3686" w:type="dxa"/>
            <w:tcBorders>
              <w:bottom w:val="single" w:sz="4" w:space="0" w:color="1B556B" w:themeColor="text2"/>
            </w:tcBorders>
            <w:shd w:val="clear" w:color="auto" w:fill="FFFFFF" w:themeFill="background1"/>
            <w:noWrap/>
            <w:hideMark/>
          </w:tcPr>
          <w:p w14:paraId="0C2402F9"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507A</w:t>
            </w:r>
          </w:p>
        </w:tc>
        <w:tc>
          <w:tcPr>
            <w:tcW w:w="2835" w:type="dxa"/>
            <w:tcBorders>
              <w:bottom w:val="single" w:sz="4" w:space="0" w:color="1B556B" w:themeColor="text2"/>
            </w:tcBorders>
            <w:shd w:val="clear" w:color="auto" w:fill="FFFFFF" w:themeFill="background1"/>
            <w:noWrap/>
            <w:hideMark/>
          </w:tcPr>
          <w:p w14:paraId="5C92BDC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R-125/143a (50.0/50.0)</w:t>
            </w:r>
          </w:p>
        </w:tc>
        <w:tc>
          <w:tcPr>
            <w:tcW w:w="709" w:type="dxa"/>
            <w:tcBorders>
              <w:bottom w:val="single" w:sz="4" w:space="0" w:color="1B556B" w:themeColor="text2"/>
            </w:tcBorders>
            <w:shd w:val="clear" w:color="auto" w:fill="FFFFFF" w:themeFill="background1"/>
            <w:noWrap/>
            <w:hideMark/>
          </w:tcPr>
          <w:p w14:paraId="04878BC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5F094CB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3985</w:t>
            </w:r>
          </w:p>
        </w:tc>
      </w:tr>
      <w:tr w:rsidR="002215CA" w:rsidRPr="0018386D" w14:paraId="3C302D9F" w14:textId="77777777">
        <w:trPr>
          <w:divId w:val="253637040"/>
        </w:trPr>
        <w:tc>
          <w:tcPr>
            <w:tcW w:w="8505" w:type="dxa"/>
            <w:gridSpan w:val="4"/>
            <w:shd w:val="clear" w:color="auto" w:fill="D2DDE1" w:themeFill="background2"/>
            <w:noWrap/>
            <w:hideMark/>
          </w:tcPr>
          <w:p w14:paraId="03A06ADC" w14:textId="2032155B" w:rsidR="008E2ED2" w:rsidRPr="0018386D" w:rsidRDefault="0085183D" w:rsidP="00DD3106">
            <w:pPr>
              <w:pStyle w:val="TableText"/>
              <w:spacing w:before="20" w:after="20"/>
              <w:rPr>
                <w:rFonts w:cs="Calibri"/>
                <w:b/>
                <w:bCs/>
                <w:szCs w:val="18"/>
                <w:lang w:bidi="th-TH"/>
              </w:rPr>
            </w:pPr>
            <w:r w:rsidRPr="0018386D">
              <w:rPr>
                <w:rFonts w:cs="Calibri"/>
                <w:b/>
                <w:bCs/>
                <w:szCs w:val="18"/>
                <w:lang w:bidi="th-TH"/>
              </w:rPr>
              <w:t>Medical gases</w:t>
            </w:r>
          </w:p>
        </w:tc>
      </w:tr>
      <w:tr w:rsidR="002215CA" w:rsidRPr="0018386D" w14:paraId="76146164" w14:textId="77777777" w:rsidTr="00BE7C13">
        <w:trPr>
          <w:divId w:val="253637040"/>
        </w:trPr>
        <w:tc>
          <w:tcPr>
            <w:tcW w:w="3686" w:type="dxa"/>
            <w:shd w:val="clear" w:color="auto" w:fill="FFFFFF" w:themeFill="background1"/>
            <w:noWrap/>
            <w:hideMark/>
          </w:tcPr>
          <w:p w14:paraId="10254B7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HFE-347mmz1 (Sevoflurane)</w:t>
            </w:r>
          </w:p>
        </w:tc>
        <w:tc>
          <w:tcPr>
            <w:tcW w:w="2835" w:type="dxa"/>
            <w:shd w:val="clear" w:color="auto" w:fill="FFFFFF" w:themeFill="background1"/>
            <w:noWrap/>
            <w:hideMark/>
          </w:tcPr>
          <w:p w14:paraId="01CC166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(CF</w:t>
            </w:r>
            <w:proofErr w:type="gramStart"/>
            <w:r w:rsidRPr="0018386D">
              <w:rPr>
                <w:rFonts w:cs="Calibri"/>
                <w:szCs w:val="18"/>
                <w:lang w:bidi="th-TH"/>
              </w:rPr>
              <w:t>₃)₂</w:t>
            </w:r>
            <w:proofErr w:type="gramEnd"/>
            <w:r w:rsidRPr="0018386D">
              <w:rPr>
                <w:rFonts w:cs="Calibri"/>
                <w:szCs w:val="18"/>
                <w:lang w:bidi="th-TH"/>
              </w:rPr>
              <w:t>CHOCH₂F</w:t>
            </w:r>
          </w:p>
        </w:tc>
        <w:tc>
          <w:tcPr>
            <w:tcW w:w="709" w:type="dxa"/>
            <w:shd w:val="clear" w:color="auto" w:fill="FFFFFF" w:themeFill="background1"/>
            <w:noWrap/>
            <w:hideMark/>
          </w:tcPr>
          <w:p w14:paraId="0D852E6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495251A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216</w:t>
            </w:r>
          </w:p>
        </w:tc>
      </w:tr>
      <w:tr w:rsidR="002215CA" w:rsidRPr="0018386D" w14:paraId="6D9E6287" w14:textId="77777777" w:rsidTr="00BE7C13">
        <w:trPr>
          <w:divId w:val="253637040"/>
        </w:trPr>
        <w:tc>
          <w:tcPr>
            <w:tcW w:w="3686" w:type="dxa"/>
            <w:shd w:val="clear" w:color="auto" w:fill="FFFFFF" w:themeFill="background1"/>
            <w:noWrap/>
            <w:hideMark/>
          </w:tcPr>
          <w:p w14:paraId="5A6583FC"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HCFE-235da2 (Isoflurane)</w:t>
            </w:r>
          </w:p>
        </w:tc>
        <w:tc>
          <w:tcPr>
            <w:tcW w:w="2835" w:type="dxa"/>
            <w:shd w:val="clear" w:color="auto" w:fill="FFFFFF" w:themeFill="background1"/>
            <w:noWrap/>
            <w:hideMark/>
          </w:tcPr>
          <w:p w14:paraId="03854F5D" w14:textId="77777777" w:rsidR="00A94C3E" w:rsidRPr="0018386D" w:rsidRDefault="00A94C3E" w:rsidP="00DD3106">
            <w:pPr>
              <w:pStyle w:val="TableText"/>
              <w:spacing w:before="20" w:after="20"/>
              <w:rPr>
                <w:rFonts w:cs="Calibri"/>
                <w:szCs w:val="18"/>
                <w:lang w:bidi="th-TH"/>
              </w:rPr>
            </w:pPr>
            <w:proofErr w:type="spellStart"/>
            <w:r w:rsidRPr="0018386D">
              <w:rPr>
                <w:rFonts w:cs="Calibri"/>
                <w:szCs w:val="18"/>
                <w:lang w:bidi="th-TH"/>
              </w:rPr>
              <w:t>CHF₂OCHClCF</w:t>
            </w:r>
            <w:proofErr w:type="spellEnd"/>
            <w:r w:rsidRPr="0018386D">
              <w:rPr>
                <w:rFonts w:cs="Calibri"/>
                <w:szCs w:val="18"/>
                <w:lang w:bidi="th-TH"/>
              </w:rPr>
              <w:t>₃</w:t>
            </w:r>
          </w:p>
        </w:tc>
        <w:tc>
          <w:tcPr>
            <w:tcW w:w="709" w:type="dxa"/>
            <w:shd w:val="clear" w:color="auto" w:fill="FFFFFF" w:themeFill="background1"/>
            <w:noWrap/>
            <w:hideMark/>
          </w:tcPr>
          <w:p w14:paraId="2C425D15"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08F9AE3F"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491</w:t>
            </w:r>
          </w:p>
        </w:tc>
      </w:tr>
      <w:tr w:rsidR="002215CA" w:rsidRPr="0018386D" w14:paraId="0436E7BD" w14:textId="77777777" w:rsidTr="00BE7C13">
        <w:trPr>
          <w:divId w:val="253637040"/>
        </w:trPr>
        <w:tc>
          <w:tcPr>
            <w:tcW w:w="3686" w:type="dxa"/>
            <w:tcBorders>
              <w:bottom w:val="single" w:sz="4" w:space="0" w:color="1B556B" w:themeColor="text2"/>
            </w:tcBorders>
            <w:shd w:val="clear" w:color="auto" w:fill="FFFFFF" w:themeFill="background1"/>
            <w:noWrap/>
            <w:hideMark/>
          </w:tcPr>
          <w:p w14:paraId="3D3F47A2"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HFE-236ea2 (Desflurane)</w:t>
            </w:r>
          </w:p>
        </w:tc>
        <w:tc>
          <w:tcPr>
            <w:tcW w:w="2835" w:type="dxa"/>
            <w:tcBorders>
              <w:bottom w:val="single" w:sz="4" w:space="0" w:color="1B556B" w:themeColor="text2"/>
            </w:tcBorders>
            <w:shd w:val="clear" w:color="auto" w:fill="FFFFFF" w:themeFill="background1"/>
            <w:noWrap/>
            <w:hideMark/>
          </w:tcPr>
          <w:p w14:paraId="3FABDD88"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CHF₂OCHFCF₃</w:t>
            </w:r>
          </w:p>
        </w:tc>
        <w:tc>
          <w:tcPr>
            <w:tcW w:w="709" w:type="dxa"/>
            <w:tcBorders>
              <w:bottom w:val="single" w:sz="4" w:space="0" w:color="1B556B" w:themeColor="text2"/>
            </w:tcBorders>
            <w:shd w:val="clear" w:color="auto" w:fill="FFFFFF" w:themeFill="background1"/>
            <w:noWrap/>
            <w:hideMark/>
          </w:tcPr>
          <w:p w14:paraId="3F5E6F6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tcBorders>
              <w:bottom w:val="single" w:sz="4" w:space="0" w:color="1B556B" w:themeColor="text2"/>
            </w:tcBorders>
            <w:shd w:val="clear" w:color="auto" w:fill="D2DDE1" w:themeFill="background2"/>
            <w:noWrap/>
            <w:hideMark/>
          </w:tcPr>
          <w:p w14:paraId="24E51A8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1790</w:t>
            </w:r>
          </w:p>
        </w:tc>
      </w:tr>
      <w:tr w:rsidR="002215CA" w:rsidRPr="0018386D" w14:paraId="3D6EB200" w14:textId="77777777">
        <w:trPr>
          <w:divId w:val="253637040"/>
        </w:trPr>
        <w:tc>
          <w:tcPr>
            <w:tcW w:w="8505" w:type="dxa"/>
            <w:gridSpan w:val="4"/>
            <w:shd w:val="clear" w:color="auto" w:fill="D2DDE1" w:themeFill="background2"/>
            <w:noWrap/>
            <w:hideMark/>
          </w:tcPr>
          <w:p w14:paraId="01C353B3" w14:textId="449A2DE0" w:rsidR="008E2ED2" w:rsidRPr="0018386D" w:rsidRDefault="0085183D" w:rsidP="00DD3106">
            <w:pPr>
              <w:pStyle w:val="TableText"/>
              <w:keepNext/>
              <w:spacing w:before="20" w:after="20"/>
              <w:rPr>
                <w:rFonts w:cs="Calibri"/>
                <w:b/>
                <w:bCs/>
                <w:szCs w:val="18"/>
                <w:lang w:bidi="th-TH"/>
              </w:rPr>
            </w:pPr>
            <w:r w:rsidRPr="0018386D">
              <w:rPr>
                <w:rFonts w:cs="Calibri"/>
                <w:b/>
                <w:bCs/>
                <w:szCs w:val="18"/>
                <w:lang w:bidi="th-TH"/>
              </w:rPr>
              <w:t>Medical gas blends – Mix (mass %) – unit</w:t>
            </w:r>
          </w:p>
        </w:tc>
      </w:tr>
      <w:tr w:rsidR="002215CA" w:rsidRPr="0018386D" w14:paraId="1539E343" w14:textId="77777777" w:rsidTr="00BE7C13">
        <w:trPr>
          <w:divId w:val="253637040"/>
        </w:trPr>
        <w:tc>
          <w:tcPr>
            <w:tcW w:w="3686" w:type="dxa"/>
            <w:shd w:val="clear" w:color="auto" w:fill="FFFFFF" w:themeFill="background1"/>
            <w:noWrap/>
            <w:hideMark/>
          </w:tcPr>
          <w:p w14:paraId="0F383743"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Entonox</w:t>
            </w:r>
          </w:p>
        </w:tc>
        <w:tc>
          <w:tcPr>
            <w:tcW w:w="2835" w:type="dxa"/>
            <w:shd w:val="clear" w:color="auto" w:fill="FFFFFF" w:themeFill="background1"/>
            <w:noWrap/>
            <w:hideMark/>
          </w:tcPr>
          <w:p w14:paraId="7AACCBEB"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N</w:t>
            </w:r>
            <w:r w:rsidRPr="0018386D">
              <w:rPr>
                <w:rFonts w:cs="Calibri"/>
                <w:szCs w:val="18"/>
                <w:vertAlign w:val="subscript"/>
                <w:lang w:bidi="th-TH"/>
              </w:rPr>
              <w:t>2</w:t>
            </w:r>
            <w:r w:rsidRPr="0018386D">
              <w:rPr>
                <w:rFonts w:cs="Calibri"/>
                <w:szCs w:val="18"/>
                <w:lang w:bidi="th-TH"/>
              </w:rPr>
              <w:t>O/O</w:t>
            </w:r>
            <w:r w:rsidRPr="0018386D">
              <w:rPr>
                <w:rFonts w:cs="Calibri"/>
                <w:szCs w:val="18"/>
                <w:vertAlign w:val="subscript"/>
                <w:lang w:bidi="th-TH"/>
              </w:rPr>
              <w:t>2</w:t>
            </w:r>
            <w:r w:rsidRPr="0018386D">
              <w:rPr>
                <w:rFonts w:cs="Calibri"/>
                <w:szCs w:val="18"/>
                <w:lang w:bidi="th-TH"/>
              </w:rPr>
              <w:t xml:space="preserve"> (57.9/42.1) (50.0/50.0 vol.)</w:t>
            </w:r>
          </w:p>
        </w:tc>
        <w:tc>
          <w:tcPr>
            <w:tcW w:w="709" w:type="dxa"/>
            <w:shd w:val="clear" w:color="auto" w:fill="FFFFFF" w:themeFill="background1"/>
            <w:noWrap/>
            <w:hideMark/>
          </w:tcPr>
          <w:p w14:paraId="5217FA9E"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kg</w:t>
            </w:r>
          </w:p>
        </w:tc>
        <w:tc>
          <w:tcPr>
            <w:tcW w:w="1275" w:type="dxa"/>
            <w:shd w:val="clear" w:color="auto" w:fill="D2DDE1" w:themeFill="background2"/>
            <w:noWrap/>
            <w:hideMark/>
          </w:tcPr>
          <w:p w14:paraId="7CF6702A" w14:textId="77777777" w:rsidR="00A94C3E" w:rsidRPr="0018386D" w:rsidRDefault="00A94C3E" w:rsidP="00DD3106">
            <w:pPr>
              <w:pStyle w:val="TableText"/>
              <w:spacing w:before="20" w:after="20"/>
              <w:rPr>
                <w:rFonts w:cs="Calibri"/>
                <w:szCs w:val="18"/>
                <w:lang w:bidi="th-TH"/>
              </w:rPr>
            </w:pPr>
            <w:r w:rsidRPr="0018386D">
              <w:rPr>
                <w:rFonts w:cs="Calibri"/>
                <w:szCs w:val="18"/>
                <w:lang w:bidi="th-TH"/>
              </w:rPr>
              <w:t>153.435</w:t>
            </w:r>
          </w:p>
        </w:tc>
      </w:tr>
    </w:tbl>
    <w:p w14:paraId="7E77D4E9" w14:textId="2E806E8A" w:rsidR="00601F99" w:rsidRPr="0018386D" w:rsidRDefault="00DA2698" w:rsidP="00DD3106">
      <w:pPr>
        <w:pStyle w:val="BodyText"/>
        <w:rPr>
          <w:sz w:val="18"/>
          <w:szCs w:val="18"/>
        </w:rPr>
      </w:pPr>
      <w:bookmarkStart w:id="241" w:name="_GHG_inventory_development_1"/>
      <w:bookmarkStart w:id="242" w:name="_Ref532564418"/>
      <w:bookmarkStart w:id="243" w:name="_Toc532904876"/>
      <w:bookmarkStart w:id="244" w:name="_Hlk532202503"/>
      <w:bookmarkEnd w:id="241"/>
      <w:r w:rsidRPr="0018386D">
        <w:rPr>
          <w:b/>
          <w:bCs/>
          <w:sz w:val="18"/>
          <w:szCs w:val="18"/>
        </w:rPr>
        <w:t>*</w:t>
      </w:r>
      <w:r w:rsidR="00D83073" w:rsidRPr="0018386D">
        <w:rPr>
          <w:b/>
          <w:bCs/>
          <w:sz w:val="18"/>
          <w:szCs w:val="18"/>
        </w:rPr>
        <w:t xml:space="preserve"> </w:t>
      </w:r>
      <w:r w:rsidRPr="0018386D">
        <w:rPr>
          <w:sz w:val="18"/>
          <w:szCs w:val="18"/>
        </w:rPr>
        <w:t>AR6 values</w:t>
      </w:r>
    </w:p>
    <w:p w14:paraId="1C4959BD" w14:textId="0FC472E1" w:rsidR="005C0D7A" w:rsidRPr="0018386D" w:rsidRDefault="00301928" w:rsidP="00DD3106">
      <w:pPr>
        <w:pStyle w:val="Heading3"/>
        <w:numPr>
          <w:ilvl w:val="2"/>
          <w:numId w:val="8"/>
        </w:numPr>
        <w:spacing w:before="440"/>
        <w:jc w:val="both"/>
      </w:pPr>
      <w:r w:rsidRPr="0018386D">
        <w:t xml:space="preserve">GHG </w:t>
      </w:r>
      <w:r w:rsidR="00741514" w:rsidRPr="0018386D">
        <w:t>i</w:t>
      </w:r>
      <w:r w:rsidR="005C0D7A" w:rsidRPr="0018386D">
        <w:t xml:space="preserve">nventory </w:t>
      </w:r>
      <w:r w:rsidR="00741514" w:rsidRPr="0018386D">
        <w:t>d</w:t>
      </w:r>
      <w:r w:rsidR="005C0D7A" w:rsidRPr="0018386D">
        <w:t>evelopment</w:t>
      </w:r>
      <w:bookmarkEnd w:id="242"/>
      <w:bookmarkEnd w:id="243"/>
    </w:p>
    <w:p w14:paraId="1A11AB67" w14:textId="71C478A2" w:rsidR="008C0B87" w:rsidRPr="0018386D" w:rsidRDefault="00B90DBD" w:rsidP="00DD3106">
      <w:pPr>
        <w:pStyle w:val="BodyText"/>
      </w:pPr>
      <w:bookmarkStart w:id="245" w:name="_Hlk532892069"/>
      <w:bookmarkStart w:id="246" w:name="_Hlk52530708"/>
      <w:r w:rsidRPr="0018386D">
        <w:t>There are t</w:t>
      </w:r>
      <w:r w:rsidR="00540BD6" w:rsidRPr="0018386D">
        <w:t>hree approaches to estimate HFC leakage from refrigeration equipment</w:t>
      </w:r>
      <w:r w:rsidR="001A3AD9" w:rsidRPr="0018386D">
        <w:t>,</w:t>
      </w:r>
      <w:r w:rsidR="001D4363" w:rsidRPr="0018386D">
        <w:t xml:space="preserve"> depending on </w:t>
      </w:r>
      <w:r w:rsidR="00566FB0" w:rsidRPr="0018386D">
        <w:t xml:space="preserve">the </w:t>
      </w:r>
      <w:r w:rsidR="001D4363" w:rsidRPr="0018386D">
        <w:t>data available</w:t>
      </w:r>
      <w:r w:rsidR="00540BD6" w:rsidRPr="0018386D">
        <w:t xml:space="preserve">. </w:t>
      </w:r>
      <w:bookmarkEnd w:id="245"/>
      <w:r w:rsidR="008C0B87" w:rsidRPr="0018386D">
        <w:t>The ideal method is the top</w:t>
      </w:r>
      <w:r w:rsidR="0088228F" w:rsidRPr="0018386D">
        <w:t>-</w:t>
      </w:r>
      <w:r w:rsidR="008C0B87" w:rsidRPr="0018386D">
        <w:t xml:space="preserve">up method, Method A. Method B is the next best option. Method C is the least preferred because it has the most assumptions. </w:t>
      </w:r>
    </w:p>
    <w:p w14:paraId="7B58E0F1" w14:textId="38AFF0F9" w:rsidR="001D4363" w:rsidRPr="0018386D" w:rsidRDefault="001D4363" w:rsidP="00DD3106">
      <w:pPr>
        <w:pStyle w:val="BodyText"/>
      </w:pPr>
      <w:r w:rsidRPr="0018386D">
        <w:t xml:space="preserve">It is stressed that for all methods, </w:t>
      </w:r>
      <w:r w:rsidR="00645DAB" w:rsidRPr="0018386D">
        <w:t xml:space="preserve">users must individually identify </w:t>
      </w:r>
      <w:r w:rsidRPr="0018386D">
        <w:t xml:space="preserve">the type of refrigerant because the GWPs </w:t>
      </w:r>
      <w:r w:rsidR="00645DAB" w:rsidRPr="0018386D">
        <w:t>vary</w:t>
      </w:r>
      <w:r w:rsidRPr="0018386D">
        <w:t xml:space="preserve"> widely. </w:t>
      </w:r>
    </w:p>
    <w:p w14:paraId="1BBA7597" w14:textId="21E8AB4A" w:rsidR="001D4363" w:rsidRPr="0018386D" w:rsidRDefault="001D4363" w:rsidP="00DD3106">
      <w:pPr>
        <w:pStyle w:val="BodyText"/>
        <w:rPr>
          <w:lang w:eastAsia="en-US"/>
        </w:rPr>
      </w:pPr>
      <w:r w:rsidRPr="0018386D">
        <w:t>Organisations should indicate the method(s) used in their inventories to reflect the levels of accuracy and uncertainty.</w:t>
      </w:r>
    </w:p>
    <w:p w14:paraId="57CE0489" w14:textId="6B48C8B7" w:rsidR="001D4363" w:rsidRPr="0018386D" w:rsidRDefault="001D4363" w:rsidP="00DD3106">
      <w:pPr>
        <w:pStyle w:val="Heading3"/>
        <w:numPr>
          <w:ilvl w:val="2"/>
          <w:numId w:val="8"/>
        </w:numPr>
        <w:jc w:val="both"/>
      </w:pPr>
      <w:bookmarkStart w:id="247" w:name="_Toc532904877"/>
      <w:bookmarkEnd w:id="246"/>
      <w:r w:rsidRPr="0018386D">
        <w:lastRenderedPageBreak/>
        <w:t xml:space="preserve">Method A: Top-up </w:t>
      </w:r>
      <w:bookmarkEnd w:id="247"/>
    </w:p>
    <w:p w14:paraId="08A554F8" w14:textId="17337FD7" w:rsidR="00B90DBD" w:rsidRPr="0018386D" w:rsidRDefault="00D1128D" w:rsidP="00DD3106">
      <w:pPr>
        <w:pStyle w:val="BodyText"/>
        <w:spacing w:before="240" w:after="240"/>
      </w:pPr>
      <w:r w:rsidRPr="0018386D">
        <w:t xml:space="preserve">The best method to </w:t>
      </w:r>
      <w:r w:rsidR="00BA447E" w:rsidRPr="0018386D">
        <w:t>determine</w:t>
      </w:r>
      <w:r w:rsidRPr="0018386D">
        <w:t xml:space="preserve"> </w:t>
      </w:r>
      <w:r w:rsidR="005D190A" w:rsidRPr="0018386D">
        <w:t xml:space="preserve">if </w:t>
      </w:r>
      <w:r w:rsidRPr="0018386D">
        <w:t>e</w:t>
      </w:r>
      <w:r w:rsidR="00B90DBD" w:rsidRPr="0018386D">
        <w:t xml:space="preserve">missions </w:t>
      </w:r>
      <w:r w:rsidR="005D190A" w:rsidRPr="0018386D">
        <w:t xml:space="preserve">have occurred is through </w:t>
      </w:r>
      <w:r w:rsidR="00B90DBD" w:rsidRPr="0018386D">
        <w:t>confirm</w:t>
      </w:r>
      <w:r w:rsidR="005D190A" w:rsidRPr="0018386D">
        <w:t>ing</w:t>
      </w:r>
      <w:r w:rsidR="00B90DBD" w:rsidRPr="0018386D">
        <w:t xml:space="preserve"> if any top-ups </w:t>
      </w:r>
      <w:r w:rsidR="005D190A" w:rsidRPr="0018386D">
        <w:t xml:space="preserve">were necessary </w:t>
      </w:r>
      <w:r w:rsidR="00B90DBD" w:rsidRPr="0018386D">
        <w:t xml:space="preserve">during the measurement period. </w:t>
      </w:r>
      <w:r w:rsidR="001D4363" w:rsidRPr="0018386D">
        <w:t xml:space="preserve">A piece of equipment is ‘charged’ with refrigerant gas, and any leaked gas must be replaced. </w:t>
      </w:r>
      <w:r w:rsidR="00B90DBD" w:rsidRPr="0018386D">
        <w:t xml:space="preserve">Assuming that the system </w:t>
      </w:r>
      <w:r w:rsidR="00702B31" w:rsidRPr="0018386D">
        <w:t>was</w:t>
      </w:r>
      <w:r w:rsidR="00B90DBD" w:rsidRPr="0018386D">
        <w:t xml:space="preserve"> </w:t>
      </w:r>
      <w:r w:rsidR="3E4328E1" w:rsidRPr="0018386D">
        <w:t>at</w:t>
      </w:r>
      <w:r w:rsidR="00B90DBD" w:rsidRPr="0018386D">
        <w:t xml:space="preserve"> capacity</w:t>
      </w:r>
      <w:r w:rsidR="00702B31" w:rsidRPr="0018386D">
        <w:t xml:space="preserve"> before the leakage occurred and is full again after a top-up</w:t>
      </w:r>
      <w:r w:rsidR="00B90DBD" w:rsidRPr="0018386D">
        <w:t xml:space="preserve">, the amount of </w:t>
      </w:r>
      <w:r w:rsidR="0088228F" w:rsidRPr="0018386D">
        <w:t xml:space="preserve">top-up </w:t>
      </w:r>
      <w:r w:rsidR="00B90DBD" w:rsidRPr="0018386D">
        <w:t>gas</w:t>
      </w:r>
      <w:r w:rsidR="004A3D94" w:rsidRPr="0018386D">
        <w:t> </w:t>
      </w:r>
      <w:r w:rsidR="008C0B87" w:rsidRPr="0018386D">
        <w:t>is</w:t>
      </w:r>
      <w:r w:rsidR="004A3D94" w:rsidRPr="0018386D">
        <w:t> </w:t>
      </w:r>
      <w:r w:rsidR="00702B31" w:rsidRPr="0018386D">
        <w:t xml:space="preserve">equal </w:t>
      </w:r>
      <w:r w:rsidR="008C0B87" w:rsidRPr="0018386D">
        <w:t>to the gas leaked or</w:t>
      </w:r>
      <w:r w:rsidR="00B90DBD" w:rsidRPr="0018386D">
        <w:t xml:space="preserve"> lost to the atmosphere.</w:t>
      </w:r>
      <w:r w:rsidR="0099658B" w:rsidRPr="0018386D">
        <w:t xml:space="preserve"> </w:t>
      </w:r>
      <w:bookmarkStart w:id="248" w:name="_Hlk532892011"/>
      <w:r w:rsidRPr="0018386D">
        <w:t>T</w:t>
      </w:r>
      <w:r w:rsidR="00B90DBD" w:rsidRPr="0018386D">
        <w:t>he equipment maintenance service provider</w:t>
      </w:r>
      <w:r w:rsidRPr="0018386D">
        <w:t xml:space="preserve"> can typically provide information</w:t>
      </w:r>
      <w:r w:rsidR="00702B31" w:rsidRPr="0018386D">
        <w:t xml:space="preserve"> about the actual amount of refrigerant used to replace what has leaked</w:t>
      </w:r>
      <w:bookmarkEnd w:id="248"/>
      <w:r w:rsidR="001D2121" w:rsidRPr="0018386D">
        <w:t>.</w:t>
      </w:r>
    </w:p>
    <w:tbl>
      <w:tblPr>
        <w:tblStyle w:val="TableGrid"/>
        <w:tblW w:w="8505" w:type="dxa"/>
        <w:tblInd w:w="26"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64EAC" w:rsidRPr="0018386D" w14:paraId="6FB142FD" w14:textId="77777777" w:rsidTr="007F0B1E">
        <w:tc>
          <w:tcPr>
            <w:tcW w:w="0" w:type="auto"/>
            <w:shd w:val="clear" w:color="auto" w:fill="D2DDE2"/>
          </w:tcPr>
          <w:p w14:paraId="6DF51EF3" w14:textId="41B34D2B" w:rsidR="00864EAC" w:rsidRPr="0018386D" w:rsidRDefault="00CD1FA6" w:rsidP="00DD3106">
            <w:pPr>
              <w:pStyle w:val="CommentText"/>
              <w:ind w:left="3"/>
              <w:jc w:val="center"/>
              <w:rPr>
                <w:color w:val="1C556C"/>
              </w:rPr>
            </w:pPr>
            <w:r w:rsidRPr="0018386D">
              <w:rPr>
                <w:color w:val="1C556C" w:themeColor="accent1"/>
              </w:rPr>
              <w:t>Gas used (kg) × GWP = Emissions (kg CO</w:t>
            </w:r>
            <w:r w:rsidRPr="0018386D">
              <w:rPr>
                <w:color w:val="1C556C" w:themeColor="accent1"/>
                <w:vertAlign w:val="subscript"/>
              </w:rPr>
              <w:t>2</w:t>
            </w:r>
            <w:r w:rsidR="00512F10" w:rsidRPr="0018386D">
              <w:rPr>
                <w:color w:val="1C556C" w:themeColor="accent1"/>
              </w:rPr>
              <w:t>-</w:t>
            </w:r>
            <w:r w:rsidRPr="0018386D">
              <w:rPr>
                <w:color w:val="1C556C" w:themeColor="accent1"/>
              </w:rPr>
              <w:t>e)</w:t>
            </w:r>
          </w:p>
        </w:tc>
      </w:tr>
    </w:tbl>
    <w:p w14:paraId="439D69B7" w14:textId="77777777" w:rsidR="001D4363" w:rsidRPr="0018386D" w:rsidRDefault="001D4363" w:rsidP="00DD3106">
      <w:pPr>
        <w:pStyle w:val="BodyText"/>
        <w:spacing w:before="240"/>
      </w:pPr>
      <w:r w:rsidRPr="0018386D">
        <w:t>Where:</w:t>
      </w:r>
    </w:p>
    <w:p w14:paraId="08ED6268" w14:textId="3ECA51FE" w:rsidR="001D4363" w:rsidRPr="0018386D" w:rsidRDefault="001D4363" w:rsidP="00DD3106">
      <w:pPr>
        <w:pStyle w:val="Bullet"/>
      </w:pPr>
      <w:r w:rsidRPr="0018386D">
        <w:t>E</w:t>
      </w:r>
      <w:r w:rsidR="002A3753" w:rsidRPr="0018386D">
        <w:t xml:space="preserve"> </w:t>
      </w:r>
      <w:r w:rsidRPr="0018386D">
        <w:t>=</w:t>
      </w:r>
      <w:r w:rsidR="002A3753" w:rsidRPr="0018386D">
        <w:t xml:space="preserve"> </w:t>
      </w:r>
      <w:r w:rsidRPr="0018386D">
        <w:t>emissions from equipment in kg CO</w:t>
      </w:r>
      <w:r w:rsidRPr="0018386D">
        <w:rPr>
          <w:vertAlign w:val="subscript"/>
        </w:rPr>
        <w:t>2</w:t>
      </w:r>
      <w:r w:rsidRPr="0018386D">
        <w:t>-e</w:t>
      </w:r>
    </w:p>
    <w:p w14:paraId="09EC2145" w14:textId="26718D8F" w:rsidR="001D4363" w:rsidRPr="0018386D" w:rsidRDefault="001D4363" w:rsidP="00DD3106">
      <w:pPr>
        <w:pStyle w:val="Bullet"/>
      </w:pPr>
      <w:r w:rsidRPr="0018386D">
        <w:t>GWP</w:t>
      </w:r>
      <w:r w:rsidR="002A3753" w:rsidRPr="0018386D">
        <w:t xml:space="preserve"> </w:t>
      </w:r>
      <w:r w:rsidRPr="0018386D">
        <w:t>=</w:t>
      </w:r>
      <w:r w:rsidR="002A3753" w:rsidRPr="0018386D">
        <w:t xml:space="preserve"> </w:t>
      </w:r>
      <w:r w:rsidRPr="0018386D">
        <w:t>the 100-year global warming potential of the refrigerant used in equipment (</w:t>
      </w:r>
      <w:hyperlink w:anchor="table7" w:history="1">
        <w:r w:rsidR="004A3D94" w:rsidRPr="0018386D">
          <w:rPr>
            <w:rStyle w:val="Hyperlink"/>
            <w:spacing w:val="-4"/>
          </w:rPr>
          <w:t>table</w:t>
        </w:r>
        <w:r w:rsidR="000174BD" w:rsidRPr="0018386D">
          <w:rPr>
            <w:rStyle w:val="Hyperlink"/>
            <w:spacing w:val="-4"/>
          </w:rPr>
          <w:t> </w:t>
        </w:r>
        <w:r w:rsidR="004A3D94" w:rsidRPr="0018386D">
          <w:rPr>
            <w:rStyle w:val="Hyperlink"/>
            <w:spacing w:val="-4"/>
          </w:rPr>
          <w:t>7</w:t>
        </w:r>
      </w:hyperlink>
      <w:r w:rsidR="00A12687" w:rsidRPr="0018386D">
        <w:t>)</w:t>
      </w:r>
      <w:r w:rsidR="00B75682" w:rsidRPr="0018386D">
        <w:t>.</w:t>
      </w:r>
    </w:p>
    <w:p w14:paraId="6FE3F8E7" w14:textId="0DB9B3D4" w:rsidR="001D4363" w:rsidRPr="0018386D" w:rsidRDefault="001D4363" w:rsidP="00DD3106">
      <w:pPr>
        <w:pStyle w:val="Heading3"/>
        <w:numPr>
          <w:ilvl w:val="2"/>
          <w:numId w:val="8"/>
        </w:numPr>
      </w:pPr>
      <w:bookmarkStart w:id="249" w:name="_Toc532904878"/>
      <w:r w:rsidRPr="0018386D">
        <w:t>Method</w:t>
      </w:r>
      <w:r w:rsidR="00D0338F" w:rsidRPr="0018386D">
        <w:t>s</w:t>
      </w:r>
      <w:r w:rsidRPr="0018386D">
        <w:t xml:space="preserve"> B and C: Screening</w:t>
      </w:r>
      <w:bookmarkEnd w:id="249"/>
    </w:p>
    <w:p w14:paraId="5C161BE2" w14:textId="2DBC236A" w:rsidR="00D0338F" w:rsidRPr="0018386D" w:rsidRDefault="0088228F" w:rsidP="00DD3106">
      <w:pPr>
        <w:pStyle w:val="BodyText"/>
      </w:pPr>
      <w:r w:rsidRPr="0018386D">
        <w:t xml:space="preserve">If </w:t>
      </w:r>
      <w:r w:rsidR="008C0B87" w:rsidRPr="0018386D">
        <w:t>top</w:t>
      </w:r>
      <w:r w:rsidRPr="0018386D">
        <w:t>-</w:t>
      </w:r>
      <w:r w:rsidR="008C0B87" w:rsidRPr="0018386D">
        <w:t xml:space="preserve">up amounts are not available, </w:t>
      </w:r>
      <w:r w:rsidR="00D0338F" w:rsidRPr="0018386D">
        <w:t>we</w:t>
      </w:r>
      <w:r w:rsidR="008C0B87" w:rsidRPr="0018386D">
        <w:t xml:space="preserve"> recommend </w:t>
      </w:r>
      <w:r w:rsidR="00154A47" w:rsidRPr="0018386D">
        <w:t xml:space="preserve">using one of the following </w:t>
      </w:r>
      <w:r w:rsidR="008C0B87" w:rsidRPr="0018386D">
        <w:t>two methods for</w:t>
      </w:r>
      <w:r w:rsidR="00501400" w:rsidRPr="0018386D">
        <w:t> </w:t>
      </w:r>
      <w:r w:rsidR="008C0B87" w:rsidRPr="0018386D">
        <w:t>estimating leakage, depending on the equipment and available information.</w:t>
      </w:r>
      <w:r w:rsidR="00971EDB" w:rsidRPr="0018386D">
        <w:rPr>
          <w:color w:val="32809C" w:themeColor="accent2"/>
        </w:rPr>
        <w:t xml:space="preserve"> </w:t>
      </w:r>
      <w:hyperlink w:anchor="_Appendix_B:_Alternative">
        <w:r w:rsidR="004A3D94" w:rsidRPr="0018386D">
          <w:rPr>
            <w:rStyle w:val="Hyperlink"/>
          </w:rPr>
          <w:t>Appendix B: Alternative methods of calculating emissions from refrigerants</w:t>
        </w:r>
      </w:hyperlink>
      <w:r w:rsidR="00971EDB" w:rsidRPr="0018386D">
        <w:t xml:space="preserve"> details both methods.</w:t>
      </w:r>
    </w:p>
    <w:p w14:paraId="31CB18A0" w14:textId="3B6AD620" w:rsidR="00D0338F" w:rsidRPr="0018386D" w:rsidRDefault="00B407A5" w:rsidP="00DD3106">
      <w:pPr>
        <w:pStyle w:val="BodyText"/>
      </w:pPr>
      <w:r w:rsidRPr="0018386D">
        <w:t xml:space="preserve">Method B </w:t>
      </w:r>
      <w:r w:rsidR="00AB5B08" w:rsidRPr="0018386D">
        <w:t>is based on default leakage rates</w:t>
      </w:r>
      <w:r w:rsidR="00135F9A" w:rsidRPr="0018386D">
        <w:t xml:space="preserve"> and known </w:t>
      </w:r>
      <w:r w:rsidR="006711A9" w:rsidRPr="0018386D">
        <w:t xml:space="preserve">refrigerant type and volume. </w:t>
      </w:r>
      <w:r w:rsidR="00D1128D" w:rsidRPr="0018386D">
        <w:t xml:space="preserve">Use </w:t>
      </w:r>
      <w:r w:rsidR="008C0B87" w:rsidRPr="0018386D">
        <w:t xml:space="preserve">Method B when the type and amount of refrigerant held in a piece of equipment are known. </w:t>
      </w:r>
    </w:p>
    <w:p w14:paraId="5C995212" w14:textId="694EB4AA" w:rsidR="008C0B87" w:rsidRPr="0018386D" w:rsidRDefault="006711A9" w:rsidP="00DD3106">
      <w:pPr>
        <w:pStyle w:val="BodyText"/>
      </w:pPr>
      <w:r w:rsidRPr="0018386D">
        <w:t>Method C</w:t>
      </w:r>
      <w:r w:rsidR="001B6EA2" w:rsidRPr="0018386D">
        <w:t xml:space="preserve"> is the same as Method B except that it allows default refrigerant quantities to be used as well as default leakage rates.</w:t>
      </w:r>
      <w:r w:rsidR="00724C42" w:rsidRPr="0018386D">
        <w:t xml:space="preserve"> </w:t>
      </w:r>
      <w:r w:rsidR="00D1128D" w:rsidRPr="0018386D">
        <w:t xml:space="preserve">Use </w:t>
      </w:r>
      <w:r w:rsidR="008C0B87" w:rsidRPr="0018386D">
        <w:t xml:space="preserve">Method C </w:t>
      </w:r>
      <w:r w:rsidR="00D1128D" w:rsidRPr="0018386D">
        <w:t xml:space="preserve">to </w:t>
      </w:r>
      <w:r w:rsidR="008C0B87" w:rsidRPr="0018386D">
        <w:t>estimate both volume of refrigerant and leakage rate</w:t>
      </w:r>
      <w:r w:rsidR="007252C8" w:rsidRPr="0018386D">
        <w:t xml:space="preserve"> </w:t>
      </w:r>
      <w:r w:rsidR="00B3693C" w:rsidRPr="0018386D">
        <w:t xml:space="preserve">when </w:t>
      </w:r>
      <w:r w:rsidR="0015149B" w:rsidRPr="0018386D">
        <w:t>the</w:t>
      </w:r>
      <w:r w:rsidR="00B3693C" w:rsidRPr="0018386D">
        <w:t xml:space="preserve"> amount of refrigerant held in a piece of equipment </w:t>
      </w:r>
      <w:r w:rsidR="0015149B" w:rsidRPr="0018386D">
        <w:t>is not</w:t>
      </w:r>
      <w:r w:rsidR="00B3693C" w:rsidRPr="0018386D">
        <w:t xml:space="preserve"> known</w:t>
      </w:r>
      <w:r w:rsidR="008C0B87" w:rsidRPr="0018386D">
        <w:t xml:space="preserve">. </w:t>
      </w:r>
    </w:p>
    <w:p w14:paraId="57BAEC93" w14:textId="25A757DA" w:rsidR="00B66D53" w:rsidRPr="0018386D" w:rsidRDefault="00B66D53" w:rsidP="00DD3106">
      <w:pPr>
        <w:pStyle w:val="BodyText"/>
      </w:pPr>
      <w:r w:rsidRPr="0018386D">
        <w:t>Method</w:t>
      </w:r>
      <w:r w:rsidR="00D0338F" w:rsidRPr="0018386D">
        <w:t>s</w:t>
      </w:r>
      <w:r w:rsidRPr="0018386D">
        <w:t xml:space="preserve"> </w:t>
      </w:r>
      <w:r w:rsidR="00952102" w:rsidRPr="0018386D">
        <w:t>B</w:t>
      </w:r>
      <w:r w:rsidRPr="0018386D">
        <w:t xml:space="preserve"> and </w:t>
      </w:r>
      <w:r w:rsidR="00952102" w:rsidRPr="0018386D">
        <w:t>C</w:t>
      </w:r>
      <w:r w:rsidRPr="0018386D">
        <w:t xml:space="preserve"> are based on the screening</w:t>
      </w:r>
      <w:r w:rsidR="00D0338F" w:rsidRPr="0018386D">
        <w:t xml:space="preserve"> </w:t>
      </w:r>
      <w:r w:rsidRPr="0018386D">
        <w:t xml:space="preserve">approach </w:t>
      </w:r>
      <w:r w:rsidR="00D0338F" w:rsidRPr="0018386D">
        <w:t xml:space="preserve">outlined </w:t>
      </w:r>
      <w:r w:rsidRPr="0018386D">
        <w:t xml:space="preserve">in </w:t>
      </w:r>
      <w:r w:rsidR="008C0B87" w:rsidRPr="0018386D">
        <w:t>t</w:t>
      </w:r>
      <w:r w:rsidRPr="0018386D">
        <w:t>he</w:t>
      </w:r>
      <w:r w:rsidRPr="0018386D">
        <w:rPr>
          <w:i/>
        </w:rPr>
        <w:t xml:space="preserve"> </w:t>
      </w:r>
      <w:hyperlink r:id="rId93">
        <w:r w:rsidRPr="0018386D">
          <w:rPr>
            <w:rStyle w:val="Hyperlink"/>
          </w:rPr>
          <w:t>GHG Protocol HFC tool</w:t>
        </w:r>
      </w:hyperlink>
      <w:r w:rsidRPr="0018386D">
        <w:t xml:space="preserve"> (WRI/WBCSD, 2005).</w:t>
      </w:r>
    </w:p>
    <w:p w14:paraId="45A77F87" w14:textId="13A409A2" w:rsidR="00B90DBD" w:rsidRPr="0018386D" w:rsidRDefault="00B90DBD" w:rsidP="00DD3106">
      <w:pPr>
        <w:pStyle w:val="BodyText"/>
      </w:pPr>
      <w:bookmarkStart w:id="250" w:name="_Ref532562815"/>
      <w:bookmarkEnd w:id="244"/>
      <w:r w:rsidRPr="0018386D">
        <w:t xml:space="preserve">For most equipment, Method B </w:t>
      </w:r>
      <w:r w:rsidR="00C51473" w:rsidRPr="0018386D">
        <w:t>is</w:t>
      </w:r>
      <w:r w:rsidRPr="0018386D">
        <w:t xml:space="preserve"> acceptable, especially for factory and office situations where</w:t>
      </w:r>
      <w:r w:rsidR="00B06872" w:rsidRPr="0018386D">
        <w:t> </w:t>
      </w:r>
      <w:r w:rsidRPr="0018386D">
        <w:t>refrigeration and air-conditioning equipment is incidental rather than central to operations. In</w:t>
      </w:r>
      <w:r w:rsidR="00501400" w:rsidRPr="0018386D">
        <w:t> </w:t>
      </w:r>
      <w:r w:rsidRPr="0018386D">
        <w:t xml:space="preserve">some cases, Method C is only suitable for a screening estimate. Screening </w:t>
      </w:r>
      <w:r w:rsidR="00D0338F" w:rsidRPr="0018386D">
        <w:t xml:space="preserve">is </w:t>
      </w:r>
      <w:r w:rsidRPr="0018386D">
        <w:t>a way of determining if the equipment should</w:t>
      </w:r>
      <w:r w:rsidR="00D1128D" w:rsidRPr="0018386D">
        <w:t xml:space="preserve"> </w:t>
      </w:r>
      <w:r w:rsidRPr="0018386D">
        <w:t xml:space="preserve">be </w:t>
      </w:r>
      <w:r w:rsidR="00C278FE" w:rsidRPr="0018386D">
        <w:t xml:space="preserve">included or </w:t>
      </w:r>
      <w:r w:rsidRPr="0018386D">
        <w:t xml:space="preserve">excluded based on </w:t>
      </w:r>
      <w:r w:rsidR="00155554" w:rsidRPr="0018386D">
        <w:t>materiality</w:t>
      </w:r>
      <w:r w:rsidRPr="0018386D">
        <w:t xml:space="preserve"> of</w:t>
      </w:r>
      <w:r w:rsidR="00B06872" w:rsidRPr="0018386D">
        <w:t> </w:t>
      </w:r>
      <w:r w:rsidRPr="0018386D">
        <w:t xml:space="preserve">emissions from refrigerants. </w:t>
      </w:r>
      <w:r w:rsidR="00D1128D" w:rsidRPr="0018386D">
        <w:t>Organisations should then try to</w:t>
      </w:r>
      <w:r w:rsidRPr="0018386D">
        <w:t xml:space="preserve"> source data based on the top</w:t>
      </w:r>
      <w:r w:rsidR="00D967CC" w:rsidRPr="0018386D">
        <w:noBreakHyphen/>
      </w:r>
      <w:r w:rsidRPr="0018386D">
        <w:t>up</w:t>
      </w:r>
      <w:r w:rsidR="00B06872" w:rsidRPr="0018386D">
        <w:noBreakHyphen/>
      </w:r>
      <w:r w:rsidRPr="0018386D">
        <w:t>method.</w:t>
      </w:r>
    </w:p>
    <w:bookmarkEnd w:id="250"/>
    <w:p w14:paraId="1F1C2C3B" w14:textId="2DEA41DC" w:rsidR="009D4B8E" w:rsidRPr="0018386D" w:rsidRDefault="00D1128D" w:rsidP="00DD3106">
      <w:pPr>
        <w:pStyle w:val="BodyText"/>
        <w:keepNext/>
      </w:pPr>
      <w:r w:rsidRPr="0018386D">
        <w:t xml:space="preserve">We provide </w:t>
      </w:r>
      <w:r w:rsidR="009D4B8E" w:rsidRPr="0018386D">
        <w:t>refrigerant emissions calculation example</w:t>
      </w:r>
      <w:r w:rsidRPr="0018386D">
        <w:t>s</w:t>
      </w:r>
      <w:r w:rsidR="009D4B8E" w:rsidRPr="0018386D">
        <w:t xml:space="preserve"> below.</w:t>
      </w:r>
    </w:p>
    <w:p w14:paraId="16D988A3" w14:textId="5BB70C84" w:rsidR="009D4B8E" w:rsidRPr="0018386D" w:rsidRDefault="009D4B8E" w:rsidP="00DD3106">
      <w:pPr>
        <w:pStyle w:val="BodyText"/>
      </w:pPr>
      <w:bookmarkStart w:id="251" w:name="_Hlk532637425"/>
      <w:r w:rsidRPr="0018386D">
        <w:t>Company A performs a stocktake of refrigeration-related equipment and identifies the following</w:t>
      </w:r>
      <w:r w:rsidR="00936698" w:rsidRPr="0018386D">
        <w:t> </w:t>
      </w:r>
      <w:r w:rsidRPr="0018386D">
        <w:t>units:</w:t>
      </w:r>
    </w:p>
    <w:p w14:paraId="325B8758" w14:textId="77777777" w:rsidR="009D4B8E" w:rsidRPr="0018386D" w:rsidRDefault="009D4B8E" w:rsidP="00DD3106">
      <w:pPr>
        <w:pStyle w:val="Bullet"/>
      </w:pPr>
      <w:r w:rsidRPr="0018386D">
        <w:t>one large commercial-sized chiller unit</w:t>
      </w:r>
    </w:p>
    <w:p w14:paraId="2C5C3356" w14:textId="68CDAFCA" w:rsidR="00C758E9" w:rsidRPr="0018386D" w:rsidRDefault="009D4B8E" w:rsidP="00DD3106">
      <w:pPr>
        <w:pStyle w:val="Bullet"/>
      </w:pPr>
      <w:r w:rsidRPr="0018386D">
        <w:t>one commercial-sized office air conditioning unit</w:t>
      </w:r>
      <w:r w:rsidR="00367434" w:rsidRPr="0018386D">
        <w:t>.</w:t>
      </w:r>
    </w:p>
    <w:p w14:paraId="7515E776" w14:textId="19CAD631" w:rsidR="005B1AFB" w:rsidRPr="0018386D" w:rsidRDefault="00367434" w:rsidP="00DD3106">
      <w:pPr>
        <w:pStyle w:val="BodyText"/>
        <w:keepNext/>
        <w:spacing w:after="240"/>
      </w:pPr>
      <w:r w:rsidRPr="0018386D">
        <w:lastRenderedPageBreak/>
        <w:t>U</w:t>
      </w:r>
      <w:r w:rsidR="00C758E9" w:rsidRPr="0018386D">
        <w:t>sing the top-up approach, the calculation is as follows</w:t>
      </w:r>
      <w:r w:rsidR="00740DE7" w:rsidRPr="0018386D">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9D4B8E" w:rsidRPr="0018386D" w14:paraId="4E951529" w14:textId="77777777" w:rsidTr="00D967CC">
        <w:tc>
          <w:tcPr>
            <w:tcW w:w="8500" w:type="dxa"/>
            <w:tcBorders>
              <w:top w:val="single" w:sz="4" w:space="0" w:color="0F7B7D"/>
              <w:left w:val="single" w:sz="4" w:space="0" w:color="0F7B7D"/>
              <w:bottom w:val="nil"/>
              <w:right w:val="single" w:sz="4" w:space="0" w:color="0F7B7D"/>
            </w:tcBorders>
            <w:shd w:val="clear" w:color="auto" w:fill="0F7B7D"/>
            <w:vAlign w:val="center"/>
          </w:tcPr>
          <w:p w14:paraId="098BADBE" w14:textId="56F9C3C0" w:rsidR="009D4B8E" w:rsidRPr="0018386D" w:rsidDel="00D5390D" w:rsidRDefault="00911FA3" w:rsidP="00DD3106">
            <w:pPr>
              <w:pStyle w:val="Casestudyheading"/>
              <w:ind w:left="0"/>
            </w:pPr>
            <w:bookmarkStart w:id="252" w:name="_Hlk532637398"/>
            <w:r w:rsidRPr="0018386D">
              <w:t>Refrigerant use</w:t>
            </w:r>
            <w:r w:rsidR="00740DE7" w:rsidRPr="0018386D">
              <w:t xml:space="preserve"> METHOD A</w:t>
            </w:r>
            <w:r w:rsidR="00367434" w:rsidRPr="0018386D">
              <w:t xml:space="preserve">: </w:t>
            </w:r>
            <w:r w:rsidR="009D4B8E" w:rsidRPr="0018386D">
              <w:t>Example Calculations</w:t>
            </w:r>
          </w:p>
        </w:tc>
      </w:tr>
      <w:tr w:rsidR="009D4B8E" w:rsidRPr="0018386D" w14:paraId="052FD17B" w14:textId="77777777" w:rsidTr="00D967CC">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CFE5E5"/>
          </w:tcPr>
          <w:p w14:paraId="48599624" w14:textId="75A7A7B5" w:rsidR="009D4B8E" w:rsidRPr="0018386D" w:rsidRDefault="009D4B8E" w:rsidP="00DD3106">
            <w:pPr>
              <w:pStyle w:val="Boxtext"/>
              <w:keepNext/>
              <w:spacing w:before="180" w:after="0"/>
              <w:rPr>
                <w:b/>
              </w:rPr>
            </w:pPr>
            <w:r w:rsidRPr="0018386D">
              <w:rPr>
                <w:b/>
              </w:rPr>
              <w:t xml:space="preserve">Method A: Top-up </w:t>
            </w:r>
          </w:p>
          <w:p w14:paraId="673A43C4" w14:textId="4D47D22C" w:rsidR="009D4B8E" w:rsidRPr="0018386D" w:rsidRDefault="009D4B8E" w:rsidP="00DD3106">
            <w:pPr>
              <w:pStyle w:val="Boxtext"/>
              <w:spacing w:before="60" w:after="60"/>
            </w:pPr>
            <w:r w:rsidRPr="0018386D">
              <w:t>Chiller unit: During the 20</w:t>
            </w:r>
            <w:r w:rsidR="00255089" w:rsidRPr="0018386D">
              <w:t>2</w:t>
            </w:r>
            <w:r w:rsidR="33145DC2" w:rsidRPr="0018386D">
              <w:t>2</w:t>
            </w:r>
            <w:r w:rsidRPr="0018386D">
              <w:t xml:space="preserve"> calendar year, a service technician confirmed a top-up of 6 kg of HFC-134a </w:t>
            </w:r>
            <w:r w:rsidR="00B03956" w:rsidRPr="0018386D">
              <w:t>(</w:t>
            </w:r>
            <w:r w:rsidR="78847B6E" w:rsidRPr="0018386D">
              <w:t>AR</w:t>
            </w:r>
            <w:r w:rsidR="691978B6" w:rsidRPr="0018386D">
              <w:t>5</w:t>
            </w:r>
            <w:r w:rsidR="00686F2A" w:rsidRPr="0018386D">
              <w:t xml:space="preserve"> </w:t>
            </w:r>
            <w:r w:rsidR="00B03956" w:rsidRPr="0018386D">
              <w:t xml:space="preserve">GWP = </w:t>
            </w:r>
            <w:r w:rsidR="592C4546" w:rsidRPr="0018386D">
              <w:t>1</w:t>
            </w:r>
            <w:r w:rsidR="21C17E8B" w:rsidRPr="0018386D">
              <w:t>,300</w:t>
            </w:r>
            <w:r w:rsidR="00B03956" w:rsidRPr="0018386D">
              <w:t>)</w:t>
            </w:r>
            <w:r w:rsidRPr="0018386D">
              <w:t xml:space="preserve"> in December 20</w:t>
            </w:r>
            <w:r w:rsidR="4BF79B3A" w:rsidRPr="0018386D">
              <w:t>2</w:t>
            </w:r>
            <w:r w:rsidR="5BA6A846" w:rsidRPr="0018386D">
              <w:t>2</w:t>
            </w:r>
            <w:r w:rsidRPr="0018386D">
              <w:t>. The technician also confirmed that when last serviced at the end of December 20</w:t>
            </w:r>
            <w:r w:rsidR="49D993CE" w:rsidRPr="0018386D">
              <w:t>21</w:t>
            </w:r>
            <w:r w:rsidRPr="0018386D">
              <w:t>, no top-ups</w:t>
            </w:r>
            <w:r w:rsidR="00371F16" w:rsidRPr="0018386D">
              <w:t xml:space="preserve"> were needed</w:t>
            </w:r>
            <w:r w:rsidRPr="0018386D">
              <w:t>. So</w:t>
            </w:r>
            <w:r w:rsidR="00920C22" w:rsidRPr="0018386D">
              <w:t>,</w:t>
            </w:r>
            <w:r w:rsidRPr="0018386D">
              <w:t xml:space="preserve"> </w:t>
            </w:r>
            <w:r w:rsidR="00D1128D" w:rsidRPr="0018386D">
              <w:t xml:space="preserve">we assume </w:t>
            </w:r>
            <w:r w:rsidR="00367434" w:rsidRPr="0018386D">
              <w:t xml:space="preserve">all </w:t>
            </w:r>
            <w:r w:rsidRPr="0018386D">
              <w:t xml:space="preserve">the </w:t>
            </w:r>
            <w:r w:rsidR="005125F9" w:rsidRPr="0018386D">
              <w:t xml:space="preserve">6 kg of </w:t>
            </w:r>
            <w:r w:rsidRPr="0018386D">
              <w:t xml:space="preserve">gas </w:t>
            </w:r>
            <w:r w:rsidR="00367434" w:rsidRPr="0018386D">
              <w:t>was</w:t>
            </w:r>
            <w:r w:rsidRPr="0018386D">
              <w:t xml:space="preserve"> lost during calendar year 20</w:t>
            </w:r>
            <w:r w:rsidR="3EC0AE40" w:rsidRPr="0018386D">
              <w:t>2</w:t>
            </w:r>
            <w:r w:rsidR="2157C784" w:rsidRPr="0018386D">
              <w:t>2</w:t>
            </w:r>
            <w:r w:rsidRPr="0018386D">
              <w:t>.</w:t>
            </w:r>
          </w:p>
          <w:p w14:paraId="6F834B7B" w14:textId="3886DBC3" w:rsidR="009D4B8E" w:rsidRPr="0018386D" w:rsidRDefault="009D4B8E" w:rsidP="00DD3106">
            <w:pPr>
              <w:pStyle w:val="Boxtext"/>
              <w:spacing w:before="60" w:after="60"/>
            </w:pPr>
            <w:r w:rsidRPr="0018386D">
              <w:t>So, for the 20</w:t>
            </w:r>
            <w:r w:rsidR="3EC0AE40" w:rsidRPr="0018386D">
              <w:t>2</w:t>
            </w:r>
            <w:r w:rsidR="7BCB637D" w:rsidRPr="0018386D">
              <w:t>2</w:t>
            </w:r>
            <w:r w:rsidRPr="0018386D">
              <w:t xml:space="preserve"> inventory:</w:t>
            </w:r>
          </w:p>
          <w:p w14:paraId="41469AAF" w14:textId="21C7A712" w:rsidR="009D4B8E" w:rsidRPr="0018386D" w:rsidRDefault="009D4B8E" w:rsidP="00DD3106">
            <w:pPr>
              <w:pStyle w:val="Boxtext"/>
              <w:tabs>
                <w:tab w:val="left" w:pos="3149"/>
              </w:tabs>
              <w:spacing w:before="60" w:after="60"/>
              <w:ind w:left="850"/>
            </w:pPr>
            <w:r w:rsidRPr="0018386D">
              <w:t>6 kg HFC-134a</w:t>
            </w:r>
            <w:r w:rsidR="00724C42" w:rsidRPr="0018386D">
              <w:t xml:space="preserve"> </w:t>
            </w:r>
            <w:r w:rsidRPr="0018386D">
              <w:t>×</w:t>
            </w:r>
            <w:r w:rsidR="00724C42" w:rsidRPr="0018386D">
              <w:t xml:space="preserve"> </w:t>
            </w:r>
            <w:r w:rsidRPr="0018386D">
              <w:t>1,</w:t>
            </w:r>
            <w:r w:rsidR="2F6FCE79" w:rsidRPr="0018386D">
              <w:t>300</w:t>
            </w:r>
            <w:r w:rsidR="004C3308" w:rsidRPr="0018386D">
              <w:t xml:space="preserve"> </w:t>
            </w:r>
            <w:r w:rsidRPr="0018386D">
              <w:tab/>
            </w:r>
            <w:r w:rsidRPr="0018386D">
              <w:tab/>
              <w:t xml:space="preserve">= </w:t>
            </w:r>
            <w:r w:rsidR="5B172973" w:rsidRPr="0018386D">
              <w:t>7,800</w:t>
            </w:r>
            <w:r w:rsidRPr="0018386D">
              <w:t xml:space="preserve"> kg CO</w:t>
            </w:r>
            <w:r w:rsidRPr="0018386D">
              <w:rPr>
                <w:vertAlign w:val="subscript"/>
              </w:rPr>
              <w:t>2</w:t>
            </w:r>
            <w:r w:rsidR="00512F10" w:rsidRPr="0018386D">
              <w:t>-</w:t>
            </w:r>
            <w:r w:rsidRPr="0018386D">
              <w:t xml:space="preserve">e </w:t>
            </w:r>
          </w:p>
          <w:p w14:paraId="7D98ACF2" w14:textId="011913EA" w:rsidR="009D4B8E" w:rsidRPr="0018386D" w:rsidRDefault="009D4B8E" w:rsidP="00DD3106">
            <w:pPr>
              <w:pStyle w:val="Boxtext"/>
              <w:spacing w:before="60" w:after="60"/>
            </w:pPr>
            <w:r w:rsidRPr="0018386D">
              <w:t>Air conditioning unit: During the 20</w:t>
            </w:r>
            <w:r w:rsidR="00920C22" w:rsidRPr="0018386D">
              <w:t>2</w:t>
            </w:r>
            <w:r w:rsidR="12B6CE00" w:rsidRPr="0018386D">
              <w:t>2</w:t>
            </w:r>
            <w:r w:rsidRPr="0018386D">
              <w:t xml:space="preserve"> calendar year, a service technician confirmed a top-up of 6 kg of HFC-143a</w:t>
            </w:r>
            <w:r w:rsidR="00512F10" w:rsidRPr="0018386D">
              <w:t xml:space="preserve"> (</w:t>
            </w:r>
            <w:r w:rsidR="4BF79B3A" w:rsidRPr="0018386D">
              <w:t>AR</w:t>
            </w:r>
            <w:r w:rsidR="0F403C7F" w:rsidRPr="0018386D">
              <w:t>5</w:t>
            </w:r>
            <w:r w:rsidR="00920C22" w:rsidRPr="0018386D">
              <w:t xml:space="preserve"> </w:t>
            </w:r>
            <w:r w:rsidR="00512F10" w:rsidRPr="0018386D">
              <w:t>GWP = 4,</w:t>
            </w:r>
            <w:r w:rsidR="3A8F498E" w:rsidRPr="0018386D">
              <w:t>800</w:t>
            </w:r>
            <w:r w:rsidR="00512F10" w:rsidRPr="0018386D">
              <w:t>)</w:t>
            </w:r>
            <w:r w:rsidRPr="0018386D">
              <w:t xml:space="preserve"> in July 20</w:t>
            </w:r>
            <w:r w:rsidR="62FCB723" w:rsidRPr="0018386D">
              <w:t>2</w:t>
            </w:r>
            <w:r w:rsidR="29BB5B5C" w:rsidRPr="0018386D">
              <w:t>2</w:t>
            </w:r>
            <w:r w:rsidRPr="0018386D">
              <w:t>. The technician also confirmed that when last serviced at the end of July 20</w:t>
            </w:r>
            <w:r w:rsidR="3E0DC79D" w:rsidRPr="0018386D">
              <w:t>21</w:t>
            </w:r>
            <w:r w:rsidRPr="0018386D">
              <w:t>, no top-ups</w:t>
            </w:r>
            <w:r w:rsidR="00371F16" w:rsidRPr="0018386D">
              <w:t xml:space="preserve"> were needed</w:t>
            </w:r>
            <w:r w:rsidRPr="0018386D">
              <w:t xml:space="preserve">. </w:t>
            </w:r>
            <w:r w:rsidR="00367434" w:rsidRPr="0018386D">
              <w:t>So</w:t>
            </w:r>
            <w:r w:rsidR="00920C22" w:rsidRPr="0018386D">
              <w:t>,</w:t>
            </w:r>
            <w:r w:rsidRPr="0018386D">
              <w:t xml:space="preserve"> </w:t>
            </w:r>
            <w:r w:rsidR="00D1128D" w:rsidRPr="0018386D">
              <w:t xml:space="preserve">we assume </w:t>
            </w:r>
            <w:r w:rsidR="00367434" w:rsidRPr="0018386D">
              <w:t xml:space="preserve">all </w:t>
            </w:r>
            <w:r w:rsidRPr="0018386D">
              <w:t xml:space="preserve">the gas </w:t>
            </w:r>
            <w:r w:rsidR="00367434" w:rsidRPr="0018386D">
              <w:t>was</w:t>
            </w:r>
            <w:r w:rsidRPr="0018386D">
              <w:t xml:space="preserve"> lost at an even rate during the 12 months between service visits, and </w:t>
            </w:r>
            <w:r w:rsidR="00367434" w:rsidRPr="0018386D">
              <w:t>six</w:t>
            </w:r>
            <w:r w:rsidRPr="0018386D">
              <w:t xml:space="preserve"> of those months </w:t>
            </w:r>
            <w:r w:rsidR="00371F16" w:rsidRPr="0018386D">
              <w:t xml:space="preserve">sit </w:t>
            </w:r>
            <w:r w:rsidRPr="0018386D">
              <w:t xml:space="preserve">in the </w:t>
            </w:r>
            <w:r w:rsidR="10B9AE5F" w:rsidRPr="0018386D">
              <w:t>20</w:t>
            </w:r>
            <w:r w:rsidR="32E06E75" w:rsidRPr="0018386D">
              <w:t>2</w:t>
            </w:r>
            <w:r w:rsidR="6F66169C" w:rsidRPr="0018386D">
              <w:t>2</w:t>
            </w:r>
            <w:r w:rsidRPr="0018386D">
              <w:t xml:space="preserve"> measurement period. </w:t>
            </w:r>
          </w:p>
          <w:p w14:paraId="4CA8F54E" w14:textId="58285B21" w:rsidR="009D4B8E" w:rsidRPr="0018386D" w:rsidRDefault="009D4B8E" w:rsidP="00DD3106">
            <w:pPr>
              <w:pStyle w:val="Boxtext"/>
              <w:tabs>
                <w:tab w:val="left" w:pos="3149"/>
              </w:tabs>
              <w:spacing w:before="20" w:after="20"/>
              <w:ind w:left="850"/>
            </w:pPr>
            <w:r w:rsidRPr="0018386D">
              <w:t xml:space="preserve">6 kg/12 months </w:t>
            </w:r>
            <w:r w:rsidR="001F7DBB" w:rsidRPr="0018386D">
              <w:tab/>
            </w:r>
            <w:r w:rsidR="001F7DBB" w:rsidRPr="0018386D">
              <w:tab/>
            </w:r>
            <w:r w:rsidRPr="0018386D">
              <w:t>= 0.5 kg per month</w:t>
            </w:r>
          </w:p>
          <w:p w14:paraId="41572643" w14:textId="364BE24B" w:rsidR="009D4B8E" w:rsidRPr="0018386D" w:rsidRDefault="009D4B8E" w:rsidP="00DD3106">
            <w:pPr>
              <w:pStyle w:val="Boxtext"/>
              <w:spacing w:after="80"/>
            </w:pPr>
            <w:r w:rsidRPr="0018386D">
              <w:t xml:space="preserve">So, for the </w:t>
            </w:r>
            <w:r w:rsidR="4B21291E" w:rsidRPr="0018386D">
              <w:t>20</w:t>
            </w:r>
            <w:r w:rsidR="71F19E06" w:rsidRPr="0018386D">
              <w:t>2</w:t>
            </w:r>
            <w:r w:rsidR="311ACAA4" w:rsidRPr="0018386D">
              <w:t>2</w:t>
            </w:r>
            <w:r w:rsidRPr="0018386D">
              <w:t xml:space="preserve"> calendar year inventory, 0.5 </w:t>
            </w:r>
            <w:r w:rsidR="00C758E9" w:rsidRPr="0018386D">
              <w:t>×</w:t>
            </w:r>
            <w:r w:rsidRPr="0018386D">
              <w:t xml:space="preserve"> 6 months = 3 kg</w:t>
            </w:r>
            <w:r w:rsidR="00367434" w:rsidRPr="0018386D">
              <w:t>.</w:t>
            </w:r>
            <w:r w:rsidR="00BD685C" w:rsidRPr="0018386D">
              <w:t xml:space="preserve"> </w:t>
            </w:r>
            <w:r w:rsidR="00367434" w:rsidRPr="0018386D">
              <w:t>E</w:t>
            </w:r>
            <w:r w:rsidRPr="0018386D">
              <w:t xml:space="preserve">missions calculate as: </w:t>
            </w:r>
          </w:p>
          <w:p w14:paraId="2FE1D186" w14:textId="307075C5" w:rsidR="00D9313E" w:rsidRPr="0018386D" w:rsidRDefault="009D4B8E" w:rsidP="00DD3106">
            <w:pPr>
              <w:pStyle w:val="Boxtext"/>
              <w:tabs>
                <w:tab w:val="left" w:pos="3149"/>
              </w:tabs>
              <w:spacing w:before="20" w:after="180"/>
              <w:ind w:left="850"/>
              <w:rPr>
                <w:sz w:val="18"/>
                <w:szCs w:val="18"/>
              </w:rPr>
            </w:pPr>
            <w:r w:rsidRPr="0018386D">
              <w:t xml:space="preserve">3 kg HFC-143a </w:t>
            </w:r>
            <w:r w:rsidR="00C758E9" w:rsidRPr="0018386D">
              <w:t>×</w:t>
            </w:r>
            <w:r w:rsidRPr="0018386D">
              <w:t xml:space="preserve"> 4,</w:t>
            </w:r>
            <w:r w:rsidR="7B8F2D15" w:rsidRPr="0018386D">
              <w:t>800</w:t>
            </w:r>
            <w:r w:rsidRPr="0018386D">
              <w:t xml:space="preserve"> </w:t>
            </w:r>
            <w:r w:rsidR="001F7DBB" w:rsidRPr="0018386D">
              <w:tab/>
            </w:r>
            <w:r w:rsidR="001F7DBB" w:rsidRPr="0018386D">
              <w:tab/>
            </w:r>
            <w:r w:rsidRPr="0018386D">
              <w:t xml:space="preserve">= </w:t>
            </w:r>
            <w:r w:rsidR="74F07F9A" w:rsidRPr="0018386D">
              <w:t>14,400</w:t>
            </w:r>
            <w:r w:rsidRPr="0018386D">
              <w:t xml:space="preserve"> kg CO</w:t>
            </w:r>
            <w:r w:rsidRPr="0018386D">
              <w:rPr>
                <w:vertAlign w:val="subscript"/>
              </w:rPr>
              <w:t>2</w:t>
            </w:r>
            <w:r w:rsidR="00512F10" w:rsidRPr="0018386D">
              <w:t>-</w:t>
            </w:r>
            <w:r w:rsidRPr="0018386D">
              <w:t>e</w:t>
            </w:r>
          </w:p>
        </w:tc>
      </w:tr>
    </w:tbl>
    <w:bookmarkEnd w:id="252"/>
    <w:p w14:paraId="233D8692" w14:textId="6961216E" w:rsidR="00C2219E" w:rsidRPr="0018386D" w:rsidRDefault="00740DE7" w:rsidP="00DD3106">
      <w:pPr>
        <w:pStyle w:val="BodyText"/>
        <w:keepNext/>
        <w:spacing w:before="360" w:after="180"/>
      </w:pPr>
      <w:r w:rsidRPr="0018386D">
        <w:t>If information was not</w:t>
      </w:r>
      <w:r w:rsidR="00C2219E" w:rsidRPr="0018386D">
        <w:t xml:space="preserve"> available from the technician, </w:t>
      </w:r>
      <w:r w:rsidR="00D1128D" w:rsidRPr="0018386D">
        <w:t xml:space="preserve">Company A could use </w:t>
      </w:r>
      <w:r w:rsidR="00C2219E" w:rsidRPr="0018386D">
        <w:t>the following approach:</w:t>
      </w:r>
      <w:r w:rsidRPr="0018386D">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C758E9" w:rsidRPr="0018386D" w14:paraId="46EDB545" w14:textId="77777777" w:rsidTr="6C9C920C">
        <w:tc>
          <w:tcPr>
            <w:tcW w:w="8500" w:type="dxa"/>
            <w:tcBorders>
              <w:top w:val="single" w:sz="4" w:space="0" w:color="0F7B7D"/>
              <w:left w:val="single" w:sz="4" w:space="0" w:color="0F7B7D"/>
              <w:bottom w:val="single" w:sz="4" w:space="0" w:color="D5EBE8" w:themeColor="accent3"/>
              <w:right w:val="single" w:sz="4" w:space="0" w:color="0F7B7D"/>
            </w:tcBorders>
            <w:shd w:val="clear" w:color="auto" w:fill="0F7B7D"/>
            <w:vAlign w:val="center"/>
          </w:tcPr>
          <w:p w14:paraId="3A8622B1" w14:textId="20739952" w:rsidR="00C758E9" w:rsidRPr="0018386D" w:rsidDel="00D5390D" w:rsidRDefault="00740DE7" w:rsidP="00DD3106">
            <w:pPr>
              <w:pStyle w:val="Casestudyheading"/>
              <w:ind w:left="0"/>
            </w:pPr>
            <w:r w:rsidRPr="0018386D">
              <w:t xml:space="preserve">REFRIGERANT </w:t>
            </w:r>
            <w:r w:rsidR="00911FA3" w:rsidRPr="0018386D">
              <w:t>use</w:t>
            </w:r>
            <w:r w:rsidRPr="0018386D">
              <w:t xml:space="preserve"> METHOD B: </w:t>
            </w:r>
            <w:r w:rsidR="00C758E9" w:rsidRPr="0018386D">
              <w:t>Example Calculations</w:t>
            </w:r>
          </w:p>
        </w:tc>
      </w:tr>
      <w:tr w:rsidR="00C758E9" w:rsidRPr="0018386D" w14:paraId="7A74AD59" w14:textId="77777777" w:rsidTr="6C9C920C">
        <w:tc>
          <w:tcPr>
            <w:tcW w:w="8500" w:type="dxa"/>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p w14:paraId="284FF128" w14:textId="262B8522" w:rsidR="00C758E9" w:rsidRPr="0018386D" w:rsidRDefault="00C758E9" w:rsidP="00DD3106">
            <w:pPr>
              <w:pStyle w:val="Boxtext"/>
              <w:spacing w:after="0"/>
              <w:rPr>
                <w:b/>
              </w:rPr>
            </w:pPr>
            <w:r w:rsidRPr="0018386D">
              <w:rPr>
                <w:b/>
              </w:rPr>
              <w:t>Method B: Screening method with default annual leakage rate</w:t>
            </w:r>
          </w:p>
          <w:p w14:paraId="4D314E02" w14:textId="18C15B93" w:rsidR="00C758E9" w:rsidRPr="0018386D" w:rsidRDefault="00C758E9" w:rsidP="00DD3106">
            <w:pPr>
              <w:pStyle w:val="Boxtext"/>
              <w:spacing w:before="60" w:after="60"/>
            </w:pPr>
            <w:r w:rsidRPr="0018386D">
              <w:t>Chiller unit: Compliance plates on the equipment confirm the refrigerant is HFC-134a</w:t>
            </w:r>
            <w:r w:rsidR="00512F10" w:rsidRPr="0018386D">
              <w:t xml:space="preserve"> (</w:t>
            </w:r>
            <w:r w:rsidR="00920C22" w:rsidRPr="0018386D">
              <w:t>AR</w:t>
            </w:r>
            <w:r w:rsidR="00913F7D" w:rsidRPr="0018386D">
              <w:t>5</w:t>
            </w:r>
            <w:r w:rsidR="00920C22" w:rsidRPr="0018386D">
              <w:t xml:space="preserve"> </w:t>
            </w:r>
            <w:r w:rsidR="00512F10" w:rsidRPr="0018386D">
              <w:t>GWP = 1</w:t>
            </w:r>
            <w:r w:rsidR="169DF5D5" w:rsidRPr="0018386D">
              <w:t>,</w:t>
            </w:r>
            <w:r w:rsidR="4CA04234" w:rsidRPr="0018386D">
              <w:t>300</w:t>
            </w:r>
            <w:r w:rsidR="169DF5D5" w:rsidRPr="0018386D">
              <w:t>)</w:t>
            </w:r>
            <w:r w:rsidRPr="0018386D">
              <w:t xml:space="preserve"> and the volume held is 12 kg. For the chiller unit size, the default leakage rate is</w:t>
            </w:r>
            <w:r w:rsidR="005109EB" w:rsidRPr="0018386D">
              <w:t> </w:t>
            </w:r>
            <w:r w:rsidRPr="0018386D">
              <w:t xml:space="preserve">8%. </w:t>
            </w:r>
          </w:p>
          <w:p w14:paraId="5F45F29B" w14:textId="35029BEB" w:rsidR="00C758E9" w:rsidRPr="0018386D" w:rsidRDefault="00C758E9" w:rsidP="00DD3106">
            <w:pPr>
              <w:pStyle w:val="Boxtext"/>
              <w:spacing w:before="60" w:after="60"/>
            </w:pPr>
            <w:r w:rsidRPr="0018386D">
              <w:t>So, for the 20</w:t>
            </w:r>
            <w:r w:rsidR="00920C22" w:rsidRPr="0018386D">
              <w:t>2</w:t>
            </w:r>
            <w:r w:rsidR="4D55B4B3" w:rsidRPr="0018386D">
              <w:t>2</w:t>
            </w:r>
            <w:r w:rsidRPr="0018386D">
              <w:t xml:space="preserve"> calendar year, </w:t>
            </w:r>
          </w:p>
          <w:p w14:paraId="778A73DF" w14:textId="4C66C1FD" w:rsidR="00C758E9" w:rsidRPr="0018386D" w:rsidRDefault="00C758E9" w:rsidP="00DD3106">
            <w:pPr>
              <w:pStyle w:val="Boxtext"/>
              <w:tabs>
                <w:tab w:val="left" w:pos="3696"/>
              </w:tabs>
              <w:spacing w:before="60" w:after="60"/>
              <w:ind w:left="850"/>
            </w:pPr>
            <w:r w:rsidRPr="0018386D">
              <w:t>12 kg HFC-134a × 8% × 1,</w:t>
            </w:r>
            <w:r w:rsidR="39A3C5DC" w:rsidRPr="0018386D">
              <w:t>300</w:t>
            </w:r>
            <w:r w:rsidRPr="0018386D">
              <w:t xml:space="preserve"> </w:t>
            </w:r>
            <w:r w:rsidR="001F7DBB" w:rsidRPr="0018386D">
              <w:tab/>
            </w:r>
            <w:r w:rsidRPr="0018386D">
              <w:t>= 1,</w:t>
            </w:r>
            <w:r w:rsidR="676D2A81" w:rsidRPr="0018386D">
              <w:t>248</w:t>
            </w:r>
            <w:r w:rsidRPr="0018386D">
              <w:t xml:space="preserve"> kg CO</w:t>
            </w:r>
            <w:r w:rsidRPr="0018386D">
              <w:rPr>
                <w:vertAlign w:val="subscript"/>
              </w:rPr>
              <w:t>2</w:t>
            </w:r>
            <w:r w:rsidR="00512F10" w:rsidRPr="0018386D">
              <w:t>-</w:t>
            </w:r>
            <w:r w:rsidRPr="0018386D">
              <w:t xml:space="preserve">e </w:t>
            </w:r>
          </w:p>
          <w:p w14:paraId="7B6E8509" w14:textId="4FA671AB" w:rsidR="00C758E9" w:rsidRPr="0018386D" w:rsidRDefault="00C758E9" w:rsidP="00DD3106">
            <w:pPr>
              <w:pStyle w:val="Boxtext"/>
              <w:spacing w:before="60" w:after="60"/>
            </w:pPr>
            <w:r w:rsidRPr="0018386D">
              <w:t>Air conditioning unit: A service technician confirms the refrigerant is HFC-143a</w:t>
            </w:r>
            <w:r w:rsidR="00512F10" w:rsidRPr="0018386D">
              <w:t xml:space="preserve"> (</w:t>
            </w:r>
            <w:r w:rsidR="00920C22" w:rsidRPr="0018386D">
              <w:t>AR</w:t>
            </w:r>
            <w:r w:rsidR="00913F7D" w:rsidRPr="0018386D">
              <w:t>5</w:t>
            </w:r>
            <w:r w:rsidR="00920C22" w:rsidRPr="0018386D">
              <w:t xml:space="preserve"> </w:t>
            </w:r>
            <w:r w:rsidR="00512F10" w:rsidRPr="0018386D">
              <w:t>GWP =</w:t>
            </w:r>
            <w:r w:rsidR="00842EE8" w:rsidRPr="0018386D">
              <w:t> </w:t>
            </w:r>
            <w:r w:rsidR="00512F10" w:rsidRPr="0018386D">
              <w:t>4,</w:t>
            </w:r>
            <w:r w:rsidR="370D0168" w:rsidRPr="0018386D">
              <w:t>800</w:t>
            </w:r>
            <w:r w:rsidR="00512F10" w:rsidRPr="0018386D">
              <w:t>)</w:t>
            </w:r>
            <w:r w:rsidRPr="0018386D">
              <w:t xml:space="preserve"> and the volume held is 1</w:t>
            </w:r>
            <w:r w:rsidR="00192445" w:rsidRPr="0018386D">
              <w:t>2</w:t>
            </w:r>
            <w:r w:rsidRPr="0018386D">
              <w:t xml:space="preserve"> kg. For the size of the unit, the default leakage rate is 3%.</w:t>
            </w:r>
          </w:p>
          <w:p w14:paraId="207F37D5" w14:textId="2D1EF005" w:rsidR="00C758E9" w:rsidRPr="0018386D" w:rsidRDefault="00C758E9" w:rsidP="00DD3106">
            <w:pPr>
              <w:pStyle w:val="Boxtext"/>
              <w:spacing w:before="80" w:after="60"/>
            </w:pPr>
            <w:r w:rsidRPr="0018386D">
              <w:t xml:space="preserve">So, for the </w:t>
            </w:r>
            <w:r w:rsidR="1F4FFB43" w:rsidRPr="0018386D">
              <w:t>20</w:t>
            </w:r>
            <w:r w:rsidR="573BD12E" w:rsidRPr="0018386D">
              <w:t>2</w:t>
            </w:r>
            <w:r w:rsidR="11EF3958" w:rsidRPr="0018386D">
              <w:t>2</w:t>
            </w:r>
            <w:r w:rsidRPr="0018386D">
              <w:t xml:space="preserve"> calendar year, </w:t>
            </w:r>
          </w:p>
          <w:p w14:paraId="6FDA981C" w14:textId="458F6300" w:rsidR="00C758E9" w:rsidRPr="0018386D" w:rsidRDefault="00C758E9" w:rsidP="00DD3106">
            <w:pPr>
              <w:pStyle w:val="Boxtext"/>
              <w:tabs>
                <w:tab w:val="left" w:pos="3688"/>
              </w:tabs>
              <w:spacing w:before="20" w:after="20"/>
              <w:ind w:left="850"/>
            </w:pPr>
            <w:r w:rsidRPr="0018386D">
              <w:t>1</w:t>
            </w:r>
            <w:r w:rsidR="00192445" w:rsidRPr="0018386D">
              <w:t>2</w:t>
            </w:r>
            <w:r w:rsidRPr="0018386D">
              <w:t xml:space="preserve"> kg HFC-143a × 3% × 4,</w:t>
            </w:r>
            <w:r w:rsidR="26BDCE4F" w:rsidRPr="0018386D">
              <w:t>800</w:t>
            </w:r>
            <w:r w:rsidRPr="0018386D">
              <w:t xml:space="preserve"> </w:t>
            </w:r>
            <w:r w:rsidR="001F7DBB" w:rsidRPr="0018386D">
              <w:tab/>
            </w:r>
            <w:r w:rsidRPr="0018386D">
              <w:t>= 1,</w:t>
            </w:r>
            <w:r w:rsidR="650BC10B" w:rsidRPr="0018386D">
              <w:t>728</w:t>
            </w:r>
            <w:r w:rsidRPr="0018386D">
              <w:t xml:space="preserve"> kg C</w:t>
            </w:r>
            <w:r w:rsidR="0086459A" w:rsidRPr="0018386D">
              <w:t>O</w:t>
            </w:r>
            <w:r w:rsidRPr="0018386D">
              <w:rPr>
                <w:vertAlign w:val="subscript"/>
              </w:rPr>
              <w:t>2</w:t>
            </w:r>
            <w:r w:rsidR="00512F10" w:rsidRPr="0018386D">
              <w:t>-</w:t>
            </w:r>
            <w:r w:rsidRPr="0018386D">
              <w:t>e</w:t>
            </w:r>
          </w:p>
          <w:p w14:paraId="0188DC36" w14:textId="26EB875D" w:rsidR="00D9313E" w:rsidRPr="0018386D" w:rsidRDefault="00D9313E" w:rsidP="00DD3106">
            <w:pPr>
              <w:pStyle w:val="Boxtext"/>
              <w:spacing w:before="80" w:after="180"/>
              <w:rPr>
                <w:sz w:val="18"/>
                <w:szCs w:val="18"/>
              </w:rPr>
            </w:pPr>
            <w:r w:rsidRPr="0018386D">
              <w:rPr>
                <w:sz w:val="18"/>
                <w:szCs w:val="18"/>
              </w:rPr>
              <w:t>Note</w:t>
            </w:r>
            <w:r w:rsidR="008C1FC8" w:rsidRPr="0018386D">
              <w:rPr>
                <w:sz w:val="18"/>
                <w:szCs w:val="18"/>
              </w:rPr>
              <w:t>: N</w:t>
            </w:r>
            <w:r w:rsidRPr="0018386D">
              <w:rPr>
                <w:sz w:val="18"/>
                <w:szCs w:val="18"/>
              </w:rPr>
              <w:t>umbers may not add due to rounding</w:t>
            </w:r>
            <w:r w:rsidR="00BB436A" w:rsidRPr="0018386D">
              <w:rPr>
                <w:sz w:val="18"/>
                <w:szCs w:val="18"/>
              </w:rPr>
              <w:t>.</w:t>
            </w:r>
          </w:p>
        </w:tc>
      </w:tr>
    </w:tbl>
    <w:p w14:paraId="650919F6" w14:textId="263239D5" w:rsidR="00284265" w:rsidRPr="0018386D" w:rsidRDefault="00C2219E" w:rsidP="00DD3106">
      <w:pPr>
        <w:pStyle w:val="BodyText"/>
        <w:spacing w:before="240" w:after="100"/>
      </w:pPr>
      <w:r w:rsidRPr="0018386D">
        <w:t xml:space="preserve">The </w:t>
      </w:r>
      <w:bookmarkEnd w:id="251"/>
      <w:r w:rsidRPr="0018386D">
        <w:t xml:space="preserve">difference between </w:t>
      </w:r>
      <w:r w:rsidR="00C758E9" w:rsidRPr="0018386D">
        <w:t xml:space="preserve">Method A </w:t>
      </w:r>
      <w:r w:rsidRPr="0018386D">
        <w:t xml:space="preserve">and Method </w:t>
      </w:r>
      <w:r w:rsidR="00C758E9" w:rsidRPr="0018386D">
        <w:t>B</w:t>
      </w:r>
      <w:r w:rsidRPr="0018386D">
        <w:t xml:space="preserve"> suggests that </w:t>
      </w:r>
      <w:r w:rsidR="00642C33" w:rsidRPr="0018386D">
        <w:t xml:space="preserve">the leakage of refrigerant exceeds the default leakage rate, so </w:t>
      </w:r>
      <w:r w:rsidRPr="0018386D">
        <w:t>improved maintenance of the refrigeration systems could</w:t>
      </w:r>
      <w:r w:rsidR="005928A9" w:rsidRPr="0018386D">
        <w:t> </w:t>
      </w:r>
      <w:r w:rsidR="00BB436A" w:rsidRPr="0018386D">
        <w:t>help reduce</w:t>
      </w:r>
      <w:r w:rsidRPr="0018386D">
        <w:t xml:space="preserve"> leakage.</w:t>
      </w:r>
      <w:bookmarkStart w:id="253" w:name="_Hlk529439899"/>
    </w:p>
    <w:p w14:paraId="637BA2CA" w14:textId="72278C60" w:rsidR="00502067" w:rsidRPr="0018386D" w:rsidRDefault="00502067" w:rsidP="00DD3106">
      <w:pPr>
        <w:pStyle w:val="Heading2"/>
        <w:numPr>
          <w:ilvl w:val="1"/>
          <w:numId w:val="8"/>
        </w:numPr>
        <w:spacing w:before="280"/>
      </w:pPr>
      <w:bookmarkStart w:id="254" w:name="_Toc140048899"/>
      <w:r w:rsidRPr="0018386D">
        <w:t xml:space="preserve">Medical </w:t>
      </w:r>
      <w:r w:rsidR="00211E01" w:rsidRPr="0018386D">
        <w:t>g</w:t>
      </w:r>
      <w:r w:rsidRPr="0018386D">
        <w:t>ases</w:t>
      </w:r>
      <w:r w:rsidR="007C13EC" w:rsidRPr="0018386D">
        <w:t xml:space="preserve"> </w:t>
      </w:r>
      <w:r w:rsidR="00211E01" w:rsidRPr="0018386D">
        <w:t>u</w:t>
      </w:r>
      <w:r w:rsidR="007C13EC" w:rsidRPr="0018386D">
        <w:t>se</w:t>
      </w:r>
      <w:bookmarkEnd w:id="254"/>
    </w:p>
    <w:p w14:paraId="266085C1" w14:textId="402B1654" w:rsidR="00456B91" w:rsidRPr="0018386D" w:rsidRDefault="007455DC" w:rsidP="00DD3106">
      <w:pPr>
        <w:pStyle w:val="BodyText"/>
        <w:spacing w:before="100" w:after="100"/>
      </w:pPr>
      <w:r w:rsidRPr="0018386D">
        <w:t xml:space="preserve">This section covers </w:t>
      </w:r>
      <w:r w:rsidR="00C055B9" w:rsidRPr="0018386D">
        <w:t>emissions from medical gases</w:t>
      </w:r>
      <w:r w:rsidR="00456B91" w:rsidRPr="0018386D">
        <w:t>.</w:t>
      </w:r>
      <w:r w:rsidR="00F2373A" w:rsidRPr="0018386D">
        <w:t xml:space="preserve"> </w:t>
      </w:r>
      <w:r w:rsidR="00EF489C" w:rsidRPr="0018386D">
        <w:t>A</w:t>
      </w:r>
      <w:r w:rsidR="00592633" w:rsidRPr="0018386D">
        <w:t>naesthetic medical gases</w:t>
      </w:r>
      <w:r w:rsidR="00E3370F" w:rsidRPr="0018386D">
        <w:t xml:space="preserve"> can be</w:t>
      </w:r>
      <w:r w:rsidR="00592633" w:rsidRPr="0018386D">
        <w:t xml:space="preserve"> a </w:t>
      </w:r>
      <w:r w:rsidR="00B974FF" w:rsidRPr="0018386D">
        <w:t>significant</w:t>
      </w:r>
      <w:r w:rsidR="00592633" w:rsidRPr="0018386D">
        <w:t xml:space="preserve"> source of direct (</w:t>
      </w:r>
      <w:r w:rsidR="001E15DC" w:rsidRPr="0018386D">
        <w:t>S</w:t>
      </w:r>
      <w:r w:rsidR="00592633" w:rsidRPr="0018386D">
        <w:t>cope 1) emissions in hospitals</w:t>
      </w:r>
      <w:r w:rsidR="000025D9" w:rsidRPr="0018386D">
        <w:t>. The most accurate way to calculate</w:t>
      </w:r>
      <w:r w:rsidR="000174BD" w:rsidRPr="0018386D">
        <w:t> </w:t>
      </w:r>
      <w:r w:rsidR="000025D9" w:rsidRPr="0018386D">
        <w:t xml:space="preserve">emissions from medical gases </w:t>
      </w:r>
      <w:r w:rsidR="00B14608" w:rsidRPr="0018386D">
        <w:t>is based on consumption data</w:t>
      </w:r>
      <w:r w:rsidR="00206922" w:rsidRPr="0018386D">
        <w:t>.</w:t>
      </w:r>
      <w:r w:rsidR="0060751C" w:rsidRPr="0018386D">
        <w:t xml:space="preserve"> </w:t>
      </w:r>
    </w:p>
    <w:p w14:paraId="1AAF9D7D" w14:textId="2B6CF99C" w:rsidR="00AB5669" w:rsidRPr="0018386D" w:rsidRDefault="007C13EC" w:rsidP="00DD3106">
      <w:pPr>
        <w:pStyle w:val="Heading3"/>
        <w:numPr>
          <w:ilvl w:val="2"/>
          <w:numId w:val="8"/>
        </w:numPr>
        <w:spacing w:before="280"/>
      </w:pPr>
      <w:r w:rsidRPr="0018386D">
        <w:lastRenderedPageBreak/>
        <w:t>Global warming potentials of medical gases</w:t>
      </w:r>
    </w:p>
    <w:p w14:paraId="44FE5868" w14:textId="3D1EC340" w:rsidR="00263A4E" w:rsidRPr="0018386D" w:rsidRDefault="00C7627E" w:rsidP="00DD3106">
      <w:pPr>
        <w:pStyle w:val="BodyText"/>
        <w:spacing w:before="100" w:after="100"/>
      </w:pPr>
      <w:hyperlink w:anchor="table8" w:history="1">
        <w:r w:rsidR="00263A4E" w:rsidRPr="0018386D">
          <w:rPr>
            <w:rStyle w:val="Hyperlink"/>
          </w:rPr>
          <w:t xml:space="preserve">Table </w:t>
        </w:r>
        <w:r w:rsidR="00C94701" w:rsidRPr="0018386D">
          <w:rPr>
            <w:rStyle w:val="Hyperlink"/>
          </w:rPr>
          <w:t>8</w:t>
        </w:r>
      </w:hyperlink>
      <w:r w:rsidR="00D62D2E" w:rsidRPr="0018386D">
        <w:t xml:space="preserve"> details the GWPs of the medical gases </w:t>
      </w:r>
      <w:r w:rsidR="006F3016" w:rsidRPr="0018386D">
        <w:t xml:space="preserve">included in this </w:t>
      </w:r>
      <w:r w:rsidR="00E93241" w:rsidRPr="0018386D">
        <w:t>section</w:t>
      </w:r>
      <w:r w:rsidR="006F3016" w:rsidRPr="0018386D">
        <w:t>. The GWP is effectively the emission factor for each unit o</w:t>
      </w:r>
      <w:r w:rsidR="007D453D" w:rsidRPr="0018386D">
        <w:t xml:space="preserve">f medical gas lost to the atmosphere. </w:t>
      </w:r>
      <w:r w:rsidR="321FF9CE" w:rsidRPr="0018386D">
        <w:t xml:space="preserve">The guide uses </w:t>
      </w:r>
      <w:r w:rsidR="2FD1CE9A" w:rsidRPr="0018386D">
        <w:t xml:space="preserve">IPCC </w:t>
      </w:r>
      <w:r w:rsidR="4BAED981" w:rsidRPr="0018386D">
        <w:t>AR</w:t>
      </w:r>
      <w:r w:rsidR="21F07E34" w:rsidRPr="0018386D">
        <w:t>5</w:t>
      </w:r>
      <w:r w:rsidR="00801784" w:rsidRPr="0018386D">
        <w:t> </w:t>
      </w:r>
      <w:r w:rsidR="2FD1CE9A" w:rsidRPr="0018386D">
        <w:t>GWPs</w:t>
      </w:r>
      <w:r w:rsidR="2A858E53" w:rsidRPr="0018386D">
        <w:t>.</w:t>
      </w:r>
    </w:p>
    <w:p w14:paraId="35614044" w14:textId="591C5FDD" w:rsidR="00D867E0" w:rsidRPr="0018386D" w:rsidRDefault="00D867E0" w:rsidP="00DD3106">
      <w:pPr>
        <w:pStyle w:val="BodyText"/>
        <w:spacing w:before="100" w:after="100"/>
      </w:pPr>
      <w:r w:rsidRPr="0018386D">
        <w:t xml:space="preserve">Some medical gases consist of a mixture (or blend) of gases. If you know the blend composition, you can calculate the GWP based on the percentage of each gas. </w:t>
      </w:r>
    </w:p>
    <w:p w14:paraId="3593AFD2" w14:textId="2788D285" w:rsidR="008E2ED2" w:rsidRPr="0018386D" w:rsidRDefault="00691555" w:rsidP="00DD3106">
      <w:pPr>
        <w:pStyle w:val="Tableheading"/>
        <w:rPr>
          <w:bCs/>
        </w:rPr>
      </w:pPr>
      <w:bookmarkStart w:id="255" w:name="table8"/>
      <w:bookmarkStart w:id="256" w:name="_Toc111536613"/>
      <w:bookmarkStart w:id="257" w:name="_Toc140048948"/>
      <w:r w:rsidRPr="0018386D">
        <w:t xml:space="preserve">Table </w:t>
      </w:r>
      <w:r w:rsidRPr="0018386D">
        <w:fldChar w:fldCharType="begin"/>
      </w:r>
      <w:r w:rsidRPr="0018386D">
        <w:instrText>SEQ Table \* ARABIC</w:instrText>
      </w:r>
      <w:r w:rsidRPr="0018386D">
        <w:fldChar w:fldCharType="separate"/>
      </w:r>
      <w:r w:rsidR="003E141C" w:rsidRPr="0018386D">
        <w:t>8</w:t>
      </w:r>
      <w:r w:rsidRPr="0018386D">
        <w:fldChar w:fldCharType="end"/>
      </w:r>
      <w:bookmarkEnd w:id="255"/>
      <w:r w:rsidR="00D26629" w:rsidRPr="0018386D">
        <w:t>:</w:t>
      </w:r>
      <w:r w:rsidR="001A392D" w:rsidRPr="0018386D">
        <w:tab/>
      </w:r>
      <w:r w:rsidR="00F64130" w:rsidRPr="0018386D">
        <w:t>GWPs</w:t>
      </w:r>
      <w:r w:rsidR="001A392D" w:rsidRPr="0018386D">
        <w:t xml:space="preserve"> of </w:t>
      </w:r>
      <w:r w:rsidR="00C9286F" w:rsidRPr="0018386D">
        <w:t>medical gases</w:t>
      </w:r>
      <w:bookmarkStart w:id="258" w:name="_1746366774"/>
      <w:bookmarkStart w:id="259" w:name="_1745997831"/>
      <w:bookmarkStart w:id="260" w:name="_1746254046"/>
      <w:bookmarkStart w:id="261" w:name="_1747051246"/>
      <w:bookmarkEnd w:id="256"/>
      <w:bookmarkEnd w:id="257"/>
      <w:bookmarkEnd w:id="258"/>
      <w:bookmarkEnd w:id="259"/>
      <w:bookmarkEnd w:id="260"/>
      <w:bookmarkEnd w:id="26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3119"/>
        <w:gridCol w:w="1843"/>
        <w:gridCol w:w="992"/>
        <w:gridCol w:w="2551"/>
      </w:tblGrid>
      <w:tr w:rsidR="00801784" w:rsidRPr="0018386D" w14:paraId="63AAEBAA" w14:textId="77777777" w:rsidTr="00842EE8">
        <w:trPr>
          <w:divId w:val="427625533"/>
        </w:trPr>
        <w:tc>
          <w:tcPr>
            <w:tcW w:w="3119" w:type="dxa"/>
            <w:tcBorders>
              <w:bottom w:val="single" w:sz="4" w:space="0" w:color="1B556B" w:themeColor="text2"/>
            </w:tcBorders>
            <w:shd w:val="clear" w:color="000000" w:fill="1B556B" w:themeFill="text2"/>
            <w:noWrap/>
            <w:vAlign w:val="bottom"/>
            <w:hideMark/>
          </w:tcPr>
          <w:p w14:paraId="56422729" w14:textId="4266DB78" w:rsidR="00A94C3E" w:rsidRPr="0018386D" w:rsidRDefault="00A94C3E" w:rsidP="00DD3106">
            <w:pPr>
              <w:pStyle w:val="TableTextbold"/>
              <w:spacing w:before="40" w:after="40"/>
              <w:rPr>
                <w:bCs/>
                <w:color w:val="FFFFFF" w:themeColor="background1"/>
                <w:lang w:bidi="th-TH"/>
              </w:rPr>
            </w:pPr>
            <w:r w:rsidRPr="0018386D">
              <w:rPr>
                <w:color w:val="FFFFFF" w:themeColor="background1"/>
                <w:lang w:bidi="th-TH"/>
              </w:rPr>
              <w:t>Industrial designation/common name</w:t>
            </w:r>
          </w:p>
        </w:tc>
        <w:tc>
          <w:tcPr>
            <w:tcW w:w="1843" w:type="dxa"/>
            <w:tcBorders>
              <w:bottom w:val="single" w:sz="4" w:space="0" w:color="1B556B" w:themeColor="text2"/>
            </w:tcBorders>
            <w:shd w:val="clear" w:color="000000" w:fill="1B556B" w:themeFill="text2"/>
            <w:noWrap/>
            <w:vAlign w:val="bottom"/>
            <w:hideMark/>
          </w:tcPr>
          <w:p w14:paraId="42E53B31" w14:textId="77777777" w:rsidR="00A94C3E" w:rsidRPr="0018386D" w:rsidRDefault="00A94C3E" w:rsidP="00DD3106">
            <w:pPr>
              <w:pStyle w:val="TableTextbold"/>
              <w:spacing w:before="40" w:after="40"/>
              <w:rPr>
                <w:bCs/>
                <w:color w:val="FFFFFF" w:themeColor="background1"/>
                <w:lang w:bidi="th-TH"/>
              </w:rPr>
            </w:pPr>
            <w:r w:rsidRPr="0018386D">
              <w:rPr>
                <w:color w:val="FFFFFF" w:themeColor="background1"/>
                <w:lang w:bidi="th-TH"/>
              </w:rPr>
              <w:t>Chemical formula</w:t>
            </w:r>
          </w:p>
        </w:tc>
        <w:tc>
          <w:tcPr>
            <w:tcW w:w="992" w:type="dxa"/>
            <w:tcBorders>
              <w:bottom w:val="single" w:sz="4" w:space="0" w:color="1B556B" w:themeColor="text2"/>
            </w:tcBorders>
            <w:shd w:val="clear" w:color="000000" w:fill="1B556B" w:themeFill="text2"/>
            <w:noWrap/>
            <w:vAlign w:val="bottom"/>
            <w:hideMark/>
          </w:tcPr>
          <w:p w14:paraId="6F1CA4D5" w14:textId="77777777" w:rsidR="00A94C3E" w:rsidRPr="0018386D" w:rsidRDefault="00A94C3E" w:rsidP="00DD3106">
            <w:pPr>
              <w:pStyle w:val="TableTextbold"/>
              <w:spacing w:before="40" w:after="40"/>
              <w:rPr>
                <w:bCs/>
                <w:color w:val="FFFFFF" w:themeColor="background1"/>
                <w:lang w:bidi="th-TH"/>
              </w:rPr>
            </w:pPr>
            <w:r w:rsidRPr="0018386D">
              <w:rPr>
                <w:color w:val="FFFFFF" w:themeColor="background1"/>
                <w:lang w:bidi="th-TH"/>
              </w:rPr>
              <w:t>Unit</w:t>
            </w:r>
          </w:p>
        </w:tc>
        <w:tc>
          <w:tcPr>
            <w:tcW w:w="2551" w:type="dxa"/>
            <w:shd w:val="clear" w:color="000000" w:fill="1B556B" w:themeFill="text2"/>
            <w:noWrap/>
            <w:vAlign w:val="bottom"/>
            <w:hideMark/>
          </w:tcPr>
          <w:p w14:paraId="38EC7E02" w14:textId="1FDB83D1" w:rsidR="00A94C3E" w:rsidRPr="0018386D" w:rsidRDefault="00A94C3E" w:rsidP="00DD3106">
            <w:pPr>
              <w:pStyle w:val="TableTextbold"/>
              <w:spacing w:before="40" w:after="40"/>
              <w:rPr>
                <w:bCs/>
                <w:color w:val="FFFFFF" w:themeColor="background1"/>
                <w:lang w:bidi="th-TH"/>
              </w:rPr>
            </w:pPr>
            <w:r w:rsidRPr="0018386D">
              <w:rPr>
                <w:color w:val="FFFFFF" w:themeColor="background1"/>
                <w:lang w:bidi="th-TH"/>
              </w:rPr>
              <w:t>AR5 GWPs in a 100-year period (kg CO₂-e) without climate change feedbacks</w:t>
            </w:r>
          </w:p>
        </w:tc>
      </w:tr>
      <w:tr w:rsidR="00D13153" w:rsidRPr="0018386D" w14:paraId="75D51880" w14:textId="77777777" w:rsidTr="00842EE8">
        <w:trPr>
          <w:divId w:val="427625533"/>
        </w:trPr>
        <w:tc>
          <w:tcPr>
            <w:tcW w:w="3119" w:type="dxa"/>
            <w:tcBorders>
              <w:right w:val="nil"/>
            </w:tcBorders>
            <w:shd w:val="clear" w:color="000000" w:fill="D2DDE1"/>
            <w:noWrap/>
            <w:hideMark/>
          </w:tcPr>
          <w:p w14:paraId="7FAA9484" w14:textId="77777777" w:rsidR="008E2ED2" w:rsidRPr="0018386D" w:rsidRDefault="008E2ED2" w:rsidP="00DD3106">
            <w:pPr>
              <w:pStyle w:val="TableTextbold"/>
              <w:spacing w:before="40" w:after="40"/>
              <w:rPr>
                <w:bCs/>
                <w:lang w:bidi="th-TH"/>
              </w:rPr>
            </w:pPr>
            <w:r w:rsidRPr="0018386D">
              <w:rPr>
                <w:lang w:bidi="th-TH"/>
              </w:rPr>
              <w:t>Medical gases</w:t>
            </w:r>
          </w:p>
        </w:tc>
        <w:tc>
          <w:tcPr>
            <w:tcW w:w="1843" w:type="dxa"/>
            <w:tcBorders>
              <w:left w:val="nil"/>
              <w:right w:val="nil"/>
            </w:tcBorders>
            <w:shd w:val="clear" w:color="000000" w:fill="D2DDE1"/>
            <w:noWrap/>
            <w:hideMark/>
          </w:tcPr>
          <w:p w14:paraId="4E107CB8" w14:textId="77777777" w:rsidR="008E2ED2" w:rsidRPr="0018386D" w:rsidRDefault="008E2ED2" w:rsidP="00DD3106">
            <w:pPr>
              <w:pStyle w:val="TableTextbold"/>
              <w:spacing w:before="40" w:after="40"/>
              <w:rPr>
                <w:bCs/>
                <w:lang w:bidi="th-TH"/>
              </w:rPr>
            </w:pPr>
            <w:r w:rsidRPr="0018386D">
              <w:rPr>
                <w:lang w:bidi="th-TH"/>
              </w:rPr>
              <w:t> </w:t>
            </w:r>
          </w:p>
        </w:tc>
        <w:tc>
          <w:tcPr>
            <w:tcW w:w="992" w:type="dxa"/>
            <w:tcBorders>
              <w:left w:val="nil"/>
              <w:right w:val="nil"/>
            </w:tcBorders>
            <w:shd w:val="clear" w:color="000000" w:fill="D2DDE1"/>
            <w:noWrap/>
            <w:hideMark/>
          </w:tcPr>
          <w:p w14:paraId="698D86EB" w14:textId="77777777" w:rsidR="008E2ED2" w:rsidRPr="0018386D" w:rsidRDefault="008E2ED2" w:rsidP="00DD3106">
            <w:pPr>
              <w:pStyle w:val="TableTextbold"/>
              <w:spacing w:before="40" w:after="40"/>
              <w:rPr>
                <w:bCs/>
                <w:lang w:bidi="th-TH"/>
              </w:rPr>
            </w:pPr>
            <w:r w:rsidRPr="0018386D">
              <w:rPr>
                <w:lang w:bidi="th-TH"/>
              </w:rPr>
              <w:t> </w:t>
            </w:r>
          </w:p>
        </w:tc>
        <w:tc>
          <w:tcPr>
            <w:tcW w:w="2551" w:type="dxa"/>
            <w:tcBorders>
              <w:left w:val="nil"/>
            </w:tcBorders>
            <w:shd w:val="clear" w:color="000000" w:fill="D2DDE1"/>
            <w:noWrap/>
            <w:hideMark/>
          </w:tcPr>
          <w:p w14:paraId="757DCAAC" w14:textId="77777777" w:rsidR="008E2ED2" w:rsidRPr="0018386D" w:rsidRDefault="008E2ED2" w:rsidP="00DD3106">
            <w:pPr>
              <w:pStyle w:val="TableTextbold"/>
              <w:spacing w:before="40" w:after="40"/>
              <w:rPr>
                <w:bCs/>
                <w:lang w:bidi="th-TH"/>
              </w:rPr>
            </w:pPr>
            <w:r w:rsidRPr="0018386D">
              <w:rPr>
                <w:lang w:bidi="th-TH"/>
              </w:rPr>
              <w:t> </w:t>
            </w:r>
          </w:p>
        </w:tc>
      </w:tr>
      <w:tr w:rsidR="00A94C3E" w:rsidRPr="0018386D" w14:paraId="4012F5DB" w14:textId="77777777" w:rsidTr="00842EE8">
        <w:trPr>
          <w:divId w:val="427625533"/>
        </w:trPr>
        <w:tc>
          <w:tcPr>
            <w:tcW w:w="3119" w:type="dxa"/>
            <w:shd w:val="clear" w:color="000000" w:fill="FFFFFF"/>
            <w:noWrap/>
            <w:hideMark/>
          </w:tcPr>
          <w:p w14:paraId="7F97474F" w14:textId="77777777" w:rsidR="00A94C3E" w:rsidRPr="0018386D" w:rsidRDefault="00A94C3E" w:rsidP="00DD3106">
            <w:pPr>
              <w:pStyle w:val="TableText"/>
              <w:spacing w:before="40" w:after="40"/>
              <w:rPr>
                <w:lang w:bidi="th-TH"/>
              </w:rPr>
            </w:pPr>
            <w:r w:rsidRPr="0018386D">
              <w:rPr>
                <w:lang w:bidi="th-TH"/>
              </w:rPr>
              <w:t>HFE-347mmz1 (Sevoflurane)</w:t>
            </w:r>
          </w:p>
        </w:tc>
        <w:tc>
          <w:tcPr>
            <w:tcW w:w="1843" w:type="dxa"/>
            <w:shd w:val="clear" w:color="000000" w:fill="FFFFFF"/>
            <w:noWrap/>
            <w:hideMark/>
          </w:tcPr>
          <w:p w14:paraId="699791F1" w14:textId="77777777" w:rsidR="00A94C3E" w:rsidRPr="0018386D" w:rsidRDefault="00A94C3E" w:rsidP="00DD3106">
            <w:pPr>
              <w:pStyle w:val="TableText"/>
              <w:spacing w:before="40" w:after="40"/>
              <w:rPr>
                <w:lang w:bidi="th-TH"/>
              </w:rPr>
            </w:pPr>
            <w:r w:rsidRPr="0018386D">
              <w:rPr>
                <w:lang w:bidi="th-TH"/>
              </w:rPr>
              <w:t>(CF</w:t>
            </w:r>
            <w:proofErr w:type="gramStart"/>
            <w:r w:rsidRPr="0018386D">
              <w:rPr>
                <w:lang w:bidi="th-TH"/>
              </w:rPr>
              <w:t>₃)₂</w:t>
            </w:r>
            <w:proofErr w:type="gramEnd"/>
            <w:r w:rsidRPr="0018386D">
              <w:rPr>
                <w:lang w:bidi="th-TH"/>
              </w:rPr>
              <w:t>CHOCH₂F</w:t>
            </w:r>
          </w:p>
        </w:tc>
        <w:tc>
          <w:tcPr>
            <w:tcW w:w="992" w:type="dxa"/>
            <w:shd w:val="clear" w:color="000000" w:fill="FFFFFF"/>
            <w:noWrap/>
            <w:hideMark/>
          </w:tcPr>
          <w:p w14:paraId="76C6A848" w14:textId="77777777" w:rsidR="00A94C3E" w:rsidRPr="0018386D" w:rsidRDefault="00A94C3E" w:rsidP="00DD3106">
            <w:pPr>
              <w:pStyle w:val="TableText"/>
              <w:spacing w:before="40" w:after="40"/>
              <w:rPr>
                <w:lang w:bidi="th-TH"/>
              </w:rPr>
            </w:pPr>
            <w:r w:rsidRPr="0018386D">
              <w:rPr>
                <w:lang w:bidi="th-TH"/>
              </w:rPr>
              <w:t>kg</w:t>
            </w:r>
          </w:p>
        </w:tc>
        <w:tc>
          <w:tcPr>
            <w:tcW w:w="2551" w:type="dxa"/>
            <w:shd w:val="clear" w:color="auto" w:fill="auto"/>
            <w:noWrap/>
            <w:hideMark/>
          </w:tcPr>
          <w:p w14:paraId="3E32DB47" w14:textId="77777777" w:rsidR="00A94C3E" w:rsidRPr="0018386D" w:rsidRDefault="00A94C3E" w:rsidP="00DD3106">
            <w:pPr>
              <w:pStyle w:val="TableText"/>
              <w:spacing w:before="40" w:after="40"/>
              <w:rPr>
                <w:lang w:bidi="th-TH"/>
              </w:rPr>
            </w:pPr>
            <w:r w:rsidRPr="0018386D">
              <w:rPr>
                <w:lang w:bidi="th-TH"/>
              </w:rPr>
              <w:t>216</w:t>
            </w:r>
          </w:p>
        </w:tc>
      </w:tr>
      <w:tr w:rsidR="00A94C3E" w:rsidRPr="0018386D" w14:paraId="4C7BF0C9" w14:textId="77777777" w:rsidTr="00842EE8">
        <w:trPr>
          <w:divId w:val="427625533"/>
        </w:trPr>
        <w:tc>
          <w:tcPr>
            <w:tcW w:w="3119" w:type="dxa"/>
            <w:shd w:val="clear" w:color="000000" w:fill="FFFFFF"/>
            <w:noWrap/>
            <w:hideMark/>
          </w:tcPr>
          <w:p w14:paraId="5BB3246D" w14:textId="77777777" w:rsidR="00A94C3E" w:rsidRPr="0018386D" w:rsidRDefault="00A94C3E" w:rsidP="00DD3106">
            <w:pPr>
              <w:pStyle w:val="TableText"/>
              <w:spacing w:before="40" w:after="40"/>
              <w:rPr>
                <w:lang w:bidi="th-TH"/>
              </w:rPr>
            </w:pPr>
            <w:r w:rsidRPr="0018386D">
              <w:rPr>
                <w:lang w:bidi="th-TH"/>
              </w:rPr>
              <w:t>HCFE-235da2 (Isoflurane)</w:t>
            </w:r>
          </w:p>
        </w:tc>
        <w:tc>
          <w:tcPr>
            <w:tcW w:w="1843" w:type="dxa"/>
            <w:shd w:val="clear" w:color="000000" w:fill="FFFFFF"/>
            <w:noWrap/>
            <w:hideMark/>
          </w:tcPr>
          <w:p w14:paraId="02894E28" w14:textId="77777777" w:rsidR="00A94C3E" w:rsidRPr="0018386D" w:rsidRDefault="00A94C3E" w:rsidP="00DD3106">
            <w:pPr>
              <w:pStyle w:val="TableText"/>
              <w:spacing w:before="40" w:after="40"/>
              <w:rPr>
                <w:lang w:bidi="th-TH"/>
              </w:rPr>
            </w:pPr>
            <w:proofErr w:type="spellStart"/>
            <w:r w:rsidRPr="0018386D">
              <w:rPr>
                <w:lang w:bidi="th-TH"/>
              </w:rPr>
              <w:t>CHF₂OCHClCF</w:t>
            </w:r>
            <w:proofErr w:type="spellEnd"/>
            <w:r w:rsidRPr="0018386D">
              <w:rPr>
                <w:lang w:bidi="th-TH"/>
              </w:rPr>
              <w:t>₃</w:t>
            </w:r>
          </w:p>
        </w:tc>
        <w:tc>
          <w:tcPr>
            <w:tcW w:w="992" w:type="dxa"/>
            <w:shd w:val="clear" w:color="000000" w:fill="FFFFFF"/>
            <w:noWrap/>
            <w:hideMark/>
          </w:tcPr>
          <w:p w14:paraId="6887FEDD" w14:textId="77777777" w:rsidR="00A94C3E" w:rsidRPr="0018386D" w:rsidRDefault="00A94C3E" w:rsidP="00DD3106">
            <w:pPr>
              <w:pStyle w:val="TableText"/>
              <w:spacing w:before="40" w:after="40"/>
              <w:rPr>
                <w:lang w:bidi="th-TH"/>
              </w:rPr>
            </w:pPr>
            <w:r w:rsidRPr="0018386D">
              <w:rPr>
                <w:lang w:bidi="th-TH"/>
              </w:rPr>
              <w:t>kg</w:t>
            </w:r>
          </w:p>
        </w:tc>
        <w:tc>
          <w:tcPr>
            <w:tcW w:w="2551" w:type="dxa"/>
            <w:shd w:val="clear" w:color="auto" w:fill="auto"/>
            <w:noWrap/>
            <w:hideMark/>
          </w:tcPr>
          <w:p w14:paraId="4449562E" w14:textId="77777777" w:rsidR="00A94C3E" w:rsidRPr="0018386D" w:rsidRDefault="00A94C3E" w:rsidP="00DD3106">
            <w:pPr>
              <w:pStyle w:val="TableText"/>
              <w:spacing w:before="40" w:after="40"/>
              <w:rPr>
                <w:lang w:bidi="th-TH"/>
              </w:rPr>
            </w:pPr>
            <w:r w:rsidRPr="0018386D">
              <w:rPr>
                <w:lang w:bidi="th-TH"/>
              </w:rPr>
              <w:t>491</w:t>
            </w:r>
          </w:p>
        </w:tc>
      </w:tr>
      <w:tr w:rsidR="00A94C3E" w:rsidRPr="0018386D" w14:paraId="2F63FA7C" w14:textId="77777777" w:rsidTr="00842EE8">
        <w:trPr>
          <w:divId w:val="427625533"/>
        </w:trPr>
        <w:tc>
          <w:tcPr>
            <w:tcW w:w="3119" w:type="dxa"/>
            <w:shd w:val="clear" w:color="000000" w:fill="FFFFFF"/>
            <w:noWrap/>
            <w:hideMark/>
          </w:tcPr>
          <w:p w14:paraId="41B8E2C4" w14:textId="77777777" w:rsidR="00A94C3E" w:rsidRPr="0018386D" w:rsidRDefault="00A94C3E" w:rsidP="00DD3106">
            <w:pPr>
              <w:pStyle w:val="TableText"/>
              <w:spacing w:before="40" w:after="40"/>
              <w:rPr>
                <w:lang w:bidi="th-TH"/>
              </w:rPr>
            </w:pPr>
            <w:r w:rsidRPr="0018386D">
              <w:rPr>
                <w:lang w:bidi="th-TH"/>
              </w:rPr>
              <w:t>HFE-236ea2 (Desflurane)</w:t>
            </w:r>
          </w:p>
        </w:tc>
        <w:tc>
          <w:tcPr>
            <w:tcW w:w="1843" w:type="dxa"/>
            <w:shd w:val="clear" w:color="000000" w:fill="FFFFFF"/>
            <w:noWrap/>
            <w:hideMark/>
          </w:tcPr>
          <w:p w14:paraId="6CE05BCE" w14:textId="77777777" w:rsidR="00A94C3E" w:rsidRPr="0018386D" w:rsidRDefault="00A94C3E" w:rsidP="00DD3106">
            <w:pPr>
              <w:pStyle w:val="TableText"/>
              <w:spacing w:before="40" w:after="40"/>
              <w:rPr>
                <w:lang w:bidi="th-TH"/>
              </w:rPr>
            </w:pPr>
            <w:r w:rsidRPr="0018386D">
              <w:rPr>
                <w:lang w:bidi="th-TH"/>
              </w:rPr>
              <w:t>CHF₂OCHFCF₃</w:t>
            </w:r>
          </w:p>
        </w:tc>
        <w:tc>
          <w:tcPr>
            <w:tcW w:w="992" w:type="dxa"/>
            <w:shd w:val="clear" w:color="000000" w:fill="FFFFFF"/>
            <w:noWrap/>
            <w:hideMark/>
          </w:tcPr>
          <w:p w14:paraId="762EEF89" w14:textId="77777777" w:rsidR="00A94C3E" w:rsidRPr="0018386D" w:rsidRDefault="00A94C3E" w:rsidP="00DD3106">
            <w:pPr>
              <w:pStyle w:val="TableText"/>
              <w:spacing w:before="40" w:after="40"/>
              <w:rPr>
                <w:lang w:bidi="th-TH"/>
              </w:rPr>
            </w:pPr>
            <w:r w:rsidRPr="0018386D">
              <w:rPr>
                <w:lang w:bidi="th-TH"/>
              </w:rPr>
              <w:t>kg</w:t>
            </w:r>
          </w:p>
        </w:tc>
        <w:tc>
          <w:tcPr>
            <w:tcW w:w="2551" w:type="dxa"/>
            <w:shd w:val="clear" w:color="auto" w:fill="auto"/>
            <w:noWrap/>
            <w:hideMark/>
          </w:tcPr>
          <w:p w14:paraId="01A844CC" w14:textId="77777777" w:rsidR="00A94C3E" w:rsidRPr="0018386D" w:rsidRDefault="00A94C3E" w:rsidP="00DD3106">
            <w:pPr>
              <w:pStyle w:val="TableText"/>
              <w:spacing w:before="40" w:after="40"/>
              <w:rPr>
                <w:lang w:bidi="th-TH"/>
              </w:rPr>
            </w:pPr>
            <w:r w:rsidRPr="0018386D">
              <w:rPr>
                <w:lang w:bidi="th-TH"/>
              </w:rPr>
              <w:t>1790</w:t>
            </w:r>
          </w:p>
        </w:tc>
      </w:tr>
    </w:tbl>
    <w:p w14:paraId="6C0214C6" w14:textId="06B91162" w:rsidR="009929DF" w:rsidRPr="0018386D" w:rsidRDefault="009929DF" w:rsidP="00DD3106">
      <w:pPr>
        <w:pStyle w:val="Heading3"/>
        <w:numPr>
          <w:ilvl w:val="2"/>
          <w:numId w:val="8"/>
        </w:numPr>
        <w:spacing w:before="440"/>
      </w:pPr>
      <w:r w:rsidRPr="0018386D">
        <w:t>GHG inventory development</w:t>
      </w:r>
    </w:p>
    <w:p w14:paraId="4092290C" w14:textId="7789FFD3" w:rsidR="00DE1F61" w:rsidRPr="0018386D" w:rsidRDefault="00FD0FEF" w:rsidP="00DD3106">
      <w:pPr>
        <w:pStyle w:val="BodyText"/>
        <w:spacing w:after="240"/>
      </w:pPr>
      <w:r w:rsidRPr="0018386D">
        <w:t xml:space="preserve">To calculate </w:t>
      </w:r>
      <w:r w:rsidR="00235DDE" w:rsidRPr="0018386D">
        <w:t xml:space="preserve">medical gas emissions, collect </w:t>
      </w:r>
      <w:r w:rsidR="004B7CB7" w:rsidRPr="0018386D">
        <w:t>consumption data</w:t>
      </w:r>
      <w:r w:rsidR="009E1DCF" w:rsidRPr="0018386D">
        <w:t xml:space="preserve"> for each medical gas used</w:t>
      </w:r>
      <w:r w:rsidR="00400683" w:rsidRPr="0018386D">
        <w:t xml:space="preserve"> by the organisation</w:t>
      </w:r>
      <w:r w:rsidR="009E1DCF" w:rsidRPr="0018386D">
        <w:t xml:space="preserve">, and multiply </w:t>
      </w:r>
      <w:r w:rsidR="00691231" w:rsidRPr="0018386D">
        <w:t xml:space="preserve">this by the </w:t>
      </w:r>
      <w:r w:rsidR="003134AE" w:rsidRPr="0018386D">
        <w:t>GWP</w:t>
      </w:r>
      <w:r w:rsidR="00691231" w:rsidRPr="0018386D">
        <w:t xml:space="preserve"> for each gas. </w:t>
      </w:r>
    </w:p>
    <w:tbl>
      <w:tblPr>
        <w:tblStyle w:val="TableGrid"/>
        <w:tblW w:w="0" w:type="auto"/>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2DDE1" w:themeFill="background2"/>
        <w:tblLook w:val="04A0" w:firstRow="1" w:lastRow="0" w:firstColumn="1" w:lastColumn="0" w:noHBand="0" w:noVBand="1"/>
      </w:tblPr>
      <w:tblGrid>
        <w:gridCol w:w="8495"/>
      </w:tblGrid>
      <w:tr w:rsidR="00695576" w:rsidRPr="0018386D" w14:paraId="616510F2" w14:textId="77777777" w:rsidTr="00BF6817">
        <w:tc>
          <w:tcPr>
            <w:tcW w:w="8636" w:type="dxa"/>
            <w:shd w:val="clear" w:color="auto" w:fill="D2DDE1" w:themeFill="background2"/>
          </w:tcPr>
          <w:p w14:paraId="7C86FB56" w14:textId="2CECEA41" w:rsidR="00695576" w:rsidRPr="0018386D" w:rsidRDefault="00695576" w:rsidP="00DD3106">
            <w:pPr>
              <w:pStyle w:val="Boxtext"/>
              <w:spacing w:before="180" w:after="180"/>
            </w:pPr>
            <w:r w:rsidRPr="0018386D">
              <w:t>Gas used (kg) × GWP = Emissions (kg CO</w:t>
            </w:r>
            <w:r w:rsidRPr="0018386D">
              <w:rPr>
                <w:vertAlign w:val="subscript"/>
              </w:rPr>
              <w:t>2</w:t>
            </w:r>
            <w:r w:rsidRPr="0018386D">
              <w:t>-e)</w:t>
            </w:r>
          </w:p>
        </w:tc>
      </w:tr>
    </w:tbl>
    <w:p w14:paraId="070160CA" w14:textId="16495ABE" w:rsidR="002D2AD0" w:rsidRPr="0018386D" w:rsidRDefault="00F24D14" w:rsidP="00DD3106">
      <w:pPr>
        <w:pStyle w:val="BodyText"/>
        <w:spacing w:before="240" w:after="240"/>
      </w:pPr>
      <w:r w:rsidRPr="0018386D">
        <w:t>Medical gases are supplied in</w:t>
      </w:r>
      <w:r w:rsidR="00F41DE1" w:rsidRPr="0018386D">
        <w:t xml:space="preserve"> bottles or</w:t>
      </w:r>
      <w:r w:rsidRPr="0018386D">
        <w:t xml:space="preserve"> </w:t>
      </w:r>
      <w:r w:rsidR="00C4425A" w:rsidRPr="0018386D">
        <w:t>cylinders</w:t>
      </w:r>
      <w:r w:rsidR="00D41CF8" w:rsidRPr="0018386D">
        <w:t>.</w:t>
      </w:r>
      <w:r w:rsidR="001A4F8B" w:rsidRPr="0018386D">
        <w:t xml:space="preserve"> </w:t>
      </w:r>
      <w:r w:rsidR="00D41CF8" w:rsidRPr="0018386D">
        <w:t xml:space="preserve">If </w:t>
      </w:r>
      <w:r w:rsidR="001A4F8B" w:rsidRPr="0018386D">
        <w:t xml:space="preserve">only </w:t>
      </w:r>
      <w:r w:rsidR="00D41CF8" w:rsidRPr="0018386D">
        <w:t>the volume of the gas is known,</w:t>
      </w:r>
      <w:r w:rsidR="00C267C4" w:rsidRPr="0018386D">
        <w:t xml:space="preserve"> an additional calculation to c</w:t>
      </w:r>
      <w:r w:rsidR="00D41CF8" w:rsidRPr="0018386D">
        <w:t>alculate the mass of the gas</w:t>
      </w:r>
      <w:r w:rsidR="00C267C4" w:rsidRPr="0018386D">
        <w:t xml:space="preserve"> is required </w:t>
      </w:r>
      <w:r w:rsidR="00D41CF8" w:rsidRPr="0018386D">
        <w:t>to estimate emissions. This should be done</w:t>
      </w:r>
      <w:r w:rsidR="00C267C4" w:rsidRPr="0018386D">
        <w:t xml:space="preserve"> </w:t>
      </w:r>
      <w:r w:rsidR="00D41CF8" w:rsidRPr="0018386D">
        <w:t>by multiplying the volume (L) of gas by its density</w:t>
      </w:r>
      <w:r w:rsidR="00724C42" w:rsidRPr="0018386D">
        <w:t xml:space="preserve"> </w:t>
      </w:r>
      <w:r w:rsidR="00C40267" w:rsidRPr="0018386D">
        <w:t>(g/mL</w:t>
      </w:r>
      <w:r w:rsidR="00DA3862" w:rsidRPr="0018386D">
        <w:t xml:space="preserve"> or kg/L</w:t>
      </w:r>
      <w:r w:rsidR="00C40267" w:rsidRPr="0018386D">
        <w:t>)</w:t>
      </w:r>
      <w:r w:rsidR="00982FF5" w:rsidRPr="0018386D">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1A1BB1" w:rsidRPr="0018386D" w:rsidDel="00D5390D" w14:paraId="1D969A94" w14:textId="77777777" w:rsidTr="00127C72">
        <w:tc>
          <w:tcPr>
            <w:tcW w:w="8500" w:type="dxa"/>
            <w:tcBorders>
              <w:top w:val="single" w:sz="4" w:space="0" w:color="0F7B7D"/>
              <w:left w:val="single" w:sz="4" w:space="0" w:color="0F7B7D"/>
              <w:bottom w:val="nil"/>
              <w:right w:val="single" w:sz="4" w:space="0" w:color="0F7B7D"/>
            </w:tcBorders>
            <w:shd w:val="clear" w:color="auto" w:fill="0F7B7D"/>
            <w:vAlign w:val="center"/>
          </w:tcPr>
          <w:p w14:paraId="461137CD" w14:textId="776684B7" w:rsidR="001A1BB1" w:rsidRPr="0018386D" w:rsidDel="00D5390D" w:rsidRDefault="001A1BB1" w:rsidP="00DD3106">
            <w:pPr>
              <w:pStyle w:val="Casestudyheading"/>
              <w:ind w:left="0"/>
            </w:pPr>
            <w:r w:rsidRPr="0018386D">
              <w:t>Medical gas use: Example Calculation</w:t>
            </w:r>
          </w:p>
        </w:tc>
      </w:tr>
      <w:tr w:rsidR="001A1BB1" w:rsidRPr="0018386D" w14:paraId="424DC566" w14:textId="77777777" w:rsidTr="1AF289EF">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5B4D0D8" w14:textId="2ACE43D7" w:rsidR="001A1BB1" w:rsidRPr="0018386D" w:rsidRDefault="001A1BB1" w:rsidP="00DD3106">
            <w:pPr>
              <w:pStyle w:val="Boxtext"/>
              <w:spacing w:after="80"/>
              <w:jc w:val="both"/>
            </w:pPr>
            <w:r w:rsidRPr="0018386D">
              <w:t>An organisation uses</w:t>
            </w:r>
            <w:r w:rsidR="00982FF5" w:rsidRPr="0018386D">
              <w:t xml:space="preserve"> 5 </w:t>
            </w:r>
            <w:r w:rsidR="00F41DE1" w:rsidRPr="0018386D">
              <w:t>bottles</w:t>
            </w:r>
            <w:r w:rsidR="00C4425A" w:rsidRPr="0018386D">
              <w:t xml:space="preserve"> </w:t>
            </w:r>
            <w:r w:rsidRPr="0018386D">
              <w:t xml:space="preserve">of Isoflurane </w:t>
            </w:r>
            <w:r w:rsidR="00D41CF8" w:rsidRPr="0018386D">
              <w:t>(HCFE-235da2</w:t>
            </w:r>
            <w:r w:rsidR="00F14753" w:rsidRPr="0018386D">
              <w:t xml:space="preserve">, </w:t>
            </w:r>
            <w:r w:rsidR="009C5B7E" w:rsidRPr="0018386D">
              <w:t>AR</w:t>
            </w:r>
            <w:r w:rsidR="56BE0A0B" w:rsidRPr="0018386D">
              <w:t>5</w:t>
            </w:r>
            <w:r w:rsidR="009C5B7E" w:rsidRPr="0018386D">
              <w:t xml:space="preserve"> </w:t>
            </w:r>
            <w:r w:rsidR="00F14753" w:rsidRPr="0018386D">
              <w:t xml:space="preserve">GWP = </w:t>
            </w:r>
            <w:r w:rsidR="036820F7" w:rsidRPr="0018386D">
              <w:t>491</w:t>
            </w:r>
            <w:r w:rsidR="00D41CF8" w:rsidRPr="0018386D">
              <w:t xml:space="preserve">) </w:t>
            </w:r>
            <w:r w:rsidRPr="0018386D">
              <w:t xml:space="preserve">in the reporting period. </w:t>
            </w:r>
            <w:r w:rsidR="00200DCC" w:rsidRPr="0018386D">
              <w:t xml:space="preserve">Each </w:t>
            </w:r>
            <w:r w:rsidR="0038414E" w:rsidRPr="0018386D">
              <w:t>bottle</w:t>
            </w:r>
            <w:r w:rsidR="00200DCC" w:rsidRPr="0018386D">
              <w:t xml:space="preserve"> holds </w:t>
            </w:r>
            <w:r w:rsidR="00346854" w:rsidRPr="0018386D">
              <w:t xml:space="preserve">0.3 </w:t>
            </w:r>
            <w:r w:rsidR="008568E0" w:rsidRPr="0018386D">
              <w:t xml:space="preserve">kg </w:t>
            </w:r>
            <w:r w:rsidR="00200DCC" w:rsidRPr="0018386D">
              <w:t xml:space="preserve">of </w:t>
            </w:r>
            <w:r w:rsidR="00C40267" w:rsidRPr="0018386D">
              <w:t xml:space="preserve">Isoflurane. </w:t>
            </w:r>
            <w:r w:rsidRPr="0018386D">
              <w:t xml:space="preserve">Its direct (Scope 1) emissions are: </w:t>
            </w:r>
          </w:p>
          <w:p w14:paraId="10B51845" w14:textId="7AB7C889" w:rsidR="00273FD7" w:rsidRPr="0018386D" w:rsidRDefault="008154FB" w:rsidP="00DD3106">
            <w:pPr>
              <w:pStyle w:val="Boxtext"/>
              <w:tabs>
                <w:tab w:val="left" w:pos="2839"/>
                <w:tab w:val="left" w:pos="3973"/>
              </w:tabs>
              <w:spacing w:before="20" w:after="20"/>
              <w:ind w:left="850"/>
              <w:jc w:val="both"/>
            </w:pPr>
            <w:r w:rsidRPr="0018386D">
              <w:t>5</w:t>
            </w:r>
            <w:r w:rsidR="00874C5F" w:rsidRPr="0018386D">
              <w:t xml:space="preserve"> bottles x 0.3</w:t>
            </w:r>
            <w:r w:rsidR="00512F10" w:rsidRPr="0018386D">
              <w:t xml:space="preserve"> </w:t>
            </w:r>
            <w:r w:rsidR="00874C5F" w:rsidRPr="0018386D">
              <w:t>kg</w:t>
            </w:r>
            <w:r w:rsidR="00977C3F" w:rsidRPr="0018386D">
              <w:t xml:space="preserve"> </w:t>
            </w:r>
            <w:r w:rsidR="00E965C2" w:rsidRPr="0018386D">
              <w:tab/>
            </w:r>
            <w:r w:rsidR="00977C3F" w:rsidRPr="0018386D">
              <w:t>= 1.5 kg</w:t>
            </w:r>
          </w:p>
          <w:p w14:paraId="74BCC755" w14:textId="78B9DCD2" w:rsidR="001A1BB1" w:rsidRPr="0018386D" w:rsidRDefault="001A1BB1" w:rsidP="00DD3106">
            <w:pPr>
              <w:pStyle w:val="Boxtext"/>
              <w:tabs>
                <w:tab w:val="left" w:pos="2839"/>
                <w:tab w:val="left" w:pos="3973"/>
              </w:tabs>
              <w:spacing w:before="20" w:after="20"/>
              <w:ind w:left="850"/>
              <w:jc w:val="both"/>
            </w:pPr>
            <w:r w:rsidRPr="0018386D">
              <w:t>Total CO</w:t>
            </w:r>
            <w:r w:rsidRPr="0018386D">
              <w:rPr>
                <w:vertAlign w:val="subscript"/>
              </w:rPr>
              <w:t>2</w:t>
            </w:r>
            <w:r w:rsidRPr="0018386D">
              <w:t>-e emissions</w:t>
            </w:r>
            <w:r w:rsidRPr="0018386D">
              <w:tab/>
              <w:t xml:space="preserve">= </w:t>
            </w:r>
            <w:r w:rsidR="0080123F" w:rsidRPr="0018386D">
              <w:t>1.5</w:t>
            </w:r>
            <w:r w:rsidRPr="0018386D">
              <w:t xml:space="preserve"> × </w:t>
            </w:r>
            <w:r w:rsidR="542CE4A9" w:rsidRPr="0018386D">
              <w:t>491</w:t>
            </w:r>
            <w:r w:rsidR="512816EB" w:rsidRPr="0018386D">
              <w:t xml:space="preserve"> </w:t>
            </w:r>
            <w:r w:rsidRPr="0018386D">
              <w:tab/>
            </w:r>
            <w:r w:rsidRPr="0018386D">
              <w:tab/>
            </w:r>
            <w:r w:rsidR="512816EB" w:rsidRPr="0018386D">
              <w:t xml:space="preserve">= </w:t>
            </w:r>
            <w:r w:rsidR="6E9B3C93" w:rsidRPr="0018386D">
              <w:t>736.5</w:t>
            </w:r>
            <w:r w:rsidRPr="0018386D">
              <w:t xml:space="preserve"> kg CO</w:t>
            </w:r>
            <w:r w:rsidRPr="0018386D">
              <w:rPr>
                <w:vertAlign w:val="subscript"/>
              </w:rPr>
              <w:t>2</w:t>
            </w:r>
            <w:r w:rsidRPr="0018386D">
              <w:t xml:space="preserve">-e </w:t>
            </w:r>
          </w:p>
          <w:p w14:paraId="2BE36D6E" w14:textId="0A48D605" w:rsidR="00AB1CF9" w:rsidRPr="0018386D" w:rsidRDefault="00AB1CF9" w:rsidP="00DD3106">
            <w:pPr>
              <w:pStyle w:val="Boxtext"/>
              <w:spacing w:after="80"/>
              <w:jc w:val="both"/>
            </w:pPr>
            <w:r w:rsidRPr="0018386D">
              <w:t xml:space="preserve">An organisation uses 5 </w:t>
            </w:r>
            <w:r w:rsidR="00DE2AAC" w:rsidRPr="0018386D">
              <w:t>250</w:t>
            </w:r>
            <w:r w:rsidR="00527A48" w:rsidRPr="0018386D">
              <w:t xml:space="preserve"> </w:t>
            </w:r>
            <w:r w:rsidR="00DE2AAC" w:rsidRPr="0018386D">
              <w:t>mL</w:t>
            </w:r>
            <w:r w:rsidR="00892CA9" w:rsidRPr="0018386D">
              <w:t xml:space="preserve"> bottles </w:t>
            </w:r>
            <w:r w:rsidRPr="0018386D">
              <w:t xml:space="preserve">of </w:t>
            </w:r>
            <w:r w:rsidR="00892CA9" w:rsidRPr="0018386D">
              <w:t xml:space="preserve">Isoflurane </w:t>
            </w:r>
            <w:r w:rsidR="000102D5" w:rsidRPr="0018386D">
              <w:t>(HCFE-235da2</w:t>
            </w:r>
            <w:r w:rsidR="00F14753" w:rsidRPr="0018386D">
              <w:t xml:space="preserve">, </w:t>
            </w:r>
            <w:r w:rsidR="4F948748" w:rsidRPr="0018386D">
              <w:t>AR</w:t>
            </w:r>
            <w:r w:rsidR="01A75B17" w:rsidRPr="0018386D">
              <w:t>5</w:t>
            </w:r>
            <w:r w:rsidR="009C5B7E" w:rsidRPr="0018386D">
              <w:t xml:space="preserve"> </w:t>
            </w:r>
            <w:r w:rsidR="00F14753" w:rsidRPr="0018386D">
              <w:t xml:space="preserve">GWP = </w:t>
            </w:r>
            <w:r w:rsidR="6251868C" w:rsidRPr="0018386D">
              <w:t>491</w:t>
            </w:r>
            <w:r w:rsidR="000102D5" w:rsidRPr="0018386D">
              <w:t>)</w:t>
            </w:r>
            <w:r w:rsidR="00892CA9" w:rsidRPr="0018386D">
              <w:t xml:space="preserve"> in the reporting period. </w:t>
            </w:r>
            <w:r w:rsidR="000453EC" w:rsidRPr="0018386D">
              <w:t>The density of Isoflurane is 1.4</w:t>
            </w:r>
            <w:r w:rsidR="005B3201" w:rsidRPr="0018386D">
              <w:t>9</w:t>
            </w:r>
            <w:r w:rsidR="000453EC" w:rsidRPr="0018386D">
              <w:t xml:space="preserve"> g/</w:t>
            </w:r>
            <w:proofErr w:type="spellStart"/>
            <w:r w:rsidR="00DE2AAC" w:rsidRPr="0018386D">
              <w:t>mL</w:t>
            </w:r>
            <w:r w:rsidR="000453EC" w:rsidRPr="0018386D">
              <w:t>.</w:t>
            </w:r>
            <w:proofErr w:type="spellEnd"/>
            <w:r w:rsidR="000453EC" w:rsidRPr="0018386D">
              <w:t xml:space="preserve"> </w:t>
            </w:r>
            <w:r w:rsidR="00892CA9" w:rsidRPr="0018386D">
              <w:t>Its direct (Scope 1) emissions are:</w:t>
            </w:r>
          </w:p>
          <w:p w14:paraId="24119F51" w14:textId="27473231" w:rsidR="00CC60C0" w:rsidRPr="0018386D" w:rsidRDefault="00CC60C0" w:rsidP="00DD3106">
            <w:pPr>
              <w:pStyle w:val="Boxtext"/>
              <w:tabs>
                <w:tab w:val="left" w:pos="2867"/>
                <w:tab w:val="left" w:pos="3973"/>
              </w:tabs>
              <w:spacing w:before="20" w:after="20"/>
              <w:ind w:left="850"/>
              <w:jc w:val="both"/>
            </w:pPr>
            <w:r w:rsidRPr="0018386D">
              <w:t>5</w:t>
            </w:r>
            <w:r w:rsidR="00281A69" w:rsidRPr="0018386D">
              <w:t xml:space="preserve"> </w:t>
            </w:r>
            <w:r w:rsidRPr="0018386D">
              <w:t xml:space="preserve">bottles x </w:t>
            </w:r>
            <w:r w:rsidR="00281A69" w:rsidRPr="0018386D">
              <w:t>250</w:t>
            </w:r>
            <w:r w:rsidR="00F14753" w:rsidRPr="0018386D">
              <w:t xml:space="preserve"> mL</w:t>
            </w:r>
            <w:r w:rsidR="00281A69" w:rsidRPr="0018386D">
              <w:t xml:space="preserve"> x </w:t>
            </w:r>
            <w:r w:rsidR="00291B75" w:rsidRPr="0018386D">
              <w:t>1.</w:t>
            </w:r>
            <w:r w:rsidR="005A311D" w:rsidRPr="0018386D">
              <w:t>49</w:t>
            </w:r>
            <w:r w:rsidR="00291B75" w:rsidRPr="0018386D">
              <w:t>/1</w:t>
            </w:r>
            <w:r w:rsidR="00C91462" w:rsidRPr="0018386D">
              <w:t>,</w:t>
            </w:r>
            <w:r w:rsidR="00291B75" w:rsidRPr="0018386D">
              <w:t>000</w:t>
            </w:r>
            <w:r w:rsidR="00724C42" w:rsidRPr="0018386D">
              <w:t xml:space="preserve"> </w:t>
            </w:r>
            <w:r w:rsidR="00DC5E3B" w:rsidRPr="0018386D">
              <w:t xml:space="preserve">= </w:t>
            </w:r>
            <w:r w:rsidR="00884F52" w:rsidRPr="0018386D">
              <w:t>1.8</w:t>
            </w:r>
            <w:r w:rsidR="00AD0B6E" w:rsidRPr="0018386D">
              <w:t>6</w:t>
            </w:r>
            <w:r w:rsidR="00DB6F63" w:rsidRPr="0018386D">
              <w:t xml:space="preserve"> kg</w:t>
            </w:r>
          </w:p>
          <w:p w14:paraId="0937F20E" w14:textId="61833834" w:rsidR="001A1BB1" w:rsidRPr="0018386D" w:rsidRDefault="00EC3609" w:rsidP="00DD3106">
            <w:pPr>
              <w:pStyle w:val="Boxtext"/>
              <w:tabs>
                <w:tab w:val="left" w:pos="2867"/>
                <w:tab w:val="left" w:pos="3973"/>
              </w:tabs>
              <w:spacing w:before="20" w:after="180"/>
              <w:ind w:left="850"/>
              <w:jc w:val="both"/>
            </w:pPr>
            <w:r w:rsidRPr="0018386D">
              <w:t>Total CO</w:t>
            </w:r>
            <w:r w:rsidRPr="0018386D">
              <w:rPr>
                <w:vertAlign w:val="subscript"/>
              </w:rPr>
              <w:t>2</w:t>
            </w:r>
            <w:r w:rsidR="00AD7559" w:rsidRPr="0018386D">
              <w:t>-e emissions</w:t>
            </w:r>
            <w:r w:rsidR="00AD7559" w:rsidRPr="0018386D">
              <w:tab/>
            </w:r>
            <w:r w:rsidRPr="0018386D">
              <w:t xml:space="preserve">= 1.86 × </w:t>
            </w:r>
            <w:r w:rsidR="2E57E90A" w:rsidRPr="0018386D">
              <w:t>491</w:t>
            </w:r>
            <w:r w:rsidR="3F7525FC" w:rsidRPr="0018386D">
              <w:t xml:space="preserve"> </w:t>
            </w:r>
            <w:r w:rsidRPr="0018386D">
              <w:tab/>
            </w:r>
            <w:r w:rsidRPr="0018386D">
              <w:tab/>
            </w:r>
            <w:r w:rsidR="3F7525FC" w:rsidRPr="0018386D">
              <w:t xml:space="preserve">= </w:t>
            </w:r>
            <w:r w:rsidR="5097CA89" w:rsidRPr="0018386D">
              <w:t>913.</w:t>
            </w:r>
            <w:r w:rsidR="00EB0129" w:rsidRPr="0018386D">
              <w:t>26</w:t>
            </w:r>
            <w:r w:rsidRPr="0018386D">
              <w:t xml:space="preserve"> kg CO</w:t>
            </w:r>
            <w:r w:rsidRPr="0018386D">
              <w:rPr>
                <w:vertAlign w:val="subscript"/>
              </w:rPr>
              <w:t>2</w:t>
            </w:r>
            <w:r w:rsidRPr="0018386D">
              <w:t xml:space="preserve">-e </w:t>
            </w:r>
          </w:p>
        </w:tc>
      </w:tr>
    </w:tbl>
    <w:p w14:paraId="2BD6514F" w14:textId="69B64613" w:rsidR="00E62931" w:rsidRPr="0018386D" w:rsidRDefault="00E62931" w:rsidP="00DD3106">
      <w:pPr>
        <w:pStyle w:val="Heading3"/>
        <w:numPr>
          <w:ilvl w:val="2"/>
          <w:numId w:val="8"/>
        </w:numPr>
        <w:spacing w:before="440"/>
      </w:pPr>
      <w:r w:rsidRPr="0018386D">
        <w:t>Assumptions</w:t>
      </w:r>
    </w:p>
    <w:p w14:paraId="10AB417D" w14:textId="295CA367" w:rsidR="00D01EC4" w:rsidRPr="0018386D" w:rsidRDefault="00FE37DB" w:rsidP="00DD3106">
      <w:pPr>
        <w:pStyle w:val="BodyText"/>
      </w:pPr>
      <w:r w:rsidRPr="0018386D">
        <w:t>This approach assumes that all anaesthetic gases used are eventually emitted, including the gases inhaled by patients.</w:t>
      </w:r>
      <w:r w:rsidR="00724C42" w:rsidRPr="0018386D">
        <w:t xml:space="preserve"> </w:t>
      </w:r>
    </w:p>
    <w:p w14:paraId="314B0AD5" w14:textId="77777777" w:rsidR="007770E6" w:rsidRPr="0018386D" w:rsidRDefault="007770E6" w:rsidP="00DD3106">
      <w:pPr>
        <w:pStyle w:val="BodyText"/>
      </w:pPr>
      <w:bookmarkStart w:id="262" w:name="_Toc529960697"/>
      <w:bookmarkStart w:id="263" w:name="_Toc532904881"/>
      <w:bookmarkStart w:id="264" w:name="_Toc600575"/>
      <w:bookmarkStart w:id="265" w:name="_Ref55220087"/>
      <w:bookmarkEnd w:id="253"/>
      <w:r w:rsidRPr="0018386D">
        <w:br w:type="page"/>
      </w:r>
    </w:p>
    <w:p w14:paraId="688F2AF8" w14:textId="2A63D13F" w:rsidR="00B276B8" w:rsidRPr="0018386D" w:rsidRDefault="00B276B8" w:rsidP="00DD3106">
      <w:pPr>
        <w:pStyle w:val="Heading1"/>
        <w:numPr>
          <w:ilvl w:val="0"/>
          <w:numId w:val="8"/>
        </w:numPr>
        <w:jc w:val="both"/>
      </w:pPr>
      <w:bookmarkStart w:id="266" w:name="_Purchased_electricity,_heat"/>
      <w:bookmarkStart w:id="267" w:name="_Toc140048900"/>
      <w:bookmarkEnd w:id="266"/>
      <w:r w:rsidRPr="0018386D">
        <w:lastRenderedPageBreak/>
        <w:t>Purchased electricity, heat and</w:t>
      </w:r>
      <w:r w:rsidR="000329E0" w:rsidRPr="0018386D">
        <w:t xml:space="preserve"> </w:t>
      </w:r>
      <w:r w:rsidRPr="0018386D">
        <w:t>steam</w:t>
      </w:r>
      <w:r w:rsidR="000329E0" w:rsidRPr="0018386D">
        <w:t xml:space="preserve"> </w:t>
      </w:r>
      <w:r w:rsidRPr="0018386D">
        <w:t xml:space="preserve">emission </w:t>
      </w:r>
      <w:proofErr w:type="gramStart"/>
      <w:r w:rsidRPr="0018386D">
        <w:t>factors</w:t>
      </w:r>
      <w:bookmarkEnd w:id="262"/>
      <w:bookmarkEnd w:id="263"/>
      <w:bookmarkEnd w:id="264"/>
      <w:bookmarkEnd w:id="265"/>
      <w:bookmarkEnd w:id="267"/>
      <w:proofErr w:type="gramEnd"/>
      <w:r w:rsidRPr="0018386D">
        <w:t xml:space="preserve"> </w:t>
      </w:r>
    </w:p>
    <w:p w14:paraId="194072E8" w14:textId="60A345F1" w:rsidR="00AE0B53" w:rsidRPr="0018386D" w:rsidRDefault="00434028" w:rsidP="00DD3106">
      <w:pPr>
        <w:pStyle w:val="BodyText"/>
      </w:pPr>
      <w:r w:rsidRPr="0018386D">
        <w:t xml:space="preserve">Purchased energy, in the form of electricity, heat or steam, is an indirect (Scope 2) emission. </w:t>
      </w:r>
      <w:bookmarkStart w:id="268" w:name="_Hlk532892367"/>
      <w:r w:rsidR="00D1128D" w:rsidRPr="0018386D">
        <w:t>This section also includes t</w:t>
      </w:r>
      <w:r w:rsidRPr="0018386D">
        <w:t xml:space="preserve">ransmission and distribution losses for purchased electricity, which </w:t>
      </w:r>
      <w:r w:rsidR="00BE5901" w:rsidRPr="0018386D">
        <w:t xml:space="preserve">is </w:t>
      </w:r>
      <w:r w:rsidRPr="0018386D">
        <w:t>an indirect (</w:t>
      </w:r>
      <w:r w:rsidR="00642C33" w:rsidRPr="0018386D">
        <w:t>S</w:t>
      </w:r>
      <w:r w:rsidRPr="0018386D">
        <w:t>cope 3) emissions source.</w:t>
      </w:r>
      <w:r w:rsidR="00AE0B53" w:rsidRPr="0018386D">
        <w:t xml:space="preserve"> </w:t>
      </w:r>
      <w:bookmarkEnd w:id="268"/>
    </w:p>
    <w:p w14:paraId="42335C59" w14:textId="11494688" w:rsidR="00434028" w:rsidRPr="0018386D" w:rsidRDefault="00AE0B53" w:rsidP="00DD3106">
      <w:pPr>
        <w:pStyle w:val="BodyText"/>
      </w:pPr>
      <w:r w:rsidRPr="0018386D">
        <w:t xml:space="preserve">Note that both the </w:t>
      </w:r>
      <w:r w:rsidR="006A6E2B" w:rsidRPr="0018386D">
        <w:t xml:space="preserve">emission </w:t>
      </w:r>
      <w:r w:rsidRPr="0018386D">
        <w:t xml:space="preserve">factor for purchased electricity and the emission factor for transmission and distribution line losses align with the definitions in the </w:t>
      </w:r>
      <w:hyperlink r:id="rId94">
        <w:r w:rsidRPr="0018386D">
          <w:rPr>
            <w:rStyle w:val="Hyperlink"/>
          </w:rPr>
          <w:t>GHG Protocol</w:t>
        </w:r>
      </w:hyperlink>
      <w:r w:rsidRPr="0018386D">
        <w:t>.</w:t>
      </w:r>
    </w:p>
    <w:p w14:paraId="030B112B" w14:textId="1D6D7953" w:rsidR="004B6C20" w:rsidRPr="0018386D" w:rsidDel="007053E4" w:rsidRDefault="004B6C20" w:rsidP="00DD3106">
      <w:pPr>
        <w:pStyle w:val="BodyText"/>
      </w:pPr>
      <w:r w:rsidRPr="0018386D">
        <w:t>In this guide, we have included a time series of historic electricity emission factors based on annual and quarterly periods. The quarterly time series extends back to March 20</w:t>
      </w:r>
      <w:r w:rsidR="628E7A02" w:rsidRPr="0018386D">
        <w:t>20</w:t>
      </w:r>
      <w:r w:rsidRPr="0018386D">
        <w:t xml:space="preserve">, and the annual time series extends back to 2010. There is also an equivalent time series for transmission and distribution losses. </w:t>
      </w:r>
    </w:p>
    <w:p w14:paraId="57705CA3" w14:textId="1C8C8DA7" w:rsidR="00B276B8" w:rsidRPr="0018386D" w:rsidRDefault="00F86E56" w:rsidP="00DD3106">
      <w:pPr>
        <w:pStyle w:val="BodyText"/>
      </w:pPr>
      <w:r w:rsidRPr="0018386D">
        <w:t>The guide provides information on reporting imported heat and steam and geothermal energy</w:t>
      </w:r>
      <w:r w:rsidR="008C1FC8" w:rsidRPr="0018386D">
        <w:t>.</w:t>
      </w:r>
      <w:r w:rsidR="00A54327" w:rsidRPr="0018386D">
        <w:t> </w:t>
      </w:r>
      <w:r w:rsidR="008C1FC8" w:rsidRPr="0018386D">
        <w:t>It</w:t>
      </w:r>
      <w:r w:rsidRPr="0018386D">
        <w:t xml:space="preserve"> does not provide emission factors for these categories as they are unique to </w:t>
      </w:r>
      <w:r w:rsidR="00642C33" w:rsidRPr="0018386D">
        <w:t>a specific site</w:t>
      </w:r>
      <w:r w:rsidRPr="0018386D">
        <w:t>.</w:t>
      </w:r>
      <w:r w:rsidR="00B96332" w:rsidRPr="0018386D">
        <w:t xml:space="preserve"> </w:t>
      </w:r>
      <w:r w:rsidR="00863DDF" w:rsidRPr="0018386D">
        <w:t>U</w:t>
      </w:r>
      <w:r w:rsidR="00B96332" w:rsidRPr="0018386D">
        <w:t xml:space="preserve">sers could liaise directly with their supplier of the </w:t>
      </w:r>
      <w:r w:rsidR="69856422" w:rsidRPr="0018386D">
        <w:t>import</w:t>
      </w:r>
      <w:r w:rsidR="0694EAD5" w:rsidRPr="0018386D">
        <w:t>ed</w:t>
      </w:r>
      <w:r w:rsidR="00B96332" w:rsidRPr="0018386D">
        <w:t xml:space="preserve"> heat, steam, or geothermal energy, for supplier specific emissions intensities suitable for </w:t>
      </w:r>
      <w:r w:rsidR="2A160531" w:rsidRPr="0018386D">
        <w:t>use</w:t>
      </w:r>
      <w:r w:rsidR="00B96332" w:rsidRPr="0018386D">
        <w:t xml:space="preserve"> in the organisation inventory.</w:t>
      </w:r>
    </w:p>
    <w:p w14:paraId="65A304BC" w14:textId="34A8D91D" w:rsidR="00E310B2" w:rsidRPr="0018386D" w:rsidRDefault="00B276B8" w:rsidP="00DD3106">
      <w:pPr>
        <w:pStyle w:val="Heading2"/>
        <w:numPr>
          <w:ilvl w:val="1"/>
          <w:numId w:val="8"/>
        </w:numPr>
        <w:spacing w:before="280"/>
      </w:pPr>
      <w:bookmarkStart w:id="269" w:name="_Toc529960698"/>
      <w:bookmarkStart w:id="270" w:name="_Toc532904882"/>
      <w:bookmarkStart w:id="271" w:name="_Toc600576"/>
      <w:bookmarkStart w:id="272" w:name="_Toc140048901"/>
      <w:r w:rsidRPr="0018386D">
        <w:t>Overview of changes since previous update</w:t>
      </w:r>
      <w:bookmarkEnd w:id="269"/>
      <w:bookmarkEnd w:id="270"/>
      <w:bookmarkEnd w:id="271"/>
      <w:bookmarkEnd w:id="272"/>
      <w:r w:rsidRPr="0018386D">
        <w:t xml:space="preserve"> </w:t>
      </w:r>
    </w:p>
    <w:p w14:paraId="6AB0BE10" w14:textId="70289C74" w:rsidR="00B276B8" w:rsidRPr="0018386D" w:rsidRDefault="00DB5532" w:rsidP="00DD3106">
      <w:pPr>
        <w:pStyle w:val="BodyText"/>
      </w:pPr>
      <w:r w:rsidRPr="0018386D">
        <w:t>We have incorporated the electricity factors for the 2022 calendar year, as opposed to using electricity factors from two years ago as per previous guidance. This adjustment ensures a more accurate alignment between organi</w:t>
      </w:r>
      <w:r w:rsidR="00F131C1" w:rsidRPr="0018386D">
        <w:t>s</w:t>
      </w:r>
      <w:r w:rsidRPr="0018386D">
        <w:t>ational activity data and electricity emissions for the corresponding period. The transition to AR5 values had only a marginal effect on the electricity factors. However, it is worth noting that the electricity emission factor for 2022 has decreased</w:t>
      </w:r>
      <w:r w:rsidR="00F131C1" w:rsidRPr="0018386D">
        <w:t>. This</w:t>
      </w:r>
      <w:r w:rsidRPr="0018386D">
        <w:t xml:space="preserve"> can be attributed to the low </w:t>
      </w:r>
      <w:r w:rsidR="00F131C1" w:rsidRPr="0018386D">
        <w:t>GHG</w:t>
      </w:r>
      <w:r w:rsidRPr="0018386D">
        <w:t xml:space="preserve"> emissions reported during the latter half of that year.</w:t>
      </w:r>
      <w:bookmarkStart w:id="273" w:name="_Indirect_Scope_2"/>
      <w:bookmarkStart w:id="274" w:name="_Toc529960699"/>
      <w:bookmarkStart w:id="275" w:name="_Toc532904883"/>
      <w:bookmarkStart w:id="276" w:name="_Toc600577"/>
      <w:bookmarkEnd w:id="273"/>
      <w:r w:rsidR="002C36A7" w:rsidRPr="0018386D">
        <w:t xml:space="preserve"> </w:t>
      </w:r>
    </w:p>
    <w:p w14:paraId="24DF78A0" w14:textId="1CCD65E2" w:rsidR="00B276B8" w:rsidRPr="0018386D" w:rsidRDefault="0083137D" w:rsidP="00DD3106">
      <w:pPr>
        <w:pStyle w:val="Heading2"/>
        <w:numPr>
          <w:ilvl w:val="1"/>
          <w:numId w:val="8"/>
        </w:numPr>
      </w:pPr>
      <w:bookmarkStart w:id="277" w:name="_Toc140048902"/>
      <w:r w:rsidRPr="0018386D">
        <w:t>Indirect</w:t>
      </w:r>
      <w:r w:rsidR="00B276B8" w:rsidRPr="0018386D">
        <w:t xml:space="preserve"> </w:t>
      </w:r>
      <w:r w:rsidR="005437A4" w:rsidRPr="0018386D">
        <w:t xml:space="preserve">Scope 2 </w:t>
      </w:r>
      <w:r w:rsidR="00B276B8" w:rsidRPr="0018386D">
        <w:t>emissions from purchased electricity</w:t>
      </w:r>
      <w:bookmarkEnd w:id="274"/>
      <w:r w:rsidR="00B276B8" w:rsidRPr="0018386D">
        <w:t xml:space="preserve"> from</w:t>
      </w:r>
      <w:r w:rsidR="00A54327" w:rsidRPr="0018386D">
        <w:t xml:space="preserve"> </w:t>
      </w:r>
      <w:r w:rsidRPr="0018386D">
        <w:t xml:space="preserve">the </w:t>
      </w:r>
      <w:r w:rsidR="00B276B8" w:rsidRPr="0018386D">
        <w:t>N</w:t>
      </w:r>
      <w:r w:rsidR="003950D8" w:rsidRPr="0018386D">
        <w:t>ew</w:t>
      </w:r>
      <w:r w:rsidR="0080261C" w:rsidRPr="0018386D">
        <w:t> </w:t>
      </w:r>
      <w:r w:rsidR="00B276B8" w:rsidRPr="0018386D">
        <w:t>Z</w:t>
      </w:r>
      <w:r w:rsidR="003950D8" w:rsidRPr="0018386D">
        <w:t>ealand</w:t>
      </w:r>
      <w:r w:rsidR="00B276B8" w:rsidRPr="0018386D">
        <w:t xml:space="preserve"> grid</w:t>
      </w:r>
      <w:bookmarkEnd w:id="275"/>
      <w:bookmarkEnd w:id="276"/>
      <w:r w:rsidR="690F3E67" w:rsidRPr="0018386D">
        <w:t xml:space="preserve"> – using the location</w:t>
      </w:r>
      <w:r w:rsidR="0080261C" w:rsidRPr="0018386D">
        <w:noBreakHyphen/>
      </w:r>
      <w:r w:rsidR="690F3E67" w:rsidRPr="0018386D">
        <w:t xml:space="preserve">based </w:t>
      </w:r>
      <w:proofErr w:type="gramStart"/>
      <w:r w:rsidR="690F3E67" w:rsidRPr="0018386D">
        <w:t>method</w:t>
      </w:r>
      <w:bookmarkEnd w:id="277"/>
      <w:proofErr w:type="gramEnd"/>
    </w:p>
    <w:p w14:paraId="56197CA8" w14:textId="0F00A452" w:rsidR="00893C39" w:rsidRPr="0018386D" w:rsidRDefault="00AE0B53" w:rsidP="00DD3106">
      <w:pPr>
        <w:pStyle w:val="BodyText"/>
      </w:pPr>
      <w:bookmarkStart w:id="278" w:name="_Hlk532892691"/>
      <w:r w:rsidRPr="0018386D">
        <w:t>This guide applies to electricity purchased from a supplier that sources electricity from the national</w:t>
      </w:r>
      <w:r w:rsidR="00A54327" w:rsidRPr="0018386D">
        <w:t xml:space="preserve"> </w:t>
      </w:r>
      <w:r w:rsidRPr="0018386D">
        <w:t xml:space="preserve">grid (ie, purchased electricity consumed by end users). It does not cover on-site, </w:t>
      </w:r>
      <w:r w:rsidR="005F332D" w:rsidRPr="0018386D">
        <w:t>self</w:t>
      </w:r>
      <w:r w:rsidR="000074E6" w:rsidRPr="0018386D">
        <w:noBreakHyphen/>
      </w:r>
      <w:r w:rsidR="005F332D" w:rsidRPr="0018386D">
        <w:t>generated</w:t>
      </w:r>
      <w:r w:rsidR="00A54327" w:rsidRPr="0018386D">
        <w:noBreakHyphen/>
      </w:r>
      <w:r w:rsidRPr="0018386D">
        <w:t>electricity.</w:t>
      </w:r>
      <w:r w:rsidR="005C1CC8" w:rsidRPr="0018386D">
        <w:t xml:space="preserve"> </w:t>
      </w:r>
      <w:bookmarkEnd w:id="278"/>
    </w:p>
    <w:p w14:paraId="53D80BB8" w14:textId="4B3DB566" w:rsidR="0087554C" w:rsidRPr="0018386D" w:rsidRDefault="00893C39" w:rsidP="00DD3106">
      <w:pPr>
        <w:pStyle w:val="BodyText"/>
      </w:pPr>
      <w:r w:rsidRPr="0018386D">
        <w:t>The grid-average emission factor best reflects the carbon dioxide equivalent emissions associated with the generation of a unit of electricity purchased from the national grid in New</w:t>
      </w:r>
      <w:r w:rsidR="00FA3431" w:rsidRPr="0018386D">
        <w:t> </w:t>
      </w:r>
      <w:r w:rsidRPr="0018386D">
        <w:t xml:space="preserve">Zealand. </w:t>
      </w:r>
      <w:r w:rsidR="00C627DB" w:rsidRPr="0018386D">
        <w:t xml:space="preserve">We recommend </w:t>
      </w:r>
      <w:r w:rsidR="0048440F" w:rsidRPr="0018386D">
        <w:t xml:space="preserve">the use of the emissions factors in </w:t>
      </w:r>
      <w:hyperlink w:anchor="table9" w:history="1">
        <w:r w:rsidR="00FA3431" w:rsidRPr="0018386D">
          <w:rPr>
            <w:rStyle w:val="Hyperlink"/>
            <w:spacing w:val="-2"/>
          </w:rPr>
          <w:t>table 9</w:t>
        </w:r>
      </w:hyperlink>
      <w:r w:rsidR="0048440F" w:rsidRPr="0018386D">
        <w:t xml:space="preserve"> for all electricity</w:t>
      </w:r>
      <w:r w:rsidR="00B91E00" w:rsidRPr="0018386D">
        <w:t xml:space="preserve"> </w:t>
      </w:r>
      <w:r w:rsidR="0048440F" w:rsidRPr="0018386D">
        <w:t>purchased from the national grid</w:t>
      </w:r>
      <w:r w:rsidR="00BF0E4D" w:rsidRPr="0018386D">
        <w:t>,</w:t>
      </w:r>
      <w:r w:rsidR="0092655F" w:rsidRPr="0018386D">
        <w:t xml:space="preserve"> </w:t>
      </w:r>
      <w:r w:rsidR="0087554C" w:rsidRPr="0018386D">
        <w:t xml:space="preserve">apart from when </w:t>
      </w:r>
      <w:r w:rsidR="003B4ADF" w:rsidRPr="0018386D">
        <w:t>a</w:t>
      </w:r>
      <w:r w:rsidR="0087554C" w:rsidRPr="0018386D">
        <w:t xml:space="preserve"> market-based method is being</w:t>
      </w:r>
      <w:r w:rsidR="00A54327" w:rsidRPr="0018386D">
        <w:t> </w:t>
      </w:r>
      <w:r w:rsidR="0087554C" w:rsidRPr="0018386D">
        <w:t>used.</w:t>
      </w:r>
    </w:p>
    <w:p w14:paraId="0A428C86" w14:textId="33D101DF" w:rsidR="00C232E3" w:rsidRPr="0018386D" w:rsidRDefault="00C232E3" w:rsidP="00DD3106">
      <w:pPr>
        <w:pStyle w:val="BodyText"/>
      </w:pPr>
      <w:bookmarkStart w:id="279" w:name="_Hlk532892858"/>
      <w:r w:rsidRPr="0018386D">
        <w:lastRenderedPageBreak/>
        <w:t xml:space="preserve">We calculate purchased electricity emission factors on a quarterly and calendar-year basis, </w:t>
      </w:r>
      <w:r w:rsidR="00AD7FF7" w:rsidRPr="0018386D">
        <w:t>using annual</w:t>
      </w:r>
      <w:r w:rsidR="00894EE5" w:rsidRPr="0018386D">
        <w:t xml:space="preserve"> and quarterly electricity emissions data provided by MBIE</w:t>
      </w:r>
      <w:r w:rsidR="004505E2" w:rsidRPr="0018386D">
        <w:t>.</w:t>
      </w:r>
    </w:p>
    <w:p w14:paraId="0F16C48C" w14:textId="41F14EDD" w:rsidR="00434028" w:rsidRPr="0018386D" w:rsidRDefault="00AE0B53" w:rsidP="00DD3106">
      <w:pPr>
        <w:pStyle w:val="BodyText"/>
      </w:pPr>
      <w:r w:rsidRPr="0018386D">
        <w:t>The emission factor</w:t>
      </w:r>
      <w:r w:rsidR="00B276B8" w:rsidRPr="0018386D">
        <w:t xml:space="preserve"> account</w:t>
      </w:r>
      <w:r w:rsidRPr="0018386D">
        <w:t>s</w:t>
      </w:r>
      <w:r w:rsidR="00B276B8" w:rsidRPr="0018386D">
        <w:t xml:space="preserve"> for the emissions from fuel combustion at thermal power stations</w:t>
      </w:r>
      <w:r w:rsidR="00A959E4" w:rsidRPr="0018386D">
        <w:t xml:space="preserve"> </w:t>
      </w:r>
      <w:r w:rsidR="001B1156" w:rsidRPr="0018386D">
        <w:t>(ie</w:t>
      </w:r>
      <w:r w:rsidR="00A7570F" w:rsidRPr="0018386D">
        <w:t xml:space="preserve">, power stations which generate electricity by burning fossil fuels) </w:t>
      </w:r>
      <w:r w:rsidR="00A959E4" w:rsidRPr="0018386D">
        <w:t xml:space="preserve">and fugitive </w:t>
      </w:r>
      <w:r w:rsidR="00893C39" w:rsidRPr="0018386D">
        <w:t xml:space="preserve">emissions from the generation of </w:t>
      </w:r>
      <w:r w:rsidR="00A959E4" w:rsidRPr="0018386D">
        <w:t xml:space="preserve">geothermal </w:t>
      </w:r>
      <w:r w:rsidR="00893C39" w:rsidRPr="0018386D">
        <w:t>electricity</w:t>
      </w:r>
      <w:r w:rsidR="00434028" w:rsidRPr="0018386D">
        <w:t>.</w:t>
      </w:r>
      <w:r w:rsidR="00C2219E" w:rsidRPr="0018386D">
        <w:t xml:space="preserve"> </w:t>
      </w:r>
    </w:p>
    <w:bookmarkEnd w:id="279"/>
    <w:p w14:paraId="05A575D1" w14:textId="035BC61A" w:rsidR="00AE0B53" w:rsidRPr="0018386D" w:rsidRDefault="0048440F" w:rsidP="00DD3106">
      <w:pPr>
        <w:pStyle w:val="BodyText"/>
      </w:pPr>
      <w:r w:rsidRPr="0018386D">
        <w:t>T</w:t>
      </w:r>
      <w:r w:rsidR="00AE0B53" w:rsidRPr="0018386D">
        <w:t xml:space="preserve">he emission factor for </w:t>
      </w:r>
      <w:r w:rsidR="005C1CC8" w:rsidRPr="0018386D">
        <w:t xml:space="preserve">purchased </w:t>
      </w:r>
      <w:r w:rsidR="00AE0B53" w:rsidRPr="0018386D">
        <w:t>grid</w:t>
      </w:r>
      <w:r w:rsidR="005C1CC8" w:rsidRPr="0018386D">
        <w:t>-</w:t>
      </w:r>
      <w:r w:rsidR="00AE0B53" w:rsidRPr="0018386D">
        <w:t>average electricity does not include transmission and</w:t>
      </w:r>
      <w:r w:rsidR="00A54327" w:rsidRPr="0018386D">
        <w:t> </w:t>
      </w:r>
      <w:r w:rsidR="00AE0B53" w:rsidRPr="0018386D">
        <w:t xml:space="preserve">distribution losses. </w:t>
      </w:r>
      <w:r w:rsidR="00F131C1" w:rsidRPr="0018386D">
        <w:t>A</w:t>
      </w:r>
      <w:r w:rsidR="00AE0B53" w:rsidRPr="0018386D">
        <w:t xml:space="preserve"> separate average emission factor for this as an indirect (Scope</w:t>
      </w:r>
      <w:r w:rsidR="00FA3431" w:rsidRPr="0018386D">
        <w:t> </w:t>
      </w:r>
      <w:r w:rsidR="00AE0B53" w:rsidRPr="0018386D">
        <w:t xml:space="preserve">3) emission source </w:t>
      </w:r>
      <w:r w:rsidR="00F131C1" w:rsidRPr="0018386D">
        <w:t xml:space="preserve">is </w:t>
      </w:r>
      <w:r w:rsidR="00AE0B53" w:rsidRPr="0018386D">
        <w:t xml:space="preserve">in </w:t>
      </w:r>
      <w:hyperlink w:anchor="_Transmission_and_distribution">
        <w:r w:rsidR="00AE0B53" w:rsidRPr="0018386D">
          <w:rPr>
            <w:rStyle w:val="Hyperlink"/>
          </w:rPr>
          <w:t>section</w:t>
        </w:r>
        <w:r w:rsidR="00CB3567" w:rsidRPr="0018386D">
          <w:rPr>
            <w:rStyle w:val="Hyperlink"/>
          </w:rPr>
          <w:t xml:space="preserve"> 5.3</w:t>
        </w:r>
      </w:hyperlink>
      <w:r w:rsidR="00AE0B53" w:rsidRPr="0018386D">
        <w:t xml:space="preserve">. </w:t>
      </w:r>
    </w:p>
    <w:p w14:paraId="42722256" w14:textId="7075D3F6" w:rsidR="00AE0B53" w:rsidRPr="0018386D" w:rsidRDefault="00D43591" w:rsidP="00DD3106">
      <w:pPr>
        <w:pStyle w:val="BodyText"/>
      </w:pPr>
      <w:bookmarkStart w:id="280" w:name="_Hlk532892712"/>
      <w:r w:rsidRPr="0018386D">
        <w:t>The provided emission factors are an average for the whole of New Zealand for a given quarter or year. The actual emissions produced for a given unit of electricity may differ depending on factor</w:t>
      </w:r>
      <w:r w:rsidR="00F131C1" w:rsidRPr="0018386D">
        <w:t>s</w:t>
      </w:r>
      <w:r w:rsidRPr="0018386D">
        <w:t xml:space="preserve"> such as the time of year, </w:t>
      </w:r>
      <w:r w:rsidR="00CD30CD" w:rsidRPr="0018386D">
        <w:t>time of day and geographical area</w:t>
      </w:r>
      <w:r w:rsidR="0074770F" w:rsidRPr="0018386D">
        <w:t>. Therefore, a grid</w:t>
      </w:r>
      <w:r w:rsidR="0074770F" w:rsidRPr="0018386D">
        <w:noBreakHyphen/>
        <w:t xml:space="preserve">average emission factor may over or underestimate your organisation’s GHG emissions. </w:t>
      </w:r>
    </w:p>
    <w:p w14:paraId="64E68514" w14:textId="5BE423D3" w:rsidR="00C3141A" w:rsidRPr="0018386D" w:rsidRDefault="00C3141A" w:rsidP="00DD3106">
      <w:pPr>
        <w:pStyle w:val="BodyText"/>
      </w:pPr>
      <w:r w:rsidRPr="0018386D">
        <w:t xml:space="preserve">Detailed additional guidance on reporting electricity emissions is available in the </w:t>
      </w:r>
      <w:hyperlink r:id="rId95">
        <w:r w:rsidRPr="0018386D">
          <w:rPr>
            <w:rStyle w:val="Hyperlink"/>
          </w:rPr>
          <w:t>GHG Protocol Scope 2 Guidance</w:t>
        </w:r>
      </w:hyperlink>
      <w:r w:rsidRPr="0018386D">
        <w:t xml:space="preserve">. </w:t>
      </w:r>
    </w:p>
    <w:bookmarkEnd w:id="280"/>
    <w:p w14:paraId="3CF1C732" w14:textId="2C4C391E" w:rsidR="000750A5" w:rsidRPr="0018386D" w:rsidRDefault="00434028" w:rsidP="00DD3106">
      <w:pPr>
        <w:pStyle w:val="BodyText"/>
      </w:pPr>
      <w:r w:rsidRPr="0018386D">
        <w:t>The emission factor</w:t>
      </w:r>
      <w:r w:rsidR="006C5C98" w:rsidRPr="0018386D">
        <w:t>s</w:t>
      </w:r>
      <w:r w:rsidRPr="0018386D">
        <w:t xml:space="preserve"> for </w:t>
      </w:r>
      <w:r w:rsidR="006C5C98" w:rsidRPr="0018386D">
        <w:t xml:space="preserve">the annual average </w:t>
      </w:r>
      <w:r w:rsidRPr="0018386D">
        <w:t xml:space="preserve">purchased electricity </w:t>
      </w:r>
      <w:r w:rsidR="003B4ADF" w:rsidRPr="0018386D">
        <w:t xml:space="preserve">based on annual generation </w:t>
      </w:r>
      <w:r w:rsidRPr="0018386D">
        <w:t xml:space="preserve">from the New Zealand grid </w:t>
      </w:r>
      <w:r w:rsidR="005C1CC8" w:rsidRPr="0018386D">
        <w:t>is</w:t>
      </w:r>
      <w:r w:rsidRPr="0018386D">
        <w:t xml:space="preserve"> in</w:t>
      </w:r>
      <w:r w:rsidR="00FA3431" w:rsidRPr="0018386D">
        <w:t xml:space="preserve"> </w:t>
      </w:r>
      <w:hyperlink w:anchor="table9" w:history="1">
        <w:r w:rsidR="00FA3431" w:rsidRPr="0018386D">
          <w:rPr>
            <w:rStyle w:val="Hyperlink"/>
          </w:rPr>
          <w:t>table 9</w:t>
        </w:r>
      </w:hyperlink>
      <w:bookmarkStart w:id="281" w:name="_Ref532305181"/>
      <w:r w:rsidR="00EC3BDF" w:rsidRPr="0018386D">
        <w:t>.</w:t>
      </w:r>
    </w:p>
    <w:p w14:paraId="16BC0EB3" w14:textId="091DEAEE" w:rsidR="008E2ED2" w:rsidRPr="0018386D" w:rsidRDefault="00834880" w:rsidP="00DD3106">
      <w:pPr>
        <w:pStyle w:val="Tableheading"/>
        <w:rPr>
          <w:rFonts w:asciiTheme="minorHAnsi" w:hAnsiTheme="minorHAnsi"/>
        </w:rPr>
      </w:pPr>
      <w:bookmarkStart w:id="282" w:name="_Ref54950246"/>
      <w:bookmarkStart w:id="283" w:name="table9"/>
      <w:bookmarkStart w:id="284" w:name="_Toc111536614"/>
      <w:bookmarkStart w:id="285" w:name="_Toc140048949"/>
      <w:r w:rsidRPr="0018386D">
        <w:t xml:space="preserve">Table </w:t>
      </w:r>
      <w:r w:rsidRPr="0018386D">
        <w:fldChar w:fldCharType="begin"/>
      </w:r>
      <w:r w:rsidRPr="0018386D">
        <w:instrText>SEQ Table \* ARABIC</w:instrText>
      </w:r>
      <w:r w:rsidRPr="0018386D">
        <w:fldChar w:fldCharType="separate"/>
      </w:r>
      <w:r w:rsidR="003E141C" w:rsidRPr="0018386D">
        <w:t>9</w:t>
      </w:r>
      <w:r w:rsidRPr="0018386D">
        <w:fldChar w:fldCharType="end"/>
      </w:r>
      <w:bookmarkEnd w:id="281"/>
      <w:bookmarkEnd w:id="282"/>
      <w:bookmarkEnd w:id="283"/>
      <w:r w:rsidR="00B276B8" w:rsidRPr="0018386D">
        <w:t>:</w:t>
      </w:r>
      <w:r w:rsidR="0011046F" w:rsidRPr="0018386D">
        <w:tab/>
      </w:r>
      <w:r w:rsidR="00B276B8" w:rsidRPr="0018386D">
        <w:t xml:space="preserve">Emission factor for purchased </w:t>
      </w:r>
      <w:r w:rsidR="005C1CC8" w:rsidRPr="0018386D">
        <w:t xml:space="preserve">grid-average </w:t>
      </w:r>
      <w:r w:rsidR="00B276B8" w:rsidRPr="0018386D">
        <w:t>electricity</w:t>
      </w:r>
      <w:r w:rsidR="00F114FB" w:rsidRPr="0018386D">
        <w:t xml:space="preserve"> – annual </w:t>
      </w:r>
      <w:proofErr w:type="gramStart"/>
      <w:r w:rsidR="00F114FB" w:rsidRPr="0018386D">
        <w:t>average</w:t>
      </w:r>
      <w:bookmarkStart w:id="286" w:name="_1746366779"/>
      <w:bookmarkStart w:id="287" w:name="_1747051247"/>
      <w:bookmarkEnd w:id="284"/>
      <w:bookmarkEnd w:id="285"/>
      <w:bookmarkEnd w:id="286"/>
      <w:bookmarkEnd w:id="287"/>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right w:w="85" w:type="dxa"/>
        </w:tblCellMar>
        <w:tblLook w:val="04A0" w:firstRow="1" w:lastRow="0" w:firstColumn="1" w:lastColumn="0" w:noHBand="0" w:noVBand="1"/>
      </w:tblPr>
      <w:tblGrid>
        <w:gridCol w:w="1449"/>
        <w:gridCol w:w="678"/>
        <w:gridCol w:w="1275"/>
        <w:gridCol w:w="1134"/>
        <w:gridCol w:w="1985"/>
        <w:gridCol w:w="1984"/>
      </w:tblGrid>
      <w:tr w:rsidR="00EA2FFE" w:rsidRPr="0018386D" w14:paraId="264A8C53" w14:textId="77777777" w:rsidTr="00EA2FFE">
        <w:trPr>
          <w:divId w:val="831526724"/>
        </w:trPr>
        <w:tc>
          <w:tcPr>
            <w:tcW w:w="1449" w:type="dxa"/>
            <w:shd w:val="clear" w:color="000000" w:fill="1B556B" w:themeFill="text2"/>
            <w:noWrap/>
            <w:vAlign w:val="bottom"/>
            <w:hideMark/>
          </w:tcPr>
          <w:p w14:paraId="2864DC01" w14:textId="552565B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Emission source</w:t>
            </w:r>
          </w:p>
        </w:tc>
        <w:tc>
          <w:tcPr>
            <w:tcW w:w="678" w:type="dxa"/>
            <w:shd w:val="clear" w:color="000000" w:fill="1B556B" w:themeFill="text2"/>
            <w:noWrap/>
            <w:vAlign w:val="bottom"/>
            <w:hideMark/>
          </w:tcPr>
          <w:p w14:paraId="4058D008" w14:textId="7777777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Unit</w:t>
            </w:r>
          </w:p>
        </w:tc>
        <w:tc>
          <w:tcPr>
            <w:tcW w:w="1275" w:type="dxa"/>
            <w:shd w:val="clear" w:color="000000" w:fill="1B556B" w:themeFill="text2"/>
            <w:noWrap/>
            <w:vAlign w:val="bottom"/>
            <w:hideMark/>
          </w:tcPr>
          <w:p w14:paraId="2A318931" w14:textId="35312D14"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kg CO₂-e/unit</w:t>
            </w:r>
          </w:p>
        </w:tc>
        <w:tc>
          <w:tcPr>
            <w:tcW w:w="1134" w:type="dxa"/>
            <w:shd w:val="clear" w:color="000000" w:fill="1B556B" w:themeFill="text2"/>
            <w:noWrap/>
            <w:vAlign w:val="bottom"/>
            <w:hideMark/>
          </w:tcPr>
          <w:p w14:paraId="4968DED0" w14:textId="0649E93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kg CO₂/unit</w:t>
            </w:r>
          </w:p>
        </w:tc>
        <w:tc>
          <w:tcPr>
            <w:tcW w:w="1985" w:type="dxa"/>
            <w:shd w:val="clear" w:color="000000" w:fill="1B556B" w:themeFill="text2"/>
            <w:noWrap/>
            <w:vAlign w:val="bottom"/>
            <w:hideMark/>
          </w:tcPr>
          <w:p w14:paraId="5738AC60" w14:textId="6CD3F1A8"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kg CH₄/unit (kg CO₂-e)</w:t>
            </w:r>
          </w:p>
        </w:tc>
        <w:tc>
          <w:tcPr>
            <w:tcW w:w="1984" w:type="dxa"/>
            <w:shd w:val="clear" w:color="000000" w:fill="1B556B" w:themeFill="text2"/>
            <w:noWrap/>
            <w:vAlign w:val="bottom"/>
            <w:hideMark/>
          </w:tcPr>
          <w:p w14:paraId="3439BE69" w14:textId="258C0C43"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kg N₂O/unit (kg CO₂-e)</w:t>
            </w:r>
          </w:p>
        </w:tc>
      </w:tr>
      <w:tr w:rsidR="002A4C55" w:rsidRPr="0018386D" w14:paraId="16659027" w14:textId="77777777" w:rsidTr="00EA2FFE">
        <w:trPr>
          <w:divId w:val="831526724"/>
        </w:trPr>
        <w:tc>
          <w:tcPr>
            <w:tcW w:w="1449" w:type="dxa"/>
            <w:shd w:val="clear" w:color="000000" w:fill="FFFFFF"/>
            <w:noWrap/>
            <w:hideMark/>
          </w:tcPr>
          <w:p w14:paraId="14F61F40" w14:textId="08BF1CBE" w:rsidR="008E2ED2" w:rsidRPr="0018386D" w:rsidRDefault="008E2ED2" w:rsidP="00DD3106">
            <w:pPr>
              <w:pStyle w:val="TableText"/>
              <w:spacing w:before="40" w:after="40"/>
              <w:rPr>
                <w:lang w:bidi="th-TH"/>
              </w:rPr>
            </w:pPr>
            <w:r w:rsidRPr="0018386D">
              <w:rPr>
                <w:lang w:bidi="th-TH"/>
              </w:rPr>
              <w:t>2022</w:t>
            </w:r>
          </w:p>
        </w:tc>
        <w:tc>
          <w:tcPr>
            <w:tcW w:w="678" w:type="dxa"/>
            <w:shd w:val="clear" w:color="000000" w:fill="FFFFFF"/>
            <w:noWrap/>
            <w:hideMark/>
          </w:tcPr>
          <w:p w14:paraId="41199E96"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0EE5AD26" w14:textId="26BE538E" w:rsidR="008E2ED2" w:rsidRPr="0018386D" w:rsidRDefault="008E2ED2" w:rsidP="00DD3106">
            <w:pPr>
              <w:pStyle w:val="TableText"/>
              <w:spacing w:before="40" w:after="40"/>
              <w:rPr>
                <w:lang w:bidi="th-TH"/>
              </w:rPr>
            </w:pPr>
            <w:r w:rsidRPr="0018386D">
              <w:rPr>
                <w:lang w:bidi="th-TH"/>
              </w:rPr>
              <w:t>0.0742</w:t>
            </w:r>
          </w:p>
        </w:tc>
        <w:tc>
          <w:tcPr>
            <w:tcW w:w="1134" w:type="dxa"/>
            <w:shd w:val="clear" w:color="000000" w:fill="FFFFFF"/>
            <w:noWrap/>
            <w:hideMark/>
          </w:tcPr>
          <w:p w14:paraId="1C303751" w14:textId="6E9840B4" w:rsidR="008E2ED2" w:rsidRPr="0018386D" w:rsidRDefault="008E2ED2" w:rsidP="00DD3106">
            <w:pPr>
              <w:pStyle w:val="TableText"/>
              <w:spacing w:before="40" w:after="40"/>
              <w:rPr>
                <w:lang w:bidi="th-TH"/>
              </w:rPr>
            </w:pPr>
            <w:r w:rsidRPr="0018386D">
              <w:rPr>
                <w:lang w:bidi="th-TH"/>
              </w:rPr>
              <w:t>0.0721</w:t>
            </w:r>
          </w:p>
        </w:tc>
        <w:tc>
          <w:tcPr>
            <w:tcW w:w="1985" w:type="dxa"/>
            <w:shd w:val="clear" w:color="000000" w:fill="FFFFFF"/>
            <w:noWrap/>
            <w:hideMark/>
          </w:tcPr>
          <w:p w14:paraId="00C6CDDC" w14:textId="64DC48CA" w:rsidR="008E2ED2" w:rsidRPr="0018386D" w:rsidRDefault="008E2ED2" w:rsidP="00DD3106">
            <w:pPr>
              <w:pStyle w:val="TableText"/>
              <w:spacing w:before="40" w:after="40"/>
              <w:rPr>
                <w:lang w:bidi="th-TH"/>
              </w:rPr>
            </w:pPr>
            <w:r w:rsidRPr="0018386D">
              <w:rPr>
                <w:lang w:bidi="th-TH"/>
              </w:rPr>
              <w:t>0.00194</w:t>
            </w:r>
          </w:p>
        </w:tc>
        <w:tc>
          <w:tcPr>
            <w:tcW w:w="1984" w:type="dxa"/>
            <w:shd w:val="clear" w:color="000000" w:fill="FFFFFF"/>
            <w:noWrap/>
            <w:hideMark/>
          </w:tcPr>
          <w:p w14:paraId="65D42392" w14:textId="77777777" w:rsidR="008E2ED2" w:rsidRPr="0018386D" w:rsidRDefault="008E2ED2" w:rsidP="00DD3106">
            <w:pPr>
              <w:pStyle w:val="TableText"/>
              <w:spacing w:before="40" w:after="40"/>
              <w:rPr>
                <w:lang w:bidi="th-TH"/>
              </w:rPr>
            </w:pPr>
            <w:r w:rsidRPr="0018386D">
              <w:rPr>
                <w:lang w:bidi="th-TH"/>
              </w:rPr>
              <w:t>0.0002</w:t>
            </w:r>
          </w:p>
        </w:tc>
      </w:tr>
      <w:tr w:rsidR="002A4C55" w:rsidRPr="0018386D" w14:paraId="7C0D904C" w14:textId="77777777" w:rsidTr="00EA2FFE">
        <w:trPr>
          <w:divId w:val="831526724"/>
        </w:trPr>
        <w:tc>
          <w:tcPr>
            <w:tcW w:w="1449" w:type="dxa"/>
            <w:shd w:val="clear" w:color="000000" w:fill="FFFFFF"/>
            <w:noWrap/>
            <w:hideMark/>
          </w:tcPr>
          <w:p w14:paraId="5157EDA0" w14:textId="71E168B6" w:rsidR="008E2ED2" w:rsidRPr="0018386D" w:rsidRDefault="008E2ED2" w:rsidP="00DD3106">
            <w:pPr>
              <w:pStyle w:val="TableText"/>
              <w:spacing w:before="40" w:after="40"/>
              <w:rPr>
                <w:lang w:bidi="th-TH"/>
              </w:rPr>
            </w:pPr>
            <w:r w:rsidRPr="0018386D">
              <w:rPr>
                <w:lang w:bidi="th-TH"/>
              </w:rPr>
              <w:t>2021</w:t>
            </w:r>
          </w:p>
        </w:tc>
        <w:tc>
          <w:tcPr>
            <w:tcW w:w="678" w:type="dxa"/>
            <w:shd w:val="clear" w:color="000000" w:fill="FFFFFF"/>
            <w:noWrap/>
            <w:hideMark/>
          </w:tcPr>
          <w:p w14:paraId="3543FB93"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0C171830" w14:textId="6F7B0D91" w:rsidR="008E2ED2" w:rsidRPr="0018386D" w:rsidRDefault="008E2ED2" w:rsidP="00DD3106">
            <w:pPr>
              <w:pStyle w:val="TableText"/>
              <w:spacing w:before="40" w:after="40"/>
              <w:rPr>
                <w:lang w:bidi="th-TH"/>
              </w:rPr>
            </w:pPr>
            <w:r w:rsidRPr="0018386D">
              <w:rPr>
                <w:lang w:bidi="th-TH"/>
              </w:rPr>
              <w:t>0.115</w:t>
            </w:r>
          </w:p>
        </w:tc>
        <w:tc>
          <w:tcPr>
            <w:tcW w:w="1134" w:type="dxa"/>
            <w:shd w:val="clear" w:color="000000" w:fill="FFFFFF"/>
            <w:noWrap/>
            <w:hideMark/>
          </w:tcPr>
          <w:p w14:paraId="6D079E7C" w14:textId="5EC472D4" w:rsidR="008E2ED2" w:rsidRPr="0018386D" w:rsidRDefault="008E2ED2" w:rsidP="00DD3106">
            <w:pPr>
              <w:pStyle w:val="TableText"/>
              <w:spacing w:before="40" w:after="40"/>
              <w:rPr>
                <w:lang w:bidi="th-TH"/>
              </w:rPr>
            </w:pPr>
            <w:r w:rsidRPr="0018386D">
              <w:rPr>
                <w:lang w:bidi="th-TH"/>
              </w:rPr>
              <w:t>0.112</w:t>
            </w:r>
          </w:p>
        </w:tc>
        <w:tc>
          <w:tcPr>
            <w:tcW w:w="1985" w:type="dxa"/>
            <w:shd w:val="clear" w:color="000000" w:fill="FFFFFF"/>
            <w:noWrap/>
            <w:hideMark/>
          </w:tcPr>
          <w:p w14:paraId="5857EBF6" w14:textId="19A8BAF0" w:rsidR="008E2ED2" w:rsidRPr="0018386D" w:rsidRDefault="008E2ED2" w:rsidP="00DD3106">
            <w:pPr>
              <w:pStyle w:val="TableText"/>
              <w:spacing w:before="40" w:after="40"/>
              <w:rPr>
                <w:lang w:bidi="th-TH"/>
              </w:rPr>
            </w:pPr>
            <w:r w:rsidRPr="0018386D">
              <w:rPr>
                <w:lang w:bidi="th-TH"/>
              </w:rPr>
              <w:t>0.00301</w:t>
            </w:r>
          </w:p>
        </w:tc>
        <w:tc>
          <w:tcPr>
            <w:tcW w:w="1984" w:type="dxa"/>
            <w:shd w:val="clear" w:color="000000" w:fill="FFFFFF"/>
            <w:noWrap/>
            <w:hideMark/>
          </w:tcPr>
          <w:p w14:paraId="40043261" w14:textId="13B6CF6D" w:rsidR="008E2ED2" w:rsidRPr="0018386D" w:rsidRDefault="008E2ED2" w:rsidP="00DD3106">
            <w:pPr>
              <w:pStyle w:val="TableText"/>
              <w:spacing w:before="40" w:after="40"/>
              <w:rPr>
                <w:lang w:bidi="th-TH"/>
              </w:rPr>
            </w:pPr>
            <w:r w:rsidRPr="0018386D">
              <w:rPr>
                <w:lang w:bidi="th-TH"/>
              </w:rPr>
              <w:t>0.0002</w:t>
            </w:r>
            <w:r w:rsidR="009E58C2" w:rsidRPr="0018386D">
              <w:rPr>
                <w:lang w:bidi="th-TH"/>
              </w:rPr>
              <w:t>5</w:t>
            </w:r>
          </w:p>
        </w:tc>
      </w:tr>
      <w:tr w:rsidR="002A4C55" w:rsidRPr="0018386D" w14:paraId="57A3FA63" w14:textId="77777777" w:rsidTr="00EA2FFE">
        <w:trPr>
          <w:divId w:val="831526724"/>
        </w:trPr>
        <w:tc>
          <w:tcPr>
            <w:tcW w:w="1449" w:type="dxa"/>
            <w:shd w:val="clear" w:color="000000" w:fill="FFFFFF"/>
            <w:noWrap/>
            <w:hideMark/>
          </w:tcPr>
          <w:p w14:paraId="2F65A461" w14:textId="79184E0B" w:rsidR="008E2ED2" w:rsidRPr="0018386D" w:rsidRDefault="008E2ED2" w:rsidP="00DD3106">
            <w:pPr>
              <w:pStyle w:val="TableText"/>
              <w:spacing w:before="40" w:after="40"/>
              <w:rPr>
                <w:lang w:bidi="th-TH"/>
              </w:rPr>
            </w:pPr>
            <w:r w:rsidRPr="0018386D">
              <w:rPr>
                <w:lang w:bidi="th-TH"/>
              </w:rPr>
              <w:t>2020</w:t>
            </w:r>
          </w:p>
        </w:tc>
        <w:tc>
          <w:tcPr>
            <w:tcW w:w="678" w:type="dxa"/>
            <w:shd w:val="clear" w:color="000000" w:fill="FFFFFF"/>
            <w:noWrap/>
            <w:hideMark/>
          </w:tcPr>
          <w:p w14:paraId="695FDEF3"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1DF8F595" w14:textId="3476F96D" w:rsidR="008E2ED2" w:rsidRPr="0018386D" w:rsidRDefault="008E2ED2" w:rsidP="00DD3106">
            <w:pPr>
              <w:pStyle w:val="TableText"/>
              <w:spacing w:before="40" w:after="40"/>
              <w:rPr>
                <w:lang w:bidi="th-TH"/>
              </w:rPr>
            </w:pPr>
            <w:r w:rsidRPr="0018386D">
              <w:rPr>
                <w:lang w:bidi="th-TH"/>
              </w:rPr>
              <w:t>0.120</w:t>
            </w:r>
          </w:p>
        </w:tc>
        <w:tc>
          <w:tcPr>
            <w:tcW w:w="1134" w:type="dxa"/>
            <w:shd w:val="clear" w:color="000000" w:fill="FFFFFF"/>
            <w:noWrap/>
            <w:hideMark/>
          </w:tcPr>
          <w:p w14:paraId="72F21EC8" w14:textId="534BA722" w:rsidR="008E2ED2" w:rsidRPr="0018386D" w:rsidRDefault="008E2ED2" w:rsidP="00DD3106">
            <w:pPr>
              <w:pStyle w:val="TableText"/>
              <w:spacing w:before="40" w:after="40"/>
              <w:rPr>
                <w:lang w:bidi="th-TH"/>
              </w:rPr>
            </w:pPr>
            <w:r w:rsidRPr="0018386D">
              <w:rPr>
                <w:lang w:bidi="th-TH"/>
              </w:rPr>
              <w:t>0.117</w:t>
            </w:r>
          </w:p>
        </w:tc>
        <w:tc>
          <w:tcPr>
            <w:tcW w:w="1985" w:type="dxa"/>
            <w:shd w:val="clear" w:color="000000" w:fill="FFFFFF"/>
            <w:noWrap/>
            <w:hideMark/>
          </w:tcPr>
          <w:p w14:paraId="4D93CDB3" w14:textId="76163CDF" w:rsidR="008E2ED2" w:rsidRPr="0018386D" w:rsidRDefault="008E2ED2" w:rsidP="00DD3106">
            <w:pPr>
              <w:pStyle w:val="TableText"/>
              <w:spacing w:before="40" w:after="40"/>
              <w:rPr>
                <w:lang w:bidi="th-TH"/>
              </w:rPr>
            </w:pPr>
            <w:r w:rsidRPr="0018386D">
              <w:rPr>
                <w:lang w:bidi="th-TH"/>
              </w:rPr>
              <w:t>0.00311</w:t>
            </w:r>
          </w:p>
        </w:tc>
        <w:tc>
          <w:tcPr>
            <w:tcW w:w="1984" w:type="dxa"/>
            <w:shd w:val="clear" w:color="000000" w:fill="FFFFFF"/>
            <w:noWrap/>
            <w:hideMark/>
          </w:tcPr>
          <w:p w14:paraId="3A472D5C" w14:textId="69A6D952" w:rsidR="008E2ED2" w:rsidRPr="0018386D" w:rsidRDefault="008E2ED2" w:rsidP="00DD3106">
            <w:pPr>
              <w:pStyle w:val="TableText"/>
              <w:spacing w:before="40" w:after="40"/>
              <w:rPr>
                <w:lang w:bidi="th-TH"/>
              </w:rPr>
            </w:pPr>
            <w:r w:rsidRPr="0018386D">
              <w:rPr>
                <w:lang w:bidi="th-TH"/>
              </w:rPr>
              <w:t>0.0002</w:t>
            </w:r>
          </w:p>
        </w:tc>
      </w:tr>
      <w:tr w:rsidR="002A4C55" w:rsidRPr="0018386D" w14:paraId="3086B8C5" w14:textId="77777777" w:rsidTr="00EA2FFE">
        <w:trPr>
          <w:divId w:val="831526724"/>
        </w:trPr>
        <w:tc>
          <w:tcPr>
            <w:tcW w:w="1449" w:type="dxa"/>
            <w:shd w:val="clear" w:color="000000" w:fill="FFFFFF"/>
            <w:noWrap/>
            <w:hideMark/>
          </w:tcPr>
          <w:p w14:paraId="48C98B3F" w14:textId="40EC1CBE" w:rsidR="008E2ED2" w:rsidRPr="0018386D" w:rsidRDefault="008E2ED2" w:rsidP="00DD3106">
            <w:pPr>
              <w:pStyle w:val="TableText"/>
              <w:spacing w:before="40" w:after="40"/>
              <w:rPr>
                <w:lang w:bidi="th-TH"/>
              </w:rPr>
            </w:pPr>
            <w:r w:rsidRPr="0018386D">
              <w:rPr>
                <w:lang w:bidi="th-TH"/>
              </w:rPr>
              <w:t>2019</w:t>
            </w:r>
          </w:p>
        </w:tc>
        <w:tc>
          <w:tcPr>
            <w:tcW w:w="678" w:type="dxa"/>
            <w:shd w:val="clear" w:color="000000" w:fill="FFFFFF"/>
            <w:noWrap/>
            <w:hideMark/>
          </w:tcPr>
          <w:p w14:paraId="76EFBD36"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663AABD6" w14:textId="3D178BD3" w:rsidR="008E2ED2" w:rsidRPr="0018386D" w:rsidRDefault="008E2ED2" w:rsidP="00DD3106">
            <w:pPr>
              <w:pStyle w:val="TableText"/>
              <w:spacing w:before="40" w:after="40"/>
              <w:rPr>
                <w:lang w:bidi="th-TH"/>
              </w:rPr>
            </w:pPr>
            <w:r w:rsidRPr="0018386D">
              <w:rPr>
                <w:lang w:bidi="th-TH"/>
              </w:rPr>
              <w:t>0.110</w:t>
            </w:r>
          </w:p>
        </w:tc>
        <w:tc>
          <w:tcPr>
            <w:tcW w:w="1134" w:type="dxa"/>
            <w:shd w:val="clear" w:color="000000" w:fill="FFFFFF"/>
            <w:noWrap/>
            <w:hideMark/>
          </w:tcPr>
          <w:p w14:paraId="73DF2E3F" w14:textId="4B5BFF95" w:rsidR="008E2ED2" w:rsidRPr="0018386D" w:rsidRDefault="008E2ED2" w:rsidP="00DD3106">
            <w:pPr>
              <w:pStyle w:val="TableText"/>
              <w:spacing w:before="40" w:after="40"/>
              <w:rPr>
                <w:lang w:bidi="th-TH"/>
              </w:rPr>
            </w:pPr>
            <w:r w:rsidRPr="0018386D">
              <w:rPr>
                <w:lang w:bidi="th-TH"/>
              </w:rPr>
              <w:t>0.107</w:t>
            </w:r>
          </w:p>
        </w:tc>
        <w:tc>
          <w:tcPr>
            <w:tcW w:w="1985" w:type="dxa"/>
            <w:shd w:val="clear" w:color="000000" w:fill="FFFFFF"/>
            <w:noWrap/>
            <w:hideMark/>
          </w:tcPr>
          <w:p w14:paraId="53FE0A3E" w14:textId="09789100" w:rsidR="008E2ED2" w:rsidRPr="0018386D" w:rsidRDefault="008E2ED2" w:rsidP="00DD3106">
            <w:pPr>
              <w:pStyle w:val="TableText"/>
              <w:spacing w:before="40" w:after="40"/>
              <w:rPr>
                <w:lang w:bidi="th-TH"/>
              </w:rPr>
            </w:pPr>
            <w:r w:rsidRPr="0018386D">
              <w:rPr>
                <w:lang w:bidi="th-TH"/>
              </w:rPr>
              <w:t>0.00324</w:t>
            </w:r>
          </w:p>
        </w:tc>
        <w:tc>
          <w:tcPr>
            <w:tcW w:w="1984" w:type="dxa"/>
            <w:shd w:val="clear" w:color="000000" w:fill="FFFFFF"/>
            <w:noWrap/>
            <w:hideMark/>
          </w:tcPr>
          <w:p w14:paraId="53DBC0F7" w14:textId="7197EA6A" w:rsidR="008E2ED2" w:rsidRPr="0018386D" w:rsidRDefault="008E2ED2" w:rsidP="00DD3106">
            <w:pPr>
              <w:pStyle w:val="TableText"/>
              <w:spacing w:before="40" w:after="40"/>
              <w:rPr>
                <w:lang w:bidi="th-TH"/>
              </w:rPr>
            </w:pPr>
            <w:r w:rsidRPr="0018386D">
              <w:rPr>
                <w:lang w:bidi="th-TH"/>
              </w:rPr>
              <w:t>0.0002</w:t>
            </w:r>
          </w:p>
        </w:tc>
      </w:tr>
      <w:tr w:rsidR="002A4C55" w:rsidRPr="0018386D" w14:paraId="79D83B69" w14:textId="77777777" w:rsidTr="00EA2FFE">
        <w:trPr>
          <w:divId w:val="831526724"/>
        </w:trPr>
        <w:tc>
          <w:tcPr>
            <w:tcW w:w="1449" w:type="dxa"/>
            <w:shd w:val="clear" w:color="000000" w:fill="FFFFFF"/>
            <w:noWrap/>
            <w:hideMark/>
          </w:tcPr>
          <w:p w14:paraId="3B6B2CC4" w14:textId="6C08D69F" w:rsidR="008E2ED2" w:rsidRPr="0018386D" w:rsidRDefault="008E2ED2" w:rsidP="00DD3106">
            <w:pPr>
              <w:pStyle w:val="TableText"/>
              <w:spacing w:before="40" w:after="40"/>
              <w:rPr>
                <w:lang w:bidi="th-TH"/>
              </w:rPr>
            </w:pPr>
            <w:r w:rsidRPr="0018386D">
              <w:rPr>
                <w:lang w:bidi="th-TH"/>
              </w:rPr>
              <w:t>2018</w:t>
            </w:r>
          </w:p>
        </w:tc>
        <w:tc>
          <w:tcPr>
            <w:tcW w:w="678" w:type="dxa"/>
            <w:shd w:val="clear" w:color="000000" w:fill="FFFFFF"/>
            <w:noWrap/>
            <w:hideMark/>
          </w:tcPr>
          <w:p w14:paraId="19A134D2"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5874190E" w14:textId="2A1E842E" w:rsidR="008E2ED2" w:rsidRPr="0018386D" w:rsidRDefault="008E2ED2" w:rsidP="00DD3106">
            <w:pPr>
              <w:pStyle w:val="TableText"/>
              <w:spacing w:before="40" w:after="40"/>
              <w:rPr>
                <w:lang w:bidi="th-TH"/>
              </w:rPr>
            </w:pPr>
            <w:r w:rsidRPr="0018386D">
              <w:rPr>
                <w:lang w:bidi="th-TH"/>
              </w:rPr>
              <w:t>0.0947</w:t>
            </w:r>
          </w:p>
        </w:tc>
        <w:tc>
          <w:tcPr>
            <w:tcW w:w="1134" w:type="dxa"/>
            <w:shd w:val="clear" w:color="000000" w:fill="FFFFFF"/>
            <w:noWrap/>
            <w:hideMark/>
          </w:tcPr>
          <w:p w14:paraId="78F213D6" w14:textId="6FC19A45" w:rsidR="008E2ED2" w:rsidRPr="0018386D" w:rsidRDefault="008E2ED2" w:rsidP="00DD3106">
            <w:pPr>
              <w:pStyle w:val="TableText"/>
              <w:spacing w:before="40" w:after="40"/>
              <w:rPr>
                <w:lang w:bidi="th-TH"/>
              </w:rPr>
            </w:pPr>
            <w:r w:rsidRPr="0018386D">
              <w:rPr>
                <w:lang w:bidi="th-TH"/>
              </w:rPr>
              <w:t>0.0913</w:t>
            </w:r>
          </w:p>
        </w:tc>
        <w:tc>
          <w:tcPr>
            <w:tcW w:w="1985" w:type="dxa"/>
            <w:shd w:val="clear" w:color="000000" w:fill="FFFFFF"/>
            <w:noWrap/>
            <w:hideMark/>
          </w:tcPr>
          <w:p w14:paraId="79EFEC34" w14:textId="7CD0D227" w:rsidR="008E2ED2" w:rsidRPr="0018386D" w:rsidRDefault="008E2ED2" w:rsidP="00DD3106">
            <w:pPr>
              <w:pStyle w:val="TableText"/>
              <w:spacing w:before="40" w:after="40"/>
              <w:rPr>
                <w:lang w:bidi="th-TH"/>
              </w:rPr>
            </w:pPr>
            <w:r w:rsidRPr="0018386D">
              <w:rPr>
                <w:lang w:bidi="th-TH"/>
              </w:rPr>
              <w:t>0.00330</w:t>
            </w:r>
          </w:p>
        </w:tc>
        <w:tc>
          <w:tcPr>
            <w:tcW w:w="1984" w:type="dxa"/>
            <w:shd w:val="clear" w:color="000000" w:fill="FFFFFF"/>
            <w:noWrap/>
            <w:hideMark/>
          </w:tcPr>
          <w:p w14:paraId="044583A6" w14:textId="77777777" w:rsidR="008E2ED2" w:rsidRPr="0018386D" w:rsidRDefault="008E2ED2" w:rsidP="00DD3106">
            <w:pPr>
              <w:pStyle w:val="TableText"/>
              <w:spacing w:before="40" w:after="40"/>
              <w:rPr>
                <w:lang w:bidi="th-TH"/>
              </w:rPr>
            </w:pPr>
            <w:r w:rsidRPr="0018386D">
              <w:rPr>
                <w:lang w:bidi="th-TH"/>
              </w:rPr>
              <w:t>0.0001</w:t>
            </w:r>
          </w:p>
        </w:tc>
      </w:tr>
      <w:tr w:rsidR="002A4C55" w:rsidRPr="0018386D" w14:paraId="1818341D" w14:textId="77777777" w:rsidTr="00EA2FFE">
        <w:trPr>
          <w:divId w:val="831526724"/>
        </w:trPr>
        <w:tc>
          <w:tcPr>
            <w:tcW w:w="1449" w:type="dxa"/>
            <w:shd w:val="clear" w:color="000000" w:fill="FFFFFF"/>
            <w:noWrap/>
            <w:hideMark/>
          </w:tcPr>
          <w:p w14:paraId="776C2F9D" w14:textId="77777777" w:rsidR="008E2ED2" w:rsidRPr="0018386D" w:rsidRDefault="008E2ED2" w:rsidP="00DD3106">
            <w:pPr>
              <w:pStyle w:val="TableText"/>
              <w:spacing w:before="40" w:after="40"/>
              <w:rPr>
                <w:lang w:bidi="th-TH"/>
              </w:rPr>
            </w:pPr>
            <w:r w:rsidRPr="0018386D">
              <w:rPr>
                <w:lang w:bidi="th-TH"/>
              </w:rPr>
              <w:t>2017</w:t>
            </w:r>
          </w:p>
        </w:tc>
        <w:tc>
          <w:tcPr>
            <w:tcW w:w="678" w:type="dxa"/>
            <w:shd w:val="clear" w:color="000000" w:fill="FFFFFF"/>
            <w:noWrap/>
            <w:hideMark/>
          </w:tcPr>
          <w:p w14:paraId="0C6B9FA3"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17D7DE99" w14:textId="77777777" w:rsidR="008E2ED2" w:rsidRPr="0018386D" w:rsidRDefault="008E2ED2" w:rsidP="00DD3106">
            <w:pPr>
              <w:pStyle w:val="TableText"/>
              <w:spacing w:before="40" w:after="40"/>
              <w:rPr>
                <w:lang w:bidi="th-TH"/>
              </w:rPr>
            </w:pPr>
            <w:r w:rsidRPr="0018386D">
              <w:rPr>
                <w:lang w:bidi="th-TH"/>
              </w:rPr>
              <w:t>0.0996</w:t>
            </w:r>
          </w:p>
        </w:tc>
        <w:tc>
          <w:tcPr>
            <w:tcW w:w="1134" w:type="dxa"/>
            <w:shd w:val="clear" w:color="000000" w:fill="FFFFFF"/>
            <w:noWrap/>
            <w:hideMark/>
          </w:tcPr>
          <w:p w14:paraId="4F8357C4" w14:textId="77777777" w:rsidR="008E2ED2" w:rsidRPr="0018386D" w:rsidRDefault="008E2ED2" w:rsidP="00DD3106">
            <w:pPr>
              <w:pStyle w:val="TableText"/>
              <w:spacing w:before="40" w:after="40"/>
              <w:rPr>
                <w:lang w:bidi="th-TH"/>
              </w:rPr>
            </w:pPr>
            <w:r w:rsidRPr="0018386D">
              <w:rPr>
                <w:lang w:bidi="th-TH"/>
              </w:rPr>
              <w:t>0.0959</w:t>
            </w:r>
          </w:p>
        </w:tc>
        <w:tc>
          <w:tcPr>
            <w:tcW w:w="1985" w:type="dxa"/>
            <w:shd w:val="clear" w:color="000000" w:fill="FFFFFF"/>
            <w:noWrap/>
            <w:hideMark/>
          </w:tcPr>
          <w:p w14:paraId="7CCADF47" w14:textId="77777777" w:rsidR="008E2ED2" w:rsidRPr="0018386D" w:rsidRDefault="008E2ED2" w:rsidP="00DD3106">
            <w:pPr>
              <w:pStyle w:val="TableText"/>
              <w:spacing w:before="40" w:after="40"/>
              <w:rPr>
                <w:lang w:bidi="th-TH"/>
              </w:rPr>
            </w:pPr>
            <w:r w:rsidRPr="0018386D">
              <w:rPr>
                <w:lang w:bidi="th-TH"/>
              </w:rPr>
              <w:t>0.00367</w:t>
            </w:r>
          </w:p>
        </w:tc>
        <w:tc>
          <w:tcPr>
            <w:tcW w:w="1984" w:type="dxa"/>
            <w:shd w:val="clear" w:color="000000" w:fill="FFFFFF"/>
            <w:noWrap/>
            <w:hideMark/>
          </w:tcPr>
          <w:p w14:paraId="0DE4A846" w14:textId="77777777" w:rsidR="008E2ED2" w:rsidRPr="0018386D" w:rsidRDefault="008E2ED2" w:rsidP="00DD3106">
            <w:pPr>
              <w:pStyle w:val="TableText"/>
              <w:spacing w:before="40" w:after="40"/>
              <w:rPr>
                <w:lang w:bidi="th-TH"/>
              </w:rPr>
            </w:pPr>
            <w:r w:rsidRPr="0018386D">
              <w:rPr>
                <w:lang w:bidi="th-TH"/>
              </w:rPr>
              <w:t>0.00008</w:t>
            </w:r>
          </w:p>
        </w:tc>
      </w:tr>
      <w:tr w:rsidR="002A4C55" w:rsidRPr="0018386D" w14:paraId="2C320CBB" w14:textId="77777777" w:rsidTr="00EA2FFE">
        <w:trPr>
          <w:divId w:val="831526724"/>
        </w:trPr>
        <w:tc>
          <w:tcPr>
            <w:tcW w:w="1449" w:type="dxa"/>
            <w:shd w:val="clear" w:color="000000" w:fill="FFFFFF"/>
            <w:noWrap/>
            <w:hideMark/>
          </w:tcPr>
          <w:p w14:paraId="7393F63A" w14:textId="77777777" w:rsidR="008E2ED2" w:rsidRPr="0018386D" w:rsidRDefault="008E2ED2" w:rsidP="00DD3106">
            <w:pPr>
              <w:pStyle w:val="TableText"/>
              <w:spacing w:before="40" w:after="40"/>
              <w:rPr>
                <w:lang w:bidi="th-TH"/>
              </w:rPr>
            </w:pPr>
            <w:r w:rsidRPr="0018386D">
              <w:rPr>
                <w:lang w:bidi="th-TH"/>
              </w:rPr>
              <w:t>2016</w:t>
            </w:r>
          </w:p>
        </w:tc>
        <w:tc>
          <w:tcPr>
            <w:tcW w:w="678" w:type="dxa"/>
            <w:shd w:val="clear" w:color="000000" w:fill="FFFFFF"/>
            <w:noWrap/>
            <w:hideMark/>
          </w:tcPr>
          <w:p w14:paraId="0E5A0A08"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2F3F8B3B" w14:textId="77777777" w:rsidR="008E2ED2" w:rsidRPr="0018386D" w:rsidRDefault="008E2ED2" w:rsidP="00DD3106">
            <w:pPr>
              <w:pStyle w:val="TableText"/>
              <w:spacing w:before="40" w:after="40"/>
              <w:rPr>
                <w:lang w:bidi="th-TH"/>
              </w:rPr>
            </w:pPr>
            <w:r w:rsidRPr="0018386D">
              <w:rPr>
                <w:lang w:bidi="th-TH"/>
              </w:rPr>
              <w:t>0.0885</w:t>
            </w:r>
          </w:p>
        </w:tc>
        <w:tc>
          <w:tcPr>
            <w:tcW w:w="1134" w:type="dxa"/>
            <w:shd w:val="clear" w:color="000000" w:fill="FFFFFF"/>
            <w:noWrap/>
            <w:hideMark/>
          </w:tcPr>
          <w:p w14:paraId="33CD245C" w14:textId="77777777" w:rsidR="008E2ED2" w:rsidRPr="0018386D" w:rsidRDefault="008E2ED2" w:rsidP="00DD3106">
            <w:pPr>
              <w:pStyle w:val="TableText"/>
              <w:spacing w:before="40" w:after="40"/>
              <w:rPr>
                <w:lang w:bidi="th-TH"/>
              </w:rPr>
            </w:pPr>
            <w:r w:rsidRPr="0018386D">
              <w:rPr>
                <w:lang w:bidi="th-TH"/>
              </w:rPr>
              <w:t>0.0845</w:t>
            </w:r>
          </w:p>
        </w:tc>
        <w:tc>
          <w:tcPr>
            <w:tcW w:w="1985" w:type="dxa"/>
            <w:shd w:val="clear" w:color="000000" w:fill="FFFFFF"/>
            <w:noWrap/>
            <w:hideMark/>
          </w:tcPr>
          <w:p w14:paraId="5FF8B3AA" w14:textId="77777777" w:rsidR="008E2ED2" w:rsidRPr="0018386D" w:rsidRDefault="008E2ED2" w:rsidP="00DD3106">
            <w:pPr>
              <w:pStyle w:val="TableText"/>
              <w:spacing w:before="40" w:after="40"/>
              <w:rPr>
                <w:lang w:bidi="th-TH"/>
              </w:rPr>
            </w:pPr>
            <w:r w:rsidRPr="0018386D">
              <w:rPr>
                <w:lang w:bidi="th-TH"/>
              </w:rPr>
              <w:t>0.00398</w:t>
            </w:r>
          </w:p>
        </w:tc>
        <w:tc>
          <w:tcPr>
            <w:tcW w:w="1984" w:type="dxa"/>
            <w:shd w:val="clear" w:color="000000" w:fill="FFFFFF"/>
            <w:noWrap/>
            <w:hideMark/>
          </w:tcPr>
          <w:p w14:paraId="63115D38" w14:textId="77777777" w:rsidR="008E2ED2" w:rsidRPr="0018386D" w:rsidRDefault="008E2ED2" w:rsidP="00DD3106">
            <w:pPr>
              <w:pStyle w:val="TableText"/>
              <w:spacing w:before="40" w:after="40"/>
              <w:rPr>
                <w:lang w:bidi="th-TH"/>
              </w:rPr>
            </w:pPr>
            <w:r w:rsidRPr="0018386D">
              <w:rPr>
                <w:lang w:bidi="th-TH"/>
              </w:rPr>
              <w:t>0.00007</w:t>
            </w:r>
          </w:p>
        </w:tc>
      </w:tr>
      <w:tr w:rsidR="002A4C55" w:rsidRPr="0018386D" w14:paraId="3B4A4192" w14:textId="77777777" w:rsidTr="00EA2FFE">
        <w:trPr>
          <w:divId w:val="831526724"/>
        </w:trPr>
        <w:tc>
          <w:tcPr>
            <w:tcW w:w="1449" w:type="dxa"/>
            <w:shd w:val="clear" w:color="000000" w:fill="FFFFFF"/>
            <w:noWrap/>
            <w:hideMark/>
          </w:tcPr>
          <w:p w14:paraId="171F1E2E" w14:textId="77777777" w:rsidR="008E2ED2" w:rsidRPr="0018386D" w:rsidRDefault="008E2ED2" w:rsidP="00DD3106">
            <w:pPr>
              <w:pStyle w:val="TableText"/>
              <w:spacing w:before="40" w:after="40"/>
              <w:rPr>
                <w:lang w:bidi="th-TH"/>
              </w:rPr>
            </w:pPr>
            <w:r w:rsidRPr="0018386D">
              <w:rPr>
                <w:lang w:bidi="th-TH"/>
              </w:rPr>
              <w:t>2015</w:t>
            </w:r>
          </w:p>
        </w:tc>
        <w:tc>
          <w:tcPr>
            <w:tcW w:w="678" w:type="dxa"/>
            <w:shd w:val="clear" w:color="000000" w:fill="FFFFFF"/>
            <w:noWrap/>
            <w:hideMark/>
          </w:tcPr>
          <w:p w14:paraId="1FD57FB0"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5C904685" w14:textId="77777777" w:rsidR="008E2ED2" w:rsidRPr="0018386D" w:rsidRDefault="008E2ED2" w:rsidP="00DD3106">
            <w:pPr>
              <w:pStyle w:val="TableText"/>
              <w:spacing w:before="40" w:after="40"/>
              <w:rPr>
                <w:lang w:bidi="th-TH"/>
              </w:rPr>
            </w:pPr>
            <w:r w:rsidRPr="0018386D">
              <w:rPr>
                <w:lang w:bidi="th-TH"/>
              </w:rPr>
              <w:t>0.112</w:t>
            </w:r>
          </w:p>
        </w:tc>
        <w:tc>
          <w:tcPr>
            <w:tcW w:w="1134" w:type="dxa"/>
            <w:shd w:val="clear" w:color="000000" w:fill="FFFFFF"/>
            <w:noWrap/>
            <w:hideMark/>
          </w:tcPr>
          <w:p w14:paraId="25EE5660" w14:textId="77777777" w:rsidR="008E2ED2" w:rsidRPr="0018386D" w:rsidRDefault="008E2ED2" w:rsidP="00DD3106">
            <w:pPr>
              <w:pStyle w:val="TableText"/>
              <w:spacing w:before="40" w:after="40"/>
              <w:rPr>
                <w:lang w:bidi="th-TH"/>
              </w:rPr>
            </w:pPr>
            <w:r w:rsidRPr="0018386D">
              <w:rPr>
                <w:lang w:bidi="th-TH"/>
              </w:rPr>
              <w:t>0.108</w:t>
            </w:r>
          </w:p>
        </w:tc>
        <w:tc>
          <w:tcPr>
            <w:tcW w:w="1985" w:type="dxa"/>
            <w:shd w:val="clear" w:color="000000" w:fill="FFFFFF"/>
            <w:noWrap/>
            <w:hideMark/>
          </w:tcPr>
          <w:p w14:paraId="43747698" w14:textId="156CEEFD" w:rsidR="008E2ED2" w:rsidRPr="0018386D" w:rsidRDefault="008E2ED2" w:rsidP="00DD3106">
            <w:pPr>
              <w:pStyle w:val="TableText"/>
              <w:spacing w:before="40" w:after="40"/>
              <w:rPr>
                <w:lang w:bidi="th-TH"/>
              </w:rPr>
            </w:pPr>
            <w:r w:rsidRPr="0018386D">
              <w:rPr>
                <w:lang w:bidi="th-TH"/>
              </w:rPr>
              <w:t>0.00439</w:t>
            </w:r>
          </w:p>
        </w:tc>
        <w:tc>
          <w:tcPr>
            <w:tcW w:w="1984" w:type="dxa"/>
            <w:shd w:val="clear" w:color="000000" w:fill="FFFFFF"/>
            <w:noWrap/>
            <w:hideMark/>
          </w:tcPr>
          <w:p w14:paraId="65F67743" w14:textId="4EA51EAC" w:rsidR="008E2ED2" w:rsidRPr="0018386D" w:rsidRDefault="008E2ED2" w:rsidP="00DD3106">
            <w:pPr>
              <w:pStyle w:val="TableText"/>
              <w:spacing w:before="40" w:after="40"/>
              <w:rPr>
                <w:lang w:bidi="th-TH"/>
              </w:rPr>
            </w:pPr>
            <w:r w:rsidRPr="0018386D">
              <w:rPr>
                <w:lang w:bidi="th-TH"/>
              </w:rPr>
              <w:t>0.0001</w:t>
            </w:r>
          </w:p>
        </w:tc>
      </w:tr>
      <w:tr w:rsidR="002A4C55" w:rsidRPr="0018386D" w14:paraId="240B4A17" w14:textId="77777777" w:rsidTr="00EA2FFE">
        <w:trPr>
          <w:divId w:val="831526724"/>
        </w:trPr>
        <w:tc>
          <w:tcPr>
            <w:tcW w:w="1449" w:type="dxa"/>
            <w:shd w:val="clear" w:color="000000" w:fill="FFFFFF"/>
            <w:noWrap/>
            <w:hideMark/>
          </w:tcPr>
          <w:p w14:paraId="2AC25E06" w14:textId="77777777" w:rsidR="008E2ED2" w:rsidRPr="0018386D" w:rsidRDefault="008E2ED2" w:rsidP="00DD3106">
            <w:pPr>
              <w:pStyle w:val="TableText"/>
              <w:spacing w:before="40" w:after="40"/>
              <w:rPr>
                <w:lang w:bidi="th-TH"/>
              </w:rPr>
            </w:pPr>
            <w:r w:rsidRPr="0018386D">
              <w:rPr>
                <w:lang w:bidi="th-TH"/>
              </w:rPr>
              <w:t>2014</w:t>
            </w:r>
          </w:p>
        </w:tc>
        <w:tc>
          <w:tcPr>
            <w:tcW w:w="678" w:type="dxa"/>
            <w:shd w:val="clear" w:color="000000" w:fill="FFFFFF"/>
            <w:noWrap/>
            <w:hideMark/>
          </w:tcPr>
          <w:p w14:paraId="7D9DD9CD"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2BB99492" w14:textId="77777777" w:rsidR="008E2ED2" w:rsidRPr="0018386D" w:rsidRDefault="008E2ED2" w:rsidP="00DD3106">
            <w:pPr>
              <w:pStyle w:val="TableText"/>
              <w:spacing w:before="40" w:after="40"/>
              <w:rPr>
                <w:lang w:bidi="th-TH"/>
              </w:rPr>
            </w:pPr>
            <w:r w:rsidRPr="0018386D">
              <w:rPr>
                <w:lang w:bidi="th-TH"/>
              </w:rPr>
              <w:t>0.118</w:t>
            </w:r>
          </w:p>
        </w:tc>
        <w:tc>
          <w:tcPr>
            <w:tcW w:w="1134" w:type="dxa"/>
            <w:shd w:val="clear" w:color="000000" w:fill="FFFFFF"/>
            <w:noWrap/>
            <w:hideMark/>
          </w:tcPr>
          <w:p w14:paraId="09856BB3" w14:textId="77777777" w:rsidR="008E2ED2" w:rsidRPr="0018386D" w:rsidRDefault="008E2ED2" w:rsidP="00DD3106">
            <w:pPr>
              <w:pStyle w:val="TableText"/>
              <w:spacing w:before="40" w:after="40"/>
              <w:rPr>
                <w:lang w:bidi="th-TH"/>
              </w:rPr>
            </w:pPr>
            <w:r w:rsidRPr="0018386D">
              <w:rPr>
                <w:lang w:bidi="th-TH"/>
              </w:rPr>
              <w:t>0.114</w:t>
            </w:r>
          </w:p>
        </w:tc>
        <w:tc>
          <w:tcPr>
            <w:tcW w:w="1985" w:type="dxa"/>
            <w:shd w:val="clear" w:color="000000" w:fill="FFFFFF"/>
            <w:noWrap/>
            <w:hideMark/>
          </w:tcPr>
          <w:p w14:paraId="5E817084" w14:textId="3E721B64" w:rsidR="008E2ED2" w:rsidRPr="0018386D" w:rsidRDefault="008E2ED2" w:rsidP="00DD3106">
            <w:pPr>
              <w:pStyle w:val="TableText"/>
              <w:spacing w:before="40" w:after="40"/>
              <w:rPr>
                <w:lang w:bidi="th-TH"/>
              </w:rPr>
            </w:pPr>
            <w:r w:rsidRPr="0018386D">
              <w:rPr>
                <w:lang w:bidi="th-TH"/>
              </w:rPr>
              <w:t>0.00419</w:t>
            </w:r>
          </w:p>
        </w:tc>
        <w:tc>
          <w:tcPr>
            <w:tcW w:w="1984" w:type="dxa"/>
            <w:shd w:val="clear" w:color="000000" w:fill="FFFFFF"/>
            <w:noWrap/>
            <w:hideMark/>
          </w:tcPr>
          <w:p w14:paraId="26C66487" w14:textId="00913343" w:rsidR="008E2ED2" w:rsidRPr="0018386D" w:rsidRDefault="008E2ED2" w:rsidP="00DD3106">
            <w:pPr>
              <w:pStyle w:val="TableText"/>
              <w:spacing w:before="40" w:after="40"/>
              <w:rPr>
                <w:lang w:bidi="th-TH"/>
              </w:rPr>
            </w:pPr>
            <w:r w:rsidRPr="0018386D">
              <w:rPr>
                <w:lang w:bidi="th-TH"/>
              </w:rPr>
              <w:t>0.0001</w:t>
            </w:r>
          </w:p>
        </w:tc>
      </w:tr>
      <w:tr w:rsidR="002A4C55" w:rsidRPr="0018386D" w14:paraId="7512E68C" w14:textId="77777777" w:rsidTr="00EA2FFE">
        <w:trPr>
          <w:divId w:val="831526724"/>
        </w:trPr>
        <w:tc>
          <w:tcPr>
            <w:tcW w:w="1449" w:type="dxa"/>
            <w:shd w:val="clear" w:color="000000" w:fill="FFFFFF"/>
            <w:noWrap/>
            <w:hideMark/>
          </w:tcPr>
          <w:p w14:paraId="60260CED" w14:textId="77777777" w:rsidR="008E2ED2" w:rsidRPr="0018386D" w:rsidRDefault="008E2ED2" w:rsidP="00DD3106">
            <w:pPr>
              <w:pStyle w:val="TableText"/>
              <w:spacing w:before="40" w:after="40"/>
              <w:rPr>
                <w:lang w:bidi="th-TH"/>
              </w:rPr>
            </w:pPr>
            <w:r w:rsidRPr="0018386D">
              <w:rPr>
                <w:lang w:bidi="th-TH"/>
              </w:rPr>
              <w:t>2013</w:t>
            </w:r>
          </w:p>
        </w:tc>
        <w:tc>
          <w:tcPr>
            <w:tcW w:w="678" w:type="dxa"/>
            <w:shd w:val="clear" w:color="000000" w:fill="FFFFFF"/>
            <w:noWrap/>
            <w:hideMark/>
          </w:tcPr>
          <w:p w14:paraId="2ECABF42" w14:textId="77777777" w:rsidR="008E2ED2" w:rsidRPr="0018386D" w:rsidRDefault="008E2ED2" w:rsidP="00DD3106">
            <w:pPr>
              <w:pStyle w:val="TableText"/>
              <w:spacing w:before="40" w:after="40"/>
              <w:rPr>
                <w:lang w:bidi="th-TH"/>
              </w:rPr>
            </w:pPr>
            <w:r w:rsidRPr="0018386D">
              <w:rPr>
                <w:lang w:bidi="th-TH"/>
              </w:rPr>
              <w:t>kWh</w:t>
            </w:r>
          </w:p>
        </w:tc>
        <w:tc>
          <w:tcPr>
            <w:tcW w:w="1275" w:type="dxa"/>
            <w:shd w:val="clear" w:color="000000" w:fill="D2DDE1"/>
            <w:noWrap/>
            <w:hideMark/>
          </w:tcPr>
          <w:p w14:paraId="331814AE" w14:textId="77777777" w:rsidR="008E2ED2" w:rsidRPr="0018386D" w:rsidRDefault="008E2ED2" w:rsidP="00DD3106">
            <w:pPr>
              <w:pStyle w:val="TableText"/>
              <w:spacing w:before="40" w:after="40"/>
              <w:rPr>
                <w:lang w:bidi="th-TH"/>
              </w:rPr>
            </w:pPr>
            <w:r w:rsidRPr="0018386D">
              <w:rPr>
                <w:lang w:bidi="th-TH"/>
              </w:rPr>
              <w:t>0.141</w:t>
            </w:r>
          </w:p>
        </w:tc>
        <w:tc>
          <w:tcPr>
            <w:tcW w:w="1134" w:type="dxa"/>
            <w:shd w:val="clear" w:color="000000" w:fill="FFFFFF"/>
            <w:noWrap/>
            <w:hideMark/>
          </w:tcPr>
          <w:p w14:paraId="3DDE188D" w14:textId="77777777" w:rsidR="008E2ED2" w:rsidRPr="0018386D" w:rsidRDefault="008E2ED2" w:rsidP="00DD3106">
            <w:pPr>
              <w:pStyle w:val="TableText"/>
              <w:spacing w:before="40" w:after="40"/>
              <w:rPr>
                <w:lang w:bidi="th-TH"/>
              </w:rPr>
            </w:pPr>
            <w:r w:rsidRPr="0018386D">
              <w:rPr>
                <w:lang w:bidi="th-TH"/>
              </w:rPr>
              <w:t>0.137</w:t>
            </w:r>
          </w:p>
        </w:tc>
        <w:tc>
          <w:tcPr>
            <w:tcW w:w="1985" w:type="dxa"/>
            <w:shd w:val="clear" w:color="000000" w:fill="FFFFFF"/>
            <w:noWrap/>
            <w:hideMark/>
          </w:tcPr>
          <w:p w14:paraId="0C609BB0" w14:textId="04E28F11" w:rsidR="008E2ED2" w:rsidRPr="0018386D" w:rsidRDefault="008E2ED2" w:rsidP="00DD3106">
            <w:pPr>
              <w:pStyle w:val="TableText"/>
              <w:spacing w:before="40" w:after="40"/>
              <w:rPr>
                <w:lang w:bidi="th-TH"/>
              </w:rPr>
            </w:pPr>
            <w:r w:rsidRPr="0018386D">
              <w:rPr>
                <w:lang w:bidi="th-TH"/>
              </w:rPr>
              <w:t>0.00409</w:t>
            </w:r>
          </w:p>
        </w:tc>
        <w:tc>
          <w:tcPr>
            <w:tcW w:w="1984" w:type="dxa"/>
            <w:shd w:val="clear" w:color="000000" w:fill="FFFFFF"/>
            <w:noWrap/>
            <w:hideMark/>
          </w:tcPr>
          <w:p w14:paraId="714166D5" w14:textId="77777777" w:rsidR="008E2ED2" w:rsidRPr="0018386D" w:rsidRDefault="008E2ED2" w:rsidP="00DD3106">
            <w:pPr>
              <w:pStyle w:val="TableText"/>
              <w:spacing w:before="40" w:after="40"/>
              <w:rPr>
                <w:lang w:bidi="th-TH"/>
              </w:rPr>
            </w:pPr>
            <w:r w:rsidRPr="0018386D">
              <w:rPr>
                <w:lang w:bidi="th-TH"/>
              </w:rPr>
              <w:t>0.0002</w:t>
            </w:r>
          </w:p>
        </w:tc>
      </w:tr>
      <w:tr w:rsidR="002A4C55" w:rsidRPr="0018386D" w14:paraId="4ADE39CB" w14:textId="77777777" w:rsidTr="00AF4389">
        <w:trPr>
          <w:divId w:val="831526724"/>
        </w:trPr>
        <w:tc>
          <w:tcPr>
            <w:tcW w:w="1449" w:type="dxa"/>
            <w:tcBorders>
              <w:bottom w:val="single" w:sz="4" w:space="0" w:color="1B556B" w:themeColor="text2"/>
            </w:tcBorders>
            <w:shd w:val="clear" w:color="000000" w:fill="FFFFFF"/>
            <w:noWrap/>
            <w:hideMark/>
          </w:tcPr>
          <w:p w14:paraId="71237BB9" w14:textId="77777777" w:rsidR="008E2ED2" w:rsidRPr="0018386D" w:rsidRDefault="008E2ED2" w:rsidP="00DD3106">
            <w:pPr>
              <w:pStyle w:val="TableText"/>
              <w:spacing w:before="40" w:after="40"/>
              <w:rPr>
                <w:lang w:bidi="th-TH"/>
              </w:rPr>
            </w:pPr>
            <w:r w:rsidRPr="0018386D">
              <w:rPr>
                <w:lang w:bidi="th-TH"/>
              </w:rPr>
              <w:t>2012</w:t>
            </w:r>
          </w:p>
        </w:tc>
        <w:tc>
          <w:tcPr>
            <w:tcW w:w="678" w:type="dxa"/>
            <w:tcBorders>
              <w:bottom w:val="single" w:sz="4" w:space="0" w:color="1B556B" w:themeColor="text2"/>
            </w:tcBorders>
            <w:shd w:val="clear" w:color="000000" w:fill="FFFFFF"/>
            <w:noWrap/>
            <w:hideMark/>
          </w:tcPr>
          <w:p w14:paraId="794E5393" w14:textId="77777777" w:rsidR="008E2ED2" w:rsidRPr="0018386D" w:rsidRDefault="008E2ED2" w:rsidP="00DD3106">
            <w:pPr>
              <w:pStyle w:val="TableText"/>
              <w:spacing w:before="40" w:after="40"/>
              <w:rPr>
                <w:lang w:bidi="th-TH"/>
              </w:rPr>
            </w:pPr>
            <w:r w:rsidRPr="0018386D">
              <w:rPr>
                <w:lang w:bidi="th-TH"/>
              </w:rPr>
              <w:t>kWh</w:t>
            </w:r>
          </w:p>
        </w:tc>
        <w:tc>
          <w:tcPr>
            <w:tcW w:w="1275" w:type="dxa"/>
            <w:tcBorders>
              <w:bottom w:val="single" w:sz="4" w:space="0" w:color="1B556B" w:themeColor="text2"/>
            </w:tcBorders>
            <w:shd w:val="clear" w:color="000000" w:fill="D2DDE1"/>
            <w:noWrap/>
            <w:hideMark/>
          </w:tcPr>
          <w:p w14:paraId="4CE939D8" w14:textId="77777777" w:rsidR="008E2ED2" w:rsidRPr="0018386D" w:rsidRDefault="008E2ED2" w:rsidP="00DD3106">
            <w:pPr>
              <w:pStyle w:val="TableText"/>
              <w:spacing w:before="40" w:after="40"/>
              <w:rPr>
                <w:lang w:bidi="th-TH"/>
              </w:rPr>
            </w:pPr>
            <w:r w:rsidRPr="0018386D">
              <w:rPr>
                <w:lang w:bidi="th-TH"/>
              </w:rPr>
              <w:t>0.167</w:t>
            </w:r>
          </w:p>
        </w:tc>
        <w:tc>
          <w:tcPr>
            <w:tcW w:w="1134" w:type="dxa"/>
            <w:tcBorders>
              <w:bottom w:val="single" w:sz="4" w:space="0" w:color="1B556B" w:themeColor="text2"/>
            </w:tcBorders>
            <w:shd w:val="clear" w:color="000000" w:fill="FFFFFF"/>
            <w:noWrap/>
            <w:hideMark/>
          </w:tcPr>
          <w:p w14:paraId="2A5CEEA8" w14:textId="77777777" w:rsidR="008E2ED2" w:rsidRPr="0018386D" w:rsidRDefault="008E2ED2" w:rsidP="00DD3106">
            <w:pPr>
              <w:pStyle w:val="TableText"/>
              <w:spacing w:before="40" w:after="40"/>
              <w:rPr>
                <w:lang w:bidi="th-TH"/>
              </w:rPr>
            </w:pPr>
            <w:r w:rsidRPr="0018386D">
              <w:rPr>
                <w:lang w:bidi="th-TH"/>
              </w:rPr>
              <w:t>0.163</w:t>
            </w:r>
          </w:p>
        </w:tc>
        <w:tc>
          <w:tcPr>
            <w:tcW w:w="1985" w:type="dxa"/>
            <w:tcBorders>
              <w:bottom w:val="single" w:sz="4" w:space="0" w:color="1B556B" w:themeColor="text2"/>
            </w:tcBorders>
            <w:shd w:val="clear" w:color="000000" w:fill="FFFFFF"/>
            <w:noWrap/>
            <w:hideMark/>
          </w:tcPr>
          <w:p w14:paraId="4A3C7F0B" w14:textId="7EA15546" w:rsidR="008E2ED2" w:rsidRPr="0018386D" w:rsidRDefault="008E2ED2" w:rsidP="00DD3106">
            <w:pPr>
              <w:pStyle w:val="TableText"/>
              <w:spacing w:before="40" w:after="40"/>
              <w:rPr>
                <w:lang w:bidi="th-TH"/>
              </w:rPr>
            </w:pPr>
            <w:r w:rsidRPr="0018386D">
              <w:rPr>
                <w:lang w:bidi="th-TH"/>
              </w:rPr>
              <w:t>0.00385</w:t>
            </w:r>
          </w:p>
        </w:tc>
        <w:tc>
          <w:tcPr>
            <w:tcW w:w="1984" w:type="dxa"/>
            <w:tcBorders>
              <w:bottom w:val="single" w:sz="4" w:space="0" w:color="1B556B" w:themeColor="text2"/>
            </w:tcBorders>
            <w:shd w:val="clear" w:color="000000" w:fill="FFFFFF"/>
            <w:noWrap/>
            <w:hideMark/>
          </w:tcPr>
          <w:p w14:paraId="0DE2A4F0" w14:textId="77777777" w:rsidR="008E2ED2" w:rsidRPr="0018386D" w:rsidRDefault="008E2ED2" w:rsidP="00DD3106">
            <w:pPr>
              <w:pStyle w:val="TableText"/>
              <w:spacing w:before="40" w:after="40"/>
              <w:rPr>
                <w:lang w:bidi="th-TH"/>
              </w:rPr>
            </w:pPr>
            <w:r w:rsidRPr="0018386D">
              <w:rPr>
                <w:lang w:bidi="th-TH"/>
              </w:rPr>
              <w:t>0.0003</w:t>
            </w:r>
          </w:p>
        </w:tc>
      </w:tr>
      <w:tr w:rsidR="002A4C55" w:rsidRPr="0018386D" w14:paraId="1386DF5A" w14:textId="77777777" w:rsidTr="00AF4389">
        <w:trPr>
          <w:divId w:val="831526724"/>
        </w:trPr>
        <w:tc>
          <w:tcPr>
            <w:tcW w:w="1449" w:type="dxa"/>
            <w:tcBorders>
              <w:bottom w:val="single" w:sz="2" w:space="0" w:color="1B556B" w:themeColor="text2"/>
            </w:tcBorders>
            <w:shd w:val="clear" w:color="000000" w:fill="FFFFFF"/>
            <w:noWrap/>
            <w:hideMark/>
          </w:tcPr>
          <w:p w14:paraId="4A5BF9D6" w14:textId="77777777" w:rsidR="008E2ED2" w:rsidRPr="0018386D" w:rsidRDefault="008E2ED2" w:rsidP="00DD3106">
            <w:pPr>
              <w:pStyle w:val="TableText"/>
              <w:spacing w:before="40" w:after="40"/>
              <w:rPr>
                <w:lang w:bidi="th-TH"/>
              </w:rPr>
            </w:pPr>
            <w:r w:rsidRPr="0018386D">
              <w:rPr>
                <w:lang w:bidi="th-TH"/>
              </w:rPr>
              <w:t>2011</w:t>
            </w:r>
          </w:p>
        </w:tc>
        <w:tc>
          <w:tcPr>
            <w:tcW w:w="678" w:type="dxa"/>
            <w:tcBorders>
              <w:bottom w:val="single" w:sz="2" w:space="0" w:color="1B556B" w:themeColor="text2"/>
            </w:tcBorders>
            <w:shd w:val="clear" w:color="000000" w:fill="FFFFFF"/>
            <w:noWrap/>
            <w:hideMark/>
          </w:tcPr>
          <w:p w14:paraId="458C5F75" w14:textId="77777777" w:rsidR="008E2ED2" w:rsidRPr="0018386D" w:rsidRDefault="008E2ED2" w:rsidP="00DD3106">
            <w:pPr>
              <w:pStyle w:val="TableText"/>
              <w:spacing w:before="40" w:after="40"/>
              <w:rPr>
                <w:lang w:bidi="th-TH"/>
              </w:rPr>
            </w:pPr>
            <w:r w:rsidRPr="0018386D">
              <w:rPr>
                <w:lang w:bidi="th-TH"/>
              </w:rPr>
              <w:t>kWh</w:t>
            </w:r>
          </w:p>
        </w:tc>
        <w:tc>
          <w:tcPr>
            <w:tcW w:w="1275" w:type="dxa"/>
            <w:tcBorders>
              <w:bottom w:val="single" w:sz="2" w:space="0" w:color="1B556B" w:themeColor="text2"/>
            </w:tcBorders>
            <w:shd w:val="clear" w:color="000000" w:fill="D2DDE1"/>
            <w:noWrap/>
            <w:hideMark/>
          </w:tcPr>
          <w:p w14:paraId="3536E7BE" w14:textId="0E5163F5" w:rsidR="008E2ED2" w:rsidRPr="0018386D" w:rsidRDefault="008E2ED2" w:rsidP="00DD3106">
            <w:pPr>
              <w:pStyle w:val="TableText"/>
              <w:spacing w:before="40" w:after="40"/>
              <w:rPr>
                <w:lang w:bidi="th-TH"/>
              </w:rPr>
            </w:pPr>
            <w:r w:rsidRPr="0018386D">
              <w:rPr>
                <w:lang w:bidi="th-TH"/>
              </w:rPr>
              <w:t>0.135</w:t>
            </w:r>
          </w:p>
        </w:tc>
        <w:tc>
          <w:tcPr>
            <w:tcW w:w="1134" w:type="dxa"/>
            <w:tcBorders>
              <w:bottom w:val="single" w:sz="2" w:space="0" w:color="1B556B" w:themeColor="text2"/>
            </w:tcBorders>
            <w:shd w:val="clear" w:color="000000" w:fill="FFFFFF"/>
            <w:noWrap/>
            <w:hideMark/>
          </w:tcPr>
          <w:p w14:paraId="16652E81" w14:textId="77777777" w:rsidR="008E2ED2" w:rsidRPr="0018386D" w:rsidRDefault="008E2ED2" w:rsidP="00DD3106">
            <w:pPr>
              <w:pStyle w:val="TableText"/>
              <w:spacing w:before="40" w:after="40"/>
              <w:rPr>
                <w:lang w:bidi="th-TH"/>
              </w:rPr>
            </w:pPr>
            <w:r w:rsidRPr="0018386D">
              <w:rPr>
                <w:lang w:bidi="th-TH"/>
              </w:rPr>
              <w:t>0.131</w:t>
            </w:r>
          </w:p>
        </w:tc>
        <w:tc>
          <w:tcPr>
            <w:tcW w:w="1985" w:type="dxa"/>
            <w:tcBorders>
              <w:bottom w:val="single" w:sz="2" w:space="0" w:color="1B556B" w:themeColor="text2"/>
            </w:tcBorders>
            <w:shd w:val="clear" w:color="000000" w:fill="FFFFFF"/>
            <w:noWrap/>
            <w:hideMark/>
          </w:tcPr>
          <w:p w14:paraId="42B5D378" w14:textId="04702A7A" w:rsidR="008E2ED2" w:rsidRPr="0018386D" w:rsidRDefault="008E2ED2" w:rsidP="00DD3106">
            <w:pPr>
              <w:pStyle w:val="TableText"/>
              <w:spacing w:before="40" w:after="40"/>
              <w:rPr>
                <w:lang w:bidi="th-TH"/>
              </w:rPr>
            </w:pPr>
            <w:r w:rsidRPr="0018386D">
              <w:rPr>
                <w:lang w:bidi="th-TH"/>
              </w:rPr>
              <w:t>0.00366</w:t>
            </w:r>
          </w:p>
        </w:tc>
        <w:tc>
          <w:tcPr>
            <w:tcW w:w="1984" w:type="dxa"/>
            <w:tcBorders>
              <w:bottom w:val="single" w:sz="2" w:space="0" w:color="1B556B" w:themeColor="text2"/>
            </w:tcBorders>
            <w:shd w:val="clear" w:color="000000" w:fill="FFFFFF"/>
            <w:noWrap/>
            <w:hideMark/>
          </w:tcPr>
          <w:p w14:paraId="547E7CCE" w14:textId="77777777" w:rsidR="008E2ED2" w:rsidRPr="0018386D" w:rsidRDefault="008E2ED2" w:rsidP="00DD3106">
            <w:pPr>
              <w:pStyle w:val="TableText"/>
              <w:spacing w:before="40" w:after="40"/>
              <w:rPr>
                <w:lang w:bidi="th-TH"/>
              </w:rPr>
            </w:pPr>
            <w:r w:rsidRPr="0018386D">
              <w:rPr>
                <w:lang w:bidi="th-TH"/>
              </w:rPr>
              <w:t>0.0002</w:t>
            </w:r>
          </w:p>
        </w:tc>
      </w:tr>
      <w:tr w:rsidR="003B2A9F" w:rsidRPr="0018386D" w14:paraId="4C5E8337" w14:textId="77777777" w:rsidTr="00AF4389">
        <w:trPr>
          <w:divId w:val="831526724"/>
        </w:trPr>
        <w:tc>
          <w:tcPr>
            <w:tcW w:w="1449" w:type="dxa"/>
            <w:tcBorders>
              <w:top w:val="single" w:sz="2" w:space="0" w:color="1B556B" w:themeColor="text2"/>
            </w:tcBorders>
            <w:shd w:val="clear" w:color="auto" w:fill="auto"/>
            <w:noWrap/>
          </w:tcPr>
          <w:p w14:paraId="75408EF1" w14:textId="4A62B05C" w:rsidR="003B2A9F" w:rsidRPr="0018386D" w:rsidRDefault="00AD319A" w:rsidP="00DD3106">
            <w:pPr>
              <w:pStyle w:val="TableText"/>
              <w:spacing w:before="40" w:after="40"/>
              <w:rPr>
                <w:lang w:bidi="th-TH"/>
              </w:rPr>
            </w:pPr>
            <w:r w:rsidRPr="0018386D">
              <w:rPr>
                <w:lang w:bidi="th-TH"/>
              </w:rPr>
              <w:t>2010</w:t>
            </w:r>
          </w:p>
        </w:tc>
        <w:tc>
          <w:tcPr>
            <w:tcW w:w="678" w:type="dxa"/>
            <w:tcBorders>
              <w:top w:val="single" w:sz="2" w:space="0" w:color="1B556B" w:themeColor="text2"/>
            </w:tcBorders>
            <w:shd w:val="clear" w:color="auto" w:fill="auto"/>
            <w:noWrap/>
          </w:tcPr>
          <w:p w14:paraId="48B8A8BD" w14:textId="32752309" w:rsidR="003B2A9F" w:rsidRPr="0018386D" w:rsidRDefault="00AD319A" w:rsidP="00DD3106">
            <w:pPr>
              <w:pStyle w:val="TableText"/>
              <w:spacing w:before="40" w:after="40"/>
              <w:rPr>
                <w:lang w:bidi="th-TH"/>
              </w:rPr>
            </w:pPr>
            <w:r w:rsidRPr="0018386D">
              <w:rPr>
                <w:lang w:bidi="th-TH"/>
              </w:rPr>
              <w:t>kWh</w:t>
            </w:r>
          </w:p>
        </w:tc>
        <w:tc>
          <w:tcPr>
            <w:tcW w:w="1275" w:type="dxa"/>
            <w:tcBorders>
              <w:top w:val="single" w:sz="2" w:space="0" w:color="1B556B" w:themeColor="text2"/>
            </w:tcBorders>
            <w:shd w:val="clear" w:color="000000" w:fill="D2DDE1"/>
            <w:noWrap/>
          </w:tcPr>
          <w:p w14:paraId="6F2E37CB" w14:textId="56088B5E" w:rsidR="003B2A9F" w:rsidRPr="0018386D" w:rsidRDefault="001C09F7" w:rsidP="00DD3106">
            <w:pPr>
              <w:pStyle w:val="TableText"/>
              <w:spacing w:before="40" w:after="40"/>
              <w:rPr>
                <w:lang w:bidi="th-TH"/>
              </w:rPr>
            </w:pPr>
            <w:r w:rsidRPr="0018386D">
              <w:rPr>
                <w:lang w:bidi="th-TH"/>
              </w:rPr>
              <w:t>0.1457</w:t>
            </w:r>
          </w:p>
        </w:tc>
        <w:tc>
          <w:tcPr>
            <w:tcW w:w="1134" w:type="dxa"/>
            <w:tcBorders>
              <w:top w:val="single" w:sz="2" w:space="0" w:color="1B556B" w:themeColor="text2"/>
            </w:tcBorders>
            <w:shd w:val="clear" w:color="000000" w:fill="FFFFFF"/>
            <w:noWrap/>
          </w:tcPr>
          <w:p w14:paraId="5B1F5E7B" w14:textId="39CCF603" w:rsidR="003B2A9F" w:rsidRPr="0018386D" w:rsidRDefault="001C09F7" w:rsidP="00DD3106">
            <w:pPr>
              <w:pStyle w:val="TableText"/>
              <w:spacing w:before="40" w:after="40"/>
              <w:rPr>
                <w:lang w:bidi="th-TH"/>
              </w:rPr>
            </w:pPr>
            <w:r w:rsidRPr="0018386D">
              <w:rPr>
                <w:lang w:bidi="th-TH"/>
              </w:rPr>
              <w:t>0.142</w:t>
            </w:r>
          </w:p>
        </w:tc>
        <w:tc>
          <w:tcPr>
            <w:tcW w:w="1985" w:type="dxa"/>
            <w:tcBorders>
              <w:top w:val="single" w:sz="2" w:space="0" w:color="1B556B" w:themeColor="text2"/>
            </w:tcBorders>
            <w:shd w:val="clear" w:color="000000" w:fill="FFFFFF"/>
            <w:noWrap/>
          </w:tcPr>
          <w:p w14:paraId="5D7878B6" w14:textId="6E2CF97C" w:rsidR="003B2A9F" w:rsidRPr="0018386D" w:rsidRDefault="001C09F7" w:rsidP="00DD3106">
            <w:pPr>
              <w:pStyle w:val="TableText"/>
              <w:spacing w:before="40" w:after="40"/>
              <w:rPr>
                <w:lang w:bidi="th-TH"/>
              </w:rPr>
            </w:pPr>
            <w:r w:rsidRPr="0018386D">
              <w:rPr>
                <w:lang w:bidi="th-TH"/>
              </w:rPr>
              <w:t>0.0036</w:t>
            </w:r>
          </w:p>
        </w:tc>
        <w:tc>
          <w:tcPr>
            <w:tcW w:w="1984" w:type="dxa"/>
            <w:tcBorders>
              <w:top w:val="single" w:sz="2" w:space="0" w:color="1B556B" w:themeColor="text2"/>
            </w:tcBorders>
            <w:shd w:val="clear" w:color="000000" w:fill="FFFFFF"/>
            <w:noWrap/>
          </w:tcPr>
          <w:p w14:paraId="71BBCAC3" w14:textId="3D7E15DA" w:rsidR="003B2A9F" w:rsidRPr="0018386D" w:rsidRDefault="001C09F7" w:rsidP="00DD3106">
            <w:pPr>
              <w:pStyle w:val="TableText"/>
              <w:spacing w:before="40" w:after="40"/>
              <w:rPr>
                <w:lang w:bidi="th-TH"/>
              </w:rPr>
            </w:pPr>
            <w:r w:rsidRPr="0018386D">
              <w:rPr>
                <w:lang w:bidi="th-TH"/>
              </w:rPr>
              <w:t>0.00016</w:t>
            </w:r>
          </w:p>
        </w:tc>
      </w:tr>
    </w:tbl>
    <w:p w14:paraId="27A0709E" w14:textId="3F382838" w:rsidR="00D1128D" w:rsidRPr="0018386D" w:rsidRDefault="00D1128D" w:rsidP="00DD3106">
      <w:pPr>
        <w:pStyle w:val="Note"/>
      </w:pPr>
      <w:r w:rsidRPr="0018386D">
        <w:rPr>
          <w:b/>
          <w:bCs/>
        </w:rPr>
        <w:t>Note</w:t>
      </w:r>
      <w:r w:rsidR="00CD2B39" w:rsidRPr="0018386D">
        <w:rPr>
          <w:b/>
          <w:bCs/>
        </w:rPr>
        <w:t>:</w:t>
      </w:r>
      <w:r w:rsidR="00CD2B39" w:rsidRPr="0018386D">
        <w:t xml:space="preserve"> T</w:t>
      </w:r>
      <w:r w:rsidRPr="0018386D">
        <w:t xml:space="preserve">hese numbers are rounded to </w:t>
      </w:r>
      <w:r w:rsidR="0426DB8F" w:rsidRPr="0018386D">
        <w:t>three decimal places</w:t>
      </w:r>
      <w:r w:rsidR="0004171F" w:rsidRPr="0018386D">
        <w:t xml:space="preserve"> unless the number is significantly small</w:t>
      </w:r>
      <w:r w:rsidR="0426DB8F" w:rsidRPr="0018386D">
        <w:t>.</w:t>
      </w:r>
      <w:r w:rsidR="004C3308" w:rsidRPr="0018386D">
        <w:t xml:space="preserve"> </w:t>
      </w:r>
    </w:p>
    <w:p w14:paraId="453D8145" w14:textId="024AEB68" w:rsidR="006C5C98" w:rsidRPr="0018386D" w:rsidRDefault="006C5C98" w:rsidP="00DD3106">
      <w:pPr>
        <w:pStyle w:val="BodyText"/>
      </w:pPr>
      <w:r w:rsidRPr="0018386D">
        <w:t>The emission factors for the calendar quarters</w:t>
      </w:r>
      <w:r w:rsidR="00DC2715" w:rsidRPr="0018386D">
        <w:t xml:space="preserve"> (quarter end)</w:t>
      </w:r>
      <w:r w:rsidRPr="0018386D">
        <w:t xml:space="preserve"> for </w:t>
      </w:r>
      <w:r w:rsidR="008A4D0B" w:rsidRPr="0018386D">
        <w:t xml:space="preserve">2020 </w:t>
      </w:r>
      <w:r w:rsidR="007A670B" w:rsidRPr="0018386D">
        <w:t>–</w:t>
      </w:r>
      <w:r w:rsidR="00DA3C02" w:rsidRPr="0018386D">
        <w:t xml:space="preserve"> </w:t>
      </w:r>
      <w:r w:rsidRPr="0018386D">
        <w:t>202</w:t>
      </w:r>
      <w:r w:rsidR="0043094D" w:rsidRPr="0018386D">
        <w:t>2</w:t>
      </w:r>
      <w:r w:rsidRPr="0018386D">
        <w:t xml:space="preserve"> purchased electricity from the New Zealand grid </w:t>
      </w:r>
      <w:r w:rsidR="00317EF1" w:rsidRPr="0018386D">
        <w:t>are</w:t>
      </w:r>
      <w:r w:rsidRPr="0018386D">
        <w:t xml:space="preserve"> in </w:t>
      </w:r>
      <w:hyperlink w:anchor="table10" w:history="1">
        <w:r w:rsidRPr="0018386D">
          <w:rPr>
            <w:rStyle w:val="Hyperlink"/>
          </w:rPr>
          <w:t xml:space="preserve">table </w:t>
        </w:r>
        <w:r w:rsidR="00317EF1" w:rsidRPr="0018386D">
          <w:rPr>
            <w:rStyle w:val="Hyperlink"/>
          </w:rPr>
          <w:t>10</w:t>
        </w:r>
      </w:hyperlink>
      <w:r w:rsidRPr="0018386D">
        <w:t>.</w:t>
      </w:r>
    </w:p>
    <w:p w14:paraId="43EB22CE" w14:textId="0FB9DFE8" w:rsidR="008E2ED2" w:rsidRPr="0018386D" w:rsidRDefault="00CC464E" w:rsidP="00DD3106">
      <w:pPr>
        <w:pStyle w:val="Tableheading"/>
        <w:rPr>
          <w:rFonts w:asciiTheme="minorHAnsi" w:hAnsiTheme="minorHAnsi"/>
        </w:rPr>
      </w:pPr>
      <w:bookmarkStart w:id="288" w:name="table10"/>
      <w:bookmarkStart w:id="289" w:name="_Toc111536615"/>
      <w:bookmarkStart w:id="290" w:name="_Toc140048950"/>
      <w:r w:rsidRPr="0018386D">
        <w:t xml:space="preserve">Table </w:t>
      </w:r>
      <w:r w:rsidRPr="0018386D">
        <w:fldChar w:fldCharType="begin"/>
      </w:r>
      <w:r w:rsidRPr="0018386D">
        <w:instrText>SEQ Table \* ARABIC</w:instrText>
      </w:r>
      <w:r w:rsidRPr="0018386D">
        <w:fldChar w:fldCharType="separate"/>
      </w:r>
      <w:r w:rsidR="003E141C" w:rsidRPr="0018386D">
        <w:t>10</w:t>
      </w:r>
      <w:r w:rsidRPr="0018386D">
        <w:fldChar w:fldCharType="end"/>
      </w:r>
      <w:bookmarkEnd w:id="288"/>
      <w:r w:rsidRPr="0018386D">
        <w:t>:</w:t>
      </w:r>
      <w:r w:rsidRPr="0018386D">
        <w:tab/>
        <w:t xml:space="preserve">Emission factor for purchased grid-average electricity </w:t>
      </w:r>
      <w:r w:rsidR="00F114FB" w:rsidRPr="0018386D">
        <w:t>–</w:t>
      </w:r>
      <w:r w:rsidRPr="0018386D">
        <w:t xml:space="preserve"> </w:t>
      </w:r>
      <w:r w:rsidR="00F114FB" w:rsidRPr="0018386D">
        <w:t xml:space="preserve">calendar </w:t>
      </w:r>
      <w:proofErr w:type="gramStart"/>
      <w:r w:rsidR="00F114FB" w:rsidRPr="0018386D">
        <w:t>quarters</w:t>
      </w:r>
      <w:bookmarkStart w:id="291" w:name="_1747051249"/>
      <w:bookmarkEnd w:id="289"/>
      <w:bookmarkEnd w:id="290"/>
      <w:bookmarkEnd w:id="291"/>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right w:w="85" w:type="dxa"/>
        </w:tblCellMar>
        <w:tblLook w:val="04A0" w:firstRow="1" w:lastRow="0" w:firstColumn="1" w:lastColumn="0" w:noHBand="0" w:noVBand="1"/>
      </w:tblPr>
      <w:tblGrid>
        <w:gridCol w:w="1418"/>
        <w:gridCol w:w="567"/>
        <w:gridCol w:w="1276"/>
        <w:gridCol w:w="1134"/>
        <w:gridCol w:w="1984"/>
        <w:gridCol w:w="2126"/>
      </w:tblGrid>
      <w:tr w:rsidR="0027669B" w:rsidRPr="0018386D" w14:paraId="0610A707" w14:textId="77777777" w:rsidTr="00A15EFF">
        <w:trPr>
          <w:divId w:val="1166170418"/>
          <w:tblHeader/>
        </w:trPr>
        <w:tc>
          <w:tcPr>
            <w:tcW w:w="1418" w:type="dxa"/>
            <w:shd w:val="clear" w:color="000000" w:fill="1B556B" w:themeFill="text2"/>
            <w:noWrap/>
            <w:vAlign w:val="bottom"/>
            <w:hideMark/>
          </w:tcPr>
          <w:p w14:paraId="7443D8B8" w14:textId="52348550" w:rsidR="008E2ED2" w:rsidRPr="0018386D" w:rsidRDefault="008E2ED2" w:rsidP="00DD3106">
            <w:pPr>
              <w:pStyle w:val="TableTextbold"/>
              <w:keepNext/>
              <w:spacing w:before="40" w:after="40"/>
              <w:rPr>
                <w:rFonts w:cs="Calibri"/>
                <w:color w:val="FFFFFF" w:themeColor="background1"/>
                <w:szCs w:val="18"/>
              </w:rPr>
            </w:pPr>
            <w:r w:rsidRPr="0018386D">
              <w:rPr>
                <w:rFonts w:cs="Calibri"/>
                <w:color w:val="FFFFFF" w:themeColor="background1"/>
                <w:szCs w:val="18"/>
              </w:rPr>
              <w:t>Emission source</w:t>
            </w:r>
          </w:p>
        </w:tc>
        <w:tc>
          <w:tcPr>
            <w:tcW w:w="567" w:type="dxa"/>
            <w:tcBorders>
              <w:bottom w:val="single" w:sz="4" w:space="0" w:color="1B556B" w:themeColor="text2"/>
            </w:tcBorders>
            <w:shd w:val="clear" w:color="000000" w:fill="1B556B" w:themeFill="text2"/>
            <w:noWrap/>
            <w:vAlign w:val="bottom"/>
            <w:hideMark/>
          </w:tcPr>
          <w:p w14:paraId="69DDEF9F" w14:textId="77777777" w:rsidR="008E2ED2" w:rsidRPr="0018386D" w:rsidRDefault="008E2ED2" w:rsidP="00DD3106">
            <w:pPr>
              <w:pStyle w:val="TableTextbold"/>
              <w:keepNext/>
              <w:spacing w:before="40" w:after="40"/>
              <w:rPr>
                <w:rFonts w:cs="Calibri"/>
                <w:color w:val="FFFFFF" w:themeColor="background1"/>
                <w:szCs w:val="18"/>
              </w:rPr>
            </w:pPr>
            <w:r w:rsidRPr="0018386D">
              <w:rPr>
                <w:rFonts w:cs="Calibri"/>
                <w:color w:val="FFFFFF" w:themeColor="background1"/>
                <w:szCs w:val="18"/>
              </w:rPr>
              <w:t>Unit</w:t>
            </w:r>
          </w:p>
        </w:tc>
        <w:tc>
          <w:tcPr>
            <w:tcW w:w="1276" w:type="dxa"/>
            <w:tcBorders>
              <w:bottom w:val="single" w:sz="4" w:space="0" w:color="1B556B" w:themeColor="text2"/>
            </w:tcBorders>
            <w:shd w:val="clear" w:color="000000" w:fill="1B556B" w:themeFill="text2"/>
            <w:noWrap/>
            <w:vAlign w:val="bottom"/>
            <w:hideMark/>
          </w:tcPr>
          <w:p w14:paraId="023E8C72" w14:textId="231F3DBB" w:rsidR="008E2ED2" w:rsidRPr="0018386D" w:rsidRDefault="008E2ED2" w:rsidP="00DD3106">
            <w:pPr>
              <w:pStyle w:val="TableTextbold"/>
              <w:keepNext/>
              <w:spacing w:before="40" w:after="40"/>
              <w:rPr>
                <w:rFonts w:cs="Calibri"/>
                <w:color w:val="FFFFFF" w:themeColor="background1"/>
                <w:szCs w:val="18"/>
              </w:rPr>
            </w:pPr>
            <w:r w:rsidRPr="0018386D">
              <w:rPr>
                <w:rFonts w:cs="Calibri"/>
                <w:color w:val="FFFFFF" w:themeColor="background1"/>
                <w:szCs w:val="18"/>
              </w:rPr>
              <w:t>kg CO₂-e/unit</w:t>
            </w:r>
          </w:p>
        </w:tc>
        <w:tc>
          <w:tcPr>
            <w:tcW w:w="1134" w:type="dxa"/>
            <w:tcBorders>
              <w:bottom w:val="single" w:sz="4" w:space="0" w:color="1B556B" w:themeColor="text2"/>
            </w:tcBorders>
            <w:shd w:val="clear" w:color="000000" w:fill="1B556B" w:themeFill="text2"/>
            <w:noWrap/>
            <w:vAlign w:val="bottom"/>
            <w:hideMark/>
          </w:tcPr>
          <w:p w14:paraId="349E912F" w14:textId="0FD3348F" w:rsidR="008E2ED2" w:rsidRPr="0018386D" w:rsidRDefault="008E2ED2" w:rsidP="00DD3106">
            <w:pPr>
              <w:pStyle w:val="TableTextbold"/>
              <w:keepNext/>
              <w:spacing w:before="40" w:after="40"/>
              <w:rPr>
                <w:rFonts w:cs="Calibri"/>
                <w:color w:val="FFFFFF" w:themeColor="background1"/>
                <w:szCs w:val="18"/>
              </w:rPr>
            </w:pPr>
            <w:r w:rsidRPr="0018386D">
              <w:rPr>
                <w:rFonts w:cs="Calibri"/>
                <w:color w:val="FFFFFF" w:themeColor="background1"/>
                <w:szCs w:val="18"/>
              </w:rPr>
              <w:t>kg CO₂/unit</w:t>
            </w:r>
          </w:p>
        </w:tc>
        <w:tc>
          <w:tcPr>
            <w:tcW w:w="1984" w:type="dxa"/>
            <w:tcBorders>
              <w:bottom w:val="single" w:sz="4" w:space="0" w:color="1B556B" w:themeColor="text2"/>
            </w:tcBorders>
            <w:shd w:val="clear" w:color="000000" w:fill="1B556B" w:themeFill="text2"/>
            <w:noWrap/>
            <w:vAlign w:val="bottom"/>
            <w:hideMark/>
          </w:tcPr>
          <w:p w14:paraId="42349284" w14:textId="48252A4F" w:rsidR="008E2ED2" w:rsidRPr="0018386D" w:rsidRDefault="008E2ED2" w:rsidP="00DD3106">
            <w:pPr>
              <w:pStyle w:val="TableTextbold"/>
              <w:keepNext/>
              <w:spacing w:before="40" w:after="40"/>
              <w:rPr>
                <w:rFonts w:cs="Calibri"/>
                <w:color w:val="FFFFFF" w:themeColor="background1"/>
                <w:szCs w:val="18"/>
              </w:rPr>
            </w:pPr>
            <w:r w:rsidRPr="0018386D">
              <w:rPr>
                <w:rFonts w:cs="Calibri"/>
                <w:color w:val="FFFFFF" w:themeColor="background1"/>
                <w:szCs w:val="18"/>
              </w:rPr>
              <w:t>kg CH₄/unit (kg CO₂-e)</w:t>
            </w:r>
          </w:p>
        </w:tc>
        <w:tc>
          <w:tcPr>
            <w:tcW w:w="2126" w:type="dxa"/>
            <w:shd w:val="clear" w:color="000000" w:fill="1B556B" w:themeFill="text2"/>
            <w:noWrap/>
            <w:vAlign w:val="bottom"/>
            <w:hideMark/>
          </w:tcPr>
          <w:p w14:paraId="75E5A5A5" w14:textId="20CAEE97" w:rsidR="008E2ED2" w:rsidRPr="0018386D" w:rsidRDefault="004E5A50" w:rsidP="00DD3106">
            <w:pPr>
              <w:pStyle w:val="TableTextbold"/>
              <w:keepNext/>
              <w:spacing w:before="40" w:after="40"/>
              <w:rPr>
                <w:rFonts w:cs="Calibri"/>
                <w:color w:val="FFFFFF" w:themeColor="background1"/>
                <w:szCs w:val="18"/>
              </w:rPr>
            </w:pPr>
            <w:r w:rsidRPr="0018386D">
              <w:rPr>
                <w:rFonts w:cs="Calibri"/>
                <w:color w:val="FFFFFF" w:themeColor="background1"/>
                <w:szCs w:val="18"/>
              </w:rPr>
              <w:t>k</w:t>
            </w:r>
            <w:r w:rsidR="00B75A3E" w:rsidRPr="0018386D">
              <w:rPr>
                <w:rFonts w:cs="Calibri"/>
                <w:color w:val="FFFFFF" w:themeColor="background1"/>
                <w:szCs w:val="18"/>
              </w:rPr>
              <w:t>g N</w:t>
            </w:r>
            <w:r w:rsidR="00B75A3E" w:rsidRPr="0018386D">
              <w:rPr>
                <w:rFonts w:cs="Calibri"/>
                <w:color w:val="FFFFFF" w:themeColor="background1"/>
                <w:szCs w:val="18"/>
                <w:vertAlign w:val="subscript"/>
              </w:rPr>
              <w:t>2</w:t>
            </w:r>
            <w:r w:rsidR="00B75A3E" w:rsidRPr="0018386D">
              <w:rPr>
                <w:rFonts w:cs="Calibri"/>
                <w:color w:val="FFFFFF" w:themeColor="background1"/>
                <w:szCs w:val="18"/>
              </w:rPr>
              <w:t>O</w:t>
            </w:r>
            <w:r w:rsidRPr="0018386D">
              <w:rPr>
                <w:rFonts w:cs="Calibri"/>
                <w:color w:val="FFFFFF" w:themeColor="background1"/>
                <w:szCs w:val="18"/>
              </w:rPr>
              <w:t xml:space="preserve">/unit </w:t>
            </w:r>
            <w:r w:rsidR="008E2ED2" w:rsidRPr="0018386D">
              <w:rPr>
                <w:rFonts w:cs="Calibri"/>
                <w:color w:val="FFFFFF" w:themeColor="background1"/>
                <w:szCs w:val="18"/>
              </w:rPr>
              <w:t>(kg CO₂-e)</w:t>
            </w:r>
          </w:p>
        </w:tc>
      </w:tr>
      <w:tr w:rsidR="00036DAE" w:rsidRPr="0018386D" w14:paraId="5D407BAB" w14:textId="77777777" w:rsidTr="00A15EFF">
        <w:trPr>
          <w:divId w:val="1166170418"/>
          <w:tblHeader/>
        </w:trPr>
        <w:tc>
          <w:tcPr>
            <w:tcW w:w="1418" w:type="dxa"/>
            <w:tcBorders>
              <w:right w:val="nil"/>
            </w:tcBorders>
            <w:shd w:val="clear" w:color="000000" w:fill="D2DDE1"/>
            <w:noWrap/>
            <w:hideMark/>
          </w:tcPr>
          <w:p w14:paraId="47E4633A" w14:textId="77777777" w:rsidR="008E2ED2" w:rsidRPr="0018386D" w:rsidRDefault="008E2ED2" w:rsidP="00DD3106">
            <w:pPr>
              <w:pStyle w:val="TableTextbold"/>
              <w:keepNext/>
              <w:spacing w:before="40" w:after="40"/>
              <w:rPr>
                <w:rFonts w:cs="Calibri"/>
                <w:szCs w:val="18"/>
              </w:rPr>
            </w:pPr>
            <w:r w:rsidRPr="0018386D">
              <w:rPr>
                <w:rFonts w:cs="Calibri"/>
                <w:szCs w:val="18"/>
              </w:rPr>
              <w:t>Electricity used</w:t>
            </w:r>
          </w:p>
        </w:tc>
        <w:tc>
          <w:tcPr>
            <w:tcW w:w="567" w:type="dxa"/>
            <w:tcBorders>
              <w:left w:val="nil"/>
              <w:right w:val="nil"/>
            </w:tcBorders>
            <w:shd w:val="clear" w:color="000000" w:fill="D2DDE1"/>
            <w:noWrap/>
            <w:hideMark/>
          </w:tcPr>
          <w:p w14:paraId="1FBF7DF1" w14:textId="7359C5E3" w:rsidR="008E2ED2" w:rsidRPr="0018386D" w:rsidRDefault="008E2ED2" w:rsidP="00DD3106">
            <w:pPr>
              <w:pStyle w:val="TableTextbold"/>
              <w:keepNext/>
              <w:spacing w:before="40" w:after="40"/>
              <w:rPr>
                <w:rFonts w:cs="Calibri"/>
                <w:szCs w:val="18"/>
              </w:rPr>
            </w:pPr>
          </w:p>
        </w:tc>
        <w:tc>
          <w:tcPr>
            <w:tcW w:w="1276" w:type="dxa"/>
            <w:tcBorders>
              <w:left w:val="nil"/>
              <w:right w:val="nil"/>
            </w:tcBorders>
            <w:shd w:val="clear" w:color="000000" w:fill="D2DDE1"/>
            <w:noWrap/>
            <w:hideMark/>
          </w:tcPr>
          <w:p w14:paraId="104F402D" w14:textId="560986FB" w:rsidR="008E2ED2" w:rsidRPr="0018386D" w:rsidRDefault="008E2ED2" w:rsidP="00DD3106">
            <w:pPr>
              <w:pStyle w:val="TableTextbold"/>
              <w:keepNext/>
              <w:spacing w:before="40" w:after="40"/>
              <w:rPr>
                <w:rFonts w:cs="Calibri"/>
                <w:szCs w:val="18"/>
              </w:rPr>
            </w:pPr>
          </w:p>
        </w:tc>
        <w:tc>
          <w:tcPr>
            <w:tcW w:w="1134" w:type="dxa"/>
            <w:tcBorders>
              <w:left w:val="nil"/>
              <w:right w:val="nil"/>
            </w:tcBorders>
            <w:shd w:val="clear" w:color="000000" w:fill="D2DDE1"/>
            <w:noWrap/>
            <w:hideMark/>
          </w:tcPr>
          <w:p w14:paraId="4B5DA59C" w14:textId="146F8DFD" w:rsidR="008E2ED2" w:rsidRPr="0018386D" w:rsidRDefault="008E2ED2" w:rsidP="00DD3106">
            <w:pPr>
              <w:pStyle w:val="TableTextbold"/>
              <w:keepNext/>
              <w:spacing w:before="40" w:after="40"/>
              <w:rPr>
                <w:rFonts w:cs="Calibri"/>
                <w:szCs w:val="18"/>
              </w:rPr>
            </w:pPr>
          </w:p>
        </w:tc>
        <w:tc>
          <w:tcPr>
            <w:tcW w:w="1984" w:type="dxa"/>
            <w:tcBorders>
              <w:left w:val="nil"/>
              <w:right w:val="nil"/>
            </w:tcBorders>
            <w:shd w:val="clear" w:color="000000" w:fill="D2DDE1"/>
            <w:noWrap/>
            <w:hideMark/>
          </w:tcPr>
          <w:p w14:paraId="62A73267" w14:textId="0D441746" w:rsidR="008E2ED2" w:rsidRPr="0018386D" w:rsidRDefault="008E2ED2" w:rsidP="00DD3106">
            <w:pPr>
              <w:pStyle w:val="TableTextbold"/>
              <w:keepNext/>
              <w:spacing w:before="40" w:after="40"/>
              <w:rPr>
                <w:rFonts w:cs="Calibri"/>
                <w:szCs w:val="18"/>
              </w:rPr>
            </w:pPr>
          </w:p>
        </w:tc>
        <w:tc>
          <w:tcPr>
            <w:tcW w:w="2126" w:type="dxa"/>
            <w:tcBorders>
              <w:left w:val="nil"/>
            </w:tcBorders>
            <w:shd w:val="clear" w:color="000000" w:fill="D2DDE1"/>
            <w:noWrap/>
            <w:hideMark/>
          </w:tcPr>
          <w:p w14:paraId="4345865D" w14:textId="468C2C37" w:rsidR="008E2ED2" w:rsidRPr="0018386D" w:rsidRDefault="008E2ED2" w:rsidP="00DD3106">
            <w:pPr>
              <w:pStyle w:val="TableTextbold"/>
              <w:keepNext/>
              <w:spacing w:before="40" w:after="40"/>
              <w:rPr>
                <w:rFonts w:cs="Calibri"/>
                <w:szCs w:val="18"/>
              </w:rPr>
            </w:pPr>
          </w:p>
        </w:tc>
      </w:tr>
      <w:tr w:rsidR="00FB1B1C" w:rsidRPr="0018386D" w14:paraId="2A72D761" w14:textId="77777777" w:rsidTr="00A15EFF">
        <w:trPr>
          <w:divId w:val="1166170418"/>
        </w:trPr>
        <w:tc>
          <w:tcPr>
            <w:tcW w:w="1418" w:type="dxa"/>
            <w:shd w:val="clear" w:color="000000" w:fill="FFFFFF"/>
            <w:noWrap/>
            <w:hideMark/>
          </w:tcPr>
          <w:p w14:paraId="0DD53FD1" w14:textId="2A376556" w:rsidR="008E2ED2" w:rsidRPr="0018386D" w:rsidRDefault="008E2ED2" w:rsidP="00DD3106">
            <w:pPr>
              <w:pStyle w:val="TableText"/>
              <w:keepNext/>
              <w:spacing w:before="40" w:after="40"/>
              <w:rPr>
                <w:rFonts w:cs="Calibri"/>
                <w:szCs w:val="18"/>
              </w:rPr>
            </w:pPr>
            <w:r w:rsidRPr="0018386D">
              <w:rPr>
                <w:rFonts w:cs="Calibri"/>
                <w:szCs w:val="18"/>
              </w:rPr>
              <w:t>Dec</w:t>
            </w:r>
            <w:r w:rsidR="0033288A" w:rsidRPr="0018386D">
              <w:rPr>
                <w:rFonts w:cs="Calibri"/>
                <w:szCs w:val="18"/>
              </w:rPr>
              <w:t xml:space="preserve"> </w:t>
            </w:r>
            <w:r w:rsidRPr="0018386D">
              <w:rPr>
                <w:rFonts w:cs="Calibri"/>
                <w:szCs w:val="18"/>
              </w:rPr>
              <w:t>2022</w:t>
            </w:r>
          </w:p>
        </w:tc>
        <w:tc>
          <w:tcPr>
            <w:tcW w:w="567" w:type="dxa"/>
            <w:shd w:val="clear" w:color="000000" w:fill="FFFFFF"/>
            <w:noWrap/>
            <w:hideMark/>
          </w:tcPr>
          <w:p w14:paraId="48FDEF98" w14:textId="77777777" w:rsidR="008E2ED2" w:rsidRPr="0018386D" w:rsidRDefault="008E2ED2" w:rsidP="00DD3106">
            <w:pPr>
              <w:pStyle w:val="TableText"/>
              <w:keepNext/>
              <w:spacing w:before="40" w:after="40"/>
              <w:rPr>
                <w:rFonts w:cs="Calibri"/>
                <w:szCs w:val="18"/>
              </w:rPr>
            </w:pPr>
            <w:r w:rsidRPr="0018386D">
              <w:rPr>
                <w:rFonts w:cs="Calibri"/>
                <w:szCs w:val="18"/>
              </w:rPr>
              <w:t>kWh</w:t>
            </w:r>
          </w:p>
        </w:tc>
        <w:tc>
          <w:tcPr>
            <w:tcW w:w="1276" w:type="dxa"/>
            <w:shd w:val="clear" w:color="000000" w:fill="D2DDE1"/>
            <w:noWrap/>
            <w:hideMark/>
          </w:tcPr>
          <w:p w14:paraId="50DD7CAC" w14:textId="6438D77D" w:rsidR="008E2ED2" w:rsidRPr="0018386D" w:rsidRDefault="008E2ED2" w:rsidP="00DD3106">
            <w:pPr>
              <w:pStyle w:val="TableText"/>
              <w:keepNext/>
              <w:spacing w:before="40" w:after="40"/>
              <w:rPr>
                <w:rFonts w:cs="Calibri"/>
                <w:szCs w:val="18"/>
              </w:rPr>
            </w:pPr>
            <w:r w:rsidRPr="0018386D">
              <w:rPr>
                <w:rFonts w:cs="Calibri"/>
                <w:szCs w:val="18"/>
              </w:rPr>
              <w:t>0.0353</w:t>
            </w:r>
          </w:p>
        </w:tc>
        <w:tc>
          <w:tcPr>
            <w:tcW w:w="1134" w:type="dxa"/>
            <w:shd w:val="clear" w:color="000000" w:fill="FFFFFF"/>
            <w:noWrap/>
            <w:hideMark/>
          </w:tcPr>
          <w:p w14:paraId="5C04C63F" w14:textId="73AFC573" w:rsidR="008E2ED2" w:rsidRPr="0018386D" w:rsidRDefault="008E2ED2" w:rsidP="00DD3106">
            <w:pPr>
              <w:pStyle w:val="TableText"/>
              <w:keepNext/>
              <w:spacing w:before="40" w:after="40"/>
              <w:rPr>
                <w:rFonts w:cs="Calibri"/>
                <w:szCs w:val="18"/>
              </w:rPr>
            </w:pPr>
            <w:r w:rsidRPr="0018386D">
              <w:rPr>
                <w:rFonts w:cs="Calibri"/>
                <w:szCs w:val="18"/>
              </w:rPr>
              <w:t>0.0353</w:t>
            </w:r>
          </w:p>
        </w:tc>
        <w:tc>
          <w:tcPr>
            <w:tcW w:w="1984" w:type="dxa"/>
            <w:shd w:val="clear" w:color="000000" w:fill="FFFFFF"/>
            <w:noWrap/>
            <w:hideMark/>
          </w:tcPr>
          <w:p w14:paraId="3E365114" w14:textId="077C3E43" w:rsidR="008E2ED2" w:rsidRPr="0018386D" w:rsidRDefault="008E2ED2" w:rsidP="00DD3106">
            <w:pPr>
              <w:pStyle w:val="TableText"/>
              <w:keepNext/>
              <w:spacing w:before="40" w:after="40"/>
              <w:rPr>
                <w:rFonts w:cs="Calibri"/>
                <w:szCs w:val="18"/>
              </w:rPr>
            </w:pPr>
            <w:r w:rsidRPr="0018386D">
              <w:rPr>
                <w:rFonts w:cs="Calibri"/>
                <w:szCs w:val="18"/>
              </w:rPr>
              <w:t>0.00004</w:t>
            </w:r>
          </w:p>
        </w:tc>
        <w:tc>
          <w:tcPr>
            <w:tcW w:w="2126" w:type="dxa"/>
            <w:shd w:val="clear" w:color="000000" w:fill="FFFFFF"/>
            <w:noWrap/>
            <w:hideMark/>
          </w:tcPr>
          <w:p w14:paraId="44D13F36" w14:textId="2CC17244" w:rsidR="008E2ED2" w:rsidRPr="0018386D" w:rsidRDefault="008E2ED2" w:rsidP="00DD3106">
            <w:pPr>
              <w:pStyle w:val="TableText"/>
              <w:keepNext/>
              <w:spacing w:before="40" w:after="40"/>
              <w:rPr>
                <w:rFonts w:cs="Calibri"/>
                <w:szCs w:val="18"/>
              </w:rPr>
            </w:pPr>
            <w:r w:rsidRPr="0018386D">
              <w:rPr>
                <w:rFonts w:cs="Calibri"/>
                <w:szCs w:val="18"/>
              </w:rPr>
              <w:t>0.0000003</w:t>
            </w:r>
          </w:p>
        </w:tc>
      </w:tr>
      <w:tr w:rsidR="00FB1B1C" w:rsidRPr="0018386D" w14:paraId="085BE1CA" w14:textId="77777777" w:rsidTr="00A15EFF">
        <w:trPr>
          <w:divId w:val="1166170418"/>
        </w:trPr>
        <w:tc>
          <w:tcPr>
            <w:tcW w:w="1418" w:type="dxa"/>
            <w:shd w:val="clear" w:color="000000" w:fill="FFFFFF"/>
            <w:noWrap/>
            <w:hideMark/>
          </w:tcPr>
          <w:p w14:paraId="12BD7923" w14:textId="2A374F83" w:rsidR="008E2ED2" w:rsidRPr="0018386D" w:rsidRDefault="008E2ED2" w:rsidP="00DD3106">
            <w:pPr>
              <w:pStyle w:val="TableText"/>
              <w:keepNext/>
              <w:spacing w:before="40" w:after="40"/>
              <w:rPr>
                <w:rFonts w:cs="Calibri"/>
                <w:szCs w:val="18"/>
              </w:rPr>
            </w:pPr>
            <w:r w:rsidRPr="0018386D">
              <w:rPr>
                <w:rFonts w:cs="Calibri"/>
                <w:szCs w:val="18"/>
              </w:rPr>
              <w:t>Sep</w:t>
            </w:r>
            <w:r w:rsidR="0033288A" w:rsidRPr="0018386D">
              <w:rPr>
                <w:rFonts w:cs="Calibri"/>
                <w:szCs w:val="18"/>
              </w:rPr>
              <w:t xml:space="preserve"> </w:t>
            </w:r>
            <w:r w:rsidRPr="0018386D">
              <w:rPr>
                <w:rFonts w:cs="Calibri"/>
                <w:szCs w:val="18"/>
              </w:rPr>
              <w:t>2022</w:t>
            </w:r>
          </w:p>
        </w:tc>
        <w:tc>
          <w:tcPr>
            <w:tcW w:w="567" w:type="dxa"/>
            <w:shd w:val="clear" w:color="000000" w:fill="FFFFFF"/>
            <w:noWrap/>
            <w:hideMark/>
          </w:tcPr>
          <w:p w14:paraId="09DCDF7A" w14:textId="77777777" w:rsidR="008E2ED2" w:rsidRPr="0018386D" w:rsidRDefault="008E2ED2" w:rsidP="00DD3106">
            <w:pPr>
              <w:pStyle w:val="TableText"/>
              <w:keepNext/>
              <w:spacing w:before="40" w:after="40"/>
              <w:rPr>
                <w:rFonts w:cs="Calibri"/>
                <w:szCs w:val="18"/>
              </w:rPr>
            </w:pPr>
            <w:r w:rsidRPr="0018386D">
              <w:rPr>
                <w:rFonts w:cs="Calibri"/>
                <w:szCs w:val="18"/>
              </w:rPr>
              <w:t>kWh</w:t>
            </w:r>
          </w:p>
        </w:tc>
        <w:tc>
          <w:tcPr>
            <w:tcW w:w="1276" w:type="dxa"/>
            <w:shd w:val="clear" w:color="000000" w:fill="D2DDE1"/>
            <w:noWrap/>
            <w:hideMark/>
          </w:tcPr>
          <w:p w14:paraId="797601CA" w14:textId="5C45659D" w:rsidR="008E2ED2" w:rsidRPr="0018386D" w:rsidRDefault="008E2ED2" w:rsidP="00DD3106">
            <w:pPr>
              <w:pStyle w:val="TableText"/>
              <w:keepNext/>
              <w:spacing w:before="40" w:after="40"/>
              <w:rPr>
                <w:rFonts w:cs="Calibri"/>
                <w:szCs w:val="18"/>
              </w:rPr>
            </w:pPr>
            <w:r w:rsidRPr="0018386D">
              <w:rPr>
                <w:rFonts w:cs="Calibri"/>
                <w:szCs w:val="18"/>
              </w:rPr>
              <w:t>0.0554</w:t>
            </w:r>
          </w:p>
        </w:tc>
        <w:tc>
          <w:tcPr>
            <w:tcW w:w="1134" w:type="dxa"/>
            <w:shd w:val="clear" w:color="000000" w:fill="FFFFFF"/>
            <w:noWrap/>
            <w:hideMark/>
          </w:tcPr>
          <w:p w14:paraId="3F2FA49C" w14:textId="6D581B63" w:rsidR="008E2ED2" w:rsidRPr="0018386D" w:rsidRDefault="008E2ED2" w:rsidP="00DD3106">
            <w:pPr>
              <w:pStyle w:val="TableText"/>
              <w:keepNext/>
              <w:spacing w:before="40" w:after="40"/>
              <w:rPr>
                <w:rFonts w:cs="Calibri"/>
                <w:szCs w:val="18"/>
              </w:rPr>
            </w:pPr>
            <w:r w:rsidRPr="0018386D">
              <w:rPr>
                <w:rFonts w:cs="Calibri"/>
                <w:szCs w:val="18"/>
              </w:rPr>
              <w:t>0.0554</w:t>
            </w:r>
          </w:p>
        </w:tc>
        <w:tc>
          <w:tcPr>
            <w:tcW w:w="1984" w:type="dxa"/>
            <w:shd w:val="clear" w:color="000000" w:fill="FFFFFF"/>
            <w:noWrap/>
            <w:hideMark/>
          </w:tcPr>
          <w:p w14:paraId="21CAC2D3" w14:textId="203B7DF1" w:rsidR="008E2ED2" w:rsidRPr="0018386D" w:rsidRDefault="008E2ED2" w:rsidP="00DD3106">
            <w:pPr>
              <w:pStyle w:val="TableText"/>
              <w:keepNext/>
              <w:spacing w:before="40" w:after="40"/>
              <w:rPr>
                <w:rFonts w:cs="Calibri"/>
                <w:szCs w:val="18"/>
              </w:rPr>
            </w:pPr>
            <w:r w:rsidRPr="0018386D">
              <w:rPr>
                <w:rFonts w:cs="Calibri"/>
                <w:szCs w:val="18"/>
              </w:rPr>
              <w:t>0.00006</w:t>
            </w:r>
          </w:p>
        </w:tc>
        <w:tc>
          <w:tcPr>
            <w:tcW w:w="2126" w:type="dxa"/>
            <w:shd w:val="clear" w:color="000000" w:fill="FFFFFF"/>
            <w:noWrap/>
            <w:hideMark/>
          </w:tcPr>
          <w:p w14:paraId="7AA0DD6F" w14:textId="387D4854" w:rsidR="008E2ED2" w:rsidRPr="0018386D" w:rsidRDefault="008E2ED2" w:rsidP="00DD3106">
            <w:pPr>
              <w:pStyle w:val="TableText"/>
              <w:keepNext/>
              <w:spacing w:before="40" w:after="40"/>
              <w:rPr>
                <w:rFonts w:cs="Calibri"/>
                <w:szCs w:val="18"/>
              </w:rPr>
            </w:pPr>
            <w:r w:rsidRPr="0018386D">
              <w:rPr>
                <w:rFonts w:cs="Calibri"/>
                <w:szCs w:val="18"/>
              </w:rPr>
              <w:t>0.0000004</w:t>
            </w:r>
          </w:p>
        </w:tc>
      </w:tr>
      <w:tr w:rsidR="00FB1B1C" w:rsidRPr="0018386D" w14:paraId="26CAF881" w14:textId="77777777" w:rsidTr="00A15EFF">
        <w:trPr>
          <w:divId w:val="1166170418"/>
        </w:trPr>
        <w:tc>
          <w:tcPr>
            <w:tcW w:w="1418" w:type="dxa"/>
            <w:shd w:val="clear" w:color="000000" w:fill="FFFFFF"/>
            <w:noWrap/>
            <w:hideMark/>
          </w:tcPr>
          <w:p w14:paraId="47F1BC9A" w14:textId="26F22211" w:rsidR="008E2ED2" w:rsidRPr="0018386D" w:rsidRDefault="008E2ED2" w:rsidP="00DD3106">
            <w:pPr>
              <w:pStyle w:val="TableText"/>
              <w:spacing w:before="40" w:after="40"/>
              <w:rPr>
                <w:rFonts w:cs="Calibri"/>
                <w:szCs w:val="18"/>
              </w:rPr>
            </w:pPr>
            <w:r w:rsidRPr="0018386D">
              <w:rPr>
                <w:rFonts w:cs="Calibri"/>
                <w:szCs w:val="18"/>
              </w:rPr>
              <w:t>Jun</w:t>
            </w:r>
            <w:r w:rsidR="0033288A" w:rsidRPr="0018386D">
              <w:rPr>
                <w:rFonts w:cs="Calibri"/>
                <w:szCs w:val="18"/>
              </w:rPr>
              <w:t xml:space="preserve"> </w:t>
            </w:r>
            <w:r w:rsidRPr="0018386D">
              <w:rPr>
                <w:rFonts w:cs="Calibri"/>
                <w:szCs w:val="18"/>
              </w:rPr>
              <w:t>2022</w:t>
            </w:r>
          </w:p>
        </w:tc>
        <w:tc>
          <w:tcPr>
            <w:tcW w:w="567" w:type="dxa"/>
            <w:shd w:val="clear" w:color="000000" w:fill="FFFFFF"/>
            <w:noWrap/>
            <w:hideMark/>
          </w:tcPr>
          <w:p w14:paraId="1FDD3EF5"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05C4FCC6" w14:textId="698DC2C7" w:rsidR="008E2ED2" w:rsidRPr="0018386D" w:rsidRDefault="008E2ED2" w:rsidP="00DD3106">
            <w:pPr>
              <w:pStyle w:val="TableText"/>
              <w:spacing w:before="40" w:after="40"/>
              <w:rPr>
                <w:rFonts w:cs="Calibri"/>
                <w:szCs w:val="18"/>
              </w:rPr>
            </w:pPr>
            <w:r w:rsidRPr="0018386D">
              <w:rPr>
                <w:rFonts w:cs="Calibri"/>
                <w:szCs w:val="18"/>
              </w:rPr>
              <w:t>0.108</w:t>
            </w:r>
          </w:p>
        </w:tc>
        <w:tc>
          <w:tcPr>
            <w:tcW w:w="1134" w:type="dxa"/>
            <w:shd w:val="clear" w:color="000000" w:fill="FFFFFF"/>
            <w:noWrap/>
            <w:hideMark/>
          </w:tcPr>
          <w:p w14:paraId="7121DB25" w14:textId="77777777" w:rsidR="008E2ED2" w:rsidRPr="0018386D" w:rsidRDefault="008E2ED2" w:rsidP="00DD3106">
            <w:pPr>
              <w:pStyle w:val="TableText"/>
              <w:spacing w:before="40" w:after="40"/>
              <w:rPr>
                <w:rFonts w:cs="Calibri"/>
                <w:szCs w:val="18"/>
              </w:rPr>
            </w:pPr>
            <w:r w:rsidRPr="0018386D">
              <w:rPr>
                <w:rFonts w:cs="Calibri"/>
                <w:szCs w:val="18"/>
              </w:rPr>
              <w:t>0.108</w:t>
            </w:r>
          </w:p>
        </w:tc>
        <w:tc>
          <w:tcPr>
            <w:tcW w:w="1984" w:type="dxa"/>
            <w:shd w:val="clear" w:color="000000" w:fill="FFFFFF"/>
            <w:noWrap/>
            <w:hideMark/>
          </w:tcPr>
          <w:p w14:paraId="3AE10284" w14:textId="16904D4B" w:rsidR="008E2ED2" w:rsidRPr="0018386D" w:rsidRDefault="008E2ED2" w:rsidP="00DD3106">
            <w:pPr>
              <w:pStyle w:val="TableText"/>
              <w:spacing w:before="40" w:after="40"/>
              <w:rPr>
                <w:rFonts w:cs="Calibri"/>
                <w:szCs w:val="18"/>
              </w:rPr>
            </w:pPr>
            <w:r w:rsidRPr="0018386D">
              <w:rPr>
                <w:rFonts w:cs="Calibri"/>
                <w:szCs w:val="18"/>
              </w:rPr>
              <w:t>0.0001</w:t>
            </w:r>
          </w:p>
        </w:tc>
        <w:tc>
          <w:tcPr>
            <w:tcW w:w="2126" w:type="dxa"/>
            <w:shd w:val="clear" w:color="000000" w:fill="FFFFFF"/>
            <w:noWrap/>
            <w:hideMark/>
          </w:tcPr>
          <w:p w14:paraId="652A6754" w14:textId="340D6AF7" w:rsidR="008E2ED2" w:rsidRPr="0018386D" w:rsidRDefault="008E2ED2" w:rsidP="00DD3106">
            <w:pPr>
              <w:pStyle w:val="TableText"/>
              <w:spacing w:before="40" w:after="40"/>
              <w:rPr>
                <w:rFonts w:cs="Calibri"/>
                <w:szCs w:val="18"/>
              </w:rPr>
            </w:pPr>
            <w:r w:rsidRPr="0018386D">
              <w:rPr>
                <w:rFonts w:cs="Calibri"/>
                <w:szCs w:val="18"/>
              </w:rPr>
              <w:t>0.0000008</w:t>
            </w:r>
          </w:p>
        </w:tc>
      </w:tr>
      <w:tr w:rsidR="00FB1B1C" w:rsidRPr="0018386D" w14:paraId="7197041B" w14:textId="77777777" w:rsidTr="00A15EFF">
        <w:trPr>
          <w:divId w:val="1166170418"/>
        </w:trPr>
        <w:tc>
          <w:tcPr>
            <w:tcW w:w="1418" w:type="dxa"/>
            <w:shd w:val="clear" w:color="000000" w:fill="FFFFFF"/>
            <w:noWrap/>
            <w:hideMark/>
          </w:tcPr>
          <w:p w14:paraId="53AC316C" w14:textId="3211B8F9" w:rsidR="008E2ED2" w:rsidRPr="0018386D" w:rsidRDefault="008E2ED2" w:rsidP="00DD3106">
            <w:pPr>
              <w:pStyle w:val="TableText"/>
              <w:spacing w:before="40" w:after="40"/>
              <w:rPr>
                <w:rFonts w:cs="Calibri"/>
                <w:szCs w:val="18"/>
              </w:rPr>
            </w:pPr>
            <w:r w:rsidRPr="0018386D">
              <w:rPr>
                <w:rFonts w:cs="Calibri"/>
                <w:szCs w:val="18"/>
              </w:rPr>
              <w:lastRenderedPageBreak/>
              <w:t>Mar</w:t>
            </w:r>
            <w:r w:rsidR="0033288A" w:rsidRPr="0018386D">
              <w:rPr>
                <w:rFonts w:cs="Calibri"/>
                <w:szCs w:val="18"/>
              </w:rPr>
              <w:t xml:space="preserve"> </w:t>
            </w:r>
            <w:r w:rsidRPr="0018386D">
              <w:rPr>
                <w:rFonts w:cs="Calibri"/>
                <w:szCs w:val="18"/>
              </w:rPr>
              <w:t>2022</w:t>
            </w:r>
          </w:p>
        </w:tc>
        <w:tc>
          <w:tcPr>
            <w:tcW w:w="567" w:type="dxa"/>
            <w:shd w:val="clear" w:color="000000" w:fill="FFFFFF"/>
            <w:noWrap/>
            <w:hideMark/>
          </w:tcPr>
          <w:p w14:paraId="0FF0DDCB"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26797B41" w14:textId="50E136B9" w:rsidR="008E2ED2" w:rsidRPr="0018386D" w:rsidRDefault="008E2ED2" w:rsidP="00DD3106">
            <w:pPr>
              <w:pStyle w:val="TableText"/>
              <w:spacing w:before="40" w:after="40"/>
              <w:rPr>
                <w:rFonts w:cs="Calibri"/>
                <w:szCs w:val="18"/>
              </w:rPr>
            </w:pPr>
            <w:r w:rsidRPr="0018386D">
              <w:rPr>
                <w:rFonts w:cs="Calibri"/>
                <w:szCs w:val="18"/>
              </w:rPr>
              <w:t>0.0991</w:t>
            </w:r>
          </w:p>
        </w:tc>
        <w:tc>
          <w:tcPr>
            <w:tcW w:w="1134" w:type="dxa"/>
            <w:shd w:val="clear" w:color="000000" w:fill="FFFFFF"/>
            <w:noWrap/>
            <w:hideMark/>
          </w:tcPr>
          <w:p w14:paraId="1D7A4388" w14:textId="6AFD297A" w:rsidR="008E2ED2" w:rsidRPr="0018386D" w:rsidRDefault="008E2ED2" w:rsidP="00DD3106">
            <w:pPr>
              <w:pStyle w:val="TableText"/>
              <w:spacing w:before="40" w:after="40"/>
              <w:rPr>
                <w:rFonts w:cs="Calibri"/>
                <w:szCs w:val="18"/>
              </w:rPr>
            </w:pPr>
            <w:r w:rsidRPr="0018386D">
              <w:rPr>
                <w:rFonts w:cs="Calibri"/>
                <w:szCs w:val="18"/>
              </w:rPr>
              <w:t>0.0990</w:t>
            </w:r>
          </w:p>
        </w:tc>
        <w:tc>
          <w:tcPr>
            <w:tcW w:w="1984" w:type="dxa"/>
            <w:shd w:val="clear" w:color="000000" w:fill="FFFFFF"/>
            <w:noWrap/>
            <w:hideMark/>
          </w:tcPr>
          <w:p w14:paraId="767D86DA" w14:textId="1602246B" w:rsidR="008E2ED2" w:rsidRPr="0018386D" w:rsidRDefault="008E2ED2" w:rsidP="00DD3106">
            <w:pPr>
              <w:pStyle w:val="TableText"/>
              <w:spacing w:before="40" w:after="40"/>
              <w:rPr>
                <w:rFonts w:cs="Calibri"/>
                <w:szCs w:val="18"/>
              </w:rPr>
            </w:pPr>
            <w:r w:rsidRPr="0018386D">
              <w:rPr>
                <w:rFonts w:cs="Calibri"/>
                <w:szCs w:val="18"/>
              </w:rPr>
              <w:t>0.0001</w:t>
            </w:r>
          </w:p>
        </w:tc>
        <w:tc>
          <w:tcPr>
            <w:tcW w:w="2126" w:type="dxa"/>
            <w:shd w:val="clear" w:color="000000" w:fill="FFFFFF"/>
            <w:noWrap/>
            <w:hideMark/>
          </w:tcPr>
          <w:p w14:paraId="48AB6037" w14:textId="70169F1D" w:rsidR="008E2ED2" w:rsidRPr="0018386D" w:rsidRDefault="008E2ED2" w:rsidP="00DD3106">
            <w:pPr>
              <w:pStyle w:val="TableText"/>
              <w:spacing w:before="40" w:after="40"/>
              <w:rPr>
                <w:rFonts w:cs="Calibri"/>
                <w:szCs w:val="18"/>
              </w:rPr>
            </w:pPr>
            <w:r w:rsidRPr="0018386D">
              <w:rPr>
                <w:rFonts w:cs="Calibri"/>
                <w:szCs w:val="18"/>
              </w:rPr>
              <w:t>0.0000007</w:t>
            </w:r>
          </w:p>
        </w:tc>
      </w:tr>
      <w:tr w:rsidR="00FB1B1C" w:rsidRPr="0018386D" w14:paraId="73A39CD5" w14:textId="77777777" w:rsidTr="00A15EFF">
        <w:trPr>
          <w:divId w:val="1166170418"/>
        </w:trPr>
        <w:tc>
          <w:tcPr>
            <w:tcW w:w="1418" w:type="dxa"/>
            <w:shd w:val="clear" w:color="000000" w:fill="FFFFFF"/>
            <w:noWrap/>
            <w:hideMark/>
          </w:tcPr>
          <w:p w14:paraId="49856FC0" w14:textId="6CF1F747" w:rsidR="008E2ED2" w:rsidRPr="0018386D" w:rsidRDefault="008E2ED2" w:rsidP="00DD3106">
            <w:pPr>
              <w:pStyle w:val="TableText"/>
              <w:spacing w:before="40" w:after="40"/>
              <w:rPr>
                <w:rFonts w:cs="Calibri"/>
                <w:szCs w:val="18"/>
              </w:rPr>
            </w:pPr>
            <w:r w:rsidRPr="0018386D">
              <w:rPr>
                <w:rFonts w:cs="Calibri"/>
                <w:szCs w:val="18"/>
              </w:rPr>
              <w:t>Dec</w:t>
            </w:r>
            <w:r w:rsidR="0033288A" w:rsidRPr="0018386D">
              <w:rPr>
                <w:rFonts w:cs="Calibri"/>
                <w:szCs w:val="18"/>
              </w:rPr>
              <w:t xml:space="preserve"> </w:t>
            </w:r>
            <w:r w:rsidRPr="0018386D">
              <w:rPr>
                <w:rFonts w:cs="Calibri"/>
                <w:szCs w:val="18"/>
              </w:rPr>
              <w:t>2021</w:t>
            </w:r>
          </w:p>
        </w:tc>
        <w:tc>
          <w:tcPr>
            <w:tcW w:w="567" w:type="dxa"/>
            <w:shd w:val="clear" w:color="000000" w:fill="FFFFFF"/>
            <w:noWrap/>
            <w:hideMark/>
          </w:tcPr>
          <w:p w14:paraId="1F1D00FA"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36BB43B3" w14:textId="29D58DA4" w:rsidR="008E2ED2" w:rsidRPr="0018386D" w:rsidRDefault="008E2ED2" w:rsidP="00DD3106">
            <w:pPr>
              <w:pStyle w:val="TableText"/>
              <w:spacing w:before="40" w:after="40"/>
              <w:rPr>
                <w:rFonts w:cs="Calibri"/>
                <w:szCs w:val="18"/>
              </w:rPr>
            </w:pPr>
            <w:r w:rsidRPr="0018386D">
              <w:rPr>
                <w:rFonts w:cs="Calibri"/>
                <w:szCs w:val="18"/>
              </w:rPr>
              <w:t>0.0496</w:t>
            </w:r>
          </w:p>
        </w:tc>
        <w:tc>
          <w:tcPr>
            <w:tcW w:w="1134" w:type="dxa"/>
            <w:shd w:val="clear" w:color="000000" w:fill="FFFFFF"/>
            <w:noWrap/>
            <w:hideMark/>
          </w:tcPr>
          <w:p w14:paraId="4920EB71" w14:textId="00A79005" w:rsidR="008E2ED2" w:rsidRPr="0018386D" w:rsidRDefault="008E2ED2" w:rsidP="00DD3106">
            <w:pPr>
              <w:pStyle w:val="TableText"/>
              <w:spacing w:before="40" w:after="40"/>
              <w:rPr>
                <w:rFonts w:cs="Calibri"/>
                <w:szCs w:val="18"/>
              </w:rPr>
            </w:pPr>
            <w:r w:rsidRPr="0018386D">
              <w:rPr>
                <w:rFonts w:cs="Calibri"/>
                <w:szCs w:val="18"/>
              </w:rPr>
              <w:t>0.0495</w:t>
            </w:r>
          </w:p>
        </w:tc>
        <w:tc>
          <w:tcPr>
            <w:tcW w:w="1984" w:type="dxa"/>
            <w:shd w:val="clear" w:color="000000" w:fill="FFFFFF"/>
            <w:noWrap/>
            <w:hideMark/>
          </w:tcPr>
          <w:p w14:paraId="0EF5177C" w14:textId="13EA8895" w:rsidR="008E2ED2" w:rsidRPr="0018386D" w:rsidRDefault="008E2ED2" w:rsidP="00DD3106">
            <w:pPr>
              <w:pStyle w:val="TableText"/>
              <w:spacing w:before="40" w:after="40"/>
              <w:rPr>
                <w:rFonts w:cs="Calibri"/>
                <w:szCs w:val="18"/>
              </w:rPr>
            </w:pPr>
            <w:r w:rsidRPr="0018386D">
              <w:rPr>
                <w:rFonts w:cs="Calibri"/>
                <w:szCs w:val="18"/>
              </w:rPr>
              <w:t>0.00005</w:t>
            </w:r>
          </w:p>
        </w:tc>
        <w:tc>
          <w:tcPr>
            <w:tcW w:w="2126" w:type="dxa"/>
            <w:shd w:val="clear" w:color="000000" w:fill="FFFFFF"/>
            <w:noWrap/>
            <w:hideMark/>
          </w:tcPr>
          <w:p w14:paraId="6B92A3D2" w14:textId="6BE479EF" w:rsidR="008E2ED2" w:rsidRPr="0018386D" w:rsidRDefault="008E2ED2" w:rsidP="00DD3106">
            <w:pPr>
              <w:pStyle w:val="TableText"/>
              <w:spacing w:before="40" w:after="40"/>
              <w:rPr>
                <w:rFonts w:cs="Calibri"/>
                <w:szCs w:val="18"/>
              </w:rPr>
            </w:pPr>
            <w:r w:rsidRPr="0018386D">
              <w:rPr>
                <w:rFonts w:cs="Calibri"/>
                <w:szCs w:val="18"/>
              </w:rPr>
              <w:t>0.0000004</w:t>
            </w:r>
          </w:p>
        </w:tc>
      </w:tr>
      <w:tr w:rsidR="00FB1B1C" w:rsidRPr="0018386D" w14:paraId="02D6061C" w14:textId="77777777" w:rsidTr="00A15EFF">
        <w:trPr>
          <w:divId w:val="1166170418"/>
        </w:trPr>
        <w:tc>
          <w:tcPr>
            <w:tcW w:w="1418" w:type="dxa"/>
            <w:shd w:val="clear" w:color="000000" w:fill="FFFFFF"/>
            <w:noWrap/>
            <w:hideMark/>
          </w:tcPr>
          <w:p w14:paraId="66C486CC" w14:textId="19A8624B" w:rsidR="008E2ED2" w:rsidRPr="0018386D" w:rsidRDefault="008E2ED2" w:rsidP="00DD3106">
            <w:pPr>
              <w:pStyle w:val="TableText"/>
              <w:spacing w:before="40" w:after="40"/>
              <w:rPr>
                <w:rFonts w:cs="Calibri"/>
                <w:szCs w:val="18"/>
              </w:rPr>
            </w:pPr>
            <w:r w:rsidRPr="0018386D">
              <w:rPr>
                <w:rFonts w:cs="Calibri"/>
                <w:szCs w:val="18"/>
              </w:rPr>
              <w:t>Sep</w:t>
            </w:r>
            <w:r w:rsidR="0033288A" w:rsidRPr="0018386D">
              <w:rPr>
                <w:rFonts w:cs="Calibri"/>
                <w:szCs w:val="18"/>
              </w:rPr>
              <w:t xml:space="preserve"> </w:t>
            </w:r>
            <w:r w:rsidRPr="0018386D">
              <w:rPr>
                <w:rFonts w:cs="Calibri"/>
                <w:szCs w:val="18"/>
              </w:rPr>
              <w:t>2021</w:t>
            </w:r>
          </w:p>
        </w:tc>
        <w:tc>
          <w:tcPr>
            <w:tcW w:w="567" w:type="dxa"/>
            <w:shd w:val="clear" w:color="000000" w:fill="FFFFFF"/>
            <w:noWrap/>
            <w:hideMark/>
          </w:tcPr>
          <w:p w14:paraId="1C741DD9"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2DA9CA3A" w14:textId="77777777" w:rsidR="008E2ED2" w:rsidRPr="0018386D" w:rsidRDefault="008E2ED2" w:rsidP="00DD3106">
            <w:pPr>
              <w:pStyle w:val="TableText"/>
              <w:spacing w:before="40" w:after="40"/>
              <w:rPr>
                <w:rFonts w:cs="Calibri"/>
                <w:szCs w:val="18"/>
              </w:rPr>
            </w:pPr>
            <w:r w:rsidRPr="0018386D">
              <w:rPr>
                <w:rFonts w:cs="Calibri"/>
                <w:szCs w:val="18"/>
              </w:rPr>
              <w:t>0.0931</w:t>
            </w:r>
          </w:p>
        </w:tc>
        <w:tc>
          <w:tcPr>
            <w:tcW w:w="1134" w:type="dxa"/>
            <w:shd w:val="clear" w:color="000000" w:fill="FFFFFF"/>
            <w:noWrap/>
            <w:hideMark/>
          </w:tcPr>
          <w:p w14:paraId="65BFD5FB" w14:textId="77777777" w:rsidR="008E2ED2" w:rsidRPr="0018386D" w:rsidRDefault="008E2ED2" w:rsidP="00DD3106">
            <w:pPr>
              <w:pStyle w:val="TableText"/>
              <w:spacing w:before="40" w:after="40"/>
              <w:rPr>
                <w:rFonts w:cs="Calibri"/>
                <w:szCs w:val="18"/>
              </w:rPr>
            </w:pPr>
            <w:r w:rsidRPr="0018386D">
              <w:rPr>
                <w:rFonts w:cs="Calibri"/>
                <w:szCs w:val="18"/>
              </w:rPr>
              <w:t>0.0930</w:t>
            </w:r>
          </w:p>
        </w:tc>
        <w:tc>
          <w:tcPr>
            <w:tcW w:w="1984" w:type="dxa"/>
            <w:shd w:val="clear" w:color="000000" w:fill="FFFFFF"/>
            <w:noWrap/>
            <w:hideMark/>
          </w:tcPr>
          <w:p w14:paraId="0B80DFE5" w14:textId="77777777" w:rsidR="008E2ED2" w:rsidRPr="0018386D" w:rsidRDefault="008E2ED2" w:rsidP="00DD3106">
            <w:pPr>
              <w:pStyle w:val="TableText"/>
              <w:spacing w:before="40" w:after="40"/>
              <w:rPr>
                <w:rFonts w:cs="Calibri"/>
                <w:szCs w:val="18"/>
              </w:rPr>
            </w:pPr>
            <w:r w:rsidRPr="0018386D">
              <w:rPr>
                <w:rFonts w:cs="Calibri"/>
                <w:szCs w:val="18"/>
              </w:rPr>
              <w:t>0.0001</w:t>
            </w:r>
          </w:p>
        </w:tc>
        <w:tc>
          <w:tcPr>
            <w:tcW w:w="2126" w:type="dxa"/>
            <w:shd w:val="clear" w:color="000000" w:fill="FFFFFF"/>
            <w:noWrap/>
            <w:hideMark/>
          </w:tcPr>
          <w:p w14:paraId="6A1A0245" w14:textId="77777777" w:rsidR="008E2ED2" w:rsidRPr="0018386D" w:rsidRDefault="008E2ED2" w:rsidP="00DD3106">
            <w:pPr>
              <w:pStyle w:val="TableText"/>
              <w:spacing w:before="40" w:after="40"/>
              <w:rPr>
                <w:rFonts w:cs="Calibri"/>
                <w:szCs w:val="18"/>
              </w:rPr>
            </w:pPr>
            <w:r w:rsidRPr="0018386D">
              <w:rPr>
                <w:rFonts w:cs="Calibri"/>
                <w:szCs w:val="18"/>
              </w:rPr>
              <w:t>0.0000007</w:t>
            </w:r>
          </w:p>
        </w:tc>
      </w:tr>
      <w:tr w:rsidR="00FB1B1C" w:rsidRPr="0018386D" w14:paraId="171683CF" w14:textId="77777777" w:rsidTr="00A15EFF">
        <w:trPr>
          <w:divId w:val="1166170418"/>
        </w:trPr>
        <w:tc>
          <w:tcPr>
            <w:tcW w:w="1418" w:type="dxa"/>
            <w:shd w:val="clear" w:color="000000" w:fill="FFFFFF"/>
            <w:noWrap/>
            <w:hideMark/>
          </w:tcPr>
          <w:p w14:paraId="67B50901" w14:textId="6BCFA8B1" w:rsidR="008E2ED2" w:rsidRPr="0018386D" w:rsidRDefault="008E2ED2" w:rsidP="00DD3106">
            <w:pPr>
              <w:pStyle w:val="TableText"/>
              <w:spacing w:before="40" w:after="40"/>
              <w:rPr>
                <w:rFonts w:cs="Calibri"/>
                <w:szCs w:val="18"/>
              </w:rPr>
            </w:pPr>
            <w:r w:rsidRPr="0018386D">
              <w:rPr>
                <w:rFonts w:cs="Calibri"/>
                <w:szCs w:val="18"/>
              </w:rPr>
              <w:t>Jun</w:t>
            </w:r>
            <w:r w:rsidR="0033288A" w:rsidRPr="0018386D">
              <w:rPr>
                <w:rFonts w:cs="Calibri"/>
                <w:szCs w:val="18"/>
              </w:rPr>
              <w:t xml:space="preserve"> </w:t>
            </w:r>
            <w:r w:rsidRPr="0018386D">
              <w:rPr>
                <w:rFonts w:cs="Calibri"/>
                <w:szCs w:val="18"/>
              </w:rPr>
              <w:t>2021</w:t>
            </w:r>
          </w:p>
        </w:tc>
        <w:tc>
          <w:tcPr>
            <w:tcW w:w="567" w:type="dxa"/>
            <w:shd w:val="clear" w:color="000000" w:fill="FFFFFF"/>
            <w:noWrap/>
            <w:hideMark/>
          </w:tcPr>
          <w:p w14:paraId="27276B58"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2E4DE2BD" w14:textId="6CB54CD9" w:rsidR="008E2ED2" w:rsidRPr="0018386D" w:rsidRDefault="008E2ED2" w:rsidP="00DD3106">
            <w:pPr>
              <w:pStyle w:val="TableText"/>
              <w:spacing w:before="40" w:after="40"/>
              <w:rPr>
                <w:rFonts w:cs="Calibri"/>
                <w:szCs w:val="18"/>
              </w:rPr>
            </w:pPr>
            <w:r w:rsidRPr="0018386D">
              <w:rPr>
                <w:rFonts w:cs="Calibri"/>
                <w:szCs w:val="18"/>
              </w:rPr>
              <w:t>0.170</w:t>
            </w:r>
          </w:p>
        </w:tc>
        <w:tc>
          <w:tcPr>
            <w:tcW w:w="1134" w:type="dxa"/>
            <w:shd w:val="clear" w:color="000000" w:fill="FFFFFF"/>
            <w:noWrap/>
            <w:hideMark/>
          </w:tcPr>
          <w:p w14:paraId="7D004958" w14:textId="02522469" w:rsidR="008E2ED2" w:rsidRPr="0018386D" w:rsidRDefault="008E2ED2" w:rsidP="00DD3106">
            <w:pPr>
              <w:pStyle w:val="TableText"/>
              <w:spacing w:before="40" w:after="40"/>
              <w:rPr>
                <w:rFonts w:cs="Calibri"/>
                <w:szCs w:val="18"/>
              </w:rPr>
            </w:pPr>
            <w:r w:rsidRPr="0018386D">
              <w:rPr>
                <w:rFonts w:cs="Calibri"/>
                <w:szCs w:val="18"/>
              </w:rPr>
              <w:t>0.170</w:t>
            </w:r>
          </w:p>
        </w:tc>
        <w:tc>
          <w:tcPr>
            <w:tcW w:w="1984" w:type="dxa"/>
            <w:shd w:val="clear" w:color="000000" w:fill="FFFFFF"/>
            <w:noWrap/>
            <w:hideMark/>
          </w:tcPr>
          <w:p w14:paraId="0F0AA943" w14:textId="7FCBBF05" w:rsidR="008E2ED2" w:rsidRPr="0018386D" w:rsidRDefault="008E2ED2" w:rsidP="00DD3106">
            <w:pPr>
              <w:pStyle w:val="TableText"/>
              <w:spacing w:before="40" w:after="40"/>
              <w:rPr>
                <w:rFonts w:cs="Calibri"/>
                <w:szCs w:val="18"/>
              </w:rPr>
            </w:pPr>
            <w:r w:rsidRPr="0018386D">
              <w:rPr>
                <w:rFonts w:cs="Calibri"/>
                <w:szCs w:val="18"/>
              </w:rPr>
              <w:t>0.0002</w:t>
            </w:r>
          </w:p>
        </w:tc>
        <w:tc>
          <w:tcPr>
            <w:tcW w:w="2126" w:type="dxa"/>
            <w:shd w:val="clear" w:color="000000" w:fill="FFFFFF"/>
            <w:noWrap/>
            <w:hideMark/>
          </w:tcPr>
          <w:p w14:paraId="270C1F39" w14:textId="3C0439F3" w:rsidR="008E2ED2" w:rsidRPr="0018386D" w:rsidRDefault="008E2ED2" w:rsidP="00DD3106">
            <w:pPr>
              <w:pStyle w:val="TableText"/>
              <w:spacing w:before="40" w:after="40"/>
              <w:rPr>
                <w:rFonts w:cs="Calibri"/>
                <w:szCs w:val="18"/>
              </w:rPr>
            </w:pPr>
            <w:r w:rsidRPr="0018386D">
              <w:rPr>
                <w:rFonts w:cs="Calibri"/>
                <w:szCs w:val="18"/>
              </w:rPr>
              <w:t>0.000001</w:t>
            </w:r>
          </w:p>
        </w:tc>
      </w:tr>
      <w:tr w:rsidR="00FB1B1C" w:rsidRPr="0018386D" w14:paraId="03DDA5AB" w14:textId="77777777" w:rsidTr="00A15EFF">
        <w:trPr>
          <w:divId w:val="1166170418"/>
        </w:trPr>
        <w:tc>
          <w:tcPr>
            <w:tcW w:w="1418" w:type="dxa"/>
            <w:shd w:val="clear" w:color="000000" w:fill="FFFFFF"/>
            <w:noWrap/>
            <w:hideMark/>
          </w:tcPr>
          <w:p w14:paraId="55CB5538" w14:textId="18877927" w:rsidR="008E2ED2" w:rsidRPr="0018386D" w:rsidRDefault="008E2ED2" w:rsidP="00DD3106">
            <w:pPr>
              <w:pStyle w:val="TableText"/>
              <w:spacing w:before="40" w:after="40"/>
              <w:rPr>
                <w:rFonts w:cs="Calibri"/>
                <w:szCs w:val="18"/>
              </w:rPr>
            </w:pPr>
            <w:r w:rsidRPr="0018386D">
              <w:rPr>
                <w:rFonts w:cs="Calibri"/>
                <w:szCs w:val="18"/>
              </w:rPr>
              <w:t>Mar</w:t>
            </w:r>
            <w:r w:rsidR="0033288A" w:rsidRPr="0018386D">
              <w:rPr>
                <w:rFonts w:cs="Calibri"/>
                <w:szCs w:val="18"/>
              </w:rPr>
              <w:t xml:space="preserve"> </w:t>
            </w:r>
            <w:r w:rsidRPr="0018386D">
              <w:rPr>
                <w:rFonts w:cs="Calibri"/>
                <w:szCs w:val="18"/>
              </w:rPr>
              <w:t>2021</w:t>
            </w:r>
          </w:p>
        </w:tc>
        <w:tc>
          <w:tcPr>
            <w:tcW w:w="567" w:type="dxa"/>
            <w:shd w:val="clear" w:color="000000" w:fill="FFFFFF"/>
            <w:noWrap/>
            <w:hideMark/>
          </w:tcPr>
          <w:p w14:paraId="749127F2"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7FB6709D" w14:textId="5DA8C443" w:rsidR="008E2ED2" w:rsidRPr="0018386D" w:rsidRDefault="008E2ED2" w:rsidP="00DD3106">
            <w:pPr>
              <w:pStyle w:val="TableText"/>
              <w:spacing w:before="40" w:after="40"/>
              <w:rPr>
                <w:rFonts w:cs="Calibri"/>
                <w:szCs w:val="18"/>
              </w:rPr>
            </w:pPr>
            <w:r w:rsidRPr="0018386D">
              <w:rPr>
                <w:rFonts w:cs="Calibri"/>
                <w:szCs w:val="18"/>
              </w:rPr>
              <w:t>0.147</w:t>
            </w:r>
          </w:p>
        </w:tc>
        <w:tc>
          <w:tcPr>
            <w:tcW w:w="1134" w:type="dxa"/>
            <w:shd w:val="clear" w:color="000000" w:fill="FFFFFF"/>
            <w:noWrap/>
            <w:hideMark/>
          </w:tcPr>
          <w:p w14:paraId="150B2110" w14:textId="2E7E2EF5" w:rsidR="008E2ED2" w:rsidRPr="0018386D" w:rsidRDefault="008E2ED2" w:rsidP="00DD3106">
            <w:pPr>
              <w:pStyle w:val="TableText"/>
              <w:spacing w:before="40" w:after="40"/>
              <w:rPr>
                <w:rFonts w:cs="Calibri"/>
                <w:szCs w:val="18"/>
              </w:rPr>
            </w:pPr>
            <w:r w:rsidRPr="0018386D">
              <w:rPr>
                <w:rFonts w:cs="Calibri"/>
                <w:szCs w:val="18"/>
              </w:rPr>
              <w:t>0.147</w:t>
            </w:r>
          </w:p>
        </w:tc>
        <w:tc>
          <w:tcPr>
            <w:tcW w:w="1984" w:type="dxa"/>
            <w:shd w:val="clear" w:color="000000" w:fill="FFFFFF"/>
            <w:noWrap/>
            <w:hideMark/>
          </w:tcPr>
          <w:p w14:paraId="6700172F" w14:textId="529F3DC0" w:rsidR="008E2ED2" w:rsidRPr="0018386D" w:rsidRDefault="008E2ED2" w:rsidP="00DD3106">
            <w:pPr>
              <w:pStyle w:val="TableText"/>
              <w:spacing w:before="40" w:after="40"/>
              <w:rPr>
                <w:rFonts w:cs="Calibri"/>
                <w:szCs w:val="18"/>
              </w:rPr>
            </w:pPr>
            <w:r w:rsidRPr="0018386D">
              <w:rPr>
                <w:rFonts w:cs="Calibri"/>
                <w:szCs w:val="18"/>
              </w:rPr>
              <w:t>0.0002</w:t>
            </w:r>
          </w:p>
        </w:tc>
        <w:tc>
          <w:tcPr>
            <w:tcW w:w="2126" w:type="dxa"/>
            <w:shd w:val="clear" w:color="000000" w:fill="FFFFFF"/>
            <w:noWrap/>
            <w:hideMark/>
          </w:tcPr>
          <w:p w14:paraId="09866502" w14:textId="1CC04E6E" w:rsidR="008E2ED2" w:rsidRPr="0018386D" w:rsidRDefault="008E2ED2" w:rsidP="00DD3106">
            <w:pPr>
              <w:pStyle w:val="TableText"/>
              <w:spacing w:before="40" w:after="40"/>
              <w:rPr>
                <w:rFonts w:cs="Calibri"/>
                <w:szCs w:val="18"/>
              </w:rPr>
            </w:pPr>
            <w:r w:rsidRPr="0018386D">
              <w:rPr>
                <w:rFonts w:cs="Calibri"/>
                <w:szCs w:val="18"/>
              </w:rPr>
              <w:t>0.000001</w:t>
            </w:r>
          </w:p>
        </w:tc>
      </w:tr>
      <w:tr w:rsidR="00FB1B1C" w:rsidRPr="0018386D" w14:paraId="61F95CEB" w14:textId="77777777" w:rsidTr="00A15EFF">
        <w:trPr>
          <w:divId w:val="1166170418"/>
        </w:trPr>
        <w:tc>
          <w:tcPr>
            <w:tcW w:w="1418" w:type="dxa"/>
            <w:shd w:val="clear" w:color="000000" w:fill="FFFFFF"/>
            <w:noWrap/>
            <w:hideMark/>
          </w:tcPr>
          <w:p w14:paraId="69293D7A" w14:textId="203F818C" w:rsidR="008E2ED2" w:rsidRPr="0018386D" w:rsidRDefault="008E2ED2" w:rsidP="00DD3106">
            <w:pPr>
              <w:pStyle w:val="TableText"/>
              <w:spacing w:before="40" w:after="40"/>
              <w:rPr>
                <w:rFonts w:cs="Calibri"/>
                <w:szCs w:val="18"/>
              </w:rPr>
            </w:pPr>
            <w:r w:rsidRPr="0018386D">
              <w:rPr>
                <w:rFonts w:cs="Calibri"/>
                <w:szCs w:val="18"/>
              </w:rPr>
              <w:t>Dec</w:t>
            </w:r>
            <w:r w:rsidR="0033288A" w:rsidRPr="0018386D">
              <w:rPr>
                <w:rFonts w:cs="Calibri"/>
                <w:szCs w:val="18"/>
              </w:rPr>
              <w:t xml:space="preserve"> </w:t>
            </w:r>
            <w:r w:rsidRPr="0018386D">
              <w:rPr>
                <w:rFonts w:cs="Calibri"/>
                <w:szCs w:val="18"/>
              </w:rPr>
              <w:t>2020</w:t>
            </w:r>
          </w:p>
        </w:tc>
        <w:tc>
          <w:tcPr>
            <w:tcW w:w="567" w:type="dxa"/>
            <w:shd w:val="clear" w:color="000000" w:fill="FFFFFF"/>
            <w:noWrap/>
            <w:hideMark/>
          </w:tcPr>
          <w:p w14:paraId="6E285F8A"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1DE61264" w14:textId="780DABE4" w:rsidR="008E2ED2" w:rsidRPr="0018386D" w:rsidRDefault="008E2ED2" w:rsidP="00DD3106">
            <w:pPr>
              <w:pStyle w:val="TableText"/>
              <w:spacing w:before="40" w:after="40"/>
              <w:rPr>
                <w:rFonts w:cs="Calibri"/>
                <w:szCs w:val="18"/>
              </w:rPr>
            </w:pPr>
            <w:r w:rsidRPr="0018386D">
              <w:rPr>
                <w:rFonts w:cs="Calibri"/>
                <w:szCs w:val="18"/>
              </w:rPr>
              <w:t>0.103</w:t>
            </w:r>
          </w:p>
        </w:tc>
        <w:tc>
          <w:tcPr>
            <w:tcW w:w="1134" w:type="dxa"/>
            <w:shd w:val="clear" w:color="000000" w:fill="FFFFFF"/>
            <w:noWrap/>
            <w:hideMark/>
          </w:tcPr>
          <w:p w14:paraId="1E5C577A" w14:textId="3F8843A9" w:rsidR="008E2ED2" w:rsidRPr="0018386D" w:rsidRDefault="008E2ED2" w:rsidP="00DD3106">
            <w:pPr>
              <w:pStyle w:val="TableText"/>
              <w:spacing w:before="40" w:after="40"/>
              <w:rPr>
                <w:rFonts w:cs="Calibri"/>
                <w:szCs w:val="18"/>
              </w:rPr>
            </w:pPr>
            <w:r w:rsidRPr="0018386D">
              <w:rPr>
                <w:rFonts w:cs="Calibri"/>
                <w:szCs w:val="18"/>
              </w:rPr>
              <w:t>0.102</w:t>
            </w:r>
          </w:p>
        </w:tc>
        <w:tc>
          <w:tcPr>
            <w:tcW w:w="1984" w:type="dxa"/>
            <w:shd w:val="clear" w:color="000000" w:fill="FFFFFF"/>
            <w:noWrap/>
            <w:hideMark/>
          </w:tcPr>
          <w:p w14:paraId="5794B24B" w14:textId="1D1B2C31" w:rsidR="008E2ED2" w:rsidRPr="0018386D" w:rsidRDefault="008E2ED2" w:rsidP="00DD3106">
            <w:pPr>
              <w:pStyle w:val="TableText"/>
              <w:spacing w:before="40" w:after="40"/>
              <w:rPr>
                <w:rFonts w:cs="Calibri"/>
                <w:szCs w:val="18"/>
              </w:rPr>
            </w:pPr>
            <w:r w:rsidRPr="0018386D">
              <w:rPr>
                <w:rFonts w:cs="Calibri"/>
                <w:szCs w:val="18"/>
              </w:rPr>
              <w:t>0.0001</w:t>
            </w:r>
          </w:p>
        </w:tc>
        <w:tc>
          <w:tcPr>
            <w:tcW w:w="2126" w:type="dxa"/>
            <w:shd w:val="clear" w:color="000000" w:fill="FFFFFF"/>
            <w:noWrap/>
            <w:hideMark/>
          </w:tcPr>
          <w:p w14:paraId="7E88D251" w14:textId="2C931545" w:rsidR="008E2ED2" w:rsidRPr="0018386D" w:rsidRDefault="008E2ED2" w:rsidP="00DD3106">
            <w:pPr>
              <w:pStyle w:val="TableText"/>
              <w:spacing w:before="40" w:after="40"/>
              <w:rPr>
                <w:rFonts w:cs="Calibri"/>
                <w:szCs w:val="18"/>
              </w:rPr>
            </w:pPr>
            <w:r w:rsidRPr="0018386D">
              <w:rPr>
                <w:rFonts w:cs="Calibri"/>
                <w:szCs w:val="18"/>
              </w:rPr>
              <w:t>0.0000006</w:t>
            </w:r>
          </w:p>
        </w:tc>
      </w:tr>
      <w:tr w:rsidR="00FB1B1C" w:rsidRPr="0018386D" w14:paraId="131338C4" w14:textId="77777777" w:rsidTr="00A15EFF">
        <w:trPr>
          <w:divId w:val="1166170418"/>
        </w:trPr>
        <w:tc>
          <w:tcPr>
            <w:tcW w:w="1418" w:type="dxa"/>
            <w:shd w:val="clear" w:color="000000" w:fill="FFFFFF"/>
            <w:noWrap/>
            <w:hideMark/>
          </w:tcPr>
          <w:p w14:paraId="366E8800" w14:textId="3F598A10" w:rsidR="008E2ED2" w:rsidRPr="0018386D" w:rsidRDefault="008E2ED2" w:rsidP="00DD3106">
            <w:pPr>
              <w:pStyle w:val="TableText"/>
              <w:spacing w:before="40" w:after="40"/>
              <w:rPr>
                <w:rFonts w:cs="Calibri"/>
                <w:szCs w:val="18"/>
              </w:rPr>
            </w:pPr>
            <w:r w:rsidRPr="0018386D">
              <w:rPr>
                <w:rFonts w:cs="Calibri"/>
                <w:szCs w:val="18"/>
              </w:rPr>
              <w:t>Sep</w:t>
            </w:r>
            <w:r w:rsidR="0033288A" w:rsidRPr="0018386D">
              <w:rPr>
                <w:rFonts w:cs="Calibri"/>
                <w:szCs w:val="18"/>
              </w:rPr>
              <w:t xml:space="preserve"> </w:t>
            </w:r>
            <w:r w:rsidRPr="0018386D">
              <w:rPr>
                <w:rFonts w:cs="Calibri"/>
                <w:szCs w:val="18"/>
              </w:rPr>
              <w:t>2020</w:t>
            </w:r>
          </w:p>
        </w:tc>
        <w:tc>
          <w:tcPr>
            <w:tcW w:w="567" w:type="dxa"/>
            <w:shd w:val="clear" w:color="000000" w:fill="FFFFFF"/>
            <w:noWrap/>
            <w:hideMark/>
          </w:tcPr>
          <w:p w14:paraId="49643FAA"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25EB4A88" w14:textId="77777777" w:rsidR="008E2ED2" w:rsidRPr="0018386D" w:rsidRDefault="008E2ED2" w:rsidP="00DD3106">
            <w:pPr>
              <w:pStyle w:val="TableText"/>
              <w:spacing w:before="40" w:after="40"/>
              <w:rPr>
                <w:rFonts w:cs="Calibri"/>
                <w:szCs w:val="18"/>
              </w:rPr>
            </w:pPr>
            <w:r w:rsidRPr="0018386D">
              <w:rPr>
                <w:rFonts w:cs="Calibri"/>
                <w:szCs w:val="18"/>
              </w:rPr>
              <w:t>0.147</w:t>
            </w:r>
          </w:p>
        </w:tc>
        <w:tc>
          <w:tcPr>
            <w:tcW w:w="1134" w:type="dxa"/>
            <w:shd w:val="clear" w:color="000000" w:fill="FFFFFF"/>
            <w:noWrap/>
            <w:hideMark/>
          </w:tcPr>
          <w:p w14:paraId="4E96FADA" w14:textId="77777777" w:rsidR="008E2ED2" w:rsidRPr="0018386D" w:rsidRDefault="008E2ED2" w:rsidP="00DD3106">
            <w:pPr>
              <w:pStyle w:val="TableText"/>
              <w:spacing w:before="40" w:after="40"/>
              <w:rPr>
                <w:rFonts w:cs="Calibri"/>
                <w:szCs w:val="18"/>
              </w:rPr>
            </w:pPr>
            <w:r w:rsidRPr="0018386D">
              <w:rPr>
                <w:rFonts w:cs="Calibri"/>
                <w:szCs w:val="18"/>
              </w:rPr>
              <w:t>0.147</w:t>
            </w:r>
          </w:p>
        </w:tc>
        <w:tc>
          <w:tcPr>
            <w:tcW w:w="1984" w:type="dxa"/>
            <w:shd w:val="clear" w:color="000000" w:fill="FFFFFF"/>
            <w:noWrap/>
            <w:hideMark/>
          </w:tcPr>
          <w:p w14:paraId="112266EC" w14:textId="77777777" w:rsidR="008E2ED2" w:rsidRPr="0018386D" w:rsidRDefault="008E2ED2" w:rsidP="00DD3106">
            <w:pPr>
              <w:pStyle w:val="TableText"/>
              <w:spacing w:before="40" w:after="40"/>
              <w:rPr>
                <w:rFonts w:cs="Calibri"/>
                <w:szCs w:val="18"/>
              </w:rPr>
            </w:pPr>
            <w:r w:rsidRPr="0018386D">
              <w:rPr>
                <w:rFonts w:cs="Calibri"/>
                <w:szCs w:val="18"/>
              </w:rPr>
              <w:t>0.0002</w:t>
            </w:r>
          </w:p>
        </w:tc>
        <w:tc>
          <w:tcPr>
            <w:tcW w:w="2126" w:type="dxa"/>
            <w:shd w:val="clear" w:color="000000" w:fill="FFFFFF"/>
            <w:noWrap/>
            <w:hideMark/>
          </w:tcPr>
          <w:p w14:paraId="6FD32A86" w14:textId="77777777" w:rsidR="008E2ED2" w:rsidRPr="0018386D" w:rsidRDefault="008E2ED2" w:rsidP="00DD3106">
            <w:pPr>
              <w:pStyle w:val="TableText"/>
              <w:spacing w:before="40" w:after="40"/>
              <w:rPr>
                <w:rFonts w:cs="Calibri"/>
                <w:szCs w:val="18"/>
              </w:rPr>
            </w:pPr>
            <w:r w:rsidRPr="0018386D">
              <w:rPr>
                <w:rFonts w:cs="Calibri"/>
                <w:szCs w:val="18"/>
              </w:rPr>
              <w:t>0.0000009</w:t>
            </w:r>
          </w:p>
        </w:tc>
      </w:tr>
      <w:tr w:rsidR="00FB1B1C" w:rsidRPr="0018386D" w14:paraId="21CD4104" w14:textId="77777777" w:rsidTr="00A15EFF">
        <w:trPr>
          <w:divId w:val="1166170418"/>
        </w:trPr>
        <w:tc>
          <w:tcPr>
            <w:tcW w:w="1418" w:type="dxa"/>
            <w:shd w:val="clear" w:color="000000" w:fill="FFFFFF"/>
            <w:noWrap/>
            <w:hideMark/>
          </w:tcPr>
          <w:p w14:paraId="637561D6" w14:textId="6912561C" w:rsidR="008E2ED2" w:rsidRPr="0018386D" w:rsidRDefault="008E2ED2" w:rsidP="00DD3106">
            <w:pPr>
              <w:pStyle w:val="TableText"/>
              <w:spacing w:before="40" w:after="40"/>
              <w:rPr>
                <w:rFonts w:cs="Calibri"/>
                <w:szCs w:val="18"/>
              </w:rPr>
            </w:pPr>
            <w:r w:rsidRPr="0018386D">
              <w:rPr>
                <w:rFonts w:cs="Calibri"/>
                <w:szCs w:val="18"/>
              </w:rPr>
              <w:t>Jun</w:t>
            </w:r>
            <w:r w:rsidR="0033288A" w:rsidRPr="0018386D">
              <w:rPr>
                <w:rFonts w:cs="Calibri"/>
                <w:szCs w:val="18"/>
              </w:rPr>
              <w:t xml:space="preserve"> </w:t>
            </w:r>
            <w:r w:rsidRPr="0018386D">
              <w:rPr>
                <w:rFonts w:cs="Calibri"/>
                <w:szCs w:val="18"/>
              </w:rPr>
              <w:t>2020</w:t>
            </w:r>
          </w:p>
        </w:tc>
        <w:tc>
          <w:tcPr>
            <w:tcW w:w="567" w:type="dxa"/>
            <w:shd w:val="clear" w:color="000000" w:fill="FFFFFF"/>
            <w:noWrap/>
            <w:hideMark/>
          </w:tcPr>
          <w:p w14:paraId="29373625"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4624F665" w14:textId="77777777" w:rsidR="008E2ED2" w:rsidRPr="0018386D" w:rsidRDefault="008E2ED2" w:rsidP="00DD3106">
            <w:pPr>
              <w:pStyle w:val="TableText"/>
              <w:spacing w:before="40" w:after="40"/>
              <w:rPr>
                <w:rFonts w:cs="Calibri"/>
                <w:szCs w:val="18"/>
              </w:rPr>
            </w:pPr>
            <w:r w:rsidRPr="0018386D">
              <w:rPr>
                <w:rFonts w:cs="Calibri"/>
                <w:szCs w:val="18"/>
              </w:rPr>
              <w:t>0.111</w:t>
            </w:r>
          </w:p>
        </w:tc>
        <w:tc>
          <w:tcPr>
            <w:tcW w:w="1134" w:type="dxa"/>
            <w:shd w:val="clear" w:color="000000" w:fill="FFFFFF"/>
            <w:noWrap/>
            <w:hideMark/>
          </w:tcPr>
          <w:p w14:paraId="130D4913" w14:textId="77777777" w:rsidR="008E2ED2" w:rsidRPr="0018386D" w:rsidRDefault="008E2ED2" w:rsidP="00DD3106">
            <w:pPr>
              <w:pStyle w:val="TableText"/>
              <w:spacing w:before="40" w:after="40"/>
              <w:rPr>
                <w:rFonts w:cs="Calibri"/>
                <w:szCs w:val="18"/>
              </w:rPr>
            </w:pPr>
            <w:r w:rsidRPr="0018386D">
              <w:rPr>
                <w:rFonts w:cs="Calibri"/>
                <w:szCs w:val="18"/>
              </w:rPr>
              <w:t>0.111</w:t>
            </w:r>
          </w:p>
        </w:tc>
        <w:tc>
          <w:tcPr>
            <w:tcW w:w="1984" w:type="dxa"/>
            <w:shd w:val="clear" w:color="000000" w:fill="FFFFFF"/>
            <w:noWrap/>
            <w:hideMark/>
          </w:tcPr>
          <w:p w14:paraId="7FB92335" w14:textId="77777777" w:rsidR="008E2ED2" w:rsidRPr="0018386D" w:rsidRDefault="008E2ED2" w:rsidP="00DD3106">
            <w:pPr>
              <w:pStyle w:val="TableText"/>
              <w:spacing w:before="40" w:after="40"/>
              <w:rPr>
                <w:rFonts w:cs="Calibri"/>
                <w:szCs w:val="18"/>
              </w:rPr>
            </w:pPr>
            <w:r w:rsidRPr="0018386D">
              <w:rPr>
                <w:rFonts w:cs="Calibri"/>
                <w:szCs w:val="18"/>
              </w:rPr>
              <w:t>0.0001</w:t>
            </w:r>
          </w:p>
        </w:tc>
        <w:tc>
          <w:tcPr>
            <w:tcW w:w="2126" w:type="dxa"/>
            <w:shd w:val="clear" w:color="000000" w:fill="FFFFFF"/>
            <w:noWrap/>
            <w:hideMark/>
          </w:tcPr>
          <w:p w14:paraId="7C88A921" w14:textId="77777777" w:rsidR="008E2ED2" w:rsidRPr="0018386D" w:rsidRDefault="008E2ED2" w:rsidP="00DD3106">
            <w:pPr>
              <w:pStyle w:val="TableText"/>
              <w:spacing w:before="40" w:after="40"/>
              <w:rPr>
                <w:rFonts w:cs="Calibri"/>
                <w:szCs w:val="18"/>
              </w:rPr>
            </w:pPr>
            <w:r w:rsidRPr="0018386D">
              <w:rPr>
                <w:rFonts w:cs="Calibri"/>
                <w:szCs w:val="18"/>
              </w:rPr>
              <w:t>0.0000007</w:t>
            </w:r>
          </w:p>
        </w:tc>
      </w:tr>
      <w:tr w:rsidR="00FB1B1C" w:rsidRPr="0018386D" w14:paraId="2371929F" w14:textId="77777777" w:rsidTr="00A15EFF">
        <w:trPr>
          <w:divId w:val="1166170418"/>
        </w:trPr>
        <w:tc>
          <w:tcPr>
            <w:tcW w:w="1418" w:type="dxa"/>
            <w:shd w:val="clear" w:color="000000" w:fill="FFFFFF"/>
            <w:noWrap/>
            <w:hideMark/>
          </w:tcPr>
          <w:p w14:paraId="5A43EAD4" w14:textId="7F7E6941" w:rsidR="008E2ED2" w:rsidRPr="0018386D" w:rsidRDefault="008E2ED2" w:rsidP="00DD3106">
            <w:pPr>
              <w:pStyle w:val="TableText"/>
              <w:spacing w:before="40" w:after="40"/>
              <w:rPr>
                <w:rFonts w:cs="Calibri"/>
                <w:szCs w:val="18"/>
              </w:rPr>
            </w:pPr>
            <w:r w:rsidRPr="0018386D">
              <w:rPr>
                <w:rFonts w:cs="Calibri"/>
                <w:szCs w:val="18"/>
              </w:rPr>
              <w:t>Mar</w:t>
            </w:r>
            <w:r w:rsidR="0033288A" w:rsidRPr="0018386D">
              <w:rPr>
                <w:rFonts w:cs="Calibri"/>
                <w:szCs w:val="18"/>
              </w:rPr>
              <w:t xml:space="preserve"> </w:t>
            </w:r>
            <w:r w:rsidRPr="0018386D">
              <w:rPr>
                <w:rFonts w:cs="Calibri"/>
                <w:szCs w:val="18"/>
              </w:rPr>
              <w:t>2020</w:t>
            </w:r>
          </w:p>
        </w:tc>
        <w:tc>
          <w:tcPr>
            <w:tcW w:w="567" w:type="dxa"/>
            <w:shd w:val="clear" w:color="000000" w:fill="FFFFFF"/>
            <w:noWrap/>
            <w:hideMark/>
          </w:tcPr>
          <w:p w14:paraId="7A949F94" w14:textId="77777777" w:rsidR="008E2ED2" w:rsidRPr="0018386D" w:rsidRDefault="008E2ED2" w:rsidP="00DD3106">
            <w:pPr>
              <w:pStyle w:val="TableText"/>
              <w:spacing w:before="40" w:after="40"/>
              <w:rPr>
                <w:rFonts w:cs="Calibri"/>
                <w:szCs w:val="18"/>
              </w:rPr>
            </w:pPr>
            <w:r w:rsidRPr="0018386D">
              <w:rPr>
                <w:rFonts w:cs="Calibri"/>
                <w:szCs w:val="18"/>
              </w:rPr>
              <w:t>kWh</w:t>
            </w:r>
          </w:p>
        </w:tc>
        <w:tc>
          <w:tcPr>
            <w:tcW w:w="1276" w:type="dxa"/>
            <w:shd w:val="clear" w:color="000000" w:fill="D2DDE1"/>
            <w:noWrap/>
            <w:hideMark/>
          </w:tcPr>
          <w:p w14:paraId="32BAE56E" w14:textId="77777777" w:rsidR="008E2ED2" w:rsidRPr="0018386D" w:rsidRDefault="008E2ED2" w:rsidP="00DD3106">
            <w:pPr>
              <w:pStyle w:val="TableText"/>
              <w:spacing w:before="40" w:after="40"/>
              <w:rPr>
                <w:rFonts w:cs="Calibri"/>
                <w:szCs w:val="18"/>
              </w:rPr>
            </w:pPr>
            <w:r w:rsidRPr="0018386D">
              <w:rPr>
                <w:rFonts w:cs="Calibri"/>
                <w:szCs w:val="18"/>
              </w:rPr>
              <w:t>0.117</w:t>
            </w:r>
          </w:p>
        </w:tc>
        <w:tc>
          <w:tcPr>
            <w:tcW w:w="1134" w:type="dxa"/>
            <w:shd w:val="clear" w:color="000000" w:fill="FFFFFF"/>
            <w:noWrap/>
            <w:hideMark/>
          </w:tcPr>
          <w:p w14:paraId="47007FC2" w14:textId="77777777" w:rsidR="008E2ED2" w:rsidRPr="0018386D" w:rsidRDefault="008E2ED2" w:rsidP="00DD3106">
            <w:pPr>
              <w:pStyle w:val="TableText"/>
              <w:spacing w:before="40" w:after="40"/>
              <w:rPr>
                <w:rFonts w:cs="Calibri"/>
                <w:szCs w:val="18"/>
              </w:rPr>
            </w:pPr>
            <w:r w:rsidRPr="0018386D">
              <w:rPr>
                <w:rFonts w:cs="Calibri"/>
                <w:szCs w:val="18"/>
              </w:rPr>
              <w:t>0.117</w:t>
            </w:r>
          </w:p>
        </w:tc>
        <w:tc>
          <w:tcPr>
            <w:tcW w:w="1984" w:type="dxa"/>
            <w:shd w:val="clear" w:color="000000" w:fill="FFFFFF"/>
            <w:noWrap/>
            <w:hideMark/>
          </w:tcPr>
          <w:p w14:paraId="7932044C" w14:textId="77777777" w:rsidR="008E2ED2" w:rsidRPr="0018386D" w:rsidRDefault="008E2ED2" w:rsidP="00DD3106">
            <w:pPr>
              <w:pStyle w:val="TableText"/>
              <w:spacing w:before="40" w:after="40"/>
              <w:rPr>
                <w:rFonts w:cs="Calibri"/>
                <w:szCs w:val="18"/>
              </w:rPr>
            </w:pPr>
            <w:r w:rsidRPr="0018386D">
              <w:rPr>
                <w:rFonts w:cs="Calibri"/>
                <w:szCs w:val="18"/>
              </w:rPr>
              <w:t>0.0001</w:t>
            </w:r>
          </w:p>
        </w:tc>
        <w:tc>
          <w:tcPr>
            <w:tcW w:w="2126" w:type="dxa"/>
            <w:shd w:val="clear" w:color="000000" w:fill="FFFFFF"/>
            <w:noWrap/>
            <w:hideMark/>
          </w:tcPr>
          <w:p w14:paraId="0EDBDB1D" w14:textId="77777777" w:rsidR="008E2ED2" w:rsidRPr="0018386D" w:rsidRDefault="008E2ED2" w:rsidP="00DD3106">
            <w:pPr>
              <w:pStyle w:val="TableText"/>
              <w:spacing w:before="40" w:after="40"/>
              <w:rPr>
                <w:rFonts w:cs="Calibri"/>
                <w:szCs w:val="18"/>
              </w:rPr>
            </w:pPr>
            <w:r w:rsidRPr="0018386D">
              <w:rPr>
                <w:rFonts w:cs="Calibri"/>
                <w:szCs w:val="18"/>
              </w:rPr>
              <w:t>0.0000007</w:t>
            </w:r>
          </w:p>
        </w:tc>
      </w:tr>
    </w:tbl>
    <w:p w14:paraId="02BE24CF" w14:textId="0854399F" w:rsidR="009B600F" w:rsidRPr="0018386D" w:rsidRDefault="009B600F" w:rsidP="00DD3106">
      <w:pPr>
        <w:pStyle w:val="Note"/>
      </w:pPr>
      <w:bookmarkStart w:id="292" w:name="_Toc532904884"/>
      <w:r w:rsidRPr="0018386D">
        <w:rPr>
          <w:b/>
          <w:bCs/>
        </w:rPr>
        <w:t>Note:</w:t>
      </w:r>
      <w:r w:rsidRPr="0018386D">
        <w:t xml:space="preserve"> These numbers are rounded to three decimal places unless the number is significantly small.</w:t>
      </w:r>
      <w:r w:rsidR="004C3308" w:rsidRPr="0018386D">
        <w:t xml:space="preserve"> </w:t>
      </w:r>
    </w:p>
    <w:p w14:paraId="5EE6EF19" w14:textId="284CBB16" w:rsidR="00B276B8" w:rsidRPr="0018386D" w:rsidRDefault="00301928" w:rsidP="00DD3106">
      <w:pPr>
        <w:pStyle w:val="Heading3"/>
        <w:numPr>
          <w:ilvl w:val="2"/>
          <w:numId w:val="8"/>
        </w:numPr>
        <w:jc w:val="both"/>
      </w:pPr>
      <w:r w:rsidRPr="0018386D">
        <w:t xml:space="preserve">GHG </w:t>
      </w:r>
      <w:r w:rsidR="00B276B8" w:rsidRPr="0018386D">
        <w:t>inventory development</w:t>
      </w:r>
      <w:bookmarkEnd w:id="292"/>
      <w:r w:rsidR="00B276B8" w:rsidRPr="0018386D">
        <w:t xml:space="preserve"> </w:t>
      </w:r>
    </w:p>
    <w:p w14:paraId="43B831D2" w14:textId="4BA14FBE" w:rsidR="00B276B8" w:rsidRPr="0018386D" w:rsidRDefault="005C1CC8" w:rsidP="00DD3106">
      <w:pPr>
        <w:pStyle w:val="BodyText"/>
      </w:pPr>
      <w:r w:rsidRPr="0018386D">
        <w:t xml:space="preserve">To calculate the emissions from purchased electricity, </w:t>
      </w:r>
      <w:r w:rsidR="00990DA2" w:rsidRPr="0018386D">
        <w:t>first</w:t>
      </w:r>
      <w:r w:rsidR="67C54BAC" w:rsidRPr="0018386D">
        <w:t xml:space="preserve"> </w:t>
      </w:r>
      <w:r w:rsidRPr="0018386D">
        <w:t>collect data on the quantity of electricity used during the period in kilowatt hours (kWh)</w:t>
      </w:r>
      <w:r w:rsidR="00F91EEE" w:rsidRPr="0018386D">
        <w:t>,</w:t>
      </w:r>
      <w:r w:rsidRPr="0018386D">
        <w:t xml:space="preserve"> </w:t>
      </w:r>
      <w:r w:rsidR="589D08C0" w:rsidRPr="0018386D">
        <w:t>then</w:t>
      </w:r>
      <w:r w:rsidR="45E572ED" w:rsidRPr="0018386D">
        <w:t xml:space="preserve"> </w:t>
      </w:r>
      <w:r w:rsidRPr="0018386D">
        <w:t xml:space="preserve">multiply this by the emission factor. </w:t>
      </w:r>
      <w:r w:rsidR="00D1128D" w:rsidRPr="0018386D">
        <w:t xml:space="preserve">Applying the equation </w:t>
      </w:r>
      <w:r w:rsidR="00A71EB9" w:rsidRPr="0018386D">
        <w:t>E = Q x F</w:t>
      </w:r>
      <w:r w:rsidR="00D1128D" w:rsidRPr="0018386D">
        <w:t xml:space="preserve"> </w:t>
      </w:r>
      <w:r w:rsidR="00A71EB9" w:rsidRPr="0018386D">
        <w:t>(</w:t>
      </w:r>
      <w:hyperlink w:anchor="_How_to_quantify">
        <w:r w:rsidR="00CD2B39" w:rsidRPr="0018386D">
          <w:rPr>
            <w:rStyle w:val="Hyperlink"/>
          </w:rPr>
          <w:t>s</w:t>
        </w:r>
        <w:r w:rsidR="006D445E" w:rsidRPr="0018386D">
          <w:rPr>
            <w:rStyle w:val="Hyperlink"/>
          </w:rPr>
          <w:t>ection 2</w:t>
        </w:r>
      </w:hyperlink>
      <w:r w:rsidR="00A71EB9" w:rsidRPr="0018386D">
        <w:rPr>
          <w:rStyle w:val="Hyperlink"/>
          <w:color w:val="auto"/>
        </w:rPr>
        <w:t>)</w:t>
      </w:r>
      <w:r w:rsidR="00D1128D" w:rsidRPr="0018386D">
        <w:rPr>
          <w:i/>
        </w:rPr>
        <w:t>,</w:t>
      </w:r>
      <w:r w:rsidR="00D1128D" w:rsidRPr="0018386D">
        <w:t xml:space="preserve"> this means</w:t>
      </w:r>
      <w:r w:rsidRPr="0018386D">
        <w:t>:</w:t>
      </w:r>
    </w:p>
    <w:p w14:paraId="254EB2AD" w14:textId="65A4ED25" w:rsidR="00A71EB9" w:rsidRPr="0018386D" w:rsidRDefault="00A71EB9" w:rsidP="00DD3106">
      <w:pPr>
        <w:pStyle w:val="BodyText"/>
        <w:tabs>
          <w:tab w:val="left" w:pos="680"/>
        </w:tabs>
        <w:contextualSpacing/>
        <w:jc w:val="both"/>
      </w:pPr>
      <w:r w:rsidRPr="0018386D">
        <w:t>E</w:t>
      </w:r>
      <w:r w:rsidRPr="0018386D">
        <w:tab/>
        <w:t>=</w:t>
      </w:r>
      <w:r w:rsidRPr="0018386D">
        <w:tab/>
      </w:r>
      <w:r w:rsidR="0087252B" w:rsidRPr="0018386D">
        <w:t xml:space="preserve"> </w:t>
      </w:r>
      <w:r w:rsidRPr="0018386D">
        <w:t>emissions from the emissions source in kg CO</w:t>
      </w:r>
      <w:r w:rsidRPr="0018386D">
        <w:rPr>
          <w:vertAlign w:val="subscript"/>
        </w:rPr>
        <w:t>2</w:t>
      </w:r>
      <w:r w:rsidRPr="0018386D">
        <w:t>-e per year</w:t>
      </w:r>
    </w:p>
    <w:p w14:paraId="10F8FCD7" w14:textId="26601ACF" w:rsidR="002C3304" w:rsidRPr="0018386D" w:rsidRDefault="00B276B8" w:rsidP="00DD3106">
      <w:pPr>
        <w:pStyle w:val="BodyText"/>
        <w:tabs>
          <w:tab w:val="left" w:pos="680"/>
        </w:tabs>
        <w:contextualSpacing/>
      </w:pPr>
      <w:r w:rsidRPr="0018386D">
        <w:t>Q</w:t>
      </w:r>
      <w:r w:rsidR="00E57DD8" w:rsidRPr="0018386D">
        <w:tab/>
      </w:r>
      <w:r w:rsidRPr="0018386D">
        <w:t>=</w:t>
      </w:r>
      <w:r w:rsidR="008E1E71" w:rsidRPr="0018386D">
        <w:t xml:space="preserve"> </w:t>
      </w:r>
      <w:r w:rsidR="00060B14" w:rsidRPr="0018386D">
        <w:t>quantity</w:t>
      </w:r>
      <w:r w:rsidRPr="0018386D">
        <w:t xml:space="preserve"> of electricity</w:t>
      </w:r>
      <w:r w:rsidR="00060B14" w:rsidRPr="0018386D">
        <w:t xml:space="preserve"> used</w:t>
      </w:r>
      <w:r w:rsidRPr="0018386D">
        <w:t xml:space="preserve"> (</w:t>
      </w:r>
      <w:r w:rsidR="00060B14" w:rsidRPr="0018386D">
        <w:t>kWh</w:t>
      </w:r>
      <w:r w:rsidRPr="0018386D">
        <w:t>)</w:t>
      </w:r>
      <w:r w:rsidR="00A71EB9" w:rsidRPr="0018386D">
        <w:br/>
      </w:r>
      <w:r w:rsidR="00E57DD8" w:rsidRPr="0018386D">
        <w:t>F</w:t>
      </w:r>
      <w:r w:rsidR="00E57DD8" w:rsidRPr="0018386D">
        <w:tab/>
        <w:t>=</w:t>
      </w:r>
      <w:r w:rsidR="008E1E71" w:rsidRPr="0018386D">
        <w:t xml:space="preserve"> </w:t>
      </w:r>
      <w:r w:rsidRPr="0018386D">
        <w:t xml:space="preserve">emission factors from </w:t>
      </w:r>
      <w:hyperlink w:anchor="table9" w:history="1">
        <w:r w:rsidR="002C3304" w:rsidRPr="0018386D">
          <w:rPr>
            <w:rStyle w:val="Hyperlink"/>
          </w:rPr>
          <w:t>table 9</w:t>
        </w:r>
      </w:hyperlink>
      <w:r w:rsidR="00756D5B" w:rsidRPr="0018386D">
        <w:t xml:space="preserve"> or </w:t>
      </w:r>
      <w:hyperlink w:anchor="table10" w:history="1">
        <w:r w:rsidR="00756D5B" w:rsidRPr="0018386D">
          <w:rPr>
            <w:rStyle w:val="Hyperlink"/>
          </w:rPr>
          <w:t>table 10</w:t>
        </w:r>
      </w:hyperlink>
    </w:p>
    <w:p w14:paraId="3977EF50" w14:textId="2DCDBBEC" w:rsidR="00B276B8" w:rsidRPr="0018386D" w:rsidRDefault="00B276B8" w:rsidP="00DD3106">
      <w:pPr>
        <w:pStyle w:val="BodyText"/>
        <w:spacing w:after="240"/>
      </w:pPr>
      <w:r w:rsidRPr="0018386D">
        <w:rPr>
          <w:spacing w:val="-2"/>
        </w:rPr>
        <w:t xml:space="preserve">All </w:t>
      </w:r>
      <w:r w:rsidR="000F53FA" w:rsidRPr="0018386D">
        <w:rPr>
          <w:spacing w:val="-2"/>
        </w:rPr>
        <w:t>organisations</w:t>
      </w:r>
      <w:r w:rsidRPr="0018386D">
        <w:rPr>
          <w:spacing w:val="-2"/>
        </w:rPr>
        <w:t xml:space="preserve"> across sectors typically report emissions using data on the amount of electricity</w:t>
      </w:r>
      <w:r w:rsidRPr="0018386D">
        <w:t xml:space="preserve"> used during the reporting period. Quantified units of electricity consumed are</w:t>
      </w:r>
      <w:r w:rsidR="006C0531" w:rsidRPr="0018386D">
        <w:t> </w:t>
      </w:r>
      <w:r w:rsidRPr="0018386D">
        <w:t>preferable.</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5C1CC8" w:rsidRPr="0018386D" w:rsidDel="00D5390D" w14:paraId="7C22C4FF" w14:textId="77777777" w:rsidTr="7326C779">
        <w:tc>
          <w:tcPr>
            <w:tcW w:w="8500" w:type="dxa"/>
            <w:tcBorders>
              <w:top w:val="single" w:sz="4" w:space="0" w:color="0F7B7D"/>
              <w:left w:val="single" w:sz="4" w:space="0" w:color="0F7B7D"/>
              <w:bottom w:val="nil"/>
              <w:right w:val="single" w:sz="4" w:space="0" w:color="0F7B7D"/>
            </w:tcBorders>
            <w:shd w:val="clear" w:color="auto" w:fill="0F7B7D"/>
            <w:vAlign w:val="center"/>
          </w:tcPr>
          <w:p w14:paraId="701BF8C0" w14:textId="612BA440" w:rsidR="005C1CC8" w:rsidRPr="0018386D" w:rsidDel="00D5390D" w:rsidRDefault="00DA4EBA" w:rsidP="00DD3106">
            <w:pPr>
              <w:pStyle w:val="Casestudyheading"/>
              <w:ind w:left="0"/>
            </w:pPr>
            <w:bookmarkStart w:id="293" w:name="_Hlk532637293"/>
            <w:r w:rsidRPr="0018386D">
              <w:t xml:space="preserve">PURCHASED ELECTRICITY: </w:t>
            </w:r>
            <w:r w:rsidR="005C1CC8" w:rsidRPr="0018386D">
              <w:t>Example Calculation</w:t>
            </w:r>
          </w:p>
        </w:tc>
      </w:tr>
      <w:tr w:rsidR="005C1CC8" w:rsidRPr="0018386D" w14:paraId="72A9917E" w14:textId="77777777" w:rsidTr="7326C779">
        <w:trPr>
          <w:trHeight w:val="114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5CEC7687" w14:textId="2353D47D" w:rsidR="005C1CC8" w:rsidRPr="0018386D" w:rsidRDefault="00013B45" w:rsidP="00DD3106">
            <w:pPr>
              <w:pStyle w:val="Boxtext"/>
              <w:spacing w:before="180" w:after="80"/>
            </w:pPr>
            <w:r w:rsidRPr="0018386D">
              <w:t>A</w:t>
            </w:r>
            <w:r w:rsidR="005C1CC8" w:rsidRPr="0018386D">
              <w:t xml:space="preserve">n organisation uses 800,000 kWh of electricity in the </w:t>
            </w:r>
            <w:r w:rsidRPr="0018386D">
              <w:t>20</w:t>
            </w:r>
            <w:r w:rsidR="008B1ACB" w:rsidRPr="0018386D">
              <w:t>2</w:t>
            </w:r>
            <w:r w:rsidR="00D37CB6" w:rsidRPr="0018386D">
              <w:t>2</w:t>
            </w:r>
            <w:r w:rsidRPr="0018386D">
              <w:t xml:space="preserve"> </w:t>
            </w:r>
            <w:r w:rsidR="005C1CC8" w:rsidRPr="0018386D">
              <w:t>reporting period. Its indirect (Scope</w:t>
            </w:r>
            <w:r w:rsidR="00235949" w:rsidRPr="0018386D">
              <w:t> </w:t>
            </w:r>
            <w:r w:rsidR="005C1CC8" w:rsidRPr="0018386D">
              <w:t xml:space="preserve">2) emissions from electricity are: </w:t>
            </w:r>
          </w:p>
          <w:p w14:paraId="2F6E2F6E" w14:textId="41D1A14A" w:rsidR="005C1CC8" w:rsidRPr="0018386D" w:rsidRDefault="005C1CC8" w:rsidP="00DD3106">
            <w:pPr>
              <w:pStyle w:val="Boxtext"/>
              <w:tabs>
                <w:tab w:val="left" w:pos="2416"/>
                <w:tab w:val="left" w:pos="4967"/>
              </w:tabs>
              <w:spacing w:before="20" w:after="20"/>
              <w:rPr>
                <w:vertAlign w:val="subscript"/>
              </w:rPr>
            </w:pPr>
            <w:r w:rsidRPr="0018386D">
              <w:t>CO</w:t>
            </w:r>
            <w:r w:rsidRPr="0018386D">
              <w:rPr>
                <w:vertAlign w:val="subscript"/>
              </w:rPr>
              <w:t>2</w:t>
            </w:r>
            <w:r w:rsidRPr="0018386D">
              <w:t xml:space="preserve"> emissions </w:t>
            </w:r>
            <w:r w:rsidRPr="0018386D">
              <w:tab/>
              <w:t>= 800,000 × 0.</w:t>
            </w:r>
            <w:r w:rsidR="006C3A5B" w:rsidRPr="0018386D">
              <w:t>0721</w:t>
            </w:r>
            <w:r w:rsidRPr="0018386D">
              <w:tab/>
              <w:t xml:space="preserve">= </w:t>
            </w:r>
            <w:r w:rsidR="00D956CF" w:rsidRPr="0018386D">
              <w:t>57,680</w:t>
            </w:r>
            <w:r w:rsidR="003A4162" w:rsidRPr="0018386D">
              <w:t xml:space="preserve"> </w:t>
            </w:r>
            <w:r w:rsidR="00DF1938" w:rsidRPr="0018386D">
              <w:t xml:space="preserve">kg </w:t>
            </w:r>
            <w:r w:rsidRPr="0018386D">
              <w:t>CO</w:t>
            </w:r>
            <w:r w:rsidRPr="0018386D">
              <w:rPr>
                <w:vertAlign w:val="subscript"/>
              </w:rPr>
              <w:t>2</w:t>
            </w:r>
          </w:p>
          <w:p w14:paraId="311E4DD4" w14:textId="10EF27AC" w:rsidR="005C1CC8" w:rsidRPr="0018386D" w:rsidRDefault="005C1CC8" w:rsidP="00DD3106">
            <w:pPr>
              <w:pStyle w:val="Boxtext"/>
              <w:tabs>
                <w:tab w:val="left" w:pos="2416"/>
                <w:tab w:val="left" w:pos="4967"/>
              </w:tabs>
              <w:spacing w:before="20" w:after="20"/>
            </w:pPr>
            <w:r w:rsidRPr="0018386D">
              <w:t>CH</w:t>
            </w:r>
            <w:r w:rsidRPr="0018386D">
              <w:rPr>
                <w:vertAlign w:val="subscript"/>
              </w:rPr>
              <w:t>4</w:t>
            </w:r>
            <w:r w:rsidRPr="0018386D">
              <w:t xml:space="preserve"> emissions </w:t>
            </w:r>
            <w:r w:rsidRPr="0018386D">
              <w:tab/>
              <w:t>= 800,000 × 0.</w:t>
            </w:r>
            <w:r w:rsidR="005545F5" w:rsidRPr="0018386D">
              <w:t>00194</w:t>
            </w:r>
            <w:r w:rsidRPr="0018386D">
              <w:tab/>
              <w:t xml:space="preserve">= </w:t>
            </w:r>
            <w:r w:rsidR="005B1223" w:rsidRPr="0018386D">
              <w:t>1,522</w:t>
            </w:r>
            <w:r w:rsidR="001D2629" w:rsidRPr="0018386D">
              <w:t xml:space="preserve"> </w:t>
            </w:r>
            <w:r w:rsidRPr="0018386D">
              <w:t>kg CO</w:t>
            </w:r>
            <w:r w:rsidRPr="0018386D">
              <w:rPr>
                <w:vertAlign w:val="subscript"/>
              </w:rPr>
              <w:t>2</w:t>
            </w:r>
            <w:r w:rsidRPr="0018386D">
              <w:t xml:space="preserve">-e </w:t>
            </w:r>
          </w:p>
          <w:p w14:paraId="729C80B3" w14:textId="1C293CB4" w:rsidR="005C1CC8" w:rsidRPr="0018386D" w:rsidRDefault="005C1CC8" w:rsidP="00DD3106">
            <w:pPr>
              <w:pStyle w:val="Boxtext"/>
              <w:tabs>
                <w:tab w:val="left" w:pos="2416"/>
                <w:tab w:val="left" w:pos="4967"/>
              </w:tabs>
              <w:spacing w:before="20" w:after="20"/>
            </w:pPr>
            <w:r w:rsidRPr="0018386D">
              <w:t>N</w:t>
            </w:r>
            <w:r w:rsidRPr="0018386D">
              <w:rPr>
                <w:vertAlign w:val="subscript"/>
              </w:rPr>
              <w:t>2</w:t>
            </w:r>
            <w:r w:rsidRPr="0018386D">
              <w:t>O emissions</w:t>
            </w:r>
            <w:r w:rsidRPr="0018386D">
              <w:tab/>
              <w:t>= 800,000 × 0.</w:t>
            </w:r>
            <w:r w:rsidR="009E021E" w:rsidRPr="0018386D">
              <w:t>000</w:t>
            </w:r>
            <w:r w:rsidR="00C0754E" w:rsidRPr="0018386D">
              <w:t>2</w:t>
            </w:r>
            <w:r w:rsidR="00036DAE" w:rsidRPr="0018386D">
              <w:tab/>
            </w:r>
            <w:r w:rsidRPr="0018386D">
              <w:t xml:space="preserve">= </w:t>
            </w:r>
            <w:r w:rsidR="004823FE" w:rsidRPr="0018386D">
              <w:t>160</w:t>
            </w:r>
            <w:r w:rsidR="001D2629" w:rsidRPr="0018386D">
              <w:t xml:space="preserve"> </w:t>
            </w:r>
            <w:r w:rsidRPr="0018386D">
              <w:t>kg CO</w:t>
            </w:r>
            <w:r w:rsidRPr="0018386D">
              <w:rPr>
                <w:vertAlign w:val="subscript"/>
              </w:rPr>
              <w:t>2</w:t>
            </w:r>
            <w:r w:rsidRPr="0018386D">
              <w:t xml:space="preserve">-e </w:t>
            </w:r>
          </w:p>
          <w:p w14:paraId="79024630" w14:textId="750A865A" w:rsidR="005C1CC8" w:rsidRPr="0018386D" w:rsidRDefault="005C1CC8" w:rsidP="00DD3106">
            <w:pPr>
              <w:pStyle w:val="Boxtext"/>
              <w:tabs>
                <w:tab w:val="left" w:pos="2416"/>
                <w:tab w:val="left" w:pos="4967"/>
              </w:tabs>
              <w:spacing w:before="20" w:after="20"/>
            </w:pPr>
            <w:r w:rsidRPr="0018386D">
              <w:t>Total CO</w:t>
            </w:r>
            <w:r w:rsidRPr="0018386D">
              <w:rPr>
                <w:vertAlign w:val="subscript"/>
              </w:rPr>
              <w:t>2</w:t>
            </w:r>
            <w:r w:rsidRPr="0018386D">
              <w:t>-e emissions</w:t>
            </w:r>
            <w:r w:rsidRPr="0018386D">
              <w:tab/>
              <w:t xml:space="preserve">= </w:t>
            </w:r>
            <w:r w:rsidR="001D4338" w:rsidRPr="0018386D">
              <w:t>57,680</w:t>
            </w:r>
            <w:r w:rsidR="006E47B2" w:rsidRPr="0018386D">
              <w:t xml:space="preserve"> +</w:t>
            </w:r>
            <w:r w:rsidR="00325392" w:rsidRPr="0018386D">
              <w:t xml:space="preserve"> </w:t>
            </w:r>
            <w:r w:rsidR="008C0397" w:rsidRPr="0018386D">
              <w:t>1,552</w:t>
            </w:r>
            <w:r w:rsidR="00325392" w:rsidRPr="0018386D">
              <w:t xml:space="preserve"> + </w:t>
            </w:r>
            <w:r w:rsidR="002A543F" w:rsidRPr="0018386D">
              <w:t>160</w:t>
            </w:r>
            <w:r w:rsidRPr="0018386D">
              <w:tab/>
              <w:t xml:space="preserve">= </w:t>
            </w:r>
            <w:r w:rsidR="002A543F" w:rsidRPr="0018386D">
              <w:t>59,392</w:t>
            </w:r>
            <w:r w:rsidR="00D6131C" w:rsidRPr="0018386D">
              <w:t xml:space="preserve"> </w:t>
            </w:r>
            <w:r w:rsidRPr="0018386D">
              <w:t>kg CO</w:t>
            </w:r>
            <w:r w:rsidRPr="0018386D">
              <w:rPr>
                <w:vertAlign w:val="subscript"/>
              </w:rPr>
              <w:t>2</w:t>
            </w:r>
            <w:r w:rsidRPr="0018386D">
              <w:t xml:space="preserve">-e </w:t>
            </w:r>
          </w:p>
          <w:p w14:paraId="768BF7AD" w14:textId="63A6C159" w:rsidR="005C1CC8" w:rsidRPr="0018386D" w:rsidRDefault="00741514" w:rsidP="00DD3106">
            <w:pPr>
              <w:pStyle w:val="Boxtext"/>
              <w:spacing w:after="180"/>
              <w:rPr>
                <w:sz w:val="18"/>
                <w:szCs w:val="18"/>
              </w:rPr>
            </w:pPr>
            <w:r w:rsidRPr="0018386D">
              <w:rPr>
                <w:sz w:val="18"/>
                <w:szCs w:val="18"/>
              </w:rPr>
              <w:t>N</w:t>
            </w:r>
            <w:r w:rsidR="005C1CC8" w:rsidRPr="0018386D">
              <w:rPr>
                <w:sz w:val="18"/>
                <w:szCs w:val="18"/>
              </w:rPr>
              <w:t>ote</w:t>
            </w:r>
            <w:r w:rsidR="00DA4EBA" w:rsidRPr="0018386D">
              <w:rPr>
                <w:sz w:val="18"/>
                <w:szCs w:val="18"/>
              </w:rPr>
              <w:t>:</w:t>
            </w:r>
            <w:r w:rsidR="005C1CC8" w:rsidRPr="0018386D">
              <w:rPr>
                <w:sz w:val="18"/>
                <w:szCs w:val="18"/>
              </w:rPr>
              <w:t xml:space="preserve"> </w:t>
            </w:r>
            <w:r w:rsidR="00DA4EBA" w:rsidRPr="0018386D">
              <w:rPr>
                <w:sz w:val="18"/>
                <w:szCs w:val="18"/>
              </w:rPr>
              <w:t>N</w:t>
            </w:r>
            <w:r w:rsidR="005C1CC8" w:rsidRPr="0018386D">
              <w:rPr>
                <w:sz w:val="18"/>
                <w:szCs w:val="18"/>
              </w:rPr>
              <w:t>umbers may not add due to rounding</w:t>
            </w:r>
            <w:r w:rsidR="00C450B5" w:rsidRPr="0018386D">
              <w:rPr>
                <w:sz w:val="18"/>
                <w:szCs w:val="18"/>
              </w:rPr>
              <w:t>.</w:t>
            </w:r>
          </w:p>
        </w:tc>
      </w:tr>
    </w:tbl>
    <w:p w14:paraId="14653168" w14:textId="3D0E6287" w:rsidR="00B276B8" w:rsidRPr="0018386D" w:rsidRDefault="00B276B8" w:rsidP="00DD3106">
      <w:pPr>
        <w:pStyle w:val="Heading3"/>
        <w:numPr>
          <w:ilvl w:val="2"/>
          <w:numId w:val="8"/>
        </w:numPr>
        <w:tabs>
          <w:tab w:val="left" w:pos="720"/>
        </w:tabs>
        <w:spacing w:before="440"/>
      </w:pPr>
      <w:bookmarkStart w:id="294" w:name="_Toc532904885"/>
      <w:bookmarkEnd w:id="293"/>
      <w:r w:rsidRPr="0018386D">
        <w:t>Emission factor derivation methodology</w:t>
      </w:r>
      <w:bookmarkEnd w:id="294"/>
    </w:p>
    <w:p w14:paraId="34E9D7F7" w14:textId="5B05EC63" w:rsidR="00807E30" w:rsidRPr="0018386D" w:rsidRDefault="0045344C" w:rsidP="00DD3106">
      <w:pPr>
        <w:pStyle w:val="BodyText"/>
        <w:keepNext/>
        <w:spacing w:before="100" w:after="100"/>
      </w:pPr>
      <w:r w:rsidRPr="0018386D">
        <w:t xml:space="preserve">Emission factors are </w:t>
      </w:r>
      <w:r w:rsidR="00807E30" w:rsidRPr="0018386D">
        <w:t xml:space="preserve">calculated by dividing </w:t>
      </w:r>
      <w:r w:rsidRPr="0018386D">
        <w:t>the</w:t>
      </w:r>
      <w:r w:rsidR="00807E30" w:rsidRPr="0018386D">
        <w:t xml:space="preserve"> total national </w:t>
      </w:r>
      <w:r w:rsidR="00C34341" w:rsidRPr="0018386D">
        <w:t>GHG</w:t>
      </w:r>
      <w:r w:rsidR="00807E30" w:rsidRPr="0018386D">
        <w:t xml:space="preserve"> emissions from electricity production by the total electricity </w:t>
      </w:r>
      <w:r w:rsidR="00C45F28" w:rsidRPr="0018386D">
        <w:t>generation</w:t>
      </w:r>
      <w:r w:rsidR="00807E30" w:rsidRPr="0018386D">
        <w:t>.</w:t>
      </w:r>
    </w:p>
    <w:p w14:paraId="65831649" w14:textId="301E4CDA" w:rsidR="009144D4" w:rsidRPr="0018386D" w:rsidRDefault="00395A90" w:rsidP="00DD3106">
      <w:pPr>
        <w:pStyle w:val="BodyText"/>
        <w:spacing w:before="100" w:after="100"/>
      </w:pPr>
      <w:r w:rsidRPr="0018386D">
        <w:t>Table</w:t>
      </w:r>
      <w:r w:rsidRPr="0018386D" w:rsidDel="00A329BF">
        <w:t xml:space="preserve"> </w:t>
      </w:r>
      <w:r w:rsidRPr="0018386D">
        <w:t>11</w:t>
      </w:r>
      <w:r w:rsidR="009144D4" w:rsidRPr="0018386D">
        <w:rPr>
          <w:color w:val="32809C" w:themeColor="accent2"/>
        </w:rPr>
        <w:t xml:space="preserve"> </w:t>
      </w:r>
      <w:r w:rsidR="009144D4" w:rsidRPr="0018386D">
        <w:t xml:space="preserve">details the </w:t>
      </w:r>
      <w:r w:rsidR="00A65439" w:rsidRPr="0018386D">
        <w:t xml:space="preserve">MBIE </w:t>
      </w:r>
      <w:r w:rsidR="009144D4" w:rsidRPr="0018386D">
        <w:t xml:space="preserve">data provided to calculate the </w:t>
      </w:r>
      <w:r w:rsidR="00FE13F4" w:rsidRPr="0018386D">
        <w:t xml:space="preserve">annual </w:t>
      </w:r>
      <w:r w:rsidR="009144D4" w:rsidRPr="0018386D">
        <w:t>emission factors</w:t>
      </w:r>
      <w:r w:rsidR="00036DAE" w:rsidRPr="0018386D">
        <w:t>.</w:t>
      </w:r>
      <w:r w:rsidR="006A6473" w:rsidRPr="0018386D">
        <w:rPr>
          <w:rStyle w:val="FootnoteReference"/>
        </w:rPr>
        <w:footnoteReference w:id="22"/>
      </w:r>
      <w:r w:rsidR="009144D4" w:rsidRPr="0018386D">
        <w:t xml:space="preserve"> </w:t>
      </w:r>
      <w:hyperlink r:id="rId96" w:history="1">
        <w:r w:rsidR="009144D4" w:rsidRPr="0018386D">
          <w:rPr>
            <w:rStyle w:val="Hyperlink"/>
            <w:i/>
          </w:rPr>
          <w:t>New</w:t>
        </w:r>
        <w:r w:rsidR="00036DAE" w:rsidRPr="0018386D">
          <w:rPr>
            <w:rStyle w:val="Hyperlink"/>
            <w:i/>
          </w:rPr>
          <w:t> </w:t>
        </w:r>
        <w:r w:rsidR="009144D4" w:rsidRPr="0018386D">
          <w:rPr>
            <w:rStyle w:val="Hyperlink"/>
            <w:i/>
          </w:rPr>
          <w:t xml:space="preserve">Zealand’s Greenhouse Gas </w:t>
        </w:r>
        <w:r w:rsidR="009144D4" w:rsidRPr="0018386D">
          <w:rPr>
            <w:rStyle w:val="Hyperlink"/>
            <w:i/>
            <w:iCs/>
          </w:rPr>
          <w:t>Inventory</w:t>
        </w:r>
        <w:r w:rsidR="00DF570C" w:rsidRPr="0018386D">
          <w:rPr>
            <w:rStyle w:val="Hyperlink"/>
            <w:i/>
            <w:iCs/>
          </w:rPr>
          <w:t xml:space="preserve"> 1990</w:t>
        </w:r>
        <w:r w:rsidR="00036DAE" w:rsidRPr="0018386D">
          <w:rPr>
            <w:rStyle w:val="Hyperlink"/>
            <w:i/>
            <w:iCs/>
          </w:rPr>
          <w:t>–</w:t>
        </w:r>
        <w:r w:rsidR="00DF570C" w:rsidRPr="0018386D">
          <w:rPr>
            <w:rStyle w:val="Hyperlink"/>
            <w:i/>
            <w:iCs/>
          </w:rPr>
          <w:t>2021</w:t>
        </w:r>
      </w:hyperlink>
      <w:r w:rsidR="009144D4" w:rsidRPr="0018386D">
        <w:rPr>
          <w:rFonts w:eastAsia="Times New Roman" w:cs="Times New Roman"/>
        </w:rPr>
        <w:t xml:space="preserve"> </w:t>
      </w:r>
      <w:r w:rsidR="009144D4" w:rsidRPr="0018386D">
        <w:t>also contains this information.</w:t>
      </w:r>
    </w:p>
    <w:p w14:paraId="0BB1C613" w14:textId="3D8F3024" w:rsidR="00873CCE" w:rsidRPr="0018386D" w:rsidRDefault="00873CCE" w:rsidP="00DD3106">
      <w:pPr>
        <w:pStyle w:val="Tableheading"/>
      </w:pPr>
      <w:bookmarkStart w:id="295" w:name="_Ref54700044"/>
      <w:bookmarkStart w:id="296" w:name="Table11"/>
      <w:bookmarkStart w:id="297" w:name="_Toc111536616"/>
      <w:bookmarkStart w:id="298" w:name="_Toc140048951"/>
      <w:r w:rsidRPr="0018386D">
        <w:lastRenderedPageBreak/>
        <w:t>Table</w:t>
      </w:r>
      <w:r w:rsidRPr="0018386D" w:rsidDel="00A329BF">
        <w:t xml:space="preserve"> </w:t>
      </w:r>
      <w:r w:rsidRPr="0018386D">
        <w:fldChar w:fldCharType="begin"/>
      </w:r>
      <w:r w:rsidRPr="0018386D">
        <w:instrText>SEQ Table \* ARABIC</w:instrText>
      </w:r>
      <w:r w:rsidRPr="0018386D">
        <w:fldChar w:fldCharType="separate"/>
      </w:r>
      <w:r w:rsidR="003E141C" w:rsidRPr="0018386D">
        <w:t>11</w:t>
      </w:r>
      <w:r w:rsidRPr="0018386D">
        <w:fldChar w:fldCharType="end"/>
      </w:r>
      <w:bookmarkEnd w:id="295"/>
      <w:bookmarkEnd w:id="296"/>
      <w:r w:rsidR="00D61811" w:rsidRPr="0018386D">
        <w:t>:</w:t>
      </w:r>
      <w:r w:rsidR="00A329BF" w:rsidRPr="0018386D">
        <w:t xml:space="preserve"> </w:t>
      </w:r>
      <w:r w:rsidR="00D61811" w:rsidRPr="0018386D">
        <w:tab/>
      </w:r>
      <w:r w:rsidR="00A329BF" w:rsidRPr="0018386D">
        <w:t xml:space="preserve">Information used to calculate the purchased electricity emission factor for </w:t>
      </w:r>
      <w:r w:rsidR="00DE07E5" w:rsidRPr="0018386D">
        <w:t>2010</w:t>
      </w:r>
      <w:r w:rsidR="008F4DA3" w:rsidRPr="0018386D">
        <w:t>–</w:t>
      </w:r>
      <w:bookmarkEnd w:id="297"/>
      <w:proofErr w:type="gramStart"/>
      <w:r w:rsidR="00A329BF" w:rsidRPr="0018386D">
        <w:t>20</w:t>
      </w:r>
      <w:r w:rsidR="00096450" w:rsidRPr="0018386D">
        <w:t>2</w:t>
      </w:r>
      <w:r w:rsidR="007D1895" w:rsidRPr="0018386D">
        <w:t>2</w:t>
      </w:r>
      <w:bookmarkEnd w:id="298"/>
      <w:proofErr w:type="gramEnd"/>
    </w:p>
    <w:tbl>
      <w:tblPr>
        <w:tblStyle w:val="LightList-Accent11"/>
        <w:tblW w:w="8505" w:type="dxa"/>
        <w:tblBorders>
          <w:top w:val="single" w:sz="4" w:space="0" w:color="1B556B"/>
          <w:bottom w:val="single" w:sz="4" w:space="0" w:color="1B556B"/>
          <w:insideH w:val="single" w:sz="4" w:space="0" w:color="1B556B"/>
          <w:insideV w:val="single" w:sz="4" w:space="0" w:color="1B556B"/>
        </w:tblBorders>
        <w:tblCellMar>
          <w:left w:w="57" w:type="dxa"/>
          <w:right w:w="57" w:type="dxa"/>
        </w:tblCellMar>
        <w:tblLook w:val="04A0" w:firstRow="1" w:lastRow="0" w:firstColumn="1" w:lastColumn="0" w:noHBand="0" w:noVBand="1"/>
      </w:tblPr>
      <w:tblGrid>
        <w:gridCol w:w="918"/>
        <w:gridCol w:w="583"/>
        <w:gridCol w:w="583"/>
        <w:gridCol w:w="583"/>
        <w:gridCol w:w="583"/>
        <w:gridCol w:w="583"/>
        <w:gridCol w:w="584"/>
        <w:gridCol w:w="584"/>
        <w:gridCol w:w="584"/>
        <w:gridCol w:w="584"/>
        <w:gridCol w:w="584"/>
        <w:gridCol w:w="584"/>
        <w:gridCol w:w="584"/>
        <w:gridCol w:w="584"/>
      </w:tblGrid>
      <w:tr w:rsidR="00754656" w:rsidRPr="0018386D" w14:paraId="3980C43B" w14:textId="2B961D70" w:rsidTr="00D154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8" w:type="dxa"/>
            <w:tcBorders>
              <w:bottom w:val="single" w:sz="8" w:space="0" w:color="1C556C" w:themeColor="accent1"/>
            </w:tcBorders>
            <w:shd w:val="clear" w:color="auto" w:fill="1B556B" w:themeFill="text2"/>
            <w:vAlign w:val="bottom"/>
          </w:tcPr>
          <w:p w14:paraId="690C94E7" w14:textId="0092FA18" w:rsidR="007C33FC" w:rsidRPr="0018386D" w:rsidRDefault="007C33FC" w:rsidP="00DD3106">
            <w:pPr>
              <w:pStyle w:val="TableTextbold"/>
              <w:spacing w:line="230" w:lineRule="atLeast"/>
              <w:rPr>
                <w:b/>
                <w:bCs w:val="0"/>
                <w:sz w:val="16"/>
                <w:szCs w:val="16"/>
              </w:rPr>
            </w:pPr>
            <w:r w:rsidRPr="0018386D">
              <w:rPr>
                <w:b/>
                <w:bCs w:val="0"/>
                <w:sz w:val="16"/>
                <w:szCs w:val="16"/>
              </w:rPr>
              <w:t>Calculation component</w:t>
            </w:r>
          </w:p>
        </w:tc>
        <w:tc>
          <w:tcPr>
            <w:tcW w:w="583" w:type="dxa"/>
            <w:shd w:val="clear" w:color="auto" w:fill="1B556B" w:themeFill="text2"/>
            <w:vAlign w:val="bottom"/>
          </w:tcPr>
          <w:p w14:paraId="2BFD2C4F" w14:textId="5B28E754" w:rsidR="007C33FC" w:rsidRPr="0018386D"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2022</w:t>
            </w:r>
          </w:p>
        </w:tc>
        <w:tc>
          <w:tcPr>
            <w:tcW w:w="583" w:type="dxa"/>
            <w:shd w:val="clear" w:color="auto" w:fill="1B556B" w:themeFill="text2"/>
            <w:vAlign w:val="bottom"/>
          </w:tcPr>
          <w:p w14:paraId="363A1C1B" w14:textId="1BF1FD04" w:rsidR="007C33FC" w:rsidRPr="0018386D"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2021</w:t>
            </w:r>
          </w:p>
        </w:tc>
        <w:tc>
          <w:tcPr>
            <w:tcW w:w="583" w:type="dxa"/>
            <w:shd w:val="clear" w:color="auto" w:fill="1B556B" w:themeFill="text2"/>
            <w:vAlign w:val="bottom"/>
          </w:tcPr>
          <w:p w14:paraId="6D990610" w14:textId="61A29BA6" w:rsidR="007C33FC" w:rsidRPr="0018386D"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2020</w:t>
            </w:r>
          </w:p>
        </w:tc>
        <w:tc>
          <w:tcPr>
            <w:tcW w:w="583" w:type="dxa"/>
            <w:shd w:val="clear" w:color="auto" w:fill="1B556B" w:themeFill="text2"/>
            <w:vAlign w:val="bottom"/>
          </w:tcPr>
          <w:p w14:paraId="538FA762" w14:textId="1E2C4720" w:rsidR="007C33FC" w:rsidRPr="0018386D"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2019</w:t>
            </w:r>
          </w:p>
        </w:tc>
        <w:tc>
          <w:tcPr>
            <w:tcW w:w="583" w:type="dxa"/>
            <w:shd w:val="clear" w:color="auto" w:fill="1B556B" w:themeFill="text2"/>
            <w:vAlign w:val="bottom"/>
          </w:tcPr>
          <w:p w14:paraId="22B94B0C" w14:textId="3A0E5996"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2018</w:t>
            </w:r>
          </w:p>
        </w:tc>
        <w:tc>
          <w:tcPr>
            <w:tcW w:w="584" w:type="dxa"/>
            <w:shd w:val="clear" w:color="auto" w:fill="1B556B" w:themeFill="text2"/>
            <w:vAlign w:val="bottom"/>
          </w:tcPr>
          <w:p w14:paraId="288B7E81" w14:textId="7E002004"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2017</w:t>
            </w:r>
          </w:p>
        </w:tc>
        <w:tc>
          <w:tcPr>
            <w:tcW w:w="584" w:type="dxa"/>
            <w:shd w:val="clear" w:color="auto" w:fill="1B556B" w:themeFill="text2"/>
            <w:vAlign w:val="bottom"/>
          </w:tcPr>
          <w:p w14:paraId="4E6D92BE" w14:textId="5073D829"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2016</w:t>
            </w:r>
          </w:p>
        </w:tc>
        <w:tc>
          <w:tcPr>
            <w:tcW w:w="584" w:type="dxa"/>
            <w:shd w:val="clear" w:color="auto" w:fill="1B556B" w:themeFill="text2"/>
            <w:vAlign w:val="bottom"/>
          </w:tcPr>
          <w:p w14:paraId="6FD14A68" w14:textId="16724258"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2015</w:t>
            </w:r>
          </w:p>
        </w:tc>
        <w:tc>
          <w:tcPr>
            <w:tcW w:w="584" w:type="dxa"/>
            <w:shd w:val="clear" w:color="auto" w:fill="1B556B" w:themeFill="text2"/>
            <w:vAlign w:val="bottom"/>
          </w:tcPr>
          <w:p w14:paraId="73C3C398" w14:textId="2CBDD1E8"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2014</w:t>
            </w:r>
          </w:p>
        </w:tc>
        <w:tc>
          <w:tcPr>
            <w:tcW w:w="584" w:type="dxa"/>
            <w:shd w:val="clear" w:color="auto" w:fill="1B556B" w:themeFill="text2"/>
            <w:vAlign w:val="bottom"/>
          </w:tcPr>
          <w:p w14:paraId="79E85E96" w14:textId="3C636174"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2013</w:t>
            </w:r>
          </w:p>
        </w:tc>
        <w:tc>
          <w:tcPr>
            <w:tcW w:w="584" w:type="dxa"/>
            <w:shd w:val="clear" w:color="auto" w:fill="1B556B" w:themeFill="text2"/>
            <w:vAlign w:val="bottom"/>
          </w:tcPr>
          <w:p w14:paraId="174E1108" w14:textId="05155EB8"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2012</w:t>
            </w:r>
          </w:p>
        </w:tc>
        <w:tc>
          <w:tcPr>
            <w:tcW w:w="584" w:type="dxa"/>
            <w:shd w:val="clear" w:color="auto" w:fill="1B556B" w:themeFill="text2"/>
            <w:vAlign w:val="bottom"/>
          </w:tcPr>
          <w:p w14:paraId="4E664F09" w14:textId="55E53489"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2011</w:t>
            </w:r>
          </w:p>
        </w:tc>
        <w:tc>
          <w:tcPr>
            <w:tcW w:w="584" w:type="dxa"/>
            <w:tcBorders>
              <w:bottom w:val="single" w:sz="8" w:space="0" w:color="1C556C" w:themeColor="accent1"/>
            </w:tcBorders>
            <w:shd w:val="clear" w:color="auto" w:fill="1B556B" w:themeFill="text2"/>
            <w:vAlign w:val="bottom"/>
          </w:tcPr>
          <w:p w14:paraId="38F40C0F" w14:textId="7648D4E6" w:rsidR="007C33FC" w:rsidRPr="0018386D" w:rsidDel="00E62FEB" w:rsidRDefault="007C33FC" w:rsidP="00DD3106">
            <w:pPr>
              <w:pStyle w:val="TableTextbold"/>
              <w:spacing w:line="230" w:lineRule="atLeast"/>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18386D">
              <w:rPr>
                <w:b/>
                <w:bCs w:val="0"/>
                <w:sz w:val="16"/>
                <w:szCs w:val="16"/>
              </w:rPr>
              <w:t>2010</w:t>
            </w:r>
          </w:p>
        </w:tc>
      </w:tr>
      <w:tr w:rsidR="007C33FC" w:rsidRPr="0018386D" w14:paraId="411A776C" w14:textId="6374FFE2" w:rsidTr="00D1544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18" w:type="dxa"/>
            <w:tcBorders>
              <w:left w:val="nil"/>
            </w:tcBorders>
          </w:tcPr>
          <w:p w14:paraId="0751842E" w14:textId="13083585" w:rsidR="007C33FC" w:rsidRPr="0018386D" w:rsidRDefault="007C33FC" w:rsidP="00DD3106">
            <w:pPr>
              <w:pStyle w:val="TableTextbold"/>
              <w:spacing w:line="230" w:lineRule="atLeast"/>
              <w:rPr>
                <w:b/>
                <w:bCs w:val="0"/>
                <w:sz w:val="16"/>
                <w:szCs w:val="16"/>
              </w:rPr>
            </w:pPr>
            <w:r w:rsidRPr="0018386D">
              <w:rPr>
                <w:b/>
                <w:bCs w:val="0"/>
                <w:sz w:val="16"/>
                <w:szCs w:val="16"/>
              </w:rPr>
              <w:t>Public electricity generation (GWh)</w:t>
            </w:r>
          </w:p>
        </w:tc>
        <w:tc>
          <w:tcPr>
            <w:tcW w:w="583" w:type="dxa"/>
          </w:tcPr>
          <w:p w14:paraId="4C1478DB" w14:textId="3747E787"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43,503</w:t>
            </w:r>
          </w:p>
        </w:tc>
        <w:tc>
          <w:tcPr>
            <w:tcW w:w="583" w:type="dxa"/>
          </w:tcPr>
          <w:p w14:paraId="6FFF8F61" w14:textId="01060936"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43,270</w:t>
            </w:r>
          </w:p>
        </w:tc>
        <w:tc>
          <w:tcPr>
            <w:tcW w:w="583" w:type="dxa"/>
          </w:tcPr>
          <w:p w14:paraId="333F2E70" w14:textId="0DECE91F"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43,174</w:t>
            </w:r>
          </w:p>
        </w:tc>
        <w:tc>
          <w:tcPr>
            <w:tcW w:w="583" w:type="dxa"/>
          </w:tcPr>
          <w:p w14:paraId="4688E080" w14:textId="54B80920"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43,815</w:t>
            </w:r>
          </w:p>
        </w:tc>
        <w:tc>
          <w:tcPr>
            <w:tcW w:w="583" w:type="dxa"/>
          </w:tcPr>
          <w:p w14:paraId="5D487E19" w14:textId="3342F9AD"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43,419</w:t>
            </w:r>
          </w:p>
        </w:tc>
        <w:tc>
          <w:tcPr>
            <w:tcW w:w="584" w:type="dxa"/>
          </w:tcPr>
          <w:p w14:paraId="6D3D2CBC" w14:textId="2B712EA7"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43,311</w:t>
            </w:r>
          </w:p>
        </w:tc>
        <w:tc>
          <w:tcPr>
            <w:tcW w:w="584" w:type="dxa"/>
          </w:tcPr>
          <w:p w14:paraId="3F3B5D3A" w14:textId="3017771D"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42,919</w:t>
            </w:r>
          </w:p>
        </w:tc>
        <w:tc>
          <w:tcPr>
            <w:tcW w:w="584" w:type="dxa"/>
          </w:tcPr>
          <w:p w14:paraId="5C12FA45" w14:textId="0F416117"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43,333</w:t>
            </w:r>
          </w:p>
        </w:tc>
        <w:tc>
          <w:tcPr>
            <w:tcW w:w="584" w:type="dxa"/>
          </w:tcPr>
          <w:p w14:paraId="532D512B" w14:textId="5A3662C1"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42,651</w:t>
            </w:r>
          </w:p>
        </w:tc>
        <w:tc>
          <w:tcPr>
            <w:tcW w:w="584" w:type="dxa"/>
          </w:tcPr>
          <w:p w14:paraId="494121DA" w14:textId="7377772D"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42,358</w:t>
            </w:r>
          </w:p>
        </w:tc>
        <w:tc>
          <w:tcPr>
            <w:tcW w:w="584" w:type="dxa"/>
          </w:tcPr>
          <w:p w14:paraId="62B76E27" w14:textId="4923FD39"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43,149</w:t>
            </w:r>
          </w:p>
        </w:tc>
        <w:tc>
          <w:tcPr>
            <w:tcW w:w="584" w:type="dxa"/>
          </w:tcPr>
          <w:p w14:paraId="05A4B285" w14:textId="04B64190"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43,268</w:t>
            </w:r>
          </w:p>
        </w:tc>
        <w:tc>
          <w:tcPr>
            <w:tcW w:w="584" w:type="dxa"/>
            <w:tcBorders>
              <w:right w:val="nil"/>
            </w:tcBorders>
          </w:tcPr>
          <w:p w14:paraId="59ADD1F0" w14:textId="5EFDDA39" w:rsidR="007C33FC" w:rsidRPr="0018386D" w:rsidRDefault="007C33FC" w:rsidP="00DD3106">
            <w:pPr>
              <w:pStyle w:val="TableText"/>
              <w:spacing w:before="40" w:after="40" w:line="230" w:lineRule="atLeast"/>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18386D">
              <w:rPr>
                <w:rFonts w:cs="Calibri"/>
                <w:sz w:val="16"/>
                <w:szCs w:val="16"/>
              </w:rPr>
              <w:t>43,569</w:t>
            </w:r>
          </w:p>
        </w:tc>
      </w:tr>
      <w:tr w:rsidR="007C33FC" w:rsidRPr="0018386D" w14:paraId="38D7E884" w14:textId="0C8D9334" w:rsidTr="00570DDC">
        <w:trPr>
          <w:trHeight w:val="265"/>
        </w:trPr>
        <w:tc>
          <w:tcPr>
            <w:cnfStyle w:val="001000000000" w:firstRow="0" w:lastRow="0" w:firstColumn="1" w:lastColumn="0" w:oddVBand="0" w:evenVBand="0" w:oddHBand="0" w:evenHBand="0" w:firstRowFirstColumn="0" w:firstRowLastColumn="0" w:lastRowFirstColumn="0" w:lastRowLastColumn="0"/>
            <w:tcW w:w="918" w:type="dxa"/>
          </w:tcPr>
          <w:p w14:paraId="2F644B1E" w14:textId="0BC2EA66" w:rsidR="007C33FC" w:rsidRPr="0018386D" w:rsidRDefault="007C33FC" w:rsidP="00DD3106">
            <w:pPr>
              <w:pStyle w:val="TableTextbold"/>
              <w:spacing w:line="230" w:lineRule="atLeast"/>
              <w:rPr>
                <w:b/>
                <w:bCs w:val="0"/>
                <w:sz w:val="16"/>
                <w:szCs w:val="16"/>
              </w:rPr>
            </w:pPr>
            <w:r w:rsidRPr="0018386D">
              <w:rPr>
                <w:b/>
                <w:bCs w:val="0"/>
                <w:sz w:val="16"/>
                <w:szCs w:val="16"/>
              </w:rPr>
              <w:t>Emissions of CO</w:t>
            </w:r>
            <w:r w:rsidRPr="0018386D">
              <w:rPr>
                <w:b/>
                <w:bCs w:val="0"/>
                <w:sz w:val="16"/>
                <w:szCs w:val="16"/>
                <w:vertAlign w:val="subscript"/>
              </w:rPr>
              <w:t>2</w:t>
            </w:r>
            <w:r w:rsidRPr="0018386D">
              <w:rPr>
                <w:b/>
                <w:bCs w:val="0"/>
                <w:sz w:val="16"/>
                <w:szCs w:val="16"/>
              </w:rPr>
              <w:t xml:space="preserve"> from public electricity generation (kt)</w:t>
            </w:r>
          </w:p>
        </w:tc>
        <w:tc>
          <w:tcPr>
            <w:tcW w:w="583" w:type="dxa"/>
          </w:tcPr>
          <w:p w14:paraId="6C85D356" w14:textId="26C204D4" w:rsidR="007C33FC" w:rsidRPr="0018386D" w:rsidRDefault="002A1B3E"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3,219</w:t>
            </w:r>
          </w:p>
        </w:tc>
        <w:tc>
          <w:tcPr>
            <w:tcW w:w="583" w:type="dxa"/>
          </w:tcPr>
          <w:p w14:paraId="47917647" w14:textId="2811FCAF"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4,963</w:t>
            </w:r>
          </w:p>
        </w:tc>
        <w:tc>
          <w:tcPr>
            <w:tcW w:w="583" w:type="dxa"/>
          </w:tcPr>
          <w:p w14:paraId="1D88840C" w14:textId="4BA99D4A"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5,184</w:t>
            </w:r>
          </w:p>
        </w:tc>
        <w:tc>
          <w:tcPr>
            <w:tcW w:w="583" w:type="dxa"/>
          </w:tcPr>
          <w:p w14:paraId="65ADF457" w14:textId="4503FEE4"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4,819</w:t>
            </w:r>
          </w:p>
        </w:tc>
        <w:tc>
          <w:tcPr>
            <w:tcW w:w="583" w:type="dxa"/>
          </w:tcPr>
          <w:p w14:paraId="35A2926B" w14:textId="455656F5"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4,096</w:t>
            </w:r>
          </w:p>
        </w:tc>
        <w:tc>
          <w:tcPr>
            <w:tcW w:w="584" w:type="dxa"/>
          </w:tcPr>
          <w:p w14:paraId="363874D2" w14:textId="1C52BE96"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4,298</w:t>
            </w:r>
          </w:p>
        </w:tc>
        <w:tc>
          <w:tcPr>
            <w:tcW w:w="584" w:type="dxa"/>
          </w:tcPr>
          <w:p w14:paraId="77FDE252" w14:textId="2D664235"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3,781</w:t>
            </w:r>
          </w:p>
        </w:tc>
        <w:tc>
          <w:tcPr>
            <w:tcW w:w="584" w:type="dxa"/>
          </w:tcPr>
          <w:p w14:paraId="175BF789" w14:textId="4706AA32"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4,852</w:t>
            </w:r>
          </w:p>
        </w:tc>
        <w:tc>
          <w:tcPr>
            <w:tcW w:w="584" w:type="dxa"/>
          </w:tcPr>
          <w:p w14:paraId="74F2A64F" w14:textId="65BC09D1"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5,016</w:t>
            </w:r>
          </w:p>
        </w:tc>
        <w:tc>
          <w:tcPr>
            <w:tcW w:w="584" w:type="dxa"/>
          </w:tcPr>
          <w:p w14:paraId="584308ED" w14:textId="79D185F7"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5,963</w:t>
            </w:r>
          </w:p>
        </w:tc>
        <w:tc>
          <w:tcPr>
            <w:tcW w:w="584" w:type="dxa"/>
          </w:tcPr>
          <w:p w14:paraId="30F0C6C2" w14:textId="760D5C46"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7,208</w:t>
            </w:r>
          </w:p>
        </w:tc>
        <w:tc>
          <w:tcPr>
            <w:tcW w:w="584" w:type="dxa"/>
          </w:tcPr>
          <w:p w14:paraId="592848D2" w14:textId="7999D9E5"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5,807</w:t>
            </w:r>
          </w:p>
        </w:tc>
        <w:tc>
          <w:tcPr>
            <w:tcW w:w="584" w:type="dxa"/>
          </w:tcPr>
          <w:p w14:paraId="30EDC7F6" w14:textId="1E4918C2" w:rsidR="007C33FC" w:rsidRPr="0018386D" w:rsidRDefault="007C33FC" w:rsidP="00DD3106">
            <w:pPr>
              <w:pStyle w:val="TableText"/>
              <w:spacing w:before="40" w:after="40" w:line="230" w:lineRule="atLeast"/>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18386D">
              <w:rPr>
                <w:rFonts w:cs="Calibri"/>
                <w:sz w:val="16"/>
                <w:szCs w:val="16"/>
              </w:rPr>
              <w:t>6,333</w:t>
            </w:r>
          </w:p>
        </w:tc>
      </w:tr>
    </w:tbl>
    <w:p w14:paraId="6CD550BE" w14:textId="2491CB34" w:rsidR="00591914" w:rsidRPr="0018386D" w:rsidRDefault="00591914" w:rsidP="00DD3106">
      <w:pPr>
        <w:pStyle w:val="Note"/>
      </w:pPr>
      <w:bookmarkStart w:id="299" w:name="_Toc532904886"/>
      <w:r w:rsidRPr="0018386D">
        <w:rPr>
          <w:b/>
          <w:bCs/>
        </w:rPr>
        <w:t>Note:</w:t>
      </w:r>
      <w:r w:rsidRPr="0018386D">
        <w:t xml:space="preserve"> These numbers are rounded to </w:t>
      </w:r>
      <w:r w:rsidR="00CF58A4" w:rsidRPr="0018386D">
        <w:t>0</w:t>
      </w:r>
      <w:r w:rsidR="00522AB7" w:rsidRPr="0018386D">
        <w:t xml:space="preserve"> </w:t>
      </w:r>
      <w:r w:rsidR="00CF58A4" w:rsidRPr="0018386D">
        <w:t>d</w:t>
      </w:r>
      <w:r w:rsidR="00522AB7" w:rsidRPr="0018386D">
        <w:t xml:space="preserve">ecimal </w:t>
      </w:r>
      <w:r w:rsidR="00CF58A4" w:rsidRPr="0018386D">
        <w:t>p</w:t>
      </w:r>
      <w:r w:rsidR="00522AB7" w:rsidRPr="0018386D">
        <w:t>laces</w:t>
      </w:r>
      <w:r w:rsidRPr="0018386D">
        <w:t>.</w:t>
      </w:r>
      <w:r w:rsidR="004C3308" w:rsidRPr="0018386D">
        <w:t xml:space="preserve"> </w:t>
      </w:r>
    </w:p>
    <w:p w14:paraId="05F8EC11" w14:textId="7A2DE785" w:rsidR="00B276B8" w:rsidRPr="0018386D" w:rsidRDefault="6DE581C3" w:rsidP="00DD3106">
      <w:pPr>
        <w:pStyle w:val="Heading3"/>
        <w:numPr>
          <w:ilvl w:val="2"/>
          <w:numId w:val="8"/>
        </w:numPr>
        <w:spacing w:before="240"/>
      </w:pPr>
      <w:r w:rsidRPr="0018386D">
        <w:t xml:space="preserve">Assumptions, </w:t>
      </w:r>
      <w:proofErr w:type="gramStart"/>
      <w:r w:rsidRPr="0018386D">
        <w:t>limitations</w:t>
      </w:r>
      <w:proofErr w:type="gramEnd"/>
      <w:r w:rsidRPr="0018386D">
        <w:t xml:space="preserve"> and uncertainties</w:t>
      </w:r>
      <w:bookmarkEnd w:id="299"/>
    </w:p>
    <w:p w14:paraId="3984F043" w14:textId="04FE3042" w:rsidR="00B276B8" w:rsidRPr="0018386D" w:rsidRDefault="7F4971A6" w:rsidP="00DD3106">
      <w:pPr>
        <w:pStyle w:val="BodyText"/>
        <w:spacing w:before="100" w:after="100"/>
      </w:pPr>
      <w:r w:rsidRPr="0018386D">
        <w:t>Using an annual average grid</w:t>
      </w:r>
      <w:r w:rsidR="00B276B8" w:rsidRPr="0018386D">
        <w:t xml:space="preserve"> emission factor for electricity </w:t>
      </w:r>
      <w:r w:rsidR="27F6E1EE" w:rsidRPr="0018386D">
        <w:t>will</w:t>
      </w:r>
      <w:r w:rsidR="2EB90A4C" w:rsidRPr="0018386D">
        <w:t xml:space="preserve"> inevitably introduce a certain level of inaccuracy</w:t>
      </w:r>
      <w:r w:rsidR="00061458" w:rsidRPr="0018386D">
        <w:t>,</w:t>
      </w:r>
      <w:r w:rsidR="00B276B8" w:rsidRPr="0018386D">
        <w:t xml:space="preserve"> as the </w:t>
      </w:r>
      <w:r w:rsidR="481E368F" w:rsidRPr="0018386D">
        <w:t>generation</w:t>
      </w:r>
      <w:r w:rsidR="00B276B8" w:rsidRPr="0018386D">
        <w:t xml:space="preserve"> mix varies depending on your geograph</w:t>
      </w:r>
      <w:r w:rsidR="00892FAD" w:rsidRPr="0018386D">
        <w:t>ical location</w:t>
      </w:r>
      <w:r w:rsidR="00B276B8" w:rsidRPr="0018386D">
        <w:t xml:space="preserve">, </w:t>
      </w:r>
      <w:r w:rsidR="45FAB229" w:rsidRPr="0018386D">
        <w:t>by</w:t>
      </w:r>
      <w:r w:rsidR="7468C95D" w:rsidRPr="0018386D">
        <w:t xml:space="preserve"> </w:t>
      </w:r>
      <w:r w:rsidR="00B276B8" w:rsidRPr="0018386D">
        <w:t>time of day</w:t>
      </w:r>
      <w:r w:rsidR="00C450B5" w:rsidRPr="0018386D">
        <w:t xml:space="preserve"> and </w:t>
      </w:r>
      <w:r w:rsidR="00B276B8" w:rsidRPr="0018386D">
        <w:t>time of year</w:t>
      </w:r>
      <w:r w:rsidR="0049234A" w:rsidRPr="0018386D">
        <w:t xml:space="preserve">. </w:t>
      </w:r>
    </w:p>
    <w:p w14:paraId="3C021AFF" w14:textId="77777777" w:rsidR="00B276B8" w:rsidRPr="0018386D" w:rsidRDefault="00B276B8" w:rsidP="00DD3106">
      <w:pPr>
        <w:pStyle w:val="BodyText"/>
        <w:spacing w:before="100" w:after="100"/>
      </w:pPr>
      <w:r w:rsidRPr="0018386D">
        <w:t>As with the fuels for stationary combustion emission factors, this emission factor does not incorporate emissions associated with the extraction, production and transport of the fuels burnt to produce electricity.</w:t>
      </w:r>
    </w:p>
    <w:p w14:paraId="37D28E9D" w14:textId="09C1EB4E" w:rsidR="00B276B8" w:rsidRPr="0018386D" w:rsidRDefault="00D1128D" w:rsidP="00DD3106">
      <w:pPr>
        <w:pStyle w:val="BodyText"/>
        <w:spacing w:before="100" w:after="100"/>
      </w:pPr>
      <w:r w:rsidRPr="0018386D">
        <w:t>We derived t</w:t>
      </w:r>
      <w:r w:rsidR="008B4037" w:rsidRPr="0018386D">
        <w:t>he emission factor</w:t>
      </w:r>
      <w:r w:rsidR="00261BB2" w:rsidRPr="0018386D">
        <w:t>s</w:t>
      </w:r>
      <w:r w:rsidR="008B4037" w:rsidRPr="0018386D">
        <w:t xml:space="preserve"> in </w:t>
      </w:r>
      <w:hyperlink w:anchor="table9" w:history="1">
        <w:r w:rsidR="008F4DA3" w:rsidRPr="0018386D">
          <w:rPr>
            <w:rStyle w:val="Hyperlink"/>
            <w:spacing w:val="-2"/>
          </w:rPr>
          <w:t>table 9</w:t>
        </w:r>
      </w:hyperlink>
      <w:r w:rsidR="008B4037" w:rsidRPr="0018386D">
        <w:t xml:space="preserve"> </w:t>
      </w:r>
      <w:r w:rsidR="00261BB2" w:rsidRPr="0018386D">
        <w:t xml:space="preserve">and </w:t>
      </w:r>
      <w:hyperlink w:anchor="table10" w:history="1">
        <w:r w:rsidR="00261BB2" w:rsidRPr="0018386D">
          <w:rPr>
            <w:rStyle w:val="Hyperlink"/>
          </w:rPr>
          <w:t>table 10</w:t>
        </w:r>
      </w:hyperlink>
      <w:r w:rsidR="00261BB2" w:rsidRPr="0018386D">
        <w:t xml:space="preserve"> </w:t>
      </w:r>
      <w:r w:rsidR="008B4037" w:rsidRPr="0018386D">
        <w:t xml:space="preserve">for purchased electricity from </w:t>
      </w:r>
      <w:r w:rsidR="00C10B50" w:rsidRPr="0018386D">
        <w:t xml:space="preserve">generation </w:t>
      </w:r>
      <w:r w:rsidR="008B4037" w:rsidRPr="0018386D">
        <w:t xml:space="preserve">data rather than </w:t>
      </w:r>
      <w:r w:rsidR="00C10B50" w:rsidRPr="0018386D">
        <w:t xml:space="preserve">consumption </w:t>
      </w:r>
      <w:r w:rsidR="008B4037" w:rsidRPr="0018386D">
        <w:t>data</w:t>
      </w:r>
      <w:r w:rsidR="008B4037" w:rsidRPr="0018386D">
        <w:rPr>
          <w:i/>
        </w:rPr>
        <w:t>.</w:t>
      </w:r>
      <w:r w:rsidR="008B4037" w:rsidRPr="0018386D">
        <w:t xml:space="preserve"> </w:t>
      </w:r>
      <w:r w:rsidR="00B276B8" w:rsidRPr="0018386D">
        <w:t>This emission factor does not account for the emissions associated with the electricity lost in transmission and distribution on the way to the end user</w:t>
      </w:r>
      <w:r w:rsidR="0049234A" w:rsidRPr="0018386D">
        <w:t>.</w:t>
      </w:r>
      <w:r w:rsidR="00621691" w:rsidRPr="0018386D">
        <w:t> </w:t>
      </w:r>
      <w:hyperlink w:anchor="Table12" w:history="1">
        <w:r w:rsidR="0035451A" w:rsidRPr="0018386D">
          <w:rPr>
            <w:rStyle w:val="Hyperlink"/>
          </w:rPr>
          <w:t>Table 12</w:t>
        </w:r>
      </w:hyperlink>
      <w:r w:rsidR="00B276B8" w:rsidRPr="0018386D">
        <w:t xml:space="preserve"> contains an emission factor for transmission and distribution line losses.</w:t>
      </w:r>
    </w:p>
    <w:p w14:paraId="34B92E66" w14:textId="3173D041" w:rsidR="00B276B8" w:rsidRPr="0018386D" w:rsidRDefault="00B276B8" w:rsidP="00DD3106">
      <w:pPr>
        <w:pStyle w:val="Heading2"/>
        <w:numPr>
          <w:ilvl w:val="1"/>
          <w:numId w:val="8"/>
        </w:numPr>
        <w:spacing w:before="320"/>
      </w:pPr>
      <w:bookmarkStart w:id="300" w:name="_Transmission_and_distribution"/>
      <w:bookmarkStart w:id="301" w:name="_Toc529960700"/>
      <w:bookmarkStart w:id="302" w:name="_Ref532636705"/>
      <w:bookmarkStart w:id="303" w:name="_Ref532638084"/>
      <w:bookmarkStart w:id="304" w:name="_Toc532904887"/>
      <w:bookmarkStart w:id="305" w:name="_Toc600578"/>
      <w:bookmarkStart w:id="306" w:name="_Ref609833"/>
      <w:bookmarkStart w:id="307" w:name="_Toc140048903"/>
      <w:bookmarkEnd w:id="300"/>
      <w:r w:rsidRPr="0018386D">
        <w:rPr>
          <w:rStyle w:val="Heading2Char"/>
          <w:b/>
        </w:rPr>
        <w:t>Transmission and distribution losses for</w:t>
      </w:r>
      <w:r w:rsidR="00621691" w:rsidRPr="0018386D">
        <w:t> </w:t>
      </w:r>
      <w:r w:rsidRPr="0018386D">
        <w:rPr>
          <w:rStyle w:val="Heading2Char"/>
          <w:b/>
        </w:rPr>
        <w:t>electricity</w:t>
      </w:r>
      <w:bookmarkEnd w:id="301"/>
      <w:bookmarkEnd w:id="302"/>
      <w:bookmarkEnd w:id="303"/>
      <w:bookmarkEnd w:id="304"/>
      <w:bookmarkEnd w:id="305"/>
      <w:bookmarkEnd w:id="306"/>
      <w:bookmarkEnd w:id="307"/>
      <w:r w:rsidRPr="0018386D">
        <w:t xml:space="preserve"> </w:t>
      </w:r>
    </w:p>
    <w:p w14:paraId="3F35DF43" w14:textId="1E7FD6EE" w:rsidR="00B276B8" w:rsidRPr="0018386D" w:rsidRDefault="00693F20" w:rsidP="00DD3106">
      <w:pPr>
        <w:pStyle w:val="BodyText"/>
        <w:spacing w:before="100" w:after="100"/>
      </w:pPr>
      <w:r w:rsidRPr="0018386D">
        <w:t>The emission factor for transmission and distribution line losses</w:t>
      </w:r>
      <w:r w:rsidR="001C532F" w:rsidRPr="0018386D">
        <w:t xml:space="preserve"> </w:t>
      </w:r>
      <w:r w:rsidR="0049234A" w:rsidRPr="0018386D">
        <w:t>accounts for the a</w:t>
      </w:r>
      <w:r w:rsidR="00460235" w:rsidRPr="0018386D">
        <w:t xml:space="preserve">dditional electricity generated to make up for electricity lost in the transmission and distribution network. </w:t>
      </w:r>
      <w:bookmarkStart w:id="308" w:name="_Hlk532892767"/>
      <w:r w:rsidR="00B276B8" w:rsidRPr="0018386D">
        <w:t>Under the</w:t>
      </w:r>
      <w:r w:rsidR="00B276B8" w:rsidRPr="0018386D">
        <w:rPr>
          <w:i/>
        </w:rPr>
        <w:t xml:space="preserve"> </w:t>
      </w:r>
      <w:hyperlink r:id="rId97" w:history="1">
        <w:r w:rsidR="00B276B8" w:rsidRPr="0018386D">
          <w:rPr>
            <w:rStyle w:val="Hyperlink"/>
          </w:rPr>
          <w:t>GHG Protocol</w:t>
        </w:r>
      </w:hyperlink>
      <w:r w:rsidR="00B276B8" w:rsidRPr="0018386D">
        <w:t xml:space="preserve">, </w:t>
      </w:r>
      <w:r w:rsidR="00080C18" w:rsidRPr="0018386D">
        <w:t xml:space="preserve">end users should report </w:t>
      </w:r>
      <w:r w:rsidR="00B276B8" w:rsidRPr="0018386D">
        <w:t>emissions from electricity</w:t>
      </w:r>
      <w:r w:rsidR="00B276B8" w:rsidRPr="0018386D" w:rsidDel="00460235">
        <w:t xml:space="preserve"> </w:t>
      </w:r>
      <w:r w:rsidR="00B276B8" w:rsidRPr="0018386D">
        <w:t xml:space="preserve">consumed </w:t>
      </w:r>
      <w:r w:rsidR="00460235" w:rsidRPr="0018386D">
        <w:t xml:space="preserve">from </w:t>
      </w:r>
      <w:r w:rsidR="00B276B8" w:rsidRPr="0018386D">
        <w:t>a transmission and distribution system as an indirect (Scope 3) emission</w:t>
      </w:r>
      <w:r w:rsidR="00080C18" w:rsidRPr="0018386D">
        <w:t xml:space="preserve"> source</w:t>
      </w:r>
      <w:r w:rsidR="00B276B8" w:rsidRPr="0018386D">
        <w:t>.</w:t>
      </w:r>
      <w:bookmarkEnd w:id="308"/>
      <w:r w:rsidR="00F31667" w:rsidRPr="0018386D">
        <w:t xml:space="preserve"> </w:t>
      </w:r>
      <w:r w:rsidR="0035399C" w:rsidRPr="0018386D">
        <w:t>Electricity</w:t>
      </w:r>
      <w:r w:rsidR="635F0461" w:rsidRPr="0018386D">
        <w:t xml:space="preserve"> </w:t>
      </w:r>
      <w:r w:rsidR="77AD1A69" w:rsidRPr="0018386D">
        <w:t>and</w:t>
      </w:r>
      <w:r w:rsidR="007A5755" w:rsidRPr="0018386D">
        <w:t xml:space="preserve"> distribution</w:t>
      </w:r>
      <w:r w:rsidR="00F31667" w:rsidRPr="0018386D">
        <w:t xml:space="preserve"> companies</w:t>
      </w:r>
      <w:r w:rsidR="00720EDE" w:rsidRPr="0018386D">
        <w:t xml:space="preserve"> should </w:t>
      </w:r>
      <w:r w:rsidR="00A30128" w:rsidRPr="0018386D">
        <w:t xml:space="preserve">however </w:t>
      </w:r>
      <w:r w:rsidR="00720EDE" w:rsidRPr="0018386D">
        <w:t xml:space="preserve">report </w:t>
      </w:r>
      <w:r w:rsidR="007A5755" w:rsidRPr="0018386D">
        <w:t>these</w:t>
      </w:r>
      <w:r w:rsidR="00720EDE" w:rsidRPr="0018386D">
        <w:t xml:space="preserve"> </w:t>
      </w:r>
      <w:r w:rsidR="004D042D" w:rsidRPr="0018386D">
        <w:t xml:space="preserve">losses </w:t>
      </w:r>
      <w:r w:rsidR="00720EDE" w:rsidRPr="0018386D">
        <w:t>as indirect (</w:t>
      </w:r>
      <w:r w:rsidR="001E15DC" w:rsidRPr="0018386D">
        <w:t>S</w:t>
      </w:r>
      <w:r w:rsidR="00720EDE" w:rsidRPr="0018386D">
        <w:t>cope</w:t>
      </w:r>
      <w:r w:rsidR="00661B20" w:rsidRPr="0018386D">
        <w:t> </w:t>
      </w:r>
      <w:r w:rsidR="00720EDE" w:rsidRPr="0018386D">
        <w:t>2) emissions</w:t>
      </w:r>
      <w:r w:rsidR="00621691" w:rsidRPr="0018386D">
        <w:t>.</w:t>
      </w:r>
      <w:r w:rsidR="004D042D" w:rsidRPr="0018386D">
        <w:rPr>
          <w:rStyle w:val="FootnoteReference"/>
        </w:rPr>
        <w:footnoteReference w:id="23"/>
      </w:r>
    </w:p>
    <w:p w14:paraId="10C2EFE0" w14:textId="32E8D17E" w:rsidR="00B276B8" w:rsidRPr="0018386D" w:rsidRDefault="00B276B8" w:rsidP="00DD3106">
      <w:pPr>
        <w:pStyle w:val="BodyText"/>
      </w:pPr>
      <w:r w:rsidRPr="0018386D">
        <w:t xml:space="preserve">The emission factor for transmission and distribution line losses is the difference between the generation and consumption emission factors. </w:t>
      </w:r>
      <w:hyperlink w:anchor="Table12" w:history="1">
        <w:r w:rsidR="00A53165" w:rsidRPr="0018386D">
          <w:rPr>
            <w:rStyle w:val="Hyperlink"/>
          </w:rPr>
          <w:t>Table 1</w:t>
        </w:r>
        <w:r w:rsidR="002348F6" w:rsidRPr="0018386D">
          <w:rPr>
            <w:rStyle w:val="Hyperlink"/>
          </w:rPr>
          <w:t>2</w:t>
        </w:r>
      </w:hyperlink>
      <w:r w:rsidR="00080C18" w:rsidRPr="0018386D">
        <w:t xml:space="preserve"> shows t</w:t>
      </w:r>
      <w:r w:rsidRPr="0018386D">
        <w:t>he emission factor</w:t>
      </w:r>
      <w:r w:rsidR="003C3A14" w:rsidRPr="0018386D">
        <w:t>s</w:t>
      </w:r>
      <w:r w:rsidRPr="0018386D">
        <w:t xml:space="preserve"> for </w:t>
      </w:r>
      <w:r w:rsidR="003C3A14" w:rsidRPr="0018386D">
        <w:t>transmission and distribution losses from the national grid.</w:t>
      </w:r>
      <w:r w:rsidRPr="0018386D">
        <w:t xml:space="preserve"> </w:t>
      </w:r>
    </w:p>
    <w:p w14:paraId="21791262" w14:textId="1DA3533E" w:rsidR="00B276B8" w:rsidRPr="0018386D" w:rsidRDefault="00834880" w:rsidP="00DD3106">
      <w:pPr>
        <w:pStyle w:val="Tableheading"/>
      </w:pPr>
      <w:bookmarkStart w:id="309" w:name="_Ref532305434"/>
      <w:bookmarkStart w:id="310" w:name="Table12"/>
      <w:bookmarkStart w:id="311" w:name="_Toc111536617"/>
      <w:bookmarkStart w:id="312" w:name="_Toc140048952"/>
      <w:r w:rsidRPr="0018386D">
        <w:lastRenderedPageBreak/>
        <w:t xml:space="preserve">Table </w:t>
      </w:r>
      <w:r w:rsidRPr="0018386D">
        <w:fldChar w:fldCharType="begin"/>
      </w:r>
      <w:r w:rsidRPr="0018386D">
        <w:instrText>SEQ Table \* ARABIC</w:instrText>
      </w:r>
      <w:r w:rsidRPr="0018386D">
        <w:fldChar w:fldCharType="separate"/>
      </w:r>
      <w:r w:rsidR="003E141C" w:rsidRPr="0018386D">
        <w:t>12</w:t>
      </w:r>
      <w:r w:rsidRPr="0018386D">
        <w:fldChar w:fldCharType="end"/>
      </w:r>
      <w:bookmarkEnd w:id="309"/>
      <w:bookmarkEnd w:id="310"/>
      <w:r w:rsidR="00B276B8" w:rsidRPr="0018386D">
        <w:t>:</w:t>
      </w:r>
      <w:r w:rsidR="00B276B8" w:rsidRPr="0018386D">
        <w:tab/>
        <w:t>Transmission and distribution losses for electricity consumption</w:t>
      </w:r>
      <w:bookmarkEnd w:id="311"/>
      <w:bookmarkEnd w:id="312"/>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right w:w="85" w:type="dxa"/>
        </w:tblCellMar>
        <w:tblLook w:val="04A0" w:firstRow="1" w:lastRow="0" w:firstColumn="1" w:lastColumn="0" w:noHBand="0" w:noVBand="1"/>
      </w:tblPr>
      <w:tblGrid>
        <w:gridCol w:w="1477"/>
        <w:gridCol w:w="768"/>
        <w:gridCol w:w="1240"/>
        <w:gridCol w:w="1654"/>
        <w:gridCol w:w="1654"/>
        <w:gridCol w:w="1712"/>
      </w:tblGrid>
      <w:tr w:rsidR="00DA6A57" w:rsidRPr="0018386D" w14:paraId="667B3DD5" w14:textId="77777777" w:rsidTr="00DA6A57">
        <w:trPr>
          <w:trHeight w:val="240"/>
        </w:trPr>
        <w:tc>
          <w:tcPr>
            <w:tcW w:w="1418" w:type="dxa"/>
            <w:shd w:val="clear" w:color="000000" w:fill="1B556B" w:themeFill="text2"/>
            <w:noWrap/>
            <w:vAlign w:val="bottom"/>
            <w:hideMark/>
          </w:tcPr>
          <w:p w14:paraId="537CAD5C" w14:textId="167461DA" w:rsidR="003937AF" w:rsidRPr="0018386D" w:rsidRDefault="003937AF" w:rsidP="00DD3106">
            <w:pPr>
              <w:pStyle w:val="TableTextbold"/>
              <w:keepNext/>
              <w:spacing w:before="40" w:after="40"/>
              <w:rPr>
                <w:rFonts w:cs="Calibri"/>
                <w:color w:val="FFFFFF" w:themeColor="background1"/>
                <w:szCs w:val="18"/>
              </w:rPr>
            </w:pPr>
            <w:r w:rsidRPr="0018386D">
              <w:rPr>
                <w:rFonts w:cs="Calibri"/>
                <w:color w:val="FFFFFF" w:themeColor="background1"/>
                <w:szCs w:val="18"/>
              </w:rPr>
              <w:t>Emission source</w:t>
            </w:r>
          </w:p>
        </w:tc>
        <w:tc>
          <w:tcPr>
            <w:tcW w:w="737" w:type="dxa"/>
            <w:shd w:val="clear" w:color="000000" w:fill="1B556B" w:themeFill="text2"/>
            <w:noWrap/>
            <w:vAlign w:val="bottom"/>
            <w:hideMark/>
          </w:tcPr>
          <w:p w14:paraId="71138EB1" w14:textId="77777777" w:rsidR="003937AF" w:rsidRPr="0018386D" w:rsidRDefault="003937AF" w:rsidP="00DD3106">
            <w:pPr>
              <w:pStyle w:val="TableTextbold"/>
              <w:keepNext/>
              <w:spacing w:before="40" w:after="40"/>
              <w:jc w:val="center"/>
              <w:rPr>
                <w:rFonts w:cs="Calibri"/>
                <w:color w:val="FFFFFF" w:themeColor="background1"/>
                <w:szCs w:val="18"/>
              </w:rPr>
            </w:pPr>
            <w:r w:rsidRPr="0018386D">
              <w:rPr>
                <w:rFonts w:cs="Calibri"/>
                <w:color w:val="FFFFFF" w:themeColor="background1"/>
                <w:szCs w:val="18"/>
              </w:rPr>
              <w:t>Unit</w:t>
            </w:r>
          </w:p>
        </w:tc>
        <w:tc>
          <w:tcPr>
            <w:tcW w:w="1191" w:type="dxa"/>
            <w:shd w:val="clear" w:color="000000" w:fill="1B556B" w:themeFill="text2"/>
            <w:noWrap/>
            <w:vAlign w:val="bottom"/>
            <w:hideMark/>
          </w:tcPr>
          <w:p w14:paraId="16560833" w14:textId="727EB768" w:rsidR="003937AF" w:rsidRPr="0018386D" w:rsidRDefault="003937AF" w:rsidP="00DD3106">
            <w:pPr>
              <w:pStyle w:val="TableTextbold"/>
              <w:keepNext/>
              <w:spacing w:before="40" w:after="40"/>
              <w:jc w:val="center"/>
              <w:rPr>
                <w:rFonts w:cs="Calibri"/>
                <w:color w:val="FFFFFF" w:themeColor="background1"/>
                <w:szCs w:val="18"/>
              </w:rPr>
            </w:pPr>
            <w:r w:rsidRPr="0018386D">
              <w:rPr>
                <w:rFonts w:cs="Calibri"/>
                <w:color w:val="FFFFFF" w:themeColor="background1"/>
                <w:szCs w:val="18"/>
              </w:rPr>
              <w:t>kg CO₂-e/unit</w:t>
            </w:r>
          </w:p>
        </w:tc>
        <w:tc>
          <w:tcPr>
            <w:tcW w:w="1588" w:type="dxa"/>
            <w:shd w:val="clear" w:color="000000" w:fill="1B556B" w:themeFill="text2"/>
            <w:noWrap/>
            <w:vAlign w:val="bottom"/>
            <w:hideMark/>
          </w:tcPr>
          <w:p w14:paraId="7D855594" w14:textId="2A63124D" w:rsidR="003937AF" w:rsidRPr="0018386D" w:rsidRDefault="003937AF" w:rsidP="00DD3106">
            <w:pPr>
              <w:pStyle w:val="TableTextbold"/>
              <w:keepNext/>
              <w:spacing w:before="40" w:after="40"/>
              <w:jc w:val="center"/>
              <w:rPr>
                <w:rFonts w:cs="Calibri"/>
                <w:color w:val="FFFFFF" w:themeColor="background1"/>
                <w:szCs w:val="18"/>
              </w:rPr>
            </w:pPr>
            <w:r w:rsidRPr="0018386D">
              <w:rPr>
                <w:rFonts w:cs="Calibri"/>
                <w:color w:val="FFFFFF" w:themeColor="background1"/>
                <w:szCs w:val="18"/>
              </w:rPr>
              <w:t>CO₂ (kg CO₂ e/unit)</w:t>
            </w:r>
          </w:p>
        </w:tc>
        <w:tc>
          <w:tcPr>
            <w:tcW w:w="1588" w:type="dxa"/>
            <w:shd w:val="clear" w:color="000000" w:fill="1B556B" w:themeFill="text2"/>
            <w:noWrap/>
            <w:vAlign w:val="bottom"/>
            <w:hideMark/>
          </w:tcPr>
          <w:p w14:paraId="7F3112C9" w14:textId="32F9AC43" w:rsidR="003937AF" w:rsidRPr="0018386D" w:rsidRDefault="003937AF" w:rsidP="00DD3106">
            <w:pPr>
              <w:pStyle w:val="TableTextbold"/>
              <w:keepNext/>
              <w:spacing w:before="40" w:after="40"/>
              <w:jc w:val="center"/>
              <w:rPr>
                <w:rFonts w:cs="Calibri"/>
                <w:color w:val="FFFFFF" w:themeColor="background1"/>
                <w:szCs w:val="18"/>
              </w:rPr>
            </w:pPr>
            <w:r w:rsidRPr="0018386D">
              <w:rPr>
                <w:rFonts w:cs="Calibri"/>
                <w:color w:val="FFFFFF" w:themeColor="background1"/>
                <w:szCs w:val="18"/>
              </w:rPr>
              <w:t>CH₄ (kg CO₂-e/unit)</w:t>
            </w:r>
          </w:p>
        </w:tc>
        <w:tc>
          <w:tcPr>
            <w:tcW w:w="1644" w:type="dxa"/>
            <w:shd w:val="clear" w:color="000000" w:fill="1B556B" w:themeFill="text2"/>
            <w:noWrap/>
            <w:vAlign w:val="bottom"/>
            <w:hideMark/>
          </w:tcPr>
          <w:p w14:paraId="18AAAB53" w14:textId="49C66128" w:rsidR="003937AF" w:rsidRPr="0018386D" w:rsidRDefault="003937AF" w:rsidP="00DD3106">
            <w:pPr>
              <w:pStyle w:val="TableTextbold"/>
              <w:keepNext/>
              <w:spacing w:before="40" w:after="40"/>
              <w:jc w:val="center"/>
              <w:rPr>
                <w:rFonts w:cs="Calibri"/>
                <w:color w:val="FFFFFF" w:themeColor="background1"/>
                <w:szCs w:val="18"/>
              </w:rPr>
            </w:pPr>
            <w:r w:rsidRPr="0018386D">
              <w:rPr>
                <w:rFonts w:cs="Calibri"/>
                <w:color w:val="FFFFFF" w:themeColor="background1"/>
                <w:szCs w:val="18"/>
              </w:rPr>
              <w:t>N₂O (kg CO₂-e/</w:t>
            </w:r>
            <w:r w:rsidR="007A3F2E" w:rsidRPr="0018386D">
              <w:rPr>
                <w:rFonts w:cs="Calibri"/>
                <w:color w:val="FFFFFF" w:themeColor="background1"/>
                <w:szCs w:val="18"/>
              </w:rPr>
              <w:t xml:space="preserve"> </w:t>
            </w:r>
            <w:r w:rsidRPr="0018386D">
              <w:rPr>
                <w:rFonts w:cs="Calibri"/>
                <w:color w:val="FFFFFF" w:themeColor="background1"/>
                <w:szCs w:val="18"/>
              </w:rPr>
              <w:t>unit)</w:t>
            </w:r>
          </w:p>
        </w:tc>
      </w:tr>
      <w:tr w:rsidR="007A3F2E" w:rsidRPr="0018386D" w14:paraId="2136D847" w14:textId="77777777" w:rsidTr="001213B5">
        <w:trPr>
          <w:trHeight w:val="240"/>
        </w:trPr>
        <w:tc>
          <w:tcPr>
            <w:tcW w:w="1418" w:type="dxa"/>
            <w:shd w:val="clear" w:color="000000" w:fill="FFFFFF"/>
            <w:noWrap/>
            <w:vAlign w:val="bottom"/>
            <w:hideMark/>
          </w:tcPr>
          <w:p w14:paraId="20FFF470" w14:textId="6ED21E3B" w:rsidR="003937AF" w:rsidRPr="0018386D" w:rsidRDefault="003937AF" w:rsidP="00DD3106">
            <w:pPr>
              <w:pStyle w:val="TableText"/>
              <w:keepNext/>
              <w:spacing w:before="40" w:after="40"/>
              <w:rPr>
                <w:rFonts w:cs="Calibri"/>
                <w:szCs w:val="18"/>
              </w:rPr>
            </w:pPr>
            <w:r w:rsidRPr="0018386D">
              <w:rPr>
                <w:rFonts w:cs="Calibri"/>
                <w:szCs w:val="18"/>
              </w:rPr>
              <w:t>2022</w:t>
            </w:r>
          </w:p>
        </w:tc>
        <w:tc>
          <w:tcPr>
            <w:tcW w:w="737" w:type="dxa"/>
            <w:shd w:val="clear" w:color="000000" w:fill="FFFFFF"/>
            <w:noWrap/>
            <w:vAlign w:val="bottom"/>
            <w:hideMark/>
          </w:tcPr>
          <w:p w14:paraId="16514149" w14:textId="77777777" w:rsidR="003937AF" w:rsidRPr="0018386D" w:rsidRDefault="003937AF" w:rsidP="00DD3106">
            <w:pPr>
              <w:pStyle w:val="TableText"/>
              <w:keepN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464243C4" w14:textId="31FECBEA" w:rsidR="003937AF" w:rsidRPr="0018386D" w:rsidRDefault="003937AF" w:rsidP="00DD3106">
            <w:pPr>
              <w:pStyle w:val="TableText"/>
              <w:keepNext/>
              <w:spacing w:before="40" w:after="40"/>
              <w:jc w:val="center"/>
              <w:rPr>
                <w:rFonts w:cs="Calibri"/>
                <w:szCs w:val="18"/>
              </w:rPr>
            </w:pPr>
            <w:r w:rsidRPr="0018386D">
              <w:rPr>
                <w:rFonts w:cs="Calibri"/>
                <w:szCs w:val="18"/>
              </w:rPr>
              <w:t>0.00860</w:t>
            </w:r>
          </w:p>
        </w:tc>
        <w:tc>
          <w:tcPr>
            <w:tcW w:w="1588" w:type="dxa"/>
            <w:shd w:val="clear" w:color="000000" w:fill="FFFFFF"/>
            <w:noWrap/>
            <w:vAlign w:val="bottom"/>
            <w:hideMark/>
          </w:tcPr>
          <w:p w14:paraId="772EA385" w14:textId="16E1AB20" w:rsidR="003937AF" w:rsidRPr="0018386D" w:rsidRDefault="003937AF" w:rsidP="00DD3106">
            <w:pPr>
              <w:pStyle w:val="TableText"/>
              <w:keepNext/>
              <w:spacing w:before="40" w:after="40"/>
              <w:jc w:val="center"/>
              <w:rPr>
                <w:rFonts w:cs="Calibri"/>
                <w:szCs w:val="18"/>
              </w:rPr>
            </w:pPr>
            <w:r w:rsidRPr="0018386D">
              <w:rPr>
                <w:rFonts w:cs="Calibri"/>
                <w:szCs w:val="18"/>
              </w:rPr>
              <w:t>0.00836</w:t>
            </w:r>
          </w:p>
        </w:tc>
        <w:tc>
          <w:tcPr>
            <w:tcW w:w="1588" w:type="dxa"/>
            <w:shd w:val="clear" w:color="000000" w:fill="FFFFFF"/>
            <w:noWrap/>
            <w:vAlign w:val="bottom"/>
            <w:hideMark/>
          </w:tcPr>
          <w:p w14:paraId="5344260B" w14:textId="2FFC2565" w:rsidR="003937AF" w:rsidRPr="0018386D" w:rsidRDefault="003937AF" w:rsidP="00DD3106">
            <w:pPr>
              <w:pStyle w:val="TableText"/>
              <w:keepNext/>
              <w:spacing w:before="40" w:after="40"/>
              <w:jc w:val="center"/>
              <w:rPr>
                <w:rFonts w:cs="Calibri"/>
                <w:szCs w:val="18"/>
              </w:rPr>
            </w:pPr>
            <w:r w:rsidRPr="0018386D">
              <w:rPr>
                <w:rFonts w:cs="Calibri"/>
                <w:szCs w:val="18"/>
              </w:rPr>
              <w:t>0.0002</w:t>
            </w:r>
          </w:p>
        </w:tc>
        <w:tc>
          <w:tcPr>
            <w:tcW w:w="1644" w:type="dxa"/>
            <w:shd w:val="clear" w:color="000000" w:fill="FFFFFF"/>
            <w:noWrap/>
            <w:vAlign w:val="bottom"/>
            <w:hideMark/>
          </w:tcPr>
          <w:p w14:paraId="7874503B" w14:textId="1E4A0050" w:rsidR="003937AF" w:rsidRPr="0018386D" w:rsidRDefault="003937AF" w:rsidP="00DD3106">
            <w:pPr>
              <w:pStyle w:val="TableText"/>
              <w:keepNext/>
              <w:spacing w:before="40" w:after="40"/>
              <w:jc w:val="center"/>
              <w:rPr>
                <w:rFonts w:cs="Calibri"/>
                <w:szCs w:val="18"/>
              </w:rPr>
            </w:pPr>
            <w:r w:rsidRPr="0018386D">
              <w:rPr>
                <w:rFonts w:cs="Calibri"/>
                <w:szCs w:val="18"/>
              </w:rPr>
              <w:t>0.00002</w:t>
            </w:r>
          </w:p>
        </w:tc>
      </w:tr>
      <w:tr w:rsidR="007A3F2E" w:rsidRPr="0018386D" w14:paraId="4C0881D9" w14:textId="77777777" w:rsidTr="00DA6A57">
        <w:trPr>
          <w:trHeight w:val="240"/>
        </w:trPr>
        <w:tc>
          <w:tcPr>
            <w:tcW w:w="1418" w:type="dxa"/>
            <w:shd w:val="clear" w:color="000000" w:fill="FFFFFF"/>
            <w:noWrap/>
            <w:vAlign w:val="bottom"/>
            <w:hideMark/>
          </w:tcPr>
          <w:p w14:paraId="5013E48C" w14:textId="17FAB111" w:rsidR="003937AF" w:rsidRPr="0018386D" w:rsidRDefault="003937AF" w:rsidP="00DD3106">
            <w:pPr>
              <w:pStyle w:val="TableText"/>
              <w:keepNext/>
              <w:spacing w:before="40" w:after="40"/>
              <w:rPr>
                <w:rFonts w:cs="Calibri"/>
                <w:szCs w:val="18"/>
              </w:rPr>
            </w:pPr>
            <w:r w:rsidRPr="0018386D">
              <w:rPr>
                <w:rFonts w:cs="Calibri"/>
                <w:szCs w:val="18"/>
              </w:rPr>
              <w:t>2021</w:t>
            </w:r>
          </w:p>
        </w:tc>
        <w:tc>
          <w:tcPr>
            <w:tcW w:w="737" w:type="dxa"/>
            <w:shd w:val="clear" w:color="000000" w:fill="FFFFFF"/>
            <w:noWrap/>
            <w:vAlign w:val="bottom"/>
            <w:hideMark/>
          </w:tcPr>
          <w:p w14:paraId="2633B703" w14:textId="77777777" w:rsidR="003937AF" w:rsidRPr="0018386D" w:rsidRDefault="003937AF" w:rsidP="00DD3106">
            <w:pPr>
              <w:pStyle w:val="TableText"/>
              <w:keepN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2900B400" w14:textId="07678EE7" w:rsidR="003937AF" w:rsidRPr="0018386D" w:rsidRDefault="003937AF" w:rsidP="00DD3106">
            <w:pPr>
              <w:pStyle w:val="TableText"/>
              <w:keepNext/>
              <w:spacing w:before="40" w:after="40"/>
              <w:jc w:val="center"/>
              <w:rPr>
                <w:rFonts w:cs="Calibri"/>
                <w:szCs w:val="18"/>
              </w:rPr>
            </w:pPr>
            <w:r w:rsidRPr="0018386D">
              <w:rPr>
                <w:rFonts w:cs="Calibri"/>
                <w:szCs w:val="18"/>
              </w:rPr>
              <w:t>0.0108</w:t>
            </w:r>
          </w:p>
        </w:tc>
        <w:tc>
          <w:tcPr>
            <w:tcW w:w="1588" w:type="dxa"/>
            <w:shd w:val="clear" w:color="000000" w:fill="FFFFFF"/>
            <w:noWrap/>
            <w:vAlign w:val="bottom"/>
            <w:hideMark/>
          </w:tcPr>
          <w:p w14:paraId="1B062989" w14:textId="2AE1F076" w:rsidR="003937AF" w:rsidRPr="0018386D" w:rsidRDefault="003937AF" w:rsidP="00DD3106">
            <w:pPr>
              <w:pStyle w:val="TableText"/>
              <w:keepNext/>
              <w:spacing w:before="40" w:after="40"/>
              <w:jc w:val="center"/>
              <w:rPr>
                <w:rFonts w:cs="Calibri"/>
                <w:szCs w:val="18"/>
              </w:rPr>
            </w:pPr>
            <w:r w:rsidRPr="0018386D">
              <w:rPr>
                <w:rFonts w:cs="Calibri"/>
                <w:szCs w:val="18"/>
              </w:rPr>
              <w:t>0.0105</w:t>
            </w:r>
          </w:p>
        </w:tc>
        <w:tc>
          <w:tcPr>
            <w:tcW w:w="1588" w:type="dxa"/>
            <w:shd w:val="clear" w:color="000000" w:fill="FFFFFF"/>
            <w:noWrap/>
            <w:vAlign w:val="bottom"/>
            <w:hideMark/>
          </w:tcPr>
          <w:p w14:paraId="567435D3" w14:textId="77777777" w:rsidR="003937AF" w:rsidRPr="0018386D" w:rsidRDefault="003937AF" w:rsidP="00DD3106">
            <w:pPr>
              <w:pStyle w:val="TableText"/>
              <w:keepN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4341BD50" w14:textId="05ABD8F3" w:rsidR="003937AF" w:rsidRPr="0018386D" w:rsidRDefault="003937AF" w:rsidP="00DD3106">
            <w:pPr>
              <w:pStyle w:val="TableText"/>
              <w:keepNext/>
              <w:spacing w:before="40" w:after="40"/>
              <w:jc w:val="center"/>
              <w:rPr>
                <w:rFonts w:cs="Calibri"/>
                <w:szCs w:val="18"/>
              </w:rPr>
            </w:pPr>
            <w:r w:rsidRPr="0018386D">
              <w:rPr>
                <w:rFonts w:cs="Calibri"/>
                <w:szCs w:val="18"/>
              </w:rPr>
              <w:t>0.00002</w:t>
            </w:r>
          </w:p>
        </w:tc>
      </w:tr>
      <w:tr w:rsidR="007A3F2E" w:rsidRPr="0018386D" w14:paraId="521FABED" w14:textId="77777777" w:rsidTr="00DA6A57">
        <w:trPr>
          <w:trHeight w:val="240"/>
        </w:trPr>
        <w:tc>
          <w:tcPr>
            <w:tcW w:w="1418" w:type="dxa"/>
            <w:shd w:val="clear" w:color="000000" w:fill="FFFFFF"/>
            <w:noWrap/>
            <w:vAlign w:val="bottom"/>
            <w:hideMark/>
          </w:tcPr>
          <w:p w14:paraId="7D6A4F39" w14:textId="2CAE911C" w:rsidR="003937AF" w:rsidRPr="0018386D" w:rsidRDefault="003937AF" w:rsidP="00DD3106">
            <w:pPr>
              <w:pStyle w:val="TableText"/>
              <w:spacing w:before="40" w:after="40"/>
              <w:rPr>
                <w:rFonts w:cs="Calibri"/>
                <w:szCs w:val="18"/>
              </w:rPr>
            </w:pPr>
            <w:r w:rsidRPr="0018386D">
              <w:rPr>
                <w:rFonts w:cs="Calibri"/>
                <w:szCs w:val="18"/>
              </w:rPr>
              <w:t>2020</w:t>
            </w:r>
          </w:p>
        </w:tc>
        <w:tc>
          <w:tcPr>
            <w:tcW w:w="737" w:type="dxa"/>
            <w:shd w:val="clear" w:color="000000" w:fill="FFFFFF"/>
            <w:noWrap/>
            <w:vAlign w:val="bottom"/>
            <w:hideMark/>
          </w:tcPr>
          <w:p w14:paraId="726E4566"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0B695876" w14:textId="4001A6CE" w:rsidR="003937AF" w:rsidRPr="0018386D" w:rsidRDefault="003937AF" w:rsidP="00DD3106">
            <w:pPr>
              <w:pStyle w:val="TableText"/>
              <w:spacing w:before="40" w:after="40"/>
              <w:jc w:val="center"/>
              <w:rPr>
                <w:rFonts w:cs="Calibri"/>
                <w:szCs w:val="18"/>
              </w:rPr>
            </w:pPr>
            <w:r w:rsidRPr="0018386D">
              <w:rPr>
                <w:rFonts w:cs="Calibri"/>
                <w:szCs w:val="18"/>
              </w:rPr>
              <w:t>0.0109</w:t>
            </w:r>
          </w:p>
        </w:tc>
        <w:tc>
          <w:tcPr>
            <w:tcW w:w="1588" w:type="dxa"/>
            <w:shd w:val="clear" w:color="000000" w:fill="FFFFFF"/>
            <w:noWrap/>
            <w:vAlign w:val="bottom"/>
            <w:hideMark/>
          </w:tcPr>
          <w:p w14:paraId="63736AD3" w14:textId="1A68F931" w:rsidR="003937AF" w:rsidRPr="0018386D" w:rsidRDefault="003937AF" w:rsidP="00DD3106">
            <w:pPr>
              <w:pStyle w:val="TableText"/>
              <w:spacing w:before="40" w:after="40"/>
              <w:jc w:val="center"/>
              <w:rPr>
                <w:rFonts w:cs="Calibri"/>
                <w:szCs w:val="18"/>
              </w:rPr>
            </w:pPr>
            <w:r w:rsidRPr="0018386D">
              <w:rPr>
                <w:rFonts w:cs="Calibri"/>
                <w:szCs w:val="18"/>
              </w:rPr>
              <w:t>0.0106</w:t>
            </w:r>
          </w:p>
        </w:tc>
        <w:tc>
          <w:tcPr>
            <w:tcW w:w="1588" w:type="dxa"/>
            <w:shd w:val="clear" w:color="000000" w:fill="FFFFFF"/>
            <w:noWrap/>
            <w:vAlign w:val="bottom"/>
            <w:hideMark/>
          </w:tcPr>
          <w:p w14:paraId="5DD61730"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794473E9" w14:textId="6EC90F62" w:rsidR="003937AF" w:rsidRPr="0018386D" w:rsidRDefault="003937AF" w:rsidP="00DD3106">
            <w:pPr>
              <w:pStyle w:val="TableText"/>
              <w:spacing w:before="40" w:after="40"/>
              <w:jc w:val="center"/>
              <w:rPr>
                <w:rFonts w:cs="Calibri"/>
                <w:szCs w:val="18"/>
              </w:rPr>
            </w:pPr>
            <w:r w:rsidRPr="0018386D">
              <w:rPr>
                <w:rFonts w:cs="Calibri"/>
                <w:szCs w:val="18"/>
              </w:rPr>
              <w:t>0.00002</w:t>
            </w:r>
          </w:p>
        </w:tc>
      </w:tr>
      <w:tr w:rsidR="007A3F2E" w:rsidRPr="0018386D" w14:paraId="62155E48" w14:textId="77777777" w:rsidTr="00DA6A57">
        <w:trPr>
          <w:trHeight w:val="240"/>
        </w:trPr>
        <w:tc>
          <w:tcPr>
            <w:tcW w:w="1418" w:type="dxa"/>
            <w:shd w:val="clear" w:color="000000" w:fill="FFFFFF"/>
            <w:noWrap/>
            <w:vAlign w:val="bottom"/>
            <w:hideMark/>
          </w:tcPr>
          <w:p w14:paraId="24138DB9" w14:textId="3260207B" w:rsidR="003937AF" w:rsidRPr="0018386D" w:rsidRDefault="003937AF" w:rsidP="00DD3106">
            <w:pPr>
              <w:pStyle w:val="TableText"/>
              <w:spacing w:before="40" w:after="40"/>
              <w:rPr>
                <w:rFonts w:cs="Calibri"/>
                <w:szCs w:val="18"/>
              </w:rPr>
            </w:pPr>
            <w:r w:rsidRPr="0018386D">
              <w:rPr>
                <w:rFonts w:cs="Calibri"/>
                <w:szCs w:val="18"/>
              </w:rPr>
              <w:t>2019</w:t>
            </w:r>
          </w:p>
        </w:tc>
        <w:tc>
          <w:tcPr>
            <w:tcW w:w="737" w:type="dxa"/>
            <w:shd w:val="clear" w:color="000000" w:fill="FFFFFF"/>
            <w:noWrap/>
            <w:vAlign w:val="bottom"/>
            <w:hideMark/>
          </w:tcPr>
          <w:p w14:paraId="1D30B7E5"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710B7CD1" w14:textId="2CCAEE85" w:rsidR="003937AF" w:rsidRPr="0018386D" w:rsidRDefault="003937AF" w:rsidP="00DD3106">
            <w:pPr>
              <w:pStyle w:val="TableText"/>
              <w:spacing w:before="40" w:after="40"/>
              <w:jc w:val="center"/>
              <w:rPr>
                <w:rFonts w:cs="Calibri"/>
                <w:szCs w:val="18"/>
              </w:rPr>
            </w:pPr>
            <w:r w:rsidRPr="0018386D">
              <w:rPr>
                <w:rFonts w:cs="Calibri"/>
                <w:szCs w:val="18"/>
              </w:rPr>
              <w:t>0.00993</w:t>
            </w:r>
          </w:p>
        </w:tc>
        <w:tc>
          <w:tcPr>
            <w:tcW w:w="1588" w:type="dxa"/>
            <w:shd w:val="clear" w:color="000000" w:fill="FFFFFF"/>
            <w:noWrap/>
            <w:vAlign w:val="bottom"/>
            <w:hideMark/>
          </w:tcPr>
          <w:p w14:paraId="60C059B5" w14:textId="002D2402" w:rsidR="003937AF" w:rsidRPr="0018386D" w:rsidRDefault="003937AF" w:rsidP="00DD3106">
            <w:pPr>
              <w:pStyle w:val="TableText"/>
              <w:spacing w:before="40" w:after="40"/>
              <w:jc w:val="center"/>
              <w:rPr>
                <w:rFonts w:cs="Calibri"/>
                <w:szCs w:val="18"/>
              </w:rPr>
            </w:pPr>
            <w:r w:rsidRPr="0018386D">
              <w:rPr>
                <w:rFonts w:cs="Calibri"/>
                <w:szCs w:val="18"/>
              </w:rPr>
              <w:t>0.00962</w:t>
            </w:r>
          </w:p>
        </w:tc>
        <w:tc>
          <w:tcPr>
            <w:tcW w:w="1588" w:type="dxa"/>
            <w:shd w:val="clear" w:color="000000" w:fill="FFFFFF"/>
            <w:noWrap/>
            <w:vAlign w:val="bottom"/>
            <w:hideMark/>
          </w:tcPr>
          <w:p w14:paraId="4E3E514A"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47C16A3C" w14:textId="32178671" w:rsidR="003937AF" w:rsidRPr="0018386D" w:rsidRDefault="003937AF" w:rsidP="00DD3106">
            <w:pPr>
              <w:pStyle w:val="TableText"/>
              <w:spacing w:before="40" w:after="40"/>
              <w:jc w:val="center"/>
              <w:rPr>
                <w:rFonts w:cs="Calibri"/>
                <w:szCs w:val="18"/>
              </w:rPr>
            </w:pPr>
            <w:r w:rsidRPr="0018386D">
              <w:rPr>
                <w:rFonts w:cs="Calibri"/>
                <w:szCs w:val="18"/>
              </w:rPr>
              <w:t>0.00002</w:t>
            </w:r>
          </w:p>
        </w:tc>
      </w:tr>
      <w:tr w:rsidR="007A3F2E" w:rsidRPr="0018386D" w14:paraId="16A5B603" w14:textId="77777777" w:rsidTr="00DA6A57">
        <w:trPr>
          <w:trHeight w:val="240"/>
        </w:trPr>
        <w:tc>
          <w:tcPr>
            <w:tcW w:w="1418" w:type="dxa"/>
            <w:shd w:val="clear" w:color="000000" w:fill="FFFFFF"/>
            <w:noWrap/>
            <w:vAlign w:val="bottom"/>
            <w:hideMark/>
          </w:tcPr>
          <w:p w14:paraId="68CECBDE" w14:textId="4B8D6A00" w:rsidR="003937AF" w:rsidRPr="0018386D" w:rsidRDefault="003937AF" w:rsidP="00DD3106">
            <w:pPr>
              <w:pStyle w:val="TableText"/>
              <w:spacing w:before="40" w:after="40"/>
              <w:rPr>
                <w:rFonts w:cs="Calibri"/>
                <w:szCs w:val="18"/>
              </w:rPr>
            </w:pPr>
            <w:r w:rsidRPr="0018386D">
              <w:rPr>
                <w:rFonts w:cs="Calibri"/>
                <w:szCs w:val="18"/>
              </w:rPr>
              <w:t>2018</w:t>
            </w:r>
          </w:p>
        </w:tc>
        <w:tc>
          <w:tcPr>
            <w:tcW w:w="737" w:type="dxa"/>
            <w:shd w:val="clear" w:color="000000" w:fill="FFFFFF"/>
            <w:noWrap/>
            <w:vAlign w:val="bottom"/>
            <w:hideMark/>
          </w:tcPr>
          <w:p w14:paraId="606FEA13"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4073C05B" w14:textId="0B2870BF" w:rsidR="003937AF" w:rsidRPr="0018386D" w:rsidRDefault="003937AF" w:rsidP="00DD3106">
            <w:pPr>
              <w:pStyle w:val="TableText"/>
              <w:spacing w:before="40" w:after="40"/>
              <w:jc w:val="center"/>
              <w:rPr>
                <w:rFonts w:cs="Calibri"/>
                <w:szCs w:val="18"/>
              </w:rPr>
            </w:pPr>
            <w:r w:rsidRPr="0018386D">
              <w:rPr>
                <w:rFonts w:cs="Calibri"/>
                <w:szCs w:val="18"/>
              </w:rPr>
              <w:t>0.00797</w:t>
            </w:r>
          </w:p>
        </w:tc>
        <w:tc>
          <w:tcPr>
            <w:tcW w:w="1588" w:type="dxa"/>
            <w:shd w:val="clear" w:color="000000" w:fill="FFFFFF"/>
            <w:noWrap/>
            <w:vAlign w:val="bottom"/>
            <w:hideMark/>
          </w:tcPr>
          <w:p w14:paraId="33A73AA7" w14:textId="297A14B2" w:rsidR="003937AF" w:rsidRPr="0018386D" w:rsidRDefault="003937AF" w:rsidP="00DD3106">
            <w:pPr>
              <w:pStyle w:val="TableText"/>
              <w:spacing w:before="40" w:after="40"/>
              <w:jc w:val="center"/>
              <w:rPr>
                <w:rFonts w:cs="Calibri"/>
                <w:szCs w:val="18"/>
              </w:rPr>
            </w:pPr>
            <w:r w:rsidRPr="0018386D">
              <w:rPr>
                <w:rFonts w:cs="Calibri"/>
                <w:szCs w:val="18"/>
              </w:rPr>
              <w:t>0.00768</w:t>
            </w:r>
          </w:p>
        </w:tc>
        <w:tc>
          <w:tcPr>
            <w:tcW w:w="1588" w:type="dxa"/>
            <w:shd w:val="clear" w:color="000000" w:fill="FFFFFF"/>
            <w:noWrap/>
            <w:vAlign w:val="bottom"/>
            <w:hideMark/>
          </w:tcPr>
          <w:p w14:paraId="3181D91C"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5D72C2BD" w14:textId="7417675E" w:rsidR="003937AF" w:rsidRPr="0018386D" w:rsidRDefault="003937AF" w:rsidP="00DD3106">
            <w:pPr>
              <w:pStyle w:val="TableText"/>
              <w:spacing w:before="40" w:after="40"/>
              <w:jc w:val="center"/>
              <w:rPr>
                <w:rFonts w:cs="Calibri"/>
                <w:szCs w:val="18"/>
              </w:rPr>
            </w:pPr>
            <w:r w:rsidRPr="0018386D">
              <w:rPr>
                <w:rFonts w:cs="Calibri"/>
                <w:szCs w:val="18"/>
              </w:rPr>
              <w:t>0.000010</w:t>
            </w:r>
          </w:p>
        </w:tc>
      </w:tr>
      <w:tr w:rsidR="007A3F2E" w:rsidRPr="0018386D" w14:paraId="459528FD" w14:textId="77777777" w:rsidTr="00DA6A57">
        <w:trPr>
          <w:trHeight w:val="240"/>
        </w:trPr>
        <w:tc>
          <w:tcPr>
            <w:tcW w:w="1418" w:type="dxa"/>
            <w:shd w:val="clear" w:color="000000" w:fill="FFFFFF"/>
            <w:noWrap/>
            <w:vAlign w:val="bottom"/>
            <w:hideMark/>
          </w:tcPr>
          <w:p w14:paraId="6E445366" w14:textId="77777777" w:rsidR="003937AF" w:rsidRPr="0018386D" w:rsidRDefault="003937AF" w:rsidP="00DD3106">
            <w:pPr>
              <w:pStyle w:val="TableText"/>
              <w:spacing w:before="40" w:after="40"/>
              <w:rPr>
                <w:rFonts w:cs="Calibri"/>
                <w:szCs w:val="18"/>
              </w:rPr>
            </w:pPr>
            <w:r w:rsidRPr="0018386D">
              <w:rPr>
                <w:rFonts w:cs="Calibri"/>
                <w:szCs w:val="18"/>
              </w:rPr>
              <w:t>2017</w:t>
            </w:r>
          </w:p>
        </w:tc>
        <w:tc>
          <w:tcPr>
            <w:tcW w:w="737" w:type="dxa"/>
            <w:shd w:val="clear" w:color="000000" w:fill="FFFFFF"/>
            <w:noWrap/>
            <w:vAlign w:val="bottom"/>
            <w:hideMark/>
          </w:tcPr>
          <w:p w14:paraId="4E4066BE"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17B25613" w14:textId="77777777" w:rsidR="003937AF" w:rsidRPr="0018386D" w:rsidRDefault="003937AF" w:rsidP="00DD3106">
            <w:pPr>
              <w:pStyle w:val="TableText"/>
              <w:spacing w:before="40" w:after="40"/>
              <w:jc w:val="center"/>
              <w:rPr>
                <w:rFonts w:cs="Calibri"/>
                <w:szCs w:val="18"/>
              </w:rPr>
            </w:pPr>
            <w:r w:rsidRPr="0018386D">
              <w:rPr>
                <w:rFonts w:cs="Calibri"/>
                <w:szCs w:val="18"/>
              </w:rPr>
              <w:t>0.00879</w:t>
            </w:r>
          </w:p>
        </w:tc>
        <w:tc>
          <w:tcPr>
            <w:tcW w:w="1588" w:type="dxa"/>
            <w:shd w:val="clear" w:color="000000" w:fill="FFFFFF"/>
            <w:noWrap/>
            <w:vAlign w:val="bottom"/>
            <w:hideMark/>
          </w:tcPr>
          <w:p w14:paraId="2F9CE295" w14:textId="77777777" w:rsidR="003937AF" w:rsidRPr="0018386D" w:rsidRDefault="003937AF" w:rsidP="00DD3106">
            <w:pPr>
              <w:pStyle w:val="TableText"/>
              <w:spacing w:before="40" w:after="40"/>
              <w:jc w:val="center"/>
              <w:rPr>
                <w:rFonts w:cs="Calibri"/>
                <w:szCs w:val="18"/>
              </w:rPr>
            </w:pPr>
            <w:r w:rsidRPr="0018386D">
              <w:rPr>
                <w:rFonts w:cs="Calibri"/>
                <w:szCs w:val="18"/>
              </w:rPr>
              <w:t>0.00845</w:t>
            </w:r>
          </w:p>
        </w:tc>
        <w:tc>
          <w:tcPr>
            <w:tcW w:w="1588" w:type="dxa"/>
            <w:shd w:val="clear" w:color="000000" w:fill="FFFFFF"/>
            <w:noWrap/>
            <w:vAlign w:val="bottom"/>
            <w:hideMark/>
          </w:tcPr>
          <w:p w14:paraId="30AD3324"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7F8FAAB7" w14:textId="77777777" w:rsidR="003937AF" w:rsidRPr="0018386D" w:rsidRDefault="003937AF" w:rsidP="00DD3106">
            <w:pPr>
              <w:pStyle w:val="TableText"/>
              <w:spacing w:before="40" w:after="40"/>
              <w:jc w:val="center"/>
              <w:rPr>
                <w:rFonts w:cs="Calibri"/>
                <w:szCs w:val="18"/>
              </w:rPr>
            </w:pPr>
            <w:r w:rsidRPr="0018386D">
              <w:rPr>
                <w:rFonts w:cs="Calibri"/>
                <w:szCs w:val="18"/>
              </w:rPr>
              <w:t>0.000007</w:t>
            </w:r>
          </w:p>
        </w:tc>
      </w:tr>
      <w:tr w:rsidR="007A3F2E" w:rsidRPr="0018386D" w14:paraId="29826CC3" w14:textId="77777777" w:rsidTr="00DA6A57">
        <w:trPr>
          <w:trHeight w:val="240"/>
        </w:trPr>
        <w:tc>
          <w:tcPr>
            <w:tcW w:w="1418" w:type="dxa"/>
            <w:shd w:val="clear" w:color="000000" w:fill="FFFFFF"/>
            <w:noWrap/>
            <w:vAlign w:val="bottom"/>
            <w:hideMark/>
          </w:tcPr>
          <w:p w14:paraId="06524B27" w14:textId="77777777" w:rsidR="003937AF" w:rsidRPr="0018386D" w:rsidRDefault="003937AF" w:rsidP="00DD3106">
            <w:pPr>
              <w:pStyle w:val="TableText"/>
              <w:spacing w:before="40" w:after="40"/>
              <w:rPr>
                <w:rFonts w:cs="Calibri"/>
                <w:szCs w:val="18"/>
              </w:rPr>
            </w:pPr>
            <w:r w:rsidRPr="0018386D">
              <w:rPr>
                <w:rFonts w:cs="Calibri"/>
                <w:szCs w:val="18"/>
              </w:rPr>
              <w:t>2016</w:t>
            </w:r>
          </w:p>
        </w:tc>
        <w:tc>
          <w:tcPr>
            <w:tcW w:w="737" w:type="dxa"/>
            <w:shd w:val="clear" w:color="000000" w:fill="FFFFFF"/>
            <w:noWrap/>
            <w:vAlign w:val="bottom"/>
            <w:hideMark/>
          </w:tcPr>
          <w:p w14:paraId="1E19D775"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606B777F" w14:textId="77777777" w:rsidR="003937AF" w:rsidRPr="0018386D" w:rsidRDefault="003937AF" w:rsidP="00DD3106">
            <w:pPr>
              <w:pStyle w:val="TableText"/>
              <w:spacing w:before="40" w:after="40"/>
              <w:jc w:val="center"/>
              <w:rPr>
                <w:rFonts w:cs="Calibri"/>
                <w:szCs w:val="18"/>
              </w:rPr>
            </w:pPr>
            <w:r w:rsidRPr="0018386D">
              <w:rPr>
                <w:rFonts w:cs="Calibri"/>
                <w:szCs w:val="18"/>
              </w:rPr>
              <w:t>0.00593</w:t>
            </w:r>
          </w:p>
        </w:tc>
        <w:tc>
          <w:tcPr>
            <w:tcW w:w="1588" w:type="dxa"/>
            <w:shd w:val="clear" w:color="000000" w:fill="FFFFFF"/>
            <w:noWrap/>
            <w:vAlign w:val="bottom"/>
            <w:hideMark/>
          </w:tcPr>
          <w:p w14:paraId="15D434BB" w14:textId="77777777" w:rsidR="003937AF" w:rsidRPr="0018386D" w:rsidRDefault="003937AF" w:rsidP="00DD3106">
            <w:pPr>
              <w:pStyle w:val="TableText"/>
              <w:spacing w:before="40" w:after="40"/>
              <w:jc w:val="center"/>
              <w:rPr>
                <w:rFonts w:cs="Calibri"/>
                <w:szCs w:val="18"/>
              </w:rPr>
            </w:pPr>
            <w:r w:rsidRPr="0018386D">
              <w:rPr>
                <w:rFonts w:cs="Calibri"/>
                <w:szCs w:val="18"/>
              </w:rPr>
              <w:t>0.00566</w:t>
            </w:r>
          </w:p>
        </w:tc>
        <w:tc>
          <w:tcPr>
            <w:tcW w:w="1588" w:type="dxa"/>
            <w:shd w:val="clear" w:color="000000" w:fill="FFFFFF"/>
            <w:noWrap/>
            <w:vAlign w:val="bottom"/>
            <w:hideMark/>
          </w:tcPr>
          <w:p w14:paraId="08F7AB80"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207AFE81" w14:textId="77777777" w:rsidR="003937AF" w:rsidRPr="0018386D" w:rsidRDefault="003937AF" w:rsidP="00DD3106">
            <w:pPr>
              <w:pStyle w:val="TableText"/>
              <w:spacing w:before="40" w:after="40"/>
              <w:jc w:val="center"/>
              <w:rPr>
                <w:rFonts w:cs="Calibri"/>
                <w:szCs w:val="18"/>
              </w:rPr>
            </w:pPr>
            <w:r w:rsidRPr="0018386D">
              <w:rPr>
                <w:rFonts w:cs="Calibri"/>
                <w:szCs w:val="18"/>
              </w:rPr>
              <w:t>0.000005</w:t>
            </w:r>
          </w:p>
        </w:tc>
      </w:tr>
      <w:tr w:rsidR="007A3F2E" w:rsidRPr="0018386D" w14:paraId="1D29B253" w14:textId="77777777" w:rsidTr="00DA6A57">
        <w:trPr>
          <w:trHeight w:val="240"/>
        </w:trPr>
        <w:tc>
          <w:tcPr>
            <w:tcW w:w="1418" w:type="dxa"/>
            <w:shd w:val="clear" w:color="000000" w:fill="FFFFFF"/>
            <w:noWrap/>
            <w:vAlign w:val="bottom"/>
            <w:hideMark/>
          </w:tcPr>
          <w:p w14:paraId="0B933CC6" w14:textId="77777777" w:rsidR="003937AF" w:rsidRPr="0018386D" w:rsidRDefault="003937AF" w:rsidP="00DD3106">
            <w:pPr>
              <w:pStyle w:val="TableText"/>
              <w:spacing w:before="40" w:after="40"/>
              <w:rPr>
                <w:rFonts w:cs="Calibri"/>
                <w:szCs w:val="18"/>
              </w:rPr>
            </w:pPr>
            <w:r w:rsidRPr="0018386D">
              <w:rPr>
                <w:rFonts w:cs="Calibri"/>
                <w:szCs w:val="18"/>
              </w:rPr>
              <w:t>2015</w:t>
            </w:r>
          </w:p>
        </w:tc>
        <w:tc>
          <w:tcPr>
            <w:tcW w:w="737" w:type="dxa"/>
            <w:shd w:val="clear" w:color="000000" w:fill="FFFFFF"/>
            <w:noWrap/>
            <w:vAlign w:val="bottom"/>
            <w:hideMark/>
          </w:tcPr>
          <w:p w14:paraId="2A8F39CB"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53A8ED9F" w14:textId="3FBFCA18" w:rsidR="003937AF" w:rsidRPr="0018386D" w:rsidRDefault="003937AF" w:rsidP="00DD3106">
            <w:pPr>
              <w:pStyle w:val="TableText"/>
              <w:spacing w:before="40" w:after="40"/>
              <w:jc w:val="center"/>
              <w:rPr>
                <w:rFonts w:cs="Calibri"/>
                <w:szCs w:val="18"/>
              </w:rPr>
            </w:pPr>
            <w:r w:rsidRPr="0018386D">
              <w:rPr>
                <w:rFonts w:cs="Calibri"/>
                <w:szCs w:val="18"/>
              </w:rPr>
              <w:t>0.00671</w:t>
            </w:r>
          </w:p>
        </w:tc>
        <w:tc>
          <w:tcPr>
            <w:tcW w:w="1588" w:type="dxa"/>
            <w:shd w:val="clear" w:color="000000" w:fill="FFFFFF"/>
            <w:noWrap/>
            <w:vAlign w:val="bottom"/>
            <w:hideMark/>
          </w:tcPr>
          <w:p w14:paraId="12B0D48A" w14:textId="3BB8DB14" w:rsidR="003937AF" w:rsidRPr="0018386D" w:rsidRDefault="003937AF" w:rsidP="00DD3106">
            <w:pPr>
              <w:pStyle w:val="TableText"/>
              <w:spacing w:before="40" w:after="40"/>
              <w:jc w:val="center"/>
              <w:rPr>
                <w:rFonts w:cs="Calibri"/>
                <w:szCs w:val="18"/>
              </w:rPr>
            </w:pPr>
            <w:r w:rsidRPr="0018386D">
              <w:rPr>
                <w:rFonts w:cs="Calibri"/>
                <w:szCs w:val="18"/>
              </w:rPr>
              <w:t>0.00644</w:t>
            </w:r>
          </w:p>
        </w:tc>
        <w:tc>
          <w:tcPr>
            <w:tcW w:w="1588" w:type="dxa"/>
            <w:shd w:val="clear" w:color="000000" w:fill="FFFFFF"/>
            <w:noWrap/>
            <w:vAlign w:val="bottom"/>
            <w:hideMark/>
          </w:tcPr>
          <w:p w14:paraId="24D67B91" w14:textId="0A8000A4"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534F1D73" w14:textId="41C8918C" w:rsidR="003937AF" w:rsidRPr="0018386D" w:rsidRDefault="003937AF" w:rsidP="00DD3106">
            <w:pPr>
              <w:pStyle w:val="TableText"/>
              <w:spacing w:before="40" w:after="40"/>
              <w:jc w:val="center"/>
              <w:rPr>
                <w:rFonts w:cs="Calibri"/>
                <w:szCs w:val="18"/>
              </w:rPr>
            </w:pPr>
            <w:r w:rsidRPr="0018386D">
              <w:rPr>
                <w:rFonts w:cs="Calibri"/>
                <w:szCs w:val="18"/>
              </w:rPr>
              <w:t>0.000008</w:t>
            </w:r>
          </w:p>
        </w:tc>
      </w:tr>
      <w:tr w:rsidR="007A3F2E" w:rsidRPr="0018386D" w14:paraId="2CF74CCC" w14:textId="77777777" w:rsidTr="00DA6A57">
        <w:trPr>
          <w:trHeight w:val="240"/>
        </w:trPr>
        <w:tc>
          <w:tcPr>
            <w:tcW w:w="1418" w:type="dxa"/>
            <w:shd w:val="clear" w:color="000000" w:fill="FFFFFF"/>
            <w:noWrap/>
            <w:vAlign w:val="bottom"/>
            <w:hideMark/>
          </w:tcPr>
          <w:p w14:paraId="63AAE30E" w14:textId="77777777" w:rsidR="003937AF" w:rsidRPr="0018386D" w:rsidRDefault="003937AF" w:rsidP="00DD3106">
            <w:pPr>
              <w:pStyle w:val="TableText"/>
              <w:spacing w:before="40" w:after="40"/>
              <w:rPr>
                <w:rFonts w:cs="Calibri"/>
                <w:szCs w:val="18"/>
              </w:rPr>
            </w:pPr>
            <w:r w:rsidRPr="0018386D">
              <w:rPr>
                <w:rFonts w:cs="Calibri"/>
                <w:szCs w:val="18"/>
              </w:rPr>
              <w:t>2014</w:t>
            </w:r>
          </w:p>
        </w:tc>
        <w:tc>
          <w:tcPr>
            <w:tcW w:w="737" w:type="dxa"/>
            <w:shd w:val="clear" w:color="000000" w:fill="FFFFFF"/>
            <w:noWrap/>
            <w:vAlign w:val="bottom"/>
            <w:hideMark/>
          </w:tcPr>
          <w:p w14:paraId="2DD5862D"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73892A03" w14:textId="46847E67" w:rsidR="003937AF" w:rsidRPr="0018386D" w:rsidRDefault="003937AF" w:rsidP="00DD3106">
            <w:pPr>
              <w:pStyle w:val="TableText"/>
              <w:spacing w:before="40" w:after="40"/>
              <w:jc w:val="center"/>
              <w:rPr>
                <w:rFonts w:cs="Calibri"/>
                <w:szCs w:val="18"/>
              </w:rPr>
            </w:pPr>
            <w:r w:rsidRPr="0018386D">
              <w:rPr>
                <w:rFonts w:cs="Calibri"/>
                <w:szCs w:val="18"/>
              </w:rPr>
              <w:t>0.00693</w:t>
            </w:r>
          </w:p>
        </w:tc>
        <w:tc>
          <w:tcPr>
            <w:tcW w:w="1588" w:type="dxa"/>
            <w:shd w:val="clear" w:color="000000" w:fill="FFFFFF"/>
            <w:noWrap/>
            <w:vAlign w:val="bottom"/>
            <w:hideMark/>
          </w:tcPr>
          <w:p w14:paraId="701DA1BC" w14:textId="5712563A" w:rsidR="003937AF" w:rsidRPr="0018386D" w:rsidRDefault="003937AF" w:rsidP="00DD3106">
            <w:pPr>
              <w:pStyle w:val="TableText"/>
              <w:spacing w:before="40" w:after="40"/>
              <w:jc w:val="center"/>
              <w:rPr>
                <w:rFonts w:cs="Calibri"/>
                <w:szCs w:val="18"/>
              </w:rPr>
            </w:pPr>
            <w:r w:rsidRPr="0018386D">
              <w:rPr>
                <w:rFonts w:cs="Calibri"/>
                <w:szCs w:val="18"/>
              </w:rPr>
              <w:t>0.00667</w:t>
            </w:r>
          </w:p>
        </w:tc>
        <w:tc>
          <w:tcPr>
            <w:tcW w:w="1588" w:type="dxa"/>
            <w:shd w:val="clear" w:color="000000" w:fill="FFFFFF"/>
            <w:noWrap/>
            <w:vAlign w:val="bottom"/>
            <w:hideMark/>
          </w:tcPr>
          <w:p w14:paraId="3BD291D3" w14:textId="7582D32C" w:rsidR="003937AF" w:rsidRPr="0018386D" w:rsidRDefault="003937AF" w:rsidP="00DD3106">
            <w:pPr>
              <w:pStyle w:val="TableText"/>
              <w:spacing w:before="40" w:after="40"/>
              <w:jc w:val="center"/>
              <w:rPr>
                <w:rFonts w:cs="Calibri"/>
                <w:szCs w:val="18"/>
              </w:rPr>
            </w:pPr>
            <w:r w:rsidRPr="0018386D">
              <w:rPr>
                <w:rFonts w:cs="Calibri"/>
                <w:szCs w:val="18"/>
              </w:rPr>
              <w:t>0.0002</w:t>
            </w:r>
          </w:p>
        </w:tc>
        <w:tc>
          <w:tcPr>
            <w:tcW w:w="1644" w:type="dxa"/>
            <w:shd w:val="clear" w:color="000000" w:fill="FFFFFF"/>
            <w:noWrap/>
            <w:vAlign w:val="bottom"/>
            <w:hideMark/>
          </w:tcPr>
          <w:p w14:paraId="18310E1E" w14:textId="1E5DFBEA" w:rsidR="003937AF" w:rsidRPr="0018386D" w:rsidRDefault="003937AF" w:rsidP="00DD3106">
            <w:pPr>
              <w:pStyle w:val="TableText"/>
              <w:spacing w:before="40" w:after="40"/>
              <w:jc w:val="center"/>
              <w:rPr>
                <w:rFonts w:cs="Calibri"/>
                <w:szCs w:val="18"/>
              </w:rPr>
            </w:pPr>
            <w:r w:rsidRPr="0018386D">
              <w:rPr>
                <w:rFonts w:cs="Calibri"/>
                <w:szCs w:val="18"/>
              </w:rPr>
              <w:t>0.000009</w:t>
            </w:r>
          </w:p>
        </w:tc>
      </w:tr>
      <w:tr w:rsidR="007A3F2E" w:rsidRPr="0018386D" w14:paraId="3977E7F3" w14:textId="77777777" w:rsidTr="00DA6A57">
        <w:trPr>
          <w:trHeight w:val="240"/>
        </w:trPr>
        <w:tc>
          <w:tcPr>
            <w:tcW w:w="1418" w:type="dxa"/>
            <w:shd w:val="clear" w:color="000000" w:fill="FFFFFF"/>
            <w:noWrap/>
            <w:vAlign w:val="bottom"/>
            <w:hideMark/>
          </w:tcPr>
          <w:p w14:paraId="2649F4EB" w14:textId="77777777" w:rsidR="003937AF" w:rsidRPr="0018386D" w:rsidRDefault="003937AF" w:rsidP="00DD3106">
            <w:pPr>
              <w:pStyle w:val="TableText"/>
              <w:spacing w:before="40" w:after="40"/>
              <w:rPr>
                <w:rFonts w:cs="Calibri"/>
                <w:szCs w:val="18"/>
              </w:rPr>
            </w:pPr>
            <w:r w:rsidRPr="0018386D">
              <w:rPr>
                <w:rFonts w:cs="Calibri"/>
                <w:szCs w:val="18"/>
              </w:rPr>
              <w:t>2013</w:t>
            </w:r>
          </w:p>
        </w:tc>
        <w:tc>
          <w:tcPr>
            <w:tcW w:w="737" w:type="dxa"/>
            <w:shd w:val="clear" w:color="000000" w:fill="FFFFFF"/>
            <w:noWrap/>
            <w:vAlign w:val="bottom"/>
            <w:hideMark/>
          </w:tcPr>
          <w:p w14:paraId="7E45A7CB"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51432170" w14:textId="1695FBCE" w:rsidR="003937AF" w:rsidRPr="0018386D" w:rsidRDefault="003937AF" w:rsidP="00DD3106">
            <w:pPr>
              <w:pStyle w:val="TableText"/>
              <w:spacing w:before="40" w:after="40"/>
              <w:jc w:val="center"/>
              <w:rPr>
                <w:rFonts w:cs="Calibri"/>
                <w:szCs w:val="18"/>
              </w:rPr>
            </w:pPr>
            <w:r w:rsidRPr="0018386D">
              <w:rPr>
                <w:rFonts w:cs="Calibri"/>
                <w:szCs w:val="18"/>
              </w:rPr>
              <w:t>0.0102</w:t>
            </w:r>
          </w:p>
        </w:tc>
        <w:tc>
          <w:tcPr>
            <w:tcW w:w="1588" w:type="dxa"/>
            <w:shd w:val="clear" w:color="000000" w:fill="FFFFFF"/>
            <w:noWrap/>
            <w:vAlign w:val="bottom"/>
            <w:hideMark/>
          </w:tcPr>
          <w:p w14:paraId="1766A7EC" w14:textId="12E9BF5E" w:rsidR="003937AF" w:rsidRPr="0018386D" w:rsidRDefault="003937AF" w:rsidP="00DD3106">
            <w:pPr>
              <w:pStyle w:val="TableText"/>
              <w:spacing w:before="40" w:after="40"/>
              <w:jc w:val="center"/>
              <w:rPr>
                <w:rFonts w:cs="Calibri"/>
                <w:szCs w:val="18"/>
              </w:rPr>
            </w:pPr>
            <w:r w:rsidRPr="0018386D">
              <w:rPr>
                <w:rFonts w:cs="Calibri"/>
                <w:szCs w:val="18"/>
              </w:rPr>
              <w:t>0.00992</w:t>
            </w:r>
          </w:p>
        </w:tc>
        <w:tc>
          <w:tcPr>
            <w:tcW w:w="1588" w:type="dxa"/>
            <w:shd w:val="clear" w:color="000000" w:fill="FFFFFF"/>
            <w:noWrap/>
            <w:vAlign w:val="bottom"/>
            <w:hideMark/>
          </w:tcPr>
          <w:p w14:paraId="5844C13B"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60B5CC9F" w14:textId="439C716B" w:rsidR="003937AF" w:rsidRPr="0018386D" w:rsidRDefault="003937AF" w:rsidP="00DD3106">
            <w:pPr>
              <w:pStyle w:val="TableText"/>
              <w:spacing w:before="40" w:after="40"/>
              <w:jc w:val="center"/>
              <w:rPr>
                <w:rFonts w:cs="Calibri"/>
                <w:szCs w:val="18"/>
              </w:rPr>
            </w:pPr>
            <w:r w:rsidRPr="0018386D">
              <w:rPr>
                <w:rFonts w:cs="Calibri"/>
                <w:szCs w:val="18"/>
              </w:rPr>
              <w:t>0.00001</w:t>
            </w:r>
          </w:p>
        </w:tc>
      </w:tr>
      <w:tr w:rsidR="007A3F2E" w:rsidRPr="0018386D" w14:paraId="3EC6CEE5" w14:textId="77777777" w:rsidTr="00DA6A57">
        <w:trPr>
          <w:trHeight w:val="240"/>
        </w:trPr>
        <w:tc>
          <w:tcPr>
            <w:tcW w:w="1418" w:type="dxa"/>
            <w:shd w:val="clear" w:color="000000" w:fill="FFFFFF"/>
            <w:noWrap/>
            <w:vAlign w:val="bottom"/>
            <w:hideMark/>
          </w:tcPr>
          <w:p w14:paraId="480A163D" w14:textId="77777777" w:rsidR="003937AF" w:rsidRPr="0018386D" w:rsidRDefault="003937AF" w:rsidP="00DD3106">
            <w:pPr>
              <w:pStyle w:val="TableText"/>
              <w:spacing w:before="40" w:after="40"/>
              <w:rPr>
                <w:rFonts w:cs="Calibri"/>
                <w:szCs w:val="18"/>
              </w:rPr>
            </w:pPr>
            <w:r w:rsidRPr="0018386D">
              <w:rPr>
                <w:rFonts w:cs="Calibri"/>
                <w:szCs w:val="18"/>
              </w:rPr>
              <w:t>2012</w:t>
            </w:r>
          </w:p>
        </w:tc>
        <w:tc>
          <w:tcPr>
            <w:tcW w:w="737" w:type="dxa"/>
            <w:shd w:val="clear" w:color="000000" w:fill="FFFFFF"/>
            <w:noWrap/>
            <w:vAlign w:val="bottom"/>
            <w:hideMark/>
          </w:tcPr>
          <w:p w14:paraId="46040E82"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24AD5DBB" w14:textId="63B7E07F" w:rsidR="003937AF" w:rsidRPr="0018386D" w:rsidRDefault="003937AF" w:rsidP="00DD3106">
            <w:pPr>
              <w:pStyle w:val="TableText"/>
              <w:spacing w:before="40" w:after="40"/>
              <w:jc w:val="center"/>
              <w:rPr>
                <w:rFonts w:cs="Calibri"/>
                <w:szCs w:val="18"/>
              </w:rPr>
            </w:pPr>
            <w:r w:rsidRPr="0018386D">
              <w:rPr>
                <w:rFonts w:cs="Calibri"/>
                <w:szCs w:val="18"/>
              </w:rPr>
              <w:t>0.0137</w:t>
            </w:r>
          </w:p>
        </w:tc>
        <w:tc>
          <w:tcPr>
            <w:tcW w:w="1588" w:type="dxa"/>
            <w:shd w:val="clear" w:color="000000" w:fill="FFFFFF"/>
            <w:noWrap/>
            <w:vAlign w:val="bottom"/>
            <w:hideMark/>
          </w:tcPr>
          <w:p w14:paraId="29F193DF" w14:textId="202C650B" w:rsidR="003937AF" w:rsidRPr="0018386D" w:rsidRDefault="003937AF" w:rsidP="00DD3106">
            <w:pPr>
              <w:pStyle w:val="TableText"/>
              <w:spacing w:before="40" w:after="40"/>
              <w:jc w:val="center"/>
              <w:rPr>
                <w:rFonts w:cs="Calibri"/>
                <w:szCs w:val="18"/>
              </w:rPr>
            </w:pPr>
            <w:r w:rsidRPr="0018386D">
              <w:rPr>
                <w:rFonts w:cs="Calibri"/>
                <w:szCs w:val="18"/>
              </w:rPr>
              <w:t>0.0134</w:t>
            </w:r>
          </w:p>
        </w:tc>
        <w:tc>
          <w:tcPr>
            <w:tcW w:w="1588" w:type="dxa"/>
            <w:shd w:val="clear" w:color="000000" w:fill="FFFFFF"/>
            <w:noWrap/>
            <w:vAlign w:val="bottom"/>
            <w:hideMark/>
          </w:tcPr>
          <w:p w14:paraId="33C289AF"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4928D6D7" w14:textId="798980FD" w:rsidR="003937AF" w:rsidRPr="0018386D" w:rsidRDefault="003937AF" w:rsidP="00DD3106">
            <w:pPr>
              <w:pStyle w:val="TableText"/>
              <w:spacing w:before="40" w:after="40"/>
              <w:jc w:val="center"/>
              <w:rPr>
                <w:rFonts w:cs="Calibri"/>
                <w:szCs w:val="18"/>
              </w:rPr>
            </w:pPr>
            <w:r w:rsidRPr="0018386D">
              <w:rPr>
                <w:rFonts w:cs="Calibri"/>
                <w:szCs w:val="18"/>
              </w:rPr>
              <w:t>0.00002</w:t>
            </w:r>
          </w:p>
        </w:tc>
      </w:tr>
      <w:tr w:rsidR="007A3F2E" w:rsidRPr="0018386D" w14:paraId="5DBD207C" w14:textId="77777777" w:rsidTr="00DA6A57">
        <w:trPr>
          <w:trHeight w:val="240"/>
        </w:trPr>
        <w:tc>
          <w:tcPr>
            <w:tcW w:w="1418" w:type="dxa"/>
            <w:shd w:val="clear" w:color="000000" w:fill="FFFFFF"/>
            <w:noWrap/>
            <w:vAlign w:val="bottom"/>
            <w:hideMark/>
          </w:tcPr>
          <w:p w14:paraId="6BFC0A65" w14:textId="77777777" w:rsidR="003937AF" w:rsidRPr="0018386D" w:rsidRDefault="003937AF" w:rsidP="00DD3106">
            <w:pPr>
              <w:pStyle w:val="TableText"/>
              <w:spacing w:before="40" w:after="40"/>
              <w:rPr>
                <w:rFonts w:cs="Calibri"/>
                <w:szCs w:val="18"/>
              </w:rPr>
            </w:pPr>
            <w:r w:rsidRPr="0018386D">
              <w:rPr>
                <w:rFonts w:cs="Calibri"/>
                <w:szCs w:val="18"/>
              </w:rPr>
              <w:t>2011</w:t>
            </w:r>
          </w:p>
        </w:tc>
        <w:tc>
          <w:tcPr>
            <w:tcW w:w="737" w:type="dxa"/>
            <w:shd w:val="clear" w:color="000000" w:fill="FFFFFF"/>
            <w:noWrap/>
            <w:vAlign w:val="bottom"/>
            <w:hideMark/>
          </w:tcPr>
          <w:p w14:paraId="3F27B16A"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70CDF88F" w14:textId="2B267461" w:rsidR="003937AF" w:rsidRPr="0018386D" w:rsidRDefault="003937AF" w:rsidP="00DD3106">
            <w:pPr>
              <w:pStyle w:val="TableText"/>
              <w:spacing w:before="40" w:after="40"/>
              <w:jc w:val="center"/>
              <w:rPr>
                <w:rFonts w:cs="Calibri"/>
                <w:szCs w:val="18"/>
              </w:rPr>
            </w:pPr>
            <w:r w:rsidRPr="0018386D">
              <w:rPr>
                <w:rFonts w:cs="Calibri"/>
                <w:szCs w:val="18"/>
              </w:rPr>
              <w:t>0.00976</w:t>
            </w:r>
          </w:p>
        </w:tc>
        <w:tc>
          <w:tcPr>
            <w:tcW w:w="1588" w:type="dxa"/>
            <w:shd w:val="clear" w:color="000000" w:fill="FFFFFF"/>
            <w:noWrap/>
            <w:vAlign w:val="bottom"/>
            <w:hideMark/>
          </w:tcPr>
          <w:p w14:paraId="28C589FA" w14:textId="7D4B7A7C" w:rsidR="003937AF" w:rsidRPr="0018386D" w:rsidRDefault="003937AF" w:rsidP="00DD3106">
            <w:pPr>
              <w:pStyle w:val="TableText"/>
              <w:spacing w:before="40" w:after="40"/>
              <w:jc w:val="center"/>
              <w:rPr>
                <w:rFonts w:cs="Calibri"/>
                <w:szCs w:val="18"/>
              </w:rPr>
            </w:pPr>
            <w:r w:rsidRPr="0018386D">
              <w:rPr>
                <w:rFonts w:cs="Calibri"/>
                <w:szCs w:val="18"/>
              </w:rPr>
              <w:t>0.00948</w:t>
            </w:r>
          </w:p>
        </w:tc>
        <w:tc>
          <w:tcPr>
            <w:tcW w:w="1588" w:type="dxa"/>
            <w:shd w:val="clear" w:color="000000" w:fill="FFFFFF"/>
            <w:noWrap/>
            <w:vAlign w:val="bottom"/>
            <w:hideMark/>
          </w:tcPr>
          <w:p w14:paraId="3D4AF165"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7F1B84A8" w14:textId="4691E218" w:rsidR="003937AF" w:rsidRPr="0018386D" w:rsidRDefault="003937AF" w:rsidP="00DD3106">
            <w:pPr>
              <w:pStyle w:val="TableText"/>
              <w:spacing w:before="40" w:after="40"/>
              <w:jc w:val="center"/>
              <w:rPr>
                <w:rFonts w:cs="Calibri"/>
                <w:szCs w:val="18"/>
              </w:rPr>
            </w:pPr>
            <w:r w:rsidRPr="0018386D">
              <w:rPr>
                <w:rFonts w:cs="Calibri"/>
                <w:szCs w:val="18"/>
              </w:rPr>
              <w:t>0.00001</w:t>
            </w:r>
          </w:p>
        </w:tc>
      </w:tr>
      <w:tr w:rsidR="007A3F2E" w:rsidRPr="0018386D" w14:paraId="0ABA3E09" w14:textId="77777777" w:rsidTr="00DA6A57">
        <w:trPr>
          <w:trHeight w:val="240"/>
        </w:trPr>
        <w:tc>
          <w:tcPr>
            <w:tcW w:w="1418" w:type="dxa"/>
            <w:shd w:val="clear" w:color="000000" w:fill="FFFFFF"/>
            <w:noWrap/>
            <w:vAlign w:val="bottom"/>
            <w:hideMark/>
          </w:tcPr>
          <w:p w14:paraId="3B940DD6" w14:textId="77777777" w:rsidR="003937AF" w:rsidRPr="0018386D" w:rsidRDefault="003937AF" w:rsidP="00DD3106">
            <w:pPr>
              <w:pStyle w:val="TableText"/>
              <w:spacing w:before="40" w:after="40"/>
              <w:rPr>
                <w:rFonts w:cs="Calibri"/>
                <w:szCs w:val="18"/>
              </w:rPr>
            </w:pPr>
            <w:r w:rsidRPr="0018386D">
              <w:rPr>
                <w:rFonts w:cs="Calibri"/>
                <w:szCs w:val="18"/>
              </w:rPr>
              <w:t>2010</w:t>
            </w:r>
          </w:p>
        </w:tc>
        <w:tc>
          <w:tcPr>
            <w:tcW w:w="737" w:type="dxa"/>
            <w:shd w:val="clear" w:color="000000" w:fill="FFFFFF"/>
            <w:noWrap/>
            <w:vAlign w:val="bottom"/>
            <w:hideMark/>
          </w:tcPr>
          <w:p w14:paraId="39E3ADF3" w14:textId="77777777" w:rsidR="003937AF" w:rsidRPr="0018386D" w:rsidRDefault="003937AF" w:rsidP="00DD3106">
            <w:pPr>
              <w:pStyle w:val="TableText"/>
              <w:spacing w:before="40" w:after="40"/>
              <w:jc w:val="center"/>
              <w:rPr>
                <w:rFonts w:cs="Calibri"/>
                <w:szCs w:val="18"/>
              </w:rPr>
            </w:pPr>
            <w:r w:rsidRPr="0018386D">
              <w:rPr>
                <w:rFonts w:cs="Calibri"/>
                <w:szCs w:val="18"/>
              </w:rPr>
              <w:t>kWh</w:t>
            </w:r>
          </w:p>
        </w:tc>
        <w:tc>
          <w:tcPr>
            <w:tcW w:w="1191" w:type="dxa"/>
            <w:shd w:val="clear" w:color="000000" w:fill="D2DDE1"/>
            <w:noWrap/>
            <w:vAlign w:val="bottom"/>
            <w:hideMark/>
          </w:tcPr>
          <w:p w14:paraId="6E9509A2" w14:textId="659B9CAA" w:rsidR="003937AF" w:rsidRPr="0018386D" w:rsidRDefault="003937AF" w:rsidP="00DD3106">
            <w:pPr>
              <w:pStyle w:val="TableText"/>
              <w:spacing w:before="40" w:after="40"/>
              <w:jc w:val="center"/>
              <w:rPr>
                <w:rFonts w:cs="Calibri"/>
                <w:szCs w:val="18"/>
              </w:rPr>
            </w:pPr>
            <w:r w:rsidRPr="0018386D">
              <w:rPr>
                <w:rFonts w:cs="Calibri"/>
                <w:szCs w:val="18"/>
              </w:rPr>
              <w:t>0.0103</w:t>
            </w:r>
          </w:p>
        </w:tc>
        <w:tc>
          <w:tcPr>
            <w:tcW w:w="1588" w:type="dxa"/>
            <w:shd w:val="clear" w:color="000000" w:fill="FFFFFF"/>
            <w:noWrap/>
            <w:vAlign w:val="bottom"/>
            <w:hideMark/>
          </w:tcPr>
          <w:p w14:paraId="669F7B31" w14:textId="1DD61FD2" w:rsidR="003937AF" w:rsidRPr="0018386D" w:rsidRDefault="003937AF" w:rsidP="00DD3106">
            <w:pPr>
              <w:pStyle w:val="TableText"/>
              <w:spacing w:before="40" w:after="40"/>
              <w:jc w:val="center"/>
              <w:rPr>
                <w:rFonts w:cs="Calibri"/>
                <w:szCs w:val="18"/>
              </w:rPr>
            </w:pPr>
            <w:r w:rsidRPr="0018386D">
              <w:rPr>
                <w:rFonts w:cs="Calibri"/>
                <w:szCs w:val="18"/>
              </w:rPr>
              <w:t>0.0100</w:t>
            </w:r>
          </w:p>
        </w:tc>
        <w:tc>
          <w:tcPr>
            <w:tcW w:w="1588" w:type="dxa"/>
            <w:shd w:val="clear" w:color="000000" w:fill="FFFFFF"/>
            <w:noWrap/>
            <w:vAlign w:val="bottom"/>
            <w:hideMark/>
          </w:tcPr>
          <w:p w14:paraId="0F460402" w14:textId="77777777" w:rsidR="003937AF" w:rsidRPr="0018386D" w:rsidRDefault="003937AF" w:rsidP="00DD3106">
            <w:pPr>
              <w:pStyle w:val="TableText"/>
              <w:spacing w:before="40" w:after="40"/>
              <w:jc w:val="center"/>
              <w:rPr>
                <w:rFonts w:cs="Calibri"/>
                <w:szCs w:val="18"/>
              </w:rPr>
            </w:pPr>
            <w:r w:rsidRPr="0018386D">
              <w:rPr>
                <w:rFonts w:cs="Calibri"/>
                <w:szCs w:val="18"/>
              </w:rPr>
              <w:t>0.0003</w:t>
            </w:r>
          </w:p>
        </w:tc>
        <w:tc>
          <w:tcPr>
            <w:tcW w:w="1644" w:type="dxa"/>
            <w:shd w:val="clear" w:color="000000" w:fill="FFFFFF"/>
            <w:noWrap/>
            <w:vAlign w:val="bottom"/>
            <w:hideMark/>
          </w:tcPr>
          <w:p w14:paraId="0C148836" w14:textId="2AFB0DFD" w:rsidR="003937AF" w:rsidRPr="0018386D" w:rsidRDefault="003937AF" w:rsidP="00DD3106">
            <w:pPr>
              <w:pStyle w:val="TableText"/>
              <w:spacing w:before="40" w:after="40"/>
              <w:jc w:val="center"/>
              <w:rPr>
                <w:rFonts w:cs="Calibri"/>
                <w:szCs w:val="18"/>
              </w:rPr>
            </w:pPr>
            <w:r w:rsidRPr="0018386D">
              <w:rPr>
                <w:rFonts w:cs="Calibri"/>
                <w:szCs w:val="18"/>
              </w:rPr>
              <w:t>0.00001</w:t>
            </w:r>
          </w:p>
        </w:tc>
      </w:tr>
    </w:tbl>
    <w:p w14:paraId="13100A76" w14:textId="52F0537E" w:rsidR="00080C18" w:rsidRPr="0018386D" w:rsidRDefault="00080C18" w:rsidP="00DD3106">
      <w:pPr>
        <w:pStyle w:val="Note"/>
      </w:pPr>
      <w:r w:rsidRPr="0018386D">
        <w:rPr>
          <w:b/>
          <w:bCs/>
        </w:rPr>
        <w:t>Note</w:t>
      </w:r>
      <w:r w:rsidR="003438E6" w:rsidRPr="0018386D">
        <w:rPr>
          <w:b/>
          <w:bCs/>
        </w:rPr>
        <w:t>:</w:t>
      </w:r>
      <w:r w:rsidRPr="0018386D">
        <w:t xml:space="preserve"> </w:t>
      </w:r>
      <w:r w:rsidR="003438E6" w:rsidRPr="0018386D">
        <w:t>T</w:t>
      </w:r>
      <w:r w:rsidRPr="0018386D">
        <w:t>hese numbers are rounded</w:t>
      </w:r>
      <w:r w:rsidR="00EB3127" w:rsidRPr="0018386D">
        <w:t xml:space="preserve"> to</w:t>
      </w:r>
      <w:r w:rsidR="00103932" w:rsidRPr="0018386D">
        <w:t xml:space="preserve"> 3 decimal places unless the number is significantly small. </w:t>
      </w:r>
    </w:p>
    <w:p w14:paraId="0A6D8992" w14:textId="44C109E7" w:rsidR="00B276B8" w:rsidRPr="0018386D" w:rsidRDefault="00301928" w:rsidP="00DD3106">
      <w:pPr>
        <w:pStyle w:val="Heading3"/>
        <w:numPr>
          <w:ilvl w:val="0"/>
          <w:numId w:val="12"/>
        </w:numPr>
        <w:jc w:val="both"/>
      </w:pPr>
      <w:bookmarkStart w:id="313" w:name="_Toc532904888"/>
      <w:r w:rsidRPr="0018386D">
        <w:t xml:space="preserve">GHG </w:t>
      </w:r>
      <w:r w:rsidR="00B276B8" w:rsidRPr="0018386D">
        <w:t>inventory development</w:t>
      </w:r>
      <w:bookmarkEnd w:id="313"/>
    </w:p>
    <w:p w14:paraId="71C9809A" w14:textId="5084462D" w:rsidR="00460235" w:rsidRPr="0018386D" w:rsidRDefault="00460235" w:rsidP="00DD3106">
      <w:pPr>
        <w:pStyle w:val="BodyText"/>
      </w:pPr>
      <w:r w:rsidRPr="0018386D">
        <w:t xml:space="preserve">To calculate the emissions from transmission and distribution losses for purchased electricity, collect data on the </w:t>
      </w:r>
      <w:r w:rsidR="0082759A" w:rsidRPr="0018386D">
        <w:t>quantity of electricity used during the period in kilowatt hours (kWh)</w:t>
      </w:r>
      <w:r w:rsidRPr="0018386D">
        <w:t xml:space="preserve"> and multiply this by the emission factor</w:t>
      </w:r>
      <w:r w:rsidR="00B276B8" w:rsidRPr="0018386D">
        <w:t xml:space="preserve">. </w:t>
      </w:r>
      <w:r w:rsidR="00080C18" w:rsidRPr="0018386D">
        <w:t xml:space="preserve">Applying the equation </w:t>
      </w:r>
      <w:r w:rsidR="00A71EB9" w:rsidRPr="0018386D">
        <w:t>E</w:t>
      </w:r>
      <w:r w:rsidR="00A12978" w:rsidRPr="0018386D">
        <w:t xml:space="preserve"> </w:t>
      </w:r>
      <w:r w:rsidR="00A71EB9" w:rsidRPr="0018386D">
        <w:t>= Q x F (</w:t>
      </w:r>
      <w:hyperlink w:anchor="_How_to_quantify">
        <w:r w:rsidR="00661B20" w:rsidRPr="0018386D">
          <w:rPr>
            <w:rStyle w:val="Hyperlink"/>
          </w:rPr>
          <w:t>section 2</w:t>
        </w:r>
      </w:hyperlink>
      <w:r w:rsidR="00A71EB9" w:rsidRPr="0018386D">
        <w:rPr>
          <w:rStyle w:val="Hyperlink"/>
          <w:color w:val="auto"/>
        </w:rPr>
        <w:t>)</w:t>
      </w:r>
      <w:r w:rsidR="00080C18" w:rsidRPr="0018386D">
        <w:t>, this means</w:t>
      </w:r>
      <w:r w:rsidRPr="0018386D">
        <w:t>:</w:t>
      </w:r>
    </w:p>
    <w:p w14:paraId="3CE2FF67" w14:textId="64D78024" w:rsidR="00A71EB9" w:rsidRPr="0018386D" w:rsidRDefault="00A71EB9" w:rsidP="00DD3106">
      <w:pPr>
        <w:pStyle w:val="BodyText"/>
        <w:tabs>
          <w:tab w:val="left" w:pos="680"/>
          <w:tab w:val="left" w:pos="1134"/>
        </w:tabs>
        <w:spacing w:before="0" w:after="0"/>
        <w:jc w:val="both"/>
      </w:pPr>
      <w:r w:rsidRPr="0018386D">
        <w:t>E</w:t>
      </w:r>
      <w:r w:rsidRPr="0018386D">
        <w:tab/>
        <w:t>=</w:t>
      </w:r>
      <w:r w:rsidRPr="0018386D">
        <w:tab/>
        <w:t>emissions from the emissions source in kg CO</w:t>
      </w:r>
      <w:r w:rsidRPr="0018386D">
        <w:rPr>
          <w:vertAlign w:val="subscript"/>
        </w:rPr>
        <w:t>2</w:t>
      </w:r>
      <w:r w:rsidRPr="0018386D">
        <w:t>-e per year</w:t>
      </w:r>
    </w:p>
    <w:p w14:paraId="5CE029DA" w14:textId="2BEC6EF9" w:rsidR="00060B14" w:rsidRPr="0018386D" w:rsidRDefault="00EB24EB" w:rsidP="00DD3106">
      <w:pPr>
        <w:pStyle w:val="BodyText"/>
        <w:tabs>
          <w:tab w:val="left" w:pos="680"/>
          <w:tab w:val="left" w:pos="1134"/>
        </w:tabs>
        <w:spacing w:before="0" w:after="0"/>
        <w:jc w:val="both"/>
      </w:pPr>
      <w:r w:rsidRPr="0018386D">
        <w:t>Q</w:t>
      </w:r>
      <w:r w:rsidRPr="0018386D">
        <w:tab/>
        <w:t>=</w:t>
      </w:r>
      <w:r w:rsidRPr="0018386D">
        <w:tab/>
      </w:r>
      <w:r w:rsidR="00060B14" w:rsidRPr="0018386D">
        <w:t>quantity of electricity used (kWh)</w:t>
      </w:r>
    </w:p>
    <w:p w14:paraId="27435625" w14:textId="7D851F22" w:rsidR="00B276B8" w:rsidRPr="0018386D" w:rsidRDefault="00EB24EB" w:rsidP="00DD3106">
      <w:pPr>
        <w:pStyle w:val="BodyText"/>
        <w:tabs>
          <w:tab w:val="left" w:pos="680"/>
          <w:tab w:val="left" w:pos="1134"/>
        </w:tabs>
        <w:spacing w:before="0" w:after="240"/>
        <w:jc w:val="both"/>
      </w:pPr>
      <w:r w:rsidRPr="0018386D">
        <w:t>F</w:t>
      </w:r>
      <w:r w:rsidRPr="0018386D">
        <w:tab/>
        <w:t>=</w:t>
      </w:r>
      <w:r w:rsidRPr="0018386D">
        <w:tab/>
      </w:r>
      <w:r w:rsidR="00060B14" w:rsidRPr="0018386D">
        <w:t xml:space="preserve">emission factors from </w:t>
      </w:r>
      <w:hyperlink w:anchor="Table12">
        <w:r w:rsidR="00E70C77" w:rsidRPr="0018386D">
          <w:rPr>
            <w:rStyle w:val="Hyperlink"/>
          </w:rPr>
          <w:t>table 1</w:t>
        </w:r>
        <w:r w:rsidR="002348F6" w:rsidRPr="0018386D">
          <w:rPr>
            <w:rStyle w:val="Hyperlink"/>
          </w:rPr>
          <w:t>2</w:t>
        </w:r>
      </w:hyperlink>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460235" w:rsidRPr="0018386D" w14:paraId="73ACAF1A" w14:textId="77777777" w:rsidTr="7326C779">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0423FCFA" w14:textId="534ECE84" w:rsidR="00460235" w:rsidRPr="0018386D" w:rsidDel="00D5390D" w:rsidRDefault="0049234A" w:rsidP="00DD3106">
            <w:pPr>
              <w:pStyle w:val="Casestudyheading"/>
              <w:ind w:left="0"/>
              <w:jc w:val="both"/>
            </w:pPr>
            <w:bookmarkStart w:id="314" w:name="_Hlk532638543"/>
            <w:r w:rsidRPr="0018386D">
              <w:t xml:space="preserve">TRAnsmission and distribution losses: </w:t>
            </w:r>
            <w:r w:rsidR="00460235" w:rsidRPr="0018386D">
              <w:t>Example Calculation</w:t>
            </w:r>
          </w:p>
        </w:tc>
      </w:tr>
      <w:tr w:rsidR="00460235" w:rsidRPr="0018386D" w14:paraId="1B03D75D" w14:textId="77777777" w:rsidTr="7326C779">
        <w:trPr>
          <w:trHeight w:val="56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2C65FB2" w14:textId="5A730E01" w:rsidR="00460235" w:rsidRPr="0018386D" w:rsidRDefault="00460235" w:rsidP="00DD3106">
            <w:pPr>
              <w:pStyle w:val="Boxtext"/>
            </w:pPr>
            <w:r w:rsidRPr="0018386D">
              <w:t xml:space="preserve">An organisation uses 800,000 kWh of electricity in the </w:t>
            </w:r>
            <w:r w:rsidR="267488AE" w:rsidRPr="0018386D">
              <w:t>202</w:t>
            </w:r>
            <w:r w:rsidR="00DF1C59" w:rsidRPr="0018386D">
              <w:t>2</w:t>
            </w:r>
            <w:r w:rsidR="267488AE" w:rsidRPr="0018386D">
              <w:t xml:space="preserve"> </w:t>
            </w:r>
            <w:r w:rsidRPr="0018386D">
              <w:t xml:space="preserve">reporting period. Its indirect (Scope 3) emissions from transmission and distribution losses for purchased electricity are: </w:t>
            </w:r>
          </w:p>
          <w:p w14:paraId="0B56FCA1" w14:textId="23BE01B6" w:rsidR="00460235" w:rsidRPr="0018386D" w:rsidRDefault="00460235" w:rsidP="00DD3106">
            <w:pPr>
              <w:pStyle w:val="Boxtext"/>
              <w:tabs>
                <w:tab w:val="left" w:pos="2847"/>
                <w:tab w:val="left" w:pos="4973"/>
              </w:tabs>
              <w:spacing w:before="20" w:after="20"/>
              <w:ind w:left="850"/>
              <w:jc w:val="both"/>
            </w:pPr>
            <w:r w:rsidRPr="0018386D">
              <w:t>CO</w:t>
            </w:r>
            <w:r w:rsidRPr="0018386D">
              <w:rPr>
                <w:vertAlign w:val="subscript"/>
              </w:rPr>
              <w:t>2</w:t>
            </w:r>
            <w:r w:rsidRPr="0018386D">
              <w:t xml:space="preserve"> emissions </w:t>
            </w:r>
            <w:r w:rsidRPr="0018386D">
              <w:tab/>
              <w:t>= 800,000 × 0.</w:t>
            </w:r>
            <w:r w:rsidR="007168BF" w:rsidRPr="0018386D">
              <w:t>00836</w:t>
            </w:r>
            <w:r w:rsidRPr="0018386D">
              <w:t xml:space="preserve"> </w:t>
            </w:r>
            <w:r w:rsidRPr="0018386D">
              <w:tab/>
              <w:t>=</w:t>
            </w:r>
            <w:r w:rsidR="00724C42" w:rsidRPr="0018386D">
              <w:t xml:space="preserve"> </w:t>
            </w:r>
            <w:r w:rsidR="00BE5FA1" w:rsidRPr="0018386D">
              <w:t>6,688</w:t>
            </w:r>
            <w:r w:rsidR="446BBB7B" w:rsidRPr="0018386D">
              <w:t xml:space="preserve"> </w:t>
            </w:r>
            <w:r w:rsidRPr="0018386D">
              <w:t>kg CO</w:t>
            </w:r>
            <w:r w:rsidRPr="0018386D">
              <w:rPr>
                <w:vertAlign w:val="subscript"/>
              </w:rPr>
              <w:t>2</w:t>
            </w:r>
          </w:p>
          <w:p w14:paraId="23266C41" w14:textId="53AE14BF" w:rsidR="00460235" w:rsidRPr="0018386D" w:rsidRDefault="00460235" w:rsidP="00DD3106">
            <w:pPr>
              <w:pStyle w:val="Boxtext"/>
              <w:tabs>
                <w:tab w:val="left" w:pos="2847"/>
                <w:tab w:val="left" w:pos="4973"/>
              </w:tabs>
              <w:spacing w:before="20" w:after="20"/>
              <w:ind w:left="850"/>
              <w:jc w:val="both"/>
            </w:pPr>
            <w:r w:rsidRPr="0018386D">
              <w:t>CH</w:t>
            </w:r>
            <w:r w:rsidRPr="0018386D">
              <w:rPr>
                <w:vertAlign w:val="subscript"/>
              </w:rPr>
              <w:t>4</w:t>
            </w:r>
            <w:r w:rsidRPr="0018386D">
              <w:t xml:space="preserve"> emissions </w:t>
            </w:r>
            <w:r w:rsidRPr="0018386D">
              <w:tab/>
              <w:t>= 800,000 × 0.000</w:t>
            </w:r>
            <w:r w:rsidR="00EB416F" w:rsidRPr="0018386D">
              <w:t>2</w:t>
            </w:r>
            <w:r w:rsidRPr="0018386D">
              <w:tab/>
              <w:t>=</w:t>
            </w:r>
            <w:r w:rsidR="00724C42" w:rsidRPr="0018386D">
              <w:t xml:space="preserve"> </w:t>
            </w:r>
            <w:r w:rsidR="006A7472" w:rsidRPr="0018386D">
              <w:t>160</w:t>
            </w:r>
            <w:r w:rsidR="5490997D" w:rsidRPr="0018386D">
              <w:t xml:space="preserve"> </w:t>
            </w:r>
            <w:r w:rsidRPr="0018386D">
              <w:t>kg CO</w:t>
            </w:r>
            <w:r w:rsidRPr="0018386D">
              <w:rPr>
                <w:vertAlign w:val="subscript"/>
              </w:rPr>
              <w:t>2</w:t>
            </w:r>
            <w:r w:rsidRPr="0018386D">
              <w:t xml:space="preserve">-e </w:t>
            </w:r>
          </w:p>
          <w:p w14:paraId="1413C332" w14:textId="1743E52A" w:rsidR="00460235" w:rsidRPr="0018386D" w:rsidRDefault="00460235" w:rsidP="00DD3106">
            <w:pPr>
              <w:pStyle w:val="Boxtext"/>
              <w:tabs>
                <w:tab w:val="left" w:pos="2847"/>
                <w:tab w:val="left" w:pos="4973"/>
              </w:tabs>
              <w:spacing w:before="20" w:after="20"/>
              <w:ind w:left="850"/>
              <w:jc w:val="both"/>
            </w:pPr>
            <w:r w:rsidRPr="0018386D">
              <w:t>N</w:t>
            </w:r>
            <w:r w:rsidRPr="0018386D">
              <w:rPr>
                <w:vertAlign w:val="subscript"/>
              </w:rPr>
              <w:t>2</w:t>
            </w:r>
            <w:r w:rsidRPr="0018386D">
              <w:t>O emissions</w:t>
            </w:r>
            <w:r w:rsidRPr="0018386D">
              <w:tab/>
              <w:t>= 800,000 × 0.0000</w:t>
            </w:r>
            <w:r w:rsidR="26537921" w:rsidRPr="0018386D">
              <w:t>2</w:t>
            </w:r>
            <w:r w:rsidRPr="0018386D">
              <w:tab/>
              <w:t>=</w:t>
            </w:r>
            <w:r w:rsidR="00724C42" w:rsidRPr="0018386D">
              <w:t xml:space="preserve"> </w:t>
            </w:r>
            <w:r w:rsidR="0A534191" w:rsidRPr="0018386D">
              <w:t>1</w:t>
            </w:r>
            <w:r w:rsidR="00C04BEB" w:rsidRPr="0018386D">
              <w:t>6</w:t>
            </w:r>
            <w:r w:rsidR="4C78508A" w:rsidRPr="0018386D">
              <w:t xml:space="preserve"> </w:t>
            </w:r>
            <w:r w:rsidR="76ABCE2A" w:rsidRPr="0018386D">
              <w:t>kg</w:t>
            </w:r>
            <w:r w:rsidRPr="0018386D">
              <w:t xml:space="preserve"> CO</w:t>
            </w:r>
            <w:r w:rsidRPr="0018386D">
              <w:rPr>
                <w:vertAlign w:val="subscript"/>
              </w:rPr>
              <w:t>2</w:t>
            </w:r>
            <w:r w:rsidRPr="0018386D">
              <w:t xml:space="preserve">-e </w:t>
            </w:r>
          </w:p>
          <w:p w14:paraId="5D052127" w14:textId="0038B6FE" w:rsidR="00460235" w:rsidRPr="0018386D" w:rsidRDefault="00460235" w:rsidP="00DD3106">
            <w:pPr>
              <w:pStyle w:val="Boxtext"/>
              <w:tabs>
                <w:tab w:val="left" w:pos="2847"/>
                <w:tab w:val="left" w:pos="4973"/>
              </w:tabs>
              <w:spacing w:before="20" w:after="20"/>
              <w:ind w:left="850"/>
              <w:jc w:val="both"/>
            </w:pPr>
            <w:r w:rsidRPr="0018386D">
              <w:t>Total CO</w:t>
            </w:r>
            <w:r w:rsidRPr="0018386D">
              <w:rPr>
                <w:vertAlign w:val="subscript"/>
              </w:rPr>
              <w:t>2</w:t>
            </w:r>
            <w:r w:rsidRPr="0018386D">
              <w:t>-e emissions</w:t>
            </w:r>
            <w:r w:rsidRPr="0018386D">
              <w:tab/>
              <w:t xml:space="preserve">= </w:t>
            </w:r>
            <w:r w:rsidR="00E44E90" w:rsidRPr="0018386D">
              <w:t>6,688</w:t>
            </w:r>
            <w:r w:rsidR="56FCAF9E" w:rsidRPr="0018386D">
              <w:t xml:space="preserve"> + </w:t>
            </w:r>
            <w:r w:rsidR="00E44E90" w:rsidRPr="0018386D">
              <w:t>160</w:t>
            </w:r>
            <w:r w:rsidR="56FCAF9E" w:rsidRPr="0018386D">
              <w:t xml:space="preserve"> + </w:t>
            </w:r>
            <w:r w:rsidR="00965219" w:rsidRPr="0018386D">
              <w:t>16</w:t>
            </w:r>
            <w:r w:rsidRPr="0018386D">
              <w:t xml:space="preserve"> </w:t>
            </w:r>
            <w:r w:rsidRPr="0018386D">
              <w:tab/>
              <w:t>=</w:t>
            </w:r>
            <w:r w:rsidR="00724C42" w:rsidRPr="0018386D">
              <w:t xml:space="preserve"> </w:t>
            </w:r>
            <w:r w:rsidR="00462647" w:rsidRPr="0018386D">
              <w:t>6,864</w:t>
            </w:r>
            <w:r w:rsidR="364D5045" w:rsidRPr="0018386D">
              <w:t xml:space="preserve"> </w:t>
            </w:r>
            <w:r w:rsidRPr="0018386D">
              <w:t>kg CO</w:t>
            </w:r>
            <w:r w:rsidRPr="0018386D">
              <w:rPr>
                <w:vertAlign w:val="subscript"/>
              </w:rPr>
              <w:t>2</w:t>
            </w:r>
            <w:r w:rsidRPr="0018386D">
              <w:t xml:space="preserve">-e </w:t>
            </w:r>
          </w:p>
          <w:p w14:paraId="4F521531" w14:textId="31F06657" w:rsidR="00460235" w:rsidRPr="0018386D" w:rsidRDefault="00741514" w:rsidP="00DD3106">
            <w:pPr>
              <w:pStyle w:val="Boxtext"/>
              <w:spacing w:after="180"/>
              <w:jc w:val="both"/>
              <w:rPr>
                <w:sz w:val="18"/>
                <w:szCs w:val="18"/>
              </w:rPr>
            </w:pPr>
            <w:r w:rsidRPr="0018386D">
              <w:rPr>
                <w:sz w:val="18"/>
                <w:szCs w:val="18"/>
              </w:rPr>
              <w:t>N</w:t>
            </w:r>
            <w:r w:rsidR="00460235" w:rsidRPr="0018386D">
              <w:rPr>
                <w:sz w:val="18"/>
                <w:szCs w:val="18"/>
              </w:rPr>
              <w:t>ote</w:t>
            </w:r>
            <w:r w:rsidR="0049234A" w:rsidRPr="0018386D">
              <w:rPr>
                <w:sz w:val="18"/>
                <w:szCs w:val="18"/>
              </w:rPr>
              <w:t>:</w:t>
            </w:r>
            <w:r w:rsidR="00460235" w:rsidRPr="0018386D">
              <w:rPr>
                <w:sz w:val="18"/>
                <w:szCs w:val="18"/>
              </w:rPr>
              <w:t xml:space="preserve"> </w:t>
            </w:r>
            <w:r w:rsidR="0049234A" w:rsidRPr="0018386D">
              <w:rPr>
                <w:sz w:val="18"/>
                <w:szCs w:val="18"/>
              </w:rPr>
              <w:t>N</w:t>
            </w:r>
            <w:r w:rsidR="00460235" w:rsidRPr="0018386D">
              <w:rPr>
                <w:sz w:val="18"/>
                <w:szCs w:val="18"/>
              </w:rPr>
              <w:t>umbers may not add due to rounding</w:t>
            </w:r>
            <w:r w:rsidR="00C450B5" w:rsidRPr="0018386D">
              <w:rPr>
                <w:sz w:val="18"/>
                <w:szCs w:val="18"/>
              </w:rPr>
              <w:t>.</w:t>
            </w:r>
          </w:p>
        </w:tc>
      </w:tr>
    </w:tbl>
    <w:p w14:paraId="1A36D051" w14:textId="573B3969" w:rsidR="00B13C65" w:rsidRPr="0018386D" w:rsidRDefault="00B13C65" w:rsidP="00DD3106">
      <w:pPr>
        <w:pStyle w:val="BodyText"/>
        <w:spacing w:before="240"/>
      </w:pPr>
      <w:bookmarkStart w:id="315" w:name="_Toc532904889"/>
      <w:bookmarkEnd w:id="314"/>
      <w:r w:rsidRPr="0018386D">
        <w:t xml:space="preserve">Alternatively, if your </w:t>
      </w:r>
      <w:r w:rsidR="00B03E7E" w:rsidRPr="0018386D">
        <w:t xml:space="preserve">electricity provider </w:t>
      </w:r>
      <w:r w:rsidR="00096953" w:rsidRPr="0018386D">
        <w:t>gives a breakdown of the transmission and distribution losses</w:t>
      </w:r>
      <w:r w:rsidR="002D60D0" w:rsidRPr="0018386D">
        <w:t xml:space="preserve"> this consumption data can be </w:t>
      </w:r>
      <w:r w:rsidR="00D94621" w:rsidRPr="0018386D">
        <w:t xml:space="preserve">multiplied </w:t>
      </w:r>
      <w:r w:rsidR="00196755" w:rsidRPr="0018386D">
        <w:t>by a</w:t>
      </w:r>
      <w:r w:rsidR="00E631BB" w:rsidRPr="0018386D">
        <w:t xml:space="preserve"> grid-average </w:t>
      </w:r>
      <w:r w:rsidR="00196755" w:rsidRPr="0018386D">
        <w:t>electricity emission factor from</w:t>
      </w:r>
      <w:r w:rsidR="0029097F" w:rsidRPr="0018386D">
        <w:t> </w:t>
      </w:r>
      <w:hyperlink w:anchor="table9">
        <w:r w:rsidR="0029097F" w:rsidRPr="0018386D">
          <w:rPr>
            <w:rStyle w:val="Hyperlink"/>
          </w:rPr>
          <w:t>table 9</w:t>
        </w:r>
      </w:hyperlink>
      <w:r w:rsidR="00196755" w:rsidRPr="0018386D">
        <w:t xml:space="preserve">. </w:t>
      </w:r>
    </w:p>
    <w:p w14:paraId="1BEBDE2E" w14:textId="31F06657" w:rsidR="00B276B8" w:rsidRPr="0018386D" w:rsidRDefault="00B276B8" w:rsidP="00DD3106">
      <w:pPr>
        <w:pStyle w:val="Heading3"/>
        <w:numPr>
          <w:ilvl w:val="0"/>
          <w:numId w:val="12"/>
        </w:numPr>
        <w:jc w:val="both"/>
      </w:pPr>
      <w:r w:rsidRPr="0018386D">
        <w:t>Emission factor derivation methodology</w:t>
      </w:r>
      <w:bookmarkEnd w:id="315"/>
    </w:p>
    <w:p w14:paraId="41F3E9D2" w14:textId="7DB5DF85" w:rsidR="000611E9" w:rsidRPr="0018386D" w:rsidRDefault="00E57301" w:rsidP="00DD3106">
      <w:pPr>
        <w:pStyle w:val="BodyText"/>
        <w:spacing w:before="100" w:after="100"/>
      </w:pPr>
      <w:r w:rsidRPr="0018386D">
        <w:t xml:space="preserve">Emission factors are </w:t>
      </w:r>
      <w:r w:rsidR="004520F1" w:rsidRPr="0018386D">
        <w:t>derived</w:t>
      </w:r>
      <w:r w:rsidRPr="0018386D">
        <w:t xml:space="preserve"> by</w:t>
      </w:r>
      <w:r w:rsidR="004520F1" w:rsidRPr="0018386D">
        <w:t xml:space="preserve"> calculating the difference between the </w:t>
      </w:r>
      <w:r w:rsidR="000611E9" w:rsidRPr="0018386D">
        <w:t>emission factors for electricity generation and electricity consumption.</w:t>
      </w:r>
    </w:p>
    <w:p w14:paraId="541DCADC" w14:textId="5F630D70" w:rsidR="005F4781" w:rsidRPr="0018386D" w:rsidRDefault="00DA0542" w:rsidP="00DD3106">
      <w:pPr>
        <w:pStyle w:val="BodyText"/>
        <w:spacing w:before="100" w:after="100"/>
      </w:pPr>
      <w:r w:rsidRPr="0018386D">
        <w:lastRenderedPageBreak/>
        <w:t>T</w:t>
      </w:r>
      <w:r w:rsidR="00A65439" w:rsidRPr="0018386D">
        <w:t>able 9 shows t</w:t>
      </w:r>
      <w:r w:rsidRPr="0018386D">
        <w:t xml:space="preserve">he emission factors for generation. </w:t>
      </w:r>
      <w:r w:rsidR="00C61433" w:rsidRPr="0018386D">
        <w:t xml:space="preserve">The emission </w:t>
      </w:r>
      <w:r w:rsidR="005F4781" w:rsidRPr="0018386D">
        <w:t>factor</w:t>
      </w:r>
      <w:r w:rsidR="001B7F93" w:rsidRPr="0018386D">
        <w:t>s</w:t>
      </w:r>
      <w:r w:rsidR="00C61433" w:rsidRPr="0018386D">
        <w:t xml:space="preserve"> for consumption </w:t>
      </w:r>
      <w:r w:rsidR="001B7F93" w:rsidRPr="0018386D">
        <w:t>were</w:t>
      </w:r>
      <w:r w:rsidR="00C61433" w:rsidRPr="0018386D">
        <w:t xml:space="preserve"> calculated by</w:t>
      </w:r>
      <w:r w:rsidR="00E57301" w:rsidRPr="0018386D">
        <w:t xml:space="preserve"> dividing the total national GHG emissions from electricity </w:t>
      </w:r>
      <w:r w:rsidR="00B06855" w:rsidRPr="0018386D">
        <w:t>generation</w:t>
      </w:r>
      <w:r w:rsidR="00E57301" w:rsidRPr="0018386D">
        <w:t xml:space="preserve"> by the total electricity </w:t>
      </w:r>
      <w:r w:rsidR="001B7199" w:rsidRPr="0018386D">
        <w:t>consumption</w:t>
      </w:r>
      <w:r w:rsidR="00E57301" w:rsidRPr="0018386D">
        <w:t>.</w:t>
      </w:r>
    </w:p>
    <w:p w14:paraId="3CB2E85B" w14:textId="1603DC8D" w:rsidR="00C61433" w:rsidRPr="0018386D" w:rsidRDefault="00C7627E" w:rsidP="00DD3106">
      <w:pPr>
        <w:pStyle w:val="BodyText"/>
        <w:spacing w:before="100" w:after="100"/>
      </w:pPr>
      <w:hyperlink w:anchor="table13" w:history="1">
        <w:r w:rsidR="0076540B" w:rsidRPr="0018386D">
          <w:rPr>
            <w:rStyle w:val="Hyperlink"/>
          </w:rPr>
          <w:t>Table 13</w:t>
        </w:r>
      </w:hyperlink>
      <w:r w:rsidR="00B67A3D" w:rsidRPr="0018386D">
        <w:t xml:space="preserve"> details the </w:t>
      </w:r>
      <w:r w:rsidR="00A65439" w:rsidRPr="0018386D">
        <w:t xml:space="preserve">MBIE </w:t>
      </w:r>
      <w:r w:rsidR="00B67A3D" w:rsidRPr="0018386D">
        <w:t>data to calculate the emission factors</w:t>
      </w:r>
      <w:r w:rsidR="0076540B" w:rsidRPr="0018386D">
        <w:t xml:space="preserve"> for consumption</w:t>
      </w:r>
      <w:r w:rsidR="00DD7657" w:rsidRPr="0018386D">
        <w:t>.</w:t>
      </w:r>
      <w:r w:rsidR="00B67A3D" w:rsidRPr="0018386D">
        <w:rPr>
          <w:rStyle w:val="FootnoteReference"/>
        </w:rPr>
        <w:footnoteReference w:id="24"/>
      </w:r>
    </w:p>
    <w:p w14:paraId="55154F17" w14:textId="47876C59" w:rsidR="0076540B" w:rsidRPr="0018386D" w:rsidRDefault="0076540B" w:rsidP="00DD3106">
      <w:pPr>
        <w:pStyle w:val="Tableheading"/>
      </w:pPr>
      <w:bookmarkStart w:id="316" w:name="table13"/>
      <w:bookmarkStart w:id="317" w:name="_Ref532481140"/>
      <w:bookmarkStart w:id="318" w:name="_Toc111536618"/>
      <w:bookmarkStart w:id="319" w:name="_Toc140048953"/>
      <w:r w:rsidRPr="0018386D">
        <w:t xml:space="preserve">Table </w:t>
      </w:r>
      <w:r w:rsidRPr="0018386D">
        <w:fldChar w:fldCharType="begin"/>
      </w:r>
      <w:r w:rsidRPr="0018386D">
        <w:instrText>SEQ Table \* ARABIC</w:instrText>
      </w:r>
      <w:r w:rsidRPr="0018386D">
        <w:fldChar w:fldCharType="separate"/>
      </w:r>
      <w:r w:rsidRPr="0018386D">
        <w:t>13</w:t>
      </w:r>
      <w:r w:rsidRPr="0018386D">
        <w:fldChar w:fldCharType="end"/>
      </w:r>
      <w:bookmarkEnd w:id="316"/>
      <w:bookmarkEnd w:id="317"/>
      <w:r w:rsidRPr="0018386D">
        <w:t>:</w:t>
      </w:r>
      <w:r w:rsidRPr="0018386D">
        <w:tab/>
      </w:r>
      <w:r w:rsidR="006552DD" w:rsidRPr="0018386D">
        <w:t>Information used to calculate</w:t>
      </w:r>
      <w:r w:rsidRPr="0018386D">
        <w:t xml:space="preserve"> the </w:t>
      </w:r>
      <w:r w:rsidR="006552DD" w:rsidRPr="0018386D">
        <w:t xml:space="preserve">emission factor for </w:t>
      </w:r>
      <w:r w:rsidR="00237C32" w:rsidRPr="0018386D">
        <w:t xml:space="preserve">electricity </w:t>
      </w:r>
      <w:bookmarkEnd w:id="318"/>
      <w:r w:rsidR="00237C32" w:rsidRPr="0018386D">
        <w:t>consumption</w:t>
      </w:r>
      <w:r w:rsidR="006552DD" w:rsidRPr="0018386D">
        <w:t xml:space="preserve"> 2010–</w:t>
      </w:r>
      <w:proofErr w:type="gramStart"/>
      <w:r w:rsidR="006552DD" w:rsidRPr="0018386D">
        <w:t>202</w:t>
      </w:r>
      <w:r w:rsidR="00F1239B" w:rsidRPr="0018386D">
        <w:t>2</w:t>
      </w:r>
      <w:bookmarkEnd w:id="319"/>
      <w:proofErr w:type="gramEnd"/>
    </w:p>
    <w:tbl>
      <w:tblPr>
        <w:tblStyle w:val="TableGridLight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57" w:type="dxa"/>
          <w:right w:w="57" w:type="dxa"/>
        </w:tblCellMar>
        <w:tblLook w:val="04A0" w:firstRow="1" w:lastRow="0" w:firstColumn="1" w:lastColumn="0" w:noHBand="0" w:noVBand="1"/>
      </w:tblPr>
      <w:tblGrid>
        <w:gridCol w:w="1002"/>
        <w:gridCol w:w="607"/>
        <w:gridCol w:w="596"/>
        <w:gridCol w:w="560"/>
        <w:gridCol w:w="560"/>
        <w:gridCol w:w="596"/>
        <w:gridCol w:w="587"/>
        <w:gridCol w:w="570"/>
        <w:gridCol w:w="560"/>
        <w:gridCol w:w="560"/>
        <w:gridCol w:w="596"/>
        <w:gridCol w:w="560"/>
        <w:gridCol w:w="560"/>
        <w:gridCol w:w="585"/>
        <w:gridCol w:w="6"/>
      </w:tblGrid>
      <w:tr w:rsidR="00E12C6A" w:rsidRPr="0018386D" w14:paraId="44A35061" w14:textId="77777777" w:rsidTr="00E12C6A">
        <w:trPr>
          <w:gridAfter w:val="1"/>
          <w:wAfter w:w="6" w:type="dxa"/>
        </w:trPr>
        <w:tc>
          <w:tcPr>
            <w:tcW w:w="1002" w:type="dxa"/>
            <w:vMerge w:val="restart"/>
            <w:tcBorders>
              <w:bottom w:val="nil"/>
            </w:tcBorders>
            <w:shd w:val="clear" w:color="auto" w:fill="1B556B" w:themeFill="text2"/>
            <w:vAlign w:val="bottom"/>
          </w:tcPr>
          <w:p w14:paraId="685EA6CC" w14:textId="3E2FF024" w:rsidR="00E12C6A" w:rsidRPr="0018386D" w:rsidRDefault="00E12C6A" w:rsidP="00DD3106">
            <w:pPr>
              <w:pStyle w:val="TableTextbold"/>
              <w:spacing w:before="40" w:line="230" w:lineRule="atLeast"/>
              <w:rPr>
                <w:rFonts w:cs="Calibri"/>
                <w:color w:val="FFFFFF" w:themeColor="background1"/>
                <w:sz w:val="16"/>
                <w:szCs w:val="16"/>
              </w:rPr>
            </w:pPr>
            <w:r w:rsidRPr="0018386D">
              <w:rPr>
                <w:rFonts w:cs="Calibri"/>
                <w:color w:val="FFFFFF" w:themeColor="background1"/>
                <w:sz w:val="16"/>
                <w:szCs w:val="16"/>
              </w:rPr>
              <w:t xml:space="preserve">Calculation component </w:t>
            </w:r>
          </w:p>
        </w:tc>
        <w:tc>
          <w:tcPr>
            <w:tcW w:w="1763" w:type="dxa"/>
            <w:gridSpan w:val="3"/>
            <w:tcBorders>
              <w:bottom w:val="nil"/>
            </w:tcBorders>
            <w:shd w:val="clear" w:color="auto" w:fill="1B556B" w:themeFill="text2"/>
          </w:tcPr>
          <w:p w14:paraId="1231E1F7" w14:textId="6786055D" w:rsidR="00E12C6A" w:rsidRPr="0018386D" w:rsidRDefault="00E12C6A" w:rsidP="00DD3106">
            <w:pPr>
              <w:pStyle w:val="TableTextbold"/>
              <w:spacing w:before="40" w:after="0" w:line="230" w:lineRule="atLeast"/>
              <w:rPr>
                <w:rFonts w:cs="Calibri"/>
                <w:color w:val="FFFFFF" w:themeColor="background1"/>
                <w:sz w:val="16"/>
                <w:szCs w:val="16"/>
              </w:rPr>
            </w:pPr>
          </w:p>
        </w:tc>
        <w:tc>
          <w:tcPr>
            <w:tcW w:w="1743" w:type="dxa"/>
            <w:gridSpan w:val="3"/>
            <w:tcBorders>
              <w:bottom w:val="nil"/>
            </w:tcBorders>
            <w:shd w:val="clear" w:color="auto" w:fill="1B556B" w:themeFill="text2"/>
          </w:tcPr>
          <w:p w14:paraId="1EB682E5" w14:textId="77777777" w:rsidR="00E12C6A" w:rsidRPr="0018386D" w:rsidRDefault="00E12C6A" w:rsidP="00DD3106">
            <w:pPr>
              <w:pStyle w:val="TableTextbold"/>
              <w:spacing w:before="40" w:after="0" w:line="230" w:lineRule="atLeast"/>
              <w:rPr>
                <w:rFonts w:cs="Calibri"/>
                <w:color w:val="FFFFFF" w:themeColor="background1"/>
                <w:sz w:val="16"/>
                <w:szCs w:val="16"/>
              </w:rPr>
            </w:pPr>
          </w:p>
        </w:tc>
        <w:tc>
          <w:tcPr>
            <w:tcW w:w="1690" w:type="dxa"/>
            <w:gridSpan w:val="3"/>
            <w:tcBorders>
              <w:bottom w:val="nil"/>
            </w:tcBorders>
            <w:shd w:val="clear" w:color="auto" w:fill="1B556B" w:themeFill="text2"/>
          </w:tcPr>
          <w:p w14:paraId="5AC84D94" w14:textId="77777777" w:rsidR="00E12C6A" w:rsidRPr="0018386D" w:rsidRDefault="00E12C6A" w:rsidP="00DD3106">
            <w:pPr>
              <w:pStyle w:val="TableTextbold"/>
              <w:spacing w:before="40" w:after="0" w:line="230" w:lineRule="atLeast"/>
              <w:rPr>
                <w:rFonts w:cs="Calibri"/>
                <w:color w:val="FFFFFF" w:themeColor="background1"/>
                <w:sz w:val="16"/>
                <w:szCs w:val="16"/>
              </w:rPr>
            </w:pPr>
          </w:p>
        </w:tc>
        <w:tc>
          <w:tcPr>
            <w:tcW w:w="2301" w:type="dxa"/>
            <w:gridSpan w:val="4"/>
            <w:tcBorders>
              <w:bottom w:val="nil"/>
            </w:tcBorders>
            <w:shd w:val="clear" w:color="auto" w:fill="1B556B" w:themeFill="text2"/>
          </w:tcPr>
          <w:p w14:paraId="5154FE0E" w14:textId="5FD3CD4A" w:rsidR="00E12C6A" w:rsidRPr="0018386D" w:rsidDel="00E62FEB" w:rsidRDefault="00E12C6A" w:rsidP="00DD3106">
            <w:pPr>
              <w:pStyle w:val="TableTextbold"/>
              <w:spacing w:before="40" w:after="0" w:line="230" w:lineRule="atLeast"/>
              <w:jc w:val="center"/>
              <w:rPr>
                <w:rFonts w:cs="Calibri"/>
                <w:color w:val="FFFFFF" w:themeColor="background1"/>
                <w:sz w:val="16"/>
                <w:szCs w:val="16"/>
              </w:rPr>
            </w:pPr>
          </w:p>
        </w:tc>
      </w:tr>
      <w:tr w:rsidR="00E12C6A" w:rsidRPr="0018386D" w14:paraId="206BD870" w14:textId="77777777" w:rsidTr="00E12C6A">
        <w:trPr>
          <w:gridAfter w:val="1"/>
          <w:wAfter w:w="6" w:type="dxa"/>
        </w:trPr>
        <w:tc>
          <w:tcPr>
            <w:tcW w:w="1002" w:type="dxa"/>
            <w:vMerge/>
            <w:tcBorders>
              <w:top w:val="nil"/>
            </w:tcBorders>
            <w:shd w:val="clear" w:color="auto" w:fill="1B556B" w:themeFill="text2"/>
            <w:vAlign w:val="bottom"/>
          </w:tcPr>
          <w:p w14:paraId="484F654A" w14:textId="43A72EB9" w:rsidR="00E12C6A" w:rsidRPr="0018386D" w:rsidRDefault="00E12C6A" w:rsidP="00DD3106">
            <w:pPr>
              <w:pStyle w:val="TableTextbold"/>
              <w:spacing w:before="40" w:line="230" w:lineRule="atLeast"/>
              <w:rPr>
                <w:rFonts w:cs="Calibri"/>
                <w:color w:val="FFFFFF" w:themeColor="background1"/>
                <w:sz w:val="16"/>
                <w:szCs w:val="16"/>
              </w:rPr>
            </w:pPr>
          </w:p>
        </w:tc>
        <w:tc>
          <w:tcPr>
            <w:tcW w:w="607" w:type="dxa"/>
            <w:tcBorders>
              <w:top w:val="nil"/>
            </w:tcBorders>
            <w:shd w:val="clear" w:color="auto" w:fill="1B556B" w:themeFill="text2"/>
            <w:vAlign w:val="bottom"/>
          </w:tcPr>
          <w:p w14:paraId="6E0C0BE1" w14:textId="6D79304E" w:rsidR="00E12C6A" w:rsidRPr="0018386D"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2022</w:t>
            </w:r>
          </w:p>
        </w:tc>
        <w:tc>
          <w:tcPr>
            <w:tcW w:w="596" w:type="dxa"/>
            <w:tcBorders>
              <w:top w:val="nil"/>
            </w:tcBorders>
            <w:shd w:val="clear" w:color="auto" w:fill="1B556B" w:themeFill="text2"/>
            <w:vAlign w:val="bottom"/>
          </w:tcPr>
          <w:p w14:paraId="28EDAFBC" w14:textId="0D183E36" w:rsidR="00E12C6A" w:rsidRPr="0018386D"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2021</w:t>
            </w:r>
          </w:p>
        </w:tc>
        <w:tc>
          <w:tcPr>
            <w:tcW w:w="560" w:type="dxa"/>
            <w:tcBorders>
              <w:top w:val="nil"/>
            </w:tcBorders>
            <w:shd w:val="clear" w:color="auto" w:fill="1B556B" w:themeFill="text2"/>
            <w:vAlign w:val="bottom"/>
          </w:tcPr>
          <w:p w14:paraId="417B8FB2" w14:textId="48C4D76C" w:rsidR="00E12C6A" w:rsidRPr="0018386D"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2020</w:t>
            </w:r>
          </w:p>
        </w:tc>
        <w:tc>
          <w:tcPr>
            <w:tcW w:w="560" w:type="dxa"/>
            <w:tcBorders>
              <w:top w:val="nil"/>
            </w:tcBorders>
            <w:shd w:val="clear" w:color="auto" w:fill="1B556B" w:themeFill="text2"/>
            <w:vAlign w:val="bottom"/>
          </w:tcPr>
          <w:p w14:paraId="3C4475AF" w14:textId="7D9DC0B9" w:rsidR="00E12C6A" w:rsidRPr="0018386D"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2019</w:t>
            </w:r>
          </w:p>
        </w:tc>
        <w:tc>
          <w:tcPr>
            <w:tcW w:w="596" w:type="dxa"/>
            <w:tcBorders>
              <w:top w:val="nil"/>
            </w:tcBorders>
            <w:shd w:val="clear" w:color="auto" w:fill="1B556B" w:themeFill="text2"/>
            <w:vAlign w:val="bottom"/>
          </w:tcPr>
          <w:p w14:paraId="29638222" w14:textId="1624C583"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2018</w:t>
            </w:r>
          </w:p>
        </w:tc>
        <w:tc>
          <w:tcPr>
            <w:tcW w:w="587" w:type="dxa"/>
            <w:tcBorders>
              <w:top w:val="nil"/>
            </w:tcBorders>
            <w:shd w:val="clear" w:color="auto" w:fill="1B556B" w:themeFill="text2"/>
            <w:vAlign w:val="bottom"/>
          </w:tcPr>
          <w:p w14:paraId="698417BC"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2017</w:t>
            </w:r>
          </w:p>
        </w:tc>
        <w:tc>
          <w:tcPr>
            <w:tcW w:w="570" w:type="dxa"/>
            <w:tcBorders>
              <w:top w:val="nil"/>
            </w:tcBorders>
            <w:shd w:val="clear" w:color="auto" w:fill="1B556B" w:themeFill="text2"/>
            <w:vAlign w:val="bottom"/>
          </w:tcPr>
          <w:p w14:paraId="0B8F68C8"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2016</w:t>
            </w:r>
          </w:p>
        </w:tc>
        <w:tc>
          <w:tcPr>
            <w:tcW w:w="560" w:type="dxa"/>
            <w:tcBorders>
              <w:top w:val="nil"/>
            </w:tcBorders>
            <w:shd w:val="clear" w:color="auto" w:fill="1B556B" w:themeFill="text2"/>
            <w:vAlign w:val="bottom"/>
          </w:tcPr>
          <w:p w14:paraId="17B38033"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2015</w:t>
            </w:r>
          </w:p>
        </w:tc>
        <w:tc>
          <w:tcPr>
            <w:tcW w:w="560" w:type="dxa"/>
            <w:tcBorders>
              <w:top w:val="nil"/>
            </w:tcBorders>
            <w:shd w:val="clear" w:color="auto" w:fill="1B556B" w:themeFill="text2"/>
            <w:vAlign w:val="bottom"/>
          </w:tcPr>
          <w:p w14:paraId="5C49D933"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2014</w:t>
            </w:r>
          </w:p>
        </w:tc>
        <w:tc>
          <w:tcPr>
            <w:tcW w:w="596" w:type="dxa"/>
            <w:tcBorders>
              <w:top w:val="nil"/>
            </w:tcBorders>
            <w:shd w:val="clear" w:color="auto" w:fill="1B556B" w:themeFill="text2"/>
            <w:vAlign w:val="bottom"/>
          </w:tcPr>
          <w:p w14:paraId="181E6DF8"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2013</w:t>
            </w:r>
          </w:p>
        </w:tc>
        <w:tc>
          <w:tcPr>
            <w:tcW w:w="560" w:type="dxa"/>
            <w:tcBorders>
              <w:top w:val="nil"/>
            </w:tcBorders>
            <w:shd w:val="clear" w:color="auto" w:fill="1B556B" w:themeFill="text2"/>
            <w:vAlign w:val="bottom"/>
          </w:tcPr>
          <w:p w14:paraId="626D80E8"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2012</w:t>
            </w:r>
          </w:p>
        </w:tc>
        <w:tc>
          <w:tcPr>
            <w:tcW w:w="560" w:type="dxa"/>
            <w:tcBorders>
              <w:top w:val="nil"/>
            </w:tcBorders>
            <w:shd w:val="clear" w:color="auto" w:fill="1B556B" w:themeFill="text2"/>
            <w:vAlign w:val="bottom"/>
          </w:tcPr>
          <w:p w14:paraId="1DF73EDE"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2011</w:t>
            </w:r>
          </w:p>
        </w:tc>
        <w:tc>
          <w:tcPr>
            <w:tcW w:w="585" w:type="dxa"/>
            <w:tcBorders>
              <w:top w:val="nil"/>
            </w:tcBorders>
            <w:shd w:val="clear" w:color="auto" w:fill="1B556B" w:themeFill="text2"/>
            <w:vAlign w:val="bottom"/>
          </w:tcPr>
          <w:p w14:paraId="3133846B" w14:textId="77777777" w:rsidR="00E12C6A" w:rsidRPr="0018386D" w:rsidDel="00E62FEB" w:rsidRDefault="00E12C6A" w:rsidP="00DD3106">
            <w:pPr>
              <w:pStyle w:val="TableTextbold"/>
              <w:spacing w:before="40" w:after="40" w:line="230" w:lineRule="atLeast"/>
              <w:jc w:val="right"/>
              <w:rPr>
                <w:rFonts w:cs="Calibri"/>
                <w:color w:val="FFFFFF" w:themeColor="background1"/>
                <w:sz w:val="16"/>
                <w:szCs w:val="16"/>
              </w:rPr>
            </w:pPr>
            <w:r w:rsidRPr="0018386D">
              <w:rPr>
                <w:rFonts w:cs="Calibri"/>
                <w:color w:val="FFFFFF" w:themeColor="background1"/>
                <w:sz w:val="16"/>
                <w:szCs w:val="16"/>
              </w:rPr>
              <w:t>2010</w:t>
            </w:r>
          </w:p>
        </w:tc>
      </w:tr>
      <w:tr w:rsidR="00E12C6A" w:rsidRPr="0018386D" w14:paraId="779A53DD" w14:textId="77777777" w:rsidTr="00E12C6A">
        <w:trPr>
          <w:gridAfter w:val="1"/>
          <w:wAfter w:w="6" w:type="dxa"/>
        </w:trPr>
        <w:tc>
          <w:tcPr>
            <w:tcW w:w="1002" w:type="dxa"/>
          </w:tcPr>
          <w:p w14:paraId="645AF2D0" w14:textId="1BBA01F1" w:rsidR="008818AC" w:rsidRPr="0018386D" w:rsidRDefault="008818AC" w:rsidP="00DD3106">
            <w:pPr>
              <w:pStyle w:val="TableText"/>
              <w:spacing w:before="40" w:after="40" w:line="220" w:lineRule="atLeast"/>
              <w:rPr>
                <w:rFonts w:cs="Calibri"/>
                <w:b/>
                <w:bCs/>
                <w:sz w:val="16"/>
                <w:szCs w:val="16"/>
              </w:rPr>
            </w:pPr>
            <w:r w:rsidRPr="0018386D">
              <w:rPr>
                <w:rFonts w:cs="Calibri"/>
                <w:b/>
                <w:bCs/>
                <w:sz w:val="16"/>
                <w:szCs w:val="16"/>
              </w:rPr>
              <w:t>Public electricity consumption (GWh)</w:t>
            </w:r>
          </w:p>
        </w:tc>
        <w:tc>
          <w:tcPr>
            <w:tcW w:w="607" w:type="dxa"/>
          </w:tcPr>
          <w:p w14:paraId="3C784C06" w14:textId="6B1BD533" w:rsidR="008818AC" w:rsidRPr="0018386D" w:rsidRDefault="00F1239B" w:rsidP="00DD3106">
            <w:pPr>
              <w:pStyle w:val="TableText"/>
              <w:spacing w:before="40" w:after="40" w:line="220" w:lineRule="atLeast"/>
              <w:jc w:val="right"/>
              <w:rPr>
                <w:rFonts w:cs="Calibri"/>
                <w:sz w:val="16"/>
                <w:szCs w:val="16"/>
              </w:rPr>
            </w:pPr>
            <w:r w:rsidRPr="0018386D">
              <w:rPr>
                <w:rFonts w:cs="Calibri"/>
                <w:sz w:val="16"/>
                <w:szCs w:val="16"/>
              </w:rPr>
              <w:t>38,983</w:t>
            </w:r>
          </w:p>
        </w:tc>
        <w:tc>
          <w:tcPr>
            <w:tcW w:w="596" w:type="dxa"/>
          </w:tcPr>
          <w:p w14:paraId="10220343" w14:textId="65139CEE"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39,541</w:t>
            </w:r>
          </w:p>
        </w:tc>
        <w:tc>
          <w:tcPr>
            <w:tcW w:w="560" w:type="dxa"/>
          </w:tcPr>
          <w:p w14:paraId="03E3D1D3" w14:textId="13A59C8D"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39,596</w:t>
            </w:r>
          </w:p>
        </w:tc>
        <w:tc>
          <w:tcPr>
            <w:tcW w:w="560" w:type="dxa"/>
          </w:tcPr>
          <w:p w14:paraId="55F52CC5" w14:textId="1302EED9"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40,197</w:t>
            </w:r>
          </w:p>
        </w:tc>
        <w:tc>
          <w:tcPr>
            <w:tcW w:w="596" w:type="dxa"/>
          </w:tcPr>
          <w:p w14:paraId="39C36658" w14:textId="58E4895D"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40,047</w:t>
            </w:r>
          </w:p>
        </w:tc>
        <w:tc>
          <w:tcPr>
            <w:tcW w:w="587" w:type="dxa"/>
          </w:tcPr>
          <w:p w14:paraId="183A2393" w14:textId="7C454821"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39,801</w:t>
            </w:r>
          </w:p>
        </w:tc>
        <w:tc>
          <w:tcPr>
            <w:tcW w:w="570" w:type="dxa"/>
          </w:tcPr>
          <w:p w14:paraId="09737D92" w14:textId="0E80B5B0"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40,224</w:t>
            </w:r>
          </w:p>
        </w:tc>
        <w:tc>
          <w:tcPr>
            <w:tcW w:w="560" w:type="dxa"/>
          </w:tcPr>
          <w:p w14:paraId="2EA5023D" w14:textId="08128165"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40,893</w:t>
            </w:r>
          </w:p>
        </w:tc>
        <w:tc>
          <w:tcPr>
            <w:tcW w:w="560" w:type="dxa"/>
          </w:tcPr>
          <w:p w14:paraId="0B539A7B" w14:textId="7E26D80B"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40,287</w:t>
            </w:r>
          </w:p>
        </w:tc>
        <w:tc>
          <w:tcPr>
            <w:tcW w:w="596" w:type="dxa"/>
          </w:tcPr>
          <w:p w14:paraId="215A1CA1" w14:textId="69182ADB"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39,496</w:t>
            </w:r>
          </w:p>
        </w:tc>
        <w:tc>
          <w:tcPr>
            <w:tcW w:w="560" w:type="dxa"/>
          </w:tcPr>
          <w:p w14:paraId="19090BF5" w14:textId="46D4E1F6"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39,880</w:t>
            </w:r>
          </w:p>
        </w:tc>
        <w:tc>
          <w:tcPr>
            <w:tcW w:w="560" w:type="dxa"/>
          </w:tcPr>
          <w:p w14:paraId="0B1C63B7" w14:textId="3E23CAAA"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40,342</w:t>
            </w:r>
          </w:p>
        </w:tc>
        <w:tc>
          <w:tcPr>
            <w:tcW w:w="585" w:type="dxa"/>
          </w:tcPr>
          <w:p w14:paraId="5B2A0F50" w14:textId="3ED6F19B"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40,690</w:t>
            </w:r>
          </w:p>
        </w:tc>
      </w:tr>
      <w:tr w:rsidR="00E12C6A" w:rsidRPr="0018386D" w14:paraId="05FAA433" w14:textId="77777777" w:rsidTr="00E12C6A">
        <w:tc>
          <w:tcPr>
            <w:tcW w:w="1002" w:type="dxa"/>
          </w:tcPr>
          <w:p w14:paraId="76904363" w14:textId="77777777" w:rsidR="008818AC" w:rsidRPr="0018386D" w:rsidRDefault="008818AC" w:rsidP="00DD3106">
            <w:pPr>
              <w:pStyle w:val="TableText"/>
              <w:spacing w:before="40" w:after="40" w:line="220" w:lineRule="atLeast"/>
              <w:rPr>
                <w:rFonts w:cs="Calibri"/>
                <w:b/>
                <w:bCs/>
                <w:sz w:val="16"/>
                <w:szCs w:val="16"/>
              </w:rPr>
            </w:pPr>
            <w:r w:rsidRPr="0018386D">
              <w:rPr>
                <w:rFonts w:cs="Calibri"/>
                <w:b/>
                <w:bCs/>
                <w:sz w:val="16"/>
                <w:szCs w:val="16"/>
              </w:rPr>
              <w:t>Emissions of CO</w:t>
            </w:r>
            <w:r w:rsidRPr="0018386D">
              <w:rPr>
                <w:rFonts w:cs="Calibri"/>
                <w:b/>
                <w:bCs/>
                <w:sz w:val="16"/>
                <w:szCs w:val="16"/>
                <w:vertAlign w:val="subscript"/>
              </w:rPr>
              <w:t>2</w:t>
            </w:r>
            <w:r w:rsidRPr="0018386D">
              <w:rPr>
                <w:rFonts w:cs="Calibri"/>
                <w:b/>
                <w:bCs/>
                <w:sz w:val="16"/>
                <w:szCs w:val="16"/>
              </w:rPr>
              <w:t xml:space="preserve"> from public electricity generation (kt)</w:t>
            </w:r>
          </w:p>
        </w:tc>
        <w:tc>
          <w:tcPr>
            <w:tcW w:w="607" w:type="dxa"/>
          </w:tcPr>
          <w:p w14:paraId="567CDF09" w14:textId="4D8BFE7C" w:rsidR="008818AC" w:rsidRPr="0018386D" w:rsidRDefault="00F1239B" w:rsidP="00DD3106">
            <w:pPr>
              <w:pStyle w:val="TableText"/>
              <w:spacing w:before="40" w:after="40" w:line="220" w:lineRule="atLeast"/>
              <w:jc w:val="right"/>
              <w:rPr>
                <w:rFonts w:cs="Calibri"/>
                <w:sz w:val="16"/>
                <w:szCs w:val="16"/>
              </w:rPr>
            </w:pPr>
            <w:r w:rsidRPr="0018386D">
              <w:rPr>
                <w:rFonts w:cs="Calibri"/>
                <w:sz w:val="16"/>
                <w:szCs w:val="16"/>
              </w:rPr>
              <w:t>3,219</w:t>
            </w:r>
          </w:p>
        </w:tc>
        <w:tc>
          <w:tcPr>
            <w:tcW w:w="596" w:type="dxa"/>
          </w:tcPr>
          <w:p w14:paraId="177621C8" w14:textId="1A054035"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4,963</w:t>
            </w:r>
          </w:p>
        </w:tc>
        <w:tc>
          <w:tcPr>
            <w:tcW w:w="560" w:type="dxa"/>
          </w:tcPr>
          <w:p w14:paraId="29FAB007" w14:textId="6D884825"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5,184 </w:t>
            </w:r>
          </w:p>
        </w:tc>
        <w:tc>
          <w:tcPr>
            <w:tcW w:w="560" w:type="dxa"/>
          </w:tcPr>
          <w:p w14:paraId="113FC321" w14:textId="5EDB2B2D"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4,819 </w:t>
            </w:r>
          </w:p>
        </w:tc>
        <w:tc>
          <w:tcPr>
            <w:tcW w:w="596" w:type="dxa"/>
          </w:tcPr>
          <w:p w14:paraId="562D8082" w14:textId="4DAD4D3C"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4,096 </w:t>
            </w:r>
          </w:p>
        </w:tc>
        <w:tc>
          <w:tcPr>
            <w:tcW w:w="587" w:type="dxa"/>
          </w:tcPr>
          <w:p w14:paraId="2AA7EBEC" w14:textId="3CB7D55F"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4,298 </w:t>
            </w:r>
          </w:p>
        </w:tc>
        <w:tc>
          <w:tcPr>
            <w:tcW w:w="570" w:type="dxa"/>
          </w:tcPr>
          <w:p w14:paraId="07127768" w14:textId="5FC37325"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3,781 </w:t>
            </w:r>
          </w:p>
        </w:tc>
        <w:tc>
          <w:tcPr>
            <w:tcW w:w="560" w:type="dxa"/>
          </w:tcPr>
          <w:p w14:paraId="6A7B8CDF" w14:textId="785D6083"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4,852 </w:t>
            </w:r>
          </w:p>
        </w:tc>
        <w:tc>
          <w:tcPr>
            <w:tcW w:w="560" w:type="dxa"/>
          </w:tcPr>
          <w:p w14:paraId="20D83AC7" w14:textId="5C63C8A0"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5,016 </w:t>
            </w:r>
          </w:p>
        </w:tc>
        <w:tc>
          <w:tcPr>
            <w:tcW w:w="596" w:type="dxa"/>
          </w:tcPr>
          <w:p w14:paraId="2253B01F" w14:textId="1DB2E7F1"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5,963 </w:t>
            </w:r>
          </w:p>
        </w:tc>
        <w:tc>
          <w:tcPr>
            <w:tcW w:w="560" w:type="dxa"/>
          </w:tcPr>
          <w:p w14:paraId="7F986834" w14:textId="3FF16EFB"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7,208 </w:t>
            </w:r>
          </w:p>
        </w:tc>
        <w:tc>
          <w:tcPr>
            <w:tcW w:w="560" w:type="dxa"/>
          </w:tcPr>
          <w:p w14:paraId="14E29605" w14:textId="31B19E81"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5,807 </w:t>
            </w:r>
          </w:p>
        </w:tc>
        <w:tc>
          <w:tcPr>
            <w:tcW w:w="591" w:type="dxa"/>
            <w:gridSpan w:val="2"/>
          </w:tcPr>
          <w:p w14:paraId="53A1EC7F" w14:textId="106B1BA6" w:rsidR="008818AC" w:rsidRPr="0018386D" w:rsidRDefault="008818AC" w:rsidP="00DD3106">
            <w:pPr>
              <w:pStyle w:val="TableText"/>
              <w:spacing w:before="40" w:after="40" w:line="220" w:lineRule="atLeast"/>
              <w:jc w:val="right"/>
              <w:rPr>
                <w:rFonts w:cs="Calibri"/>
                <w:sz w:val="16"/>
                <w:szCs w:val="16"/>
              </w:rPr>
            </w:pPr>
            <w:r w:rsidRPr="0018386D">
              <w:rPr>
                <w:rFonts w:cs="Calibri"/>
                <w:sz w:val="16"/>
                <w:szCs w:val="16"/>
              </w:rPr>
              <w:t xml:space="preserve">6,333 </w:t>
            </w:r>
          </w:p>
        </w:tc>
      </w:tr>
    </w:tbl>
    <w:p w14:paraId="7A5FCA91" w14:textId="16DDFE05" w:rsidR="00DC4F06" w:rsidRPr="0018386D" w:rsidRDefault="00DC4F06" w:rsidP="00DD3106">
      <w:pPr>
        <w:pStyle w:val="Note"/>
        <w:jc w:val="both"/>
      </w:pPr>
      <w:r w:rsidRPr="0018386D">
        <w:rPr>
          <w:b/>
          <w:bCs/>
        </w:rPr>
        <w:t>Note</w:t>
      </w:r>
      <w:r w:rsidR="00B75682" w:rsidRPr="0018386D">
        <w:rPr>
          <w:b/>
          <w:bCs/>
        </w:rPr>
        <w:t>:</w:t>
      </w:r>
      <w:r w:rsidR="00B75682" w:rsidRPr="0018386D">
        <w:t xml:space="preserve"> T</w:t>
      </w:r>
      <w:r w:rsidRPr="0018386D">
        <w:t>hese numbers are round</w:t>
      </w:r>
      <w:r w:rsidR="00B60F91" w:rsidRPr="0018386D">
        <w:t>ed</w:t>
      </w:r>
      <w:r w:rsidR="00510AD1" w:rsidRPr="0018386D">
        <w:t xml:space="preserve"> to 0</w:t>
      </w:r>
      <w:r w:rsidR="00522AB7" w:rsidRPr="0018386D">
        <w:t xml:space="preserve"> </w:t>
      </w:r>
      <w:r w:rsidR="00510AD1" w:rsidRPr="0018386D">
        <w:t>d</w:t>
      </w:r>
      <w:r w:rsidR="00522AB7" w:rsidRPr="0018386D">
        <w:t xml:space="preserve">ecimal </w:t>
      </w:r>
      <w:r w:rsidR="00510AD1" w:rsidRPr="0018386D">
        <w:t>p</w:t>
      </w:r>
      <w:r w:rsidR="00522AB7" w:rsidRPr="0018386D">
        <w:t>laces</w:t>
      </w:r>
      <w:r w:rsidRPr="0018386D">
        <w:t>.</w:t>
      </w:r>
      <w:r w:rsidR="00071D92" w:rsidRPr="0018386D">
        <w:t xml:space="preserve"> </w:t>
      </w:r>
    </w:p>
    <w:p w14:paraId="78EC5B08" w14:textId="65AC4238" w:rsidR="00B276B8" w:rsidRPr="0018386D" w:rsidRDefault="6DE581C3" w:rsidP="00DD3106">
      <w:pPr>
        <w:pStyle w:val="Heading3"/>
        <w:numPr>
          <w:ilvl w:val="0"/>
          <w:numId w:val="12"/>
        </w:numPr>
        <w:jc w:val="both"/>
      </w:pPr>
      <w:bookmarkStart w:id="320" w:name="_Toc532904890"/>
      <w:r w:rsidRPr="0018386D">
        <w:t xml:space="preserve">Assumptions, </w:t>
      </w:r>
      <w:proofErr w:type="gramStart"/>
      <w:r w:rsidRPr="0018386D">
        <w:t>limitations</w:t>
      </w:r>
      <w:proofErr w:type="gramEnd"/>
      <w:r w:rsidRPr="0018386D">
        <w:t xml:space="preserve"> and uncertainties</w:t>
      </w:r>
      <w:bookmarkEnd w:id="320"/>
    </w:p>
    <w:p w14:paraId="1E6D4ABA" w14:textId="5322E34B" w:rsidR="00B276B8" w:rsidRPr="0018386D" w:rsidRDefault="00B276B8" w:rsidP="00DD3106">
      <w:pPr>
        <w:pStyle w:val="BodyText"/>
        <w:spacing w:before="100" w:after="100"/>
      </w:pPr>
      <w:r w:rsidRPr="0018386D">
        <w:t>This emission factor covers grid-</w:t>
      </w:r>
      <w:r w:rsidR="00407985" w:rsidRPr="0018386D">
        <w:t>average</w:t>
      </w:r>
      <w:r w:rsidRPr="0018386D">
        <w:t xml:space="preserve"> electricity </w:t>
      </w:r>
      <w:r w:rsidR="00407985" w:rsidRPr="0018386D">
        <w:t>purchased</w:t>
      </w:r>
      <w:r w:rsidRPr="0018386D">
        <w:t xml:space="preserve"> by an end user. As with all</w:t>
      </w:r>
      <w:r w:rsidR="0067308E" w:rsidRPr="0018386D">
        <w:t> </w:t>
      </w:r>
      <w:r w:rsidRPr="0018386D">
        <w:t>emission factors for purchased electricity</w:t>
      </w:r>
      <w:r w:rsidR="00407985" w:rsidRPr="0018386D">
        <w:t>,</w:t>
      </w:r>
      <w:r w:rsidRPr="0018386D">
        <w:t xml:space="preserve"> </w:t>
      </w:r>
      <w:r w:rsidR="00DC4F06" w:rsidRPr="0018386D">
        <w:t xml:space="preserve">we calculated </w:t>
      </w:r>
      <w:r w:rsidR="0049234A" w:rsidRPr="0018386D">
        <w:t>those</w:t>
      </w:r>
      <w:r w:rsidRPr="0018386D">
        <w:t xml:space="preserve"> for transmission and distribution line losses as a national average.</w:t>
      </w:r>
    </w:p>
    <w:p w14:paraId="61D88F1F" w14:textId="65AC4238" w:rsidR="00B276B8" w:rsidRPr="0018386D" w:rsidRDefault="00B276B8" w:rsidP="00DD3106">
      <w:pPr>
        <w:pStyle w:val="BodyText"/>
        <w:spacing w:before="100" w:after="100"/>
      </w:pPr>
      <w:r w:rsidRPr="0018386D">
        <w:t>As it is an average figure, the emission factor makes no allowance for distance from off-take point, or other factors that may vary between individual consumers.</w:t>
      </w:r>
    </w:p>
    <w:p w14:paraId="4BF77207" w14:textId="139994F1" w:rsidR="00B276B8" w:rsidRPr="0018386D" w:rsidRDefault="00B276B8" w:rsidP="00DD3106">
      <w:pPr>
        <w:pStyle w:val="BodyText"/>
        <w:spacing w:before="100" w:after="100"/>
      </w:pPr>
      <w:r w:rsidRPr="0018386D">
        <w:t>This emission factor does not incorporate the emissions associated with the extraction, production and transport of the fuels burnt to produce the electricity.</w:t>
      </w:r>
    </w:p>
    <w:p w14:paraId="281F8CB5" w14:textId="139994F1" w:rsidR="00B276B8" w:rsidRPr="0018386D" w:rsidRDefault="00B276B8" w:rsidP="00DD3106">
      <w:pPr>
        <w:pStyle w:val="Heading2"/>
        <w:numPr>
          <w:ilvl w:val="1"/>
          <w:numId w:val="8"/>
        </w:numPr>
        <w:spacing w:before="280"/>
        <w:jc w:val="both"/>
      </w:pPr>
      <w:bookmarkStart w:id="321" w:name="_Toc529960701"/>
      <w:bookmarkStart w:id="322" w:name="_Toc532904891"/>
      <w:bookmarkStart w:id="323" w:name="_Toc600579"/>
      <w:bookmarkStart w:id="324" w:name="_Toc140048904"/>
      <w:r w:rsidRPr="0018386D">
        <w:t xml:space="preserve">Imported heat and </w:t>
      </w:r>
      <w:proofErr w:type="gramStart"/>
      <w:r w:rsidRPr="0018386D">
        <w:t>steam</w:t>
      </w:r>
      <w:bookmarkEnd w:id="321"/>
      <w:bookmarkEnd w:id="322"/>
      <w:bookmarkEnd w:id="323"/>
      <w:bookmarkEnd w:id="324"/>
      <w:proofErr w:type="gramEnd"/>
      <w:r w:rsidRPr="0018386D">
        <w:t xml:space="preserve"> </w:t>
      </w:r>
    </w:p>
    <w:p w14:paraId="23E2FADF" w14:textId="139994F1" w:rsidR="00B276B8" w:rsidRPr="0018386D" w:rsidRDefault="00DC4F06" w:rsidP="00DD3106">
      <w:pPr>
        <w:pStyle w:val="BodyText"/>
        <w:spacing w:before="100" w:after="100"/>
      </w:pPr>
      <w:r w:rsidRPr="0018386D">
        <w:t>O</w:t>
      </w:r>
      <w:r w:rsidR="00B276B8" w:rsidRPr="0018386D">
        <w:t xml:space="preserve">rganisations </w:t>
      </w:r>
      <w:r w:rsidRPr="0018386D">
        <w:t xml:space="preserve">that </w:t>
      </w:r>
      <w:r w:rsidR="00B276B8" w:rsidRPr="0018386D">
        <w:t>have a specific heat or steam external energy source</w:t>
      </w:r>
      <w:r w:rsidRPr="0018386D">
        <w:t xml:space="preserve"> </w:t>
      </w:r>
      <w:r w:rsidR="00BC6DDF" w:rsidRPr="0018386D">
        <w:t>(such as a district heating scheme</w:t>
      </w:r>
      <w:r w:rsidR="004F4E23" w:rsidRPr="0018386D">
        <w:t>)</w:t>
      </w:r>
      <w:r w:rsidR="00BC6DDF" w:rsidRPr="0018386D">
        <w:t xml:space="preserve"> </w:t>
      </w:r>
      <w:r w:rsidRPr="0018386D">
        <w:t>can calculate emissions using</w:t>
      </w:r>
      <w:r w:rsidR="00B276B8" w:rsidRPr="0018386D">
        <w:t xml:space="preserve"> </w:t>
      </w:r>
      <w:r w:rsidRPr="0018386D">
        <w:t>a</w:t>
      </w:r>
      <w:r w:rsidR="00BC6DDF" w:rsidRPr="0018386D">
        <w:t>n</w:t>
      </w:r>
      <w:r w:rsidRPr="0018386D">
        <w:t xml:space="preserve"> emission factor</w:t>
      </w:r>
      <w:r w:rsidR="00BC6DDF" w:rsidRPr="0018386D">
        <w:t xml:space="preserve"> specific to that scheme. This</w:t>
      </w:r>
      <w:r w:rsidR="00856DC3" w:rsidRPr="0018386D">
        <w:t> </w:t>
      </w:r>
      <w:r w:rsidR="00BC6DDF" w:rsidRPr="0018386D">
        <w:t>should be available from the owner of the external energy source</w:t>
      </w:r>
      <w:r w:rsidR="00B276B8" w:rsidRPr="0018386D">
        <w:t xml:space="preserve">. </w:t>
      </w:r>
    </w:p>
    <w:p w14:paraId="55BEFF19" w14:textId="139994F1" w:rsidR="00B276B8" w:rsidRPr="0018386D" w:rsidRDefault="00B276B8" w:rsidP="00DD3106">
      <w:pPr>
        <w:pStyle w:val="Heading2"/>
        <w:numPr>
          <w:ilvl w:val="1"/>
          <w:numId w:val="8"/>
        </w:numPr>
        <w:spacing w:before="320"/>
        <w:jc w:val="both"/>
      </w:pPr>
      <w:bookmarkStart w:id="325" w:name="_Toc529960703"/>
      <w:bookmarkStart w:id="326" w:name="_Toc532904892"/>
      <w:bookmarkStart w:id="327" w:name="_Toc600580"/>
      <w:bookmarkStart w:id="328" w:name="_Toc140048905"/>
      <w:r w:rsidRPr="0018386D" w:rsidDel="00AB199A">
        <w:t>Geothermal energy</w:t>
      </w:r>
      <w:bookmarkEnd w:id="325"/>
      <w:bookmarkEnd w:id="326"/>
      <w:bookmarkEnd w:id="327"/>
      <w:bookmarkEnd w:id="328"/>
    </w:p>
    <w:p w14:paraId="5FF1E3E6" w14:textId="0D4101C9" w:rsidR="00C47B75" w:rsidRPr="0018386D" w:rsidRDefault="00DC4F06" w:rsidP="00DD3106">
      <w:pPr>
        <w:pStyle w:val="BodyText"/>
        <w:spacing w:before="100" w:after="100"/>
      </w:pPr>
      <w:r w:rsidRPr="0018386D">
        <w:rPr>
          <w:spacing w:val="-2"/>
        </w:rPr>
        <w:t>O</w:t>
      </w:r>
      <w:r w:rsidR="00B276B8" w:rsidRPr="0018386D">
        <w:rPr>
          <w:spacing w:val="-2"/>
        </w:rPr>
        <w:t xml:space="preserve">rganisations </w:t>
      </w:r>
      <w:r w:rsidRPr="0018386D">
        <w:rPr>
          <w:spacing w:val="-2"/>
        </w:rPr>
        <w:t xml:space="preserve">that </w:t>
      </w:r>
      <w:r w:rsidR="00B276B8" w:rsidRPr="0018386D">
        <w:rPr>
          <w:spacing w:val="-2"/>
        </w:rPr>
        <w:t>have their own geothermal energy source</w:t>
      </w:r>
      <w:r w:rsidRPr="0018386D">
        <w:rPr>
          <w:spacing w:val="-2"/>
        </w:rPr>
        <w:t xml:space="preserve"> can</w:t>
      </w:r>
      <w:r w:rsidR="00B276B8" w:rsidRPr="0018386D">
        <w:rPr>
          <w:spacing w:val="-2"/>
        </w:rPr>
        <w:t xml:space="preserve"> calculate</w:t>
      </w:r>
      <w:r w:rsidRPr="0018386D">
        <w:rPr>
          <w:spacing w:val="-2"/>
        </w:rPr>
        <w:t xml:space="preserve"> emissions</w:t>
      </w:r>
      <w:r w:rsidR="00B276B8" w:rsidRPr="0018386D">
        <w:rPr>
          <w:spacing w:val="-2"/>
        </w:rPr>
        <w:t xml:space="preserve"> separately</w:t>
      </w:r>
      <w:r w:rsidR="00B276B8" w:rsidRPr="0018386D">
        <w:t xml:space="preserve"> </w:t>
      </w:r>
      <w:r w:rsidRPr="0018386D">
        <w:t>using a</w:t>
      </w:r>
      <w:r w:rsidR="00B276B8" w:rsidRPr="0018386D">
        <w:t xml:space="preserve"> unique emission factor. Depending on the steam coming from the borehole</w:t>
      </w:r>
      <w:r w:rsidRPr="0018386D">
        <w:t>,</w:t>
      </w:r>
      <w:r w:rsidR="00B276B8" w:rsidRPr="0018386D">
        <w:t xml:space="preserve"> there may or may not be emissions associated with this energy type. </w:t>
      </w:r>
      <w:r w:rsidR="00522AB7" w:rsidRPr="0018386D">
        <w:br w:type="page"/>
      </w:r>
    </w:p>
    <w:p w14:paraId="406D0244" w14:textId="0A47FC6C" w:rsidR="00075073" w:rsidRPr="0018386D" w:rsidRDefault="1CB70A98" w:rsidP="00DD3106">
      <w:pPr>
        <w:pStyle w:val="Heading1"/>
        <w:numPr>
          <w:ilvl w:val="0"/>
          <w:numId w:val="8"/>
        </w:numPr>
      </w:pPr>
      <w:bookmarkStart w:id="329" w:name="_Indirect_business_related"/>
      <w:bookmarkStart w:id="330" w:name="_Indirect_business-related_emission"/>
      <w:bookmarkStart w:id="331" w:name="_Toc140048906"/>
      <w:bookmarkStart w:id="332" w:name="_Ref532556999"/>
      <w:bookmarkStart w:id="333" w:name="_Toc529960704"/>
      <w:bookmarkStart w:id="334" w:name="_Toc532904893"/>
      <w:bookmarkStart w:id="335" w:name="_Toc600581"/>
      <w:bookmarkStart w:id="336" w:name="_Ref529536179"/>
      <w:bookmarkEnd w:id="329"/>
      <w:bookmarkEnd w:id="330"/>
      <w:r w:rsidRPr="0018386D">
        <w:lastRenderedPageBreak/>
        <w:t xml:space="preserve">Indirect </w:t>
      </w:r>
      <w:r w:rsidR="4B74DD67" w:rsidRPr="0018386D">
        <w:t>b</w:t>
      </w:r>
      <w:r w:rsidR="2BFDABF5" w:rsidRPr="0018386D">
        <w:t>usiness</w:t>
      </w:r>
      <w:r w:rsidR="4DFB0735" w:rsidRPr="0018386D">
        <w:t>-</w:t>
      </w:r>
      <w:r w:rsidR="2BFDABF5" w:rsidRPr="0018386D">
        <w:t xml:space="preserve">related </w:t>
      </w:r>
      <w:r w:rsidR="7557CFF4" w:rsidRPr="0018386D">
        <w:t>emission</w:t>
      </w:r>
      <w:r w:rsidR="00522AB7" w:rsidRPr="0018386D">
        <w:t xml:space="preserve"> </w:t>
      </w:r>
      <w:r w:rsidR="7557CFF4" w:rsidRPr="0018386D">
        <w:t>factors</w:t>
      </w:r>
      <w:bookmarkEnd w:id="331"/>
    </w:p>
    <w:p w14:paraId="30FCD2B4" w14:textId="1F412DB9" w:rsidR="00075073" w:rsidRPr="0018386D" w:rsidRDefault="00075073" w:rsidP="00DD3106">
      <w:pPr>
        <w:pStyle w:val="BodyText"/>
        <w:spacing w:before="100" w:after="100"/>
      </w:pPr>
      <w:r w:rsidRPr="0018386D">
        <w:t xml:space="preserve">This </w:t>
      </w:r>
      <w:r w:rsidR="00E93241" w:rsidRPr="0018386D">
        <w:t xml:space="preserve">section </w:t>
      </w:r>
      <w:r w:rsidRPr="0018386D">
        <w:t xml:space="preserve">includes guidance and emissions factors relating to indirect (Scope 3) emissions from business activities not covered in other </w:t>
      </w:r>
      <w:r w:rsidR="00E93241" w:rsidRPr="0018386D">
        <w:t>sections</w:t>
      </w:r>
      <w:r w:rsidRPr="0018386D">
        <w:t xml:space="preserve">. </w:t>
      </w:r>
    </w:p>
    <w:p w14:paraId="0962AFBD" w14:textId="6CAE0F27" w:rsidR="00A021E0" w:rsidRPr="0018386D" w:rsidRDefault="00E2459B" w:rsidP="00DD3106">
      <w:pPr>
        <w:pStyle w:val="Heading2"/>
        <w:numPr>
          <w:ilvl w:val="1"/>
          <w:numId w:val="8"/>
        </w:numPr>
        <w:spacing w:before="320"/>
      </w:pPr>
      <w:bookmarkStart w:id="337" w:name="_Toc140048907"/>
      <w:r w:rsidRPr="0018386D">
        <w:rPr>
          <w:sz w:val="34"/>
          <w:szCs w:val="24"/>
        </w:rPr>
        <w:t>Overview of changes since previous update</w:t>
      </w:r>
      <w:bookmarkEnd w:id="337"/>
    </w:p>
    <w:p w14:paraId="7641BE4D" w14:textId="675B3107" w:rsidR="00992C72" w:rsidRPr="0018386D" w:rsidRDefault="0080258E" w:rsidP="00DD3106">
      <w:pPr>
        <w:pStyle w:val="BodyText"/>
        <w:spacing w:before="100" w:after="100"/>
      </w:pPr>
      <w:r w:rsidRPr="0018386D">
        <w:t>The methodology for calculating working from home emissions with respect to energy use ha</w:t>
      </w:r>
      <w:r w:rsidR="00E541A6" w:rsidRPr="0018386D">
        <w:t>s</w:t>
      </w:r>
      <w:r w:rsidRPr="0018386D">
        <w:t xml:space="preserve"> not changed since the 2022 guidance. However, during the August 2022 update of the guidance, a 12</w:t>
      </w:r>
      <w:r w:rsidR="00B5622A" w:rsidRPr="0018386D">
        <w:t xml:space="preserve"> per cent</w:t>
      </w:r>
      <w:r w:rsidRPr="0018386D">
        <w:t xml:space="preserve"> reduction in the electricity emission factor was published</w:t>
      </w:r>
      <w:r w:rsidR="007215EE" w:rsidRPr="0018386D">
        <w:t xml:space="preserve"> but </w:t>
      </w:r>
      <w:r w:rsidR="005D60D1" w:rsidRPr="0018386D">
        <w:t>the working from home emission factor</w:t>
      </w:r>
      <w:r w:rsidR="002B362D" w:rsidRPr="0018386D">
        <w:t xml:space="preserve"> </w:t>
      </w:r>
      <w:r w:rsidR="005D60D1" w:rsidRPr="0018386D">
        <w:t>was not updated. As a result, a</w:t>
      </w:r>
      <w:r w:rsidR="00690F6F" w:rsidRPr="0018386D">
        <w:t>n</w:t>
      </w:r>
      <w:r w:rsidR="000A6F99" w:rsidRPr="0018386D">
        <w:t xml:space="preserve"> 18</w:t>
      </w:r>
      <w:r w:rsidR="00117B8E" w:rsidRPr="0018386D">
        <w:t xml:space="preserve"> per cent</w:t>
      </w:r>
      <w:r w:rsidR="000A6F99" w:rsidRPr="0018386D">
        <w:t xml:space="preserve"> reduction in </w:t>
      </w:r>
      <w:r w:rsidR="00166B02" w:rsidRPr="0018386D">
        <w:t xml:space="preserve">the </w:t>
      </w:r>
      <w:r w:rsidR="000A6F99" w:rsidRPr="0018386D">
        <w:t xml:space="preserve">working from home emission factor is </w:t>
      </w:r>
      <w:r w:rsidR="00E83276" w:rsidRPr="0018386D">
        <w:t xml:space="preserve">reported in this 2023 guidance. </w:t>
      </w:r>
    </w:p>
    <w:p w14:paraId="6E2C21B9" w14:textId="409897B4" w:rsidR="00075073" w:rsidRPr="0018386D" w:rsidRDefault="00075073" w:rsidP="00DD3106">
      <w:pPr>
        <w:pStyle w:val="Heading2"/>
        <w:numPr>
          <w:ilvl w:val="1"/>
          <w:numId w:val="8"/>
        </w:numPr>
        <w:spacing w:before="320"/>
        <w:rPr>
          <w:sz w:val="35"/>
          <w:szCs w:val="35"/>
        </w:rPr>
      </w:pPr>
      <w:bookmarkStart w:id="338" w:name="_Toc140048908"/>
      <w:r w:rsidRPr="0018386D">
        <w:rPr>
          <w:sz w:val="35"/>
          <w:szCs w:val="35"/>
        </w:rPr>
        <w:t>Emissions associated with employees working</w:t>
      </w:r>
      <w:r w:rsidR="00522AB7" w:rsidRPr="0018386D">
        <w:rPr>
          <w:sz w:val="35"/>
          <w:szCs w:val="35"/>
        </w:rPr>
        <w:t xml:space="preserve"> </w:t>
      </w:r>
      <w:r w:rsidRPr="0018386D">
        <w:rPr>
          <w:sz w:val="35"/>
          <w:szCs w:val="35"/>
        </w:rPr>
        <w:t>from</w:t>
      </w:r>
      <w:r w:rsidR="00522AB7" w:rsidRPr="0018386D">
        <w:rPr>
          <w:sz w:val="35"/>
          <w:szCs w:val="35"/>
        </w:rPr>
        <w:t xml:space="preserve"> </w:t>
      </w:r>
      <w:proofErr w:type="gramStart"/>
      <w:r w:rsidRPr="0018386D">
        <w:rPr>
          <w:sz w:val="35"/>
          <w:szCs w:val="35"/>
        </w:rPr>
        <w:t>home</w:t>
      </w:r>
      <w:bookmarkEnd w:id="338"/>
      <w:proofErr w:type="gramEnd"/>
    </w:p>
    <w:p w14:paraId="2E16AA59" w14:textId="638B003E" w:rsidR="00075073" w:rsidRPr="0018386D" w:rsidRDefault="00075073" w:rsidP="00DD3106">
      <w:pPr>
        <w:pStyle w:val="BodyText"/>
        <w:spacing w:after="100"/>
      </w:pPr>
      <w:r w:rsidRPr="0018386D">
        <w:t>This section</w:t>
      </w:r>
      <w:r w:rsidRPr="0018386D" w:rsidDel="00CF03A8">
        <w:t xml:space="preserve"> </w:t>
      </w:r>
      <w:r w:rsidRPr="0018386D">
        <w:t xml:space="preserve">provides </w:t>
      </w:r>
      <w:r w:rsidR="00E2459B" w:rsidRPr="0018386D">
        <w:t>three</w:t>
      </w:r>
      <w:r w:rsidRPr="0018386D">
        <w:t xml:space="preserve"> emission factors, which incorporate typical emission sources associated with the activities of employees working from home. These emission factors can be used by employers to estimate the indirect (Scope 3) emissions associated with staff working from home. The</w:t>
      </w:r>
      <w:r w:rsidR="003330E4" w:rsidRPr="0018386D">
        <w:t xml:space="preserve"> three</w:t>
      </w:r>
      <w:r w:rsidRPr="0018386D">
        <w:t xml:space="preserve"> emission factors for working from home are:</w:t>
      </w:r>
    </w:p>
    <w:p w14:paraId="367DA135" w14:textId="1F814D98" w:rsidR="003330E4" w:rsidRPr="0018386D" w:rsidRDefault="003330E4" w:rsidP="00DD3106">
      <w:pPr>
        <w:pStyle w:val="Bullet"/>
        <w:spacing w:after="100"/>
      </w:pPr>
      <w:r w:rsidRPr="0018386D">
        <w:t xml:space="preserve">Working from home – Default </w:t>
      </w:r>
    </w:p>
    <w:p w14:paraId="3691E0CA" w14:textId="02634C95" w:rsidR="00075073" w:rsidRPr="0018386D" w:rsidRDefault="00075073" w:rsidP="00DD3106">
      <w:pPr>
        <w:pStyle w:val="Bullet"/>
        <w:spacing w:after="100"/>
      </w:pPr>
      <w:r w:rsidRPr="0018386D">
        <w:t>Working from home – Without heating</w:t>
      </w:r>
    </w:p>
    <w:p w14:paraId="156971AA" w14:textId="39DDE376" w:rsidR="00075073" w:rsidRPr="0018386D" w:rsidRDefault="00075073" w:rsidP="00DD3106">
      <w:pPr>
        <w:pStyle w:val="Bullet"/>
        <w:spacing w:after="100"/>
      </w:pPr>
      <w:r w:rsidRPr="0018386D">
        <w:t>Working from home – With heating</w:t>
      </w:r>
      <w:r w:rsidR="00F13FE7" w:rsidRPr="0018386D">
        <w:t>.</w:t>
      </w:r>
    </w:p>
    <w:p w14:paraId="093A36CA" w14:textId="133D1642" w:rsidR="00075073" w:rsidRPr="0018386D" w:rsidRDefault="003330E4" w:rsidP="00DD3106">
      <w:pPr>
        <w:pStyle w:val="BodyText"/>
        <w:spacing w:after="100"/>
      </w:pPr>
      <w:r w:rsidRPr="0018386D">
        <w:t>All three</w:t>
      </w:r>
      <w:r w:rsidR="00075073" w:rsidRPr="0018386D">
        <w:t xml:space="preserve"> emission factors have been developed based on typical uses of the following emissions sources by staff members working from </w:t>
      </w:r>
      <w:proofErr w:type="gramStart"/>
      <w:r w:rsidR="00075073" w:rsidRPr="0018386D">
        <w:t>home;</w:t>
      </w:r>
      <w:proofErr w:type="gramEnd"/>
      <w:r w:rsidR="00075073" w:rsidRPr="0018386D">
        <w:t xml:space="preserve"> a laptop plus monitor, lighting and optionally heating.</w:t>
      </w:r>
      <w:r w:rsidR="00C0176B" w:rsidRPr="0018386D">
        <w:t xml:space="preserve"> The default factor assumes heating is run for five months of the year and </w:t>
      </w:r>
      <w:r w:rsidR="00B5555E" w:rsidRPr="0018386D">
        <w:t>could</w:t>
      </w:r>
      <w:r w:rsidR="00C0176B" w:rsidRPr="0018386D">
        <w:t xml:space="preserve"> be used where more granular data on the actual use of home heating is </w:t>
      </w:r>
      <w:r w:rsidR="001A69D1" w:rsidRPr="0018386D">
        <w:t xml:space="preserve">not </w:t>
      </w:r>
      <w:r w:rsidR="00C0176B" w:rsidRPr="0018386D">
        <w:t>available.</w:t>
      </w:r>
    </w:p>
    <w:p w14:paraId="1954A76C" w14:textId="789FDE4B" w:rsidR="00075073" w:rsidRPr="0018386D" w:rsidRDefault="00075073" w:rsidP="00DD3106">
      <w:pPr>
        <w:pStyle w:val="BodyText"/>
        <w:spacing w:after="100"/>
      </w:pPr>
      <w:r w:rsidRPr="0018386D">
        <w:t>Should an organisation wish to quantify their employees</w:t>
      </w:r>
      <w:r w:rsidR="00477E92" w:rsidRPr="0018386D">
        <w:t>’</w:t>
      </w:r>
      <w:r w:rsidRPr="0018386D">
        <w:t xml:space="preserve"> working from home emissions in more detail</w:t>
      </w:r>
      <w:r w:rsidR="00477E92" w:rsidRPr="0018386D">
        <w:t>,</w:t>
      </w:r>
      <w:r w:rsidRPr="0018386D">
        <w:t xml:space="preserve"> they can survey staff and use the data provided in </w:t>
      </w:r>
      <w:hyperlink w:anchor="table14">
        <w:r w:rsidRPr="0018386D">
          <w:rPr>
            <w:rStyle w:val="Hyperlink"/>
          </w:rPr>
          <w:t>table 14</w:t>
        </w:r>
      </w:hyperlink>
      <w:r w:rsidRPr="0018386D">
        <w:t xml:space="preserve">, or various emissions factors from other </w:t>
      </w:r>
      <w:r w:rsidR="00E93241" w:rsidRPr="0018386D">
        <w:t xml:space="preserve">sections </w:t>
      </w:r>
      <w:r w:rsidRPr="0018386D">
        <w:t>in this guide.</w:t>
      </w:r>
    </w:p>
    <w:p w14:paraId="25EE176C" w14:textId="16D7973B" w:rsidR="00BB471F" w:rsidRPr="0018386D" w:rsidRDefault="00075073" w:rsidP="00DD3106">
      <w:pPr>
        <w:pStyle w:val="BodyText"/>
        <w:spacing w:after="100"/>
      </w:pPr>
      <w:r w:rsidRPr="0018386D">
        <w:t xml:space="preserve">Note the </w:t>
      </w:r>
      <w:r w:rsidRPr="0018386D">
        <w:rPr>
          <w:iCs/>
        </w:rPr>
        <w:t xml:space="preserve">Working from home – With heating </w:t>
      </w:r>
      <w:r w:rsidRPr="0018386D">
        <w:t>factor should only be used when heating is additional to what would normally be used. In other words, when the heater is being used over</w:t>
      </w:r>
      <w:r w:rsidR="00385983" w:rsidRPr="0018386D">
        <w:t> </w:t>
      </w:r>
      <w:r w:rsidRPr="0018386D">
        <w:t>and above the normal home heating use.</w:t>
      </w:r>
      <w:r w:rsidR="00E864A1" w:rsidRPr="0018386D">
        <w:t xml:space="preserve"> </w:t>
      </w:r>
      <w:r w:rsidR="009674A9" w:rsidRPr="0018386D">
        <w:t>Noting this factor assumes six hours of heating</w:t>
      </w:r>
      <w:r w:rsidR="008710C5" w:rsidRPr="0018386D">
        <w:t> </w:t>
      </w:r>
      <w:r w:rsidR="009674A9" w:rsidRPr="0018386D">
        <w:t>per day.</w:t>
      </w:r>
    </w:p>
    <w:p w14:paraId="5BE9B6B4" w14:textId="0B342B93" w:rsidR="008E2ED2" w:rsidRPr="0018386D" w:rsidRDefault="00075073" w:rsidP="00DD3106">
      <w:pPr>
        <w:pStyle w:val="Tableheading"/>
        <w:rPr>
          <w:rFonts w:asciiTheme="minorHAnsi" w:hAnsiTheme="minorHAnsi"/>
        </w:rPr>
      </w:pPr>
      <w:bookmarkStart w:id="339" w:name="table14"/>
      <w:bookmarkStart w:id="340" w:name="_Toc111536619"/>
      <w:bookmarkStart w:id="341" w:name="_Toc140048954"/>
      <w:r w:rsidRPr="0018386D">
        <w:t xml:space="preserve">Table </w:t>
      </w:r>
      <w:r w:rsidRPr="0018386D">
        <w:fldChar w:fldCharType="begin"/>
      </w:r>
      <w:r w:rsidRPr="0018386D">
        <w:instrText>SEQ Table \* ARABIC</w:instrText>
      </w:r>
      <w:r w:rsidRPr="0018386D">
        <w:fldChar w:fldCharType="separate"/>
      </w:r>
      <w:r w:rsidR="003E141C" w:rsidRPr="0018386D">
        <w:t>14</w:t>
      </w:r>
      <w:r w:rsidRPr="0018386D">
        <w:fldChar w:fldCharType="end"/>
      </w:r>
      <w:bookmarkEnd w:id="339"/>
      <w:r w:rsidRPr="0018386D">
        <w:t>:</w:t>
      </w:r>
      <w:r w:rsidRPr="0018386D">
        <w:tab/>
        <w:t xml:space="preserve">Working from home emission </w:t>
      </w:r>
      <w:proofErr w:type="gramStart"/>
      <w:r w:rsidRPr="0018386D">
        <w:t>factors</w:t>
      </w:r>
      <w:bookmarkStart w:id="342" w:name="_1747051250"/>
      <w:bookmarkEnd w:id="340"/>
      <w:bookmarkEnd w:id="341"/>
      <w:bookmarkEnd w:id="342"/>
      <w:proofErr w:type="gramEnd"/>
    </w:p>
    <w:tbl>
      <w:tblPr>
        <w:tblStyle w:val="TableGrid"/>
        <w:tblW w:w="8562"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450"/>
        <w:gridCol w:w="1334"/>
        <w:gridCol w:w="1218"/>
        <w:gridCol w:w="1625"/>
        <w:gridCol w:w="1625"/>
        <w:gridCol w:w="1310"/>
      </w:tblGrid>
      <w:tr w:rsidR="00F95ACB" w:rsidRPr="0018386D" w14:paraId="2F3D449B" w14:textId="77777777" w:rsidTr="00047FC0">
        <w:trPr>
          <w:divId w:val="167251290"/>
        </w:trPr>
        <w:tc>
          <w:tcPr>
            <w:tcW w:w="1418" w:type="dxa"/>
            <w:shd w:val="clear" w:color="auto" w:fill="1B556B" w:themeFill="text2"/>
            <w:noWrap/>
            <w:vAlign w:val="bottom"/>
            <w:hideMark/>
          </w:tcPr>
          <w:p w14:paraId="33618455" w14:textId="58E17245" w:rsidR="008E2ED2" w:rsidRPr="0018386D" w:rsidRDefault="008E2ED2" w:rsidP="00DD3106">
            <w:pPr>
              <w:pStyle w:val="TableTextbold"/>
              <w:spacing w:before="40" w:after="40"/>
              <w:rPr>
                <w:color w:val="FFFFFF" w:themeColor="background1"/>
              </w:rPr>
            </w:pPr>
            <w:r w:rsidRPr="0018386D">
              <w:rPr>
                <w:color w:val="FFFFFF" w:themeColor="background1"/>
              </w:rPr>
              <w:t>Emission source</w:t>
            </w:r>
          </w:p>
        </w:tc>
        <w:tc>
          <w:tcPr>
            <w:tcW w:w="1304" w:type="dxa"/>
            <w:shd w:val="clear" w:color="auto" w:fill="1B556B" w:themeFill="text2"/>
            <w:noWrap/>
            <w:vAlign w:val="bottom"/>
            <w:hideMark/>
          </w:tcPr>
          <w:p w14:paraId="3F1E80E7"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191" w:type="dxa"/>
            <w:shd w:val="clear" w:color="auto" w:fill="1B556B" w:themeFill="text2"/>
            <w:noWrap/>
            <w:vAlign w:val="bottom"/>
            <w:hideMark/>
          </w:tcPr>
          <w:p w14:paraId="1043F776" w14:textId="0D2B9FB2" w:rsidR="008E2ED2" w:rsidRPr="0018386D" w:rsidRDefault="008E2ED2" w:rsidP="00DD3106">
            <w:pPr>
              <w:pStyle w:val="TableTextbold"/>
              <w:spacing w:before="40" w:after="40"/>
              <w:rPr>
                <w:color w:val="FFFFFF" w:themeColor="background1"/>
              </w:rPr>
            </w:pPr>
            <w:r w:rsidRPr="0018386D">
              <w:rPr>
                <w:color w:val="FFFFFF" w:themeColor="background1"/>
              </w:rPr>
              <w:t xml:space="preserve">kg </w:t>
            </w:r>
            <w:r w:rsidR="00047FC0" w:rsidRPr="0018386D">
              <w:rPr>
                <w:color w:val="FFFFFF" w:themeColor="background1"/>
              </w:rPr>
              <w:br/>
            </w:r>
            <w:r w:rsidRPr="0018386D">
              <w:rPr>
                <w:color w:val="FFFFFF" w:themeColor="background1"/>
              </w:rPr>
              <w:t>CO₂-e/unit</w:t>
            </w:r>
          </w:p>
        </w:tc>
        <w:tc>
          <w:tcPr>
            <w:tcW w:w="1588" w:type="dxa"/>
            <w:shd w:val="clear" w:color="auto" w:fill="1B556B" w:themeFill="text2"/>
            <w:noWrap/>
            <w:vAlign w:val="bottom"/>
            <w:hideMark/>
          </w:tcPr>
          <w:p w14:paraId="1A791FAB" w14:textId="4916DD11" w:rsidR="008E2ED2" w:rsidRPr="0018386D" w:rsidRDefault="008E2ED2" w:rsidP="00DD3106">
            <w:pPr>
              <w:pStyle w:val="TableTextbold"/>
              <w:spacing w:before="40" w:after="40"/>
              <w:rPr>
                <w:color w:val="FFFFFF" w:themeColor="background1"/>
              </w:rPr>
            </w:pPr>
            <w:r w:rsidRPr="0018386D">
              <w:rPr>
                <w:color w:val="FFFFFF" w:themeColor="background1"/>
              </w:rPr>
              <w:t xml:space="preserve">CO₂ </w:t>
            </w:r>
            <w:r w:rsidR="00047FC0" w:rsidRPr="0018386D">
              <w:rPr>
                <w:color w:val="FFFFFF" w:themeColor="background1"/>
              </w:rPr>
              <w:br/>
            </w:r>
            <w:r w:rsidRPr="0018386D">
              <w:rPr>
                <w:color w:val="FFFFFF" w:themeColor="background1"/>
              </w:rPr>
              <w:t>(kg CO₂ e/unit)</w:t>
            </w:r>
          </w:p>
        </w:tc>
        <w:tc>
          <w:tcPr>
            <w:tcW w:w="1588" w:type="dxa"/>
            <w:shd w:val="clear" w:color="auto" w:fill="1B556B" w:themeFill="text2"/>
            <w:noWrap/>
            <w:vAlign w:val="bottom"/>
            <w:hideMark/>
          </w:tcPr>
          <w:p w14:paraId="33C0A6A2" w14:textId="248CD011" w:rsidR="008E2ED2" w:rsidRPr="0018386D" w:rsidRDefault="008E2ED2" w:rsidP="00DD3106">
            <w:pPr>
              <w:pStyle w:val="TableTextbold"/>
              <w:spacing w:before="40" w:after="40"/>
              <w:rPr>
                <w:color w:val="FFFFFF" w:themeColor="background1"/>
              </w:rPr>
            </w:pPr>
            <w:r w:rsidRPr="0018386D">
              <w:rPr>
                <w:color w:val="FFFFFF" w:themeColor="background1"/>
              </w:rPr>
              <w:t xml:space="preserve">CH₄ </w:t>
            </w:r>
            <w:r w:rsidR="00047FC0" w:rsidRPr="0018386D">
              <w:rPr>
                <w:color w:val="FFFFFF" w:themeColor="background1"/>
              </w:rPr>
              <w:br/>
            </w:r>
            <w:r w:rsidRPr="0018386D">
              <w:rPr>
                <w:color w:val="FFFFFF" w:themeColor="background1"/>
              </w:rPr>
              <w:t>(kg CO₂-e/unit)</w:t>
            </w:r>
          </w:p>
        </w:tc>
        <w:tc>
          <w:tcPr>
            <w:tcW w:w="1280" w:type="dxa"/>
            <w:shd w:val="clear" w:color="auto" w:fill="1B556B" w:themeFill="text2"/>
            <w:noWrap/>
            <w:vAlign w:val="bottom"/>
            <w:hideMark/>
          </w:tcPr>
          <w:p w14:paraId="00C56195" w14:textId="014DE668" w:rsidR="008E2ED2" w:rsidRPr="0018386D" w:rsidRDefault="008E2ED2" w:rsidP="00DD3106">
            <w:pPr>
              <w:pStyle w:val="TableTextbold"/>
              <w:spacing w:before="40" w:after="40"/>
              <w:rPr>
                <w:color w:val="FFFFFF" w:themeColor="background1"/>
              </w:rPr>
            </w:pPr>
            <w:r w:rsidRPr="0018386D">
              <w:rPr>
                <w:color w:val="FFFFFF" w:themeColor="background1"/>
              </w:rPr>
              <w:t xml:space="preserve">N₂O </w:t>
            </w:r>
            <w:r w:rsidR="00047FC0" w:rsidRPr="0018386D">
              <w:rPr>
                <w:color w:val="FFFFFF" w:themeColor="background1"/>
              </w:rPr>
              <w:br/>
            </w:r>
            <w:r w:rsidRPr="0018386D">
              <w:rPr>
                <w:color w:val="FFFFFF" w:themeColor="background1"/>
              </w:rPr>
              <w:t>(kg CO₂-e/unit)</w:t>
            </w:r>
          </w:p>
        </w:tc>
      </w:tr>
      <w:tr w:rsidR="008E2ED2" w:rsidRPr="0018386D" w14:paraId="1D8A96D6" w14:textId="77777777" w:rsidTr="005B6A65">
        <w:trPr>
          <w:divId w:val="167251290"/>
        </w:trPr>
        <w:tc>
          <w:tcPr>
            <w:tcW w:w="1418" w:type="dxa"/>
            <w:noWrap/>
            <w:hideMark/>
          </w:tcPr>
          <w:p w14:paraId="5C7DBFFB" w14:textId="7B9A01E4" w:rsidR="008E2ED2" w:rsidRPr="0018386D" w:rsidRDefault="008E2ED2" w:rsidP="00DD3106">
            <w:pPr>
              <w:pStyle w:val="TableText"/>
              <w:spacing w:before="40" w:after="40"/>
            </w:pPr>
            <w:r w:rsidRPr="0018386D">
              <w:t>Default</w:t>
            </w:r>
          </w:p>
        </w:tc>
        <w:tc>
          <w:tcPr>
            <w:tcW w:w="1304" w:type="dxa"/>
            <w:noWrap/>
            <w:hideMark/>
          </w:tcPr>
          <w:p w14:paraId="5F3AE513" w14:textId="2F98D0D6" w:rsidR="008E2ED2" w:rsidRPr="0018386D" w:rsidRDefault="00E72D68" w:rsidP="00DD3106">
            <w:pPr>
              <w:pStyle w:val="TableText"/>
              <w:spacing w:before="40" w:after="40"/>
            </w:pPr>
            <w:r w:rsidRPr="0018386D">
              <w:t>E</w:t>
            </w:r>
            <w:r w:rsidR="008E2ED2" w:rsidRPr="0018386D">
              <w:t>mployee days</w:t>
            </w:r>
          </w:p>
        </w:tc>
        <w:tc>
          <w:tcPr>
            <w:tcW w:w="1191" w:type="dxa"/>
            <w:shd w:val="clear" w:color="auto" w:fill="D2DDE1"/>
            <w:noWrap/>
            <w:hideMark/>
          </w:tcPr>
          <w:p w14:paraId="7172E6D0" w14:textId="7788601A" w:rsidR="008E2ED2" w:rsidRPr="0018386D" w:rsidRDefault="008E2ED2" w:rsidP="00DD3106">
            <w:pPr>
              <w:pStyle w:val="TableText"/>
              <w:spacing w:before="40" w:after="40"/>
            </w:pPr>
            <w:r w:rsidRPr="0018386D">
              <w:t>0.365</w:t>
            </w:r>
          </w:p>
        </w:tc>
        <w:tc>
          <w:tcPr>
            <w:tcW w:w="1588" w:type="dxa"/>
            <w:noWrap/>
            <w:hideMark/>
          </w:tcPr>
          <w:p w14:paraId="600D9C64" w14:textId="45DBCDAA" w:rsidR="008E2ED2" w:rsidRPr="0018386D" w:rsidRDefault="008E2ED2" w:rsidP="00DD3106">
            <w:pPr>
              <w:pStyle w:val="TableText"/>
              <w:spacing w:before="40" w:after="40"/>
            </w:pPr>
            <w:r w:rsidRPr="0018386D">
              <w:t>0.354</w:t>
            </w:r>
          </w:p>
        </w:tc>
        <w:tc>
          <w:tcPr>
            <w:tcW w:w="1588" w:type="dxa"/>
            <w:noWrap/>
            <w:hideMark/>
          </w:tcPr>
          <w:p w14:paraId="053598A6" w14:textId="1C6DD54A" w:rsidR="008E2ED2" w:rsidRPr="0018386D" w:rsidRDefault="008E2ED2" w:rsidP="00DD3106">
            <w:pPr>
              <w:pStyle w:val="TableText"/>
              <w:spacing w:before="40" w:after="40"/>
            </w:pPr>
            <w:r w:rsidRPr="0018386D">
              <w:t>0.00954</w:t>
            </w:r>
          </w:p>
        </w:tc>
        <w:tc>
          <w:tcPr>
            <w:tcW w:w="1280" w:type="dxa"/>
            <w:noWrap/>
            <w:hideMark/>
          </w:tcPr>
          <w:p w14:paraId="742DD67E" w14:textId="3C9C4C41" w:rsidR="008E2ED2" w:rsidRPr="0018386D" w:rsidRDefault="008E2ED2" w:rsidP="00DD3106">
            <w:pPr>
              <w:pStyle w:val="TableText"/>
              <w:spacing w:before="40" w:after="40"/>
            </w:pPr>
            <w:r w:rsidRPr="0018386D">
              <w:t>0.0008</w:t>
            </w:r>
          </w:p>
        </w:tc>
      </w:tr>
      <w:tr w:rsidR="008E2ED2" w:rsidRPr="0018386D" w14:paraId="4A49CA73" w14:textId="77777777" w:rsidTr="005B6A65">
        <w:trPr>
          <w:divId w:val="167251290"/>
        </w:trPr>
        <w:tc>
          <w:tcPr>
            <w:tcW w:w="1418" w:type="dxa"/>
            <w:noWrap/>
            <w:hideMark/>
          </w:tcPr>
          <w:p w14:paraId="68C95B58" w14:textId="3BCB7D69" w:rsidR="008E2ED2" w:rsidRPr="0018386D" w:rsidRDefault="008E2ED2" w:rsidP="00DD3106">
            <w:pPr>
              <w:pStyle w:val="TableText"/>
              <w:spacing w:before="40" w:after="40"/>
            </w:pPr>
            <w:r w:rsidRPr="0018386D">
              <w:t>Without heating</w:t>
            </w:r>
          </w:p>
        </w:tc>
        <w:tc>
          <w:tcPr>
            <w:tcW w:w="1304" w:type="dxa"/>
            <w:noWrap/>
            <w:hideMark/>
          </w:tcPr>
          <w:p w14:paraId="0FC22360" w14:textId="14905CB7" w:rsidR="008E2ED2" w:rsidRPr="0018386D" w:rsidRDefault="00E72D68" w:rsidP="00DD3106">
            <w:pPr>
              <w:pStyle w:val="TableText"/>
              <w:spacing w:before="40" w:after="40"/>
            </w:pPr>
            <w:r w:rsidRPr="0018386D">
              <w:t>E</w:t>
            </w:r>
            <w:r w:rsidR="008E2ED2" w:rsidRPr="0018386D">
              <w:t>mployee days</w:t>
            </w:r>
          </w:p>
        </w:tc>
        <w:tc>
          <w:tcPr>
            <w:tcW w:w="1191" w:type="dxa"/>
            <w:shd w:val="clear" w:color="auto" w:fill="D2DDE1"/>
            <w:noWrap/>
            <w:hideMark/>
          </w:tcPr>
          <w:p w14:paraId="25D3DCA3" w14:textId="4FF5F1ED" w:rsidR="008E2ED2" w:rsidRPr="0018386D" w:rsidRDefault="008E2ED2" w:rsidP="00DD3106">
            <w:pPr>
              <w:pStyle w:val="TableText"/>
              <w:spacing w:before="40" w:after="40"/>
            </w:pPr>
            <w:r w:rsidRPr="0018386D">
              <w:t>0.054</w:t>
            </w:r>
          </w:p>
        </w:tc>
        <w:tc>
          <w:tcPr>
            <w:tcW w:w="1588" w:type="dxa"/>
            <w:noWrap/>
            <w:hideMark/>
          </w:tcPr>
          <w:p w14:paraId="4BC42CFC" w14:textId="55C291E6" w:rsidR="008E2ED2" w:rsidRPr="0018386D" w:rsidRDefault="008E2ED2" w:rsidP="00DD3106">
            <w:pPr>
              <w:pStyle w:val="TableText"/>
              <w:spacing w:before="40" w:after="40"/>
            </w:pPr>
            <w:r w:rsidRPr="0018386D">
              <w:t>0.05</w:t>
            </w:r>
            <w:r w:rsidR="002D54E6" w:rsidRPr="0018386D">
              <w:t>3</w:t>
            </w:r>
          </w:p>
        </w:tc>
        <w:tc>
          <w:tcPr>
            <w:tcW w:w="1588" w:type="dxa"/>
            <w:noWrap/>
            <w:hideMark/>
          </w:tcPr>
          <w:p w14:paraId="3FFE9C3C" w14:textId="24640836" w:rsidR="008E2ED2" w:rsidRPr="0018386D" w:rsidRDefault="008E2ED2" w:rsidP="00DD3106">
            <w:pPr>
              <w:pStyle w:val="TableText"/>
              <w:spacing w:before="40" w:after="40"/>
            </w:pPr>
            <w:r w:rsidRPr="0018386D">
              <w:t>0.00142</w:t>
            </w:r>
          </w:p>
        </w:tc>
        <w:tc>
          <w:tcPr>
            <w:tcW w:w="1280" w:type="dxa"/>
            <w:noWrap/>
            <w:hideMark/>
          </w:tcPr>
          <w:p w14:paraId="25BC77B9" w14:textId="2C9BC96C" w:rsidR="008E2ED2" w:rsidRPr="0018386D" w:rsidRDefault="008E2ED2" w:rsidP="00DD3106">
            <w:pPr>
              <w:pStyle w:val="TableText"/>
              <w:spacing w:before="40" w:after="40"/>
            </w:pPr>
            <w:r w:rsidRPr="0018386D">
              <w:t>0.0001</w:t>
            </w:r>
          </w:p>
        </w:tc>
      </w:tr>
      <w:tr w:rsidR="008E2ED2" w:rsidRPr="0018386D" w14:paraId="17A35C16" w14:textId="77777777" w:rsidTr="005B6A65">
        <w:trPr>
          <w:divId w:val="167251290"/>
        </w:trPr>
        <w:tc>
          <w:tcPr>
            <w:tcW w:w="1418" w:type="dxa"/>
            <w:noWrap/>
            <w:hideMark/>
          </w:tcPr>
          <w:p w14:paraId="0BE87A3E" w14:textId="6CBFD791" w:rsidR="008E2ED2" w:rsidRPr="0018386D" w:rsidRDefault="008E2ED2" w:rsidP="00DD3106">
            <w:pPr>
              <w:pStyle w:val="TableText"/>
              <w:spacing w:before="40" w:after="40"/>
            </w:pPr>
            <w:r w:rsidRPr="0018386D">
              <w:t>With heating</w:t>
            </w:r>
          </w:p>
        </w:tc>
        <w:tc>
          <w:tcPr>
            <w:tcW w:w="1304" w:type="dxa"/>
            <w:noWrap/>
            <w:hideMark/>
          </w:tcPr>
          <w:p w14:paraId="70A6558B" w14:textId="01418A16" w:rsidR="008E2ED2" w:rsidRPr="0018386D" w:rsidRDefault="00E72D68" w:rsidP="00DD3106">
            <w:pPr>
              <w:pStyle w:val="TableText"/>
              <w:spacing w:before="40" w:after="40"/>
            </w:pPr>
            <w:r w:rsidRPr="0018386D">
              <w:t>E</w:t>
            </w:r>
            <w:r w:rsidR="008E2ED2" w:rsidRPr="0018386D">
              <w:t>mployee days</w:t>
            </w:r>
          </w:p>
        </w:tc>
        <w:tc>
          <w:tcPr>
            <w:tcW w:w="1191" w:type="dxa"/>
            <w:shd w:val="clear" w:color="auto" w:fill="D2DDE1"/>
            <w:noWrap/>
            <w:hideMark/>
          </w:tcPr>
          <w:p w14:paraId="382C981A" w14:textId="08A6AE63" w:rsidR="008E2ED2" w:rsidRPr="0018386D" w:rsidRDefault="008E2ED2" w:rsidP="00DD3106">
            <w:pPr>
              <w:pStyle w:val="TableText"/>
              <w:spacing w:before="40" w:after="40"/>
            </w:pPr>
            <w:r w:rsidRPr="0018386D">
              <w:t>0.799</w:t>
            </w:r>
          </w:p>
        </w:tc>
        <w:tc>
          <w:tcPr>
            <w:tcW w:w="1588" w:type="dxa"/>
            <w:noWrap/>
            <w:hideMark/>
          </w:tcPr>
          <w:p w14:paraId="21D3F8C9" w14:textId="7D7CC38F" w:rsidR="008E2ED2" w:rsidRPr="0018386D" w:rsidRDefault="008E2ED2" w:rsidP="00DD3106">
            <w:pPr>
              <w:pStyle w:val="TableText"/>
              <w:spacing w:before="40" w:after="40"/>
            </w:pPr>
            <w:r w:rsidRPr="0018386D">
              <w:t>0.777</w:t>
            </w:r>
          </w:p>
        </w:tc>
        <w:tc>
          <w:tcPr>
            <w:tcW w:w="1588" w:type="dxa"/>
            <w:noWrap/>
            <w:hideMark/>
          </w:tcPr>
          <w:p w14:paraId="5BFBFA9A" w14:textId="36673C9C" w:rsidR="008E2ED2" w:rsidRPr="0018386D" w:rsidRDefault="008E2ED2" w:rsidP="00DD3106">
            <w:pPr>
              <w:pStyle w:val="TableText"/>
              <w:spacing w:before="40" w:after="40"/>
            </w:pPr>
            <w:r w:rsidRPr="0018386D">
              <w:t>0.0209</w:t>
            </w:r>
          </w:p>
        </w:tc>
        <w:tc>
          <w:tcPr>
            <w:tcW w:w="1280" w:type="dxa"/>
            <w:noWrap/>
            <w:hideMark/>
          </w:tcPr>
          <w:p w14:paraId="6CC9E000" w14:textId="318D09A9" w:rsidR="008E2ED2" w:rsidRPr="0018386D" w:rsidRDefault="008E2ED2" w:rsidP="00DD3106">
            <w:pPr>
              <w:pStyle w:val="TableText"/>
              <w:spacing w:before="40" w:after="40"/>
            </w:pPr>
            <w:r w:rsidRPr="0018386D">
              <w:t>0.00171</w:t>
            </w:r>
          </w:p>
        </w:tc>
      </w:tr>
    </w:tbl>
    <w:p w14:paraId="55A02F15" w14:textId="4BAEE446" w:rsidR="0012041A" w:rsidRPr="0018386D" w:rsidRDefault="0012041A" w:rsidP="00DD3106">
      <w:pPr>
        <w:pStyle w:val="Note"/>
      </w:pPr>
      <w:r w:rsidRPr="0018386D">
        <w:rPr>
          <w:b/>
          <w:bCs/>
        </w:rPr>
        <w:t>Note:</w:t>
      </w:r>
      <w:r w:rsidRPr="0018386D">
        <w:t xml:space="preserve"> These numbers are rounded to three decimal places unless the number is significantly small.</w:t>
      </w:r>
      <w:r w:rsidR="004C3308" w:rsidRPr="0018386D">
        <w:t xml:space="preserve"> </w:t>
      </w:r>
    </w:p>
    <w:p w14:paraId="78DC754F" w14:textId="5349F0F8" w:rsidR="00593870" w:rsidRPr="0018386D" w:rsidRDefault="00075073" w:rsidP="00DD3106">
      <w:pPr>
        <w:pStyle w:val="Heading3"/>
        <w:numPr>
          <w:ilvl w:val="0"/>
          <w:numId w:val="13"/>
        </w:numPr>
        <w:spacing w:before="440"/>
      </w:pPr>
      <w:r w:rsidRPr="0018386D">
        <w:lastRenderedPageBreak/>
        <w:t xml:space="preserve">GHG inventory development </w:t>
      </w:r>
    </w:p>
    <w:p w14:paraId="51ED4C50" w14:textId="105E00EC" w:rsidR="00075073" w:rsidRPr="0018386D" w:rsidRDefault="00075073" w:rsidP="00DD3106">
      <w:pPr>
        <w:pStyle w:val="BodyText"/>
      </w:pPr>
      <w:r w:rsidRPr="0018386D">
        <w:t>To calculate the emissions for an employee working from home</w:t>
      </w:r>
      <w:r w:rsidR="00201729" w:rsidRPr="0018386D">
        <w:t>,</w:t>
      </w:r>
      <w:r w:rsidRPr="0018386D">
        <w:t xml:space="preserve"> collect information on the number of days staff have worked from home during the reporting period. You will need to record which of these days heating was used and which it wasn’t. </w:t>
      </w:r>
      <w:r w:rsidR="009674A9" w:rsidRPr="0018386D">
        <w:t xml:space="preserve">If you do not have this data, use the default factor. </w:t>
      </w:r>
      <w:r w:rsidRPr="0018386D">
        <w:t xml:space="preserve">Applying the </w:t>
      </w:r>
      <w:r w:rsidR="007D5F49" w:rsidRPr="0018386D">
        <w:t>equation E</w:t>
      </w:r>
      <w:r w:rsidR="00B37794" w:rsidRPr="0018386D">
        <w:t xml:space="preserve"> </w:t>
      </w:r>
      <w:r w:rsidR="007D5F49" w:rsidRPr="0018386D">
        <w:t>= Q x F (</w:t>
      </w:r>
      <w:hyperlink w:anchor="_How_to_quantify">
        <w:r w:rsidR="007D5F49" w:rsidRPr="0018386D">
          <w:rPr>
            <w:rStyle w:val="Hyperlink"/>
          </w:rPr>
          <w:t>section 2</w:t>
        </w:r>
      </w:hyperlink>
      <w:r w:rsidR="007D5F49" w:rsidRPr="0018386D">
        <w:t>)</w:t>
      </w:r>
      <w:r w:rsidRPr="0018386D">
        <w:t>, this means:</w:t>
      </w:r>
    </w:p>
    <w:p w14:paraId="1DB760A6" w14:textId="1E6BE465" w:rsidR="007D5F49" w:rsidRPr="0018386D" w:rsidRDefault="007D5F49" w:rsidP="00DD3106">
      <w:pPr>
        <w:pStyle w:val="BodyText"/>
        <w:tabs>
          <w:tab w:val="left" w:pos="567"/>
          <w:tab w:val="left" w:pos="993"/>
        </w:tabs>
        <w:spacing w:after="0"/>
        <w:jc w:val="both"/>
      </w:pPr>
      <w:r w:rsidRPr="0018386D">
        <w:t>E</w:t>
      </w:r>
      <w:r w:rsidRPr="0018386D">
        <w:tab/>
        <w:t>=</w:t>
      </w:r>
      <w:r w:rsidRPr="0018386D">
        <w:tab/>
        <w:t>emissions from the emissions source in kg CO</w:t>
      </w:r>
      <w:r w:rsidRPr="0018386D">
        <w:rPr>
          <w:vertAlign w:val="subscript"/>
        </w:rPr>
        <w:t>2</w:t>
      </w:r>
      <w:r w:rsidRPr="0018386D">
        <w:t>-e per year</w:t>
      </w:r>
    </w:p>
    <w:p w14:paraId="17958004" w14:textId="77777777" w:rsidR="00075073" w:rsidRPr="0018386D" w:rsidRDefault="00075073" w:rsidP="00DD3106">
      <w:pPr>
        <w:pStyle w:val="BodyText"/>
        <w:tabs>
          <w:tab w:val="left" w:pos="567"/>
          <w:tab w:val="left" w:pos="993"/>
        </w:tabs>
        <w:spacing w:before="0" w:after="0"/>
        <w:contextualSpacing/>
        <w:jc w:val="both"/>
      </w:pPr>
      <w:r w:rsidRPr="0018386D">
        <w:t>Q</w:t>
      </w:r>
      <w:r w:rsidRPr="0018386D">
        <w:tab/>
        <w:t>=</w:t>
      </w:r>
      <w:r w:rsidRPr="0018386D">
        <w:tab/>
        <w:t>number of employees working from home without heating (days)</w:t>
      </w:r>
    </w:p>
    <w:p w14:paraId="5D5CE2F5" w14:textId="77777777" w:rsidR="00075073" w:rsidRPr="0018386D" w:rsidRDefault="00075073" w:rsidP="00DD3106">
      <w:pPr>
        <w:pStyle w:val="BodyText"/>
        <w:tabs>
          <w:tab w:val="left" w:pos="567"/>
          <w:tab w:val="left" w:pos="993"/>
        </w:tabs>
        <w:spacing w:before="0" w:after="0"/>
        <w:jc w:val="both"/>
      </w:pPr>
      <w:proofErr w:type="spellStart"/>
      <w:r w:rsidRPr="0018386D">
        <w:t>Qh</w:t>
      </w:r>
      <w:proofErr w:type="spellEnd"/>
      <w:r w:rsidRPr="0018386D">
        <w:tab/>
        <w:t>=</w:t>
      </w:r>
      <w:r w:rsidRPr="0018386D">
        <w:tab/>
        <w:t>number of employees working from home with heating (days)</w:t>
      </w:r>
    </w:p>
    <w:p w14:paraId="576CC598" w14:textId="4258AA25" w:rsidR="00075073" w:rsidRPr="0018386D" w:rsidRDefault="00075073" w:rsidP="00DD3106">
      <w:pPr>
        <w:pStyle w:val="BodyText"/>
        <w:tabs>
          <w:tab w:val="left" w:pos="567"/>
          <w:tab w:val="left" w:pos="993"/>
        </w:tabs>
        <w:spacing w:after="0"/>
        <w:contextualSpacing/>
        <w:jc w:val="both"/>
      </w:pPr>
      <w:r w:rsidRPr="0018386D">
        <w:t>F</w:t>
      </w:r>
      <w:r w:rsidRPr="0018386D">
        <w:tab/>
        <w:t>=</w:t>
      </w:r>
      <w:r w:rsidRPr="0018386D">
        <w:tab/>
        <w:t xml:space="preserve">emission factor from the </w:t>
      </w:r>
      <w:r w:rsidR="009674A9" w:rsidRPr="0018386D">
        <w:t>second</w:t>
      </w:r>
      <w:r w:rsidRPr="0018386D">
        <w:t xml:space="preserve"> row of </w:t>
      </w:r>
      <w:hyperlink w:anchor="table14" w:history="1">
        <w:r w:rsidR="005C2615" w:rsidRPr="0018386D">
          <w:rPr>
            <w:rStyle w:val="Hyperlink"/>
          </w:rPr>
          <w:t>t</w:t>
        </w:r>
        <w:r w:rsidRPr="0018386D">
          <w:rPr>
            <w:rStyle w:val="Hyperlink"/>
          </w:rPr>
          <w:t xml:space="preserve">able </w:t>
        </w:r>
        <w:r w:rsidR="00F27274" w:rsidRPr="0018386D">
          <w:rPr>
            <w:rStyle w:val="Hyperlink"/>
          </w:rPr>
          <w:t>14</w:t>
        </w:r>
      </w:hyperlink>
      <w:r w:rsidRPr="0018386D">
        <w:t xml:space="preserve"> </w:t>
      </w:r>
    </w:p>
    <w:p w14:paraId="02E547DE" w14:textId="7C9681EB" w:rsidR="00075073" w:rsidRPr="0018386D" w:rsidRDefault="00075073" w:rsidP="00DD3106">
      <w:pPr>
        <w:pStyle w:val="BodyText"/>
        <w:tabs>
          <w:tab w:val="left" w:pos="567"/>
          <w:tab w:val="left" w:pos="993"/>
        </w:tabs>
        <w:spacing w:after="240"/>
        <w:contextualSpacing/>
        <w:jc w:val="both"/>
        <w:rPr>
          <w:color w:val="000000" w:themeColor="text1"/>
        </w:rPr>
      </w:pPr>
      <w:proofErr w:type="spellStart"/>
      <w:r w:rsidRPr="0018386D">
        <w:t>Fh</w:t>
      </w:r>
      <w:proofErr w:type="spellEnd"/>
      <w:r w:rsidRPr="0018386D">
        <w:tab/>
        <w:t>=</w:t>
      </w:r>
      <w:r w:rsidRPr="0018386D">
        <w:tab/>
        <w:t xml:space="preserve">emission factor from the bottom row of </w:t>
      </w:r>
      <w:hyperlink w:anchor="table14" w:history="1">
        <w:r w:rsidR="005C2615" w:rsidRPr="0018386D">
          <w:rPr>
            <w:rStyle w:val="Hyperlink"/>
          </w:rPr>
          <w:t>t</w:t>
        </w:r>
        <w:r w:rsidRPr="0018386D">
          <w:rPr>
            <w:rStyle w:val="Hyperlink"/>
          </w:rPr>
          <w:t xml:space="preserve">able </w:t>
        </w:r>
        <w:r w:rsidR="00F27274" w:rsidRPr="0018386D">
          <w:rPr>
            <w:rStyle w:val="Hyperlink"/>
          </w:rPr>
          <w:t>14</w:t>
        </w:r>
      </w:hyperlink>
      <w:r w:rsidRPr="0018386D">
        <w:t xml:space="preserve"> </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075073" w:rsidRPr="0018386D" w:rsidDel="00D5390D" w14:paraId="29DF2FE7" w14:textId="77777777" w:rsidTr="007E25D4">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4FF94BD6" w14:textId="05FA444D" w:rsidR="00075073" w:rsidRPr="0018386D" w:rsidDel="00D5390D" w:rsidRDefault="00075073" w:rsidP="00DD3106">
            <w:pPr>
              <w:pStyle w:val="Casestudyheading"/>
            </w:pPr>
            <w:r w:rsidRPr="0018386D">
              <w:t>Working from home example Calculation</w:t>
            </w:r>
          </w:p>
        </w:tc>
      </w:tr>
      <w:tr w:rsidR="00075073" w:rsidRPr="0018386D" w14:paraId="4F1E9090" w14:textId="77777777" w:rsidTr="00EA7EF4">
        <w:trPr>
          <w:trHeight w:val="567"/>
        </w:trPr>
        <w:tc>
          <w:tcPr>
            <w:tcW w:w="8500" w:type="dxa"/>
            <w:tcBorders>
              <w:top w:val="nil"/>
              <w:left w:val="single" w:sz="4" w:space="0" w:color="CFE5E5"/>
              <w:bottom w:val="single" w:sz="4" w:space="0" w:color="CFE5E5"/>
              <w:right w:val="single" w:sz="4" w:space="0" w:color="CFE5E5"/>
            </w:tcBorders>
            <w:shd w:val="clear" w:color="auto" w:fill="D5EBE8" w:themeFill="accent3"/>
          </w:tcPr>
          <w:p w14:paraId="723D7E9E" w14:textId="3074C3DE" w:rsidR="00075073" w:rsidRPr="0018386D" w:rsidRDefault="00075073" w:rsidP="00DD3106">
            <w:pPr>
              <w:pStyle w:val="Boxtext"/>
              <w:spacing w:after="80"/>
            </w:pPr>
            <w:r w:rsidRPr="0018386D">
              <w:t>An organisation has 20 employees and knows through an employee survey or some other means that</w:t>
            </w:r>
            <w:r w:rsidR="00F43B5A" w:rsidRPr="0018386D">
              <w:t>,</w:t>
            </w:r>
            <w:r w:rsidRPr="0018386D">
              <w:t xml:space="preserve"> on a given day</w:t>
            </w:r>
            <w:r w:rsidR="00F43B5A" w:rsidRPr="0018386D">
              <w:t>,</w:t>
            </w:r>
            <w:r w:rsidRPr="0018386D">
              <w:t xml:space="preserve"> 12 employees were working from home. Of these, </w:t>
            </w:r>
            <w:r w:rsidR="00E84EC4" w:rsidRPr="0018386D">
              <w:t xml:space="preserve">eight </w:t>
            </w:r>
            <w:r w:rsidRPr="0018386D">
              <w:t xml:space="preserve">used heating each day and </w:t>
            </w:r>
            <w:r w:rsidR="00E84EC4" w:rsidRPr="0018386D">
              <w:t xml:space="preserve">four </w:t>
            </w:r>
            <w:r w:rsidRPr="0018386D">
              <w:t>did not use heating. This same daily data was collected over a month and summed as either with or without heating.</w:t>
            </w:r>
          </w:p>
          <w:p w14:paraId="3C2F5B1A" w14:textId="77777777" w:rsidR="00075073" w:rsidRPr="0018386D" w:rsidRDefault="00075073" w:rsidP="00DD3106">
            <w:pPr>
              <w:pStyle w:val="Boxtext"/>
              <w:spacing w:after="80"/>
            </w:pPr>
            <w:r w:rsidRPr="0018386D">
              <w:t xml:space="preserve">Its indirect (Scope 3) emissions from working at home for a given month are: </w:t>
            </w:r>
          </w:p>
          <w:p w14:paraId="7FC6B6E7" w14:textId="77777777" w:rsidR="00075073" w:rsidRPr="0018386D" w:rsidRDefault="00075073" w:rsidP="00DD3106">
            <w:pPr>
              <w:pStyle w:val="Boxtext"/>
              <w:spacing w:after="80"/>
              <w:rPr>
                <w:b/>
                <w:bCs/>
              </w:rPr>
            </w:pPr>
            <w:r w:rsidRPr="0018386D">
              <w:rPr>
                <w:b/>
                <w:bCs/>
              </w:rPr>
              <w:t>With heating = 168 employee days</w:t>
            </w:r>
          </w:p>
          <w:p w14:paraId="0563C08C" w14:textId="35031852" w:rsidR="00075073" w:rsidRPr="0018386D" w:rsidRDefault="00075073" w:rsidP="00DD3106">
            <w:pPr>
              <w:pStyle w:val="Boxtext"/>
              <w:tabs>
                <w:tab w:val="left" w:pos="2848"/>
                <w:tab w:val="left" w:pos="4407"/>
              </w:tabs>
              <w:spacing w:before="20" w:after="20"/>
              <w:ind w:left="850"/>
            </w:pPr>
            <w:r w:rsidRPr="0018386D">
              <w:t>CO</w:t>
            </w:r>
            <w:r w:rsidRPr="0018386D">
              <w:rPr>
                <w:vertAlign w:val="subscript"/>
              </w:rPr>
              <w:t>2</w:t>
            </w:r>
            <w:r w:rsidRPr="0018386D">
              <w:t xml:space="preserve"> emissions </w:t>
            </w:r>
            <w:r w:rsidRPr="0018386D">
              <w:tab/>
              <w:t xml:space="preserve">= 168 × </w:t>
            </w:r>
            <w:r w:rsidR="00B06ABF" w:rsidRPr="0018386D">
              <w:t>0.777</w:t>
            </w:r>
            <w:r w:rsidRPr="0018386D">
              <w:tab/>
              <w:t xml:space="preserve">= </w:t>
            </w:r>
            <w:r w:rsidR="00E83B6E" w:rsidRPr="0018386D">
              <w:t>1</w:t>
            </w:r>
            <w:r w:rsidR="00D052B0" w:rsidRPr="0018386D">
              <w:t>30.5</w:t>
            </w:r>
            <w:r w:rsidR="00C93720" w:rsidRPr="0018386D">
              <w:t>36</w:t>
            </w:r>
            <w:r w:rsidRPr="0018386D">
              <w:t xml:space="preserve"> kg CO</w:t>
            </w:r>
            <w:r w:rsidRPr="0018386D">
              <w:rPr>
                <w:vertAlign w:val="subscript"/>
              </w:rPr>
              <w:t>2</w:t>
            </w:r>
          </w:p>
          <w:p w14:paraId="5EDE5B74" w14:textId="52C8D6AF" w:rsidR="00075073" w:rsidRPr="0018386D" w:rsidRDefault="00075073" w:rsidP="00DD3106">
            <w:pPr>
              <w:pStyle w:val="Boxtext"/>
              <w:tabs>
                <w:tab w:val="left" w:pos="2848"/>
                <w:tab w:val="left" w:pos="4407"/>
              </w:tabs>
              <w:spacing w:before="20" w:after="20"/>
              <w:ind w:left="850"/>
            </w:pPr>
            <w:r w:rsidRPr="0018386D">
              <w:t>CH</w:t>
            </w:r>
            <w:r w:rsidRPr="0018386D">
              <w:rPr>
                <w:vertAlign w:val="subscript"/>
              </w:rPr>
              <w:t>4</w:t>
            </w:r>
            <w:r w:rsidRPr="0018386D">
              <w:t xml:space="preserve"> emissions </w:t>
            </w:r>
            <w:r w:rsidRPr="0018386D">
              <w:tab/>
              <w:t xml:space="preserve">= 168 × </w:t>
            </w:r>
            <w:r w:rsidR="009B1238" w:rsidRPr="0018386D">
              <w:t>0.0</w:t>
            </w:r>
            <w:r w:rsidR="003F31A8" w:rsidRPr="0018386D">
              <w:t>2</w:t>
            </w:r>
            <w:r w:rsidR="00907DEC" w:rsidRPr="0018386D">
              <w:t>09</w:t>
            </w:r>
            <w:r w:rsidRPr="0018386D">
              <w:tab/>
              <w:t xml:space="preserve">= </w:t>
            </w:r>
            <w:r w:rsidR="00D052B0" w:rsidRPr="0018386D">
              <w:t>3.51</w:t>
            </w:r>
            <w:r w:rsidR="001C2E85" w:rsidRPr="0018386D">
              <w:t>1</w:t>
            </w:r>
            <w:r w:rsidRPr="0018386D">
              <w:t xml:space="preserve"> kg CO</w:t>
            </w:r>
            <w:r w:rsidRPr="0018386D">
              <w:rPr>
                <w:vertAlign w:val="subscript"/>
              </w:rPr>
              <w:t>2</w:t>
            </w:r>
            <w:r w:rsidRPr="0018386D">
              <w:t xml:space="preserve">-e </w:t>
            </w:r>
          </w:p>
          <w:p w14:paraId="13674B82" w14:textId="17B5A071" w:rsidR="00075073" w:rsidRPr="0018386D" w:rsidRDefault="00075073" w:rsidP="00DD3106">
            <w:pPr>
              <w:pStyle w:val="Boxtext"/>
              <w:tabs>
                <w:tab w:val="left" w:pos="2848"/>
                <w:tab w:val="left" w:pos="4407"/>
              </w:tabs>
              <w:spacing w:before="20" w:after="20"/>
              <w:ind w:left="850"/>
            </w:pPr>
            <w:r w:rsidRPr="0018386D">
              <w:t>N</w:t>
            </w:r>
            <w:r w:rsidRPr="0018386D">
              <w:rPr>
                <w:vertAlign w:val="subscript"/>
              </w:rPr>
              <w:t>2</w:t>
            </w:r>
            <w:r w:rsidRPr="0018386D">
              <w:t>O emissions</w:t>
            </w:r>
            <w:r w:rsidRPr="0018386D">
              <w:tab/>
              <w:t xml:space="preserve">= 168 </w:t>
            </w:r>
            <w:r w:rsidRPr="0018386D">
              <w:rPr>
                <w:rFonts w:cs="Calibri"/>
              </w:rPr>
              <w:t>× 0.00</w:t>
            </w:r>
            <w:r w:rsidR="00907DEC" w:rsidRPr="0018386D">
              <w:rPr>
                <w:rFonts w:cs="Calibri"/>
              </w:rPr>
              <w:t>17</w:t>
            </w:r>
            <w:r w:rsidR="0039551C" w:rsidRPr="0018386D">
              <w:rPr>
                <w:rFonts w:cs="Calibri"/>
              </w:rPr>
              <w:t>1</w:t>
            </w:r>
            <w:r w:rsidRPr="0018386D">
              <w:tab/>
              <w:t xml:space="preserve">= </w:t>
            </w:r>
            <w:r w:rsidR="00264D9F" w:rsidRPr="0018386D">
              <w:t>0.</w:t>
            </w:r>
            <w:r w:rsidR="00D052B0" w:rsidRPr="0018386D">
              <w:t>28</w:t>
            </w:r>
            <w:r w:rsidR="007948A3" w:rsidRPr="0018386D">
              <w:t>7</w:t>
            </w:r>
            <w:r w:rsidRPr="0018386D">
              <w:t xml:space="preserve"> kg CO</w:t>
            </w:r>
            <w:r w:rsidRPr="0018386D">
              <w:rPr>
                <w:vertAlign w:val="subscript"/>
              </w:rPr>
              <w:t>2</w:t>
            </w:r>
            <w:r w:rsidRPr="0018386D">
              <w:t xml:space="preserve">-e </w:t>
            </w:r>
          </w:p>
          <w:p w14:paraId="7CC86FF2" w14:textId="064673AD" w:rsidR="00075073" w:rsidRPr="0018386D" w:rsidRDefault="00075073" w:rsidP="00DD3106">
            <w:pPr>
              <w:pStyle w:val="Boxtext"/>
              <w:tabs>
                <w:tab w:val="left" w:pos="2848"/>
                <w:tab w:val="left" w:pos="4407"/>
              </w:tabs>
              <w:spacing w:before="20" w:after="20"/>
              <w:ind w:left="850"/>
            </w:pPr>
            <w:r w:rsidRPr="0018386D">
              <w:t>Total CO</w:t>
            </w:r>
            <w:r w:rsidRPr="0018386D">
              <w:rPr>
                <w:vertAlign w:val="subscript"/>
              </w:rPr>
              <w:t>2</w:t>
            </w:r>
            <w:r w:rsidRPr="0018386D">
              <w:t>-e emissions</w:t>
            </w:r>
            <w:r w:rsidRPr="0018386D">
              <w:tab/>
              <w:t xml:space="preserve">= </w:t>
            </w:r>
            <w:r w:rsidR="00EF0E69" w:rsidRPr="0018386D">
              <w:t>168</w:t>
            </w:r>
            <w:r w:rsidRPr="0018386D">
              <w:t xml:space="preserve"> </w:t>
            </w:r>
            <w:r w:rsidRPr="0018386D">
              <w:rPr>
                <w:rFonts w:cs="Calibri"/>
              </w:rPr>
              <w:t>×</w:t>
            </w:r>
            <w:r w:rsidRPr="0018386D">
              <w:t xml:space="preserve"> </w:t>
            </w:r>
            <w:r w:rsidR="00E95329" w:rsidRPr="0018386D">
              <w:t>0.799</w:t>
            </w:r>
            <w:r w:rsidRPr="0018386D">
              <w:tab/>
              <w:t xml:space="preserve">= </w:t>
            </w:r>
            <w:r w:rsidR="000E2D68" w:rsidRPr="0018386D">
              <w:t>134.</w:t>
            </w:r>
            <w:r w:rsidR="00807AB8" w:rsidRPr="0018386D">
              <w:t>2</w:t>
            </w:r>
            <w:r w:rsidR="000A026B" w:rsidRPr="0018386D">
              <w:t>3</w:t>
            </w:r>
            <w:r w:rsidR="00190845" w:rsidRPr="0018386D">
              <w:t>2</w:t>
            </w:r>
            <w:r w:rsidRPr="0018386D">
              <w:t xml:space="preserve"> kg CO</w:t>
            </w:r>
            <w:r w:rsidRPr="0018386D">
              <w:rPr>
                <w:vertAlign w:val="subscript"/>
              </w:rPr>
              <w:t>2</w:t>
            </w:r>
            <w:r w:rsidRPr="0018386D">
              <w:t xml:space="preserve">-e </w:t>
            </w:r>
          </w:p>
          <w:p w14:paraId="11BCFBED" w14:textId="4AD6A723" w:rsidR="00075073" w:rsidRPr="0018386D" w:rsidRDefault="00075073" w:rsidP="00DD3106">
            <w:pPr>
              <w:pStyle w:val="Boxtext"/>
              <w:spacing w:after="80"/>
              <w:rPr>
                <w:b/>
                <w:bCs/>
              </w:rPr>
            </w:pPr>
            <w:r w:rsidRPr="0018386D">
              <w:rPr>
                <w:b/>
                <w:bCs/>
              </w:rPr>
              <w:t>Without heating = 84 employee days</w:t>
            </w:r>
          </w:p>
          <w:p w14:paraId="1A196634" w14:textId="5444E37A" w:rsidR="00075073" w:rsidRPr="0018386D" w:rsidRDefault="00075073" w:rsidP="00DD3106">
            <w:pPr>
              <w:pStyle w:val="Boxtext"/>
              <w:tabs>
                <w:tab w:val="left" w:pos="2848"/>
                <w:tab w:val="left" w:pos="4407"/>
              </w:tabs>
              <w:spacing w:before="20" w:after="20"/>
              <w:ind w:left="850"/>
            </w:pPr>
            <w:r w:rsidRPr="0018386D">
              <w:t>CO</w:t>
            </w:r>
            <w:r w:rsidRPr="0018386D">
              <w:rPr>
                <w:vertAlign w:val="subscript"/>
              </w:rPr>
              <w:t>2</w:t>
            </w:r>
            <w:r w:rsidRPr="0018386D">
              <w:t xml:space="preserve"> emissions </w:t>
            </w:r>
            <w:r w:rsidRPr="0018386D">
              <w:tab/>
              <w:t xml:space="preserve">= 84 × </w:t>
            </w:r>
            <w:r w:rsidR="00A06A1C" w:rsidRPr="0018386D">
              <w:t>0.0</w:t>
            </w:r>
            <w:r w:rsidR="003802BA" w:rsidRPr="0018386D">
              <w:t>528</w:t>
            </w:r>
            <w:r w:rsidRPr="0018386D">
              <w:tab/>
              <w:t xml:space="preserve">= </w:t>
            </w:r>
            <w:r w:rsidR="00A343AF" w:rsidRPr="0018386D">
              <w:t>4.435</w:t>
            </w:r>
            <w:r w:rsidRPr="0018386D">
              <w:t xml:space="preserve"> kg CO</w:t>
            </w:r>
            <w:r w:rsidRPr="0018386D">
              <w:rPr>
                <w:vertAlign w:val="subscript"/>
              </w:rPr>
              <w:t>2</w:t>
            </w:r>
          </w:p>
          <w:p w14:paraId="5B7287B8" w14:textId="21B58030" w:rsidR="00075073" w:rsidRPr="0018386D" w:rsidRDefault="00075073" w:rsidP="00DD3106">
            <w:pPr>
              <w:pStyle w:val="Boxtext"/>
              <w:tabs>
                <w:tab w:val="left" w:pos="2848"/>
                <w:tab w:val="left" w:pos="4407"/>
              </w:tabs>
              <w:spacing w:before="20" w:after="20"/>
              <w:ind w:left="850"/>
            </w:pPr>
            <w:r w:rsidRPr="0018386D">
              <w:t>CH</w:t>
            </w:r>
            <w:r w:rsidRPr="0018386D">
              <w:rPr>
                <w:vertAlign w:val="subscript"/>
              </w:rPr>
              <w:t>4</w:t>
            </w:r>
            <w:r w:rsidRPr="0018386D">
              <w:t xml:space="preserve"> emissions </w:t>
            </w:r>
            <w:r w:rsidRPr="0018386D">
              <w:tab/>
              <w:t xml:space="preserve">= 84 × </w:t>
            </w:r>
            <w:r w:rsidR="00A06A1C" w:rsidRPr="0018386D">
              <w:t>0.00</w:t>
            </w:r>
            <w:r w:rsidR="003802BA" w:rsidRPr="0018386D">
              <w:t>14</w:t>
            </w:r>
            <w:r w:rsidR="00C97AAD" w:rsidRPr="0018386D">
              <w:t>2</w:t>
            </w:r>
            <w:r w:rsidRPr="0018386D">
              <w:tab/>
              <w:t xml:space="preserve">= </w:t>
            </w:r>
            <w:r w:rsidR="00B4153C" w:rsidRPr="0018386D">
              <w:t>0.</w:t>
            </w:r>
            <w:r w:rsidR="006E0FE7" w:rsidRPr="0018386D">
              <w:t>11</w:t>
            </w:r>
            <w:r w:rsidR="00DF5F9E" w:rsidRPr="0018386D">
              <w:t>9</w:t>
            </w:r>
            <w:r w:rsidRPr="0018386D">
              <w:t xml:space="preserve"> kg CO</w:t>
            </w:r>
            <w:r w:rsidRPr="0018386D">
              <w:rPr>
                <w:vertAlign w:val="subscript"/>
              </w:rPr>
              <w:t>2</w:t>
            </w:r>
            <w:r w:rsidRPr="0018386D">
              <w:t xml:space="preserve">-e </w:t>
            </w:r>
          </w:p>
          <w:p w14:paraId="53CD8BD6" w14:textId="45B7A793" w:rsidR="00075073" w:rsidRPr="0018386D" w:rsidRDefault="00075073" w:rsidP="00DD3106">
            <w:pPr>
              <w:pStyle w:val="Boxtext"/>
              <w:tabs>
                <w:tab w:val="left" w:pos="2848"/>
                <w:tab w:val="left" w:pos="4407"/>
              </w:tabs>
              <w:spacing w:before="20" w:after="20"/>
              <w:ind w:left="850"/>
            </w:pPr>
            <w:r w:rsidRPr="0018386D">
              <w:t>N</w:t>
            </w:r>
            <w:r w:rsidRPr="0018386D">
              <w:rPr>
                <w:vertAlign w:val="subscript"/>
              </w:rPr>
              <w:t>2</w:t>
            </w:r>
            <w:r w:rsidRPr="0018386D">
              <w:t>O emissions</w:t>
            </w:r>
            <w:r w:rsidRPr="0018386D">
              <w:tab/>
              <w:t xml:space="preserve">= </w:t>
            </w:r>
            <w:r w:rsidR="009B1238" w:rsidRPr="0018386D">
              <w:t xml:space="preserve">84 </w:t>
            </w:r>
            <w:r w:rsidRPr="0018386D">
              <w:t>× 0.000</w:t>
            </w:r>
            <w:r w:rsidR="003802BA" w:rsidRPr="0018386D">
              <w:t>1</w:t>
            </w:r>
            <w:r w:rsidRPr="0018386D">
              <w:tab/>
              <w:t xml:space="preserve">= </w:t>
            </w:r>
            <w:r w:rsidR="00B4153C" w:rsidRPr="0018386D">
              <w:t>0.</w:t>
            </w:r>
            <w:r w:rsidR="00C8567F" w:rsidRPr="0018386D">
              <w:t>0084</w:t>
            </w:r>
            <w:r w:rsidRPr="0018386D">
              <w:t xml:space="preserve"> kg CO</w:t>
            </w:r>
            <w:r w:rsidRPr="0018386D">
              <w:rPr>
                <w:vertAlign w:val="subscript"/>
              </w:rPr>
              <w:t>2</w:t>
            </w:r>
            <w:r w:rsidRPr="0018386D">
              <w:t xml:space="preserve">-e </w:t>
            </w:r>
          </w:p>
          <w:p w14:paraId="0F7A8376" w14:textId="1B59AFF2" w:rsidR="00075073" w:rsidRPr="0018386D" w:rsidRDefault="00075073" w:rsidP="00DD3106">
            <w:pPr>
              <w:pStyle w:val="Boxtext"/>
              <w:tabs>
                <w:tab w:val="left" w:pos="2848"/>
                <w:tab w:val="left" w:pos="4407"/>
              </w:tabs>
              <w:spacing w:before="20" w:after="20"/>
              <w:ind w:left="850"/>
            </w:pPr>
            <w:r w:rsidRPr="0018386D">
              <w:t>Total CO</w:t>
            </w:r>
            <w:r w:rsidRPr="0018386D">
              <w:rPr>
                <w:vertAlign w:val="subscript"/>
              </w:rPr>
              <w:t>2</w:t>
            </w:r>
            <w:r w:rsidRPr="0018386D">
              <w:t>-e emissions</w:t>
            </w:r>
            <w:r w:rsidRPr="0018386D">
              <w:tab/>
              <w:t xml:space="preserve">= </w:t>
            </w:r>
            <w:r w:rsidR="009B1238" w:rsidRPr="0018386D">
              <w:t>84</w:t>
            </w:r>
            <w:r w:rsidRPr="0018386D">
              <w:t xml:space="preserve"> × 0.0</w:t>
            </w:r>
            <w:r w:rsidR="007710F9" w:rsidRPr="0018386D">
              <w:t>54</w:t>
            </w:r>
            <w:r w:rsidRPr="0018386D">
              <w:tab/>
              <w:t xml:space="preserve">= </w:t>
            </w:r>
            <w:r w:rsidR="00D57662" w:rsidRPr="0018386D">
              <w:t>4.536</w:t>
            </w:r>
            <w:r w:rsidRPr="0018386D">
              <w:t xml:space="preserve"> kg CO</w:t>
            </w:r>
            <w:r w:rsidRPr="0018386D">
              <w:rPr>
                <w:vertAlign w:val="subscript"/>
              </w:rPr>
              <w:t>2</w:t>
            </w:r>
            <w:r w:rsidRPr="0018386D">
              <w:t xml:space="preserve">-e </w:t>
            </w:r>
          </w:p>
          <w:p w14:paraId="6A11FCDD" w14:textId="77777777" w:rsidR="00075073" w:rsidRPr="0018386D" w:rsidRDefault="00075073" w:rsidP="00DD3106">
            <w:pPr>
              <w:pStyle w:val="Boxtext"/>
              <w:spacing w:after="180"/>
            </w:pPr>
            <w:r w:rsidRPr="0018386D">
              <w:rPr>
                <w:sz w:val="18"/>
              </w:rPr>
              <w:t>Note: Numbers may not add due to rounding.</w:t>
            </w:r>
          </w:p>
        </w:tc>
      </w:tr>
    </w:tbl>
    <w:p w14:paraId="629CBBD4" w14:textId="77777777" w:rsidR="00075073" w:rsidRPr="0018386D" w:rsidRDefault="00075073" w:rsidP="00DD3106">
      <w:pPr>
        <w:pStyle w:val="Heading3"/>
        <w:numPr>
          <w:ilvl w:val="0"/>
          <w:numId w:val="13"/>
        </w:numPr>
        <w:spacing w:before="440"/>
        <w:jc w:val="both"/>
      </w:pPr>
      <w:r w:rsidRPr="0018386D">
        <w:t>Emission factor derivation methodology</w:t>
      </w:r>
    </w:p>
    <w:p w14:paraId="31DE93DA" w14:textId="0A8AEBD3" w:rsidR="00075073" w:rsidRPr="0018386D" w:rsidRDefault="00075073" w:rsidP="00DD3106">
      <w:pPr>
        <w:pStyle w:val="BodyText"/>
      </w:pPr>
      <w:r w:rsidRPr="0018386D">
        <w:t>To calculate the working from home emission factor, we decided the most appropriate unit would be employee day</w:t>
      </w:r>
      <w:r w:rsidR="00821806" w:rsidRPr="0018386D">
        <w:t>s</w:t>
      </w:r>
      <w:r w:rsidRPr="0018386D">
        <w:t>. Therefore, we would need to calculate how much electricity an employee typically used per day.</w:t>
      </w:r>
    </w:p>
    <w:p w14:paraId="42DAD1E2" w14:textId="3BF43920" w:rsidR="00075073" w:rsidRPr="0018386D" w:rsidRDefault="00075073" w:rsidP="00DD3106">
      <w:pPr>
        <w:pStyle w:val="BodyText"/>
      </w:pPr>
      <w:r w:rsidRPr="0018386D">
        <w:t>It is assumed for both the with and without heating emission factors a working day is 8</w:t>
      </w:r>
      <w:r w:rsidR="007E25D4" w:rsidRPr="0018386D">
        <w:t> </w:t>
      </w:r>
      <w:proofErr w:type="gramStart"/>
      <w:r w:rsidRPr="0018386D">
        <w:t>hours</w:t>
      </w:r>
      <w:proofErr w:type="gramEnd"/>
      <w:r w:rsidRPr="0018386D">
        <w:t xml:space="preserve"> and all staff use a laptop, monitor and a 12W LED light. </w:t>
      </w:r>
    </w:p>
    <w:p w14:paraId="4B342A99" w14:textId="3B56BD9A" w:rsidR="00DA5CA9" w:rsidRPr="0018386D" w:rsidRDefault="007C7FF4" w:rsidP="00DD3106">
      <w:pPr>
        <w:pStyle w:val="BodyText"/>
      </w:pPr>
      <w:r w:rsidRPr="0018386D">
        <w:t xml:space="preserve">Table 15 </w:t>
      </w:r>
      <w:r w:rsidR="00884D66" w:rsidRPr="0018386D">
        <w:t>shows</w:t>
      </w:r>
      <w:r w:rsidR="008332BD" w:rsidRPr="0018386D">
        <w:t xml:space="preserve"> the </w:t>
      </w:r>
      <w:r w:rsidR="00CA206C" w:rsidRPr="0018386D">
        <w:t>emission sources used to derive the working from home factors.</w:t>
      </w:r>
      <w:r w:rsidR="000F605D" w:rsidRPr="0018386D">
        <w:t xml:space="preserve"> </w:t>
      </w:r>
      <w:r w:rsidR="00BB3E70" w:rsidRPr="0018386D">
        <w:rPr>
          <w:rFonts w:eastAsia="Times New Roman" w:cs="Calibri"/>
        </w:rPr>
        <w:t>The default factor assumes heating is run for five months of the year</w:t>
      </w:r>
      <w:r w:rsidR="000F605D" w:rsidRPr="0018386D">
        <w:rPr>
          <w:rFonts w:eastAsia="Times New Roman" w:cs="Calibri"/>
        </w:rPr>
        <w:t xml:space="preserve">, assuming </w:t>
      </w:r>
      <w:r w:rsidR="00063F61" w:rsidRPr="0018386D">
        <w:rPr>
          <w:rFonts w:eastAsia="Times New Roman" w:cs="Calibri"/>
        </w:rPr>
        <w:t xml:space="preserve">a mix of heat pump and portable heater use. </w:t>
      </w:r>
      <w:r w:rsidR="0096286B" w:rsidRPr="0018386D">
        <w:t>The without</w:t>
      </w:r>
      <w:r w:rsidR="00884D66" w:rsidRPr="0018386D">
        <w:t>-</w:t>
      </w:r>
      <w:r w:rsidR="0096286B" w:rsidRPr="0018386D">
        <w:t>heating factor only</w:t>
      </w:r>
      <w:r w:rsidR="00E56AF9" w:rsidRPr="0018386D">
        <w:t xml:space="preserve"> includes</w:t>
      </w:r>
      <w:r w:rsidR="00063F61" w:rsidRPr="0018386D">
        <w:t xml:space="preserve"> the office-based emission sources.</w:t>
      </w:r>
      <w:r w:rsidR="00BB3E70" w:rsidRPr="0018386D">
        <w:t xml:space="preserve"> </w:t>
      </w:r>
      <w:r w:rsidR="00DA5CA9" w:rsidRPr="0018386D">
        <w:t xml:space="preserve">The </w:t>
      </w:r>
      <w:proofErr w:type="spellStart"/>
      <w:r w:rsidR="00DA5CA9" w:rsidRPr="0018386D">
        <w:t>with</w:t>
      </w:r>
      <w:proofErr w:type="spellEnd"/>
      <w:r w:rsidR="004E3C06" w:rsidRPr="0018386D">
        <w:t>-</w:t>
      </w:r>
      <w:r w:rsidR="00DA5CA9" w:rsidRPr="0018386D">
        <w:t xml:space="preserve">heating factor assumes 50 per cent of staff use electric portable heaters while 50 per cent use heat pumps. It is assumed heating used an average of </w:t>
      </w:r>
      <w:r w:rsidR="00941134" w:rsidRPr="0018386D">
        <w:t xml:space="preserve">six </w:t>
      </w:r>
      <w:r w:rsidR="00DA5CA9" w:rsidRPr="0018386D">
        <w:t xml:space="preserve">hours per working day, each heater type operating for </w:t>
      </w:r>
      <w:r w:rsidR="00941134" w:rsidRPr="0018386D">
        <w:t xml:space="preserve">three </w:t>
      </w:r>
      <w:r w:rsidR="00DA5CA9" w:rsidRPr="0018386D">
        <w:t>hours.</w:t>
      </w:r>
    </w:p>
    <w:p w14:paraId="253C8903" w14:textId="5DDD0D11" w:rsidR="00075073" w:rsidRPr="0018386D" w:rsidRDefault="00075073" w:rsidP="00DD3106">
      <w:pPr>
        <w:pStyle w:val="Tableheading"/>
      </w:pPr>
      <w:bookmarkStart w:id="343" w:name="_Toc111536620"/>
      <w:bookmarkStart w:id="344" w:name="_Toc140048955"/>
      <w:r w:rsidRPr="0018386D">
        <w:lastRenderedPageBreak/>
        <w:t xml:space="preserve">Table </w:t>
      </w:r>
      <w:r w:rsidRPr="0018386D">
        <w:fldChar w:fldCharType="begin"/>
      </w:r>
      <w:r w:rsidRPr="0018386D">
        <w:instrText>SEQ Table \* ARABIC</w:instrText>
      </w:r>
      <w:r w:rsidRPr="0018386D">
        <w:fldChar w:fldCharType="separate"/>
      </w:r>
      <w:r w:rsidR="003E141C" w:rsidRPr="0018386D">
        <w:t>15</w:t>
      </w:r>
      <w:r w:rsidRPr="0018386D">
        <w:fldChar w:fldCharType="end"/>
      </w:r>
      <w:r w:rsidRPr="0018386D">
        <w:t>:</w:t>
      </w:r>
      <w:r w:rsidRPr="0018386D">
        <w:tab/>
        <w:t xml:space="preserve">Data used to calculate the emission </w:t>
      </w:r>
      <w:proofErr w:type="gramStart"/>
      <w:r w:rsidRPr="0018386D">
        <w:t>factor</w:t>
      </w:r>
      <w:r w:rsidR="009674A9" w:rsidRPr="0018386D">
        <w:t>s</w:t>
      </w:r>
      <w:bookmarkEnd w:id="343"/>
      <w:bookmarkEnd w:id="344"/>
      <w:proofErr w:type="gramEnd"/>
    </w:p>
    <w:tbl>
      <w:tblPr>
        <w:tblStyle w:val="TableGridLight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196"/>
        <w:gridCol w:w="1252"/>
        <w:gridCol w:w="967"/>
        <w:gridCol w:w="1280"/>
        <w:gridCol w:w="1280"/>
        <w:gridCol w:w="1279"/>
        <w:gridCol w:w="1251"/>
      </w:tblGrid>
      <w:tr w:rsidR="00321EA8" w:rsidRPr="0018386D" w14:paraId="5415EFED" w14:textId="77777777" w:rsidTr="005B6A65">
        <w:tc>
          <w:tcPr>
            <w:tcW w:w="1196" w:type="dxa"/>
            <w:shd w:val="clear" w:color="auto" w:fill="1B556B" w:themeFill="text2"/>
            <w:noWrap/>
            <w:vAlign w:val="bottom"/>
            <w:hideMark/>
          </w:tcPr>
          <w:p w14:paraId="1E610545" w14:textId="77777777" w:rsidR="00317F0E" w:rsidRPr="0018386D" w:rsidRDefault="00317F0E" w:rsidP="00DD3106">
            <w:pPr>
              <w:pStyle w:val="TableTextbold"/>
              <w:spacing w:before="40" w:after="40"/>
              <w:rPr>
                <w:rFonts w:cs="Calibri"/>
                <w:color w:val="FFFFFF" w:themeColor="background1"/>
                <w:szCs w:val="18"/>
              </w:rPr>
            </w:pPr>
            <w:r w:rsidRPr="0018386D">
              <w:rPr>
                <w:rFonts w:cs="Calibri"/>
                <w:color w:val="FFFFFF" w:themeColor="background1"/>
                <w:szCs w:val="18"/>
              </w:rPr>
              <w:t>Emission source</w:t>
            </w:r>
          </w:p>
        </w:tc>
        <w:tc>
          <w:tcPr>
            <w:tcW w:w="1252" w:type="dxa"/>
            <w:shd w:val="clear" w:color="auto" w:fill="1B556B" w:themeFill="text2"/>
            <w:vAlign w:val="bottom"/>
          </w:tcPr>
          <w:p w14:paraId="0B13DEFE" w14:textId="77777777" w:rsidR="00317F0E" w:rsidRPr="0018386D" w:rsidRDefault="00317F0E" w:rsidP="00DD3106">
            <w:pPr>
              <w:pStyle w:val="TableTextbold"/>
              <w:spacing w:before="40" w:after="40"/>
              <w:rPr>
                <w:rFonts w:cs="Calibri"/>
                <w:color w:val="FFFFFF" w:themeColor="background1"/>
                <w:szCs w:val="18"/>
              </w:rPr>
            </w:pPr>
            <w:r w:rsidRPr="0018386D">
              <w:rPr>
                <w:rFonts w:cs="Calibri"/>
                <w:color w:val="FFFFFF" w:themeColor="background1"/>
                <w:szCs w:val="18"/>
              </w:rPr>
              <w:t>Unit</w:t>
            </w:r>
          </w:p>
        </w:tc>
        <w:tc>
          <w:tcPr>
            <w:tcW w:w="967" w:type="dxa"/>
            <w:shd w:val="clear" w:color="auto" w:fill="1B556B" w:themeFill="text2"/>
            <w:noWrap/>
            <w:vAlign w:val="bottom"/>
            <w:hideMark/>
          </w:tcPr>
          <w:p w14:paraId="145E6F39" w14:textId="77777777" w:rsidR="00317F0E" w:rsidRPr="0018386D" w:rsidRDefault="00317F0E" w:rsidP="00DD3106">
            <w:pPr>
              <w:pStyle w:val="TableTextbold"/>
              <w:spacing w:before="40" w:after="40"/>
              <w:rPr>
                <w:rFonts w:cs="Calibri"/>
                <w:color w:val="FFFFFF" w:themeColor="background1"/>
                <w:szCs w:val="18"/>
              </w:rPr>
            </w:pPr>
            <w:r w:rsidRPr="0018386D">
              <w:rPr>
                <w:rFonts w:cs="Calibri"/>
                <w:color w:val="FFFFFF" w:themeColor="background1"/>
                <w:szCs w:val="18"/>
              </w:rPr>
              <w:t>kg CO</w:t>
            </w:r>
            <w:r w:rsidRPr="0018386D">
              <w:rPr>
                <w:rFonts w:cs="Calibri"/>
                <w:color w:val="FFFFFF" w:themeColor="background1"/>
                <w:szCs w:val="18"/>
                <w:vertAlign w:val="subscript"/>
              </w:rPr>
              <w:t>2</w:t>
            </w:r>
            <w:r w:rsidRPr="0018386D">
              <w:rPr>
                <w:rFonts w:cs="Calibri"/>
                <w:color w:val="FFFFFF" w:themeColor="background1"/>
                <w:szCs w:val="18"/>
              </w:rPr>
              <w:noBreakHyphen/>
              <w:t>e/unit</w:t>
            </w:r>
          </w:p>
        </w:tc>
        <w:tc>
          <w:tcPr>
            <w:tcW w:w="1280" w:type="dxa"/>
            <w:shd w:val="clear" w:color="auto" w:fill="1B556B" w:themeFill="text2"/>
            <w:noWrap/>
            <w:vAlign w:val="bottom"/>
            <w:hideMark/>
          </w:tcPr>
          <w:p w14:paraId="05DD92FC" w14:textId="611A5BDB" w:rsidR="00317F0E" w:rsidRPr="0018386D" w:rsidRDefault="00317F0E" w:rsidP="00DD3106">
            <w:pPr>
              <w:pStyle w:val="TableTextbold"/>
              <w:spacing w:before="40" w:after="40"/>
              <w:rPr>
                <w:rFonts w:cs="Calibri"/>
                <w:color w:val="FFFFFF" w:themeColor="background1"/>
                <w:szCs w:val="18"/>
              </w:rPr>
            </w:pPr>
            <w:r w:rsidRPr="0018386D">
              <w:rPr>
                <w:rFonts w:cs="Calibri"/>
                <w:color w:val="FFFFFF" w:themeColor="background1"/>
                <w:szCs w:val="18"/>
              </w:rPr>
              <w:t>CO</w:t>
            </w:r>
            <w:r w:rsidRPr="0018386D">
              <w:rPr>
                <w:rFonts w:cs="Calibri"/>
                <w:color w:val="FFFFFF" w:themeColor="background1"/>
                <w:szCs w:val="18"/>
                <w:vertAlign w:val="subscript"/>
              </w:rPr>
              <w:t>2</w:t>
            </w:r>
            <w:r w:rsidRPr="0018386D">
              <w:rPr>
                <w:rFonts w:cs="Calibri"/>
                <w:color w:val="FFFFFF" w:themeColor="background1"/>
                <w:szCs w:val="18"/>
              </w:rPr>
              <w:t xml:space="preserve"> </w:t>
            </w:r>
            <w:r w:rsidR="00321EA8" w:rsidRPr="0018386D">
              <w:rPr>
                <w:rFonts w:cs="Calibri"/>
                <w:b w:val="0"/>
                <w:bCs/>
                <w:szCs w:val="18"/>
              </w:rPr>
              <w:br/>
            </w:r>
            <w:r w:rsidRPr="0018386D">
              <w:rPr>
                <w:rFonts w:cs="Calibri"/>
                <w:color w:val="FFFFFF" w:themeColor="background1"/>
                <w:szCs w:val="18"/>
              </w:rPr>
              <w:t>(kg CO</w:t>
            </w:r>
            <w:r w:rsidRPr="0018386D">
              <w:rPr>
                <w:rFonts w:cs="Calibri"/>
                <w:color w:val="FFFFFF" w:themeColor="background1"/>
                <w:szCs w:val="18"/>
                <w:vertAlign w:val="subscript"/>
              </w:rPr>
              <w:t>2</w:t>
            </w:r>
            <w:r w:rsidRPr="0018386D">
              <w:rPr>
                <w:rFonts w:cs="Calibri"/>
                <w:color w:val="FFFFFF" w:themeColor="background1"/>
                <w:szCs w:val="18"/>
              </w:rPr>
              <w:noBreakHyphen/>
              <w:t>e/unit)</w:t>
            </w:r>
          </w:p>
        </w:tc>
        <w:tc>
          <w:tcPr>
            <w:tcW w:w="1280" w:type="dxa"/>
            <w:shd w:val="clear" w:color="auto" w:fill="1B556B" w:themeFill="text2"/>
            <w:noWrap/>
            <w:vAlign w:val="bottom"/>
            <w:hideMark/>
          </w:tcPr>
          <w:p w14:paraId="205C86A5" w14:textId="4B42C1AA" w:rsidR="00317F0E" w:rsidRPr="0018386D" w:rsidRDefault="00317F0E" w:rsidP="00DD3106">
            <w:pPr>
              <w:pStyle w:val="TableTextbold"/>
              <w:spacing w:before="40" w:after="40"/>
              <w:rPr>
                <w:rFonts w:cs="Calibri"/>
                <w:color w:val="FFFFFF" w:themeColor="background1"/>
                <w:szCs w:val="18"/>
              </w:rPr>
            </w:pPr>
            <w:r w:rsidRPr="0018386D">
              <w:rPr>
                <w:rFonts w:cs="Calibri"/>
                <w:color w:val="FFFFFF" w:themeColor="background1"/>
                <w:szCs w:val="18"/>
              </w:rPr>
              <w:t>CH</w:t>
            </w:r>
            <w:r w:rsidRPr="0018386D">
              <w:rPr>
                <w:rFonts w:cs="Calibri"/>
                <w:color w:val="FFFFFF" w:themeColor="background1"/>
                <w:szCs w:val="18"/>
                <w:vertAlign w:val="subscript"/>
              </w:rPr>
              <w:t>4</w:t>
            </w:r>
            <w:r w:rsidRPr="0018386D">
              <w:rPr>
                <w:rFonts w:cs="Calibri"/>
                <w:color w:val="FFFFFF" w:themeColor="background1"/>
                <w:szCs w:val="18"/>
              </w:rPr>
              <w:t xml:space="preserve"> </w:t>
            </w:r>
            <w:r w:rsidR="00321EA8" w:rsidRPr="0018386D">
              <w:rPr>
                <w:rFonts w:cs="Calibri"/>
                <w:b w:val="0"/>
                <w:bCs/>
                <w:szCs w:val="18"/>
              </w:rPr>
              <w:br/>
            </w:r>
            <w:r w:rsidRPr="0018386D">
              <w:rPr>
                <w:rFonts w:cs="Calibri"/>
                <w:color w:val="FFFFFF" w:themeColor="background1"/>
                <w:szCs w:val="18"/>
              </w:rPr>
              <w:t>(kg CO</w:t>
            </w:r>
            <w:r w:rsidRPr="0018386D">
              <w:rPr>
                <w:rFonts w:cs="Calibri"/>
                <w:color w:val="FFFFFF" w:themeColor="background1"/>
                <w:szCs w:val="18"/>
                <w:vertAlign w:val="subscript"/>
              </w:rPr>
              <w:t>2</w:t>
            </w:r>
            <w:r w:rsidRPr="0018386D">
              <w:rPr>
                <w:rFonts w:cs="Calibri"/>
                <w:color w:val="FFFFFF" w:themeColor="background1"/>
                <w:szCs w:val="18"/>
              </w:rPr>
              <w:t>-e/unit)</w:t>
            </w:r>
          </w:p>
        </w:tc>
        <w:tc>
          <w:tcPr>
            <w:tcW w:w="1279" w:type="dxa"/>
            <w:shd w:val="clear" w:color="auto" w:fill="1B556B" w:themeFill="text2"/>
            <w:noWrap/>
            <w:vAlign w:val="bottom"/>
            <w:hideMark/>
          </w:tcPr>
          <w:p w14:paraId="18A62B28" w14:textId="5B0C802E" w:rsidR="00317F0E" w:rsidRPr="0018386D" w:rsidRDefault="00317F0E" w:rsidP="00DD3106">
            <w:pPr>
              <w:pStyle w:val="TableTextbold"/>
              <w:spacing w:before="40" w:after="40"/>
              <w:rPr>
                <w:rFonts w:cs="Calibri"/>
                <w:color w:val="FFFFFF" w:themeColor="background1"/>
                <w:szCs w:val="18"/>
              </w:rPr>
            </w:pPr>
            <w:r w:rsidRPr="0018386D">
              <w:rPr>
                <w:rFonts w:cs="Calibri"/>
                <w:color w:val="FFFFFF" w:themeColor="background1"/>
                <w:szCs w:val="18"/>
              </w:rPr>
              <w:t>N</w:t>
            </w:r>
            <w:r w:rsidRPr="0018386D">
              <w:rPr>
                <w:rFonts w:cs="Calibri"/>
                <w:color w:val="FFFFFF" w:themeColor="background1"/>
                <w:szCs w:val="18"/>
                <w:vertAlign w:val="subscript"/>
              </w:rPr>
              <w:t>2</w:t>
            </w:r>
            <w:r w:rsidRPr="0018386D">
              <w:rPr>
                <w:rFonts w:cs="Calibri"/>
                <w:color w:val="FFFFFF" w:themeColor="background1"/>
                <w:szCs w:val="18"/>
              </w:rPr>
              <w:t xml:space="preserve">O </w:t>
            </w:r>
            <w:r w:rsidR="00321EA8" w:rsidRPr="0018386D">
              <w:rPr>
                <w:rFonts w:cs="Calibri"/>
                <w:b w:val="0"/>
                <w:bCs/>
                <w:szCs w:val="18"/>
              </w:rPr>
              <w:br/>
            </w:r>
            <w:r w:rsidRPr="0018386D">
              <w:rPr>
                <w:rFonts w:cs="Calibri"/>
                <w:color w:val="FFFFFF" w:themeColor="background1"/>
                <w:szCs w:val="18"/>
              </w:rPr>
              <w:t>(kg CO</w:t>
            </w:r>
            <w:r w:rsidRPr="0018386D">
              <w:rPr>
                <w:rFonts w:cs="Calibri"/>
                <w:color w:val="FFFFFF" w:themeColor="background1"/>
                <w:szCs w:val="18"/>
                <w:vertAlign w:val="subscript"/>
              </w:rPr>
              <w:t>2</w:t>
            </w:r>
            <w:r w:rsidRPr="0018386D">
              <w:rPr>
                <w:rFonts w:cs="Calibri"/>
                <w:color w:val="FFFFFF" w:themeColor="background1"/>
                <w:szCs w:val="18"/>
              </w:rPr>
              <w:t>-e/unit)</w:t>
            </w:r>
          </w:p>
        </w:tc>
        <w:tc>
          <w:tcPr>
            <w:tcW w:w="1251" w:type="dxa"/>
            <w:shd w:val="clear" w:color="auto" w:fill="1B556B" w:themeFill="text2"/>
            <w:vAlign w:val="bottom"/>
          </w:tcPr>
          <w:p w14:paraId="39D24E63" w14:textId="77777777" w:rsidR="00317F0E" w:rsidRPr="0018386D" w:rsidRDefault="00317F0E" w:rsidP="00DD3106">
            <w:pPr>
              <w:pStyle w:val="TableTextbold"/>
              <w:spacing w:before="40" w:after="40"/>
              <w:rPr>
                <w:rFonts w:cs="Calibri"/>
                <w:color w:val="FFFFFF" w:themeColor="background1"/>
                <w:szCs w:val="18"/>
              </w:rPr>
            </w:pPr>
            <w:r w:rsidRPr="0018386D">
              <w:rPr>
                <w:rFonts w:cs="Calibri"/>
                <w:color w:val="FFFFFF" w:themeColor="background1"/>
                <w:szCs w:val="18"/>
              </w:rPr>
              <w:t>Assumptions</w:t>
            </w:r>
          </w:p>
        </w:tc>
      </w:tr>
      <w:tr w:rsidR="00CE73EE" w:rsidRPr="0018386D" w14:paraId="03926A80" w14:textId="77777777" w:rsidTr="005B6A65">
        <w:tc>
          <w:tcPr>
            <w:tcW w:w="8505" w:type="dxa"/>
            <w:gridSpan w:val="7"/>
            <w:shd w:val="clear" w:color="auto" w:fill="D2DDE1"/>
          </w:tcPr>
          <w:p w14:paraId="2B1FF1F7" w14:textId="5E3A3A7A" w:rsidR="00CE73EE" w:rsidRPr="0018386D" w:rsidRDefault="00CE73EE" w:rsidP="00DD3106">
            <w:pPr>
              <w:pStyle w:val="TableText"/>
              <w:spacing w:before="40" w:after="40"/>
              <w:rPr>
                <w:rFonts w:cs="Calibri"/>
                <w:b/>
                <w:bCs/>
                <w:szCs w:val="18"/>
              </w:rPr>
            </w:pPr>
            <w:r w:rsidRPr="0018386D">
              <w:rPr>
                <w:rFonts w:cs="Calibri"/>
                <w:b/>
                <w:bCs/>
                <w:szCs w:val="18"/>
              </w:rPr>
              <w:t>Office</w:t>
            </w:r>
            <w:r w:rsidR="00063F61" w:rsidRPr="0018386D">
              <w:rPr>
                <w:rFonts w:cs="Calibri"/>
                <w:b/>
                <w:bCs/>
                <w:szCs w:val="18"/>
              </w:rPr>
              <w:t>-</w:t>
            </w:r>
            <w:r w:rsidRPr="0018386D">
              <w:rPr>
                <w:rFonts w:cs="Calibri"/>
                <w:b/>
                <w:bCs/>
                <w:szCs w:val="18"/>
              </w:rPr>
              <w:t>based</w:t>
            </w:r>
            <w:r w:rsidR="00063F61" w:rsidRPr="0018386D">
              <w:rPr>
                <w:rFonts w:cs="Calibri"/>
                <w:b/>
                <w:bCs/>
                <w:szCs w:val="18"/>
              </w:rPr>
              <w:t xml:space="preserve"> emission</w:t>
            </w:r>
            <w:r w:rsidRPr="0018386D">
              <w:rPr>
                <w:rFonts w:cs="Calibri"/>
                <w:b/>
                <w:bCs/>
                <w:szCs w:val="18"/>
              </w:rPr>
              <w:t xml:space="preserve"> </w:t>
            </w:r>
            <w:r w:rsidR="00D34BD8" w:rsidRPr="0018386D">
              <w:rPr>
                <w:rFonts w:cs="Calibri"/>
                <w:b/>
                <w:bCs/>
                <w:szCs w:val="18"/>
              </w:rPr>
              <w:t>sources</w:t>
            </w:r>
          </w:p>
        </w:tc>
      </w:tr>
      <w:tr w:rsidR="00321EA8" w:rsidRPr="0018386D" w14:paraId="11721E04" w14:textId="77777777" w:rsidTr="005B6A65">
        <w:tc>
          <w:tcPr>
            <w:tcW w:w="1196" w:type="dxa"/>
          </w:tcPr>
          <w:p w14:paraId="68A22745" w14:textId="77777777" w:rsidR="00822297" w:rsidRPr="0018386D" w:rsidRDefault="00822297" w:rsidP="00DD3106">
            <w:pPr>
              <w:pStyle w:val="TableText"/>
              <w:spacing w:before="40" w:after="40"/>
              <w:rPr>
                <w:rFonts w:cs="Calibri"/>
                <w:szCs w:val="18"/>
              </w:rPr>
            </w:pPr>
            <w:r w:rsidRPr="0018386D">
              <w:rPr>
                <w:rFonts w:cs="Calibri"/>
                <w:szCs w:val="18"/>
              </w:rPr>
              <w:t>Monitor</w:t>
            </w:r>
          </w:p>
        </w:tc>
        <w:tc>
          <w:tcPr>
            <w:tcW w:w="1252" w:type="dxa"/>
          </w:tcPr>
          <w:p w14:paraId="2FC9698B" w14:textId="61DAE29D" w:rsidR="00822297" w:rsidRPr="0018386D" w:rsidRDefault="004E3C06" w:rsidP="00DD3106">
            <w:pPr>
              <w:pStyle w:val="TableText"/>
              <w:spacing w:before="40" w:after="40"/>
              <w:rPr>
                <w:rFonts w:cs="Calibri"/>
                <w:szCs w:val="18"/>
              </w:rPr>
            </w:pPr>
            <w:r w:rsidRPr="0018386D">
              <w:rPr>
                <w:rFonts w:cs="Calibri"/>
                <w:szCs w:val="18"/>
              </w:rPr>
              <w:t>E</w:t>
            </w:r>
            <w:r w:rsidR="002E770A" w:rsidRPr="0018386D">
              <w:rPr>
                <w:rFonts w:cs="Calibri"/>
                <w:szCs w:val="18"/>
              </w:rPr>
              <w:t>mployee days</w:t>
            </w:r>
          </w:p>
        </w:tc>
        <w:tc>
          <w:tcPr>
            <w:tcW w:w="967" w:type="dxa"/>
            <w:shd w:val="clear" w:color="auto" w:fill="D2DDE1"/>
            <w:noWrap/>
          </w:tcPr>
          <w:p w14:paraId="5CE2CD6A" w14:textId="73F92FD7" w:rsidR="00822297" w:rsidRPr="0018386D" w:rsidRDefault="00AA76C9" w:rsidP="00DD3106">
            <w:pPr>
              <w:pStyle w:val="TableText"/>
              <w:spacing w:before="40" w:after="40"/>
              <w:rPr>
                <w:rFonts w:cs="Calibri"/>
                <w:szCs w:val="18"/>
              </w:rPr>
            </w:pPr>
            <w:r w:rsidRPr="0018386D">
              <w:rPr>
                <w:rFonts w:cs="Calibri"/>
                <w:color w:val="000000"/>
                <w:szCs w:val="18"/>
              </w:rPr>
              <w:t>0.0</w:t>
            </w:r>
            <w:r w:rsidR="00057494" w:rsidRPr="0018386D">
              <w:rPr>
                <w:rFonts w:cs="Calibri"/>
                <w:color w:val="000000"/>
                <w:szCs w:val="18"/>
              </w:rPr>
              <w:t>13</w:t>
            </w:r>
          </w:p>
        </w:tc>
        <w:tc>
          <w:tcPr>
            <w:tcW w:w="1280" w:type="dxa"/>
            <w:noWrap/>
          </w:tcPr>
          <w:p w14:paraId="03EF4622" w14:textId="19E6587E" w:rsidR="00822297" w:rsidRPr="0018386D" w:rsidRDefault="00AA76C9" w:rsidP="00DD3106">
            <w:pPr>
              <w:pStyle w:val="TableText"/>
              <w:spacing w:before="40" w:after="40"/>
              <w:rPr>
                <w:rFonts w:cs="Calibri"/>
                <w:szCs w:val="18"/>
              </w:rPr>
            </w:pPr>
            <w:r w:rsidRPr="0018386D">
              <w:rPr>
                <w:rFonts w:cs="Calibri"/>
                <w:color w:val="000000"/>
                <w:szCs w:val="18"/>
              </w:rPr>
              <w:t>0.0</w:t>
            </w:r>
            <w:r w:rsidR="00057494" w:rsidRPr="0018386D">
              <w:rPr>
                <w:rFonts w:cs="Calibri"/>
                <w:color w:val="000000"/>
                <w:szCs w:val="18"/>
              </w:rPr>
              <w:t>129</w:t>
            </w:r>
          </w:p>
        </w:tc>
        <w:tc>
          <w:tcPr>
            <w:tcW w:w="1280" w:type="dxa"/>
            <w:noWrap/>
          </w:tcPr>
          <w:p w14:paraId="0D624C0A" w14:textId="019F4AA6" w:rsidR="00822297" w:rsidRPr="0018386D" w:rsidRDefault="00AA76C9" w:rsidP="00DD3106">
            <w:pPr>
              <w:pStyle w:val="TableText"/>
              <w:spacing w:before="40" w:after="40"/>
              <w:rPr>
                <w:rFonts w:cs="Calibri"/>
                <w:szCs w:val="18"/>
              </w:rPr>
            </w:pPr>
            <w:r w:rsidRPr="0018386D">
              <w:rPr>
                <w:rFonts w:cs="Calibri"/>
                <w:color w:val="000000"/>
                <w:szCs w:val="18"/>
              </w:rPr>
              <w:t>0.00</w:t>
            </w:r>
            <w:r w:rsidR="00057494" w:rsidRPr="0018386D">
              <w:rPr>
                <w:rFonts w:cs="Calibri"/>
                <w:color w:val="000000"/>
                <w:szCs w:val="18"/>
              </w:rPr>
              <w:t>03</w:t>
            </w:r>
          </w:p>
        </w:tc>
        <w:tc>
          <w:tcPr>
            <w:tcW w:w="1279" w:type="dxa"/>
            <w:noWrap/>
          </w:tcPr>
          <w:p w14:paraId="0F0BCC44" w14:textId="5935B837" w:rsidR="00822297" w:rsidRPr="0018386D" w:rsidRDefault="00AA76C9" w:rsidP="00DD3106">
            <w:pPr>
              <w:pStyle w:val="TableText"/>
              <w:spacing w:before="40" w:after="40"/>
              <w:rPr>
                <w:rFonts w:cs="Calibri"/>
                <w:szCs w:val="18"/>
              </w:rPr>
            </w:pPr>
            <w:r w:rsidRPr="0018386D">
              <w:rPr>
                <w:rFonts w:cs="Calibri"/>
                <w:color w:val="000000"/>
                <w:szCs w:val="18"/>
              </w:rPr>
              <w:t>0.000</w:t>
            </w:r>
            <w:r w:rsidR="00057494" w:rsidRPr="0018386D">
              <w:rPr>
                <w:rFonts w:cs="Calibri"/>
                <w:color w:val="000000"/>
                <w:szCs w:val="18"/>
              </w:rPr>
              <w:t>03</w:t>
            </w:r>
          </w:p>
        </w:tc>
        <w:tc>
          <w:tcPr>
            <w:tcW w:w="1251" w:type="dxa"/>
          </w:tcPr>
          <w:p w14:paraId="52A7FBC2" w14:textId="41CAA0B3" w:rsidR="00822297" w:rsidRPr="0018386D" w:rsidRDefault="00AC2653" w:rsidP="00DD3106">
            <w:pPr>
              <w:pStyle w:val="TableText"/>
              <w:spacing w:before="40" w:after="40"/>
              <w:rPr>
                <w:rFonts w:cs="Calibri"/>
                <w:szCs w:val="18"/>
              </w:rPr>
            </w:pPr>
            <w:r w:rsidRPr="0018386D">
              <w:rPr>
                <w:rFonts w:cs="Calibri"/>
                <w:szCs w:val="18"/>
              </w:rPr>
              <w:t xml:space="preserve">20 W </w:t>
            </w:r>
            <w:r w:rsidR="00822297" w:rsidRPr="0018386D">
              <w:rPr>
                <w:rFonts w:cs="Calibri"/>
                <w:szCs w:val="18"/>
              </w:rPr>
              <w:t>8 hrs per day</w:t>
            </w:r>
          </w:p>
        </w:tc>
      </w:tr>
      <w:tr w:rsidR="00321EA8" w:rsidRPr="0018386D" w14:paraId="69139B16" w14:textId="77777777" w:rsidTr="005B6A65">
        <w:tc>
          <w:tcPr>
            <w:tcW w:w="1196" w:type="dxa"/>
          </w:tcPr>
          <w:p w14:paraId="61F63F71" w14:textId="1BEF3892" w:rsidR="00822297" w:rsidRPr="0018386D" w:rsidRDefault="00822297" w:rsidP="00DD3106">
            <w:pPr>
              <w:pStyle w:val="TableText"/>
              <w:spacing w:before="40" w:after="40"/>
              <w:rPr>
                <w:rFonts w:cs="Calibri"/>
                <w:szCs w:val="18"/>
              </w:rPr>
            </w:pPr>
            <w:r w:rsidRPr="0018386D">
              <w:rPr>
                <w:rFonts w:cs="Calibri"/>
                <w:szCs w:val="18"/>
              </w:rPr>
              <w:t xml:space="preserve">Laptop </w:t>
            </w:r>
          </w:p>
        </w:tc>
        <w:tc>
          <w:tcPr>
            <w:tcW w:w="1252" w:type="dxa"/>
          </w:tcPr>
          <w:p w14:paraId="3EECB089" w14:textId="5F7BF701" w:rsidR="00822297" w:rsidRPr="0018386D" w:rsidRDefault="004E3C06" w:rsidP="00DD3106">
            <w:pPr>
              <w:pStyle w:val="TableText"/>
              <w:spacing w:before="40" w:after="40"/>
              <w:rPr>
                <w:rFonts w:cs="Calibri"/>
                <w:szCs w:val="18"/>
              </w:rPr>
            </w:pPr>
            <w:r w:rsidRPr="0018386D">
              <w:rPr>
                <w:rFonts w:cs="Calibri"/>
                <w:szCs w:val="18"/>
              </w:rPr>
              <w:t>E</w:t>
            </w:r>
            <w:r w:rsidR="002E770A" w:rsidRPr="0018386D">
              <w:rPr>
                <w:rFonts w:cs="Calibri"/>
                <w:szCs w:val="18"/>
              </w:rPr>
              <w:t>mployee days</w:t>
            </w:r>
          </w:p>
        </w:tc>
        <w:tc>
          <w:tcPr>
            <w:tcW w:w="967" w:type="dxa"/>
            <w:shd w:val="clear" w:color="auto" w:fill="D2DDE1"/>
            <w:noWrap/>
          </w:tcPr>
          <w:p w14:paraId="193D537C" w14:textId="2434EE05" w:rsidR="00822297" w:rsidRPr="0018386D" w:rsidRDefault="00AA76C9" w:rsidP="00DD3106">
            <w:pPr>
              <w:pStyle w:val="TableText"/>
              <w:spacing w:before="40" w:after="40"/>
              <w:rPr>
                <w:rFonts w:cs="Calibri"/>
                <w:szCs w:val="18"/>
              </w:rPr>
            </w:pPr>
            <w:r w:rsidRPr="0018386D">
              <w:rPr>
                <w:rFonts w:cs="Calibri"/>
                <w:color w:val="000000"/>
                <w:szCs w:val="18"/>
              </w:rPr>
              <w:t>0.0</w:t>
            </w:r>
            <w:r w:rsidR="00057494" w:rsidRPr="0018386D">
              <w:rPr>
                <w:rFonts w:cs="Calibri"/>
                <w:color w:val="000000"/>
                <w:szCs w:val="18"/>
              </w:rPr>
              <w:t>33</w:t>
            </w:r>
          </w:p>
        </w:tc>
        <w:tc>
          <w:tcPr>
            <w:tcW w:w="1280" w:type="dxa"/>
            <w:noWrap/>
          </w:tcPr>
          <w:p w14:paraId="60B87C1C" w14:textId="133CD8D8" w:rsidR="00822297" w:rsidRPr="0018386D" w:rsidRDefault="00AA76C9" w:rsidP="00DD3106">
            <w:pPr>
              <w:pStyle w:val="TableText"/>
              <w:spacing w:before="40" w:after="40"/>
              <w:rPr>
                <w:rFonts w:cs="Calibri"/>
                <w:szCs w:val="18"/>
              </w:rPr>
            </w:pPr>
            <w:r w:rsidRPr="0018386D">
              <w:rPr>
                <w:rFonts w:cs="Calibri"/>
                <w:color w:val="000000"/>
                <w:szCs w:val="18"/>
              </w:rPr>
              <w:t>0.0</w:t>
            </w:r>
            <w:r w:rsidR="00057494" w:rsidRPr="0018386D">
              <w:rPr>
                <w:rFonts w:cs="Calibri"/>
                <w:color w:val="000000"/>
                <w:szCs w:val="18"/>
              </w:rPr>
              <w:t>322</w:t>
            </w:r>
          </w:p>
        </w:tc>
        <w:tc>
          <w:tcPr>
            <w:tcW w:w="1280" w:type="dxa"/>
            <w:noWrap/>
          </w:tcPr>
          <w:p w14:paraId="207E23A1" w14:textId="61897C9E" w:rsidR="00822297" w:rsidRPr="0018386D" w:rsidRDefault="00AA76C9" w:rsidP="00DD3106">
            <w:pPr>
              <w:pStyle w:val="TableText"/>
              <w:spacing w:before="40" w:after="40"/>
              <w:rPr>
                <w:rFonts w:cs="Calibri"/>
                <w:szCs w:val="18"/>
              </w:rPr>
            </w:pPr>
            <w:r w:rsidRPr="0018386D">
              <w:rPr>
                <w:rFonts w:cs="Calibri"/>
                <w:color w:val="000000"/>
                <w:szCs w:val="18"/>
              </w:rPr>
              <w:t>0.00</w:t>
            </w:r>
            <w:r w:rsidR="00057494" w:rsidRPr="0018386D">
              <w:rPr>
                <w:rFonts w:cs="Calibri"/>
                <w:color w:val="000000"/>
                <w:szCs w:val="18"/>
              </w:rPr>
              <w:t>09</w:t>
            </w:r>
          </w:p>
        </w:tc>
        <w:tc>
          <w:tcPr>
            <w:tcW w:w="1279" w:type="dxa"/>
            <w:noWrap/>
          </w:tcPr>
          <w:p w14:paraId="222988B8" w14:textId="0F548A45" w:rsidR="00822297" w:rsidRPr="0018386D" w:rsidRDefault="00AA76C9" w:rsidP="00DD3106">
            <w:pPr>
              <w:pStyle w:val="TableText"/>
              <w:spacing w:before="40" w:after="40"/>
              <w:rPr>
                <w:rFonts w:cs="Calibri"/>
                <w:szCs w:val="18"/>
              </w:rPr>
            </w:pPr>
            <w:r w:rsidRPr="0018386D">
              <w:rPr>
                <w:rFonts w:cs="Calibri"/>
                <w:color w:val="000000"/>
                <w:szCs w:val="18"/>
              </w:rPr>
              <w:t>0.000</w:t>
            </w:r>
            <w:r w:rsidR="00057494" w:rsidRPr="0018386D">
              <w:rPr>
                <w:rFonts w:cs="Calibri"/>
                <w:color w:val="000000"/>
                <w:szCs w:val="18"/>
              </w:rPr>
              <w:t>1</w:t>
            </w:r>
          </w:p>
        </w:tc>
        <w:tc>
          <w:tcPr>
            <w:tcW w:w="1251" w:type="dxa"/>
          </w:tcPr>
          <w:p w14:paraId="2E6EBB49" w14:textId="7856430D" w:rsidR="00822297" w:rsidRPr="0018386D" w:rsidRDefault="002851C0" w:rsidP="00DD3106">
            <w:pPr>
              <w:pStyle w:val="TableText"/>
              <w:spacing w:before="40" w:after="40"/>
              <w:rPr>
                <w:rFonts w:cs="Calibri"/>
                <w:szCs w:val="18"/>
              </w:rPr>
            </w:pPr>
            <w:r w:rsidRPr="0018386D">
              <w:rPr>
                <w:rFonts w:cs="Calibri"/>
                <w:szCs w:val="18"/>
              </w:rPr>
              <w:t xml:space="preserve">50 W </w:t>
            </w:r>
            <w:r w:rsidR="00822297" w:rsidRPr="0018386D">
              <w:rPr>
                <w:rFonts w:cs="Calibri"/>
                <w:szCs w:val="18"/>
              </w:rPr>
              <w:t>8 hrs per day</w:t>
            </w:r>
          </w:p>
        </w:tc>
      </w:tr>
      <w:tr w:rsidR="00321EA8" w:rsidRPr="0018386D" w14:paraId="4A3950F6" w14:textId="77777777" w:rsidTr="005B6A65">
        <w:tc>
          <w:tcPr>
            <w:tcW w:w="1196" w:type="dxa"/>
          </w:tcPr>
          <w:p w14:paraId="30318458" w14:textId="07216E92" w:rsidR="00822297" w:rsidRPr="0018386D" w:rsidRDefault="00822297" w:rsidP="00DD3106">
            <w:pPr>
              <w:pStyle w:val="TableText"/>
              <w:spacing w:before="40" w:after="40"/>
              <w:rPr>
                <w:rFonts w:cs="Calibri"/>
                <w:szCs w:val="18"/>
              </w:rPr>
            </w:pPr>
            <w:r w:rsidRPr="0018386D">
              <w:rPr>
                <w:rFonts w:cs="Calibri"/>
                <w:szCs w:val="18"/>
              </w:rPr>
              <w:t xml:space="preserve">Light </w:t>
            </w:r>
            <w:r w:rsidR="004E3C06" w:rsidRPr="0018386D">
              <w:rPr>
                <w:rFonts w:cs="Calibri"/>
                <w:szCs w:val="18"/>
              </w:rPr>
              <w:t>u</w:t>
            </w:r>
            <w:r w:rsidRPr="0018386D">
              <w:rPr>
                <w:rFonts w:cs="Calibri"/>
                <w:szCs w:val="18"/>
              </w:rPr>
              <w:t>se</w:t>
            </w:r>
          </w:p>
        </w:tc>
        <w:tc>
          <w:tcPr>
            <w:tcW w:w="1252" w:type="dxa"/>
          </w:tcPr>
          <w:p w14:paraId="76AEE647" w14:textId="70409117" w:rsidR="00822297" w:rsidRPr="0018386D" w:rsidRDefault="004E3C06" w:rsidP="00DD3106">
            <w:pPr>
              <w:pStyle w:val="TableText"/>
              <w:spacing w:before="40" w:after="40"/>
              <w:rPr>
                <w:rFonts w:cs="Calibri"/>
                <w:szCs w:val="18"/>
              </w:rPr>
            </w:pPr>
            <w:r w:rsidRPr="0018386D">
              <w:rPr>
                <w:rFonts w:cs="Calibri"/>
                <w:szCs w:val="18"/>
              </w:rPr>
              <w:t>E</w:t>
            </w:r>
            <w:r w:rsidR="002E770A" w:rsidRPr="0018386D">
              <w:rPr>
                <w:rFonts w:cs="Calibri"/>
                <w:szCs w:val="18"/>
              </w:rPr>
              <w:t>mployee days</w:t>
            </w:r>
          </w:p>
        </w:tc>
        <w:tc>
          <w:tcPr>
            <w:tcW w:w="967" w:type="dxa"/>
            <w:shd w:val="clear" w:color="auto" w:fill="D2DDE1"/>
            <w:noWrap/>
          </w:tcPr>
          <w:p w14:paraId="2EC5287B" w14:textId="53F55C04" w:rsidR="00822297" w:rsidRPr="0018386D" w:rsidRDefault="00AA76C9" w:rsidP="00DD3106">
            <w:pPr>
              <w:pStyle w:val="TableText"/>
              <w:spacing w:before="40" w:after="40"/>
              <w:rPr>
                <w:rFonts w:cs="Calibri"/>
                <w:szCs w:val="18"/>
              </w:rPr>
            </w:pPr>
            <w:r w:rsidRPr="0018386D">
              <w:rPr>
                <w:rFonts w:cs="Calibri"/>
                <w:color w:val="000000"/>
                <w:szCs w:val="18"/>
              </w:rPr>
              <w:t>0.0</w:t>
            </w:r>
            <w:r w:rsidR="00057494" w:rsidRPr="0018386D">
              <w:rPr>
                <w:rFonts w:cs="Calibri"/>
                <w:color w:val="000000"/>
                <w:szCs w:val="18"/>
              </w:rPr>
              <w:t>08</w:t>
            </w:r>
          </w:p>
        </w:tc>
        <w:tc>
          <w:tcPr>
            <w:tcW w:w="1280" w:type="dxa"/>
            <w:noWrap/>
          </w:tcPr>
          <w:p w14:paraId="5CAEC5BB" w14:textId="7325792C" w:rsidR="00822297" w:rsidRPr="0018386D" w:rsidRDefault="00AA76C9" w:rsidP="00DD3106">
            <w:pPr>
              <w:pStyle w:val="TableText"/>
              <w:spacing w:before="40" w:after="40"/>
              <w:rPr>
                <w:rFonts w:cs="Calibri"/>
                <w:szCs w:val="18"/>
              </w:rPr>
            </w:pPr>
            <w:r w:rsidRPr="0018386D">
              <w:rPr>
                <w:rFonts w:cs="Calibri"/>
                <w:color w:val="000000"/>
                <w:szCs w:val="18"/>
              </w:rPr>
              <w:t>0.0</w:t>
            </w:r>
            <w:r w:rsidR="00057494" w:rsidRPr="0018386D">
              <w:rPr>
                <w:rFonts w:cs="Calibri"/>
                <w:color w:val="000000"/>
                <w:szCs w:val="18"/>
              </w:rPr>
              <w:t>077</w:t>
            </w:r>
          </w:p>
        </w:tc>
        <w:tc>
          <w:tcPr>
            <w:tcW w:w="1280" w:type="dxa"/>
            <w:noWrap/>
          </w:tcPr>
          <w:p w14:paraId="37E488FA" w14:textId="7BC16683" w:rsidR="00822297" w:rsidRPr="0018386D" w:rsidRDefault="00AA76C9" w:rsidP="00DD3106">
            <w:pPr>
              <w:pStyle w:val="TableText"/>
              <w:spacing w:before="40" w:after="40"/>
              <w:rPr>
                <w:rFonts w:cs="Calibri"/>
                <w:szCs w:val="18"/>
              </w:rPr>
            </w:pPr>
            <w:r w:rsidRPr="0018386D">
              <w:rPr>
                <w:rFonts w:cs="Calibri"/>
                <w:color w:val="000000"/>
                <w:szCs w:val="18"/>
              </w:rPr>
              <w:t>0.000</w:t>
            </w:r>
            <w:r w:rsidR="00C14142" w:rsidRPr="0018386D">
              <w:rPr>
                <w:rFonts w:cs="Calibri"/>
                <w:color w:val="000000"/>
                <w:szCs w:val="18"/>
              </w:rPr>
              <w:t>2</w:t>
            </w:r>
          </w:p>
        </w:tc>
        <w:tc>
          <w:tcPr>
            <w:tcW w:w="1279" w:type="dxa"/>
            <w:noWrap/>
          </w:tcPr>
          <w:p w14:paraId="5567A3D4" w14:textId="3A04E177" w:rsidR="00822297" w:rsidRPr="0018386D" w:rsidRDefault="00AA76C9" w:rsidP="00DD3106">
            <w:pPr>
              <w:pStyle w:val="TableText"/>
              <w:spacing w:before="40" w:after="40"/>
              <w:rPr>
                <w:rFonts w:cs="Calibri"/>
                <w:szCs w:val="18"/>
              </w:rPr>
            </w:pPr>
            <w:r w:rsidRPr="0018386D">
              <w:rPr>
                <w:rFonts w:cs="Calibri"/>
                <w:color w:val="000000"/>
                <w:szCs w:val="18"/>
              </w:rPr>
              <w:t>0.000</w:t>
            </w:r>
            <w:r w:rsidR="00C14142" w:rsidRPr="0018386D">
              <w:rPr>
                <w:rFonts w:cs="Calibri"/>
                <w:color w:val="000000"/>
                <w:szCs w:val="18"/>
              </w:rPr>
              <w:t>02</w:t>
            </w:r>
          </w:p>
        </w:tc>
        <w:tc>
          <w:tcPr>
            <w:tcW w:w="1251" w:type="dxa"/>
          </w:tcPr>
          <w:p w14:paraId="0404E106" w14:textId="77777777" w:rsidR="00822297" w:rsidRPr="0018386D" w:rsidRDefault="00822297" w:rsidP="00DD3106">
            <w:pPr>
              <w:pStyle w:val="TableText"/>
              <w:spacing w:before="40" w:after="40"/>
              <w:rPr>
                <w:rFonts w:cs="Calibri"/>
                <w:szCs w:val="18"/>
              </w:rPr>
            </w:pPr>
            <w:r w:rsidRPr="0018386D">
              <w:rPr>
                <w:rFonts w:cs="Calibri"/>
                <w:szCs w:val="18"/>
              </w:rPr>
              <w:t>12 W 8 hrs per day</w:t>
            </w:r>
          </w:p>
        </w:tc>
      </w:tr>
      <w:tr w:rsidR="005B6A65" w:rsidRPr="0018386D" w14:paraId="2D8441A8" w14:textId="77777777">
        <w:tc>
          <w:tcPr>
            <w:tcW w:w="8505" w:type="dxa"/>
            <w:gridSpan w:val="7"/>
            <w:shd w:val="clear" w:color="auto" w:fill="D2DDE1"/>
          </w:tcPr>
          <w:p w14:paraId="0D5914EB" w14:textId="7E7846A0" w:rsidR="005B6A65" w:rsidRPr="0018386D" w:rsidRDefault="005B6A65" w:rsidP="00DD3106">
            <w:pPr>
              <w:pStyle w:val="TableText"/>
              <w:spacing w:before="40" w:after="40"/>
              <w:rPr>
                <w:rFonts w:cs="Calibri"/>
                <w:szCs w:val="18"/>
              </w:rPr>
            </w:pPr>
            <w:r w:rsidRPr="0018386D">
              <w:rPr>
                <w:rFonts w:cs="Calibri"/>
                <w:b/>
                <w:bCs/>
                <w:szCs w:val="18"/>
              </w:rPr>
              <w:t>Heating</w:t>
            </w:r>
          </w:p>
        </w:tc>
      </w:tr>
      <w:tr w:rsidR="00321EA8" w:rsidRPr="0018386D" w14:paraId="7188B093" w14:textId="77777777" w:rsidTr="005B6A65">
        <w:tc>
          <w:tcPr>
            <w:tcW w:w="1196" w:type="dxa"/>
          </w:tcPr>
          <w:p w14:paraId="13E3C689" w14:textId="4C40EF97" w:rsidR="00822297" w:rsidRPr="0018386D" w:rsidRDefault="00822297" w:rsidP="00DD3106">
            <w:pPr>
              <w:pStyle w:val="TableText"/>
              <w:spacing w:before="40" w:after="40"/>
              <w:rPr>
                <w:rFonts w:cs="Calibri"/>
                <w:szCs w:val="18"/>
              </w:rPr>
            </w:pPr>
            <w:r w:rsidRPr="0018386D">
              <w:rPr>
                <w:rFonts w:cs="Calibri"/>
                <w:szCs w:val="18"/>
              </w:rPr>
              <w:t xml:space="preserve">Heat pump </w:t>
            </w:r>
          </w:p>
        </w:tc>
        <w:tc>
          <w:tcPr>
            <w:tcW w:w="1252" w:type="dxa"/>
          </w:tcPr>
          <w:p w14:paraId="24442F17" w14:textId="5EDCD192" w:rsidR="00822297" w:rsidRPr="0018386D" w:rsidRDefault="004E3C06" w:rsidP="00DD3106">
            <w:pPr>
              <w:pStyle w:val="TableText"/>
              <w:spacing w:before="40" w:after="40"/>
              <w:rPr>
                <w:rFonts w:cs="Calibri"/>
                <w:szCs w:val="18"/>
              </w:rPr>
            </w:pPr>
            <w:r w:rsidRPr="0018386D">
              <w:rPr>
                <w:rFonts w:cs="Calibri"/>
                <w:szCs w:val="18"/>
              </w:rPr>
              <w:t>E</w:t>
            </w:r>
            <w:r w:rsidR="002E770A" w:rsidRPr="0018386D">
              <w:rPr>
                <w:rFonts w:cs="Calibri"/>
                <w:szCs w:val="18"/>
              </w:rPr>
              <w:t>mployee days</w:t>
            </w:r>
          </w:p>
        </w:tc>
        <w:tc>
          <w:tcPr>
            <w:tcW w:w="967" w:type="dxa"/>
            <w:shd w:val="clear" w:color="auto" w:fill="D2DDE1"/>
            <w:noWrap/>
          </w:tcPr>
          <w:p w14:paraId="66CF5D78" w14:textId="3E9CA15D" w:rsidR="00822297" w:rsidRPr="0018386D" w:rsidRDefault="00AA76C9" w:rsidP="00DD3106">
            <w:pPr>
              <w:pStyle w:val="TableText"/>
              <w:spacing w:before="40" w:after="40"/>
              <w:rPr>
                <w:rFonts w:cs="Calibri"/>
                <w:szCs w:val="18"/>
              </w:rPr>
            </w:pPr>
            <w:r w:rsidRPr="0018386D">
              <w:rPr>
                <w:rFonts w:cs="Calibri"/>
                <w:color w:val="000000"/>
                <w:szCs w:val="18"/>
              </w:rPr>
              <w:t>0.</w:t>
            </w:r>
            <w:r w:rsidR="00C14142" w:rsidRPr="0018386D">
              <w:rPr>
                <w:rFonts w:cs="Calibri"/>
                <w:color w:val="000000"/>
                <w:szCs w:val="18"/>
              </w:rPr>
              <w:t>248</w:t>
            </w:r>
          </w:p>
        </w:tc>
        <w:tc>
          <w:tcPr>
            <w:tcW w:w="1280" w:type="dxa"/>
            <w:noWrap/>
          </w:tcPr>
          <w:p w14:paraId="3C41B5D0" w14:textId="183AB0D8" w:rsidR="00822297" w:rsidRPr="0018386D" w:rsidRDefault="00AA76C9" w:rsidP="00DD3106">
            <w:pPr>
              <w:pStyle w:val="TableText"/>
              <w:spacing w:before="40" w:after="40"/>
              <w:rPr>
                <w:rFonts w:cs="Calibri"/>
                <w:szCs w:val="18"/>
              </w:rPr>
            </w:pPr>
            <w:r w:rsidRPr="0018386D">
              <w:rPr>
                <w:rFonts w:cs="Calibri"/>
                <w:color w:val="000000"/>
                <w:szCs w:val="18"/>
              </w:rPr>
              <w:t>0.</w:t>
            </w:r>
            <w:r w:rsidR="00C14142" w:rsidRPr="0018386D">
              <w:rPr>
                <w:rFonts w:cs="Calibri"/>
                <w:color w:val="000000"/>
                <w:szCs w:val="18"/>
              </w:rPr>
              <w:t>241</w:t>
            </w:r>
          </w:p>
        </w:tc>
        <w:tc>
          <w:tcPr>
            <w:tcW w:w="1280" w:type="dxa"/>
            <w:noWrap/>
          </w:tcPr>
          <w:p w14:paraId="3FE8B1A6" w14:textId="6E776428" w:rsidR="00822297" w:rsidRPr="0018386D" w:rsidRDefault="00AA76C9" w:rsidP="00DD3106">
            <w:pPr>
              <w:pStyle w:val="TableText"/>
              <w:spacing w:before="40" w:after="40"/>
              <w:rPr>
                <w:rFonts w:cs="Calibri"/>
                <w:szCs w:val="18"/>
              </w:rPr>
            </w:pPr>
            <w:r w:rsidRPr="0018386D">
              <w:rPr>
                <w:rFonts w:cs="Calibri"/>
                <w:color w:val="000000"/>
                <w:szCs w:val="18"/>
              </w:rPr>
              <w:t>0.0</w:t>
            </w:r>
            <w:r w:rsidR="00C14142" w:rsidRPr="0018386D">
              <w:rPr>
                <w:rFonts w:cs="Calibri"/>
                <w:color w:val="000000"/>
                <w:szCs w:val="18"/>
              </w:rPr>
              <w:t>07</w:t>
            </w:r>
          </w:p>
        </w:tc>
        <w:tc>
          <w:tcPr>
            <w:tcW w:w="1279" w:type="dxa"/>
            <w:noWrap/>
          </w:tcPr>
          <w:p w14:paraId="5CF3F2E9" w14:textId="6F299383" w:rsidR="00822297" w:rsidRPr="0018386D" w:rsidRDefault="00AA76C9" w:rsidP="00DD3106">
            <w:pPr>
              <w:pStyle w:val="TableText"/>
              <w:spacing w:before="40" w:after="40"/>
              <w:rPr>
                <w:rFonts w:cs="Calibri"/>
                <w:szCs w:val="18"/>
              </w:rPr>
            </w:pPr>
            <w:r w:rsidRPr="0018386D">
              <w:rPr>
                <w:rFonts w:cs="Calibri"/>
                <w:color w:val="000000"/>
                <w:szCs w:val="18"/>
              </w:rPr>
              <w:t>0.00</w:t>
            </w:r>
            <w:r w:rsidR="00C14142" w:rsidRPr="0018386D">
              <w:rPr>
                <w:rFonts w:cs="Calibri"/>
                <w:color w:val="000000"/>
                <w:szCs w:val="18"/>
              </w:rPr>
              <w:t>05</w:t>
            </w:r>
          </w:p>
        </w:tc>
        <w:tc>
          <w:tcPr>
            <w:tcW w:w="1251" w:type="dxa"/>
          </w:tcPr>
          <w:p w14:paraId="3A0BCB72" w14:textId="507204EE" w:rsidR="00822297" w:rsidRPr="0018386D" w:rsidRDefault="00822297" w:rsidP="00DD3106">
            <w:pPr>
              <w:pStyle w:val="TableText"/>
              <w:spacing w:before="40" w:after="40"/>
              <w:rPr>
                <w:rFonts w:cs="Calibri"/>
                <w:szCs w:val="18"/>
              </w:rPr>
            </w:pPr>
            <w:r w:rsidRPr="0018386D">
              <w:rPr>
                <w:rFonts w:cs="Calibri"/>
                <w:szCs w:val="18"/>
              </w:rPr>
              <w:t>4 kW</w:t>
            </w:r>
            <w:r w:rsidR="002230C6" w:rsidRPr="0018386D">
              <w:rPr>
                <w:rFonts w:cs="Calibri"/>
                <w:szCs w:val="18"/>
              </w:rPr>
              <w:t xml:space="preserve"> capacity</w:t>
            </w:r>
            <w:r w:rsidR="00883ABD" w:rsidRPr="0018386D">
              <w:rPr>
                <w:rFonts w:cs="Calibri"/>
                <w:szCs w:val="18"/>
              </w:rPr>
              <w:t xml:space="preserve">, </w:t>
            </w:r>
            <w:r w:rsidR="00B31A19" w:rsidRPr="0018386D">
              <w:rPr>
                <w:rFonts w:cs="Calibri"/>
                <w:szCs w:val="18"/>
              </w:rPr>
              <w:t>3</w:t>
            </w:r>
            <w:r w:rsidR="00883ABD" w:rsidRPr="0018386D">
              <w:rPr>
                <w:rFonts w:cs="Calibri"/>
                <w:szCs w:val="18"/>
              </w:rPr>
              <w:t xml:space="preserve"> hr</w:t>
            </w:r>
            <w:r w:rsidR="000E495B" w:rsidRPr="0018386D">
              <w:rPr>
                <w:rFonts w:cs="Calibri"/>
                <w:szCs w:val="18"/>
              </w:rPr>
              <w:t>s</w:t>
            </w:r>
            <w:r w:rsidR="00883ABD" w:rsidRPr="0018386D">
              <w:rPr>
                <w:rFonts w:cs="Calibri"/>
                <w:szCs w:val="18"/>
              </w:rPr>
              <w:t xml:space="preserve"> heating per day</w:t>
            </w:r>
            <w:r w:rsidRPr="0018386D" w:rsidDel="00883ABD">
              <w:rPr>
                <w:rFonts w:cs="Calibri"/>
                <w:szCs w:val="18"/>
              </w:rPr>
              <w:t xml:space="preserve"> </w:t>
            </w:r>
            <w:r w:rsidRPr="0018386D">
              <w:rPr>
                <w:rFonts w:cs="Calibri"/>
                <w:szCs w:val="18"/>
              </w:rPr>
              <w:t>50% of households</w:t>
            </w:r>
          </w:p>
        </w:tc>
      </w:tr>
      <w:tr w:rsidR="00321EA8" w:rsidRPr="0018386D" w14:paraId="0E8A7214" w14:textId="77777777" w:rsidTr="005B6A65">
        <w:tc>
          <w:tcPr>
            <w:tcW w:w="1196" w:type="dxa"/>
          </w:tcPr>
          <w:p w14:paraId="23EAE147" w14:textId="6DABA9D3" w:rsidR="00A60F57" w:rsidRPr="0018386D" w:rsidRDefault="00A60F57" w:rsidP="00DD3106">
            <w:pPr>
              <w:pStyle w:val="TableText"/>
              <w:spacing w:before="40" w:after="40"/>
              <w:rPr>
                <w:rFonts w:cs="Calibri"/>
                <w:b/>
                <w:szCs w:val="18"/>
              </w:rPr>
            </w:pPr>
            <w:r w:rsidRPr="0018386D">
              <w:rPr>
                <w:rFonts w:cs="Calibri"/>
                <w:szCs w:val="18"/>
              </w:rPr>
              <w:t xml:space="preserve">Electric </w:t>
            </w:r>
            <w:r w:rsidR="004E3C06" w:rsidRPr="0018386D">
              <w:rPr>
                <w:rFonts w:cs="Calibri"/>
                <w:szCs w:val="18"/>
              </w:rPr>
              <w:t>h</w:t>
            </w:r>
            <w:r w:rsidRPr="0018386D">
              <w:rPr>
                <w:rFonts w:cs="Calibri"/>
                <w:szCs w:val="18"/>
              </w:rPr>
              <w:t xml:space="preserve">eater </w:t>
            </w:r>
          </w:p>
        </w:tc>
        <w:tc>
          <w:tcPr>
            <w:tcW w:w="1252" w:type="dxa"/>
          </w:tcPr>
          <w:p w14:paraId="04D12D99" w14:textId="03CC0F47" w:rsidR="00A60F57" w:rsidRPr="0018386D" w:rsidRDefault="004E3C06" w:rsidP="00DD3106">
            <w:pPr>
              <w:pStyle w:val="TableText"/>
              <w:spacing w:before="40" w:after="40"/>
              <w:rPr>
                <w:rFonts w:cs="Calibri"/>
                <w:szCs w:val="18"/>
              </w:rPr>
            </w:pPr>
            <w:r w:rsidRPr="0018386D">
              <w:rPr>
                <w:rFonts w:cs="Calibri"/>
                <w:szCs w:val="18"/>
              </w:rPr>
              <w:t>E</w:t>
            </w:r>
            <w:r w:rsidR="00A60F57" w:rsidRPr="0018386D">
              <w:rPr>
                <w:rFonts w:cs="Calibri"/>
                <w:szCs w:val="18"/>
              </w:rPr>
              <w:t>mployee days</w:t>
            </w:r>
          </w:p>
        </w:tc>
        <w:tc>
          <w:tcPr>
            <w:tcW w:w="967" w:type="dxa"/>
            <w:shd w:val="clear" w:color="auto" w:fill="D2DDE1"/>
            <w:noWrap/>
          </w:tcPr>
          <w:p w14:paraId="67CF0106" w14:textId="3DD93B3A" w:rsidR="00A60F57" w:rsidRPr="0018386D" w:rsidRDefault="00A60F57" w:rsidP="00DD3106">
            <w:pPr>
              <w:pStyle w:val="TableText"/>
              <w:spacing w:before="40" w:after="40"/>
              <w:rPr>
                <w:rFonts w:cs="Calibri"/>
                <w:szCs w:val="18"/>
              </w:rPr>
            </w:pPr>
            <w:r w:rsidRPr="0018386D">
              <w:rPr>
                <w:rFonts w:cs="Calibri"/>
                <w:color w:val="000000"/>
                <w:szCs w:val="18"/>
              </w:rPr>
              <w:t>0.</w:t>
            </w:r>
            <w:r w:rsidR="00C14142" w:rsidRPr="0018386D">
              <w:rPr>
                <w:rFonts w:cs="Calibri"/>
                <w:color w:val="000000"/>
                <w:szCs w:val="18"/>
              </w:rPr>
              <w:t>497</w:t>
            </w:r>
          </w:p>
        </w:tc>
        <w:tc>
          <w:tcPr>
            <w:tcW w:w="1280" w:type="dxa"/>
            <w:noWrap/>
          </w:tcPr>
          <w:p w14:paraId="0B673719" w14:textId="7A31E344" w:rsidR="00A60F57" w:rsidRPr="0018386D" w:rsidRDefault="00A60F57" w:rsidP="00DD3106">
            <w:pPr>
              <w:pStyle w:val="TableText"/>
              <w:spacing w:before="40" w:after="40"/>
              <w:rPr>
                <w:rFonts w:cs="Calibri"/>
                <w:szCs w:val="18"/>
              </w:rPr>
            </w:pPr>
            <w:r w:rsidRPr="0018386D">
              <w:rPr>
                <w:rFonts w:cs="Calibri"/>
                <w:color w:val="000000"/>
                <w:szCs w:val="18"/>
              </w:rPr>
              <w:t>0.</w:t>
            </w:r>
            <w:r w:rsidR="00C14142" w:rsidRPr="0018386D">
              <w:rPr>
                <w:rFonts w:cs="Calibri"/>
                <w:color w:val="000000"/>
                <w:szCs w:val="18"/>
              </w:rPr>
              <w:t>483</w:t>
            </w:r>
          </w:p>
        </w:tc>
        <w:tc>
          <w:tcPr>
            <w:tcW w:w="1280" w:type="dxa"/>
            <w:noWrap/>
          </w:tcPr>
          <w:p w14:paraId="11B96D7C" w14:textId="226F56F0" w:rsidR="00A60F57" w:rsidRPr="0018386D" w:rsidRDefault="00A60F57" w:rsidP="00DD3106">
            <w:pPr>
              <w:pStyle w:val="TableText"/>
              <w:spacing w:before="40" w:after="40"/>
              <w:rPr>
                <w:rFonts w:cs="Calibri"/>
                <w:szCs w:val="18"/>
              </w:rPr>
            </w:pPr>
            <w:r w:rsidRPr="0018386D">
              <w:rPr>
                <w:rFonts w:cs="Calibri"/>
                <w:color w:val="000000"/>
                <w:szCs w:val="18"/>
              </w:rPr>
              <w:t>0.0</w:t>
            </w:r>
            <w:r w:rsidR="00C14142" w:rsidRPr="0018386D">
              <w:rPr>
                <w:rFonts w:cs="Calibri"/>
                <w:color w:val="000000"/>
                <w:szCs w:val="18"/>
              </w:rPr>
              <w:t>13</w:t>
            </w:r>
          </w:p>
        </w:tc>
        <w:tc>
          <w:tcPr>
            <w:tcW w:w="1279" w:type="dxa"/>
            <w:noWrap/>
          </w:tcPr>
          <w:p w14:paraId="11A9F8C1" w14:textId="56FD94C5" w:rsidR="00A60F57" w:rsidRPr="0018386D" w:rsidRDefault="00A60F57" w:rsidP="00DD3106">
            <w:pPr>
              <w:pStyle w:val="TableText"/>
              <w:spacing w:before="40" w:after="40"/>
              <w:rPr>
                <w:rFonts w:cs="Calibri"/>
                <w:szCs w:val="18"/>
              </w:rPr>
            </w:pPr>
            <w:r w:rsidRPr="0018386D">
              <w:rPr>
                <w:rFonts w:cs="Calibri"/>
                <w:color w:val="000000"/>
                <w:szCs w:val="18"/>
              </w:rPr>
              <w:t>0.00</w:t>
            </w:r>
            <w:r w:rsidR="00C14142" w:rsidRPr="0018386D">
              <w:rPr>
                <w:rFonts w:cs="Calibri"/>
                <w:color w:val="000000"/>
                <w:szCs w:val="18"/>
              </w:rPr>
              <w:t>11</w:t>
            </w:r>
          </w:p>
        </w:tc>
        <w:tc>
          <w:tcPr>
            <w:tcW w:w="1251" w:type="dxa"/>
          </w:tcPr>
          <w:p w14:paraId="40B8BB43" w14:textId="77777777" w:rsidR="00A60F57" w:rsidRPr="0018386D" w:rsidRDefault="00A60F57" w:rsidP="00DD3106">
            <w:pPr>
              <w:pStyle w:val="TableText"/>
              <w:spacing w:before="40" w:after="40"/>
              <w:rPr>
                <w:rFonts w:cs="Calibri"/>
                <w:szCs w:val="18"/>
              </w:rPr>
            </w:pPr>
            <w:r w:rsidRPr="0018386D">
              <w:rPr>
                <w:rFonts w:cs="Calibri"/>
                <w:szCs w:val="18"/>
              </w:rPr>
              <w:t xml:space="preserve">2 kW </w:t>
            </w:r>
          </w:p>
          <w:p w14:paraId="09F4C732" w14:textId="20B533B1" w:rsidR="00A60F57" w:rsidRPr="0018386D" w:rsidRDefault="00A60F57" w:rsidP="00DD3106">
            <w:pPr>
              <w:pStyle w:val="TableText"/>
              <w:spacing w:before="40" w:after="40"/>
              <w:rPr>
                <w:rFonts w:cs="Calibri"/>
                <w:szCs w:val="18"/>
              </w:rPr>
            </w:pPr>
            <w:r w:rsidRPr="0018386D">
              <w:rPr>
                <w:rFonts w:cs="Calibri"/>
                <w:szCs w:val="18"/>
              </w:rPr>
              <w:t>3</w:t>
            </w:r>
            <w:r w:rsidR="000E495B" w:rsidRPr="0018386D">
              <w:rPr>
                <w:rFonts w:cs="Calibri"/>
                <w:szCs w:val="18"/>
              </w:rPr>
              <w:t xml:space="preserve"> </w:t>
            </w:r>
            <w:r w:rsidRPr="0018386D">
              <w:rPr>
                <w:rFonts w:cs="Calibri"/>
                <w:szCs w:val="18"/>
              </w:rPr>
              <w:t>hrs per day 50% of households</w:t>
            </w:r>
          </w:p>
        </w:tc>
      </w:tr>
    </w:tbl>
    <w:p w14:paraId="2305E900" w14:textId="77777777" w:rsidR="003D3259" w:rsidRPr="0018386D" w:rsidRDefault="003D3259" w:rsidP="00DD3106">
      <w:pPr>
        <w:pStyle w:val="Heading3"/>
        <w:numPr>
          <w:ilvl w:val="0"/>
          <w:numId w:val="13"/>
        </w:numPr>
        <w:spacing w:before="440"/>
      </w:pPr>
      <w:r w:rsidRPr="0018386D">
        <w:t>Employee commuting</w:t>
      </w:r>
    </w:p>
    <w:p w14:paraId="34C865BD" w14:textId="52832232" w:rsidR="003D3259" w:rsidRPr="0018386D" w:rsidRDefault="003D3259" w:rsidP="00DD3106">
      <w:pPr>
        <w:pStyle w:val="BodyText"/>
      </w:pPr>
      <w:r w:rsidRPr="0018386D">
        <w:t xml:space="preserve">To account for the emissions produced by employees commuting between their homes and their worksites, refer to </w:t>
      </w:r>
      <w:r w:rsidR="00FE624E" w:rsidRPr="0018386D">
        <w:t>t</w:t>
      </w:r>
      <w:r w:rsidRPr="0018386D">
        <w:t xml:space="preserve">ravel </w:t>
      </w:r>
      <w:r w:rsidR="00FE624E" w:rsidRPr="0018386D">
        <w:t>e</w:t>
      </w:r>
      <w:r w:rsidRPr="0018386D">
        <w:t xml:space="preserve">missions in </w:t>
      </w:r>
      <w:hyperlink w:anchor="_Indirect_business_related_1">
        <w:r w:rsidRPr="0018386D">
          <w:rPr>
            <w:rStyle w:val="Hyperlink"/>
          </w:rPr>
          <w:t>section 7.</w:t>
        </w:r>
      </w:hyperlink>
      <w:r w:rsidRPr="0018386D">
        <w:t xml:space="preserve"> </w:t>
      </w:r>
    </w:p>
    <w:p w14:paraId="06F3DB1B" w14:textId="225608B0" w:rsidR="003D3259" w:rsidRPr="0018386D" w:rsidRDefault="003D3259" w:rsidP="00DD3106">
      <w:pPr>
        <w:pStyle w:val="Heading3"/>
        <w:numPr>
          <w:ilvl w:val="0"/>
          <w:numId w:val="13"/>
        </w:numPr>
        <w:jc w:val="both"/>
      </w:pPr>
      <w:r w:rsidRPr="0018386D">
        <w:t xml:space="preserve">The </w:t>
      </w:r>
      <w:r w:rsidR="00452A47" w:rsidRPr="0018386D">
        <w:t xml:space="preserve">emissions </w:t>
      </w:r>
      <w:r w:rsidRPr="0018386D">
        <w:t xml:space="preserve">benefits of working from </w:t>
      </w:r>
      <w:proofErr w:type="gramStart"/>
      <w:r w:rsidRPr="0018386D">
        <w:t>home</w:t>
      </w:r>
      <w:proofErr w:type="gramEnd"/>
      <w:r w:rsidRPr="0018386D">
        <w:t xml:space="preserve"> </w:t>
      </w:r>
    </w:p>
    <w:p w14:paraId="54294D4F" w14:textId="77777777" w:rsidR="003D3259" w:rsidRPr="0018386D" w:rsidRDefault="003D3259" w:rsidP="00DD3106">
      <w:pPr>
        <w:pStyle w:val="BodyText"/>
      </w:pPr>
      <w:r w:rsidRPr="0018386D">
        <w:t xml:space="preserve">There is ongoing discussion and research on whether working from home reduces an employee’s carbon footprint. </w:t>
      </w:r>
    </w:p>
    <w:p w14:paraId="4F87B9DF" w14:textId="2E428AC4" w:rsidR="003D3259" w:rsidRPr="0018386D" w:rsidRDefault="003D3259" w:rsidP="00DD3106">
      <w:pPr>
        <w:pStyle w:val="BodyText"/>
      </w:pPr>
      <w:r w:rsidRPr="0018386D">
        <w:t>The carbon benefits of working from home will depend on, among other things, whether avoided emissions are seen from employee commuting. For example, an employee who normally commutes by car for a return trip of 40</w:t>
      </w:r>
      <w:r w:rsidR="00E06F14" w:rsidRPr="0018386D">
        <w:t xml:space="preserve"> </w:t>
      </w:r>
      <w:r w:rsidRPr="0018386D">
        <w:t>km will see a decrease in overall emissions from working at home, whereas someone who normally takes the train or drives an EV may see an increase in their overall emissions (the sum of that employee’s emissions from working at home and commuting).</w:t>
      </w:r>
    </w:p>
    <w:p w14:paraId="24F2889D" w14:textId="623A37E6" w:rsidR="003D3259" w:rsidRPr="0018386D" w:rsidRDefault="003D3259" w:rsidP="00DD3106">
      <w:pPr>
        <w:pStyle w:val="BodyText"/>
      </w:pPr>
      <w:r w:rsidRPr="0018386D">
        <w:t>Similarly, through the increased use of collaborative technologies such as video</w:t>
      </w:r>
      <w:r w:rsidR="00115D57" w:rsidRPr="0018386D">
        <w:t xml:space="preserve"> </w:t>
      </w:r>
      <w:r w:rsidRPr="0018386D">
        <w:t xml:space="preserve">conferencing and screen-sharing, there may be less need for certain workers to use company vehicles to visit and meet people in person. This </w:t>
      </w:r>
      <w:r w:rsidR="00C43A1A" w:rsidRPr="0018386D">
        <w:t>would be expected to</w:t>
      </w:r>
      <w:r w:rsidRPr="0018386D">
        <w:t xml:space="preserve"> reduce the organisation’s vehicle fleet emissions </w:t>
      </w:r>
      <w:r w:rsidR="00A27326" w:rsidRPr="0018386D">
        <w:t>and</w:t>
      </w:r>
      <w:r w:rsidR="0099113F" w:rsidRPr="0018386D">
        <w:t>,</w:t>
      </w:r>
      <w:r w:rsidR="00A27326" w:rsidRPr="0018386D">
        <w:t xml:space="preserve"> in combination with</w:t>
      </w:r>
      <w:r w:rsidR="0028179F" w:rsidRPr="0018386D">
        <w:t xml:space="preserve"> </w:t>
      </w:r>
      <w:r w:rsidRPr="0018386D">
        <w:t>working from home</w:t>
      </w:r>
      <w:r w:rsidR="00884D66" w:rsidRPr="0018386D">
        <w:t>,</w:t>
      </w:r>
      <w:r w:rsidRPr="0018386D">
        <w:t xml:space="preserve"> </w:t>
      </w:r>
      <w:r w:rsidR="00144091" w:rsidRPr="0018386D">
        <w:t>reduc</w:t>
      </w:r>
      <w:r w:rsidR="00A27326" w:rsidRPr="0018386D">
        <w:t>es</w:t>
      </w:r>
      <w:r w:rsidRPr="0018386D">
        <w:t xml:space="preserve"> th</w:t>
      </w:r>
      <w:r w:rsidR="00A27326" w:rsidRPr="0018386D">
        <w:t>e</w:t>
      </w:r>
      <w:r w:rsidRPr="0018386D">
        <w:t xml:space="preserve"> employee’s carbon footprint.</w:t>
      </w:r>
    </w:p>
    <w:p w14:paraId="7047237B" w14:textId="074B445D" w:rsidR="00075073" w:rsidRPr="0018386D" w:rsidRDefault="71ACB789" w:rsidP="00DD3106">
      <w:pPr>
        <w:pStyle w:val="Heading3"/>
        <w:numPr>
          <w:ilvl w:val="0"/>
          <w:numId w:val="13"/>
        </w:numPr>
      </w:pPr>
      <w:r w:rsidRPr="0018386D">
        <w:t xml:space="preserve">Assumptions, </w:t>
      </w:r>
      <w:proofErr w:type="gramStart"/>
      <w:r w:rsidRPr="0018386D">
        <w:t>limitations</w:t>
      </w:r>
      <w:proofErr w:type="gramEnd"/>
      <w:r w:rsidRPr="0018386D">
        <w:t xml:space="preserve"> and uncertainties</w:t>
      </w:r>
    </w:p>
    <w:p w14:paraId="74292B0E" w14:textId="082EBDF5" w:rsidR="00075073" w:rsidRPr="0018386D" w:rsidRDefault="00075073" w:rsidP="00DD3106">
      <w:pPr>
        <w:pStyle w:val="BodyText"/>
      </w:pPr>
      <w:r w:rsidRPr="0018386D">
        <w:t>In the absence of accurate data for New Zealand</w:t>
      </w:r>
      <w:r w:rsidR="00491E7B" w:rsidRPr="0018386D">
        <w:t>,</w:t>
      </w:r>
      <w:r w:rsidRPr="0018386D">
        <w:t xml:space="preserve"> </w:t>
      </w:r>
      <w:proofErr w:type="gramStart"/>
      <w:r w:rsidRPr="0018386D">
        <w:t>a number of</w:t>
      </w:r>
      <w:proofErr w:type="gramEnd"/>
      <w:r w:rsidRPr="0018386D">
        <w:t xml:space="preserve"> assumptions have been made to</w:t>
      </w:r>
      <w:r w:rsidR="00522AB7" w:rsidRPr="0018386D">
        <w:t xml:space="preserve"> </w:t>
      </w:r>
      <w:r w:rsidRPr="0018386D">
        <w:t xml:space="preserve">establish </w:t>
      </w:r>
      <w:r w:rsidR="00522AB7" w:rsidRPr="0018386D">
        <w:t xml:space="preserve">a single </w:t>
      </w:r>
      <w:r w:rsidRPr="0018386D">
        <w:t>default working from home emission factor. It is assumed that all staff use a laptop and one monitor, while in some cases desktops or multiple monitors may be used. There will also be variation in the wattage of the laptops being used, due to factors such as size</w:t>
      </w:r>
      <w:r w:rsidR="007D475E" w:rsidRPr="0018386D">
        <w:t> </w:t>
      </w:r>
      <w:r w:rsidRPr="0018386D">
        <w:t xml:space="preserve">and the way it is being used. </w:t>
      </w:r>
    </w:p>
    <w:p w14:paraId="6A659E36" w14:textId="38AEDD25" w:rsidR="00075073" w:rsidRPr="0018386D" w:rsidRDefault="00075073" w:rsidP="00DD3106">
      <w:pPr>
        <w:pStyle w:val="BodyText"/>
        <w:keepLines/>
      </w:pPr>
      <w:r w:rsidRPr="0018386D">
        <w:lastRenderedPageBreak/>
        <w:t xml:space="preserve">Acknowledging the likely high variation in the way New Zealand employees heat their office space, there </w:t>
      </w:r>
      <w:r w:rsidR="00335852" w:rsidRPr="0018386D">
        <w:t>is high uncertainty in</w:t>
      </w:r>
      <w:r w:rsidRPr="0018386D">
        <w:t xml:space="preserve"> this factor. It does not account for situations where </w:t>
      </w:r>
      <w:proofErr w:type="spellStart"/>
      <w:r w:rsidRPr="0018386D">
        <w:t>unzoned</w:t>
      </w:r>
      <w:proofErr w:type="spellEnd"/>
      <w:r w:rsidRPr="0018386D">
        <w:t xml:space="preserve"> central heating is used to heat the office space, for different heater sizes</w:t>
      </w:r>
      <w:r w:rsidR="008A5BB8" w:rsidRPr="0018386D">
        <w:t xml:space="preserve"> or</w:t>
      </w:r>
      <w:r w:rsidRPr="0018386D">
        <w:t xml:space="preserve"> for different heating fuels (</w:t>
      </w:r>
      <w:r w:rsidR="008A5BB8" w:rsidRPr="0018386D">
        <w:t>e</w:t>
      </w:r>
      <w:r w:rsidR="00103E6D" w:rsidRPr="0018386D">
        <w:t>g</w:t>
      </w:r>
      <w:r w:rsidR="008A5BB8" w:rsidRPr="0018386D">
        <w:t xml:space="preserve">, </w:t>
      </w:r>
      <w:r w:rsidRPr="0018386D">
        <w:t>gas</w:t>
      </w:r>
      <w:r w:rsidR="008A5BB8" w:rsidRPr="0018386D">
        <w:t>, solid fuels</w:t>
      </w:r>
      <w:r w:rsidRPr="0018386D">
        <w:t>). Further, the assumed six hour running time may not apply in all cases, with some workspaces being better insulated than others.</w:t>
      </w:r>
      <w:r w:rsidR="00331E21" w:rsidRPr="0018386D">
        <w:t xml:space="preserve"> Future updates to the guidance will explore regional averages for heating type and duration.</w:t>
      </w:r>
    </w:p>
    <w:p w14:paraId="7E90921C" w14:textId="22D3BD95" w:rsidR="00C057AA" w:rsidRPr="0018386D" w:rsidRDefault="00C057AA" w:rsidP="00DD3106">
      <w:pPr>
        <w:pStyle w:val="BodyText"/>
      </w:pPr>
      <w:r w:rsidRPr="0018386D">
        <w:t>The default factor assumes heating is used for five months of the year, which again is not likely to reflect all situations.</w:t>
      </w:r>
    </w:p>
    <w:p w14:paraId="57736DA2" w14:textId="6D72FBAC" w:rsidR="00075073" w:rsidRPr="0018386D" w:rsidRDefault="00075073" w:rsidP="00DD3106">
      <w:pPr>
        <w:pStyle w:val="BodyText"/>
      </w:pPr>
      <w:proofErr w:type="gramStart"/>
      <w:r w:rsidRPr="0018386D">
        <w:t>In light of</w:t>
      </w:r>
      <w:proofErr w:type="gramEnd"/>
      <w:r w:rsidRPr="0018386D">
        <w:t xml:space="preserve"> the above limitations, there is opportunity to improve your quality of data behind your inventory through having </w:t>
      </w:r>
      <w:r w:rsidR="00DC438D" w:rsidRPr="0018386D">
        <w:t>effective</w:t>
      </w:r>
      <w:r w:rsidRPr="0018386D">
        <w:t xml:space="preserve"> data collection, such as the staff survey suggested above. Given working from home is </w:t>
      </w:r>
      <w:r w:rsidR="00022590" w:rsidRPr="0018386D">
        <w:t>now</w:t>
      </w:r>
      <w:r w:rsidRPr="0018386D">
        <w:t xml:space="preserve"> </w:t>
      </w:r>
      <w:r w:rsidR="00DB20EB" w:rsidRPr="0018386D">
        <w:t>i</w:t>
      </w:r>
      <w:r w:rsidRPr="0018386D">
        <w:t xml:space="preserve">ngrained in many New Zealand workplaces, routines have likely developed where many employees are consistently working from home on the same day(s) of the working week. In such cases, it may be relatively easy to ask employees to record which days they work from home, and which of these heating was used. Building on this with </w:t>
      </w:r>
      <w:r w:rsidR="00294EFD" w:rsidRPr="0018386D">
        <w:t>more accurate</w:t>
      </w:r>
      <w:r w:rsidRPr="0018386D">
        <w:t xml:space="preserve"> GHG data on employee commuting</w:t>
      </w:r>
      <w:r w:rsidR="00D95185" w:rsidRPr="0018386D">
        <w:t xml:space="preserve"> (which can be included in </w:t>
      </w:r>
      <w:r w:rsidR="00022590" w:rsidRPr="0018386D">
        <w:t>t</w:t>
      </w:r>
      <w:r w:rsidR="00D95185" w:rsidRPr="0018386D">
        <w:t xml:space="preserve">ravel </w:t>
      </w:r>
      <w:r w:rsidR="000821F1" w:rsidRPr="0018386D">
        <w:t>e</w:t>
      </w:r>
      <w:r w:rsidR="00D95185" w:rsidRPr="0018386D">
        <w:t>missions</w:t>
      </w:r>
      <w:r w:rsidR="002B0427" w:rsidRPr="0018386D">
        <w:t xml:space="preserve"> </w:t>
      </w:r>
      <w:r w:rsidR="000821F1" w:rsidRPr="0018386D">
        <w:t>f</w:t>
      </w:r>
      <w:r w:rsidR="002B0427" w:rsidRPr="0018386D">
        <w:t>actors</w:t>
      </w:r>
      <w:r w:rsidR="00D95185" w:rsidRPr="0018386D">
        <w:t xml:space="preserve">, </w:t>
      </w:r>
      <w:hyperlink w:anchor="_Indirect_business_related_1">
        <w:r w:rsidR="00D95185" w:rsidRPr="0018386D">
          <w:rPr>
            <w:rStyle w:val="Hyperlink"/>
          </w:rPr>
          <w:t>section 7</w:t>
        </w:r>
      </w:hyperlink>
      <w:r w:rsidR="00D95185" w:rsidRPr="0018386D">
        <w:t>)</w:t>
      </w:r>
      <w:r w:rsidRPr="0018386D">
        <w:t xml:space="preserve">, will </w:t>
      </w:r>
      <w:r w:rsidR="00A52478" w:rsidRPr="0018386D">
        <w:t>help you understand</w:t>
      </w:r>
      <w:r w:rsidRPr="0018386D">
        <w:t xml:space="preserve"> whether working from </w:t>
      </w:r>
      <w:r w:rsidR="00F72451" w:rsidRPr="0018386D">
        <w:t xml:space="preserve">home </w:t>
      </w:r>
      <w:r w:rsidRPr="0018386D">
        <w:t>is positively or negatively impacting your carbon footprint.</w:t>
      </w:r>
    </w:p>
    <w:p w14:paraId="38C7E472" w14:textId="348520C4" w:rsidR="00075073" w:rsidRPr="0018386D" w:rsidRDefault="00075073" w:rsidP="00DD3106">
      <w:pPr>
        <w:pStyle w:val="Heading2"/>
        <w:numPr>
          <w:ilvl w:val="1"/>
          <w:numId w:val="8"/>
        </w:numPr>
      </w:pPr>
      <w:bookmarkStart w:id="345" w:name="_Toc140048909"/>
      <w:r w:rsidRPr="0018386D">
        <w:t>Guidance on the use of cloud-based data</w:t>
      </w:r>
      <w:r w:rsidR="007D475E" w:rsidRPr="0018386D">
        <w:t> </w:t>
      </w:r>
      <w:r w:rsidRPr="0018386D">
        <w:t>centres</w:t>
      </w:r>
      <w:bookmarkEnd w:id="345"/>
    </w:p>
    <w:p w14:paraId="6793ACEC" w14:textId="5B683048" w:rsidR="00075073" w:rsidRPr="0018386D" w:rsidRDefault="00075073" w:rsidP="00DD3106">
      <w:pPr>
        <w:pStyle w:val="BodyText"/>
      </w:pPr>
      <w:r w:rsidRPr="0018386D">
        <w:t>Emissions from data centres come under indirect (Scope 3) emissions. These emissions may be</w:t>
      </w:r>
      <w:r w:rsidR="000821F1" w:rsidRPr="0018386D">
        <w:t xml:space="preserve"> </w:t>
      </w:r>
      <w:r w:rsidRPr="0018386D">
        <w:t>significant for any organi</w:t>
      </w:r>
      <w:r w:rsidR="000821F1" w:rsidRPr="0018386D">
        <w:t>s</w:t>
      </w:r>
      <w:r w:rsidRPr="0018386D">
        <w:t>ation that operates with large third</w:t>
      </w:r>
      <w:r w:rsidR="00106952" w:rsidRPr="0018386D">
        <w:t>-</w:t>
      </w:r>
      <w:r w:rsidRPr="0018386D">
        <w:t xml:space="preserve">party IT infrastructure. </w:t>
      </w:r>
    </w:p>
    <w:p w14:paraId="275DCCD3" w14:textId="3073AD7C" w:rsidR="00075073" w:rsidRPr="0018386D" w:rsidRDefault="00075073" w:rsidP="00DD3106">
      <w:pPr>
        <w:pStyle w:val="BodyText"/>
      </w:pPr>
      <w:r w:rsidRPr="0018386D">
        <w:t xml:space="preserve">Due to the diversity and country location of data centres </w:t>
      </w:r>
      <w:r w:rsidR="00A52478" w:rsidRPr="0018386D">
        <w:t>used</w:t>
      </w:r>
      <w:r w:rsidRPr="0018386D">
        <w:t xml:space="preserve"> by organisations in New Zealand it is not possible to produce a single emission factor that would inform users of</w:t>
      </w:r>
      <w:r w:rsidR="00106952" w:rsidRPr="0018386D">
        <w:t xml:space="preserve"> </w:t>
      </w:r>
      <w:r w:rsidRPr="0018386D">
        <w:t>the</w:t>
      </w:r>
      <w:r w:rsidR="00106952" w:rsidRPr="0018386D">
        <w:t xml:space="preserve"> </w:t>
      </w:r>
      <w:r w:rsidRPr="0018386D">
        <w:t>kg</w:t>
      </w:r>
      <w:r w:rsidR="00106952" w:rsidRPr="0018386D">
        <w:t xml:space="preserve"> </w:t>
      </w:r>
      <w:r w:rsidRPr="0018386D">
        <w:t>CO</w:t>
      </w:r>
      <w:r w:rsidRPr="0018386D">
        <w:rPr>
          <w:vertAlign w:val="subscript"/>
        </w:rPr>
        <w:t>2</w:t>
      </w:r>
      <w:r w:rsidR="004217F7" w:rsidRPr="0018386D">
        <w:t>-</w:t>
      </w:r>
      <w:r w:rsidRPr="0018386D">
        <w:t xml:space="preserve">e each gigabyte of data produces. </w:t>
      </w:r>
    </w:p>
    <w:p w14:paraId="5487947E" w14:textId="4CF7EC12" w:rsidR="00075073" w:rsidRPr="0018386D" w:rsidRDefault="00075073" w:rsidP="00DD3106">
      <w:pPr>
        <w:pStyle w:val="BodyText"/>
      </w:pPr>
      <w:r w:rsidRPr="0018386D">
        <w:t>Therefore, organisations seeking to find out what the footprint is of the data centres where their</w:t>
      </w:r>
      <w:r w:rsidR="00106952" w:rsidRPr="0018386D">
        <w:t xml:space="preserve"> ‘</w:t>
      </w:r>
      <w:r w:rsidRPr="0018386D">
        <w:t>cloud</w:t>
      </w:r>
      <w:r w:rsidR="00106952" w:rsidRPr="0018386D">
        <w:t>’</w:t>
      </w:r>
      <w:r w:rsidRPr="0018386D">
        <w:t xml:space="preserve"> is stored should contact the providers of their data centre to request this information. </w:t>
      </w:r>
      <w:r w:rsidR="00607B73" w:rsidRPr="0018386D">
        <w:t>Large d</w:t>
      </w:r>
      <w:r w:rsidRPr="0018386D">
        <w:t xml:space="preserve">ata centre providers such as Google, Microsoft and Amazon </w:t>
      </w:r>
      <w:r w:rsidR="00EC0E0D" w:rsidRPr="0018386D">
        <w:t>are</w:t>
      </w:r>
      <w:r w:rsidRPr="0018386D">
        <w:t xml:space="preserve"> calculating the total emissions from their data centres and </w:t>
      </w:r>
      <w:r w:rsidR="00757D99" w:rsidRPr="0018386D">
        <w:t xml:space="preserve">may </w:t>
      </w:r>
      <w:r w:rsidRPr="0018386D">
        <w:t xml:space="preserve">be able to inform users of the carbon footprint of their usage. </w:t>
      </w:r>
    </w:p>
    <w:p w14:paraId="0CEB29CF" w14:textId="77777777" w:rsidR="00075073" w:rsidRPr="0018386D" w:rsidRDefault="00075073" w:rsidP="00DD3106">
      <w:pPr>
        <w:pStyle w:val="BodyText"/>
      </w:pPr>
      <w:r w:rsidRPr="0018386D">
        <w:br w:type="page"/>
      </w:r>
    </w:p>
    <w:p w14:paraId="5B6A4637" w14:textId="5A8290D6" w:rsidR="00307779" w:rsidRPr="0018386D" w:rsidRDefault="00897CE8" w:rsidP="00DD3106">
      <w:pPr>
        <w:pStyle w:val="Heading1"/>
        <w:numPr>
          <w:ilvl w:val="0"/>
          <w:numId w:val="8"/>
        </w:numPr>
      </w:pPr>
      <w:bookmarkStart w:id="346" w:name="_Indirect_business_related_1"/>
      <w:bookmarkStart w:id="347" w:name="_Travel_emission_factors"/>
      <w:bookmarkStart w:id="348" w:name="_Ref54862802"/>
      <w:bookmarkStart w:id="349" w:name="_Toc140048910"/>
      <w:bookmarkEnd w:id="346"/>
      <w:bookmarkEnd w:id="347"/>
      <w:r w:rsidRPr="0018386D">
        <w:lastRenderedPageBreak/>
        <w:t xml:space="preserve">Travel </w:t>
      </w:r>
      <w:r w:rsidR="00307779" w:rsidRPr="0018386D">
        <w:t>emission factors</w:t>
      </w:r>
      <w:bookmarkEnd w:id="332"/>
      <w:bookmarkEnd w:id="333"/>
      <w:bookmarkEnd w:id="334"/>
      <w:bookmarkEnd w:id="335"/>
      <w:bookmarkEnd w:id="348"/>
      <w:bookmarkEnd w:id="349"/>
    </w:p>
    <w:p w14:paraId="5E6BF3E3" w14:textId="1CCD0213" w:rsidR="00B15D77" w:rsidRPr="0018386D" w:rsidRDefault="00A91716" w:rsidP="00DD3106">
      <w:pPr>
        <w:pStyle w:val="BodyText"/>
        <w:spacing w:after="100"/>
      </w:pPr>
      <w:r w:rsidRPr="0018386D">
        <w:t>This t</w:t>
      </w:r>
      <w:r w:rsidR="00897CE8" w:rsidRPr="0018386D">
        <w:t>ravel emissions</w:t>
      </w:r>
      <w:r w:rsidRPr="0018386D">
        <w:t xml:space="preserve"> section provides detail on how to </w:t>
      </w:r>
      <w:r w:rsidR="005E37F0" w:rsidRPr="0018386D">
        <w:t>calculate</w:t>
      </w:r>
      <w:r w:rsidRPr="0018386D">
        <w:t xml:space="preserve"> emissions associated with both </w:t>
      </w:r>
      <w:r w:rsidR="005E37F0" w:rsidRPr="0018386D">
        <w:t xml:space="preserve">business </w:t>
      </w:r>
      <w:r w:rsidRPr="0018386D">
        <w:t>travel and staff commuting.</w:t>
      </w:r>
      <w:r w:rsidR="00B15D77" w:rsidRPr="0018386D">
        <w:t xml:space="preserve"> </w:t>
      </w:r>
    </w:p>
    <w:p w14:paraId="748E5B6F" w14:textId="5775826A" w:rsidR="00897CE8" w:rsidRPr="0018386D" w:rsidRDefault="006120B4" w:rsidP="00DD3106">
      <w:pPr>
        <w:pStyle w:val="BodyText"/>
        <w:spacing w:after="100"/>
      </w:pPr>
      <w:r w:rsidRPr="0018386D">
        <w:t>Business t</w:t>
      </w:r>
      <w:r w:rsidR="00A91716" w:rsidRPr="0018386D">
        <w:t xml:space="preserve">ravel emissions </w:t>
      </w:r>
      <w:r w:rsidR="00897CE8" w:rsidRPr="0018386D">
        <w:t>result from travel associated with (and generally paid for by) the</w:t>
      </w:r>
      <w:r w:rsidR="004C3097" w:rsidRPr="0018386D">
        <w:t> </w:t>
      </w:r>
      <w:r w:rsidR="00897CE8" w:rsidRPr="0018386D">
        <w:t>organisation.</w:t>
      </w:r>
      <w:r w:rsidR="0035527A" w:rsidRPr="0018386D">
        <w:t xml:space="preserve"> </w:t>
      </w:r>
      <w:r w:rsidR="00DC4F06" w:rsidRPr="0018386D">
        <w:t>We provide f</w:t>
      </w:r>
      <w:r w:rsidR="0035527A" w:rsidRPr="0018386D">
        <w:t>actors for private and rental vehicles, taxis, public transport, air</w:t>
      </w:r>
      <w:r w:rsidR="004C3097" w:rsidRPr="0018386D">
        <w:t> </w:t>
      </w:r>
      <w:r w:rsidR="0035527A" w:rsidRPr="0018386D">
        <w:t>travel</w:t>
      </w:r>
      <w:r w:rsidR="001C20FD" w:rsidRPr="0018386D">
        <w:t xml:space="preserve">, </w:t>
      </w:r>
      <w:proofErr w:type="gramStart"/>
      <w:r w:rsidR="001C20FD" w:rsidRPr="0018386D">
        <w:t>helicopters</w:t>
      </w:r>
      <w:proofErr w:type="gramEnd"/>
      <w:r w:rsidR="001C20FD" w:rsidRPr="0018386D">
        <w:t xml:space="preserve"> </w:t>
      </w:r>
      <w:r w:rsidR="0035527A" w:rsidRPr="0018386D">
        <w:t xml:space="preserve">and </w:t>
      </w:r>
      <w:r w:rsidR="00D20543" w:rsidRPr="0018386D">
        <w:t>accommodation.</w:t>
      </w:r>
      <w:bookmarkStart w:id="350" w:name="_Hlk532892960"/>
      <w:r w:rsidR="00106952" w:rsidRPr="0018386D">
        <w:t xml:space="preserve"> </w:t>
      </w:r>
      <w:r w:rsidR="000C4161" w:rsidRPr="0018386D">
        <w:t>Business t</w:t>
      </w:r>
      <w:r w:rsidR="00897CE8" w:rsidRPr="0018386D">
        <w:t>ravel emissions are indirect (</w:t>
      </w:r>
      <w:r w:rsidR="00BC6DDF" w:rsidRPr="0018386D">
        <w:t>S</w:t>
      </w:r>
      <w:r w:rsidR="00897CE8" w:rsidRPr="0018386D">
        <w:t>cope 3</w:t>
      </w:r>
      <w:r w:rsidR="001C20FD" w:rsidRPr="0018386D">
        <w:t>/ Category 6</w:t>
      </w:r>
      <w:r w:rsidR="00130808" w:rsidRPr="0018386D">
        <w:t>:</w:t>
      </w:r>
      <w:r w:rsidR="00C7713C" w:rsidRPr="0018386D">
        <w:t xml:space="preserve"> Business </w:t>
      </w:r>
      <w:r w:rsidR="00090495" w:rsidRPr="0018386D">
        <w:t>travel)</w:t>
      </w:r>
      <w:r w:rsidR="00897CE8" w:rsidRPr="0018386D">
        <w:t xml:space="preserve"> if the organisation does not directly own or control the</w:t>
      </w:r>
      <w:r w:rsidR="00106952" w:rsidRPr="0018386D">
        <w:t xml:space="preserve"> </w:t>
      </w:r>
      <w:r w:rsidR="00897CE8" w:rsidRPr="0018386D">
        <w:t xml:space="preserve">vehicles used for travel. If </w:t>
      </w:r>
      <w:r w:rsidR="00FF7CEB" w:rsidRPr="0018386D">
        <w:t>the</w:t>
      </w:r>
      <w:r w:rsidR="00897CE8" w:rsidRPr="0018386D">
        <w:t xml:space="preserve"> organisation own</w:t>
      </w:r>
      <w:r w:rsidR="0035527A" w:rsidRPr="0018386D">
        <w:t>s</w:t>
      </w:r>
      <w:r w:rsidR="00897CE8" w:rsidRPr="0018386D">
        <w:t xml:space="preserve"> </w:t>
      </w:r>
      <w:r w:rsidR="000864C5" w:rsidRPr="0018386D">
        <w:t xml:space="preserve">or has an operating lease for </w:t>
      </w:r>
      <w:r w:rsidR="00897CE8" w:rsidRPr="0018386D">
        <w:t>the vehicle</w:t>
      </w:r>
      <w:r w:rsidR="00FF7CEB" w:rsidRPr="0018386D">
        <w:t>(</w:t>
      </w:r>
      <w:r w:rsidR="0049234A" w:rsidRPr="0018386D">
        <w:t>s</w:t>
      </w:r>
      <w:r w:rsidR="00FF7CEB" w:rsidRPr="0018386D">
        <w:t>)</w:t>
      </w:r>
      <w:r w:rsidR="00106952" w:rsidRPr="0018386D">
        <w:t xml:space="preserve"> </w:t>
      </w:r>
      <w:r w:rsidR="00897CE8" w:rsidRPr="0018386D">
        <w:t xml:space="preserve">these emissions </w:t>
      </w:r>
      <w:r w:rsidR="00DC4F06" w:rsidRPr="0018386D">
        <w:t>are</w:t>
      </w:r>
      <w:r w:rsidR="0035527A" w:rsidRPr="0018386D">
        <w:t xml:space="preserve"> </w:t>
      </w:r>
      <w:r w:rsidR="00897CE8" w:rsidRPr="0018386D">
        <w:t>direct (Scope 1</w:t>
      </w:r>
      <w:r w:rsidR="00A81162" w:rsidRPr="0018386D">
        <w:t>/Category 1</w:t>
      </w:r>
      <w:r w:rsidR="00130808" w:rsidRPr="0018386D">
        <w:t>: Purchased goods and services</w:t>
      </w:r>
      <w:r w:rsidR="00A81162" w:rsidRPr="0018386D">
        <w:t xml:space="preserve"> GHG Protocol</w:t>
      </w:r>
      <w:r w:rsidR="00897CE8" w:rsidRPr="0018386D">
        <w:t>)</w:t>
      </w:r>
      <w:r w:rsidR="00E50651" w:rsidRPr="0018386D">
        <w:t xml:space="preserve"> and should be accounted for in</w:t>
      </w:r>
      <w:r w:rsidR="00897CE8" w:rsidRPr="0018386D">
        <w:t xml:space="preserve"> transport fuels</w:t>
      </w:r>
      <w:r w:rsidR="00106952" w:rsidRPr="0018386D">
        <w:t xml:space="preserve"> </w:t>
      </w:r>
      <w:r w:rsidR="00E50651" w:rsidRPr="0018386D">
        <w:t xml:space="preserve">(see </w:t>
      </w:r>
      <w:hyperlink w:anchor="_Transport_fuel_emission" w:history="1">
        <w:r w:rsidR="00E50651" w:rsidRPr="0018386D">
          <w:rPr>
            <w:rStyle w:val="Hyperlink"/>
          </w:rPr>
          <w:t>section</w:t>
        </w:r>
        <w:r w:rsidR="00CC5E73" w:rsidRPr="0018386D">
          <w:rPr>
            <w:rStyle w:val="Hyperlink"/>
          </w:rPr>
          <w:t> </w:t>
        </w:r>
        <w:r w:rsidR="00FF7CEB" w:rsidRPr="0018386D">
          <w:rPr>
            <w:rStyle w:val="Hyperlink"/>
          </w:rPr>
          <w:t>3.3</w:t>
        </w:r>
      </w:hyperlink>
      <w:r w:rsidR="00E50651" w:rsidRPr="0018386D">
        <w:t>)</w:t>
      </w:r>
      <w:r w:rsidR="00897CE8" w:rsidRPr="0018386D">
        <w:t>.</w:t>
      </w:r>
      <w:r w:rsidR="00490091" w:rsidRPr="0018386D">
        <w:t xml:space="preserve"> </w:t>
      </w:r>
    </w:p>
    <w:bookmarkEnd w:id="350"/>
    <w:p w14:paraId="1AD19F47" w14:textId="32E530EC" w:rsidR="31081ED9" w:rsidRPr="0018386D" w:rsidRDefault="31081ED9" w:rsidP="00DD3106">
      <w:pPr>
        <w:pStyle w:val="BodyText"/>
        <w:spacing w:after="100"/>
      </w:pPr>
      <w:r w:rsidRPr="0018386D">
        <w:t xml:space="preserve">Staff commuting emissions result from employees travelling between their homes and their worksites. Emissions from staff commuting may arise from the use of private and rental vehicles, taxis, public transport, and air travel. Other emissions associated with working from home can be accounted for in </w:t>
      </w:r>
      <w:hyperlink w:anchor="_Indirect_business-related_emission" w:history="1">
        <w:r w:rsidRPr="0018386D">
          <w:rPr>
            <w:rStyle w:val="Hyperlink"/>
            <w:rFonts w:eastAsia="Calibri" w:cs="Calibri"/>
          </w:rPr>
          <w:t>section 6</w:t>
        </w:r>
      </w:hyperlink>
      <w:r w:rsidRPr="0018386D">
        <w:t xml:space="preserve">, ‘indirect business-related emission </w:t>
      </w:r>
      <w:proofErr w:type="gramStart"/>
      <w:r w:rsidRPr="0018386D">
        <w:t>factors’</w:t>
      </w:r>
      <w:proofErr w:type="gramEnd"/>
      <w:r w:rsidR="00884D66" w:rsidRPr="0018386D">
        <w:t>.</w:t>
      </w:r>
    </w:p>
    <w:p w14:paraId="180BA05E" w14:textId="5415447B" w:rsidR="00FE77BE" w:rsidRPr="0018386D" w:rsidRDefault="00FE77BE" w:rsidP="00DD3106">
      <w:pPr>
        <w:pStyle w:val="BodyText"/>
        <w:spacing w:after="100"/>
      </w:pPr>
      <w:r w:rsidRPr="0018386D">
        <w:t>Staff commuting emissions are indirect (Scope 3/Category 7</w:t>
      </w:r>
      <w:r w:rsidR="001B4063" w:rsidRPr="0018386D">
        <w:t>: Employee commuting</w:t>
      </w:r>
      <w:r w:rsidR="00AE40B9" w:rsidRPr="0018386D">
        <w:t>)</w:t>
      </w:r>
      <w:r w:rsidR="005E37F0" w:rsidRPr="0018386D">
        <w:t>.</w:t>
      </w:r>
    </w:p>
    <w:p w14:paraId="0A50101A" w14:textId="49D297D8" w:rsidR="00307779" w:rsidRPr="0018386D" w:rsidRDefault="00307779" w:rsidP="00DD3106">
      <w:pPr>
        <w:pStyle w:val="Heading2"/>
        <w:numPr>
          <w:ilvl w:val="1"/>
          <w:numId w:val="8"/>
        </w:numPr>
        <w:spacing w:before="320"/>
      </w:pPr>
      <w:bookmarkStart w:id="351" w:name="_Toc529960705"/>
      <w:bookmarkStart w:id="352" w:name="_Toc532904894"/>
      <w:bookmarkStart w:id="353" w:name="_Toc600582"/>
      <w:bookmarkStart w:id="354" w:name="_Toc140048911"/>
      <w:r w:rsidRPr="0018386D">
        <w:t>Overview of changes since</w:t>
      </w:r>
      <w:r w:rsidR="00844F4F" w:rsidRPr="0018386D">
        <w:t xml:space="preserve"> </w:t>
      </w:r>
      <w:r w:rsidRPr="0018386D">
        <w:t>previous</w:t>
      </w:r>
      <w:r w:rsidR="00D112B5" w:rsidRPr="0018386D">
        <w:t> </w:t>
      </w:r>
      <w:r w:rsidRPr="0018386D">
        <w:t>update</w:t>
      </w:r>
      <w:bookmarkEnd w:id="351"/>
      <w:bookmarkEnd w:id="352"/>
      <w:bookmarkEnd w:id="353"/>
      <w:bookmarkEnd w:id="354"/>
    </w:p>
    <w:p w14:paraId="5C08100A" w14:textId="4663B196" w:rsidR="00AE7403" w:rsidRPr="0018386D" w:rsidRDefault="00AE7403" w:rsidP="00DD3106">
      <w:pPr>
        <w:pStyle w:val="BodyText"/>
        <w:spacing w:before="100" w:after="100"/>
      </w:pPr>
      <w:r w:rsidRPr="0018386D">
        <w:t>Emission factors for light passenger vehicles continue to reduce as newer</w:t>
      </w:r>
      <w:r w:rsidR="00005464" w:rsidRPr="0018386D">
        <w:t>,</w:t>
      </w:r>
      <w:r w:rsidRPr="0018386D">
        <w:t xml:space="preserve"> more fuel-efficient vehicles enter the fleet and older vehicles are retired. Reductions of between </w:t>
      </w:r>
      <w:r w:rsidR="00A165AC" w:rsidRPr="0018386D">
        <w:t xml:space="preserve">one </w:t>
      </w:r>
      <w:r w:rsidRPr="0018386D">
        <w:t xml:space="preserve">and </w:t>
      </w:r>
      <w:r w:rsidR="00A165AC" w:rsidRPr="0018386D">
        <w:t>six</w:t>
      </w:r>
      <w:r w:rsidRPr="0018386D">
        <w:t xml:space="preserve"> per cent are seen across most of the vehicle classes and mod</w:t>
      </w:r>
      <w:r w:rsidR="00005464" w:rsidRPr="0018386D">
        <w:t>es</w:t>
      </w:r>
      <w:r w:rsidRPr="0018386D">
        <w:t>.</w:t>
      </w:r>
    </w:p>
    <w:p w14:paraId="3C5C2CC5" w14:textId="55F9B3F3" w:rsidR="00AE7403" w:rsidRPr="0018386D" w:rsidRDefault="00AE7403" w:rsidP="00DD3106">
      <w:pPr>
        <w:pStyle w:val="BodyText"/>
        <w:spacing w:before="100" w:after="100"/>
      </w:pPr>
      <w:r w:rsidRPr="0018386D">
        <w:t xml:space="preserve">The exceptions are factors for plug-in hybrid vehicles (electricity consumption) and electric vehicles, which </w:t>
      </w:r>
      <w:r w:rsidR="0018741D" w:rsidRPr="0018386D">
        <w:t>de</w:t>
      </w:r>
      <w:r w:rsidRPr="0018386D">
        <w:t xml:space="preserve">creased by between </w:t>
      </w:r>
      <w:r w:rsidR="00893E12" w:rsidRPr="0018386D">
        <w:t>26</w:t>
      </w:r>
      <w:r w:rsidRPr="0018386D">
        <w:t xml:space="preserve"> </w:t>
      </w:r>
      <w:r w:rsidR="00005464" w:rsidRPr="0018386D">
        <w:t>and</w:t>
      </w:r>
      <w:r w:rsidRPr="0018386D">
        <w:t xml:space="preserve"> </w:t>
      </w:r>
      <w:r w:rsidR="00893E12" w:rsidRPr="0018386D">
        <w:t>28</w:t>
      </w:r>
      <w:r w:rsidR="001E54E9" w:rsidRPr="0018386D">
        <w:t xml:space="preserve"> per cent</w:t>
      </w:r>
      <w:r w:rsidRPr="0018386D">
        <w:t xml:space="preserve"> this year. </w:t>
      </w:r>
      <w:r w:rsidR="00655011" w:rsidRPr="0018386D">
        <w:t xml:space="preserve">This </w:t>
      </w:r>
      <w:r w:rsidR="00005464" w:rsidRPr="0018386D">
        <w:t>reflects</w:t>
      </w:r>
      <w:r w:rsidR="00655011" w:rsidRPr="0018386D">
        <w:t xml:space="preserve"> the lower electricity emission factor </w:t>
      </w:r>
      <w:r w:rsidR="00B92C8E" w:rsidRPr="0018386D">
        <w:t xml:space="preserve">in </w:t>
      </w:r>
      <w:r w:rsidR="00655011" w:rsidRPr="0018386D">
        <w:t xml:space="preserve">this </w:t>
      </w:r>
      <w:r w:rsidR="00B92C8E" w:rsidRPr="0018386D">
        <w:t>guidance</w:t>
      </w:r>
      <w:r w:rsidR="009D1F25" w:rsidRPr="0018386D">
        <w:t xml:space="preserve"> but</w:t>
      </w:r>
      <w:r w:rsidR="0036319C" w:rsidRPr="0018386D">
        <w:t xml:space="preserve"> is partly mitigated by the inclusion of</w:t>
      </w:r>
      <w:r w:rsidRPr="0018386D">
        <w:t xml:space="preserve"> electricity </w:t>
      </w:r>
      <w:r w:rsidR="00A51205" w:rsidRPr="0018386D">
        <w:t xml:space="preserve">transmission and distribution </w:t>
      </w:r>
      <w:r w:rsidR="00BC1BBC" w:rsidRPr="0018386D">
        <w:t>(</w:t>
      </w:r>
      <w:r w:rsidRPr="0018386D">
        <w:t>T &amp; D</w:t>
      </w:r>
      <w:r w:rsidR="00BC1BBC" w:rsidRPr="0018386D">
        <w:t>)</w:t>
      </w:r>
      <w:r w:rsidRPr="0018386D">
        <w:t xml:space="preserve"> losses in the fuel consumption</w:t>
      </w:r>
      <w:r w:rsidR="00C542DE" w:rsidRPr="0018386D">
        <w:t>.</w:t>
      </w:r>
    </w:p>
    <w:p w14:paraId="372E52F0" w14:textId="5EA95A96" w:rsidR="00AE7403" w:rsidRPr="0018386D" w:rsidRDefault="00B92C8E" w:rsidP="00DD3106">
      <w:pPr>
        <w:pStyle w:val="BodyText"/>
        <w:spacing w:before="100" w:after="100"/>
      </w:pPr>
      <w:r w:rsidRPr="0018386D">
        <w:t>In t</w:t>
      </w:r>
      <w:r w:rsidR="00AE7403" w:rsidRPr="0018386D">
        <w:t xml:space="preserve">his </w:t>
      </w:r>
      <w:r w:rsidRPr="0018386D">
        <w:t>guidance</w:t>
      </w:r>
      <w:r w:rsidR="00AE7403" w:rsidRPr="0018386D">
        <w:t xml:space="preserve"> the assumed date of manufacture of rental vehicles was changed to 2015 onwards</w:t>
      </w:r>
      <w:r w:rsidR="00005464" w:rsidRPr="0018386D">
        <w:t>.</w:t>
      </w:r>
      <w:r w:rsidR="00AE7403" w:rsidRPr="0018386D">
        <w:t xml:space="preserve"> </w:t>
      </w:r>
      <w:r w:rsidR="00005464" w:rsidRPr="0018386D">
        <w:t>P</w:t>
      </w:r>
      <w:r w:rsidR="00AE7403" w:rsidRPr="0018386D">
        <w:t>reviously</w:t>
      </w:r>
      <w:r w:rsidR="004070F5" w:rsidRPr="0018386D">
        <w:t>,</w:t>
      </w:r>
      <w:r w:rsidR="00AE7403" w:rsidRPr="0018386D">
        <w:t xml:space="preserve"> the assumed date was between 2010 and 2015. This </w:t>
      </w:r>
      <w:r w:rsidR="0093388A" w:rsidRPr="0018386D">
        <w:t>change</w:t>
      </w:r>
      <w:r w:rsidR="00AE7403" w:rsidRPr="0018386D">
        <w:t xml:space="preserve"> resulted in a reduction of emission factors across all rental vehicles, apart from the electric vehicle</w:t>
      </w:r>
      <w:r w:rsidR="00B57F12" w:rsidRPr="0018386D">
        <w:t>s (see</w:t>
      </w:r>
      <w:r w:rsidR="00D112B5" w:rsidRPr="0018386D">
        <w:t> </w:t>
      </w:r>
      <w:r w:rsidR="00AE7403" w:rsidRPr="0018386D">
        <w:t>previous paragraph</w:t>
      </w:r>
      <w:r w:rsidR="00B57F12" w:rsidRPr="0018386D">
        <w:t>)</w:t>
      </w:r>
      <w:r w:rsidR="00AE7403" w:rsidRPr="0018386D">
        <w:t>.</w:t>
      </w:r>
    </w:p>
    <w:p w14:paraId="51933F83" w14:textId="2764C675" w:rsidR="004F4A81" w:rsidRPr="0018386D" w:rsidRDefault="004F4A81" w:rsidP="00DD3106">
      <w:pPr>
        <w:pStyle w:val="BodyText"/>
        <w:spacing w:before="100" w:after="100"/>
      </w:pPr>
      <w:r w:rsidRPr="0018386D">
        <w:t xml:space="preserve">Two new taxi factors were added </w:t>
      </w:r>
      <w:r w:rsidR="00FC7F2E" w:rsidRPr="0018386D">
        <w:t xml:space="preserve">in </w:t>
      </w:r>
      <w:r w:rsidRPr="0018386D">
        <w:t xml:space="preserve">this </w:t>
      </w:r>
      <w:r w:rsidR="00FC7F2E" w:rsidRPr="0018386D">
        <w:t>guidance</w:t>
      </w:r>
      <w:r w:rsidR="006E7F61" w:rsidRPr="0018386D">
        <w:t>:</w:t>
      </w:r>
      <w:r w:rsidRPr="0018386D">
        <w:t xml:space="preserve"> a petrol hybrid and an electric vehicle.</w:t>
      </w:r>
    </w:p>
    <w:p w14:paraId="3DBE4E39" w14:textId="0707DDCD" w:rsidR="00232FDF" w:rsidRPr="0018386D" w:rsidRDefault="00F93274" w:rsidP="00DD3106">
      <w:pPr>
        <w:pStyle w:val="BodyText"/>
        <w:spacing w:before="100" w:after="100"/>
      </w:pPr>
      <w:r w:rsidRPr="0018386D">
        <w:t xml:space="preserve">The domestic air travel factors have been replicated from the 2022 edition of the </w:t>
      </w:r>
      <w:r w:rsidR="009A5B40" w:rsidRPr="0018386D">
        <w:t>g</w:t>
      </w:r>
      <w:r w:rsidRPr="0018386D">
        <w:t xml:space="preserve">uidance due to incomplete data </w:t>
      </w:r>
      <w:r w:rsidR="0079497A" w:rsidRPr="0018386D">
        <w:t xml:space="preserve">that </w:t>
      </w:r>
      <w:r w:rsidRPr="0018386D">
        <w:t>affect</w:t>
      </w:r>
      <w:r w:rsidR="0079497A" w:rsidRPr="0018386D">
        <w:t>ed</w:t>
      </w:r>
      <w:r w:rsidRPr="0018386D">
        <w:t xml:space="preserve"> some of the more recent data. </w:t>
      </w:r>
      <w:r w:rsidR="1DA9EB6F" w:rsidRPr="0018386D">
        <w:rPr>
          <w:rFonts w:eastAsia="Calibri" w:cs="Calibri"/>
          <w:color w:val="000000" w:themeColor="text1"/>
        </w:rPr>
        <w:t>Public transport emission factors</w:t>
      </w:r>
      <w:r w:rsidR="6B1B4BE1" w:rsidRPr="0018386D">
        <w:rPr>
          <w:rFonts w:eastAsia="Calibri" w:cs="Calibri"/>
          <w:color w:val="000000" w:themeColor="text1"/>
        </w:rPr>
        <w:t xml:space="preserve"> for rail </w:t>
      </w:r>
      <w:r w:rsidR="008C4DD5" w:rsidRPr="0018386D">
        <w:rPr>
          <w:rFonts w:eastAsia="Calibri" w:cs="Calibri"/>
          <w:color w:val="000000" w:themeColor="text1"/>
        </w:rPr>
        <w:t>or bus</w:t>
      </w:r>
      <w:r w:rsidR="6B1B4BE1" w:rsidRPr="0018386D">
        <w:rPr>
          <w:rFonts w:eastAsia="Calibri" w:cs="Calibri"/>
          <w:color w:val="000000" w:themeColor="text1"/>
        </w:rPr>
        <w:t xml:space="preserve"> services</w:t>
      </w:r>
      <w:r w:rsidR="1DA9EB6F" w:rsidRPr="0018386D">
        <w:rPr>
          <w:rFonts w:eastAsia="Calibri" w:cs="Calibri"/>
          <w:color w:val="000000" w:themeColor="text1"/>
        </w:rPr>
        <w:t xml:space="preserve"> have </w:t>
      </w:r>
      <w:r w:rsidR="007674A5" w:rsidRPr="0018386D">
        <w:rPr>
          <w:rFonts w:eastAsia="Calibri" w:cs="Calibri"/>
          <w:color w:val="000000" w:themeColor="text1"/>
        </w:rPr>
        <w:t>not</w:t>
      </w:r>
      <w:r w:rsidR="1DA9EB6F" w:rsidRPr="0018386D">
        <w:rPr>
          <w:rFonts w:eastAsia="Calibri" w:cs="Calibri"/>
          <w:color w:val="000000" w:themeColor="text1"/>
        </w:rPr>
        <w:t xml:space="preserve"> been updated</w:t>
      </w:r>
      <w:r w:rsidR="007674A5" w:rsidRPr="0018386D">
        <w:rPr>
          <w:rFonts w:eastAsia="Calibri" w:cs="Calibri"/>
          <w:color w:val="000000" w:themeColor="text1"/>
        </w:rPr>
        <w:t>.</w:t>
      </w:r>
      <w:r w:rsidR="1DA9EB6F" w:rsidRPr="0018386D">
        <w:rPr>
          <w:rFonts w:eastAsia="Calibri" w:cs="Calibri"/>
          <w:color w:val="000000" w:themeColor="text1"/>
        </w:rPr>
        <w:t xml:space="preserve"> No data is currently available for ferries.</w:t>
      </w:r>
      <w:r w:rsidR="00B21200" w:rsidRPr="0018386D">
        <w:rPr>
          <w:rFonts w:eastAsia="Calibri" w:cs="Calibri"/>
          <w:color w:val="000000" w:themeColor="text1"/>
        </w:rPr>
        <w:t xml:space="preserve"> Furthermore, t</w:t>
      </w:r>
      <w:r w:rsidR="00C0775A" w:rsidRPr="0018386D">
        <w:rPr>
          <w:rFonts w:eastAsia="Calibri" w:cs="Calibri"/>
          <w:color w:val="000000" w:themeColor="text1"/>
        </w:rPr>
        <w:t xml:space="preserve">he emission factors for hotel </w:t>
      </w:r>
      <w:r w:rsidR="00B21200" w:rsidRPr="0018386D">
        <w:rPr>
          <w:rFonts w:eastAsia="Calibri" w:cs="Calibri"/>
          <w:color w:val="000000" w:themeColor="text1"/>
        </w:rPr>
        <w:t>stays have not been updated</w:t>
      </w:r>
      <w:r w:rsidR="00E22BDC" w:rsidRPr="0018386D">
        <w:rPr>
          <w:rFonts w:eastAsia="Calibri" w:cs="Calibri"/>
          <w:color w:val="000000" w:themeColor="text1"/>
        </w:rPr>
        <w:t xml:space="preserve">. </w:t>
      </w:r>
    </w:p>
    <w:p w14:paraId="51E8D31B" w14:textId="77777777" w:rsidR="005E1384" w:rsidRPr="0018386D" w:rsidRDefault="005E1384" w:rsidP="00DD3106">
      <w:pPr>
        <w:spacing w:line="23" w:lineRule="auto"/>
        <w:rPr>
          <w:rFonts w:ascii="Georgia" w:eastAsiaTheme="majorEastAsia" w:hAnsi="Georgia" w:cstheme="majorBidi"/>
          <w:b/>
          <w:bCs/>
          <w:color w:val="1B556B"/>
          <w:sz w:val="36"/>
          <w:szCs w:val="26"/>
          <w:lang w:val="en-NZ" w:eastAsia="en-NZ"/>
        </w:rPr>
      </w:pPr>
      <w:bookmarkStart w:id="355" w:name="_Passenger_vehicles"/>
      <w:bookmarkStart w:id="356" w:name="_Ref532891261"/>
      <w:bookmarkStart w:id="357" w:name="_Toc532904895"/>
      <w:bookmarkStart w:id="358" w:name="_Toc600583"/>
      <w:bookmarkEnd w:id="355"/>
      <w:r w:rsidRPr="0018386D">
        <w:br w:type="page"/>
      </w:r>
    </w:p>
    <w:p w14:paraId="65091A93" w14:textId="5FB23003" w:rsidR="00FA56CD" w:rsidRPr="0018386D" w:rsidRDefault="00FA56CD" w:rsidP="00DD3106">
      <w:pPr>
        <w:pStyle w:val="Heading2"/>
        <w:numPr>
          <w:ilvl w:val="1"/>
          <w:numId w:val="8"/>
        </w:numPr>
        <w:jc w:val="both"/>
      </w:pPr>
      <w:bookmarkStart w:id="359" w:name="_Toc140048912"/>
      <w:r w:rsidRPr="0018386D">
        <w:lastRenderedPageBreak/>
        <w:t>Passenger vehicle</w:t>
      </w:r>
      <w:r w:rsidR="00662070" w:rsidRPr="0018386D">
        <w:t>s</w:t>
      </w:r>
      <w:bookmarkEnd w:id="356"/>
      <w:bookmarkEnd w:id="357"/>
      <w:bookmarkEnd w:id="358"/>
      <w:bookmarkEnd w:id="359"/>
    </w:p>
    <w:p w14:paraId="65091A94" w14:textId="4C88375C" w:rsidR="00321918" w:rsidRPr="0018386D" w:rsidRDefault="00FA56CD" w:rsidP="00DD3106">
      <w:pPr>
        <w:pStyle w:val="BodyText"/>
        <w:spacing w:before="100" w:after="100"/>
      </w:pPr>
      <w:r w:rsidRPr="0018386D">
        <w:t xml:space="preserve">This section covers emissions </w:t>
      </w:r>
      <w:r w:rsidR="00CB5E01" w:rsidRPr="0018386D">
        <w:t>from p</w:t>
      </w:r>
      <w:r w:rsidR="00321918" w:rsidRPr="0018386D">
        <w:t>rivate</w:t>
      </w:r>
      <w:r w:rsidR="003B2B9A" w:rsidRPr="0018386D">
        <w:t xml:space="preserve"> vehicle</w:t>
      </w:r>
      <w:r w:rsidR="00FF7CEB" w:rsidRPr="0018386D">
        <w:t>s for which</w:t>
      </w:r>
      <w:r w:rsidR="003B2B9A" w:rsidRPr="0018386D">
        <w:t xml:space="preserve"> mileage </w:t>
      </w:r>
      <w:r w:rsidR="00FF7CEB" w:rsidRPr="0018386D">
        <w:t xml:space="preserve">is </w:t>
      </w:r>
      <w:r w:rsidR="003B2B9A" w:rsidRPr="0018386D">
        <w:t>claim</w:t>
      </w:r>
      <w:r w:rsidR="00FF7CEB" w:rsidRPr="0018386D">
        <w:t>ed</w:t>
      </w:r>
      <w:r w:rsidR="00321918" w:rsidRPr="0018386D">
        <w:t>,</w:t>
      </w:r>
      <w:r w:rsidR="00321918" w:rsidRPr="0018386D">
        <w:rPr>
          <w:b/>
        </w:rPr>
        <w:t xml:space="preserve"> </w:t>
      </w:r>
      <w:r w:rsidR="009974E9" w:rsidRPr="0018386D">
        <w:t>rental vehicle</w:t>
      </w:r>
      <w:r w:rsidR="008A0F73" w:rsidRPr="0018386D">
        <w:t>s</w:t>
      </w:r>
      <w:r w:rsidR="00321918" w:rsidRPr="0018386D">
        <w:t xml:space="preserve"> and taxi</w:t>
      </w:r>
      <w:r w:rsidR="003B2B9A" w:rsidRPr="0018386D">
        <w:t xml:space="preserve"> travel</w:t>
      </w:r>
      <w:bookmarkEnd w:id="336"/>
      <w:r w:rsidRPr="0018386D">
        <w:t>.</w:t>
      </w:r>
    </w:p>
    <w:p w14:paraId="1FC3BDE8" w14:textId="1928615D" w:rsidR="00707B18" w:rsidRPr="0018386D" w:rsidRDefault="006321F8" w:rsidP="00DD3106">
      <w:pPr>
        <w:pStyle w:val="BodyText"/>
        <w:spacing w:before="100" w:after="100"/>
      </w:pPr>
      <w:r w:rsidRPr="0018386D">
        <w:t>Travel</w:t>
      </w:r>
      <w:r w:rsidR="009F450D" w:rsidRPr="0018386D">
        <w:t xml:space="preserve">, including rental vehicles, </w:t>
      </w:r>
      <w:r w:rsidR="001B596E" w:rsidRPr="0018386D">
        <w:t>staff mileage and taxi travel are indirect (Scope 3) emissions</w:t>
      </w:r>
      <w:r w:rsidR="006E7F61" w:rsidRPr="0018386D">
        <w:t>. This</w:t>
      </w:r>
      <w:r w:rsidR="00ED1AC8" w:rsidRPr="0018386D">
        <w:t xml:space="preserve"> is a change in guidance</w:t>
      </w:r>
      <w:r w:rsidR="006E7F61" w:rsidRPr="0018386D">
        <w:t>,</w:t>
      </w:r>
      <w:r w:rsidR="00ED1AC8" w:rsidRPr="0018386D">
        <w:t xml:space="preserve"> </w:t>
      </w:r>
      <w:r w:rsidR="006E7F61" w:rsidRPr="0018386D">
        <w:t>to align better</w:t>
      </w:r>
      <w:r w:rsidR="00742702" w:rsidRPr="0018386D">
        <w:t xml:space="preserve"> </w:t>
      </w:r>
      <w:r w:rsidR="008D153C" w:rsidRPr="0018386D">
        <w:t>with leading practice</w:t>
      </w:r>
      <w:r w:rsidR="00707B18" w:rsidRPr="0018386D">
        <w:t>. As with direct</w:t>
      </w:r>
      <w:r w:rsidR="00CC5E73" w:rsidRPr="0018386D">
        <w:t> </w:t>
      </w:r>
      <w:r w:rsidR="00707B18" w:rsidRPr="0018386D">
        <w:t>(Scope 1) emissions from transport fuels, the most accurate way to calculate emissions is</w:t>
      </w:r>
      <w:r w:rsidR="00CC5E73" w:rsidRPr="0018386D">
        <w:t> </w:t>
      </w:r>
      <w:r w:rsidR="00707B18" w:rsidRPr="0018386D">
        <w:t xml:space="preserve">based on fuel consumption data. Fuel-use data </w:t>
      </w:r>
      <w:r w:rsidR="0003097B" w:rsidRPr="0018386D">
        <w:t xml:space="preserve">are </w:t>
      </w:r>
      <w:r w:rsidR="00707B18" w:rsidRPr="0018386D">
        <w:t>preferable because factors such as individual vehicle fuel efficiency and driving efficiency mean that kilometre-based estimates of</w:t>
      </w:r>
      <w:r w:rsidR="00CC5E73" w:rsidRPr="0018386D">
        <w:t> </w:t>
      </w:r>
      <w:r w:rsidR="00707B18" w:rsidRPr="0018386D">
        <w:t>emissions are less accurate. However, this information may not be easily available</w:t>
      </w:r>
      <w:r w:rsidR="00204334" w:rsidRPr="0018386D">
        <w:t>.</w:t>
      </w:r>
      <w:r w:rsidR="00707B18" w:rsidRPr="0018386D">
        <w:t xml:space="preserve"> </w:t>
      </w:r>
    </w:p>
    <w:p w14:paraId="506D334D" w14:textId="2C153273" w:rsidR="00B8234D" w:rsidRPr="0018386D" w:rsidRDefault="00B8234D" w:rsidP="00DD3106">
      <w:pPr>
        <w:pStyle w:val="BodyText"/>
        <w:spacing w:after="100"/>
      </w:pPr>
      <w:r w:rsidRPr="0018386D">
        <w:t>The 2021 fleet statistics</w:t>
      </w:r>
      <w:r w:rsidR="00AD7A06" w:rsidRPr="0018386D">
        <w:t xml:space="preserve"> (</w:t>
      </w:r>
      <w:hyperlink w:anchor="table16" w:history="1">
        <w:r w:rsidR="0040596D" w:rsidRPr="0018386D">
          <w:rPr>
            <w:rStyle w:val="Hyperlink"/>
          </w:rPr>
          <w:t>t</w:t>
        </w:r>
        <w:r w:rsidR="00AD7A06" w:rsidRPr="0018386D">
          <w:rPr>
            <w:rStyle w:val="Hyperlink"/>
          </w:rPr>
          <w:t>ables 17</w:t>
        </w:r>
      </w:hyperlink>
      <w:r w:rsidR="009621BC" w:rsidRPr="0018386D">
        <w:t xml:space="preserve"> to </w:t>
      </w:r>
      <w:hyperlink w:anchor="table18" w:history="1">
        <w:r w:rsidR="00AD7A06" w:rsidRPr="0018386D">
          <w:rPr>
            <w:rStyle w:val="Hyperlink"/>
          </w:rPr>
          <w:t>19</w:t>
        </w:r>
      </w:hyperlink>
      <w:r w:rsidR="00AD7A06" w:rsidRPr="0018386D">
        <w:t>)</w:t>
      </w:r>
      <w:r w:rsidRPr="0018386D">
        <w:t xml:space="preserve"> were taken from the Te Manatū Waka Ministry of Transport Vehicle Fleet Emissions Model. This provides energy (fuel and electricity) use per km travelled by vehicle.</w:t>
      </w:r>
    </w:p>
    <w:p w14:paraId="0DE21B10" w14:textId="3D2BDDDD" w:rsidR="00FB3A5F" w:rsidRPr="0018386D" w:rsidRDefault="00707B18" w:rsidP="00DD3106">
      <w:pPr>
        <w:pStyle w:val="BodyText"/>
      </w:pPr>
      <w:r w:rsidRPr="0018386D">
        <w:t xml:space="preserve">Fuel-use based emission factors </w:t>
      </w:r>
      <w:r w:rsidR="008B3986" w:rsidRPr="0018386D">
        <w:t>are</w:t>
      </w:r>
      <w:r w:rsidR="00630E75" w:rsidRPr="0018386D">
        <w:t xml:space="preserve"> above</w:t>
      </w:r>
      <w:r w:rsidRPr="0018386D">
        <w:t xml:space="preserve"> in</w:t>
      </w:r>
      <w:r w:rsidR="00BA79D8" w:rsidRPr="0018386D">
        <w:t xml:space="preserve"> </w:t>
      </w:r>
      <w:hyperlink w:anchor="_Fuel_emission_factors">
        <w:r w:rsidR="00BA79D8" w:rsidRPr="0018386D">
          <w:rPr>
            <w:rStyle w:val="Hyperlink"/>
          </w:rPr>
          <w:t xml:space="preserve">section </w:t>
        </w:r>
        <w:r w:rsidR="00301C5B" w:rsidRPr="0018386D">
          <w:rPr>
            <w:rStyle w:val="Hyperlink"/>
          </w:rPr>
          <w:t>3</w:t>
        </w:r>
      </w:hyperlink>
      <w:r w:rsidRPr="0018386D">
        <w:t xml:space="preserve">. </w:t>
      </w:r>
    </w:p>
    <w:p w14:paraId="05AFC3B9" w14:textId="1365421C" w:rsidR="00FB3A5F" w:rsidRPr="0018386D" w:rsidRDefault="00307779" w:rsidP="00DD3106">
      <w:pPr>
        <w:pStyle w:val="BodyText"/>
      </w:pPr>
      <w:r w:rsidRPr="0018386D">
        <w:rPr>
          <w:rFonts w:eastAsia="Calibri" w:cs="Calibri"/>
          <w:color w:val="000000" w:themeColor="text1"/>
        </w:rPr>
        <w:t>If</w:t>
      </w:r>
      <w:r w:rsidR="007448DF" w:rsidRPr="0018386D">
        <w:rPr>
          <w:rFonts w:eastAsia="Calibri" w:cs="Calibri"/>
          <w:color w:val="000000" w:themeColor="text1"/>
        </w:rPr>
        <w:t xml:space="preserve"> the</w:t>
      </w:r>
      <w:r w:rsidR="00634104" w:rsidRPr="0018386D">
        <w:rPr>
          <w:rFonts w:eastAsia="Calibri" w:cs="Calibri"/>
          <w:color w:val="000000" w:themeColor="text1"/>
        </w:rPr>
        <w:t xml:space="preserve"> only information known is</w:t>
      </w:r>
      <w:r w:rsidRPr="0018386D">
        <w:rPr>
          <w:rFonts w:eastAsia="Calibri" w:cs="Calibri"/>
          <w:color w:val="000000" w:themeColor="text1"/>
        </w:rPr>
        <w:t xml:space="preserve"> kilometres</w:t>
      </w:r>
      <w:r w:rsidR="0014474E" w:rsidRPr="0018386D">
        <w:rPr>
          <w:rFonts w:eastAsia="Calibri" w:cs="Calibri"/>
          <w:color w:val="000000" w:themeColor="text1"/>
        </w:rPr>
        <w:t xml:space="preserve"> </w:t>
      </w:r>
      <w:r w:rsidRPr="0018386D">
        <w:rPr>
          <w:rFonts w:eastAsia="Calibri" w:cs="Calibri"/>
          <w:color w:val="000000" w:themeColor="text1"/>
        </w:rPr>
        <w:t xml:space="preserve">travelled, </w:t>
      </w:r>
      <w:r w:rsidRPr="0018386D" w:rsidDel="00707B18">
        <w:rPr>
          <w:rFonts w:eastAsia="Calibri" w:cs="Calibri"/>
          <w:color w:val="000000" w:themeColor="text1"/>
        </w:rPr>
        <w:t>use</w:t>
      </w:r>
      <w:r w:rsidR="00707B18" w:rsidRPr="0018386D">
        <w:rPr>
          <w:rFonts w:eastAsia="Calibri" w:cs="Calibri"/>
          <w:color w:val="000000" w:themeColor="text1"/>
        </w:rPr>
        <w:t xml:space="preserve"> the</w:t>
      </w:r>
      <w:r w:rsidR="00630E75" w:rsidRPr="0018386D">
        <w:rPr>
          <w:rFonts w:eastAsia="Calibri" w:cs="Calibri"/>
          <w:color w:val="000000" w:themeColor="text1"/>
        </w:rPr>
        <w:t xml:space="preserve"> </w:t>
      </w:r>
      <w:r w:rsidRPr="0018386D">
        <w:rPr>
          <w:rFonts w:eastAsia="Calibri" w:cs="Calibri"/>
          <w:color w:val="000000" w:themeColor="text1"/>
        </w:rPr>
        <w:t xml:space="preserve">emission factors </w:t>
      </w:r>
      <w:r w:rsidR="00630E75" w:rsidRPr="0018386D">
        <w:rPr>
          <w:rFonts w:eastAsia="Calibri" w:cs="Calibri"/>
          <w:color w:val="000000" w:themeColor="text1"/>
        </w:rPr>
        <w:t>in this section.</w:t>
      </w:r>
      <w:r w:rsidRPr="0018386D">
        <w:rPr>
          <w:rFonts w:eastAsia="Calibri" w:cs="Calibri"/>
          <w:color w:val="000000" w:themeColor="text1"/>
        </w:rPr>
        <w:t xml:space="preserve"> </w:t>
      </w:r>
      <w:r w:rsidR="00FB3A5F" w:rsidRPr="0018386D">
        <w:rPr>
          <w:rFonts w:eastAsia="Calibri" w:cs="Calibri"/>
          <w:color w:val="000000" w:themeColor="text1"/>
        </w:rPr>
        <w:t>F</w:t>
      </w:r>
      <w:r w:rsidR="00FB3A5F" w:rsidRPr="0018386D" w:rsidDel="00707B18">
        <w:rPr>
          <w:rFonts w:eastAsia="Calibri" w:cs="Calibri"/>
          <w:color w:val="000000" w:themeColor="text1"/>
        </w:rPr>
        <w:t xml:space="preserve">actors such as individual vehicle fuel efficiency and driving efficiency mean that kilometre-based estimates of </w:t>
      </w:r>
      <w:r w:rsidR="00FB3A5F" w:rsidRPr="0018386D">
        <w:rPr>
          <w:rFonts w:eastAsia="Calibri" w:cs="Calibri"/>
          <w:color w:val="000000" w:themeColor="text1"/>
        </w:rPr>
        <w:t>carbon dioxide</w:t>
      </w:r>
      <w:r w:rsidR="00A93014" w:rsidRPr="0018386D">
        <w:rPr>
          <w:rFonts w:eastAsia="Calibri" w:cs="Calibri"/>
          <w:color w:val="000000" w:themeColor="text1"/>
        </w:rPr>
        <w:t xml:space="preserve"> </w:t>
      </w:r>
      <w:r w:rsidR="00FB3A5F" w:rsidRPr="0018386D" w:rsidDel="00707B18">
        <w:rPr>
          <w:rFonts w:eastAsia="Calibri" w:cs="Calibri"/>
          <w:color w:val="000000" w:themeColor="text1"/>
        </w:rPr>
        <w:t>e</w:t>
      </w:r>
      <w:r w:rsidR="00FB3A5F" w:rsidRPr="0018386D">
        <w:rPr>
          <w:rFonts w:eastAsia="Calibri" w:cs="Calibri"/>
          <w:color w:val="000000" w:themeColor="text1"/>
        </w:rPr>
        <w:t>quivalent</w:t>
      </w:r>
      <w:r w:rsidR="00FB3A5F" w:rsidRPr="0018386D" w:rsidDel="00707B18">
        <w:rPr>
          <w:rFonts w:eastAsia="Calibri" w:cs="Calibri"/>
          <w:color w:val="000000" w:themeColor="text1"/>
        </w:rPr>
        <w:t xml:space="preserve"> emissions are less accurate than calculating emissions based on fuel-use data.</w:t>
      </w:r>
      <w:r w:rsidR="004C3308" w:rsidRPr="0018386D">
        <w:rPr>
          <w:rFonts w:eastAsia="Calibri" w:cs="Calibri"/>
          <w:color w:val="000000" w:themeColor="text1"/>
        </w:rPr>
        <w:t xml:space="preserve"> </w:t>
      </w:r>
    </w:p>
    <w:p w14:paraId="5930D4CB" w14:textId="69678AF5" w:rsidR="00C0066A" w:rsidRPr="0018386D" w:rsidRDefault="00630E75" w:rsidP="00DD3106">
      <w:pPr>
        <w:pStyle w:val="BodyText"/>
      </w:pPr>
      <w:r w:rsidRPr="0018386D">
        <w:t xml:space="preserve">If the vehicle size and engine type </w:t>
      </w:r>
      <w:r w:rsidR="008A0F73" w:rsidRPr="0018386D">
        <w:t xml:space="preserve">are </w:t>
      </w:r>
      <w:r w:rsidRPr="0018386D">
        <w:t>known</w:t>
      </w:r>
      <w:r w:rsidR="00FB6265" w:rsidRPr="0018386D">
        <w:t>,</w:t>
      </w:r>
      <w:r w:rsidRPr="0018386D">
        <w:t xml:space="preserve"> use the factors in</w:t>
      </w:r>
      <w:r w:rsidR="005C0CAC" w:rsidRPr="0018386D">
        <w:t xml:space="preserve"> </w:t>
      </w:r>
      <w:hyperlink w:anchor="table16">
        <w:r w:rsidR="00CC5E73" w:rsidRPr="0018386D">
          <w:rPr>
            <w:rStyle w:val="Hyperlink"/>
          </w:rPr>
          <w:t>table</w:t>
        </w:r>
        <w:r w:rsidR="006E7F61" w:rsidRPr="0018386D">
          <w:rPr>
            <w:rStyle w:val="Hyperlink"/>
          </w:rPr>
          <w:t>s</w:t>
        </w:r>
        <w:r w:rsidR="00CC5E73" w:rsidRPr="0018386D">
          <w:rPr>
            <w:rStyle w:val="Hyperlink"/>
          </w:rPr>
          <w:t xml:space="preserve"> 1</w:t>
        </w:r>
      </w:hyperlink>
      <w:r w:rsidR="00261D3D" w:rsidRPr="0018386D">
        <w:rPr>
          <w:rStyle w:val="Hyperlink"/>
        </w:rPr>
        <w:t>7</w:t>
      </w:r>
      <w:r w:rsidR="005C0CAC" w:rsidRPr="0018386D">
        <w:t xml:space="preserve"> to</w:t>
      </w:r>
      <w:hyperlink w:anchor="table19two">
        <w:r w:rsidR="00CC5E73" w:rsidRPr="0018386D">
          <w:rPr>
            <w:rStyle w:val="Hyperlink"/>
          </w:rPr>
          <w:t xml:space="preserve"> 1</w:t>
        </w:r>
        <w:r w:rsidR="00147741" w:rsidRPr="0018386D">
          <w:rPr>
            <w:rStyle w:val="Hyperlink"/>
          </w:rPr>
          <w:t>9</w:t>
        </w:r>
      </w:hyperlink>
      <w:r w:rsidR="00307779" w:rsidRPr="0018386D" w:rsidDel="00707B18">
        <w:fldChar w:fldCharType="begin"/>
      </w:r>
      <w:r w:rsidR="00307779" w:rsidRPr="0018386D" w:rsidDel="00707B18">
        <w:fldChar w:fldCharType="separate"/>
      </w:r>
      <w:r w:rsidR="00341A8C" w:rsidRPr="0018386D">
        <w:rPr>
          <w:b/>
        </w:rPr>
        <w:t>Error! No bookmark name given.</w:t>
      </w:r>
      <w:r w:rsidR="00307779" w:rsidRPr="0018386D" w:rsidDel="00707B18">
        <w:fldChar w:fldCharType="end"/>
      </w:r>
      <w:r w:rsidR="00307779" w:rsidRPr="0018386D" w:rsidDel="00707B18">
        <w:fldChar w:fldCharType="begin"/>
      </w:r>
      <w:r w:rsidR="00307779" w:rsidRPr="0018386D" w:rsidDel="00707B18">
        <w:fldChar w:fldCharType="separate"/>
      </w:r>
      <w:r w:rsidR="00341A8C" w:rsidRPr="0018386D">
        <w:rPr>
          <w:b/>
        </w:rPr>
        <w:t>Error! No bookmark name given.</w:t>
      </w:r>
      <w:r w:rsidR="00307779" w:rsidRPr="0018386D" w:rsidDel="00707B18">
        <w:fldChar w:fldCharType="end"/>
      </w:r>
      <w:r w:rsidR="00707B18" w:rsidRPr="0018386D">
        <w:t xml:space="preserve">. </w:t>
      </w:r>
      <w:hyperlink w:anchor="table19" w:history="1">
        <w:r w:rsidR="00CC5E73" w:rsidRPr="0018386D">
          <w:rPr>
            <w:rStyle w:val="Hyperlink"/>
          </w:rPr>
          <w:t xml:space="preserve">Table </w:t>
        </w:r>
        <w:r w:rsidR="00147741" w:rsidRPr="0018386D">
          <w:rPr>
            <w:rStyle w:val="Hyperlink"/>
          </w:rPr>
          <w:t>20</w:t>
        </w:r>
      </w:hyperlink>
      <w:r w:rsidR="005C0CAC" w:rsidRPr="0018386D">
        <w:rPr>
          <w:color w:val="32809C" w:themeColor="accent2"/>
        </w:rPr>
        <w:t xml:space="preserve"> </w:t>
      </w:r>
      <w:r w:rsidR="00C45F6F" w:rsidRPr="0018386D">
        <w:t xml:space="preserve">lists </w:t>
      </w:r>
      <w:r w:rsidR="004F4E23" w:rsidRPr="0018386D">
        <w:t>d</w:t>
      </w:r>
      <w:r w:rsidR="0025686B" w:rsidRPr="0018386D">
        <w:t>efault pri</w:t>
      </w:r>
      <w:r w:rsidR="009752BE" w:rsidRPr="0018386D">
        <w:t xml:space="preserve">vate car </w:t>
      </w:r>
      <w:r w:rsidR="0025686B" w:rsidRPr="0018386D">
        <w:t>emission factors</w:t>
      </w:r>
      <w:r w:rsidR="008A0F73" w:rsidRPr="0018386D">
        <w:t>,</w:t>
      </w:r>
      <w:r w:rsidR="0025686B" w:rsidRPr="0018386D">
        <w:t xml:space="preserve"> and</w:t>
      </w:r>
      <w:r w:rsidR="009752BE" w:rsidRPr="0018386D">
        <w:t xml:space="preserve"> </w:t>
      </w:r>
      <w:hyperlink w:anchor="table20">
        <w:r w:rsidR="00CC5E73" w:rsidRPr="0018386D">
          <w:rPr>
            <w:rStyle w:val="Hyperlink"/>
          </w:rPr>
          <w:t>table 2</w:t>
        </w:r>
        <w:r w:rsidR="00147741" w:rsidRPr="0018386D">
          <w:rPr>
            <w:rStyle w:val="Hyperlink"/>
          </w:rPr>
          <w:t>1</w:t>
        </w:r>
      </w:hyperlink>
      <w:r w:rsidR="004F4E23" w:rsidRPr="0018386D">
        <w:t xml:space="preserve"> lists </w:t>
      </w:r>
      <w:r w:rsidR="009752BE" w:rsidRPr="0018386D">
        <w:t>t</w:t>
      </w:r>
      <w:r w:rsidRPr="0018386D">
        <w:t>he rental car emission factors based on distance travelled</w:t>
      </w:r>
      <w:r w:rsidR="00BF3923" w:rsidRPr="0018386D">
        <w:t xml:space="preserve">. </w:t>
      </w:r>
      <w:hyperlink w:anchor="table21" w:history="1">
        <w:r w:rsidR="00CC5E73" w:rsidRPr="0018386D">
          <w:rPr>
            <w:rStyle w:val="Hyperlink"/>
          </w:rPr>
          <w:t>Table 2</w:t>
        </w:r>
        <w:r w:rsidR="00147741" w:rsidRPr="0018386D">
          <w:rPr>
            <w:rStyle w:val="Hyperlink"/>
          </w:rPr>
          <w:t>2</w:t>
        </w:r>
      </w:hyperlink>
      <w:r w:rsidR="00BA79D8" w:rsidRPr="0018386D">
        <w:t xml:space="preserve"> </w:t>
      </w:r>
      <w:r w:rsidR="008A0F73" w:rsidRPr="0018386D">
        <w:t xml:space="preserve">lists </w:t>
      </w:r>
      <w:r w:rsidR="00BF3923" w:rsidRPr="0018386D">
        <w:t>emission factors for taxi travel based on dollars spent and k</w:t>
      </w:r>
      <w:r w:rsidR="008A0F73" w:rsidRPr="0018386D">
        <w:t>ilo</w:t>
      </w:r>
      <w:r w:rsidR="00BF3923" w:rsidRPr="0018386D">
        <w:t>m</w:t>
      </w:r>
      <w:r w:rsidR="008A0F73" w:rsidRPr="0018386D">
        <w:t>etres</w:t>
      </w:r>
      <w:r w:rsidR="00BF3923" w:rsidRPr="0018386D">
        <w:t xml:space="preserve"> travelled. </w:t>
      </w:r>
    </w:p>
    <w:p w14:paraId="65091A98" w14:textId="5530F4C6" w:rsidR="007E6B46" w:rsidRPr="0018386D" w:rsidRDefault="00C7627E" w:rsidP="00DD3106">
      <w:pPr>
        <w:pStyle w:val="BodyText"/>
      </w:pPr>
      <w:hyperlink w:anchor="table16two" w:history="1">
        <w:r w:rsidR="00CC5E73" w:rsidRPr="00DC3BD1">
          <w:rPr>
            <w:rStyle w:val="Hyperlink"/>
          </w:rPr>
          <w:t>Table 1</w:t>
        </w:r>
        <w:r w:rsidR="00382D3F" w:rsidRPr="00DC3BD1">
          <w:rPr>
            <w:rStyle w:val="Hyperlink"/>
          </w:rPr>
          <w:t>6</w:t>
        </w:r>
      </w:hyperlink>
      <w:r w:rsidR="00CC5E73" w:rsidRPr="0018386D">
        <w:t xml:space="preserve"> </w:t>
      </w:r>
      <w:r w:rsidR="007E6B46" w:rsidRPr="0018386D">
        <w:t xml:space="preserve">details engine sizes and typical </w:t>
      </w:r>
      <w:r w:rsidR="00FB6265" w:rsidRPr="0018386D">
        <w:t xml:space="preserve">corresponding </w:t>
      </w:r>
      <w:r w:rsidR="007E6B46" w:rsidRPr="0018386D">
        <w:t>vehicles</w:t>
      </w:r>
      <w:r w:rsidR="00FB6265" w:rsidRPr="0018386D">
        <w:t>.</w:t>
      </w:r>
    </w:p>
    <w:p w14:paraId="65091A99" w14:textId="737A2970" w:rsidR="00957AEA" w:rsidRPr="0018386D" w:rsidRDefault="00957AEA" w:rsidP="00DD3106">
      <w:pPr>
        <w:pStyle w:val="Tableheading"/>
      </w:pPr>
      <w:bookmarkStart w:id="360" w:name="_Ref532640357"/>
      <w:bookmarkStart w:id="361" w:name="_Toc111536621"/>
      <w:bookmarkStart w:id="362" w:name="_Toc140048956"/>
      <w:r w:rsidRPr="0018386D">
        <w:t xml:space="preserve">Table </w:t>
      </w:r>
      <w:r w:rsidRPr="0018386D">
        <w:fldChar w:fldCharType="begin"/>
      </w:r>
      <w:r w:rsidRPr="0018386D">
        <w:instrText>SEQ Table \* ARABIC</w:instrText>
      </w:r>
      <w:r w:rsidRPr="0018386D">
        <w:fldChar w:fldCharType="separate"/>
      </w:r>
      <w:r w:rsidR="003E141C" w:rsidRPr="0018386D">
        <w:t>16</w:t>
      </w:r>
      <w:r w:rsidRPr="0018386D">
        <w:fldChar w:fldCharType="end"/>
      </w:r>
      <w:bookmarkEnd w:id="360"/>
      <w:r w:rsidR="00BE0BD4" w:rsidRPr="0018386D">
        <w:t>:</w:t>
      </w:r>
      <w:r w:rsidR="00BE0BD4" w:rsidRPr="0018386D">
        <w:tab/>
      </w:r>
      <w:r w:rsidRPr="0018386D">
        <w:t>Vehicle engine sizes and common car types</w:t>
      </w:r>
      <w:bookmarkStart w:id="363" w:name="table16two"/>
      <w:bookmarkEnd w:id="361"/>
      <w:bookmarkEnd w:id="362"/>
      <w:bookmarkEnd w:id="363"/>
    </w:p>
    <w:tbl>
      <w:tblPr>
        <w:tblStyle w:val="TableGrid"/>
        <w:tblW w:w="850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31"/>
        <w:gridCol w:w="1871"/>
        <w:gridCol w:w="2410"/>
        <w:gridCol w:w="2691"/>
      </w:tblGrid>
      <w:tr w:rsidR="00485797" w:rsidRPr="0018386D" w14:paraId="65091A9D" w14:textId="007CE79E" w:rsidTr="00265155">
        <w:tc>
          <w:tcPr>
            <w:tcW w:w="1531" w:type="dxa"/>
            <w:shd w:val="clear" w:color="auto" w:fill="1B556B"/>
            <w:vAlign w:val="bottom"/>
          </w:tcPr>
          <w:p w14:paraId="65091A9A" w14:textId="1720CCC8" w:rsidR="00485797" w:rsidRPr="0018386D" w:rsidRDefault="00485797" w:rsidP="00DD3106">
            <w:pPr>
              <w:pStyle w:val="TableText"/>
              <w:spacing w:before="30" w:after="30"/>
              <w:rPr>
                <w:b/>
                <w:color w:val="FFFFFF" w:themeColor="background1"/>
                <w:szCs w:val="18"/>
              </w:rPr>
            </w:pPr>
            <w:r w:rsidRPr="0018386D">
              <w:rPr>
                <w:b/>
                <w:color w:val="FFFFFF" w:themeColor="background1"/>
                <w:szCs w:val="18"/>
              </w:rPr>
              <w:t xml:space="preserve">Engine </w:t>
            </w:r>
            <w:r w:rsidR="00B12C1F" w:rsidRPr="0018386D">
              <w:rPr>
                <w:b/>
                <w:color w:val="FFFFFF" w:themeColor="background1"/>
                <w:szCs w:val="18"/>
              </w:rPr>
              <w:t>s</w:t>
            </w:r>
            <w:r w:rsidRPr="0018386D">
              <w:rPr>
                <w:b/>
                <w:color w:val="FFFFFF" w:themeColor="background1"/>
                <w:szCs w:val="18"/>
              </w:rPr>
              <w:t>ize</w:t>
            </w:r>
          </w:p>
        </w:tc>
        <w:tc>
          <w:tcPr>
            <w:tcW w:w="1871" w:type="dxa"/>
            <w:shd w:val="clear" w:color="auto" w:fill="1B556B"/>
            <w:vAlign w:val="bottom"/>
          </w:tcPr>
          <w:p w14:paraId="65091A9B" w14:textId="68674D74" w:rsidR="00485797" w:rsidRPr="0018386D" w:rsidRDefault="00485797" w:rsidP="00DD3106">
            <w:pPr>
              <w:pStyle w:val="TableText"/>
              <w:spacing w:before="30" w:after="30"/>
              <w:rPr>
                <w:b/>
                <w:color w:val="FFFFFF" w:themeColor="background1"/>
                <w:szCs w:val="18"/>
              </w:rPr>
            </w:pPr>
            <w:r w:rsidRPr="0018386D">
              <w:rPr>
                <w:b/>
                <w:color w:val="FFFFFF" w:themeColor="background1"/>
                <w:szCs w:val="18"/>
              </w:rPr>
              <w:t xml:space="preserve">Vehicle </w:t>
            </w:r>
            <w:r w:rsidR="00B12C1F" w:rsidRPr="0018386D">
              <w:rPr>
                <w:b/>
                <w:color w:val="FFFFFF" w:themeColor="background1"/>
                <w:szCs w:val="18"/>
              </w:rPr>
              <w:t>s</w:t>
            </w:r>
            <w:r w:rsidRPr="0018386D">
              <w:rPr>
                <w:b/>
                <w:color w:val="FFFFFF" w:themeColor="background1"/>
                <w:szCs w:val="18"/>
              </w:rPr>
              <w:t>ize</w:t>
            </w:r>
          </w:p>
        </w:tc>
        <w:tc>
          <w:tcPr>
            <w:tcW w:w="2410" w:type="dxa"/>
            <w:shd w:val="clear" w:color="auto" w:fill="1B556B"/>
            <w:vAlign w:val="bottom"/>
          </w:tcPr>
          <w:p w14:paraId="65091A9C" w14:textId="77777777" w:rsidR="00485797" w:rsidRPr="0018386D" w:rsidRDefault="00485797" w:rsidP="00DD3106">
            <w:pPr>
              <w:pStyle w:val="TableText"/>
              <w:spacing w:before="30" w:after="30"/>
              <w:rPr>
                <w:b/>
                <w:color w:val="FFFFFF" w:themeColor="background1"/>
                <w:szCs w:val="18"/>
              </w:rPr>
            </w:pPr>
            <w:r w:rsidRPr="0018386D">
              <w:rPr>
                <w:b/>
                <w:color w:val="FFFFFF" w:themeColor="background1"/>
                <w:szCs w:val="18"/>
              </w:rPr>
              <w:t>Example vehicles</w:t>
            </w:r>
          </w:p>
        </w:tc>
        <w:tc>
          <w:tcPr>
            <w:tcW w:w="2691" w:type="dxa"/>
            <w:shd w:val="clear" w:color="auto" w:fill="1B556B"/>
            <w:vAlign w:val="bottom"/>
          </w:tcPr>
          <w:p w14:paraId="52CE4594" w14:textId="299F496D" w:rsidR="00485797" w:rsidRPr="0018386D" w:rsidRDefault="00485797" w:rsidP="00DD3106">
            <w:pPr>
              <w:pStyle w:val="TableText"/>
              <w:spacing w:before="30" w:after="30"/>
              <w:rPr>
                <w:b/>
                <w:color w:val="FFFFFF" w:themeColor="background1"/>
                <w:szCs w:val="18"/>
              </w:rPr>
            </w:pPr>
            <w:r w:rsidRPr="0018386D">
              <w:rPr>
                <w:b/>
                <w:color w:val="FFFFFF" w:themeColor="background1"/>
                <w:szCs w:val="18"/>
              </w:rPr>
              <w:t>Comparative electric vehicles</w:t>
            </w:r>
          </w:p>
        </w:tc>
      </w:tr>
      <w:tr w:rsidR="00485797" w:rsidRPr="0018386D" w14:paraId="65091AA1" w14:textId="4E502CE9" w:rsidTr="00265155">
        <w:tc>
          <w:tcPr>
            <w:tcW w:w="1531" w:type="dxa"/>
          </w:tcPr>
          <w:p w14:paraId="65091A9E" w14:textId="77777777" w:rsidR="00485797" w:rsidRPr="0018386D" w:rsidRDefault="00485797" w:rsidP="00DD3106">
            <w:pPr>
              <w:pStyle w:val="TableText"/>
              <w:spacing w:before="30" w:after="30"/>
              <w:rPr>
                <w:szCs w:val="18"/>
              </w:rPr>
            </w:pPr>
            <w:r w:rsidRPr="0018386D">
              <w:rPr>
                <w:szCs w:val="18"/>
              </w:rPr>
              <w:t>&lt;1350 cc</w:t>
            </w:r>
          </w:p>
        </w:tc>
        <w:tc>
          <w:tcPr>
            <w:tcW w:w="1871" w:type="dxa"/>
          </w:tcPr>
          <w:p w14:paraId="65091A9F" w14:textId="77777777" w:rsidR="00485797" w:rsidRPr="0018386D" w:rsidRDefault="00485797" w:rsidP="00DD3106">
            <w:pPr>
              <w:pStyle w:val="TableText"/>
              <w:spacing w:before="30" w:after="30"/>
              <w:rPr>
                <w:szCs w:val="18"/>
              </w:rPr>
            </w:pPr>
            <w:r w:rsidRPr="0018386D">
              <w:rPr>
                <w:szCs w:val="18"/>
              </w:rPr>
              <w:t>Very small</w:t>
            </w:r>
          </w:p>
        </w:tc>
        <w:tc>
          <w:tcPr>
            <w:tcW w:w="2410" w:type="dxa"/>
          </w:tcPr>
          <w:p w14:paraId="65091AA0" w14:textId="11441C10" w:rsidR="00485797" w:rsidRPr="0018386D" w:rsidRDefault="00485797" w:rsidP="00DD3106">
            <w:pPr>
              <w:pStyle w:val="TableText"/>
              <w:spacing w:before="30" w:after="30"/>
              <w:rPr>
                <w:szCs w:val="18"/>
              </w:rPr>
            </w:pPr>
            <w:r w:rsidRPr="0018386D">
              <w:rPr>
                <w:szCs w:val="18"/>
              </w:rPr>
              <w:t>Fiat 500</w:t>
            </w:r>
          </w:p>
        </w:tc>
        <w:tc>
          <w:tcPr>
            <w:tcW w:w="2691" w:type="dxa"/>
          </w:tcPr>
          <w:p w14:paraId="74D7CC65" w14:textId="21902A34" w:rsidR="00485797" w:rsidRPr="0018386D" w:rsidRDefault="003D63F1" w:rsidP="00DD3106">
            <w:pPr>
              <w:pStyle w:val="TableText"/>
              <w:spacing w:before="30" w:after="30"/>
              <w:rPr>
                <w:szCs w:val="18"/>
              </w:rPr>
            </w:pPr>
            <w:r w:rsidRPr="0018386D">
              <w:rPr>
                <w:szCs w:val="18"/>
              </w:rPr>
              <w:t xml:space="preserve">Peugeot </w:t>
            </w:r>
            <w:proofErr w:type="spellStart"/>
            <w:r w:rsidRPr="0018386D">
              <w:rPr>
                <w:szCs w:val="18"/>
              </w:rPr>
              <w:t>iOn</w:t>
            </w:r>
            <w:proofErr w:type="spellEnd"/>
          </w:p>
        </w:tc>
      </w:tr>
      <w:tr w:rsidR="00485797" w:rsidRPr="0018386D" w14:paraId="65091AA5" w14:textId="15C93229" w:rsidTr="00265155">
        <w:tc>
          <w:tcPr>
            <w:tcW w:w="1531" w:type="dxa"/>
          </w:tcPr>
          <w:p w14:paraId="65091AA2" w14:textId="2DAACA7B" w:rsidR="00485797" w:rsidRPr="0018386D" w:rsidRDefault="00485797" w:rsidP="00DD3106">
            <w:pPr>
              <w:pStyle w:val="TableText"/>
              <w:spacing w:before="30" w:after="30"/>
              <w:rPr>
                <w:szCs w:val="18"/>
              </w:rPr>
            </w:pPr>
            <w:r w:rsidRPr="0018386D">
              <w:rPr>
                <w:szCs w:val="18"/>
              </w:rPr>
              <w:t>1350</w:t>
            </w:r>
            <w:r w:rsidR="00E53D77" w:rsidRPr="0018386D">
              <w:rPr>
                <w:szCs w:val="18"/>
              </w:rPr>
              <w:t>–</w:t>
            </w:r>
            <w:r w:rsidR="00281556" w:rsidRPr="0018386D">
              <w:rPr>
                <w:rFonts w:cs="Calibri"/>
                <w:color w:val="000000"/>
                <w:szCs w:val="18"/>
              </w:rPr>
              <w:t xml:space="preserve"> </w:t>
            </w:r>
            <w:r w:rsidR="00281556" w:rsidRPr="0018386D">
              <w:rPr>
                <w:szCs w:val="18"/>
              </w:rPr>
              <w:t>&lt;</w:t>
            </w:r>
            <w:r w:rsidRPr="0018386D">
              <w:rPr>
                <w:szCs w:val="18"/>
              </w:rPr>
              <w:t>1600 cc</w:t>
            </w:r>
          </w:p>
        </w:tc>
        <w:tc>
          <w:tcPr>
            <w:tcW w:w="1871" w:type="dxa"/>
          </w:tcPr>
          <w:p w14:paraId="65091AA3" w14:textId="77777777" w:rsidR="00485797" w:rsidRPr="0018386D" w:rsidRDefault="00485797" w:rsidP="00DD3106">
            <w:pPr>
              <w:pStyle w:val="TableText"/>
              <w:spacing w:before="30" w:after="30"/>
              <w:rPr>
                <w:szCs w:val="18"/>
              </w:rPr>
            </w:pPr>
            <w:r w:rsidRPr="0018386D">
              <w:rPr>
                <w:szCs w:val="18"/>
              </w:rPr>
              <w:t>Small</w:t>
            </w:r>
          </w:p>
        </w:tc>
        <w:tc>
          <w:tcPr>
            <w:tcW w:w="2410" w:type="dxa"/>
          </w:tcPr>
          <w:p w14:paraId="65091AA4" w14:textId="304DB0F4" w:rsidR="00485797" w:rsidRPr="0018386D" w:rsidRDefault="00485797" w:rsidP="00DD3106">
            <w:pPr>
              <w:pStyle w:val="TableText"/>
              <w:spacing w:before="30" w:after="30"/>
              <w:rPr>
                <w:szCs w:val="18"/>
              </w:rPr>
            </w:pPr>
            <w:r w:rsidRPr="0018386D">
              <w:rPr>
                <w:szCs w:val="18"/>
              </w:rPr>
              <w:t>Suzuki Swift</w:t>
            </w:r>
          </w:p>
        </w:tc>
        <w:tc>
          <w:tcPr>
            <w:tcW w:w="2691" w:type="dxa"/>
          </w:tcPr>
          <w:p w14:paraId="6295FEEC" w14:textId="16BF5BF6" w:rsidR="00485797" w:rsidRPr="0018386D" w:rsidRDefault="003D63F1" w:rsidP="00DD3106">
            <w:pPr>
              <w:pStyle w:val="TableText"/>
              <w:spacing w:before="30" w:after="30"/>
              <w:rPr>
                <w:szCs w:val="18"/>
              </w:rPr>
            </w:pPr>
            <w:r w:rsidRPr="0018386D">
              <w:rPr>
                <w:szCs w:val="18"/>
              </w:rPr>
              <w:t>Renault Zoe</w:t>
            </w:r>
          </w:p>
        </w:tc>
      </w:tr>
      <w:tr w:rsidR="00485797" w:rsidRPr="0018386D" w14:paraId="65091AA9" w14:textId="2F618E22" w:rsidTr="00265155">
        <w:tc>
          <w:tcPr>
            <w:tcW w:w="1531" w:type="dxa"/>
          </w:tcPr>
          <w:p w14:paraId="65091AA6" w14:textId="582C4CAF" w:rsidR="00485797" w:rsidRPr="0018386D" w:rsidRDefault="00485797" w:rsidP="00DD3106">
            <w:pPr>
              <w:pStyle w:val="TableText"/>
              <w:spacing w:before="30" w:after="30"/>
              <w:rPr>
                <w:szCs w:val="18"/>
              </w:rPr>
            </w:pPr>
            <w:r w:rsidRPr="0018386D">
              <w:rPr>
                <w:szCs w:val="18"/>
              </w:rPr>
              <w:t>1600</w:t>
            </w:r>
            <w:r w:rsidR="00E53D77" w:rsidRPr="0018386D">
              <w:rPr>
                <w:szCs w:val="18"/>
              </w:rPr>
              <w:t>–</w:t>
            </w:r>
            <w:r w:rsidR="00281556" w:rsidRPr="0018386D">
              <w:rPr>
                <w:szCs w:val="18"/>
              </w:rPr>
              <w:t>&lt;</w:t>
            </w:r>
            <w:r w:rsidRPr="0018386D">
              <w:rPr>
                <w:szCs w:val="18"/>
              </w:rPr>
              <w:t>2000 cc</w:t>
            </w:r>
          </w:p>
        </w:tc>
        <w:tc>
          <w:tcPr>
            <w:tcW w:w="1871" w:type="dxa"/>
          </w:tcPr>
          <w:p w14:paraId="65091AA7" w14:textId="77777777" w:rsidR="00485797" w:rsidRPr="0018386D" w:rsidRDefault="00485797" w:rsidP="00DD3106">
            <w:pPr>
              <w:pStyle w:val="TableText"/>
              <w:spacing w:before="30" w:after="30"/>
              <w:rPr>
                <w:szCs w:val="18"/>
              </w:rPr>
            </w:pPr>
            <w:r w:rsidRPr="0018386D">
              <w:rPr>
                <w:szCs w:val="18"/>
              </w:rPr>
              <w:t>Medium</w:t>
            </w:r>
          </w:p>
        </w:tc>
        <w:tc>
          <w:tcPr>
            <w:tcW w:w="2410" w:type="dxa"/>
          </w:tcPr>
          <w:p w14:paraId="65091AA8" w14:textId="77777777" w:rsidR="00485797" w:rsidRPr="0018386D" w:rsidRDefault="00485797" w:rsidP="00DD3106">
            <w:pPr>
              <w:pStyle w:val="TableText"/>
              <w:spacing w:before="30" w:after="30"/>
              <w:rPr>
                <w:szCs w:val="18"/>
              </w:rPr>
            </w:pPr>
            <w:r w:rsidRPr="0018386D">
              <w:rPr>
                <w:szCs w:val="18"/>
              </w:rPr>
              <w:t>Toyota Corolla</w:t>
            </w:r>
          </w:p>
        </w:tc>
        <w:tc>
          <w:tcPr>
            <w:tcW w:w="2691" w:type="dxa"/>
          </w:tcPr>
          <w:p w14:paraId="4C96857E" w14:textId="6F8055D8" w:rsidR="00485797" w:rsidRPr="0018386D" w:rsidRDefault="003D63F1" w:rsidP="00DD3106">
            <w:pPr>
              <w:pStyle w:val="TableText"/>
              <w:spacing w:before="30" w:after="30"/>
              <w:rPr>
                <w:szCs w:val="18"/>
              </w:rPr>
            </w:pPr>
            <w:r w:rsidRPr="0018386D">
              <w:rPr>
                <w:szCs w:val="18"/>
              </w:rPr>
              <w:t>Nissan Leaf</w:t>
            </w:r>
          </w:p>
        </w:tc>
      </w:tr>
      <w:tr w:rsidR="00485797" w:rsidRPr="0018386D" w14:paraId="65091AAD" w14:textId="458C1621" w:rsidTr="00265155">
        <w:tc>
          <w:tcPr>
            <w:tcW w:w="1531" w:type="dxa"/>
          </w:tcPr>
          <w:p w14:paraId="65091AAA" w14:textId="3686C299" w:rsidR="00485797" w:rsidRPr="0018386D" w:rsidRDefault="00485797" w:rsidP="00DD3106">
            <w:pPr>
              <w:pStyle w:val="TableText"/>
              <w:spacing w:before="30" w:after="30"/>
              <w:rPr>
                <w:szCs w:val="18"/>
              </w:rPr>
            </w:pPr>
            <w:r w:rsidRPr="0018386D">
              <w:rPr>
                <w:szCs w:val="18"/>
              </w:rPr>
              <w:t>2000</w:t>
            </w:r>
            <w:r w:rsidR="00E53D77" w:rsidRPr="0018386D">
              <w:rPr>
                <w:szCs w:val="18"/>
              </w:rPr>
              <w:t>–</w:t>
            </w:r>
            <w:r w:rsidR="00281556" w:rsidRPr="0018386D">
              <w:rPr>
                <w:szCs w:val="18"/>
              </w:rPr>
              <w:t>&lt;</w:t>
            </w:r>
            <w:r w:rsidRPr="0018386D">
              <w:rPr>
                <w:szCs w:val="18"/>
              </w:rPr>
              <w:t>3000 cc</w:t>
            </w:r>
          </w:p>
        </w:tc>
        <w:tc>
          <w:tcPr>
            <w:tcW w:w="1871" w:type="dxa"/>
          </w:tcPr>
          <w:p w14:paraId="65091AAB" w14:textId="77777777" w:rsidR="00485797" w:rsidRPr="0018386D" w:rsidRDefault="00485797" w:rsidP="00DD3106">
            <w:pPr>
              <w:pStyle w:val="TableText"/>
              <w:spacing w:before="30" w:after="30"/>
              <w:rPr>
                <w:szCs w:val="18"/>
              </w:rPr>
            </w:pPr>
            <w:r w:rsidRPr="0018386D">
              <w:rPr>
                <w:szCs w:val="18"/>
              </w:rPr>
              <w:t>Large</w:t>
            </w:r>
          </w:p>
        </w:tc>
        <w:tc>
          <w:tcPr>
            <w:tcW w:w="2410" w:type="dxa"/>
          </w:tcPr>
          <w:p w14:paraId="65091AAC" w14:textId="77777777" w:rsidR="00485797" w:rsidRPr="0018386D" w:rsidRDefault="00485797" w:rsidP="00DD3106">
            <w:pPr>
              <w:pStyle w:val="TableText"/>
              <w:spacing w:before="30" w:after="30"/>
              <w:rPr>
                <w:szCs w:val="18"/>
              </w:rPr>
            </w:pPr>
            <w:r w:rsidRPr="0018386D">
              <w:rPr>
                <w:szCs w:val="18"/>
              </w:rPr>
              <w:t>Toyota RAV4</w:t>
            </w:r>
          </w:p>
        </w:tc>
        <w:tc>
          <w:tcPr>
            <w:tcW w:w="2691" w:type="dxa"/>
          </w:tcPr>
          <w:p w14:paraId="2A39C449" w14:textId="3B789346" w:rsidR="00485797" w:rsidRPr="0018386D" w:rsidRDefault="003D63F1" w:rsidP="00DD3106">
            <w:pPr>
              <w:pStyle w:val="TableText"/>
              <w:spacing w:before="30" w:after="30"/>
              <w:rPr>
                <w:szCs w:val="18"/>
              </w:rPr>
            </w:pPr>
            <w:r w:rsidRPr="0018386D">
              <w:rPr>
                <w:szCs w:val="18"/>
              </w:rPr>
              <w:t xml:space="preserve">Hyundai </w:t>
            </w:r>
            <w:proofErr w:type="spellStart"/>
            <w:r w:rsidRPr="0018386D">
              <w:rPr>
                <w:szCs w:val="18"/>
              </w:rPr>
              <w:t>Ioniq</w:t>
            </w:r>
            <w:proofErr w:type="spellEnd"/>
          </w:p>
        </w:tc>
      </w:tr>
      <w:tr w:rsidR="00485797" w:rsidRPr="0018386D" w14:paraId="65091AB1" w14:textId="052BE543" w:rsidTr="00265155">
        <w:tc>
          <w:tcPr>
            <w:tcW w:w="1531" w:type="dxa"/>
          </w:tcPr>
          <w:p w14:paraId="65091AAE" w14:textId="77777777" w:rsidR="00485797" w:rsidRPr="0018386D" w:rsidRDefault="00485797" w:rsidP="00DD3106">
            <w:pPr>
              <w:pStyle w:val="TableText"/>
              <w:spacing w:before="30" w:after="30"/>
              <w:rPr>
                <w:szCs w:val="18"/>
              </w:rPr>
            </w:pPr>
            <w:r w:rsidRPr="0018386D">
              <w:rPr>
                <w:szCs w:val="18"/>
              </w:rPr>
              <w:t>&gt;3000</w:t>
            </w:r>
          </w:p>
        </w:tc>
        <w:tc>
          <w:tcPr>
            <w:tcW w:w="1871" w:type="dxa"/>
          </w:tcPr>
          <w:p w14:paraId="65091AAF" w14:textId="77777777" w:rsidR="00485797" w:rsidRPr="0018386D" w:rsidRDefault="00485797" w:rsidP="00DD3106">
            <w:pPr>
              <w:pStyle w:val="TableText"/>
              <w:spacing w:before="30" w:after="30"/>
              <w:rPr>
                <w:szCs w:val="18"/>
              </w:rPr>
            </w:pPr>
            <w:r w:rsidRPr="0018386D">
              <w:rPr>
                <w:szCs w:val="18"/>
              </w:rPr>
              <w:t>Very large</w:t>
            </w:r>
          </w:p>
        </w:tc>
        <w:tc>
          <w:tcPr>
            <w:tcW w:w="2410" w:type="dxa"/>
          </w:tcPr>
          <w:p w14:paraId="65091AB0" w14:textId="77777777" w:rsidR="00485797" w:rsidRPr="0018386D" w:rsidRDefault="00485797" w:rsidP="00DD3106">
            <w:pPr>
              <w:pStyle w:val="TableText"/>
              <w:spacing w:before="30" w:after="30"/>
              <w:rPr>
                <w:szCs w:val="18"/>
              </w:rPr>
            </w:pPr>
            <w:r w:rsidRPr="0018386D">
              <w:rPr>
                <w:szCs w:val="18"/>
              </w:rPr>
              <w:t>Ford Ranger</w:t>
            </w:r>
          </w:p>
        </w:tc>
        <w:tc>
          <w:tcPr>
            <w:tcW w:w="2691" w:type="dxa"/>
          </w:tcPr>
          <w:p w14:paraId="0006EC6C" w14:textId="3CE9B2BB" w:rsidR="00485797" w:rsidRPr="0018386D" w:rsidRDefault="003D63F1" w:rsidP="00DD3106">
            <w:pPr>
              <w:pStyle w:val="TableText"/>
              <w:spacing w:before="30" w:after="30"/>
              <w:rPr>
                <w:szCs w:val="18"/>
              </w:rPr>
            </w:pPr>
            <w:r w:rsidRPr="0018386D">
              <w:rPr>
                <w:szCs w:val="18"/>
              </w:rPr>
              <w:t xml:space="preserve">Nissan </w:t>
            </w:r>
            <w:r w:rsidR="008D1DC0" w:rsidRPr="0018386D">
              <w:rPr>
                <w:szCs w:val="18"/>
              </w:rPr>
              <w:t>e-NV</w:t>
            </w:r>
            <w:r w:rsidRPr="0018386D">
              <w:rPr>
                <w:szCs w:val="18"/>
              </w:rPr>
              <w:t>200</w:t>
            </w:r>
          </w:p>
        </w:tc>
      </w:tr>
    </w:tbl>
    <w:p w14:paraId="65091AB3" w14:textId="7167CAD8" w:rsidR="00957AEA" w:rsidRPr="0018386D" w:rsidRDefault="004837A7" w:rsidP="00DD3106">
      <w:pPr>
        <w:pStyle w:val="Tableheading"/>
        <w:spacing w:before="240"/>
      </w:pPr>
      <w:bookmarkStart w:id="364" w:name="_Ref55220322"/>
      <w:bookmarkStart w:id="365" w:name="table16"/>
      <w:bookmarkStart w:id="366" w:name="_Ref529968837"/>
      <w:bookmarkStart w:id="367" w:name="_Ref532643231"/>
      <w:bookmarkStart w:id="368" w:name="_Ref611469"/>
      <w:bookmarkStart w:id="369" w:name="_Toc111536622"/>
      <w:bookmarkStart w:id="370" w:name="_Toc140048957"/>
      <w:r w:rsidRPr="0018386D">
        <w:t xml:space="preserve">Table </w:t>
      </w:r>
      <w:r w:rsidRPr="0018386D">
        <w:fldChar w:fldCharType="begin"/>
      </w:r>
      <w:r w:rsidRPr="0018386D">
        <w:instrText>SEQ Table \* ARABIC</w:instrText>
      </w:r>
      <w:r w:rsidRPr="0018386D">
        <w:fldChar w:fldCharType="separate"/>
      </w:r>
      <w:r w:rsidR="003E141C" w:rsidRPr="0018386D">
        <w:t>17</w:t>
      </w:r>
      <w:r w:rsidRPr="0018386D">
        <w:fldChar w:fldCharType="end"/>
      </w:r>
      <w:bookmarkEnd w:id="364"/>
      <w:bookmarkEnd w:id="365"/>
      <w:r w:rsidRPr="0018386D">
        <w:t>:</w:t>
      </w:r>
      <w:r w:rsidR="00D61811" w:rsidRPr="0018386D">
        <w:tab/>
      </w:r>
      <w:proofErr w:type="gramStart"/>
      <w:r w:rsidRPr="0018386D">
        <w:t>Pre-2010</w:t>
      </w:r>
      <w:proofErr w:type="gramEnd"/>
      <w:r w:rsidRPr="0018386D">
        <w:t xml:space="preserve"> vehicle fleet emission fac</w:t>
      </w:r>
      <w:r w:rsidR="000B77D6" w:rsidRPr="0018386D">
        <w:t>t</w:t>
      </w:r>
      <w:r w:rsidRPr="0018386D">
        <w:t>ors per km travelled</w:t>
      </w:r>
      <w:bookmarkEnd w:id="366"/>
      <w:bookmarkEnd w:id="367"/>
      <w:bookmarkEnd w:id="368"/>
      <w:bookmarkEnd w:id="369"/>
      <w:bookmarkEnd w:id="370"/>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452"/>
        <w:gridCol w:w="1342"/>
        <w:gridCol w:w="561"/>
        <w:gridCol w:w="1291"/>
        <w:gridCol w:w="1175"/>
        <w:gridCol w:w="1342"/>
        <w:gridCol w:w="1342"/>
      </w:tblGrid>
      <w:tr w:rsidR="003E0FAE" w:rsidRPr="0018386D" w14:paraId="35335B2B" w14:textId="77777777" w:rsidTr="00575E53">
        <w:trPr>
          <w:divId w:val="742072273"/>
          <w:tblHeader/>
        </w:trPr>
        <w:tc>
          <w:tcPr>
            <w:tcW w:w="1474" w:type="dxa"/>
            <w:tcBorders>
              <w:bottom w:val="nil"/>
            </w:tcBorders>
            <w:shd w:val="clear" w:color="000000" w:fill="1C556C"/>
            <w:noWrap/>
            <w:vAlign w:val="bottom"/>
            <w:hideMark/>
          </w:tcPr>
          <w:p w14:paraId="2870DB6B" w14:textId="1F70F25D" w:rsidR="008E2ED2" w:rsidRPr="0018386D" w:rsidRDefault="008E2ED2" w:rsidP="00DD3106">
            <w:pPr>
              <w:pStyle w:val="TableTextbold"/>
              <w:spacing w:before="30" w:after="30"/>
              <w:rPr>
                <w:color w:val="FFFFFF" w:themeColor="background1"/>
                <w:lang w:bidi="th-TH"/>
              </w:rPr>
            </w:pPr>
            <w:bookmarkStart w:id="371" w:name="_1746366789"/>
            <w:bookmarkStart w:id="372" w:name="_1747051252"/>
            <w:bookmarkEnd w:id="371"/>
            <w:bookmarkEnd w:id="372"/>
            <w:r w:rsidRPr="0018386D">
              <w:rPr>
                <w:color w:val="FFFFFF" w:themeColor="background1"/>
                <w:lang w:bidi="th-TH"/>
              </w:rPr>
              <w:t>Emission source category</w:t>
            </w:r>
          </w:p>
        </w:tc>
        <w:tc>
          <w:tcPr>
            <w:tcW w:w="1361" w:type="dxa"/>
            <w:shd w:val="clear" w:color="000000" w:fill="1C556C"/>
            <w:noWrap/>
            <w:vAlign w:val="bottom"/>
            <w:hideMark/>
          </w:tcPr>
          <w:p w14:paraId="0C9E6DF8" w14:textId="77777777" w:rsidR="008E2ED2" w:rsidRPr="0018386D" w:rsidRDefault="008E2ED2" w:rsidP="00DD3106">
            <w:pPr>
              <w:pStyle w:val="TableTextbold"/>
              <w:spacing w:before="30" w:after="30"/>
              <w:rPr>
                <w:color w:val="FFFFFF" w:themeColor="background1"/>
                <w:lang w:bidi="th-TH"/>
              </w:rPr>
            </w:pPr>
            <w:r w:rsidRPr="0018386D">
              <w:rPr>
                <w:color w:val="FFFFFF" w:themeColor="background1"/>
                <w:lang w:bidi="th-TH"/>
              </w:rPr>
              <w:t> </w:t>
            </w:r>
          </w:p>
        </w:tc>
        <w:tc>
          <w:tcPr>
            <w:tcW w:w="567" w:type="dxa"/>
            <w:shd w:val="clear" w:color="000000" w:fill="1C556C"/>
            <w:noWrap/>
            <w:vAlign w:val="bottom"/>
            <w:hideMark/>
          </w:tcPr>
          <w:p w14:paraId="34ED6B42" w14:textId="77777777" w:rsidR="008E2ED2" w:rsidRPr="0018386D" w:rsidRDefault="008E2ED2" w:rsidP="00DD3106">
            <w:pPr>
              <w:pStyle w:val="TableTextbold"/>
              <w:spacing w:before="30" w:after="30"/>
              <w:rPr>
                <w:color w:val="FFFFFF" w:themeColor="background1"/>
                <w:lang w:bidi="th-TH"/>
              </w:rPr>
            </w:pPr>
            <w:r w:rsidRPr="0018386D">
              <w:rPr>
                <w:color w:val="FFFFFF" w:themeColor="background1"/>
                <w:lang w:bidi="th-TH"/>
              </w:rPr>
              <w:t>Unit</w:t>
            </w:r>
          </w:p>
        </w:tc>
        <w:tc>
          <w:tcPr>
            <w:tcW w:w="1309" w:type="dxa"/>
            <w:shd w:val="clear" w:color="000000" w:fill="1C556C"/>
            <w:noWrap/>
            <w:vAlign w:val="bottom"/>
            <w:hideMark/>
          </w:tcPr>
          <w:p w14:paraId="1338843E" w14:textId="500D197B" w:rsidR="008E2ED2" w:rsidRPr="0018386D" w:rsidRDefault="008E2ED2" w:rsidP="00DD3106">
            <w:pPr>
              <w:pStyle w:val="TableTextbold"/>
              <w:spacing w:before="30" w:after="30"/>
              <w:rPr>
                <w:color w:val="FFFFFF" w:themeColor="background1"/>
                <w:lang w:bidi="th-TH"/>
              </w:rPr>
            </w:pPr>
            <w:r w:rsidRPr="0018386D">
              <w:rPr>
                <w:color w:val="FFFFFF" w:themeColor="background1"/>
                <w:lang w:bidi="th-TH"/>
              </w:rPr>
              <w:t>kg CO₂-e/unit</w:t>
            </w:r>
          </w:p>
        </w:tc>
        <w:tc>
          <w:tcPr>
            <w:tcW w:w="1191" w:type="dxa"/>
            <w:shd w:val="clear" w:color="000000" w:fill="1C556C"/>
            <w:noWrap/>
            <w:vAlign w:val="bottom"/>
            <w:hideMark/>
          </w:tcPr>
          <w:p w14:paraId="7A35FA03" w14:textId="68ED45D2" w:rsidR="008E2ED2" w:rsidRPr="0018386D" w:rsidRDefault="008E2ED2" w:rsidP="00DD3106">
            <w:pPr>
              <w:pStyle w:val="TableTextbold"/>
              <w:spacing w:before="30" w:after="30"/>
              <w:rPr>
                <w:color w:val="FFFFFF" w:themeColor="background1"/>
                <w:lang w:bidi="th-TH"/>
              </w:rPr>
            </w:pPr>
            <w:r w:rsidRPr="0018386D">
              <w:rPr>
                <w:color w:val="FFFFFF" w:themeColor="background1"/>
                <w:lang w:bidi="th-TH"/>
              </w:rPr>
              <w:t>CO₂ (kg CO₂</w:t>
            </w:r>
            <w:r w:rsidRPr="0018386D">
              <w:rPr>
                <w:color w:val="FFFFFF" w:themeColor="background1"/>
                <w:lang w:bidi="th-TH"/>
              </w:rPr>
              <w:noBreakHyphen/>
              <w:t>e/unit)</w:t>
            </w:r>
          </w:p>
        </w:tc>
        <w:tc>
          <w:tcPr>
            <w:tcW w:w="1361" w:type="dxa"/>
            <w:shd w:val="clear" w:color="000000" w:fill="1C556C"/>
            <w:noWrap/>
            <w:vAlign w:val="bottom"/>
            <w:hideMark/>
          </w:tcPr>
          <w:p w14:paraId="03C54DD7" w14:textId="30FFE47F" w:rsidR="008E2ED2" w:rsidRPr="0018386D" w:rsidRDefault="008E2ED2" w:rsidP="00DD3106">
            <w:pPr>
              <w:pStyle w:val="TableTextbold"/>
              <w:spacing w:before="30" w:after="30"/>
              <w:rPr>
                <w:color w:val="FFFFFF" w:themeColor="background1"/>
                <w:lang w:bidi="th-TH"/>
              </w:rPr>
            </w:pPr>
            <w:r w:rsidRPr="0018386D">
              <w:rPr>
                <w:color w:val="FFFFFF" w:themeColor="background1"/>
                <w:lang w:bidi="th-TH"/>
              </w:rPr>
              <w:t>CH₄ (kg CO₂-e/</w:t>
            </w:r>
            <w:r w:rsidR="003E0FAE" w:rsidRPr="0018386D">
              <w:rPr>
                <w:color w:val="FFFFFF" w:themeColor="background1"/>
                <w:lang w:bidi="th-TH"/>
              </w:rPr>
              <w:t xml:space="preserve"> </w:t>
            </w:r>
            <w:r w:rsidRPr="0018386D">
              <w:rPr>
                <w:color w:val="FFFFFF" w:themeColor="background1"/>
                <w:lang w:bidi="th-TH"/>
              </w:rPr>
              <w:t>unit)</w:t>
            </w:r>
          </w:p>
        </w:tc>
        <w:tc>
          <w:tcPr>
            <w:tcW w:w="1361" w:type="dxa"/>
            <w:shd w:val="clear" w:color="000000" w:fill="1C556C"/>
            <w:noWrap/>
            <w:vAlign w:val="bottom"/>
            <w:hideMark/>
          </w:tcPr>
          <w:p w14:paraId="4347D140" w14:textId="63EDA364" w:rsidR="008E2ED2" w:rsidRPr="0018386D" w:rsidRDefault="008E2ED2" w:rsidP="00DD3106">
            <w:pPr>
              <w:pStyle w:val="TableTextbold"/>
              <w:spacing w:before="30" w:after="30"/>
              <w:rPr>
                <w:color w:val="FFFFFF" w:themeColor="background1"/>
                <w:lang w:bidi="th-TH"/>
              </w:rPr>
            </w:pPr>
            <w:r w:rsidRPr="0018386D">
              <w:rPr>
                <w:color w:val="FFFFFF" w:themeColor="background1"/>
                <w:lang w:bidi="th-TH"/>
              </w:rPr>
              <w:t>N₂O (kg CO₂-e/</w:t>
            </w:r>
            <w:r w:rsidR="003E0FAE" w:rsidRPr="0018386D">
              <w:rPr>
                <w:color w:val="FFFFFF" w:themeColor="background1"/>
                <w:lang w:bidi="th-TH"/>
              </w:rPr>
              <w:t xml:space="preserve"> </w:t>
            </w:r>
            <w:r w:rsidRPr="0018386D">
              <w:rPr>
                <w:color w:val="FFFFFF" w:themeColor="background1"/>
                <w:lang w:bidi="th-TH"/>
              </w:rPr>
              <w:t>unit)</w:t>
            </w:r>
          </w:p>
        </w:tc>
      </w:tr>
      <w:tr w:rsidR="003E0FAE" w:rsidRPr="0018386D" w14:paraId="039456C7" w14:textId="77777777" w:rsidTr="00575E53">
        <w:trPr>
          <w:divId w:val="742072273"/>
        </w:trPr>
        <w:tc>
          <w:tcPr>
            <w:tcW w:w="1474" w:type="dxa"/>
            <w:tcBorders>
              <w:top w:val="nil"/>
              <w:bottom w:val="nil"/>
              <w:right w:val="single" w:sz="4" w:space="0" w:color="auto"/>
            </w:tcBorders>
            <w:shd w:val="clear" w:color="000000" w:fill="FFFFFF"/>
            <w:noWrap/>
            <w:hideMark/>
          </w:tcPr>
          <w:p w14:paraId="0E3D4F1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Petrol vehicle</w:t>
            </w:r>
          </w:p>
        </w:tc>
        <w:tc>
          <w:tcPr>
            <w:tcW w:w="1361" w:type="dxa"/>
            <w:tcBorders>
              <w:left w:val="single" w:sz="4" w:space="0" w:color="auto"/>
            </w:tcBorders>
            <w:shd w:val="clear" w:color="000000" w:fill="FFFFFF"/>
            <w:noWrap/>
            <w:hideMark/>
          </w:tcPr>
          <w:p w14:paraId="610F4632"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&lt;1350 cc</w:t>
            </w:r>
          </w:p>
        </w:tc>
        <w:tc>
          <w:tcPr>
            <w:tcW w:w="567" w:type="dxa"/>
            <w:shd w:val="clear" w:color="000000" w:fill="FFFFFF"/>
            <w:noWrap/>
            <w:hideMark/>
          </w:tcPr>
          <w:p w14:paraId="2204D225"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2DFE9116" w14:textId="06455286" w:rsidR="008E2ED2" w:rsidRPr="0018386D" w:rsidRDefault="008E2ED2" w:rsidP="00DD3106">
            <w:pPr>
              <w:pStyle w:val="TableText"/>
              <w:spacing w:before="30" w:after="30"/>
              <w:rPr>
                <w:rFonts w:cs="Calibri"/>
                <w:szCs w:val="18"/>
                <w:lang w:bidi="th-TH"/>
              </w:rPr>
            </w:pPr>
            <w:r w:rsidRPr="0018386D">
              <w:rPr>
                <w:rFonts w:cs="Calibri"/>
                <w:szCs w:val="18"/>
                <w:lang w:bidi="th-TH"/>
              </w:rPr>
              <w:t>0.195</w:t>
            </w:r>
          </w:p>
        </w:tc>
        <w:tc>
          <w:tcPr>
            <w:tcW w:w="1191" w:type="dxa"/>
            <w:shd w:val="clear" w:color="000000" w:fill="FFFFFF"/>
            <w:noWrap/>
            <w:hideMark/>
          </w:tcPr>
          <w:p w14:paraId="1A10C2F3" w14:textId="2C7B7FCD" w:rsidR="008E2ED2" w:rsidRPr="0018386D" w:rsidRDefault="008E2ED2" w:rsidP="00DD3106">
            <w:pPr>
              <w:pStyle w:val="TableText"/>
              <w:spacing w:before="30" w:after="30"/>
              <w:rPr>
                <w:rFonts w:cs="Calibri"/>
                <w:szCs w:val="18"/>
                <w:lang w:bidi="th-TH"/>
              </w:rPr>
            </w:pPr>
            <w:r w:rsidRPr="0018386D">
              <w:rPr>
                <w:rFonts w:cs="Calibri"/>
                <w:szCs w:val="18"/>
                <w:lang w:bidi="th-TH"/>
              </w:rPr>
              <w:t>0.186</w:t>
            </w:r>
          </w:p>
        </w:tc>
        <w:tc>
          <w:tcPr>
            <w:tcW w:w="1361" w:type="dxa"/>
            <w:shd w:val="clear" w:color="000000" w:fill="FFFFFF"/>
            <w:noWrap/>
            <w:hideMark/>
          </w:tcPr>
          <w:p w14:paraId="1013A279" w14:textId="18E299E4" w:rsidR="008E2ED2" w:rsidRPr="0018386D" w:rsidRDefault="008E2ED2" w:rsidP="00DD3106">
            <w:pPr>
              <w:pStyle w:val="TableText"/>
              <w:spacing w:before="30" w:after="30"/>
              <w:rPr>
                <w:rFonts w:cs="Calibri"/>
                <w:szCs w:val="18"/>
                <w:lang w:bidi="th-TH"/>
              </w:rPr>
            </w:pPr>
            <w:r w:rsidRPr="0018386D">
              <w:rPr>
                <w:rFonts w:cs="Calibri"/>
                <w:szCs w:val="18"/>
                <w:lang w:bidi="th-TH"/>
              </w:rPr>
              <w:t>0.00245</w:t>
            </w:r>
          </w:p>
        </w:tc>
        <w:tc>
          <w:tcPr>
            <w:tcW w:w="1361" w:type="dxa"/>
            <w:shd w:val="clear" w:color="000000" w:fill="FFFFFF"/>
            <w:noWrap/>
            <w:hideMark/>
          </w:tcPr>
          <w:p w14:paraId="5C4CA64A" w14:textId="48367F11" w:rsidR="008E2ED2" w:rsidRPr="0018386D" w:rsidRDefault="008E2ED2" w:rsidP="00DD3106">
            <w:pPr>
              <w:pStyle w:val="TableText"/>
              <w:spacing w:before="30" w:after="30"/>
              <w:rPr>
                <w:rFonts w:cs="Calibri"/>
                <w:szCs w:val="18"/>
                <w:lang w:bidi="th-TH"/>
              </w:rPr>
            </w:pPr>
            <w:r w:rsidRPr="0018386D">
              <w:rPr>
                <w:rFonts w:cs="Calibri"/>
                <w:szCs w:val="18"/>
                <w:lang w:bidi="th-TH"/>
              </w:rPr>
              <w:t>0.00562</w:t>
            </w:r>
          </w:p>
        </w:tc>
      </w:tr>
      <w:tr w:rsidR="003E0FAE" w:rsidRPr="0018386D" w14:paraId="15CBF9B1" w14:textId="77777777" w:rsidTr="00575E53">
        <w:trPr>
          <w:divId w:val="742072273"/>
        </w:trPr>
        <w:tc>
          <w:tcPr>
            <w:tcW w:w="1474" w:type="dxa"/>
            <w:tcBorders>
              <w:top w:val="nil"/>
              <w:bottom w:val="nil"/>
              <w:right w:val="single" w:sz="4" w:space="0" w:color="auto"/>
            </w:tcBorders>
            <w:shd w:val="clear" w:color="000000" w:fill="FFFFFF"/>
            <w:noWrap/>
            <w:hideMark/>
          </w:tcPr>
          <w:p w14:paraId="6CD1C75D"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46DA2808" w14:textId="6A169BF3" w:rsidR="008E2ED2" w:rsidRPr="0018386D" w:rsidRDefault="008E2ED2" w:rsidP="00DD3106">
            <w:pPr>
              <w:pStyle w:val="TableText"/>
              <w:spacing w:before="30" w:after="30"/>
              <w:rPr>
                <w:rFonts w:cs="Calibri"/>
                <w:szCs w:val="18"/>
                <w:lang w:bidi="th-TH"/>
              </w:rPr>
            </w:pPr>
            <w:r w:rsidRPr="0018386D">
              <w:rPr>
                <w:rFonts w:cs="Calibri"/>
                <w:szCs w:val="18"/>
                <w:lang w:bidi="th-TH"/>
              </w:rPr>
              <w:t>1350–&lt;1600 cc</w:t>
            </w:r>
          </w:p>
        </w:tc>
        <w:tc>
          <w:tcPr>
            <w:tcW w:w="567" w:type="dxa"/>
            <w:shd w:val="clear" w:color="000000" w:fill="FFFFFF"/>
            <w:noWrap/>
            <w:hideMark/>
          </w:tcPr>
          <w:p w14:paraId="3A3E8E74"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0CEBBFED" w14:textId="00699C1D" w:rsidR="008E2ED2" w:rsidRPr="0018386D" w:rsidRDefault="008E2ED2" w:rsidP="00DD3106">
            <w:pPr>
              <w:pStyle w:val="TableText"/>
              <w:spacing w:before="30" w:after="30"/>
              <w:rPr>
                <w:rFonts w:cs="Calibri"/>
                <w:szCs w:val="18"/>
                <w:lang w:bidi="th-TH"/>
              </w:rPr>
            </w:pPr>
            <w:r w:rsidRPr="0018386D">
              <w:rPr>
                <w:rFonts w:cs="Calibri"/>
                <w:szCs w:val="18"/>
                <w:lang w:bidi="th-TH"/>
              </w:rPr>
              <w:t>0.201</w:t>
            </w:r>
          </w:p>
        </w:tc>
        <w:tc>
          <w:tcPr>
            <w:tcW w:w="1191" w:type="dxa"/>
            <w:shd w:val="clear" w:color="000000" w:fill="FFFFFF"/>
            <w:noWrap/>
            <w:hideMark/>
          </w:tcPr>
          <w:p w14:paraId="4B2E9B06" w14:textId="6E96A80C" w:rsidR="008E2ED2" w:rsidRPr="0018386D" w:rsidRDefault="008E2ED2" w:rsidP="00DD3106">
            <w:pPr>
              <w:pStyle w:val="TableText"/>
              <w:spacing w:before="30" w:after="30"/>
              <w:rPr>
                <w:rFonts w:cs="Calibri"/>
                <w:szCs w:val="18"/>
                <w:lang w:bidi="th-TH"/>
              </w:rPr>
            </w:pPr>
            <w:r w:rsidRPr="0018386D">
              <w:rPr>
                <w:rFonts w:cs="Calibri"/>
                <w:szCs w:val="18"/>
                <w:lang w:bidi="th-TH"/>
              </w:rPr>
              <w:t>0.193</w:t>
            </w:r>
          </w:p>
        </w:tc>
        <w:tc>
          <w:tcPr>
            <w:tcW w:w="1361" w:type="dxa"/>
            <w:shd w:val="clear" w:color="000000" w:fill="FFFFFF"/>
            <w:noWrap/>
            <w:hideMark/>
          </w:tcPr>
          <w:p w14:paraId="55FE0A4C" w14:textId="24B9D850" w:rsidR="008E2ED2" w:rsidRPr="0018386D" w:rsidRDefault="008E2ED2" w:rsidP="00DD3106">
            <w:pPr>
              <w:pStyle w:val="TableText"/>
              <w:spacing w:before="30" w:after="30"/>
              <w:rPr>
                <w:rFonts w:cs="Calibri"/>
                <w:szCs w:val="18"/>
                <w:lang w:bidi="th-TH"/>
              </w:rPr>
            </w:pPr>
            <w:r w:rsidRPr="0018386D">
              <w:rPr>
                <w:rFonts w:cs="Calibri"/>
                <w:szCs w:val="18"/>
                <w:lang w:bidi="th-TH"/>
              </w:rPr>
              <w:t>0.00254</w:t>
            </w:r>
          </w:p>
        </w:tc>
        <w:tc>
          <w:tcPr>
            <w:tcW w:w="1361" w:type="dxa"/>
            <w:shd w:val="clear" w:color="000000" w:fill="FFFFFF"/>
            <w:noWrap/>
            <w:hideMark/>
          </w:tcPr>
          <w:p w14:paraId="0DDDECA4" w14:textId="08AC31FC" w:rsidR="008E2ED2" w:rsidRPr="0018386D" w:rsidRDefault="008E2ED2" w:rsidP="00DD3106">
            <w:pPr>
              <w:pStyle w:val="TableText"/>
              <w:spacing w:before="30" w:after="30"/>
              <w:rPr>
                <w:rFonts w:cs="Calibri"/>
                <w:szCs w:val="18"/>
                <w:lang w:bidi="th-TH"/>
              </w:rPr>
            </w:pPr>
            <w:r w:rsidRPr="0018386D">
              <w:rPr>
                <w:rFonts w:cs="Calibri"/>
                <w:szCs w:val="18"/>
                <w:lang w:bidi="th-TH"/>
              </w:rPr>
              <w:t>0.00582</w:t>
            </w:r>
          </w:p>
        </w:tc>
      </w:tr>
      <w:tr w:rsidR="003E0FAE" w:rsidRPr="0018386D" w14:paraId="10B4B565" w14:textId="77777777" w:rsidTr="00575E53">
        <w:trPr>
          <w:divId w:val="742072273"/>
        </w:trPr>
        <w:tc>
          <w:tcPr>
            <w:tcW w:w="1474" w:type="dxa"/>
            <w:tcBorders>
              <w:top w:val="nil"/>
              <w:bottom w:val="nil"/>
              <w:right w:val="single" w:sz="4" w:space="0" w:color="auto"/>
            </w:tcBorders>
            <w:shd w:val="clear" w:color="000000" w:fill="FFFFFF"/>
            <w:noWrap/>
            <w:hideMark/>
          </w:tcPr>
          <w:p w14:paraId="4D36B1EC"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46549488" w14:textId="768C6172" w:rsidR="008E2ED2" w:rsidRPr="0018386D" w:rsidRDefault="008E2ED2" w:rsidP="00DD3106">
            <w:pPr>
              <w:pStyle w:val="TableText"/>
              <w:spacing w:before="30" w:after="30"/>
              <w:rPr>
                <w:rFonts w:cs="Calibri"/>
                <w:szCs w:val="18"/>
                <w:lang w:bidi="th-TH"/>
              </w:rPr>
            </w:pPr>
            <w:r w:rsidRPr="0018386D">
              <w:rPr>
                <w:rFonts w:cs="Calibri"/>
                <w:szCs w:val="18"/>
                <w:lang w:bidi="th-TH"/>
              </w:rPr>
              <w:t>1600–&lt;2000 cc</w:t>
            </w:r>
          </w:p>
        </w:tc>
        <w:tc>
          <w:tcPr>
            <w:tcW w:w="567" w:type="dxa"/>
            <w:shd w:val="clear" w:color="000000" w:fill="FFFFFF"/>
            <w:noWrap/>
            <w:hideMark/>
          </w:tcPr>
          <w:p w14:paraId="35D31187"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7D544600" w14:textId="02834FD9" w:rsidR="008E2ED2" w:rsidRPr="0018386D" w:rsidRDefault="008E2ED2" w:rsidP="00DD3106">
            <w:pPr>
              <w:pStyle w:val="TableText"/>
              <w:spacing w:before="30" w:after="30"/>
              <w:rPr>
                <w:rFonts w:cs="Calibri"/>
                <w:szCs w:val="18"/>
                <w:lang w:bidi="th-TH"/>
              </w:rPr>
            </w:pPr>
            <w:r w:rsidRPr="0018386D">
              <w:rPr>
                <w:rFonts w:cs="Calibri"/>
                <w:szCs w:val="18"/>
                <w:lang w:bidi="th-TH"/>
              </w:rPr>
              <w:t>0.227</w:t>
            </w:r>
          </w:p>
        </w:tc>
        <w:tc>
          <w:tcPr>
            <w:tcW w:w="1191" w:type="dxa"/>
            <w:shd w:val="clear" w:color="000000" w:fill="FFFFFF"/>
            <w:noWrap/>
            <w:hideMark/>
          </w:tcPr>
          <w:p w14:paraId="250E65AA" w14:textId="029AEE02" w:rsidR="008E2ED2" w:rsidRPr="0018386D" w:rsidRDefault="008E2ED2" w:rsidP="00DD3106">
            <w:pPr>
              <w:pStyle w:val="TableText"/>
              <w:spacing w:before="30" w:after="30"/>
              <w:rPr>
                <w:rFonts w:cs="Calibri"/>
                <w:szCs w:val="18"/>
                <w:lang w:bidi="th-TH"/>
              </w:rPr>
            </w:pPr>
            <w:r w:rsidRPr="0018386D">
              <w:rPr>
                <w:rFonts w:cs="Calibri"/>
                <w:szCs w:val="18"/>
                <w:lang w:bidi="th-TH"/>
              </w:rPr>
              <w:t>0.217</w:t>
            </w:r>
          </w:p>
        </w:tc>
        <w:tc>
          <w:tcPr>
            <w:tcW w:w="1361" w:type="dxa"/>
            <w:shd w:val="clear" w:color="000000" w:fill="FFFFFF"/>
            <w:noWrap/>
            <w:hideMark/>
          </w:tcPr>
          <w:p w14:paraId="345EE162" w14:textId="0CA982B9" w:rsidR="008E2ED2" w:rsidRPr="0018386D" w:rsidRDefault="008E2ED2" w:rsidP="00DD3106">
            <w:pPr>
              <w:pStyle w:val="TableText"/>
              <w:spacing w:before="30" w:after="30"/>
              <w:rPr>
                <w:rFonts w:cs="Calibri"/>
                <w:szCs w:val="18"/>
                <w:lang w:bidi="th-TH"/>
              </w:rPr>
            </w:pPr>
            <w:r w:rsidRPr="0018386D">
              <w:rPr>
                <w:rFonts w:cs="Calibri"/>
                <w:szCs w:val="18"/>
                <w:lang w:bidi="th-TH"/>
              </w:rPr>
              <w:t>0.00286</w:t>
            </w:r>
          </w:p>
        </w:tc>
        <w:tc>
          <w:tcPr>
            <w:tcW w:w="1361" w:type="dxa"/>
            <w:shd w:val="clear" w:color="000000" w:fill="FFFFFF"/>
            <w:noWrap/>
            <w:hideMark/>
          </w:tcPr>
          <w:p w14:paraId="36F9300A" w14:textId="5E089BF6" w:rsidR="008E2ED2" w:rsidRPr="0018386D" w:rsidRDefault="008E2ED2" w:rsidP="00DD3106">
            <w:pPr>
              <w:pStyle w:val="TableText"/>
              <w:spacing w:before="30" w:after="30"/>
              <w:rPr>
                <w:rFonts w:cs="Calibri"/>
                <w:szCs w:val="18"/>
                <w:lang w:bidi="th-TH"/>
              </w:rPr>
            </w:pPr>
            <w:r w:rsidRPr="0018386D">
              <w:rPr>
                <w:rFonts w:cs="Calibri"/>
                <w:szCs w:val="18"/>
                <w:lang w:bidi="th-TH"/>
              </w:rPr>
              <w:t>0.00655</w:t>
            </w:r>
          </w:p>
        </w:tc>
      </w:tr>
      <w:tr w:rsidR="003E0FAE" w:rsidRPr="0018386D" w14:paraId="72F242AF" w14:textId="77777777" w:rsidTr="00575E53">
        <w:trPr>
          <w:divId w:val="742072273"/>
        </w:trPr>
        <w:tc>
          <w:tcPr>
            <w:tcW w:w="1474" w:type="dxa"/>
            <w:tcBorders>
              <w:top w:val="nil"/>
              <w:bottom w:val="nil"/>
              <w:right w:val="single" w:sz="4" w:space="0" w:color="auto"/>
            </w:tcBorders>
            <w:shd w:val="clear" w:color="000000" w:fill="FFFFFF"/>
            <w:noWrap/>
            <w:hideMark/>
          </w:tcPr>
          <w:p w14:paraId="7F9F9B49"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2915372F" w14:textId="35064044" w:rsidR="008E2ED2" w:rsidRPr="0018386D" w:rsidRDefault="008E2ED2" w:rsidP="00DD3106">
            <w:pPr>
              <w:pStyle w:val="TableText"/>
              <w:spacing w:before="30" w:after="30"/>
              <w:rPr>
                <w:rFonts w:cs="Calibri"/>
                <w:szCs w:val="18"/>
                <w:lang w:bidi="th-TH"/>
              </w:rPr>
            </w:pPr>
            <w:r w:rsidRPr="0018386D">
              <w:rPr>
                <w:rFonts w:cs="Calibri"/>
                <w:szCs w:val="18"/>
                <w:lang w:bidi="th-TH"/>
              </w:rPr>
              <w:t>2000–3000 cc</w:t>
            </w:r>
          </w:p>
        </w:tc>
        <w:tc>
          <w:tcPr>
            <w:tcW w:w="567" w:type="dxa"/>
            <w:shd w:val="clear" w:color="000000" w:fill="FFFFFF"/>
            <w:noWrap/>
            <w:hideMark/>
          </w:tcPr>
          <w:p w14:paraId="2DF2BCB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543DE276" w14:textId="4BDC51A9" w:rsidR="008E2ED2" w:rsidRPr="0018386D" w:rsidRDefault="008E2ED2" w:rsidP="00DD3106">
            <w:pPr>
              <w:pStyle w:val="TableText"/>
              <w:spacing w:before="30" w:after="30"/>
              <w:rPr>
                <w:rFonts w:cs="Calibri"/>
                <w:szCs w:val="18"/>
                <w:lang w:bidi="th-TH"/>
              </w:rPr>
            </w:pPr>
            <w:r w:rsidRPr="0018386D">
              <w:rPr>
                <w:rFonts w:cs="Calibri"/>
                <w:szCs w:val="18"/>
                <w:lang w:bidi="th-TH"/>
              </w:rPr>
              <w:t>0.252</w:t>
            </w:r>
          </w:p>
        </w:tc>
        <w:tc>
          <w:tcPr>
            <w:tcW w:w="1191" w:type="dxa"/>
            <w:shd w:val="clear" w:color="000000" w:fill="FFFFFF"/>
            <w:noWrap/>
            <w:hideMark/>
          </w:tcPr>
          <w:p w14:paraId="6525B4FD" w14:textId="5E359BE1" w:rsidR="008E2ED2" w:rsidRPr="0018386D" w:rsidRDefault="008E2ED2" w:rsidP="00DD3106">
            <w:pPr>
              <w:pStyle w:val="TableText"/>
              <w:spacing w:before="30" w:after="30"/>
              <w:rPr>
                <w:rFonts w:cs="Calibri"/>
                <w:szCs w:val="18"/>
                <w:lang w:bidi="th-TH"/>
              </w:rPr>
            </w:pPr>
            <w:r w:rsidRPr="0018386D">
              <w:rPr>
                <w:rFonts w:cs="Calibri"/>
                <w:szCs w:val="18"/>
                <w:lang w:bidi="th-TH"/>
              </w:rPr>
              <w:t>0.241</w:t>
            </w:r>
          </w:p>
        </w:tc>
        <w:tc>
          <w:tcPr>
            <w:tcW w:w="1361" w:type="dxa"/>
            <w:shd w:val="clear" w:color="000000" w:fill="FFFFFF"/>
            <w:noWrap/>
            <w:hideMark/>
          </w:tcPr>
          <w:p w14:paraId="729D2BDE" w14:textId="49A9FEA0" w:rsidR="008E2ED2" w:rsidRPr="0018386D" w:rsidRDefault="008E2ED2" w:rsidP="00DD3106">
            <w:pPr>
              <w:pStyle w:val="TableText"/>
              <w:spacing w:before="30" w:after="30"/>
              <w:rPr>
                <w:rFonts w:cs="Calibri"/>
                <w:szCs w:val="18"/>
                <w:lang w:bidi="th-TH"/>
              </w:rPr>
            </w:pPr>
            <w:r w:rsidRPr="0018386D">
              <w:rPr>
                <w:rFonts w:cs="Calibri"/>
                <w:szCs w:val="18"/>
                <w:lang w:bidi="th-TH"/>
              </w:rPr>
              <w:t>0.00317</w:t>
            </w:r>
          </w:p>
        </w:tc>
        <w:tc>
          <w:tcPr>
            <w:tcW w:w="1361" w:type="dxa"/>
            <w:shd w:val="clear" w:color="000000" w:fill="FFFFFF"/>
            <w:noWrap/>
            <w:hideMark/>
          </w:tcPr>
          <w:p w14:paraId="12A8DB50" w14:textId="199A0B95" w:rsidR="008E2ED2" w:rsidRPr="0018386D" w:rsidRDefault="008E2ED2" w:rsidP="00DD3106">
            <w:pPr>
              <w:pStyle w:val="TableText"/>
              <w:spacing w:before="30" w:after="30"/>
              <w:rPr>
                <w:rFonts w:cs="Calibri"/>
                <w:szCs w:val="18"/>
                <w:lang w:bidi="th-TH"/>
              </w:rPr>
            </w:pPr>
            <w:r w:rsidRPr="0018386D">
              <w:rPr>
                <w:rFonts w:cs="Calibri"/>
                <w:szCs w:val="18"/>
                <w:lang w:bidi="th-TH"/>
              </w:rPr>
              <w:t>0.00728</w:t>
            </w:r>
          </w:p>
        </w:tc>
      </w:tr>
      <w:tr w:rsidR="003E0FAE" w:rsidRPr="0018386D" w14:paraId="6A38DDB8" w14:textId="77777777" w:rsidTr="00575E53">
        <w:trPr>
          <w:divId w:val="742072273"/>
        </w:trPr>
        <w:tc>
          <w:tcPr>
            <w:tcW w:w="1474" w:type="dxa"/>
            <w:tcBorders>
              <w:top w:val="nil"/>
              <w:bottom w:val="single" w:sz="4" w:space="0" w:color="auto"/>
              <w:right w:val="single" w:sz="4" w:space="0" w:color="auto"/>
            </w:tcBorders>
            <w:shd w:val="clear" w:color="000000" w:fill="FFFFFF"/>
            <w:noWrap/>
            <w:hideMark/>
          </w:tcPr>
          <w:p w14:paraId="52F51D5F"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2074B1A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≥3000 cc</w:t>
            </w:r>
          </w:p>
        </w:tc>
        <w:tc>
          <w:tcPr>
            <w:tcW w:w="567" w:type="dxa"/>
            <w:shd w:val="clear" w:color="000000" w:fill="FFFFFF"/>
            <w:noWrap/>
            <w:hideMark/>
          </w:tcPr>
          <w:p w14:paraId="37CF71D0"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2C4E09DC" w14:textId="45BB033C" w:rsidR="008E2ED2" w:rsidRPr="0018386D" w:rsidRDefault="008E2ED2" w:rsidP="00DD3106">
            <w:pPr>
              <w:pStyle w:val="TableText"/>
              <w:spacing w:before="30" w:after="30"/>
              <w:rPr>
                <w:rFonts w:cs="Calibri"/>
                <w:szCs w:val="18"/>
                <w:lang w:bidi="th-TH"/>
              </w:rPr>
            </w:pPr>
            <w:r w:rsidRPr="0018386D">
              <w:rPr>
                <w:rFonts w:cs="Calibri"/>
                <w:szCs w:val="18"/>
                <w:lang w:bidi="th-TH"/>
              </w:rPr>
              <w:t>0.301</w:t>
            </w:r>
          </w:p>
        </w:tc>
        <w:tc>
          <w:tcPr>
            <w:tcW w:w="1191" w:type="dxa"/>
            <w:shd w:val="clear" w:color="000000" w:fill="FFFFFF"/>
            <w:noWrap/>
            <w:hideMark/>
          </w:tcPr>
          <w:p w14:paraId="48DD19D5" w14:textId="3277DFCD" w:rsidR="008E2ED2" w:rsidRPr="0018386D" w:rsidRDefault="008E2ED2" w:rsidP="00DD3106">
            <w:pPr>
              <w:pStyle w:val="TableText"/>
              <w:spacing w:before="30" w:after="30"/>
              <w:rPr>
                <w:rFonts w:cs="Calibri"/>
                <w:szCs w:val="18"/>
                <w:lang w:bidi="th-TH"/>
              </w:rPr>
            </w:pPr>
            <w:r w:rsidRPr="0018386D">
              <w:rPr>
                <w:rFonts w:cs="Calibri"/>
                <w:szCs w:val="18"/>
                <w:lang w:bidi="th-TH"/>
              </w:rPr>
              <w:t>0.289</w:t>
            </w:r>
          </w:p>
        </w:tc>
        <w:tc>
          <w:tcPr>
            <w:tcW w:w="1361" w:type="dxa"/>
            <w:shd w:val="clear" w:color="000000" w:fill="FFFFFF"/>
            <w:noWrap/>
            <w:hideMark/>
          </w:tcPr>
          <w:p w14:paraId="6534E335" w14:textId="3BD18E7E" w:rsidR="008E2ED2" w:rsidRPr="0018386D" w:rsidRDefault="008E2ED2" w:rsidP="00DD3106">
            <w:pPr>
              <w:pStyle w:val="TableText"/>
              <w:spacing w:before="30" w:after="30"/>
              <w:rPr>
                <w:rFonts w:cs="Calibri"/>
                <w:szCs w:val="18"/>
                <w:lang w:bidi="th-TH"/>
              </w:rPr>
            </w:pPr>
            <w:r w:rsidRPr="0018386D">
              <w:rPr>
                <w:rFonts w:cs="Calibri"/>
                <w:szCs w:val="18"/>
                <w:lang w:bidi="th-TH"/>
              </w:rPr>
              <w:t>0.00379</w:t>
            </w:r>
          </w:p>
        </w:tc>
        <w:tc>
          <w:tcPr>
            <w:tcW w:w="1361" w:type="dxa"/>
            <w:shd w:val="clear" w:color="000000" w:fill="FFFFFF"/>
            <w:noWrap/>
            <w:hideMark/>
          </w:tcPr>
          <w:p w14:paraId="38FD587F" w14:textId="71545B80" w:rsidR="008E2ED2" w:rsidRPr="0018386D" w:rsidRDefault="008E2ED2" w:rsidP="00DD3106">
            <w:pPr>
              <w:pStyle w:val="TableText"/>
              <w:spacing w:before="30" w:after="30"/>
              <w:rPr>
                <w:rFonts w:cs="Calibri"/>
                <w:szCs w:val="18"/>
                <w:lang w:bidi="th-TH"/>
              </w:rPr>
            </w:pPr>
            <w:r w:rsidRPr="0018386D">
              <w:rPr>
                <w:rFonts w:cs="Calibri"/>
                <w:szCs w:val="18"/>
                <w:lang w:bidi="th-TH"/>
              </w:rPr>
              <w:t>0.00871</w:t>
            </w:r>
          </w:p>
        </w:tc>
      </w:tr>
      <w:tr w:rsidR="003E0FAE" w:rsidRPr="0018386D" w14:paraId="03C5AC8C" w14:textId="77777777" w:rsidTr="00575E53">
        <w:trPr>
          <w:divId w:val="742072273"/>
        </w:trPr>
        <w:tc>
          <w:tcPr>
            <w:tcW w:w="1474" w:type="dxa"/>
            <w:tcBorders>
              <w:top w:val="single" w:sz="4" w:space="0" w:color="auto"/>
              <w:bottom w:val="nil"/>
              <w:right w:val="single" w:sz="4" w:space="0" w:color="auto"/>
            </w:tcBorders>
            <w:shd w:val="clear" w:color="000000" w:fill="FFFFFF"/>
            <w:noWrap/>
            <w:hideMark/>
          </w:tcPr>
          <w:p w14:paraId="229ED707"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Diesel vehicle</w:t>
            </w:r>
          </w:p>
        </w:tc>
        <w:tc>
          <w:tcPr>
            <w:tcW w:w="1361" w:type="dxa"/>
            <w:tcBorders>
              <w:left w:val="single" w:sz="4" w:space="0" w:color="auto"/>
            </w:tcBorders>
            <w:shd w:val="clear" w:color="000000" w:fill="FFFFFF"/>
            <w:noWrap/>
            <w:hideMark/>
          </w:tcPr>
          <w:p w14:paraId="42ABF2B2"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&lt;1350 cc</w:t>
            </w:r>
          </w:p>
        </w:tc>
        <w:tc>
          <w:tcPr>
            <w:tcW w:w="567" w:type="dxa"/>
            <w:shd w:val="clear" w:color="000000" w:fill="FFFFFF"/>
            <w:noWrap/>
            <w:hideMark/>
          </w:tcPr>
          <w:p w14:paraId="598A779F"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301BEA40" w14:textId="4C4734A3" w:rsidR="008E2ED2" w:rsidRPr="0018386D" w:rsidRDefault="008E2ED2" w:rsidP="00DD3106">
            <w:pPr>
              <w:pStyle w:val="TableText"/>
              <w:spacing w:before="30" w:after="30"/>
              <w:rPr>
                <w:rFonts w:cs="Calibri"/>
                <w:szCs w:val="18"/>
                <w:lang w:bidi="th-TH"/>
              </w:rPr>
            </w:pPr>
            <w:r w:rsidRPr="0018386D">
              <w:rPr>
                <w:rFonts w:cs="Calibri"/>
                <w:szCs w:val="18"/>
                <w:lang w:bidi="th-TH"/>
              </w:rPr>
              <w:t>0.214</w:t>
            </w:r>
          </w:p>
        </w:tc>
        <w:tc>
          <w:tcPr>
            <w:tcW w:w="1191" w:type="dxa"/>
            <w:shd w:val="clear" w:color="000000" w:fill="FFFFFF"/>
            <w:noWrap/>
            <w:hideMark/>
          </w:tcPr>
          <w:p w14:paraId="39F66AC6" w14:textId="62BB23DC" w:rsidR="008E2ED2" w:rsidRPr="0018386D" w:rsidRDefault="008E2ED2" w:rsidP="00DD3106">
            <w:pPr>
              <w:pStyle w:val="TableText"/>
              <w:spacing w:before="30" w:after="30"/>
              <w:rPr>
                <w:rFonts w:cs="Calibri"/>
                <w:szCs w:val="18"/>
                <w:lang w:bidi="th-TH"/>
              </w:rPr>
            </w:pPr>
            <w:r w:rsidRPr="0018386D">
              <w:rPr>
                <w:rFonts w:cs="Calibri"/>
                <w:szCs w:val="18"/>
                <w:lang w:bidi="th-TH"/>
              </w:rPr>
              <w:t>0.211</w:t>
            </w:r>
          </w:p>
        </w:tc>
        <w:tc>
          <w:tcPr>
            <w:tcW w:w="1361" w:type="dxa"/>
            <w:shd w:val="clear" w:color="000000" w:fill="FFFFFF"/>
            <w:noWrap/>
            <w:hideMark/>
          </w:tcPr>
          <w:p w14:paraId="3D6AF962"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0.0003</w:t>
            </w:r>
          </w:p>
        </w:tc>
        <w:tc>
          <w:tcPr>
            <w:tcW w:w="1361" w:type="dxa"/>
            <w:shd w:val="clear" w:color="000000" w:fill="FFFFFF"/>
            <w:noWrap/>
            <w:hideMark/>
          </w:tcPr>
          <w:p w14:paraId="4BEDFB12" w14:textId="405B962C" w:rsidR="008E2ED2" w:rsidRPr="0018386D" w:rsidRDefault="008E2ED2" w:rsidP="00DD3106">
            <w:pPr>
              <w:pStyle w:val="TableText"/>
              <w:spacing w:before="30" w:after="30"/>
              <w:rPr>
                <w:rFonts w:cs="Calibri"/>
                <w:szCs w:val="18"/>
                <w:lang w:bidi="th-TH"/>
              </w:rPr>
            </w:pPr>
            <w:r w:rsidRPr="0018386D">
              <w:rPr>
                <w:rFonts w:cs="Calibri"/>
                <w:szCs w:val="18"/>
                <w:lang w:bidi="th-TH"/>
              </w:rPr>
              <w:t>0.00298</w:t>
            </w:r>
          </w:p>
        </w:tc>
      </w:tr>
      <w:tr w:rsidR="003E0FAE" w:rsidRPr="0018386D" w14:paraId="2F5EB876" w14:textId="77777777" w:rsidTr="00575E53">
        <w:trPr>
          <w:divId w:val="742072273"/>
        </w:trPr>
        <w:tc>
          <w:tcPr>
            <w:tcW w:w="1474" w:type="dxa"/>
            <w:tcBorders>
              <w:top w:val="nil"/>
              <w:bottom w:val="nil"/>
              <w:right w:val="single" w:sz="4" w:space="0" w:color="auto"/>
            </w:tcBorders>
            <w:shd w:val="clear" w:color="000000" w:fill="FFFFFF"/>
            <w:noWrap/>
            <w:hideMark/>
          </w:tcPr>
          <w:p w14:paraId="51792384"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2F5462AF" w14:textId="6563EF68" w:rsidR="008E2ED2" w:rsidRPr="0018386D" w:rsidRDefault="008E2ED2" w:rsidP="00DD3106">
            <w:pPr>
              <w:pStyle w:val="TableText"/>
              <w:spacing w:before="30" w:after="30"/>
              <w:rPr>
                <w:rFonts w:cs="Calibri"/>
                <w:szCs w:val="18"/>
                <w:lang w:bidi="th-TH"/>
              </w:rPr>
            </w:pPr>
            <w:r w:rsidRPr="0018386D">
              <w:rPr>
                <w:rFonts w:cs="Calibri"/>
                <w:szCs w:val="18"/>
                <w:lang w:bidi="th-TH"/>
              </w:rPr>
              <w:t>1350–&lt;1600 cc</w:t>
            </w:r>
          </w:p>
        </w:tc>
        <w:tc>
          <w:tcPr>
            <w:tcW w:w="567" w:type="dxa"/>
            <w:shd w:val="clear" w:color="000000" w:fill="FFFFFF"/>
            <w:noWrap/>
            <w:hideMark/>
          </w:tcPr>
          <w:p w14:paraId="535AA459"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575FBCD4" w14:textId="45E453B4" w:rsidR="008E2ED2" w:rsidRPr="0018386D" w:rsidRDefault="008E2ED2" w:rsidP="00DD3106">
            <w:pPr>
              <w:pStyle w:val="TableText"/>
              <w:spacing w:before="30" w:after="30"/>
              <w:rPr>
                <w:rFonts w:cs="Calibri"/>
                <w:szCs w:val="18"/>
                <w:lang w:bidi="th-TH"/>
              </w:rPr>
            </w:pPr>
            <w:r w:rsidRPr="0018386D">
              <w:rPr>
                <w:rFonts w:cs="Calibri"/>
                <w:szCs w:val="18"/>
                <w:lang w:bidi="th-TH"/>
              </w:rPr>
              <w:t>0.206</w:t>
            </w:r>
          </w:p>
        </w:tc>
        <w:tc>
          <w:tcPr>
            <w:tcW w:w="1191" w:type="dxa"/>
            <w:shd w:val="clear" w:color="000000" w:fill="FFFFFF"/>
            <w:noWrap/>
            <w:hideMark/>
          </w:tcPr>
          <w:p w14:paraId="0EDBEA55" w14:textId="636C01F2" w:rsidR="008E2ED2" w:rsidRPr="0018386D" w:rsidRDefault="008E2ED2" w:rsidP="00DD3106">
            <w:pPr>
              <w:pStyle w:val="TableText"/>
              <w:spacing w:before="30" w:after="30"/>
              <w:rPr>
                <w:rFonts w:cs="Calibri"/>
                <w:szCs w:val="18"/>
                <w:lang w:bidi="th-TH"/>
              </w:rPr>
            </w:pPr>
            <w:r w:rsidRPr="0018386D">
              <w:rPr>
                <w:rFonts w:cs="Calibri"/>
                <w:szCs w:val="18"/>
                <w:lang w:bidi="th-TH"/>
              </w:rPr>
              <w:t>0.203</w:t>
            </w:r>
          </w:p>
        </w:tc>
        <w:tc>
          <w:tcPr>
            <w:tcW w:w="1361" w:type="dxa"/>
            <w:shd w:val="clear" w:color="000000" w:fill="FFFFFF"/>
            <w:noWrap/>
            <w:hideMark/>
          </w:tcPr>
          <w:p w14:paraId="25B9862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0.0003</w:t>
            </w:r>
          </w:p>
        </w:tc>
        <w:tc>
          <w:tcPr>
            <w:tcW w:w="1361" w:type="dxa"/>
            <w:shd w:val="clear" w:color="000000" w:fill="FFFFFF"/>
            <w:noWrap/>
            <w:hideMark/>
          </w:tcPr>
          <w:p w14:paraId="595BBC96" w14:textId="41938DC9" w:rsidR="008E2ED2" w:rsidRPr="0018386D" w:rsidRDefault="008E2ED2" w:rsidP="00DD3106">
            <w:pPr>
              <w:pStyle w:val="TableText"/>
              <w:spacing w:before="30" w:after="30"/>
              <w:rPr>
                <w:rFonts w:cs="Calibri"/>
                <w:szCs w:val="18"/>
                <w:lang w:bidi="th-TH"/>
              </w:rPr>
            </w:pPr>
            <w:r w:rsidRPr="0018386D">
              <w:rPr>
                <w:rFonts w:cs="Calibri"/>
                <w:szCs w:val="18"/>
                <w:lang w:bidi="th-TH"/>
              </w:rPr>
              <w:t>0.00287</w:t>
            </w:r>
          </w:p>
        </w:tc>
      </w:tr>
      <w:tr w:rsidR="003E0FAE" w:rsidRPr="0018386D" w14:paraId="4087ACFC" w14:textId="77777777" w:rsidTr="00575E53">
        <w:trPr>
          <w:divId w:val="742072273"/>
        </w:trPr>
        <w:tc>
          <w:tcPr>
            <w:tcW w:w="1474" w:type="dxa"/>
            <w:tcBorders>
              <w:top w:val="nil"/>
              <w:bottom w:val="nil"/>
              <w:right w:val="single" w:sz="4" w:space="0" w:color="auto"/>
            </w:tcBorders>
            <w:shd w:val="clear" w:color="000000" w:fill="FFFFFF"/>
            <w:noWrap/>
            <w:hideMark/>
          </w:tcPr>
          <w:p w14:paraId="5FD744E8"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607B6167" w14:textId="791C7BA2" w:rsidR="008E2ED2" w:rsidRPr="0018386D" w:rsidRDefault="008E2ED2" w:rsidP="00DD3106">
            <w:pPr>
              <w:pStyle w:val="TableText"/>
              <w:spacing w:before="30" w:after="30"/>
              <w:rPr>
                <w:rFonts w:cs="Calibri"/>
                <w:szCs w:val="18"/>
                <w:lang w:bidi="th-TH"/>
              </w:rPr>
            </w:pPr>
            <w:r w:rsidRPr="0018386D">
              <w:rPr>
                <w:rFonts w:cs="Calibri"/>
                <w:szCs w:val="18"/>
                <w:lang w:bidi="th-TH"/>
              </w:rPr>
              <w:t>1600–&lt;2000 cc</w:t>
            </w:r>
          </w:p>
        </w:tc>
        <w:tc>
          <w:tcPr>
            <w:tcW w:w="567" w:type="dxa"/>
            <w:shd w:val="clear" w:color="000000" w:fill="FFFFFF"/>
            <w:noWrap/>
            <w:hideMark/>
          </w:tcPr>
          <w:p w14:paraId="7854A68C"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62864BE8" w14:textId="54BFFCDF" w:rsidR="008E2ED2" w:rsidRPr="0018386D" w:rsidRDefault="008E2ED2" w:rsidP="00DD3106">
            <w:pPr>
              <w:pStyle w:val="TableText"/>
              <w:spacing w:before="30" w:after="30"/>
              <w:rPr>
                <w:rFonts w:cs="Calibri"/>
                <w:szCs w:val="18"/>
                <w:lang w:bidi="th-TH"/>
              </w:rPr>
            </w:pPr>
            <w:r w:rsidRPr="0018386D">
              <w:rPr>
                <w:rFonts w:cs="Calibri"/>
                <w:szCs w:val="18"/>
                <w:lang w:bidi="th-TH"/>
              </w:rPr>
              <w:t>0.218</w:t>
            </w:r>
          </w:p>
        </w:tc>
        <w:tc>
          <w:tcPr>
            <w:tcW w:w="1191" w:type="dxa"/>
            <w:shd w:val="clear" w:color="000000" w:fill="FFFFFF"/>
            <w:noWrap/>
            <w:hideMark/>
          </w:tcPr>
          <w:p w14:paraId="551AF7A5" w14:textId="6454DD23" w:rsidR="008E2ED2" w:rsidRPr="0018386D" w:rsidRDefault="008E2ED2" w:rsidP="00DD3106">
            <w:pPr>
              <w:pStyle w:val="TableText"/>
              <w:spacing w:before="30" w:after="30"/>
              <w:rPr>
                <w:rFonts w:cs="Calibri"/>
                <w:szCs w:val="18"/>
                <w:lang w:bidi="th-TH"/>
              </w:rPr>
            </w:pPr>
            <w:r w:rsidRPr="0018386D">
              <w:rPr>
                <w:rFonts w:cs="Calibri"/>
                <w:szCs w:val="18"/>
                <w:lang w:bidi="th-TH"/>
              </w:rPr>
              <w:t>0.215</w:t>
            </w:r>
          </w:p>
        </w:tc>
        <w:tc>
          <w:tcPr>
            <w:tcW w:w="1361" w:type="dxa"/>
            <w:shd w:val="clear" w:color="000000" w:fill="FFFFFF"/>
            <w:noWrap/>
            <w:hideMark/>
          </w:tcPr>
          <w:p w14:paraId="069B5228"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0.0003</w:t>
            </w:r>
          </w:p>
        </w:tc>
        <w:tc>
          <w:tcPr>
            <w:tcW w:w="1361" w:type="dxa"/>
            <w:shd w:val="clear" w:color="000000" w:fill="FFFFFF"/>
            <w:noWrap/>
            <w:hideMark/>
          </w:tcPr>
          <w:p w14:paraId="0FAB7A83" w14:textId="26B477A9" w:rsidR="008E2ED2" w:rsidRPr="0018386D" w:rsidRDefault="008E2ED2" w:rsidP="00DD3106">
            <w:pPr>
              <w:pStyle w:val="TableText"/>
              <w:spacing w:before="30" w:after="30"/>
              <w:rPr>
                <w:rFonts w:cs="Calibri"/>
                <w:szCs w:val="18"/>
                <w:lang w:bidi="th-TH"/>
              </w:rPr>
            </w:pPr>
            <w:r w:rsidRPr="0018386D">
              <w:rPr>
                <w:rFonts w:cs="Calibri"/>
                <w:szCs w:val="18"/>
                <w:lang w:bidi="th-TH"/>
              </w:rPr>
              <w:t>0.00304</w:t>
            </w:r>
          </w:p>
        </w:tc>
      </w:tr>
      <w:tr w:rsidR="003E0FAE" w:rsidRPr="0018386D" w14:paraId="0F2E61E9" w14:textId="77777777" w:rsidTr="00575E53">
        <w:trPr>
          <w:divId w:val="742072273"/>
        </w:trPr>
        <w:tc>
          <w:tcPr>
            <w:tcW w:w="1474" w:type="dxa"/>
            <w:tcBorders>
              <w:top w:val="nil"/>
              <w:bottom w:val="nil"/>
              <w:right w:val="single" w:sz="4" w:space="0" w:color="auto"/>
            </w:tcBorders>
            <w:shd w:val="clear" w:color="000000" w:fill="FFFFFF"/>
            <w:noWrap/>
            <w:hideMark/>
          </w:tcPr>
          <w:p w14:paraId="30041EA2"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2917F396" w14:textId="0791011E" w:rsidR="008E2ED2" w:rsidRPr="0018386D" w:rsidRDefault="008E2ED2" w:rsidP="00DD3106">
            <w:pPr>
              <w:pStyle w:val="TableText"/>
              <w:spacing w:before="30" w:after="30"/>
              <w:rPr>
                <w:rFonts w:cs="Calibri"/>
                <w:szCs w:val="18"/>
                <w:lang w:bidi="th-TH"/>
              </w:rPr>
            </w:pPr>
            <w:r w:rsidRPr="0018386D">
              <w:rPr>
                <w:rFonts w:cs="Calibri"/>
                <w:szCs w:val="18"/>
                <w:lang w:bidi="th-TH"/>
              </w:rPr>
              <w:t>2000–&lt;3000 cc</w:t>
            </w:r>
          </w:p>
        </w:tc>
        <w:tc>
          <w:tcPr>
            <w:tcW w:w="567" w:type="dxa"/>
            <w:shd w:val="clear" w:color="000000" w:fill="FFFFFF"/>
            <w:noWrap/>
            <w:hideMark/>
          </w:tcPr>
          <w:p w14:paraId="16E886F4"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718E00BA" w14:textId="60E47F30" w:rsidR="008E2ED2" w:rsidRPr="0018386D" w:rsidRDefault="008E2ED2" w:rsidP="00DD3106">
            <w:pPr>
              <w:pStyle w:val="TableText"/>
              <w:spacing w:before="30" w:after="30"/>
              <w:rPr>
                <w:rFonts w:cs="Calibri"/>
                <w:szCs w:val="18"/>
                <w:lang w:bidi="th-TH"/>
              </w:rPr>
            </w:pPr>
            <w:r w:rsidRPr="0018386D">
              <w:rPr>
                <w:rFonts w:cs="Calibri"/>
                <w:szCs w:val="18"/>
                <w:lang w:bidi="th-TH"/>
              </w:rPr>
              <w:t>0.268</w:t>
            </w:r>
          </w:p>
        </w:tc>
        <w:tc>
          <w:tcPr>
            <w:tcW w:w="1191" w:type="dxa"/>
            <w:shd w:val="clear" w:color="000000" w:fill="FFFFFF"/>
            <w:noWrap/>
            <w:hideMark/>
          </w:tcPr>
          <w:p w14:paraId="6FBEC159" w14:textId="38F0437B" w:rsidR="008E2ED2" w:rsidRPr="0018386D" w:rsidRDefault="008E2ED2" w:rsidP="00DD3106">
            <w:pPr>
              <w:pStyle w:val="TableText"/>
              <w:spacing w:before="30" w:after="30"/>
              <w:rPr>
                <w:rFonts w:cs="Calibri"/>
                <w:szCs w:val="18"/>
                <w:lang w:bidi="th-TH"/>
              </w:rPr>
            </w:pPr>
            <w:r w:rsidRPr="0018386D">
              <w:rPr>
                <w:rFonts w:cs="Calibri"/>
                <w:szCs w:val="18"/>
                <w:lang w:bidi="th-TH"/>
              </w:rPr>
              <w:t>0.264</w:t>
            </w:r>
          </w:p>
        </w:tc>
        <w:tc>
          <w:tcPr>
            <w:tcW w:w="1361" w:type="dxa"/>
            <w:shd w:val="clear" w:color="000000" w:fill="FFFFFF"/>
            <w:noWrap/>
            <w:hideMark/>
          </w:tcPr>
          <w:p w14:paraId="040C7530"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0.0004</w:t>
            </w:r>
          </w:p>
        </w:tc>
        <w:tc>
          <w:tcPr>
            <w:tcW w:w="1361" w:type="dxa"/>
            <w:shd w:val="clear" w:color="000000" w:fill="FFFFFF"/>
            <w:noWrap/>
            <w:hideMark/>
          </w:tcPr>
          <w:p w14:paraId="6CF85DAB" w14:textId="7459A6DD" w:rsidR="008E2ED2" w:rsidRPr="0018386D" w:rsidRDefault="008E2ED2" w:rsidP="00DD3106">
            <w:pPr>
              <w:pStyle w:val="TableText"/>
              <w:spacing w:before="30" w:after="30"/>
              <w:rPr>
                <w:rFonts w:cs="Calibri"/>
                <w:szCs w:val="18"/>
                <w:lang w:bidi="th-TH"/>
              </w:rPr>
            </w:pPr>
            <w:r w:rsidRPr="0018386D">
              <w:rPr>
                <w:rFonts w:cs="Calibri"/>
                <w:szCs w:val="18"/>
                <w:lang w:bidi="th-TH"/>
              </w:rPr>
              <w:t>0.00374</w:t>
            </w:r>
          </w:p>
        </w:tc>
      </w:tr>
      <w:tr w:rsidR="003E0FAE" w:rsidRPr="0018386D" w14:paraId="19D226AE" w14:textId="77777777" w:rsidTr="00575E53">
        <w:trPr>
          <w:divId w:val="742072273"/>
        </w:trPr>
        <w:tc>
          <w:tcPr>
            <w:tcW w:w="1474" w:type="dxa"/>
            <w:tcBorders>
              <w:top w:val="nil"/>
              <w:bottom w:val="single" w:sz="4" w:space="0" w:color="auto"/>
              <w:right w:val="single" w:sz="4" w:space="0" w:color="auto"/>
            </w:tcBorders>
            <w:shd w:val="clear" w:color="000000" w:fill="FFFFFF"/>
            <w:noWrap/>
            <w:hideMark/>
          </w:tcPr>
          <w:p w14:paraId="016ED3A2"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13B992DF"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≥3000 cc</w:t>
            </w:r>
          </w:p>
        </w:tc>
        <w:tc>
          <w:tcPr>
            <w:tcW w:w="567" w:type="dxa"/>
            <w:shd w:val="clear" w:color="000000" w:fill="FFFFFF"/>
            <w:noWrap/>
            <w:hideMark/>
          </w:tcPr>
          <w:p w14:paraId="51441E26"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3D45726E" w14:textId="2E635CAE" w:rsidR="008E2ED2" w:rsidRPr="0018386D" w:rsidRDefault="008E2ED2" w:rsidP="00DD3106">
            <w:pPr>
              <w:pStyle w:val="TableText"/>
              <w:spacing w:before="30" w:after="30"/>
              <w:rPr>
                <w:rFonts w:cs="Calibri"/>
                <w:szCs w:val="18"/>
                <w:lang w:bidi="th-TH"/>
              </w:rPr>
            </w:pPr>
            <w:r w:rsidRPr="0018386D">
              <w:rPr>
                <w:rFonts w:cs="Calibri"/>
                <w:szCs w:val="18"/>
                <w:lang w:bidi="th-TH"/>
              </w:rPr>
              <w:t>0.298</w:t>
            </w:r>
          </w:p>
        </w:tc>
        <w:tc>
          <w:tcPr>
            <w:tcW w:w="1191" w:type="dxa"/>
            <w:shd w:val="clear" w:color="000000" w:fill="FFFFFF"/>
            <w:noWrap/>
            <w:hideMark/>
          </w:tcPr>
          <w:p w14:paraId="2C43C738" w14:textId="34E7445F" w:rsidR="008E2ED2" w:rsidRPr="0018386D" w:rsidRDefault="008E2ED2" w:rsidP="00DD3106">
            <w:pPr>
              <w:pStyle w:val="TableText"/>
              <w:spacing w:before="30" w:after="30"/>
              <w:rPr>
                <w:rFonts w:cs="Calibri"/>
                <w:szCs w:val="18"/>
                <w:lang w:bidi="th-TH"/>
              </w:rPr>
            </w:pPr>
            <w:r w:rsidRPr="0018386D">
              <w:rPr>
                <w:rFonts w:cs="Calibri"/>
                <w:szCs w:val="18"/>
                <w:lang w:bidi="th-TH"/>
              </w:rPr>
              <w:t>0.293</w:t>
            </w:r>
          </w:p>
        </w:tc>
        <w:tc>
          <w:tcPr>
            <w:tcW w:w="1361" w:type="dxa"/>
            <w:shd w:val="clear" w:color="000000" w:fill="FFFFFF"/>
            <w:noWrap/>
            <w:hideMark/>
          </w:tcPr>
          <w:p w14:paraId="3F3E8057"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0.0004</w:t>
            </w:r>
          </w:p>
        </w:tc>
        <w:tc>
          <w:tcPr>
            <w:tcW w:w="1361" w:type="dxa"/>
            <w:shd w:val="clear" w:color="000000" w:fill="FFFFFF"/>
            <w:noWrap/>
            <w:hideMark/>
          </w:tcPr>
          <w:p w14:paraId="5BCE7101" w14:textId="2736BD17" w:rsidR="008E2ED2" w:rsidRPr="0018386D" w:rsidRDefault="008E2ED2" w:rsidP="00DD3106">
            <w:pPr>
              <w:pStyle w:val="TableText"/>
              <w:spacing w:before="30" w:after="30"/>
              <w:rPr>
                <w:rFonts w:cs="Calibri"/>
                <w:szCs w:val="18"/>
                <w:lang w:bidi="th-TH"/>
              </w:rPr>
            </w:pPr>
            <w:r w:rsidRPr="0018386D">
              <w:rPr>
                <w:rFonts w:cs="Calibri"/>
                <w:szCs w:val="18"/>
                <w:lang w:bidi="th-TH"/>
              </w:rPr>
              <w:t>0.00414</w:t>
            </w:r>
          </w:p>
        </w:tc>
      </w:tr>
      <w:tr w:rsidR="003E0FAE" w:rsidRPr="0018386D" w14:paraId="194253A4" w14:textId="77777777" w:rsidTr="00575E53">
        <w:trPr>
          <w:divId w:val="742072273"/>
        </w:trPr>
        <w:tc>
          <w:tcPr>
            <w:tcW w:w="1474" w:type="dxa"/>
            <w:tcBorders>
              <w:top w:val="single" w:sz="4" w:space="0" w:color="auto"/>
              <w:bottom w:val="nil"/>
              <w:right w:val="single" w:sz="4" w:space="0" w:color="auto"/>
            </w:tcBorders>
            <w:shd w:val="clear" w:color="000000" w:fill="FFFFFF"/>
            <w:noWrap/>
            <w:hideMark/>
          </w:tcPr>
          <w:p w14:paraId="2E22A998"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lastRenderedPageBreak/>
              <w:t>Petrol hybrid vehicle</w:t>
            </w:r>
          </w:p>
        </w:tc>
        <w:tc>
          <w:tcPr>
            <w:tcW w:w="1361" w:type="dxa"/>
            <w:tcBorders>
              <w:left w:val="single" w:sz="4" w:space="0" w:color="auto"/>
            </w:tcBorders>
            <w:shd w:val="clear" w:color="000000" w:fill="FFFFFF"/>
            <w:noWrap/>
            <w:hideMark/>
          </w:tcPr>
          <w:p w14:paraId="02D0F188"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&lt;1350 cc</w:t>
            </w:r>
          </w:p>
        </w:tc>
        <w:tc>
          <w:tcPr>
            <w:tcW w:w="567" w:type="dxa"/>
            <w:shd w:val="clear" w:color="000000" w:fill="FFFFFF"/>
            <w:noWrap/>
            <w:hideMark/>
          </w:tcPr>
          <w:p w14:paraId="24CEA28F"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263F0B9D" w14:textId="7A00E741" w:rsidR="008E2ED2" w:rsidRPr="0018386D" w:rsidRDefault="008E2ED2" w:rsidP="00DD3106">
            <w:pPr>
              <w:pStyle w:val="TableText"/>
              <w:spacing w:before="30" w:after="30"/>
              <w:rPr>
                <w:rFonts w:cs="Calibri"/>
                <w:szCs w:val="18"/>
                <w:lang w:bidi="th-TH"/>
              </w:rPr>
            </w:pPr>
            <w:r w:rsidRPr="0018386D">
              <w:rPr>
                <w:rFonts w:cs="Calibri"/>
                <w:szCs w:val="18"/>
                <w:lang w:bidi="th-TH"/>
              </w:rPr>
              <w:t>0.154</w:t>
            </w:r>
          </w:p>
        </w:tc>
        <w:tc>
          <w:tcPr>
            <w:tcW w:w="1191" w:type="dxa"/>
            <w:shd w:val="clear" w:color="000000" w:fill="FFFFFF"/>
            <w:noWrap/>
            <w:hideMark/>
          </w:tcPr>
          <w:p w14:paraId="5BAD5156" w14:textId="0FB4A8E5" w:rsidR="008E2ED2" w:rsidRPr="0018386D" w:rsidRDefault="008E2ED2" w:rsidP="00DD3106">
            <w:pPr>
              <w:pStyle w:val="TableText"/>
              <w:spacing w:before="30" w:after="30"/>
              <w:rPr>
                <w:rFonts w:cs="Calibri"/>
                <w:szCs w:val="18"/>
                <w:lang w:bidi="th-TH"/>
              </w:rPr>
            </w:pPr>
            <w:r w:rsidRPr="0018386D">
              <w:rPr>
                <w:rFonts w:cs="Calibri"/>
                <w:szCs w:val="18"/>
                <w:lang w:bidi="th-TH"/>
              </w:rPr>
              <w:t>0.147</w:t>
            </w:r>
          </w:p>
        </w:tc>
        <w:tc>
          <w:tcPr>
            <w:tcW w:w="1361" w:type="dxa"/>
            <w:shd w:val="clear" w:color="000000" w:fill="FFFFFF"/>
            <w:noWrap/>
            <w:hideMark/>
          </w:tcPr>
          <w:p w14:paraId="23163F23" w14:textId="20C00B78" w:rsidR="008E2ED2" w:rsidRPr="0018386D" w:rsidRDefault="008E2ED2" w:rsidP="00DD3106">
            <w:pPr>
              <w:pStyle w:val="TableText"/>
              <w:spacing w:before="30" w:after="30"/>
              <w:rPr>
                <w:rFonts w:cs="Calibri"/>
                <w:szCs w:val="18"/>
                <w:lang w:bidi="th-TH"/>
              </w:rPr>
            </w:pPr>
            <w:r w:rsidRPr="0018386D">
              <w:rPr>
                <w:rFonts w:cs="Calibri"/>
                <w:szCs w:val="18"/>
                <w:lang w:bidi="th-TH"/>
              </w:rPr>
              <w:t>0.00193</w:t>
            </w:r>
          </w:p>
        </w:tc>
        <w:tc>
          <w:tcPr>
            <w:tcW w:w="1361" w:type="dxa"/>
            <w:shd w:val="clear" w:color="000000" w:fill="FFFFFF"/>
            <w:noWrap/>
            <w:hideMark/>
          </w:tcPr>
          <w:p w14:paraId="2780F4F6" w14:textId="0284CFDE" w:rsidR="008E2ED2" w:rsidRPr="0018386D" w:rsidRDefault="008E2ED2" w:rsidP="00DD3106">
            <w:pPr>
              <w:pStyle w:val="TableText"/>
              <w:spacing w:before="30" w:after="30"/>
              <w:rPr>
                <w:rFonts w:cs="Calibri"/>
                <w:szCs w:val="18"/>
                <w:lang w:bidi="th-TH"/>
              </w:rPr>
            </w:pPr>
            <w:r w:rsidRPr="0018386D">
              <w:rPr>
                <w:rFonts w:cs="Calibri"/>
                <w:szCs w:val="18"/>
                <w:lang w:bidi="th-TH"/>
              </w:rPr>
              <w:t>0.00444</w:t>
            </w:r>
          </w:p>
        </w:tc>
      </w:tr>
      <w:tr w:rsidR="003E0FAE" w:rsidRPr="0018386D" w14:paraId="51812F2D" w14:textId="77777777" w:rsidTr="00575E53">
        <w:trPr>
          <w:divId w:val="742072273"/>
        </w:trPr>
        <w:tc>
          <w:tcPr>
            <w:tcW w:w="1474" w:type="dxa"/>
            <w:tcBorders>
              <w:top w:val="nil"/>
              <w:bottom w:val="nil"/>
              <w:right w:val="single" w:sz="4" w:space="0" w:color="auto"/>
            </w:tcBorders>
            <w:shd w:val="clear" w:color="000000" w:fill="FFFFFF"/>
            <w:noWrap/>
            <w:hideMark/>
          </w:tcPr>
          <w:p w14:paraId="208F7EFD"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3C078388" w14:textId="43FF0FB3" w:rsidR="008E2ED2" w:rsidRPr="0018386D" w:rsidRDefault="008E2ED2" w:rsidP="00DD3106">
            <w:pPr>
              <w:pStyle w:val="TableText"/>
              <w:spacing w:before="30" w:after="30"/>
              <w:rPr>
                <w:rFonts w:cs="Calibri"/>
                <w:szCs w:val="18"/>
                <w:lang w:bidi="th-TH"/>
              </w:rPr>
            </w:pPr>
            <w:r w:rsidRPr="0018386D">
              <w:rPr>
                <w:rFonts w:cs="Calibri"/>
                <w:szCs w:val="18"/>
                <w:lang w:bidi="th-TH"/>
              </w:rPr>
              <w:t>1350–&lt;1600 cc</w:t>
            </w:r>
          </w:p>
        </w:tc>
        <w:tc>
          <w:tcPr>
            <w:tcW w:w="567" w:type="dxa"/>
            <w:shd w:val="clear" w:color="000000" w:fill="FFFFFF"/>
            <w:noWrap/>
            <w:hideMark/>
          </w:tcPr>
          <w:p w14:paraId="074DC729"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4DDE1FB3" w14:textId="2B0A1467" w:rsidR="008E2ED2" w:rsidRPr="0018386D" w:rsidRDefault="008E2ED2" w:rsidP="00DD3106">
            <w:pPr>
              <w:pStyle w:val="TableText"/>
              <w:spacing w:before="30" w:after="30"/>
              <w:rPr>
                <w:rFonts w:cs="Calibri"/>
                <w:szCs w:val="18"/>
                <w:lang w:bidi="th-TH"/>
              </w:rPr>
            </w:pPr>
            <w:r w:rsidRPr="0018386D">
              <w:rPr>
                <w:rFonts w:cs="Calibri"/>
                <w:szCs w:val="18"/>
                <w:lang w:bidi="th-TH"/>
              </w:rPr>
              <w:t>0.159</w:t>
            </w:r>
          </w:p>
        </w:tc>
        <w:tc>
          <w:tcPr>
            <w:tcW w:w="1191" w:type="dxa"/>
            <w:shd w:val="clear" w:color="000000" w:fill="FFFFFF"/>
            <w:noWrap/>
            <w:hideMark/>
          </w:tcPr>
          <w:p w14:paraId="5D72EB85" w14:textId="3CBD8D1C" w:rsidR="008E2ED2" w:rsidRPr="0018386D" w:rsidRDefault="008E2ED2" w:rsidP="00DD3106">
            <w:pPr>
              <w:pStyle w:val="TableText"/>
              <w:spacing w:before="30" w:after="30"/>
              <w:rPr>
                <w:rFonts w:cs="Calibri"/>
                <w:szCs w:val="18"/>
                <w:lang w:bidi="th-TH"/>
              </w:rPr>
            </w:pPr>
            <w:r w:rsidRPr="0018386D">
              <w:rPr>
                <w:rFonts w:cs="Calibri"/>
                <w:szCs w:val="18"/>
                <w:lang w:bidi="th-TH"/>
              </w:rPr>
              <w:t>0.152</w:t>
            </w:r>
          </w:p>
        </w:tc>
        <w:tc>
          <w:tcPr>
            <w:tcW w:w="1361" w:type="dxa"/>
            <w:shd w:val="clear" w:color="000000" w:fill="FFFFFF"/>
            <w:noWrap/>
            <w:hideMark/>
          </w:tcPr>
          <w:p w14:paraId="1CC230D3" w14:textId="4EDB2EE8" w:rsidR="008E2ED2" w:rsidRPr="0018386D" w:rsidRDefault="008E2ED2" w:rsidP="00DD3106">
            <w:pPr>
              <w:pStyle w:val="TableText"/>
              <w:spacing w:before="30" w:after="30"/>
              <w:rPr>
                <w:rFonts w:cs="Calibri"/>
                <w:szCs w:val="18"/>
                <w:lang w:bidi="th-TH"/>
              </w:rPr>
            </w:pPr>
            <w:r w:rsidRPr="0018386D">
              <w:rPr>
                <w:rFonts w:cs="Calibri"/>
                <w:szCs w:val="18"/>
                <w:lang w:bidi="th-TH"/>
              </w:rPr>
              <w:t>0.00200</w:t>
            </w:r>
          </w:p>
        </w:tc>
        <w:tc>
          <w:tcPr>
            <w:tcW w:w="1361" w:type="dxa"/>
            <w:shd w:val="clear" w:color="000000" w:fill="FFFFFF"/>
            <w:noWrap/>
            <w:hideMark/>
          </w:tcPr>
          <w:p w14:paraId="60D7CA85" w14:textId="49A35BEA" w:rsidR="008E2ED2" w:rsidRPr="0018386D" w:rsidRDefault="008E2ED2" w:rsidP="00DD3106">
            <w:pPr>
              <w:pStyle w:val="TableText"/>
              <w:spacing w:before="30" w:after="30"/>
              <w:rPr>
                <w:rFonts w:cs="Calibri"/>
                <w:szCs w:val="18"/>
                <w:lang w:bidi="th-TH"/>
              </w:rPr>
            </w:pPr>
            <w:r w:rsidRPr="0018386D">
              <w:rPr>
                <w:rFonts w:cs="Calibri"/>
                <w:szCs w:val="18"/>
                <w:lang w:bidi="th-TH"/>
              </w:rPr>
              <w:t>0.00459</w:t>
            </w:r>
          </w:p>
        </w:tc>
      </w:tr>
      <w:tr w:rsidR="003E0FAE" w:rsidRPr="0018386D" w14:paraId="7A5975CB" w14:textId="77777777" w:rsidTr="00575E53">
        <w:trPr>
          <w:divId w:val="742072273"/>
        </w:trPr>
        <w:tc>
          <w:tcPr>
            <w:tcW w:w="1474" w:type="dxa"/>
            <w:tcBorders>
              <w:top w:val="nil"/>
              <w:bottom w:val="nil"/>
              <w:right w:val="single" w:sz="4" w:space="0" w:color="auto"/>
            </w:tcBorders>
            <w:shd w:val="clear" w:color="000000" w:fill="FFFFFF"/>
            <w:noWrap/>
            <w:hideMark/>
          </w:tcPr>
          <w:p w14:paraId="63FBA989"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48A3E4F4" w14:textId="66E880D7" w:rsidR="008E2ED2" w:rsidRPr="0018386D" w:rsidRDefault="008E2ED2" w:rsidP="00DD3106">
            <w:pPr>
              <w:pStyle w:val="TableText"/>
              <w:spacing w:before="30" w:after="30"/>
              <w:rPr>
                <w:rFonts w:cs="Calibri"/>
                <w:szCs w:val="18"/>
                <w:lang w:bidi="th-TH"/>
              </w:rPr>
            </w:pPr>
            <w:r w:rsidRPr="0018386D">
              <w:rPr>
                <w:rFonts w:cs="Calibri"/>
                <w:szCs w:val="18"/>
                <w:lang w:bidi="th-TH"/>
              </w:rPr>
              <w:t>1600–&lt;2000 cc</w:t>
            </w:r>
          </w:p>
        </w:tc>
        <w:tc>
          <w:tcPr>
            <w:tcW w:w="567" w:type="dxa"/>
            <w:shd w:val="clear" w:color="000000" w:fill="FFFFFF"/>
            <w:noWrap/>
            <w:hideMark/>
          </w:tcPr>
          <w:p w14:paraId="52934BF7"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77D62F13" w14:textId="00A3AD4C" w:rsidR="008E2ED2" w:rsidRPr="0018386D" w:rsidRDefault="008E2ED2" w:rsidP="00DD3106">
            <w:pPr>
              <w:pStyle w:val="TableText"/>
              <w:spacing w:before="30" w:after="30"/>
              <w:rPr>
                <w:rFonts w:cs="Calibri"/>
                <w:szCs w:val="18"/>
                <w:lang w:bidi="th-TH"/>
              </w:rPr>
            </w:pPr>
            <w:r w:rsidRPr="0018386D">
              <w:rPr>
                <w:rFonts w:cs="Calibri"/>
                <w:szCs w:val="18"/>
                <w:lang w:bidi="th-TH"/>
              </w:rPr>
              <w:t>0.179</w:t>
            </w:r>
          </w:p>
        </w:tc>
        <w:tc>
          <w:tcPr>
            <w:tcW w:w="1191" w:type="dxa"/>
            <w:shd w:val="clear" w:color="000000" w:fill="FFFFFF"/>
            <w:noWrap/>
            <w:hideMark/>
          </w:tcPr>
          <w:p w14:paraId="6ED8DEC4" w14:textId="223BF362" w:rsidR="008E2ED2" w:rsidRPr="0018386D" w:rsidRDefault="008E2ED2" w:rsidP="00DD3106">
            <w:pPr>
              <w:pStyle w:val="TableText"/>
              <w:spacing w:before="30" w:after="30"/>
              <w:rPr>
                <w:rFonts w:cs="Calibri"/>
                <w:szCs w:val="18"/>
                <w:lang w:bidi="th-TH"/>
              </w:rPr>
            </w:pPr>
            <w:r w:rsidRPr="0018386D">
              <w:rPr>
                <w:rFonts w:cs="Calibri"/>
                <w:szCs w:val="18"/>
                <w:lang w:bidi="th-TH"/>
              </w:rPr>
              <w:t>0.172</w:t>
            </w:r>
          </w:p>
        </w:tc>
        <w:tc>
          <w:tcPr>
            <w:tcW w:w="1361" w:type="dxa"/>
            <w:shd w:val="clear" w:color="000000" w:fill="FFFFFF"/>
            <w:noWrap/>
            <w:hideMark/>
          </w:tcPr>
          <w:p w14:paraId="10E6F094" w14:textId="70F4C7F9" w:rsidR="008E2ED2" w:rsidRPr="0018386D" w:rsidRDefault="008E2ED2" w:rsidP="00DD3106">
            <w:pPr>
              <w:pStyle w:val="TableText"/>
              <w:spacing w:before="30" w:after="30"/>
              <w:rPr>
                <w:rFonts w:cs="Calibri"/>
                <w:szCs w:val="18"/>
                <w:lang w:bidi="th-TH"/>
              </w:rPr>
            </w:pPr>
            <w:r w:rsidRPr="0018386D">
              <w:rPr>
                <w:rFonts w:cs="Calibri"/>
                <w:szCs w:val="18"/>
                <w:lang w:bidi="th-TH"/>
              </w:rPr>
              <w:t>0.00225</w:t>
            </w:r>
          </w:p>
        </w:tc>
        <w:tc>
          <w:tcPr>
            <w:tcW w:w="1361" w:type="dxa"/>
            <w:shd w:val="clear" w:color="000000" w:fill="FFFFFF"/>
            <w:noWrap/>
            <w:hideMark/>
          </w:tcPr>
          <w:p w14:paraId="06A81C7C" w14:textId="79A88AD6" w:rsidR="008E2ED2" w:rsidRPr="0018386D" w:rsidRDefault="008E2ED2" w:rsidP="00DD3106">
            <w:pPr>
              <w:pStyle w:val="TableText"/>
              <w:spacing w:before="30" w:after="30"/>
              <w:rPr>
                <w:rFonts w:cs="Calibri"/>
                <w:szCs w:val="18"/>
                <w:lang w:bidi="th-TH"/>
              </w:rPr>
            </w:pPr>
            <w:r w:rsidRPr="0018386D">
              <w:rPr>
                <w:rFonts w:cs="Calibri"/>
                <w:szCs w:val="18"/>
                <w:lang w:bidi="th-TH"/>
              </w:rPr>
              <w:t>0.00517</w:t>
            </w:r>
          </w:p>
        </w:tc>
      </w:tr>
      <w:tr w:rsidR="003E0FAE" w:rsidRPr="0018386D" w14:paraId="30741F6B" w14:textId="77777777" w:rsidTr="00575E53">
        <w:trPr>
          <w:divId w:val="742072273"/>
        </w:trPr>
        <w:tc>
          <w:tcPr>
            <w:tcW w:w="1474" w:type="dxa"/>
            <w:tcBorders>
              <w:top w:val="nil"/>
              <w:bottom w:val="nil"/>
              <w:right w:val="single" w:sz="4" w:space="0" w:color="auto"/>
            </w:tcBorders>
            <w:shd w:val="clear" w:color="000000" w:fill="FFFFFF"/>
            <w:noWrap/>
            <w:hideMark/>
          </w:tcPr>
          <w:p w14:paraId="5508E827"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51BF004D" w14:textId="117DFCFF" w:rsidR="008E2ED2" w:rsidRPr="0018386D" w:rsidRDefault="008E2ED2" w:rsidP="00DD3106">
            <w:pPr>
              <w:pStyle w:val="TableText"/>
              <w:spacing w:before="30" w:after="30"/>
              <w:rPr>
                <w:rFonts w:cs="Calibri"/>
                <w:szCs w:val="18"/>
                <w:lang w:bidi="th-TH"/>
              </w:rPr>
            </w:pPr>
            <w:r w:rsidRPr="0018386D">
              <w:rPr>
                <w:rFonts w:cs="Calibri"/>
                <w:szCs w:val="18"/>
                <w:lang w:bidi="th-TH"/>
              </w:rPr>
              <w:t>2000–&lt;3000 cc</w:t>
            </w:r>
          </w:p>
        </w:tc>
        <w:tc>
          <w:tcPr>
            <w:tcW w:w="567" w:type="dxa"/>
            <w:shd w:val="clear" w:color="000000" w:fill="FFFFFF"/>
            <w:noWrap/>
            <w:hideMark/>
          </w:tcPr>
          <w:p w14:paraId="277B6589"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43F31143" w14:textId="295F7717" w:rsidR="008E2ED2" w:rsidRPr="0018386D" w:rsidRDefault="008E2ED2" w:rsidP="00DD3106">
            <w:pPr>
              <w:pStyle w:val="TableText"/>
              <w:spacing w:before="30" w:after="30"/>
              <w:rPr>
                <w:rFonts w:cs="Calibri"/>
                <w:szCs w:val="18"/>
                <w:lang w:bidi="th-TH"/>
              </w:rPr>
            </w:pPr>
            <w:r w:rsidRPr="0018386D">
              <w:rPr>
                <w:rFonts w:cs="Calibri"/>
                <w:szCs w:val="18"/>
                <w:lang w:bidi="th-TH"/>
              </w:rPr>
              <w:t>0.199</w:t>
            </w:r>
          </w:p>
        </w:tc>
        <w:tc>
          <w:tcPr>
            <w:tcW w:w="1191" w:type="dxa"/>
            <w:shd w:val="clear" w:color="000000" w:fill="FFFFFF"/>
            <w:noWrap/>
            <w:hideMark/>
          </w:tcPr>
          <w:p w14:paraId="5EE9FEAC" w14:textId="4E686686" w:rsidR="008E2ED2" w:rsidRPr="0018386D" w:rsidRDefault="008E2ED2" w:rsidP="00DD3106">
            <w:pPr>
              <w:pStyle w:val="TableText"/>
              <w:spacing w:before="30" w:after="30"/>
              <w:rPr>
                <w:rFonts w:cs="Calibri"/>
                <w:szCs w:val="18"/>
                <w:lang w:bidi="th-TH"/>
              </w:rPr>
            </w:pPr>
            <w:r w:rsidRPr="0018386D">
              <w:rPr>
                <w:rFonts w:cs="Calibri"/>
                <w:szCs w:val="18"/>
                <w:lang w:bidi="th-TH"/>
              </w:rPr>
              <w:t>0.191</w:t>
            </w:r>
          </w:p>
        </w:tc>
        <w:tc>
          <w:tcPr>
            <w:tcW w:w="1361" w:type="dxa"/>
            <w:shd w:val="clear" w:color="000000" w:fill="FFFFFF"/>
            <w:noWrap/>
            <w:hideMark/>
          </w:tcPr>
          <w:p w14:paraId="51DBE353" w14:textId="1632133A" w:rsidR="008E2ED2" w:rsidRPr="0018386D" w:rsidRDefault="008E2ED2" w:rsidP="00DD3106">
            <w:pPr>
              <w:pStyle w:val="TableText"/>
              <w:spacing w:before="30" w:after="30"/>
              <w:rPr>
                <w:rFonts w:cs="Calibri"/>
                <w:szCs w:val="18"/>
                <w:lang w:bidi="th-TH"/>
              </w:rPr>
            </w:pPr>
            <w:r w:rsidRPr="0018386D">
              <w:rPr>
                <w:rFonts w:cs="Calibri"/>
                <w:szCs w:val="18"/>
                <w:lang w:bidi="th-TH"/>
              </w:rPr>
              <w:t>0.00250</w:t>
            </w:r>
          </w:p>
        </w:tc>
        <w:tc>
          <w:tcPr>
            <w:tcW w:w="1361" w:type="dxa"/>
            <w:shd w:val="clear" w:color="000000" w:fill="FFFFFF"/>
            <w:noWrap/>
            <w:hideMark/>
          </w:tcPr>
          <w:p w14:paraId="7BACD4FE" w14:textId="1A1844CE" w:rsidR="008E2ED2" w:rsidRPr="0018386D" w:rsidRDefault="008E2ED2" w:rsidP="00DD3106">
            <w:pPr>
              <w:pStyle w:val="TableText"/>
              <w:spacing w:before="30" w:after="30"/>
              <w:rPr>
                <w:rFonts w:cs="Calibri"/>
                <w:szCs w:val="18"/>
                <w:lang w:bidi="th-TH"/>
              </w:rPr>
            </w:pPr>
            <w:r w:rsidRPr="0018386D">
              <w:rPr>
                <w:rFonts w:cs="Calibri"/>
                <w:szCs w:val="18"/>
                <w:lang w:bidi="th-TH"/>
              </w:rPr>
              <w:t>0.00575</w:t>
            </w:r>
          </w:p>
        </w:tc>
      </w:tr>
      <w:tr w:rsidR="003E0FAE" w:rsidRPr="0018386D" w14:paraId="6CC7508E" w14:textId="77777777" w:rsidTr="00575E53">
        <w:trPr>
          <w:divId w:val="742072273"/>
        </w:trPr>
        <w:tc>
          <w:tcPr>
            <w:tcW w:w="1474" w:type="dxa"/>
            <w:tcBorders>
              <w:top w:val="nil"/>
              <w:bottom w:val="single" w:sz="4" w:space="0" w:color="auto"/>
              <w:right w:val="single" w:sz="4" w:space="0" w:color="auto"/>
            </w:tcBorders>
            <w:shd w:val="clear" w:color="000000" w:fill="FFFFFF"/>
            <w:noWrap/>
            <w:hideMark/>
          </w:tcPr>
          <w:p w14:paraId="71E60B2F"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2147F69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≥3000 cc</w:t>
            </w:r>
          </w:p>
        </w:tc>
        <w:tc>
          <w:tcPr>
            <w:tcW w:w="567" w:type="dxa"/>
            <w:shd w:val="clear" w:color="000000" w:fill="FFFFFF"/>
            <w:noWrap/>
            <w:hideMark/>
          </w:tcPr>
          <w:p w14:paraId="60CB197A"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6A9D4060" w14:textId="3014572C" w:rsidR="008E2ED2" w:rsidRPr="0018386D" w:rsidRDefault="008E2ED2" w:rsidP="00DD3106">
            <w:pPr>
              <w:pStyle w:val="TableText"/>
              <w:spacing w:before="30" w:after="30"/>
              <w:rPr>
                <w:rFonts w:cs="Calibri"/>
                <w:szCs w:val="18"/>
                <w:lang w:bidi="th-TH"/>
              </w:rPr>
            </w:pPr>
            <w:r w:rsidRPr="0018386D">
              <w:rPr>
                <w:rFonts w:cs="Calibri"/>
                <w:szCs w:val="18"/>
                <w:lang w:bidi="th-TH"/>
              </w:rPr>
              <w:t>0.238</w:t>
            </w:r>
          </w:p>
        </w:tc>
        <w:tc>
          <w:tcPr>
            <w:tcW w:w="1191" w:type="dxa"/>
            <w:shd w:val="clear" w:color="000000" w:fill="FFFFFF"/>
            <w:noWrap/>
            <w:hideMark/>
          </w:tcPr>
          <w:p w14:paraId="2DBB81A9" w14:textId="1760FFA4" w:rsidR="008E2ED2" w:rsidRPr="0018386D" w:rsidRDefault="008E2ED2" w:rsidP="00DD3106">
            <w:pPr>
              <w:pStyle w:val="TableText"/>
              <w:spacing w:before="30" w:after="30"/>
              <w:rPr>
                <w:rFonts w:cs="Calibri"/>
                <w:szCs w:val="18"/>
                <w:lang w:bidi="th-TH"/>
              </w:rPr>
            </w:pPr>
            <w:r w:rsidRPr="0018386D">
              <w:rPr>
                <w:rFonts w:cs="Calibri"/>
                <w:szCs w:val="18"/>
                <w:lang w:bidi="th-TH"/>
              </w:rPr>
              <w:t>0.228</w:t>
            </w:r>
          </w:p>
        </w:tc>
        <w:tc>
          <w:tcPr>
            <w:tcW w:w="1361" w:type="dxa"/>
            <w:shd w:val="clear" w:color="000000" w:fill="FFFFFF"/>
            <w:noWrap/>
            <w:hideMark/>
          </w:tcPr>
          <w:p w14:paraId="0D6A019F" w14:textId="7F3BE315" w:rsidR="008E2ED2" w:rsidRPr="0018386D" w:rsidRDefault="008E2ED2" w:rsidP="00DD3106">
            <w:pPr>
              <w:pStyle w:val="TableText"/>
              <w:spacing w:before="30" w:after="30"/>
              <w:rPr>
                <w:rFonts w:cs="Calibri"/>
                <w:szCs w:val="18"/>
                <w:lang w:bidi="th-TH"/>
              </w:rPr>
            </w:pPr>
            <w:r w:rsidRPr="0018386D">
              <w:rPr>
                <w:rFonts w:cs="Calibri"/>
                <w:szCs w:val="18"/>
                <w:lang w:bidi="th-TH"/>
              </w:rPr>
              <w:t>0.00300</w:t>
            </w:r>
          </w:p>
        </w:tc>
        <w:tc>
          <w:tcPr>
            <w:tcW w:w="1361" w:type="dxa"/>
            <w:shd w:val="clear" w:color="000000" w:fill="FFFFFF"/>
            <w:noWrap/>
            <w:hideMark/>
          </w:tcPr>
          <w:p w14:paraId="36CCE058" w14:textId="378398C9" w:rsidR="008E2ED2" w:rsidRPr="0018386D" w:rsidRDefault="008E2ED2" w:rsidP="00DD3106">
            <w:pPr>
              <w:pStyle w:val="TableText"/>
              <w:spacing w:before="30" w:after="30"/>
              <w:rPr>
                <w:rFonts w:cs="Calibri"/>
                <w:szCs w:val="18"/>
                <w:lang w:bidi="th-TH"/>
              </w:rPr>
            </w:pPr>
            <w:r w:rsidRPr="0018386D">
              <w:rPr>
                <w:rFonts w:cs="Calibri"/>
                <w:szCs w:val="18"/>
                <w:lang w:bidi="th-TH"/>
              </w:rPr>
              <w:t>0.00687</w:t>
            </w:r>
          </w:p>
        </w:tc>
      </w:tr>
      <w:tr w:rsidR="003E0FAE" w:rsidRPr="0018386D" w14:paraId="5B7C35E5" w14:textId="77777777" w:rsidTr="00575E53">
        <w:trPr>
          <w:divId w:val="742072273"/>
        </w:trPr>
        <w:tc>
          <w:tcPr>
            <w:tcW w:w="1474" w:type="dxa"/>
            <w:tcBorders>
              <w:top w:val="single" w:sz="4" w:space="0" w:color="auto"/>
              <w:bottom w:val="nil"/>
              <w:right w:val="single" w:sz="4" w:space="0" w:color="auto"/>
            </w:tcBorders>
            <w:shd w:val="clear" w:color="000000" w:fill="FFFFFF"/>
            <w:noWrap/>
            <w:hideMark/>
          </w:tcPr>
          <w:p w14:paraId="356A4774" w14:textId="00077AE4" w:rsidR="008E2ED2" w:rsidRPr="0018386D" w:rsidRDefault="008E2ED2" w:rsidP="00DD3106">
            <w:pPr>
              <w:pStyle w:val="TableText"/>
              <w:spacing w:before="30" w:after="30"/>
              <w:rPr>
                <w:rFonts w:cs="Calibri"/>
                <w:szCs w:val="18"/>
                <w:lang w:bidi="th-TH"/>
              </w:rPr>
            </w:pPr>
            <w:r w:rsidRPr="0018386D">
              <w:rPr>
                <w:rFonts w:cs="Calibri"/>
                <w:szCs w:val="18"/>
                <w:lang w:bidi="th-TH"/>
              </w:rPr>
              <w:t xml:space="preserve">Diesel </w:t>
            </w:r>
            <w:r w:rsidR="00574EC8" w:rsidRPr="0018386D">
              <w:rPr>
                <w:rFonts w:cs="Calibri"/>
                <w:szCs w:val="18"/>
                <w:lang w:bidi="th-TH"/>
              </w:rPr>
              <w:t>h</w:t>
            </w:r>
            <w:r w:rsidRPr="0018386D">
              <w:rPr>
                <w:rFonts w:cs="Calibri"/>
                <w:szCs w:val="18"/>
                <w:lang w:bidi="th-TH"/>
              </w:rPr>
              <w:t>ybrid vehicle</w:t>
            </w:r>
          </w:p>
        </w:tc>
        <w:tc>
          <w:tcPr>
            <w:tcW w:w="1361" w:type="dxa"/>
            <w:tcBorders>
              <w:left w:val="single" w:sz="4" w:space="0" w:color="auto"/>
            </w:tcBorders>
            <w:shd w:val="clear" w:color="000000" w:fill="FFFFFF"/>
            <w:noWrap/>
            <w:hideMark/>
          </w:tcPr>
          <w:p w14:paraId="49440E5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&lt;1350 cc</w:t>
            </w:r>
          </w:p>
        </w:tc>
        <w:tc>
          <w:tcPr>
            <w:tcW w:w="567" w:type="dxa"/>
            <w:shd w:val="clear" w:color="000000" w:fill="FFFFFF"/>
            <w:noWrap/>
            <w:hideMark/>
          </w:tcPr>
          <w:p w14:paraId="52E6502E"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689EE03B" w14:textId="3A0232B4" w:rsidR="008E2ED2" w:rsidRPr="0018386D" w:rsidRDefault="008E2ED2" w:rsidP="00DD3106">
            <w:pPr>
              <w:pStyle w:val="TableText"/>
              <w:spacing w:before="30" w:after="30"/>
              <w:rPr>
                <w:rFonts w:cs="Calibri"/>
                <w:szCs w:val="18"/>
                <w:lang w:bidi="th-TH"/>
              </w:rPr>
            </w:pPr>
            <w:r w:rsidRPr="0018386D">
              <w:rPr>
                <w:rFonts w:cs="Calibri"/>
                <w:szCs w:val="18"/>
                <w:lang w:bidi="th-TH"/>
              </w:rPr>
              <w:t>0.192</w:t>
            </w:r>
          </w:p>
        </w:tc>
        <w:tc>
          <w:tcPr>
            <w:tcW w:w="1191" w:type="dxa"/>
            <w:shd w:val="clear" w:color="000000" w:fill="FFFFFF"/>
            <w:noWrap/>
            <w:hideMark/>
          </w:tcPr>
          <w:p w14:paraId="320D2A60" w14:textId="015FEDE0" w:rsidR="008E2ED2" w:rsidRPr="0018386D" w:rsidRDefault="008E2ED2" w:rsidP="00DD3106">
            <w:pPr>
              <w:pStyle w:val="TableText"/>
              <w:spacing w:before="30" w:after="30"/>
              <w:rPr>
                <w:rFonts w:cs="Calibri"/>
                <w:szCs w:val="18"/>
                <w:lang w:bidi="th-TH"/>
              </w:rPr>
            </w:pPr>
            <w:r w:rsidRPr="0018386D">
              <w:rPr>
                <w:rFonts w:cs="Calibri"/>
                <w:szCs w:val="18"/>
                <w:lang w:bidi="th-TH"/>
              </w:rPr>
              <w:t>0.189</w:t>
            </w:r>
          </w:p>
        </w:tc>
        <w:tc>
          <w:tcPr>
            <w:tcW w:w="1361" w:type="dxa"/>
            <w:shd w:val="clear" w:color="000000" w:fill="FFFFFF"/>
            <w:noWrap/>
            <w:hideMark/>
          </w:tcPr>
          <w:p w14:paraId="3E1F70C7"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0.0003</w:t>
            </w:r>
          </w:p>
        </w:tc>
        <w:tc>
          <w:tcPr>
            <w:tcW w:w="1361" w:type="dxa"/>
            <w:shd w:val="clear" w:color="000000" w:fill="FFFFFF"/>
            <w:noWrap/>
            <w:hideMark/>
          </w:tcPr>
          <w:p w14:paraId="57365C35" w14:textId="58355A41" w:rsidR="008E2ED2" w:rsidRPr="0018386D" w:rsidRDefault="008E2ED2" w:rsidP="00DD3106">
            <w:pPr>
              <w:pStyle w:val="TableText"/>
              <w:spacing w:before="30" w:after="30"/>
              <w:rPr>
                <w:rFonts w:cs="Calibri"/>
                <w:szCs w:val="18"/>
                <w:lang w:bidi="th-TH"/>
              </w:rPr>
            </w:pPr>
            <w:r w:rsidRPr="0018386D">
              <w:rPr>
                <w:rFonts w:cs="Calibri"/>
                <w:szCs w:val="18"/>
                <w:lang w:bidi="th-TH"/>
              </w:rPr>
              <w:t>0.00267</w:t>
            </w:r>
          </w:p>
        </w:tc>
      </w:tr>
      <w:tr w:rsidR="003E0FAE" w:rsidRPr="0018386D" w14:paraId="527B9DF4" w14:textId="77777777" w:rsidTr="00575E53">
        <w:trPr>
          <w:divId w:val="742072273"/>
        </w:trPr>
        <w:tc>
          <w:tcPr>
            <w:tcW w:w="1474" w:type="dxa"/>
            <w:tcBorders>
              <w:top w:val="nil"/>
              <w:bottom w:val="nil"/>
              <w:right w:val="single" w:sz="4" w:space="0" w:color="auto"/>
            </w:tcBorders>
            <w:shd w:val="clear" w:color="000000" w:fill="FFFFFF"/>
            <w:noWrap/>
            <w:hideMark/>
          </w:tcPr>
          <w:p w14:paraId="472C6776"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0D89E878" w14:textId="18775FC1" w:rsidR="008E2ED2" w:rsidRPr="0018386D" w:rsidRDefault="008E2ED2" w:rsidP="00DD3106">
            <w:pPr>
              <w:pStyle w:val="TableText"/>
              <w:spacing w:before="30" w:after="30"/>
              <w:rPr>
                <w:rFonts w:cs="Calibri"/>
                <w:szCs w:val="18"/>
                <w:lang w:bidi="th-TH"/>
              </w:rPr>
            </w:pPr>
            <w:r w:rsidRPr="0018386D">
              <w:rPr>
                <w:rFonts w:cs="Calibri"/>
                <w:szCs w:val="18"/>
                <w:lang w:bidi="th-TH"/>
              </w:rPr>
              <w:t>1350–&lt;1600 cc</w:t>
            </w:r>
          </w:p>
        </w:tc>
        <w:tc>
          <w:tcPr>
            <w:tcW w:w="567" w:type="dxa"/>
            <w:shd w:val="clear" w:color="000000" w:fill="FFFFFF"/>
            <w:noWrap/>
            <w:hideMark/>
          </w:tcPr>
          <w:p w14:paraId="7EA80BD2"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0FDA7B64" w14:textId="36A12357" w:rsidR="008E2ED2" w:rsidRPr="0018386D" w:rsidRDefault="008E2ED2" w:rsidP="00DD3106">
            <w:pPr>
              <w:pStyle w:val="TableText"/>
              <w:spacing w:before="30" w:after="30"/>
              <w:rPr>
                <w:rFonts w:cs="Calibri"/>
                <w:szCs w:val="18"/>
                <w:lang w:bidi="th-TH"/>
              </w:rPr>
            </w:pPr>
            <w:r w:rsidRPr="0018386D">
              <w:rPr>
                <w:rFonts w:cs="Calibri"/>
                <w:szCs w:val="18"/>
                <w:lang w:bidi="th-TH"/>
              </w:rPr>
              <w:t>0.185</w:t>
            </w:r>
          </w:p>
        </w:tc>
        <w:tc>
          <w:tcPr>
            <w:tcW w:w="1191" w:type="dxa"/>
            <w:shd w:val="clear" w:color="000000" w:fill="FFFFFF"/>
            <w:noWrap/>
            <w:hideMark/>
          </w:tcPr>
          <w:p w14:paraId="4BBC67CB" w14:textId="5ED58B3C" w:rsidR="008E2ED2" w:rsidRPr="0018386D" w:rsidRDefault="008E2ED2" w:rsidP="00DD3106">
            <w:pPr>
              <w:pStyle w:val="TableText"/>
              <w:spacing w:before="30" w:after="30"/>
              <w:rPr>
                <w:rFonts w:cs="Calibri"/>
                <w:szCs w:val="18"/>
                <w:lang w:bidi="th-TH"/>
              </w:rPr>
            </w:pPr>
            <w:r w:rsidRPr="0018386D">
              <w:rPr>
                <w:rFonts w:cs="Calibri"/>
                <w:szCs w:val="18"/>
                <w:lang w:bidi="th-TH"/>
              </w:rPr>
              <w:t>0.182</w:t>
            </w:r>
          </w:p>
        </w:tc>
        <w:tc>
          <w:tcPr>
            <w:tcW w:w="1361" w:type="dxa"/>
            <w:shd w:val="clear" w:color="000000" w:fill="FFFFFF"/>
            <w:noWrap/>
            <w:hideMark/>
          </w:tcPr>
          <w:p w14:paraId="15E6C6FE" w14:textId="414B5357" w:rsidR="008E2ED2" w:rsidRPr="0018386D" w:rsidRDefault="008E2ED2" w:rsidP="00DD3106">
            <w:pPr>
              <w:pStyle w:val="TableText"/>
              <w:spacing w:before="30" w:after="30"/>
              <w:rPr>
                <w:rFonts w:cs="Calibri"/>
                <w:szCs w:val="18"/>
                <w:lang w:bidi="th-TH"/>
              </w:rPr>
            </w:pPr>
            <w:r w:rsidRPr="0018386D">
              <w:rPr>
                <w:rFonts w:cs="Calibri"/>
                <w:szCs w:val="18"/>
                <w:lang w:bidi="th-TH"/>
              </w:rPr>
              <w:t>0.0003</w:t>
            </w:r>
          </w:p>
        </w:tc>
        <w:tc>
          <w:tcPr>
            <w:tcW w:w="1361" w:type="dxa"/>
            <w:shd w:val="clear" w:color="000000" w:fill="FFFFFF"/>
            <w:noWrap/>
            <w:hideMark/>
          </w:tcPr>
          <w:p w14:paraId="516CB57F" w14:textId="01C90295" w:rsidR="008E2ED2" w:rsidRPr="0018386D" w:rsidRDefault="008E2ED2" w:rsidP="00DD3106">
            <w:pPr>
              <w:pStyle w:val="TableText"/>
              <w:spacing w:before="30" w:after="30"/>
              <w:rPr>
                <w:rFonts w:cs="Calibri"/>
                <w:szCs w:val="18"/>
                <w:lang w:bidi="th-TH"/>
              </w:rPr>
            </w:pPr>
            <w:r w:rsidRPr="0018386D">
              <w:rPr>
                <w:rFonts w:cs="Calibri"/>
                <w:szCs w:val="18"/>
                <w:lang w:bidi="th-TH"/>
              </w:rPr>
              <w:t>0.00257</w:t>
            </w:r>
          </w:p>
        </w:tc>
      </w:tr>
      <w:tr w:rsidR="003E0FAE" w:rsidRPr="0018386D" w14:paraId="45566C61" w14:textId="77777777" w:rsidTr="00575E53">
        <w:trPr>
          <w:divId w:val="742072273"/>
        </w:trPr>
        <w:tc>
          <w:tcPr>
            <w:tcW w:w="1474" w:type="dxa"/>
            <w:tcBorders>
              <w:top w:val="nil"/>
              <w:bottom w:val="nil"/>
              <w:right w:val="single" w:sz="4" w:space="0" w:color="auto"/>
            </w:tcBorders>
            <w:shd w:val="clear" w:color="000000" w:fill="FFFFFF"/>
            <w:noWrap/>
            <w:hideMark/>
          </w:tcPr>
          <w:p w14:paraId="6B678B28"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7E525E7C" w14:textId="73907BDD" w:rsidR="008E2ED2" w:rsidRPr="0018386D" w:rsidRDefault="008E2ED2" w:rsidP="00DD3106">
            <w:pPr>
              <w:pStyle w:val="TableText"/>
              <w:spacing w:before="30" w:after="30"/>
              <w:rPr>
                <w:rFonts w:cs="Calibri"/>
                <w:szCs w:val="18"/>
                <w:lang w:bidi="th-TH"/>
              </w:rPr>
            </w:pPr>
            <w:r w:rsidRPr="0018386D">
              <w:rPr>
                <w:rFonts w:cs="Calibri"/>
                <w:szCs w:val="18"/>
                <w:lang w:bidi="th-TH"/>
              </w:rPr>
              <w:t>1600–&lt;2000 cc</w:t>
            </w:r>
          </w:p>
        </w:tc>
        <w:tc>
          <w:tcPr>
            <w:tcW w:w="567" w:type="dxa"/>
            <w:shd w:val="clear" w:color="000000" w:fill="FFFFFF"/>
            <w:noWrap/>
            <w:hideMark/>
          </w:tcPr>
          <w:p w14:paraId="38FFBD0C"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460454E5" w14:textId="08ECB18B" w:rsidR="008E2ED2" w:rsidRPr="0018386D" w:rsidRDefault="008E2ED2" w:rsidP="00DD3106">
            <w:pPr>
              <w:pStyle w:val="TableText"/>
              <w:spacing w:before="30" w:after="30"/>
              <w:rPr>
                <w:rFonts w:cs="Calibri"/>
                <w:szCs w:val="18"/>
                <w:lang w:bidi="th-TH"/>
              </w:rPr>
            </w:pPr>
            <w:r w:rsidRPr="0018386D">
              <w:rPr>
                <w:rFonts w:cs="Calibri"/>
                <w:szCs w:val="18"/>
                <w:lang w:bidi="th-TH"/>
              </w:rPr>
              <w:t>0.196</w:t>
            </w:r>
          </w:p>
        </w:tc>
        <w:tc>
          <w:tcPr>
            <w:tcW w:w="1191" w:type="dxa"/>
            <w:shd w:val="clear" w:color="000000" w:fill="FFFFFF"/>
            <w:noWrap/>
            <w:hideMark/>
          </w:tcPr>
          <w:p w14:paraId="2F399F5F" w14:textId="7B63D678" w:rsidR="008E2ED2" w:rsidRPr="0018386D" w:rsidRDefault="008E2ED2" w:rsidP="00DD3106">
            <w:pPr>
              <w:pStyle w:val="TableText"/>
              <w:spacing w:before="30" w:after="30"/>
              <w:rPr>
                <w:rFonts w:cs="Calibri"/>
                <w:szCs w:val="18"/>
                <w:lang w:bidi="th-TH"/>
              </w:rPr>
            </w:pPr>
            <w:r w:rsidRPr="0018386D">
              <w:rPr>
                <w:rFonts w:cs="Calibri"/>
                <w:szCs w:val="18"/>
                <w:lang w:bidi="th-TH"/>
              </w:rPr>
              <w:t>0.193</w:t>
            </w:r>
          </w:p>
        </w:tc>
        <w:tc>
          <w:tcPr>
            <w:tcW w:w="1361" w:type="dxa"/>
            <w:shd w:val="clear" w:color="000000" w:fill="FFFFFF"/>
            <w:noWrap/>
            <w:hideMark/>
          </w:tcPr>
          <w:p w14:paraId="50A3D29B"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0.0003</w:t>
            </w:r>
          </w:p>
        </w:tc>
        <w:tc>
          <w:tcPr>
            <w:tcW w:w="1361" w:type="dxa"/>
            <w:shd w:val="clear" w:color="000000" w:fill="FFFFFF"/>
            <w:noWrap/>
            <w:hideMark/>
          </w:tcPr>
          <w:p w14:paraId="37D36F02" w14:textId="4027A38B" w:rsidR="008E2ED2" w:rsidRPr="0018386D" w:rsidRDefault="008E2ED2" w:rsidP="00DD3106">
            <w:pPr>
              <w:pStyle w:val="TableText"/>
              <w:spacing w:before="30" w:after="30"/>
              <w:rPr>
                <w:rFonts w:cs="Calibri"/>
                <w:szCs w:val="18"/>
                <w:lang w:bidi="th-TH"/>
              </w:rPr>
            </w:pPr>
            <w:r w:rsidRPr="0018386D">
              <w:rPr>
                <w:rFonts w:cs="Calibri"/>
                <w:szCs w:val="18"/>
                <w:lang w:bidi="th-TH"/>
              </w:rPr>
              <w:t>0.00272</w:t>
            </w:r>
          </w:p>
        </w:tc>
      </w:tr>
      <w:tr w:rsidR="003E0FAE" w:rsidRPr="0018386D" w14:paraId="15D6E467" w14:textId="77777777" w:rsidTr="00575E53">
        <w:trPr>
          <w:divId w:val="742072273"/>
        </w:trPr>
        <w:tc>
          <w:tcPr>
            <w:tcW w:w="1474" w:type="dxa"/>
            <w:tcBorders>
              <w:top w:val="nil"/>
              <w:bottom w:val="nil"/>
              <w:right w:val="single" w:sz="4" w:space="0" w:color="auto"/>
            </w:tcBorders>
            <w:shd w:val="clear" w:color="000000" w:fill="FFFFFF"/>
            <w:noWrap/>
            <w:hideMark/>
          </w:tcPr>
          <w:p w14:paraId="1F88981C"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56403FF7" w14:textId="34B9F043" w:rsidR="008E2ED2" w:rsidRPr="0018386D" w:rsidRDefault="008E2ED2" w:rsidP="00DD3106">
            <w:pPr>
              <w:pStyle w:val="TableText"/>
              <w:spacing w:before="30" w:after="30"/>
              <w:rPr>
                <w:rFonts w:cs="Calibri"/>
                <w:szCs w:val="18"/>
                <w:lang w:bidi="th-TH"/>
              </w:rPr>
            </w:pPr>
            <w:r w:rsidRPr="0018386D">
              <w:rPr>
                <w:rFonts w:cs="Calibri"/>
                <w:szCs w:val="18"/>
                <w:lang w:bidi="th-TH"/>
              </w:rPr>
              <w:t>2000–&lt;3000 cc</w:t>
            </w:r>
          </w:p>
        </w:tc>
        <w:tc>
          <w:tcPr>
            <w:tcW w:w="567" w:type="dxa"/>
            <w:shd w:val="clear" w:color="000000" w:fill="FFFFFF"/>
            <w:noWrap/>
            <w:hideMark/>
          </w:tcPr>
          <w:p w14:paraId="79E2BFBE"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0AE2D423" w14:textId="5C430425" w:rsidR="008E2ED2" w:rsidRPr="0018386D" w:rsidRDefault="008E2ED2" w:rsidP="00DD3106">
            <w:pPr>
              <w:pStyle w:val="TableText"/>
              <w:spacing w:before="30" w:after="30"/>
              <w:rPr>
                <w:rFonts w:cs="Calibri"/>
                <w:szCs w:val="18"/>
                <w:lang w:bidi="th-TH"/>
              </w:rPr>
            </w:pPr>
            <w:r w:rsidRPr="0018386D">
              <w:rPr>
                <w:rFonts w:cs="Calibri"/>
                <w:szCs w:val="18"/>
                <w:lang w:bidi="th-TH"/>
              </w:rPr>
              <w:t>0.241</w:t>
            </w:r>
          </w:p>
        </w:tc>
        <w:tc>
          <w:tcPr>
            <w:tcW w:w="1191" w:type="dxa"/>
            <w:shd w:val="clear" w:color="000000" w:fill="FFFFFF"/>
            <w:noWrap/>
            <w:hideMark/>
          </w:tcPr>
          <w:p w14:paraId="3AF0FCC9" w14:textId="11DAD664" w:rsidR="008E2ED2" w:rsidRPr="0018386D" w:rsidRDefault="008E2ED2" w:rsidP="00DD3106">
            <w:pPr>
              <w:pStyle w:val="TableText"/>
              <w:spacing w:before="30" w:after="30"/>
              <w:rPr>
                <w:rFonts w:cs="Calibri"/>
                <w:szCs w:val="18"/>
                <w:lang w:bidi="th-TH"/>
              </w:rPr>
            </w:pPr>
            <w:r w:rsidRPr="0018386D">
              <w:rPr>
                <w:rFonts w:cs="Calibri"/>
                <w:szCs w:val="18"/>
                <w:lang w:bidi="th-TH"/>
              </w:rPr>
              <w:t>0.237</w:t>
            </w:r>
          </w:p>
        </w:tc>
        <w:tc>
          <w:tcPr>
            <w:tcW w:w="1361" w:type="dxa"/>
            <w:shd w:val="clear" w:color="000000" w:fill="FFFFFF"/>
            <w:noWrap/>
            <w:hideMark/>
          </w:tcPr>
          <w:p w14:paraId="4A1E7C17" w14:textId="135F851C" w:rsidR="008E2ED2" w:rsidRPr="0018386D" w:rsidRDefault="008E2ED2" w:rsidP="00DD3106">
            <w:pPr>
              <w:pStyle w:val="TableText"/>
              <w:spacing w:before="30" w:after="30"/>
              <w:rPr>
                <w:rFonts w:cs="Calibri"/>
                <w:szCs w:val="18"/>
                <w:lang w:bidi="th-TH"/>
              </w:rPr>
            </w:pPr>
            <w:r w:rsidRPr="0018386D">
              <w:rPr>
                <w:rFonts w:cs="Calibri"/>
                <w:szCs w:val="18"/>
                <w:lang w:bidi="th-TH"/>
              </w:rPr>
              <w:t>0.0004</w:t>
            </w:r>
          </w:p>
        </w:tc>
        <w:tc>
          <w:tcPr>
            <w:tcW w:w="1361" w:type="dxa"/>
            <w:shd w:val="clear" w:color="000000" w:fill="FFFFFF"/>
            <w:noWrap/>
            <w:hideMark/>
          </w:tcPr>
          <w:p w14:paraId="0E8B6CBA" w14:textId="52824149" w:rsidR="008E2ED2" w:rsidRPr="0018386D" w:rsidRDefault="008E2ED2" w:rsidP="00DD3106">
            <w:pPr>
              <w:pStyle w:val="TableText"/>
              <w:spacing w:before="30" w:after="30"/>
              <w:rPr>
                <w:rFonts w:cs="Calibri"/>
                <w:szCs w:val="18"/>
                <w:lang w:bidi="th-TH"/>
              </w:rPr>
            </w:pPr>
            <w:r w:rsidRPr="0018386D">
              <w:rPr>
                <w:rFonts w:cs="Calibri"/>
                <w:szCs w:val="18"/>
                <w:lang w:bidi="th-TH"/>
              </w:rPr>
              <w:t>0.00335</w:t>
            </w:r>
          </w:p>
        </w:tc>
      </w:tr>
      <w:tr w:rsidR="003E0FAE" w:rsidRPr="0018386D" w14:paraId="0ED21593" w14:textId="77777777" w:rsidTr="00575E53">
        <w:trPr>
          <w:divId w:val="742072273"/>
        </w:trPr>
        <w:tc>
          <w:tcPr>
            <w:tcW w:w="1474" w:type="dxa"/>
            <w:tcBorders>
              <w:top w:val="nil"/>
              <w:bottom w:val="single" w:sz="4" w:space="0" w:color="auto"/>
              <w:right w:val="single" w:sz="4" w:space="0" w:color="auto"/>
            </w:tcBorders>
            <w:shd w:val="clear" w:color="000000" w:fill="FFFFFF"/>
            <w:noWrap/>
            <w:hideMark/>
          </w:tcPr>
          <w:p w14:paraId="70050C2C"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0CB0DC2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≥3000 cc</w:t>
            </w:r>
          </w:p>
        </w:tc>
        <w:tc>
          <w:tcPr>
            <w:tcW w:w="567" w:type="dxa"/>
            <w:shd w:val="clear" w:color="000000" w:fill="FFFFFF"/>
            <w:noWrap/>
            <w:hideMark/>
          </w:tcPr>
          <w:p w14:paraId="77F9F0C5"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4A96AF66" w14:textId="6A0F7D9C" w:rsidR="008E2ED2" w:rsidRPr="0018386D" w:rsidRDefault="008E2ED2" w:rsidP="00DD3106">
            <w:pPr>
              <w:pStyle w:val="TableText"/>
              <w:spacing w:before="30" w:after="30"/>
              <w:rPr>
                <w:rFonts w:cs="Calibri"/>
                <w:szCs w:val="18"/>
                <w:lang w:bidi="th-TH"/>
              </w:rPr>
            </w:pPr>
            <w:r w:rsidRPr="0018386D">
              <w:rPr>
                <w:rFonts w:cs="Calibri"/>
                <w:szCs w:val="18"/>
                <w:lang w:bidi="th-TH"/>
              </w:rPr>
              <w:t>0.267</w:t>
            </w:r>
          </w:p>
        </w:tc>
        <w:tc>
          <w:tcPr>
            <w:tcW w:w="1191" w:type="dxa"/>
            <w:shd w:val="clear" w:color="000000" w:fill="FFFFFF"/>
            <w:noWrap/>
            <w:hideMark/>
          </w:tcPr>
          <w:p w14:paraId="11D3C362" w14:textId="6F52BFAE" w:rsidR="008E2ED2" w:rsidRPr="0018386D" w:rsidRDefault="008E2ED2" w:rsidP="00DD3106">
            <w:pPr>
              <w:pStyle w:val="TableText"/>
              <w:spacing w:before="30" w:after="30"/>
              <w:rPr>
                <w:rFonts w:cs="Calibri"/>
                <w:szCs w:val="18"/>
                <w:lang w:bidi="th-TH"/>
              </w:rPr>
            </w:pPr>
            <w:r w:rsidRPr="0018386D">
              <w:rPr>
                <w:rFonts w:cs="Calibri"/>
                <w:szCs w:val="18"/>
                <w:lang w:bidi="th-TH"/>
              </w:rPr>
              <w:t>0.263</w:t>
            </w:r>
          </w:p>
        </w:tc>
        <w:tc>
          <w:tcPr>
            <w:tcW w:w="1361" w:type="dxa"/>
            <w:shd w:val="clear" w:color="000000" w:fill="FFFFFF"/>
            <w:noWrap/>
            <w:hideMark/>
          </w:tcPr>
          <w:p w14:paraId="03FB4C97"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0.0004</w:t>
            </w:r>
          </w:p>
        </w:tc>
        <w:tc>
          <w:tcPr>
            <w:tcW w:w="1361" w:type="dxa"/>
            <w:shd w:val="clear" w:color="000000" w:fill="FFFFFF"/>
            <w:noWrap/>
            <w:hideMark/>
          </w:tcPr>
          <w:p w14:paraId="5AB5E2FE" w14:textId="549079A2" w:rsidR="008E2ED2" w:rsidRPr="0018386D" w:rsidRDefault="008E2ED2" w:rsidP="00DD3106">
            <w:pPr>
              <w:pStyle w:val="TableText"/>
              <w:spacing w:before="30" w:after="30"/>
              <w:rPr>
                <w:rFonts w:cs="Calibri"/>
                <w:szCs w:val="18"/>
                <w:lang w:bidi="th-TH"/>
              </w:rPr>
            </w:pPr>
            <w:r w:rsidRPr="0018386D">
              <w:rPr>
                <w:rFonts w:cs="Calibri"/>
                <w:szCs w:val="18"/>
                <w:lang w:bidi="th-TH"/>
              </w:rPr>
              <w:t>0.00372</w:t>
            </w:r>
          </w:p>
        </w:tc>
      </w:tr>
      <w:tr w:rsidR="003E0FAE" w:rsidRPr="0018386D" w14:paraId="1139F98F" w14:textId="77777777" w:rsidTr="00575E53">
        <w:trPr>
          <w:divId w:val="742072273"/>
        </w:trPr>
        <w:tc>
          <w:tcPr>
            <w:tcW w:w="1474" w:type="dxa"/>
            <w:tcBorders>
              <w:top w:val="single" w:sz="4" w:space="0" w:color="auto"/>
              <w:bottom w:val="nil"/>
              <w:right w:val="single" w:sz="4" w:space="0" w:color="auto"/>
            </w:tcBorders>
            <w:shd w:val="clear" w:color="000000" w:fill="FFFFFF"/>
            <w:noWrap/>
            <w:hideMark/>
          </w:tcPr>
          <w:p w14:paraId="2C926013"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Motorcycle</w:t>
            </w:r>
          </w:p>
        </w:tc>
        <w:tc>
          <w:tcPr>
            <w:tcW w:w="1361" w:type="dxa"/>
            <w:tcBorders>
              <w:left w:val="single" w:sz="4" w:space="0" w:color="auto"/>
            </w:tcBorders>
            <w:shd w:val="clear" w:color="000000" w:fill="FFFFFF"/>
            <w:noWrap/>
            <w:hideMark/>
          </w:tcPr>
          <w:p w14:paraId="067C912C" w14:textId="53C5D3F6" w:rsidR="008E2ED2" w:rsidRPr="0018386D" w:rsidRDefault="008E2ED2" w:rsidP="00DD3106">
            <w:pPr>
              <w:pStyle w:val="TableText"/>
              <w:spacing w:before="30" w:after="30"/>
              <w:rPr>
                <w:rFonts w:cs="Calibri"/>
                <w:szCs w:val="18"/>
                <w:lang w:bidi="th-TH"/>
              </w:rPr>
            </w:pPr>
            <w:r w:rsidRPr="0018386D">
              <w:rPr>
                <w:rFonts w:cs="Calibri"/>
                <w:szCs w:val="18"/>
                <w:lang w:bidi="th-TH"/>
              </w:rPr>
              <w:t>&lt;60</w:t>
            </w:r>
            <w:r w:rsidR="006901F6" w:rsidRPr="0018386D">
              <w:rPr>
                <w:rFonts w:cs="Calibri"/>
                <w:szCs w:val="18"/>
                <w:lang w:bidi="th-TH"/>
              </w:rPr>
              <w:t xml:space="preserve"> </w:t>
            </w:r>
            <w:r w:rsidRPr="0018386D">
              <w:rPr>
                <w:rFonts w:cs="Calibri"/>
                <w:szCs w:val="18"/>
                <w:lang w:bidi="th-TH"/>
              </w:rPr>
              <w:t>cc, petrol</w:t>
            </w:r>
          </w:p>
        </w:tc>
        <w:tc>
          <w:tcPr>
            <w:tcW w:w="567" w:type="dxa"/>
            <w:shd w:val="clear" w:color="000000" w:fill="FFFFFF"/>
            <w:noWrap/>
            <w:hideMark/>
          </w:tcPr>
          <w:p w14:paraId="73D9F769"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0BF55A5A" w14:textId="45972CC5" w:rsidR="008E2ED2" w:rsidRPr="0018386D" w:rsidRDefault="008E2ED2" w:rsidP="00DD3106">
            <w:pPr>
              <w:pStyle w:val="TableText"/>
              <w:spacing w:before="30" w:after="30"/>
              <w:rPr>
                <w:rFonts w:cs="Calibri"/>
                <w:szCs w:val="18"/>
                <w:lang w:bidi="th-TH"/>
              </w:rPr>
            </w:pPr>
            <w:r w:rsidRPr="0018386D">
              <w:rPr>
                <w:rFonts w:cs="Calibri"/>
                <w:szCs w:val="18"/>
                <w:lang w:bidi="th-TH"/>
              </w:rPr>
              <w:t>0.0683</w:t>
            </w:r>
          </w:p>
        </w:tc>
        <w:tc>
          <w:tcPr>
            <w:tcW w:w="1191" w:type="dxa"/>
            <w:shd w:val="clear" w:color="000000" w:fill="FFFFFF"/>
            <w:noWrap/>
            <w:hideMark/>
          </w:tcPr>
          <w:p w14:paraId="5E97F50D" w14:textId="539D5124" w:rsidR="008E2ED2" w:rsidRPr="0018386D" w:rsidRDefault="008E2ED2" w:rsidP="00DD3106">
            <w:pPr>
              <w:pStyle w:val="TableText"/>
              <w:spacing w:before="30" w:after="30"/>
              <w:rPr>
                <w:rFonts w:cs="Calibri"/>
                <w:szCs w:val="18"/>
                <w:lang w:bidi="th-TH"/>
              </w:rPr>
            </w:pPr>
            <w:r w:rsidRPr="0018386D">
              <w:rPr>
                <w:rFonts w:cs="Calibri"/>
                <w:szCs w:val="18"/>
                <w:lang w:bidi="th-TH"/>
              </w:rPr>
              <w:t>0.0654</w:t>
            </w:r>
          </w:p>
        </w:tc>
        <w:tc>
          <w:tcPr>
            <w:tcW w:w="1361" w:type="dxa"/>
            <w:shd w:val="clear" w:color="000000" w:fill="FFFFFF"/>
            <w:noWrap/>
            <w:hideMark/>
          </w:tcPr>
          <w:p w14:paraId="06A0E312" w14:textId="553EA82B" w:rsidR="008E2ED2" w:rsidRPr="0018386D" w:rsidRDefault="008E2ED2" w:rsidP="00DD3106">
            <w:pPr>
              <w:pStyle w:val="TableText"/>
              <w:spacing w:before="30" w:after="30"/>
              <w:rPr>
                <w:rFonts w:cs="Calibri"/>
                <w:szCs w:val="18"/>
                <w:lang w:bidi="th-TH"/>
              </w:rPr>
            </w:pPr>
            <w:r w:rsidRPr="0018386D">
              <w:rPr>
                <w:rFonts w:cs="Calibri"/>
                <w:szCs w:val="18"/>
                <w:lang w:bidi="th-TH"/>
              </w:rPr>
              <w:t>0.0009</w:t>
            </w:r>
          </w:p>
        </w:tc>
        <w:tc>
          <w:tcPr>
            <w:tcW w:w="1361" w:type="dxa"/>
            <w:shd w:val="clear" w:color="000000" w:fill="FFFFFF"/>
            <w:noWrap/>
            <w:hideMark/>
          </w:tcPr>
          <w:p w14:paraId="6533D9DE" w14:textId="5FC66E82" w:rsidR="008E2ED2" w:rsidRPr="0018386D" w:rsidRDefault="008E2ED2" w:rsidP="00DD3106">
            <w:pPr>
              <w:pStyle w:val="TableText"/>
              <w:spacing w:before="30" w:after="30"/>
              <w:rPr>
                <w:rFonts w:cs="Calibri"/>
                <w:szCs w:val="18"/>
                <w:lang w:bidi="th-TH"/>
              </w:rPr>
            </w:pPr>
            <w:r w:rsidRPr="0018386D">
              <w:rPr>
                <w:rFonts w:cs="Calibri"/>
                <w:szCs w:val="18"/>
                <w:lang w:bidi="th-TH"/>
              </w:rPr>
              <w:t>0.00197</w:t>
            </w:r>
          </w:p>
        </w:tc>
      </w:tr>
      <w:tr w:rsidR="003E0FAE" w:rsidRPr="0018386D" w14:paraId="3A4C65B0" w14:textId="77777777" w:rsidTr="00575E53">
        <w:trPr>
          <w:divId w:val="742072273"/>
        </w:trPr>
        <w:tc>
          <w:tcPr>
            <w:tcW w:w="1474" w:type="dxa"/>
            <w:tcBorders>
              <w:top w:val="nil"/>
              <w:bottom w:val="single" w:sz="4" w:space="0" w:color="auto"/>
              <w:right w:val="single" w:sz="4" w:space="0" w:color="auto"/>
            </w:tcBorders>
            <w:shd w:val="clear" w:color="000000" w:fill="FFFFFF"/>
            <w:noWrap/>
            <w:hideMark/>
          </w:tcPr>
          <w:p w14:paraId="7827A99A"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 </w:t>
            </w:r>
          </w:p>
        </w:tc>
        <w:tc>
          <w:tcPr>
            <w:tcW w:w="1361" w:type="dxa"/>
            <w:tcBorders>
              <w:left w:val="single" w:sz="4" w:space="0" w:color="auto"/>
            </w:tcBorders>
            <w:shd w:val="clear" w:color="000000" w:fill="FFFFFF"/>
            <w:noWrap/>
            <w:hideMark/>
          </w:tcPr>
          <w:p w14:paraId="24A2842A" w14:textId="2AEFFFCC" w:rsidR="008E2ED2" w:rsidRPr="0018386D" w:rsidRDefault="008E2ED2" w:rsidP="00DD3106">
            <w:pPr>
              <w:pStyle w:val="TableText"/>
              <w:spacing w:before="30" w:after="30"/>
              <w:rPr>
                <w:rFonts w:cs="Calibri"/>
                <w:szCs w:val="18"/>
                <w:lang w:bidi="th-TH"/>
              </w:rPr>
            </w:pPr>
            <w:r w:rsidRPr="0018386D">
              <w:rPr>
                <w:rFonts w:cs="Calibri"/>
                <w:szCs w:val="18"/>
                <w:lang w:bidi="th-TH"/>
              </w:rPr>
              <w:t>≥60</w:t>
            </w:r>
            <w:r w:rsidR="006901F6" w:rsidRPr="0018386D">
              <w:rPr>
                <w:rFonts w:cs="Calibri"/>
                <w:szCs w:val="18"/>
                <w:lang w:bidi="th-TH"/>
              </w:rPr>
              <w:t xml:space="preserve"> </w:t>
            </w:r>
            <w:r w:rsidRPr="0018386D">
              <w:rPr>
                <w:rFonts w:cs="Calibri"/>
                <w:szCs w:val="18"/>
                <w:lang w:bidi="th-TH"/>
              </w:rPr>
              <w:t>cc, petrol</w:t>
            </w:r>
          </w:p>
        </w:tc>
        <w:tc>
          <w:tcPr>
            <w:tcW w:w="567" w:type="dxa"/>
            <w:shd w:val="clear" w:color="000000" w:fill="FFFFFF"/>
            <w:noWrap/>
            <w:hideMark/>
          </w:tcPr>
          <w:p w14:paraId="09B5059E" w14:textId="77777777" w:rsidR="008E2ED2" w:rsidRPr="0018386D" w:rsidRDefault="008E2ED2" w:rsidP="00DD3106">
            <w:pPr>
              <w:pStyle w:val="TableText"/>
              <w:spacing w:before="30" w:after="30"/>
              <w:rPr>
                <w:rFonts w:cs="Calibri"/>
                <w:szCs w:val="18"/>
                <w:lang w:bidi="th-TH"/>
              </w:rPr>
            </w:pPr>
            <w:r w:rsidRPr="0018386D">
              <w:rPr>
                <w:rFonts w:cs="Calibri"/>
                <w:szCs w:val="18"/>
                <w:lang w:bidi="th-TH"/>
              </w:rPr>
              <w:t>km</w:t>
            </w:r>
          </w:p>
        </w:tc>
        <w:tc>
          <w:tcPr>
            <w:tcW w:w="1309" w:type="dxa"/>
            <w:shd w:val="clear" w:color="000000" w:fill="D2DDE1"/>
            <w:noWrap/>
            <w:hideMark/>
          </w:tcPr>
          <w:p w14:paraId="00A54762" w14:textId="087F850E" w:rsidR="008E2ED2" w:rsidRPr="0018386D" w:rsidRDefault="008E2ED2" w:rsidP="00DD3106">
            <w:pPr>
              <w:pStyle w:val="TableText"/>
              <w:spacing w:before="30" w:after="30"/>
              <w:rPr>
                <w:rFonts w:cs="Calibri"/>
                <w:szCs w:val="18"/>
                <w:lang w:bidi="th-TH"/>
              </w:rPr>
            </w:pPr>
            <w:r w:rsidRPr="0018386D">
              <w:rPr>
                <w:rFonts w:cs="Calibri"/>
                <w:szCs w:val="18"/>
                <w:lang w:bidi="th-TH"/>
              </w:rPr>
              <w:t>0.137</w:t>
            </w:r>
          </w:p>
        </w:tc>
        <w:tc>
          <w:tcPr>
            <w:tcW w:w="1191" w:type="dxa"/>
            <w:shd w:val="clear" w:color="000000" w:fill="FFFFFF"/>
            <w:noWrap/>
            <w:hideMark/>
          </w:tcPr>
          <w:p w14:paraId="5FB02AEE" w14:textId="1F20261B" w:rsidR="008E2ED2" w:rsidRPr="0018386D" w:rsidRDefault="008E2ED2" w:rsidP="00DD3106">
            <w:pPr>
              <w:pStyle w:val="TableText"/>
              <w:spacing w:before="30" w:after="30"/>
              <w:rPr>
                <w:rFonts w:cs="Calibri"/>
                <w:szCs w:val="18"/>
                <w:lang w:bidi="th-TH"/>
              </w:rPr>
            </w:pPr>
            <w:r w:rsidRPr="0018386D">
              <w:rPr>
                <w:rFonts w:cs="Calibri"/>
                <w:szCs w:val="18"/>
                <w:lang w:bidi="th-TH"/>
              </w:rPr>
              <w:t>0.131</w:t>
            </w:r>
          </w:p>
        </w:tc>
        <w:tc>
          <w:tcPr>
            <w:tcW w:w="1361" w:type="dxa"/>
            <w:shd w:val="clear" w:color="000000" w:fill="FFFFFF"/>
            <w:noWrap/>
            <w:hideMark/>
          </w:tcPr>
          <w:p w14:paraId="046BCC60" w14:textId="2F62A03E" w:rsidR="008E2ED2" w:rsidRPr="0018386D" w:rsidRDefault="008E2ED2" w:rsidP="00DD3106">
            <w:pPr>
              <w:pStyle w:val="TableText"/>
              <w:spacing w:before="30" w:after="30"/>
              <w:rPr>
                <w:rFonts w:cs="Calibri"/>
                <w:szCs w:val="18"/>
                <w:lang w:bidi="th-TH"/>
              </w:rPr>
            </w:pPr>
            <w:r w:rsidRPr="0018386D">
              <w:rPr>
                <w:rFonts w:cs="Calibri"/>
                <w:szCs w:val="18"/>
                <w:lang w:bidi="th-TH"/>
              </w:rPr>
              <w:t>0.00172</w:t>
            </w:r>
          </w:p>
        </w:tc>
        <w:tc>
          <w:tcPr>
            <w:tcW w:w="1361" w:type="dxa"/>
            <w:shd w:val="clear" w:color="000000" w:fill="FFFFFF"/>
            <w:noWrap/>
            <w:hideMark/>
          </w:tcPr>
          <w:p w14:paraId="368C2AA2" w14:textId="75AA3A78" w:rsidR="008E2ED2" w:rsidRPr="0018386D" w:rsidRDefault="008E2ED2" w:rsidP="00DD3106">
            <w:pPr>
              <w:pStyle w:val="TableText"/>
              <w:spacing w:before="30" w:after="30"/>
              <w:rPr>
                <w:rFonts w:cs="Calibri"/>
                <w:szCs w:val="18"/>
                <w:lang w:bidi="th-TH"/>
              </w:rPr>
            </w:pPr>
            <w:r w:rsidRPr="0018386D">
              <w:rPr>
                <w:rFonts w:cs="Calibri"/>
                <w:szCs w:val="18"/>
                <w:lang w:bidi="th-TH"/>
              </w:rPr>
              <w:t>0.00395</w:t>
            </w:r>
          </w:p>
        </w:tc>
      </w:tr>
    </w:tbl>
    <w:p w14:paraId="66DDD900" w14:textId="0A894BBF" w:rsidR="00797519" w:rsidRPr="0018386D" w:rsidRDefault="007C42DD" w:rsidP="00DD3106">
      <w:pPr>
        <w:pStyle w:val="Note"/>
      </w:pPr>
      <w:bookmarkStart w:id="373" w:name="_Hlk532813947"/>
      <w:bookmarkStart w:id="374" w:name="_Ref529837366"/>
      <w:r w:rsidRPr="0018386D">
        <w:rPr>
          <w:b/>
          <w:bCs/>
        </w:rPr>
        <w:t>Note</w:t>
      </w:r>
      <w:r w:rsidR="003438E6" w:rsidRPr="0018386D">
        <w:rPr>
          <w:b/>
          <w:bCs/>
        </w:rPr>
        <w:t>:</w:t>
      </w:r>
      <w:r w:rsidRPr="0018386D">
        <w:t xml:space="preserve"> </w:t>
      </w:r>
      <w:r w:rsidR="003438E6" w:rsidRPr="0018386D">
        <w:t xml:space="preserve">These </w:t>
      </w:r>
      <w:r w:rsidRPr="0018386D">
        <w:t xml:space="preserve">numbers are rounded to three decimal places unless the number </w:t>
      </w:r>
      <w:r w:rsidR="00BA31FD" w:rsidRPr="0018386D">
        <w:t>is significantly small</w:t>
      </w:r>
      <w:r w:rsidRPr="0018386D">
        <w:t>.</w:t>
      </w:r>
      <w:r w:rsidR="008B3986" w:rsidRPr="0018386D">
        <w:t xml:space="preserve"> </w:t>
      </w:r>
      <w:bookmarkEnd w:id="373"/>
    </w:p>
    <w:p w14:paraId="65091B44" w14:textId="00900A93" w:rsidR="00046AC8" w:rsidRPr="0018386D" w:rsidRDefault="004837A7" w:rsidP="00DD3106">
      <w:pPr>
        <w:pStyle w:val="Tableheading"/>
      </w:pPr>
      <w:bookmarkStart w:id="375" w:name="_Ref55221082"/>
      <w:bookmarkStart w:id="376" w:name="table17"/>
      <w:bookmarkStart w:id="377" w:name="_Ref612393"/>
      <w:bookmarkStart w:id="378" w:name="_Toc111536623"/>
      <w:bookmarkStart w:id="379" w:name="_Toc140048958"/>
      <w:r w:rsidRPr="0018386D">
        <w:t xml:space="preserve">Table </w:t>
      </w:r>
      <w:r w:rsidRPr="0018386D">
        <w:fldChar w:fldCharType="begin"/>
      </w:r>
      <w:r w:rsidRPr="0018386D">
        <w:instrText>SEQ Table \* ARABIC</w:instrText>
      </w:r>
      <w:r w:rsidRPr="0018386D">
        <w:fldChar w:fldCharType="separate"/>
      </w:r>
      <w:r w:rsidR="003E141C" w:rsidRPr="0018386D">
        <w:t>18</w:t>
      </w:r>
      <w:r w:rsidRPr="0018386D">
        <w:fldChar w:fldCharType="end"/>
      </w:r>
      <w:bookmarkEnd w:id="375"/>
      <w:bookmarkEnd w:id="376"/>
      <w:r w:rsidRPr="0018386D">
        <w:t>:</w:t>
      </w:r>
      <w:r w:rsidR="00D61811" w:rsidRPr="0018386D">
        <w:tab/>
      </w:r>
      <w:r w:rsidRPr="0018386D">
        <w:t xml:space="preserve">2010–2015 vehicle fleet emission factors per km </w:t>
      </w:r>
      <w:proofErr w:type="gramStart"/>
      <w:r w:rsidRPr="0018386D">
        <w:t>travelled</w:t>
      </w:r>
      <w:bookmarkEnd w:id="374"/>
      <w:bookmarkEnd w:id="377"/>
      <w:bookmarkEnd w:id="378"/>
      <w:bookmarkEnd w:id="379"/>
      <w:proofErr w:type="gramEnd"/>
    </w:p>
    <w:tbl>
      <w:tblPr>
        <w:tblW w:w="8592"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408"/>
        <w:gridCol w:w="1408"/>
        <w:gridCol w:w="507"/>
        <w:gridCol w:w="1355"/>
        <w:gridCol w:w="1210"/>
        <w:gridCol w:w="1352"/>
        <w:gridCol w:w="1352"/>
      </w:tblGrid>
      <w:tr w:rsidR="00537705" w:rsidRPr="0018386D" w14:paraId="65D1D8AD" w14:textId="77777777" w:rsidTr="00575E53">
        <w:trPr>
          <w:divId w:val="1165633641"/>
          <w:tblHeader/>
        </w:trPr>
        <w:tc>
          <w:tcPr>
            <w:tcW w:w="1408" w:type="dxa"/>
            <w:tcBorders>
              <w:bottom w:val="nil"/>
            </w:tcBorders>
            <w:shd w:val="clear" w:color="000000" w:fill="1C556C"/>
            <w:noWrap/>
            <w:vAlign w:val="bottom"/>
            <w:hideMark/>
          </w:tcPr>
          <w:p w14:paraId="639294D4" w14:textId="2F257C92" w:rsidR="008E2ED2" w:rsidRPr="0018386D" w:rsidRDefault="008E2ED2" w:rsidP="00DD3106">
            <w:pPr>
              <w:pStyle w:val="TableTextbold"/>
              <w:spacing w:before="30" w:after="30"/>
              <w:rPr>
                <w:color w:val="FFFFFF" w:themeColor="background1"/>
              </w:rPr>
            </w:pPr>
            <w:bookmarkStart w:id="380" w:name="_1746366792"/>
            <w:bookmarkStart w:id="381" w:name="_1745997837"/>
            <w:bookmarkStart w:id="382" w:name="_1746254057"/>
            <w:bookmarkStart w:id="383" w:name="_1747051253"/>
            <w:bookmarkEnd w:id="380"/>
            <w:bookmarkEnd w:id="381"/>
            <w:bookmarkEnd w:id="382"/>
            <w:bookmarkEnd w:id="383"/>
            <w:r w:rsidRPr="0018386D">
              <w:rPr>
                <w:color w:val="FFFFFF" w:themeColor="background1"/>
              </w:rPr>
              <w:t>Emission source category</w:t>
            </w:r>
          </w:p>
        </w:tc>
        <w:tc>
          <w:tcPr>
            <w:tcW w:w="1408" w:type="dxa"/>
            <w:shd w:val="clear" w:color="000000" w:fill="1C556C"/>
            <w:noWrap/>
            <w:vAlign w:val="bottom"/>
            <w:hideMark/>
          </w:tcPr>
          <w:p w14:paraId="09647EA8" w14:textId="42BB87B7" w:rsidR="008E2ED2" w:rsidRPr="0018386D" w:rsidRDefault="008E2ED2" w:rsidP="00DD3106">
            <w:pPr>
              <w:pStyle w:val="TableTextbold"/>
              <w:spacing w:before="30" w:after="30"/>
              <w:rPr>
                <w:color w:val="FFFFFF" w:themeColor="background1"/>
              </w:rPr>
            </w:pPr>
          </w:p>
        </w:tc>
        <w:tc>
          <w:tcPr>
            <w:tcW w:w="507" w:type="dxa"/>
            <w:shd w:val="clear" w:color="000000" w:fill="1C556C"/>
            <w:noWrap/>
            <w:vAlign w:val="bottom"/>
            <w:hideMark/>
          </w:tcPr>
          <w:p w14:paraId="6F5BAD3F"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355" w:type="dxa"/>
            <w:shd w:val="clear" w:color="000000" w:fill="1C556C"/>
            <w:noWrap/>
            <w:vAlign w:val="bottom"/>
            <w:hideMark/>
          </w:tcPr>
          <w:p w14:paraId="2B124F43" w14:textId="1414CB90"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210" w:type="dxa"/>
            <w:shd w:val="clear" w:color="000000" w:fill="1C556C"/>
            <w:noWrap/>
            <w:vAlign w:val="bottom"/>
            <w:hideMark/>
          </w:tcPr>
          <w:p w14:paraId="78777D1A" w14:textId="0F8CFF2D"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e/unit)</w:t>
            </w:r>
          </w:p>
        </w:tc>
        <w:tc>
          <w:tcPr>
            <w:tcW w:w="1352" w:type="dxa"/>
            <w:shd w:val="clear" w:color="000000" w:fill="1C556C"/>
            <w:noWrap/>
            <w:vAlign w:val="bottom"/>
            <w:hideMark/>
          </w:tcPr>
          <w:p w14:paraId="1B073E64" w14:textId="18B38F21" w:rsidR="008E2ED2" w:rsidRPr="0018386D" w:rsidRDefault="008E2ED2" w:rsidP="00DD3106">
            <w:pPr>
              <w:pStyle w:val="TableTextbold"/>
              <w:spacing w:before="30" w:after="30"/>
              <w:rPr>
                <w:color w:val="FFFFFF" w:themeColor="background1"/>
              </w:rPr>
            </w:pPr>
            <w:r w:rsidRPr="0018386D">
              <w:rPr>
                <w:color w:val="FFFFFF" w:themeColor="background1"/>
              </w:rPr>
              <w:t>CH₄ (kg CO₂-e/</w:t>
            </w:r>
            <w:r w:rsidR="00BD4631" w:rsidRPr="0018386D">
              <w:rPr>
                <w:color w:val="FFFFFF" w:themeColor="background1"/>
              </w:rPr>
              <w:t xml:space="preserve"> </w:t>
            </w:r>
            <w:r w:rsidRPr="0018386D">
              <w:rPr>
                <w:color w:val="FFFFFF" w:themeColor="background1"/>
              </w:rPr>
              <w:t>unit)</w:t>
            </w:r>
          </w:p>
        </w:tc>
        <w:tc>
          <w:tcPr>
            <w:tcW w:w="1352" w:type="dxa"/>
            <w:shd w:val="clear" w:color="000000" w:fill="1C556C"/>
            <w:noWrap/>
            <w:vAlign w:val="bottom"/>
            <w:hideMark/>
          </w:tcPr>
          <w:p w14:paraId="7FF14430" w14:textId="3B869F95" w:rsidR="008E2ED2" w:rsidRPr="0018386D" w:rsidRDefault="008E2ED2" w:rsidP="00DD3106">
            <w:pPr>
              <w:pStyle w:val="TableTextbold"/>
              <w:spacing w:before="30" w:after="30"/>
              <w:rPr>
                <w:color w:val="FFFFFF" w:themeColor="background1"/>
              </w:rPr>
            </w:pPr>
            <w:r w:rsidRPr="0018386D">
              <w:rPr>
                <w:color w:val="FFFFFF" w:themeColor="background1"/>
              </w:rPr>
              <w:t>N₂O (kg CO₂-e/</w:t>
            </w:r>
            <w:r w:rsidR="00BD4631" w:rsidRPr="0018386D">
              <w:rPr>
                <w:color w:val="FFFFFF" w:themeColor="background1"/>
              </w:rPr>
              <w:t xml:space="preserve"> </w:t>
            </w:r>
            <w:r w:rsidRPr="0018386D">
              <w:rPr>
                <w:color w:val="FFFFFF" w:themeColor="background1"/>
              </w:rPr>
              <w:t>unit)</w:t>
            </w:r>
          </w:p>
        </w:tc>
      </w:tr>
      <w:tr w:rsidR="00537705" w:rsidRPr="0018386D" w14:paraId="622A9F63" w14:textId="77777777" w:rsidTr="00575E53">
        <w:trPr>
          <w:divId w:val="1165633641"/>
        </w:trPr>
        <w:tc>
          <w:tcPr>
            <w:tcW w:w="1408" w:type="dxa"/>
            <w:tcBorders>
              <w:top w:val="nil"/>
              <w:bottom w:val="nil"/>
              <w:right w:val="single" w:sz="4" w:space="0" w:color="auto"/>
            </w:tcBorders>
            <w:shd w:val="clear" w:color="000000" w:fill="FFFFFF"/>
            <w:noWrap/>
            <w:hideMark/>
          </w:tcPr>
          <w:p w14:paraId="3E724CC6" w14:textId="77777777" w:rsidR="008E2ED2" w:rsidRPr="0018386D" w:rsidRDefault="008E2ED2" w:rsidP="00DD3106">
            <w:pPr>
              <w:pStyle w:val="TableText"/>
              <w:spacing w:before="30" w:after="30"/>
            </w:pPr>
            <w:r w:rsidRPr="0018386D">
              <w:t>Petrol vehicle</w:t>
            </w:r>
          </w:p>
        </w:tc>
        <w:tc>
          <w:tcPr>
            <w:tcW w:w="1408" w:type="dxa"/>
            <w:tcBorders>
              <w:left w:val="single" w:sz="4" w:space="0" w:color="auto"/>
            </w:tcBorders>
            <w:shd w:val="clear" w:color="000000" w:fill="FFFFFF"/>
            <w:noWrap/>
            <w:hideMark/>
          </w:tcPr>
          <w:p w14:paraId="41F81F4C"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66D57881"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267CDB29" w14:textId="1DBE162F" w:rsidR="008E2ED2" w:rsidRPr="0018386D" w:rsidRDefault="008E2ED2" w:rsidP="00DD3106">
            <w:pPr>
              <w:pStyle w:val="TableText"/>
              <w:spacing w:before="30" w:after="30"/>
            </w:pPr>
            <w:r w:rsidRPr="0018386D">
              <w:t>0.172</w:t>
            </w:r>
          </w:p>
        </w:tc>
        <w:tc>
          <w:tcPr>
            <w:tcW w:w="1210" w:type="dxa"/>
            <w:shd w:val="clear" w:color="000000" w:fill="FFFFFF"/>
            <w:noWrap/>
            <w:hideMark/>
          </w:tcPr>
          <w:p w14:paraId="1EF075C2" w14:textId="2065CC5D" w:rsidR="008E2ED2" w:rsidRPr="0018386D" w:rsidRDefault="008E2ED2" w:rsidP="00DD3106">
            <w:pPr>
              <w:pStyle w:val="TableText"/>
              <w:spacing w:before="30" w:after="30"/>
            </w:pPr>
            <w:r w:rsidRPr="0018386D">
              <w:t>0.165</w:t>
            </w:r>
          </w:p>
        </w:tc>
        <w:tc>
          <w:tcPr>
            <w:tcW w:w="1352" w:type="dxa"/>
            <w:shd w:val="clear" w:color="000000" w:fill="FFFFFF"/>
            <w:noWrap/>
            <w:hideMark/>
          </w:tcPr>
          <w:p w14:paraId="09E2605B" w14:textId="7C5DC39A" w:rsidR="008E2ED2" w:rsidRPr="0018386D" w:rsidRDefault="008E2ED2" w:rsidP="00DD3106">
            <w:pPr>
              <w:pStyle w:val="TableText"/>
              <w:spacing w:before="30" w:after="30"/>
            </w:pPr>
            <w:r w:rsidRPr="0018386D">
              <w:t>0.00217</w:t>
            </w:r>
          </w:p>
        </w:tc>
        <w:tc>
          <w:tcPr>
            <w:tcW w:w="1352" w:type="dxa"/>
            <w:shd w:val="clear" w:color="000000" w:fill="FFFFFF"/>
            <w:noWrap/>
            <w:hideMark/>
          </w:tcPr>
          <w:p w14:paraId="4C974478" w14:textId="3425F783" w:rsidR="008E2ED2" w:rsidRPr="0018386D" w:rsidRDefault="008E2ED2" w:rsidP="00DD3106">
            <w:pPr>
              <w:pStyle w:val="TableText"/>
              <w:spacing w:before="30" w:after="30"/>
            </w:pPr>
            <w:r w:rsidRPr="0018386D">
              <w:t>0.00498</w:t>
            </w:r>
          </w:p>
        </w:tc>
      </w:tr>
      <w:tr w:rsidR="00537705" w:rsidRPr="0018386D" w14:paraId="29B09DBD" w14:textId="77777777" w:rsidTr="00575E53">
        <w:trPr>
          <w:divId w:val="1165633641"/>
        </w:trPr>
        <w:tc>
          <w:tcPr>
            <w:tcW w:w="1408" w:type="dxa"/>
            <w:tcBorders>
              <w:top w:val="nil"/>
              <w:bottom w:val="nil"/>
              <w:right w:val="single" w:sz="4" w:space="0" w:color="auto"/>
            </w:tcBorders>
            <w:shd w:val="clear" w:color="000000" w:fill="FFFFFF"/>
            <w:noWrap/>
            <w:hideMark/>
          </w:tcPr>
          <w:p w14:paraId="1831731B"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3C1999FE" w14:textId="08F17BAC"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3D356E2E"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5D0AA6F" w14:textId="332234CD" w:rsidR="008E2ED2" w:rsidRPr="0018386D" w:rsidRDefault="008E2ED2" w:rsidP="00DD3106">
            <w:pPr>
              <w:pStyle w:val="TableText"/>
              <w:spacing w:before="30" w:after="30"/>
            </w:pPr>
            <w:r w:rsidRPr="0018386D">
              <w:t>0.178</w:t>
            </w:r>
          </w:p>
        </w:tc>
        <w:tc>
          <w:tcPr>
            <w:tcW w:w="1210" w:type="dxa"/>
            <w:shd w:val="clear" w:color="000000" w:fill="FFFFFF"/>
            <w:noWrap/>
            <w:hideMark/>
          </w:tcPr>
          <w:p w14:paraId="7127485A" w14:textId="4250629B" w:rsidR="008E2ED2" w:rsidRPr="0018386D" w:rsidRDefault="008E2ED2" w:rsidP="00DD3106">
            <w:pPr>
              <w:pStyle w:val="TableText"/>
              <w:spacing w:before="30" w:after="30"/>
            </w:pPr>
            <w:r w:rsidRPr="0018386D">
              <w:t>0.171</w:t>
            </w:r>
          </w:p>
        </w:tc>
        <w:tc>
          <w:tcPr>
            <w:tcW w:w="1352" w:type="dxa"/>
            <w:shd w:val="clear" w:color="000000" w:fill="FFFFFF"/>
            <w:noWrap/>
            <w:hideMark/>
          </w:tcPr>
          <w:p w14:paraId="0B0F9158" w14:textId="20E3AEC0" w:rsidR="008E2ED2" w:rsidRPr="0018386D" w:rsidRDefault="008E2ED2" w:rsidP="00DD3106">
            <w:pPr>
              <w:pStyle w:val="TableText"/>
              <w:spacing w:before="30" w:after="30"/>
            </w:pPr>
            <w:r w:rsidRPr="0018386D">
              <w:t>0.00225</w:t>
            </w:r>
          </w:p>
        </w:tc>
        <w:tc>
          <w:tcPr>
            <w:tcW w:w="1352" w:type="dxa"/>
            <w:shd w:val="clear" w:color="000000" w:fill="FFFFFF"/>
            <w:noWrap/>
            <w:hideMark/>
          </w:tcPr>
          <w:p w14:paraId="6F479F21" w14:textId="59B3B871" w:rsidR="008E2ED2" w:rsidRPr="0018386D" w:rsidRDefault="008E2ED2" w:rsidP="00DD3106">
            <w:pPr>
              <w:pStyle w:val="TableText"/>
              <w:spacing w:before="30" w:after="30"/>
            </w:pPr>
            <w:r w:rsidRPr="0018386D">
              <w:t>0.00516</w:t>
            </w:r>
          </w:p>
        </w:tc>
      </w:tr>
      <w:tr w:rsidR="00537705" w:rsidRPr="0018386D" w14:paraId="096DF92F" w14:textId="77777777" w:rsidTr="00575E53">
        <w:trPr>
          <w:divId w:val="1165633641"/>
        </w:trPr>
        <w:tc>
          <w:tcPr>
            <w:tcW w:w="1408" w:type="dxa"/>
            <w:tcBorders>
              <w:top w:val="nil"/>
              <w:bottom w:val="nil"/>
              <w:right w:val="single" w:sz="4" w:space="0" w:color="auto"/>
            </w:tcBorders>
            <w:shd w:val="clear" w:color="000000" w:fill="FFFFFF"/>
            <w:noWrap/>
            <w:hideMark/>
          </w:tcPr>
          <w:p w14:paraId="77A03319"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57D5454F" w14:textId="4661D3F7"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2BD0D206"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0516005B" w14:textId="320D80AD" w:rsidR="008E2ED2" w:rsidRPr="0018386D" w:rsidRDefault="008E2ED2" w:rsidP="00DD3106">
            <w:pPr>
              <w:pStyle w:val="TableText"/>
              <w:spacing w:before="30" w:after="30"/>
            </w:pPr>
            <w:r w:rsidRPr="0018386D">
              <w:t>0.201</w:t>
            </w:r>
          </w:p>
        </w:tc>
        <w:tc>
          <w:tcPr>
            <w:tcW w:w="1210" w:type="dxa"/>
            <w:shd w:val="clear" w:color="000000" w:fill="FFFFFF"/>
            <w:noWrap/>
            <w:hideMark/>
          </w:tcPr>
          <w:p w14:paraId="3818642C" w14:textId="4B0E2D6F" w:rsidR="008E2ED2" w:rsidRPr="0018386D" w:rsidRDefault="008E2ED2" w:rsidP="00DD3106">
            <w:pPr>
              <w:pStyle w:val="TableText"/>
              <w:spacing w:before="30" w:after="30"/>
            </w:pPr>
            <w:r w:rsidRPr="0018386D">
              <w:t>0.193</w:t>
            </w:r>
          </w:p>
        </w:tc>
        <w:tc>
          <w:tcPr>
            <w:tcW w:w="1352" w:type="dxa"/>
            <w:shd w:val="clear" w:color="000000" w:fill="FFFFFF"/>
            <w:noWrap/>
            <w:hideMark/>
          </w:tcPr>
          <w:p w14:paraId="1AC7BFE8" w14:textId="79F1EB30" w:rsidR="008E2ED2" w:rsidRPr="0018386D" w:rsidRDefault="008E2ED2" w:rsidP="00DD3106">
            <w:pPr>
              <w:pStyle w:val="TableText"/>
              <w:spacing w:before="30" w:after="30"/>
            </w:pPr>
            <w:r w:rsidRPr="0018386D">
              <w:t>0.00253</w:t>
            </w:r>
          </w:p>
        </w:tc>
        <w:tc>
          <w:tcPr>
            <w:tcW w:w="1352" w:type="dxa"/>
            <w:shd w:val="clear" w:color="000000" w:fill="FFFFFF"/>
            <w:noWrap/>
            <w:hideMark/>
          </w:tcPr>
          <w:p w14:paraId="7C19EB8A" w14:textId="50D897E8" w:rsidR="008E2ED2" w:rsidRPr="0018386D" w:rsidRDefault="008E2ED2" w:rsidP="00DD3106">
            <w:pPr>
              <w:pStyle w:val="TableText"/>
              <w:spacing w:before="30" w:after="30"/>
            </w:pPr>
            <w:r w:rsidRPr="0018386D">
              <w:t>0.00581</w:t>
            </w:r>
          </w:p>
        </w:tc>
      </w:tr>
      <w:tr w:rsidR="00537705" w:rsidRPr="0018386D" w14:paraId="40E999BE" w14:textId="77777777" w:rsidTr="00575E53">
        <w:trPr>
          <w:divId w:val="1165633641"/>
        </w:trPr>
        <w:tc>
          <w:tcPr>
            <w:tcW w:w="1408" w:type="dxa"/>
            <w:tcBorders>
              <w:top w:val="nil"/>
              <w:bottom w:val="nil"/>
              <w:right w:val="single" w:sz="4" w:space="0" w:color="auto"/>
            </w:tcBorders>
            <w:shd w:val="clear" w:color="000000" w:fill="FFFFFF"/>
            <w:noWrap/>
            <w:hideMark/>
          </w:tcPr>
          <w:p w14:paraId="5AFD30DA"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3E47FE8D" w14:textId="19B15109" w:rsidR="008E2ED2" w:rsidRPr="0018386D" w:rsidRDefault="008E2ED2" w:rsidP="00DD3106">
            <w:pPr>
              <w:pStyle w:val="TableText"/>
              <w:spacing w:before="30" w:after="30"/>
            </w:pPr>
            <w:r w:rsidRPr="0018386D">
              <w:t>2000–3000 cc</w:t>
            </w:r>
          </w:p>
        </w:tc>
        <w:tc>
          <w:tcPr>
            <w:tcW w:w="507" w:type="dxa"/>
            <w:shd w:val="clear" w:color="000000" w:fill="FFFFFF"/>
            <w:noWrap/>
            <w:hideMark/>
          </w:tcPr>
          <w:p w14:paraId="6AFD3B84"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0FE11E0F" w14:textId="427E9279" w:rsidR="008E2ED2" w:rsidRPr="0018386D" w:rsidRDefault="008E2ED2" w:rsidP="00DD3106">
            <w:pPr>
              <w:pStyle w:val="TableText"/>
              <w:spacing w:before="30" w:after="30"/>
            </w:pPr>
            <w:r w:rsidRPr="0018386D">
              <w:t>0.223</w:t>
            </w:r>
          </w:p>
        </w:tc>
        <w:tc>
          <w:tcPr>
            <w:tcW w:w="1210" w:type="dxa"/>
            <w:shd w:val="clear" w:color="000000" w:fill="FFFFFF"/>
            <w:noWrap/>
            <w:hideMark/>
          </w:tcPr>
          <w:p w14:paraId="4A4AD687" w14:textId="0CC5FB62" w:rsidR="008E2ED2" w:rsidRPr="0018386D" w:rsidRDefault="008E2ED2" w:rsidP="00DD3106">
            <w:pPr>
              <w:pStyle w:val="TableText"/>
              <w:spacing w:before="30" w:after="30"/>
            </w:pPr>
            <w:r w:rsidRPr="0018386D">
              <w:t>0.214</w:t>
            </w:r>
          </w:p>
        </w:tc>
        <w:tc>
          <w:tcPr>
            <w:tcW w:w="1352" w:type="dxa"/>
            <w:shd w:val="clear" w:color="000000" w:fill="FFFFFF"/>
            <w:noWrap/>
            <w:hideMark/>
          </w:tcPr>
          <w:p w14:paraId="3414D1E9" w14:textId="2249A6C2" w:rsidR="008E2ED2" w:rsidRPr="0018386D" w:rsidRDefault="008E2ED2" w:rsidP="00DD3106">
            <w:pPr>
              <w:pStyle w:val="TableText"/>
              <w:spacing w:before="30" w:after="30"/>
            </w:pPr>
            <w:r w:rsidRPr="0018386D">
              <w:t>0.00281</w:t>
            </w:r>
          </w:p>
        </w:tc>
        <w:tc>
          <w:tcPr>
            <w:tcW w:w="1352" w:type="dxa"/>
            <w:shd w:val="clear" w:color="000000" w:fill="FFFFFF"/>
            <w:noWrap/>
            <w:hideMark/>
          </w:tcPr>
          <w:p w14:paraId="1DC59B75" w14:textId="7E8F373D" w:rsidR="008E2ED2" w:rsidRPr="0018386D" w:rsidRDefault="008E2ED2" w:rsidP="00DD3106">
            <w:pPr>
              <w:pStyle w:val="TableText"/>
              <w:spacing w:before="30" w:after="30"/>
            </w:pPr>
            <w:r w:rsidRPr="0018386D">
              <w:t>0.00645</w:t>
            </w:r>
          </w:p>
        </w:tc>
      </w:tr>
      <w:tr w:rsidR="00537705" w:rsidRPr="0018386D" w14:paraId="43EECA74"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5CBBD760"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2D427769"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69EBC272"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148F7E50" w14:textId="57472C66" w:rsidR="008E2ED2" w:rsidRPr="0018386D" w:rsidRDefault="008E2ED2" w:rsidP="00DD3106">
            <w:pPr>
              <w:pStyle w:val="TableText"/>
              <w:spacing w:before="30" w:after="30"/>
            </w:pPr>
            <w:r w:rsidRPr="0018386D">
              <w:t>0.267</w:t>
            </w:r>
          </w:p>
        </w:tc>
        <w:tc>
          <w:tcPr>
            <w:tcW w:w="1210" w:type="dxa"/>
            <w:shd w:val="clear" w:color="000000" w:fill="FFFFFF"/>
            <w:noWrap/>
            <w:hideMark/>
          </w:tcPr>
          <w:p w14:paraId="5FED6FF1" w14:textId="607F2E07" w:rsidR="008E2ED2" w:rsidRPr="0018386D" w:rsidRDefault="008E2ED2" w:rsidP="00DD3106">
            <w:pPr>
              <w:pStyle w:val="TableText"/>
              <w:spacing w:before="30" w:after="30"/>
            </w:pPr>
            <w:r w:rsidRPr="0018386D">
              <w:t>0.256</w:t>
            </w:r>
          </w:p>
        </w:tc>
        <w:tc>
          <w:tcPr>
            <w:tcW w:w="1352" w:type="dxa"/>
            <w:shd w:val="clear" w:color="000000" w:fill="FFFFFF"/>
            <w:noWrap/>
            <w:hideMark/>
          </w:tcPr>
          <w:p w14:paraId="32EC6930" w14:textId="7CDD6D96" w:rsidR="008E2ED2" w:rsidRPr="0018386D" w:rsidRDefault="008E2ED2" w:rsidP="00DD3106">
            <w:pPr>
              <w:pStyle w:val="TableText"/>
              <w:spacing w:before="30" w:after="30"/>
            </w:pPr>
            <w:r w:rsidRPr="0018386D">
              <w:t>0.00336</w:t>
            </w:r>
          </w:p>
        </w:tc>
        <w:tc>
          <w:tcPr>
            <w:tcW w:w="1352" w:type="dxa"/>
            <w:shd w:val="clear" w:color="000000" w:fill="FFFFFF"/>
            <w:noWrap/>
            <w:hideMark/>
          </w:tcPr>
          <w:p w14:paraId="328C1AD9" w14:textId="55C20708" w:rsidR="008E2ED2" w:rsidRPr="0018386D" w:rsidRDefault="008E2ED2" w:rsidP="00DD3106">
            <w:pPr>
              <w:pStyle w:val="TableText"/>
              <w:spacing w:before="30" w:after="30"/>
            </w:pPr>
            <w:r w:rsidRPr="0018386D">
              <w:t>0.00772</w:t>
            </w:r>
          </w:p>
        </w:tc>
      </w:tr>
      <w:tr w:rsidR="00537705" w:rsidRPr="0018386D" w14:paraId="20FA9F61"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3AD992E4" w14:textId="77777777" w:rsidR="008E2ED2" w:rsidRPr="0018386D" w:rsidRDefault="008E2ED2" w:rsidP="00DD3106">
            <w:pPr>
              <w:pStyle w:val="TableText"/>
              <w:spacing w:before="30" w:after="30"/>
            </w:pPr>
            <w:r w:rsidRPr="0018386D">
              <w:t>Diesel vehicle</w:t>
            </w:r>
          </w:p>
        </w:tc>
        <w:tc>
          <w:tcPr>
            <w:tcW w:w="1408" w:type="dxa"/>
            <w:tcBorders>
              <w:left w:val="single" w:sz="4" w:space="0" w:color="auto"/>
            </w:tcBorders>
            <w:shd w:val="clear" w:color="000000" w:fill="FFFFFF"/>
            <w:noWrap/>
            <w:hideMark/>
          </w:tcPr>
          <w:p w14:paraId="47E50AFF"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38E3AE21"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119C0B7F" w14:textId="0F949B58" w:rsidR="008E2ED2" w:rsidRPr="0018386D" w:rsidRDefault="008E2ED2" w:rsidP="00DD3106">
            <w:pPr>
              <w:pStyle w:val="TableText"/>
              <w:spacing w:before="30" w:after="30"/>
            </w:pPr>
            <w:r w:rsidRPr="0018386D">
              <w:t>0.190</w:t>
            </w:r>
          </w:p>
        </w:tc>
        <w:tc>
          <w:tcPr>
            <w:tcW w:w="1210" w:type="dxa"/>
            <w:shd w:val="clear" w:color="000000" w:fill="FFFFFF"/>
            <w:noWrap/>
            <w:hideMark/>
          </w:tcPr>
          <w:p w14:paraId="2A71C302" w14:textId="531845DA" w:rsidR="008E2ED2" w:rsidRPr="0018386D" w:rsidRDefault="008E2ED2" w:rsidP="00DD3106">
            <w:pPr>
              <w:pStyle w:val="TableText"/>
              <w:spacing w:before="30" w:after="30"/>
            </w:pPr>
            <w:r w:rsidRPr="0018386D">
              <w:t>0.187</w:t>
            </w:r>
          </w:p>
        </w:tc>
        <w:tc>
          <w:tcPr>
            <w:tcW w:w="1352" w:type="dxa"/>
            <w:shd w:val="clear" w:color="000000" w:fill="FFFFFF"/>
            <w:noWrap/>
            <w:hideMark/>
          </w:tcPr>
          <w:p w14:paraId="6952DC38" w14:textId="77777777" w:rsidR="008E2ED2" w:rsidRPr="0018386D" w:rsidRDefault="008E2ED2" w:rsidP="00DD3106">
            <w:pPr>
              <w:pStyle w:val="TableText"/>
              <w:spacing w:before="30" w:after="30"/>
            </w:pPr>
            <w:r w:rsidRPr="0018386D">
              <w:t>0.0003</w:t>
            </w:r>
          </w:p>
        </w:tc>
        <w:tc>
          <w:tcPr>
            <w:tcW w:w="1352" w:type="dxa"/>
            <w:shd w:val="clear" w:color="000000" w:fill="FFFFFF"/>
            <w:noWrap/>
            <w:hideMark/>
          </w:tcPr>
          <w:p w14:paraId="2AD74EE6" w14:textId="653C8F97" w:rsidR="008E2ED2" w:rsidRPr="0018386D" w:rsidRDefault="008E2ED2" w:rsidP="00DD3106">
            <w:pPr>
              <w:pStyle w:val="TableText"/>
              <w:spacing w:before="30" w:after="30"/>
            </w:pPr>
            <w:r w:rsidRPr="0018386D">
              <w:t>0.00265</w:t>
            </w:r>
          </w:p>
        </w:tc>
      </w:tr>
      <w:tr w:rsidR="00537705" w:rsidRPr="0018386D" w14:paraId="67343693" w14:textId="77777777" w:rsidTr="00575E53">
        <w:trPr>
          <w:divId w:val="1165633641"/>
        </w:trPr>
        <w:tc>
          <w:tcPr>
            <w:tcW w:w="1408" w:type="dxa"/>
            <w:tcBorders>
              <w:top w:val="nil"/>
              <w:bottom w:val="nil"/>
              <w:right w:val="single" w:sz="4" w:space="0" w:color="auto"/>
            </w:tcBorders>
            <w:shd w:val="clear" w:color="000000" w:fill="FFFFFF"/>
            <w:noWrap/>
            <w:hideMark/>
          </w:tcPr>
          <w:p w14:paraId="49C10D33"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0E2449E1" w14:textId="1F3A6C58"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2132E2E1"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383696AC" w14:textId="1F5B4057" w:rsidR="008E2ED2" w:rsidRPr="0018386D" w:rsidRDefault="008E2ED2" w:rsidP="00DD3106">
            <w:pPr>
              <w:pStyle w:val="TableText"/>
              <w:spacing w:before="30" w:after="30"/>
            </w:pPr>
            <w:r w:rsidRPr="0018386D">
              <w:t>0.183</w:t>
            </w:r>
          </w:p>
        </w:tc>
        <w:tc>
          <w:tcPr>
            <w:tcW w:w="1210" w:type="dxa"/>
            <w:shd w:val="clear" w:color="000000" w:fill="FFFFFF"/>
            <w:noWrap/>
            <w:hideMark/>
          </w:tcPr>
          <w:p w14:paraId="213F2286" w14:textId="0AC01151" w:rsidR="008E2ED2" w:rsidRPr="0018386D" w:rsidRDefault="008E2ED2" w:rsidP="00DD3106">
            <w:pPr>
              <w:pStyle w:val="TableText"/>
              <w:spacing w:before="30" w:after="30"/>
            </w:pPr>
            <w:r w:rsidRPr="0018386D">
              <w:t>0.180</w:t>
            </w:r>
          </w:p>
        </w:tc>
        <w:tc>
          <w:tcPr>
            <w:tcW w:w="1352" w:type="dxa"/>
            <w:shd w:val="clear" w:color="000000" w:fill="FFFFFF"/>
            <w:noWrap/>
            <w:hideMark/>
          </w:tcPr>
          <w:p w14:paraId="0E1C2096" w14:textId="0564FD63" w:rsidR="008E2ED2" w:rsidRPr="0018386D" w:rsidRDefault="008E2ED2" w:rsidP="00DD3106">
            <w:pPr>
              <w:pStyle w:val="TableText"/>
              <w:spacing w:before="30" w:after="30"/>
            </w:pPr>
            <w:r w:rsidRPr="0018386D">
              <w:t>0.0003</w:t>
            </w:r>
          </w:p>
        </w:tc>
        <w:tc>
          <w:tcPr>
            <w:tcW w:w="1352" w:type="dxa"/>
            <w:shd w:val="clear" w:color="000000" w:fill="FFFFFF"/>
            <w:noWrap/>
            <w:hideMark/>
          </w:tcPr>
          <w:p w14:paraId="681ACCEB" w14:textId="0E5971D8" w:rsidR="008E2ED2" w:rsidRPr="0018386D" w:rsidRDefault="008E2ED2" w:rsidP="00DD3106">
            <w:pPr>
              <w:pStyle w:val="TableText"/>
              <w:spacing w:before="30" w:after="30"/>
            </w:pPr>
            <w:r w:rsidRPr="0018386D">
              <w:t>0.00255</w:t>
            </w:r>
          </w:p>
        </w:tc>
      </w:tr>
      <w:tr w:rsidR="00537705" w:rsidRPr="0018386D" w14:paraId="71696200" w14:textId="77777777" w:rsidTr="00575E53">
        <w:trPr>
          <w:divId w:val="1165633641"/>
        </w:trPr>
        <w:tc>
          <w:tcPr>
            <w:tcW w:w="1408" w:type="dxa"/>
            <w:tcBorders>
              <w:top w:val="nil"/>
              <w:bottom w:val="nil"/>
              <w:right w:val="single" w:sz="4" w:space="0" w:color="auto"/>
            </w:tcBorders>
            <w:shd w:val="clear" w:color="000000" w:fill="FFFFFF"/>
            <w:noWrap/>
            <w:hideMark/>
          </w:tcPr>
          <w:p w14:paraId="591E921F"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04D89E9C" w14:textId="48A88579"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05497701"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6E671AE8" w14:textId="04153E30" w:rsidR="008E2ED2" w:rsidRPr="0018386D" w:rsidRDefault="008E2ED2" w:rsidP="00DD3106">
            <w:pPr>
              <w:pStyle w:val="TableText"/>
              <w:spacing w:before="30" w:after="30"/>
            </w:pPr>
            <w:r w:rsidRPr="0018386D">
              <w:t>0.194</w:t>
            </w:r>
          </w:p>
        </w:tc>
        <w:tc>
          <w:tcPr>
            <w:tcW w:w="1210" w:type="dxa"/>
            <w:shd w:val="clear" w:color="000000" w:fill="FFFFFF"/>
            <w:noWrap/>
            <w:hideMark/>
          </w:tcPr>
          <w:p w14:paraId="0480234E" w14:textId="3DFF7900" w:rsidR="008E2ED2" w:rsidRPr="0018386D" w:rsidRDefault="008E2ED2" w:rsidP="00DD3106">
            <w:pPr>
              <w:pStyle w:val="TableText"/>
              <w:spacing w:before="30" w:after="30"/>
            </w:pPr>
            <w:r w:rsidRPr="0018386D">
              <w:t>0.191</w:t>
            </w:r>
          </w:p>
        </w:tc>
        <w:tc>
          <w:tcPr>
            <w:tcW w:w="1352" w:type="dxa"/>
            <w:shd w:val="clear" w:color="000000" w:fill="FFFFFF"/>
            <w:noWrap/>
            <w:hideMark/>
          </w:tcPr>
          <w:p w14:paraId="42D725E7" w14:textId="77777777" w:rsidR="008E2ED2" w:rsidRPr="0018386D" w:rsidRDefault="008E2ED2" w:rsidP="00DD3106">
            <w:pPr>
              <w:pStyle w:val="TableText"/>
              <w:spacing w:before="30" w:after="30"/>
            </w:pPr>
            <w:r w:rsidRPr="0018386D">
              <w:t>0.0003</w:t>
            </w:r>
          </w:p>
        </w:tc>
        <w:tc>
          <w:tcPr>
            <w:tcW w:w="1352" w:type="dxa"/>
            <w:shd w:val="clear" w:color="000000" w:fill="FFFFFF"/>
            <w:noWrap/>
            <w:hideMark/>
          </w:tcPr>
          <w:p w14:paraId="52D5DC18" w14:textId="0CD1CC5F" w:rsidR="008E2ED2" w:rsidRPr="0018386D" w:rsidRDefault="008E2ED2" w:rsidP="00DD3106">
            <w:pPr>
              <w:pStyle w:val="TableText"/>
              <w:spacing w:before="30" w:after="30"/>
            </w:pPr>
            <w:r w:rsidRPr="0018386D">
              <w:t>0.00270</w:t>
            </w:r>
          </w:p>
        </w:tc>
      </w:tr>
      <w:tr w:rsidR="00537705" w:rsidRPr="0018386D" w14:paraId="02E671F8" w14:textId="77777777" w:rsidTr="00575E53">
        <w:trPr>
          <w:divId w:val="1165633641"/>
        </w:trPr>
        <w:tc>
          <w:tcPr>
            <w:tcW w:w="1408" w:type="dxa"/>
            <w:tcBorders>
              <w:top w:val="nil"/>
              <w:bottom w:val="nil"/>
              <w:right w:val="single" w:sz="4" w:space="0" w:color="auto"/>
            </w:tcBorders>
            <w:shd w:val="clear" w:color="000000" w:fill="FFFFFF"/>
            <w:noWrap/>
            <w:hideMark/>
          </w:tcPr>
          <w:p w14:paraId="72E19FAB"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54B7651F" w14:textId="1A9A084B"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1AAF35CC"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EAF9D4A" w14:textId="223CE71C" w:rsidR="008E2ED2" w:rsidRPr="0018386D" w:rsidRDefault="008E2ED2" w:rsidP="00DD3106">
            <w:pPr>
              <w:pStyle w:val="TableText"/>
              <w:spacing w:before="30" w:after="30"/>
            </w:pPr>
            <w:r w:rsidRPr="0018386D">
              <w:t>0.238</w:t>
            </w:r>
          </w:p>
        </w:tc>
        <w:tc>
          <w:tcPr>
            <w:tcW w:w="1210" w:type="dxa"/>
            <w:shd w:val="clear" w:color="000000" w:fill="FFFFFF"/>
            <w:noWrap/>
            <w:hideMark/>
          </w:tcPr>
          <w:p w14:paraId="4231F2FA" w14:textId="157AEA0D" w:rsidR="008E2ED2" w:rsidRPr="0018386D" w:rsidRDefault="008E2ED2" w:rsidP="00DD3106">
            <w:pPr>
              <w:pStyle w:val="TableText"/>
              <w:spacing w:before="30" w:after="30"/>
            </w:pPr>
            <w:r w:rsidRPr="0018386D">
              <w:t>0.235</w:t>
            </w:r>
          </w:p>
        </w:tc>
        <w:tc>
          <w:tcPr>
            <w:tcW w:w="1352" w:type="dxa"/>
            <w:shd w:val="clear" w:color="000000" w:fill="FFFFFF"/>
            <w:noWrap/>
            <w:hideMark/>
          </w:tcPr>
          <w:p w14:paraId="11434B85" w14:textId="2771B623" w:rsidR="008E2ED2" w:rsidRPr="0018386D" w:rsidRDefault="008E2ED2" w:rsidP="00DD3106">
            <w:pPr>
              <w:pStyle w:val="TableText"/>
              <w:spacing w:before="30" w:after="30"/>
            </w:pPr>
            <w:r w:rsidRPr="0018386D">
              <w:t>0.0004</w:t>
            </w:r>
          </w:p>
        </w:tc>
        <w:tc>
          <w:tcPr>
            <w:tcW w:w="1352" w:type="dxa"/>
            <w:shd w:val="clear" w:color="000000" w:fill="FFFFFF"/>
            <w:noWrap/>
            <w:hideMark/>
          </w:tcPr>
          <w:p w14:paraId="5DB4F9F7" w14:textId="50652625" w:rsidR="008E2ED2" w:rsidRPr="0018386D" w:rsidRDefault="008E2ED2" w:rsidP="00DD3106">
            <w:pPr>
              <w:pStyle w:val="TableText"/>
              <w:spacing w:before="30" w:after="30"/>
            </w:pPr>
            <w:r w:rsidRPr="0018386D">
              <w:t>0.00332</w:t>
            </w:r>
          </w:p>
        </w:tc>
      </w:tr>
      <w:tr w:rsidR="00537705" w:rsidRPr="0018386D" w14:paraId="2C003BD0"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5DAEE686"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19CE7BB3"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216C446A"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51896DCC" w14:textId="53753394" w:rsidR="008E2ED2" w:rsidRPr="0018386D" w:rsidRDefault="008E2ED2" w:rsidP="00DD3106">
            <w:pPr>
              <w:pStyle w:val="TableText"/>
              <w:spacing w:before="30" w:after="30"/>
            </w:pPr>
            <w:r w:rsidRPr="0018386D">
              <w:t>0.264</w:t>
            </w:r>
          </w:p>
        </w:tc>
        <w:tc>
          <w:tcPr>
            <w:tcW w:w="1210" w:type="dxa"/>
            <w:shd w:val="clear" w:color="000000" w:fill="FFFFFF"/>
            <w:noWrap/>
            <w:hideMark/>
          </w:tcPr>
          <w:p w14:paraId="20461C67" w14:textId="5248A24F" w:rsidR="008E2ED2" w:rsidRPr="0018386D" w:rsidRDefault="008E2ED2" w:rsidP="00DD3106">
            <w:pPr>
              <w:pStyle w:val="TableText"/>
              <w:spacing w:before="30" w:after="30"/>
            </w:pPr>
            <w:r w:rsidRPr="0018386D">
              <w:t>0.260</w:t>
            </w:r>
          </w:p>
        </w:tc>
        <w:tc>
          <w:tcPr>
            <w:tcW w:w="1352" w:type="dxa"/>
            <w:shd w:val="clear" w:color="000000" w:fill="FFFFFF"/>
            <w:noWrap/>
            <w:hideMark/>
          </w:tcPr>
          <w:p w14:paraId="3CBC6779" w14:textId="77777777" w:rsidR="008E2ED2" w:rsidRPr="0018386D" w:rsidRDefault="008E2ED2" w:rsidP="00DD3106">
            <w:pPr>
              <w:pStyle w:val="TableText"/>
              <w:spacing w:before="30" w:after="30"/>
            </w:pPr>
            <w:r w:rsidRPr="0018386D">
              <w:t>0.0004</w:t>
            </w:r>
          </w:p>
        </w:tc>
        <w:tc>
          <w:tcPr>
            <w:tcW w:w="1352" w:type="dxa"/>
            <w:shd w:val="clear" w:color="000000" w:fill="FFFFFF"/>
            <w:noWrap/>
            <w:hideMark/>
          </w:tcPr>
          <w:p w14:paraId="22DA4E72" w14:textId="47879FF8" w:rsidR="008E2ED2" w:rsidRPr="0018386D" w:rsidRDefault="008E2ED2" w:rsidP="00DD3106">
            <w:pPr>
              <w:pStyle w:val="TableText"/>
              <w:spacing w:before="30" w:after="30"/>
            </w:pPr>
            <w:r w:rsidRPr="0018386D">
              <w:t>0.00368</w:t>
            </w:r>
          </w:p>
        </w:tc>
      </w:tr>
      <w:tr w:rsidR="00537705" w:rsidRPr="0018386D" w14:paraId="49850FC7"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20037095" w14:textId="77777777" w:rsidR="008E2ED2" w:rsidRPr="0018386D" w:rsidRDefault="008E2ED2" w:rsidP="00DD3106">
            <w:pPr>
              <w:pStyle w:val="TableText"/>
              <w:spacing w:before="30" w:after="30"/>
            </w:pPr>
            <w:r w:rsidRPr="0018386D">
              <w:t>Petrol hybrid vehicle</w:t>
            </w:r>
          </w:p>
        </w:tc>
        <w:tc>
          <w:tcPr>
            <w:tcW w:w="1408" w:type="dxa"/>
            <w:tcBorders>
              <w:left w:val="single" w:sz="4" w:space="0" w:color="auto"/>
            </w:tcBorders>
            <w:shd w:val="clear" w:color="000000" w:fill="FFFFFF"/>
            <w:noWrap/>
            <w:hideMark/>
          </w:tcPr>
          <w:p w14:paraId="3F02CBB0"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694CE452"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5DFFF45" w14:textId="3910BCD1" w:rsidR="008E2ED2" w:rsidRPr="0018386D" w:rsidRDefault="008E2ED2" w:rsidP="00DD3106">
            <w:pPr>
              <w:pStyle w:val="TableText"/>
              <w:spacing w:before="30" w:after="30"/>
            </w:pPr>
            <w:r w:rsidRPr="0018386D">
              <w:t>0.136</w:t>
            </w:r>
          </w:p>
        </w:tc>
        <w:tc>
          <w:tcPr>
            <w:tcW w:w="1210" w:type="dxa"/>
            <w:shd w:val="clear" w:color="000000" w:fill="FFFFFF"/>
            <w:noWrap/>
            <w:hideMark/>
          </w:tcPr>
          <w:p w14:paraId="3D50DFF8" w14:textId="522881F4" w:rsidR="008E2ED2" w:rsidRPr="0018386D" w:rsidRDefault="008E2ED2" w:rsidP="00DD3106">
            <w:pPr>
              <w:pStyle w:val="TableText"/>
              <w:spacing w:before="30" w:after="30"/>
            </w:pPr>
            <w:r w:rsidRPr="0018386D">
              <w:t>0.130</w:t>
            </w:r>
          </w:p>
        </w:tc>
        <w:tc>
          <w:tcPr>
            <w:tcW w:w="1352" w:type="dxa"/>
            <w:shd w:val="clear" w:color="000000" w:fill="FFFFFF"/>
            <w:noWrap/>
            <w:hideMark/>
          </w:tcPr>
          <w:p w14:paraId="62AD0821" w14:textId="770E5A49" w:rsidR="008E2ED2" w:rsidRPr="0018386D" w:rsidRDefault="008E2ED2" w:rsidP="00DD3106">
            <w:pPr>
              <w:pStyle w:val="TableText"/>
              <w:spacing w:before="30" w:after="30"/>
            </w:pPr>
            <w:r w:rsidRPr="0018386D">
              <w:t>0.00171</w:t>
            </w:r>
          </w:p>
        </w:tc>
        <w:tc>
          <w:tcPr>
            <w:tcW w:w="1352" w:type="dxa"/>
            <w:shd w:val="clear" w:color="000000" w:fill="FFFFFF"/>
            <w:noWrap/>
            <w:hideMark/>
          </w:tcPr>
          <w:p w14:paraId="231DCE6E" w14:textId="7CAA8AE4" w:rsidR="008E2ED2" w:rsidRPr="0018386D" w:rsidRDefault="008E2ED2" w:rsidP="00DD3106">
            <w:pPr>
              <w:pStyle w:val="TableText"/>
              <w:spacing w:before="30" w:after="30"/>
            </w:pPr>
            <w:r w:rsidRPr="0018386D">
              <w:t>0.00393</w:t>
            </w:r>
          </w:p>
        </w:tc>
      </w:tr>
      <w:tr w:rsidR="00537705" w:rsidRPr="0018386D" w14:paraId="0A8F3EB4" w14:textId="77777777" w:rsidTr="00575E53">
        <w:trPr>
          <w:divId w:val="1165633641"/>
        </w:trPr>
        <w:tc>
          <w:tcPr>
            <w:tcW w:w="1408" w:type="dxa"/>
            <w:tcBorders>
              <w:top w:val="nil"/>
              <w:bottom w:val="nil"/>
              <w:right w:val="single" w:sz="4" w:space="0" w:color="auto"/>
            </w:tcBorders>
            <w:shd w:val="clear" w:color="000000" w:fill="FFFFFF"/>
            <w:noWrap/>
            <w:hideMark/>
          </w:tcPr>
          <w:p w14:paraId="10BB1984"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74CE96B8" w14:textId="3B833BD8"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347912C5"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23D1E835" w14:textId="349B9A7F" w:rsidR="008E2ED2" w:rsidRPr="0018386D" w:rsidRDefault="008E2ED2" w:rsidP="00DD3106">
            <w:pPr>
              <w:pStyle w:val="TableText"/>
              <w:spacing w:before="30" w:after="30"/>
            </w:pPr>
            <w:r w:rsidRPr="0018386D">
              <w:t>0.141</w:t>
            </w:r>
          </w:p>
        </w:tc>
        <w:tc>
          <w:tcPr>
            <w:tcW w:w="1210" w:type="dxa"/>
            <w:shd w:val="clear" w:color="000000" w:fill="FFFFFF"/>
            <w:noWrap/>
            <w:hideMark/>
          </w:tcPr>
          <w:p w14:paraId="46C60E86" w14:textId="5082C97C" w:rsidR="008E2ED2" w:rsidRPr="0018386D" w:rsidRDefault="008E2ED2" w:rsidP="00DD3106">
            <w:pPr>
              <w:pStyle w:val="TableText"/>
              <w:spacing w:before="30" w:after="30"/>
            </w:pPr>
            <w:r w:rsidRPr="0018386D">
              <w:t>0.135</w:t>
            </w:r>
          </w:p>
        </w:tc>
        <w:tc>
          <w:tcPr>
            <w:tcW w:w="1352" w:type="dxa"/>
            <w:shd w:val="clear" w:color="000000" w:fill="FFFFFF"/>
            <w:noWrap/>
            <w:hideMark/>
          </w:tcPr>
          <w:p w14:paraId="3727F948" w14:textId="44788199" w:rsidR="008E2ED2" w:rsidRPr="0018386D" w:rsidRDefault="008E2ED2" w:rsidP="00DD3106">
            <w:pPr>
              <w:pStyle w:val="TableText"/>
              <w:spacing w:before="30" w:after="30"/>
            </w:pPr>
            <w:r w:rsidRPr="0018386D">
              <w:t>0.00177</w:t>
            </w:r>
          </w:p>
        </w:tc>
        <w:tc>
          <w:tcPr>
            <w:tcW w:w="1352" w:type="dxa"/>
            <w:shd w:val="clear" w:color="000000" w:fill="FFFFFF"/>
            <w:noWrap/>
            <w:hideMark/>
          </w:tcPr>
          <w:p w14:paraId="13930764" w14:textId="5E10A578" w:rsidR="008E2ED2" w:rsidRPr="0018386D" w:rsidRDefault="008E2ED2" w:rsidP="00DD3106">
            <w:pPr>
              <w:pStyle w:val="TableText"/>
              <w:spacing w:before="30" w:after="30"/>
            </w:pPr>
            <w:r w:rsidRPr="0018386D">
              <w:t>0.00407</w:t>
            </w:r>
          </w:p>
        </w:tc>
      </w:tr>
      <w:tr w:rsidR="00537705" w:rsidRPr="0018386D" w14:paraId="42393D77" w14:textId="77777777" w:rsidTr="00575E53">
        <w:trPr>
          <w:divId w:val="1165633641"/>
        </w:trPr>
        <w:tc>
          <w:tcPr>
            <w:tcW w:w="1408" w:type="dxa"/>
            <w:tcBorders>
              <w:top w:val="nil"/>
              <w:bottom w:val="nil"/>
              <w:right w:val="single" w:sz="4" w:space="0" w:color="auto"/>
            </w:tcBorders>
            <w:shd w:val="clear" w:color="000000" w:fill="FFFFFF"/>
            <w:noWrap/>
            <w:hideMark/>
          </w:tcPr>
          <w:p w14:paraId="34653BC9"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2AB350EF" w14:textId="4AB72C24"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3C349C2B"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957F211" w14:textId="7025348C" w:rsidR="008E2ED2" w:rsidRPr="0018386D" w:rsidRDefault="008E2ED2" w:rsidP="00DD3106">
            <w:pPr>
              <w:pStyle w:val="TableText"/>
              <w:spacing w:before="30" w:after="30"/>
            </w:pPr>
            <w:r w:rsidRPr="0018386D">
              <w:t>0.159</w:t>
            </w:r>
          </w:p>
        </w:tc>
        <w:tc>
          <w:tcPr>
            <w:tcW w:w="1210" w:type="dxa"/>
            <w:shd w:val="clear" w:color="000000" w:fill="FFFFFF"/>
            <w:noWrap/>
            <w:hideMark/>
          </w:tcPr>
          <w:p w14:paraId="4DEE44DA" w14:textId="5E5DC609" w:rsidR="008E2ED2" w:rsidRPr="0018386D" w:rsidRDefault="008E2ED2" w:rsidP="00DD3106">
            <w:pPr>
              <w:pStyle w:val="TableText"/>
              <w:spacing w:before="30" w:after="30"/>
            </w:pPr>
            <w:r w:rsidRPr="0018386D">
              <w:t>0.152</w:t>
            </w:r>
          </w:p>
        </w:tc>
        <w:tc>
          <w:tcPr>
            <w:tcW w:w="1352" w:type="dxa"/>
            <w:shd w:val="clear" w:color="000000" w:fill="FFFFFF"/>
            <w:noWrap/>
            <w:hideMark/>
          </w:tcPr>
          <w:p w14:paraId="48D42E65" w14:textId="4E8325C1" w:rsidR="008E2ED2" w:rsidRPr="0018386D" w:rsidRDefault="008E2ED2" w:rsidP="00DD3106">
            <w:pPr>
              <w:pStyle w:val="TableText"/>
              <w:spacing w:before="30" w:after="30"/>
            </w:pPr>
            <w:r w:rsidRPr="0018386D">
              <w:t>0.00200</w:t>
            </w:r>
          </w:p>
        </w:tc>
        <w:tc>
          <w:tcPr>
            <w:tcW w:w="1352" w:type="dxa"/>
            <w:shd w:val="clear" w:color="000000" w:fill="FFFFFF"/>
            <w:noWrap/>
            <w:hideMark/>
          </w:tcPr>
          <w:p w14:paraId="0F04B24F" w14:textId="184C38D4" w:rsidR="008E2ED2" w:rsidRPr="0018386D" w:rsidRDefault="008E2ED2" w:rsidP="00DD3106">
            <w:pPr>
              <w:pStyle w:val="TableText"/>
              <w:spacing w:before="30" w:after="30"/>
            </w:pPr>
            <w:r w:rsidRPr="0018386D">
              <w:t>0.00458</w:t>
            </w:r>
          </w:p>
        </w:tc>
      </w:tr>
      <w:tr w:rsidR="00537705" w:rsidRPr="0018386D" w14:paraId="3BAEDBA8" w14:textId="77777777" w:rsidTr="00575E53">
        <w:trPr>
          <w:divId w:val="1165633641"/>
        </w:trPr>
        <w:tc>
          <w:tcPr>
            <w:tcW w:w="1408" w:type="dxa"/>
            <w:tcBorders>
              <w:top w:val="nil"/>
              <w:bottom w:val="nil"/>
              <w:right w:val="single" w:sz="4" w:space="0" w:color="auto"/>
            </w:tcBorders>
            <w:shd w:val="clear" w:color="000000" w:fill="FFFFFF"/>
            <w:noWrap/>
            <w:hideMark/>
          </w:tcPr>
          <w:p w14:paraId="28F7E3FC"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48F207A6" w14:textId="372A2DB8"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081C41A0"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3F0E5431" w14:textId="6828C36F" w:rsidR="008E2ED2" w:rsidRPr="0018386D" w:rsidRDefault="008E2ED2" w:rsidP="00DD3106">
            <w:pPr>
              <w:pStyle w:val="TableText"/>
              <w:spacing w:before="30" w:after="30"/>
            </w:pPr>
            <w:r w:rsidRPr="0018386D">
              <w:t>0.176</w:t>
            </w:r>
          </w:p>
        </w:tc>
        <w:tc>
          <w:tcPr>
            <w:tcW w:w="1210" w:type="dxa"/>
            <w:shd w:val="clear" w:color="000000" w:fill="FFFFFF"/>
            <w:noWrap/>
            <w:hideMark/>
          </w:tcPr>
          <w:p w14:paraId="23C0B711" w14:textId="7EDE601F" w:rsidR="008E2ED2" w:rsidRPr="0018386D" w:rsidRDefault="008E2ED2" w:rsidP="00DD3106">
            <w:pPr>
              <w:pStyle w:val="TableText"/>
              <w:spacing w:before="30" w:after="30"/>
            </w:pPr>
            <w:r w:rsidRPr="0018386D">
              <w:t>0.169</w:t>
            </w:r>
          </w:p>
        </w:tc>
        <w:tc>
          <w:tcPr>
            <w:tcW w:w="1352" w:type="dxa"/>
            <w:shd w:val="clear" w:color="000000" w:fill="FFFFFF"/>
            <w:noWrap/>
            <w:hideMark/>
          </w:tcPr>
          <w:p w14:paraId="333BC3CB" w14:textId="341A8D8F" w:rsidR="008E2ED2" w:rsidRPr="0018386D" w:rsidRDefault="008E2ED2" w:rsidP="00DD3106">
            <w:pPr>
              <w:pStyle w:val="TableText"/>
              <w:spacing w:before="30" w:after="30"/>
            </w:pPr>
            <w:r w:rsidRPr="0018386D">
              <w:t>0.00222</w:t>
            </w:r>
          </w:p>
        </w:tc>
        <w:tc>
          <w:tcPr>
            <w:tcW w:w="1352" w:type="dxa"/>
            <w:shd w:val="clear" w:color="000000" w:fill="FFFFFF"/>
            <w:noWrap/>
            <w:hideMark/>
          </w:tcPr>
          <w:p w14:paraId="16D31A91" w14:textId="79B56A02" w:rsidR="008E2ED2" w:rsidRPr="0018386D" w:rsidRDefault="008E2ED2" w:rsidP="00DD3106">
            <w:pPr>
              <w:pStyle w:val="TableText"/>
              <w:spacing w:before="30" w:after="30"/>
            </w:pPr>
            <w:r w:rsidRPr="0018386D">
              <w:t>0.00509</w:t>
            </w:r>
          </w:p>
        </w:tc>
      </w:tr>
      <w:tr w:rsidR="00537705" w:rsidRPr="0018386D" w14:paraId="783C1948"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3E2D919A"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7537850D"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6DF84832"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68F68565" w14:textId="3FB0BE5F" w:rsidR="008E2ED2" w:rsidRPr="0018386D" w:rsidRDefault="008E2ED2" w:rsidP="00DD3106">
            <w:pPr>
              <w:pStyle w:val="TableText"/>
              <w:spacing w:before="30" w:after="30"/>
            </w:pPr>
            <w:r w:rsidRPr="0018386D">
              <w:t>0.211</w:t>
            </w:r>
          </w:p>
        </w:tc>
        <w:tc>
          <w:tcPr>
            <w:tcW w:w="1210" w:type="dxa"/>
            <w:shd w:val="clear" w:color="000000" w:fill="FFFFFF"/>
            <w:noWrap/>
            <w:hideMark/>
          </w:tcPr>
          <w:p w14:paraId="54686ECC" w14:textId="7A840EDC" w:rsidR="008E2ED2" w:rsidRPr="0018386D" w:rsidRDefault="008E2ED2" w:rsidP="00DD3106">
            <w:pPr>
              <w:pStyle w:val="TableText"/>
              <w:spacing w:before="30" w:after="30"/>
            </w:pPr>
            <w:r w:rsidRPr="0018386D">
              <w:t>0.202</w:t>
            </w:r>
          </w:p>
        </w:tc>
        <w:tc>
          <w:tcPr>
            <w:tcW w:w="1352" w:type="dxa"/>
            <w:shd w:val="clear" w:color="000000" w:fill="FFFFFF"/>
            <w:noWrap/>
            <w:hideMark/>
          </w:tcPr>
          <w:p w14:paraId="456F72A8" w14:textId="373B11A6" w:rsidR="008E2ED2" w:rsidRPr="0018386D" w:rsidRDefault="008E2ED2" w:rsidP="00DD3106">
            <w:pPr>
              <w:pStyle w:val="TableText"/>
              <w:spacing w:before="30" w:after="30"/>
            </w:pPr>
            <w:r w:rsidRPr="0018386D">
              <w:t>0.00266</w:t>
            </w:r>
          </w:p>
        </w:tc>
        <w:tc>
          <w:tcPr>
            <w:tcW w:w="1352" w:type="dxa"/>
            <w:shd w:val="clear" w:color="000000" w:fill="FFFFFF"/>
            <w:noWrap/>
            <w:hideMark/>
          </w:tcPr>
          <w:p w14:paraId="5F8E7C1C" w14:textId="7020CD5E" w:rsidR="008E2ED2" w:rsidRPr="0018386D" w:rsidRDefault="008E2ED2" w:rsidP="00DD3106">
            <w:pPr>
              <w:pStyle w:val="TableText"/>
              <w:spacing w:before="30" w:after="30"/>
            </w:pPr>
            <w:r w:rsidRPr="0018386D">
              <w:t>0.00609</w:t>
            </w:r>
          </w:p>
        </w:tc>
      </w:tr>
      <w:tr w:rsidR="00537705" w:rsidRPr="0018386D" w14:paraId="0F636908"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34A2DA90" w14:textId="294D0FB0" w:rsidR="008E2ED2" w:rsidRPr="0018386D" w:rsidRDefault="008E2ED2" w:rsidP="00DD3106">
            <w:pPr>
              <w:pStyle w:val="TableText"/>
              <w:spacing w:before="30" w:after="30"/>
            </w:pPr>
            <w:r w:rsidRPr="0018386D">
              <w:t xml:space="preserve">Diesel </w:t>
            </w:r>
            <w:r w:rsidR="006E7F61" w:rsidRPr="0018386D">
              <w:t>h</w:t>
            </w:r>
            <w:r w:rsidRPr="0018386D">
              <w:t>ybrid vehicle</w:t>
            </w:r>
          </w:p>
        </w:tc>
        <w:tc>
          <w:tcPr>
            <w:tcW w:w="1408" w:type="dxa"/>
            <w:tcBorders>
              <w:left w:val="single" w:sz="4" w:space="0" w:color="auto"/>
            </w:tcBorders>
            <w:shd w:val="clear" w:color="000000" w:fill="FFFFFF"/>
            <w:noWrap/>
            <w:hideMark/>
          </w:tcPr>
          <w:p w14:paraId="66A7A672"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48A93EFA"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1FE1D550" w14:textId="0C5FA151" w:rsidR="008E2ED2" w:rsidRPr="0018386D" w:rsidRDefault="008E2ED2" w:rsidP="00DD3106">
            <w:pPr>
              <w:pStyle w:val="TableText"/>
              <w:spacing w:before="30" w:after="30"/>
            </w:pPr>
            <w:r w:rsidRPr="0018386D">
              <w:t>0.170</w:t>
            </w:r>
          </w:p>
        </w:tc>
        <w:tc>
          <w:tcPr>
            <w:tcW w:w="1210" w:type="dxa"/>
            <w:shd w:val="clear" w:color="000000" w:fill="FFFFFF"/>
            <w:noWrap/>
            <w:hideMark/>
          </w:tcPr>
          <w:p w14:paraId="35C12565" w14:textId="4BBC53C0" w:rsidR="008E2ED2" w:rsidRPr="0018386D" w:rsidRDefault="008E2ED2" w:rsidP="00DD3106">
            <w:pPr>
              <w:pStyle w:val="TableText"/>
              <w:spacing w:before="30" w:after="30"/>
            </w:pPr>
            <w:r w:rsidRPr="0018386D">
              <w:t>0.167</w:t>
            </w:r>
          </w:p>
        </w:tc>
        <w:tc>
          <w:tcPr>
            <w:tcW w:w="1352" w:type="dxa"/>
            <w:shd w:val="clear" w:color="000000" w:fill="FFFFFF"/>
            <w:noWrap/>
            <w:hideMark/>
          </w:tcPr>
          <w:p w14:paraId="4DC46A88" w14:textId="12E5D6DA" w:rsidR="008E2ED2" w:rsidRPr="0018386D" w:rsidRDefault="008E2ED2" w:rsidP="00DD3106">
            <w:pPr>
              <w:pStyle w:val="TableText"/>
              <w:spacing w:before="30" w:after="30"/>
            </w:pPr>
            <w:r w:rsidRPr="0018386D">
              <w:t>0.0003</w:t>
            </w:r>
          </w:p>
        </w:tc>
        <w:tc>
          <w:tcPr>
            <w:tcW w:w="1352" w:type="dxa"/>
            <w:shd w:val="clear" w:color="000000" w:fill="FFFFFF"/>
            <w:noWrap/>
            <w:hideMark/>
          </w:tcPr>
          <w:p w14:paraId="0337D141" w14:textId="16702477" w:rsidR="008E2ED2" w:rsidRPr="0018386D" w:rsidRDefault="008E2ED2" w:rsidP="00DD3106">
            <w:pPr>
              <w:pStyle w:val="TableText"/>
              <w:spacing w:before="30" w:after="30"/>
            </w:pPr>
            <w:r w:rsidRPr="0018386D">
              <w:t>0.00237</w:t>
            </w:r>
          </w:p>
        </w:tc>
      </w:tr>
      <w:tr w:rsidR="00537705" w:rsidRPr="0018386D" w14:paraId="01955C9C" w14:textId="77777777" w:rsidTr="00575E53">
        <w:trPr>
          <w:divId w:val="1165633641"/>
        </w:trPr>
        <w:tc>
          <w:tcPr>
            <w:tcW w:w="1408" w:type="dxa"/>
            <w:tcBorders>
              <w:top w:val="nil"/>
              <w:bottom w:val="nil"/>
              <w:right w:val="single" w:sz="4" w:space="0" w:color="auto"/>
            </w:tcBorders>
            <w:shd w:val="clear" w:color="000000" w:fill="FFFFFF"/>
            <w:noWrap/>
            <w:hideMark/>
          </w:tcPr>
          <w:p w14:paraId="73C11725"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51A1E2F9" w14:textId="45F5108D"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4A8D401A"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27E0F086" w14:textId="6588C00C" w:rsidR="008E2ED2" w:rsidRPr="0018386D" w:rsidRDefault="008E2ED2" w:rsidP="00DD3106">
            <w:pPr>
              <w:pStyle w:val="TableText"/>
              <w:spacing w:before="30" w:after="30"/>
            </w:pPr>
            <w:r w:rsidRPr="0018386D">
              <w:t>0.164</w:t>
            </w:r>
          </w:p>
        </w:tc>
        <w:tc>
          <w:tcPr>
            <w:tcW w:w="1210" w:type="dxa"/>
            <w:shd w:val="clear" w:color="000000" w:fill="FFFFFF"/>
            <w:noWrap/>
            <w:hideMark/>
          </w:tcPr>
          <w:p w14:paraId="7B781EAA" w14:textId="4A3C697F" w:rsidR="008E2ED2" w:rsidRPr="0018386D" w:rsidRDefault="008E2ED2" w:rsidP="00DD3106">
            <w:pPr>
              <w:pStyle w:val="TableText"/>
              <w:spacing w:before="30" w:after="30"/>
            </w:pPr>
            <w:r w:rsidRPr="0018386D">
              <w:t>0.161</w:t>
            </w:r>
          </w:p>
        </w:tc>
        <w:tc>
          <w:tcPr>
            <w:tcW w:w="1352" w:type="dxa"/>
            <w:shd w:val="clear" w:color="000000" w:fill="FFFFFF"/>
            <w:noWrap/>
            <w:hideMark/>
          </w:tcPr>
          <w:p w14:paraId="4A3D65BB" w14:textId="77777777" w:rsidR="008E2ED2" w:rsidRPr="0018386D" w:rsidRDefault="008E2ED2" w:rsidP="00DD3106">
            <w:pPr>
              <w:pStyle w:val="TableText"/>
              <w:spacing w:before="30" w:after="30"/>
            </w:pPr>
            <w:r w:rsidRPr="0018386D">
              <w:t>0.0002</w:t>
            </w:r>
          </w:p>
        </w:tc>
        <w:tc>
          <w:tcPr>
            <w:tcW w:w="1352" w:type="dxa"/>
            <w:shd w:val="clear" w:color="000000" w:fill="FFFFFF"/>
            <w:noWrap/>
            <w:hideMark/>
          </w:tcPr>
          <w:p w14:paraId="30748815" w14:textId="0AA7FE83" w:rsidR="008E2ED2" w:rsidRPr="0018386D" w:rsidRDefault="008E2ED2" w:rsidP="00DD3106">
            <w:pPr>
              <w:pStyle w:val="TableText"/>
              <w:spacing w:before="30" w:after="30"/>
            </w:pPr>
            <w:r w:rsidRPr="0018386D">
              <w:t>0.00228</w:t>
            </w:r>
          </w:p>
        </w:tc>
      </w:tr>
      <w:tr w:rsidR="00537705" w:rsidRPr="0018386D" w14:paraId="7585EAE4" w14:textId="77777777" w:rsidTr="00575E53">
        <w:trPr>
          <w:divId w:val="1165633641"/>
        </w:trPr>
        <w:tc>
          <w:tcPr>
            <w:tcW w:w="1408" w:type="dxa"/>
            <w:tcBorders>
              <w:top w:val="nil"/>
              <w:bottom w:val="nil"/>
              <w:right w:val="single" w:sz="4" w:space="0" w:color="auto"/>
            </w:tcBorders>
            <w:shd w:val="clear" w:color="000000" w:fill="FFFFFF"/>
            <w:noWrap/>
            <w:hideMark/>
          </w:tcPr>
          <w:p w14:paraId="5A0E6B04"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762C67F2" w14:textId="2A59DB85"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209C9F02"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338CDF60" w14:textId="54474792" w:rsidR="008E2ED2" w:rsidRPr="0018386D" w:rsidRDefault="008E2ED2" w:rsidP="00DD3106">
            <w:pPr>
              <w:pStyle w:val="TableText"/>
              <w:spacing w:before="30" w:after="30"/>
            </w:pPr>
            <w:r w:rsidRPr="0018386D">
              <w:t>0.173</w:t>
            </w:r>
          </w:p>
        </w:tc>
        <w:tc>
          <w:tcPr>
            <w:tcW w:w="1210" w:type="dxa"/>
            <w:shd w:val="clear" w:color="000000" w:fill="FFFFFF"/>
            <w:noWrap/>
            <w:hideMark/>
          </w:tcPr>
          <w:p w14:paraId="3E6242F0" w14:textId="4D91861A" w:rsidR="008E2ED2" w:rsidRPr="0018386D" w:rsidRDefault="008E2ED2" w:rsidP="00DD3106">
            <w:pPr>
              <w:pStyle w:val="TableText"/>
              <w:spacing w:before="30" w:after="30"/>
            </w:pPr>
            <w:r w:rsidRPr="0018386D">
              <w:t>0.171</w:t>
            </w:r>
          </w:p>
        </w:tc>
        <w:tc>
          <w:tcPr>
            <w:tcW w:w="1352" w:type="dxa"/>
            <w:shd w:val="clear" w:color="000000" w:fill="FFFFFF"/>
            <w:noWrap/>
            <w:hideMark/>
          </w:tcPr>
          <w:p w14:paraId="5AAEBB97" w14:textId="62D27A05" w:rsidR="008E2ED2" w:rsidRPr="0018386D" w:rsidRDefault="008E2ED2" w:rsidP="00DD3106">
            <w:pPr>
              <w:pStyle w:val="TableText"/>
              <w:spacing w:before="30" w:after="30"/>
            </w:pPr>
            <w:r w:rsidRPr="0018386D">
              <w:t>0.0003</w:t>
            </w:r>
          </w:p>
        </w:tc>
        <w:tc>
          <w:tcPr>
            <w:tcW w:w="1352" w:type="dxa"/>
            <w:shd w:val="clear" w:color="000000" w:fill="FFFFFF"/>
            <w:noWrap/>
            <w:hideMark/>
          </w:tcPr>
          <w:p w14:paraId="7C5F77DA" w14:textId="3FA00535" w:rsidR="008E2ED2" w:rsidRPr="0018386D" w:rsidRDefault="008E2ED2" w:rsidP="00DD3106">
            <w:pPr>
              <w:pStyle w:val="TableText"/>
              <w:spacing w:before="30" w:after="30"/>
            </w:pPr>
            <w:r w:rsidRPr="0018386D">
              <w:t>0.00241</w:t>
            </w:r>
          </w:p>
        </w:tc>
      </w:tr>
      <w:tr w:rsidR="00537705" w:rsidRPr="0018386D" w14:paraId="42C028AA" w14:textId="77777777" w:rsidTr="00575E53">
        <w:trPr>
          <w:divId w:val="1165633641"/>
        </w:trPr>
        <w:tc>
          <w:tcPr>
            <w:tcW w:w="1408" w:type="dxa"/>
            <w:tcBorders>
              <w:top w:val="nil"/>
              <w:bottom w:val="nil"/>
              <w:right w:val="single" w:sz="4" w:space="0" w:color="auto"/>
            </w:tcBorders>
            <w:shd w:val="clear" w:color="000000" w:fill="FFFFFF"/>
            <w:noWrap/>
            <w:hideMark/>
          </w:tcPr>
          <w:p w14:paraId="2D91210B"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33AD7259" w14:textId="5982A87F"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20088186"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015DA635" w14:textId="0486EB2E" w:rsidR="008E2ED2" w:rsidRPr="0018386D" w:rsidRDefault="008E2ED2" w:rsidP="00DD3106">
            <w:pPr>
              <w:pStyle w:val="TableText"/>
              <w:spacing w:before="30" w:after="30"/>
            </w:pPr>
            <w:r w:rsidRPr="0018386D">
              <w:t>0.213</w:t>
            </w:r>
          </w:p>
        </w:tc>
        <w:tc>
          <w:tcPr>
            <w:tcW w:w="1210" w:type="dxa"/>
            <w:shd w:val="clear" w:color="000000" w:fill="FFFFFF"/>
            <w:noWrap/>
            <w:hideMark/>
          </w:tcPr>
          <w:p w14:paraId="00BDFF66" w14:textId="46F8EB6C" w:rsidR="008E2ED2" w:rsidRPr="0018386D" w:rsidRDefault="008E2ED2" w:rsidP="00DD3106">
            <w:pPr>
              <w:pStyle w:val="TableText"/>
              <w:spacing w:before="30" w:after="30"/>
            </w:pPr>
            <w:r w:rsidRPr="0018386D">
              <w:t>0.210</w:t>
            </w:r>
          </w:p>
        </w:tc>
        <w:tc>
          <w:tcPr>
            <w:tcW w:w="1352" w:type="dxa"/>
            <w:shd w:val="clear" w:color="000000" w:fill="FFFFFF"/>
            <w:noWrap/>
            <w:hideMark/>
          </w:tcPr>
          <w:p w14:paraId="13FB8BC1" w14:textId="77777777" w:rsidR="008E2ED2" w:rsidRPr="0018386D" w:rsidRDefault="008E2ED2" w:rsidP="00DD3106">
            <w:pPr>
              <w:pStyle w:val="TableText"/>
              <w:spacing w:before="30" w:after="30"/>
            </w:pPr>
            <w:r w:rsidRPr="0018386D">
              <w:t>0.0003</w:t>
            </w:r>
          </w:p>
        </w:tc>
        <w:tc>
          <w:tcPr>
            <w:tcW w:w="1352" w:type="dxa"/>
            <w:shd w:val="clear" w:color="000000" w:fill="FFFFFF"/>
            <w:noWrap/>
            <w:hideMark/>
          </w:tcPr>
          <w:p w14:paraId="342D23B8" w14:textId="566C726A" w:rsidR="008E2ED2" w:rsidRPr="0018386D" w:rsidRDefault="008E2ED2" w:rsidP="00DD3106">
            <w:pPr>
              <w:pStyle w:val="TableText"/>
              <w:spacing w:before="30" w:after="30"/>
            </w:pPr>
            <w:r w:rsidRPr="0018386D">
              <w:t>0.00297</w:t>
            </w:r>
          </w:p>
        </w:tc>
      </w:tr>
      <w:tr w:rsidR="00537705" w:rsidRPr="0018386D" w14:paraId="38188F86"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60E4E9A5"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48E4460B"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785FEB6F"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12D8008E" w14:textId="196E20BB" w:rsidR="008E2ED2" w:rsidRPr="0018386D" w:rsidRDefault="008E2ED2" w:rsidP="00DD3106">
            <w:pPr>
              <w:pStyle w:val="TableText"/>
              <w:spacing w:before="30" w:after="30"/>
            </w:pPr>
            <w:r w:rsidRPr="0018386D">
              <w:t>0.237</w:t>
            </w:r>
          </w:p>
        </w:tc>
        <w:tc>
          <w:tcPr>
            <w:tcW w:w="1210" w:type="dxa"/>
            <w:shd w:val="clear" w:color="000000" w:fill="FFFFFF"/>
            <w:noWrap/>
            <w:hideMark/>
          </w:tcPr>
          <w:p w14:paraId="039A0B8D" w14:textId="30EA5FB4" w:rsidR="008E2ED2" w:rsidRPr="0018386D" w:rsidRDefault="008E2ED2" w:rsidP="00DD3106">
            <w:pPr>
              <w:pStyle w:val="TableText"/>
              <w:spacing w:before="30" w:after="30"/>
            </w:pPr>
            <w:r w:rsidRPr="0018386D">
              <w:t>0.233</w:t>
            </w:r>
          </w:p>
        </w:tc>
        <w:tc>
          <w:tcPr>
            <w:tcW w:w="1352" w:type="dxa"/>
            <w:shd w:val="clear" w:color="000000" w:fill="FFFFFF"/>
            <w:noWrap/>
            <w:hideMark/>
          </w:tcPr>
          <w:p w14:paraId="47B9CA08" w14:textId="77777777" w:rsidR="008E2ED2" w:rsidRPr="0018386D" w:rsidRDefault="008E2ED2" w:rsidP="00DD3106">
            <w:pPr>
              <w:pStyle w:val="TableText"/>
              <w:spacing w:before="30" w:after="30"/>
            </w:pPr>
            <w:r w:rsidRPr="0018386D">
              <w:t>0.0003</w:t>
            </w:r>
          </w:p>
        </w:tc>
        <w:tc>
          <w:tcPr>
            <w:tcW w:w="1352" w:type="dxa"/>
            <w:shd w:val="clear" w:color="000000" w:fill="FFFFFF"/>
            <w:noWrap/>
            <w:hideMark/>
          </w:tcPr>
          <w:p w14:paraId="3D887C62" w14:textId="2A6657F4" w:rsidR="008E2ED2" w:rsidRPr="0018386D" w:rsidRDefault="008E2ED2" w:rsidP="00DD3106">
            <w:pPr>
              <w:pStyle w:val="TableText"/>
              <w:spacing w:before="30" w:after="30"/>
            </w:pPr>
            <w:r w:rsidRPr="0018386D">
              <w:t>0.00329</w:t>
            </w:r>
          </w:p>
        </w:tc>
      </w:tr>
      <w:tr w:rsidR="00537705" w:rsidRPr="0018386D" w14:paraId="12362E77"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2146CBF1" w14:textId="4007376B" w:rsidR="008E2ED2" w:rsidRPr="0018386D" w:rsidRDefault="008E2ED2" w:rsidP="00DD3106">
            <w:pPr>
              <w:pStyle w:val="TableText"/>
              <w:spacing w:before="30" w:after="30"/>
            </w:pPr>
            <w:r w:rsidRPr="0018386D">
              <w:t xml:space="preserve">PHEV (Petrol) </w:t>
            </w:r>
            <w:r w:rsidR="006E7F61" w:rsidRPr="0018386D">
              <w:t>–</w:t>
            </w:r>
            <w:r w:rsidRPr="0018386D">
              <w:t xml:space="preserve"> Petrol consumption</w:t>
            </w:r>
          </w:p>
        </w:tc>
        <w:tc>
          <w:tcPr>
            <w:tcW w:w="1408" w:type="dxa"/>
            <w:tcBorders>
              <w:left w:val="single" w:sz="4" w:space="0" w:color="auto"/>
            </w:tcBorders>
            <w:shd w:val="clear" w:color="000000" w:fill="FFFFFF"/>
            <w:noWrap/>
            <w:hideMark/>
          </w:tcPr>
          <w:p w14:paraId="340AA23C"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16FEAECB"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38450CD" w14:textId="6FE5CB5A" w:rsidR="008E2ED2" w:rsidRPr="0018386D" w:rsidRDefault="008E2ED2" w:rsidP="00DD3106">
            <w:pPr>
              <w:pStyle w:val="TableText"/>
              <w:spacing w:before="30" w:after="30"/>
            </w:pPr>
            <w:r w:rsidRPr="0018386D">
              <w:t>0.0712</w:t>
            </w:r>
          </w:p>
        </w:tc>
        <w:tc>
          <w:tcPr>
            <w:tcW w:w="1210" w:type="dxa"/>
            <w:shd w:val="clear" w:color="000000" w:fill="FFFFFF"/>
            <w:noWrap/>
            <w:hideMark/>
          </w:tcPr>
          <w:p w14:paraId="461CA502" w14:textId="5DB72079" w:rsidR="008E2ED2" w:rsidRPr="0018386D" w:rsidRDefault="008E2ED2" w:rsidP="00DD3106">
            <w:pPr>
              <w:pStyle w:val="TableText"/>
              <w:spacing w:before="30" w:after="30"/>
            </w:pPr>
            <w:r w:rsidRPr="0018386D">
              <w:t>0.0683</w:t>
            </w:r>
          </w:p>
        </w:tc>
        <w:tc>
          <w:tcPr>
            <w:tcW w:w="1352" w:type="dxa"/>
            <w:shd w:val="clear" w:color="000000" w:fill="FFFFFF"/>
            <w:noWrap/>
            <w:hideMark/>
          </w:tcPr>
          <w:p w14:paraId="53F32414" w14:textId="5565A7A2" w:rsidR="008E2ED2" w:rsidRPr="0018386D" w:rsidRDefault="008E2ED2" w:rsidP="00DD3106">
            <w:pPr>
              <w:pStyle w:val="TableText"/>
              <w:spacing w:before="30" w:after="30"/>
            </w:pPr>
            <w:r w:rsidRPr="0018386D">
              <w:t>0.0009</w:t>
            </w:r>
          </w:p>
        </w:tc>
        <w:tc>
          <w:tcPr>
            <w:tcW w:w="1352" w:type="dxa"/>
            <w:shd w:val="clear" w:color="000000" w:fill="FFFFFF"/>
            <w:noWrap/>
            <w:hideMark/>
          </w:tcPr>
          <w:p w14:paraId="31BBF1C0" w14:textId="37DCDE59" w:rsidR="008E2ED2" w:rsidRPr="0018386D" w:rsidRDefault="008E2ED2" w:rsidP="00DD3106">
            <w:pPr>
              <w:pStyle w:val="TableText"/>
              <w:spacing w:before="30" w:after="30"/>
            </w:pPr>
            <w:r w:rsidRPr="0018386D">
              <w:t>0.00206</w:t>
            </w:r>
          </w:p>
        </w:tc>
      </w:tr>
      <w:tr w:rsidR="00537705" w:rsidRPr="0018386D" w14:paraId="30941260" w14:textId="77777777" w:rsidTr="00575E53">
        <w:trPr>
          <w:divId w:val="1165633641"/>
        </w:trPr>
        <w:tc>
          <w:tcPr>
            <w:tcW w:w="1408" w:type="dxa"/>
            <w:tcBorders>
              <w:top w:val="nil"/>
              <w:bottom w:val="nil"/>
              <w:right w:val="single" w:sz="4" w:space="0" w:color="auto"/>
            </w:tcBorders>
            <w:shd w:val="clear" w:color="000000" w:fill="FFFFFF"/>
            <w:noWrap/>
            <w:hideMark/>
          </w:tcPr>
          <w:p w14:paraId="43A14B4B"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1DD261B4" w14:textId="651E269F"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2AFAE79F"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76947F32" w14:textId="50BC808C" w:rsidR="008E2ED2" w:rsidRPr="0018386D" w:rsidRDefault="008E2ED2" w:rsidP="00DD3106">
            <w:pPr>
              <w:pStyle w:val="TableText"/>
              <w:spacing w:before="30" w:after="30"/>
            </w:pPr>
            <w:r w:rsidRPr="0018386D">
              <w:t>0.0737</w:t>
            </w:r>
          </w:p>
        </w:tc>
        <w:tc>
          <w:tcPr>
            <w:tcW w:w="1210" w:type="dxa"/>
            <w:shd w:val="clear" w:color="000000" w:fill="FFFFFF"/>
            <w:noWrap/>
            <w:hideMark/>
          </w:tcPr>
          <w:p w14:paraId="39E0A976" w14:textId="6A9C4C14" w:rsidR="008E2ED2" w:rsidRPr="0018386D" w:rsidRDefault="008E2ED2" w:rsidP="00DD3106">
            <w:pPr>
              <w:pStyle w:val="TableText"/>
              <w:spacing w:before="30" w:after="30"/>
            </w:pPr>
            <w:r w:rsidRPr="0018386D">
              <w:t>0.0706</w:t>
            </w:r>
          </w:p>
        </w:tc>
        <w:tc>
          <w:tcPr>
            <w:tcW w:w="1352" w:type="dxa"/>
            <w:shd w:val="clear" w:color="000000" w:fill="FFFFFF"/>
            <w:noWrap/>
            <w:hideMark/>
          </w:tcPr>
          <w:p w14:paraId="7AD1D6ED" w14:textId="091F9793" w:rsidR="008E2ED2" w:rsidRPr="0018386D" w:rsidRDefault="008E2ED2" w:rsidP="00DD3106">
            <w:pPr>
              <w:pStyle w:val="TableText"/>
              <w:spacing w:before="30" w:after="30"/>
            </w:pPr>
            <w:r w:rsidRPr="0018386D">
              <w:t>0.0009</w:t>
            </w:r>
          </w:p>
        </w:tc>
        <w:tc>
          <w:tcPr>
            <w:tcW w:w="1352" w:type="dxa"/>
            <w:shd w:val="clear" w:color="000000" w:fill="FFFFFF"/>
            <w:noWrap/>
            <w:hideMark/>
          </w:tcPr>
          <w:p w14:paraId="5F2F31BD" w14:textId="1C06A2FE" w:rsidR="008E2ED2" w:rsidRPr="0018386D" w:rsidRDefault="008E2ED2" w:rsidP="00DD3106">
            <w:pPr>
              <w:pStyle w:val="TableText"/>
              <w:spacing w:before="30" w:after="30"/>
            </w:pPr>
            <w:r w:rsidRPr="0018386D">
              <w:t>0.00213</w:t>
            </w:r>
          </w:p>
        </w:tc>
      </w:tr>
      <w:tr w:rsidR="00537705" w:rsidRPr="0018386D" w14:paraId="2B9B92AD" w14:textId="77777777" w:rsidTr="00575E53">
        <w:trPr>
          <w:divId w:val="1165633641"/>
        </w:trPr>
        <w:tc>
          <w:tcPr>
            <w:tcW w:w="1408" w:type="dxa"/>
            <w:tcBorders>
              <w:top w:val="nil"/>
              <w:bottom w:val="nil"/>
              <w:right w:val="single" w:sz="4" w:space="0" w:color="auto"/>
            </w:tcBorders>
            <w:shd w:val="clear" w:color="000000" w:fill="FFFFFF"/>
            <w:noWrap/>
            <w:hideMark/>
          </w:tcPr>
          <w:p w14:paraId="3B91CA3C"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63084612" w14:textId="4DA8BA66"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4F751E6B"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5B1CCEB4" w14:textId="5D03C47A" w:rsidR="008E2ED2" w:rsidRPr="0018386D" w:rsidRDefault="008E2ED2" w:rsidP="00DD3106">
            <w:pPr>
              <w:pStyle w:val="TableText"/>
              <w:spacing w:before="30" w:after="30"/>
            </w:pPr>
            <w:r w:rsidRPr="0018386D">
              <w:t>0.0830</w:t>
            </w:r>
          </w:p>
        </w:tc>
        <w:tc>
          <w:tcPr>
            <w:tcW w:w="1210" w:type="dxa"/>
            <w:shd w:val="clear" w:color="000000" w:fill="FFFFFF"/>
            <w:noWrap/>
            <w:hideMark/>
          </w:tcPr>
          <w:p w14:paraId="7B32B571" w14:textId="74956BF6" w:rsidR="008E2ED2" w:rsidRPr="0018386D" w:rsidRDefault="008E2ED2" w:rsidP="00DD3106">
            <w:pPr>
              <w:pStyle w:val="TableText"/>
              <w:spacing w:before="30" w:after="30"/>
            </w:pPr>
            <w:r w:rsidRPr="0018386D">
              <w:t>0.0795</w:t>
            </w:r>
          </w:p>
        </w:tc>
        <w:tc>
          <w:tcPr>
            <w:tcW w:w="1352" w:type="dxa"/>
            <w:shd w:val="clear" w:color="000000" w:fill="FFFFFF"/>
            <w:noWrap/>
            <w:hideMark/>
          </w:tcPr>
          <w:p w14:paraId="63679906" w14:textId="235BAEEF" w:rsidR="008E2ED2" w:rsidRPr="0018386D" w:rsidRDefault="008E2ED2" w:rsidP="00DD3106">
            <w:pPr>
              <w:pStyle w:val="TableText"/>
              <w:spacing w:before="30" w:after="30"/>
            </w:pPr>
            <w:r w:rsidRPr="0018386D">
              <w:t>0.00105</w:t>
            </w:r>
          </w:p>
        </w:tc>
        <w:tc>
          <w:tcPr>
            <w:tcW w:w="1352" w:type="dxa"/>
            <w:shd w:val="clear" w:color="000000" w:fill="FFFFFF"/>
            <w:noWrap/>
            <w:hideMark/>
          </w:tcPr>
          <w:p w14:paraId="18666774" w14:textId="0F52D654" w:rsidR="008E2ED2" w:rsidRPr="0018386D" w:rsidRDefault="008E2ED2" w:rsidP="00DD3106">
            <w:pPr>
              <w:pStyle w:val="TableText"/>
              <w:spacing w:before="30" w:after="30"/>
            </w:pPr>
            <w:r w:rsidRPr="0018386D">
              <w:t>0.00240</w:t>
            </w:r>
          </w:p>
        </w:tc>
      </w:tr>
      <w:tr w:rsidR="00537705" w:rsidRPr="0018386D" w14:paraId="57BE4D11" w14:textId="77777777" w:rsidTr="00575E53">
        <w:trPr>
          <w:divId w:val="1165633641"/>
        </w:trPr>
        <w:tc>
          <w:tcPr>
            <w:tcW w:w="1408" w:type="dxa"/>
            <w:tcBorders>
              <w:top w:val="nil"/>
              <w:bottom w:val="nil"/>
              <w:right w:val="single" w:sz="4" w:space="0" w:color="auto"/>
            </w:tcBorders>
            <w:shd w:val="clear" w:color="000000" w:fill="FFFFFF"/>
            <w:noWrap/>
            <w:hideMark/>
          </w:tcPr>
          <w:p w14:paraId="0A56BFE8" w14:textId="77777777" w:rsidR="008E2ED2" w:rsidRPr="0018386D" w:rsidRDefault="008E2ED2" w:rsidP="00DD3106">
            <w:pPr>
              <w:pStyle w:val="TableText"/>
              <w:spacing w:before="30" w:after="30"/>
            </w:pPr>
            <w:r w:rsidRPr="0018386D">
              <w:lastRenderedPageBreak/>
              <w:t> </w:t>
            </w:r>
          </w:p>
        </w:tc>
        <w:tc>
          <w:tcPr>
            <w:tcW w:w="1408" w:type="dxa"/>
            <w:tcBorders>
              <w:left w:val="single" w:sz="4" w:space="0" w:color="auto"/>
            </w:tcBorders>
            <w:shd w:val="clear" w:color="000000" w:fill="FFFFFF"/>
            <w:noWrap/>
            <w:hideMark/>
          </w:tcPr>
          <w:p w14:paraId="3D0CDE94" w14:textId="0CA55F71"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31C3AF8E"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3B32A19E" w14:textId="3F4B3304" w:rsidR="008E2ED2" w:rsidRPr="0018386D" w:rsidRDefault="008E2ED2" w:rsidP="00DD3106">
            <w:pPr>
              <w:pStyle w:val="TableText"/>
              <w:spacing w:before="30" w:after="30"/>
            </w:pPr>
            <w:r w:rsidRPr="0018386D">
              <w:t>0.0922</w:t>
            </w:r>
          </w:p>
        </w:tc>
        <w:tc>
          <w:tcPr>
            <w:tcW w:w="1210" w:type="dxa"/>
            <w:shd w:val="clear" w:color="000000" w:fill="FFFFFF"/>
            <w:noWrap/>
            <w:hideMark/>
          </w:tcPr>
          <w:p w14:paraId="206F0BBC" w14:textId="42F0E670" w:rsidR="008E2ED2" w:rsidRPr="0018386D" w:rsidRDefault="008E2ED2" w:rsidP="00DD3106">
            <w:pPr>
              <w:pStyle w:val="TableText"/>
              <w:spacing w:before="30" w:after="30"/>
            </w:pPr>
            <w:r w:rsidRPr="0018386D">
              <w:t>0.0884</w:t>
            </w:r>
          </w:p>
        </w:tc>
        <w:tc>
          <w:tcPr>
            <w:tcW w:w="1352" w:type="dxa"/>
            <w:shd w:val="clear" w:color="000000" w:fill="FFFFFF"/>
            <w:noWrap/>
            <w:hideMark/>
          </w:tcPr>
          <w:p w14:paraId="5F21DCE6" w14:textId="2EC52331" w:rsidR="008E2ED2" w:rsidRPr="0018386D" w:rsidRDefault="008E2ED2" w:rsidP="00DD3106">
            <w:pPr>
              <w:pStyle w:val="TableText"/>
              <w:spacing w:before="30" w:after="30"/>
            </w:pPr>
            <w:r w:rsidRPr="0018386D">
              <w:t>0.00116</w:t>
            </w:r>
          </w:p>
        </w:tc>
        <w:tc>
          <w:tcPr>
            <w:tcW w:w="1352" w:type="dxa"/>
            <w:shd w:val="clear" w:color="000000" w:fill="FFFFFF"/>
            <w:noWrap/>
            <w:hideMark/>
          </w:tcPr>
          <w:p w14:paraId="312446D6" w14:textId="5BE3D3BC" w:rsidR="008E2ED2" w:rsidRPr="0018386D" w:rsidRDefault="008E2ED2" w:rsidP="00DD3106">
            <w:pPr>
              <w:pStyle w:val="TableText"/>
              <w:spacing w:before="30" w:after="30"/>
            </w:pPr>
            <w:r w:rsidRPr="0018386D">
              <w:t>0.00266</w:t>
            </w:r>
          </w:p>
        </w:tc>
      </w:tr>
      <w:tr w:rsidR="00537705" w:rsidRPr="0018386D" w14:paraId="71D054C8"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3A9F7066"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11A7D020"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6DE811A5"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7AF9E5B8" w14:textId="4E3EB155" w:rsidR="008E2ED2" w:rsidRPr="0018386D" w:rsidRDefault="008E2ED2" w:rsidP="00DD3106">
            <w:pPr>
              <w:pStyle w:val="TableText"/>
              <w:spacing w:before="30" w:after="30"/>
            </w:pPr>
            <w:r w:rsidRPr="0018386D">
              <w:t>0.110</w:t>
            </w:r>
          </w:p>
        </w:tc>
        <w:tc>
          <w:tcPr>
            <w:tcW w:w="1210" w:type="dxa"/>
            <w:shd w:val="clear" w:color="000000" w:fill="FFFFFF"/>
            <w:noWrap/>
            <w:hideMark/>
          </w:tcPr>
          <w:p w14:paraId="5FEEAA92" w14:textId="5625E225" w:rsidR="008E2ED2" w:rsidRPr="0018386D" w:rsidRDefault="008E2ED2" w:rsidP="00DD3106">
            <w:pPr>
              <w:pStyle w:val="TableText"/>
              <w:spacing w:before="30" w:after="30"/>
            </w:pPr>
            <w:r w:rsidRPr="0018386D">
              <w:t>0.106</w:t>
            </w:r>
          </w:p>
        </w:tc>
        <w:tc>
          <w:tcPr>
            <w:tcW w:w="1352" w:type="dxa"/>
            <w:shd w:val="clear" w:color="000000" w:fill="FFFFFF"/>
            <w:noWrap/>
            <w:hideMark/>
          </w:tcPr>
          <w:p w14:paraId="62127E13" w14:textId="06617E3C" w:rsidR="008E2ED2" w:rsidRPr="0018386D" w:rsidRDefault="008E2ED2" w:rsidP="00DD3106">
            <w:pPr>
              <w:pStyle w:val="TableText"/>
              <w:spacing w:before="30" w:after="30"/>
            </w:pPr>
            <w:r w:rsidRPr="0018386D">
              <w:t>0.00139</w:t>
            </w:r>
          </w:p>
        </w:tc>
        <w:tc>
          <w:tcPr>
            <w:tcW w:w="1352" w:type="dxa"/>
            <w:shd w:val="clear" w:color="000000" w:fill="FFFFFF"/>
            <w:noWrap/>
            <w:hideMark/>
          </w:tcPr>
          <w:p w14:paraId="7A7B9356" w14:textId="653480A3" w:rsidR="008E2ED2" w:rsidRPr="0018386D" w:rsidRDefault="008E2ED2" w:rsidP="00DD3106">
            <w:pPr>
              <w:pStyle w:val="TableText"/>
              <w:spacing w:before="30" w:after="30"/>
            </w:pPr>
            <w:r w:rsidRPr="0018386D">
              <w:t>0.00319</w:t>
            </w:r>
          </w:p>
        </w:tc>
      </w:tr>
      <w:tr w:rsidR="00537705" w:rsidRPr="0018386D" w14:paraId="58B4134C"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60517750" w14:textId="00576951" w:rsidR="008E2ED2" w:rsidRPr="0018386D" w:rsidRDefault="008E2ED2" w:rsidP="00DD3106">
            <w:pPr>
              <w:pStyle w:val="TableText"/>
              <w:spacing w:before="30" w:after="30"/>
            </w:pPr>
            <w:r w:rsidRPr="0018386D">
              <w:t xml:space="preserve">PHEV (Petrol) </w:t>
            </w:r>
            <w:r w:rsidR="006E7F61" w:rsidRPr="0018386D">
              <w:t>–</w:t>
            </w:r>
            <w:r w:rsidRPr="0018386D">
              <w:t xml:space="preserve"> Electricity consumption</w:t>
            </w:r>
          </w:p>
        </w:tc>
        <w:tc>
          <w:tcPr>
            <w:tcW w:w="1408" w:type="dxa"/>
            <w:tcBorders>
              <w:left w:val="single" w:sz="4" w:space="0" w:color="auto"/>
            </w:tcBorders>
            <w:shd w:val="clear" w:color="000000" w:fill="FFFFFF"/>
            <w:noWrap/>
            <w:hideMark/>
          </w:tcPr>
          <w:p w14:paraId="305B1F3D"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32CA4592"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14DBC6C9" w14:textId="4808741E" w:rsidR="008E2ED2" w:rsidRPr="0018386D" w:rsidRDefault="008E2ED2" w:rsidP="00DD3106">
            <w:pPr>
              <w:pStyle w:val="TableText"/>
              <w:spacing w:before="30" w:after="30"/>
            </w:pPr>
            <w:r w:rsidRPr="0018386D">
              <w:t>0.00736</w:t>
            </w:r>
          </w:p>
        </w:tc>
        <w:tc>
          <w:tcPr>
            <w:tcW w:w="1210" w:type="dxa"/>
            <w:shd w:val="clear" w:color="000000" w:fill="FFFFFF"/>
            <w:noWrap/>
            <w:hideMark/>
          </w:tcPr>
          <w:p w14:paraId="4E65D134" w14:textId="59DBE6B4" w:rsidR="008E2ED2" w:rsidRPr="0018386D" w:rsidRDefault="008E2ED2" w:rsidP="00DD3106">
            <w:pPr>
              <w:pStyle w:val="TableText"/>
              <w:spacing w:before="30" w:after="30"/>
            </w:pPr>
            <w:r w:rsidRPr="0018386D">
              <w:t>0.00716</w:t>
            </w:r>
          </w:p>
        </w:tc>
        <w:tc>
          <w:tcPr>
            <w:tcW w:w="1352" w:type="dxa"/>
            <w:shd w:val="clear" w:color="000000" w:fill="FFFFFF"/>
            <w:noWrap/>
            <w:hideMark/>
          </w:tcPr>
          <w:p w14:paraId="33179CF8" w14:textId="659F2036" w:rsidR="008E2ED2" w:rsidRPr="0018386D" w:rsidRDefault="008E2ED2" w:rsidP="00DD3106">
            <w:pPr>
              <w:pStyle w:val="TableText"/>
              <w:spacing w:before="30" w:after="30"/>
            </w:pPr>
            <w:r w:rsidRPr="0018386D">
              <w:t>0.0002</w:t>
            </w:r>
          </w:p>
        </w:tc>
        <w:tc>
          <w:tcPr>
            <w:tcW w:w="1352" w:type="dxa"/>
            <w:shd w:val="clear" w:color="000000" w:fill="FFFFFF"/>
            <w:noWrap/>
            <w:hideMark/>
          </w:tcPr>
          <w:p w14:paraId="2BEDB135" w14:textId="77777777" w:rsidR="008E2ED2" w:rsidRPr="0018386D" w:rsidRDefault="008E2ED2" w:rsidP="00DD3106">
            <w:pPr>
              <w:pStyle w:val="TableText"/>
              <w:spacing w:before="30" w:after="30"/>
            </w:pPr>
            <w:r w:rsidRPr="0018386D">
              <w:t>0.00002</w:t>
            </w:r>
          </w:p>
        </w:tc>
      </w:tr>
      <w:tr w:rsidR="00537705" w:rsidRPr="0018386D" w14:paraId="600D08A8" w14:textId="77777777" w:rsidTr="00575E53">
        <w:trPr>
          <w:divId w:val="1165633641"/>
        </w:trPr>
        <w:tc>
          <w:tcPr>
            <w:tcW w:w="1408" w:type="dxa"/>
            <w:tcBorders>
              <w:top w:val="nil"/>
              <w:bottom w:val="nil"/>
              <w:right w:val="single" w:sz="4" w:space="0" w:color="auto"/>
            </w:tcBorders>
            <w:shd w:val="clear" w:color="000000" w:fill="FFFFFF"/>
            <w:noWrap/>
            <w:hideMark/>
          </w:tcPr>
          <w:p w14:paraId="0F552AAC"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5152B6B7" w14:textId="3504052A"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6D386717"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27D7CAAD" w14:textId="7646EBFB" w:rsidR="008E2ED2" w:rsidRPr="0018386D" w:rsidRDefault="008E2ED2" w:rsidP="00DD3106">
            <w:pPr>
              <w:pStyle w:val="TableText"/>
              <w:spacing w:before="30" w:after="30"/>
            </w:pPr>
            <w:r w:rsidRPr="0018386D">
              <w:t>0.00762</w:t>
            </w:r>
          </w:p>
        </w:tc>
        <w:tc>
          <w:tcPr>
            <w:tcW w:w="1210" w:type="dxa"/>
            <w:shd w:val="clear" w:color="000000" w:fill="FFFFFF"/>
            <w:noWrap/>
            <w:hideMark/>
          </w:tcPr>
          <w:p w14:paraId="1C87294A" w14:textId="09C16457" w:rsidR="008E2ED2" w:rsidRPr="0018386D" w:rsidRDefault="008E2ED2" w:rsidP="00DD3106">
            <w:pPr>
              <w:pStyle w:val="TableText"/>
              <w:spacing w:before="30" w:after="30"/>
            </w:pPr>
            <w:r w:rsidRPr="0018386D">
              <w:t>0.00741</w:t>
            </w:r>
          </w:p>
        </w:tc>
        <w:tc>
          <w:tcPr>
            <w:tcW w:w="1352" w:type="dxa"/>
            <w:shd w:val="clear" w:color="000000" w:fill="FFFFFF"/>
            <w:noWrap/>
            <w:hideMark/>
          </w:tcPr>
          <w:p w14:paraId="0847B894" w14:textId="545C1F2F" w:rsidR="008E2ED2" w:rsidRPr="0018386D" w:rsidRDefault="008E2ED2" w:rsidP="00DD3106">
            <w:pPr>
              <w:pStyle w:val="TableText"/>
              <w:spacing w:before="30" w:after="30"/>
            </w:pPr>
            <w:r w:rsidRPr="0018386D">
              <w:t>0.0002</w:t>
            </w:r>
          </w:p>
        </w:tc>
        <w:tc>
          <w:tcPr>
            <w:tcW w:w="1352" w:type="dxa"/>
            <w:shd w:val="clear" w:color="000000" w:fill="FFFFFF"/>
            <w:noWrap/>
            <w:hideMark/>
          </w:tcPr>
          <w:p w14:paraId="4280BE30" w14:textId="77777777" w:rsidR="008E2ED2" w:rsidRPr="0018386D" w:rsidRDefault="008E2ED2" w:rsidP="00DD3106">
            <w:pPr>
              <w:pStyle w:val="TableText"/>
              <w:spacing w:before="30" w:after="30"/>
            </w:pPr>
            <w:r w:rsidRPr="0018386D">
              <w:t>0.00002</w:t>
            </w:r>
          </w:p>
        </w:tc>
      </w:tr>
      <w:tr w:rsidR="00537705" w:rsidRPr="0018386D" w14:paraId="550AB184" w14:textId="77777777" w:rsidTr="00575E53">
        <w:trPr>
          <w:divId w:val="1165633641"/>
        </w:trPr>
        <w:tc>
          <w:tcPr>
            <w:tcW w:w="1408" w:type="dxa"/>
            <w:tcBorders>
              <w:top w:val="nil"/>
              <w:bottom w:val="nil"/>
              <w:right w:val="single" w:sz="4" w:space="0" w:color="auto"/>
            </w:tcBorders>
            <w:shd w:val="clear" w:color="000000" w:fill="FFFFFF"/>
            <w:noWrap/>
            <w:hideMark/>
          </w:tcPr>
          <w:p w14:paraId="6F121156"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232FF732" w14:textId="4661E334"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022B02D3"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717FAF8" w14:textId="681C1377" w:rsidR="008E2ED2" w:rsidRPr="0018386D" w:rsidRDefault="008E2ED2" w:rsidP="00DD3106">
            <w:pPr>
              <w:pStyle w:val="TableText"/>
              <w:spacing w:before="30" w:after="30"/>
            </w:pPr>
            <w:r w:rsidRPr="0018386D">
              <w:t>0.00858</w:t>
            </w:r>
          </w:p>
        </w:tc>
        <w:tc>
          <w:tcPr>
            <w:tcW w:w="1210" w:type="dxa"/>
            <w:shd w:val="clear" w:color="000000" w:fill="FFFFFF"/>
            <w:noWrap/>
            <w:hideMark/>
          </w:tcPr>
          <w:p w14:paraId="7E03DD46" w14:textId="18239985" w:rsidR="008E2ED2" w:rsidRPr="0018386D" w:rsidRDefault="008E2ED2" w:rsidP="00DD3106">
            <w:pPr>
              <w:pStyle w:val="TableText"/>
              <w:spacing w:before="30" w:after="30"/>
            </w:pPr>
            <w:r w:rsidRPr="0018386D">
              <w:t>0.00834</w:t>
            </w:r>
          </w:p>
        </w:tc>
        <w:tc>
          <w:tcPr>
            <w:tcW w:w="1352" w:type="dxa"/>
            <w:shd w:val="clear" w:color="000000" w:fill="FFFFFF"/>
            <w:noWrap/>
            <w:hideMark/>
          </w:tcPr>
          <w:p w14:paraId="754CCDD2" w14:textId="31A5B1FA" w:rsidR="008E2ED2" w:rsidRPr="0018386D" w:rsidRDefault="008E2ED2" w:rsidP="00DD3106">
            <w:pPr>
              <w:pStyle w:val="TableText"/>
              <w:spacing w:before="30" w:after="30"/>
            </w:pPr>
            <w:r w:rsidRPr="0018386D">
              <w:t>0.0002</w:t>
            </w:r>
          </w:p>
        </w:tc>
        <w:tc>
          <w:tcPr>
            <w:tcW w:w="1352" w:type="dxa"/>
            <w:shd w:val="clear" w:color="000000" w:fill="FFFFFF"/>
            <w:noWrap/>
            <w:hideMark/>
          </w:tcPr>
          <w:p w14:paraId="1E80FA2F" w14:textId="77777777" w:rsidR="008E2ED2" w:rsidRPr="0018386D" w:rsidRDefault="008E2ED2" w:rsidP="00DD3106">
            <w:pPr>
              <w:pStyle w:val="TableText"/>
              <w:spacing w:before="30" w:after="30"/>
            </w:pPr>
            <w:r w:rsidRPr="0018386D">
              <w:t>0.00002</w:t>
            </w:r>
          </w:p>
        </w:tc>
      </w:tr>
      <w:tr w:rsidR="00537705" w:rsidRPr="0018386D" w14:paraId="07569C26" w14:textId="77777777" w:rsidTr="00575E53">
        <w:trPr>
          <w:divId w:val="1165633641"/>
        </w:trPr>
        <w:tc>
          <w:tcPr>
            <w:tcW w:w="1408" w:type="dxa"/>
            <w:tcBorders>
              <w:top w:val="nil"/>
              <w:bottom w:val="nil"/>
              <w:right w:val="single" w:sz="4" w:space="0" w:color="auto"/>
            </w:tcBorders>
            <w:shd w:val="clear" w:color="000000" w:fill="FFFFFF"/>
            <w:noWrap/>
            <w:hideMark/>
          </w:tcPr>
          <w:p w14:paraId="164909FE"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0B11247A" w14:textId="52E9C45E"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2BB10F93"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2AF372B" w14:textId="5E4FD71B" w:rsidR="008E2ED2" w:rsidRPr="0018386D" w:rsidRDefault="008E2ED2" w:rsidP="00DD3106">
            <w:pPr>
              <w:pStyle w:val="TableText"/>
              <w:spacing w:before="30" w:after="30"/>
            </w:pPr>
            <w:r w:rsidRPr="0018386D">
              <w:t>0.00953</w:t>
            </w:r>
          </w:p>
        </w:tc>
        <w:tc>
          <w:tcPr>
            <w:tcW w:w="1210" w:type="dxa"/>
            <w:shd w:val="clear" w:color="000000" w:fill="FFFFFF"/>
            <w:noWrap/>
            <w:hideMark/>
          </w:tcPr>
          <w:p w14:paraId="56E4525F" w14:textId="5E018050" w:rsidR="008E2ED2" w:rsidRPr="0018386D" w:rsidRDefault="008E2ED2" w:rsidP="00DD3106">
            <w:pPr>
              <w:pStyle w:val="TableText"/>
              <w:spacing w:before="30" w:after="30"/>
            </w:pPr>
            <w:r w:rsidRPr="0018386D">
              <w:t>0.00926</w:t>
            </w:r>
          </w:p>
        </w:tc>
        <w:tc>
          <w:tcPr>
            <w:tcW w:w="1352" w:type="dxa"/>
            <w:shd w:val="clear" w:color="000000" w:fill="FFFFFF"/>
            <w:noWrap/>
            <w:hideMark/>
          </w:tcPr>
          <w:p w14:paraId="1038F9FB" w14:textId="11E53CB5" w:rsidR="008E2ED2" w:rsidRPr="0018386D" w:rsidRDefault="008E2ED2" w:rsidP="00DD3106">
            <w:pPr>
              <w:pStyle w:val="TableText"/>
              <w:spacing w:before="30" w:after="30"/>
            </w:pPr>
            <w:r w:rsidRPr="0018386D">
              <w:t>0.0002</w:t>
            </w:r>
          </w:p>
        </w:tc>
        <w:tc>
          <w:tcPr>
            <w:tcW w:w="1352" w:type="dxa"/>
            <w:shd w:val="clear" w:color="000000" w:fill="FFFFFF"/>
            <w:noWrap/>
            <w:hideMark/>
          </w:tcPr>
          <w:p w14:paraId="74DAC223" w14:textId="725AD2C1" w:rsidR="008E2ED2" w:rsidRPr="0018386D" w:rsidRDefault="008E2ED2" w:rsidP="00DD3106">
            <w:pPr>
              <w:pStyle w:val="TableText"/>
              <w:spacing w:before="30" w:after="30"/>
            </w:pPr>
            <w:r w:rsidRPr="0018386D">
              <w:t>0.00002</w:t>
            </w:r>
          </w:p>
        </w:tc>
      </w:tr>
      <w:tr w:rsidR="00537705" w:rsidRPr="0018386D" w14:paraId="360552C6"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20B112C8"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442A463E"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24D58C38"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2F711610" w14:textId="215433C5" w:rsidR="008E2ED2" w:rsidRPr="0018386D" w:rsidRDefault="008E2ED2" w:rsidP="00DD3106">
            <w:pPr>
              <w:pStyle w:val="TableText"/>
              <w:spacing w:before="30" w:after="30"/>
            </w:pPr>
            <w:r w:rsidRPr="0018386D">
              <w:t>0.0114</w:t>
            </w:r>
          </w:p>
        </w:tc>
        <w:tc>
          <w:tcPr>
            <w:tcW w:w="1210" w:type="dxa"/>
            <w:shd w:val="clear" w:color="000000" w:fill="FFFFFF"/>
            <w:noWrap/>
            <w:hideMark/>
          </w:tcPr>
          <w:p w14:paraId="206835DC" w14:textId="2324CF10" w:rsidR="008E2ED2" w:rsidRPr="0018386D" w:rsidRDefault="008E2ED2" w:rsidP="00DD3106">
            <w:pPr>
              <w:pStyle w:val="TableText"/>
              <w:spacing w:before="30" w:after="30"/>
            </w:pPr>
            <w:r w:rsidRPr="0018386D">
              <w:t>0.0111</w:t>
            </w:r>
          </w:p>
        </w:tc>
        <w:tc>
          <w:tcPr>
            <w:tcW w:w="1352" w:type="dxa"/>
            <w:shd w:val="clear" w:color="000000" w:fill="FFFFFF"/>
            <w:noWrap/>
            <w:hideMark/>
          </w:tcPr>
          <w:p w14:paraId="58E70ECA" w14:textId="647EF37B" w:rsidR="008E2ED2" w:rsidRPr="0018386D" w:rsidRDefault="008E2ED2" w:rsidP="00DD3106">
            <w:pPr>
              <w:pStyle w:val="TableText"/>
              <w:spacing w:before="30" w:after="30"/>
            </w:pPr>
            <w:r w:rsidRPr="0018386D">
              <w:t>0.0003</w:t>
            </w:r>
          </w:p>
        </w:tc>
        <w:tc>
          <w:tcPr>
            <w:tcW w:w="1352" w:type="dxa"/>
            <w:shd w:val="clear" w:color="000000" w:fill="FFFFFF"/>
            <w:noWrap/>
            <w:hideMark/>
          </w:tcPr>
          <w:p w14:paraId="332F3B5E" w14:textId="0CE7E3D0" w:rsidR="008E2ED2" w:rsidRPr="0018386D" w:rsidRDefault="008E2ED2" w:rsidP="00DD3106">
            <w:pPr>
              <w:pStyle w:val="TableText"/>
              <w:spacing w:before="30" w:after="30"/>
            </w:pPr>
            <w:r w:rsidRPr="0018386D">
              <w:t>0.00002</w:t>
            </w:r>
          </w:p>
        </w:tc>
      </w:tr>
      <w:tr w:rsidR="00537705" w:rsidRPr="0018386D" w14:paraId="155FA87F"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054556AB" w14:textId="64E3AFDC" w:rsidR="008E2ED2" w:rsidRPr="0018386D" w:rsidRDefault="008E2ED2" w:rsidP="00DD3106">
            <w:pPr>
              <w:pStyle w:val="TableText"/>
              <w:spacing w:before="30" w:after="30"/>
            </w:pPr>
            <w:r w:rsidRPr="0018386D">
              <w:t xml:space="preserve">PHEV (Diesel) </w:t>
            </w:r>
            <w:r w:rsidR="006E7F61" w:rsidRPr="0018386D">
              <w:t>–</w:t>
            </w:r>
            <w:r w:rsidRPr="0018386D">
              <w:t xml:space="preserve"> Diesel consumption</w:t>
            </w:r>
          </w:p>
        </w:tc>
        <w:tc>
          <w:tcPr>
            <w:tcW w:w="1408" w:type="dxa"/>
            <w:tcBorders>
              <w:left w:val="single" w:sz="4" w:space="0" w:color="auto"/>
            </w:tcBorders>
            <w:shd w:val="clear" w:color="000000" w:fill="FFFFFF"/>
            <w:noWrap/>
            <w:hideMark/>
          </w:tcPr>
          <w:p w14:paraId="501A7E57"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236DAD7E"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1A5851A" w14:textId="0DDE6F54" w:rsidR="008E2ED2" w:rsidRPr="0018386D" w:rsidRDefault="008E2ED2" w:rsidP="00DD3106">
            <w:pPr>
              <w:pStyle w:val="TableText"/>
              <w:spacing w:before="30" w:after="30"/>
            </w:pPr>
            <w:r w:rsidRPr="0018386D">
              <w:t>0.0890</w:t>
            </w:r>
          </w:p>
        </w:tc>
        <w:tc>
          <w:tcPr>
            <w:tcW w:w="1210" w:type="dxa"/>
            <w:shd w:val="clear" w:color="000000" w:fill="FFFFFF"/>
            <w:noWrap/>
            <w:hideMark/>
          </w:tcPr>
          <w:p w14:paraId="05F0177B" w14:textId="2961AC47" w:rsidR="008E2ED2" w:rsidRPr="0018386D" w:rsidRDefault="008E2ED2" w:rsidP="00DD3106">
            <w:pPr>
              <w:pStyle w:val="TableText"/>
              <w:spacing w:before="30" w:after="30"/>
            </w:pPr>
            <w:r w:rsidRPr="0018386D">
              <w:t>0.0876</w:t>
            </w:r>
          </w:p>
        </w:tc>
        <w:tc>
          <w:tcPr>
            <w:tcW w:w="1352" w:type="dxa"/>
            <w:shd w:val="clear" w:color="000000" w:fill="FFFFFF"/>
            <w:noWrap/>
            <w:hideMark/>
          </w:tcPr>
          <w:p w14:paraId="66C185C6" w14:textId="77777777" w:rsidR="008E2ED2" w:rsidRPr="0018386D" w:rsidRDefault="008E2ED2" w:rsidP="00DD3106">
            <w:pPr>
              <w:pStyle w:val="TableText"/>
              <w:spacing w:before="30" w:after="30"/>
            </w:pPr>
            <w:r w:rsidRPr="0018386D">
              <w:t>0.0001</w:t>
            </w:r>
          </w:p>
        </w:tc>
        <w:tc>
          <w:tcPr>
            <w:tcW w:w="1352" w:type="dxa"/>
            <w:shd w:val="clear" w:color="000000" w:fill="FFFFFF"/>
            <w:noWrap/>
            <w:hideMark/>
          </w:tcPr>
          <w:p w14:paraId="2935F0B2" w14:textId="231AF391" w:rsidR="008E2ED2" w:rsidRPr="0018386D" w:rsidRDefault="008E2ED2" w:rsidP="00DD3106">
            <w:pPr>
              <w:pStyle w:val="TableText"/>
              <w:spacing w:before="30" w:after="30"/>
            </w:pPr>
            <w:r w:rsidRPr="0018386D">
              <w:t>0.00124</w:t>
            </w:r>
          </w:p>
        </w:tc>
      </w:tr>
      <w:tr w:rsidR="00537705" w:rsidRPr="0018386D" w14:paraId="6736875B" w14:textId="77777777" w:rsidTr="00575E53">
        <w:trPr>
          <w:divId w:val="1165633641"/>
        </w:trPr>
        <w:tc>
          <w:tcPr>
            <w:tcW w:w="1408" w:type="dxa"/>
            <w:tcBorders>
              <w:top w:val="nil"/>
              <w:bottom w:val="nil"/>
              <w:right w:val="single" w:sz="4" w:space="0" w:color="auto"/>
            </w:tcBorders>
            <w:shd w:val="clear" w:color="000000" w:fill="FFFFFF"/>
            <w:noWrap/>
            <w:hideMark/>
          </w:tcPr>
          <w:p w14:paraId="11CFBCB9"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6987BB9A" w14:textId="55E5A5ED"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1734FE35"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6708E303" w14:textId="661B4B57" w:rsidR="008E2ED2" w:rsidRPr="0018386D" w:rsidRDefault="008E2ED2" w:rsidP="00DD3106">
            <w:pPr>
              <w:pStyle w:val="TableText"/>
              <w:spacing w:before="30" w:after="30"/>
            </w:pPr>
            <w:r w:rsidRPr="0018386D">
              <w:t>0.0856</w:t>
            </w:r>
          </w:p>
        </w:tc>
        <w:tc>
          <w:tcPr>
            <w:tcW w:w="1210" w:type="dxa"/>
            <w:shd w:val="clear" w:color="000000" w:fill="FFFFFF"/>
            <w:noWrap/>
            <w:hideMark/>
          </w:tcPr>
          <w:p w14:paraId="5AF9C6ED" w14:textId="40262511" w:rsidR="008E2ED2" w:rsidRPr="0018386D" w:rsidRDefault="008E2ED2" w:rsidP="00DD3106">
            <w:pPr>
              <w:pStyle w:val="TableText"/>
              <w:spacing w:before="30" w:after="30"/>
            </w:pPr>
            <w:r w:rsidRPr="0018386D">
              <w:t>0.0843</w:t>
            </w:r>
          </w:p>
        </w:tc>
        <w:tc>
          <w:tcPr>
            <w:tcW w:w="1352" w:type="dxa"/>
            <w:shd w:val="clear" w:color="000000" w:fill="FFFFFF"/>
            <w:noWrap/>
            <w:hideMark/>
          </w:tcPr>
          <w:p w14:paraId="3B514DF6" w14:textId="77777777" w:rsidR="008E2ED2" w:rsidRPr="0018386D" w:rsidRDefault="008E2ED2" w:rsidP="00DD3106">
            <w:pPr>
              <w:pStyle w:val="TableText"/>
              <w:spacing w:before="30" w:after="30"/>
            </w:pPr>
            <w:r w:rsidRPr="0018386D">
              <w:t>0.0001</w:t>
            </w:r>
          </w:p>
        </w:tc>
        <w:tc>
          <w:tcPr>
            <w:tcW w:w="1352" w:type="dxa"/>
            <w:shd w:val="clear" w:color="000000" w:fill="FFFFFF"/>
            <w:noWrap/>
            <w:hideMark/>
          </w:tcPr>
          <w:p w14:paraId="3928A45E" w14:textId="1268DC90" w:rsidR="008E2ED2" w:rsidRPr="0018386D" w:rsidRDefault="008E2ED2" w:rsidP="00DD3106">
            <w:pPr>
              <w:pStyle w:val="TableText"/>
              <w:spacing w:before="30" w:after="30"/>
            </w:pPr>
            <w:r w:rsidRPr="0018386D">
              <w:t>0.00119</w:t>
            </w:r>
          </w:p>
        </w:tc>
      </w:tr>
      <w:tr w:rsidR="00537705" w:rsidRPr="0018386D" w14:paraId="2B9B7ACF" w14:textId="77777777" w:rsidTr="00575E53">
        <w:trPr>
          <w:divId w:val="1165633641"/>
        </w:trPr>
        <w:tc>
          <w:tcPr>
            <w:tcW w:w="1408" w:type="dxa"/>
            <w:tcBorders>
              <w:top w:val="nil"/>
              <w:bottom w:val="nil"/>
              <w:right w:val="single" w:sz="4" w:space="0" w:color="auto"/>
            </w:tcBorders>
            <w:shd w:val="clear" w:color="000000" w:fill="FFFFFF"/>
            <w:noWrap/>
            <w:hideMark/>
          </w:tcPr>
          <w:p w14:paraId="31F3ACC3"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6C379499" w14:textId="1139EEED"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2B4C90AB"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3356B6EE" w14:textId="768FBDAE" w:rsidR="008E2ED2" w:rsidRPr="0018386D" w:rsidRDefault="008E2ED2" w:rsidP="00DD3106">
            <w:pPr>
              <w:pStyle w:val="TableText"/>
              <w:spacing w:before="30" w:after="30"/>
            </w:pPr>
            <w:r w:rsidRPr="0018386D">
              <w:t>0.0908</w:t>
            </w:r>
          </w:p>
        </w:tc>
        <w:tc>
          <w:tcPr>
            <w:tcW w:w="1210" w:type="dxa"/>
            <w:shd w:val="clear" w:color="000000" w:fill="FFFFFF"/>
            <w:noWrap/>
            <w:hideMark/>
          </w:tcPr>
          <w:p w14:paraId="20B494E4" w14:textId="036CB646" w:rsidR="008E2ED2" w:rsidRPr="0018386D" w:rsidRDefault="008E2ED2" w:rsidP="00DD3106">
            <w:pPr>
              <w:pStyle w:val="TableText"/>
              <w:spacing w:before="30" w:after="30"/>
            </w:pPr>
            <w:r w:rsidRPr="0018386D">
              <w:t>0.0894</w:t>
            </w:r>
          </w:p>
        </w:tc>
        <w:tc>
          <w:tcPr>
            <w:tcW w:w="1352" w:type="dxa"/>
            <w:shd w:val="clear" w:color="000000" w:fill="FFFFFF"/>
            <w:noWrap/>
            <w:hideMark/>
          </w:tcPr>
          <w:p w14:paraId="4AC0ACCB" w14:textId="77777777" w:rsidR="008E2ED2" w:rsidRPr="0018386D" w:rsidRDefault="008E2ED2" w:rsidP="00DD3106">
            <w:pPr>
              <w:pStyle w:val="TableText"/>
              <w:spacing w:before="30" w:after="30"/>
            </w:pPr>
            <w:r w:rsidRPr="0018386D">
              <w:t>0.0001</w:t>
            </w:r>
          </w:p>
        </w:tc>
        <w:tc>
          <w:tcPr>
            <w:tcW w:w="1352" w:type="dxa"/>
            <w:shd w:val="clear" w:color="000000" w:fill="FFFFFF"/>
            <w:noWrap/>
            <w:hideMark/>
          </w:tcPr>
          <w:p w14:paraId="5CB1C9E7" w14:textId="7C994ADB" w:rsidR="008E2ED2" w:rsidRPr="0018386D" w:rsidRDefault="008E2ED2" w:rsidP="00DD3106">
            <w:pPr>
              <w:pStyle w:val="TableText"/>
              <w:spacing w:before="30" w:after="30"/>
            </w:pPr>
            <w:r w:rsidRPr="0018386D">
              <w:t>0.00126</w:t>
            </w:r>
          </w:p>
        </w:tc>
      </w:tr>
      <w:tr w:rsidR="00537705" w:rsidRPr="0018386D" w14:paraId="701A93B0" w14:textId="77777777" w:rsidTr="00575E53">
        <w:trPr>
          <w:divId w:val="1165633641"/>
        </w:trPr>
        <w:tc>
          <w:tcPr>
            <w:tcW w:w="1408" w:type="dxa"/>
            <w:tcBorders>
              <w:top w:val="nil"/>
              <w:bottom w:val="nil"/>
              <w:right w:val="single" w:sz="4" w:space="0" w:color="auto"/>
            </w:tcBorders>
            <w:shd w:val="clear" w:color="000000" w:fill="FFFFFF"/>
            <w:noWrap/>
            <w:hideMark/>
          </w:tcPr>
          <w:p w14:paraId="06C33384"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099BFA0A" w14:textId="7DB272EE"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3FD4161E"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661577D" w14:textId="41F01B2F" w:rsidR="008E2ED2" w:rsidRPr="0018386D" w:rsidRDefault="008E2ED2" w:rsidP="00DD3106">
            <w:pPr>
              <w:pStyle w:val="TableText"/>
              <w:spacing w:before="30" w:after="30"/>
            </w:pPr>
            <w:r w:rsidRPr="0018386D">
              <w:t>0.112</w:t>
            </w:r>
          </w:p>
        </w:tc>
        <w:tc>
          <w:tcPr>
            <w:tcW w:w="1210" w:type="dxa"/>
            <w:shd w:val="clear" w:color="000000" w:fill="FFFFFF"/>
            <w:noWrap/>
            <w:hideMark/>
          </w:tcPr>
          <w:p w14:paraId="1F66210B" w14:textId="334FA454" w:rsidR="008E2ED2" w:rsidRPr="0018386D" w:rsidRDefault="008E2ED2" w:rsidP="00DD3106">
            <w:pPr>
              <w:pStyle w:val="TableText"/>
              <w:spacing w:before="30" w:after="30"/>
            </w:pPr>
            <w:r w:rsidRPr="0018386D">
              <w:t>0.110</w:t>
            </w:r>
          </w:p>
        </w:tc>
        <w:tc>
          <w:tcPr>
            <w:tcW w:w="1352" w:type="dxa"/>
            <w:shd w:val="clear" w:color="000000" w:fill="FFFFFF"/>
            <w:noWrap/>
            <w:hideMark/>
          </w:tcPr>
          <w:p w14:paraId="2C0E532D" w14:textId="77777777" w:rsidR="008E2ED2" w:rsidRPr="0018386D" w:rsidRDefault="008E2ED2" w:rsidP="00DD3106">
            <w:pPr>
              <w:pStyle w:val="TableText"/>
              <w:spacing w:before="30" w:after="30"/>
            </w:pPr>
            <w:r w:rsidRPr="0018386D">
              <w:t>0.0002</w:t>
            </w:r>
          </w:p>
        </w:tc>
        <w:tc>
          <w:tcPr>
            <w:tcW w:w="1352" w:type="dxa"/>
            <w:shd w:val="clear" w:color="000000" w:fill="FFFFFF"/>
            <w:noWrap/>
            <w:hideMark/>
          </w:tcPr>
          <w:p w14:paraId="3C99B752" w14:textId="11600495" w:rsidR="008E2ED2" w:rsidRPr="0018386D" w:rsidRDefault="008E2ED2" w:rsidP="00DD3106">
            <w:pPr>
              <w:pStyle w:val="TableText"/>
              <w:spacing w:before="30" w:after="30"/>
            </w:pPr>
            <w:r w:rsidRPr="0018386D">
              <w:t>0.00155</w:t>
            </w:r>
          </w:p>
        </w:tc>
      </w:tr>
      <w:tr w:rsidR="00537705" w:rsidRPr="0018386D" w14:paraId="249E5132"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46A0AB0B"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1CCE9240"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3BCD5F24"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50C7C344" w14:textId="2B9C8858" w:rsidR="008E2ED2" w:rsidRPr="0018386D" w:rsidRDefault="008E2ED2" w:rsidP="00DD3106">
            <w:pPr>
              <w:pStyle w:val="TableText"/>
              <w:spacing w:before="30" w:after="30"/>
            </w:pPr>
            <w:r w:rsidRPr="0018386D">
              <w:t>0.124</w:t>
            </w:r>
          </w:p>
        </w:tc>
        <w:tc>
          <w:tcPr>
            <w:tcW w:w="1210" w:type="dxa"/>
            <w:shd w:val="clear" w:color="000000" w:fill="FFFFFF"/>
            <w:noWrap/>
            <w:hideMark/>
          </w:tcPr>
          <w:p w14:paraId="1A9AE3B8" w14:textId="2F2764FF" w:rsidR="008E2ED2" w:rsidRPr="0018386D" w:rsidRDefault="008E2ED2" w:rsidP="00DD3106">
            <w:pPr>
              <w:pStyle w:val="TableText"/>
              <w:spacing w:before="30" w:after="30"/>
            </w:pPr>
            <w:r w:rsidRPr="0018386D">
              <w:t>0.122</w:t>
            </w:r>
          </w:p>
        </w:tc>
        <w:tc>
          <w:tcPr>
            <w:tcW w:w="1352" w:type="dxa"/>
            <w:shd w:val="clear" w:color="000000" w:fill="FFFFFF"/>
            <w:noWrap/>
            <w:hideMark/>
          </w:tcPr>
          <w:p w14:paraId="431EBF6B" w14:textId="77777777" w:rsidR="008E2ED2" w:rsidRPr="0018386D" w:rsidRDefault="008E2ED2" w:rsidP="00DD3106">
            <w:pPr>
              <w:pStyle w:val="TableText"/>
              <w:spacing w:before="30" w:after="30"/>
            </w:pPr>
            <w:r w:rsidRPr="0018386D">
              <w:t>0.0002</w:t>
            </w:r>
          </w:p>
        </w:tc>
        <w:tc>
          <w:tcPr>
            <w:tcW w:w="1352" w:type="dxa"/>
            <w:shd w:val="clear" w:color="000000" w:fill="FFFFFF"/>
            <w:noWrap/>
            <w:hideMark/>
          </w:tcPr>
          <w:p w14:paraId="0DA240D8" w14:textId="155A59FD" w:rsidR="008E2ED2" w:rsidRPr="0018386D" w:rsidRDefault="008E2ED2" w:rsidP="00DD3106">
            <w:pPr>
              <w:pStyle w:val="TableText"/>
              <w:spacing w:before="30" w:after="30"/>
            </w:pPr>
            <w:r w:rsidRPr="0018386D">
              <w:t>0.00172</w:t>
            </w:r>
          </w:p>
        </w:tc>
      </w:tr>
      <w:tr w:rsidR="00537705" w:rsidRPr="0018386D" w14:paraId="658DD3EB"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689DC3E1" w14:textId="607F99F8" w:rsidR="008E2ED2" w:rsidRPr="0018386D" w:rsidRDefault="008E2ED2" w:rsidP="00DD3106">
            <w:pPr>
              <w:pStyle w:val="TableText"/>
              <w:spacing w:before="30" w:after="30"/>
            </w:pPr>
            <w:r w:rsidRPr="0018386D">
              <w:t xml:space="preserve">PHEV (Diesel) </w:t>
            </w:r>
            <w:r w:rsidR="006E7F61" w:rsidRPr="0018386D">
              <w:t>–</w:t>
            </w:r>
            <w:r w:rsidRPr="0018386D">
              <w:t xml:space="preserve"> Electricity consumption</w:t>
            </w:r>
          </w:p>
        </w:tc>
        <w:tc>
          <w:tcPr>
            <w:tcW w:w="1408" w:type="dxa"/>
            <w:tcBorders>
              <w:left w:val="single" w:sz="4" w:space="0" w:color="auto"/>
            </w:tcBorders>
            <w:shd w:val="clear" w:color="000000" w:fill="FFFFFF"/>
            <w:noWrap/>
            <w:hideMark/>
          </w:tcPr>
          <w:p w14:paraId="07706AFB" w14:textId="77777777"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7EC4C34C"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5D852994" w14:textId="09D7A4A5" w:rsidR="008E2ED2" w:rsidRPr="0018386D" w:rsidRDefault="008E2ED2" w:rsidP="00DD3106">
            <w:pPr>
              <w:pStyle w:val="TableText"/>
              <w:spacing w:before="30" w:after="30"/>
            </w:pPr>
            <w:r w:rsidRPr="0018386D">
              <w:t>0.00803</w:t>
            </w:r>
          </w:p>
        </w:tc>
        <w:tc>
          <w:tcPr>
            <w:tcW w:w="1210" w:type="dxa"/>
            <w:shd w:val="clear" w:color="000000" w:fill="FFFFFF"/>
            <w:noWrap/>
            <w:hideMark/>
          </w:tcPr>
          <w:p w14:paraId="5898ED0E" w14:textId="4F52E289" w:rsidR="008E2ED2" w:rsidRPr="0018386D" w:rsidRDefault="008E2ED2" w:rsidP="00DD3106">
            <w:pPr>
              <w:pStyle w:val="TableText"/>
              <w:spacing w:before="30" w:after="30"/>
            </w:pPr>
            <w:r w:rsidRPr="0018386D">
              <w:t>0.00780</w:t>
            </w:r>
          </w:p>
        </w:tc>
        <w:tc>
          <w:tcPr>
            <w:tcW w:w="1352" w:type="dxa"/>
            <w:shd w:val="clear" w:color="000000" w:fill="FFFFFF"/>
            <w:noWrap/>
            <w:hideMark/>
          </w:tcPr>
          <w:p w14:paraId="7DCB0733" w14:textId="02473975" w:rsidR="008E2ED2" w:rsidRPr="0018386D" w:rsidRDefault="008E2ED2" w:rsidP="00DD3106">
            <w:pPr>
              <w:pStyle w:val="TableText"/>
              <w:spacing w:before="30" w:after="30"/>
            </w:pPr>
            <w:r w:rsidRPr="0018386D">
              <w:t>0.0002</w:t>
            </w:r>
          </w:p>
        </w:tc>
        <w:tc>
          <w:tcPr>
            <w:tcW w:w="1352" w:type="dxa"/>
            <w:shd w:val="clear" w:color="000000" w:fill="FFFFFF"/>
            <w:noWrap/>
            <w:hideMark/>
          </w:tcPr>
          <w:p w14:paraId="70E03CEA" w14:textId="77777777" w:rsidR="008E2ED2" w:rsidRPr="0018386D" w:rsidRDefault="008E2ED2" w:rsidP="00DD3106">
            <w:pPr>
              <w:pStyle w:val="TableText"/>
              <w:spacing w:before="30" w:after="30"/>
            </w:pPr>
            <w:r w:rsidRPr="0018386D">
              <w:t>0.00002</w:t>
            </w:r>
          </w:p>
        </w:tc>
      </w:tr>
      <w:tr w:rsidR="00537705" w:rsidRPr="0018386D" w14:paraId="755FA8BE" w14:textId="77777777" w:rsidTr="00575E53">
        <w:trPr>
          <w:divId w:val="1165633641"/>
        </w:trPr>
        <w:tc>
          <w:tcPr>
            <w:tcW w:w="1408" w:type="dxa"/>
            <w:tcBorders>
              <w:top w:val="nil"/>
              <w:bottom w:val="nil"/>
              <w:right w:val="single" w:sz="4" w:space="0" w:color="auto"/>
            </w:tcBorders>
            <w:shd w:val="clear" w:color="000000" w:fill="FFFFFF"/>
            <w:noWrap/>
            <w:hideMark/>
          </w:tcPr>
          <w:p w14:paraId="0D07C267"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7DB9AFB3" w14:textId="5A71A204"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57964E67"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3C4AA04E" w14:textId="54616590" w:rsidR="008E2ED2" w:rsidRPr="0018386D" w:rsidRDefault="008E2ED2" w:rsidP="00DD3106">
            <w:pPr>
              <w:pStyle w:val="TableText"/>
              <w:spacing w:before="30" w:after="30"/>
            </w:pPr>
            <w:r w:rsidRPr="0018386D">
              <w:t>0.00771</w:t>
            </w:r>
          </w:p>
        </w:tc>
        <w:tc>
          <w:tcPr>
            <w:tcW w:w="1210" w:type="dxa"/>
            <w:shd w:val="clear" w:color="000000" w:fill="FFFFFF"/>
            <w:noWrap/>
            <w:hideMark/>
          </w:tcPr>
          <w:p w14:paraId="15F4B6D7" w14:textId="3782248C" w:rsidR="008E2ED2" w:rsidRPr="0018386D" w:rsidRDefault="008E2ED2" w:rsidP="00DD3106">
            <w:pPr>
              <w:pStyle w:val="TableText"/>
              <w:spacing w:before="30" w:after="30"/>
            </w:pPr>
            <w:r w:rsidRPr="0018386D">
              <w:t>0.00750</w:t>
            </w:r>
          </w:p>
        </w:tc>
        <w:tc>
          <w:tcPr>
            <w:tcW w:w="1352" w:type="dxa"/>
            <w:shd w:val="clear" w:color="000000" w:fill="FFFFFF"/>
            <w:noWrap/>
            <w:hideMark/>
          </w:tcPr>
          <w:p w14:paraId="68171C29" w14:textId="00E595A0" w:rsidR="008E2ED2" w:rsidRPr="0018386D" w:rsidRDefault="008E2ED2" w:rsidP="00DD3106">
            <w:pPr>
              <w:pStyle w:val="TableText"/>
              <w:spacing w:before="30" w:after="30"/>
            </w:pPr>
            <w:r w:rsidRPr="0018386D">
              <w:t>0.0002</w:t>
            </w:r>
          </w:p>
        </w:tc>
        <w:tc>
          <w:tcPr>
            <w:tcW w:w="1352" w:type="dxa"/>
            <w:shd w:val="clear" w:color="000000" w:fill="FFFFFF"/>
            <w:noWrap/>
            <w:hideMark/>
          </w:tcPr>
          <w:p w14:paraId="59A04ABA" w14:textId="77777777" w:rsidR="008E2ED2" w:rsidRPr="0018386D" w:rsidRDefault="008E2ED2" w:rsidP="00DD3106">
            <w:pPr>
              <w:pStyle w:val="TableText"/>
              <w:spacing w:before="30" w:after="30"/>
            </w:pPr>
            <w:r w:rsidRPr="0018386D">
              <w:t>0.00002</w:t>
            </w:r>
          </w:p>
        </w:tc>
      </w:tr>
      <w:tr w:rsidR="00537705" w:rsidRPr="0018386D" w14:paraId="63F30B8C" w14:textId="77777777" w:rsidTr="00575E53">
        <w:trPr>
          <w:divId w:val="1165633641"/>
        </w:trPr>
        <w:tc>
          <w:tcPr>
            <w:tcW w:w="1408" w:type="dxa"/>
            <w:tcBorders>
              <w:top w:val="nil"/>
              <w:bottom w:val="nil"/>
              <w:right w:val="single" w:sz="4" w:space="0" w:color="auto"/>
            </w:tcBorders>
            <w:shd w:val="clear" w:color="000000" w:fill="FFFFFF"/>
            <w:noWrap/>
            <w:hideMark/>
          </w:tcPr>
          <w:p w14:paraId="71D985CB"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40EEB7DB" w14:textId="49B5011B"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211010D2"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00620DFA" w14:textId="3FF84CE0" w:rsidR="008E2ED2" w:rsidRPr="0018386D" w:rsidRDefault="008E2ED2" w:rsidP="00DD3106">
            <w:pPr>
              <w:pStyle w:val="TableText"/>
              <w:spacing w:before="30" w:after="30"/>
            </w:pPr>
            <w:r w:rsidRPr="0018386D">
              <w:t>0.00845</w:t>
            </w:r>
          </w:p>
        </w:tc>
        <w:tc>
          <w:tcPr>
            <w:tcW w:w="1210" w:type="dxa"/>
            <w:shd w:val="clear" w:color="000000" w:fill="FFFFFF"/>
            <w:noWrap/>
            <w:hideMark/>
          </w:tcPr>
          <w:p w14:paraId="4CBEE073" w14:textId="19E9DCED" w:rsidR="008E2ED2" w:rsidRPr="0018386D" w:rsidRDefault="008E2ED2" w:rsidP="00DD3106">
            <w:pPr>
              <w:pStyle w:val="TableText"/>
              <w:spacing w:before="30" w:after="30"/>
            </w:pPr>
            <w:r w:rsidRPr="0018386D">
              <w:t>0.00821</w:t>
            </w:r>
          </w:p>
        </w:tc>
        <w:tc>
          <w:tcPr>
            <w:tcW w:w="1352" w:type="dxa"/>
            <w:shd w:val="clear" w:color="000000" w:fill="FFFFFF"/>
            <w:noWrap/>
            <w:hideMark/>
          </w:tcPr>
          <w:p w14:paraId="51B57132" w14:textId="4A7851F1" w:rsidR="008E2ED2" w:rsidRPr="0018386D" w:rsidRDefault="008E2ED2" w:rsidP="00DD3106">
            <w:pPr>
              <w:pStyle w:val="TableText"/>
              <w:spacing w:before="30" w:after="30"/>
            </w:pPr>
            <w:r w:rsidRPr="0018386D">
              <w:t>0.0002</w:t>
            </w:r>
          </w:p>
        </w:tc>
        <w:tc>
          <w:tcPr>
            <w:tcW w:w="1352" w:type="dxa"/>
            <w:shd w:val="clear" w:color="000000" w:fill="FFFFFF"/>
            <w:noWrap/>
            <w:hideMark/>
          </w:tcPr>
          <w:p w14:paraId="38C47616" w14:textId="77777777" w:rsidR="008E2ED2" w:rsidRPr="0018386D" w:rsidRDefault="008E2ED2" w:rsidP="00DD3106">
            <w:pPr>
              <w:pStyle w:val="TableText"/>
              <w:spacing w:before="30" w:after="30"/>
            </w:pPr>
            <w:r w:rsidRPr="0018386D">
              <w:t>0.00002</w:t>
            </w:r>
          </w:p>
        </w:tc>
      </w:tr>
      <w:tr w:rsidR="00537705" w:rsidRPr="0018386D" w14:paraId="42895A8F" w14:textId="77777777" w:rsidTr="00575E53">
        <w:trPr>
          <w:divId w:val="1165633641"/>
        </w:trPr>
        <w:tc>
          <w:tcPr>
            <w:tcW w:w="1408" w:type="dxa"/>
            <w:tcBorders>
              <w:top w:val="nil"/>
              <w:bottom w:val="nil"/>
              <w:right w:val="single" w:sz="4" w:space="0" w:color="auto"/>
            </w:tcBorders>
            <w:shd w:val="clear" w:color="000000" w:fill="FFFFFF"/>
            <w:noWrap/>
            <w:hideMark/>
          </w:tcPr>
          <w:p w14:paraId="7E0EE6BA"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1CB66ADA" w14:textId="7B97C4B6"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1D2DFBA6"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081BC99A" w14:textId="4662BD4C" w:rsidR="008E2ED2" w:rsidRPr="0018386D" w:rsidRDefault="008E2ED2" w:rsidP="00DD3106">
            <w:pPr>
              <w:pStyle w:val="TableText"/>
              <w:spacing w:before="30" w:after="30"/>
            </w:pPr>
            <w:r w:rsidRPr="0018386D">
              <w:t>0.00957</w:t>
            </w:r>
          </w:p>
        </w:tc>
        <w:tc>
          <w:tcPr>
            <w:tcW w:w="1210" w:type="dxa"/>
            <w:shd w:val="clear" w:color="000000" w:fill="FFFFFF"/>
            <w:noWrap/>
            <w:hideMark/>
          </w:tcPr>
          <w:p w14:paraId="2D11D890" w14:textId="3582D88C" w:rsidR="008E2ED2" w:rsidRPr="0018386D" w:rsidRDefault="008E2ED2" w:rsidP="00DD3106">
            <w:pPr>
              <w:pStyle w:val="TableText"/>
              <w:spacing w:before="30" w:after="30"/>
            </w:pPr>
            <w:r w:rsidRPr="0018386D">
              <w:t>0.00930</w:t>
            </w:r>
          </w:p>
        </w:tc>
        <w:tc>
          <w:tcPr>
            <w:tcW w:w="1352" w:type="dxa"/>
            <w:shd w:val="clear" w:color="000000" w:fill="FFFFFF"/>
            <w:noWrap/>
            <w:hideMark/>
          </w:tcPr>
          <w:p w14:paraId="20ADC7F5" w14:textId="77777777" w:rsidR="008E2ED2" w:rsidRPr="0018386D" w:rsidRDefault="008E2ED2" w:rsidP="00DD3106">
            <w:pPr>
              <w:pStyle w:val="TableText"/>
              <w:spacing w:before="30" w:after="30"/>
            </w:pPr>
            <w:r w:rsidRPr="0018386D">
              <w:t>0.0003</w:t>
            </w:r>
          </w:p>
        </w:tc>
        <w:tc>
          <w:tcPr>
            <w:tcW w:w="1352" w:type="dxa"/>
            <w:shd w:val="clear" w:color="000000" w:fill="FFFFFF"/>
            <w:noWrap/>
            <w:hideMark/>
          </w:tcPr>
          <w:p w14:paraId="45DCCBF5" w14:textId="42061639" w:rsidR="008E2ED2" w:rsidRPr="0018386D" w:rsidRDefault="008E2ED2" w:rsidP="00DD3106">
            <w:pPr>
              <w:pStyle w:val="TableText"/>
              <w:spacing w:before="30" w:after="30"/>
            </w:pPr>
            <w:r w:rsidRPr="0018386D">
              <w:t>0.00002</w:t>
            </w:r>
          </w:p>
        </w:tc>
      </w:tr>
      <w:tr w:rsidR="00537705" w:rsidRPr="0018386D" w14:paraId="27C0985C"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2A63F0A6"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5713DBD5" w14:textId="77777777" w:rsidR="008E2ED2" w:rsidRPr="0018386D" w:rsidRDefault="008E2ED2" w:rsidP="00DD3106">
            <w:pPr>
              <w:pStyle w:val="TableText"/>
              <w:spacing w:before="30" w:after="30"/>
            </w:pPr>
            <w:r w:rsidRPr="0018386D">
              <w:t>≥3000 cc</w:t>
            </w:r>
          </w:p>
        </w:tc>
        <w:tc>
          <w:tcPr>
            <w:tcW w:w="507" w:type="dxa"/>
            <w:shd w:val="clear" w:color="000000" w:fill="FFFFFF"/>
            <w:noWrap/>
            <w:hideMark/>
          </w:tcPr>
          <w:p w14:paraId="2FE557D1"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0C66B3D0" w14:textId="7E8F6DA2" w:rsidR="008E2ED2" w:rsidRPr="0018386D" w:rsidRDefault="008E2ED2" w:rsidP="00DD3106">
            <w:pPr>
              <w:pStyle w:val="TableText"/>
              <w:spacing w:before="30" w:after="30"/>
            </w:pPr>
            <w:r w:rsidRPr="0018386D">
              <w:t>0.0113</w:t>
            </w:r>
          </w:p>
        </w:tc>
        <w:tc>
          <w:tcPr>
            <w:tcW w:w="1210" w:type="dxa"/>
            <w:shd w:val="clear" w:color="000000" w:fill="FFFFFF"/>
            <w:noWrap/>
            <w:hideMark/>
          </w:tcPr>
          <w:p w14:paraId="5B0CDF98" w14:textId="135380C4" w:rsidR="008E2ED2" w:rsidRPr="0018386D" w:rsidRDefault="008E2ED2" w:rsidP="00DD3106">
            <w:pPr>
              <w:pStyle w:val="TableText"/>
              <w:spacing w:before="30" w:after="30"/>
            </w:pPr>
            <w:r w:rsidRPr="0018386D">
              <w:t>0.0110</w:t>
            </w:r>
          </w:p>
        </w:tc>
        <w:tc>
          <w:tcPr>
            <w:tcW w:w="1352" w:type="dxa"/>
            <w:shd w:val="clear" w:color="000000" w:fill="FFFFFF"/>
            <w:noWrap/>
            <w:hideMark/>
          </w:tcPr>
          <w:p w14:paraId="17EAAA6E" w14:textId="0D136D64" w:rsidR="008E2ED2" w:rsidRPr="0018386D" w:rsidRDefault="008E2ED2" w:rsidP="00DD3106">
            <w:pPr>
              <w:pStyle w:val="TableText"/>
              <w:spacing w:before="30" w:after="30"/>
            </w:pPr>
            <w:r w:rsidRPr="0018386D">
              <w:t>0.0003</w:t>
            </w:r>
          </w:p>
        </w:tc>
        <w:tc>
          <w:tcPr>
            <w:tcW w:w="1352" w:type="dxa"/>
            <w:shd w:val="clear" w:color="000000" w:fill="FFFFFF"/>
            <w:noWrap/>
            <w:hideMark/>
          </w:tcPr>
          <w:p w14:paraId="2098FA21" w14:textId="7FE22D83" w:rsidR="008E2ED2" w:rsidRPr="0018386D" w:rsidRDefault="008E2ED2" w:rsidP="00DD3106">
            <w:pPr>
              <w:pStyle w:val="TableText"/>
              <w:spacing w:before="30" w:after="30"/>
            </w:pPr>
            <w:r w:rsidRPr="0018386D">
              <w:t>0.00002</w:t>
            </w:r>
          </w:p>
        </w:tc>
      </w:tr>
      <w:tr w:rsidR="00537705" w:rsidRPr="0018386D" w14:paraId="0B8F5F84"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22A1C921" w14:textId="77777777" w:rsidR="008E2ED2" w:rsidRPr="0018386D" w:rsidRDefault="008E2ED2" w:rsidP="00DD3106">
            <w:pPr>
              <w:pStyle w:val="TableText"/>
              <w:spacing w:before="30" w:after="30"/>
            </w:pPr>
            <w:r w:rsidRPr="0018386D">
              <w:t>Electric vehicle</w:t>
            </w:r>
          </w:p>
        </w:tc>
        <w:tc>
          <w:tcPr>
            <w:tcW w:w="1408" w:type="dxa"/>
            <w:tcBorders>
              <w:left w:val="single" w:sz="4" w:space="0" w:color="auto"/>
            </w:tcBorders>
            <w:shd w:val="clear" w:color="000000" w:fill="FFFFFF"/>
            <w:noWrap/>
            <w:hideMark/>
          </w:tcPr>
          <w:p w14:paraId="33ADCA4F" w14:textId="22F8F553" w:rsidR="008E2ED2" w:rsidRPr="0018386D" w:rsidRDefault="008E2ED2" w:rsidP="00DD3106">
            <w:pPr>
              <w:pStyle w:val="TableText"/>
              <w:spacing w:before="30" w:after="30"/>
            </w:pPr>
            <w:r w:rsidRPr="0018386D">
              <w:t>&lt;1350 cc</w:t>
            </w:r>
          </w:p>
        </w:tc>
        <w:tc>
          <w:tcPr>
            <w:tcW w:w="507" w:type="dxa"/>
            <w:shd w:val="clear" w:color="000000" w:fill="FFFFFF"/>
            <w:noWrap/>
            <w:hideMark/>
          </w:tcPr>
          <w:p w14:paraId="2D3711F1"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34B80AD7" w14:textId="3EDFE2FC" w:rsidR="008E2ED2" w:rsidRPr="0018386D" w:rsidRDefault="008E2ED2" w:rsidP="00DD3106">
            <w:pPr>
              <w:pStyle w:val="TableText"/>
              <w:spacing w:before="30" w:after="30"/>
            </w:pPr>
            <w:r w:rsidRPr="0018386D">
              <w:t>0.0154</w:t>
            </w:r>
          </w:p>
        </w:tc>
        <w:tc>
          <w:tcPr>
            <w:tcW w:w="1210" w:type="dxa"/>
            <w:shd w:val="clear" w:color="000000" w:fill="FFFFFF"/>
            <w:noWrap/>
            <w:hideMark/>
          </w:tcPr>
          <w:p w14:paraId="1384AE1A" w14:textId="441BF1E6" w:rsidR="008E2ED2" w:rsidRPr="0018386D" w:rsidRDefault="008E2ED2" w:rsidP="00DD3106">
            <w:pPr>
              <w:pStyle w:val="TableText"/>
              <w:spacing w:before="30" w:after="30"/>
            </w:pPr>
            <w:r w:rsidRPr="0018386D">
              <w:t>0.0150</w:t>
            </w:r>
          </w:p>
        </w:tc>
        <w:tc>
          <w:tcPr>
            <w:tcW w:w="1352" w:type="dxa"/>
            <w:shd w:val="clear" w:color="000000" w:fill="FFFFFF"/>
            <w:noWrap/>
            <w:hideMark/>
          </w:tcPr>
          <w:p w14:paraId="6417E6AC" w14:textId="6941309B" w:rsidR="008E2ED2" w:rsidRPr="0018386D" w:rsidRDefault="008E2ED2" w:rsidP="00DD3106">
            <w:pPr>
              <w:pStyle w:val="TableText"/>
              <w:spacing w:before="30" w:after="30"/>
            </w:pPr>
            <w:r w:rsidRPr="0018386D">
              <w:t>0.0004</w:t>
            </w:r>
          </w:p>
        </w:tc>
        <w:tc>
          <w:tcPr>
            <w:tcW w:w="1352" w:type="dxa"/>
            <w:shd w:val="clear" w:color="000000" w:fill="FFFFFF"/>
            <w:noWrap/>
            <w:hideMark/>
          </w:tcPr>
          <w:p w14:paraId="03F93C6A" w14:textId="69765870" w:rsidR="008E2ED2" w:rsidRPr="0018386D" w:rsidRDefault="008E2ED2" w:rsidP="00DD3106">
            <w:pPr>
              <w:pStyle w:val="TableText"/>
              <w:spacing w:before="30" w:after="30"/>
            </w:pPr>
            <w:r w:rsidRPr="0018386D">
              <w:t>0.00003</w:t>
            </w:r>
          </w:p>
        </w:tc>
      </w:tr>
      <w:tr w:rsidR="00537705" w:rsidRPr="0018386D" w14:paraId="1E866495" w14:textId="77777777" w:rsidTr="00575E53">
        <w:trPr>
          <w:divId w:val="1165633641"/>
        </w:trPr>
        <w:tc>
          <w:tcPr>
            <w:tcW w:w="1408" w:type="dxa"/>
            <w:tcBorders>
              <w:top w:val="nil"/>
              <w:bottom w:val="nil"/>
              <w:right w:val="single" w:sz="4" w:space="0" w:color="auto"/>
            </w:tcBorders>
            <w:shd w:val="clear" w:color="000000" w:fill="FFFFFF"/>
            <w:noWrap/>
            <w:hideMark/>
          </w:tcPr>
          <w:p w14:paraId="164FF67D"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14AFE158" w14:textId="7C2BA277" w:rsidR="008E2ED2" w:rsidRPr="0018386D" w:rsidRDefault="008E2ED2" w:rsidP="00DD3106">
            <w:pPr>
              <w:pStyle w:val="TableText"/>
              <w:spacing w:before="30" w:after="30"/>
            </w:pPr>
            <w:r w:rsidRPr="0018386D">
              <w:t>1350–&lt;1600 cc</w:t>
            </w:r>
          </w:p>
        </w:tc>
        <w:tc>
          <w:tcPr>
            <w:tcW w:w="507" w:type="dxa"/>
            <w:shd w:val="clear" w:color="000000" w:fill="FFFFFF"/>
            <w:noWrap/>
            <w:hideMark/>
          </w:tcPr>
          <w:p w14:paraId="3A64AED5"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393EE41" w14:textId="1C076448" w:rsidR="008E2ED2" w:rsidRPr="0018386D" w:rsidRDefault="008E2ED2" w:rsidP="00DD3106">
            <w:pPr>
              <w:pStyle w:val="TableText"/>
              <w:spacing w:before="30" w:after="30"/>
            </w:pPr>
            <w:r w:rsidRPr="0018386D">
              <w:t>0.0160</w:t>
            </w:r>
          </w:p>
        </w:tc>
        <w:tc>
          <w:tcPr>
            <w:tcW w:w="1210" w:type="dxa"/>
            <w:shd w:val="clear" w:color="000000" w:fill="FFFFFF"/>
            <w:noWrap/>
            <w:hideMark/>
          </w:tcPr>
          <w:p w14:paraId="1D281B64" w14:textId="0612F508" w:rsidR="008E2ED2" w:rsidRPr="0018386D" w:rsidRDefault="008E2ED2" w:rsidP="00DD3106">
            <w:pPr>
              <w:pStyle w:val="TableText"/>
              <w:spacing w:before="30" w:after="30"/>
            </w:pPr>
            <w:r w:rsidRPr="0018386D">
              <w:t>0.0155</w:t>
            </w:r>
          </w:p>
        </w:tc>
        <w:tc>
          <w:tcPr>
            <w:tcW w:w="1352" w:type="dxa"/>
            <w:shd w:val="clear" w:color="000000" w:fill="FFFFFF"/>
            <w:noWrap/>
            <w:hideMark/>
          </w:tcPr>
          <w:p w14:paraId="26AF94C2" w14:textId="0C5D5FCE" w:rsidR="008E2ED2" w:rsidRPr="0018386D" w:rsidRDefault="008E2ED2" w:rsidP="00DD3106">
            <w:pPr>
              <w:pStyle w:val="TableText"/>
              <w:spacing w:before="30" w:after="30"/>
            </w:pPr>
            <w:r w:rsidRPr="0018386D">
              <w:t>0.0004</w:t>
            </w:r>
          </w:p>
        </w:tc>
        <w:tc>
          <w:tcPr>
            <w:tcW w:w="1352" w:type="dxa"/>
            <w:shd w:val="clear" w:color="000000" w:fill="FFFFFF"/>
            <w:noWrap/>
            <w:hideMark/>
          </w:tcPr>
          <w:p w14:paraId="38EAB09E" w14:textId="783F01E5" w:rsidR="008E2ED2" w:rsidRPr="0018386D" w:rsidRDefault="008E2ED2" w:rsidP="00DD3106">
            <w:pPr>
              <w:pStyle w:val="TableText"/>
              <w:spacing w:before="30" w:after="30"/>
            </w:pPr>
            <w:r w:rsidRPr="0018386D">
              <w:t>0.00003</w:t>
            </w:r>
          </w:p>
        </w:tc>
      </w:tr>
      <w:tr w:rsidR="00537705" w:rsidRPr="0018386D" w14:paraId="1D414127" w14:textId="77777777" w:rsidTr="00575E53">
        <w:trPr>
          <w:divId w:val="1165633641"/>
        </w:trPr>
        <w:tc>
          <w:tcPr>
            <w:tcW w:w="1408" w:type="dxa"/>
            <w:tcBorders>
              <w:top w:val="nil"/>
              <w:bottom w:val="nil"/>
              <w:right w:val="single" w:sz="4" w:space="0" w:color="auto"/>
            </w:tcBorders>
            <w:shd w:val="clear" w:color="000000" w:fill="FFFFFF"/>
            <w:noWrap/>
            <w:hideMark/>
          </w:tcPr>
          <w:p w14:paraId="24CD7109"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787635FD" w14:textId="24389B10" w:rsidR="008E2ED2" w:rsidRPr="0018386D" w:rsidRDefault="008E2ED2" w:rsidP="00DD3106">
            <w:pPr>
              <w:pStyle w:val="TableText"/>
              <w:spacing w:before="30" w:after="30"/>
            </w:pPr>
            <w:r w:rsidRPr="0018386D">
              <w:t>1600–&lt;2000 cc</w:t>
            </w:r>
          </w:p>
        </w:tc>
        <w:tc>
          <w:tcPr>
            <w:tcW w:w="507" w:type="dxa"/>
            <w:shd w:val="clear" w:color="000000" w:fill="FFFFFF"/>
            <w:noWrap/>
            <w:hideMark/>
          </w:tcPr>
          <w:p w14:paraId="6A02354D"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71C3B7B1" w14:textId="127D3342" w:rsidR="008E2ED2" w:rsidRPr="0018386D" w:rsidRDefault="008E2ED2" w:rsidP="00DD3106">
            <w:pPr>
              <w:pStyle w:val="TableText"/>
              <w:spacing w:before="30" w:after="30"/>
            </w:pPr>
            <w:r w:rsidRPr="0018386D">
              <w:t>0.0180</w:t>
            </w:r>
          </w:p>
        </w:tc>
        <w:tc>
          <w:tcPr>
            <w:tcW w:w="1210" w:type="dxa"/>
            <w:shd w:val="clear" w:color="000000" w:fill="FFFFFF"/>
            <w:noWrap/>
            <w:hideMark/>
          </w:tcPr>
          <w:p w14:paraId="7C6AF0A4" w14:textId="4D189528" w:rsidR="008E2ED2" w:rsidRPr="0018386D" w:rsidRDefault="008E2ED2" w:rsidP="00DD3106">
            <w:pPr>
              <w:pStyle w:val="TableText"/>
              <w:spacing w:before="30" w:after="30"/>
            </w:pPr>
            <w:r w:rsidRPr="0018386D">
              <w:t>0.0175</w:t>
            </w:r>
          </w:p>
        </w:tc>
        <w:tc>
          <w:tcPr>
            <w:tcW w:w="1352" w:type="dxa"/>
            <w:shd w:val="clear" w:color="000000" w:fill="FFFFFF"/>
            <w:noWrap/>
            <w:hideMark/>
          </w:tcPr>
          <w:p w14:paraId="2D9EC0C9" w14:textId="1703BB2B" w:rsidR="008E2ED2" w:rsidRPr="0018386D" w:rsidRDefault="008E2ED2" w:rsidP="00DD3106">
            <w:pPr>
              <w:pStyle w:val="TableText"/>
              <w:spacing w:before="30" w:after="30"/>
            </w:pPr>
            <w:r w:rsidRPr="0018386D">
              <w:t>0.0005</w:t>
            </w:r>
          </w:p>
        </w:tc>
        <w:tc>
          <w:tcPr>
            <w:tcW w:w="1352" w:type="dxa"/>
            <w:shd w:val="clear" w:color="000000" w:fill="FFFFFF"/>
            <w:noWrap/>
            <w:hideMark/>
          </w:tcPr>
          <w:p w14:paraId="3E56A694" w14:textId="2262BF07" w:rsidR="008E2ED2" w:rsidRPr="0018386D" w:rsidRDefault="008E2ED2" w:rsidP="00DD3106">
            <w:pPr>
              <w:pStyle w:val="TableText"/>
              <w:spacing w:before="30" w:after="30"/>
            </w:pPr>
            <w:r w:rsidRPr="0018386D">
              <w:t>0.00004</w:t>
            </w:r>
          </w:p>
        </w:tc>
      </w:tr>
      <w:tr w:rsidR="00537705" w:rsidRPr="0018386D" w14:paraId="012E541A" w14:textId="77777777" w:rsidTr="00575E53">
        <w:trPr>
          <w:divId w:val="1165633641"/>
        </w:trPr>
        <w:tc>
          <w:tcPr>
            <w:tcW w:w="1408" w:type="dxa"/>
            <w:tcBorders>
              <w:top w:val="nil"/>
              <w:bottom w:val="nil"/>
              <w:right w:val="single" w:sz="4" w:space="0" w:color="auto"/>
            </w:tcBorders>
            <w:shd w:val="clear" w:color="000000" w:fill="FFFFFF"/>
            <w:noWrap/>
            <w:hideMark/>
          </w:tcPr>
          <w:p w14:paraId="6B6D3049"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56E2466C" w14:textId="41474722" w:rsidR="008E2ED2" w:rsidRPr="0018386D" w:rsidRDefault="008E2ED2" w:rsidP="00DD3106">
            <w:pPr>
              <w:pStyle w:val="TableText"/>
              <w:spacing w:before="30" w:after="30"/>
            </w:pPr>
            <w:r w:rsidRPr="0018386D">
              <w:t>2000–&lt;3000 cc</w:t>
            </w:r>
          </w:p>
        </w:tc>
        <w:tc>
          <w:tcPr>
            <w:tcW w:w="507" w:type="dxa"/>
            <w:shd w:val="clear" w:color="000000" w:fill="FFFFFF"/>
            <w:noWrap/>
            <w:hideMark/>
          </w:tcPr>
          <w:p w14:paraId="41B47846"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376E381" w14:textId="75D81C19" w:rsidR="008E2ED2" w:rsidRPr="0018386D" w:rsidRDefault="008E2ED2" w:rsidP="00DD3106">
            <w:pPr>
              <w:pStyle w:val="TableText"/>
              <w:spacing w:before="30" w:after="30"/>
            </w:pPr>
            <w:r w:rsidRPr="0018386D">
              <w:t>0.0200</w:t>
            </w:r>
          </w:p>
        </w:tc>
        <w:tc>
          <w:tcPr>
            <w:tcW w:w="1210" w:type="dxa"/>
            <w:shd w:val="clear" w:color="000000" w:fill="FFFFFF"/>
            <w:noWrap/>
            <w:hideMark/>
          </w:tcPr>
          <w:p w14:paraId="4302B00B" w14:textId="607468C9" w:rsidR="008E2ED2" w:rsidRPr="0018386D" w:rsidRDefault="008E2ED2" w:rsidP="00DD3106">
            <w:pPr>
              <w:pStyle w:val="TableText"/>
              <w:spacing w:before="30" w:after="30"/>
            </w:pPr>
            <w:r w:rsidRPr="0018386D">
              <w:t>0.0194</w:t>
            </w:r>
          </w:p>
        </w:tc>
        <w:tc>
          <w:tcPr>
            <w:tcW w:w="1352" w:type="dxa"/>
            <w:shd w:val="clear" w:color="000000" w:fill="FFFFFF"/>
            <w:noWrap/>
            <w:hideMark/>
          </w:tcPr>
          <w:p w14:paraId="59286A37" w14:textId="1F7401D6" w:rsidR="008E2ED2" w:rsidRPr="0018386D" w:rsidRDefault="008E2ED2" w:rsidP="00DD3106">
            <w:pPr>
              <w:pStyle w:val="TableText"/>
              <w:spacing w:before="30" w:after="30"/>
            </w:pPr>
            <w:r w:rsidRPr="0018386D">
              <w:t>0.0005</w:t>
            </w:r>
          </w:p>
        </w:tc>
        <w:tc>
          <w:tcPr>
            <w:tcW w:w="1352" w:type="dxa"/>
            <w:shd w:val="clear" w:color="000000" w:fill="FFFFFF"/>
            <w:noWrap/>
            <w:hideMark/>
          </w:tcPr>
          <w:p w14:paraId="7E7FA01C" w14:textId="388D6BCE" w:rsidR="008E2ED2" w:rsidRPr="0018386D" w:rsidRDefault="008E2ED2" w:rsidP="00DD3106">
            <w:pPr>
              <w:pStyle w:val="TableText"/>
              <w:spacing w:before="30" w:after="30"/>
            </w:pPr>
            <w:r w:rsidRPr="0018386D">
              <w:t>0.00004</w:t>
            </w:r>
          </w:p>
        </w:tc>
      </w:tr>
      <w:tr w:rsidR="00537705" w:rsidRPr="0018386D" w14:paraId="10A38EAF"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695D1BB8"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33FD5D7A" w14:textId="246D943B" w:rsidR="008E2ED2" w:rsidRPr="0018386D" w:rsidRDefault="008E2ED2" w:rsidP="00DD3106">
            <w:pPr>
              <w:pStyle w:val="TableText"/>
              <w:spacing w:before="30" w:after="30"/>
            </w:pPr>
            <w:r w:rsidRPr="0018386D">
              <w:t>≥3000 cc</w:t>
            </w:r>
          </w:p>
        </w:tc>
        <w:tc>
          <w:tcPr>
            <w:tcW w:w="507" w:type="dxa"/>
            <w:shd w:val="clear" w:color="000000" w:fill="FFFFFF"/>
            <w:noWrap/>
            <w:hideMark/>
          </w:tcPr>
          <w:p w14:paraId="19F7EB63"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570DF52D" w14:textId="134755BD" w:rsidR="008E2ED2" w:rsidRPr="0018386D" w:rsidRDefault="008E2ED2" w:rsidP="00DD3106">
            <w:pPr>
              <w:pStyle w:val="TableText"/>
              <w:spacing w:before="30" w:after="30"/>
            </w:pPr>
            <w:r w:rsidRPr="0018386D">
              <w:t>0.0239</w:t>
            </w:r>
          </w:p>
        </w:tc>
        <w:tc>
          <w:tcPr>
            <w:tcW w:w="1210" w:type="dxa"/>
            <w:shd w:val="clear" w:color="000000" w:fill="FFFFFF"/>
            <w:noWrap/>
            <w:hideMark/>
          </w:tcPr>
          <w:p w14:paraId="4D83B2BD" w14:textId="490D0AF6" w:rsidR="008E2ED2" w:rsidRPr="0018386D" w:rsidRDefault="008E2ED2" w:rsidP="00DD3106">
            <w:pPr>
              <w:pStyle w:val="TableText"/>
              <w:spacing w:before="30" w:after="30"/>
            </w:pPr>
            <w:r w:rsidRPr="0018386D">
              <w:t>0.0232</w:t>
            </w:r>
          </w:p>
        </w:tc>
        <w:tc>
          <w:tcPr>
            <w:tcW w:w="1352" w:type="dxa"/>
            <w:shd w:val="clear" w:color="000000" w:fill="FFFFFF"/>
            <w:noWrap/>
            <w:hideMark/>
          </w:tcPr>
          <w:p w14:paraId="506CCC02" w14:textId="50E9E109" w:rsidR="008E2ED2" w:rsidRPr="0018386D" w:rsidRDefault="008E2ED2" w:rsidP="00DD3106">
            <w:pPr>
              <w:pStyle w:val="TableText"/>
              <w:spacing w:before="30" w:after="30"/>
            </w:pPr>
            <w:r w:rsidRPr="0018386D">
              <w:t>0.0006</w:t>
            </w:r>
          </w:p>
        </w:tc>
        <w:tc>
          <w:tcPr>
            <w:tcW w:w="1352" w:type="dxa"/>
            <w:shd w:val="clear" w:color="000000" w:fill="FFFFFF"/>
            <w:noWrap/>
            <w:hideMark/>
          </w:tcPr>
          <w:p w14:paraId="78DB5046" w14:textId="1C64D587" w:rsidR="008E2ED2" w:rsidRPr="0018386D" w:rsidRDefault="008E2ED2" w:rsidP="00DD3106">
            <w:pPr>
              <w:pStyle w:val="TableText"/>
              <w:spacing w:before="30" w:after="30"/>
            </w:pPr>
            <w:r w:rsidRPr="0018386D">
              <w:t>0.00005</w:t>
            </w:r>
          </w:p>
        </w:tc>
      </w:tr>
      <w:tr w:rsidR="00537705" w:rsidRPr="0018386D" w14:paraId="5FDDC566" w14:textId="77777777" w:rsidTr="00575E53">
        <w:trPr>
          <w:divId w:val="1165633641"/>
        </w:trPr>
        <w:tc>
          <w:tcPr>
            <w:tcW w:w="1408" w:type="dxa"/>
            <w:tcBorders>
              <w:top w:val="single" w:sz="4" w:space="0" w:color="auto"/>
              <w:bottom w:val="nil"/>
              <w:right w:val="single" w:sz="4" w:space="0" w:color="auto"/>
            </w:tcBorders>
            <w:shd w:val="clear" w:color="000000" w:fill="FFFFFF"/>
            <w:noWrap/>
            <w:hideMark/>
          </w:tcPr>
          <w:p w14:paraId="6DA58FC9" w14:textId="77777777" w:rsidR="008E2ED2" w:rsidRPr="0018386D" w:rsidRDefault="008E2ED2" w:rsidP="00DD3106">
            <w:pPr>
              <w:pStyle w:val="TableText"/>
              <w:spacing w:before="30" w:after="30"/>
            </w:pPr>
            <w:r w:rsidRPr="0018386D">
              <w:t>Motorcycle</w:t>
            </w:r>
          </w:p>
        </w:tc>
        <w:tc>
          <w:tcPr>
            <w:tcW w:w="1408" w:type="dxa"/>
            <w:tcBorders>
              <w:left w:val="single" w:sz="4" w:space="0" w:color="auto"/>
            </w:tcBorders>
            <w:shd w:val="clear" w:color="000000" w:fill="FFFFFF"/>
            <w:noWrap/>
            <w:hideMark/>
          </w:tcPr>
          <w:p w14:paraId="038A056A" w14:textId="63605E47" w:rsidR="008E2ED2" w:rsidRPr="0018386D" w:rsidRDefault="008E2ED2" w:rsidP="00DD3106">
            <w:pPr>
              <w:pStyle w:val="TableText"/>
              <w:spacing w:before="30" w:after="30"/>
            </w:pPr>
            <w:r w:rsidRPr="0018386D">
              <w:t>&lt;60cc, petrol</w:t>
            </w:r>
          </w:p>
        </w:tc>
        <w:tc>
          <w:tcPr>
            <w:tcW w:w="507" w:type="dxa"/>
            <w:shd w:val="clear" w:color="000000" w:fill="FFFFFF"/>
            <w:noWrap/>
            <w:hideMark/>
          </w:tcPr>
          <w:p w14:paraId="60FE5C7E"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192F3554" w14:textId="030DB984" w:rsidR="008E2ED2" w:rsidRPr="0018386D" w:rsidRDefault="008E2ED2" w:rsidP="00DD3106">
            <w:pPr>
              <w:pStyle w:val="TableText"/>
              <w:spacing w:before="30" w:after="30"/>
            </w:pPr>
            <w:r w:rsidRPr="0018386D">
              <w:t>0.0605</w:t>
            </w:r>
          </w:p>
        </w:tc>
        <w:tc>
          <w:tcPr>
            <w:tcW w:w="1210" w:type="dxa"/>
            <w:shd w:val="clear" w:color="000000" w:fill="FFFFFF"/>
            <w:noWrap/>
            <w:hideMark/>
          </w:tcPr>
          <w:p w14:paraId="431D8C0A" w14:textId="4092A9C3" w:rsidR="008E2ED2" w:rsidRPr="0018386D" w:rsidRDefault="008E2ED2" w:rsidP="00DD3106">
            <w:pPr>
              <w:pStyle w:val="TableText"/>
              <w:spacing w:before="30" w:after="30"/>
            </w:pPr>
            <w:r w:rsidRPr="0018386D">
              <w:t>0.0580</w:t>
            </w:r>
          </w:p>
        </w:tc>
        <w:tc>
          <w:tcPr>
            <w:tcW w:w="1352" w:type="dxa"/>
            <w:shd w:val="clear" w:color="000000" w:fill="FFFFFF"/>
            <w:noWrap/>
            <w:hideMark/>
          </w:tcPr>
          <w:p w14:paraId="5F924222" w14:textId="55876925" w:rsidR="008E2ED2" w:rsidRPr="0018386D" w:rsidRDefault="008E2ED2" w:rsidP="00DD3106">
            <w:pPr>
              <w:pStyle w:val="TableText"/>
              <w:spacing w:before="30" w:after="30"/>
            </w:pPr>
            <w:r w:rsidRPr="0018386D">
              <w:t>0.0008</w:t>
            </w:r>
          </w:p>
        </w:tc>
        <w:tc>
          <w:tcPr>
            <w:tcW w:w="1352" w:type="dxa"/>
            <w:shd w:val="clear" w:color="000000" w:fill="FFFFFF"/>
            <w:noWrap/>
            <w:hideMark/>
          </w:tcPr>
          <w:p w14:paraId="08FFFEC7" w14:textId="46D98FFA" w:rsidR="008E2ED2" w:rsidRPr="0018386D" w:rsidRDefault="008E2ED2" w:rsidP="00DD3106">
            <w:pPr>
              <w:pStyle w:val="TableText"/>
              <w:spacing w:before="30" w:after="30"/>
            </w:pPr>
            <w:r w:rsidRPr="0018386D">
              <w:t>0.00175</w:t>
            </w:r>
          </w:p>
        </w:tc>
      </w:tr>
      <w:tr w:rsidR="00537705" w:rsidRPr="0018386D" w14:paraId="781AD680" w14:textId="77777777" w:rsidTr="00575E53">
        <w:trPr>
          <w:divId w:val="1165633641"/>
        </w:trPr>
        <w:tc>
          <w:tcPr>
            <w:tcW w:w="1408" w:type="dxa"/>
            <w:tcBorders>
              <w:top w:val="nil"/>
              <w:bottom w:val="nil"/>
              <w:right w:val="single" w:sz="4" w:space="0" w:color="auto"/>
            </w:tcBorders>
            <w:shd w:val="clear" w:color="000000" w:fill="FFFFFF"/>
            <w:noWrap/>
            <w:hideMark/>
          </w:tcPr>
          <w:p w14:paraId="59EAC13B"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1E03D2D8" w14:textId="288D4C58" w:rsidR="008E2ED2" w:rsidRPr="0018386D" w:rsidRDefault="008E2ED2" w:rsidP="00DD3106">
            <w:pPr>
              <w:pStyle w:val="TableText"/>
              <w:spacing w:before="30" w:after="30"/>
            </w:pPr>
            <w:r w:rsidRPr="0018386D">
              <w:t>≥60cc, petrol</w:t>
            </w:r>
          </w:p>
        </w:tc>
        <w:tc>
          <w:tcPr>
            <w:tcW w:w="507" w:type="dxa"/>
            <w:shd w:val="clear" w:color="000000" w:fill="FFFFFF"/>
            <w:noWrap/>
            <w:hideMark/>
          </w:tcPr>
          <w:p w14:paraId="13BC7D37"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411C6B2A" w14:textId="77777777" w:rsidR="008E2ED2" w:rsidRPr="0018386D" w:rsidRDefault="008E2ED2" w:rsidP="00DD3106">
            <w:pPr>
              <w:pStyle w:val="TableText"/>
              <w:spacing w:before="30" w:after="30"/>
            </w:pPr>
            <w:r w:rsidRPr="0018386D">
              <w:t>0.121</w:t>
            </w:r>
          </w:p>
        </w:tc>
        <w:tc>
          <w:tcPr>
            <w:tcW w:w="1210" w:type="dxa"/>
            <w:shd w:val="clear" w:color="000000" w:fill="FFFFFF"/>
            <w:noWrap/>
            <w:hideMark/>
          </w:tcPr>
          <w:p w14:paraId="7A480F55" w14:textId="6258B718" w:rsidR="008E2ED2" w:rsidRPr="0018386D" w:rsidRDefault="008E2ED2" w:rsidP="00DD3106">
            <w:pPr>
              <w:pStyle w:val="TableText"/>
              <w:spacing w:before="30" w:after="30"/>
            </w:pPr>
            <w:r w:rsidRPr="0018386D">
              <w:t>0.116</w:t>
            </w:r>
          </w:p>
        </w:tc>
        <w:tc>
          <w:tcPr>
            <w:tcW w:w="1352" w:type="dxa"/>
            <w:shd w:val="clear" w:color="000000" w:fill="FFFFFF"/>
            <w:noWrap/>
            <w:hideMark/>
          </w:tcPr>
          <w:p w14:paraId="3981315B" w14:textId="0074FE6C" w:rsidR="008E2ED2" w:rsidRPr="0018386D" w:rsidRDefault="008E2ED2" w:rsidP="00DD3106">
            <w:pPr>
              <w:pStyle w:val="TableText"/>
              <w:spacing w:before="30" w:after="30"/>
            </w:pPr>
            <w:r w:rsidRPr="0018386D">
              <w:t>0.00152</w:t>
            </w:r>
          </w:p>
        </w:tc>
        <w:tc>
          <w:tcPr>
            <w:tcW w:w="1352" w:type="dxa"/>
            <w:shd w:val="clear" w:color="000000" w:fill="FFFFFF"/>
            <w:noWrap/>
            <w:hideMark/>
          </w:tcPr>
          <w:p w14:paraId="2C4F451B" w14:textId="23511B86" w:rsidR="008E2ED2" w:rsidRPr="0018386D" w:rsidRDefault="008E2ED2" w:rsidP="00DD3106">
            <w:pPr>
              <w:pStyle w:val="TableText"/>
              <w:spacing w:before="30" w:after="30"/>
            </w:pPr>
            <w:r w:rsidRPr="0018386D">
              <w:t>0.00350</w:t>
            </w:r>
          </w:p>
        </w:tc>
      </w:tr>
      <w:tr w:rsidR="00537705" w:rsidRPr="0018386D" w14:paraId="2CBDC9F6" w14:textId="77777777" w:rsidTr="00575E53">
        <w:trPr>
          <w:divId w:val="1165633641"/>
        </w:trPr>
        <w:tc>
          <w:tcPr>
            <w:tcW w:w="1408" w:type="dxa"/>
            <w:tcBorders>
              <w:top w:val="nil"/>
              <w:bottom w:val="nil"/>
              <w:right w:val="single" w:sz="4" w:space="0" w:color="auto"/>
            </w:tcBorders>
            <w:shd w:val="clear" w:color="000000" w:fill="FFFFFF"/>
            <w:noWrap/>
            <w:hideMark/>
          </w:tcPr>
          <w:p w14:paraId="38A3E775"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02F35032" w14:textId="74BB4518" w:rsidR="008E2ED2" w:rsidRPr="0018386D" w:rsidRDefault="008E2ED2" w:rsidP="00DD3106">
            <w:pPr>
              <w:pStyle w:val="TableText"/>
              <w:spacing w:before="30" w:after="30"/>
            </w:pPr>
            <w:r w:rsidRPr="0018386D">
              <w:t>&lt;60</w:t>
            </w:r>
            <w:r w:rsidR="006901F6" w:rsidRPr="0018386D">
              <w:t xml:space="preserve"> </w:t>
            </w:r>
            <w:r w:rsidRPr="0018386D">
              <w:t>cc, electricity</w:t>
            </w:r>
          </w:p>
        </w:tc>
        <w:tc>
          <w:tcPr>
            <w:tcW w:w="507" w:type="dxa"/>
            <w:shd w:val="clear" w:color="000000" w:fill="FFFFFF"/>
            <w:noWrap/>
            <w:hideMark/>
          </w:tcPr>
          <w:p w14:paraId="4B5835BA"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1211F6D1" w14:textId="18FD2085" w:rsidR="008E2ED2" w:rsidRPr="0018386D" w:rsidRDefault="008E2ED2" w:rsidP="00DD3106">
            <w:pPr>
              <w:pStyle w:val="TableText"/>
              <w:spacing w:before="30" w:after="30"/>
            </w:pPr>
            <w:r w:rsidRPr="0018386D">
              <w:t>0.00380</w:t>
            </w:r>
          </w:p>
        </w:tc>
        <w:tc>
          <w:tcPr>
            <w:tcW w:w="1210" w:type="dxa"/>
            <w:shd w:val="clear" w:color="000000" w:fill="FFFFFF"/>
            <w:noWrap/>
            <w:hideMark/>
          </w:tcPr>
          <w:p w14:paraId="56367D07" w14:textId="41D54FBB" w:rsidR="008E2ED2" w:rsidRPr="0018386D" w:rsidRDefault="008E2ED2" w:rsidP="00DD3106">
            <w:pPr>
              <w:pStyle w:val="TableText"/>
              <w:spacing w:before="30" w:after="30"/>
            </w:pPr>
            <w:r w:rsidRPr="0018386D">
              <w:t>0.00369</w:t>
            </w:r>
          </w:p>
        </w:tc>
        <w:tc>
          <w:tcPr>
            <w:tcW w:w="1352" w:type="dxa"/>
            <w:shd w:val="clear" w:color="000000" w:fill="FFFFFF"/>
            <w:noWrap/>
            <w:hideMark/>
          </w:tcPr>
          <w:p w14:paraId="03674BDD" w14:textId="2F60825D" w:rsidR="008E2ED2" w:rsidRPr="0018386D" w:rsidRDefault="008E2ED2" w:rsidP="00DD3106">
            <w:pPr>
              <w:pStyle w:val="TableText"/>
              <w:spacing w:before="30" w:after="30"/>
            </w:pPr>
            <w:r w:rsidRPr="0018386D">
              <w:t>0.00010</w:t>
            </w:r>
          </w:p>
        </w:tc>
        <w:tc>
          <w:tcPr>
            <w:tcW w:w="1352" w:type="dxa"/>
            <w:shd w:val="clear" w:color="000000" w:fill="FFFFFF"/>
            <w:noWrap/>
            <w:hideMark/>
          </w:tcPr>
          <w:p w14:paraId="2CD61A5A" w14:textId="247603ED" w:rsidR="008E2ED2" w:rsidRPr="0018386D" w:rsidRDefault="008E2ED2" w:rsidP="00DD3106">
            <w:pPr>
              <w:pStyle w:val="TableText"/>
              <w:spacing w:before="30" w:after="30"/>
            </w:pPr>
            <w:r w:rsidRPr="0018386D">
              <w:t>0.000008</w:t>
            </w:r>
          </w:p>
        </w:tc>
      </w:tr>
      <w:tr w:rsidR="00537705" w:rsidRPr="0018386D" w14:paraId="56B82926" w14:textId="77777777" w:rsidTr="00575E53">
        <w:trPr>
          <w:divId w:val="1165633641"/>
        </w:trPr>
        <w:tc>
          <w:tcPr>
            <w:tcW w:w="1408" w:type="dxa"/>
            <w:tcBorders>
              <w:top w:val="nil"/>
              <w:bottom w:val="single" w:sz="4" w:space="0" w:color="auto"/>
              <w:right w:val="single" w:sz="4" w:space="0" w:color="auto"/>
            </w:tcBorders>
            <w:shd w:val="clear" w:color="000000" w:fill="FFFFFF"/>
            <w:noWrap/>
            <w:hideMark/>
          </w:tcPr>
          <w:p w14:paraId="07F99EFD" w14:textId="77777777" w:rsidR="008E2ED2" w:rsidRPr="0018386D" w:rsidRDefault="008E2ED2" w:rsidP="00DD3106">
            <w:pPr>
              <w:pStyle w:val="TableText"/>
              <w:spacing w:before="30" w:after="30"/>
            </w:pPr>
            <w:r w:rsidRPr="0018386D">
              <w:t> </w:t>
            </w:r>
          </w:p>
        </w:tc>
        <w:tc>
          <w:tcPr>
            <w:tcW w:w="1408" w:type="dxa"/>
            <w:tcBorders>
              <w:left w:val="single" w:sz="4" w:space="0" w:color="auto"/>
            </w:tcBorders>
            <w:shd w:val="clear" w:color="000000" w:fill="FFFFFF"/>
            <w:noWrap/>
            <w:hideMark/>
          </w:tcPr>
          <w:p w14:paraId="0E55015E" w14:textId="4FB697F2" w:rsidR="008E2ED2" w:rsidRPr="0018386D" w:rsidRDefault="008E2ED2" w:rsidP="00DD3106">
            <w:pPr>
              <w:pStyle w:val="TableText"/>
              <w:spacing w:before="30" w:after="30"/>
            </w:pPr>
            <w:r w:rsidRPr="0018386D">
              <w:t>≥60</w:t>
            </w:r>
            <w:r w:rsidR="006901F6" w:rsidRPr="0018386D">
              <w:t xml:space="preserve"> </w:t>
            </w:r>
            <w:r w:rsidRPr="0018386D">
              <w:t>cc, electricity</w:t>
            </w:r>
          </w:p>
        </w:tc>
        <w:tc>
          <w:tcPr>
            <w:tcW w:w="507" w:type="dxa"/>
            <w:shd w:val="clear" w:color="000000" w:fill="FFFFFF"/>
            <w:noWrap/>
            <w:hideMark/>
          </w:tcPr>
          <w:p w14:paraId="6E222220" w14:textId="77777777" w:rsidR="008E2ED2" w:rsidRPr="0018386D" w:rsidRDefault="008E2ED2" w:rsidP="00DD3106">
            <w:pPr>
              <w:pStyle w:val="TableText"/>
              <w:spacing w:before="30" w:after="30"/>
            </w:pPr>
            <w:r w:rsidRPr="0018386D">
              <w:t>km</w:t>
            </w:r>
          </w:p>
        </w:tc>
        <w:tc>
          <w:tcPr>
            <w:tcW w:w="1355" w:type="dxa"/>
            <w:shd w:val="clear" w:color="000000" w:fill="D2DDE1"/>
            <w:noWrap/>
            <w:hideMark/>
          </w:tcPr>
          <w:p w14:paraId="2E84218F" w14:textId="24A42D10" w:rsidR="008E2ED2" w:rsidRPr="0018386D" w:rsidRDefault="008E2ED2" w:rsidP="00DD3106">
            <w:pPr>
              <w:pStyle w:val="TableText"/>
              <w:spacing w:before="30" w:after="30"/>
            </w:pPr>
            <w:r w:rsidRPr="0018386D">
              <w:t>0.00760</w:t>
            </w:r>
          </w:p>
        </w:tc>
        <w:tc>
          <w:tcPr>
            <w:tcW w:w="1210" w:type="dxa"/>
            <w:shd w:val="clear" w:color="000000" w:fill="FFFFFF"/>
            <w:noWrap/>
            <w:hideMark/>
          </w:tcPr>
          <w:p w14:paraId="1E082F36" w14:textId="49618E89" w:rsidR="008E2ED2" w:rsidRPr="0018386D" w:rsidRDefault="008E2ED2" w:rsidP="00DD3106">
            <w:pPr>
              <w:pStyle w:val="TableText"/>
              <w:spacing w:before="30" w:after="30"/>
            </w:pPr>
            <w:r w:rsidRPr="0018386D">
              <w:t>0.00738</w:t>
            </w:r>
          </w:p>
        </w:tc>
        <w:tc>
          <w:tcPr>
            <w:tcW w:w="1352" w:type="dxa"/>
            <w:shd w:val="clear" w:color="000000" w:fill="FFFFFF"/>
            <w:noWrap/>
            <w:hideMark/>
          </w:tcPr>
          <w:p w14:paraId="3B07F04D" w14:textId="3EA601CD" w:rsidR="008E2ED2" w:rsidRPr="0018386D" w:rsidRDefault="008E2ED2" w:rsidP="00DD3106">
            <w:pPr>
              <w:pStyle w:val="TableText"/>
              <w:spacing w:before="30" w:after="30"/>
            </w:pPr>
            <w:r w:rsidRPr="0018386D">
              <w:t>0.0002</w:t>
            </w:r>
          </w:p>
        </w:tc>
        <w:tc>
          <w:tcPr>
            <w:tcW w:w="1352" w:type="dxa"/>
            <w:shd w:val="clear" w:color="000000" w:fill="FFFFFF"/>
            <w:noWrap/>
            <w:hideMark/>
          </w:tcPr>
          <w:p w14:paraId="3A9A90F7" w14:textId="019FDBC2" w:rsidR="008E2ED2" w:rsidRPr="0018386D" w:rsidRDefault="008E2ED2" w:rsidP="00DD3106">
            <w:pPr>
              <w:pStyle w:val="TableText"/>
              <w:spacing w:before="30" w:after="30"/>
            </w:pPr>
            <w:r w:rsidRPr="0018386D">
              <w:t>0.00002</w:t>
            </w:r>
          </w:p>
        </w:tc>
      </w:tr>
    </w:tbl>
    <w:p w14:paraId="573B0C50" w14:textId="0A0B5850" w:rsidR="008B3986" w:rsidRPr="0018386D" w:rsidRDefault="007C42DD" w:rsidP="00DD3106">
      <w:pPr>
        <w:pStyle w:val="Note"/>
      </w:pPr>
      <w:bookmarkStart w:id="384" w:name="_Ref529968848"/>
      <w:r w:rsidRPr="0018386D">
        <w:rPr>
          <w:b/>
          <w:bCs/>
        </w:rPr>
        <w:t>Note</w:t>
      </w:r>
      <w:r w:rsidR="003438E6" w:rsidRPr="0018386D">
        <w:rPr>
          <w:b/>
          <w:bCs/>
        </w:rPr>
        <w:t>:</w:t>
      </w:r>
      <w:r w:rsidR="003438E6" w:rsidRPr="0018386D">
        <w:t xml:space="preserve"> T</w:t>
      </w:r>
      <w:r w:rsidRPr="0018386D">
        <w:t xml:space="preserve">hese numbers are rounded to three decimal places unless the number </w:t>
      </w:r>
      <w:r w:rsidR="00BA31FD" w:rsidRPr="0018386D">
        <w:t>is significantly small</w:t>
      </w:r>
      <w:r w:rsidRPr="0018386D">
        <w:t>.</w:t>
      </w:r>
      <w:r w:rsidR="008B3986" w:rsidRPr="0018386D">
        <w:t xml:space="preserve"> </w:t>
      </w:r>
    </w:p>
    <w:p w14:paraId="65091CD5" w14:textId="34ACBE14" w:rsidR="001D1CD6" w:rsidRPr="0018386D" w:rsidRDefault="004837A7" w:rsidP="00DD3106">
      <w:pPr>
        <w:pStyle w:val="Tableheading"/>
      </w:pPr>
      <w:bookmarkStart w:id="385" w:name="_Ref55220332"/>
      <w:bookmarkStart w:id="386" w:name="table18"/>
      <w:bookmarkStart w:id="387" w:name="_Ref532803223"/>
      <w:bookmarkStart w:id="388" w:name="_Toc111536624"/>
      <w:bookmarkStart w:id="389" w:name="_Toc140048959"/>
      <w:r w:rsidRPr="0018386D">
        <w:t xml:space="preserve">Table </w:t>
      </w:r>
      <w:r w:rsidRPr="0018386D">
        <w:fldChar w:fldCharType="begin"/>
      </w:r>
      <w:r w:rsidRPr="0018386D">
        <w:instrText>SEQ Table \* ARABIC</w:instrText>
      </w:r>
      <w:r w:rsidRPr="0018386D">
        <w:fldChar w:fldCharType="separate"/>
      </w:r>
      <w:r w:rsidR="003E141C" w:rsidRPr="0018386D">
        <w:t>19</w:t>
      </w:r>
      <w:r w:rsidRPr="0018386D">
        <w:fldChar w:fldCharType="end"/>
      </w:r>
      <w:bookmarkEnd w:id="385"/>
      <w:bookmarkEnd w:id="386"/>
      <w:r w:rsidRPr="0018386D">
        <w:t>:</w:t>
      </w:r>
      <w:r w:rsidR="00D61811" w:rsidRPr="0018386D">
        <w:tab/>
      </w:r>
      <w:bookmarkStart w:id="390" w:name="table19two"/>
      <w:bookmarkEnd w:id="390"/>
      <w:proofErr w:type="gramStart"/>
      <w:r w:rsidRPr="0018386D">
        <w:t>Post-2015</w:t>
      </w:r>
      <w:proofErr w:type="gramEnd"/>
      <w:r w:rsidRPr="0018386D">
        <w:t xml:space="preserve"> vehicle fleet emissions per km travelled</w:t>
      </w:r>
      <w:bookmarkEnd w:id="384"/>
      <w:bookmarkEnd w:id="387"/>
      <w:bookmarkEnd w:id="388"/>
      <w:bookmarkEnd w:id="389"/>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499"/>
        <w:gridCol w:w="1334"/>
        <w:gridCol w:w="502"/>
        <w:gridCol w:w="1168"/>
        <w:gridCol w:w="1334"/>
        <w:gridCol w:w="1334"/>
        <w:gridCol w:w="1334"/>
      </w:tblGrid>
      <w:tr w:rsidR="00D52803" w:rsidRPr="0018386D" w14:paraId="24C8A3F0" w14:textId="77777777" w:rsidTr="00575E53">
        <w:trPr>
          <w:divId w:val="2012029796"/>
          <w:tblHeader/>
        </w:trPr>
        <w:tc>
          <w:tcPr>
            <w:tcW w:w="1531" w:type="dxa"/>
            <w:tcBorders>
              <w:bottom w:val="nil"/>
            </w:tcBorders>
            <w:shd w:val="clear" w:color="000000" w:fill="1C556C"/>
            <w:noWrap/>
            <w:vAlign w:val="bottom"/>
            <w:hideMark/>
          </w:tcPr>
          <w:p w14:paraId="435AB271" w14:textId="2ED78130" w:rsidR="008E2ED2" w:rsidRPr="0018386D" w:rsidRDefault="008E2ED2" w:rsidP="00DD3106">
            <w:pPr>
              <w:pStyle w:val="TableTextbold"/>
              <w:spacing w:before="30" w:after="30"/>
              <w:rPr>
                <w:color w:val="FFFFFF" w:themeColor="background1"/>
              </w:rPr>
            </w:pPr>
            <w:bookmarkStart w:id="391" w:name="_1746366796"/>
            <w:bookmarkStart w:id="392" w:name="_1745997838"/>
            <w:bookmarkStart w:id="393" w:name="_1746254058"/>
            <w:bookmarkStart w:id="394" w:name="_1747051254"/>
            <w:bookmarkEnd w:id="391"/>
            <w:bookmarkEnd w:id="392"/>
            <w:bookmarkEnd w:id="393"/>
            <w:bookmarkEnd w:id="394"/>
            <w:r w:rsidRPr="0018386D">
              <w:rPr>
                <w:color w:val="FFFFFF" w:themeColor="background1"/>
              </w:rPr>
              <w:t>Emission source category</w:t>
            </w:r>
          </w:p>
        </w:tc>
        <w:tc>
          <w:tcPr>
            <w:tcW w:w="1361" w:type="dxa"/>
            <w:shd w:val="clear" w:color="000000" w:fill="1C556C"/>
            <w:noWrap/>
            <w:vAlign w:val="bottom"/>
            <w:hideMark/>
          </w:tcPr>
          <w:p w14:paraId="097C6508" w14:textId="5C6176C1" w:rsidR="008E2ED2" w:rsidRPr="0018386D" w:rsidRDefault="008E2ED2" w:rsidP="00DD3106">
            <w:pPr>
              <w:pStyle w:val="TableTextbold"/>
              <w:spacing w:before="30" w:after="30"/>
              <w:rPr>
                <w:color w:val="FFFFFF" w:themeColor="background1"/>
              </w:rPr>
            </w:pPr>
          </w:p>
        </w:tc>
        <w:tc>
          <w:tcPr>
            <w:tcW w:w="510" w:type="dxa"/>
            <w:shd w:val="clear" w:color="000000" w:fill="1C556C"/>
            <w:noWrap/>
            <w:vAlign w:val="bottom"/>
            <w:hideMark/>
          </w:tcPr>
          <w:p w14:paraId="043C9E6E"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191" w:type="dxa"/>
            <w:shd w:val="clear" w:color="000000" w:fill="1C556C"/>
            <w:noWrap/>
            <w:vAlign w:val="bottom"/>
            <w:hideMark/>
          </w:tcPr>
          <w:p w14:paraId="2496901E" w14:textId="1667DBDA"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361" w:type="dxa"/>
            <w:shd w:val="clear" w:color="000000" w:fill="1C556C"/>
            <w:noWrap/>
            <w:vAlign w:val="bottom"/>
            <w:hideMark/>
          </w:tcPr>
          <w:p w14:paraId="3F23A48B" w14:textId="3DFAEE5D"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w:t>
            </w:r>
            <w:r w:rsidR="00C16A03" w:rsidRPr="0018386D">
              <w:rPr>
                <w:color w:val="FFFFFF" w:themeColor="background1"/>
              </w:rPr>
              <w:t xml:space="preserve"> </w:t>
            </w:r>
            <w:r w:rsidRPr="0018386D">
              <w:rPr>
                <w:color w:val="FFFFFF" w:themeColor="background1"/>
              </w:rPr>
              <w:t>unit)</w:t>
            </w:r>
          </w:p>
        </w:tc>
        <w:tc>
          <w:tcPr>
            <w:tcW w:w="1361" w:type="dxa"/>
            <w:shd w:val="clear" w:color="000000" w:fill="1C556C"/>
            <w:noWrap/>
            <w:vAlign w:val="bottom"/>
            <w:hideMark/>
          </w:tcPr>
          <w:p w14:paraId="556C3393" w14:textId="5E974D42" w:rsidR="008E2ED2" w:rsidRPr="0018386D" w:rsidRDefault="008E2ED2" w:rsidP="00DD3106">
            <w:pPr>
              <w:pStyle w:val="TableTextbold"/>
              <w:spacing w:before="30" w:after="30"/>
              <w:rPr>
                <w:color w:val="FFFFFF" w:themeColor="background1"/>
              </w:rPr>
            </w:pPr>
            <w:r w:rsidRPr="0018386D">
              <w:rPr>
                <w:color w:val="FFFFFF" w:themeColor="background1"/>
              </w:rPr>
              <w:t>CH₄ (kg CO₂-e/</w:t>
            </w:r>
            <w:r w:rsidR="00C16A03" w:rsidRPr="0018386D">
              <w:rPr>
                <w:color w:val="FFFFFF" w:themeColor="background1"/>
              </w:rPr>
              <w:t xml:space="preserve"> </w:t>
            </w:r>
            <w:r w:rsidRPr="0018386D">
              <w:rPr>
                <w:color w:val="FFFFFF" w:themeColor="background1"/>
              </w:rPr>
              <w:t>unit)</w:t>
            </w:r>
          </w:p>
        </w:tc>
        <w:tc>
          <w:tcPr>
            <w:tcW w:w="1361" w:type="dxa"/>
            <w:shd w:val="clear" w:color="000000" w:fill="1C556C"/>
            <w:noWrap/>
            <w:vAlign w:val="bottom"/>
            <w:hideMark/>
          </w:tcPr>
          <w:p w14:paraId="33036864" w14:textId="6D7BD742" w:rsidR="008E2ED2" w:rsidRPr="0018386D" w:rsidRDefault="008E2ED2" w:rsidP="00DD3106">
            <w:pPr>
              <w:pStyle w:val="TableTextbold"/>
              <w:spacing w:before="30" w:after="30"/>
              <w:rPr>
                <w:color w:val="FFFFFF" w:themeColor="background1"/>
              </w:rPr>
            </w:pPr>
            <w:r w:rsidRPr="0018386D">
              <w:rPr>
                <w:color w:val="FFFFFF" w:themeColor="background1"/>
              </w:rPr>
              <w:t>N₂O (kg CO₂-e/</w:t>
            </w:r>
            <w:r w:rsidR="00C16A03" w:rsidRPr="0018386D">
              <w:rPr>
                <w:color w:val="FFFFFF" w:themeColor="background1"/>
              </w:rPr>
              <w:t xml:space="preserve"> </w:t>
            </w:r>
            <w:r w:rsidRPr="0018386D">
              <w:rPr>
                <w:color w:val="FFFFFF" w:themeColor="background1"/>
              </w:rPr>
              <w:t>unit)</w:t>
            </w:r>
          </w:p>
        </w:tc>
      </w:tr>
      <w:tr w:rsidR="00565B50" w:rsidRPr="0018386D" w14:paraId="5B9463A4"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4045FF56" w14:textId="77777777" w:rsidR="008E2ED2" w:rsidRPr="0018386D" w:rsidRDefault="008E2ED2" w:rsidP="00DD3106">
            <w:pPr>
              <w:pStyle w:val="TableText"/>
              <w:spacing w:before="30" w:after="30"/>
            </w:pPr>
            <w:r w:rsidRPr="0018386D">
              <w:t>Petrol vehicle</w:t>
            </w:r>
          </w:p>
        </w:tc>
        <w:tc>
          <w:tcPr>
            <w:tcW w:w="1361" w:type="dxa"/>
            <w:tcBorders>
              <w:left w:val="single" w:sz="4" w:space="0" w:color="auto"/>
            </w:tcBorders>
            <w:shd w:val="clear" w:color="000000" w:fill="FFFFFF"/>
            <w:noWrap/>
            <w:hideMark/>
          </w:tcPr>
          <w:p w14:paraId="58615537"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290F0A0E"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1018437" w14:textId="7D5EAC5A" w:rsidR="008E2ED2" w:rsidRPr="0018386D" w:rsidRDefault="008E2ED2" w:rsidP="00DD3106">
            <w:pPr>
              <w:pStyle w:val="TableText"/>
              <w:spacing w:before="30" w:after="30"/>
            </w:pPr>
            <w:r w:rsidRPr="0018386D">
              <w:t>0.159</w:t>
            </w:r>
          </w:p>
        </w:tc>
        <w:tc>
          <w:tcPr>
            <w:tcW w:w="1361" w:type="dxa"/>
            <w:shd w:val="clear" w:color="000000" w:fill="FFFFFF"/>
            <w:noWrap/>
            <w:hideMark/>
          </w:tcPr>
          <w:p w14:paraId="723A169B" w14:textId="3406E62B" w:rsidR="008E2ED2" w:rsidRPr="0018386D" w:rsidRDefault="008E2ED2" w:rsidP="00DD3106">
            <w:pPr>
              <w:pStyle w:val="TableText"/>
              <w:spacing w:before="30" w:after="30"/>
            </w:pPr>
            <w:r w:rsidRPr="0018386D">
              <w:t>0.153</w:t>
            </w:r>
          </w:p>
        </w:tc>
        <w:tc>
          <w:tcPr>
            <w:tcW w:w="1361" w:type="dxa"/>
            <w:shd w:val="clear" w:color="000000" w:fill="FFFFFF"/>
            <w:noWrap/>
            <w:hideMark/>
          </w:tcPr>
          <w:p w14:paraId="39823657" w14:textId="07B8C1A3" w:rsidR="008E2ED2" w:rsidRPr="0018386D" w:rsidRDefault="008E2ED2" w:rsidP="00DD3106">
            <w:pPr>
              <w:pStyle w:val="TableText"/>
              <w:spacing w:before="30" w:after="30"/>
            </w:pPr>
            <w:r w:rsidRPr="0018386D">
              <w:t>0.00201</w:t>
            </w:r>
          </w:p>
        </w:tc>
        <w:tc>
          <w:tcPr>
            <w:tcW w:w="1361" w:type="dxa"/>
            <w:shd w:val="clear" w:color="000000" w:fill="FFFFFF"/>
            <w:noWrap/>
            <w:hideMark/>
          </w:tcPr>
          <w:p w14:paraId="536B6F29" w14:textId="55E93EAA" w:rsidR="008E2ED2" w:rsidRPr="0018386D" w:rsidRDefault="008E2ED2" w:rsidP="00DD3106">
            <w:pPr>
              <w:pStyle w:val="TableText"/>
              <w:spacing w:before="30" w:after="30"/>
            </w:pPr>
            <w:r w:rsidRPr="0018386D">
              <w:t>0.00461</w:t>
            </w:r>
          </w:p>
        </w:tc>
      </w:tr>
      <w:tr w:rsidR="00565B50" w:rsidRPr="0018386D" w14:paraId="06A89F1B"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66BF6C0F"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58A1615A" w14:textId="12240A6E"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422094BC"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76F6BE5E" w14:textId="0BB0CAD9" w:rsidR="008E2ED2" w:rsidRPr="0018386D" w:rsidRDefault="008E2ED2" w:rsidP="00DD3106">
            <w:pPr>
              <w:pStyle w:val="TableText"/>
              <w:spacing w:before="30" w:after="30"/>
            </w:pPr>
            <w:r w:rsidRPr="0018386D">
              <w:t>0.165</w:t>
            </w:r>
          </w:p>
        </w:tc>
        <w:tc>
          <w:tcPr>
            <w:tcW w:w="1361" w:type="dxa"/>
            <w:shd w:val="clear" w:color="000000" w:fill="FFFFFF"/>
            <w:noWrap/>
            <w:hideMark/>
          </w:tcPr>
          <w:p w14:paraId="72F226B0" w14:textId="186292BE" w:rsidR="008E2ED2" w:rsidRPr="0018386D" w:rsidRDefault="008E2ED2" w:rsidP="00DD3106">
            <w:pPr>
              <w:pStyle w:val="TableText"/>
              <w:spacing w:before="30" w:after="30"/>
            </w:pPr>
            <w:r w:rsidRPr="0018386D">
              <w:t>0.158</w:t>
            </w:r>
          </w:p>
        </w:tc>
        <w:tc>
          <w:tcPr>
            <w:tcW w:w="1361" w:type="dxa"/>
            <w:shd w:val="clear" w:color="000000" w:fill="FFFFFF"/>
            <w:noWrap/>
            <w:hideMark/>
          </w:tcPr>
          <w:p w14:paraId="4EC32898" w14:textId="18A44770" w:rsidR="008E2ED2" w:rsidRPr="0018386D" w:rsidRDefault="008E2ED2" w:rsidP="00DD3106">
            <w:pPr>
              <w:pStyle w:val="TableText"/>
              <w:spacing w:before="30" w:after="30"/>
            </w:pPr>
            <w:r w:rsidRPr="0018386D">
              <w:t>0.00208</w:t>
            </w:r>
          </w:p>
        </w:tc>
        <w:tc>
          <w:tcPr>
            <w:tcW w:w="1361" w:type="dxa"/>
            <w:shd w:val="clear" w:color="000000" w:fill="FFFFFF"/>
            <w:noWrap/>
            <w:hideMark/>
          </w:tcPr>
          <w:p w14:paraId="2FF93665" w14:textId="715540F1" w:rsidR="008E2ED2" w:rsidRPr="0018386D" w:rsidRDefault="008E2ED2" w:rsidP="00DD3106">
            <w:pPr>
              <w:pStyle w:val="TableText"/>
              <w:spacing w:before="30" w:after="30"/>
            </w:pPr>
            <w:r w:rsidRPr="0018386D">
              <w:t>0.00477</w:t>
            </w:r>
          </w:p>
        </w:tc>
      </w:tr>
      <w:tr w:rsidR="00565B50" w:rsidRPr="0018386D" w14:paraId="5FE1759F"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0DEC7D31"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448B84FC" w14:textId="70D519FF"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37799CA0"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F7A813D" w14:textId="3A534E8A" w:rsidR="008E2ED2" w:rsidRPr="0018386D" w:rsidRDefault="008E2ED2" w:rsidP="00DD3106">
            <w:pPr>
              <w:pStyle w:val="TableText"/>
              <w:spacing w:before="30" w:after="30"/>
            </w:pPr>
            <w:r w:rsidRPr="0018386D">
              <w:t>0.186</w:t>
            </w:r>
          </w:p>
        </w:tc>
        <w:tc>
          <w:tcPr>
            <w:tcW w:w="1361" w:type="dxa"/>
            <w:shd w:val="clear" w:color="000000" w:fill="FFFFFF"/>
            <w:noWrap/>
            <w:hideMark/>
          </w:tcPr>
          <w:p w14:paraId="29BCD635" w14:textId="28F8C433" w:rsidR="008E2ED2" w:rsidRPr="0018386D" w:rsidRDefault="008E2ED2" w:rsidP="00DD3106">
            <w:pPr>
              <w:pStyle w:val="TableText"/>
              <w:spacing w:before="30" w:after="30"/>
            </w:pPr>
            <w:r w:rsidRPr="0018386D">
              <w:t>0.178</w:t>
            </w:r>
          </w:p>
        </w:tc>
        <w:tc>
          <w:tcPr>
            <w:tcW w:w="1361" w:type="dxa"/>
            <w:shd w:val="clear" w:color="000000" w:fill="FFFFFF"/>
            <w:noWrap/>
            <w:hideMark/>
          </w:tcPr>
          <w:p w14:paraId="4C7268F3" w14:textId="6A8B979D" w:rsidR="008E2ED2" w:rsidRPr="0018386D" w:rsidRDefault="008E2ED2" w:rsidP="00DD3106">
            <w:pPr>
              <w:pStyle w:val="TableText"/>
              <w:spacing w:before="30" w:after="30"/>
            </w:pPr>
            <w:r w:rsidRPr="0018386D">
              <w:t>0.00234</w:t>
            </w:r>
          </w:p>
        </w:tc>
        <w:tc>
          <w:tcPr>
            <w:tcW w:w="1361" w:type="dxa"/>
            <w:shd w:val="clear" w:color="000000" w:fill="FFFFFF"/>
            <w:noWrap/>
            <w:hideMark/>
          </w:tcPr>
          <w:p w14:paraId="5C3106DF" w14:textId="08445FFE" w:rsidR="008E2ED2" w:rsidRPr="0018386D" w:rsidRDefault="008E2ED2" w:rsidP="00DD3106">
            <w:pPr>
              <w:pStyle w:val="TableText"/>
              <w:spacing w:before="30" w:after="30"/>
            </w:pPr>
            <w:r w:rsidRPr="0018386D">
              <w:t>0.00537</w:t>
            </w:r>
          </w:p>
        </w:tc>
      </w:tr>
      <w:tr w:rsidR="00565B50" w:rsidRPr="0018386D" w14:paraId="5393FD6A"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676A4214"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7275F9FD" w14:textId="604F4F0C" w:rsidR="008E2ED2" w:rsidRPr="0018386D" w:rsidRDefault="008E2ED2" w:rsidP="00DD3106">
            <w:pPr>
              <w:pStyle w:val="TableText"/>
              <w:spacing w:before="30" w:after="30"/>
            </w:pPr>
            <w:r w:rsidRPr="0018386D">
              <w:t>2000–3000 cc</w:t>
            </w:r>
          </w:p>
        </w:tc>
        <w:tc>
          <w:tcPr>
            <w:tcW w:w="510" w:type="dxa"/>
            <w:shd w:val="clear" w:color="000000" w:fill="FFFFFF"/>
            <w:noWrap/>
            <w:hideMark/>
          </w:tcPr>
          <w:p w14:paraId="3304615D"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A17E967" w14:textId="5D9868B5" w:rsidR="008E2ED2" w:rsidRPr="0018386D" w:rsidRDefault="008E2ED2" w:rsidP="00DD3106">
            <w:pPr>
              <w:pStyle w:val="TableText"/>
              <w:spacing w:before="30" w:after="30"/>
            </w:pPr>
            <w:r w:rsidRPr="0018386D">
              <w:t>0.206</w:t>
            </w:r>
          </w:p>
        </w:tc>
        <w:tc>
          <w:tcPr>
            <w:tcW w:w="1361" w:type="dxa"/>
            <w:shd w:val="clear" w:color="000000" w:fill="FFFFFF"/>
            <w:noWrap/>
            <w:hideMark/>
          </w:tcPr>
          <w:p w14:paraId="1261EC3D" w14:textId="3AF5D06E" w:rsidR="008E2ED2" w:rsidRPr="0018386D" w:rsidRDefault="008E2ED2" w:rsidP="00DD3106">
            <w:pPr>
              <w:pStyle w:val="TableText"/>
              <w:spacing w:before="30" w:after="30"/>
            </w:pPr>
            <w:r w:rsidRPr="0018386D">
              <w:t>0.198</w:t>
            </w:r>
          </w:p>
        </w:tc>
        <w:tc>
          <w:tcPr>
            <w:tcW w:w="1361" w:type="dxa"/>
            <w:shd w:val="clear" w:color="000000" w:fill="FFFFFF"/>
            <w:noWrap/>
            <w:hideMark/>
          </w:tcPr>
          <w:p w14:paraId="51B08F24" w14:textId="0349DC4A" w:rsidR="008E2ED2" w:rsidRPr="0018386D" w:rsidRDefault="008E2ED2" w:rsidP="00DD3106">
            <w:pPr>
              <w:pStyle w:val="TableText"/>
              <w:spacing w:before="30" w:after="30"/>
            </w:pPr>
            <w:r w:rsidRPr="0018386D">
              <w:t>0.00260</w:t>
            </w:r>
          </w:p>
        </w:tc>
        <w:tc>
          <w:tcPr>
            <w:tcW w:w="1361" w:type="dxa"/>
            <w:shd w:val="clear" w:color="000000" w:fill="FFFFFF"/>
            <w:noWrap/>
            <w:hideMark/>
          </w:tcPr>
          <w:p w14:paraId="7D702DA5" w14:textId="4394AB92" w:rsidR="008E2ED2" w:rsidRPr="0018386D" w:rsidRDefault="008E2ED2" w:rsidP="00DD3106">
            <w:pPr>
              <w:pStyle w:val="TableText"/>
              <w:spacing w:before="30" w:after="30"/>
            </w:pPr>
            <w:r w:rsidRPr="0018386D">
              <w:t>0.00596</w:t>
            </w:r>
          </w:p>
        </w:tc>
      </w:tr>
      <w:tr w:rsidR="00565B50" w:rsidRPr="0018386D" w14:paraId="43026252"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6F6DA9B1"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5D13D180"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5C59126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0242A19" w14:textId="3986CBB8" w:rsidR="008E2ED2" w:rsidRPr="0018386D" w:rsidRDefault="008E2ED2" w:rsidP="00DD3106">
            <w:pPr>
              <w:pStyle w:val="TableText"/>
              <w:spacing w:before="30" w:after="30"/>
            </w:pPr>
            <w:r w:rsidRPr="0018386D">
              <w:t>0.247</w:t>
            </w:r>
          </w:p>
        </w:tc>
        <w:tc>
          <w:tcPr>
            <w:tcW w:w="1361" w:type="dxa"/>
            <w:shd w:val="clear" w:color="000000" w:fill="FFFFFF"/>
            <w:noWrap/>
            <w:hideMark/>
          </w:tcPr>
          <w:p w14:paraId="666FE6C2" w14:textId="03422DDC" w:rsidR="008E2ED2" w:rsidRPr="0018386D" w:rsidRDefault="008E2ED2" w:rsidP="00DD3106">
            <w:pPr>
              <w:pStyle w:val="TableText"/>
              <w:spacing w:before="30" w:after="30"/>
            </w:pPr>
            <w:r w:rsidRPr="0018386D">
              <w:t>0.236</w:t>
            </w:r>
          </w:p>
        </w:tc>
        <w:tc>
          <w:tcPr>
            <w:tcW w:w="1361" w:type="dxa"/>
            <w:shd w:val="clear" w:color="000000" w:fill="FFFFFF"/>
            <w:noWrap/>
            <w:hideMark/>
          </w:tcPr>
          <w:p w14:paraId="6DF48CF8" w14:textId="1CE60680" w:rsidR="008E2ED2" w:rsidRPr="0018386D" w:rsidRDefault="008E2ED2" w:rsidP="00DD3106">
            <w:pPr>
              <w:pStyle w:val="TableText"/>
              <w:spacing w:before="30" w:after="30"/>
            </w:pPr>
            <w:r w:rsidRPr="0018386D">
              <w:t>0.00311</w:t>
            </w:r>
          </w:p>
        </w:tc>
        <w:tc>
          <w:tcPr>
            <w:tcW w:w="1361" w:type="dxa"/>
            <w:shd w:val="clear" w:color="000000" w:fill="FFFFFF"/>
            <w:noWrap/>
            <w:hideMark/>
          </w:tcPr>
          <w:p w14:paraId="59D106E5" w14:textId="3F940B1C" w:rsidR="008E2ED2" w:rsidRPr="0018386D" w:rsidRDefault="008E2ED2" w:rsidP="00DD3106">
            <w:pPr>
              <w:pStyle w:val="TableText"/>
              <w:spacing w:before="30" w:after="30"/>
            </w:pPr>
            <w:r w:rsidRPr="0018386D">
              <w:t>0.00713</w:t>
            </w:r>
          </w:p>
        </w:tc>
      </w:tr>
      <w:tr w:rsidR="00565B50" w:rsidRPr="0018386D" w14:paraId="466AD163"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4D82C98B" w14:textId="77777777" w:rsidR="008E2ED2" w:rsidRPr="0018386D" w:rsidRDefault="008E2ED2" w:rsidP="00DD3106">
            <w:pPr>
              <w:pStyle w:val="TableText"/>
              <w:spacing w:before="30" w:after="30"/>
            </w:pPr>
            <w:r w:rsidRPr="0018386D">
              <w:t>Diesel vehicle</w:t>
            </w:r>
          </w:p>
        </w:tc>
        <w:tc>
          <w:tcPr>
            <w:tcW w:w="1361" w:type="dxa"/>
            <w:tcBorders>
              <w:left w:val="single" w:sz="4" w:space="0" w:color="auto"/>
            </w:tcBorders>
            <w:shd w:val="clear" w:color="000000" w:fill="FFFFFF"/>
            <w:noWrap/>
            <w:hideMark/>
          </w:tcPr>
          <w:p w14:paraId="2D7AA699"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555611E6"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1F987FC" w14:textId="2D7AFAE7" w:rsidR="008E2ED2" w:rsidRPr="0018386D" w:rsidRDefault="008E2ED2" w:rsidP="00DD3106">
            <w:pPr>
              <w:pStyle w:val="TableText"/>
              <w:spacing w:before="30" w:after="30"/>
            </w:pPr>
            <w:r w:rsidRPr="0018386D">
              <w:t>0.178</w:t>
            </w:r>
          </w:p>
        </w:tc>
        <w:tc>
          <w:tcPr>
            <w:tcW w:w="1361" w:type="dxa"/>
            <w:shd w:val="clear" w:color="000000" w:fill="FFFFFF"/>
            <w:noWrap/>
            <w:hideMark/>
          </w:tcPr>
          <w:p w14:paraId="3CE2A9CF" w14:textId="0BAB7ABE" w:rsidR="008E2ED2" w:rsidRPr="0018386D" w:rsidRDefault="008E2ED2" w:rsidP="00DD3106">
            <w:pPr>
              <w:pStyle w:val="TableText"/>
              <w:spacing w:before="30" w:after="30"/>
            </w:pPr>
            <w:r w:rsidRPr="0018386D">
              <w:t>0.175</w:t>
            </w:r>
          </w:p>
        </w:tc>
        <w:tc>
          <w:tcPr>
            <w:tcW w:w="1361" w:type="dxa"/>
            <w:shd w:val="clear" w:color="000000" w:fill="FFFFFF"/>
            <w:noWrap/>
            <w:hideMark/>
          </w:tcPr>
          <w:p w14:paraId="5E994D2E" w14:textId="4C906F10" w:rsidR="008E2ED2" w:rsidRPr="0018386D" w:rsidRDefault="008E2ED2" w:rsidP="00DD3106">
            <w:pPr>
              <w:pStyle w:val="TableText"/>
              <w:spacing w:before="30" w:after="30"/>
            </w:pPr>
            <w:r w:rsidRPr="0018386D">
              <w:t>0.0003</w:t>
            </w:r>
          </w:p>
        </w:tc>
        <w:tc>
          <w:tcPr>
            <w:tcW w:w="1361" w:type="dxa"/>
            <w:shd w:val="clear" w:color="000000" w:fill="FFFFFF"/>
            <w:noWrap/>
            <w:hideMark/>
          </w:tcPr>
          <w:p w14:paraId="3A32B587" w14:textId="5C01A0D0" w:rsidR="008E2ED2" w:rsidRPr="0018386D" w:rsidRDefault="008E2ED2" w:rsidP="00DD3106">
            <w:pPr>
              <w:pStyle w:val="TableText"/>
              <w:spacing w:before="30" w:after="30"/>
            </w:pPr>
            <w:r w:rsidRPr="0018386D">
              <w:t>0.00247</w:t>
            </w:r>
          </w:p>
        </w:tc>
      </w:tr>
      <w:tr w:rsidR="00565B50" w:rsidRPr="0018386D" w14:paraId="5F7E1BB0"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0AEF9889"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24BB83E2" w14:textId="53EB2A54"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48BF2CD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9286010" w14:textId="7FC3C72E" w:rsidR="008E2ED2" w:rsidRPr="0018386D" w:rsidRDefault="008E2ED2" w:rsidP="00DD3106">
            <w:pPr>
              <w:pStyle w:val="TableText"/>
              <w:spacing w:before="30" w:after="30"/>
            </w:pPr>
            <w:r w:rsidRPr="0018386D">
              <w:t>0.171</w:t>
            </w:r>
          </w:p>
        </w:tc>
        <w:tc>
          <w:tcPr>
            <w:tcW w:w="1361" w:type="dxa"/>
            <w:shd w:val="clear" w:color="000000" w:fill="FFFFFF"/>
            <w:noWrap/>
            <w:hideMark/>
          </w:tcPr>
          <w:p w14:paraId="4CFA40D8" w14:textId="14BD3AC8" w:rsidR="008E2ED2" w:rsidRPr="0018386D" w:rsidRDefault="008E2ED2" w:rsidP="00DD3106">
            <w:pPr>
              <w:pStyle w:val="TableText"/>
              <w:spacing w:before="30" w:after="30"/>
            </w:pPr>
            <w:r w:rsidRPr="0018386D">
              <w:t>0.168</w:t>
            </w:r>
          </w:p>
        </w:tc>
        <w:tc>
          <w:tcPr>
            <w:tcW w:w="1361" w:type="dxa"/>
            <w:shd w:val="clear" w:color="000000" w:fill="FFFFFF"/>
            <w:noWrap/>
            <w:hideMark/>
          </w:tcPr>
          <w:p w14:paraId="3796820D" w14:textId="3A84C2EE" w:rsidR="008E2ED2" w:rsidRPr="0018386D" w:rsidRDefault="008E2ED2" w:rsidP="00DD3106">
            <w:pPr>
              <w:pStyle w:val="TableText"/>
              <w:spacing w:before="30" w:after="30"/>
            </w:pPr>
            <w:r w:rsidRPr="0018386D">
              <w:t>0.0003</w:t>
            </w:r>
          </w:p>
        </w:tc>
        <w:tc>
          <w:tcPr>
            <w:tcW w:w="1361" w:type="dxa"/>
            <w:shd w:val="clear" w:color="000000" w:fill="FFFFFF"/>
            <w:noWrap/>
            <w:hideMark/>
          </w:tcPr>
          <w:p w14:paraId="2407EF90" w14:textId="1236E7C0" w:rsidR="008E2ED2" w:rsidRPr="0018386D" w:rsidRDefault="008E2ED2" w:rsidP="00DD3106">
            <w:pPr>
              <w:pStyle w:val="TableText"/>
              <w:spacing w:before="30" w:after="30"/>
            </w:pPr>
            <w:r w:rsidRPr="0018386D">
              <w:t>0.00238</w:t>
            </w:r>
          </w:p>
        </w:tc>
      </w:tr>
      <w:tr w:rsidR="00565B50" w:rsidRPr="0018386D" w14:paraId="50D5233D"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03F90782"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03A1AE2B" w14:textId="50698F3E"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6CA353FA"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50D98C0A" w14:textId="7CA90E11" w:rsidR="008E2ED2" w:rsidRPr="0018386D" w:rsidRDefault="008E2ED2" w:rsidP="00DD3106">
            <w:pPr>
              <w:pStyle w:val="TableText"/>
              <w:spacing w:before="30" w:after="30"/>
            </w:pPr>
            <w:r w:rsidRPr="0018386D">
              <w:t>0.181</w:t>
            </w:r>
          </w:p>
        </w:tc>
        <w:tc>
          <w:tcPr>
            <w:tcW w:w="1361" w:type="dxa"/>
            <w:shd w:val="clear" w:color="000000" w:fill="FFFFFF"/>
            <w:noWrap/>
            <w:hideMark/>
          </w:tcPr>
          <w:p w14:paraId="44DE3CF7" w14:textId="7C8DAC7D" w:rsidR="008E2ED2" w:rsidRPr="0018386D" w:rsidRDefault="008E2ED2" w:rsidP="00DD3106">
            <w:pPr>
              <w:pStyle w:val="TableText"/>
              <w:spacing w:before="30" w:after="30"/>
            </w:pPr>
            <w:r w:rsidRPr="0018386D">
              <w:t>0.179</w:t>
            </w:r>
          </w:p>
        </w:tc>
        <w:tc>
          <w:tcPr>
            <w:tcW w:w="1361" w:type="dxa"/>
            <w:shd w:val="clear" w:color="000000" w:fill="FFFFFF"/>
            <w:noWrap/>
            <w:hideMark/>
          </w:tcPr>
          <w:p w14:paraId="1CD5A7B3" w14:textId="77777777" w:rsidR="008E2ED2" w:rsidRPr="0018386D" w:rsidRDefault="008E2ED2" w:rsidP="00DD3106">
            <w:pPr>
              <w:pStyle w:val="TableText"/>
              <w:spacing w:before="30" w:after="30"/>
            </w:pPr>
            <w:r w:rsidRPr="0018386D">
              <w:t>0.0003</w:t>
            </w:r>
          </w:p>
        </w:tc>
        <w:tc>
          <w:tcPr>
            <w:tcW w:w="1361" w:type="dxa"/>
            <w:shd w:val="clear" w:color="000000" w:fill="FFFFFF"/>
            <w:noWrap/>
            <w:hideMark/>
          </w:tcPr>
          <w:p w14:paraId="4B8F3AF2" w14:textId="621F4399" w:rsidR="008E2ED2" w:rsidRPr="0018386D" w:rsidRDefault="008E2ED2" w:rsidP="00DD3106">
            <w:pPr>
              <w:pStyle w:val="TableText"/>
              <w:spacing w:before="30" w:after="30"/>
            </w:pPr>
            <w:r w:rsidRPr="0018386D">
              <w:t>0.00252</w:t>
            </w:r>
          </w:p>
        </w:tc>
      </w:tr>
      <w:tr w:rsidR="00565B50" w:rsidRPr="0018386D" w14:paraId="3C5D14BC"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1BB5C663" w14:textId="77777777" w:rsidR="008E2ED2" w:rsidRPr="0018386D" w:rsidRDefault="008E2ED2" w:rsidP="00DD3106">
            <w:pPr>
              <w:pStyle w:val="TableText"/>
              <w:spacing w:before="30" w:after="30"/>
            </w:pPr>
            <w:r w:rsidRPr="0018386D">
              <w:lastRenderedPageBreak/>
              <w:t> </w:t>
            </w:r>
          </w:p>
        </w:tc>
        <w:tc>
          <w:tcPr>
            <w:tcW w:w="1361" w:type="dxa"/>
            <w:tcBorders>
              <w:left w:val="single" w:sz="4" w:space="0" w:color="auto"/>
            </w:tcBorders>
            <w:shd w:val="clear" w:color="000000" w:fill="FFFFFF"/>
            <w:noWrap/>
            <w:hideMark/>
          </w:tcPr>
          <w:p w14:paraId="278874AC" w14:textId="678E2E85"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38F0A082"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24A73A5" w14:textId="549B8400" w:rsidR="008E2ED2" w:rsidRPr="0018386D" w:rsidRDefault="008E2ED2" w:rsidP="00DD3106">
            <w:pPr>
              <w:pStyle w:val="TableText"/>
              <w:spacing w:before="30" w:after="30"/>
            </w:pPr>
            <w:r w:rsidRPr="0018386D">
              <w:t>0.223</w:t>
            </w:r>
          </w:p>
        </w:tc>
        <w:tc>
          <w:tcPr>
            <w:tcW w:w="1361" w:type="dxa"/>
            <w:shd w:val="clear" w:color="000000" w:fill="FFFFFF"/>
            <w:noWrap/>
            <w:hideMark/>
          </w:tcPr>
          <w:p w14:paraId="7D43414D" w14:textId="6D23CC1D" w:rsidR="008E2ED2" w:rsidRPr="0018386D" w:rsidRDefault="008E2ED2" w:rsidP="00DD3106">
            <w:pPr>
              <w:pStyle w:val="TableText"/>
              <w:spacing w:before="30" w:after="30"/>
            </w:pPr>
            <w:r w:rsidRPr="0018386D">
              <w:t>0.219</w:t>
            </w:r>
          </w:p>
        </w:tc>
        <w:tc>
          <w:tcPr>
            <w:tcW w:w="1361" w:type="dxa"/>
            <w:shd w:val="clear" w:color="000000" w:fill="FFFFFF"/>
            <w:noWrap/>
            <w:hideMark/>
          </w:tcPr>
          <w:p w14:paraId="182D284E" w14:textId="77777777" w:rsidR="008E2ED2" w:rsidRPr="0018386D" w:rsidRDefault="008E2ED2" w:rsidP="00DD3106">
            <w:pPr>
              <w:pStyle w:val="TableText"/>
              <w:spacing w:before="30" w:after="30"/>
            </w:pPr>
            <w:r w:rsidRPr="0018386D">
              <w:t>0.0003</w:t>
            </w:r>
          </w:p>
        </w:tc>
        <w:tc>
          <w:tcPr>
            <w:tcW w:w="1361" w:type="dxa"/>
            <w:shd w:val="clear" w:color="000000" w:fill="FFFFFF"/>
            <w:noWrap/>
            <w:hideMark/>
          </w:tcPr>
          <w:p w14:paraId="176FF029" w14:textId="115A65C1" w:rsidR="008E2ED2" w:rsidRPr="0018386D" w:rsidRDefault="008E2ED2" w:rsidP="00DD3106">
            <w:pPr>
              <w:pStyle w:val="TableText"/>
              <w:spacing w:before="30" w:after="30"/>
            </w:pPr>
            <w:r w:rsidRPr="0018386D">
              <w:t>0.00310</w:t>
            </w:r>
          </w:p>
        </w:tc>
      </w:tr>
      <w:tr w:rsidR="00565B50" w:rsidRPr="0018386D" w14:paraId="01844CD1"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59F140D8"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1751826D"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2D054EEA"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3FB12D24" w14:textId="53FE6245" w:rsidR="008E2ED2" w:rsidRPr="0018386D" w:rsidRDefault="008E2ED2" w:rsidP="00DD3106">
            <w:pPr>
              <w:pStyle w:val="TableText"/>
              <w:spacing w:before="30" w:after="30"/>
            </w:pPr>
            <w:r w:rsidRPr="0018386D">
              <w:t>0.247</w:t>
            </w:r>
          </w:p>
        </w:tc>
        <w:tc>
          <w:tcPr>
            <w:tcW w:w="1361" w:type="dxa"/>
            <w:shd w:val="clear" w:color="000000" w:fill="FFFFFF"/>
            <w:noWrap/>
            <w:hideMark/>
          </w:tcPr>
          <w:p w14:paraId="0B1D9885" w14:textId="610CE401" w:rsidR="008E2ED2" w:rsidRPr="0018386D" w:rsidRDefault="008E2ED2" w:rsidP="00DD3106">
            <w:pPr>
              <w:pStyle w:val="TableText"/>
              <w:spacing w:before="30" w:after="30"/>
            </w:pPr>
            <w:r w:rsidRPr="0018386D">
              <w:t>0.243</w:t>
            </w:r>
          </w:p>
        </w:tc>
        <w:tc>
          <w:tcPr>
            <w:tcW w:w="1361" w:type="dxa"/>
            <w:shd w:val="clear" w:color="000000" w:fill="FFFFFF"/>
            <w:noWrap/>
            <w:hideMark/>
          </w:tcPr>
          <w:p w14:paraId="0970E303" w14:textId="4693ECA1" w:rsidR="008E2ED2" w:rsidRPr="0018386D" w:rsidRDefault="008E2ED2" w:rsidP="00DD3106">
            <w:pPr>
              <w:pStyle w:val="TableText"/>
              <w:spacing w:before="30" w:after="30"/>
            </w:pPr>
            <w:r w:rsidRPr="0018386D">
              <w:t>0.0004</w:t>
            </w:r>
          </w:p>
        </w:tc>
        <w:tc>
          <w:tcPr>
            <w:tcW w:w="1361" w:type="dxa"/>
            <w:shd w:val="clear" w:color="000000" w:fill="FFFFFF"/>
            <w:noWrap/>
            <w:hideMark/>
          </w:tcPr>
          <w:p w14:paraId="4AC1A283" w14:textId="33E9B667" w:rsidR="008E2ED2" w:rsidRPr="0018386D" w:rsidRDefault="008E2ED2" w:rsidP="00DD3106">
            <w:pPr>
              <w:pStyle w:val="TableText"/>
              <w:spacing w:before="30" w:after="30"/>
            </w:pPr>
            <w:r w:rsidRPr="0018386D">
              <w:t>0.00344</w:t>
            </w:r>
          </w:p>
        </w:tc>
      </w:tr>
      <w:tr w:rsidR="00565B50" w:rsidRPr="0018386D" w14:paraId="62FA108A"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4B839D81" w14:textId="77777777" w:rsidR="008E2ED2" w:rsidRPr="0018386D" w:rsidRDefault="008E2ED2" w:rsidP="00DD3106">
            <w:pPr>
              <w:pStyle w:val="TableText"/>
              <w:spacing w:before="30" w:after="30"/>
            </w:pPr>
            <w:r w:rsidRPr="0018386D">
              <w:t>Petrol hybrid vehicle</w:t>
            </w:r>
          </w:p>
        </w:tc>
        <w:tc>
          <w:tcPr>
            <w:tcW w:w="1361" w:type="dxa"/>
            <w:tcBorders>
              <w:left w:val="single" w:sz="4" w:space="0" w:color="auto"/>
            </w:tcBorders>
            <w:shd w:val="clear" w:color="000000" w:fill="FFFFFF"/>
            <w:noWrap/>
            <w:hideMark/>
          </w:tcPr>
          <w:p w14:paraId="133E44D2"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56E2DAE5"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57F45C48" w14:textId="2807660F" w:rsidR="008E2ED2" w:rsidRPr="0018386D" w:rsidRDefault="008E2ED2" w:rsidP="00DD3106">
            <w:pPr>
              <w:pStyle w:val="TableText"/>
              <w:spacing w:before="30" w:after="30"/>
            </w:pPr>
            <w:r w:rsidRPr="0018386D">
              <w:t>0.126</w:t>
            </w:r>
          </w:p>
        </w:tc>
        <w:tc>
          <w:tcPr>
            <w:tcW w:w="1361" w:type="dxa"/>
            <w:shd w:val="clear" w:color="000000" w:fill="FFFFFF"/>
            <w:noWrap/>
            <w:hideMark/>
          </w:tcPr>
          <w:p w14:paraId="54850EDF" w14:textId="3EE322B8" w:rsidR="008E2ED2" w:rsidRPr="0018386D" w:rsidRDefault="008E2ED2" w:rsidP="00DD3106">
            <w:pPr>
              <w:pStyle w:val="TableText"/>
              <w:spacing w:before="30" w:after="30"/>
            </w:pPr>
            <w:r w:rsidRPr="0018386D">
              <w:t>0.121</w:t>
            </w:r>
          </w:p>
        </w:tc>
        <w:tc>
          <w:tcPr>
            <w:tcW w:w="1361" w:type="dxa"/>
            <w:shd w:val="clear" w:color="000000" w:fill="FFFFFF"/>
            <w:noWrap/>
            <w:hideMark/>
          </w:tcPr>
          <w:p w14:paraId="0F985D40" w14:textId="2AB7BB72" w:rsidR="008E2ED2" w:rsidRPr="0018386D" w:rsidRDefault="008E2ED2" w:rsidP="00DD3106">
            <w:pPr>
              <w:pStyle w:val="TableText"/>
              <w:spacing w:before="30" w:after="30"/>
            </w:pPr>
            <w:r w:rsidRPr="0018386D">
              <w:t>0.00158</w:t>
            </w:r>
          </w:p>
        </w:tc>
        <w:tc>
          <w:tcPr>
            <w:tcW w:w="1361" w:type="dxa"/>
            <w:shd w:val="clear" w:color="000000" w:fill="FFFFFF"/>
            <w:noWrap/>
            <w:hideMark/>
          </w:tcPr>
          <w:p w14:paraId="633E2ABA" w14:textId="659ECCA5" w:rsidR="008E2ED2" w:rsidRPr="0018386D" w:rsidRDefault="008E2ED2" w:rsidP="00DD3106">
            <w:pPr>
              <w:pStyle w:val="TableText"/>
              <w:spacing w:before="30" w:after="30"/>
            </w:pPr>
            <w:r w:rsidRPr="0018386D">
              <w:t>0.00364</w:t>
            </w:r>
          </w:p>
        </w:tc>
      </w:tr>
      <w:tr w:rsidR="00565B50" w:rsidRPr="0018386D" w14:paraId="0E389C73"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2E595859"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349F1C7C" w14:textId="4682D69A"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571485D4"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95F0C7A" w14:textId="246FBB39" w:rsidR="008E2ED2" w:rsidRPr="0018386D" w:rsidRDefault="008E2ED2" w:rsidP="00DD3106">
            <w:pPr>
              <w:pStyle w:val="TableText"/>
              <w:spacing w:before="30" w:after="30"/>
            </w:pPr>
            <w:r w:rsidRPr="0018386D">
              <w:t>0.130</w:t>
            </w:r>
          </w:p>
        </w:tc>
        <w:tc>
          <w:tcPr>
            <w:tcW w:w="1361" w:type="dxa"/>
            <w:shd w:val="clear" w:color="000000" w:fill="FFFFFF"/>
            <w:noWrap/>
            <w:hideMark/>
          </w:tcPr>
          <w:p w14:paraId="5E6E84D4" w14:textId="6D6E350C" w:rsidR="008E2ED2" w:rsidRPr="0018386D" w:rsidRDefault="008E2ED2" w:rsidP="00DD3106">
            <w:pPr>
              <w:pStyle w:val="TableText"/>
              <w:spacing w:before="30" w:after="30"/>
            </w:pPr>
            <w:r w:rsidRPr="0018386D">
              <w:t>0.125</w:t>
            </w:r>
          </w:p>
        </w:tc>
        <w:tc>
          <w:tcPr>
            <w:tcW w:w="1361" w:type="dxa"/>
            <w:shd w:val="clear" w:color="000000" w:fill="FFFFFF"/>
            <w:noWrap/>
            <w:hideMark/>
          </w:tcPr>
          <w:p w14:paraId="50EA910E" w14:textId="37F6082B" w:rsidR="008E2ED2" w:rsidRPr="0018386D" w:rsidRDefault="008E2ED2" w:rsidP="00DD3106">
            <w:pPr>
              <w:pStyle w:val="TableText"/>
              <w:spacing w:before="30" w:after="30"/>
            </w:pPr>
            <w:r w:rsidRPr="0018386D">
              <w:t>0.00164</w:t>
            </w:r>
          </w:p>
        </w:tc>
        <w:tc>
          <w:tcPr>
            <w:tcW w:w="1361" w:type="dxa"/>
            <w:shd w:val="clear" w:color="000000" w:fill="FFFFFF"/>
            <w:noWrap/>
            <w:hideMark/>
          </w:tcPr>
          <w:p w14:paraId="51CBB055" w14:textId="74A4285E" w:rsidR="008E2ED2" w:rsidRPr="0018386D" w:rsidRDefault="008E2ED2" w:rsidP="00DD3106">
            <w:pPr>
              <w:pStyle w:val="TableText"/>
              <w:spacing w:before="30" w:after="30"/>
            </w:pPr>
            <w:r w:rsidRPr="0018386D">
              <w:t>0.00376</w:t>
            </w:r>
          </w:p>
        </w:tc>
      </w:tr>
      <w:tr w:rsidR="00565B50" w:rsidRPr="0018386D" w14:paraId="48770F83"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2CD6AD03"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42B81FA3" w14:textId="1713DADB"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2CA277FF"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FE24BEC" w14:textId="6FBFCEA2" w:rsidR="008E2ED2" w:rsidRPr="0018386D" w:rsidRDefault="008E2ED2" w:rsidP="00DD3106">
            <w:pPr>
              <w:pStyle w:val="TableText"/>
              <w:spacing w:before="30" w:after="30"/>
            </w:pPr>
            <w:r w:rsidRPr="0018386D">
              <w:t>0.147</w:t>
            </w:r>
          </w:p>
        </w:tc>
        <w:tc>
          <w:tcPr>
            <w:tcW w:w="1361" w:type="dxa"/>
            <w:shd w:val="clear" w:color="000000" w:fill="FFFFFF"/>
            <w:noWrap/>
            <w:hideMark/>
          </w:tcPr>
          <w:p w14:paraId="57879837" w14:textId="2C671D35" w:rsidR="008E2ED2" w:rsidRPr="0018386D" w:rsidRDefault="008E2ED2" w:rsidP="00DD3106">
            <w:pPr>
              <w:pStyle w:val="TableText"/>
              <w:spacing w:before="30" w:after="30"/>
            </w:pPr>
            <w:r w:rsidRPr="0018386D">
              <w:t>0.140</w:t>
            </w:r>
          </w:p>
        </w:tc>
        <w:tc>
          <w:tcPr>
            <w:tcW w:w="1361" w:type="dxa"/>
            <w:shd w:val="clear" w:color="000000" w:fill="FFFFFF"/>
            <w:noWrap/>
            <w:hideMark/>
          </w:tcPr>
          <w:p w14:paraId="07E75D03" w14:textId="0AD83394" w:rsidR="008E2ED2" w:rsidRPr="0018386D" w:rsidRDefault="008E2ED2" w:rsidP="00DD3106">
            <w:pPr>
              <w:pStyle w:val="TableText"/>
              <w:spacing w:before="30" w:after="30"/>
            </w:pPr>
            <w:r w:rsidRPr="0018386D">
              <w:t>0.00185</w:t>
            </w:r>
          </w:p>
        </w:tc>
        <w:tc>
          <w:tcPr>
            <w:tcW w:w="1361" w:type="dxa"/>
            <w:shd w:val="clear" w:color="000000" w:fill="FFFFFF"/>
            <w:noWrap/>
            <w:hideMark/>
          </w:tcPr>
          <w:p w14:paraId="51E7E633" w14:textId="233F6685" w:rsidR="008E2ED2" w:rsidRPr="0018386D" w:rsidRDefault="008E2ED2" w:rsidP="00DD3106">
            <w:pPr>
              <w:pStyle w:val="TableText"/>
              <w:spacing w:before="30" w:after="30"/>
            </w:pPr>
            <w:r w:rsidRPr="0018386D">
              <w:t>0.00424</w:t>
            </w:r>
          </w:p>
        </w:tc>
      </w:tr>
      <w:tr w:rsidR="00565B50" w:rsidRPr="0018386D" w14:paraId="21448F34"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1A9AFE64"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471E0816" w14:textId="6681A811"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662911F3"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50A28EF0" w14:textId="17198026" w:rsidR="008E2ED2" w:rsidRPr="0018386D" w:rsidRDefault="008E2ED2" w:rsidP="00DD3106">
            <w:pPr>
              <w:pStyle w:val="TableText"/>
              <w:spacing w:before="30" w:after="30"/>
            </w:pPr>
            <w:r w:rsidRPr="0018386D">
              <w:t>0.163</w:t>
            </w:r>
          </w:p>
        </w:tc>
        <w:tc>
          <w:tcPr>
            <w:tcW w:w="1361" w:type="dxa"/>
            <w:shd w:val="clear" w:color="000000" w:fill="FFFFFF"/>
            <w:noWrap/>
            <w:hideMark/>
          </w:tcPr>
          <w:p w14:paraId="07526A1A" w14:textId="485601D4" w:rsidR="008E2ED2" w:rsidRPr="0018386D" w:rsidRDefault="008E2ED2" w:rsidP="00DD3106">
            <w:pPr>
              <w:pStyle w:val="TableText"/>
              <w:spacing w:before="30" w:after="30"/>
            </w:pPr>
            <w:r w:rsidRPr="0018386D">
              <w:t>0.156</w:t>
            </w:r>
          </w:p>
        </w:tc>
        <w:tc>
          <w:tcPr>
            <w:tcW w:w="1361" w:type="dxa"/>
            <w:shd w:val="clear" w:color="000000" w:fill="FFFFFF"/>
            <w:noWrap/>
            <w:hideMark/>
          </w:tcPr>
          <w:p w14:paraId="7FBD23E9" w14:textId="2690FB8F" w:rsidR="008E2ED2" w:rsidRPr="0018386D" w:rsidRDefault="008E2ED2" w:rsidP="00DD3106">
            <w:pPr>
              <w:pStyle w:val="TableText"/>
              <w:spacing w:before="30" w:after="30"/>
            </w:pPr>
            <w:r w:rsidRPr="0018386D">
              <w:t>0.00205</w:t>
            </w:r>
          </w:p>
        </w:tc>
        <w:tc>
          <w:tcPr>
            <w:tcW w:w="1361" w:type="dxa"/>
            <w:shd w:val="clear" w:color="000000" w:fill="FFFFFF"/>
            <w:noWrap/>
            <w:hideMark/>
          </w:tcPr>
          <w:p w14:paraId="161791E4" w14:textId="230F52C0" w:rsidR="008E2ED2" w:rsidRPr="0018386D" w:rsidRDefault="008E2ED2" w:rsidP="00DD3106">
            <w:pPr>
              <w:pStyle w:val="TableText"/>
              <w:spacing w:before="30" w:after="30"/>
            </w:pPr>
            <w:r w:rsidRPr="0018386D">
              <w:t>0.00471</w:t>
            </w:r>
          </w:p>
        </w:tc>
      </w:tr>
      <w:tr w:rsidR="00565B50" w:rsidRPr="0018386D" w14:paraId="02ACDDF8"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5E367A48"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6AFE056E"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2E232EAB"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6C22A91" w14:textId="1DE65343" w:rsidR="008E2ED2" w:rsidRPr="0018386D" w:rsidRDefault="008E2ED2" w:rsidP="00DD3106">
            <w:pPr>
              <w:pStyle w:val="TableText"/>
              <w:spacing w:before="30" w:after="30"/>
            </w:pPr>
            <w:r w:rsidRPr="0018386D">
              <w:t>0.195</w:t>
            </w:r>
          </w:p>
        </w:tc>
        <w:tc>
          <w:tcPr>
            <w:tcW w:w="1361" w:type="dxa"/>
            <w:shd w:val="clear" w:color="000000" w:fill="FFFFFF"/>
            <w:noWrap/>
            <w:hideMark/>
          </w:tcPr>
          <w:p w14:paraId="31E7CB5A" w14:textId="2814FE11" w:rsidR="008E2ED2" w:rsidRPr="0018386D" w:rsidRDefault="008E2ED2" w:rsidP="00DD3106">
            <w:pPr>
              <w:pStyle w:val="TableText"/>
              <w:spacing w:before="30" w:after="30"/>
            </w:pPr>
            <w:r w:rsidRPr="0018386D">
              <w:t>0.187</w:t>
            </w:r>
          </w:p>
        </w:tc>
        <w:tc>
          <w:tcPr>
            <w:tcW w:w="1361" w:type="dxa"/>
            <w:shd w:val="clear" w:color="000000" w:fill="FFFFFF"/>
            <w:noWrap/>
            <w:hideMark/>
          </w:tcPr>
          <w:p w14:paraId="24710AE6" w14:textId="4863AC04" w:rsidR="008E2ED2" w:rsidRPr="0018386D" w:rsidRDefault="008E2ED2" w:rsidP="00DD3106">
            <w:pPr>
              <w:pStyle w:val="TableText"/>
              <w:spacing w:before="30" w:after="30"/>
            </w:pPr>
            <w:r w:rsidRPr="0018386D">
              <w:t>0.00245</w:t>
            </w:r>
          </w:p>
        </w:tc>
        <w:tc>
          <w:tcPr>
            <w:tcW w:w="1361" w:type="dxa"/>
            <w:shd w:val="clear" w:color="000000" w:fill="FFFFFF"/>
            <w:noWrap/>
            <w:hideMark/>
          </w:tcPr>
          <w:p w14:paraId="1FBBCCCF" w14:textId="32CAE720" w:rsidR="008E2ED2" w:rsidRPr="0018386D" w:rsidRDefault="008E2ED2" w:rsidP="00DD3106">
            <w:pPr>
              <w:pStyle w:val="TableText"/>
              <w:spacing w:before="30" w:after="30"/>
            </w:pPr>
            <w:r w:rsidRPr="0018386D">
              <w:t>0.00563</w:t>
            </w:r>
          </w:p>
        </w:tc>
      </w:tr>
      <w:tr w:rsidR="00565B50" w:rsidRPr="0018386D" w14:paraId="6B90F774"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3CCC327C" w14:textId="15CEB7AE" w:rsidR="008E2ED2" w:rsidRPr="0018386D" w:rsidRDefault="008E2ED2" w:rsidP="00DD3106">
            <w:pPr>
              <w:pStyle w:val="TableText"/>
              <w:spacing w:before="30" w:after="30"/>
            </w:pPr>
            <w:r w:rsidRPr="0018386D">
              <w:t xml:space="preserve">Diesel </w:t>
            </w:r>
            <w:r w:rsidR="000E5438" w:rsidRPr="0018386D">
              <w:t>h</w:t>
            </w:r>
            <w:r w:rsidRPr="0018386D">
              <w:t>ybrid vehicle</w:t>
            </w:r>
          </w:p>
        </w:tc>
        <w:tc>
          <w:tcPr>
            <w:tcW w:w="1361" w:type="dxa"/>
            <w:tcBorders>
              <w:left w:val="single" w:sz="4" w:space="0" w:color="auto"/>
            </w:tcBorders>
            <w:shd w:val="clear" w:color="000000" w:fill="FFFFFF"/>
            <w:noWrap/>
            <w:hideMark/>
          </w:tcPr>
          <w:p w14:paraId="00B98C28"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69427B1F"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367A54FE" w14:textId="366959F7" w:rsidR="008E2ED2" w:rsidRPr="0018386D" w:rsidRDefault="008E2ED2" w:rsidP="00DD3106">
            <w:pPr>
              <w:pStyle w:val="TableText"/>
              <w:spacing w:before="30" w:after="30"/>
            </w:pPr>
            <w:r w:rsidRPr="0018386D">
              <w:t>0.157</w:t>
            </w:r>
          </w:p>
        </w:tc>
        <w:tc>
          <w:tcPr>
            <w:tcW w:w="1361" w:type="dxa"/>
            <w:shd w:val="clear" w:color="000000" w:fill="FFFFFF"/>
            <w:noWrap/>
            <w:hideMark/>
          </w:tcPr>
          <w:p w14:paraId="0E1B5577" w14:textId="02AD24B6" w:rsidR="008E2ED2" w:rsidRPr="0018386D" w:rsidRDefault="008E2ED2" w:rsidP="00DD3106">
            <w:pPr>
              <w:pStyle w:val="TableText"/>
              <w:spacing w:before="30" w:after="30"/>
            </w:pPr>
            <w:r w:rsidRPr="0018386D">
              <w:t>0.155</w:t>
            </w:r>
          </w:p>
        </w:tc>
        <w:tc>
          <w:tcPr>
            <w:tcW w:w="1361" w:type="dxa"/>
            <w:shd w:val="clear" w:color="000000" w:fill="FFFFFF"/>
            <w:noWrap/>
            <w:hideMark/>
          </w:tcPr>
          <w:p w14:paraId="49AA6AC1" w14:textId="77777777" w:rsidR="008E2ED2" w:rsidRPr="0018386D" w:rsidRDefault="008E2ED2" w:rsidP="00DD3106">
            <w:pPr>
              <w:pStyle w:val="TableText"/>
              <w:spacing w:before="30" w:after="30"/>
            </w:pPr>
            <w:r w:rsidRPr="0018386D">
              <w:t>0.0002</w:t>
            </w:r>
          </w:p>
        </w:tc>
        <w:tc>
          <w:tcPr>
            <w:tcW w:w="1361" w:type="dxa"/>
            <w:shd w:val="clear" w:color="000000" w:fill="FFFFFF"/>
            <w:noWrap/>
            <w:hideMark/>
          </w:tcPr>
          <w:p w14:paraId="29CE549E" w14:textId="476614A3" w:rsidR="008E2ED2" w:rsidRPr="0018386D" w:rsidRDefault="008E2ED2" w:rsidP="00DD3106">
            <w:pPr>
              <w:pStyle w:val="TableText"/>
              <w:spacing w:before="30" w:after="30"/>
            </w:pPr>
            <w:r w:rsidRPr="0018386D">
              <w:t>0.00219</w:t>
            </w:r>
          </w:p>
        </w:tc>
      </w:tr>
      <w:tr w:rsidR="00565B50" w:rsidRPr="0018386D" w14:paraId="1A9C23AD"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337216FA"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3AE835C9" w14:textId="574169F1"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79642600"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212C0DE" w14:textId="038A2AEE" w:rsidR="008E2ED2" w:rsidRPr="0018386D" w:rsidRDefault="008E2ED2" w:rsidP="00DD3106">
            <w:pPr>
              <w:pStyle w:val="TableText"/>
              <w:spacing w:before="30" w:after="30"/>
            </w:pPr>
            <w:r w:rsidRPr="0018386D">
              <w:t>0.151</w:t>
            </w:r>
          </w:p>
        </w:tc>
        <w:tc>
          <w:tcPr>
            <w:tcW w:w="1361" w:type="dxa"/>
            <w:shd w:val="clear" w:color="000000" w:fill="FFFFFF"/>
            <w:noWrap/>
            <w:hideMark/>
          </w:tcPr>
          <w:p w14:paraId="747DC9A8" w14:textId="669DA0E9" w:rsidR="008E2ED2" w:rsidRPr="0018386D" w:rsidRDefault="008E2ED2" w:rsidP="00DD3106">
            <w:pPr>
              <w:pStyle w:val="TableText"/>
              <w:spacing w:before="30" w:after="30"/>
            </w:pPr>
            <w:r w:rsidRPr="0018386D">
              <w:t>0.149</w:t>
            </w:r>
          </w:p>
        </w:tc>
        <w:tc>
          <w:tcPr>
            <w:tcW w:w="1361" w:type="dxa"/>
            <w:shd w:val="clear" w:color="000000" w:fill="FFFFFF"/>
            <w:noWrap/>
            <w:hideMark/>
          </w:tcPr>
          <w:p w14:paraId="18AE170A" w14:textId="77777777" w:rsidR="008E2ED2" w:rsidRPr="0018386D" w:rsidRDefault="008E2ED2" w:rsidP="00DD3106">
            <w:pPr>
              <w:pStyle w:val="TableText"/>
              <w:spacing w:before="30" w:after="30"/>
            </w:pPr>
            <w:r w:rsidRPr="0018386D">
              <w:t>0.0002</w:t>
            </w:r>
          </w:p>
        </w:tc>
        <w:tc>
          <w:tcPr>
            <w:tcW w:w="1361" w:type="dxa"/>
            <w:shd w:val="clear" w:color="000000" w:fill="FFFFFF"/>
            <w:noWrap/>
            <w:hideMark/>
          </w:tcPr>
          <w:p w14:paraId="69B68869" w14:textId="4832EA2E" w:rsidR="008E2ED2" w:rsidRPr="0018386D" w:rsidRDefault="008E2ED2" w:rsidP="00DD3106">
            <w:pPr>
              <w:pStyle w:val="TableText"/>
              <w:spacing w:before="30" w:after="30"/>
            </w:pPr>
            <w:r w:rsidRPr="0018386D">
              <w:t>0.00211</w:t>
            </w:r>
          </w:p>
        </w:tc>
      </w:tr>
      <w:tr w:rsidR="00565B50" w:rsidRPr="0018386D" w14:paraId="006142A1"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73115D2A"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7C3012BC" w14:textId="39E4EDED"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5B4BA783"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066381E" w14:textId="1E88616F" w:rsidR="008E2ED2" w:rsidRPr="0018386D" w:rsidRDefault="008E2ED2" w:rsidP="00DD3106">
            <w:pPr>
              <w:pStyle w:val="TableText"/>
              <w:spacing w:before="30" w:after="30"/>
            </w:pPr>
            <w:r w:rsidRPr="0018386D">
              <w:t>0.160</w:t>
            </w:r>
          </w:p>
        </w:tc>
        <w:tc>
          <w:tcPr>
            <w:tcW w:w="1361" w:type="dxa"/>
            <w:shd w:val="clear" w:color="000000" w:fill="FFFFFF"/>
            <w:noWrap/>
            <w:hideMark/>
          </w:tcPr>
          <w:p w14:paraId="6C837D1C" w14:textId="710EABF9" w:rsidR="008E2ED2" w:rsidRPr="0018386D" w:rsidRDefault="008E2ED2" w:rsidP="00DD3106">
            <w:pPr>
              <w:pStyle w:val="TableText"/>
              <w:spacing w:before="30" w:after="30"/>
            </w:pPr>
            <w:r w:rsidRPr="0018386D">
              <w:t>0.158</w:t>
            </w:r>
          </w:p>
        </w:tc>
        <w:tc>
          <w:tcPr>
            <w:tcW w:w="1361" w:type="dxa"/>
            <w:shd w:val="clear" w:color="000000" w:fill="FFFFFF"/>
            <w:noWrap/>
            <w:hideMark/>
          </w:tcPr>
          <w:p w14:paraId="0B638D71" w14:textId="77777777" w:rsidR="008E2ED2" w:rsidRPr="0018386D" w:rsidRDefault="008E2ED2" w:rsidP="00DD3106">
            <w:pPr>
              <w:pStyle w:val="TableText"/>
              <w:spacing w:before="30" w:after="30"/>
            </w:pPr>
            <w:r w:rsidRPr="0018386D">
              <w:t>0.0002</w:t>
            </w:r>
          </w:p>
        </w:tc>
        <w:tc>
          <w:tcPr>
            <w:tcW w:w="1361" w:type="dxa"/>
            <w:shd w:val="clear" w:color="000000" w:fill="FFFFFF"/>
            <w:noWrap/>
            <w:hideMark/>
          </w:tcPr>
          <w:p w14:paraId="0535EA11" w14:textId="5AE868B1" w:rsidR="008E2ED2" w:rsidRPr="0018386D" w:rsidRDefault="008E2ED2" w:rsidP="00DD3106">
            <w:pPr>
              <w:pStyle w:val="TableText"/>
              <w:spacing w:before="30" w:after="30"/>
            </w:pPr>
            <w:r w:rsidRPr="0018386D">
              <w:t>0.00223</w:t>
            </w:r>
          </w:p>
        </w:tc>
      </w:tr>
      <w:tr w:rsidR="00565B50" w:rsidRPr="0018386D" w14:paraId="5012CFDC"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2E45D3A9"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47D5C493" w14:textId="5D4C4579"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6EE31CE2"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9D7F002" w14:textId="521222D3" w:rsidR="008E2ED2" w:rsidRPr="0018386D" w:rsidRDefault="008E2ED2" w:rsidP="00DD3106">
            <w:pPr>
              <w:pStyle w:val="TableText"/>
              <w:spacing w:before="30" w:after="30"/>
            </w:pPr>
            <w:r w:rsidRPr="0018386D">
              <w:t>0.197</w:t>
            </w:r>
          </w:p>
        </w:tc>
        <w:tc>
          <w:tcPr>
            <w:tcW w:w="1361" w:type="dxa"/>
            <w:shd w:val="clear" w:color="000000" w:fill="FFFFFF"/>
            <w:noWrap/>
            <w:hideMark/>
          </w:tcPr>
          <w:p w14:paraId="0C1F3168" w14:textId="1CCED9C3" w:rsidR="008E2ED2" w:rsidRPr="0018386D" w:rsidRDefault="008E2ED2" w:rsidP="00DD3106">
            <w:pPr>
              <w:pStyle w:val="TableText"/>
              <w:spacing w:before="30" w:after="30"/>
            </w:pPr>
            <w:r w:rsidRPr="0018386D">
              <w:t>0.194</w:t>
            </w:r>
          </w:p>
        </w:tc>
        <w:tc>
          <w:tcPr>
            <w:tcW w:w="1361" w:type="dxa"/>
            <w:shd w:val="clear" w:color="000000" w:fill="FFFFFF"/>
            <w:noWrap/>
            <w:hideMark/>
          </w:tcPr>
          <w:p w14:paraId="23B70A7F" w14:textId="77777777" w:rsidR="008E2ED2" w:rsidRPr="0018386D" w:rsidRDefault="008E2ED2" w:rsidP="00DD3106">
            <w:pPr>
              <w:pStyle w:val="TableText"/>
              <w:spacing w:before="30" w:after="30"/>
            </w:pPr>
            <w:r w:rsidRPr="0018386D">
              <w:t>0.0003</w:t>
            </w:r>
          </w:p>
        </w:tc>
        <w:tc>
          <w:tcPr>
            <w:tcW w:w="1361" w:type="dxa"/>
            <w:shd w:val="clear" w:color="000000" w:fill="FFFFFF"/>
            <w:noWrap/>
            <w:hideMark/>
          </w:tcPr>
          <w:p w14:paraId="401A67F4" w14:textId="4684D0E7" w:rsidR="008E2ED2" w:rsidRPr="0018386D" w:rsidRDefault="008E2ED2" w:rsidP="00DD3106">
            <w:pPr>
              <w:pStyle w:val="TableText"/>
              <w:spacing w:before="30" w:after="30"/>
            </w:pPr>
            <w:r w:rsidRPr="0018386D">
              <w:t>0.00274</w:t>
            </w:r>
          </w:p>
        </w:tc>
      </w:tr>
      <w:tr w:rsidR="00565B50" w:rsidRPr="0018386D" w14:paraId="3EFBD920"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7CBD0B0D"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7B5DF3A5"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5E58FFF1"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75FBC43" w14:textId="704EF732" w:rsidR="008E2ED2" w:rsidRPr="0018386D" w:rsidRDefault="008E2ED2" w:rsidP="00DD3106">
            <w:pPr>
              <w:pStyle w:val="TableText"/>
              <w:spacing w:before="30" w:after="30"/>
            </w:pPr>
            <w:r w:rsidRPr="0018386D">
              <w:t>0.219</w:t>
            </w:r>
          </w:p>
        </w:tc>
        <w:tc>
          <w:tcPr>
            <w:tcW w:w="1361" w:type="dxa"/>
            <w:shd w:val="clear" w:color="000000" w:fill="FFFFFF"/>
            <w:noWrap/>
            <w:hideMark/>
          </w:tcPr>
          <w:p w14:paraId="4EC6058B" w14:textId="206E2BBB" w:rsidR="008E2ED2" w:rsidRPr="0018386D" w:rsidRDefault="008E2ED2" w:rsidP="00DD3106">
            <w:pPr>
              <w:pStyle w:val="TableText"/>
              <w:spacing w:before="30" w:after="30"/>
            </w:pPr>
            <w:r w:rsidRPr="0018386D">
              <w:t>0.215</w:t>
            </w:r>
          </w:p>
        </w:tc>
        <w:tc>
          <w:tcPr>
            <w:tcW w:w="1361" w:type="dxa"/>
            <w:shd w:val="clear" w:color="000000" w:fill="FFFFFF"/>
            <w:noWrap/>
            <w:hideMark/>
          </w:tcPr>
          <w:p w14:paraId="1DCF8FF9" w14:textId="77777777" w:rsidR="008E2ED2" w:rsidRPr="0018386D" w:rsidRDefault="008E2ED2" w:rsidP="00DD3106">
            <w:pPr>
              <w:pStyle w:val="TableText"/>
              <w:spacing w:before="30" w:after="30"/>
            </w:pPr>
            <w:r w:rsidRPr="0018386D">
              <w:t>0.0003</w:t>
            </w:r>
          </w:p>
        </w:tc>
        <w:tc>
          <w:tcPr>
            <w:tcW w:w="1361" w:type="dxa"/>
            <w:shd w:val="clear" w:color="000000" w:fill="FFFFFF"/>
            <w:noWrap/>
            <w:hideMark/>
          </w:tcPr>
          <w:p w14:paraId="3ED2FB34" w14:textId="3D90746F" w:rsidR="008E2ED2" w:rsidRPr="0018386D" w:rsidRDefault="008E2ED2" w:rsidP="00DD3106">
            <w:pPr>
              <w:pStyle w:val="TableText"/>
              <w:spacing w:before="30" w:after="30"/>
            </w:pPr>
            <w:r w:rsidRPr="0018386D">
              <w:t>0.00304</w:t>
            </w:r>
          </w:p>
        </w:tc>
      </w:tr>
      <w:tr w:rsidR="00565B50" w:rsidRPr="0018386D" w14:paraId="5EA552E8"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5EC5754B" w14:textId="69CF9572" w:rsidR="008E2ED2" w:rsidRPr="0018386D" w:rsidRDefault="008E2ED2" w:rsidP="00DD3106">
            <w:pPr>
              <w:pStyle w:val="TableText"/>
              <w:spacing w:before="30" w:after="30"/>
            </w:pPr>
            <w:r w:rsidRPr="0018386D">
              <w:t>PHEV (Petrol) - Petrol consumption</w:t>
            </w:r>
          </w:p>
        </w:tc>
        <w:tc>
          <w:tcPr>
            <w:tcW w:w="1361" w:type="dxa"/>
            <w:tcBorders>
              <w:left w:val="single" w:sz="4" w:space="0" w:color="auto"/>
            </w:tcBorders>
            <w:shd w:val="clear" w:color="000000" w:fill="FFFFFF"/>
            <w:noWrap/>
            <w:hideMark/>
          </w:tcPr>
          <w:p w14:paraId="5831A1D3"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031A04DB"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838F9F0" w14:textId="5BA52F6C" w:rsidR="008E2ED2" w:rsidRPr="0018386D" w:rsidRDefault="008E2ED2" w:rsidP="00DD3106">
            <w:pPr>
              <w:pStyle w:val="TableText"/>
              <w:spacing w:before="30" w:after="30"/>
            </w:pPr>
            <w:r w:rsidRPr="0018386D">
              <w:t>0.0658</w:t>
            </w:r>
          </w:p>
        </w:tc>
        <w:tc>
          <w:tcPr>
            <w:tcW w:w="1361" w:type="dxa"/>
            <w:shd w:val="clear" w:color="000000" w:fill="FFFFFF"/>
            <w:noWrap/>
            <w:hideMark/>
          </w:tcPr>
          <w:p w14:paraId="5CD91E64" w14:textId="6B19297C" w:rsidR="008E2ED2" w:rsidRPr="0018386D" w:rsidRDefault="008E2ED2" w:rsidP="00DD3106">
            <w:pPr>
              <w:pStyle w:val="TableText"/>
              <w:spacing w:before="30" w:after="30"/>
            </w:pPr>
            <w:r w:rsidRPr="0018386D">
              <w:t>0.0631</w:t>
            </w:r>
          </w:p>
        </w:tc>
        <w:tc>
          <w:tcPr>
            <w:tcW w:w="1361" w:type="dxa"/>
            <w:shd w:val="clear" w:color="000000" w:fill="FFFFFF"/>
            <w:noWrap/>
            <w:hideMark/>
          </w:tcPr>
          <w:p w14:paraId="106FC7A2" w14:textId="3F595F6D" w:rsidR="008E2ED2" w:rsidRPr="0018386D" w:rsidRDefault="008E2ED2" w:rsidP="00DD3106">
            <w:pPr>
              <w:pStyle w:val="TableText"/>
              <w:spacing w:before="30" w:after="30"/>
            </w:pPr>
            <w:r w:rsidRPr="0018386D">
              <w:t>0.0008</w:t>
            </w:r>
          </w:p>
        </w:tc>
        <w:tc>
          <w:tcPr>
            <w:tcW w:w="1361" w:type="dxa"/>
            <w:shd w:val="clear" w:color="000000" w:fill="FFFFFF"/>
            <w:noWrap/>
            <w:hideMark/>
          </w:tcPr>
          <w:p w14:paraId="2B4A5B82" w14:textId="62AEA94B" w:rsidR="008E2ED2" w:rsidRPr="0018386D" w:rsidRDefault="008E2ED2" w:rsidP="00DD3106">
            <w:pPr>
              <w:pStyle w:val="TableText"/>
              <w:spacing w:before="30" w:after="30"/>
            </w:pPr>
            <w:r w:rsidRPr="0018386D">
              <w:t>0.00190</w:t>
            </w:r>
          </w:p>
        </w:tc>
      </w:tr>
      <w:tr w:rsidR="00565B50" w:rsidRPr="0018386D" w14:paraId="0E4C926B"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076A6F78"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1942F243" w14:textId="0EBCE027"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3854B980"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255D3014" w14:textId="7EEFFF0C" w:rsidR="008E2ED2" w:rsidRPr="0018386D" w:rsidRDefault="008E2ED2" w:rsidP="00DD3106">
            <w:pPr>
              <w:pStyle w:val="TableText"/>
              <w:spacing w:before="30" w:after="30"/>
            </w:pPr>
            <w:r w:rsidRPr="0018386D">
              <w:t>0.0681</w:t>
            </w:r>
          </w:p>
        </w:tc>
        <w:tc>
          <w:tcPr>
            <w:tcW w:w="1361" w:type="dxa"/>
            <w:shd w:val="clear" w:color="000000" w:fill="FFFFFF"/>
            <w:noWrap/>
            <w:hideMark/>
          </w:tcPr>
          <w:p w14:paraId="030A3B2C" w14:textId="5818691E" w:rsidR="008E2ED2" w:rsidRPr="0018386D" w:rsidRDefault="008E2ED2" w:rsidP="00DD3106">
            <w:pPr>
              <w:pStyle w:val="TableText"/>
              <w:spacing w:before="30" w:after="30"/>
            </w:pPr>
            <w:r w:rsidRPr="0018386D">
              <w:t>0.0653</w:t>
            </w:r>
          </w:p>
        </w:tc>
        <w:tc>
          <w:tcPr>
            <w:tcW w:w="1361" w:type="dxa"/>
            <w:shd w:val="clear" w:color="000000" w:fill="FFFFFF"/>
            <w:noWrap/>
            <w:hideMark/>
          </w:tcPr>
          <w:p w14:paraId="3A8CBA89" w14:textId="3B85842F" w:rsidR="008E2ED2" w:rsidRPr="0018386D" w:rsidRDefault="008E2ED2" w:rsidP="00DD3106">
            <w:pPr>
              <w:pStyle w:val="TableText"/>
              <w:spacing w:before="30" w:after="30"/>
            </w:pPr>
            <w:r w:rsidRPr="0018386D">
              <w:t>0.0009</w:t>
            </w:r>
          </w:p>
        </w:tc>
        <w:tc>
          <w:tcPr>
            <w:tcW w:w="1361" w:type="dxa"/>
            <w:shd w:val="clear" w:color="000000" w:fill="FFFFFF"/>
            <w:noWrap/>
            <w:hideMark/>
          </w:tcPr>
          <w:p w14:paraId="43DCF26A" w14:textId="0C2CC237" w:rsidR="008E2ED2" w:rsidRPr="0018386D" w:rsidRDefault="008E2ED2" w:rsidP="00DD3106">
            <w:pPr>
              <w:pStyle w:val="TableText"/>
              <w:spacing w:before="30" w:after="30"/>
            </w:pPr>
            <w:r w:rsidRPr="0018386D">
              <w:t>0.00197</w:t>
            </w:r>
          </w:p>
        </w:tc>
      </w:tr>
      <w:tr w:rsidR="00565B50" w:rsidRPr="0018386D" w14:paraId="714662E9"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2A99D868"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6B0FD6D6" w14:textId="646E49BA"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59B1AD67"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056245C" w14:textId="760F5ABB" w:rsidR="008E2ED2" w:rsidRPr="0018386D" w:rsidRDefault="008E2ED2" w:rsidP="00DD3106">
            <w:pPr>
              <w:pStyle w:val="TableText"/>
              <w:spacing w:before="30" w:after="30"/>
            </w:pPr>
            <w:r w:rsidRPr="0018386D">
              <w:t>0.0767</w:t>
            </w:r>
          </w:p>
        </w:tc>
        <w:tc>
          <w:tcPr>
            <w:tcW w:w="1361" w:type="dxa"/>
            <w:shd w:val="clear" w:color="000000" w:fill="FFFFFF"/>
            <w:noWrap/>
            <w:hideMark/>
          </w:tcPr>
          <w:p w14:paraId="53BD8C07" w14:textId="4618A2EE" w:rsidR="008E2ED2" w:rsidRPr="0018386D" w:rsidRDefault="008E2ED2" w:rsidP="00DD3106">
            <w:pPr>
              <w:pStyle w:val="TableText"/>
              <w:spacing w:before="30" w:after="30"/>
            </w:pPr>
            <w:r w:rsidRPr="0018386D">
              <w:t>0.0735</w:t>
            </w:r>
          </w:p>
        </w:tc>
        <w:tc>
          <w:tcPr>
            <w:tcW w:w="1361" w:type="dxa"/>
            <w:shd w:val="clear" w:color="000000" w:fill="FFFFFF"/>
            <w:noWrap/>
            <w:hideMark/>
          </w:tcPr>
          <w:p w14:paraId="29B1C1A2" w14:textId="3A2F6CFD" w:rsidR="008E2ED2" w:rsidRPr="0018386D" w:rsidRDefault="008E2ED2" w:rsidP="00DD3106">
            <w:pPr>
              <w:pStyle w:val="TableText"/>
              <w:spacing w:before="30" w:after="30"/>
            </w:pPr>
            <w:r w:rsidRPr="0018386D">
              <w:t>0.0010</w:t>
            </w:r>
          </w:p>
        </w:tc>
        <w:tc>
          <w:tcPr>
            <w:tcW w:w="1361" w:type="dxa"/>
            <w:shd w:val="clear" w:color="000000" w:fill="FFFFFF"/>
            <w:noWrap/>
            <w:hideMark/>
          </w:tcPr>
          <w:p w14:paraId="235E3C92" w14:textId="4874E84C" w:rsidR="008E2ED2" w:rsidRPr="0018386D" w:rsidRDefault="008E2ED2" w:rsidP="00DD3106">
            <w:pPr>
              <w:pStyle w:val="TableText"/>
              <w:spacing w:before="30" w:after="30"/>
            </w:pPr>
            <w:r w:rsidRPr="0018386D">
              <w:t>0.00222</w:t>
            </w:r>
          </w:p>
        </w:tc>
      </w:tr>
      <w:tr w:rsidR="00565B50" w:rsidRPr="0018386D" w14:paraId="18671148"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344D757D"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1AA1052B" w14:textId="56AAA2D8"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2E50046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EC5F60D" w14:textId="6B362AE2" w:rsidR="008E2ED2" w:rsidRPr="0018386D" w:rsidRDefault="008E2ED2" w:rsidP="00DD3106">
            <w:pPr>
              <w:pStyle w:val="TableText"/>
              <w:spacing w:before="30" w:after="30"/>
            </w:pPr>
            <w:r w:rsidRPr="0018386D">
              <w:t>0.0852</w:t>
            </w:r>
          </w:p>
        </w:tc>
        <w:tc>
          <w:tcPr>
            <w:tcW w:w="1361" w:type="dxa"/>
            <w:shd w:val="clear" w:color="000000" w:fill="FFFFFF"/>
            <w:noWrap/>
            <w:hideMark/>
          </w:tcPr>
          <w:p w14:paraId="1B7D3C9F" w14:textId="181807F4" w:rsidR="008E2ED2" w:rsidRPr="0018386D" w:rsidRDefault="008E2ED2" w:rsidP="00DD3106">
            <w:pPr>
              <w:pStyle w:val="TableText"/>
              <w:spacing w:before="30" w:after="30"/>
            </w:pPr>
            <w:r w:rsidRPr="0018386D">
              <w:t>0.0817</w:t>
            </w:r>
          </w:p>
        </w:tc>
        <w:tc>
          <w:tcPr>
            <w:tcW w:w="1361" w:type="dxa"/>
            <w:shd w:val="clear" w:color="000000" w:fill="FFFFFF"/>
            <w:noWrap/>
            <w:hideMark/>
          </w:tcPr>
          <w:p w14:paraId="2E8B68D1" w14:textId="6CF5EC30" w:rsidR="008E2ED2" w:rsidRPr="0018386D" w:rsidRDefault="008E2ED2" w:rsidP="00DD3106">
            <w:pPr>
              <w:pStyle w:val="TableText"/>
              <w:spacing w:before="30" w:after="30"/>
            </w:pPr>
            <w:r w:rsidRPr="0018386D">
              <w:t>0.00107</w:t>
            </w:r>
          </w:p>
        </w:tc>
        <w:tc>
          <w:tcPr>
            <w:tcW w:w="1361" w:type="dxa"/>
            <w:shd w:val="clear" w:color="000000" w:fill="FFFFFF"/>
            <w:noWrap/>
            <w:hideMark/>
          </w:tcPr>
          <w:p w14:paraId="3540F796" w14:textId="3172D165" w:rsidR="008E2ED2" w:rsidRPr="0018386D" w:rsidRDefault="008E2ED2" w:rsidP="00DD3106">
            <w:pPr>
              <w:pStyle w:val="TableText"/>
              <w:spacing w:before="30" w:after="30"/>
            </w:pPr>
            <w:r w:rsidRPr="0018386D">
              <w:t>0.00246</w:t>
            </w:r>
          </w:p>
        </w:tc>
      </w:tr>
      <w:tr w:rsidR="00565B50" w:rsidRPr="0018386D" w14:paraId="54CA5792"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450EBE30"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61A318C5"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48FA1588"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3D18E5B0" w14:textId="1CD7CF28" w:rsidR="008E2ED2" w:rsidRPr="0018386D" w:rsidRDefault="008E2ED2" w:rsidP="00DD3106">
            <w:pPr>
              <w:pStyle w:val="TableText"/>
              <w:spacing w:before="30" w:after="30"/>
            </w:pPr>
            <w:r w:rsidRPr="0018386D">
              <w:t>0.102</w:t>
            </w:r>
          </w:p>
        </w:tc>
        <w:tc>
          <w:tcPr>
            <w:tcW w:w="1361" w:type="dxa"/>
            <w:shd w:val="clear" w:color="000000" w:fill="FFFFFF"/>
            <w:noWrap/>
            <w:hideMark/>
          </w:tcPr>
          <w:p w14:paraId="7F305E43" w14:textId="1E33059A" w:rsidR="008E2ED2" w:rsidRPr="0018386D" w:rsidRDefault="008E2ED2" w:rsidP="00DD3106">
            <w:pPr>
              <w:pStyle w:val="TableText"/>
              <w:spacing w:before="30" w:after="30"/>
            </w:pPr>
            <w:r w:rsidRPr="0018386D">
              <w:t>0.0977</w:t>
            </w:r>
          </w:p>
        </w:tc>
        <w:tc>
          <w:tcPr>
            <w:tcW w:w="1361" w:type="dxa"/>
            <w:shd w:val="clear" w:color="000000" w:fill="FFFFFF"/>
            <w:noWrap/>
            <w:hideMark/>
          </w:tcPr>
          <w:p w14:paraId="7D9D1B8F" w14:textId="266AB725" w:rsidR="008E2ED2" w:rsidRPr="0018386D" w:rsidRDefault="008E2ED2" w:rsidP="00DD3106">
            <w:pPr>
              <w:pStyle w:val="TableText"/>
              <w:spacing w:before="30" w:after="30"/>
            </w:pPr>
            <w:r w:rsidRPr="0018386D">
              <w:t>0.00128</w:t>
            </w:r>
          </w:p>
        </w:tc>
        <w:tc>
          <w:tcPr>
            <w:tcW w:w="1361" w:type="dxa"/>
            <w:shd w:val="clear" w:color="000000" w:fill="FFFFFF"/>
            <w:noWrap/>
            <w:hideMark/>
          </w:tcPr>
          <w:p w14:paraId="0F373A75" w14:textId="6700C3E1" w:rsidR="008E2ED2" w:rsidRPr="0018386D" w:rsidRDefault="008E2ED2" w:rsidP="00DD3106">
            <w:pPr>
              <w:pStyle w:val="TableText"/>
              <w:spacing w:before="30" w:after="30"/>
            </w:pPr>
            <w:r w:rsidRPr="0018386D">
              <w:t>0.00295</w:t>
            </w:r>
          </w:p>
        </w:tc>
      </w:tr>
      <w:tr w:rsidR="00565B50" w:rsidRPr="0018386D" w14:paraId="71CE97AD"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718E574D" w14:textId="569308D8" w:rsidR="008E2ED2" w:rsidRPr="0018386D" w:rsidRDefault="008E2ED2" w:rsidP="00DD3106">
            <w:pPr>
              <w:pStyle w:val="TableText"/>
              <w:spacing w:before="30" w:after="30"/>
            </w:pPr>
            <w:r w:rsidRPr="0018386D">
              <w:t>PHEV (Petrol) - Electricity consumption</w:t>
            </w:r>
          </w:p>
        </w:tc>
        <w:tc>
          <w:tcPr>
            <w:tcW w:w="1361" w:type="dxa"/>
            <w:tcBorders>
              <w:left w:val="single" w:sz="4" w:space="0" w:color="auto"/>
            </w:tcBorders>
            <w:shd w:val="clear" w:color="000000" w:fill="FFFFFF"/>
            <w:noWrap/>
            <w:hideMark/>
          </w:tcPr>
          <w:p w14:paraId="7CB807F3"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3B15F388"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542C84CB" w14:textId="2F2988A2" w:rsidR="008E2ED2" w:rsidRPr="0018386D" w:rsidRDefault="008E2ED2" w:rsidP="00DD3106">
            <w:pPr>
              <w:pStyle w:val="TableText"/>
              <w:spacing w:before="30" w:after="30"/>
            </w:pPr>
            <w:r w:rsidRPr="0018386D">
              <w:t>0.00695</w:t>
            </w:r>
          </w:p>
        </w:tc>
        <w:tc>
          <w:tcPr>
            <w:tcW w:w="1361" w:type="dxa"/>
            <w:shd w:val="clear" w:color="000000" w:fill="FFFFFF"/>
            <w:noWrap/>
            <w:hideMark/>
          </w:tcPr>
          <w:p w14:paraId="4AEF3829" w14:textId="676B6A1E" w:rsidR="008E2ED2" w:rsidRPr="0018386D" w:rsidRDefault="008E2ED2" w:rsidP="00DD3106">
            <w:pPr>
              <w:pStyle w:val="TableText"/>
              <w:spacing w:before="30" w:after="30"/>
            </w:pPr>
            <w:r w:rsidRPr="0018386D">
              <w:t>0.00675</w:t>
            </w:r>
          </w:p>
        </w:tc>
        <w:tc>
          <w:tcPr>
            <w:tcW w:w="1361" w:type="dxa"/>
            <w:shd w:val="clear" w:color="000000" w:fill="FFFFFF"/>
            <w:noWrap/>
            <w:hideMark/>
          </w:tcPr>
          <w:p w14:paraId="564A639F" w14:textId="77777777" w:rsidR="008E2ED2" w:rsidRPr="0018386D" w:rsidRDefault="008E2ED2" w:rsidP="00DD3106">
            <w:pPr>
              <w:pStyle w:val="TableText"/>
              <w:spacing w:before="30" w:after="30"/>
            </w:pPr>
            <w:r w:rsidRPr="0018386D">
              <w:t>0.0002</w:t>
            </w:r>
          </w:p>
        </w:tc>
        <w:tc>
          <w:tcPr>
            <w:tcW w:w="1361" w:type="dxa"/>
            <w:shd w:val="clear" w:color="000000" w:fill="FFFFFF"/>
            <w:noWrap/>
            <w:hideMark/>
          </w:tcPr>
          <w:p w14:paraId="7EDCA5B9" w14:textId="1E03C975" w:rsidR="008E2ED2" w:rsidRPr="0018386D" w:rsidRDefault="008E2ED2" w:rsidP="00DD3106">
            <w:pPr>
              <w:pStyle w:val="TableText"/>
              <w:spacing w:before="30" w:after="30"/>
            </w:pPr>
            <w:r w:rsidRPr="0018386D">
              <w:t>0.00001</w:t>
            </w:r>
          </w:p>
        </w:tc>
      </w:tr>
      <w:tr w:rsidR="00565B50" w:rsidRPr="0018386D" w14:paraId="552C0460"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1D9DB03A"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457E5598" w14:textId="4966DFA7"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1AA68EB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2BE1545" w14:textId="0B45F284" w:rsidR="008E2ED2" w:rsidRPr="0018386D" w:rsidRDefault="008E2ED2" w:rsidP="00DD3106">
            <w:pPr>
              <w:pStyle w:val="TableText"/>
              <w:spacing w:before="30" w:after="30"/>
            </w:pPr>
            <w:r w:rsidRPr="0018386D">
              <w:t>0.00719</w:t>
            </w:r>
          </w:p>
        </w:tc>
        <w:tc>
          <w:tcPr>
            <w:tcW w:w="1361" w:type="dxa"/>
            <w:shd w:val="clear" w:color="000000" w:fill="FFFFFF"/>
            <w:noWrap/>
            <w:hideMark/>
          </w:tcPr>
          <w:p w14:paraId="5142A52C" w14:textId="547BD63A" w:rsidR="008E2ED2" w:rsidRPr="0018386D" w:rsidRDefault="008E2ED2" w:rsidP="00DD3106">
            <w:pPr>
              <w:pStyle w:val="TableText"/>
              <w:spacing w:before="30" w:after="30"/>
            </w:pPr>
            <w:r w:rsidRPr="0018386D">
              <w:t>0.00699</w:t>
            </w:r>
          </w:p>
        </w:tc>
        <w:tc>
          <w:tcPr>
            <w:tcW w:w="1361" w:type="dxa"/>
            <w:shd w:val="clear" w:color="000000" w:fill="FFFFFF"/>
            <w:noWrap/>
            <w:hideMark/>
          </w:tcPr>
          <w:p w14:paraId="04C7702B" w14:textId="10C083EE" w:rsidR="008E2ED2" w:rsidRPr="0018386D" w:rsidRDefault="008E2ED2" w:rsidP="00DD3106">
            <w:pPr>
              <w:pStyle w:val="TableText"/>
              <w:spacing w:before="30" w:after="30"/>
            </w:pPr>
            <w:r w:rsidRPr="0018386D">
              <w:t>0.0002</w:t>
            </w:r>
          </w:p>
        </w:tc>
        <w:tc>
          <w:tcPr>
            <w:tcW w:w="1361" w:type="dxa"/>
            <w:shd w:val="clear" w:color="000000" w:fill="FFFFFF"/>
            <w:noWrap/>
            <w:hideMark/>
          </w:tcPr>
          <w:p w14:paraId="7226CA4E" w14:textId="77777777" w:rsidR="008E2ED2" w:rsidRPr="0018386D" w:rsidRDefault="008E2ED2" w:rsidP="00DD3106">
            <w:pPr>
              <w:pStyle w:val="TableText"/>
              <w:spacing w:before="30" w:after="30"/>
            </w:pPr>
            <w:r w:rsidRPr="0018386D">
              <w:t>0.00002</w:t>
            </w:r>
          </w:p>
        </w:tc>
      </w:tr>
      <w:tr w:rsidR="00565B50" w:rsidRPr="0018386D" w14:paraId="6FEA8F44"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14B0C266"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5C1E8FA1" w14:textId="3242A0C3"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1B7905C2"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CDE9708" w14:textId="411E1A07" w:rsidR="008E2ED2" w:rsidRPr="0018386D" w:rsidRDefault="008E2ED2" w:rsidP="00DD3106">
            <w:pPr>
              <w:pStyle w:val="TableText"/>
              <w:spacing w:before="30" w:after="30"/>
            </w:pPr>
            <w:r w:rsidRPr="0018386D">
              <w:t>0.00810</w:t>
            </w:r>
          </w:p>
        </w:tc>
        <w:tc>
          <w:tcPr>
            <w:tcW w:w="1361" w:type="dxa"/>
            <w:shd w:val="clear" w:color="000000" w:fill="FFFFFF"/>
            <w:noWrap/>
            <w:hideMark/>
          </w:tcPr>
          <w:p w14:paraId="5254C02F" w14:textId="3F48B777" w:rsidR="008E2ED2" w:rsidRPr="0018386D" w:rsidRDefault="008E2ED2" w:rsidP="00DD3106">
            <w:pPr>
              <w:pStyle w:val="TableText"/>
              <w:spacing w:before="30" w:after="30"/>
            </w:pPr>
            <w:r w:rsidRPr="0018386D">
              <w:t>0.00787</w:t>
            </w:r>
          </w:p>
        </w:tc>
        <w:tc>
          <w:tcPr>
            <w:tcW w:w="1361" w:type="dxa"/>
            <w:shd w:val="clear" w:color="000000" w:fill="FFFFFF"/>
            <w:noWrap/>
            <w:hideMark/>
          </w:tcPr>
          <w:p w14:paraId="185DA058" w14:textId="686AE85A" w:rsidR="008E2ED2" w:rsidRPr="0018386D" w:rsidRDefault="008E2ED2" w:rsidP="00DD3106">
            <w:pPr>
              <w:pStyle w:val="TableText"/>
              <w:spacing w:before="30" w:after="30"/>
            </w:pPr>
            <w:r w:rsidRPr="0018386D">
              <w:t>0.0002</w:t>
            </w:r>
          </w:p>
        </w:tc>
        <w:tc>
          <w:tcPr>
            <w:tcW w:w="1361" w:type="dxa"/>
            <w:shd w:val="clear" w:color="000000" w:fill="FFFFFF"/>
            <w:noWrap/>
            <w:hideMark/>
          </w:tcPr>
          <w:p w14:paraId="5ADD1E91" w14:textId="77777777" w:rsidR="008E2ED2" w:rsidRPr="0018386D" w:rsidRDefault="008E2ED2" w:rsidP="00DD3106">
            <w:pPr>
              <w:pStyle w:val="TableText"/>
              <w:spacing w:before="30" w:after="30"/>
            </w:pPr>
            <w:r w:rsidRPr="0018386D">
              <w:t>0.00002</w:t>
            </w:r>
          </w:p>
        </w:tc>
      </w:tr>
      <w:tr w:rsidR="00565B50" w:rsidRPr="0018386D" w14:paraId="16AAE7CC"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148727CE"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200EC64E" w14:textId="5FAE686B"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71DA6836"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2DCE390" w14:textId="40E8CBFB" w:rsidR="008E2ED2" w:rsidRPr="0018386D" w:rsidRDefault="008E2ED2" w:rsidP="00DD3106">
            <w:pPr>
              <w:pStyle w:val="TableText"/>
              <w:spacing w:before="30" w:after="30"/>
            </w:pPr>
            <w:r w:rsidRPr="0018386D">
              <w:t>0.00899</w:t>
            </w:r>
          </w:p>
        </w:tc>
        <w:tc>
          <w:tcPr>
            <w:tcW w:w="1361" w:type="dxa"/>
            <w:shd w:val="clear" w:color="000000" w:fill="FFFFFF"/>
            <w:noWrap/>
            <w:hideMark/>
          </w:tcPr>
          <w:p w14:paraId="4F130692" w14:textId="40749B3A" w:rsidR="008E2ED2" w:rsidRPr="0018386D" w:rsidRDefault="008E2ED2" w:rsidP="00DD3106">
            <w:pPr>
              <w:pStyle w:val="TableText"/>
              <w:spacing w:before="30" w:after="30"/>
            </w:pPr>
            <w:r w:rsidRPr="0018386D">
              <w:t>0.00874</w:t>
            </w:r>
          </w:p>
        </w:tc>
        <w:tc>
          <w:tcPr>
            <w:tcW w:w="1361" w:type="dxa"/>
            <w:shd w:val="clear" w:color="000000" w:fill="FFFFFF"/>
            <w:noWrap/>
            <w:hideMark/>
          </w:tcPr>
          <w:p w14:paraId="27EFE12A" w14:textId="7BAC6F1D" w:rsidR="008E2ED2" w:rsidRPr="0018386D" w:rsidRDefault="008E2ED2" w:rsidP="00DD3106">
            <w:pPr>
              <w:pStyle w:val="TableText"/>
              <w:spacing w:before="30" w:after="30"/>
            </w:pPr>
            <w:r w:rsidRPr="0018386D">
              <w:t>0.0002</w:t>
            </w:r>
          </w:p>
        </w:tc>
        <w:tc>
          <w:tcPr>
            <w:tcW w:w="1361" w:type="dxa"/>
            <w:shd w:val="clear" w:color="000000" w:fill="FFFFFF"/>
            <w:noWrap/>
            <w:hideMark/>
          </w:tcPr>
          <w:p w14:paraId="389DBEBB" w14:textId="3DCAD8C0" w:rsidR="008E2ED2" w:rsidRPr="0018386D" w:rsidRDefault="008E2ED2" w:rsidP="00DD3106">
            <w:pPr>
              <w:pStyle w:val="TableText"/>
              <w:spacing w:before="30" w:after="30"/>
            </w:pPr>
            <w:r w:rsidRPr="0018386D">
              <w:t>0.00002</w:t>
            </w:r>
          </w:p>
        </w:tc>
      </w:tr>
      <w:tr w:rsidR="00565B50" w:rsidRPr="0018386D" w14:paraId="4F06927D"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358B4B1C"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3BCD4E62"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4E44DDF1"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303464F" w14:textId="115912E8" w:rsidR="008E2ED2" w:rsidRPr="0018386D" w:rsidRDefault="008E2ED2" w:rsidP="00DD3106">
            <w:pPr>
              <w:pStyle w:val="TableText"/>
              <w:spacing w:before="30" w:after="30"/>
            </w:pPr>
            <w:r w:rsidRPr="0018386D">
              <w:t>0.0108</w:t>
            </w:r>
          </w:p>
        </w:tc>
        <w:tc>
          <w:tcPr>
            <w:tcW w:w="1361" w:type="dxa"/>
            <w:shd w:val="clear" w:color="000000" w:fill="FFFFFF"/>
            <w:noWrap/>
            <w:hideMark/>
          </w:tcPr>
          <w:p w14:paraId="6FAD23C8" w14:textId="21370308" w:rsidR="008E2ED2" w:rsidRPr="0018386D" w:rsidRDefault="008E2ED2" w:rsidP="00DD3106">
            <w:pPr>
              <w:pStyle w:val="TableText"/>
              <w:spacing w:before="30" w:after="30"/>
            </w:pPr>
            <w:r w:rsidRPr="0018386D">
              <w:t>0.0105</w:t>
            </w:r>
          </w:p>
        </w:tc>
        <w:tc>
          <w:tcPr>
            <w:tcW w:w="1361" w:type="dxa"/>
            <w:shd w:val="clear" w:color="000000" w:fill="FFFFFF"/>
            <w:noWrap/>
            <w:hideMark/>
          </w:tcPr>
          <w:p w14:paraId="60429CC0" w14:textId="72BC3055" w:rsidR="008E2ED2" w:rsidRPr="0018386D" w:rsidRDefault="008E2ED2" w:rsidP="00DD3106">
            <w:pPr>
              <w:pStyle w:val="TableText"/>
              <w:spacing w:before="30" w:after="30"/>
            </w:pPr>
            <w:r w:rsidRPr="0018386D">
              <w:t>0.0003</w:t>
            </w:r>
          </w:p>
        </w:tc>
        <w:tc>
          <w:tcPr>
            <w:tcW w:w="1361" w:type="dxa"/>
            <w:shd w:val="clear" w:color="000000" w:fill="FFFFFF"/>
            <w:noWrap/>
            <w:hideMark/>
          </w:tcPr>
          <w:p w14:paraId="76845D92" w14:textId="19E0196E" w:rsidR="008E2ED2" w:rsidRPr="0018386D" w:rsidRDefault="008E2ED2" w:rsidP="00DD3106">
            <w:pPr>
              <w:pStyle w:val="TableText"/>
              <w:spacing w:before="30" w:after="30"/>
            </w:pPr>
            <w:r w:rsidRPr="0018386D">
              <w:t>0.00002</w:t>
            </w:r>
          </w:p>
        </w:tc>
      </w:tr>
      <w:tr w:rsidR="00565B50" w:rsidRPr="0018386D" w14:paraId="6425C8B8"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4A2EA757" w14:textId="381100B5" w:rsidR="008E2ED2" w:rsidRPr="0018386D" w:rsidRDefault="008E2ED2" w:rsidP="00DD3106">
            <w:pPr>
              <w:pStyle w:val="TableText"/>
              <w:spacing w:before="30" w:after="30"/>
            </w:pPr>
            <w:r w:rsidRPr="0018386D">
              <w:t>PHEV (Diesel) - Diesel consumption</w:t>
            </w:r>
          </w:p>
        </w:tc>
        <w:tc>
          <w:tcPr>
            <w:tcW w:w="1361" w:type="dxa"/>
            <w:tcBorders>
              <w:left w:val="single" w:sz="4" w:space="0" w:color="auto"/>
            </w:tcBorders>
            <w:shd w:val="clear" w:color="000000" w:fill="FFFFFF"/>
            <w:noWrap/>
            <w:hideMark/>
          </w:tcPr>
          <w:p w14:paraId="7AD69DF4"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16768251"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5B722DD3" w14:textId="7F54FC36" w:rsidR="008E2ED2" w:rsidRPr="0018386D" w:rsidRDefault="008E2ED2" w:rsidP="00DD3106">
            <w:pPr>
              <w:pStyle w:val="TableText"/>
              <w:spacing w:before="30" w:after="30"/>
            </w:pPr>
            <w:r w:rsidRPr="0018386D">
              <w:t>0.0823</w:t>
            </w:r>
          </w:p>
        </w:tc>
        <w:tc>
          <w:tcPr>
            <w:tcW w:w="1361" w:type="dxa"/>
            <w:shd w:val="clear" w:color="000000" w:fill="FFFFFF"/>
            <w:noWrap/>
            <w:hideMark/>
          </w:tcPr>
          <w:p w14:paraId="4654CDAC" w14:textId="7A5CA95C" w:rsidR="008E2ED2" w:rsidRPr="0018386D" w:rsidRDefault="008E2ED2" w:rsidP="00DD3106">
            <w:pPr>
              <w:pStyle w:val="TableText"/>
              <w:spacing w:before="30" w:after="30"/>
            </w:pPr>
            <w:r w:rsidRPr="0018386D">
              <w:t>0.0810</w:t>
            </w:r>
          </w:p>
        </w:tc>
        <w:tc>
          <w:tcPr>
            <w:tcW w:w="1361" w:type="dxa"/>
            <w:shd w:val="clear" w:color="000000" w:fill="FFFFFF"/>
            <w:noWrap/>
            <w:hideMark/>
          </w:tcPr>
          <w:p w14:paraId="3E63070B" w14:textId="77777777" w:rsidR="008E2ED2" w:rsidRPr="0018386D" w:rsidRDefault="008E2ED2" w:rsidP="00DD3106">
            <w:pPr>
              <w:pStyle w:val="TableText"/>
              <w:spacing w:before="30" w:after="30"/>
            </w:pPr>
            <w:r w:rsidRPr="0018386D">
              <w:t>0.0001</w:t>
            </w:r>
          </w:p>
        </w:tc>
        <w:tc>
          <w:tcPr>
            <w:tcW w:w="1361" w:type="dxa"/>
            <w:shd w:val="clear" w:color="000000" w:fill="FFFFFF"/>
            <w:noWrap/>
            <w:hideMark/>
          </w:tcPr>
          <w:p w14:paraId="7811F660" w14:textId="4FDA3777" w:rsidR="008E2ED2" w:rsidRPr="0018386D" w:rsidRDefault="008E2ED2" w:rsidP="00DD3106">
            <w:pPr>
              <w:pStyle w:val="TableText"/>
              <w:spacing w:before="30" w:after="30"/>
            </w:pPr>
            <w:r w:rsidRPr="0018386D">
              <w:t>0.00115</w:t>
            </w:r>
          </w:p>
        </w:tc>
      </w:tr>
      <w:tr w:rsidR="00565B50" w:rsidRPr="0018386D" w14:paraId="50B94E4E"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189220D3"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3901FA4C" w14:textId="5A66F777"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1BEBFF91"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7B81BDE" w14:textId="3B30868B" w:rsidR="008E2ED2" w:rsidRPr="0018386D" w:rsidRDefault="008E2ED2" w:rsidP="00DD3106">
            <w:pPr>
              <w:pStyle w:val="TableText"/>
              <w:spacing w:before="30" w:after="30"/>
            </w:pPr>
            <w:r w:rsidRPr="0018386D">
              <w:t>0.0792</w:t>
            </w:r>
          </w:p>
        </w:tc>
        <w:tc>
          <w:tcPr>
            <w:tcW w:w="1361" w:type="dxa"/>
            <w:shd w:val="clear" w:color="000000" w:fill="FFFFFF"/>
            <w:noWrap/>
            <w:hideMark/>
          </w:tcPr>
          <w:p w14:paraId="7D11E458" w14:textId="4FA66088" w:rsidR="008E2ED2" w:rsidRPr="0018386D" w:rsidRDefault="008E2ED2" w:rsidP="00DD3106">
            <w:pPr>
              <w:pStyle w:val="TableText"/>
              <w:spacing w:before="30" w:after="30"/>
            </w:pPr>
            <w:r w:rsidRPr="0018386D">
              <w:t>0.0780</w:t>
            </w:r>
          </w:p>
        </w:tc>
        <w:tc>
          <w:tcPr>
            <w:tcW w:w="1361" w:type="dxa"/>
            <w:shd w:val="clear" w:color="000000" w:fill="FFFFFF"/>
            <w:noWrap/>
            <w:hideMark/>
          </w:tcPr>
          <w:p w14:paraId="3271F5DC" w14:textId="77777777" w:rsidR="008E2ED2" w:rsidRPr="0018386D" w:rsidRDefault="008E2ED2" w:rsidP="00DD3106">
            <w:pPr>
              <w:pStyle w:val="TableText"/>
              <w:spacing w:before="30" w:after="30"/>
            </w:pPr>
            <w:r w:rsidRPr="0018386D">
              <w:t>0.0001</w:t>
            </w:r>
          </w:p>
        </w:tc>
        <w:tc>
          <w:tcPr>
            <w:tcW w:w="1361" w:type="dxa"/>
            <w:shd w:val="clear" w:color="000000" w:fill="FFFFFF"/>
            <w:noWrap/>
            <w:hideMark/>
          </w:tcPr>
          <w:p w14:paraId="58F1D65B" w14:textId="3CD219AC" w:rsidR="008E2ED2" w:rsidRPr="0018386D" w:rsidRDefault="008E2ED2" w:rsidP="00DD3106">
            <w:pPr>
              <w:pStyle w:val="TableText"/>
              <w:spacing w:before="30" w:after="30"/>
            </w:pPr>
            <w:r w:rsidRPr="0018386D">
              <w:t>0.00110</w:t>
            </w:r>
          </w:p>
        </w:tc>
      </w:tr>
      <w:tr w:rsidR="00565B50" w:rsidRPr="0018386D" w14:paraId="7CCE3413"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6FFDD9BB"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7896BB23" w14:textId="3823C4A3"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4996369C"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22B9D31E" w14:textId="4F3B6792" w:rsidR="008E2ED2" w:rsidRPr="0018386D" w:rsidRDefault="008E2ED2" w:rsidP="00DD3106">
            <w:pPr>
              <w:pStyle w:val="TableText"/>
              <w:spacing w:before="30" w:after="30"/>
            </w:pPr>
            <w:r w:rsidRPr="0018386D">
              <w:t>0.0839</w:t>
            </w:r>
          </w:p>
        </w:tc>
        <w:tc>
          <w:tcPr>
            <w:tcW w:w="1361" w:type="dxa"/>
            <w:shd w:val="clear" w:color="000000" w:fill="FFFFFF"/>
            <w:noWrap/>
            <w:hideMark/>
          </w:tcPr>
          <w:p w14:paraId="4DE4F493" w14:textId="35013B62" w:rsidR="008E2ED2" w:rsidRPr="0018386D" w:rsidRDefault="008E2ED2" w:rsidP="00DD3106">
            <w:pPr>
              <w:pStyle w:val="TableText"/>
              <w:spacing w:before="30" w:after="30"/>
            </w:pPr>
            <w:r w:rsidRPr="0018386D">
              <w:t>0.0826</w:t>
            </w:r>
          </w:p>
        </w:tc>
        <w:tc>
          <w:tcPr>
            <w:tcW w:w="1361" w:type="dxa"/>
            <w:shd w:val="clear" w:color="000000" w:fill="FFFFFF"/>
            <w:noWrap/>
            <w:hideMark/>
          </w:tcPr>
          <w:p w14:paraId="63877A9A" w14:textId="77777777" w:rsidR="008E2ED2" w:rsidRPr="0018386D" w:rsidRDefault="008E2ED2" w:rsidP="00DD3106">
            <w:pPr>
              <w:pStyle w:val="TableText"/>
              <w:spacing w:before="30" w:after="30"/>
            </w:pPr>
            <w:r w:rsidRPr="0018386D">
              <w:t>0.0001</w:t>
            </w:r>
          </w:p>
        </w:tc>
        <w:tc>
          <w:tcPr>
            <w:tcW w:w="1361" w:type="dxa"/>
            <w:shd w:val="clear" w:color="000000" w:fill="FFFFFF"/>
            <w:noWrap/>
            <w:hideMark/>
          </w:tcPr>
          <w:p w14:paraId="5F773F8F" w14:textId="0B4FF54C" w:rsidR="008E2ED2" w:rsidRPr="0018386D" w:rsidRDefault="008E2ED2" w:rsidP="00DD3106">
            <w:pPr>
              <w:pStyle w:val="TableText"/>
              <w:spacing w:before="30" w:after="30"/>
            </w:pPr>
            <w:r w:rsidRPr="0018386D">
              <w:t>0.00117</w:t>
            </w:r>
          </w:p>
        </w:tc>
      </w:tr>
      <w:tr w:rsidR="00565B50" w:rsidRPr="0018386D" w14:paraId="7930ECB3"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0DB0C906"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521C9211" w14:textId="3BCBAB30"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2D1C7A6E"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3891A926" w14:textId="0F73354B" w:rsidR="008E2ED2" w:rsidRPr="0018386D" w:rsidRDefault="008E2ED2" w:rsidP="00DD3106">
            <w:pPr>
              <w:pStyle w:val="TableText"/>
              <w:spacing w:before="30" w:after="30"/>
            </w:pPr>
            <w:r w:rsidRPr="0018386D">
              <w:t>0.103</w:t>
            </w:r>
          </w:p>
        </w:tc>
        <w:tc>
          <w:tcPr>
            <w:tcW w:w="1361" w:type="dxa"/>
            <w:shd w:val="clear" w:color="000000" w:fill="FFFFFF"/>
            <w:noWrap/>
            <w:hideMark/>
          </w:tcPr>
          <w:p w14:paraId="4712F2D1" w14:textId="51D04474" w:rsidR="008E2ED2" w:rsidRPr="0018386D" w:rsidRDefault="008E2ED2" w:rsidP="00DD3106">
            <w:pPr>
              <w:pStyle w:val="TableText"/>
              <w:spacing w:before="30" w:after="30"/>
            </w:pPr>
            <w:r w:rsidRPr="0018386D">
              <w:t>0.102</w:t>
            </w:r>
          </w:p>
        </w:tc>
        <w:tc>
          <w:tcPr>
            <w:tcW w:w="1361" w:type="dxa"/>
            <w:shd w:val="clear" w:color="000000" w:fill="FFFFFF"/>
            <w:noWrap/>
            <w:hideMark/>
          </w:tcPr>
          <w:p w14:paraId="3CFA17DD" w14:textId="3DDEF78C" w:rsidR="008E2ED2" w:rsidRPr="0018386D" w:rsidRDefault="008E2ED2" w:rsidP="00DD3106">
            <w:pPr>
              <w:pStyle w:val="TableText"/>
              <w:spacing w:before="30" w:after="30"/>
            </w:pPr>
            <w:r w:rsidRPr="0018386D">
              <w:t>0.0002</w:t>
            </w:r>
          </w:p>
        </w:tc>
        <w:tc>
          <w:tcPr>
            <w:tcW w:w="1361" w:type="dxa"/>
            <w:shd w:val="clear" w:color="000000" w:fill="FFFFFF"/>
            <w:noWrap/>
            <w:hideMark/>
          </w:tcPr>
          <w:p w14:paraId="61724E41" w14:textId="2DCB94CC" w:rsidR="008E2ED2" w:rsidRPr="0018386D" w:rsidRDefault="008E2ED2" w:rsidP="00DD3106">
            <w:pPr>
              <w:pStyle w:val="TableText"/>
              <w:spacing w:before="30" w:after="30"/>
            </w:pPr>
            <w:r w:rsidRPr="0018386D">
              <w:t>0.00144</w:t>
            </w:r>
          </w:p>
        </w:tc>
      </w:tr>
      <w:tr w:rsidR="00565B50" w:rsidRPr="0018386D" w14:paraId="1729679C"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64F58E1B"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3B597E0C"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73455CD6"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7076CB6" w14:textId="76180EE7" w:rsidR="008E2ED2" w:rsidRPr="0018386D" w:rsidRDefault="008E2ED2" w:rsidP="00DD3106">
            <w:pPr>
              <w:pStyle w:val="TableText"/>
              <w:spacing w:before="30" w:after="30"/>
            </w:pPr>
            <w:r w:rsidRPr="0018386D">
              <w:t>0.114</w:t>
            </w:r>
          </w:p>
        </w:tc>
        <w:tc>
          <w:tcPr>
            <w:tcW w:w="1361" w:type="dxa"/>
            <w:shd w:val="clear" w:color="000000" w:fill="FFFFFF"/>
            <w:noWrap/>
            <w:hideMark/>
          </w:tcPr>
          <w:p w14:paraId="02E25C69" w14:textId="1400A7FC" w:rsidR="008E2ED2" w:rsidRPr="0018386D" w:rsidRDefault="008E2ED2" w:rsidP="00DD3106">
            <w:pPr>
              <w:pStyle w:val="TableText"/>
              <w:spacing w:before="30" w:after="30"/>
            </w:pPr>
            <w:r w:rsidRPr="0018386D">
              <w:t>0.113</w:t>
            </w:r>
          </w:p>
        </w:tc>
        <w:tc>
          <w:tcPr>
            <w:tcW w:w="1361" w:type="dxa"/>
            <w:shd w:val="clear" w:color="000000" w:fill="FFFFFF"/>
            <w:noWrap/>
            <w:hideMark/>
          </w:tcPr>
          <w:p w14:paraId="40FFD6E6" w14:textId="77777777" w:rsidR="008E2ED2" w:rsidRPr="0018386D" w:rsidRDefault="008E2ED2" w:rsidP="00DD3106">
            <w:pPr>
              <w:pStyle w:val="TableText"/>
              <w:spacing w:before="30" w:after="30"/>
            </w:pPr>
            <w:r w:rsidRPr="0018386D">
              <w:t>0.0002</w:t>
            </w:r>
          </w:p>
        </w:tc>
        <w:tc>
          <w:tcPr>
            <w:tcW w:w="1361" w:type="dxa"/>
            <w:shd w:val="clear" w:color="000000" w:fill="FFFFFF"/>
            <w:noWrap/>
            <w:hideMark/>
          </w:tcPr>
          <w:p w14:paraId="31E41C96" w14:textId="78392FF5" w:rsidR="008E2ED2" w:rsidRPr="0018386D" w:rsidRDefault="008E2ED2" w:rsidP="00DD3106">
            <w:pPr>
              <w:pStyle w:val="TableText"/>
              <w:spacing w:before="30" w:after="30"/>
            </w:pPr>
            <w:r w:rsidRPr="0018386D">
              <w:t>0.00159</w:t>
            </w:r>
          </w:p>
        </w:tc>
      </w:tr>
      <w:tr w:rsidR="00565B50" w:rsidRPr="0018386D" w14:paraId="117AA757"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2A78793B" w14:textId="44F1B9CC" w:rsidR="008E2ED2" w:rsidRPr="0018386D" w:rsidRDefault="008E2ED2" w:rsidP="00DD3106">
            <w:pPr>
              <w:pStyle w:val="TableText"/>
              <w:spacing w:before="30" w:after="30"/>
            </w:pPr>
            <w:r w:rsidRPr="0018386D">
              <w:t>PHEV (Diesel) - Electricity consumption</w:t>
            </w:r>
          </w:p>
        </w:tc>
        <w:tc>
          <w:tcPr>
            <w:tcW w:w="1361" w:type="dxa"/>
            <w:tcBorders>
              <w:left w:val="single" w:sz="4" w:space="0" w:color="auto"/>
            </w:tcBorders>
            <w:shd w:val="clear" w:color="000000" w:fill="FFFFFF"/>
            <w:noWrap/>
            <w:hideMark/>
          </w:tcPr>
          <w:p w14:paraId="6ACF90B1" w14:textId="77777777"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37EEC25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5DA2A779" w14:textId="0871A140" w:rsidR="008E2ED2" w:rsidRPr="0018386D" w:rsidRDefault="008E2ED2" w:rsidP="00DD3106">
            <w:pPr>
              <w:pStyle w:val="TableText"/>
              <w:spacing w:before="30" w:after="30"/>
            </w:pPr>
            <w:r w:rsidRPr="0018386D">
              <w:t>0.00758</w:t>
            </w:r>
          </w:p>
        </w:tc>
        <w:tc>
          <w:tcPr>
            <w:tcW w:w="1361" w:type="dxa"/>
            <w:shd w:val="clear" w:color="000000" w:fill="FFFFFF"/>
            <w:noWrap/>
            <w:hideMark/>
          </w:tcPr>
          <w:p w14:paraId="43FFB050" w14:textId="0A43DB6F" w:rsidR="008E2ED2" w:rsidRPr="0018386D" w:rsidRDefault="008E2ED2" w:rsidP="00DD3106">
            <w:pPr>
              <w:pStyle w:val="TableText"/>
              <w:spacing w:before="30" w:after="30"/>
            </w:pPr>
            <w:r w:rsidRPr="0018386D">
              <w:t>0.00736</w:t>
            </w:r>
          </w:p>
        </w:tc>
        <w:tc>
          <w:tcPr>
            <w:tcW w:w="1361" w:type="dxa"/>
            <w:shd w:val="clear" w:color="000000" w:fill="FFFFFF"/>
            <w:noWrap/>
            <w:hideMark/>
          </w:tcPr>
          <w:p w14:paraId="431BC15B" w14:textId="5F9D7928" w:rsidR="008E2ED2" w:rsidRPr="0018386D" w:rsidRDefault="008E2ED2" w:rsidP="00DD3106">
            <w:pPr>
              <w:pStyle w:val="TableText"/>
              <w:spacing w:before="30" w:after="30"/>
            </w:pPr>
            <w:r w:rsidRPr="0018386D">
              <w:t>0.0002</w:t>
            </w:r>
          </w:p>
        </w:tc>
        <w:tc>
          <w:tcPr>
            <w:tcW w:w="1361" w:type="dxa"/>
            <w:shd w:val="clear" w:color="000000" w:fill="FFFFFF"/>
            <w:noWrap/>
            <w:hideMark/>
          </w:tcPr>
          <w:p w14:paraId="1AD5A72A" w14:textId="77777777" w:rsidR="008E2ED2" w:rsidRPr="0018386D" w:rsidRDefault="008E2ED2" w:rsidP="00DD3106">
            <w:pPr>
              <w:pStyle w:val="TableText"/>
              <w:spacing w:before="30" w:after="30"/>
            </w:pPr>
            <w:r w:rsidRPr="0018386D">
              <w:t>0.00002</w:t>
            </w:r>
          </w:p>
        </w:tc>
      </w:tr>
      <w:tr w:rsidR="00565B50" w:rsidRPr="0018386D" w14:paraId="26256A21"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2972671C"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24EA60FC" w14:textId="5A837598"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4E9765C8"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21289960" w14:textId="00433099" w:rsidR="008E2ED2" w:rsidRPr="0018386D" w:rsidRDefault="008E2ED2" w:rsidP="00DD3106">
            <w:pPr>
              <w:pStyle w:val="TableText"/>
              <w:spacing w:before="30" w:after="30"/>
            </w:pPr>
            <w:r w:rsidRPr="0018386D">
              <w:t>0.00728</w:t>
            </w:r>
          </w:p>
        </w:tc>
        <w:tc>
          <w:tcPr>
            <w:tcW w:w="1361" w:type="dxa"/>
            <w:shd w:val="clear" w:color="000000" w:fill="FFFFFF"/>
            <w:noWrap/>
            <w:hideMark/>
          </w:tcPr>
          <w:p w14:paraId="2D90CB0C" w14:textId="603C9C71" w:rsidR="008E2ED2" w:rsidRPr="0018386D" w:rsidRDefault="008E2ED2" w:rsidP="00DD3106">
            <w:pPr>
              <w:pStyle w:val="TableText"/>
              <w:spacing w:before="30" w:after="30"/>
            </w:pPr>
            <w:r w:rsidRPr="0018386D">
              <w:t>0.00707</w:t>
            </w:r>
          </w:p>
        </w:tc>
        <w:tc>
          <w:tcPr>
            <w:tcW w:w="1361" w:type="dxa"/>
            <w:shd w:val="clear" w:color="000000" w:fill="FFFFFF"/>
            <w:noWrap/>
            <w:hideMark/>
          </w:tcPr>
          <w:p w14:paraId="26CA56AA" w14:textId="134242B4" w:rsidR="008E2ED2" w:rsidRPr="0018386D" w:rsidRDefault="008E2ED2" w:rsidP="00DD3106">
            <w:pPr>
              <w:pStyle w:val="TableText"/>
              <w:spacing w:before="30" w:after="30"/>
            </w:pPr>
            <w:r w:rsidRPr="0018386D">
              <w:t>0.0002</w:t>
            </w:r>
          </w:p>
        </w:tc>
        <w:tc>
          <w:tcPr>
            <w:tcW w:w="1361" w:type="dxa"/>
            <w:shd w:val="clear" w:color="000000" w:fill="FFFFFF"/>
            <w:noWrap/>
            <w:hideMark/>
          </w:tcPr>
          <w:p w14:paraId="3B6B804A" w14:textId="77777777" w:rsidR="008E2ED2" w:rsidRPr="0018386D" w:rsidRDefault="008E2ED2" w:rsidP="00DD3106">
            <w:pPr>
              <w:pStyle w:val="TableText"/>
              <w:spacing w:before="30" w:after="30"/>
            </w:pPr>
            <w:r w:rsidRPr="0018386D">
              <w:t>0.00002</w:t>
            </w:r>
          </w:p>
        </w:tc>
      </w:tr>
      <w:tr w:rsidR="00565B50" w:rsidRPr="0018386D" w14:paraId="3A14C290"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04654643"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3C453CC0" w14:textId="22CE509C"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4738655F"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5995BC43" w14:textId="28520A8C" w:rsidR="008E2ED2" w:rsidRPr="0018386D" w:rsidRDefault="008E2ED2" w:rsidP="00DD3106">
            <w:pPr>
              <w:pStyle w:val="TableText"/>
              <w:spacing w:before="30" w:after="30"/>
            </w:pPr>
            <w:r w:rsidRPr="0018386D">
              <w:t>0.00798</w:t>
            </w:r>
          </w:p>
        </w:tc>
        <w:tc>
          <w:tcPr>
            <w:tcW w:w="1361" w:type="dxa"/>
            <w:shd w:val="clear" w:color="000000" w:fill="FFFFFF"/>
            <w:noWrap/>
            <w:hideMark/>
          </w:tcPr>
          <w:p w14:paraId="60642C81" w14:textId="275FF49F" w:rsidR="008E2ED2" w:rsidRPr="0018386D" w:rsidRDefault="008E2ED2" w:rsidP="00DD3106">
            <w:pPr>
              <w:pStyle w:val="TableText"/>
              <w:spacing w:before="30" w:after="30"/>
            </w:pPr>
            <w:r w:rsidRPr="0018386D">
              <w:t>0.00775</w:t>
            </w:r>
          </w:p>
        </w:tc>
        <w:tc>
          <w:tcPr>
            <w:tcW w:w="1361" w:type="dxa"/>
            <w:shd w:val="clear" w:color="000000" w:fill="FFFFFF"/>
            <w:noWrap/>
            <w:hideMark/>
          </w:tcPr>
          <w:p w14:paraId="7E0C4CB7" w14:textId="337A76D4" w:rsidR="008E2ED2" w:rsidRPr="0018386D" w:rsidRDefault="008E2ED2" w:rsidP="00DD3106">
            <w:pPr>
              <w:pStyle w:val="TableText"/>
              <w:spacing w:before="30" w:after="30"/>
            </w:pPr>
            <w:r w:rsidRPr="0018386D">
              <w:t>0.0002</w:t>
            </w:r>
          </w:p>
        </w:tc>
        <w:tc>
          <w:tcPr>
            <w:tcW w:w="1361" w:type="dxa"/>
            <w:shd w:val="clear" w:color="000000" w:fill="FFFFFF"/>
            <w:noWrap/>
            <w:hideMark/>
          </w:tcPr>
          <w:p w14:paraId="38E81259" w14:textId="77777777" w:rsidR="008E2ED2" w:rsidRPr="0018386D" w:rsidRDefault="008E2ED2" w:rsidP="00DD3106">
            <w:pPr>
              <w:pStyle w:val="TableText"/>
              <w:spacing w:before="30" w:after="30"/>
            </w:pPr>
            <w:r w:rsidRPr="0018386D">
              <w:t>0.00002</w:t>
            </w:r>
          </w:p>
        </w:tc>
      </w:tr>
      <w:tr w:rsidR="00565B50" w:rsidRPr="0018386D" w14:paraId="28198374"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4978ED2C"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3F2F892D" w14:textId="787D6AD5"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1DAE552C"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40639F3" w14:textId="7E78541A" w:rsidR="008E2ED2" w:rsidRPr="0018386D" w:rsidRDefault="008E2ED2" w:rsidP="00DD3106">
            <w:pPr>
              <w:pStyle w:val="TableText"/>
              <w:spacing w:before="30" w:after="30"/>
            </w:pPr>
            <w:r w:rsidRPr="0018386D">
              <w:t>0.00903</w:t>
            </w:r>
          </w:p>
        </w:tc>
        <w:tc>
          <w:tcPr>
            <w:tcW w:w="1361" w:type="dxa"/>
            <w:shd w:val="clear" w:color="000000" w:fill="FFFFFF"/>
            <w:noWrap/>
            <w:hideMark/>
          </w:tcPr>
          <w:p w14:paraId="3DE9E543" w14:textId="40F2D4FC" w:rsidR="008E2ED2" w:rsidRPr="0018386D" w:rsidRDefault="008E2ED2" w:rsidP="00DD3106">
            <w:pPr>
              <w:pStyle w:val="TableText"/>
              <w:spacing w:before="30" w:after="30"/>
            </w:pPr>
            <w:r w:rsidRPr="0018386D">
              <w:t>0.00877</w:t>
            </w:r>
          </w:p>
        </w:tc>
        <w:tc>
          <w:tcPr>
            <w:tcW w:w="1361" w:type="dxa"/>
            <w:shd w:val="clear" w:color="000000" w:fill="FFFFFF"/>
            <w:noWrap/>
            <w:hideMark/>
          </w:tcPr>
          <w:p w14:paraId="510D07D7" w14:textId="6DD168FA" w:rsidR="008E2ED2" w:rsidRPr="0018386D" w:rsidRDefault="008E2ED2" w:rsidP="00DD3106">
            <w:pPr>
              <w:pStyle w:val="TableText"/>
              <w:spacing w:before="30" w:after="30"/>
            </w:pPr>
            <w:r w:rsidRPr="0018386D">
              <w:t>0.0002</w:t>
            </w:r>
          </w:p>
        </w:tc>
        <w:tc>
          <w:tcPr>
            <w:tcW w:w="1361" w:type="dxa"/>
            <w:shd w:val="clear" w:color="000000" w:fill="FFFFFF"/>
            <w:noWrap/>
            <w:hideMark/>
          </w:tcPr>
          <w:p w14:paraId="7BF2AE66" w14:textId="1DCB7ED6" w:rsidR="008E2ED2" w:rsidRPr="0018386D" w:rsidRDefault="008E2ED2" w:rsidP="00DD3106">
            <w:pPr>
              <w:pStyle w:val="TableText"/>
              <w:spacing w:before="30" w:after="30"/>
            </w:pPr>
            <w:r w:rsidRPr="0018386D">
              <w:t>0.00002</w:t>
            </w:r>
          </w:p>
        </w:tc>
      </w:tr>
      <w:tr w:rsidR="00565B50" w:rsidRPr="0018386D" w14:paraId="06F9406C"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75D4D17A"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00753B72" w14:textId="77777777" w:rsidR="008E2ED2" w:rsidRPr="0018386D" w:rsidRDefault="008E2ED2" w:rsidP="00DD3106">
            <w:pPr>
              <w:pStyle w:val="TableText"/>
              <w:spacing w:before="30" w:after="30"/>
            </w:pPr>
            <w:r w:rsidRPr="0018386D">
              <w:t>≥3000 cc</w:t>
            </w:r>
          </w:p>
        </w:tc>
        <w:tc>
          <w:tcPr>
            <w:tcW w:w="510" w:type="dxa"/>
            <w:shd w:val="clear" w:color="000000" w:fill="FFFFFF"/>
            <w:noWrap/>
            <w:hideMark/>
          </w:tcPr>
          <w:p w14:paraId="2C763D4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F19EE30" w14:textId="45A44F83" w:rsidR="008E2ED2" w:rsidRPr="0018386D" w:rsidRDefault="008E2ED2" w:rsidP="00DD3106">
            <w:pPr>
              <w:pStyle w:val="TableText"/>
              <w:spacing w:before="30" w:after="30"/>
            </w:pPr>
            <w:r w:rsidRPr="0018386D">
              <w:t>0.0107</w:t>
            </w:r>
          </w:p>
        </w:tc>
        <w:tc>
          <w:tcPr>
            <w:tcW w:w="1361" w:type="dxa"/>
            <w:shd w:val="clear" w:color="000000" w:fill="FFFFFF"/>
            <w:noWrap/>
            <w:hideMark/>
          </w:tcPr>
          <w:p w14:paraId="30D39685" w14:textId="348F8E7F" w:rsidR="008E2ED2" w:rsidRPr="0018386D" w:rsidRDefault="008E2ED2" w:rsidP="00DD3106">
            <w:pPr>
              <w:pStyle w:val="TableText"/>
              <w:spacing w:before="30" w:after="30"/>
            </w:pPr>
            <w:r w:rsidRPr="0018386D">
              <w:t>0.0104</w:t>
            </w:r>
          </w:p>
        </w:tc>
        <w:tc>
          <w:tcPr>
            <w:tcW w:w="1361" w:type="dxa"/>
            <w:shd w:val="clear" w:color="000000" w:fill="FFFFFF"/>
            <w:noWrap/>
            <w:hideMark/>
          </w:tcPr>
          <w:p w14:paraId="40423DD7" w14:textId="63CAC2B7" w:rsidR="008E2ED2" w:rsidRPr="0018386D" w:rsidRDefault="008E2ED2" w:rsidP="00DD3106">
            <w:pPr>
              <w:pStyle w:val="TableText"/>
              <w:spacing w:before="30" w:after="30"/>
            </w:pPr>
            <w:r w:rsidRPr="0018386D">
              <w:t>0.0003</w:t>
            </w:r>
          </w:p>
        </w:tc>
        <w:tc>
          <w:tcPr>
            <w:tcW w:w="1361" w:type="dxa"/>
            <w:shd w:val="clear" w:color="000000" w:fill="FFFFFF"/>
            <w:noWrap/>
            <w:hideMark/>
          </w:tcPr>
          <w:p w14:paraId="484B2C8F" w14:textId="3E84DBB4" w:rsidR="008E2ED2" w:rsidRPr="0018386D" w:rsidRDefault="008E2ED2" w:rsidP="00DD3106">
            <w:pPr>
              <w:pStyle w:val="TableText"/>
              <w:spacing w:before="30" w:after="30"/>
            </w:pPr>
            <w:r w:rsidRPr="0018386D">
              <w:t>0.00002</w:t>
            </w:r>
          </w:p>
        </w:tc>
      </w:tr>
      <w:tr w:rsidR="00565B50" w:rsidRPr="0018386D" w14:paraId="6AD3B022"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232913E0" w14:textId="77777777" w:rsidR="008E2ED2" w:rsidRPr="0018386D" w:rsidRDefault="008E2ED2" w:rsidP="00DD3106">
            <w:pPr>
              <w:pStyle w:val="TableText"/>
              <w:spacing w:before="30" w:after="30"/>
            </w:pPr>
            <w:r w:rsidRPr="0018386D">
              <w:t>Electric vehicle</w:t>
            </w:r>
          </w:p>
        </w:tc>
        <w:tc>
          <w:tcPr>
            <w:tcW w:w="1361" w:type="dxa"/>
            <w:tcBorders>
              <w:left w:val="single" w:sz="4" w:space="0" w:color="auto"/>
            </w:tcBorders>
            <w:shd w:val="clear" w:color="000000" w:fill="FFFFFF"/>
            <w:noWrap/>
            <w:hideMark/>
          </w:tcPr>
          <w:p w14:paraId="79EC4B64" w14:textId="09ED5C64" w:rsidR="008E2ED2" w:rsidRPr="0018386D" w:rsidRDefault="008E2ED2" w:rsidP="00DD3106">
            <w:pPr>
              <w:pStyle w:val="TableText"/>
              <w:spacing w:before="30" w:after="30"/>
            </w:pPr>
            <w:r w:rsidRPr="0018386D">
              <w:t>&lt;1350 cc</w:t>
            </w:r>
          </w:p>
        </w:tc>
        <w:tc>
          <w:tcPr>
            <w:tcW w:w="510" w:type="dxa"/>
            <w:shd w:val="clear" w:color="000000" w:fill="FFFFFF"/>
            <w:noWrap/>
            <w:hideMark/>
          </w:tcPr>
          <w:p w14:paraId="7915456B"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0151115" w14:textId="3A4CF8BA" w:rsidR="008E2ED2" w:rsidRPr="0018386D" w:rsidRDefault="008E2ED2" w:rsidP="00DD3106">
            <w:pPr>
              <w:pStyle w:val="TableText"/>
              <w:spacing w:before="30" w:after="30"/>
            </w:pPr>
            <w:r w:rsidRPr="0018386D">
              <w:t>0.0146</w:t>
            </w:r>
          </w:p>
        </w:tc>
        <w:tc>
          <w:tcPr>
            <w:tcW w:w="1361" w:type="dxa"/>
            <w:shd w:val="clear" w:color="000000" w:fill="FFFFFF"/>
            <w:noWrap/>
            <w:hideMark/>
          </w:tcPr>
          <w:p w14:paraId="033D2C2C" w14:textId="25887EF5" w:rsidR="008E2ED2" w:rsidRPr="0018386D" w:rsidRDefault="008E2ED2" w:rsidP="00DD3106">
            <w:pPr>
              <w:pStyle w:val="TableText"/>
              <w:spacing w:before="30" w:after="30"/>
            </w:pPr>
            <w:r w:rsidRPr="0018386D">
              <w:t>0.0142</w:t>
            </w:r>
          </w:p>
        </w:tc>
        <w:tc>
          <w:tcPr>
            <w:tcW w:w="1361" w:type="dxa"/>
            <w:shd w:val="clear" w:color="000000" w:fill="FFFFFF"/>
            <w:noWrap/>
            <w:hideMark/>
          </w:tcPr>
          <w:p w14:paraId="5CD449C8" w14:textId="1372542A" w:rsidR="008E2ED2" w:rsidRPr="0018386D" w:rsidRDefault="008E2ED2" w:rsidP="00DD3106">
            <w:pPr>
              <w:pStyle w:val="TableText"/>
              <w:spacing w:before="30" w:after="30"/>
            </w:pPr>
            <w:r w:rsidRPr="0018386D">
              <w:t>0.0004</w:t>
            </w:r>
          </w:p>
        </w:tc>
        <w:tc>
          <w:tcPr>
            <w:tcW w:w="1361" w:type="dxa"/>
            <w:shd w:val="clear" w:color="000000" w:fill="FFFFFF"/>
            <w:noWrap/>
            <w:hideMark/>
          </w:tcPr>
          <w:p w14:paraId="571F6788" w14:textId="1ED29DB6" w:rsidR="008E2ED2" w:rsidRPr="0018386D" w:rsidRDefault="008E2ED2" w:rsidP="00DD3106">
            <w:pPr>
              <w:pStyle w:val="TableText"/>
              <w:spacing w:before="30" w:after="30"/>
            </w:pPr>
            <w:r w:rsidRPr="0018386D">
              <w:t>0.00003</w:t>
            </w:r>
          </w:p>
        </w:tc>
      </w:tr>
      <w:tr w:rsidR="00565B50" w:rsidRPr="0018386D" w14:paraId="27AEC7DF"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5618FF7D"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180E310F" w14:textId="10F902B5" w:rsidR="008E2ED2" w:rsidRPr="0018386D" w:rsidRDefault="008E2ED2" w:rsidP="00DD3106">
            <w:pPr>
              <w:pStyle w:val="TableText"/>
              <w:spacing w:before="30" w:after="30"/>
            </w:pPr>
            <w:r w:rsidRPr="0018386D">
              <w:t>1350–&lt;1600 cc</w:t>
            </w:r>
          </w:p>
        </w:tc>
        <w:tc>
          <w:tcPr>
            <w:tcW w:w="510" w:type="dxa"/>
            <w:shd w:val="clear" w:color="000000" w:fill="FFFFFF"/>
            <w:noWrap/>
            <w:hideMark/>
          </w:tcPr>
          <w:p w14:paraId="737CCD56"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5DE41A0" w14:textId="0D136D0F" w:rsidR="008E2ED2" w:rsidRPr="0018386D" w:rsidRDefault="008E2ED2" w:rsidP="00DD3106">
            <w:pPr>
              <w:pStyle w:val="TableText"/>
              <w:spacing w:before="30" w:after="30"/>
            </w:pPr>
            <w:r w:rsidRPr="0018386D">
              <w:t>0.0151</w:t>
            </w:r>
          </w:p>
        </w:tc>
        <w:tc>
          <w:tcPr>
            <w:tcW w:w="1361" w:type="dxa"/>
            <w:shd w:val="clear" w:color="000000" w:fill="FFFFFF"/>
            <w:noWrap/>
            <w:hideMark/>
          </w:tcPr>
          <w:p w14:paraId="0A884177" w14:textId="149D47C9" w:rsidR="008E2ED2" w:rsidRPr="0018386D" w:rsidRDefault="008E2ED2" w:rsidP="00DD3106">
            <w:pPr>
              <w:pStyle w:val="TableText"/>
              <w:spacing w:before="30" w:after="30"/>
            </w:pPr>
            <w:r w:rsidRPr="0018386D">
              <w:t>0.0147</w:t>
            </w:r>
          </w:p>
        </w:tc>
        <w:tc>
          <w:tcPr>
            <w:tcW w:w="1361" w:type="dxa"/>
            <w:shd w:val="clear" w:color="000000" w:fill="FFFFFF"/>
            <w:noWrap/>
            <w:hideMark/>
          </w:tcPr>
          <w:p w14:paraId="28441766" w14:textId="197D116D" w:rsidR="008E2ED2" w:rsidRPr="0018386D" w:rsidRDefault="008E2ED2" w:rsidP="00DD3106">
            <w:pPr>
              <w:pStyle w:val="TableText"/>
              <w:spacing w:before="30" w:after="30"/>
            </w:pPr>
            <w:r w:rsidRPr="0018386D">
              <w:t>0.0004</w:t>
            </w:r>
          </w:p>
        </w:tc>
        <w:tc>
          <w:tcPr>
            <w:tcW w:w="1361" w:type="dxa"/>
            <w:shd w:val="clear" w:color="000000" w:fill="FFFFFF"/>
            <w:noWrap/>
            <w:hideMark/>
          </w:tcPr>
          <w:p w14:paraId="57425B20" w14:textId="4C6F000A" w:rsidR="008E2ED2" w:rsidRPr="0018386D" w:rsidRDefault="008E2ED2" w:rsidP="00DD3106">
            <w:pPr>
              <w:pStyle w:val="TableText"/>
              <w:spacing w:before="30" w:after="30"/>
            </w:pPr>
            <w:r w:rsidRPr="0018386D">
              <w:t>0.00003</w:t>
            </w:r>
          </w:p>
        </w:tc>
      </w:tr>
      <w:tr w:rsidR="00565B50" w:rsidRPr="0018386D" w14:paraId="0C0E5728"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77368967"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02423AFE" w14:textId="59615593" w:rsidR="008E2ED2" w:rsidRPr="0018386D" w:rsidRDefault="008E2ED2" w:rsidP="00DD3106">
            <w:pPr>
              <w:pStyle w:val="TableText"/>
              <w:spacing w:before="30" w:after="30"/>
            </w:pPr>
            <w:r w:rsidRPr="0018386D">
              <w:t>1600–&lt;2000 cc</w:t>
            </w:r>
          </w:p>
        </w:tc>
        <w:tc>
          <w:tcPr>
            <w:tcW w:w="510" w:type="dxa"/>
            <w:shd w:val="clear" w:color="000000" w:fill="FFFFFF"/>
            <w:noWrap/>
            <w:hideMark/>
          </w:tcPr>
          <w:p w14:paraId="41DDDE71"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77AB696B" w14:textId="1A4B9F91" w:rsidR="008E2ED2" w:rsidRPr="0018386D" w:rsidRDefault="008E2ED2" w:rsidP="00DD3106">
            <w:pPr>
              <w:pStyle w:val="TableText"/>
              <w:spacing w:before="30" w:after="30"/>
            </w:pPr>
            <w:r w:rsidRPr="0018386D">
              <w:t>0.0170</w:t>
            </w:r>
          </w:p>
        </w:tc>
        <w:tc>
          <w:tcPr>
            <w:tcW w:w="1361" w:type="dxa"/>
            <w:shd w:val="clear" w:color="000000" w:fill="FFFFFF"/>
            <w:noWrap/>
            <w:hideMark/>
          </w:tcPr>
          <w:p w14:paraId="05F832F3" w14:textId="2EC24A4C" w:rsidR="008E2ED2" w:rsidRPr="0018386D" w:rsidRDefault="008E2ED2" w:rsidP="00DD3106">
            <w:pPr>
              <w:pStyle w:val="TableText"/>
              <w:spacing w:before="30" w:after="30"/>
            </w:pPr>
            <w:r w:rsidRPr="0018386D">
              <w:t>0.0165</w:t>
            </w:r>
          </w:p>
        </w:tc>
        <w:tc>
          <w:tcPr>
            <w:tcW w:w="1361" w:type="dxa"/>
            <w:shd w:val="clear" w:color="000000" w:fill="FFFFFF"/>
            <w:noWrap/>
            <w:hideMark/>
          </w:tcPr>
          <w:p w14:paraId="1DC7382C" w14:textId="66AD0D07" w:rsidR="008E2ED2" w:rsidRPr="0018386D" w:rsidRDefault="008E2ED2" w:rsidP="00DD3106">
            <w:pPr>
              <w:pStyle w:val="TableText"/>
              <w:spacing w:before="30" w:after="30"/>
            </w:pPr>
            <w:r w:rsidRPr="0018386D">
              <w:t>0.0004</w:t>
            </w:r>
          </w:p>
        </w:tc>
        <w:tc>
          <w:tcPr>
            <w:tcW w:w="1361" w:type="dxa"/>
            <w:shd w:val="clear" w:color="000000" w:fill="FFFFFF"/>
            <w:noWrap/>
            <w:hideMark/>
          </w:tcPr>
          <w:p w14:paraId="7EC2A3AE" w14:textId="16F753E9" w:rsidR="008E2ED2" w:rsidRPr="0018386D" w:rsidRDefault="008E2ED2" w:rsidP="00DD3106">
            <w:pPr>
              <w:pStyle w:val="TableText"/>
              <w:spacing w:before="30" w:after="30"/>
            </w:pPr>
            <w:r w:rsidRPr="0018386D">
              <w:t>0.00004</w:t>
            </w:r>
          </w:p>
        </w:tc>
      </w:tr>
      <w:tr w:rsidR="00565B50" w:rsidRPr="0018386D" w14:paraId="3F6B47A5"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1D324046"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2BD86D63" w14:textId="295ABDEE" w:rsidR="008E2ED2" w:rsidRPr="0018386D" w:rsidRDefault="008E2ED2" w:rsidP="00DD3106">
            <w:pPr>
              <w:pStyle w:val="TableText"/>
              <w:spacing w:before="30" w:after="30"/>
            </w:pPr>
            <w:r w:rsidRPr="0018386D">
              <w:t>2000–&lt;3000 cc</w:t>
            </w:r>
          </w:p>
        </w:tc>
        <w:tc>
          <w:tcPr>
            <w:tcW w:w="510" w:type="dxa"/>
            <w:shd w:val="clear" w:color="000000" w:fill="FFFFFF"/>
            <w:noWrap/>
            <w:hideMark/>
          </w:tcPr>
          <w:p w14:paraId="28E92C08"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44B0A2C" w14:textId="245A7FB6" w:rsidR="008E2ED2" w:rsidRPr="0018386D" w:rsidRDefault="008E2ED2" w:rsidP="00DD3106">
            <w:pPr>
              <w:pStyle w:val="TableText"/>
              <w:spacing w:before="30" w:after="30"/>
            </w:pPr>
            <w:r w:rsidRPr="0018386D">
              <w:t>0.0189</w:t>
            </w:r>
          </w:p>
        </w:tc>
        <w:tc>
          <w:tcPr>
            <w:tcW w:w="1361" w:type="dxa"/>
            <w:shd w:val="clear" w:color="000000" w:fill="FFFFFF"/>
            <w:noWrap/>
            <w:hideMark/>
          </w:tcPr>
          <w:p w14:paraId="1DD1F69B" w14:textId="07CDF296" w:rsidR="008E2ED2" w:rsidRPr="0018386D" w:rsidRDefault="008E2ED2" w:rsidP="00DD3106">
            <w:pPr>
              <w:pStyle w:val="TableText"/>
              <w:spacing w:before="30" w:after="30"/>
            </w:pPr>
            <w:r w:rsidRPr="0018386D">
              <w:t>0.0183</w:t>
            </w:r>
          </w:p>
        </w:tc>
        <w:tc>
          <w:tcPr>
            <w:tcW w:w="1361" w:type="dxa"/>
            <w:shd w:val="clear" w:color="000000" w:fill="FFFFFF"/>
            <w:noWrap/>
            <w:hideMark/>
          </w:tcPr>
          <w:p w14:paraId="1AEE49C4" w14:textId="6B2C6971" w:rsidR="008E2ED2" w:rsidRPr="0018386D" w:rsidRDefault="008E2ED2" w:rsidP="00DD3106">
            <w:pPr>
              <w:pStyle w:val="TableText"/>
              <w:spacing w:before="30" w:after="30"/>
            </w:pPr>
            <w:r w:rsidRPr="0018386D">
              <w:t>0.0005</w:t>
            </w:r>
          </w:p>
        </w:tc>
        <w:tc>
          <w:tcPr>
            <w:tcW w:w="1361" w:type="dxa"/>
            <w:shd w:val="clear" w:color="000000" w:fill="FFFFFF"/>
            <w:noWrap/>
            <w:hideMark/>
          </w:tcPr>
          <w:p w14:paraId="4290932F" w14:textId="2C63CF69" w:rsidR="008E2ED2" w:rsidRPr="0018386D" w:rsidRDefault="008E2ED2" w:rsidP="00DD3106">
            <w:pPr>
              <w:pStyle w:val="TableText"/>
              <w:spacing w:before="30" w:after="30"/>
            </w:pPr>
            <w:r w:rsidRPr="0018386D">
              <w:t>0.00004</w:t>
            </w:r>
          </w:p>
        </w:tc>
      </w:tr>
      <w:tr w:rsidR="00565B50" w:rsidRPr="0018386D" w14:paraId="6CC536E7"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11A8490E"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000755D6" w14:textId="0C18A758" w:rsidR="008E2ED2" w:rsidRPr="0018386D" w:rsidRDefault="008E2ED2" w:rsidP="00DD3106">
            <w:pPr>
              <w:pStyle w:val="TableText"/>
              <w:spacing w:before="30" w:after="30"/>
            </w:pPr>
            <w:r w:rsidRPr="0018386D">
              <w:t>≥3000 cc</w:t>
            </w:r>
          </w:p>
        </w:tc>
        <w:tc>
          <w:tcPr>
            <w:tcW w:w="510" w:type="dxa"/>
            <w:shd w:val="clear" w:color="000000" w:fill="FFFFFF"/>
            <w:noWrap/>
            <w:hideMark/>
          </w:tcPr>
          <w:p w14:paraId="3474AB9D"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7AE87AB4" w14:textId="1830ADD4" w:rsidR="008E2ED2" w:rsidRPr="0018386D" w:rsidRDefault="008E2ED2" w:rsidP="00DD3106">
            <w:pPr>
              <w:pStyle w:val="TableText"/>
              <w:spacing w:before="30" w:after="30"/>
            </w:pPr>
            <w:r w:rsidRPr="0018386D">
              <w:t>0.0226</w:t>
            </w:r>
          </w:p>
        </w:tc>
        <w:tc>
          <w:tcPr>
            <w:tcW w:w="1361" w:type="dxa"/>
            <w:shd w:val="clear" w:color="000000" w:fill="FFFFFF"/>
            <w:noWrap/>
            <w:hideMark/>
          </w:tcPr>
          <w:p w14:paraId="43B83C9B" w14:textId="16D40BC2" w:rsidR="008E2ED2" w:rsidRPr="0018386D" w:rsidRDefault="008E2ED2" w:rsidP="00DD3106">
            <w:pPr>
              <w:pStyle w:val="TableText"/>
              <w:spacing w:before="30" w:after="30"/>
            </w:pPr>
            <w:r w:rsidRPr="0018386D">
              <w:t>0.0219</w:t>
            </w:r>
          </w:p>
        </w:tc>
        <w:tc>
          <w:tcPr>
            <w:tcW w:w="1361" w:type="dxa"/>
            <w:shd w:val="clear" w:color="000000" w:fill="FFFFFF"/>
            <w:noWrap/>
            <w:hideMark/>
          </w:tcPr>
          <w:p w14:paraId="0DF9F1D6" w14:textId="59126381" w:rsidR="008E2ED2" w:rsidRPr="0018386D" w:rsidRDefault="008E2ED2" w:rsidP="00DD3106">
            <w:pPr>
              <w:pStyle w:val="TableText"/>
              <w:spacing w:before="30" w:after="30"/>
            </w:pPr>
            <w:r w:rsidRPr="0018386D">
              <w:t>0.0006</w:t>
            </w:r>
          </w:p>
        </w:tc>
        <w:tc>
          <w:tcPr>
            <w:tcW w:w="1361" w:type="dxa"/>
            <w:shd w:val="clear" w:color="000000" w:fill="FFFFFF"/>
            <w:noWrap/>
            <w:hideMark/>
          </w:tcPr>
          <w:p w14:paraId="48BF44F5" w14:textId="1BE2BFB0" w:rsidR="008E2ED2" w:rsidRPr="0018386D" w:rsidRDefault="008E2ED2" w:rsidP="00DD3106">
            <w:pPr>
              <w:pStyle w:val="TableText"/>
              <w:spacing w:before="30" w:after="30"/>
            </w:pPr>
            <w:r w:rsidRPr="0018386D">
              <w:t>0.00005</w:t>
            </w:r>
          </w:p>
        </w:tc>
      </w:tr>
      <w:tr w:rsidR="00565B50" w:rsidRPr="0018386D" w14:paraId="2BCD39BE" w14:textId="77777777" w:rsidTr="00575E53">
        <w:trPr>
          <w:divId w:val="2012029796"/>
          <w:trHeight w:val="240"/>
        </w:trPr>
        <w:tc>
          <w:tcPr>
            <w:tcW w:w="1531" w:type="dxa"/>
            <w:tcBorders>
              <w:top w:val="single" w:sz="4" w:space="0" w:color="auto"/>
              <w:bottom w:val="nil"/>
              <w:right w:val="single" w:sz="4" w:space="0" w:color="auto"/>
            </w:tcBorders>
            <w:shd w:val="clear" w:color="000000" w:fill="FFFFFF"/>
            <w:noWrap/>
            <w:hideMark/>
          </w:tcPr>
          <w:p w14:paraId="64D83C31" w14:textId="77777777" w:rsidR="008E2ED2" w:rsidRPr="0018386D" w:rsidRDefault="008E2ED2" w:rsidP="00DD3106">
            <w:pPr>
              <w:pStyle w:val="TableText"/>
              <w:spacing w:before="30" w:after="30"/>
            </w:pPr>
            <w:r w:rsidRPr="0018386D">
              <w:lastRenderedPageBreak/>
              <w:t>Motorcycle</w:t>
            </w:r>
          </w:p>
        </w:tc>
        <w:tc>
          <w:tcPr>
            <w:tcW w:w="1361" w:type="dxa"/>
            <w:tcBorders>
              <w:left w:val="single" w:sz="4" w:space="0" w:color="auto"/>
            </w:tcBorders>
            <w:shd w:val="clear" w:color="000000" w:fill="FFFFFF"/>
            <w:noWrap/>
            <w:hideMark/>
          </w:tcPr>
          <w:p w14:paraId="568A22CE" w14:textId="27D4D649" w:rsidR="008E2ED2" w:rsidRPr="0018386D" w:rsidRDefault="008E2ED2" w:rsidP="00DD3106">
            <w:pPr>
              <w:pStyle w:val="TableText"/>
              <w:spacing w:before="30" w:after="30"/>
            </w:pPr>
            <w:r w:rsidRPr="0018386D">
              <w:t>&lt;60</w:t>
            </w:r>
            <w:r w:rsidR="00195F17" w:rsidRPr="0018386D">
              <w:t xml:space="preserve"> </w:t>
            </w:r>
            <w:r w:rsidRPr="0018386D">
              <w:t>cc, petrol</w:t>
            </w:r>
          </w:p>
        </w:tc>
        <w:tc>
          <w:tcPr>
            <w:tcW w:w="510" w:type="dxa"/>
            <w:shd w:val="clear" w:color="000000" w:fill="FFFFFF"/>
            <w:noWrap/>
            <w:hideMark/>
          </w:tcPr>
          <w:p w14:paraId="0C660E1C"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237F069" w14:textId="1225D271" w:rsidR="008E2ED2" w:rsidRPr="0018386D" w:rsidRDefault="008E2ED2" w:rsidP="00DD3106">
            <w:pPr>
              <w:pStyle w:val="TableText"/>
              <w:spacing w:before="30" w:after="30"/>
            </w:pPr>
            <w:r w:rsidRPr="0018386D">
              <w:t>0.0565</w:t>
            </w:r>
          </w:p>
        </w:tc>
        <w:tc>
          <w:tcPr>
            <w:tcW w:w="1361" w:type="dxa"/>
            <w:shd w:val="clear" w:color="000000" w:fill="FFFFFF"/>
            <w:noWrap/>
            <w:hideMark/>
          </w:tcPr>
          <w:p w14:paraId="770EB45F" w14:textId="5006F452" w:rsidR="008E2ED2" w:rsidRPr="0018386D" w:rsidRDefault="008E2ED2" w:rsidP="00DD3106">
            <w:pPr>
              <w:pStyle w:val="TableText"/>
              <w:spacing w:before="30" w:after="30"/>
            </w:pPr>
            <w:r w:rsidRPr="0018386D">
              <w:t>0.0541</w:t>
            </w:r>
          </w:p>
        </w:tc>
        <w:tc>
          <w:tcPr>
            <w:tcW w:w="1361" w:type="dxa"/>
            <w:shd w:val="clear" w:color="000000" w:fill="FFFFFF"/>
            <w:noWrap/>
            <w:hideMark/>
          </w:tcPr>
          <w:p w14:paraId="0A2AA49D" w14:textId="35D7BB44" w:rsidR="008E2ED2" w:rsidRPr="0018386D" w:rsidRDefault="008E2ED2" w:rsidP="00DD3106">
            <w:pPr>
              <w:pStyle w:val="TableText"/>
              <w:spacing w:before="30" w:after="30"/>
            </w:pPr>
            <w:r w:rsidRPr="0018386D">
              <w:t>0.0007</w:t>
            </w:r>
          </w:p>
        </w:tc>
        <w:tc>
          <w:tcPr>
            <w:tcW w:w="1361" w:type="dxa"/>
            <w:shd w:val="clear" w:color="000000" w:fill="FFFFFF"/>
            <w:noWrap/>
            <w:hideMark/>
          </w:tcPr>
          <w:p w14:paraId="20F9D781" w14:textId="3037F280" w:rsidR="008E2ED2" w:rsidRPr="0018386D" w:rsidRDefault="008E2ED2" w:rsidP="00DD3106">
            <w:pPr>
              <w:pStyle w:val="TableText"/>
              <w:spacing w:before="30" w:after="30"/>
            </w:pPr>
            <w:r w:rsidRPr="0018386D">
              <w:t>0.00163</w:t>
            </w:r>
          </w:p>
        </w:tc>
      </w:tr>
      <w:tr w:rsidR="00565B50" w:rsidRPr="0018386D" w14:paraId="569ECBB0"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7B2D0B9B"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0A23347F" w14:textId="2B2D806B" w:rsidR="008E2ED2" w:rsidRPr="0018386D" w:rsidRDefault="008E2ED2" w:rsidP="00DD3106">
            <w:pPr>
              <w:pStyle w:val="TableText"/>
              <w:spacing w:before="30" w:after="30"/>
            </w:pPr>
            <w:r w:rsidRPr="0018386D">
              <w:t>≥60</w:t>
            </w:r>
            <w:r w:rsidR="00195F17" w:rsidRPr="0018386D">
              <w:t xml:space="preserve"> </w:t>
            </w:r>
            <w:r w:rsidRPr="0018386D">
              <w:t>cc, petrol</w:t>
            </w:r>
          </w:p>
        </w:tc>
        <w:tc>
          <w:tcPr>
            <w:tcW w:w="510" w:type="dxa"/>
            <w:shd w:val="clear" w:color="000000" w:fill="FFFFFF"/>
            <w:noWrap/>
            <w:hideMark/>
          </w:tcPr>
          <w:p w14:paraId="03A190EE"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841B50D" w14:textId="6CDD3849" w:rsidR="008E2ED2" w:rsidRPr="0018386D" w:rsidRDefault="008E2ED2" w:rsidP="00DD3106">
            <w:pPr>
              <w:pStyle w:val="TableText"/>
              <w:spacing w:before="30" w:after="30"/>
            </w:pPr>
            <w:r w:rsidRPr="0018386D">
              <w:t>0.113</w:t>
            </w:r>
          </w:p>
        </w:tc>
        <w:tc>
          <w:tcPr>
            <w:tcW w:w="1361" w:type="dxa"/>
            <w:shd w:val="clear" w:color="000000" w:fill="FFFFFF"/>
            <w:noWrap/>
            <w:hideMark/>
          </w:tcPr>
          <w:p w14:paraId="3BCBB593" w14:textId="7DC54054" w:rsidR="008E2ED2" w:rsidRPr="0018386D" w:rsidRDefault="008E2ED2" w:rsidP="00DD3106">
            <w:pPr>
              <w:pStyle w:val="TableText"/>
              <w:spacing w:before="30" w:after="30"/>
            </w:pPr>
            <w:r w:rsidRPr="0018386D">
              <w:t>0.108</w:t>
            </w:r>
          </w:p>
        </w:tc>
        <w:tc>
          <w:tcPr>
            <w:tcW w:w="1361" w:type="dxa"/>
            <w:shd w:val="clear" w:color="000000" w:fill="FFFFFF"/>
            <w:noWrap/>
            <w:hideMark/>
          </w:tcPr>
          <w:p w14:paraId="110199ED" w14:textId="1341C171" w:rsidR="008E2ED2" w:rsidRPr="0018386D" w:rsidRDefault="008E2ED2" w:rsidP="00DD3106">
            <w:pPr>
              <w:pStyle w:val="TableText"/>
              <w:spacing w:before="30" w:after="30"/>
            </w:pPr>
            <w:r w:rsidRPr="0018386D">
              <w:t>0.00142</w:t>
            </w:r>
          </w:p>
        </w:tc>
        <w:tc>
          <w:tcPr>
            <w:tcW w:w="1361" w:type="dxa"/>
            <w:shd w:val="clear" w:color="000000" w:fill="FFFFFF"/>
            <w:noWrap/>
            <w:hideMark/>
          </w:tcPr>
          <w:p w14:paraId="057AE48E" w14:textId="5CA6C751" w:rsidR="008E2ED2" w:rsidRPr="0018386D" w:rsidRDefault="008E2ED2" w:rsidP="00DD3106">
            <w:pPr>
              <w:pStyle w:val="TableText"/>
              <w:spacing w:before="30" w:after="30"/>
            </w:pPr>
            <w:r w:rsidRPr="0018386D">
              <w:t>0.00327</w:t>
            </w:r>
          </w:p>
        </w:tc>
      </w:tr>
      <w:tr w:rsidR="00565B50" w:rsidRPr="0018386D" w14:paraId="70F300ED" w14:textId="77777777" w:rsidTr="00575E53">
        <w:trPr>
          <w:divId w:val="2012029796"/>
          <w:trHeight w:val="240"/>
        </w:trPr>
        <w:tc>
          <w:tcPr>
            <w:tcW w:w="1531" w:type="dxa"/>
            <w:tcBorders>
              <w:top w:val="nil"/>
              <w:bottom w:val="nil"/>
              <w:right w:val="single" w:sz="4" w:space="0" w:color="auto"/>
            </w:tcBorders>
            <w:shd w:val="clear" w:color="000000" w:fill="FFFFFF"/>
            <w:noWrap/>
            <w:hideMark/>
          </w:tcPr>
          <w:p w14:paraId="24F9104E"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01F3535C" w14:textId="2002D5E8" w:rsidR="008E2ED2" w:rsidRPr="0018386D" w:rsidRDefault="008E2ED2" w:rsidP="00DD3106">
            <w:pPr>
              <w:pStyle w:val="TableText"/>
              <w:spacing w:before="30" w:after="30"/>
            </w:pPr>
            <w:r w:rsidRPr="0018386D">
              <w:t>&lt;60</w:t>
            </w:r>
            <w:r w:rsidR="00195F17" w:rsidRPr="0018386D">
              <w:t xml:space="preserve"> </w:t>
            </w:r>
            <w:r w:rsidRPr="0018386D">
              <w:t>cc, electricity</w:t>
            </w:r>
          </w:p>
        </w:tc>
        <w:tc>
          <w:tcPr>
            <w:tcW w:w="510" w:type="dxa"/>
            <w:shd w:val="clear" w:color="000000" w:fill="FFFFFF"/>
            <w:noWrap/>
            <w:hideMark/>
          </w:tcPr>
          <w:p w14:paraId="6ED1ADC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7D04EF28" w14:textId="057B9D81" w:rsidR="008E2ED2" w:rsidRPr="0018386D" w:rsidRDefault="008E2ED2" w:rsidP="00DD3106">
            <w:pPr>
              <w:pStyle w:val="TableText"/>
              <w:spacing w:before="30" w:after="30"/>
            </w:pPr>
            <w:r w:rsidRPr="0018386D">
              <w:t>0.00372</w:t>
            </w:r>
          </w:p>
        </w:tc>
        <w:tc>
          <w:tcPr>
            <w:tcW w:w="1361" w:type="dxa"/>
            <w:shd w:val="clear" w:color="000000" w:fill="FFFFFF"/>
            <w:noWrap/>
            <w:hideMark/>
          </w:tcPr>
          <w:p w14:paraId="4157BB1B" w14:textId="72560652" w:rsidR="008E2ED2" w:rsidRPr="0018386D" w:rsidRDefault="008E2ED2" w:rsidP="00DD3106">
            <w:pPr>
              <w:pStyle w:val="TableText"/>
              <w:spacing w:before="30" w:after="30"/>
            </w:pPr>
            <w:r w:rsidRPr="0018386D">
              <w:t>0.00361</w:t>
            </w:r>
          </w:p>
        </w:tc>
        <w:tc>
          <w:tcPr>
            <w:tcW w:w="1361" w:type="dxa"/>
            <w:shd w:val="clear" w:color="000000" w:fill="FFFFFF"/>
            <w:noWrap/>
            <w:hideMark/>
          </w:tcPr>
          <w:p w14:paraId="5DB1D219" w14:textId="693D7B49" w:rsidR="008E2ED2" w:rsidRPr="0018386D" w:rsidRDefault="008E2ED2" w:rsidP="00DD3106">
            <w:pPr>
              <w:pStyle w:val="TableText"/>
              <w:spacing w:before="30" w:after="30"/>
            </w:pPr>
            <w:r w:rsidRPr="0018386D">
              <w:t>0.00010</w:t>
            </w:r>
          </w:p>
        </w:tc>
        <w:tc>
          <w:tcPr>
            <w:tcW w:w="1361" w:type="dxa"/>
            <w:shd w:val="clear" w:color="000000" w:fill="FFFFFF"/>
            <w:noWrap/>
            <w:hideMark/>
          </w:tcPr>
          <w:p w14:paraId="09D5FA61" w14:textId="76AF9754" w:rsidR="008E2ED2" w:rsidRPr="0018386D" w:rsidRDefault="008E2ED2" w:rsidP="00DD3106">
            <w:pPr>
              <w:pStyle w:val="TableText"/>
              <w:spacing w:before="30" w:after="30"/>
            </w:pPr>
            <w:r w:rsidRPr="0018386D">
              <w:t>0.000008</w:t>
            </w:r>
          </w:p>
        </w:tc>
      </w:tr>
      <w:tr w:rsidR="00565B50" w:rsidRPr="0018386D" w14:paraId="4554C306" w14:textId="77777777" w:rsidTr="00575E53">
        <w:trPr>
          <w:divId w:val="2012029796"/>
          <w:trHeight w:val="240"/>
        </w:trPr>
        <w:tc>
          <w:tcPr>
            <w:tcW w:w="1531" w:type="dxa"/>
            <w:tcBorders>
              <w:top w:val="nil"/>
              <w:bottom w:val="single" w:sz="4" w:space="0" w:color="auto"/>
              <w:right w:val="single" w:sz="4" w:space="0" w:color="auto"/>
            </w:tcBorders>
            <w:shd w:val="clear" w:color="000000" w:fill="FFFFFF"/>
            <w:noWrap/>
            <w:hideMark/>
          </w:tcPr>
          <w:p w14:paraId="35776BF3" w14:textId="77777777" w:rsidR="008E2ED2" w:rsidRPr="0018386D" w:rsidRDefault="008E2ED2" w:rsidP="00DD3106">
            <w:pPr>
              <w:pStyle w:val="TableText"/>
              <w:spacing w:before="30" w:after="30"/>
            </w:pPr>
            <w:r w:rsidRPr="0018386D">
              <w:t> </w:t>
            </w:r>
          </w:p>
        </w:tc>
        <w:tc>
          <w:tcPr>
            <w:tcW w:w="1361" w:type="dxa"/>
            <w:tcBorders>
              <w:left w:val="single" w:sz="4" w:space="0" w:color="auto"/>
            </w:tcBorders>
            <w:shd w:val="clear" w:color="000000" w:fill="FFFFFF"/>
            <w:noWrap/>
            <w:hideMark/>
          </w:tcPr>
          <w:p w14:paraId="417519D3" w14:textId="44879242" w:rsidR="008E2ED2" w:rsidRPr="0018386D" w:rsidRDefault="008E2ED2" w:rsidP="00DD3106">
            <w:pPr>
              <w:pStyle w:val="TableText"/>
              <w:spacing w:before="30" w:after="30"/>
            </w:pPr>
            <w:r w:rsidRPr="0018386D">
              <w:t>≥60</w:t>
            </w:r>
            <w:r w:rsidR="00195F17" w:rsidRPr="0018386D">
              <w:t xml:space="preserve"> </w:t>
            </w:r>
            <w:r w:rsidRPr="0018386D">
              <w:t>cc, electricity</w:t>
            </w:r>
          </w:p>
        </w:tc>
        <w:tc>
          <w:tcPr>
            <w:tcW w:w="510" w:type="dxa"/>
            <w:shd w:val="clear" w:color="000000" w:fill="FFFFFF"/>
            <w:noWrap/>
            <w:hideMark/>
          </w:tcPr>
          <w:p w14:paraId="446C979B"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500FAFD" w14:textId="37DD3686" w:rsidR="008E2ED2" w:rsidRPr="0018386D" w:rsidRDefault="008E2ED2" w:rsidP="00DD3106">
            <w:pPr>
              <w:pStyle w:val="TableText"/>
              <w:spacing w:before="30" w:after="30"/>
            </w:pPr>
            <w:r w:rsidRPr="0018386D">
              <w:t>0.00743</w:t>
            </w:r>
          </w:p>
        </w:tc>
        <w:tc>
          <w:tcPr>
            <w:tcW w:w="1361" w:type="dxa"/>
            <w:shd w:val="clear" w:color="000000" w:fill="FFFFFF"/>
            <w:noWrap/>
            <w:hideMark/>
          </w:tcPr>
          <w:p w14:paraId="61A9820B" w14:textId="3C818B3F" w:rsidR="008E2ED2" w:rsidRPr="0018386D" w:rsidRDefault="008E2ED2" w:rsidP="00DD3106">
            <w:pPr>
              <w:pStyle w:val="TableText"/>
              <w:spacing w:before="30" w:after="30"/>
            </w:pPr>
            <w:r w:rsidRPr="0018386D">
              <w:t>0.00722</w:t>
            </w:r>
          </w:p>
        </w:tc>
        <w:tc>
          <w:tcPr>
            <w:tcW w:w="1361" w:type="dxa"/>
            <w:shd w:val="clear" w:color="000000" w:fill="FFFFFF"/>
            <w:noWrap/>
            <w:hideMark/>
          </w:tcPr>
          <w:p w14:paraId="3EEEBA6F" w14:textId="50C7BE30" w:rsidR="008E2ED2" w:rsidRPr="0018386D" w:rsidRDefault="008E2ED2" w:rsidP="00DD3106">
            <w:pPr>
              <w:pStyle w:val="TableText"/>
              <w:spacing w:before="30" w:after="30"/>
            </w:pPr>
            <w:r w:rsidRPr="0018386D">
              <w:t>0.0002</w:t>
            </w:r>
          </w:p>
        </w:tc>
        <w:tc>
          <w:tcPr>
            <w:tcW w:w="1361" w:type="dxa"/>
            <w:shd w:val="clear" w:color="000000" w:fill="FFFFFF"/>
            <w:noWrap/>
            <w:hideMark/>
          </w:tcPr>
          <w:p w14:paraId="67731761" w14:textId="19D80A29" w:rsidR="008E2ED2" w:rsidRPr="0018386D" w:rsidRDefault="008E2ED2" w:rsidP="00DD3106">
            <w:pPr>
              <w:pStyle w:val="TableText"/>
              <w:spacing w:before="30" w:after="30"/>
            </w:pPr>
            <w:r w:rsidRPr="0018386D">
              <w:t>0.00002</w:t>
            </w:r>
          </w:p>
        </w:tc>
      </w:tr>
    </w:tbl>
    <w:p w14:paraId="1DC1920A" w14:textId="14600B47" w:rsidR="00822A51" w:rsidRPr="0018386D" w:rsidRDefault="007C42DD" w:rsidP="00DD3106">
      <w:pPr>
        <w:pStyle w:val="Note"/>
      </w:pPr>
      <w:r w:rsidRPr="0018386D">
        <w:rPr>
          <w:b/>
          <w:bCs/>
        </w:rPr>
        <w:t>Note</w:t>
      </w:r>
      <w:r w:rsidR="001B09A4" w:rsidRPr="0018386D">
        <w:rPr>
          <w:b/>
          <w:bCs/>
        </w:rPr>
        <w:t>:</w:t>
      </w:r>
      <w:r w:rsidR="001B09A4" w:rsidRPr="0018386D">
        <w:t xml:space="preserve"> T</w:t>
      </w:r>
      <w:r w:rsidRPr="0018386D">
        <w:t xml:space="preserve">hese numbers are rounded to three decimal places unless the number </w:t>
      </w:r>
      <w:r w:rsidR="00BA31FD" w:rsidRPr="0018386D">
        <w:t>is significantly small</w:t>
      </w:r>
      <w:r w:rsidR="008B3986" w:rsidRPr="0018386D">
        <w:t>.</w:t>
      </w:r>
      <w:r w:rsidR="00B405B1" w:rsidRPr="0018386D">
        <w:t xml:space="preserve"> </w:t>
      </w:r>
      <w:bookmarkStart w:id="395" w:name="_Ref532803583"/>
    </w:p>
    <w:p w14:paraId="7C8D6D13" w14:textId="510BECD4" w:rsidR="008E2ED2" w:rsidRPr="0018386D" w:rsidRDefault="00822A51" w:rsidP="00DD3106">
      <w:pPr>
        <w:pStyle w:val="Tableheading"/>
        <w:rPr>
          <w:rFonts w:asciiTheme="minorHAnsi" w:hAnsiTheme="minorHAnsi"/>
        </w:rPr>
      </w:pPr>
      <w:bookmarkStart w:id="396" w:name="_Ref55220362"/>
      <w:bookmarkStart w:id="397" w:name="table19"/>
      <w:bookmarkStart w:id="398" w:name="_Ref611492"/>
      <w:bookmarkStart w:id="399" w:name="_Toc111536625"/>
      <w:bookmarkStart w:id="400" w:name="_Toc140048960"/>
      <w:r w:rsidRPr="0018386D">
        <w:t xml:space="preserve">Table </w:t>
      </w:r>
      <w:r w:rsidRPr="0018386D">
        <w:fldChar w:fldCharType="begin"/>
      </w:r>
      <w:r w:rsidRPr="0018386D">
        <w:instrText>SEQ Table \* ARABIC</w:instrText>
      </w:r>
      <w:r w:rsidRPr="0018386D">
        <w:fldChar w:fldCharType="separate"/>
      </w:r>
      <w:r w:rsidR="003E141C" w:rsidRPr="0018386D">
        <w:t>20</w:t>
      </w:r>
      <w:r w:rsidRPr="0018386D">
        <w:fldChar w:fldCharType="end"/>
      </w:r>
      <w:bookmarkEnd w:id="396"/>
      <w:bookmarkEnd w:id="397"/>
      <w:r w:rsidRPr="0018386D">
        <w:t>:</w:t>
      </w:r>
      <w:r w:rsidRPr="0018386D">
        <w:tab/>
        <w:t>Default private car emission factors per km travelled for default age of vehicle</w:t>
      </w:r>
      <w:r w:rsidR="008D2E99" w:rsidRPr="0018386D">
        <w:t xml:space="preserve"> </w:t>
      </w:r>
      <w:r w:rsidRPr="0018386D">
        <w:t>and</w:t>
      </w:r>
      <w:r w:rsidR="00F20E3C" w:rsidRPr="0018386D">
        <w:t> </w:t>
      </w:r>
      <w:r w:rsidRPr="0018386D">
        <w:t xml:space="preserve">&lt;3000 cc engine </w:t>
      </w:r>
      <w:proofErr w:type="gramStart"/>
      <w:r w:rsidRPr="0018386D">
        <w:t>size</w:t>
      </w:r>
      <w:bookmarkEnd w:id="398"/>
      <w:bookmarkEnd w:id="399"/>
      <w:bookmarkEnd w:id="400"/>
      <w:proofErr w:type="gramEnd"/>
      <w:r w:rsidRPr="0018386D">
        <w:t xml:space="preserve"> </w:t>
      </w:r>
      <w:bookmarkStart w:id="401" w:name="_1746366800"/>
      <w:bookmarkStart w:id="402" w:name="_1745997839"/>
      <w:bookmarkStart w:id="403" w:name="_1746254060"/>
      <w:bookmarkStart w:id="404" w:name="_1747051256"/>
      <w:bookmarkEnd w:id="401"/>
      <w:bookmarkEnd w:id="402"/>
      <w:bookmarkEnd w:id="403"/>
      <w:bookmarkEnd w:id="404"/>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845"/>
        <w:gridCol w:w="498"/>
        <w:gridCol w:w="1263"/>
        <w:gridCol w:w="1263"/>
        <w:gridCol w:w="1318"/>
        <w:gridCol w:w="1318"/>
      </w:tblGrid>
      <w:tr w:rsidR="00F71A7E" w:rsidRPr="0018386D" w14:paraId="253CA251" w14:textId="77777777" w:rsidTr="00B7563C">
        <w:trPr>
          <w:divId w:val="1122192790"/>
        </w:trPr>
        <w:tc>
          <w:tcPr>
            <w:tcW w:w="2845" w:type="dxa"/>
            <w:shd w:val="clear" w:color="000000" w:fill="1B556B" w:themeFill="text2"/>
            <w:noWrap/>
            <w:vAlign w:val="bottom"/>
            <w:hideMark/>
          </w:tcPr>
          <w:p w14:paraId="182A8993" w14:textId="314D4644"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Emission source category</w:t>
            </w:r>
          </w:p>
        </w:tc>
        <w:tc>
          <w:tcPr>
            <w:tcW w:w="498" w:type="dxa"/>
            <w:shd w:val="clear" w:color="000000" w:fill="1B556B" w:themeFill="text2"/>
            <w:noWrap/>
            <w:vAlign w:val="bottom"/>
            <w:hideMark/>
          </w:tcPr>
          <w:p w14:paraId="32EC8F17" w14:textId="77777777"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Unit</w:t>
            </w:r>
          </w:p>
        </w:tc>
        <w:tc>
          <w:tcPr>
            <w:tcW w:w="1263" w:type="dxa"/>
            <w:shd w:val="clear" w:color="000000" w:fill="1B556B" w:themeFill="text2"/>
            <w:noWrap/>
            <w:vAlign w:val="bottom"/>
            <w:hideMark/>
          </w:tcPr>
          <w:p w14:paraId="383A3228" w14:textId="1049716C"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kg CO₂-e/unit</w:t>
            </w:r>
          </w:p>
        </w:tc>
        <w:tc>
          <w:tcPr>
            <w:tcW w:w="1263" w:type="dxa"/>
            <w:shd w:val="clear" w:color="000000" w:fill="1B556B" w:themeFill="text2"/>
            <w:noWrap/>
            <w:vAlign w:val="bottom"/>
            <w:hideMark/>
          </w:tcPr>
          <w:p w14:paraId="2BA30957" w14:textId="62A838D9"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CO₂ (kg CO₂</w:t>
            </w:r>
            <w:r w:rsidRPr="0018386D">
              <w:rPr>
                <w:rFonts w:cs="Calibri"/>
                <w:color w:val="FFFFFF" w:themeColor="background1"/>
                <w:szCs w:val="18"/>
              </w:rPr>
              <w:noBreakHyphen/>
              <w:t>e/</w:t>
            </w:r>
            <w:r w:rsidR="006E3386" w:rsidRPr="0018386D">
              <w:rPr>
                <w:rFonts w:cs="Calibri"/>
                <w:color w:val="FFFFFF" w:themeColor="background1"/>
                <w:szCs w:val="18"/>
              </w:rPr>
              <w:t xml:space="preserve"> </w:t>
            </w:r>
            <w:r w:rsidRPr="0018386D">
              <w:rPr>
                <w:rFonts w:cs="Calibri"/>
                <w:color w:val="FFFFFF" w:themeColor="background1"/>
                <w:szCs w:val="18"/>
              </w:rPr>
              <w:t>unit)</w:t>
            </w:r>
          </w:p>
        </w:tc>
        <w:tc>
          <w:tcPr>
            <w:tcW w:w="1318" w:type="dxa"/>
            <w:shd w:val="clear" w:color="000000" w:fill="1B556B" w:themeFill="text2"/>
            <w:noWrap/>
            <w:vAlign w:val="bottom"/>
            <w:hideMark/>
          </w:tcPr>
          <w:p w14:paraId="28AA1C28" w14:textId="6A99BB50"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CH₄ (kg CO₂-e/</w:t>
            </w:r>
            <w:r w:rsidR="006E3386" w:rsidRPr="0018386D">
              <w:rPr>
                <w:rFonts w:cs="Calibri"/>
                <w:color w:val="FFFFFF" w:themeColor="background1"/>
                <w:szCs w:val="18"/>
              </w:rPr>
              <w:t xml:space="preserve"> </w:t>
            </w:r>
            <w:r w:rsidRPr="0018386D">
              <w:rPr>
                <w:rFonts w:cs="Calibri"/>
                <w:color w:val="FFFFFF" w:themeColor="background1"/>
                <w:szCs w:val="18"/>
              </w:rPr>
              <w:t>unit)</w:t>
            </w:r>
          </w:p>
        </w:tc>
        <w:tc>
          <w:tcPr>
            <w:tcW w:w="1318" w:type="dxa"/>
            <w:shd w:val="clear" w:color="000000" w:fill="1B556B" w:themeFill="text2"/>
            <w:noWrap/>
            <w:vAlign w:val="bottom"/>
            <w:hideMark/>
          </w:tcPr>
          <w:p w14:paraId="2107044C" w14:textId="26B3EE24" w:rsidR="008E2ED2" w:rsidRPr="0018386D" w:rsidRDefault="008E2ED2" w:rsidP="00DD3106">
            <w:pPr>
              <w:pStyle w:val="TableTextbold"/>
              <w:spacing w:before="30" w:after="30"/>
              <w:rPr>
                <w:rFonts w:cs="Calibri"/>
                <w:color w:val="FFFFFF" w:themeColor="background1"/>
                <w:szCs w:val="18"/>
              </w:rPr>
            </w:pPr>
            <w:r w:rsidRPr="0018386D">
              <w:rPr>
                <w:rFonts w:cs="Calibri"/>
                <w:color w:val="FFFFFF" w:themeColor="background1"/>
                <w:szCs w:val="18"/>
              </w:rPr>
              <w:t>N₂O (kg CO₂-e/</w:t>
            </w:r>
            <w:r w:rsidR="006E3386" w:rsidRPr="0018386D">
              <w:rPr>
                <w:rFonts w:cs="Calibri"/>
                <w:color w:val="FFFFFF" w:themeColor="background1"/>
                <w:szCs w:val="18"/>
              </w:rPr>
              <w:t xml:space="preserve"> </w:t>
            </w:r>
            <w:r w:rsidRPr="0018386D">
              <w:rPr>
                <w:rFonts w:cs="Calibri"/>
                <w:color w:val="FFFFFF" w:themeColor="background1"/>
                <w:szCs w:val="18"/>
              </w:rPr>
              <w:t>unit)</w:t>
            </w:r>
          </w:p>
        </w:tc>
      </w:tr>
      <w:tr w:rsidR="00B7563C" w:rsidRPr="0018386D" w14:paraId="3D75E19E" w14:textId="77777777">
        <w:trPr>
          <w:divId w:val="1122192790"/>
        </w:trPr>
        <w:tc>
          <w:tcPr>
            <w:tcW w:w="8505" w:type="dxa"/>
            <w:gridSpan w:val="6"/>
            <w:shd w:val="clear" w:color="000000" w:fill="D2DDE1"/>
            <w:noWrap/>
            <w:hideMark/>
          </w:tcPr>
          <w:p w14:paraId="58BF498F" w14:textId="05525C18" w:rsidR="00B7563C" w:rsidRPr="0018386D" w:rsidRDefault="00B7563C" w:rsidP="00DD3106">
            <w:pPr>
              <w:pStyle w:val="TableTextbold"/>
              <w:spacing w:before="30" w:after="30"/>
              <w:rPr>
                <w:rFonts w:cs="Calibri"/>
                <w:color w:val="000000"/>
                <w:szCs w:val="18"/>
              </w:rPr>
            </w:pPr>
            <w:r w:rsidRPr="0018386D">
              <w:rPr>
                <w:rFonts w:cs="Calibri"/>
                <w:color w:val="000000"/>
                <w:szCs w:val="18"/>
              </w:rPr>
              <w:t>Private car default</w:t>
            </w:r>
          </w:p>
        </w:tc>
      </w:tr>
      <w:tr w:rsidR="006E3386" w:rsidRPr="0018386D" w14:paraId="6ABAFC9E" w14:textId="77777777" w:rsidTr="00B7563C">
        <w:trPr>
          <w:divId w:val="1122192790"/>
        </w:trPr>
        <w:tc>
          <w:tcPr>
            <w:tcW w:w="2845" w:type="dxa"/>
            <w:shd w:val="clear" w:color="000000" w:fill="FFFFFF"/>
            <w:noWrap/>
            <w:hideMark/>
          </w:tcPr>
          <w:p w14:paraId="74FA54D7" w14:textId="77777777" w:rsidR="00A94C3E" w:rsidRPr="0018386D" w:rsidRDefault="00A94C3E" w:rsidP="00DD3106">
            <w:pPr>
              <w:pStyle w:val="TableText"/>
              <w:spacing w:before="30" w:after="30"/>
              <w:rPr>
                <w:rFonts w:cs="Calibri"/>
                <w:szCs w:val="18"/>
              </w:rPr>
            </w:pPr>
            <w:r w:rsidRPr="0018386D">
              <w:rPr>
                <w:rFonts w:cs="Calibri"/>
                <w:szCs w:val="18"/>
              </w:rPr>
              <w:t>Petrol</w:t>
            </w:r>
          </w:p>
        </w:tc>
        <w:tc>
          <w:tcPr>
            <w:tcW w:w="498" w:type="dxa"/>
            <w:shd w:val="clear" w:color="000000" w:fill="FFFFFF"/>
            <w:noWrap/>
            <w:hideMark/>
          </w:tcPr>
          <w:p w14:paraId="4295C526"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06B92530" w14:textId="227A30D6" w:rsidR="00A94C3E" w:rsidRPr="0018386D" w:rsidRDefault="00A94C3E" w:rsidP="00DD3106">
            <w:pPr>
              <w:pStyle w:val="TableText"/>
              <w:spacing w:before="30" w:after="30"/>
              <w:rPr>
                <w:rFonts w:cs="Calibri"/>
                <w:szCs w:val="18"/>
              </w:rPr>
            </w:pPr>
            <w:r w:rsidRPr="0018386D">
              <w:rPr>
                <w:rFonts w:cs="Calibri"/>
                <w:szCs w:val="18"/>
              </w:rPr>
              <w:t>0.252</w:t>
            </w:r>
          </w:p>
        </w:tc>
        <w:tc>
          <w:tcPr>
            <w:tcW w:w="1263" w:type="dxa"/>
            <w:shd w:val="clear" w:color="000000" w:fill="FFFFFF"/>
            <w:noWrap/>
            <w:hideMark/>
          </w:tcPr>
          <w:p w14:paraId="07D468E0" w14:textId="44B049C0" w:rsidR="00A94C3E" w:rsidRPr="0018386D" w:rsidRDefault="00A94C3E" w:rsidP="00DD3106">
            <w:pPr>
              <w:pStyle w:val="TableText"/>
              <w:spacing w:before="30" w:after="30"/>
              <w:rPr>
                <w:rFonts w:cs="Calibri"/>
                <w:szCs w:val="18"/>
              </w:rPr>
            </w:pPr>
            <w:r w:rsidRPr="0018386D">
              <w:rPr>
                <w:rFonts w:cs="Calibri"/>
                <w:szCs w:val="18"/>
              </w:rPr>
              <w:t>0.241</w:t>
            </w:r>
          </w:p>
        </w:tc>
        <w:tc>
          <w:tcPr>
            <w:tcW w:w="1318" w:type="dxa"/>
            <w:shd w:val="clear" w:color="000000" w:fill="FFFFFF"/>
            <w:noWrap/>
            <w:hideMark/>
          </w:tcPr>
          <w:p w14:paraId="7AC802F5" w14:textId="3A0A1395" w:rsidR="00A94C3E" w:rsidRPr="0018386D" w:rsidRDefault="00A94C3E" w:rsidP="00DD3106">
            <w:pPr>
              <w:pStyle w:val="TableText"/>
              <w:spacing w:before="30" w:after="30"/>
              <w:rPr>
                <w:rFonts w:cs="Calibri"/>
                <w:szCs w:val="18"/>
              </w:rPr>
            </w:pPr>
            <w:r w:rsidRPr="0018386D">
              <w:rPr>
                <w:rFonts w:cs="Calibri"/>
                <w:szCs w:val="18"/>
              </w:rPr>
              <w:t>0.00317</w:t>
            </w:r>
          </w:p>
        </w:tc>
        <w:tc>
          <w:tcPr>
            <w:tcW w:w="1318" w:type="dxa"/>
            <w:shd w:val="clear" w:color="000000" w:fill="FFFFFF"/>
            <w:noWrap/>
            <w:hideMark/>
          </w:tcPr>
          <w:p w14:paraId="662669F0" w14:textId="2F9E03E3" w:rsidR="00A94C3E" w:rsidRPr="0018386D" w:rsidRDefault="00A94C3E" w:rsidP="00DD3106">
            <w:pPr>
              <w:pStyle w:val="TableText"/>
              <w:spacing w:before="30" w:after="30"/>
              <w:rPr>
                <w:rFonts w:cs="Calibri"/>
                <w:szCs w:val="18"/>
              </w:rPr>
            </w:pPr>
            <w:r w:rsidRPr="0018386D">
              <w:rPr>
                <w:rFonts w:cs="Calibri"/>
                <w:szCs w:val="18"/>
              </w:rPr>
              <w:t>0.00728</w:t>
            </w:r>
          </w:p>
        </w:tc>
      </w:tr>
      <w:tr w:rsidR="006E3386" w:rsidRPr="0018386D" w14:paraId="5ABCA680" w14:textId="77777777" w:rsidTr="00B7563C">
        <w:trPr>
          <w:divId w:val="1122192790"/>
        </w:trPr>
        <w:tc>
          <w:tcPr>
            <w:tcW w:w="2845" w:type="dxa"/>
            <w:shd w:val="clear" w:color="000000" w:fill="FFFFFF"/>
            <w:noWrap/>
            <w:hideMark/>
          </w:tcPr>
          <w:p w14:paraId="4ABBB6C4" w14:textId="77777777" w:rsidR="00A94C3E" w:rsidRPr="0018386D" w:rsidRDefault="00A94C3E" w:rsidP="00DD3106">
            <w:pPr>
              <w:pStyle w:val="TableText"/>
              <w:spacing w:before="30" w:after="30"/>
              <w:rPr>
                <w:rFonts w:cs="Calibri"/>
                <w:szCs w:val="18"/>
              </w:rPr>
            </w:pPr>
            <w:r w:rsidRPr="0018386D">
              <w:rPr>
                <w:rFonts w:cs="Calibri"/>
                <w:szCs w:val="18"/>
              </w:rPr>
              <w:t>Diesel</w:t>
            </w:r>
          </w:p>
        </w:tc>
        <w:tc>
          <w:tcPr>
            <w:tcW w:w="498" w:type="dxa"/>
            <w:shd w:val="clear" w:color="000000" w:fill="FFFFFF"/>
            <w:noWrap/>
            <w:hideMark/>
          </w:tcPr>
          <w:p w14:paraId="1E5F62CF"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4C5E5E5D" w14:textId="124C5093" w:rsidR="00A94C3E" w:rsidRPr="0018386D" w:rsidRDefault="00A94C3E" w:rsidP="00DD3106">
            <w:pPr>
              <w:pStyle w:val="TableText"/>
              <w:spacing w:before="30" w:after="30"/>
              <w:rPr>
                <w:rFonts w:cs="Calibri"/>
                <w:szCs w:val="18"/>
              </w:rPr>
            </w:pPr>
            <w:r w:rsidRPr="0018386D">
              <w:rPr>
                <w:rFonts w:cs="Calibri"/>
                <w:szCs w:val="18"/>
              </w:rPr>
              <w:t>0.268</w:t>
            </w:r>
          </w:p>
        </w:tc>
        <w:tc>
          <w:tcPr>
            <w:tcW w:w="1263" w:type="dxa"/>
            <w:shd w:val="clear" w:color="000000" w:fill="FFFFFF"/>
            <w:noWrap/>
            <w:hideMark/>
          </w:tcPr>
          <w:p w14:paraId="5B56F458" w14:textId="14BBC33D" w:rsidR="00A94C3E" w:rsidRPr="0018386D" w:rsidRDefault="00A94C3E" w:rsidP="00DD3106">
            <w:pPr>
              <w:pStyle w:val="TableText"/>
              <w:spacing w:before="30" w:after="30"/>
              <w:rPr>
                <w:rFonts w:cs="Calibri"/>
                <w:szCs w:val="18"/>
              </w:rPr>
            </w:pPr>
            <w:r w:rsidRPr="0018386D">
              <w:rPr>
                <w:rFonts w:cs="Calibri"/>
                <w:szCs w:val="18"/>
              </w:rPr>
              <w:t>0.264</w:t>
            </w:r>
          </w:p>
        </w:tc>
        <w:tc>
          <w:tcPr>
            <w:tcW w:w="1318" w:type="dxa"/>
            <w:shd w:val="clear" w:color="000000" w:fill="FFFFFF"/>
            <w:noWrap/>
            <w:hideMark/>
          </w:tcPr>
          <w:p w14:paraId="31E8B6A7" w14:textId="77777777" w:rsidR="00A94C3E" w:rsidRPr="0018386D" w:rsidRDefault="00A94C3E" w:rsidP="00DD3106">
            <w:pPr>
              <w:pStyle w:val="TableText"/>
              <w:spacing w:before="30" w:after="30"/>
              <w:rPr>
                <w:rFonts w:cs="Calibri"/>
                <w:szCs w:val="18"/>
              </w:rPr>
            </w:pPr>
            <w:r w:rsidRPr="0018386D">
              <w:rPr>
                <w:rFonts w:cs="Calibri"/>
                <w:szCs w:val="18"/>
              </w:rPr>
              <w:t>0.0004</w:t>
            </w:r>
          </w:p>
        </w:tc>
        <w:tc>
          <w:tcPr>
            <w:tcW w:w="1318" w:type="dxa"/>
            <w:shd w:val="clear" w:color="000000" w:fill="FFFFFF"/>
            <w:noWrap/>
            <w:hideMark/>
          </w:tcPr>
          <w:p w14:paraId="47B3E09C" w14:textId="023DB89B" w:rsidR="00A94C3E" w:rsidRPr="0018386D" w:rsidRDefault="00A94C3E" w:rsidP="00DD3106">
            <w:pPr>
              <w:pStyle w:val="TableText"/>
              <w:spacing w:before="30" w:after="30"/>
              <w:rPr>
                <w:rFonts w:cs="Calibri"/>
                <w:szCs w:val="18"/>
              </w:rPr>
            </w:pPr>
            <w:r w:rsidRPr="0018386D">
              <w:rPr>
                <w:rFonts w:cs="Calibri"/>
                <w:szCs w:val="18"/>
              </w:rPr>
              <w:t>0.00374</w:t>
            </w:r>
          </w:p>
        </w:tc>
      </w:tr>
      <w:tr w:rsidR="006E3386" w:rsidRPr="0018386D" w14:paraId="7DED8343" w14:textId="77777777" w:rsidTr="00B7563C">
        <w:trPr>
          <w:divId w:val="1122192790"/>
        </w:trPr>
        <w:tc>
          <w:tcPr>
            <w:tcW w:w="2845" w:type="dxa"/>
            <w:shd w:val="clear" w:color="000000" w:fill="FFFFFF"/>
            <w:noWrap/>
            <w:hideMark/>
          </w:tcPr>
          <w:p w14:paraId="74599BFE" w14:textId="77777777" w:rsidR="00A94C3E" w:rsidRPr="0018386D" w:rsidRDefault="00A94C3E" w:rsidP="00DD3106">
            <w:pPr>
              <w:pStyle w:val="TableText"/>
              <w:spacing w:before="30" w:after="30"/>
              <w:rPr>
                <w:rFonts w:cs="Calibri"/>
                <w:szCs w:val="18"/>
              </w:rPr>
            </w:pPr>
            <w:r w:rsidRPr="0018386D">
              <w:rPr>
                <w:rFonts w:cs="Calibri"/>
                <w:szCs w:val="18"/>
              </w:rPr>
              <w:t>Petrol hybrid</w:t>
            </w:r>
          </w:p>
        </w:tc>
        <w:tc>
          <w:tcPr>
            <w:tcW w:w="498" w:type="dxa"/>
            <w:shd w:val="clear" w:color="000000" w:fill="FFFFFF"/>
            <w:noWrap/>
            <w:hideMark/>
          </w:tcPr>
          <w:p w14:paraId="2CC249E6"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3499C250" w14:textId="1BD19196" w:rsidR="00A94C3E" w:rsidRPr="0018386D" w:rsidRDefault="00A94C3E" w:rsidP="00DD3106">
            <w:pPr>
              <w:pStyle w:val="TableText"/>
              <w:spacing w:before="30" w:after="30"/>
              <w:rPr>
                <w:rFonts w:cs="Calibri"/>
                <w:szCs w:val="18"/>
              </w:rPr>
            </w:pPr>
            <w:r w:rsidRPr="0018386D">
              <w:rPr>
                <w:rFonts w:cs="Calibri"/>
                <w:szCs w:val="18"/>
              </w:rPr>
              <w:t>0.199</w:t>
            </w:r>
          </w:p>
        </w:tc>
        <w:tc>
          <w:tcPr>
            <w:tcW w:w="1263" w:type="dxa"/>
            <w:shd w:val="clear" w:color="000000" w:fill="FFFFFF"/>
            <w:noWrap/>
            <w:hideMark/>
          </w:tcPr>
          <w:p w14:paraId="09C05507" w14:textId="51CADEDD" w:rsidR="00A94C3E" w:rsidRPr="0018386D" w:rsidRDefault="00A94C3E" w:rsidP="00DD3106">
            <w:pPr>
              <w:pStyle w:val="TableText"/>
              <w:spacing w:before="30" w:after="30"/>
              <w:rPr>
                <w:rFonts w:cs="Calibri"/>
                <w:szCs w:val="18"/>
              </w:rPr>
            </w:pPr>
            <w:r w:rsidRPr="0018386D">
              <w:rPr>
                <w:rFonts w:cs="Calibri"/>
                <w:szCs w:val="18"/>
              </w:rPr>
              <w:t>0.191</w:t>
            </w:r>
          </w:p>
        </w:tc>
        <w:tc>
          <w:tcPr>
            <w:tcW w:w="1318" w:type="dxa"/>
            <w:shd w:val="clear" w:color="000000" w:fill="FFFFFF"/>
            <w:noWrap/>
            <w:hideMark/>
          </w:tcPr>
          <w:p w14:paraId="328A987A" w14:textId="6ED4A70A" w:rsidR="00A94C3E" w:rsidRPr="0018386D" w:rsidRDefault="00A94C3E" w:rsidP="00DD3106">
            <w:pPr>
              <w:pStyle w:val="TableText"/>
              <w:spacing w:before="30" w:after="30"/>
              <w:rPr>
                <w:rFonts w:cs="Calibri"/>
                <w:szCs w:val="18"/>
              </w:rPr>
            </w:pPr>
            <w:r w:rsidRPr="0018386D">
              <w:rPr>
                <w:rFonts w:cs="Calibri"/>
                <w:szCs w:val="18"/>
              </w:rPr>
              <w:t>0.00250</w:t>
            </w:r>
          </w:p>
        </w:tc>
        <w:tc>
          <w:tcPr>
            <w:tcW w:w="1318" w:type="dxa"/>
            <w:shd w:val="clear" w:color="000000" w:fill="FFFFFF"/>
            <w:noWrap/>
            <w:hideMark/>
          </w:tcPr>
          <w:p w14:paraId="0A085D3C" w14:textId="6F1913E8" w:rsidR="00A94C3E" w:rsidRPr="0018386D" w:rsidRDefault="00A94C3E" w:rsidP="00DD3106">
            <w:pPr>
              <w:pStyle w:val="TableText"/>
              <w:spacing w:before="30" w:after="30"/>
              <w:rPr>
                <w:rFonts w:cs="Calibri"/>
                <w:szCs w:val="18"/>
              </w:rPr>
            </w:pPr>
            <w:r w:rsidRPr="0018386D">
              <w:rPr>
                <w:rFonts w:cs="Calibri"/>
                <w:szCs w:val="18"/>
              </w:rPr>
              <w:t>0.00575</w:t>
            </w:r>
          </w:p>
        </w:tc>
      </w:tr>
      <w:tr w:rsidR="006E3386" w:rsidRPr="0018386D" w14:paraId="31C9DC21" w14:textId="77777777" w:rsidTr="00B7563C">
        <w:trPr>
          <w:divId w:val="1122192790"/>
        </w:trPr>
        <w:tc>
          <w:tcPr>
            <w:tcW w:w="2845" w:type="dxa"/>
            <w:shd w:val="clear" w:color="000000" w:fill="FFFFFF"/>
            <w:noWrap/>
            <w:hideMark/>
          </w:tcPr>
          <w:p w14:paraId="7FB89C10" w14:textId="77777777" w:rsidR="00A94C3E" w:rsidRPr="0018386D" w:rsidRDefault="00A94C3E" w:rsidP="00DD3106">
            <w:pPr>
              <w:pStyle w:val="TableText"/>
              <w:spacing w:before="30" w:after="30"/>
              <w:rPr>
                <w:rFonts w:cs="Calibri"/>
                <w:szCs w:val="18"/>
              </w:rPr>
            </w:pPr>
            <w:r w:rsidRPr="0018386D">
              <w:rPr>
                <w:rFonts w:cs="Calibri"/>
                <w:szCs w:val="18"/>
              </w:rPr>
              <w:t>Diesel hybrid</w:t>
            </w:r>
          </w:p>
        </w:tc>
        <w:tc>
          <w:tcPr>
            <w:tcW w:w="498" w:type="dxa"/>
            <w:shd w:val="clear" w:color="000000" w:fill="FFFFFF"/>
            <w:noWrap/>
            <w:hideMark/>
          </w:tcPr>
          <w:p w14:paraId="684803DA"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2DC8ADB8" w14:textId="280EB342" w:rsidR="00A94C3E" w:rsidRPr="0018386D" w:rsidRDefault="00A94C3E" w:rsidP="00DD3106">
            <w:pPr>
              <w:pStyle w:val="TableText"/>
              <w:spacing w:before="30" w:after="30"/>
              <w:rPr>
                <w:rFonts w:cs="Calibri"/>
                <w:szCs w:val="18"/>
              </w:rPr>
            </w:pPr>
            <w:r w:rsidRPr="0018386D">
              <w:rPr>
                <w:rFonts w:cs="Calibri"/>
                <w:szCs w:val="18"/>
              </w:rPr>
              <w:t>0.241</w:t>
            </w:r>
          </w:p>
        </w:tc>
        <w:tc>
          <w:tcPr>
            <w:tcW w:w="1263" w:type="dxa"/>
            <w:shd w:val="clear" w:color="000000" w:fill="FFFFFF"/>
            <w:noWrap/>
            <w:hideMark/>
          </w:tcPr>
          <w:p w14:paraId="06BD386D" w14:textId="56FFB993" w:rsidR="00A94C3E" w:rsidRPr="0018386D" w:rsidRDefault="00A94C3E" w:rsidP="00DD3106">
            <w:pPr>
              <w:pStyle w:val="TableText"/>
              <w:spacing w:before="30" w:after="30"/>
              <w:rPr>
                <w:rFonts w:cs="Calibri"/>
                <w:szCs w:val="18"/>
              </w:rPr>
            </w:pPr>
            <w:r w:rsidRPr="0018386D">
              <w:rPr>
                <w:rFonts w:cs="Calibri"/>
                <w:szCs w:val="18"/>
              </w:rPr>
              <w:t>0.237</w:t>
            </w:r>
          </w:p>
        </w:tc>
        <w:tc>
          <w:tcPr>
            <w:tcW w:w="1318" w:type="dxa"/>
            <w:shd w:val="clear" w:color="000000" w:fill="FFFFFF"/>
            <w:noWrap/>
            <w:hideMark/>
          </w:tcPr>
          <w:p w14:paraId="242A5324" w14:textId="2B7F2B00" w:rsidR="00A94C3E" w:rsidRPr="0018386D" w:rsidRDefault="00A94C3E" w:rsidP="00DD3106">
            <w:pPr>
              <w:pStyle w:val="TableText"/>
              <w:spacing w:before="30" w:after="30"/>
              <w:rPr>
                <w:rFonts w:cs="Calibri"/>
                <w:szCs w:val="18"/>
              </w:rPr>
            </w:pPr>
            <w:r w:rsidRPr="0018386D">
              <w:rPr>
                <w:rFonts w:cs="Calibri"/>
                <w:szCs w:val="18"/>
              </w:rPr>
              <w:t>0.0004</w:t>
            </w:r>
          </w:p>
        </w:tc>
        <w:tc>
          <w:tcPr>
            <w:tcW w:w="1318" w:type="dxa"/>
            <w:shd w:val="clear" w:color="000000" w:fill="FFFFFF"/>
            <w:noWrap/>
            <w:hideMark/>
          </w:tcPr>
          <w:p w14:paraId="06C43FA2" w14:textId="48A1565F" w:rsidR="00A94C3E" w:rsidRPr="0018386D" w:rsidRDefault="00A94C3E" w:rsidP="00DD3106">
            <w:pPr>
              <w:pStyle w:val="TableText"/>
              <w:spacing w:before="30" w:after="30"/>
              <w:rPr>
                <w:rFonts w:cs="Calibri"/>
                <w:szCs w:val="18"/>
              </w:rPr>
            </w:pPr>
            <w:r w:rsidRPr="0018386D">
              <w:rPr>
                <w:rFonts w:cs="Calibri"/>
                <w:szCs w:val="18"/>
              </w:rPr>
              <w:t>0.00335</w:t>
            </w:r>
          </w:p>
        </w:tc>
      </w:tr>
      <w:tr w:rsidR="006E3386" w:rsidRPr="0018386D" w14:paraId="7BEF1D8D" w14:textId="77777777" w:rsidTr="00B7563C">
        <w:trPr>
          <w:divId w:val="1122192790"/>
        </w:trPr>
        <w:tc>
          <w:tcPr>
            <w:tcW w:w="2845" w:type="dxa"/>
            <w:shd w:val="clear" w:color="000000" w:fill="FFFFFF"/>
            <w:noWrap/>
            <w:hideMark/>
          </w:tcPr>
          <w:p w14:paraId="2E106EB6" w14:textId="2C871EC8" w:rsidR="00A94C3E" w:rsidRPr="0018386D" w:rsidRDefault="00A94C3E" w:rsidP="00DD3106">
            <w:pPr>
              <w:pStyle w:val="TableText"/>
              <w:spacing w:before="30" w:after="30"/>
              <w:rPr>
                <w:rFonts w:cs="Calibri"/>
                <w:szCs w:val="18"/>
              </w:rPr>
            </w:pPr>
            <w:r w:rsidRPr="0018386D">
              <w:rPr>
                <w:rFonts w:cs="Calibri"/>
                <w:szCs w:val="18"/>
              </w:rPr>
              <w:t>PHEV (Petrol) – Petrol consumption</w:t>
            </w:r>
          </w:p>
        </w:tc>
        <w:tc>
          <w:tcPr>
            <w:tcW w:w="498" w:type="dxa"/>
            <w:shd w:val="clear" w:color="000000" w:fill="FFFFFF"/>
            <w:noWrap/>
            <w:hideMark/>
          </w:tcPr>
          <w:p w14:paraId="47740E2A"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4A503720" w14:textId="56B4BA25" w:rsidR="00A94C3E" w:rsidRPr="0018386D" w:rsidRDefault="00A94C3E" w:rsidP="00DD3106">
            <w:pPr>
              <w:pStyle w:val="TableText"/>
              <w:spacing w:before="30" w:after="30"/>
              <w:rPr>
                <w:rFonts w:cs="Calibri"/>
                <w:szCs w:val="18"/>
              </w:rPr>
            </w:pPr>
            <w:r w:rsidRPr="0018386D">
              <w:rPr>
                <w:rFonts w:cs="Calibri"/>
                <w:szCs w:val="18"/>
              </w:rPr>
              <w:t>0.0922</w:t>
            </w:r>
          </w:p>
        </w:tc>
        <w:tc>
          <w:tcPr>
            <w:tcW w:w="1263" w:type="dxa"/>
            <w:shd w:val="clear" w:color="000000" w:fill="FFFFFF"/>
            <w:noWrap/>
            <w:hideMark/>
          </w:tcPr>
          <w:p w14:paraId="025FA69D" w14:textId="6E55FA76" w:rsidR="00A94C3E" w:rsidRPr="0018386D" w:rsidRDefault="00A94C3E" w:rsidP="00DD3106">
            <w:pPr>
              <w:pStyle w:val="TableText"/>
              <w:spacing w:before="30" w:after="30"/>
              <w:rPr>
                <w:rFonts w:cs="Calibri"/>
                <w:szCs w:val="18"/>
              </w:rPr>
            </w:pPr>
            <w:r w:rsidRPr="0018386D">
              <w:rPr>
                <w:rFonts w:cs="Calibri"/>
                <w:szCs w:val="18"/>
              </w:rPr>
              <w:t>0.0884</w:t>
            </w:r>
          </w:p>
        </w:tc>
        <w:tc>
          <w:tcPr>
            <w:tcW w:w="1318" w:type="dxa"/>
            <w:shd w:val="clear" w:color="000000" w:fill="FFFFFF"/>
            <w:noWrap/>
            <w:hideMark/>
          </w:tcPr>
          <w:p w14:paraId="2A877C4D" w14:textId="7376814B" w:rsidR="00A94C3E" w:rsidRPr="0018386D" w:rsidRDefault="00A94C3E" w:rsidP="00DD3106">
            <w:pPr>
              <w:pStyle w:val="TableText"/>
              <w:spacing w:before="30" w:after="30"/>
              <w:rPr>
                <w:rFonts w:cs="Calibri"/>
                <w:szCs w:val="18"/>
              </w:rPr>
            </w:pPr>
            <w:r w:rsidRPr="0018386D">
              <w:rPr>
                <w:rFonts w:cs="Calibri"/>
                <w:szCs w:val="18"/>
              </w:rPr>
              <w:t>0.00116</w:t>
            </w:r>
          </w:p>
        </w:tc>
        <w:tc>
          <w:tcPr>
            <w:tcW w:w="1318" w:type="dxa"/>
            <w:shd w:val="clear" w:color="000000" w:fill="FFFFFF"/>
            <w:noWrap/>
            <w:hideMark/>
          </w:tcPr>
          <w:p w14:paraId="2AB85059" w14:textId="244B00FA" w:rsidR="00A94C3E" w:rsidRPr="0018386D" w:rsidRDefault="00A94C3E" w:rsidP="00DD3106">
            <w:pPr>
              <w:pStyle w:val="TableText"/>
              <w:spacing w:before="30" w:after="30"/>
              <w:rPr>
                <w:rFonts w:cs="Calibri"/>
                <w:szCs w:val="18"/>
              </w:rPr>
            </w:pPr>
            <w:r w:rsidRPr="0018386D">
              <w:rPr>
                <w:rFonts w:cs="Calibri"/>
                <w:szCs w:val="18"/>
              </w:rPr>
              <w:t>0.00266</w:t>
            </w:r>
          </w:p>
        </w:tc>
      </w:tr>
      <w:tr w:rsidR="006E3386" w:rsidRPr="0018386D" w14:paraId="78FB2368" w14:textId="77777777" w:rsidTr="00B7563C">
        <w:trPr>
          <w:divId w:val="1122192790"/>
        </w:trPr>
        <w:tc>
          <w:tcPr>
            <w:tcW w:w="2845" w:type="dxa"/>
            <w:shd w:val="clear" w:color="000000" w:fill="FFFFFF"/>
            <w:noWrap/>
            <w:hideMark/>
          </w:tcPr>
          <w:p w14:paraId="3B887487" w14:textId="0336BA4A" w:rsidR="00A94C3E" w:rsidRPr="0018386D" w:rsidRDefault="00A94C3E" w:rsidP="00DD3106">
            <w:pPr>
              <w:pStyle w:val="TableText"/>
              <w:spacing w:before="30" w:after="30"/>
              <w:rPr>
                <w:rFonts w:cs="Calibri"/>
                <w:szCs w:val="18"/>
              </w:rPr>
            </w:pPr>
            <w:r w:rsidRPr="0018386D">
              <w:rPr>
                <w:rFonts w:cs="Calibri"/>
                <w:szCs w:val="18"/>
              </w:rPr>
              <w:t>PHEV (Petrol) – Electricity consumption</w:t>
            </w:r>
          </w:p>
        </w:tc>
        <w:tc>
          <w:tcPr>
            <w:tcW w:w="498" w:type="dxa"/>
            <w:shd w:val="clear" w:color="000000" w:fill="FFFFFF"/>
            <w:noWrap/>
            <w:hideMark/>
          </w:tcPr>
          <w:p w14:paraId="7CEB3C1A"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676DA236" w14:textId="65954ECB" w:rsidR="00A94C3E" w:rsidRPr="0018386D" w:rsidRDefault="00A94C3E" w:rsidP="00DD3106">
            <w:pPr>
              <w:pStyle w:val="TableText"/>
              <w:spacing w:before="30" w:after="30"/>
              <w:rPr>
                <w:rFonts w:cs="Calibri"/>
                <w:szCs w:val="18"/>
              </w:rPr>
            </w:pPr>
            <w:r w:rsidRPr="0018386D">
              <w:rPr>
                <w:rFonts w:cs="Calibri"/>
                <w:szCs w:val="18"/>
              </w:rPr>
              <w:t>0.00953</w:t>
            </w:r>
          </w:p>
        </w:tc>
        <w:tc>
          <w:tcPr>
            <w:tcW w:w="1263" w:type="dxa"/>
            <w:shd w:val="clear" w:color="000000" w:fill="FFFFFF"/>
            <w:noWrap/>
            <w:hideMark/>
          </w:tcPr>
          <w:p w14:paraId="73F4D9B1" w14:textId="2BFCBE81" w:rsidR="00A94C3E" w:rsidRPr="0018386D" w:rsidRDefault="00A94C3E" w:rsidP="00DD3106">
            <w:pPr>
              <w:pStyle w:val="TableText"/>
              <w:spacing w:before="30" w:after="30"/>
              <w:rPr>
                <w:rFonts w:cs="Calibri"/>
                <w:szCs w:val="18"/>
              </w:rPr>
            </w:pPr>
            <w:r w:rsidRPr="0018386D">
              <w:rPr>
                <w:rFonts w:cs="Calibri"/>
                <w:szCs w:val="18"/>
              </w:rPr>
              <w:t>0.00926</w:t>
            </w:r>
          </w:p>
        </w:tc>
        <w:tc>
          <w:tcPr>
            <w:tcW w:w="1318" w:type="dxa"/>
            <w:shd w:val="clear" w:color="000000" w:fill="FFFFFF"/>
            <w:noWrap/>
            <w:hideMark/>
          </w:tcPr>
          <w:p w14:paraId="1350409B" w14:textId="1A2535E7" w:rsidR="00A94C3E" w:rsidRPr="0018386D" w:rsidRDefault="00A94C3E" w:rsidP="00DD3106">
            <w:pPr>
              <w:pStyle w:val="TableText"/>
              <w:spacing w:before="30" w:after="30"/>
              <w:rPr>
                <w:rFonts w:cs="Calibri"/>
                <w:szCs w:val="18"/>
              </w:rPr>
            </w:pPr>
            <w:r w:rsidRPr="0018386D">
              <w:rPr>
                <w:rFonts w:cs="Calibri"/>
                <w:szCs w:val="18"/>
              </w:rPr>
              <w:t>0.0002</w:t>
            </w:r>
          </w:p>
        </w:tc>
        <w:tc>
          <w:tcPr>
            <w:tcW w:w="1318" w:type="dxa"/>
            <w:shd w:val="clear" w:color="000000" w:fill="FFFFFF"/>
            <w:noWrap/>
            <w:hideMark/>
          </w:tcPr>
          <w:p w14:paraId="08CB43F8" w14:textId="77777777" w:rsidR="00A94C3E" w:rsidRPr="0018386D" w:rsidRDefault="00A94C3E" w:rsidP="00DD3106">
            <w:pPr>
              <w:pStyle w:val="TableText"/>
              <w:spacing w:before="30" w:after="30"/>
              <w:rPr>
                <w:rFonts w:cs="Calibri"/>
                <w:szCs w:val="18"/>
              </w:rPr>
            </w:pPr>
            <w:r w:rsidRPr="0018386D">
              <w:rPr>
                <w:rFonts w:cs="Calibri"/>
                <w:szCs w:val="18"/>
              </w:rPr>
              <w:t>0.00002</w:t>
            </w:r>
          </w:p>
        </w:tc>
      </w:tr>
      <w:tr w:rsidR="006E3386" w:rsidRPr="0018386D" w14:paraId="721E91C8" w14:textId="77777777" w:rsidTr="00B7563C">
        <w:trPr>
          <w:divId w:val="1122192790"/>
        </w:trPr>
        <w:tc>
          <w:tcPr>
            <w:tcW w:w="2845" w:type="dxa"/>
            <w:shd w:val="clear" w:color="000000" w:fill="FFFFFF"/>
            <w:noWrap/>
            <w:hideMark/>
          </w:tcPr>
          <w:p w14:paraId="0B00FF70" w14:textId="56163F6E" w:rsidR="00A94C3E" w:rsidRPr="0018386D" w:rsidRDefault="00A94C3E" w:rsidP="00DD3106">
            <w:pPr>
              <w:pStyle w:val="TableText"/>
              <w:spacing w:before="30" w:after="30"/>
              <w:rPr>
                <w:rFonts w:cs="Calibri"/>
                <w:szCs w:val="18"/>
              </w:rPr>
            </w:pPr>
            <w:r w:rsidRPr="0018386D">
              <w:rPr>
                <w:rFonts w:cs="Calibri"/>
                <w:szCs w:val="18"/>
              </w:rPr>
              <w:t>PHEV (Diesel) – Diesel consumption</w:t>
            </w:r>
          </w:p>
        </w:tc>
        <w:tc>
          <w:tcPr>
            <w:tcW w:w="498" w:type="dxa"/>
            <w:shd w:val="clear" w:color="000000" w:fill="FFFFFF"/>
            <w:noWrap/>
            <w:hideMark/>
          </w:tcPr>
          <w:p w14:paraId="40543412"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795E5BD8" w14:textId="2E8C54D3" w:rsidR="00A94C3E" w:rsidRPr="0018386D" w:rsidRDefault="00A94C3E" w:rsidP="00DD3106">
            <w:pPr>
              <w:pStyle w:val="TableText"/>
              <w:spacing w:before="30" w:after="30"/>
              <w:rPr>
                <w:rFonts w:cs="Calibri"/>
                <w:szCs w:val="18"/>
              </w:rPr>
            </w:pPr>
            <w:r w:rsidRPr="0018386D">
              <w:rPr>
                <w:rFonts w:cs="Calibri"/>
                <w:szCs w:val="18"/>
              </w:rPr>
              <w:t>0.112</w:t>
            </w:r>
          </w:p>
        </w:tc>
        <w:tc>
          <w:tcPr>
            <w:tcW w:w="1263" w:type="dxa"/>
            <w:shd w:val="clear" w:color="000000" w:fill="FFFFFF"/>
            <w:noWrap/>
            <w:hideMark/>
          </w:tcPr>
          <w:p w14:paraId="33F66E59" w14:textId="589EF1C7" w:rsidR="00A94C3E" w:rsidRPr="0018386D" w:rsidRDefault="00A94C3E" w:rsidP="00DD3106">
            <w:pPr>
              <w:pStyle w:val="TableText"/>
              <w:spacing w:before="30" w:after="30"/>
              <w:rPr>
                <w:rFonts w:cs="Calibri"/>
                <w:szCs w:val="18"/>
              </w:rPr>
            </w:pPr>
            <w:r w:rsidRPr="0018386D">
              <w:rPr>
                <w:rFonts w:cs="Calibri"/>
                <w:szCs w:val="18"/>
              </w:rPr>
              <w:t>0.110</w:t>
            </w:r>
          </w:p>
        </w:tc>
        <w:tc>
          <w:tcPr>
            <w:tcW w:w="1318" w:type="dxa"/>
            <w:shd w:val="clear" w:color="000000" w:fill="FFFFFF"/>
            <w:noWrap/>
            <w:hideMark/>
          </w:tcPr>
          <w:p w14:paraId="0FF40FFF" w14:textId="77777777" w:rsidR="00A94C3E" w:rsidRPr="0018386D" w:rsidRDefault="00A94C3E" w:rsidP="00DD3106">
            <w:pPr>
              <w:pStyle w:val="TableText"/>
              <w:spacing w:before="30" w:after="30"/>
              <w:rPr>
                <w:rFonts w:cs="Calibri"/>
                <w:szCs w:val="18"/>
              </w:rPr>
            </w:pPr>
            <w:r w:rsidRPr="0018386D">
              <w:rPr>
                <w:rFonts w:cs="Calibri"/>
                <w:szCs w:val="18"/>
              </w:rPr>
              <w:t>0.0002</w:t>
            </w:r>
          </w:p>
        </w:tc>
        <w:tc>
          <w:tcPr>
            <w:tcW w:w="1318" w:type="dxa"/>
            <w:shd w:val="clear" w:color="000000" w:fill="FFFFFF"/>
            <w:noWrap/>
            <w:hideMark/>
          </w:tcPr>
          <w:p w14:paraId="21165DF0" w14:textId="64AE31F0" w:rsidR="00A94C3E" w:rsidRPr="0018386D" w:rsidRDefault="00A94C3E" w:rsidP="00DD3106">
            <w:pPr>
              <w:pStyle w:val="TableText"/>
              <w:spacing w:before="30" w:after="30"/>
              <w:rPr>
                <w:rFonts w:cs="Calibri"/>
                <w:szCs w:val="18"/>
              </w:rPr>
            </w:pPr>
            <w:r w:rsidRPr="0018386D">
              <w:rPr>
                <w:rFonts w:cs="Calibri"/>
                <w:szCs w:val="18"/>
              </w:rPr>
              <w:t>0.00155</w:t>
            </w:r>
          </w:p>
        </w:tc>
      </w:tr>
      <w:tr w:rsidR="006E3386" w:rsidRPr="0018386D" w14:paraId="699A343D" w14:textId="77777777" w:rsidTr="00B7563C">
        <w:trPr>
          <w:divId w:val="1122192790"/>
        </w:trPr>
        <w:tc>
          <w:tcPr>
            <w:tcW w:w="2845" w:type="dxa"/>
            <w:shd w:val="clear" w:color="000000" w:fill="FFFFFF"/>
            <w:noWrap/>
            <w:hideMark/>
          </w:tcPr>
          <w:p w14:paraId="5830BE64" w14:textId="46C47331" w:rsidR="00A94C3E" w:rsidRPr="0018386D" w:rsidRDefault="00A94C3E" w:rsidP="00DD3106">
            <w:pPr>
              <w:pStyle w:val="TableText"/>
              <w:spacing w:before="30" w:after="30"/>
              <w:rPr>
                <w:rFonts w:cs="Calibri"/>
                <w:szCs w:val="18"/>
              </w:rPr>
            </w:pPr>
            <w:r w:rsidRPr="0018386D">
              <w:rPr>
                <w:rFonts w:cs="Calibri"/>
                <w:szCs w:val="18"/>
              </w:rPr>
              <w:t>PHEV (Diesel) – Electricity consumption</w:t>
            </w:r>
          </w:p>
        </w:tc>
        <w:tc>
          <w:tcPr>
            <w:tcW w:w="498" w:type="dxa"/>
            <w:shd w:val="clear" w:color="000000" w:fill="FFFFFF"/>
            <w:noWrap/>
            <w:hideMark/>
          </w:tcPr>
          <w:p w14:paraId="6104D7D2"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11D876CC" w14:textId="79840A18" w:rsidR="00A94C3E" w:rsidRPr="0018386D" w:rsidRDefault="00A94C3E" w:rsidP="00DD3106">
            <w:pPr>
              <w:pStyle w:val="TableText"/>
              <w:spacing w:before="30" w:after="30"/>
              <w:rPr>
                <w:rFonts w:cs="Calibri"/>
                <w:szCs w:val="18"/>
              </w:rPr>
            </w:pPr>
            <w:r w:rsidRPr="0018386D">
              <w:rPr>
                <w:rFonts w:cs="Calibri"/>
                <w:szCs w:val="18"/>
              </w:rPr>
              <w:t>0.00957</w:t>
            </w:r>
          </w:p>
        </w:tc>
        <w:tc>
          <w:tcPr>
            <w:tcW w:w="1263" w:type="dxa"/>
            <w:shd w:val="clear" w:color="000000" w:fill="FFFFFF"/>
            <w:noWrap/>
            <w:hideMark/>
          </w:tcPr>
          <w:p w14:paraId="38522BFA" w14:textId="59843F1E" w:rsidR="00A94C3E" w:rsidRPr="0018386D" w:rsidRDefault="00A94C3E" w:rsidP="00DD3106">
            <w:pPr>
              <w:pStyle w:val="TableText"/>
              <w:spacing w:before="30" w:after="30"/>
              <w:rPr>
                <w:rFonts w:cs="Calibri"/>
                <w:szCs w:val="18"/>
              </w:rPr>
            </w:pPr>
            <w:r w:rsidRPr="0018386D">
              <w:rPr>
                <w:rFonts w:cs="Calibri"/>
                <w:szCs w:val="18"/>
              </w:rPr>
              <w:t>0.00930</w:t>
            </w:r>
          </w:p>
        </w:tc>
        <w:tc>
          <w:tcPr>
            <w:tcW w:w="1318" w:type="dxa"/>
            <w:shd w:val="clear" w:color="000000" w:fill="FFFFFF"/>
            <w:noWrap/>
            <w:hideMark/>
          </w:tcPr>
          <w:p w14:paraId="436DF4AE" w14:textId="41763A3D" w:rsidR="00A94C3E" w:rsidRPr="0018386D" w:rsidRDefault="00A94C3E" w:rsidP="00DD3106">
            <w:pPr>
              <w:pStyle w:val="TableText"/>
              <w:spacing w:before="30" w:after="30"/>
              <w:rPr>
                <w:rFonts w:cs="Calibri"/>
                <w:szCs w:val="18"/>
              </w:rPr>
            </w:pPr>
            <w:r w:rsidRPr="0018386D">
              <w:rPr>
                <w:rFonts w:cs="Calibri"/>
                <w:szCs w:val="18"/>
              </w:rPr>
              <w:t>0.0003</w:t>
            </w:r>
          </w:p>
        </w:tc>
        <w:tc>
          <w:tcPr>
            <w:tcW w:w="1318" w:type="dxa"/>
            <w:shd w:val="clear" w:color="000000" w:fill="FFFFFF"/>
            <w:noWrap/>
            <w:hideMark/>
          </w:tcPr>
          <w:p w14:paraId="6C508F66" w14:textId="77777777" w:rsidR="00A94C3E" w:rsidRPr="0018386D" w:rsidRDefault="00A94C3E" w:rsidP="00DD3106">
            <w:pPr>
              <w:pStyle w:val="TableText"/>
              <w:spacing w:before="30" w:after="30"/>
              <w:rPr>
                <w:rFonts w:cs="Calibri"/>
                <w:szCs w:val="18"/>
              </w:rPr>
            </w:pPr>
            <w:r w:rsidRPr="0018386D">
              <w:rPr>
                <w:rFonts w:cs="Calibri"/>
                <w:szCs w:val="18"/>
              </w:rPr>
              <w:t>0.00002</w:t>
            </w:r>
          </w:p>
        </w:tc>
      </w:tr>
      <w:tr w:rsidR="006E3386" w:rsidRPr="0018386D" w14:paraId="6D3BE093" w14:textId="77777777" w:rsidTr="00B7563C">
        <w:trPr>
          <w:divId w:val="1122192790"/>
        </w:trPr>
        <w:tc>
          <w:tcPr>
            <w:tcW w:w="2845" w:type="dxa"/>
            <w:shd w:val="clear" w:color="000000" w:fill="FFFFFF"/>
            <w:noWrap/>
            <w:hideMark/>
          </w:tcPr>
          <w:p w14:paraId="5DEDC60D" w14:textId="77777777" w:rsidR="00A94C3E" w:rsidRPr="0018386D" w:rsidRDefault="00A94C3E" w:rsidP="00DD3106">
            <w:pPr>
              <w:pStyle w:val="TableText"/>
              <w:spacing w:before="30" w:after="30"/>
              <w:rPr>
                <w:rFonts w:cs="Calibri"/>
                <w:szCs w:val="18"/>
              </w:rPr>
            </w:pPr>
            <w:r w:rsidRPr="0018386D">
              <w:rPr>
                <w:rFonts w:cs="Calibri"/>
                <w:szCs w:val="18"/>
              </w:rPr>
              <w:t>Electric</w:t>
            </w:r>
          </w:p>
        </w:tc>
        <w:tc>
          <w:tcPr>
            <w:tcW w:w="498" w:type="dxa"/>
            <w:shd w:val="clear" w:color="000000" w:fill="FFFFFF"/>
            <w:noWrap/>
            <w:hideMark/>
          </w:tcPr>
          <w:p w14:paraId="05D3BD90" w14:textId="77777777" w:rsidR="00A94C3E" w:rsidRPr="0018386D" w:rsidRDefault="00A94C3E" w:rsidP="00DD3106">
            <w:pPr>
              <w:pStyle w:val="TableText"/>
              <w:spacing w:before="30" w:after="30"/>
              <w:rPr>
                <w:rFonts w:cs="Calibri"/>
                <w:szCs w:val="18"/>
              </w:rPr>
            </w:pPr>
            <w:r w:rsidRPr="0018386D">
              <w:rPr>
                <w:rFonts w:cs="Calibri"/>
                <w:szCs w:val="18"/>
              </w:rPr>
              <w:t>km</w:t>
            </w:r>
          </w:p>
        </w:tc>
        <w:tc>
          <w:tcPr>
            <w:tcW w:w="1263" w:type="dxa"/>
            <w:shd w:val="clear" w:color="000000" w:fill="D2DDE1"/>
            <w:noWrap/>
            <w:hideMark/>
          </w:tcPr>
          <w:p w14:paraId="271BF2D0" w14:textId="2D23467D" w:rsidR="00A94C3E" w:rsidRPr="0018386D" w:rsidRDefault="00A94C3E" w:rsidP="00DD3106">
            <w:pPr>
              <w:pStyle w:val="TableText"/>
              <w:spacing w:before="30" w:after="30"/>
              <w:rPr>
                <w:rFonts w:cs="Calibri"/>
                <w:szCs w:val="18"/>
              </w:rPr>
            </w:pPr>
            <w:r w:rsidRPr="0018386D">
              <w:rPr>
                <w:rFonts w:cs="Calibri"/>
                <w:szCs w:val="18"/>
              </w:rPr>
              <w:t>0.0200</w:t>
            </w:r>
          </w:p>
        </w:tc>
        <w:tc>
          <w:tcPr>
            <w:tcW w:w="1263" w:type="dxa"/>
            <w:shd w:val="clear" w:color="000000" w:fill="FFFFFF"/>
            <w:noWrap/>
            <w:hideMark/>
          </w:tcPr>
          <w:p w14:paraId="763EE38F" w14:textId="3D53F038" w:rsidR="00A94C3E" w:rsidRPr="0018386D" w:rsidRDefault="00A94C3E" w:rsidP="00DD3106">
            <w:pPr>
              <w:pStyle w:val="TableText"/>
              <w:spacing w:before="30" w:after="30"/>
              <w:rPr>
                <w:rFonts w:cs="Calibri"/>
                <w:szCs w:val="18"/>
              </w:rPr>
            </w:pPr>
            <w:r w:rsidRPr="0018386D">
              <w:rPr>
                <w:rFonts w:cs="Calibri"/>
                <w:szCs w:val="18"/>
              </w:rPr>
              <w:t>0.0194</w:t>
            </w:r>
          </w:p>
        </w:tc>
        <w:tc>
          <w:tcPr>
            <w:tcW w:w="1318" w:type="dxa"/>
            <w:shd w:val="clear" w:color="000000" w:fill="FFFFFF"/>
            <w:noWrap/>
            <w:hideMark/>
          </w:tcPr>
          <w:p w14:paraId="65ACE885" w14:textId="583360C5" w:rsidR="00A94C3E" w:rsidRPr="0018386D" w:rsidRDefault="00A94C3E" w:rsidP="00DD3106">
            <w:pPr>
              <w:pStyle w:val="TableText"/>
              <w:spacing w:before="30" w:after="30"/>
              <w:rPr>
                <w:rFonts w:cs="Calibri"/>
                <w:szCs w:val="18"/>
              </w:rPr>
            </w:pPr>
            <w:r w:rsidRPr="0018386D">
              <w:rPr>
                <w:rFonts w:cs="Calibri"/>
                <w:szCs w:val="18"/>
              </w:rPr>
              <w:t>0.0005</w:t>
            </w:r>
          </w:p>
        </w:tc>
        <w:tc>
          <w:tcPr>
            <w:tcW w:w="1318" w:type="dxa"/>
            <w:shd w:val="clear" w:color="000000" w:fill="FFFFFF"/>
            <w:noWrap/>
            <w:hideMark/>
          </w:tcPr>
          <w:p w14:paraId="35613505" w14:textId="77777777" w:rsidR="00A94C3E" w:rsidRPr="0018386D" w:rsidRDefault="00A94C3E" w:rsidP="00DD3106">
            <w:pPr>
              <w:pStyle w:val="TableText"/>
              <w:spacing w:before="30" w:after="30"/>
              <w:rPr>
                <w:rFonts w:cs="Calibri"/>
                <w:szCs w:val="18"/>
              </w:rPr>
            </w:pPr>
            <w:r w:rsidRPr="0018386D">
              <w:rPr>
                <w:rFonts w:cs="Calibri"/>
                <w:szCs w:val="18"/>
              </w:rPr>
              <w:t>0.00004</w:t>
            </w:r>
          </w:p>
        </w:tc>
      </w:tr>
    </w:tbl>
    <w:bookmarkEnd w:id="395"/>
    <w:p w14:paraId="71A87F5A" w14:textId="1D6B9D2D" w:rsidR="00D12ED1" w:rsidRPr="0018386D" w:rsidRDefault="007C42DD" w:rsidP="00DD3106">
      <w:pPr>
        <w:pStyle w:val="Note"/>
        <w:spacing w:after="60"/>
      </w:pPr>
      <w:r w:rsidRPr="0018386D">
        <w:rPr>
          <w:b/>
          <w:bCs/>
        </w:rPr>
        <w:t>Note</w:t>
      </w:r>
      <w:r w:rsidR="00CA2382" w:rsidRPr="0018386D">
        <w:rPr>
          <w:b/>
          <w:bCs/>
        </w:rPr>
        <w:t>s</w:t>
      </w:r>
      <w:r w:rsidR="00553680" w:rsidRPr="0018386D">
        <w:rPr>
          <w:b/>
          <w:bCs/>
        </w:rPr>
        <w:t>:</w:t>
      </w:r>
      <w:r w:rsidRPr="0018386D">
        <w:rPr>
          <w:b/>
          <w:bCs/>
        </w:rPr>
        <w:t xml:space="preserve"> </w:t>
      </w:r>
      <w:r w:rsidR="00553680" w:rsidRPr="0018386D">
        <w:t xml:space="preserve">These </w:t>
      </w:r>
      <w:r w:rsidRPr="0018386D">
        <w:t xml:space="preserve">numbers are rounded to three decimal places unless the number </w:t>
      </w:r>
      <w:r w:rsidR="00BA31FD" w:rsidRPr="0018386D">
        <w:t>is significantly small</w:t>
      </w:r>
      <w:r w:rsidR="008B3986" w:rsidRPr="0018386D">
        <w:t xml:space="preserve">. </w:t>
      </w:r>
    </w:p>
    <w:p w14:paraId="5381DDCB" w14:textId="35CAC618" w:rsidR="0081014F" w:rsidRPr="0018386D" w:rsidRDefault="3428FDEE" w:rsidP="00DD3106">
      <w:pPr>
        <w:pStyle w:val="Note"/>
        <w:spacing w:before="60"/>
      </w:pPr>
      <w:r w:rsidRPr="0018386D">
        <w:t>Defaults are based on the average ag</w:t>
      </w:r>
      <w:r w:rsidR="25B4DAD1" w:rsidRPr="0018386D">
        <w:t>e of the vehicle fleet (</w:t>
      </w:r>
      <w:r w:rsidR="046FCBA5" w:rsidRPr="0018386D">
        <w:t>pre-2010</w:t>
      </w:r>
      <w:r w:rsidR="25B4DAD1" w:rsidRPr="0018386D">
        <w:t xml:space="preserve"> for petrol and diesel</w:t>
      </w:r>
      <w:r w:rsidR="486EB217" w:rsidRPr="0018386D">
        <w:t xml:space="preserve"> including hybrids</w:t>
      </w:r>
      <w:r w:rsidR="25B4DAD1" w:rsidRPr="0018386D">
        <w:t>, and</w:t>
      </w:r>
      <w:r w:rsidR="5DC785A1" w:rsidRPr="0018386D">
        <w:t> </w:t>
      </w:r>
      <w:r w:rsidR="25B4DAD1" w:rsidRPr="0018386D">
        <w:t xml:space="preserve">2010–2015 for all </w:t>
      </w:r>
      <w:r w:rsidR="016C7A9C" w:rsidRPr="0018386D">
        <w:t>plug-in</w:t>
      </w:r>
      <w:r w:rsidR="7B2F1386" w:rsidRPr="0018386D">
        <w:t xml:space="preserve"> </w:t>
      </w:r>
      <w:r w:rsidR="25B4DAD1" w:rsidRPr="0018386D">
        <w:t>cars)</w:t>
      </w:r>
      <w:r w:rsidR="6A6ACBD2" w:rsidRPr="0018386D">
        <w:t xml:space="preserve"> and most common engine size (2000</w:t>
      </w:r>
      <w:r w:rsidR="046FCBA5" w:rsidRPr="0018386D">
        <w:t>–</w:t>
      </w:r>
      <w:r w:rsidRPr="0018386D">
        <w:t>30</w:t>
      </w:r>
      <w:r w:rsidR="06990110" w:rsidRPr="0018386D">
        <w:t>0</w:t>
      </w:r>
      <w:r w:rsidRPr="0018386D">
        <w:t>0</w:t>
      </w:r>
      <w:r w:rsidR="382FB897" w:rsidRPr="0018386D">
        <w:t xml:space="preserve"> </w:t>
      </w:r>
      <w:r w:rsidRPr="0018386D">
        <w:t>cc)</w:t>
      </w:r>
      <w:r w:rsidR="382FB897" w:rsidRPr="0018386D">
        <w:t>. S</w:t>
      </w:r>
      <w:r w:rsidR="384BBF8A" w:rsidRPr="0018386D">
        <w:t xml:space="preserve">ource: </w:t>
      </w:r>
      <w:proofErr w:type="spellStart"/>
      <w:r w:rsidR="384BBF8A" w:rsidRPr="0018386D">
        <w:t>MoT</w:t>
      </w:r>
      <w:proofErr w:type="spellEnd"/>
    </w:p>
    <w:p w14:paraId="65091EA7" w14:textId="2AB4D216" w:rsidR="001D1CD6" w:rsidRPr="0018386D" w:rsidRDefault="004837A7" w:rsidP="00DD3106">
      <w:pPr>
        <w:pStyle w:val="Tableheading"/>
      </w:pPr>
      <w:bookmarkStart w:id="405" w:name="_Ref55220372"/>
      <w:bookmarkStart w:id="406" w:name="table20"/>
      <w:bookmarkStart w:id="407" w:name="_Ref529835677"/>
      <w:bookmarkStart w:id="408" w:name="_Toc111536626"/>
      <w:bookmarkStart w:id="409" w:name="_Toc140048961"/>
      <w:r w:rsidRPr="0018386D">
        <w:t xml:space="preserve">Table </w:t>
      </w:r>
      <w:r w:rsidRPr="0018386D">
        <w:fldChar w:fldCharType="begin"/>
      </w:r>
      <w:r w:rsidRPr="0018386D">
        <w:instrText>SEQ Table \* ARABIC</w:instrText>
      </w:r>
      <w:r w:rsidRPr="0018386D">
        <w:fldChar w:fldCharType="separate"/>
      </w:r>
      <w:r w:rsidR="003E141C" w:rsidRPr="0018386D">
        <w:t>21</w:t>
      </w:r>
      <w:r w:rsidRPr="0018386D">
        <w:fldChar w:fldCharType="end"/>
      </w:r>
      <w:bookmarkEnd w:id="405"/>
      <w:bookmarkEnd w:id="406"/>
      <w:r w:rsidRPr="0018386D">
        <w:t>:</w:t>
      </w:r>
      <w:r w:rsidR="00B86FAD" w:rsidRPr="0018386D">
        <w:tab/>
      </w:r>
      <w:r w:rsidRPr="0018386D">
        <w:t xml:space="preserve">Default rental car emission factors per km </w:t>
      </w:r>
      <w:bookmarkEnd w:id="407"/>
      <w:proofErr w:type="gramStart"/>
      <w:r w:rsidR="001D1CD6" w:rsidRPr="0018386D" w:rsidDel="004837A7">
        <w:t>travelled</w:t>
      </w:r>
      <w:bookmarkEnd w:id="408"/>
      <w:bookmarkEnd w:id="409"/>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2851"/>
        <w:gridCol w:w="505"/>
        <w:gridCol w:w="1176"/>
        <w:gridCol w:w="1287"/>
        <w:gridCol w:w="1343"/>
        <w:gridCol w:w="1343"/>
      </w:tblGrid>
      <w:tr w:rsidR="00B7563C" w:rsidRPr="0018386D" w14:paraId="003A075E" w14:textId="77777777" w:rsidTr="00B7563C">
        <w:trPr>
          <w:divId w:val="1780029690"/>
          <w:trHeight w:val="240"/>
        </w:trPr>
        <w:tc>
          <w:tcPr>
            <w:tcW w:w="2892" w:type="dxa"/>
            <w:shd w:val="clear" w:color="000000" w:fill="1B556B" w:themeFill="text2"/>
            <w:noWrap/>
            <w:vAlign w:val="bottom"/>
            <w:hideMark/>
          </w:tcPr>
          <w:p w14:paraId="354BEF7F" w14:textId="3F19BBFB" w:rsidR="008E2ED2" w:rsidRPr="0018386D" w:rsidRDefault="008E2ED2" w:rsidP="00DD3106">
            <w:pPr>
              <w:pStyle w:val="TableTextbold"/>
              <w:spacing w:before="30" w:after="30"/>
              <w:rPr>
                <w:color w:val="FFFFFF" w:themeColor="background1"/>
              </w:rPr>
            </w:pPr>
            <w:bookmarkStart w:id="410" w:name="_1746366804"/>
            <w:bookmarkStart w:id="411" w:name="_1745997840"/>
            <w:bookmarkStart w:id="412" w:name="_1746254062"/>
            <w:bookmarkStart w:id="413" w:name="_1747051257"/>
            <w:bookmarkEnd w:id="410"/>
            <w:bookmarkEnd w:id="411"/>
            <w:bookmarkEnd w:id="412"/>
            <w:bookmarkEnd w:id="413"/>
            <w:r w:rsidRPr="0018386D">
              <w:rPr>
                <w:color w:val="FFFFFF" w:themeColor="background1"/>
              </w:rPr>
              <w:t>Emission source category</w:t>
            </w:r>
          </w:p>
        </w:tc>
        <w:tc>
          <w:tcPr>
            <w:tcW w:w="510" w:type="dxa"/>
            <w:shd w:val="clear" w:color="000000" w:fill="1B556B" w:themeFill="text2"/>
            <w:noWrap/>
            <w:vAlign w:val="bottom"/>
            <w:hideMark/>
          </w:tcPr>
          <w:p w14:paraId="3D2FAAA3"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191" w:type="dxa"/>
            <w:shd w:val="clear" w:color="000000" w:fill="1B556B" w:themeFill="text2"/>
            <w:noWrap/>
            <w:vAlign w:val="bottom"/>
            <w:hideMark/>
          </w:tcPr>
          <w:p w14:paraId="68B1FE56" w14:textId="31975E9E"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304" w:type="dxa"/>
            <w:shd w:val="clear" w:color="000000" w:fill="1B556B" w:themeFill="text2"/>
            <w:noWrap/>
            <w:vAlign w:val="bottom"/>
            <w:hideMark/>
          </w:tcPr>
          <w:p w14:paraId="0F772241" w14:textId="351D5659"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w:t>
            </w:r>
            <w:r w:rsidR="00B7563C" w:rsidRPr="0018386D">
              <w:rPr>
                <w:color w:val="FFFFFF" w:themeColor="background1"/>
              </w:rPr>
              <w:t xml:space="preserve"> </w:t>
            </w:r>
            <w:r w:rsidRPr="0018386D">
              <w:rPr>
                <w:color w:val="FFFFFF" w:themeColor="background1"/>
              </w:rPr>
              <w:t>unit)</w:t>
            </w:r>
          </w:p>
        </w:tc>
        <w:tc>
          <w:tcPr>
            <w:tcW w:w="1361" w:type="dxa"/>
            <w:shd w:val="clear" w:color="000000" w:fill="1B556B" w:themeFill="text2"/>
            <w:noWrap/>
            <w:vAlign w:val="bottom"/>
            <w:hideMark/>
          </w:tcPr>
          <w:p w14:paraId="6869D880" w14:textId="41866EB2" w:rsidR="008E2ED2" w:rsidRPr="0018386D" w:rsidRDefault="008E2ED2" w:rsidP="00DD3106">
            <w:pPr>
              <w:pStyle w:val="TableTextbold"/>
              <w:spacing w:before="30" w:after="30"/>
              <w:rPr>
                <w:color w:val="FFFFFF" w:themeColor="background1"/>
              </w:rPr>
            </w:pPr>
            <w:r w:rsidRPr="0018386D">
              <w:rPr>
                <w:color w:val="FFFFFF" w:themeColor="background1"/>
              </w:rPr>
              <w:t>CH₄ (kg CO₂-e/</w:t>
            </w:r>
            <w:r w:rsidR="00B7563C" w:rsidRPr="0018386D">
              <w:rPr>
                <w:color w:val="FFFFFF" w:themeColor="background1"/>
              </w:rPr>
              <w:t xml:space="preserve"> </w:t>
            </w:r>
            <w:r w:rsidRPr="0018386D">
              <w:rPr>
                <w:color w:val="FFFFFF" w:themeColor="background1"/>
              </w:rPr>
              <w:t>unit)</w:t>
            </w:r>
          </w:p>
        </w:tc>
        <w:tc>
          <w:tcPr>
            <w:tcW w:w="1361" w:type="dxa"/>
            <w:shd w:val="clear" w:color="000000" w:fill="1B556B" w:themeFill="text2"/>
            <w:noWrap/>
            <w:vAlign w:val="bottom"/>
            <w:hideMark/>
          </w:tcPr>
          <w:p w14:paraId="3FA38BE1" w14:textId="5D517EC0" w:rsidR="008E2ED2" w:rsidRPr="0018386D" w:rsidRDefault="008E2ED2" w:rsidP="00DD3106">
            <w:pPr>
              <w:pStyle w:val="TableTextbold"/>
              <w:spacing w:before="30" w:after="30"/>
              <w:rPr>
                <w:color w:val="FFFFFF" w:themeColor="background1"/>
              </w:rPr>
            </w:pPr>
            <w:r w:rsidRPr="0018386D">
              <w:rPr>
                <w:color w:val="FFFFFF" w:themeColor="background1"/>
              </w:rPr>
              <w:t>N₂O (kg CO₂-e/</w:t>
            </w:r>
            <w:r w:rsidR="00B7563C" w:rsidRPr="0018386D">
              <w:rPr>
                <w:color w:val="FFFFFF" w:themeColor="background1"/>
              </w:rPr>
              <w:t xml:space="preserve"> </w:t>
            </w:r>
            <w:r w:rsidRPr="0018386D">
              <w:rPr>
                <w:color w:val="FFFFFF" w:themeColor="background1"/>
              </w:rPr>
              <w:t>unit)</w:t>
            </w:r>
          </w:p>
        </w:tc>
      </w:tr>
      <w:tr w:rsidR="00B7563C" w:rsidRPr="0018386D" w14:paraId="2FEAA701" w14:textId="77777777" w:rsidTr="00B7563C">
        <w:trPr>
          <w:divId w:val="1780029690"/>
          <w:trHeight w:val="240"/>
        </w:trPr>
        <w:tc>
          <w:tcPr>
            <w:tcW w:w="510" w:type="dxa"/>
            <w:gridSpan w:val="6"/>
            <w:shd w:val="clear" w:color="000000" w:fill="D2DDE1"/>
            <w:noWrap/>
            <w:hideMark/>
          </w:tcPr>
          <w:p w14:paraId="421EBAA2" w14:textId="30868EB4" w:rsidR="00B7563C" w:rsidRPr="0018386D" w:rsidRDefault="00B7563C" w:rsidP="00DD3106">
            <w:pPr>
              <w:pStyle w:val="TableTextbold"/>
              <w:spacing w:before="30" w:after="30"/>
            </w:pPr>
            <w:r w:rsidRPr="0018386D">
              <w:t>Rental car default</w:t>
            </w:r>
          </w:p>
        </w:tc>
      </w:tr>
      <w:tr w:rsidR="00B7563C" w:rsidRPr="0018386D" w14:paraId="5C8CA575" w14:textId="77777777" w:rsidTr="00B7563C">
        <w:trPr>
          <w:divId w:val="1780029690"/>
          <w:trHeight w:val="240"/>
        </w:trPr>
        <w:tc>
          <w:tcPr>
            <w:tcW w:w="2892" w:type="dxa"/>
            <w:shd w:val="clear" w:color="000000" w:fill="FFFFFF"/>
            <w:noWrap/>
            <w:hideMark/>
          </w:tcPr>
          <w:p w14:paraId="4EF4D3BD" w14:textId="77777777" w:rsidR="00A94C3E" w:rsidRPr="0018386D" w:rsidRDefault="00A94C3E" w:rsidP="00DD3106">
            <w:pPr>
              <w:pStyle w:val="TableText"/>
              <w:spacing w:before="30" w:after="30"/>
            </w:pPr>
            <w:r w:rsidRPr="0018386D">
              <w:t>Petrol</w:t>
            </w:r>
          </w:p>
        </w:tc>
        <w:tc>
          <w:tcPr>
            <w:tcW w:w="510" w:type="dxa"/>
            <w:shd w:val="clear" w:color="000000" w:fill="FFFFFF"/>
            <w:noWrap/>
            <w:hideMark/>
          </w:tcPr>
          <w:p w14:paraId="216BCEA2"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3FE2CF94" w14:textId="1AB44F99" w:rsidR="00A94C3E" w:rsidRPr="0018386D" w:rsidRDefault="00A94C3E" w:rsidP="00DD3106">
            <w:pPr>
              <w:pStyle w:val="TableText"/>
              <w:spacing w:before="30" w:after="30"/>
            </w:pPr>
            <w:r w:rsidRPr="0018386D">
              <w:t>0.186</w:t>
            </w:r>
          </w:p>
        </w:tc>
        <w:tc>
          <w:tcPr>
            <w:tcW w:w="1304" w:type="dxa"/>
            <w:shd w:val="clear" w:color="000000" w:fill="FFFFFF"/>
            <w:noWrap/>
            <w:hideMark/>
          </w:tcPr>
          <w:p w14:paraId="7B42397A" w14:textId="125E6F1C" w:rsidR="00A94C3E" w:rsidRPr="0018386D" w:rsidRDefault="00A94C3E" w:rsidP="00DD3106">
            <w:pPr>
              <w:pStyle w:val="TableText"/>
              <w:spacing w:before="30" w:after="30"/>
            </w:pPr>
            <w:r w:rsidRPr="0018386D">
              <w:t>0.178</w:t>
            </w:r>
          </w:p>
        </w:tc>
        <w:tc>
          <w:tcPr>
            <w:tcW w:w="1361" w:type="dxa"/>
            <w:shd w:val="clear" w:color="000000" w:fill="FFFFFF"/>
            <w:noWrap/>
            <w:hideMark/>
          </w:tcPr>
          <w:p w14:paraId="36A3FFEC" w14:textId="4BD9466F" w:rsidR="00A94C3E" w:rsidRPr="0018386D" w:rsidRDefault="00A94C3E" w:rsidP="00DD3106">
            <w:pPr>
              <w:pStyle w:val="TableText"/>
              <w:spacing w:before="30" w:after="30"/>
            </w:pPr>
            <w:r w:rsidRPr="0018386D">
              <w:t>0.00234</w:t>
            </w:r>
          </w:p>
        </w:tc>
        <w:tc>
          <w:tcPr>
            <w:tcW w:w="1361" w:type="dxa"/>
            <w:shd w:val="clear" w:color="000000" w:fill="FFFFFF"/>
            <w:noWrap/>
            <w:hideMark/>
          </w:tcPr>
          <w:p w14:paraId="4C9DCB4A" w14:textId="696FF22E" w:rsidR="00A94C3E" w:rsidRPr="0018386D" w:rsidRDefault="00A94C3E" w:rsidP="00DD3106">
            <w:pPr>
              <w:pStyle w:val="TableText"/>
              <w:spacing w:before="30" w:after="30"/>
            </w:pPr>
            <w:r w:rsidRPr="0018386D">
              <w:t>0.00537</w:t>
            </w:r>
          </w:p>
        </w:tc>
      </w:tr>
      <w:tr w:rsidR="00B7563C" w:rsidRPr="0018386D" w14:paraId="6ABC189F" w14:textId="77777777" w:rsidTr="00B7563C">
        <w:trPr>
          <w:divId w:val="1780029690"/>
          <w:trHeight w:val="240"/>
        </w:trPr>
        <w:tc>
          <w:tcPr>
            <w:tcW w:w="2892" w:type="dxa"/>
            <w:shd w:val="clear" w:color="000000" w:fill="FFFFFF"/>
            <w:noWrap/>
            <w:hideMark/>
          </w:tcPr>
          <w:p w14:paraId="6EB246E0" w14:textId="77777777" w:rsidR="00A94C3E" w:rsidRPr="0018386D" w:rsidRDefault="00A94C3E" w:rsidP="00DD3106">
            <w:pPr>
              <w:pStyle w:val="TableText"/>
              <w:spacing w:before="30" w:after="30"/>
            </w:pPr>
            <w:r w:rsidRPr="0018386D">
              <w:t>Diesel</w:t>
            </w:r>
          </w:p>
        </w:tc>
        <w:tc>
          <w:tcPr>
            <w:tcW w:w="510" w:type="dxa"/>
            <w:shd w:val="clear" w:color="000000" w:fill="FFFFFF"/>
            <w:noWrap/>
            <w:hideMark/>
          </w:tcPr>
          <w:p w14:paraId="4855F8FC"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253DADE5" w14:textId="4D097303" w:rsidR="00A94C3E" w:rsidRPr="0018386D" w:rsidRDefault="00A94C3E" w:rsidP="00DD3106">
            <w:pPr>
              <w:pStyle w:val="TableText"/>
              <w:spacing w:before="30" w:after="30"/>
            </w:pPr>
            <w:r w:rsidRPr="0018386D">
              <w:t>0.181</w:t>
            </w:r>
          </w:p>
        </w:tc>
        <w:tc>
          <w:tcPr>
            <w:tcW w:w="1304" w:type="dxa"/>
            <w:shd w:val="clear" w:color="000000" w:fill="FFFFFF"/>
            <w:noWrap/>
            <w:hideMark/>
          </w:tcPr>
          <w:p w14:paraId="4A44F592" w14:textId="7E8E1F77" w:rsidR="00A94C3E" w:rsidRPr="0018386D" w:rsidRDefault="00A94C3E" w:rsidP="00DD3106">
            <w:pPr>
              <w:pStyle w:val="TableText"/>
              <w:spacing w:before="30" w:after="30"/>
            </w:pPr>
            <w:r w:rsidRPr="0018386D">
              <w:t>0.179</w:t>
            </w:r>
          </w:p>
        </w:tc>
        <w:tc>
          <w:tcPr>
            <w:tcW w:w="1361" w:type="dxa"/>
            <w:shd w:val="clear" w:color="000000" w:fill="FFFFFF"/>
            <w:noWrap/>
            <w:hideMark/>
          </w:tcPr>
          <w:p w14:paraId="528DB18A" w14:textId="77777777" w:rsidR="00A94C3E" w:rsidRPr="0018386D" w:rsidRDefault="00A94C3E" w:rsidP="00DD3106">
            <w:pPr>
              <w:pStyle w:val="TableText"/>
              <w:spacing w:before="30" w:after="30"/>
            </w:pPr>
            <w:r w:rsidRPr="0018386D">
              <w:t>0.0003</w:t>
            </w:r>
          </w:p>
        </w:tc>
        <w:tc>
          <w:tcPr>
            <w:tcW w:w="1361" w:type="dxa"/>
            <w:shd w:val="clear" w:color="000000" w:fill="FFFFFF"/>
            <w:noWrap/>
            <w:hideMark/>
          </w:tcPr>
          <w:p w14:paraId="20E0CA42" w14:textId="2D5A0F38" w:rsidR="00A94C3E" w:rsidRPr="0018386D" w:rsidRDefault="00A94C3E" w:rsidP="00DD3106">
            <w:pPr>
              <w:pStyle w:val="TableText"/>
              <w:spacing w:before="30" w:after="30"/>
            </w:pPr>
            <w:r w:rsidRPr="0018386D">
              <w:t>0.00252</w:t>
            </w:r>
          </w:p>
        </w:tc>
      </w:tr>
      <w:tr w:rsidR="00B7563C" w:rsidRPr="0018386D" w14:paraId="14E06389" w14:textId="77777777" w:rsidTr="00B7563C">
        <w:trPr>
          <w:divId w:val="1780029690"/>
          <w:trHeight w:val="240"/>
        </w:trPr>
        <w:tc>
          <w:tcPr>
            <w:tcW w:w="2892" w:type="dxa"/>
            <w:shd w:val="clear" w:color="000000" w:fill="FFFFFF"/>
            <w:noWrap/>
            <w:hideMark/>
          </w:tcPr>
          <w:p w14:paraId="5C80C62B" w14:textId="77777777" w:rsidR="00A94C3E" w:rsidRPr="0018386D" w:rsidRDefault="00A94C3E" w:rsidP="00DD3106">
            <w:pPr>
              <w:pStyle w:val="TableText"/>
              <w:spacing w:before="30" w:after="30"/>
            </w:pPr>
            <w:r w:rsidRPr="0018386D">
              <w:t>Petrol hybrid</w:t>
            </w:r>
          </w:p>
        </w:tc>
        <w:tc>
          <w:tcPr>
            <w:tcW w:w="510" w:type="dxa"/>
            <w:shd w:val="clear" w:color="000000" w:fill="FFFFFF"/>
            <w:noWrap/>
            <w:hideMark/>
          </w:tcPr>
          <w:p w14:paraId="533F3BA2"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3BDF91CA" w14:textId="7F57493F" w:rsidR="00A94C3E" w:rsidRPr="0018386D" w:rsidRDefault="00A94C3E" w:rsidP="00DD3106">
            <w:pPr>
              <w:pStyle w:val="TableText"/>
              <w:spacing w:before="30" w:after="30"/>
            </w:pPr>
            <w:r w:rsidRPr="0018386D">
              <w:t>0.147</w:t>
            </w:r>
          </w:p>
        </w:tc>
        <w:tc>
          <w:tcPr>
            <w:tcW w:w="1304" w:type="dxa"/>
            <w:shd w:val="clear" w:color="000000" w:fill="FFFFFF"/>
            <w:noWrap/>
            <w:hideMark/>
          </w:tcPr>
          <w:p w14:paraId="0AE8C75B" w14:textId="52A1E4DB" w:rsidR="00A94C3E" w:rsidRPr="0018386D" w:rsidRDefault="00A94C3E" w:rsidP="00DD3106">
            <w:pPr>
              <w:pStyle w:val="TableText"/>
              <w:spacing w:before="30" w:after="30"/>
            </w:pPr>
            <w:r w:rsidRPr="0018386D">
              <w:t>0.140</w:t>
            </w:r>
          </w:p>
        </w:tc>
        <w:tc>
          <w:tcPr>
            <w:tcW w:w="1361" w:type="dxa"/>
            <w:shd w:val="clear" w:color="000000" w:fill="FFFFFF"/>
            <w:noWrap/>
            <w:hideMark/>
          </w:tcPr>
          <w:p w14:paraId="1F34A0CA" w14:textId="27D57FD9" w:rsidR="00A94C3E" w:rsidRPr="0018386D" w:rsidRDefault="00A94C3E" w:rsidP="00DD3106">
            <w:pPr>
              <w:pStyle w:val="TableText"/>
              <w:spacing w:before="30" w:after="30"/>
            </w:pPr>
            <w:r w:rsidRPr="0018386D">
              <w:t>0.00185</w:t>
            </w:r>
          </w:p>
        </w:tc>
        <w:tc>
          <w:tcPr>
            <w:tcW w:w="1361" w:type="dxa"/>
            <w:shd w:val="clear" w:color="000000" w:fill="FFFFFF"/>
            <w:noWrap/>
            <w:hideMark/>
          </w:tcPr>
          <w:p w14:paraId="410917BC" w14:textId="44967CF3" w:rsidR="00A94C3E" w:rsidRPr="0018386D" w:rsidRDefault="00A94C3E" w:rsidP="00DD3106">
            <w:pPr>
              <w:pStyle w:val="TableText"/>
              <w:spacing w:before="30" w:after="30"/>
            </w:pPr>
            <w:r w:rsidRPr="0018386D">
              <w:t>0.00424</w:t>
            </w:r>
          </w:p>
        </w:tc>
      </w:tr>
      <w:tr w:rsidR="00B7563C" w:rsidRPr="0018386D" w14:paraId="729B6BFC" w14:textId="77777777" w:rsidTr="00B7563C">
        <w:trPr>
          <w:divId w:val="1780029690"/>
          <w:trHeight w:val="240"/>
        </w:trPr>
        <w:tc>
          <w:tcPr>
            <w:tcW w:w="2892" w:type="dxa"/>
            <w:shd w:val="clear" w:color="000000" w:fill="FFFFFF"/>
            <w:noWrap/>
            <w:hideMark/>
          </w:tcPr>
          <w:p w14:paraId="61989AAD" w14:textId="77777777" w:rsidR="00A94C3E" w:rsidRPr="0018386D" w:rsidRDefault="00A94C3E" w:rsidP="00DD3106">
            <w:pPr>
              <w:pStyle w:val="TableText"/>
              <w:spacing w:before="30" w:after="30"/>
            </w:pPr>
            <w:r w:rsidRPr="0018386D">
              <w:t>Diesel hybrid</w:t>
            </w:r>
          </w:p>
        </w:tc>
        <w:tc>
          <w:tcPr>
            <w:tcW w:w="510" w:type="dxa"/>
            <w:shd w:val="clear" w:color="000000" w:fill="FFFFFF"/>
            <w:noWrap/>
            <w:hideMark/>
          </w:tcPr>
          <w:p w14:paraId="3672D649"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6E937686" w14:textId="4F8A8E71" w:rsidR="00A94C3E" w:rsidRPr="0018386D" w:rsidRDefault="00A94C3E" w:rsidP="00DD3106">
            <w:pPr>
              <w:pStyle w:val="TableText"/>
              <w:spacing w:before="30" w:after="30"/>
            </w:pPr>
            <w:r w:rsidRPr="0018386D">
              <w:t>0.160</w:t>
            </w:r>
          </w:p>
        </w:tc>
        <w:tc>
          <w:tcPr>
            <w:tcW w:w="1304" w:type="dxa"/>
            <w:shd w:val="clear" w:color="000000" w:fill="FFFFFF"/>
            <w:noWrap/>
            <w:hideMark/>
          </w:tcPr>
          <w:p w14:paraId="2A36E1E0" w14:textId="11877479" w:rsidR="00A94C3E" w:rsidRPr="0018386D" w:rsidRDefault="00A94C3E" w:rsidP="00DD3106">
            <w:pPr>
              <w:pStyle w:val="TableText"/>
              <w:spacing w:before="30" w:after="30"/>
            </w:pPr>
            <w:r w:rsidRPr="0018386D">
              <w:t>0.158</w:t>
            </w:r>
          </w:p>
        </w:tc>
        <w:tc>
          <w:tcPr>
            <w:tcW w:w="1361" w:type="dxa"/>
            <w:shd w:val="clear" w:color="000000" w:fill="FFFFFF"/>
            <w:noWrap/>
            <w:hideMark/>
          </w:tcPr>
          <w:p w14:paraId="16841722" w14:textId="77777777" w:rsidR="00A94C3E" w:rsidRPr="0018386D" w:rsidRDefault="00A94C3E" w:rsidP="00DD3106">
            <w:pPr>
              <w:pStyle w:val="TableText"/>
              <w:spacing w:before="30" w:after="30"/>
            </w:pPr>
            <w:r w:rsidRPr="0018386D">
              <w:t>0.0002</w:t>
            </w:r>
          </w:p>
        </w:tc>
        <w:tc>
          <w:tcPr>
            <w:tcW w:w="1361" w:type="dxa"/>
            <w:shd w:val="clear" w:color="000000" w:fill="FFFFFF"/>
            <w:noWrap/>
            <w:hideMark/>
          </w:tcPr>
          <w:p w14:paraId="64783523" w14:textId="148BFD42" w:rsidR="00A94C3E" w:rsidRPr="0018386D" w:rsidRDefault="00A94C3E" w:rsidP="00DD3106">
            <w:pPr>
              <w:pStyle w:val="TableText"/>
              <w:spacing w:before="30" w:after="30"/>
            </w:pPr>
            <w:r w:rsidRPr="0018386D">
              <w:t>0.00223</w:t>
            </w:r>
          </w:p>
        </w:tc>
      </w:tr>
      <w:tr w:rsidR="00B7563C" w:rsidRPr="0018386D" w14:paraId="12D1FEB8" w14:textId="77777777" w:rsidTr="00B7563C">
        <w:trPr>
          <w:divId w:val="1780029690"/>
          <w:trHeight w:val="240"/>
        </w:trPr>
        <w:tc>
          <w:tcPr>
            <w:tcW w:w="2892" w:type="dxa"/>
            <w:shd w:val="clear" w:color="000000" w:fill="FFFFFF"/>
            <w:noWrap/>
            <w:hideMark/>
          </w:tcPr>
          <w:p w14:paraId="6C901D71" w14:textId="5D645132" w:rsidR="00A94C3E" w:rsidRPr="0018386D" w:rsidRDefault="00A94C3E" w:rsidP="00DD3106">
            <w:pPr>
              <w:pStyle w:val="TableText"/>
              <w:spacing w:before="30" w:after="30"/>
            </w:pPr>
            <w:r w:rsidRPr="0018386D">
              <w:t>PHEV (Petrol) – Petrol consumption</w:t>
            </w:r>
          </w:p>
        </w:tc>
        <w:tc>
          <w:tcPr>
            <w:tcW w:w="510" w:type="dxa"/>
            <w:shd w:val="clear" w:color="000000" w:fill="FFFFFF"/>
            <w:noWrap/>
            <w:hideMark/>
          </w:tcPr>
          <w:p w14:paraId="6FC669DD"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29D84031" w14:textId="6C8BDBDB" w:rsidR="00A94C3E" w:rsidRPr="0018386D" w:rsidRDefault="00A94C3E" w:rsidP="00DD3106">
            <w:pPr>
              <w:pStyle w:val="TableText"/>
              <w:spacing w:before="30" w:after="30"/>
            </w:pPr>
            <w:r w:rsidRPr="0018386D">
              <w:t>0.0767</w:t>
            </w:r>
          </w:p>
        </w:tc>
        <w:tc>
          <w:tcPr>
            <w:tcW w:w="1304" w:type="dxa"/>
            <w:shd w:val="clear" w:color="000000" w:fill="FFFFFF"/>
            <w:noWrap/>
            <w:hideMark/>
          </w:tcPr>
          <w:p w14:paraId="682369D8" w14:textId="4C7E4197" w:rsidR="00A94C3E" w:rsidRPr="0018386D" w:rsidRDefault="00A94C3E" w:rsidP="00DD3106">
            <w:pPr>
              <w:pStyle w:val="TableText"/>
              <w:spacing w:before="30" w:after="30"/>
            </w:pPr>
            <w:r w:rsidRPr="0018386D">
              <w:t>0.0735</w:t>
            </w:r>
          </w:p>
        </w:tc>
        <w:tc>
          <w:tcPr>
            <w:tcW w:w="1361" w:type="dxa"/>
            <w:shd w:val="clear" w:color="000000" w:fill="FFFFFF"/>
            <w:noWrap/>
            <w:hideMark/>
          </w:tcPr>
          <w:p w14:paraId="31A07FB3" w14:textId="22A72063" w:rsidR="00A94C3E" w:rsidRPr="0018386D" w:rsidRDefault="00A94C3E" w:rsidP="00DD3106">
            <w:pPr>
              <w:pStyle w:val="TableText"/>
              <w:spacing w:before="30" w:after="30"/>
            </w:pPr>
            <w:r w:rsidRPr="0018386D">
              <w:t>0.0010</w:t>
            </w:r>
          </w:p>
        </w:tc>
        <w:tc>
          <w:tcPr>
            <w:tcW w:w="1361" w:type="dxa"/>
            <w:shd w:val="clear" w:color="000000" w:fill="FFFFFF"/>
            <w:noWrap/>
            <w:hideMark/>
          </w:tcPr>
          <w:p w14:paraId="754FD602" w14:textId="00924A57" w:rsidR="00A94C3E" w:rsidRPr="0018386D" w:rsidRDefault="00A94C3E" w:rsidP="00DD3106">
            <w:pPr>
              <w:pStyle w:val="TableText"/>
              <w:spacing w:before="30" w:after="30"/>
            </w:pPr>
            <w:r w:rsidRPr="0018386D">
              <w:t>0.00222</w:t>
            </w:r>
          </w:p>
        </w:tc>
      </w:tr>
      <w:tr w:rsidR="00B7563C" w:rsidRPr="0018386D" w14:paraId="49DCC319" w14:textId="77777777" w:rsidTr="00B7563C">
        <w:trPr>
          <w:divId w:val="1780029690"/>
          <w:trHeight w:val="240"/>
        </w:trPr>
        <w:tc>
          <w:tcPr>
            <w:tcW w:w="2892" w:type="dxa"/>
            <w:shd w:val="clear" w:color="000000" w:fill="FFFFFF"/>
            <w:noWrap/>
            <w:hideMark/>
          </w:tcPr>
          <w:p w14:paraId="3AC6EF1C" w14:textId="28098F3B" w:rsidR="00A94C3E" w:rsidRPr="0018386D" w:rsidRDefault="00A94C3E" w:rsidP="00DD3106">
            <w:pPr>
              <w:pStyle w:val="TableText"/>
              <w:spacing w:before="30" w:after="30"/>
            </w:pPr>
            <w:r w:rsidRPr="0018386D">
              <w:t>PHEV (Petrol) – Electricity consumption</w:t>
            </w:r>
          </w:p>
        </w:tc>
        <w:tc>
          <w:tcPr>
            <w:tcW w:w="510" w:type="dxa"/>
            <w:shd w:val="clear" w:color="000000" w:fill="FFFFFF"/>
            <w:noWrap/>
            <w:hideMark/>
          </w:tcPr>
          <w:p w14:paraId="7CCFE620"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4EBC5B7A" w14:textId="11C88974" w:rsidR="00A94C3E" w:rsidRPr="0018386D" w:rsidRDefault="00A94C3E" w:rsidP="00DD3106">
            <w:pPr>
              <w:pStyle w:val="TableText"/>
              <w:spacing w:before="30" w:after="30"/>
            </w:pPr>
            <w:r w:rsidRPr="0018386D">
              <w:t>0.00810</w:t>
            </w:r>
          </w:p>
        </w:tc>
        <w:tc>
          <w:tcPr>
            <w:tcW w:w="1304" w:type="dxa"/>
            <w:shd w:val="clear" w:color="000000" w:fill="FFFFFF"/>
            <w:noWrap/>
            <w:hideMark/>
          </w:tcPr>
          <w:p w14:paraId="2B0E28EB" w14:textId="554DD166" w:rsidR="00A94C3E" w:rsidRPr="0018386D" w:rsidRDefault="00A94C3E" w:rsidP="00DD3106">
            <w:pPr>
              <w:pStyle w:val="TableText"/>
              <w:spacing w:before="30" w:after="30"/>
            </w:pPr>
            <w:r w:rsidRPr="0018386D">
              <w:t>0.00787</w:t>
            </w:r>
          </w:p>
        </w:tc>
        <w:tc>
          <w:tcPr>
            <w:tcW w:w="1361" w:type="dxa"/>
            <w:shd w:val="clear" w:color="000000" w:fill="FFFFFF"/>
            <w:noWrap/>
            <w:hideMark/>
          </w:tcPr>
          <w:p w14:paraId="594491CA" w14:textId="256720FB" w:rsidR="00A94C3E" w:rsidRPr="0018386D" w:rsidRDefault="00A94C3E" w:rsidP="00DD3106">
            <w:pPr>
              <w:pStyle w:val="TableText"/>
              <w:spacing w:before="30" w:after="30"/>
            </w:pPr>
            <w:r w:rsidRPr="0018386D">
              <w:t>0.0002</w:t>
            </w:r>
          </w:p>
        </w:tc>
        <w:tc>
          <w:tcPr>
            <w:tcW w:w="1361" w:type="dxa"/>
            <w:shd w:val="clear" w:color="000000" w:fill="FFFFFF"/>
            <w:noWrap/>
            <w:hideMark/>
          </w:tcPr>
          <w:p w14:paraId="3699EB18" w14:textId="0068F862" w:rsidR="00A94C3E" w:rsidRPr="0018386D" w:rsidRDefault="00A94C3E" w:rsidP="00DD3106">
            <w:pPr>
              <w:pStyle w:val="TableText"/>
              <w:spacing w:before="30" w:after="30"/>
            </w:pPr>
            <w:r w:rsidRPr="0018386D">
              <w:t>0.00002</w:t>
            </w:r>
          </w:p>
        </w:tc>
      </w:tr>
      <w:tr w:rsidR="00B7563C" w:rsidRPr="0018386D" w14:paraId="0119BE01" w14:textId="77777777" w:rsidTr="00B7563C">
        <w:trPr>
          <w:divId w:val="1780029690"/>
          <w:trHeight w:val="240"/>
        </w:trPr>
        <w:tc>
          <w:tcPr>
            <w:tcW w:w="2892" w:type="dxa"/>
            <w:shd w:val="clear" w:color="000000" w:fill="FFFFFF"/>
            <w:noWrap/>
            <w:hideMark/>
          </w:tcPr>
          <w:p w14:paraId="68547C8D" w14:textId="21743AAF" w:rsidR="00A94C3E" w:rsidRPr="0018386D" w:rsidRDefault="00A94C3E" w:rsidP="00DD3106">
            <w:pPr>
              <w:pStyle w:val="TableText"/>
              <w:spacing w:before="30" w:after="30"/>
            </w:pPr>
            <w:r w:rsidRPr="0018386D">
              <w:t>PHEV (Diesel) – Diesel consumption</w:t>
            </w:r>
          </w:p>
        </w:tc>
        <w:tc>
          <w:tcPr>
            <w:tcW w:w="510" w:type="dxa"/>
            <w:shd w:val="clear" w:color="000000" w:fill="FFFFFF"/>
            <w:noWrap/>
            <w:hideMark/>
          </w:tcPr>
          <w:p w14:paraId="0C3B1E25"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53001AA7" w14:textId="02FC1622" w:rsidR="00A94C3E" w:rsidRPr="0018386D" w:rsidRDefault="00A94C3E" w:rsidP="00DD3106">
            <w:pPr>
              <w:pStyle w:val="TableText"/>
              <w:spacing w:before="30" w:after="30"/>
            </w:pPr>
            <w:r w:rsidRPr="0018386D">
              <w:t>0.0839</w:t>
            </w:r>
          </w:p>
        </w:tc>
        <w:tc>
          <w:tcPr>
            <w:tcW w:w="1304" w:type="dxa"/>
            <w:shd w:val="clear" w:color="000000" w:fill="FFFFFF"/>
            <w:noWrap/>
            <w:hideMark/>
          </w:tcPr>
          <w:p w14:paraId="460B4EC3" w14:textId="1BE9BF91" w:rsidR="00A94C3E" w:rsidRPr="0018386D" w:rsidRDefault="00A94C3E" w:rsidP="00DD3106">
            <w:pPr>
              <w:pStyle w:val="TableText"/>
              <w:spacing w:before="30" w:after="30"/>
            </w:pPr>
            <w:r w:rsidRPr="0018386D">
              <w:t>0.0826</w:t>
            </w:r>
          </w:p>
        </w:tc>
        <w:tc>
          <w:tcPr>
            <w:tcW w:w="1361" w:type="dxa"/>
            <w:shd w:val="clear" w:color="000000" w:fill="FFFFFF"/>
            <w:noWrap/>
            <w:hideMark/>
          </w:tcPr>
          <w:p w14:paraId="3AD95D5E" w14:textId="7166CD68" w:rsidR="00A94C3E" w:rsidRPr="0018386D" w:rsidRDefault="00A94C3E" w:rsidP="00DD3106">
            <w:pPr>
              <w:pStyle w:val="TableText"/>
              <w:spacing w:before="30" w:after="30"/>
            </w:pPr>
            <w:r w:rsidRPr="0018386D">
              <w:t>0.0001</w:t>
            </w:r>
          </w:p>
        </w:tc>
        <w:tc>
          <w:tcPr>
            <w:tcW w:w="1361" w:type="dxa"/>
            <w:shd w:val="clear" w:color="000000" w:fill="FFFFFF"/>
            <w:noWrap/>
            <w:hideMark/>
          </w:tcPr>
          <w:p w14:paraId="3FDFA069" w14:textId="0FE2F450" w:rsidR="00A94C3E" w:rsidRPr="0018386D" w:rsidRDefault="00A94C3E" w:rsidP="00DD3106">
            <w:pPr>
              <w:pStyle w:val="TableText"/>
              <w:spacing w:before="30" w:after="30"/>
            </w:pPr>
            <w:r w:rsidRPr="0018386D">
              <w:t>0.00117</w:t>
            </w:r>
          </w:p>
        </w:tc>
      </w:tr>
      <w:tr w:rsidR="00B7563C" w:rsidRPr="0018386D" w14:paraId="08B63DFA" w14:textId="77777777" w:rsidTr="00B7563C">
        <w:trPr>
          <w:divId w:val="1780029690"/>
          <w:trHeight w:val="240"/>
        </w:trPr>
        <w:tc>
          <w:tcPr>
            <w:tcW w:w="2892" w:type="dxa"/>
            <w:shd w:val="clear" w:color="000000" w:fill="FFFFFF"/>
            <w:noWrap/>
            <w:hideMark/>
          </w:tcPr>
          <w:p w14:paraId="40F7010B" w14:textId="2B871677" w:rsidR="00A94C3E" w:rsidRPr="0018386D" w:rsidRDefault="00A94C3E" w:rsidP="00DD3106">
            <w:pPr>
              <w:pStyle w:val="TableText"/>
              <w:spacing w:before="30" w:after="30"/>
            </w:pPr>
            <w:r w:rsidRPr="0018386D">
              <w:t>PHEV (Diesel) – Electricity consumption</w:t>
            </w:r>
          </w:p>
        </w:tc>
        <w:tc>
          <w:tcPr>
            <w:tcW w:w="510" w:type="dxa"/>
            <w:shd w:val="clear" w:color="000000" w:fill="FFFFFF"/>
            <w:noWrap/>
            <w:hideMark/>
          </w:tcPr>
          <w:p w14:paraId="5EEFD424"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31AA5E6B" w14:textId="78759204" w:rsidR="00A94C3E" w:rsidRPr="0018386D" w:rsidRDefault="00A94C3E" w:rsidP="00DD3106">
            <w:pPr>
              <w:pStyle w:val="TableText"/>
              <w:spacing w:before="30" w:after="30"/>
            </w:pPr>
            <w:r w:rsidRPr="0018386D">
              <w:t>0.00798</w:t>
            </w:r>
          </w:p>
        </w:tc>
        <w:tc>
          <w:tcPr>
            <w:tcW w:w="1304" w:type="dxa"/>
            <w:shd w:val="clear" w:color="000000" w:fill="FFFFFF"/>
            <w:noWrap/>
            <w:hideMark/>
          </w:tcPr>
          <w:p w14:paraId="6FF4F394" w14:textId="516FABE6" w:rsidR="00A94C3E" w:rsidRPr="0018386D" w:rsidRDefault="00A94C3E" w:rsidP="00DD3106">
            <w:pPr>
              <w:pStyle w:val="TableText"/>
              <w:spacing w:before="30" w:after="30"/>
            </w:pPr>
            <w:r w:rsidRPr="0018386D">
              <w:t>0.00775</w:t>
            </w:r>
          </w:p>
        </w:tc>
        <w:tc>
          <w:tcPr>
            <w:tcW w:w="1361" w:type="dxa"/>
            <w:shd w:val="clear" w:color="000000" w:fill="FFFFFF"/>
            <w:noWrap/>
            <w:hideMark/>
          </w:tcPr>
          <w:p w14:paraId="23316443" w14:textId="4422678D" w:rsidR="00A94C3E" w:rsidRPr="0018386D" w:rsidRDefault="00A94C3E" w:rsidP="00DD3106">
            <w:pPr>
              <w:pStyle w:val="TableText"/>
              <w:spacing w:before="30" w:after="30"/>
            </w:pPr>
            <w:r w:rsidRPr="0018386D">
              <w:t>0.0002</w:t>
            </w:r>
          </w:p>
        </w:tc>
        <w:tc>
          <w:tcPr>
            <w:tcW w:w="1361" w:type="dxa"/>
            <w:shd w:val="clear" w:color="000000" w:fill="FFFFFF"/>
            <w:noWrap/>
            <w:hideMark/>
          </w:tcPr>
          <w:p w14:paraId="38E01C9B" w14:textId="76EB739F" w:rsidR="00A94C3E" w:rsidRPr="0018386D" w:rsidRDefault="00A94C3E" w:rsidP="00DD3106">
            <w:pPr>
              <w:pStyle w:val="TableText"/>
              <w:spacing w:before="30" w:after="30"/>
            </w:pPr>
            <w:r w:rsidRPr="0018386D">
              <w:t>0.00002</w:t>
            </w:r>
          </w:p>
        </w:tc>
      </w:tr>
      <w:tr w:rsidR="00B7563C" w:rsidRPr="0018386D" w14:paraId="773670AC" w14:textId="77777777" w:rsidTr="00B7563C">
        <w:trPr>
          <w:divId w:val="1780029690"/>
          <w:trHeight w:val="240"/>
        </w:trPr>
        <w:tc>
          <w:tcPr>
            <w:tcW w:w="2892" w:type="dxa"/>
            <w:shd w:val="clear" w:color="000000" w:fill="FFFFFF"/>
            <w:noWrap/>
            <w:hideMark/>
          </w:tcPr>
          <w:p w14:paraId="46704EA4" w14:textId="77777777" w:rsidR="00A94C3E" w:rsidRPr="0018386D" w:rsidRDefault="00A94C3E" w:rsidP="00DD3106">
            <w:pPr>
              <w:pStyle w:val="TableText"/>
              <w:spacing w:before="30" w:after="30"/>
            </w:pPr>
            <w:r w:rsidRPr="0018386D">
              <w:t>Electric</w:t>
            </w:r>
          </w:p>
        </w:tc>
        <w:tc>
          <w:tcPr>
            <w:tcW w:w="510" w:type="dxa"/>
            <w:shd w:val="clear" w:color="000000" w:fill="FFFFFF"/>
            <w:noWrap/>
            <w:hideMark/>
          </w:tcPr>
          <w:p w14:paraId="5D85D1F4" w14:textId="77777777" w:rsidR="00A94C3E" w:rsidRPr="0018386D" w:rsidRDefault="00A94C3E" w:rsidP="00DD3106">
            <w:pPr>
              <w:pStyle w:val="TableText"/>
              <w:spacing w:before="30" w:after="30"/>
            </w:pPr>
            <w:r w:rsidRPr="0018386D">
              <w:t>km</w:t>
            </w:r>
          </w:p>
        </w:tc>
        <w:tc>
          <w:tcPr>
            <w:tcW w:w="1191" w:type="dxa"/>
            <w:shd w:val="clear" w:color="000000" w:fill="D2DDE1"/>
            <w:noWrap/>
            <w:hideMark/>
          </w:tcPr>
          <w:p w14:paraId="71D45873" w14:textId="7E8D65E6" w:rsidR="00A94C3E" w:rsidRPr="0018386D" w:rsidRDefault="00A94C3E" w:rsidP="00DD3106">
            <w:pPr>
              <w:pStyle w:val="TableText"/>
              <w:spacing w:before="30" w:after="30"/>
            </w:pPr>
            <w:r w:rsidRPr="0018386D">
              <w:t>0.0170</w:t>
            </w:r>
          </w:p>
        </w:tc>
        <w:tc>
          <w:tcPr>
            <w:tcW w:w="1304" w:type="dxa"/>
            <w:shd w:val="clear" w:color="000000" w:fill="FFFFFF"/>
            <w:noWrap/>
            <w:hideMark/>
          </w:tcPr>
          <w:p w14:paraId="7A5239AC" w14:textId="118B2CA8" w:rsidR="00A94C3E" w:rsidRPr="0018386D" w:rsidRDefault="00A94C3E" w:rsidP="00DD3106">
            <w:pPr>
              <w:pStyle w:val="TableText"/>
              <w:spacing w:before="30" w:after="30"/>
            </w:pPr>
            <w:r w:rsidRPr="0018386D">
              <w:t>0.0165</w:t>
            </w:r>
          </w:p>
        </w:tc>
        <w:tc>
          <w:tcPr>
            <w:tcW w:w="1361" w:type="dxa"/>
            <w:shd w:val="clear" w:color="000000" w:fill="FFFFFF"/>
            <w:noWrap/>
            <w:hideMark/>
          </w:tcPr>
          <w:p w14:paraId="3F7B6C1A" w14:textId="233CE580" w:rsidR="00A94C3E" w:rsidRPr="0018386D" w:rsidRDefault="00A94C3E" w:rsidP="00DD3106">
            <w:pPr>
              <w:pStyle w:val="TableText"/>
              <w:spacing w:before="30" w:after="30"/>
            </w:pPr>
            <w:r w:rsidRPr="0018386D">
              <w:t>0.0004</w:t>
            </w:r>
          </w:p>
        </w:tc>
        <w:tc>
          <w:tcPr>
            <w:tcW w:w="1361" w:type="dxa"/>
            <w:shd w:val="clear" w:color="000000" w:fill="FFFFFF"/>
            <w:noWrap/>
            <w:hideMark/>
          </w:tcPr>
          <w:p w14:paraId="7CEEFB95" w14:textId="723D2960" w:rsidR="00A94C3E" w:rsidRPr="0018386D" w:rsidRDefault="00A94C3E" w:rsidP="00DD3106">
            <w:pPr>
              <w:pStyle w:val="TableText"/>
              <w:spacing w:before="30" w:after="30"/>
            </w:pPr>
            <w:r w:rsidRPr="0018386D">
              <w:t>0.00004</w:t>
            </w:r>
          </w:p>
        </w:tc>
      </w:tr>
    </w:tbl>
    <w:p w14:paraId="3757D667" w14:textId="10814528" w:rsidR="008B3986" w:rsidRPr="0018386D" w:rsidRDefault="007C42DD" w:rsidP="00DD3106">
      <w:pPr>
        <w:pStyle w:val="Note"/>
        <w:spacing w:after="60"/>
      </w:pPr>
      <w:bookmarkStart w:id="414" w:name="_Ref529835413"/>
      <w:r w:rsidRPr="0018386D">
        <w:rPr>
          <w:b/>
          <w:bCs/>
        </w:rPr>
        <w:t>Note</w:t>
      </w:r>
      <w:r w:rsidR="00553680" w:rsidRPr="0018386D">
        <w:rPr>
          <w:b/>
          <w:bCs/>
        </w:rPr>
        <w:t>:</w:t>
      </w:r>
      <w:r w:rsidRPr="0018386D">
        <w:t xml:space="preserve"> </w:t>
      </w:r>
      <w:r w:rsidR="00553680" w:rsidRPr="0018386D">
        <w:t xml:space="preserve">These </w:t>
      </w:r>
      <w:r w:rsidRPr="0018386D">
        <w:t xml:space="preserve">numbers are rounded to three decimal places unless the number </w:t>
      </w:r>
      <w:r w:rsidR="00BA31FD" w:rsidRPr="0018386D">
        <w:t>is significantly small</w:t>
      </w:r>
      <w:r w:rsidR="008B3986" w:rsidRPr="0018386D">
        <w:t xml:space="preserve">. </w:t>
      </w:r>
    </w:p>
    <w:p w14:paraId="7AAFDF8D" w14:textId="3F336A88" w:rsidR="002C1551" w:rsidRPr="0018386D" w:rsidRDefault="002C1551" w:rsidP="00DD3106">
      <w:pPr>
        <w:pStyle w:val="Note"/>
        <w:spacing w:before="0"/>
      </w:pPr>
      <w:r w:rsidRPr="0018386D">
        <w:t xml:space="preserve">Defaults </w:t>
      </w:r>
      <w:r w:rsidR="00455253" w:rsidRPr="0018386D">
        <w:t>assume a</w:t>
      </w:r>
      <w:r w:rsidR="00DD5FFB" w:rsidRPr="0018386D">
        <w:t xml:space="preserve"> post-2015 fleet for rental cars</w:t>
      </w:r>
      <w:r w:rsidR="00455253" w:rsidRPr="0018386D">
        <w:t xml:space="preserve"> and engine size of 1600 </w:t>
      </w:r>
      <w:r w:rsidR="004606E9" w:rsidRPr="0018386D">
        <w:t>–</w:t>
      </w:r>
      <w:r w:rsidR="00D966A2" w:rsidRPr="0018386D">
        <w:t xml:space="preserve"> </w:t>
      </w:r>
      <w:r w:rsidR="00455253" w:rsidRPr="0018386D">
        <w:t>&lt;2000 cc.</w:t>
      </w:r>
    </w:p>
    <w:p w14:paraId="2FE78B75" w14:textId="405AD4D2" w:rsidR="008403D3" w:rsidRPr="0018386D" w:rsidRDefault="008403D3" w:rsidP="00DD3106">
      <w:pPr>
        <w:pStyle w:val="BodyText"/>
      </w:pPr>
      <w:r w:rsidRPr="0018386D">
        <w:lastRenderedPageBreak/>
        <w:t>We were unable to source more up-to-date data on the New Zealand taxi fleet to produce a representative vehicle type for the taxi (regular) factor. Therefore, this factor is derived from an average of the factors for a petrol, diesel, petrol plug-in hybrid and electric vehicle, for a 2000</w:t>
      </w:r>
      <w:r w:rsidR="00540A53" w:rsidRPr="0018386D">
        <w:t>–</w:t>
      </w:r>
      <w:r w:rsidRPr="0018386D">
        <w:t>3000 cc vehicle class</w:t>
      </w:r>
      <w:r w:rsidRPr="0018386D" w:rsidDel="007A52BB">
        <w:t>.</w:t>
      </w:r>
      <w:r w:rsidRPr="0018386D">
        <w:t xml:space="preserve"> These workings are in </w:t>
      </w:r>
      <w:hyperlink w:anchor="table24" w:history="1">
        <w:r w:rsidRPr="0018386D">
          <w:rPr>
            <w:rStyle w:val="Hyperlink"/>
          </w:rPr>
          <w:t>table 24.</w:t>
        </w:r>
      </w:hyperlink>
    </w:p>
    <w:p w14:paraId="22A0F155" w14:textId="443D3AE5" w:rsidR="008E2ED2" w:rsidRPr="0018386D" w:rsidRDefault="004837A7" w:rsidP="00DD3106">
      <w:pPr>
        <w:pStyle w:val="Tableheading"/>
      </w:pPr>
      <w:bookmarkStart w:id="415" w:name="_Ref55220458"/>
      <w:bookmarkStart w:id="416" w:name="table21"/>
      <w:bookmarkStart w:id="417" w:name="_Ref535322037"/>
      <w:bookmarkStart w:id="418" w:name="_Ref611544"/>
      <w:bookmarkStart w:id="419" w:name="_Toc111536627"/>
      <w:bookmarkStart w:id="420" w:name="_Toc140048962"/>
      <w:r w:rsidRPr="0018386D">
        <w:t xml:space="preserve">Table </w:t>
      </w:r>
      <w:bookmarkEnd w:id="415"/>
      <w:r w:rsidR="007635A9" w:rsidRPr="0018386D">
        <w:fldChar w:fldCharType="begin"/>
      </w:r>
      <w:r w:rsidR="007635A9" w:rsidRPr="0018386D">
        <w:instrText xml:space="preserve"> SEQ Table \* ARABIC </w:instrText>
      </w:r>
      <w:r w:rsidR="007635A9" w:rsidRPr="0018386D">
        <w:fldChar w:fldCharType="separate"/>
      </w:r>
      <w:r w:rsidR="003E141C" w:rsidRPr="0018386D">
        <w:t>22</w:t>
      </w:r>
      <w:r w:rsidR="007635A9" w:rsidRPr="0018386D">
        <w:fldChar w:fldCharType="end"/>
      </w:r>
      <w:bookmarkEnd w:id="416"/>
      <w:r w:rsidR="00CB244F" w:rsidRPr="0018386D">
        <w:t xml:space="preserve">: </w:t>
      </w:r>
      <w:r w:rsidRPr="0018386D" w:rsidDel="004837A7">
        <w:tab/>
      </w:r>
      <w:r w:rsidRPr="0018386D">
        <w:t>Emission factors for taxi travel</w:t>
      </w:r>
      <w:bookmarkStart w:id="421" w:name="_1747051260"/>
      <w:bookmarkStart w:id="422" w:name="table22two"/>
      <w:bookmarkEnd w:id="414"/>
      <w:bookmarkEnd w:id="417"/>
      <w:bookmarkEnd w:id="418"/>
      <w:bookmarkEnd w:id="419"/>
      <w:bookmarkEnd w:id="420"/>
      <w:bookmarkEnd w:id="421"/>
      <w:bookmarkEnd w:id="422"/>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2330"/>
        <w:gridCol w:w="582"/>
        <w:gridCol w:w="1340"/>
        <w:gridCol w:w="1398"/>
        <w:gridCol w:w="1398"/>
        <w:gridCol w:w="1457"/>
      </w:tblGrid>
      <w:tr w:rsidR="00233925" w:rsidRPr="0018386D" w14:paraId="5A351D30" w14:textId="77777777" w:rsidTr="00DA7DED">
        <w:trPr>
          <w:divId w:val="1357536926"/>
          <w:trHeight w:val="240"/>
        </w:trPr>
        <w:tc>
          <w:tcPr>
            <w:tcW w:w="2268" w:type="dxa"/>
            <w:tcBorders>
              <w:bottom w:val="single" w:sz="4" w:space="0" w:color="1B556B" w:themeColor="text2"/>
            </w:tcBorders>
            <w:shd w:val="clear" w:color="auto" w:fill="1C556C" w:themeFill="accent1"/>
            <w:noWrap/>
            <w:vAlign w:val="bottom"/>
            <w:hideMark/>
          </w:tcPr>
          <w:p w14:paraId="7BA5A378" w14:textId="53DEBA61"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Emission source category</w:t>
            </w:r>
          </w:p>
        </w:tc>
        <w:tc>
          <w:tcPr>
            <w:tcW w:w="567" w:type="dxa"/>
            <w:tcBorders>
              <w:bottom w:val="single" w:sz="4" w:space="0" w:color="1B556B" w:themeColor="text2"/>
            </w:tcBorders>
            <w:shd w:val="clear" w:color="auto" w:fill="1C556C" w:themeFill="accent1"/>
            <w:noWrap/>
            <w:vAlign w:val="bottom"/>
            <w:hideMark/>
          </w:tcPr>
          <w:p w14:paraId="1C7D393E" w14:textId="77777777"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Unit</w:t>
            </w:r>
          </w:p>
        </w:tc>
        <w:tc>
          <w:tcPr>
            <w:tcW w:w="1304" w:type="dxa"/>
            <w:tcBorders>
              <w:bottom w:val="single" w:sz="4" w:space="0" w:color="1B556B" w:themeColor="text2"/>
            </w:tcBorders>
            <w:shd w:val="clear" w:color="auto" w:fill="1C556C" w:themeFill="accent1"/>
            <w:noWrap/>
            <w:vAlign w:val="bottom"/>
            <w:hideMark/>
          </w:tcPr>
          <w:p w14:paraId="0B09C2BD" w14:textId="68DD5DD0"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kg CO₂-e/unit</w:t>
            </w:r>
          </w:p>
        </w:tc>
        <w:tc>
          <w:tcPr>
            <w:tcW w:w="1361" w:type="dxa"/>
            <w:tcBorders>
              <w:bottom w:val="single" w:sz="4" w:space="0" w:color="1B556B" w:themeColor="text2"/>
            </w:tcBorders>
            <w:shd w:val="clear" w:color="auto" w:fill="1C556C" w:themeFill="accent1"/>
            <w:noWrap/>
            <w:vAlign w:val="bottom"/>
            <w:hideMark/>
          </w:tcPr>
          <w:p w14:paraId="10807D84" w14:textId="2901EC1A"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CO₂ (kg CO₂</w:t>
            </w:r>
            <w:r w:rsidRPr="0018386D">
              <w:rPr>
                <w:color w:val="FFFFFF" w:themeColor="background1"/>
                <w:szCs w:val="18"/>
              </w:rPr>
              <w:noBreakHyphen/>
              <w:t>e/</w:t>
            </w:r>
            <w:r w:rsidR="00233925" w:rsidRPr="0018386D">
              <w:rPr>
                <w:color w:val="FFFFFF" w:themeColor="background1"/>
                <w:szCs w:val="18"/>
              </w:rPr>
              <w:t xml:space="preserve"> </w:t>
            </w:r>
            <w:r w:rsidRPr="0018386D">
              <w:rPr>
                <w:color w:val="FFFFFF" w:themeColor="background1"/>
                <w:szCs w:val="18"/>
              </w:rPr>
              <w:t>unit)</w:t>
            </w:r>
          </w:p>
        </w:tc>
        <w:tc>
          <w:tcPr>
            <w:tcW w:w="1361" w:type="dxa"/>
            <w:tcBorders>
              <w:bottom w:val="single" w:sz="4" w:space="0" w:color="1B556B" w:themeColor="text2"/>
            </w:tcBorders>
            <w:shd w:val="clear" w:color="auto" w:fill="1C556C" w:themeFill="accent1"/>
            <w:noWrap/>
            <w:vAlign w:val="bottom"/>
            <w:hideMark/>
          </w:tcPr>
          <w:p w14:paraId="2C5BF4EA" w14:textId="49CB70CB"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CH₄ (kg CO₂-e/</w:t>
            </w:r>
            <w:r w:rsidR="00233925" w:rsidRPr="0018386D">
              <w:rPr>
                <w:color w:val="FFFFFF" w:themeColor="background1"/>
                <w:szCs w:val="18"/>
              </w:rPr>
              <w:t xml:space="preserve"> </w:t>
            </w:r>
            <w:r w:rsidRPr="0018386D">
              <w:rPr>
                <w:color w:val="FFFFFF" w:themeColor="background1"/>
                <w:szCs w:val="18"/>
              </w:rPr>
              <w:t>unit)</w:t>
            </w:r>
          </w:p>
        </w:tc>
        <w:tc>
          <w:tcPr>
            <w:tcW w:w="1418" w:type="dxa"/>
            <w:tcBorders>
              <w:bottom w:val="single" w:sz="4" w:space="0" w:color="1B556B" w:themeColor="text2"/>
            </w:tcBorders>
            <w:shd w:val="clear" w:color="auto" w:fill="1C556C" w:themeFill="accent1"/>
            <w:noWrap/>
            <w:vAlign w:val="bottom"/>
            <w:hideMark/>
          </w:tcPr>
          <w:p w14:paraId="5ECF852E" w14:textId="1CB3034D"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N₂O (kg CO₂-e/</w:t>
            </w:r>
            <w:r w:rsidR="00233925" w:rsidRPr="0018386D">
              <w:rPr>
                <w:color w:val="FFFFFF" w:themeColor="background1"/>
                <w:szCs w:val="18"/>
              </w:rPr>
              <w:t xml:space="preserve"> </w:t>
            </w:r>
            <w:r w:rsidRPr="0018386D">
              <w:rPr>
                <w:color w:val="FFFFFF" w:themeColor="background1"/>
                <w:szCs w:val="18"/>
              </w:rPr>
              <w:t>unit)</w:t>
            </w:r>
          </w:p>
        </w:tc>
      </w:tr>
      <w:tr w:rsidR="00FB1B1C" w:rsidRPr="0018386D" w14:paraId="58BBE6FA" w14:textId="77777777" w:rsidTr="00DA7DED">
        <w:trPr>
          <w:divId w:val="1357536926"/>
          <w:trHeight w:val="240"/>
        </w:trPr>
        <w:tc>
          <w:tcPr>
            <w:tcW w:w="2268" w:type="dxa"/>
            <w:tcBorders>
              <w:right w:val="nil"/>
            </w:tcBorders>
            <w:shd w:val="clear" w:color="auto" w:fill="D2DDE1" w:themeFill="background2"/>
            <w:noWrap/>
            <w:hideMark/>
          </w:tcPr>
          <w:p w14:paraId="42AD8E5B" w14:textId="4081218D" w:rsidR="008E2ED2" w:rsidRPr="0018386D" w:rsidRDefault="008E2ED2" w:rsidP="00DD3106">
            <w:pPr>
              <w:pStyle w:val="TableTextbold"/>
              <w:keepNext/>
              <w:spacing w:before="40" w:after="40"/>
              <w:rPr>
                <w:color w:val="000000"/>
                <w:szCs w:val="18"/>
              </w:rPr>
            </w:pPr>
            <w:r w:rsidRPr="0018386D">
              <w:rPr>
                <w:color w:val="000000"/>
                <w:szCs w:val="18"/>
              </w:rPr>
              <w:t xml:space="preserve">Taxi </w:t>
            </w:r>
            <w:r w:rsidR="0087683A" w:rsidRPr="0018386D">
              <w:rPr>
                <w:color w:val="000000"/>
                <w:szCs w:val="18"/>
              </w:rPr>
              <w:t>t</w:t>
            </w:r>
            <w:r w:rsidRPr="0018386D">
              <w:rPr>
                <w:color w:val="000000"/>
                <w:szCs w:val="18"/>
              </w:rPr>
              <w:t>ravel</w:t>
            </w:r>
          </w:p>
        </w:tc>
        <w:tc>
          <w:tcPr>
            <w:tcW w:w="567" w:type="dxa"/>
            <w:tcBorders>
              <w:left w:val="nil"/>
              <w:right w:val="nil"/>
            </w:tcBorders>
            <w:shd w:val="clear" w:color="auto" w:fill="D2DDE1" w:themeFill="background2"/>
            <w:noWrap/>
            <w:hideMark/>
          </w:tcPr>
          <w:p w14:paraId="173B23AF" w14:textId="77777777" w:rsidR="008E2ED2" w:rsidRPr="0018386D" w:rsidRDefault="008E2ED2" w:rsidP="00DD3106">
            <w:pPr>
              <w:pStyle w:val="TableTextbold"/>
              <w:keepNext/>
              <w:spacing w:before="40" w:after="40"/>
              <w:rPr>
                <w:b w:val="0"/>
                <w:bCs/>
                <w:color w:val="000000"/>
                <w:szCs w:val="18"/>
              </w:rPr>
            </w:pPr>
            <w:r w:rsidRPr="0018386D">
              <w:rPr>
                <w:b w:val="0"/>
                <w:bCs/>
                <w:color w:val="000000"/>
                <w:szCs w:val="18"/>
              </w:rPr>
              <w:t> </w:t>
            </w:r>
          </w:p>
        </w:tc>
        <w:tc>
          <w:tcPr>
            <w:tcW w:w="1304" w:type="dxa"/>
            <w:tcBorders>
              <w:left w:val="nil"/>
              <w:right w:val="nil"/>
            </w:tcBorders>
            <w:shd w:val="clear" w:color="auto" w:fill="D2DDE1" w:themeFill="background2"/>
            <w:noWrap/>
            <w:hideMark/>
          </w:tcPr>
          <w:p w14:paraId="52D4B642" w14:textId="77777777" w:rsidR="008E2ED2" w:rsidRPr="0018386D" w:rsidRDefault="008E2ED2" w:rsidP="00DD3106">
            <w:pPr>
              <w:pStyle w:val="TableTextbold"/>
              <w:keepNext/>
              <w:spacing w:before="40" w:after="40"/>
              <w:rPr>
                <w:b w:val="0"/>
                <w:bCs/>
                <w:color w:val="000000"/>
                <w:szCs w:val="18"/>
              </w:rPr>
            </w:pPr>
            <w:r w:rsidRPr="0018386D">
              <w:rPr>
                <w:b w:val="0"/>
                <w:bCs/>
                <w:color w:val="000000"/>
                <w:szCs w:val="18"/>
              </w:rPr>
              <w:t> </w:t>
            </w:r>
          </w:p>
        </w:tc>
        <w:tc>
          <w:tcPr>
            <w:tcW w:w="1361" w:type="dxa"/>
            <w:tcBorders>
              <w:left w:val="nil"/>
              <w:right w:val="nil"/>
            </w:tcBorders>
            <w:shd w:val="clear" w:color="auto" w:fill="D2DDE1" w:themeFill="background2"/>
            <w:noWrap/>
            <w:hideMark/>
          </w:tcPr>
          <w:p w14:paraId="4560D8F8" w14:textId="77777777" w:rsidR="008E2ED2" w:rsidRPr="0018386D" w:rsidRDefault="008E2ED2" w:rsidP="00DD3106">
            <w:pPr>
              <w:pStyle w:val="TableTextbold"/>
              <w:keepNext/>
              <w:spacing w:before="40" w:after="40"/>
              <w:rPr>
                <w:b w:val="0"/>
                <w:bCs/>
                <w:color w:val="000000"/>
                <w:szCs w:val="18"/>
              </w:rPr>
            </w:pPr>
            <w:r w:rsidRPr="0018386D">
              <w:rPr>
                <w:b w:val="0"/>
                <w:bCs/>
                <w:color w:val="000000"/>
                <w:szCs w:val="18"/>
              </w:rPr>
              <w:t> </w:t>
            </w:r>
          </w:p>
        </w:tc>
        <w:tc>
          <w:tcPr>
            <w:tcW w:w="1361" w:type="dxa"/>
            <w:tcBorders>
              <w:left w:val="nil"/>
              <w:right w:val="nil"/>
            </w:tcBorders>
            <w:shd w:val="clear" w:color="auto" w:fill="D2DDE1" w:themeFill="background2"/>
            <w:noWrap/>
            <w:hideMark/>
          </w:tcPr>
          <w:p w14:paraId="2F707783" w14:textId="77777777" w:rsidR="008E2ED2" w:rsidRPr="0018386D" w:rsidRDefault="008E2ED2" w:rsidP="00DD3106">
            <w:pPr>
              <w:pStyle w:val="TableTextbold"/>
              <w:keepNext/>
              <w:spacing w:before="40" w:after="40"/>
              <w:rPr>
                <w:b w:val="0"/>
                <w:bCs/>
                <w:color w:val="000000"/>
                <w:szCs w:val="18"/>
              </w:rPr>
            </w:pPr>
            <w:r w:rsidRPr="0018386D">
              <w:rPr>
                <w:b w:val="0"/>
                <w:bCs/>
                <w:color w:val="000000"/>
                <w:szCs w:val="18"/>
              </w:rPr>
              <w:t> </w:t>
            </w:r>
          </w:p>
        </w:tc>
        <w:tc>
          <w:tcPr>
            <w:tcW w:w="1418" w:type="dxa"/>
            <w:tcBorders>
              <w:left w:val="nil"/>
            </w:tcBorders>
            <w:shd w:val="clear" w:color="auto" w:fill="D2DDE1" w:themeFill="background2"/>
            <w:noWrap/>
            <w:hideMark/>
          </w:tcPr>
          <w:p w14:paraId="08A5B921" w14:textId="77777777" w:rsidR="008E2ED2" w:rsidRPr="0018386D" w:rsidRDefault="008E2ED2" w:rsidP="00DD3106">
            <w:pPr>
              <w:pStyle w:val="TableTextbold"/>
              <w:keepNext/>
              <w:spacing w:before="40" w:after="40"/>
              <w:rPr>
                <w:b w:val="0"/>
                <w:bCs/>
                <w:color w:val="000000"/>
                <w:szCs w:val="18"/>
              </w:rPr>
            </w:pPr>
            <w:r w:rsidRPr="0018386D">
              <w:rPr>
                <w:b w:val="0"/>
                <w:bCs/>
                <w:color w:val="000000"/>
                <w:szCs w:val="18"/>
              </w:rPr>
              <w:t> </w:t>
            </w:r>
          </w:p>
        </w:tc>
      </w:tr>
      <w:tr w:rsidR="00A94C3E" w:rsidRPr="0018386D" w14:paraId="64FC9C77" w14:textId="77777777" w:rsidTr="00233925">
        <w:trPr>
          <w:divId w:val="1357536926"/>
          <w:trHeight w:val="240"/>
        </w:trPr>
        <w:tc>
          <w:tcPr>
            <w:tcW w:w="2268" w:type="dxa"/>
            <w:shd w:val="clear" w:color="000000" w:fill="FFFFFF"/>
            <w:noWrap/>
            <w:hideMark/>
          </w:tcPr>
          <w:p w14:paraId="1357014F" w14:textId="77777777" w:rsidR="00A94C3E" w:rsidRPr="0018386D" w:rsidRDefault="00A94C3E" w:rsidP="00DD3106">
            <w:pPr>
              <w:pStyle w:val="TableText"/>
              <w:keepNext/>
              <w:spacing w:before="40" w:after="40"/>
              <w:rPr>
                <w:szCs w:val="18"/>
              </w:rPr>
            </w:pPr>
            <w:r w:rsidRPr="0018386D">
              <w:rPr>
                <w:szCs w:val="18"/>
              </w:rPr>
              <w:t>Regular</w:t>
            </w:r>
          </w:p>
        </w:tc>
        <w:tc>
          <w:tcPr>
            <w:tcW w:w="567" w:type="dxa"/>
            <w:shd w:val="clear" w:color="auto" w:fill="FFFFFF" w:themeFill="background1"/>
            <w:noWrap/>
            <w:hideMark/>
          </w:tcPr>
          <w:p w14:paraId="0BD9F0D8" w14:textId="77777777" w:rsidR="00A94C3E" w:rsidRPr="0018386D" w:rsidRDefault="00A94C3E" w:rsidP="00DD3106">
            <w:pPr>
              <w:pStyle w:val="TableText"/>
              <w:keepNext/>
              <w:spacing w:before="40" w:after="40"/>
              <w:rPr>
                <w:szCs w:val="18"/>
              </w:rPr>
            </w:pPr>
            <w:r w:rsidRPr="0018386D">
              <w:rPr>
                <w:color w:val="000000" w:themeColor="text1"/>
                <w:szCs w:val="18"/>
              </w:rPr>
              <w:t>km</w:t>
            </w:r>
          </w:p>
        </w:tc>
        <w:tc>
          <w:tcPr>
            <w:tcW w:w="1304" w:type="dxa"/>
            <w:shd w:val="clear" w:color="auto" w:fill="D2DDE1" w:themeFill="background2"/>
            <w:noWrap/>
            <w:hideMark/>
          </w:tcPr>
          <w:p w14:paraId="42F94A56" w14:textId="32D97A62" w:rsidR="00A94C3E" w:rsidRPr="0018386D" w:rsidRDefault="00A94C3E" w:rsidP="00DD3106">
            <w:pPr>
              <w:pStyle w:val="TableText"/>
              <w:keepNext/>
              <w:spacing w:before="40" w:after="40"/>
              <w:rPr>
                <w:szCs w:val="18"/>
              </w:rPr>
            </w:pPr>
            <w:r w:rsidRPr="0018386D">
              <w:rPr>
                <w:szCs w:val="18"/>
              </w:rPr>
              <w:t>0.164</w:t>
            </w:r>
          </w:p>
        </w:tc>
        <w:tc>
          <w:tcPr>
            <w:tcW w:w="1361" w:type="dxa"/>
            <w:shd w:val="clear" w:color="auto" w:fill="FFFFFF" w:themeFill="background1"/>
            <w:noWrap/>
            <w:hideMark/>
          </w:tcPr>
          <w:p w14:paraId="70A5A419" w14:textId="5C38C303" w:rsidR="00A94C3E" w:rsidRPr="0018386D" w:rsidRDefault="00A94C3E" w:rsidP="00DD3106">
            <w:pPr>
              <w:pStyle w:val="TableText"/>
              <w:keepNext/>
              <w:spacing w:before="40" w:after="40"/>
              <w:rPr>
                <w:szCs w:val="18"/>
              </w:rPr>
            </w:pPr>
            <w:r w:rsidRPr="0018386D">
              <w:rPr>
                <w:szCs w:val="18"/>
              </w:rPr>
              <w:t>0.159</w:t>
            </w:r>
          </w:p>
        </w:tc>
        <w:tc>
          <w:tcPr>
            <w:tcW w:w="1361" w:type="dxa"/>
            <w:shd w:val="clear" w:color="auto" w:fill="FFFFFF" w:themeFill="background1"/>
            <w:noWrap/>
            <w:hideMark/>
          </w:tcPr>
          <w:p w14:paraId="1D9551A3" w14:textId="089E39E3" w:rsidR="00A94C3E" w:rsidRPr="0018386D" w:rsidRDefault="00A94C3E" w:rsidP="00DD3106">
            <w:pPr>
              <w:pStyle w:val="TableText"/>
              <w:keepNext/>
              <w:spacing w:before="40" w:after="40"/>
              <w:rPr>
                <w:szCs w:val="18"/>
              </w:rPr>
            </w:pPr>
            <w:r w:rsidRPr="0018386D">
              <w:rPr>
                <w:szCs w:val="18"/>
              </w:rPr>
              <w:t>0.00148</w:t>
            </w:r>
          </w:p>
        </w:tc>
        <w:tc>
          <w:tcPr>
            <w:tcW w:w="1418" w:type="dxa"/>
            <w:shd w:val="clear" w:color="auto" w:fill="FFFFFF" w:themeFill="background1"/>
            <w:noWrap/>
            <w:hideMark/>
          </w:tcPr>
          <w:p w14:paraId="0469AC1E" w14:textId="391F6D3E" w:rsidR="00A94C3E" w:rsidRPr="0018386D" w:rsidRDefault="00A94C3E" w:rsidP="00DD3106">
            <w:pPr>
              <w:pStyle w:val="TableText"/>
              <w:keepNext/>
              <w:spacing w:before="40" w:after="40"/>
              <w:rPr>
                <w:szCs w:val="18"/>
              </w:rPr>
            </w:pPr>
            <w:r w:rsidRPr="0018386D">
              <w:rPr>
                <w:color w:val="000000" w:themeColor="text1"/>
                <w:szCs w:val="18"/>
              </w:rPr>
              <w:t>0.00373</w:t>
            </w:r>
          </w:p>
        </w:tc>
      </w:tr>
      <w:tr w:rsidR="00A94C3E" w:rsidRPr="0018386D" w14:paraId="5C724FD8" w14:textId="77777777" w:rsidTr="00233925">
        <w:trPr>
          <w:divId w:val="1357536926"/>
          <w:trHeight w:val="240"/>
        </w:trPr>
        <w:tc>
          <w:tcPr>
            <w:tcW w:w="2268" w:type="dxa"/>
            <w:shd w:val="clear" w:color="auto" w:fill="FFFFFF" w:themeFill="background1"/>
            <w:noWrap/>
            <w:hideMark/>
          </w:tcPr>
          <w:p w14:paraId="4D0398D7" w14:textId="20D40EBB" w:rsidR="00A94C3E" w:rsidRPr="0018386D" w:rsidRDefault="00A94C3E" w:rsidP="00DD3106">
            <w:pPr>
              <w:pStyle w:val="TableText"/>
              <w:spacing w:before="40" w:after="40"/>
              <w:rPr>
                <w:szCs w:val="18"/>
              </w:rPr>
            </w:pPr>
            <w:r w:rsidRPr="0018386D">
              <w:rPr>
                <w:szCs w:val="18"/>
              </w:rPr>
              <w:t>Regular – dollars spent</w:t>
            </w:r>
          </w:p>
        </w:tc>
        <w:tc>
          <w:tcPr>
            <w:tcW w:w="567" w:type="dxa"/>
            <w:shd w:val="clear" w:color="auto" w:fill="FFFFFF" w:themeFill="background1"/>
            <w:noWrap/>
            <w:hideMark/>
          </w:tcPr>
          <w:p w14:paraId="1E0B5EED" w14:textId="77777777" w:rsidR="00A94C3E" w:rsidRPr="0018386D" w:rsidRDefault="00A94C3E" w:rsidP="00DD3106">
            <w:pPr>
              <w:pStyle w:val="TableText"/>
              <w:spacing w:before="40" w:after="40"/>
              <w:rPr>
                <w:szCs w:val="18"/>
              </w:rPr>
            </w:pPr>
            <w:r w:rsidRPr="0018386D">
              <w:rPr>
                <w:szCs w:val="18"/>
              </w:rPr>
              <w:t>$</w:t>
            </w:r>
          </w:p>
        </w:tc>
        <w:tc>
          <w:tcPr>
            <w:tcW w:w="1304" w:type="dxa"/>
            <w:shd w:val="clear" w:color="auto" w:fill="D2DDE1" w:themeFill="background2"/>
            <w:noWrap/>
            <w:hideMark/>
          </w:tcPr>
          <w:p w14:paraId="35457660" w14:textId="0245CD04" w:rsidR="00A94C3E" w:rsidRPr="0018386D" w:rsidRDefault="00A94C3E" w:rsidP="00DD3106">
            <w:pPr>
              <w:pStyle w:val="TableText"/>
              <w:spacing w:before="40" w:after="40"/>
              <w:rPr>
                <w:szCs w:val="18"/>
              </w:rPr>
            </w:pPr>
            <w:r w:rsidRPr="0018386D">
              <w:rPr>
                <w:szCs w:val="18"/>
              </w:rPr>
              <w:t>0.0514</w:t>
            </w:r>
          </w:p>
        </w:tc>
        <w:tc>
          <w:tcPr>
            <w:tcW w:w="1361" w:type="dxa"/>
            <w:shd w:val="clear" w:color="auto" w:fill="FFFFFF" w:themeFill="background1"/>
            <w:noWrap/>
            <w:hideMark/>
          </w:tcPr>
          <w:p w14:paraId="44DB1744" w14:textId="4AD6C4F4" w:rsidR="00A94C3E" w:rsidRPr="0018386D" w:rsidRDefault="00A94C3E" w:rsidP="00DD3106">
            <w:pPr>
              <w:pStyle w:val="TableText"/>
              <w:spacing w:before="40" w:after="40"/>
              <w:rPr>
                <w:szCs w:val="18"/>
              </w:rPr>
            </w:pPr>
            <w:r w:rsidRPr="0018386D">
              <w:rPr>
                <w:szCs w:val="18"/>
              </w:rPr>
              <w:t>0.0497</w:t>
            </w:r>
          </w:p>
        </w:tc>
        <w:tc>
          <w:tcPr>
            <w:tcW w:w="1361" w:type="dxa"/>
            <w:shd w:val="clear" w:color="auto" w:fill="FFFFFF" w:themeFill="background1"/>
            <w:noWrap/>
            <w:hideMark/>
          </w:tcPr>
          <w:p w14:paraId="2418761A" w14:textId="2C4EAED1" w:rsidR="00A94C3E" w:rsidRPr="0018386D" w:rsidRDefault="00A94C3E" w:rsidP="00DD3106">
            <w:pPr>
              <w:pStyle w:val="TableText"/>
              <w:spacing w:before="40" w:after="40"/>
              <w:rPr>
                <w:szCs w:val="18"/>
              </w:rPr>
            </w:pPr>
            <w:r w:rsidRPr="0018386D">
              <w:rPr>
                <w:szCs w:val="18"/>
              </w:rPr>
              <w:t>0.0005</w:t>
            </w:r>
          </w:p>
        </w:tc>
        <w:tc>
          <w:tcPr>
            <w:tcW w:w="1418" w:type="dxa"/>
            <w:shd w:val="clear" w:color="auto" w:fill="FFFFFF" w:themeFill="background1"/>
            <w:noWrap/>
            <w:hideMark/>
          </w:tcPr>
          <w:p w14:paraId="59779A96" w14:textId="6195612A" w:rsidR="00A94C3E" w:rsidRPr="0018386D" w:rsidRDefault="00A94C3E" w:rsidP="00DD3106">
            <w:pPr>
              <w:pStyle w:val="TableText"/>
              <w:spacing w:before="40" w:after="40"/>
              <w:rPr>
                <w:szCs w:val="18"/>
              </w:rPr>
            </w:pPr>
            <w:r w:rsidRPr="0018386D">
              <w:rPr>
                <w:szCs w:val="18"/>
              </w:rPr>
              <w:t>0.00116</w:t>
            </w:r>
          </w:p>
        </w:tc>
      </w:tr>
      <w:tr w:rsidR="00FB1B1C" w:rsidRPr="0018386D" w14:paraId="5BB97956" w14:textId="77777777" w:rsidTr="00233925">
        <w:trPr>
          <w:divId w:val="1357536926"/>
          <w:trHeight w:val="240"/>
        </w:trPr>
        <w:tc>
          <w:tcPr>
            <w:tcW w:w="2268" w:type="dxa"/>
            <w:shd w:val="clear" w:color="auto" w:fill="FFFFFF" w:themeFill="background1"/>
            <w:noWrap/>
            <w:hideMark/>
          </w:tcPr>
          <w:p w14:paraId="4C057D03" w14:textId="77777777" w:rsidR="008E2ED2" w:rsidRPr="0018386D" w:rsidRDefault="008E2ED2" w:rsidP="00DD3106">
            <w:pPr>
              <w:pStyle w:val="TableText"/>
              <w:spacing w:before="40" w:after="40"/>
              <w:rPr>
                <w:szCs w:val="18"/>
              </w:rPr>
            </w:pPr>
            <w:r w:rsidRPr="0018386D">
              <w:rPr>
                <w:szCs w:val="18"/>
              </w:rPr>
              <w:t>Petrol hybrid</w:t>
            </w:r>
          </w:p>
        </w:tc>
        <w:tc>
          <w:tcPr>
            <w:tcW w:w="567" w:type="dxa"/>
            <w:shd w:val="clear" w:color="auto" w:fill="FFFFFF" w:themeFill="background1"/>
            <w:noWrap/>
            <w:hideMark/>
          </w:tcPr>
          <w:p w14:paraId="0999A91F" w14:textId="77777777" w:rsidR="008E2ED2" w:rsidRPr="0018386D" w:rsidRDefault="008E2ED2" w:rsidP="00DD3106">
            <w:pPr>
              <w:pStyle w:val="TableText"/>
              <w:spacing w:before="40" w:after="40"/>
              <w:rPr>
                <w:szCs w:val="18"/>
              </w:rPr>
            </w:pPr>
            <w:r w:rsidRPr="0018386D">
              <w:rPr>
                <w:szCs w:val="18"/>
              </w:rPr>
              <w:t>km</w:t>
            </w:r>
          </w:p>
        </w:tc>
        <w:tc>
          <w:tcPr>
            <w:tcW w:w="1304" w:type="dxa"/>
            <w:shd w:val="clear" w:color="auto" w:fill="D2DDE1" w:themeFill="background2"/>
            <w:noWrap/>
            <w:hideMark/>
          </w:tcPr>
          <w:p w14:paraId="66F9B33F" w14:textId="77777777" w:rsidR="008E2ED2" w:rsidRPr="0018386D" w:rsidRDefault="008E2ED2" w:rsidP="00DD3106">
            <w:pPr>
              <w:pStyle w:val="TableText"/>
              <w:spacing w:before="40" w:after="40"/>
              <w:rPr>
                <w:szCs w:val="18"/>
              </w:rPr>
            </w:pPr>
            <w:r w:rsidRPr="0018386D">
              <w:rPr>
                <w:szCs w:val="18"/>
              </w:rPr>
              <w:t>0.176</w:t>
            </w:r>
          </w:p>
        </w:tc>
        <w:tc>
          <w:tcPr>
            <w:tcW w:w="1361" w:type="dxa"/>
            <w:shd w:val="clear" w:color="auto" w:fill="FFFFFF" w:themeFill="background1"/>
            <w:noWrap/>
            <w:hideMark/>
          </w:tcPr>
          <w:p w14:paraId="145E5F71" w14:textId="77777777" w:rsidR="008E2ED2" w:rsidRPr="0018386D" w:rsidRDefault="008E2ED2" w:rsidP="00DD3106">
            <w:pPr>
              <w:pStyle w:val="TableText"/>
              <w:spacing w:before="40" w:after="40"/>
              <w:rPr>
                <w:szCs w:val="18"/>
              </w:rPr>
            </w:pPr>
            <w:r w:rsidRPr="0018386D">
              <w:rPr>
                <w:szCs w:val="18"/>
              </w:rPr>
              <w:t>0.169</w:t>
            </w:r>
          </w:p>
        </w:tc>
        <w:tc>
          <w:tcPr>
            <w:tcW w:w="1361" w:type="dxa"/>
            <w:shd w:val="clear" w:color="auto" w:fill="FFFFFF" w:themeFill="background1"/>
            <w:noWrap/>
            <w:hideMark/>
          </w:tcPr>
          <w:p w14:paraId="03802694" w14:textId="77777777" w:rsidR="008E2ED2" w:rsidRPr="0018386D" w:rsidRDefault="008E2ED2" w:rsidP="00DD3106">
            <w:pPr>
              <w:pStyle w:val="TableText"/>
              <w:spacing w:before="40" w:after="40"/>
              <w:rPr>
                <w:szCs w:val="18"/>
              </w:rPr>
            </w:pPr>
            <w:r w:rsidRPr="0018386D">
              <w:rPr>
                <w:szCs w:val="18"/>
              </w:rPr>
              <w:t>0.00222</w:t>
            </w:r>
          </w:p>
        </w:tc>
        <w:tc>
          <w:tcPr>
            <w:tcW w:w="1418" w:type="dxa"/>
            <w:shd w:val="clear" w:color="auto" w:fill="FFFFFF" w:themeFill="background1"/>
            <w:noWrap/>
            <w:hideMark/>
          </w:tcPr>
          <w:p w14:paraId="6654BBE7" w14:textId="77777777" w:rsidR="008E2ED2" w:rsidRPr="0018386D" w:rsidRDefault="008E2ED2" w:rsidP="00DD3106">
            <w:pPr>
              <w:pStyle w:val="TableText"/>
              <w:spacing w:before="40" w:after="40"/>
              <w:rPr>
                <w:szCs w:val="18"/>
              </w:rPr>
            </w:pPr>
            <w:r w:rsidRPr="0018386D">
              <w:rPr>
                <w:szCs w:val="18"/>
              </w:rPr>
              <w:t>0.00509</w:t>
            </w:r>
          </w:p>
        </w:tc>
      </w:tr>
      <w:tr w:rsidR="00FB1B1C" w:rsidRPr="0018386D" w14:paraId="47AEB57D" w14:textId="77777777" w:rsidTr="00233925">
        <w:trPr>
          <w:divId w:val="1357536926"/>
          <w:trHeight w:val="240"/>
        </w:trPr>
        <w:tc>
          <w:tcPr>
            <w:tcW w:w="2268" w:type="dxa"/>
            <w:shd w:val="clear" w:color="auto" w:fill="FFFFFF" w:themeFill="background1"/>
            <w:noWrap/>
            <w:hideMark/>
          </w:tcPr>
          <w:p w14:paraId="7570D213" w14:textId="3ABD6EE9" w:rsidR="008E2ED2" w:rsidRPr="0018386D" w:rsidRDefault="008E2ED2" w:rsidP="00DD3106">
            <w:pPr>
              <w:pStyle w:val="TableText"/>
              <w:spacing w:before="40" w:after="40"/>
              <w:rPr>
                <w:szCs w:val="18"/>
              </w:rPr>
            </w:pPr>
            <w:r w:rsidRPr="0018386D">
              <w:rPr>
                <w:szCs w:val="18"/>
              </w:rPr>
              <w:t xml:space="preserve">Petrol hybrid </w:t>
            </w:r>
            <w:r w:rsidR="0087683A" w:rsidRPr="0018386D">
              <w:rPr>
                <w:szCs w:val="18"/>
              </w:rPr>
              <w:t>–</w:t>
            </w:r>
            <w:r w:rsidRPr="0018386D">
              <w:rPr>
                <w:szCs w:val="18"/>
              </w:rPr>
              <w:t xml:space="preserve"> dollars spent</w:t>
            </w:r>
          </w:p>
        </w:tc>
        <w:tc>
          <w:tcPr>
            <w:tcW w:w="567" w:type="dxa"/>
            <w:shd w:val="clear" w:color="auto" w:fill="FFFFFF" w:themeFill="background1"/>
            <w:noWrap/>
            <w:hideMark/>
          </w:tcPr>
          <w:p w14:paraId="04380A15" w14:textId="77777777" w:rsidR="008E2ED2" w:rsidRPr="0018386D" w:rsidRDefault="008E2ED2" w:rsidP="00DD3106">
            <w:pPr>
              <w:pStyle w:val="TableText"/>
              <w:spacing w:before="40" w:after="40"/>
              <w:rPr>
                <w:szCs w:val="18"/>
              </w:rPr>
            </w:pPr>
            <w:r w:rsidRPr="0018386D">
              <w:rPr>
                <w:szCs w:val="18"/>
              </w:rPr>
              <w:t>$</w:t>
            </w:r>
          </w:p>
        </w:tc>
        <w:tc>
          <w:tcPr>
            <w:tcW w:w="1304" w:type="dxa"/>
            <w:shd w:val="clear" w:color="auto" w:fill="D2DDE1" w:themeFill="background2"/>
            <w:noWrap/>
            <w:hideMark/>
          </w:tcPr>
          <w:p w14:paraId="74E77FBF" w14:textId="77777777" w:rsidR="008E2ED2" w:rsidRPr="0018386D" w:rsidRDefault="008E2ED2" w:rsidP="00DD3106">
            <w:pPr>
              <w:pStyle w:val="TableText"/>
              <w:spacing w:before="40" w:after="40"/>
              <w:rPr>
                <w:szCs w:val="18"/>
              </w:rPr>
            </w:pPr>
            <w:r w:rsidRPr="0018386D">
              <w:rPr>
                <w:szCs w:val="18"/>
              </w:rPr>
              <w:t>0.0550</w:t>
            </w:r>
          </w:p>
        </w:tc>
        <w:tc>
          <w:tcPr>
            <w:tcW w:w="1361" w:type="dxa"/>
            <w:shd w:val="clear" w:color="auto" w:fill="FFFFFF" w:themeFill="background1"/>
            <w:noWrap/>
            <w:hideMark/>
          </w:tcPr>
          <w:p w14:paraId="701CC476" w14:textId="77777777" w:rsidR="008E2ED2" w:rsidRPr="0018386D" w:rsidRDefault="008E2ED2" w:rsidP="00DD3106">
            <w:pPr>
              <w:pStyle w:val="TableText"/>
              <w:spacing w:before="40" w:after="40"/>
              <w:rPr>
                <w:szCs w:val="18"/>
              </w:rPr>
            </w:pPr>
            <w:r w:rsidRPr="0018386D">
              <w:rPr>
                <w:szCs w:val="18"/>
              </w:rPr>
              <w:t>0.0528</w:t>
            </w:r>
          </w:p>
        </w:tc>
        <w:tc>
          <w:tcPr>
            <w:tcW w:w="1361" w:type="dxa"/>
            <w:shd w:val="clear" w:color="auto" w:fill="FFFFFF" w:themeFill="background1"/>
            <w:noWrap/>
            <w:hideMark/>
          </w:tcPr>
          <w:p w14:paraId="1AA9C94C" w14:textId="77777777" w:rsidR="008E2ED2" w:rsidRPr="0018386D" w:rsidRDefault="008E2ED2" w:rsidP="00DD3106">
            <w:pPr>
              <w:pStyle w:val="TableText"/>
              <w:spacing w:before="40" w:after="40"/>
              <w:rPr>
                <w:szCs w:val="18"/>
              </w:rPr>
            </w:pPr>
            <w:r w:rsidRPr="0018386D">
              <w:rPr>
                <w:szCs w:val="18"/>
              </w:rPr>
              <w:t>0.0007</w:t>
            </w:r>
          </w:p>
        </w:tc>
        <w:tc>
          <w:tcPr>
            <w:tcW w:w="1418" w:type="dxa"/>
            <w:shd w:val="clear" w:color="auto" w:fill="FFFFFF" w:themeFill="background1"/>
            <w:noWrap/>
            <w:hideMark/>
          </w:tcPr>
          <w:p w14:paraId="7E9C27C5" w14:textId="77777777" w:rsidR="008E2ED2" w:rsidRPr="0018386D" w:rsidRDefault="008E2ED2" w:rsidP="00DD3106">
            <w:pPr>
              <w:pStyle w:val="TableText"/>
              <w:spacing w:before="40" w:after="40"/>
              <w:rPr>
                <w:szCs w:val="18"/>
              </w:rPr>
            </w:pPr>
            <w:r w:rsidRPr="0018386D">
              <w:rPr>
                <w:szCs w:val="18"/>
              </w:rPr>
              <w:t>0.00159</w:t>
            </w:r>
          </w:p>
        </w:tc>
      </w:tr>
      <w:tr w:rsidR="00FB1B1C" w:rsidRPr="0018386D" w14:paraId="05A2D73D" w14:textId="77777777" w:rsidTr="005E2BB5">
        <w:trPr>
          <w:divId w:val="1357536926"/>
          <w:trHeight w:val="240"/>
        </w:trPr>
        <w:tc>
          <w:tcPr>
            <w:tcW w:w="2268" w:type="dxa"/>
            <w:tcBorders>
              <w:bottom w:val="single" w:sz="4" w:space="0" w:color="1B556B" w:themeColor="text2"/>
            </w:tcBorders>
            <w:shd w:val="clear" w:color="auto" w:fill="FFFFFF" w:themeFill="background1"/>
            <w:noWrap/>
            <w:hideMark/>
          </w:tcPr>
          <w:p w14:paraId="14755F3E" w14:textId="77777777" w:rsidR="008E2ED2" w:rsidRPr="0018386D" w:rsidRDefault="008E2ED2" w:rsidP="00DD3106">
            <w:pPr>
              <w:pStyle w:val="TableText"/>
              <w:spacing w:before="40" w:after="40"/>
              <w:rPr>
                <w:szCs w:val="18"/>
              </w:rPr>
            </w:pPr>
            <w:r w:rsidRPr="0018386D">
              <w:rPr>
                <w:szCs w:val="18"/>
              </w:rPr>
              <w:t>Electric</w:t>
            </w:r>
          </w:p>
        </w:tc>
        <w:tc>
          <w:tcPr>
            <w:tcW w:w="567" w:type="dxa"/>
            <w:tcBorders>
              <w:bottom w:val="single" w:sz="4" w:space="0" w:color="1B556B" w:themeColor="text2"/>
            </w:tcBorders>
            <w:shd w:val="clear" w:color="auto" w:fill="FFFFFF" w:themeFill="background1"/>
            <w:noWrap/>
            <w:hideMark/>
          </w:tcPr>
          <w:p w14:paraId="75D39766" w14:textId="77777777" w:rsidR="008E2ED2" w:rsidRPr="0018386D" w:rsidRDefault="008E2ED2" w:rsidP="00DD3106">
            <w:pPr>
              <w:pStyle w:val="TableText"/>
              <w:spacing w:before="40" w:after="40"/>
              <w:rPr>
                <w:szCs w:val="18"/>
              </w:rPr>
            </w:pPr>
            <w:r w:rsidRPr="0018386D">
              <w:rPr>
                <w:szCs w:val="18"/>
              </w:rPr>
              <w:t>km</w:t>
            </w:r>
          </w:p>
        </w:tc>
        <w:tc>
          <w:tcPr>
            <w:tcW w:w="1304" w:type="dxa"/>
            <w:tcBorders>
              <w:bottom w:val="single" w:sz="4" w:space="0" w:color="1B556B" w:themeColor="text2"/>
            </w:tcBorders>
            <w:shd w:val="clear" w:color="auto" w:fill="D2DDE1" w:themeFill="background2"/>
            <w:noWrap/>
            <w:hideMark/>
          </w:tcPr>
          <w:p w14:paraId="51642801" w14:textId="77777777" w:rsidR="008E2ED2" w:rsidRPr="0018386D" w:rsidRDefault="008E2ED2" w:rsidP="00DD3106">
            <w:pPr>
              <w:pStyle w:val="TableText"/>
              <w:spacing w:before="40" w:after="40"/>
              <w:rPr>
                <w:szCs w:val="18"/>
              </w:rPr>
            </w:pPr>
            <w:r w:rsidRPr="0018386D">
              <w:rPr>
                <w:szCs w:val="18"/>
              </w:rPr>
              <w:t>0.0200</w:t>
            </w:r>
          </w:p>
        </w:tc>
        <w:tc>
          <w:tcPr>
            <w:tcW w:w="1361" w:type="dxa"/>
            <w:tcBorders>
              <w:bottom w:val="single" w:sz="4" w:space="0" w:color="1B556B" w:themeColor="text2"/>
            </w:tcBorders>
            <w:shd w:val="clear" w:color="auto" w:fill="FFFFFF" w:themeFill="background1"/>
            <w:noWrap/>
            <w:hideMark/>
          </w:tcPr>
          <w:p w14:paraId="0A5F8343" w14:textId="77777777" w:rsidR="008E2ED2" w:rsidRPr="0018386D" w:rsidRDefault="008E2ED2" w:rsidP="00DD3106">
            <w:pPr>
              <w:pStyle w:val="TableText"/>
              <w:spacing w:before="40" w:after="40"/>
              <w:rPr>
                <w:szCs w:val="18"/>
              </w:rPr>
            </w:pPr>
            <w:r w:rsidRPr="0018386D">
              <w:rPr>
                <w:szCs w:val="18"/>
              </w:rPr>
              <w:t>0.0194</w:t>
            </w:r>
          </w:p>
        </w:tc>
        <w:tc>
          <w:tcPr>
            <w:tcW w:w="1361" w:type="dxa"/>
            <w:tcBorders>
              <w:bottom w:val="single" w:sz="4" w:space="0" w:color="1B556B" w:themeColor="text2"/>
            </w:tcBorders>
            <w:shd w:val="clear" w:color="auto" w:fill="FFFFFF" w:themeFill="background1"/>
            <w:noWrap/>
            <w:hideMark/>
          </w:tcPr>
          <w:p w14:paraId="0D3B4D1A" w14:textId="77777777" w:rsidR="008E2ED2" w:rsidRPr="0018386D" w:rsidRDefault="008E2ED2" w:rsidP="00DD3106">
            <w:pPr>
              <w:pStyle w:val="TableText"/>
              <w:spacing w:before="40" w:after="40"/>
              <w:rPr>
                <w:szCs w:val="18"/>
              </w:rPr>
            </w:pPr>
            <w:r w:rsidRPr="0018386D">
              <w:rPr>
                <w:szCs w:val="18"/>
              </w:rPr>
              <w:t>0.0005</w:t>
            </w:r>
          </w:p>
        </w:tc>
        <w:tc>
          <w:tcPr>
            <w:tcW w:w="1418" w:type="dxa"/>
            <w:tcBorders>
              <w:bottom w:val="single" w:sz="4" w:space="0" w:color="1B556B" w:themeColor="text2"/>
            </w:tcBorders>
            <w:shd w:val="clear" w:color="auto" w:fill="FFFFFF" w:themeFill="background1"/>
            <w:noWrap/>
            <w:hideMark/>
          </w:tcPr>
          <w:p w14:paraId="370994EB" w14:textId="77777777" w:rsidR="008E2ED2" w:rsidRPr="0018386D" w:rsidRDefault="008E2ED2" w:rsidP="00DD3106">
            <w:pPr>
              <w:pStyle w:val="TableText"/>
              <w:spacing w:before="40" w:after="40"/>
              <w:rPr>
                <w:szCs w:val="18"/>
              </w:rPr>
            </w:pPr>
            <w:r w:rsidRPr="0018386D">
              <w:rPr>
                <w:szCs w:val="18"/>
              </w:rPr>
              <w:t>0.00004</w:t>
            </w:r>
          </w:p>
        </w:tc>
      </w:tr>
      <w:tr w:rsidR="00FB1B1C" w:rsidRPr="0018386D" w14:paraId="3BBE91C3" w14:textId="77777777" w:rsidTr="005E2BB5">
        <w:trPr>
          <w:divId w:val="1357536926"/>
          <w:trHeight w:val="240"/>
        </w:trPr>
        <w:tc>
          <w:tcPr>
            <w:tcW w:w="2268" w:type="dxa"/>
            <w:tcBorders>
              <w:bottom w:val="single" w:sz="4" w:space="0" w:color="1B556B" w:themeColor="text2"/>
            </w:tcBorders>
            <w:shd w:val="clear" w:color="auto" w:fill="FFFFFF" w:themeFill="background1"/>
            <w:noWrap/>
            <w:hideMark/>
          </w:tcPr>
          <w:p w14:paraId="5327E6CC" w14:textId="1054B4A4" w:rsidR="008E2ED2" w:rsidRPr="0018386D" w:rsidRDefault="008E2ED2" w:rsidP="00DD3106">
            <w:pPr>
              <w:pStyle w:val="TableText"/>
              <w:spacing w:before="40" w:after="40"/>
              <w:rPr>
                <w:szCs w:val="18"/>
              </w:rPr>
            </w:pPr>
            <w:r w:rsidRPr="0018386D">
              <w:rPr>
                <w:szCs w:val="18"/>
              </w:rPr>
              <w:t xml:space="preserve">Electric </w:t>
            </w:r>
            <w:r w:rsidR="0087683A" w:rsidRPr="0018386D">
              <w:rPr>
                <w:szCs w:val="18"/>
              </w:rPr>
              <w:t>–</w:t>
            </w:r>
            <w:r w:rsidRPr="0018386D">
              <w:rPr>
                <w:szCs w:val="18"/>
              </w:rPr>
              <w:t xml:space="preserve"> dollars spent</w:t>
            </w:r>
          </w:p>
        </w:tc>
        <w:tc>
          <w:tcPr>
            <w:tcW w:w="567" w:type="dxa"/>
            <w:tcBorders>
              <w:bottom w:val="single" w:sz="4" w:space="0" w:color="1B556B" w:themeColor="text2"/>
            </w:tcBorders>
            <w:shd w:val="clear" w:color="auto" w:fill="FFFFFF" w:themeFill="background1"/>
            <w:noWrap/>
            <w:hideMark/>
          </w:tcPr>
          <w:p w14:paraId="3CCDFD52" w14:textId="77777777" w:rsidR="008E2ED2" w:rsidRPr="0018386D" w:rsidRDefault="008E2ED2" w:rsidP="00DD3106">
            <w:pPr>
              <w:pStyle w:val="TableText"/>
              <w:spacing w:before="40" w:after="40"/>
              <w:rPr>
                <w:szCs w:val="18"/>
              </w:rPr>
            </w:pPr>
            <w:r w:rsidRPr="0018386D">
              <w:rPr>
                <w:szCs w:val="18"/>
              </w:rPr>
              <w:t>$</w:t>
            </w:r>
          </w:p>
        </w:tc>
        <w:tc>
          <w:tcPr>
            <w:tcW w:w="1304" w:type="dxa"/>
            <w:tcBorders>
              <w:bottom w:val="single" w:sz="4" w:space="0" w:color="1B556B" w:themeColor="text2"/>
            </w:tcBorders>
            <w:shd w:val="clear" w:color="auto" w:fill="D2DDE1" w:themeFill="background2"/>
            <w:noWrap/>
            <w:hideMark/>
          </w:tcPr>
          <w:p w14:paraId="457C0B21" w14:textId="77777777" w:rsidR="008E2ED2" w:rsidRPr="0018386D" w:rsidRDefault="008E2ED2" w:rsidP="00DD3106">
            <w:pPr>
              <w:pStyle w:val="TableText"/>
              <w:spacing w:before="40" w:after="40"/>
              <w:rPr>
                <w:szCs w:val="18"/>
              </w:rPr>
            </w:pPr>
            <w:r w:rsidRPr="0018386D">
              <w:rPr>
                <w:szCs w:val="18"/>
              </w:rPr>
              <w:t>0.00625</w:t>
            </w:r>
          </w:p>
        </w:tc>
        <w:tc>
          <w:tcPr>
            <w:tcW w:w="1361" w:type="dxa"/>
            <w:tcBorders>
              <w:bottom w:val="single" w:sz="4" w:space="0" w:color="1B556B" w:themeColor="text2"/>
            </w:tcBorders>
            <w:shd w:val="clear" w:color="auto" w:fill="FFFFFF" w:themeFill="background1"/>
            <w:noWrap/>
            <w:hideMark/>
          </w:tcPr>
          <w:p w14:paraId="42C3D0BF" w14:textId="77777777" w:rsidR="008E2ED2" w:rsidRPr="0018386D" w:rsidRDefault="008E2ED2" w:rsidP="00DD3106">
            <w:pPr>
              <w:pStyle w:val="TableText"/>
              <w:spacing w:before="40" w:after="40"/>
              <w:rPr>
                <w:szCs w:val="18"/>
              </w:rPr>
            </w:pPr>
            <w:r w:rsidRPr="0018386D">
              <w:rPr>
                <w:szCs w:val="18"/>
              </w:rPr>
              <w:t>0.00607</w:t>
            </w:r>
          </w:p>
        </w:tc>
        <w:tc>
          <w:tcPr>
            <w:tcW w:w="1361" w:type="dxa"/>
            <w:tcBorders>
              <w:bottom w:val="single" w:sz="4" w:space="0" w:color="1B556B" w:themeColor="text2"/>
            </w:tcBorders>
            <w:shd w:val="clear" w:color="auto" w:fill="FFFFFF" w:themeFill="background1"/>
            <w:noWrap/>
            <w:hideMark/>
          </w:tcPr>
          <w:p w14:paraId="6D2C0E78" w14:textId="77777777" w:rsidR="008E2ED2" w:rsidRPr="0018386D" w:rsidRDefault="008E2ED2" w:rsidP="00DD3106">
            <w:pPr>
              <w:pStyle w:val="TableText"/>
              <w:spacing w:before="40" w:after="40"/>
              <w:rPr>
                <w:szCs w:val="18"/>
              </w:rPr>
            </w:pPr>
            <w:r w:rsidRPr="0018386D">
              <w:rPr>
                <w:szCs w:val="18"/>
              </w:rPr>
              <w:t>0.0002</w:t>
            </w:r>
          </w:p>
        </w:tc>
        <w:tc>
          <w:tcPr>
            <w:tcW w:w="1418" w:type="dxa"/>
            <w:tcBorders>
              <w:bottom w:val="single" w:sz="4" w:space="0" w:color="1B556B" w:themeColor="text2"/>
            </w:tcBorders>
            <w:shd w:val="clear" w:color="auto" w:fill="FFFFFF" w:themeFill="background1"/>
            <w:noWrap/>
            <w:hideMark/>
          </w:tcPr>
          <w:p w14:paraId="4E33FEB0" w14:textId="77777777" w:rsidR="008E2ED2" w:rsidRPr="0018386D" w:rsidRDefault="008E2ED2" w:rsidP="00DD3106">
            <w:pPr>
              <w:pStyle w:val="TableText"/>
              <w:spacing w:before="40" w:after="40"/>
              <w:rPr>
                <w:szCs w:val="18"/>
              </w:rPr>
            </w:pPr>
            <w:r w:rsidRPr="0018386D">
              <w:rPr>
                <w:szCs w:val="18"/>
              </w:rPr>
              <w:t>0.00001</w:t>
            </w:r>
          </w:p>
        </w:tc>
      </w:tr>
    </w:tbl>
    <w:p w14:paraId="4FED17EB" w14:textId="57355B19" w:rsidR="008B3986" w:rsidRPr="0018386D" w:rsidRDefault="008B3986" w:rsidP="00DD3106">
      <w:pPr>
        <w:pStyle w:val="Note"/>
      </w:pPr>
      <w:r w:rsidRPr="0018386D">
        <w:rPr>
          <w:b/>
          <w:bCs/>
        </w:rPr>
        <w:t>Note</w:t>
      </w:r>
      <w:r w:rsidR="00553680" w:rsidRPr="0018386D">
        <w:rPr>
          <w:b/>
          <w:bCs/>
        </w:rPr>
        <w:t>:</w:t>
      </w:r>
      <w:r w:rsidRPr="0018386D">
        <w:t xml:space="preserve"> </w:t>
      </w:r>
      <w:r w:rsidR="00553680" w:rsidRPr="0018386D">
        <w:t xml:space="preserve">These </w:t>
      </w:r>
      <w:r w:rsidRPr="0018386D">
        <w:t xml:space="preserve">numbers are rounded to three </w:t>
      </w:r>
      <w:r w:rsidR="003228BB" w:rsidRPr="0018386D">
        <w:t>decimal places</w:t>
      </w:r>
      <w:r w:rsidRPr="0018386D">
        <w:t xml:space="preserve"> unless the number is significantly small. </w:t>
      </w:r>
    </w:p>
    <w:p w14:paraId="569C4EB7" w14:textId="0E8B9C28" w:rsidR="002F25F0" w:rsidRPr="0018386D" w:rsidRDefault="00301928" w:rsidP="00DD3106">
      <w:pPr>
        <w:pStyle w:val="Heading3"/>
        <w:numPr>
          <w:ilvl w:val="2"/>
          <w:numId w:val="8"/>
        </w:numPr>
      </w:pPr>
      <w:bookmarkStart w:id="423" w:name="_Toc532904896"/>
      <w:r w:rsidRPr="0018386D">
        <w:t xml:space="preserve">GHG </w:t>
      </w:r>
      <w:r w:rsidR="002F25F0" w:rsidRPr="0018386D">
        <w:t>inventory development</w:t>
      </w:r>
      <w:bookmarkEnd w:id="423"/>
    </w:p>
    <w:p w14:paraId="56878A1E" w14:textId="76E5EF62" w:rsidR="0014474E" w:rsidRPr="0018386D" w:rsidRDefault="0014474E" w:rsidP="00DD3106">
      <w:pPr>
        <w:pStyle w:val="BodyText"/>
      </w:pPr>
      <w:r w:rsidRPr="0018386D">
        <w:t>Organisations should gather the activity data on passenger vehicle use with as much detail as</w:t>
      </w:r>
      <w:r w:rsidR="002F0CAE" w:rsidRPr="0018386D">
        <w:t> </w:t>
      </w:r>
      <w:r w:rsidRPr="0018386D">
        <w:t xml:space="preserve">possible, including age of the vehicle, </w:t>
      </w:r>
      <w:r w:rsidR="00495366" w:rsidRPr="0018386D">
        <w:t xml:space="preserve">engine </w:t>
      </w:r>
      <w:r w:rsidRPr="0018386D">
        <w:t>size, fuel type and k</w:t>
      </w:r>
      <w:r w:rsidR="00495366" w:rsidRPr="0018386D">
        <w:t xml:space="preserve">ilometres </w:t>
      </w:r>
      <w:r w:rsidRPr="0018386D">
        <w:t xml:space="preserve">travelled. </w:t>
      </w:r>
      <w:bookmarkStart w:id="424" w:name="_Hlk532893087"/>
      <w:r w:rsidR="009F7DDE" w:rsidRPr="0018386D">
        <w:t xml:space="preserve">If </w:t>
      </w:r>
      <w:r w:rsidRPr="0018386D">
        <w:t xml:space="preserve">information is not available, </w:t>
      </w:r>
      <w:r w:rsidR="008B3986" w:rsidRPr="0018386D">
        <w:t xml:space="preserve">we provide </w:t>
      </w:r>
      <w:r w:rsidR="00C97E31" w:rsidRPr="0018386D">
        <w:t xml:space="preserve">conservative </w:t>
      </w:r>
      <w:r w:rsidRPr="0018386D">
        <w:t>defaults to allow for over</w:t>
      </w:r>
      <w:r w:rsidR="00AA50C1" w:rsidRPr="0018386D">
        <w:t>estimation</w:t>
      </w:r>
      <w:r w:rsidR="009F7DDE" w:rsidRPr="0018386D">
        <w:t xml:space="preserve"> rather than</w:t>
      </w:r>
      <w:r w:rsidR="00710011" w:rsidRPr="0018386D">
        <w:t> </w:t>
      </w:r>
      <w:r w:rsidRPr="0018386D">
        <w:t xml:space="preserve">underestimation. </w:t>
      </w:r>
      <w:bookmarkEnd w:id="424"/>
    </w:p>
    <w:p w14:paraId="45849F3E" w14:textId="5C795034" w:rsidR="002F25F0" w:rsidRPr="0018386D" w:rsidRDefault="0014474E" w:rsidP="00DD3106">
      <w:pPr>
        <w:pStyle w:val="BodyText"/>
      </w:pPr>
      <w:r w:rsidRPr="0018386D">
        <w:t xml:space="preserve">If fuel-use data </w:t>
      </w:r>
      <w:r w:rsidR="0003097B" w:rsidRPr="0018386D">
        <w:t>are</w:t>
      </w:r>
      <w:r w:rsidRPr="0018386D">
        <w:t xml:space="preserve"> available, see </w:t>
      </w:r>
      <w:hyperlink w:anchor="section3point3" w:history="1">
        <w:r w:rsidRPr="0018386D">
          <w:rPr>
            <w:rStyle w:val="Hyperlink"/>
          </w:rPr>
          <w:t>section</w:t>
        </w:r>
        <w:r w:rsidR="002034FD" w:rsidRPr="0018386D">
          <w:rPr>
            <w:rStyle w:val="Hyperlink"/>
          </w:rPr>
          <w:t xml:space="preserve"> </w:t>
        </w:r>
        <w:r w:rsidR="008D732F" w:rsidRPr="0018386D">
          <w:rPr>
            <w:rStyle w:val="Hyperlink"/>
          </w:rPr>
          <w:t>3.3</w:t>
        </w:r>
      </w:hyperlink>
      <w:r w:rsidR="002F25F0" w:rsidRPr="0018386D">
        <w:t>.</w:t>
      </w:r>
    </w:p>
    <w:p w14:paraId="0CF394D3" w14:textId="23940DAF" w:rsidR="003C724A" w:rsidRPr="0018386D" w:rsidRDefault="0014474E" w:rsidP="00DD3106">
      <w:pPr>
        <w:pStyle w:val="BodyText"/>
      </w:pPr>
      <w:r w:rsidRPr="0018386D">
        <w:t xml:space="preserve">If fuel-use data </w:t>
      </w:r>
      <w:r w:rsidR="0003097B" w:rsidRPr="0018386D">
        <w:t>are</w:t>
      </w:r>
      <w:r w:rsidRPr="0018386D">
        <w:t xml:space="preserve"> not available, collect data on k</w:t>
      </w:r>
      <w:r w:rsidR="00B5255F" w:rsidRPr="0018386D">
        <w:t>ilo</w:t>
      </w:r>
      <w:r w:rsidRPr="0018386D">
        <w:t>m</w:t>
      </w:r>
      <w:r w:rsidR="00B5255F" w:rsidRPr="0018386D">
        <w:t>etres</w:t>
      </w:r>
      <w:r w:rsidRPr="0018386D">
        <w:t xml:space="preserve"> travelled by vehicle type and multiply this by the emission factor based on distance travelled for each GHG. </w:t>
      </w:r>
      <w:r w:rsidR="00175B5E" w:rsidRPr="0018386D">
        <w:t xml:space="preserve">If the vehicle is electric </w:t>
      </w:r>
      <w:r w:rsidR="003C724A" w:rsidRPr="0018386D">
        <w:t xml:space="preserve">and the charging point is within the </w:t>
      </w:r>
      <w:r w:rsidR="00EE0DF2" w:rsidRPr="0018386D">
        <w:t>organisation’s</w:t>
      </w:r>
      <w:r w:rsidR="003C724A" w:rsidRPr="0018386D">
        <w:t xml:space="preserve"> </w:t>
      </w:r>
      <w:r w:rsidR="00EE0DF2" w:rsidRPr="0018386D">
        <w:t>boundaries,</w:t>
      </w:r>
      <w:r w:rsidR="003C724A" w:rsidRPr="0018386D">
        <w:t xml:space="preserve"> this is a </w:t>
      </w:r>
      <w:r w:rsidR="00EE0DF2" w:rsidRPr="0018386D">
        <w:t>direct (S</w:t>
      </w:r>
      <w:r w:rsidR="003C724A" w:rsidRPr="0018386D">
        <w:t>cope 1</w:t>
      </w:r>
      <w:r w:rsidR="00EE0DF2" w:rsidRPr="0018386D">
        <w:t>)</w:t>
      </w:r>
      <w:r w:rsidR="003C724A" w:rsidRPr="0018386D">
        <w:t xml:space="preserve"> emission source and emissions are zero.</w:t>
      </w:r>
      <w:r w:rsidR="006935C4" w:rsidRPr="0018386D">
        <w:t xml:space="preserve"> </w:t>
      </w:r>
      <w:r w:rsidR="00B5255F" w:rsidRPr="0018386D">
        <w:t xml:space="preserve">If </w:t>
      </w:r>
      <w:r w:rsidR="009646AF" w:rsidRPr="0018386D">
        <w:t>travel is by rideshare apps (ie</w:t>
      </w:r>
      <w:r w:rsidR="00B5255F" w:rsidRPr="0018386D">
        <w:t>,</w:t>
      </w:r>
      <w:r w:rsidR="009646AF" w:rsidRPr="0018386D">
        <w:t xml:space="preserve"> Uber</w:t>
      </w:r>
      <w:r w:rsidR="007D714A" w:rsidRPr="0018386D">
        <w:t xml:space="preserve">, </w:t>
      </w:r>
      <w:proofErr w:type="spellStart"/>
      <w:r w:rsidR="009646AF" w:rsidRPr="0018386D">
        <w:t>Zoomy</w:t>
      </w:r>
      <w:proofErr w:type="spellEnd"/>
      <w:r w:rsidR="007D714A" w:rsidRPr="0018386D">
        <w:t xml:space="preserve"> or Ola</w:t>
      </w:r>
      <w:r w:rsidR="009646AF" w:rsidRPr="0018386D">
        <w:t xml:space="preserve">), </w:t>
      </w:r>
      <w:r w:rsidR="009169F9" w:rsidRPr="0018386D">
        <w:t>we recommend</w:t>
      </w:r>
      <w:r w:rsidR="009646AF" w:rsidRPr="0018386D">
        <w:t xml:space="preserve"> using the taxi travel emission factors by distance travelled (</w:t>
      </w:r>
      <w:hyperlink w:anchor="table22two" w:history="1">
        <w:r w:rsidR="005767CF" w:rsidRPr="0018386D">
          <w:rPr>
            <w:rStyle w:val="Hyperlink"/>
          </w:rPr>
          <w:t>table 22</w:t>
        </w:r>
        <w:r w:rsidR="005767CF" w:rsidRPr="00D47BE4">
          <w:rPr>
            <w:rStyle w:val="Hyperlink"/>
            <w:color w:val="auto"/>
          </w:rPr>
          <w:t>)</w:t>
        </w:r>
      </w:hyperlink>
      <w:r w:rsidR="009646AF" w:rsidRPr="0018386D">
        <w:t xml:space="preserve">. </w:t>
      </w:r>
      <w:r w:rsidR="00B5255F" w:rsidRPr="0018386D">
        <w:t xml:space="preserve">If </w:t>
      </w:r>
      <w:r w:rsidR="009646AF" w:rsidRPr="0018386D">
        <w:t>this information is not available</w:t>
      </w:r>
      <w:r w:rsidR="00EE0DF2" w:rsidRPr="0018386D">
        <w:t>, use the</w:t>
      </w:r>
      <w:r w:rsidR="009646AF" w:rsidRPr="0018386D">
        <w:t xml:space="preserve"> taxi emission factors per dollars spent.</w:t>
      </w:r>
    </w:p>
    <w:p w14:paraId="3C64A058" w14:textId="53D80928" w:rsidR="002F25F0" w:rsidRPr="0018386D" w:rsidRDefault="008B3986" w:rsidP="00DD3106">
      <w:pPr>
        <w:pStyle w:val="BodyText"/>
      </w:pPr>
      <w:r w:rsidRPr="0018386D">
        <w:t xml:space="preserve">Applying the equation </w:t>
      </w:r>
      <w:r w:rsidR="00326E2B" w:rsidRPr="0018386D">
        <w:t>E</w:t>
      </w:r>
      <w:r w:rsidR="00B37794" w:rsidRPr="0018386D">
        <w:t xml:space="preserve"> </w:t>
      </w:r>
      <w:r w:rsidR="00326E2B" w:rsidRPr="0018386D">
        <w:t>= Q x F</w:t>
      </w:r>
      <w:r w:rsidR="00715A31" w:rsidRPr="0018386D">
        <w:t xml:space="preserve"> </w:t>
      </w:r>
      <w:r w:rsidR="00326E2B" w:rsidRPr="0018386D">
        <w:t>(</w:t>
      </w:r>
      <w:hyperlink w:anchor="_How_to_quantify" w:history="1">
        <w:r w:rsidR="00E52C1F" w:rsidRPr="0018386D">
          <w:rPr>
            <w:rStyle w:val="Hyperlink"/>
          </w:rPr>
          <w:t>s</w:t>
        </w:r>
        <w:r w:rsidR="006D445E" w:rsidRPr="0018386D">
          <w:rPr>
            <w:rStyle w:val="Hyperlink"/>
          </w:rPr>
          <w:t>ection 2</w:t>
        </w:r>
      </w:hyperlink>
      <w:r w:rsidR="00326E2B" w:rsidRPr="0018386D">
        <w:rPr>
          <w:rStyle w:val="Hyperlink"/>
          <w:color w:val="auto"/>
        </w:rPr>
        <w:t>)</w:t>
      </w:r>
      <w:r w:rsidRPr="0018386D">
        <w:t>, this means</w:t>
      </w:r>
      <w:r w:rsidR="002F25F0" w:rsidRPr="0018386D">
        <w:t>:</w:t>
      </w:r>
    </w:p>
    <w:p w14:paraId="2CBB7A42" w14:textId="704CE85D" w:rsidR="00326E2B" w:rsidRPr="0018386D" w:rsidRDefault="00326E2B"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7B682D8D" w14:textId="25EA5918" w:rsidR="002F25F0" w:rsidRPr="0018386D" w:rsidRDefault="00EB24EB" w:rsidP="00DD3106">
      <w:pPr>
        <w:pStyle w:val="BodyText"/>
        <w:tabs>
          <w:tab w:val="left" w:pos="680"/>
          <w:tab w:val="left" w:pos="1134"/>
        </w:tabs>
        <w:contextualSpacing/>
      </w:pPr>
      <w:r w:rsidRPr="0018386D">
        <w:t>Q</w:t>
      </w:r>
      <w:r w:rsidRPr="0018386D">
        <w:tab/>
      </w:r>
      <w:r w:rsidR="002F25F0" w:rsidRPr="0018386D">
        <w:t>=</w:t>
      </w:r>
      <w:r w:rsidRPr="0018386D">
        <w:tab/>
      </w:r>
      <w:r w:rsidR="00B5255F" w:rsidRPr="0018386D">
        <w:t>d</w:t>
      </w:r>
      <w:r w:rsidR="002F25F0" w:rsidRPr="0018386D">
        <w:t>istance travelled by vehicle type (km)</w:t>
      </w:r>
    </w:p>
    <w:p w14:paraId="5A43F4FE" w14:textId="086808A9" w:rsidR="002F25F0" w:rsidRPr="0018386D" w:rsidRDefault="00EB24EB" w:rsidP="00DD3106">
      <w:pPr>
        <w:pStyle w:val="BodyText"/>
        <w:tabs>
          <w:tab w:val="left" w:pos="680"/>
          <w:tab w:val="left" w:pos="1134"/>
        </w:tabs>
        <w:spacing w:after="240"/>
        <w:contextualSpacing/>
      </w:pPr>
      <w:r w:rsidRPr="0018386D">
        <w:t>F</w:t>
      </w:r>
      <w:r w:rsidRPr="0018386D">
        <w:tab/>
      </w:r>
      <w:r w:rsidR="002F25F0" w:rsidRPr="0018386D">
        <w:t>=</w:t>
      </w:r>
      <w:r w:rsidRPr="0018386D">
        <w:tab/>
      </w:r>
      <w:r w:rsidR="002F25F0" w:rsidRPr="0018386D">
        <w:t xml:space="preserve">emission factors for correlating vehicle type from </w:t>
      </w:r>
      <w:hyperlink w:anchor="table16two" w:history="1">
        <w:r w:rsidR="00710011" w:rsidRPr="0018386D">
          <w:rPr>
            <w:rStyle w:val="Hyperlink"/>
          </w:rPr>
          <w:t>table 16</w:t>
        </w:r>
      </w:hyperlink>
      <w:r w:rsidR="00705C73" w:rsidRPr="0018386D">
        <w:t xml:space="preserve"> </w:t>
      </w:r>
      <w:r w:rsidR="002F25F0" w:rsidRPr="0018386D">
        <w:t xml:space="preserve">to </w:t>
      </w:r>
      <w:hyperlink w:anchor="table22two" w:history="1">
        <w:r w:rsidR="00710011" w:rsidRPr="0018386D">
          <w:rPr>
            <w:rStyle w:val="Hyperlink"/>
          </w:rPr>
          <w:t>table 2</w:t>
        </w:r>
        <w:r w:rsidR="00772C50" w:rsidRPr="0018386D">
          <w:rPr>
            <w:rStyle w:val="Hyperlink"/>
          </w:rPr>
          <w:t>2</w:t>
        </w:r>
      </w:hyperlink>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14474E" w:rsidRPr="0018386D" w14:paraId="4D121B36" w14:textId="77777777" w:rsidTr="00DA7DED">
        <w:trPr>
          <w:tblHeader/>
        </w:trPr>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7E63932D" w14:textId="5E324CBD" w:rsidR="0014474E" w:rsidRPr="0018386D" w:rsidDel="00D5390D" w:rsidRDefault="00ED6691" w:rsidP="00DD3106">
            <w:pPr>
              <w:pStyle w:val="Casestudyheading"/>
            </w:pPr>
            <w:r w:rsidRPr="0018386D">
              <w:t xml:space="preserve">Passenger vehicles: </w:t>
            </w:r>
            <w:r w:rsidR="0014474E" w:rsidRPr="0018386D">
              <w:t>Example Calculation</w:t>
            </w:r>
          </w:p>
        </w:tc>
      </w:tr>
      <w:tr w:rsidR="00CF2E51" w:rsidRPr="0018386D" w14:paraId="7A2C4165" w14:textId="77777777" w:rsidTr="00A41BA6">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AAAB5D1" w14:textId="50BC7877" w:rsidR="0014474E" w:rsidRPr="0018386D" w:rsidRDefault="0014474E" w:rsidP="00DD3106">
            <w:pPr>
              <w:pStyle w:val="Boxtext"/>
            </w:pPr>
            <w:r w:rsidRPr="0018386D">
              <w:t>An organisation has 15 petrol vehicles. They use 40,000 litres of regular petrol in the reporting period.</w:t>
            </w:r>
          </w:p>
          <w:p w14:paraId="120DEC8B" w14:textId="54FB38BE" w:rsidR="0014474E" w:rsidRPr="0018386D" w:rsidRDefault="0014474E" w:rsidP="00DD3106">
            <w:pPr>
              <w:pStyle w:val="Boxtext"/>
              <w:tabs>
                <w:tab w:val="left" w:pos="2865"/>
                <w:tab w:val="left" w:pos="4440"/>
              </w:tabs>
              <w:spacing w:before="20" w:after="20"/>
              <w:ind w:left="850"/>
              <w:rPr>
                <w:vertAlign w:val="subscript"/>
              </w:rPr>
            </w:pPr>
            <w:r w:rsidRPr="0018386D">
              <w:t>CO</w:t>
            </w:r>
            <w:r w:rsidRPr="0018386D">
              <w:rPr>
                <w:vertAlign w:val="subscript"/>
              </w:rPr>
              <w:t>2</w:t>
            </w:r>
            <w:r w:rsidRPr="0018386D">
              <w:t xml:space="preserve"> emissions </w:t>
            </w:r>
            <w:r w:rsidRPr="0018386D">
              <w:tab/>
              <w:t xml:space="preserve">= 40,000 </w:t>
            </w:r>
            <w:r w:rsidRPr="0018386D">
              <w:rPr>
                <w:rFonts w:cs="Calibri"/>
              </w:rPr>
              <w:t>×</w:t>
            </w:r>
            <w:r w:rsidRPr="0018386D">
              <w:t xml:space="preserve"> 2.35</w:t>
            </w:r>
            <w:r w:rsidRPr="0018386D">
              <w:tab/>
              <w:t>= 9</w:t>
            </w:r>
            <w:r w:rsidR="00ED6691" w:rsidRPr="0018386D">
              <w:t>4,000</w:t>
            </w:r>
            <w:r w:rsidRPr="0018386D">
              <w:t xml:space="preserve"> kg CO</w:t>
            </w:r>
            <w:r w:rsidRPr="0018386D">
              <w:rPr>
                <w:vertAlign w:val="subscript"/>
              </w:rPr>
              <w:t>2</w:t>
            </w:r>
          </w:p>
          <w:p w14:paraId="3B384D43" w14:textId="1D7AA82E" w:rsidR="0014474E" w:rsidRPr="0018386D" w:rsidRDefault="0014474E" w:rsidP="00DD3106">
            <w:pPr>
              <w:pStyle w:val="Boxtext"/>
              <w:tabs>
                <w:tab w:val="left" w:pos="2865"/>
                <w:tab w:val="left" w:pos="4440"/>
              </w:tabs>
              <w:spacing w:before="20" w:after="20"/>
              <w:ind w:left="850"/>
            </w:pPr>
            <w:r w:rsidRPr="0018386D">
              <w:t>CH</w:t>
            </w:r>
            <w:r w:rsidRPr="0018386D">
              <w:rPr>
                <w:vertAlign w:val="subscript"/>
              </w:rPr>
              <w:t>4</w:t>
            </w:r>
            <w:r w:rsidRPr="0018386D">
              <w:t xml:space="preserve"> emissions</w:t>
            </w:r>
            <w:r w:rsidRPr="0018386D">
              <w:tab/>
              <w:t xml:space="preserve">= 40,000 </w:t>
            </w:r>
            <w:r w:rsidRPr="0018386D">
              <w:rPr>
                <w:rFonts w:cs="Calibri"/>
              </w:rPr>
              <w:t>×</w:t>
            </w:r>
            <w:r w:rsidRPr="0018386D">
              <w:t xml:space="preserve"> </w:t>
            </w:r>
            <w:r w:rsidR="00735122" w:rsidRPr="0018386D">
              <w:t>0.0309</w:t>
            </w:r>
            <w:r w:rsidRPr="0018386D">
              <w:tab/>
              <w:t xml:space="preserve">= </w:t>
            </w:r>
            <w:r w:rsidR="00735122" w:rsidRPr="0018386D">
              <w:t>1,23</w:t>
            </w:r>
            <w:r w:rsidR="00600DEE" w:rsidRPr="0018386D">
              <w:t>6</w:t>
            </w:r>
            <w:r w:rsidRPr="0018386D">
              <w:t xml:space="preserve"> kg CO</w:t>
            </w:r>
            <w:r w:rsidRPr="0018386D">
              <w:rPr>
                <w:vertAlign w:val="subscript"/>
              </w:rPr>
              <w:t>2</w:t>
            </w:r>
            <w:r w:rsidRPr="0018386D">
              <w:t>-e</w:t>
            </w:r>
          </w:p>
          <w:p w14:paraId="79F8E917" w14:textId="68625D37" w:rsidR="0014474E" w:rsidRPr="0018386D" w:rsidRDefault="0014474E" w:rsidP="00DD3106">
            <w:pPr>
              <w:pStyle w:val="Boxtext"/>
              <w:tabs>
                <w:tab w:val="left" w:pos="2865"/>
                <w:tab w:val="left" w:pos="4440"/>
              </w:tabs>
              <w:spacing w:before="20" w:after="20"/>
              <w:ind w:left="850"/>
            </w:pPr>
            <w:r w:rsidRPr="0018386D">
              <w:t>N</w:t>
            </w:r>
            <w:r w:rsidRPr="0018386D">
              <w:rPr>
                <w:vertAlign w:val="subscript"/>
              </w:rPr>
              <w:t>2</w:t>
            </w:r>
            <w:r w:rsidRPr="0018386D">
              <w:t xml:space="preserve">O emissions </w:t>
            </w:r>
            <w:r w:rsidRPr="0018386D">
              <w:tab/>
              <w:t xml:space="preserve">= 40,000 </w:t>
            </w:r>
            <w:r w:rsidRPr="0018386D">
              <w:rPr>
                <w:rFonts w:cs="Calibri"/>
              </w:rPr>
              <w:t>×</w:t>
            </w:r>
            <w:r w:rsidRPr="0018386D">
              <w:t xml:space="preserve"> </w:t>
            </w:r>
            <w:r w:rsidR="00735122" w:rsidRPr="0018386D">
              <w:t>0.07</w:t>
            </w:r>
            <w:r w:rsidR="00672DD4" w:rsidRPr="0018386D">
              <w:t>10</w:t>
            </w:r>
            <w:r w:rsidRPr="0018386D">
              <w:tab/>
              <w:t xml:space="preserve">= </w:t>
            </w:r>
            <w:r w:rsidR="00735122" w:rsidRPr="0018386D">
              <w:t>2,8</w:t>
            </w:r>
            <w:r w:rsidR="00672DD4" w:rsidRPr="0018386D">
              <w:t>40</w:t>
            </w:r>
            <w:r w:rsidRPr="0018386D">
              <w:t xml:space="preserve"> kg CO</w:t>
            </w:r>
            <w:r w:rsidRPr="0018386D">
              <w:rPr>
                <w:vertAlign w:val="subscript"/>
              </w:rPr>
              <w:t>2</w:t>
            </w:r>
            <w:r w:rsidRPr="0018386D">
              <w:t>-e</w:t>
            </w:r>
          </w:p>
          <w:p w14:paraId="5D130AD2" w14:textId="21681508" w:rsidR="0014474E" w:rsidRPr="0018386D" w:rsidRDefault="0014474E" w:rsidP="00DD3106">
            <w:pPr>
              <w:pStyle w:val="Boxtext"/>
              <w:tabs>
                <w:tab w:val="left" w:pos="2865"/>
                <w:tab w:val="left" w:pos="4440"/>
              </w:tabs>
              <w:spacing w:before="20" w:after="20"/>
              <w:ind w:left="850"/>
            </w:pPr>
            <w:r w:rsidRPr="0018386D">
              <w:t>Total CO</w:t>
            </w:r>
            <w:r w:rsidRPr="0018386D">
              <w:rPr>
                <w:vertAlign w:val="subscript"/>
              </w:rPr>
              <w:t>2</w:t>
            </w:r>
            <w:r w:rsidRPr="0018386D">
              <w:t>-e emissions</w:t>
            </w:r>
            <w:r w:rsidRPr="0018386D">
              <w:tab/>
              <w:t xml:space="preserve">= 40,000 </w:t>
            </w:r>
            <w:r w:rsidRPr="0018386D">
              <w:rPr>
                <w:rFonts w:cs="Calibri"/>
              </w:rPr>
              <w:t>×</w:t>
            </w:r>
            <w:r w:rsidRPr="0018386D">
              <w:t xml:space="preserve"> 2.4</w:t>
            </w:r>
            <w:r w:rsidR="001C209A" w:rsidRPr="0018386D">
              <w:t>6</w:t>
            </w:r>
            <w:r w:rsidRPr="0018386D">
              <w:t xml:space="preserve"> </w:t>
            </w:r>
            <w:r w:rsidRPr="0018386D">
              <w:tab/>
              <w:t>= 9</w:t>
            </w:r>
            <w:r w:rsidR="00FB14D0" w:rsidRPr="0018386D">
              <w:t>8,</w:t>
            </w:r>
            <w:r w:rsidR="007E76DF" w:rsidRPr="0018386D">
              <w:t>400</w:t>
            </w:r>
            <w:r w:rsidRPr="0018386D">
              <w:t xml:space="preserve"> kg CO</w:t>
            </w:r>
            <w:r w:rsidRPr="0018386D">
              <w:rPr>
                <w:vertAlign w:val="subscript"/>
              </w:rPr>
              <w:t>2</w:t>
            </w:r>
            <w:r w:rsidRPr="0018386D">
              <w:t>-e</w:t>
            </w:r>
          </w:p>
          <w:p w14:paraId="7E6AFD7D" w14:textId="77777777" w:rsidR="005B4EDB" w:rsidRPr="0018386D" w:rsidRDefault="005B4EDB" w:rsidP="00DD3106">
            <w:pPr>
              <w:pStyle w:val="Boxtext"/>
              <w:tabs>
                <w:tab w:val="left" w:pos="2865"/>
                <w:tab w:val="left" w:pos="4440"/>
              </w:tabs>
              <w:spacing w:before="20" w:after="20"/>
              <w:ind w:left="850"/>
            </w:pPr>
          </w:p>
          <w:p w14:paraId="26282D9C" w14:textId="7023707D" w:rsidR="0014474E" w:rsidRPr="0018386D" w:rsidRDefault="0014474E" w:rsidP="00DD3106">
            <w:pPr>
              <w:pStyle w:val="Boxtext"/>
              <w:spacing w:after="80"/>
              <w:jc w:val="both"/>
            </w:pPr>
            <w:r w:rsidRPr="0018386D">
              <w:lastRenderedPageBreak/>
              <w:t xml:space="preserve">An organisation </w:t>
            </w:r>
            <w:r w:rsidR="003E0307" w:rsidRPr="0018386D">
              <w:t xml:space="preserve">owns </w:t>
            </w:r>
            <w:r w:rsidRPr="0018386D">
              <w:t>three</w:t>
            </w:r>
            <w:r w:rsidR="00671DEE" w:rsidRPr="0018386D">
              <w:t xml:space="preserve"> pre-2010</w:t>
            </w:r>
            <w:r w:rsidRPr="0018386D">
              <w:t xml:space="preserve"> petrol hybrid vehicles. They are all between 1600 and 2000</w:t>
            </w:r>
            <w:r w:rsidR="00EE0DF2" w:rsidRPr="0018386D">
              <w:t xml:space="preserve"> </w:t>
            </w:r>
            <w:r w:rsidRPr="0018386D">
              <w:t>cc and travel a total of 37,800 km in the reporting period.</w:t>
            </w:r>
          </w:p>
          <w:p w14:paraId="6E6A90D0" w14:textId="1E196D53" w:rsidR="0014474E" w:rsidRPr="0018386D" w:rsidRDefault="0014474E" w:rsidP="00DD3106">
            <w:pPr>
              <w:pStyle w:val="Boxtext"/>
              <w:tabs>
                <w:tab w:val="left" w:pos="2865"/>
                <w:tab w:val="left" w:pos="4440"/>
              </w:tabs>
              <w:spacing w:before="20" w:after="20"/>
              <w:ind w:left="850"/>
              <w:rPr>
                <w:vertAlign w:val="subscript"/>
              </w:rPr>
            </w:pPr>
            <w:r w:rsidRPr="0018386D">
              <w:t>CO</w:t>
            </w:r>
            <w:r w:rsidRPr="0018386D">
              <w:rPr>
                <w:vertAlign w:val="subscript"/>
              </w:rPr>
              <w:t>2</w:t>
            </w:r>
            <w:r w:rsidRPr="0018386D">
              <w:t xml:space="preserve"> emissions</w:t>
            </w:r>
            <w:r w:rsidRPr="0018386D">
              <w:tab/>
              <w:t xml:space="preserve">= 37,800 </w:t>
            </w:r>
            <w:r w:rsidRPr="0018386D">
              <w:rPr>
                <w:rFonts w:cs="Calibri"/>
              </w:rPr>
              <w:t>×</w:t>
            </w:r>
            <w:r w:rsidR="00916B13" w:rsidRPr="0018386D">
              <w:rPr>
                <w:rFonts w:cs="Calibri"/>
              </w:rPr>
              <w:t xml:space="preserve"> </w:t>
            </w:r>
            <w:r w:rsidR="00845724" w:rsidRPr="0018386D">
              <w:t>0.172</w:t>
            </w:r>
            <w:r w:rsidR="00AA35C2" w:rsidRPr="0018386D">
              <w:t xml:space="preserve"> </w:t>
            </w:r>
            <w:r w:rsidR="00AA35C2" w:rsidRPr="0018386D">
              <w:tab/>
              <w:t xml:space="preserve">= </w:t>
            </w:r>
            <w:r w:rsidR="00845724" w:rsidRPr="0018386D">
              <w:t>6</w:t>
            </w:r>
            <w:r w:rsidR="00F25C6E" w:rsidRPr="0018386D">
              <w:t>,</w:t>
            </w:r>
            <w:r w:rsidR="00845724" w:rsidRPr="0018386D">
              <w:t>50</w:t>
            </w:r>
            <w:r w:rsidR="00F25C6E" w:rsidRPr="0018386D">
              <w:t>1.6</w:t>
            </w:r>
            <w:r w:rsidR="00845724" w:rsidRPr="0018386D">
              <w:t xml:space="preserve"> </w:t>
            </w:r>
            <w:r w:rsidRPr="0018386D">
              <w:t>kg CO</w:t>
            </w:r>
            <w:r w:rsidRPr="0018386D">
              <w:rPr>
                <w:vertAlign w:val="subscript"/>
              </w:rPr>
              <w:t>2</w:t>
            </w:r>
          </w:p>
          <w:p w14:paraId="09425EEC" w14:textId="5083DC3F" w:rsidR="0014474E" w:rsidRPr="0018386D" w:rsidRDefault="0014474E" w:rsidP="00DD3106">
            <w:pPr>
              <w:pStyle w:val="Boxtext"/>
              <w:tabs>
                <w:tab w:val="left" w:pos="2865"/>
                <w:tab w:val="left" w:pos="4440"/>
              </w:tabs>
              <w:spacing w:before="20" w:after="20"/>
              <w:ind w:left="850"/>
            </w:pPr>
            <w:r w:rsidRPr="0018386D">
              <w:t>CH</w:t>
            </w:r>
            <w:r w:rsidRPr="0018386D">
              <w:rPr>
                <w:vertAlign w:val="subscript"/>
              </w:rPr>
              <w:t>4</w:t>
            </w:r>
            <w:r w:rsidRPr="0018386D">
              <w:t xml:space="preserve"> emissions</w:t>
            </w:r>
            <w:r w:rsidRPr="0018386D">
              <w:tab/>
              <w:t xml:space="preserve">= 37,800 </w:t>
            </w:r>
            <w:r w:rsidRPr="0018386D">
              <w:rPr>
                <w:rFonts w:cs="Calibri"/>
              </w:rPr>
              <w:t xml:space="preserve">× </w:t>
            </w:r>
            <w:r w:rsidRPr="0018386D">
              <w:t>0.002</w:t>
            </w:r>
            <w:r w:rsidR="00560128" w:rsidRPr="0018386D">
              <w:t>25</w:t>
            </w:r>
            <w:r w:rsidR="00AA35C2" w:rsidRPr="0018386D">
              <w:tab/>
              <w:t xml:space="preserve">= </w:t>
            </w:r>
            <w:r w:rsidR="00634CF8" w:rsidRPr="0018386D">
              <w:t>85.05</w:t>
            </w:r>
            <w:r w:rsidRPr="0018386D">
              <w:t xml:space="preserve"> kg CO</w:t>
            </w:r>
            <w:r w:rsidRPr="0018386D">
              <w:rPr>
                <w:vertAlign w:val="subscript"/>
              </w:rPr>
              <w:t>2</w:t>
            </w:r>
            <w:r w:rsidRPr="0018386D">
              <w:t>-e</w:t>
            </w:r>
          </w:p>
          <w:p w14:paraId="524031D1" w14:textId="78B81224" w:rsidR="0014474E" w:rsidRPr="0018386D" w:rsidRDefault="0014474E" w:rsidP="00DD3106">
            <w:pPr>
              <w:pStyle w:val="Boxtext"/>
              <w:tabs>
                <w:tab w:val="left" w:pos="2865"/>
                <w:tab w:val="left" w:pos="4440"/>
              </w:tabs>
              <w:spacing w:before="20" w:after="20"/>
              <w:ind w:left="850"/>
            </w:pPr>
            <w:r w:rsidRPr="0018386D">
              <w:t>N</w:t>
            </w:r>
            <w:r w:rsidRPr="0018386D">
              <w:rPr>
                <w:vertAlign w:val="subscript"/>
              </w:rPr>
              <w:t>2</w:t>
            </w:r>
            <w:r w:rsidRPr="0018386D">
              <w:t>O emissions</w:t>
            </w:r>
            <w:r w:rsidRPr="0018386D">
              <w:tab/>
              <w:t xml:space="preserve">= 37,800 </w:t>
            </w:r>
            <w:r w:rsidRPr="0018386D">
              <w:rPr>
                <w:rFonts w:cs="Calibri"/>
              </w:rPr>
              <w:t>×</w:t>
            </w:r>
            <w:r w:rsidR="00AA35C2" w:rsidRPr="0018386D">
              <w:t xml:space="preserve"> </w:t>
            </w:r>
            <w:r w:rsidR="00845724" w:rsidRPr="0018386D">
              <w:t>0.005</w:t>
            </w:r>
            <w:r w:rsidR="00560128" w:rsidRPr="0018386D">
              <w:t>17</w:t>
            </w:r>
            <w:r w:rsidR="00AA35C2" w:rsidRPr="0018386D">
              <w:tab/>
              <w:t xml:space="preserve">= </w:t>
            </w:r>
            <w:r w:rsidR="00152437" w:rsidRPr="0018386D">
              <w:t>195</w:t>
            </w:r>
            <w:r w:rsidR="006A022A" w:rsidRPr="0018386D">
              <w:t>.</w:t>
            </w:r>
            <w:r w:rsidR="00C5737D" w:rsidRPr="0018386D">
              <w:t>4</w:t>
            </w:r>
            <w:r w:rsidR="00845724" w:rsidRPr="0018386D">
              <w:t xml:space="preserve"> </w:t>
            </w:r>
            <w:r w:rsidRPr="0018386D">
              <w:t>kg CO</w:t>
            </w:r>
            <w:r w:rsidRPr="0018386D">
              <w:rPr>
                <w:vertAlign w:val="subscript"/>
              </w:rPr>
              <w:t>2</w:t>
            </w:r>
            <w:r w:rsidRPr="0018386D">
              <w:t>-e</w:t>
            </w:r>
          </w:p>
          <w:p w14:paraId="03C3ED9B" w14:textId="065C936D" w:rsidR="0014474E" w:rsidRPr="0018386D" w:rsidRDefault="0014474E" w:rsidP="00DD3106">
            <w:pPr>
              <w:pStyle w:val="Boxtext"/>
              <w:tabs>
                <w:tab w:val="left" w:pos="2865"/>
                <w:tab w:val="left" w:pos="4440"/>
              </w:tabs>
              <w:spacing w:before="20"/>
              <w:ind w:left="850"/>
            </w:pPr>
            <w:r w:rsidRPr="0018386D">
              <w:t>Total CO</w:t>
            </w:r>
            <w:r w:rsidRPr="0018386D">
              <w:rPr>
                <w:vertAlign w:val="subscript"/>
              </w:rPr>
              <w:t>2</w:t>
            </w:r>
            <w:r w:rsidRPr="0018386D">
              <w:t>-e emissions</w:t>
            </w:r>
            <w:r w:rsidRPr="0018386D">
              <w:tab/>
              <w:t xml:space="preserve">= 37,800 </w:t>
            </w:r>
            <w:r w:rsidRPr="0018386D">
              <w:rPr>
                <w:rFonts w:cs="Calibri"/>
              </w:rPr>
              <w:t>×</w:t>
            </w:r>
            <w:r w:rsidRPr="0018386D">
              <w:t xml:space="preserve"> </w:t>
            </w:r>
            <w:r w:rsidR="00041737" w:rsidRPr="0018386D">
              <w:t>0.179</w:t>
            </w:r>
            <w:r w:rsidR="00AA35C2" w:rsidRPr="0018386D">
              <w:t xml:space="preserve"> </w:t>
            </w:r>
            <w:r w:rsidR="00AA35C2" w:rsidRPr="0018386D">
              <w:tab/>
              <w:t xml:space="preserve">= </w:t>
            </w:r>
            <w:r w:rsidR="00845724" w:rsidRPr="0018386D">
              <w:t>6</w:t>
            </w:r>
            <w:r w:rsidR="00751470" w:rsidRPr="0018386D">
              <w:t>,</w:t>
            </w:r>
            <w:r w:rsidR="00845724" w:rsidRPr="0018386D">
              <w:t>766</w:t>
            </w:r>
            <w:r w:rsidR="00751470" w:rsidRPr="0018386D">
              <w:t>.2</w:t>
            </w:r>
            <w:r w:rsidR="00F569A1" w:rsidRPr="0018386D">
              <w:t xml:space="preserve"> </w:t>
            </w:r>
            <w:r w:rsidRPr="0018386D">
              <w:t>kg CO</w:t>
            </w:r>
            <w:r w:rsidRPr="0018386D">
              <w:rPr>
                <w:vertAlign w:val="subscript"/>
              </w:rPr>
              <w:t>2</w:t>
            </w:r>
            <w:r w:rsidRPr="0018386D">
              <w:t>-e</w:t>
            </w:r>
          </w:p>
          <w:p w14:paraId="68BBCD6C" w14:textId="45681A42" w:rsidR="0014474E" w:rsidRPr="0018386D" w:rsidRDefault="0014474E" w:rsidP="00DD3106">
            <w:pPr>
              <w:pStyle w:val="Boxtext"/>
              <w:spacing w:after="80"/>
              <w:jc w:val="both"/>
            </w:pPr>
            <w:r w:rsidRPr="0018386D">
              <w:t xml:space="preserve">An organisation uses petrol rental cars to travel 12,000 km. It also spends $18,000 on </w:t>
            </w:r>
            <w:r w:rsidR="007037EA" w:rsidRPr="0018386D">
              <w:t>hybrid</w:t>
            </w:r>
            <w:r w:rsidR="00FC7769" w:rsidRPr="0018386D">
              <w:t xml:space="preserve"> </w:t>
            </w:r>
            <w:r w:rsidRPr="0018386D">
              <w:t>taxi travel.</w:t>
            </w:r>
          </w:p>
          <w:p w14:paraId="517B8937" w14:textId="574955CE" w:rsidR="0014474E" w:rsidRPr="0018386D" w:rsidRDefault="0014474E" w:rsidP="00DD3106">
            <w:pPr>
              <w:pStyle w:val="Boxtext"/>
              <w:tabs>
                <w:tab w:val="left" w:pos="4705"/>
                <w:tab w:val="left" w:pos="6264"/>
              </w:tabs>
              <w:spacing w:before="20" w:after="20"/>
              <w:ind w:left="850"/>
            </w:pPr>
            <w:r w:rsidRPr="0018386D">
              <w:t>Total CO</w:t>
            </w:r>
            <w:r w:rsidRPr="0018386D">
              <w:rPr>
                <w:vertAlign w:val="subscript"/>
              </w:rPr>
              <w:t>2</w:t>
            </w:r>
            <w:r w:rsidRPr="0018386D">
              <w:t>-e emissions from rental cars</w:t>
            </w:r>
            <w:r w:rsidRPr="0018386D">
              <w:tab/>
              <w:t xml:space="preserve">= 12,000 </w:t>
            </w:r>
            <w:r w:rsidRPr="0018386D">
              <w:rPr>
                <w:rFonts w:cs="Calibri"/>
              </w:rPr>
              <w:t>×</w:t>
            </w:r>
            <w:r w:rsidRPr="0018386D">
              <w:t xml:space="preserve"> </w:t>
            </w:r>
            <w:r w:rsidR="0058137A" w:rsidRPr="0018386D">
              <w:t>0.</w:t>
            </w:r>
            <w:r w:rsidR="00F669E2" w:rsidRPr="0018386D">
              <w:t>186</w:t>
            </w:r>
            <w:r w:rsidRPr="0018386D">
              <w:tab/>
              <w:t xml:space="preserve">= </w:t>
            </w:r>
            <w:r w:rsidR="00CC6239" w:rsidRPr="0018386D">
              <w:t>2,</w:t>
            </w:r>
            <w:r w:rsidR="00AB2281" w:rsidRPr="0018386D">
              <w:t>232</w:t>
            </w:r>
            <w:r w:rsidRPr="0018386D">
              <w:t xml:space="preserve"> kg CO</w:t>
            </w:r>
            <w:r w:rsidRPr="0018386D">
              <w:rPr>
                <w:vertAlign w:val="subscript"/>
              </w:rPr>
              <w:t>2</w:t>
            </w:r>
            <w:r w:rsidRPr="0018386D">
              <w:t>-e</w:t>
            </w:r>
          </w:p>
          <w:p w14:paraId="1DC4A674" w14:textId="7EDEBDCD" w:rsidR="0014474E" w:rsidRPr="0018386D" w:rsidRDefault="0014474E" w:rsidP="00DD3106">
            <w:pPr>
              <w:pStyle w:val="Boxtext"/>
              <w:tabs>
                <w:tab w:val="left" w:pos="4705"/>
                <w:tab w:val="left" w:pos="6264"/>
              </w:tabs>
              <w:spacing w:before="20" w:after="20"/>
              <w:ind w:left="850"/>
            </w:pPr>
            <w:r w:rsidRPr="0018386D">
              <w:t>Total CO</w:t>
            </w:r>
            <w:r w:rsidRPr="0018386D">
              <w:rPr>
                <w:vertAlign w:val="subscript"/>
              </w:rPr>
              <w:t>2</w:t>
            </w:r>
            <w:r w:rsidRPr="0018386D">
              <w:t>-e</w:t>
            </w:r>
            <w:r w:rsidR="009553A4" w:rsidRPr="0018386D">
              <w:t xml:space="preserve"> emissions from </w:t>
            </w:r>
            <w:r w:rsidR="007037EA" w:rsidRPr="0018386D">
              <w:t>hybrid</w:t>
            </w:r>
            <w:r w:rsidR="00FC7769" w:rsidRPr="0018386D">
              <w:t xml:space="preserve"> </w:t>
            </w:r>
            <w:r w:rsidR="009553A4" w:rsidRPr="0018386D">
              <w:t xml:space="preserve">taxi travel </w:t>
            </w:r>
            <w:r w:rsidR="009553A4" w:rsidRPr="0018386D">
              <w:tab/>
              <w:t xml:space="preserve">= </w:t>
            </w:r>
            <w:r w:rsidR="00671DEE" w:rsidRPr="0018386D">
              <w:t>$</w:t>
            </w:r>
            <w:r w:rsidRPr="0018386D">
              <w:t xml:space="preserve">18,000 </w:t>
            </w:r>
            <w:r w:rsidRPr="0018386D">
              <w:rPr>
                <w:rFonts w:cs="Calibri"/>
              </w:rPr>
              <w:t>×</w:t>
            </w:r>
            <w:r w:rsidR="00705C73" w:rsidRPr="0018386D">
              <w:t xml:space="preserve"> 0.</w:t>
            </w:r>
            <w:r w:rsidR="00653A0C" w:rsidRPr="0018386D">
              <w:t>0</w:t>
            </w:r>
            <w:r w:rsidR="003B6BC2" w:rsidRPr="0018386D">
              <w:t>55</w:t>
            </w:r>
            <w:r w:rsidR="00705C73" w:rsidRPr="0018386D">
              <w:tab/>
            </w:r>
            <w:r w:rsidRPr="0018386D">
              <w:t xml:space="preserve">= </w:t>
            </w:r>
            <w:r w:rsidR="003B6BC2" w:rsidRPr="0018386D">
              <w:t>990</w:t>
            </w:r>
            <w:r w:rsidRPr="0018386D">
              <w:t xml:space="preserve"> kg CO</w:t>
            </w:r>
            <w:r w:rsidRPr="0018386D">
              <w:rPr>
                <w:vertAlign w:val="subscript"/>
              </w:rPr>
              <w:t>2</w:t>
            </w:r>
            <w:r w:rsidRPr="0018386D">
              <w:t>-e</w:t>
            </w:r>
          </w:p>
          <w:p w14:paraId="0B4BE8BD" w14:textId="1B4F3E19" w:rsidR="00D9313E" w:rsidRPr="0018386D" w:rsidRDefault="00D9313E" w:rsidP="00DD3106">
            <w:pPr>
              <w:pStyle w:val="Boxtext"/>
              <w:spacing w:after="180"/>
              <w:rPr>
                <w:sz w:val="18"/>
                <w:szCs w:val="18"/>
              </w:rPr>
            </w:pPr>
            <w:r w:rsidRPr="0018386D">
              <w:rPr>
                <w:sz w:val="18"/>
                <w:szCs w:val="18"/>
              </w:rPr>
              <w:t>Note</w:t>
            </w:r>
            <w:r w:rsidR="003E0307" w:rsidRPr="0018386D">
              <w:rPr>
                <w:sz w:val="18"/>
                <w:szCs w:val="18"/>
              </w:rPr>
              <w:t>:</w:t>
            </w:r>
            <w:r w:rsidRPr="0018386D">
              <w:rPr>
                <w:sz w:val="18"/>
                <w:szCs w:val="18"/>
              </w:rPr>
              <w:t xml:space="preserve"> </w:t>
            </w:r>
            <w:r w:rsidR="003E0307" w:rsidRPr="0018386D">
              <w:rPr>
                <w:sz w:val="18"/>
                <w:szCs w:val="18"/>
              </w:rPr>
              <w:t>N</w:t>
            </w:r>
            <w:r w:rsidRPr="0018386D">
              <w:rPr>
                <w:sz w:val="18"/>
                <w:szCs w:val="18"/>
              </w:rPr>
              <w:t>umbers may not add due to rounding</w:t>
            </w:r>
            <w:r w:rsidR="009169F9" w:rsidRPr="0018386D">
              <w:rPr>
                <w:sz w:val="18"/>
                <w:szCs w:val="18"/>
              </w:rPr>
              <w:t>.</w:t>
            </w:r>
          </w:p>
        </w:tc>
      </w:tr>
    </w:tbl>
    <w:p w14:paraId="65091F01" w14:textId="3A6648C6" w:rsidR="00E61463" w:rsidRPr="0018386D" w:rsidRDefault="00E61463" w:rsidP="00DD3106">
      <w:pPr>
        <w:pStyle w:val="Heading3"/>
        <w:numPr>
          <w:ilvl w:val="2"/>
          <w:numId w:val="8"/>
        </w:numPr>
        <w:spacing w:before="440"/>
        <w:jc w:val="both"/>
      </w:pPr>
      <w:bookmarkStart w:id="425" w:name="_Toc532904897"/>
      <w:r w:rsidRPr="0018386D">
        <w:lastRenderedPageBreak/>
        <w:t>Emission factor derivation methodology</w:t>
      </w:r>
      <w:bookmarkEnd w:id="425"/>
    </w:p>
    <w:p w14:paraId="2D98DC21" w14:textId="306C2D0A" w:rsidR="00B31820" w:rsidRPr="0018386D" w:rsidRDefault="31F6D934" w:rsidP="00DD3106">
      <w:pPr>
        <w:pStyle w:val="BodyText"/>
        <w:spacing w:after="100"/>
      </w:pPr>
      <w:r w:rsidRPr="0018386D">
        <w:t>The</w:t>
      </w:r>
      <w:r w:rsidR="37B2EE1A" w:rsidRPr="0018386D">
        <w:t xml:space="preserve"> </w:t>
      </w:r>
      <w:r w:rsidR="3E8E86D1" w:rsidRPr="0018386D">
        <w:t>2021 fleet</w:t>
      </w:r>
      <w:r w:rsidR="00456096" w:rsidRPr="0018386D">
        <w:t xml:space="preserve"> statistics were taken from the </w:t>
      </w:r>
      <w:r w:rsidR="00AF333A" w:rsidRPr="0018386D">
        <w:t xml:space="preserve">Te Manatū Waka </w:t>
      </w:r>
      <w:r w:rsidR="00456096" w:rsidRPr="0018386D">
        <w:t xml:space="preserve">Ministry of </w:t>
      </w:r>
      <w:r w:rsidR="00AF333A" w:rsidRPr="0018386D">
        <w:t>Transport</w:t>
      </w:r>
      <w:r w:rsidR="00456096" w:rsidRPr="0018386D">
        <w:t xml:space="preserve"> Vehicle Fleet Emissions Model</w:t>
      </w:r>
      <w:r w:rsidR="0087683A" w:rsidRPr="0018386D">
        <w:t>. This</w:t>
      </w:r>
      <w:r w:rsidR="00C46E06" w:rsidRPr="0018386D">
        <w:t xml:space="preserve"> </w:t>
      </w:r>
      <w:r w:rsidR="00B31820" w:rsidRPr="0018386D">
        <w:t>provides</w:t>
      </w:r>
      <w:r w:rsidR="00370BD2" w:rsidRPr="0018386D">
        <w:t xml:space="preserve"> energy (fuel and electricity) use per 100 km travelled by</w:t>
      </w:r>
      <w:r w:rsidR="002F0CAE" w:rsidRPr="0018386D">
        <w:t> </w:t>
      </w:r>
      <w:r w:rsidR="00370BD2" w:rsidRPr="0018386D">
        <w:t>vehicle</w:t>
      </w:r>
      <w:r w:rsidR="00B31820" w:rsidRPr="0018386D">
        <w:t>.</w:t>
      </w:r>
    </w:p>
    <w:p w14:paraId="65091F02" w14:textId="3F4FB8B4" w:rsidR="007B3244" w:rsidRPr="0018386D" w:rsidRDefault="00047BDB" w:rsidP="00DD3106">
      <w:pPr>
        <w:pStyle w:val="BodyText"/>
        <w:spacing w:after="100"/>
      </w:pPr>
      <w:r w:rsidRPr="0018386D">
        <w:t>We</w:t>
      </w:r>
      <w:r w:rsidR="0068080E" w:rsidRPr="0018386D">
        <w:t xml:space="preserve"> </w:t>
      </w:r>
      <w:r w:rsidR="00BE16C6" w:rsidRPr="0018386D">
        <w:t xml:space="preserve">decided to split the fleet into </w:t>
      </w:r>
      <w:r w:rsidR="007040E1" w:rsidRPr="0018386D">
        <w:t>three</w:t>
      </w:r>
      <w:r w:rsidR="00BE16C6" w:rsidRPr="0018386D">
        <w:t xml:space="preserve"> categories and develop average emission factors</w:t>
      </w:r>
      <w:r w:rsidR="0068080E" w:rsidRPr="0018386D">
        <w:t> </w:t>
      </w:r>
      <w:r w:rsidR="00BE16C6" w:rsidRPr="0018386D">
        <w:t>for</w:t>
      </w:r>
      <w:r w:rsidR="002F0CAE" w:rsidRPr="0018386D">
        <w:t> </w:t>
      </w:r>
      <w:r w:rsidR="00BE16C6" w:rsidRPr="0018386D">
        <w:t>these</w:t>
      </w:r>
      <w:r w:rsidR="00B52E3C" w:rsidRPr="0018386D">
        <w:t>.</w:t>
      </w:r>
    </w:p>
    <w:p w14:paraId="65091F03" w14:textId="370ACB7A" w:rsidR="00BE16C6" w:rsidRPr="0018386D" w:rsidRDefault="00D11881" w:rsidP="00DD3106">
      <w:pPr>
        <w:pStyle w:val="Bullet"/>
        <w:spacing w:after="100"/>
      </w:pPr>
      <w:r w:rsidRPr="0018386D">
        <w:t>Pre-2010</w:t>
      </w:r>
      <w:r w:rsidR="00BE16C6" w:rsidRPr="0018386D">
        <w:t xml:space="preserve"> fleet is based on the average fuel consumption data from 1970</w:t>
      </w:r>
      <w:r w:rsidR="00826588" w:rsidRPr="0018386D">
        <w:t xml:space="preserve"> to </w:t>
      </w:r>
      <w:r w:rsidR="00BE16C6" w:rsidRPr="0018386D">
        <w:t>2010</w:t>
      </w:r>
      <w:r w:rsidR="00DA13B2" w:rsidRPr="0018386D">
        <w:t>.</w:t>
      </w:r>
      <w:r w:rsidR="00957AEA" w:rsidRPr="0018386D">
        <w:t xml:space="preserve"> </w:t>
      </w:r>
      <w:r w:rsidR="00047BDB" w:rsidRPr="0018386D">
        <w:t>We</w:t>
      </w:r>
      <w:r w:rsidR="00957AEA" w:rsidRPr="0018386D">
        <w:t xml:space="preserve"> assume there are no electric vehicles</w:t>
      </w:r>
      <w:r w:rsidR="000948CF" w:rsidRPr="0018386D">
        <w:t xml:space="preserve"> or plug</w:t>
      </w:r>
      <w:r w:rsidR="00826588" w:rsidRPr="0018386D">
        <w:t>-</w:t>
      </w:r>
      <w:r w:rsidR="000948CF" w:rsidRPr="0018386D">
        <w:t>in hybrid vehicles</w:t>
      </w:r>
      <w:r w:rsidR="00415689" w:rsidRPr="0018386D">
        <w:t>.</w:t>
      </w:r>
    </w:p>
    <w:p w14:paraId="65091F04" w14:textId="0DB719F9" w:rsidR="00BE16C6" w:rsidRPr="0018386D" w:rsidRDefault="00A519D9" w:rsidP="00DD3106">
      <w:pPr>
        <w:pStyle w:val="Bullet"/>
        <w:spacing w:after="100"/>
      </w:pPr>
      <w:r w:rsidRPr="0018386D">
        <w:t>2010</w:t>
      </w:r>
      <w:r w:rsidR="007040E1" w:rsidRPr="0018386D">
        <w:t>–</w:t>
      </w:r>
      <w:r w:rsidR="00D11881" w:rsidRPr="0018386D">
        <w:t>2015</w:t>
      </w:r>
      <w:r w:rsidR="00BE16C6" w:rsidRPr="0018386D">
        <w:t xml:space="preserve"> fleet is based on the average fuel consumption data from </w:t>
      </w:r>
      <w:r w:rsidR="00F86D20" w:rsidRPr="0018386D">
        <w:t xml:space="preserve">vehicles produced between </w:t>
      </w:r>
      <w:r w:rsidR="00BE16C6" w:rsidRPr="0018386D">
        <w:t xml:space="preserve">2010 </w:t>
      </w:r>
      <w:r w:rsidR="00F86D20" w:rsidRPr="0018386D">
        <w:t>and</w:t>
      </w:r>
      <w:r w:rsidR="00BE16C6" w:rsidRPr="0018386D">
        <w:t xml:space="preserve"> 2015</w:t>
      </w:r>
      <w:r w:rsidR="00DA13B2" w:rsidRPr="0018386D">
        <w:t>.</w:t>
      </w:r>
    </w:p>
    <w:p w14:paraId="65091F05" w14:textId="2D88B2B3" w:rsidR="00BE16C6" w:rsidRPr="0018386D" w:rsidRDefault="00BE16C6" w:rsidP="00DD3106">
      <w:pPr>
        <w:pStyle w:val="Bullet"/>
        <w:spacing w:after="100"/>
      </w:pPr>
      <w:r w:rsidRPr="0018386D">
        <w:t>Post</w:t>
      </w:r>
      <w:r w:rsidR="00D11881" w:rsidRPr="0018386D">
        <w:t>-</w:t>
      </w:r>
      <w:r w:rsidRPr="0018386D">
        <w:t xml:space="preserve">2015 fleet is based on the average fuel </w:t>
      </w:r>
      <w:r w:rsidRPr="0018386D" w:rsidDel="00AB199A">
        <w:t xml:space="preserve">consumption </w:t>
      </w:r>
      <w:r w:rsidR="00AB199A" w:rsidRPr="0018386D">
        <w:t>data</w:t>
      </w:r>
      <w:r w:rsidRPr="0018386D">
        <w:t xml:space="preserve"> from </w:t>
      </w:r>
      <w:r w:rsidR="00F86D20" w:rsidRPr="0018386D">
        <w:t xml:space="preserve">vehicles produced from </w:t>
      </w:r>
      <w:r w:rsidRPr="0018386D">
        <w:t>201</w:t>
      </w:r>
      <w:r w:rsidR="009A633F" w:rsidRPr="0018386D">
        <w:t>6</w:t>
      </w:r>
      <w:r w:rsidR="00F86D20" w:rsidRPr="0018386D">
        <w:t xml:space="preserve"> onwards</w:t>
      </w:r>
      <w:r w:rsidR="00DA13B2" w:rsidRPr="0018386D">
        <w:t>.</w:t>
      </w:r>
    </w:p>
    <w:p w14:paraId="4E422F4A" w14:textId="52FD756D" w:rsidR="00F57192" w:rsidRPr="0018386D" w:rsidRDefault="00F57192" w:rsidP="00DD3106">
      <w:pPr>
        <w:pStyle w:val="BodyText"/>
        <w:spacing w:after="100"/>
      </w:pPr>
      <w:r w:rsidRPr="0018386D">
        <w:t>Note that some guidance documents, such as that published by the UK</w:t>
      </w:r>
      <w:r w:rsidR="001B4CF1" w:rsidRPr="0018386D">
        <w:t xml:space="preserve"> </w:t>
      </w:r>
      <w:r w:rsidRPr="0018386D">
        <w:t xml:space="preserve">Government Department for Business, </w:t>
      </w:r>
      <w:proofErr w:type="gramStart"/>
      <w:r w:rsidRPr="0018386D">
        <w:t>Energy</w:t>
      </w:r>
      <w:proofErr w:type="gramEnd"/>
      <w:r w:rsidRPr="0018386D">
        <w:t xml:space="preserve"> and Industrial Strategy (UK BEIS) apply an uplift factor to passenger vehicles. This accounts for the real-world effects on fuel consumption, such as the use of air conditioning, vehicle payload, gradient and weather. We do not apply an uplift factor here, because the Vehicle Fleet Emissions Model is based on real-world driving and fuel use.</w:t>
      </w:r>
      <w:r w:rsidR="009F4386" w:rsidRPr="0018386D">
        <w:t xml:space="preserve"> </w:t>
      </w:r>
    </w:p>
    <w:p w14:paraId="65091F06" w14:textId="3AEAB3DA" w:rsidR="004116DD" w:rsidRPr="0018386D" w:rsidRDefault="00DA13B2" w:rsidP="00DD3106">
      <w:pPr>
        <w:pStyle w:val="BodyText"/>
      </w:pPr>
      <w:r w:rsidRPr="0018386D">
        <w:t>For each category, d</w:t>
      </w:r>
      <w:r w:rsidR="00497839" w:rsidRPr="0018386D">
        <w:t xml:space="preserve">efault vehicles are based on the </w:t>
      </w:r>
      <w:r w:rsidR="00A519D9" w:rsidRPr="0018386D">
        <w:t>2000</w:t>
      </w:r>
      <w:r w:rsidR="007040E1" w:rsidRPr="0018386D">
        <w:t>–</w:t>
      </w:r>
      <w:r w:rsidR="00497839" w:rsidRPr="0018386D">
        <w:t>3000</w:t>
      </w:r>
      <w:r w:rsidR="00EE0DF2" w:rsidRPr="0018386D">
        <w:t xml:space="preserve"> </w:t>
      </w:r>
      <w:r w:rsidR="00497839" w:rsidRPr="0018386D">
        <w:t>cc engine size</w:t>
      </w:r>
      <w:r w:rsidR="007040E1" w:rsidRPr="0018386D">
        <w:t>,</w:t>
      </w:r>
      <w:r w:rsidR="00497839" w:rsidRPr="0018386D">
        <w:t xml:space="preserve"> as </w:t>
      </w:r>
      <w:r w:rsidRPr="0018386D">
        <w:t xml:space="preserve">it </w:t>
      </w:r>
      <w:r w:rsidR="00497839" w:rsidRPr="0018386D">
        <w:t>is the most common size for light passenger vehicles in New Zealand</w:t>
      </w:r>
      <w:r w:rsidR="004116DD" w:rsidRPr="0018386D">
        <w:t xml:space="preserve"> based on Motor Vehicle </w:t>
      </w:r>
      <w:r w:rsidR="008672E6" w:rsidRPr="0018386D">
        <w:t xml:space="preserve">Register </w:t>
      </w:r>
      <w:r w:rsidR="00E35CB3" w:rsidRPr="0018386D">
        <w:t>open</w:t>
      </w:r>
      <w:r w:rsidR="00CF2E51" w:rsidRPr="0018386D">
        <w:t> </w:t>
      </w:r>
      <w:r w:rsidR="00E35CB3" w:rsidRPr="0018386D">
        <w:t>data</w:t>
      </w:r>
      <w:r w:rsidR="0068080E" w:rsidRPr="0018386D">
        <w:t>.</w:t>
      </w:r>
      <w:r w:rsidR="00E35CB3" w:rsidRPr="0018386D">
        <w:rPr>
          <w:rStyle w:val="FootnoteReference"/>
        </w:rPr>
        <w:footnoteReference w:id="25"/>
      </w:r>
    </w:p>
    <w:p w14:paraId="65091F07" w14:textId="5FE7E9C5" w:rsidR="002A6897" w:rsidRPr="0018386D" w:rsidRDefault="00C7627E" w:rsidP="00DD3106">
      <w:pPr>
        <w:pStyle w:val="BodyText"/>
      </w:pPr>
      <w:hyperlink w:anchor="table23" w:history="1">
        <w:r w:rsidR="00CF2E51" w:rsidRPr="0018386D">
          <w:rPr>
            <w:rStyle w:val="Hyperlink"/>
          </w:rPr>
          <w:t>Table 2</w:t>
        </w:r>
        <w:r w:rsidR="00772C50" w:rsidRPr="0018386D">
          <w:rPr>
            <w:rStyle w:val="Hyperlink"/>
          </w:rPr>
          <w:t>3</w:t>
        </w:r>
      </w:hyperlink>
      <w:r w:rsidR="00CF2E51" w:rsidRPr="0018386D">
        <w:t xml:space="preserve"> </w:t>
      </w:r>
      <w:r w:rsidR="00047BDB" w:rsidRPr="0018386D">
        <w:t>details t</w:t>
      </w:r>
      <w:r w:rsidR="002A6897" w:rsidRPr="0018386D">
        <w:t>he average fuel consumption rates for the vehicles</w:t>
      </w:r>
      <w:r w:rsidR="00DA13B2" w:rsidRPr="0018386D">
        <w:t>.</w:t>
      </w:r>
    </w:p>
    <w:p w14:paraId="65091F08" w14:textId="78BE6499" w:rsidR="00A3429F" w:rsidRPr="0018386D" w:rsidRDefault="00A3429F" w:rsidP="00DD3106">
      <w:pPr>
        <w:pStyle w:val="Tableheading"/>
      </w:pPr>
      <w:bookmarkStart w:id="427" w:name="_Ref529723113"/>
      <w:bookmarkStart w:id="428" w:name="table22"/>
      <w:bookmarkStart w:id="429" w:name="table23"/>
      <w:bookmarkStart w:id="430" w:name="_Toc111536628"/>
      <w:bookmarkStart w:id="431" w:name="_Toc140048963"/>
      <w:r w:rsidRPr="0018386D">
        <w:lastRenderedPageBreak/>
        <w:t xml:space="preserve">Table </w:t>
      </w:r>
      <w:r w:rsidRPr="0018386D">
        <w:fldChar w:fldCharType="begin"/>
      </w:r>
      <w:r w:rsidRPr="0018386D">
        <w:instrText>SEQ Table \* ARABIC</w:instrText>
      </w:r>
      <w:r w:rsidRPr="0018386D">
        <w:fldChar w:fldCharType="separate"/>
      </w:r>
      <w:r w:rsidR="003E141C" w:rsidRPr="0018386D">
        <w:t>23</w:t>
      </w:r>
      <w:r w:rsidRPr="0018386D">
        <w:fldChar w:fldCharType="end"/>
      </w:r>
      <w:bookmarkEnd w:id="427"/>
      <w:bookmarkEnd w:id="428"/>
      <w:bookmarkEnd w:id="429"/>
      <w:r w:rsidR="007040E1" w:rsidRPr="0018386D">
        <w:t>:</w:t>
      </w:r>
      <w:r w:rsidR="007040E1" w:rsidRPr="0018386D">
        <w:tab/>
      </w:r>
      <w:r w:rsidRPr="0018386D">
        <w:t>Fuel consumption in litres per 100</w:t>
      </w:r>
      <w:r w:rsidR="00DA13B2" w:rsidRPr="0018386D">
        <w:t xml:space="preserve"> </w:t>
      </w:r>
      <w:r w:rsidRPr="0018386D">
        <w:t>km</w:t>
      </w:r>
      <w:bookmarkEnd w:id="430"/>
      <w:bookmarkEnd w:id="431"/>
    </w:p>
    <w:tbl>
      <w:tblPr>
        <w:tblStyle w:val="LightList-Accent11"/>
        <w:tblW w:w="8505" w:type="dxa"/>
        <w:tblLayout w:type="fixed"/>
        <w:tblLook w:val="04A0" w:firstRow="1" w:lastRow="0" w:firstColumn="1" w:lastColumn="0" w:noHBand="0" w:noVBand="1"/>
      </w:tblPr>
      <w:tblGrid>
        <w:gridCol w:w="2237"/>
        <w:gridCol w:w="1689"/>
        <w:gridCol w:w="792"/>
        <w:gridCol w:w="1262"/>
        <w:gridCol w:w="1262"/>
        <w:gridCol w:w="1263"/>
      </w:tblGrid>
      <w:tr w:rsidR="00DA7DED" w:rsidRPr="0018386D" w14:paraId="7655F1B0" w14:textId="77777777" w:rsidTr="001944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6" w:type="dxa"/>
            <w:gridSpan w:val="2"/>
            <w:vMerge w:val="restart"/>
            <w:shd w:val="clear" w:color="auto" w:fill="1B556B" w:themeFill="text2"/>
            <w:noWrap/>
            <w:vAlign w:val="bottom"/>
          </w:tcPr>
          <w:p w14:paraId="035C34EF" w14:textId="4F64CBBB" w:rsidR="00DA7DED" w:rsidRPr="0018386D" w:rsidRDefault="00DA7DED" w:rsidP="00DD3106">
            <w:pPr>
              <w:pStyle w:val="TableText"/>
              <w:keepNext/>
              <w:spacing w:before="30" w:after="30"/>
              <w:rPr>
                <w:szCs w:val="18"/>
              </w:rPr>
            </w:pPr>
            <w:r w:rsidRPr="0018386D">
              <w:rPr>
                <w:szCs w:val="18"/>
              </w:rPr>
              <w:t>Emission source</w:t>
            </w:r>
          </w:p>
        </w:tc>
        <w:tc>
          <w:tcPr>
            <w:tcW w:w="792" w:type="dxa"/>
            <w:vMerge w:val="restart"/>
            <w:shd w:val="clear" w:color="auto" w:fill="1B556B" w:themeFill="text2"/>
            <w:vAlign w:val="bottom"/>
          </w:tcPr>
          <w:p w14:paraId="03675712" w14:textId="75B01002" w:rsidR="00DA7DED" w:rsidRPr="0018386D" w:rsidRDefault="00DA7DED" w:rsidP="00DD3106">
            <w:pPr>
              <w:pStyle w:val="TableText"/>
              <w:keepNext/>
              <w:spacing w:before="30" w:after="30"/>
              <w:cnfStyle w:val="100000000000" w:firstRow="1" w:lastRow="0" w:firstColumn="0" w:lastColumn="0" w:oddVBand="0" w:evenVBand="0" w:oddHBand="0" w:evenHBand="0" w:firstRowFirstColumn="0" w:firstRowLastColumn="0" w:lastRowFirstColumn="0" w:lastRowLastColumn="0"/>
              <w:rPr>
                <w:szCs w:val="18"/>
              </w:rPr>
            </w:pPr>
            <w:r w:rsidRPr="0018386D">
              <w:rPr>
                <w:szCs w:val="18"/>
              </w:rPr>
              <w:t xml:space="preserve">Units </w:t>
            </w:r>
          </w:p>
        </w:tc>
        <w:tc>
          <w:tcPr>
            <w:tcW w:w="3787" w:type="dxa"/>
            <w:gridSpan w:val="3"/>
            <w:shd w:val="clear" w:color="auto" w:fill="1B556B" w:themeFill="text2"/>
            <w:noWrap/>
            <w:vAlign w:val="bottom"/>
          </w:tcPr>
          <w:p w14:paraId="4D955E78" w14:textId="4FB9EB52" w:rsidR="00DA7DED" w:rsidRPr="0018386D" w:rsidRDefault="00DA7DED" w:rsidP="00DD3106">
            <w:pPr>
              <w:pStyle w:val="TableText"/>
              <w:keepNext/>
              <w:spacing w:before="30" w:after="0"/>
              <w:jc w:val="center"/>
              <w:cnfStyle w:val="100000000000" w:firstRow="1" w:lastRow="0" w:firstColumn="0" w:lastColumn="0" w:oddVBand="0" w:evenVBand="0" w:oddHBand="0" w:evenHBand="0" w:firstRowFirstColumn="0" w:firstRowLastColumn="0" w:lastRowFirstColumn="0" w:lastRowLastColumn="0"/>
              <w:rPr>
                <w:szCs w:val="18"/>
              </w:rPr>
            </w:pPr>
            <w:r w:rsidRPr="0018386D">
              <w:rPr>
                <w:szCs w:val="18"/>
              </w:rPr>
              <w:t>Units of energy consumed per 100 km</w:t>
            </w:r>
          </w:p>
        </w:tc>
      </w:tr>
      <w:tr w:rsidR="00DA7DED" w:rsidRPr="0018386D" w14:paraId="65091F0D" w14:textId="77777777" w:rsidTr="005E2B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6" w:type="dxa"/>
            <w:gridSpan w:val="2"/>
            <w:vMerge/>
            <w:shd w:val="clear" w:color="auto" w:fill="1B556B" w:themeFill="text2"/>
            <w:noWrap/>
            <w:hideMark/>
          </w:tcPr>
          <w:p w14:paraId="65091F09" w14:textId="65156A2A" w:rsidR="00DA7DED" w:rsidRPr="0018386D" w:rsidRDefault="00DA7DED" w:rsidP="00DD3106">
            <w:pPr>
              <w:pStyle w:val="TableText"/>
              <w:keepNext/>
              <w:spacing w:before="30" w:after="30"/>
              <w:rPr>
                <w:szCs w:val="18"/>
              </w:rPr>
            </w:pPr>
          </w:p>
        </w:tc>
        <w:tc>
          <w:tcPr>
            <w:tcW w:w="792" w:type="dxa"/>
            <w:vMerge/>
            <w:shd w:val="clear" w:color="auto" w:fill="1B556B" w:themeFill="text2"/>
          </w:tcPr>
          <w:p w14:paraId="2D41AB7C" w14:textId="463612C0" w:rsidR="00DA7DED" w:rsidRPr="0018386D" w:rsidRDefault="00DA7DED" w:rsidP="00DD3106">
            <w:pPr>
              <w:pStyle w:val="TableText"/>
              <w:keepNext/>
              <w:spacing w:before="30" w:after="30"/>
              <w:cnfStyle w:val="100000000000" w:firstRow="1" w:lastRow="0" w:firstColumn="0" w:lastColumn="0" w:oddVBand="0" w:evenVBand="0" w:oddHBand="0" w:evenHBand="0" w:firstRowFirstColumn="0" w:firstRowLastColumn="0" w:lastRowFirstColumn="0" w:lastRowLastColumn="0"/>
              <w:rPr>
                <w:b w:val="0"/>
                <w:szCs w:val="18"/>
              </w:rPr>
            </w:pPr>
          </w:p>
        </w:tc>
        <w:tc>
          <w:tcPr>
            <w:tcW w:w="1262" w:type="dxa"/>
            <w:shd w:val="clear" w:color="auto" w:fill="1B556B" w:themeFill="text2"/>
            <w:noWrap/>
            <w:hideMark/>
          </w:tcPr>
          <w:p w14:paraId="65091F0A" w14:textId="53C4E61C" w:rsidR="00DA7DED" w:rsidRPr="0018386D" w:rsidRDefault="00DA7DED" w:rsidP="00DD3106">
            <w:pPr>
              <w:pStyle w:val="TableText"/>
              <w:keepNext/>
              <w:spacing w:before="30" w:after="30"/>
              <w:jc w:val="right"/>
              <w:cnfStyle w:val="100000000000" w:firstRow="1" w:lastRow="0" w:firstColumn="0" w:lastColumn="0" w:oddVBand="0" w:evenVBand="0" w:oddHBand="0" w:evenHBand="0" w:firstRowFirstColumn="0" w:firstRowLastColumn="0" w:lastRowFirstColumn="0" w:lastRowLastColumn="0"/>
              <w:rPr>
                <w:b w:val="0"/>
                <w:szCs w:val="18"/>
              </w:rPr>
            </w:pPr>
            <w:r w:rsidRPr="0018386D">
              <w:rPr>
                <w:szCs w:val="18"/>
              </w:rPr>
              <w:t>Pre-2010</w:t>
            </w:r>
          </w:p>
        </w:tc>
        <w:tc>
          <w:tcPr>
            <w:tcW w:w="1262" w:type="dxa"/>
            <w:shd w:val="clear" w:color="auto" w:fill="1B556B" w:themeFill="text2"/>
            <w:noWrap/>
            <w:hideMark/>
          </w:tcPr>
          <w:p w14:paraId="65091F0B" w14:textId="0C1783D5" w:rsidR="00DA7DED" w:rsidRPr="0018386D" w:rsidRDefault="00DA7DED" w:rsidP="00DD3106">
            <w:pPr>
              <w:pStyle w:val="TableText"/>
              <w:keepNext/>
              <w:spacing w:before="30" w:after="30"/>
              <w:jc w:val="right"/>
              <w:cnfStyle w:val="100000000000" w:firstRow="1" w:lastRow="0" w:firstColumn="0" w:lastColumn="0" w:oddVBand="0" w:evenVBand="0" w:oddHBand="0" w:evenHBand="0" w:firstRowFirstColumn="0" w:firstRowLastColumn="0" w:lastRowFirstColumn="0" w:lastRowLastColumn="0"/>
              <w:rPr>
                <w:b w:val="0"/>
                <w:szCs w:val="18"/>
              </w:rPr>
            </w:pPr>
            <w:r w:rsidRPr="0018386D">
              <w:rPr>
                <w:szCs w:val="18"/>
              </w:rPr>
              <w:t xml:space="preserve">2010–2015 </w:t>
            </w:r>
          </w:p>
        </w:tc>
        <w:tc>
          <w:tcPr>
            <w:tcW w:w="1263" w:type="dxa"/>
            <w:tcBorders>
              <w:bottom w:val="single" w:sz="8" w:space="0" w:color="1C556C" w:themeColor="accent1"/>
            </w:tcBorders>
            <w:shd w:val="clear" w:color="auto" w:fill="1B556B" w:themeFill="text2"/>
            <w:noWrap/>
            <w:hideMark/>
          </w:tcPr>
          <w:p w14:paraId="65091F0C" w14:textId="67E92265" w:rsidR="00DA7DED" w:rsidRPr="0018386D" w:rsidRDefault="00DA7DED" w:rsidP="00DD3106">
            <w:pPr>
              <w:pStyle w:val="TableText"/>
              <w:keepNext/>
              <w:spacing w:before="30" w:after="30"/>
              <w:jc w:val="right"/>
              <w:cnfStyle w:val="100000000000" w:firstRow="1" w:lastRow="0" w:firstColumn="0" w:lastColumn="0" w:oddVBand="0" w:evenVBand="0" w:oddHBand="0" w:evenHBand="0" w:firstRowFirstColumn="0" w:firstRowLastColumn="0" w:lastRowFirstColumn="0" w:lastRowLastColumn="0"/>
              <w:rPr>
                <w:b w:val="0"/>
                <w:szCs w:val="18"/>
              </w:rPr>
            </w:pPr>
            <w:r w:rsidRPr="0018386D">
              <w:rPr>
                <w:szCs w:val="18"/>
              </w:rPr>
              <w:t xml:space="preserve">Post-2015 </w:t>
            </w:r>
          </w:p>
        </w:tc>
      </w:tr>
      <w:tr w:rsidR="00D83609" w:rsidRPr="0018386D" w14:paraId="65091F13"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nil"/>
            </w:tcBorders>
            <w:hideMark/>
          </w:tcPr>
          <w:p w14:paraId="65091F0E" w14:textId="77777777" w:rsidR="00D83609" w:rsidRPr="0018386D" w:rsidRDefault="00D83609" w:rsidP="00DD3106">
            <w:pPr>
              <w:pStyle w:val="TableText"/>
              <w:keepNext/>
              <w:spacing w:before="30" w:after="30"/>
              <w:rPr>
                <w:b w:val="0"/>
                <w:szCs w:val="18"/>
              </w:rPr>
            </w:pPr>
            <w:r w:rsidRPr="0018386D">
              <w:rPr>
                <w:b w:val="0"/>
                <w:szCs w:val="18"/>
              </w:rPr>
              <w:t>Petrol vehicle</w:t>
            </w:r>
          </w:p>
        </w:tc>
        <w:tc>
          <w:tcPr>
            <w:tcW w:w="1689" w:type="dxa"/>
            <w:noWrap/>
            <w:hideMark/>
          </w:tcPr>
          <w:p w14:paraId="65091F0F" w14:textId="77777777" w:rsidR="00D83609" w:rsidRPr="0018386D" w:rsidRDefault="00D83609"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&lt;1350 cc</w:t>
            </w:r>
          </w:p>
        </w:tc>
        <w:tc>
          <w:tcPr>
            <w:tcW w:w="792" w:type="dxa"/>
          </w:tcPr>
          <w:p w14:paraId="36ED43F6" w14:textId="26668C5F" w:rsidR="00D83609" w:rsidRPr="0018386D" w:rsidRDefault="00D83609"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10" w14:textId="5F000142"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7.922</w:t>
            </w:r>
          </w:p>
        </w:tc>
        <w:tc>
          <w:tcPr>
            <w:tcW w:w="1262" w:type="dxa"/>
            <w:noWrap/>
          </w:tcPr>
          <w:p w14:paraId="65091F11" w14:textId="1E3D20E3"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7.021</w:t>
            </w:r>
          </w:p>
        </w:tc>
        <w:tc>
          <w:tcPr>
            <w:tcW w:w="1263" w:type="dxa"/>
            <w:tcBorders>
              <w:right w:val="nil"/>
            </w:tcBorders>
            <w:noWrap/>
          </w:tcPr>
          <w:p w14:paraId="65091F12" w14:textId="2A236B20"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6.490</w:t>
            </w:r>
          </w:p>
        </w:tc>
      </w:tr>
      <w:tr w:rsidR="00D83609" w:rsidRPr="0018386D" w14:paraId="65091F19"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14" w14:textId="77777777" w:rsidR="00D83609" w:rsidRPr="0018386D" w:rsidRDefault="00D83609" w:rsidP="00DD3106">
            <w:pPr>
              <w:pStyle w:val="TableText"/>
              <w:keepNext/>
              <w:spacing w:before="30" w:after="30"/>
              <w:rPr>
                <w:b w:val="0"/>
                <w:szCs w:val="18"/>
              </w:rPr>
            </w:pPr>
          </w:p>
        </w:tc>
        <w:tc>
          <w:tcPr>
            <w:tcW w:w="1689" w:type="dxa"/>
            <w:noWrap/>
            <w:hideMark/>
          </w:tcPr>
          <w:p w14:paraId="65091F15" w14:textId="65214A0C"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1350</w:t>
            </w:r>
            <w:r w:rsidR="00E53D77" w:rsidRPr="0018386D">
              <w:rPr>
                <w:szCs w:val="18"/>
              </w:rPr>
              <w:t>–</w:t>
            </w:r>
            <w:r w:rsidRPr="0018386D">
              <w:rPr>
                <w:szCs w:val="18"/>
              </w:rPr>
              <w:t>&lt;1600 cc</w:t>
            </w:r>
          </w:p>
        </w:tc>
        <w:tc>
          <w:tcPr>
            <w:tcW w:w="792" w:type="dxa"/>
          </w:tcPr>
          <w:p w14:paraId="20EFE864" w14:textId="3BE9450A"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16" w14:textId="2BD1691E"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8.199</w:t>
            </w:r>
          </w:p>
        </w:tc>
        <w:tc>
          <w:tcPr>
            <w:tcW w:w="1262" w:type="dxa"/>
            <w:noWrap/>
          </w:tcPr>
          <w:p w14:paraId="65091F17" w14:textId="1BBA6A1C"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7.266</w:t>
            </w:r>
          </w:p>
        </w:tc>
        <w:tc>
          <w:tcPr>
            <w:tcW w:w="1263" w:type="dxa"/>
            <w:tcBorders>
              <w:top w:val="single" w:sz="8" w:space="0" w:color="1C556C" w:themeColor="accent1"/>
              <w:bottom w:val="single" w:sz="8" w:space="0" w:color="1C556C" w:themeColor="accent1"/>
              <w:right w:val="nil"/>
            </w:tcBorders>
            <w:noWrap/>
          </w:tcPr>
          <w:p w14:paraId="65091F18" w14:textId="59856F37"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6.717</w:t>
            </w:r>
          </w:p>
        </w:tc>
      </w:tr>
      <w:tr w:rsidR="00D83609" w:rsidRPr="0018386D" w14:paraId="65091F1F"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1A" w14:textId="77777777" w:rsidR="00D83609" w:rsidRPr="0018386D" w:rsidRDefault="00D83609" w:rsidP="00DD3106">
            <w:pPr>
              <w:pStyle w:val="TableText"/>
              <w:spacing w:before="30" w:after="30"/>
              <w:rPr>
                <w:b w:val="0"/>
                <w:szCs w:val="18"/>
              </w:rPr>
            </w:pPr>
          </w:p>
        </w:tc>
        <w:tc>
          <w:tcPr>
            <w:tcW w:w="1689" w:type="dxa"/>
            <w:noWrap/>
            <w:hideMark/>
          </w:tcPr>
          <w:p w14:paraId="65091F1B" w14:textId="5F5D9A9E"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1600</w:t>
            </w:r>
            <w:r w:rsidR="00E53D77" w:rsidRPr="0018386D">
              <w:rPr>
                <w:szCs w:val="18"/>
              </w:rPr>
              <w:t>–</w:t>
            </w:r>
            <w:r w:rsidRPr="0018386D">
              <w:rPr>
                <w:szCs w:val="18"/>
              </w:rPr>
              <w:t>&lt;2000 cc</w:t>
            </w:r>
          </w:p>
        </w:tc>
        <w:tc>
          <w:tcPr>
            <w:tcW w:w="792" w:type="dxa"/>
          </w:tcPr>
          <w:p w14:paraId="2537F039" w14:textId="670301CB"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1C" w14:textId="6F086FE9"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9.232</w:t>
            </w:r>
          </w:p>
        </w:tc>
        <w:tc>
          <w:tcPr>
            <w:tcW w:w="1262" w:type="dxa"/>
            <w:noWrap/>
          </w:tcPr>
          <w:p w14:paraId="65091F1D" w14:textId="31BA432B"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8.181</w:t>
            </w:r>
          </w:p>
        </w:tc>
        <w:tc>
          <w:tcPr>
            <w:tcW w:w="1263" w:type="dxa"/>
            <w:tcBorders>
              <w:right w:val="nil"/>
            </w:tcBorders>
            <w:noWrap/>
          </w:tcPr>
          <w:p w14:paraId="65091F1E" w14:textId="51AF9679"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7.563</w:t>
            </w:r>
          </w:p>
        </w:tc>
      </w:tr>
      <w:tr w:rsidR="00D83609" w:rsidRPr="0018386D" w14:paraId="65091F25"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20" w14:textId="77777777" w:rsidR="00D83609" w:rsidRPr="0018386D" w:rsidRDefault="00D83609" w:rsidP="00DD3106">
            <w:pPr>
              <w:pStyle w:val="TableText"/>
              <w:spacing w:before="30" w:after="30"/>
              <w:rPr>
                <w:b w:val="0"/>
                <w:szCs w:val="18"/>
              </w:rPr>
            </w:pPr>
          </w:p>
        </w:tc>
        <w:tc>
          <w:tcPr>
            <w:tcW w:w="1689" w:type="dxa"/>
            <w:noWrap/>
            <w:hideMark/>
          </w:tcPr>
          <w:p w14:paraId="65091F21" w14:textId="0E9B70C8"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2000</w:t>
            </w:r>
            <w:r w:rsidR="00E53D77" w:rsidRPr="0018386D">
              <w:rPr>
                <w:szCs w:val="18"/>
              </w:rPr>
              <w:t>–</w:t>
            </w:r>
            <w:r w:rsidRPr="0018386D">
              <w:rPr>
                <w:szCs w:val="18"/>
              </w:rPr>
              <w:t>&lt;3000 cc</w:t>
            </w:r>
          </w:p>
        </w:tc>
        <w:tc>
          <w:tcPr>
            <w:tcW w:w="792" w:type="dxa"/>
          </w:tcPr>
          <w:p w14:paraId="2FF51D69" w14:textId="7968A428"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22" w14:textId="582C6F3B"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10.254</w:t>
            </w:r>
          </w:p>
        </w:tc>
        <w:tc>
          <w:tcPr>
            <w:tcW w:w="1262" w:type="dxa"/>
            <w:noWrap/>
          </w:tcPr>
          <w:p w14:paraId="65091F23" w14:textId="3BB40B04"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9.087</w:t>
            </w:r>
          </w:p>
        </w:tc>
        <w:tc>
          <w:tcPr>
            <w:tcW w:w="1263" w:type="dxa"/>
            <w:tcBorders>
              <w:top w:val="single" w:sz="8" w:space="0" w:color="1C556C" w:themeColor="accent1"/>
              <w:bottom w:val="single" w:sz="8" w:space="0" w:color="1C556C" w:themeColor="accent1"/>
              <w:right w:val="nil"/>
            </w:tcBorders>
            <w:noWrap/>
          </w:tcPr>
          <w:p w14:paraId="65091F24" w14:textId="05177777"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8.401</w:t>
            </w:r>
          </w:p>
        </w:tc>
      </w:tr>
      <w:tr w:rsidR="00D83609" w:rsidRPr="0018386D" w14:paraId="65091F2B"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26" w14:textId="77777777" w:rsidR="00D83609" w:rsidRPr="0018386D" w:rsidRDefault="00D83609" w:rsidP="00DD3106">
            <w:pPr>
              <w:pStyle w:val="TableText"/>
              <w:spacing w:before="30" w:after="30"/>
              <w:rPr>
                <w:b w:val="0"/>
                <w:szCs w:val="18"/>
              </w:rPr>
            </w:pPr>
          </w:p>
        </w:tc>
        <w:tc>
          <w:tcPr>
            <w:tcW w:w="1689" w:type="dxa"/>
            <w:noWrap/>
            <w:hideMark/>
          </w:tcPr>
          <w:p w14:paraId="65091F27" w14:textId="77777777"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≥3000 cc</w:t>
            </w:r>
          </w:p>
        </w:tc>
        <w:tc>
          <w:tcPr>
            <w:tcW w:w="792" w:type="dxa"/>
          </w:tcPr>
          <w:p w14:paraId="6F56ABD8" w14:textId="5DCB8438"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28" w14:textId="704ECFFE"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12.267</w:t>
            </w:r>
          </w:p>
        </w:tc>
        <w:tc>
          <w:tcPr>
            <w:tcW w:w="1262" w:type="dxa"/>
            <w:noWrap/>
          </w:tcPr>
          <w:p w14:paraId="65091F29" w14:textId="1A8E3338"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10.871</w:t>
            </w:r>
          </w:p>
        </w:tc>
        <w:tc>
          <w:tcPr>
            <w:tcW w:w="1263" w:type="dxa"/>
            <w:tcBorders>
              <w:right w:val="nil"/>
            </w:tcBorders>
            <w:noWrap/>
          </w:tcPr>
          <w:p w14:paraId="65091F2A" w14:textId="5C4FAD34"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10.050</w:t>
            </w:r>
          </w:p>
        </w:tc>
      </w:tr>
      <w:tr w:rsidR="00D83609" w:rsidRPr="0018386D" w14:paraId="65091F31"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single" w:sz="8" w:space="0" w:color="1C556C" w:themeColor="accent1"/>
              <w:left w:val="nil"/>
              <w:bottom w:val="single" w:sz="8" w:space="0" w:color="1C556C" w:themeColor="accent1"/>
            </w:tcBorders>
            <w:hideMark/>
          </w:tcPr>
          <w:p w14:paraId="65091F2C" w14:textId="77777777" w:rsidR="00D83609" w:rsidRPr="0018386D" w:rsidRDefault="00D83609" w:rsidP="00DD3106">
            <w:pPr>
              <w:pStyle w:val="TableText"/>
              <w:spacing w:before="30" w:after="30"/>
              <w:rPr>
                <w:b w:val="0"/>
                <w:szCs w:val="18"/>
              </w:rPr>
            </w:pPr>
            <w:r w:rsidRPr="0018386D">
              <w:rPr>
                <w:b w:val="0"/>
                <w:szCs w:val="18"/>
              </w:rPr>
              <w:t>Diesel vehicle</w:t>
            </w:r>
          </w:p>
        </w:tc>
        <w:tc>
          <w:tcPr>
            <w:tcW w:w="1689" w:type="dxa"/>
            <w:noWrap/>
            <w:hideMark/>
          </w:tcPr>
          <w:p w14:paraId="65091F2D" w14:textId="77777777"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&lt;1350 cc</w:t>
            </w:r>
          </w:p>
        </w:tc>
        <w:tc>
          <w:tcPr>
            <w:tcW w:w="792" w:type="dxa"/>
          </w:tcPr>
          <w:p w14:paraId="2F4EEA5C" w14:textId="639C46A3"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2E" w14:textId="77B49721"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7.884</w:t>
            </w:r>
          </w:p>
        </w:tc>
        <w:tc>
          <w:tcPr>
            <w:tcW w:w="1262" w:type="dxa"/>
            <w:noWrap/>
          </w:tcPr>
          <w:p w14:paraId="65091F2F" w14:textId="6616B4C3"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6.999</w:t>
            </w:r>
          </w:p>
        </w:tc>
        <w:tc>
          <w:tcPr>
            <w:tcW w:w="1263" w:type="dxa"/>
            <w:tcBorders>
              <w:bottom w:val="single" w:sz="8" w:space="0" w:color="1C556C" w:themeColor="accent1"/>
            </w:tcBorders>
            <w:noWrap/>
          </w:tcPr>
          <w:p w14:paraId="65091F30" w14:textId="10218CB6"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6.548</w:t>
            </w:r>
          </w:p>
        </w:tc>
      </w:tr>
      <w:tr w:rsidR="00D83609" w:rsidRPr="0018386D" w14:paraId="65091F37"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32" w14:textId="77777777" w:rsidR="00D83609" w:rsidRPr="0018386D" w:rsidRDefault="00D83609" w:rsidP="00DD3106">
            <w:pPr>
              <w:pStyle w:val="TableText"/>
              <w:spacing w:before="30" w:after="30"/>
              <w:rPr>
                <w:b w:val="0"/>
                <w:szCs w:val="18"/>
              </w:rPr>
            </w:pPr>
          </w:p>
        </w:tc>
        <w:tc>
          <w:tcPr>
            <w:tcW w:w="1689" w:type="dxa"/>
            <w:noWrap/>
            <w:hideMark/>
          </w:tcPr>
          <w:p w14:paraId="65091F33" w14:textId="2EE3668F"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1350</w:t>
            </w:r>
            <w:r w:rsidR="00E53D77" w:rsidRPr="0018386D">
              <w:rPr>
                <w:szCs w:val="18"/>
              </w:rPr>
              <w:t>–</w:t>
            </w:r>
            <w:r w:rsidRPr="0018386D">
              <w:rPr>
                <w:szCs w:val="18"/>
              </w:rPr>
              <w:t>&lt;1600 cc</w:t>
            </w:r>
          </w:p>
        </w:tc>
        <w:tc>
          <w:tcPr>
            <w:tcW w:w="792" w:type="dxa"/>
          </w:tcPr>
          <w:p w14:paraId="61D6B93D" w14:textId="7D4EC370"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34" w14:textId="721FDCDC"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7.587</w:t>
            </w:r>
          </w:p>
        </w:tc>
        <w:tc>
          <w:tcPr>
            <w:tcW w:w="1262" w:type="dxa"/>
            <w:noWrap/>
          </w:tcPr>
          <w:p w14:paraId="65091F35" w14:textId="4B68CD58"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6.735</w:t>
            </w:r>
          </w:p>
        </w:tc>
        <w:tc>
          <w:tcPr>
            <w:tcW w:w="1263" w:type="dxa"/>
            <w:tcBorders>
              <w:right w:val="nil"/>
            </w:tcBorders>
            <w:noWrap/>
          </w:tcPr>
          <w:p w14:paraId="65091F36" w14:textId="0E9A98B1"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6.301</w:t>
            </w:r>
          </w:p>
        </w:tc>
      </w:tr>
      <w:tr w:rsidR="00D83609" w:rsidRPr="0018386D" w14:paraId="65091F3D"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38" w14:textId="77777777" w:rsidR="00D83609" w:rsidRPr="0018386D" w:rsidRDefault="00D83609" w:rsidP="00DD3106">
            <w:pPr>
              <w:pStyle w:val="TableText"/>
              <w:spacing w:before="30" w:after="30"/>
              <w:rPr>
                <w:b w:val="0"/>
                <w:szCs w:val="18"/>
              </w:rPr>
            </w:pPr>
          </w:p>
        </w:tc>
        <w:tc>
          <w:tcPr>
            <w:tcW w:w="1689" w:type="dxa"/>
            <w:noWrap/>
            <w:hideMark/>
          </w:tcPr>
          <w:p w14:paraId="65091F39" w14:textId="0FF7FB20"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1917B408" w14:textId="51AC92ED"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3A" w14:textId="5BE06B1B"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8.042</w:t>
            </w:r>
          </w:p>
        </w:tc>
        <w:tc>
          <w:tcPr>
            <w:tcW w:w="1262" w:type="dxa"/>
            <w:noWrap/>
          </w:tcPr>
          <w:p w14:paraId="65091F3B" w14:textId="4B79DC79"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7.138</w:t>
            </w:r>
          </w:p>
        </w:tc>
        <w:tc>
          <w:tcPr>
            <w:tcW w:w="1263" w:type="dxa"/>
            <w:tcBorders>
              <w:top w:val="single" w:sz="8" w:space="0" w:color="1C556C" w:themeColor="accent1"/>
              <w:bottom w:val="single" w:sz="8" w:space="0" w:color="1C556C" w:themeColor="accent1"/>
              <w:right w:val="nil"/>
            </w:tcBorders>
            <w:noWrap/>
          </w:tcPr>
          <w:p w14:paraId="65091F3C" w14:textId="1D0BFCDA"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6.678</w:t>
            </w:r>
          </w:p>
        </w:tc>
      </w:tr>
      <w:tr w:rsidR="00D83609" w:rsidRPr="0018386D" w14:paraId="65091F43"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3E" w14:textId="77777777" w:rsidR="00D83609" w:rsidRPr="0018386D" w:rsidRDefault="00D83609" w:rsidP="00DD3106">
            <w:pPr>
              <w:pStyle w:val="TableText"/>
              <w:spacing w:before="30" w:after="30"/>
              <w:rPr>
                <w:b w:val="0"/>
                <w:szCs w:val="18"/>
              </w:rPr>
            </w:pPr>
          </w:p>
        </w:tc>
        <w:tc>
          <w:tcPr>
            <w:tcW w:w="1689" w:type="dxa"/>
            <w:noWrap/>
            <w:hideMark/>
          </w:tcPr>
          <w:p w14:paraId="65091F3F" w14:textId="230EEF07"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7DC10F4C" w14:textId="1A00288B"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40" w14:textId="6FF00A70"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9.886</w:t>
            </w:r>
          </w:p>
        </w:tc>
        <w:tc>
          <w:tcPr>
            <w:tcW w:w="1262" w:type="dxa"/>
            <w:noWrap/>
          </w:tcPr>
          <w:p w14:paraId="65091F41" w14:textId="66CD6352"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8.775</w:t>
            </w:r>
          </w:p>
        </w:tc>
        <w:tc>
          <w:tcPr>
            <w:tcW w:w="1263" w:type="dxa"/>
            <w:tcBorders>
              <w:right w:val="nil"/>
            </w:tcBorders>
            <w:noWrap/>
          </w:tcPr>
          <w:p w14:paraId="65091F42" w14:textId="70682BB6"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8.205</w:t>
            </w:r>
          </w:p>
        </w:tc>
      </w:tr>
      <w:tr w:rsidR="00D83609" w:rsidRPr="0018386D" w14:paraId="65091F49"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44" w14:textId="77777777" w:rsidR="00D83609" w:rsidRPr="0018386D" w:rsidRDefault="00D83609" w:rsidP="00DD3106">
            <w:pPr>
              <w:pStyle w:val="TableText"/>
              <w:spacing w:before="30" w:after="30"/>
              <w:rPr>
                <w:b w:val="0"/>
                <w:szCs w:val="18"/>
              </w:rPr>
            </w:pPr>
          </w:p>
        </w:tc>
        <w:tc>
          <w:tcPr>
            <w:tcW w:w="1689" w:type="dxa"/>
            <w:noWrap/>
            <w:hideMark/>
          </w:tcPr>
          <w:p w14:paraId="65091F45" w14:textId="77777777"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≥3000 cc</w:t>
            </w:r>
          </w:p>
        </w:tc>
        <w:tc>
          <w:tcPr>
            <w:tcW w:w="792" w:type="dxa"/>
          </w:tcPr>
          <w:p w14:paraId="07421CA9" w14:textId="13202661"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46" w14:textId="6761C6AC"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10.966</w:t>
            </w:r>
          </w:p>
        </w:tc>
        <w:tc>
          <w:tcPr>
            <w:tcW w:w="1262" w:type="dxa"/>
            <w:noWrap/>
          </w:tcPr>
          <w:p w14:paraId="65091F47" w14:textId="4BB3B6B7"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9.734</w:t>
            </w:r>
          </w:p>
        </w:tc>
        <w:tc>
          <w:tcPr>
            <w:tcW w:w="1263" w:type="dxa"/>
            <w:tcBorders>
              <w:top w:val="single" w:sz="8" w:space="0" w:color="1C556C" w:themeColor="accent1"/>
              <w:bottom w:val="single" w:sz="8" w:space="0" w:color="1C556C" w:themeColor="accent1"/>
              <w:right w:val="nil"/>
            </w:tcBorders>
            <w:noWrap/>
          </w:tcPr>
          <w:p w14:paraId="65091F48" w14:textId="4875770D"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9.101</w:t>
            </w:r>
          </w:p>
        </w:tc>
      </w:tr>
      <w:tr w:rsidR="00D83609" w:rsidRPr="0018386D" w14:paraId="65091F4F" w14:textId="77777777" w:rsidTr="005E2B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nil"/>
            </w:tcBorders>
            <w:hideMark/>
          </w:tcPr>
          <w:p w14:paraId="65091F4A" w14:textId="77777777" w:rsidR="00D83609" w:rsidRPr="0018386D" w:rsidRDefault="00D83609" w:rsidP="00DD3106">
            <w:pPr>
              <w:pStyle w:val="TableText"/>
              <w:spacing w:before="30" w:after="30"/>
              <w:rPr>
                <w:b w:val="0"/>
                <w:szCs w:val="18"/>
              </w:rPr>
            </w:pPr>
            <w:r w:rsidRPr="0018386D">
              <w:rPr>
                <w:b w:val="0"/>
                <w:szCs w:val="18"/>
              </w:rPr>
              <w:t>Petrol hybrid vehicle</w:t>
            </w:r>
          </w:p>
        </w:tc>
        <w:tc>
          <w:tcPr>
            <w:tcW w:w="1689" w:type="dxa"/>
            <w:noWrap/>
            <w:hideMark/>
          </w:tcPr>
          <w:p w14:paraId="65091F4B" w14:textId="77777777"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&lt;1350 cc</w:t>
            </w:r>
          </w:p>
        </w:tc>
        <w:tc>
          <w:tcPr>
            <w:tcW w:w="792" w:type="dxa"/>
          </w:tcPr>
          <w:p w14:paraId="03735B4F" w14:textId="536D0E76"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4C" w14:textId="5D650F21"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6.254</w:t>
            </w:r>
          </w:p>
        </w:tc>
        <w:tc>
          <w:tcPr>
            <w:tcW w:w="1262" w:type="dxa"/>
            <w:noWrap/>
          </w:tcPr>
          <w:p w14:paraId="65091F4D" w14:textId="090243ED"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5.543</w:t>
            </w:r>
          </w:p>
        </w:tc>
        <w:tc>
          <w:tcPr>
            <w:tcW w:w="1263" w:type="dxa"/>
            <w:tcBorders>
              <w:right w:val="nil"/>
            </w:tcBorders>
            <w:noWrap/>
          </w:tcPr>
          <w:p w14:paraId="65091F4E" w14:textId="36F493E5"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5.122</w:t>
            </w:r>
          </w:p>
        </w:tc>
      </w:tr>
      <w:tr w:rsidR="00D83609" w:rsidRPr="0018386D" w14:paraId="65091F55"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50" w14:textId="77777777" w:rsidR="00D83609" w:rsidRPr="0018386D" w:rsidRDefault="00D83609" w:rsidP="00DD3106">
            <w:pPr>
              <w:pStyle w:val="TableText"/>
              <w:spacing w:before="30" w:after="30"/>
              <w:rPr>
                <w:szCs w:val="18"/>
              </w:rPr>
            </w:pPr>
          </w:p>
        </w:tc>
        <w:tc>
          <w:tcPr>
            <w:tcW w:w="1689" w:type="dxa"/>
            <w:noWrap/>
            <w:hideMark/>
          </w:tcPr>
          <w:p w14:paraId="65091F51" w14:textId="435112B2"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1350</w:t>
            </w:r>
            <w:r w:rsidR="00783F47" w:rsidRPr="0018386D">
              <w:rPr>
                <w:szCs w:val="18"/>
              </w:rPr>
              <w:t>–</w:t>
            </w:r>
            <w:r w:rsidRPr="0018386D">
              <w:rPr>
                <w:szCs w:val="18"/>
              </w:rPr>
              <w:t>&lt;1600 cc</w:t>
            </w:r>
          </w:p>
        </w:tc>
        <w:tc>
          <w:tcPr>
            <w:tcW w:w="792" w:type="dxa"/>
          </w:tcPr>
          <w:p w14:paraId="598F03CC" w14:textId="19D099B0"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52" w14:textId="5FDA85E4"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6.473</w:t>
            </w:r>
          </w:p>
        </w:tc>
        <w:tc>
          <w:tcPr>
            <w:tcW w:w="1262" w:type="dxa"/>
            <w:noWrap/>
          </w:tcPr>
          <w:p w14:paraId="65091F53" w14:textId="5D4F6387"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5.736</w:t>
            </w:r>
          </w:p>
        </w:tc>
        <w:tc>
          <w:tcPr>
            <w:tcW w:w="1263" w:type="dxa"/>
            <w:tcBorders>
              <w:top w:val="single" w:sz="8" w:space="0" w:color="1C556C" w:themeColor="accent1"/>
              <w:bottom w:val="single" w:sz="8" w:space="0" w:color="1C556C" w:themeColor="accent1"/>
              <w:right w:val="nil"/>
            </w:tcBorders>
            <w:noWrap/>
          </w:tcPr>
          <w:p w14:paraId="65091F54" w14:textId="49AA1ADE"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5.301</w:t>
            </w:r>
          </w:p>
        </w:tc>
      </w:tr>
      <w:tr w:rsidR="00D83609" w:rsidRPr="0018386D" w14:paraId="65091F5B"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56" w14:textId="77777777" w:rsidR="00D83609" w:rsidRPr="0018386D" w:rsidRDefault="00D83609" w:rsidP="00DD3106">
            <w:pPr>
              <w:pStyle w:val="TableText"/>
              <w:spacing w:before="30" w:after="30"/>
              <w:rPr>
                <w:szCs w:val="18"/>
              </w:rPr>
            </w:pPr>
          </w:p>
        </w:tc>
        <w:tc>
          <w:tcPr>
            <w:tcW w:w="1689" w:type="dxa"/>
            <w:noWrap/>
            <w:hideMark/>
          </w:tcPr>
          <w:p w14:paraId="65091F57" w14:textId="2E9C234B"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1289D139" w14:textId="72A4C016"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58" w14:textId="1DD594E9"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7.288</w:t>
            </w:r>
          </w:p>
        </w:tc>
        <w:tc>
          <w:tcPr>
            <w:tcW w:w="1262" w:type="dxa"/>
            <w:noWrap/>
          </w:tcPr>
          <w:p w14:paraId="65091F59" w14:textId="25BE7574"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6.459</w:t>
            </w:r>
          </w:p>
        </w:tc>
        <w:tc>
          <w:tcPr>
            <w:tcW w:w="1263" w:type="dxa"/>
            <w:tcBorders>
              <w:right w:val="nil"/>
            </w:tcBorders>
            <w:noWrap/>
          </w:tcPr>
          <w:p w14:paraId="65091F5A" w14:textId="16ACAF92"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5.969</w:t>
            </w:r>
          </w:p>
        </w:tc>
      </w:tr>
      <w:tr w:rsidR="00D83609" w:rsidRPr="0018386D" w14:paraId="65091F61"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5C" w14:textId="77777777" w:rsidR="00D83609" w:rsidRPr="0018386D" w:rsidRDefault="00D83609" w:rsidP="00DD3106">
            <w:pPr>
              <w:pStyle w:val="TableText"/>
              <w:spacing w:before="30" w:after="30"/>
              <w:rPr>
                <w:szCs w:val="18"/>
              </w:rPr>
            </w:pPr>
          </w:p>
        </w:tc>
        <w:tc>
          <w:tcPr>
            <w:tcW w:w="1689" w:type="dxa"/>
            <w:noWrap/>
            <w:hideMark/>
          </w:tcPr>
          <w:p w14:paraId="65091F5D" w14:textId="0B9CB503"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58449BEE" w14:textId="356A1350" w:rsidR="00D83609" w:rsidRPr="0018386D" w:rsidRDefault="00D836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5E" w14:textId="79D83200"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8.095</w:t>
            </w:r>
          </w:p>
        </w:tc>
        <w:tc>
          <w:tcPr>
            <w:tcW w:w="1262" w:type="dxa"/>
            <w:noWrap/>
          </w:tcPr>
          <w:p w14:paraId="65091F5F" w14:textId="76033284"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7.174</w:t>
            </w:r>
          </w:p>
        </w:tc>
        <w:tc>
          <w:tcPr>
            <w:tcW w:w="1263" w:type="dxa"/>
            <w:tcBorders>
              <w:top w:val="single" w:sz="8" w:space="0" w:color="1C556C" w:themeColor="accent1"/>
              <w:bottom w:val="single" w:sz="8" w:space="0" w:color="1C556C" w:themeColor="accent1"/>
              <w:right w:val="nil"/>
            </w:tcBorders>
            <w:noWrap/>
          </w:tcPr>
          <w:p w14:paraId="65091F60" w14:textId="73B5F05B" w:rsidR="00D83609" w:rsidRPr="0018386D" w:rsidRDefault="00D836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6.630</w:t>
            </w:r>
          </w:p>
        </w:tc>
      </w:tr>
      <w:tr w:rsidR="00D83609" w:rsidRPr="0018386D" w14:paraId="65091F67"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62" w14:textId="77777777" w:rsidR="00D83609" w:rsidRPr="0018386D" w:rsidRDefault="00D83609" w:rsidP="00DD3106">
            <w:pPr>
              <w:pStyle w:val="TableText"/>
              <w:spacing w:before="30" w:after="30"/>
              <w:rPr>
                <w:szCs w:val="18"/>
              </w:rPr>
            </w:pPr>
          </w:p>
        </w:tc>
        <w:tc>
          <w:tcPr>
            <w:tcW w:w="1689" w:type="dxa"/>
            <w:noWrap/>
            <w:hideMark/>
          </w:tcPr>
          <w:p w14:paraId="65091F63" w14:textId="77777777"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≥3000 cc</w:t>
            </w:r>
          </w:p>
        </w:tc>
        <w:tc>
          <w:tcPr>
            <w:tcW w:w="792" w:type="dxa"/>
          </w:tcPr>
          <w:p w14:paraId="4BD8DD66" w14:textId="4173BFB3" w:rsidR="00D83609" w:rsidRPr="0018386D" w:rsidRDefault="00D836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64" w14:textId="25D2BD62"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9.6842</w:t>
            </w:r>
          </w:p>
        </w:tc>
        <w:tc>
          <w:tcPr>
            <w:tcW w:w="1262" w:type="dxa"/>
            <w:noWrap/>
          </w:tcPr>
          <w:p w14:paraId="65091F65" w14:textId="20B828DA"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8.5823</w:t>
            </w:r>
          </w:p>
        </w:tc>
        <w:tc>
          <w:tcPr>
            <w:tcW w:w="1263" w:type="dxa"/>
            <w:tcBorders>
              <w:right w:val="nil"/>
            </w:tcBorders>
            <w:noWrap/>
          </w:tcPr>
          <w:p w14:paraId="65091F66" w14:textId="5403FB47" w:rsidR="00D83609" w:rsidRPr="0018386D" w:rsidRDefault="00D836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7.9312</w:t>
            </w:r>
          </w:p>
        </w:tc>
      </w:tr>
      <w:tr w:rsidR="00D83609" w:rsidRPr="0018386D" w14:paraId="65091F6D"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single" w:sz="8" w:space="0" w:color="1C556C" w:themeColor="accent1"/>
              <w:left w:val="nil"/>
              <w:bottom w:val="single" w:sz="8" w:space="0" w:color="1C556C" w:themeColor="accent1"/>
            </w:tcBorders>
            <w:hideMark/>
          </w:tcPr>
          <w:p w14:paraId="65091F68" w14:textId="6D8E1242" w:rsidR="00D83609" w:rsidRPr="0018386D" w:rsidRDefault="00D83609" w:rsidP="00DD3106">
            <w:pPr>
              <w:pStyle w:val="TableText"/>
              <w:keepNext/>
              <w:spacing w:before="30" w:after="30"/>
              <w:rPr>
                <w:b w:val="0"/>
                <w:szCs w:val="18"/>
              </w:rPr>
            </w:pPr>
            <w:r w:rsidRPr="0018386D">
              <w:rPr>
                <w:b w:val="0"/>
                <w:szCs w:val="18"/>
              </w:rPr>
              <w:t>Diesel hybrid vehicle</w:t>
            </w:r>
          </w:p>
        </w:tc>
        <w:tc>
          <w:tcPr>
            <w:tcW w:w="1689" w:type="dxa"/>
            <w:noWrap/>
            <w:hideMark/>
          </w:tcPr>
          <w:p w14:paraId="65091F69" w14:textId="77777777"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&lt;1350 cc</w:t>
            </w:r>
          </w:p>
        </w:tc>
        <w:tc>
          <w:tcPr>
            <w:tcW w:w="792" w:type="dxa"/>
          </w:tcPr>
          <w:p w14:paraId="2D2CBE81" w14:textId="108E157D"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6A" w14:textId="37CBA298"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7.0678</w:t>
            </w:r>
          </w:p>
        </w:tc>
        <w:tc>
          <w:tcPr>
            <w:tcW w:w="1262" w:type="dxa"/>
            <w:noWrap/>
            <w:hideMark/>
          </w:tcPr>
          <w:p w14:paraId="65091F6B" w14:textId="1A2965DB"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6.2636</w:t>
            </w:r>
          </w:p>
        </w:tc>
        <w:tc>
          <w:tcPr>
            <w:tcW w:w="1263" w:type="dxa"/>
            <w:tcBorders>
              <w:top w:val="single" w:sz="8" w:space="0" w:color="1C556C" w:themeColor="accent1"/>
              <w:bottom w:val="single" w:sz="8" w:space="0" w:color="1C556C" w:themeColor="accent1"/>
              <w:right w:val="nil"/>
            </w:tcBorders>
            <w:noWrap/>
            <w:hideMark/>
          </w:tcPr>
          <w:p w14:paraId="65091F6C" w14:textId="413544B8"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5.7923</w:t>
            </w:r>
          </w:p>
        </w:tc>
      </w:tr>
      <w:tr w:rsidR="00D83609" w:rsidRPr="0018386D" w14:paraId="65091F73"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6E" w14:textId="77777777" w:rsidR="00D83609" w:rsidRPr="0018386D" w:rsidRDefault="00D83609" w:rsidP="00DD3106">
            <w:pPr>
              <w:pStyle w:val="TableText"/>
              <w:keepNext/>
              <w:spacing w:before="30" w:after="30"/>
              <w:rPr>
                <w:b w:val="0"/>
                <w:szCs w:val="18"/>
              </w:rPr>
            </w:pPr>
          </w:p>
        </w:tc>
        <w:tc>
          <w:tcPr>
            <w:tcW w:w="1689" w:type="dxa"/>
            <w:noWrap/>
            <w:hideMark/>
          </w:tcPr>
          <w:p w14:paraId="65091F6F" w14:textId="61655210" w:rsidR="00D83609" w:rsidRPr="0018386D" w:rsidRDefault="00D83609"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1350</w:t>
            </w:r>
            <w:r w:rsidR="00783F47" w:rsidRPr="0018386D">
              <w:rPr>
                <w:szCs w:val="18"/>
              </w:rPr>
              <w:t>–</w:t>
            </w:r>
            <w:r w:rsidRPr="0018386D">
              <w:rPr>
                <w:szCs w:val="18"/>
              </w:rPr>
              <w:t>&lt;1600 cc</w:t>
            </w:r>
          </w:p>
        </w:tc>
        <w:tc>
          <w:tcPr>
            <w:tcW w:w="792" w:type="dxa"/>
          </w:tcPr>
          <w:p w14:paraId="7A736457" w14:textId="69D6CEA9" w:rsidR="00D83609" w:rsidRPr="0018386D" w:rsidRDefault="00D83609"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70" w14:textId="339A2F98"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6.8015</w:t>
            </w:r>
          </w:p>
        </w:tc>
        <w:tc>
          <w:tcPr>
            <w:tcW w:w="1262" w:type="dxa"/>
            <w:noWrap/>
            <w:hideMark/>
          </w:tcPr>
          <w:p w14:paraId="65091F71" w14:textId="3D20B183"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6.0276</w:t>
            </w:r>
          </w:p>
        </w:tc>
        <w:tc>
          <w:tcPr>
            <w:tcW w:w="1263" w:type="dxa"/>
            <w:tcBorders>
              <w:right w:val="nil"/>
            </w:tcBorders>
            <w:noWrap/>
            <w:hideMark/>
          </w:tcPr>
          <w:p w14:paraId="65091F72" w14:textId="2A46B985"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5.5741</w:t>
            </w:r>
          </w:p>
        </w:tc>
      </w:tr>
      <w:tr w:rsidR="00D83609" w:rsidRPr="0018386D" w14:paraId="65091F79"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74" w14:textId="77777777" w:rsidR="00D83609" w:rsidRPr="0018386D" w:rsidRDefault="00D83609" w:rsidP="00DD3106">
            <w:pPr>
              <w:pStyle w:val="TableText"/>
              <w:keepNext/>
              <w:spacing w:before="30" w:after="30"/>
              <w:rPr>
                <w:b w:val="0"/>
                <w:szCs w:val="18"/>
              </w:rPr>
            </w:pPr>
          </w:p>
        </w:tc>
        <w:tc>
          <w:tcPr>
            <w:tcW w:w="1689" w:type="dxa"/>
            <w:noWrap/>
            <w:hideMark/>
          </w:tcPr>
          <w:p w14:paraId="65091F75" w14:textId="3CB8E3FF"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43CECFA7" w14:textId="70C316F0"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76" w14:textId="7647EF5E"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7.209</w:t>
            </w:r>
          </w:p>
        </w:tc>
        <w:tc>
          <w:tcPr>
            <w:tcW w:w="1262" w:type="dxa"/>
            <w:noWrap/>
            <w:hideMark/>
          </w:tcPr>
          <w:p w14:paraId="65091F77" w14:textId="40B6D100"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6.389</w:t>
            </w:r>
          </w:p>
        </w:tc>
        <w:tc>
          <w:tcPr>
            <w:tcW w:w="1263" w:type="dxa"/>
            <w:tcBorders>
              <w:top w:val="single" w:sz="8" w:space="0" w:color="1C556C" w:themeColor="accent1"/>
              <w:bottom w:val="single" w:sz="8" w:space="0" w:color="1C556C" w:themeColor="accent1"/>
              <w:right w:val="nil"/>
            </w:tcBorders>
            <w:noWrap/>
            <w:hideMark/>
          </w:tcPr>
          <w:p w14:paraId="65091F78" w14:textId="407CBD8C"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5.908</w:t>
            </w:r>
          </w:p>
        </w:tc>
      </w:tr>
      <w:tr w:rsidR="00D83609" w:rsidRPr="0018386D" w14:paraId="65091F7F"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7A" w14:textId="77777777" w:rsidR="00D83609" w:rsidRPr="0018386D" w:rsidRDefault="00D83609" w:rsidP="00DD3106">
            <w:pPr>
              <w:pStyle w:val="TableText"/>
              <w:keepNext/>
              <w:spacing w:before="30" w:after="30"/>
              <w:rPr>
                <w:b w:val="0"/>
                <w:szCs w:val="18"/>
              </w:rPr>
            </w:pPr>
          </w:p>
        </w:tc>
        <w:tc>
          <w:tcPr>
            <w:tcW w:w="1689" w:type="dxa"/>
            <w:noWrap/>
            <w:hideMark/>
          </w:tcPr>
          <w:p w14:paraId="65091F7B" w14:textId="124961A6" w:rsidR="00D83609" w:rsidRPr="0018386D" w:rsidRDefault="00D83609"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723CAC14" w14:textId="0753E476" w:rsidR="00D83609" w:rsidRPr="0018386D" w:rsidRDefault="00D83609"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7C" w14:textId="0C8087D1"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8.862</w:t>
            </w:r>
          </w:p>
        </w:tc>
        <w:tc>
          <w:tcPr>
            <w:tcW w:w="1262" w:type="dxa"/>
            <w:noWrap/>
            <w:hideMark/>
          </w:tcPr>
          <w:p w14:paraId="65091F7D" w14:textId="72333CA7"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7.854</w:t>
            </w:r>
          </w:p>
        </w:tc>
        <w:tc>
          <w:tcPr>
            <w:tcW w:w="1263" w:type="dxa"/>
            <w:tcBorders>
              <w:right w:val="nil"/>
            </w:tcBorders>
            <w:noWrap/>
            <w:hideMark/>
          </w:tcPr>
          <w:p w14:paraId="65091F7E" w14:textId="32AAD379" w:rsidR="00D83609" w:rsidRPr="0018386D" w:rsidRDefault="00D83609" w:rsidP="00DD3106">
            <w:pPr>
              <w:pStyle w:val="TableText"/>
              <w:keepN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7.263</w:t>
            </w:r>
          </w:p>
        </w:tc>
      </w:tr>
      <w:tr w:rsidR="00D83609" w:rsidRPr="0018386D" w14:paraId="65091F85"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80" w14:textId="77777777" w:rsidR="00D83609" w:rsidRPr="0018386D" w:rsidRDefault="00D83609" w:rsidP="00DD3106">
            <w:pPr>
              <w:pStyle w:val="TableText"/>
              <w:keepNext/>
              <w:spacing w:before="30" w:after="30"/>
              <w:rPr>
                <w:b w:val="0"/>
                <w:szCs w:val="18"/>
              </w:rPr>
            </w:pPr>
          </w:p>
        </w:tc>
        <w:tc>
          <w:tcPr>
            <w:tcW w:w="1689" w:type="dxa"/>
            <w:noWrap/>
            <w:hideMark/>
          </w:tcPr>
          <w:p w14:paraId="65091F81" w14:textId="77777777"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≥3000 cc</w:t>
            </w:r>
          </w:p>
        </w:tc>
        <w:tc>
          <w:tcPr>
            <w:tcW w:w="792" w:type="dxa"/>
          </w:tcPr>
          <w:p w14:paraId="20DA772B" w14:textId="38702C4E" w:rsidR="00D83609" w:rsidRPr="0018386D" w:rsidRDefault="00D83609" w:rsidP="00DD3106">
            <w:pPr>
              <w:pStyle w:val="TableText"/>
              <w:keepN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82" w14:textId="5E7F85B9"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9.831</w:t>
            </w:r>
          </w:p>
        </w:tc>
        <w:tc>
          <w:tcPr>
            <w:tcW w:w="1262" w:type="dxa"/>
            <w:noWrap/>
            <w:hideMark/>
          </w:tcPr>
          <w:p w14:paraId="65091F83" w14:textId="5D39EFF5"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8.712</w:t>
            </w:r>
          </w:p>
        </w:tc>
        <w:tc>
          <w:tcPr>
            <w:tcW w:w="1263" w:type="dxa"/>
            <w:tcBorders>
              <w:top w:val="single" w:sz="8" w:space="0" w:color="1C556C" w:themeColor="accent1"/>
              <w:bottom w:val="single" w:sz="8" w:space="0" w:color="1C556C" w:themeColor="accent1"/>
              <w:right w:val="nil"/>
            </w:tcBorders>
            <w:noWrap/>
            <w:hideMark/>
          </w:tcPr>
          <w:p w14:paraId="65091F84" w14:textId="12B77D79" w:rsidR="00D83609" w:rsidRPr="0018386D" w:rsidRDefault="00D83609" w:rsidP="00DD3106">
            <w:pPr>
              <w:pStyle w:val="TableText"/>
              <w:keepN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8.057</w:t>
            </w:r>
          </w:p>
        </w:tc>
      </w:tr>
      <w:tr w:rsidR="00EF4409" w:rsidRPr="0018386D" w14:paraId="65091F8B" w14:textId="77777777" w:rsidTr="005E2B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nil"/>
            </w:tcBorders>
            <w:hideMark/>
          </w:tcPr>
          <w:p w14:paraId="65091F86" w14:textId="40355EC2" w:rsidR="00EF4409" w:rsidRPr="0018386D" w:rsidRDefault="00EF4409" w:rsidP="00DD3106">
            <w:pPr>
              <w:pStyle w:val="TableText"/>
              <w:spacing w:before="30" w:after="30"/>
              <w:rPr>
                <w:b w:val="0"/>
                <w:szCs w:val="18"/>
              </w:rPr>
            </w:pPr>
            <w:r w:rsidRPr="0018386D">
              <w:rPr>
                <w:b w:val="0"/>
                <w:szCs w:val="18"/>
              </w:rPr>
              <w:t>Petrol plug-in hybrid electric vehicle (PHEV) – petrol consumption</w:t>
            </w:r>
          </w:p>
        </w:tc>
        <w:tc>
          <w:tcPr>
            <w:tcW w:w="1689" w:type="dxa"/>
            <w:noWrap/>
            <w:hideMark/>
          </w:tcPr>
          <w:p w14:paraId="65091F87" w14:textId="331E3EE0"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&lt;1350 cc</w:t>
            </w:r>
          </w:p>
        </w:tc>
        <w:tc>
          <w:tcPr>
            <w:tcW w:w="792" w:type="dxa"/>
          </w:tcPr>
          <w:p w14:paraId="2BEA56F2" w14:textId="61AD62BA"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88" w14:textId="24553AEA"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3.273</w:t>
            </w:r>
          </w:p>
        </w:tc>
        <w:tc>
          <w:tcPr>
            <w:tcW w:w="1262" w:type="dxa"/>
            <w:noWrap/>
            <w:hideMark/>
          </w:tcPr>
          <w:p w14:paraId="65091F89" w14:textId="74C1E012"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2.901</w:t>
            </w:r>
          </w:p>
        </w:tc>
        <w:tc>
          <w:tcPr>
            <w:tcW w:w="1263" w:type="dxa"/>
            <w:tcBorders>
              <w:right w:val="nil"/>
            </w:tcBorders>
            <w:noWrap/>
            <w:hideMark/>
          </w:tcPr>
          <w:p w14:paraId="65091F8A" w14:textId="4CBE142A"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2.681</w:t>
            </w:r>
          </w:p>
        </w:tc>
      </w:tr>
      <w:tr w:rsidR="00EF4409" w:rsidRPr="0018386D" w14:paraId="65091F91"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8C" w14:textId="77777777" w:rsidR="00EF4409" w:rsidRPr="0018386D" w:rsidRDefault="00EF4409" w:rsidP="00DD3106">
            <w:pPr>
              <w:pStyle w:val="TableText"/>
              <w:spacing w:before="30" w:after="30"/>
              <w:rPr>
                <w:b w:val="0"/>
                <w:szCs w:val="18"/>
              </w:rPr>
            </w:pPr>
          </w:p>
        </w:tc>
        <w:tc>
          <w:tcPr>
            <w:tcW w:w="1689" w:type="dxa"/>
            <w:noWrap/>
            <w:hideMark/>
          </w:tcPr>
          <w:p w14:paraId="65091F8D" w14:textId="4B432854"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1350</w:t>
            </w:r>
            <w:r w:rsidR="00783F47" w:rsidRPr="0018386D">
              <w:rPr>
                <w:szCs w:val="18"/>
              </w:rPr>
              <w:t>–</w:t>
            </w:r>
            <w:r w:rsidRPr="0018386D">
              <w:rPr>
                <w:szCs w:val="18"/>
              </w:rPr>
              <w:t>&lt;1600 cc</w:t>
            </w:r>
          </w:p>
        </w:tc>
        <w:tc>
          <w:tcPr>
            <w:tcW w:w="792" w:type="dxa"/>
          </w:tcPr>
          <w:p w14:paraId="6CA28E98" w14:textId="53B165C4"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8E" w14:textId="33187264"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3.387</w:t>
            </w:r>
          </w:p>
        </w:tc>
        <w:tc>
          <w:tcPr>
            <w:tcW w:w="1262" w:type="dxa"/>
            <w:noWrap/>
            <w:hideMark/>
          </w:tcPr>
          <w:p w14:paraId="65091F8F" w14:textId="4BE925B8"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3.002</w:t>
            </w:r>
          </w:p>
        </w:tc>
        <w:tc>
          <w:tcPr>
            <w:tcW w:w="1263" w:type="dxa"/>
            <w:tcBorders>
              <w:top w:val="single" w:sz="8" w:space="0" w:color="1C556C" w:themeColor="accent1"/>
              <w:bottom w:val="single" w:sz="8" w:space="0" w:color="1C556C" w:themeColor="accent1"/>
              <w:right w:val="nil"/>
            </w:tcBorders>
            <w:noWrap/>
            <w:hideMark/>
          </w:tcPr>
          <w:p w14:paraId="65091F90" w14:textId="4A58D0F2"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2.774</w:t>
            </w:r>
          </w:p>
        </w:tc>
      </w:tr>
      <w:tr w:rsidR="00EF4409" w:rsidRPr="0018386D" w14:paraId="65091F97"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92" w14:textId="77777777" w:rsidR="00EF4409" w:rsidRPr="0018386D" w:rsidRDefault="00EF4409" w:rsidP="00DD3106">
            <w:pPr>
              <w:pStyle w:val="TableText"/>
              <w:spacing w:before="30" w:after="30"/>
              <w:rPr>
                <w:b w:val="0"/>
                <w:szCs w:val="18"/>
              </w:rPr>
            </w:pPr>
          </w:p>
        </w:tc>
        <w:tc>
          <w:tcPr>
            <w:tcW w:w="1689" w:type="dxa"/>
            <w:noWrap/>
            <w:hideMark/>
          </w:tcPr>
          <w:p w14:paraId="65091F93" w14:textId="49F49443"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04326B9C" w14:textId="5799F521"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94" w14:textId="4C54AA3B"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3.814</w:t>
            </w:r>
          </w:p>
        </w:tc>
        <w:tc>
          <w:tcPr>
            <w:tcW w:w="1262" w:type="dxa"/>
            <w:noWrap/>
            <w:hideMark/>
          </w:tcPr>
          <w:p w14:paraId="65091F95" w14:textId="67137CDD"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3.380</w:t>
            </w:r>
          </w:p>
        </w:tc>
        <w:tc>
          <w:tcPr>
            <w:tcW w:w="1263" w:type="dxa"/>
            <w:tcBorders>
              <w:right w:val="nil"/>
            </w:tcBorders>
            <w:noWrap/>
            <w:hideMark/>
          </w:tcPr>
          <w:p w14:paraId="65091F96" w14:textId="22A3AED7"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3.124</w:t>
            </w:r>
          </w:p>
        </w:tc>
      </w:tr>
      <w:tr w:rsidR="00EF4409" w:rsidRPr="0018386D" w14:paraId="65091F9D"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98" w14:textId="77777777" w:rsidR="00EF4409" w:rsidRPr="0018386D" w:rsidRDefault="00EF4409" w:rsidP="00DD3106">
            <w:pPr>
              <w:pStyle w:val="TableText"/>
              <w:spacing w:before="30" w:after="30"/>
              <w:rPr>
                <w:b w:val="0"/>
                <w:szCs w:val="18"/>
              </w:rPr>
            </w:pPr>
          </w:p>
        </w:tc>
        <w:tc>
          <w:tcPr>
            <w:tcW w:w="1689" w:type="dxa"/>
            <w:noWrap/>
            <w:hideMark/>
          </w:tcPr>
          <w:p w14:paraId="65091F99" w14:textId="32376888"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2C4D63E2" w14:textId="485DE687"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9A" w14:textId="7C7745FE"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4.237</w:t>
            </w:r>
          </w:p>
        </w:tc>
        <w:tc>
          <w:tcPr>
            <w:tcW w:w="1262" w:type="dxa"/>
            <w:noWrap/>
            <w:hideMark/>
          </w:tcPr>
          <w:p w14:paraId="65091F9B" w14:textId="06C523F4"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3.755</w:t>
            </w:r>
          </w:p>
        </w:tc>
        <w:tc>
          <w:tcPr>
            <w:tcW w:w="1263" w:type="dxa"/>
            <w:tcBorders>
              <w:top w:val="single" w:sz="8" w:space="0" w:color="1C556C" w:themeColor="accent1"/>
              <w:bottom w:val="single" w:sz="8" w:space="0" w:color="1C556C" w:themeColor="accent1"/>
              <w:right w:val="nil"/>
            </w:tcBorders>
            <w:noWrap/>
            <w:hideMark/>
          </w:tcPr>
          <w:p w14:paraId="65091F9C" w14:textId="5400F2B9"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3.470</w:t>
            </w:r>
          </w:p>
        </w:tc>
      </w:tr>
      <w:tr w:rsidR="00EF4409" w:rsidRPr="0018386D" w14:paraId="65091FA3" w14:textId="77777777" w:rsidTr="005E2BB5">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9E" w14:textId="77777777" w:rsidR="00EF4409" w:rsidRPr="0018386D" w:rsidRDefault="00EF4409" w:rsidP="00DD3106">
            <w:pPr>
              <w:pStyle w:val="TableText"/>
              <w:spacing w:before="30" w:after="30"/>
              <w:rPr>
                <w:b w:val="0"/>
                <w:szCs w:val="18"/>
              </w:rPr>
            </w:pPr>
          </w:p>
        </w:tc>
        <w:tc>
          <w:tcPr>
            <w:tcW w:w="1689" w:type="dxa"/>
            <w:noWrap/>
            <w:hideMark/>
          </w:tcPr>
          <w:p w14:paraId="65091F9F" w14:textId="69853273"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≥3000 cc</w:t>
            </w:r>
          </w:p>
        </w:tc>
        <w:tc>
          <w:tcPr>
            <w:tcW w:w="792" w:type="dxa"/>
          </w:tcPr>
          <w:p w14:paraId="2F5BA5AF" w14:textId="5561A654"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A0" w14:textId="436C8E0E"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5.068</w:t>
            </w:r>
          </w:p>
        </w:tc>
        <w:tc>
          <w:tcPr>
            <w:tcW w:w="1262" w:type="dxa"/>
            <w:noWrap/>
            <w:hideMark/>
          </w:tcPr>
          <w:p w14:paraId="65091FA1" w14:textId="369289AD"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4.491</w:t>
            </w:r>
          </w:p>
        </w:tc>
        <w:tc>
          <w:tcPr>
            <w:tcW w:w="1263" w:type="dxa"/>
            <w:tcBorders>
              <w:right w:val="nil"/>
            </w:tcBorders>
            <w:noWrap/>
            <w:hideMark/>
          </w:tcPr>
          <w:p w14:paraId="65091FA2" w14:textId="2EB87C7A"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4.151</w:t>
            </w:r>
          </w:p>
        </w:tc>
      </w:tr>
      <w:tr w:rsidR="00EF4409" w:rsidRPr="0018386D" w14:paraId="65091FA9" w14:textId="77777777" w:rsidTr="005E2BB5">
        <w:trPr>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single" w:sz="8" w:space="0" w:color="1C556C" w:themeColor="accent1"/>
              <w:left w:val="nil"/>
              <w:bottom w:val="single" w:sz="8" w:space="0" w:color="1C556C" w:themeColor="accent1"/>
            </w:tcBorders>
            <w:hideMark/>
          </w:tcPr>
          <w:p w14:paraId="65091FA4" w14:textId="24EAA2C3" w:rsidR="00EF4409" w:rsidRPr="0018386D" w:rsidRDefault="00EF4409" w:rsidP="00DD3106">
            <w:pPr>
              <w:pStyle w:val="TableText"/>
              <w:spacing w:before="30" w:after="30"/>
              <w:rPr>
                <w:b w:val="0"/>
                <w:szCs w:val="18"/>
              </w:rPr>
            </w:pPr>
            <w:r w:rsidRPr="0018386D">
              <w:rPr>
                <w:b w:val="0"/>
                <w:szCs w:val="18"/>
              </w:rPr>
              <w:t>Petrol plug-in hybrid electric vehicle (PHEV) – electricity consumption</w:t>
            </w:r>
          </w:p>
        </w:tc>
        <w:tc>
          <w:tcPr>
            <w:tcW w:w="1689" w:type="dxa"/>
            <w:noWrap/>
            <w:hideMark/>
          </w:tcPr>
          <w:p w14:paraId="65091FA5" w14:textId="7CB27EF4"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&lt;1350 cc</w:t>
            </w:r>
          </w:p>
        </w:tc>
        <w:tc>
          <w:tcPr>
            <w:tcW w:w="792" w:type="dxa"/>
          </w:tcPr>
          <w:p w14:paraId="379E4B6A" w14:textId="1469AE7D"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1FA6" w14:textId="768C2ADC"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10.018</w:t>
            </w:r>
          </w:p>
        </w:tc>
        <w:tc>
          <w:tcPr>
            <w:tcW w:w="1262" w:type="dxa"/>
            <w:noWrap/>
          </w:tcPr>
          <w:p w14:paraId="65091FA7" w14:textId="7A553241"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8.895</w:t>
            </w:r>
          </w:p>
        </w:tc>
        <w:tc>
          <w:tcPr>
            <w:tcW w:w="1263" w:type="dxa"/>
            <w:tcBorders>
              <w:top w:val="single" w:sz="8" w:space="0" w:color="1C556C" w:themeColor="accent1"/>
              <w:bottom w:val="single" w:sz="8" w:space="0" w:color="1C556C" w:themeColor="accent1"/>
              <w:right w:val="nil"/>
            </w:tcBorders>
            <w:noWrap/>
          </w:tcPr>
          <w:p w14:paraId="65091FA8" w14:textId="3175DD07"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8.394</w:t>
            </w:r>
          </w:p>
        </w:tc>
      </w:tr>
      <w:tr w:rsidR="00EF4409" w:rsidRPr="0018386D" w14:paraId="65091FAF"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AA" w14:textId="77777777" w:rsidR="00EF4409" w:rsidRPr="0018386D" w:rsidRDefault="00EF4409" w:rsidP="00DD3106">
            <w:pPr>
              <w:pStyle w:val="TableText"/>
              <w:spacing w:before="30" w:after="30"/>
              <w:rPr>
                <w:b w:val="0"/>
                <w:szCs w:val="18"/>
              </w:rPr>
            </w:pPr>
          </w:p>
        </w:tc>
        <w:tc>
          <w:tcPr>
            <w:tcW w:w="1689" w:type="dxa"/>
            <w:noWrap/>
            <w:hideMark/>
          </w:tcPr>
          <w:p w14:paraId="65091FAB" w14:textId="29BE09CC"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1350</w:t>
            </w:r>
            <w:r w:rsidR="00783F47" w:rsidRPr="0018386D">
              <w:rPr>
                <w:szCs w:val="18"/>
              </w:rPr>
              <w:t>–</w:t>
            </w:r>
            <w:r w:rsidRPr="0018386D">
              <w:rPr>
                <w:szCs w:val="18"/>
              </w:rPr>
              <w:t>&lt;1600 cc</w:t>
            </w:r>
          </w:p>
        </w:tc>
        <w:tc>
          <w:tcPr>
            <w:tcW w:w="792" w:type="dxa"/>
          </w:tcPr>
          <w:p w14:paraId="343A4C9A" w14:textId="126C9B9B"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1FAC" w14:textId="11AD214C"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10.368</w:t>
            </w:r>
          </w:p>
        </w:tc>
        <w:tc>
          <w:tcPr>
            <w:tcW w:w="1262" w:type="dxa"/>
            <w:noWrap/>
          </w:tcPr>
          <w:p w14:paraId="65091FAD" w14:textId="39E32C96"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9.206</w:t>
            </w:r>
          </w:p>
        </w:tc>
        <w:tc>
          <w:tcPr>
            <w:tcW w:w="1263" w:type="dxa"/>
            <w:tcBorders>
              <w:right w:val="nil"/>
            </w:tcBorders>
            <w:noWrap/>
          </w:tcPr>
          <w:p w14:paraId="65091FAE" w14:textId="5B325760"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8.687</w:t>
            </w:r>
          </w:p>
        </w:tc>
      </w:tr>
      <w:tr w:rsidR="00EF4409" w:rsidRPr="0018386D" w14:paraId="65091FB5"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B0" w14:textId="77777777" w:rsidR="00EF4409" w:rsidRPr="0018386D" w:rsidRDefault="00EF4409" w:rsidP="00DD3106">
            <w:pPr>
              <w:pStyle w:val="TableText"/>
              <w:spacing w:before="30" w:after="30"/>
              <w:rPr>
                <w:b w:val="0"/>
                <w:szCs w:val="18"/>
              </w:rPr>
            </w:pPr>
          </w:p>
        </w:tc>
        <w:tc>
          <w:tcPr>
            <w:tcW w:w="1689" w:type="dxa"/>
            <w:noWrap/>
            <w:hideMark/>
          </w:tcPr>
          <w:p w14:paraId="65091FB1" w14:textId="33A5C21D"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0BDD5A7B" w14:textId="65736047"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1FB2" w14:textId="354ED265"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11.674</w:t>
            </w:r>
          </w:p>
        </w:tc>
        <w:tc>
          <w:tcPr>
            <w:tcW w:w="1262" w:type="dxa"/>
            <w:noWrap/>
          </w:tcPr>
          <w:p w14:paraId="65091FB3" w14:textId="2BEA4256"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10.366</w:t>
            </w:r>
          </w:p>
        </w:tc>
        <w:tc>
          <w:tcPr>
            <w:tcW w:w="1263" w:type="dxa"/>
            <w:tcBorders>
              <w:top w:val="single" w:sz="8" w:space="0" w:color="1C556C" w:themeColor="accent1"/>
              <w:bottom w:val="single" w:sz="8" w:space="0" w:color="1C556C" w:themeColor="accent1"/>
              <w:right w:val="nil"/>
            </w:tcBorders>
            <w:noWrap/>
          </w:tcPr>
          <w:p w14:paraId="65091FB4" w14:textId="54FFA852"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9.781</w:t>
            </w:r>
          </w:p>
        </w:tc>
      </w:tr>
      <w:tr w:rsidR="00EF4409" w:rsidRPr="0018386D" w14:paraId="65091FBB"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B6" w14:textId="77777777" w:rsidR="00EF4409" w:rsidRPr="0018386D" w:rsidRDefault="00EF4409" w:rsidP="00DD3106">
            <w:pPr>
              <w:pStyle w:val="TableText"/>
              <w:spacing w:before="30" w:after="30"/>
              <w:rPr>
                <w:b w:val="0"/>
                <w:szCs w:val="18"/>
              </w:rPr>
            </w:pPr>
          </w:p>
        </w:tc>
        <w:tc>
          <w:tcPr>
            <w:tcW w:w="1689" w:type="dxa"/>
            <w:noWrap/>
            <w:hideMark/>
          </w:tcPr>
          <w:p w14:paraId="65091FB7" w14:textId="08517121"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76755D05" w14:textId="16416833" w:rsidR="00EF4409" w:rsidRPr="0018386D" w:rsidRDefault="00EF4409"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1FB8" w14:textId="6EE92BC7"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12.967</w:t>
            </w:r>
          </w:p>
        </w:tc>
        <w:tc>
          <w:tcPr>
            <w:tcW w:w="1262" w:type="dxa"/>
            <w:noWrap/>
          </w:tcPr>
          <w:p w14:paraId="65091FB9" w14:textId="024150E8"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11.514</w:t>
            </w:r>
          </w:p>
        </w:tc>
        <w:tc>
          <w:tcPr>
            <w:tcW w:w="1263" w:type="dxa"/>
            <w:tcBorders>
              <w:right w:val="nil"/>
            </w:tcBorders>
            <w:noWrap/>
          </w:tcPr>
          <w:p w14:paraId="65091FBA" w14:textId="1EC97F11" w:rsidR="00EF4409" w:rsidRPr="0018386D" w:rsidRDefault="00EF440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10.864</w:t>
            </w:r>
          </w:p>
        </w:tc>
      </w:tr>
      <w:tr w:rsidR="00EF4409" w:rsidRPr="0018386D" w14:paraId="65091FC1"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BC" w14:textId="77777777" w:rsidR="00EF4409" w:rsidRPr="0018386D" w:rsidRDefault="00EF4409" w:rsidP="00DD3106">
            <w:pPr>
              <w:pStyle w:val="TableText"/>
              <w:spacing w:before="30" w:after="30"/>
              <w:rPr>
                <w:b w:val="0"/>
                <w:szCs w:val="18"/>
              </w:rPr>
            </w:pPr>
          </w:p>
        </w:tc>
        <w:tc>
          <w:tcPr>
            <w:tcW w:w="1689" w:type="dxa"/>
            <w:noWrap/>
            <w:hideMark/>
          </w:tcPr>
          <w:p w14:paraId="65091FBD" w14:textId="1ED1CD96"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≥3000 cc</w:t>
            </w:r>
          </w:p>
        </w:tc>
        <w:tc>
          <w:tcPr>
            <w:tcW w:w="792" w:type="dxa"/>
          </w:tcPr>
          <w:p w14:paraId="048674B4" w14:textId="7269DEE5" w:rsidR="00EF4409" w:rsidRPr="0018386D" w:rsidRDefault="00EF4409"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1FBE" w14:textId="331C7E27"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15.512</w:t>
            </w:r>
          </w:p>
        </w:tc>
        <w:tc>
          <w:tcPr>
            <w:tcW w:w="1262" w:type="dxa"/>
            <w:noWrap/>
          </w:tcPr>
          <w:p w14:paraId="65091FBF" w14:textId="672079E1"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13.773</w:t>
            </w:r>
          </w:p>
        </w:tc>
        <w:tc>
          <w:tcPr>
            <w:tcW w:w="1263" w:type="dxa"/>
            <w:tcBorders>
              <w:top w:val="single" w:sz="8" w:space="0" w:color="1C556C" w:themeColor="accent1"/>
              <w:bottom w:val="single" w:sz="8" w:space="0" w:color="1C556C" w:themeColor="accent1"/>
              <w:right w:val="nil"/>
            </w:tcBorders>
            <w:noWrap/>
          </w:tcPr>
          <w:p w14:paraId="65091FC0" w14:textId="63F0932A" w:rsidR="00EF4409" w:rsidRPr="0018386D" w:rsidRDefault="00EF440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12.996</w:t>
            </w:r>
          </w:p>
        </w:tc>
      </w:tr>
      <w:tr w:rsidR="0047678E" w:rsidRPr="0018386D" w14:paraId="65091FC7" w14:textId="77777777" w:rsidTr="005E2B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nil"/>
            </w:tcBorders>
            <w:hideMark/>
          </w:tcPr>
          <w:p w14:paraId="65091FC2" w14:textId="7D23E94D" w:rsidR="0047678E" w:rsidRPr="0018386D" w:rsidRDefault="0047678E" w:rsidP="00DD3106">
            <w:pPr>
              <w:pStyle w:val="TableText"/>
              <w:spacing w:before="30" w:after="30"/>
              <w:rPr>
                <w:b w:val="0"/>
                <w:szCs w:val="18"/>
              </w:rPr>
            </w:pPr>
            <w:r w:rsidRPr="0018386D">
              <w:rPr>
                <w:b w:val="0"/>
                <w:szCs w:val="18"/>
              </w:rPr>
              <w:t>Diesel plug-in hybrid electric vehicle (PHEV) – diesel consumption</w:t>
            </w:r>
          </w:p>
        </w:tc>
        <w:tc>
          <w:tcPr>
            <w:tcW w:w="1689" w:type="dxa"/>
            <w:noWrap/>
            <w:hideMark/>
          </w:tcPr>
          <w:p w14:paraId="65091FC3" w14:textId="13211B52"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&lt;1350 cc</w:t>
            </w:r>
          </w:p>
        </w:tc>
        <w:tc>
          <w:tcPr>
            <w:tcW w:w="792" w:type="dxa"/>
          </w:tcPr>
          <w:p w14:paraId="37D65785" w14:textId="7F0FEF4B"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C4" w14:textId="1F4A97B7"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3.699</w:t>
            </w:r>
          </w:p>
        </w:tc>
        <w:tc>
          <w:tcPr>
            <w:tcW w:w="1262" w:type="dxa"/>
            <w:noWrap/>
          </w:tcPr>
          <w:p w14:paraId="65091FC5" w14:textId="0BAAF8B6"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3.278</w:t>
            </w:r>
          </w:p>
        </w:tc>
        <w:tc>
          <w:tcPr>
            <w:tcW w:w="1263" w:type="dxa"/>
            <w:tcBorders>
              <w:right w:val="nil"/>
            </w:tcBorders>
            <w:noWrap/>
          </w:tcPr>
          <w:p w14:paraId="65091FC6" w14:textId="39141E8E"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3.031</w:t>
            </w:r>
          </w:p>
        </w:tc>
      </w:tr>
      <w:tr w:rsidR="0047678E" w:rsidRPr="0018386D" w14:paraId="65091FCD"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C8" w14:textId="77777777" w:rsidR="0047678E" w:rsidRPr="0018386D" w:rsidRDefault="0047678E" w:rsidP="00DD3106">
            <w:pPr>
              <w:pStyle w:val="TableText"/>
              <w:spacing w:before="30" w:after="30"/>
              <w:rPr>
                <w:b w:val="0"/>
                <w:szCs w:val="18"/>
              </w:rPr>
            </w:pPr>
          </w:p>
        </w:tc>
        <w:tc>
          <w:tcPr>
            <w:tcW w:w="1689" w:type="dxa"/>
            <w:noWrap/>
            <w:hideMark/>
          </w:tcPr>
          <w:p w14:paraId="65091FC9" w14:textId="003ABA18"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1350</w:t>
            </w:r>
            <w:r w:rsidR="00783F47" w:rsidRPr="0018386D">
              <w:rPr>
                <w:szCs w:val="18"/>
              </w:rPr>
              <w:t>–</w:t>
            </w:r>
            <w:r w:rsidRPr="0018386D">
              <w:rPr>
                <w:szCs w:val="18"/>
              </w:rPr>
              <w:t>&lt;1600 cc</w:t>
            </w:r>
          </w:p>
        </w:tc>
        <w:tc>
          <w:tcPr>
            <w:tcW w:w="792" w:type="dxa"/>
          </w:tcPr>
          <w:p w14:paraId="53C614F8" w14:textId="215C0C54"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CA" w14:textId="53E50F84"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3.559</w:t>
            </w:r>
          </w:p>
        </w:tc>
        <w:tc>
          <w:tcPr>
            <w:tcW w:w="1262" w:type="dxa"/>
            <w:noWrap/>
          </w:tcPr>
          <w:p w14:paraId="65091FCB" w14:textId="1591244E"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3.154</w:t>
            </w:r>
          </w:p>
        </w:tc>
        <w:tc>
          <w:tcPr>
            <w:tcW w:w="1263" w:type="dxa"/>
            <w:tcBorders>
              <w:top w:val="single" w:sz="8" w:space="0" w:color="1C556C" w:themeColor="accent1"/>
              <w:bottom w:val="single" w:sz="8" w:space="0" w:color="1C556C" w:themeColor="accent1"/>
              <w:right w:val="nil"/>
            </w:tcBorders>
            <w:noWrap/>
          </w:tcPr>
          <w:p w14:paraId="65091FCC" w14:textId="7C2A86A5"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2.917</w:t>
            </w:r>
          </w:p>
        </w:tc>
      </w:tr>
      <w:tr w:rsidR="0047678E" w:rsidRPr="0018386D" w14:paraId="65091FD3"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CE" w14:textId="77777777" w:rsidR="0047678E" w:rsidRPr="0018386D" w:rsidRDefault="0047678E" w:rsidP="00DD3106">
            <w:pPr>
              <w:pStyle w:val="TableText"/>
              <w:spacing w:before="30" w:after="30"/>
              <w:rPr>
                <w:b w:val="0"/>
                <w:szCs w:val="18"/>
              </w:rPr>
            </w:pPr>
          </w:p>
        </w:tc>
        <w:tc>
          <w:tcPr>
            <w:tcW w:w="1689" w:type="dxa"/>
            <w:noWrap/>
            <w:hideMark/>
          </w:tcPr>
          <w:p w14:paraId="65091FCF" w14:textId="0FFDC45D"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572E97F8" w14:textId="6351C48F"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D0" w14:textId="067C5EA2"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3.773</w:t>
            </w:r>
          </w:p>
        </w:tc>
        <w:tc>
          <w:tcPr>
            <w:tcW w:w="1262" w:type="dxa"/>
            <w:noWrap/>
          </w:tcPr>
          <w:p w14:paraId="65091FD1" w14:textId="6C471589"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3.343</w:t>
            </w:r>
          </w:p>
        </w:tc>
        <w:tc>
          <w:tcPr>
            <w:tcW w:w="1263" w:type="dxa"/>
            <w:tcBorders>
              <w:right w:val="nil"/>
            </w:tcBorders>
            <w:noWrap/>
          </w:tcPr>
          <w:p w14:paraId="65091FD2" w14:textId="7E121ACF"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3.092</w:t>
            </w:r>
          </w:p>
        </w:tc>
      </w:tr>
      <w:tr w:rsidR="0047678E" w:rsidRPr="0018386D" w14:paraId="65091FD9"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D4" w14:textId="77777777" w:rsidR="0047678E" w:rsidRPr="0018386D" w:rsidRDefault="0047678E" w:rsidP="00DD3106">
            <w:pPr>
              <w:pStyle w:val="TableText"/>
              <w:spacing w:before="30" w:after="30"/>
              <w:rPr>
                <w:b w:val="0"/>
                <w:szCs w:val="18"/>
              </w:rPr>
            </w:pPr>
          </w:p>
        </w:tc>
        <w:tc>
          <w:tcPr>
            <w:tcW w:w="1689" w:type="dxa"/>
            <w:noWrap/>
            <w:hideMark/>
          </w:tcPr>
          <w:p w14:paraId="65091FD5" w14:textId="3A152541"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6ED6DAB6" w14:textId="52EE9E2E"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1FD6" w14:textId="179B62B9"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4.638</w:t>
            </w:r>
          </w:p>
        </w:tc>
        <w:tc>
          <w:tcPr>
            <w:tcW w:w="1262" w:type="dxa"/>
            <w:noWrap/>
          </w:tcPr>
          <w:p w14:paraId="65091FD7" w14:textId="3F271FDC"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4.110</w:t>
            </w:r>
          </w:p>
        </w:tc>
        <w:tc>
          <w:tcPr>
            <w:tcW w:w="1263" w:type="dxa"/>
            <w:tcBorders>
              <w:top w:val="single" w:sz="8" w:space="0" w:color="1C556C" w:themeColor="accent1"/>
              <w:bottom w:val="single" w:sz="8" w:space="0" w:color="1C556C" w:themeColor="accent1"/>
              <w:right w:val="nil"/>
            </w:tcBorders>
            <w:noWrap/>
          </w:tcPr>
          <w:p w14:paraId="65091FD8" w14:textId="5AFE0DCB"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3.801</w:t>
            </w:r>
          </w:p>
        </w:tc>
      </w:tr>
      <w:tr w:rsidR="0047678E" w:rsidRPr="0018386D" w14:paraId="65091FDF"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DA" w14:textId="77777777" w:rsidR="0047678E" w:rsidRPr="0018386D" w:rsidRDefault="0047678E" w:rsidP="00DD3106">
            <w:pPr>
              <w:pStyle w:val="TableText"/>
              <w:spacing w:before="30" w:after="30"/>
              <w:rPr>
                <w:b w:val="0"/>
                <w:szCs w:val="18"/>
              </w:rPr>
            </w:pPr>
          </w:p>
        </w:tc>
        <w:tc>
          <w:tcPr>
            <w:tcW w:w="1689" w:type="dxa"/>
            <w:noWrap/>
            <w:hideMark/>
          </w:tcPr>
          <w:p w14:paraId="65091FDB" w14:textId="6E3761F9"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≥3000 cc</w:t>
            </w:r>
          </w:p>
        </w:tc>
        <w:tc>
          <w:tcPr>
            <w:tcW w:w="792" w:type="dxa"/>
          </w:tcPr>
          <w:p w14:paraId="3E88361F" w14:textId="27372AB2"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1FDC" w14:textId="5F63FA8A"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5.145</w:t>
            </w:r>
          </w:p>
        </w:tc>
        <w:tc>
          <w:tcPr>
            <w:tcW w:w="1262" w:type="dxa"/>
            <w:noWrap/>
          </w:tcPr>
          <w:p w14:paraId="65091FDD" w14:textId="198F5926"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4.559</w:t>
            </w:r>
          </w:p>
        </w:tc>
        <w:tc>
          <w:tcPr>
            <w:tcW w:w="1263" w:type="dxa"/>
            <w:tcBorders>
              <w:right w:val="nil"/>
            </w:tcBorders>
            <w:noWrap/>
          </w:tcPr>
          <w:p w14:paraId="65091FDE" w14:textId="2B5BD88E"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4.216</w:t>
            </w:r>
          </w:p>
        </w:tc>
      </w:tr>
      <w:tr w:rsidR="0047678E" w:rsidRPr="0018386D" w14:paraId="65091FE5" w14:textId="77777777" w:rsidTr="005E2BB5">
        <w:trPr>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single" w:sz="8" w:space="0" w:color="1C556C" w:themeColor="accent1"/>
              <w:left w:val="nil"/>
              <w:bottom w:val="single" w:sz="8" w:space="0" w:color="1C556C" w:themeColor="accent1"/>
            </w:tcBorders>
            <w:hideMark/>
          </w:tcPr>
          <w:p w14:paraId="65091FE0" w14:textId="2BA15F7F" w:rsidR="0047678E" w:rsidRPr="0018386D" w:rsidRDefault="0047678E" w:rsidP="00DD3106">
            <w:pPr>
              <w:pStyle w:val="TableText"/>
              <w:spacing w:before="30" w:after="30"/>
              <w:rPr>
                <w:b w:val="0"/>
                <w:szCs w:val="18"/>
              </w:rPr>
            </w:pPr>
            <w:r w:rsidRPr="0018386D">
              <w:rPr>
                <w:b w:val="0"/>
                <w:szCs w:val="18"/>
              </w:rPr>
              <w:t>Diesel plug-in hybrid electric vehicle (PHEV) – electricity consumption</w:t>
            </w:r>
          </w:p>
        </w:tc>
        <w:tc>
          <w:tcPr>
            <w:tcW w:w="1689" w:type="dxa"/>
            <w:noWrap/>
            <w:hideMark/>
          </w:tcPr>
          <w:p w14:paraId="65091FE1" w14:textId="26A63235"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&lt;1350 cc</w:t>
            </w:r>
          </w:p>
        </w:tc>
        <w:tc>
          <w:tcPr>
            <w:tcW w:w="792" w:type="dxa"/>
          </w:tcPr>
          <w:p w14:paraId="7DEACB09" w14:textId="16F400CB"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1FE2" w14:textId="7D8F7994"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10.927</w:t>
            </w:r>
          </w:p>
        </w:tc>
        <w:tc>
          <w:tcPr>
            <w:tcW w:w="1262" w:type="dxa"/>
            <w:noWrap/>
          </w:tcPr>
          <w:p w14:paraId="65091FE3" w14:textId="0438133D"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9.702</w:t>
            </w:r>
          </w:p>
        </w:tc>
        <w:tc>
          <w:tcPr>
            <w:tcW w:w="1263" w:type="dxa"/>
            <w:tcBorders>
              <w:top w:val="single" w:sz="8" w:space="0" w:color="1C556C" w:themeColor="accent1"/>
              <w:bottom w:val="single" w:sz="8" w:space="0" w:color="1C556C" w:themeColor="accent1"/>
              <w:right w:val="nil"/>
            </w:tcBorders>
            <w:noWrap/>
          </w:tcPr>
          <w:p w14:paraId="65091FE4" w14:textId="7646B0FF"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9.155</w:t>
            </w:r>
          </w:p>
        </w:tc>
      </w:tr>
      <w:tr w:rsidR="0047678E" w:rsidRPr="0018386D" w14:paraId="65091FEB"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E6" w14:textId="77777777" w:rsidR="0047678E" w:rsidRPr="0018386D" w:rsidRDefault="0047678E" w:rsidP="00DD3106">
            <w:pPr>
              <w:pStyle w:val="TableText"/>
              <w:spacing w:before="30" w:after="30"/>
              <w:rPr>
                <w:b w:val="0"/>
                <w:szCs w:val="18"/>
              </w:rPr>
            </w:pPr>
          </w:p>
        </w:tc>
        <w:tc>
          <w:tcPr>
            <w:tcW w:w="1689" w:type="dxa"/>
            <w:noWrap/>
            <w:hideMark/>
          </w:tcPr>
          <w:p w14:paraId="65091FE7" w14:textId="07B49CAF"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1350</w:t>
            </w:r>
            <w:r w:rsidR="00783F47" w:rsidRPr="0018386D">
              <w:rPr>
                <w:szCs w:val="18"/>
              </w:rPr>
              <w:t>–</w:t>
            </w:r>
            <w:r w:rsidRPr="0018386D">
              <w:rPr>
                <w:szCs w:val="18"/>
              </w:rPr>
              <w:t>&lt;1600 cc</w:t>
            </w:r>
          </w:p>
        </w:tc>
        <w:tc>
          <w:tcPr>
            <w:tcW w:w="792" w:type="dxa"/>
          </w:tcPr>
          <w:p w14:paraId="37C42E29" w14:textId="29CF3A59"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1FE8" w14:textId="11011C6D"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10.495</w:t>
            </w:r>
          </w:p>
        </w:tc>
        <w:tc>
          <w:tcPr>
            <w:tcW w:w="1262" w:type="dxa"/>
            <w:noWrap/>
          </w:tcPr>
          <w:p w14:paraId="65091FE9" w14:textId="72AC49C0"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9.318</w:t>
            </w:r>
          </w:p>
        </w:tc>
        <w:tc>
          <w:tcPr>
            <w:tcW w:w="1263" w:type="dxa"/>
            <w:tcBorders>
              <w:right w:val="nil"/>
            </w:tcBorders>
            <w:noWrap/>
          </w:tcPr>
          <w:p w14:paraId="65091FEA" w14:textId="569647E1"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8.793</w:t>
            </w:r>
          </w:p>
        </w:tc>
      </w:tr>
      <w:tr w:rsidR="0047678E" w:rsidRPr="0018386D" w14:paraId="65091FF1"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EC" w14:textId="77777777" w:rsidR="0047678E" w:rsidRPr="0018386D" w:rsidRDefault="0047678E" w:rsidP="00DD3106">
            <w:pPr>
              <w:pStyle w:val="TableText"/>
              <w:spacing w:before="30" w:after="30"/>
              <w:rPr>
                <w:b w:val="0"/>
                <w:szCs w:val="18"/>
              </w:rPr>
            </w:pPr>
          </w:p>
        </w:tc>
        <w:tc>
          <w:tcPr>
            <w:tcW w:w="1689" w:type="dxa"/>
            <w:noWrap/>
            <w:hideMark/>
          </w:tcPr>
          <w:p w14:paraId="65091FED" w14:textId="35B79746"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31DB97D3" w14:textId="0DFE3091"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1FEE" w14:textId="5E5069C3"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11.499</w:t>
            </w:r>
          </w:p>
        </w:tc>
        <w:tc>
          <w:tcPr>
            <w:tcW w:w="1262" w:type="dxa"/>
            <w:noWrap/>
          </w:tcPr>
          <w:p w14:paraId="65091FEF" w14:textId="4DF654AD"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10.210</w:t>
            </w:r>
          </w:p>
        </w:tc>
        <w:tc>
          <w:tcPr>
            <w:tcW w:w="1263" w:type="dxa"/>
            <w:tcBorders>
              <w:top w:val="single" w:sz="8" w:space="0" w:color="1C556C" w:themeColor="accent1"/>
              <w:bottom w:val="single" w:sz="8" w:space="0" w:color="1C556C" w:themeColor="accent1"/>
              <w:right w:val="nil"/>
            </w:tcBorders>
            <w:noWrap/>
          </w:tcPr>
          <w:p w14:paraId="65091FF0" w14:textId="7E1B4DD5"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9.634</w:t>
            </w:r>
          </w:p>
        </w:tc>
      </w:tr>
      <w:tr w:rsidR="0047678E" w:rsidRPr="0018386D" w14:paraId="65091FF7"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1FF2" w14:textId="77777777" w:rsidR="0047678E" w:rsidRPr="0018386D" w:rsidRDefault="0047678E" w:rsidP="00DD3106">
            <w:pPr>
              <w:pStyle w:val="TableText"/>
              <w:spacing w:before="30" w:after="30"/>
              <w:rPr>
                <w:b w:val="0"/>
                <w:szCs w:val="18"/>
              </w:rPr>
            </w:pPr>
          </w:p>
        </w:tc>
        <w:tc>
          <w:tcPr>
            <w:tcW w:w="1689" w:type="dxa"/>
            <w:noWrap/>
            <w:hideMark/>
          </w:tcPr>
          <w:p w14:paraId="65091FF3" w14:textId="16C1A9BC"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01D090E1" w14:textId="6B99E20C"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1FF4" w14:textId="7885CE2D"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13.015</w:t>
            </w:r>
          </w:p>
        </w:tc>
        <w:tc>
          <w:tcPr>
            <w:tcW w:w="1262" w:type="dxa"/>
            <w:noWrap/>
          </w:tcPr>
          <w:p w14:paraId="65091FF5" w14:textId="40438078"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11.556</w:t>
            </w:r>
          </w:p>
        </w:tc>
        <w:tc>
          <w:tcPr>
            <w:tcW w:w="1263" w:type="dxa"/>
            <w:tcBorders>
              <w:right w:val="nil"/>
            </w:tcBorders>
            <w:noWrap/>
          </w:tcPr>
          <w:p w14:paraId="65091FF6" w14:textId="540F4DC1"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10.904</w:t>
            </w:r>
          </w:p>
        </w:tc>
      </w:tr>
      <w:tr w:rsidR="0047678E" w:rsidRPr="0018386D" w14:paraId="65091FFD"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1FF8" w14:textId="77777777" w:rsidR="0047678E" w:rsidRPr="0018386D" w:rsidRDefault="0047678E" w:rsidP="00DD3106">
            <w:pPr>
              <w:pStyle w:val="TableText"/>
              <w:spacing w:before="30" w:after="30"/>
              <w:rPr>
                <w:b w:val="0"/>
                <w:szCs w:val="18"/>
              </w:rPr>
            </w:pPr>
          </w:p>
        </w:tc>
        <w:tc>
          <w:tcPr>
            <w:tcW w:w="1689" w:type="dxa"/>
            <w:noWrap/>
            <w:hideMark/>
          </w:tcPr>
          <w:p w14:paraId="65091FF9" w14:textId="4E982C0E"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≥3000 cc</w:t>
            </w:r>
          </w:p>
        </w:tc>
        <w:tc>
          <w:tcPr>
            <w:tcW w:w="792" w:type="dxa"/>
          </w:tcPr>
          <w:p w14:paraId="361E7C12" w14:textId="0981C91E"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1FFA" w14:textId="6A26BE0D"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15.393</w:t>
            </w:r>
          </w:p>
        </w:tc>
        <w:tc>
          <w:tcPr>
            <w:tcW w:w="1262" w:type="dxa"/>
            <w:noWrap/>
          </w:tcPr>
          <w:p w14:paraId="65091FFB" w14:textId="6B55E9DD"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13.668</w:t>
            </w:r>
          </w:p>
        </w:tc>
        <w:tc>
          <w:tcPr>
            <w:tcW w:w="1263" w:type="dxa"/>
            <w:tcBorders>
              <w:top w:val="single" w:sz="8" w:space="0" w:color="1C556C" w:themeColor="accent1"/>
              <w:bottom w:val="single" w:sz="8" w:space="0" w:color="1C556C" w:themeColor="accent1"/>
              <w:right w:val="nil"/>
            </w:tcBorders>
            <w:noWrap/>
          </w:tcPr>
          <w:p w14:paraId="65091FFC" w14:textId="59F9A7C3"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12.897</w:t>
            </w:r>
          </w:p>
        </w:tc>
      </w:tr>
      <w:tr w:rsidR="0047678E" w:rsidRPr="0018386D" w14:paraId="65092003"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left w:val="nil"/>
            </w:tcBorders>
            <w:hideMark/>
          </w:tcPr>
          <w:p w14:paraId="65091FFE" w14:textId="77777777" w:rsidR="0047678E" w:rsidRPr="0018386D" w:rsidRDefault="0047678E" w:rsidP="00DD3106">
            <w:pPr>
              <w:pStyle w:val="TableText"/>
              <w:spacing w:before="30" w:after="30"/>
              <w:rPr>
                <w:b w:val="0"/>
                <w:szCs w:val="18"/>
              </w:rPr>
            </w:pPr>
            <w:r w:rsidRPr="0018386D">
              <w:rPr>
                <w:b w:val="0"/>
                <w:szCs w:val="18"/>
              </w:rPr>
              <w:t>Electric vehicle</w:t>
            </w:r>
          </w:p>
        </w:tc>
        <w:tc>
          <w:tcPr>
            <w:tcW w:w="1689" w:type="dxa"/>
            <w:noWrap/>
            <w:hideMark/>
          </w:tcPr>
          <w:p w14:paraId="65091FFF" w14:textId="3BF6B7B7"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&lt;1350 cc</w:t>
            </w:r>
          </w:p>
        </w:tc>
        <w:tc>
          <w:tcPr>
            <w:tcW w:w="792" w:type="dxa"/>
          </w:tcPr>
          <w:p w14:paraId="3ECB9807" w14:textId="1B9738E5"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2000" w14:textId="59A5D402"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21.017</w:t>
            </w:r>
          </w:p>
        </w:tc>
        <w:tc>
          <w:tcPr>
            <w:tcW w:w="1262" w:type="dxa"/>
            <w:noWrap/>
          </w:tcPr>
          <w:p w14:paraId="65092001" w14:textId="49C32758"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18.661</w:t>
            </w:r>
          </w:p>
        </w:tc>
        <w:tc>
          <w:tcPr>
            <w:tcW w:w="1263" w:type="dxa"/>
            <w:tcBorders>
              <w:right w:val="nil"/>
            </w:tcBorders>
            <w:noWrap/>
          </w:tcPr>
          <w:p w14:paraId="65092002" w14:textId="5EC933E8"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17.609</w:t>
            </w:r>
          </w:p>
        </w:tc>
      </w:tr>
      <w:tr w:rsidR="0047678E" w:rsidRPr="0018386D" w14:paraId="65092009"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2004" w14:textId="77777777" w:rsidR="0047678E" w:rsidRPr="0018386D" w:rsidRDefault="0047678E" w:rsidP="00DD3106">
            <w:pPr>
              <w:pStyle w:val="TableText"/>
              <w:spacing w:before="30" w:after="30"/>
              <w:rPr>
                <w:b w:val="0"/>
                <w:szCs w:val="18"/>
              </w:rPr>
            </w:pPr>
          </w:p>
        </w:tc>
        <w:tc>
          <w:tcPr>
            <w:tcW w:w="1689" w:type="dxa"/>
            <w:noWrap/>
            <w:hideMark/>
          </w:tcPr>
          <w:p w14:paraId="65092005" w14:textId="10BC866A"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1350</w:t>
            </w:r>
            <w:r w:rsidR="00783F47" w:rsidRPr="0018386D">
              <w:rPr>
                <w:szCs w:val="18"/>
              </w:rPr>
              <w:t>–</w:t>
            </w:r>
            <w:r w:rsidRPr="0018386D">
              <w:rPr>
                <w:szCs w:val="18"/>
              </w:rPr>
              <w:t>&lt;1600 cc</w:t>
            </w:r>
          </w:p>
        </w:tc>
        <w:tc>
          <w:tcPr>
            <w:tcW w:w="792" w:type="dxa"/>
          </w:tcPr>
          <w:p w14:paraId="0353134E" w14:textId="136E5DB8"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2006" w14:textId="67D93C6C"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21.751</w:t>
            </w:r>
          </w:p>
        </w:tc>
        <w:tc>
          <w:tcPr>
            <w:tcW w:w="1262" w:type="dxa"/>
            <w:noWrap/>
          </w:tcPr>
          <w:p w14:paraId="65092007" w14:textId="13EFDFB7"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19.313</w:t>
            </w:r>
          </w:p>
        </w:tc>
        <w:tc>
          <w:tcPr>
            <w:tcW w:w="1263" w:type="dxa"/>
            <w:tcBorders>
              <w:top w:val="single" w:sz="8" w:space="0" w:color="1C556C" w:themeColor="accent1"/>
              <w:bottom w:val="single" w:sz="8" w:space="0" w:color="1C556C" w:themeColor="accent1"/>
              <w:right w:val="nil"/>
            </w:tcBorders>
            <w:noWrap/>
          </w:tcPr>
          <w:p w14:paraId="65092008" w14:textId="74663935"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18.224</w:t>
            </w:r>
          </w:p>
        </w:tc>
      </w:tr>
      <w:tr w:rsidR="0047678E" w:rsidRPr="0018386D" w14:paraId="6509200F"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200A" w14:textId="77777777" w:rsidR="0047678E" w:rsidRPr="0018386D" w:rsidRDefault="0047678E" w:rsidP="00DD3106">
            <w:pPr>
              <w:pStyle w:val="TableText"/>
              <w:spacing w:before="30" w:after="30"/>
              <w:rPr>
                <w:b w:val="0"/>
                <w:szCs w:val="18"/>
              </w:rPr>
            </w:pPr>
          </w:p>
        </w:tc>
        <w:tc>
          <w:tcPr>
            <w:tcW w:w="1689" w:type="dxa"/>
            <w:noWrap/>
            <w:hideMark/>
          </w:tcPr>
          <w:p w14:paraId="6509200B" w14:textId="68626A7C"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1600</w:t>
            </w:r>
            <w:r w:rsidR="00783F47" w:rsidRPr="0018386D">
              <w:rPr>
                <w:szCs w:val="18"/>
              </w:rPr>
              <w:t>–</w:t>
            </w:r>
            <w:r w:rsidRPr="0018386D">
              <w:rPr>
                <w:szCs w:val="18"/>
              </w:rPr>
              <w:t>&lt;2000 cc</w:t>
            </w:r>
          </w:p>
        </w:tc>
        <w:tc>
          <w:tcPr>
            <w:tcW w:w="792" w:type="dxa"/>
          </w:tcPr>
          <w:p w14:paraId="2FDB40A9" w14:textId="1454589C"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200C" w14:textId="10AD9C45"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24.491</w:t>
            </w:r>
          </w:p>
        </w:tc>
        <w:tc>
          <w:tcPr>
            <w:tcW w:w="1262" w:type="dxa"/>
            <w:noWrap/>
          </w:tcPr>
          <w:p w14:paraId="6509200D" w14:textId="6F50B9D6"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21.746</w:t>
            </w:r>
          </w:p>
        </w:tc>
        <w:tc>
          <w:tcPr>
            <w:tcW w:w="1263" w:type="dxa"/>
            <w:tcBorders>
              <w:right w:val="nil"/>
            </w:tcBorders>
            <w:noWrap/>
          </w:tcPr>
          <w:p w14:paraId="6509200E" w14:textId="06F63E7B"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20.520</w:t>
            </w:r>
          </w:p>
        </w:tc>
      </w:tr>
      <w:tr w:rsidR="0047678E" w:rsidRPr="0018386D" w14:paraId="65092015"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2010" w14:textId="77777777" w:rsidR="0047678E" w:rsidRPr="0018386D" w:rsidRDefault="0047678E" w:rsidP="00DD3106">
            <w:pPr>
              <w:pStyle w:val="TableText"/>
              <w:spacing w:before="30" w:after="30"/>
              <w:rPr>
                <w:b w:val="0"/>
                <w:szCs w:val="18"/>
              </w:rPr>
            </w:pPr>
          </w:p>
        </w:tc>
        <w:tc>
          <w:tcPr>
            <w:tcW w:w="1689" w:type="dxa"/>
            <w:noWrap/>
            <w:hideMark/>
          </w:tcPr>
          <w:p w14:paraId="65092011" w14:textId="09314C96"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2000</w:t>
            </w:r>
            <w:r w:rsidR="00783F47" w:rsidRPr="0018386D">
              <w:rPr>
                <w:szCs w:val="18"/>
              </w:rPr>
              <w:t>–</w:t>
            </w:r>
            <w:r w:rsidRPr="0018386D">
              <w:rPr>
                <w:szCs w:val="18"/>
              </w:rPr>
              <w:t>&lt;3000 cc</w:t>
            </w:r>
          </w:p>
        </w:tc>
        <w:tc>
          <w:tcPr>
            <w:tcW w:w="792" w:type="dxa"/>
          </w:tcPr>
          <w:p w14:paraId="52B437BA" w14:textId="34628A78"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2012" w14:textId="2FC7B25A"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27.203</w:t>
            </w:r>
          </w:p>
        </w:tc>
        <w:tc>
          <w:tcPr>
            <w:tcW w:w="1262" w:type="dxa"/>
            <w:noWrap/>
          </w:tcPr>
          <w:p w14:paraId="65092013" w14:textId="1B11ECFB"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24.154</w:t>
            </w:r>
          </w:p>
        </w:tc>
        <w:tc>
          <w:tcPr>
            <w:tcW w:w="1263" w:type="dxa"/>
            <w:tcBorders>
              <w:top w:val="single" w:sz="8" w:space="0" w:color="1C556C" w:themeColor="accent1"/>
              <w:bottom w:val="single" w:sz="8" w:space="0" w:color="1C556C" w:themeColor="accent1"/>
              <w:right w:val="nil"/>
            </w:tcBorders>
            <w:noWrap/>
          </w:tcPr>
          <w:p w14:paraId="65092014" w14:textId="19BD1B33"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22.792</w:t>
            </w:r>
          </w:p>
        </w:tc>
      </w:tr>
      <w:tr w:rsidR="0047678E" w:rsidRPr="0018386D" w14:paraId="6509201B"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2016" w14:textId="77777777" w:rsidR="0047678E" w:rsidRPr="0018386D" w:rsidRDefault="0047678E" w:rsidP="00DD3106">
            <w:pPr>
              <w:pStyle w:val="TableText"/>
              <w:spacing w:before="30" w:after="30"/>
              <w:rPr>
                <w:b w:val="0"/>
                <w:szCs w:val="18"/>
              </w:rPr>
            </w:pPr>
          </w:p>
        </w:tc>
        <w:tc>
          <w:tcPr>
            <w:tcW w:w="1689" w:type="dxa"/>
            <w:noWrap/>
            <w:hideMark/>
          </w:tcPr>
          <w:p w14:paraId="65092017" w14:textId="41CCF42E"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≥3000 cc</w:t>
            </w:r>
          </w:p>
        </w:tc>
        <w:tc>
          <w:tcPr>
            <w:tcW w:w="792" w:type="dxa"/>
          </w:tcPr>
          <w:p w14:paraId="0D4945D9" w14:textId="60DE9E1C"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2018" w14:textId="06C927FB"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32.542</w:t>
            </w:r>
          </w:p>
        </w:tc>
        <w:tc>
          <w:tcPr>
            <w:tcW w:w="1262" w:type="dxa"/>
            <w:noWrap/>
          </w:tcPr>
          <w:p w14:paraId="65092019" w14:textId="6E0F815A"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28.895</w:t>
            </w:r>
          </w:p>
        </w:tc>
        <w:tc>
          <w:tcPr>
            <w:tcW w:w="1263" w:type="dxa"/>
            <w:tcBorders>
              <w:right w:val="nil"/>
            </w:tcBorders>
            <w:noWrap/>
          </w:tcPr>
          <w:p w14:paraId="6509201A" w14:textId="63E24A3C"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27.265</w:t>
            </w:r>
          </w:p>
        </w:tc>
      </w:tr>
      <w:tr w:rsidR="0047678E" w:rsidRPr="0018386D" w14:paraId="65092021"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single" w:sz="8" w:space="0" w:color="1C556C" w:themeColor="accent1"/>
              <w:left w:val="nil"/>
              <w:bottom w:val="single" w:sz="8" w:space="0" w:color="1C556C" w:themeColor="accent1"/>
            </w:tcBorders>
            <w:hideMark/>
          </w:tcPr>
          <w:p w14:paraId="6509201C" w14:textId="77777777" w:rsidR="0047678E" w:rsidRPr="0018386D" w:rsidRDefault="0047678E" w:rsidP="00DD3106">
            <w:pPr>
              <w:pStyle w:val="TableText"/>
              <w:spacing w:before="30" w:after="30"/>
              <w:rPr>
                <w:b w:val="0"/>
                <w:szCs w:val="18"/>
              </w:rPr>
            </w:pPr>
            <w:r w:rsidRPr="0018386D">
              <w:rPr>
                <w:b w:val="0"/>
                <w:szCs w:val="18"/>
              </w:rPr>
              <w:t>Motorcycle</w:t>
            </w:r>
          </w:p>
        </w:tc>
        <w:tc>
          <w:tcPr>
            <w:tcW w:w="1689" w:type="dxa"/>
            <w:noWrap/>
            <w:hideMark/>
          </w:tcPr>
          <w:p w14:paraId="6509201D" w14:textId="77777777"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&lt;60 cc, petrol</w:t>
            </w:r>
          </w:p>
        </w:tc>
        <w:tc>
          <w:tcPr>
            <w:tcW w:w="792" w:type="dxa"/>
          </w:tcPr>
          <w:p w14:paraId="34FA4E98" w14:textId="1B34FC18"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litres</w:t>
            </w:r>
          </w:p>
        </w:tc>
        <w:tc>
          <w:tcPr>
            <w:tcW w:w="1262" w:type="dxa"/>
            <w:noWrap/>
          </w:tcPr>
          <w:p w14:paraId="6509201E" w14:textId="7B46D967"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2.780</w:t>
            </w:r>
          </w:p>
        </w:tc>
        <w:tc>
          <w:tcPr>
            <w:tcW w:w="1262" w:type="dxa"/>
            <w:noWrap/>
          </w:tcPr>
          <w:p w14:paraId="6509201F" w14:textId="680F3D0D"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2.465</w:t>
            </w:r>
          </w:p>
        </w:tc>
        <w:tc>
          <w:tcPr>
            <w:tcW w:w="1263" w:type="dxa"/>
            <w:tcBorders>
              <w:top w:val="single" w:sz="8" w:space="0" w:color="1C556C" w:themeColor="accent1"/>
              <w:bottom w:val="single" w:sz="8" w:space="0" w:color="1C556C" w:themeColor="accent1"/>
              <w:right w:val="nil"/>
            </w:tcBorders>
            <w:noWrap/>
          </w:tcPr>
          <w:p w14:paraId="65092020" w14:textId="2BA606A6"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2.301</w:t>
            </w:r>
          </w:p>
        </w:tc>
      </w:tr>
      <w:tr w:rsidR="0047678E" w:rsidRPr="0018386D" w14:paraId="65092027"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2022" w14:textId="77777777" w:rsidR="0047678E" w:rsidRPr="0018386D" w:rsidRDefault="0047678E" w:rsidP="00DD3106">
            <w:pPr>
              <w:pStyle w:val="TableText"/>
              <w:spacing w:before="30" w:after="30"/>
              <w:rPr>
                <w:szCs w:val="18"/>
              </w:rPr>
            </w:pPr>
          </w:p>
        </w:tc>
        <w:tc>
          <w:tcPr>
            <w:tcW w:w="1689" w:type="dxa"/>
            <w:noWrap/>
            <w:hideMark/>
          </w:tcPr>
          <w:p w14:paraId="65092023" w14:textId="77777777"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≥60 cc, petrol</w:t>
            </w:r>
          </w:p>
        </w:tc>
        <w:tc>
          <w:tcPr>
            <w:tcW w:w="792" w:type="dxa"/>
          </w:tcPr>
          <w:p w14:paraId="53B0F267" w14:textId="5AB7E8D4"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litres</w:t>
            </w:r>
          </w:p>
        </w:tc>
        <w:tc>
          <w:tcPr>
            <w:tcW w:w="1262" w:type="dxa"/>
            <w:noWrap/>
          </w:tcPr>
          <w:p w14:paraId="65092024" w14:textId="1B59C980"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5.561</w:t>
            </w:r>
          </w:p>
        </w:tc>
        <w:tc>
          <w:tcPr>
            <w:tcW w:w="1262" w:type="dxa"/>
            <w:noWrap/>
          </w:tcPr>
          <w:p w14:paraId="65092025" w14:textId="5E93FA02"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4.929</w:t>
            </w:r>
          </w:p>
        </w:tc>
        <w:tc>
          <w:tcPr>
            <w:tcW w:w="1263" w:type="dxa"/>
            <w:tcBorders>
              <w:right w:val="nil"/>
            </w:tcBorders>
            <w:noWrap/>
          </w:tcPr>
          <w:p w14:paraId="65092026" w14:textId="6DEAF5A4"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4.602</w:t>
            </w:r>
          </w:p>
        </w:tc>
      </w:tr>
      <w:tr w:rsidR="0047678E" w:rsidRPr="0018386D" w14:paraId="6509202D" w14:textId="77777777" w:rsidTr="005E2BB5">
        <w:trPr>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single" w:sz="8" w:space="0" w:color="1C556C" w:themeColor="accent1"/>
              <w:left w:val="nil"/>
              <w:bottom w:val="single" w:sz="8" w:space="0" w:color="1C556C" w:themeColor="accent1"/>
            </w:tcBorders>
            <w:hideMark/>
          </w:tcPr>
          <w:p w14:paraId="65092028" w14:textId="77777777" w:rsidR="0047678E" w:rsidRPr="0018386D" w:rsidRDefault="0047678E" w:rsidP="00DD3106">
            <w:pPr>
              <w:pStyle w:val="TableText"/>
              <w:spacing w:before="30" w:after="30"/>
              <w:rPr>
                <w:szCs w:val="18"/>
              </w:rPr>
            </w:pPr>
          </w:p>
        </w:tc>
        <w:tc>
          <w:tcPr>
            <w:tcW w:w="1689" w:type="dxa"/>
            <w:noWrap/>
            <w:hideMark/>
          </w:tcPr>
          <w:p w14:paraId="65092029" w14:textId="77777777"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&lt;60 cc, electricity</w:t>
            </w:r>
          </w:p>
        </w:tc>
        <w:tc>
          <w:tcPr>
            <w:tcW w:w="792" w:type="dxa"/>
          </w:tcPr>
          <w:p w14:paraId="0C8F1657" w14:textId="335207B1" w:rsidR="0047678E" w:rsidRPr="0018386D" w:rsidRDefault="0047678E"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kWh</w:t>
            </w:r>
          </w:p>
        </w:tc>
        <w:tc>
          <w:tcPr>
            <w:tcW w:w="1262" w:type="dxa"/>
            <w:noWrap/>
          </w:tcPr>
          <w:p w14:paraId="6509202A" w14:textId="69DE8964"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5.137</w:t>
            </w:r>
          </w:p>
        </w:tc>
        <w:tc>
          <w:tcPr>
            <w:tcW w:w="1262" w:type="dxa"/>
            <w:noWrap/>
          </w:tcPr>
          <w:p w14:paraId="6509202B" w14:textId="1949A210"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4.588</w:t>
            </w:r>
          </w:p>
        </w:tc>
        <w:tc>
          <w:tcPr>
            <w:tcW w:w="1263" w:type="dxa"/>
            <w:tcBorders>
              <w:top w:val="single" w:sz="8" w:space="0" w:color="1C556C" w:themeColor="accent1"/>
              <w:bottom w:val="single" w:sz="8" w:space="0" w:color="1C556C" w:themeColor="accent1"/>
              <w:right w:val="nil"/>
            </w:tcBorders>
            <w:noWrap/>
          </w:tcPr>
          <w:p w14:paraId="6509202C" w14:textId="38DB0665" w:rsidR="0047678E" w:rsidRPr="0018386D" w:rsidRDefault="0047678E"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4.488</w:t>
            </w:r>
          </w:p>
        </w:tc>
      </w:tr>
      <w:tr w:rsidR="0047678E" w:rsidRPr="0018386D" w14:paraId="65092033" w14:textId="77777777" w:rsidTr="005E2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left w:val="nil"/>
            </w:tcBorders>
            <w:hideMark/>
          </w:tcPr>
          <w:p w14:paraId="6509202E" w14:textId="77777777" w:rsidR="0047678E" w:rsidRPr="0018386D" w:rsidRDefault="0047678E" w:rsidP="00DD3106">
            <w:pPr>
              <w:pStyle w:val="TableText"/>
              <w:spacing w:before="30" w:after="30"/>
              <w:rPr>
                <w:szCs w:val="18"/>
              </w:rPr>
            </w:pPr>
          </w:p>
        </w:tc>
        <w:tc>
          <w:tcPr>
            <w:tcW w:w="1689" w:type="dxa"/>
            <w:noWrap/>
            <w:hideMark/>
          </w:tcPr>
          <w:p w14:paraId="6509202F" w14:textId="77777777"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≥60 cc, electricity</w:t>
            </w:r>
          </w:p>
        </w:tc>
        <w:tc>
          <w:tcPr>
            <w:tcW w:w="792" w:type="dxa"/>
          </w:tcPr>
          <w:p w14:paraId="327A9EDC" w14:textId="6CFDD7E1" w:rsidR="0047678E" w:rsidRPr="0018386D" w:rsidRDefault="0047678E"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kWh</w:t>
            </w:r>
          </w:p>
        </w:tc>
        <w:tc>
          <w:tcPr>
            <w:tcW w:w="1262" w:type="dxa"/>
            <w:noWrap/>
          </w:tcPr>
          <w:p w14:paraId="65092030" w14:textId="45912E94"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10.274</w:t>
            </w:r>
          </w:p>
        </w:tc>
        <w:tc>
          <w:tcPr>
            <w:tcW w:w="1262" w:type="dxa"/>
            <w:noWrap/>
          </w:tcPr>
          <w:p w14:paraId="65092031" w14:textId="6DB4AE18"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9.177</w:t>
            </w:r>
          </w:p>
        </w:tc>
        <w:tc>
          <w:tcPr>
            <w:tcW w:w="1263" w:type="dxa"/>
            <w:tcBorders>
              <w:right w:val="nil"/>
            </w:tcBorders>
            <w:noWrap/>
          </w:tcPr>
          <w:p w14:paraId="65092032" w14:textId="4787AFC0" w:rsidR="0047678E" w:rsidRPr="0018386D" w:rsidRDefault="0047678E"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8.976</w:t>
            </w:r>
          </w:p>
        </w:tc>
      </w:tr>
    </w:tbl>
    <w:p w14:paraId="385A8DE0" w14:textId="14C7B47C" w:rsidR="00AF333A" w:rsidRPr="0018386D" w:rsidRDefault="00047BDB" w:rsidP="00DD3106">
      <w:pPr>
        <w:pStyle w:val="Note"/>
      </w:pPr>
      <w:r w:rsidRPr="0018386D">
        <w:t xml:space="preserve">Source: </w:t>
      </w:r>
      <w:r w:rsidR="00AF333A" w:rsidRPr="0018386D">
        <w:t xml:space="preserve">The Te Manatū Waka Ministry of Transport </w:t>
      </w:r>
      <w:r w:rsidR="00A2260A" w:rsidRPr="0018386D">
        <w:t>Vehicle Fleet Emissions Model</w:t>
      </w:r>
      <w:r w:rsidR="00AF333A" w:rsidRPr="0018386D">
        <w:t>.</w:t>
      </w:r>
    </w:p>
    <w:p w14:paraId="65092035" w14:textId="5FAE58BF" w:rsidR="00753056" w:rsidRPr="0018386D" w:rsidRDefault="00753056" w:rsidP="00DD3106">
      <w:pPr>
        <w:pStyle w:val="BodyText"/>
        <w:spacing w:after="240"/>
      </w:pPr>
      <w:r w:rsidRPr="0018386D">
        <w:t>The equation used to calculate the emission factor for each</w:t>
      </w:r>
      <w:r w:rsidR="008B2AF1" w:rsidRPr="0018386D">
        <w:t xml:space="preserve"> </w:t>
      </w:r>
      <w:r w:rsidR="00831325" w:rsidRPr="0018386D">
        <w:t>GHG</w:t>
      </w:r>
      <w:r w:rsidRPr="0018386D">
        <w:t xml:space="preserve"> is:</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8123E0" w:rsidRPr="0018386D" w14:paraId="65092037" w14:textId="77777777" w:rsidTr="00AE5398">
        <w:tc>
          <w:tcPr>
            <w:tcW w:w="8720" w:type="dxa"/>
            <w:shd w:val="clear" w:color="auto" w:fill="D2DDE1" w:themeFill="background2"/>
            <w:vAlign w:val="center"/>
          </w:tcPr>
          <w:p w14:paraId="65092036" w14:textId="5B099C21" w:rsidR="008123E0" w:rsidRPr="0018386D" w:rsidRDefault="00C7627E" w:rsidP="00DD3106">
            <w:pPr>
              <w:pStyle w:val="Box"/>
              <w:shd w:val="clear" w:color="auto" w:fill="auto"/>
              <w:spacing w:before="0" w:after="0" w:line="240" w:lineRule="auto"/>
              <w:ind w:left="0"/>
            </w:pPr>
            <m:oMathPara>
              <m:oMathParaPr>
                <m:jc m:val="center"/>
              </m:oMathParaPr>
              <m:oMath>
                <m:f>
                  <m:fPr>
                    <m:ctrlPr>
                      <w:rPr>
                        <w:rFonts w:ascii="Cambria Math" w:hAnsi="Cambria Math"/>
                      </w:rPr>
                    </m:ctrlPr>
                  </m:fPr>
                  <m:num>
                    <m:r>
                      <w:rPr>
                        <w:rFonts w:ascii="Cambria Math" w:hAnsi="Cambria Math"/>
                      </w:rPr>
                      <m:t>real</m:t>
                    </m:r>
                    <m:r>
                      <m:rPr>
                        <m:sty m:val="p"/>
                      </m:rPr>
                      <w:rPr>
                        <w:rFonts w:ascii="Cambria Math" w:hAnsi="Cambria Math"/>
                      </w:rPr>
                      <m:t xml:space="preserve"> </m:t>
                    </m:r>
                    <m:r>
                      <w:rPr>
                        <w:rFonts w:ascii="Cambria Math" w:hAnsi="Cambria Math"/>
                      </w:rPr>
                      <m:t>world</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consumption</m:t>
                    </m:r>
                    <m:r>
                      <w:rPr>
                        <w:rFonts w:ascii="Cambria Math" w:hAnsi="Cambria Math"/>
                      </w:rPr>
                      <m:t xml:space="preserve"> (</m:t>
                    </m:r>
                    <m:r>
                      <w:rPr>
                        <w:rFonts w:ascii="Cambria Math" w:hAnsi="Cambria Math"/>
                      </w:rPr>
                      <m:t>litres</m:t>
                    </m:r>
                    <m:r>
                      <w:rPr>
                        <w:rFonts w:ascii="Cambria Math" w:hAnsi="Cambria Math"/>
                      </w:rPr>
                      <m:t>)</m:t>
                    </m:r>
                    <m:r>
                      <m:rPr>
                        <m:sty m:val="p"/>
                      </m:rPr>
                      <w:rPr>
                        <w:rFonts w:ascii="Cambria Math" w:hAnsi="Cambria Math"/>
                      </w:rPr>
                      <m:t>×</m:t>
                    </m:r>
                    <m:r>
                      <w:rPr>
                        <w:rFonts w:ascii="Cambria Math" w:hAnsi="Cambria Math"/>
                      </w:rPr>
                      <m:t>emission</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num>
                  <m:den>
                    <m:r>
                      <w:rPr>
                        <w:rFonts w:ascii="Cambria Math" w:hAnsi="Cambria Math"/>
                      </w:rPr>
                      <m:t>100 (</m:t>
                    </m:r>
                    <m:r>
                      <w:rPr>
                        <w:rFonts w:ascii="Cambria Math" w:hAnsi="Cambria Math"/>
                      </w:rPr>
                      <m:t>km</m:t>
                    </m:r>
                    <m:r>
                      <w:rPr>
                        <w:rFonts w:ascii="Cambria Math" w:hAnsi="Cambria Math"/>
                      </w:rPr>
                      <m:t>)</m:t>
                    </m:r>
                  </m:den>
                </m:f>
              </m:oMath>
            </m:oMathPara>
          </w:p>
        </w:tc>
      </w:tr>
    </w:tbl>
    <w:p w14:paraId="65092038" w14:textId="3D74D507" w:rsidR="00753056" w:rsidRPr="0018386D" w:rsidRDefault="00753056" w:rsidP="00DD3106">
      <w:pPr>
        <w:pStyle w:val="BodyText"/>
        <w:spacing w:before="240"/>
      </w:pPr>
      <w:r w:rsidRPr="0018386D">
        <w:t xml:space="preserve">Dividing by 100 gives a factor for litres (or </w:t>
      </w:r>
      <w:r w:rsidR="00F86D20" w:rsidRPr="0018386D">
        <w:t>kWh</w:t>
      </w:r>
      <w:r w:rsidRPr="0018386D">
        <w:t>) per fuel per km</w:t>
      </w:r>
      <w:r w:rsidR="00047BDB" w:rsidRPr="0018386D">
        <w:t>.</w:t>
      </w:r>
      <w:r w:rsidRPr="0018386D">
        <w:t xml:space="preserve"> </w:t>
      </w:r>
      <w:r w:rsidR="00047BDB" w:rsidRPr="0018386D">
        <w:t>Use this</w:t>
      </w:r>
      <w:r w:rsidRPr="0018386D">
        <w:t xml:space="preserve"> with the fuel emission factors to calculate emission</w:t>
      </w:r>
      <w:r w:rsidR="00375CE1" w:rsidRPr="0018386D">
        <w:t>s</w:t>
      </w:r>
      <w:r w:rsidRPr="0018386D">
        <w:t xml:space="preserve"> per km.</w:t>
      </w:r>
    </w:p>
    <w:p w14:paraId="65092039" w14:textId="4C63C0FA" w:rsidR="00C11590" w:rsidRPr="0018386D" w:rsidRDefault="00047BDB" w:rsidP="00DD3106">
      <w:pPr>
        <w:pStyle w:val="BodyText"/>
      </w:pPr>
      <w:r w:rsidRPr="0018386D">
        <w:t>Multiply t</w:t>
      </w:r>
      <w:r w:rsidR="002A6897" w:rsidRPr="0018386D">
        <w:t xml:space="preserve">he values for fuel consumption </w:t>
      </w:r>
      <w:r w:rsidR="00C11590" w:rsidRPr="0018386D">
        <w:t xml:space="preserve">by the emission conversion factors in </w:t>
      </w:r>
      <w:hyperlink w:anchor="table4">
        <w:r w:rsidR="00A734B3" w:rsidRPr="0018386D">
          <w:rPr>
            <w:rStyle w:val="Hyperlink"/>
          </w:rPr>
          <w:t>table 4</w:t>
        </w:r>
      </w:hyperlink>
      <w:r w:rsidR="002F25F0" w:rsidRPr="0018386D">
        <w:t>.</w:t>
      </w:r>
    </w:p>
    <w:p w14:paraId="6509203A" w14:textId="555CADAB" w:rsidR="00CC3C6D" w:rsidRPr="0018386D" w:rsidRDefault="00E15AB4" w:rsidP="00DD3106">
      <w:pPr>
        <w:pStyle w:val="BodyText"/>
      </w:pPr>
      <w:r w:rsidRPr="0018386D">
        <w:t xml:space="preserve">NZTA vehicle registration data </w:t>
      </w:r>
      <w:r w:rsidR="00CC284D" w:rsidRPr="0018386D">
        <w:t xml:space="preserve">is unchanged from </w:t>
      </w:r>
      <w:r w:rsidR="32C02E20" w:rsidRPr="0018386D">
        <w:t xml:space="preserve">the </w:t>
      </w:r>
      <w:r w:rsidR="0042145B" w:rsidRPr="0018386D">
        <w:t xml:space="preserve">2022 </w:t>
      </w:r>
      <w:r w:rsidR="32C02E20" w:rsidRPr="0018386D">
        <w:t>Guidance</w:t>
      </w:r>
      <w:r w:rsidR="006478C9" w:rsidRPr="0018386D">
        <w:t xml:space="preserve">, where </w:t>
      </w:r>
      <w:r w:rsidR="00BB2C27" w:rsidRPr="0018386D">
        <w:t xml:space="preserve">the average </w:t>
      </w:r>
      <w:r w:rsidR="00947D9F" w:rsidRPr="0018386D">
        <w:t>year of manufacture for</w:t>
      </w:r>
      <w:r w:rsidR="00BB2C27" w:rsidRPr="0018386D">
        <w:t xml:space="preserve"> the taxi fleet </w:t>
      </w:r>
      <w:r w:rsidR="006478C9" w:rsidRPr="0018386D">
        <w:t>was</w:t>
      </w:r>
      <w:r w:rsidR="00BB2C27" w:rsidRPr="0018386D">
        <w:t xml:space="preserve"> 2012</w:t>
      </w:r>
      <w:r w:rsidR="0042145B" w:rsidRPr="0018386D">
        <w:t xml:space="preserve">, and </w:t>
      </w:r>
      <w:r w:rsidR="00B56199" w:rsidRPr="0018386D">
        <w:t>2015 for</w:t>
      </w:r>
      <w:r w:rsidR="00C616AB" w:rsidRPr="0018386D">
        <w:t> </w:t>
      </w:r>
      <w:r w:rsidR="00947D9F" w:rsidRPr="0018386D">
        <w:t xml:space="preserve">the </w:t>
      </w:r>
      <w:r w:rsidR="00B757C1" w:rsidRPr="0018386D">
        <w:t>rental fleet</w:t>
      </w:r>
      <w:r w:rsidR="003E4B02" w:rsidRPr="0018386D">
        <w:t>.</w:t>
      </w:r>
      <w:r w:rsidR="007351FA" w:rsidRPr="0018386D">
        <w:rPr>
          <w:rStyle w:val="FootnoteReference"/>
        </w:rPr>
        <w:footnoteReference w:id="26"/>
      </w:r>
      <w:r w:rsidR="0091260C" w:rsidRPr="0018386D">
        <w:t xml:space="preserve"> We </w:t>
      </w:r>
      <w:r w:rsidR="00FB3A5F" w:rsidRPr="0018386D">
        <w:t xml:space="preserve">assumed </w:t>
      </w:r>
      <w:r w:rsidR="00CC3C6D" w:rsidRPr="0018386D">
        <w:t xml:space="preserve">a </w:t>
      </w:r>
      <w:r w:rsidR="003A0011" w:rsidRPr="0018386D">
        <w:t>2010</w:t>
      </w:r>
      <w:r w:rsidR="00D55AF0" w:rsidRPr="0018386D">
        <w:t>–</w:t>
      </w:r>
      <w:r w:rsidR="00220A1D" w:rsidRPr="0018386D">
        <w:t>2015</w:t>
      </w:r>
      <w:r w:rsidR="00CC3C6D" w:rsidRPr="0018386D">
        <w:t xml:space="preserve"> fleet</w:t>
      </w:r>
      <w:r w:rsidR="00A979FB" w:rsidRPr="0018386D">
        <w:t xml:space="preserve"> for taxis and </w:t>
      </w:r>
      <w:r w:rsidR="0091260C" w:rsidRPr="0018386D">
        <w:t>post-2015</w:t>
      </w:r>
      <w:r w:rsidR="002A7FED" w:rsidRPr="0018386D">
        <w:t xml:space="preserve"> fleet for </w:t>
      </w:r>
      <w:r w:rsidR="00A979FB" w:rsidRPr="0018386D">
        <w:t>rental cars</w:t>
      </w:r>
      <w:r w:rsidR="00374204" w:rsidRPr="0018386D">
        <w:t>.</w:t>
      </w:r>
    </w:p>
    <w:p w14:paraId="0DD82E78" w14:textId="1394AF37" w:rsidR="00C67F97" w:rsidRPr="0018386D" w:rsidRDefault="00CD775D" w:rsidP="00DD3106">
      <w:pPr>
        <w:pStyle w:val="BodyText"/>
      </w:pPr>
      <w:r w:rsidRPr="0018386D">
        <w:t>The taxi (regular) factor is derived from an average of the factors for a petrol, diesel, petrol plug-in hybrid and electric vehicle, for a 2000</w:t>
      </w:r>
      <w:r w:rsidR="0042145B" w:rsidRPr="0018386D">
        <w:t>–</w:t>
      </w:r>
      <w:r w:rsidRPr="0018386D">
        <w:t xml:space="preserve">3000 cc vehicle class. These workings are in </w:t>
      </w:r>
      <w:hyperlink w:anchor="table24">
        <w:r w:rsidRPr="0018386D">
          <w:rPr>
            <w:rStyle w:val="Hyperlink"/>
          </w:rPr>
          <w:t>table 24</w:t>
        </w:r>
      </w:hyperlink>
      <w:r w:rsidRPr="0018386D">
        <w:t>.</w:t>
      </w:r>
    </w:p>
    <w:p w14:paraId="1AC8A78E" w14:textId="39CD5C83" w:rsidR="00C67F97" w:rsidRPr="0018386D" w:rsidRDefault="00C67F97" w:rsidP="00DD3106">
      <w:pPr>
        <w:pStyle w:val="Tableheading"/>
      </w:pPr>
      <w:bookmarkStart w:id="432" w:name="_Toc140048964"/>
      <w:bookmarkStart w:id="433" w:name="table24"/>
      <w:r w:rsidRPr="0018386D">
        <w:t xml:space="preserve">Table </w:t>
      </w:r>
      <w:r w:rsidRPr="0018386D">
        <w:fldChar w:fldCharType="begin"/>
      </w:r>
      <w:r w:rsidRPr="0018386D">
        <w:instrText>SEQ Table \* ARABIC</w:instrText>
      </w:r>
      <w:r w:rsidRPr="0018386D">
        <w:fldChar w:fldCharType="separate"/>
      </w:r>
      <w:r w:rsidRPr="0018386D">
        <w:t>24</w:t>
      </w:r>
      <w:r w:rsidRPr="0018386D">
        <w:fldChar w:fldCharType="end"/>
      </w:r>
      <w:r w:rsidRPr="0018386D">
        <w:t>:</w:t>
      </w:r>
      <w:r w:rsidRPr="0018386D">
        <w:tab/>
        <w:t xml:space="preserve">Data used for calculating the taxi (regular) emission </w:t>
      </w:r>
      <w:proofErr w:type="gramStart"/>
      <w:r w:rsidRPr="0018386D">
        <w:t>factor</w:t>
      </w:r>
      <w:bookmarkEnd w:id="432"/>
      <w:proofErr w:type="gramEnd"/>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264"/>
        <w:gridCol w:w="1322"/>
        <w:gridCol w:w="575"/>
        <w:gridCol w:w="1207"/>
        <w:gridCol w:w="1379"/>
        <w:gridCol w:w="1379"/>
        <w:gridCol w:w="1379"/>
      </w:tblGrid>
      <w:tr w:rsidR="00365500" w:rsidRPr="0018386D" w14:paraId="6108D7DE" w14:textId="77777777" w:rsidTr="00365500">
        <w:tc>
          <w:tcPr>
            <w:tcW w:w="1247" w:type="dxa"/>
            <w:shd w:val="clear" w:color="auto" w:fill="1B556B" w:themeFill="text2"/>
            <w:vAlign w:val="bottom"/>
          </w:tcPr>
          <w:bookmarkEnd w:id="433"/>
          <w:p w14:paraId="1ED0A6F7" w14:textId="77777777" w:rsidR="00C67F97" w:rsidRPr="0018386D" w:rsidRDefault="00C67F97" w:rsidP="00DD3106">
            <w:pPr>
              <w:pStyle w:val="TableText"/>
              <w:keepNext/>
              <w:spacing w:before="40" w:after="40"/>
              <w:rPr>
                <w:b/>
                <w:color w:val="FFFFFF" w:themeColor="background1"/>
              </w:rPr>
            </w:pPr>
            <w:r w:rsidRPr="0018386D">
              <w:rPr>
                <w:b/>
                <w:color w:val="FFFFFF" w:themeColor="background1"/>
              </w:rPr>
              <w:t>Vehicle</w:t>
            </w:r>
          </w:p>
        </w:tc>
        <w:tc>
          <w:tcPr>
            <w:tcW w:w="1304" w:type="dxa"/>
            <w:shd w:val="clear" w:color="auto" w:fill="1B556B" w:themeFill="text2"/>
            <w:vAlign w:val="bottom"/>
          </w:tcPr>
          <w:p w14:paraId="45A203EF" w14:textId="77777777" w:rsidR="00C67F97" w:rsidRPr="0018386D" w:rsidRDefault="00C67F97" w:rsidP="00DD3106">
            <w:pPr>
              <w:pStyle w:val="TableText"/>
              <w:keepNext/>
              <w:spacing w:before="40" w:after="40"/>
              <w:rPr>
                <w:b/>
                <w:color w:val="FFFFFF" w:themeColor="background1"/>
              </w:rPr>
            </w:pPr>
          </w:p>
        </w:tc>
        <w:tc>
          <w:tcPr>
            <w:tcW w:w="567" w:type="dxa"/>
            <w:shd w:val="clear" w:color="auto" w:fill="1B556B" w:themeFill="text2"/>
            <w:vAlign w:val="bottom"/>
          </w:tcPr>
          <w:p w14:paraId="737DB61F" w14:textId="77777777" w:rsidR="00C67F97" w:rsidRPr="0018386D" w:rsidRDefault="00C67F97" w:rsidP="00DD3106">
            <w:pPr>
              <w:pStyle w:val="TableText"/>
              <w:keepNext/>
              <w:spacing w:before="40" w:after="40"/>
              <w:rPr>
                <w:b/>
                <w:color w:val="FFFFFF" w:themeColor="background1"/>
              </w:rPr>
            </w:pPr>
            <w:r w:rsidRPr="0018386D">
              <w:rPr>
                <w:b/>
                <w:color w:val="FFFFFF" w:themeColor="background1"/>
              </w:rPr>
              <w:t>Unit</w:t>
            </w:r>
          </w:p>
        </w:tc>
        <w:tc>
          <w:tcPr>
            <w:tcW w:w="1191" w:type="dxa"/>
            <w:shd w:val="clear" w:color="auto" w:fill="1B556B" w:themeFill="text2"/>
            <w:vAlign w:val="bottom"/>
          </w:tcPr>
          <w:p w14:paraId="38C0BC59" w14:textId="77777777" w:rsidR="00C67F97" w:rsidRPr="0018386D" w:rsidRDefault="00C67F97" w:rsidP="00DD3106">
            <w:pPr>
              <w:pStyle w:val="TableText"/>
              <w:keepNext/>
              <w:spacing w:before="40" w:after="40"/>
              <w:rPr>
                <w:b/>
                <w:color w:val="FFFFFF" w:themeColor="background1"/>
              </w:rPr>
            </w:pPr>
            <w:r w:rsidRPr="0018386D">
              <w:rPr>
                <w:b/>
                <w:color w:val="FFFFFF" w:themeColor="background1"/>
              </w:rPr>
              <w:t>kg CO</w:t>
            </w:r>
            <w:r w:rsidRPr="0018386D">
              <w:rPr>
                <w:b/>
                <w:color w:val="FFFFFF" w:themeColor="background1"/>
                <w:vertAlign w:val="subscript"/>
              </w:rPr>
              <w:t>2</w:t>
            </w:r>
            <w:r w:rsidRPr="0018386D">
              <w:rPr>
                <w:b/>
                <w:color w:val="FFFFFF" w:themeColor="background1"/>
              </w:rPr>
              <w:t>-e/unit</w:t>
            </w:r>
          </w:p>
        </w:tc>
        <w:tc>
          <w:tcPr>
            <w:tcW w:w="1361" w:type="dxa"/>
            <w:shd w:val="clear" w:color="auto" w:fill="1B556B" w:themeFill="text2"/>
            <w:vAlign w:val="bottom"/>
          </w:tcPr>
          <w:p w14:paraId="55066A30" w14:textId="69DAFEC1" w:rsidR="00C67F97" w:rsidRPr="0018386D" w:rsidRDefault="00C67F97" w:rsidP="00DD3106">
            <w:pPr>
              <w:pStyle w:val="TableText"/>
              <w:keepNext/>
              <w:spacing w:before="40" w:after="40"/>
              <w:rPr>
                <w:b/>
                <w:color w:val="FFFFFF" w:themeColor="background1"/>
              </w:rPr>
            </w:pPr>
            <w:r w:rsidRPr="0018386D">
              <w:rPr>
                <w:b/>
                <w:color w:val="FFFFFF" w:themeColor="background1"/>
              </w:rPr>
              <w:t>CO</w:t>
            </w:r>
            <w:r w:rsidRPr="0018386D">
              <w:rPr>
                <w:b/>
                <w:color w:val="FFFFFF" w:themeColor="background1"/>
                <w:vertAlign w:val="subscript"/>
              </w:rPr>
              <w:t>2</w:t>
            </w:r>
            <w:r w:rsidRPr="0018386D">
              <w:t xml:space="preserve"> </w:t>
            </w:r>
            <w:r w:rsidRPr="0018386D">
              <w:rPr>
                <w:b/>
                <w:bCs/>
                <w:color w:val="FFFFFF" w:themeColor="background1"/>
              </w:rPr>
              <w:t>(kg CO</w:t>
            </w:r>
            <w:r w:rsidRPr="0018386D">
              <w:rPr>
                <w:b/>
                <w:bCs/>
                <w:color w:val="FFFFFF" w:themeColor="background1"/>
                <w:vertAlign w:val="subscript"/>
              </w:rPr>
              <w:t>2</w:t>
            </w:r>
            <w:r w:rsidRPr="0018386D">
              <w:rPr>
                <w:b/>
                <w:bCs/>
                <w:color w:val="FFFFFF" w:themeColor="background1"/>
              </w:rPr>
              <w:noBreakHyphen/>
              <w:t>e/ unit)</w:t>
            </w:r>
          </w:p>
        </w:tc>
        <w:tc>
          <w:tcPr>
            <w:tcW w:w="1361" w:type="dxa"/>
            <w:shd w:val="clear" w:color="auto" w:fill="1B556B" w:themeFill="text2"/>
            <w:vAlign w:val="bottom"/>
          </w:tcPr>
          <w:p w14:paraId="722494B1" w14:textId="62E44293" w:rsidR="00C67F97" w:rsidRPr="0018386D" w:rsidRDefault="00C67F97" w:rsidP="00DD3106">
            <w:pPr>
              <w:pStyle w:val="TableText"/>
              <w:keepNext/>
              <w:spacing w:before="40" w:after="40"/>
              <w:rPr>
                <w:b/>
                <w:color w:val="FFFFFF" w:themeColor="background1"/>
              </w:rPr>
            </w:pPr>
            <w:r w:rsidRPr="0018386D">
              <w:rPr>
                <w:b/>
                <w:bCs/>
                <w:color w:val="FFFFFF" w:themeColor="background1"/>
              </w:rPr>
              <w:t>CH</w:t>
            </w:r>
            <w:r w:rsidRPr="0018386D">
              <w:rPr>
                <w:b/>
                <w:bCs/>
                <w:color w:val="FFFFFF" w:themeColor="background1"/>
                <w:vertAlign w:val="subscript"/>
              </w:rPr>
              <w:t>4</w:t>
            </w:r>
            <w:r w:rsidRPr="0018386D">
              <w:rPr>
                <w:b/>
                <w:bCs/>
                <w:color w:val="FFFFFF" w:themeColor="background1"/>
              </w:rPr>
              <w:t xml:space="preserve"> (kg CO</w:t>
            </w:r>
            <w:r w:rsidRPr="0018386D">
              <w:rPr>
                <w:b/>
                <w:bCs/>
                <w:color w:val="FFFFFF" w:themeColor="background1"/>
                <w:vertAlign w:val="subscript"/>
              </w:rPr>
              <w:t>2</w:t>
            </w:r>
            <w:r w:rsidRPr="0018386D">
              <w:rPr>
                <w:b/>
                <w:bCs/>
                <w:color w:val="FFFFFF" w:themeColor="background1"/>
              </w:rPr>
              <w:noBreakHyphen/>
              <w:t>e/ unit)</w:t>
            </w:r>
          </w:p>
        </w:tc>
        <w:tc>
          <w:tcPr>
            <w:tcW w:w="1361" w:type="dxa"/>
            <w:shd w:val="clear" w:color="auto" w:fill="1B556B" w:themeFill="text2"/>
            <w:vAlign w:val="bottom"/>
          </w:tcPr>
          <w:p w14:paraId="006941AA" w14:textId="116C2DE6" w:rsidR="00C67F97" w:rsidRPr="0018386D" w:rsidRDefault="00C67F97" w:rsidP="00DD3106">
            <w:pPr>
              <w:pStyle w:val="TableText"/>
              <w:keepNext/>
              <w:spacing w:before="40" w:after="40"/>
              <w:rPr>
                <w:b/>
                <w:color w:val="FFFFFF" w:themeColor="background1"/>
              </w:rPr>
            </w:pPr>
            <w:r w:rsidRPr="0018386D">
              <w:rPr>
                <w:b/>
                <w:bCs/>
                <w:color w:val="FFFFFF" w:themeColor="background1"/>
              </w:rPr>
              <w:t>N</w:t>
            </w:r>
            <w:r w:rsidRPr="0018386D">
              <w:rPr>
                <w:b/>
                <w:bCs/>
                <w:color w:val="FFFFFF" w:themeColor="background1"/>
                <w:vertAlign w:val="subscript"/>
              </w:rPr>
              <w:t>2</w:t>
            </w:r>
            <w:r w:rsidRPr="0018386D">
              <w:rPr>
                <w:b/>
                <w:bCs/>
                <w:color w:val="FFFFFF" w:themeColor="background1"/>
              </w:rPr>
              <w:t>O (kg CO</w:t>
            </w:r>
            <w:r w:rsidRPr="0018386D">
              <w:rPr>
                <w:b/>
                <w:bCs/>
                <w:color w:val="FFFFFF" w:themeColor="background1"/>
                <w:vertAlign w:val="subscript"/>
              </w:rPr>
              <w:t>2</w:t>
            </w:r>
            <w:r w:rsidRPr="0018386D">
              <w:rPr>
                <w:b/>
                <w:bCs/>
                <w:color w:val="FFFFFF" w:themeColor="background1"/>
              </w:rPr>
              <w:noBreakHyphen/>
              <w:t>e/ unit)</w:t>
            </w:r>
          </w:p>
        </w:tc>
      </w:tr>
      <w:tr w:rsidR="00C67F97" w:rsidRPr="0018386D" w14:paraId="243A0FF7" w14:textId="77777777" w:rsidTr="00365500">
        <w:tc>
          <w:tcPr>
            <w:tcW w:w="1247" w:type="dxa"/>
            <w:vAlign w:val="center"/>
          </w:tcPr>
          <w:p w14:paraId="2B4E59EF" w14:textId="2B279398" w:rsidR="00C67F97" w:rsidRPr="0018386D" w:rsidRDefault="00C67F97" w:rsidP="00DD3106">
            <w:pPr>
              <w:pStyle w:val="TableText"/>
              <w:spacing w:before="40" w:after="40"/>
            </w:pPr>
            <w:r w:rsidRPr="0018386D">
              <w:t xml:space="preserve">Petrol </w:t>
            </w:r>
          </w:p>
        </w:tc>
        <w:tc>
          <w:tcPr>
            <w:tcW w:w="1304" w:type="dxa"/>
          </w:tcPr>
          <w:p w14:paraId="77DCF878" w14:textId="49442E04" w:rsidR="00C67F97" w:rsidRPr="0018386D" w:rsidRDefault="00C67F97" w:rsidP="00DD3106">
            <w:pPr>
              <w:pStyle w:val="TableText"/>
              <w:spacing w:before="40" w:after="40"/>
            </w:pPr>
            <w:r w:rsidRPr="0018386D">
              <w:t>2000</w:t>
            </w:r>
            <w:r w:rsidR="0042145B" w:rsidRPr="0018386D">
              <w:t>–</w:t>
            </w:r>
            <w:r w:rsidRPr="0018386D">
              <w:t>&lt;3000 cc</w:t>
            </w:r>
          </w:p>
        </w:tc>
        <w:tc>
          <w:tcPr>
            <w:tcW w:w="567" w:type="dxa"/>
          </w:tcPr>
          <w:p w14:paraId="7334FAD8" w14:textId="77777777" w:rsidR="00C67F97" w:rsidRPr="0018386D" w:rsidRDefault="00C67F97" w:rsidP="00DD3106">
            <w:pPr>
              <w:pStyle w:val="TableText"/>
              <w:spacing w:before="40" w:after="40"/>
            </w:pPr>
            <w:r w:rsidRPr="0018386D">
              <w:t>km</w:t>
            </w:r>
          </w:p>
        </w:tc>
        <w:tc>
          <w:tcPr>
            <w:tcW w:w="1191" w:type="dxa"/>
            <w:shd w:val="clear" w:color="auto" w:fill="D2DDE1" w:themeFill="background2"/>
            <w:vAlign w:val="center"/>
          </w:tcPr>
          <w:p w14:paraId="528815FF" w14:textId="77777777" w:rsidR="00C67F97" w:rsidRPr="0018386D" w:rsidRDefault="00C67F97" w:rsidP="00DD3106">
            <w:pPr>
              <w:pStyle w:val="TableText"/>
              <w:spacing w:before="40" w:after="40"/>
            </w:pPr>
            <w:r w:rsidRPr="0018386D">
              <w:rPr>
                <w:rFonts w:cs="Calibri"/>
                <w:color w:val="000000"/>
                <w:szCs w:val="18"/>
              </w:rPr>
              <w:t>0.223</w:t>
            </w:r>
          </w:p>
        </w:tc>
        <w:tc>
          <w:tcPr>
            <w:tcW w:w="1361" w:type="dxa"/>
            <w:shd w:val="clear" w:color="auto" w:fill="auto"/>
            <w:vAlign w:val="center"/>
          </w:tcPr>
          <w:p w14:paraId="49C0B645" w14:textId="3DBD67F3" w:rsidR="00C67F97" w:rsidRPr="0018386D" w:rsidRDefault="00C67F97" w:rsidP="00DD3106">
            <w:pPr>
              <w:pStyle w:val="TableText"/>
              <w:spacing w:before="40" w:after="40"/>
            </w:pPr>
            <w:r w:rsidRPr="0018386D">
              <w:rPr>
                <w:rFonts w:cs="Calibri"/>
                <w:color w:val="000000"/>
                <w:szCs w:val="18"/>
              </w:rPr>
              <w:t>0.21</w:t>
            </w:r>
            <w:r w:rsidR="004E399D" w:rsidRPr="0018386D">
              <w:rPr>
                <w:rFonts w:cs="Calibri"/>
                <w:color w:val="000000"/>
                <w:szCs w:val="18"/>
              </w:rPr>
              <w:t>4</w:t>
            </w:r>
          </w:p>
        </w:tc>
        <w:tc>
          <w:tcPr>
            <w:tcW w:w="1361" w:type="dxa"/>
            <w:shd w:val="clear" w:color="auto" w:fill="auto"/>
            <w:vAlign w:val="center"/>
          </w:tcPr>
          <w:p w14:paraId="011D5EB8" w14:textId="77777777" w:rsidR="00C67F97" w:rsidRPr="0018386D" w:rsidRDefault="00C67F97" w:rsidP="00DD3106">
            <w:pPr>
              <w:pStyle w:val="TableText"/>
              <w:spacing w:before="40" w:after="40"/>
            </w:pPr>
            <w:r w:rsidRPr="0018386D">
              <w:rPr>
                <w:rFonts w:cs="Calibri"/>
                <w:color w:val="000000"/>
                <w:szCs w:val="18"/>
              </w:rPr>
              <w:t>0.0028</w:t>
            </w:r>
          </w:p>
        </w:tc>
        <w:tc>
          <w:tcPr>
            <w:tcW w:w="1361" w:type="dxa"/>
            <w:shd w:val="clear" w:color="auto" w:fill="auto"/>
            <w:vAlign w:val="center"/>
          </w:tcPr>
          <w:p w14:paraId="5EC770AA" w14:textId="2649B6B0" w:rsidR="00C67F97" w:rsidRPr="0018386D" w:rsidRDefault="00C67F97" w:rsidP="00DD3106">
            <w:pPr>
              <w:pStyle w:val="TableText"/>
              <w:spacing w:before="40" w:after="40"/>
            </w:pPr>
            <w:r w:rsidRPr="0018386D">
              <w:rPr>
                <w:rFonts w:cs="Calibri"/>
                <w:color w:val="000000"/>
                <w:szCs w:val="18"/>
              </w:rPr>
              <w:t>0.006</w:t>
            </w:r>
            <w:r w:rsidR="001D5C15" w:rsidRPr="0018386D">
              <w:rPr>
                <w:rFonts w:cs="Calibri"/>
                <w:color w:val="000000"/>
                <w:szCs w:val="18"/>
              </w:rPr>
              <w:t>5</w:t>
            </w:r>
          </w:p>
        </w:tc>
      </w:tr>
      <w:tr w:rsidR="00C67F97" w:rsidRPr="0018386D" w14:paraId="01027566" w14:textId="77777777" w:rsidTr="00365500">
        <w:tc>
          <w:tcPr>
            <w:tcW w:w="1247" w:type="dxa"/>
            <w:vAlign w:val="center"/>
          </w:tcPr>
          <w:p w14:paraId="62832C61" w14:textId="68740B0E" w:rsidR="00C67F97" w:rsidRPr="0018386D" w:rsidRDefault="00C67F97" w:rsidP="00DD3106">
            <w:pPr>
              <w:pStyle w:val="TableText"/>
              <w:spacing w:before="40" w:after="40"/>
            </w:pPr>
            <w:r w:rsidRPr="0018386D">
              <w:t xml:space="preserve">Diesel </w:t>
            </w:r>
          </w:p>
        </w:tc>
        <w:tc>
          <w:tcPr>
            <w:tcW w:w="1304" w:type="dxa"/>
          </w:tcPr>
          <w:p w14:paraId="5D4A612D" w14:textId="319FE000" w:rsidR="00C67F97" w:rsidRPr="0018386D" w:rsidRDefault="00C67F97" w:rsidP="00DD3106">
            <w:pPr>
              <w:pStyle w:val="TableText"/>
              <w:spacing w:before="40" w:after="40"/>
            </w:pPr>
            <w:r w:rsidRPr="0018386D">
              <w:t>2000</w:t>
            </w:r>
            <w:r w:rsidR="0042145B" w:rsidRPr="0018386D">
              <w:t>–</w:t>
            </w:r>
            <w:r w:rsidRPr="0018386D">
              <w:t>&lt;3000 cc</w:t>
            </w:r>
          </w:p>
        </w:tc>
        <w:tc>
          <w:tcPr>
            <w:tcW w:w="567" w:type="dxa"/>
          </w:tcPr>
          <w:p w14:paraId="097ED052" w14:textId="77777777" w:rsidR="00C67F97" w:rsidRPr="0018386D" w:rsidRDefault="00C67F97" w:rsidP="00DD3106">
            <w:pPr>
              <w:pStyle w:val="TableText"/>
              <w:spacing w:before="40" w:after="40"/>
            </w:pPr>
            <w:r w:rsidRPr="0018386D">
              <w:t>km</w:t>
            </w:r>
          </w:p>
        </w:tc>
        <w:tc>
          <w:tcPr>
            <w:tcW w:w="1191" w:type="dxa"/>
            <w:shd w:val="clear" w:color="auto" w:fill="D2DDE1" w:themeFill="background2"/>
            <w:vAlign w:val="center"/>
          </w:tcPr>
          <w:p w14:paraId="610A8C84" w14:textId="74F23681" w:rsidR="00C67F97" w:rsidRPr="0018386D" w:rsidRDefault="00C67F97" w:rsidP="00DD3106">
            <w:pPr>
              <w:pStyle w:val="TableText"/>
              <w:spacing w:before="40" w:after="40"/>
            </w:pPr>
            <w:r w:rsidRPr="0018386D">
              <w:rPr>
                <w:rFonts w:cs="Calibri"/>
                <w:color w:val="000000"/>
                <w:szCs w:val="18"/>
              </w:rPr>
              <w:t>0.23</w:t>
            </w:r>
            <w:r w:rsidR="008B37F0" w:rsidRPr="0018386D">
              <w:rPr>
                <w:rFonts w:cs="Calibri"/>
                <w:color w:val="000000"/>
                <w:szCs w:val="18"/>
              </w:rPr>
              <w:t>8</w:t>
            </w:r>
            <w:r w:rsidR="00184DB2" w:rsidRPr="0018386D">
              <w:rPr>
                <w:rFonts w:cs="Calibri"/>
                <w:color w:val="000000"/>
                <w:szCs w:val="18"/>
              </w:rPr>
              <w:t xml:space="preserve"> </w:t>
            </w:r>
          </w:p>
        </w:tc>
        <w:tc>
          <w:tcPr>
            <w:tcW w:w="1361" w:type="dxa"/>
            <w:shd w:val="clear" w:color="auto" w:fill="auto"/>
            <w:vAlign w:val="center"/>
          </w:tcPr>
          <w:p w14:paraId="6CBD7CAA" w14:textId="0B21F864" w:rsidR="00C67F97" w:rsidRPr="0018386D" w:rsidRDefault="00C67F97" w:rsidP="00DD3106">
            <w:pPr>
              <w:pStyle w:val="TableText"/>
              <w:spacing w:before="40" w:after="40"/>
            </w:pPr>
            <w:r w:rsidRPr="0018386D">
              <w:rPr>
                <w:rFonts w:cs="Calibri"/>
                <w:color w:val="000000"/>
                <w:szCs w:val="18"/>
              </w:rPr>
              <w:t>0.23</w:t>
            </w:r>
            <w:r w:rsidR="00FB56E9" w:rsidRPr="0018386D">
              <w:rPr>
                <w:rFonts w:cs="Calibri"/>
                <w:color w:val="000000"/>
                <w:szCs w:val="18"/>
              </w:rPr>
              <w:t>5</w:t>
            </w:r>
          </w:p>
        </w:tc>
        <w:tc>
          <w:tcPr>
            <w:tcW w:w="1361" w:type="dxa"/>
            <w:shd w:val="clear" w:color="auto" w:fill="auto"/>
            <w:vAlign w:val="center"/>
          </w:tcPr>
          <w:p w14:paraId="3C64885C" w14:textId="3142BBD1" w:rsidR="00C67F97" w:rsidRPr="0018386D" w:rsidRDefault="00C67F97" w:rsidP="00DD3106">
            <w:pPr>
              <w:pStyle w:val="TableText"/>
              <w:spacing w:before="40" w:after="40"/>
            </w:pPr>
            <w:r w:rsidRPr="0018386D">
              <w:rPr>
                <w:rFonts w:cs="Calibri"/>
                <w:color w:val="000000"/>
                <w:szCs w:val="18"/>
              </w:rPr>
              <w:t>0.000</w:t>
            </w:r>
            <w:r w:rsidR="005F5215" w:rsidRPr="0018386D">
              <w:rPr>
                <w:rFonts w:cs="Calibri"/>
                <w:color w:val="000000"/>
                <w:szCs w:val="18"/>
              </w:rPr>
              <w:t>4</w:t>
            </w:r>
          </w:p>
        </w:tc>
        <w:tc>
          <w:tcPr>
            <w:tcW w:w="1361" w:type="dxa"/>
            <w:shd w:val="clear" w:color="auto" w:fill="auto"/>
            <w:vAlign w:val="center"/>
          </w:tcPr>
          <w:p w14:paraId="77CFFBF9" w14:textId="77777777" w:rsidR="00C67F97" w:rsidRPr="0018386D" w:rsidRDefault="00C67F97" w:rsidP="00DD3106">
            <w:pPr>
              <w:pStyle w:val="TableText"/>
              <w:spacing w:before="40" w:after="40"/>
            </w:pPr>
            <w:r w:rsidRPr="0018386D">
              <w:rPr>
                <w:rFonts w:cs="Calibri"/>
                <w:color w:val="000000"/>
                <w:szCs w:val="18"/>
              </w:rPr>
              <w:t>0.0033</w:t>
            </w:r>
          </w:p>
        </w:tc>
      </w:tr>
      <w:tr w:rsidR="00DD06FF" w:rsidRPr="0018386D" w14:paraId="10DD191B" w14:textId="77777777" w:rsidTr="00365500">
        <w:tc>
          <w:tcPr>
            <w:tcW w:w="1247" w:type="dxa"/>
            <w:vAlign w:val="center"/>
          </w:tcPr>
          <w:p w14:paraId="565E79EF" w14:textId="36A6156E" w:rsidR="00DD06FF" w:rsidRPr="0018386D" w:rsidRDefault="00DD06FF" w:rsidP="00DD3106">
            <w:pPr>
              <w:pStyle w:val="TableText"/>
              <w:spacing w:before="40" w:after="40"/>
            </w:pPr>
            <w:r w:rsidRPr="0018386D">
              <w:t>Petrol hybrid</w:t>
            </w:r>
          </w:p>
        </w:tc>
        <w:tc>
          <w:tcPr>
            <w:tcW w:w="1304" w:type="dxa"/>
          </w:tcPr>
          <w:p w14:paraId="0178A24B" w14:textId="131EC160" w:rsidR="00DD06FF" w:rsidRPr="0018386D" w:rsidRDefault="00DD06FF" w:rsidP="00DD3106">
            <w:pPr>
              <w:pStyle w:val="TableText"/>
              <w:spacing w:before="40" w:after="40"/>
            </w:pPr>
            <w:r w:rsidRPr="0018386D">
              <w:t>2000</w:t>
            </w:r>
            <w:r w:rsidR="0042145B" w:rsidRPr="0018386D">
              <w:t>–</w:t>
            </w:r>
            <w:r w:rsidRPr="0018386D">
              <w:t>&lt;3000 cc</w:t>
            </w:r>
          </w:p>
        </w:tc>
        <w:tc>
          <w:tcPr>
            <w:tcW w:w="567" w:type="dxa"/>
          </w:tcPr>
          <w:p w14:paraId="0BF6B55F" w14:textId="77777777" w:rsidR="00DD06FF" w:rsidRPr="0018386D" w:rsidRDefault="00DD06FF" w:rsidP="00DD3106">
            <w:pPr>
              <w:pStyle w:val="TableText"/>
              <w:spacing w:before="40" w:after="40"/>
            </w:pPr>
            <w:r w:rsidRPr="0018386D">
              <w:t>km</w:t>
            </w:r>
          </w:p>
        </w:tc>
        <w:tc>
          <w:tcPr>
            <w:tcW w:w="1191" w:type="dxa"/>
            <w:shd w:val="clear" w:color="auto" w:fill="D2DDE1" w:themeFill="background2"/>
          </w:tcPr>
          <w:p w14:paraId="1298B1BE" w14:textId="790A7796" w:rsidR="00DD06FF" w:rsidRPr="0018386D" w:rsidRDefault="00DD06FF" w:rsidP="00DD3106">
            <w:pPr>
              <w:pStyle w:val="TableText"/>
              <w:spacing w:before="40" w:after="40"/>
              <w:rPr>
                <w:color w:val="FF0000"/>
              </w:rPr>
            </w:pPr>
            <w:r w:rsidRPr="0018386D">
              <w:t>0.176</w:t>
            </w:r>
          </w:p>
        </w:tc>
        <w:tc>
          <w:tcPr>
            <w:tcW w:w="1361" w:type="dxa"/>
            <w:shd w:val="clear" w:color="auto" w:fill="auto"/>
          </w:tcPr>
          <w:p w14:paraId="06E775CB" w14:textId="682C1033" w:rsidR="00DD06FF" w:rsidRPr="0018386D" w:rsidRDefault="00DD06FF" w:rsidP="00DD3106">
            <w:pPr>
              <w:pStyle w:val="TableText"/>
              <w:spacing w:before="40" w:after="40"/>
              <w:rPr>
                <w:color w:val="FF0000"/>
              </w:rPr>
            </w:pPr>
            <w:r w:rsidRPr="0018386D">
              <w:t>0.16</w:t>
            </w:r>
            <w:r w:rsidR="00D967FF" w:rsidRPr="0018386D">
              <w:t>9</w:t>
            </w:r>
          </w:p>
        </w:tc>
        <w:tc>
          <w:tcPr>
            <w:tcW w:w="1361" w:type="dxa"/>
            <w:shd w:val="clear" w:color="auto" w:fill="auto"/>
          </w:tcPr>
          <w:p w14:paraId="789EAB92" w14:textId="406BF431" w:rsidR="00DD06FF" w:rsidRPr="0018386D" w:rsidRDefault="00DD06FF" w:rsidP="00DD3106">
            <w:pPr>
              <w:pStyle w:val="TableText"/>
              <w:spacing w:before="40" w:after="40"/>
              <w:rPr>
                <w:color w:val="FF0000"/>
              </w:rPr>
            </w:pPr>
            <w:r w:rsidRPr="0018386D">
              <w:t>0.0022</w:t>
            </w:r>
          </w:p>
        </w:tc>
        <w:tc>
          <w:tcPr>
            <w:tcW w:w="1361" w:type="dxa"/>
            <w:shd w:val="clear" w:color="auto" w:fill="auto"/>
          </w:tcPr>
          <w:p w14:paraId="7A28F8C8" w14:textId="7D76551B" w:rsidR="00DD06FF" w:rsidRPr="0018386D" w:rsidRDefault="00DD06FF" w:rsidP="00DD3106">
            <w:pPr>
              <w:pStyle w:val="TableText"/>
              <w:spacing w:before="40" w:after="40"/>
              <w:rPr>
                <w:color w:val="FF0000"/>
              </w:rPr>
            </w:pPr>
            <w:r w:rsidRPr="0018386D">
              <w:t>0.005</w:t>
            </w:r>
            <w:r w:rsidR="00EC7858" w:rsidRPr="0018386D">
              <w:t>1</w:t>
            </w:r>
          </w:p>
        </w:tc>
      </w:tr>
      <w:tr w:rsidR="00C67F97" w:rsidRPr="0018386D" w14:paraId="595B09DF" w14:textId="77777777" w:rsidTr="00365500">
        <w:tc>
          <w:tcPr>
            <w:tcW w:w="1247" w:type="dxa"/>
            <w:vAlign w:val="center"/>
          </w:tcPr>
          <w:p w14:paraId="0D18CB72" w14:textId="35AF5DB5" w:rsidR="00C67F97" w:rsidRPr="0018386D" w:rsidRDefault="00C67F97" w:rsidP="00DD3106">
            <w:pPr>
              <w:pStyle w:val="TableText"/>
              <w:spacing w:before="40" w:after="40"/>
            </w:pPr>
            <w:r w:rsidRPr="0018386D">
              <w:t xml:space="preserve">Electric </w:t>
            </w:r>
          </w:p>
        </w:tc>
        <w:tc>
          <w:tcPr>
            <w:tcW w:w="1304" w:type="dxa"/>
          </w:tcPr>
          <w:p w14:paraId="0B419575" w14:textId="7A129774" w:rsidR="00C67F97" w:rsidRPr="0018386D" w:rsidRDefault="00C67F97" w:rsidP="00DD3106">
            <w:pPr>
              <w:pStyle w:val="TableText"/>
              <w:spacing w:before="40" w:after="40"/>
            </w:pPr>
            <w:r w:rsidRPr="0018386D">
              <w:t>2000</w:t>
            </w:r>
            <w:r w:rsidR="0042145B" w:rsidRPr="0018386D">
              <w:t>–</w:t>
            </w:r>
            <w:r w:rsidRPr="0018386D">
              <w:t>&lt;3000 cc</w:t>
            </w:r>
          </w:p>
        </w:tc>
        <w:tc>
          <w:tcPr>
            <w:tcW w:w="567" w:type="dxa"/>
          </w:tcPr>
          <w:p w14:paraId="6E0F5017" w14:textId="77777777" w:rsidR="00C67F97" w:rsidRPr="0018386D" w:rsidRDefault="00C67F97" w:rsidP="00DD3106">
            <w:pPr>
              <w:pStyle w:val="TableText"/>
              <w:spacing w:before="40" w:after="40"/>
            </w:pPr>
            <w:r w:rsidRPr="0018386D">
              <w:t>km</w:t>
            </w:r>
          </w:p>
        </w:tc>
        <w:tc>
          <w:tcPr>
            <w:tcW w:w="1191" w:type="dxa"/>
            <w:shd w:val="clear" w:color="auto" w:fill="D2DDE1" w:themeFill="background2"/>
            <w:vAlign w:val="center"/>
          </w:tcPr>
          <w:p w14:paraId="5C807119" w14:textId="3FABF22E" w:rsidR="00C67F97" w:rsidRPr="0018386D" w:rsidRDefault="00C67F97" w:rsidP="00DD3106">
            <w:pPr>
              <w:pStyle w:val="TableText"/>
              <w:spacing w:before="40" w:after="40"/>
            </w:pPr>
            <w:r w:rsidRPr="0018386D">
              <w:rPr>
                <w:rFonts w:cs="Calibri"/>
                <w:color w:val="000000"/>
                <w:szCs w:val="18"/>
              </w:rPr>
              <w:t>0.0</w:t>
            </w:r>
            <w:r w:rsidR="00514EFE" w:rsidRPr="0018386D">
              <w:rPr>
                <w:rFonts w:cs="Calibri"/>
                <w:color w:val="000000"/>
                <w:szCs w:val="18"/>
              </w:rPr>
              <w:t>20</w:t>
            </w:r>
            <w:r w:rsidRPr="0018386D">
              <w:rPr>
                <w:rFonts w:cs="Calibri"/>
                <w:color w:val="000000"/>
                <w:szCs w:val="18"/>
              </w:rPr>
              <w:t>0</w:t>
            </w:r>
          </w:p>
        </w:tc>
        <w:tc>
          <w:tcPr>
            <w:tcW w:w="1361" w:type="dxa"/>
            <w:shd w:val="clear" w:color="auto" w:fill="auto"/>
            <w:vAlign w:val="center"/>
          </w:tcPr>
          <w:p w14:paraId="467FB7E7" w14:textId="4276B4D7" w:rsidR="00C67F97" w:rsidRPr="0018386D" w:rsidRDefault="00C67F97" w:rsidP="00DD3106">
            <w:pPr>
              <w:pStyle w:val="TableText"/>
              <w:spacing w:before="40" w:after="40"/>
            </w:pPr>
            <w:r w:rsidRPr="0018386D">
              <w:rPr>
                <w:rFonts w:cs="Calibri"/>
                <w:color w:val="000000"/>
                <w:szCs w:val="18"/>
              </w:rPr>
              <w:t>0.0</w:t>
            </w:r>
            <w:r w:rsidR="00514EFE" w:rsidRPr="0018386D">
              <w:rPr>
                <w:rFonts w:cs="Calibri"/>
                <w:color w:val="000000"/>
                <w:szCs w:val="18"/>
              </w:rPr>
              <w:t>1</w:t>
            </w:r>
            <w:r w:rsidR="003B6489" w:rsidRPr="0018386D">
              <w:rPr>
                <w:rFonts w:cs="Calibri"/>
                <w:color w:val="000000"/>
                <w:szCs w:val="18"/>
              </w:rPr>
              <w:t>94</w:t>
            </w:r>
          </w:p>
        </w:tc>
        <w:tc>
          <w:tcPr>
            <w:tcW w:w="1361" w:type="dxa"/>
            <w:shd w:val="clear" w:color="auto" w:fill="auto"/>
            <w:vAlign w:val="center"/>
          </w:tcPr>
          <w:p w14:paraId="2CBF015F" w14:textId="5F0465AF" w:rsidR="00C67F97" w:rsidRPr="0018386D" w:rsidRDefault="00C67F97" w:rsidP="00DD3106">
            <w:pPr>
              <w:pStyle w:val="TableText"/>
              <w:spacing w:before="40" w:after="40"/>
            </w:pPr>
            <w:r w:rsidRPr="0018386D">
              <w:rPr>
                <w:rFonts w:cs="Calibri"/>
                <w:color w:val="000000"/>
                <w:szCs w:val="18"/>
              </w:rPr>
              <w:t>0.000</w:t>
            </w:r>
            <w:r w:rsidR="003B6489" w:rsidRPr="0018386D">
              <w:rPr>
                <w:rFonts w:cs="Calibri"/>
                <w:color w:val="000000"/>
                <w:szCs w:val="18"/>
              </w:rPr>
              <w:t>5</w:t>
            </w:r>
          </w:p>
        </w:tc>
        <w:tc>
          <w:tcPr>
            <w:tcW w:w="1361" w:type="dxa"/>
            <w:shd w:val="clear" w:color="auto" w:fill="auto"/>
            <w:vAlign w:val="center"/>
          </w:tcPr>
          <w:p w14:paraId="36A454EE" w14:textId="46BDD2A6" w:rsidR="00C67F97" w:rsidRPr="0018386D" w:rsidRDefault="00C67F97" w:rsidP="00DD3106">
            <w:pPr>
              <w:pStyle w:val="TableText"/>
              <w:spacing w:before="40" w:after="40"/>
              <w:rPr>
                <w:rFonts w:cs="Calibri"/>
                <w:color w:val="000000" w:themeColor="text1"/>
              </w:rPr>
            </w:pPr>
            <w:r w:rsidRPr="0018386D">
              <w:rPr>
                <w:rFonts w:cs="Calibri"/>
                <w:color w:val="000000" w:themeColor="text1"/>
              </w:rPr>
              <w:t>0.0000</w:t>
            </w:r>
            <w:r w:rsidR="003B6489" w:rsidRPr="0018386D">
              <w:rPr>
                <w:rFonts w:cs="Calibri"/>
                <w:color w:val="000000" w:themeColor="text1"/>
              </w:rPr>
              <w:t>4</w:t>
            </w:r>
          </w:p>
        </w:tc>
      </w:tr>
      <w:tr w:rsidR="00C67F97" w:rsidRPr="0018386D" w14:paraId="2E9CF62D" w14:textId="77777777" w:rsidTr="00365500">
        <w:tc>
          <w:tcPr>
            <w:tcW w:w="1247" w:type="dxa"/>
            <w:vAlign w:val="center"/>
          </w:tcPr>
          <w:p w14:paraId="1496A0EE" w14:textId="77777777" w:rsidR="00C67F97" w:rsidRPr="0018386D" w:rsidRDefault="00C67F97" w:rsidP="00DD3106">
            <w:pPr>
              <w:pStyle w:val="TableTextbold"/>
              <w:spacing w:before="40" w:after="40"/>
            </w:pPr>
            <w:r w:rsidRPr="0018386D">
              <w:t>Taxi (regular)</w:t>
            </w:r>
          </w:p>
        </w:tc>
        <w:tc>
          <w:tcPr>
            <w:tcW w:w="1304" w:type="dxa"/>
          </w:tcPr>
          <w:p w14:paraId="71A89A08" w14:textId="77777777" w:rsidR="00C67F97" w:rsidRPr="0018386D" w:rsidRDefault="00C67F97" w:rsidP="00DD3106">
            <w:pPr>
              <w:pStyle w:val="TableTextbold"/>
              <w:spacing w:before="40" w:after="40"/>
            </w:pPr>
            <w:r w:rsidRPr="0018386D">
              <w:t>Average</w:t>
            </w:r>
          </w:p>
        </w:tc>
        <w:tc>
          <w:tcPr>
            <w:tcW w:w="567" w:type="dxa"/>
          </w:tcPr>
          <w:p w14:paraId="6C2A215C" w14:textId="77777777" w:rsidR="00C67F97" w:rsidRPr="0018386D" w:rsidRDefault="00C67F97" w:rsidP="00DD3106">
            <w:pPr>
              <w:pStyle w:val="TableTextbold"/>
              <w:spacing w:before="40" w:after="40"/>
            </w:pPr>
            <w:r w:rsidRPr="0018386D">
              <w:t>km</w:t>
            </w:r>
          </w:p>
        </w:tc>
        <w:tc>
          <w:tcPr>
            <w:tcW w:w="1191" w:type="dxa"/>
            <w:shd w:val="clear" w:color="auto" w:fill="D2DDE1" w:themeFill="background2"/>
          </w:tcPr>
          <w:p w14:paraId="274EBB63" w14:textId="7B470F9B" w:rsidR="00C67F97" w:rsidRPr="0018386D" w:rsidRDefault="00C67F97" w:rsidP="00DD3106">
            <w:pPr>
              <w:pStyle w:val="TableTextbold"/>
              <w:spacing w:before="40" w:after="40"/>
            </w:pPr>
            <w:r w:rsidRPr="0018386D">
              <w:t>0.1</w:t>
            </w:r>
            <w:r w:rsidR="006501DC" w:rsidRPr="0018386D">
              <w:t>6</w:t>
            </w:r>
            <w:r w:rsidR="00514EFE" w:rsidRPr="0018386D">
              <w:t>4</w:t>
            </w:r>
          </w:p>
        </w:tc>
        <w:tc>
          <w:tcPr>
            <w:tcW w:w="1361" w:type="dxa"/>
            <w:shd w:val="clear" w:color="auto" w:fill="auto"/>
          </w:tcPr>
          <w:p w14:paraId="12778D46" w14:textId="702E9D53" w:rsidR="00C67F97" w:rsidRPr="0018386D" w:rsidRDefault="00C67F97" w:rsidP="00DD3106">
            <w:pPr>
              <w:pStyle w:val="TableTextbold"/>
              <w:spacing w:before="40" w:after="40"/>
            </w:pPr>
            <w:r w:rsidRPr="0018386D">
              <w:t>0.1</w:t>
            </w:r>
            <w:r w:rsidR="003B6489" w:rsidRPr="0018386D">
              <w:t>59</w:t>
            </w:r>
          </w:p>
        </w:tc>
        <w:tc>
          <w:tcPr>
            <w:tcW w:w="1361" w:type="dxa"/>
            <w:shd w:val="clear" w:color="auto" w:fill="auto"/>
          </w:tcPr>
          <w:p w14:paraId="0F7374C6" w14:textId="47566845" w:rsidR="00C67F97" w:rsidRPr="0018386D" w:rsidRDefault="00C67F97" w:rsidP="00DD3106">
            <w:pPr>
              <w:pStyle w:val="TableTextbold"/>
              <w:spacing w:before="40" w:after="40"/>
            </w:pPr>
            <w:r w:rsidRPr="0018386D">
              <w:t>0.00</w:t>
            </w:r>
            <w:r w:rsidR="003B6489" w:rsidRPr="0018386D">
              <w:t>148</w:t>
            </w:r>
          </w:p>
        </w:tc>
        <w:tc>
          <w:tcPr>
            <w:tcW w:w="1361" w:type="dxa"/>
            <w:shd w:val="clear" w:color="auto" w:fill="auto"/>
          </w:tcPr>
          <w:p w14:paraId="5B538833" w14:textId="58EB074A" w:rsidR="00C67F97" w:rsidRPr="0018386D" w:rsidRDefault="00C67F97" w:rsidP="00DD3106">
            <w:pPr>
              <w:pStyle w:val="TableTextbold"/>
              <w:spacing w:before="40" w:after="40"/>
            </w:pPr>
            <w:r w:rsidRPr="0018386D">
              <w:t>0.00</w:t>
            </w:r>
            <w:r w:rsidR="003B6489" w:rsidRPr="0018386D">
              <w:t>373</w:t>
            </w:r>
          </w:p>
        </w:tc>
      </w:tr>
    </w:tbl>
    <w:p w14:paraId="569CFA88" w14:textId="77777777" w:rsidR="00C67F97" w:rsidRPr="0018386D" w:rsidRDefault="00C67F97" w:rsidP="00DD3106">
      <w:pPr>
        <w:pStyle w:val="Note"/>
        <w:jc w:val="both"/>
      </w:pPr>
      <w:r w:rsidRPr="0018386D">
        <w:rPr>
          <w:b/>
          <w:bCs/>
        </w:rPr>
        <w:t>Note:</w:t>
      </w:r>
      <w:r w:rsidRPr="0018386D">
        <w:t xml:space="preserve"> These numbers are rounded to three decimal places unless the number is significantly small. </w:t>
      </w:r>
    </w:p>
    <w:p w14:paraId="59A46E48" w14:textId="11FCAE0A" w:rsidR="00A80F40" w:rsidRPr="0018386D" w:rsidRDefault="00A80F40" w:rsidP="00DD3106">
      <w:pPr>
        <w:pStyle w:val="BodyText"/>
      </w:pPr>
      <w:proofErr w:type="spellStart"/>
      <w:r w:rsidRPr="0018386D">
        <w:t>TaxiCharge</w:t>
      </w:r>
      <w:proofErr w:type="spellEnd"/>
      <w:r w:rsidRPr="0018386D">
        <w:t xml:space="preserve"> NZ Ltd advised that the current average price per kilometre</w:t>
      </w:r>
      <w:r w:rsidRPr="0018386D">
        <w:rPr>
          <w:rStyle w:val="FootnoteReference"/>
        </w:rPr>
        <w:footnoteReference w:id="27"/>
      </w:r>
      <w:r w:rsidRPr="0018386D">
        <w:t xml:space="preserve"> in a taxi is $3.20. North Island’s average rate = $3.02, while South Island’s average = $3.52.</w:t>
      </w:r>
    </w:p>
    <w:p w14:paraId="03EB03FF" w14:textId="77777777" w:rsidR="00810CDB" w:rsidRPr="0018386D" w:rsidRDefault="00810CDB">
      <w:pPr>
        <w:spacing w:line="23" w:lineRule="auto"/>
        <w:rPr>
          <w:rFonts w:eastAsiaTheme="minorEastAsia" w:cstheme="minorBidi"/>
          <w:szCs w:val="22"/>
          <w:lang w:val="en-NZ" w:eastAsia="en-NZ"/>
        </w:rPr>
      </w:pPr>
      <w:r w:rsidRPr="0018386D">
        <w:br w:type="page"/>
      </w:r>
    </w:p>
    <w:p w14:paraId="2A0DA1B3" w14:textId="63CD4167" w:rsidR="00046CCE" w:rsidRPr="0018386D" w:rsidRDefault="00046CCE" w:rsidP="00DD3106">
      <w:pPr>
        <w:pStyle w:val="BodyText"/>
        <w:spacing w:after="240"/>
        <w:jc w:val="both"/>
      </w:pPr>
      <w:r w:rsidRPr="0018386D">
        <w:lastRenderedPageBreak/>
        <w:t>The calculation to develop the emission factors for taxi based by $ spend is:</w:t>
      </w:r>
    </w:p>
    <w:tbl>
      <w:tblPr>
        <w:tblStyle w:val="mfebox"/>
        <w:tblW w:w="0" w:type="auto"/>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tblLook w:val="04A0" w:firstRow="1" w:lastRow="0" w:firstColumn="1" w:lastColumn="0" w:noHBand="0" w:noVBand="1"/>
      </w:tblPr>
      <w:tblGrid>
        <w:gridCol w:w="8495"/>
      </w:tblGrid>
      <w:tr w:rsidR="00046CCE" w:rsidRPr="0018386D" w14:paraId="0EBBA651" w14:textId="77777777">
        <w:tc>
          <w:tcPr>
            <w:tcW w:w="8720" w:type="dxa"/>
          </w:tcPr>
          <w:p w14:paraId="6801237F" w14:textId="77777777" w:rsidR="00046CCE" w:rsidRPr="0018386D" w:rsidRDefault="000008EB" w:rsidP="00DD3106">
            <w:pPr>
              <w:pStyle w:val="Box"/>
              <w:shd w:val="clear" w:color="auto" w:fill="auto"/>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 </m:t>
                </m:r>
                <m:r>
                  <w:rPr>
                    <w:rFonts w:ascii="Cambria Math" w:hAnsi="Cambria Math"/>
                  </w:rPr>
                  <m:t>spend</m:t>
                </m:r>
                <m:r>
                  <m:rPr>
                    <m:sty m:val="p"/>
                  </m:rPr>
                  <w:rPr>
                    <w:rFonts w:ascii="Cambria Math" w:hAnsi="Cambria Math"/>
                  </w:rPr>
                  <m:t>=</m:t>
                </m:r>
                <m:f>
                  <m:fPr>
                    <m:ctrlPr>
                      <w:rPr>
                        <w:rFonts w:ascii="Cambria Math" w:hAnsi="Cambria Math"/>
                        <w:i/>
                      </w:rPr>
                    </m:ctrlPr>
                  </m:fPr>
                  <m:num>
                    <m:r>
                      <w:rPr>
                        <w:rFonts w:ascii="Cambria Math" w:hAnsi="Cambria Math"/>
                      </w:rPr>
                      <m:t>emissions per km</m:t>
                    </m:r>
                  </m:num>
                  <m:den>
                    <m:r>
                      <w:rPr>
                        <w:rFonts w:ascii="Cambria Math" w:hAnsi="Cambria Math"/>
                      </w:rPr>
                      <m:t>$3.20 per km</m:t>
                    </m:r>
                  </m:den>
                </m:f>
              </m:oMath>
            </m:oMathPara>
          </w:p>
        </w:tc>
      </w:tr>
    </w:tbl>
    <w:p w14:paraId="0AC4953D" w14:textId="2AF226F4" w:rsidR="00141C93" w:rsidRPr="0018386D" w:rsidRDefault="00C7627E" w:rsidP="00DD3106">
      <w:pPr>
        <w:pStyle w:val="BodyText"/>
        <w:keepNext/>
        <w:spacing w:before="240" w:after="100"/>
      </w:pPr>
      <w:hyperlink w:anchor="table25" w:history="1">
        <w:r w:rsidR="00141C93" w:rsidRPr="0018386D">
          <w:rPr>
            <w:rStyle w:val="Hyperlink"/>
          </w:rPr>
          <w:t>Table 25</w:t>
        </w:r>
      </w:hyperlink>
      <w:r w:rsidR="00141C93" w:rsidRPr="0018386D">
        <w:t xml:space="preserve"> </w:t>
      </w:r>
      <w:r w:rsidR="0042145B" w:rsidRPr="0018386D">
        <w:t>shows</w:t>
      </w:r>
      <w:r w:rsidR="00141C93" w:rsidRPr="0018386D">
        <w:t xml:space="preserve"> the fuel economy and emissions per kilometre figures used to derive the taxi regular factor.</w:t>
      </w:r>
      <w:r w:rsidR="004C3308" w:rsidRPr="0018386D">
        <w:t xml:space="preserve"> </w:t>
      </w:r>
    </w:p>
    <w:p w14:paraId="65092076" w14:textId="46A112A1" w:rsidR="00654EA7" w:rsidRPr="0018386D" w:rsidRDefault="00654EA7" w:rsidP="00DD3106">
      <w:pPr>
        <w:pStyle w:val="Tableheading"/>
      </w:pPr>
      <w:bookmarkStart w:id="434" w:name="_Ref529837324"/>
      <w:bookmarkStart w:id="435" w:name="_Ref612346"/>
      <w:bookmarkStart w:id="436" w:name="table25"/>
      <w:bookmarkStart w:id="437" w:name="_Toc111536630"/>
      <w:bookmarkStart w:id="438" w:name="_Ref53146591"/>
      <w:bookmarkStart w:id="439" w:name="_Toc140048965"/>
      <w:r w:rsidRPr="0018386D">
        <w:t xml:space="preserve">Table </w:t>
      </w:r>
      <w:r w:rsidRPr="0018386D">
        <w:fldChar w:fldCharType="begin"/>
      </w:r>
      <w:r w:rsidRPr="0018386D">
        <w:instrText>SEQ Table \* ARABIC</w:instrText>
      </w:r>
      <w:r w:rsidRPr="0018386D">
        <w:fldChar w:fldCharType="separate"/>
      </w:r>
      <w:r w:rsidR="003E141C" w:rsidRPr="0018386D">
        <w:t>25</w:t>
      </w:r>
      <w:r w:rsidRPr="0018386D">
        <w:fldChar w:fldCharType="end"/>
      </w:r>
      <w:bookmarkEnd w:id="434"/>
      <w:bookmarkEnd w:id="435"/>
      <w:bookmarkEnd w:id="436"/>
      <w:r w:rsidR="00861CC1" w:rsidRPr="0018386D">
        <w:t>:</w:t>
      </w:r>
      <w:r w:rsidR="00861CC1" w:rsidRPr="0018386D">
        <w:tab/>
      </w:r>
      <w:bookmarkEnd w:id="437"/>
      <w:r w:rsidR="00141C93" w:rsidRPr="0018386D">
        <w:t xml:space="preserve">Figures used to derive the taxi regular </w:t>
      </w:r>
      <w:proofErr w:type="gramStart"/>
      <w:r w:rsidR="00141C93" w:rsidRPr="0018386D">
        <w:t>factor</w:t>
      </w:r>
      <w:bookmarkEnd w:id="438"/>
      <w:bookmarkEnd w:id="439"/>
      <w:proofErr w:type="gramEnd"/>
    </w:p>
    <w:tbl>
      <w:tblPr>
        <w:tblStyle w:val="TableGrid"/>
        <w:tblW w:w="8298"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1701"/>
        <w:gridCol w:w="851"/>
        <w:gridCol w:w="3260"/>
        <w:gridCol w:w="2486"/>
      </w:tblGrid>
      <w:tr w:rsidR="004D495A" w:rsidRPr="0018386D" w14:paraId="172F963E" w14:textId="77777777" w:rsidTr="002E5C67">
        <w:tc>
          <w:tcPr>
            <w:tcW w:w="1701" w:type="dxa"/>
            <w:shd w:val="clear" w:color="auto" w:fill="1B556B" w:themeFill="text2"/>
            <w:vAlign w:val="bottom"/>
          </w:tcPr>
          <w:p w14:paraId="2B245CFF" w14:textId="7FBFE07C" w:rsidR="004D495A" w:rsidRPr="0018386D" w:rsidRDefault="004D495A" w:rsidP="00DD3106">
            <w:pPr>
              <w:pStyle w:val="TableText"/>
              <w:keepNext/>
              <w:spacing w:before="30" w:after="30"/>
              <w:rPr>
                <w:b/>
                <w:color w:val="FFFFFF" w:themeColor="background1"/>
              </w:rPr>
            </w:pPr>
            <w:r w:rsidRPr="0018386D">
              <w:rPr>
                <w:b/>
                <w:color w:val="FFFFFF" w:themeColor="background1"/>
              </w:rPr>
              <w:t>Emission source</w:t>
            </w:r>
          </w:p>
        </w:tc>
        <w:tc>
          <w:tcPr>
            <w:tcW w:w="851" w:type="dxa"/>
            <w:shd w:val="clear" w:color="auto" w:fill="1B556B" w:themeFill="text2"/>
            <w:vAlign w:val="bottom"/>
          </w:tcPr>
          <w:p w14:paraId="2D105D88" w14:textId="7F13F47F" w:rsidR="004D495A" w:rsidRPr="0018386D" w:rsidRDefault="004D495A" w:rsidP="00DD3106">
            <w:pPr>
              <w:pStyle w:val="TableText"/>
              <w:keepNext/>
              <w:spacing w:before="30" w:after="30"/>
              <w:rPr>
                <w:b/>
                <w:color w:val="FFFFFF" w:themeColor="background1"/>
              </w:rPr>
            </w:pPr>
            <w:r w:rsidRPr="0018386D">
              <w:rPr>
                <w:b/>
                <w:color w:val="FFFFFF" w:themeColor="background1"/>
              </w:rPr>
              <w:t>Units</w:t>
            </w:r>
          </w:p>
        </w:tc>
        <w:tc>
          <w:tcPr>
            <w:tcW w:w="3260" w:type="dxa"/>
            <w:shd w:val="clear" w:color="auto" w:fill="1B556B" w:themeFill="text2"/>
          </w:tcPr>
          <w:p w14:paraId="67E0FB67" w14:textId="4493192A" w:rsidR="004D495A" w:rsidRPr="0018386D" w:rsidRDefault="004D495A" w:rsidP="00DD3106">
            <w:pPr>
              <w:pStyle w:val="TableText"/>
              <w:keepNext/>
              <w:spacing w:before="30" w:after="30"/>
              <w:rPr>
                <w:b/>
                <w:color w:val="FFFFFF" w:themeColor="background1"/>
              </w:rPr>
            </w:pPr>
            <w:r w:rsidRPr="0018386D">
              <w:rPr>
                <w:b/>
                <w:color w:val="FFFFFF" w:themeColor="background1"/>
              </w:rPr>
              <w:t>Units of energy consumed per 100 km</w:t>
            </w:r>
          </w:p>
        </w:tc>
        <w:tc>
          <w:tcPr>
            <w:tcW w:w="2486" w:type="dxa"/>
            <w:shd w:val="clear" w:color="auto" w:fill="1B556B" w:themeFill="text2"/>
          </w:tcPr>
          <w:p w14:paraId="3D1985D2" w14:textId="735DB441" w:rsidR="004D495A" w:rsidRPr="0018386D" w:rsidRDefault="004D495A" w:rsidP="00DD3106">
            <w:pPr>
              <w:pStyle w:val="TableText"/>
              <w:keepNext/>
              <w:spacing w:before="30" w:after="30"/>
              <w:rPr>
                <w:b/>
                <w:color w:val="FFFFFF" w:themeColor="background1"/>
              </w:rPr>
            </w:pPr>
            <w:r w:rsidRPr="0018386D">
              <w:rPr>
                <w:b/>
                <w:color w:val="FFFFFF" w:themeColor="background1"/>
              </w:rPr>
              <w:t>Emissions per km (kg</w:t>
            </w:r>
            <w:r w:rsidR="00A269DC" w:rsidRPr="0018386D">
              <w:rPr>
                <w:b/>
                <w:color w:val="FFFFFF" w:themeColor="background1"/>
              </w:rPr>
              <w:t xml:space="preserve"> </w:t>
            </w:r>
            <w:r w:rsidRPr="0018386D">
              <w:rPr>
                <w:b/>
                <w:color w:val="FFFFFF" w:themeColor="background1"/>
              </w:rPr>
              <w:t>CO</w:t>
            </w:r>
            <w:r w:rsidRPr="0018386D">
              <w:rPr>
                <w:b/>
                <w:color w:val="FFFFFF" w:themeColor="background1"/>
                <w:vertAlign w:val="subscript"/>
              </w:rPr>
              <w:t>2</w:t>
            </w:r>
            <w:r w:rsidR="00DF3CB0" w:rsidRPr="0018386D">
              <w:rPr>
                <w:b/>
                <w:color w:val="FFFFFF" w:themeColor="background1"/>
              </w:rPr>
              <w:t>-</w:t>
            </w:r>
            <w:r w:rsidRPr="0018386D">
              <w:rPr>
                <w:b/>
                <w:color w:val="FFFFFF" w:themeColor="background1"/>
              </w:rPr>
              <w:t>e)</w:t>
            </w:r>
          </w:p>
        </w:tc>
      </w:tr>
      <w:tr w:rsidR="00A94C3E" w:rsidRPr="0018386D" w14:paraId="363735B9" w14:textId="77777777" w:rsidTr="002E5C67">
        <w:tc>
          <w:tcPr>
            <w:tcW w:w="1701" w:type="dxa"/>
            <w:vAlign w:val="center"/>
          </w:tcPr>
          <w:p w14:paraId="4891208F" w14:textId="77777777" w:rsidR="00A94C3E" w:rsidRPr="0018386D" w:rsidRDefault="00A94C3E" w:rsidP="00DD3106">
            <w:pPr>
              <w:pStyle w:val="TableText"/>
              <w:keepNext/>
              <w:spacing w:before="30" w:after="30"/>
            </w:pPr>
            <w:r w:rsidRPr="0018386D">
              <w:t>Petrol vehicle</w:t>
            </w:r>
          </w:p>
        </w:tc>
        <w:tc>
          <w:tcPr>
            <w:tcW w:w="851" w:type="dxa"/>
          </w:tcPr>
          <w:p w14:paraId="029AF235" w14:textId="77777777" w:rsidR="00A94C3E" w:rsidRPr="0018386D" w:rsidRDefault="00A94C3E" w:rsidP="00DD3106">
            <w:pPr>
              <w:pStyle w:val="TableText"/>
              <w:keepNext/>
              <w:spacing w:before="30" w:after="30"/>
            </w:pPr>
            <w:r w:rsidRPr="0018386D">
              <w:t>Litres</w:t>
            </w:r>
          </w:p>
        </w:tc>
        <w:tc>
          <w:tcPr>
            <w:tcW w:w="3260" w:type="dxa"/>
            <w:shd w:val="clear" w:color="auto" w:fill="auto"/>
          </w:tcPr>
          <w:p w14:paraId="0D4A9015" w14:textId="77777777" w:rsidR="00A94C3E" w:rsidRPr="0018386D" w:rsidRDefault="00A94C3E" w:rsidP="00DD3106">
            <w:pPr>
              <w:pStyle w:val="TableText"/>
              <w:keepNext/>
              <w:spacing w:before="30" w:after="30"/>
            </w:pPr>
            <w:r w:rsidRPr="0018386D">
              <w:t>9.087</w:t>
            </w:r>
          </w:p>
        </w:tc>
        <w:tc>
          <w:tcPr>
            <w:tcW w:w="2486" w:type="dxa"/>
          </w:tcPr>
          <w:p w14:paraId="00862B49" w14:textId="790FB25C" w:rsidR="00A94C3E" w:rsidRPr="0018386D" w:rsidRDefault="00A94C3E" w:rsidP="00DD3106">
            <w:pPr>
              <w:pStyle w:val="TableText"/>
              <w:keepNext/>
              <w:spacing w:before="30" w:after="30"/>
            </w:pPr>
            <w:r w:rsidRPr="0018386D">
              <w:t>0.22</w:t>
            </w:r>
            <w:r w:rsidR="004E2941" w:rsidRPr="0018386D">
              <w:t>31</w:t>
            </w:r>
          </w:p>
        </w:tc>
      </w:tr>
      <w:tr w:rsidR="00A94C3E" w:rsidRPr="0018386D" w14:paraId="26093D35" w14:textId="77777777" w:rsidTr="002E5C67">
        <w:tc>
          <w:tcPr>
            <w:tcW w:w="1701" w:type="dxa"/>
            <w:vAlign w:val="center"/>
          </w:tcPr>
          <w:p w14:paraId="06D16EBE" w14:textId="77777777" w:rsidR="00A94C3E" w:rsidRPr="0018386D" w:rsidRDefault="00A94C3E" w:rsidP="00DD3106">
            <w:pPr>
              <w:pStyle w:val="TableText"/>
              <w:keepNext/>
              <w:spacing w:before="30" w:after="30"/>
            </w:pPr>
            <w:r w:rsidRPr="0018386D">
              <w:t>Diesel vehicle</w:t>
            </w:r>
          </w:p>
        </w:tc>
        <w:tc>
          <w:tcPr>
            <w:tcW w:w="851" w:type="dxa"/>
          </w:tcPr>
          <w:p w14:paraId="2B923036" w14:textId="4B7DEDBA" w:rsidR="00A94C3E" w:rsidRPr="0018386D" w:rsidRDefault="00A94C3E" w:rsidP="00DD3106">
            <w:pPr>
              <w:pStyle w:val="TableText"/>
              <w:keepNext/>
              <w:spacing w:before="30" w:after="30"/>
            </w:pPr>
            <w:r w:rsidRPr="0018386D">
              <w:t>Litres</w:t>
            </w:r>
          </w:p>
        </w:tc>
        <w:tc>
          <w:tcPr>
            <w:tcW w:w="3260" w:type="dxa"/>
            <w:shd w:val="clear" w:color="auto" w:fill="auto"/>
          </w:tcPr>
          <w:p w14:paraId="22506282" w14:textId="3915C4E3" w:rsidR="00A94C3E" w:rsidRPr="0018386D" w:rsidRDefault="00A94C3E" w:rsidP="00DD3106">
            <w:pPr>
              <w:pStyle w:val="TableText"/>
              <w:keepNext/>
              <w:spacing w:before="30" w:after="30"/>
            </w:pPr>
            <w:r w:rsidRPr="0018386D">
              <w:t>8.775</w:t>
            </w:r>
          </w:p>
        </w:tc>
        <w:tc>
          <w:tcPr>
            <w:tcW w:w="2486" w:type="dxa"/>
          </w:tcPr>
          <w:p w14:paraId="00DFD55F" w14:textId="20F4240E" w:rsidR="00A94C3E" w:rsidRPr="0018386D" w:rsidRDefault="00A94C3E" w:rsidP="00DD3106">
            <w:pPr>
              <w:pStyle w:val="TableText"/>
              <w:keepNext/>
              <w:spacing w:before="30" w:after="30"/>
            </w:pPr>
            <w:r w:rsidRPr="0018386D">
              <w:t>0.23</w:t>
            </w:r>
            <w:r w:rsidR="0071639C" w:rsidRPr="0018386D">
              <w:t>82</w:t>
            </w:r>
          </w:p>
        </w:tc>
      </w:tr>
      <w:tr w:rsidR="00A94C3E" w:rsidRPr="0018386D" w14:paraId="66320B4E" w14:textId="77777777" w:rsidTr="002E5C67">
        <w:tc>
          <w:tcPr>
            <w:tcW w:w="1701" w:type="dxa"/>
            <w:vAlign w:val="center"/>
          </w:tcPr>
          <w:p w14:paraId="737D70A7" w14:textId="77777777" w:rsidR="00A94C3E" w:rsidRPr="0018386D" w:rsidRDefault="00A94C3E" w:rsidP="00DD3106">
            <w:pPr>
              <w:pStyle w:val="TableText"/>
              <w:spacing w:before="30" w:after="30"/>
            </w:pPr>
            <w:r w:rsidRPr="0018386D">
              <w:t>Petrol hybrid</w:t>
            </w:r>
          </w:p>
        </w:tc>
        <w:tc>
          <w:tcPr>
            <w:tcW w:w="851" w:type="dxa"/>
          </w:tcPr>
          <w:p w14:paraId="2E57B765" w14:textId="77777777" w:rsidR="00A94C3E" w:rsidRPr="0018386D" w:rsidRDefault="00A94C3E" w:rsidP="00DD3106">
            <w:pPr>
              <w:pStyle w:val="TableText"/>
              <w:spacing w:before="30" w:after="30"/>
            </w:pPr>
            <w:r w:rsidRPr="0018386D">
              <w:t>Litres</w:t>
            </w:r>
          </w:p>
        </w:tc>
        <w:tc>
          <w:tcPr>
            <w:tcW w:w="3260" w:type="dxa"/>
            <w:shd w:val="clear" w:color="auto" w:fill="auto"/>
          </w:tcPr>
          <w:p w14:paraId="762379ED" w14:textId="77777777" w:rsidR="00A94C3E" w:rsidRPr="0018386D" w:rsidRDefault="00A94C3E" w:rsidP="00DD3106">
            <w:pPr>
              <w:pStyle w:val="TableText"/>
              <w:spacing w:before="30" w:after="30"/>
            </w:pPr>
            <w:r w:rsidRPr="0018386D">
              <w:t>7.174</w:t>
            </w:r>
          </w:p>
        </w:tc>
        <w:tc>
          <w:tcPr>
            <w:tcW w:w="2486" w:type="dxa"/>
          </w:tcPr>
          <w:p w14:paraId="4A0969F0" w14:textId="168B02CF" w:rsidR="00A94C3E" w:rsidRPr="0018386D" w:rsidRDefault="00A94C3E" w:rsidP="00DD3106">
            <w:pPr>
              <w:pStyle w:val="TableText"/>
              <w:spacing w:before="30" w:after="30"/>
            </w:pPr>
            <w:r w:rsidRPr="0018386D">
              <w:t>0.17</w:t>
            </w:r>
            <w:r w:rsidR="009F73B6" w:rsidRPr="0018386D">
              <w:t>61</w:t>
            </w:r>
          </w:p>
        </w:tc>
      </w:tr>
      <w:tr w:rsidR="00A94C3E" w:rsidRPr="0018386D" w14:paraId="50B112C3" w14:textId="77777777" w:rsidTr="002E5C67">
        <w:tc>
          <w:tcPr>
            <w:tcW w:w="1701" w:type="dxa"/>
            <w:vAlign w:val="center"/>
          </w:tcPr>
          <w:p w14:paraId="6E3B99BE" w14:textId="77777777" w:rsidR="00A94C3E" w:rsidRPr="0018386D" w:rsidRDefault="00A94C3E" w:rsidP="00DD3106">
            <w:pPr>
              <w:pStyle w:val="TableText"/>
              <w:spacing w:before="30" w:after="30"/>
            </w:pPr>
            <w:r w:rsidRPr="0018386D">
              <w:t>Electric vehicle</w:t>
            </w:r>
          </w:p>
        </w:tc>
        <w:tc>
          <w:tcPr>
            <w:tcW w:w="851" w:type="dxa"/>
          </w:tcPr>
          <w:p w14:paraId="7F860AA0" w14:textId="77777777" w:rsidR="00A94C3E" w:rsidRPr="0018386D" w:rsidRDefault="00A94C3E" w:rsidP="00DD3106">
            <w:pPr>
              <w:pStyle w:val="TableText"/>
              <w:spacing w:before="30" w:after="30"/>
            </w:pPr>
            <w:r w:rsidRPr="0018386D">
              <w:t>kWh</w:t>
            </w:r>
          </w:p>
        </w:tc>
        <w:tc>
          <w:tcPr>
            <w:tcW w:w="3260" w:type="dxa"/>
            <w:shd w:val="clear" w:color="auto" w:fill="auto"/>
          </w:tcPr>
          <w:p w14:paraId="54529F06" w14:textId="77777777" w:rsidR="00A94C3E" w:rsidRPr="0018386D" w:rsidRDefault="00A94C3E" w:rsidP="00DD3106">
            <w:pPr>
              <w:pStyle w:val="TableText"/>
              <w:spacing w:before="30" w:after="30"/>
            </w:pPr>
            <w:r w:rsidRPr="0018386D">
              <w:t>24.154</w:t>
            </w:r>
          </w:p>
        </w:tc>
        <w:tc>
          <w:tcPr>
            <w:tcW w:w="2486" w:type="dxa"/>
          </w:tcPr>
          <w:p w14:paraId="00AB8F9C" w14:textId="1FCFB11F" w:rsidR="00A94C3E" w:rsidRPr="0018386D" w:rsidRDefault="00A94C3E" w:rsidP="00DD3106">
            <w:pPr>
              <w:pStyle w:val="TableText"/>
              <w:spacing w:before="30" w:after="30"/>
            </w:pPr>
            <w:r w:rsidRPr="0018386D">
              <w:t>0.0</w:t>
            </w:r>
            <w:r w:rsidR="0072430D" w:rsidRPr="0018386D">
              <w:t>200</w:t>
            </w:r>
          </w:p>
        </w:tc>
      </w:tr>
      <w:tr w:rsidR="00A94C3E" w:rsidRPr="0018386D" w14:paraId="49AACD8F" w14:textId="77777777" w:rsidTr="002E5C67">
        <w:tc>
          <w:tcPr>
            <w:tcW w:w="1701" w:type="dxa"/>
            <w:vAlign w:val="center"/>
          </w:tcPr>
          <w:p w14:paraId="35255533" w14:textId="77777777" w:rsidR="00A94C3E" w:rsidRPr="0018386D" w:rsidRDefault="00A94C3E" w:rsidP="00DD3106">
            <w:pPr>
              <w:pStyle w:val="TableText"/>
              <w:spacing w:before="30" w:after="30"/>
            </w:pPr>
            <w:r w:rsidRPr="0018386D">
              <w:rPr>
                <w:b/>
                <w:bCs/>
              </w:rPr>
              <w:t>Taxi (regular)</w:t>
            </w:r>
          </w:p>
        </w:tc>
        <w:tc>
          <w:tcPr>
            <w:tcW w:w="851" w:type="dxa"/>
          </w:tcPr>
          <w:p w14:paraId="74425B64" w14:textId="77777777" w:rsidR="00A94C3E" w:rsidRPr="0018386D" w:rsidRDefault="00A94C3E" w:rsidP="00DD3106">
            <w:pPr>
              <w:pStyle w:val="TableText"/>
              <w:spacing w:before="30" w:after="30"/>
            </w:pPr>
          </w:p>
        </w:tc>
        <w:tc>
          <w:tcPr>
            <w:tcW w:w="3260" w:type="dxa"/>
            <w:shd w:val="clear" w:color="auto" w:fill="auto"/>
          </w:tcPr>
          <w:p w14:paraId="30B911AD" w14:textId="77777777" w:rsidR="00A94C3E" w:rsidRPr="0018386D" w:rsidRDefault="00A94C3E" w:rsidP="00DD3106">
            <w:pPr>
              <w:pStyle w:val="TableText"/>
              <w:spacing w:before="30" w:after="30"/>
            </w:pPr>
          </w:p>
        </w:tc>
        <w:tc>
          <w:tcPr>
            <w:tcW w:w="2486" w:type="dxa"/>
          </w:tcPr>
          <w:p w14:paraId="46E7E78C" w14:textId="77777777" w:rsidR="00A94C3E" w:rsidRPr="0018386D" w:rsidRDefault="00A94C3E" w:rsidP="00DD3106">
            <w:pPr>
              <w:pStyle w:val="TableText"/>
              <w:spacing w:before="30" w:after="30"/>
              <w:rPr>
                <w:b/>
                <w:bCs/>
              </w:rPr>
            </w:pPr>
            <w:r w:rsidRPr="0018386D">
              <w:rPr>
                <w:b/>
                <w:bCs/>
              </w:rPr>
              <w:t>0.16633</w:t>
            </w:r>
          </w:p>
        </w:tc>
      </w:tr>
    </w:tbl>
    <w:p w14:paraId="4339DEC6" w14:textId="3D7F688B" w:rsidR="0094451E" w:rsidRPr="0018386D" w:rsidRDefault="0094451E" w:rsidP="00DD3106">
      <w:pPr>
        <w:pStyle w:val="Note"/>
      </w:pPr>
      <w:r w:rsidRPr="0018386D">
        <w:rPr>
          <w:b/>
          <w:bCs/>
        </w:rPr>
        <w:t>Note:</w:t>
      </w:r>
      <w:r w:rsidRPr="0018386D">
        <w:t xml:space="preserve"> These numbers are rounded to </w:t>
      </w:r>
      <w:r w:rsidR="007A272B" w:rsidRPr="0018386D">
        <w:t xml:space="preserve">four </w:t>
      </w:r>
      <w:r w:rsidRPr="0018386D">
        <w:t>decimal places unless the number is significantly small.</w:t>
      </w:r>
      <w:r w:rsidR="004C3308" w:rsidRPr="0018386D">
        <w:t xml:space="preserve"> </w:t>
      </w:r>
    </w:p>
    <w:p w14:paraId="5E745C2F" w14:textId="468FEC69" w:rsidR="002849AB" w:rsidRPr="0018386D" w:rsidRDefault="001550D5" w:rsidP="00DD3106">
      <w:pPr>
        <w:pStyle w:val="BodyText"/>
        <w:spacing w:before="100" w:after="100"/>
      </w:pPr>
      <w:r w:rsidRPr="0018386D">
        <w:t>The p</w:t>
      </w:r>
      <w:r w:rsidR="00700349" w:rsidRPr="0018386D">
        <w:t xml:space="preserve">rivate car default is based on the average age of </w:t>
      </w:r>
      <w:r w:rsidR="008350F4" w:rsidRPr="0018386D">
        <w:t xml:space="preserve">light passenger vehicles in </w:t>
      </w:r>
      <w:r w:rsidR="00700349" w:rsidRPr="0018386D">
        <w:t>the N</w:t>
      </w:r>
      <w:r w:rsidR="00861CC1" w:rsidRPr="0018386D">
        <w:t xml:space="preserve">ew </w:t>
      </w:r>
      <w:r w:rsidR="00700349" w:rsidRPr="0018386D">
        <w:t>Z</w:t>
      </w:r>
      <w:r w:rsidR="00861CC1" w:rsidRPr="0018386D">
        <w:t>ealand</w:t>
      </w:r>
      <w:r w:rsidR="00700349" w:rsidRPr="0018386D">
        <w:t xml:space="preserve"> fleet, </w:t>
      </w:r>
      <w:proofErr w:type="gramStart"/>
      <w:r w:rsidR="00700349" w:rsidRPr="0018386D">
        <w:t>back</w:t>
      </w:r>
      <w:r w:rsidR="001B4CF1" w:rsidRPr="0018386D">
        <w:t>-</w:t>
      </w:r>
      <w:r w:rsidR="00700349" w:rsidRPr="0018386D">
        <w:t>calculated</w:t>
      </w:r>
      <w:proofErr w:type="gramEnd"/>
      <w:r w:rsidR="00700349" w:rsidRPr="0018386D">
        <w:t xml:space="preserve"> to</w:t>
      </w:r>
      <w:r w:rsidR="004E2443" w:rsidRPr="0018386D">
        <w:t> </w:t>
      </w:r>
      <w:r w:rsidR="0081014F" w:rsidRPr="0018386D">
        <w:t>the</w:t>
      </w:r>
      <w:r w:rsidR="00700349" w:rsidRPr="0018386D">
        <w:t xml:space="preserve"> year of manufacture</w:t>
      </w:r>
      <w:r w:rsidRPr="0018386D">
        <w:t>,</w:t>
      </w:r>
      <w:r w:rsidR="00700349" w:rsidRPr="0018386D">
        <w:t xml:space="preserve"> </w:t>
      </w:r>
      <w:r w:rsidRPr="0018386D">
        <w:t>with</w:t>
      </w:r>
      <w:r w:rsidR="00700349" w:rsidRPr="0018386D">
        <w:t xml:space="preserve"> the fuel consumption factor</w:t>
      </w:r>
      <w:r w:rsidR="003F2100" w:rsidRPr="0018386D">
        <w:t>s</w:t>
      </w:r>
      <w:r w:rsidR="00700349" w:rsidRPr="0018386D">
        <w:t xml:space="preserve"> </w:t>
      </w:r>
      <w:r w:rsidR="009668EF" w:rsidRPr="0018386D">
        <w:t xml:space="preserve">in </w:t>
      </w:r>
      <w:hyperlink w:anchor="table23" w:history="1">
        <w:r w:rsidR="009668EF" w:rsidRPr="0018386D">
          <w:rPr>
            <w:rStyle w:val="Hyperlink"/>
          </w:rPr>
          <w:t>table 23</w:t>
        </w:r>
      </w:hyperlink>
      <w:r w:rsidR="009668EF" w:rsidRPr="0018386D">
        <w:t xml:space="preserve"> </w:t>
      </w:r>
      <w:r w:rsidR="00700349" w:rsidRPr="0018386D">
        <w:t>applied</w:t>
      </w:r>
      <w:r w:rsidR="00494890" w:rsidRPr="0018386D">
        <w:t>.</w:t>
      </w:r>
    </w:p>
    <w:p w14:paraId="3987ABFF" w14:textId="09A27B7A" w:rsidR="00990047" w:rsidRPr="0018386D" w:rsidRDefault="00700349" w:rsidP="00DD3106">
      <w:pPr>
        <w:pStyle w:val="BodyText"/>
        <w:spacing w:before="100" w:after="100"/>
      </w:pPr>
      <w:r w:rsidRPr="0018386D">
        <w:t xml:space="preserve">According to </w:t>
      </w:r>
      <w:r w:rsidR="001C1FE3" w:rsidRPr="0018386D">
        <w:t xml:space="preserve">Waka Kotahi NZ Transport Agency (NZTA) </w:t>
      </w:r>
      <w:r w:rsidR="00440B13" w:rsidRPr="0018386D">
        <w:rPr>
          <w:i/>
        </w:rPr>
        <w:t>The New Zealand 202</w:t>
      </w:r>
      <w:r w:rsidR="00081516" w:rsidRPr="0018386D">
        <w:rPr>
          <w:i/>
        </w:rPr>
        <w:t>0</w:t>
      </w:r>
      <w:r w:rsidR="00440B13" w:rsidRPr="0018386D">
        <w:rPr>
          <w:i/>
        </w:rPr>
        <w:t xml:space="preserve"> Vehicle Fleet: Data Spreadsheet</w:t>
      </w:r>
      <w:r w:rsidR="00A4163C" w:rsidRPr="0018386D">
        <w:t>,</w:t>
      </w:r>
      <w:r w:rsidRPr="0018386D">
        <w:rPr>
          <w:bCs/>
        </w:rPr>
        <w:t xml:space="preserve"> </w:t>
      </w:r>
      <w:r w:rsidRPr="0018386D">
        <w:t xml:space="preserve">the average age of light passenger vehicles in </w:t>
      </w:r>
      <w:r w:rsidR="00A52F4B" w:rsidRPr="0018386D">
        <w:t xml:space="preserve">2021 </w:t>
      </w:r>
      <w:r w:rsidRPr="0018386D">
        <w:t xml:space="preserve">was </w:t>
      </w:r>
      <w:r w:rsidR="00A52F4B" w:rsidRPr="0018386D">
        <w:t>14.</w:t>
      </w:r>
      <w:r w:rsidR="00463ACB" w:rsidRPr="0018386D">
        <w:t>79</w:t>
      </w:r>
      <w:r w:rsidR="004E2443" w:rsidRPr="0018386D">
        <w:t> </w:t>
      </w:r>
      <w:r w:rsidRPr="0018386D">
        <w:t>years. This corre</w:t>
      </w:r>
      <w:r w:rsidR="0088620A" w:rsidRPr="0018386D">
        <w:t>sponds</w:t>
      </w:r>
      <w:r w:rsidRPr="0018386D">
        <w:t xml:space="preserve"> to a </w:t>
      </w:r>
      <w:r w:rsidR="00A52F4B" w:rsidRPr="0018386D">
        <w:t xml:space="preserve">2006 </w:t>
      </w:r>
      <w:r w:rsidRPr="0018386D">
        <w:t>year of manufacture.</w:t>
      </w:r>
    </w:p>
    <w:p w14:paraId="6509209B" w14:textId="3684AC17" w:rsidR="00700349" w:rsidRPr="0018386D" w:rsidRDefault="007E52C8" w:rsidP="00DD3106">
      <w:pPr>
        <w:pStyle w:val="BodyText"/>
        <w:spacing w:before="100" w:after="100"/>
        <w:rPr>
          <w:rFonts w:eastAsia="Times New Roman"/>
        </w:rPr>
      </w:pPr>
      <w:r w:rsidRPr="0018386D">
        <w:rPr>
          <w:rFonts w:eastAsia="Times New Roman"/>
        </w:rPr>
        <w:t>Furthermore</w:t>
      </w:r>
      <w:r w:rsidR="00FB3A5F" w:rsidRPr="0018386D">
        <w:rPr>
          <w:rFonts w:eastAsia="Times New Roman"/>
        </w:rPr>
        <w:t>,</w:t>
      </w:r>
      <w:r w:rsidR="00525C6F" w:rsidRPr="0018386D">
        <w:rPr>
          <w:rFonts w:eastAsia="Times New Roman"/>
        </w:rPr>
        <w:t xml:space="preserve"> a</w:t>
      </w:r>
      <w:r w:rsidR="00700349" w:rsidRPr="0018386D">
        <w:rPr>
          <w:rFonts w:eastAsia="Times New Roman"/>
        </w:rPr>
        <w:t xml:space="preserve">ccording to </w:t>
      </w:r>
      <w:proofErr w:type="spellStart"/>
      <w:r w:rsidR="00700349" w:rsidRPr="0018386D">
        <w:rPr>
          <w:rFonts w:eastAsia="Times New Roman"/>
        </w:rPr>
        <w:t>MoT</w:t>
      </w:r>
      <w:proofErr w:type="spellEnd"/>
      <w:r w:rsidR="00700349" w:rsidRPr="0018386D">
        <w:rPr>
          <w:rStyle w:val="FootnoteReference"/>
          <w:rFonts w:eastAsia="Times New Roman" w:cs="Times New Roman"/>
        </w:rPr>
        <w:footnoteReference w:id="28"/>
      </w:r>
      <w:r w:rsidR="00700349" w:rsidRPr="0018386D">
        <w:rPr>
          <w:rFonts w:eastAsia="Times New Roman"/>
        </w:rPr>
        <w:t xml:space="preserve"> the most common size of light passenger vehicle is 22</w:t>
      </w:r>
      <w:r w:rsidR="00211AF7" w:rsidRPr="0018386D">
        <w:rPr>
          <w:rFonts w:eastAsia="Times New Roman"/>
        </w:rPr>
        <w:t>81</w:t>
      </w:r>
      <w:r w:rsidR="00700349" w:rsidRPr="0018386D">
        <w:rPr>
          <w:rFonts w:eastAsia="Times New Roman"/>
        </w:rPr>
        <w:t xml:space="preserve"> cc</w:t>
      </w:r>
      <w:r w:rsidR="00525C6F" w:rsidRPr="0018386D">
        <w:rPr>
          <w:rFonts w:eastAsia="Times New Roman"/>
        </w:rPr>
        <w:t>,</w:t>
      </w:r>
      <w:r w:rsidR="00700349" w:rsidRPr="0018386D">
        <w:rPr>
          <w:rFonts w:eastAsia="Times New Roman"/>
        </w:rPr>
        <w:t xml:space="preserve"> which puts it in the </w:t>
      </w:r>
      <w:r w:rsidR="0081014F" w:rsidRPr="0018386D">
        <w:rPr>
          <w:rFonts w:eastAsia="Times New Roman"/>
        </w:rPr>
        <w:t>2000</w:t>
      </w:r>
      <w:r w:rsidR="001B68AF" w:rsidRPr="0018386D">
        <w:rPr>
          <w:rFonts w:eastAsia="Times New Roman"/>
        </w:rPr>
        <w:t>–</w:t>
      </w:r>
      <w:r w:rsidR="00700349" w:rsidRPr="0018386D">
        <w:rPr>
          <w:rFonts w:eastAsia="Times New Roman"/>
        </w:rPr>
        <w:t xml:space="preserve">3000 cc category. For </w:t>
      </w:r>
      <w:r w:rsidR="00C00903" w:rsidRPr="0018386D">
        <w:rPr>
          <w:rFonts w:eastAsia="Times New Roman"/>
        </w:rPr>
        <w:t xml:space="preserve">hybrid and </w:t>
      </w:r>
      <w:r w:rsidR="00700349" w:rsidRPr="0018386D">
        <w:rPr>
          <w:rFonts w:eastAsia="Times New Roman"/>
        </w:rPr>
        <w:t xml:space="preserve">electric </w:t>
      </w:r>
      <w:proofErr w:type="gramStart"/>
      <w:r w:rsidR="00700349" w:rsidRPr="0018386D">
        <w:rPr>
          <w:rFonts w:eastAsia="Times New Roman"/>
        </w:rPr>
        <w:t>vehicles</w:t>
      </w:r>
      <w:proofErr w:type="gramEnd"/>
      <w:r w:rsidR="00700349" w:rsidRPr="0018386D">
        <w:rPr>
          <w:rFonts w:eastAsia="Times New Roman"/>
        </w:rPr>
        <w:t xml:space="preserve"> </w:t>
      </w:r>
      <w:r w:rsidR="00FB3A5F" w:rsidRPr="0018386D">
        <w:rPr>
          <w:rFonts w:eastAsia="Times New Roman"/>
        </w:rPr>
        <w:t>we assumed</w:t>
      </w:r>
      <w:r w:rsidR="00A80DFB" w:rsidRPr="0018386D">
        <w:rPr>
          <w:rFonts w:eastAsia="Times New Roman"/>
        </w:rPr>
        <w:t xml:space="preserve"> a</w:t>
      </w:r>
      <w:r w:rsidR="002C3F9B" w:rsidRPr="0018386D">
        <w:rPr>
          <w:rFonts w:eastAsia="Times New Roman"/>
        </w:rPr>
        <w:t xml:space="preserve"> </w:t>
      </w:r>
      <w:r w:rsidR="00C00903" w:rsidRPr="0018386D">
        <w:rPr>
          <w:rFonts w:eastAsia="Times New Roman"/>
        </w:rPr>
        <w:t>&gt;</w:t>
      </w:r>
      <w:r w:rsidR="00A858A8" w:rsidRPr="0018386D">
        <w:rPr>
          <w:rFonts w:eastAsia="Times New Roman"/>
        </w:rPr>
        <w:t>2015 fleet consumption for a 2000–3000 cc equivalent engine size</w:t>
      </w:r>
      <w:r w:rsidR="00E8153B" w:rsidRPr="0018386D">
        <w:rPr>
          <w:rFonts w:eastAsia="Times New Roman"/>
        </w:rPr>
        <w:t>.</w:t>
      </w:r>
    </w:p>
    <w:p w14:paraId="6509209C" w14:textId="44213406" w:rsidR="001B2552" w:rsidRPr="0018386D" w:rsidRDefault="001B2552" w:rsidP="00DD3106">
      <w:pPr>
        <w:pStyle w:val="Tableheading"/>
      </w:pPr>
      <w:bookmarkStart w:id="440" w:name="_Ref53065918"/>
      <w:bookmarkStart w:id="441" w:name="_Toc140048966"/>
      <w:bookmarkStart w:id="442" w:name="_Toc111536631"/>
      <w:r w:rsidRPr="0018386D">
        <w:t xml:space="preserve">Table </w:t>
      </w:r>
      <w:r w:rsidRPr="0018386D">
        <w:fldChar w:fldCharType="begin"/>
      </w:r>
      <w:r w:rsidRPr="0018386D">
        <w:instrText>SEQ Table \* ARABIC</w:instrText>
      </w:r>
      <w:r w:rsidRPr="0018386D">
        <w:fldChar w:fldCharType="separate"/>
      </w:r>
      <w:r w:rsidR="003E141C" w:rsidRPr="0018386D">
        <w:t>26</w:t>
      </w:r>
      <w:r w:rsidRPr="0018386D">
        <w:fldChar w:fldCharType="end"/>
      </w:r>
      <w:bookmarkEnd w:id="440"/>
      <w:r w:rsidR="00861CC1" w:rsidRPr="0018386D">
        <w:t>:</w:t>
      </w:r>
      <w:r w:rsidR="00861CC1" w:rsidRPr="0018386D">
        <w:tab/>
      </w:r>
      <w:r w:rsidR="00B62B90" w:rsidRPr="0018386D">
        <w:t>Energy</w:t>
      </w:r>
      <w:r w:rsidRPr="0018386D">
        <w:t xml:space="preserve"> consumption</w:t>
      </w:r>
      <w:r w:rsidR="00B62B90" w:rsidRPr="0018386D">
        <w:t xml:space="preserve"> per 100</w:t>
      </w:r>
      <w:r w:rsidR="00C20E3C" w:rsidRPr="0018386D">
        <w:t xml:space="preserve"> </w:t>
      </w:r>
      <w:r w:rsidR="00B62B90" w:rsidRPr="0018386D">
        <w:t>km</w:t>
      </w:r>
      <w:r w:rsidRPr="0018386D">
        <w:t xml:space="preserve"> for </w:t>
      </w:r>
      <w:r w:rsidR="006D0A98" w:rsidRPr="0018386D">
        <w:t xml:space="preserve">average </w:t>
      </w:r>
      <w:r w:rsidRPr="0018386D">
        <w:t>light passenger vehicles</w:t>
      </w:r>
      <w:bookmarkEnd w:id="441"/>
      <w:r w:rsidRPr="0018386D">
        <w:t xml:space="preserve"> </w:t>
      </w:r>
      <w:bookmarkEnd w:id="442"/>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402"/>
        <w:gridCol w:w="993"/>
        <w:gridCol w:w="4110"/>
      </w:tblGrid>
      <w:tr w:rsidR="00AA5E3E" w:rsidRPr="0018386D" w14:paraId="6509209F" w14:textId="77777777" w:rsidTr="002E5C67">
        <w:trPr>
          <w:tblHeader/>
        </w:trPr>
        <w:tc>
          <w:tcPr>
            <w:tcW w:w="3402" w:type="dxa"/>
            <w:shd w:val="clear" w:color="auto" w:fill="1B556B" w:themeFill="text2"/>
            <w:vAlign w:val="bottom"/>
          </w:tcPr>
          <w:p w14:paraId="6509209D" w14:textId="77777777" w:rsidR="0081014F" w:rsidRPr="0018386D" w:rsidRDefault="0081014F" w:rsidP="00DD3106">
            <w:pPr>
              <w:pStyle w:val="TableText"/>
              <w:spacing w:before="30" w:after="30"/>
              <w:rPr>
                <w:b/>
                <w:color w:val="FFFFFF" w:themeColor="background1"/>
                <w:szCs w:val="18"/>
              </w:rPr>
            </w:pPr>
            <w:r w:rsidRPr="0018386D">
              <w:rPr>
                <w:b/>
                <w:color w:val="FFFFFF" w:themeColor="background1"/>
                <w:szCs w:val="18"/>
              </w:rPr>
              <w:t>Engine type</w:t>
            </w:r>
          </w:p>
        </w:tc>
        <w:tc>
          <w:tcPr>
            <w:tcW w:w="993" w:type="dxa"/>
            <w:shd w:val="clear" w:color="auto" w:fill="1B556B" w:themeFill="text2"/>
            <w:vAlign w:val="bottom"/>
          </w:tcPr>
          <w:p w14:paraId="104873A7" w14:textId="60B8C072" w:rsidR="0081014F" w:rsidRPr="0018386D" w:rsidRDefault="0081014F" w:rsidP="00DD3106">
            <w:pPr>
              <w:pStyle w:val="TableText"/>
              <w:spacing w:before="30" w:after="30"/>
              <w:rPr>
                <w:b/>
                <w:color w:val="FFFFFF" w:themeColor="background1"/>
                <w:szCs w:val="18"/>
              </w:rPr>
            </w:pPr>
            <w:r w:rsidRPr="0018386D">
              <w:rPr>
                <w:b/>
                <w:color w:val="FFFFFF" w:themeColor="background1"/>
                <w:szCs w:val="18"/>
              </w:rPr>
              <w:t>Unit</w:t>
            </w:r>
          </w:p>
        </w:tc>
        <w:tc>
          <w:tcPr>
            <w:tcW w:w="4110" w:type="dxa"/>
            <w:shd w:val="clear" w:color="auto" w:fill="1B556B" w:themeFill="text2"/>
            <w:vAlign w:val="bottom"/>
          </w:tcPr>
          <w:p w14:paraId="6509209E" w14:textId="21F5D003" w:rsidR="0081014F" w:rsidRPr="0018386D" w:rsidRDefault="0081014F" w:rsidP="00DD3106">
            <w:pPr>
              <w:pStyle w:val="TableText"/>
              <w:spacing w:before="30" w:after="30"/>
              <w:jc w:val="right"/>
              <w:rPr>
                <w:b/>
                <w:color w:val="FFFFFF" w:themeColor="background1"/>
                <w:szCs w:val="18"/>
              </w:rPr>
            </w:pPr>
            <w:r w:rsidRPr="0018386D">
              <w:rPr>
                <w:b/>
                <w:color w:val="FFFFFF" w:themeColor="background1"/>
                <w:szCs w:val="18"/>
              </w:rPr>
              <w:t>Units per 100</w:t>
            </w:r>
            <w:r w:rsidR="00C20E3C" w:rsidRPr="0018386D">
              <w:rPr>
                <w:b/>
                <w:color w:val="FFFFFF" w:themeColor="background1"/>
                <w:szCs w:val="18"/>
              </w:rPr>
              <w:t xml:space="preserve"> </w:t>
            </w:r>
            <w:r w:rsidRPr="0018386D">
              <w:rPr>
                <w:b/>
                <w:color w:val="FFFFFF" w:themeColor="background1"/>
                <w:szCs w:val="18"/>
              </w:rPr>
              <w:t>km for a</w:t>
            </w:r>
            <w:r w:rsidR="00AF1F58" w:rsidRPr="0018386D">
              <w:rPr>
                <w:b/>
                <w:color w:val="FFFFFF" w:themeColor="background1"/>
                <w:szCs w:val="18"/>
              </w:rPr>
              <w:t xml:space="preserve"> 2000</w:t>
            </w:r>
            <w:r w:rsidR="00C20E3C" w:rsidRPr="0018386D">
              <w:rPr>
                <w:b/>
                <w:color w:val="FFFFFF" w:themeColor="background1"/>
                <w:szCs w:val="18"/>
              </w:rPr>
              <w:t>–</w:t>
            </w:r>
            <w:r w:rsidRPr="0018386D">
              <w:rPr>
                <w:b/>
                <w:color w:val="FFFFFF" w:themeColor="background1"/>
                <w:szCs w:val="18"/>
              </w:rPr>
              <w:t>3000</w:t>
            </w:r>
            <w:r w:rsidR="00A36403" w:rsidRPr="0018386D">
              <w:rPr>
                <w:b/>
                <w:color w:val="FFFFFF" w:themeColor="background1"/>
                <w:szCs w:val="18"/>
              </w:rPr>
              <w:t xml:space="preserve"> </w:t>
            </w:r>
            <w:r w:rsidRPr="0018386D">
              <w:rPr>
                <w:b/>
                <w:color w:val="FFFFFF" w:themeColor="background1"/>
                <w:szCs w:val="18"/>
              </w:rPr>
              <w:t xml:space="preserve">cc engine </w:t>
            </w:r>
          </w:p>
        </w:tc>
      </w:tr>
      <w:tr w:rsidR="00AA5E3E" w:rsidRPr="0018386D" w14:paraId="650920A2" w14:textId="77777777" w:rsidTr="002E5C67">
        <w:tc>
          <w:tcPr>
            <w:tcW w:w="3402" w:type="dxa"/>
          </w:tcPr>
          <w:p w14:paraId="650920A0" w14:textId="77777777" w:rsidR="0081014F" w:rsidRPr="0018386D" w:rsidRDefault="0081014F" w:rsidP="00DD3106">
            <w:pPr>
              <w:pStyle w:val="TableText"/>
              <w:spacing w:before="30" w:after="30"/>
              <w:rPr>
                <w:szCs w:val="18"/>
              </w:rPr>
            </w:pPr>
            <w:r w:rsidRPr="0018386D">
              <w:rPr>
                <w:szCs w:val="18"/>
              </w:rPr>
              <w:t>Petrol</w:t>
            </w:r>
          </w:p>
        </w:tc>
        <w:tc>
          <w:tcPr>
            <w:tcW w:w="993" w:type="dxa"/>
          </w:tcPr>
          <w:p w14:paraId="275115E7" w14:textId="37C77169" w:rsidR="0081014F" w:rsidRPr="0018386D" w:rsidRDefault="00560904" w:rsidP="00DD3106">
            <w:pPr>
              <w:pStyle w:val="TableText"/>
              <w:spacing w:before="30" w:after="30"/>
              <w:rPr>
                <w:szCs w:val="18"/>
              </w:rPr>
            </w:pPr>
            <w:r w:rsidRPr="0018386D">
              <w:rPr>
                <w:szCs w:val="18"/>
              </w:rPr>
              <w:t>litre</w:t>
            </w:r>
          </w:p>
        </w:tc>
        <w:tc>
          <w:tcPr>
            <w:tcW w:w="4110" w:type="dxa"/>
          </w:tcPr>
          <w:p w14:paraId="650920A1" w14:textId="1EBB468A" w:rsidR="0081014F" w:rsidRPr="0018386D" w:rsidRDefault="007A5E84" w:rsidP="00DD3106">
            <w:pPr>
              <w:pStyle w:val="TableText"/>
              <w:spacing w:before="30" w:after="30"/>
              <w:jc w:val="right"/>
              <w:rPr>
                <w:szCs w:val="18"/>
              </w:rPr>
            </w:pPr>
            <w:r w:rsidRPr="0018386D">
              <w:rPr>
                <w:szCs w:val="18"/>
              </w:rPr>
              <w:t>1</w:t>
            </w:r>
            <w:r w:rsidR="007C078B" w:rsidRPr="0018386D">
              <w:rPr>
                <w:szCs w:val="18"/>
              </w:rPr>
              <w:t>0</w:t>
            </w:r>
            <w:r w:rsidRPr="0018386D">
              <w:rPr>
                <w:szCs w:val="18"/>
              </w:rPr>
              <w:t>.254</w:t>
            </w:r>
          </w:p>
        </w:tc>
      </w:tr>
      <w:tr w:rsidR="00AA5E3E" w:rsidRPr="0018386D" w14:paraId="650920A5" w14:textId="77777777" w:rsidTr="002E5C67">
        <w:tc>
          <w:tcPr>
            <w:tcW w:w="3402" w:type="dxa"/>
          </w:tcPr>
          <w:p w14:paraId="650920A3" w14:textId="77777777" w:rsidR="0081014F" w:rsidRPr="0018386D" w:rsidRDefault="0081014F" w:rsidP="00DD3106">
            <w:pPr>
              <w:pStyle w:val="TableText"/>
              <w:spacing w:before="30" w:after="30"/>
              <w:rPr>
                <w:szCs w:val="18"/>
              </w:rPr>
            </w:pPr>
            <w:r w:rsidRPr="0018386D">
              <w:rPr>
                <w:szCs w:val="18"/>
              </w:rPr>
              <w:t>Diesel</w:t>
            </w:r>
          </w:p>
        </w:tc>
        <w:tc>
          <w:tcPr>
            <w:tcW w:w="993" w:type="dxa"/>
          </w:tcPr>
          <w:p w14:paraId="6CB86218" w14:textId="53E7AEE2" w:rsidR="0081014F" w:rsidRPr="0018386D" w:rsidRDefault="00560904" w:rsidP="00DD3106">
            <w:pPr>
              <w:pStyle w:val="TableText"/>
              <w:spacing w:before="30" w:after="30"/>
              <w:rPr>
                <w:szCs w:val="18"/>
              </w:rPr>
            </w:pPr>
            <w:r w:rsidRPr="0018386D">
              <w:rPr>
                <w:szCs w:val="18"/>
              </w:rPr>
              <w:t>litre</w:t>
            </w:r>
          </w:p>
        </w:tc>
        <w:tc>
          <w:tcPr>
            <w:tcW w:w="4110" w:type="dxa"/>
          </w:tcPr>
          <w:p w14:paraId="650920A4" w14:textId="3F3BF3E9" w:rsidR="0081014F" w:rsidRPr="0018386D" w:rsidRDefault="001F59B3" w:rsidP="00DD3106">
            <w:pPr>
              <w:pStyle w:val="TableText"/>
              <w:spacing w:before="30" w:after="30"/>
              <w:jc w:val="right"/>
              <w:rPr>
                <w:szCs w:val="18"/>
              </w:rPr>
            </w:pPr>
            <w:r w:rsidRPr="0018386D">
              <w:rPr>
                <w:szCs w:val="18"/>
              </w:rPr>
              <w:t>9.</w:t>
            </w:r>
            <w:r w:rsidR="000F5514" w:rsidRPr="0018386D">
              <w:rPr>
                <w:szCs w:val="18"/>
              </w:rPr>
              <w:t>886</w:t>
            </w:r>
          </w:p>
        </w:tc>
      </w:tr>
      <w:tr w:rsidR="00AA5E3E" w:rsidRPr="0018386D" w14:paraId="650920A8" w14:textId="77777777" w:rsidTr="002E5C67">
        <w:tc>
          <w:tcPr>
            <w:tcW w:w="3402" w:type="dxa"/>
          </w:tcPr>
          <w:p w14:paraId="650920A6" w14:textId="017B39F7" w:rsidR="0081014F" w:rsidRPr="0018386D" w:rsidRDefault="0081014F" w:rsidP="00DD3106">
            <w:pPr>
              <w:pStyle w:val="TableText"/>
              <w:spacing w:before="30" w:after="30"/>
              <w:rPr>
                <w:szCs w:val="18"/>
              </w:rPr>
            </w:pPr>
            <w:r w:rsidRPr="0018386D">
              <w:rPr>
                <w:szCs w:val="18"/>
              </w:rPr>
              <w:t xml:space="preserve">Petrol </w:t>
            </w:r>
            <w:r w:rsidR="00EC3183" w:rsidRPr="0018386D">
              <w:rPr>
                <w:szCs w:val="18"/>
              </w:rPr>
              <w:t>h</w:t>
            </w:r>
            <w:r w:rsidRPr="0018386D">
              <w:rPr>
                <w:szCs w:val="18"/>
              </w:rPr>
              <w:t>ybrid</w:t>
            </w:r>
          </w:p>
        </w:tc>
        <w:tc>
          <w:tcPr>
            <w:tcW w:w="993" w:type="dxa"/>
          </w:tcPr>
          <w:p w14:paraId="017EDE24" w14:textId="4AC57F7B" w:rsidR="0081014F" w:rsidRPr="0018386D" w:rsidRDefault="0081014F" w:rsidP="00DD3106">
            <w:pPr>
              <w:pStyle w:val="TableText"/>
              <w:spacing w:before="30" w:after="30"/>
              <w:rPr>
                <w:szCs w:val="18"/>
              </w:rPr>
            </w:pPr>
            <w:r w:rsidRPr="0018386D">
              <w:rPr>
                <w:szCs w:val="18"/>
              </w:rPr>
              <w:t>litre</w:t>
            </w:r>
          </w:p>
        </w:tc>
        <w:tc>
          <w:tcPr>
            <w:tcW w:w="4110" w:type="dxa"/>
          </w:tcPr>
          <w:p w14:paraId="650920A7" w14:textId="7A23A484" w:rsidR="0081014F" w:rsidRPr="0018386D" w:rsidRDefault="00C273F2" w:rsidP="00DD3106">
            <w:pPr>
              <w:pStyle w:val="TableText"/>
              <w:spacing w:before="30" w:after="30"/>
              <w:jc w:val="right"/>
              <w:rPr>
                <w:rFonts w:cs="Calibri"/>
                <w:szCs w:val="18"/>
              </w:rPr>
            </w:pPr>
            <w:r w:rsidRPr="0018386D">
              <w:rPr>
                <w:rFonts w:cs="Calibri"/>
                <w:szCs w:val="18"/>
              </w:rPr>
              <w:t>6.630</w:t>
            </w:r>
          </w:p>
        </w:tc>
      </w:tr>
      <w:tr w:rsidR="00AA5E3E" w:rsidRPr="0018386D" w14:paraId="650920AB" w14:textId="77777777" w:rsidTr="002E5C67">
        <w:tc>
          <w:tcPr>
            <w:tcW w:w="3402" w:type="dxa"/>
          </w:tcPr>
          <w:p w14:paraId="650920A9" w14:textId="0C6835CF" w:rsidR="0081014F" w:rsidRPr="0018386D" w:rsidRDefault="0081014F" w:rsidP="00DD3106">
            <w:pPr>
              <w:pStyle w:val="TableText"/>
              <w:spacing w:before="30" w:after="30"/>
              <w:rPr>
                <w:szCs w:val="18"/>
              </w:rPr>
            </w:pPr>
            <w:r w:rsidRPr="0018386D">
              <w:rPr>
                <w:szCs w:val="18"/>
              </w:rPr>
              <w:t xml:space="preserve">Diesel </w:t>
            </w:r>
            <w:r w:rsidR="00EC3183" w:rsidRPr="0018386D">
              <w:rPr>
                <w:szCs w:val="18"/>
              </w:rPr>
              <w:t>h</w:t>
            </w:r>
            <w:r w:rsidRPr="0018386D">
              <w:rPr>
                <w:szCs w:val="18"/>
              </w:rPr>
              <w:t>ybrid</w:t>
            </w:r>
          </w:p>
        </w:tc>
        <w:tc>
          <w:tcPr>
            <w:tcW w:w="993" w:type="dxa"/>
          </w:tcPr>
          <w:p w14:paraId="19009CAD" w14:textId="15B86B87" w:rsidR="0081014F" w:rsidRPr="0018386D" w:rsidRDefault="0081014F" w:rsidP="00DD3106">
            <w:pPr>
              <w:pStyle w:val="TableText"/>
              <w:spacing w:before="30" w:after="30"/>
              <w:rPr>
                <w:szCs w:val="18"/>
              </w:rPr>
            </w:pPr>
            <w:r w:rsidRPr="0018386D">
              <w:rPr>
                <w:szCs w:val="18"/>
              </w:rPr>
              <w:t>litre</w:t>
            </w:r>
          </w:p>
        </w:tc>
        <w:tc>
          <w:tcPr>
            <w:tcW w:w="4110" w:type="dxa"/>
          </w:tcPr>
          <w:p w14:paraId="650920AA" w14:textId="1625D050" w:rsidR="0081014F" w:rsidRPr="0018386D" w:rsidRDefault="008646FC" w:rsidP="00DD3106">
            <w:pPr>
              <w:pStyle w:val="TableText"/>
              <w:spacing w:before="30" w:after="30"/>
              <w:jc w:val="right"/>
              <w:rPr>
                <w:szCs w:val="18"/>
              </w:rPr>
            </w:pPr>
            <w:r w:rsidRPr="0018386D">
              <w:rPr>
                <w:szCs w:val="18"/>
              </w:rPr>
              <w:t>7.263</w:t>
            </w:r>
          </w:p>
        </w:tc>
      </w:tr>
      <w:tr w:rsidR="00AA5E3E" w:rsidRPr="0018386D" w14:paraId="650920AE" w14:textId="77777777" w:rsidTr="002E5C67">
        <w:tc>
          <w:tcPr>
            <w:tcW w:w="3402" w:type="dxa"/>
          </w:tcPr>
          <w:p w14:paraId="650920AC" w14:textId="1A728C8F" w:rsidR="0081014F" w:rsidRPr="0018386D" w:rsidRDefault="0081014F" w:rsidP="00DD3106">
            <w:pPr>
              <w:pStyle w:val="TableText"/>
              <w:spacing w:before="30" w:after="30"/>
              <w:rPr>
                <w:szCs w:val="18"/>
              </w:rPr>
            </w:pPr>
            <w:r w:rsidRPr="0018386D">
              <w:rPr>
                <w:szCs w:val="18"/>
              </w:rPr>
              <w:t>Petrol plug-in hybrid (petrol)</w:t>
            </w:r>
          </w:p>
        </w:tc>
        <w:tc>
          <w:tcPr>
            <w:tcW w:w="993" w:type="dxa"/>
          </w:tcPr>
          <w:p w14:paraId="2D56D484" w14:textId="3E3A0538" w:rsidR="0081014F" w:rsidRPr="0018386D" w:rsidRDefault="0081014F" w:rsidP="00DD3106">
            <w:pPr>
              <w:pStyle w:val="TableText"/>
              <w:spacing w:before="30" w:after="30"/>
              <w:rPr>
                <w:szCs w:val="18"/>
              </w:rPr>
            </w:pPr>
            <w:r w:rsidRPr="0018386D">
              <w:rPr>
                <w:szCs w:val="18"/>
              </w:rPr>
              <w:t>litre</w:t>
            </w:r>
          </w:p>
        </w:tc>
        <w:tc>
          <w:tcPr>
            <w:tcW w:w="4110" w:type="dxa"/>
          </w:tcPr>
          <w:p w14:paraId="650920AD" w14:textId="5FA18EFC" w:rsidR="0081014F" w:rsidRPr="0018386D" w:rsidRDefault="00782203" w:rsidP="00DD3106">
            <w:pPr>
              <w:pStyle w:val="TableText"/>
              <w:spacing w:before="30" w:after="30"/>
              <w:jc w:val="right"/>
              <w:rPr>
                <w:rFonts w:cs="Calibri"/>
                <w:szCs w:val="18"/>
              </w:rPr>
            </w:pPr>
            <w:r w:rsidRPr="0018386D">
              <w:rPr>
                <w:rFonts w:cs="Calibri"/>
                <w:szCs w:val="18"/>
              </w:rPr>
              <w:t>3.</w:t>
            </w:r>
            <w:r w:rsidR="0050524C" w:rsidRPr="0018386D">
              <w:rPr>
                <w:rFonts w:cs="Calibri"/>
                <w:szCs w:val="18"/>
              </w:rPr>
              <w:t>470</w:t>
            </w:r>
          </w:p>
        </w:tc>
      </w:tr>
      <w:tr w:rsidR="00AA5E3E" w:rsidRPr="0018386D" w14:paraId="650920B1" w14:textId="77777777" w:rsidTr="002E5C67">
        <w:tc>
          <w:tcPr>
            <w:tcW w:w="3402" w:type="dxa"/>
          </w:tcPr>
          <w:p w14:paraId="650920AF" w14:textId="37871268" w:rsidR="0081014F" w:rsidRPr="0018386D" w:rsidRDefault="0081014F" w:rsidP="00DD3106">
            <w:pPr>
              <w:pStyle w:val="TableText"/>
              <w:spacing w:before="30" w:after="30"/>
              <w:rPr>
                <w:szCs w:val="18"/>
              </w:rPr>
            </w:pPr>
            <w:r w:rsidRPr="0018386D">
              <w:rPr>
                <w:szCs w:val="18"/>
              </w:rPr>
              <w:t>Petrol plug-in hybrid (electricity)</w:t>
            </w:r>
          </w:p>
        </w:tc>
        <w:tc>
          <w:tcPr>
            <w:tcW w:w="993" w:type="dxa"/>
          </w:tcPr>
          <w:p w14:paraId="29521FD2" w14:textId="0037DC8C" w:rsidR="0081014F" w:rsidRPr="0018386D" w:rsidRDefault="00296B4C" w:rsidP="00DD3106">
            <w:pPr>
              <w:pStyle w:val="TableText"/>
              <w:spacing w:before="30" w:after="30"/>
              <w:rPr>
                <w:szCs w:val="18"/>
              </w:rPr>
            </w:pPr>
            <w:r w:rsidRPr="0018386D">
              <w:rPr>
                <w:szCs w:val="18"/>
              </w:rPr>
              <w:t>kWh</w:t>
            </w:r>
          </w:p>
        </w:tc>
        <w:tc>
          <w:tcPr>
            <w:tcW w:w="4110" w:type="dxa"/>
          </w:tcPr>
          <w:p w14:paraId="650920B0" w14:textId="3BE862DD" w:rsidR="0081014F" w:rsidRPr="0018386D" w:rsidRDefault="00AA2F82" w:rsidP="00DD3106">
            <w:pPr>
              <w:pStyle w:val="TableText"/>
              <w:spacing w:before="30" w:after="30"/>
              <w:jc w:val="right"/>
              <w:rPr>
                <w:rFonts w:cs="Calibri"/>
                <w:szCs w:val="18"/>
              </w:rPr>
            </w:pPr>
            <w:r w:rsidRPr="0018386D">
              <w:rPr>
                <w:rFonts w:cs="Calibri"/>
                <w:szCs w:val="18"/>
              </w:rPr>
              <w:t>10.864</w:t>
            </w:r>
          </w:p>
        </w:tc>
      </w:tr>
      <w:tr w:rsidR="00AA5E3E" w:rsidRPr="0018386D" w14:paraId="650920B4" w14:textId="77777777" w:rsidTr="002E5C67">
        <w:tc>
          <w:tcPr>
            <w:tcW w:w="3402" w:type="dxa"/>
          </w:tcPr>
          <w:p w14:paraId="650920B2" w14:textId="53D9EC0F" w:rsidR="0081014F" w:rsidRPr="0018386D" w:rsidRDefault="0081014F" w:rsidP="00DD3106">
            <w:pPr>
              <w:pStyle w:val="TableText"/>
              <w:spacing w:before="30" w:after="30"/>
              <w:rPr>
                <w:szCs w:val="18"/>
              </w:rPr>
            </w:pPr>
            <w:r w:rsidRPr="0018386D">
              <w:rPr>
                <w:szCs w:val="18"/>
              </w:rPr>
              <w:t>Diesel plug-in hybrid (diesel)</w:t>
            </w:r>
          </w:p>
        </w:tc>
        <w:tc>
          <w:tcPr>
            <w:tcW w:w="993" w:type="dxa"/>
          </w:tcPr>
          <w:p w14:paraId="41D7631C" w14:textId="61FCE715" w:rsidR="0081014F" w:rsidRPr="0018386D" w:rsidRDefault="0081014F" w:rsidP="00DD3106">
            <w:pPr>
              <w:pStyle w:val="TableText"/>
              <w:spacing w:before="30" w:after="30"/>
              <w:rPr>
                <w:szCs w:val="18"/>
              </w:rPr>
            </w:pPr>
            <w:r w:rsidRPr="0018386D">
              <w:rPr>
                <w:szCs w:val="18"/>
              </w:rPr>
              <w:t>litre</w:t>
            </w:r>
          </w:p>
        </w:tc>
        <w:tc>
          <w:tcPr>
            <w:tcW w:w="4110" w:type="dxa"/>
          </w:tcPr>
          <w:p w14:paraId="650920B3" w14:textId="3316A1CD" w:rsidR="0081014F" w:rsidRPr="0018386D" w:rsidRDefault="00DB09CA" w:rsidP="00DD3106">
            <w:pPr>
              <w:pStyle w:val="TableText"/>
              <w:spacing w:before="30" w:after="30"/>
              <w:jc w:val="right"/>
              <w:rPr>
                <w:szCs w:val="18"/>
              </w:rPr>
            </w:pPr>
            <w:r w:rsidRPr="0018386D">
              <w:rPr>
                <w:szCs w:val="18"/>
              </w:rPr>
              <w:t>3.801</w:t>
            </w:r>
          </w:p>
        </w:tc>
      </w:tr>
      <w:tr w:rsidR="00AA5E3E" w:rsidRPr="0018386D" w14:paraId="650920B7" w14:textId="77777777" w:rsidTr="002E5C67">
        <w:tc>
          <w:tcPr>
            <w:tcW w:w="3402" w:type="dxa"/>
          </w:tcPr>
          <w:p w14:paraId="650920B5" w14:textId="6A41D1D7" w:rsidR="0081014F" w:rsidRPr="0018386D" w:rsidRDefault="0081014F" w:rsidP="00DD3106">
            <w:pPr>
              <w:pStyle w:val="TableText"/>
              <w:spacing w:before="30" w:after="30"/>
              <w:rPr>
                <w:szCs w:val="18"/>
              </w:rPr>
            </w:pPr>
            <w:r w:rsidRPr="0018386D">
              <w:rPr>
                <w:szCs w:val="18"/>
              </w:rPr>
              <w:t>Diesel plug-in hybrid (electricity)</w:t>
            </w:r>
          </w:p>
        </w:tc>
        <w:tc>
          <w:tcPr>
            <w:tcW w:w="993" w:type="dxa"/>
          </w:tcPr>
          <w:p w14:paraId="097FAFAE" w14:textId="10F56E60" w:rsidR="0081014F" w:rsidRPr="0018386D" w:rsidRDefault="00296B4C" w:rsidP="00DD3106">
            <w:pPr>
              <w:pStyle w:val="TableText"/>
              <w:spacing w:before="30" w:after="30"/>
              <w:rPr>
                <w:szCs w:val="18"/>
              </w:rPr>
            </w:pPr>
            <w:r w:rsidRPr="0018386D">
              <w:rPr>
                <w:szCs w:val="18"/>
              </w:rPr>
              <w:t>kWh</w:t>
            </w:r>
          </w:p>
        </w:tc>
        <w:tc>
          <w:tcPr>
            <w:tcW w:w="4110" w:type="dxa"/>
          </w:tcPr>
          <w:p w14:paraId="650920B6" w14:textId="462A2223" w:rsidR="0081014F" w:rsidRPr="0018386D" w:rsidRDefault="00742FDE" w:rsidP="00DD3106">
            <w:pPr>
              <w:pStyle w:val="TableText"/>
              <w:spacing w:before="30" w:after="30"/>
              <w:jc w:val="right"/>
              <w:rPr>
                <w:szCs w:val="18"/>
              </w:rPr>
            </w:pPr>
            <w:r w:rsidRPr="0018386D">
              <w:rPr>
                <w:szCs w:val="18"/>
              </w:rPr>
              <w:t>10.904</w:t>
            </w:r>
          </w:p>
        </w:tc>
      </w:tr>
      <w:tr w:rsidR="00AA5E3E" w:rsidRPr="0018386D" w14:paraId="650920BA" w14:textId="77777777" w:rsidTr="002E5C67">
        <w:tc>
          <w:tcPr>
            <w:tcW w:w="3402" w:type="dxa"/>
          </w:tcPr>
          <w:p w14:paraId="650920B8" w14:textId="7A1C0F80" w:rsidR="0081014F" w:rsidRPr="0018386D" w:rsidRDefault="0081014F" w:rsidP="00DD3106">
            <w:pPr>
              <w:pStyle w:val="TableText"/>
              <w:spacing w:before="30" w:after="30"/>
              <w:rPr>
                <w:szCs w:val="18"/>
              </w:rPr>
            </w:pPr>
            <w:r w:rsidRPr="0018386D">
              <w:rPr>
                <w:szCs w:val="18"/>
              </w:rPr>
              <w:t>Electric</w:t>
            </w:r>
          </w:p>
        </w:tc>
        <w:tc>
          <w:tcPr>
            <w:tcW w:w="993" w:type="dxa"/>
          </w:tcPr>
          <w:p w14:paraId="07226370" w14:textId="59E92E38" w:rsidR="0081014F" w:rsidRPr="0018386D" w:rsidRDefault="0081014F" w:rsidP="00DD3106">
            <w:pPr>
              <w:pStyle w:val="TableText"/>
              <w:spacing w:before="30" w:after="30"/>
              <w:rPr>
                <w:szCs w:val="18"/>
              </w:rPr>
            </w:pPr>
            <w:r w:rsidRPr="0018386D">
              <w:rPr>
                <w:szCs w:val="18"/>
              </w:rPr>
              <w:t>kWh</w:t>
            </w:r>
          </w:p>
        </w:tc>
        <w:tc>
          <w:tcPr>
            <w:tcW w:w="4110" w:type="dxa"/>
          </w:tcPr>
          <w:p w14:paraId="650920B9" w14:textId="4894E83E" w:rsidR="0081014F" w:rsidRPr="0018386D" w:rsidRDefault="00214D79" w:rsidP="00DD3106">
            <w:pPr>
              <w:pStyle w:val="TableText"/>
              <w:spacing w:before="30" w:after="30"/>
              <w:jc w:val="right"/>
              <w:rPr>
                <w:szCs w:val="18"/>
              </w:rPr>
            </w:pPr>
            <w:r w:rsidRPr="0018386D">
              <w:rPr>
                <w:szCs w:val="18"/>
              </w:rPr>
              <w:t>22.792</w:t>
            </w:r>
          </w:p>
        </w:tc>
      </w:tr>
    </w:tbl>
    <w:p w14:paraId="10345399" w14:textId="341C04E9" w:rsidR="007B2207" w:rsidRPr="0018386D" w:rsidRDefault="007B2207" w:rsidP="00DD3106">
      <w:pPr>
        <w:pStyle w:val="Note"/>
        <w:jc w:val="both"/>
      </w:pPr>
      <w:r w:rsidRPr="0018386D">
        <w:rPr>
          <w:b/>
          <w:bCs/>
        </w:rPr>
        <w:t>Note:</w:t>
      </w:r>
      <w:r w:rsidRPr="0018386D">
        <w:t xml:space="preserve"> These numbers are rounded to three decimal places unless the number is significantly small. </w:t>
      </w:r>
    </w:p>
    <w:p w14:paraId="3024066E" w14:textId="1B93E0A9" w:rsidR="00D12A25" w:rsidRPr="0018386D" w:rsidRDefault="005C3ED0" w:rsidP="00DD3106">
      <w:pPr>
        <w:pStyle w:val="BodyText"/>
      </w:pPr>
      <w:r w:rsidRPr="0018386D">
        <w:t xml:space="preserve">The default emission factor for rental cars is the same as for vehicles in the </w:t>
      </w:r>
      <w:r w:rsidR="00313C9A" w:rsidRPr="0018386D">
        <w:t>p</w:t>
      </w:r>
      <w:r w:rsidR="006D17BF" w:rsidRPr="0018386D">
        <w:t xml:space="preserve">ost-2015 </w:t>
      </w:r>
      <w:r w:rsidR="002E5C67" w:rsidRPr="0018386D">
        <w:br/>
      </w:r>
      <w:r w:rsidRPr="0018386D">
        <w:t>1600–2000 cc category.</w:t>
      </w:r>
    </w:p>
    <w:p w14:paraId="650920BC" w14:textId="0BAD085E" w:rsidR="00E61463" w:rsidRPr="0018386D" w:rsidRDefault="4D8FF3D4" w:rsidP="00DD3106">
      <w:pPr>
        <w:pStyle w:val="Heading3"/>
        <w:numPr>
          <w:ilvl w:val="2"/>
          <w:numId w:val="8"/>
        </w:numPr>
        <w:spacing w:before="320"/>
        <w:jc w:val="both"/>
      </w:pPr>
      <w:bookmarkStart w:id="443" w:name="_Toc532904898"/>
      <w:r w:rsidRPr="0018386D">
        <w:lastRenderedPageBreak/>
        <w:t xml:space="preserve">Assumptions, </w:t>
      </w:r>
      <w:proofErr w:type="gramStart"/>
      <w:r w:rsidRPr="0018386D">
        <w:t>limitations</w:t>
      </w:r>
      <w:proofErr w:type="gramEnd"/>
      <w:r w:rsidRPr="0018386D">
        <w:t xml:space="preserve"> and uncertainties</w:t>
      </w:r>
      <w:bookmarkEnd w:id="443"/>
    </w:p>
    <w:p w14:paraId="650920BE" w14:textId="17B4D8D7" w:rsidR="002A6897" w:rsidRPr="0018386D" w:rsidRDefault="00E72063" w:rsidP="00DD3106">
      <w:pPr>
        <w:pStyle w:val="BodyText"/>
      </w:pPr>
      <w:r w:rsidRPr="0018386D">
        <w:t>E</w:t>
      </w:r>
      <w:r w:rsidR="00BB0FF5" w:rsidRPr="0018386D">
        <w:t xml:space="preserve">mission factors from fuel </w:t>
      </w:r>
      <w:r w:rsidRPr="0018386D">
        <w:t xml:space="preserve">are </w:t>
      </w:r>
      <w:r w:rsidR="00BB0FF5" w:rsidRPr="0018386D">
        <w:t>multiplied by real</w:t>
      </w:r>
      <w:r w:rsidR="003E3E96" w:rsidRPr="0018386D">
        <w:t>-</w:t>
      </w:r>
      <w:r w:rsidR="00BB0FF5" w:rsidRPr="0018386D">
        <w:t xml:space="preserve">world consumption rates for vehicles </w:t>
      </w:r>
      <w:r w:rsidR="00EC3183" w:rsidRPr="0018386D">
        <w:t xml:space="preserve">with </w:t>
      </w:r>
      <w:r w:rsidR="00BB0FF5" w:rsidRPr="0018386D">
        <w:t xml:space="preserve">different engine sizes. </w:t>
      </w:r>
      <w:r w:rsidRPr="0018386D">
        <w:t>The uncertainties embodied in these figures carr</w:t>
      </w:r>
      <w:r w:rsidR="00047BDB" w:rsidRPr="0018386D">
        <w:t>y</w:t>
      </w:r>
      <w:r w:rsidRPr="0018386D">
        <w:t xml:space="preserve"> through to the emission factors.</w:t>
      </w:r>
      <w:r w:rsidR="005C3ED0" w:rsidRPr="0018386D">
        <w:t xml:space="preserve"> </w:t>
      </w:r>
      <w:r w:rsidR="002A6897" w:rsidRPr="0018386D">
        <w:t>For petrol vehicles</w:t>
      </w:r>
      <w:r w:rsidR="003E3E96" w:rsidRPr="0018386D">
        <w:t>,</w:t>
      </w:r>
      <w:r w:rsidR="002A6897" w:rsidRPr="0018386D">
        <w:t xml:space="preserve"> </w:t>
      </w:r>
      <w:r w:rsidR="00FB3A5F" w:rsidRPr="0018386D">
        <w:t xml:space="preserve">we multiplied </w:t>
      </w:r>
      <w:r w:rsidR="002A6897" w:rsidRPr="0018386D">
        <w:t>the real</w:t>
      </w:r>
      <w:r w:rsidR="003E3E96" w:rsidRPr="0018386D">
        <w:t>-</w:t>
      </w:r>
      <w:r w:rsidR="002A6897" w:rsidRPr="0018386D">
        <w:t xml:space="preserve">world consumption by </w:t>
      </w:r>
      <w:r w:rsidR="00294FE7" w:rsidRPr="0018386D">
        <w:t>‘</w:t>
      </w:r>
      <w:r w:rsidR="002A6897" w:rsidRPr="0018386D">
        <w:t>regular petrol</w:t>
      </w:r>
      <w:r w:rsidR="00294FE7" w:rsidRPr="0018386D">
        <w:t>’</w:t>
      </w:r>
      <w:r w:rsidR="007D1DA6" w:rsidRPr="0018386D">
        <w:t xml:space="preserve"> emission factors from the fuel emission source category</w:t>
      </w:r>
      <w:r w:rsidR="002A6897" w:rsidRPr="0018386D">
        <w:t>. This may over</w:t>
      </w:r>
      <w:r w:rsidR="003E3E96" w:rsidRPr="0018386D">
        <w:t>e</w:t>
      </w:r>
      <w:r w:rsidR="002A6897" w:rsidRPr="0018386D">
        <w:t>stimate emissions for some and underestimate emissions for others.</w:t>
      </w:r>
    </w:p>
    <w:p w14:paraId="37359D3B" w14:textId="0952C844" w:rsidR="00440287" w:rsidRPr="0018386D" w:rsidRDefault="00EF5AA1" w:rsidP="00DD3106">
      <w:pPr>
        <w:pStyle w:val="BodyText"/>
      </w:pPr>
      <w:r w:rsidRPr="0018386D">
        <w:t>A</w:t>
      </w:r>
      <w:r w:rsidR="00D91257" w:rsidRPr="0018386D">
        <w:t xml:space="preserve">ccording to </w:t>
      </w:r>
      <w:proofErr w:type="spellStart"/>
      <w:r w:rsidR="00D91257" w:rsidRPr="0018386D">
        <w:t>MoT</w:t>
      </w:r>
      <w:proofErr w:type="spellEnd"/>
      <w:r w:rsidR="00D91257" w:rsidRPr="0018386D">
        <w:rPr>
          <w:rStyle w:val="FootnoteReference"/>
          <w:rFonts w:eastAsia="Times New Roman" w:cs="Times New Roman"/>
        </w:rPr>
        <w:footnoteReference w:id="29"/>
      </w:r>
      <w:r w:rsidR="00D91257" w:rsidRPr="0018386D">
        <w:t xml:space="preserve"> the most common size of light passenger vehicle is 2281 cc, which puts it in the 2000–3000 cc category.</w:t>
      </w:r>
      <w:r w:rsidR="00440287" w:rsidRPr="0018386D">
        <w:t xml:space="preserve"> Therefore, the default emission factors (for vehicles of unknown engine size) are the same as </w:t>
      </w:r>
      <w:r w:rsidR="00313C9A" w:rsidRPr="0018386D">
        <w:t>for</w:t>
      </w:r>
      <w:r w:rsidR="00440287" w:rsidRPr="0018386D">
        <w:t xml:space="preserve"> a &lt;3000 cc vehicle.</w:t>
      </w:r>
    </w:p>
    <w:p w14:paraId="73D763FC" w14:textId="3B561B58" w:rsidR="007D1DA6" w:rsidRPr="0018386D" w:rsidRDefault="00F76EF8" w:rsidP="00DD3106">
      <w:pPr>
        <w:pStyle w:val="BodyText"/>
      </w:pPr>
      <w:r w:rsidRPr="0018386D">
        <w:t xml:space="preserve">The </w:t>
      </w:r>
      <w:r w:rsidR="00A379D9" w:rsidRPr="0018386D">
        <w:t xml:space="preserve">Vehicle </w:t>
      </w:r>
      <w:r w:rsidR="008224AA" w:rsidRPr="0018386D">
        <w:t>Fleet Emissions</w:t>
      </w:r>
      <w:r w:rsidR="00A379D9" w:rsidRPr="0018386D">
        <w:t xml:space="preserve"> </w:t>
      </w:r>
      <w:r w:rsidR="00927734" w:rsidRPr="0018386D">
        <w:t>M</w:t>
      </w:r>
      <w:r w:rsidR="00AE25FC" w:rsidRPr="0018386D">
        <w:t>odel</w:t>
      </w:r>
      <w:r w:rsidR="003F4E0F" w:rsidRPr="0018386D">
        <w:t xml:space="preserve"> </w:t>
      </w:r>
      <w:r w:rsidR="001409D4" w:rsidRPr="0018386D">
        <w:t>contains uncertainties a</w:t>
      </w:r>
      <w:r w:rsidR="00313C9A" w:rsidRPr="0018386D">
        <w:t>bout</w:t>
      </w:r>
      <w:r w:rsidR="001409D4" w:rsidRPr="0018386D">
        <w:t xml:space="preserve"> the </w:t>
      </w:r>
      <w:r w:rsidR="00D77847" w:rsidRPr="0018386D">
        <w:t>fuel</w:t>
      </w:r>
      <w:r w:rsidR="00CB5E01" w:rsidRPr="0018386D">
        <w:t xml:space="preserve"> consumption </w:t>
      </w:r>
      <w:r w:rsidR="001409D4" w:rsidRPr="0018386D">
        <w:t>figures provided.</w:t>
      </w:r>
      <w:r w:rsidR="007D1DA6" w:rsidRPr="0018386D">
        <w:t xml:space="preserve"> Emission factors represent the average fuel consumption of vehicles operating in the real world under different driving condition</w:t>
      </w:r>
      <w:r w:rsidR="007A3654" w:rsidRPr="0018386D">
        <w:t>s,</w:t>
      </w:r>
      <w:r w:rsidR="007D1DA6" w:rsidRPr="0018386D">
        <w:t xml:space="preserve"> across all vehicle types in that classification.</w:t>
      </w:r>
    </w:p>
    <w:p w14:paraId="650920C3" w14:textId="2E04CBF4" w:rsidR="00D62905" w:rsidRPr="0018386D" w:rsidRDefault="00F76EF8" w:rsidP="00DD3106">
      <w:pPr>
        <w:pStyle w:val="BodyText"/>
      </w:pPr>
      <w:r w:rsidRPr="0018386D">
        <w:t>We</w:t>
      </w:r>
      <w:r w:rsidR="00D62905" w:rsidRPr="0018386D">
        <w:t xml:space="preserve"> assume there are no electric cars or hybrids in the </w:t>
      </w:r>
      <w:r w:rsidR="00153912" w:rsidRPr="0018386D">
        <w:t>pre-2010</w:t>
      </w:r>
      <w:r w:rsidR="00D62905" w:rsidRPr="0018386D">
        <w:t xml:space="preserve"> fleet.</w:t>
      </w:r>
    </w:p>
    <w:p w14:paraId="64B8A9F0" w14:textId="4D83502F" w:rsidR="009663F3" w:rsidRPr="0018386D" w:rsidRDefault="009663F3" w:rsidP="00DD3106">
      <w:pPr>
        <w:pStyle w:val="Heading2"/>
        <w:numPr>
          <w:ilvl w:val="1"/>
          <w:numId w:val="8"/>
        </w:numPr>
        <w:jc w:val="both"/>
      </w:pPr>
      <w:bookmarkStart w:id="444" w:name="_Toc140048913"/>
      <w:bookmarkStart w:id="445" w:name="_Hlk136602839"/>
      <w:bookmarkStart w:id="446" w:name="_Toc532904899"/>
      <w:bookmarkStart w:id="447" w:name="_Toc600584"/>
      <w:r w:rsidRPr="0018386D">
        <w:t>Public transport passenger</w:t>
      </w:r>
      <w:r w:rsidR="00925AC4" w:rsidRPr="0018386D">
        <w:t xml:space="preserve"> travel</w:t>
      </w:r>
      <w:bookmarkEnd w:id="444"/>
    </w:p>
    <w:bookmarkEnd w:id="445"/>
    <w:p w14:paraId="650E17E0" w14:textId="767693DF" w:rsidR="00D7550A" w:rsidRPr="0018386D" w:rsidRDefault="00FA3BD3" w:rsidP="00DD3106">
      <w:pPr>
        <w:pStyle w:val="BodyText"/>
      </w:pPr>
      <w:r w:rsidRPr="0018386D">
        <w:t>The</w:t>
      </w:r>
      <w:r w:rsidR="00F06E17" w:rsidRPr="0018386D">
        <w:t xml:space="preserve"> </w:t>
      </w:r>
      <w:r w:rsidR="0078070A" w:rsidRPr="0018386D">
        <w:t>emission</w:t>
      </w:r>
      <w:r w:rsidR="00F06E17" w:rsidRPr="0018386D">
        <w:t xml:space="preserve"> factors</w:t>
      </w:r>
      <w:r w:rsidR="0078070A" w:rsidRPr="0018386D">
        <w:t xml:space="preserve"> </w:t>
      </w:r>
      <w:r w:rsidR="00F06E17" w:rsidRPr="0018386D">
        <w:t>for</w:t>
      </w:r>
      <w:r w:rsidR="0078070A" w:rsidRPr="0018386D">
        <w:t xml:space="preserve"> public</w:t>
      </w:r>
      <w:r w:rsidR="00480307" w:rsidRPr="0018386D">
        <w:t xml:space="preserve"> transp</w:t>
      </w:r>
      <w:r w:rsidR="00820563" w:rsidRPr="0018386D">
        <w:t>ort for passenger travel on buses and trains</w:t>
      </w:r>
      <w:r w:rsidRPr="0018386D">
        <w:t xml:space="preserve"> </w:t>
      </w:r>
      <w:r w:rsidR="000A73E3" w:rsidRPr="0018386D">
        <w:t>were not updated this year</w:t>
      </w:r>
      <w:r w:rsidR="00606B33" w:rsidRPr="0018386D">
        <w:t>,</w:t>
      </w:r>
      <w:r w:rsidR="00CD1EFA" w:rsidRPr="0018386D">
        <w:t xml:space="preserve"> </w:t>
      </w:r>
      <w:r w:rsidR="00313C9A" w:rsidRPr="0018386D">
        <w:t>as</w:t>
      </w:r>
      <w:r w:rsidR="00CD1EFA" w:rsidRPr="0018386D">
        <w:t xml:space="preserve"> no </w:t>
      </w:r>
      <w:r w:rsidR="00606B33" w:rsidRPr="0018386D">
        <w:t>new</w:t>
      </w:r>
      <w:r w:rsidR="00CD1EFA" w:rsidRPr="0018386D">
        <w:t xml:space="preserve"> datasets</w:t>
      </w:r>
      <w:r w:rsidR="00606B33" w:rsidRPr="0018386D">
        <w:t xml:space="preserve"> </w:t>
      </w:r>
      <w:r w:rsidR="00313C9A" w:rsidRPr="0018386D">
        <w:t xml:space="preserve">were </w:t>
      </w:r>
      <w:r w:rsidR="00606B33" w:rsidRPr="0018386D">
        <w:t>available</w:t>
      </w:r>
      <w:r w:rsidR="00820563" w:rsidRPr="0018386D">
        <w:t xml:space="preserve">. </w:t>
      </w:r>
      <w:r w:rsidR="006D4D78" w:rsidRPr="0018386D">
        <w:t>The unit used for these emission source</w:t>
      </w:r>
      <w:r w:rsidR="002406D1" w:rsidRPr="0018386D">
        <w:t>s</w:t>
      </w:r>
      <w:r w:rsidR="006D4D78" w:rsidRPr="0018386D">
        <w:t xml:space="preserve"> are passenger kilometres (</w:t>
      </w:r>
      <w:proofErr w:type="spellStart"/>
      <w:r w:rsidR="006D4D78" w:rsidRPr="0018386D">
        <w:t>pkm</w:t>
      </w:r>
      <w:proofErr w:type="spellEnd"/>
      <w:r w:rsidR="006D4D78" w:rsidRPr="0018386D">
        <w:t>).</w:t>
      </w:r>
    </w:p>
    <w:p w14:paraId="2AB4FFC6" w14:textId="5CE038DA" w:rsidR="00A60118" w:rsidRPr="0018386D" w:rsidRDefault="00A60118" w:rsidP="00DD3106">
      <w:pPr>
        <w:pStyle w:val="BodyText"/>
      </w:pPr>
      <w:r w:rsidRPr="0018386D">
        <w:t xml:space="preserve">Data </w:t>
      </w:r>
      <w:r w:rsidR="00BE260A" w:rsidRPr="0018386D">
        <w:t>was sourced from NZTA</w:t>
      </w:r>
      <w:r w:rsidR="00254CC8" w:rsidRPr="0018386D">
        <w:t xml:space="preserve"> and </w:t>
      </w:r>
      <w:r w:rsidR="005F20CD" w:rsidRPr="0018386D">
        <w:t>Kiwi</w:t>
      </w:r>
      <w:r w:rsidR="00313C9A" w:rsidRPr="0018386D">
        <w:t>R</w:t>
      </w:r>
      <w:r w:rsidR="005F20CD" w:rsidRPr="0018386D">
        <w:t>ail</w:t>
      </w:r>
      <w:r w:rsidR="00BE260A" w:rsidRPr="0018386D">
        <w:t xml:space="preserve"> for the 202</w:t>
      </w:r>
      <w:r w:rsidR="002B2290" w:rsidRPr="0018386D">
        <w:t>0</w:t>
      </w:r>
      <w:r w:rsidR="00BE260A" w:rsidRPr="0018386D">
        <w:t xml:space="preserve"> calendar year.</w:t>
      </w:r>
    </w:p>
    <w:p w14:paraId="24042362" w14:textId="0492A361" w:rsidR="008E2ED2" w:rsidRPr="0018386D" w:rsidRDefault="004837A7" w:rsidP="00DD3106">
      <w:pPr>
        <w:pStyle w:val="Tableheading"/>
      </w:pPr>
      <w:bookmarkStart w:id="448" w:name="_Ref54789939"/>
      <w:bookmarkStart w:id="449" w:name="table27"/>
      <w:bookmarkStart w:id="450" w:name="_Toc111536632"/>
      <w:bookmarkStart w:id="451" w:name="_Toc140048967"/>
      <w:r w:rsidRPr="0018386D">
        <w:t xml:space="preserve">Table </w:t>
      </w:r>
      <w:r w:rsidRPr="0018386D">
        <w:fldChar w:fldCharType="begin"/>
      </w:r>
      <w:r w:rsidRPr="0018386D">
        <w:instrText>SEQ Table \* ARABIC</w:instrText>
      </w:r>
      <w:r w:rsidRPr="0018386D">
        <w:fldChar w:fldCharType="separate"/>
      </w:r>
      <w:r w:rsidR="003E141C" w:rsidRPr="0018386D">
        <w:t>27</w:t>
      </w:r>
      <w:r w:rsidRPr="0018386D">
        <w:fldChar w:fldCharType="end"/>
      </w:r>
      <w:bookmarkEnd w:id="448"/>
      <w:bookmarkEnd w:id="449"/>
      <w:r w:rsidRPr="0018386D">
        <w:t>:</w:t>
      </w:r>
      <w:r w:rsidR="00C504BE" w:rsidRPr="0018386D">
        <w:tab/>
      </w:r>
      <w:r w:rsidRPr="0018386D">
        <w:t>Emission factors for public transport</w:t>
      </w:r>
      <w:bookmarkStart w:id="452" w:name="_1746366811"/>
      <w:bookmarkStart w:id="453" w:name="_1745997842"/>
      <w:bookmarkStart w:id="454" w:name="_1746254065"/>
      <w:bookmarkStart w:id="455" w:name="_1747051261"/>
      <w:bookmarkEnd w:id="450"/>
      <w:bookmarkEnd w:id="451"/>
      <w:bookmarkEnd w:id="452"/>
      <w:bookmarkEnd w:id="453"/>
      <w:bookmarkEnd w:id="454"/>
      <w:bookmarkEnd w:id="455"/>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851"/>
        <w:gridCol w:w="1678"/>
        <w:gridCol w:w="575"/>
        <w:gridCol w:w="1264"/>
        <w:gridCol w:w="1379"/>
        <w:gridCol w:w="1379"/>
        <w:gridCol w:w="1379"/>
      </w:tblGrid>
      <w:tr w:rsidR="00CD3F6C" w:rsidRPr="0018386D" w14:paraId="03133406" w14:textId="77777777" w:rsidTr="00575E53">
        <w:trPr>
          <w:divId w:val="956133562"/>
        </w:trPr>
        <w:tc>
          <w:tcPr>
            <w:tcW w:w="851" w:type="dxa"/>
            <w:tcBorders>
              <w:bottom w:val="nil"/>
            </w:tcBorders>
            <w:shd w:val="clear" w:color="auto" w:fill="1B556B" w:themeFill="text2"/>
            <w:noWrap/>
            <w:vAlign w:val="bottom"/>
            <w:hideMark/>
          </w:tcPr>
          <w:p w14:paraId="48FB55EE" w14:textId="732315B1" w:rsidR="008E2ED2" w:rsidRPr="0018386D" w:rsidRDefault="008E2ED2" w:rsidP="00DD3106">
            <w:pPr>
              <w:pStyle w:val="TableTextbold"/>
              <w:spacing w:before="40" w:after="40"/>
              <w:rPr>
                <w:color w:val="FFFFFF" w:themeColor="background1"/>
              </w:rPr>
            </w:pPr>
            <w:r w:rsidRPr="0018386D">
              <w:rPr>
                <w:color w:val="FFFFFF" w:themeColor="background1"/>
              </w:rPr>
              <w:t>Emission source</w:t>
            </w:r>
          </w:p>
        </w:tc>
        <w:tc>
          <w:tcPr>
            <w:tcW w:w="1678" w:type="dxa"/>
            <w:shd w:val="clear" w:color="auto" w:fill="1B556B" w:themeFill="text2"/>
            <w:noWrap/>
            <w:vAlign w:val="bottom"/>
            <w:hideMark/>
          </w:tcPr>
          <w:p w14:paraId="6D1C5929" w14:textId="77777777" w:rsidR="008E2ED2" w:rsidRPr="0018386D" w:rsidRDefault="008E2ED2" w:rsidP="00DD3106">
            <w:pPr>
              <w:pStyle w:val="TableTextbold"/>
              <w:spacing w:before="40" w:after="40"/>
              <w:rPr>
                <w:color w:val="FFFFFF" w:themeColor="background1"/>
              </w:rPr>
            </w:pPr>
            <w:r w:rsidRPr="0018386D">
              <w:rPr>
                <w:color w:val="FFFFFF" w:themeColor="background1"/>
              </w:rPr>
              <w:t> </w:t>
            </w:r>
          </w:p>
        </w:tc>
        <w:tc>
          <w:tcPr>
            <w:tcW w:w="575" w:type="dxa"/>
            <w:shd w:val="clear" w:color="auto" w:fill="1B556B" w:themeFill="text2"/>
            <w:noWrap/>
            <w:vAlign w:val="bottom"/>
            <w:hideMark/>
          </w:tcPr>
          <w:p w14:paraId="73956198"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264" w:type="dxa"/>
            <w:shd w:val="clear" w:color="auto" w:fill="1B556B" w:themeFill="text2"/>
            <w:noWrap/>
            <w:vAlign w:val="bottom"/>
            <w:hideMark/>
          </w:tcPr>
          <w:p w14:paraId="44CDED0B" w14:textId="5C2B4AAF"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379" w:type="dxa"/>
            <w:shd w:val="clear" w:color="auto" w:fill="1B556B" w:themeFill="text2"/>
            <w:noWrap/>
            <w:vAlign w:val="bottom"/>
            <w:hideMark/>
          </w:tcPr>
          <w:p w14:paraId="2B0B9D55" w14:textId="327CB1EA" w:rsidR="008E2ED2" w:rsidRPr="0018386D" w:rsidRDefault="008E2ED2" w:rsidP="00DD3106">
            <w:pPr>
              <w:pStyle w:val="TableTextbold"/>
              <w:spacing w:before="40" w:after="40"/>
              <w:rPr>
                <w:color w:val="FFFFFF" w:themeColor="background1"/>
              </w:rPr>
            </w:pPr>
            <w:r w:rsidRPr="0018386D">
              <w:rPr>
                <w:color w:val="FFFFFF" w:themeColor="background1"/>
              </w:rPr>
              <w:t>CO₂ (kg CO₂ e/</w:t>
            </w:r>
            <w:r w:rsidR="002F65AC" w:rsidRPr="0018386D">
              <w:rPr>
                <w:color w:val="FFFFFF" w:themeColor="background1"/>
              </w:rPr>
              <w:t xml:space="preserve"> </w:t>
            </w:r>
            <w:r w:rsidRPr="0018386D">
              <w:rPr>
                <w:color w:val="FFFFFF" w:themeColor="background1"/>
              </w:rPr>
              <w:t>unit)</w:t>
            </w:r>
          </w:p>
        </w:tc>
        <w:tc>
          <w:tcPr>
            <w:tcW w:w="1379" w:type="dxa"/>
            <w:shd w:val="clear" w:color="auto" w:fill="1B556B" w:themeFill="text2"/>
            <w:noWrap/>
            <w:vAlign w:val="bottom"/>
            <w:hideMark/>
          </w:tcPr>
          <w:p w14:paraId="779F93A7" w14:textId="74C23F69" w:rsidR="008E2ED2" w:rsidRPr="0018386D" w:rsidRDefault="008E2ED2" w:rsidP="00DD3106">
            <w:pPr>
              <w:pStyle w:val="TableTextbold"/>
              <w:spacing w:before="40" w:after="40"/>
              <w:rPr>
                <w:color w:val="FFFFFF" w:themeColor="background1"/>
              </w:rPr>
            </w:pPr>
            <w:r w:rsidRPr="0018386D">
              <w:rPr>
                <w:color w:val="FFFFFF" w:themeColor="background1"/>
              </w:rPr>
              <w:t>CH₄ (kg CO₂-e/</w:t>
            </w:r>
            <w:r w:rsidR="002F65AC" w:rsidRPr="0018386D">
              <w:rPr>
                <w:color w:val="FFFFFF" w:themeColor="background1"/>
              </w:rPr>
              <w:t xml:space="preserve"> </w:t>
            </w:r>
            <w:r w:rsidRPr="0018386D">
              <w:rPr>
                <w:color w:val="FFFFFF" w:themeColor="background1"/>
              </w:rPr>
              <w:t>unit)</w:t>
            </w:r>
          </w:p>
        </w:tc>
        <w:tc>
          <w:tcPr>
            <w:tcW w:w="1379" w:type="dxa"/>
            <w:shd w:val="clear" w:color="auto" w:fill="1B556B" w:themeFill="text2"/>
            <w:noWrap/>
            <w:vAlign w:val="bottom"/>
            <w:hideMark/>
          </w:tcPr>
          <w:p w14:paraId="3FF05C56" w14:textId="5B07A471" w:rsidR="008E2ED2" w:rsidRPr="0018386D" w:rsidRDefault="008E2ED2" w:rsidP="00DD3106">
            <w:pPr>
              <w:pStyle w:val="TableTextbold"/>
              <w:spacing w:before="40" w:after="40"/>
              <w:rPr>
                <w:color w:val="FFFFFF" w:themeColor="background1"/>
              </w:rPr>
            </w:pPr>
            <w:r w:rsidRPr="0018386D">
              <w:rPr>
                <w:color w:val="FFFFFF" w:themeColor="background1"/>
              </w:rPr>
              <w:t>N₂O (kg CO₂-e/</w:t>
            </w:r>
            <w:r w:rsidR="002F65AC" w:rsidRPr="0018386D">
              <w:rPr>
                <w:color w:val="FFFFFF" w:themeColor="background1"/>
              </w:rPr>
              <w:t xml:space="preserve"> </w:t>
            </w:r>
            <w:r w:rsidRPr="0018386D">
              <w:rPr>
                <w:color w:val="FFFFFF" w:themeColor="background1"/>
              </w:rPr>
              <w:t>unit)</w:t>
            </w:r>
          </w:p>
        </w:tc>
      </w:tr>
      <w:tr w:rsidR="00CD3F6C" w:rsidRPr="0018386D" w14:paraId="12AB9D65" w14:textId="77777777" w:rsidTr="00575E53">
        <w:trPr>
          <w:divId w:val="956133562"/>
        </w:trPr>
        <w:tc>
          <w:tcPr>
            <w:tcW w:w="851" w:type="dxa"/>
            <w:tcBorders>
              <w:top w:val="nil"/>
              <w:bottom w:val="nil"/>
              <w:right w:val="single" w:sz="4" w:space="0" w:color="auto"/>
            </w:tcBorders>
            <w:shd w:val="clear" w:color="auto" w:fill="FFFFFF" w:themeFill="background1"/>
            <w:noWrap/>
            <w:hideMark/>
          </w:tcPr>
          <w:p w14:paraId="12BF896C" w14:textId="77777777" w:rsidR="008E2ED2" w:rsidRPr="0018386D" w:rsidRDefault="008E2ED2" w:rsidP="00DD3106">
            <w:pPr>
              <w:pStyle w:val="TableText"/>
              <w:spacing w:before="40" w:after="40"/>
            </w:pPr>
            <w:r w:rsidRPr="0018386D">
              <w:t>Bus</w:t>
            </w:r>
          </w:p>
        </w:tc>
        <w:tc>
          <w:tcPr>
            <w:tcW w:w="1678" w:type="dxa"/>
            <w:tcBorders>
              <w:left w:val="single" w:sz="4" w:space="0" w:color="auto"/>
            </w:tcBorders>
            <w:shd w:val="clear" w:color="auto" w:fill="FFFFFF" w:themeFill="background1"/>
            <w:noWrap/>
            <w:hideMark/>
          </w:tcPr>
          <w:p w14:paraId="5907B366" w14:textId="1C978DFB" w:rsidR="008E2ED2" w:rsidRPr="0018386D" w:rsidRDefault="008E2ED2" w:rsidP="00DD3106">
            <w:pPr>
              <w:pStyle w:val="TableText"/>
              <w:spacing w:before="40" w:after="40"/>
            </w:pPr>
            <w:r w:rsidRPr="0018386D">
              <w:t xml:space="preserve">National </w:t>
            </w:r>
            <w:r w:rsidR="00313C9A" w:rsidRPr="0018386D">
              <w:t>a</w:t>
            </w:r>
            <w:r w:rsidRPr="0018386D">
              <w:t xml:space="preserve">verage for </w:t>
            </w:r>
            <w:r w:rsidR="00313C9A" w:rsidRPr="0018386D">
              <w:t>b</w:t>
            </w:r>
            <w:r w:rsidRPr="0018386D">
              <w:t>us</w:t>
            </w:r>
          </w:p>
        </w:tc>
        <w:tc>
          <w:tcPr>
            <w:tcW w:w="575" w:type="dxa"/>
            <w:shd w:val="clear" w:color="auto" w:fill="FFFFFF" w:themeFill="background1"/>
            <w:noWrap/>
            <w:hideMark/>
          </w:tcPr>
          <w:p w14:paraId="177A459F" w14:textId="77777777" w:rsidR="008E2ED2" w:rsidRPr="0018386D" w:rsidRDefault="008E2ED2" w:rsidP="00DD3106">
            <w:pPr>
              <w:pStyle w:val="TableText"/>
              <w:spacing w:before="40" w:after="40"/>
            </w:pPr>
            <w:proofErr w:type="spellStart"/>
            <w:r w:rsidRPr="0018386D">
              <w:t>pkm</w:t>
            </w:r>
            <w:proofErr w:type="spellEnd"/>
          </w:p>
        </w:tc>
        <w:tc>
          <w:tcPr>
            <w:tcW w:w="1264" w:type="dxa"/>
            <w:shd w:val="clear" w:color="auto" w:fill="D2DDE1" w:themeFill="background2"/>
            <w:noWrap/>
            <w:hideMark/>
          </w:tcPr>
          <w:p w14:paraId="48CD9803" w14:textId="77777777" w:rsidR="008E2ED2" w:rsidRPr="0018386D" w:rsidRDefault="008E2ED2" w:rsidP="00DD3106">
            <w:pPr>
              <w:pStyle w:val="TableText"/>
              <w:spacing w:before="40" w:after="40"/>
            </w:pPr>
            <w:r w:rsidRPr="0018386D">
              <w:t>0.155</w:t>
            </w:r>
          </w:p>
        </w:tc>
        <w:tc>
          <w:tcPr>
            <w:tcW w:w="1379" w:type="dxa"/>
            <w:shd w:val="clear" w:color="auto" w:fill="FFFFFF" w:themeFill="background1"/>
            <w:noWrap/>
            <w:hideMark/>
          </w:tcPr>
          <w:p w14:paraId="124D8E39" w14:textId="77777777" w:rsidR="008E2ED2" w:rsidRPr="0018386D" w:rsidRDefault="008E2ED2" w:rsidP="00DD3106">
            <w:pPr>
              <w:pStyle w:val="TableText"/>
              <w:spacing w:before="40" w:after="40"/>
            </w:pPr>
            <w:r w:rsidRPr="0018386D">
              <w:t>0.153</w:t>
            </w:r>
          </w:p>
        </w:tc>
        <w:tc>
          <w:tcPr>
            <w:tcW w:w="1379" w:type="dxa"/>
            <w:shd w:val="clear" w:color="auto" w:fill="FFFFFF" w:themeFill="background1"/>
            <w:noWrap/>
            <w:hideMark/>
          </w:tcPr>
          <w:p w14:paraId="4455E019" w14:textId="1416EF51" w:rsidR="008E2ED2" w:rsidRPr="0018386D" w:rsidRDefault="008E2ED2" w:rsidP="00DD3106">
            <w:pPr>
              <w:pStyle w:val="TableText"/>
              <w:spacing w:before="40" w:after="40"/>
            </w:pPr>
            <w:r w:rsidRPr="0018386D">
              <w:t>0.0001</w:t>
            </w:r>
          </w:p>
        </w:tc>
        <w:tc>
          <w:tcPr>
            <w:tcW w:w="1379" w:type="dxa"/>
            <w:shd w:val="clear" w:color="auto" w:fill="FFFFFF" w:themeFill="background1"/>
            <w:noWrap/>
            <w:hideMark/>
          </w:tcPr>
          <w:p w14:paraId="2D82EC2F" w14:textId="29200C93" w:rsidR="008E2ED2" w:rsidRPr="0018386D" w:rsidRDefault="008E2ED2" w:rsidP="00DD3106">
            <w:pPr>
              <w:pStyle w:val="TableText"/>
              <w:spacing w:before="40" w:after="40"/>
            </w:pPr>
            <w:r w:rsidRPr="0018386D">
              <w:t>0.00213</w:t>
            </w:r>
          </w:p>
        </w:tc>
      </w:tr>
      <w:tr w:rsidR="00CD3F6C" w:rsidRPr="0018386D" w14:paraId="4A0C3717" w14:textId="77777777" w:rsidTr="00575E53">
        <w:trPr>
          <w:divId w:val="956133562"/>
        </w:trPr>
        <w:tc>
          <w:tcPr>
            <w:tcW w:w="851" w:type="dxa"/>
            <w:tcBorders>
              <w:top w:val="nil"/>
              <w:bottom w:val="nil"/>
              <w:right w:val="single" w:sz="4" w:space="0" w:color="auto"/>
            </w:tcBorders>
            <w:shd w:val="clear" w:color="auto" w:fill="FFFFFF" w:themeFill="background1"/>
            <w:noWrap/>
            <w:hideMark/>
          </w:tcPr>
          <w:p w14:paraId="5CC1E8C2" w14:textId="77777777" w:rsidR="008E2ED2" w:rsidRPr="0018386D" w:rsidRDefault="008E2ED2" w:rsidP="00DD3106">
            <w:pPr>
              <w:pStyle w:val="TableText"/>
              <w:spacing w:before="40" w:after="40"/>
            </w:pPr>
            <w:r w:rsidRPr="0018386D">
              <w:t> </w:t>
            </w:r>
          </w:p>
        </w:tc>
        <w:tc>
          <w:tcPr>
            <w:tcW w:w="1678" w:type="dxa"/>
            <w:tcBorders>
              <w:left w:val="single" w:sz="4" w:space="0" w:color="auto"/>
            </w:tcBorders>
            <w:shd w:val="clear" w:color="auto" w:fill="FFFFFF" w:themeFill="background1"/>
            <w:noWrap/>
            <w:hideMark/>
          </w:tcPr>
          <w:p w14:paraId="160B35BE" w14:textId="4D8F2377" w:rsidR="008E2ED2" w:rsidRPr="0018386D" w:rsidRDefault="008E2ED2" w:rsidP="00DD3106">
            <w:pPr>
              <w:pStyle w:val="TableText"/>
              <w:spacing w:before="40" w:after="40"/>
            </w:pPr>
            <w:r w:rsidRPr="0018386D">
              <w:t xml:space="preserve">Electric </w:t>
            </w:r>
          </w:p>
        </w:tc>
        <w:tc>
          <w:tcPr>
            <w:tcW w:w="575" w:type="dxa"/>
            <w:shd w:val="clear" w:color="auto" w:fill="FFFFFF" w:themeFill="background1"/>
            <w:noWrap/>
            <w:hideMark/>
          </w:tcPr>
          <w:p w14:paraId="471976A4" w14:textId="77777777" w:rsidR="008E2ED2" w:rsidRPr="0018386D" w:rsidRDefault="008E2ED2" w:rsidP="00DD3106">
            <w:pPr>
              <w:pStyle w:val="TableText"/>
              <w:spacing w:before="40" w:after="40"/>
            </w:pPr>
            <w:proofErr w:type="spellStart"/>
            <w:r w:rsidRPr="0018386D">
              <w:t>pkm</w:t>
            </w:r>
            <w:proofErr w:type="spellEnd"/>
          </w:p>
        </w:tc>
        <w:tc>
          <w:tcPr>
            <w:tcW w:w="1264" w:type="dxa"/>
            <w:shd w:val="clear" w:color="auto" w:fill="D2DDE1" w:themeFill="background2"/>
            <w:noWrap/>
            <w:hideMark/>
          </w:tcPr>
          <w:p w14:paraId="36E94965" w14:textId="3560180F" w:rsidR="008E2ED2" w:rsidRPr="0018386D" w:rsidRDefault="008E2ED2" w:rsidP="00DD3106">
            <w:pPr>
              <w:pStyle w:val="TableText"/>
              <w:spacing w:before="40" w:after="40"/>
            </w:pPr>
            <w:r w:rsidRPr="0018386D">
              <w:t>0.0124</w:t>
            </w:r>
          </w:p>
        </w:tc>
        <w:tc>
          <w:tcPr>
            <w:tcW w:w="1379" w:type="dxa"/>
            <w:shd w:val="clear" w:color="auto" w:fill="FFFFFF" w:themeFill="background1"/>
            <w:noWrap/>
            <w:hideMark/>
          </w:tcPr>
          <w:p w14:paraId="2EB17D09" w14:textId="4287D961" w:rsidR="008E2ED2" w:rsidRPr="0018386D" w:rsidRDefault="008E2ED2" w:rsidP="00DD3106">
            <w:pPr>
              <w:pStyle w:val="TableText"/>
              <w:spacing w:before="40" w:after="40"/>
            </w:pPr>
            <w:r w:rsidRPr="0018386D">
              <w:t>0.0120</w:t>
            </w:r>
          </w:p>
        </w:tc>
        <w:tc>
          <w:tcPr>
            <w:tcW w:w="1379" w:type="dxa"/>
            <w:shd w:val="clear" w:color="auto" w:fill="FFFFFF" w:themeFill="background1"/>
            <w:noWrap/>
            <w:hideMark/>
          </w:tcPr>
          <w:p w14:paraId="6A1697D6" w14:textId="2088ADE9" w:rsidR="008E2ED2" w:rsidRPr="0018386D" w:rsidRDefault="008E2ED2" w:rsidP="00DD3106">
            <w:pPr>
              <w:pStyle w:val="TableText"/>
              <w:spacing w:before="40" w:after="40"/>
            </w:pPr>
            <w:r w:rsidRPr="0018386D">
              <w:t>0.0004</w:t>
            </w:r>
          </w:p>
        </w:tc>
        <w:tc>
          <w:tcPr>
            <w:tcW w:w="1379" w:type="dxa"/>
            <w:shd w:val="clear" w:color="auto" w:fill="FFFFFF" w:themeFill="background1"/>
            <w:noWrap/>
            <w:hideMark/>
          </w:tcPr>
          <w:p w14:paraId="7FCBD736" w14:textId="77777777" w:rsidR="008E2ED2" w:rsidRPr="0018386D" w:rsidRDefault="008E2ED2" w:rsidP="00DD3106">
            <w:pPr>
              <w:pStyle w:val="TableText"/>
              <w:spacing w:before="40" w:after="40"/>
            </w:pPr>
            <w:r w:rsidRPr="0018386D">
              <w:t>0.00002</w:t>
            </w:r>
          </w:p>
        </w:tc>
      </w:tr>
      <w:tr w:rsidR="00CD3F6C" w:rsidRPr="0018386D" w14:paraId="5049150C" w14:textId="77777777" w:rsidTr="00575E53">
        <w:trPr>
          <w:divId w:val="956133562"/>
        </w:trPr>
        <w:tc>
          <w:tcPr>
            <w:tcW w:w="851" w:type="dxa"/>
            <w:tcBorders>
              <w:top w:val="nil"/>
              <w:bottom w:val="nil"/>
              <w:right w:val="single" w:sz="4" w:space="0" w:color="auto"/>
            </w:tcBorders>
            <w:shd w:val="clear" w:color="auto" w:fill="FFFFFF" w:themeFill="background1"/>
            <w:noWrap/>
            <w:hideMark/>
          </w:tcPr>
          <w:p w14:paraId="51AA4C97" w14:textId="77777777" w:rsidR="008E2ED2" w:rsidRPr="0018386D" w:rsidRDefault="008E2ED2" w:rsidP="00DD3106">
            <w:pPr>
              <w:pStyle w:val="TableText"/>
              <w:spacing w:before="40" w:after="40"/>
            </w:pPr>
            <w:r w:rsidRPr="0018386D">
              <w:t> </w:t>
            </w:r>
          </w:p>
        </w:tc>
        <w:tc>
          <w:tcPr>
            <w:tcW w:w="1678" w:type="dxa"/>
            <w:tcBorders>
              <w:left w:val="single" w:sz="4" w:space="0" w:color="auto"/>
            </w:tcBorders>
            <w:shd w:val="clear" w:color="auto" w:fill="FFFFFF" w:themeFill="background1"/>
            <w:noWrap/>
            <w:hideMark/>
          </w:tcPr>
          <w:p w14:paraId="0D491187" w14:textId="3684922C" w:rsidR="008E2ED2" w:rsidRPr="0018386D" w:rsidRDefault="008E2ED2" w:rsidP="00DD3106">
            <w:pPr>
              <w:pStyle w:val="TableText"/>
              <w:spacing w:before="40" w:after="40"/>
            </w:pPr>
            <w:r w:rsidRPr="0018386D">
              <w:t xml:space="preserve">Diesel </w:t>
            </w:r>
          </w:p>
        </w:tc>
        <w:tc>
          <w:tcPr>
            <w:tcW w:w="575" w:type="dxa"/>
            <w:shd w:val="clear" w:color="auto" w:fill="FFFFFF" w:themeFill="background1"/>
            <w:noWrap/>
            <w:hideMark/>
          </w:tcPr>
          <w:p w14:paraId="47322542" w14:textId="77777777" w:rsidR="008E2ED2" w:rsidRPr="0018386D" w:rsidRDefault="008E2ED2" w:rsidP="00DD3106">
            <w:pPr>
              <w:pStyle w:val="TableText"/>
              <w:spacing w:before="40" w:after="40"/>
            </w:pPr>
            <w:proofErr w:type="spellStart"/>
            <w:r w:rsidRPr="0018386D">
              <w:t>pkm</w:t>
            </w:r>
            <w:proofErr w:type="spellEnd"/>
          </w:p>
        </w:tc>
        <w:tc>
          <w:tcPr>
            <w:tcW w:w="1264" w:type="dxa"/>
            <w:shd w:val="clear" w:color="auto" w:fill="D2DDE1" w:themeFill="background2"/>
            <w:noWrap/>
            <w:hideMark/>
          </w:tcPr>
          <w:p w14:paraId="69CC3E2C" w14:textId="6C3449BE" w:rsidR="008E2ED2" w:rsidRPr="0018386D" w:rsidRDefault="008E2ED2" w:rsidP="00DD3106">
            <w:pPr>
              <w:pStyle w:val="TableText"/>
              <w:spacing w:before="40" w:after="40"/>
            </w:pPr>
            <w:r w:rsidRPr="0018386D">
              <w:t>0.0600</w:t>
            </w:r>
          </w:p>
        </w:tc>
        <w:tc>
          <w:tcPr>
            <w:tcW w:w="1379" w:type="dxa"/>
            <w:shd w:val="clear" w:color="auto" w:fill="FFFFFF" w:themeFill="background1"/>
            <w:noWrap/>
            <w:hideMark/>
          </w:tcPr>
          <w:p w14:paraId="5B7A1F16" w14:textId="2296BC4A" w:rsidR="008E2ED2" w:rsidRPr="0018386D" w:rsidRDefault="008E2ED2" w:rsidP="00DD3106">
            <w:pPr>
              <w:pStyle w:val="TableText"/>
              <w:spacing w:before="40" w:after="40"/>
            </w:pPr>
            <w:r w:rsidRPr="0018386D">
              <w:t>0.0600</w:t>
            </w:r>
          </w:p>
        </w:tc>
        <w:tc>
          <w:tcPr>
            <w:tcW w:w="1379" w:type="dxa"/>
            <w:shd w:val="clear" w:color="auto" w:fill="FFFFFF" w:themeFill="background1"/>
            <w:noWrap/>
            <w:hideMark/>
          </w:tcPr>
          <w:p w14:paraId="7707678E" w14:textId="77777777" w:rsidR="008E2ED2" w:rsidRPr="0018386D" w:rsidRDefault="008E2ED2" w:rsidP="00DD3106">
            <w:pPr>
              <w:pStyle w:val="TableText"/>
              <w:spacing w:before="40" w:after="40"/>
            </w:pPr>
            <w:r w:rsidRPr="0018386D">
              <w:t>0.00005</w:t>
            </w:r>
          </w:p>
        </w:tc>
        <w:tc>
          <w:tcPr>
            <w:tcW w:w="1379" w:type="dxa"/>
            <w:shd w:val="clear" w:color="auto" w:fill="FFFFFF" w:themeFill="background1"/>
            <w:noWrap/>
            <w:hideMark/>
          </w:tcPr>
          <w:p w14:paraId="721CA73F" w14:textId="1677AD65" w:rsidR="008E2ED2" w:rsidRPr="0018386D" w:rsidRDefault="008E2ED2" w:rsidP="00DD3106">
            <w:pPr>
              <w:pStyle w:val="TableText"/>
              <w:spacing w:before="40" w:after="40"/>
            </w:pPr>
            <w:r w:rsidRPr="0018386D">
              <w:t>0.0009</w:t>
            </w:r>
          </w:p>
        </w:tc>
      </w:tr>
      <w:tr w:rsidR="00CD3F6C" w:rsidRPr="0018386D" w14:paraId="0843C34D" w14:textId="77777777" w:rsidTr="00575E53">
        <w:trPr>
          <w:divId w:val="956133562"/>
        </w:trPr>
        <w:tc>
          <w:tcPr>
            <w:tcW w:w="851" w:type="dxa"/>
            <w:tcBorders>
              <w:top w:val="nil"/>
              <w:bottom w:val="single" w:sz="4" w:space="0" w:color="auto"/>
              <w:right w:val="single" w:sz="4" w:space="0" w:color="auto"/>
            </w:tcBorders>
            <w:shd w:val="clear" w:color="auto" w:fill="FFFFFF" w:themeFill="background1"/>
            <w:noWrap/>
            <w:hideMark/>
          </w:tcPr>
          <w:p w14:paraId="1EB93C43" w14:textId="77777777" w:rsidR="008E2ED2" w:rsidRPr="0018386D" w:rsidRDefault="008E2ED2" w:rsidP="00DD3106">
            <w:pPr>
              <w:pStyle w:val="TableText"/>
              <w:spacing w:before="40" w:after="40"/>
            </w:pPr>
            <w:r w:rsidRPr="0018386D">
              <w:t> </w:t>
            </w:r>
          </w:p>
        </w:tc>
        <w:tc>
          <w:tcPr>
            <w:tcW w:w="1678" w:type="dxa"/>
            <w:tcBorders>
              <w:left w:val="single" w:sz="4" w:space="0" w:color="auto"/>
            </w:tcBorders>
            <w:shd w:val="clear" w:color="auto" w:fill="FFFFFF" w:themeFill="background1"/>
            <w:noWrap/>
            <w:hideMark/>
          </w:tcPr>
          <w:p w14:paraId="43499415" w14:textId="0843BB4F" w:rsidR="008E2ED2" w:rsidRPr="0018386D" w:rsidRDefault="008E2ED2" w:rsidP="00DD3106">
            <w:pPr>
              <w:pStyle w:val="TableText"/>
              <w:spacing w:before="40" w:after="40"/>
            </w:pPr>
            <w:r w:rsidRPr="0018386D">
              <w:t xml:space="preserve">Average </w:t>
            </w:r>
            <w:r w:rsidR="00313C9A" w:rsidRPr="0018386D">
              <w:t>b</w:t>
            </w:r>
            <w:r w:rsidRPr="0018386D">
              <w:t>us</w:t>
            </w:r>
          </w:p>
        </w:tc>
        <w:tc>
          <w:tcPr>
            <w:tcW w:w="575" w:type="dxa"/>
            <w:shd w:val="clear" w:color="auto" w:fill="FFFFFF" w:themeFill="background1"/>
            <w:noWrap/>
            <w:hideMark/>
          </w:tcPr>
          <w:p w14:paraId="78C2B6E0" w14:textId="77777777" w:rsidR="008E2ED2" w:rsidRPr="0018386D" w:rsidRDefault="008E2ED2" w:rsidP="00DD3106">
            <w:pPr>
              <w:pStyle w:val="TableText"/>
              <w:spacing w:before="40" w:after="40"/>
            </w:pPr>
            <w:proofErr w:type="spellStart"/>
            <w:r w:rsidRPr="0018386D">
              <w:t>pkm</w:t>
            </w:r>
            <w:proofErr w:type="spellEnd"/>
          </w:p>
        </w:tc>
        <w:tc>
          <w:tcPr>
            <w:tcW w:w="1264" w:type="dxa"/>
            <w:shd w:val="clear" w:color="auto" w:fill="D2DDE1" w:themeFill="background2"/>
            <w:noWrap/>
            <w:hideMark/>
          </w:tcPr>
          <w:p w14:paraId="60EEB9FE" w14:textId="4FB8E794" w:rsidR="008E2ED2" w:rsidRPr="0018386D" w:rsidRDefault="008E2ED2" w:rsidP="00DD3106">
            <w:pPr>
              <w:pStyle w:val="TableText"/>
              <w:spacing w:before="40" w:after="40"/>
            </w:pPr>
            <w:r w:rsidRPr="0018386D">
              <w:t>0.036</w:t>
            </w:r>
            <w:r w:rsidR="00FF1B99" w:rsidRPr="0018386D">
              <w:t>3</w:t>
            </w:r>
          </w:p>
        </w:tc>
        <w:tc>
          <w:tcPr>
            <w:tcW w:w="1379" w:type="dxa"/>
            <w:shd w:val="clear" w:color="auto" w:fill="FFFFFF" w:themeFill="background1"/>
            <w:noWrap/>
            <w:hideMark/>
          </w:tcPr>
          <w:p w14:paraId="4162209C" w14:textId="213AAC78" w:rsidR="008E2ED2" w:rsidRPr="0018386D" w:rsidRDefault="008E2ED2" w:rsidP="00DD3106">
            <w:pPr>
              <w:pStyle w:val="TableText"/>
              <w:spacing w:before="40" w:after="40"/>
            </w:pPr>
            <w:r w:rsidRPr="0018386D">
              <w:t>0.0360</w:t>
            </w:r>
          </w:p>
        </w:tc>
        <w:tc>
          <w:tcPr>
            <w:tcW w:w="1379" w:type="dxa"/>
            <w:shd w:val="clear" w:color="auto" w:fill="FFFFFF" w:themeFill="background1"/>
            <w:noWrap/>
            <w:hideMark/>
          </w:tcPr>
          <w:p w14:paraId="6C89EA9E" w14:textId="125CC9B1" w:rsidR="008E2ED2" w:rsidRPr="0018386D" w:rsidRDefault="008E2ED2" w:rsidP="00DD3106">
            <w:pPr>
              <w:pStyle w:val="TableText"/>
              <w:spacing w:before="40" w:after="40"/>
            </w:pPr>
            <w:r w:rsidRPr="0018386D">
              <w:t>0.0001</w:t>
            </w:r>
          </w:p>
        </w:tc>
        <w:tc>
          <w:tcPr>
            <w:tcW w:w="1379" w:type="dxa"/>
            <w:shd w:val="clear" w:color="auto" w:fill="FFFFFF" w:themeFill="background1"/>
            <w:noWrap/>
            <w:hideMark/>
          </w:tcPr>
          <w:p w14:paraId="01FAA976" w14:textId="77777777" w:rsidR="008E2ED2" w:rsidRPr="0018386D" w:rsidRDefault="008E2ED2" w:rsidP="00DD3106">
            <w:pPr>
              <w:pStyle w:val="TableText"/>
              <w:spacing w:before="40" w:after="40"/>
            </w:pPr>
            <w:r w:rsidRPr="0018386D">
              <w:t>0.0001</w:t>
            </w:r>
          </w:p>
        </w:tc>
      </w:tr>
      <w:tr w:rsidR="00CD3F6C" w:rsidRPr="0018386D" w14:paraId="5F465480" w14:textId="77777777" w:rsidTr="00575E53">
        <w:trPr>
          <w:divId w:val="956133562"/>
        </w:trPr>
        <w:tc>
          <w:tcPr>
            <w:tcW w:w="851" w:type="dxa"/>
            <w:tcBorders>
              <w:top w:val="single" w:sz="4" w:space="0" w:color="auto"/>
              <w:bottom w:val="nil"/>
              <w:right w:val="single" w:sz="4" w:space="0" w:color="auto"/>
            </w:tcBorders>
            <w:shd w:val="clear" w:color="auto" w:fill="FFFFFF" w:themeFill="background1"/>
            <w:noWrap/>
            <w:hideMark/>
          </w:tcPr>
          <w:p w14:paraId="2AA813A1" w14:textId="77777777" w:rsidR="008E2ED2" w:rsidRPr="0018386D" w:rsidRDefault="008E2ED2" w:rsidP="00DD3106">
            <w:pPr>
              <w:pStyle w:val="TableText"/>
              <w:spacing w:before="40" w:after="40"/>
            </w:pPr>
            <w:r w:rsidRPr="0018386D">
              <w:t>Rail</w:t>
            </w:r>
          </w:p>
        </w:tc>
        <w:tc>
          <w:tcPr>
            <w:tcW w:w="1678" w:type="dxa"/>
            <w:tcBorders>
              <w:left w:val="single" w:sz="4" w:space="0" w:color="auto"/>
            </w:tcBorders>
            <w:shd w:val="clear" w:color="auto" w:fill="FFFFFF" w:themeFill="background1"/>
            <w:noWrap/>
            <w:hideMark/>
          </w:tcPr>
          <w:p w14:paraId="0D05C9DE" w14:textId="0CB24779" w:rsidR="008E2ED2" w:rsidRPr="0018386D" w:rsidRDefault="008E2ED2" w:rsidP="00DD3106">
            <w:pPr>
              <w:pStyle w:val="TableText"/>
              <w:spacing w:before="40" w:after="40"/>
            </w:pPr>
            <w:r w:rsidRPr="0018386D">
              <w:t xml:space="preserve">Metropolitan </w:t>
            </w:r>
            <w:r w:rsidR="00313C9A" w:rsidRPr="0018386D">
              <w:t>e</w:t>
            </w:r>
            <w:r w:rsidRPr="0018386D">
              <w:t>lectric</w:t>
            </w:r>
          </w:p>
        </w:tc>
        <w:tc>
          <w:tcPr>
            <w:tcW w:w="575" w:type="dxa"/>
            <w:shd w:val="clear" w:color="auto" w:fill="FFFFFF" w:themeFill="background1"/>
            <w:noWrap/>
            <w:hideMark/>
          </w:tcPr>
          <w:p w14:paraId="321E11B1" w14:textId="77777777" w:rsidR="008E2ED2" w:rsidRPr="0018386D" w:rsidRDefault="008E2ED2" w:rsidP="00DD3106">
            <w:pPr>
              <w:pStyle w:val="TableText"/>
              <w:spacing w:before="40" w:after="40"/>
            </w:pPr>
            <w:proofErr w:type="spellStart"/>
            <w:r w:rsidRPr="0018386D">
              <w:t>pkm</w:t>
            </w:r>
            <w:proofErr w:type="spellEnd"/>
          </w:p>
        </w:tc>
        <w:tc>
          <w:tcPr>
            <w:tcW w:w="1264" w:type="dxa"/>
            <w:shd w:val="clear" w:color="auto" w:fill="D2DDE1" w:themeFill="background2"/>
            <w:noWrap/>
            <w:hideMark/>
          </w:tcPr>
          <w:p w14:paraId="469992CC" w14:textId="1A5D36F8" w:rsidR="008E2ED2" w:rsidRPr="0018386D" w:rsidRDefault="008E2ED2" w:rsidP="00DD3106">
            <w:pPr>
              <w:pStyle w:val="TableText"/>
              <w:spacing w:before="40" w:after="40"/>
            </w:pPr>
            <w:r w:rsidRPr="0018386D">
              <w:t>0.0130</w:t>
            </w:r>
          </w:p>
        </w:tc>
        <w:tc>
          <w:tcPr>
            <w:tcW w:w="1379" w:type="dxa"/>
            <w:shd w:val="clear" w:color="auto" w:fill="FFFFFF" w:themeFill="background1"/>
            <w:noWrap/>
            <w:hideMark/>
          </w:tcPr>
          <w:p w14:paraId="0CA175FD" w14:textId="45634820" w:rsidR="008E2ED2" w:rsidRPr="0018386D" w:rsidRDefault="008E2ED2" w:rsidP="00DD3106">
            <w:pPr>
              <w:pStyle w:val="TableText"/>
              <w:spacing w:before="40" w:after="40"/>
            </w:pPr>
            <w:r w:rsidRPr="0018386D">
              <w:t>0.0130</w:t>
            </w:r>
          </w:p>
        </w:tc>
        <w:tc>
          <w:tcPr>
            <w:tcW w:w="1379" w:type="dxa"/>
            <w:shd w:val="clear" w:color="auto" w:fill="FFFFFF" w:themeFill="background1"/>
            <w:noWrap/>
            <w:hideMark/>
          </w:tcPr>
          <w:p w14:paraId="29382CD9" w14:textId="77777777" w:rsidR="008E2ED2" w:rsidRPr="0018386D" w:rsidRDefault="008E2ED2" w:rsidP="00DD3106">
            <w:pPr>
              <w:pStyle w:val="TableText"/>
              <w:spacing w:before="40" w:after="40"/>
            </w:pPr>
            <w:r w:rsidRPr="0018386D">
              <w:t>0.00001</w:t>
            </w:r>
          </w:p>
        </w:tc>
        <w:tc>
          <w:tcPr>
            <w:tcW w:w="1379" w:type="dxa"/>
            <w:shd w:val="clear" w:color="auto" w:fill="FFFFFF" w:themeFill="background1"/>
            <w:noWrap/>
            <w:hideMark/>
          </w:tcPr>
          <w:p w14:paraId="6B1D54AD" w14:textId="77777777" w:rsidR="008E2ED2" w:rsidRPr="0018386D" w:rsidRDefault="008E2ED2" w:rsidP="00DD3106">
            <w:pPr>
              <w:pStyle w:val="TableText"/>
              <w:spacing w:before="40" w:after="40"/>
            </w:pPr>
            <w:r w:rsidRPr="0018386D">
              <w:t>0.0000001</w:t>
            </w:r>
          </w:p>
        </w:tc>
      </w:tr>
      <w:tr w:rsidR="00CD3F6C" w:rsidRPr="0018386D" w14:paraId="7D1D2E78" w14:textId="77777777" w:rsidTr="00575E53">
        <w:trPr>
          <w:divId w:val="956133562"/>
        </w:trPr>
        <w:tc>
          <w:tcPr>
            <w:tcW w:w="851" w:type="dxa"/>
            <w:tcBorders>
              <w:top w:val="nil"/>
              <w:bottom w:val="nil"/>
              <w:right w:val="single" w:sz="4" w:space="0" w:color="auto"/>
            </w:tcBorders>
            <w:shd w:val="clear" w:color="auto" w:fill="FFFFFF" w:themeFill="background1"/>
            <w:noWrap/>
            <w:hideMark/>
          </w:tcPr>
          <w:p w14:paraId="2824A2D2" w14:textId="77777777" w:rsidR="008E2ED2" w:rsidRPr="0018386D" w:rsidRDefault="008E2ED2" w:rsidP="00DD3106">
            <w:pPr>
              <w:pStyle w:val="TableText"/>
              <w:spacing w:before="40" w:after="40"/>
            </w:pPr>
            <w:r w:rsidRPr="0018386D">
              <w:t> </w:t>
            </w:r>
          </w:p>
        </w:tc>
        <w:tc>
          <w:tcPr>
            <w:tcW w:w="1678" w:type="dxa"/>
            <w:tcBorders>
              <w:left w:val="single" w:sz="4" w:space="0" w:color="auto"/>
            </w:tcBorders>
            <w:shd w:val="clear" w:color="auto" w:fill="FFFFFF" w:themeFill="background1"/>
            <w:noWrap/>
            <w:hideMark/>
          </w:tcPr>
          <w:p w14:paraId="2087107B" w14:textId="0CD2CAFF" w:rsidR="008E2ED2" w:rsidRPr="0018386D" w:rsidRDefault="008E2ED2" w:rsidP="00DD3106">
            <w:pPr>
              <w:pStyle w:val="TableText"/>
              <w:spacing w:before="40" w:after="40"/>
            </w:pPr>
            <w:r w:rsidRPr="0018386D">
              <w:t xml:space="preserve">Metropolitan </w:t>
            </w:r>
            <w:r w:rsidR="00313C9A" w:rsidRPr="0018386D">
              <w:t>d</w:t>
            </w:r>
            <w:r w:rsidRPr="0018386D">
              <w:t>iesel</w:t>
            </w:r>
          </w:p>
        </w:tc>
        <w:tc>
          <w:tcPr>
            <w:tcW w:w="575" w:type="dxa"/>
            <w:shd w:val="clear" w:color="auto" w:fill="FFFFFF" w:themeFill="background1"/>
            <w:noWrap/>
            <w:hideMark/>
          </w:tcPr>
          <w:p w14:paraId="78900F61" w14:textId="77777777" w:rsidR="008E2ED2" w:rsidRPr="0018386D" w:rsidRDefault="008E2ED2" w:rsidP="00DD3106">
            <w:pPr>
              <w:pStyle w:val="TableText"/>
              <w:spacing w:before="40" w:after="40"/>
            </w:pPr>
            <w:proofErr w:type="spellStart"/>
            <w:r w:rsidRPr="0018386D">
              <w:t>pkm</w:t>
            </w:r>
            <w:proofErr w:type="spellEnd"/>
          </w:p>
        </w:tc>
        <w:tc>
          <w:tcPr>
            <w:tcW w:w="1264" w:type="dxa"/>
            <w:shd w:val="clear" w:color="auto" w:fill="D2DDE1" w:themeFill="background2"/>
            <w:noWrap/>
            <w:hideMark/>
          </w:tcPr>
          <w:p w14:paraId="49AAEE21" w14:textId="470EE03C" w:rsidR="008E2ED2" w:rsidRPr="0018386D" w:rsidRDefault="008E2ED2" w:rsidP="00DD3106">
            <w:pPr>
              <w:pStyle w:val="TableText"/>
              <w:spacing w:before="40" w:after="40"/>
            </w:pPr>
            <w:r w:rsidRPr="0018386D">
              <w:t>0.0460</w:t>
            </w:r>
          </w:p>
        </w:tc>
        <w:tc>
          <w:tcPr>
            <w:tcW w:w="1379" w:type="dxa"/>
            <w:shd w:val="clear" w:color="auto" w:fill="FFFFFF" w:themeFill="background1"/>
            <w:noWrap/>
            <w:hideMark/>
          </w:tcPr>
          <w:p w14:paraId="3D7E456D" w14:textId="56C66DA9" w:rsidR="008E2ED2" w:rsidRPr="0018386D" w:rsidRDefault="008E2ED2" w:rsidP="00DD3106">
            <w:pPr>
              <w:pStyle w:val="TableText"/>
              <w:spacing w:before="40" w:after="40"/>
            </w:pPr>
            <w:r w:rsidRPr="0018386D">
              <w:t>0.0450</w:t>
            </w:r>
          </w:p>
        </w:tc>
        <w:tc>
          <w:tcPr>
            <w:tcW w:w="1379" w:type="dxa"/>
            <w:shd w:val="clear" w:color="auto" w:fill="FFFFFF" w:themeFill="background1"/>
            <w:noWrap/>
            <w:hideMark/>
          </w:tcPr>
          <w:p w14:paraId="303A2D7B" w14:textId="77777777" w:rsidR="008E2ED2" w:rsidRPr="0018386D" w:rsidRDefault="008E2ED2" w:rsidP="00DD3106">
            <w:pPr>
              <w:pStyle w:val="TableText"/>
              <w:spacing w:before="40" w:after="40"/>
            </w:pPr>
            <w:r w:rsidRPr="0018386D">
              <w:t>0.00006</w:t>
            </w:r>
          </w:p>
        </w:tc>
        <w:tc>
          <w:tcPr>
            <w:tcW w:w="1379" w:type="dxa"/>
            <w:shd w:val="clear" w:color="auto" w:fill="FFFFFF" w:themeFill="background1"/>
            <w:noWrap/>
            <w:hideMark/>
          </w:tcPr>
          <w:p w14:paraId="42EF9B14" w14:textId="30793700" w:rsidR="008E2ED2" w:rsidRPr="0018386D" w:rsidRDefault="008E2ED2" w:rsidP="00DD3106">
            <w:pPr>
              <w:pStyle w:val="TableText"/>
              <w:spacing w:before="40" w:after="40"/>
            </w:pPr>
            <w:r w:rsidRPr="0018386D">
              <w:t>0.0007</w:t>
            </w:r>
          </w:p>
        </w:tc>
      </w:tr>
      <w:tr w:rsidR="00CD3F6C" w:rsidRPr="0018386D" w14:paraId="02D42295" w14:textId="77777777" w:rsidTr="00575E53">
        <w:trPr>
          <w:divId w:val="956133562"/>
        </w:trPr>
        <w:tc>
          <w:tcPr>
            <w:tcW w:w="851" w:type="dxa"/>
            <w:tcBorders>
              <w:top w:val="nil"/>
              <w:bottom w:val="single" w:sz="4" w:space="0" w:color="auto"/>
              <w:right w:val="single" w:sz="4" w:space="0" w:color="auto"/>
            </w:tcBorders>
            <w:shd w:val="clear" w:color="auto" w:fill="FFFFFF" w:themeFill="background1"/>
            <w:noWrap/>
            <w:hideMark/>
          </w:tcPr>
          <w:p w14:paraId="638CBA7C" w14:textId="77777777" w:rsidR="008E2ED2" w:rsidRPr="0018386D" w:rsidRDefault="008E2ED2" w:rsidP="00DD3106">
            <w:pPr>
              <w:pStyle w:val="TableText"/>
              <w:spacing w:before="40" w:after="40"/>
            </w:pPr>
            <w:r w:rsidRPr="0018386D">
              <w:t> </w:t>
            </w:r>
          </w:p>
        </w:tc>
        <w:tc>
          <w:tcPr>
            <w:tcW w:w="1678" w:type="dxa"/>
            <w:tcBorders>
              <w:left w:val="single" w:sz="4" w:space="0" w:color="auto"/>
            </w:tcBorders>
            <w:shd w:val="clear" w:color="auto" w:fill="FFFFFF" w:themeFill="background1"/>
            <w:noWrap/>
            <w:hideMark/>
          </w:tcPr>
          <w:p w14:paraId="28DB21DB" w14:textId="6B98DC00" w:rsidR="008E2ED2" w:rsidRPr="0018386D" w:rsidRDefault="008E2ED2" w:rsidP="00DD3106">
            <w:pPr>
              <w:pStyle w:val="TableText"/>
              <w:spacing w:before="40" w:after="40"/>
            </w:pPr>
            <w:r w:rsidRPr="0018386D">
              <w:t xml:space="preserve">Metropolitan </w:t>
            </w:r>
            <w:r w:rsidR="00313C9A" w:rsidRPr="0018386D">
              <w:t>a</w:t>
            </w:r>
            <w:r w:rsidRPr="0018386D">
              <w:t>verage</w:t>
            </w:r>
          </w:p>
        </w:tc>
        <w:tc>
          <w:tcPr>
            <w:tcW w:w="575" w:type="dxa"/>
            <w:shd w:val="clear" w:color="auto" w:fill="FFFFFF" w:themeFill="background1"/>
            <w:noWrap/>
            <w:hideMark/>
          </w:tcPr>
          <w:p w14:paraId="79AE9D3B" w14:textId="77777777" w:rsidR="008E2ED2" w:rsidRPr="0018386D" w:rsidRDefault="008E2ED2" w:rsidP="00DD3106">
            <w:pPr>
              <w:pStyle w:val="TableText"/>
              <w:spacing w:before="40" w:after="40"/>
            </w:pPr>
            <w:proofErr w:type="spellStart"/>
            <w:r w:rsidRPr="0018386D">
              <w:t>pkm</w:t>
            </w:r>
            <w:proofErr w:type="spellEnd"/>
          </w:p>
        </w:tc>
        <w:tc>
          <w:tcPr>
            <w:tcW w:w="1264" w:type="dxa"/>
            <w:shd w:val="clear" w:color="auto" w:fill="D2DDE1" w:themeFill="background2"/>
            <w:noWrap/>
            <w:hideMark/>
          </w:tcPr>
          <w:p w14:paraId="3AD2D5FF" w14:textId="1D59E882" w:rsidR="008E2ED2" w:rsidRPr="0018386D" w:rsidRDefault="008E2ED2" w:rsidP="00DD3106">
            <w:pPr>
              <w:pStyle w:val="TableText"/>
              <w:spacing w:before="40" w:after="40"/>
            </w:pPr>
            <w:r w:rsidRPr="0018386D">
              <w:t>0.0190</w:t>
            </w:r>
          </w:p>
        </w:tc>
        <w:tc>
          <w:tcPr>
            <w:tcW w:w="1379" w:type="dxa"/>
            <w:shd w:val="clear" w:color="auto" w:fill="FFFFFF" w:themeFill="background1"/>
            <w:noWrap/>
            <w:hideMark/>
          </w:tcPr>
          <w:p w14:paraId="45687153" w14:textId="0B3F85E0" w:rsidR="008E2ED2" w:rsidRPr="0018386D" w:rsidRDefault="008E2ED2" w:rsidP="00DD3106">
            <w:pPr>
              <w:pStyle w:val="TableText"/>
              <w:spacing w:before="40" w:after="40"/>
            </w:pPr>
            <w:r w:rsidRPr="0018386D">
              <w:t>0.0190</w:t>
            </w:r>
          </w:p>
        </w:tc>
        <w:tc>
          <w:tcPr>
            <w:tcW w:w="1379" w:type="dxa"/>
            <w:shd w:val="clear" w:color="auto" w:fill="FFFFFF" w:themeFill="background1"/>
            <w:noWrap/>
            <w:hideMark/>
          </w:tcPr>
          <w:p w14:paraId="52D06740" w14:textId="77777777" w:rsidR="008E2ED2" w:rsidRPr="0018386D" w:rsidRDefault="008E2ED2" w:rsidP="00DD3106">
            <w:pPr>
              <w:pStyle w:val="TableText"/>
              <w:spacing w:before="40" w:after="40"/>
            </w:pPr>
            <w:r w:rsidRPr="0018386D">
              <w:t>0.00002</w:t>
            </w:r>
          </w:p>
        </w:tc>
        <w:tc>
          <w:tcPr>
            <w:tcW w:w="1379" w:type="dxa"/>
            <w:shd w:val="clear" w:color="auto" w:fill="FFFFFF" w:themeFill="background1"/>
            <w:noWrap/>
            <w:hideMark/>
          </w:tcPr>
          <w:p w14:paraId="2015E3E2" w14:textId="450E832A" w:rsidR="008E2ED2" w:rsidRPr="0018386D" w:rsidRDefault="008E2ED2" w:rsidP="00DD3106">
            <w:pPr>
              <w:pStyle w:val="TableText"/>
              <w:spacing w:before="40" w:after="40"/>
            </w:pPr>
            <w:r w:rsidRPr="0018386D">
              <w:t>0.0001</w:t>
            </w:r>
          </w:p>
        </w:tc>
      </w:tr>
    </w:tbl>
    <w:p w14:paraId="39E58133" w14:textId="32047820" w:rsidR="00864224" w:rsidRPr="0018386D" w:rsidRDefault="00864224" w:rsidP="00DD3106">
      <w:pPr>
        <w:pStyle w:val="Heading3"/>
        <w:numPr>
          <w:ilvl w:val="2"/>
          <w:numId w:val="8"/>
        </w:numPr>
        <w:spacing w:before="440"/>
      </w:pPr>
      <w:r w:rsidRPr="0018386D">
        <w:t>GHG inventory development</w:t>
      </w:r>
    </w:p>
    <w:p w14:paraId="7B481D1D" w14:textId="18A56BA9" w:rsidR="00F5075A" w:rsidRPr="0018386D" w:rsidRDefault="00335166" w:rsidP="00DD3106">
      <w:pPr>
        <w:pStyle w:val="BodyText"/>
      </w:pPr>
      <w:r w:rsidRPr="0018386D">
        <w:t xml:space="preserve">To calculate public transport </w:t>
      </w:r>
      <w:r w:rsidR="00F9009D" w:rsidRPr="0018386D">
        <w:t xml:space="preserve">passenger </w:t>
      </w:r>
      <w:r w:rsidRPr="0018386D">
        <w:t xml:space="preserve">emissions, collect data on the type of transport and distance travelled, and multiply this by the emission factors for each gas. </w:t>
      </w:r>
      <w:r w:rsidR="00F5075A" w:rsidRPr="0018386D">
        <w:t>Organisation</w:t>
      </w:r>
      <w:r w:rsidR="00B976AD" w:rsidRPr="0018386D">
        <w:t>s</w:t>
      </w:r>
      <w:r w:rsidR="00F5075A" w:rsidRPr="0018386D">
        <w:t xml:space="preserve"> could conduct a staff travel survey to quantify these emissions</w:t>
      </w:r>
      <w:r w:rsidR="00411C04" w:rsidRPr="0018386D">
        <w:t>.</w:t>
      </w:r>
      <w:r w:rsidR="00F5075A" w:rsidRPr="0018386D">
        <w:rPr>
          <w:rStyle w:val="FootnoteReference"/>
        </w:rPr>
        <w:footnoteReference w:id="30"/>
      </w:r>
    </w:p>
    <w:p w14:paraId="2DE807C7" w14:textId="1EFF8CC9" w:rsidR="00335166" w:rsidRPr="0018386D" w:rsidRDefault="00335166" w:rsidP="00DD3106">
      <w:pPr>
        <w:pStyle w:val="BodyText"/>
        <w:jc w:val="both"/>
      </w:pPr>
      <w:r w:rsidRPr="0018386D">
        <w:lastRenderedPageBreak/>
        <w:t xml:space="preserve">Applying the equation </w:t>
      </w:r>
      <w:r w:rsidR="00326E2B" w:rsidRPr="0018386D">
        <w:t>E</w:t>
      </w:r>
      <w:r w:rsidR="00B37794" w:rsidRPr="0018386D">
        <w:t xml:space="preserve"> </w:t>
      </w:r>
      <w:r w:rsidR="00326E2B" w:rsidRPr="0018386D">
        <w:t>= Q x F</w:t>
      </w:r>
      <w:r w:rsidR="002E6FAB" w:rsidRPr="0018386D">
        <w:t xml:space="preserve"> </w:t>
      </w:r>
      <w:r w:rsidR="00326E2B" w:rsidRPr="0018386D">
        <w:t>(</w:t>
      </w:r>
      <w:hyperlink w:anchor="_How_to_quantify">
        <w:r w:rsidRPr="0018386D">
          <w:rPr>
            <w:rStyle w:val="Hyperlink"/>
          </w:rPr>
          <w:t>section 2</w:t>
        </w:r>
      </w:hyperlink>
      <w:r w:rsidR="00326E2B" w:rsidRPr="0018386D">
        <w:rPr>
          <w:rStyle w:val="Hyperlink"/>
          <w:color w:val="auto"/>
        </w:rPr>
        <w:t>)</w:t>
      </w:r>
      <w:r w:rsidRPr="0018386D">
        <w:t>, this means:</w:t>
      </w:r>
    </w:p>
    <w:p w14:paraId="0634AB8E" w14:textId="7FE95741" w:rsidR="00326E2B" w:rsidRPr="0018386D" w:rsidRDefault="00326E2B" w:rsidP="00DD3106">
      <w:pPr>
        <w:pStyle w:val="BodyT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397F3317" w14:textId="77777777" w:rsidR="00335166" w:rsidRPr="0018386D" w:rsidRDefault="00335166" w:rsidP="00DD3106">
      <w:pPr>
        <w:pStyle w:val="BodyText"/>
        <w:tabs>
          <w:tab w:val="left" w:pos="680"/>
          <w:tab w:val="left" w:pos="1134"/>
        </w:tabs>
        <w:contextualSpacing/>
        <w:jc w:val="both"/>
      </w:pPr>
      <w:r w:rsidRPr="0018386D">
        <w:t>Q</w:t>
      </w:r>
      <w:r w:rsidRPr="0018386D">
        <w:tab/>
        <w:t>=</w:t>
      </w:r>
      <w:r w:rsidRPr="0018386D">
        <w:tab/>
        <w:t>distance travelled, by vehicle type (km)</w:t>
      </w:r>
    </w:p>
    <w:p w14:paraId="73DD685F" w14:textId="1C64C00C" w:rsidR="00757604" w:rsidRPr="0018386D" w:rsidRDefault="00335166" w:rsidP="00DD3106">
      <w:pPr>
        <w:pStyle w:val="BodyText"/>
        <w:tabs>
          <w:tab w:val="left" w:pos="680"/>
          <w:tab w:val="left" w:pos="1134"/>
        </w:tabs>
        <w:spacing w:after="240"/>
        <w:contextualSpacing/>
        <w:jc w:val="both"/>
      </w:pPr>
      <w:r w:rsidRPr="0018386D">
        <w:t>F</w:t>
      </w:r>
      <w:r w:rsidRPr="0018386D">
        <w:tab/>
        <w:t>=</w:t>
      </w:r>
      <w:r w:rsidRPr="0018386D">
        <w:tab/>
        <w:t xml:space="preserve">emission factors for correlating vehicle type, from </w:t>
      </w:r>
      <w:hyperlink w:anchor="table27" w:history="1">
        <w:r w:rsidR="00411C04" w:rsidRPr="0018386D">
          <w:rPr>
            <w:rStyle w:val="Hyperlink"/>
          </w:rPr>
          <w:t>table 2</w:t>
        </w:r>
        <w:r w:rsidR="00407CE7" w:rsidRPr="0018386D">
          <w:rPr>
            <w:rStyle w:val="Hyperlink"/>
          </w:rPr>
          <w:t>7</w:t>
        </w:r>
      </w:hyperlink>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9F3020" w:rsidRPr="0018386D" w14:paraId="0DF2FF4C" w14:textId="77777777" w:rsidTr="007001A9">
        <w:tc>
          <w:tcPr>
            <w:tcW w:w="8500" w:type="dxa"/>
            <w:tcBorders>
              <w:top w:val="single" w:sz="4" w:space="0" w:color="0F7B7D"/>
              <w:left w:val="single" w:sz="4" w:space="0" w:color="0F7B7D"/>
              <w:bottom w:val="nil"/>
              <w:right w:val="single" w:sz="4" w:space="0" w:color="0F7B7D"/>
            </w:tcBorders>
            <w:shd w:val="clear" w:color="auto" w:fill="0F7B7D"/>
            <w:vAlign w:val="center"/>
          </w:tcPr>
          <w:p w14:paraId="7762375E" w14:textId="0D3C7335" w:rsidR="009F3020" w:rsidRPr="0018386D" w:rsidRDefault="009F3020" w:rsidP="00DD3106">
            <w:pPr>
              <w:pStyle w:val="Casestudyheading"/>
              <w:jc w:val="both"/>
            </w:pPr>
            <w:r w:rsidRPr="0018386D">
              <w:t>pas</w:t>
            </w:r>
            <w:r w:rsidR="002406D1" w:rsidRPr="0018386D">
              <w:t>S</w:t>
            </w:r>
            <w:r w:rsidRPr="0018386D">
              <w:t>enger BUS: Example Calculation</w:t>
            </w:r>
          </w:p>
        </w:tc>
      </w:tr>
      <w:tr w:rsidR="00411C04" w:rsidRPr="0018386D" w14:paraId="215EAEA2" w14:textId="77777777" w:rsidTr="00846652">
        <w:tc>
          <w:tcPr>
            <w:tcW w:w="8500" w:type="dxa"/>
            <w:tcBorders>
              <w:top w:val="nil"/>
              <w:left w:val="single" w:sz="4" w:space="0" w:color="CFE5E5"/>
              <w:bottom w:val="single" w:sz="4" w:space="0" w:color="CFE5E5"/>
              <w:right w:val="single" w:sz="4" w:space="0" w:color="CFE5E5"/>
            </w:tcBorders>
            <w:shd w:val="clear" w:color="auto" w:fill="D5EBE8" w:themeFill="accent3"/>
          </w:tcPr>
          <w:p w14:paraId="52457EBD" w14:textId="1073F4E2" w:rsidR="00E36E3F" w:rsidRPr="0018386D" w:rsidRDefault="00BB3EA2" w:rsidP="00DD3106">
            <w:pPr>
              <w:pStyle w:val="Boxtext"/>
              <w:spacing w:after="80"/>
            </w:pPr>
            <w:r w:rsidRPr="0018386D">
              <w:t>A</w:t>
            </w:r>
            <w:r w:rsidR="00E36E3F" w:rsidRPr="0018386D">
              <w:t xml:space="preserve">n employee </w:t>
            </w:r>
            <w:r w:rsidR="00E5235F" w:rsidRPr="0018386D">
              <w:t>takes a return trip on a</w:t>
            </w:r>
            <w:r w:rsidR="007B003C" w:rsidRPr="0018386D">
              <w:t>n electric</w:t>
            </w:r>
            <w:r w:rsidR="00E5235F" w:rsidRPr="0018386D">
              <w:t xml:space="preserve"> </w:t>
            </w:r>
            <w:r w:rsidR="00DA0FEE" w:rsidRPr="0018386D">
              <w:t>Wellington bus from the</w:t>
            </w:r>
            <w:r w:rsidR="002029F5" w:rsidRPr="0018386D">
              <w:t xml:space="preserve"> CBD to the </w:t>
            </w:r>
            <w:r w:rsidR="00DA0FEE" w:rsidRPr="0018386D">
              <w:t xml:space="preserve">airport </w:t>
            </w:r>
            <w:r w:rsidR="00E36E3F" w:rsidRPr="0018386D">
              <w:t>(</w:t>
            </w:r>
            <w:r w:rsidR="009D234A" w:rsidRPr="0018386D">
              <w:t>9.4 </w:t>
            </w:r>
            <w:r w:rsidR="00E36E3F" w:rsidRPr="0018386D">
              <w:t xml:space="preserve">km </w:t>
            </w:r>
            <w:r w:rsidR="00812D62" w:rsidRPr="0018386D">
              <w:t xml:space="preserve">each </w:t>
            </w:r>
            <w:r w:rsidR="00E36E3F" w:rsidRPr="0018386D">
              <w:t xml:space="preserve">way). </w:t>
            </w:r>
            <w:r w:rsidR="00812D62" w:rsidRPr="0018386D">
              <w:t xml:space="preserve">This happens five times in the reporting </w:t>
            </w:r>
            <w:proofErr w:type="gramStart"/>
            <w:r w:rsidR="00812D62" w:rsidRPr="0018386D">
              <w:t>year</w:t>
            </w:r>
            <w:proofErr w:type="gramEnd"/>
          </w:p>
          <w:p w14:paraId="4F1BECCE" w14:textId="47326851" w:rsidR="00E36E3F" w:rsidRPr="0018386D" w:rsidRDefault="00E36E3F" w:rsidP="00DD3106">
            <w:pPr>
              <w:pStyle w:val="Boxtext"/>
              <w:spacing w:after="80"/>
              <w:jc w:val="both"/>
            </w:pPr>
            <w:r w:rsidRPr="0018386D">
              <w:t>P</w:t>
            </w:r>
            <w:r w:rsidR="005E0A79" w:rsidRPr="0018386D">
              <w:t>assenger</w:t>
            </w:r>
            <w:r w:rsidRPr="0018386D">
              <w:t xml:space="preserve"> kilometres travelled = 2</w:t>
            </w:r>
            <w:r w:rsidR="005E0A79" w:rsidRPr="0018386D">
              <w:t xml:space="preserve"> </w:t>
            </w:r>
            <w:r w:rsidR="003B6FAB" w:rsidRPr="0018386D">
              <w:t>trips</w:t>
            </w:r>
            <w:r w:rsidRPr="0018386D">
              <w:t xml:space="preserve"> × </w:t>
            </w:r>
            <w:r w:rsidR="00E6699C" w:rsidRPr="0018386D">
              <w:t>9.4</w:t>
            </w:r>
            <w:r w:rsidR="00FB048E" w:rsidRPr="0018386D">
              <w:t xml:space="preserve"> </w:t>
            </w:r>
            <w:r w:rsidR="003B6FAB" w:rsidRPr="0018386D">
              <w:t>km</w:t>
            </w:r>
            <w:r w:rsidR="00812D62" w:rsidRPr="0018386D">
              <w:t xml:space="preserve"> </w:t>
            </w:r>
            <w:r w:rsidR="00311239" w:rsidRPr="0018386D">
              <w:t>x 5</w:t>
            </w:r>
            <w:r w:rsidR="003B6FAB" w:rsidRPr="0018386D">
              <w:t xml:space="preserve"> times</w:t>
            </w:r>
            <w:r w:rsidR="005269CA" w:rsidRPr="0018386D">
              <w:t xml:space="preserve"> </w:t>
            </w:r>
            <w:r w:rsidRPr="0018386D">
              <w:t xml:space="preserve">= </w:t>
            </w:r>
            <w:r w:rsidR="00311239" w:rsidRPr="0018386D">
              <w:t>94</w:t>
            </w:r>
            <w:r w:rsidR="00E6699C" w:rsidRPr="0018386D">
              <w:t xml:space="preserve"> </w:t>
            </w:r>
            <w:proofErr w:type="spellStart"/>
            <w:r w:rsidRPr="0018386D">
              <w:t>pkm</w:t>
            </w:r>
            <w:proofErr w:type="spellEnd"/>
          </w:p>
          <w:p w14:paraId="67D393C5" w14:textId="33DD9389" w:rsidR="00F35C0D" w:rsidRPr="0018386D" w:rsidRDefault="00F35C0D" w:rsidP="00DD3106">
            <w:pPr>
              <w:pStyle w:val="Boxtext"/>
              <w:tabs>
                <w:tab w:val="left" w:pos="2829"/>
                <w:tab w:val="left" w:pos="5022"/>
              </w:tabs>
              <w:spacing w:before="20" w:after="20"/>
              <w:ind w:left="851"/>
              <w:jc w:val="both"/>
            </w:pPr>
            <w:r w:rsidRPr="0018386D">
              <w:t>CO</w:t>
            </w:r>
            <w:r w:rsidRPr="0018386D">
              <w:rPr>
                <w:vertAlign w:val="subscript"/>
              </w:rPr>
              <w:t>2</w:t>
            </w:r>
            <w:r w:rsidRPr="0018386D">
              <w:t xml:space="preserve"> emissions</w:t>
            </w:r>
            <w:r w:rsidRPr="0018386D">
              <w:tab/>
              <w:t>= 94 x 0.012</w:t>
            </w:r>
            <w:r w:rsidRPr="0018386D">
              <w:tab/>
              <w:t>= 1.128 kg CO</w:t>
            </w:r>
            <w:r w:rsidRPr="0018386D">
              <w:rPr>
                <w:vertAlign w:val="subscript"/>
              </w:rPr>
              <w:t>2</w:t>
            </w:r>
          </w:p>
          <w:p w14:paraId="3AD8D5C4" w14:textId="4CC8CD84" w:rsidR="00F35C0D" w:rsidRPr="0018386D" w:rsidRDefault="00F35C0D" w:rsidP="00DD3106">
            <w:pPr>
              <w:pStyle w:val="Boxtext"/>
              <w:tabs>
                <w:tab w:val="left" w:pos="2829"/>
                <w:tab w:val="left" w:pos="5022"/>
              </w:tabs>
              <w:spacing w:before="20" w:after="20"/>
              <w:ind w:left="850"/>
              <w:jc w:val="both"/>
            </w:pPr>
            <w:r w:rsidRPr="0018386D">
              <w:t>CH</w:t>
            </w:r>
            <w:r w:rsidRPr="0018386D">
              <w:rPr>
                <w:vertAlign w:val="subscript"/>
              </w:rPr>
              <w:t>4</w:t>
            </w:r>
            <w:r w:rsidRPr="0018386D">
              <w:t xml:space="preserve"> emissions</w:t>
            </w:r>
            <w:r w:rsidRPr="0018386D">
              <w:tab/>
              <w:t>= 94 x 0.000</w:t>
            </w:r>
            <w:r w:rsidR="006E4C8F" w:rsidRPr="0018386D">
              <w:t>4</w:t>
            </w:r>
            <w:r w:rsidRPr="0018386D">
              <w:tab/>
              <w:t>= 0.0</w:t>
            </w:r>
            <w:r w:rsidR="001A2441" w:rsidRPr="0018386D">
              <w:t>3</w:t>
            </w:r>
            <w:r w:rsidR="00102B10" w:rsidRPr="0018386D">
              <w:t>76</w:t>
            </w:r>
            <w:r w:rsidRPr="0018386D">
              <w:t xml:space="preserve"> kg CO</w:t>
            </w:r>
            <w:r w:rsidRPr="0018386D">
              <w:rPr>
                <w:vertAlign w:val="subscript"/>
              </w:rPr>
              <w:t>2</w:t>
            </w:r>
            <w:r w:rsidRPr="0018386D">
              <w:t>-e</w:t>
            </w:r>
          </w:p>
          <w:p w14:paraId="2B8D9AF1" w14:textId="4E811A44" w:rsidR="00F35C0D" w:rsidRPr="0018386D" w:rsidRDefault="00F35C0D" w:rsidP="00DD3106">
            <w:pPr>
              <w:pStyle w:val="Boxtext"/>
              <w:tabs>
                <w:tab w:val="left" w:pos="2829"/>
                <w:tab w:val="left" w:pos="5022"/>
              </w:tabs>
              <w:spacing w:before="20" w:after="20"/>
              <w:ind w:left="850"/>
              <w:jc w:val="both"/>
            </w:pPr>
            <w:r w:rsidRPr="0018386D">
              <w:t>N</w:t>
            </w:r>
            <w:r w:rsidRPr="0018386D">
              <w:rPr>
                <w:vertAlign w:val="subscript"/>
              </w:rPr>
              <w:t>2</w:t>
            </w:r>
            <w:r w:rsidRPr="0018386D">
              <w:t>O emissions</w:t>
            </w:r>
            <w:r w:rsidRPr="0018386D">
              <w:tab/>
              <w:t>= 94</w:t>
            </w:r>
            <w:r w:rsidR="00077AD3" w:rsidRPr="0018386D">
              <w:t xml:space="preserve"> </w:t>
            </w:r>
            <w:r w:rsidRPr="0018386D">
              <w:t>x 0.00002</w:t>
            </w:r>
            <w:r w:rsidRPr="0018386D">
              <w:tab/>
              <w:t>= 0.00</w:t>
            </w:r>
            <w:r w:rsidR="00CF4BF6" w:rsidRPr="0018386D">
              <w:t>188</w:t>
            </w:r>
            <w:r w:rsidRPr="0018386D">
              <w:t xml:space="preserve"> kg CO</w:t>
            </w:r>
            <w:r w:rsidRPr="0018386D">
              <w:rPr>
                <w:vertAlign w:val="subscript"/>
              </w:rPr>
              <w:t>2</w:t>
            </w:r>
            <w:r w:rsidRPr="0018386D">
              <w:t>-e</w:t>
            </w:r>
          </w:p>
          <w:p w14:paraId="7D5873FF" w14:textId="1DA54412" w:rsidR="00E36E3F" w:rsidRPr="0018386D" w:rsidRDefault="00E36E3F" w:rsidP="00DD3106">
            <w:pPr>
              <w:pStyle w:val="Boxtext"/>
              <w:tabs>
                <w:tab w:val="left" w:pos="2829"/>
                <w:tab w:val="left" w:pos="5022"/>
                <w:tab w:val="left" w:pos="6268"/>
              </w:tabs>
              <w:spacing w:before="20" w:after="20"/>
              <w:ind w:left="850"/>
              <w:jc w:val="both"/>
            </w:pPr>
            <w:r w:rsidRPr="0018386D">
              <w:t>Total CO</w:t>
            </w:r>
            <w:r w:rsidRPr="0018386D">
              <w:rPr>
                <w:vertAlign w:val="subscript"/>
              </w:rPr>
              <w:t>2</w:t>
            </w:r>
            <w:r w:rsidRPr="0018386D">
              <w:t xml:space="preserve">-e emissions from </w:t>
            </w:r>
            <w:r w:rsidR="001E363A" w:rsidRPr="0018386D">
              <w:t>passenger public</w:t>
            </w:r>
            <w:r w:rsidR="00724C42" w:rsidRPr="0018386D">
              <w:t xml:space="preserve"> </w:t>
            </w:r>
            <w:r w:rsidRPr="0018386D">
              <w:t xml:space="preserve">travel = </w:t>
            </w:r>
            <w:r w:rsidR="006252F6" w:rsidRPr="0018386D">
              <w:t>94</w:t>
            </w:r>
            <w:r w:rsidR="00074978" w:rsidRPr="0018386D">
              <w:t xml:space="preserve"> </w:t>
            </w:r>
            <w:r w:rsidRPr="0018386D">
              <w:t xml:space="preserve">x </w:t>
            </w:r>
            <w:r w:rsidR="00C72E1F" w:rsidRPr="0018386D">
              <w:t>0.0124</w:t>
            </w:r>
            <w:r w:rsidR="004C3308" w:rsidRPr="0018386D">
              <w:tab/>
            </w:r>
            <w:r w:rsidRPr="0018386D">
              <w:t xml:space="preserve">= </w:t>
            </w:r>
            <w:r w:rsidR="00C72E1F" w:rsidRPr="0018386D">
              <w:t>1.17</w:t>
            </w:r>
            <w:r w:rsidR="008E71BB" w:rsidRPr="0018386D">
              <w:t xml:space="preserve"> </w:t>
            </w:r>
            <w:r w:rsidRPr="0018386D">
              <w:t>kg CO</w:t>
            </w:r>
            <w:r w:rsidRPr="0018386D">
              <w:rPr>
                <w:vertAlign w:val="subscript"/>
              </w:rPr>
              <w:t>2</w:t>
            </w:r>
            <w:r w:rsidRPr="0018386D">
              <w:t>-e</w:t>
            </w:r>
          </w:p>
          <w:p w14:paraId="3E38BAAF" w14:textId="456703AF" w:rsidR="009F3020" w:rsidRPr="0018386D" w:rsidRDefault="00E36E3F" w:rsidP="00DD3106">
            <w:pPr>
              <w:pStyle w:val="Boxtext"/>
              <w:spacing w:after="180"/>
              <w:jc w:val="both"/>
            </w:pPr>
            <w:r w:rsidRPr="0018386D">
              <w:rPr>
                <w:sz w:val="18"/>
                <w:szCs w:val="18"/>
              </w:rPr>
              <w:t>Note: Numbers may not add due to rounding.</w:t>
            </w:r>
          </w:p>
        </w:tc>
      </w:tr>
    </w:tbl>
    <w:p w14:paraId="200C1E32" w14:textId="7E17AB6F" w:rsidR="00864224" w:rsidRPr="0018386D" w:rsidRDefault="00864224" w:rsidP="00DD3106">
      <w:pPr>
        <w:pStyle w:val="Heading3"/>
        <w:numPr>
          <w:ilvl w:val="2"/>
          <w:numId w:val="8"/>
        </w:numPr>
        <w:spacing w:before="400"/>
        <w:jc w:val="both"/>
      </w:pPr>
      <w:r w:rsidRPr="0018386D">
        <w:t>Emission factor derivation methodology</w:t>
      </w:r>
    </w:p>
    <w:p w14:paraId="4FE2F7E8" w14:textId="36FD8970" w:rsidR="00113725" w:rsidRPr="0018386D" w:rsidRDefault="00956E28" w:rsidP="00DD3106">
      <w:pPr>
        <w:pStyle w:val="Heading4"/>
        <w:numPr>
          <w:ilvl w:val="3"/>
          <w:numId w:val="8"/>
        </w:numPr>
        <w:spacing w:before="160"/>
        <w:jc w:val="both"/>
      </w:pPr>
      <w:r w:rsidRPr="0018386D">
        <w:t>National average bus</w:t>
      </w:r>
    </w:p>
    <w:p w14:paraId="2B21EE90" w14:textId="7B44D299" w:rsidR="004837A7" w:rsidRPr="0018386D" w:rsidRDefault="00260B7E" w:rsidP="00DD3106">
      <w:pPr>
        <w:pStyle w:val="BodyText"/>
      </w:pPr>
      <w:r w:rsidRPr="0018386D">
        <w:t>To calculate the emission factor for national average bus travel we used the NZTA passenger travel data</w:t>
      </w:r>
      <w:r w:rsidRPr="0018386D">
        <w:rPr>
          <w:rStyle w:val="FootnoteReference"/>
        </w:rPr>
        <w:footnoteReference w:id="31"/>
      </w:r>
      <w:r w:rsidRPr="0018386D">
        <w:t xml:space="preserve"> (</w:t>
      </w:r>
      <w:hyperlink w:anchor="table28" w:history="1">
        <w:r w:rsidR="006A7146" w:rsidRPr="0018386D">
          <w:rPr>
            <w:rStyle w:val="Hyperlink"/>
          </w:rPr>
          <w:t>table 2</w:t>
        </w:r>
        <w:r w:rsidR="00D23EE9" w:rsidRPr="0018386D">
          <w:rPr>
            <w:rStyle w:val="Hyperlink"/>
          </w:rPr>
          <w:t>8</w:t>
        </w:r>
      </w:hyperlink>
      <w:r w:rsidRPr="0018386D">
        <w:t xml:space="preserve">) </w:t>
      </w:r>
      <w:r w:rsidR="00711BC4" w:rsidRPr="0018386D">
        <w:t>to estimate the nationa</w:t>
      </w:r>
      <w:r w:rsidR="00BD56D1" w:rsidRPr="0018386D">
        <w:t>l</w:t>
      </w:r>
      <w:r w:rsidR="00711BC4" w:rsidRPr="0018386D">
        <w:t xml:space="preserve"> average loading capacity of </w:t>
      </w:r>
      <w:r w:rsidR="00435A8B" w:rsidRPr="0018386D">
        <w:t xml:space="preserve">seven </w:t>
      </w:r>
      <w:r w:rsidR="00711BC4" w:rsidRPr="0018386D">
        <w:t>people per</w:t>
      </w:r>
      <w:r w:rsidR="00846652" w:rsidRPr="0018386D">
        <w:t> </w:t>
      </w:r>
      <w:r w:rsidR="00711BC4" w:rsidRPr="0018386D">
        <w:t>bus.</w:t>
      </w:r>
    </w:p>
    <w:p w14:paraId="14A78C37" w14:textId="78549764" w:rsidR="004837A7" w:rsidRPr="0018386D" w:rsidRDefault="004837A7" w:rsidP="00DD3106">
      <w:pPr>
        <w:pStyle w:val="Tableheading"/>
      </w:pPr>
      <w:bookmarkStart w:id="456" w:name="_Ref53067433"/>
      <w:bookmarkStart w:id="457" w:name="table28"/>
      <w:bookmarkStart w:id="458" w:name="_Toc111536633"/>
      <w:bookmarkStart w:id="459" w:name="_Toc140048968"/>
      <w:r w:rsidRPr="0018386D">
        <w:t xml:space="preserve">Table </w:t>
      </w:r>
      <w:r w:rsidRPr="0018386D">
        <w:fldChar w:fldCharType="begin"/>
      </w:r>
      <w:r w:rsidRPr="0018386D">
        <w:instrText>SEQ Table \* ARABIC</w:instrText>
      </w:r>
      <w:r w:rsidRPr="0018386D">
        <w:fldChar w:fldCharType="separate"/>
      </w:r>
      <w:r w:rsidR="003E141C" w:rsidRPr="0018386D">
        <w:t>28</w:t>
      </w:r>
      <w:r w:rsidRPr="0018386D">
        <w:fldChar w:fldCharType="end"/>
      </w:r>
      <w:bookmarkEnd w:id="456"/>
      <w:bookmarkEnd w:id="457"/>
      <w:r w:rsidRPr="0018386D">
        <w:t>:</w:t>
      </w:r>
      <w:r w:rsidR="009B2935" w:rsidRPr="0018386D">
        <w:tab/>
      </w:r>
      <w:r w:rsidR="00A469F8" w:rsidRPr="0018386D">
        <w:t>National b</w:t>
      </w:r>
      <w:r w:rsidR="0059494E" w:rsidRPr="0018386D">
        <w:t>us p</w:t>
      </w:r>
      <w:r w:rsidR="00E47F3C" w:rsidRPr="0018386D">
        <w:t xml:space="preserve">assenger kilometres </w:t>
      </w:r>
      <w:r w:rsidRPr="0018386D">
        <w:t xml:space="preserve">in </w:t>
      </w:r>
      <w:r w:rsidR="003E1714" w:rsidRPr="0018386D">
        <w:t>2020/21</w:t>
      </w:r>
      <w:bookmarkEnd w:id="458"/>
      <w:bookmarkEnd w:id="459"/>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268"/>
        <w:gridCol w:w="1985"/>
        <w:gridCol w:w="2693"/>
        <w:gridCol w:w="1559"/>
      </w:tblGrid>
      <w:tr w:rsidR="00B15002" w:rsidRPr="0018386D" w14:paraId="4B171D49" w14:textId="77777777" w:rsidTr="002F65AC">
        <w:trPr>
          <w:trHeight w:val="264"/>
        </w:trPr>
        <w:tc>
          <w:tcPr>
            <w:tcW w:w="2268" w:type="dxa"/>
            <w:shd w:val="clear" w:color="auto" w:fill="1B556B" w:themeFill="text2"/>
          </w:tcPr>
          <w:p w14:paraId="38217389" w14:textId="77777777" w:rsidR="00260B7E" w:rsidRPr="0018386D" w:rsidRDefault="00260B7E" w:rsidP="00DD3106">
            <w:pPr>
              <w:pStyle w:val="TableText"/>
              <w:spacing w:before="40" w:after="40"/>
              <w:rPr>
                <w:b/>
                <w:color w:val="FFFFFF" w:themeColor="background1"/>
              </w:rPr>
            </w:pPr>
            <w:r w:rsidRPr="0018386D">
              <w:rPr>
                <w:b/>
                <w:color w:val="FFFFFF" w:themeColor="background1"/>
              </w:rPr>
              <w:t>Region</w:t>
            </w:r>
          </w:p>
        </w:tc>
        <w:tc>
          <w:tcPr>
            <w:tcW w:w="1985" w:type="dxa"/>
            <w:shd w:val="clear" w:color="auto" w:fill="1B556B" w:themeFill="text2"/>
          </w:tcPr>
          <w:p w14:paraId="765A2B14" w14:textId="77777777" w:rsidR="00260B7E" w:rsidRPr="0018386D" w:rsidRDefault="00260B7E" w:rsidP="00DD3106">
            <w:pPr>
              <w:pStyle w:val="TableText"/>
              <w:spacing w:before="40" w:after="40"/>
              <w:rPr>
                <w:b/>
                <w:color w:val="FFFFFF" w:themeColor="background1"/>
              </w:rPr>
            </w:pPr>
            <w:r w:rsidRPr="0018386D">
              <w:rPr>
                <w:b/>
                <w:color w:val="FFFFFF" w:themeColor="background1"/>
              </w:rPr>
              <w:t>Mode</w:t>
            </w:r>
          </w:p>
        </w:tc>
        <w:tc>
          <w:tcPr>
            <w:tcW w:w="2693" w:type="dxa"/>
            <w:shd w:val="clear" w:color="auto" w:fill="1B556B" w:themeFill="text2"/>
          </w:tcPr>
          <w:p w14:paraId="7C339613" w14:textId="77777777" w:rsidR="00260B7E" w:rsidRPr="0018386D" w:rsidRDefault="00260B7E" w:rsidP="00DD3106">
            <w:pPr>
              <w:pStyle w:val="TableText"/>
              <w:spacing w:before="40" w:after="40"/>
              <w:rPr>
                <w:b/>
                <w:color w:val="FFFFFF" w:themeColor="background1"/>
              </w:rPr>
            </w:pPr>
            <w:r w:rsidRPr="0018386D">
              <w:rPr>
                <w:b/>
                <w:color w:val="FFFFFF" w:themeColor="background1"/>
              </w:rPr>
              <w:t>Breakdown</w:t>
            </w:r>
          </w:p>
        </w:tc>
        <w:tc>
          <w:tcPr>
            <w:tcW w:w="1559" w:type="dxa"/>
            <w:shd w:val="clear" w:color="auto" w:fill="1B556B" w:themeFill="text2"/>
          </w:tcPr>
          <w:p w14:paraId="621141D3" w14:textId="4E991533" w:rsidR="00260B7E" w:rsidRPr="0018386D" w:rsidRDefault="003E1714" w:rsidP="00DD3106">
            <w:pPr>
              <w:pStyle w:val="TableText"/>
              <w:spacing w:before="40" w:after="40"/>
              <w:rPr>
                <w:b/>
                <w:color w:val="FFFFFF" w:themeColor="background1"/>
              </w:rPr>
            </w:pPr>
            <w:r w:rsidRPr="0018386D">
              <w:rPr>
                <w:b/>
                <w:color w:val="FFFFFF" w:themeColor="background1"/>
              </w:rPr>
              <w:t>2020/21</w:t>
            </w:r>
          </w:p>
        </w:tc>
      </w:tr>
      <w:tr w:rsidR="00B15002" w:rsidRPr="0018386D" w14:paraId="58B290EC" w14:textId="77777777" w:rsidTr="002F65AC">
        <w:trPr>
          <w:trHeight w:val="253"/>
        </w:trPr>
        <w:tc>
          <w:tcPr>
            <w:tcW w:w="2268" w:type="dxa"/>
          </w:tcPr>
          <w:p w14:paraId="50CB46FF" w14:textId="77777777" w:rsidR="00260B7E" w:rsidRPr="0018386D" w:rsidRDefault="00260B7E" w:rsidP="00DD3106">
            <w:pPr>
              <w:pStyle w:val="TableText"/>
              <w:spacing w:before="40" w:after="40"/>
            </w:pPr>
            <w:r w:rsidRPr="0018386D">
              <w:t>NZ</w:t>
            </w:r>
          </w:p>
        </w:tc>
        <w:tc>
          <w:tcPr>
            <w:tcW w:w="1985" w:type="dxa"/>
          </w:tcPr>
          <w:p w14:paraId="216F776F" w14:textId="77777777" w:rsidR="00260B7E" w:rsidRPr="0018386D" w:rsidRDefault="00260B7E" w:rsidP="00DD3106">
            <w:pPr>
              <w:pStyle w:val="TableText"/>
              <w:spacing w:before="40" w:after="40"/>
            </w:pPr>
            <w:r w:rsidRPr="0018386D">
              <w:t>Bus</w:t>
            </w:r>
          </w:p>
        </w:tc>
        <w:tc>
          <w:tcPr>
            <w:tcW w:w="2693" w:type="dxa"/>
          </w:tcPr>
          <w:p w14:paraId="4C45AC26" w14:textId="0A6B1969" w:rsidR="00260B7E" w:rsidRPr="0018386D" w:rsidRDefault="0059494E" w:rsidP="00DD3106">
            <w:pPr>
              <w:pStyle w:val="TableText"/>
              <w:spacing w:before="40" w:after="40"/>
            </w:pPr>
            <w:proofErr w:type="spellStart"/>
            <w:r w:rsidRPr="0018386D">
              <w:t>pkm</w:t>
            </w:r>
            <w:proofErr w:type="spellEnd"/>
          </w:p>
        </w:tc>
        <w:tc>
          <w:tcPr>
            <w:tcW w:w="1559" w:type="dxa"/>
            <w:shd w:val="clear" w:color="auto" w:fill="D2DDE1" w:themeFill="background2"/>
          </w:tcPr>
          <w:p w14:paraId="27EA0AF1" w14:textId="2ADAC044" w:rsidR="00260B7E" w:rsidRPr="0018386D" w:rsidRDefault="003E1714" w:rsidP="00DD3106">
            <w:pPr>
              <w:pStyle w:val="TableText"/>
              <w:spacing w:before="40" w:after="40"/>
            </w:pPr>
            <w:r w:rsidRPr="0018386D">
              <w:t xml:space="preserve">534,976,704 </w:t>
            </w:r>
          </w:p>
        </w:tc>
      </w:tr>
      <w:tr w:rsidR="00711BC4" w:rsidRPr="0018386D" w14:paraId="28BD1A89" w14:textId="77777777" w:rsidTr="002F65AC">
        <w:trPr>
          <w:trHeight w:val="253"/>
        </w:trPr>
        <w:tc>
          <w:tcPr>
            <w:tcW w:w="2268" w:type="dxa"/>
          </w:tcPr>
          <w:p w14:paraId="62474CC8" w14:textId="70E5117C" w:rsidR="00711BC4" w:rsidRPr="0018386D" w:rsidRDefault="00711BC4" w:rsidP="00DD3106">
            <w:pPr>
              <w:pStyle w:val="TableText"/>
              <w:spacing w:before="40" w:after="40"/>
            </w:pPr>
            <w:r w:rsidRPr="0018386D">
              <w:t>NZ</w:t>
            </w:r>
          </w:p>
        </w:tc>
        <w:tc>
          <w:tcPr>
            <w:tcW w:w="1985" w:type="dxa"/>
          </w:tcPr>
          <w:p w14:paraId="64598592" w14:textId="19AB4375" w:rsidR="00711BC4" w:rsidRPr="0018386D" w:rsidRDefault="00711BC4" w:rsidP="00DD3106">
            <w:pPr>
              <w:pStyle w:val="TableText"/>
              <w:spacing w:before="40" w:after="40"/>
            </w:pPr>
            <w:r w:rsidRPr="0018386D">
              <w:t>Bus</w:t>
            </w:r>
          </w:p>
        </w:tc>
        <w:tc>
          <w:tcPr>
            <w:tcW w:w="2693" w:type="dxa"/>
          </w:tcPr>
          <w:p w14:paraId="596627FA" w14:textId="4855F078" w:rsidR="00711BC4" w:rsidRPr="0018386D" w:rsidRDefault="00711BC4" w:rsidP="00DD3106">
            <w:pPr>
              <w:pStyle w:val="TableText"/>
              <w:spacing w:before="40" w:after="40"/>
            </w:pPr>
            <w:r w:rsidRPr="0018386D">
              <w:t>Service km</w:t>
            </w:r>
          </w:p>
        </w:tc>
        <w:tc>
          <w:tcPr>
            <w:tcW w:w="1559" w:type="dxa"/>
            <w:shd w:val="clear" w:color="auto" w:fill="D2DDE1" w:themeFill="background2"/>
          </w:tcPr>
          <w:p w14:paraId="3F1877EA" w14:textId="250EB1BE" w:rsidR="00711BC4" w:rsidRPr="0018386D" w:rsidRDefault="003E1714" w:rsidP="00DD3106">
            <w:pPr>
              <w:pStyle w:val="TableText"/>
              <w:spacing w:before="40" w:after="40"/>
            </w:pPr>
            <w:r w:rsidRPr="0018386D">
              <w:t xml:space="preserve">122,934,050 </w:t>
            </w:r>
          </w:p>
        </w:tc>
      </w:tr>
    </w:tbl>
    <w:p w14:paraId="556E919D" w14:textId="47BFBDBC" w:rsidR="00260B7E" w:rsidRPr="0018386D" w:rsidRDefault="000D674C" w:rsidP="00DD3106">
      <w:pPr>
        <w:pStyle w:val="BodyText"/>
        <w:spacing w:before="240"/>
        <w:jc w:val="both"/>
      </w:pPr>
      <w:r w:rsidRPr="0018386D">
        <w:t xml:space="preserve">The passenger loading per bus for the different regions for </w:t>
      </w:r>
      <w:r w:rsidR="003E1714" w:rsidRPr="0018386D">
        <w:t>2020/21</w:t>
      </w:r>
      <w:r w:rsidRPr="0018386D">
        <w:t xml:space="preserve"> is shown</w:t>
      </w:r>
      <w:r w:rsidR="00583648" w:rsidRPr="0018386D">
        <w:t xml:space="preserve"> in</w:t>
      </w:r>
      <w:r w:rsidR="004935B0" w:rsidRPr="0018386D">
        <w:t xml:space="preserve"> </w:t>
      </w:r>
      <w:hyperlink w:anchor="table29" w:history="1">
        <w:r w:rsidR="004935B0" w:rsidRPr="0018386D">
          <w:rPr>
            <w:rStyle w:val="Hyperlink"/>
          </w:rPr>
          <w:t>table 2</w:t>
        </w:r>
        <w:r w:rsidR="00D23EE9" w:rsidRPr="0018386D">
          <w:rPr>
            <w:rStyle w:val="Hyperlink"/>
          </w:rPr>
          <w:t>9</w:t>
        </w:r>
        <w:r w:rsidR="00516258" w:rsidRPr="0018386D">
          <w:rPr>
            <w:rStyle w:val="Hyperlink"/>
          </w:rPr>
          <w:t>.</w:t>
        </w:r>
      </w:hyperlink>
    </w:p>
    <w:p w14:paraId="19AA929E" w14:textId="388BC9A4" w:rsidR="00A469F8" w:rsidRPr="0018386D" w:rsidRDefault="00EF550C" w:rsidP="00DD3106">
      <w:pPr>
        <w:pStyle w:val="Tableheading"/>
      </w:pPr>
      <w:bookmarkStart w:id="460" w:name="_Ref53065955"/>
      <w:bookmarkStart w:id="461" w:name="table29"/>
      <w:bookmarkStart w:id="462" w:name="_Toc111536634"/>
      <w:bookmarkStart w:id="463" w:name="_Toc140048969"/>
      <w:r w:rsidRPr="0018386D">
        <w:t xml:space="preserve">Table </w:t>
      </w:r>
      <w:r w:rsidRPr="0018386D">
        <w:fldChar w:fldCharType="begin"/>
      </w:r>
      <w:r w:rsidRPr="0018386D">
        <w:instrText>SEQ Table \* ARABIC</w:instrText>
      </w:r>
      <w:r w:rsidRPr="0018386D">
        <w:fldChar w:fldCharType="separate"/>
      </w:r>
      <w:r w:rsidR="003E141C" w:rsidRPr="0018386D">
        <w:t>29</w:t>
      </w:r>
      <w:r w:rsidRPr="0018386D">
        <w:fldChar w:fldCharType="end"/>
      </w:r>
      <w:bookmarkEnd w:id="460"/>
      <w:bookmarkEnd w:id="461"/>
      <w:r w:rsidRPr="0018386D">
        <w:t>:</w:t>
      </w:r>
      <w:r w:rsidR="009B2935" w:rsidRPr="0018386D">
        <w:tab/>
      </w:r>
      <w:r w:rsidR="000D674C" w:rsidRPr="0018386D">
        <w:t xml:space="preserve">National bus passenger loading by </w:t>
      </w:r>
      <w:proofErr w:type="gramStart"/>
      <w:r w:rsidR="000D674C" w:rsidRPr="0018386D">
        <w:t>region</w:t>
      </w:r>
      <w:bookmarkEnd w:id="462"/>
      <w:bookmarkEnd w:id="463"/>
      <w:proofErr w:type="gramEnd"/>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53"/>
        <w:gridCol w:w="2697"/>
        <w:gridCol w:w="1555"/>
      </w:tblGrid>
      <w:tr w:rsidR="000D674C" w:rsidRPr="0018386D" w14:paraId="59D9A6CE" w14:textId="77777777" w:rsidTr="0098224E">
        <w:trPr>
          <w:trHeight w:val="264"/>
          <w:tblHeader/>
        </w:trPr>
        <w:tc>
          <w:tcPr>
            <w:tcW w:w="4253" w:type="dxa"/>
            <w:shd w:val="clear" w:color="auto" w:fill="1B556B" w:themeFill="text2"/>
          </w:tcPr>
          <w:p w14:paraId="22CF0E2F" w14:textId="77777777" w:rsidR="000D674C" w:rsidRPr="0018386D" w:rsidRDefault="000D674C" w:rsidP="00DD3106">
            <w:pPr>
              <w:pStyle w:val="TableText"/>
              <w:spacing w:before="40" w:after="40"/>
              <w:rPr>
                <w:b/>
                <w:color w:val="FFFFFF" w:themeColor="background1"/>
              </w:rPr>
            </w:pPr>
            <w:bookmarkStart w:id="464" w:name="_Ref53066944"/>
            <w:r w:rsidRPr="0018386D">
              <w:rPr>
                <w:b/>
                <w:color w:val="FFFFFF" w:themeColor="background1"/>
              </w:rPr>
              <w:t>Region</w:t>
            </w:r>
          </w:p>
        </w:tc>
        <w:tc>
          <w:tcPr>
            <w:tcW w:w="2697" w:type="dxa"/>
            <w:shd w:val="clear" w:color="auto" w:fill="1B556B" w:themeFill="text2"/>
          </w:tcPr>
          <w:p w14:paraId="7C5FDDFD" w14:textId="2C003B31" w:rsidR="000D674C" w:rsidRPr="0018386D" w:rsidRDefault="000D674C" w:rsidP="00DD3106">
            <w:pPr>
              <w:pStyle w:val="TableText"/>
              <w:spacing w:before="40" w:after="40"/>
              <w:rPr>
                <w:b/>
                <w:color w:val="FFFFFF" w:themeColor="background1"/>
              </w:rPr>
            </w:pPr>
            <w:r w:rsidRPr="0018386D">
              <w:rPr>
                <w:b/>
                <w:color w:val="FFFFFF" w:themeColor="background1"/>
              </w:rPr>
              <w:t>Unit</w:t>
            </w:r>
          </w:p>
        </w:tc>
        <w:tc>
          <w:tcPr>
            <w:tcW w:w="0" w:type="auto"/>
            <w:shd w:val="clear" w:color="auto" w:fill="1B556B" w:themeFill="text2"/>
          </w:tcPr>
          <w:p w14:paraId="04D4269A" w14:textId="11079FBD" w:rsidR="000D674C" w:rsidRPr="0018386D" w:rsidRDefault="000D674C" w:rsidP="00DD3106">
            <w:pPr>
              <w:pStyle w:val="TableText"/>
              <w:spacing w:before="40" w:after="40"/>
              <w:rPr>
                <w:b/>
                <w:color w:val="FFFFFF" w:themeColor="background1"/>
              </w:rPr>
            </w:pPr>
            <w:r w:rsidRPr="0018386D">
              <w:rPr>
                <w:b/>
                <w:color w:val="FFFFFF" w:themeColor="background1"/>
              </w:rPr>
              <w:t>End Use</w:t>
            </w:r>
          </w:p>
        </w:tc>
      </w:tr>
      <w:tr w:rsidR="000D674C" w:rsidRPr="0018386D" w14:paraId="0B58ED7B" w14:textId="77777777" w:rsidTr="002F65AC">
        <w:trPr>
          <w:trHeight w:val="253"/>
        </w:trPr>
        <w:tc>
          <w:tcPr>
            <w:tcW w:w="4253" w:type="dxa"/>
          </w:tcPr>
          <w:p w14:paraId="0DE103E8" w14:textId="756A2971" w:rsidR="000D674C" w:rsidRPr="0018386D" w:rsidRDefault="000D674C" w:rsidP="00DD3106">
            <w:pPr>
              <w:pStyle w:val="TableText"/>
              <w:spacing w:before="40" w:after="40"/>
            </w:pPr>
            <w:r w:rsidRPr="0018386D">
              <w:t>National</w:t>
            </w:r>
            <w:r w:rsidR="003E1714" w:rsidRPr="0018386D">
              <w:t xml:space="preserve"> </w:t>
            </w:r>
            <w:r w:rsidR="00435A8B" w:rsidRPr="0018386D">
              <w:t>a</w:t>
            </w:r>
            <w:r w:rsidR="003E1714" w:rsidRPr="0018386D">
              <w:t>verage</w:t>
            </w:r>
          </w:p>
        </w:tc>
        <w:tc>
          <w:tcPr>
            <w:tcW w:w="2697" w:type="dxa"/>
          </w:tcPr>
          <w:p w14:paraId="0C5F914F" w14:textId="67DC6A64" w:rsidR="000D674C" w:rsidRPr="0018386D" w:rsidRDefault="000D674C" w:rsidP="00DD3106">
            <w:pPr>
              <w:pStyle w:val="TableText"/>
              <w:spacing w:before="40" w:after="40"/>
            </w:pPr>
            <w:r w:rsidRPr="0018386D">
              <w:t>Passenger/bus</w:t>
            </w:r>
          </w:p>
        </w:tc>
        <w:tc>
          <w:tcPr>
            <w:tcW w:w="0" w:type="auto"/>
          </w:tcPr>
          <w:p w14:paraId="495635C0" w14:textId="61CF200A" w:rsidR="000D674C" w:rsidRPr="0018386D" w:rsidRDefault="003E1714" w:rsidP="00DD3106">
            <w:pPr>
              <w:pStyle w:val="TableText"/>
              <w:spacing w:before="40" w:after="40"/>
            </w:pPr>
            <w:r w:rsidRPr="0018386D">
              <w:t>7</w:t>
            </w:r>
          </w:p>
        </w:tc>
      </w:tr>
      <w:tr w:rsidR="000D674C" w:rsidRPr="0018386D" w14:paraId="20B3FE64" w14:textId="77777777" w:rsidTr="002F65AC">
        <w:trPr>
          <w:trHeight w:val="253"/>
        </w:trPr>
        <w:tc>
          <w:tcPr>
            <w:tcW w:w="4253" w:type="dxa"/>
          </w:tcPr>
          <w:p w14:paraId="6D9B3C48" w14:textId="02708F44" w:rsidR="000D674C" w:rsidRPr="0018386D" w:rsidRDefault="000D674C" w:rsidP="00DD3106">
            <w:pPr>
              <w:pStyle w:val="TableText"/>
              <w:spacing w:before="40" w:after="40"/>
            </w:pPr>
            <w:r w:rsidRPr="0018386D">
              <w:t>Auckland</w:t>
            </w:r>
          </w:p>
        </w:tc>
        <w:tc>
          <w:tcPr>
            <w:tcW w:w="2697" w:type="dxa"/>
          </w:tcPr>
          <w:p w14:paraId="776483A0" w14:textId="71C4A1ED" w:rsidR="000D674C" w:rsidRPr="0018386D" w:rsidRDefault="000D674C" w:rsidP="00DD3106">
            <w:pPr>
              <w:pStyle w:val="TableText"/>
              <w:spacing w:before="40" w:after="40"/>
            </w:pPr>
            <w:r w:rsidRPr="0018386D">
              <w:t>Passenger/bus</w:t>
            </w:r>
          </w:p>
        </w:tc>
        <w:tc>
          <w:tcPr>
            <w:tcW w:w="0" w:type="auto"/>
          </w:tcPr>
          <w:p w14:paraId="661A7980" w14:textId="620D09A8" w:rsidR="000D674C" w:rsidRPr="0018386D" w:rsidRDefault="003E1714" w:rsidP="00DD3106">
            <w:pPr>
              <w:pStyle w:val="TableText"/>
              <w:spacing w:before="40" w:after="40"/>
            </w:pPr>
            <w:r w:rsidRPr="0018386D">
              <w:t>7</w:t>
            </w:r>
          </w:p>
        </w:tc>
      </w:tr>
      <w:tr w:rsidR="000D674C" w:rsidRPr="0018386D" w14:paraId="31AE8A19" w14:textId="77777777" w:rsidTr="002F65AC">
        <w:trPr>
          <w:trHeight w:val="253"/>
        </w:trPr>
        <w:tc>
          <w:tcPr>
            <w:tcW w:w="4253" w:type="dxa"/>
          </w:tcPr>
          <w:p w14:paraId="23136EB2" w14:textId="74BB57B8" w:rsidR="000D674C" w:rsidRPr="0018386D" w:rsidRDefault="000D674C" w:rsidP="00DD3106">
            <w:pPr>
              <w:pStyle w:val="TableText"/>
              <w:spacing w:before="40" w:after="40"/>
            </w:pPr>
            <w:r w:rsidRPr="0018386D">
              <w:t>Bay of Plenty</w:t>
            </w:r>
          </w:p>
        </w:tc>
        <w:tc>
          <w:tcPr>
            <w:tcW w:w="2697" w:type="dxa"/>
          </w:tcPr>
          <w:p w14:paraId="3B8A5DB5" w14:textId="1AF80BA0" w:rsidR="000D674C" w:rsidRPr="0018386D" w:rsidRDefault="000D674C" w:rsidP="00DD3106">
            <w:pPr>
              <w:pStyle w:val="TableText"/>
              <w:spacing w:before="40" w:after="40"/>
            </w:pPr>
            <w:r w:rsidRPr="0018386D">
              <w:t>Passenger/bus</w:t>
            </w:r>
          </w:p>
        </w:tc>
        <w:tc>
          <w:tcPr>
            <w:tcW w:w="0" w:type="auto"/>
          </w:tcPr>
          <w:p w14:paraId="4639C7B0" w14:textId="29384CB2" w:rsidR="000D674C" w:rsidRPr="0018386D" w:rsidRDefault="008F6CEE" w:rsidP="00DD3106">
            <w:pPr>
              <w:pStyle w:val="TableText"/>
              <w:spacing w:before="40" w:after="40"/>
            </w:pPr>
            <w:r w:rsidRPr="0018386D">
              <w:t>3</w:t>
            </w:r>
          </w:p>
        </w:tc>
      </w:tr>
      <w:tr w:rsidR="000D674C" w:rsidRPr="0018386D" w14:paraId="63D17507" w14:textId="77777777" w:rsidTr="002F65AC">
        <w:trPr>
          <w:trHeight w:val="253"/>
        </w:trPr>
        <w:tc>
          <w:tcPr>
            <w:tcW w:w="4253" w:type="dxa"/>
          </w:tcPr>
          <w:p w14:paraId="192F2D38" w14:textId="587CF4AB" w:rsidR="000D674C" w:rsidRPr="0018386D" w:rsidRDefault="000D674C" w:rsidP="00DD3106">
            <w:pPr>
              <w:pStyle w:val="TableText"/>
              <w:spacing w:before="40" w:after="40"/>
            </w:pPr>
            <w:r w:rsidRPr="0018386D">
              <w:t>Canterbury</w:t>
            </w:r>
          </w:p>
        </w:tc>
        <w:tc>
          <w:tcPr>
            <w:tcW w:w="2697" w:type="dxa"/>
          </w:tcPr>
          <w:p w14:paraId="41E67C49" w14:textId="79C1007F" w:rsidR="000D674C" w:rsidRPr="0018386D" w:rsidRDefault="000D674C" w:rsidP="00DD3106">
            <w:pPr>
              <w:pStyle w:val="TableText"/>
              <w:spacing w:before="40" w:after="40"/>
            </w:pPr>
            <w:r w:rsidRPr="0018386D">
              <w:t>Passenger/bus</w:t>
            </w:r>
          </w:p>
        </w:tc>
        <w:tc>
          <w:tcPr>
            <w:tcW w:w="0" w:type="auto"/>
          </w:tcPr>
          <w:p w14:paraId="423AC62D" w14:textId="04C4D48F" w:rsidR="000D674C" w:rsidRPr="0018386D" w:rsidRDefault="008F6CEE" w:rsidP="00DD3106">
            <w:pPr>
              <w:pStyle w:val="TableText"/>
              <w:spacing w:before="40" w:after="40"/>
            </w:pPr>
            <w:r w:rsidRPr="0018386D">
              <w:rPr>
                <w:i/>
                <w:iCs/>
              </w:rPr>
              <w:t xml:space="preserve">Missing </w:t>
            </w:r>
            <w:r w:rsidR="00435A8B" w:rsidRPr="0018386D">
              <w:rPr>
                <w:i/>
                <w:iCs/>
              </w:rPr>
              <w:t>d</w:t>
            </w:r>
            <w:r w:rsidRPr="0018386D">
              <w:rPr>
                <w:i/>
                <w:iCs/>
              </w:rPr>
              <w:t>ata</w:t>
            </w:r>
          </w:p>
        </w:tc>
      </w:tr>
      <w:tr w:rsidR="000D674C" w:rsidRPr="0018386D" w14:paraId="30F240C1" w14:textId="77777777" w:rsidTr="002F65AC">
        <w:trPr>
          <w:trHeight w:val="253"/>
        </w:trPr>
        <w:tc>
          <w:tcPr>
            <w:tcW w:w="4253" w:type="dxa"/>
          </w:tcPr>
          <w:p w14:paraId="5D57EDAE" w14:textId="0CF0FCB1" w:rsidR="000D674C" w:rsidRPr="0018386D" w:rsidRDefault="000D674C" w:rsidP="00DD3106">
            <w:pPr>
              <w:pStyle w:val="TableText"/>
              <w:spacing w:before="40" w:after="40"/>
            </w:pPr>
            <w:r w:rsidRPr="0018386D">
              <w:t>Gisborne</w:t>
            </w:r>
          </w:p>
        </w:tc>
        <w:tc>
          <w:tcPr>
            <w:tcW w:w="2697" w:type="dxa"/>
          </w:tcPr>
          <w:p w14:paraId="11462260" w14:textId="2956A160" w:rsidR="000D674C" w:rsidRPr="0018386D" w:rsidRDefault="000D674C" w:rsidP="00DD3106">
            <w:pPr>
              <w:pStyle w:val="TableText"/>
              <w:spacing w:before="40" w:after="40"/>
            </w:pPr>
            <w:r w:rsidRPr="0018386D">
              <w:t>Passenger/bus</w:t>
            </w:r>
          </w:p>
        </w:tc>
        <w:tc>
          <w:tcPr>
            <w:tcW w:w="0" w:type="auto"/>
          </w:tcPr>
          <w:p w14:paraId="4AA18182" w14:textId="1D61D8EC" w:rsidR="000D674C" w:rsidRPr="0018386D" w:rsidRDefault="000D674C" w:rsidP="00DD3106">
            <w:pPr>
              <w:pStyle w:val="TableText"/>
              <w:spacing w:before="40" w:after="40"/>
            </w:pPr>
            <w:r w:rsidRPr="0018386D">
              <w:t>8</w:t>
            </w:r>
          </w:p>
        </w:tc>
      </w:tr>
      <w:tr w:rsidR="000D674C" w:rsidRPr="0018386D" w14:paraId="2F5E64F4" w14:textId="77777777" w:rsidTr="002F65AC">
        <w:trPr>
          <w:trHeight w:val="253"/>
        </w:trPr>
        <w:tc>
          <w:tcPr>
            <w:tcW w:w="4253" w:type="dxa"/>
          </w:tcPr>
          <w:p w14:paraId="62913792" w14:textId="35852278" w:rsidR="000D674C" w:rsidRPr="0018386D" w:rsidRDefault="000D674C" w:rsidP="00DD3106">
            <w:pPr>
              <w:pStyle w:val="TableText"/>
              <w:spacing w:before="40" w:after="40"/>
            </w:pPr>
            <w:r w:rsidRPr="0018386D">
              <w:t>Hawkes Bay</w:t>
            </w:r>
          </w:p>
        </w:tc>
        <w:tc>
          <w:tcPr>
            <w:tcW w:w="2697" w:type="dxa"/>
          </w:tcPr>
          <w:p w14:paraId="780DD8A4" w14:textId="2748E8FD" w:rsidR="000D674C" w:rsidRPr="0018386D" w:rsidRDefault="000D674C" w:rsidP="00DD3106">
            <w:pPr>
              <w:pStyle w:val="TableText"/>
              <w:spacing w:before="40" w:after="40"/>
            </w:pPr>
            <w:r w:rsidRPr="0018386D">
              <w:t>Passenger/bus</w:t>
            </w:r>
          </w:p>
        </w:tc>
        <w:tc>
          <w:tcPr>
            <w:tcW w:w="0" w:type="auto"/>
          </w:tcPr>
          <w:p w14:paraId="463D0E67" w14:textId="76734EC2" w:rsidR="000D674C" w:rsidRPr="0018386D" w:rsidRDefault="008F6CEE" w:rsidP="00DD3106">
            <w:pPr>
              <w:pStyle w:val="TableText"/>
              <w:spacing w:before="40" w:after="40"/>
            </w:pPr>
            <w:r w:rsidRPr="0018386D">
              <w:t>1</w:t>
            </w:r>
          </w:p>
        </w:tc>
      </w:tr>
      <w:tr w:rsidR="000D674C" w:rsidRPr="0018386D" w14:paraId="235A74F9" w14:textId="77777777" w:rsidTr="002F65AC">
        <w:trPr>
          <w:trHeight w:val="253"/>
        </w:trPr>
        <w:tc>
          <w:tcPr>
            <w:tcW w:w="4253" w:type="dxa"/>
          </w:tcPr>
          <w:p w14:paraId="0486BF05" w14:textId="0E1B12D9" w:rsidR="000D674C" w:rsidRPr="0018386D" w:rsidRDefault="000D674C" w:rsidP="00DD3106">
            <w:pPr>
              <w:pStyle w:val="TableText"/>
              <w:spacing w:before="40" w:after="40"/>
            </w:pPr>
            <w:r w:rsidRPr="0018386D">
              <w:t>Manawat</w:t>
            </w:r>
            <w:r w:rsidR="00435A8B" w:rsidRPr="0018386D">
              <w:rPr>
                <w:rFonts w:cs="Calibri"/>
              </w:rPr>
              <w:t>ū</w:t>
            </w:r>
            <w:r w:rsidRPr="0018386D">
              <w:t>-Whanganui</w:t>
            </w:r>
          </w:p>
        </w:tc>
        <w:tc>
          <w:tcPr>
            <w:tcW w:w="2697" w:type="dxa"/>
          </w:tcPr>
          <w:p w14:paraId="405AC2F6" w14:textId="3B6CE10A" w:rsidR="000D674C" w:rsidRPr="0018386D" w:rsidRDefault="000D674C" w:rsidP="00DD3106">
            <w:pPr>
              <w:pStyle w:val="TableText"/>
              <w:spacing w:before="40" w:after="40"/>
            </w:pPr>
            <w:r w:rsidRPr="0018386D">
              <w:t>Passenger/bus</w:t>
            </w:r>
          </w:p>
        </w:tc>
        <w:tc>
          <w:tcPr>
            <w:tcW w:w="0" w:type="auto"/>
          </w:tcPr>
          <w:p w14:paraId="74F62E48" w14:textId="40A16130" w:rsidR="000D674C" w:rsidRPr="0018386D" w:rsidRDefault="008F6CEE" w:rsidP="00DD3106">
            <w:pPr>
              <w:pStyle w:val="TableText"/>
              <w:spacing w:before="40" w:after="40"/>
            </w:pPr>
            <w:r w:rsidRPr="0018386D">
              <w:t>5</w:t>
            </w:r>
          </w:p>
        </w:tc>
      </w:tr>
      <w:tr w:rsidR="000D674C" w:rsidRPr="0018386D" w14:paraId="1BD781A1" w14:textId="77777777" w:rsidTr="002F65AC">
        <w:trPr>
          <w:trHeight w:val="253"/>
        </w:trPr>
        <w:tc>
          <w:tcPr>
            <w:tcW w:w="4253" w:type="dxa"/>
          </w:tcPr>
          <w:p w14:paraId="3068E3CD" w14:textId="35960B0F" w:rsidR="000D674C" w:rsidRPr="0018386D" w:rsidRDefault="000D674C" w:rsidP="00DD3106">
            <w:pPr>
              <w:pStyle w:val="TableText"/>
              <w:spacing w:before="40" w:after="40"/>
            </w:pPr>
            <w:r w:rsidRPr="0018386D">
              <w:t>Marlborough-Nelson-Tasman</w:t>
            </w:r>
          </w:p>
        </w:tc>
        <w:tc>
          <w:tcPr>
            <w:tcW w:w="2697" w:type="dxa"/>
          </w:tcPr>
          <w:p w14:paraId="42F80B69" w14:textId="1AB277CB" w:rsidR="000D674C" w:rsidRPr="0018386D" w:rsidRDefault="000D674C" w:rsidP="00DD3106">
            <w:pPr>
              <w:pStyle w:val="TableText"/>
              <w:spacing w:before="40" w:after="40"/>
            </w:pPr>
            <w:r w:rsidRPr="0018386D">
              <w:t>Passenger/bus</w:t>
            </w:r>
          </w:p>
        </w:tc>
        <w:tc>
          <w:tcPr>
            <w:tcW w:w="0" w:type="auto"/>
          </w:tcPr>
          <w:p w14:paraId="40DA901D" w14:textId="0695A586" w:rsidR="000D674C" w:rsidRPr="0018386D" w:rsidRDefault="000D674C" w:rsidP="00DD3106">
            <w:pPr>
              <w:pStyle w:val="TableText"/>
              <w:spacing w:before="40" w:after="40"/>
            </w:pPr>
            <w:r w:rsidRPr="0018386D">
              <w:t>6</w:t>
            </w:r>
          </w:p>
        </w:tc>
      </w:tr>
      <w:tr w:rsidR="000D674C" w:rsidRPr="0018386D" w14:paraId="7A4C6636" w14:textId="77777777" w:rsidTr="002F65AC">
        <w:trPr>
          <w:trHeight w:val="253"/>
        </w:trPr>
        <w:tc>
          <w:tcPr>
            <w:tcW w:w="4253" w:type="dxa"/>
          </w:tcPr>
          <w:p w14:paraId="093029AC" w14:textId="4966F9C7" w:rsidR="000D674C" w:rsidRPr="0018386D" w:rsidRDefault="000D674C" w:rsidP="00DD3106">
            <w:pPr>
              <w:pStyle w:val="TableText"/>
              <w:spacing w:before="40" w:after="40"/>
            </w:pPr>
            <w:r w:rsidRPr="0018386D">
              <w:t>Northland</w:t>
            </w:r>
          </w:p>
        </w:tc>
        <w:tc>
          <w:tcPr>
            <w:tcW w:w="2697" w:type="dxa"/>
          </w:tcPr>
          <w:p w14:paraId="17BB670E" w14:textId="26AC1AE5" w:rsidR="000D674C" w:rsidRPr="0018386D" w:rsidRDefault="000D674C" w:rsidP="00DD3106">
            <w:pPr>
              <w:pStyle w:val="TableText"/>
              <w:spacing w:before="40" w:after="40"/>
            </w:pPr>
            <w:r w:rsidRPr="0018386D">
              <w:t>Passenger/bus</w:t>
            </w:r>
          </w:p>
        </w:tc>
        <w:tc>
          <w:tcPr>
            <w:tcW w:w="0" w:type="auto"/>
          </w:tcPr>
          <w:p w14:paraId="0B6D4713" w14:textId="0A1A39E5" w:rsidR="000D674C" w:rsidRPr="0018386D" w:rsidRDefault="008F6CEE" w:rsidP="00DD3106">
            <w:pPr>
              <w:pStyle w:val="TableText"/>
              <w:spacing w:before="40" w:after="40"/>
            </w:pPr>
            <w:r w:rsidRPr="0018386D">
              <w:t>8</w:t>
            </w:r>
          </w:p>
        </w:tc>
      </w:tr>
      <w:tr w:rsidR="000D674C" w:rsidRPr="0018386D" w14:paraId="1D6F9D1D" w14:textId="77777777" w:rsidTr="002F65AC">
        <w:trPr>
          <w:trHeight w:val="253"/>
        </w:trPr>
        <w:tc>
          <w:tcPr>
            <w:tcW w:w="4253" w:type="dxa"/>
          </w:tcPr>
          <w:p w14:paraId="5A855CEB" w14:textId="71CD6576" w:rsidR="000D674C" w:rsidRPr="0018386D" w:rsidRDefault="000D674C" w:rsidP="00DD3106">
            <w:pPr>
              <w:pStyle w:val="TableText"/>
              <w:spacing w:before="40" w:after="40"/>
            </w:pPr>
            <w:r w:rsidRPr="0018386D">
              <w:t>Otago</w:t>
            </w:r>
          </w:p>
        </w:tc>
        <w:tc>
          <w:tcPr>
            <w:tcW w:w="2697" w:type="dxa"/>
          </w:tcPr>
          <w:p w14:paraId="494A9290" w14:textId="094659AB" w:rsidR="000D674C" w:rsidRPr="0018386D" w:rsidRDefault="000D674C" w:rsidP="00DD3106">
            <w:pPr>
              <w:pStyle w:val="TableText"/>
              <w:spacing w:before="40" w:after="40"/>
            </w:pPr>
            <w:r w:rsidRPr="0018386D">
              <w:t>Passenger/bus</w:t>
            </w:r>
          </w:p>
        </w:tc>
        <w:tc>
          <w:tcPr>
            <w:tcW w:w="0" w:type="auto"/>
          </w:tcPr>
          <w:p w14:paraId="4CE58D6E" w14:textId="3FAEB858" w:rsidR="000D674C" w:rsidRPr="0018386D" w:rsidRDefault="00DF4B5B" w:rsidP="00DD3106">
            <w:pPr>
              <w:pStyle w:val="TableText"/>
              <w:spacing w:before="40" w:after="40"/>
            </w:pPr>
            <w:r w:rsidRPr="0018386D">
              <w:rPr>
                <w:i/>
                <w:iCs/>
              </w:rPr>
              <w:t xml:space="preserve">Missing </w:t>
            </w:r>
            <w:r w:rsidR="00435A8B" w:rsidRPr="0018386D">
              <w:rPr>
                <w:i/>
                <w:iCs/>
              </w:rPr>
              <w:t>d</w:t>
            </w:r>
            <w:r w:rsidRPr="0018386D">
              <w:rPr>
                <w:i/>
                <w:iCs/>
              </w:rPr>
              <w:t>ata</w:t>
            </w:r>
          </w:p>
        </w:tc>
      </w:tr>
      <w:tr w:rsidR="000D674C" w:rsidRPr="0018386D" w14:paraId="199F0328" w14:textId="77777777" w:rsidTr="002F65AC">
        <w:trPr>
          <w:trHeight w:val="253"/>
        </w:trPr>
        <w:tc>
          <w:tcPr>
            <w:tcW w:w="4253" w:type="dxa"/>
          </w:tcPr>
          <w:p w14:paraId="22AC8239" w14:textId="37BA67FD" w:rsidR="000D674C" w:rsidRPr="0018386D" w:rsidRDefault="000D674C" w:rsidP="00DD3106">
            <w:pPr>
              <w:pStyle w:val="TableText"/>
              <w:spacing w:before="40" w:after="40"/>
            </w:pPr>
            <w:r w:rsidRPr="0018386D">
              <w:lastRenderedPageBreak/>
              <w:t>Southland</w:t>
            </w:r>
          </w:p>
        </w:tc>
        <w:tc>
          <w:tcPr>
            <w:tcW w:w="2697" w:type="dxa"/>
          </w:tcPr>
          <w:p w14:paraId="4F0C7EC7" w14:textId="619BEC29" w:rsidR="000D674C" w:rsidRPr="0018386D" w:rsidRDefault="000D674C" w:rsidP="00DD3106">
            <w:pPr>
              <w:pStyle w:val="TableText"/>
              <w:spacing w:before="40" w:after="40"/>
            </w:pPr>
            <w:r w:rsidRPr="0018386D">
              <w:t>Passenger/bus</w:t>
            </w:r>
          </w:p>
        </w:tc>
        <w:tc>
          <w:tcPr>
            <w:tcW w:w="0" w:type="auto"/>
          </w:tcPr>
          <w:p w14:paraId="2D68695E" w14:textId="46FD4C9D" w:rsidR="000D674C" w:rsidRPr="0018386D" w:rsidRDefault="00DF4B5B" w:rsidP="00DD3106">
            <w:pPr>
              <w:pStyle w:val="TableText"/>
              <w:spacing w:before="40" w:after="40"/>
            </w:pPr>
            <w:r w:rsidRPr="0018386D">
              <w:t>3</w:t>
            </w:r>
          </w:p>
        </w:tc>
      </w:tr>
      <w:tr w:rsidR="000D674C" w:rsidRPr="0018386D" w14:paraId="701A3D8E" w14:textId="77777777" w:rsidTr="002F65AC">
        <w:trPr>
          <w:trHeight w:val="253"/>
        </w:trPr>
        <w:tc>
          <w:tcPr>
            <w:tcW w:w="4253" w:type="dxa"/>
          </w:tcPr>
          <w:p w14:paraId="2E245BB3" w14:textId="223D8C25" w:rsidR="000D674C" w:rsidRPr="0018386D" w:rsidRDefault="000D674C" w:rsidP="00DD3106">
            <w:pPr>
              <w:pStyle w:val="TableText"/>
              <w:spacing w:before="40" w:after="40"/>
            </w:pPr>
            <w:r w:rsidRPr="0018386D">
              <w:t>Taranaki</w:t>
            </w:r>
          </w:p>
        </w:tc>
        <w:tc>
          <w:tcPr>
            <w:tcW w:w="2697" w:type="dxa"/>
          </w:tcPr>
          <w:p w14:paraId="43DEA65D" w14:textId="77BAC6D2" w:rsidR="000D674C" w:rsidRPr="0018386D" w:rsidRDefault="000D674C" w:rsidP="00DD3106">
            <w:pPr>
              <w:pStyle w:val="TableText"/>
              <w:spacing w:before="40" w:after="40"/>
            </w:pPr>
            <w:r w:rsidRPr="0018386D">
              <w:t>Passenger/bus</w:t>
            </w:r>
          </w:p>
        </w:tc>
        <w:tc>
          <w:tcPr>
            <w:tcW w:w="0" w:type="auto"/>
          </w:tcPr>
          <w:p w14:paraId="4FA10A70" w14:textId="7E70F60D" w:rsidR="000D674C" w:rsidRPr="0018386D" w:rsidRDefault="00DF4B5B" w:rsidP="00DD3106">
            <w:pPr>
              <w:pStyle w:val="TableText"/>
              <w:spacing w:before="40" w:after="40"/>
            </w:pPr>
            <w:r w:rsidRPr="0018386D">
              <w:t>12</w:t>
            </w:r>
          </w:p>
        </w:tc>
      </w:tr>
      <w:tr w:rsidR="000D674C" w:rsidRPr="0018386D" w14:paraId="0245407E" w14:textId="77777777" w:rsidTr="002F65AC">
        <w:trPr>
          <w:trHeight w:val="253"/>
        </w:trPr>
        <w:tc>
          <w:tcPr>
            <w:tcW w:w="4253" w:type="dxa"/>
          </w:tcPr>
          <w:p w14:paraId="19BD1E35" w14:textId="2BF27021" w:rsidR="000D674C" w:rsidRPr="0018386D" w:rsidRDefault="000D674C" w:rsidP="00DD3106">
            <w:pPr>
              <w:pStyle w:val="TableText"/>
              <w:spacing w:before="40" w:after="40"/>
            </w:pPr>
            <w:r w:rsidRPr="0018386D">
              <w:t>Waikato</w:t>
            </w:r>
          </w:p>
        </w:tc>
        <w:tc>
          <w:tcPr>
            <w:tcW w:w="2697" w:type="dxa"/>
          </w:tcPr>
          <w:p w14:paraId="073C9E11" w14:textId="4FB9A6B3" w:rsidR="000D674C" w:rsidRPr="0018386D" w:rsidRDefault="000D674C" w:rsidP="00DD3106">
            <w:pPr>
              <w:pStyle w:val="TableText"/>
              <w:spacing w:before="40" w:after="40"/>
            </w:pPr>
            <w:r w:rsidRPr="0018386D">
              <w:t>Passenger/bus</w:t>
            </w:r>
          </w:p>
        </w:tc>
        <w:tc>
          <w:tcPr>
            <w:tcW w:w="0" w:type="auto"/>
          </w:tcPr>
          <w:p w14:paraId="3B88983D" w14:textId="4E9C5AD1" w:rsidR="000D674C" w:rsidRPr="0018386D" w:rsidRDefault="00DF4B5B" w:rsidP="00DD3106">
            <w:pPr>
              <w:pStyle w:val="TableText"/>
              <w:spacing w:before="40" w:after="40"/>
            </w:pPr>
            <w:r w:rsidRPr="0018386D">
              <w:t>4</w:t>
            </w:r>
          </w:p>
        </w:tc>
      </w:tr>
      <w:tr w:rsidR="000D674C" w:rsidRPr="0018386D" w14:paraId="6443EDBD" w14:textId="77777777" w:rsidTr="002F65AC">
        <w:trPr>
          <w:trHeight w:val="253"/>
        </w:trPr>
        <w:tc>
          <w:tcPr>
            <w:tcW w:w="4253" w:type="dxa"/>
          </w:tcPr>
          <w:p w14:paraId="343A72D2" w14:textId="499FB23F" w:rsidR="000D674C" w:rsidRPr="0018386D" w:rsidRDefault="000D674C" w:rsidP="00DD3106">
            <w:pPr>
              <w:pStyle w:val="TableText"/>
              <w:spacing w:before="40" w:after="40"/>
            </w:pPr>
            <w:r w:rsidRPr="0018386D">
              <w:t>Wellington</w:t>
            </w:r>
          </w:p>
        </w:tc>
        <w:tc>
          <w:tcPr>
            <w:tcW w:w="2697" w:type="dxa"/>
          </w:tcPr>
          <w:p w14:paraId="4153BEE7" w14:textId="17F42347" w:rsidR="000D674C" w:rsidRPr="0018386D" w:rsidRDefault="000D674C" w:rsidP="00DD3106">
            <w:pPr>
              <w:pStyle w:val="TableText"/>
              <w:spacing w:before="40" w:after="40"/>
            </w:pPr>
            <w:r w:rsidRPr="0018386D">
              <w:t>Passenger/bus</w:t>
            </w:r>
          </w:p>
        </w:tc>
        <w:tc>
          <w:tcPr>
            <w:tcW w:w="0" w:type="auto"/>
          </w:tcPr>
          <w:p w14:paraId="44CF6AE0" w14:textId="5F54D4C6" w:rsidR="000D674C" w:rsidRPr="0018386D" w:rsidRDefault="00DF4B5B" w:rsidP="00DD3106">
            <w:pPr>
              <w:pStyle w:val="TableText"/>
              <w:spacing w:before="40" w:after="40"/>
            </w:pPr>
            <w:r w:rsidRPr="0018386D">
              <w:t>20</w:t>
            </w:r>
          </w:p>
        </w:tc>
      </w:tr>
    </w:tbl>
    <w:p w14:paraId="60DADD8F" w14:textId="28C5A8A1" w:rsidR="000D674C" w:rsidRPr="0018386D" w:rsidRDefault="000D674C" w:rsidP="00DD3106">
      <w:pPr>
        <w:pStyle w:val="BodyText"/>
      </w:pPr>
      <w:r w:rsidRPr="0018386D">
        <w:t xml:space="preserve">We then divided the per km emission factor for diesel buses in </w:t>
      </w:r>
      <w:hyperlink w:anchor="table28" w:history="1">
        <w:r w:rsidR="0068073F" w:rsidRPr="0018386D">
          <w:rPr>
            <w:rStyle w:val="Hyperlink"/>
          </w:rPr>
          <w:t xml:space="preserve">table </w:t>
        </w:r>
        <w:r w:rsidR="00E03059" w:rsidRPr="0018386D">
          <w:rPr>
            <w:rStyle w:val="Hyperlink"/>
          </w:rPr>
          <w:t>28</w:t>
        </w:r>
      </w:hyperlink>
      <w:r w:rsidR="00604CFD" w:rsidRPr="0018386D">
        <w:t xml:space="preserve"> </w:t>
      </w:r>
      <w:r w:rsidRPr="0018386D">
        <w:t>by the national passenger/bus loading rate to give the emissions per gas</w:t>
      </w:r>
      <w:r w:rsidR="00714BC5" w:rsidRPr="0018386D">
        <w:t xml:space="preserve"> - see </w:t>
      </w:r>
      <w:hyperlink w:anchor="table34" w:history="1">
        <w:r w:rsidR="00714BC5" w:rsidRPr="0018386D">
          <w:rPr>
            <w:rStyle w:val="Hyperlink"/>
          </w:rPr>
          <w:t>table 34</w:t>
        </w:r>
      </w:hyperlink>
      <w:r w:rsidRPr="0018386D">
        <w:t>.</w:t>
      </w:r>
    </w:p>
    <w:p w14:paraId="2AA69744" w14:textId="77875392" w:rsidR="00C117FD" w:rsidRPr="0018386D" w:rsidRDefault="00493E2D" w:rsidP="00DD3106">
      <w:pPr>
        <w:pStyle w:val="Tableheading"/>
      </w:pPr>
      <w:bookmarkStart w:id="465" w:name="_Ref58413433"/>
      <w:bookmarkStart w:id="466" w:name="_Toc111536635"/>
      <w:bookmarkStart w:id="467" w:name="_Toc140048970"/>
      <w:r w:rsidRPr="0018386D">
        <w:t xml:space="preserve">Table </w:t>
      </w:r>
      <w:r w:rsidRPr="0018386D">
        <w:fldChar w:fldCharType="begin"/>
      </w:r>
      <w:r w:rsidRPr="0018386D">
        <w:instrText>SEQ Table \* ARABIC</w:instrText>
      </w:r>
      <w:r w:rsidRPr="0018386D">
        <w:fldChar w:fldCharType="separate"/>
      </w:r>
      <w:r w:rsidR="003E141C" w:rsidRPr="0018386D">
        <w:t>30</w:t>
      </w:r>
      <w:r w:rsidRPr="0018386D">
        <w:fldChar w:fldCharType="end"/>
      </w:r>
      <w:bookmarkEnd w:id="464"/>
      <w:r w:rsidRPr="0018386D">
        <w:t>:</w:t>
      </w:r>
      <w:r w:rsidR="009B2935" w:rsidRPr="0018386D">
        <w:tab/>
      </w:r>
      <w:r w:rsidR="004C3BA8" w:rsidRPr="0018386D">
        <w:t xml:space="preserve">Emission factor for </w:t>
      </w:r>
      <w:r w:rsidR="00103762" w:rsidRPr="0018386D">
        <w:t>national average</w:t>
      </w:r>
      <w:r w:rsidR="004C3BA8" w:rsidRPr="0018386D">
        <w:t xml:space="preserve"> bus</w:t>
      </w:r>
      <w:bookmarkEnd w:id="465"/>
      <w:bookmarkEnd w:id="466"/>
      <w:bookmarkEnd w:id="467"/>
      <w:r w:rsidR="00446A52" w:rsidRPr="0018386D">
        <w:t xml:space="preserve"> </w:t>
      </w:r>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1184"/>
        <w:gridCol w:w="1294"/>
        <w:gridCol w:w="654"/>
        <w:gridCol w:w="1254"/>
        <w:gridCol w:w="1373"/>
        <w:gridCol w:w="1373"/>
        <w:gridCol w:w="1373"/>
      </w:tblGrid>
      <w:tr w:rsidR="00AF7834" w:rsidRPr="0018386D" w14:paraId="3799F763" w14:textId="0D42872C" w:rsidTr="00446A52">
        <w:trPr>
          <w:trHeight w:val="683"/>
        </w:trPr>
        <w:tc>
          <w:tcPr>
            <w:tcW w:w="1126" w:type="dxa"/>
            <w:shd w:val="clear" w:color="auto" w:fill="1B556B" w:themeFill="text2"/>
            <w:vAlign w:val="bottom"/>
          </w:tcPr>
          <w:p w14:paraId="235F79A3" w14:textId="49493825" w:rsidR="00C153EE" w:rsidRPr="0018386D" w:rsidRDefault="00C153EE" w:rsidP="00DD3106">
            <w:pPr>
              <w:pStyle w:val="TableTextbold"/>
              <w:rPr>
                <w:color w:val="FFFFFF" w:themeColor="background1"/>
              </w:rPr>
            </w:pPr>
            <w:r w:rsidRPr="0018386D">
              <w:rPr>
                <w:color w:val="FFFFFF" w:themeColor="background1"/>
              </w:rPr>
              <w:t>Bus type</w:t>
            </w:r>
          </w:p>
        </w:tc>
        <w:tc>
          <w:tcPr>
            <w:tcW w:w="1230" w:type="dxa"/>
            <w:shd w:val="clear" w:color="auto" w:fill="1B556B" w:themeFill="text2"/>
            <w:vAlign w:val="bottom"/>
          </w:tcPr>
          <w:p w14:paraId="20CA2DE5" w14:textId="3BD4AE16" w:rsidR="00C153EE" w:rsidRPr="0018386D" w:rsidRDefault="00E05C53" w:rsidP="00DD3106">
            <w:pPr>
              <w:pStyle w:val="TableTextbold"/>
              <w:rPr>
                <w:color w:val="FFFFFF" w:themeColor="background1"/>
              </w:rPr>
            </w:pPr>
            <w:r w:rsidRPr="0018386D">
              <w:rPr>
                <w:color w:val="FFFFFF" w:themeColor="background1"/>
              </w:rPr>
              <w:t>Class</w:t>
            </w:r>
          </w:p>
        </w:tc>
        <w:tc>
          <w:tcPr>
            <w:tcW w:w="621" w:type="dxa"/>
            <w:shd w:val="clear" w:color="auto" w:fill="1B556B" w:themeFill="text2"/>
            <w:vAlign w:val="bottom"/>
          </w:tcPr>
          <w:p w14:paraId="074F6F34" w14:textId="15661684" w:rsidR="00C153EE" w:rsidRPr="0018386D" w:rsidRDefault="00C153EE" w:rsidP="00DD3106">
            <w:pPr>
              <w:pStyle w:val="TableTextbold"/>
              <w:rPr>
                <w:color w:val="FFFFFF" w:themeColor="background1"/>
              </w:rPr>
            </w:pPr>
            <w:r w:rsidRPr="0018386D">
              <w:rPr>
                <w:color w:val="FFFFFF" w:themeColor="background1"/>
              </w:rPr>
              <w:t>Unit</w:t>
            </w:r>
          </w:p>
        </w:tc>
        <w:tc>
          <w:tcPr>
            <w:tcW w:w="1191" w:type="dxa"/>
            <w:shd w:val="clear" w:color="auto" w:fill="1B556B" w:themeFill="text2"/>
            <w:vAlign w:val="bottom"/>
          </w:tcPr>
          <w:p w14:paraId="0D69DC89" w14:textId="4888EBA8" w:rsidR="00C153EE" w:rsidRPr="0018386D" w:rsidRDefault="00C153EE" w:rsidP="00DD3106">
            <w:pPr>
              <w:pStyle w:val="TableTextbold"/>
              <w:rPr>
                <w:color w:val="FFFFFF" w:themeColor="background1"/>
              </w:rPr>
            </w:pPr>
            <w:r w:rsidRPr="0018386D">
              <w:rPr>
                <w:color w:val="FFFFFF" w:themeColor="background1"/>
              </w:rPr>
              <w:t>kg CO</w:t>
            </w:r>
            <w:r w:rsidRPr="0018386D">
              <w:rPr>
                <w:color w:val="FFFFFF" w:themeColor="background1"/>
                <w:vertAlign w:val="subscript"/>
              </w:rPr>
              <w:t>2</w:t>
            </w:r>
            <w:r w:rsidRPr="0018386D">
              <w:rPr>
                <w:color w:val="FFFFFF" w:themeColor="background1"/>
              </w:rPr>
              <w:t>-e/unit</w:t>
            </w:r>
          </w:p>
        </w:tc>
        <w:tc>
          <w:tcPr>
            <w:tcW w:w="1304" w:type="dxa"/>
            <w:shd w:val="clear" w:color="auto" w:fill="1B556B" w:themeFill="text2"/>
            <w:vAlign w:val="bottom"/>
          </w:tcPr>
          <w:p w14:paraId="313E218D" w14:textId="3CDEE78A" w:rsidR="00C153EE" w:rsidRPr="0018386D" w:rsidRDefault="00C153EE" w:rsidP="00DD3106">
            <w:pPr>
              <w:pStyle w:val="TableTextbold"/>
              <w:rPr>
                <w:color w:val="FFFFFF" w:themeColor="background1"/>
              </w:rPr>
            </w:pPr>
            <w:r w:rsidRPr="0018386D">
              <w:rPr>
                <w:color w:val="FFFFFF" w:themeColor="background1"/>
              </w:rPr>
              <w:t>CO</w:t>
            </w:r>
            <w:r w:rsidRPr="0018386D">
              <w:rPr>
                <w:color w:val="FFFFFF" w:themeColor="background1"/>
                <w:vertAlign w:val="subscript"/>
              </w:rPr>
              <w:t>2</w:t>
            </w:r>
            <w:r w:rsidR="00F80DDA" w:rsidRPr="0018386D">
              <w:rPr>
                <w:color w:val="FFFFFF" w:themeColor="background1"/>
              </w:rPr>
              <w:t xml:space="preserve"> (k</w:t>
            </w:r>
            <w:r w:rsidRPr="0018386D">
              <w:rPr>
                <w:color w:val="FFFFFF" w:themeColor="background1"/>
              </w:rPr>
              <w:t>g</w:t>
            </w:r>
            <w:r w:rsidR="0068073F" w:rsidRPr="0018386D">
              <w:rPr>
                <w:color w:val="FFFFFF" w:themeColor="background1"/>
              </w:rPr>
              <w:t> </w:t>
            </w:r>
            <w:r w:rsidR="65A04A4B" w:rsidRPr="0018386D">
              <w:rPr>
                <w:color w:val="FFFFFF" w:themeColor="background1"/>
              </w:rPr>
              <w:t>CO</w:t>
            </w:r>
            <w:r w:rsidR="65A04A4B" w:rsidRPr="0018386D">
              <w:rPr>
                <w:color w:val="FFFFFF" w:themeColor="background1"/>
                <w:vertAlign w:val="subscript"/>
              </w:rPr>
              <w:t>2</w:t>
            </w:r>
            <w:r w:rsidR="00DF3CB0" w:rsidRPr="0018386D">
              <w:rPr>
                <w:color w:val="FFFFFF" w:themeColor="background1"/>
                <w:vertAlign w:val="subscript"/>
              </w:rPr>
              <w:t>-</w:t>
            </w:r>
            <w:r w:rsidR="65A04A4B" w:rsidRPr="0018386D">
              <w:rPr>
                <w:color w:val="FFFFFF" w:themeColor="background1"/>
              </w:rPr>
              <w:t>e</w:t>
            </w:r>
            <w:r w:rsidR="00F80DDA" w:rsidRPr="0018386D">
              <w:rPr>
                <w:color w:val="FFFFFF" w:themeColor="background1"/>
              </w:rPr>
              <w:t>/</w:t>
            </w:r>
            <w:r w:rsidR="00BD26FF" w:rsidRPr="0018386D">
              <w:rPr>
                <w:color w:val="FFFFFF" w:themeColor="background1"/>
              </w:rPr>
              <w:t xml:space="preserve"> </w:t>
            </w:r>
            <w:r w:rsidR="00F80DDA" w:rsidRPr="0018386D">
              <w:rPr>
                <w:color w:val="FFFFFF" w:themeColor="background1"/>
              </w:rPr>
              <w:t>unit</w:t>
            </w:r>
            <w:r w:rsidRPr="0018386D">
              <w:rPr>
                <w:color w:val="FFFFFF" w:themeColor="background1"/>
              </w:rPr>
              <w:t>)</w:t>
            </w:r>
          </w:p>
        </w:tc>
        <w:tc>
          <w:tcPr>
            <w:tcW w:w="1304" w:type="dxa"/>
            <w:shd w:val="clear" w:color="auto" w:fill="1B556B" w:themeFill="text2"/>
            <w:vAlign w:val="bottom"/>
          </w:tcPr>
          <w:p w14:paraId="212F5BFF" w14:textId="4E655DEB" w:rsidR="00C153EE" w:rsidRPr="0018386D" w:rsidRDefault="00C153EE" w:rsidP="00DD3106">
            <w:pPr>
              <w:pStyle w:val="TableTextbold"/>
              <w:rPr>
                <w:color w:val="FFFFFF" w:themeColor="background1"/>
              </w:rPr>
            </w:pPr>
            <w:r w:rsidRPr="0018386D">
              <w:rPr>
                <w:color w:val="FFFFFF" w:themeColor="background1"/>
              </w:rPr>
              <w:t>CH</w:t>
            </w:r>
            <w:r w:rsidRPr="0018386D">
              <w:rPr>
                <w:color w:val="FFFFFF" w:themeColor="background1"/>
                <w:vertAlign w:val="subscript"/>
              </w:rPr>
              <w:t>4</w:t>
            </w:r>
            <w:r w:rsidRPr="0018386D">
              <w:rPr>
                <w:color w:val="FFFFFF" w:themeColor="background1"/>
              </w:rPr>
              <w:t xml:space="preserve"> (kg </w:t>
            </w:r>
            <w:r w:rsidR="65A04A4B" w:rsidRPr="0018386D">
              <w:rPr>
                <w:color w:val="FFFFFF" w:themeColor="background1"/>
              </w:rPr>
              <w:t>CO</w:t>
            </w:r>
            <w:r w:rsidR="65A04A4B" w:rsidRPr="0018386D">
              <w:rPr>
                <w:color w:val="FFFFFF" w:themeColor="background1"/>
                <w:vertAlign w:val="subscript"/>
              </w:rPr>
              <w:t>2</w:t>
            </w:r>
            <w:r w:rsidR="00DF3CB0" w:rsidRPr="0018386D">
              <w:rPr>
                <w:color w:val="FFFFFF" w:themeColor="background1"/>
                <w:vertAlign w:val="subscript"/>
              </w:rPr>
              <w:t>-</w:t>
            </w:r>
            <w:r w:rsidR="65A04A4B" w:rsidRPr="0018386D">
              <w:rPr>
                <w:color w:val="FFFFFF" w:themeColor="background1"/>
              </w:rPr>
              <w:t>e</w:t>
            </w:r>
            <w:r w:rsidR="00F80DDA" w:rsidRPr="0018386D">
              <w:rPr>
                <w:color w:val="FFFFFF" w:themeColor="background1"/>
              </w:rPr>
              <w:t>/</w:t>
            </w:r>
            <w:r w:rsidR="00BD26FF" w:rsidRPr="0018386D">
              <w:rPr>
                <w:color w:val="FFFFFF" w:themeColor="background1"/>
              </w:rPr>
              <w:t xml:space="preserve"> </w:t>
            </w:r>
            <w:r w:rsidR="00F80DDA" w:rsidRPr="0018386D">
              <w:rPr>
                <w:color w:val="FFFFFF" w:themeColor="background1"/>
              </w:rPr>
              <w:t>unit</w:t>
            </w:r>
            <w:r w:rsidRPr="0018386D">
              <w:rPr>
                <w:color w:val="FFFFFF" w:themeColor="background1"/>
              </w:rPr>
              <w:t>)</w:t>
            </w:r>
          </w:p>
        </w:tc>
        <w:tc>
          <w:tcPr>
            <w:tcW w:w="1304" w:type="dxa"/>
            <w:shd w:val="clear" w:color="auto" w:fill="1B556B" w:themeFill="text2"/>
            <w:vAlign w:val="bottom"/>
          </w:tcPr>
          <w:p w14:paraId="4C486D8A" w14:textId="21D0D079" w:rsidR="00C153EE" w:rsidRPr="0018386D" w:rsidRDefault="00C153EE" w:rsidP="00DD3106">
            <w:pPr>
              <w:pStyle w:val="TableTextbold"/>
              <w:rPr>
                <w:color w:val="FFFFFF" w:themeColor="background1"/>
              </w:rPr>
            </w:pPr>
            <w:r w:rsidRPr="0018386D">
              <w:rPr>
                <w:color w:val="FFFFFF" w:themeColor="background1"/>
              </w:rPr>
              <w:t>N</w:t>
            </w:r>
            <w:r w:rsidRPr="0018386D">
              <w:rPr>
                <w:color w:val="FFFFFF" w:themeColor="background1"/>
                <w:vertAlign w:val="subscript"/>
              </w:rPr>
              <w:t>2</w:t>
            </w:r>
            <w:r w:rsidRPr="0018386D">
              <w:rPr>
                <w:color w:val="FFFFFF" w:themeColor="background1"/>
              </w:rPr>
              <w:t>O</w:t>
            </w:r>
            <w:r w:rsidR="00F80DDA" w:rsidRPr="0018386D">
              <w:rPr>
                <w:color w:val="FFFFFF" w:themeColor="background1"/>
              </w:rPr>
              <w:t xml:space="preserve"> </w:t>
            </w:r>
            <w:r w:rsidRPr="0018386D">
              <w:rPr>
                <w:color w:val="FFFFFF" w:themeColor="background1"/>
              </w:rPr>
              <w:t>(kg CO</w:t>
            </w:r>
            <w:r w:rsidRPr="0018386D">
              <w:rPr>
                <w:color w:val="FFFFFF" w:themeColor="background1"/>
                <w:vertAlign w:val="subscript"/>
              </w:rPr>
              <w:t>2</w:t>
            </w:r>
            <w:r w:rsidRPr="0018386D">
              <w:rPr>
                <w:color w:val="FFFFFF" w:themeColor="background1"/>
              </w:rPr>
              <w:t>-e</w:t>
            </w:r>
            <w:r w:rsidR="00F80DDA" w:rsidRPr="0018386D">
              <w:rPr>
                <w:color w:val="FFFFFF" w:themeColor="background1"/>
              </w:rPr>
              <w:t>/</w:t>
            </w:r>
            <w:r w:rsidR="00BD26FF" w:rsidRPr="0018386D">
              <w:rPr>
                <w:color w:val="FFFFFF" w:themeColor="background1"/>
              </w:rPr>
              <w:t xml:space="preserve"> </w:t>
            </w:r>
            <w:r w:rsidR="00F80DDA" w:rsidRPr="0018386D">
              <w:rPr>
                <w:color w:val="FFFFFF" w:themeColor="background1"/>
              </w:rPr>
              <w:t>unit</w:t>
            </w:r>
            <w:r w:rsidRPr="0018386D">
              <w:rPr>
                <w:color w:val="FFFFFF" w:themeColor="background1"/>
              </w:rPr>
              <w:t>)</w:t>
            </w:r>
          </w:p>
        </w:tc>
      </w:tr>
      <w:tr w:rsidR="00C153EE" w:rsidRPr="0018386D" w14:paraId="7FFE806A" w14:textId="119F16B6" w:rsidTr="00E9782B">
        <w:trPr>
          <w:trHeight w:val="369"/>
        </w:trPr>
        <w:tc>
          <w:tcPr>
            <w:tcW w:w="1126" w:type="dxa"/>
          </w:tcPr>
          <w:p w14:paraId="28B470A6" w14:textId="7CDB3F43" w:rsidR="00C153EE" w:rsidRPr="0018386D" w:rsidRDefault="00B07E14" w:rsidP="00DD3106">
            <w:pPr>
              <w:pStyle w:val="TableText"/>
            </w:pPr>
            <w:r w:rsidRPr="0018386D">
              <w:t xml:space="preserve">National average </w:t>
            </w:r>
            <w:r w:rsidR="00764547" w:rsidRPr="0018386D">
              <w:t>bus</w:t>
            </w:r>
          </w:p>
        </w:tc>
        <w:tc>
          <w:tcPr>
            <w:tcW w:w="1230" w:type="dxa"/>
          </w:tcPr>
          <w:p w14:paraId="2D52686C" w14:textId="748B10F0" w:rsidR="00C153EE" w:rsidRPr="0018386D" w:rsidRDefault="00B07E14" w:rsidP="00DD3106">
            <w:pPr>
              <w:pStyle w:val="TableText"/>
            </w:pPr>
            <w:r w:rsidRPr="0018386D">
              <w:t>Diesel bus (</w:t>
            </w:r>
            <w:r w:rsidR="00C153EE" w:rsidRPr="0018386D">
              <w:t>≥12000 kg</w:t>
            </w:r>
            <w:r w:rsidRPr="0018386D">
              <w:t>)</w:t>
            </w:r>
          </w:p>
        </w:tc>
        <w:tc>
          <w:tcPr>
            <w:tcW w:w="621" w:type="dxa"/>
          </w:tcPr>
          <w:p w14:paraId="4D7CC216" w14:textId="23399B39" w:rsidR="00C153EE" w:rsidRPr="0018386D" w:rsidRDefault="00C153EE" w:rsidP="00DD3106">
            <w:pPr>
              <w:pStyle w:val="TableText"/>
            </w:pPr>
            <w:r w:rsidRPr="0018386D">
              <w:t>km</w:t>
            </w:r>
          </w:p>
        </w:tc>
        <w:tc>
          <w:tcPr>
            <w:tcW w:w="1191" w:type="dxa"/>
            <w:shd w:val="clear" w:color="auto" w:fill="D2DDE1"/>
          </w:tcPr>
          <w:p w14:paraId="462EB170" w14:textId="4C248CA5" w:rsidR="00C153EE" w:rsidRPr="0018386D" w:rsidRDefault="00C153EE" w:rsidP="00DD3106">
            <w:pPr>
              <w:pStyle w:val="TableText"/>
            </w:pPr>
            <w:r w:rsidRPr="0018386D">
              <w:t>1.088</w:t>
            </w:r>
          </w:p>
        </w:tc>
        <w:tc>
          <w:tcPr>
            <w:tcW w:w="1304" w:type="dxa"/>
            <w:shd w:val="clear" w:color="auto" w:fill="auto"/>
          </w:tcPr>
          <w:p w14:paraId="085A01AA" w14:textId="5565EDA4" w:rsidR="00C153EE" w:rsidRPr="0018386D" w:rsidRDefault="00C153EE" w:rsidP="00DD3106">
            <w:pPr>
              <w:pStyle w:val="TableText"/>
            </w:pPr>
            <w:r w:rsidRPr="0018386D">
              <w:t>1.070</w:t>
            </w:r>
          </w:p>
        </w:tc>
        <w:tc>
          <w:tcPr>
            <w:tcW w:w="1304" w:type="dxa"/>
          </w:tcPr>
          <w:p w14:paraId="79A8C5A7" w14:textId="586F2BB9" w:rsidR="00C153EE" w:rsidRPr="0018386D" w:rsidRDefault="00C153EE" w:rsidP="00DD3106">
            <w:pPr>
              <w:pStyle w:val="TableText"/>
            </w:pPr>
            <w:r w:rsidRPr="0018386D">
              <w:t>0.001</w:t>
            </w:r>
          </w:p>
        </w:tc>
        <w:tc>
          <w:tcPr>
            <w:tcW w:w="1304" w:type="dxa"/>
          </w:tcPr>
          <w:p w14:paraId="1F36F3D9" w14:textId="2B46FF6E" w:rsidR="00C153EE" w:rsidRPr="0018386D" w:rsidRDefault="00C153EE" w:rsidP="00DD3106">
            <w:pPr>
              <w:pStyle w:val="TableText"/>
            </w:pPr>
            <w:r w:rsidRPr="0018386D">
              <w:t>0.017</w:t>
            </w:r>
          </w:p>
        </w:tc>
      </w:tr>
    </w:tbl>
    <w:p w14:paraId="6E81A405" w14:textId="22B89704" w:rsidR="00104A91" w:rsidRPr="0018386D" w:rsidRDefault="00104A91" w:rsidP="00DD3106">
      <w:r w:rsidRPr="0018386D">
        <w:rPr>
          <w:b/>
          <w:sz w:val="20"/>
          <w:szCs w:val="20"/>
        </w:rPr>
        <w:t>Note:</w:t>
      </w:r>
      <w:r w:rsidRPr="0018386D">
        <w:rPr>
          <w:sz w:val="20"/>
          <w:szCs w:val="20"/>
        </w:rPr>
        <w:t xml:space="preserve"> These numbers are rounded to three decimal places unless the number is significantly small.</w:t>
      </w:r>
      <w:r w:rsidR="004C3308" w:rsidRPr="0018386D">
        <w:t xml:space="preserve"> </w:t>
      </w:r>
      <w:r w:rsidR="335AC770" w:rsidRPr="0018386D">
        <w:rPr>
          <w:sz w:val="18"/>
          <w:szCs w:val="18"/>
        </w:rPr>
        <w:t>Based</w:t>
      </w:r>
      <w:r w:rsidR="335AC770" w:rsidRPr="0018386D">
        <w:rPr>
          <w:sz w:val="20"/>
          <w:szCs w:val="20"/>
        </w:rPr>
        <w:t xml:space="preserve"> on 2020 data</w:t>
      </w:r>
      <w:r w:rsidR="001E1013" w:rsidRPr="0018386D">
        <w:rPr>
          <w:sz w:val="20"/>
          <w:szCs w:val="20"/>
        </w:rPr>
        <w:t>.</w:t>
      </w:r>
    </w:p>
    <w:p w14:paraId="6AD0929D" w14:textId="6DA44B3E" w:rsidR="00956E28" w:rsidRPr="0018386D" w:rsidRDefault="00956E28" w:rsidP="00DD3106">
      <w:pPr>
        <w:pStyle w:val="Heading4"/>
        <w:numPr>
          <w:ilvl w:val="3"/>
          <w:numId w:val="8"/>
        </w:numPr>
        <w:jc w:val="both"/>
      </w:pPr>
      <w:r w:rsidRPr="0018386D">
        <w:t>Wellington buses</w:t>
      </w:r>
    </w:p>
    <w:p w14:paraId="0BA52432" w14:textId="2793C67E" w:rsidR="00113725" w:rsidRPr="0018386D" w:rsidRDefault="00113725" w:rsidP="00DD3106">
      <w:pPr>
        <w:pStyle w:val="BodyText"/>
      </w:pPr>
      <w:bookmarkStart w:id="468" w:name="_Ref53067126"/>
      <w:r w:rsidRPr="0018386D">
        <w:t>To calculate</w:t>
      </w:r>
      <w:r w:rsidR="001135F3" w:rsidRPr="0018386D">
        <w:t xml:space="preserve"> the emissions from </w:t>
      </w:r>
      <w:r w:rsidR="001C24AA" w:rsidRPr="0018386D">
        <w:t>W</w:t>
      </w:r>
      <w:r w:rsidR="001135F3" w:rsidRPr="0018386D">
        <w:t>ellington buses we used the most recent data</w:t>
      </w:r>
      <w:r w:rsidR="00690D31" w:rsidRPr="0018386D">
        <w:t xml:space="preserve"> available</w:t>
      </w:r>
      <w:r w:rsidR="001135F3" w:rsidRPr="0018386D">
        <w:t xml:space="preserve"> which was from the year 20</w:t>
      </w:r>
      <w:r w:rsidR="00DF4B5B" w:rsidRPr="0018386D">
        <w:t>20</w:t>
      </w:r>
      <w:r w:rsidR="001135F3" w:rsidRPr="0018386D">
        <w:t xml:space="preserve">. </w:t>
      </w:r>
      <w:r w:rsidR="00BD0B13" w:rsidRPr="0018386D">
        <w:t xml:space="preserve">This information was from Greater </w:t>
      </w:r>
      <w:r w:rsidR="00690D31" w:rsidRPr="0018386D">
        <w:t>W</w:t>
      </w:r>
      <w:r w:rsidR="00BD0B13" w:rsidRPr="0018386D">
        <w:t xml:space="preserve">ellington </w:t>
      </w:r>
      <w:r w:rsidR="005B02EA" w:rsidRPr="0018386D">
        <w:t>Regional Council</w:t>
      </w:r>
      <w:r w:rsidR="00BD0B13" w:rsidRPr="0018386D">
        <w:t xml:space="preserve">. </w:t>
      </w:r>
      <w:r w:rsidR="00C7384F" w:rsidRPr="0018386D">
        <w:t xml:space="preserve">Data for electric buses is in </w:t>
      </w:r>
      <w:hyperlink w:anchor="table31" w:history="1">
        <w:r w:rsidR="00C7384F" w:rsidRPr="0018386D">
          <w:rPr>
            <w:rStyle w:val="Hyperlink"/>
            <w:spacing w:val="-2"/>
          </w:rPr>
          <w:t>table 3</w:t>
        </w:r>
        <w:r w:rsidR="005A197B" w:rsidRPr="0018386D">
          <w:rPr>
            <w:rStyle w:val="Hyperlink"/>
            <w:spacing w:val="-2"/>
          </w:rPr>
          <w:t>1</w:t>
        </w:r>
      </w:hyperlink>
      <w:r w:rsidR="005A197B" w:rsidRPr="0018386D">
        <w:t xml:space="preserve"> </w:t>
      </w:r>
      <w:r w:rsidR="00C7384F" w:rsidRPr="0018386D">
        <w:t xml:space="preserve">and data for diesel buses is in </w:t>
      </w:r>
      <w:hyperlink w:anchor="table32" w:history="1">
        <w:r w:rsidR="00C7384F" w:rsidRPr="0018386D">
          <w:rPr>
            <w:rStyle w:val="Hyperlink"/>
            <w:spacing w:val="-2"/>
          </w:rPr>
          <w:t>table 3</w:t>
        </w:r>
        <w:r w:rsidR="005A197B" w:rsidRPr="0018386D">
          <w:rPr>
            <w:rStyle w:val="Hyperlink"/>
            <w:spacing w:val="-2"/>
          </w:rPr>
          <w:t>2</w:t>
        </w:r>
      </w:hyperlink>
      <w:r w:rsidR="00C7384F" w:rsidRPr="0018386D">
        <w:t>.</w:t>
      </w:r>
    </w:p>
    <w:p w14:paraId="65B2E6E9" w14:textId="4FCE4124" w:rsidR="00690D31" w:rsidRPr="0018386D" w:rsidRDefault="00FB51DA" w:rsidP="00DD3106">
      <w:pPr>
        <w:pStyle w:val="Tableheading"/>
      </w:pPr>
      <w:bookmarkStart w:id="469" w:name="_Ref53067547"/>
      <w:bookmarkStart w:id="470" w:name="table31"/>
      <w:bookmarkStart w:id="471" w:name="_Toc111536636"/>
      <w:bookmarkStart w:id="472" w:name="_Toc140048971"/>
      <w:r w:rsidRPr="0018386D">
        <w:t xml:space="preserve">Table </w:t>
      </w:r>
      <w:r w:rsidRPr="0018386D">
        <w:fldChar w:fldCharType="begin"/>
      </w:r>
      <w:r w:rsidRPr="0018386D">
        <w:instrText>SEQ Table \* ARABIC</w:instrText>
      </w:r>
      <w:r w:rsidRPr="0018386D">
        <w:fldChar w:fldCharType="separate"/>
      </w:r>
      <w:r w:rsidR="003E141C" w:rsidRPr="0018386D">
        <w:t>31</w:t>
      </w:r>
      <w:r w:rsidRPr="0018386D">
        <w:fldChar w:fldCharType="end"/>
      </w:r>
      <w:bookmarkEnd w:id="468"/>
      <w:bookmarkEnd w:id="469"/>
      <w:bookmarkEnd w:id="470"/>
      <w:r w:rsidRPr="0018386D">
        <w:t>:</w:t>
      </w:r>
      <w:r w:rsidR="009B2935" w:rsidRPr="0018386D">
        <w:tab/>
      </w:r>
      <w:r w:rsidR="00705B8D" w:rsidRPr="0018386D">
        <w:t>Greater Wellington Regional Council</w:t>
      </w:r>
      <w:r w:rsidR="00705B8D" w:rsidRPr="0018386D" w:rsidDel="004132ED">
        <w:t xml:space="preserve"> </w:t>
      </w:r>
      <w:r w:rsidR="00DF4B5B" w:rsidRPr="0018386D">
        <w:t xml:space="preserve">2020 </w:t>
      </w:r>
      <w:r w:rsidRPr="0018386D">
        <w:t>data for electric buses</w:t>
      </w:r>
      <w:bookmarkEnd w:id="471"/>
      <w:bookmarkEnd w:id="472"/>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7"/>
        <w:gridCol w:w="1559"/>
        <w:gridCol w:w="2268"/>
        <w:gridCol w:w="1417"/>
        <w:gridCol w:w="1134"/>
      </w:tblGrid>
      <w:tr w:rsidR="00412047" w:rsidRPr="0018386D" w14:paraId="73CFB1D8" w14:textId="77777777" w:rsidTr="4E404D07">
        <w:tc>
          <w:tcPr>
            <w:tcW w:w="2127" w:type="dxa"/>
            <w:shd w:val="clear" w:color="auto" w:fill="1B556B" w:themeFill="text2"/>
            <w:vAlign w:val="bottom"/>
          </w:tcPr>
          <w:p w14:paraId="33B449B3" w14:textId="658AB1B7" w:rsidR="00234F92" w:rsidRPr="0018386D" w:rsidRDefault="00234F92" w:rsidP="00DD3106">
            <w:pPr>
              <w:pStyle w:val="TableText"/>
              <w:spacing w:before="40" w:after="40"/>
              <w:rPr>
                <w:b/>
                <w:color w:val="FFFFFF" w:themeColor="background1"/>
              </w:rPr>
            </w:pPr>
            <w:r w:rsidRPr="0018386D">
              <w:rPr>
                <w:b/>
                <w:color w:val="FFFFFF" w:themeColor="background1"/>
              </w:rPr>
              <w:t xml:space="preserve">Wellington </w:t>
            </w:r>
            <w:r w:rsidR="00705B8D" w:rsidRPr="0018386D">
              <w:rPr>
                <w:b/>
                <w:color w:val="FFFFFF" w:themeColor="background1"/>
              </w:rPr>
              <w:t>e</w:t>
            </w:r>
            <w:r w:rsidRPr="0018386D">
              <w:rPr>
                <w:b/>
                <w:color w:val="FFFFFF" w:themeColor="background1"/>
              </w:rPr>
              <w:t>lectric Buses</w:t>
            </w:r>
          </w:p>
        </w:tc>
        <w:tc>
          <w:tcPr>
            <w:tcW w:w="1559" w:type="dxa"/>
            <w:shd w:val="clear" w:color="auto" w:fill="1B556B" w:themeFill="text2"/>
            <w:vAlign w:val="bottom"/>
          </w:tcPr>
          <w:p w14:paraId="267C21D5" w14:textId="06FED669" w:rsidR="00234F92" w:rsidRPr="0018386D" w:rsidRDefault="00234F92" w:rsidP="00DD3106">
            <w:pPr>
              <w:pStyle w:val="TableText"/>
              <w:spacing w:before="40" w:after="40"/>
              <w:rPr>
                <w:b/>
                <w:color w:val="FFFFFF" w:themeColor="background1"/>
              </w:rPr>
            </w:pPr>
            <w:r w:rsidRPr="0018386D">
              <w:rPr>
                <w:b/>
                <w:color w:val="FFFFFF" w:themeColor="background1"/>
              </w:rPr>
              <w:t>Distance (km)</w:t>
            </w:r>
          </w:p>
        </w:tc>
        <w:tc>
          <w:tcPr>
            <w:tcW w:w="2268" w:type="dxa"/>
            <w:shd w:val="clear" w:color="auto" w:fill="1B556B" w:themeFill="text2"/>
            <w:vAlign w:val="bottom"/>
          </w:tcPr>
          <w:p w14:paraId="032ABF00" w14:textId="14D09499" w:rsidR="00234F92" w:rsidRPr="0018386D" w:rsidRDefault="00234F92" w:rsidP="00DD3106">
            <w:pPr>
              <w:pStyle w:val="TableText"/>
              <w:spacing w:before="40" w:after="40"/>
              <w:rPr>
                <w:b/>
                <w:color w:val="FFFFFF" w:themeColor="background1"/>
              </w:rPr>
            </w:pPr>
            <w:r w:rsidRPr="0018386D">
              <w:rPr>
                <w:b/>
                <w:color w:val="FFFFFF" w:themeColor="background1"/>
              </w:rPr>
              <w:t xml:space="preserve">Electric bus </w:t>
            </w:r>
            <w:r w:rsidR="00705B8D" w:rsidRPr="0018386D">
              <w:rPr>
                <w:b/>
                <w:color w:val="FFFFFF" w:themeColor="background1"/>
              </w:rPr>
              <w:t xml:space="preserve">average </w:t>
            </w:r>
            <w:r w:rsidRPr="0018386D">
              <w:rPr>
                <w:b/>
                <w:color w:val="FFFFFF" w:themeColor="background1"/>
              </w:rPr>
              <w:t>power (kWh/km)</w:t>
            </w:r>
          </w:p>
        </w:tc>
        <w:tc>
          <w:tcPr>
            <w:tcW w:w="1417" w:type="dxa"/>
            <w:shd w:val="clear" w:color="auto" w:fill="1B556B" w:themeFill="text2"/>
            <w:vAlign w:val="bottom"/>
          </w:tcPr>
          <w:p w14:paraId="19EE1594" w14:textId="37E4D778" w:rsidR="00234F92" w:rsidRPr="0018386D" w:rsidRDefault="00234F92" w:rsidP="00DD3106">
            <w:pPr>
              <w:pStyle w:val="TableText"/>
              <w:spacing w:before="40" w:after="40"/>
              <w:rPr>
                <w:b/>
                <w:color w:val="FFFFFF" w:themeColor="background1"/>
              </w:rPr>
            </w:pPr>
            <w:r w:rsidRPr="0018386D">
              <w:rPr>
                <w:b/>
                <w:color w:val="FFFFFF" w:themeColor="background1"/>
              </w:rPr>
              <w:t xml:space="preserve">Electricity </w:t>
            </w:r>
            <w:r w:rsidR="00BC7322" w:rsidRPr="0018386D">
              <w:rPr>
                <w:b/>
                <w:color w:val="FFFFFF" w:themeColor="background1"/>
              </w:rPr>
              <w:t>c</w:t>
            </w:r>
            <w:r w:rsidRPr="0018386D">
              <w:rPr>
                <w:b/>
                <w:color w:val="FFFFFF" w:themeColor="background1"/>
              </w:rPr>
              <w:t>onsumption</w:t>
            </w:r>
          </w:p>
        </w:tc>
        <w:tc>
          <w:tcPr>
            <w:tcW w:w="1134" w:type="dxa"/>
            <w:shd w:val="clear" w:color="auto" w:fill="1B556B" w:themeFill="text2"/>
            <w:vAlign w:val="bottom"/>
          </w:tcPr>
          <w:p w14:paraId="5DBE998B" w14:textId="463F0402" w:rsidR="00234F92" w:rsidRPr="0018386D" w:rsidRDefault="0059494E" w:rsidP="00DD3106">
            <w:pPr>
              <w:pStyle w:val="TableText"/>
              <w:spacing w:before="40" w:after="40"/>
              <w:rPr>
                <w:b/>
                <w:color w:val="FFFFFF" w:themeColor="background1"/>
              </w:rPr>
            </w:pPr>
            <w:proofErr w:type="spellStart"/>
            <w:r w:rsidRPr="0018386D">
              <w:rPr>
                <w:b/>
                <w:color w:val="FFFFFF" w:themeColor="background1"/>
              </w:rPr>
              <w:t>pkm</w:t>
            </w:r>
            <w:proofErr w:type="spellEnd"/>
          </w:p>
        </w:tc>
      </w:tr>
      <w:tr w:rsidR="00234F92" w:rsidRPr="0018386D" w14:paraId="636F9D31" w14:textId="77777777" w:rsidTr="00C56EFF">
        <w:tc>
          <w:tcPr>
            <w:tcW w:w="2127" w:type="dxa"/>
          </w:tcPr>
          <w:p w14:paraId="01E6A262" w14:textId="20E16044" w:rsidR="00234F92" w:rsidRPr="0018386D" w:rsidRDefault="00DD500E" w:rsidP="00DD3106">
            <w:pPr>
              <w:pStyle w:val="TableText"/>
              <w:spacing w:before="40" w:after="40"/>
            </w:pPr>
            <w:r w:rsidRPr="0018386D">
              <w:t xml:space="preserve">Double </w:t>
            </w:r>
            <w:r w:rsidR="00705B8D" w:rsidRPr="0018386D">
              <w:t>d</w:t>
            </w:r>
            <w:r w:rsidRPr="0018386D">
              <w:t>ecker</w:t>
            </w:r>
          </w:p>
        </w:tc>
        <w:tc>
          <w:tcPr>
            <w:tcW w:w="1559" w:type="dxa"/>
          </w:tcPr>
          <w:p w14:paraId="07F04745" w14:textId="5B829BEB" w:rsidR="00234F92" w:rsidRPr="0018386D" w:rsidRDefault="00DD500E" w:rsidP="00DD3106">
            <w:pPr>
              <w:pStyle w:val="TableText"/>
              <w:spacing w:before="40" w:after="40"/>
            </w:pPr>
            <w:r w:rsidRPr="0018386D">
              <w:t>431,928</w:t>
            </w:r>
          </w:p>
        </w:tc>
        <w:tc>
          <w:tcPr>
            <w:tcW w:w="2268" w:type="dxa"/>
          </w:tcPr>
          <w:p w14:paraId="27EAE85A" w14:textId="00BDC280" w:rsidR="00234F92" w:rsidRPr="0018386D" w:rsidRDefault="00234F92" w:rsidP="00DD3106">
            <w:pPr>
              <w:pStyle w:val="TableText"/>
              <w:spacing w:before="40" w:after="40"/>
            </w:pPr>
            <w:r w:rsidRPr="0018386D">
              <w:t>1.3</w:t>
            </w:r>
          </w:p>
        </w:tc>
        <w:tc>
          <w:tcPr>
            <w:tcW w:w="1417" w:type="dxa"/>
            <w:shd w:val="clear" w:color="auto" w:fill="auto"/>
          </w:tcPr>
          <w:p w14:paraId="79E09DB3" w14:textId="3CA45DBD" w:rsidR="00234F92" w:rsidRPr="0018386D" w:rsidRDefault="00DD500E" w:rsidP="00DD3106">
            <w:pPr>
              <w:pStyle w:val="TableText"/>
              <w:spacing w:before="40" w:after="40"/>
              <w:rPr>
                <w:bCs/>
              </w:rPr>
            </w:pPr>
            <w:r w:rsidRPr="0018386D">
              <w:rPr>
                <w:bCs/>
              </w:rPr>
              <w:t>561,506</w:t>
            </w:r>
          </w:p>
        </w:tc>
        <w:tc>
          <w:tcPr>
            <w:tcW w:w="1134" w:type="dxa"/>
            <w:shd w:val="clear" w:color="auto" w:fill="auto"/>
          </w:tcPr>
          <w:p w14:paraId="390EC4E4" w14:textId="08ACED8F" w:rsidR="00234F92" w:rsidRPr="0018386D" w:rsidRDefault="00DD500E" w:rsidP="00DD3106">
            <w:pPr>
              <w:pStyle w:val="TableText"/>
              <w:spacing w:before="40" w:after="40"/>
              <w:rPr>
                <w:rFonts w:cs="Calibri"/>
              </w:rPr>
            </w:pPr>
            <w:r w:rsidRPr="0018386D">
              <w:rPr>
                <w:rFonts w:cs="Calibri"/>
              </w:rPr>
              <w:t xml:space="preserve">4,630,752 </w:t>
            </w:r>
          </w:p>
        </w:tc>
      </w:tr>
      <w:tr w:rsidR="00DD500E" w:rsidRPr="0018386D" w14:paraId="7AC37B4E" w14:textId="77777777" w:rsidTr="00C56EFF">
        <w:tc>
          <w:tcPr>
            <w:tcW w:w="2127" w:type="dxa"/>
          </w:tcPr>
          <w:p w14:paraId="3B3A0A7C" w14:textId="0136CA67" w:rsidR="00DD500E" w:rsidRPr="0018386D" w:rsidRDefault="00DD500E" w:rsidP="00DD3106">
            <w:pPr>
              <w:pStyle w:val="TableText"/>
              <w:spacing w:before="40" w:after="40"/>
            </w:pPr>
            <w:r w:rsidRPr="0018386D">
              <w:t xml:space="preserve">Single </w:t>
            </w:r>
            <w:r w:rsidR="00705B8D" w:rsidRPr="0018386D">
              <w:t>d</w:t>
            </w:r>
            <w:r w:rsidRPr="0018386D">
              <w:t>ecker</w:t>
            </w:r>
          </w:p>
        </w:tc>
        <w:tc>
          <w:tcPr>
            <w:tcW w:w="1559" w:type="dxa"/>
          </w:tcPr>
          <w:p w14:paraId="3CB1049A" w14:textId="5F0105C9" w:rsidR="00DD500E" w:rsidRPr="0018386D" w:rsidRDefault="00DD500E" w:rsidP="00DD3106">
            <w:pPr>
              <w:pStyle w:val="TableText"/>
              <w:spacing w:before="40" w:after="40"/>
            </w:pPr>
            <w:r w:rsidRPr="0018386D">
              <w:t>12,143</w:t>
            </w:r>
          </w:p>
        </w:tc>
        <w:tc>
          <w:tcPr>
            <w:tcW w:w="2268" w:type="dxa"/>
          </w:tcPr>
          <w:p w14:paraId="6E0A49BB" w14:textId="117E6677" w:rsidR="00DD500E" w:rsidRPr="0018386D" w:rsidRDefault="00DD500E" w:rsidP="00DD3106">
            <w:pPr>
              <w:pStyle w:val="TableText"/>
              <w:spacing w:before="40" w:after="40"/>
            </w:pPr>
            <w:r w:rsidRPr="0018386D">
              <w:t>1.06</w:t>
            </w:r>
          </w:p>
        </w:tc>
        <w:tc>
          <w:tcPr>
            <w:tcW w:w="1417" w:type="dxa"/>
            <w:shd w:val="clear" w:color="auto" w:fill="auto"/>
          </w:tcPr>
          <w:p w14:paraId="1BBB7735" w14:textId="05418219" w:rsidR="00DD500E" w:rsidRPr="0018386D" w:rsidRDefault="00DD500E" w:rsidP="00DD3106">
            <w:pPr>
              <w:pStyle w:val="TableText"/>
              <w:spacing w:before="40" w:after="40"/>
              <w:rPr>
                <w:bCs/>
              </w:rPr>
            </w:pPr>
            <w:r w:rsidRPr="0018386D">
              <w:rPr>
                <w:bCs/>
              </w:rPr>
              <w:t>12,872</w:t>
            </w:r>
          </w:p>
        </w:tc>
        <w:tc>
          <w:tcPr>
            <w:tcW w:w="1134" w:type="dxa"/>
            <w:shd w:val="clear" w:color="auto" w:fill="auto"/>
          </w:tcPr>
          <w:p w14:paraId="01D8F1DE" w14:textId="46B876E0" w:rsidR="00DD500E" w:rsidRPr="0018386D" w:rsidRDefault="00DD500E" w:rsidP="00DD3106">
            <w:pPr>
              <w:pStyle w:val="TableText"/>
              <w:spacing w:before="40" w:after="40"/>
              <w:rPr>
                <w:rFonts w:cs="Calibri"/>
              </w:rPr>
            </w:pPr>
            <w:r w:rsidRPr="0018386D">
              <w:rPr>
                <w:rFonts w:cs="Calibri"/>
              </w:rPr>
              <w:t>67,610</w:t>
            </w:r>
          </w:p>
        </w:tc>
      </w:tr>
    </w:tbl>
    <w:p w14:paraId="1CBFFCDA" w14:textId="2A2502E6" w:rsidR="00BD0B13" w:rsidRPr="0018386D" w:rsidRDefault="00357F0D" w:rsidP="00DD3106">
      <w:pPr>
        <w:pStyle w:val="Tableheading"/>
        <w:spacing w:before="360"/>
      </w:pPr>
      <w:bookmarkStart w:id="473" w:name="_Ref53067564"/>
      <w:bookmarkStart w:id="474" w:name="table32"/>
      <w:bookmarkStart w:id="475" w:name="_Toc111536637"/>
      <w:bookmarkStart w:id="476" w:name="_Toc140048972"/>
      <w:r w:rsidRPr="0018386D">
        <w:t xml:space="preserve">Table </w:t>
      </w:r>
      <w:r w:rsidRPr="0018386D">
        <w:fldChar w:fldCharType="begin"/>
      </w:r>
      <w:r w:rsidRPr="0018386D">
        <w:instrText>SEQ Table \* ARABIC</w:instrText>
      </w:r>
      <w:r w:rsidRPr="0018386D">
        <w:fldChar w:fldCharType="separate"/>
      </w:r>
      <w:r w:rsidR="003E141C" w:rsidRPr="0018386D">
        <w:t>32</w:t>
      </w:r>
      <w:r w:rsidRPr="0018386D">
        <w:fldChar w:fldCharType="end"/>
      </w:r>
      <w:bookmarkEnd w:id="473"/>
      <w:bookmarkEnd w:id="474"/>
      <w:r w:rsidRPr="0018386D">
        <w:t>:</w:t>
      </w:r>
      <w:r w:rsidR="009B2935" w:rsidRPr="0018386D">
        <w:tab/>
      </w:r>
      <w:r w:rsidR="004132ED" w:rsidRPr="0018386D">
        <w:t>Greater Wellington Regional Council</w:t>
      </w:r>
      <w:r w:rsidR="004132ED" w:rsidRPr="0018386D" w:rsidDel="004132ED">
        <w:t xml:space="preserve"> </w:t>
      </w:r>
      <w:r w:rsidR="00DD500E" w:rsidRPr="0018386D">
        <w:t xml:space="preserve">2020 </w:t>
      </w:r>
      <w:r w:rsidRPr="0018386D">
        <w:t>data for diesel buses</w:t>
      </w:r>
      <w:bookmarkEnd w:id="475"/>
      <w:bookmarkEnd w:id="476"/>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686"/>
        <w:gridCol w:w="2268"/>
        <w:gridCol w:w="2551"/>
      </w:tblGrid>
      <w:tr w:rsidR="00CC2D3B" w:rsidRPr="0018386D" w14:paraId="73D17A39" w14:textId="77777777" w:rsidTr="007B15BD">
        <w:tc>
          <w:tcPr>
            <w:tcW w:w="3686" w:type="dxa"/>
            <w:shd w:val="clear" w:color="auto" w:fill="1C556C" w:themeFill="accent1"/>
          </w:tcPr>
          <w:p w14:paraId="4FAFD404" w14:textId="112B0CD5" w:rsidR="00A3409D" w:rsidRPr="0018386D" w:rsidRDefault="00A3409D" w:rsidP="00DD3106">
            <w:pPr>
              <w:pStyle w:val="TableTextbold"/>
              <w:spacing w:before="40" w:after="40"/>
              <w:rPr>
                <w:color w:val="FFFFFF" w:themeColor="background1"/>
              </w:rPr>
            </w:pPr>
            <w:r w:rsidRPr="0018386D">
              <w:rPr>
                <w:color w:val="FFFFFF" w:themeColor="background1"/>
              </w:rPr>
              <w:t xml:space="preserve">Wellington </w:t>
            </w:r>
            <w:r w:rsidR="00705B8D" w:rsidRPr="0018386D">
              <w:rPr>
                <w:color w:val="FFFFFF" w:themeColor="background1"/>
              </w:rPr>
              <w:t>d</w:t>
            </w:r>
            <w:r w:rsidRPr="0018386D">
              <w:rPr>
                <w:color w:val="FFFFFF" w:themeColor="background1"/>
              </w:rPr>
              <w:t xml:space="preserve">iesel </w:t>
            </w:r>
            <w:r w:rsidR="00705B8D" w:rsidRPr="0018386D">
              <w:rPr>
                <w:color w:val="FFFFFF" w:themeColor="background1"/>
              </w:rPr>
              <w:t>b</w:t>
            </w:r>
            <w:r w:rsidRPr="0018386D">
              <w:rPr>
                <w:color w:val="FFFFFF" w:themeColor="background1"/>
              </w:rPr>
              <w:t>uses</w:t>
            </w:r>
          </w:p>
        </w:tc>
        <w:tc>
          <w:tcPr>
            <w:tcW w:w="2268" w:type="dxa"/>
            <w:shd w:val="clear" w:color="auto" w:fill="1C556C" w:themeFill="accent1"/>
          </w:tcPr>
          <w:p w14:paraId="2765751F" w14:textId="3F5D40BD" w:rsidR="00A3409D" w:rsidRPr="0018386D" w:rsidRDefault="00A3409D" w:rsidP="00DD3106">
            <w:pPr>
              <w:pStyle w:val="TableTextbold"/>
              <w:spacing w:before="40" w:after="40"/>
              <w:rPr>
                <w:color w:val="FFFFFF" w:themeColor="background1"/>
              </w:rPr>
            </w:pPr>
            <w:r w:rsidRPr="0018386D">
              <w:rPr>
                <w:color w:val="FFFFFF" w:themeColor="background1"/>
              </w:rPr>
              <w:t>Fuel consumption</w:t>
            </w:r>
            <w:r w:rsidR="005A030A" w:rsidRPr="0018386D">
              <w:rPr>
                <w:color w:val="FFFFFF" w:themeColor="background1"/>
              </w:rPr>
              <w:t xml:space="preserve"> (litres)</w:t>
            </w:r>
          </w:p>
        </w:tc>
        <w:tc>
          <w:tcPr>
            <w:tcW w:w="2551" w:type="dxa"/>
            <w:shd w:val="clear" w:color="auto" w:fill="1C556C" w:themeFill="accent1"/>
          </w:tcPr>
          <w:p w14:paraId="7A4AEDAA" w14:textId="38C50A5E" w:rsidR="00A3409D" w:rsidRPr="0018386D" w:rsidRDefault="0059494E" w:rsidP="00DD3106">
            <w:pPr>
              <w:pStyle w:val="TableTextbold"/>
              <w:spacing w:before="40" w:after="40"/>
              <w:rPr>
                <w:color w:val="FFFFFF" w:themeColor="background1"/>
              </w:rPr>
            </w:pPr>
            <w:proofErr w:type="spellStart"/>
            <w:r w:rsidRPr="0018386D">
              <w:rPr>
                <w:color w:val="FFFFFF" w:themeColor="background1"/>
              </w:rPr>
              <w:t>pkm</w:t>
            </w:r>
            <w:proofErr w:type="spellEnd"/>
          </w:p>
        </w:tc>
      </w:tr>
      <w:tr w:rsidR="00A3409D" w:rsidRPr="0018386D" w14:paraId="5CD52BCA" w14:textId="77777777" w:rsidTr="007B15BD">
        <w:tc>
          <w:tcPr>
            <w:tcW w:w="3686" w:type="dxa"/>
          </w:tcPr>
          <w:p w14:paraId="464AE527" w14:textId="3B980A11" w:rsidR="00A3409D" w:rsidRPr="0018386D" w:rsidRDefault="00DD500E" w:rsidP="00DD3106">
            <w:pPr>
              <w:pStyle w:val="TableText"/>
              <w:spacing w:before="40" w:after="40"/>
            </w:pPr>
            <w:r w:rsidRPr="0018386D">
              <w:t xml:space="preserve">Diesel </w:t>
            </w:r>
            <w:r w:rsidR="00705B8D" w:rsidRPr="0018386D">
              <w:t>b</w:t>
            </w:r>
            <w:r w:rsidRPr="0018386D">
              <w:t>uses</w:t>
            </w:r>
          </w:p>
        </w:tc>
        <w:tc>
          <w:tcPr>
            <w:tcW w:w="2268" w:type="dxa"/>
          </w:tcPr>
          <w:p w14:paraId="4245DA2A" w14:textId="7564D5C6" w:rsidR="00A3409D" w:rsidRPr="0018386D" w:rsidRDefault="00DD500E" w:rsidP="00DD3106">
            <w:pPr>
              <w:pStyle w:val="TableText"/>
              <w:spacing w:before="40" w:after="40"/>
            </w:pPr>
            <w:r w:rsidRPr="0018386D">
              <w:t xml:space="preserve">5,601,529 </w:t>
            </w:r>
          </w:p>
        </w:tc>
        <w:tc>
          <w:tcPr>
            <w:tcW w:w="2551" w:type="dxa"/>
          </w:tcPr>
          <w:p w14:paraId="0CCF64AA" w14:textId="556A3B69" w:rsidR="00A3409D" w:rsidRPr="0018386D" w:rsidRDefault="00DD500E" w:rsidP="00DD3106">
            <w:pPr>
              <w:pStyle w:val="TableText"/>
              <w:spacing w:before="40" w:after="40"/>
            </w:pPr>
            <w:r w:rsidRPr="0018386D">
              <w:t xml:space="preserve">102,013,687 </w:t>
            </w:r>
          </w:p>
        </w:tc>
      </w:tr>
    </w:tbl>
    <w:p w14:paraId="3A99200D" w14:textId="45A2376C" w:rsidR="00D8290F" w:rsidRPr="0018386D" w:rsidRDefault="005A030A" w:rsidP="00DD3106">
      <w:pPr>
        <w:pStyle w:val="BodyText"/>
        <w:spacing w:before="240" w:after="100"/>
        <w:jc w:val="both"/>
      </w:pPr>
      <w:r w:rsidRPr="0018386D">
        <w:t xml:space="preserve">The energy consumption was </w:t>
      </w:r>
      <w:r w:rsidR="00D40914" w:rsidRPr="0018386D">
        <w:t>multiplied by its respective emission facto</w:t>
      </w:r>
      <w:r w:rsidR="0059494E" w:rsidRPr="0018386D">
        <w:t xml:space="preserve">rs and divided by the </w:t>
      </w:r>
      <w:proofErr w:type="spellStart"/>
      <w:r w:rsidR="0059494E" w:rsidRPr="0018386D">
        <w:t>p</w:t>
      </w:r>
      <w:r w:rsidR="00D40914" w:rsidRPr="0018386D">
        <w:t>km</w:t>
      </w:r>
      <w:proofErr w:type="spellEnd"/>
      <w:r w:rsidR="00D40914" w:rsidRPr="0018386D">
        <w:t xml:space="preserve"> to provide the emission factor.</w:t>
      </w:r>
      <w:r w:rsidR="00DD500E" w:rsidRPr="0018386D">
        <w:t xml:space="preserve"> This was calculated using 2018 electricity data.</w:t>
      </w:r>
    </w:p>
    <w:p w14:paraId="02F4433E" w14:textId="7200E523" w:rsidR="00D40914" w:rsidRPr="0018386D" w:rsidRDefault="00D40914" w:rsidP="00DD3106">
      <w:pPr>
        <w:pStyle w:val="BodyText"/>
        <w:spacing w:after="100"/>
        <w:jc w:val="both"/>
      </w:pPr>
      <w:r w:rsidRPr="0018386D">
        <w:t xml:space="preserve">The </w:t>
      </w:r>
      <w:r w:rsidR="004B3A05" w:rsidRPr="0018386D">
        <w:t xml:space="preserve">average for Wellington was calculated by adding the total </w:t>
      </w:r>
      <w:proofErr w:type="spellStart"/>
      <w:r w:rsidR="0059494E" w:rsidRPr="0018386D">
        <w:t>pkm</w:t>
      </w:r>
      <w:proofErr w:type="spellEnd"/>
      <w:r w:rsidR="004B3A05" w:rsidRPr="0018386D">
        <w:t xml:space="preserve"> and the total </w:t>
      </w:r>
      <w:r w:rsidR="00831325" w:rsidRPr="0018386D">
        <w:t>GHGs</w:t>
      </w:r>
      <w:r w:rsidR="00D8290F" w:rsidRPr="0018386D">
        <w:t xml:space="preserve">. </w:t>
      </w:r>
    </w:p>
    <w:p w14:paraId="62968AE9" w14:textId="6B329BF9" w:rsidR="00D8290F" w:rsidRPr="0018386D" w:rsidRDefault="00D8290F" w:rsidP="00DD3106">
      <w:pPr>
        <w:pStyle w:val="Heading4"/>
        <w:numPr>
          <w:ilvl w:val="3"/>
          <w:numId w:val="8"/>
        </w:numPr>
        <w:spacing w:before="240"/>
        <w:jc w:val="both"/>
      </w:pPr>
      <w:r w:rsidRPr="0018386D">
        <w:t>Wellington trains</w:t>
      </w:r>
    </w:p>
    <w:p w14:paraId="0BB9DD69" w14:textId="2CBA285F" w:rsidR="00BE65D9" w:rsidRPr="0018386D" w:rsidRDefault="00DD500E" w:rsidP="00DD3106">
      <w:pPr>
        <w:pStyle w:val="BodyText"/>
      </w:pPr>
      <w:r w:rsidRPr="0018386D">
        <w:t xml:space="preserve">To calculate the emissions from Wellington trains we used </w:t>
      </w:r>
      <w:r w:rsidR="00897886" w:rsidRPr="0018386D">
        <w:t xml:space="preserve">the most recent data available which was from the year </w:t>
      </w:r>
      <w:r w:rsidR="006B77B6" w:rsidRPr="0018386D">
        <w:t>2021</w:t>
      </w:r>
      <w:r w:rsidR="00897886" w:rsidRPr="0018386D">
        <w:t xml:space="preserve">. The energy consumption data in </w:t>
      </w:r>
      <w:hyperlink w:anchor="table33" w:history="1">
        <w:r w:rsidR="00897886" w:rsidRPr="0018386D">
          <w:rPr>
            <w:rStyle w:val="Hyperlink"/>
          </w:rPr>
          <w:t>table 3</w:t>
        </w:r>
        <w:r w:rsidR="005218C6" w:rsidRPr="0018386D">
          <w:rPr>
            <w:rStyle w:val="Hyperlink"/>
          </w:rPr>
          <w:t>3</w:t>
        </w:r>
      </w:hyperlink>
      <w:r w:rsidR="00897886" w:rsidRPr="0018386D">
        <w:t xml:space="preserve"> is from KiwiRail and the passenger kilometres</w:t>
      </w:r>
      <w:r w:rsidR="00865925" w:rsidRPr="0018386D">
        <w:t xml:space="preserve"> data is from </w:t>
      </w:r>
      <w:proofErr w:type="spellStart"/>
      <w:r w:rsidR="00865925" w:rsidRPr="0018386D">
        <w:t>Metlink</w:t>
      </w:r>
      <w:proofErr w:type="spellEnd"/>
      <w:r w:rsidR="00865925" w:rsidRPr="0018386D">
        <w:t xml:space="preserve">. </w:t>
      </w:r>
    </w:p>
    <w:p w14:paraId="094F2BAB" w14:textId="77777777" w:rsidR="00055EE9" w:rsidRPr="0018386D" w:rsidRDefault="00055EE9" w:rsidP="00DD3106">
      <w:pPr>
        <w:spacing w:line="23" w:lineRule="auto"/>
        <w:rPr>
          <w:rFonts w:eastAsiaTheme="minorEastAsia" w:cstheme="minorBidi"/>
          <w:szCs w:val="22"/>
          <w:lang w:val="en-NZ" w:eastAsia="en-NZ"/>
        </w:rPr>
      </w:pPr>
      <w:r w:rsidRPr="0018386D">
        <w:br w:type="page"/>
      </w:r>
    </w:p>
    <w:p w14:paraId="24612CEE" w14:textId="2BFA29B5" w:rsidR="00C6618E" w:rsidRPr="0018386D" w:rsidRDefault="00C6618E" w:rsidP="00DD3106">
      <w:pPr>
        <w:pStyle w:val="Tableheading"/>
      </w:pPr>
      <w:bookmarkStart w:id="477" w:name="_Ref53068085"/>
      <w:bookmarkStart w:id="478" w:name="_Toc111536638"/>
      <w:bookmarkStart w:id="479" w:name="_Toc140048973"/>
      <w:r w:rsidRPr="0018386D">
        <w:lastRenderedPageBreak/>
        <w:t xml:space="preserve">Table </w:t>
      </w:r>
      <w:r w:rsidRPr="0018386D">
        <w:fldChar w:fldCharType="begin"/>
      </w:r>
      <w:r w:rsidRPr="0018386D">
        <w:instrText>SEQ Table \* ARABIC</w:instrText>
      </w:r>
      <w:r w:rsidRPr="0018386D">
        <w:fldChar w:fldCharType="separate"/>
      </w:r>
      <w:r w:rsidR="003E141C" w:rsidRPr="0018386D">
        <w:t>33</w:t>
      </w:r>
      <w:r w:rsidRPr="0018386D">
        <w:fldChar w:fldCharType="end"/>
      </w:r>
      <w:bookmarkEnd w:id="477"/>
      <w:r w:rsidRPr="0018386D">
        <w:t>:</w:t>
      </w:r>
      <w:r w:rsidR="009B2935" w:rsidRPr="0018386D">
        <w:tab/>
      </w:r>
      <w:r w:rsidR="00D31FB9" w:rsidRPr="0018386D">
        <w:t>Wellington t</w:t>
      </w:r>
      <w:r w:rsidRPr="0018386D">
        <w:t>rain data</w:t>
      </w:r>
      <w:bookmarkEnd w:id="478"/>
      <w:bookmarkEnd w:id="479"/>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126"/>
        <w:gridCol w:w="1560"/>
        <w:gridCol w:w="2267"/>
        <w:gridCol w:w="2552"/>
      </w:tblGrid>
      <w:tr w:rsidR="00412047" w:rsidRPr="0018386D" w14:paraId="74557F9C" w14:textId="25092E0E" w:rsidTr="00572028">
        <w:trPr>
          <w:trHeight w:val="63"/>
        </w:trPr>
        <w:tc>
          <w:tcPr>
            <w:tcW w:w="1250" w:type="pct"/>
            <w:shd w:val="clear" w:color="auto" w:fill="1B556B" w:themeFill="text2"/>
          </w:tcPr>
          <w:p w14:paraId="40C6F388" w14:textId="6AB7D70F" w:rsidR="001B2533" w:rsidRPr="0018386D" w:rsidRDefault="001B2533" w:rsidP="00DD3106">
            <w:pPr>
              <w:pStyle w:val="TableText"/>
              <w:spacing w:before="40" w:after="40"/>
              <w:rPr>
                <w:b/>
                <w:color w:val="FFFFFF" w:themeColor="background1"/>
              </w:rPr>
            </w:pPr>
            <w:r w:rsidRPr="0018386D">
              <w:rPr>
                <w:b/>
                <w:color w:val="FFFFFF" w:themeColor="background1"/>
              </w:rPr>
              <w:t xml:space="preserve">Metro </w:t>
            </w:r>
            <w:r w:rsidR="007950C0" w:rsidRPr="0018386D">
              <w:rPr>
                <w:b/>
                <w:color w:val="FFFFFF" w:themeColor="background1"/>
              </w:rPr>
              <w:t>c</w:t>
            </w:r>
            <w:r w:rsidRPr="0018386D">
              <w:rPr>
                <w:b/>
                <w:color w:val="FFFFFF" w:themeColor="background1"/>
              </w:rPr>
              <w:t xml:space="preserve">ommuter </w:t>
            </w:r>
            <w:r w:rsidR="007950C0" w:rsidRPr="0018386D">
              <w:rPr>
                <w:b/>
                <w:color w:val="FFFFFF" w:themeColor="background1"/>
              </w:rPr>
              <w:t>r</w:t>
            </w:r>
            <w:r w:rsidRPr="0018386D">
              <w:rPr>
                <w:b/>
                <w:color w:val="FFFFFF" w:themeColor="background1"/>
              </w:rPr>
              <w:t>ail</w:t>
            </w:r>
          </w:p>
        </w:tc>
        <w:tc>
          <w:tcPr>
            <w:tcW w:w="917" w:type="pct"/>
            <w:shd w:val="clear" w:color="auto" w:fill="1B556B" w:themeFill="text2"/>
          </w:tcPr>
          <w:p w14:paraId="2B79719D" w14:textId="1A2CA666" w:rsidR="001B2533" w:rsidRPr="0018386D" w:rsidRDefault="001B2533" w:rsidP="00DD3106">
            <w:pPr>
              <w:pStyle w:val="TableText"/>
              <w:spacing w:before="40" w:after="40"/>
              <w:rPr>
                <w:b/>
                <w:color w:val="FFFFFF" w:themeColor="background1"/>
              </w:rPr>
            </w:pPr>
            <w:r w:rsidRPr="0018386D">
              <w:rPr>
                <w:b/>
                <w:color w:val="FFFFFF" w:themeColor="background1"/>
              </w:rPr>
              <w:t>Units</w:t>
            </w:r>
          </w:p>
        </w:tc>
        <w:tc>
          <w:tcPr>
            <w:tcW w:w="1333" w:type="pct"/>
            <w:shd w:val="clear" w:color="auto" w:fill="1B556B" w:themeFill="text2"/>
          </w:tcPr>
          <w:p w14:paraId="6D085944" w14:textId="7790B74A" w:rsidR="001B2533" w:rsidRPr="0018386D" w:rsidRDefault="006B77B6" w:rsidP="00DD3106">
            <w:pPr>
              <w:pStyle w:val="TableText"/>
              <w:spacing w:before="40" w:after="40"/>
              <w:rPr>
                <w:b/>
                <w:color w:val="FFFFFF" w:themeColor="background1"/>
              </w:rPr>
            </w:pPr>
            <w:r w:rsidRPr="0018386D">
              <w:rPr>
                <w:b/>
                <w:color w:val="FFFFFF" w:themeColor="background1"/>
              </w:rPr>
              <w:t>202</w:t>
            </w:r>
            <w:r w:rsidR="00EE7682" w:rsidRPr="0018386D">
              <w:rPr>
                <w:b/>
                <w:color w:val="FFFFFF" w:themeColor="background1"/>
              </w:rPr>
              <w:t>0</w:t>
            </w:r>
          </w:p>
        </w:tc>
        <w:tc>
          <w:tcPr>
            <w:tcW w:w="1500" w:type="pct"/>
            <w:shd w:val="clear" w:color="auto" w:fill="1B556B" w:themeFill="text2"/>
          </w:tcPr>
          <w:p w14:paraId="6C38A793" w14:textId="1AE6976B" w:rsidR="001B2533" w:rsidRPr="0018386D" w:rsidRDefault="0059494E" w:rsidP="00DD3106">
            <w:pPr>
              <w:pStyle w:val="TableText"/>
              <w:spacing w:before="40" w:after="40"/>
              <w:rPr>
                <w:b/>
                <w:color w:val="FFFFFF" w:themeColor="background1"/>
              </w:rPr>
            </w:pPr>
            <w:proofErr w:type="spellStart"/>
            <w:r w:rsidRPr="0018386D">
              <w:rPr>
                <w:b/>
                <w:color w:val="FFFFFF" w:themeColor="background1"/>
              </w:rPr>
              <w:t>pkm</w:t>
            </w:r>
            <w:proofErr w:type="spellEnd"/>
          </w:p>
        </w:tc>
      </w:tr>
      <w:tr w:rsidR="00412047" w:rsidRPr="0018386D" w14:paraId="38D30834" w14:textId="533B0C94" w:rsidTr="00572028">
        <w:trPr>
          <w:trHeight w:val="204"/>
        </w:trPr>
        <w:tc>
          <w:tcPr>
            <w:tcW w:w="1250" w:type="pct"/>
          </w:tcPr>
          <w:p w14:paraId="0F0D71E5" w14:textId="2ADBB234" w:rsidR="001B2533" w:rsidRPr="0018386D" w:rsidRDefault="001B2533" w:rsidP="00DD3106">
            <w:pPr>
              <w:pStyle w:val="TableText"/>
              <w:spacing w:before="40" w:after="40"/>
            </w:pPr>
            <w:r w:rsidRPr="0018386D">
              <w:t>Electric (Wellington)</w:t>
            </w:r>
          </w:p>
        </w:tc>
        <w:tc>
          <w:tcPr>
            <w:tcW w:w="917" w:type="pct"/>
          </w:tcPr>
          <w:p w14:paraId="11D7192A" w14:textId="05723922" w:rsidR="001B2533" w:rsidRPr="0018386D" w:rsidRDefault="001B2533" w:rsidP="00DD3106">
            <w:pPr>
              <w:pStyle w:val="TableText"/>
              <w:spacing w:before="40" w:after="40"/>
            </w:pPr>
            <w:r w:rsidRPr="0018386D">
              <w:t>kWh</w:t>
            </w:r>
          </w:p>
        </w:tc>
        <w:tc>
          <w:tcPr>
            <w:tcW w:w="1333" w:type="pct"/>
          </w:tcPr>
          <w:p w14:paraId="03ED11DD" w14:textId="1789A4AA" w:rsidR="001B2533" w:rsidRPr="0018386D" w:rsidRDefault="00B50A17" w:rsidP="00DD3106">
            <w:pPr>
              <w:pStyle w:val="TableText"/>
              <w:spacing w:before="40" w:after="40"/>
            </w:pPr>
            <w:r w:rsidRPr="0018386D">
              <w:t>2</w:t>
            </w:r>
            <w:r w:rsidR="00EE7682" w:rsidRPr="0018386D">
              <w:t>3,242,017</w:t>
            </w:r>
          </w:p>
        </w:tc>
        <w:tc>
          <w:tcPr>
            <w:tcW w:w="1500" w:type="pct"/>
          </w:tcPr>
          <w:p w14:paraId="1B5E6E8C" w14:textId="41AA8631" w:rsidR="001B2533" w:rsidRPr="0018386D" w:rsidRDefault="00256E81" w:rsidP="00DD3106">
            <w:pPr>
              <w:pStyle w:val="TableText"/>
              <w:spacing w:before="40" w:after="40"/>
            </w:pPr>
            <w:r w:rsidRPr="0018386D">
              <w:t>190,</w:t>
            </w:r>
            <w:r w:rsidR="00A51BB0" w:rsidRPr="0018386D">
              <w:t>659,149</w:t>
            </w:r>
          </w:p>
        </w:tc>
      </w:tr>
      <w:tr w:rsidR="00412047" w:rsidRPr="0018386D" w14:paraId="4C5F4F6F" w14:textId="5B1D033B" w:rsidTr="00572028">
        <w:trPr>
          <w:trHeight w:val="123"/>
        </w:trPr>
        <w:tc>
          <w:tcPr>
            <w:tcW w:w="1250" w:type="pct"/>
          </w:tcPr>
          <w:p w14:paraId="55AF9CE0" w14:textId="494E2294" w:rsidR="001B2533" w:rsidRPr="0018386D" w:rsidRDefault="001B2533" w:rsidP="00DD3106">
            <w:pPr>
              <w:pStyle w:val="TableText"/>
              <w:spacing w:before="40" w:after="40"/>
            </w:pPr>
            <w:r w:rsidRPr="0018386D">
              <w:t>Diesel (Wellington)</w:t>
            </w:r>
          </w:p>
        </w:tc>
        <w:tc>
          <w:tcPr>
            <w:tcW w:w="917" w:type="pct"/>
          </w:tcPr>
          <w:p w14:paraId="4D221903" w14:textId="79017CC8" w:rsidR="001B2533" w:rsidRPr="0018386D" w:rsidRDefault="001B2533" w:rsidP="00DD3106">
            <w:pPr>
              <w:pStyle w:val="TableText"/>
              <w:spacing w:before="40" w:after="40"/>
            </w:pPr>
            <w:r w:rsidRPr="0018386D">
              <w:t>litres</w:t>
            </w:r>
          </w:p>
        </w:tc>
        <w:tc>
          <w:tcPr>
            <w:tcW w:w="1333" w:type="pct"/>
          </w:tcPr>
          <w:p w14:paraId="3026678D" w14:textId="74490789" w:rsidR="001B2533" w:rsidRPr="0018386D" w:rsidRDefault="00784391" w:rsidP="00DD3106">
            <w:pPr>
              <w:pStyle w:val="TableText"/>
              <w:spacing w:before="40" w:after="40"/>
            </w:pPr>
            <w:r w:rsidRPr="0018386D">
              <w:t>699,773</w:t>
            </w:r>
          </w:p>
        </w:tc>
        <w:tc>
          <w:tcPr>
            <w:tcW w:w="1500" w:type="pct"/>
          </w:tcPr>
          <w:p w14:paraId="0311D11E" w14:textId="0DF24B46" w:rsidR="001B2533" w:rsidRPr="0018386D" w:rsidRDefault="00203B4F" w:rsidP="00DD3106">
            <w:pPr>
              <w:pStyle w:val="TableText"/>
              <w:spacing w:before="40" w:after="40"/>
            </w:pPr>
            <w:r w:rsidRPr="0018386D">
              <w:t xml:space="preserve">40,765,152 </w:t>
            </w:r>
          </w:p>
        </w:tc>
      </w:tr>
    </w:tbl>
    <w:p w14:paraId="355609E9" w14:textId="1B72E2A8" w:rsidR="001B2533" w:rsidRPr="0018386D" w:rsidRDefault="006932DE" w:rsidP="00DD3106">
      <w:pPr>
        <w:pStyle w:val="Note"/>
      </w:pPr>
      <w:r w:rsidRPr="0018386D">
        <w:rPr>
          <w:b/>
          <w:bCs/>
        </w:rPr>
        <w:t xml:space="preserve">Note: </w:t>
      </w:r>
      <w:r w:rsidRPr="0018386D">
        <w:t>n</w:t>
      </w:r>
      <w:r w:rsidR="005B02EA" w:rsidRPr="0018386D">
        <w:t xml:space="preserve">o data has been used from the Palmerston North to Wellington commuter line. </w:t>
      </w:r>
      <w:r w:rsidR="00D9578F" w:rsidRPr="0018386D">
        <w:t>For diesel, calculations are based solely on the Wairarapa line.</w:t>
      </w:r>
    </w:p>
    <w:p w14:paraId="2AE7344F" w14:textId="5DCA9A5A" w:rsidR="00203B4F" w:rsidRPr="0018386D" w:rsidRDefault="00203B4F" w:rsidP="00DD3106">
      <w:pPr>
        <w:pStyle w:val="BodyText"/>
      </w:pPr>
      <w:r w:rsidRPr="0018386D">
        <w:t>The energy consumption was multiplied by its respective emission factors (</w:t>
      </w:r>
      <w:hyperlink w:anchor="table9" w:history="1">
        <w:r w:rsidRPr="0018386D">
          <w:rPr>
            <w:rStyle w:val="Hyperlink"/>
          </w:rPr>
          <w:t>table 9</w:t>
        </w:r>
      </w:hyperlink>
      <w:r w:rsidRPr="0018386D">
        <w:t xml:space="preserve"> and </w:t>
      </w:r>
      <w:hyperlink w:anchor="table4" w:history="1">
        <w:r w:rsidRPr="0018386D">
          <w:rPr>
            <w:rStyle w:val="Hyperlink"/>
          </w:rPr>
          <w:t>table 4</w:t>
        </w:r>
      </w:hyperlink>
      <w:r w:rsidRPr="0018386D">
        <w:t xml:space="preserve">) and divided by the </w:t>
      </w:r>
      <w:proofErr w:type="spellStart"/>
      <w:r w:rsidRPr="0018386D">
        <w:t>pkm</w:t>
      </w:r>
      <w:proofErr w:type="spellEnd"/>
      <w:r w:rsidRPr="0018386D">
        <w:t xml:space="preserve"> to provide</w:t>
      </w:r>
      <w:r w:rsidR="00092A07" w:rsidRPr="0018386D">
        <w:t xml:space="preserve"> the emission factor. This was calculated using </w:t>
      </w:r>
      <w:r w:rsidR="007E6B6B" w:rsidRPr="0018386D">
        <w:t xml:space="preserve">2021 </w:t>
      </w:r>
      <w:r w:rsidR="00092A07" w:rsidRPr="0018386D">
        <w:t>electricity data.</w:t>
      </w:r>
      <w:r w:rsidRPr="0018386D">
        <w:t xml:space="preserve"> </w:t>
      </w:r>
    </w:p>
    <w:p w14:paraId="3CEC8010" w14:textId="165DE357" w:rsidR="009264E1" w:rsidRPr="0018386D" w:rsidRDefault="009264E1" w:rsidP="00DD3106">
      <w:pPr>
        <w:pStyle w:val="BodyText"/>
        <w:spacing w:after="240"/>
      </w:pPr>
      <w:r w:rsidRPr="0018386D">
        <w:t>The average was calculated by adding the to</w:t>
      </w:r>
      <w:r w:rsidR="00204FA9" w:rsidRPr="0018386D">
        <w:t>t</w:t>
      </w:r>
      <w:r w:rsidR="0059494E" w:rsidRPr="0018386D">
        <w:t xml:space="preserve">al </w:t>
      </w:r>
      <w:proofErr w:type="spellStart"/>
      <w:r w:rsidR="0059494E" w:rsidRPr="0018386D">
        <w:t>pkm</w:t>
      </w:r>
      <w:r w:rsidR="00831325" w:rsidRPr="0018386D">
        <w:t>s</w:t>
      </w:r>
      <w:proofErr w:type="spellEnd"/>
      <w:r w:rsidR="00831325" w:rsidRPr="0018386D">
        <w:t xml:space="preserve"> and the total GHG</w:t>
      </w:r>
      <w:r w:rsidR="00204FA9" w:rsidRPr="0018386D">
        <w:t>s</w:t>
      </w:r>
      <w:r w:rsidR="005B02EA" w:rsidRPr="0018386D">
        <w:t xml:space="preserve"> for both the electric and diesel commuter lines</w:t>
      </w:r>
      <w:r w:rsidR="00204FA9" w:rsidRPr="0018386D">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E6859" w:rsidRPr="0018386D" w14:paraId="660F6CFB" w14:textId="77777777" w:rsidTr="00C56EFF">
        <w:tc>
          <w:tcPr>
            <w:tcW w:w="0" w:type="auto"/>
            <w:shd w:val="clear" w:color="auto" w:fill="D2DDE1" w:themeFill="background2"/>
          </w:tcPr>
          <w:p w14:paraId="19E44A9F" w14:textId="05DFCF15" w:rsidR="003E6859" w:rsidRPr="0018386D" w:rsidRDefault="000F0C85" w:rsidP="00DD3106">
            <w:pPr>
              <w:pStyle w:val="Blueboxtext"/>
              <w:spacing w:before="240" w:after="240"/>
              <w:ind w:left="0"/>
              <w:jc w:val="center"/>
            </w:pPr>
            <w:r w:rsidRPr="0018386D">
              <w:rPr>
                <w:rFonts w:ascii="Cambria Math" w:hAnsi="Cambria Math"/>
                <w:i/>
              </w:rPr>
              <w:t>(</w:t>
            </w:r>
            <w:proofErr w:type="gramStart"/>
            <w:r w:rsidRPr="0018386D">
              <w:rPr>
                <w:rFonts w:ascii="Cambria Math" w:hAnsi="Cambria Math"/>
                <w:i/>
              </w:rPr>
              <w:t>total</w:t>
            </w:r>
            <w:proofErr w:type="gramEnd"/>
            <w:r w:rsidRPr="0018386D">
              <w:rPr>
                <w:rFonts w:ascii="Cambria Math" w:hAnsi="Cambria Math"/>
                <w:i/>
              </w:rPr>
              <w:t xml:space="preserve"> diesel GHG + total electric GHG)/ (diesel </w:t>
            </w:r>
            <w:proofErr w:type="spellStart"/>
            <w:r w:rsidRPr="0018386D">
              <w:rPr>
                <w:rFonts w:ascii="Cambria Math" w:hAnsi="Cambria Math"/>
                <w:i/>
              </w:rPr>
              <w:t>pkm</w:t>
            </w:r>
            <w:proofErr w:type="spellEnd"/>
            <w:r w:rsidRPr="0018386D">
              <w:rPr>
                <w:rFonts w:ascii="Cambria Math" w:hAnsi="Cambria Math"/>
                <w:i/>
              </w:rPr>
              <w:t xml:space="preserve"> + electric </w:t>
            </w:r>
            <w:proofErr w:type="spellStart"/>
            <w:r w:rsidRPr="0018386D">
              <w:rPr>
                <w:rFonts w:ascii="Cambria Math" w:hAnsi="Cambria Math"/>
                <w:i/>
              </w:rPr>
              <w:t>pkm</w:t>
            </w:r>
            <w:proofErr w:type="spellEnd"/>
            <w:r w:rsidRPr="0018386D">
              <w:rPr>
                <w:rFonts w:ascii="Cambria Math" w:hAnsi="Cambria Math"/>
                <w:i/>
              </w:rPr>
              <w:t>)</w:t>
            </w:r>
          </w:p>
        </w:tc>
      </w:tr>
    </w:tbl>
    <w:p w14:paraId="6F0E98E0" w14:textId="77777777" w:rsidR="00864224" w:rsidRPr="0018386D" w:rsidRDefault="506D0CC3" w:rsidP="00DD3106">
      <w:pPr>
        <w:pStyle w:val="Heading3"/>
        <w:numPr>
          <w:ilvl w:val="2"/>
          <w:numId w:val="8"/>
        </w:numPr>
        <w:spacing w:before="400"/>
        <w:jc w:val="both"/>
      </w:pPr>
      <w:r w:rsidRPr="0018386D">
        <w:t xml:space="preserve">Assumptions, </w:t>
      </w:r>
      <w:proofErr w:type="gramStart"/>
      <w:r w:rsidRPr="0018386D">
        <w:t>limitations</w:t>
      </w:r>
      <w:proofErr w:type="gramEnd"/>
      <w:r w:rsidRPr="0018386D">
        <w:t xml:space="preserve"> and uncertainties</w:t>
      </w:r>
    </w:p>
    <w:p w14:paraId="17656D6E" w14:textId="1B76BD4A" w:rsidR="000437CB" w:rsidRPr="0018386D" w:rsidRDefault="00EF7C04" w:rsidP="00DD3106">
      <w:pPr>
        <w:pStyle w:val="BodyText"/>
      </w:pPr>
      <w:r w:rsidRPr="0018386D">
        <w:t xml:space="preserve">Limited data is available </w:t>
      </w:r>
      <w:r w:rsidR="00FB561C" w:rsidRPr="0018386D">
        <w:t xml:space="preserve">for regions outside </w:t>
      </w:r>
      <w:r w:rsidR="00092A07" w:rsidRPr="0018386D">
        <w:t xml:space="preserve">the </w:t>
      </w:r>
      <w:r w:rsidR="00FB561C" w:rsidRPr="0018386D">
        <w:t>Greater Wellington Region</w:t>
      </w:r>
      <w:r w:rsidR="000437CB" w:rsidRPr="0018386D">
        <w:t>.</w:t>
      </w:r>
      <w:r w:rsidR="00D8290F" w:rsidRPr="0018386D">
        <w:t xml:space="preserve"> </w:t>
      </w:r>
      <w:r w:rsidR="00092A07" w:rsidRPr="0018386D">
        <w:t xml:space="preserve">These </w:t>
      </w:r>
      <w:r w:rsidR="000437CB" w:rsidRPr="0018386D">
        <w:t xml:space="preserve">metro commuter rail </w:t>
      </w:r>
      <w:r w:rsidR="00D94393" w:rsidRPr="0018386D">
        <w:t>emission factors</w:t>
      </w:r>
      <w:r w:rsidR="000437CB" w:rsidRPr="0018386D">
        <w:t xml:space="preserve"> are assumed to be appropriate for use on any commuter rail line in New Zealand.</w:t>
      </w:r>
    </w:p>
    <w:p w14:paraId="088CB360" w14:textId="409068D4" w:rsidR="00864224" w:rsidRPr="0018386D" w:rsidRDefault="000437CB" w:rsidP="00DD3106">
      <w:pPr>
        <w:pStyle w:val="BodyText"/>
        <w:rPr>
          <w:spacing w:val="-2"/>
        </w:rPr>
      </w:pPr>
      <w:r w:rsidRPr="0018386D">
        <w:t>In most instances the National Average f</w:t>
      </w:r>
      <w:r w:rsidRPr="0018386D">
        <w:rPr>
          <w:spacing w:val="-2"/>
        </w:rPr>
        <w:t xml:space="preserve">or Bus </w:t>
      </w:r>
      <w:r w:rsidR="00D94393" w:rsidRPr="0018386D">
        <w:rPr>
          <w:spacing w:val="-2"/>
        </w:rPr>
        <w:t>emission factor</w:t>
      </w:r>
      <w:r w:rsidRPr="0018386D">
        <w:rPr>
          <w:spacing w:val="-2"/>
        </w:rPr>
        <w:t xml:space="preserve"> is the most appropriate to use.</w:t>
      </w:r>
      <w:r w:rsidR="00A36C08" w:rsidRPr="0018386D">
        <w:rPr>
          <w:spacing w:val="-2"/>
        </w:rPr>
        <w:t xml:space="preserve"> </w:t>
      </w:r>
      <w:r w:rsidRPr="0018386D">
        <w:rPr>
          <w:spacing w:val="-2"/>
        </w:rPr>
        <w:t xml:space="preserve">If taking public transport in Auckland or </w:t>
      </w:r>
      <w:r w:rsidR="00734F89" w:rsidRPr="0018386D">
        <w:rPr>
          <w:spacing w:val="-2"/>
        </w:rPr>
        <w:t>Wellington,</w:t>
      </w:r>
      <w:r w:rsidRPr="0018386D">
        <w:rPr>
          <w:spacing w:val="-2"/>
        </w:rPr>
        <w:t xml:space="preserve"> we recommend using the Wellington</w:t>
      </w:r>
      <w:r w:rsidR="00A36C08" w:rsidRPr="0018386D">
        <w:rPr>
          <w:spacing w:val="-2"/>
        </w:rPr>
        <w:t xml:space="preserve"> </w:t>
      </w:r>
      <w:r w:rsidRPr="0018386D">
        <w:rPr>
          <w:spacing w:val="-2"/>
        </w:rPr>
        <w:t>bus data.</w:t>
      </w:r>
      <w:bookmarkStart w:id="480" w:name="_Toc55216288"/>
      <w:bookmarkStart w:id="481" w:name="_Toc55216461"/>
      <w:bookmarkEnd w:id="480"/>
      <w:bookmarkEnd w:id="481"/>
    </w:p>
    <w:p w14:paraId="650920D8" w14:textId="779DBB65" w:rsidR="00321918" w:rsidRPr="0018386D" w:rsidRDefault="00321918" w:rsidP="00DD3106">
      <w:pPr>
        <w:pStyle w:val="Heading2"/>
        <w:numPr>
          <w:ilvl w:val="1"/>
          <w:numId w:val="8"/>
        </w:numPr>
        <w:jc w:val="both"/>
      </w:pPr>
      <w:bookmarkStart w:id="482" w:name="_Toc140048914"/>
      <w:r w:rsidRPr="0018386D">
        <w:t xml:space="preserve">Public transport </w:t>
      </w:r>
      <w:bookmarkEnd w:id="446"/>
      <w:bookmarkEnd w:id="447"/>
      <w:r w:rsidR="009663F3" w:rsidRPr="0018386D">
        <w:t>vehicles</w:t>
      </w:r>
      <w:bookmarkEnd w:id="482"/>
    </w:p>
    <w:p w14:paraId="2BA72F24" w14:textId="46CAC3EE" w:rsidR="007D1DA6" w:rsidRPr="0018386D" w:rsidRDefault="007D1DA6" w:rsidP="00DD3106">
      <w:pPr>
        <w:pStyle w:val="BodyText"/>
      </w:pPr>
      <w:bookmarkStart w:id="483" w:name="_Hlk532670168"/>
      <w:r w:rsidRPr="0018386D">
        <w:t xml:space="preserve">Public transport </w:t>
      </w:r>
      <w:r w:rsidR="00897E22" w:rsidRPr="0018386D">
        <w:t xml:space="preserve">vehicle </w:t>
      </w:r>
      <w:r w:rsidRPr="0018386D">
        <w:t xml:space="preserve">emissions include </w:t>
      </w:r>
      <w:r w:rsidR="007A3654" w:rsidRPr="0018386D">
        <w:t xml:space="preserve">those </w:t>
      </w:r>
      <w:r w:rsidR="00603347" w:rsidRPr="0018386D">
        <w:t>from</w:t>
      </w:r>
      <w:r w:rsidRPr="0018386D">
        <w:t xml:space="preserve"> </w:t>
      </w:r>
      <w:r w:rsidR="006B2276" w:rsidRPr="0018386D">
        <w:t>buses</w:t>
      </w:r>
      <w:r w:rsidR="00873D0A" w:rsidRPr="0018386D">
        <w:t>.</w:t>
      </w:r>
      <w:r w:rsidR="00AB595E" w:rsidRPr="0018386D">
        <w:t xml:space="preserve"> </w:t>
      </w:r>
      <w:r w:rsidR="009D297A" w:rsidRPr="0018386D">
        <w:t xml:space="preserve">Emissions are calculated for the </w:t>
      </w:r>
      <w:bookmarkStart w:id="484" w:name="_Hlk532893305"/>
      <w:bookmarkEnd w:id="483"/>
      <w:r w:rsidR="008B3A39" w:rsidRPr="0018386D">
        <w:t>whole vehicle.</w:t>
      </w:r>
      <w:r w:rsidR="00EE6D09" w:rsidRPr="0018386D">
        <w:t xml:space="preserve"> This approach</w:t>
      </w:r>
      <w:r w:rsidR="00946BFE" w:rsidRPr="0018386D">
        <w:t> </w:t>
      </w:r>
      <w:r w:rsidR="00EE6D09" w:rsidRPr="0018386D">
        <w:t>is</w:t>
      </w:r>
      <w:r w:rsidR="00946BFE" w:rsidRPr="0018386D">
        <w:t> </w:t>
      </w:r>
      <w:r w:rsidR="00EE6D09" w:rsidRPr="0018386D">
        <w:t>appropriate for transport operators or if a bus is chartered.</w:t>
      </w:r>
      <w:r w:rsidR="008B3A39" w:rsidRPr="0018386D">
        <w:t xml:space="preserve"> </w:t>
      </w:r>
      <w:bookmarkEnd w:id="484"/>
      <w:r w:rsidR="00CD3298" w:rsidRPr="0018386D">
        <w:fldChar w:fldCharType="begin"/>
      </w:r>
      <w:r w:rsidR="002A1B59" w:rsidRPr="0018386D">
        <w:instrText>HYPERLINK  \l "table34"</w:instrText>
      </w:r>
      <w:r w:rsidR="00CD3298" w:rsidRPr="0018386D">
        <w:fldChar w:fldCharType="separate"/>
      </w:r>
      <w:r w:rsidR="00FC11C4" w:rsidRPr="0018386D">
        <w:rPr>
          <w:rStyle w:val="Hyperlink"/>
        </w:rPr>
        <w:t>Table 3</w:t>
      </w:r>
      <w:r w:rsidR="00C70C8A" w:rsidRPr="0018386D">
        <w:rPr>
          <w:rStyle w:val="Hyperlink"/>
        </w:rPr>
        <w:t>4</w:t>
      </w:r>
      <w:r w:rsidR="00CD3298" w:rsidRPr="0018386D">
        <w:rPr>
          <w:rStyle w:val="Hyperlink"/>
        </w:rPr>
        <w:fldChar w:fldCharType="end"/>
      </w:r>
      <w:r w:rsidR="00FC11C4" w:rsidRPr="0018386D">
        <w:t xml:space="preserve"> </w:t>
      </w:r>
      <w:r w:rsidR="00F76EF8" w:rsidRPr="0018386D">
        <w:t>details t</w:t>
      </w:r>
      <w:r w:rsidR="008B3A39" w:rsidRPr="0018386D">
        <w:t>hese</w:t>
      </w:r>
      <w:r w:rsidR="00946BFE" w:rsidRPr="0018386D">
        <w:t> </w:t>
      </w:r>
      <w:r w:rsidR="008B3A39" w:rsidRPr="0018386D">
        <w:t>emission factors.</w:t>
      </w:r>
      <w:r w:rsidR="008657E5" w:rsidRPr="0018386D">
        <w:t xml:space="preserve"> </w:t>
      </w:r>
    </w:p>
    <w:p w14:paraId="47C83332" w14:textId="07745CC3" w:rsidR="007D1DA6" w:rsidRPr="0018386D" w:rsidRDefault="007A3654" w:rsidP="00DD3106">
      <w:pPr>
        <w:pStyle w:val="BodyText"/>
      </w:pPr>
      <w:r w:rsidRPr="0018386D">
        <w:rPr>
          <w:b/>
        </w:rPr>
        <w:t>Buses:</w:t>
      </w:r>
      <w:r w:rsidRPr="0018386D">
        <w:t xml:space="preserve"> </w:t>
      </w:r>
      <w:r w:rsidR="00F76EF8" w:rsidRPr="0018386D">
        <w:t>We calculated the emissions of differ</w:t>
      </w:r>
      <w:r w:rsidRPr="0018386D">
        <w:t>ent</w:t>
      </w:r>
      <w:r w:rsidR="00F76EF8" w:rsidRPr="0018386D">
        <w:t xml:space="preserve"> buses using </w:t>
      </w:r>
      <w:r w:rsidR="00CD067C" w:rsidRPr="0018386D">
        <w:rPr>
          <w:rFonts w:eastAsia="Calibri" w:cs="Calibri"/>
          <w:color w:val="000000" w:themeColor="text1"/>
        </w:rPr>
        <w:t xml:space="preserve">Te Manatū Waka Ministry of Transport </w:t>
      </w:r>
      <w:r w:rsidR="00CE59AC" w:rsidRPr="0018386D">
        <w:rPr>
          <w:iCs/>
          <w:spacing w:val="-2"/>
        </w:rPr>
        <w:t>Vehicle</w:t>
      </w:r>
      <w:r w:rsidR="00CE59AC" w:rsidRPr="0018386D">
        <w:rPr>
          <w:rStyle w:val="Hyperlink"/>
          <w:iCs/>
          <w:color w:val="auto"/>
          <w:spacing w:val="-2"/>
        </w:rPr>
        <w:t xml:space="preserve"> </w:t>
      </w:r>
      <w:r w:rsidR="002E72D6" w:rsidRPr="0018386D">
        <w:rPr>
          <w:rStyle w:val="Hyperlink"/>
          <w:iCs/>
          <w:color w:val="auto"/>
          <w:spacing w:val="-2"/>
        </w:rPr>
        <w:t xml:space="preserve">Fleet Emissions </w:t>
      </w:r>
      <w:r w:rsidR="002E72D6" w:rsidRPr="0018386D">
        <w:rPr>
          <w:rStyle w:val="Hyperlink"/>
          <w:color w:val="auto"/>
        </w:rPr>
        <w:t>Model</w:t>
      </w:r>
      <w:r w:rsidR="006B50EE" w:rsidRPr="0018386D">
        <w:t xml:space="preserve"> </w:t>
      </w:r>
      <w:r w:rsidR="007D1DA6" w:rsidRPr="0018386D">
        <w:t>data for fuel consumption in litres per 100 k</w:t>
      </w:r>
      <w:r w:rsidR="006A0E82" w:rsidRPr="0018386D">
        <w:t>ilometres</w:t>
      </w:r>
      <w:r w:rsidR="007D1DA6" w:rsidRPr="0018386D">
        <w:t xml:space="preserve">. </w:t>
      </w:r>
      <w:r w:rsidR="00F76EF8" w:rsidRPr="0018386D">
        <w:t>The guide presents the</w:t>
      </w:r>
      <w:r w:rsidR="007D1DA6" w:rsidRPr="0018386D">
        <w:t xml:space="preserve"> data in emissions per k</w:t>
      </w:r>
      <w:r w:rsidR="006A0E82" w:rsidRPr="0018386D">
        <w:t>ilometre</w:t>
      </w:r>
      <w:r w:rsidR="007D1DA6" w:rsidRPr="0018386D">
        <w:t>.</w:t>
      </w:r>
    </w:p>
    <w:p w14:paraId="549389A1" w14:textId="3818FD22" w:rsidR="007C1751" w:rsidRPr="0018386D" w:rsidRDefault="007C1751" w:rsidP="00DD3106">
      <w:pPr>
        <w:pStyle w:val="BodyText"/>
      </w:pPr>
      <w:r w:rsidRPr="0018386D">
        <w:t>There are no changes to th</w:t>
      </w:r>
      <w:r w:rsidR="008877AF" w:rsidRPr="0018386D">
        <w:t>e</w:t>
      </w:r>
      <w:r w:rsidRPr="0018386D">
        <w:t xml:space="preserve"> data from the previous edition of th</w:t>
      </w:r>
      <w:r w:rsidR="008877AF" w:rsidRPr="0018386D">
        <w:t xml:space="preserve">is guide. </w:t>
      </w:r>
      <w:r w:rsidR="004558FB" w:rsidRPr="0018386D">
        <w:t>The data used is from</w:t>
      </w:r>
      <w:r w:rsidR="00572028" w:rsidRPr="0018386D">
        <w:t> </w:t>
      </w:r>
      <w:r w:rsidR="004558FB" w:rsidRPr="0018386D">
        <w:t>2019.</w:t>
      </w:r>
    </w:p>
    <w:bookmarkStart w:id="485" w:name="table34"/>
    <w:p w14:paraId="7979E3A3" w14:textId="3DBFBEB2" w:rsidR="003D5438" w:rsidRPr="0018386D" w:rsidRDefault="00033729" w:rsidP="00DD3106">
      <w:pPr>
        <w:pStyle w:val="BodyText"/>
        <w:rPr>
          <w:b/>
          <w:sz w:val="20"/>
          <w:szCs w:val="20"/>
        </w:rPr>
      </w:pPr>
      <w:r w:rsidRPr="0018386D">
        <w:rPr>
          <w:color w:val="32809C" w:themeColor="accent2"/>
        </w:rPr>
        <w:fldChar w:fldCharType="begin"/>
      </w:r>
      <w:r w:rsidRPr="0018386D">
        <w:rPr>
          <w:color w:val="32809C" w:themeColor="accent2"/>
        </w:rPr>
        <w:instrText xml:space="preserve"> HYPERLINK  \l "table35" </w:instrText>
      </w:r>
      <w:r w:rsidRPr="0018386D">
        <w:rPr>
          <w:color w:val="32809C" w:themeColor="accent2"/>
        </w:rPr>
      </w:r>
      <w:r w:rsidRPr="0018386D">
        <w:rPr>
          <w:color w:val="32809C" w:themeColor="accent2"/>
        </w:rPr>
        <w:fldChar w:fldCharType="separate"/>
      </w:r>
      <w:r w:rsidR="00D36BE3" w:rsidRPr="0018386D">
        <w:rPr>
          <w:rStyle w:val="Hyperlink"/>
        </w:rPr>
        <w:t>Table 3</w:t>
      </w:r>
      <w:r w:rsidR="00C70C8A" w:rsidRPr="0018386D">
        <w:rPr>
          <w:rStyle w:val="Hyperlink"/>
        </w:rPr>
        <w:t>5</w:t>
      </w:r>
      <w:bookmarkEnd w:id="485"/>
      <w:r w:rsidRPr="0018386D">
        <w:rPr>
          <w:color w:val="32809C" w:themeColor="accent2"/>
        </w:rPr>
        <w:fldChar w:fldCharType="end"/>
      </w:r>
      <w:r w:rsidR="00D36BE3" w:rsidRPr="0018386D">
        <w:rPr>
          <w:color w:val="32809C" w:themeColor="accent2"/>
        </w:rPr>
        <w:t xml:space="preserve"> </w:t>
      </w:r>
      <w:r w:rsidR="00F76EF8" w:rsidRPr="0018386D">
        <w:t>details t</w:t>
      </w:r>
      <w:r w:rsidR="007D1DA6" w:rsidRPr="0018386D">
        <w:t>he data provided to calculate the emission conversion factors.</w:t>
      </w:r>
      <w:bookmarkStart w:id="486" w:name="_Ref529837843"/>
    </w:p>
    <w:p w14:paraId="1C04DCEA" w14:textId="294980DF" w:rsidR="008E2ED2" w:rsidRPr="0018386D" w:rsidRDefault="00654EA7" w:rsidP="00DD3106">
      <w:pPr>
        <w:pStyle w:val="Tableheading"/>
        <w:rPr>
          <w:rFonts w:asciiTheme="minorHAnsi" w:hAnsiTheme="minorHAnsi"/>
        </w:rPr>
      </w:pPr>
      <w:bookmarkStart w:id="487" w:name="_Ref612831"/>
      <w:bookmarkStart w:id="488" w:name="table33"/>
      <w:bookmarkStart w:id="489" w:name="_Toc111536639"/>
      <w:bookmarkStart w:id="490" w:name="_Toc140048974"/>
      <w:r w:rsidRPr="0018386D">
        <w:t xml:space="preserve">Table </w:t>
      </w:r>
      <w:r w:rsidRPr="0018386D">
        <w:fldChar w:fldCharType="begin"/>
      </w:r>
      <w:r w:rsidRPr="0018386D">
        <w:instrText>SEQ Table \* ARABIC</w:instrText>
      </w:r>
      <w:r w:rsidRPr="0018386D">
        <w:fldChar w:fldCharType="separate"/>
      </w:r>
      <w:r w:rsidR="003E141C" w:rsidRPr="0018386D">
        <w:t>34</w:t>
      </w:r>
      <w:r w:rsidRPr="0018386D">
        <w:fldChar w:fldCharType="end"/>
      </w:r>
      <w:bookmarkEnd w:id="486"/>
      <w:bookmarkEnd w:id="487"/>
      <w:bookmarkEnd w:id="488"/>
      <w:r w:rsidR="00AB7CE4" w:rsidRPr="0018386D">
        <w:t>:</w:t>
      </w:r>
      <w:r w:rsidR="00AB7CE4" w:rsidRPr="0018386D">
        <w:tab/>
      </w:r>
      <w:r w:rsidR="007A3654" w:rsidRPr="0018386D">
        <w:t>Bus</w:t>
      </w:r>
      <w:r w:rsidRPr="0018386D">
        <w:t xml:space="preserve"> emission factors per km </w:t>
      </w:r>
      <w:proofErr w:type="gramStart"/>
      <w:r w:rsidRPr="0018386D">
        <w:t>travelled</w:t>
      </w:r>
      <w:bookmarkStart w:id="491" w:name="_1746366816"/>
      <w:bookmarkStart w:id="492" w:name="_1745997843"/>
      <w:bookmarkStart w:id="493" w:name="_1746254067"/>
      <w:bookmarkStart w:id="494" w:name="_1747051263"/>
      <w:bookmarkEnd w:id="489"/>
      <w:bookmarkEnd w:id="490"/>
      <w:bookmarkEnd w:id="491"/>
      <w:bookmarkEnd w:id="492"/>
      <w:bookmarkEnd w:id="493"/>
      <w:bookmarkEnd w:id="494"/>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411"/>
        <w:gridCol w:w="1406"/>
        <w:gridCol w:w="564"/>
        <w:gridCol w:w="1237"/>
        <w:gridCol w:w="1352"/>
        <w:gridCol w:w="1268"/>
        <w:gridCol w:w="1267"/>
      </w:tblGrid>
      <w:tr w:rsidR="00922242" w:rsidRPr="0018386D" w14:paraId="45BB406A" w14:textId="77777777" w:rsidTr="00575E53">
        <w:trPr>
          <w:divId w:val="1900900932"/>
          <w:trHeight w:val="240"/>
          <w:tblHeader/>
        </w:trPr>
        <w:tc>
          <w:tcPr>
            <w:tcW w:w="1420" w:type="dxa"/>
            <w:tcBorders>
              <w:bottom w:val="nil"/>
            </w:tcBorders>
            <w:shd w:val="clear" w:color="000000" w:fill="1B556B" w:themeFill="text2"/>
            <w:noWrap/>
            <w:vAlign w:val="bottom"/>
            <w:hideMark/>
          </w:tcPr>
          <w:p w14:paraId="4831F073" w14:textId="08541060" w:rsidR="008E2ED2" w:rsidRPr="0018386D" w:rsidRDefault="008E2ED2" w:rsidP="00DD3106">
            <w:pPr>
              <w:pStyle w:val="TableTextbold"/>
              <w:spacing w:before="40" w:after="40"/>
              <w:rPr>
                <w:color w:val="FFFFFF" w:themeColor="background1"/>
                <w:szCs w:val="18"/>
              </w:rPr>
            </w:pPr>
            <w:r w:rsidRPr="0018386D">
              <w:rPr>
                <w:color w:val="FFFFFF" w:themeColor="background1"/>
                <w:szCs w:val="18"/>
              </w:rPr>
              <w:t>Emission source</w:t>
            </w:r>
          </w:p>
        </w:tc>
        <w:tc>
          <w:tcPr>
            <w:tcW w:w="1415" w:type="dxa"/>
            <w:shd w:val="clear" w:color="000000" w:fill="1B556B" w:themeFill="text2"/>
            <w:noWrap/>
            <w:vAlign w:val="bottom"/>
            <w:hideMark/>
          </w:tcPr>
          <w:p w14:paraId="3EE24B50" w14:textId="77777777" w:rsidR="008E2ED2" w:rsidRPr="0018386D" w:rsidRDefault="008E2ED2" w:rsidP="00DD3106">
            <w:pPr>
              <w:pStyle w:val="TableTextbold"/>
              <w:spacing w:before="40" w:after="40"/>
              <w:rPr>
                <w:color w:val="FFFFFF" w:themeColor="background1"/>
                <w:szCs w:val="18"/>
              </w:rPr>
            </w:pPr>
            <w:r w:rsidRPr="0018386D">
              <w:rPr>
                <w:color w:val="FFFFFF" w:themeColor="background1"/>
                <w:szCs w:val="18"/>
              </w:rPr>
              <w:t> </w:t>
            </w:r>
          </w:p>
        </w:tc>
        <w:tc>
          <w:tcPr>
            <w:tcW w:w="567" w:type="dxa"/>
            <w:shd w:val="clear" w:color="000000" w:fill="1B556B" w:themeFill="text2"/>
            <w:noWrap/>
            <w:vAlign w:val="bottom"/>
            <w:hideMark/>
          </w:tcPr>
          <w:p w14:paraId="0A70063F" w14:textId="77777777" w:rsidR="008E2ED2" w:rsidRPr="0018386D" w:rsidRDefault="008E2ED2" w:rsidP="00DD3106">
            <w:pPr>
              <w:pStyle w:val="TableTextbold"/>
              <w:spacing w:before="40" w:after="40"/>
              <w:rPr>
                <w:color w:val="FFFFFF" w:themeColor="background1"/>
                <w:szCs w:val="18"/>
              </w:rPr>
            </w:pPr>
            <w:r w:rsidRPr="0018386D">
              <w:rPr>
                <w:color w:val="FFFFFF" w:themeColor="background1"/>
                <w:szCs w:val="18"/>
              </w:rPr>
              <w:t>Unit</w:t>
            </w:r>
          </w:p>
        </w:tc>
        <w:tc>
          <w:tcPr>
            <w:tcW w:w="1245" w:type="dxa"/>
            <w:shd w:val="clear" w:color="000000" w:fill="1B556B" w:themeFill="text2"/>
            <w:noWrap/>
            <w:vAlign w:val="bottom"/>
            <w:hideMark/>
          </w:tcPr>
          <w:p w14:paraId="06AC4B9F" w14:textId="221DBF35" w:rsidR="008E2ED2" w:rsidRPr="0018386D" w:rsidRDefault="008E2ED2" w:rsidP="00DD3106">
            <w:pPr>
              <w:pStyle w:val="TableTextbold"/>
              <w:spacing w:before="40" w:after="40"/>
              <w:rPr>
                <w:color w:val="FFFFFF" w:themeColor="background1"/>
                <w:szCs w:val="18"/>
              </w:rPr>
            </w:pPr>
            <w:r w:rsidRPr="0018386D">
              <w:rPr>
                <w:color w:val="FFFFFF" w:themeColor="background1"/>
                <w:szCs w:val="18"/>
              </w:rPr>
              <w:t>kg CO₂-e/unit</w:t>
            </w:r>
          </w:p>
        </w:tc>
        <w:tc>
          <w:tcPr>
            <w:tcW w:w="1361" w:type="dxa"/>
            <w:shd w:val="clear" w:color="000000" w:fill="1B556B" w:themeFill="text2"/>
            <w:noWrap/>
            <w:vAlign w:val="bottom"/>
            <w:hideMark/>
          </w:tcPr>
          <w:p w14:paraId="1ADDD719" w14:textId="7C8E96FE" w:rsidR="008E2ED2" w:rsidRPr="0018386D" w:rsidRDefault="008E2ED2" w:rsidP="00DD3106">
            <w:pPr>
              <w:pStyle w:val="TableTextbold"/>
              <w:spacing w:before="40" w:after="40"/>
              <w:rPr>
                <w:color w:val="FFFFFF" w:themeColor="background1"/>
                <w:szCs w:val="18"/>
              </w:rPr>
            </w:pPr>
            <w:r w:rsidRPr="0018386D">
              <w:rPr>
                <w:color w:val="FFFFFF" w:themeColor="background1"/>
                <w:szCs w:val="18"/>
              </w:rPr>
              <w:t>CO₂ (kg CO₂</w:t>
            </w:r>
            <w:r w:rsidRPr="0018386D">
              <w:rPr>
                <w:color w:val="FFFFFF" w:themeColor="background1"/>
                <w:szCs w:val="18"/>
              </w:rPr>
              <w:noBreakHyphen/>
              <w:t>e/</w:t>
            </w:r>
            <w:r w:rsidR="00922242" w:rsidRPr="0018386D">
              <w:rPr>
                <w:color w:val="FFFFFF" w:themeColor="background1"/>
                <w:szCs w:val="18"/>
              </w:rPr>
              <w:t xml:space="preserve"> </w:t>
            </w:r>
            <w:r w:rsidRPr="0018386D">
              <w:rPr>
                <w:color w:val="FFFFFF" w:themeColor="background1"/>
                <w:szCs w:val="18"/>
              </w:rPr>
              <w:t>unit)</w:t>
            </w:r>
          </w:p>
        </w:tc>
        <w:tc>
          <w:tcPr>
            <w:tcW w:w="1276" w:type="dxa"/>
            <w:shd w:val="clear" w:color="000000" w:fill="1B556B" w:themeFill="text2"/>
            <w:noWrap/>
            <w:vAlign w:val="bottom"/>
            <w:hideMark/>
          </w:tcPr>
          <w:p w14:paraId="4B91A6BC" w14:textId="05438710" w:rsidR="008E2ED2" w:rsidRPr="0018386D" w:rsidRDefault="008E2ED2" w:rsidP="00DD3106">
            <w:pPr>
              <w:pStyle w:val="TableTextbold"/>
              <w:spacing w:before="40" w:after="40"/>
              <w:rPr>
                <w:color w:val="FFFFFF" w:themeColor="background1"/>
                <w:szCs w:val="18"/>
              </w:rPr>
            </w:pPr>
            <w:r w:rsidRPr="0018386D">
              <w:rPr>
                <w:color w:val="FFFFFF" w:themeColor="background1"/>
                <w:szCs w:val="18"/>
              </w:rPr>
              <w:t>CH₄ (kg CO₂-e/</w:t>
            </w:r>
            <w:r w:rsidR="00922242" w:rsidRPr="0018386D">
              <w:rPr>
                <w:color w:val="FFFFFF" w:themeColor="background1"/>
                <w:szCs w:val="18"/>
              </w:rPr>
              <w:t xml:space="preserve"> </w:t>
            </w:r>
            <w:r w:rsidRPr="0018386D">
              <w:rPr>
                <w:color w:val="FFFFFF" w:themeColor="background1"/>
                <w:szCs w:val="18"/>
              </w:rPr>
              <w:t>unit)</w:t>
            </w:r>
          </w:p>
        </w:tc>
        <w:tc>
          <w:tcPr>
            <w:tcW w:w="1275" w:type="dxa"/>
            <w:shd w:val="clear" w:color="000000" w:fill="1B556B" w:themeFill="text2"/>
            <w:noWrap/>
            <w:vAlign w:val="bottom"/>
            <w:hideMark/>
          </w:tcPr>
          <w:p w14:paraId="2DB64D2B" w14:textId="0AA11CCD" w:rsidR="008E2ED2" w:rsidRPr="0018386D" w:rsidRDefault="008E2ED2" w:rsidP="00DD3106">
            <w:pPr>
              <w:pStyle w:val="TableTextbold"/>
              <w:spacing w:before="40" w:after="40"/>
              <w:rPr>
                <w:color w:val="FFFFFF" w:themeColor="background1"/>
                <w:szCs w:val="18"/>
              </w:rPr>
            </w:pPr>
            <w:r w:rsidRPr="0018386D">
              <w:rPr>
                <w:color w:val="FFFFFF" w:themeColor="background1"/>
                <w:szCs w:val="18"/>
              </w:rPr>
              <w:t>N₂O (kg CO₂-e/</w:t>
            </w:r>
            <w:r w:rsidR="00922242" w:rsidRPr="0018386D">
              <w:rPr>
                <w:color w:val="FFFFFF" w:themeColor="background1"/>
                <w:szCs w:val="18"/>
              </w:rPr>
              <w:t xml:space="preserve"> </w:t>
            </w:r>
            <w:r w:rsidRPr="0018386D">
              <w:rPr>
                <w:color w:val="FFFFFF" w:themeColor="background1"/>
                <w:szCs w:val="18"/>
              </w:rPr>
              <w:t>unit)</w:t>
            </w:r>
          </w:p>
        </w:tc>
      </w:tr>
      <w:tr w:rsidR="00FB1B1C" w:rsidRPr="0018386D" w14:paraId="4B43984A" w14:textId="77777777" w:rsidTr="00575E53">
        <w:trPr>
          <w:divId w:val="1900900932"/>
          <w:trHeight w:val="240"/>
        </w:trPr>
        <w:tc>
          <w:tcPr>
            <w:tcW w:w="1420" w:type="dxa"/>
            <w:tcBorders>
              <w:top w:val="nil"/>
              <w:bottom w:val="nil"/>
              <w:right w:val="single" w:sz="4" w:space="0" w:color="auto"/>
            </w:tcBorders>
            <w:shd w:val="clear" w:color="000000" w:fill="FFFFFF"/>
            <w:noWrap/>
            <w:hideMark/>
          </w:tcPr>
          <w:p w14:paraId="3BA2FB86" w14:textId="53D80B95" w:rsidR="008E2ED2" w:rsidRPr="0018386D" w:rsidRDefault="008E2ED2" w:rsidP="00DD3106">
            <w:pPr>
              <w:pStyle w:val="TableText"/>
              <w:spacing w:before="40" w:after="40"/>
              <w:rPr>
                <w:szCs w:val="18"/>
              </w:rPr>
            </w:pPr>
            <w:r w:rsidRPr="0018386D">
              <w:rPr>
                <w:szCs w:val="18"/>
              </w:rPr>
              <w:t xml:space="preserve">Diesel </w:t>
            </w:r>
            <w:r w:rsidR="008877AF" w:rsidRPr="0018386D">
              <w:rPr>
                <w:szCs w:val="18"/>
              </w:rPr>
              <w:t>b</w:t>
            </w:r>
            <w:r w:rsidRPr="0018386D">
              <w:rPr>
                <w:szCs w:val="18"/>
              </w:rPr>
              <w:t>us</w:t>
            </w:r>
          </w:p>
        </w:tc>
        <w:tc>
          <w:tcPr>
            <w:tcW w:w="1415" w:type="dxa"/>
            <w:tcBorders>
              <w:left w:val="single" w:sz="4" w:space="0" w:color="auto"/>
            </w:tcBorders>
            <w:shd w:val="clear" w:color="000000" w:fill="FFFFFF"/>
            <w:noWrap/>
            <w:hideMark/>
          </w:tcPr>
          <w:p w14:paraId="7698156C" w14:textId="1615AFDD" w:rsidR="008E2ED2" w:rsidRPr="0018386D" w:rsidRDefault="008E2ED2" w:rsidP="00DD3106">
            <w:pPr>
              <w:pStyle w:val="TableText"/>
              <w:spacing w:before="40" w:after="40"/>
              <w:rPr>
                <w:szCs w:val="18"/>
              </w:rPr>
            </w:pPr>
            <w:r w:rsidRPr="0018386D">
              <w:rPr>
                <w:szCs w:val="18"/>
              </w:rPr>
              <w:t>&lt;7500 kg</w:t>
            </w:r>
          </w:p>
        </w:tc>
        <w:tc>
          <w:tcPr>
            <w:tcW w:w="567" w:type="dxa"/>
            <w:shd w:val="clear" w:color="000000" w:fill="FFFFFF"/>
            <w:noWrap/>
            <w:hideMark/>
          </w:tcPr>
          <w:p w14:paraId="437AD6F5"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5A953F42" w14:textId="77777777" w:rsidR="008E2ED2" w:rsidRPr="0018386D" w:rsidRDefault="008E2ED2" w:rsidP="00DD3106">
            <w:pPr>
              <w:pStyle w:val="TableText"/>
              <w:spacing w:before="40" w:after="40"/>
              <w:rPr>
                <w:szCs w:val="18"/>
              </w:rPr>
            </w:pPr>
            <w:r w:rsidRPr="0018386D">
              <w:rPr>
                <w:szCs w:val="18"/>
              </w:rPr>
              <w:t>0.567</w:t>
            </w:r>
          </w:p>
        </w:tc>
        <w:tc>
          <w:tcPr>
            <w:tcW w:w="1361" w:type="dxa"/>
            <w:shd w:val="clear" w:color="000000" w:fill="FFFFFF"/>
            <w:noWrap/>
            <w:hideMark/>
          </w:tcPr>
          <w:p w14:paraId="2AA8A10B" w14:textId="77777777" w:rsidR="008E2ED2" w:rsidRPr="0018386D" w:rsidRDefault="008E2ED2" w:rsidP="00DD3106">
            <w:pPr>
              <w:pStyle w:val="TableText"/>
              <w:spacing w:before="40" w:after="40"/>
              <w:rPr>
                <w:szCs w:val="18"/>
              </w:rPr>
            </w:pPr>
            <w:r w:rsidRPr="0018386D">
              <w:rPr>
                <w:szCs w:val="18"/>
              </w:rPr>
              <w:t>0.557</w:t>
            </w:r>
          </w:p>
        </w:tc>
        <w:tc>
          <w:tcPr>
            <w:tcW w:w="1276" w:type="dxa"/>
            <w:shd w:val="clear" w:color="000000" w:fill="FFFFFF"/>
            <w:noWrap/>
            <w:hideMark/>
          </w:tcPr>
          <w:p w14:paraId="2236E336" w14:textId="386CE305" w:rsidR="008E2ED2" w:rsidRPr="0018386D" w:rsidRDefault="008E2ED2" w:rsidP="00DD3106">
            <w:pPr>
              <w:pStyle w:val="TableText"/>
              <w:spacing w:before="40" w:after="40"/>
              <w:rPr>
                <w:szCs w:val="18"/>
              </w:rPr>
            </w:pPr>
            <w:r w:rsidRPr="0018386D">
              <w:rPr>
                <w:szCs w:val="18"/>
              </w:rPr>
              <w:t>0.0007</w:t>
            </w:r>
          </w:p>
        </w:tc>
        <w:tc>
          <w:tcPr>
            <w:tcW w:w="1275" w:type="dxa"/>
            <w:shd w:val="clear" w:color="000000" w:fill="FFFFFF"/>
            <w:noWrap/>
            <w:hideMark/>
          </w:tcPr>
          <w:p w14:paraId="2EB75BA5" w14:textId="444DF71B" w:rsidR="008E2ED2" w:rsidRPr="0018386D" w:rsidRDefault="008E2ED2" w:rsidP="00DD3106">
            <w:pPr>
              <w:pStyle w:val="TableText"/>
              <w:spacing w:before="40" w:after="40"/>
              <w:rPr>
                <w:szCs w:val="18"/>
              </w:rPr>
            </w:pPr>
            <w:r w:rsidRPr="0018386D">
              <w:rPr>
                <w:szCs w:val="18"/>
              </w:rPr>
              <w:t>0.00888</w:t>
            </w:r>
          </w:p>
        </w:tc>
      </w:tr>
      <w:tr w:rsidR="00FB1B1C" w:rsidRPr="0018386D" w14:paraId="1A133B29" w14:textId="77777777" w:rsidTr="00575E53">
        <w:trPr>
          <w:divId w:val="1900900932"/>
          <w:trHeight w:val="240"/>
        </w:trPr>
        <w:tc>
          <w:tcPr>
            <w:tcW w:w="1420" w:type="dxa"/>
            <w:tcBorders>
              <w:top w:val="nil"/>
              <w:bottom w:val="nil"/>
              <w:right w:val="single" w:sz="4" w:space="0" w:color="auto"/>
            </w:tcBorders>
            <w:shd w:val="clear" w:color="000000" w:fill="FFFFFF"/>
            <w:noWrap/>
            <w:hideMark/>
          </w:tcPr>
          <w:p w14:paraId="7B36366E" w14:textId="77777777" w:rsidR="008E2ED2" w:rsidRPr="0018386D" w:rsidRDefault="008E2ED2" w:rsidP="00DD3106">
            <w:pPr>
              <w:pStyle w:val="TableText"/>
              <w:spacing w:before="40" w:after="40"/>
              <w:rPr>
                <w:szCs w:val="18"/>
              </w:rPr>
            </w:pPr>
            <w:r w:rsidRPr="0018386D">
              <w:rPr>
                <w:szCs w:val="18"/>
              </w:rPr>
              <w:t> </w:t>
            </w:r>
          </w:p>
        </w:tc>
        <w:tc>
          <w:tcPr>
            <w:tcW w:w="1415" w:type="dxa"/>
            <w:tcBorders>
              <w:left w:val="single" w:sz="4" w:space="0" w:color="auto"/>
            </w:tcBorders>
            <w:shd w:val="clear" w:color="000000" w:fill="FFFFFF"/>
            <w:noWrap/>
            <w:hideMark/>
          </w:tcPr>
          <w:p w14:paraId="69D31B36" w14:textId="7E0D9ACD" w:rsidR="008E2ED2" w:rsidRPr="0018386D" w:rsidRDefault="008E2ED2" w:rsidP="00DD3106">
            <w:pPr>
              <w:pStyle w:val="TableText"/>
              <w:spacing w:before="40" w:after="40"/>
              <w:rPr>
                <w:szCs w:val="18"/>
              </w:rPr>
            </w:pPr>
            <w:r w:rsidRPr="0018386D">
              <w:rPr>
                <w:szCs w:val="18"/>
              </w:rPr>
              <w:t>7500 - 12000 kg</w:t>
            </w:r>
          </w:p>
        </w:tc>
        <w:tc>
          <w:tcPr>
            <w:tcW w:w="567" w:type="dxa"/>
            <w:shd w:val="clear" w:color="000000" w:fill="FFFFFF"/>
            <w:noWrap/>
            <w:hideMark/>
          </w:tcPr>
          <w:p w14:paraId="62C7CD31"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2617C431" w14:textId="77777777" w:rsidR="008E2ED2" w:rsidRPr="0018386D" w:rsidRDefault="008E2ED2" w:rsidP="00DD3106">
            <w:pPr>
              <w:pStyle w:val="TableText"/>
              <w:spacing w:before="40" w:after="40"/>
              <w:rPr>
                <w:szCs w:val="18"/>
              </w:rPr>
            </w:pPr>
            <w:r w:rsidRPr="0018386D">
              <w:rPr>
                <w:szCs w:val="18"/>
              </w:rPr>
              <w:t>0.785</w:t>
            </w:r>
          </w:p>
        </w:tc>
        <w:tc>
          <w:tcPr>
            <w:tcW w:w="1361" w:type="dxa"/>
            <w:shd w:val="clear" w:color="000000" w:fill="FFFFFF"/>
            <w:noWrap/>
            <w:hideMark/>
          </w:tcPr>
          <w:p w14:paraId="78CE5B26" w14:textId="77777777" w:rsidR="008E2ED2" w:rsidRPr="0018386D" w:rsidRDefault="008E2ED2" w:rsidP="00DD3106">
            <w:pPr>
              <w:pStyle w:val="TableText"/>
              <w:spacing w:before="40" w:after="40"/>
              <w:rPr>
                <w:szCs w:val="18"/>
              </w:rPr>
            </w:pPr>
            <w:r w:rsidRPr="0018386D">
              <w:rPr>
                <w:szCs w:val="18"/>
              </w:rPr>
              <w:t>0.772</w:t>
            </w:r>
          </w:p>
        </w:tc>
        <w:tc>
          <w:tcPr>
            <w:tcW w:w="1276" w:type="dxa"/>
            <w:shd w:val="clear" w:color="000000" w:fill="FFFFFF"/>
            <w:noWrap/>
            <w:hideMark/>
          </w:tcPr>
          <w:p w14:paraId="1F8BA85C" w14:textId="6AF89C10" w:rsidR="008E2ED2" w:rsidRPr="0018386D" w:rsidRDefault="008E2ED2" w:rsidP="00DD3106">
            <w:pPr>
              <w:pStyle w:val="TableText"/>
              <w:spacing w:before="40" w:after="40"/>
              <w:rPr>
                <w:szCs w:val="18"/>
              </w:rPr>
            </w:pPr>
            <w:r w:rsidRPr="0018386D">
              <w:rPr>
                <w:szCs w:val="18"/>
              </w:rPr>
              <w:t>0.00103</w:t>
            </w:r>
          </w:p>
        </w:tc>
        <w:tc>
          <w:tcPr>
            <w:tcW w:w="1275" w:type="dxa"/>
            <w:shd w:val="clear" w:color="000000" w:fill="FFFFFF"/>
            <w:noWrap/>
            <w:hideMark/>
          </w:tcPr>
          <w:p w14:paraId="4BC68619" w14:textId="5E87F9BD" w:rsidR="008E2ED2" w:rsidRPr="0018386D" w:rsidRDefault="008E2ED2" w:rsidP="00DD3106">
            <w:pPr>
              <w:pStyle w:val="TableText"/>
              <w:spacing w:before="40" w:after="40"/>
              <w:rPr>
                <w:szCs w:val="18"/>
              </w:rPr>
            </w:pPr>
            <w:r w:rsidRPr="0018386D">
              <w:rPr>
                <w:szCs w:val="18"/>
              </w:rPr>
              <w:t>0.0123</w:t>
            </w:r>
          </w:p>
        </w:tc>
      </w:tr>
      <w:tr w:rsidR="00FB1B1C" w:rsidRPr="0018386D" w14:paraId="69B567F4" w14:textId="77777777" w:rsidTr="00575E53">
        <w:trPr>
          <w:divId w:val="1900900932"/>
          <w:trHeight w:val="240"/>
        </w:trPr>
        <w:tc>
          <w:tcPr>
            <w:tcW w:w="1420" w:type="dxa"/>
            <w:tcBorders>
              <w:top w:val="nil"/>
              <w:bottom w:val="single" w:sz="4" w:space="0" w:color="auto"/>
              <w:right w:val="single" w:sz="4" w:space="0" w:color="auto"/>
            </w:tcBorders>
            <w:shd w:val="clear" w:color="000000" w:fill="FFFFFF"/>
            <w:noWrap/>
            <w:hideMark/>
          </w:tcPr>
          <w:p w14:paraId="6ED151B5" w14:textId="77777777" w:rsidR="008E2ED2" w:rsidRPr="0018386D" w:rsidRDefault="008E2ED2" w:rsidP="00DD3106">
            <w:pPr>
              <w:pStyle w:val="TableText"/>
              <w:spacing w:before="40" w:after="40"/>
              <w:rPr>
                <w:szCs w:val="18"/>
              </w:rPr>
            </w:pPr>
            <w:r w:rsidRPr="0018386D">
              <w:rPr>
                <w:szCs w:val="18"/>
              </w:rPr>
              <w:t> </w:t>
            </w:r>
          </w:p>
        </w:tc>
        <w:tc>
          <w:tcPr>
            <w:tcW w:w="1415" w:type="dxa"/>
            <w:tcBorders>
              <w:left w:val="single" w:sz="4" w:space="0" w:color="auto"/>
            </w:tcBorders>
            <w:shd w:val="clear" w:color="000000" w:fill="FFFFFF"/>
            <w:noWrap/>
            <w:hideMark/>
          </w:tcPr>
          <w:p w14:paraId="6F388756" w14:textId="590881AF" w:rsidR="008E2ED2" w:rsidRPr="0018386D" w:rsidRDefault="008E2ED2" w:rsidP="00DD3106">
            <w:pPr>
              <w:pStyle w:val="TableText"/>
              <w:spacing w:before="40" w:after="40"/>
              <w:rPr>
                <w:szCs w:val="18"/>
              </w:rPr>
            </w:pPr>
            <w:r w:rsidRPr="0018386D">
              <w:rPr>
                <w:szCs w:val="18"/>
              </w:rPr>
              <w:t>≥12000 kg</w:t>
            </w:r>
          </w:p>
        </w:tc>
        <w:tc>
          <w:tcPr>
            <w:tcW w:w="567" w:type="dxa"/>
            <w:shd w:val="clear" w:color="000000" w:fill="FFFFFF"/>
            <w:noWrap/>
            <w:hideMark/>
          </w:tcPr>
          <w:p w14:paraId="66ACCE60"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0E761484" w14:textId="77D8814F" w:rsidR="008E2ED2" w:rsidRPr="0018386D" w:rsidRDefault="008E2ED2" w:rsidP="00DD3106">
            <w:pPr>
              <w:pStyle w:val="TableText"/>
              <w:spacing w:before="40" w:after="40"/>
              <w:rPr>
                <w:szCs w:val="18"/>
              </w:rPr>
            </w:pPr>
            <w:r w:rsidRPr="0018386D">
              <w:rPr>
                <w:szCs w:val="18"/>
              </w:rPr>
              <w:t>1.09</w:t>
            </w:r>
          </w:p>
        </w:tc>
        <w:tc>
          <w:tcPr>
            <w:tcW w:w="1361" w:type="dxa"/>
            <w:shd w:val="clear" w:color="000000" w:fill="FFFFFF"/>
            <w:noWrap/>
            <w:hideMark/>
          </w:tcPr>
          <w:p w14:paraId="62FDC50C" w14:textId="47E59DDF" w:rsidR="008E2ED2" w:rsidRPr="0018386D" w:rsidRDefault="008E2ED2" w:rsidP="00DD3106">
            <w:pPr>
              <w:pStyle w:val="TableText"/>
              <w:spacing w:before="40" w:after="40"/>
              <w:rPr>
                <w:szCs w:val="18"/>
              </w:rPr>
            </w:pPr>
            <w:r w:rsidRPr="0018386D">
              <w:rPr>
                <w:szCs w:val="18"/>
              </w:rPr>
              <w:t>1.07</w:t>
            </w:r>
          </w:p>
        </w:tc>
        <w:tc>
          <w:tcPr>
            <w:tcW w:w="1276" w:type="dxa"/>
            <w:shd w:val="clear" w:color="000000" w:fill="FFFFFF"/>
            <w:noWrap/>
            <w:hideMark/>
          </w:tcPr>
          <w:p w14:paraId="3C7D46EF" w14:textId="4EE65CB0" w:rsidR="008E2ED2" w:rsidRPr="0018386D" w:rsidRDefault="008E2ED2" w:rsidP="00DD3106">
            <w:pPr>
              <w:pStyle w:val="TableText"/>
              <w:spacing w:before="40" w:after="40"/>
              <w:rPr>
                <w:szCs w:val="18"/>
              </w:rPr>
            </w:pPr>
            <w:r w:rsidRPr="0018386D">
              <w:rPr>
                <w:szCs w:val="18"/>
              </w:rPr>
              <w:t>0.00143</w:t>
            </w:r>
          </w:p>
        </w:tc>
        <w:tc>
          <w:tcPr>
            <w:tcW w:w="1275" w:type="dxa"/>
            <w:shd w:val="clear" w:color="000000" w:fill="FFFFFF"/>
            <w:noWrap/>
            <w:hideMark/>
          </w:tcPr>
          <w:p w14:paraId="2D17160B" w14:textId="767E9C42" w:rsidR="008E2ED2" w:rsidRPr="0018386D" w:rsidRDefault="008E2ED2" w:rsidP="00DD3106">
            <w:pPr>
              <w:pStyle w:val="TableText"/>
              <w:spacing w:before="40" w:after="40"/>
              <w:rPr>
                <w:szCs w:val="18"/>
              </w:rPr>
            </w:pPr>
            <w:r w:rsidRPr="0018386D">
              <w:rPr>
                <w:szCs w:val="18"/>
              </w:rPr>
              <w:t>0.0170</w:t>
            </w:r>
          </w:p>
        </w:tc>
      </w:tr>
      <w:tr w:rsidR="00FB1B1C" w:rsidRPr="0018386D" w14:paraId="33319E07" w14:textId="77777777" w:rsidTr="00575E53">
        <w:trPr>
          <w:divId w:val="1900900932"/>
          <w:trHeight w:val="240"/>
        </w:trPr>
        <w:tc>
          <w:tcPr>
            <w:tcW w:w="1420" w:type="dxa"/>
            <w:tcBorders>
              <w:top w:val="single" w:sz="4" w:space="0" w:color="auto"/>
              <w:bottom w:val="nil"/>
              <w:right w:val="single" w:sz="4" w:space="0" w:color="auto"/>
            </w:tcBorders>
            <w:shd w:val="clear" w:color="000000" w:fill="FFFFFF"/>
            <w:noWrap/>
            <w:hideMark/>
          </w:tcPr>
          <w:p w14:paraId="6F61F22D" w14:textId="77777777" w:rsidR="008E2ED2" w:rsidRPr="0018386D" w:rsidRDefault="008E2ED2" w:rsidP="00DD3106">
            <w:pPr>
              <w:pStyle w:val="TableText"/>
              <w:spacing w:before="40" w:after="40"/>
              <w:rPr>
                <w:szCs w:val="18"/>
              </w:rPr>
            </w:pPr>
            <w:r w:rsidRPr="0018386D">
              <w:rPr>
                <w:szCs w:val="18"/>
              </w:rPr>
              <w:t>Diesel hybrid bus</w:t>
            </w:r>
          </w:p>
        </w:tc>
        <w:tc>
          <w:tcPr>
            <w:tcW w:w="1415" w:type="dxa"/>
            <w:tcBorders>
              <w:left w:val="single" w:sz="4" w:space="0" w:color="auto"/>
            </w:tcBorders>
            <w:shd w:val="clear" w:color="000000" w:fill="FFFFFF"/>
            <w:noWrap/>
            <w:hideMark/>
          </w:tcPr>
          <w:p w14:paraId="1B948FD4" w14:textId="3663EC98" w:rsidR="008E2ED2" w:rsidRPr="0018386D" w:rsidRDefault="008E2ED2" w:rsidP="00DD3106">
            <w:pPr>
              <w:pStyle w:val="TableText"/>
              <w:spacing w:before="40" w:after="40"/>
              <w:rPr>
                <w:szCs w:val="18"/>
              </w:rPr>
            </w:pPr>
            <w:r w:rsidRPr="0018386D">
              <w:rPr>
                <w:szCs w:val="18"/>
              </w:rPr>
              <w:t>&lt;7500 kg</w:t>
            </w:r>
          </w:p>
        </w:tc>
        <w:tc>
          <w:tcPr>
            <w:tcW w:w="567" w:type="dxa"/>
            <w:shd w:val="clear" w:color="000000" w:fill="FFFFFF"/>
            <w:noWrap/>
            <w:hideMark/>
          </w:tcPr>
          <w:p w14:paraId="2D5E65A6"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196E5C89" w14:textId="77777777" w:rsidR="008E2ED2" w:rsidRPr="0018386D" w:rsidRDefault="008E2ED2" w:rsidP="00DD3106">
            <w:pPr>
              <w:pStyle w:val="TableText"/>
              <w:spacing w:before="40" w:after="40"/>
              <w:rPr>
                <w:szCs w:val="18"/>
              </w:rPr>
            </w:pPr>
            <w:r w:rsidRPr="0018386D">
              <w:rPr>
                <w:szCs w:val="18"/>
              </w:rPr>
              <w:t>0.401</w:t>
            </w:r>
          </w:p>
        </w:tc>
        <w:tc>
          <w:tcPr>
            <w:tcW w:w="1361" w:type="dxa"/>
            <w:shd w:val="clear" w:color="000000" w:fill="FFFFFF"/>
            <w:noWrap/>
            <w:hideMark/>
          </w:tcPr>
          <w:p w14:paraId="39E0B555" w14:textId="77777777" w:rsidR="008E2ED2" w:rsidRPr="0018386D" w:rsidRDefault="008E2ED2" w:rsidP="00DD3106">
            <w:pPr>
              <w:pStyle w:val="TableText"/>
              <w:spacing w:before="40" w:after="40"/>
              <w:rPr>
                <w:szCs w:val="18"/>
              </w:rPr>
            </w:pPr>
            <w:r w:rsidRPr="0018386D">
              <w:rPr>
                <w:szCs w:val="18"/>
              </w:rPr>
              <w:t>0.394</w:t>
            </w:r>
          </w:p>
        </w:tc>
        <w:tc>
          <w:tcPr>
            <w:tcW w:w="1276" w:type="dxa"/>
            <w:shd w:val="clear" w:color="000000" w:fill="FFFFFF"/>
            <w:noWrap/>
            <w:hideMark/>
          </w:tcPr>
          <w:p w14:paraId="7C99553E" w14:textId="3D331915" w:rsidR="008E2ED2" w:rsidRPr="0018386D" w:rsidRDefault="008E2ED2" w:rsidP="00DD3106">
            <w:pPr>
              <w:pStyle w:val="TableText"/>
              <w:spacing w:before="40" w:after="40"/>
              <w:rPr>
                <w:szCs w:val="18"/>
              </w:rPr>
            </w:pPr>
            <w:r w:rsidRPr="0018386D">
              <w:rPr>
                <w:szCs w:val="18"/>
              </w:rPr>
              <w:t>0.0005</w:t>
            </w:r>
          </w:p>
        </w:tc>
        <w:tc>
          <w:tcPr>
            <w:tcW w:w="1275" w:type="dxa"/>
            <w:shd w:val="clear" w:color="000000" w:fill="FFFFFF"/>
            <w:noWrap/>
            <w:hideMark/>
          </w:tcPr>
          <w:p w14:paraId="216823C9" w14:textId="6C5606AE" w:rsidR="008E2ED2" w:rsidRPr="0018386D" w:rsidRDefault="008E2ED2" w:rsidP="00DD3106">
            <w:pPr>
              <w:pStyle w:val="TableText"/>
              <w:spacing w:before="40" w:after="40"/>
              <w:rPr>
                <w:szCs w:val="18"/>
              </w:rPr>
            </w:pPr>
            <w:r w:rsidRPr="0018386D">
              <w:rPr>
                <w:szCs w:val="18"/>
              </w:rPr>
              <w:t>0.00628</w:t>
            </w:r>
          </w:p>
        </w:tc>
      </w:tr>
      <w:tr w:rsidR="00FB1B1C" w:rsidRPr="0018386D" w14:paraId="2DCA59E7" w14:textId="77777777" w:rsidTr="00575E53">
        <w:trPr>
          <w:divId w:val="1900900932"/>
          <w:trHeight w:val="240"/>
        </w:trPr>
        <w:tc>
          <w:tcPr>
            <w:tcW w:w="1420" w:type="dxa"/>
            <w:tcBorders>
              <w:top w:val="nil"/>
              <w:bottom w:val="nil"/>
              <w:right w:val="single" w:sz="4" w:space="0" w:color="auto"/>
            </w:tcBorders>
            <w:shd w:val="clear" w:color="000000" w:fill="FFFFFF"/>
            <w:noWrap/>
            <w:hideMark/>
          </w:tcPr>
          <w:p w14:paraId="11883B60" w14:textId="77777777" w:rsidR="008E2ED2" w:rsidRPr="0018386D" w:rsidRDefault="008E2ED2" w:rsidP="00DD3106">
            <w:pPr>
              <w:pStyle w:val="TableText"/>
              <w:spacing w:before="40" w:after="40"/>
              <w:rPr>
                <w:szCs w:val="18"/>
              </w:rPr>
            </w:pPr>
            <w:r w:rsidRPr="0018386D">
              <w:rPr>
                <w:szCs w:val="18"/>
              </w:rPr>
              <w:t> </w:t>
            </w:r>
          </w:p>
        </w:tc>
        <w:tc>
          <w:tcPr>
            <w:tcW w:w="1415" w:type="dxa"/>
            <w:tcBorders>
              <w:left w:val="single" w:sz="4" w:space="0" w:color="auto"/>
            </w:tcBorders>
            <w:shd w:val="clear" w:color="000000" w:fill="FFFFFF"/>
            <w:noWrap/>
            <w:hideMark/>
          </w:tcPr>
          <w:p w14:paraId="325A9AA2" w14:textId="4D731B5C" w:rsidR="008E2ED2" w:rsidRPr="0018386D" w:rsidRDefault="008E2ED2" w:rsidP="00DD3106">
            <w:pPr>
              <w:pStyle w:val="TableText"/>
              <w:spacing w:before="40" w:after="40"/>
              <w:rPr>
                <w:szCs w:val="18"/>
              </w:rPr>
            </w:pPr>
            <w:r w:rsidRPr="0018386D">
              <w:rPr>
                <w:szCs w:val="18"/>
              </w:rPr>
              <w:t>7500 - 12000 kg</w:t>
            </w:r>
          </w:p>
        </w:tc>
        <w:tc>
          <w:tcPr>
            <w:tcW w:w="567" w:type="dxa"/>
            <w:shd w:val="clear" w:color="000000" w:fill="FFFFFF"/>
            <w:noWrap/>
            <w:hideMark/>
          </w:tcPr>
          <w:p w14:paraId="58EAFAA3"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499E2B7C" w14:textId="77777777" w:rsidR="008E2ED2" w:rsidRPr="0018386D" w:rsidRDefault="008E2ED2" w:rsidP="00DD3106">
            <w:pPr>
              <w:pStyle w:val="TableText"/>
              <w:spacing w:before="40" w:after="40"/>
              <w:rPr>
                <w:szCs w:val="18"/>
              </w:rPr>
            </w:pPr>
            <w:r w:rsidRPr="0018386D">
              <w:rPr>
                <w:szCs w:val="18"/>
              </w:rPr>
              <w:t>0.556</w:t>
            </w:r>
          </w:p>
        </w:tc>
        <w:tc>
          <w:tcPr>
            <w:tcW w:w="1361" w:type="dxa"/>
            <w:shd w:val="clear" w:color="000000" w:fill="FFFFFF"/>
            <w:noWrap/>
            <w:hideMark/>
          </w:tcPr>
          <w:p w14:paraId="53F71FF1" w14:textId="77777777" w:rsidR="008E2ED2" w:rsidRPr="0018386D" w:rsidRDefault="008E2ED2" w:rsidP="00DD3106">
            <w:pPr>
              <w:pStyle w:val="TableText"/>
              <w:spacing w:before="40" w:after="40"/>
              <w:rPr>
                <w:szCs w:val="18"/>
              </w:rPr>
            </w:pPr>
            <w:r w:rsidRPr="0018386D">
              <w:rPr>
                <w:szCs w:val="18"/>
              </w:rPr>
              <w:t>0.546</w:t>
            </w:r>
          </w:p>
        </w:tc>
        <w:tc>
          <w:tcPr>
            <w:tcW w:w="1276" w:type="dxa"/>
            <w:shd w:val="clear" w:color="000000" w:fill="FFFFFF"/>
            <w:noWrap/>
            <w:hideMark/>
          </w:tcPr>
          <w:p w14:paraId="4A914FF8" w14:textId="53ED7C60" w:rsidR="008E2ED2" w:rsidRPr="0018386D" w:rsidRDefault="008E2ED2" w:rsidP="00DD3106">
            <w:pPr>
              <w:pStyle w:val="TableText"/>
              <w:spacing w:before="40" w:after="40"/>
              <w:rPr>
                <w:szCs w:val="18"/>
              </w:rPr>
            </w:pPr>
            <w:r w:rsidRPr="0018386D">
              <w:rPr>
                <w:szCs w:val="18"/>
              </w:rPr>
              <w:t>0.0007</w:t>
            </w:r>
          </w:p>
        </w:tc>
        <w:tc>
          <w:tcPr>
            <w:tcW w:w="1275" w:type="dxa"/>
            <w:shd w:val="clear" w:color="000000" w:fill="FFFFFF"/>
            <w:noWrap/>
            <w:hideMark/>
          </w:tcPr>
          <w:p w14:paraId="43B5BAC1" w14:textId="58C9548D" w:rsidR="008E2ED2" w:rsidRPr="0018386D" w:rsidRDefault="008E2ED2" w:rsidP="00DD3106">
            <w:pPr>
              <w:pStyle w:val="TableText"/>
              <w:spacing w:before="40" w:after="40"/>
              <w:rPr>
                <w:szCs w:val="18"/>
              </w:rPr>
            </w:pPr>
            <w:r w:rsidRPr="0018386D">
              <w:rPr>
                <w:szCs w:val="18"/>
              </w:rPr>
              <w:t>0.00870</w:t>
            </w:r>
          </w:p>
        </w:tc>
      </w:tr>
      <w:tr w:rsidR="00FB1B1C" w:rsidRPr="0018386D" w14:paraId="0DC82B7F" w14:textId="77777777" w:rsidTr="00575E53">
        <w:trPr>
          <w:divId w:val="1900900932"/>
          <w:trHeight w:val="240"/>
        </w:trPr>
        <w:tc>
          <w:tcPr>
            <w:tcW w:w="1420" w:type="dxa"/>
            <w:tcBorders>
              <w:top w:val="nil"/>
              <w:bottom w:val="single" w:sz="4" w:space="0" w:color="auto"/>
              <w:right w:val="single" w:sz="4" w:space="0" w:color="auto"/>
            </w:tcBorders>
            <w:shd w:val="clear" w:color="000000" w:fill="FFFFFF"/>
            <w:noWrap/>
            <w:hideMark/>
          </w:tcPr>
          <w:p w14:paraId="46E7B9F3" w14:textId="77777777" w:rsidR="008E2ED2" w:rsidRPr="0018386D" w:rsidRDefault="008E2ED2" w:rsidP="00DD3106">
            <w:pPr>
              <w:pStyle w:val="TableText"/>
              <w:spacing w:before="40" w:after="40"/>
              <w:rPr>
                <w:szCs w:val="18"/>
              </w:rPr>
            </w:pPr>
            <w:r w:rsidRPr="0018386D">
              <w:rPr>
                <w:szCs w:val="18"/>
              </w:rPr>
              <w:lastRenderedPageBreak/>
              <w:t> </w:t>
            </w:r>
          </w:p>
        </w:tc>
        <w:tc>
          <w:tcPr>
            <w:tcW w:w="1415" w:type="dxa"/>
            <w:tcBorders>
              <w:left w:val="single" w:sz="4" w:space="0" w:color="auto"/>
            </w:tcBorders>
            <w:shd w:val="clear" w:color="000000" w:fill="FFFFFF"/>
            <w:noWrap/>
            <w:hideMark/>
          </w:tcPr>
          <w:p w14:paraId="42D5809C" w14:textId="32784AC7" w:rsidR="008E2ED2" w:rsidRPr="0018386D" w:rsidRDefault="008E2ED2" w:rsidP="00DD3106">
            <w:pPr>
              <w:pStyle w:val="TableText"/>
              <w:spacing w:before="40" w:after="40"/>
              <w:rPr>
                <w:szCs w:val="18"/>
              </w:rPr>
            </w:pPr>
            <w:r w:rsidRPr="0018386D">
              <w:rPr>
                <w:szCs w:val="18"/>
              </w:rPr>
              <w:t>≥12000 kg</w:t>
            </w:r>
          </w:p>
        </w:tc>
        <w:tc>
          <w:tcPr>
            <w:tcW w:w="567" w:type="dxa"/>
            <w:shd w:val="clear" w:color="000000" w:fill="FFFFFF"/>
            <w:noWrap/>
            <w:hideMark/>
          </w:tcPr>
          <w:p w14:paraId="13B3B8A4"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70BF287E" w14:textId="77777777" w:rsidR="008E2ED2" w:rsidRPr="0018386D" w:rsidRDefault="008E2ED2" w:rsidP="00DD3106">
            <w:pPr>
              <w:pStyle w:val="TableText"/>
              <w:spacing w:before="40" w:after="40"/>
              <w:rPr>
                <w:szCs w:val="18"/>
              </w:rPr>
            </w:pPr>
            <w:r w:rsidRPr="0018386D">
              <w:rPr>
                <w:szCs w:val="18"/>
              </w:rPr>
              <w:t>0.770</w:t>
            </w:r>
          </w:p>
        </w:tc>
        <w:tc>
          <w:tcPr>
            <w:tcW w:w="1361" w:type="dxa"/>
            <w:shd w:val="clear" w:color="000000" w:fill="FFFFFF"/>
            <w:noWrap/>
            <w:hideMark/>
          </w:tcPr>
          <w:p w14:paraId="70815D76" w14:textId="77777777" w:rsidR="008E2ED2" w:rsidRPr="0018386D" w:rsidRDefault="008E2ED2" w:rsidP="00DD3106">
            <w:pPr>
              <w:pStyle w:val="TableText"/>
              <w:spacing w:before="40" w:after="40"/>
              <w:rPr>
                <w:szCs w:val="18"/>
              </w:rPr>
            </w:pPr>
            <w:r w:rsidRPr="0018386D">
              <w:rPr>
                <w:szCs w:val="18"/>
              </w:rPr>
              <w:t>0.757</w:t>
            </w:r>
          </w:p>
        </w:tc>
        <w:tc>
          <w:tcPr>
            <w:tcW w:w="1276" w:type="dxa"/>
            <w:shd w:val="clear" w:color="000000" w:fill="FFFFFF"/>
            <w:noWrap/>
            <w:hideMark/>
          </w:tcPr>
          <w:p w14:paraId="2DEB6317" w14:textId="098C1A49" w:rsidR="008E2ED2" w:rsidRPr="0018386D" w:rsidRDefault="008E2ED2" w:rsidP="00DD3106">
            <w:pPr>
              <w:pStyle w:val="TableText"/>
              <w:spacing w:before="40" w:after="40"/>
              <w:rPr>
                <w:szCs w:val="18"/>
              </w:rPr>
            </w:pPr>
            <w:r w:rsidRPr="0018386D">
              <w:rPr>
                <w:szCs w:val="18"/>
              </w:rPr>
              <w:t>0.00101</w:t>
            </w:r>
          </w:p>
        </w:tc>
        <w:tc>
          <w:tcPr>
            <w:tcW w:w="1275" w:type="dxa"/>
            <w:shd w:val="clear" w:color="000000" w:fill="FFFFFF"/>
            <w:noWrap/>
            <w:hideMark/>
          </w:tcPr>
          <w:p w14:paraId="3A45407F" w14:textId="5ED91F36" w:rsidR="008E2ED2" w:rsidRPr="0018386D" w:rsidRDefault="008E2ED2" w:rsidP="00DD3106">
            <w:pPr>
              <w:pStyle w:val="TableText"/>
              <w:spacing w:before="40" w:after="40"/>
              <w:rPr>
                <w:szCs w:val="18"/>
              </w:rPr>
            </w:pPr>
            <w:r w:rsidRPr="0018386D">
              <w:rPr>
                <w:szCs w:val="18"/>
              </w:rPr>
              <w:t>0.0121</w:t>
            </w:r>
          </w:p>
        </w:tc>
      </w:tr>
      <w:tr w:rsidR="00FB1B1C" w:rsidRPr="0018386D" w14:paraId="219312FA" w14:textId="77777777" w:rsidTr="00575E53">
        <w:trPr>
          <w:divId w:val="1900900932"/>
          <w:trHeight w:val="240"/>
        </w:trPr>
        <w:tc>
          <w:tcPr>
            <w:tcW w:w="1420" w:type="dxa"/>
            <w:tcBorders>
              <w:top w:val="single" w:sz="4" w:space="0" w:color="auto"/>
              <w:bottom w:val="nil"/>
              <w:right w:val="single" w:sz="4" w:space="0" w:color="auto"/>
            </w:tcBorders>
            <w:shd w:val="clear" w:color="000000" w:fill="FFFFFF"/>
            <w:noWrap/>
            <w:hideMark/>
          </w:tcPr>
          <w:p w14:paraId="53395511" w14:textId="77777777" w:rsidR="008E2ED2" w:rsidRPr="0018386D" w:rsidRDefault="008E2ED2" w:rsidP="00DD3106">
            <w:pPr>
              <w:pStyle w:val="TableText"/>
              <w:spacing w:before="40" w:after="40"/>
              <w:rPr>
                <w:szCs w:val="18"/>
              </w:rPr>
            </w:pPr>
            <w:r w:rsidRPr="0018386D">
              <w:rPr>
                <w:szCs w:val="18"/>
              </w:rPr>
              <w:t>Electric bus</w:t>
            </w:r>
          </w:p>
        </w:tc>
        <w:tc>
          <w:tcPr>
            <w:tcW w:w="1415" w:type="dxa"/>
            <w:tcBorders>
              <w:left w:val="single" w:sz="4" w:space="0" w:color="auto"/>
            </w:tcBorders>
            <w:shd w:val="clear" w:color="000000" w:fill="FFFFFF"/>
            <w:noWrap/>
            <w:hideMark/>
          </w:tcPr>
          <w:p w14:paraId="59815447" w14:textId="4BD979AD" w:rsidR="008E2ED2" w:rsidRPr="0018386D" w:rsidRDefault="008E2ED2" w:rsidP="00DD3106">
            <w:pPr>
              <w:pStyle w:val="TableText"/>
              <w:spacing w:before="40" w:after="40"/>
              <w:rPr>
                <w:szCs w:val="18"/>
              </w:rPr>
            </w:pPr>
            <w:r w:rsidRPr="0018386D">
              <w:rPr>
                <w:szCs w:val="18"/>
              </w:rPr>
              <w:t>&lt;7500 kg</w:t>
            </w:r>
          </w:p>
        </w:tc>
        <w:tc>
          <w:tcPr>
            <w:tcW w:w="567" w:type="dxa"/>
            <w:shd w:val="clear" w:color="000000" w:fill="FFFFFF"/>
            <w:noWrap/>
            <w:hideMark/>
          </w:tcPr>
          <w:p w14:paraId="518AFF3C"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5C6E79A9" w14:textId="7399F5A3" w:rsidR="008E2ED2" w:rsidRPr="0018386D" w:rsidRDefault="008E2ED2" w:rsidP="00DD3106">
            <w:pPr>
              <w:pStyle w:val="TableText"/>
              <w:spacing w:before="40" w:after="40"/>
              <w:rPr>
                <w:szCs w:val="18"/>
              </w:rPr>
            </w:pPr>
            <w:r w:rsidRPr="0018386D">
              <w:rPr>
                <w:szCs w:val="18"/>
              </w:rPr>
              <w:t>0.0552</w:t>
            </w:r>
          </w:p>
        </w:tc>
        <w:tc>
          <w:tcPr>
            <w:tcW w:w="1361" w:type="dxa"/>
            <w:shd w:val="clear" w:color="000000" w:fill="FFFFFF"/>
            <w:noWrap/>
            <w:hideMark/>
          </w:tcPr>
          <w:p w14:paraId="153E3292" w14:textId="74716A85" w:rsidR="008E2ED2" w:rsidRPr="0018386D" w:rsidRDefault="008E2ED2" w:rsidP="00DD3106">
            <w:pPr>
              <w:pStyle w:val="TableText"/>
              <w:spacing w:before="40" w:after="40"/>
              <w:rPr>
                <w:szCs w:val="18"/>
              </w:rPr>
            </w:pPr>
            <w:r w:rsidRPr="0018386D">
              <w:rPr>
                <w:szCs w:val="18"/>
              </w:rPr>
              <w:t>0.0530</w:t>
            </w:r>
          </w:p>
        </w:tc>
        <w:tc>
          <w:tcPr>
            <w:tcW w:w="1276" w:type="dxa"/>
            <w:shd w:val="clear" w:color="000000" w:fill="FFFFFF"/>
            <w:noWrap/>
            <w:hideMark/>
          </w:tcPr>
          <w:p w14:paraId="0E26CD47" w14:textId="3E105758" w:rsidR="008E2ED2" w:rsidRPr="0018386D" w:rsidRDefault="008E2ED2" w:rsidP="00DD3106">
            <w:pPr>
              <w:pStyle w:val="TableText"/>
              <w:spacing w:before="40" w:after="40"/>
              <w:rPr>
                <w:szCs w:val="18"/>
              </w:rPr>
            </w:pPr>
            <w:r w:rsidRPr="0018386D">
              <w:rPr>
                <w:szCs w:val="18"/>
              </w:rPr>
              <w:t>0.00211</w:t>
            </w:r>
          </w:p>
        </w:tc>
        <w:tc>
          <w:tcPr>
            <w:tcW w:w="1275" w:type="dxa"/>
            <w:shd w:val="clear" w:color="000000" w:fill="FFFFFF"/>
            <w:noWrap/>
            <w:hideMark/>
          </w:tcPr>
          <w:p w14:paraId="019DE627" w14:textId="13F39B85" w:rsidR="008E2ED2" w:rsidRPr="0018386D" w:rsidRDefault="008E2ED2" w:rsidP="00DD3106">
            <w:pPr>
              <w:pStyle w:val="TableText"/>
              <w:spacing w:before="40" w:after="40"/>
              <w:rPr>
                <w:szCs w:val="18"/>
              </w:rPr>
            </w:pPr>
            <w:r w:rsidRPr="0018386D">
              <w:rPr>
                <w:szCs w:val="18"/>
              </w:rPr>
              <w:t>0.00008</w:t>
            </w:r>
          </w:p>
        </w:tc>
      </w:tr>
      <w:tr w:rsidR="00FB1B1C" w:rsidRPr="0018386D" w14:paraId="6683DC94" w14:textId="77777777" w:rsidTr="00575E53">
        <w:trPr>
          <w:divId w:val="1900900932"/>
          <w:trHeight w:val="240"/>
        </w:trPr>
        <w:tc>
          <w:tcPr>
            <w:tcW w:w="1420" w:type="dxa"/>
            <w:tcBorders>
              <w:top w:val="nil"/>
              <w:bottom w:val="nil"/>
              <w:right w:val="single" w:sz="4" w:space="0" w:color="auto"/>
            </w:tcBorders>
            <w:shd w:val="clear" w:color="000000" w:fill="FFFFFF"/>
            <w:noWrap/>
            <w:hideMark/>
          </w:tcPr>
          <w:p w14:paraId="224BCC20" w14:textId="77777777" w:rsidR="008E2ED2" w:rsidRPr="0018386D" w:rsidRDefault="008E2ED2" w:rsidP="00DD3106">
            <w:pPr>
              <w:pStyle w:val="TableText"/>
              <w:spacing w:before="40" w:after="40"/>
              <w:rPr>
                <w:szCs w:val="18"/>
              </w:rPr>
            </w:pPr>
            <w:r w:rsidRPr="0018386D">
              <w:rPr>
                <w:szCs w:val="18"/>
              </w:rPr>
              <w:t> </w:t>
            </w:r>
          </w:p>
        </w:tc>
        <w:tc>
          <w:tcPr>
            <w:tcW w:w="1415" w:type="dxa"/>
            <w:tcBorders>
              <w:left w:val="single" w:sz="4" w:space="0" w:color="auto"/>
            </w:tcBorders>
            <w:shd w:val="clear" w:color="000000" w:fill="FFFFFF"/>
            <w:noWrap/>
            <w:hideMark/>
          </w:tcPr>
          <w:p w14:paraId="50E2BBA8" w14:textId="03A1FAE9" w:rsidR="008E2ED2" w:rsidRPr="0018386D" w:rsidRDefault="008E2ED2" w:rsidP="00DD3106">
            <w:pPr>
              <w:pStyle w:val="TableText"/>
              <w:spacing w:before="40" w:after="40"/>
              <w:rPr>
                <w:szCs w:val="18"/>
              </w:rPr>
            </w:pPr>
            <w:r w:rsidRPr="0018386D">
              <w:rPr>
                <w:szCs w:val="18"/>
              </w:rPr>
              <w:t>7500 - 12000 kg</w:t>
            </w:r>
          </w:p>
        </w:tc>
        <w:tc>
          <w:tcPr>
            <w:tcW w:w="567" w:type="dxa"/>
            <w:shd w:val="clear" w:color="000000" w:fill="FFFFFF"/>
            <w:noWrap/>
            <w:hideMark/>
          </w:tcPr>
          <w:p w14:paraId="2545FDED"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092B3FD2" w14:textId="78237BF5" w:rsidR="008E2ED2" w:rsidRPr="0018386D" w:rsidRDefault="008E2ED2" w:rsidP="00DD3106">
            <w:pPr>
              <w:pStyle w:val="TableText"/>
              <w:spacing w:before="40" w:after="40"/>
              <w:rPr>
                <w:szCs w:val="18"/>
              </w:rPr>
            </w:pPr>
            <w:r w:rsidRPr="0018386D">
              <w:rPr>
                <w:szCs w:val="18"/>
              </w:rPr>
              <w:t>0.0765</w:t>
            </w:r>
          </w:p>
        </w:tc>
        <w:tc>
          <w:tcPr>
            <w:tcW w:w="1361" w:type="dxa"/>
            <w:shd w:val="clear" w:color="000000" w:fill="FFFFFF"/>
            <w:noWrap/>
            <w:hideMark/>
          </w:tcPr>
          <w:p w14:paraId="5B3C2325" w14:textId="04575281" w:rsidR="008E2ED2" w:rsidRPr="0018386D" w:rsidRDefault="008E2ED2" w:rsidP="00DD3106">
            <w:pPr>
              <w:pStyle w:val="TableText"/>
              <w:spacing w:before="40" w:after="40"/>
              <w:rPr>
                <w:szCs w:val="18"/>
              </w:rPr>
            </w:pPr>
            <w:r w:rsidRPr="0018386D">
              <w:rPr>
                <w:szCs w:val="18"/>
              </w:rPr>
              <w:t>0.0735</w:t>
            </w:r>
          </w:p>
        </w:tc>
        <w:tc>
          <w:tcPr>
            <w:tcW w:w="1276" w:type="dxa"/>
            <w:shd w:val="clear" w:color="000000" w:fill="FFFFFF"/>
            <w:noWrap/>
            <w:hideMark/>
          </w:tcPr>
          <w:p w14:paraId="2D1D23B3" w14:textId="2504D2F1" w:rsidR="008E2ED2" w:rsidRPr="0018386D" w:rsidRDefault="008E2ED2" w:rsidP="00DD3106">
            <w:pPr>
              <w:pStyle w:val="TableText"/>
              <w:spacing w:before="40" w:after="40"/>
              <w:rPr>
                <w:szCs w:val="18"/>
              </w:rPr>
            </w:pPr>
            <w:r w:rsidRPr="0018386D">
              <w:rPr>
                <w:szCs w:val="18"/>
              </w:rPr>
              <w:t>0.00292</w:t>
            </w:r>
          </w:p>
        </w:tc>
        <w:tc>
          <w:tcPr>
            <w:tcW w:w="1275" w:type="dxa"/>
            <w:shd w:val="clear" w:color="000000" w:fill="FFFFFF"/>
            <w:noWrap/>
            <w:hideMark/>
          </w:tcPr>
          <w:p w14:paraId="51EF5B06" w14:textId="77777777" w:rsidR="008E2ED2" w:rsidRPr="0018386D" w:rsidRDefault="008E2ED2" w:rsidP="00DD3106">
            <w:pPr>
              <w:pStyle w:val="TableText"/>
              <w:spacing w:before="40" w:after="40"/>
              <w:rPr>
                <w:szCs w:val="18"/>
              </w:rPr>
            </w:pPr>
            <w:r w:rsidRPr="0018386D">
              <w:rPr>
                <w:szCs w:val="18"/>
              </w:rPr>
              <w:t>0.0001</w:t>
            </w:r>
          </w:p>
        </w:tc>
      </w:tr>
      <w:tr w:rsidR="00FB1B1C" w:rsidRPr="0018386D" w14:paraId="3A452A39" w14:textId="77777777" w:rsidTr="00575E53">
        <w:trPr>
          <w:divId w:val="1900900932"/>
          <w:trHeight w:val="240"/>
        </w:trPr>
        <w:tc>
          <w:tcPr>
            <w:tcW w:w="1420" w:type="dxa"/>
            <w:tcBorders>
              <w:top w:val="nil"/>
              <w:bottom w:val="single" w:sz="4" w:space="0" w:color="auto"/>
              <w:right w:val="single" w:sz="4" w:space="0" w:color="auto"/>
            </w:tcBorders>
            <w:shd w:val="clear" w:color="000000" w:fill="FFFFFF"/>
            <w:noWrap/>
            <w:hideMark/>
          </w:tcPr>
          <w:p w14:paraId="6BB20D14" w14:textId="77777777" w:rsidR="008E2ED2" w:rsidRPr="0018386D" w:rsidRDefault="008E2ED2" w:rsidP="00DD3106">
            <w:pPr>
              <w:pStyle w:val="TableText"/>
              <w:spacing w:before="40" w:after="40"/>
              <w:rPr>
                <w:szCs w:val="18"/>
              </w:rPr>
            </w:pPr>
            <w:r w:rsidRPr="0018386D">
              <w:rPr>
                <w:szCs w:val="18"/>
              </w:rPr>
              <w:t> </w:t>
            </w:r>
          </w:p>
        </w:tc>
        <w:tc>
          <w:tcPr>
            <w:tcW w:w="1415" w:type="dxa"/>
            <w:tcBorders>
              <w:left w:val="single" w:sz="4" w:space="0" w:color="auto"/>
            </w:tcBorders>
            <w:shd w:val="clear" w:color="000000" w:fill="FFFFFF"/>
            <w:noWrap/>
            <w:hideMark/>
          </w:tcPr>
          <w:p w14:paraId="28ACA703" w14:textId="711DC354" w:rsidR="008E2ED2" w:rsidRPr="0018386D" w:rsidRDefault="008E2ED2" w:rsidP="00DD3106">
            <w:pPr>
              <w:pStyle w:val="TableText"/>
              <w:spacing w:before="40" w:after="40"/>
              <w:rPr>
                <w:szCs w:val="18"/>
              </w:rPr>
            </w:pPr>
            <w:r w:rsidRPr="0018386D">
              <w:rPr>
                <w:szCs w:val="18"/>
              </w:rPr>
              <w:t>≥12000 kg</w:t>
            </w:r>
          </w:p>
        </w:tc>
        <w:tc>
          <w:tcPr>
            <w:tcW w:w="567" w:type="dxa"/>
            <w:shd w:val="clear" w:color="000000" w:fill="FFFFFF"/>
            <w:noWrap/>
            <w:hideMark/>
          </w:tcPr>
          <w:p w14:paraId="028FE38D" w14:textId="77777777" w:rsidR="008E2ED2" w:rsidRPr="0018386D" w:rsidRDefault="008E2ED2" w:rsidP="00DD3106">
            <w:pPr>
              <w:pStyle w:val="TableText"/>
              <w:spacing w:before="40" w:after="40"/>
              <w:rPr>
                <w:szCs w:val="18"/>
              </w:rPr>
            </w:pPr>
            <w:r w:rsidRPr="0018386D">
              <w:rPr>
                <w:szCs w:val="18"/>
              </w:rPr>
              <w:t>km</w:t>
            </w:r>
          </w:p>
        </w:tc>
        <w:tc>
          <w:tcPr>
            <w:tcW w:w="1245" w:type="dxa"/>
            <w:shd w:val="clear" w:color="000000" w:fill="D2DDE1"/>
            <w:noWrap/>
            <w:hideMark/>
          </w:tcPr>
          <w:p w14:paraId="65195A4F" w14:textId="77777777" w:rsidR="008E2ED2" w:rsidRPr="0018386D" w:rsidRDefault="008E2ED2" w:rsidP="00DD3106">
            <w:pPr>
              <w:pStyle w:val="TableText"/>
              <w:spacing w:before="40" w:after="40"/>
              <w:rPr>
                <w:szCs w:val="18"/>
              </w:rPr>
            </w:pPr>
            <w:r w:rsidRPr="0018386D">
              <w:rPr>
                <w:szCs w:val="18"/>
              </w:rPr>
              <w:t>0.106</w:t>
            </w:r>
          </w:p>
        </w:tc>
        <w:tc>
          <w:tcPr>
            <w:tcW w:w="1361" w:type="dxa"/>
            <w:shd w:val="clear" w:color="000000" w:fill="FFFFFF"/>
            <w:noWrap/>
            <w:hideMark/>
          </w:tcPr>
          <w:p w14:paraId="18AA6A7C" w14:textId="77777777" w:rsidR="008E2ED2" w:rsidRPr="0018386D" w:rsidRDefault="008E2ED2" w:rsidP="00DD3106">
            <w:pPr>
              <w:pStyle w:val="TableText"/>
              <w:spacing w:before="40" w:after="40"/>
              <w:rPr>
                <w:szCs w:val="18"/>
              </w:rPr>
            </w:pPr>
            <w:r w:rsidRPr="0018386D">
              <w:rPr>
                <w:szCs w:val="18"/>
              </w:rPr>
              <w:t>0.102</w:t>
            </w:r>
          </w:p>
        </w:tc>
        <w:tc>
          <w:tcPr>
            <w:tcW w:w="1276" w:type="dxa"/>
            <w:shd w:val="clear" w:color="000000" w:fill="FFFFFF"/>
            <w:noWrap/>
            <w:hideMark/>
          </w:tcPr>
          <w:p w14:paraId="5CC3E319" w14:textId="0A043D50" w:rsidR="008E2ED2" w:rsidRPr="0018386D" w:rsidRDefault="008E2ED2" w:rsidP="00DD3106">
            <w:pPr>
              <w:pStyle w:val="TableText"/>
              <w:spacing w:before="40" w:after="40"/>
              <w:rPr>
                <w:szCs w:val="18"/>
              </w:rPr>
            </w:pPr>
            <w:r w:rsidRPr="0018386D">
              <w:rPr>
                <w:szCs w:val="18"/>
              </w:rPr>
              <w:t>0.00405</w:t>
            </w:r>
          </w:p>
        </w:tc>
        <w:tc>
          <w:tcPr>
            <w:tcW w:w="1275" w:type="dxa"/>
            <w:shd w:val="clear" w:color="000000" w:fill="FFFFFF"/>
            <w:noWrap/>
            <w:hideMark/>
          </w:tcPr>
          <w:p w14:paraId="61EC1DEE" w14:textId="77777777" w:rsidR="008E2ED2" w:rsidRPr="0018386D" w:rsidRDefault="008E2ED2" w:rsidP="00DD3106">
            <w:pPr>
              <w:pStyle w:val="TableText"/>
              <w:spacing w:before="40" w:after="40"/>
              <w:rPr>
                <w:szCs w:val="18"/>
              </w:rPr>
            </w:pPr>
            <w:r w:rsidRPr="0018386D">
              <w:rPr>
                <w:szCs w:val="18"/>
              </w:rPr>
              <w:t>0.0001</w:t>
            </w:r>
          </w:p>
        </w:tc>
      </w:tr>
    </w:tbl>
    <w:p w14:paraId="27F91741" w14:textId="406CB998" w:rsidR="00D645D0" w:rsidRPr="0018386D" w:rsidRDefault="00301928" w:rsidP="00DD3106">
      <w:pPr>
        <w:pStyle w:val="Heading3"/>
        <w:numPr>
          <w:ilvl w:val="2"/>
          <w:numId w:val="8"/>
        </w:numPr>
        <w:spacing w:before="440"/>
      </w:pPr>
      <w:bookmarkStart w:id="495" w:name="_Toc532904900"/>
      <w:r w:rsidRPr="0018386D">
        <w:t xml:space="preserve">GHG </w:t>
      </w:r>
      <w:r w:rsidR="00D645D0" w:rsidRPr="0018386D">
        <w:t>inventory development</w:t>
      </w:r>
      <w:bookmarkEnd w:id="495"/>
    </w:p>
    <w:p w14:paraId="42C8C5A3" w14:textId="70D53DC5" w:rsidR="00A74A8C" w:rsidRPr="0018386D" w:rsidRDefault="00D645D0" w:rsidP="00DD3106">
      <w:pPr>
        <w:pStyle w:val="BodyText"/>
        <w:keepNext/>
      </w:pPr>
      <w:r w:rsidRPr="0018386D">
        <w:t>To calculate public transport emissions, collect data on the type of transport and distance travelled</w:t>
      </w:r>
      <w:r w:rsidR="006A0E82" w:rsidRPr="0018386D">
        <w:t>,</w:t>
      </w:r>
      <w:r w:rsidRPr="0018386D">
        <w:t xml:space="preserve"> and multiply this by the emission factors for each gas.</w:t>
      </w:r>
      <w:r w:rsidR="00A74A8C" w:rsidRPr="0018386D">
        <w:t xml:space="preserve"> </w:t>
      </w:r>
      <w:r w:rsidR="00F76EF8" w:rsidRPr="0018386D">
        <w:t xml:space="preserve">Applying the equation </w:t>
      </w:r>
      <w:r w:rsidR="00326E2B" w:rsidRPr="0018386D">
        <w:t>E</w:t>
      </w:r>
      <w:r w:rsidR="00F5568B" w:rsidRPr="0018386D">
        <w:t> </w:t>
      </w:r>
      <w:r w:rsidR="00326E2B" w:rsidRPr="0018386D">
        <w:t>=</w:t>
      </w:r>
      <w:r w:rsidR="00F5568B" w:rsidRPr="0018386D">
        <w:t> </w:t>
      </w:r>
      <w:r w:rsidR="00326E2B" w:rsidRPr="0018386D">
        <w:t>Q</w:t>
      </w:r>
      <w:r w:rsidR="00F5568B" w:rsidRPr="0018386D">
        <w:t> </w:t>
      </w:r>
      <w:r w:rsidR="00326E2B" w:rsidRPr="0018386D">
        <w:t>x</w:t>
      </w:r>
      <w:r w:rsidR="00F5568B" w:rsidRPr="0018386D">
        <w:t> </w:t>
      </w:r>
      <w:r w:rsidR="00326E2B" w:rsidRPr="0018386D">
        <w:t>F</w:t>
      </w:r>
      <w:r w:rsidR="00F76EF8" w:rsidRPr="0018386D">
        <w:t xml:space="preserve"> </w:t>
      </w:r>
      <w:r w:rsidR="00326E2B" w:rsidRPr="0018386D">
        <w:t>(</w:t>
      </w:r>
      <w:hyperlink w:anchor="_How_to_quantify">
        <w:r w:rsidR="004C7CA6" w:rsidRPr="0018386D">
          <w:rPr>
            <w:rStyle w:val="Hyperlink"/>
          </w:rPr>
          <w:t>section 2</w:t>
        </w:r>
      </w:hyperlink>
      <w:r w:rsidR="00326E2B" w:rsidRPr="0018386D">
        <w:rPr>
          <w:rStyle w:val="Hyperlink"/>
          <w:color w:val="auto"/>
        </w:rPr>
        <w:t>)</w:t>
      </w:r>
      <w:r w:rsidR="00F76EF8" w:rsidRPr="0018386D">
        <w:rPr>
          <w:i/>
        </w:rPr>
        <w:t>,</w:t>
      </w:r>
      <w:r w:rsidR="00F76EF8" w:rsidRPr="0018386D">
        <w:t xml:space="preserve"> this means</w:t>
      </w:r>
      <w:r w:rsidR="00D23AAF" w:rsidRPr="0018386D">
        <w:t>:</w:t>
      </w:r>
    </w:p>
    <w:p w14:paraId="6CDA4B6E" w14:textId="1F1838CB" w:rsidR="00326E2B" w:rsidRPr="0018386D" w:rsidRDefault="00326E2B" w:rsidP="00DD3106">
      <w:pPr>
        <w:pStyle w:val="BodyText"/>
        <w:keepN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2B52E5B1" w14:textId="49783312" w:rsidR="00A74A8C" w:rsidRPr="0018386D" w:rsidRDefault="003D5438" w:rsidP="00DD3106">
      <w:pPr>
        <w:pStyle w:val="BodyText"/>
        <w:tabs>
          <w:tab w:val="left" w:pos="680"/>
          <w:tab w:val="left" w:pos="1134"/>
        </w:tabs>
        <w:contextualSpacing/>
        <w:jc w:val="both"/>
      </w:pPr>
      <w:r w:rsidRPr="0018386D">
        <w:t>Q</w:t>
      </w:r>
      <w:r w:rsidRPr="0018386D">
        <w:tab/>
      </w:r>
      <w:r w:rsidR="00A74A8C" w:rsidRPr="0018386D">
        <w:t>=</w:t>
      </w:r>
      <w:r w:rsidRPr="0018386D">
        <w:tab/>
      </w:r>
      <w:r w:rsidR="006A0E82" w:rsidRPr="0018386D">
        <w:t>d</w:t>
      </w:r>
      <w:r w:rsidR="00A74A8C" w:rsidRPr="0018386D">
        <w:t>istance travelled</w:t>
      </w:r>
      <w:r w:rsidR="006A0E82" w:rsidRPr="0018386D">
        <w:t>,</w:t>
      </w:r>
      <w:r w:rsidR="00A74A8C" w:rsidRPr="0018386D">
        <w:t xml:space="preserve"> by vehicle type (km)</w:t>
      </w:r>
    </w:p>
    <w:p w14:paraId="19FDED96" w14:textId="4FB9E55E" w:rsidR="00D645D0" w:rsidRPr="0018386D" w:rsidRDefault="003D5438" w:rsidP="00DD3106">
      <w:pPr>
        <w:pStyle w:val="BodyText"/>
        <w:tabs>
          <w:tab w:val="left" w:pos="680"/>
          <w:tab w:val="left" w:pos="1134"/>
        </w:tabs>
        <w:spacing w:after="240"/>
        <w:contextualSpacing/>
        <w:jc w:val="both"/>
      </w:pPr>
      <w:r w:rsidRPr="0018386D">
        <w:t>F</w:t>
      </w:r>
      <w:r w:rsidRPr="0018386D">
        <w:tab/>
      </w:r>
      <w:r w:rsidR="00A74A8C" w:rsidRPr="0018386D">
        <w:t>=</w:t>
      </w:r>
      <w:r w:rsidRPr="0018386D">
        <w:tab/>
      </w:r>
      <w:r w:rsidR="00A74A8C" w:rsidRPr="0018386D">
        <w:t>emission factors for correlating vehicle type</w:t>
      </w:r>
      <w:r w:rsidR="006A0E82" w:rsidRPr="0018386D">
        <w:t>,</w:t>
      </w:r>
      <w:r w:rsidR="00A74A8C" w:rsidRPr="0018386D">
        <w:t xml:space="preserve"> from </w:t>
      </w:r>
      <w:hyperlink w:anchor="table34" w:history="1">
        <w:r w:rsidR="00F30257" w:rsidRPr="0018386D">
          <w:rPr>
            <w:rStyle w:val="Hyperlink"/>
          </w:rPr>
          <w:t>table 3</w:t>
        </w:r>
        <w:r w:rsidR="00F221AA" w:rsidRPr="0018386D">
          <w:rPr>
            <w:rStyle w:val="Hyperlink"/>
          </w:rPr>
          <w:t>4</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FF29A6" w:rsidRPr="0018386D" w:rsidDel="00D5390D" w14:paraId="38A037F0" w14:textId="77777777" w:rsidTr="00946BFE">
        <w:tc>
          <w:tcPr>
            <w:tcW w:w="8647" w:type="dxa"/>
            <w:tcBorders>
              <w:top w:val="single" w:sz="4" w:space="0" w:color="0F7B7D"/>
              <w:left w:val="single" w:sz="4" w:space="0" w:color="0F7B7D"/>
              <w:bottom w:val="nil"/>
              <w:right w:val="single" w:sz="4" w:space="0" w:color="0F7B7D"/>
            </w:tcBorders>
            <w:shd w:val="clear" w:color="auto" w:fill="0F7B7D"/>
            <w:vAlign w:val="center"/>
          </w:tcPr>
          <w:p w14:paraId="7E024865" w14:textId="3F84E5DD" w:rsidR="008B3A39" w:rsidRPr="0018386D" w:rsidDel="00D5390D" w:rsidRDefault="006A0E82" w:rsidP="00DD3106">
            <w:pPr>
              <w:pStyle w:val="Casestudyheading"/>
              <w:jc w:val="both"/>
            </w:pPr>
            <w:bookmarkStart w:id="496" w:name="_Hlk532893338"/>
            <w:r w:rsidRPr="0018386D">
              <w:t xml:space="preserve">DIESEL BUS: </w:t>
            </w:r>
            <w:r w:rsidR="008B3A39" w:rsidRPr="0018386D">
              <w:t>Example Calculation</w:t>
            </w:r>
          </w:p>
        </w:tc>
      </w:tr>
      <w:tr w:rsidR="00FF29A6" w:rsidRPr="0018386D" w14:paraId="3CB22AB4" w14:textId="77777777" w:rsidTr="00946BFE">
        <w:tc>
          <w:tcPr>
            <w:tcW w:w="8647" w:type="dxa"/>
            <w:tcBorders>
              <w:top w:val="nil"/>
              <w:left w:val="single" w:sz="4" w:space="0" w:color="CFE5E5"/>
              <w:bottom w:val="single" w:sz="4" w:space="0" w:color="CFE5E5"/>
              <w:right w:val="single" w:sz="4" w:space="0" w:color="CFE5E5"/>
            </w:tcBorders>
            <w:shd w:val="clear" w:color="auto" w:fill="D5EBE8" w:themeFill="accent3"/>
          </w:tcPr>
          <w:p w14:paraId="758EC5BB" w14:textId="1DC6C85B" w:rsidR="008B3A39" w:rsidRPr="0018386D" w:rsidRDefault="008B3A39" w:rsidP="00DD3106">
            <w:pPr>
              <w:pStyle w:val="Boxtext"/>
              <w:spacing w:after="80"/>
            </w:pPr>
            <w:r w:rsidRPr="0018386D">
              <w:t xml:space="preserve">An organisation charters a diesel bus (&lt;7,500 </w:t>
            </w:r>
            <w:r w:rsidR="00BA0C39" w:rsidRPr="0018386D">
              <w:t>kg</w:t>
            </w:r>
            <w:r w:rsidRPr="0018386D">
              <w:t xml:space="preserve">) to travel 500 km. The emissions would be: </w:t>
            </w:r>
          </w:p>
          <w:p w14:paraId="3AEC3FF7" w14:textId="517C4C75" w:rsidR="00FF6BA9" w:rsidRPr="0018386D" w:rsidRDefault="00FF6BA9" w:rsidP="00DD3106">
            <w:pPr>
              <w:pStyle w:val="Boxtext"/>
              <w:tabs>
                <w:tab w:val="left" w:pos="3001"/>
                <w:tab w:val="left" w:pos="4567"/>
              </w:tabs>
              <w:spacing w:before="20" w:after="20"/>
              <w:ind w:left="850"/>
            </w:pPr>
            <w:r w:rsidRPr="0018386D">
              <w:t>CO</w:t>
            </w:r>
            <w:r w:rsidRPr="0018386D">
              <w:rPr>
                <w:vertAlign w:val="subscript"/>
              </w:rPr>
              <w:t>2</w:t>
            </w:r>
            <w:r w:rsidRPr="0018386D">
              <w:t xml:space="preserve"> emissions</w:t>
            </w:r>
            <w:r w:rsidRPr="0018386D">
              <w:tab/>
              <w:t>= 500 x 0.557</w:t>
            </w:r>
            <w:r w:rsidRPr="0018386D">
              <w:tab/>
              <w:t>= 278.5 kg CO</w:t>
            </w:r>
            <w:r w:rsidRPr="0018386D">
              <w:rPr>
                <w:vertAlign w:val="subscript"/>
              </w:rPr>
              <w:t>2</w:t>
            </w:r>
          </w:p>
          <w:p w14:paraId="145EB9FB" w14:textId="29A126C2" w:rsidR="00FF6BA9" w:rsidRPr="0018386D" w:rsidRDefault="00FF6BA9" w:rsidP="00DD3106">
            <w:pPr>
              <w:pStyle w:val="Boxtext"/>
              <w:tabs>
                <w:tab w:val="left" w:pos="3001"/>
                <w:tab w:val="left" w:pos="4567"/>
              </w:tabs>
              <w:spacing w:before="20" w:after="20"/>
              <w:ind w:left="850"/>
            </w:pPr>
            <w:r w:rsidRPr="0018386D">
              <w:t>CH</w:t>
            </w:r>
            <w:r w:rsidRPr="0018386D">
              <w:rPr>
                <w:vertAlign w:val="subscript"/>
              </w:rPr>
              <w:t>4</w:t>
            </w:r>
            <w:r w:rsidRPr="0018386D">
              <w:t xml:space="preserve"> emissions</w:t>
            </w:r>
            <w:r w:rsidRPr="0018386D">
              <w:tab/>
              <w:t>= 500 x 0.00</w:t>
            </w:r>
            <w:r w:rsidR="00CE08BD" w:rsidRPr="0018386D">
              <w:t>07</w:t>
            </w:r>
            <w:r w:rsidRPr="0018386D">
              <w:tab/>
              <w:t>= 0.</w:t>
            </w:r>
            <w:r w:rsidR="00BB7B0C" w:rsidRPr="0018386D">
              <w:t>3</w:t>
            </w:r>
            <w:r w:rsidRPr="0018386D">
              <w:t>5 kg CO</w:t>
            </w:r>
            <w:r w:rsidRPr="0018386D">
              <w:rPr>
                <w:vertAlign w:val="subscript"/>
              </w:rPr>
              <w:t>2</w:t>
            </w:r>
            <w:r w:rsidRPr="0018386D">
              <w:t>-e</w:t>
            </w:r>
          </w:p>
          <w:p w14:paraId="11117E18" w14:textId="33A3161A" w:rsidR="00FF6BA9" w:rsidRPr="0018386D" w:rsidRDefault="00FF6BA9" w:rsidP="00DD3106">
            <w:pPr>
              <w:pStyle w:val="Boxtext"/>
              <w:tabs>
                <w:tab w:val="left" w:pos="3001"/>
                <w:tab w:val="left" w:pos="4567"/>
              </w:tabs>
              <w:spacing w:before="20" w:after="20"/>
              <w:ind w:left="850"/>
            </w:pPr>
            <w:r w:rsidRPr="0018386D">
              <w:t>N</w:t>
            </w:r>
            <w:r w:rsidRPr="0018386D">
              <w:rPr>
                <w:vertAlign w:val="subscript"/>
              </w:rPr>
              <w:t>2</w:t>
            </w:r>
            <w:r w:rsidRPr="0018386D">
              <w:t>O emissions</w:t>
            </w:r>
            <w:r w:rsidRPr="0018386D">
              <w:tab/>
              <w:t>= 500 x 0.00</w:t>
            </w:r>
            <w:r w:rsidR="002E69A9" w:rsidRPr="0018386D">
              <w:t>888</w:t>
            </w:r>
            <w:r w:rsidRPr="0018386D">
              <w:tab/>
              <w:t>= 4.</w:t>
            </w:r>
            <w:r w:rsidR="000E02F4" w:rsidRPr="0018386D">
              <w:t>44</w:t>
            </w:r>
            <w:r w:rsidRPr="0018386D">
              <w:t xml:space="preserve"> kg CO</w:t>
            </w:r>
            <w:r w:rsidRPr="0018386D">
              <w:rPr>
                <w:vertAlign w:val="subscript"/>
              </w:rPr>
              <w:t>2</w:t>
            </w:r>
            <w:r w:rsidRPr="0018386D">
              <w:t>-e</w:t>
            </w:r>
          </w:p>
          <w:p w14:paraId="7D4E274A" w14:textId="14B0DFD1" w:rsidR="008B3A39" w:rsidRPr="0018386D" w:rsidRDefault="008B3A39" w:rsidP="00DD3106">
            <w:pPr>
              <w:pStyle w:val="Boxtext"/>
              <w:tabs>
                <w:tab w:val="left" w:pos="3001"/>
                <w:tab w:val="left" w:pos="5126"/>
              </w:tabs>
              <w:spacing w:before="20" w:after="80"/>
              <w:ind w:left="850"/>
            </w:pPr>
            <w:r w:rsidRPr="0018386D">
              <w:t>Total CO</w:t>
            </w:r>
            <w:r w:rsidRPr="0018386D">
              <w:rPr>
                <w:vertAlign w:val="subscript"/>
              </w:rPr>
              <w:t>2</w:t>
            </w:r>
            <w:r w:rsidRPr="0018386D">
              <w:t>-e emissions from bu</w:t>
            </w:r>
            <w:r w:rsidR="0684B752" w:rsidRPr="0018386D">
              <w:t>s travel = 500 km x 0.56</w:t>
            </w:r>
            <w:r w:rsidR="006E36A8" w:rsidRPr="0018386D">
              <w:t>7</w:t>
            </w:r>
            <w:r w:rsidRPr="0018386D">
              <w:t xml:space="preserve"> = 283</w:t>
            </w:r>
            <w:r w:rsidR="006E36A8" w:rsidRPr="0018386D">
              <w:t>.5</w:t>
            </w:r>
            <w:r w:rsidRPr="0018386D">
              <w:t xml:space="preserve"> kg CO</w:t>
            </w:r>
            <w:r w:rsidRPr="0018386D">
              <w:rPr>
                <w:vertAlign w:val="subscript"/>
              </w:rPr>
              <w:t>2</w:t>
            </w:r>
            <w:r w:rsidRPr="0018386D">
              <w:t>-e</w:t>
            </w:r>
          </w:p>
          <w:p w14:paraId="4F6D0C64" w14:textId="77777777" w:rsidR="008B3A39" w:rsidRPr="0018386D" w:rsidRDefault="008B3A39" w:rsidP="00DD3106">
            <w:pPr>
              <w:pStyle w:val="Boxtext"/>
              <w:spacing w:after="80"/>
            </w:pPr>
            <w:r w:rsidRPr="0018386D">
              <w:t>This result is for the entire bus.</w:t>
            </w:r>
          </w:p>
          <w:p w14:paraId="01448515" w14:textId="4AEC48B4" w:rsidR="00D9313E" w:rsidRPr="0018386D" w:rsidRDefault="00D9313E" w:rsidP="00DD3106">
            <w:pPr>
              <w:pStyle w:val="Boxtext"/>
              <w:spacing w:before="80" w:after="180"/>
            </w:pPr>
            <w:r w:rsidRPr="0018386D">
              <w:rPr>
                <w:sz w:val="18"/>
                <w:szCs w:val="18"/>
              </w:rPr>
              <w:t>Note</w:t>
            </w:r>
            <w:r w:rsidR="006A0E82" w:rsidRPr="0018386D">
              <w:rPr>
                <w:sz w:val="18"/>
                <w:szCs w:val="18"/>
              </w:rPr>
              <w:t>: N</w:t>
            </w:r>
            <w:r w:rsidRPr="0018386D">
              <w:rPr>
                <w:sz w:val="18"/>
                <w:szCs w:val="18"/>
              </w:rPr>
              <w:t>umbers may not add due to rounding</w:t>
            </w:r>
            <w:r w:rsidR="009B64D6" w:rsidRPr="0018386D">
              <w:rPr>
                <w:sz w:val="18"/>
                <w:szCs w:val="18"/>
              </w:rPr>
              <w:t>.</w:t>
            </w:r>
            <w:r w:rsidRPr="0018386D">
              <w:t xml:space="preserve"> </w:t>
            </w:r>
          </w:p>
        </w:tc>
      </w:tr>
    </w:tbl>
    <w:p w14:paraId="65092147" w14:textId="240BAF79" w:rsidR="00EC7BB1" w:rsidRPr="0018386D" w:rsidRDefault="00E61463" w:rsidP="00DD3106">
      <w:pPr>
        <w:pStyle w:val="Heading3"/>
        <w:numPr>
          <w:ilvl w:val="2"/>
          <w:numId w:val="8"/>
        </w:numPr>
        <w:spacing w:before="440"/>
        <w:jc w:val="both"/>
      </w:pPr>
      <w:bookmarkStart w:id="497" w:name="_Toc532904901"/>
      <w:bookmarkEnd w:id="496"/>
      <w:r w:rsidRPr="0018386D">
        <w:t>Emission factor derivation methodology</w:t>
      </w:r>
      <w:bookmarkEnd w:id="497"/>
    </w:p>
    <w:p w14:paraId="30952FD7" w14:textId="7DB29BDF" w:rsidR="00311BCD" w:rsidRPr="0018386D" w:rsidRDefault="00311BCD" w:rsidP="00DD3106">
      <w:pPr>
        <w:pStyle w:val="BodyText"/>
        <w:rPr>
          <w:color w:val="000000"/>
          <w:shd w:val="clear" w:color="auto" w:fill="FFFFFF"/>
        </w:rPr>
      </w:pPr>
      <w:bookmarkStart w:id="498" w:name="_Ref529725506"/>
      <w:bookmarkStart w:id="499" w:name="_Ref612749"/>
      <w:r w:rsidRPr="0018386D">
        <w:rPr>
          <w:color w:val="000000"/>
          <w:shd w:val="clear" w:color="auto" w:fill="FFFFFF"/>
        </w:rPr>
        <w:t xml:space="preserve">The average age of the bus fleet is </w:t>
      </w:r>
      <w:r w:rsidRPr="0018386D">
        <w:rPr>
          <w:shd w:val="clear" w:color="auto" w:fill="FFFFFF"/>
        </w:rPr>
        <w:t xml:space="preserve">16.4 </w:t>
      </w:r>
      <w:r w:rsidRPr="0018386D">
        <w:rPr>
          <w:color w:val="000000"/>
          <w:shd w:val="clear" w:color="auto" w:fill="FFFFFF"/>
        </w:rPr>
        <w:t xml:space="preserve">years (according to </w:t>
      </w:r>
      <w:r w:rsidR="00094791" w:rsidRPr="0018386D">
        <w:t xml:space="preserve">Te Manatū Waka </w:t>
      </w:r>
      <w:r w:rsidRPr="0018386D">
        <w:rPr>
          <w:shd w:val="clear" w:color="auto" w:fill="FFFFFF"/>
        </w:rPr>
        <w:t xml:space="preserve">Ministry of Transport fleet statistics). Therefore, we applied an average fuel consumption factor for a pre-2010 fleet </w:t>
      </w:r>
      <w:r w:rsidRPr="0018386D">
        <w:rPr>
          <w:color w:val="000000"/>
          <w:shd w:val="clear" w:color="auto" w:fill="FFFFFF"/>
        </w:rPr>
        <w:t>to</w:t>
      </w:r>
      <w:r w:rsidR="00A36C08" w:rsidRPr="0018386D">
        <w:rPr>
          <w:color w:val="000000"/>
          <w:shd w:val="clear" w:color="auto" w:fill="FFFFFF"/>
        </w:rPr>
        <w:t> </w:t>
      </w:r>
      <w:r w:rsidRPr="0018386D">
        <w:rPr>
          <w:color w:val="000000"/>
          <w:shd w:val="clear" w:color="auto" w:fill="FFFFFF"/>
        </w:rPr>
        <w:t>the bus fleet from the 2019 Vehicle Fleet Emissions Model.</w:t>
      </w:r>
    </w:p>
    <w:p w14:paraId="65092149" w14:textId="7A636B9F" w:rsidR="009D38DA" w:rsidRPr="0018386D" w:rsidRDefault="009D38DA" w:rsidP="00DD3106">
      <w:pPr>
        <w:pStyle w:val="Tableheading"/>
      </w:pPr>
      <w:bookmarkStart w:id="500" w:name="_Toc111536640"/>
      <w:bookmarkStart w:id="501" w:name="_Toc140048975"/>
      <w:bookmarkStart w:id="502" w:name="table35"/>
      <w:r w:rsidRPr="0018386D">
        <w:t xml:space="preserve">Table </w:t>
      </w:r>
      <w:r w:rsidRPr="0018386D">
        <w:fldChar w:fldCharType="begin"/>
      </w:r>
      <w:r w:rsidRPr="0018386D">
        <w:instrText>SEQ Table \* ARABIC</w:instrText>
      </w:r>
      <w:r w:rsidRPr="0018386D">
        <w:fldChar w:fldCharType="separate"/>
      </w:r>
      <w:r w:rsidR="003E141C" w:rsidRPr="0018386D">
        <w:t>35</w:t>
      </w:r>
      <w:r w:rsidRPr="0018386D">
        <w:fldChar w:fldCharType="end"/>
      </w:r>
      <w:bookmarkEnd w:id="498"/>
      <w:bookmarkEnd w:id="499"/>
      <w:r w:rsidR="00AB7CE4" w:rsidRPr="0018386D">
        <w:t>:</w:t>
      </w:r>
      <w:r w:rsidR="00AB7CE4" w:rsidRPr="0018386D">
        <w:tab/>
      </w:r>
      <w:r w:rsidRPr="0018386D">
        <w:t>Fuel</w:t>
      </w:r>
      <w:r w:rsidR="00DF5C38" w:rsidRPr="0018386D">
        <w:t>/e</w:t>
      </w:r>
      <w:r w:rsidR="00050C31" w:rsidRPr="0018386D">
        <w:t xml:space="preserve">nergy </w:t>
      </w:r>
      <w:r w:rsidRPr="0018386D">
        <w:t>consumption per 100</w:t>
      </w:r>
      <w:r w:rsidR="002A0AC2" w:rsidRPr="0018386D">
        <w:t xml:space="preserve"> </w:t>
      </w:r>
      <w:r w:rsidRPr="0018386D">
        <w:t xml:space="preserve">km for </w:t>
      </w:r>
      <w:r w:rsidR="00845114" w:rsidRPr="0018386D">
        <w:t>pre-2010</w:t>
      </w:r>
      <w:r w:rsidRPr="0018386D">
        <w:t xml:space="preserve"> fleet buses</w:t>
      </w:r>
      <w:bookmarkEnd w:id="500"/>
      <w:bookmarkEnd w:id="501"/>
    </w:p>
    <w:tbl>
      <w:tblPr>
        <w:tblStyle w:val="TableGridLight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823"/>
        <w:gridCol w:w="1682"/>
        <w:gridCol w:w="1122"/>
        <w:gridCol w:w="3878"/>
      </w:tblGrid>
      <w:tr w:rsidR="003C6452" w:rsidRPr="0018386D" w14:paraId="02D8DDC8" w14:textId="77777777" w:rsidTr="003C6452">
        <w:tc>
          <w:tcPr>
            <w:tcW w:w="1823" w:type="dxa"/>
            <w:shd w:val="clear" w:color="auto" w:fill="1B556B" w:themeFill="text2"/>
          </w:tcPr>
          <w:bookmarkEnd w:id="502"/>
          <w:p w14:paraId="414D19C3" w14:textId="4A49C475" w:rsidR="002A0AC2" w:rsidRPr="0018386D" w:rsidRDefault="002A0AC2" w:rsidP="00DD3106">
            <w:pPr>
              <w:pStyle w:val="TableTextbold"/>
              <w:spacing w:before="40" w:after="40"/>
              <w:rPr>
                <w:color w:val="FFFFFF" w:themeColor="background1"/>
              </w:rPr>
            </w:pPr>
            <w:r w:rsidRPr="0018386D">
              <w:rPr>
                <w:color w:val="FFFFFF" w:themeColor="background1"/>
              </w:rPr>
              <w:t xml:space="preserve">Emission </w:t>
            </w:r>
            <w:r w:rsidR="006A0E82" w:rsidRPr="0018386D">
              <w:rPr>
                <w:color w:val="FFFFFF" w:themeColor="background1"/>
              </w:rPr>
              <w:t>s</w:t>
            </w:r>
            <w:r w:rsidRPr="0018386D">
              <w:rPr>
                <w:color w:val="FFFFFF" w:themeColor="background1"/>
              </w:rPr>
              <w:t>ource</w:t>
            </w:r>
          </w:p>
        </w:tc>
        <w:tc>
          <w:tcPr>
            <w:tcW w:w="1682" w:type="dxa"/>
            <w:shd w:val="clear" w:color="auto" w:fill="1B556B" w:themeFill="text2"/>
          </w:tcPr>
          <w:p w14:paraId="45E231F2" w14:textId="77777777" w:rsidR="002A0AC2" w:rsidRPr="0018386D" w:rsidRDefault="002A0AC2" w:rsidP="00DD3106">
            <w:pPr>
              <w:pStyle w:val="TableTextbold"/>
              <w:spacing w:before="40" w:after="40"/>
              <w:rPr>
                <w:color w:val="FFFFFF" w:themeColor="background1"/>
              </w:rPr>
            </w:pPr>
          </w:p>
        </w:tc>
        <w:tc>
          <w:tcPr>
            <w:tcW w:w="1122" w:type="dxa"/>
            <w:shd w:val="clear" w:color="auto" w:fill="1B556B" w:themeFill="text2"/>
          </w:tcPr>
          <w:p w14:paraId="11A2DE2B" w14:textId="0C5B217F" w:rsidR="002A0AC2" w:rsidRPr="0018386D" w:rsidRDefault="002A0AC2" w:rsidP="00DD3106">
            <w:pPr>
              <w:pStyle w:val="TableTextbold"/>
              <w:spacing w:before="40" w:after="40"/>
              <w:rPr>
                <w:color w:val="FFFFFF" w:themeColor="background1"/>
              </w:rPr>
            </w:pPr>
            <w:r w:rsidRPr="0018386D">
              <w:rPr>
                <w:color w:val="FFFFFF" w:themeColor="background1"/>
              </w:rPr>
              <w:t>Unit</w:t>
            </w:r>
          </w:p>
        </w:tc>
        <w:tc>
          <w:tcPr>
            <w:tcW w:w="3878" w:type="dxa"/>
            <w:shd w:val="clear" w:color="auto" w:fill="1B556B" w:themeFill="text2"/>
          </w:tcPr>
          <w:p w14:paraId="3031D583" w14:textId="0955A7E6" w:rsidR="002A0AC2" w:rsidRPr="0018386D" w:rsidRDefault="002A0AC2" w:rsidP="00DD3106">
            <w:pPr>
              <w:pStyle w:val="TableTextbold"/>
              <w:spacing w:before="40" w:after="40"/>
              <w:rPr>
                <w:color w:val="FFFFFF" w:themeColor="background1"/>
              </w:rPr>
            </w:pPr>
            <w:r w:rsidRPr="0018386D">
              <w:rPr>
                <w:color w:val="FFFFFF" w:themeColor="background1"/>
              </w:rPr>
              <w:t>Pre-2010 units of energy per 100</w:t>
            </w:r>
            <w:r w:rsidR="0017660C" w:rsidRPr="0018386D">
              <w:rPr>
                <w:color w:val="FFFFFF" w:themeColor="background1"/>
              </w:rPr>
              <w:t> </w:t>
            </w:r>
            <w:r w:rsidRPr="0018386D">
              <w:rPr>
                <w:color w:val="FFFFFF" w:themeColor="background1"/>
              </w:rPr>
              <w:t>km</w:t>
            </w:r>
          </w:p>
        </w:tc>
      </w:tr>
      <w:tr w:rsidR="00021F0B" w:rsidRPr="0018386D" w14:paraId="6CC152D0" w14:textId="77777777" w:rsidTr="003C6452">
        <w:tc>
          <w:tcPr>
            <w:tcW w:w="1823" w:type="dxa"/>
            <w:vMerge w:val="restart"/>
          </w:tcPr>
          <w:p w14:paraId="36EE7D1B" w14:textId="6DEAC01E" w:rsidR="00021F0B" w:rsidRPr="0018386D" w:rsidRDefault="00021F0B" w:rsidP="00DD3106">
            <w:pPr>
              <w:pStyle w:val="TableText"/>
              <w:spacing w:before="40" w:after="40"/>
            </w:pPr>
            <w:r w:rsidRPr="0018386D">
              <w:t>Diesel bus</w:t>
            </w:r>
          </w:p>
        </w:tc>
        <w:tc>
          <w:tcPr>
            <w:tcW w:w="1682" w:type="dxa"/>
          </w:tcPr>
          <w:p w14:paraId="76424DE5" w14:textId="44AB8495" w:rsidR="00021F0B" w:rsidRPr="0018386D" w:rsidRDefault="00021F0B" w:rsidP="00DD3106">
            <w:pPr>
              <w:pStyle w:val="TableText"/>
              <w:spacing w:before="40" w:after="40"/>
              <w:jc w:val="both"/>
            </w:pPr>
            <w:r w:rsidRPr="0018386D">
              <w:t>&lt;7,500 kg</w:t>
            </w:r>
          </w:p>
        </w:tc>
        <w:tc>
          <w:tcPr>
            <w:tcW w:w="1122" w:type="dxa"/>
          </w:tcPr>
          <w:p w14:paraId="68B34945" w14:textId="369DBA94" w:rsidR="00021F0B" w:rsidRPr="0018386D" w:rsidRDefault="00021F0B" w:rsidP="00DD3106">
            <w:pPr>
              <w:pStyle w:val="TableText"/>
              <w:spacing w:before="40" w:after="40"/>
              <w:jc w:val="both"/>
            </w:pPr>
            <w:r w:rsidRPr="0018386D">
              <w:t>litre</w:t>
            </w:r>
          </w:p>
        </w:tc>
        <w:tc>
          <w:tcPr>
            <w:tcW w:w="3878" w:type="dxa"/>
          </w:tcPr>
          <w:p w14:paraId="410EB84E" w14:textId="5D03934D" w:rsidR="00021F0B" w:rsidRPr="0018386D" w:rsidRDefault="00021F0B" w:rsidP="00DD3106">
            <w:pPr>
              <w:pStyle w:val="TableText"/>
              <w:spacing w:before="40" w:after="40"/>
              <w:jc w:val="both"/>
            </w:pPr>
            <w:r w:rsidRPr="0018386D">
              <w:rPr>
                <w:rFonts w:cs="Calibri"/>
              </w:rPr>
              <w:t>21.043</w:t>
            </w:r>
          </w:p>
        </w:tc>
      </w:tr>
      <w:tr w:rsidR="00021F0B" w:rsidRPr="0018386D" w14:paraId="177F13B0" w14:textId="77777777" w:rsidTr="003C6452">
        <w:tc>
          <w:tcPr>
            <w:tcW w:w="1823" w:type="dxa"/>
            <w:vMerge/>
          </w:tcPr>
          <w:p w14:paraId="417BA11F" w14:textId="77777777" w:rsidR="00021F0B" w:rsidRPr="0018386D" w:rsidRDefault="00021F0B" w:rsidP="00DD3106">
            <w:pPr>
              <w:pStyle w:val="TableText"/>
              <w:spacing w:before="40" w:after="40"/>
            </w:pPr>
          </w:p>
        </w:tc>
        <w:tc>
          <w:tcPr>
            <w:tcW w:w="1682" w:type="dxa"/>
          </w:tcPr>
          <w:p w14:paraId="3EE1064B" w14:textId="4125599C" w:rsidR="00021F0B" w:rsidRPr="0018386D" w:rsidRDefault="00021F0B" w:rsidP="00DD3106">
            <w:pPr>
              <w:pStyle w:val="TableText"/>
              <w:spacing w:before="40" w:after="40"/>
              <w:jc w:val="both"/>
            </w:pPr>
            <w:r w:rsidRPr="0018386D">
              <w:t>&lt;12,000 kg</w:t>
            </w:r>
          </w:p>
        </w:tc>
        <w:tc>
          <w:tcPr>
            <w:tcW w:w="1122" w:type="dxa"/>
          </w:tcPr>
          <w:p w14:paraId="59BB3187" w14:textId="50EB834C" w:rsidR="00021F0B" w:rsidRPr="0018386D" w:rsidRDefault="00021F0B" w:rsidP="00DD3106">
            <w:pPr>
              <w:pStyle w:val="TableText"/>
              <w:spacing w:before="40" w:after="40"/>
              <w:jc w:val="both"/>
            </w:pPr>
            <w:r w:rsidRPr="0018386D">
              <w:t>litre</w:t>
            </w:r>
          </w:p>
        </w:tc>
        <w:tc>
          <w:tcPr>
            <w:tcW w:w="3878" w:type="dxa"/>
          </w:tcPr>
          <w:p w14:paraId="7D67F06A" w14:textId="6C7F232B" w:rsidR="00021F0B" w:rsidRPr="0018386D" w:rsidRDefault="00021F0B" w:rsidP="00DD3106">
            <w:pPr>
              <w:pStyle w:val="TableText"/>
              <w:spacing w:before="40" w:after="40"/>
              <w:jc w:val="both"/>
            </w:pPr>
            <w:r w:rsidRPr="0018386D">
              <w:rPr>
                <w:rFonts w:cs="Calibri"/>
              </w:rPr>
              <w:t>29.147</w:t>
            </w:r>
          </w:p>
        </w:tc>
      </w:tr>
      <w:tr w:rsidR="00021F0B" w:rsidRPr="0018386D" w14:paraId="58667F97" w14:textId="77777777" w:rsidTr="003C6452">
        <w:tc>
          <w:tcPr>
            <w:tcW w:w="1823" w:type="dxa"/>
            <w:vMerge/>
          </w:tcPr>
          <w:p w14:paraId="54C0F74E" w14:textId="77777777" w:rsidR="00021F0B" w:rsidRPr="0018386D" w:rsidRDefault="00021F0B" w:rsidP="00DD3106">
            <w:pPr>
              <w:pStyle w:val="TableText"/>
              <w:spacing w:before="40" w:after="40"/>
            </w:pPr>
          </w:p>
        </w:tc>
        <w:tc>
          <w:tcPr>
            <w:tcW w:w="1682" w:type="dxa"/>
          </w:tcPr>
          <w:p w14:paraId="09DC4747" w14:textId="32A3858D" w:rsidR="00021F0B" w:rsidRPr="0018386D" w:rsidRDefault="00021F0B" w:rsidP="00DD3106">
            <w:pPr>
              <w:pStyle w:val="TableText"/>
              <w:spacing w:before="40" w:after="40"/>
              <w:jc w:val="both"/>
            </w:pPr>
            <w:r w:rsidRPr="0018386D">
              <w:t>≥12,000 kg</w:t>
            </w:r>
          </w:p>
        </w:tc>
        <w:tc>
          <w:tcPr>
            <w:tcW w:w="1122" w:type="dxa"/>
          </w:tcPr>
          <w:p w14:paraId="62A73466" w14:textId="46475042" w:rsidR="00021F0B" w:rsidRPr="0018386D" w:rsidRDefault="00021F0B" w:rsidP="00DD3106">
            <w:pPr>
              <w:pStyle w:val="TableText"/>
              <w:spacing w:before="40" w:after="40"/>
              <w:jc w:val="both"/>
            </w:pPr>
            <w:r w:rsidRPr="0018386D">
              <w:t>litre</w:t>
            </w:r>
          </w:p>
        </w:tc>
        <w:tc>
          <w:tcPr>
            <w:tcW w:w="3878" w:type="dxa"/>
          </w:tcPr>
          <w:p w14:paraId="43922371" w14:textId="7BD48D9B" w:rsidR="00021F0B" w:rsidRPr="0018386D" w:rsidRDefault="00021F0B" w:rsidP="00DD3106">
            <w:pPr>
              <w:pStyle w:val="TableText"/>
              <w:spacing w:before="40" w:after="40"/>
              <w:jc w:val="both"/>
            </w:pPr>
            <w:r w:rsidRPr="0018386D">
              <w:rPr>
                <w:rFonts w:cs="Calibri"/>
              </w:rPr>
              <w:t>40.397</w:t>
            </w:r>
          </w:p>
        </w:tc>
      </w:tr>
      <w:tr w:rsidR="00021F0B" w:rsidRPr="0018386D" w14:paraId="17D1295A" w14:textId="77777777" w:rsidTr="003C6452">
        <w:tc>
          <w:tcPr>
            <w:tcW w:w="1823" w:type="dxa"/>
            <w:vMerge w:val="restart"/>
          </w:tcPr>
          <w:p w14:paraId="6F39A004" w14:textId="0DA37195" w:rsidR="00021F0B" w:rsidRPr="0018386D" w:rsidRDefault="00021F0B" w:rsidP="00DD3106">
            <w:pPr>
              <w:pStyle w:val="TableText"/>
              <w:spacing w:before="40" w:after="40"/>
            </w:pPr>
            <w:r w:rsidRPr="0018386D">
              <w:t>Diesel hybrid bus</w:t>
            </w:r>
          </w:p>
        </w:tc>
        <w:tc>
          <w:tcPr>
            <w:tcW w:w="1682" w:type="dxa"/>
          </w:tcPr>
          <w:p w14:paraId="10BCA354" w14:textId="564E3F50" w:rsidR="00021F0B" w:rsidRPr="0018386D" w:rsidRDefault="00021F0B" w:rsidP="00DD3106">
            <w:pPr>
              <w:pStyle w:val="TableText"/>
              <w:spacing w:before="40" w:after="40"/>
              <w:jc w:val="both"/>
            </w:pPr>
            <w:r w:rsidRPr="0018386D">
              <w:t>&lt;7,500 kg</w:t>
            </w:r>
          </w:p>
        </w:tc>
        <w:tc>
          <w:tcPr>
            <w:tcW w:w="1122" w:type="dxa"/>
          </w:tcPr>
          <w:p w14:paraId="2FD29A52" w14:textId="12DFC345" w:rsidR="00021F0B" w:rsidRPr="0018386D" w:rsidRDefault="00021F0B" w:rsidP="00DD3106">
            <w:pPr>
              <w:pStyle w:val="TableText"/>
              <w:spacing w:before="40" w:after="40"/>
              <w:jc w:val="both"/>
            </w:pPr>
            <w:r w:rsidRPr="0018386D">
              <w:t>litre</w:t>
            </w:r>
          </w:p>
        </w:tc>
        <w:tc>
          <w:tcPr>
            <w:tcW w:w="3878" w:type="dxa"/>
          </w:tcPr>
          <w:p w14:paraId="3D76F63C" w14:textId="2FA7E882" w:rsidR="00021F0B" w:rsidRPr="0018386D" w:rsidRDefault="00021F0B" w:rsidP="00DD3106">
            <w:pPr>
              <w:pStyle w:val="TableText"/>
              <w:spacing w:before="40" w:after="40"/>
              <w:jc w:val="both"/>
            </w:pPr>
            <w:r w:rsidRPr="0018386D">
              <w:rPr>
                <w:rFonts w:cs="Calibri"/>
              </w:rPr>
              <w:t>14.891</w:t>
            </w:r>
          </w:p>
        </w:tc>
      </w:tr>
      <w:tr w:rsidR="00021F0B" w:rsidRPr="0018386D" w14:paraId="03B57454" w14:textId="77777777" w:rsidTr="003C6452">
        <w:tc>
          <w:tcPr>
            <w:tcW w:w="1823" w:type="dxa"/>
            <w:vMerge/>
          </w:tcPr>
          <w:p w14:paraId="4E2C1518" w14:textId="77777777" w:rsidR="00021F0B" w:rsidRPr="0018386D" w:rsidRDefault="00021F0B" w:rsidP="00DD3106">
            <w:pPr>
              <w:pStyle w:val="TableText"/>
              <w:spacing w:before="40" w:after="40"/>
            </w:pPr>
          </w:p>
        </w:tc>
        <w:tc>
          <w:tcPr>
            <w:tcW w:w="1682" w:type="dxa"/>
          </w:tcPr>
          <w:p w14:paraId="0C322ACA" w14:textId="6277C293" w:rsidR="00021F0B" w:rsidRPr="0018386D" w:rsidRDefault="00021F0B" w:rsidP="00DD3106">
            <w:pPr>
              <w:pStyle w:val="TableText"/>
              <w:spacing w:before="40" w:after="40"/>
              <w:jc w:val="both"/>
            </w:pPr>
            <w:r w:rsidRPr="0018386D">
              <w:t>&lt;12,000 kg</w:t>
            </w:r>
          </w:p>
        </w:tc>
        <w:tc>
          <w:tcPr>
            <w:tcW w:w="1122" w:type="dxa"/>
          </w:tcPr>
          <w:p w14:paraId="7BA03E87" w14:textId="27707E76" w:rsidR="00021F0B" w:rsidRPr="0018386D" w:rsidRDefault="00021F0B" w:rsidP="00DD3106">
            <w:pPr>
              <w:pStyle w:val="TableText"/>
              <w:spacing w:before="40" w:after="40"/>
              <w:jc w:val="both"/>
            </w:pPr>
            <w:r w:rsidRPr="0018386D">
              <w:t>litre</w:t>
            </w:r>
          </w:p>
        </w:tc>
        <w:tc>
          <w:tcPr>
            <w:tcW w:w="3878" w:type="dxa"/>
          </w:tcPr>
          <w:p w14:paraId="4D8BB542" w14:textId="3BE282D7" w:rsidR="00021F0B" w:rsidRPr="0018386D" w:rsidRDefault="00021F0B" w:rsidP="00DD3106">
            <w:pPr>
              <w:pStyle w:val="TableText"/>
              <w:spacing w:before="40" w:after="40"/>
              <w:jc w:val="both"/>
            </w:pPr>
            <w:r w:rsidRPr="0018386D">
              <w:rPr>
                <w:rFonts w:cs="Calibri"/>
              </w:rPr>
              <w:t>20.626</w:t>
            </w:r>
          </w:p>
        </w:tc>
      </w:tr>
      <w:tr w:rsidR="00021F0B" w:rsidRPr="0018386D" w14:paraId="40A54197" w14:textId="77777777" w:rsidTr="003C6452">
        <w:tc>
          <w:tcPr>
            <w:tcW w:w="1823" w:type="dxa"/>
            <w:vMerge/>
          </w:tcPr>
          <w:p w14:paraId="633C7BB4" w14:textId="77777777" w:rsidR="00021F0B" w:rsidRPr="0018386D" w:rsidRDefault="00021F0B" w:rsidP="00DD3106">
            <w:pPr>
              <w:pStyle w:val="TableText"/>
              <w:spacing w:before="40" w:after="40"/>
            </w:pPr>
          </w:p>
        </w:tc>
        <w:tc>
          <w:tcPr>
            <w:tcW w:w="1682" w:type="dxa"/>
          </w:tcPr>
          <w:p w14:paraId="22628348" w14:textId="7EF15F29" w:rsidR="00021F0B" w:rsidRPr="0018386D" w:rsidRDefault="00021F0B" w:rsidP="00DD3106">
            <w:pPr>
              <w:pStyle w:val="TableText"/>
              <w:spacing w:before="40" w:after="40"/>
              <w:jc w:val="both"/>
            </w:pPr>
            <w:r w:rsidRPr="0018386D">
              <w:t>≥12,000 kg</w:t>
            </w:r>
          </w:p>
        </w:tc>
        <w:tc>
          <w:tcPr>
            <w:tcW w:w="1122" w:type="dxa"/>
          </w:tcPr>
          <w:p w14:paraId="3853214C" w14:textId="0CDCB31D" w:rsidR="00021F0B" w:rsidRPr="0018386D" w:rsidRDefault="00021F0B" w:rsidP="00DD3106">
            <w:pPr>
              <w:pStyle w:val="TableText"/>
              <w:spacing w:before="40" w:after="40"/>
              <w:jc w:val="both"/>
            </w:pPr>
            <w:r w:rsidRPr="0018386D">
              <w:t>litre</w:t>
            </w:r>
          </w:p>
        </w:tc>
        <w:tc>
          <w:tcPr>
            <w:tcW w:w="3878" w:type="dxa"/>
          </w:tcPr>
          <w:p w14:paraId="683126AA" w14:textId="65F14B37" w:rsidR="00021F0B" w:rsidRPr="0018386D" w:rsidRDefault="00021F0B" w:rsidP="00DD3106">
            <w:pPr>
              <w:pStyle w:val="TableText"/>
              <w:spacing w:before="40" w:after="40"/>
              <w:jc w:val="both"/>
            </w:pPr>
            <w:r w:rsidRPr="0018386D">
              <w:rPr>
                <w:rFonts w:cs="Calibri"/>
              </w:rPr>
              <w:t>28.587</w:t>
            </w:r>
          </w:p>
        </w:tc>
      </w:tr>
      <w:tr w:rsidR="00021F0B" w:rsidRPr="0018386D" w14:paraId="6C7AE4A4" w14:textId="77777777" w:rsidTr="003C6452">
        <w:tc>
          <w:tcPr>
            <w:tcW w:w="1823" w:type="dxa"/>
            <w:vMerge w:val="restart"/>
          </w:tcPr>
          <w:p w14:paraId="1ED22509" w14:textId="3851924B" w:rsidR="00021F0B" w:rsidRPr="0018386D" w:rsidRDefault="00021F0B" w:rsidP="00DD3106">
            <w:pPr>
              <w:pStyle w:val="TableText"/>
              <w:spacing w:before="40" w:after="40"/>
            </w:pPr>
            <w:r w:rsidRPr="0018386D">
              <w:t>Electric bus</w:t>
            </w:r>
          </w:p>
        </w:tc>
        <w:tc>
          <w:tcPr>
            <w:tcW w:w="1682" w:type="dxa"/>
          </w:tcPr>
          <w:p w14:paraId="7EE38250" w14:textId="114A8B2D" w:rsidR="00021F0B" w:rsidRPr="0018386D" w:rsidRDefault="00021F0B" w:rsidP="00DD3106">
            <w:pPr>
              <w:pStyle w:val="TableText"/>
              <w:spacing w:before="40" w:after="40"/>
              <w:jc w:val="both"/>
            </w:pPr>
            <w:r w:rsidRPr="0018386D">
              <w:t>&lt;7,500 kg</w:t>
            </w:r>
          </w:p>
        </w:tc>
        <w:tc>
          <w:tcPr>
            <w:tcW w:w="1122" w:type="dxa"/>
          </w:tcPr>
          <w:p w14:paraId="790B322B" w14:textId="73C9EDAC" w:rsidR="00021F0B" w:rsidRPr="0018386D" w:rsidRDefault="00021F0B" w:rsidP="00DD3106">
            <w:pPr>
              <w:pStyle w:val="TableText"/>
              <w:spacing w:before="40" w:after="40"/>
              <w:jc w:val="both"/>
            </w:pPr>
            <w:r w:rsidRPr="0018386D">
              <w:t>kWh</w:t>
            </w:r>
          </w:p>
        </w:tc>
        <w:tc>
          <w:tcPr>
            <w:tcW w:w="3878" w:type="dxa"/>
          </w:tcPr>
          <w:p w14:paraId="3D90863F" w14:textId="3B9BD3B7" w:rsidR="00021F0B" w:rsidRPr="0018386D" w:rsidRDefault="00021F0B" w:rsidP="00DD3106">
            <w:pPr>
              <w:pStyle w:val="TableText"/>
              <w:spacing w:before="40" w:after="40"/>
              <w:jc w:val="both"/>
            </w:pPr>
            <w:r w:rsidRPr="0018386D">
              <w:rPr>
                <w:rFonts w:cs="Calibri"/>
              </w:rPr>
              <w:t>8.690</w:t>
            </w:r>
          </w:p>
        </w:tc>
      </w:tr>
      <w:tr w:rsidR="00021F0B" w:rsidRPr="0018386D" w14:paraId="1DD366AF" w14:textId="77777777" w:rsidTr="003C6452">
        <w:tc>
          <w:tcPr>
            <w:tcW w:w="1823" w:type="dxa"/>
            <w:vMerge/>
          </w:tcPr>
          <w:p w14:paraId="41A26BE7" w14:textId="77777777" w:rsidR="00021F0B" w:rsidRPr="0018386D" w:rsidRDefault="00021F0B" w:rsidP="00DD3106">
            <w:pPr>
              <w:pStyle w:val="TableText"/>
              <w:spacing w:before="40" w:after="40"/>
            </w:pPr>
          </w:p>
        </w:tc>
        <w:tc>
          <w:tcPr>
            <w:tcW w:w="1682" w:type="dxa"/>
          </w:tcPr>
          <w:p w14:paraId="0F124E5E" w14:textId="0B0E0A23" w:rsidR="00021F0B" w:rsidRPr="0018386D" w:rsidRDefault="00021F0B" w:rsidP="00DD3106">
            <w:pPr>
              <w:pStyle w:val="TableText"/>
              <w:spacing w:before="40" w:after="40"/>
              <w:jc w:val="both"/>
            </w:pPr>
            <w:r w:rsidRPr="0018386D">
              <w:t>&lt;12,000 kg</w:t>
            </w:r>
          </w:p>
        </w:tc>
        <w:tc>
          <w:tcPr>
            <w:tcW w:w="1122" w:type="dxa"/>
          </w:tcPr>
          <w:p w14:paraId="4C5530A2" w14:textId="34A79F35" w:rsidR="00021F0B" w:rsidRPr="0018386D" w:rsidRDefault="00021F0B" w:rsidP="00DD3106">
            <w:pPr>
              <w:pStyle w:val="TableText"/>
              <w:spacing w:before="40" w:after="40"/>
              <w:jc w:val="both"/>
            </w:pPr>
            <w:r w:rsidRPr="0018386D">
              <w:t>kWh</w:t>
            </w:r>
          </w:p>
        </w:tc>
        <w:tc>
          <w:tcPr>
            <w:tcW w:w="3878" w:type="dxa"/>
          </w:tcPr>
          <w:p w14:paraId="7B379170" w14:textId="35E84F5D" w:rsidR="00021F0B" w:rsidRPr="0018386D" w:rsidRDefault="00021F0B" w:rsidP="00DD3106">
            <w:pPr>
              <w:pStyle w:val="TableText"/>
              <w:spacing w:before="40" w:after="40"/>
              <w:jc w:val="both"/>
            </w:pPr>
            <w:r w:rsidRPr="0018386D">
              <w:rPr>
                <w:rFonts w:cs="Calibri"/>
              </w:rPr>
              <w:t>12.037</w:t>
            </w:r>
          </w:p>
        </w:tc>
      </w:tr>
      <w:tr w:rsidR="00021F0B" w:rsidRPr="0018386D" w14:paraId="60947B13" w14:textId="77777777" w:rsidTr="003C6452">
        <w:tc>
          <w:tcPr>
            <w:tcW w:w="1823" w:type="dxa"/>
            <w:vMerge/>
          </w:tcPr>
          <w:p w14:paraId="5216F7C1" w14:textId="77777777" w:rsidR="00021F0B" w:rsidRPr="0018386D" w:rsidRDefault="00021F0B" w:rsidP="00DD3106">
            <w:pPr>
              <w:pStyle w:val="TableText"/>
              <w:spacing w:before="40" w:after="40"/>
            </w:pPr>
          </w:p>
        </w:tc>
        <w:tc>
          <w:tcPr>
            <w:tcW w:w="1682" w:type="dxa"/>
          </w:tcPr>
          <w:p w14:paraId="562B7915" w14:textId="3DCDE246" w:rsidR="00021F0B" w:rsidRPr="0018386D" w:rsidRDefault="00021F0B" w:rsidP="00DD3106">
            <w:pPr>
              <w:pStyle w:val="TableText"/>
              <w:spacing w:before="40" w:after="40"/>
              <w:jc w:val="both"/>
            </w:pPr>
            <w:r w:rsidRPr="0018386D">
              <w:t>≥12,000 kg</w:t>
            </w:r>
          </w:p>
        </w:tc>
        <w:tc>
          <w:tcPr>
            <w:tcW w:w="1122" w:type="dxa"/>
          </w:tcPr>
          <w:p w14:paraId="5CD10FE4" w14:textId="1E6E765E" w:rsidR="00021F0B" w:rsidRPr="0018386D" w:rsidRDefault="00021F0B" w:rsidP="00DD3106">
            <w:pPr>
              <w:pStyle w:val="TableText"/>
              <w:spacing w:before="40" w:after="40"/>
              <w:jc w:val="both"/>
            </w:pPr>
            <w:r w:rsidRPr="0018386D">
              <w:t>kWh</w:t>
            </w:r>
          </w:p>
        </w:tc>
        <w:tc>
          <w:tcPr>
            <w:tcW w:w="3878" w:type="dxa"/>
          </w:tcPr>
          <w:p w14:paraId="5B5B81EE" w14:textId="3097C407" w:rsidR="00021F0B" w:rsidRPr="0018386D" w:rsidRDefault="00021F0B" w:rsidP="00DD3106">
            <w:pPr>
              <w:pStyle w:val="TableText"/>
              <w:spacing w:before="40" w:after="40"/>
              <w:jc w:val="both"/>
            </w:pPr>
            <w:r w:rsidRPr="0018386D">
              <w:rPr>
                <w:rFonts w:cs="Calibri"/>
              </w:rPr>
              <w:t>16.682</w:t>
            </w:r>
          </w:p>
        </w:tc>
      </w:tr>
    </w:tbl>
    <w:p w14:paraId="77924D00" w14:textId="54ACA3BB" w:rsidR="00E457F3" w:rsidRPr="0018386D" w:rsidRDefault="00E457F3" w:rsidP="00DD3106">
      <w:pPr>
        <w:pStyle w:val="Note"/>
      </w:pPr>
      <w:r w:rsidRPr="0018386D">
        <w:rPr>
          <w:b/>
          <w:bCs/>
        </w:rPr>
        <w:t>Note:</w:t>
      </w:r>
      <w:r w:rsidRPr="0018386D">
        <w:t xml:space="preserve"> These numbers are rounded to three decimal places. </w:t>
      </w:r>
    </w:p>
    <w:p w14:paraId="6509217D" w14:textId="6CDAA50C" w:rsidR="009D38DA" w:rsidRPr="0018386D" w:rsidRDefault="009D38DA" w:rsidP="00DD3106">
      <w:pPr>
        <w:pStyle w:val="BodyText"/>
        <w:spacing w:before="240" w:after="240"/>
        <w:jc w:val="both"/>
      </w:pPr>
      <w:r w:rsidRPr="0018386D">
        <w:lastRenderedPageBreak/>
        <w:t xml:space="preserve">Using the information in </w:t>
      </w:r>
      <w:hyperlink w:anchor="table35" w:history="1">
        <w:r w:rsidR="00857F60" w:rsidRPr="0018386D">
          <w:rPr>
            <w:rStyle w:val="Hyperlink"/>
          </w:rPr>
          <w:t>table 3</w:t>
        </w:r>
        <w:r w:rsidR="0057779A" w:rsidRPr="0018386D">
          <w:rPr>
            <w:rStyle w:val="Hyperlink"/>
          </w:rPr>
          <w:t>5</w:t>
        </w:r>
      </w:hyperlink>
      <w:r w:rsidR="00ED28A5" w:rsidRPr="0018386D">
        <w:rPr>
          <w:color w:val="32809C" w:themeColor="accent2"/>
        </w:rPr>
        <w:t xml:space="preserve"> </w:t>
      </w:r>
      <w:r w:rsidRPr="0018386D">
        <w:t>and</w:t>
      </w:r>
      <w:r w:rsidR="00C92A36" w:rsidRPr="0018386D">
        <w:t xml:space="preserve"> appropriate</w:t>
      </w:r>
      <w:r w:rsidRPr="0018386D">
        <w:t xml:space="preserve"> emission factor</w:t>
      </w:r>
      <w:r w:rsidR="00F76EF8" w:rsidRPr="0018386D">
        <w:t>,</w:t>
      </w:r>
      <w:r w:rsidR="00DB031E" w:rsidRPr="0018386D">
        <w:t xml:space="preserve"> </w:t>
      </w:r>
      <w:r w:rsidRPr="0018386D">
        <w:t xml:space="preserve">the equation </w:t>
      </w:r>
      <w:r w:rsidR="00F76EF8" w:rsidRPr="0018386D">
        <w:t>is</w:t>
      </w:r>
      <w:r w:rsidR="002D55C1" w:rsidRPr="0018386D">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2D55C1" w:rsidRPr="0018386D" w14:paraId="6509217F" w14:textId="77777777" w:rsidTr="00837BE8">
        <w:tc>
          <w:tcPr>
            <w:tcW w:w="8720" w:type="dxa"/>
            <w:shd w:val="clear" w:color="auto" w:fill="D2DDE1" w:themeFill="background2"/>
          </w:tcPr>
          <w:p w14:paraId="6509217E" w14:textId="782FCA65" w:rsidR="002D55C1" w:rsidRPr="0018386D" w:rsidRDefault="00C7627E" w:rsidP="00DD3106">
            <w:pPr>
              <w:pStyle w:val="Box"/>
              <w:shd w:val="clear" w:color="auto" w:fill="auto"/>
              <w:spacing w:before="0" w:after="0"/>
              <w:ind w:left="0"/>
            </w:pPr>
            <m:oMathPara>
              <m:oMath>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consumption</m:t>
                    </m:r>
                  </m:num>
                  <m:den>
                    <m:r>
                      <w:rPr>
                        <w:rFonts w:ascii="Cambria Math" w:hAnsi="Cambria Math"/>
                      </w:rPr>
                      <m:t>100 (</m:t>
                    </m:r>
                    <m:r>
                      <w:rPr>
                        <w:rFonts w:ascii="Cambria Math" w:hAnsi="Cambria Math"/>
                      </w:rPr>
                      <m:t>km</m:t>
                    </m:r>
                    <m:r>
                      <w:rPr>
                        <w:rFonts w:ascii="Cambria Math" w:hAnsi="Cambria Math"/>
                      </w:rPr>
                      <m:t>)</m:t>
                    </m:r>
                  </m:den>
                </m:f>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m:t>
                </m:r>
                <m:r>
                  <w:rPr>
                    <w:rFonts w:ascii="Cambria Math" w:hAnsi="Cambria Math"/>
                  </w:rPr>
                  <m:t>green</m:t>
                </m:r>
                <m:r>
                  <w:rPr>
                    <w:rFonts w:ascii="Cambria Math" w:hAnsi="Cambria Math"/>
                  </w:rPr>
                  <m:t>h</m:t>
                </m:r>
                <m:r>
                  <w:rPr>
                    <w:rFonts w:ascii="Cambria Math" w:hAnsi="Cambria Math"/>
                  </w:rPr>
                  <m:t>ouse</m:t>
                </m:r>
                <m:r>
                  <m:rPr>
                    <m:sty m:val="p"/>
                  </m:rPr>
                  <w:rPr>
                    <w:rFonts w:ascii="Cambria Math" w:hAnsi="Cambria Math"/>
                  </w:rPr>
                  <m:t xml:space="preserve"> </m:t>
                </m:r>
                <m:r>
                  <w:rPr>
                    <w:rFonts w:ascii="Cambria Math" w:hAnsi="Cambria Math"/>
                  </w:rPr>
                  <m:t>gas</m:t>
                </m:r>
                <m:r>
                  <m:rPr>
                    <m:sty m:val="p"/>
                  </m:rPr>
                  <w:rPr>
                    <w:rFonts w:ascii="Cambria Math" w:hAnsi="Cambria Math"/>
                  </w:rPr>
                  <m:t xml:space="preserve"> </m:t>
                </m:r>
                <m:r>
                  <w:rPr>
                    <w:rFonts w:ascii="Cambria Math" w:hAnsi="Cambria Math"/>
                  </w:rPr>
                  <m:t>emissions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km</m:t>
                </m:r>
              </m:oMath>
            </m:oMathPara>
          </w:p>
        </w:tc>
      </w:tr>
    </w:tbl>
    <w:p w14:paraId="65092180" w14:textId="77777777" w:rsidR="00D338EB" w:rsidRPr="0018386D" w:rsidRDefault="00D338EB" w:rsidP="00DD3106">
      <w:pPr>
        <w:pStyle w:val="BodyText"/>
        <w:keepNext/>
        <w:spacing w:before="240"/>
        <w:jc w:val="both"/>
      </w:pPr>
      <w:r w:rsidRPr="0018386D">
        <w:t>Where</w:t>
      </w:r>
      <w:r w:rsidR="002D55C1" w:rsidRPr="0018386D">
        <w:t>:</w:t>
      </w:r>
    </w:p>
    <w:p w14:paraId="1701BD5F" w14:textId="77777777" w:rsidR="0057779A" w:rsidRPr="0018386D" w:rsidRDefault="009B64D6" w:rsidP="00DD3106">
      <w:pPr>
        <w:pStyle w:val="Bullet"/>
        <w:keepNext/>
        <w:jc w:val="both"/>
      </w:pPr>
      <w:r w:rsidRPr="0018386D">
        <w:t>f</w:t>
      </w:r>
      <w:r w:rsidR="00D338EB" w:rsidRPr="0018386D">
        <w:t>uel</w:t>
      </w:r>
      <w:r w:rsidR="00161749" w:rsidRPr="0018386D">
        <w:t>/e</w:t>
      </w:r>
      <w:r w:rsidR="00050C31" w:rsidRPr="0018386D">
        <w:t xml:space="preserve">nergy </w:t>
      </w:r>
      <w:r w:rsidR="00D338EB" w:rsidRPr="0018386D">
        <w:t xml:space="preserve">consumption = </w:t>
      </w:r>
      <w:r w:rsidR="00050C31" w:rsidRPr="0018386D">
        <w:t xml:space="preserve">units </w:t>
      </w:r>
      <w:r w:rsidR="00D338EB" w:rsidRPr="0018386D">
        <w:t xml:space="preserve">of </w:t>
      </w:r>
      <w:r w:rsidR="00050C31" w:rsidRPr="0018386D">
        <w:t xml:space="preserve">energy </w:t>
      </w:r>
      <w:r w:rsidR="00D338EB" w:rsidRPr="0018386D">
        <w:t>per 100</w:t>
      </w:r>
      <w:r w:rsidR="002A0AC2" w:rsidRPr="0018386D">
        <w:t xml:space="preserve"> </w:t>
      </w:r>
      <w:r w:rsidR="00D338EB" w:rsidRPr="0018386D">
        <w:t>km travelled</w:t>
      </w:r>
    </w:p>
    <w:p w14:paraId="65092182" w14:textId="64865F4B" w:rsidR="00D338EB" w:rsidRPr="0018386D" w:rsidRDefault="009B64D6" w:rsidP="00DD3106">
      <w:pPr>
        <w:pStyle w:val="Bullet"/>
        <w:jc w:val="both"/>
      </w:pPr>
      <w:r w:rsidRPr="0018386D">
        <w:t>e</w:t>
      </w:r>
      <w:r w:rsidR="00D338EB" w:rsidRPr="0018386D">
        <w:t xml:space="preserve">mission factor = the emission factor </w:t>
      </w:r>
      <w:r w:rsidR="0070705A" w:rsidRPr="0018386D">
        <w:t>from</w:t>
      </w:r>
      <w:r w:rsidR="00D338EB" w:rsidRPr="0018386D">
        <w:t xml:space="preserve"> </w:t>
      </w:r>
      <w:hyperlink w:anchor="table4">
        <w:r w:rsidR="0030081A" w:rsidRPr="0018386D">
          <w:rPr>
            <w:rStyle w:val="Hyperlink"/>
          </w:rPr>
          <w:t>table 4</w:t>
        </w:r>
      </w:hyperlink>
      <w:r w:rsidR="005B74D6" w:rsidRPr="0018386D">
        <w:rPr>
          <w:color w:val="32809C" w:themeColor="accent2"/>
        </w:rPr>
        <w:t xml:space="preserve"> </w:t>
      </w:r>
      <w:r w:rsidR="0070705A" w:rsidRPr="0018386D">
        <w:t xml:space="preserve">or </w:t>
      </w:r>
      <w:hyperlink w:anchor="table9">
        <w:r w:rsidR="00CD647B" w:rsidRPr="0018386D">
          <w:rPr>
            <w:rStyle w:val="Hyperlink"/>
          </w:rPr>
          <w:t>table 9</w:t>
        </w:r>
      </w:hyperlink>
    </w:p>
    <w:p w14:paraId="65092183" w14:textId="2692D0F3" w:rsidR="00D6183A" w:rsidRPr="0018386D" w:rsidRDefault="00D338EB" w:rsidP="00DD3106">
      <w:pPr>
        <w:pStyle w:val="BodyText"/>
      </w:pPr>
      <w:r w:rsidRPr="0018386D">
        <w:t xml:space="preserve">This allows </w:t>
      </w:r>
      <w:r w:rsidR="006A0E82" w:rsidRPr="0018386D">
        <w:t xml:space="preserve">you </w:t>
      </w:r>
      <w:r w:rsidRPr="0018386D">
        <w:t xml:space="preserve">to use distance travelled as a unit for calculating emissions. </w:t>
      </w:r>
      <w:r w:rsidR="00563393" w:rsidRPr="0018386D">
        <w:t>I</w:t>
      </w:r>
      <w:r w:rsidRPr="0018386D">
        <w:t xml:space="preserve">f there </w:t>
      </w:r>
      <w:r w:rsidR="0003097B" w:rsidRPr="0018386D">
        <w:t>are</w:t>
      </w:r>
      <w:r w:rsidRPr="0018386D">
        <w:t xml:space="preserve"> data on the quantity of fuel used</w:t>
      </w:r>
      <w:r w:rsidR="00563393" w:rsidRPr="0018386D">
        <w:t>,</w:t>
      </w:r>
      <w:r w:rsidRPr="0018386D">
        <w:t xml:space="preserve"> refer to </w:t>
      </w:r>
      <w:r w:rsidR="00565DE0" w:rsidRPr="0018386D">
        <w:t>transport fuel emission factors.</w:t>
      </w:r>
    </w:p>
    <w:p w14:paraId="65092184" w14:textId="19FB1352" w:rsidR="00E61463" w:rsidRPr="0018386D" w:rsidRDefault="4D8FF3D4" w:rsidP="00DD3106">
      <w:pPr>
        <w:pStyle w:val="Heading3"/>
        <w:numPr>
          <w:ilvl w:val="2"/>
          <w:numId w:val="8"/>
        </w:numPr>
        <w:spacing w:before="320"/>
        <w:jc w:val="both"/>
      </w:pPr>
      <w:bookmarkStart w:id="503" w:name="_Toc532904902"/>
      <w:r w:rsidRPr="0018386D">
        <w:t xml:space="preserve">Assumptions, </w:t>
      </w:r>
      <w:proofErr w:type="gramStart"/>
      <w:r w:rsidRPr="0018386D">
        <w:t>limitations</w:t>
      </w:r>
      <w:proofErr w:type="gramEnd"/>
      <w:r w:rsidRPr="0018386D">
        <w:t xml:space="preserve"> and uncertainties</w:t>
      </w:r>
      <w:bookmarkEnd w:id="503"/>
    </w:p>
    <w:p w14:paraId="155CBF8B" w14:textId="56770361" w:rsidR="008C4755" w:rsidRPr="0018386D" w:rsidRDefault="008C4755" w:rsidP="00DD3106">
      <w:pPr>
        <w:pStyle w:val="BodyText"/>
      </w:pPr>
      <w:r w:rsidRPr="0018386D">
        <w:t>The Vehicle Fleet Emissions Model historical year results have been carefully calibrated to give</w:t>
      </w:r>
      <w:r w:rsidR="00587275" w:rsidRPr="0018386D">
        <w:t> </w:t>
      </w:r>
      <w:r w:rsidRPr="0018386D">
        <w:t xml:space="preserve">a total road fuel use that matches MBIE’s road fuel sales figures. The sources used to develop these emission factors will have inbuilt assumptions, </w:t>
      </w:r>
      <w:proofErr w:type="gramStart"/>
      <w:r w:rsidRPr="0018386D">
        <w:t>limitations</w:t>
      </w:r>
      <w:proofErr w:type="gramEnd"/>
      <w:r w:rsidRPr="0018386D">
        <w:t xml:space="preserve"> and uncertainties. To</w:t>
      </w:r>
      <w:r w:rsidR="00587275" w:rsidRPr="0018386D">
        <w:t> </w:t>
      </w:r>
      <w:r w:rsidRPr="0018386D">
        <w:t>investigate these, see the documents referenced.</w:t>
      </w:r>
    </w:p>
    <w:p w14:paraId="6509218D" w14:textId="50210396" w:rsidR="00321918" w:rsidRPr="0018386D" w:rsidRDefault="00321918" w:rsidP="00DD3106">
      <w:pPr>
        <w:pStyle w:val="Heading2"/>
        <w:numPr>
          <w:ilvl w:val="1"/>
          <w:numId w:val="8"/>
        </w:numPr>
        <w:spacing w:before="320"/>
        <w:jc w:val="both"/>
      </w:pPr>
      <w:bookmarkStart w:id="504" w:name="_Air_travel"/>
      <w:bookmarkStart w:id="505" w:name="_Ref529971822"/>
      <w:bookmarkStart w:id="506" w:name="_Toc532904903"/>
      <w:bookmarkStart w:id="507" w:name="_Toc600585"/>
      <w:bookmarkStart w:id="508" w:name="_Toc140048915"/>
      <w:bookmarkStart w:id="509" w:name="airtravel"/>
      <w:bookmarkEnd w:id="504"/>
      <w:r w:rsidRPr="0018386D">
        <w:t>Air travel</w:t>
      </w:r>
      <w:bookmarkEnd w:id="505"/>
      <w:bookmarkEnd w:id="506"/>
      <w:bookmarkEnd w:id="507"/>
      <w:bookmarkEnd w:id="508"/>
    </w:p>
    <w:bookmarkEnd w:id="509"/>
    <w:p w14:paraId="40B01858" w14:textId="666BF886" w:rsidR="00B154CD" w:rsidRPr="0018386D" w:rsidRDefault="003A2129" w:rsidP="00DD3106">
      <w:pPr>
        <w:pStyle w:val="BodyText"/>
      </w:pPr>
      <w:r w:rsidRPr="0018386D">
        <w:t>This section covers emission factors</w:t>
      </w:r>
      <w:r w:rsidR="00DA546C" w:rsidRPr="0018386D">
        <w:t xml:space="preserve"> for</w:t>
      </w:r>
      <w:r w:rsidRPr="0018386D">
        <w:t xml:space="preserve"> domestic and international air travel </w:t>
      </w:r>
      <w:r w:rsidR="00A6029F" w:rsidRPr="0018386D">
        <w:t>for o</w:t>
      </w:r>
      <w:r w:rsidR="003F0ED7" w:rsidRPr="0018386D">
        <w:t xml:space="preserve">rganisations seeking to determine the emissions from </w:t>
      </w:r>
      <w:r w:rsidR="009B62C1" w:rsidRPr="0018386D">
        <w:t>business travel</w:t>
      </w:r>
      <w:r w:rsidR="00A6029F" w:rsidRPr="0018386D">
        <w:t>.</w:t>
      </w:r>
      <w:r w:rsidRPr="0018386D">
        <w:t xml:space="preserve"> </w:t>
      </w:r>
    </w:p>
    <w:p w14:paraId="264AD4EE" w14:textId="7E7A8195" w:rsidR="000131B5" w:rsidRPr="0018386D" w:rsidRDefault="000131B5" w:rsidP="00DD3106">
      <w:pPr>
        <w:pStyle w:val="Heading3"/>
        <w:numPr>
          <w:ilvl w:val="2"/>
          <w:numId w:val="8"/>
        </w:numPr>
        <w:spacing w:before="320"/>
        <w:jc w:val="both"/>
      </w:pPr>
      <w:r w:rsidRPr="0018386D">
        <w:t xml:space="preserve">Overview of changes since previous update </w:t>
      </w:r>
    </w:p>
    <w:p w14:paraId="78E55B55" w14:textId="7D89D576" w:rsidR="00B61F82" w:rsidRPr="0018386D" w:rsidRDefault="70426DC2" w:rsidP="00DD3106">
      <w:pPr>
        <w:pStyle w:val="BodyText"/>
      </w:pPr>
      <w:bookmarkStart w:id="510" w:name="_Toc532904904"/>
      <w:r w:rsidRPr="0018386D">
        <w:t>T</w:t>
      </w:r>
      <w:r w:rsidR="6EAD5CDB" w:rsidRPr="0018386D">
        <w:t>h</w:t>
      </w:r>
      <w:r w:rsidR="16A11640" w:rsidRPr="0018386D">
        <w:t xml:space="preserve">e </w:t>
      </w:r>
      <w:r w:rsidR="5E791070" w:rsidRPr="0018386D">
        <w:t>d</w:t>
      </w:r>
      <w:r w:rsidR="16A11640" w:rsidRPr="0018386D">
        <w:t xml:space="preserve">omestic air travel factors have </w:t>
      </w:r>
      <w:r w:rsidR="6EAD5CDB" w:rsidRPr="0018386D">
        <w:t xml:space="preserve">been replicated from the 2022 edition of the </w:t>
      </w:r>
      <w:r w:rsidR="0086376E" w:rsidRPr="0018386D">
        <w:t>g</w:t>
      </w:r>
      <w:r w:rsidR="6EAD5CDB" w:rsidRPr="0018386D">
        <w:t xml:space="preserve">uidance due to </w:t>
      </w:r>
      <w:r w:rsidR="1D0511A5" w:rsidRPr="0018386D">
        <w:t xml:space="preserve">incomplete </w:t>
      </w:r>
      <w:r w:rsidR="6EAD5CDB" w:rsidRPr="0018386D">
        <w:t xml:space="preserve">data </w:t>
      </w:r>
      <w:r w:rsidR="0086376E" w:rsidRPr="0018386D">
        <w:t>that</w:t>
      </w:r>
      <w:r w:rsidR="0D744C19" w:rsidRPr="0018386D">
        <w:t xml:space="preserve"> affect</w:t>
      </w:r>
      <w:r w:rsidR="0086376E" w:rsidRPr="0018386D">
        <w:t>ed</w:t>
      </w:r>
      <w:r w:rsidR="0D744C19" w:rsidRPr="0018386D">
        <w:t xml:space="preserve"> some of the more recent data</w:t>
      </w:r>
      <w:r w:rsidR="1E371717" w:rsidRPr="0018386D">
        <w:t>.</w:t>
      </w:r>
      <w:r w:rsidR="6EAD5CDB" w:rsidRPr="0018386D">
        <w:t xml:space="preserve"> </w:t>
      </w:r>
      <w:r w:rsidR="238D05A9" w:rsidRPr="0018386D">
        <w:t>As such, the AR4 values for aviation fuel have been retained</w:t>
      </w:r>
      <w:r w:rsidR="0EAE0423" w:rsidRPr="0018386D">
        <w:t>, which aligns with the international air travel factors</w:t>
      </w:r>
      <w:r w:rsidR="238D05A9" w:rsidRPr="0018386D">
        <w:t>.</w:t>
      </w:r>
    </w:p>
    <w:p w14:paraId="0E075DCB" w14:textId="20941D52" w:rsidR="001F793A" w:rsidRPr="0018386D" w:rsidRDefault="001F793A" w:rsidP="00DD3106">
      <w:pPr>
        <w:pStyle w:val="Heading3"/>
        <w:numPr>
          <w:ilvl w:val="2"/>
          <w:numId w:val="8"/>
        </w:numPr>
        <w:spacing w:before="320"/>
        <w:jc w:val="both"/>
      </w:pPr>
      <w:r w:rsidRPr="0018386D">
        <w:t>Domestic air travel</w:t>
      </w:r>
    </w:p>
    <w:p w14:paraId="2116961F" w14:textId="7D562084" w:rsidR="0090343A" w:rsidRPr="0018386D" w:rsidRDefault="0090343A" w:rsidP="00DD3106">
      <w:pPr>
        <w:pStyle w:val="BodyText"/>
      </w:pPr>
      <w:bookmarkStart w:id="511" w:name="_Ref529841178"/>
      <w:bookmarkStart w:id="512" w:name="table36"/>
      <w:bookmarkStart w:id="513" w:name="_Ref529841145"/>
      <w:bookmarkEnd w:id="510"/>
      <w:r w:rsidRPr="0018386D">
        <w:t>This section provides emission factors based on data from 202</w:t>
      </w:r>
      <w:r w:rsidR="618D13C6" w:rsidRPr="0018386D">
        <w:t>0</w:t>
      </w:r>
      <w:r w:rsidRPr="0018386D">
        <w:t xml:space="preserve">. Domestic air travel is a common source of indirect (Scope 3) emissions for many New Zealand organisations. </w:t>
      </w:r>
    </w:p>
    <w:p w14:paraId="7A89FA07" w14:textId="7A07D501" w:rsidR="0090343A" w:rsidRPr="0018386D" w:rsidRDefault="6A0458A0" w:rsidP="00DD3106">
      <w:pPr>
        <w:pStyle w:val="BodyText"/>
      </w:pPr>
      <w:r w:rsidRPr="0018386D">
        <w:t>For air travel emission factors, multipliers or other corrections may be applied to account for</w:t>
      </w:r>
      <w:r w:rsidR="36943771" w:rsidRPr="0018386D">
        <w:t> </w:t>
      </w:r>
      <w:r w:rsidRPr="0018386D">
        <w:t xml:space="preserve">the radiative forcing of emissions arising from aircraft transport at altitude (jet aircraft). Radiative forcing helps organisations account for the wider climate effects of aviation, including water vapour and indirect GHGs. This is an area of active research and uncertainty, aiming to express the relationship between emissions and the climate warming effects of aviation, but there is yet to be consensus on this aspect. </w:t>
      </w:r>
    </w:p>
    <w:p w14:paraId="115A28F2" w14:textId="77777777" w:rsidR="0090343A" w:rsidRPr="0018386D" w:rsidRDefault="0090343A" w:rsidP="00DD3106">
      <w:pPr>
        <w:pStyle w:val="BodyText"/>
        <w:rPr>
          <w:spacing w:val="-2"/>
        </w:rPr>
      </w:pPr>
      <w:r w:rsidRPr="0018386D">
        <w:t>In this guidance, emission factors with</w:t>
      </w:r>
      <w:r w:rsidRPr="0018386D">
        <w:rPr>
          <w:spacing w:val="-2"/>
        </w:rPr>
        <w:t xml:space="preserve"> a radiative forcing multiplier refers to the indirect climate change effects (</w:t>
      </w:r>
      <w:r w:rsidRPr="0018386D">
        <w:t>non-CO</w:t>
      </w:r>
      <w:r w:rsidRPr="0018386D">
        <w:rPr>
          <w:vertAlign w:val="subscript"/>
        </w:rPr>
        <w:t>2</w:t>
      </w:r>
      <w:r w:rsidRPr="0018386D">
        <w:t xml:space="preserve"> emissions eg, water vapour, contrails, NOx). Emission factors without a radiative forcing multiplier refers to the direct climate change effects (CO</w:t>
      </w:r>
      <w:r w:rsidRPr="0018386D">
        <w:rPr>
          <w:vertAlign w:val="subscript"/>
        </w:rPr>
        <w:t>2</w:t>
      </w:r>
      <w:r w:rsidRPr="0018386D">
        <w:t>, CH</w:t>
      </w:r>
      <w:r w:rsidRPr="0018386D">
        <w:rPr>
          <w:vertAlign w:val="subscript"/>
        </w:rPr>
        <w:t>4</w:t>
      </w:r>
      <w:r w:rsidRPr="0018386D">
        <w:t xml:space="preserve"> and N</w:t>
      </w:r>
      <w:r w:rsidRPr="0018386D">
        <w:rPr>
          <w:vertAlign w:val="subscript"/>
        </w:rPr>
        <w:t>2</w:t>
      </w:r>
      <w:r w:rsidRPr="0018386D">
        <w:t>O).</w:t>
      </w:r>
      <w:r w:rsidRPr="0018386D">
        <w:rPr>
          <w:spacing w:val="-2"/>
        </w:rPr>
        <w:t xml:space="preserve"> If multipliers are applied, organisations should disclose the specific factor used including its source and produce </w:t>
      </w:r>
      <w:bookmarkStart w:id="514" w:name="_Hlk532893587"/>
      <w:r w:rsidRPr="0018386D">
        <w:rPr>
          <w:spacing w:val="-2"/>
        </w:rPr>
        <w:t>comparable reporting. Therefore, avoid reporting with air travel conversion factors in one year and without in another year, as this may skew the interpretation of your reporting.</w:t>
      </w:r>
    </w:p>
    <w:p w14:paraId="55D384AA" w14:textId="1A9021E8" w:rsidR="0090343A" w:rsidRPr="0018386D" w:rsidRDefault="0090343A" w:rsidP="00DD3106">
      <w:pPr>
        <w:pStyle w:val="BodyText"/>
        <w:spacing w:before="100" w:after="100"/>
        <w:jc w:val="both"/>
        <w:rPr>
          <w:spacing w:val="-2"/>
        </w:rPr>
      </w:pPr>
      <w:r w:rsidRPr="0018386D">
        <w:rPr>
          <w:spacing w:val="-2"/>
        </w:rPr>
        <w:lastRenderedPageBreak/>
        <w:t>In terms of small aircraft, a radiative forcing multiplier may not be required given the lower altitude at which these aircrafts typically fly. However, these emission factors are provided in the tables below for completeness, and for users wanting to take a conservative approach to their reporting.</w:t>
      </w:r>
      <w:bookmarkEnd w:id="514"/>
    </w:p>
    <w:p w14:paraId="2E9552B0" w14:textId="3A18B9CF" w:rsidR="0090343A" w:rsidRPr="0018386D" w:rsidRDefault="00C7627E" w:rsidP="00DD3106">
      <w:pPr>
        <w:pStyle w:val="BodyText"/>
      </w:pPr>
      <w:hyperlink w:anchor="table36two" w:history="1">
        <w:r w:rsidR="0090343A" w:rsidRPr="0018386D">
          <w:rPr>
            <w:rStyle w:val="Hyperlink"/>
            <w:spacing w:val="-2"/>
          </w:rPr>
          <w:t>Table 36</w:t>
        </w:r>
      </w:hyperlink>
      <w:r w:rsidR="0090343A" w:rsidRPr="0018386D">
        <w:rPr>
          <w:spacing w:val="-2"/>
        </w:rPr>
        <w:t xml:space="preserve"> provides the emission factors without the radiative forcing multiplier applied. </w:t>
      </w:r>
      <w:hyperlink w:anchor="table37" w:history="1">
        <w:r w:rsidR="0090343A" w:rsidRPr="0018386D">
          <w:rPr>
            <w:rStyle w:val="Hyperlink"/>
            <w:spacing w:val="-2"/>
          </w:rPr>
          <w:t>Table 37</w:t>
        </w:r>
      </w:hyperlink>
      <w:r w:rsidR="0090343A" w:rsidRPr="0018386D">
        <w:rPr>
          <w:color w:val="32809C" w:themeColor="accent2"/>
        </w:rPr>
        <w:t xml:space="preserve"> </w:t>
      </w:r>
      <w:r w:rsidR="0090343A" w:rsidRPr="0018386D">
        <w:t>provides emission factors with a radiative forcing multiplier of 1.9 applied.</w:t>
      </w:r>
      <w:r w:rsidR="0090343A" w:rsidRPr="0018386D">
        <w:rPr>
          <w:rStyle w:val="FootnoteReference"/>
        </w:rPr>
        <w:footnoteReference w:id="32"/>
      </w:r>
      <w:r w:rsidR="0090343A" w:rsidRPr="0018386D">
        <w:rPr>
          <w:vertAlign w:val="superscript"/>
        </w:rPr>
        <w:t xml:space="preserve">, </w:t>
      </w:r>
      <w:r w:rsidR="0090343A" w:rsidRPr="0018386D">
        <w:rPr>
          <w:rStyle w:val="FootnoteReference"/>
        </w:rPr>
        <w:footnoteReference w:id="33"/>
      </w:r>
    </w:p>
    <w:p w14:paraId="65092190" w14:textId="4D53AFE6" w:rsidR="00C02E9D" w:rsidRPr="0018386D" w:rsidRDefault="00C02E9D" w:rsidP="00DD3106">
      <w:pPr>
        <w:pStyle w:val="Tableheading"/>
      </w:pPr>
      <w:bookmarkStart w:id="515" w:name="_Toc111536641"/>
      <w:bookmarkStart w:id="516" w:name="_Toc140048976"/>
      <w:r w:rsidRPr="0018386D">
        <w:t xml:space="preserve">Table </w:t>
      </w:r>
      <w:r w:rsidRPr="0018386D">
        <w:fldChar w:fldCharType="begin"/>
      </w:r>
      <w:r w:rsidRPr="0018386D">
        <w:instrText>SEQ Table \* ARABIC</w:instrText>
      </w:r>
      <w:r w:rsidRPr="0018386D">
        <w:fldChar w:fldCharType="separate"/>
      </w:r>
      <w:r w:rsidR="003E141C" w:rsidRPr="0018386D">
        <w:t>36</w:t>
      </w:r>
      <w:r w:rsidRPr="0018386D">
        <w:fldChar w:fldCharType="end"/>
      </w:r>
      <w:bookmarkEnd w:id="511"/>
      <w:bookmarkEnd w:id="512"/>
      <w:r w:rsidR="00563393" w:rsidRPr="0018386D">
        <w:t>:</w:t>
      </w:r>
      <w:r w:rsidR="00563393" w:rsidRPr="0018386D">
        <w:tab/>
      </w:r>
      <w:r w:rsidRPr="0018386D">
        <w:t>Domestic air travel emission factors</w:t>
      </w:r>
      <w:bookmarkEnd w:id="513"/>
      <w:r w:rsidR="00054D44" w:rsidRPr="0018386D">
        <w:t xml:space="preserve"> with</w:t>
      </w:r>
      <w:r w:rsidR="00CF0249" w:rsidRPr="0018386D">
        <w:t>out</w:t>
      </w:r>
      <w:r w:rsidR="00054D44" w:rsidRPr="0018386D">
        <w:t xml:space="preserve"> </w:t>
      </w:r>
      <w:r w:rsidR="00CF1B7F" w:rsidRPr="0018386D">
        <w:t xml:space="preserve">a </w:t>
      </w:r>
      <w:r w:rsidR="00054D44" w:rsidRPr="0018386D">
        <w:t>radiative forcing</w:t>
      </w:r>
      <w:r w:rsidR="00CF1B7F" w:rsidRPr="0018386D">
        <w:t xml:space="preserve"> multiplier</w:t>
      </w:r>
      <w:bookmarkStart w:id="517" w:name="table36two"/>
      <w:bookmarkEnd w:id="515"/>
      <w:bookmarkEnd w:id="516"/>
      <w:bookmarkEnd w:id="517"/>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487"/>
        <w:gridCol w:w="612"/>
        <w:gridCol w:w="1293"/>
        <w:gridCol w:w="1681"/>
        <w:gridCol w:w="1681"/>
        <w:gridCol w:w="1746"/>
      </w:tblGrid>
      <w:tr w:rsidR="00901C7E" w:rsidRPr="0018386D" w14:paraId="683AED34" w14:textId="77777777" w:rsidTr="008C06A1">
        <w:trPr>
          <w:divId w:val="714159103"/>
        </w:trPr>
        <w:tc>
          <w:tcPr>
            <w:tcW w:w="1487" w:type="dxa"/>
            <w:shd w:val="clear" w:color="auto" w:fill="1B556B" w:themeFill="text2"/>
            <w:noWrap/>
            <w:vAlign w:val="bottom"/>
            <w:hideMark/>
          </w:tcPr>
          <w:p w14:paraId="420CDA70" w14:textId="57589CAB" w:rsidR="008E2ED2" w:rsidRPr="0018386D" w:rsidRDefault="008E2ED2" w:rsidP="00DD3106">
            <w:pPr>
              <w:pStyle w:val="TableTextbold"/>
              <w:spacing w:before="40" w:after="40"/>
              <w:rPr>
                <w:color w:val="FFFFFF" w:themeColor="background1"/>
              </w:rPr>
            </w:pPr>
            <w:bookmarkStart w:id="518" w:name="_1746366819"/>
            <w:bookmarkStart w:id="519" w:name="_1745997844"/>
            <w:bookmarkStart w:id="520" w:name="_1746254069"/>
            <w:bookmarkStart w:id="521" w:name="_1747051264"/>
            <w:bookmarkEnd w:id="518"/>
            <w:bookmarkEnd w:id="519"/>
            <w:bookmarkEnd w:id="520"/>
            <w:bookmarkEnd w:id="521"/>
            <w:r w:rsidRPr="0018386D">
              <w:rPr>
                <w:color w:val="FFFFFF" w:themeColor="background1"/>
              </w:rPr>
              <w:t>Emission source</w:t>
            </w:r>
          </w:p>
        </w:tc>
        <w:tc>
          <w:tcPr>
            <w:tcW w:w="612" w:type="dxa"/>
            <w:shd w:val="clear" w:color="auto" w:fill="1B556B" w:themeFill="text2"/>
            <w:noWrap/>
            <w:vAlign w:val="bottom"/>
            <w:hideMark/>
          </w:tcPr>
          <w:p w14:paraId="0224E251"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293" w:type="dxa"/>
            <w:shd w:val="clear" w:color="auto" w:fill="1B556B" w:themeFill="text2"/>
            <w:noWrap/>
            <w:vAlign w:val="bottom"/>
            <w:hideMark/>
          </w:tcPr>
          <w:p w14:paraId="5C0AF8EB" w14:textId="47FF63F1"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681" w:type="dxa"/>
            <w:shd w:val="clear" w:color="auto" w:fill="1B556B" w:themeFill="text2"/>
            <w:noWrap/>
            <w:vAlign w:val="bottom"/>
            <w:hideMark/>
          </w:tcPr>
          <w:p w14:paraId="2BFC31C1" w14:textId="03EAF5BF" w:rsidR="008E2ED2" w:rsidRPr="0018386D" w:rsidRDefault="008E2ED2" w:rsidP="00DD3106">
            <w:pPr>
              <w:pStyle w:val="TableTextbold"/>
              <w:spacing w:before="40" w:after="40"/>
              <w:rPr>
                <w:color w:val="FFFFFF" w:themeColor="background1"/>
              </w:rPr>
            </w:pPr>
            <w:r w:rsidRPr="0018386D">
              <w:rPr>
                <w:color w:val="FFFFFF" w:themeColor="background1"/>
              </w:rPr>
              <w:t>CO₂ (kg CO₂</w:t>
            </w:r>
            <w:r w:rsidRPr="0018386D">
              <w:rPr>
                <w:color w:val="FFFFFF" w:themeColor="background1"/>
              </w:rPr>
              <w:noBreakHyphen/>
              <w:t>e/unit)</w:t>
            </w:r>
          </w:p>
        </w:tc>
        <w:tc>
          <w:tcPr>
            <w:tcW w:w="1681" w:type="dxa"/>
            <w:shd w:val="clear" w:color="auto" w:fill="1B556B" w:themeFill="text2"/>
            <w:noWrap/>
            <w:vAlign w:val="bottom"/>
            <w:hideMark/>
          </w:tcPr>
          <w:p w14:paraId="050D968E" w14:textId="582DFBFD" w:rsidR="008E2ED2" w:rsidRPr="0018386D" w:rsidRDefault="008E2ED2" w:rsidP="00DD3106">
            <w:pPr>
              <w:pStyle w:val="TableTextbold"/>
              <w:spacing w:before="40" w:after="40"/>
              <w:rPr>
                <w:color w:val="FFFFFF" w:themeColor="background1"/>
              </w:rPr>
            </w:pPr>
            <w:r w:rsidRPr="0018386D">
              <w:rPr>
                <w:color w:val="FFFFFF" w:themeColor="background1"/>
              </w:rPr>
              <w:t>CH₄ (kg CO₂-e/unit)</w:t>
            </w:r>
          </w:p>
        </w:tc>
        <w:tc>
          <w:tcPr>
            <w:tcW w:w="1746" w:type="dxa"/>
            <w:shd w:val="clear" w:color="auto" w:fill="1B556B" w:themeFill="text2"/>
            <w:noWrap/>
            <w:vAlign w:val="bottom"/>
            <w:hideMark/>
          </w:tcPr>
          <w:p w14:paraId="7555661A" w14:textId="4282C48A" w:rsidR="008E2ED2" w:rsidRPr="0018386D" w:rsidRDefault="008E2ED2" w:rsidP="00DD3106">
            <w:pPr>
              <w:pStyle w:val="TableTextbold"/>
              <w:spacing w:before="40" w:after="40"/>
              <w:rPr>
                <w:color w:val="FFFFFF" w:themeColor="background1"/>
              </w:rPr>
            </w:pPr>
            <w:r w:rsidRPr="0018386D">
              <w:rPr>
                <w:color w:val="FFFFFF" w:themeColor="background1"/>
              </w:rPr>
              <w:t>N₂O (kg CO₂-e/unit)</w:t>
            </w:r>
          </w:p>
        </w:tc>
      </w:tr>
      <w:tr w:rsidR="00327C7D" w:rsidRPr="0018386D" w14:paraId="44C70CCA" w14:textId="77777777" w:rsidTr="008C06A1">
        <w:trPr>
          <w:divId w:val="714159103"/>
          <w:trHeight w:val="240"/>
        </w:trPr>
        <w:tc>
          <w:tcPr>
            <w:tcW w:w="1487" w:type="dxa"/>
            <w:shd w:val="clear" w:color="auto" w:fill="FFFFFF" w:themeFill="background1"/>
            <w:noWrap/>
            <w:hideMark/>
          </w:tcPr>
          <w:p w14:paraId="37AAC42D" w14:textId="77777777" w:rsidR="00327C7D" w:rsidRPr="0018386D" w:rsidRDefault="00327C7D" w:rsidP="00DD3106">
            <w:pPr>
              <w:pStyle w:val="TableText"/>
              <w:spacing w:before="40" w:after="40"/>
            </w:pPr>
            <w:r w:rsidRPr="0018386D">
              <w:t>National average</w:t>
            </w:r>
          </w:p>
        </w:tc>
        <w:tc>
          <w:tcPr>
            <w:tcW w:w="612" w:type="dxa"/>
            <w:shd w:val="clear" w:color="auto" w:fill="FFFFFF" w:themeFill="background1"/>
            <w:noWrap/>
            <w:hideMark/>
          </w:tcPr>
          <w:p w14:paraId="2D34B57C" w14:textId="77777777" w:rsidR="00327C7D" w:rsidRPr="0018386D" w:rsidRDefault="00327C7D" w:rsidP="00DD3106">
            <w:pPr>
              <w:pStyle w:val="TableText"/>
              <w:spacing w:before="40" w:after="40"/>
            </w:pPr>
            <w:proofErr w:type="spellStart"/>
            <w:r w:rsidRPr="0018386D">
              <w:t>pkm</w:t>
            </w:r>
            <w:proofErr w:type="spellEnd"/>
          </w:p>
        </w:tc>
        <w:tc>
          <w:tcPr>
            <w:tcW w:w="1293" w:type="dxa"/>
            <w:shd w:val="clear" w:color="auto" w:fill="D2DDE1" w:themeFill="background2"/>
            <w:noWrap/>
            <w:hideMark/>
          </w:tcPr>
          <w:p w14:paraId="5A23264B" w14:textId="73ECDECE" w:rsidR="00327C7D" w:rsidRPr="0018386D" w:rsidRDefault="00327C7D" w:rsidP="00DD3106">
            <w:pPr>
              <w:pStyle w:val="TableText"/>
              <w:spacing w:before="40" w:after="40"/>
            </w:pPr>
            <w:r w:rsidRPr="0018386D">
              <w:t>0.164</w:t>
            </w:r>
          </w:p>
        </w:tc>
        <w:tc>
          <w:tcPr>
            <w:tcW w:w="1681" w:type="dxa"/>
            <w:shd w:val="clear" w:color="auto" w:fill="FFFFFF" w:themeFill="background1"/>
            <w:noWrap/>
            <w:hideMark/>
          </w:tcPr>
          <w:p w14:paraId="1180F9B2" w14:textId="612C7B72" w:rsidR="00327C7D" w:rsidRPr="0018386D" w:rsidRDefault="00327C7D" w:rsidP="00DD3106">
            <w:pPr>
              <w:pStyle w:val="TableText"/>
              <w:spacing w:before="40" w:after="40"/>
            </w:pPr>
            <w:r w:rsidRPr="0018386D">
              <w:t>0.158</w:t>
            </w:r>
          </w:p>
        </w:tc>
        <w:tc>
          <w:tcPr>
            <w:tcW w:w="1681" w:type="dxa"/>
            <w:shd w:val="clear" w:color="auto" w:fill="FFFFFF" w:themeFill="background1"/>
            <w:noWrap/>
            <w:hideMark/>
          </w:tcPr>
          <w:p w14:paraId="1BF7CB1A" w14:textId="0288B2F0" w:rsidR="00327C7D" w:rsidRPr="0018386D" w:rsidRDefault="00327C7D" w:rsidP="00DD3106">
            <w:pPr>
              <w:pStyle w:val="TableText"/>
              <w:spacing w:before="40" w:after="40"/>
            </w:pPr>
            <w:r w:rsidRPr="0018386D">
              <w:t>0.0011</w:t>
            </w:r>
          </w:p>
        </w:tc>
        <w:tc>
          <w:tcPr>
            <w:tcW w:w="1746" w:type="dxa"/>
            <w:shd w:val="clear" w:color="auto" w:fill="FFFFFF" w:themeFill="background1"/>
            <w:noWrap/>
            <w:hideMark/>
          </w:tcPr>
          <w:p w14:paraId="0C376915" w14:textId="51455197" w:rsidR="00327C7D" w:rsidRPr="0018386D" w:rsidRDefault="00327C7D" w:rsidP="00DD3106">
            <w:pPr>
              <w:pStyle w:val="TableText"/>
              <w:spacing w:before="40" w:after="40"/>
            </w:pPr>
            <w:r w:rsidRPr="0018386D">
              <w:t>0.0044</w:t>
            </w:r>
          </w:p>
        </w:tc>
      </w:tr>
      <w:tr w:rsidR="00327C7D" w:rsidRPr="0018386D" w14:paraId="3F2DBF8D" w14:textId="77777777" w:rsidTr="00E84E9F">
        <w:trPr>
          <w:divId w:val="714159103"/>
          <w:trHeight w:val="240"/>
        </w:trPr>
        <w:tc>
          <w:tcPr>
            <w:tcW w:w="1487" w:type="dxa"/>
            <w:tcBorders>
              <w:bottom w:val="single" w:sz="4" w:space="0" w:color="1B556B" w:themeColor="text2"/>
            </w:tcBorders>
            <w:shd w:val="clear" w:color="auto" w:fill="FFFFFF" w:themeFill="background1"/>
            <w:noWrap/>
            <w:hideMark/>
          </w:tcPr>
          <w:p w14:paraId="23428A22" w14:textId="77777777" w:rsidR="00327C7D" w:rsidRPr="0018386D" w:rsidRDefault="00327C7D" w:rsidP="00DD3106">
            <w:pPr>
              <w:pStyle w:val="TableText"/>
              <w:spacing w:before="40" w:after="40"/>
            </w:pPr>
            <w:r w:rsidRPr="0018386D">
              <w:t>Large aircraft</w:t>
            </w:r>
          </w:p>
        </w:tc>
        <w:tc>
          <w:tcPr>
            <w:tcW w:w="612" w:type="dxa"/>
            <w:tcBorders>
              <w:bottom w:val="single" w:sz="4" w:space="0" w:color="1B556B" w:themeColor="text2"/>
            </w:tcBorders>
            <w:shd w:val="clear" w:color="auto" w:fill="FFFFFF" w:themeFill="background1"/>
            <w:noWrap/>
            <w:hideMark/>
          </w:tcPr>
          <w:p w14:paraId="4ABA11A5" w14:textId="77777777" w:rsidR="00327C7D" w:rsidRPr="0018386D" w:rsidRDefault="00327C7D" w:rsidP="00DD3106">
            <w:pPr>
              <w:pStyle w:val="TableText"/>
              <w:spacing w:before="40" w:after="40"/>
            </w:pPr>
            <w:proofErr w:type="spellStart"/>
            <w:r w:rsidRPr="0018386D">
              <w:t>pkm</w:t>
            </w:r>
            <w:proofErr w:type="spellEnd"/>
          </w:p>
        </w:tc>
        <w:tc>
          <w:tcPr>
            <w:tcW w:w="1293" w:type="dxa"/>
            <w:tcBorders>
              <w:bottom w:val="single" w:sz="4" w:space="0" w:color="1B556B" w:themeColor="text2"/>
            </w:tcBorders>
            <w:shd w:val="clear" w:color="auto" w:fill="D2DDE1" w:themeFill="background2"/>
            <w:noWrap/>
            <w:hideMark/>
          </w:tcPr>
          <w:p w14:paraId="5F43B1DE" w14:textId="6B57F4BB" w:rsidR="00327C7D" w:rsidRPr="0018386D" w:rsidRDefault="00327C7D" w:rsidP="00DD3106">
            <w:pPr>
              <w:pStyle w:val="TableText"/>
              <w:spacing w:before="40" w:after="40"/>
            </w:pPr>
            <w:r w:rsidRPr="0018386D">
              <w:t>0.097</w:t>
            </w:r>
          </w:p>
        </w:tc>
        <w:tc>
          <w:tcPr>
            <w:tcW w:w="1681" w:type="dxa"/>
            <w:tcBorders>
              <w:bottom w:val="single" w:sz="4" w:space="0" w:color="1B556B" w:themeColor="text2"/>
            </w:tcBorders>
            <w:shd w:val="clear" w:color="auto" w:fill="FFFFFF" w:themeFill="background1"/>
            <w:noWrap/>
            <w:hideMark/>
          </w:tcPr>
          <w:p w14:paraId="430B8410" w14:textId="2854A9D7" w:rsidR="00327C7D" w:rsidRPr="0018386D" w:rsidRDefault="00327C7D" w:rsidP="00DD3106">
            <w:pPr>
              <w:pStyle w:val="TableText"/>
              <w:spacing w:before="40" w:after="40"/>
            </w:pPr>
            <w:r w:rsidRPr="0018386D">
              <w:t>0.093</w:t>
            </w:r>
          </w:p>
        </w:tc>
        <w:tc>
          <w:tcPr>
            <w:tcW w:w="1681" w:type="dxa"/>
            <w:tcBorders>
              <w:bottom w:val="single" w:sz="4" w:space="0" w:color="1B556B" w:themeColor="text2"/>
            </w:tcBorders>
            <w:shd w:val="clear" w:color="auto" w:fill="FFFFFF" w:themeFill="background1"/>
            <w:noWrap/>
            <w:hideMark/>
          </w:tcPr>
          <w:p w14:paraId="2BD641AA" w14:textId="530452FA" w:rsidR="00327C7D" w:rsidRPr="0018386D" w:rsidRDefault="00327C7D" w:rsidP="00DD3106">
            <w:pPr>
              <w:pStyle w:val="TableText"/>
              <w:spacing w:before="40" w:after="40"/>
            </w:pPr>
            <w:r w:rsidRPr="0018386D">
              <w:t>0.0007</w:t>
            </w:r>
          </w:p>
        </w:tc>
        <w:tc>
          <w:tcPr>
            <w:tcW w:w="1746" w:type="dxa"/>
            <w:tcBorders>
              <w:bottom w:val="single" w:sz="4" w:space="0" w:color="1B556B" w:themeColor="text2"/>
            </w:tcBorders>
            <w:shd w:val="clear" w:color="auto" w:fill="FFFFFF" w:themeFill="background1"/>
            <w:noWrap/>
            <w:hideMark/>
          </w:tcPr>
          <w:p w14:paraId="55A1E728" w14:textId="67F031A9" w:rsidR="00327C7D" w:rsidRPr="0018386D" w:rsidRDefault="00327C7D" w:rsidP="00DD3106">
            <w:pPr>
              <w:pStyle w:val="TableText"/>
              <w:spacing w:before="40" w:after="40"/>
            </w:pPr>
            <w:r w:rsidRPr="0018386D">
              <w:t>0.0026</w:t>
            </w:r>
          </w:p>
        </w:tc>
      </w:tr>
      <w:tr w:rsidR="00327C7D" w:rsidRPr="0018386D" w14:paraId="1A5C1246" w14:textId="77777777" w:rsidTr="00E84E9F">
        <w:trPr>
          <w:divId w:val="714159103"/>
          <w:trHeight w:val="240"/>
        </w:trPr>
        <w:tc>
          <w:tcPr>
            <w:tcW w:w="1487" w:type="dxa"/>
            <w:tcBorders>
              <w:bottom w:val="single" w:sz="2" w:space="0" w:color="1B556B" w:themeColor="text2"/>
            </w:tcBorders>
            <w:shd w:val="clear" w:color="auto" w:fill="FFFFFF" w:themeFill="background1"/>
            <w:noWrap/>
            <w:hideMark/>
          </w:tcPr>
          <w:p w14:paraId="591A4BC7" w14:textId="77777777" w:rsidR="00327C7D" w:rsidRPr="0018386D" w:rsidRDefault="00327C7D" w:rsidP="00DD3106">
            <w:pPr>
              <w:pStyle w:val="TableText"/>
              <w:spacing w:before="40" w:after="40"/>
            </w:pPr>
            <w:r w:rsidRPr="0018386D">
              <w:t>Medium aircraft</w:t>
            </w:r>
          </w:p>
        </w:tc>
        <w:tc>
          <w:tcPr>
            <w:tcW w:w="612" w:type="dxa"/>
            <w:tcBorders>
              <w:bottom w:val="single" w:sz="2" w:space="0" w:color="1B556B" w:themeColor="text2"/>
            </w:tcBorders>
            <w:shd w:val="clear" w:color="auto" w:fill="FFFFFF" w:themeFill="background1"/>
            <w:noWrap/>
            <w:hideMark/>
          </w:tcPr>
          <w:p w14:paraId="60D9FD0A" w14:textId="77777777" w:rsidR="00327C7D" w:rsidRPr="0018386D" w:rsidRDefault="00327C7D" w:rsidP="00DD3106">
            <w:pPr>
              <w:pStyle w:val="TableText"/>
              <w:spacing w:before="40" w:after="40"/>
            </w:pPr>
            <w:proofErr w:type="spellStart"/>
            <w:r w:rsidRPr="0018386D">
              <w:t>pkm</w:t>
            </w:r>
            <w:proofErr w:type="spellEnd"/>
          </w:p>
        </w:tc>
        <w:tc>
          <w:tcPr>
            <w:tcW w:w="1293" w:type="dxa"/>
            <w:tcBorders>
              <w:bottom w:val="single" w:sz="2" w:space="0" w:color="1B556B" w:themeColor="text2"/>
            </w:tcBorders>
            <w:shd w:val="clear" w:color="auto" w:fill="D2DDE1" w:themeFill="background2"/>
            <w:noWrap/>
            <w:hideMark/>
          </w:tcPr>
          <w:p w14:paraId="25CD4A1E" w14:textId="24903D00" w:rsidR="00327C7D" w:rsidRPr="0018386D" w:rsidRDefault="00327C7D" w:rsidP="00DD3106">
            <w:pPr>
              <w:pStyle w:val="TableText"/>
              <w:spacing w:before="40" w:after="40"/>
            </w:pPr>
            <w:r w:rsidRPr="0018386D">
              <w:t>0.128</w:t>
            </w:r>
          </w:p>
        </w:tc>
        <w:tc>
          <w:tcPr>
            <w:tcW w:w="1681" w:type="dxa"/>
            <w:tcBorders>
              <w:bottom w:val="single" w:sz="2" w:space="0" w:color="1B556B" w:themeColor="text2"/>
            </w:tcBorders>
            <w:shd w:val="clear" w:color="auto" w:fill="FFFFFF" w:themeFill="background1"/>
            <w:noWrap/>
            <w:hideMark/>
          </w:tcPr>
          <w:p w14:paraId="4FA12070" w14:textId="4C80F726" w:rsidR="00327C7D" w:rsidRPr="0018386D" w:rsidRDefault="00327C7D" w:rsidP="00DD3106">
            <w:pPr>
              <w:pStyle w:val="TableText"/>
              <w:spacing w:before="40" w:after="40"/>
            </w:pPr>
            <w:r w:rsidRPr="0018386D">
              <w:t>0.124</w:t>
            </w:r>
          </w:p>
        </w:tc>
        <w:tc>
          <w:tcPr>
            <w:tcW w:w="1681" w:type="dxa"/>
            <w:tcBorders>
              <w:bottom w:val="single" w:sz="2" w:space="0" w:color="1B556B" w:themeColor="text2"/>
            </w:tcBorders>
            <w:shd w:val="clear" w:color="auto" w:fill="FFFFFF" w:themeFill="background1"/>
            <w:noWrap/>
            <w:hideMark/>
          </w:tcPr>
          <w:p w14:paraId="736643B9" w14:textId="0A9657F5" w:rsidR="00327C7D" w:rsidRPr="0018386D" w:rsidRDefault="00327C7D" w:rsidP="00DD3106">
            <w:pPr>
              <w:pStyle w:val="TableText"/>
              <w:spacing w:before="40" w:after="40"/>
            </w:pPr>
            <w:r w:rsidRPr="0018386D">
              <w:t>0.0009</w:t>
            </w:r>
          </w:p>
        </w:tc>
        <w:tc>
          <w:tcPr>
            <w:tcW w:w="1746" w:type="dxa"/>
            <w:tcBorders>
              <w:bottom w:val="single" w:sz="2" w:space="0" w:color="1B556B" w:themeColor="text2"/>
            </w:tcBorders>
            <w:shd w:val="clear" w:color="auto" w:fill="FFFFFF" w:themeFill="background1"/>
            <w:noWrap/>
            <w:hideMark/>
          </w:tcPr>
          <w:p w14:paraId="354104A6" w14:textId="44B8FBBD" w:rsidR="00327C7D" w:rsidRPr="0018386D" w:rsidRDefault="00327C7D" w:rsidP="00DD3106">
            <w:pPr>
              <w:pStyle w:val="TableText"/>
              <w:spacing w:before="40" w:after="40"/>
            </w:pPr>
            <w:r w:rsidRPr="0018386D">
              <w:t>0.0034</w:t>
            </w:r>
          </w:p>
        </w:tc>
      </w:tr>
    </w:tbl>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487"/>
        <w:gridCol w:w="612"/>
        <w:gridCol w:w="1293"/>
        <w:gridCol w:w="1681"/>
        <w:gridCol w:w="1681"/>
        <w:gridCol w:w="1746"/>
      </w:tblGrid>
      <w:tr w:rsidR="00457797" w:rsidRPr="0018386D" w14:paraId="62761A0B" w14:textId="77777777" w:rsidTr="00E84E9F">
        <w:trPr>
          <w:trHeight w:val="240"/>
        </w:trPr>
        <w:tc>
          <w:tcPr>
            <w:tcW w:w="1487" w:type="dxa"/>
            <w:tcBorders>
              <w:top w:val="single" w:sz="2" w:space="0" w:color="1B556B" w:themeColor="text2"/>
            </w:tcBorders>
            <w:shd w:val="clear" w:color="auto" w:fill="FFFFFF" w:themeFill="background1"/>
            <w:noWrap/>
            <w:hideMark/>
          </w:tcPr>
          <w:p w14:paraId="5935C339" w14:textId="794C2126" w:rsidR="00457797" w:rsidRPr="0018386D" w:rsidRDefault="00457797" w:rsidP="00DD3106">
            <w:pPr>
              <w:pStyle w:val="TableText"/>
              <w:spacing w:before="40" w:after="40"/>
            </w:pPr>
            <w:r w:rsidRPr="0018386D">
              <w:t>Small aircraft</w:t>
            </w:r>
          </w:p>
        </w:tc>
        <w:tc>
          <w:tcPr>
            <w:tcW w:w="612" w:type="dxa"/>
            <w:tcBorders>
              <w:top w:val="single" w:sz="2" w:space="0" w:color="1B556B" w:themeColor="text2"/>
            </w:tcBorders>
            <w:shd w:val="clear" w:color="auto" w:fill="FFFFFF" w:themeFill="background1"/>
            <w:noWrap/>
            <w:hideMark/>
          </w:tcPr>
          <w:p w14:paraId="7E8F3998" w14:textId="77777777" w:rsidR="00457797" w:rsidRPr="0018386D" w:rsidRDefault="00457797" w:rsidP="00DD3106">
            <w:pPr>
              <w:pStyle w:val="TableText"/>
              <w:spacing w:before="40" w:after="40"/>
            </w:pPr>
            <w:proofErr w:type="spellStart"/>
            <w:r w:rsidRPr="0018386D">
              <w:t>pkm</w:t>
            </w:r>
            <w:proofErr w:type="spellEnd"/>
          </w:p>
        </w:tc>
        <w:tc>
          <w:tcPr>
            <w:tcW w:w="1293" w:type="dxa"/>
            <w:tcBorders>
              <w:top w:val="single" w:sz="2" w:space="0" w:color="1B556B" w:themeColor="text2"/>
            </w:tcBorders>
            <w:shd w:val="clear" w:color="auto" w:fill="D2DDE1" w:themeFill="background2"/>
            <w:noWrap/>
            <w:hideMark/>
          </w:tcPr>
          <w:p w14:paraId="57A17EE4" w14:textId="079E622C" w:rsidR="00457797" w:rsidRPr="0018386D" w:rsidRDefault="00457797" w:rsidP="00DD3106">
            <w:pPr>
              <w:pStyle w:val="TableText"/>
              <w:spacing w:before="40" w:after="40"/>
            </w:pPr>
            <w:r w:rsidRPr="0018386D" w:rsidDel="00F075BE">
              <w:t>0.352</w:t>
            </w:r>
          </w:p>
        </w:tc>
        <w:tc>
          <w:tcPr>
            <w:tcW w:w="1681" w:type="dxa"/>
            <w:tcBorders>
              <w:top w:val="single" w:sz="2" w:space="0" w:color="1B556B" w:themeColor="text2"/>
            </w:tcBorders>
            <w:shd w:val="clear" w:color="auto" w:fill="FFFFFF" w:themeFill="background1"/>
            <w:noWrap/>
            <w:hideMark/>
          </w:tcPr>
          <w:p w14:paraId="698DE8A3" w14:textId="6228E3A9" w:rsidR="00457797" w:rsidRPr="0018386D" w:rsidRDefault="00457797" w:rsidP="00DD3106">
            <w:pPr>
              <w:pStyle w:val="TableText"/>
              <w:spacing w:before="40" w:after="40"/>
            </w:pPr>
            <w:r w:rsidRPr="0018386D" w:rsidDel="00F075BE">
              <w:t>0.341</w:t>
            </w:r>
          </w:p>
        </w:tc>
        <w:tc>
          <w:tcPr>
            <w:tcW w:w="1681" w:type="dxa"/>
            <w:tcBorders>
              <w:top w:val="single" w:sz="2" w:space="0" w:color="1B556B" w:themeColor="text2"/>
            </w:tcBorders>
            <w:shd w:val="clear" w:color="auto" w:fill="FFFFFF" w:themeFill="background1"/>
            <w:noWrap/>
            <w:hideMark/>
          </w:tcPr>
          <w:p w14:paraId="0422A011" w14:textId="55B2B4A4" w:rsidR="00457797" w:rsidRPr="0018386D" w:rsidRDefault="00457797" w:rsidP="00DD3106">
            <w:pPr>
              <w:pStyle w:val="TableText"/>
              <w:spacing w:before="40" w:after="40"/>
            </w:pPr>
            <w:r w:rsidRPr="0018386D">
              <w:t>0.0029</w:t>
            </w:r>
          </w:p>
        </w:tc>
        <w:tc>
          <w:tcPr>
            <w:tcW w:w="1746" w:type="dxa"/>
            <w:tcBorders>
              <w:top w:val="single" w:sz="2" w:space="0" w:color="1B556B" w:themeColor="text2"/>
            </w:tcBorders>
            <w:shd w:val="clear" w:color="auto" w:fill="FFFFFF" w:themeFill="background1"/>
            <w:noWrap/>
            <w:hideMark/>
          </w:tcPr>
          <w:p w14:paraId="3F636067" w14:textId="43C8E725" w:rsidR="00457797" w:rsidRPr="0018386D" w:rsidRDefault="00457797" w:rsidP="00DD3106">
            <w:pPr>
              <w:pStyle w:val="TableText"/>
              <w:spacing w:before="40" w:after="40"/>
            </w:pPr>
            <w:r w:rsidRPr="0018386D">
              <w:t>0.0090</w:t>
            </w:r>
          </w:p>
        </w:tc>
      </w:tr>
    </w:tbl>
    <w:p w14:paraId="1F1BF432" w14:textId="6858C57D" w:rsidR="59D9C73E" w:rsidRPr="0018386D" w:rsidRDefault="00F76EF8" w:rsidP="00DD3106">
      <w:pPr>
        <w:pStyle w:val="Note"/>
        <w:spacing w:after="0"/>
      </w:pPr>
      <w:bookmarkStart w:id="522" w:name="_Ref532374474"/>
      <w:r w:rsidRPr="0018386D">
        <w:rPr>
          <w:b/>
          <w:bCs/>
        </w:rPr>
        <w:t>Note</w:t>
      </w:r>
      <w:r w:rsidR="00E416A5" w:rsidRPr="0018386D">
        <w:rPr>
          <w:b/>
          <w:bCs/>
        </w:rPr>
        <w:t>:</w:t>
      </w:r>
      <w:r w:rsidRPr="0018386D">
        <w:t xml:space="preserve"> </w:t>
      </w:r>
      <w:r w:rsidR="00E416A5" w:rsidRPr="0018386D">
        <w:t xml:space="preserve">These </w:t>
      </w:r>
      <w:r w:rsidRPr="0018386D">
        <w:t>numbers are rounded to three</w:t>
      </w:r>
      <w:r w:rsidR="00BA0C39" w:rsidRPr="0018386D">
        <w:t xml:space="preserve"> decim</w:t>
      </w:r>
      <w:r w:rsidR="00D15DE7" w:rsidRPr="0018386D">
        <w:t>al places</w:t>
      </w:r>
      <w:r w:rsidRPr="0018386D">
        <w:t xml:space="preserve"> unless the number is significantly small. </w:t>
      </w:r>
      <w:r w:rsidR="00BA55CB" w:rsidRPr="0018386D">
        <w:br/>
      </w:r>
      <w:r w:rsidR="237986C5" w:rsidRPr="0018386D">
        <w:t>Based on 2020 data</w:t>
      </w:r>
      <w:r w:rsidR="00B45324" w:rsidRPr="0018386D">
        <w:t>.</w:t>
      </w:r>
    </w:p>
    <w:p w14:paraId="23671168" w14:textId="70E93031" w:rsidR="00054D44" w:rsidRPr="0018386D" w:rsidRDefault="00520896" w:rsidP="00DD3106">
      <w:pPr>
        <w:pStyle w:val="Tableheading"/>
      </w:pPr>
      <w:bookmarkStart w:id="523" w:name="table37"/>
      <w:bookmarkStart w:id="524" w:name="_Toc111536644"/>
      <w:bookmarkStart w:id="525" w:name="_Toc140048977"/>
      <w:bookmarkEnd w:id="522"/>
      <w:r w:rsidRPr="0018386D">
        <w:t xml:space="preserve">Table </w:t>
      </w:r>
      <w:r w:rsidRPr="0018386D">
        <w:fldChar w:fldCharType="begin"/>
      </w:r>
      <w:r w:rsidRPr="0018386D">
        <w:instrText>SEQ Table \* ARABIC</w:instrText>
      </w:r>
      <w:r w:rsidRPr="0018386D">
        <w:fldChar w:fldCharType="separate"/>
      </w:r>
      <w:r w:rsidRPr="0018386D">
        <w:t>37</w:t>
      </w:r>
      <w:r w:rsidRPr="0018386D">
        <w:fldChar w:fldCharType="end"/>
      </w:r>
      <w:bookmarkEnd w:id="523"/>
      <w:r w:rsidRPr="0018386D">
        <w:t>:</w:t>
      </w:r>
      <w:r w:rsidR="0011046F" w:rsidRPr="0018386D">
        <w:tab/>
      </w:r>
      <w:r w:rsidR="00054D44" w:rsidRPr="0018386D">
        <w:t xml:space="preserve">Domestic aviation emission factors with </w:t>
      </w:r>
      <w:r w:rsidR="00CF1B7F" w:rsidRPr="0018386D">
        <w:t xml:space="preserve">a </w:t>
      </w:r>
      <w:r w:rsidR="00054D44" w:rsidRPr="0018386D">
        <w:t>radiative forcing</w:t>
      </w:r>
      <w:r w:rsidR="00CF1B7F" w:rsidRPr="0018386D">
        <w:t xml:space="preserve"> multiplier</w:t>
      </w:r>
      <w:bookmarkEnd w:id="524"/>
      <w:bookmarkEnd w:id="525"/>
    </w:p>
    <w:tbl>
      <w:tblPr>
        <w:tblW w:w="8500" w:type="dxa"/>
        <w:tblBorders>
          <w:top w:val="single" w:sz="4" w:space="0" w:color="1B556B" w:themeColor="text2"/>
          <w:bottom w:val="single" w:sz="4" w:space="0" w:color="auto"/>
          <w:insideH w:val="single" w:sz="4" w:space="0" w:color="1B556B" w:themeColor="text2"/>
          <w:insideV w:val="single" w:sz="4" w:space="0" w:color="1B556B" w:themeColor="text2"/>
        </w:tblBorders>
        <w:tblLook w:val="04A0" w:firstRow="1" w:lastRow="0" w:firstColumn="1" w:lastColumn="0" w:noHBand="0" w:noVBand="1"/>
      </w:tblPr>
      <w:tblGrid>
        <w:gridCol w:w="1569"/>
        <w:gridCol w:w="594"/>
        <w:gridCol w:w="1255"/>
        <w:gridCol w:w="1694"/>
        <w:gridCol w:w="1694"/>
        <w:gridCol w:w="1694"/>
      </w:tblGrid>
      <w:tr w:rsidR="00944343" w:rsidRPr="0018386D" w14:paraId="5A5DA7FC" w14:textId="77777777" w:rsidTr="00575E53">
        <w:trPr>
          <w:divId w:val="589851270"/>
          <w:trHeight w:val="240"/>
        </w:trPr>
        <w:tc>
          <w:tcPr>
            <w:tcW w:w="1569" w:type="dxa"/>
            <w:shd w:val="clear" w:color="auto" w:fill="1B556B" w:themeFill="text2"/>
            <w:noWrap/>
            <w:hideMark/>
          </w:tcPr>
          <w:p w14:paraId="38011EE9" w14:textId="70EF975E" w:rsidR="008E2ED2" w:rsidRPr="0018386D" w:rsidRDefault="008E2ED2" w:rsidP="00DD3106">
            <w:pPr>
              <w:pStyle w:val="TableTextbold"/>
              <w:spacing w:before="40" w:after="40"/>
              <w:rPr>
                <w:color w:val="FFFFFF" w:themeColor="background1"/>
              </w:rPr>
            </w:pPr>
            <w:bookmarkStart w:id="526" w:name="_1746366824"/>
            <w:bookmarkStart w:id="527" w:name="_1745997845"/>
            <w:bookmarkStart w:id="528" w:name="_1746254071"/>
            <w:bookmarkStart w:id="529" w:name="_1747051266"/>
            <w:bookmarkEnd w:id="526"/>
            <w:bookmarkEnd w:id="527"/>
            <w:bookmarkEnd w:id="528"/>
            <w:bookmarkEnd w:id="529"/>
            <w:r w:rsidRPr="0018386D">
              <w:rPr>
                <w:color w:val="FFFFFF" w:themeColor="background1"/>
              </w:rPr>
              <w:t>Emission source</w:t>
            </w:r>
          </w:p>
        </w:tc>
        <w:tc>
          <w:tcPr>
            <w:tcW w:w="594" w:type="dxa"/>
            <w:shd w:val="clear" w:color="auto" w:fill="1B556B" w:themeFill="text2"/>
            <w:noWrap/>
            <w:hideMark/>
          </w:tcPr>
          <w:p w14:paraId="1E0BB4C0"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255" w:type="dxa"/>
            <w:shd w:val="clear" w:color="auto" w:fill="1B556B" w:themeFill="text2"/>
            <w:noWrap/>
            <w:hideMark/>
          </w:tcPr>
          <w:p w14:paraId="4221F700" w14:textId="37894085"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694" w:type="dxa"/>
            <w:shd w:val="clear" w:color="auto" w:fill="1B556B" w:themeFill="text2"/>
            <w:noWrap/>
            <w:hideMark/>
          </w:tcPr>
          <w:p w14:paraId="2C0D9F41" w14:textId="310605F4" w:rsidR="008E2ED2" w:rsidRPr="0018386D" w:rsidRDefault="008E2ED2" w:rsidP="00DD3106">
            <w:pPr>
              <w:pStyle w:val="TableTextbold"/>
              <w:spacing w:before="40" w:after="40"/>
              <w:rPr>
                <w:color w:val="FFFFFF" w:themeColor="background1"/>
              </w:rPr>
            </w:pPr>
            <w:r w:rsidRPr="0018386D">
              <w:rPr>
                <w:color w:val="FFFFFF" w:themeColor="background1"/>
              </w:rPr>
              <w:t>CO₂ (kg CO₂</w:t>
            </w:r>
            <w:r w:rsidRPr="0018386D">
              <w:rPr>
                <w:color w:val="FFFFFF" w:themeColor="background1"/>
              </w:rPr>
              <w:noBreakHyphen/>
              <w:t>e/unit)</w:t>
            </w:r>
          </w:p>
        </w:tc>
        <w:tc>
          <w:tcPr>
            <w:tcW w:w="1694" w:type="dxa"/>
            <w:shd w:val="clear" w:color="auto" w:fill="1B556B" w:themeFill="text2"/>
            <w:noWrap/>
            <w:hideMark/>
          </w:tcPr>
          <w:p w14:paraId="21A35BCE" w14:textId="09B2F0B8" w:rsidR="008E2ED2" w:rsidRPr="0018386D" w:rsidRDefault="008E2ED2" w:rsidP="00DD3106">
            <w:pPr>
              <w:pStyle w:val="TableTextbold"/>
              <w:spacing w:before="40" w:after="40"/>
              <w:rPr>
                <w:color w:val="FFFFFF" w:themeColor="background1"/>
              </w:rPr>
            </w:pPr>
            <w:r w:rsidRPr="0018386D">
              <w:rPr>
                <w:color w:val="FFFFFF" w:themeColor="background1"/>
              </w:rPr>
              <w:t>CH₄ (kg CO₂-e/unit)</w:t>
            </w:r>
          </w:p>
        </w:tc>
        <w:tc>
          <w:tcPr>
            <w:tcW w:w="1694" w:type="dxa"/>
            <w:shd w:val="clear" w:color="auto" w:fill="1B556B" w:themeFill="text2"/>
            <w:noWrap/>
            <w:hideMark/>
          </w:tcPr>
          <w:p w14:paraId="1305A37D" w14:textId="653C0AE6" w:rsidR="008E2ED2" w:rsidRPr="0018386D" w:rsidRDefault="008E2ED2" w:rsidP="00DD3106">
            <w:pPr>
              <w:pStyle w:val="TableTextbold"/>
              <w:spacing w:before="40" w:after="40"/>
              <w:rPr>
                <w:color w:val="FFFFFF" w:themeColor="background1"/>
              </w:rPr>
            </w:pPr>
            <w:r w:rsidRPr="0018386D">
              <w:rPr>
                <w:color w:val="FFFFFF" w:themeColor="background1"/>
              </w:rPr>
              <w:t>N₂O (kg CO₂-e/unit)</w:t>
            </w:r>
          </w:p>
        </w:tc>
      </w:tr>
      <w:tr w:rsidR="00D551BE" w:rsidRPr="0018386D" w14:paraId="1A4D29C4" w14:textId="77777777" w:rsidTr="00575E53">
        <w:trPr>
          <w:divId w:val="589851270"/>
          <w:trHeight w:val="240"/>
        </w:trPr>
        <w:tc>
          <w:tcPr>
            <w:tcW w:w="1569" w:type="dxa"/>
            <w:shd w:val="clear" w:color="auto" w:fill="FFFFFF" w:themeFill="background1"/>
            <w:noWrap/>
            <w:hideMark/>
          </w:tcPr>
          <w:p w14:paraId="56024384" w14:textId="77777777" w:rsidR="00D551BE" w:rsidRPr="0018386D" w:rsidRDefault="00D551BE" w:rsidP="00DD3106">
            <w:pPr>
              <w:pStyle w:val="TableText"/>
              <w:spacing w:before="40" w:after="40"/>
            </w:pPr>
            <w:r w:rsidRPr="0018386D">
              <w:t>National average</w:t>
            </w:r>
          </w:p>
        </w:tc>
        <w:tc>
          <w:tcPr>
            <w:tcW w:w="594" w:type="dxa"/>
            <w:shd w:val="clear" w:color="auto" w:fill="FFFFFF" w:themeFill="background1"/>
            <w:noWrap/>
            <w:hideMark/>
          </w:tcPr>
          <w:p w14:paraId="2FE4F80B" w14:textId="77777777" w:rsidR="00D551BE" w:rsidRPr="0018386D" w:rsidRDefault="00D551BE" w:rsidP="00DD3106">
            <w:pPr>
              <w:pStyle w:val="TableText"/>
              <w:spacing w:before="40" w:after="40"/>
            </w:pPr>
            <w:proofErr w:type="spellStart"/>
            <w:r w:rsidRPr="0018386D">
              <w:t>pkm</w:t>
            </w:r>
            <w:proofErr w:type="spellEnd"/>
          </w:p>
        </w:tc>
        <w:tc>
          <w:tcPr>
            <w:tcW w:w="1255" w:type="dxa"/>
            <w:shd w:val="clear" w:color="auto" w:fill="D2DDE1" w:themeFill="background2"/>
            <w:noWrap/>
            <w:hideMark/>
          </w:tcPr>
          <w:p w14:paraId="7E0C96B5" w14:textId="424B43E2" w:rsidR="00D551BE" w:rsidRPr="0018386D" w:rsidRDefault="00D551BE" w:rsidP="00DD3106">
            <w:pPr>
              <w:pStyle w:val="TableText"/>
              <w:spacing w:before="40" w:after="40"/>
            </w:pPr>
            <w:r w:rsidRPr="0018386D">
              <w:t>0.306</w:t>
            </w:r>
          </w:p>
        </w:tc>
        <w:tc>
          <w:tcPr>
            <w:tcW w:w="1694" w:type="dxa"/>
            <w:shd w:val="clear" w:color="auto" w:fill="FFFFFF" w:themeFill="background1"/>
            <w:noWrap/>
            <w:hideMark/>
          </w:tcPr>
          <w:p w14:paraId="43FEA05B" w14:textId="5C78123C" w:rsidR="00D551BE" w:rsidRPr="0018386D" w:rsidRDefault="00D551BE" w:rsidP="00DD3106">
            <w:pPr>
              <w:pStyle w:val="TableText"/>
              <w:spacing w:before="40" w:after="40"/>
            </w:pPr>
            <w:r w:rsidRPr="0018386D">
              <w:t>0.300</w:t>
            </w:r>
          </w:p>
        </w:tc>
        <w:tc>
          <w:tcPr>
            <w:tcW w:w="1694" w:type="dxa"/>
            <w:shd w:val="clear" w:color="auto" w:fill="FFFFFF" w:themeFill="background1"/>
            <w:noWrap/>
            <w:hideMark/>
          </w:tcPr>
          <w:p w14:paraId="1A5A8D9D" w14:textId="05607F89" w:rsidR="00D551BE" w:rsidRPr="0018386D" w:rsidRDefault="00D551BE" w:rsidP="00DD3106">
            <w:pPr>
              <w:pStyle w:val="TableText"/>
              <w:spacing w:before="40" w:after="40"/>
            </w:pPr>
            <w:r w:rsidRPr="0018386D">
              <w:t>0.0011</w:t>
            </w:r>
          </w:p>
        </w:tc>
        <w:tc>
          <w:tcPr>
            <w:tcW w:w="1694" w:type="dxa"/>
            <w:shd w:val="clear" w:color="auto" w:fill="FFFFFF" w:themeFill="background1"/>
            <w:noWrap/>
            <w:hideMark/>
          </w:tcPr>
          <w:p w14:paraId="1EF78F9D" w14:textId="62096849" w:rsidR="00D551BE" w:rsidRPr="0018386D" w:rsidRDefault="00D551BE" w:rsidP="00DD3106">
            <w:pPr>
              <w:pStyle w:val="TableText"/>
              <w:spacing w:before="40" w:after="40"/>
            </w:pPr>
            <w:r w:rsidRPr="0018386D">
              <w:t>0.0044</w:t>
            </w:r>
          </w:p>
        </w:tc>
      </w:tr>
      <w:tr w:rsidR="00D551BE" w:rsidRPr="0018386D" w14:paraId="6D59307A" w14:textId="77777777" w:rsidTr="00575E53">
        <w:trPr>
          <w:divId w:val="589851270"/>
          <w:trHeight w:val="240"/>
        </w:trPr>
        <w:tc>
          <w:tcPr>
            <w:tcW w:w="1569" w:type="dxa"/>
            <w:shd w:val="clear" w:color="auto" w:fill="FFFFFF" w:themeFill="background1"/>
            <w:noWrap/>
            <w:hideMark/>
          </w:tcPr>
          <w:p w14:paraId="1D4812BB" w14:textId="77777777" w:rsidR="00D551BE" w:rsidRPr="0018386D" w:rsidRDefault="00D551BE" w:rsidP="00DD3106">
            <w:pPr>
              <w:pStyle w:val="TableText"/>
              <w:spacing w:before="40" w:after="40"/>
            </w:pPr>
            <w:r w:rsidRPr="0018386D">
              <w:t>Large aircraft</w:t>
            </w:r>
          </w:p>
        </w:tc>
        <w:tc>
          <w:tcPr>
            <w:tcW w:w="594" w:type="dxa"/>
            <w:shd w:val="clear" w:color="auto" w:fill="FFFFFF" w:themeFill="background1"/>
            <w:noWrap/>
            <w:hideMark/>
          </w:tcPr>
          <w:p w14:paraId="71035132" w14:textId="77777777" w:rsidR="00D551BE" w:rsidRPr="0018386D" w:rsidRDefault="00D551BE" w:rsidP="00DD3106">
            <w:pPr>
              <w:pStyle w:val="TableText"/>
              <w:spacing w:before="40" w:after="40"/>
            </w:pPr>
            <w:proofErr w:type="spellStart"/>
            <w:r w:rsidRPr="0018386D">
              <w:t>pkm</w:t>
            </w:r>
            <w:proofErr w:type="spellEnd"/>
          </w:p>
        </w:tc>
        <w:tc>
          <w:tcPr>
            <w:tcW w:w="1255" w:type="dxa"/>
            <w:shd w:val="clear" w:color="auto" w:fill="D2DDE1" w:themeFill="background2"/>
            <w:noWrap/>
            <w:hideMark/>
          </w:tcPr>
          <w:p w14:paraId="274ECD06" w14:textId="1DF2973B" w:rsidR="00D551BE" w:rsidRPr="0018386D" w:rsidRDefault="00D551BE" w:rsidP="00DD3106">
            <w:pPr>
              <w:pStyle w:val="TableText"/>
              <w:spacing w:before="40" w:after="40"/>
            </w:pPr>
            <w:r w:rsidRPr="0018386D">
              <w:t>0.180</w:t>
            </w:r>
          </w:p>
        </w:tc>
        <w:tc>
          <w:tcPr>
            <w:tcW w:w="1694" w:type="dxa"/>
            <w:shd w:val="clear" w:color="auto" w:fill="FFFFFF" w:themeFill="background1"/>
            <w:noWrap/>
            <w:hideMark/>
          </w:tcPr>
          <w:p w14:paraId="151C1B5A" w14:textId="7EA07CAF" w:rsidR="00D551BE" w:rsidRPr="0018386D" w:rsidRDefault="00D551BE" w:rsidP="00DD3106">
            <w:pPr>
              <w:pStyle w:val="TableText"/>
              <w:spacing w:before="40" w:after="40"/>
            </w:pPr>
            <w:r w:rsidRPr="0018386D">
              <w:t>0.177</w:t>
            </w:r>
          </w:p>
        </w:tc>
        <w:tc>
          <w:tcPr>
            <w:tcW w:w="1694" w:type="dxa"/>
            <w:shd w:val="clear" w:color="auto" w:fill="FFFFFF" w:themeFill="background1"/>
            <w:noWrap/>
            <w:hideMark/>
          </w:tcPr>
          <w:p w14:paraId="7251F9B3" w14:textId="6DDC4600" w:rsidR="00D551BE" w:rsidRPr="0018386D" w:rsidRDefault="00D551BE" w:rsidP="00DD3106">
            <w:pPr>
              <w:pStyle w:val="TableText"/>
              <w:spacing w:before="40" w:after="40"/>
            </w:pPr>
            <w:r w:rsidRPr="0018386D">
              <w:t>0.0007</w:t>
            </w:r>
          </w:p>
        </w:tc>
        <w:tc>
          <w:tcPr>
            <w:tcW w:w="1694" w:type="dxa"/>
            <w:shd w:val="clear" w:color="auto" w:fill="FFFFFF" w:themeFill="background1"/>
            <w:noWrap/>
            <w:hideMark/>
          </w:tcPr>
          <w:p w14:paraId="4DE53619" w14:textId="367654BA" w:rsidR="00D551BE" w:rsidRPr="0018386D" w:rsidRDefault="00D551BE" w:rsidP="00DD3106">
            <w:pPr>
              <w:pStyle w:val="TableText"/>
              <w:spacing w:before="40" w:after="40"/>
            </w:pPr>
            <w:r w:rsidRPr="0018386D">
              <w:t>0.0026</w:t>
            </w:r>
          </w:p>
        </w:tc>
      </w:tr>
      <w:tr w:rsidR="00D551BE" w:rsidRPr="0018386D" w14:paraId="64F06B60" w14:textId="77777777" w:rsidTr="00575E53">
        <w:trPr>
          <w:divId w:val="589851270"/>
          <w:trHeight w:val="240"/>
        </w:trPr>
        <w:tc>
          <w:tcPr>
            <w:tcW w:w="1569" w:type="dxa"/>
            <w:shd w:val="clear" w:color="auto" w:fill="FFFFFF" w:themeFill="background1"/>
            <w:noWrap/>
            <w:hideMark/>
          </w:tcPr>
          <w:p w14:paraId="11A59888" w14:textId="77777777" w:rsidR="00D551BE" w:rsidRPr="0018386D" w:rsidRDefault="00D551BE" w:rsidP="00DD3106">
            <w:pPr>
              <w:pStyle w:val="TableText"/>
              <w:spacing w:before="40" w:after="40"/>
            </w:pPr>
            <w:r w:rsidRPr="0018386D">
              <w:t>Medium aircraft</w:t>
            </w:r>
          </w:p>
        </w:tc>
        <w:tc>
          <w:tcPr>
            <w:tcW w:w="594" w:type="dxa"/>
            <w:shd w:val="clear" w:color="auto" w:fill="FFFFFF" w:themeFill="background1"/>
            <w:noWrap/>
            <w:hideMark/>
          </w:tcPr>
          <w:p w14:paraId="18D95594" w14:textId="77777777" w:rsidR="00D551BE" w:rsidRPr="0018386D" w:rsidRDefault="00D551BE" w:rsidP="00DD3106">
            <w:pPr>
              <w:pStyle w:val="TableText"/>
              <w:spacing w:before="40" w:after="40"/>
            </w:pPr>
            <w:proofErr w:type="spellStart"/>
            <w:r w:rsidRPr="0018386D">
              <w:t>pkm</w:t>
            </w:r>
            <w:proofErr w:type="spellEnd"/>
          </w:p>
        </w:tc>
        <w:tc>
          <w:tcPr>
            <w:tcW w:w="1255" w:type="dxa"/>
            <w:shd w:val="clear" w:color="auto" w:fill="D2DDE1" w:themeFill="background2"/>
            <w:noWrap/>
            <w:hideMark/>
          </w:tcPr>
          <w:p w14:paraId="64B4BCC5" w14:textId="749D3E9B" w:rsidR="00D551BE" w:rsidRPr="0018386D" w:rsidRDefault="00D551BE" w:rsidP="00DD3106">
            <w:pPr>
              <w:pStyle w:val="TableText"/>
              <w:spacing w:before="40" w:after="40"/>
            </w:pPr>
            <w:r w:rsidRPr="0018386D">
              <w:t>0.239</w:t>
            </w:r>
          </w:p>
        </w:tc>
        <w:tc>
          <w:tcPr>
            <w:tcW w:w="1694" w:type="dxa"/>
            <w:shd w:val="clear" w:color="auto" w:fill="FFFFFF" w:themeFill="background1"/>
            <w:noWrap/>
            <w:hideMark/>
          </w:tcPr>
          <w:p w14:paraId="04BABFA4" w14:textId="4F77B4BF" w:rsidR="00D551BE" w:rsidRPr="0018386D" w:rsidRDefault="00D551BE" w:rsidP="00DD3106">
            <w:pPr>
              <w:pStyle w:val="TableText"/>
              <w:spacing w:before="40" w:after="40"/>
            </w:pPr>
            <w:r w:rsidRPr="0018386D">
              <w:t>0.235</w:t>
            </w:r>
          </w:p>
        </w:tc>
        <w:tc>
          <w:tcPr>
            <w:tcW w:w="1694" w:type="dxa"/>
            <w:shd w:val="clear" w:color="auto" w:fill="FFFFFF" w:themeFill="background1"/>
            <w:noWrap/>
            <w:hideMark/>
          </w:tcPr>
          <w:p w14:paraId="0B56A38A" w14:textId="3E5DE7B7" w:rsidR="00D551BE" w:rsidRPr="0018386D" w:rsidRDefault="00D551BE" w:rsidP="00DD3106">
            <w:pPr>
              <w:pStyle w:val="TableText"/>
              <w:spacing w:before="40" w:after="40"/>
            </w:pPr>
            <w:r w:rsidRPr="0018386D">
              <w:t>0.0009</w:t>
            </w:r>
          </w:p>
        </w:tc>
        <w:tc>
          <w:tcPr>
            <w:tcW w:w="1694" w:type="dxa"/>
            <w:shd w:val="clear" w:color="auto" w:fill="FFFFFF" w:themeFill="background1"/>
            <w:noWrap/>
            <w:hideMark/>
          </w:tcPr>
          <w:p w14:paraId="15CC9803" w14:textId="338F39A3" w:rsidR="00D551BE" w:rsidRPr="0018386D" w:rsidRDefault="00D551BE" w:rsidP="00DD3106">
            <w:pPr>
              <w:pStyle w:val="TableText"/>
              <w:spacing w:before="40" w:after="40"/>
            </w:pPr>
            <w:r w:rsidRPr="0018386D">
              <w:t>0.0034</w:t>
            </w:r>
          </w:p>
        </w:tc>
      </w:tr>
    </w:tbl>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569"/>
        <w:gridCol w:w="594"/>
        <w:gridCol w:w="1255"/>
        <w:gridCol w:w="1694"/>
        <w:gridCol w:w="1694"/>
        <w:gridCol w:w="1694"/>
      </w:tblGrid>
      <w:tr w:rsidR="00043DF1" w:rsidRPr="0018386D" w14:paraId="73CF3026" w14:textId="77777777" w:rsidTr="00575E53">
        <w:trPr>
          <w:trHeight w:val="240"/>
        </w:trPr>
        <w:tc>
          <w:tcPr>
            <w:tcW w:w="1569" w:type="dxa"/>
            <w:tcBorders>
              <w:top w:val="single" w:sz="4" w:space="0" w:color="auto"/>
            </w:tcBorders>
            <w:shd w:val="clear" w:color="auto" w:fill="FFFFFF" w:themeFill="background1"/>
            <w:noWrap/>
            <w:hideMark/>
          </w:tcPr>
          <w:p w14:paraId="76543C3B" w14:textId="2EE1FF56" w:rsidR="00043DF1" w:rsidRPr="0018386D" w:rsidRDefault="00043DF1" w:rsidP="00DD3106">
            <w:pPr>
              <w:pStyle w:val="TableText"/>
              <w:spacing w:before="40" w:after="40"/>
            </w:pPr>
            <w:r w:rsidRPr="0018386D">
              <w:t>Small aircraft</w:t>
            </w:r>
          </w:p>
        </w:tc>
        <w:tc>
          <w:tcPr>
            <w:tcW w:w="594" w:type="dxa"/>
            <w:tcBorders>
              <w:top w:val="single" w:sz="4" w:space="0" w:color="auto"/>
            </w:tcBorders>
            <w:shd w:val="clear" w:color="auto" w:fill="FFFFFF" w:themeFill="background1"/>
            <w:noWrap/>
            <w:hideMark/>
          </w:tcPr>
          <w:p w14:paraId="18979507" w14:textId="77777777" w:rsidR="00043DF1" w:rsidRPr="0018386D" w:rsidRDefault="00043DF1" w:rsidP="00DD3106">
            <w:pPr>
              <w:pStyle w:val="TableText"/>
              <w:spacing w:before="40" w:after="40"/>
            </w:pPr>
            <w:proofErr w:type="spellStart"/>
            <w:r w:rsidRPr="0018386D">
              <w:t>pkm</w:t>
            </w:r>
            <w:proofErr w:type="spellEnd"/>
          </w:p>
        </w:tc>
        <w:tc>
          <w:tcPr>
            <w:tcW w:w="1255" w:type="dxa"/>
            <w:tcBorders>
              <w:top w:val="single" w:sz="4" w:space="0" w:color="auto"/>
            </w:tcBorders>
            <w:shd w:val="clear" w:color="auto" w:fill="D2DDE1" w:themeFill="background2"/>
            <w:noWrap/>
            <w:hideMark/>
          </w:tcPr>
          <w:p w14:paraId="0A3CEF1C" w14:textId="18A2FA1C" w:rsidR="00043DF1" w:rsidRPr="0018386D" w:rsidRDefault="00043DF1" w:rsidP="00DD3106">
            <w:pPr>
              <w:pStyle w:val="TableText"/>
              <w:spacing w:before="40" w:after="40"/>
            </w:pPr>
            <w:r w:rsidRPr="0018386D">
              <w:t>0.670</w:t>
            </w:r>
          </w:p>
        </w:tc>
        <w:tc>
          <w:tcPr>
            <w:tcW w:w="1694" w:type="dxa"/>
            <w:tcBorders>
              <w:top w:val="single" w:sz="4" w:space="0" w:color="auto"/>
            </w:tcBorders>
            <w:shd w:val="clear" w:color="auto" w:fill="FFFFFF" w:themeFill="background1"/>
            <w:noWrap/>
            <w:hideMark/>
          </w:tcPr>
          <w:p w14:paraId="5EADB62C" w14:textId="3F61BA1F" w:rsidR="00043DF1" w:rsidRPr="0018386D" w:rsidRDefault="00043DF1" w:rsidP="00DD3106">
            <w:pPr>
              <w:pStyle w:val="TableText"/>
              <w:spacing w:before="40" w:after="40"/>
            </w:pPr>
            <w:r w:rsidRPr="0018386D" w:rsidDel="00E57154">
              <w:t>0.647</w:t>
            </w:r>
          </w:p>
        </w:tc>
        <w:tc>
          <w:tcPr>
            <w:tcW w:w="1694" w:type="dxa"/>
            <w:tcBorders>
              <w:top w:val="single" w:sz="4" w:space="0" w:color="auto"/>
            </w:tcBorders>
            <w:shd w:val="clear" w:color="auto" w:fill="FFFFFF" w:themeFill="background1"/>
            <w:noWrap/>
            <w:hideMark/>
          </w:tcPr>
          <w:p w14:paraId="4932AE3E" w14:textId="232E08B6" w:rsidR="00043DF1" w:rsidRPr="0018386D" w:rsidRDefault="00043DF1" w:rsidP="00DD3106">
            <w:pPr>
              <w:pStyle w:val="TableText"/>
              <w:spacing w:before="40" w:after="40"/>
            </w:pPr>
            <w:r w:rsidRPr="0018386D">
              <w:t>0.0055</w:t>
            </w:r>
          </w:p>
        </w:tc>
        <w:tc>
          <w:tcPr>
            <w:tcW w:w="1694" w:type="dxa"/>
            <w:tcBorders>
              <w:top w:val="single" w:sz="4" w:space="0" w:color="auto"/>
            </w:tcBorders>
            <w:shd w:val="clear" w:color="auto" w:fill="FFFFFF" w:themeFill="background1"/>
            <w:noWrap/>
            <w:hideMark/>
          </w:tcPr>
          <w:p w14:paraId="38536ED2" w14:textId="3810F29A" w:rsidR="00043DF1" w:rsidRPr="0018386D" w:rsidRDefault="00043DF1" w:rsidP="00DD3106">
            <w:pPr>
              <w:pStyle w:val="TableText"/>
              <w:spacing w:before="40" w:after="40"/>
            </w:pPr>
            <w:r w:rsidRPr="0018386D">
              <w:t>0.0172</w:t>
            </w:r>
          </w:p>
        </w:tc>
      </w:tr>
    </w:tbl>
    <w:p w14:paraId="3DC15287" w14:textId="1BB38199" w:rsidR="176F2A5E" w:rsidRPr="0018386D" w:rsidRDefault="00F76EF8" w:rsidP="00DD3106">
      <w:pPr>
        <w:pStyle w:val="Note"/>
      </w:pPr>
      <w:r w:rsidRPr="0018386D">
        <w:rPr>
          <w:b/>
          <w:bCs/>
        </w:rPr>
        <w:t>Note</w:t>
      </w:r>
      <w:r w:rsidR="00E416A5" w:rsidRPr="0018386D">
        <w:rPr>
          <w:b/>
          <w:bCs/>
        </w:rPr>
        <w:t>:</w:t>
      </w:r>
      <w:r w:rsidRPr="0018386D">
        <w:t xml:space="preserve"> </w:t>
      </w:r>
      <w:r w:rsidR="00E416A5" w:rsidRPr="0018386D">
        <w:t xml:space="preserve">These </w:t>
      </w:r>
      <w:r w:rsidRPr="0018386D">
        <w:t xml:space="preserve">numbers are rounded to three </w:t>
      </w:r>
      <w:r w:rsidR="00D15DE7" w:rsidRPr="0018386D">
        <w:t>decimal places</w:t>
      </w:r>
      <w:r w:rsidR="00BA31FD" w:rsidRPr="0018386D">
        <w:t xml:space="preserve"> </w:t>
      </w:r>
      <w:r w:rsidRPr="0018386D">
        <w:t>unless the number is significantly small.</w:t>
      </w:r>
      <w:r w:rsidR="00BA55CB" w:rsidRPr="0018386D">
        <w:t xml:space="preserve"> </w:t>
      </w:r>
      <w:r w:rsidR="00BA55CB" w:rsidRPr="0018386D">
        <w:br/>
      </w:r>
      <w:r w:rsidR="254B8889" w:rsidRPr="0018386D">
        <w:t>Based on 2020 data</w:t>
      </w:r>
      <w:r w:rsidR="00A91902" w:rsidRPr="0018386D">
        <w:t>.</w:t>
      </w:r>
    </w:p>
    <w:p w14:paraId="10E1B8F9" w14:textId="639E28CF" w:rsidR="00CC2FCE" w:rsidRPr="0018386D" w:rsidRDefault="00CC2FCE" w:rsidP="00DD3106">
      <w:pPr>
        <w:pStyle w:val="BodyText"/>
      </w:pPr>
      <w:r w:rsidRPr="0018386D">
        <w:t>We have provided a national average emission factor</w:t>
      </w:r>
      <w:r w:rsidR="006A0E82" w:rsidRPr="0018386D">
        <w:t>, and</w:t>
      </w:r>
      <w:r w:rsidRPr="0018386D">
        <w:t xml:space="preserve"> three factors based on the aircraft size: </w:t>
      </w:r>
      <w:r w:rsidR="00142655" w:rsidRPr="0018386D">
        <w:t>large</w:t>
      </w:r>
      <w:r w:rsidRPr="0018386D">
        <w:t xml:space="preserve">, </w:t>
      </w:r>
      <w:proofErr w:type="gramStart"/>
      <w:r w:rsidR="00EB6BEE" w:rsidRPr="0018386D">
        <w:t>medium</w:t>
      </w:r>
      <w:proofErr w:type="gramEnd"/>
      <w:r w:rsidR="00EB6BEE" w:rsidRPr="0018386D">
        <w:t xml:space="preserve"> </w:t>
      </w:r>
      <w:r w:rsidRPr="0018386D">
        <w:t xml:space="preserve">or small aircraft. A large aircraft in New Zealand would be an </w:t>
      </w:r>
      <w:r w:rsidR="005225BC" w:rsidRPr="0018386D">
        <w:t xml:space="preserve">Airbus A320, </w:t>
      </w:r>
      <w:r w:rsidR="00142655" w:rsidRPr="0018386D">
        <w:rPr>
          <w:rFonts w:cs="Calibri"/>
          <w:color w:val="000000"/>
          <w:shd w:val="clear" w:color="auto" w:fill="FFFFFF"/>
        </w:rPr>
        <w:t>A3</w:t>
      </w:r>
      <w:r w:rsidR="00142655" w:rsidRPr="0018386D">
        <w:rPr>
          <w:rFonts w:cs="Calibri"/>
          <w:shd w:val="clear" w:color="auto" w:fill="FFFFFF"/>
        </w:rPr>
        <w:t>20neo, A321neo, and A320ceo Domestic</w:t>
      </w:r>
      <w:r w:rsidR="00142655" w:rsidRPr="0018386D">
        <w:t>.</w:t>
      </w:r>
      <w:r w:rsidRPr="0018386D">
        <w:t xml:space="preserve"> </w:t>
      </w:r>
      <w:r w:rsidR="00142655" w:rsidRPr="0018386D">
        <w:t>A</w:t>
      </w:r>
      <w:r w:rsidRPr="0018386D">
        <w:t xml:space="preserve"> </w:t>
      </w:r>
      <w:r w:rsidR="00FE1E62" w:rsidRPr="0018386D">
        <w:t>medium aircraft</w:t>
      </w:r>
      <w:r w:rsidRPr="0018386D">
        <w:t xml:space="preserve"> </w:t>
      </w:r>
      <w:r w:rsidR="00FE1E62" w:rsidRPr="0018386D">
        <w:t xml:space="preserve">has </w:t>
      </w:r>
      <w:r w:rsidR="00DA6761" w:rsidRPr="0018386D">
        <w:t xml:space="preserve">between </w:t>
      </w:r>
      <w:r w:rsidR="00EB6BEE" w:rsidRPr="0018386D">
        <w:t>5</w:t>
      </w:r>
      <w:r w:rsidR="00DA6761" w:rsidRPr="0018386D">
        <w:t xml:space="preserve">0 and </w:t>
      </w:r>
      <w:r w:rsidR="00EB6BEE" w:rsidRPr="0018386D">
        <w:t>7</w:t>
      </w:r>
      <w:r w:rsidR="00DA6761" w:rsidRPr="0018386D">
        <w:t>0</w:t>
      </w:r>
      <w:r w:rsidRPr="0018386D">
        <w:t xml:space="preserve"> seats</w:t>
      </w:r>
      <w:r w:rsidR="0079219A" w:rsidRPr="0018386D">
        <w:t xml:space="preserve"> (ie</w:t>
      </w:r>
      <w:r w:rsidR="006A0E82" w:rsidRPr="0018386D">
        <w:t>,</w:t>
      </w:r>
      <w:r w:rsidR="0079219A" w:rsidRPr="0018386D">
        <w:t xml:space="preserve"> regional services on an ATR</w:t>
      </w:r>
      <w:r w:rsidR="00CF5F2D" w:rsidRPr="0018386D">
        <w:t> </w:t>
      </w:r>
      <w:r w:rsidR="0079219A" w:rsidRPr="0018386D">
        <w:t>72</w:t>
      </w:r>
      <w:r w:rsidR="00CF5F2D" w:rsidRPr="0018386D">
        <w:t> </w:t>
      </w:r>
      <w:r w:rsidR="0079219A" w:rsidRPr="0018386D">
        <w:t xml:space="preserve">or </w:t>
      </w:r>
      <w:r w:rsidR="005225BC" w:rsidRPr="0018386D">
        <w:t xml:space="preserve">de Havilland </w:t>
      </w:r>
      <w:r w:rsidR="00EA32DE" w:rsidRPr="0018386D">
        <w:t>Q</w:t>
      </w:r>
      <w:r w:rsidR="0079219A" w:rsidRPr="0018386D">
        <w:t>300)</w:t>
      </w:r>
      <w:r w:rsidRPr="0018386D">
        <w:t xml:space="preserve"> and a small aircraft has less than </w:t>
      </w:r>
      <w:r w:rsidR="00DA6761" w:rsidRPr="0018386D">
        <w:t>5</w:t>
      </w:r>
      <w:r w:rsidRPr="0018386D">
        <w:t>0</w:t>
      </w:r>
      <w:r w:rsidR="00CB454E" w:rsidRPr="0018386D">
        <w:t> </w:t>
      </w:r>
      <w:r w:rsidRPr="0018386D">
        <w:t xml:space="preserve">seats. </w:t>
      </w:r>
      <w:r w:rsidR="006A0E82" w:rsidRPr="0018386D">
        <w:t xml:space="preserve">If </w:t>
      </w:r>
      <w:r w:rsidR="00EB6BEE" w:rsidRPr="0018386D">
        <w:t>the aircraft type is unknown,</w:t>
      </w:r>
      <w:r w:rsidR="00CF5F2D" w:rsidRPr="0018386D">
        <w:t> </w:t>
      </w:r>
      <w:r w:rsidR="0079219A" w:rsidRPr="0018386D">
        <w:t xml:space="preserve">we recommend using </w:t>
      </w:r>
      <w:r w:rsidR="00EB6BEE" w:rsidRPr="0018386D">
        <w:t>t</w:t>
      </w:r>
      <w:r w:rsidRPr="0018386D">
        <w:t>he national average.</w:t>
      </w:r>
    </w:p>
    <w:p w14:paraId="0BC46631" w14:textId="0856F73F" w:rsidR="00C1767E" w:rsidRPr="0018386D" w:rsidRDefault="00C1767E" w:rsidP="00DD3106">
      <w:pPr>
        <w:pStyle w:val="Heading4"/>
        <w:numPr>
          <w:ilvl w:val="3"/>
          <w:numId w:val="8"/>
        </w:numPr>
        <w:spacing w:before="160"/>
        <w:jc w:val="both"/>
      </w:pPr>
      <w:r w:rsidRPr="0018386D">
        <w:t>GHG inventory development</w:t>
      </w:r>
    </w:p>
    <w:p w14:paraId="70B7814D" w14:textId="0419C99E" w:rsidR="000A47A7" w:rsidRPr="0018386D" w:rsidRDefault="0091206D" w:rsidP="00DD3106">
      <w:pPr>
        <w:pStyle w:val="BodyText"/>
      </w:pPr>
      <w:bookmarkStart w:id="530" w:name="_Hlk532893478"/>
      <w:r w:rsidRPr="0018386D">
        <w:t xml:space="preserve">To calculate emissions for </w:t>
      </w:r>
      <w:r w:rsidR="00A80DFB" w:rsidRPr="0018386D">
        <w:t xml:space="preserve">domestic </w:t>
      </w:r>
      <w:r w:rsidRPr="0018386D">
        <w:t>air travel, collect information on passengers flying, their</w:t>
      </w:r>
      <w:r w:rsidR="006C377D" w:rsidRPr="0018386D">
        <w:t> </w:t>
      </w:r>
      <w:r w:rsidRPr="0018386D">
        <w:t>departure and destination airport</w:t>
      </w:r>
      <w:r w:rsidR="00033E38" w:rsidRPr="0018386D">
        <w:t>s</w:t>
      </w:r>
      <w:r w:rsidRPr="0018386D">
        <w:t xml:space="preserve">, and if practical, the size of </w:t>
      </w:r>
      <w:r w:rsidR="00033E38" w:rsidRPr="0018386D">
        <w:t xml:space="preserve">the </w:t>
      </w:r>
      <w:r w:rsidR="00A62BEE" w:rsidRPr="0018386D">
        <w:t>aircraft</w:t>
      </w:r>
      <w:r w:rsidR="00033E38" w:rsidRPr="0018386D">
        <w:t>.</w:t>
      </w:r>
      <w:r w:rsidR="00A80DFB" w:rsidRPr="0018386D">
        <w:t xml:space="preserve"> If </w:t>
      </w:r>
      <w:r w:rsidR="00206E30" w:rsidRPr="0018386D">
        <w:t>the type</w:t>
      </w:r>
      <w:r w:rsidR="00A80DFB" w:rsidRPr="0018386D">
        <w:t xml:space="preserve"> of</w:t>
      </w:r>
      <w:r w:rsidR="00A17249" w:rsidRPr="0018386D">
        <w:t> </w:t>
      </w:r>
      <w:r w:rsidR="00A62BEE" w:rsidRPr="0018386D">
        <w:t>aircraft</w:t>
      </w:r>
      <w:r w:rsidR="00CF5F2D" w:rsidRPr="0018386D">
        <w:t> </w:t>
      </w:r>
      <w:r w:rsidR="00A80DFB" w:rsidRPr="0018386D">
        <w:t>is unknown</w:t>
      </w:r>
      <w:r w:rsidR="00EB6BEE" w:rsidRPr="0018386D">
        <w:t>,</w:t>
      </w:r>
      <w:r w:rsidR="00A80DFB" w:rsidRPr="0018386D">
        <w:t xml:space="preserve"> </w:t>
      </w:r>
      <w:r w:rsidR="00EB6BEE" w:rsidRPr="0018386D">
        <w:t xml:space="preserve">use </w:t>
      </w:r>
      <w:r w:rsidR="00A80DFB" w:rsidRPr="0018386D">
        <w:t xml:space="preserve">the national average </w:t>
      </w:r>
      <w:r w:rsidR="00984AF9" w:rsidRPr="0018386D">
        <w:t>emission factors</w:t>
      </w:r>
      <w:r w:rsidRPr="0018386D">
        <w:t>. Calculate distances using online calculators</w:t>
      </w:r>
      <w:r w:rsidR="00984AF9" w:rsidRPr="0018386D">
        <w:t xml:space="preserve"> </w:t>
      </w:r>
      <w:bookmarkStart w:id="531" w:name="_Hlk534718934"/>
      <w:r w:rsidR="00984AF9" w:rsidRPr="0018386D">
        <w:t xml:space="preserve">such as </w:t>
      </w:r>
      <w:bookmarkEnd w:id="531"/>
      <w:r w:rsidR="0040564C" w:rsidRPr="0018386D">
        <w:rPr>
          <w:rStyle w:val="Hyperlink"/>
        </w:rPr>
        <w:t>www.</w:t>
      </w:r>
      <w:hyperlink r:id="rId98">
        <w:r w:rsidR="0040564C" w:rsidRPr="0018386D">
          <w:rPr>
            <w:rStyle w:val="Hyperlink"/>
          </w:rPr>
          <w:t>airmilescalculator</w:t>
        </w:r>
      </w:hyperlink>
      <w:r w:rsidR="0040564C" w:rsidRPr="0018386D">
        <w:rPr>
          <w:rStyle w:val="Hyperlink"/>
        </w:rPr>
        <w:t>.com</w:t>
      </w:r>
      <w:r w:rsidRPr="0018386D">
        <w:t xml:space="preserve">. Multiply the number of passengers by the distance travelled </w:t>
      </w:r>
      <w:r w:rsidR="00062BF8" w:rsidRPr="0018386D">
        <w:t xml:space="preserve">to obtain </w:t>
      </w:r>
      <w:r w:rsidR="0059494E" w:rsidRPr="0018386D">
        <w:t xml:space="preserve">the </w:t>
      </w:r>
      <w:proofErr w:type="spellStart"/>
      <w:r w:rsidR="0059494E" w:rsidRPr="0018386D">
        <w:t>pkm</w:t>
      </w:r>
      <w:proofErr w:type="spellEnd"/>
      <w:r w:rsidRPr="0018386D">
        <w:t xml:space="preserve">. </w:t>
      </w:r>
      <w:bookmarkEnd w:id="530"/>
    </w:p>
    <w:p w14:paraId="3307D1B4" w14:textId="77777777" w:rsidR="001643A0" w:rsidRPr="0018386D" w:rsidRDefault="001643A0" w:rsidP="00DD3106">
      <w:pPr>
        <w:spacing w:line="23" w:lineRule="auto"/>
        <w:rPr>
          <w:rFonts w:eastAsiaTheme="minorEastAsia" w:cstheme="minorBidi"/>
          <w:szCs w:val="22"/>
          <w:lang w:val="en-NZ" w:eastAsia="en-NZ"/>
        </w:rPr>
      </w:pPr>
      <w:r w:rsidRPr="0018386D">
        <w:br w:type="page"/>
      </w:r>
    </w:p>
    <w:p w14:paraId="62FD7148" w14:textId="3A503B83" w:rsidR="00A74A8C" w:rsidRPr="0018386D" w:rsidRDefault="00F76EF8" w:rsidP="00DD3106">
      <w:pPr>
        <w:pStyle w:val="BodyText"/>
        <w:jc w:val="both"/>
      </w:pPr>
      <w:r w:rsidRPr="0018386D">
        <w:lastRenderedPageBreak/>
        <w:t xml:space="preserve">Applying the equation </w:t>
      </w:r>
      <w:r w:rsidR="00E71782" w:rsidRPr="0018386D">
        <w:t>E = Q x F</w:t>
      </w:r>
      <w:r w:rsidR="00C62F72" w:rsidRPr="0018386D">
        <w:t xml:space="preserve"> </w:t>
      </w:r>
      <w:r w:rsidR="00E71782" w:rsidRPr="0018386D">
        <w:t>(</w:t>
      </w:r>
      <w:hyperlink w:anchor="_How_to_quantify">
        <w:r w:rsidR="00A17249" w:rsidRPr="0018386D">
          <w:rPr>
            <w:rStyle w:val="Hyperlink"/>
          </w:rPr>
          <w:t>section 2</w:t>
        </w:r>
      </w:hyperlink>
      <w:r w:rsidR="00E71782" w:rsidRPr="0018386D">
        <w:rPr>
          <w:rStyle w:val="Hyperlink"/>
          <w:color w:val="auto"/>
        </w:rPr>
        <w:t>)</w:t>
      </w:r>
      <w:r w:rsidRPr="0018386D">
        <w:t>, this means</w:t>
      </w:r>
      <w:r w:rsidR="000A47A7" w:rsidRPr="0018386D">
        <w:t>:</w:t>
      </w:r>
    </w:p>
    <w:p w14:paraId="7E480409" w14:textId="176F2A22" w:rsidR="00E71782" w:rsidRPr="0018386D" w:rsidRDefault="00E71782" w:rsidP="00DD3106">
      <w:pPr>
        <w:pStyle w:val="BodyT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2FEFD304" w14:textId="31D61DF5" w:rsidR="00A74A8C" w:rsidRPr="0018386D" w:rsidRDefault="00A74A8C" w:rsidP="00DD3106">
      <w:pPr>
        <w:pStyle w:val="BodyText"/>
        <w:tabs>
          <w:tab w:val="left" w:pos="680"/>
          <w:tab w:val="left" w:pos="1134"/>
        </w:tabs>
        <w:contextualSpacing/>
        <w:jc w:val="both"/>
      </w:pPr>
      <w:r w:rsidRPr="0018386D">
        <w:t>Q</w:t>
      </w:r>
      <w:r w:rsidR="00E416A5" w:rsidRPr="0018386D">
        <w:tab/>
        <w:t>=</w:t>
      </w:r>
      <w:r w:rsidR="00E416A5" w:rsidRPr="0018386D">
        <w:tab/>
      </w:r>
      <w:r w:rsidR="006B577D" w:rsidRPr="0018386D">
        <w:t>p</w:t>
      </w:r>
      <w:r w:rsidR="008518AD" w:rsidRPr="0018386D">
        <w:t xml:space="preserve">assengers multiplied by distance flown </w:t>
      </w:r>
      <w:r w:rsidRPr="0018386D">
        <w:t>(</w:t>
      </w:r>
      <w:proofErr w:type="spellStart"/>
      <w:r w:rsidR="00BA31FD" w:rsidRPr="0018386D">
        <w:t>pkm</w:t>
      </w:r>
      <w:proofErr w:type="spellEnd"/>
      <w:r w:rsidRPr="0018386D">
        <w:t>)</w:t>
      </w:r>
    </w:p>
    <w:p w14:paraId="7B899EEC" w14:textId="604A2CA3" w:rsidR="00B52C46" w:rsidRPr="0018386D" w:rsidRDefault="00E416A5" w:rsidP="00DD3106">
      <w:pPr>
        <w:pStyle w:val="BodyText"/>
        <w:tabs>
          <w:tab w:val="left" w:pos="680"/>
          <w:tab w:val="left" w:pos="1134"/>
        </w:tabs>
        <w:spacing w:after="240"/>
        <w:contextualSpacing/>
        <w:jc w:val="both"/>
      </w:pPr>
      <w:r w:rsidRPr="0018386D">
        <w:t>F</w:t>
      </w:r>
      <w:r w:rsidRPr="0018386D">
        <w:tab/>
      </w:r>
      <w:r w:rsidR="00A74A8C" w:rsidRPr="0018386D">
        <w:t>=</w:t>
      </w:r>
      <w:r w:rsidRPr="0018386D">
        <w:tab/>
      </w:r>
      <w:r w:rsidR="00A74A8C" w:rsidRPr="0018386D">
        <w:t>emission factor</w:t>
      </w:r>
      <w:r w:rsidR="008518AD" w:rsidRPr="0018386D">
        <w:t>s from</w:t>
      </w:r>
      <w:r w:rsidR="00A17249" w:rsidRPr="0018386D">
        <w:t xml:space="preserve"> </w:t>
      </w:r>
      <w:hyperlink w:anchor="table36" w:history="1">
        <w:r w:rsidR="58CF0911" w:rsidRPr="0018386D">
          <w:rPr>
            <w:rStyle w:val="Hyperlink"/>
          </w:rPr>
          <w:t>table 36</w:t>
        </w:r>
      </w:hyperlink>
      <w:r w:rsidR="008518AD" w:rsidRPr="0018386D">
        <w:t xml:space="preserve"> </w:t>
      </w:r>
      <w:r w:rsidR="009C2FE6" w:rsidRPr="0018386D">
        <w:t>to</w:t>
      </w:r>
      <w:r w:rsidR="008518AD" w:rsidRPr="0018386D">
        <w:t xml:space="preserve"> </w:t>
      </w:r>
      <w:hyperlink w:anchor="table37" w:history="1">
        <w:r w:rsidR="009C2FE6" w:rsidRPr="0018386D">
          <w:rPr>
            <w:rStyle w:val="Hyperlink"/>
          </w:rPr>
          <w:t>table 3</w:t>
        </w:r>
        <w:r w:rsidR="00A62D3C" w:rsidRPr="0018386D">
          <w:rPr>
            <w:rStyle w:val="Hyperlink"/>
          </w:rPr>
          <w:t>7</w:t>
        </w:r>
      </w:hyperlink>
      <w:r w:rsidR="00A17249" w:rsidRPr="0018386D">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D23AAF" w:rsidRPr="0018386D" w14:paraId="2CF97552" w14:textId="77777777" w:rsidTr="3A8C1EFB">
        <w:tc>
          <w:tcPr>
            <w:tcW w:w="8500" w:type="dxa"/>
            <w:tcBorders>
              <w:top w:val="single" w:sz="4" w:space="0" w:color="32809C" w:themeColor="accent2"/>
              <w:left w:val="single" w:sz="4" w:space="0" w:color="32809C" w:themeColor="accent2"/>
              <w:bottom w:val="nil"/>
              <w:right w:val="single" w:sz="4" w:space="0" w:color="32809C" w:themeColor="accent2"/>
            </w:tcBorders>
            <w:shd w:val="clear" w:color="auto" w:fill="0F7B7D"/>
            <w:vAlign w:val="center"/>
          </w:tcPr>
          <w:p w14:paraId="2748BFF9" w14:textId="73ED1EBE" w:rsidR="00D23AAF" w:rsidRPr="0018386D" w:rsidDel="00D5390D" w:rsidRDefault="006B577D" w:rsidP="00DD3106">
            <w:pPr>
              <w:pStyle w:val="Casestudyheading"/>
              <w:jc w:val="both"/>
            </w:pPr>
            <w:r w:rsidRPr="0018386D">
              <w:t xml:space="preserve">DOMESTIC AIR TRAVEL: </w:t>
            </w:r>
            <w:r w:rsidR="00D23AAF" w:rsidRPr="0018386D">
              <w:t>Example Calculation</w:t>
            </w:r>
          </w:p>
        </w:tc>
      </w:tr>
      <w:tr w:rsidR="00D23AAF" w:rsidRPr="0018386D" w14:paraId="05F314F6" w14:textId="77777777" w:rsidTr="3A8C1EFB">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91697AA" w14:textId="3E6DD1F2" w:rsidR="00D23AAF" w:rsidRPr="0018386D" w:rsidRDefault="00D23AAF" w:rsidP="00DD3106">
            <w:pPr>
              <w:pStyle w:val="Boxtext"/>
              <w:keepNext/>
              <w:spacing w:after="80"/>
            </w:pPr>
            <w:r w:rsidRPr="0018386D">
              <w:t xml:space="preserve">An organisation flies </w:t>
            </w:r>
            <w:r w:rsidR="006104E1" w:rsidRPr="0018386D">
              <w:t>an employee</w:t>
            </w:r>
            <w:r w:rsidRPr="0018386D">
              <w:t xml:space="preserve"> on a return flight from </w:t>
            </w:r>
            <w:r w:rsidR="00A62BEE" w:rsidRPr="0018386D">
              <w:t xml:space="preserve">Christchurch </w:t>
            </w:r>
            <w:r w:rsidRPr="0018386D">
              <w:t>to Wellington (</w:t>
            </w:r>
            <w:hyperlink r:id="rId99">
              <w:r w:rsidR="00A62BEE" w:rsidRPr="0018386D">
                <w:rPr>
                  <w:rStyle w:val="Hyperlink"/>
                </w:rPr>
                <w:t>304</w:t>
              </w:r>
            </w:hyperlink>
            <w:r w:rsidR="00243078" w:rsidRPr="0018386D">
              <w:t> </w:t>
            </w:r>
            <w:r w:rsidRPr="0018386D">
              <w:t xml:space="preserve">km each way). </w:t>
            </w:r>
            <w:r w:rsidR="00F76EF8" w:rsidRPr="0018386D">
              <w:t>This happens</w:t>
            </w:r>
            <w:r w:rsidRPr="0018386D">
              <w:t xml:space="preserve"> </w:t>
            </w:r>
            <w:r w:rsidR="00381D07" w:rsidRPr="0018386D">
              <w:t>five</w:t>
            </w:r>
            <w:r w:rsidRPr="0018386D">
              <w:t xml:space="preserve"> times in the reporting year</w:t>
            </w:r>
            <w:r w:rsidR="00A62BEE" w:rsidRPr="0018386D">
              <w:t xml:space="preserve"> on an aircraft of unknown size</w:t>
            </w:r>
            <w:r w:rsidRPr="0018386D">
              <w:t xml:space="preserve">. </w:t>
            </w:r>
            <w:r w:rsidR="00A94353" w:rsidRPr="0018386D">
              <w:t>The national average emission factor</w:t>
            </w:r>
            <w:r w:rsidR="00A62BEE" w:rsidRPr="0018386D">
              <w:t xml:space="preserve"> with radiative forcing</w:t>
            </w:r>
            <w:r w:rsidR="00A94353" w:rsidRPr="0018386D">
              <w:t xml:space="preserve"> is used.</w:t>
            </w:r>
          </w:p>
          <w:p w14:paraId="0B1C0A7B" w14:textId="45E0FBA2" w:rsidR="00A94353" w:rsidRPr="0018386D" w:rsidRDefault="00A94353" w:rsidP="00DD3106">
            <w:pPr>
              <w:pStyle w:val="Boxtext"/>
              <w:spacing w:before="20" w:after="20"/>
              <w:ind w:left="850"/>
            </w:pPr>
            <w:r w:rsidRPr="0018386D">
              <w:t>P</w:t>
            </w:r>
            <w:r w:rsidR="00951D5C" w:rsidRPr="0018386D">
              <w:t>assenger</w:t>
            </w:r>
            <w:r w:rsidRPr="0018386D">
              <w:t xml:space="preserve"> kilometres travelled = </w:t>
            </w:r>
            <w:r w:rsidR="00E35371" w:rsidRPr="0018386D">
              <w:t>(</w:t>
            </w:r>
            <w:r w:rsidRPr="0018386D">
              <w:t xml:space="preserve">2 × </w:t>
            </w:r>
            <w:r w:rsidR="00A62BEE" w:rsidRPr="0018386D">
              <w:t>304</w:t>
            </w:r>
            <w:r w:rsidR="00E35371" w:rsidRPr="0018386D">
              <w:t>)</w:t>
            </w:r>
            <w:r w:rsidR="00A62BEE" w:rsidRPr="0018386D">
              <w:t xml:space="preserve"> </w:t>
            </w:r>
            <w:r w:rsidRPr="0018386D">
              <w:t xml:space="preserve">× 5 = </w:t>
            </w:r>
            <w:r w:rsidR="00A62BEE" w:rsidRPr="0018386D">
              <w:t>3,040</w:t>
            </w:r>
            <w:r w:rsidRPr="0018386D">
              <w:t xml:space="preserve"> </w:t>
            </w:r>
            <w:proofErr w:type="spellStart"/>
            <w:r w:rsidRPr="0018386D">
              <w:t>pkm</w:t>
            </w:r>
            <w:proofErr w:type="spellEnd"/>
          </w:p>
          <w:p w14:paraId="247EC367" w14:textId="3E67C460" w:rsidR="00D23AAF" w:rsidRPr="0018386D" w:rsidRDefault="00D23AAF" w:rsidP="00DD3106">
            <w:pPr>
              <w:pStyle w:val="Boxtext"/>
              <w:spacing w:before="20" w:after="20"/>
              <w:ind w:left="850"/>
            </w:pPr>
            <w:r w:rsidRPr="0018386D">
              <w:t>Total CO</w:t>
            </w:r>
            <w:r w:rsidRPr="0018386D">
              <w:rPr>
                <w:vertAlign w:val="subscript"/>
              </w:rPr>
              <w:t>2</w:t>
            </w:r>
            <w:r w:rsidRPr="0018386D">
              <w:t xml:space="preserve">-e emissions from domestic air travel = </w:t>
            </w:r>
            <w:r w:rsidR="00A50C68" w:rsidRPr="0018386D">
              <w:t>0.306</w:t>
            </w:r>
            <w:r w:rsidR="00A62BEE" w:rsidRPr="0018386D">
              <w:t xml:space="preserve"> </w:t>
            </w:r>
            <w:r w:rsidR="00A94353" w:rsidRPr="0018386D">
              <w:t xml:space="preserve">x </w:t>
            </w:r>
            <w:r w:rsidR="00A62BEE" w:rsidRPr="0018386D">
              <w:t>3</w:t>
            </w:r>
            <w:r w:rsidR="00206E30" w:rsidRPr="0018386D">
              <w:t>,</w:t>
            </w:r>
            <w:r w:rsidR="00A62BEE" w:rsidRPr="0018386D">
              <w:t>040</w:t>
            </w:r>
            <w:r w:rsidR="00206E30" w:rsidRPr="0018386D">
              <w:t xml:space="preserve"> =</w:t>
            </w:r>
            <w:r w:rsidRPr="0018386D">
              <w:t xml:space="preserve"> </w:t>
            </w:r>
            <w:r w:rsidR="0094178E" w:rsidRPr="0018386D">
              <w:t>930.24</w:t>
            </w:r>
            <w:r w:rsidR="00403C7E" w:rsidRPr="0018386D">
              <w:t xml:space="preserve"> </w:t>
            </w:r>
            <w:r w:rsidRPr="0018386D">
              <w:t>kg CO</w:t>
            </w:r>
            <w:r w:rsidRPr="0018386D">
              <w:rPr>
                <w:vertAlign w:val="subscript"/>
              </w:rPr>
              <w:t>2</w:t>
            </w:r>
            <w:r w:rsidRPr="0018386D">
              <w:t>-e</w:t>
            </w:r>
          </w:p>
          <w:p w14:paraId="5C1E0001" w14:textId="558A7C10" w:rsidR="00D9313E" w:rsidRPr="0018386D" w:rsidRDefault="00D9313E" w:rsidP="00DD3106">
            <w:pPr>
              <w:pStyle w:val="Boxtext"/>
              <w:spacing w:before="80" w:after="180"/>
              <w:jc w:val="both"/>
            </w:pPr>
            <w:r w:rsidRPr="0018386D">
              <w:rPr>
                <w:sz w:val="18"/>
                <w:szCs w:val="18"/>
              </w:rPr>
              <w:t>Note</w:t>
            </w:r>
            <w:r w:rsidR="006B577D" w:rsidRPr="0018386D">
              <w:rPr>
                <w:sz w:val="18"/>
                <w:szCs w:val="18"/>
              </w:rPr>
              <w:t>: N</w:t>
            </w:r>
            <w:r w:rsidRPr="0018386D">
              <w:rPr>
                <w:sz w:val="18"/>
                <w:szCs w:val="18"/>
              </w:rPr>
              <w:t>umbers may not add due to rounding</w:t>
            </w:r>
            <w:r w:rsidR="009B64D6" w:rsidRPr="0018386D">
              <w:rPr>
                <w:sz w:val="18"/>
                <w:szCs w:val="18"/>
              </w:rPr>
              <w:t>.</w:t>
            </w:r>
          </w:p>
        </w:tc>
      </w:tr>
    </w:tbl>
    <w:p w14:paraId="3DB175DA" w14:textId="77777777" w:rsidR="00B41C18" w:rsidRPr="0018386D" w:rsidRDefault="00B41C18" w:rsidP="00DD3106">
      <w:pPr>
        <w:pStyle w:val="BodyText"/>
      </w:pPr>
      <w:bookmarkStart w:id="532" w:name="_Toc532904906"/>
    </w:p>
    <w:p w14:paraId="0135CEE2" w14:textId="38D7A94C" w:rsidR="6BF85B11" w:rsidRPr="0018386D" w:rsidRDefault="00B41C18" w:rsidP="00DD3106">
      <w:pPr>
        <w:pStyle w:val="Heading4"/>
        <w:numPr>
          <w:ilvl w:val="3"/>
          <w:numId w:val="8"/>
        </w:numPr>
        <w:spacing w:before="160"/>
        <w:jc w:val="both"/>
      </w:pPr>
      <w:r w:rsidRPr="0018386D">
        <w:t>Emission factor derivation methodology</w:t>
      </w:r>
      <w:bookmarkEnd w:id="532"/>
    </w:p>
    <w:p w14:paraId="55D730C3" w14:textId="62F72321" w:rsidR="00DB0228" w:rsidRPr="0018386D" w:rsidRDefault="00DB0228" w:rsidP="00DD3106">
      <w:pPr>
        <w:pStyle w:val="BodyText"/>
      </w:pPr>
      <w:r w:rsidRPr="0018386D">
        <w:t xml:space="preserve">We developed these emission factors with data supplied by Air New Zealand and </w:t>
      </w:r>
      <w:r w:rsidR="00A923FA" w:rsidRPr="0018386D">
        <w:t xml:space="preserve">Te Manatū Waka </w:t>
      </w:r>
      <w:r w:rsidRPr="0018386D">
        <w:t xml:space="preserve">Ministry of Transport. We calculated an average emission factor for domestic air travel using data from </w:t>
      </w:r>
      <w:proofErr w:type="gramStart"/>
      <w:r w:rsidRPr="0018386D">
        <w:t>the  2020</w:t>
      </w:r>
      <w:proofErr w:type="gramEnd"/>
      <w:r w:rsidRPr="0018386D">
        <w:t xml:space="preserve"> calendar years</w:t>
      </w:r>
      <w:r w:rsidR="0AE64C6F" w:rsidRPr="0018386D">
        <w:t>, supplemented with data from 2016</w:t>
      </w:r>
      <w:r w:rsidRPr="0018386D">
        <w:t xml:space="preserve">. </w:t>
      </w:r>
    </w:p>
    <w:p w14:paraId="466F02C9" w14:textId="6937EDB6" w:rsidR="009D50BB" w:rsidRPr="0018386D" w:rsidRDefault="009D50BB" w:rsidP="00DD3106">
      <w:pPr>
        <w:pStyle w:val="BodyText"/>
        <w:spacing w:before="100" w:after="100"/>
      </w:pPr>
      <w:r w:rsidRPr="0018386D">
        <w:t xml:space="preserve">Table 38 details the types of aircraft running domestic flights, using Air New Zealand data and 2016 </w:t>
      </w:r>
      <w:r w:rsidR="009D4006" w:rsidRPr="0018386D">
        <w:t xml:space="preserve">Te Manatū Waka </w:t>
      </w:r>
      <w:r w:rsidRPr="0018386D">
        <w:t>Ministry of Transport data to calculate the emission factors.</w:t>
      </w:r>
    </w:p>
    <w:p w14:paraId="28A1C2FC" w14:textId="05341BE3" w:rsidR="00024E78" w:rsidRPr="0018386D" w:rsidRDefault="00D1365E" w:rsidP="00DD3106">
      <w:pPr>
        <w:pStyle w:val="BodyText"/>
        <w:spacing w:before="100" w:after="100"/>
      </w:pPr>
      <w:r w:rsidRPr="0018386D">
        <w:t>An average emissions factor has also been provided where the aircraft type is unknown</w:t>
      </w:r>
      <w:r w:rsidR="003A7B48" w:rsidRPr="0018386D">
        <w:t xml:space="preserve"> (see </w:t>
      </w:r>
      <w:hyperlink w:anchor="table36two" w:history="1">
        <w:r w:rsidR="003A7B48" w:rsidRPr="0018386D">
          <w:rPr>
            <w:rStyle w:val="Hyperlink"/>
          </w:rPr>
          <w:t>tables 36</w:t>
        </w:r>
      </w:hyperlink>
      <w:r w:rsidR="003A7B48" w:rsidRPr="0018386D">
        <w:t xml:space="preserve"> and</w:t>
      </w:r>
      <w:hyperlink w:anchor="table37" w:history="1">
        <w:r w:rsidR="003721D1" w:rsidRPr="0018386D">
          <w:rPr>
            <w:rStyle w:val="Hyperlink"/>
          </w:rPr>
          <w:t xml:space="preserve"> </w:t>
        </w:r>
        <w:r w:rsidR="003A7B48" w:rsidRPr="0018386D">
          <w:rPr>
            <w:rStyle w:val="Hyperlink"/>
          </w:rPr>
          <w:t>37</w:t>
        </w:r>
      </w:hyperlink>
      <w:r w:rsidR="003A7B48" w:rsidRPr="0018386D">
        <w:t>).</w:t>
      </w:r>
      <w:r w:rsidRPr="0018386D">
        <w:t xml:space="preserve"> </w:t>
      </w:r>
      <w:r w:rsidR="00381D07" w:rsidRPr="0018386D">
        <w:t>O</w:t>
      </w:r>
      <w:r w:rsidR="00033013" w:rsidRPr="0018386D">
        <w:t xml:space="preserve">rganisations </w:t>
      </w:r>
      <w:r w:rsidR="00381D07" w:rsidRPr="0018386D">
        <w:t xml:space="preserve">that </w:t>
      </w:r>
      <w:r w:rsidR="00033013" w:rsidRPr="0018386D">
        <w:t xml:space="preserve">own aircraft </w:t>
      </w:r>
      <w:r w:rsidR="00381D07" w:rsidRPr="0018386D">
        <w:t>could</w:t>
      </w:r>
      <w:r w:rsidR="00033013" w:rsidRPr="0018386D">
        <w:t xml:space="preserve"> calculate emissions based on the fuel consumption data.</w:t>
      </w:r>
    </w:p>
    <w:p w14:paraId="2DA42540" w14:textId="0FA897B9" w:rsidR="008D0861" w:rsidRPr="0018386D" w:rsidRDefault="002D7AD6" w:rsidP="00DD3106">
      <w:pPr>
        <w:pStyle w:val="Tableheading"/>
      </w:pPr>
      <w:bookmarkStart w:id="533" w:name="table38"/>
      <w:bookmarkStart w:id="534" w:name="_Toc111536645"/>
      <w:bookmarkStart w:id="535" w:name="_Toc140048978"/>
      <w:r w:rsidRPr="0018386D">
        <w:t xml:space="preserve">Table </w:t>
      </w:r>
      <w:r w:rsidRPr="0018386D">
        <w:fldChar w:fldCharType="begin"/>
      </w:r>
      <w:r w:rsidRPr="0018386D">
        <w:instrText>SEQ Table \* ARABIC</w:instrText>
      </w:r>
      <w:r w:rsidRPr="0018386D">
        <w:fldChar w:fldCharType="separate"/>
      </w:r>
      <w:r w:rsidR="00471842" w:rsidRPr="0018386D">
        <w:t>38</w:t>
      </w:r>
      <w:r w:rsidRPr="0018386D">
        <w:fldChar w:fldCharType="end"/>
      </w:r>
      <w:bookmarkEnd w:id="533"/>
      <w:r w:rsidR="00C7511A" w:rsidRPr="0018386D">
        <w:t>:</w:t>
      </w:r>
      <w:r w:rsidRPr="0018386D">
        <w:tab/>
      </w:r>
      <w:r w:rsidR="00722DA8" w:rsidRPr="0018386D">
        <w:t xml:space="preserve">Domestic aviation data </w:t>
      </w:r>
      <w:bookmarkEnd w:id="534"/>
      <w:r w:rsidR="158F9136" w:rsidRPr="0018386D">
        <w:t>(2020)</w:t>
      </w:r>
      <w:bookmarkEnd w:id="535"/>
    </w:p>
    <w:tbl>
      <w:tblPr>
        <w:tblStyle w:val="TableGrid"/>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87"/>
        <w:gridCol w:w="1134"/>
        <w:gridCol w:w="1560"/>
        <w:gridCol w:w="1269"/>
        <w:gridCol w:w="1110"/>
      </w:tblGrid>
      <w:tr w:rsidR="006316C3" w:rsidRPr="0018386D" w14:paraId="2F311053" w14:textId="77777777" w:rsidTr="00472FA1">
        <w:trPr>
          <w:trHeight w:val="300"/>
        </w:trPr>
        <w:tc>
          <w:tcPr>
            <w:tcW w:w="3387" w:type="dxa"/>
            <w:tcBorders>
              <w:top w:val="single" w:sz="6" w:space="0" w:color="1C556C" w:themeColor="accent1"/>
              <w:left w:val="nil"/>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4C678444" w14:textId="42EDD479" w:rsidR="4DA9D182" w:rsidRPr="0018386D" w:rsidRDefault="4DA9D182" w:rsidP="00DD3106">
            <w:pPr>
              <w:pStyle w:val="TableTextbold"/>
              <w:rPr>
                <w:rFonts w:eastAsia="Calibri" w:cs="Calibri"/>
                <w:color w:val="FFFFFF" w:themeColor="background1"/>
              </w:rPr>
            </w:pPr>
            <w:r w:rsidRPr="0018386D">
              <w:rPr>
                <w:color w:val="FFFFFF" w:themeColor="background1"/>
              </w:rPr>
              <w:t>A</w:t>
            </w:r>
            <w:r w:rsidRPr="0018386D">
              <w:rPr>
                <w:rFonts w:eastAsia="Calibri" w:cs="Calibri"/>
                <w:color w:val="FFFFFF" w:themeColor="background1"/>
              </w:rPr>
              <w:t>ircraft type</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06C2C38F" w14:textId="6EBDF403" w:rsidR="4DA9D182" w:rsidRPr="0018386D" w:rsidRDefault="4DA9D182" w:rsidP="00DD3106">
            <w:pPr>
              <w:pStyle w:val="TableTextbold"/>
              <w:jc w:val="left"/>
              <w:rPr>
                <w:rFonts w:eastAsia="Calibri" w:cs="Calibri"/>
                <w:b w:val="0"/>
                <w:color w:val="FFFFFF" w:themeColor="background1"/>
              </w:rPr>
            </w:pPr>
            <w:r w:rsidRPr="0018386D">
              <w:rPr>
                <w:color w:val="FFFFFF" w:themeColor="background1"/>
              </w:rPr>
              <w:t>Total seats per flight</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394F47AD" w14:textId="052EDFBD" w:rsidR="4DA9D182" w:rsidRPr="0018386D" w:rsidRDefault="4DA9D182" w:rsidP="00DD3106">
            <w:pPr>
              <w:pStyle w:val="TableTextbold"/>
              <w:jc w:val="left"/>
              <w:rPr>
                <w:rFonts w:eastAsia="Calibri" w:cs="Calibri"/>
                <w:b w:val="0"/>
                <w:color w:val="FFFFFF" w:themeColor="background1"/>
              </w:rPr>
            </w:pPr>
            <w:r w:rsidRPr="0018386D">
              <w:rPr>
                <w:color w:val="FFFFFF" w:themeColor="background1"/>
              </w:rPr>
              <w:t>Average distance per flight (km)</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37BDEED7" w14:textId="4B5B4104" w:rsidR="4DA9D182" w:rsidRPr="0018386D" w:rsidRDefault="4DA9D182" w:rsidP="00DD3106">
            <w:pPr>
              <w:pStyle w:val="TableTextbold"/>
              <w:jc w:val="left"/>
              <w:rPr>
                <w:rFonts w:eastAsia="Calibri" w:cs="Calibri"/>
                <w:b w:val="0"/>
                <w:color w:val="FFFFFF" w:themeColor="background1"/>
              </w:rPr>
            </w:pPr>
            <w:r w:rsidRPr="0018386D">
              <w:rPr>
                <w:color w:val="FFFFFF" w:themeColor="background1"/>
              </w:rPr>
              <w:t>Total fuel used (kg)</w:t>
            </w:r>
          </w:p>
        </w:tc>
        <w:tc>
          <w:tcPr>
            <w:tcW w:w="1110" w:type="dxa"/>
            <w:tcBorders>
              <w:top w:val="single" w:sz="6" w:space="0" w:color="1C556C" w:themeColor="accent1"/>
              <w:left w:val="single" w:sz="6" w:space="0" w:color="1C556C" w:themeColor="accent1"/>
              <w:bottom w:val="single" w:sz="6" w:space="0" w:color="1C556C" w:themeColor="accent1"/>
              <w:right w:val="nil"/>
            </w:tcBorders>
            <w:shd w:val="clear" w:color="auto" w:fill="1C556C" w:themeFill="accent1"/>
            <w:tcMar>
              <w:left w:w="105" w:type="dxa"/>
              <w:right w:w="105" w:type="dxa"/>
            </w:tcMar>
            <w:vAlign w:val="bottom"/>
          </w:tcPr>
          <w:p w14:paraId="4EA08ACE" w14:textId="5E7E68FF" w:rsidR="4DA9D182" w:rsidRPr="0018386D" w:rsidRDefault="4DA9D182" w:rsidP="00DD3106">
            <w:pPr>
              <w:pStyle w:val="TableTextbold"/>
              <w:rPr>
                <w:rFonts w:eastAsia="Calibri" w:cs="Calibri"/>
                <w:b w:val="0"/>
                <w:color w:val="FFFFFF" w:themeColor="background1"/>
              </w:rPr>
            </w:pPr>
            <w:r w:rsidRPr="0018386D">
              <w:rPr>
                <w:color w:val="FFFFFF" w:themeColor="background1"/>
              </w:rPr>
              <w:t>Total flights</w:t>
            </w:r>
          </w:p>
        </w:tc>
      </w:tr>
      <w:tr w:rsidR="003228B5" w:rsidRPr="0018386D" w14:paraId="58FADBE7"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44605509" w14:textId="29E201AD" w:rsidR="4DA9D182" w:rsidRPr="0018386D" w:rsidRDefault="4DA9D182" w:rsidP="00DD3106">
            <w:pPr>
              <w:pStyle w:val="TableText"/>
            </w:pPr>
            <w:r w:rsidRPr="0018386D">
              <w:t>Airbus A320*</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74A94B20" w14:textId="778ED67B" w:rsidR="4DA9D182" w:rsidRPr="0018386D" w:rsidRDefault="4DA9D182" w:rsidP="00DD3106">
            <w:pPr>
              <w:pStyle w:val="TableText"/>
            </w:pPr>
            <w:r w:rsidRPr="0018386D">
              <w:t xml:space="preserve">181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5FC0A1D7" w14:textId="6164F713" w:rsidR="4DA9D182" w:rsidRPr="0018386D" w:rsidRDefault="4DA9D182" w:rsidP="00DD3106">
            <w:pPr>
              <w:pStyle w:val="TableText"/>
            </w:pPr>
            <w:r w:rsidRPr="0018386D">
              <w:t xml:space="preserve">674.16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25E47B4A" w14:textId="26A13749" w:rsidR="4DA9D182" w:rsidRPr="0018386D" w:rsidRDefault="4DA9D182" w:rsidP="00DD3106">
            <w:pPr>
              <w:pStyle w:val="TableText"/>
            </w:pPr>
            <w:r w:rsidRPr="0018386D">
              <w:t xml:space="preserve">56,638,617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39FF50CC" w14:textId="47B5CED4" w:rsidR="4DA9D182" w:rsidRPr="0018386D" w:rsidRDefault="4DA9D182" w:rsidP="00DD3106">
            <w:pPr>
              <w:pStyle w:val="TableText"/>
            </w:pPr>
            <w:r w:rsidRPr="0018386D">
              <w:t xml:space="preserve">18,140.75 </w:t>
            </w:r>
          </w:p>
        </w:tc>
      </w:tr>
      <w:tr w:rsidR="003228B5" w:rsidRPr="0018386D" w14:paraId="1104EECE"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25259D01" w14:textId="1B3AE5CA" w:rsidR="4DA9D182" w:rsidRPr="0018386D" w:rsidRDefault="4DA9D182" w:rsidP="00DD3106">
            <w:pPr>
              <w:pStyle w:val="TableText"/>
            </w:pPr>
            <w:r w:rsidRPr="0018386D">
              <w:t>Aerospatiale/</w:t>
            </w:r>
            <w:proofErr w:type="spellStart"/>
            <w:r w:rsidRPr="0018386D">
              <w:t>Alenia</w:t>
            </w:r>
            <w:proofErr w:type="spellEnd"/>
            <w:r w:rsidRPr="0018386D">
              <w:t xml:space="preserve"> ATR 72*</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6B7C1AB9" w14:textId="7CF969F3" w:rsidR="4DA9D182" w:rsidRPr="0018386D" w:rsidRDefault="4DA9D182" w:rsidP="00DD3106">
            <w:pPr>
              <w:pStyle w:val="TableText"/>
            </w:pPr>
            <w:r w:rsidRPr="0018386D">
              <w:t xml:space="preserve">68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1D748F23" w14:textId="75FDE93B" w:rsidR="4DA9D182" w:rsidRPr="0018386D" w:rsidRDefault="4DA9D182" w:rsidP="00DD3106">
            <w:pPr>
              <w:pStyle w:val="TableText"/>
            </w:pPr>
            <w:r w:rsidRPr="0018386D">
              <w:t xml:space="preserve">389.51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5DB6A9BA" w14:textId="19A5705B" w:rsidR="4DA9D182" w:rsidRPr="0018386D" w:rsidRDefault="4DA9D182" w:rsidP="00DD3106">
            <w:pPr>
              <w:pStyle w:val="TableText"/>
            </w:pPr>
            <w:r w:rsidRPr="0018386D">
              <w:t xml:space="preserve">35,187,553.59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5A95AED2" w14:textId="7F979FC4" w:rsidR="4DA9D182" w:rsidRPr="0018386D" w:rsidRDefault="4DA9D182" w:rsidP="00DD3106">
            <w:pPr>
              <w:pStyle w:val="TableText"/>
            </w:pPr>
            <w:r w:rsidRPr="0018386D">
              <w:t xml:space="preserve">47,183 </w:t>
            </w:r>
          </w:p>
        </w:tc>
      </w:tr>
      <w:tr w:rsidR="003228B5" w:rsidRPr="0018386D" w14:paraId="4032CB14"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3BDD48B9" w14:textId="110A4292" w:rsidR="4DA9D182" w:rsidRPr="0018386D" w:rsidRDefault="4DA9D182" w:rsidP="00DD3106">
            <w:pPr>
              <w:pStyle w:val="TableText"/>
            </w:pPr>
            <w:r w:rsidRPr="0018386D">
              <w:t>British Aerospace Jetstream 32</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56AF07F7" w14:textId="05164E66" w:rsidR="4DA9D182" w:rsidRPr="0018386D" w:rsidRDefault="4DA9D182" w:rsidP="00DD3106">
            <w:pPr>
              <w:pStyle w:val="TableText"/>
            </w:pPr>
            <w:r w:rsidRPr="0018386D">
              <w:t xml:space="preserve">19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04C512BE" w14:textId="323FDD5C" w:rsidR="4DA9D182" w:rsidRPr="0018386D" w:rsidRDefault="4DA9D182" w:rsidP="00DD3106">
            <w:pPr>
              <w:pStyle w:val="TableText"/>
            </w:pPr>
            <w:r w:rsidRPr="0018386D">
              <w:t xml:space="preserve">167.78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6F1EC841" w14:textId="2BB1B371" w:rsidR="4DA9D182" w:rsidRPr="0018386D" w:rsidRDefault="4DA9D182" w:rsidP="00DD3106">
            <w:pPr>
              <w:pStyle w:val="TableText"/>
            </w:pPr>
            <w:r w:rsidRPr="0018386D">
              <w:t xml:space="preserve">94,556.00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012D0205" w14:textId="553DF6C3" w:rsidR="4DA9D182" w:rsidRPr="0018386D" w:rsidRDefault="4DA9D182" w:rsidP="00DD3106">
            <w:pPr>
              <w:pStyle w:val="TableText"/>
            </w:pPr>
            <w:r w:rsidRPr="0018386D">
              <w:t xml:space="preserve">324 </w:t>
            </w:r>
          </w:p>
        </w:tc>
      </w:tr>
      <w:tr w:rsidR="003228B5" w:rsidRPr="0018386D" w14:paraId="4F1A653C"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6E9DEB6E" w14:textId="4A40DF6F" w:rsidR="4DA9D182" w:rsidRPr="0018386D" w:rsidRDefault="4DA9D182" w:rsidP="00DD3106">
            <w:pPr>
              <w:pStyle w:val="TableText"/>
            </w:pPr>
            <w:r w:rsidRPr="0018386D">
              <w:t>Beechcraft Beech 1900D</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7EC71873" w14:textId="7BC3C555" w:rsidR="4DA9D182" w:rsidRPr="0018386D" w:rsidRDefault="4DA9D182" w:rsidP="00DD3106">
            <w:pPr>
              <w:pStyle w:val="TableText"/>
            </w:pPr>
            <w:r w:rsidRPr="0018386D">
              <w:t xml:space="preserve">19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03A8CD9E" w14:textId="45CA8EFD" w:rsidR="4DA9D182" w:rsidRPr="0018386D" w:rsidRDefault="4DA9D182" w:rsidP="00DD3106">
            <w:pPr>
              <w:pStyle w:val="TableText"/>
            </w:pPr>
            <w:r w:rsidRPr="0018386D">
              <w:t xml:space="preserve">250.73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2ECA263A" w14:textId="5AC38B12" w:rsidR="4DA9D182" w:rsidRPr="0018386D" w:rsidRDefault="4DA9D182" w:rsidP="00DD3106">
            <w:pPr>
              <w:pStyle w:val="TableText"/>
            </w:pPr>
            <w:r w:rsidRPr="0018386D">
              <w:t xml:space="preserve">2,152,521.40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756CBB27" w14:textId="3A54217A" w:rsidR="4DA9D182" w:rsidRPr="0018386D" w:rsidRDefault="4DA9D182" w:rsidP="00DD3106">
            <w:pPr>
              <w:pStyle w:val="TableText"/>
            </w:pPr>
            <w:r w:rsidRPr="0018386D">
              <w:t xml:space="preserve">6,277 </w:t>
            </w:r>
          </w:p>
        </w:tc>
      </w:tr>
      <w:tr w:rsidR="003228B5" w:rsidRPr="0018386D" w14:paraId="57F31DB2"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6077CA75" w14:textId="13629FE1" w:rsidR="4DA9D182" w:rsidRPr="0018386D" w:rsidRDefault="4DA9D182" w:rsidP="00DD3106">
            <w:pPr>
              <w:pStyle w:val="TableText"/>
            </w:pPr>
            <w:r w:rsidRPr="0018386D">
              <w:t>Cessna Light Aircraft</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03AC431B" w14:textId="656A892C" w:rsidR="4DA9D182" w:rsidRPr="0018386D" w:rsidRDefault="4DA9D182" w:rsidP="00DD3106">
            <w:pPr>
              <w:pStyle w:val="TableText"/>
            </w:pPr>
            <w:r w:rsidRPr="0018386D">
              <w:t xml:space="preserve">6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28108F20" w14:textId="7D8E6ADB" w:rsidR="4DA9D182" w:rsidRPr="0018386D" w:rsidRDefault="4DA9D182" w:rsidP="00DD3106">
            <w:pPr>
              <w:pStyle w:val="TableText"/>
            </w:pPr>
            <w:r w:rsidRPr="0018386D">
              <w:t xml:space="preserve">95.87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0F2AA867" w14:textId="19DB922A" w:rsidR="4DA9D182" w:rsidRPr="0018386D" w:rsidRDefault="4DA9D182" w:rsidP="00DD3106">
            <w:pPr>
              <w:pStyle w:val="TableText"/>
            </w:pPr>
            <w:r w:rsidRPr="0018386D">
              <w:t xml:space="preserve">1,199,632.30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138BA520" w14:textId="3C9D052F" w:rsidR="4DA9D182" w:rsidRPr="0018386D" w:rsidRDefault="4DA9D182" w:rsidP="00DD3106">
            <w:pPr>
              <w:pStyle w:val="TableText"/>
            </w:pPr>
            <w:r w:rsidRPr="0018386D">
              <w:t xml:space="preserve">9,791 </w:t>
            </w:r>
          </w:p>
        </w:tc>
      </w:tr>
      <w:tr w:rsidR="003228B5" w:rsidRPr="0018386D" w14:paraId="18DF3001"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475AC517" w14:textId="05C7116F" w:rsidR="4DA9D182" w:rsidRPr="0018386D" w:rsidRDefault="4DA9D182" w:rsidP="00DD3106">
            <w:pPr>
              <w:pStyle w:val="TableText"/>
            </w:pPr>
            <w:r w:rsidRPr="0018386D">
              <w:t>De Havilland Canada DHC-8-300 Dash 8/8Q, Q300*</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438BAF1A" w14:textId="5D7DC1FC" w:rsidR="4DA9D182" w:rsidRPr="0018386D" w:rsidRDefault="4DA9D182" w:rsidP="00DD3106">
            <w:pPr>
              <w:pStyle w:val="TableText"/>
            </w:pPr>
            <w:r w:rsidRPr="0018386D">
              <w:t xml:space="preserve">50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6E9949DC" w14:textId="7C7A9A54" w:rsidR="4DA9D182" w:rsidRPr="0018386D" w:rsidRDefault="4DA9D182" w:rsidP="00DD3106">
            <w:pPr>
              <w:pStyle w:val="TableText"/>
            </w:pPr>
            <w:r w:rsidRPr="0018386D">
              <w:t xml:space="preserve">313.40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22D7CEFA" w14:textId="3693E276" w:rsidR="4DA9D182" w:rsidRPr="0018386D" w:rsidRDefault="4DA9D182" w:rsidP="00DD3106">
            <w:pPr>
              <w:pStyle w:val="TableText"/>
            </w:pPr>
            <w:r w:rsidRPr="0018386D">
              <w:t xml:space="preserve">40,934,925.25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5D8B8D5A" w14:textId="574067FC" w:rsidR="4DA9D182" w:rsidRPr="0018386D" w:rsidRDefault="4DA9D182" w:rsidP="00DD3106">
            <w:pPr>
              <w:pStyle w:val="TableText"/>
            </w:pPr>
            <w:r w:rsidRPr="0018386D">
              <w:t xml:space="preserve">53,991 </w:t>
            </w:r>
          </w:p>
        </w:tc>
      </w:tr>
      <w:tr w:rsidR="003228B5" w:rsidRPr="0018386D" w14:paraId="186914AF"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003C3D9E" w14:textId="02BDD528" w:rsidR="4DA9D182" w:rsidRPr="0018386D" w:rsidRDefault="4DA9D182" w:rsidP="00DD3106">
            <w:pPr>
              <w:pStyle w:val="TableText"/>
            </w:pPr>
            <w:r w:rsidRPr="0018386D">
              <w:t>Pilatus PC-12</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7ABD1529" w14:textId="5877338D" w:rsidR="4DA9D182" w:rsidRPr="0018386D" w:rsidRDefault="4DA9D182" w:rsidP="00DD3106">
            <w:pPr>
              <w:pStyle w:val="TableText"/>
            </w:pPr>
            <w:r w:rsidRPr="0018386D">
              <w:t xml:space="preserve">9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1E159144" w14:textId="09C5717E" w:rsidR="4DA9D182" w:rsidRPr="0018386D" w:rsidRDefault="4DA9D182" w:rsidP="00DD3106">
            <w:pPr>
              <w:pStyle w:val="TableText"/>
            </w:pPr>
            <w:r w:rsidRPr="0018386D">
              <w:t xml:space="preserve">300.72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21B4CD4F" w14:textId="3E2A50B8" w:rsidR="4DA9D182" w:rsidRPr="0018386D" w:rsidRDefault="4DA9D182" w:rsidP="00DD3106">
            <w:pPr>
              <w:pStyle w:val="TableText"/>
            </w:pPr>
            <w:r w:rsidRPr="0018386D">
              <w:t xml:space="preserve">847,901.49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6E3DB426" w14:textId="71F67647" w:rsidR="4DA9D182" w:rsidRPr="0018386D" w:rsidRDefault="4DA9D182" w:rsidP="00DD3106">
            <w:pPr>
              <w:pStyle w:val="TableText"/>
            </w:pPr>
            <w:r w:rsidRPr="0018386D">
              <w:t xml:space="preserve">4,315 </w:t>
            </w:r>
          </w:p>
        </w:tc>
      </w:tr>
      <w:tr w:rsidR="003228B5" w:rsidRPr="0018386D" w14:paraId="7FAB80FE"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24C4EC8C" w14:textId="23F94D5D" w:rsidR="4DA9D182" w:rsidRPr="0018386D" w:rsidRDefault="4DA9D182" w:rsidP="00DD3106">
            <w:pPr>
              <w:pStyle w:val="TableText"/>
            </w:pPr>
            <w:r w:rsidRPr="0018386D">
              <w:t>Saab SF-340</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1439FB0B" w14:textId="077DD4AB" w:rsidR="4DA9D182" w:rsidRPr="0018386D" w:rsidRDefault="4DA9D182" w:rsidP="00DD3106">
            <w:pPr>
              <w:pStyle w:val="TableText"/>
            </w:pPr>
            <w:r w:rsidRPr="0018386D">
              <w:t xml:space="preserve">34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632EF409" w14:textId="30C61783" w:rsidR="4DA9D182" w:rsidRPr="0018386D" w:rsidRDefault="4DA9D182" w:rsidP="00DD3106">
            <w:pPr>
              <w:pStyle w:val="TableText"/>
            </w:pPr>
            <w:r w:rsidRPr="0018386D">
              <w:t xml:space="preserve">479.70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1E1852F6" w14:textId="576CBB9A" w:rsidR="4DA9D182" w:rsidRPr="0018386D" w:rsidRDefault="4DA9D182" w:rsidP="00DD3106">
            <w:pPr>
              <w:pStyle w:val="TableText"/>
            </w:pPr>
            <w:r w:rsidRPr="0018386D">
              <w:t xml:space="preserve">407,373.70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3B7F7489" w14:textId="0F053E0F" w:rsidR="4DA9D182" w:rsidRPr="0018386D" w:rsidRDefault="4DA9D182" w:rsidP="00DD3106">
            <w:pPr>
              <w:pStyle w:val="TableText"/>
            </w:pPr>
            <w:r w:rsidRPr="0018386D">
              <w:t xml:space="preserve">668 </w:t>
            </w:r>
          </w:p>
        </w:tc>
      </w:tr>
      <w:tr w:rsidR="003228B5" w:rsidRPr="0018386D" w14:paraId="3F7606B1" w14:textId="77777777" w:rsidTr="00472FA1">
        <w:trPr>
          <w:trHeight w:val="300"/>
        </w:trPr>
        <w:tc>
          <w:tcPr>
            <w:tcW w:w="3387" w:type="dxa"/>
            <w:tcBorders>
              <w:top w:val="single" w:sz="6" w:space="0" w:color="1C556C" w:themeColor="accent1"/>
              <w:left w:val="single" w:sz="6" w:space="0" w:color="FFFFFF" w:themeColor="background1"/>
              <w:bottom w:val="single" w:sz="6" w:space="0" w:color="1C556C" w:themeColor="accent1"/>
              <w:right w:val="single" w:sz="6" w:space="0" w:color="1C556C" w:themeColor="accent1"/>
            </w:tcBorders>
            <w:tcMar>
              <w:left w:w="105" w:type="dxa"/>
              <w:right w:w="105" w:type="dxa"/>
            </w:tcMar>
            <w:vAlign w:val="bottom"/>
          </w:tcPr>
          <w:p w14:paraId="760B6F51" w14:textId="344F29B9" w:rsidR="4DA9D182" w:rsidRPr="0018386D" w:rsidRDefault="4DA9D182" w:rsidP="00DD3106">
            <w:pPr>
              <w:pStyle w:val="TableText"/>
            </w:pPr>
            <w:r w:rsidRPr="0018386D">
              <w:t>FOKKER F50</w:t>
            </w:r>
          </w:p>
        </w:tc>
        <w:tc>
          <w:tcPr>
            <w:tcW w:w="1134"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6D434F58" w14:textId="09756E38" w:rsidR="4DA9D182" w:rsidRPr="0018386D" w:rsidRDefault="4DA9D182" w:rsidP="00DD3106">
            <w:pPr>
              <w:pStyle w:val="TableText"/>
              <w:rPr>
                <w:color w:val="000000" w:themeColor="text1"/>
              </w:rPr>
            </w:pPr>
            <w:r w:rsidRPr="0018386D">
              <w:rPr>
                <w:color w:val="000000" w:themeColor="text1"/>
              </w:rPr>
              <w:t xml:space="preserve">53 </w:t>
            </w:r>
          </w:p>
        </w:tc>
        <w:tc>
          <w:tcPr>
            <w:tcW w:w="156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5378CAA8" w14:textId="2D93D9A9" w:rsidR="4DA9D182" w:rsidRPr="0018386D" w:rsidRDefault="4DA9D182" w:rsidP="00DD3106">
            <w:pPr>
              <w:pStyle w:val="TableText"/>
              <w:rPr>
                <w:color w:val="000000" w:themeColor="text1"/>
              </w:rPr>
            </w:pPr>
            <w:r w:rsidRPr="0018386D">
              <w:rPr>
                <w:color w:val="000000" w:themeColor="text1"/>
              </w:rPr>
              <w:t xml:space="preserve">631.55 </w:t>
            </w:r>
          </w:p>
        </w:tc>
        <w:tc>
          <w:tcPr>
            <w:tcW w:w="126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vAlign w:val="bottom"/>
          </w:tcPr>
          <w:p w14:paraId="695F41F2" w14:textId="6A5540A0" w:rsidR="4DA9D182" w:rsidRPr="0018386D" w:rsidRDefault="4DA9D182" w:rsidP="00DD3106">
            <w:pPr>
              <w:pStyle w:val="TableText"/>
              <w:rPr>
                <w:color w:val="000000" w:themeColor="text1"/>
              </w:rPr>
            </w:pPr>
            <w:r w:rsidRPr="0018386D">
              <w:rPr>
                <w:color w:val="000000" w:themeColor="text1"/>
              </w:rPr>
              <w:t xml:space="preserve">12,890.19 </w:t>
            </w:r>
          </w:p>
        </w:tc>
        <w:tc>
          <w:tcPr>
            <w:tcW w:w="1110" w:type="dxa"/>
            <w:tcBorders>
              <w:top w:val="single" w:sz="6" w:space="0" w:color="1C556C" w:themeColor="accent1"/>
              <w:left w:val="single" w:sz="6" w:space="0" w:color="1C556C" w:themeColor="accent1"/>
              <w:bottom w:val="single" w:sz="6" w:space="0" w:color="1C556C" w:themeColor="accent1"/>
              <w:right w:val="single" w:sz="6" w:space="0" w:color="FFFFFF" w:themeColor="background1"/>
            </w:tcBorders>
            <w:tcMar>
              <w:left w:w="105" w:type="dxa"/>
              <w:right w:w="105" w:type="dxa"/>
            </w:tcMar>
            <w:vAlign w:val="bottom"/>
          </w:tcPr>
          <w:p w14:paraId="4EAA104B" w14:textId="6A3DB9BC" w:rsidR="4DA9D182" w:rsidRPr="0018386D" w:rsidRDefault="4DA9D182" w:rsidP="00DD3106">
            <w:pPr>
              <w:pStyle w:val="TableText"/>
              <w:rPr>
                <w:color w:val="000000" w:themeColor="text1"/>
              </w:rPr>
            </w:pPr>
            <w:r w:rsidRPr="0018386D">
              <w:rPr>
                <w:color w:val="000000" w:themeColor="text1"/>
              </w:rPr>
              <w:t xml:space="preserve">11 </w:t>
            </w:r>
          </w:p>
        </w:tc>
      </w:tr>
    </w:tbl>
    <w:p w14:paraId="2F1BA029" w14:textId="422E1A56" w:rsidR="4DA9D182" w:rsidRPr="0018386D" w:rsidRDefault="47704DDE" w:rsidP="00DD3106">
      <w:pPr>
        <w:pStyle w:val="Note"/>
      </w:pPr>
      <w:r w:rsidRPr="0018386D">
        <w:rPr>
          <w:rFonts w:eastAsia="Calibri" w:cs="Calibri"/>
          <w:color w:val="000000" w:themeColor="text1"/>
        </w:rPr>
        <w:t>Note: *</w:t>
      </w:r>
      <w:r w:rsidR="00E70B44" w:rsidRPr="0018386D">
        <w:rPr>
          <w:rFonts w:eastAsia="Calibri" w:cs="Calibri"/>
          <w:color w:val="000000" w:themeColor="text1"/>
        </w:rPr>
        <w:t xml:space="preserve"> </w:t>
      </w:r>
      <w:r w:rsidRPr="0018386D">
        <w:rPr>
          <w:rFonts w:eastAsia="Calibri" w:cs="Calibri"/>
          <w:color w:val="000000" w:themeColor="text1"/>
        </w:rPr>
        <w:t>Average calculated using data from 2016 and 2020.</w:t>
      </w:r>
    </w:p>
    <w:p w14:paraId="650921F6" w14:textId="4BEDF135" w:rsidR="00612B28" w:rsidRPr="0018386D" w:rsidRDefault="00563393" w:rsidP="00DD3106">
      <w:pPr>
        <w:pStyle w:val="BodyText"/>
        <w:keepNext/>
        <w:spacing w:after="180"/>
      </w:pPr>
      <w:r w:rsidRPr="0018386D">
        <w:lastRenderedPageBreak/>
        <w:t>T</w:t>
      </w:r>
      <w:r w:rsidR="00612B28" w:rsidRPr="0018386D">
        <w:t>o calculate the emission factor</w:t>
      </w:r>
      <w:r w:rsidRPr="0018386D">
        <w:t>, first</w:t>
      </w:r>
      <w:r w:rsidR="00612B28" w:rsidRPr="0018386D">
        <w:t xml:space="preserve"> calculate </w:t>
      </w:r>
      <w:r w:rsidR="00522EBC" w:rsidRPr="0018386D">
        <w:t>average</w:t>
      </w:r>
      <w:r w:rsidR="00612B28" w:rsidRPr="0018386D">
        <w:t xml:space="preserve"> fuel </w:t>
      </w:r>
      <w:r w:rsidR="00522EBC" w:rsidRPr="0018386D">
        <w:t xml:space="preserve">(kg) </w:t>
      </w:r>
      <w:r w:rsidR="00612B28" w:rsidRPr="0018386D">
        <w:t>per flight for each aircraft: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blLook w:val="04A0" w:firstRow="1" w:lastRow="0" w:firstColumn="1" w:lastColumn="0" w:noHBand="0" w:noVBand="1"/>
      </w:tblPr>
      <w:tblGrid>
        <w:gridCol w:w="8495"/>
      </w:tblGrid>
      <w:tr w:rsidR="00563393" w:rsidRPr="0018386D" w14:paraId="650921F8" w14:textId="77777777" w:rsidTr="4E404D07">
        <w:tc>
          <w:tcPr>
            <w:tcW w:w="8720" w:type="dxa"/>
            <w:shd w:val="clear" w:color="auto" w:fill="D2DDE1" w:themeFill="background2"/>
          </w:tcPr>
          <w:p w14:paraId="650921F7" w14:textId="6F82848A" w:rsidR="00563393" w:rsidRPr="0018386D" w:rsidRDefault="00C7627E" w:rsidP="00DD3106">
            <w:pPr>
              <w:pStyle w:val="Box"/>
              <w:shd w:val="clear" w:color="auto" w:fill="auto"/>
              <w:spacing w:before="0" w:after="0" w:line="240" w:lineRule="auto"/>
              <w:ind w:left="0"/>
              <w:rPr>
                <w:rFonts w:asciiTheme="minorHAnsi" w:hAnsiTheme="minorHAnsi"/>
                <w:sz w:val="18"/>
                <w:szCs w:val="18"/>
              </w:rPr>
            </w:pPr>
            <m:oMathPara>
              <m:oMath>
                <m:f>
                  <m:fPr>
                    <m:ctrlPr>
                      <w:rPr>
                        <w:rFonts w:ascii="Cambria Math" w:hAnsi="Cambria Math"/>
                        <w:sz w:val="18"/>
                        <w:szCs w:val="18"/>
                      </w:rPr>
                    </m:ctrlPr>
                  </m:fPr>
                  <m:num>
                    <m:r>
                      <w:rPr>
                        <w:rFonts w:ascii="Cambria Math" w:hAnsi="Cambria Math"/>
                        <w:sz w:val="18"/>
                        <w:szCs w:val="18"/>
                      </w:rPr>
                      <m:t>average</m:t>
                    </m:r>
                    <m:r>
                      <w:rPr>
                        <w:rFonts w:ascii="Cambria Math" w:hAnsi="Cambria Math"/>
                        <w:sz w:val="18"/>
                        <w:szCs w:val="18"/>
                      </w:rPr>
                      <m:t xml:space="preserve"> </m:t>
                    </m:r>
                    <m:r>
                      <w:rPr>
                        <w:rFonts w:ascii="Cambria Math" w:hAnsi="Cambria Math"/>
                        <w:sz w:val="18"/>
                        <w:szCs w:val="18"/>
                      </w:rPr>
                      <m:t>total</m:t>
                    </m:r>
                    <m:r>
                      <m:rPr>
                        <m:sty m:val="p"/>
                      </m:rPr>
                      <w:rPr>
                        <w:rFonts w:ascii="Cambria Math" w:hAnsi="Cambria Math"/>
                        <w:sz w:val="18"/>
                        <w:szCs w:val="18"/>
                      </w:rPr>
                      <m:t xml:space="preserve"> </m:t>
                    </m:r>
                    <m:r>
                      <w:rPr>
                        <w:rFonts w:ascii="Cambria Math" w:hAnsi="Cambria Math"/>
                        <w:sz w:val="18"/>
                        <w:szCs w:val="18"/>
                      </w:rPr>
                      <m:t>fuel</m:t>
                    </m:r>
                    <m:r>
                      <m:rPr>
                        <m:sty m:val="p"/>
                      </m:rPr>
                      <w:rPr>
                        <w:rFonts w:ascii="Cambria Math" w:hAnsi="Cambria Math"/>
                        <w:sz w:val="18"/>
                        <w:szCs w:val="18"/>
                      </w:rPr>
                      <m:t xml:space="preserve"> </m:t>
                    </m:r>
                    <m:r>
                      <w:rPr>
                        <w:rFonts w:ascii="Cambria Math" w:hAnsi="Cambria Math"/>
                        <w:sz w:val="18"/>
                        <w:szCs w:val="18"/>
                      </w:rPr>
                      <m:t>used</m:t>
                    </m:r>
                    <m:r>
                      <m:rPr>
                        <m:sty m:val="p"/>
                      </m:rPr>
                      <w:rPr>
                        <w:rFonts w:ascii="Cambria Math" w:hAnsi="Cambria Math"/>
                        <w:sz w:val="18"/>
                        <w:szCs w:val="18"/>
                      </w:rPr>
                      <m:t xml:space="preserve"> </m:t>
                    </m:r>
                    <m:d>
                      <m:dPr>
                        <m:ctrlPr>
                          <w:rPr>
                            <w:rFonts w:ascii="Cambria Math" w:hAnsi="Cambria Math"/>
                            <w:sz w:val="18"/>
                            <w:szCs w:val="18"/>
                          </w:rPr>
                        </m:ctrlPr>
                      </m:dPr>
                      <m:e>
                        <m:r>
                          <w:rPr>
                            <w:rFonts w:ascii="Cambria Math" w:hAnsi="Cambria Math"/>
                            <w:sz w:val="18"/>
                            <w:szCs w:val="18"/>
                          </w:rPr>
                          <m:t>kg</m:t>
                        </m:r>
                      </m:e>
                    </m:d>
                  </m:num>
                  <m:den>
                    <m:r>
                      <w:rPr>
                        <w:rFonts w:ascii="Cambria Math" w:hAnsi="Cambria Math"/>
                        <w:sz w:val="18"/>
                        <w:szCs w:val="18"/>
                      </w:rPr>
                      <m:t>average</m:t>
                    </m:r>
                    <m:r>
                      <w:rPr>
                        <w:rFonts w:ascii="Cambria Math" w:hAnsi="Cambria Math"/>
                        <w:sz w:val="18"/>
                        <w:szCs w:val="18"/>
                      </w:rPr>
                      <m:t xml:space="preserve"> </m:t>
                    </m:r>
                    <m:r>
                      <w:rPr>
                        <w:rFonts w:ascii="Cambria Math" w:hAnsi="Cambria Math"/>
                        <w:sz w:val="18"/>
                        <w:szCs w:val="18"/>
                      </w:rPr>
                      <m:t>number</m:t>
                    </m:r>
                    <m:r>
                      <m:rPr>
                        <m:sty m:val="p"/>
                      </m:rPr>
                      <w:rPr>
                        <w:rFonts w:ascii="Cambria Math" w:hAnsi="Cambria Math"/>
                        <w:sz w:val="18"/>
                        <w:szCs w:val="18"/>
                      </w:rPr>
                      <m:t xml:space="preserve"> </m:t>
                    </m:r>
                    <m:r>
                      <w:rPr>
                        <w:rFonts w:ascii="Cambria Math" w:hAnsi="Cambria Math"/>
                        <w:sz w:val="18"/>
                        <w:szCs w:val="18"/>
                      </w:rPr>
                      <m:t>of</m:t>
                    </m:r>
                    <m:r>
                      <m:rPr>
                        <m:sty m:val="p"/>
                      </m:rPr>
                      <w:rPr>
                        <w:rFonts w:ascii="Cambria Math" w:hAnsi="Cambria Math"/>
                        <w:sz w:val="18"/>
                        <w:szCs w:val="18"/>
                      </w:rPr>
                      <m:t xml:space="preserve"> </m:t>
                    </m:r>
                    <m:r>
                      <w:rPr>
                        <w:rFonts w:ascii="Cambria Math" w:hAnsi="Cambria Math"/>
                        <w:sz w:val="18"/>
                        <w:szCs w:val="18"/>
                      </w:rPr>
                      <m:t>flig</m:t>
                    </m:r>
                    <m:r>
                      <w:rPr>
                        <w:rFonts w:ascii="Cambria Math" w:hAnsi="Cambria Math"/>
                        <w:sz w:val="18"/>
                        <w:szCs w:val="18"/>
                      </w:rPr>
                      <m:t>h</m:t>
                    </m:r>
                    <m:r>
                      <w:rPr>
                        <w:rFonts w:ascii="Cambria Math" w:hAnsi="Cambria Math"/>
                        <w:sz w:val="18"/>
                        <w:szCs w:val="18"/>
                      </w:rPr>
                      <m:t>ts</m:t>
                    </m:r>
                  </m:den>
                </m:f>
              </m:oMath>
            </m:oMathPara>
          </w:p>
        </w:tc>
      </w:tr>
    </w:tbl>
    <w:p w14:paraId="650921F9" w14:textId="3C8AB8DC" w:rsidR="00612B28" w:rsidRPr="0018386D" w:rsidRDefault="00612B28" w:rsidP="00DD3106">
      <w:pPr>
        <w:pStyle w:val="BodyText"/>
        <w:spacing w:before="280" w:after="160"/>
        <w:jc w:val="both"/>
      </w:pPr>
      <w:r w:rsidRPr="0018386D">
        <w:t>T</w:t>
      </w:r>
      <w:r w:rsidR="00563393" w:rsidRPr="0018386D">
        <w:t>hen</w:t>
      </w:r>
      <w:r w:rsidRPr="0018386D">
        <w:t xml:space="preserve"> calculate </w:t>
      </w:r>
      <w:r w:rsidR="00522EBC" w:rsidRPr="0018386D">
        <w:t>average</w:t>
      </w:r>
      <w:r w:rsidRPr="0018386D">
        <w:t xml:space="preserve"> fuel </w:t>
      </w:r>
      <w:r w:rsidR="00522EBC" w:rsidRPr="0018386D">
        <w:t>(kg)</w:t>
      </w:r>
      <w:r w:rsidRPr="0018386D">
        <w:t xml:space="preserve"> per passenger:</w:t>
      </w:r>
    </w:p>
    <w:tbl>
      <w:tblPr>
        <w:tblStyle w:val="mfebox"/>
        <w:tblW w:w="0" w:type="auto"/>
        <w:tblBorders>
          <w:top w:val="single" w:sz="4" w:space="0" w:color="D2DDE1"/>
          <w:left w:val="single" w:sz="4" w:space="0" w:color="D2DDE1"/>
          <w:bottom w:val="single" w:sz="4" w:space="0" w:color="D2DDE1"/>
          <w:right w:val="single" w:sz="4" w:space="0" w:color="D2DDE1"/>
        </w:tblBorders>
        <w:shd w:val="clear" w:color="auto" w:fill="D2DDE1"/>
        <w:tblLook w:val="04A0" w:firstRow="1" w:lastRow="0" w:firstColumn="1" w:lastColumn="0" w:noHBand="0" w:noVBand="1"/>
      </w:tblPr>
      <w:tblGrid>
        <w:gridCol w:w="8495"/>
      </w:tblGrid>
      <w:tr w:rsidR="00563393" w:rsidRPr="0018386D" w14:paraId="650921FB" w14:textId="77777777" w:rsidTr="4E404D07">
        <w:tc>
          <w:tcPr>
            <w:tcW w:w="8720" w:type="dxa"/>
            <w:shd w:val="clear" w:color="auto" w:fill="D2DDE1" w:themeFill="background2"/>
          </w:tcPr>
          <w:p w14:paraId="650921FA" w14:textId="026BC47B" w:rsidR="00563393" w:rsidRPr="0018386D" w:rsidRDefault="00C7627E" w:rsidP="00DD3106">
            <w:pPr>
              <w:pStyle w:val="Box"/>
              <w:shd w:val="clear" w:color="auto" w:fill="auto"/>
              <w:spacing w:before="0" w:after="0"/>
              <w:ind w:left="0"/>
              <w:rPr>
                <w:sz w:val="19"/>
                <w:szCs w:val="19"/>
              </w:rPr>
            </w:pPr>
            <m:oMathPara>
              <m:oMath>
                <m:f>
                  <m:fPr>
                    <m:ctrlPr>
                      <w:rPr>
                        <w:rFonts w:ascii="Cambria Math" w:hAnsi="Cambria Math"/>
                        <w:sz w:val="19"/>
                        <w:szCs w:val="19"/>
                      </w:rPr>
                    </m:ctrlPr>
                  </m:fPr>
                  <m:num>
                    <m:r>
                      <w:rPr>
                        <w:rFonts w:ascii="Cambria Math" w:hAnsi="Cambria Math"/>
                        <w:sz w:val="19"/>
                        <w:szCs w:val="19"/>
                      </w:rPr>
                      <m:t>average</m:t>
                    </m:r>
                    <m:r>
                      <w:rPr>
                        <w:rFonts w:ascii="Cambria Math" w:hAnsi="Cambria Math"/>
                        <w:sz w:val="19"/>
                        <w:szCs w:val="19"/>
                      </w:rPr>
                      <m:t xml:space="preserve"> </m:t>
                    </m:r>
                    <m:r>
                      <w:rPr>
                        <w:rFonts w:ascii="Cambria Math" w:hAnsi="Cambria Math"/>
                        <w:sz w:val="19"/>
                        <w:szCs w:val="19"/>
                      </w:rPr>
                      <m:t>fuel</m:t>
                    </m:r>
                    <m:r>
                      <m:rPr>
                        <m:sty m:val="p"/>
                      </m:rPr>
                      <w:rPr>
                        <w:rFonts w:ascii="Cambria Math" w:hAnsi="Cambria Math"/>
                        <w:sz w:val="19"/>
                        <w:szCs w:val="19"/>
                      </w:rPr>
                      <m:t xml:space="preserve"> (</m:t>
                    </m:r>
                    <m:r>
                      <w:rPr>
                        <w:rFonts w:ascii="Cambria Math" w:hAnsi="Cambria Math"/>
                        <w:sz w:val="19"/>
                        <w:szCs w:val="19"/>
                      </w:rPr>
                      <m:t>kg</m:t>
                    </m:r>
                    <m:r>
                      <m:rPr>
                        <m:sty m:val="p"/>
                      </m:rPr>
                      <w:rPr>
                        <w:rFonts w:ascii="Cambria Math" w:hAnsi="Cambria Math"/>
                        <w:sz w:val="19"/>
                        <w:szCs w:val="19"/>
                      </w:rPr>
                      <m:t xml:space="preserve">) </m:t>
                    </m:r>
                    <m:r>
                      <w:rPr>
                        <w:rFonts w:ascii="Cambria Math" w:hAnsi="Cambria Math"/>
                        <w:sz w:val="19"/>
                        <w:szCs w:val="19"/>
                      </w:rPr>
                      <m:t>per</m:t>
                    </m:r>
                    <m:r>
                      <m:rPr>
                        <m:sty m:val="p"/>
                      </m:rPr>
                      <w:rPr>
                        <w:rFonts w:ascii="Cambria Math" w:hAnsi="Cambria Math"/>
                        <w:sz w:val="19"/>
                        <w:szCs w:val="19"/>
                      </w:rPr>
                      <m:t xml:space="preserve"> </m:t>
                    </m:r>
                    <m:r>
                      <w:rPr>
                        <w:rFonts w:ascii="Cambria Math" w:hAnsi="Cambria Math"/>
                        <w:sz w:val="19"/>
                        <w:szCs w:val="19"/>
                      </w:rPr>
                      <m:t>flig</m:t>
                    </m:r>
                    <m:r>
                      <w:rPr>
                        <w:rFonts w:ascii="Cambria Math" w:hAnsi="Cambria Math"/>
                        <w:sz w:val="19"/>
                        <w:szCs w:val="19"/>
                      </w:rPr>
                      <m:t>h</m:t>
                    </m:r>
                    <m:r>
                      <w:rPr>
                        <w:rFonts w:ascii="Cambria Math" w:hAnsi="Cambria Math"/>
                        <w:sz w:val="19"/>
                        <w:szCs w:val="19"/>
                      </w:rPr>
                      <m:t>t</m:t>
                    </m:r>
                  </m:num>
                  <m:den>
                    <m:r>
                      <w:rPr>
                        <w:rFonts w:ascii="Cambria Math" w:hAnsi="Cambria Math"/>
                        <w:sz w:val="19"/>
                        <w:szCs w:val="19"/>
                      </w:rPr>
                      <m:t>average</m:t>
                    </m:r>
                    <m:r>
                      <w:rPr>
                        <w:rFonts w:ascii="Cambria Math" w:hAnsi="Cambria Math"/>
                        <w:sz w:val="19"/>
                        <w:szCs w:val="19"/>
                      </w:rPr>
                      <m:t xml:space="preserve"> </m:t>
                    </m:r>
                    <m:r>
                      <w:rPr>
                        <w:rFonts w:ascii="Cambria Math" w:hAnsi="Cambria Math"/>
                        <w:sz w:val="19"/>
                        <w:szCs w:val="19"/>
                      </w:rPr>
                      <m:t>seats</m:t>
                    </m:r>
                    <m:r>
                      <m:rPr>
                        <m:sty m:val="p"/>
                      </m:rPr>
                      <w:rPr>
                        <w:rFonts w:ascii="Cambria Math" w:hAnsi="Cambria Math"/>
                        <w:sz w:val="19"/>
                        <w:szCs w:val="19"/>
                      </w:rPr>
                      <m:t>×0.8</m:t>
                    </m:r>
                  </m:den>
                </m:f>
              </m:oMath>
            </m:oMathPara>
          </w:p>
        </w:tc>
      </w:tr>
    </w:tbl>
    <w:p w14:paraId="650921FD" w14:textId="2BFE406E" w:rsidR="002D1C12" w:rsidRPr="0018386D" w:rsidRDefault="00F76EF8" w:rsidP="00DD3106">
      <w:pPr>
        <w:pStyle w:val="Numberedparagraph"/>
        <w:spacing w:before="280" w:after="160"/>
        <w:ind w:left="397" w:hanging="397"/>
        <w:jc w:val="both"/>
      </w:pPr>
      <w:r w:rsidRPr="0018386D">
        <w:t>Using this, next</w:t>
      </w:r>
      <w:r w:rsidR="002D1C12" w:rsidRPr="0018386D">
        <w:t xml:space="preserve"> calculate fuel per passenger per km:</w:t>
      </w:r>
    </w:p>
    <w:tbl>
      <w:tblPr>
        <w:tblStyle w:val="mfebox"/>
        <w:tblW w:w="0" w:type="auto"/>
        <w:tblBorders>
          <w:top w:val="single" w:sz="4" w:space="0" w:color="D2DDE1"/>
          <w:left w:val="single" w:sz="4" w:space="0" w:color="D2DDE1"/>
          <w:bottom w:val="single" w:sz="4" w:space="0" w:color="D2DDE1"/>
          <w:right w:val="single" w:sz="4" w:space="0" w:color="D2DDE1"/>
        </w:tblBorders>
        <w:shd w:val="clear" w:color="auto" w:fill="D2DDE1" w:themeFill="background2"/>
        <w:tblLook w:val="04A0" w:firstRow="1" w:lastRow="0" w:firstColumn="1" w:lastColumn="0" w:noHBand="0" w:noVBand="1"/>
      </w:tblPr>
      <w:tblGrid>
        <w:gridCol w:w="8495"/>
      </w:tblGrid>
      <w:tr w:rsidR="00E05938" w:rsidRPr="0018386D" w14:paraId="650921FF" w14:textId="77777777" w:rsidTr="00602592">
        <w:tc>
          <w:tcPr>
            <w:tcW w:w="8720" w:type="dxa"/>
            <w:shd w:val="clear" w:color="auto" w:fill="D2DDE1" w:themeFill="background2"/>
          </w:tcPr>
          <w:p w14:paraId="650921FE" w14:textId="37562E41" w:rsidR="00E05938" w:rsidRPr="0018386D" w:rsidRDefault="00C7627E" w:rsidP="00DD3106">
            <w:pPr>
              <w:pStyle w:val="Box"/>
              <w:shd w:val="clear" w:color="auto" w:fill="auto"/>
              <w:spacing w:before="0" w:after="0"/>
              <w:ind w:left="0"/>
              <w:rPr>
                <w:rFonts w:asciiTheme="minorHAnsi" w:hAnsiTheme="minorHAnsi"/>
              </w:rPr>
            </w:pPr>
            <m:oMathPara>
              <m:oMath>
                <m:f>
                  <m:fPr>
                    <m:ctrlPr>
                      <w:rPr>
                        <w:rFonts w:ascii="Cambria Math" w:hAnsi="Cambria Math"/>
                        <w:sz w:val="19"/>
                        <w:szCs w:val="19"/>
                      </w:rPr>
                    </m:ctrlPr>
                  </m:fPr>
                  <m:num>
                    <m:r>
                      <w:rPr>
                        <w:rFonts w:ascii="Cambria Math" w:hAnsi="Cambria Math"/>
                        <w:sz w:val="19"/>
                        <w:szCs w:val="19"/>
                      </w:rPr>
                      <m:t>average</m:t>
                    </m:r>
                    <m:r>
                      <w:rPr>
                        <w:rFonts w:ascii="Cambria Math" w:hAnsi="Cambria Math"/>
                        <w:sz w:val="19"/>
                        <w:szCs w:val="19"/>
                      </w:rPr>
                      <m:t xml:space="preserve"> </m:t>
                    </m:r>
                    <m:r>
                      <w:rPr>
                        <w:rFonts w:ascii="Cambria Math" w:hAnsi="Cambria Math"/>
                        <w:sz w:val="19"/>
                        <w:szCs w:val="19"/>
                      </w:rPr>
                      <m:t>fuel</m:t>
                    </m:r>
                    <m:r>
                      <m:rPr>
                        <m:sty m:val="p"/>
                      </m:rPr>
                      <w:rPr>
                        <w:rFonts w:ascii="Cambria Math" w:hAnsi="Cambria Math"/>
                        <w:sz w:val="19"/>
                        <w:szCs w:val="19"/>
                      </w:rPr>
                      <m:t xml:space="preserve"> </m:t>
                    </m:r>
                    <m:d>
                      <m:dPr>
                        <m:ctrlPr>
                          <w:rPr>
                            <w:rFonts w:ascii="Cambria Math" w:hAnsi="Cambria Math"/>
                            <w:sz w:val="19"/>
                            <w:szCs w:val="19"/>
                          </w:rPr>
                        </m:ctrlPr>
                      </m:dPr>
                      <m:e>
                        <m:r>
                          <w:rPr>
                            <w:rFonts w:ascii="Cambria Math" w:hAnsi="Cambria Math"/>
                            <w:sz w:val="19"/>
                            <w:szCs w:val="19"/>
                          </w:rPr>
                          <m:t>kg</m:t>
                        </m:r>
                      </m:e>
                    </m:d>
                    <m:r>
                      <w:rPr>
                        <w:rFonts w:ascii="Cambria Math" w:hAnsi="Cambria Math"/>
                        <w:sz w:val="19"/>
                        <w:szCs w:val="19"/>
                      </w:rPr>
                      <m:t xml:space="preserve"> </m:t>
                    </m:r>
                    <m:r>
                      <w:rPr>
                        <w:rFonts w:ascii="Cambria Math" w:hAnsi="Cambria Math"/>
                        <w:sz w:val="19"/>
                        <w:szCs w:val="19"/>
                      </w:rPr>
                      <m:t>per</m:t>
                    </m:r>
                    <m:r>
                      <m:rPr>
                        <m:sty m:val="p"/>
                      </m:rPr>
                      <w:rPr>
                        <w:rFonts w:ascii="Cambria Math" w:hAnsi="Cambria Math"/>
                        <w:sz w:val="19"/>
                        <w:szCs w:val="19"/>
                      </w:rPr>
                      <m:t xml:space="preserve"> </m:t>
                    </m:r>
                    <m:r>
                      <w:rPr>
                        <w:rFonts w:ascii="Cambria Math" w:hAnsi="Cambria Math"/>
                        <w:sz w:val="19"/>
                        <w:szCs w:val="19"/>
                      </w:rPr>
                      <m:t>passenger</m:t>
                    </m:r>
                  </m:num>
                  <m:den>
                    <m:r>
                      <w:rPr>
                        <w:rFonts w:ascii="Cambria Math" w:hAnsi="Cambria Math"/>
                        <w:sz w:val="19"/>
                        <w:szCs w:val="19"/>
                      </w:rPr>
                      <m:t>average</m:t>
                    </m:r>
                    <m:r>
                      <m:rPr>
                        <m:sty m:val="p"/>
                      </m:rPr>
                      <w:rPr>
                        <w:rFonts w:ascii="Cambria Math" w:hAnsi="Cambria Math"/>
                        <w:sz w:val="19"/>
                        <w:szCs w:val="19"/>
                      </w:rPr>
                      <m:t xml:space="preserve"> </m:t>
                    </m:r>
                    <m:r>
                      <w:rPr>
                        <w:rFonts w:ascii="Cambria Math" w:hAnsi="Cambria Math"/>
                        <w:sz w:val="19"/>
                        <w:szCs w:val="19"/>
                      </w:rPr>
                      <m:t>flig</m:t>
                    </m:r>
                    <m:r>
                      <w:rPr>
                        <w:rFonts w:ascii="Cambria Math" w:hAnsi="Cambria Math"/>
                        <w:sz w:val="19"/>
                        <w:szCs w:val="19"/>
                      </w:rPr>
                      <m:t>h</m:t>
                    </m:r>
                    <m:r>
                      <w:rPr>
                        <w:rFonts w:ascii="Cambria Math" w:hAnsi="Cambria Math"/>
                        <w:sz w:val="19"/>
                        <w:szCs w:val="19"/>
                      </w:rPr>
                      <m:t>t</m:t>
                    </m:r>
                    <m:r>
                      <m:rPr>
                        <m:sty m:val="p"/>
                      </m:rPr>
                      <w:rPr>
                        <w:rFonts w:ascii="Cambria Math" w:hAnsi="Cambria Math"/>
                        <w:sz w:val="19"/>
                        <w:szCs w:val="19"/>
                      </w:rPr>
                      <m:t xml:space="preserve"> </m:t>
                    </m:r>
                    <m:r>
                      <w:rPr>
                        <w:rFonts w:ascii="Cambria Math" w:hAnsi="Cambria Math"/>
                        <w:sz w:val="19"/>
                        <w:szCs w:val="19"/>
                      </w:rPr>
                      <m:t>distance</m:t>
                    </m:r>
                  </m:den>
                </m:f>
              </m:oMath>
            </m:oMathPara>
          </w:p>
        </w:tc>
      </w:tr>
    </w:tbl>
    <w:p w14:paraId="65092201" w14:textId="4F3224B8" w:rsidR="0042309F" w:rsidRPr="0018386D" w:rsidRDefault="007C72B2" w:rsidP="00DD3106">
      <w:pPr>
        <w:pStyle w:val="BodyText"/>
        <w:spacing w:before="240"/>
      </w:pPr>
      <w:r w:rsidRPr="0018386D">
        <w:t>The density of kerosene (the assumed aviation fuel) is 0.</w:t>
      </w:r>
      <w:r w:rsidR="00D15DE7" w:rsidRPr="0018386D">
        <w:t>79</w:t>
      </w:r>
      <w:r w:rsidR="009D3BC4" w:rsidRPr="0018386D">
        <w:t xml:space="preserve"> kg/l</w:t>
      </w:r>
      <w:r w:rsidR="009B64D6" w:rsidRPr="0018386D">
        <w:t>.</w:t>
      </w:r>
      <w:r w:rsidR="00344735" w:rsidRPr="0018386D">
        <w:rPr>
          <w:rStyle w:val="FootnoteReference"/>
        </w:rPr>
        <w:footnoteReference w:id="34"/>
      </w:r>
    </w:p>
    <w:p w14:paraId="28482D91" w14:textId="6656B77B" w:rsidR="00CB3057" w:rsidRPr="0018386D" w:rsidRDefault="007A6CE1" w:rsidP="00DD3106">
      <w:pPr>
        <w:pStyle w:val="BodyText"/>
      </w:pPr>
      <w:r w:rsidRPr="0018386D">
        <w:t xml:space="preserve">Emission factors for each aircraft were determined by multiplying the fuel </w:t>
      </w:r>
      <w:r w:rsidR="008A6738" w:rsidRPr="0018386D">
        <w:t xml:space="preserve">(litres) </w:t>
      </w:r>
      <w:r w:rsidRPr="0018386D">
        <w:t xml:space="preserve">per passenger per kilometre by the kerosene (aviation fuel) emission factor in </w:t>
      </w:r>
      <w:hyperlink w:anchor="table4">
        <w:r w:rsidR="00B162A2" w:rsidRPr="0018386D">
          <w:rPr>
            <w:rStyle w:val="Hyperlink"/>
          </w:rPr>
          <w:t>table 4</w:t>
        </w:r>
      </w:hyperlink>
      <w:r w:rsidR="0064585D" w:rsidRPr="0018386D">
        <w:t xml:space="preserve">. </w:t>
      </w:r>
    </w:p>
    <w:p w14:paraId="3B52E23B" w14:textId="77777777" w:rsidR="00CB3057" w:rsidRPr="0018386D" w:rsidRDefault="00CB3057" w:rsidP="00DD3106">
      <w:pPr>
        <w:pStyle w:val="BodyText"/>
        <w:spacing w:after="100"/>
      </w:pPr>
      <w:r w:rsidRPr="0018386D">
        <w:t>A national average was then calculated using the share of total flights to weight the contributions of each aircraft type.</w:t>
      </w:r>
    </w:p>
    <w:p w14:paraId="75BDD1DD" w14:textId="77777777" w:rsidR="00CB3057" w:rsidRPr="0018386D" w:rsidRDefault="00CB3057" w:rsidP="00DD3106">
      <w:pPr>
        <w:pStyle w:val="BodyText"/>
        <w:spacing w:after="100"/>
      </w:pPr>
      <w:r w:rsidRPr="0018386D">
        <w:t>We then calculated a weighted average emission factor for each size category, using the aircraft types within that size range:</w:t>
      </w:r>
    </w:p>
    <w:p w14:paraId="0E2902B9" w14:textId="77777777" w:rsidR="00CB3057" w:rsidRPr="0018386D" w:rsidRDefault="00CB3057" w:rsidP="00DD3106">
      <w:pPr>
        <w:pStyle w:val="Bullet"/>
        <w:tabs>
          <w:tab w:val="clear" w:pos="397"/>
        </w:tabs>
        <w:spacing w:after="100" w:line="240" w:lineRule="atLeast"/>
        <w:ind w:left="360" w:hanging="360"/>
      </w:pPr>
      <w:r w:rsidRPr="0018386D">
        <w:t>large aircraft: A320neo, A321neo, A320ceo Domestic</w:t>
      </w:r>
    </w:p>
    <w:p w14:paraId="565A3B5D" w14:textId="77777777" w:rsidR="00CB3057" w:rsidRPr="0018386D" w:rsidRDefault="00CB3057" w:rsidP="00DD3106">
      <w:pPr>
        <w:pStyle w:val="Bullet"/>
        <w:tabs>
          <w:tab w:val="clear" w:pos="397"/>
        </w:tabs>
        <w:spacing w:after="100" w:line="240" w:lineRule="atLeast"/>
        <w:ind w:left="360" w:hanging="360"/>
      </w:pPr>
      <w:r w:rsidRPr="0018386D">
        <w:t xml:space="preserve">medium aircraft: ATR 72, De Havilland Canada DHC-8-300 Dash 8/8Q, Q300, FOKKER F50 </w:t>
      </w:r>
    </w:p>
    <w:p w14:paraId="5EA4358D" w14:textId="336CCA73" w:rsidR="00CB3057" w:rsidRPr="0018386D" w:rsidRDefault="00CB3057" w:rsidP="00DD3106">
      <w:pPr>
        <w:pStyle w:val="Bullet"/>
        <w:tabs>
          <w:tab w:val="clear" w:pos="397"/>
        </w:tabs>
        <w:spacing w:after="60" w:line="240" w:lineRule="atLeast"/>
        <w:ind w:left="360" w:hanging="360"/>
      </w:pPr>
      <w:r w:rsidRPr="0018386D">
        <w:t>small aircraft: British Aerospace Jetstream 32, Cessna Light Aircraft, Pilatus PC-12, Beechcraft Beech 1900D, Saab SF-340</w:t>
      </w:r>
    </w:p>
    <w:p w14:paraId="6E557BB7" w14:textId="201C709D" w:rsidR="001A0D0E" w:rsidRPr="0018386D" w:rsidRDefault="002D7AD6" w:rsidP="00DD3106">
      <w:pPr>
        <w:pStyle w:val="Tableheading"/>
      </w:pPr>
      <w:bookmarkStart w:id="536" w:name="table39"/>
      <w:bookmarkStart w:id="537" w:name="_Ref529840606"/>
      <w:bookmarkStart w:id="538" w:name="_Toc111536649"/>
      <w:bookmarkStart w:id="539" w:name="_Toc58790878"/>
      <w:bookmarkStart w:id="540" w:name="_Toc140048979"/>
      <w:r w:rsidRPr="0018386D">
        <w:t xml:space="preserve">Table </w:t>
      </w:r>
      <w:r w:rsidRPr="0018386D">
        <w:fldChar w:fldCharType="begin"/>
      </w:r>
      <w:r w:rsidRPr="0018386D">
        <w:instrText>SEQ Table \* ARABIC</w:instrText>
      </w:r>
      <w:r w:rsidRPr="0018386D">
        <w:fldChar w:fldCharType="separate"/>
      </w:r>
      <w:r w:rsidR="00AD1220" w:rsidRPr="0018386D">
        <w:t>39</w:t>
      </w:r>
      <w:r w:rsidRPr="0018386D">
        <w:fldChar w:fldCharType="end"/>
      </w:r>
      <w:r w:rsidRPr="0018386D">
        <w:t>:</w:t>
      </w:r>
      <w:bookmarkEnd w:id="536"/>
      <w:r w:rsidR="00EB4389" w:rsidRPr="0018386D">
        <w:tab/>
      </w:r>
      <w:bookmarkEnd w:id="537"/>
      <w:r w:rsidR="00EB4389" w:rsidRPr="0018386D">
        <w:t>Calculated</w:t>
      </w:r>
      <w:r w:rsidR="00C7511A" w:rsidRPr="0018386D">
        <w:t xml:space="preserve"> emissions, without the radiative forcing multiplier, per aircraft type</w:t>
      </w:r>
      <w:bookmarkEnd w:id="538"/>
      <w:bookmarkEnd w:id="539"/>
      <w:bookmarkEnd w:id="540"/>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46"/>
        <w:gridCol w:w="647"/>
        <w:gridCol w:w="1462"/>
        <w:gridCol w:w="1293"/>
        <w:gridCol w:w="1293"/>
        <w:gridCol w:w="1364"/>
      </w:tblGrid>
      <w:tr w:rsidR="4DA9D182" w:rsidRPr="0018386D" w14:paraId="33C3A8BF" w14:textId="77777777" w:rsidTr="0098224E">
        <w:trPr>
          <w:trHeight w:val="600"/>
          <w:tblHeader/>
        </w:trPr>
        <w:tc>
          <w:tcPr>
            <w:tcW w:w="2446" w:type="dxa"/>
            <w:tcBorders>
              <w:top w:val="single" w:sz="6" w:space="0" w:color="1C556C" w:themeColor="accent1"/>
              <w:left w:val="nil"/>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1368C537" w14:textId="3189B71F" w:rsidR="4DA9D182" w:rsidRPr="0018386D" w:rsidRDefault="4DA9D182" w:rsidP="00DD3106">
            <w:pPr>
              <w:pStyle w:val="TableTextbold"/>
              <w:rPr>
                <w:color w:val="FFFFFF" w:themeColor="background1"/>
              </w:rPr>
            </w:pPr>
            <w:r w:rsidRPr="0018386D">
              <w:rPr>
                <w:color w:val="FFFFFF" w:themeColor="background1"/>
              </w:rPr>
              <w:t>Aircraft type</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3ECC1B56" w14:textId="5B82A615" w:rsidR="4DA9D182" w:rsidRPr="0018386D" w:rsidRDefault="4DA9D182" w:rsidP="00DD3106">
            <w:pPr>
              <w:pStyle w:val="TableTextbold"/>
              <w:jc w:val="left"/>
              <w:rPr>
                <w:color w:val="FFFFFF" w:themeColor="background1"/>
              </w:rPr>
            </w:pPr>
            <w:r w:rsidRPr="0018386D">
              <w:rPr>
                <w:color w:val="FFFFFF" w:themeColor="background1"/>
                <w:sz w:val="20"/>
              </w:rPr>
              <w:t>Unit</w:t>
            </w:r>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1E9251A0" w14:textId="00E042A1" w:rsidR="4DA9D182" w:rsidRPr="0018386D" w:rsidRDefault="4DA9D182" w:rsidP="00DD3106">
            <w:pPr>
              <w:pStyle w:val="TableTextbold"/>
              <w:jc w:val="left"/>
              <w:rPr>
                <w:color w:val="000000" w:themeColor="text1"/>
              </w:rPr>
            </w:pPr>
            <w:r w:rsidRPr="0018386D">
              <w:rPr>
                <w:color w:val="FFFFFF" w:themeColor="background1"/>
                <w:sz w:val="20"/>
              </w:rPr>
              <w:t>kg CO</w:t>
            </w:r>
            <w:r w:rsidRPr="0018386D">
              <w:rPr>
                <w:color w:val="FFFFFF" w:themeColor="background1"/>
                <w:sz w:val="20"/>
                <w:vertAlign w:val="subscript"/>
              </w:rPr>
              <w:t>2</w:t>
            </w:r>
            <w:r w:rsidRPr="0018386D">
              <w:rPr>
                <w:color w:val="FFFFFF" w:themeColor="background1"/>
                <w:sz w:val="20"/>
              </w:rPr>
              <w:t>-e/unit</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7E7D7126" w14:textId="2D5E54DB" w:rsidR="4DA9D182" w:rsidRPr="0018386D" w:rsidRDefault="4DA9D182" w:rsidP="00DD3106">
            <w:pPr>
              <w:pStyle w:val="TableTextbold"/>
              <w:jc w:val="left"/>
              <w:rPr>
                <w:color w:val="FFFFFF" w:themeColor="background1"/>
              </w:rPr>
            </w:pPr>
            <w:r w:rsidRPr="0018386D">
              <w:rPr>
                <w:color w:val="FFFFFF" w:themeColor="background1"/>
              </w:rPr>
              <w:t>kg CO</w:t>
            </w:r>
            <w:r w:rsidRPr="0018386D">
              <w:rPr>
                <w:color w:val="FFFFFF" w:themeColor="background1"/>
                <w:vertAlign w:val="subscript"/>
              </w:rPr>
              <w:t>2</w:t>
            </w:r>
            <w:r w:rsidRPr="0018386D">
              <w:rPr>
                <w:color w:val="FFFFFF" w:themeColor="background1"/>
              </w:rPr>
              <w:t>/unit (kg CO</w:t>
            </w:r>
            <w:r w:rsidRPr="0018386D">
              <w:rPr>
                <w:color w:val="FFFFFF" w:themeColor="background1"/>
                <w:vertAlign w:val="subscript"/>
              </w:rPr>
              <w:t>2</w:t>
            </w:r>
            <w:r w:rsidRPr="0018386D">
              <w:rPr>
                <w:color w:val="FFFFFF" w:themeColor="background1"/>
              </w:rPr>
              <w:t>-e)</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751E96DB" w14:textId="604B3617" w:rsidR="4DA9D182" w:rsidRPr="0018386D" w:rsidRDefault="4DA9D182" w:rsidP="00DD3106">
            <w:pPr>
              <w:pStyle w:val="TableTextbold"/>
              <w:jc w:val="left"/>
              <w:rPr>
                <w:color w:val="FFFFFF" w:themeColor="background1"/>
              </w:rPr>
            </w:pPr>
            <w:r w:rsidRPr="0018386D">
              <w:rPr>
                <w:color w:val="FFFFFF" w:themeColor="background1"/>
              </w:rPr>
              <w:t>kg CH</w:t>
            </w:r>
            <w:r w:rsidRPr="0018386D">
              <w:rPr>
                <w:color w:val="FFFFFF" w:themeColor="background1"/>
                <w:vertAlign w:val="subscript"/>
              </w:rPr>
              <w:t>4</w:t>
            </w:r>
            <w:r w:rsidRPr="0018386D">
              <w:rPr>
                <w:color w:val="FFFFFF" w:themeColor="background1"/>
              </w:rPr>
              <w:t>/unit (kg CO</w:t>
            </w:r>
            <w:r w:rsidRPr="0018386D">
              <w:rPr>
                <w:color w:val="FFFFFF" w:themeColor="background1"/>
                <w:vertAlign w:val="subscript"/>
              </w:rPr>
              <w:t>2</w:t>
            </w:r>
            <w:r w:rsidRPr="0018386D">
              <w:rPr>
                <w:color w:val="FFFFFF" w:themeColor="background1"/>
              </w:rPr>
              <w:t>-e)</w:t>
            </w:r>
          </w:p>
        </w:tc>
        <w:tc>
          <w:tcPr>
            <w:tcW w:w="1364" w:type="dxa"/>
            <w:tcBorders>
              <w:top w:val="single" w:sz="6" w:space="0" w:color="1C556C" w:themeColor="accent1"/>
              <w:left w:val="single" w:sz="6" w:space="0" w:color="1C556C" w:themeColor="accent1"/>
              <w:bottom w:val="single" w:sz="6" w:space="0" w:color="1C556C" w:themeColor="accent1"/>
              <w:right w:val="nil"/>
            </w:tcBorders>
            <w:shd w:val="clear" w:color="auto" w:fill="1C556C" w:themeFill="accent1"/>
            <w:tcMar>
              <w:left w:w="105" w:type="dxa"/>
              <w:right w:w="105" w:type="dxa"/>
            </w:tcMar>
            <w:vAlign w:val="bottom"/>
          </w:tcPr>
          <w:p w14:paraId="3C9E35E9" w14:textId="3024CFE9" w:rsidR="4DA9D182" w:rsidRPr="0018386D" w:rsidRDefault="4DA9D182" w:rsidP="00DD3106">
            <w:pPr>
              <w:pStyle w:val="TableTextbold"/>
              <w:jc w:val="left"/>
              <w:rPr>
                <w:color w:val="FFFFFF" w:themeColor="background1"/>
              </w:rPr>
            </w:pPr>
            <w:r w:rsidRPr="0018386D">
              <w:rPr>
                <w:color w:val="FFFFFF" w:themeColor="background1"/>
              </w:rPr>
              <w:t>kg N</w:t>
            </w:r>
            <w:r w:rsidRPr="0018386D">
              <w:rPr>
                <w:color w:val="FFFFFF" w:themeColor="background1"/>
                <w:vertAlign w:val="subscript"/>
              </w:rPr>
              <w:t>2</w:t>
            </w:r>
            <w:r w:rsidRPr="0018386D">
              <w:rPr>
                <w:color w:val="FFFFFF" w:themeColor="background1"/>
              </w:rPr>
              <w:t>O/unit (kg CO</w:t>
            </w:r>
            <w:r w:rsidRPr="0018386D">
              <w:rPr>
                <w:color w:val="FFFFFF" w:themeColor="background1"/>
                <w:vertAlign w:val="subscript"/>
              </w:rPr>
              <w:t>2</w:t>
            </w:r>
            <w:r w:rsidRPr="0018386D">
              <w:rPr>
                <w:color w:val="FFFFFF" w:themeColor="background1"/>
              </w:rPr>
              <w:t>-e)</w:t>
            </w:r>
          </w:p>
        </w:tc>
      </w:tr>
      <w:tr w:rsidR="4DA9D182" w:rsidRPr="0018386D" w14:paraId="2DFFA0F6" w14:textId="77777777" w:rsidTr="4DA9D182">
        <w:trPr>
          <w:trHeight w:val="375"/>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52131CC1" w14:textId="6432F6B6"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Airbus A320*</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9ABDB02" w14:textId="2B5EF473"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14B51B1D" w14:textId="3B892775"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0.090</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43FDBC28" w14:textId="07CFCE30"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0.087</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4D5B06B9" w14:textId="3F253405"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1CEADE42" w14:textId="35EA9928"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0.002</w:t>
            </w:r>
          </w:p>
        </w:tc>
      </w:tr>
      <w:tr w:rsidR="4DA9D182" w:rsidRPr="0018386D" w14:paraId="173BF312" w14:textId="77777777" w:rsidTr="4DA9D182">
        <w:trPr>
          <w:trHeight w:val="600"/>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6EF6984C" w14:textId="08DAFADD"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Aerospatiale/</w:t>
            </w:r>
            <w:proofErr w:type="spellStart"/>
            <w:r w:rsidRPr="0018386D">
              <w:rPr>
                <w:rFonts w:eastAsia="Calibri" w:cs="Calibri"/>
                <w:color w:val="000000" w:themeColor="text1"/>
              </w:rPr>
              <w:t>Alenia</w:t>
            </w:r>
            <w:proofErr w:type="spellEnd"/>
            <w:r w:rsidRPr="0018386D">
              <w:rPr>
                <w:rFonts w:eastAsia="Calibri" w:cs="Calibri"/>
                <w:color w:val="000000" w:themeColor="text1"/>
              </w:rPr>
              <w:t xml:space="preserve"> ATR 72*</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1C4EF384" w14:textId="1906C238"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39C66319" w14:textId="0BC716B6"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0.093</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4D3FF1B5" w14:textId="35D0F24D"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0.090</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3E5877B8" w14:textId="489F598F"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4264C91F" w14:textId="71E0171F"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0.003</w:t>
            </w:r>
          </w:p>
        </w:tc>
      </w:tr>
      <w:tr w:rsidR="4DA9D182" w:rsidRPr="0018386D" w14:paraId="533B00D4" w14:textId="77777777" w:rsidTr="4DA9D182">
        <w:trPr>
          <w:trHeight w:val="600"/>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5E32FE23" w14:textId="379D57A5"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British Aerospace Jetstream 32</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CFE62FB" w14:textId="2B906A8A"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3EDACBCD" w14:textId="2396C3A0"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0.237</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0CF3164" w14:textId="248D2873"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0.229</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50C74E3F" w14:textId="269FD98E"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0.002</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08F01854" w14:textId="2B1A4D38"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0.006</w:t>
            </w:r>
          </w:p>
        </w:tc>
      </w:tr>
      <w:tr w:rsidR="4DA9D182" w:rsidRPr="0018386D" w14:paraId="39DEAFEE" w14:textId="77777777" w:rsidTr="4DA9D182">
        <w:trPr>
          <w:trHeight w:val="375"/>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1FFDE444" w14:textId="5DCC0B35"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Beechcraft Beech 1900D</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267D7410" w14:textId="3ADD7DF3"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42C8824E" w14:textId="3948AA88"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0.186</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17BCC557" w14:textId="7D1F18B2"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0.180</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F5E3A64" w14:textId="772C671D"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0.002</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3ECEAE3F" w14:textId="7AD86CF9"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0.005</w:t>
            </w:r>
          </w:p>
        </w:tc>
      </w:tr>
      <w:tr w:rsidR="4DA9D182" w:rsidRPr="0018386D" w14:paraId="5BC93FD6" w14:textId="77777777" w:rsidTr="4DA9D182">
        <w:trPr>
          <w:trHeight w:val="360"/>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332A738C" w14:textId="50D9A322"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Cessna Light Aircraft</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40DBD19" w14:textId="79D8FFA3"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50C35154" w14:textId="469B08BB"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0.552</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B432B93" w14:textId="5914646C"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0.534</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2AB060B7" w14:textId="22DBD184"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0.004</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14424743" w14:textId="47494255"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0.014</w:t>
            </w:r>
          </w:p>
        </w:tc>
      </w:tr>
      <w:tr w:rsidR="4DA9D182" w:rsidRPr="0018386D" w14:paraId="64B9230D" w14:textId="77777777" w:rsidTr="4DA9D182">
        <w:trPr>
          <w:trHeight w:val="600"/>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5272341E" w14:textId="63DD10F9"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De Havilland Canada DHC-8-300 Dash 8/8Q*</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4D8C31A2" w14:textId="202080E2"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30A730FC" w14:textId="1A8E94FA"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0.145</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737397BE" w14:textId="4FD1F7C6"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0.140</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0E4E1C9" w14:textId="741458B8"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22360CA7" w14:textId="6A07E40D"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0.004</w:t>
            </w:r>
          </w:p>
        </w:tc>
      </w:tr>
      <w:tr w:rsidR="4DA9D182" w:rsidRPr="0018386D" w14:paraId="4E6721E2" w14:textId="77777777" w:rsidTr="4DA9D182">
        <w:trPr>
          <w:trHeight w:val="375"/>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543FECA1" w14:textId="09ACC188"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lastRenderedPageBreak/>
              <w:t>Pilatus PC-12</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3D08A71B" w14:textId="424E0D73"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6C761F94" w14:textId="04717E03"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0.188</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D39FF7C" w14:textId="1DAB0C51"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0.182</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921C903" w14:textId="1A4397DB"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0.002</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5F1FFB49" w14:textId="4021DFDE"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0.005</w:t>
            </w:r>
          </w:p>
        </w:tc>
      </w:tr>
      <w:tr w:rsidR="4DA9D182" w:rsidRPr="0018386D" w14:paraId="58FE97E4" w14:textId="77777777" w:rsidTr="4DA9D182">
        <w:trPr>
          <w:trHeight w:val="360"/>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3D72D50F" w14:textId="405694F6"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Saab SF-340</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5420EB42" w14:textId="5C7EE343"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34535AD0" w14:textId="31E5179C"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0.097</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77738B87" w14:textId="2B131098"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0.094</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D40C56B" w14:textId="7F768134"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1CB726B2" w14:textId="2C7099E3"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0.002</w:t>
            </w:r>
          </w:p>
        </w:tc>
      </w:tr>
      <w:tr w:rsidR="4DA9D182" w:rsidRPr="0018386D" w14:paraId="208D9A6C" w14:textId="77777777" w:rsidTr="4DA9D182">
        <w:trPr>
          <w:trHeight w:val="375"/>
        </w:trPr>
        <w:tc>
          <w:tcPr>
            <w:tcW w:w="244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23A0C780" w14:textId="0750BCF6" w:rsidR="4DA9D182" w:rsidRPr="0018386D" w:rsidRDefault="4DA9D182" w:rsidP="00DD3106">
            <w:pPr>
              <w:pStyle w:val="TableText"/>
              <w:jc w:val="left"/>
              <w:rPr>
                <w:rFonts w:eastAsia="Calibri" w:cs="Calibri"/>
                <w:b/>
                <w:color w:val="000000" w:themeColor="text1"/>
              </w:rPr>
            </w:pPr>
            <w:r w:rsidRPr="0018386D">
              <w:rPr>
                <w:rFonts w:eastAsia="Calibri" w:cs="Calibri"/>
                <w:color w:val="000000" w:themeColor="text1"/>
              </w:rPr>
              <w:t>FOKKER F50</w:t>
            </w:r>
          </w:p>
        </w:tc>
        <w:tc>
          <w:tcPr>
            <w:tcW w:w="64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FBCCB5A" w14:textId="7C3467B0" w:rsidR="4DA9D182" w:rsidRPr="0018386D" w:rsidRDefault="4DA9D182"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462"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7A23E60D" w14:textId="6460749B"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0.091</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3A0A61A4" w14:textId="1E1C19DA"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0.088</w:t>
            </w:r>
          </w:p>
        </w:tc>
        <w:tc>
          <w:tcPr>
            <w:tcW w:w="129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3146C418" w14:textId="473F7662"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4"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32F15509" w14:textId="45B64738" w:rsidR="4DA9D182" w:rsidRPr="0018386D" w:rsidRDefault="4DA9D182" w:rsidP="00DD3106">
            <w:pPr>
              <w:pStyle w:val="TableText"/>
              <w:jc w:val="right"/>
              <w:rPr>
                <w:rFonts w:eastAsia="Calibri" w:cs="Calibri"/>
                <w:color w:val="000000" w:themeColor="text1"/>
              </w:rPr>
            </w:pPr>
            <w:r w:rsidRPr="0018386D">
              <w:rPr>
                <w:rFonts w:eastAsia="Calibri" w:cs="Calibri"/>
                <w:color w:val="000000" w:themeColor="text1"/>
              </w:rPr>
              <w:t>0.002</w:t>
            </w:r>
          </w:p>
        </w:tc>
      </w:tr>
    </w:tbl>
    <w:p w14:paraId="4AA99E8A" w14:textId="77543E5E" w:rsidR="0AF60D55" w:rsidRPr="0018386D" w:rsidRDefault="0AF60D55" w:rsidP="00DD3106">
      <w:pPr>
        <w:pStyle w:val="Note"/>
        <w:rPr>
          <w:rFonts w:eastAsia="Calibri" w:cs="Calibri"/>
          <w:color w:val="000000" w:themeColor="text1"/>
        </w:rPr>
      </w:pPr>
      <w:r w:rsidRPr="0018386D">
        <w:rPr>
          <w:rFonts w:eastAsia="Calibri" w:cs="Calibri"/>
          <w:color w:val="000000" w:themeColor="text1"/>
        </w:rPr>
        <w:t xml:space="preserve">Note: These numbers are rounded to three decimal places unless the number is significantly small. </w:t>
      </w:r>
      <w:r w:rsidR="3B1C5A5C" w:rsidRPr="0018386D">
        <w:rPr>
          <w:rFonts w:eastAsia="Calibri" w:cs="Calibri"/>
          <w:color w:val="000000" w:themeColor="text1"/>
        </w:rPr>
        <w:t>2020 data unless denoted otherwise</w:t>
      </w:r>
      <w:r w:rsidR="00C91021" w:rsidRPr="0018386D">
        <w:rPr>
          <w:rFonts w:eastAsia="Calibri" w:cs="Calibri"/>
          <w:color w:val="000000" w:themeColor="text1"/>
        </w:rPr>
        <w:t>.</w:t>
      </w:r>
      <w:r w:rsidR="3B1C5A5C" w:rsidRPr="0018386D">
        <w:rPr>
          <w:rFonts w:eastAsia="Calibri" w:cs="Calibri"/>
          <w:color w:val="000000" w:themeColor="text1"/>
        </w:rPr>
        <w:t xml:space="preserve"> </w:t>
      </w:r>
      <w:r w:rsidRPr="0018386D">
        <w:rPr>
          <w:rFonts w:eastAsia="Calibri" w:cs="Calibri"/>
          <w:color w:val="000000" w:themeColor="text1"/>
        </w:rPr>
        <w:t>*</w:t>
      </w:r>
      <w:r w:rsidR="006C27C6" w:rsidRPr="0018386D">
        <w:rPr>
          <w:rFonts w:eastAsia="Calibri" w:cs="Calibri"/>
          <w:color w:val="000000" w:themeColor="text1"/>
        </w:rPr>
        <w:t xml:space="preserve"> </w:t>
      </w:r>
      <w:r w:rsidRPr="0018386D">
        <w:rPr>
          <w:rFonts w:eastAsia="Calibri" w:cs="Calibri"/>
          <w:color w:val="000000" w:themeColor="text1"/>
        </w:rPr>
        <w:t>Average calculated using data from 2016 and 2020.</w:t>
      </w:r>
    </w:p>
    <w:p w14:paraId="7E308090" w14:textId="390E219E" w:rsidR="00C7511A" w:rsidRPr="0018386D" w:rsidRDefault="002D7AD6" w:rsidP="00DD3106">
      <w:pPr>
        <w:pStyle w:val="Tableheading"/>
        <w:rPr>
          <w:color w:val="000000" w:themeColor="text1"/>
        </w:rPr>
      </w:pPr>
      <w:bookmarkStart w:id="541" w:name="table40"/>
      <w:bookmarkStart w:id="542" w:name="_Toc111536650"/>
      <w:bookmarkStart w:id="543" w:name="_Toc140048980"/>
      <w:r w:rsidRPr="0018386D">
        <w:t xml:space="preserve">Table </w:t>
      </w:r>
      <w:r w:rsidRPr="0018386D">
        <w:fldChar w:fldCharType="begin"/>
      </w:r>
      <w:r w:rsidRPr="0018386D">
        <w:instrText>SEQ Table \* ARABIC</w:instrText>
      </w:r>
      <w:r w:rsidRPr="0018386D">
        <w:fldChar w:fldCharType="separate"/>
      </w:r>
      <w:r w:rsidR="00AD1220" w:rsidRPr="0018386D">
        <w:t>40</w:t>
      </w:r>
      <w:r w:rsidRPr="0018386D">
        <w:fldChar w:fldCharType="end"/>
      </w:r>
      <w:bookmarkEnd w:id="541"/>
      <w:r w:rsidRPr="0018386D">
        <w:t>:</w:t>
      </w:r>
      <w:r w:rsidR="00EB4389" w:rsidRPr="0018386D">
        <w:tab/>
        <w:t>Calculated</w:t>
      </w:r>
      <w:r w:rsidR="00C7511A" w:rsidRPr="0018386D">
        <w:t xml:space="preserve"> emissions, with the radiative forcing multiplier, per aircraft type</w:t>
      </w:r>
      <w:bookmarkEnd w:id="542"/>
      <w:bookmarkEnd w:id="543"/>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36"/>
        <w:gridCol w:w="825"/>
        <w:gridCol w:w="1287"/>
        <w:gridCol w:w="1295"/>
        <w:gridCol w:w="1295"/>
        <w:gridCol w:w="1366"/>
      </w:tblGrid>
      <w:tr w:rsidR="006316C3" w:rsidRPr="0018386D" w14:paraId="2F9E6A8E" w14:textId="77777777" w:rsidTr="00087D20">
        <w:trPr>
          <w:trHeight w:val="600"/>
        </w:trPr>
        <w:tc>
          <w:tcPr>
            <w:tcW w:w="2436" w:type="dxa"/>
            <w:tcBorders>
              <w:top w:val="single" w:sz="6" w:space="0" w:color="1C556C" w:themeColor="accent1"/>
              <w:left w:val="nil"/>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58EA562B" w14:textId="7BB2B904" w:rsidR="2FB6BD91" w:rsidRPr="0018386D" w:rsidRDefault="6126EF48" w:rsidP="00DD3106">
            <w:pPr>
              <w:pStyle w:val="TableText"/>
              <w:rPr>
                <w:rFonts w:eastAsia="Calibri" w:cs="Calibri"/>
                <w:b/>
                <w:color w:val="FFFFFF" w:themeColor="background1"/>
              </w:rPr>
            </w:pPr>
            <w:r w:rsidRPr="0018386D">
              <w:rPr>
                <w:rFonts w:eastAsia="Calibri" w:cs="Calibri"/>
                <w:b/>
                <w:color w:val="FFFFFF" w:themeColor="background1"/>
              </w:rPr>
              <w:t>Aircraft type</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05F980A6" w14:textId="0B3EC66B" w:rsidR="2FB6BD91" w:rsidRPr="0018386D" w:rsidRDefault="6126EF48" w:rsidP="00DD3106">
            <w:pPr>
              <w:pStyle w:val="TableText"/>
              <w:jc w:val="left"/>
              <w:rPr>
                <w:rFonts w:eastAsia="Calibri" w:cs="Calibri"/>
                <w:b/>
                <w:color w:val="FFFFFF" w:themeColor="background1"/>
              </w:rPr>
            </w:pPr>
            <w:r w:rsidRPr="0018386D">
              <w:rPr>
                <w:rFonts w:eastAsia="Calibri" w:cs="Calibri"/>
                <w:b/>
                <w:color w:val="FFFFFF" w:themeColor="background1"/>
              </w:rPr>
              <w:t>Unit</w:t>
            </w:r>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2C8C34E2" w14:textId="243E299A" w:rsidR="2FB6BD91" w:rsidRPr="0018386D" w:rsidRDefault="6126EF48" w:rsidP="00DD3106">
            <w:pPr>
              <w:pStyle w:val="TableText"/>
              <w:jc w:val="left"/>
              <w:rPr>
                <w:rFonts w:eastAsia="Calibri" w:cs="Calibri"/>
                <w:b/>
                <w:color w:val="FFFFFF" w:themeColor="background1"/>
              </w:rPr>
            </w:pPr>
            <w:r w:rsidRPr="0018386D">
              <w:rPr>
                <w:rFonts w:eastAsia="Calibri" w:cs="Calibri"/>
                <w:b/>
                <w:color w:val="FFFFFF" w:themeColor="background1"/>
              </w:rPr>
              <w:t>kg CO</w:t>
            </w:r>
            <w:r w:rsidRPr="0018386D">
              <w:rPr>
                <w:rFonts w:eastAsia="Calibri" w:cs="Calibri"/>
                <w:b/>
                <w:color w:val="FFFFFF" w:themeColor="background1"/>
                <w:vertAlign w:val="subscript"/>
              </w:rPr>
              <w:t>2</w:t>
            </w:r>
            <w:r w:rsidRPr="0018386D">
              <w:rPr>
                <w:rFonts w:eastAsia="Calibri" w:cs="Calibri"/>
                <w:b/>
                <w:color w:val="FFFFFF" w:themeColor="background1"/>
              </w:rPr>
              <w:t>-e/unit</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39FD2675" w14:textId="7E72E275" w:rsidR="2FB6BD91" w:rsidRPr="0018386D" w:rsidRDefault="6126EF48" w:rsidP="00DD3106">
            <w:pPr>
              <w:pStyle w:val="TableText"/>
              <w:jc w:val="left"/>
              <w:rPr>
                <w:rFonts w:eastAsia="Calibri" w:cs="Calibri"/>
                <w:b/>
                <w:color w:val="FFFFFF" w:themeColor="background1"/>
              </w:rPr>
            </w:pPr>
            <w:r w:rsidRPr="0018386D">
              <w:rPr>
                <w:rFonts w:eastAsia="Calibri" w:cs="Calibri"/>
                <w:b/>
                <w:color w:val="FFFFFF" w:themeColor="background1"/>
              </w:rPr>
              <w:t>kg CO</w:t>
            </w:r>
            <w:r w:rsidRPr="0018386D">
              <w:rPr>
                <w:rFonts w:eastAsia="Calibri" w:cs="Calibri"/>
                <w:b/>
                <w:color w:val="FFFFFF" w:themeColor="background1"/>
                <w:vertAlign w:val="subscript"/>
              </w:rPr>
              <w:t>2</w:t>
            </w:r>
            <w:r w:rsidRPr="0018386D">
              <w:rPr>
                <w:rFonts w:eastAsia="Calibri" w:cs="Calibri"/>
                <w:b/>
                <w:color w:val="FFFFFF" w:themeColor="background1"/>
              </w:rPr>
              <w:t>/unit (kg CO</w:t>
            </w:r>
            <w:r w:rsidRPr="0018386D">
              <w:rPr>
                <w:rFonts w:eastAsia="Calibri" w:cs="Calibri"/>
                <w:b/>
                <w:color w:val="FFFFFF" w:themeColor="background1"/>
                <w:vertAlign w:val="subscript"/>
              </w:rPr>
              <w:t>2</w:t>
            </w:r>
            <w:r w:rsidRPr="0018386D">
              <w:rPr>
                <w:rFonts w:eastAsia="Calibri" w:cs="Calibri"/>
                <w:b/>
                <w:color w:val="FFFFFF" w:themeColor="background1"/>
              </w:rPr>
              <w:t>-e)</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1C556C" w:themeFill="accent1"/>
            <w:tcMar>
              <w:left w:w="105" w:type="dxa"/>
              <w:right w:w="105" w:type="dxa"/>
            </w:tcMar>
            <w:vAlign w:val="bottom"/>
          </w:tcPr>
          <w:p w14:paraId="10BF8E90" w14:textId="512B6C37" w:rsidR="2FB6BD91" w:rsidRPr="0018386D" w:rsidRDefault="6126EF48" w:rsidP="00DD3106">
            <w:pPr>
              <w:pStyle w:val="TableText"/>
              <w:jc w:val="left"/>
              <w:rPr>
                <w:rFonts w:eastAsia="Calibri" w:cs="Calibri"/>
                <w:b/>
                <w:color w:val="FFFFFF" w:themeColor="background1"/>
              </w:rPr>
            </w:pPr>
            <w:r w:rsidRPr="0018386D">
              <w:rPr>
                <w:rFonts w:eastAsia="Calibri" w:cs="Calibri"/>
                <w:b/>
                <w:color w:val="FFFFFF" w:themeColor="background1"/>
              </w:rPr>
              <w:t>kg CH</w:t>
            </w:r>
            <w:r w:rsidRPr="0018386D">
              <w:rPr>
                <w:rFonts w:eastAsia="Calibri" w:cs="Calibri"/>
                <w:b/>
                <w:color w:val="FFFFFF" w:themeColor="background1"/>
                <w:vertAlign w:val="subscript"/>
              </w:rPr>
              <w:t>4</w:t>
            </w:r>
            <w:r w:rsidRPr="0018386D">
              <w:rPr>
                <w:rFonts w:eastAsia="Calibri" w:cs="Calibri"/>
                <w:b/>
                <w:color w:val="FFFFFF" w:themeColor="background1"/>
              </w:rPr>
              <w:t>/unit (kg CO</w:t>
            </w:r>
            <w:r w:rsidRPr="0018386D">
              <w:rPr>
                <w:rFonts w:eastAsia="Calibri" w:cs="Calibri"/>
                <w:b/>
                <w:color w:val="FFFFFF" w:themeColor="background1"/>
                <w:vertAlign w:val="subscript"/>
              </w:rPr>
              <w:t>2</w:t>
            </w:r>
            <w:r w:rsidRPr="0018386D">
              <w:rPr>
                <w:rFonts w:eastAsia="Calibri" w:cs="Calibri"/>
                <w:b/>
                <w:color w:val="FFFFFF" w:themeColor="background1"/>
              </w:rPr>
              <w:t>-e)</w:t>
            </w:r>
          </w:p>
        </w:tc>
        <w:tc>
          <w:tcPr>
            <w:tcW w:w="1366" w:type="dxa"/>
            <w:tcBorders>
              <w:top w:val="single" w:sz="6" w:space="0" w:color="1C556C" w:themeColor="accent1"/>
              <w:left w:val="single" w:sz="6" w:space="0" w:color="1C556C" w:themeColor="accent1"/>
              <w:bottom w:val="single" w:sz="6" w:space="0" w:color="1C556C" w:themeColor="accent1"/>
              <w:right w:val="nil"/>
            </w:tcBorders>
            <w:shd w:val="clear" w:color="auto" w:fill="1C556C" w:themeFill="accent1"/>
            <w:tcMar>
              <w:left w:w="105" w:type="dxa"/>
              <w:right w:w="105" w:type="dxa"/>
            </w:tcMar>
            <w:vAlign w:val="bottom"/>
          </w:tcPr>
          <w:p w14:paraId="721E247C" w14:textId="752EF36F" w:rsidR="2FB6BD91" w:rsidRPr="0018386D" w:rsidRDefault="6126EF48" w:rsidP="00DD3106">
            <w:pPr>
              <w:pStyle w:val="TableText"/>
              <w:jc w:val="left"/>
              <w:rPr>
                <w:rFonts w:eastAsia="Calibri" w:cs="Calibri"/>
                <w:b/>
                <w:color w:val="FFFFFF" w:themeColor="background1"/>
              </w:rPr>
            </w:pPr>
            <w:r w:rsidRPr="0018386D">
              <w:rPr>
                <w:rFonts w:eastAsia="Calibri" w:cs="Calibri"/>
                <w:b/>
                <w:color w:val="FFFFFF" w:themeColor="background1"/>
              </w:rPr>
              <w:t>kg N</w:t>
            </w:r>
            <w:r w:rsidRPr="0018386D">
              <w:rPr>
                <w:rFonts w:eastAsia="Calibri" w:cs="Calibri"/>
                <w:b/>
                <w:color w:val="FFFFFF" w:themeColor="background1"/>
                <w:vertAlign w:val="subscript"/>
              </w:rPr>
              <w:t>2</w:t>
            </w:r>
            <w:r w:rsidRPr="0018386D">
              <w:rPr>
                <w:rFonts w:eastAsia="Calibri" w:cs="Calibri"/>
                <w:b/>
                <w:color w:val="FFFFFF" w:themeColor="background1"/>
              </w:rPr>
              <w:t>O/unit (kg CO</w:t>
            </w:r>
            <w:r w:rsidRPr="0018386D">
              <w:rPr>
                <w:rFonts w:eastAsia="Calibri" w:cs="Calibri"/>
                <w:b/>
                <w:color w:val="FFFFFF" w:themeColor="background1"/>
                <w:vertAlign w:val="subscript"/>
              </w:rPr>
              <w:t>2</w:t>
            </w:r>
            <w:r w:rsidRPr="0018386D">
              <w:rPr>
                <w:rFonts w:eastAsia="Calibri" w:cs="Calibri"/>
                <w:b/>
                <w:color w:val="FFFFFF" w:themeColor="background1"/>
              </w:rPr>
              <w:t>-e)</w:t>
            </w:r>
          </w:p>
        </w:tc>
      </w:tr>
      <w:tr w:rsidR="006316C3" w:rsidRPr="0018386D" w14:paraId="7C84B7DF" w14:textId="77777777" w:rsidTr="00472FA1">
        <w:trPr>
          <w:trHeight w:val="345"/>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669F04CB" w14:textId="0A896FAE"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Airbus A320*</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48085036" w14:textId="6257878F"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18C8527B" w14:textId="63793DB6"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0.168</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1C4B15ED" w14:textId="25FBE10C"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0.165</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7E55A4D" w14:textId="7803EFD4"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35507DF9" w14:textId="6EF42211"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0.002</w:t>
            </w:r>
          </w:p>
        </w:tc>
      </w:tr>
      <w:tr w:rsidR="006316C3" w:rsidRPr="0018386D" w14:paraId="6BA6A571" w14:textId="77777777" w:rsidTr="00472FA1">
        <w:trPr>
          <w:trHeight w:val="600"/>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7789F021" w14:textId="2882B64C"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Aerospatiale/</w:t>
            </w:r>
            <w:proofErr w:type="spellStart"/>
            <w:r w:rsidRPr="0018386D">
              <w:rPr>
                <w:rFonts w:eastAsia="Calibri" w:cs="Calibri"/>
                <w:color w:val="000000" w:themeColor="text1"/>
              </w:rPr>
              <w:t>Alenia</w:t>
            </w:r>
            <w:proofErr w:type="spellEnd"/>
            <w:r w:rsidRPr="0018386D">
              <w:rPr>
                <w:rFonts w:eastAsia="Calibri" w:cs="Calibri"/>
                <w:color w:val="000000" w:themeColor="text1"/>
              </w:rPr>
              <w:t xml:space="preserve"> ATR 72*</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70A4144C" w14:textId="1E5DEA86"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1611C620" w14:textId="25120A95"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0.174</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5552F8C4" w14:textId="52EC4E75"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0.171</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662C7BF" w14:textId="0B69FFD8"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1321EE01" w14:textId="4DAA8307"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0.003</w:t>
            </w:r>
          </w:p>
        </w:tc>
      </w:tr>
      <w:tr w:rsidR="006316C3" w:rsidRPr="0018386D" w14:paraId="47F4D1A2" w14:textId="77777777" w:rsidTr="00472FA1">
        <w:trPr>
          <w:trHeight w:val="600"/>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61018521" w14:textId="0AB4D7AC"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British Aerospace Jetstream 32</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3370B482" w14:textId="7069A8B0"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4E612D56" w14:textId="142CA93F"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0.450</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5EA57FB0" w14:textId="69DC1439"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0.435</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30C2C840" w14:textId="467B2B08"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0.004</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14D9D4ED" w14:textId="0532F67F"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0.011</w:t>
            </w:r>
          </w:p>
        </w:tc>
      </w:tr>
      <w:tr w:rsidR="006316C3" w:rsidRPr="0018386D" w14:paraId="5BB97BF0" w14:textId="77777777" w:rsidTr="00472FA1">
        <w:trPr>
          <w:trHeight w:val="360"/>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5524CD63" w14:textId="4348636A"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Beechcraft Beech 1900D</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203ED75F" w14:textId="1EE3DE1D"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4629C1D8" w14:textId="1BA59B06"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0.353</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1CEBBB91" w14:textId="07D67F68"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0.342</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778616B5" w14:textId="5C9D6374"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0.004</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1CB3664E" w14:textId="29E44EDF"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0.010</w:t>
            </w:r>
          </w:p>
        </w:tc>
      </w:tr>
      <w:tr w:rsidR="006316C3" w:rsidRPr="0018386D" w14:paraId="148DE512" w14:textId="77777777" w:rsidTr="00472FA1">
        <w:trPr>
          <w:trHeight w:val="360"/>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60164BAD" w14:textId="0F356377"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Cessna Light Aircraft</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7C72739" w14:textId="13E74675"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620A3E6B" w14:textId="40640164"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1.049</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C99522F" w14:textId="34E62737"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1.015</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609504E" w14:textId="618EFA87"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0.008</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305C2C46" w14:textId="38509060"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0.027</w:t>
            </w:r>
          </w:p>
        </w:tc>
      </w:tr>
      <w:tr w:rsidR="006316C3" w:rsidRPr="0018386D" w14:paraId="3F9325E1" w14:textId="77777777" w:rsidTr="00472FA1">
        <w:trPr>
          <w:trHeight w:val="585"/>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3C6869A5" w14:textId="79D05516"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De Havilland Canada DHC-8-300 Dash 8/8Q, Q300*</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56563CA1" w14:textId="1454518A"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29D287A8" w14:textId="140907A8"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0.270</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7D0140F4" w14:textId="2A080BDE"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0.266</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0CC42A04" w14:textId="35D68740"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0.001</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44786155" w14:textId="411B0D99"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0.003</w:t>
            </w:r>
          </w:p>
        </w:tc>
      </w:tr>
      <w:tr w:rsidR="006316C3" w:rsidRPr="0018386D" w14:paraId="32C31034" w14:textId="77777777" w:rsidTr="00472FA1">
        <w:trPr>
          <w:trHeight w:val="360"/>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18D972AD" w14:textId="47E51004"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Pilatus PC-12</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2088537C" w14:textId="66F0857B"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1A8F39DA" w14:textId="51A8F668"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0.357</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5DF6253A" w14:textId="06F8FA7F"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0.346</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6C1ECB99" w14:textId="30AB58B7"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0.004</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3AFB1D47" w14:textId="67D1AF98"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0.010</w:t>
            </w:r>
          </w:p>
        </w:tc>
      </w:tr>
      <w:tr w:rsidR="006316C3" w:rsidRPr="0018386D" w14:paraId="1F32F525" w14:textId="77777777" w:rsidTr="00472FA1">
        <w:trPr>
          <w:trHeight w:val="360"/>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1407C17F" w14:textId="58C11ED0"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Saab SF-340</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43003462" w14:textId="44711746"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74E51B81" w14:textId="12093814"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0.184</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44EE81EF" w14:textId="70A7C009"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0.179</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2BD5EF06" w14:textId="3EF4C31D"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0.002</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3C1A63D9" w14:textId="6CC6EB68"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0.004</w:t>
            </w:r>
          </w:p>
        </w:tc>
      </w:tr>
      <w:tr w:rsidR="006316C3" w:rsidRPr="0018386D" w14:paraId="0A40F450" w14:textId="77777777" w:rsidTr="00472FA1">
        <w:trPr>
          <w:trHeight w:val="360"/>
        </w:trPr>
        <w:tc>
          <w:tcPr>
            <w:tcW w:w="2436" w:type="dxa"/>
            <w:tcBorders>
              <w:top w:val="single" w:sz="6" w:space="0" w:color="1C556C" w:themeColor="accent1"/>
              <w:left w:val="nil"/>
              <w:bottom w:val="single" w:sz="6" w:space="0" w:color="1C556C" w:themeColor="accent1"/>
              <w:right w:val="single" w:sz="6" w:space="0" w:color="1C556C" w:themeColor="accent1"/>
            </w:tcBorders>
            <w:tcMar>
              <w:left w:w="105" w:type="dxa"/>
              <w:right w:w="105" w:type="dxa"/>
            </w:tcMar>
          </w:tcPr>
          <w:p w14:paraId="778DB1A6" w14:textId="0AE548A3" w:rsidR="2FB6BD91" w:rsidRPr="0018386D" w:rsidRDefault="6126EF48" w:rsidP="00DD3106">
            <w:pPr>
              <w:pStyle w:val="TableText"/>
              <w:jc w:val="left"/>
              <w:rPr>
                <w:rFonts w:eastAsia="Calibri" w:cs="Calibri"/>
                <w:b/>
                <w:color w:val="000000" w:themeColor="text1"/>
              </w:rPr>
            </w:pPr>
            <w:r w:rsidRPr="0018386D">
              <w:rPr>
                <w:rFonts w:eastAsia="Calibri" w:cs="Calibri"/>
                <w:color w:val="000000" w:themeColor="text1"/>
              </w:rPr>
              <w:t>FOKKER F50</w:t>
            </w:r>
          </w:p>
        </w:tc>
        <w:tc>
          <w:tcPr>
            <w:tcW w:w="82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7AB305F5" w14:textId="4FB2DCE8" w:rsidR="2FB6BD91" w:rsidRPr="0018386D" w:rsidRDefault="6126EF48" w:rsidP="00DD3106">
            <w:pPr>
              <w:pStyle w:val="TableText"/>
              <w:rPr>
                <w:rFonts w:eastAsia="Calibri" w:cs="Calibri"/>
                <w:color w:val="000000" w:themeColor="text1"/>
              </w:rPr>
            </w:pPr>
            <w:proofErr w:type="spellStart"/>
            <w:r w:rsidRPr="0018386D">
              <w:rPr>
                <w:rFonts w:eastAsia="Calibri" w:cs="Calibri"/>
                <w:color w:val="000000" w:themeColor="text1"/>
              </w:rPr>
              <w:t>pkm</w:t>
            </w:r>
            <w:proofErr w:type="spellEnd"/>
          </w:p>
        </w:tc>
        <w:tc>
          <w:tcPr>
            <w:tcW w:w="1287"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D2DDE1" w:themeFill="background2"/>
            <w:tcMar>
              <w:left w:w="105" w:type="dxa"/>
              <w:right w:w="105" w:type="dxa"/>
            </w:tcMar>
          </w:tcPr>
          <w:p w14:paraId="2DD3F8E6" w14:textId="183BA46A"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0.173</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1DED01CE" w14:textId="72A536DA"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0.167</w:t>
            </w:r>
          </w:p>
        </w:tc>
        <w:tc>
          <w:tcPr>
            <w:tcW w:w="129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Mar>
              <w:left w:w="105" w:type="dxa"/>
              <w:right w:w="105" w:type="dxa"/>
            </w:tcMar>
          </w:tcPr>
          <w:p w14:paraId="26CAA7D3" w14:textId="57F99443"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0.002</w:t>
            </w:r>
          </w:p>
        </w:tc>
        <w:tc>
          <w:tcPr>
            <w:tcW w:w="1366" w:type="dxa"/>
            <w:tcBorders>
              <w:top w:val="single" w:sz="6" w:space="0" w:color="1C556C" w:themeColor="accent1"/>
              <w:left w:val="single" w:sz="6" w:space="0" w:color="1C556C" w:themeColor="accent1"/>
              <w:bottom w:val="single" w:sz="6" w:space="0" w:color="1C556C" w:themeColor="accent1"/>
              <w:right w:val="nil"/>
            </w:tcBorders>
            <w:tcMar>
              <w:left w:w="105" w:type="dxa"/>
              <w:right w:w="105" w:type="dxa"/>
            </w:tcMar>
          </w:tcPr>
          <w:p w14:paraId="06FF8271" w14:textId="55F282AC" w:rsidR="2FB6BD91" w:rsidRPr="0018386D" w:rsidRDefault="6126EF48" w:rsidP="00DD3106">
            <w:pPr>
              <w:pStyle w:val="TableText"/>
              <w:jc w:val="right"/>
              <w:rPr>
                <w:rFonts w:eastAsia="Calibri" w:cs="Calibri"/>
                <w:color w:val="000000" w:themeColor="text1"/>
              </w:rPr>
            </w:pPr>
            <w:r w:rsidRPr="0018386D">
              <w:rPr>
                <w:rFonts w:eastAsia="Calibri" w:cs="Calibri"/>
                <w:color w:val="000000" w:themeColor="text1"/>
              </w:rPr>
              <w:t>0.004</w:t>
            </w:r>
          </w:p>
        </w:tc>
      </w:tr>
    </w:tbl>
    <w:p w14:paraId="4CA3A2DC" w14:textId="72E54A27" w:rsidR="44B80864" w:rsidRPr="0018386D" w:rsidRDefault="418810B5" w:rsidP="00DD3106">
      <w:pPr>
        <w:pStyle w:val="Note"/>
        <w:rPr>
          <w:rFonts w:eastAsia="Calibri" w:cs="Calibri"/>
          <w:color w:val="000000" w:themeColor="text1"/>
        </w:rPr>
      </w:pPr>
      <w:r w:rsidRPr="0018386D">
        <w:rPr>
          <w:rFonts w:eastAsia="Calibri" w:cs="Calibri"/>
          <w:color w:val="000000" w:themeColor="text1"/>
        </w:rPr>
        <w:t>Note: These numbers are rounded to three decimal places unless the number is significantly small. 2020 data unless denoted otherwise</w:t>
      </w:r>
      <w:r w:rsidR="006C27C6" w:rsidRPr="0018386D">
        <w:rPr>
          <w:rFonts w:eastAsia="Calibri" w:cs="Calibri"/>
          <w:color w:val="000000" w:themeColor="text1"/>
        </w:rPr>
        <w:t>.</w:t>
      </w:r>
      <w:r w:rsidRPr="0018386D">
        <w:rPr>
          <w:rFonts w:eastAsia="Calibri" w:cs="Calibri"/>
          <w:color w:val="000000" w:themeColor="text1"/>
        </w:rPr>
        <w:t xml:space="preserve"> *</w:t>
      </w:r>
      <w:r w:rsidR="006C27C6" w:rsidRPr="0018386D">
        <w:rPr>
          <w:rFonts w:eastAsia="Calibri" w:cs="Calibri"/>
          <w:color w:val="000000" w:themeColor="text1"/>
        </w:rPr>
        <w:t xml:space="preserve"> </w:t>
      </w:r>
      <w:r w:rsidRPr="0018386D">
        <w:rPr>
          <w:rFonts w:eastAsia="Calibri" w:cs="Calibri"/>
          <w:color w:val="000000" w:themeColor="text1"/>
        </w:rPr>
        <w:t>Average calculated using data from 2016 and 2020.</w:t>
      </w:r>
    </w:p>
    <w:p w14:paraId="73E0EC5F" w14:textId="073DA762" w:rsidR="005C5E72" w:rsidRPr="0018386D" w:rsidRDefault="005C5E72" w:rsidP="00DD3106">
      <w:pPr>
        <w:pStyle w:val="Heading4"/>
        <w:numPr>
          <w:ilvl w:val="3"/>
          <w:numId w:val="8"/>
        </w:numPr>
        <w:spacing w:before="160"/>
        <w:jc w:val="both"/>
      </w:pPr>
      <w:r w:rsidRPr="0018386D">
        <w:t xml:space="preserve">Assumptions, </w:t>
      </w:r>
      <w:proofErr w:type="gramStart"/>
      <w:r w:rsidRPr="0018386D">
        <w:t>limitations</w:t>
      </w:r>
      <w:proofErr w:type="gramEnd"/>
      <w:r w:rsidRPr="0018386D">
        <w:t xml:space="preserve"> and uncertainties</w:t>
      </w:r>
    </w:p>
    <w:p w14:paraId="4D8C8360" w14:textId="26D78513" w:rsidR="002F25F0" w:rsidRPr="0018386D" w:rsidRDefault="00E135B6" w:rsidP="00DD3106">
      <w:pPr>
        <w:pStyle w:val="BodyText"/>
      </w:pPr>
      <w:r w:rsidRPr="0018386D">
        <w:t>We assume t</w:t>
      </w:r>
      <w:r w:rsidR="003D3007" w:rsidRPr="0018386D">
        <w:t>he fuel for domestic flights is kerosene</w:t>
      </w:r>
      <w:r w:rsidR="00E05938" w:rsidRPr="0018386D">
        <w:t xml:space="preserve"> </w:t>
      </w:r>
      <w:r w:rsidR="00C02E9D" w:rsidRPr="0018386D">
        <w:t>(aviation fuel)</w:t>
      </w:r>
      <w:r w:rsidRPr="0018386D">
        <w:t xml:space="preserve"> and </w:t>
      </w:r>
      <w:r w:rsidR="009544A1" w:rsidRPr="0018386D">
        <w:t xml:space="preserve">all the </w:t>
      </w:r>
      <w:r w:rsidR="00E05938" w:rsidRPr="0018386D">
        <w:t>k</w:t>
      </w:r>
      <w:r w:rsidR="009544A1" w:rsidRPr="0018386D">
        <w:t xml:space="preserve">erosene is combusted. </w:t>
      </w:r>
      <w:r w:rsidRPr="0018386D">
        <w:t xml:space="preserve">The </w:t>
      </w:r>
      <w:r w:rsidR="001340B9" w:rsidRPr="0018386D">
        <w:t xml:space="preserve">domestic </w:t>
      </w:r>
      <w:r w:rsidRPr="0018386D">
        <w:t xml:space="preserve">emission factors </w:t>
      </w:r>
      <w:r w:rsidR="001340B9" w:rsidRPr="0018386D">
        <w:t>are based on fu</w:t>
      </w:r>
      <w:r w:rsidR="0039734E" w:rsidRPr="0018386D">
        <w:t>e</w:t>
      </w:r>
      <w:r w:rsidR="001340B9" w:rsidRPr="0018386D">
        <w:t xml:space="preserve">l delivery data. </w:t>
      </w:r>
      <w:r w:rsidR="00F11FFB" w:rsidRPr="0018386D">
        <w:t>Therefore, i</w:t>
      </w:r>
      <w:r w:rsidR="001340B9" w:rsidRPr="0018386D">
        <w:t>t is not</w:t>
      </w:r>
      <w:r w:rsidR="00A33A55" w:rsidRPr="0018386D">
        <w:t> </w:t>
      </w:r>
      <w:r w:rsidR="001340B9" w:rsidRPr="0018386D">
        <w:t>necessary to apply a</w:t>
      </w:r>
      <w:r w:rsidR="00E22417" w:rsidRPr="0018386D">
        <w:t xml:space="preserve"> distance</w:t>
      </w:r>
      <w:r w:rsidR="001340B9" w:rsidRPr="0018386D">
        <w:t xml:space="preserve"> uplift factor to account for delays/circling and non-direct routes (ie, not along the straight-line/</w:t>
      </w:r>
      <w:proofErr w:type="gramStart"/>
      <w:r w:rsidR="001340B9" w:rsidRPr="0018386D">
        <w:t>great-circle</w:t>
      </w:r>
      <w:proofErr w:type="gramEnd"/>
      <w:r w:rsidR="001340B9" w:rsidRPr="0018386D">
        <w:t xml:space="preserve"> between destinations). However, this should</w:t>
      </w:r>
      <w:r w:rsidR="00BE4072" w:rsidRPr="0018386D">
        <w:t xml:space="preserve"> </w:t>
      </w:r>
      <w:r w:rsidR="001340B9" w:rsidRPr="0018386D">
        <w:t>be considered for international air travel.</w:t>
      </w:r>
      <w:r w:rsidR="00BD685C" w:rsidRPr="0018386D">
        <w:t xml:space="preserve"> </w:t>
      </w:r>
    </w:p>
    <w:p w14:paraId="65092289" w14:textId="341C04E9" w:rsidR="00D44550" w:rsidRPr="0018386D" w:rsidRDefault="00D44550" w:rsidP="00DD3106">
      <w:pPr>
        <w:pStyle w:val="Heading3"/>
        <w:numPr>
          <w:ilvl w:val="2"/>
          <w:numId w:val="8"/>
        </w:numPr>
        <w:jc w:val="both"/>
      </w:pPr>
      <w:bookmarkStart w:id="544" w:name="_Toc532904908"/>
      <w:r w:rsidRPr="0018386D">
        <w:t>International air travel</w:t>
      </w:r>
      <w:bookmarkEnd w:id="544"/>
    </w:p>
    <w:p w14:paraId="4E1637C1" w14:textId="1D84D5BC" w:rsidR="00A06C5B" w:rsidRPr="0018386D" w:rsidRDefault="00A06C5B" w:rsidP="00DD3106">
      <w:pPr>
        <w:pStyle w:val="BodyText"/>
      </w:pPr>
      <w:bookmarkStart w:id="545" w:name="table41"/>
      <w:bookmarkStart w:id="546" w:name="_Ref529907849"/>
      <w:r w:rsidRPr="0018386D">
        <w:t>International air travel emission factors are sourced directly from the 2022 conversion factors from the U</w:t>
      </w:r>
      <w:r w:rsidR="008877AF" w:rsidRPr="0018386D">
        <w:t xml:space="preserve">K </w:t>
      </w:r>
      <w:r w:rsidRPr="0018386D">
        <w:t xml:space="preserve">Government Department for Business, </w:t>
      </w:r>
      <w:proofErr w:type="gramStart"/>
      <w:r w:rsidRPr="0018386D">
        <w:t>Energy</w:t>
      </w:r>
      <w:proofErr w:type="gramEnd"/>
      <w:r w:rsidRPr="0018386D">
        <w:t xml:space="preserve"> and Industrial Strategy (UK BEIS). Because these factors were unchanged from the BEIS 2021 edition, the factors in this guidance remain unchanged from the previous edition.</w:t>
      </w:r>
      <w:r w:rsidR="004C3308" w:rsidRPr="0018386D">
        <w:t xml:space="preserve"> </w:t>
      </w:r>
    </w:p>
    <w:p w14:paraId="4565BF27" w14:textId="753BB2CD" w:rsidR="00A06C5B" w:rsidRPr="0018386D" w:rsidRDefault="00A06C5B" w:rsidP="00DD3106">
      <w:pPr>
        <w:pStyle w:val="BodyText"/>
      </w:pPr>
      <w:r w:rsidRPr="0018386D">
        <w:t>Organisations wishing to report their international air travel emissions based on distance travelled per passenger could use the International Civil Aviation Organisation (ICAO) calculator.</w:t>
      </w:r>
      <w:r w:rsidRPr="0018386D">
        <w:rPr>
          <w:rStyle w:val="FootnoteReference"/>
        </w:rPr>
        <w:footnoteReference w:id="35"/>
      </w:r>
      <w:r w:rsidRPr="0018386D">
        <w:t xml:space="preserve"> This calculator considers aircraft types and load factors for specific airline </w:t>
      </w:r>
      <w:r w:rsidRPr="0018386D">
        <w:lastRenderedPageBreak/>
        <w:t xml:space="preserve">routes but does not apply the radiative forcing multiplier (accounting for the wider climate effect of </w:t>
      </w:r>
      <w:r w:rsidRPr="0018386D">
        <w:rPr>
          <w:spacing w:val="-2"/>
        </w:rPr>
        <w:t>emissions arising from aircraft transport at altitude)</w:t>
      </w:r>
      <w:r w:rsidRPr="0018386D">
        <w:t xml:space="preserve"> or distance uplift factor to account for delays/circling and non-direct routes (ie, not along the straight-line/great-circle between destinations). If using the </w:t>
      </w:r>
      <w:hyperlink r:id="rId100" w:history="1">
        <w:r w:rsidRPr="0018386D">
          <w:rPr>
            <w:rStyle w:val="Hyperlink"/>
          </w:rPr>
          <w:t>ICAO calculator</w:t>
        </w:r>
      </w:hyperlink>
      <w:r w:rsidRPr="0018386D">
        <w:rPr>
          <w:rStyle w:val="Hyperlink"/>
        </w:rPr>
        <w:t xml:space="preserve"> </w:t>
      </w:r>
      <w:r w:rsidRPr="0018386D">
        <w:t>to calculate emissions for international air travel, multiply the output by 1</w:t>
      </w:r>
      <w:r w:rsidRPr="0018386D">
        <w:rPr>
          <w:rFonts w:cs="Calibri"/>
          <w:color w:val="000000" w:themeColor="text1"/>
        </w:rPr>
        <w:t>.08</w:t>
      </w:r>
      <w:r w:rsidRPr="0018386D">
        <w:rPr>
          <w:rFonts w:cs="Calibri"/>
          <w:color w:val="000000"/>
          <w:bdr w:val="none" w:sz="0" w:space="0" w:color="auto" w:frame="1"/>
        </w:rPr>
        <w:t xml:space="preserve"> to account for the </w:t>
      </w:r>
      <w:r w:rsidRPr="0018386D">
        <w:rPr>
          <w:rFonts w:cs="Calibri"/>
          <w:color w:val="000000" w:themeColor="text1"/>
        </w:rPr>
        <w:t>8</w:t>
      </w:r>
      <w:r w:rsidR="008877AF" w:rsidRPr="0018386D">
        <w:rPr>
          <w:rFonts w:cs="Calibri"/>
          <w:color w:val="000000" w:themeColor="text1"/>
        </w:rPr>
        <w:t xml:space="preserve"> per cent</w:t>
      </w:r>
      <w:r w:rsidRPr="0018386D">
        <w:rPr>
          <w:rFonts w:cs="Calibri"/>
          <w:color w:val="000000" w:themeColor="text1"/>
        </w:rPr>
        <w:t xml:space="preserve"> </w:t>
      </w:r>
      <w:r w:rsidRPr="0018386D">
        <w:rPr>
          <w:rFonts w:cs="Calibri"/>
          <w:color w:val="000000"/>
          <w:bdr w:val="none" w:sz="0" w:space="0" w:color="auto" w:frame="1"/>
        </w:rPr>
        <w:t xml:space="preserve">distance </w:t>
      </w:r>
      <w:r w:rsidRPr="0018386D">
        <w:rPr>
          <w:rFonts w:cs="Calibri"/>
          <w:color w:val="000000" w:themeColor="text1"/>
        </w:rPr>
        <w:t>uplift</w:t>
      </w:r>
      <w:r w:rsidRPr="0018386D">
        <w:rPr>
          <w:rFonts w:cs="Calibri"/>
          <w:color w:val="000000"/>
          <w:bdr w:val="none" w:sz="0" w:space="0" w:color="auto" w:frame="1"/>
        </w:rPr>
        <w:t xml:space="preserve"> factor (</w:t>
      </w:r>
      <w:r w:rsidRPr="0018386D">
        <w:t xml:space="preserve">see </w:t>
      </w:r>
      <w:hyperlink w:anchor="_Assumptions,_limitations_and_1">
        <w:r w:rsidR="00B6330B" w:rsidRPr="0018386D">
          <w:rPr>
            <w:rStyle w:val="Hyperlink"/>
          </w:rPr>
          <w:t>section 7.5.3.3</w:t>
        </w:r>
      </w:hyperlink>
      <w:r w:rsidRPr="0018386D">
        <w:t>)</w:t>
      </w:r>
      <w:r w:rsidRPr="0018386D">
        <w:rPr>
          <w:rFonts w:cs="Calibri"/>
          <w:color w:val="000000"/>
          <w:bdr w:val="none" w:sz="0" w:space="0" w:color="auto" w:frame="1"/>
        </w:rPr>
        <w:t xml:space="preserve"> and </w:t>
      </w:r>
      <w:r w:rsidRPr="0018386D">
        <w:rPr>
          <w:rFonts w:cs="Calibri"/>
          <w:color w:val="000000" w:themeColor="text1"/>
        </w:rPr>
        <w:t xml:space="preserve">then by 1.9 to apply </w:t>
      </w:r>
      <w:r w:rsidRPr="0018386D">
        <w:rPr>
          <w:rFonts w:cs="Calibri"/>
          <w:color w:val="000000"/>
          <w:bdr w:val="none" w:sz="0" w:space="0" w:color="auto" w:frame="1"/>
        </w:rPr>
        <w:t>a radiative forcing multiplier</w:t>
      </w:r>
      <w:r w:rsidRPr="0018386D">
        <w:rPr>
          <w:rFonts w:cs="Calibri"/>
          <w:color w:val="000000" w:themeColor="text1"/>
        </w:rPr>
        <w:t xml:space="preserve">. </w:t>
      </w:r>
    </w:p>
    <w:p w14:paraId="6B63256A" w14:textId="04F716D0" w:rsidR="00A06C5B" w:rsidRPr="0018386D" w:rsidRDefault="00A06C5B" w:rsidP="00DD3106">
      <w:pPr>
        <w:pStyle w:val="BodyText"/>
      </w:pPr>
      <w:r w:rsidRPr="0018386D">
        <w:t xml:space="preserve">If you prefer not to use the ICAO calculator, we recommend the emission factors in </w:t>
      </w:r>
      <w:hyperlink w:anchor="table41" w:history="1">
        <w:r w:rsidRPr="0018386D">
          <w:rPr>
            <w:rStyle w:val="Hyperlink"/>
          </w:rPr>
          <w:t>table</w:t>
        </w:r>
        <w:r w:rsidR="008877AF" w:rsidRPr="0018386D">
          <w:rPr>
            <w:rStyle w:val="Hyperlink"/>
          </w:rPr>
          <w:t>s</w:t>
        </w:r>
        <w:r w:rsidRPr="0018386D">
          <w:rPr>
            <w:rStyle w:val="Hyperlink"/>
          </w:rPr>
          <w:t xml:space="preserve"> 41</w:t>
        </w:r>
      </w:hyperlink>
      <w:r w:rsidRPr="0018386D">
        <w:t xml:space="preserve"> and </w:t>
      </w:r>
      <w:hyperlink w:anchor="table42" w:history="1">
        <w:r w:rsidRPr="0018386D">
          <w:rPr>
            <w:rStyle w:val="Hyperlink"/>
          </w:rPr>
          <w:t>42</w:t>
        </w:r>
      </w:hyperlink>
      <w:r w:rsidRPr="0018386D">
        <w:t xml:space="preserve">. These emission factors follow those published online by </w:t>
      </w:r>
      <w:hyperlink r:id="rId101">
        <w:r w:rsidRPr="0018386D">
          <w:rPr>
            <w:rStyle w:val="Hyperlink"/>
          </w:rPr>
          <w:t>UK BIES conversion factors</w:t>
        </w:r>
      </w:hyperlink>
      <w:r w:rsidRPr="0018386D">
        <w:t xml:space="preserve"> (</w:t>
      </w:r>
      <w:r w:rsidRPr="0018386D">
        <w:rPr>
          <w:i/>
          <w:iCs/>
        </w:rPr>
        <w:t>Conversion factors 2021: condensed set (for most users)</w:t>
      </w:r>
      <w:r w:rsidR="008877AF" w:rsidRPr="0018386D">
        <w:rPr>
          <w:i/>
          <w:iCs/>
        </w:rPr>
        <w:t xml:space="preserve"> –</w:t>
      </w:r>
      <w:r w:rsidRPr="0018386D">
        <w:rPr>
          <w:i/>
          <w:iCs/>
        </w:rPr>
        <w:t xml:space="preserve"> revised January 2022) </w:t>
      </w:r>
      <w:r w:rsidRPr="0018386D">
        <w:t>and include a distance uplift of 8 per cent, and a radiative forcing multiplier of 1.9.</w:t>
      </w:r>
    </w:p>
    <w:p w14:paraId="6509228B" w14:textId="1AE12959" w:rsidR="003462B4" w:rsidRPr="0018386D" w:rsidRDefault="00EB4389" w:rsidP="00DD3106">
      <w:pPr>
        <w:pStyle w:val="Tableheading"/>
      </w:pPr>
      <w:bookmarkStart w:id="547" w:name="_Toc140048981"/>
      <w:bookmarkStart w:id="548" w:name="_Toc111536653"/>
      <w:r w:rsidRPr="0018386D">
        <w:t xml:space="preserve">Table </w:t>
      </w:r>
      <w:r w:rsidRPr="0018386D">
        <w:fldChar w:fldCharType="begin"/>
      </w:r>
      <w:r w:rsidRPr="0018386D">
        <w:instrText>SEQ Table \* ARABIC</w:instrText>
      </w:r>
      <w:r w:rsidRPr="0018386D">
        <w:fldChar w:fldCharType="separate"/>
      </w:r>
      <w:r w:rsidR="00AD1220" w:rsidRPr="0018386D">
        <w:t>41</w:t>
      </w:r>
      <w:r w:rsidRPr="0018386D">
        <w:fldChar w:fldCharType="end"/>
      </w:r>
      <w:bookmarkEnd w:id="545"/>
      <w:r w:rsidRPr="0018386D">
        <w:t>:</w:t>
      </w:r>
      <w:r w:rsidRPr="0018386D">
        <w:tab/>
      </w:r>
      <w:r w:rsidR="003462B4" w:rsidRPr="0018386D">
        <w:t>Emission factors for international air travel</w:t>
      </w:r>
      <w:bookmarkEnd w:id="546"/>
      <w:r w:rsidR="00762CE1" w:rsidRPr="0018386D">
        <w:t xml:space="preserve"> </w:t>
      </w:r>
      <w:r w:rsidR="00666FC8" w:rsidRPr="0018386D">
        <w:t>with</w:t>
      </w:r>
      <w:r w:rsidR="00D15D26" w:rsidRPr="0018386D">
        <w:t>out</w:t>
      </w:r>
      <w:r w:rsidR="00666FC8" w:rsidRPr="0018386D">
        <w:t xml:space="preserve"> radiative forcing multiplier</w:t>
      </w:r>
      <w:bookmarkStart w:id="549" w:name="table41two"/>
      <w:bookmarkEnd w:id="547"/>
      <w:bookmarkEnd w:id="549"/>
    </w:p>
    <w:tbl>
      <w:tblPr>
        <w:tblW w:w="8562"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197"/>
        <w:gridCol w:w="1258"/>
        <w:gridCol w:w="599"/>
        <w:gridCol w:w="1197"/>
        <w:gridCol w:w="1437"/>
        <w:gridCol w:w="1437"/>
        <w:gridCol w:w="1437"/>
      </w:tblGrid>
      <w:tr w:rsidR="006316C3" w:rsidRPr="0018386D" w14:paraId="2D228729" w14:textId="77777777" w:rsidTr="00472FA1">
        <w:trPr>
          <w:divId w:val="963734707"/>
          <w:trHeight w:val="240"/>
        </w:trPr>
        <w:tc>
          <w:tcPr>
            <w:tcW w:w="1134" w:type="dxa"/>
            <w:tcBorders>
              <w:bottom w:val="nil"/>
            </w:tcBorders>
            <w:shd w:val="clear" w:color="000000" w:fill="1B556B" w:themeFill="text2"/>
            <w:noWrap/>
            <w:vAlign w:val="bottom"/>
            <w:hideMark/>
          </w:tcPr>
          <w:p w14:paraId="447C41AA" w14:textId="6FEBB0D9" w:rsidR="008E2ED2" w:rsidRPr="0018386D" w:rsidRDefault="008E2ED2" w:rsidP="00DD3106">
            <w:pPr>
              <w:pStyle w:val="TableTextbold"/>
              <w:spacing w:before="40" w:after="40"/>
              <w:rPr>
                <w:color w:val="FFFFFF" w:themeColor="background1"/>
                <w:lang w:bidi="th-TH"/>
              </w:rPr>
            </w:pPr>
            <w:bookmarkStart w:id="550" w:name="_1747051267"/>
            <w:bookmarkStart w:id="551" w:name="_1747051268"/>
            <w:bookmarkEnd w:id="550"/>
            <w:bookmarkEnd w:id="551"/>
            <w:r w:rsidRPr="0018386D">
              <w:rPr>
                <w:color w:val="FFFFFF" w:themeColor="background1"/>
                <w:lang w:bidi="th-TH"/>
              </w:rPr>
              <w:t>Emission source</w:t>
            </w:r>
          </w:p>
        </w:tc>
        <w:tc>
          <w:tcPr>
            <w:tcW w:w="1191" w:type="dxa"/>
            <w:shd w:val="clear" w:color="000000" w:fill="1B556B" w:themeFill="text2"/>
            <w:noWrap/>
            <w:vAlign w:val="bottom"/>
            <w:hideMark/>
          </w:tcPr>
          <w:p w14:paraId="6DEFF132" w14:textId="7777777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Travel class</w:t>
            </w:r>
          </w:p>
        </w:tc>
        <w:tc>
          <w:tcPr>
            <w:tcW w:w="567" w:type="dxa"/>
            <w:shd w:val="clear" w:color="000000" w:fill="1B556B" w:themeFill="text2"/>
            <w:noWrap/>
            <w:vAlign w:val="bottom"/>
            <w:hideMark/>
          </w:tcPr>
          <w:p w14:paraId="2904EE39" w14:textId="7777777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Unit</w:t>
            </w:r>
          </w:p>
        </w:tc>
        <w:tc>
          <w:tcPr>
            <w:tcW w:w="1134" w:type="dxa"/>
            <w:shd w:val="clear" w:color="000000" w:fill="1B556B" w:themeFill="text2"/>
            <w:noWrap/>
            <w:vAlign w:val="bottom"/>
            <w:hideMark/>
          </w:tcPr>
          <w:p w14:paraId="3D33B947" w14:textId="6922259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kg CO₂-e/unit</w:t>
            </w:r>
          </w:p>
        </w:tc>
        <w:tc>
          <w:tcPr>
            <w:tcW w:w="1361" w:type="dxa"/>
            <w:shd w:val="clear" w:color="000000" w:fill="1B556B" w:themeFill="text2"/>
            <w:noWrap/>
            <w:vAlign w:val="bottom"/>
            <w:hideMark/>
          </w:tcPr>
          <w:p w14:paraId="0457B7F5" w14:textId="5E08EFE4"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 xml:space="preserve">CO₂ </w:t>
            </w:r>
            <w:r w:rsidR="00D01914" w:rsidRPr="0018386D">
              <w:rPr>
                <w:color w:val="FFFFFF" w:themeColor="background1"/>
                <w:lang w:bidi="th-TH"/>
              </w:rPr>
              <w:br/>
            </w:r>
            <w:r w:rsidRPr="0018386D">
              <w:rPr>
                <w:color w:val="FFFFFF" w:themeColor="background1"/>
                <w:lang w:bidi="th-TH"/>
              </w:rPr>
              <w:t>(kg CO₂</w:t>
            </w:r>
            <w:r w:rsidRPr="0018386D">
              <w:rPr>
                <w:color w:val="FFFFFF" w:themeColor="background1"/>
                <w:lang w:bidi="th-TH"/>
              </w:rPr>
              <w:noBreakHyphen/>
              <w:t>e/unit)</w:t>
            </w:r>
          </w:p>
        </w:tc>
        <w:tc>
          <w:tcPr>
            <w:tcW w:w="1361" w:type="dxa"/>
            <w:shd w:val="clear" w:color="000000" w:fill="1B556B" w:themeFill="text2"/>
            <w:noWrap/>
            <w:vAlign w:val="bottom"/>
            <w:hideMark/>
          </w:tcPr>
          <w:p w14:paraId="3438D958" w14:textId="17E7D619"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 xml:space="preserve">CH₄ </w:t>
            </w:r>
            <w:r w:rsidR="00D01914" w:rsidRPr="0018386D">
              <w:rPr>
                <w:color w:val="FFFFFF" w:themeColor="background1"/>
                <w:lang w:bidi="th-TH"/>
              </w:rPr>
              <w:br/>
            </w:r>
            <w:r w:rsidRPr="0018386D">
              <w:rPr>
                <w:color w:val="FFFFFF" w:themeColor="background1"/>
                <w:lang w:bidi="th-TH"/>
              </w:rPr>
              <w:t>(kg CO₂-e/unit)</w:t>
            </w:r>
          </w:p>
        </w:tc>
        <w:tc>
          <w:tcPr>
            <w:tcW w:w="1361" w:type="dxa"/>
            <w:shd w:val="clear" w:color="000000" w:fill="1B556B" w:themeFill="text2"/>
            <w:noWrap/>
            <w:vAlign w:val="bottom"/>
            <w:hideMark/>
          </w:tcPr>
          <w:p w14:paraId="03F6C64F" w14:textId="340D2F83"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 xml:space="preserve">N₂O </w:t>
            </w:r>
            <w:r w:rsidR="00D01914" w:rsidRPr="0018386D">
              <w:rPr>
                <w:color w:val="FFFFFF" w:themeColor="background1"/>
                <w:lang w:bidi="th-TH"/>
              </w:rPr>
              <w:br/>
            </w:r>
            <w:r w:rsidRPr="0018386D">
              <w:rPr>
                <w:color w:val="FFFFFF" w:themeColor="background1"/>
                <w:lang w:bidi="th-TH"/>
              </w:rPr>
              <w:t>(kg CO₂-e/unit)</w:t>
            </w:r>
          </w:p>
        </w:tc>
      </w:tr>
      <w:tr w:rsidR="006316C3" w:rsidRPr="0018386D" w14:paraId="2956D84B" w14:textId="77777777" w:rsidTr="00472FA1">
        <w:trPr>
          <w:divId w:val="963734707"/>
          <w:trHeight w:val="240"/>
        </w:trPr>
        <w:tc>
          <w:tcPr>
            <w:tcW w:w="1134" w:type="dxa"/>
            <w:tcBorders>
              <w:top w:val="nil"/>
              <w:bottom w:val="nil"/>
              <w:right w:val="single" w:sz="4" w:space="0" w:color="auto"/>
            </w:tcBorders>
            <w:shd w:val="clear" w:color="000000" w:fill="FFFFFF"/>
            <w:noWrap/>
            <w:hideMark/>
          </w:tcPr>
          <w:p w14:paraId="20A80E28" w14:textId="3656F153" w:rsidR="008E2ED2" w:rsidRPr="0018386D" w:rsidRDefault="008E2ED2" w:rsidP="00DD3106">
            <w:pPr>
              <w:pStyle w:val="TableText"/>
              <w:spacing w:before="40" w:after="40"/>
              <w:rPr>
                <w:lang w:bidi="th-TH"/>
              </w:rPr>
            </w:pPr>
            <w:r w:rsidRPr="0018386D">
              <w:rPr>
                <w:lang w:bidi="th-TH"/>
              </w:rPr>
              <w:t>Short</w:t>
            </w:r>
            <w:r w:rsidR="0040723F" w:rsidRPr="0018386D">
              <w:rPr>
                <w:lang w:bidi="th-TH"/>
              </w:rPr>
              <w:t xml:space="preserve"> </w:t>
            </w:r>
            <w:r w:rsidRPr="0018386D">
              <w:rPr>
                <w:lang w:bidi="th-TH"/>
              </w:rPr>
              <w:t>haul (&lt;3700</w:t>
            </w:r>
            <w:r w:rsidR="008B6705" w:rsidRPr="0018386D">
              <w:rPr>
                <w:lang w:bidi="th-TH"/>
              </w:rPr>
              <w:t xml:space="preserve"> </w:t>
            </w:r>
            <w:r w:rsidRPr="0018386D">
              <w:rPr>
                <w:lang w:bidi="th-TH"/>
              </w:rPr>
              <w:t>km)</w:t>
            </w:r>
          </w:p>
        </w:tc>
        <w:tc>
          <w:tcPr>
            <w:tcW w:w="1191" w:type="dxa"/>
            <w:tcBorders>
              <w:left w:val="single" w:sz="4" w:space="0" w:color="auto"/>
            </w:tcBorders>
            <w:shd w:val="clear" w:color="000000" w:fill="FFFFFF"/>
            <w:noWrap/>
            <w:hideMark/>
          </w:tcPr>
          <w:p w14:paraId="6A33DB56" w14:textId="77777777" w:rsidR="008E2ED2" w:rsidRPr="0018386D" w:rsidRDefault="008E2ED2" w:rsidP="00DD3106">
            <w:pPr>
              <w:pStyle w:val="TableText"/>
              <w:spacing w:before="40" w:after="40"/>
              <w:rPr>
                <w:lang w:bidi="th-TH"/>
              </w:rPr>
            </w:pPr>
            <w:r w:rsidRPr="0018386D">
              <w:rPr>
                <w:lang w:bidi="th-TH"/>
              </w:rPr>
              <w:t>Average passenger</w:t>
            </w:r>
          </w:p>
        </w:tc>
        <w:tc>
          <w:tcPr>
            <w:tcW w:w="567" w:type="dxa"/>
            <w:shd w:val="clear" w:color="000000" w:fill="FFFFFF"/>
            <w:noWrap/>
            <w:hideMark/>
          </w:tcPr>
          <w:p w14:paraId="62726508"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599AC83C" w14:textId="77777777" w:rsidR="008E2ED2" w:rsidRPr="0018386D" w:rsidRDefault="008E2ED2" w:rsidP="00DD3106">
            <w:pPr>
              <w:pStyle w:val="TableText"/>
              <w:spacing w:before="40" w:after="40"/>
              <w:rPr>
                <w:lang w:bidi="th-TH"/>
              </w:rPr>
            </w:pPr>
            <w:r w:rsidRPr="0018386D">
              <w:rPr>
                <w:lang w:bidi="th-TH"/>
              </w:rPr>
              <w:t>0.0812</w:t>
            </w:r>
          </w:p>
        </w:tc>
        <w:tc>
          <w:tcPr>
            <w:tcW w:w="1361" w:type="dxa"/>
            <w:shd w:val="clear" w:color="000000" w:fill="FFFFFF"/>
            <w:noWrap/>
            <w:hideMark/>
          </w:tcPr>
          <w:p w14:paraId="220087F5" w14:textId="77777777" w:rsidR="008E2ED2" w:rsidRPr="0018386D" w:rsidRDefault="008E2ED2" w:rsidP="00DD3106">
            <w:pPr>
              <w:pStyle w:val="TableText"/>
              <w:spacing w:before="40" w:after="40"/>
              <w:rPr>
                <w:lang w:bidi="th-TH"/>
              </w:rPr>
            </w:pPr>
            <w:r w:rsidRPr="0018386D">
              <w:rPr>
                <w:lang w:bidi="th-TH"/>
              </w:rPr>
              <w:t>0.0804</w:t>
            </w:r>
          </w:p>
        </w:tc>
        <w:tc>
          <w:tcPr>
            <w:tcW w:w="1361" w:type="dxa"/>
            <w:shd w:val="clear" w:color="000000" w:fill="FFFFFF"/>
            <w:noWrap/>
            <w:hideMark/>
          </w:tcPr>
          <w:p w14:paraId="096C7389" w14:textId="77777777" w:rsidR="008E2ED2" w:rsidRPr="0018386D" w:rsidRDefault="008E2ED2" w:rsidP="00DD3106">
            <w:pPr>
              <w:pStyle w:val="TableText"/>
              <w:spacing w:before="40" w:after="40"/>
              <w:rPr>
                <w:lang w:bidi="th-TH"/>
              </w:rPr>
            </w:pPr>
            <w:r w:rsidRPr="0018386D">
              <w:rPr>
                <w:lang w:bidi="th-TH"/>
              </w:rPr>
              <w:t>0.00001</w:t>
            </w:r>
          </w:p>
        </w:tc>
        <w:tc>
          <w:tcPr>
            <w:tcW w:w="1361" w:type="dxa"/>
            <w:shd w:val="clear" w:color="000000" w:fill="FFFFFF"/>
            <w:noWrap/>
            <w:hideMark/>
          </w:tcPr>
          <w:p w14:paraId="209904B8" w14:textId="77777777" w:rsidR="008E2ED2" w:rsidRPr="0018386D" w:rsidRDefault="008E2ED2" w:rsidP="00DD3106">
            <w:pPr>
              <w:pStyle w:val="TableText"/>
              <w:spacing w:before="40" w:after="40"/>
              <w:rPr>
                <w:lang w:bidi="th-TH"/>
              </w:rPr>
            </w:pPr>
            <w:r w:rsidRPr="0018386D">
              <w:rPr>
                <w:lang w:bidi="th-TH"/>
              </w:rPr>
              <w:t>0.0008</w:t>
            </w:r>
          </w:p>
        </w:tc>
      </w:tr>
      <w:tr w:rsidR="006316C3" w:rsidRPr="0018386D" w14:paraId="63C08154" w14:textId="77777777" w:rsidTr="00472FA1">
        <w:trPr>
          <w:divId w:val="963734707"/>
          <w:trHeight w:val="240"/>
        </w:trPr>
        <w:tc>
          <w:tcPr>
            <w:tcW w:w="1134" w:type="dxa"/>
            <w:tcBorders>
              <w:top w:val="nil"/>
              <w:bottom w:val="nil"/>
              <w:right w:val="single" w:sz="4" w:space="0" w:color="auto"/>
            </w:tcBorders>
            <w:shd w:val="clear" w:color="000000" w:fill="FFFFFF"/>
            <w:noWrap/>
            <w:hideMark/>
          </w:tcPr>
          <w:p w14:paraId="03B479BC" w14:textId="77777777" w:rsidR="008E2ED2" w:rsidRPr="0018386D" w:rsidRDefault="008E2ED2" w:rsidP="00DD3106">
            <w:pPr>
              <w:pStyle w:val="TableText"/>
              <w:spacing w:before="40" w:after="40"/>
              <w:rPr>
                <w:lang w:bidi="th-TH"/>
              </w:rPr>
            </w:pPr>
            <w:r w:rsidRPr="0018386D">
              <w:rPr>
                <w:lang w:bidi="th-TH"/>
              </w:rPr>
              <w:t> </w:t>
            </w:r>
          </w:p>
        </w:tc>
        <w:tc>
          <w:tcPr>
            <w:tcW w:w="1191" w:type="dxa"/>
            <w:tcBorders>
              <w:left w:val="single" w:sz="4" w:space="0" w:color="auto"/>
            </w:tcBorders>
            <w:shd w:val="clear" w:color="000000" w:fill="FFFFFF"/>
            <w:noWrap/>
            <w:hideMark/>
          </w:tcPr>
          <w:p w14:paraId="3DAED586" w14:textId="4074DB30" w:rsidR="008E2ED2" w:rsidRPr="0018386D" w:rsidRDefault="008E2ED2" w:rsidP="00DD3106">
            <w:pPr>
              <w:pStyle w:val="TableText"/>
              <w:spacing w:before="40" w:after="40"/>
              <w:rPr>
                <w:lang w:bidi="th-TH"/>
              </w:rPr>
            </w:pPr>
            <w:r w:rsidRPr="0018386D">
              <w:rPr>
                <w:lang w:bidi="th-TH"/>
              </w:rPr>
              <w:t xml:space="preserve">Economy </w:t>
            </w:r>
          </w:p>
        </w:tc>
        <w:tc>
          <w:tcPr>
            <w:tcW w:w="567" w:type="dxa"/>
            <w:shd w:val="clear" w:color="000000" w:fill="FFFFFF"/>
            <w:noWrap/>
            <w:hideMark/>
          </w:tcPr>
          <w:p w14:paraId="7742404E"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43A9ED3E" w14:textId="77777777" w:rsidR="008E2ED2" w:rsidRPr="0018386D" w:rsidRDefault="008E2ED2" w:rsidP="00DD3106">
            <w:pPr>
              <w:pStyle w:val="TableText"/>
              <w:spacing w:before="40" w:after="40"/>
              <w:rPr>
                <w:lang w:bidi="th-TH"/>
              </w:rPr>
            </w:pPr>
            <w:r w:rsidRPr="0018386D">
              <w:rPr>
                <w:lang w:bidi="th-TH"/>
              </w:rPr>
              <w:t>0.0798</w:t>
            </w:r>
          </w:p>
        </w:tc>
        <w:tc>
          <w:tcPr>
            <w:tcW w:w="1361" w:type="dxa"/>
            <w:shd w:val="clear" w:color="000000" w:fill="FFFFFF"/>
            <w:noWrap/>
            <w:hideMark/>
          </w:tcPr>
          <w:p w14:paraId="68FF3591" w14:textId="77777777" w:rsidR="008E2ED2" w:rsidRPr="0018386D" w:rsidRDefault="008E2ED2" w:rsidP="00DD3106">
            <w:pPr>
              <w:pStyle w:val="TableText"/>
              <w:spacing w:before="40" w:after="40"/>
              <w:rPr>
                <w:lang w:bidi="th-TH"/>
              </w:rPr>
            </w:pPr>
            <w:r w:rsidRPr="0018386D">
              <w:rPr>
                <w:lang w:bidi="th-TH"/>
              </w:rPr>
              <w:t>0.0791</w:t>
            </w:r>
          </w:p>
        </w:tc>
        <w:tc>
          <w:tcPr>
            <w:tcW w:w="1361" w:type="dxa"/>
            <w:shd w:val="clear" w:color="000000" w:fill="FFFFFF"/>
            <w:noWrap/>
            <w:hideMark/>
          </w:tcPr>
          <w:p w14:paraId="21B6F7E9" w14:textId="77777777" w:rsidR="008E2ED2" w:rsidRPr="0018386D" w:rsidRDefault="008E2ED2" w:rsidP="00DD3106">
            <w:pPr>
              <w:pStyle w:val="TableText"/>
              <w:spacing w:before="40" w:after="40"/>
              <w:rPr>
                <w:lang w:bidi="th-TH"/>
              </w:rPr>
            </w:pPr>
            <w:r w:rsidRPr="0018386D">
              <w:rPr>
                <w:lang w:bidi="th-TH"/>
              </w:rPr>
              <w:t>0.00001</w:t>
            </w:r>
          </w:p>
        </w:tc>
        <w:tc>
          <w:tcPr>
            <w:tcW w:w="1361" w:type="dxa"/>
            <w:shd w:val="clear" w:color="000000" w:fill="FFFFFF"/>
            <w:noWrap/>
            <w:hideMark/>
          </w:tcPr>
          <w:p w14:paraId="03515F45" w14:textId="77777777" w:rsidR="008E2ED2" w:rsidRPr="0018386D" w:rsidRDefault="008E2ED2" w:rsidP="00DD3106">
            <w:pPr>
              <w:pStyle w:val="TableText"/>
              <w:spacing w:before="40" w:after="40"/>
              <w:rPr>
                <w:lang w:bidi="th-TH"/>
              </w:rPr>
            </w:pPr>
            <w:r w:rsidRPr="0018386D">
              <w:rPr>
                <w:lang w:bidi="th-TH"/>
              </w:rPr>
              <w:t>0.0008</w:t>
            </w:r>
          </w:p>
        </w:tc>
      </w:tr>
      <w:tr w:rsidR="006316C3" w:rsidRPr="0018386D" w14:paraId="11A7497E" w14:textId="77777777" w:rsidTr="00472FA1">
        <w:trPr>
          <w:divId w:val="963734707"/>
          <w:trHeight w:val="240"/>
        </w:trPr>
        <w:tc>
          <w:tcPr>
            <w:tcW w:w="1134" w:type="dxa"/>
            <w:tcBorders>
              <w:top w:val="nil"/>
              <w:bottom w:val="single" w:sz="4" w:space="0" w:color="auto"/>
              <w:right w:val="single" w:sz="4" w:space="0" w:color="auto"/>
            </w:tcBorders>
            <w:shd w:val="clear" w:color="000000" w:fill="FFFFFF"/>
            <w:noWrap/>
            <w:hideMark/>
          </w:tcPr>
          <w:p w14:paraId="6B2E5440" w14:textId="77777777" w:rsidR="008E2ED2" w:rsidRPr="0018386D" w:rsidRDefault="008E2ED2" w:rsidP="00DD3106">
            <w:pPr>
              <w:pStyle w:val="TableText"/>
              <w:spacing w:before="40" w:after="40"/>
              <w:rPr>
                <w:lang w:bidi="th-TH"/>
              </w:rPr>
            </w:pPr>
            <w:r w:rsidRPr="0018386D">
              <w:rPr>
                <w:lang w:bidi="th-TH"/>
              </w:rPr>
              <w:t> </w:t>
            </w:r>
          </w:p>
        </w:tc>
        <w:tc>
          <w:tcPr>
            <w:tcW w:w="1191" w:type="dxa"/>
            <w:tcBorders>
              <w:left w:val="single" w:sz="4" w:space="0" w:color="auto"/>
            </w:tcBorders>
            <w:shd w:val="clear" w:color="000000" w:fill="FFFFFF"/>
            <w:noWrap/>
            <w:hideMark/>
          </w:tcPr>
          <w:p w14:paraId="6B62F8D5" w14:textId="5E0998B4" w:rsidR="008E2ED2" w:rsidRPr="0018386D" w:rsidRDefault="008E2ED2" w:rsidP="00DD3106">
            <w:pPr>
              <w:pStyle w:val="TableText"/>
              <w:spacing w:before="40" w:after="40"/>
              <w:rPr>
                <w:lang w:bidi="th-TH"/>
              </w:rPr>
            </w:pPr>
            <w:r w:rsidRPr="0018386D">
              <w:rPr>
                <w:lang w:bidi="th-TH"/>
              </w:rPr>
              <w:t xml:space="preserve">Business </w:t>
            </w:r>
          </w:p>
        </w:tc>
        <w:tc>
          <w:tcPr>
            <w:tcW w:w="567" w:type="dxa"/>
            <w:shd w:val="clear" w:color="000000" w:fill="FFFFFF"/>
            <w:noWrap/>
            <w:hideMark/>
          </w:tcPr>
          <w:p w14:paraId="4EF0FEA3"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0E65856A" w14:textId="77777777" w:rsidR="008E2ED2" w:rsidRPr="0018386D" w:rsidRDefault="008E2ED2" w:rsidP="00DD3106">
            <w:pPr>
              <w:pStyle w:val="TableText"/>
              <w:spacing w:before="40" w:after="40"/>
              <w:rPr>
                <w:lang w:bidi="th-TH"/>
              </w:rPr>
            </w:pPr>
            <w:r w:rsidRPr="0018386D">
              <w:rPr>
                <w:lang w:bidi="th-TH"/>
              </w:rPr>
              <w:t>0.120</w:t>
            </w:r>
          </w:p>
        </w:tc>
        <w:tc>
          <w:tcPr>
            <w:tcW w:w="1361" w:type="dxa"/>
            <w:shd w:val="clear" w:color="000000" w:fill="FFFFFF"/>
            <w:noWrap/>
            <w:hideMark/>
          </w:tcPr>
          <w:p w14:paraId="67BBF0F2" w14:textId="77777777" w:rsidR="008E2ED2" w:rsidRPr="0018386D" w:rsidRDefault="008E2ED2" w:rsidP="00DD3106">
            <w:pPr>
              <w:pStyle w:val="TableText"/>
              <w:spacing w:before="40" w:after="40"/>
              <w:rPr>
                <w:lang w:bidi="th-TH"/>
              </w:rPr>
            </w:pPr>
            <w:r w:rsidRPr="0018386D">
              <w:rPr>
                <w:lang w:bidi="th-TH"/>
              </w:rPr>
              <w:t>0.119</w:t>
            </w:r>
          </w:p>
        </w:tc>
        <w:tc>
          <w:tcPr>
            <w:tcW w:w="1361" w:type="dxa"/>
            <w:shd w:val="clear" w:color="000000" w:fill="FFFFFF"/>
            <w:noWrap/>
            <w:hideMark/>
          </w:tcPr>
          <w:p w14:paraId="30177205" w14:textId="77777777" w:rsidR="008E2ED2" w:rsidRPr="0018386D" w:rsidRDefault="008E2ED2" w:rsidP="00DD3106">
            <w:pPr>
              <w:pStyle w:val="TableText"/>
              <w:spacing w:before="40" w:after="40"/>
              <w:rPr>
                <w:lang w:bidi="th-TH"/>
              </w:rPr>
            </w:pPr>
            <w:r w:rsidRPr="0018386D">
              <w:rPr>
                <w:lang w:bidi="th-TH"/>
              </w:rPr>
              <w:t>0.00001</w:t>
            </w:r>
          </w:p>
        </w:tc>
        <w:tc>
          <w:tcPr>
            <w:tcW w:w="1361" w:type="dxa"/>
            <w:shd w:val="clear" w:color="000000" w:fill="FFFFFF"/>
            <w:noWrap/>
            <w:hideMark/>
          </w:tcPr>
          <w:p w14:paraId="0E7DF832" w14:textId="77777777" w:rsidR="008E2ED2" w:rsidRPr="0018386D" w:rsidRDefault="008E2ED2" w:rsidP="00DD3106">
            <w:pPr>
              <w:pStyle w:val="TableText"/>
              <w:spacing w:before="40" w:after="40"/>
              <w:rPr>
                <w:lang w:bidi="th-TH"/>
              </w:rPr>
            </w:pPr>
            <w:r w:rsidRPr="0018386D">
              <w:rPr>
                <w:lang w:bidi="th-TH"/>
              </w:rPr>
              <w:t>0.00112</w:t>
            </w:r>
          </w:p>
        </w:tc>
      </w:tr>
      <w:tr w:rsidR="006316C3" w:rsidRPr="0018386D" w14:paraId="00EE57B6" w14:textId="77777777" w:rsidTr="00472FA1">
        <w:trPr>
          <w:divId w:val="963734707"/>
          <w:trHeight w:val="240"/>
        </w:trPr>
        <w:tc>
          <w:tcPr>
            <w:tcW w:w="1134" w:type="dxa"/>
            <w:tcBorders>
              <w:top w:val="single" w:sz="4" w:space="0" w:color="auto"/>
              <w:bottom w:val="nil"/>
              <w:right w:val="single" w:sz="4" w:space="0" w:color="auto"/>
            </w:tcBorders>
            <w:shd w:val="clear" w:color="000000" w:fill="FFFFFF"/>
            <w:noWrap/>
            <w:hideMark/>
          </w:tcPr>
          <w:p w14:paraId="59BB2A82" w14:textId="31340A2F" w:rsidR="008E2ED2" w:rsidRPr="0018386D" w:rsidRDefault="008E2ED2" w:rsidP="00DD3106">
            <w:pPr>
              <w:pStyle w:val="TableText"/>
              <w:spacing w:before="40" w:after="40"/>
              <w:rPr>
                <w:lang w:bidi="th-TH"/>
              </w:rPr>
            </w:pPr>
            <w:r w:rsidRPr="0018386D">
              <w:rPr>
                <w:lang w:bidi="th-TH"/>
              </w:rPr>
              <w:t>Long</w:t>
            </w:r>
            <w:r w:rsidR="0040723F" w:rsidRPr="0018386D">
              <w:rPr>
                <w:lang w:bidi="th-TH"/>
              </w:rPr>
              <w:t xml:space="preserve"> </w:t>
            </w:r>
            <w:r w:rsidRPr="0018386D">
              <w:rPr>
                <w:lang w:bidi="th-TH"/>
              </w:rPr>
              <w:t>haul (&gt;3700</w:t>
            </w:r>
            <w:r w:rsidR="008B6705" w:rsidRPr="0018386D">
              <w:rPr>
                <w:lang w:bidi="th-TH"/>
              </w:rPr>
              <w:t xml:space="preserve"> </w:t>
            </w:r>
            <w:r w:rsidRPr="0018386D">
              <w:rPr>
                <w:lang w:bidi="th-TH"/>
              </w:rPr>
              <w:t>km)</w:t>
            </w:r>
          </w:p>
        </w:tc>
        <w:tc>
          <w:tcPr>
            <w:tcW w:w="1191" w:type="dxa"/>
            <w:tcBorders>
              <w:left w:val="single" w:sz="4" w:space="0" w:color="auto"/>
            </w:tcBorders>
            <w:shd w:val="clear" w:color="000000" w:fill="FFFFFF"/>
            <w:noWrap/>
            <w:hideMark/>
          </w:tcPr>
          <w:p w14:paraId="7C5A9EDB" w14:textId="77777777" w:rsidR="008E2ED2" w:rsidRPr="0018386D" w:rsidRDefault="008E2ED2" w:rsidP="00DD3106">
            <w:pPr>
              <w:pStyle w:val="TableText"/>
              <w:spacing w:before="40" w:after="40"/>
              <w:rPr>
                <w:lang w:bidi="th-TH"/>
              </w:rPr>
            </w:pPr>
            <w:r w:rsidRPr="0018386D">
              <w:rPr>
                <w:lang w:bidi="th-TH"/>
              </w:rPr>
              <w:t>Average passenger</w:t>
            </w:r>
          </w:p>
        </w:tc>
        <w:tc>
          <w:tcPr>
            <w:tcW w:w="567" w:type="dxa"/>
            <w:shd w:val="clear" w:color="000000" w:fill="FFFFFF"/>
            <w:noWrap/>
            <w:hideMark/>
          </w:tcPr>
          <w:p w14:paraId="3B8D2B66"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31C6BB00" w14:textId="77777777" w:rsidR="008E2ED2" w:rsidRPr="0018386D" w:rsidRDefault="008E2ED2" w:rsidP="00DD3106">
            <w:pPr>
              <w:pStyle w:val="TableText"/>
              <w:spacing w:before="40" w:after="40"/>
              <w:rPr>
                <w:lang w:bidi="th-TH"/>
              </w:rPr>
            </w:pPr>
            <w:r w:rsidRPr="0018386D">
              <w:rPr>
                <w:lang w:bidi="th-TH"/>
              </w:rPr>
              <w:t>0.102</w:t>
            </w:r>
          </w:p>
        </w:tc>
        <w:tc>
          <w:tcPr>
            <w:tcW w:w="1361" w:type="dxa"/>
            <w:shd w:val="clear" w:color="000000" w:fill="FFFFFF"/>
            <w:noWrap/>
            <w:hideMark/>
          </w:tcPr>
          <w:p w14:paraId="3000CBC3" w14:textId="77777777" w:rsidR="008E2ED2" w:rsidRPr="0018386D" w:rsidRDefault="008E2ED2" w:rsidP="00DD3106">
            <w:pPr>
              <w:pStyle w:val="TableText"/>
              <w:spacing w:before="40" w:after="40"/>
              <w:rPr>
                <w:lang w:bidi="th-TH"/>
              </w:rPr>
            </w:pPr>
            <w:r w:rsidRPr="0018386D">
              <w:rPr>
                <w:lang w:bidi="th-TH"/>
              </w:rPr>
              <w:t>0.101</w:t>
            </w:r>
          </w:p>
        </w:tc>
        <w:tc>
          <w:tcPr>
            <w:tcW w:w="1361" w:type="dxa"/>
            <w:shd w:val="clear" w:color="000000" w:fill="FFFFFF"/>
            <w:noWrap/>
            <w:hideMark/>
          </w:tcPr>
          <w:p w14:paraId="2995CCBC" w14:textId="77777777" w:rsidR="008E2ED2" w:rsidRPr="0018386D" w:rsidRDefault="008E2ED2" w:rsidP="00DD3106">
            <w:pPr>
              <w:pStyle w:val="TableText"/>
              <w:spacing w:before="40" w:after="40"/>
              <w:rPr>
                <w:lang w:bidi="th-TH"/>
              </w:rPr>
            </w:pPr>
            <w:r w:rsidRPr="0018386D">
              <w:rPr>
                <w:lang w:bidi="th-TH"/>
              </w:rPr>
              <w:t>0.00001</w:t>
            </w:r>
          </w:p>
        </w:tc>
        <w:tc>
          <w:tcPr>
            <w:tcW w:w="1361" w:type="dxa"/>
            <w:shd w:val="clear" w:color="000000" w:fill="FFFFFF"/>
            <w:noWrap/>
            <w:hideMark/>
          </w:tcPr>
          <w:p w14:paraId="72DC1A6A" w14:textId="77777777" w:rsidR="008E2ED2" w:rsidRPr="0018386D" w:rsidRDefault="008E2ED2" w:rsidP="00DD3106">
            <w:pPr>
              <w:pStyle w:val="TableText"/>
              <w:spacing w:before="40" w:after="40"/>
              <w:rPr>
                <w:lang w:bidi="th-TH"/>
              </w:rPr>
            </w:pPr>
            <w:r w:rsidRPr="0018386D">
              <w:rPr>
                <w:lang w:bidi="th-TH"/>
              </w:rPr>
              <w:t>0.0010</w:t>
            </w:r>
          </w:p>
        </w:tc>
      </w:tr>
      <w:tr w:rsidR="006316C3" w:rsidRPr="0018386D" w14:paraId="6BE35ABB" w14:textId="77777777" w:rsidTr="00472FA1">
        <w:trPr>
          <w:divId w:val="963734707"/>
          <w:trHeight w:val="240"/>
        </w:trPr>
        <w:tc>
          <w:tcPr>
            <w:tcW w:w="1134" w:type="dxa"/>
            <w:tcBorders>
              <w:top w:val="nil"/>
              <w:bottom w:val="nil"/>
              <w:right w:val="single" w:sz="4" w:space="0" w:color="auto"/>
            </w:tcBorders>
            <w:shd w:val="clear" w:color="000000" w:fill="FFFFFF"/>
            <w:noWrap/>
            <w:hideMark/>
          </w:tcPr>
          <w:p w14:paraId="52A796B1" w14:textId="77777777" w:rsidR="008E2ED2" w:rsidRPr="0018386D" w:rsidRDefault="008E2ED2" w:rsidP="00DD3106">
            <w:pPr>
              <w:pStyle w:val="TableText"/>
              <w:spacing w:before="40" w:after="40"/>
              <w:rPr>
                <w:lang w:bidi="th-TH"/>
              </w:rPr>
            </w:pPr>
            <w:r w:rsidRPr="0018386D">
              <w:rPr>
                <w:lang w:bidi="th-TH"/>
              </w:rPr>
              <w:t> </w:t>
            </w:r>
          </w:p>
        </w:tc>
        <w:tc>
          <w:tcPr>
            <w:tcW w:w="1191" w:type="dxa"/>
            <w:tcBorders>
              <w:left w:val="single" w:sz="4" w:space="0" w:color="auto"/>
            </w:tcBorders>
            <w:shd w:val="clear" w:color="000000" w:fill="FFFFFF"/>
            <w:noWrap/>
            <w:hideMark/>
          </w:tcPr>
          <w:p w14:paraId="024CD946" w14:textId="347769EB" w:rsidR="008E2ED2" w:rsidRPr="0018386D" w:rsidRDefault="008E2ED2" w:rsidP="00DD3106">
            <w:pPr>
              <w:pStyle w:val="TableText"/>
              <w:spacing w:before="40" w:after="40"/>
              <w:rPr>
                <w:lang w:bidi="th-TH"/>
              </w:rPr>
            </w:pPr>
            <w:r w:rsidRPr="0018386D">
              <w:rPr>
                <w:lang w:bidi="th-TH"/>
              </w:rPr>
              <w:t xml:space="preserve">Economy </w:t>
            </w:r>
          </w:p>
        </w:tc>
        <w:tc>
          <w:tcPr>
            <w:tcW w:w="567" w:type="dxa"/>
            <w:shd w:val="clear" w:color="000000" w:fill="FFFFFF"/>
            <w:noWrap/>
            <w:hideMark/>
          </w:tcPr>
          <w:p w14:paraId="5938109E"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56E27476" w14:textId="77777777" w:rsidR="008E2ED2" w:rsidRPr="0018386D" w:rsidRDefault="008E2ED2" w:rsidP="00DD3106">
            <w:pPr>
              <w:pStyle w:val="TableText"/>
              <w:spacing w:before="40" w:after="40"/>
              <w:rPr>
                <w:lang w:bidi="th-TH"/>
              </w:rPr>
            </w:pPr>
            <w:r w:rsidRPr="0018386D">
              <w:rPr>
                <w:lang w:bidi="th-TH"/>
              </w:rPr>
              <w:t>0.0782</w:t>
            </w:r>
          </w:p>
        </w:tc>
        <w:tc>
          <w:tcPr>
            <w:tcW w:w="1361" w:type="dxa"/>
            <w:shd w:val="clear" w:color="000000" w:fill="FFFFFF"/>
            <w:noWrap/>
            <w:hideMark/>
          </w:tcPr>
          <w:p w14:paraId="489AB566" w14:textId="77777777" w:rsidR="008E2ED2" w:rsidRPr="0018386D" w:rsidRDefault="008E2ED2" w:rsidP="00DD3106">
            <w:pPr>
              <w:pStyle w:val="TableText"/>
              <w:spacing w:before="40" w:after="40"/>
              <w:rPr>
                <w:lang w:bidi="th-TH"/>
              </w:rPr>
            </w:pPr>
            <w:r w:rsidRPr="0018386D">
              <w:rPr>
                <w:lang w:bidi="th-TH"/>
              </w:rPr>
              <w:t>0.0774</w:t>
            </w:r>
          </w:p>
        </w:tc>
        <w:tc>
          <w:tcPr>
            <w:tcW w:w="1361" w:type="dxa"/>
            <w:shd w:val="clear" w:color="000000" w:fill="FFFFFF"/>
            <w:noWrap/>
            <w:hideMark/>
          </w:tcPr>
          <w:p w14:paraId="722DDE6C" w14:textId="77777777" w:rsidR="008E2ED2" w:rsidRPr="0018386D" w:rsidRDefault="008E2ED2" w:rsidP="00DD3106">
            <w:pPr>
              <w:pStyle w:val="TableText"/>
              <w:spacing w:before="40" w:after="40"/>
              <w:rPr>
                <w:lang w:bidi="th-TH"/>
              </w:rPr>
            </w:pPr>
            <w:r w:rsidRPr="0018386D">
              <w:rPr>
                <w:lang w:bidi="th-TH"/>
              </w:rPr>
              <w:t>0.00001</w:t>
            </w:r>
          </w:p>
        </w:tc>
        <w:tc>
          <w:tcPr>
            <w:tcW w:w="1361" w:type="dxa"/>
            <w:shd w:val="clear" w:color="000000" w:fill="FFFFFF"/>
            <w:noWrap/>
            <w:hideMark/>
          </w:tcPr>
          <w:p w14:paraId="64BAC34D" w14:textId="77777777" w:rsidR="008E2ED2" w:rsidRPr="0018386D" w:rsidRDefault="008E2ED2" w:rsidP="00DD3106">
            <w:pPr>
              <w:pStyle w:val="TableText"/>
              <w:spacing w:before="40" w:after="40"/>
              <w:rPr>
                <w:lang w:bidi="th-TH"/>
              </w:rPr>
            </w:pPr>
            <w:r w:rsidRPr="0018386D">
              <w:rPr>
                <w:lang w:bidi="th-TH"/>
              </w:rPr>
              <w:t>0.0007</w:t>
            </w:r>
          </w:p>
        </w:tc>
      </w:tr>
      <w:tr w:rsidR="006316C3" w:rsidRPr="0018386D" w14:paraId="2E78A743" w14:textId="77777777" w:rsidTr="00472FA1">
        <w:trPr>
          <w:divId w:val="963734707"/>
          <w:trHeight w:val="240"/>
        </w:trPr>
        <w:tc>
          <w:tcPr>
            <w:tcW w:w="1134" w:type="dxa"/>
            <w:tcBorders>
              <w:top w:val="nil"/>
              <w:bottom w:val="nil"/>
              <w:right w:val="single" w:sz="4" w:space="0" w:color="auto"/>
            </w:tcBorders>
            <w:shd w:val="clear" w:color="000000" w:fill="FFFFFF"/>
            <w:noWrap/>
            <w:hideMark/>
          </w:tcPr>
          <w:p w14:paraId="0C1C9825" w14:textId="77777777" w:rsidR="008E2ED2" w:rsidRPr="0018386D" w:rsidRDefault="008E2ED2" w:rsidP="00DD3106">
            <w:pPr>
              <w:pStyle w:val="TableText"/>
              <w:spacing w:before="40" w:after="40"/>
              <w:rPr>
                <w:lang w:bidi="th-TH"/>
              </w:rPr>
            </w:pPr>
            <w:r w:rsidRPr="0018386D">
              <w:rPr>
                <w:lang w:bidi="th-TH"/>
              </w:rPr>
              <w:t> </w:t>
            </w:r>
          </w:p>
        </w:tc>
        <w:tc>
          <w:tcPr>
            <w:tcW w:w="1191" w:type="dxa"/>
            <w:tcBorders>
              <w:left w:val="single" w:sz="4" w:space="0" w:color="auto"/>
            </w:tcBorders>
            <w:shd w:val="clear" w:color="000000" w:fill="FFFFFF"/>
            <w:noWrap/>
            <w:hideMark/>
          </w:tcPr>
          <w:p w14:paraId="40057F9C" w14:textId="642722BA" w:rsidR="008E2ED2" w:rsidRPr="0018386D" w:rsidRDefault="008E2ED2" w:rsidP="00DD3106">
            <w:pPr>
              <w:pStyle w:val="TableText"/>
              <w:spacing w:before="40" w:after="40"/>
              <w:rPr>
                <w:lang w:bidi="th-TH"/>
              </w:rPr>
            </w:pPr>
            <w:r w:rsidRPr="0018386D">
              <w:rPr>
                <w:lang w:bidi="th-TH"/>
              </w:rPr>
              <w:t xml:space="preserve">Premium economy </w:t>
            </w:r>
          </w:p>
        </w:tc>
        <w:tc>
          <w:tcPr>
            <w:tcW w:w="567" w:type="dxa"/>
            <w:shd w:val="clear" w:color="000000" w:fill="FFFFFF"/>
            <w:noWrap/>
            <w:hideMark/>
          </w:tcPr>
          <w:p w14:paraId="2DFD580B"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6B2765B3" w14:textId="77777777" w:rsidR="008E2ED2" w:rsidRPr="0018386D" w:rsidRDefault="008E2ED2" w:rsidP="00DD3106">
            <w:pPr>
              <w:pStyle w:val="TableText"/>
              <w:spacing w:before="40" w:after="40"/>
              <w:rPr>
                <w:lang w:bidi="th-TH"/>
              </w:rPr>
            </w:pPr>
            <w:r w:rsidRPr="0018386D">
              <w:rPr>
                <w:lang w:bidi="th-TH"/>
              </w:rPr>
              <w:t>0.125</w:t>
            </w:r>
          </w:p>
        </w:tc>
        <w:tc>
          <w:tcPr>
            <w:tcW w:w="1361" w:type="dxa"/>
            <w:shd w:val="clear" w:color="000000" w:fill="FFFFFF"/>
            <w:noWrap/>
            <w:hideMark/>
          </w:tcPr>
          <w:p w14:paraId="61757DB6" w14:textId="77777777" w:rsidR="008E2ED2" w:rsidRPr="0018386D" w:rsidRDefault="008E2ED2" w:rsidP="00DD3106">
            <w:pPr>
              <w:pStyle w:val="TableText"/>
              <w:spacing w:before="40" w:after="40"/>
              <w:rPr>
                <w:lang w:bidi="th-TH"/>
              </w:rPr>
            </w:pPr>
            <w:r w:rsidRPr="0018386D">
              <w:rPr>
                <w:lang w:bidi="th-TH"/>
              </w:rPr>
              <w:t>0.124</w:t>
            </w:r>
          </w:p>
        </w:tc>
        <w:tc>
          <w:tcPr>
            <w:tcW w:w="1361" w:type="dxa"/>
            <w:shd w:val="clear" w:color="000000" w:fill="FFFFFF"/>
            <w:noWrap/>
            <w:hideMark/>
          </w:tcPr>
          <w:p w14:paraId="7364885B" w14:textId="77777777" w:rsidR="008E2ED2" w:rsidRPr="0018386D" w:rsidRDefault="008E2ED2" w:rsidP="00DD3106">
            <w:pPr>
              <w:pStyle w:val="TableText"/>
              <w:spacing w:before="40" w:after="40"/>
              <w:rPr>
                <w:lang w:bidi="th-TH"/>
              </w:rPr>
            </w:pPr>
            <w:r w:rsidRPr="0018386D">
              <w:rPr>
                <w:lang w:bidi="th-TH"/>
              </w:rPr>
              <w:t>0.00001</w:t>
            </w:r>
          </w:p>
        </w:tc>
        <w:tc>
          <w:tcPr>
            <w:tcW w:w="1361" w:type="dxa"/>
            <w:shd w:val="clear" w:color="000000" w:fill="FFFFFF"/>
            <w:noWrap/>
            <w:hideMark/>
          </w:tcPr>
          <w:p w14:paraId="72CFF1B5" w14:textId="77777777" w:rsidR="008E2ED2" w:rsidRPr="0018386D" w:rsidRDefault="008E2ED2" w:rsidP="00DD3106">
            <w:pPr>
              <w:pStyle w:val="TableText"/>
              <w:spacing w:before="40" w:after="40"/>
              <w:rPr>
                <w:lang w:bidi="th-TH"/>
              </w:rPr>
            </w:pPr>
            <w:r w:rsidRPr="0018386D">
              <w:rPr>
                <w:lang w:bidi="th-TH"/>
              </w:rPr>
              <w:t>0.00117</w:t>
            </w:r>
          </w:p>
        </w:tc>
      </w:tr>
      <w:tr w:rsidR="006316C3" w:rsidRPr="0018386D" w14:paraId="087B066F" w14:textId="77777777" w:rsidTr="00472FA1">
        <w:trPr>
          <w:divId w:val="963734707"/>
          <w:trHeight w:val="240"/>
        </w:trPr>
        <w:tc>
          <w:tcPr>
            <w:tcW w:w="1134" w:type="dxa"/>
            <w:tcBorders>
              <w:top w:val="nil"/>
              <w:bottom w:val="nil"/>
              <w:right w:val="single" w:sz="4" w:space="0" w:color="auto"/>
            </w:tcBorders>
            <w:shd w:val="clear" w:color="000000" w:fill="FFFFFF"/>
            <w:noWrap/>
            <w:hideMark/>
          </w:tcPr>
          <w:p w14:paraId="65B58E94" w14:textId="77777777" w:rsidR="008E2ED2" w:rsidRPr="0018386D" w:rsidRDefault="008E2ED2" w:rsidP="00DD3106">
            <w:pPr>
              <w:pStyle w:val="TableText"/>
              <w:spacing w:before="40" w:after="40"/>
              <w:rPr>
                <w:lang w:bidi="th-TH"/>
              </w:rPr>
            </w:pPr>
            <w:r w:rsidRPr="0018386D">
              <w:rPr>
                <w:lang w:bidi="th-TH"/>
              </w:rPr>
              <w:t> </w:t>
            </w:r>
          </w:p>
        </w:tc>
        <w:tc>
          <w:tcPr>
            <w:tcW w:w="1191" w:type="dxa"/>
            <w:tcBorders>
              <w:left w:val="single" w:sz="4" w:space="0" w:color="auto"/>
            </w:tcBorders>
            <w:shd w:val="clear" w:color="000000" w:fill="FFFFFF"/>
            <w:noWrap/>
            <w:hideMark/>
          </w:tcPr>
          <w:p w14:paraId="012BAA6C" w14:textId="4C6C28EA" w:rsidR="008E2ED2" w:rsidRPr="0018386D" w:rsidRDefault="008E2ED2" w:rsidP="00DD3106">
            <w:pPr>
              <w:pStyle w:val="TableText"/>
              <w:spacing w:before="40" w:after="40"/>
              <w:rPr>
                <w:lang w:bidi="th-TH"/>
              </w:rPr>
            </w:pPr>
            <w:r w:rsidRPr="0018386D">
              <w:rPr>
                <w:lang w:bidi="th-TH"/>
              </w:rPr>
              <w:t xml:space="preserve">Business </w:t>
            </w:r>
          </w:p>
        </w:tc>
        <w:tc>
          <w:tcPr>
            <w:tcW w:w="567" w:type="dxa"/>
            <w:shd w:val="clear" w:color="000000" w:fill="FFFFFF"/>
            <w:noWrap/>
            <w:hideMark/>
          </w:tcPr>
          <w:p w14:paraId="03359EDF"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3B1C75E1" w14:textId="77777777" w:rsidR="008E2ED2" w:rsidRPr="0018386D" w:rsidRDefault="008E2ED2" w:rsidP="00DD3106">
            <w:pPr>
              <w:pStyle w:val="TableText"/>
              <w:spacing w:before="40" w:after="40"/>
              <w:rPr>
                <w:lang w:bidi="th-TH"/>
              </w:rPr>
            </w:pPr>
            <w:r w:rsidRPr="0018386D">
              <w:rPr>
                <w:lang w:bidi="th-TH"/>
              </w:rPr>
              <w:t>0.227</w:t>
            </w:r>
          </w:p>
        </w:tc>
        <w:tc>
          <w:tcPr>
            <w:tcW w:w="1361" w:type="dxa"/>
            <w:shd w:val="clear" w:color="000000" w:fill="FFFFFF"/>
            <w:noWrap/>
            <w:hideMark/>
          </w:tcPr>
          <w:p w14:paraId="4DE305CD" w14:textId="77777777" w:rsidR="008E2ED2" w:rsidRPr="0018386D" w:rsidRDefault="008E2ED2" w:rsidP="00DD3106">
            <w:pPr>
              <w:pStyle w:val="TableText"/>
              <w:spacing w:before="40" w:after="40"/>
              <w:rPr>
                <w:lang w:bidi="th-TH"/>
              </w:rPr>
            </w:pPr>
            <w:r w:rsidRPr="0018386D">
              <w:rPr>
                <w:lang w:bidi="th-TH"/>
              </w:rPr>
              <w:t>0.225</w:t>
            </w:r>
          </w:p>
        </w:tc>
        <w:tc>
          <w:tcPr>
            <w:tcW w:w="1361" w:type="dxa"/>
            <w:shd w:val="clear" w:color="000000" w:fill="FFFFFF"/>
            <w:noWrap/>
            <w:hideMark/>
          </w:tcPr>
          <w:p w14:paraId="19625886" w14:textId="77777777" w:rsidR="008E2ED2" w:rsidRPr="0018386D" w:rsidRDefault="008E2ED2" w:rsidP="00DD3106">
            <w:pPr>
              <w:pStyle w:val="TableText"/>
              <w:spacing w:before="40" w:after="40"/>
              <w:rPr>
                <w:lang w:bidi="th-TH"/>
              </w:rPr>
            </w:pPr>
            <w:r w:rsidRPr="0018386D">
              <w:rPr>
                <w:lang w:bidi="th-TH"/>
              </w:rPr>
              <w:t>0.00002</w:t>
            </w:r>
          </w:p>
        </w:tc>
        <w:tc>
          <w:tcPr>
            <w:tcW w:w="1361" w:type="dxa"/>
            <w:shd w:val="clear" w:color="000000" w:fill="FFFFFF"/>
            <w:noWrap/>
            <w:hideMark/>
          </w:tcPr>
          <w:p w14:paraId="6CEAD85B" w14:textId="77777777" w:rsidR="008E2ED2" w:rsidRPr="0018386D" w:rsidRDefault="008E2ED2" w:rsidP="00DD3106">
            <w:pPr>
              <w:pStyle w:val="TableText"/>
              <w:spacing w:before="40" w:after="40"/>
              <w:rPr>
                <w:lang w:bidi="th-TH"/>
              </w:rPr>
            </w:pPr>
            <w:r w:rsidRPr="0018386D">
              <w:rPr>
                <w:lang w:bidi="th-TH"/>
              </w:rPr>
              <w:t>0.00212</w:t>
            </w:r>
          </w:p>
        </w:tc>
      </w:tr>
      <w:tr w:rsidR="006316C3" w:rsidRPr="0018386D" w14:paraId="0FF092B1" w14:textId="77777777" w:rsidTr="00472FA1">
        <w:trPr>
          <w:divId w:val="963734707"/>
          <w:trHeight w:val="240"/>
        </w:trPr>
        <w:tc>
          <w:tcPr>
            <w:tcW w:w="1134" w:type="dxa"/>
            <w:tcBorders>
              <w:top w:val="nil"/>
              <w:bottom w:val="single" w:sz="4" w:space="0" w:color="auto"/>
              <w:right w:val="single" w:sz="4" w:space="0" w:color="auto"/>
            </w:tcBorders>
            <w:shd w:val="clear" w:color="000000" w:fill="FFFFFF"/>
            <w:noWrap/>
            <w:hideMark/>
          </w:tcPr>
          <w:p w14:paraId="72B28F09" w14:textId="77777777" w:rsidR="008E2ED2" w:rsidRPr="0018386D" w:rsidRDefault="008E2ED2" w:rsidP="00DD3106">
            <w:pPr>
              <w:pStyle w:val="TableText"/>
              <w:spacing w:before="40" w:after="40"/>
              <w:rPr>
                <w:lang w:bidi="th-TH"/>
              </w:rPr>
            </w:pPr>
            <w:r w:rsidRPr="0018386D">
              <w:rPr>
                <w:lang w:bidi="th-TH"/>
              </w:rPr>
              <w:t> </w:t>
            </w:r>
          </w:p>
        </w:tc>
        <w:tc>
          <w:tcPr>
            <w:tcW w:w="1191" w:type="dxa"/>
            <w:tcBorders>
              <w:left w:val="single" w:sz="4" w:space="0" w:color="auto"/>
            </w:tcBorders>
            <w:shd w:val="clear" w:color="000000" w:fill="FFFFFF"/>
            <w:noWrap/>
            <w:hideMark/>
          </w:tcPr>
          <w:p w14:paraId="47264DBF" w14:textId="6C6A6FB3" w:rsidR="008E2ED2" w:rsidRPr="0018386D" w:rsidRDefault="008E2ED2" w:rsidP="00DD3106">
            <w:pPr>
              <w:pStyle w:val="TableText"/>
              <w:spacing w:before="40" w:after="40"/>
              <w:rPr>
                <w:lang w:bidi="th-TH"/>
              </w:rPr>
            </w:pPr>
            <w:r w:rsidRPr="0018386D">
              <w:rPr>
                <w:lang w:bidi="th-TH"/>
              </w:rPr>
              <w:t>First</w:t>
            </w:r>
          </w:p>
        </w:tc>
        <w:tc>
          <w:tcPr>
            <w:tcW w:w="567" w:type="dxa"/>
            <w:shd w:val="clear" w:color="000000" w:fill="FFFFFF"/>
            <w:noWrap/>
            <w:hideMark/>
          </w:tcPr>
          <w:p w14:paraId="23816D6F" w14:textId="77777777" w:rsidR="008E2ED2" w:rsidRPr="0018386D" w:rsidRDefault="008E2ED2" w:rsidP="00DD3106">
            <w:pPr>
              <w:pStyle w:val="TableText"/>
              <w:spacing w:before="40" w:after="40"/>
              <w:rPr>
                <w:lang w:bidi="th-TH"/>
              </w:rPr>
            </w:pPr>
            <w:proofErr w:type="spellStart"/>
            <w:r w:rsidRPr="0018386D">
              <w:rPr>
                <w:lang w:bidi="th-TH"/>
              </w:rPr>
              <w:t>pkm</w:t>
            </w:r>
            <w:proofErr w:type="spellEnd"/>
          </w:p>
        </w:tc>
        <w:tc>
          <w:tcPr>
            <w:tcW w:w="1134" w:type="dxa"/>
            <w:shd w:val="clear" w:color="000000" w:fill="D2DDE1"/>
            <w:noWrap/>
            <w:hideMark/>
          </w:tcPr>
          <w:p w14:paraId="374FF505" w14:textId="77777777" w:rsidR="008E2ED2" w:rsidRPr="0018386D" w:rsidRDefault="008E2ED2" w:rsidP="00DD3106">
            <w:pPr>
              <w:pStyle w:val="TableText"/>
              <w:spacing w:before="40" w:after="40"/>
              <w:rPr>
                <w:lang w:bidi="th-TH"/>
              </w:rPr>
            </w:pPr>
            <w:r w:rsidRPr="0018386D">
              <w:rPr>
                <w:lang w:bidi="th-TH"/>
              </w:rPr>
              <w:t>0.313</w:t>
            </w:r>
          </w:p>
        </w:tc>
        <w:tc>
          <w:tcPr>
            <w:tcW w:w="1361" w:type="dxa"/>
            <w:shd w:val="clear" w:color="000000" w:fill="FFFFFF"/>
            <w:noWrap/>
            <w:hideMark/>
          </w:tcPr>
          <w:p w14:paraId="1177956A" w14:textId="77777777" w:rsidR="008E2ED2" w:rsidRPr="0018386D" w:rsidRDefault="008E2ED2" w:rsidP="00DD3106">
            <w:pPr>
              <w:pStyle w:val="TableText"/>
              <w:spacing w:before="40" w:after="40"/>
              <w:rPr>
                <w:lang w:bidi="th-TH"/>
              </w:rPr>
            </w:pPr>
            <w:r w:rsidRPr="0018386D">
              <w:rPr>
                <w:lang w:bidi="th-TH"/>
              </w:rPr>
              <w:t>0.310</w:t>
            </w:r>
          </w:p>
        </w:tc>
        <w:tc>
          <w:tcPr>
            <w:tcW w:w="1361" w:type="dxa"/>
            <w:shd w:val="clear" w:color="000000" w:fill="FFFFFF"/>
            <w:noWrap/>
            <w:hideMark/>
          </w:tcPr>
          <w:p w14:paraId="33ABB9C2" w14:textId="77777777" w:rsidR="008E2ED2" w:rsidRPr="0018386D" w:rsidRDefault="008E2ED2" w:rsidP="00DD3106">
            <w:pPr>
              <w:pStyle w:val="TableText"/>
              <w:spacing w:before="40" w:after="40"/>
              <w:rPr>
                <w:lang w:bidi="th-TH"/>
              </w:rPr>
            </w:pPr>
            <w:r w:rsidRPr="0018386D">
              <w:rPr>
                <w:lang w:bidi="th-TH"/>
              </w:rPr>
              <w:t>0.00002</w:t>
            </w:r>
          </w:p>
        </w:tc>
        <w:tc>
          <w:tcPr>
            <w:tcW w:w="1361" w:type="dxa"/>
            <w:shd w:val="clear" w:color="000000" w:fill="FFFFFF"/>
            <w:noWrap/>
            <w:hideMark/>
          </w:tcPr>
          <w:p w14:paraId="5E020E6F" w14:textId="77777777" w:rsidR="008E2ED2" w:rsidRPr="0018386D" w:rsidRDefault="008E2ED2" w:rsidP="00DD3106">
            <w:pPr>
              <w:pStyle w:val="TableText"/>
              <w:spacing w:before="40" w:after="40"/>
              <w:rPr>
                <w:lang w:bidi="th-TH"/>
              </w:rPr>
            </w:pPr>
            <w:r w:rsidRPr="0018386D">
              <w:rPr>
                <w:lang w:bidi="th-TH"/>
              </w:rPr>
              <w:t>0.00293</w:t>
            </w:r>
          </w:p>
        </w:tc>
      </w:tr>
    </w:tbl>
    <w:p w14:paraId="3E823451" w14:textId="36671E0C" w:rsidR="00797A54" w:rsidRPr="0018386D" w:rsidRDefault="00797A54" w:rsidP="00DD3106">
      <w:pPr>
        <w:pStyle w:val="Note"/>
        <w:spacing w:after="240"/>
      </w:pPr>
      <w:bookmarkStart w:id="552" w:name="_Ref532397982"/>
      <w:bookmarkStart w:id="553" w:name="_Ref532759560"/>
      <w:r w:rsidRPr="0018386D">
        <w:rPr>
          <w:b/>
          <w:bCs/>
        </w:rPr>
        <w:t>Note:</w:t>
      </w:r>
      <w:r w:rsidRPr="0018386D">
        <w:t xml:space="preserve"> These numbers are rounded to three decimal places unless the number is significantly small.</w:t>
      </w:r>
      <w:r w:rsidR="004C3308" w:rsidRPr="0018386D">
        <w:t xml:space="preserve"> </w:t>
      </w:r>
    </w:p>
    <w:p w14:paraId="5C23BE7A" w14:textId="6791C967" w:rsidR="00762CE1" w:rsidRPr="0018386D" w:rsidRDefault="00EB4389" w:rsidP="00DD3106">
      <w:pPr>
        <w:pStyle w:val="Tableheading"/>
      </w:pPr>
      <w:bookmarkStart w:id="554" w:name="table42"/>
      <w:bookmarkStart w:id="555" w:name="_Toc140048982"/>
      <w:bookmarkEnd w:id="552"/>
      <w:bookmarkEnd w:id="553"/>
      <w:r w:rsidRPr="0018386D">
        <w:t xml:space="preserve">Table </w:t>
      </w:r>
      <w:r w:rsidRPr="0018386D">
        <w:fldChar w:fldCharType="begin"/>
      </w:r>
      <w:r w:rsidRPr="0018386D">
        <w:instrText>SEQ Table \* ARABIC</w:instrText>
      </w:r>
      <w:r w:rsidRPr="0018386D">
        <w:fldChar w:fldCharType="separate"/>
      </w:r>
      <w:r w:rsidR="007F406F" w:rsidRPr="0018386D">
        <w:t>42</w:t>
      </w:r>
      <w:r w:rsidRPr="0018386D">
        <w:fldChar w:fldCharType="end"/>
      </w:r>
      <w:bookmarkEnd w:id="554"/>
      <w:r w:rsidRPr="0018386D">
        <w:t>:</w:t>
      </w:r>
      <w:r w:rsidRPr="0018386D">
        <w:tab/>
      </w:r>
      <w:r w:rsidR="00762CE1" w:rsidRPr="0018386D">
        <w:t>Emission factors for international air travel</w:t>
      </w:r>
      <w:r w:rsidR="00666FC8" w:rsidRPr="0018386D">
        <w:t xml:space="preserve"> with</w:t>
      </w:r>
      <w:r w:rsidR="00D15D26" w:rsidRPr="0018386D">
        <w:t xml:space="preserve"> </w:t>
      </w:r>
      <w:r w:rsidR="00666FC8" w:rsidRPr="0018386D">
        <w:t>radiative forcing multiplier</w:t>
      </w:r>
      <w:bookmarkEnd w:id="548"/>
      <w:bookmarkEnd w:id="555"/>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134"/>
        <w:gridCol w:w="1276"/>
        <w:gridCol w:w="567"/>
        <w:gridCol w:w="1276"/>
        <w:gridCol w:w="1417"/>
        <w:gridCol w:w="1483"/>
        <w:gridCol w:w="1352"/>
      </w:tblGrid>
      <w:tr w:rsidR="006316C3" w:rsidRPr="0018386D" w14:paraId="750CF43A" w14:textId="77777777" w:rsidTr="00472FA1">
        <w:trPr>
          <w:trHeight w:val="240"/>
        </w:trPr>
        <w:tc>
          <w:tcPr>
            <w:tcW w:w="1134" w:type="dxa"/>
            <w:tcBorders>
              <w:bottom w:val="nil"/>
            </w:tcBorders>
            <w:shd w:val="clear" w:color="000000" w:fill="1B556B" w:themeFill="text2"/>
            <w:noWrap/>
            <w:vAlign w:val="bottom"/>
            <w:hideMark/>
          </w:tcPr>
          <w:p w14:paraId="5EEDB84F" w14:textId="77777777" w:rsidR="00D15D26" w:rsidRPr="0018386D" w:rsidRDefault="00D15D26" w:rsidP="00DD3106">
            <w:pPr>
              <w:pStyle w:val="TableTextbold"/>
              <w:rPr>
                <w:color w:val="FFFFFF" w:themeColor="background1"/>
              </w:rPr>
            </w:pPr>
            <w:r w:rsidRPr="0018386D">
              <w:rPr>
                <w:color w:val="FFFFFF" w:themeColor="background1"/>
              </w:rPr>
              <w:t>Emission source</w:t>
            </w:r>
          </w:p>
        </w:tc>
        <w:tc>
          <w:tcPr>
            <w:tcW w:w="1276" w:type="dxa"/>
            <w:shd w:val="clear" w:color="000000" w:fill="1B556B" w:themeFill="text2"/>
            <w:noWrap/>
            <w:vAlign w:val="bottom"/>
            <w:hideMark/>
          </w:tcPr>
          <w:p w14:paraId="60C49B1E" w14:textId="77777777" w:rsidR="00D15D26" w:rsidRPr="0018386D" w:rsidRDefault="00D15D26" w:rsidP="00DD3106">
            <w:pPr>
              <w:pStyle w:val="TableTextbold"/>
              <w:rPr>
                <w:color w:val="FFFFFF" w:themeColor="background1"/>
              </w:rPr>
            </w:pPr>
            <w:r w:rsidRPr="0018386D">
              <w:rPr>
                <w:color w:val="FFFFFF" w:themeColor="background1"/>
              </w:rPr>
              <w:t>Travel class</w:t>
            </w:r>
          </w:p>
        </w:tc>
        <w:tc>
          <w:tcPr>
            <w:tcW w:w="567" w:type="dxa"/>
            <w:shd w:val="clear" w:color="000000" w:fill="1B556B" w:themeFill="text2"/>
            <w:noWrap/>
            <w:vAlign w:val="bottom"/>
            <w:hideMark/>
          </w:tcPr>
          <w:p w14:paraId="717FC7BB" w14:textId="77777777" w:rsidR="00D15D26" w:rsidRPr="0018386D" w:rsidRDefault="00D15D26" w:rsidP="00DD3106">
            <w:pPr>
              <w:pStyle w:val="TableTextbold"/>
              <w:rPr>
                <w:color w:val="FFFFFF" w:themeColor="background1"/>
              </w:rPr>
            </w:pPr>
            <w:r w:rsidRPr="0018386D">
              <w:rPr>
                <w:color w:val="FFFFFF" w:themeColor="background1"/>
              </w:rPr>
              <w:t>Unit</w:t>
            </w:r>
          </w:p>
        </w:tc>
        <w:tc>
          <w:tcPr>
            <w:tcW w:w="1276" w:type="dxa"/>
            <w:shd w:val="clear" w:color="000000" w:fill="1B556B" w:themeFill="text2"/>
            <w:noWrap/>
            <w:vAlign w:val="bottom"/>
            <w:hideMark/>
          </w:tcPr>
          <w:p w14:paraId="4E1E381C" w14:textId="24D21E6A" w:rsidR="00D15D26" w:rsidRPr="0018386D" w:rsidRDefault="00D15D26" w:rsidP="00DD3106">
            <w:pPr>
              <w:pStyle w:val="TableTextbold"/>
              <w:rPr>
                <w:color w:val="FFFFFF" w:themeColor="background1"/>
              </w:rPr>
            </w:pPr>
            <w:r w:rsidRPr="0018386D">
              <w:rPr>
                <w:color w:val="FFFFFF" w:themeColor="background1"/>
              </w:rPr>
              <w:t>kg CO₂-e/unit</w:t>
            </w:r>
          </w:p>
        </w:tc>
        <w:tc>
          <w:tcPr>
            <w:tcW w:w="1417" w:type="dxa"/>
            <w:shd w:val="clear" w:color="000000" w:fill="1B556B" w:themeFill="text2"/>
            <w:noWrap/>
            <w:vAlign w:val="bottom"/>
            <w:hideMark/>
          </w:tcPr>
          <w:p w14:paraId="785B68A7" w14:textId="78E4716E" w:rsidR="00D15D26" w:rsidRPr="0018386D" w:rsidRDefault="00D15D26" w:rsidP="00DD3106">
            <w:pPr>
              <w:pStyle w:val="TableTextbold"/>
              <w:rPr>
                <w:color w:val="FFFFFF" w:themeColor="background1"/>
              </w:rPr>
            </w:pPr>
            <w:r w:rsidRPr="0018386D">
              <w:rPr>
                <w:color w:val="FFFFFF" w:themeColor="background1"/>
              </w:rPr>
              <w:t xml:space="preserve">CO₂ </w:t>
            </w:r>
            <w:r w:rsidR="00D01914" w:rsidRPr="0018386D">
              <w:rPr>
                <w:color w:val="FFFFFF" w:themeColor="background1"/>
              </w:rPr>
              <w:br/>
            </w:r>
            <w:r w:rsidRPr="0018386D">
              <w:rPr>
                <w:color w:val="FFFFFF" w:themeColor="background1"/>
              </w:rPr>
              <w:t>(kg CO₂</w:t>
            </w:r>
            <w:r w:rsidRPr="0018386D">
              <w:rPr>
                <w:color w:val="FFFFFF" w:themeColor="background1"/>
              </w:rPr>
              <w:noBreakHyphen/>
              <w:t>e/unit)</w:t>
            </w:r>
          </w:p>
        </w:tc>
        <w:tc>
          <w:tcPr>
            <w:tcW w:w="1483" w:type="dxa"/>
            <w:shd w:val="clear" w:color="000000" w:fill="1B556B" w:themeFill="text2"/>
            <w:noWrap/>
            <w:vAlign w:val="bottom"/>
            <w:hideMark/>
          </w:tcPr>
          <w:p w14:paraId="65CAD0BE" w14:textId="6EE075AE" w:rsidR="00D15D26" w:rsidRPr="0018386D" w:rsidRDefault="00D15D26" w:rsidP="00DD3106">
            <w:pPr>
              <w:pStyle w:val="TableTextbold"/>
              <w:rPr>
                <w:color w:val="FFFFFF" w:themeColor="background1"/>
              </w:rPr>
            </w:pPr>
            <w:r w:rsidRPr="0018386D">
              <w:rPr>
                <w:color w:val="FFFFFF" w:themeColor="background1"/>
              </w:rPr>
              <w:t xml:space="preserve">CH₄ </w:t>
            </w:r>
            <w:r w:rsidR="00D01914" w:rsidRPr="0018386D">
              <w:rPr>
                <w:color w:val="FFFFFF" w:themeColor="background1"/>
              </w:rPr>
              <w:br/>
            </w:r>
            <w:r w:rsidRPr="0018386D">
              <w:rPr>
                <w:color w:val="FFFFFF" w:themeColor="background1"/>
              </w:rPr>
              <w:t>(kg CO₂-e/unit)</w:t>
            </w:r>
          </w:p>
        </w:tc>
        <w:tc>
          <w:tcPr>
            <w:tcW w:w="1352" w:type="dxa"/>
            <w:shd w:val="clear" w:color="000000" w:fill="1B556B" w:themeFill="text2"/>
            <w:noWrap/>
            <w:vAlign w:val="bottom"/>
            <w:hideMark/>
          </w:tcPr>
          <w:p w14:paraId="30B6EF74" w14:textId="340F83A1" w:rsidR="00D15D26" w:rsidRPr="0018386D" w:rsidRDefault="00D15D26" w:rsidP="00DD3106">
            <w:pPr>
              <w:pStyle w:val="TableTextbold"/>
              <w:rPr>
                <w:color w:val="FFFFFF" w:themeColor="background1"/>
              </w:rPr>
            </w:pPr>
            <w:r w:rsidRPr="0018386D">
              <w:rPr>
                <w:color w:val="FFFFFF" w:themeColor="background1"/>
              </w:rPr>
              <w:t xml:space="preserve">N₂O </w:t>
            </w:r>
            <w:r w:rsidR="00D01914" w:rsidRPr="0018386D">
              <w:rPr>
                <w:color w:val="FFFFFF" w:themeColor="background1"/>
              </w:rPr>
              <w:br/>
            </w:r>
            <w:r w:rsidRPr="0018386D">
              <w:rPr>
                <w:color w:val="FFFFFF" w:themeColor="background1"/>
              </w:rPr>
              <w:t>(kg CO₂-e/unit)</w:t>
            </w:r>
          </w:p>
        </w:tc>
      </w:tr>
      <w:tr w:rsidR="006316C3" w:rsidRPr="0018386D" w14:paraId="2BB0429C" w14:textId="77777777" w:rsidTr="00472FA1">
        <w:trPr>
          <w:trHeight w:val="240"/>
        </w:trPr>
        <w:tc>
          <w:tcPr>
            <w:tcW w:w="1134" w:type="dxa"/>
            <w:tcBorders>
              <w:top w:val="nil"/>
              <w:bottom w:val="nil"/>
              <w:right w:val="single" w:sz="4" w:space="0" w:color="auto"/>
            </w:tcBorders>
            <w:shd w:val="clear" w:color="000000" w:fill="FFFFFF"/>
            <w:noWrap/>
            <w:vAlign w:val="bottom"/>
            <w:hideMark/>
          </w:tcPr>
          <w:p w14:paraId="0D025307" w14:textId="46ACB6DA" w:rsidR="00D15D26" w:rsidRPr="0018386D" w:rsidRDefault="00D15D26" w:rsidP="00DD3106">
            <w:pPr>
              <w:pStyle w:val="TableText"/>
            </w:pPr>
            <w:proofErr w:type="gramStart"/>
            <w:r w:rsidRPr="0018386D">
              <w:t>Short-haul</w:t>
            </w:r>
            <w:proofErr w:type="gramEnd"/>
            <w:r w:rsidRPr="0018386D">
              <w:t xml:space="preserve"> (&lt;3700</w:t>
            </w:r>
            <w:r w:rsidR="00C06CE5" w:rsidRPr="0018386D">
              <w:t xml:space="preserve"> </w:t>
            </w:r>
            <w:r w:rsidRPr="0018386D">
              <w:t>km)</w:t>
            </w:r>
          </w:p>
        </w:tc>
        <w:tc>
          <w:tcPr>
            <w:tcW w:w="1276" w:type="dxa"/>
            <w:tcBorders>
              <w:left w:val="single" w:sz="4" w:space="0" w:color="auto"/>
            </w:tcBorders>
            <w:shd w:val="clear" w:color="000000" w:fill="FFFFFF"/>
            <w:noWrap/>
            <w:vAlign w:val="bottom"/>
            <w:hideMark/>
          </w:tcPr>
          <w:p w14:paraId="2D37F40F" w14:textId="77777777" w:rsidR="00D15D26" w:rsidRPr="0018386D" w:rsidRDefault="00D15D26" w:rsidP="00DD3106">
            <w:pPr>
              <w:pStyle w:val="TableText"/>
            </w:pPr>
            <w:r w:rsidRPr="0018386D">
              <w:t>Average passenger</w:t>
            </w:r>
          </w:p>
        </w:tc>
        <w:tc>
          <w:tcPr>
            <w:tcW w:w="567" w:type="dxa"/>
            <w:shd w:val="clear" w:color="000000" w:fill="FFFFFF"/>
            <w:noWrap/>
            <w:vAlign w:val="bottom"/>
            <w:hideMark/>
          </w:tcPr>
          <w:p w14:paraId="569AA5FC"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05DE99C7" w14:textId="77777777" w:rsidR="00D15D26" w:rsidRPr="0018386D" w:rsidRDefault="00D15D26" w:rsidP="00DD3106">
            <w:pPr>
              <w:pStyle w:val="TableText"/>
            </w:pPr>
            <w:r w:rsidRPr="0018386D">
              <w:t>0.154</w:t>
            </w:r>
          </w:p>
        </w:tc>
        <w:tc>
          <w:tcPr>
            <w:tcW w:w="1417" w:type="dxa"/>
            <w:shd w:val="clear" w:color="000000" w:fill="FFFFFF"/>
            <w:noWrap/>
            <w:vAlign w:val="bottom"/>
            <w:hideMark/>
          </w:tcPr>
          <w:p w14:paraId="47BE29FB" w14:textId="77777777" w:rsidR="00D15D26" w:rsidRPr="0018386D" w:rsidRDefault="00D15D26" w:rsidP="00DD3106">
            <w:pPr>
              <w:pStyle w:val="TableText"/>
            </w:pPr>
            <w:r w:rsidRPr="0018386D">
              <w:t>0.153</w:t>
            </w:r>
          </w:p>
        </w:tc>
        <w:tc>
          <w:tcPr>
            <w:tcW w:w="1483" w:type="dxa"/>
            <w:shd w:val="clear" w:color="000000" w:fill="FFFFFF"/>
            <w:noWrap/>
            <w:vAlign w:val="bottom"/>
            <w:hideMark/>
          </w:tcPr>
          <w:p w14:paraId="655D4EFC" w14:textId="77777777" w:rsidR="00D15D26" w:rsidRPr="0018386D" w:rsidRDefault="00D15D26" w:rsidP="00DD3106">
            <w:pPr>
              <w:pStyle w:val="TableText"/>
            </w:pPr>
            <w:r w:rsidRPr="0018386D">
              <w:t>0.00001</w:t>
            </w:r>
          </w:p>
        </w:tc>
        <w:tc>
          <w:tcPr>
            <w:tcW w:w="1352" w:type="dxa"/>
            <w:shd w:val="clear" w:color="000000" w:fill="FFFFFF"/>
            <w:noWrap/>
            <w:vAlign w:val="bottom"/>
            <w:hideMark/>
          </w:tcPr>
          <w:p w14:paraId="47ABFA5B" w14:textId="6AEF989E" w:rsidR="00D15D26" w:rsidRPr="0018386D" w:rsidRDefault="00D15D26" w:rsidP="00DD3106">
            <w:pPr>
              <w:pStyle w:val="TableText"/>
            </w:pPr>
            <w:r w:rsidRPr="0018386D">
              <w:t>0.0008</w:t>
            </w:r>
          </w:p>
        </w:tc>
      </w:tr>
      <w:tr w:rsidR="006316C3" w:rsidRPr="0018386D" w14:paraId="56F41C19" w14:textId="77777777" w:rsidTr="00472FA1">
        <w:trPr>
          <w:trHeight w:val="240"/>
        </w:trPr>
        <w:tc>
          <w:tcPr>
            <w:tcW w:w="1134" w:type="dxa"/>
            <w:tcBorders>
              <w:top w:val="nil"/>
              <w:bottom w:val="nil"/>
              <w:right w:val="single" w:sz="4" w:space="0" w:color="auto"/>
            </w:tcBorders>
            <w:shd w:val="clear" w:color="000000" w:fill="FFFFFF"/>
            <w:noWrap/>
            <w:vAlign w:val="bottom"/>
            <w:hideMark/>
          </w:tcPr>
          <w:p w14:paraId="23F83470" w14:textId="77777777" w:rsidR="00D15D26" w:rsidRPr="0018386D" w:rsidRDefault="00D15D26" w:rsidP="00DD3106">
            <w:pPr>
              <w:pStyle w:val="TableText"/>
            </w:pPr>
            <w:r w:rsidRPr="0018386D">
              <w:t> </w:t>
            </w:r>
          </w:p>
        </w:tc>
        <w:tc>
          <w:tcPr>
            <w:tcW w:w="1276" w:type="dxa"/>
            <w:tcBorders>
              <w:left w:val="single" w:sz="4" w:space="0" w:color="auto"/>
            </w:tcBorders>
            <w:shd w:val="clear" w:color="000000" w:fill="FFFFFF"/>
            <w:noWrap/>
            <w:vAlign w:val="bottom"/>
            <w:hideMark/>
          </w:tcPr>
          <w:p w14:paraId="04007765" w14:textId="04BED3EC" w:rsidR="00D15D26" w:rsidRPr="0018386D" w:rsidRDefault="00D15D26" w:rsidP="00DD3106">
            <w:pPr>
              <w:pStyle w:val="TableText"/>
            </w:pPr>
            <w:r w:rsidRPr="0018386D">
              <w:t xml:space="preserve">Economy </w:t>
            </w:r>
          </w:p>
        </w:tc>
        <w:tc>
          <w:tcPr>
            <w:tcW w:w="567" w:type="dxa"/>
            <w:shd w:val="clear" w:color="000000" w:fill="FFFFFF"/>
            <w:noWrap/>
            <w:vAlign w:val="bottom"/>
            <w:hideMark/>
          </w:tcPr>
          <w:p w14:paraId="20F114D7"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5BB949F4" w14:textId="77777777" w:rsidR="00D15D26" w:rsidRPr="0018386D" w:rsidRDefault="00D15D26" w:rsidP="00DD3106">
            <w:pPr>
              <w:pStyle w:val="TableText"/>
            </w:pPr>
            <w:r w:rsidRPr="0018386D">
              <w:t>0.151</w:t>
            </w:r>
          </w:p>
        </w:tc>
        <w:tc>
          <w:tcPr>
            <w:tcW w:w="1417" w:type="dxa"/>
            <w:shd w:val="clear" w:color="000000" w:fill="FFFFFF"/>
            <w:noWrap/>
            <w:vAlign w:val="bottom"/>
            <w:hideMark/>
          </w:tcPr>
          <w:p w14:paraId="6E570B47" w14:textId="77777777" w:rsidR="00D15D26" w:rsidRPr="0018386D" w:rsidRDefault="00D15D26" w:rsidP="00DD3106">
            <w:pPr>
              <w:pStyle w:val="TableText"/>
            </w:pPr>
            <w:r w:rsidRPr="0018386D">
              <w:t>0.150</w:t>
            </w:r>
          </w:p>
        </w:tc>
        <w:tc>
          <w:tcPr>
            <w:tcW w:w="1483" w:type="dxa"/>
            <w:shd w:val="clear" w:color="000000" w:fill="FFFFFF"/>
            <w:noWrap/>
            <w:vAlign w:val="bottom"/>
            <w:hideMark/>
          </w:tcPr>
          <w:p w14:paraId="1C588361" w14:textId="77777777" w:rsidR="00D15D26" w:rsidRPr="0018386D" w:rsidRDefault="00D15D26" w:rsidP="00DD3106">
            <w:pPr>
              <w:pStyle w:val="TableText"/>
            </w:pPr>
            <w:r w:rsidRPr="0018386D">
              <w:t>0.00001</w:t>
            </w:r>
          </w:p>
        </w:tc>
        <w:tc>
          <w:tcPr>
            <w:tcW w:w="1352" w:type="dxa"/>
            <w:shd w:val="clear" w:color="000000" w:fill="FFFFFF"/>
            <w:noWrap/>
            <w:vAlign w:val="bottom"/>
            <w:hideMark/>
          </w:tcPr>
          <w:p w14:paraId="0AB4D8F6" w14:textId="27D4B537" w:rsidR="00D15D26" w:rsidRPr="0018386D" w:rsidRDefault="00D15D26" w:rsidP="00DD3106">
            <w:pPr>
              <w:pStyle w:val="TableText"/>
            </w:pPr>
            <w:r w:rsidRPr="0018386D">
              <w:t>0.0008</w:t>
            </w:r>
          </w:p>
        </w:tc>
      </w:tr>
      <w:tr w:rsidR="006316C3" w:rsidRPr="0018386D" w14:paraId="4621CC1F" w14:textId="77777777" w:rsidTr="00472FA1">
        <w:trPr>
          <w:trHeight w:val="240"/>
        </w:trPr>
        <w:tc>
          <w:tcPr>
            <w:tcW w:w="1134" w:type="dxa"/>
            <w:tcBorders>
              <w:top w:val="nil"/>
              <w:bottom w:val="single" w:sz="4" w:space="0" w:color="auto"/>
              <w:right w:val="single" w:sz="4" w:space="0" w:color="auto"/>
            </w:tcBorders>
            <w:shd w:val="clear" w:color="000000" w:fill="FFFFFF"/>
            <w:noWrap/>
            <w:vAlign w:val="bottom"/>
            <w:hideMark/>
          </w:tcPr>
          <w:p w14:paraId="6DE6D6E7" w14:textId="77777777" w:rsidR="00D15D26" w:rsidRPr="0018386D" w:rsidRDefault="00D15D26" w:rsidP="00DD3106">
            <w:pPr>
              <w:pStyle w:val="TableText"/>
            </w:pPr>
            <w:r w:rsidRPr="0018386D">
              <w:t> </w:t>
            </w:r>
          </w:p>
        </w:tc>
        <w:tc>
          <w:tcPr>
            <w:tcW w:w="1276" w:type="dxa"/>
            <w:tcBorders>
              <w:left w:val="single" w:sz="4" w:space="0" w:color="auto"/>
            </w:tcBorders>
            <w:shd w:val="clear" w:color="000000" w:fill="FFFFFF"/>
            <w:noWrap/>
            <w:vAlign w:val="bottom"/>
            <w:hideMark/>
          </w:tcPr>
          <w:p w14:paraId="4BCF445E" w14:textId="2638C677" w:rsidR="00D15D26" w:rsidRPr="0018386D" w:rsidRDefault="00D15D26" w:rsidP="00DD3106">
            <w:pPr>
              <w:pStyle w:val="TableText"/>
            </w:pPr>
            <w:r w:rsidRPr="0018386D">
              <w:t>Business</w:t>
            </w:r>
          </w:p>
        </w:tc>
        <w:tc>
          <w:tcPr>
            <w:tcW w:w="567" w:type="dxa"/>
            <w:shd w:val="clear" w:color="000000" w:fill="FFFFFF"/>
            <w:noWrap/>
            <w:vAlign w:val="bottom"/>
            <w:hideMark/>
          </w:tcPr>
          <w:p w14:paraId="697EAC14"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3B9C649E" w14:textId="77777777" w:rsidR="00D15D26" w:rsidRPr="0018386D" w:rsidRDefault="00D15D26" w:rsidP="00DD3106">
            <w:pPr>
              <w:pStyle w:val="TableText"/>
            </w:pPr>
            <w:r w:rsidRPr="0018386D">
              <w:t>0.227</w:t>
            </w:r>
          </w:p>
        </w:tc>
        <w:tc>
          <w:tcPr>
            <w:tcW w:w="1417" w:type="dxa"/>
            <w:shd w:val="clear" w:color="000000" w:fill="FFFFFF"/>
            <w:noWrap/>
            <w:vAlign w:val="bottom"/>
            <w:hideMark/>
          </w:tcPr>
          <w:p w14:paraId="79CCC3B5" w14:textId="77777777" w:rsidR="00D15D26" w:rsidRPr="0018386D" w:rsidRDefault="00D15D26" w:rsidP="00DD3106">
            <w:pPr>
              <w:pStyle w:val="TableText"/>
            </w:pPr>
            <w:r w:rsidRPr="0018386D">
              <w:t>0.225</w:t>
            </w:r>
          </w:p>
        </w:tc>
        <w:tc>
          <w:tcPr>
            <w:tcW w:w="1483" w:type="dxa"/>
            <w:shd w:val="clear" w:color="000000" w:fill="FFFFFF"/>
            <w:noWrap/>
            <w:vAlign w:val="bottom"/>
            <w:hideMark/>
          </w:tcPr>
          <w:p w14:paraId="3F7CED71" w14:textId="77777777" w:rsidR="00D15D26" w:rsidRPr="0018386D" w:rsidRDefault="00D15D26" w:rsidP="00DD3106">
            <w:pPr>
              <w:pStyle w:val="TableText"/>
            </w:pPr>
            <w:r w:rsidRPr="0018386D">
              <w:t>0.00001</w:t>
            </w:r>
          </w:p>
        </w:tc>
        <w:tc>
          <w:tcPr>
            <w:tcW w:w="1352" w:type="dxa"/>
            <w:shd w:val="clear" w:color="000000" w:fill="FFFFFF"/>
            <w:noWrap/>
            <w:vAlign w:val="bottom"/>
            <w:hideMark/>
          </w:tcPr>
          <w:p w14:paraId="36ADD71A" w14:textId="6B2281A5" w:rsidR="00D15D26" w:rsidRPr="0018386D" w:rsidRDefault="00D15D26" w:rsidP="00DD3106">
            <w:pPr>
              <w:pStyle w:val="TableText"/>
            </w:pPr>
            <w:r w:rsidRPr="0018386D">
              <w:t>0.00112</w:t>
            </w:r>
          </w:p>
        </w:tc>
      </w:tr>
      <w:tr w:rsidR="006316C3" w:rsidRPr="0018386D" w14:paraId="574DFC8B" w14:textId="77777777" w:rsidTr="00472FA1">
        <w:trPr>
          <w:trHeight w:val="240"/>
        </w:trPr>
        <w:tc>
          <w:tcPr>
            <w:tcW w:w="1134" w:type="dxa"/>
            <w:tcBorders>
              <w:top w:val="single" w:sz="4" w:space="0" w:color="auto"/>
              <w:bottom w:val="nil"/>
              <w:right w:val="single" w:sz="4" w:space="0" w:color="auto"/>
            </w:tcBorders>
            <w:shd w:val="clear" w:color="000000" w:fill="FFFFFF"/>
            <w:noWrap/>
            <w:vAlign w:val="bottom"/>
            <w:hideMark/>
          </w:tcPr>
          <w:p w14:paraId="19A0ACA3" w14:textId="25D47C8C" w:rsidR="00D15D26" w:rsidRPr="0018386D" w:rsidRDefault="00D15D26" w:rsidP="00DD3106">
            <w:pPr>
              <w:pStyle w:val="TableText"/>
            </w:pPr>
            <w:r w:rsidRPr="0018386D">
              <w:t>Long-haul (&gt;3700</w:t>
            </w:r>
            <w:r w:rsidR="00C06CE5" w:rsidRPr="0018386D">
              <w:t xml:space="preserve"> </w:t>
            </w:r>
            <w:r w:rsidRPr="0018386D">
              <w:t>km)</w:t>
            </w:r>
          </w:p>
        </w:tc>
        <w:tc>
          <w:tcPr>
            <w:tcW w:w="1276" w:type="dxa"/>
            <w:tcBorders>
              <w:left w:val="single" w:sz="4" w:space="0" w:color="auto"/>
            </w:tcBorders>
            <w:shd w:val="clear" w:color="000000" w:fill="FFFFFF"/>
            <w:noWrap/>
            <w:vAlign w:val="bottom"/>
            <w:hideMark/>
          </w:tcPr>
          <w:p w14:paraId="440BA7DB" w14:textId="77777777" w:rsidR="00D15D26" w:rsidRPr="0018386D" w:rsidRDefault="00D15D26" w:rsidP="00DD3106">
            <w:pPr>
              <w:pStyle w:val="TableText"/>
            </w:pPr>
            <w:r w:rsidRPr="0018386D">
              <w:t>Average passenger</w:t>
            </w:r>
          </w:p>
        </w:tc>
        <w:tc>
          <w:tcPr>
            <w:tcW w:w="567" w:type="dxa"/>
            <w:shd w:val="clear" w:color="000000" w:fill="FFFFFF"/>
            <w:noWrap/>
            <w:vAlign w:val="bottom"/>
            <w:hideMark/>
          </w:tcPr>
          <w:p w14:paraId="0E3350B5"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61ABE28E" w14:textId="77777777" w:rsidR="00D15D26" w:rsidRPr="0018386D" w:rsidRDefault="00D15D26" w:rsidP="00DD3106">
            <w:pPr>
              <w:pStyle w:val="TableText"/>
            </w:pPr>
            <w:r w:rsidRPr="0018386D">
              <w:t>0.193</w:t>
            </w:r>
          </w:p>
        </w:tc>
        <w:tc>
          <w:tcPr>
            <w:tcW w:w="1417" w:type="dxa"/>
            <w:shd w:val="clear" w:color="000000" w:fill="FFFFFF"/>
            <w:noWrap/>
            <w:vAlign w:val="bottom"/>
            <w:hideMark/>
          </w:tcPr>
          <w:p w14:paraId="1A1F4146" w14:textId="77777777" w:rsidR="00D15D26" w:rsidRPr="0018386D" w:rsidRDefault="00D15D26" w:rsidP="00DD3106">
            <w:pPr>
              <w:pStyle w:val="TableText"/>
            </w:pPr>
            <w:r w:rsidRPr="0018386D">
              <w:t>0.192</w:t>
            </w:r>
          </w:p>
        </w:tc>
        <w:tc>
          <w:tcPr>
            <w:tcW w:w="1483" w:type="dxa"/>
            <w:shd w:val="clear" w:color="000000" w:fill="FFFFFF"/>
            <w:noWrap/>
            <w:vAlign w:val="bottom"/>
            <w:hideMark/>
          </w:tcPr>
          <w:p w14:paraId="3C17CC2F" w14:textId="77777777" w:rsidR="00D15D26" w:rsidRPr="0018386D" w:rsidRDefault="00D15D26" w:rsidP="00DD3106">
            <w:pPr>
              <w:pStyle w:val="TableText"/>
            </w:pPr>
            <w:r w:rsidRPr="0018386D">
              <w:t>0.00001</w:t>
            </w:r>
          </w:p>
        </w:tc>
        <w:tc>
          <w:tcPr>
            <w:tcW w:w="1352" w:type="dxa"/>
            <w:shd w:val="clear" w:color="000000" w:fill="FFFFFF"/>
            <w:noWrap/>
            <w:vAlign w:val="bottom"/>
            <w:hideMark/>
          </w:tcPr>
          <w:p w14:paraId="7800F1ED" w14:textId="63BAC606" w:rsidR="00D15D26" w:rsidRPr="0018386D" w:rsidRDefault="00D15D26" w:rsidP="00DD3106">
            <w:pPr>
              <w:pStyle w:val="TableText"/>
            </w:pPr>
            <w:r w:rsidRPr="0018386D">
              <w:t>0.0010</w:t>
            </w:r>
          </w:p>
        </w:tc>
      </w:tr>
      <w:tr w:rsidR="006316C3" w:rsidRPr="0018386D" w14:paraId="451C51B3" w14:textId="77777777" w:rsidTr="00472FA1">
        <w:trPr>
          <w:trHeight w:val="240"/>
        </w:trPr>
        <w:tc>
          <w:tcPr>
            <w:tcW w:w="1134" w:type="dxa"/>
            <w:tcBorders>
              <w:top w:val="nil"/>
              <w:bottom w:val="nil"/>
              <w:right w:val="single" w:sz="4" w:space="0" w:color="auto"/>
            </w:tcBorders>
            <w:shd w:val="clear" w:color="000000" w:fill="FFFFFF"/>
            <w:noWrap/>
            <w:vAlign w:val="bottom"/>
            <w:hideMark/>
          </w:tcPr>
          <w:p w14:paraId="65DE4C9E" w14:textId="77777777" w:rsidR="00D15D26" w:rsidRPr="0018386D" w:rsidRDefault="00D15D26" w:rsidP="00DD3106">
            <w:pPr>
              <w:pStyle w:val="TableText"/>
            </w:pPr>
            <w:r w:rsidRPr="0018386D">
              <w:t> </w:t>
            </w:r>
          </w:p>
        </w:tc>
        <w:tc>
          <w:tcPr>
            <w:tcW w:w="1276" w:type="dxa"/>
            <w:tcBorders>
              <w:left w:val="single" w:sz="4" w:space="0" w:color="auto"/>
            </w:tcBorders>
            <w:shd w:val="clear" w:color="000000" w:fill="FFFFFF"/>
            <w:noWrap/>
            <w:vAlign w:val="bottom"/>
            <w:hideMark/>
          </w:tcPr>
          <w:p w14:paraId="1C2E275C" w14:textId="0F4BB2BE" w:rsidR="00D15D26" w:rsidRPr="0018386D" w:rsidRDefault="00D15D26" w:rsidP="00DD3106">
            <w:pPr>
              <w:pStyle w:val="TableText"/>
            </w:pPr>
            <w:r w:rsidRPr="0018386D">
              <w:t xml:space="preserve">Economy </w:t>
            </w:r>
          </w:p>
        </w:tc>
        <w:tc>
          <w:tcPr>
            <w:tcW w:w="567" w:type="dxa"/>
            <w:shd w:val="clear" w:color="000000" w:fill="FFFFFF"/>
            <w:noWrap/>
            <w:vAlign w:val="bottom"/>
            <w:hideMark/>
          </w:tcPr>
          <w:p w14:paraId="31A8C5B8"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32B600C2" w14:textId="77777777" w:rsidR="00D15D26" w:rsidRPr="0018386D" w:rsidRDefault="00D15D26" w:rsidP="00DD3106">
            <w:pPr>
              <w:pStyle w:val="TableText"/>
            </w:pPr>
            <w:r w:rsidRPr="0018386D">
              <w:t>0.148</w:t>
            </w:r>
          </w:p>
        </w:tc>
        <w:tc>
          <w:tcPr>
            <w:tcW w:w="1417" w:type="dxa"/>
            <w:shd w:val="clear" w:color="000000" w:fill="FFFFFF"/>
            <w:noWrap/>
            <w:vAlign w:val="bottom"/>
            <w:hideMark/>
          </w:tcPr>
          <w:p w14:paraId="0B47CEF2" w14:textId="77777777" w:rsidR="00D15D26" w:rsidRPr="0018386D" w:rsidRDefault="00D15D26" w:rsidP="00DD3106">
            <w:pPr>
              <w:pStyle w:val="TableText"/>
            </w:pPr>
            <w:r w:rsidRPr="0018386D">
              <w:t>0.147</w:t>
            </w:r>
          </w:p>
        </w:tc>
        <w:tc>
          <w:tcPr>
            <w:tcW w:w="1483" w:type="dxa"/>
            <w:shd w:val="clear" w:color="000000" w:fill="FFFFFF"/>
            <w:noWrap/>
            <w:vAlign w:val="bottom"/>
            <w:hideMark/>
          </w:tcPr>
          <w:p w14:paraId="5CDAE3CB" w14:textId="77777777" w:rsidR="00D15D26" w:rsidRPr="0018386D" w:rsidRDefault="00D15D26" w:rsidP="00DD3106">
            <w:pPr>
              <w:pStyle w:val="TableText"/>
            </w:pPr>
            <w:r w:rsidRPr="0018386D">
              <w:t>0.00001</w:t>
            </w:r>
          </w:p>
        </w:tc>
        <w:tc>
          <w:tcPr>
            <w:tcW w:w="1352" w:type="dxa"/>
            <w:shd w:val="clear" w:color="000000" w:fill="FFFFFF"/>
            <w:noWrap/>
            <w:vAlign w:val="bottom"/>
            <w:hideMark/>
          </w:tcPr>
          <w:p w14:paraId="5461C055" w14:textId="6614DF57" w:rsidR="00D15D26" w:rsidRPr="0018386D" w:rsidRDefault="00D15D26" w:rsidP="00DD3106">
            <w:pPr>
              <w:pStyle w:val="TableText"/>
            </w:pPr>
            <w:r w:rsidRPr="0018386D">
              <w:t>0.0007</w:t>
            </w:r>
          </w:p>
        </w:tc>
      </w:tr>
      <w:tr w:rsidR="006316C3" w:rsidRPr="0018386D" w14:paraId="6251410E" w14:textId="77777777" w:rsidTr="00472FA1">
        <w:trPr>
          <w:trHeight w:val="240"/>
        </w:trPr>
        <w:tc>
          <w:tcPr>
            <w:tcW w:w="1134" w:type="dxa"/>
            <w:tcBorders>
              <w:top w:val="nil"/>
              <w:bottom w:val="nil"/>
              <w:right w:val="single" w:sz="4" w:space="0" w:color="auto"/>
            </w:tcBorders>
            <w:shd w:val="clear" w:color="000000" w:fill="FFFFFF"/>
            <w:noWrap/>
            <w:vAlign w:val="bottom"/>
            <w:hideMark/>
          </w:tcPr>
          <w:p w14:paraId="6A770B2E" w14:textId="77777777" w:rsidR="00D15D26" w:rsidRPr="0018386D" w:rsidRDefault="00D15D26" w:rsidP="00DD3106">
            <w:pPr>
              <w:pStyle w:val="TableText"/>
            </w:pPr>
            <w:r w:rsidRPr="0018386D">
              <w:t> </w:t>
            </w:r>
          </w:p>
        </w:tc>
        <w:tc>
          <w:tcPr>
            <w:tcW w:w="1276" w:type="dxa"/>
            <w:tcBorders>
              <w:left w:val="single" w:sz="4" w:space="0" w:color="auto"/>
            </w:tcBorders>
            <w:shd w:val="clear" w:color="000000" w:fill="FFFFFF"/>
            <w:noWrap/>
            <w:vAlign w:val="bottom"/>
            <w:hideMark/>
          </w:tcPr>
          <w:p w14:paraId="73F4C4AA" w14:textId="49C8EEE9" w:rsidR="00D15D26" w:rsidRPr="0018386D" w:rsidRDefault="00D15D26" w:rsidP="00DD3106">
            <w:pPr>
              <w:pStyle w:val="TableText"/>
            </w:pPr>
            <w:r w:rsidRPr="0018386D">
              <w:t xml:space="preserve">Premium economy </w:t>
            </w:r>
          </w:p>
        </w:tc>
        <w:tc>
          <w:tcPr>
            <w:tcW w:w="567" w:type="dxa"/>
            <w:shd w:val="clear" w:color="000000" w:fill="FFFFFF"/>
            <w:noWrap/>
            <w:vAlign w:val="bottom"/>
            <w:hideMark/>
          </w:tcPr>
          <w:p w14:paraId="1029AF9D"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2A42C545" w14:textId="77777777" w:rsidR="00D15D26" w:rsidRPr="0018386D" w:rsidRDefault="00D15D26" w:rsidP="00DD3106">
            <w:pPr>
              <w:pStyle w:val="TableText"/>
            </w:pPr>
            <w:r w:rsidRPr="0018386D">
              <w:t>0.237</w:t>
            </w:r>
          </w:p>
        </w:tc>
        <w:tc>
          <w:tcPr>
            <w:tcW w:w="1417" w:type="dxa"/>
            <w:shd w:val="clear" w:color="000000" w:fill="FFFFFF"/>
            <w:noWrap/>
            <w:vAlign w:val="bottom"/>
            <w:hideMark/>
          </w:tcPr>
          <w:p w14:paraId="5E96BA7C" w14:textId="77777777" w:rsidR="00D15D26" w:rsidRPr="0018386D" w:rsidRDefault="00D15D26" w:rsidP="00DD3106">
            <w:pPr>
              <w:pStyle w:val="TableText"/>
            </w:pPr>
            <w:r w:rsidRPr="0018386D">
              <w:t>0.235</w:t>
            </w:r>
          </w:p>
        </w:tc>
        <w:tc>
          <w:tcPr>
            <w:tcW w:w="1483" w:type="dxa"/>
            <w:shd w:val="clear" w:color="000000" w:fill="FFFFFF"/>
            <w:noWrap/>
            <w:vAlign w:val="bottom"/>
            <w:hideMark/>
          </w:tcPr>
          <w:p w14:paraId="577D1FC1" w14:textId="77777777" w:rsidR="00D15D26" w:rsidRPr="0018386D" w:rsidRDefault="00D15D26" w:rsidP="00DD3106">
            <w:pPr>
              <w:pStyle w:val="TableText"/>
            </w:pPr>
            <w:r w:rsidRPr="0018386D">
              <w:t>0.00001</w:t>
            </w:r>
          </w:p>
        </w:tc>
        <w:tc>
          <w:tcPr>
            <w:tcW w:w="1352" w:type="dxa"/>
            <w:shd w:val="clear" w:color="000000" w:fill="FFFFFF"/>
            <w:noWrap/>
            <w:vAlign w:val="bottom"/>
            <w:hideMark/>
          </w:tcPr>
          <w:p w14:paraId="763820DA" w14:textId="3C824679" w:rsidR="00D15D26" w:rsidRPr="0018386D" w:rsidRDefault="00D15D26" w:rsidP="00DD3106">
            <w:pPr>
              <w:pStyle w:val="TableText"/>
            </w:pPr>
            <w:r w:rsidRPr="0018386D">
              <w:t>0.00117</w:t>
            </w:r>
          </w:p>
        </w:tc>
      </w:tr>
      <w:tr w:rsidR="006316C3" w:rsidRPr="0018386D" w14:paraId="143B0C66" w14:textId="77777777" w:rsidTr="00472FA1">
        <w:trPr>
          <w:trHeight w:val="240"/>
        </w:trPr>
        <w:tc>
          <w:tcPr>
            <w:tcW w:w="1134" w:type="dxa"/>
            <w:tcBorders>
              <w:top w:val="nil"/>
              <w:bottom w:val="nil"/>
              <w:right w:val="single" w:sz="4" w:space="0" w:color="auto"/>
            </w:tcBorders>
            <w:shd w:val="clear" w:color="000000" w:fill="FFFFFF"/>
            <w:noWrap/>
            <w:vAlign w:val="bottom"/>
            <w:hideMark/>
          </w:tcPr>
          <w:p w14:paraId="6239ABA6" w14:textId="77777777" w:rsidR="00D15D26" w:rsidRPr="0018386D" w:rsidRDefault="00D15D26" w:rsidP="00DD3106">
            <w:pPr>
              <w:pStyle w:val="TableText"/>
            </w:pPr>
            <w:r w:rsidRPr="0018386D">
              <w:t> </w:t>
            </w:r>
          </w:p>
        </w:tc>
        <w:tc>
          <w:tcPr>
            <w:tcW w:w="1276" w:type="dxa"/>
            <w:tcBorders>
              <w:left w:val="single" w:sz="4" w:space="0" w:color="auto"/>
            </w:tcBorders>
            <w:shd w:val="clear" w:color="000000" w:fill="FFFFFF"/>
            <w:noWrap/>
            <w:vAlign w:val="bottom"/>
            <w:hideMark/>
          </w:tcPr>
          <w:p w14:paraId="597AD8EB" w14:textId="6CD66406" w:rsidR="00D15D26" w:rsidRPr="0018386D" w:rsidRDefault="00D15D26" w:rsidP="00DD3106">
            <w:pPr>
              <w:pStyle w:val="TableText"/>
            </w:pPr>
            <w:r w:rsidRPr="0018386D">
              <w:t xml:space="preserve">Business </w:t>
            </w:r>
          </w:p>
        </w:tc>
        <w:tc>
          <w:tcPr>
            <w:tcW w:w="567" w:type="dxa"/>
            <w:shd w:val="clear" w:color="000000" w:fill="FFFFFF"/>
            <w:noWrap/>
            <w:vAlign w:val="bottom"/>
            <w:hideMark/>
          </w:tcPr>
          <w:p w14:paraId="58E09280"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3A611E41" w14:textId="77777777" w:rsidR="00D15D26" w:rsidRPr="0018386D" w:rsidRDefault="00D15D26" w:rsidP="00DD3106">
            <w:pPr>
              <w:pStyle w:val="TableText"/>
            </w:pPr>
            <w:r w:rsidRPr="0018386D">
              <w:t>0.429</w:t>
            </w:r>
          </w:p>
        </w:tc>
        <w:tc>
          <w:tcPr>
            <w:tcW w:w="1417" w:type="dxa"/>
            <w:shd w:val="clear" w:color="000000" w:fill="FFFFFF"/>
            <w:noWrap/>
            <w:vAlign w:val="bottom"/>
            <w:hideMark/>
          </w:tcPr>
          <w:p w14:paraId="3AD270B7" w14:textId="77777777" w:rsidR="00D15D26" w:rsidRPr="0018386D" w:rsidRDefault="00D15D26" w:rsidP="00DD3106">
            <w:pPr>
              <w:pStyle w:val="TableText"/>
            </w:pPr>
            <w:r w:rsidRPr="0018386D">
              <w:t>0.427</w:t>
            </w:r>
          </w:p>
        </w:tc>
        <w:tc>
          <w:tcPr>
            <w:tcW w:w="1483" w:type="dxa"/>
            <w:shd w:val="clear" w:color="000000" w:fill="FFFFFF"/>
            <w:noWrap/>
            <w:vAlign w:val="bottom"/>
            <w:hideMark/>
          </w:tcPr>
          <w:p w14:paraId="363AF2CC" w14:textId="77777777" w:rsidR="00D15D26" w:rsidRPr="0018386D" w:rsidRDefault="00D15D26" w:rsidP="00DD3106">
            <w:pPr>
              <w:pStyle w:val="TableText"/>
            </w:pPr>
            <w:r w:rsidRPr="0018386D">
              <w:t>0.00002</w:t>
            </w:r>
          </w:p>
        </w:tc>
        <w:tc>
          <w:tcPr>
            <w:tcW w:w="1352" w:type="dxa"/>
            <w:shd w:val="clear" w:color="000000" w:fill="FFFFFF"/>
            <w:noWrap/>
            <w:vAlign w:val="bottom"/>
            <w:hideMark/>
          </w:tcPr>
          <w:p w14:paraId="0E815F8B" w14:textId="77C832BC" w:rsidR="00D15D26" w:rsidRPr="0018386D" w:rsidRDefault="00D15D26" w:rsidP="00DD3106">
            <w:pPr>
              <w:pStyle w:val="TableText"/>
            </w:pPr>
            <w:r w:rsidRPr="0018386D">
              <w:t>0.00212</w:t>
            </w:r>
          </w:p>
        </w:tc>
      </w:tr>
      <w:tr w:rsidR="006316C3" w:rsidRPr="0018386D" w14:paraId="3EE4E82F" w14:textId="77777777" w:rsidTr="00472FA1">
        <w:trPr>
          <w:trHeight w:val="240"/>
        </w:trPr>
        <w:tc>
          <w:tcPr>
            <w:tcW w:w="1134" w:type="dxa"/>
            <w:tcBorders>
              <w:top w:val="nil"/>
              <w:bottom w:val="single" w:sz="4" w:space="0" w:color="auto"/>
              <w:right w:val="single" w:sz="4" w:space="0" w:color="auto"/>
            </w:tcBorders>
            <w:shd w:val="clear" w:color="000000" w:fill="FFFFFF"/>
            <w:noWrap/>
            <w:vAlign w:val="bottom"/>
            <w:hideMark/>
          </w:tcPr>
          <w:p w14:paraId="385761AC" w14:textId="77777777" w:rsidR="00D15D26" w:rsidRPr="0018386D" w:rsidRDefault="00D15D26" w:rsidP="00DD3106">
            <w:pPr>
              <w:pStyle w:val="TableText"/>
            </w:pPr>
            <w:r w:rsidRPr="0018386D">
              <w:t> </w:t>
            </w:r>
          </w:p>
        </w:tc>
        <w:tc>
          <w:tcPr>
            <w:tcW w:w="1276" w:type="dxa"/>
            <w:tcBorders>
              <w:left w:val="single" w:sz="4" w:space="0" w:color="auto"/>
            </w:tcBorders>
            <w:shd w:val="clear" w:color="000000" w:fill="FFFFFF"/>
            <w:noWrap/>
            <w:vAlign w:val="bottom"/>
            <w:hideMark/>
          </w:tcPr>
          <w:p w14:paraId="0B4ADB4E" w14:textId="77777777" w:rsidR="00D15D26" w:rsidRPr="0018386D" w:rsidRDefault="00D15D26" w:rsidP="00DD3106">
            <w:pPr>
              <w:pStyle w:val="TableText"/>
            </w:pPr>
            <w:r w:rsidRPr="0018386D">
              <w:t>First class</w:t>
            </w:r>
          </w:p>
        </w:tc>
        <w:tc>
          <w:tcPr>
            <w:tcW w:w="567" w:type="dxa"/>
            <w:shd w:val="clear" w:color="000000" w:fill="FFFFFF"/>
            <w:noWrap/>
            <w:vAlign w:val="bottom"/>
            <w:hideMark/>
          </w:tcPr>
          <w:p w14:paraId="51CBEE51" w14:textId="77777777" w:rsidR="00D15D26" w:rsidRPr="0018386D" w:rsidRDefault="00D15D26" w:rsidP="00DD3106">
            <w:pPr>
              <w:pStyle w:val="TableText"/>
            </w:pPr>
            <w:proofErr w:type="spellStart"/>
            <w:r w:rsidRPr="0018386D">
              <w:t>pkm</w:t>
            </w:r>
            <w:proofErr w:type="spellEnd"/>
          </w:p>
        </w:tc>
        <w:tc>
          <w:tcPr>
            <w:tcW w:w="1276" w:type="dxa"/>
            <w:shd w:val="clear" w:color="000000" w:fill="D2DDE1"/>
            <w:noWrap/>
            <w:vAlign w:val="bottom"/>
            <w:hideMark/>
          </w:tcPr>
          <w:p w14:paraId="17826EFF" w14:textId="77777777" w:rsidR="00D15D26" w:rsidRPr="0018386D" w:rsidRDefault="00D15D26" w:rsidP="00DD3106">
            <w:pPr>
              <w:pStyle w:val="TableText"/>
            </w:pPr>
            <w:r w:rsidRPr="0018386D">
              <w:t>0.591</w:t>
            </w:r>
          </w:p>
        </w:tc>
        <w:tc>
          <w:tcPr>
            <w:tcW w:w="1417" w:type="dxa"/>
            <w:shd w:val="clear" w:color="000000" w:fill="FFFFFF"/>
            <w:noWrap/>
            <w:vAlign w:val="bottom"/>
            <w:hideMark/>
          </w:tcPr>
          <w:p w14:paraId="01E8F0C0" w14:textId="77777777" w:rsidR="00D15D26" w:rsidRPr="0018386D" w:rsidRDefault="00D15D26" w:rsidP="00DD3106">
            <w:pPr>
              <w:pStyle w:val="TableText"/>
            </w:pPr>
            <w:r w:rsidRPr="0018386D">
              <w:t>0.589</w:t>
            </w:r>
          </w:p>
        </w:tc>
        <w:tc>
          <w:tcPr>
            <w:tcW w:w="1483" w:type="dxa"/>
            <w:shd w:val="clear" w:color="000000" w:fill="FFFFFF"/>
            <w:noWrap/>
            <w:vAlign w:val="bottom"/>
            <w:hideMark/>
          </w:tcPr>
          <w:p w14:paraId="6068AD7F" w14:textId="77777777" w:rsidR="00D15D26" w:rsidRPr="0018386D" w:rsidRDefault="00D15D26" w:rsidP="00DD3106">
            <w:pPr>
              <w:pStyle w:val="TableText"/>
            </w:pPr>
            <w:r w:rsidRPr="0018386D">
              <w:t>0.00002</w:t>
            </w:r>
          </w:p>
        </w:tc>
        <w:tc>
          <w:tcPr>
            <w:tcW w:w="1352" w:type="dxa"/>
            <w:shd w:val="clear" w:color="000000" w:fill="FFFFFF"/>
            <w:noWrap/>
            <w:vAlign w:val="bottom"/>
            <w:hideMark/>
          </w:tcPr>
          <w:p w14:paraId="2AD4C060" w14:textId="564F608A" w:rsidR="00D15D26" w:rsidRPr="0018386D" w:rsidRDefault="00D15D26" w:rsidP="00DD3106">
            <w:pPr>
              <w:pStyle w:val="TableText"/>
            </w:pPr>
            <w:r w:rsidRPr="0018386D">
              <w:t>0.00293</w:t>
            </w:r>
          </w:p>
        </w:tc>
      </w:tr>
    </w:tbl>
    <w:p w14:paraId="4A139F1A" w14:textId="03F40BDC" w:rsidR="00B0279C" w:rsidRPr="0018386D" w:rsidRDefault="00ED13A0" w:rsidP="00DD3106">
      <w:pPr>
        <w:pStyle w:val="BodyText"/>
        <w:spacing w:before="240"/>
      </w:pPr>
      <w:r w:rsidRPr="0018386D">
        <w:t xml:space="preserve">The </w:t>
      </w:r>
      <w:r w:rsidR="0055078B" w:rsidRPr="0018386D">
        <w:t>emission</w:t>
      </w:r>
      <w:r w:rsidRPr="0018386D">
        <w:t xml:space="preserve"> factors </w:t>
      </w:r>
      <w:r w:rsidR="0055078B" w:rsidRPr="0018386D">
        <w:t>from the</w:t>
      </w:r>
      <w:r w:rsidRPr="0018386D">
        <w:t xml:space="preserve"> UK BEIS </w:t>
      </w:r>
      <w:r w:rsidR="0055078B" w:rsidRPr="0018386D">
        <w:t xml:space="preserve">are calculated </w:t>
      </w:r>
      <w:r w:rsidRPr="0018386D">
        <w:t xml:space="preserve">regarding the indirect and direct climate change effects. </w:t>
      </w:r>
      <w:r w:rsidR="00271E9F" w:rsidRPr="0018386D">
        <w:t>For</w:t>
      </w:r>
      <w:r w:rsidRPr="0018386D">
        <w:t xml:space="preserve"> continuity in this guidance, we have categorised the international air travel emission factors by whether a radiative forcing multiplier was applied, as outlined in </w:t>
      </w:r>
      <w:r w:rsidR="00F87B2B" w:rsidRPr="0018386D">
        <w:t xml:space="preserve">this </w:t>
      </w:r>
      <w:r w:rsidRPr="0018386D">
        <w:rPr>
          <w:rFonts w:asciiTheme="minorHAnsi" w:eastAsiaTheme="majorEastAsia" w:hAnsiTheme="minorHAnsi"/>
        </w:rPr>
        <w:t>section</w:t>
      </w:r>
      <w:r w:rsidRPr="0018386D">
        <w:t>. Further information can be found in paragraphs 8.3</w:t>
      </w:r>
      <w:r w:rsidRPr="0018386D" w:rsidDel="00C74BCC">
        <w:t>7</w:t>
      </w:r>
      <w:r w:rsidR="00715B89" w:rsidRPr="0018386D">
        <w:t xml:space="preserve"> </w:t>
      </w:r>
      <w:r w:rsidRPr="0018386D">
        <w:t>-</w:t>
      </w:r>
      <w:r w:rsidR="00715B89" w:rsidRPr="0018386D">
        <w:t xml:space="preserve"> </w:t>
      </w:r>
      <w:r w:rsidRPr="0018386D">
        <w:t>8.4</w:t>
      </w:r>
      <w:r w:rsidRPr="0018386D" w:rsidDel="00C74BCC">
        <w:t>1</w:t>
      </w:r>
      <w:r w:rsidRPr="0018386D">
        <w:t xml:space="preserve"> in</w:t>
      </w:r>
      <w:r w:rsidR="00715B89" w:rsidRPr="0018386D">
        <w:t xml:space="preserve"> </w:t>
      </w:r>
      <w:hyperlink r:id="rId102">
        <w:r w:rsidRPr="0018386D">
          <w:rPr>
            <w:color w:val="000000" w:themeColor="text1"/>
          </w:rPr>
          <w:t xml:space="preserve">the UK BEIS </w:t>
        </w:r>
        <w:r w:rsidRPr="0018386D">
          <w:rPr>
            <w:rStyle w:val="Hyperlink"/>
            <w:i/>
            <w:iCs/>
          </w:rPr>
          <w:t>202</w:t>
        </w:r>
        <w:r w:rsidR="00C74BCC" w:rsidRPr="0018386D">
          <w:rPr>
            <w:rStyle w:val="Hyperlink"/>
            <w:i/>
            <w:iCs/>
          </w:rPr>
          <w:t>2</w:t>
        </w:r>
        <w:r w:rsidRPr="0018386D">
          <w:rPr>
            <w:rStyle w:val="Hyperlink"/>
            <w:i/>
            <w:iCs/>
          </w:rPr>
          <w:t xml:space="preserve"> </w:t>
        </w:r>
        <w:r w:rsidRPr="0018386D">
          <w:rPr>
            <w:rStyle w:val="Hyperlink"/>
            <w:i/>
            <w:iCs/>
          </w:rPr>
          <w:lastRenderedPageBreak/>
          <w:t xml:space="preserve">Government Greenhouse Gas Conversion Factors for Company Reporting: Methodology Paper for Conversion factors </w:t>
        </w:r>
        <w:r w:rsidR="00BC4B19" w:rsidRPr="0018386D">
          <w:rPr>
            <w:rStyle w:val="Hyperlink"/>
            <w:i/>
            <w:iCs/>
          </w:rPr>
          <w:t xml:space="preserve">Draft </w:t>
        </w:r>
        <w:r w:rsidRPr="0018386D">
          <w:rPr>
            <w:rStyle w:val="Hyperlink"/>
            <w:i/>
            <w:iCs/>
          </w:rPr>
          <w:t>Report.</w:t>
        </w:r>
      </w:hyperlink>
    </w:p>
    <w:p w14:paraId="36FC836C" w14:textId="2A432D8D" w:rsidR="00735E99" w:rsidRPr="0018386D" w:rsidRDefault="00F9340F" w:rsidP="00DD3106">
      <w:pPr>
        <w:pStyle w:val="Heading4"/>
        <w:numPr>
          <w:ilvl w:val="3"/>
          <w:numId w:val="8"/>
        </w:numPr>
        <w:spacing w:before="160"/>
        <w:jc w:val="both"/>
      </w:pPr>
      <w:r w:rsidRPr="0018386D">
        <w:t>GHG inventory development</w:t>
      </w:r>
    </w:p>
    <w:p w14:paraId="2BD13621" w14:textId="094C386B" w:rsidR="00762CE1" w:rsidRPr="0018386D" w:rsidRDefault="00762CE1" w:rsidP="00DD3106">
      <w:pPr>
        <w:pStyle w:val="BodyText"/>
        <w:keepNext/>
        <w:keepLines/>
      </w:pPr>
      <w:r w:rsidRPr="0018386D">
        <w:t xml:space="preserve">To calculate emissions for </w:t>
      </w:r>
      <w:r w:rsidR="00E22417" w:rsidRPr="0018386D">
        <w:t xml:space="preserve">international </w:t>
      </w:r>
      <w:r w:rsidRPr="0018386D">
        <w:t xml:space="preserve">air travel, </w:t>
      </w:r>
      <w:r w:rsidR="004B7EAA" w:rsidRPr="0018386D">
        <w:t xml:space="preserve">gather </w:t>
      </w:r>
      <w:r w:rsidRPr="0018386D">
        <w:t>the information on how far each passenger flew for each flight.</w:t>
      </w:r>
      <w:r w:rsidR="002305C2" w:rsidRPr="0018386D">
        <w:t xml:space="preserve"> </w:t>
      </w:r>
      <w:r w:rsidR="004B7EAA" w:rsidRPr="0018386D">
        <w:t>Multiply t</w:t>
      </w:r>
      <w:r w:rsidRPr="0018386D">
        <w:t>his by the factors in</w:t>
      </w:r>
      <w:r w:rsidR="00D02436" w:rsidRPr="0018386D">
        <w:t xml:space="preserve"> </w:t>
      </w:r>
      <w:hyperlink w:anchor="table41two" w:history="1">
        <w:r w:rsidR="00AE4811" w:rsidRPr="0018386D">
          <w:rPr>
            <w:rStyle w:val="Hyperlink"/>
          </w:rPr>
          <w:t>table 41</w:t>
        </w:r>
      </w:hyperlink>
      <w:r w:rsidRPr="0018386D">
        <w:t xml:space="preserve">. </w:t>
      </w:r>
      <w:r w:rsidR="00233116" w:rsidRPr="0018386D">
        <w:t>U</w:t>
      </w:r>
      <w:r w:rsidR="004B7EAA" w:rsidRPr="0018386D">
        <w:t>se t</w:t>
      </w:r>
      <w:r w:rsidR="002305C2" w:rsidRPr="0018386D">
        <w:t xml:space="preserve">he specified emission factors for different cabin classes </w:t>
      </w:r>
      <w:r w:rsidR="00560990" w:rsidRPr="0018386D">
        <w:t xml:space="preserve">if </w:t>
      </w:r>
      <w:r w:rsidR="002305C2" w:rsidRPr="0018386D">
        <w:t>information is available</w:t>
      </w:r>
      <w:r w:rsidR="00560990" w:rsidRPr="0018386D">
        <w:t>. I</w:t>
      </w:r>
      <w:r w:rsidR="004B7EAA" w:rsidRPr="0018386D">
        <w:t>f unknown</w:t>
      </w:r>
      <w:r w:rsidR="00560990" w:rsidRPr="0018386D">
        <w:t>,</w:t>
      </w:r>
      <w:r w:rsidR="004B7EAA" w:rsidRPr="0018386D">
        <w:t xml:space="preserve"> use t</w:t>
      </w:r>
      <w:r w:rsidR="002305C2" w:rsidRPr="0018386D">
        <w:t xml:space="preserve">he average emission factors. </w:t>
      </w:r>
      <w:r w:rsidR="004B7EAA" w:rsidRPr="0018386D">
        <w:t>Applying the equation</w:t>
      </w:r>
      <w:r w:rsidR="00883A1A" w:rsidRPr="0018386D">
        <w:t xml:space="preserve"> </w:t>
      </w:r>
      <w:r w:rsidR="00E71782" w:rsidRPr="0018386D">
        <w:t>E</w:t>
      </w:r>
      <w:r w:rsidR="00B37794" w:rsidRPr="0018386D">
        <w:t xml:space="preserve"> </w:t>
      </w:r>
      <w:r w:rsidR="00E71782" w:rsidRPr="0018386D">
        <w:t>= Q x F (</w:t>
      </w:r>
      <w:hyperlink w:anchor="_How_to_quantify">
        <w:r w:rsidR="00701203" w:rsidRPr="0018386D">
          <w:rPr>
            <w:rStyle w:val="Hyperlink"/>
          </w:rPr>
          <w:t>section 2</w:t>
        </w:r>
      </w:hyperlink>
      <w:r w:rsidR="00E71782" w:rsidRPr="0018386D">
        <w:rPr>
          <w:rStyle w:val="Hyperlink"/>
          <w:color w:val="auto"/>
        </w:rPr>
        <w:t>)</w:t>
      </w:r>
      <w:r w:rsidR="004B7EAA" w:rsidRPr="0018386D">
        <w:rPr>
          <w:i/>
          <w:iCs/>
        </w:rPr>
        <w:t>,</w:t>
      </w:r>
      <w:r w:rsidR="004B7EAA" w:rsidRPr="0018386D">
        <w:t xml:space="preserve"> this means</w:t>
      </w:r>
      <w:r w:rsidRPr="0018386D">
        <w:t>:</w:t>
      </w:r>
    </w:p>
    <w:p w14:paraId="05949CB2" w14:textId="0C5CA216" w:rsidR="00E71782" w:rsidRPr="0018386D" w:rsidRDefault="00E71782" w:rsidP="00DD3106">
      <w:pPr>
        <w:pStyle w:val="BodyT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14164ACF" w14:textId="39FEF89E" w:rsidR="00762CE1" w:rsidRPr="0018386D" w:rsidRDefault="00EB6D3D" w:rsidP="00DD3106">
      <w:pPr>
        <w:pStyle w:val="BodyText"/>
        <w:tabs>
          <w:tab w:val="left" w:pos="680"/>
          <w:tab w:val="left" w:pos="1134"/>
        </w:tabs>
        <w:contextualSpacing/>
        <w:jc w:val="both"/>
      </w:pPr>
      <w:r w:rsidRPr="0018386D">
        <w:t>Q</w:t>
      </w:r>
      <w:r w:rsidRPr="0018386D">
        <w:tab/>
        <w:t>=</w:t>
      </w:r>
      <w:r w:rsidRPr="0018386D">
        <w:tab/>
      </w:r>
      <w:r w:rsidR="00560990" w:rsidRPr="0018386D">
        <w:t>p</w:t>
      </w:r>
      <w:r w:rsidR="00762CE1" w:rsidRPr="0018386D">
        <w:t>assengers multiplied by distance flown (</w:t>
      </w:r>
      <w:proofErr w:type="spellStart"/>
      <w:r w:rsidR="00762CE1" w:rsidRPr="0018386D">
        <w:t>pkm</w:t>
      </w:r>
      <w:proofErr w:type="spellEnd"/>
      <w:r w:rsidR="00762CE1" w:rsidRPr="0018386D">
        <w:t>)</w:t>
      </w:r>
    </w:p>
    <w:p w14:paraId="3640B13B" w14:textId="29DDBD67" w:rsidR="00762CE1" w:rsidRPr="0018386D" w:rsidRDefault="00EB6D3D" w:rsidP="00DD3106">
      <w:pPr>
        <w:pStyle w:val="BodyText"/>
        <w:tabs>
          <w:tab w:val="left" w:pos="680"/>
          <w:tab w:val="left" w:pos="1134"/>
        </w:tabs>
        <w:spacing w:after="240"/>
        <w:contextualSpacing/>
        <w:jc w:val="both"/>
      </w:pPr>
      <w:r w:rsidRPr="0018386D">
        <w:t>F</w:t>
      </w:r>
      <w:r w:rsidR="00810A24" w:rsidRPr="0018386D">
        <w:tab/>
      </w:r>
      <w:r w:rsidRPr="0018386D">
        <w:t>=</w:t>
      </w:r>
      <w:r w:rsidR="00810A24" w:rsidRPr="0018386D">
        <w:tab/>
      </w:r>
      <w:r w:rsidR="004B7EAA" w:rsidRPr="0018386D">
        <w:t xml:space="preserve">appropriate emission factors from </w:t>
      </w:r>
      <w:hyperlink w:anchor="table41two" w:history="1">
        <w:r w:rsidR="00810A24" w:rsidRPr="0018386D">
          <w:rPr>
            <w:rStyle w:val="Hyperlink"/>
          </w:rPr>
          <w:t xml:space="preserve">table </w:t>
        </w:r>
        <w:r w:rsidR="003D47AF" w:rsidRPr="0018386D">
          <w:rPr>
            <w:rStyle w:val="Hyperlink"/>
          </w:rPr>
          <w:t>41</w:t>
        </w:r>
      </w:hyperlink>
      <w:r w:rsidR="0038016E" w:rsidRPr="0018386D">
        <w:t xml:space="preserve"> </w:t>
      </w:r>
      <w:r w:rsidR="0061200C" w:rsidRPr="0018386D">
        <w:t xml:space="preserve">or </w:t>
      </w:r>
      <w:hyperlink w:anchor="table42" w:history="1">
        <w:r w:rsidR="00810A24" w:rsidRPr="0018386D">
          <w:rPr>
            <w:rStyle w:val="Hyperlink"/>
          </w:rPr>
          <w:t xml:space="preserve">table </w:t>
        </w:r>
        <w:r w:rsidR="003D47AF" w:rsidRPr="0018386D">
          <w:rPr>
            <w:rStyle w:val="Hyperlink"/>
          </w:rPr>
          <w:t>42</w:t>
        </w:r>
      </w:hyperlink>
    </w:p>
    <w:tbl>
      <w:tblPr>
        <w:tblW w:w="856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62"/>
      </w:tblGrid>
      <w:tr w:rsidR="00381D07" w:rsidRPr="0018386D" w14:paraId="174D308B" w14:textId="77777777" w:rsidTr="61AD9701">
        <w:tc>
          <w:tcPr>
            <w:tcW w:w="8500" w:type="dxa"/>
            <w:tcBorders>
              <w:top w:val="single" w:sz="4" w:space="0" w:color="0F7B7D"/>
              <w:left w:val="single" w:sz="4" w:space="0" w:color="0F7B7D"/>
              <w:bottom w:val="nil"/>
              <w:right w:val="single" w:sz="4" w:space="0" w:color="0F7B7D"/>
            </w:tcBorders>
            <w:shd w:val="clear" w:color="auto" w:fill="0F7B7D"/>
            <w:vAlign w:val="center"/>
          </w:tcPr>
          <w:p w14:paraId="3A818EB9" w14:textId="571CC7D9" w:rsidR="00381D07" w:rsidRPr="0018386D" w:rsidDel="00D5390D" w:rsidRDefault="00560990" w:rsidP="00DD3106">
            <w:pPr>
              <w:pStyle w:val="Casestudyheading"/>
            </w:pPr>
            <w:r w:rsidRPr="0018386D">
              <w:t xml:space="preserve">INTERNATIONAL AIR TRAVEL: </w:t>
            </w:r>
            <w:r w:rsidR="00381D07" w:rsidRPr="0018386D">
              <w:t>Example Calculation</w:t>
            </w:r>
          </w:p>
        </w:tc>
      </w:tr>
      <w:tr w:rsidR="00381D07" w:rsidRPr="0018386D" w14:paraId="28A32D96" w14:textId="77777777" w:rsidTr="61AD9701">
        <w:tc>
          <w:tcPr>
            <w:tcW w:w="8500" w:type="dxa"/>
            <w:tcBorders>
              <w:top w:val="nil"/>
              <w:left w:val="single" w:sz="4" w:space="0" w:color="D2DDE1" w:themeColor="background2"/>
              <w:bottom w:val="single" w:sz="4" w:space="0" w:color="D2DDE1" w:themeColor="background2"/>
              <w:right w:val="single" w:sz="4" w:space="0" w:color="D2DDE1" w:themeColor="background2"/>
            </w:tcBorders>
            <w:shd w:val="clear" w:color="auto" w:fill="D5EBE8" w:themeFill="accent3"/>
          </w:tcPr>
          <w:p w14:paraId="102AC666" w14:textId="283E2E1D" w:rsidR="00381D07" w:rsidRPr="0018386D" w:rsidRDefault="00381D07" w:rsidP="00DD3106">
            <w:pPr>
              <w:pStyle w:val="Boxtext"/>
              <w:spacing w:after="80"/>
            </w:pPr>
            <w:r w:rsidRPr="0018386D">
              <w:t>An organisation makes five flights from Auckland to Shanghai (</w:t>
            </w:r>
            <w:r w:rsidR="000A4E28" w:rsidRPr="0018386D">
              <w:t>9</w:t>
            </w:r>
            <w:r w:rsidR="00B22FE9" w:rsidRPr="0018386D">
              <w:t>,</w:t>
            </w:r>
            <w:r w:rsidR="000A4E28" w:rsidRPr="0018386D">
              <w:t xml:space="preserve">346 </w:t>
            </w:r>
            <w:r w:rsidRPr="0018386D">
              <w:t xml:space="preserve">km each way). On the first </w:t>
            </w:r>
            <w:r w:rsidR="0012103C" w:rsidRPr="0018386D">
              <w:t xml:space="preserve">trip, </w:t>
            </w:r>
            <w:r w:rsidRPr="0018386D">
              <w:t xml:space="preserve">two people flew return to Shanghai on the same flight in economy class. On the second </w:t>
            </w:r>
            <w:r w:rsidR="0012103C" w:rsidRPr="0018386D">
              <w:t xml:space="preserve">trip, </w:t>
            </w:r>
            <w:r w:rsidRPr="0018386D">
              <w:t xml:space="preserve">three people flew return to Shanghai and the cabin classes were not recorded. </w:t>
            </w:r>
            <w:r w:rsidR="00F87186" w:rsidRPr="0018386D">
              <w:t>L</w:t>
            </w:r>
            <w:r w:rsidR="007F6E98" w:rsidRPr="0018386D">
              <w:t>ong</w:t>
            </w:r>
            <w:r w:rsidR="007F6E98" w:rsidRPr="0018386D">
              <w:noBreakHyphen/>
            </w:r>
            <w:r w:rsidR="00F87186" w:rsidRPr="0018386D">
              <w:t>haul</w:t>
            </w:r>
            <w:r w:rsidR="008A166B" w:rsidRPr="0018386D">
              <w:t xml:space="preserve"> </w:t>
            </w:r>
            <w:r w:rsidR="007F6E98" w:rsidRPr="0018386D">
              <w:t>(&gt;3</w:t>
            </w:r>
            <w:r w:rsidR="005F0BD5" w:rsidRPr="0018386D">
              <w:t>,</w:t>
            </w:r>
            <w:r w:rsidR="007F6E98" w:rsidRPr="0018386D">
              <w:t>700 km) emission factor</w:t>
            </w:r>
            <w:r w:rsidR="00F87186" w:rsidRPr="0018386D">
              <w:t>s</w:t>
            </w:r>
            <w:r w:rsidR="007F6E98" w:rsidRPr="0018386D">
              <w:t xml:space="preserve"> </w:t>
            </w:r>
            <w:r w:rsidR="0055078B" w:rsidRPr="0018386D">
              <w:t>with radiative forcing</w:t>
            </w:r>
            <w:r w:rsidR="000E4749" w:rsidRPr="0018386D">
              <w:t xml:space="preserve"> </w:t>
            </w:r>
            <w:r w:rsidR="00F87186" w:rsidRPr="0018386D">
              <w:t>are</w:t>
            </w:r>
            <w:r w:rsidR="007F6E98" w:rsidRPr="0018386D">
              <w:t xml:space="preserve"> used</w:t>
            </w:r>
            <w:r w:rsidR="00BB3CFC" w:rsidRPr="0018386D">
              <w:t>.</w:t>
            </w:r>
            <w:r w:rsidR="00F87186" w:rsidRPr="0018386D">
              <w:t xml:space="preserve"> </w:t>
            </w:r>
          </w:p>
          <w:p w14:paraId="58891324" w14:textId="3F560188" w:rsidR="00704476" w:rsidRPr="0018386D" w:rsidRDefault="00704476" w:rsidP="00DD3106">
            <w:pPr>
              <w:pStyle w:val="Boxtext"/>
              <w:spacing w:after="20"/>
            </w:pPr>
            <w:r w:rsidRPr="0018386D">
              <w:t xml:space="preserve">For the two people who travel economy class: </w:t>
            </w:r>
          </w:p>
          <w:p w14:paraId="1DB024F2" w14:textId="3F560188" w:rsidR="00704476" w:rsidRPr="0018386D" w:rsidRDefault="00704476" w:rsidP="00DD3106">
            <w:pPr>
              <w:pStyle w:val="Boxtext"/>
              <w:spacing w:before="80" w:after="20"/>
            </w:pPr>
            <w:r w:rsidRPr="0018386D">
              <w:t>Passenger kilometres travelled</w:t>
            </w:r>
            <w:r w:rsidRPr="0018386D">
              <w:tab/>
            </w:r>
            <w:r w:rsidRPr="0018386D">
              <w:tab/>
            </w:r>
            <w:r w:rsidRPr="0018386D">
              <w:tab/>
              <w:t xml:space="preserve"> = (2 × 9,346) × 2</w:t>
            </w:r>
            <w:r w:rsidRPr="0018386D">
              <w:tab/>
              <w:t xml:space="preserve"> = 37,384 </w:t>
            </w:r>
            <w:proofErr w:type="spellStart"/>
            <w:r w:rsidRPr="0018386D">
              <w:t>pkm</w:t>
            </w:r>
            <w:proofErr w:type="spellEnd"/>
          </w:p>
          <w:p w14:paraId="09861BBA" w14:textId="3FEC1379" w:rsidR="00704476" w:rsidRPr="0018386D" w:rsidRDefault="00704476" w:rsidP="00DD3106">
            <w:pPr>
              <w:pStyle w:val="Boxtext"/>
              <w:spacing w:before="20" w:after="80"/>
            </w:pPr>
            <w:r w:rsidRPr="0018386D">
              <w:t>Their CO</w:t>
            </w:r>
            <w:r w:rsidRPr="0018386D">
              <w:rPr>
                <w:vertAlign w:val="subscript"/>
              </w:rPr>
              <w:t>2</w:t>
            </w:r>
            <w:r w:rsidRPr="0018386D">
              <w:t xml:space="preserve">-e emissions from air travel </w:t>
            </w:r>
            <w:r w:rsidRPr="0018386D">
              <w:tab/>
              <w:t xml:space="preserve"> = 37,384 × 0.148</w:t>
            </w:r>
            <w:r w:rsidRPr="0018386D">
              <w:tab/>
              <w:t xml:space="preserve"> = 5,532</w:t>
            </w:r>
            <w:r w:rsidR="00B0793E" w:rsidRPr="0018386D">
              <w:t>.8</w:t>
            </w:r>
            <w:r w:rsidRPr="0018386D">
              <w:t xml:space="preserve"> kg CO</w:t>
            </w:r>
            <w:r w:rsidRPr="0018386D">
              <w:rPr>
                <w:vertAlign w:val="subscript"/>
              </w:rPr>
              <w:t>2</w:t>
            </w:r>
            <w:r w:rsidRPr="0018386D">
              <w:t xml:space="preserve">-e </w:t>
            </w:r>
          </w:p>
          <w:p w14:paraId="78E270CE" w14:textId="3F560188" w:rsidR="00704476" w:rsidRPr="0018386D" w:rsidRDefault="00704476" w:rsidP="00DD3106">
            <w:pPr>
              <w:pStyle w:val="Boxtext"/>
              <w:spacing w:before="80" w:after="20"/>
            </w:pPr>
            <w:r w:rsidRPr="0018386D">
              <w:t xml:space="preserve">For the three people with unknown travel classes: </w:t>
            </w:r>
          </w:p>
          <w:p w14:paraId="220E7E8E" w14:textId="3F560188" w:rsidR="00704476" w:rsidRPr="0018386D" w:rsidRDefault="00704476" w:rsidP="00DD3106">
            <w:pPr>
              <w:pStyle w:val="Boxtext"/>
              <w:spacing w:before="80" w:after="20"/>
            </w:pPr>
            <w:r w:rsidRPr="0018386D">
              <w:t>Passenger kilometres travelled</w:t>
            </w:r>
            <w:r w:rsidRPr="0018386D">
              <w:tab/>
            </w:r>
            <w:r w:rsidRPr="0018386D">
              <w:tab/>
            </w:r>
            <w:r w:rsidRPr="0018386D">
              <w:tab/>
              <w:t xml:space="preserve"> = (3 × 9,346) × 2</w:t>
            </w:r>
            <w:r w:rsidRPr="0018386D">
              <w:tab/>
              <w:t xml:space="preserve">= 56,076 </w:t>
            </w:r>
            <w:proofErr w:type="spellStart"/>
            <w:r w:rsidRPr="0018386D">
              <w:t>pkm</w:t>
            </w:r>
            <w:proofErr w:type="spellEnd"/>
          </w:p>
          <w:p w14:paraId="2119E0D5" w14:textId="71BF6B56" w:rsidR="00704476" w:rsidRPr="0018386D" w:rsidRDefault="00704476" w:rsidP="00DD3106">
            <w:pPr>
              <w:pStyle w:val="Boxtext"/>
              <w:spacing w:before="20" w:after="20"/>
            </w:pPr>
            <w:r w:rsidRPr="0018386D">
              <w:t>Their CO</w:t>
            </w:r>
            <w:r w:rsidRPr="0018386D">
              <w:rPr>
                <w:vertAlign w:val="subscript"/>
              </w:rPr>
              <w:t>2</w:t>
            </w:r>
            <w:r w:rsidRPr="0018386D">
              <w:t xml:space="preserve">-e emissions from air travel </w:t>
            </w:r>
            <w:r w:rsidRPr="0018386D">
              <w:tab/>
              <w:t xml:space="preserve"> = 56,076 × 0.193</w:t>
            </w:r>
            <w:r w:rsidRPr="0018386D">
              <w:tab/>
              <w:t>= 10,822</w:t>
            </w:r>
            <w:r w:rsidR="000D7BC8" w:rsidRPr="0018386D">
              <w:t>.</w:t>
            </w:r>
            <w:r w:rsidR="00B11992" w:rsidRPr="0018386D">
              <w:t>7</w:t>
            </w:r>
            <w:r w:rsidRPr="0018386D">
              <w:t xml:space="preserve"> kg CO</w:t>
            </w:r>
            <w:r w:rsidRPr="0018386D">
              <w:rPr>
                <w:vertAlign w:val="subscript"/>
              </w:rPr>
              <w:t>2</w:t>
            </w:r>
            <w:r w:rsidRPr="0018386D">
              <w:t xml:space="preserve">-e </w:t>
            </w:r>
          </w:p>
          <w:p w14:paraId="78D31DA6" w14:textId="5FE5F5A7" w:rsidR="00704476" w:rsidRPr="0018386D" w:rsidRDefault="00704476" w:rsidP="00DD3106">
            <w:pPr>
              <w:pStyle w:val="Boxtext"/>
              <w:tabs>
                <w:tab w:val="left" w:pos="4574"/>
              </w:tabs>
              <w:spacing w:before="20" w:after="80"/>
            </w:pPr>
            <w:r w:rsidRPr="0018386D">
              <w:t>Total CO</w:t>
            </w:r>
            <w:r w:rsidRPr="0018386D">
              <w:rPr>
                <w:vertAlign w:val="subscript"/>
              </w:rPr>
              <w:t>2</w:t>
            </w:r>
            <w:r w:rsidRPr="0018386D">
              <w:t xml:space="preserve">-e emissions from international air travel </w:t>
            </w:r>
            <w:r w:rsidRPr="0018386D">
              <w:tab/>
              <w:t>= 5,532</w:t>
            </w:r>
            <w:r w:rsidR="00841BBF" w:rsidRPr="0018386D">
              <w:t>.8</w:t>
            </w:r>
            <w:r w:rsidRPr="0018386D">
              <w:t xml:space="preserve"> + 10,822</w:t>
            </w:r>
            <w:r w:rsidR="00B11992" w:rsidRPr="0018386D">
              <w:t>.7</w:t>
            </w:r>
            <w:r w:rsidRPr="0018386D">
              <w:tab/>
              <w:t>= 16,35</w:t>
            </w:r>
            <w:r w:rsidR="00B269CC" w:rsidRPr="0018386D">
              <w:t>6</w:t>
            </w:r>
            <w:r w:rsidRPr="0018386D">
              <w:t xml:space="preserve"> kg CO</w:t>
            </w:r>
            <w:r w:rsidRPr="0018386D">
              <w:rPr>
                <w:vertAlign w:val="subscript"/>
              </w:rPr>
              <w:t>2</w:t>
            </w:r>
            <w:r w:rsidRPr="0018386D">
              <w:t>-e</w:t>
            </w:r>
          </w:p>
          <w:p w14:paraId="5D693856" w14:textId="3FB5831A" w:rsidR="00D9313E" w:rsidRPr="0018386D" w:rsidRDefault="00D9313E" w:rsidP="00DD3106">
            <w:pPr>
              <w:pStyle w:val="Boxtext"/>
              <w:spacing w:after="180"/>
            </w:pPr>
            <w:r w:rsidRPr="0018386D">
              <w:rPr>
                <w:sz w:val="18"/>
                <w:szCs w:val="18"/>
              </w:rPr>
              <w:t>Note</w:t>
            </w:r>
            <w:r w:rsidR="00E964B5" w:rsidRPr="0018386D">
              <w:rPr>
                <w:sz w:val="18"/>
                <w:szCs w:val="18"/>
              </w:rPr>
              <w:t>:</w:t>
            </w:r>
            <w:r w:rsidRPr="0018386D">
              <w:rPr>
                <w:sz w:val="18"/>
                <w:szCs w:val="18"/>
              </w:rPr>
              <w:t xml:space="preserve"> </w:t>
            </w:r>
            <w:r w:rsidR="00E964B5" w:rsidRPr="0018386D">
              <w:rPr>
                <w:sz w:val="18"/>
                <w:szCs w:val="18"/>
              </w:rPr>
              <w:t>N</w:t>
            </w:r>
            <w:r w:rsidRPr="0018386D">
              <w:rPr>
                <w:sz w:val="18"/>
                <w:szCs w:val="18"/>
              </w:rPr>
              <w:t>umbers may not add due to rounding</w:t>
            </w:r>
            <w:r w:rsidR="00B22FE9" w:rsidRPr="0018386D">
              <w:rPr>
                <w:sz w:val="18"/>
                <w:szCs w:val="18"/>
              </w:rPr>
              <w:t>.</w:t>
            </w:r>
          </w:p>
        </w:tc>
      </w:tr>
    </w:tbl>
    <w:p w14:paraId="793AE9B8" w14:textId="3ACA9CA7" w:rsidR="00A20FAA" w:rsidRPr="0018386D" w:rsidRDefault="00A20FAA" w:rsidP="00DD3106">
      <w:pPr>
        <w:pStyle w:val="Heading4"/>
        <w:numPr>
          <w:ilvl w:val="3"/>
          <w:numId w:val="8"/>
        </w:numPr>
        <w:spacing w:before="160"/>
        <w:jc w:val="both"/>
      </w:pPr>
      <w:r w:rsidRPr="0018386D">
        <w:t>Emission factor derivation methodology</w:t>
      </w:r>
    </w:p>
    <w:p w14:paraId="650922D5" w14:textId="30C8ABE6" w:rsidR="00017EB3" w:rsidRPr="0018386D" w:rsidRDefault="00017EB3" w:rsidP="00DD3106">
      <w:pPr>
        <w:pStyle w:val="BodyText"/>
      </w:pPr>
      <w:r w:rsidRPr="0018386D">
        <w:t xml:space="preserve">The </w:t>
      </w:r>
      <w:hyperlink r:id="rId103">
        <w:r w:rsidR="00181039" w:rsidRPr="0018386D">
          <w:rPr>
            <w:rStyle w:val="Hyperlink"/>
            <w:rFonts w:eastAsia="Times New Roman" w:cs="Times New Roman"/>
          </w:rPr>
          <w:t>UK BEIS emission factors</w:t>
        </w:r>
      </w:hyperlink>
      <w:r w:rsidR="00181039" w:rsidRPr="0018386D">
        <w:rPr>
          <w:rStyle w:val="Hyperlink"/>
          <w:rFonts w:eastAsia="Times New Roman" w:cs="Times New Roman"/>
        </w:rPr>
        <w:t xml:space="preserve"> </w:t>
      </w:r>
      <w:r w:rsidRPr="0018386D">
        <w:t xml:space="preserve">publication discusses the methodology in more detail, including changes over time. </w:t>
      </w:r>
    </w:p>
    <w:p w14:paraId="5D9DE786" w14:textId="74A29666" w:rsidR="00A20FAA" w:rsidRPr="0018386D" w:rsidRDefault="00A20FAA" w:rsidP="00DD3106">
      <w:pPr>
        <w:pStyle w:val="Heading4"/>
        <w:numPr>
          <w:ilvl w:val="3"/>
          <w:numId w:val="8"/>
        </w:numPr>
        <w:spacing w:before="160"/>
        <w:jc w:val="both"/>
      </w:pPr>
      <w:bookmarkStart w:id="556" w:name="_Assumptions,_limitations_and_1"/>
      <w:bookmarkEnd w:id="556"/>
      <w:r w:rsidRPr="0018386D">
        <w:t xml:space="preserve">Assumptions, </w:t>
      </w:r>
      <w:proofErr w:type="gramStart"/>
      <w:r w:rsidRPr="0018386D">
        <w:t>limitations</w:t>
      </w:r>
      <w:proofErr w:type="gramEnd"/>
      <w:r w:rsidRPr="0018386D">
        <w:t xml:space="preserve"> and uncertainties</w:t>
      </w:r>
    </w:p>
    <w:p w14:paraId="7763F268" w14:textId="404DBF54" w:rsidR="00B91CD7" w:rsidRPr="0018386D" w:rsidRDefault="007F7FE2" w:rsidP="00DD3106">
      <w:pPr>
        <w:pStyle w:val="BodyText"/>
      </w:pPr>
      <w:bookmarkStart w:id="557" w:name="_Assumptions,_limitations_and"/>
      <w:bookmarkEnd w:id="557"/>
      <w:r w:rsidRPr="0018386D">
        <w:t>T</w:t>
      </w:r>
      <w:r w:rsidR="00925EA5" w:rsidRPr="0018386D">
        <w:t xml:space="preserve">he </w:t>
      </w:r>
      <w:r w:rsidR="00B91CD7" w:rsidRPr="0018386D">
        <w:t xml:space="preserve">emission factors in </w:t>
      </w:r>
      <w:hyperlink w:anchor="table41two" w:history="1">
        <w:r w:rsidR="00B91CD7" w:rsidRPr="0018386D">
          <w:rPr>
            <w:rStyle w:val="Hyperlink"/>
          </w:rPr>
          <w:t>table</w:t>
        </w:r>
        <w:r w:rsidR="00234F10" w:rsidRPr="0018386D">
          <w:rPr>
            <w:rStyle w:val="Hyperlink"/>
          </w:rPr>
          <w:t>s</w:t>
        </w:r>
        <w:r w:rsidR="00B91CD7" w:rsidRPr="0018386D">
          <w:rPr>
            <w:rStyle w:val="Hyperlink"/>
          </w:rPr>
          <w:t xml:space="preserve"> 41</w:t>
        </w:r>
      </w:hyperlink>
      <w:r w:rsidR="00B91CD7" w:rsidRPr="0018386D">
        <w:t xml:space="preserve"> and </w:t>
      </w:r>
      <w:hyperlink w:anchor="table42" w:history="1">
        <w:r w:rsidR="00B91CD7" w:rsidRPr="0018386D">
          <w:rPr>
            <w:rStyle w:val="Hyperlink"/>
          </w:rPr>
          <w:t>42</w:t>
        </w:r>
      </w:hyperlink>
      <w:r w:rsidR="00B91CD7" w:rsidRPr="0018386D">
        <w:t xml:space="preserve"> are based on UK and European data. The short-haul emission factor applies to international flights of less than 3,700 km. The long-haul factor applies to flights of more than 3,700 km.</w:t>
      </w:r>
    </w:p>
    <w:p w14:paraId="505775B8" w14:textId="4F6CF220" w:rsidR="00B91CD7" w:rsidRPr="0018386D" w:rsidRDefault="00B91CD7" w:rsidP="00DD3106">
      <w:pPr>
        <w:pStyle w:val="BodyText"/>
      </w:pPr>
      <w:r w:rsidRPr="0018386D">
        <w:t>The UK BEIS endorses a great circle distance uplift factor to account for non-direct (ie, not along the straight-line/</w:t>
      </w:r>
      <w:proofErr w:type="gramStart"/>
      <w:r w:rsidRPr="0018386D">
        <w:t>great-circle</w:t>
      </w:r>
      <w:proofErr w:type="gramEnd"/>
      <w:r w:rsidRPr="0018386D">
        <w:t xml:space="preserve"> between destinations) routes and delays/circling. The 8 per cent uplift factor applied by UK BEIS is based on the analysis of flights arriving and departing from the UK. This figure is likely to be overstated for international flights to/from New Zealand (initial estimates from Airways New Zealand suggest it is likely to be less than 5 per cent). In the absence of a New Zealand-specific figure for international flights, we recommend a</w:t>
      </w:r>
      <w:r w:rsidR="00A27A17" w:rsidRPr="0018386D">
        <w:t>n</w:t>
      </w:r>
      <w:r w:rsidRPr="0018386D">
        <w:t xml:space="preserve"> 8 per cent uplift factor. This conservative value comes from an IPCC publication, </w:t>
      </w:r>
      <w:proofErr w:type="gramStart"/>
      <w:r w:rsidRPr="0018386D">
        <w:rPr>
          <w:i/>
          <w:iCs/>
        </w:rPr>
        <w:t>Aviation</w:t>
      </w:r>
      <w:proofErr w:type="gramEnd"/>
      <w:r w:rsidRPr="0018386D">
        <w:rPr>
          <w:i/>
          <w:iCs/>
        </w:rPr>
        <w:t xml:space="preserve"> and the Global Atmosphere</w:t>
      </w:r>
      <w:r w:rsidRPr="0018386D">
        <w:t xml:space="preserve"> (refer to section 8.2.2.3) and is based on studies of penalties to air traffic associated with the European ATS Route Network. We recommend applying the 8 per cent uplift factor to international flight emission estimates from the ICAO calculator by multiplying the output by 1.09. </w:t>
      </w:r>
    </w:p>
    <w:p w14:paraId="464BEA16" w14:textId="10E1EA7C" w:rsidR="00B91CD7" w:rsidRPr="0018386D" w:rsidRDefault="00B91CD7" w:rsidP="00DD3106">
      <w:pPr>
        <w:pStyle w:val="BodyText"/>
      </w:pPr>
      <w:r w:rsidRPr="0018386D">
        <w:lastRenderedPageBreak/>
        <w:t xml:space="preserve">The emission factors refer to aviation’s direct GHG emissions including carbon dioxide, </w:t>
      </w:r>
      <w:proofErr w:type="gramStart"/>
      <w:r w:rsidRPr="0018386D">
        <w:t>methane</w:t>
      </w:r>
      <w:proofErr w:type="gramEnd"/>
      <w:r w:rsidRPr="0018386D">
        <w:t xml:space="preserve"> and nitrous oxide. There is currently uncertainty over the other climate change impacts of aviation (including water vapour and indirect GHGs, among other factors), which the IPCC estimated to be up to two to four times those of carbon dioxide alone. However, the science is currently uncertain and </w:t>
      </w:r>
      <w:hyperlink r:id="rId104" w:history="1">
        <w:r w:rsidRPr="0018386D">
          <w:rPr>
            <w:rStyle w:val="Hyperlink"/>
            <w:i/>
            <w:iCs/>
          </w:rPr>
          <w:t>New Zealand’s Greenhouse Gas Inventory</w:t>
        </w:r>
        <w:r w:rsidR="00F632AE" w:rsidRPr="0018386D">
          <w:rPr>
            <w:rStyle w:val="Hyperlink"/>
            <w:i/>
            <w:iCs/>
          </w:rPr>
          <w:t xml:space="preserve"> 1990-2021</w:t>
        </w:r>
      </w:hyperlink>
      <w:r w:rsidRPr="0018386D">
        <w:t xml:space="preserve"> does not use a multiplier. </w:t>
      </w:r>
    </w:p>
    <w:p w14:paraId="27107BA0" w14:textId="54DFA0F1" w:rsidR="003D6E84" w:rsidRPr="0018386D" w:rsidRDefault="00B91CD7" w:rsidP="00DD3106">
      <w:pPr>
        <w:pStyle w:val="BodyText"/>
      </w:pPr>
      <w:r w:rsidRPr="0018386D">
        <w:t>International travel is divided by class of travel. Emissions vary by class because they are based on the number of people on a flight. Business class passengers use more space and facilities than economy class travellers. If everyone flew business class, fewer people could fit on the flight and therefore emissions per person would be higher.</w:t>
      </w:r>
      <w:r w:rsidR="004C3308" w:rsidRPr="0018386D">
        <w:t xml:space="preserve"> </w:t>
      </w:r>
    </w:p>
    <w:p w14:paraId="4D0E6C41" w14:textId="5E663793" w:rsidR="00191856" w:rsidRPr="0018386D" w:rsidRDefault="00191856" w:rsidP="00DD3106">
      <w:pPr>
        <w:pStyle w:val="Heading2"/>
        <w:numPr>
          <w:ilvl w:val="1"/>
          <w:numId w:val="8"/>
        </w:numPr>
      </w:pPr>
      <w:bookmarkStart w:id="558" w:name="_Toc140048916"/>
      <w:r w:rsidRPr="0018386D">
        <w:t>Helicopters</w:t>
      </w:r>
      <w:bookmarkEnd w:id="558"/>
    </w:p>
    <w:p w14:paraId="3D5BE7D5" w14:textId="2CA3411B" w:rsidR="00191856" w:rsidRPr="0018386D" w:rsidRDefault="00191856" w:rsidP="00DD3106">
      <w:pPr>
        <w:pStyle w:val="BodyText"/>
      </w:pPr>
      <w:r w:rsidRPr="0018386D">
        <w:t>This section provides emission factors for some commonly used helicopters in New Zealand. Business activities that require the use of helicopters might include organisations involved in tourism, air transport, agricultural operations</w:t>
      </w:r>
      <w:r w:rsidR="008D6E4C" w:rsidRPr="0018386D">
        <w:t>,</w:t>
      </w:r>
      <w:r w:rsidRPr="0018386D">
        <w:t xml:space="preserve"> or emergency services.</w:t>
      </w:r>
    </w:p>
    <w:p w14:paraId="09D9B7A4" w14:textId="4F59D2ED" w:rsidR="00191856" w:rsidRPr="0018386D" w:rsidRDefault="00EB4389" w:rsidP="00DD3106">
      <w:pPr>
        <w:pStyle w:val="Tableheading"/>
      </w:pPr>
      <w:bookmarkStart w:id="559" w:name="table43"/>
      <w:bookmarkStart w:id="560" w:name="_Toc111536655"/>
      <w:bookmarkStart w:id="561" w:name="_Toc140048983"/>
      <w:r w:rsidRPr="0018386D">
        <w:t xml:space="preserve">Table </w:t>
      </w:r>
      <w:r w:rsidRPr="0018386D">
        <w:fldChar w:fldCharType="begin"/>
      </w:r>
      <w:r w:rsidRPr="0018386D">
        <w:instrText>SEQ Table \* ARABIC</w:instrText>
      </w:r>
      <w:r w:rsidRPr="0018386D">
        <w:fldChar w:fldCharType="separate"/>
      </w:r>
      <w:r w:rsidR="007F406F" w:rsidRPr="0018386D">
        <w:t>43</w:t>
      </w:r>
      <w:r w:rsidRPr="0018386D">
        <w:fldChar w:fldCharType="end"/>
      </w:r>
      <w:bookmarkEnd w:id="559"/>
      <w:r w:rsidRPr="0018386D">
        <w:t>:</w:t>
      </w:r>
      <w:r w:rsidRPr="0018386D">
        <w:tab/>
      </w:r>
      <w:r w:rsidR="00191856" w:rsidRPr="0018386D">
        <w:t>Emission factors for helicopters</w:t>
      </w:r>
      <w:bookmarkEnd w:id="560"/>
      <w:bookmarkEnd w:id="56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2449"/>
        <w:gridCol w:w="750"/>
        <w:gridCol w:w="1212"/>
        <w:gridCol w:w="1326"/>
        <w:gridCol w:w="1384"/>
        <w:gridCol w:w="1384"/>
      </w:tblGrid>
      <w:tr w:rsidR="00F415F9" w:rsidRPr="0018386D" w14:paraId="530A89D1" w14:textId="77777777" w:rsidTr="00476053">
        <w:trPr>
          <w:divId w:val="261187999"/>
          <w:trHeight w:val="253"/>
        </w:trPr>
        <w:tc>
          <w:tcPr>
            <w:tcW w:w="2407" w:type="dxa"/>
            <w:shd w:val="clear" w:color="000000" w:fill="1B556B" w:themeFill="text2"/>
            <w:noWrap/>
            <w:vAlign w:val="bottom"/>
            <w:hideMark/>
          </w:tcPr>
          <w:p w14:paraId="175CB8BF" w14:textId="16C055E1" w:rsidR="008E2ED2" w:rsidRPr="0018386D" w:rsidRDefault="008E2ED2" w:rsidP="00DD3106">
            <w:pPr>
              <w:pStyle w:val="TableTextbold"/>
              <w:spacing w:before="40" w:after="40"/>
              <w:rPr>
                <w:color w:val="FFFFFF" w:themeColor="background1"/>
              </w:rPr>
            </w:pPr>
            <w:bookmarkStart w:id="562" w:name="_1746366831"/>
            <w:bookmarkStart w:id="563" w:name="_1745997847"/>
            <w:bookmarkStart w:id="564" w:name="_1746254074"/>
            <w:bookmarkStart w:id="565" w:name="_1747051270"/>
            <w:bookmarkEnd w:id="562"/>
            <w:bookmarkEnd w:id="563"/>
            <w:bookmarkEnd w:id="564"/>
            <w:bookmarkEnd w:id="565"/>
            <w:r w:rsidRPr="0018386D">
              <w:rPr>
                <w:color w:val="FFFFFF" w:themeColor="background1"/>
              </w:rPr>
              <w:t>Emission source</w:t>
            </w:r>
          </w:p>
        </w:tc>
        <w:tc>
          <w:tcPr>
            <w:tcW w:w="737" w:type="dxa"/>
            <w:shd w:val="clear" w:color="000000" w:fill="1B556B" w:themeFill="text2"/>
            <w:noWrap/>
            <w:vAlign w:val="bottom"/>
            <w:hideMark/>
          </w:tcPr>
          <w:p w14:paraId="5B2829E3" w14:textId="792EB3CC" w:rsidR="008E2ED2" w:rsidRPr="0018386D" w:rsidRDefault="00F74530" w:rsidP="00DD3106">
            <w:pPr>
              <w:pStyle w:val="TableTextbold"/>
              <w:spacing w:before="40" w:after="40"/>
              <w:rPr>
                <w:color w:val="FFFFFF" w:themeColor="background1"/>
              </w:rPr>
            </w:pPr>
            <w:r w:rsidRPr="0018386D">
              <w:rPr>
                <w:color w:val="FFFFFF" w:themeColor="background1"/>
              </w:rPr>
              <w:t>Unit</w:t>
            </w:r>
          </w:p>
        </w:tc>
        <w:tc>
          <w:tcPr>
            <w:tcW w:w="1191" w:type="dxa"/>
            <w:shd w:val="clear" w:color="000000" w:fill="1B556B" w:themeFill="text2"/>
            <w:noWrap/>
            <w:vAlign w:val="bottom"/>
            <w:hideMark/>
          </w:tcPr>
          <w:p w14:paraId="2EDBD3A4" w14:textId="3337140C" w:rsidR="008E2ED2" w:rsidRPr="0018386D" w:rsidRDefault="00F74530" w:rsidP="00DD3106">
            <w:pPr>
              <w:pStyle w:val="TableTextbold"/>
              <w:spacing w:before="40" w:after="40"/>
              <w:rPr>
                <w:color w:val="FFFFFF" w:themeColor="background1"/>
              </w:rPr>
            </w:pPr>
            <w:r w:rsidRPr="0018386D">
              <w:rPr>
                <w:color w:val="FFFFFF" w:themeColor="background1"/>
              </w:rPr>
              <w:t>kg CO₂-e/unit</w:t>
            </w:r>
          </w:p>
        </w:tc>
        <w:tc>
          <w:tcPr>
            <w:tcW w:w="1304" w:type="dxa"/>
            <w:shd w:val="clear" w:color="000000" w:fill="1B556B" w:themeFill="text2"/>
            <w:noWrap/>
            <w:vAlign w:val="bottom"/>
            <w:hideMark/>
          </w:tcPr>
          <w:p w14:paraId="4252FCD1" w14:textId="71ED1944" w:rsidR="008E2ED2" w:rsidRPr="0018386D" w:rsidRDefault="00F74530" w:rsidP="00DD3106">
            <w:pPr>
              <w:pStyle w:val="TableTextbold"/>
              <w:spacing w:before="40" w:after="40"/>
              <w:rPr>
                <w:color w:val="FFFFFF" w:themeColor="background1"/>
              </w:rPr>
            </w:pPr>
            <w:r w:rsidRPr="0018386D">
              <w:rPr>
                <w:color w:val="FFFFFF" w:themeColor="background1"/>
              </w:rPr>
              <w:t xml:space="preserve">CO₂ </w:t>
            </w:r>
            <w:r w:rsidR="00476053" w:rsidRPr="0018386D">
              <w:rPr>
                <w:color w:val="FFFFFF" w:themeColor="background1"/>
              </w:rPr>
              <w:br/>
            </w:r>
            <w:r w:rsidRPr="0018386D">
              <w:rPr>
                <w:color w:val="FFFFFF" w:themeColor="background1"/>
              </w:rPr>
              <w:t>(</w:t>
            </w:r>
            <w:r w:rsidR="008E2ED2" w:rsidRPr="0018386D">
              <w:rPr>
                <w:color w:val="FFFFFF" w:themeColor="background1"/>
              </w:rPr>
              <w:t>kg CO</w:t>
            </w:r>
            <w:r w:rsidRPr="0018386D">
              <w:rPr>
                <w:color w:val="FFFFFF" w:themeColor="background1"/>
              </w:rPr>
              <w:t>₂</w:t>
            </w:r>
            <w:r w:rsidRPr="0018386D">
              <w:rPr>
                <w:color w:val="FFFFFF" w:themeColor="background1"/>
              </w:rPr>
              <w:noBreakHyphen/>
            </w:r>
            <w:r w:rsidR="008E2ED2" w:rsidRPr="0018386D">
              <w:rPr>
                <w:color w:val="FFFFFF" w:themeColor="background1"/>
              </w:rPr>
              <w:t>e/</w:t>
            </w:r>
            <w:r w:rsidR="00F415F9" w:rsidRPr="0018386D">
              <w:rPr>
                <w:color w:val="FFFFFF" w:themeColor="background1"/>
              </w:rPr>
              <w:t xml:space="preserve"> </w:t>
            </w:r>
            <w:r w:rsidR="008E2ED2" w:rsidRPr="0018386D">
              <w:rPr>
                <w:color w:val="FFFFFF" w:themeColor="background1"/>
              </w:rPr>
              <w:t>unit</w:t>
            </w:r>
            <w:r w:rsidRPr="0018386D">
              <w:rPr>
                <w:color w:val="FFFFFF" w:themeColor="background1"/>
              </w:rPr>
              <w:t>)</w:t>
            </w:r>
          </w:p>
        </w:tc>
        <w:tc>
          <w:tcPr>
            <w:tcW w:w="1361" w:type="dxa"/>
            <w:shd w:val="clear" w:color="000000" w:fill="1B556B" w:themeFill="text2"/>
            <w:noWrap/>
            <w:vAlign w:val="bottom"/>
            <w:hideMark/>
          </w:tcPr>
          <w:p w14:paraId="04B9A749" w14:textId="72F9015A" w:rsidR="008E2ED2" w:rsidRPr="0018386D" w:rsidRDefault="00F74530" w:rsidP="00DD3106">
            <w:pPr>
              <w:pStyle w:val="TableTextbold"/>
              <w:spacing w:before="40" w:after="40"/>
              <w:rPr>
                <w:color w:val="FFFFFF" w:themeColor="background1"/>
              </w:rPr>
            </w:pPr>
            <w:r w:rsidRPr="0018386D">
              <w:rPr>
                <w:color w:val="FFFFFF" w:themeColor="background1"/>
              </w:rPr>
              <w:t>CH₄</w:t>
            </w:r>
            <w:r w:rsidR="008E2ED2" w:rsidRPr="0018386D">
              <w:rPr>
                <w:color w:val="FFFFFF" w:themeColor="background1"/>
              </w:rPr>
              <w:t xml:space="preserve"> </w:t>
            </w:r>
            <w:r w:rsidR="00476053" w:rsidRPr="0018386D">
              <w:rPr>
                <w:color w:val="FFFFFF" w:themeColor="background1"/>
              </w:rPr>
              <w:br/>
            </w:r>
            <w:r w:rsidR="008E2ED2" w:rsidRPr="0018386D">
              <w:rPr>
                <w:color w:val="FFFFFF" w:themeColor="background1"/>
              </w:rPr>
              <w:t>(kg CO</w:t>
            </w:r>
            <w:r w:rsidRPr="0018386D">
              <w:rPr>
                <w:color w:val="FFFFFF" w:themeColor="background1"/>
              </w:rPr>
              <w:t>₂-</w:t>
            </w:r>
            <w:r w:rsidR="008E2ED2" w:rsidRPr="0018386D">
              <w:rPr>
                <w:color w:val="FFFFFF" w:themeColor="background1"/>
              </w:rPr>
              <w:t>e/</w:t>
            </w:r>
            <w:r w:rsidR="00F415F9" w:rsidRPr="0018386D">
              <w:rPr>
                <w:color w:val="FFFFFF" w:themeColor="background1"/>
              </w:rPr>
              <w:t xml:space="preserve"> </w:t>
            </w:r>
            <w:r w:rsidR="008E2ED2" w:rsidRPr="0018386D">
              <w:rPr>
                <w:color w:val="FFFFFF" w:themeColor="background1"/>
              </w:rPr>
              <w:t>unit)</w:t>
            </w:r>
          </w:p>
        </w:tc>
        <w:tc>
          <w:tcPr>
            <w:tcW w:w="1361" w:type="dxa"/>
            <w:shd w:val="clear" w:color="000000" w:fill="1B556B" w:themeFill="text2"/>
            <w:noWrap/>
            <w:vAlign w:val="bottom"/>
            <w:hideMark/>
          </w:tcPr>
          <w:p w14:paraId="61534853" w14:textId="55B5DB8C" w:rsidR="008E2ED2" w:rsidRPr="0018386D" w:rsidRDefault="00CB4C26" w:rsidP="00DD3106">
            <w:pPr>
              <w:pStyle w:val="TableTextbold"/>
              <w:spacing w:before="40" w:after="40"/>
              <w:rPr>
                <w:color w:val="FFFFFF" w:themeColor="background1"/>
              </w:rPr>
            </w:pPr>
            <w:r w:rsidRPr="0018386D">
              <w:rPr>
                <w:color w:val="FFFFFF" w:themeColor="background1"/>
              </w:rPr>
              <w:t>N₂O</w:t>
            </w:r>
            <w:r w:rsidR="008E2ED2" w:rsidRPr="0018386D">
              <w:rPr>
                <w:color w:val="FFFFFF" w:themeColor="background1"/>
              </w:rPr>
              <w:t xml:space="preserve"> </w:t>
            </w:r>
            <w:r w:rsidR="00476053" w:rsidRPr="0018386D">
              <w:rPr>
                <w:color w:val="FFFFFF" w:themeColor="background1"/>
              </w:rPr>
              <w:br/>
            </w:r>
            <w:r w:rsidR="008E2ED2" w:rsidRPr="0018386D">
              <w:rPr>
                <w:color w:val="FFFFFF" w:themeColor="background1"/>
              </w:rPr>
              <w:t>(kg CO₂-e/</w:t>
            </w:r>
            <w:r w:rsidR="00F415F9" w:rsidRPr="0018386D">
              <w:rPr>
                <w:color w:val="FFFFFF" w:themeColor="background1"/>
              </w:rPr>
              <w:t xml:space="preserve"> </w:t>
            </w:r>
            <w:r w:rsidR="008E2ED2" w:rsidRPr="0018386D">
              <w:rPr>
                <w:color w:val="FFFFFF" w:themeColor="background1"/>
              </w:rPr>
              <w:t>unit)</w:t>
            </w:r>
          </w:p>
        </w:tc>
      </w:tr>
      <w:tr w:rsidR="00FB1B1C" w:rsidRPr="0018386D" w14:paraId="4D71B6CA" w14:textId="77777777" w:rsidTr="00476053">
        <w:trPr>
          <w:divId w:val="261187999"/>
          <w:trHeight w:val="253"/>
        </w:trPr>
        <w:tc>
          <w:tcPr>
            <w:tcW w:w="2407" w:type="dxa"/>
            <w:shd w:val="clear" w:color="000000" w:fill="FFFFFF"/>
            <w:noWrap/>
            <w:hideMark/>
          </w:tcPr>
          <w:p w14:paraId="565605D2" w14:textId="77777777" w:rsidR="008E2ED2" w:rsidRPr="0018386D" w:rsidRDefault="008E2ED2" w:rsidP="00DD3106">
            <w:pPr>
              <w:pStyle w:val="TableText"/>
              <w:spacing w:before="40" w:after="40"/>
            </w:pPr>
            <w:proofErr w:type="spellStart"/>
            <w:r w:rsidRPr="0018386D">
              <w:t>Eurocopter</w:t>
            </w:r>
            <w:proofErr w:type="spellEnd"/>
            <w:r w:rsidRPr="0018386D">
              <w:t xml:space="preserve"> AS 350B Squirrel</w:t>
            </w:r>
          </w:p>
        </w:tc>
        <w:tc>
          <w:tcPr>
            <w:tcW w:w="737" w:type="dxa"/>
            <w:shd w:val="clear" w:color="000000" w:fill="FFFFFF"/>
            <w:noWrap/>
            <w:hideMark/>
          </w:tcPr>
          <w:p w14:paraId="3D2A1C89" w14:textId="77777777" w:rsidR="008E2ED2" w:rsidRPr="0018386D" w:rsidRDefault="008E2ED2" w:rsidP="00DD3106">
            <w:pPr>
              <w:pStyle w:val="TableText"/>
              <w:spacing w:before="40" w:after="40"/>
            </w:pPr>
            <w:r w:rsidRPr="0018386D">
              <w:t>hours</w:t>
            </w:r>
          </w:p>
        </w:tc>
        <w:tc>
          <w:tcPr>
            <w:tcW w:w="1191" w:type="dxa"/>
            <w:shd w:val="clear" w:color="000000" w:fill="D2DDE1"/>
            <w:noWrap/>
            <w:hideMark/>
          </w:tcPr>
          <w:p w14:paraId="1395860B" w14:textId="2F44251D" w:rsidR="008E2ED2" w:rsidRPr="0018386D" w:rsidRDefault="008E2ED2" w:rsidP="00DD3106">
            <w:pPr>
              <w:pStyle w:val="TableText"/>
              <w:spacing w:before="40" w:after="40"/>
            </w:pPr>
            <w:r w:rsidRPr="0018386D">
              <w:t>467</w:t>
            </w:r>
          </w:p>
        </w:tc>
        <w:tc>
          <w:tcPr>
            <w:tcW w:w="1304" w:type="dxa"/>
            <w:shd w:val="clear" w:color="000000" w:fill="FFFFFF"/>
            <w:noWrap/>
            <w:hideMark/>
          </w:tcPr>
          <w:p w14:paraId="6A441867" w14:textId="64509549" w:rsidR="008E2ED2" w:rsidRPr="0018386D" w:rsidRDefault="008E2ED2" w:rsidP="00DD3106">
            <w:pPr>
              <w:pStyle w:val="TableText"/>
              <w:spacing w:before="40" w:after="40"/>
            </w:pPr>
            <w:r w:rsidRPr="0018386D">
              <w:t>463</w:t>
            </w:r>
          </w:p>
        </w:tc>
        <w:tc>
          <w:tcPr>
            <w:tcW w:w="1361" w:type="dxa"/>
            <w:shd w:val="clear" w:color="000000" w:fill="FFFFFF"/>
            <w:noWrap/>
            <w:hideMark/>
          </w:tcPr>
          <w:p w14:paraId="51692167" w14:textId="027C03DD" w:rsidR="008E2ED2" w:rsidRPr="0018386D" w:rsidRDefault="008E2ED2" w:rsidP="00DD3106">
            <w:pPr>
              <w:pStyle w:val="TableText"/>
              <w:spacing w:before="40" w:after="40"/>
            </w:pPr>
            <w:r w:rsidRPr="0018386D">
              <w:t>0.0901</w:t>
            </w:r>
          </w:p>
        </w:tc>
        <w:tc>
          <w:tcPr>
            <w:tcW w:w="1361" w:type="dxa"/>
            <w:shd w:val="clear" w:color="000000" w:fill="FFFFFF"/>
            <w:noWrap/>
            <w:hideMark/>
          </w:tcPr>
          <w:p w14:paraId="49333B2B" w14:textId="6AACEFCD" w:rsidR="008E2ED2" w:rsidRPr="0018386D" w:rsidRDefault="008E2ED2" w:rsidP="00DD3106">
            <w:pPr>
              <w:pStyle w:val="TableText"/>
              <w:spacing w:before="40" w:after="40"/>
            </w:pPr>
            <w:r w:rsidRPr="0018386D">
              <w:t>3.41</w:t>
            </w:r>
          </w:p>
        </w:tc>
      </w:tr>
      <w:tr w:rsidR="00FB1B1C" w:rsidRPr="0018386D" w14:paraId="1320D9E0" w14:textId="77777777" w:rsidTr="00476053">
        <w:trPr>
          <w:divId w:val="261187999"/>
          <w:trHeight w:val="253"/>
        </w:trPr>
        <w:tc>
          <w:tcPr>
            <w:tcW w:w="2407" w:type="dxa"/>
            <w:shd w:val="clear" w:color="000000" w:fill="FFFFFF"/>
            <w:noWrap/>
            <w:hideMark/>
          </w:tcPr>
          <w:p w14:paraId="1E7E38E1" w14:textId="77777777" w:rsidR="008E2ED2" w:rsidRPr="0018386D" w:rsidRDefault="008E2ED2" w:rsidP="00DD3106">
            <w:pPr>
              <w:pStyle w:val="TableText"/>
              <w:spacing w:before="40" w:after="40"/>
            </w:pPr>
            <w:proofErr w:type="spellStart"/>
            <w:r w:rsidRPr="0018386D">
              <w:t>Eurocopter</w:t>
            </w:r>
            <w:proofErr w:type="spellEnd"/>
            <w:r w:rsidRPr="0018386D">
              <w:t xml:space="preserve"> AS 350B3 Squirrel</w:t>
            </w:r>
          </w:p>
        </w:tc>
        <w:tc>
          <w:tcPr>
            <w:tcW w:w="737" w:type="dxa"/>
            <w:shd w:val="clear" w:color="000000" w:fill="FFFFFF"/>
            <w:noWrap/>
            <w:hideMark/>
          </w:tcPr>
          <w:p w14:paraId="6B58CCE1" w14:textId="77777777" w:rsidR="008E2ED2" w:rsidRPr="0018386D" w:rsidRDefault="008E2ED2" w:rsidP="00DD3106">
            <w:pPr>
              <w:pStyle w:val="TableText"/>
              <w:spacing w:before="40" w:after="40"/>
            </w:pPr>
            <w:r w:rsidRPr="0018386D">
              <w:t>hours</w:t>
            </w:r>
          </w:p>
        </w:tc>
        <w:tc>
          <w:tcPr>
            <w:tcW w:w="1191" w:type="dxa"/>
            <w:shd w:val="clear" w:color="000000" w:fill="D2DDE1"/>
            <w:noWrap/>
            <w:hideMark/>
          </w:tcPr>
          <w:p w14:paraId="48B8B5F8" w14:textId="0EB8C670" w:rsidR="008E2ED2" w:rsidRPr="0018386D" w:rsidRDefault="008E2ED2" w:rsidP="00DD3106">
            <w:pPr>
              <w:pStyle w:val="TableText"/>
              <w:spacing w:before="40" w:after="40"/>
            </w:pPr>
            <w:r w:rsidRPr="0018386D">
              <w:t>48</w:t>
            </w:r>
            <w:r w:rsidR="003151B4" w:rsidRPr="0018386D">
              <w:t>3</w:t>
            </w:r>
          </w:p>
        </w:tc>
        <w:tc>
          <w:tcPr>
            <w:tcW w:w="1304" w:type="dxa"/>
            <w:shd w:val="clear" w:color="000000" w:fill="FFFFFF"/>
            <w:noWrap/>
            <w:hideMark/>
          </w:tcPr>
          <w:p w14:paraId="7129CA06" w14:textId="35C73DB5" w:rsidR="008E2ED2" w:rsidRPr="0018386D" w:rsidRDefault="008E2ED2" w:rsidP="00DD3106">
            <w:pPr>
              <w:pStyle w:val="TableText"/>
              <w:spacing w:before="40" w:after="40"/>
            </w:pPr>
            <w:r w:rsidRPr="0018386D">
              <w:t>479</w:t>
            </w:r>
          </w:p>
        </w:tc>
        <w:tc>
          <w:tcPr>
            <w:tcW w:w="1361" w:type="dxa"/>
            <w:shd w:val="clear" w:color="000000" w:fill="FFFFFF"/>
            <w:noWrap/>
            <w:hideMark/>
          </w:tcPr>
          <w:p w14:paraId="6B384DB3" w14:textId="37970AC4" w:rsidR="008E2ED2" w:rsidRPr="0018386D" w:rsidRDefault="008E2ED2" w:rsidP="00DD3106">
            <w:pPr>
              <w:pStyle w:val="TableText"/>
              <w:spacing w:before="40" w:after="40"/>
            </w:pPr>
            <w:r w:rsidRPr="0018386D">
              <w:t>0.0933</w:t>
            </w:r>
          </w:p>
        </w:tc>
        <w:tc>
          <w:tcPr>
            <w:tcW w:w="1361" w:type="dxa"/>
            <w:shd w:val="clear" w:color="000000" w:fill="FFFFFF"/>
            <w:noWrap/>
            <w:hideMark/>
          </w:tcPr>
          <w:p w14:paraId="6A09C03D" w14:textId="3884DC04" w:rsidR="008E2ED2" w:rsidRPr="0018386D" w:rsidRDefault="008E2ED2" w:rsidP="00DD3106">
            <w:pPr>
              <w:pStyle w:val="TableText"/>
              <w:spacing w:before="40" w:after="40"/>
            </w:pPr>
            <w:r w:rsidRPr="0018386D">
              <w:t>3.53</w:t>
            </w:r>
          </w:p>
        </w:tc>
      </w:tr>
      <w:tr w:rsidR="00FB1B1C" w:rsidRPr="0018386D" w14:paraId="1FA9E22C" w14:textId="77777777" w:rsidTr="00476053">
        <w:trPr>
          <w:divId w:val="261187999"/>
          <w:trHeight w:val="253"/>
        </w:trPr>
        <w:tc>
          <w:tcPr>
            <w:tcW w:w="2407" w:type="dxa"/>
            <w:shd w:val="clear" w:color="000000" w:fill="FFFFFF"/>
            <w:noWrap/>
            <w:hideMark/>
          </w:tcPr>
          <w:p w14:paraId="6E53278F" w14:textId="77777777" w:rsidR="008E2ED2" w:rsidRPr="0018386D" w:rsidRDefault="008E2ED2" w:rsidP="00DD3106">
            <w:pPr>
              <w:pStyle w:val="TableText"/>
              <w:spacing w:before="40" w:after="40"/>
            </w:pPr>
            <w:r w:rsidRPr="0018386D">
              <w:t>Robinson R44</w:t>
            </w:r>
          </w:p>
        </w:tc>
        <w:tc>
          <w:tcPr>
            <w:tcW w:w="737" w:type="dxa"/>
            <w:shd w:val="clear" w:color="000000" w:fill="FFFFFF"/>
            <w:noWrap/>
            <w:hideMark/>
          </w:tcPr>
          <w:p w14:paraId="07219A34" w14:textId="77777777" w:rsidR="008E2ED2" w:rsidRPr="0018386D" w:rsidRDefault="008E2ED2" w:rsidP="00DD3106">
            <w:pPr>
              <w:pStyle w:val="TableText"/>
              <w:spacing w:before="40" w:after="40"/>
            </w:pPr>
            <w:r w:rsidRPr="0018386D">
              <w:t>hours</w:t>
            </w:r>
          </w:p>
        </w:tc>
        <w:tc>
          <w:tcPr>
            <w:tcW w:w="1191" w:type="dxa"/>
            <w:shd w:val="clear" w:color="000000" w:fill="D2DDE1"/>
            <w:noWrap/>
            <w:hideMark/>
          </w:tcPr>
          <w:p w14:paraId="2F257D1B" w14:textId="170C95C2" w:rsidR="008E2ED2" w:rsidRPr="0018386D" w:rsidRDefault="008E2ED2" w:rsidP="00DD3106">
            <w:pPr>
              <w:pStyle w:val="TableText"/>
              <w:spacing w:before="40" w:after="40"/>
            </w:pPr>
            <w:r w:rsidRPr="0018386D">
              <w:t>18</w:t>
            </w:r>
            <w:r w:rsidR="003151B4" w:rsidRPr="0018386D">
              <w:t>6</w:t>
            </w:r>
          </w:p>
        </w:tc>
        <w:tc>
          <w:tcPr>
            <w:tcW w:w="1304" w:type="dxa"/>
            <w:shd w:val="clear" w:color="000000" w:fill="FFFFFF"/>
            <w:noWrap/>
            <w:hideMark/>
          </w:tcPr>
          <w:p w14:paraId="4C3D41D6" w14:textId="09A40818" w:rsidR="008E2ED2" w:rsidRPr="0018386D" w:rsidRDefault="008E2ED2" w:rsidP="00DD3106">
            <w:pPr>
              <w:pStyle w:val="TableText"/>
              <w:spacing w:before="40" w:after="40"/>
            </w:pPr>
            <w:r w:rsidRPr="0018386D">
              <w:t>184</w:t>
            </w:r>
          </w:p>
        </w:tc>
        <w:tc>
          <w:tcPr>
            <w:tcW w:w="1361" w:type="dxa"/>
            <w:shd w:val="clear" w:color="000000" w:fill="FFFFFF"/>
            <w:noWrap/>
            <w:hideMark/>
          </w:tcPr>
          <w:p w14:paraId="65137E17" w14:textId="74D72D73" w:rsidR="008E2ED2" w:rsidRPr="0018386D" w:rsidRDefault="008E2ED2" w:rsidP="00DD3106">
            <w:pPr>
              <w:pStyle w:val="TableText"/>
              <w:spacing w:before="40" w:after="40"/>
            </w:pPr>
            <w:r w:rsidRPr="0018386D">
              <w:t>0.0372</w:t>
            </w:r>
          </w:p>
        </w:tc>
        <w:tc>
          <w:tcPr>
            <w:tcW w:w="1361" w:type="dxa"/>
            <w:shd w:val="clear" w:color="000000" w:fill="FFFFFF"/>
            <w:noWrap/>
            <w:hideMark/>
          </w:tcPr>
          <w:p w14:paraId="37D91FE8" w14:textId="7DF77F79" w:rsidR="008E2ED2" w:rsidRPr="0018386D" w:rsidRDefault="008E2ED2" w:rsidP="00DD3106">
            <w:pPr>
              <w:pStyle w:val="TableText"/>
              <w:spacing w:before="40" w:after="40"/>
            </w:pPr>
            <w:r w:rsidRPr="0018386D">
              <w:t>1.41</w:t>
            </w:r>
          </w:p>
        </w:tc>
      </w:tr>
      <w:tr w:rsidR="00FB1B1C" w:rsidRPr="0018386D" w14:paraId="00B3AAE0" w14:textId="77777777" w:rsidTr="00476053">
        <w:trPr>
          <w:divId w:val="261187999"/>
          <w:trHeight w:val="253"/>
        </w:trPr>
        <w:tc>
          <w:tcPr>
            <w:tcW w:w="2407" w:type="dxa"/>
            <w:shd w:val="clear" w:color="000000" w:fill="FFFFFF"/>
            <w:noWrap/>
            <w:hideMark/>
          </w:tcPr>
          <w:p w14:paraId="5356721F" w14:textId="77777777" w:rsidR="008E2ED2" w:rsidRPr="0018386D" w:rsidRDefault="008E2ED2" w:rsidP="00DD3106">
            <w:pPr>
              <w:pStyle w:val="TableText"/>
              <w:spacing w:before="40" w:after="40"/>
            </w:pPr>
            <w:r w:rsidRPr="0018386D">
              <w:t>Robinson R22 Beta</w:t>
            </w:r>
          </w:p>
        </w:tc>
        <w:tc>
          <w:tcPr>
            <w:tcW w:w="737" w:type="dxa"/>
            <w:shd w:val="clear" w:color="000000" w:fill="FFFFFF"/>
            <w:noWrap/>
            <w:hideMark/>
          </w:tcPr>
          <w:p w14:paraId="3664FBAF" w14:textId="77777777" w:rsidR="008E2ED2" w:rsidRPr="0018386D" w:rsidRDefault="008E2ED2" w:rsidP="00DD3106">
            <w:pPr>
              <w:pStyle w:val="TableText"/>
              <w:spacing w:before="40" w:after="40"/>
            </w:pPr>
            <w:r w:rsidRPr="0018386D">
              <w:t>hours</w:t>
            </w:r>
          </w:p>
        </w:tc>
        <w:tc>
          <w:tcPr>
            <w:tcW w:w="1191" w:type="dxa"/>
            <w:shd w:val="clear" w:color="000000" w:fill="D2DDE1"/>
            <w:noWrap/>
            <w:hideMark/>
          </w:tcPr>
          <w:p w14:paraId="5B183C0B" w14:textId="717E8122" w:rsidR="008E2ED2" w:rsidRPr="0018386D" w:rsidRDefault="008E2ED2" w:rsidP="00DD3106">
            <w:pPr>
              <w:pStyle w:val="TableText"/>
              <w:spacing w:before="40" w:after="40"/>
            </w:pPr>
            <w:r w:rsidRPr="0018386D">
              <w:t>12</w:t>
            </w:r>
            <w:r w:rsidR="003151B4" w:rsidRPr="0018386D">
              <w:t>9</w:t>
            </w:r>
          </w:p>
        </w:tc>
        <w:tc>
          <w:tcPr>
            <w:tcW w:w="1304" w:type="dxa"/>
            <w:shd w:val="clear" w:color="000000" w:fill="FFFFFF"/>
            <w:noWrap/>
            <w:hideMark/>
          </w:tcPr>
          <w:p w14:paraId="4BC4592C" w14:textId="738A1E66" w:rsidR="008E2ED2" w:rsidRPr="0018386D" w:rsidRDefault="008E2ED2" w:rsidP="00DD3106">
            <w:pPr>
              <w:pStyle w:val="TableText"/>
              <w:spacing w:before="40" w:after="40"/>
            </w:pPr>
            <w:r w:rsidRPr="0018386D">
              <w:t>128</w:t>
            </w:r>
          </w:p>
        </w:tc>
        <w:tc>
          <w:tcPr>
            <w:tcW w:w="1361" w:type="dxa"/>
            <w:shd w:val="clear" w:color="000000" w:fill="FFFFFF"/>
            <w:noWrap/>
            <w:hideMark/>
          </w:tcPr>
          <w:p w14:paraId="469DCB65" w14:textId="14BD322F" w:rsidR="008E2ED2" w:rsidRPr="0018386D" w:rsidRDefault="008E2ED2" w:rsidP="00DD3106">
            <w:pPr>
              <w:pStyle w:val="TableText"/>
              <w:spacing w:before="40" w:after="40"/>
            </w:pPr>
            <w:r w:rsidRPr="0018386D">
              <w:t>0.0258</w:t>
            </w:r>
          </w:p>
        </w:tc>
        <w:tc>
          <w:tcPr>
            <w:tcW w:w="1361" w:type="dxa"/>
            <w:shd w:val="clear" w:color="000000" w:fill="FFFFFF"/>
            <w:noWrap/>
            <w:hideMark/>
          </w:tcPr>
          <w:p w14:paraId="2E90B670" w14:textId="393AE3C1" w:rsidR="008E2ED2" w:rsidRPr="0018386D" w:rsidRDefault="008E2ED2" w:rsidP="00DD3106">
            <w:pPr>
              <w:pStyle w:val="TableText"/>
              <w:spacing w:before="40" w:after="40"/>
            </w:pPr>
            <w:r w:rsidRPr="0018386D">
              <w:t>0.975</w:t>
            </w:r>
          </w:p>
        </w:tc>
      </w:tr>
      <w:tr w:rsidR="00FB1B1C" w:rsidRPr="0018386D" w14:paraId="41FDB5F2" w14:textId="77777777" w:rsidTr="00476053">
        <w:trPr>
          <w:divId w:val="261187999"/>
          <w:trHeight w:val="253"/>
        </w:trPr>
        <w:tc>
          <w:tcPr>
            <w:tcW w:w="2407" w:type="dxa"/>
            <w:shd w:val="clear" w:color="000000" w:fill="FFFFFF"/>
            <w:noWrap/>
            <w:hideMark/>
          </w:tcPr>
          <w:p w14:paraId="07AF1218" w14:textId="77777777" w:rsidR="008E2ED2" w:rsidRPr="0018386D" w:rsidRDefault="008E2ED2" w:rsidP="00DD3106">
            <w:pPr>
              <w:pStyle w:val="TableText"/>
              <w:spacing w:before="40" w:after="40"/>
            </w:pPr>
            <w:r w:rsidRPr="0018386D">
              <w:t>Bell 206B</w:t>
            </w:r>
          </w:p>
        </w:tc>
        <w:tc>
          <w:tcPr>
            <w:tcW w:w="737" w:type="dxa"/>
            <w:shd w:val="clear" w:color="000000" w:fill="FFFFFF"/>
            <w:noWrap/>
            <w:hideMark/>
          </w:tcPr>
          <w:p w14:paraId="6255D778" w14:textId="77777777" w:rsidR="008E2ED2" w:rsidRPr="0018386D" w:rsidRDefault="008E2ED2" w:rsidP="00DD3106">
            <w:pPr>
              <w:pStyle w:val="TableText"/>
              <w:spacing w:before="40" w:after="40"/>
            </w:pPr>
            <w:r w:rsidRPr="0018386D">
              <w:t>hours</w:t>
            </w:r>
          </w:p>
        </w:tc>
        <w:tc>
          <w:tcPr>
            <w:tcW w:w="1191" w:type="dxa"/>
            <w:shd w:val="clear" w:color="000000" w:fill="D2DDE1"/>
            <w:noWrap/>
            <w:hideMark/>
          </w:tcPr>
          <w:p w14:paraId="1237F724" w14:textId="1663C76C" w:rsidR="008E2ED2" w:rsidRPr="0018386D" w:rsidRDefault="008E2ED2" w:rsidP="00DD3106">
            <w:pPr>
              <w:pStyle w:val="TableText"/>
              <w:spacing w:before="40" w:after="40"/>
            </w:pPr>
            <w:r w:rsidRPr="0018386D">
              <w:t>3</w:t>
            </w:r>
            <w:r w:rsidR="003151B4" w:rsidRPr="0018386D">
              <w:t>22</w:t>
            </w:r>
          </w:p>
        </w:tc>
        <w:tc>
          <w:tcPr>
            <w:tcW w:w="1304" w:type="dxa"/>
            <w:shd w:val="clear" w:color="000000" w:fill="FFFFFF"/>
            <w:noWrap/>
            <w:hideMark/>
          </w:tcPr>
          <w:p w14:paraId="0810E876" w14:textId="735DC393" w:rsidR="008E2ED2" w:rsidRPr="0018386D" w:rsidRDefault="008E2ED2" w:rsidP="00DD3106">
            <w:pPr>
              <w:pStyle w:val="TableText"/>
              <w:spacing w:before="40" w:after="40"/>
            </w:pPr>
            <w:r w:rsidRPr="0018386D">
              <w:t>319</w:t>
            </w:r>
          </w:p>
        </w:tc>
        <w:tc>
          <w:tcPr>
            <w:tcW w:w="1361" w:type="dxa"/>
            <w:shd w:val="clear" w:color="000000" w:fill="FFFFFF"/>
            <w:noWrap/>
            <w:hideMark/>
          </w:tcPr>
          <w:p w14:paraId="0BB2BC2E" w14:textId="6F24E160" w:rsidR="008E2ED2" w:rsidRPr="0018386D" w:rsidRDefault="008E2ED2" w:rsidP="00DD3106">
            <w:pPr>
              <w:pStyle w:val="TableText"/>
              <w:spacing w:before="40" w:after="40"/>
            </w:pPr>
            <w:r w:rsidRPr="0018386D">
              <w:t>0.0621</w:t>
            </w:r>
          </w:p>
        </w:tc>
        <w:tc>
          <w:tcPr>
            <w:tcW w:w="1361" w:type="dxa"/>
            <w:shd w:val="clear" w:color="000000" w:fill="FFFFFF"/>
            <w:noWrap/>
            <w:hideMark/>
          </w:tcPr>
          <w:p w14:paraId="62E9E4DC" w14:textId="74E70D31" w:rsidR="008E2ED2" w:rsidRPr="0018386D" w:rsidRDefault="008E2ED2" w:rsidP="00DD3106">
            <w:pPr>
              <w:pStyle w:val="TableText"/>
              <w:spacing w:before="40" w:after="40"/>
            </w:pPr>
            <w:r w:rsidRPr="0018386D">
              <w:t>2.35</w:t>
            </w:r>
          </w:p>
        </w:tc>
      </w:tr>
    </w:tbl>
    <w:p w14:paraId="4D948A07" w14:textId="5EF2119A" w:rsidR="00191856" w:rsidRPr="0018386D" w:rsidRDefault="00191856" w:rsidP="00DD3106">
      <w:pPr>
        <w:pStyle w:val="Heading3"/>
        <w:numPr>
          <w:ilvl w:val="2"/>
          <w:numId w:val="8"/>
        </w:numPr>
        <w:spacing w:before="400"/>
      </w:pPr>
      <w:r w:rsidRPr="0018386D">
        <w:t>GHG inventory development</w:t>
      </w:r>
    </w:p>
    <w:p w14:paraId="56801FD5" w14:textId="77777777" w:rsidR="00191856" w:rsidRPr="0018386D" w:rsidRDefault="00191856" w:rsidP="00DD3106">
      <w:pPr>
        <w:pStyle w:val="BodyText"/>
      </w:pPr>
      <w:r w:rsidRPr="0018386D">
        <w:t>These emission factors can be used where the amount of fuel used is not known. Obtaining fuel data will provide a more accurate estimate of your carbon emissions.</w:t>
      </w:r>
    </w:p>
    <w:p w14:paraId="0C5220CC" w14:textId="079A2414" w:rsidR="00191856" w:rsidRPr="0018386D" w:rsidRDefault="00191856" w:rsidP="00DD3106">
      <w:pPr>
        <w:pStyle w:val="BodyText"/>
      </w:pPr>
      <w:r w:rsidRPr="0018386D">
        <w:t>To calculate emissions from operating helicopters when only the number of operating hours is known. Applying the equation E</w:t>
      </w:r>
      <w:r w:rsidR="00B37794" w:rsidRPr="0018386D">
        <w:t xml:space="preserve"> </w:t>
      </w:r>
      <w:r w:rsidRPr="0018386D">
        <w:t>= Q x F (</w:t>
      </w:r>
      <w:hyperlink w:anchor="_How_to_quantify">
        <w:r w:rsidRPr="0018386D">
          <w:rPr>
            <w:rStyle w:val="Hyperlink"/>
          </w:rPr>
          <w:t>section 2</w:t>
        </w:r>
      </w:hyperlink>
      <w:r w:rsidRPr="0018386D">
        <w:t xml:space="preserve">), this means: </w:t>
      </w:r>
    </w:p>
    <w:p w14:paraId="5827EC53" w14:textId="50FBEC5E" w:rsidR="00DB5967" w:rsidRPr="0018386D" w:rsidRDefault="00DB5967" w:rsidP="00DD3106">
      <w:pPr>
        <w:pStyle w:val="BodyT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45C0F399" w14:textId="01D15EA1" w:rsidR="00191856" w:rsidRPr="0018386D" w:rsidRDefault="00191856" w:rsidP="00DD3106">
      <w:pPr>
        <w:pStyle w:val="BodyText"/>
        <w:tabs>
          <w:tab w:val="left" w:pos="680"/>
          <w:tab w:val="left" w:pos="1134"/>
        </w:tabs>
        <w:spacing w:before="0" w:after="0"/>
        <w:contextualSpacing/>
        <w:jc w:val="both"/>
      </w:pPr>
      <w:r w:rsidRPr="0018386D">
        <w:t>Q</w:t>
      </w:r>
      <w:r w:rsidRPr="0018386D">
        <w:tab/>
        <w:t>=</w:t>
      </w:r>
      <w:r w:rsidRPr="0018386D">
        <w:tab/>
        <w:t>hours of operating time (hours)</w:t>
      </w:r>
    </w:p>
    <w:p w14:paraId="164E04FC" w14:textId="79BEA2AA" w:rsidR="00191856" w:rsidRPr="0018386D" w:rsidRDefault="00191856" w:rsidP="00DD3106">
      <w:pPr>
        <w:pStyle w:val="BodyText"/>
        <w:tabs>
          <w:tab w:val="left" w:pos="680"/>
          <w:tab w:val="left" w:pos="1134"/>
        </w:tabs>
        <w:spacing w:after="240"/>
        <w:contextualSpacing/>
        <w:jc w:val="both"/>
      </w:pPr>
      <w:r w:rsidRPr="0018386D">
        <w:t>F</w:t>
      </w:r>
      <w:r w:rsidRPr="0018386D">
        <w:tab/>
        <w:t>=</w:t>
      </w:r>
      <w:r w:rsidRPr="0018386D">
        <w:tab/>
        <w:t xml:space="preserve">emission factors for correlating helicopter type, from </w:t>
      </w:r>
      <w:hyperlink w:anchor="table43" w:history="1">
        <w:r w:rsidRPr="0018386D">
          <w:rPr>
            <w:rStyle w:val="Hyperlink"/>
          </w:rPr>
          <w:t xml:space="preserve">table </w:t>
        </w:r>
        <w:r w:rsidR="003D47AF" w:rsidRPr="0018386D">
          <w:rPr>
            <w:rStyle w:val="Hyperlink"/>
          </w:rPr>
          <w:t>43</w:t>
        </w:r>
      </w:hyperlink>
      <w:r w:rsidRPr="0018386D">
        <w:t xml:space="preserve"> above</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191856" w:rsidRPr="0018386D" w14:paraId="11AF7D73" w14:textId="77777777" w:rsidTr="00953BE9">
        <w:tc>
          <w:tcPr>
            <w:tcW w:w="8500" w:type="dxa"/>
            <w:tcBorders>
              <w:top w:val="single" w:sz="4" w:space="0" w:color="0F7B7D"/>
              <w:left w:val="single" w:sz="4" w:space="0" w:color="0F7B7D"/>
              <w:bottom w:val="nil"/>
              <w:right w:val="single" w:sz="4" w:space="0" w:color="0F7B7D"/>
            </w:tcBorders>
            <w:shd w:val="clear" w:color="auto" w:fill="0F7B7D"/>
            <w:vAlign w:val="center"/>
            <w:hideMark/>
          </w:tcPr>
          <w:p w14:paraId="4A21E733" w14:textId="1820F0FB" w:rsidR="00191856" w:rsidRPr="0018386D" w:rsidRDefault="00191856" w:rsidP="00DD3106">
            <w:pPr>
              <w:pStyle w:val="Casestudyheading"/>
              <w:rPr>
                <w:lang w:eastAsia="en-US"/>
              </w:rPr>
            </w:pPr>
            <w:r w:rsidRPr="0018386D">
              <w:t>Helicopter</w:t>
            </w:r>
            <w:r w:rsidRPr="0018386D">
              <w:rPr>
                <w:lang w:eastAsia="en-US"/>
              </w:rPr>
              <w:t xml:space="preserve"> use: Example Calculation</w:t>
            </w:r>
          </w:p>
        </w:tc>
      </w:tr>
      <w:tr w:rsidR="00191856" w:rsidRPr="0018386D" w14:paraId="167E3AA4" w14:textId="77777777" w:rsidTr="00953BE9">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146C6A2A" w14:textId="58BA1D94" w:rsidR="00191856" w:rsidRPr="0018386D" w:rsidRDefault="00191856" w:rsidP="00DD3106">
            <w:pPr>
              <w:pStyle w:val="Boxtext"/>
              <w:spacing w:after="80"/>
            </w:pPr>
            <w:r w:rsidRPr="0018386D">
              <w:t xml:space="preserve">An agricultural operation used a </w:t>
            </w:r>
            <w:proofErr w:type="spellStart"/>
            <w:r w:rsidRPr="0018386D">
              <w:t>Eurocopter</w:t>
            </w:r>
            <w:proofErr w:type="spellEnd"/>
            <w:r w:rsidRPr="0018386D">
              <w:t xml:space="preserve"> AS 350B Squirrel to apply topdressing and other spraying activities. They could not obtain data on the amount of fuel </w:t>
            </w:r>
            <w:proofErr w:type="gramStart"/>
            <w:r w:rsidRPr="0018386D">
              <w:t>used, but</w:t>
            </w:r>
            <w:proofErr w:type="gramEnd"/>
            <w:r w:rsidRPr="0018386D">
              <w:t xml:space="preserve"> had recorded </w:t>
            </w:r>
            <w:r w:rsidR="004E3EF0" w:rsidRPr="0018386D">
              <w:t xml:space="preserve">10 </w:t>
            </w:r>
            <w:r w:rsidRPr="0018386D">
              <w:t xml:space="preserve">flying hours over a given year. </w:t>
            </w:r>
          </w:p>
          <w:p w14:paraId="65424648" w14:textId="541FE8E6" w:rsidR="004C3A43" w:rsidRPr="0018386D" w:rsidRDefault="004C3A43" w:rsidP="00DD3106">
            <w:pPr>
              <w:pStyle w:val="Boxtext"/>
              <w:tabs>
                <w:tab w:val="left" w:pos="2854"/>
                <w:tab w:val="left" w:pos="4827"/>
              </w:tabs>
              <w:spacing w:before="20" w:after="20"/>
              <w:ind w:left="850"/>
            </w:pPr>
            <w:r w:rsidRPr="0018386D">
              <w:t>CO</w:t>
            </w:r>
            <w:r w:rsidRPr="0018386D">
              <w:rPr>
                <w:vertAlign w:val="subscript"/>
              </w:rPr>
              <w:t>2</w:t>
            </w:r>
            <w:r w:rsidRPr="0018386D">
              <w:t xml:space="preserve"> emissions</w:t>
            </w:r>
            <w:r w:rsidRPr="0018386D">
              <w:tab/>
              <w:t xml:space="preserve">= 10 </w:t>
            </w:r>
            <w:r w:rsidRPr="0018386D">
              <w:rPr>
                <w:rFonts w:cs="Calibri"/>
              </w:rPr>
              <w:t>×</w:t>
            </w:r>
            <w:r w:rsidRPr="0018386D">
              <w:t xml:space="preserve"> 463</w:t>
            </w:r>
            <w:r w:rsidRPr="0018386D">
              <w:tab/>
              <w:t xml:space="preserve"> = 4,630 kg CO</w:t>
            </w:r>
            <w:r w:rsidRPr="0018386D">
              <w:rPr>
                <w:vertAlign w:val="subscript"/>
              </w:rPr>
              <w:t>2</w:t>
            </w:r>
            <w:r w:rsidRPr="0018386D">
              <w:t xml:space="preserve"> </w:t>
            </w:r>
          </w:p>
          <w:p w14:paraId="3A8F35F6" w14:textId="1DE271F3" w:rsidR="004C3A43" w:rsidRPr="0018386D" w:rsidRDefault="004C3A43" w:rsidP="00DD3106">
            <w:pPr>
              <w:pStyle w:val="Boxtext"/>
              <w:tabs>
                <w:tab w:val="left" w:pos="2854"/>
                <w:tab w:val="left" w:pos="4827"/>
              </w:tabs>
              <w:spacing w:before="20" w:after="20"/>
              <w:ind w:left="850"/>
            </w:pPr>
            <w:r w:rsidRPr="0018386D">
              <w:t>CH</w:t>
            </w:r>
            <w:r w:rsidRPr="0018386D">
              <w:rPr>
                <w:vertAlign w:val="subscript"/>
              </w:rPr>
              <w:t>4</w:t>
            </w:r>
            <w:r w:rsidRPr="0018386D">
              <w:t xml:space="preserve"> emissions</w:t>
            </w:r>
            <w:r w:rsidRPr="0018386D">
              <w:tab/>
              <w:t xml:space="preserve">= 10 </w:t>
            </w:r>
            <w:r w:rsidRPr="0018386D">
              <w:rPr>
                <w:rFonts w:cs="Calibri"/>
              </w:rPr>
              <w:t>×</w:t>
            </w:r>
            <w:r w:rsidRPr="0018386D">
              <w:t xml:space="preserve"> 0.0901</w:t>
            </w:r>
            <w:r w:rsidRPr="0018386D">
              <w:tab/>
              <w:t xml:space="preserve"> = 0.901 kg CO</w:t>
            </w:r>
            <w:r w:rsidRPr="0018386D">
              <w:rPr>
                <w:vertAlign w:val="subscript"/>
              </w:rPr>
              <w:t>2</w:t>
            </w:r>
            <w:r w:rsidRPr="0018386D">
              <w:t xml:space="preserve">-e </w:t>
            </w:r>
          </w:p>
          <w:p w14:paraId="2315F73C" w14:textId="7F3B89FE" w:rsidR="004C3A43" w:rsidRPr="0018386D" w:rsidRDefault="004C3A43" w:rsidP="00DD3106">
            <w:pPr>
              <w:pStyle w:val="Boxtext"/>
              <w:tabs>
                <w:tab w:val="left" w:pos="2854"/>
                <w:tab w:val="left" w:pos="4827"/>
              </w:tabs>
              <w:spacing w:before="20" w:after="20"/>
              <w:ind w:left="850"/>
            </w:pPr>
            <w:r w:rsidRPr="0018386D">
              <w:t>N</w:t>
            </w:r>
            <w:r w:rsidRPr="0018386D">
              <w:rPr>
                <w:vertAlign w:val="subscript"/>
              </w:rPr>
              <w:t>2</w:t>
            </w:r>
            <w:r w:rsidRPr="0018386D">
              <w:t>O emissions</w:t>
            </w:r>
            <w:r w:rsidRPr="0018386D">
              <w:tab/>
              <w:t xml:space="preserve">= 10 </w:t>
            </w:r>
            <w:r w:rsidRPr="0018386D">
              <w:rPr>
                <w:rFonts w:cs="Calibri"/>
              </w:rPr>
              <w:t>×</w:t>
            </w:r>
            <w:r w:rsidRPr="0018386D">
              <w:t xml:space="preserve"> 3.41</w:t>
            </w:r>
            <w:r w:rsidRPr="0018386D">
              <w:tab/>
              <w:t xml:space="preserve"> = 34.1 kg CO</w:t>
            </w:r>
            <w:r w:rsidRPr="0018386D">
              <w:rPr>
                <w:vertAlign w:val="subscript"/>
              </w:rPr>
              <w:t>2</w:t>
            </w:r>
            <w:r w:rsidRPr="0018386D">
              <w:t xml:space="preserve">-e </w:t>
            </w:r>
          </w:p>
          <w:p w14:paraId="1CBA7C9C" w14:textId="23B30BD3" w:rsidR="004C3A43" w:rsidRPr="0018386D" w:rsidRDefault="004C3A43" w:rsidP="00DD3106">
            <w:pPr>
              <w:pStyle w:val="Boxtext"/>
              <w:tabs>
                <w:tab w:val="left" w:pos="2854"/>
                <w:tab w:val="left" w:pos="4827"/>
              </w:tabs>
              <w:spacing w:before="20" w:after="20"/>
              <w:ind w:left="850"/>
            </w:pPr>
            <w:r w:rsidRPr="0018386D">
              <w:t>Total CO</w:t>
            </w:r>
            <w:r w:rsidRPr="0018386D">
              <w:rPr>
                <w:vertAlign w:val="subscript"/>
              </w:rPr>
              <w:t>2</w:t>
            </w:r>
            <w:r w:rsidRPr="0018386D">
              <w:t>-e emissions</w:t>
            </w:r>
            <w:r w:rsidRPr="0018386D">
              <w:tab/>
              <w:t xml:space="preserve">= 10 </w:t>
            </w:r>
            <w:r w:rsidRPr="0018386D">
              <w:rPr>
                <w:rFonts w:cs="Calibri"/>
              </w:rPr>
              <w:t>×</w:t>
            </w:r>
            <w:r w:rsidRPr="0018386D">
              <w:t xml:space="preserve"> 467</w:t>
            </w:r>
            <w:r w:rsidRPr="0018386D">
              <w:tab/>
              <w:t xml:space="preserve"> = 4,670 kg CO</w:t>
            </w:r>
            <w:r w:rsidRPr="0018386D">
              <w:rPr>
                <w:vertAlign w:val="subscript"/>
              </w:rPr>
              <w:t>2</w:t>
            </w:r>
            <w:r w:rsidRPr="0018386D">
              <w:t xml:space="preserve">-e </w:t>
            </w:r>
          </w:p>
          <w:p w14:paraId="2E874567" w14:textId="77777777" w:rsidR="00191856" w:rsidRPr="0018386D" w:rsidRDefault="00191856" w:rsidP="00DD3106">
            <w:pPr>
              <w:pStyle w:val="Boxtext"/>
              <w:spacing w:after="180"/>
              <w:rPr>
                <w:rFonts w:cs="Times New Roman"/>
                <w:szCs w:val="20"/>
              </w:rPr>
            </w:pPr>
            <w:r w:rsidRPr="0018386D">
              <w:rPr>
                <w:rFonts w:cs="Times New Roman"/>
                <w:sz w:val="18"/>
                <w:szCs w:val="18"/>
              </w:rPr>
              <w:t>Note: Numbers may not add due to rounding.</w:t>
            </w:r>
          </w:p>
        </w:tc>
      </w:tr>
    </w:tbl>
    <w:p w14:paraId="7FE986DC" w14:textId="26D96B6E" w:rsidR="00191856" w:rsidRPr="0018386D" w:rsidRDefault="00191856" w:rsidP="00DD3106">
      <w:pPr>
        <w:pStyle w:val="Heading3"/>
        <w:numPr>
          <w:ilvl w:val="2"/>
          <w:numId w:val="8"/>
        </w:numPr>
        <w:spacing w:before="400"/>
      </w:pPr>
      <w:r w:rsidRPr="0018386D">
        <w:lastRenderedPageBreak/>
        <w:t>Emission factor derivation methodology</w:t>
      </w:r>
    </w:p>
    <w:p w14:paraId="3CE7B197" w14:textId="439089D2" w:rsidR="00191856" w:rsidRPr="0018386D" w:rsidRDefault="00191856" w:rsidP="00DD3106">
      <w:pPr>
        <w:pStyle w:val="BodyText"/>
      </w:pPr>
      <w:r w:rsidRPr="0018386D">
        <w:t xml:space="preserve">These emission factors were derived from the Swiss Federal Office of Civil Aviation’s </w:t>
      </w:r>
      <w:r w:rsidR="00C302B4" w:rsidRPr="0018386D">
        <w:t xml:space="preserve">(FOCA) </w:t>
      </w:r>
      <w:hyperlink r:id="rId105" w:history="1">
        <w:r w:rsidR="00D66421" w:rsidRPr="0018386D">
          <w:rPr>
            <w:rStyle w:val="Hyperlink"/>
            <w:i/>
            <w:iCs/>
          </w:rPr>
          <w:t>Guidance on the Determination of Helicopter Emissions</w:t>
        </w:r>
      </w:hyperlink>
      <w:r w:rsidR="00953BE9" w:rsidRPr="0018386D">
        <w:t>.</w:t>
      </w:r>
      <w:r w:rsidRPr="0018386D">
        <w:t xml:space="preserve"> This contains air emissions data (non-GHG) for one hour of flying time, including fuel consumption, for a range of helicopter models.</w:t>
      </w:r>
      <w:r w:rsidR="003F7EC1" w:rsidRPr="0018386D">
        <w:t xml:space="preserve"> The </w:t>
      </w:r>
      <w:r w:rsidR="001078E1" w:rsidRPr="0018386D">
        <w:rPr>
          <w:i/>
          <w:iCs/>
        </w:rPr>
        <w:t>o</w:t>
      </w:r>
      <w:r w:rsidR="00166EF2" w:rsidRPr="0018386D">
        <w:rPr>
          <w:i/>
          <w:iCs/>
        </w:rPr>
        <w:t>ne</w:t>
      </w:r>
      <w:r w:rsidR="00D87230" w:rsidRPr="0018386D">
        <w:rPr>
          <w:i/>
          <w:iCs/>
        </w:rPr>
        <w:t>-</w:t>
      </w:r>
      <w:r w:rsidR="00166EF2" w:rsidRPr="0018386D">
        <w:rPr>
          <w:i/>
          <w:iCs/>
        </w:rPr>
        <w:t>hour emissions</w:t>
      </w:r>
      <w:r w:rsidR="00166EF2" w:rsidRPr="0018386D">
        <w:t xml:space="preserve"> </w:t>
      </w:r>
      <w:r w:rsidR="00D87230" w:rsidRPr="0018386D">
        <w:t>values are used,</w:t>
      </w:r>
      <w:r w:rsidR="003F7EC1" w:rsidRPr="0018386D">
        <w:t xml:space="preserve"> which assume a combination of rotations and cruise per flight-hour.</w:t>
      </w:r>
    </w:p>
    <w:p w14:paraId="3F4D8468" w14:textId="6A1739CD" w:rsidR="008930E5" w:rsidRPr="0018386D" w:rsidRDefault="008930E5" w:rsidP="00DD3106">
      <w:pPr>
        <w:pStyle w:val="BodyText"/>
      </w:pPr>
      <w:r w:rsidRPr="0018386D">
        <w:t xml:space="preserve">The fuel consumption (provided in kgs) was converted to litres using assumed densities of 0.804 kg per litre and 0.690 kg per litre, for Jet A1 and aviation gas respectively. Turbine engine helicopters are assumed to use Jet A1 while piston helicopters are assumed to use aviation gas. We then applied the Jet A1 and aviation gas emission factors from Transport fuels </w:t>
      </w:r>
      <w:r w:rsidR="008458CE" w:rsidRPr="0018386D">
        <w:t xml:space="preserve">section </w:t>
      </w:r>
      <w:r w:rsidRPr="0018386D">
        <w:t xml:space="preserve">above to determine the emission factor for one hour of operation. </w:t>
      </w:r>
    </w:p>
    <w:p w14:paraId="2750E546" w14:textId="77777777" w:rsidR="00191856" w:rsidRPr="0018386D" w:rsidRDefault="00191856" w:rsidP="00DD3106">
      <w:pPr>
        <w:pStyle w:val="BodyText"/>
      </w:pPr>
      <w:r w:rsidRPr="0018386D">
        <w:t>We used the aircraft register on the New Zealand Civil Aviation Authority (CAA) website</w:t>
      </w:r>
      <w:r w:rsidRPr="0018386D">
        <w:rPr>
          <w:rStyle w:val="FootnoteReference"/>
        </w:rPr>
        <w:footnoteReference w:id="36"/>
      </w:r>
      <w:r w:rsidRPr="0018386D">
        <w:t xml:space="preserve"> to identify the </w:t>
      </w:r>
      <w:proofErr w:type="gramStart"/>
      <w:r w:rsidRPr="0018386D">
        <w:t>most commonly registered</w:t>
      </w:r>
      <w:proofErr w:type="gramEnd"/>
      <w:r w:rsidRPr="0018386D">
        <w:t xml:space="preserve"> helicopter models in the country.</w:t>
      </w:r>
    </w:p>
    <w:p w14:paraId="6578693F" w14:textId="2684CC69" w:rsidR="00191856" w:rsidRPr="0018386D" w:rsidRDefault="00191856" w:rsidP="00DD3106">
      <w:pPr>
        <w:pStyle w:val="Heading3"/>
        <w:numPr>
          <w:ilvl w:val="2"/>
          <w:numId w:val="8"/>
        </w:numPr>
      </w:pPr>
      <w:r w:rsidRPr="0018386D">
        <w:t xml:space="preserve">Assumptions, </w:t>
      </w:r>
      <w:proofErr w:type="gramStart"/>
      <w:r w:rsidRPr="0018386D">
        <w:t>limitations</w:t>
      </w:r>
      <w:proofErr w:type="gramEnd"/>
      <w:r w:rsidRPr="0018386D">
        <w:t xml:space="preserve"> and uncertainties</w:t>
      </w:r>
    </w:p>
    <w:p w14:paraId="576A8647" w14:textId="77777777" w:rsidR="00191856" w:rsidRPr="0018386D" w:rsidRDefault="00191856" w:rsidP="00DD3106">
      <w:pPr>
        <w:pStyle w:val="BodyText"/>
        <w:rPr>
          <w:spacing w:val="-2"/>
        </w:rPr>
      </w:pPr>
      <w:r w:rsidRPr="0018386D">
        <w:rPr>
          <w:spacing w:val="-2"/>
        </w:rPr>
        <w:t>Obtaining the amount of fuel used for helicopter activities would provide a more accurate estimate of carbon emissions, than using this emission factor which is based on operating hours.</w:t>
      </w:r>
    </w:p>
    <w:p w14:paraId="2CAE3D51" w14:textId="77777777" w:rsidR="00191856" w:rsidRPr="0018386D" w:rsidRDefault="00191856" w:rsidP="00DD3106">
      <w:pPr>
        <w:pStyle w:val="BodyText"/>
      </w:pPr>
      <w:proofErr w:type="gramStart"/>
      <w:r w:rsidRPr="0018386D">
        <w:t>A number of</w:t>
      </w:r>
      <w:proofErr w:type="gramEnd"/>
      <w:r w:rsidRPr="0018386D">
        <w:t xml:space="preserve"> factors will influence the accuracy of this emission factor for a given operating hour, such as the cruising speed, the take-off and approach, and the way the helicopter is being used.</w:t>
      </w:r>
    </w:p>
    <w:p w14:paraId="33731901" w14:textId="52011637" w:rsidR="00191856" w:rsidRPr="0018386D" w:rsidRDefault="00191856" w:rsidP="00DD3106">
      <w:pPr>
        <w:pStyle w:val="BodyText"/>
      </w:pPr>
      <w:r w:rsidRPr="0018386D">
        <w:t xml:space="preserve">Finally, if </w:t>
      </w:r>
      <w:r w:rsidR="0092123F" w:rsidRPr="0018386D">
        <w:t xml:space="preserve">your </w:t>
      </w:r>
      <w:r w:rsidRPr="0018386D">
        <w:t xml:space="preserve">organisation has a helicopter model that is not provided here, </w:t>
      </w:r>
      <w:r w:rsidR="0092123F" w:rsidRPr="0018386D">
        <w:t xml:space="preserve">you </w:t>
      </w:r>
      <w:r w:rsidRPr="0018386D">
        <w:t>may wish to choose the model that seems to be the best fit. However</w:t>
      </w:r>
      <w:r w:rsidR="0092123F" w:rsidRPr="0018386D">
        <w:t>,</w:t>
      </w:r>
      <w:r w:rsidRPr="0018386D">
        <w:t xml:space="preserve"> this approach will have limitations, due to variations that include engine operating power, and the size and number of engines. </w:t>
      </w:r>
    </w:p>
    <w:p w14:paraId="6A764A6C" w14:textId="2A8B1C29" w:rsidR="00DB0697" w:rsidRPr="0018386D" w:rsidRDefault="00F005B6" w:rsidP="00DD3106">
      <w:pPr>
        <w:pStyle w:val="Heading2"/>
        <w:numPr>
          <w:ilvl w:val="1"/>
          <w:numId w:val="8"/>
        </w:numPr>
        <w:jc w:val="both"/>
      </w:pPr>
      <w:bookmarkStart w:id="566" w:name="_Toc532904912"/>
      <w:bookmarkStart w:id="567" w:name="_Toc600586"/>
      <w:bookmarkStart w:id="568" w:name="_Toc140048917"/>
      <w:r w:rsidRPr="0018386D">
        <w:t>Accommodation</w:t>
      </w:r>
      <w:bookmarkEnd w:id="566"/>
      <w:bookmarkEnd w:id="567"/>
      <w:bookmarkEnd w:id="568"/>
    </w:p>
    <w:p w14:paraId="2C689AF7" w14:textId="4BDFAA56" w:rsidR="0019346B" w:rsidRPr="0018386D" w:rsidRDefault="0019346B" w:rsidP="00DD3106">
      <w:pPr>
        <w:pStyle w:val="BodyText"/>
      </w:pPr>
      <w:r w:rsidRPr="0018386D">
        <w:t>Accommodation is an indirect (Scope 3) emissions source. We obtained the emission factors for accommodation, see table 51, from the Cornell Hotel Sustainability Benchmarking Index (CHSB) Index 2021: Carbon Energy, and Water.</w:t>
      </w:r>
      <w:r w:rsidR="00D16880" w:rsidRPr="0018386D">
        <w:rPr>
          <w:rStyle w:val="FootnoteReference"/>
        </w:rPr>
        <w:footnoteReference w:id="37"/>
      </w:r>
      <w:r w:rsidRPr="0018386D">
        <w:t xml:space="preserve"> The CHSB data remains unchanged from </w:t>
      </w:r>
      <w:r w:rsidR="00A27A17" w:rsidRPr="0018386D">
        <w:t>the previous guidance</w:t>
      </w:r>
      <w:r w:rsidRPr="0018386D">
        <w:t>, and the methodology</w:t>
      </w:r>
      <w:r w:rsidRPr="0018386D" w:rsidDel="00242752">
        <w:t xml:space="preserve"> </w:t>
      </w:r>
      <w:r w:rsidRPr="0018386D">
        <w:t>has not been updated</w:t>
      </w:r>
      <w:r w:rsidR="001078E1" w:rsidRPr="0018386D">
        <w:t>.</w:t>
      </w:r>
      <w:r w:rsidRPr="0018386D">
        <w:t xml:space="preserve"> </w:t>
      </w:r>
      <w:r w:rsidR="001078E1" w:rsidRPr="0018386D">
        <w:t>H</w:t>
      </w:r>
      <w:r w:rsidRPr="0018386D">
        <w:t>owever</w:t>
      </w:r>
      <w:r w:rsidR="001078E1" w:rsidRPr="0018386D">
        <w:t>,</w:t>
      </w:r>
      <w:r w:rsidRPr="0018386D">
        <w:t xml:space="preserve"> we have applied the median emissions factor consistently </w:t>
      </w:r>
      <w:r w:rsidR="00262200" w:rsidRPr="0018386D">
        <w:t xml:space="preserve">in </w:t>
      </w:r>
      <w:r w:rsidRPr="0018386D">
        <w:t xml:space="preserve">this </w:t>
      </w:r>
      <w:r w:rsidR="00262200" w:rsidRPr="0018386D">
        <w:t>guidance</w:t>
      </w:r>
      <w:r w:rsidRPr="0018386D">
        <w:t>. In previous years the mean value has been used, so there is a change in some factors. This use of the median aligns with the UK BEIS factors from the same course data. The factors are in CO</w:t>
      </w:r>
      <w:r w:rsidRPr="0018386D">
        <w:rPr>
          <w:vertAlign w:val="subscript"/>
        </w:rPr>
        <w:t>2</w:t>
      </w:r>
      <w:r w:rsidRPr="0018386D">
        <w:t>-e and are not available by gas type.</w:t>
      </w:r>
    </w:p>
    <w:p w14:paraId="528C4DB6" w14:textId="59D1B0BE" w:rsidR="008E2ED2" w:rsidRPr="0018386D" w:rsidRDefault="00EB4389" w:rsidP="00DD3106">
      <w:pPr>
        <w:pStyle w:val="Tableheading"/>
      </w:pPr>
      <w:bookmarkStart w:id="569" w:name="table44"/>
      <w:bookmarkStart w:id="570" w:name="_Toc111536656"/>
      <w:bookmarkStart w:id="571" w:name="_Toc140048984"/>
      <w:r w:rsidRPr="0018386D">
        <w:lastRenderedPageBreak/>
        <w:t xml:space="preserve">Table </w:t>
      </w:r>
      <w:r w:rsidRPr="0018386D">
        <w:fldChar w:fldCharType="begin"/>
      </w:r>
      <w:r w:rsidRPr="0018386D">
        <w:instrText>SEQ Table \* ARABIC</w:instrText>
      </w:r>
      <w:r w:rsidRPr="0018386D">
        <w:fldChar w:fldCharType="separate"/>
      </w:r>
      <w:r w:rsidR="00466D0A" w:rsidRPr="0018386D">
        <w:t>44</w:t>
      </w:r>
      <w:r w:rsidRPr="0018386D">
        <w:fldChar w:fldCharType="end"/>
      </w:r>
      <w:bookmarkEnd w:id="569"/>
      <w:r w:rsidRPr="0018386D">
        <w:t>:</w:t>
      </w:r>
      <w:r w:rsidRPr="0018386D">
        <w:tab/>
      </w:r>
      <w:r w:rsidR="00DE5085" w:rsidRPr="0018386D">
        <w:t>Accommodation</w:t>
      </w:r>
      <w:r w:rsidR="00380A49" w:rsidRPr="0018386D">
        <w:t xml:space="preserve"> emission factors</w:t>
      </w:r>
      <w:bookmarkEnd w:id="570"/>
      <w:r w:rsidR="001078E1" w:rsidRPr="0018386D">
        <w:t xml:space="preserve"> by </w:t>
      </w:r>
      <w:r w:rsidR="001B4CF1" w:rsidRPr="0018386D">
        <w:t>unit (</w:t>
      </w:r>
      <w:r w:rsidR="001078E1" w:rsidRPr="0018386D">
        <w:t>room per night)</w:t>
      </w:r>
      <w:bookmarkStart w:id="572" w:name="_1746366835"/>
      <w:bookmarkStart w:id="573" w:name="_1745997848"/>
      <w:bookmarkStart w:id="574" w:name="_1746254076"/>
      <w:bookmarkStart w:id="575" w:name="_1747051272"/>
      <w:bookmarkEnd w:id="571"/>
      <w:bookmarkEnd w:id="572"/>
      <w:bookmarkEnd w:id="573"/>
      <w:bookmarkEnd w:id="574"/>
      <w:bookmarkEnd w:id="575"/>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right w:w="85" w:type="dxa"/>
        </w:tblCellMar>
        <w:tblLook w:val="04A0" w:firstRow="1" w:lastRow="0" w:firstColumn="1" w:lastColumn="0" w:noHBand="0" w:noVBand="1"/>
      </w:tblPr>
      <w:tblGrid>
        <w:gridCol w:w="6918"/>
        <w:gridCol w:w="1587"/>
      </w:tblGrid>
      <w:tr w:rsidR="005D1955" w:rsidRPr="0018386D" w14:paraId="714F79F4" w14:textId="77777777" w:rsidTr="00F9421E">
        <w:trPr>
          <w:divId w:val="684402307"/>
          <w:tblHeader/>
        </w:trPr>
        <w:tc>
          <w:tcPr>
            <w:tcW w:w="8222" w:type="dxa"/>
            <w:shd w:val="clear" w:color="000000" w:fill="1B556B" w:themeFill="text2"/>
            <w:noWrap/>
            <w:hideMark/>
          </w:tcPr>
          <w:p w14:paraId="0DE572EA" w14:textId="52EFBF57" w:rsidR="005D1955" w:rsidRPr="0018386D" w:rsidRDefault="005D1955" w:rsidP="00DD3106">
            <w:pPr>
              <w:pStyle w:val="TableTextbold"/>
              <w:spacing w:before="40" w:after="40"/>
              <w:rPr>
                <w:rFonts w:cs="Calibri"/>
                <w:color w:val="FFFFFF" w:themeColor="background1"/>
                <w:szCs w:val="18"/>
              </w:rPr>
            </w:pPr>
            <w:r w:rsidRPr="0018386D">
              <w:rPr>
                <w:rFonts w:cs="Calibri"/>
                <w:color w:val="FFFFFF" w:themeColor="background1"/>
                <w:szCs w:val="18"/>
              </w:rPr>
              <w:t>Country</w:t>
            </w:r>
          </w:p>
        </w:tc>
        <w:tc>
          <w:tcPr>
            <w:tcW w:w="1857" w:type="dxa"/>
            <w:shd w:val="clear" w:color="000000" w:fill="1B556B" w:themeFill="text2"/>
            <w:noWrap/>
            <w:hideMark/>
          </w:tcPr>
          <w:p w14:paraId="6FF0508F" w14:textId="28CE06C3" w:rsidR="005D1955" w:rsidRPr="0018386D" w:rsidRDefault="002845C6" w:rsidP="00DD3106">
            <w:pPr>
              <w:pStyle w:val="TableTextbold"/>
              <w:spacing w:before="40" w:after="40"/>
              <w:rPr>
                <w:rFonts w:cs="Calibri"/>
                <w:color w:val="FFFFFF" w:themeColor="background1"/>
                <w:szCs w:val="18"/>
              </w:rPr>
            </w:pPr>
            <w:r w:rsidRPr="0018386D">
              <w:rPr>
                <w:rFonts w:cs="Calibri"/>
                <w:color w:val="FFFFFF" w:themeColor="background1"/>
                <w:szCs w:val="18"/>
              </w:rPr>
              <w:t>k</w:t>
            </w:r>
            <w:r w:rsidR="005D1955" w:rsidRPr="0018386D">
              <w:rPr>
                <w:rFonts w:cs="Calibri"/>
                <w:color w:val="FFFFFF" w:themeColor="background1"/>
                <w:szCs w:val="18"/>
              </w:rPr>
              <w:t>g</w:t>
            </w:r>
            <w:r w:rsidR="00B4327D" w:rsidRPr="0018386D">
              <w:rPr>
                <w:rFonts w:cs="Calibri"/>
                <w:color w:val="FFFFFF" w:themeColor="background1"/>
                <w:szCs w:val="18"/>
              </w:rPr>
              <w:t xml:space="preserve"> </w:t>
            </w:r>
            <w:r w:rsidR="005D1955" w:rsidRPr="0018386D">
              <w:rPr>
                <w:rFonts w:cs="Calibri"/>
                <w:color w:val="FFFFFF" w:themeColor="background1"/>
                <w:szCs w:val="18"/>
              </w:rPr>
              <w:t>CO₂-e/unit</w:t>
            </w:r>
          </w:p>
        </w:tc>
      </w:tr>
      <w:tr w:rsidR="005D1955" w:rsidRPr="0018386D" w14:paraId="1CBF9AF8" w14:textId="77777777" w:rsidTr="00F9421E">
        <w:trPr>
          <w:divId w:val="684402307"/>
        </w:trPr>
        <w:tc>
          <w:tcPr>
            <w:tcW w:w="8222" w:type="dxa"/>
            <w:shd w:val="clear" w:color="000000" w:fill="FFFFFF"/>
            <w:noWrap/>
            <w:hideMark/>
          </w:tcPr>
          <w:p w14:paraId="11067729" w14:textId="77777777" w:rsidR="005D1955" w:rsidRPr="0018386D" w:rsidRDefault="005D1955" w:rsidP="00DD3106">
            <w:pPr>
              <w:pStyle w:val="TableText"/>
              <w:keepNext/>
              <w:spacing w:before="40" w:after="40"/>
              <w:rPr>
                <w:rFonts w:cs="Calibri"/>
                <w:szCs w:val="18"/>
              </w:rPr>
            </w:pPr>
            <w:r w:rsidRPr="0018386D">
              <w:rPr>
                <w:rFonts w:cs="Calibri"/>
                <w:szCs w:val="18"/>
              </w:rPr>
              <w:t>Argentina</w:t>
            </w:r>
          </w:p>
        </w:tc>
        <w:tc>
          <w:tcPr>
            <w:tcW w:w="1857" w:type="dxa"/>
            <w:shd w:val="clear" w:color="000000" w:fill="D2DDE1"/>
            <w:noWrap/>
            <w:hideMark/>
          </w:tcPr>
          <w:p w14:paraId="2B05E8C5" w14:textId="77777777" w:rsidR="005D1955" w:rsidRPr="0018386D" w:rsidRDefault="005D1955" w:rsidP="00DD3106">
            <w:pPr>
              <w:pStyle w:val="TableText"/>
              <w:keepNext/>
              <w:spacing w:before="40" w:after="40"/>
              <w:rPr>
                <w:rFonts w:cs="Calibri"/>
                <w:szCs w:val="18"/>
              </w:rPr>
            </w:pPr>
            <w:r w:rsidRPr="0018386D">
              <w:rPr>
                <w:rFonts w:cs="Calibri"/>
                <w:szCs w:val="18"/>
              </w:rPr>
              <w:t>50.0</w:t>
            </w:r>
          </w:p>
        </w:tc>
      </w:tr>
      <w:tr w:rsidR="005D1955" w:rsidRPr="0018386D" w14:paraId="49DE0B39" w14:textId="77777777" w:rsidTr="00F9421E">
        <w:trPr>
          <w:divId w:val="684402307"/>
        </w:trPr>
        <w:tc>
          <w:tcPr>
            <w:tcW w:w="8222" w:type="dxa"/>
            <w:shd w:val="clear" w:color="000000" w:fill="FFFFFF"/>
            <w:noWrap/>
            <w:hideMark/>
          </w:tcPr>
          <w:p w14:paraId="7DA8E7EB" w14:textId="77777777" w:rsidR="005D1955" w:rsidRPr="0018386D" w:rsidRDefault="005D1955" w:rsidP="00DD3106">
            <w:pPr>
              <w:pStyle w:val="TableText"/>
              <w:keepNext/>
              <w:spacing w:before="40" w:after="40"/>
              <w:rPr>
                <w:rFonts w:cs="Calibri"/>
                <w:szCs w:val="18"/>
              </w:rPr>
            </w:pPr>
            <w:r w:rsidRPr="0018386D">
              <w:rPr>
                <w:rFonts w:cs="Calibri"/>
                <w:szCs w:val="18"/>
              </w:rPr>
              <w:t>Australia</w:t>
            </w:r>
          </w:p>
        </w:tc>
        <w:tc>
          <w:tcPr>
            <w:tcW w:w="1857" w:type="dxa"/>
            <w:shd w:val="clear" w:color="000000" w:fill="D2DDE1"/>
            <w:noWrap/>
            <w:hideMark/>
          </w:tcPr>
          <w:p w14:paraId="57F0BF0C" w14:textId="77777777" w:rsidR="005D1955" w:rsidRPr="0018386D" w:rsidRDefault="005D1955" w:rsidP="00DD3106">
            <w:pPr>
              <w:pStyle w:val="TableText"/>
              <w:keepNext/>
              <w:spacing w:before="40" w:after="40"/>
              <w:rPr>
                <w:rFonts w:cs="Calibri"/>
                <w:szCs w:val="18"/>
              </w:rPr>
            </w:pPr>
            <w:r w:rsidRPr="0018386D">
              <w:rPr>
                <w:rFonts w:cs="Calibri"/>
                <w:szCs w:val="18"/>
              </w:rPr>
              <w:t>38.9</w:t>
            </w:r>
          </w:p>
        </w:tc>
      </w:tr>
      <w:tr w:rsidR="005D1955" w:rsidRPr="0018386D" w14:paraId="7F240D4B" w14:textId="77777777" w:rsidTr="00F9421E">
        <w:trPr>
          <w:divId w:val="684402307"/>
        </w:trPr>
        <w:tc>
          <w:tcPr>
            <w:tcW w:w="8222" w:type="dxa"/>
            <w:shd w:val="clear" w:color="000000" w:fill="FFFFFF"/>
            <w:noWrap/>
            <w:hideMark/>
          </w:tcPr>
          <w:p w14:paraId="666157B5" w14:textId="77777777" w:rsidR="005D1955" w:rsidRPr="0018386D" w:rsidRDefault="005D1955" w:rsidP="00DD3106">
            <w:pPr>
              <w:pStyle w:val="TableText"/>
              <w:keepNext/>
              <w:spacing w:before="40" w:after="40"/>
              <w:rPr>
                <w:rFonts w:cs="Calibri"/>
                <w:szCs w:val="18"/>
              </w:rPr>
            </w:pPr>
            <w:r w:rsidRPr="0018386D">
              <w:rPr>
                <w:rFonts w:cs="Calibri"/>
                <w:szCs w:val="18"/>
              </w:rPr>
              <w:t>Austria</w:t>
            </w:r>
          </w:p>
        </w:tc>
        <w:tc>
          <w:tcPr>
            <w:tcW w:w="1857" w:type="dxa"/>
            <w:shd w:val="clear" w:color="000000" w:fill="D2DDE1"/>
            <w:noWrap/>
            <w:hideMark/>
          </w:tcPr>
          <w:p w14:paraId="10C8B713" w14:textId="77777777" w:rsidR="005D1955" w:rsidRPr="0018386D" w:rsidRDefault="005D1955" w:rsidP="00DD3106">
            <w:pPr>
              <w:pStyle w:val="TableText"/>
              <w:keepNext/>
              <w:spacing w:before="40" w:after="40"/>
              <w:rPr>
                <w:rFonts w:cs="Calibri"/>
                <w:szCs w:val="18"/>
              </w:rPr>
            </w:pPr>
            <w:r w:rsidRPr="0018386D">
              <w:rPr>
                <w:rFonts w:cs="Calibri"/>
                <w:szCs w:val="18"/>
              </w:rPr>
              <w:t>11.9</w:t>
            </w:r>
          </w:p>
        </w:tc>
      </w:tr>
      <w:tr w:rsidR="005D1955" w:rsidRPr="0018386D" w14:paraId="1A3F3BEF" w14:textId="77777777" w:rsidTr="00F9421E">
        <w:trPr>
          <w:divId w:val="684402307"/>
        </w:trPr>
        <w:tc>
          <w:tcPr>
            <w:tcW w:w="8222" w:type="dxa"/>
            <w:shd w:val="clear" w:color="000000" w:fill="FFFFFF"/>
            <w:noWrap/>
            <w:hideMark/>
          </w:tcPr>
          <w:p w14:paraId="251EFBB2" w14:textId="77777777" w:rsidR="005D1955" w:rsidRPr="0018386D" w:rsidRDefault="005D1955" w:rsidP="00DD3106">
            <w:pPr>
              <w:pStyle w:val="TableText"/>
              <w:keepNext/>
              <w:spacing w:before="40" w:after="40"/>
              <w:rPr>
                <w:rFonts w:cs="Calibri"/>
                <w:szCs w:val="18"/>
              </w:rPr>
            </w:pPr>
            <w:r w:rsidRPr="0018386D">
              <w:rPr>
                <w:rFonts w:cs="Calibri"/>
                <w:szCs w:val="18"/>
              </w:rPr>
              <w:t>Belgium</w:t>
            </w:r>
          </w:p>
        </w:tc>
        <w:tc>
          <w:tcPr>
            <w:tcW w:w="1857" w:type="dxa"/>
            <w:shd w:val="clear" w:color="000000" w:fill="D2DDE1"/>
            <w:noWrap/>
            <w:hideMark/>
          </w:tcPr>
          <w:p w14:paraId="1D27C863" w14:textId="77777777" w:rsidR="005D1955" w:rsidRPr="0018386D" w:rsidRDefault="005D1955" w:rsidP="00DD3106">
            <w:pPr>
              <w:pStyle w:val="TableText"/>
              <w:keepNext/>
              <w:spacing w:before="40" w:after="40"/>
              <w:rPr>
                <w:rFonts w:cs="Calibri"/>
                <w:szCs w:val="18"/>
              </w:rPr>
            </w:pPr>
            <w:r w:rsidRPr="0018386D">
              <w:rPr>
                <w:rFonts w:cs="Calibri"/>
                <w:szCs w:val="18"/>
              </w:rPr>
              <w:t>11.6</w:t>
            </w:r>
          </w:p>
        </w:tc>
      </w:tr>
      <w:tr w:rsidR="005D1955" w:rsidRPr="0018386D" w14:paraId="1965EA9D" w14:textId="77777777" w:rsidTr="00F9421E">
        <w:trPr>
          <w:divId w:val="684402307"/>
        </w:trPr>
        <w:tc>
          <w:tcPr>
            <w:tcW w:w="8222" w:type="dxa"/>
            <w:shd w:val="clear" w:color="000000" w:fill="FFFFFF"/>
            <w:noWrap/>
            <w:hideMark/>
          </w:tcPr>
          <w:p w14:paraId="06EAFB9F" w14:textId="77777777" w:rsidR="005D1955" w:rsidRPr="0018386D" w:rsidRDefault="005D1955" w:rsidP="00DD3106">
            <w:pPr>
              <w:pStyle w:val="TableText"/>
              <w:spacing w:before="40" w:after="40"/>
              <w:rPr>
                <w:rFonts w:cs="Calibri"/>
                <w:szCs w:val="18"/>
              </w:rPr>
            </w:pPr>
            <w:r w:rsidRPr="0018386D">
              <w:rPr>
                <w:rFonts w:cs="Calibri"/>
                <w:szCs w:val="18"/>
              </w:rPr>
              <w:t>Brazil</w:t>
            </w:r>
          </w:p>
        </w:tc>
        <w:tc>
          <w:tcPr>
            <w:tcW w:w="1857" w:type="dxa"/>
            <w:shd w:val="clear" w:color="000000" w:fill="D2DDE1"/>
            <w:noWrap/>
            <w:hideMark/>
          </w:tcPr>
          <w:p w14:paraId="11E85733" w14:textId="77777777" w:rsidR="005D1955" w:rsidRPr="0018386D" w:rsidRDefault="005D1955" w:rsidP="00DD3106">
            <w:pPr>
              <w:pStyle w:val="TableText"/>
              <w:spacing w:before="40" w:after="40"/>
              <w:rPr>
                <w:rFonts w:cs="Calibri"/>
                <w:szCs w:val="18"/>
              </w:rPr>
            </w:pPr>
            <w:r w:rsidRPr="0018386D">
              <w:rPr>
                <w:rFonts w:cs="Calibri"/>
                <w:szCs w:val="18"/>
              </w:rPr>
              <w:t>14.9</w:t>
            </w:r>
          </w:p>
        </w:tc>
      </w:tr>
      <w:tr w:rsidR="005D1955" w:rsidRPr="0018386D" w14:paraId="7399C00E" w14:textId="77777777" w:rsidTr="00F9421E">
        <w:trPr>
          <w:divId w:val="684402307"/>
        </w:trPr>
        <w:tc>
          <w:tcPr>
            <w:tcW w:w="8222" w:type="dxa"/>
            <w:shd w:val="clear" w:color="000000" w:fill="FFFFFF"/>
            <w:noWrap/>
            <w:hideMark/>
          </w:tcPr>
          <w:p w14:paraId="75E64D84" w14:textId="77777777" w:rsidR="005D1955" w:rsidRPr="0018386D" w:rsidRDefault="005D1955" w:rsidP="00DD3106">
            <w:pPr>
              <w:pStyle w:val="TableText"/>
              <w:spacing w:before="40" w:after="40"/>
              <w:rPr>
                <w:rFonts w:cs="Calibri"/>
                <w:szCs w:val="18"/>
              </w:rPr>
            </w:pPr>
            <w:r w:rsidRPr="0018386D">
              <w:rPr>
                <w:rFonts w:cs="Calibri"/>
                <w:szCs w:val="18"/>
              </w:rPr>
              <w:t>Canada</w:t>
            </w:r>
          </w:p>
        </w:tc>
        <w:tc>
          <w:tcPr>
            <w:tcW w:w="1857" w:type="dxa"/>
            <w:shd w:val="clear" w:color="000000" w:fill="D2DDE1"/>
            <w:noWrap/>
            <w:hideMark/>
          </w:tcPr>
          <w:p w14:paraId="5F73ABFC" w14:textId="77777777" w:rsidR="005D1955" w:rsidRPr="0018386D" w:rsidRDefault="005D1955" w:rsidP="00DD3106">
            <w:pPr>
              <w:pStyle w:val="TableText"/>
              <w:spacing w:before="40" w:after="40"/>
              <w:rPr>
                <w:rFonts w:cs="Calibri"/>
                <w:szCs w:val="18"/>
              </w:rPr>
            </w:pPr>
            <w:r w:rsidRPr="0018386D">
              <w:rPr>
                <w:rFonts w:cs="Calibri"/>
                <w:szCs w:val="18"/>
              </w:rPr>
              <w:t>17.1</w:t>
            </w:r>
          </w:p>
        </w:tc>
      </w:tr>
      <w:tr w:rsidR="005D1955" w:rsidRPr="0018386D" w14:paraId="1495735E" w14:textId="77777777" w:rsidTr="00F9421E">
        <w:trPr>
          <w:divId w:val="684402307"/>
        </w:trPr>
        <w:tc>
          <w:tcPr>
            <w:tcW w:w="8222" w:type="dxa"/>
            <w:shd w:val="clear" w:color="000000" w:fill="FFFFFF"/>
            <w:noWrap/>
            <w:hideMark/>
          </w:tcPr>
          <w:p w14:paraId="6C69CD4C" w14:textId="77777777" w:rsidR="005D1955" w:rsidRPr="0018386D" w:rsidRDefault="005D1955" w:rsidP="00DD3106">
            <w:pPr>
              <w:pStyle w:val="TableText"/>
              <w:spacing w:before="40" w:after="40"/>
              <w:rPr>
                <w:rFonts w:cs="Calibri"/>
                <w:szCs w:val="18"/>
              </w:rPr>
            </w:pPr>
            <w:r w:rsidRPr="0018386D">
              <w:rPr>
                <w:rFonts w:cs="Calibri"/>
                <w:szCs w:val="18"/>
              </w:rPr>
              <w:t>Caribbean Region</w:t>
            </w:r>
          </w:p>
        </w:tc>
        <w:tc>
          <w:tcPr>
            <w:tcW w:w="1857" w:type="dxa"/>
            <w:shd w:val="clear" w:color="000000" w:fill="D2DDE1"/>
            <w:noWrap/>
            <w:hideMark/>
          </w:tcPr>
          <w:p w14:paraId="3E927B6A" w14:textId="77777777" w:rsidR="005D1955" w:rsidRPr="0018386D" w:rsidRDefault="005D1955" w:rsidP="00DD3106">
            <w:pPr>
              <w:pStyle w:val="TableText"/>
              <w:spacing w:before="40" w:after="40"/>
              <w:rPr>
                <w:rFonts w:cs="Calibri"/>
                <w:szCs w:val="18"/>
              </w:rPr>
            </w:pPr>
            <w:r w:rsidRPr="0018386D">
              <w:rPr>
                <w:rFonts w:cs="Calibri"/>
                <w:szCs w:val="18"/>
              </w:rPr>
              <w:t>61.1</w:t>
            </w:r>
          </w:p>
        </w:tc>
      </w:tr>
      <w:tr w:rsidR="005D1955" w:rsidRPr="0018386D" w14:paraId="415BC5D7" w14:textId="77777777" w:rsidTr="00F9421E">
        <w:trPr>
          <w:divId w:val="684402307"/>
        </w:trPr>
        <w:tc>
          <w:tcPr>
            <w:tcW w:w="8222" w:type="dxa"/>
            <w:shd w:val="clear" w:color="000000" w:fill="FFFFFF"/>
            <w:noWrap/>
            <w:hideMark/>
          </w:tcPr>
          <w:p w14:paraId="4477992B" w14:textId="77777777" w:rsidR="005D1955" w:rsidRPr="0018386D" w:rsidRDefault="005D1955" w:rsidP="00DD3106">
            <w:pPr>
              <w:pStyle w:val="TableText"/>
              <w:spacing w:before="40" w:after="40"/>
              <w:rPr>
                <w:rFonts w:cs="Calibri"/>
                <w:szCs w:val="18"/>
              </w:rPr>
            </w:pPr>
            <w:r w:rsidRPr="0018386D">
              <w:rPr>
                <w:rFonts w:cs="Calibri"/>
                <w:szCs w:val="18"/>
              </w:rPr>
              <w:t>Chile</w:t>
            </w:r>
          </w:p>
        </w:tc>
        <w:tc>
          <w:tcPr>
            <w:tcW w:w="1857" w:type="dxa"/>
            <w:shd w:val="clear" w:color="000000" w:fill="D2DDE1"/>
            <w:noWrap/>
            <w:hideMark/>
          </w:tcPr>
          <w:p w14:paraId="0036620A" w14:textId="77777777" w:rsidR="005D1955" w:rsidRPr="0018386D" w:rsidRDefault="005D1955" w:rsidP="00DD3106">
            <w:pPr>
              <w:pStyle w:val="TableText"/>
              <w:spacing w:before="40" w:after="40"/>
              <w:rPr>
                <w:rFonts w:cs="Calibri"/>
                <w:szCs w:val="18"/>
              </w:rPr>
            </w:pPr>
            <w:r w:rsidRPr="0018386D">
              <w:rPr>
                <w:rFonts w:cs="Calibri"/>
                <w:szCs w:val="18"/>
              </w:rPr>
              <w:t>30.8</w:t>
            </w:r>
          </w:p>
        </w:tc>
      </w:tr>
      <w:tr w:rsidR="005D1955" w:rsidRPr="0018386D" w14:paraId="6F2AD6C5" w14:textId="77777777" w:rsidTr="00F9421E">
        <w:trPr>
          <w:divId w:val="684402307"/>
        </w:trPr>
        <w:tc>
          <w:tcPr>
            <w:tcW w:w="8222" w:type="dxa"/>
            <w:shd w:val="clear" w:color="000000" w:fill="FFFFFF"/>
            <w:noWrap/>
            <w:hideMark/>
          </w:tcPr>
          <w:p w14:paraId="78C1A963" w14:textId="77777777" w:rsidR="005D1955" w:rsidRPr="0018386D" w:rsidRDefault="005D1955" w:rsidP="00DD3106">
            <w:pPr>
              <w:pStyle w:val="TableText"/>
              <w:spacing w:before="40" w:after="40"/>
              <w:rPr>
                <w:rFonts w:cs="Calibri"/>
                <w:szCs w:val="18"/>
              </w:rPr>
            </w:pPr>
            <w:r w:rsidRPr="0018386D">
              <w:rPr>
                <w:rFonts w:cs="Calibri"/>
                <w:szCs w:val="18"/>
              </w:rPr>
              <w:t>China</w:t>
            </w:r>
          </w:p>
        </w:tc>
        <w:tc>
          <w:tcPr>
            <w:tcW w:w="1857" w:type="dxa"/>
            <w:shd w:val="clear" w:color="000000" w:fill="D2DDE1"/>
            <w:noWrap/>
            <w:hideMark/>
          </w:tcPr>
          <w:p w14:paraId="7587A0A5" w14:textId="77777777" w:rsidR="005D1955" w:rsidRPr="0018386D" w:rsidRDefault="005D1955" w:rsidP="00DD3106">
            <w:pPr>
              <w:pStyle w:val="TableText"/>
              <w:spacing w:before="40" w:after="40"/>
              <w:rPr>
                <w:rFonts w:cs="Calibri"/>
                <w:szCs w:val="18"/>
              </w:rPr>
            </w:pPr>
            <w:r w:rsidRPr="0018386D">
              <w:rPr>
                <w:rFonts w:cs="Calibri"/>
                <w:szCs w:val="18"/>
              </w:rPr>
              <w:t>60.7</w:t>
            </w:r>
          </w:p>
        </w:tc>
      </w:tr>
      <w:tr w:rsidR="005D1955" w:rsidRPr="0018386D" w14:paraId="39CE7899" w14:textId="77777777" w:rsidTr="00F9421E">
        <w:trPr>
          <w:divId w:val="684402307"/>
        </w:trPr>
        <w:tc>
          <w:tcPr>
            <w:tcW w:w="8222" w:type="dxa"/>
            <w:shd w:val="clear" w:color="000000" w:fill="FFFFFF"/>
            <w:noWrap/>
            <w:hideMark/>
          </w:tcPr>
          <w:p w14:paraId="597E3515" w14:textId="77777777" w:rsidR="005D1955" w:rsidRPr="0018386D" w:rsidRDefault="005D1955" w:rsidP="00DD3106">
            <w:pPr>
              <w:pStyle w:val="TableText"/>
              <w:spacing w:before="40" w:after="40"/>
              <w:rPr>
                <w:rFonts w:cs="Calibri"/>
                <w:szCs w:val="18"/>
              </w:rPr>
            </w:pPr>
            <w:r w:rsidRPr="0018386D">
              <w:rPr>
                <w:rFonts w:cs="Calibri"/>
                <w:szCs w:val="18"/>
              </w:rPr>
              <w:t>Colombia</w:t>
            </w:r>
          </w:p>
        </w:tc>
        <w:tc>
          <w:tcPr>
            <w:tcW w:w="1857" w:type="dxa"/>
            <w:shd w:val="clear" w:color="000000" w:fill="D2DDE1"/>
            <w:noWrap/>
            <w:hideMark/>
          </w:tcPr>
          <w:p w14:paraId="4D1500DA" w14:textId="77777777" w:rsidR="005D1955" w:rsidRPr="0018386D" w:rsidRDefault="005D1955" w:rsidP="00DD3106">
            <w:pPr>
              <w:pStyle w:val="TableText"/>
              <w:spacing w:before="40" w:after="40"/>
              <w:rPr>
                <w:rFonts w:cs="Calibri"/>
                <w:szCs w:val="18"/>
              </w:rPr>
            </w:pPr>
            <w:r w:rsidRPr="0018386D">
              <w:rPr>
                <w:rFonts w:cs="Calibri"/>
                <w:szCs w:val="18"/>
              </w:rPr>
              <w:t>11.0</w:t>
            </w:r>
          </w:p>
        </w:tc>
      </w:tr>
      <w:tr w:rsidR="005D1955" w:rsidRPr="0018386D" w14:paraId="1AC9E2CB" w14:textId="77777777" w:rsidTr="00F9421E">
        <w:trPr>
          <w:divId w:val="684402307"/>
        </w:trPr>
        <w:tc>
          <w:tcPr>
            <w:tcW w:w="8222" w:type="dxa"/>
            <w:shd w:val="clear" w:color="000000" w:fill="FFFFFF"/>
            <w:noWrap/>
            <w:hideMark/>
          </w:tcPr>
          <w:p w14:paraId="40F55169" w14:textId="77777777" w:rsidR="005D1955" w:rsidRPr="0018386D" w:rsidRDefault="005D1955" w:rsidP="00DD3106">
            <w:pPr>
              <w:pStyle w:val="TableText"/>
              <w:spacing w:before="40" w:after="40"/>
              <w:rPr>
                <w:rFonts w:cs="Calibri"/>
                <w:szCs w:val="18"/>
              </w:rPr>
            </w:pPr>
            <w:r w:rsidRPr="0018386D">
              <w:rPr>
                <w:rFonts w:cs="Calibri"/>
                <w:szCs w:val="18"/>
              </w:rPr>
              <w:t>Costa Rica</w:t>
            </w:r>
          </w:p>
        </w:tc>
        <w:tc>
          <w:tcPr>
            <w:tcW w:w="1857" w:type="dxa"/>
            <w:shd w:val="clear" w:color="000000" w:fill="D2DDE1"/>
            <w:noWrap/>
            <w:hideMark/>
          </w:tcPr>
          <w:p w14:paraId="3E13DB1E" w14:textId="60136DBA" w:rsidR="005D1955" w:rsidRPr="0018386D" w:rsidRDefault="005D1955" w:rsidP="00DD3106">
            <w:pPr>
              <w:pStyle w:val="TableText"/>
              <w:spacing w:before="40" w:after="40"/>
              <w:rPr>
                <w:rFonts w:cs="Calibri"/>
                <w:szCs w:val="18"/>
              </w:rPr>
            </w:pPr>
            <w:r w:rsidRPr="0018386D">
              <w:rPr>
                <w:rFonts w:cs="Calibri"/>
                <w:szCs w:val="18"/>
              </w:rPr>
              <w:t>7.0</w:t>
            </w:r>
          </w:p>
        </w:tc>
      </w:tr>
      <w:tr w:rsidR="005D1955" w:rsidRPr="0018386D" w14:paraId="141004A6" w14:textId="77777777" w:rsidTr="00F9421E">
        <w:trPr>
          <w:divId w:val="684402307"/>
        </w:trPr>
        <w:tc>
          <w:tcPr>
            <w:tcW w:w="8222" w:type="dxa"/>
            <w:shd w:val="clear" w:color="000000" w:fill="FFFFFF"/>
            <w:noWrap/>
            <w:hideMark/>
          </w:tcPr>
          <w:p w14:paraId="4E0E57DE" w14:textId="77777777" w:rsidR="005D1955" w:rsidRPr="0018386D" w:rsidRDefault="005D1955" w:rsidP="00DD3106">
            <w:pPr>
              <w:pStyle w:val="TableText"/>
              <w:spacing w:before="40" w:after="40"/>
              <w:rPr>
                <w:rFonts w:cs="Calibri"/>
                <w:szCs w:val="18"/>
              </w:rPr>
            </w:pPr>
            <w:r w:rsidRPr="0018386D">
              <w:rPr>
                <w:rFonts w:cs="Calibri"/>
                <w:szCs w:val="18"/>
              </w:rPr>
              <w:t>Czech Republic</w:t>
            </w:r>
          </w:p>
        </w:tc>
        <w:tc>
          <w:tcPr>
            <w:tcW w:w="1857" w:type="dxa"/>
            <w:shd w:val="clear" w:color="000000" w:fill="D2DDE1"/>
            <w:noWrap/>
            <w:hideMark/>
          </w:tcPr>
          <w:p w14:paraId="1C44BCE9" w14:textId="77777777" w:rsidR="005D1955" w:rsidRPr="0018386D" w:rsidRDefault="005D1955" w:rsidP="00DD3106">
            <w:pPr>
              <w:pStyle w:val="TableText"/>
              <w:spacing w:before="40" w:after="40"/>
              <w:rPr>
                <w:rFonts w:cs="Calibri"/>
                <w:szCs w:val="18"/>
              </w:rPr>
            </w:pPr>
            <w:r w:rsidRPr="0018386D">
              <w:rPr>
                <w:rFonts w:cs="Calibri"/>
                <w:szCs w:val="18"/>
              </w:rPr>
              <w:t>31.8</w:t>
            </w:r>
          </w:p>
        </w:tc>
      </w:tr>
      <w:tr w:rsidR="005D1955" w:rsidRPr="0018386D" w14:paraId="4E4EBBA1" w14:textId="77777777" w:rsidTr="00F9421E">
        <w:trPr>
          <w:divId w:val="684402307"/>
        </w:trPr>
        <w:tc>
          <w:tcPr>
            <w:tcW w:w="8222" w:type="dxa"/>
            <w:shd w:val="clear" w:color="000000" w:fill="FFFFFF"/>
            <w:noWrap/>
            <w:hideMark/>
          </w:tcPr>
          <w:p w14:paraId="458F0B27" w14:textId="77777777" w:rsidR="005D1955" w:rsidRPr="0018386D" w:rsidRDefault="005D1955" w:rsidP="00DD3106">
            <w:pPr>
              <w:pStyle w:val="TableText"/>
              <w:spacing w:before="40" w:after="40"/>
              <w:rPr>
                <w:rFonts w:cs="Calibri"/>
                <w:szCs w:val="18"/>
              </w:rPr>
            </w:pPr>
            <w:r w:rsidRPr="0018386D">
              <w:rPr>
                <w:rFonts w:cs="Calibri"/>
                <w:szCs w:val="18"/>
              </w:rPr>
              <w:t>Egypt</w:t>
            </w:r>
          </w:p>
        </w:tc>
        <w:tc>
          <w:tcPr>
            <w:tcW w:w="1857" w:type="dxa"/>
            <w:shd w:val="clear" w:color="000000" w:fill="D2DDE1"/>
            <w:noWrap/>
            <w:hideMark/>
          </w:tcPr>
          <w:p w14:paraId="2478EDFD" w14:textId="77777777" w:rsidR="005D1955" w:rsidRPr="0018386D" w:rsidRDefault="005D1955" w:rsidP="00DD3106">
            <w:pPr>
              <w:pStyle w:val="TableText"/>
              <w:spacing w:before="40" w:after="40"/>
              <w:rPr>
                <w:rFonts w:cs="Calibri"/>
                <w:szCs w:val="18"/>
              </w:rPr>
            </w:pPr>
            <w:r w:rsidRPr="0018386D">
              <w:rPr>
                <w:rFonts w:cs="Calibri"/>
                <w:szCs w:val="18"/>
              </w:rPr>
              <w:t>54.0</w:t>
            </w:r>
          </w:p>
        </w:tc>
      </w:tr>
      <w:tr w:rsidR="005D1955" w:rsidRPr="0018386D" w14:paraId="4FD3EE5A" w14:textId="77777777" w:rsidTr="00F9421E">
        <w:trPr>
          <w:divId w:val="684402307"/>
        </w:trPr>
        <w:tc>
          <w:tcPr>
            <w:tcW w:w="8222" w:type="dxa"/>
            <w:shd w:val="clear" w:color="000000" w:fill="FFFFFF"/>
            <w:noWrap/>
            <w:hideMark/>
          </w:tcPr>
          <w:p w14:paraId="3D80FC96" w14:textId="77777777" w:rsidR="005D1955" w:rsidRPr="0018386D" w:rsidRDefault="005D1955" w:rsidP="00DD3106">
            <w:pPr>
              <w:pStyle w:val="TableText"/>
              <w:spacing w:before="40" w:after="40"/>
              <w:rPr>
                <w:rFonts w:cs="Calibri"/>
                <w:szCs w:val="18"/>
              </w:rPr>
            </w:pPr>
            <w:r w:rsidRPr="0018386D">
              <w:rPr>
                <w:rFonts w:cs="Calibri"/>
                <w:szCs w:val="18"/>
              </w:rPr>
              <w:t>Fiji</w:t>
            </w:r>
          </w:p>
        </w:tc>
        <w:tc>
          <w:tcPr>
            <w:tcW w:w="1857" w:type="dxa"/>
            <w:shd w:val="clear" w:color="000000" w:fill="D2DDE1"/>
            <w:noWrap/>
            <w:hideMark/>
          </w:tcPr>
          <w:p w14:paraId="3AAB11BA" w14:textId="77777777" w:rsidR="005D1955" w:rsidRPr="0018386D" w:rsidRDefault="005D1955" w:rsidP="00DD3106">
            <w:pPr>
              <w:pStyle w:val="TableText"/>
              <w:spacing w:before="40" w:after="40"/>
              <w:rPr>
                <w:rFonts w:cs="Calibri"/>
                <w:szCs w:val="18"/>
              </w:rPr>
            </w:pPr>
            <w:r w:rsidRPr="0018386D">
              <w:rPr>
                <w:rFonts w:cs="Calibri"/>
                <w:szCs w:val="18"/>
              </w:rPr>
              <w:t>54.8</w:t>
            </w:r>
          </w:p>
        </w:tc>
      </w:tr>
      <w:tr w:rsidR="005D1955" w:rsidRPr="0018386D" w14:paraId="2640D689" w14:textId="77777777" w:rsidTr="00F9421E">
        <w:trPr>
          <w:divId w:val="684402307"/>
        </w:trPr>
        <w:tc>
          <w:tcPr>
            <w:tcW w:w="8222" w:type="dxa"/>
            <w:shd w:val="clear" w:color="000000" w:fill="FFFFFF"/>
            <w:noWrap/>
            <w:hideMark/>
          </w:tcPr>
          <w:p w14:paraId="106BCE1C" w14:textId="77777777" w:rsidR="005D1955" w:rsidRPr="0018386D" w:rsidRDefault="005D1955" w:rsidP="00DD3106">
            <w:pPr>
              <w:pStyle w:val="TableText"/>
              <w:spacing w:before="40" w:after="40"/>
              <w:rPr>
                <w:rFonts w:cs="Calibri"/>
                <w:szCs w:val="18"/>
              </w:rPr>
            </w:pPr>
            <w:r w:rsidRPr="0018386D">
              <w:rPr>
                <w:rFonts w:cs="Calibri"/>
                <w:szCs w:val="18"/>
              </w:rPr>
              <w:t>Finland</w:t>
            </w:r>
          </w:p>
        </w:tc>
        <w:tc>
          <w:tcPr>
            <w:tcW w:w="1857" w:type="dxa"/>
            <w:shd w:val="clear" w:color="000000" w:fill="D2DDE1"/>
            <w:noWrap/>
            <w:hideMark/>
          </w:tcPr>
          <w:p w14:paraId="2376F925" w14:textId="77777777" w:rsidR="005D1955" w:rsidRPr="0018386D" w:rsidRDefault="005D1955" w:rsidP="00DD3106">
            <w:pPr>
              <w:pStyle w:val="TableText"/>
              <w:spacing w:before="40" w:after="40"/>
              <w:rPr>
                <w:rFonts w:cs="Calibri"/>
                <w:szCs w:val="18"/>
              </w:rPr>
            </w:pPr>
            <w:r w:rsidRPr="0018386D">
              <w:rPr>
                <w:rFonts w:cs="Calibri"/>
                <w:szCs w:val="18"/>
              </w:rPr>
              <w:t>11.1</w:t>
            </w:r>
          </w:p>
        </w:tc>
      </w:tr>
      <w:tr w:rsidR="005D1955" w:rsidRPr="0018386D" w14:paraId="54AF6B2E" w14:textId="77777777" w:rsidTr="00F9421E">
        <w:trPr>
          <w:divId w:val="684402307"/>
        </w:trPr>
        <w:tc>
          <w:tcPr>
            <w:tcW w:w="8222" w:type="dxa"/>
            <w:shd w:val="clear" w:color="000000" w:fill="FFFFFF"/>
            <w:noWrap/>
            <w:hideMark/>
          </w:tcPr>
          <w:p w14:paraId="2073144C" w14:textId="77777777" w:rsidR="005D1955" w:rsidRPr="0018386D" w:rsidRDefault="005D1955" w:rsidP="00DD3106">
            <w:pPr>
              <w:pStyle w:val="TableText"/>
              <w:spacing w:before="40" w:after="40"/>
              <w:rPr>
                <w:rFonts w:cs="Calibri"/>
                <w:szCs w:val="18"/>
              </w:rPr>
            </w:pPr>
            <w:r w:rsidRPr="0018386D">
              <w:rPr>
                <w:rFonts w:cs="Calibri"/>
                <w:szCs w:val="18"/>
              </w:rPr>
              <w:t>France</w:t>
            </w:r>
          </w:p>
        </w:tc>
        <w:tc>
          <w:tcPr>
            <w:tcW w:w="1857" w:type="dxa"/>
            <w:shd w:val="clear" w:color="000000" w:fill="D2DDE1"/>
            <w:noWrap/>
            <w:hideMark/>
          </w:tcPr>
          <w:p w14:paraId="646A14DE" w14:textId="2089FBA0" w:rsidR="005D1955" w:rsidRPr="0018386D" w:rsidRDefault="005D1955" w:rsidP="00DD3106">
            <w:pPr>
              <w:pStyle w:val="TableText"/>
              <w:spacing w:before="40" w:after="40"/>
              <w:rPr>
                <w:rFonts w:cs="Calibri"/>
                <w:szCs w:val="18"/>
              </w:rPr>
            </w:pPr>
            <w:r w:rsidRPr="0018386D">
              <w:rPr>
                <w:rFonts w:cs="Calibri"/>
                <w:szCs w:val="18"/>
              </w:rPr>
              <w:t>7.5</w:t>
            </w:r>
          </w:p>
        </w:tc>
      </w:tr>
      <w:tr w:rsidR="005D1955" w:rsidRPr="0018386D" w14:paraId="1B25988E" w14:textId="77777777" w:rsidTr="00F9421E">
        <w:trPr>
          <w:divId w:val="684402307"/>
        </w:trPr>
        <w:tc>
          <w:tcPr>
            <w:tcW w:w="8222" w:type="dxa"/>
            <w:shd w:val="clear" w:color="000000" w:fill="FFFFFF"/>
            <w:noWrap/>
            <w:hideMark/>
          </w:tcPr>
          <w:p w14:paraId="68AF9814" w14:textId="77777777" w:rsidR="005D1955" w:rsidRPr="0018386D" w:rsidRDefault="005D1955" w:rsidP="00DD3106">
            <w:pPr>
              <w:pStyle w:val="TableText"/>
              <w:spacing w:before="40" w:after="40"/>
              <w:rPr>
                <w:rFonts w:cs="Calibri"/>
                <w:szCs w:val="18"/>
              </w:rPr>
            </w:pPr>
            <w:r w:rsidRPr="0018386D">
              <w:rPr>
                <w:rFonts w:cs="Calibri"/>
                <w:szCs w:val="18"/>
              </w:rPr>
              <w:t>Germany</w:t>
            </w:r>
          </w:p>
        </w:tc>
        <w:tc>
          <w:tcPr>
            <w:tcW w:w="1857" w:type="dxa"/>
            <w:shd w:val="clear" w:color="000000" w:fill="D2DDE1"/>
            <w:noWrap/>
            <w:hideMark/>
          </w:tcPr>
          <w:p w14:paraId="0A272791" w14:textId="77777777" w:rsidR="005D1955" w:rsidRPr="0018386D" w:rsidRDefault="005D1955" w:rsidP="00DD3106">
            <w:pPr>
              <w:pStyle w:val="TableText"/>
              <w:spacing w:before="40" w:after="40"/>
              <w:rPr>
                <w:rFonts w:cs="Calibri"/>
                <w:szCs w:val="18"/>
              </w:rPr>
            </w:pPr>
            <w:r w:rsidRPr="0018386D">
              <w:rPr>
                <w:rFonts w:cs="Calibri"/>
                <w:szCs w:val="18"/>
              </w:rPr>
              <w:t>18.2</w:t>
            </w:r>
          </w:p>
        </w:tc>
      </w:tr>
      <w:tr w:rsidR="005D1955" w:rsidRPr="0018386D" w14:paraId="15FE4D97" w14:textId="77777777" w:rsidTr="00F9421E">
        <w:trPr>
          <w:divId w:val="684402307"/>
        </w:trPr>
        <w:tc>
          <w:tcPr>
            <w:tcW w:w="8222" w:type="dxa"/>
            <w:shd w:val="clear" w:color="000000" w:fill="FFFFFF"/>
            <w:noWrap/>
            <w:hideMark/>
          </w:tcPr>
          <w:p w14:paraId="0C5A3FE1" w14:textId="77777777" w:rsidR="005D1955" w:rsidRPr="0018386D" w:rsidRDefault="005D1955" w:rsidP="00DD3106">
            <w:pPr>
              <w:pStyle w:val="TableText"/>
              <w:spacing w:before="40" w:after="40"/>
              <w:rPr>
                <w:rFonts w:cs="Calibri"/>
                <w:szCs w:val="18"/>
              </w:rPr>
            </w:pPr>
            <w:r w:rsidRPr="0018386D">
              <w:rPr>
                <w:rFonts w:cs="Calibri"/>
                <w:szCs w:val="18"/>
              </w:rPr>
              <w:t>Greece</w:t>
            </w:r>
          </w:p>
        </w:tc>
        <w:tc>
          <w:tcPr>
            <w:tcW w:w="1857" w:type="dxa"/>
            <w:shd w:val="clear" w:color="000000" w:fill="D2DDE1"/>
            <w:noWrap/>
            <w:hideMark/>
          </w:tcPr>
          <w:p w14:paraId="32522FBE" w14:textId="77777777" w:rsidR="005D1955" w:rsidRPr="0018386D" w:rsidRDefault="005D1955" w:rsidP="00DD3106">
            <w:pPr>
              <w:pStyle w:val="TableText"/>
              <w:spacing w:before="40" w:after="40"/>
              <w:rPr>
                <w:rFonts w:cs="Calibri"/>
                <w:szCs w:val="18"/>
              </w:rPr>
            </w:pPr>
            <w:r w:rsidRPr="0018386D">
              <w:rPr>
                <w:rFonts w:cs="Calibri"/>
                <w:szCs w:val="18"/>
              </w:rPr>
              <w:t>42.8</w:t>
            </w:r>
          </w:p>
        </w:tc>
      </w:tr>
      <w:tr w:rsidR="005D1955" w:rsidRPr="0018386D" w14:paraId="6E90CF91" w14:textId="77777777" w:rsidTr="00F9421E">
        <w:trPr>
          <w:divId w:val="684402307"/>
        </w:trPr>
        <w:tc>
          <w:tcPr>
            <w:tcW w:w="8222" w:type="dxa"/>
            <w:shd w:val="clear" w:color="000000" w:fill="FFFFFF"/>
            <w:noWrap/>
            <w:hideMark/>
          </w:tcPr>
          <w:p w14:paraId="57F34ADC" w14:textId="77777777" w:rsidR="005D1955" w:rsidRPr="0018386D" w:rsidRDefault="005D1955" w:rsidP="00DD3106">
            <w:pPr>
              <w:pStyle w:val="TableText"/>
              <w:spacing w:before="40" w:after="40"/>
              <w:rPr>
                <w:rFonts w:cs="Calibri"/>
                <w:szCs w:val="18"/>
              </w:rPr>
            </w:pPr>
            <w:r w:rsidRPr="0018386D">
              <w:rPr>
                <w:rFonts w:cs="Calibri"/>
                <w:szCs w:val="18"/>
              </w:rPr>
              <w:t>Hong Kong</w:t>
            </w:r>
          </w:p>
        </w:tc>
        <w:tc>
          <w:tcPr>
            <w:tcW w:w="1857" w:type="dxa"/>
            <w:shd w:val="clear" w:color="000000" w:fill="D2DDE1"/>
            <w:noWrap/>
            <w:hideMark/>
          </w:tcPr>
          <w:p w14:paraId="284B5F39" w14:textId="77777777" w:rsidR="005D1955" w:rsidRPr="0018386D" w:rsidRDefault="005D1955" w:rsidP="00DD3106">
            <w:pPr>
              <w:pStyle w:val="TableText"/>
              <w:spacing w:before="40" w:after="40"/>
              <w:rPr>
                <w:rFonts w:cs="Calibri"/>
                <w:szCs w:val="18"/>
              </w:rPr>
            </w:pPr>
            <w:r w:rsidRPr="0018386D">
              <w:rPr>
                <w:rFonts w:cs="Calibri"/>
                <w:szCs w:val="18"/>
              </w:rPr>
              <w:t>66.2</w:t>
            </w:r>
          </w:p>
        </w:tc>
      </w:tr>
      <w:tr w:rsidR="005D1955" w:rsidRPr="0018386D" w14:paraId="1CCA49B3" w14:textId="77777777" w:rsidTr="00F9421E">
        <w:trPr>
          <w:divId w:val="684402307"/>
        </w:trPr>
        <w:tc>
          <w:tcPr>
            <w:tcW w:w="8222" w:type="dxa"/>
            <w:shd w:val="clear" w:color="000000" w:fill="FFFFFF"/>
            <w:noWrap/>
            <w:hideMark/>
          </w:tcPr>
          <w:p w14:paraId="4477E0EA" w14:textId="77777777" w:rsidR="005D1955" w:rsidRPr="0018386D" w:rsidRDefault="005D1955" w:rsidP="00DD3106">
            <w:pPr>
              <w:pStyle w:val="TableText"/>
              <w:spacing w:before="40" w:after="40"/>
              <w:rPr>
                <w:rFonts w:cs="Calibri"/>
                <w:szCs w:val="18"/>
              </w:rPr>
            </w:pPr>
            <w:r w:rsidRPr="0018386D">
              <w:rPr>
                <w:rFonts w:cs="Calibri"/>
                <w:szCs w:val="18"/>
              </w:rPr>
              <w:t>Hungary</w:t>
            </w:r>
          </w:p>
        </w:tc>
        <w:tc>
          <w:tcPr>
            <w:tcW w:w="1857" w:type="dxa"/>
            <w:shd w:val="clear" w:color="000000" w:fill="D2DDE1"/>
            <w:noWrap/>
            <w:hideMark/>
          </w:tcPr>
          <w:p w14:paraId="7CECA030" w14:textId="77777777" w:rsidR="005D1955" w:rsidRPr="0018386D" w:rsidRDefault="005D1955" w:rsidP="00DD3106">
            <w:pPr>
              <w:pStyle w:val="TableText"/>
              <w:spacing w:before="40" w:after="40"/>
              <w:rPr>
                <w:rFonts w:cs="Calibri"/>
                <w:szCs w:val="18"/>
              </w:rPr>
            </w:pPr>
            <w:r w:rsidRPr="0018386D">
              <w:rPr>
                <w:rFonts w:cs="Calibri"/>
                <w:szCs w:val="18"/>
              </w:rPr>
              <w:t>22.0</w:t>
            </w:r>
          </w:p>
        </w:tc>
      </w:tr>
      <w:tr w:rsidR="005D1955" w:rsidRPr="0018386D" w14:paraId="338D14AE" w14:textId="77777777" w:rsidTr="00F9421E">
        <w:trPr>
          <w:divId w:val="684402307"/>
        </w:trPr>
        <w:tc>
          <w:tcPr>
            <w:tcW w:w="8222" w:type="dxa"/>
            <w:shd w:val="clear" w:color="000000" w:fill="FFFFFF"/>
            <w:noWrap/>
            <w:hideMark/>
          </w:tcPr>
          <w:p w14:paraId="177A2009" w14:textId="77777777" w:rsidR="005D1955" w:rsidRPr="0018386D" w:rsidRDefault="005D1955" w:rsidP="00DD3106">
            <w:pPr>
              <w:pStyle w:val="TableText"/>
              <w:spacing w:before="40" w:after="40"/>
              <w:rPr>
                <w:rFonts w:cs="Calibri"/>
                <w:szCs w:val="18"/>
              </w:rPr>
            </w:pPr>
            <w:r w:rsidRPr="0018386D">
              <w:rPr>
                <w:rFonts w:cs="Calibri"/>
                <w:szCs w:val="18"/>
              </w:rPr>
              <w:t>India</w:t>
            </w:r>
          </w:p>
        </w:tc>
        <w:tc>
          <w:tcPr>
            <w:tcW w:w="1857" w:type="dxa"/>
            <w:shd w:val="clear" w:color="000000" w:fill="D2DDE1"/>
            <w:noWrap/>
            <w:hideMark/>
          </w:tcPr>
          <w:p w14:paraId="00C22834" w14:textId="77777777" w:rsidR="005D1955" w:rsidRPr="0018386D" w:rsidRDefault="005D1955" w:rsidP="00DD3106">
            <w:pPr>
              <w:pStyle w:val="TableText"/>
              <w:spacing w:before="40" w:after="40"/>
              <w:rPr>
                <w:rFonts w:cs="Calibri"/>
                <w:szCs w:val="18"/>
              </w:rPr>
            </w:pPr>
            <w:r w:rsidRPr="0018386D">
              <w:rPr>
                <w:rFonts w:cs="Calibri"/>
                <w:szCs w:val="18"/>
              </w:rPr>
              <w:t>66.0</w:t>
            </w:r>
          </w:p>
        </w:tc>
      </w:tr>
      <w:tr w:rsidR="005D1955" w:rsidRPr="0018386D" w14:paraId="4FFE1133" w14:textId="77777777" w:rsidTr="00F9421E">
        <w:trPr>
          <w:divId w:val="684402307"/>
        </w:trPr>
        <w:tc>
          <w:tcPr>
            <w:tcW w:w="8222" w:type="dxa"/>
            <w:shd w:val="clear" w:color="000000" w:fill="FFFFFF"/>
            <w:noWrap/>
            <w:hideMark/>
          </w:tcPr>
          <w:p w14:paraId="465F1D1F" w14:textId="77777777" w:rsidR="005D1955" w:rsidRPr="0018386D" w:rsidRDefault="005D1955" w:rsidP="00DD3106">
            <w:pPr>
              <w:pStyle w:val="TableText"/>
              <w:spacing w:before="40" w:after="40"/>
              <w:rPr>
                <w:rFonts w:cs="Calibri"/>
                <w:szCs w:val="18"/>
              </w:rPr>
            </w:pPr>
            <w:r w:rsidRPr="0018386D">
              <w:rPr>
                <w:rFonts w:cs="Calibri"/>
                <w:szCs w:val="18"/>
              </w:rPr>
              <w:t>Indonesia</w:t>
            </w:r>
          </w:p>
        </w:tc>
        <w:tc>
          <w:tcPr>
            <w:tcW w:w="1857" w:type="dxa"/>
            <w:shd w:val="clear" w:color="000000" w:fill="D2DDE1"/>
            <w:noWrap/>
            <w:hideMark/>
          </w:tcPr>
          <w:p w14:paraId="240ADE47" w14:textId="77777777" w:rsidR="005D1955" w:rsidRPr="0018386D" w:rsidRDefault="005D1955" w:rsidP="00DD3106">
            <w:pPr>
              <w:pStyle w:val="TableText"/>
              <w:spacing w:before="40" w:after="40"/>
              <w:rPr>
                <w:rFonts w:cs="Calibri"/>
                <w:szCs w:val="18"/>
              </w:rPr>
            </w:pPr>
            <w:r w:rsidRPr="0018386D">
              <w:rPr>
                <w:rFonts w:cs="Calibri"/>
                <w:szCs w:val="18"/>
              </w:rPr>
              <w:t>88.2</w:t>
            </w:r>
          </w:p>
        </w:tc>
      </w:tr>
      <w:tr w:rsidR="005D1955" w:rsidRPr="0018386D" w14:paraId="45D69F2F" w14:textId="77777777" w:rsidTr="00F9421E">
        <w:trPr>
          <w:divId w:val="684402307"/>
        </w:trPr>
        <w:tc>
          <w:tcPr>
            <w:tcW w:w="8222" w:type="dxa"/>
            <w:shd w:val="clear" w:color="000000" w:fill="FFFFFF"/>
            <w:noWrap/>
            <w:hideMark/>
          </w:tcPr>
          <w:p w14:paraId="60E6AF56" w14:textId="77777777" w:rsidR="005D1955" w:rsidRPr="0018386D" w:rsidRDefault="005D1955" w:rsidP="00DD3106">
            <w:pPr>
              <w:pStyle w:val="TableText"/>
              <w:spacing w:before="40" w:after="40"/>
              <w:rPr>
                <w:rFonts w:cs="Calibri"/>
                <w:szCs w:val="18"/>
              </w:rPr>
            </w:pPr>
            <w:r w:rsidRPr="0018386D">
              <w:rPr>
                <w:rFonts w:cs="Calibri"/>
                <w:szCs w:val="18"/>
              </w:rPr>
              <w:t>Ireland</w:t>
            </w:r>
          </w:p>
        </w:tc>
        <w:tc>
          <w:tcPr>
            <w:tcW w:w="1857" w:type="dxa"/>
            <w:shd w:val="clear" w:color="000000" w:fill="D2DDE1"/>
            <w:noWrap/>
            <w:hideMark/>
          </w:tcPr>
          <w:p w14:paraId="3D2B6BE2" w14:textId="77777777" w:rsidR="005D1955" w:rsidRPr="0018386D" w:rsidRDefault="005D1955" w:rsidP="00DD3106">
            <w:pPr>
              <w:pStyle w:val="TableText"/>
              <w:spacing w:before="40" w:after="40"/>
              <w:rPr>
                <w:rFonts w:cs="Calibri"/>
                <w:szCs w:val="18"/>
              </w:rPr>
            </w:pPr>
            <w:r w:rsidRPr="0018386D">
              <w:rPr>
                <w:rFonts w:cs="Calibri"/>
                <w:szCs w:val="18"/>
              </w:rPr>
              <w:t>23.9</w:t>
            </w:r>
          </w:p>
        </w:tc>
      </w:tr>
      <w:tr w:rsidR="005D1955" w:rsidRPr="0018386D" w14:paraId="42FD0B0B" w14:textId="77777777" w:rsidTr="00F9421E">
        <w:trPr>
          <w:divId w:val="684402307"/>
        </w:trPr>
        <w:tc>
          <w:tcPr>
            <w:tcW w:w="8222" w:type="dxa"/>
            <w:shd w:val="clear" w:color="000000" w:fill="FFFFFF"/>
            <w:noWrap/>
            <w:hideMark/>
          </w:tcPr>
          <w:p w14:paraId="55A59EFF" w14:textId="77777777" w:rsidR="005D1955" w:rsidRPr="0018386D" w:rsidRDefault="005D1955" w:rsidP="00DD3106">
            <w:pPr>
              <w:pStyle w:val="TableText"/>
              <w:spacing w:before="40" w:after="40"/>
              <w:rPr>
                <w:rFonts w:cs="Calibri"/>
                <w:szCs w:val="18"/>
              </w:rPr>
            </w:pPr>
            <w:r w:rsidRPr="0018386D">
              <w:rPr>
                <w:rFonts w:cs="Calibri"/>
                <w:szCs w:val="18"/>
              </w:rPr>
              <w:t>Israel</w:t>
            </w:r>
          </w:p>
        </w:tc>
        <w:tc>
          <w:tcPr>
            <w:tcW w:w="1857" w:type="dxa"/>
            <w:shd w:val="clear" w:color="000000" w:fill="D2DDE1"/>
            <w:noWrap/>
            <w:hideMark/>
          </w:tcPr>
          <w:p w14:paraId="78B7EC9C" w14:textId="77777777" w:rsidR="005D1955" w:rsidRPr="0018386D" w:rsidRDefault="005D1955" w:rsidP="00DD3106">
            <w:pPr>
              <w:pStyle w:val="TableText"/>
              <w:spacing w:before="40" w:after="40"/>
              <w:rPr>
                <w:rFonts w:cs="Calibri"/>
                <w:szCs w:val="18"/>
              </w:rPr>
            </w:pPr>
            <w:r w:rsidRPr="0018386D">
              <w:rPr>
                <w:rFonts w:cs="Calibri"/>
                <w:szCs w:val="18"/>
              </w:rPr>
              <w:t>51.8</w:t>
            </w:r>
          </w:p>
        </w:tc>
      </w:tr>
      <w:tr w:rsidR="005D1955" w:rsidRPr="0018386D" w14:paraId="0D5B2376" w14:textId="77777777" w:rsidTr="00F9421E">
        <w:trPr>
          <w:divId w:val="684402307"/>
        </w:trPr>
        <w:tc>
          <w:tcPr>
            <w:tcW w:w="8222" w:type="dxa"/>
            <w:shd w:val="clear" w:color="000000" w:fill="FFFFFF"/>
            <w:noWrap/>
            <w:hideMark/>
          </w:tcPr>
          <w:p w14:paraId="009D6DE8" w14:textId="77777777" w:rsidR="005D1955" w:rsidRPr="0018386D" w:rsidRDefault="005D1955" w:rsidP="00DD3106">
            <w:pPr>
              <w:pStyle w:val="TableText"/>
              <w:spacing w:before="40" w:after="40"/>
              <w:rPr>
                <w:rFonts w:cs="Calibri"/>
                <w:szCs w:val="18"/>
              </w:rPr>
            </w:pPr>
            <w:r w:rsidRPr="0018386D">
              <w:rPr>
                <w:rFonts w:cs="Calibri"/>
                <w:szCs w:val="18"/>
              </w:rPr>
              <w:t>Italy</w:t>
            </w:r>
          </w:p>
        </w:tc>
        <w:tc>
          <w:tcPr>
            <w:tcW w:w="1857" w:type="dxa"/>
            <w:shd w:val="clear" w:color="000000" w:fill="D2DDE1"/>
            <w:noWrap/>
            <w:hideMark/>
          </w:tcPr>
          <w:p w14:paraId="0DA1A59D" w14:textId="77777777" w:rsidR="005D1955" w:rsidRPr="0018386D" w:rsidRDefault="005D1955" w:rsidP="00DD3106">
            <w:pPr>
              <w:pStyle w:val="TableText"/>
              <w:spacing w:before="40" w:after="40"/>
              <w:rPr>
                <w:rFonts w:cs="Calibri"/>
                <w:szCs w:val="18"/>
              </w:rPr>
            </w:pPr>
            <w:r w:rsidRPr="0018386D">
              <w:rPr>
                <w:rFonts w:cs="Calibri"/>
                <w:szCs w:val="18"/>
              </w:rPr>
              <w:t>23.9</w:t>
            </w:r>
          </w:p>
        </w:tc>
      </w:tr>
      <w:tr w:rsidR="005D1955" w:rsidRPr="0018386D" w14:paraId="679B896A" w14:textId="77777777" w:rsidTr="00F9421E">
        <w:trPr>
          <w:divId w:val="684402307"/>
        </w:trPr>
        <w:tc>
          <w:tcPr>
            <w:tcW w:w="8222" w:type="dxa"/>
            <w:shd w:val="clear" w:color="000000" w:fill="FFFFFF"/>
            <w:noWrap/>
            <w:hideMark/>
          </w:tcPr>
          <w:p w14:paraId="7C6C1029" w14:textId="77777777" w:rsidR="005D1955" w:rsidRPr="0018386D" w:rsidRDefault="005D1955" w:rsidP="00DD3106">
            <w:pPr>
              <w:pStyle w:val="TableText"/>
              <w:spacing w:before="40" w:after="40"/>
              <w:rPr>
                <w:rFonts w:cs="Calibri"/>
                <w:szCs w:val="18"/>
              </w:rPr>
            </w:pPr>
            <w:r w:rsidRPr="0018386D">
              <w:rPr>
                <w:rFonts w:cs="Calibri"/>
                <w:szCs w:val="18"/>
              </w:rPr>
              <w:t>Japan</w:t>
            </w:r>
          </w:p>
        </w:tc>
        <w:tc>
          <w:tcPr>
            <w:tcW w:w="1857" w:type="dxa"/>
            <w:shd w:val="clear" w:color="000000" w:fill="D2DDE1"/>
            <w:noWrap/>
            <w:hideMark/>
          </w:tcPr>
          <w:p w14:paraId="3160BF66" w14:textId="77777777" w:rsidR="005D1955" w:rsidRPr="0018386D" w:rsidRDefault="005D1955" w:rsidP="00DD3106">
            <w:pPr>
              <w:pStyle w:val="TableText"/>
              <w:spacing w:before="40" w:after="40"/>
              <w:rPr>
                <w:rFonts w:cs="Calibri"/>
                <w:szCs w:val="18"/>
              </w:rPr>
            </w:pPr>
            <w:r w:rsidRPr="0018386D">
              <w:rPr>
                <w:rFonts w:cs="Calibri"/>
                <w:szCs w:val="18"/>
              </w:rPr>
              <w:t>54.7</w:t>
            </w:r>
          </w:p>
        </w:tc>
      </w:tr>
      <w:tr w:rsidR="005D1955" w:rsidRPr="0018386D" w14:paraId="27D34C00" w14:textId="77777777" w:rsidTr="00F9421E">
        <w:trPr>
          <w:divId w:val="684402307"/>
        </w:trPr>
        <w:tc>
          <w:tcPr>
            <w:tcW w:w="8222" w:type="dxa"/>
            <w:shd w:val="clear" w:color="000000" w:fill="FFFFFF"/>
            <w:noWrap/>
            <w:hideMark/>
          </w:tcPr>
          <w:p w14:paraId="54F38DC9" w14:textId="77777777" w:rsidR="005D1955" w:rsidRPr="0018386D" w:rsidRDefault="005D1955" w:rsidP="00DD3106">
            <w:pPr>
              <w:pStyle w:val="TableText"/>
              <w:spacing w:before="40" w:after="40"/>
              <w:rPr>
                <w:rFonts w:cs="Calibri"/>
                <w:szCs w:val="18"/>
              </w:rPr>
            </w:pPr>
            <w:r w:rsidRPr="0018386D">
              <w:rPr>
                <w:rFonts w:cs="Calibri"/>
                <w:szCs w:val="18"/>
              </w:rPr>
              <w:t>Jordan</w:t>
            </w:r>
          </w:p>
        </w:tc>
        <w:tc>
          <w:tcPr>
            <w:tcW w:w="1857" w:type="dxa"/>
            <w:shd w:val="clear" w:color="000000" w:fill="D2DDE1"/>
            <w:noWrap/>
            <w:hideMark/>
          </w:tcPr>
          <w:p w14:paraId="0F937A9B" w14:textId="77777777" w:rsidR="005D1955" w:rsidRPr="0018386D" w:rsidRDefault="005D1955" w:rsidP="00DD3106">
            <w:pPr>
              <w:pStyle w:val="TableText"/>
              <w:spacing w:before="40" w:after="40"/>
              <w:rPr>
                <w:rFonts w:cs="Calibri"/>
                <w:szCs w:val="18"/>
              </w:rPr>
            </w:pPr>
            <w:r w:rsidRPr="0018386D">
              <w:rPr>
                <w:rFonts w:cs="Calibri"/>
                <w:szCs w:val="18"/>
              </w:rPr>
              <w:t>64.5</w:t>
            </w:r>
          </w:p>
        </w:tc>
      </w:tr>
      <w:tr w:rsidR="005D1955" w:rsidRPr="0018386D" w14:paraId="107E61F2" w14:textId="77777777" w:rsidTr="00F9421E">
        <w:trPr>
          <w:divId w:val="684402307"/>
        </w:trPr>
        <w:tc>
          <w:tcPr>
            <w:tcW w:w="8222" w:type="dxa"/>
            <w:shd w:val="clear" w:color="000000" w:fill="FFFFFF"/>
            <w:noWrap/>
            <w:hideMark/>
          </w:tcPr>
          <w:p w14:paraId="70175E9C" w14:textId="77777777" w:rsidR="005D1955" w:rsidRPr="0018386D" w:rsidRDefault="005D1955" w:rsidP="00DD3106">
            <w:pPr>
              <w:pStyle w:val="TableText"/>
              <w:spacing w:before="40" w:after="40"/>
              <w:rPr>
                <w:rFonts w:cs="Calibri"/>
                <w:szCs w:val="18"/>
              </w:rPr>
            </w:pPr>
            <w:r w:rsidRPr="0018386D">
              <w:rPr>
                <w:rFonts w:cs="Calibri"/>
                <w:szCs w:val="18"/>
              </w:rPr>
              <w:t>Kazakhstan</w:t>
            </w:r>
          </w:p>
        </w:tc>
        <w:tc>
          <w:tcPr>
            <w:tcW w:w="1857" w:type="dxa"/>
            <w:shd w:val="clear" w:color="000000" w:fill="D2DDE1"/>
            <w:noWrap/>
            <w:hideMark/>
          </w:tcPr>
          <w:p w14:paraId="3F649394" w14:textId="69C6B6B0" w:rsidR="005D1955" w:rsidRPr="0018386D" w:rsidRDefault="005D1955" w:rsidP="00DD3106">
            <w:pPr>
              <w:pStyle w:val="TableText"/>
              <w:spacing w:before="40" w:after="40"/>
              <w:rPr>
                <w:rFonts w:cs="Calibri"/>
                <w:szCs w:val="18"/>
              </w:rPr>
            </w:pPr>
            <w:r w:rsidRPr="0018386D">
              <w:rPr>
                <w:rFonts w:cs="Calibri"/>
                <w:szCs w:val="18"/>
              </w:rPr>
              <w:t>105.7</w:t>
            </w:r>
          </w:p>
        </w:tc>
      </w:tr>
      <w:tr w:rsidR="005D1955" w:rsidRPr="0018386D" w14:paraId="3EBECAE2" w14:textId="77777777" w:rsidTr="00F9421E">
        <w:trPr>
          <w:divId w:val="684402307"/>
        </w:trPr>
        <w:tc>
          <w:tcPr>
            <w:tcW w:w="8222" w:type="dxa"/>
            <w:shd w:val="clear" w:color="000000" w:fill="FFFFFF"/>
            <w:noWrap/>
            <w:hideMark/>
          </w:tcPr>
          <w:p w14:paraId="5B8037D6" w14:textId="77777777" w:rsidR="005D1955" w:rsidRPr="0018386D" w:rsidRDefault="005D1955" w:rsidP="00DD3106">
            <w:pPr>
              <w:pStyle w:val="TableText"/>
              <w:spacing w:before="40" w:after="40"/>
              <w:rPr>
                <w:rFonts w:cs="Calibri"/>
                <w:szCs w:val="18"/>
              </w:rPr>
            </w:pPr>
            <w:r w:rsidRPr="0018386D">
              <w:rPr>
                <w:rFonts w:cs="Calibri"/>
                <w:szCs w:val="18"/>
              </w:rPr>
              <w:t>Macau</w:t>
            </w:r>
          </w:p>
        </w:tc>
        <w:tc>
          <w:tcPr>
            <w:tcW w:w="1857" w:type="dxa"/>
            <w:shd w:val="clear" w:color="000000" w:fill="D2DDE1"/>
            <w:noWrap/>
            <w:hideMark/>
          </w:tcPr>
          <w:p w14:paraId="2F6E8A5C" w14:textId="77777777" w:rsidR="005D1955" w:rsidRPr="0018386D" w:rsidRDefault="005D1955" w:rsidP="00DD3106">
            <w:pPr>
              <w:pStyle w:val="TableText"/>
              <w:spacing w:before="40" w:after="40"/>
              <w:rPr>
                <w:rFonts w:cs="Calibri"/>
                <w:szCs w:val="18"/>
              </w:rPr>
            </w:pPr>
            <w:r w:rsidRPr="0018386D">
              <w:rPr>
                <w:rFonts w:cs="Calibri"/>
                <w:szCs w:val="18"/>
              </w:rPr>
              <w:t>68.1</w:t>
            </w:r>
          </w:p>
        </w:tc>
      </w:tr>
      <w:tr w:rsidR="005D1955" w:rsidRPr="0018386D" w14:paraId="1E706813" w14:textId="77777777" w:rsidTr="00F9421E">
        <w:trPr>
          <w:divId w:val="684402307"/>
        </w:trPr>
        <w:tc>
          <w:tcPr>
            <w:tcW w:w="8222" w:type="dxa"/>
            <w:shd w:val="clear" w:color="000000" w:fill="FFFFFF"/>
            <w:noWrap/>
            <w:hideMark/>
          </w:tcPr>
          <w:p w14:paraId="387A0350" w14:textId="77777777" w:rsidR="005D1955" w:rsidRPr="0018386D" w:rsidRDefault="005D1955" w:rsidP="00DD3106">
            <w:pPr>
              <w:pStyle w:val="TableText"/>
              <w:spacing w:before="40" w:after="40"/>
              <w:rPr>
                <w:rFonts w:cs="Calibri"/>
                <w:szCs w:val="18"/>
              </w:rPr>
            </w:pPr>
            <w:r w:rsidRPr="0018386D">
              <w:rPr>
                <w:rFonts w:cs="Calibri"/>
                <w:szCs w:val="18"/>
              </w:rPr>
              <w:t>Malaysia</w:t>
            </w:r>
          </w:p>
        </w:tc>
        <w:tc>
          <w:tcPr>
            <w:tcW w:w="1857" w:type="dxa"/>
            <w:shd w:val="clear" w:color="000000" w:fill="D2DDE1"/>
            <w:noWrap/>
            <w:hideMark/>
          </w:tcPr>
          <w:p w14:paraId="4B97ED1E" w14:textId="77777777" w:rsidR="005D1955" w:rsidRPr="0018386D" w:rsidRDefault="005D1955" w:rsidP="00DD3106">
            <w:pPr>
              <w:pStyle w:val="TableText"/>
              <w:spacing w:before="40" w:after="40"/>
              <w:rPr>
                <w:rFonts w:cs="Calibri"/>
                <w:szCs w:val="18"/>
              </w:rPr>
            </w:pPr>
            <w:r w:rsidRPr="0018386D">
              <w:rPr>
                <w:rFonts w:cs="Calibri"/>
                <w:szCs w:val="18"/>
              </w:rPr>
              <w:t>80.3</w:t>
            </w:r>
          </w:p>
        </w:tc>
      </w:tr>
      <w:tr w:rsidR="005D1955" w:rsidRPr="0018386D" w14:paraId="2EF7AE66" w14:textId="77777777" w:rsidTr="00F9421E">
        <w:trPr>
          <w:divId w:val="684402307"/>
        </w:trPr>
        <w:tc>
          <w:tcPr>
            <w:tcW w:w="8222" w:type="dxa"/>
            <w:shd w:val="clear" w:color="000000" w:fill="FFFFFF"/>
            <w:noWrap/>
            <w:hideMark/>
          </w:tcPr>
          <w:p w14:paraId="59556204" w14:textId="77777777" w:rsidR="005D1955" w:rsidRPr="0018386D" w:rsidRDefault="005D1955" w:rsidP="00DD3106">
            <w:pPr>
              <w:pStyle w:val="TableText"/>
              <w:spacing w:before="40" w:after="40"/>
              <w:rPr>
                <w:rFonts w:cs="Calibri"/>
                <w:szCs w:val="18"/>
              </w:rPr>
            </w:pPr>
            <w:r w:rsidRPr="0018386D">
              <w:rPr>
                <w:rFonts w:cs="Calibri"/>
                <w:szCs w:val="18"/>
              </w:rPr>
              <w:t>Maldives</w:t>
            </w:r>
          </w:p>
        </w:tc>
        <w:tc>
          <w:tcPr>
            <w:tcW w:w="1857" w:type="dxa"/>
            <w:shd w:val="clear" w:color="000000" w:fill="D2DDE1"/>
            <w:noWrap/>
            <w:hideMark/>
          </w:tcPr>
          <w:p w14:paraId="388DB223" w14:textId="075B79CC" w:rsidR="005D1955" w:rsidRPr="0018386D" w:rsidRDefault="005D1955" w:rsidP="00DD3106">
            <w:pPr>
              <w:pStyle w:val="TableText"/>
              <w:spacing w:before="40" w:after="40"/>
              <w:rPr>
                <w:rFonts w:cs="Calibri"/>
                <w:szCs w:val="18"/>
              </w:rPr>
            </w:pPr>
            <w:r w:rsidRPr="0018386D">
              <w:rPr>
                <w:rFonts w:cs="Calibri"/>
                <w:szCs w:val="18"/>
              </w:rPr>
              <w:t>176.5</w:t>
            </w:r>
          </w:p>
        </w:tc>
      </w:tr>
      <w:tr w:rsidR="005D1955" w:rsidRPr="0018386D" w14:paraId="199EF85F" w14:textId="77777777" w:rsidTr="00F9421E">
        <w:trPr>
          <w:divId w:val="684402307"/>
        </w:trPr>
        <w:tc>
          <w:tcPr>
            <w:tcW w:w="8222" w:type="dxa"/>
            <w:shd w:val="clear" w:color="000000" w:fill="FFFFFF"/>
            <w:noWrap/>
            <w:hideMark/>
          </w:tcPr>
          <w:p w14:paraId="6EEA560B" w14:textId="77777777" w:rsidR="005D1955" w:rsidRPr="0018386D" w:rsidRDefault="005D1955" w:rsidP="00DD3106">
            <w:pPr>
              <w:pStyle w:val="TableText"/>
              <w:spacing w:before="40" w:after="40"/>
              <w:rPr>
                <w:rFonts w:cs="Calibri"/>
                <w:szCs w:val="18"/>
              </w:rPr>
            </w:pPr>
            <w:r w:rsidRPr="0018386D">
              <w:rPr>
                <w:rFonts w:cs="Calibri"/>
                <w:szCs w:val="18"/>
              </w:rPr>
              <w:t>Mexico</w:t>
            </w:r>
          </w:p>
        </w:tc>
        <w:tc>
          <w:tcPr>
            <w:tcW w:w="1857" w:type="dxa"/>
            <w:shd w:val="clear" w:color="000000" w:fill="D2DDE1"/>
            <w:noWrap/>
            <w:hideMark/>
          </w:tcPr>
          <w:p w14:paraId="5CDCB1D4" w14:textId="77777777" w:rsidR="005D1955" w:rsidRPr="0018386D" w:rsidRDefault="005D1955" w:rsidP="00DD3106">
            <w:pPr>
              <w:pStyle w:val="TableText"/>
              <w:spacing w:before="40" w:after="40"/>
              <w:rPr>
                <w:rFonts w:cs="Calibri"/>
                <w:szCs w:val="18"/>
              </w:rPr>
            </w:pPr>
            <w:r w:rsidRPr="0018386D">
              <w:rPr>
                <w:rFonts w:cs="Calibri"/>
                <w:szCs w:val="18"/>
              </w:rPr>
              <w:t>27.0</w:t>
            </w:r>
          </w:p>
        </w:tc>
      </w:tr>
      <w:tr w:rsidR="005D1955" w:rsidRPr="0018386D" w14:paraId="3FC48F1E" w14:textId="77777777" w:rsidTr="00F9421E">
        <w:trPr>
          <w:divId w:val="684402307"/>
        </w:trPr>
        <w:tc>
          <w:tcPr>
            <w:tcW w:w="8222" w:type="dxa"/>
            <w:shd w:val="clear" w:color="000000" w:fill="FFFFFF"/>
            <w:noWrap/>
            <w:hideMark/>
          </w:tcPr>
          <w:p w14:paraId="02AB0CA3" w14:textId="77777777" w:rsidR="005D1955" w:rsidRPr="0018386D" w:rsidRDefault="005D1955" w:rsidP="00DD3106">
            <w:pPr>
              <w:pStyle w:val="TableText"/>
              <w:spacing w:before="40" w:after="40"/>
              <w:rPr>
                <w:rFonts w:cs="Calibri"/>
                <w:szCs w:val="18"/>
              </w:rPr>
            </w:pPr>
            <w:r w:rsidRPr="0018386D">
              <w:rPr>
                <w:rFonts w:cs="Calibri"/>
                <w:szCs w:val="18"/>
              </w:rPr>
              <w:t>Morocco</w:t>
            </w:r>
          </w:p>
        </w:tc>
        <w:tc>
          <w:tcPr>
            <w:tcW w:w="1857" w:type="dxa"/>
            <w:shd w:val="clear" w:color="000000" w:fill="D2DDE1"/>
            <w:noWrap/>
            <w:hideMark/>
          </w:tcPr>
          <w:p w14:paraId="4ED440BE" w14:textId="5B5C4440" w:rsidR="005D1955" w:rsidRPr="0018386D" w:rsidRDefault="005D1955" w:rsidP="00DD3106">
            <w:pPr>
              <w:pStyle w:val="TableText"/>
              <w:spacing w:before="40" w:after="40"/>
              <w:rPr>
                <w:rFonts w:cs="Calibri"/>
                <w:szCs w:val="18"/>
              </w:rPr>
            </w:pPr>
            <w:r w:rsidRPr="0018386D">
              <w:rPr>
                <w:rFonts w:cs="Calibri"/>
                <w:szCs w:val="18"/>
              </w:rPr>
              <w:t>104.0</w:t>
            </w:r>
          </w:p>
        </w:tc>
      </w:tr>
      <w:tr w:rsidR="005D1955" w:rsidRPr="0018386D" w14:paraId="7D9FEF8B" w14:textId="77777777" w:rsidTr="00F9421E">
        <w:trPr>
          <w:divId w:val="684402307"/>
        </w:trPr>
        <w:tc>
          <w:tcPr>
            <w:tcW w:w="8222" w:type="dxa"/>
            <w:shd w:val="clear" w:color="000000" w:fill="FFFFFF"/>
            <w:noWrap/>
            <w:hideMark/>
          </w:tcPr>
          <w:p w14:paraId="72B3406C" w14:textId="77777777" w:rsidR="005D1955" w:rsidRPr="0018386D" w:rsidRDefault="005D1955" w:rsidP="00DD3106">
            <w:pPr>
              <w:pStyle w:val="TableText"/>
              <w:spacing w:before="40" w:after="40"/>
              <w:rPr>
                <w:rFonts w:cs="Calibri"/>
                <w:szCs w:val="18"/>
              </w:rPr>
            </w:pPr>
            <w:r w:rsidRPr="0018386D">
              <w:rPr>
                <w:rFonts w:cs="Calibri"/>
                <w:szCs w:val="18"/>
              </w:rPr>
              <w:t>Netherlands</w:t>
            </w:r>
          </w:p>
        </w:tc>
        <w:tc>
          <w:tcPr>
            <w:tcW w:w="1857" w:type="dxa"/>
            <w:shd w:val="clear" w:color="000000" w:fill="D2DDE1"/>
            <w:noWrap/>
            <w:hideMark/>
          </w:tcPr>
          <w:p w14:paraId="6B0017DA" w14:textId="77777777" w:rsidR="005D1955" w:rsidRPr="0018386D" w:rsidRDefault="005D1955" w:rsidP="00DD3106">
            <w:pPr>
              <w:pStyle w:val="TableText"/>
              <w:spacing w:before="40" w:after="40"/>
              <w:rPr>
                <w:rFonts w:cs="Calibri"/>
                <w:szCs w:val="18"/>
              </w:rPr>
            </w:pPr>
            <w:r w:rsidRPr="0018386D">
              <w:rPr>
                <w:rFonts w:cs="Calibri"/>
                <w:szCs w:val="18"/>
              </w:rPr>
              <w:t>21.2</w:t>
            </w:r>
          </w:p>
        </w:tc>
      </w:tr>
      <w:tr w:rsidR="005D1955" w:rsidRPr="0018386D" w14:paraId="318DE4AC" w14:textId="77777777" w:rsidTr="00F9421E">
        <w:trPr>
          <w:divId w:val="684402307"/>
        </w:trPr>
        <w:tc>
          <w:tcPr>
            <w:tcW w:w="8222" w:type="dxa"/>
            <w:shd w:val="clear" w:color="000000" w:fill="FFFFFF"/>
            <w:noWrap/>
            <w:hideMark/>
          </w:tcPr>
          <w:p w14:paraId="7BB59051" w14:textId="77777777" w:rsidR="005D1955" w:rsidRPr="0018386D" w:rsidRDefault="005D1955" w:rsidP="00DD3106">
            <w:pPr>
              <w:pStyle w:val="TableText"/>
              <w:spacing w:before="40" w:after="40"/>
              <w:rPr>
                <w:rFonts w:cs="Calibri"/>
                <w:szCs w:val="18"/>
              </w:rPr>
            </w:pPr>
            <w:r w:rsidRPr="0018386D">
              <w:rPr>
                <w:rFonts w:cs="Calibri"/>
                <w:szCs w:val="18"/>
              </w:rPr>
              <w:t>New Zealand</w:t>
            </w:r>
          </w:p>
        </w:tc>
        <w:tc>
          <w:tcPr>
            <w:tcW w:w="1857" w:type="dxa"/>
            <w:shd w:val="clear" w:color="000000" w:fill="D2DDE1"/>
            <w:noWrap/>
            <w:hideMark/>
          </w:tcPr>
          <w:p w14:paraId="4C03317A" w14:textId="5DE4A68B" w:rsidR="005D1955" w:rsidRPr="0018386D" w:rsidRDefault="005D1955" w:rsidP="00DD3106">
            <w:pPr>
              <w:pStyle w:val="TableText"/>
              <w:spacing w:before="40" w:after="40"/>
              <w:rPr>
                <w:rFonts w:cs="Calibri"/>
                <w:szCs w:val="18"/>
              </w:rPr>
            </w:pPr>
            <w:r w:rsidRPr="0018386D">
              <w:rPr>
                <w:rFonts w:cs="Calibri"/>
                <w:szCs w:val="18"/>
              </w:rPr>
              <w:t>9.4</w:t>
            </w:r>
          </w:p>
        </w:tc>
      </w:tr>
      <w:tr w:rsidR="005D1955" w:rsidRPr="0018386D" w14:paraId="62184682" w14:textId="77777777" w:rsidTr="00F9421E">
        <w:trPr>
          <w:divId w:val="684402307"/>
        </w:trPr>
        <w:tc>
          <w:tcPr>
            <w:tcW w:w="8222" w:type="dxa"/>
            <w:shd w:val="clear" w:color="000000" w:fill="FFFFFF"/>
            <w:noWrap/>
            <w:hideMark/>
          </w:tcPr>
          <w:p w14:paraId="2B8A5BAC" w14:textId="77777777" w:rsidR="005D1955" w:rsidRPr="0018386D" w:rsidRDefault="005D1955" w:rsidP="00DD3106">
            <w:pPr>
              <w:pStyle w:val="TableText"/>
              <w:spacing w:before="40" w:after="40"/>
              <w:rPr>
                <w:rFonts w:cs="Calibri"/>
                <w:szCs w:val="18"/>
              </w:rPr>
            </w:pPr>
            <w:r w:rsidRPr="0018386D">
              <w:rPr>
                <w:rFonts w:cs="Calibri"/>
                <w:szCs w:val="18"/>
              </w:rPr>
              <w:t>Oman</w:t>
            </w:r>
          </w:p>
        </w:tc>
        <w:tc>
          <w:tcPr>
            <w:tcW w:w="1857" w:type="dxa"/>
            <w:shd w:val="clear" w:color="000000" w:fill="D2DDE1"/>
            <w:noWrap/>
            <w:hideMark/>
          </w:tcPr>
          <w:p w14:paraId="6DDA1303" w14:textId="27D5FAD7" w:rsidR="005D1955" w:rsidRPr="0018386D" w:rsidRDefault="005D1955" w:rsidP="00DD3106">
            <w:pPr>
              <w:pStyle w:val="TableText"/>
              <w:spacing w:before="40" w:after="40"/>
              <w:rPr>
                <w:rFonts w:cs="Calibri"/>
                <w:szCs w:val="18"/>
              </w:rPr>
            </w:pPr>
            <w:r w:rsidRPr="0018386D">
              <w:rPr>
                <w:rFonts w:cs="Calibri"/>
                <w:szCs w:val="18"/>
              </w:rPr>
              <w:t>117.3</w:t>
            </w:r>
          </w:p>
        </w:tc>
      </w:tr>
      <w:tr w:rsidR="005D1955" w:rsidRPr="0018386D" w14:paraId="26D869CB" w14:textId="77777777" w:rsidTr="00F9421E">
        <w:trPr>
          <w:divId w:val="684402307"/>
        </w:trPr>
        <w:tc>
          <w:tcPr>
            <w:tcW w:w="8222" w:type="dxa"/>
            <w:shd w:val="clear" w:color="000000" w:fill="FFFFFF"/>
            <w:noWrap/>
            <w:hideMark/>
          </w:tcPr>
          <w:p w14:paraId="5855E322" w14:textId="77777777" w:rsidR="005D1955" w:rsidRPr="0018386D" w:rsidRDefault="005D1955" w:rsidP="00DD3106">
            <w:pPr>
              <w:pStyle w:val="TableText"/>
              <w:spacing w:before="40" w:after="40"/>
              <w:rPr>
                <w:rFonts w:cs="Calibri"/>
                <w:szCs w:val="18"/>
              </w:rPr>
            </w:pPr>
            <w:r w:rsidRPr="0018386D">
              <w:rPr>
                <w:rFonts w:cs="Calibri"/>
                <w:szCs w:val="18"/>
              </w:rPr>
              <w:t>Panama</w:t>
            </w:r>
          </w:p>
        </w:tc>
        <w:tc>
          <w:tcPr>
            <w:tcW w:w="1857" w:type="dxa"/>
            <w:shd w:val="clear" w:color="000000" w:fill="D2DDE1"/>
            <w:noWrap/>
            <w:hideMark/>
          </w:tcPr>
          <w:p w14:paraId="3E964B6D" w14:textId="77777777" w:rsidR="005D1955" w:rsidRPr="0018386D" w:rsidRDefault="005D1955" w:rsidP="00DD3106">
            <w:pPr>
              <w:pStyle w:val="TableText"/>
              <w:spacing w:before="40" w:after="40"/>
              <w:rPr>
                <w:rFonts w:cs="Calibri"/>
                <w:szCs w:val="18"/>
              </w:rPr>
            </w:pPr>
            <w:r w:rsidRPr="0018386D">
              <w:rPr>
                <w:rFonts w:cs="Calibri"/>
                <w:szCs w:val="18"/>
              </w:rPr>
              <w:t>23.7</w:t>
            </w:r>
          </w:p>
        </w:tc>
      </w:tr>
      <w:tr w:rsidR="005D1955" w:rsidRPr="0018386D" w14:paraId="56815F68" w14:textId="77777777" w:rsidTr="00F9421E">
        <w:trPr>
          <w:divId w:val="684402307"/>
        </w:trPr>
        <w:tc>
          <w:tcPr>
            <w:tcW w:w="8222" w:type="dxa"/>
            <w:shd w:val="clear" w:color="000000" w:fill="FFFFFF"/>
            <w:noWrap/>
            <w:hideMark/>
          </w:tcPr>
          <w:p w14:paraId="575F5860" w14:textId="77777777" w:rsidR="005D1955" w:rsidRPr="0018386D" w:rsidRDefault="005D1955" w:rsidP="00DD3106">
            <w:pPr>
              <w:pStyle w:val="TableText"/>
              <w:spacing w:before="40" w:after="40"/>
              <w:rPr>
                <w:rFonts w:cs="Calibri"/>
                <w:szCs w:val="18"/>
              </w:rPr>
            </w:pPr>
            <w:r w:rsidRPr="0018386D">
              <w:rPr>
                <w:rFonts w:cs="Calibri"/>
                <w:szCs w:val="18"/>
              </w:rPr>
              <w:t>Peru</w:t>
            </w:r>
          </w:p>
        </w:tc>
        <w:tc>
          <w:tcPr>
            <w:tcW w:w="1857" w:type="dxa"/>
            <w:shd w:val="clear" w:color="000000" w:fill="D2DDE1"/>
            <w:noWrap/>
            <w:hideMark/>
          </w:tcPr>
          <w:p w14:paraId="28837738" w14:textId="77777777" w:rsidR="005D1955" w:rsidRPr="0018386D" w:rsidRDefault="005D1955" w:rsidP="00DD3106">
            <w:pPr>
              <w:pStyle w:val="TableText"/>
              <w:spacing w:before="40" w:after="40"/>
              <w:rPr>
                <w:rFonts w:cs="Calibri"/>
                <w:szCs w:val="18"/>
              </w:rPr>
            </w:pPr>
            <w:r w:rsidRPr="0018386D">
              <w:rPr>
                <w:rFonts w:cs="Calibri"/>
                <w:szCs w:val="18"/>
              </w:rPr>
              <w:t>29.9</w:t>
            </w:r>
          </w:p>
        </w:tc>
      </w:tr>
      <w:tr w:rsidR="005D1955" w:rsidRPr="0018386D" w14:paraId="1508C023" w14:textId="77777777" w:rsidTr="00F9421E">
        <w:trPr>
          <w:divId w:val="684402307"/>
        </w:trPr>
        <w:tc>
          <w:tcPr>
            <w:tcW w:w="8222" w:type="dxa"/>
            <w:shd w:val="clear" w:color="000000" w:fill="FFFFFF"/>
            <w:noWrap/>
            <w:hideMark/>
          </w:tcPr>
          <w:p w14:paraId="3C35FE3C" w14:textId="77777777" w:rsidR="005D1955" w:rsidRPr="0018386D" w:rsidRDefault="005D1955" w:rsidP="00DD3106">
            <w:pPr>
              <w:pStyle w:val="TableText"/>
              <w:spacing w:before="40" w:after="40"/>
              <w:rPr>
                <w:rFonts w:cs="Calibri"/>
                <w:szCs w:val="18"/>
              </w:rPr>
            </w:pPr>
            <w:r w:rsidRPr="0018386D">
              <w:rPr>
                <w:rFonts w:cs="Calibri"/>
                <w:szCs w:val="18"/>
              </w:rPr>
              <w:t>Philippines</w:t>
            </w:r>
          </w:p>
        </w:tc>
        <w:tc>
          <w:tcPr>
            <w:tcW w:w="1857" w:type="dxa"/>
            <w:shd w:val="clear" w:color="000000" w:fill="D2DDE1"/>
            <w:noWrap/>
            <w:hideMark/>
          </w:tcPr>
          <w:p w14:paraId="54928BC4" w14:textId="77777777" w:rsidR="005D1955" w:rsidRPr="0018386D" w:rsidRDefault="005D1955" w:rsidP="00DD3106">
            <w:pPr>
              <w:pStyle w:val="TableText"/>
              <w:spacing w:before="40" w:after="40"/>
              <w:rPr>
                <w:rFonts w:cs="Calibri"/>
                <w:szCs w:val="18"/>
              </w:rPr>
            </w:pPr>
            <w:r w:rsidRPr="0018386D">
              <w:rPr>
                <w:rFonts w:cs="Calibri"/>
                <w:szCs w:val="18"/>
              </w:rPr>
              <w:t>62.9</w:t>
            </w:r>
          </w:p>
        </w:tc>
      </w:tr>
      <w:tr w:rsidR="005D1955" w:rsidRPr="0018386D" w14:paraId="2939D888" w14:textId="77777777" w:rsidTr="00F9421E">
        <w:trPr>
          <w:divId w:val="684402307"/>
        </w:trPr>
        <w:tc>
          <w:tcPr>
            <w:tcW w:w="8222" w:type="dxa"/>
            <w:shd w:val="clear" w:color="000000" w:fill="FFFFFF"/>
            <w:noWrap/>
            <w:hideMark/>
          </w:tcPr>
          <w:p w14:paraId="0BBFC1B4" w14:textId="77777777" w:rsidR="005D1955" w:rsidRPr="0018386D" w:rsidRDefault="005D1955" w:rsidP="00DD3106">
            <w:pPr>
              <w:pStyle w:val="TableText"/>
              <w:spacing w:before="40" w:after="40"/>
              <w:rPr>
                <w:rFonts w:cs="Calibri"/>
                <w:szCs w:val="18"/>
              </w:rPr>
            </w:pPr>
            <w:r w:rsidRPr="0018386D">
              <w:rPr>
                <w:rFonts w:cs="Calibri"/>
                <w:szCs w:val="18"/>
              </w:rPr>
              <w:t>Poland</w:t>
            </w:r>
          </w:p>
        </w:tc>
        <w:tc>
          <w:tcPr>
            <w:tcW w:w="1857" w:type="dxa"/>
            <w:shd w:val="clear" w:color="000000" w:fill="D2DDE1"/>
            <w:noWrap/>
            <w:hideMark/>
          </w:tcPr>
          <w:p w14:paraId="286441B7" w14:textId="77777777" w:rsidR="005D1955" w:rsidRPr="0018386D" w:rsidRDefault="005D1955" w:rsidP="00DD3106">
            <w:pPr>
              <w:pStyle w:val="TableText"/>
              <w:spacing w:before="40" w:after="40"/>
              <w:rPr>
                <w:rFonts w:cs="Calibri"/>
                <w:szCs w:val="18"/>
              </w:rPr>
            </w:pPr>
            <w:r w:rsidRPr="0018386D">
              <w:rPr>
                <w:rFonts w:cs="Calibri"/>
                <w:szCs w:val="18"/>
              </w:rPr>
              <w:t>35.8</w:t>
            </w:r>
          </w:p>
        </w:tc>
      </w:tr>
      <w:tr w:rsidR="005D1955" w:rsidRPr="0018386D" w14:paraId="1BD3BD83" w14:textId="77777777" w:rsidTr="00F9421E">
        <w:trPr>
          <w:divId w:val="684402307"/>
        </w:trPr>
        <w:tc>
          <w:tcPr>
            <w:tcW w:w="8222" w:type="dxa"/>
            <w:shd w:val="clear" w:color="000000" w:fill="FFFFFF"/>
            <w:noWrap/>
            <w:hideMark/>
          </w:tcPr>
          <w:p w14:paraId="2B34A516" w14:textId="77777777" w:rsidR="005D1955" w:rsidRPr="0018386D" w:rsidRDefault="005D1955" w:rsidP="00DD3106">
            <w:pPr>
              <w:pStyle w:val="TableText"/>
              <w:spacing w:before="40" w:after="40"/>
              <w:rPr>
                <w:rFonts w:cs="Calibri"/>
                <w:szCs w:val="18"/>
              </w:rPr>
            </w:pPr>
            <w:r w:rsidRPr="0018386D">
              <w:rPr>
                <w:rFonts w:cs="Calibri"/>
                <w:szCs w:val="18"/>
              </w:rPr>
              <w:t>Portugal</w:t>
            </w:r>
          </w:p>
        </w:tc>
        <w:tc>
          <w:tcPr>
            <w:tcW w:w="1857" w:type="dxa"/>
            <w:shd w:val="clear" w:color="000000" w:fill="D2DDE1"/>
            <w:noWrap/>
            <w:hideMark/>
          </w:tcPr>
          <w:p w14:paraId="378F9F01" w14:textId="77777777" w:rsidR="005D1955" w:rsidRPr="0018386D" w:rsidRDefault="005D1955" w:rsidP="00DD3106">
            <w:pPr>
              <w:pStyle w:val="TableText"/>
              <w:spacing w:before="40" w:after="40"/>
              <w:rPr>
                <w:rFonts w:cs="Calibri"/>
                <w:szCs w:val="18"/>
              </w:rPr>
            </w:pPr>
            <w:r w:rsidRPr="0018386D">
              <w:rPr>
                <w:rFonts w:cs="Calibri"/>
                <w:szCs w:val="18"/>
              </w:rPr>
              <w:t>27.2</w:t>
            </w:r>
          </w:p>
        </w:tc>
      </w:tr>
      <w:tr w:rsidR="005D1955" w:rsidRPr="0018386D" w14:paraId="7480A81B" w14:textId="77777777" w:rsidTr="00F9421E">
        <w:trPr>
          <w:divId w:val="684402307"/>
        </w:trPr>
        <w:tc>
          <w:tcPr>
            <w:tcW w:w="8222" w:type="dxa"/>
            <w:shd w:val="clear" w:color="000000" w:fill="FFFFFF"/>
            <w:noWrap/>
            <w:hideMark/>
          </w:tcPr>
          <w:p w14:paraId="2519FD65" w14:textId="77777777" w:rsidR="005D1955" w:rsidRPr="0018386D" w:rsidRDefault="005D1955" w:rsidP="00DD3106">
            <w:pPr>
              <w:pStyle w:val="TableText"/>
              <w:spacing w:before="40" w:after="40"/>
              <w:rPr>
                <w:rFonts w:cs="Calibri"/>
                <w:szCs w:val="18"/>
              </w:rPr>
            </w:pPr>
            <w:r w:rsidRPr="0018386D">
              <w:rPr>
                <w:rFonts w:cs="Calibri"/>
                <w:szCs w:val="18"/>
              </w:rPr>
              <w:lastRenderedPageBreak/>
              <w:t>Qatar</w:t>
            </w:r>
          </w:p>
        </w:tc>
        <w:tc>
          <w:tcPr>
            <w:tcW w:w="1857" w:type="dxa"/>
            <w:shd w:val="clear" w:color="000000" w:fill="D2DDE1"/>
            <w:noWrap/>
            <w:hideMark/>
          </w:tcPr>
          <w:p w14:paraId="2B04DC35" w14:textId="6CCCE495" w:rsidR="005D1955" w:rsidRPr="0018386D" w:rsidRDefault="005D1955" w:rsidP="00DD3106">
            <w:pPr>
              <w:pStyle w:val="TableText"/>
              <w:spacing w:before="40" w:after="40"/>
              <w:rPr>
                <w:rFonts w:cs="Calibri"/>
                <w:szCs w:val="18"/>
              </w:rPr>
            </w:pPr>
            <w:r w:rsidRPr="0018386D">
              <w:rPr>
                <w:rFonts w:cs="Calibri"/>
                <w:szCs w:val="18"/>
              </w:rPr>
              <w:t>104.9</w:t>
            </w:r>
          </w:p>
        </w:tc>
      </w:tr>
      <w:tr w:rsidR="005D1955" w:rsidRPr="0018386D" w14:paraId="64F90346" w14:textId="77777777" w:rsidTr="00F9421E">
        <w:trPr>
          <w:divId w:val="684402307"/>
        </w:trPr>
        <w:tc>
          <w:tcPr>
            <w:tcW w:w="8222" w:type="dxa"/>
            <w:shd w:val="clear" w:color="000000" w:fill="FFFFFF"/>
            <w:noWrap/>
            <w:hideMark/>
          </w:tcPr>
          <w:p w14:paraId="06BDFF42" w14:textId="77777777" w:rsidR="005D1955" w:rsidRPr="0018386D" w:rsidRDefault="005D1955" w:rsidP="00DD3106">
            <w:pPr>
              <w:pStyle w:val="TableText"/>
              <w:spacing w:before="40" w:after="40"/>
              <w:rPr>
                <w:rFonts w:cs="Calibri"/>
                <w:szCs w:val="18"/>
              </w:rPr>
            </w:pPr>
            <w:r w:rsidRPr="0018386D">
              <w:rPr>
                <w:rFonts w:cs="Calibri"/>
                <w:szCs w:val="18"/>
              </w:rPr>
              <w:t>Romania</w:t>
            </w:r>
          </w:p>
        </w:tc>
        <w:tc>
          <w:tcPr>
            <w:tcW w:w="1857" w:type="dxa"/>
            <w:shd w:val="clear" w:color="000000" w:fill="D2DDE1"/>
            <w:noWrap/>
            <w:hideMark/>
          </w:tcPr>
          <w:p w14:paraId="20EAA642" w14:textId="77777777" w:rsidR="005D1955" w:rsidRPr="0018386D" w:rsidRDefault="005D1955" w:rsidP="00DD3106">
            <w:pPr>
              <w:pStyle w:val="TableText"/>
              <w:spacing w:before="40" w:after="40"/>
              <w:rPr>
                <w:rFonts w:cs="Calibri"/>
                <w:szCs w:val="18"/>
              </w:rPr>
            </w:pPr>
            <w:r w:rsidRPr="0018386D">
              <w:rPr>
                <w:rFonts w:cs="Calibri"/>
                <w:szCs w:val="18"/>
              </w:rPr>
              <w:t>25.5</w:t>
            </w:r>
          </w:p>
        </w:tc>
      </w:tr>
      <w:tr w:rsidR="005D1955" w:rsidRPr="0018386D" w14:paraId="4A682343" w14:textId="77777777" w:rsidTr="00F9421E">
        <w:trPr>
          <w:divId w:val="684402307"/>
        </w:trPr>
        <w:tc>
          <w:tcPr>
            <w:tcW w:w="8222" w:type="dxa"/>
            <w:shd w:val="clear" w:color="000000" w:fill="FFFFFF"/>
            <w:noWrap/>
            <w:hideMark/>
          </w:tcPr>
          <w:p w14:paraId="3FFF7157" w14:textId="77777777" w:rsidR="005D1955" w:rsidRPr="0018386D" w:rsidRDefault="005D1955" w:rsidP="00DD3106">
            <w:pPr>
              <w:pStyle w:val="TableText"/>
              <w:spacing w:before="40" w:after="40"/>
              <w:rPr>
                <w:rFonts w:cs="Calibri"/>
                <w:szCs w:val="18"/>
              </w:rPr>
            </w:pPr>
            <w:r w:rsidRPr="0018386D">
              <w:rPr>
                <w:rFonts w:cs="Calibri"/>
                <w:szCs w:val="18"/>
              </w:rPr>
              <w:t>Russian Federation</w:t>
            </w:r>
          </w:p>
        </w:tc>
        <w:tc>
          <w:tcPr>
            <w:tcW w:w="1857" w:type="dxa"/>
            <w:shd w:val="clear" w:color="000000" w:fill="D2DDE1"/>
            <w:noWrap/>
            <w:hideMark/>
          </w:tcPr>
          <w:p w14:paraId="718D0790" w14:textId="77777777" w:rsidR="005D1955" w:rsidRPr="0018386D" w:rsidRDefault="005D1955" w:rsidP="00DD3106">
            <w:pPr>
              <w:pStyle w:val="TableText"/>
              <w:spacing w:before="40" w:after="40"/>
              <w:rPr>
                <w:rFonts w:cs="Calibri"/>
                <w:szCs w:val="18"/>
              </w:rPr>
            </w:pPr>
            <w:r w:rsidRPr="0018386D">
              <w:rPr>
                <w:rFonts w:cs="Calibri"/>
                <w:szCs w:val="18"/>
              </w:rPr>
              <w:t>30.9</w:t>
            </w:r>
          </w:p>
        </w:tc>
      </w:tr>
      <w:tr w:rsidR="005D1955" w:rsidRPr="0018386D" w14:paraId="253A861E" w14:textId="77777777" w:rsidTr="00F9421E">
        <w:trPr>
          <w:divId w:val="684402307"/>
        </w:trPr>
        <w:tc>
          <w:tcPr>
            <w:tcW w:w="8222" w:type="dxa"/>
            <w:shd w:val="clear" w:color="000000" w:fill="FFFFFF"/>
            <w:noWrap/>
            <w:hideMark/>
          </w:tcPr>
          <w:p w14:paraId="181D963D" w14:textId="77777777" w:rsidR="005D1955" w:rsidRPr="0018386D" w:rsidRDefault="005D1955" w:rsidP="00DD3106">
            <w:pPr>
              <w:pStyle w:val="TableText"/>
              <w:spacing w:before="40" w:after="40"/>
              <w:rPr>
                <w:rFonts w:cs="Calibri"/>
                <w:szCs w:val="18"/>
              </w:rPr>
            </w:pPr>
            <w:r w:rsidRPr="0018386D">
              <w:rPr>
                <w:rFonts w:cs="Calibri"/>
                <w:szCs w:val="18"/>
              </w:rPr>
              <w:t>Saudi Arabia</w:t>
            </w:r>
          </w:p>
        </w:tc>
        <w:tc>
          <w:tcPr>
            <w:tcW w:w="1857" w:type="dxa"/>
            <w:shd w:val="clear" w:color="000000" w:fill="D2DDE1"/>
            <w:noWrap/>
            <w:hideMark/>
          </w:tcPr>
          <w:p w14:paraId="5FCF0D35" w14:textId="0B6A153A" w:rsidR="005D1955" w:rsidRPr="0018386D" w:rsidRDefault="005D1955" w:rsidP="00DD3106">
            <w:pPr>
              <w:pStyle w:val="TableText"/>
              <w:spacing w:before="40" w:after="40"/>
              <w:rPr>
                <w:rFonts w:cs="Calibri"/>
                <w:szCs w:val="18"/>
              </w:rPr>
            </w:pPr>
            <w:r w:rsidRPr="0018386D">
              <w:rPr>
                <w:rFonts w:cs="Calibri"/>
                <w:szCs w:val="18"/>
              </w:rPr>
              <w:t>112.5</w:t>
            </w:r>
          </w:p>
        </w:tc>
      </w:tr>
      <w:tr w:rsidR="005D1955" w:rsidRPr="0018386D" w14:paraId="12368555" w14:textId="77777777" w:rsidTr="00F9421E">
        <w:trPr>
          <w:divId w:val="684402307"/>
        </w:trPr>
        <w:tc>
          <w:tcPr>
            <w:tcW w:w="8222" w:type="dxa"/>
            <w:shd w:val="clear" w:color="000000" w:fill="FFFFFF"/>
            <w:noWrap/>
            <w:hideMark/>
          </w:tcPr>
          <w:p w14:paraId="5137FAE6" w14:textId="77777777" w:rsidR="005D1955" w:rsidRPr="0018386D" w:rsidRDefault="005D1955" w:rsidP="00DD3106">
            <w:pPr>
              <w:pStyle w:val="TableText"/>
              <w:spacing w:before="40" w:after="40"/>
              <w:rPr>
                <w:rFonts w:cs="Calibri"/>
                <w:szCs w:val="18"/>
              </w:rPr>
            </w:pPr>
            <w:r w:rsidRPr="0018386D">
              <w:rPr>
                <w:rFonts w:cs="Calibri"/>
                <w:szCs w:val="18"/>
              </w:rPr>
              <w:t>Singapore</w:t>
            </w:r>
          </w:p>
        </w:tc>
        <w:tc>
          <w:tcPr>
            <w:tcW w:w="1857" w:type="dxa"/>
            <w:shd w:val="clear" w:color="000000" w:fill="D2DDE1"/>
            <w:noWrap/>
            <w:hideMark/>
          </w:tcPr>
          <w:p w14:paraId="2059058C" w14:textId="77777777" w:rsidR="005D1955" w:rsidRPr="0018386D" w:rsidRDefault="005D1955" w:rsidP="00DD3106">
            <w:pPr>
              <w:pStyle w:val="TableText"/>
              <w:spacing w:before="40" w:after="40"/>
              <w:rPr>
                <w:rFonts w:cs="Calibri"/>
                <w:szCs w:val="18"/>
              </w:rPr>
            </w:pPr>
            <w:r w:rsidRPr="0018386D">
              <w:rPr>
                <w:rFonts w:cs="Calibri"/>
                <w:szCs w:val="18"/>
              </w:rPr>
              <w:t>28.5</w:t>
            </w:r>
          </w:p>
        </w:tc>
      </w:tr>
      <w:tr w:rsidR="005D1955" w:rsidRPr="0018386D" w14:paraId="24112B6E" w14:textId="77777777" w:rsidTr="00F9421E">
        <w:trPr>
          <w:divId w:val="684402307"/>
        </w:trPr>
        <w:tc>
          <w:tcPr>
            <w:tcW w:w="8222" w:type="dxa"/>
            <w:shd w:val="clear" w:color="000000" w:fill="FFFFFF"/>
            <w:noWrap/>
            <w:hideMark/>
          </w:tcPr>
          <w:p w14:paraId="50A5CD91" w14:textId="77777777" w:rsidR="005D1955" w:rsidRPr="0018386D" w:rsidRDefault="005D1955" w:rsidP="00DD3106">
            <w:pPr>
              <w:pStyle w:val="TableText"/>
              <w:spacing w:before="40" w:after="40"/>
              <w:rPr>
                <w:rFonts w:cs="Calibri"/>
                <w:szCs w:val="18"/>
              </w:rPr>
            </w:pPr>
            <w:r w:rsidRPr="0018386D">
              <w:rPr>
                <w:rFonts w:cs="Calibri"/>
                <w:szCs w:val="18"/>
              </w:rPr>
              <w:t>South Africa</w:t>
            </w:r>
          </w:p>
        </w:tc>
        <w:tc>
          <w:tcPr>
            <w:tcW w:w="1857" w:type="dxa"/>
            <w:shd w:val="clear" w:color="000000" w:fill="D2DDE1"/>
            <w:noWrap/>
            <w:hideMark/>
          </w:tcPr>
          <w:p w14:paraId="4873F880" w14:textId="77777777" w:rsidR="005D1955" w:rsidRPr="0018386D" w:rsidRDefault="005D1955" w:rsidP="00DD3106">
            <w:pPr>
              <w:pStyle w:val="TableText"/>
              <w:spacing w:before="40" w:after="40"/>
              <w:rPr>
                <w:rFonts w:cs="Calibri"/>
                <w:szCs w:val="18"/>
              </w:rPr>
            </w:pPr>
            <w:r w:rsidRPr="0018386D">
              <w:rPr>
                <w:rFonts w:cs="Calibri"/>
                <w:szCs w:val="18"/>
              </w:rPr>
              <w:t>56.6</w:t>
            </w:r>
          </w:p>
        </w:tc>
      </w:tr>
      <w:tr w:rsidR="005D1955" w:rsidRPr="0018386D" w14:paraId="29AF3957" w14:textId="77777777" w:rsidTr="00F9421E">
        <w:trPr>
          <w:divId w:val="684402307"/>
        </w:trPr>
        <w:tc>
          <w:tcPr>
            <w:tcW w:w="8222" w:type="dxa"/>
            <w:shd w:val="clear" w:color="000000" w:fill="FFFFFF"/>
            <w:noWrap/>
            <w:hideMark/>
          </w:tcPr>
          <w:p w14:paraId="41BBE823" w14:textId="77777777" w:rsidR="005D1955" w:rsidRPr="0018386D" w:rsidRDefault="005D1955" w:rsidP="00DD3106">
            <w:pPr>
              <w:pStyle w:val="TableText"/>
              <w:spacing w:before="40" w:after="40"/>
              <w:rPr>
                <w:rFonts w:cs="Calibri"/>
                <w:szCs w:val="18"/>
              </w:rPr>
            </w:pPr>
            <w:r w:rsidRPr="0018386D">
              <w:rPr>
                <w:rFonts w:cs="Calibri"/>
                <w:szCs w:val="18"/>
              </w:rPr>
              <w:t>South Korea</w:t>
            </w:r>
          </w:p>
        </w:tc>
        <w:tc>
          <w:tcPr>
            <w:tcW w:w="1857" w:type="dxa"/>
            <w:shd w:val="clear" w:color="000000" w:fill="D2DDE1"/>
            <w:noWrap/>
            <w:hideMark/>
          </w:tcPr>
          <w:p w14:paraId="0F9A3350" w14:textId="77777777" w:rsidR="005D1955" w:rsidRPr="0018386D" w:rsidRDefault="005D1955" w:rsidP="00DD3106">
            <w:pPr>
              <w:pStyle w:val="TableText"/>
              <w:spacing w:before="40" w:after="40"/>
              <w:rPr>
                <w:rFonts w:cs="Calibri"/>
                <w:szCs w:val="18"/>
              </w:rPr>
            </w:pPr>
            <w:r w:rsidRPr="0018386D">
              <w:rPr>
                <w:rFonts w:cs="Calibri"/>
                <w:szCs w:val="18"/>
              </w:rPr>
              <w:t>56.5</w:t>
            </w:r>
          </w:p>
        </w:tc>
      </w:tr>
      <w:tr w:rsidR="005D1955" w:rsidRPr="0018386D" w14:paraId="6D0D5D37" w14:textId="77777777" w:rsidTr="00F9421E">
        <w:trPr>
          <w:divId w:val="684402307"/>
        </w:trPr>
        <w:tc>
          <w:tcPr>
            <w:tcW w:w="8222" w:type="dxa"/>
            <w:shd w:val="clear" w:color="000000" w:fill="FFFFFF"/>
            <w:noWrap/>
            <w:hideMark/>
          </w:tcPr>
          <w:p w14:paraId="423777B3" w14:textId="77777777" w:rsidR="005D1955" w:rsidRPr="0018386D" w:rsidRDefault="005D1955" w:rsidP="00DD3106">
            <w:pPr>
              <w:pStyle w:val="TableText"/>
              <w:spacing w:before="40" w:after="40"/>
              <w:rPr>
                <w:rFonts w:cs="Calibri"/>
                <w:szCs w:val="18"/>
              </w:rPr>
            </w:pPr>
            <w:r w:rsidRPr="0018386D">
              <w:rPr>
                <w:rFonts w:cs="Calibri"/>
                <w:szCs w:val="18"/>
              </w:rPr>
              <w:t>Spain</w:t>
            </w:r>
          </w:p>
        </w:tc>
        <w:tc>
          <w:tcPr>
            <w:tcW w:w="1857" w:type="dxa"/>
            <w:shd w:val="clear" w:color="000000" w:fill="D2DDE1"/>
            <w:noWrap/>
            <w:hideMark/>
          </w:tcPr>
          <w:p w14:paraId="17E2A62A" w14:textId="77777777" w:rsidR="005D1955" w:rsidRPr="0018386D" w:rsidRDefault="005D1955" w:rsidP="00DD3106">
            <w:pPr>
              <w:pStyle w:val="TableText"/>
              <w:spacing w:before="40" w:after="40"/>
              <w:rPr>
                <w:rFonts w:cs="Calibri"/>
                <w:szCs w:val="18"/>
              </w:rPr>
            </w:pPr>
            <w:r w:rsidRPr="0018386D">
              <w:rPr>
                <w:rFonts w:cs="Calibri"/>
                <w:szCs w:val="18"/>
              </w:rPr>
              <w:t>16.3</w:t>
            </w:r>
          </w:p>
        </w:tc>
      </w:tr>
      <w:tr w:rsidR="005D1955" w:rsidRPr="0018386D" w14:paraId="2655814B" w14:textId="77777777" w:rsidTr="00F9421E">
        <w:trPr>
          <w:divId w:val="684402307"/>
        </w:trPr>
        <w:tc>
          <w:tcPr>
            <w:tcW w:w="8222" w:type="dxa"/>
            <w:shd w:val="clear" w:color="000000" w:fill="FFFFFF"/>
            <w:noWrap/>
            <w:hideMark/>
          </w:tcPr>
          <w:p w14:paraId="34BDFD85" w14:textId="77777777" w:rsidR="005D1955" w:rsidRPr="0018386D" w:rsidRDefault="005D1955" w:rsidP="00DD3106">
            <w:pPr>
              <w:pStyle w:val="TableText"/>
              <w:spacing w:before="40" w:after="40"/>
              <w:rPr>
                <w:rFonts w:cs="Calibri"/>
                <w:szCs w:val="18"/>
              </w:rPr>
            </w:pPr>
            <w:r w:rsidRPr="0018386D">
              <w:rPr>
                <w:rFonts w:cs="Calibri"/>
                <w:szCs w:val="18"/>
              </w:rPr>
              <w:t>Switzerland</w:t>
            </w:r>
          </w:p>
        </w:tc>
        <w:tc>
          <w:tcPr>
            <w:tcW w:w="1857" w:type="dxa"/>
            <w:shd w:val="clear" w:color="000000" w:fill="D2DDE1"/>
            <w:noWrap/>
            <w:hideMark/>
          </w:tcPr>
          <w:p w14:paraId="3FF1479F" w14:textId="143C7E7F" w:rsidR="005D1955" w:rsidRPr="0018386D" w:rsidRDefault="005D1955" w:rsidP="00DD3106">
            <w:pPr>
              <w:pStyle w:val="TableText"/>
              <w:spacing w:before="40" w:after="40"/>
              <w:rPr>
                <w:rFonts w:cs="Calibri"/>
                <w:szCs w:val="18"/>
              </w:rPr>
            </w:pPr>
            <w:r w:rsidRPr="0018386D">
              <w:rPr>
                <w:rFonts w:cs="Calibri"/>
                <w:szCs w:val="18"/>
              </w:rPr>
              <w:t>7.4</w:t>
            </w:r>
          </w:p>
        </w:tc>
      </w:tr>
      <w:tr w:rsidR="005D1955" w:rsidRPr="0018386D" w14:paraId="20C3513B" w14:textId="77777777" w:rsidTr="00F9421E">
        <w:trPr>
          <w:divId w:val="684402307"/>
        </w:trPr>
        <w:tc>
          <w:tcPr>
            <w:tcW w:w="8222" w:type="dxa"/>
            <w:shd w:val="clear" w:color="000000" w:fill="FFFFFF"/>
            <w:noWrap/>
            <w:hideMark/>
          </w:tcPr>
          <w:p w14:paraId="394DEE9E" w14:textId="77777777" w:rsidR="005D1955" w:rsidRPr="0018386D" w:rsidRDefault="005D1955" w:rsidP="00DD3106">
            <w:pPr>
              <w:pStyle w:val="TableText"/>
              <w:spacing w:before="40" w:after="40"/>
              <w:rPr>
                <w:rFonts w:cs="Calibri"/>
                <w:szCs w:val="18"/>
              </w:rPr>
            </w:pPr>
            <w:r w:rsidRPr="0018386D">
              <w:rPr>
                <w:rFonts w:cs="Calibri"/>
                <w:szCs w:val="18"/>
              </w:rPr>
              <w:t>Thailand</w:t>
            </w:r>
          </w:p>
        </w:tc>
        <w:tc>
          <w:tcPr>
            <w:tcW w:w="1857" w:type="dxa"/>
            <w:shd w:val="clear" w:color="000000" w:fill="D2DDE1"/>
            <w:noWrap/>
            <w:hideMark/>
          </w:tcPr>
          <w:p w14:paraId="79933E20" w14:textId="77777777" w:rsidR="005D1955" w:rsidRPr="0018386D" w:rsidRDefault="005D1955" w:rsidP="00DD3106">
            <w:pPr>
              <w:pStyle w:val="TableText"/>
              <w:spacing w:before="40" w:after="40"/>
              <w:rPr>
                <w:rFonts w:cs="Calibri"/>
                <w:szCs w:val="18"/>
              </w:rPr>
            </w:pPr>
            <w:r w:rsidRPr="0018386D">
              <w:rPr>
                <w:rFonts w:cs="Calibri"/>
                <w:szCs w:val="18"/>
              </w:rPr>
              <w:t>55.9</w:t>
            </w:r>
          </w:p>
        </w:tc>
      </w:tr>
      <w:tr w:rsidR="005D1955" w:rsidRPr="0018386D" w14:paraId="487C0BAE" w14:textId="77777777" w:rsidTr="00F9421E">
        <w:trPr>
          <w:divId w:val="684402307"/>
        </w:trPr>
        <w:tc>
          <w:tcPr>
            <w:tcW w:w="8222" w:type="dxa"/>
            <w:shd w:val="clear" w:color="000000" w:fill="FFFFFF"/>
            <w:noWrap/>
            <w:hideMark/>
          </w:tcPr>
          <w:p w14:paraId="001004CD" w14:textId="77777777" w:rsidR="005D1955" w:rsidRPr="0018386D" w:rsidRDefault="005D1955" w:rsidP="00DD3106">
            <w:pPr>
              <w:pStyle w:val="TableText"/>
              <w:spacing w:before="40" w:after="40"/>
              <w:rPr>
                <w:rFonts w:cs="Calibri"/>
                <w:szCs w:val="18"/>
              </w:rPr>
            </w:pPr>
            <w:r w:rsidRPr="0018386D">
              <w:rPr>
                <w:rFonts w:cs="Calibri"/>
                <w:szCs w:val="18"/>
              </w:rPr>
              <w:t>Turkey</w:t>
            </w:r>
          </w:p>
        </w:tc>
        <w:tc>
          <w:tcPr>
            <w:tcW w:w="1857" w:type="dxa"/>
            <w:shd w:val="clear" w:color="000000" w:fill="D2DDE1"/>
            <w:noWrap/>
            <w:hideMark/>
          </w:tcPr>
          <w:p w14:paraId="478B5D03" w14:textId="77777777" w:rsidR="005D1955" w:rsidRPr="0018386D" w:rsidRDefault="005D1955" w:rsidP="00DD3106">
            <w:pPr>
              <w:pStyle w:val="TableText"/>
              <w:spacing w:before="40" w:after="40"/>
              <w:rPr>
                <w:rFonts w:cs="Calibri"/>
                <w:szCs w:val="18"/>
              </w:rPr>
            </w:pPr>
            <w:r w:rsidRPr="0018386D">
              <w:rPr>
                <w:rFonts w:cs="Calibri"/>
                <w:szCs w:val="18"/>
              </w:rPr>
              <w:t>38.0</w:t>
            </w:r>
          </w:p>
        </w:tc>
      </w:tr>
      <w:tr w:rsidR="005D1955" w:rsidRPr="0018386D" w14:paraId="5B5AE94B" w14:textId="77777777" w:rsidTr="00F9421E">
        <w:trPr>
          <w:divId w:val="684402307"/>
        </w:trPr>
        <w:tc>
          <w:tcPr>
            <w:tcW w:w="8222" w:type="dxa"/>
            <w:shd w:val="clear" w:color="000000" w:fill="FFFFFF"/>
            <w:noWrap/>
            <w:hideMark/>
          </w:tcPr>
          <w:p w14:paraId="59D8FB56" w14:textId="77777777" w:rsidR="005D1955" w:rsidRPr="0018386D" w:rsidRDefault="005D1955" w:rsidP="00DD3106">
            <w:pPr>
              <w:pStyle w:val="TableText"/>
              <w:spacing w:before="40" w:after="40"/>
              <w:rPr>
                <w:rFonts w:cs="Calibri"/>
                <w:szCs w:val="18"/>
              </w:rPr>
            </w:pPr>
            <w:r w:rsidRPr="0018386D">
              <w:rPr>
                <w:rFonts w:cs="Calibri"/>
                <w:szCs w:val="18"/>
              </w:rPr>
              <w:t>United Arab Emirates</w:t>
            </w:r>
          </w:p>
        </w:tc>
        <w:tc>
          <w:tcPr>
            <w:tcW w:w="1857" w:type="dxa"/>
            <w:shd w:val="clear" w:color="000000" w:fill="D2DDE1"/>
            <w:noWrap/>
            <w:hideMark/>
          </w:tcPr>
          <w:p w14:paraId="463ADDC7" w14:textId="77777777" w:rsidR="005D1955" w:rsidRPr="0018386D" w:rsidRDefault="005D1955" w:rsidP="00DD3106">
            <w:pPr>
              <w:pStyle w:val="TableText"/>
              <w:spacing w:before="40" w:after="40"/>
              <w:rPr>
                <w:rFonts w:cs="Calibri"/>
                <w:szCs w:val="18"/>
              </w:rPr>
            </w:pPr>
            <w:r w:rsidRPr="0018386D">
              <w:rPr>
                <w:rFonts w:cs="Calibri"/>
                <w:szCs w:val="18"/>
              </w:rPr>
              <w:t>95.9</w:t>
            </w:r>
          </w:p>
        </w:tc>
      </w:tr>
      <w:tr w:rsidR="005D1955" w:rsidRPr="0018386D" w14:paraId="1C323128" w14:textId="77777777" w:rsidTr="00F9421E">
        <w:trPr>
          <w:divId w:val="684402307"/>
        </w:trPr>
        <w:tc>
          <w:tcPr>
            <w:tcW w:w="8222" w:type="dxa"/>
            <w:shd w:val="clear" w:color="000000" w:fill="FFFFFF"/>
            <w:noWrap/>
            <w:hideMark/>
          </w:tcPr>
          <w:p w14:paraId="49B4BF75" w14:textId="77777777" w:rsidR="005D1955" w:rsidRPr="0018386D" w:rsidRDefault="005D1955" w:rsidP="00DD3106">
            <w:pPr>
              <w:pStyle w:val="TableText"/>
              <w:spacing w:before="40" w:after="40"/>
              <w:rPr>
                <w:rFonts w:cs="Calibri"/>
                <w:szCs w:val="18"/>
              </w:rPr>
            </w:pPr>
            <w:r w:rsidRPr="0018386D">
              <w:rPr>
                <w:rFonts w:cs="Calibri"/>
                <w:szCs w:val="18"/>
              </w:rPr>
              <w:t>United Kingdom</w:t>
            </w:r>
          </w:p>
        </w:tc>
        <w:tc>
          <w:tcPr>
            <w:tcW w:w="1857" w:type="dxa"/>
            <w:shd w:val="clear" w:color="000000" w:fill="D2DDE1"/>
            <w:noWrap/>
            <w:hideMark/>
          </w:tcPr>
          <w:p w14:paraId="4863153A" w14:textId="77777777" w:rsidR="005D1955" w:rsidRPr="0018386D" w:rsidRDefault="005D1955" w:rsidP="00DD3106">
            <w:pPr>
              <w:pStyle w:val="TableText"/>
              <w:spacing w:before="40" w:after="40"/>
              <w:rPr>
                <w:rFonts w:cs="Calibri"/>
                <w:szCs w:val="18"/>
              </w:rPr>
            </w:pPr>
            <w:r w:rsidRPr="0018386D">
              <w:rPr>
                <w:rFonts w:cs="Calibri"/>
                <w:szCs w:val="18"/>
              </w:rPr>
              <w:t>13.4</w:t>
            </w:r>
          </w:p>
        </w:tc>
      </w:tr>
      <w:tr w:rsidR="005D1955" w:rsidRPr="0018386D" w14:paraId="6E8FCAE6" w14:textId="77777777" w:rsidTr="00F9421E">
        <w:trPr>
          <w:divId w:val="684402307"/>
        </w:trPr>
        <w:tc>
          <w:tcPr>
            <w:tcW w:w="8222" w:type="dxa"/>
            <w:shd w:val="clear" w:color="000000" w:fill="FFFFFF"/>
            <w:noWrap/>
            <w:hideMark/>
          </w:tcPr>
          <w:p w14:paraId="4C949243" w14:textId="77777777" w:rsidR="005D1955" w:rsidRPr="0018386D" w:rsidRDefault="005D1955" w:rsidP="00DD3106">
            <w:pPr>
              <w:pStyle w:val="TableText"/>
              <w:spacing w:before="40" w:after="40"/>
              <w:rPr>
                <w:rFonts w:cs="Calibri"/>
                <w:szCs w:val="18"/>
              </w:rPr>
            </w:pPr>
            <w:r w:rsidRPr="0018386D">
              <w:rPr>
                <w:rFonts w:cs="Calibri"/>
                <w:szCs w:val="18"/>
              </w:rPr>
              <w:t>United States</w:t>
            </w:r>
          </w:p>
        </w:tc>
        <w:tc>
          <w:tcPr>
            <w:tcW w:w="1857" w:type="dxa"/>
            <w:shd w:val="clear" w:color="000000" w:fill="D2DDE1"/>
            <w:noWrap/>
            <w:hideMark/>
          </w:tcPr>
          <w:p w14:paraId="195F0D59" w14:textId="77777777" w:rsidR="005D1955" w:rsidRPr="0018386D" w:rsidRDefault="005D1955" w:rsidP="00DD3106">
            <w:pPr>
              <w:pStyle w:val="TableText"/>
              <w:spacing w:before="40" w:after="40"/>
              <w:rPr>
                <w:rFonts w:cs="Calibri"/>
                <w:szCs w:val="18"/>
              </w:rPr>
            </w:pPr>
            <w:r w:rsidRPr="0018386D">
              <w:rPr>
                <w:rFonts w:cs="Calibri"/>
                <w:szCs w:val="18"/>
              </w:rPr>
              <w:t>19.8</w:t>
            </w:r>
          </w:p>
        </w:tc>
      </w:tr>
      <w:tr w:rsidR="005D1955" w:rsidRPr="0018386D" w14:paraId="0CDB5255" w14:textId="77777777" w:rsidTr="00F9421E">
        <w:trPr>
          <w:divId w:val="684402307"/>
        </w:trPr>
        <w:tc>
          <w:tcPr>
            <w:tcW w:w="8222" w:type="dxa"/>
            <w:shd w:val="clear" w:color="000000" w:fill="FFFFFF"/>
            <w:noWrap/>
            <w:hideMark/>
          </w:tcPr>
          <w:p w14:paraId="1D67C2E8" w14:textId="77777777" w:rsidR="005D1955" w:rsidRPr="0018386D" w:rsidRDefault="005D1955" w:rsidP="00DD3106">
            <w:pPr>
              <w:pStyle w:val="TableText"/>
              <w:spacing w:before="40" w:after="40"/>
              <w:rPr>
                <w:rFonts w:cs="Calibri"/>
                <w:szCs w:val="18"/>
              </w:rPr>
            </w:pPr>
            <w:r w:rsidRPr="0018386D">
              <w:rPr>
                <w:rFonts w:cs="Calibri"/>
                <w:szCs w:val="18"/>
              </w:rPr>
              <w:t>Vietnam</w:t>
            </w:r>
          </w:p>
        </w:tc>
        <w:tc>
          <w:tcPr>
            <w:tcW w:w="1857" w:type="dxa"/>
            <w:shd w:val="clear" w:color="000000" w:fill="D2DDE1"/>
            <w:noWrap/>
            <w:hideMark/>
          </w:tcPr>
          <w:p w14:paraId="78025748" w14:textId="77777777" w:rsidR="005D1955" w:rsidRPr="0018386D" w:rsidRDefault="005D1955" w:rsidP="00DD3106">
            <w:pPr>
              <w:pStyle w:val="TableText"/>
              <w:spacing w:before="40" w:after="40"/>
              <w:rPr>
                <w:rFonts w:cs="Calibri"/>
                <w:szCs w:val="18"/>
              </w:rPr>
            </w:pPr>
            <w:r w:rsidRPr="0018386D">
              <w:rPr>
                <w:rFonts w:cs="Calibri"/>
                <w:szCs w:val="18"/>
              </w:rPr>
              <w:t>49.2</w:t>
            </w:r>
          </w:p>
        </w:tc>
      </w:tr>
    </w:tbl>
    <w:p w14:paraId="46FDB7BB" w14:textId="5E9D197B" w:rsidR="00FB0089" w:rsidRPr="0018386D" w:rsidRDefault="00FB0089" w:rsidP="00DD3106">
      <w:pPr>
        <w:pStyle w:val="Note"/>
      </w:pPr>
      <w:r w:rsidRPr="0018386D">
        <w:rPr>
          <w:b/>
          <w:bCs/>
        </w:rPr>
        <w:t>Note:</w:t>
      </w:r>
      <w:r w:rsidRPr="0018386D">
        <w:t xml:space="preserve"> These numbers are rounded to one decimal place unless the number is small.</w:t>
      </w:r>
      <w:r w:rsidR="004C3308" w:rsidRPr="0018386D">
        <w:t xml:space="preserve"> </w:t>
      </w:r>
    </w:p>
    <w:p w14:paraId="7D453AE7" w14:textId="66095CE5" w:rsidR="008C2961" w:rsidRPr="0018386D" w:rsidRDefault="70FB8015" w:rsidP="00DD3106">
      <w:pPr>
        <w:pStyle w:val="Heading3"/>
        <w:numPr>
          <w:ilvl w:val="2"/>
          <w:numId w:val="8"/>
        </w:numPr>
      </w:pPr>
      <w:bookmarkStart w:id="576" w:name="_Toc532904913"/>
      <w:r w:rsidRPr="0018386D">
        <w:t xml:space="preserve">GHG </w:t>
      </w:r>
      <w:r w:rsidR="17A78AC1" w:rsidRPr="0018386D">
        <w:t>inventory development</w:t>
      </w:r>
      <w:bookmarkEnd w:id="576"/>
    </w:p>
    <w:p w14:paraId="63F1BD02" w14:textId="43DAE8E0" w:rsidR="008C2961" w:rsidRPr="0018386D" w:rsidRDefault="008C2961" w:rsidP="00DD3106">
      <w:pPr>
        <w:pStyle w:val="BodyText"/>
      </w:pPr>
      <w:bookmarkStart w:id="577" w:name="_Hlk532893831"/>
      <w:r w:rsidRPr="0018386D">
        <w:t xml:space="preserve">To calculate emissions from </w:t>
      </w:r>
      <w:r w:rsidR="00F005B6" w:rsidRPr="0018386D">
        <w:t>accommodation</w:t>
      </w:r>
      <w:r w:rsidRPr="0018386D">
        <w:t xml:space="preserve"> during business trips, collect data on the number of nights and </w:t>
      </w:r>
      <w:r w:rsidR="00F005B6" w:rsidRPr="0018386D">
        <w:t>the</w:t>
      </w:r>
      <w:r w:rsidRPr="0018386D">
        <w:t xml:space="preserve"> country</w:t>
      </w:r>
      <w:r w:rsidR="00F005B6" w:rsidRPr="0018386D">
        <w:t xml:space="preserve"> stayed in</w:t>
      </w:r>
      <w:r w:rsidRPr="0018386D">
        <w:t xml:space="preserve">. </w:t>
      </w:r>
      <w:bookmarkEnd w:id="577"/>
      <w:r w:rsidR="00EB6D3D" w:rsidRPr="0018386D">
        <w:t xml:space="preserve">Applying the equation </w:t>
      </w:r>
      <w:r w:rsidR="00E71782" w:rsidRPr="0018386D">
        <w:t>E</w:t>
      </w:r>
      <w:r w:rsidR="00B37794" w:rsidRPr="0018386D">
        <w:t xml:space="preserve"> </w:t>
      </w:r>
      <w:r w:rsidR="00E71782" w:rsidRPr="0018386D">
        <w:t>= Q x F</w:t>
      </w:r>
      <w:r w:rsidR="00505D97" w:rsidRPr="0018386D">
        <w:t xml:space="preserve"> </w:t>
      </w:r>
      <w:r w:rsidR="00E71782" w:rsidRPr="0018386D">
        <w:t>(</w:t>
      </w:r>
      <w:hyperlink w:anchor="_How_to_quantify">
        <w:r w:rsidR="00EB6D3D" w:rsidRPr="0018386D">
          <w:rPr>
            <w:rStyle w:val="Hyperlink"/>
          </w:rPr>
          <w:t>s</w:t>
        </w:r>
        <w:r w:rsidR="00F005B6" w:rsidRPr="0018386D">
          <w:rPr>
            <w:rStyle w:val="Hyperlink"/>
          </w:rPr>
          <w:t>ection</w:t>
        </w:r>
        <w:r w:rsidR="002C0614" w:rsidRPr="0018386D">
          <w:rPr>
            <w:rStyle w:val="Hyperlink"/>
          </w:rPr>
          <w:t xml:space="preserve"> 2</w:t>
        </w:r>
      </w:hyperlink>
      <w:r w:rsidR="00E71782" w:rsidRPr="0018386D">
        <w:rPr>
          <w:rStyle w:val="Hyperlink"/>
          <w:color w:val="auto"/>
        </w:rPr>
        <w:t>)</w:t>
      </w:r>
      <w:r w:rsidR="00F005B6" w:rsidRPr="0018386D">
        <w:t>, this means</w:t>
      </w:r>
      <w:r w:rsidR="00576048" w:rsidRPr="0018386D">
        <w:t>:</w:t>
      </w:r>
    </w:p>
    <w:p w14:paraId="2B4E4F0E" w14:textId="4334731E" w:rsidR="00E71782" w:rsidRPr="0018386D" w:rsidRDefault="00E71782" w:rsidP="00DD3106">
      <w:pPr>
        <w:pStyle w:val="BodyT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4BECD0C4" w14:textId="7A8A6B96" w:rsidR="008C2961" w:rsidRPr="0018386D" w:rsidRDefault="008C2961" w:rsidP="00DD3106">
      <w:pPr>
        <w:pStyle w:val="BodyText"/>
        <w:tabs>
          <w:tab w:val="left" w:pos="680"/>
          <w:tab w:val="left" w:pos="1134"/>
        </w:tabs>
        <w:contextualSpacing/>
        <w:jc w:val="both"/>
      </w:pPr>
      <w:r w:rsidRPr="0018386D">
        <w:t>Q</w:t>
      </w:r>
      <w:r w:rsidR="00EB6D3D" w:rsidRPr="0018386D">
        <w:tab/>
      </w:r>
      <w:r w:rsidRPr="0018386D">
        <w:t>=</w:t>
      </w:r>
      <w:r w:rsidR="00EB6D3D" w:rsidRPr="0018386D">
        <w:tab/>
      </w:r>
      <w:r w:rsidR="00CB5BAC" w:rsidRPr="0018386D">
        <w:t>r</w:t>
      </w:r>
      <w:r w:rsidRPr="0018386D">
        <w:t>ooms per night</w:t>
      </w:r>
    </w:p>
    <w:p w14:paraId="5711BD47" w14:textId="5D0954C5" w:rsidR="008C2961" w:rsidRPr="0018386D" w:rsidRDefault="008C2961" w:rsidP="00DD3106">
      <w:pPr>
        <w:pStyle w:val="BodyText"/>
        <w:tabs>
          <w:tab w:val="left" w:pos="680"/>
          <w:tab w:val="left" w:pos="1134"/>
        </w:tabs>
        <w:spacing w:after="240"/>
        <w:contextualSpacing/>
        <w:jc w:val="both"/>
      </w:pPr>
      <w:r w:rsidRPr="0018386D">
        <w:t>F</w:t>
      </w:r>
      <w:r w:rsidR="00EB6D3D" w:rsidRPr="0018386D">
        <w:tab/>
      </w:r>
      <w:r w:rsidRPr="0018386D">
        <w:t>=</w:t>
      </w:r>
      <w:r w:rsidR="00EB6D3D" w:rsidRPr="0018386D">
        <w:tab/>
      </w:r>
      <w:r w:rsidRPr="0018386D">
        <w:t xml:space="preserve">emission factors for the country </w:t>
      </w:r>
      <w:r w:rsidR="00F005B6" w:rsidRPr="0018386D">
        <w:t>stayed</w:t>
      </w:r>
      <w:r w:rsidRPr="0018386D">
        <w:t xml:space="preserve"> in from </w:t>
      </w:r>
      <w:hyperlink w:anchor="table44" w:history="1">
        <w:r w:rsidR="00E00DF8" w:rsidRPr="0018386D">
          <w:rPr>
            <w:rStyle w:val="Hyperlink"/>
          </w:rPr>
          <w:t xml:space="preserve">table </w:t>
        </w:r>
        <w:r w:rsidR="003D47AF" w:rsidRPr="0018386D">
          <w:rPr>
            <w:rStyle w:val="Hyperlink"/>
          </w:rPr>
          <w:t>44</w:t>
        </w:r>
      </w:hyperlink>
      <w:r w:rsidR="00E00DF8" w:rsidRPr="0018386D">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F005B6" w:rsidRPr="0018386D" w:rsidDel="00D5390D" w14:paraId="397FE808" w14:textId="77777777" w:rsidTr="00F424ED">
        <w:tc>
          <w:tcPr>
            <w:tcW w:w="8500" w:type="dxa"/>
            <w:tcBorders>
              <w:top w:val="single" w:sz="4" w:space="0" w:color="0F7B7D"/>
              <w:left w:val="single" w:sz="4" w:space="0" w:color="0F7B7D"/>
              <w:bottom w:val="nil"/>
              <w:right w:val="single" w:sz="4" w:space="0" w:color="0F7B7D"/>
            </w:tcBorders>
            <w:shd w:val="clear" w:color="auto" w:fill="0F7B7D"/>
            <w:vAlign w:val="center"/>
          </w:tcPr>
          <w:p w14:paraId="76691CB9" w14:textId="42C99EDB" w:rsidR="00F005B6" w:rsidRPr="0018386D" w:rsidDel="00D5390D" w:rsidRDefault="00F005B6" w:rsidP="00DD3106">
            <w:pPr>
              <w:pStyle w:val="Casestudyheading"/>
              <w:jc w:val="both"/>
            </w:pPr>
            <w:r w:rsidRPr="0018386D">
              <w:t>Example Calculation</w:t>
            </w:r>
          </w:p>
        </w:tc>
      </w:tr>
      <w:tr w:rsidR="00F005B6" w:rsidRPr="0018386D" w14:paraId="146E3452" w14:textId="77777777" w:rsidTr="00F424ED">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AF55A70" w14:textId="1A0398C7" w:rsidR="00F005B6" w:rsidRPr="0018386D" w:rsidRDefault="00F005B6" w:rsidP="00DD3106">
            <w:pPr>
              <w:pStyle w:val="Boxtext"/>
            </w:pPr>
            <w:r w:rsidRPr="0018386D">
              <w:t>An organisation sends six people to a conference in Australia. They book three rooms for four</w:t>
            </w:r>
            <w:r w:rsidR="00B11474" w:rsidRPr="0018386D">
              <w:t> </w:t>
            </w:r>
            <w:r w:rsidRPr="0018386D">
              <w:t xml:space="preserve">nights. </w:t>
            </w:r>
          </w:p>
          <w:p w14:paraId="32AB3885" w14:textId="1A47A808" w:rsidR="009E5BAA" w:rsidRPr="0018386D" w:rsidRDefault="009E5BAA" w:rsidP="00DD3106">
            <w:pPr>
              <w:pStyle w:val="Boxtext"/>
              <w:spacing w:before="20" w:after="20"/>
              <w:ind w:left="850"/>
              <w:jc w:val="both"/>
            </w:pPr>
            <w:r w:rsidRPr="0018386D">
              <w:t xml:space="preserve">3 rooms x 4 nights = </w:t>
            </w:r>
            <w:r w:rsidR="009B06F8" w:rsidRPr="0018386D">
              <w:t>12</w:t>
            </w:r>
          </w:p>
          <w:p w14:paraId="6868B82B" w14:textId="35D3F71D" w:rsidR="00BA350D" w:rsidRPr="0018386D" w:rsidRDefault="00F005B6" w:rsidP="00DD3106">
            <w:pPr>
              <w:pStyle w:val="Boxtext"/>
              <w:spacing w:before="20" w:after="240"/>
              <w:ind w:left="850"/>
              <w:jc w:val="both"/>
              <w:rPr>
                <w:rFonts w:asciiTheme="minorHAnsi" w:eastAsia="Times New Roman" w:hAnsiTheme="minorHAnsi" w:cs="Times New Roman"/>
                <w:lang w:eastAsia="en-US"/>
              </w:rPr>
            </w:pPr>
            <w:r w:rsidRPr="0018386D">
              <w:t>Total CO</w:t>
            </w:r>
            <w:r w:rsidRPr="0018386D">
              <w:rPr>
                <w:vertAlign w:val="subscript"/>
              </w:rPr>
              <w:t>2</w:t>
            </w:r>
            <w:r w:rsidRPr="0018386D">
              <w:t>-e emissions from the hotel stay =</w:t>
            </w:r>
            <w:r w:rsidR="00795F09" w:rsidRPr="0018386D">
              <w:t xml:space="preserve"> </w:t>
            </w:r>
            <w:r w:rsidR="009B06F8" w:rsidRPr="0018386D">
              <w:t>12</w:t>
            </w:r>
            <w:r w:rsidR="009E5BAA" w:rsidRPr="0018386D">
              <w:t xml:space="preserve"> </w:t>
            </w:r>
            <w:r w:rsidR="00E92C59" w:rsidRPr="0018386D">
              <w:t xml:space="preserve">x </w:t>
            </w:r>
            <w:r w:rsidR="009A4A3B" w:rsidRPr="0018386D">
              <w:t>38.9</w:t>
            </w:r>
            <w:r w:rsidR="00E92C59" w:rsidRPr="0018386D">
              <w:t xml:space="preserve"> kg</w:t>
            </w:r>
            <w:r w:rsidR="009B5746" w:rsidRPr="0018386D">
              <w:t xml:space="preserve"> </w:t>
            </w:r>
            <w:r w:rsidR="00E92C59" w:rsidRPr="0018386D">
              <w:t>CO</w:t>
            </w:r>
            <w:r w:rsidR="00E92C59" w:rsidRPr="0018386D">
              <w:rPr>
                <w:vertAlign w:val="subscript"/>
              </w:rPr>
              <w:t>2</w:t>
            </w:r>
            <w:r w:rsidR="00E92C59" w:rsidRPr="0018386D">
              <w:t xml:space="preserve">-e/unit = </w:t>
            </w:r>
            <w:r w:rsidR="009A4A3B" w:rsidRPr="0018386D">
              <w:t>466.8</w:t>
            </w:r>
            <w:r w:rsidR="00E92C59" w:rsidRPr="0018386D">
              <w:t xml:space="preserve"> kg CO</w:t>
            </w:r>
            <w:r w:rsidR="00E92C59" w:rsidRPr="0018386D">
              <w:rPr>
                <w:vertAlign w:val="subscript"/>
              </w:rPr>
              <w:t>2</w:t>
            </w:r>
            <w:r w:rsidR="00E92C59" w:rsidRPr="0018386D">
              <w:t>-e</w:t>
            </w:r>
          </w:p>
        </w:tc>
      </w:tr>
    </w:tbl>
    <w:p w14:paraId="0FE542AA" w14:textId="3382FD82" w:rsidR="00DB0697" w:rsidRPr="0018386D" w:rsidRDefault="3DE69A2B" w:rsidP="00DD3106">
      <w:pPr>
        <w:pStyle w:val="Heading3"/>
        <w:numPr>
          <w:ilvl w:val="2"/>
          <w:numId w:val="8"/>
        </w:numPr>
        <w:tabs>
          <w:tab w:val="left" w:pos="0"/>
        </w:tabs>
        <w:spacing w:before="400"/>
        <w:jc w:val="both"/>
      </w:pPr>
      <w:bookmarkStart w:id="578" w:name="_Toc532904914"/>
      <w:r w:rsidRPr="0018386D">
        <w:t xml:space="preserve">Assumptions, </w:t>
      </w:r>
      <w:proofErr w:type="gramStart"/>
      <w:r w:rsidRPr="0018386D">
        <w:t>limitations</w:t>
      </w:r>
      <w:proofErr w:type="gramEnd"/>
      <w:r w:rsidRPr="0018386D">
        <w:t xml:space="preserve"> and uncertainties</w:t>
      </w:r>
      <w:bookmarkEnd w:id="578"/>
    </w:p>
    <w:p w14:paraId="513C8919" w14:textId="617F4969" w:rsidR="00DB0697" w:rsidRPr="0018386D" w:rsidRDefault="00F005B6" w:rsidP="00DD3106">
      <w:pPr>
        <w:pStyle w:val="BodyText"/>
      </w:pPr>
      <w:r w:rsidRPr="0018386D">
        <w:t>T</w:t>
      </w:r>
      <w:r w:rsidR="00DB0697" w:rsidRPr="0018386D">
        <w:t xml:space="preserve">he CHSB </w:t>
      </w:r>
      <w:r w:rsidR="0015058F" w:rsidRPr="0018386D">
        <w:t>Index</w:t>
      </w:r>
      <w:r w:rsidR="00DB0697" w:rsidRPr="0018386D">
        <w:t xml:space="preserve"> document</w:t>
      </w:r>
      <w:r w:rsidR="00DB0697" w:rsidRPr="0018386D">
        <w:rPr>
          <w:rStyle w:val="FootnoteReference"/>
        </w:rPr>
        <w:footnoteReference w:id="38"/>
      </w:r>
      <w:r w:rsidR="00DB0697" w:rsidRPr="0018386D">
        <w:t xml:space="preserve"> </w:t>
      </w:r>
      <w:r w:rsidRPr="0018386D">
        <w:t>outlines</w:t>
      </w:r>
      <w:r w:rsidR="00DB0697" w:rsidRPr="0018386D">
        <w:t xml:space="preserve"> the limitations </w:t>
      </w:r>
      <w:r w:rsidR="00CB5BAC" w:rsidRPr="0018386D">
        <w:t xml:space="preserve">of </w:t>
      </w:r>
      <w:r w:rsidR="00DB0697" w:rsidRPr="0018386D">
        <w:t>the study and the dataset</w:t>
      </w:r>
      <w:r w:rsidR="00CB5BAC" w:rsidRPr="0018386D">
        <w:t>.</w:t>
      </w:r>
      <w:r w:rsidR="00CF42CA" w:rsidRPr="0018386D">
        <w:t xml:space="preserve"> These</w:t>
      </w:r>
      <w:r w:rsidR="00F07910" w:rsidRPr="0018386D">
        <w:t> </w:t>
      </w:r>
      <w:r w:rsidR="00CF42CA" w:rsidRPr="0018386D">
        <w:t>include:</w:t>
      </w:r>
    </w:p>
    <w:p w14:paraId="4BCCD509" w14:textId="24F477B7" w:rsidR="004F20DD" w:rsidRPr="0018386D" w:rsidRDefault="00DB0697" w:rsidP="00DD3106">
      <w:pPr>
        <w:pStyle w:val="Bullet"/>
      </w:pPr>
      <w:r w:rsidRPr="0018386D">
        <w:t>It is skewed towards upmarket and chain hotels</w:t>
      </w:r>
      <w:r w:rsidR="00CB5BAC" w:rsidRPr="0018386D">
        <w:t>.</w:t>
      </w:r>
      <w:r w:rsidR="00A37769" w:rsidRPr="0018386D">
        <w:t xml:space="preserve"> </w:t>
      </w:r>
      <w:r w:rsidR="79D99AE3" w:rsidRPr="0018386D">
        <w:t xml:space="preserve">The results do not distinguish </w:t>
      </w:r>
      <w:r w:rsidR="4BE388E5" w:rsidRPr="0018386D">
        <w:t xml:space="preserve">a </w:t>
      </w:r>
      <w:r w:rsidR="79D99AE3" w:rsidRPr="0018386D">
        <w:t>propert</w:t>
      </w:r>
      <w:r w:rsidR="4BE388E5" w:rsidRPr="0018386D">
        <w:t>y’</w:t>
      </w:r>
      <w:r w:rsidR="79D99AE3" w:rsidRPr="0018386D">
        <w:t xml:space="preserve">s </w:t>
      </w:r>
      <w:r w:rsidR="21E8F865" w:rsidRPr="0018386D">
        <w:t>facilities</w:t>
      </w:r>
      <w:r w:rsidR="79D99AE3" w:rsidRPr="0018386D">
        <w:t xml:space="preserve">, </w:t>
      </w:r>
      <w:proofErr w:type="gramStart"/>
      <w:r w:rsidR="19145046" w:rsidRPr="0018386D">
        <w:t>with the exception of</w:t>
      </w:r>
      <w:proofErr w:type="gramEnd"/>
      <w:r w:rsidR="19145046" w:rsidRPr="0018386D">
        <w:t xml:space="preserve"> outsourced laundry services, which are taken into consideration</w:t>
      </w:r>
      <w:r w:rsidR="21E8F865" w:rsidRPr="0018386D">
        <w:t xml:space="preserve">. This </w:t>
      </w:r>
      <w:r w:rsidR="48A698EC" w:rsidRPr="0018386D">
        <w:t>means it is very difficult to compare two hotels since some may contain distinct attributes, (such as restaurants, fitness</w:t>
      </w:r>
      <w:r w:rsidR="442BA66F" w:rsidRPr="0018386D">
        <w:t> </w:t>
      </w:r>
      <w:r w:rsidR="48A698EC" w:rsidRPr="0018386D">
        <w:t>centres, swimming pool and spa) while others do not.</w:t>
      </w:r>
    </w:p>
    <w:p w14:paraId="650922EA" w14:textId="63A7E878" w:rsidR="00321918" w:rsidRPr="0018386D" w:rsidRDefault="00321918" w:rsidP="00DD3106">
      <w:pPr>
        <w:pStyle w:val="Heading1"/>
        <w:pageBreakBefore/>
        <w:numPr>
          <w:ilvl w:val="0"/>
          <w:numId w:val="8"/>
        </w:numPr>
      </w:pPr>
      <w:bookmarkStart w:id="579" w:name="_Freight_transport_emission"/>
      <w:bookmarkStart w:id="580" w:name="_Ref532845869"/>
      <w:bookmarkStart w:id="581" w:name="_Toc532904915"/>
      <w:bookmarkStart w:id="582" w:name="_Toc600587"/>
      <w:bookmarkStart w:id="583" w:name="_Ref616061"/>
      <w:bookmarkStart w:id="584" w:name="_Toc140048918"/>
      <w:bookmarkEnd w:id="579"/>
      <w:r w:rsidRPr="0018386D">
        <w:lastRenderedPageBreak/>
        <w:t xml:space="preserve">Freight transport emission </w:t>
      </w:r>
      <w:bookmarkEnd w:id="580"/>
      <w:bookmarkEnd w:id="581"/>
      <w:bookmarkEnd w:id="582"/>
      <w:bookmarkEnd w:id="583"/>
      <w:r w:rsidR="005D5C74" w:rsidRPr="0018386D">
        <w:t>factors</w:t>
      </w:r>
      <w:bookmarkEnd w:id="584"/>
    </w:p>
    <w:p w14:paraId="60F9BC6D" w14:textId="40AE3D2E" w:rsidR="008A1EF8" w:rsidRPr="0018386D" w:rsidRDefault="008A1EF8" w:rsidP="00DD3106">
      <w:pPr>
        <w:pStyle w:val="BodyText"/>
      </w:pPr>
      <w:r w:rsidRPr="0018386D">
        <w:t xml:space="preserve">We provide emission factors for freighting goods (in tonne kilometres, </w:t>
      </w:r>
      <w:proofErr w:type="spellStart"/>
      <w:r w:rsidRPr="0018386D">
        <w:t>tkm</w:t>
      </w:r>
      <w:proofErr w:type="spellEnd"/>
      <w:r w:rsidRPr="0018386D">
        <w:t xml:space="preserve">) and for the actual freight vehicles (in km). We provide freight vehicle emission factors (in km) for road light commercial and heavy goods vehicles (HGV). Users should note that these are average emission factors for certain vehicle categories of the New Zealand vehicle fleet. The actual emissions for a specific vehicle in a specific trip could be different. </w:t>
      </w:r>
    </w:p>
    <w:p w14:paraId="650922EB" w14:textId="32D82C6B" w:rsidR="00321918" w:rsidRPr="0018386D" w:rsidRDefault="00321918" w:rsidP="00DD3106">
      <w:pPr>
        <w:pStyle w:val="Heading2"/>
        <w:numPr>
          <w:ilvl w:val="1"/>
          <w:numId w:val="8"/>
        </w:numPr>
        <w:spacing w:before="240"/>
      </w:pPr>
      <w:bookmarkStart w:id="585" w:name="_Toc532904916"/>
      <w:bookmarkStart w:id="586" w:name="_Toc600588"/>
      <w:bookmarkStart w:id="587" w:name="_Toc140048919"/>
      <w:r w:rsidRPr="0018386D">
        <w:t>Overview of changes since previous</w:t>
      </w:r>
      <w:r w:rsidR="00135309" w:rsidRPr="0018386D">
        <w:t> </w:t>
      </w:r>
      <w:r w:rsidRPr="0018386D">
        <w:t>update</w:t>
      </w:r>
      <w:bookmarkEnd w:id="585"/>
      <w:bookmarkEnd w:id="586"/>
      <w:bookmarkEnd w:id="587"/>
    </w:p>
    <w:p w14:paraId="650922EC" w14:textId="530596D7" w:rsidR="00017EB3" w:rsidRPr="0018386D" w:rsidRDefault="002D4089" w:rsidP="00DD3106">
      <w:pPr>
        <w:pStyle w:val="BodyText"/>
      </w:pPr>
      <w:bookmarkStart w:id="588" w:name="_Hlk532903433"/>
      <w:r w:rsidRPr="0018386D">
        <w:t>Rail</w:t>
      </w:r>
      <w:r w:rsidR="00331C00" w:rsidRPr="0018386D">
        <w:t xml:space="preserve"> freight emission factors have been updated </w:t>
      </w:r>
      <w:r w:rsidR="00EC4AF9" w:rsidRPr="0018386D">
        <w:t xml:space="preserve">since the 2022 </w:t>
      </w:r>
      <w:r w:rsidR="008B048A" w:rsidRPr="0018386D">
        <w:t>guidance</w:t>
      </w:r>
      <w:r w:rsidR="00331C00" w:rsidRPr="0018386D">
        <w:t xml:space="preserve"> to align with source data from KiwiRail.</w:t>
      </w:r>
      <w:bookmarkEnd w:id="588"/>
    </w:p>
    <w:p w14:paraId="650922ED" w14:textId="72A6EAD4" w:rsidR="00321918" w:rsidRPr="0018386D" w:rsidRDefault="00321918" w:rsidP="00DD3106">
      <w:pPr>
        <w:pStyle w:val="Heading2"/>
        <w:numPr>
          <w:ilvl w:val="1"/>
          <w:numId w:val="8"/>
        </w:numPr>
      </w:pPr>
      <w:bookmarkStart w:id="589" w:name="_Toc532904917"/>
      <w:bookmarkStart w:id="590" w:name="_Toc600589"/>
      <w:bookmarkStart w:id="591" w:name="_Toc140048920"/>
      <w:r w:rsidRPr="0018386D">
        <w:t>Road freight</w:t>
      </w:r>
      <w:bookmarkEnd w:id="589"/>
      <w:bookmarkEnd w:id="590"/>
      <w:bookmarkEnd w:id="591"/>
    </w:p>
    <w:p w14:paraId="41147B9A" w14:textId="7720F002" w:rsidR="007009C7" w:rsidRPr="0018386D" w:rsidRDefault="00E9625E" w:rsidP="00DD3106">
      <w:pPr>
        <w:pStyle w:val="BodyText"/>
      </w:pPr>
      <w:r w:rsidRPr="0018386D">
        <w:t xml:space="preserve">Organisations </w:t>
      </w:r>
      <w:r w:rsidR="008027A0" w:rsidRPr="0018386D">
        <w:t>freighting goods through third</w:t>
      </w:r>
      <w:r w:rsidR="0045521C" w:rsidRPr="0018386D">
        <w:t>-</w:t>
      </w:r>
      <w:r w:rsidR="008027A0" w:rsidRPr="0018386D">
        <w:t xml:space="preserve">party providers can categorise road freight </w:t>
      </w:r>
      <w:r w:rsidR="00645D01" w:rsidRPr="0018386D">
        <w:t>emission</w:t>
      </w:r>
      <w:r w:rsidR="00EE288F" w:rsidRPr="0018386D">
        <w:t>s</w:t>
      </w:r>
      <w:r w:rsidR="00645D01" w:rsidRPr="0018386D">
        <w:t xml:space="preserve"> </w:t>
      </w:r>
      <w:r w:rsidR="008027A0" w:rsidRPr="0018386D">
        <w:t>as</w:t>
      </w:r>
      <w:r w:rsidR="00645D01" w:rsidRPr="0018386D">
        <w:t xml:space="preserve"> indirect (Scope 3). </w:t>
      </w:r>
      <w:r w:rsidR="008027A0" w:rsidRPr="0018386D">
        <w:t>We generated e</w:t>
      </w:r>
      <w:r w:rsidR="00645D01" w:rsidRPr="0018386D">
        <w:t xml:space="preserve">mission factors for freight vehicles </w:t>
      </w:r>
      <w:r w:rsidR="00C818FE" w:rsidRPr="0018386D">
        <w:t xml:space="preserve">(in km travelled) </w:t>
      </w:r>
      <w:r w:rsidR="00645D01" w:rsidRPr="0018386D">
        <w:t xml:space="preserve">and an average </w:t>
      </w:r>
      <w:r w:rsidR="003079FA" w:rsidRPr="0018386D">
        <w:t xml:space="preserve">emission factor </w:t>
      </w:r>
      <w:r w:rsidR="00645D01" w:rsidRPr="0018386D">
        <w:t>for freighting goods</w:t>
      </w:r>
      <w:r w:rsidR="003079FA" w:rsidRPr="0018386D">
        <w:t xml:space="preserve"> by road in </w:t>
      </w:r>
      <w:r w:rsidR="007219F5" w:rsidRPr="0018386D">
        <w:t>tonne kilometres (</w:t>
      </w:r>
      <w:proofErr w:type="spellStart"/>
      <w:r w:rsidR="00DE5085" w:rsidRPr="0018386D">
        <w:t>tkm</w:t>
      </w:r>
      <w:proofErr w:type="spellEnd"/>
      <w:r w:rsidR="007219F5" w:rsidRPr="0018386D">
        <w:t>)</w:t>
      </w:r>
      <w:r w:rsidR="00645D01" w:rsidRPr="0018386D">
        <w:t>.</w:t>
      </w:r>
      <w:r w:rsidR="00583FDB" w:rsidRPr="0018386D">
        <w:t xml:space="preserve"> </w:t>
      </w:r>
      <w:r w:rsidR="00A9211C" w:rsidRPr="0018386D">
        <w:rPr>
          <w:rFonts w:cs="Calibri"/>
          <w:shd w:val="clear" w:color="auto" w:fill="FFFFFF"/>
        </w:rPr>
        <w:t xml:space="preserve">Where the organisation’s goods are only part of the load, the </w:t>
      </w:r>
      <w:proofErr w:type="spellStart"/>
      <w:r w:rsidR="00A9211C" w:rsidRPr="0018386D">
        <w:rPr>
          <w:rFonts w:cs="Calibri"/>
          <w:shd w:val="clear" w:color="auto" w:fill="FFFFFF"/>
        </w:rPr>
        <w:t>tkm</w:t>
      </w:r>
      <w:proofErr w:type="spellEnd"/>
      <w:r w:rsidR="00A9211C" w:rsidRPr="0018386D">
        <w:rPr>
          <w:rFonts w:cs="Calibri"/>
          <w:shd w:val="clear" w:color="auto" w:fill="FFFFFF"/>
        </w:rPr>
        <w:t xml:space="preserve"> emission factor should be used as the way of allocating emissions between the different goods on the same truck.</w:t>
      </w:r>
      <w:r w:rsidR="00583FDB" w:rsidRPr="0018386D">
        <w:t xml:space="preserve"> </w:t>
      </w:r>
      <w:r w:rsidR="00F561E5" w:rsidRPr="0018386D">
        <w:t xml:space="preserve">Downstream and upstream transportation and distribution can also be considered. Refer to </w:t>
      </w:r>
      <w:r w:rsidR="00355CE6" w:rsidRPr="0018386D">
        <w:t>the</w:t>
      </w:r>
      <w:r w:rsidR="00F424ED" w:rsidRPr="0018386D">
        <w:t> </w:t>
      </w:r>
      <w:hyperlink r:id="rId106" w:history="1">
        <w:r w:rsidR="007009C7" w:rsidRPr="0018386D">
          <w:rPr>
            <w:rStyle w:val="Hyperlink"/>
            <w:iCs/>
          </w:rPr>
          <w:t>GHG Protocol</w:t>
        </w:r>
      </w:hyperlink>
      <w:r w:rsidR="007009C7" w:rsidRPr="0018386D">
        <w:t>.</w:t>
      </w:r>
    </w:p>
    <w:p w14:paraId="7A02931A" w14:textId="71F81EBA" w:rsidR="005E3DD1" w:rsidRPr="0018386D" w:rsidRDefault="007009C7" w:rsidP="00DD3106">
      <w:pPr>
        <w:pStyle w:val="BodyText"/>
      </w:pPr>
      <w:r w:rsidRPr="0018386D">
        <w:t>Included in the</w:t>
      </w:r>
      <w:r w:rsidR="00A73471" w:rsidRPr="0018386D">
        <w:t xml:space="preserve"> road freight section are three emissions factors covering urban delivery heavy trucks, long haul heavy trucks and all trucks. Urban delivery heavy trucks include vans and road user charge</w:t>
      </w:r>
      <w:r w:rsidR="00F46507" w:rsidRPr="0018386D">
        <w:t xml:space="preserve"> (</w:t>
      </w:r>
      <w:r w:rsidR="00A73471" w:rsidRPr="0018386D">
        <w:t>RUC) type 2 trucks such as those powered vehicles with two axles. Please note these trucks could carry trailers and most of their travel would be for urban delivery. Long haul heavy trucks include other RUC types such as those powered vehicles with three or more axles. Most of them would be used for relatively long-distance travel. The EF for ‘all truck’ should be used for a large fleet with a good mix of small and large trucks. Users should be aware that the emission behaviour of individual vehicles could vary largely.</w:t>
      </w:r>
    </w:p>
    <w:p w14:paraId="650922EF" w14:textId="1594CA2F" w:rsidR="00583FDB" w:rsidRPr="0018386D" w:rsidRDefault="00057AB0" w:rsidP="00DD3106">
      <w:pPr>
        <w:pStyle w:val="BodyText"/>
      </w:pPr>
      <w:r w:rsidRPr="0018386D">
        <w:t>Te Manatū Waka</w:t>
      </w:r>
      <w:r w:rsidR="00703F1F" w:rsidRPr="0018386D">
        <w:t xml:space="preserve"> Ministry of </w:t>
      </w:r>
      <w:r w:rsidRPr="0018386D">
        <w:t>Transport</w:t>
      </w:r>
      <w:r w:rsidR="00703F1F" w:rsidRPr="0018386D">
        <w:t>’s</w:t>
      </w:r>
      <w:r w:rsidR="00583FDB" w:rsidRPr="0018386D">
        <w:t xml:space="preserve"> </w:t>
      </w:r>
      <w:r w:rsidR="00D8796A" w:rsidRPr="0018386D">
        <w:t>V</w:t>
      </w:r>
      <w:r w:rsidR="0017562F" w:rsidRPr="0018386D">
        <w:t xml:space="preserve">ehicle </w:t>
      </w:r>
      <w:r w:rsidR="00D8796A" w:rsidRPr="0018386D">
        <w:t xml:space="preserve">Fleet Emissions Model </w:t>
      </w:r>
      <w:r w:rsidR="008027A0" w:rsidRPr="0018386D">
        <w:t xml:space="preserve">provided the </w:t>
      </w:r>
      <w:r w:rsidR="00583FDB" w:rsidRPr="0018386D">
        <w:t>real</w:t>
      </w:r>
      <w:r w:rsidR="0075269F" w:rsidRPr="0018386D">
        <w:t>-</w:t>
      </w:r>
      <w:r w:rsidR="00583FDB" w:rsidRPr="0018386D">
        <w:t xml:space="preserve">world fuel consumption rates </w:t>
      </w:r>
      <w:r w:rsidR="00583FDB" w:rsidRPr="0018386D" w:rsidDel="00AB199A">
        <w:t xml:space="preserve">of </w:t>
      </w:r>
      <w:r w:rsidR="00583FDB" w:rsidRPr="0018386D">
        <w:t xml:space="preserve">the vehicle fleet. </w:t>
      </w:r>
      <w:r w:rsidR="008027A0" w:rsidRPr="0018386D">
        <w:t>We</w:t>
      </w:r>
      <w:r w:rsidR="00583FDB" w:rsidRPr="0018386D">
        <w:t xml:space="preserve"> decided to split the fleet into </w:t>
      </w:r>
      <w:r w:rsidR="00A151BF" w:rsidRPr="0018386D">
        <w:t xml:space="preserve">three </w:t>
      </w:r>
      <w:r w:rsidR="00583FDB" w:rsidRPr="0018386D">
        <w:t>categories and develop average emission factors</w:t>
      </w:r>
      <w:r w:rsidR="00B752EF" w:rsidRPr="0018386D">
        <w:t> </w:t>
      </w:r>
      <w:r w:rsidR="00583FDB" w:rsidRPr="0018386D">
        <w:t>for these</w:t>
      </w:r>
      <w:r w:rsidR="0045521C" w:rsidRPr="0018386D">
        <w:t>.</w:t>
      </w:r>
    </w:p>
    <w:p w14:paraId="650922F0" w14:textId="66CC0432" w:rsidR="00583FDB" w:rsidRPr="0018386D" w:rsidRDefault="00583FDB" w:rsidP="00DD3106">
      <w:pPr>
        <w:pStyle w:val="Bullet"/>
      </w:pPr>
      <w:r w:rsidRPr="0018386D">
        <w:t>Pre-2010 fleet is based on the average fuel consumption data from 1970 to 2010</w:t>
      </w:r>
      <w:r w:rsidR="0045521C" w:rsidRPr="0018386D">
        <w:t>. W</w:t>
      </w:r>
      <w:r w:rsidR="008027A0" w:rsidRPr="0018386D">
        <w:t>e assume</w:t>
      </w:r>
      <w:r w:rsidRPr="0018386D">
        <w:t xml:space="preserve"> there are no electric vehicles or diesel hybrids.</w:t>
      </w:r>
    </w:p>
    <w:p w14:paraId="650922F1" w14:textId="07CEFF4F" w:rsidR="00583FDB" w:rsidRPr="0018386D" w:rsidRDefault="00583FDB" w:rsidP="00DD3106">
      <w:pPr>
        <w:pStyle w:val="Bullet"/>
      </w:pPr>
      <w:r w:rsidRPr="0018386D">
        <w:t>2010</w:t>
      </w:r>
      <w:r w:rsidR="0075269F" w:rsidRPr="0018386D">
        <w:t>–</w:t>
      </w:r>
      <w:r w:rsidRPr="0018386D">
        <w:t>2015 fleet is based on the average fuel consumption data from vehicles produced between 2010 and 2015</w:t>
      </w:r>
      <w:r w:rsidR="0045521C" w:rsidRPr="0018386D">
        <w:t>.</w:t>
      </w:r>
    </w:p>
    <w:p w14:paraId="4FC75020" w14:textId="6964848B" w:rsidR="008278EA" w:rsidRPr="0018386D" w:rsidRDefault="00583FDB" w:rsidP="00DD3106">
      <w:pPr>
        <w:pStyle w:val="Bullet"/>
      </w:pPr>
      <w:r w:rsidRPr="0018386D">
        <w:t>Post-2015 fleet is based on the average fuel consumption data from vehicles produced from 2015 onwards</w:t>
      </w:r>
      <w:r w:rsidR="0045521C" w:rsidRPr="0018386D">
        <w:t>.</w:t>
      </w:r>
      <w:r w:rsidR="00A42624" w:rsidRPr="0018386D">
        <w:t xml:space="preserve"> </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8278EA" w:rsidRPr="0018386D" w:rsidDel="00D5390D" w14:paraId="0731D7D0" w14:textId="77777777" w:rsidTr="00111201">
        <w:tc>
          <w:tcPr>
            <w:tcW w:w="8500" w:type="dxa"/>
            <w:tcBorders>
              <w:top w:val="single" w:sz="4" w:space="0" w:color="0F7B7D"/>
              <w:left w:val="single" w:sz="4" w:space="0" w:color="0F7B7D"/>
              <w:bottom w:val="nil"/>
              <w:right w:val="single" w:sz="4" w:space="0" w:color="0F7B7D"/>
            </w:tcBorders>
            <w:shd w:val="clear" w:color="auto" w:fill="0F7B7D"/>
            <w:vAlign w:val="center"/>
          </w:tcPr>
          <w:p w14:paraId="2C59AC40" w14:textId="081D3516" w:rsidR="008278EA" w:rsidRPr="0018386D" w:rsidDel="00D5390D" w:rsidRDefault="008278EA" w:rsidP="00DD3106">
            <w:pPr>
              <w:pStyle w:val="Casestudyheading"/>
            </w:pPr>
            <w:r w:rsidRPr="0018386D">
              <w:lastRenderedPageBreak/>
              <w:t>TONNE KILOMETRE</w:t>
            </w:r>
            <w:r w:rsidR="00DC7471" w:rsidRPr="0018386D">
              <w:t xml:space="preserve"> (TKM)</w:t>
            </w:r>
          </w:p>
        </w:tc>
      </w:tr>
      <w:tr w:rsidR="008278EA" w:rsidRPr="0018386D" w14:paraId="126C32AF" w14:textId="77777777" w:rsidTr="00111201">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B2EAC13" w14:textId="6A60CE31" w:rsidR="008278EA" w:rsidRPr="0018386D" w:rsidRDefault="008278EA" w:rsidP="00DD3106">
            <w:pPr>
              <w:pStyle w:val="Boxtext"/>
              <w:keepNext/>
              <w:spacing w:after="80"/>
            </w:pPr>
            <w:r w:rsidRPr="0018386D">
              <w:t xml:space="preserve">A </w:t>
            </w:r>
            <w:proofErr w:type="spellStart"/>
            <w:r w:rsidRPr="0018386D">
              <w:t>tkm</w:t>
            </w:r>
            <w:proofErr w:type="spellEnd"/>
            <w:r w:rsidRPr="0018386D">
              <w:t xml:space="preserve"> is the distance travelled multiplied by the weight of freight carried by the LCV or HGV.</w:t>
            </w:r>
            <w:r w:rsidR="00A42624" w:rsidRPr="0018386D">
              <w:t xml:space="preserve"> </w:t>
            </w:r>
          </w:p>
          <w:p w14:paraId="088C223B" w14:textId="2581DA95" w:rsidR="008278EA" w:rsidRPr="0018386D" w:rsidRDefault="008278EA" w:rsidP="00DD3106">
            <w:pPr>
              <w:pStyle w:val="Boxtext"/>
              <w:keepNext/>
              <w:spacing w:before="80" w:after="80"/>
            </w:pPr>
            <w:r w:rsidRPr="0018386D">
              <w:t>For example, an HGV carrying 5 tonnes freight over 100</w:t>
            </w:r>
            <w:r w:rsidR="00637C54" w:rsidRPr="0018386D">
              <w:t xml:space="preserve"> </w:t>
            </w:r>
            <w:r w:rsidRPr="0018386D">
              <w:t xml:space="preserve">km has a </w:t>
            </w:r>
            <w:proofErr w:type="spellStart"/>
            <w:r w:rsidRPr="0018386D">
              <w:t>tkm</w:t>
            </w:r>
            <w:proofErr w:type="spellEnd"/>
            <w:r w:rsidRPr="0018386D">
              <w:t xml:space="preserve"> value of 500</w:t>
            </w:r>
            <w:r w:rsidR="00637C54" w:rsidRPr="0018386D">
              <w:t xml:space="preserve"> </w:t>
            </w:r>
            <w:proofErr w:type="spellStart"/>
            <w:r w:rsidRPr="0018386D">
              <w:t>tkm</w:t>
            </w:r>
            <w:proofErr w:type="spellEnd"/>
            <w:r w:rsidRPr="0018386D">
              <w:t>.</w:t>
            </w:r>
            <w:r w:rsidR="00A42624" w:rsidRPr="0018386D">
              <w:t xml:space="preserve"> </w:t>
            </w:r>
          </w:p>
          <w:p w14:paraId="50ACDB77" w14:textId="03DA0DA3" w:rsidR="008278EA" w:rsidRPr="0018386D" w:rsidRDefault="008278EA" w:rsidP="00DD3106">
            <w:pPr>
              <w:pStyle w:val="Boxtext"/>
              <w:keepNext/>
              <w:spacing w:before="80" w:after="180"/>
              <w:rPr>
                <w:rFonts w:asciiTheme="minorHAnsi" w:eastAsia="Times New Roman" w:hAnsiTheme="minorHAnsi"/>
                <w:lang w:eastAsia="en-US"/>
              </w:rPr>
            </w:pPr>
            <w:r w:rsidRPr="0018386D">
              <w:t>The CO</w:t>
            </w:r>
            <w:r w:rsidRPr="0018386D">
              <w:rPr>
                <w:vertAlign w:val="subscript"/>
              </w:rPr>
              <w:t>2</w:t>
            </w:r>
            <w:r w:rsidRPr="0018386D">
              <w:t xml:space="preserve"> emissions are calculated from these factors by multiplying the number of </w:t>
            </w:r>
            <w:proofErr w:type="spellStart"/>
            <w:r w:rsidRPr="0018386D">
              <w:t>tkm</w:t>
            </w:r>
            <w:proofErr w:type="spellEnd"/>
            <w:r w:rsidRPr="0018386D">
              <w:t xml:space="preserve"> the user has for the distance and weight of the goods being moved by the CO</w:t>
            </w:r>
            <w:r w:rsidRPr="0018386D">
              <w:rPr>
                <w:vertAlign w:val="subscript"/>
              </w:rPr>
              <w:t>2</w:t>
            </w:r>
            <w:r w:rsidRPr="0018386D">
              <w:t xml:space="preserve"> conversion factor in the ‘Freight workbook 202</w:t>
            </w:r>
            <w:r w:rsidR="00ED0B3D" w:rsidRPr="0018386D">
              <w:t>3</w:t>
            </w:r>
            <w:r w:rsidRPr="0018386D">
              <w:t>’ worksheet of the 202</w:t>
            </w:r>
            <w:r w:rsidR="00ED0B3D" w:rsidRPr="0018386D">
              <w:t>3</w:t>
            </w:r>
            <w:r w:rsidRPr="0018386D">
              <w:t xml:space="preserve"> </w:t>
            </w:r>
            <w:hyperlink r:id="rId107" w:history="1">
              <w:r w:rsidRPr="0018386D">
                <w:rPr>
                  <w:rStyle w:val="Hyperlink"/>
                </w:rPr>
                <w:t xml:space="preserve">Interactive </w:t>
              </w:r>
              <w:r w:rsidR="00BC56F5" w:rsidRPr="0018386D">
                <w:rPr>
                  <w:rStyle w:val="Hyperlink"/>
                </w:rPr>
                <w:t>w</w:t>
              </w:r>
              <w:r w:rsidRPr="0018386D">
                <w:rPr>
                  <w:rStyle w:val="Hyperlink"/>
                </w:rPr>
                <w:t>orkbook</w:t>
              </w:r>
            </w:hyperlink>
            <w:r w:rsidRPr="0018386D">
              <w:t xml:space="preserve"> for the relevant LCV or HGV class.</w:t>
            </w:r>
          </w:p>
        </w:tc>
      </w:tr>
    </w:tbl>
    <w:p w14:paraId="154418FD" w14:textId="77777777" w:rsidR="004863A6" w:rsidRPr="0018386D" w:rsidRDefault="004863A6" w:rsidP="00DD3106">
      <w:pPr>
        <w:pStyle w:val="Heading3"/>
        <w:numPr>
          <w:ilvl w:val="2"/>
          <w:numId w:val="8"/>
        </w:numPr>
        <w:spacing w:before="440"/>
      </w:pPr>
      <w:bookmarkStart w:id="592" w:name="_Toc532904918"/>
      <w:r w:rsidRPr="0018386D">
        <w:t>Light commercial vehicle emission factors</w:t>
      </w:r>
      <w:bookmarkEnd w:id="592"/>
    </w:p>
    <w:p w14:paraId="650922F4" w14:textId="09D7A669" w:rsidR="009A7279" w:rsidRPr="0018386D" w:rsidRDefault="00DE3535" w:rsidP="00DD3106">
      <w:pPr>
        <w:pStyle w:val="Tableheading"/>
      </w:pPr>
      <w:bookmarkStart w:id="593" w:name="_Toc111536657"/>
      <w:bookmarkStart w:id="594" w:name="_Toc140048985"/>
      <w:bookmarkStart w:id="595" w:name="Table45"/>
      <w:r w:rsidRPr="0018386D">
        <w:t xml:space="preserve">Table </w:t>
      </w:r>
      <w:r w:rsidR="00C7627E">
        <w:fldChar w:fldCharType="begin"/>
      </w:r>
      <w:r w:rsidR="00C7627E">
        <w:instrText xml:space="preserve"> SEQ Table \* ARABIC </w:instrText>
      </w:r>
      <w:r w:rsidR="00C7627E">
        <w:fldChar w:fldCharType="separate"/>
      </w:r>
      <w:r w:rsidRPr="0018386D">
        <w:rPr>
          <w:noProof/>
        </w:rPr>
        <w:t>45</w:t>
      </w:r>
      <w:r w:rsidR="00C7627E">
        <w:rPr>
          <w:noProof/>
        </w:rPr>
        <w:fldChar w:fldCharType="end"/>
      </w:r>
      <w:r w:rsidRPr="0018386D">
        <w:t>:</w:t>
      </w:r>
      <w:r w:rsidRPr="0018386D">
        <w:tab/>
        <w:t>E</w:t>
      </w:r>
      <w:r w:rsidR="009A7279" w:rsidRPr="0018386D">
        <w:t>mission factors for</w:t>
      </w:r>
      <w:r w:rsidR="00C803E3" w:rsidRPr="0018386D">
        <w:t xml:space="preserve"> </w:t>
      </w:r>
      <w:r w:rsidR="009A7279" w:rsidRPr="0018386D">
        <w:t>light commercial vehicles</w:t>
      </w:r>
      <w:r w:rsidR="00C803E3" w:rsidRPr="0018386D">
        <w:t xml:space="preserve"> manufactured pre</w:t>
      </w:r>
      <w:r w:rsidR="0075269F" w:rsidRPr="0018386D">
        <w:t>-</w:t>
      </w:r>
      <w:proofErr w:type="gramStart"/>
      <w:r w:rsidR="00C803E3" w:rsidRPr="0018386D">
        <w:t>2010</w:t>
      </w:r>
      <w:bookmarkEnd w:id="593"/>
      <w:bookmarkEnd w:id="594"/>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388"/>
        <w:gridCol w:w="1389"/>
        <w:gridCol w:w="558"/>
        <w:gridCol w:w="1168"/>
        <w:gridCol w:w="1334"/>
        <w:gridCol w:w="1334"/>
        <w:gridCol w:w="1334"/>
      </w:tblGrid>
      <w:tr w:rsidR="001F49EB" w:rsidRPr="0018386D" w14:paraId="5D680ADD" w14:textId="77777777" w:rsidTr="00A453CD">
        <w:trPr>
          <w:divId w:val="1797331944"/>
        </w:trPr>
        <w:tc>
          <w:tcPr>
            <w:tcW w:w="1418" w:type="dxa"/>
            <w:tcBorders>
              <w:bottom w:val="nil"/>
            </w:tcBorders>
            <w:shd w:val="clear" w:color="000000" w:fill="1C556C"/>
            <w:noWrap/>
            <w:vAlign w:val="bottom"/>
            <w:hideMark/>
          </w:tcPr>
          <w:p w14:paraId="16D1D30F" w14:textId="4F43ECBB" w:rsidR="008E2ED2" w:rsidRPr="0018386D" w:rsidRDefault="008E2ED2" w:rsidP="00DD3106">
            <w:pPr>
              <w:pStyle w:val="TableTextbold"/>
              <w:spacing w:before="30" w:after="30"/>
              <w:rPr>
                <w:color w:val="FFFFFF" w:themeColor="background1"/>
              </w:rPr>
            </w:pPr>
            <w:bookmarkStart w:id="596" w:name="_1746366838"/>
            <w:bookmarkStart w:id="597" w:name="_1745997849"/>
            <w:bookmarkStart w:id="598" w:name="_1746254077"/>
            <w:bookmarkStart w:id="599" w:name="_1747051273"/>
            <w:bookmarkEnd w:id="595"/>
            <w:bookmarkEnd w:id="596"/>
            <w:bookmarkEnd w:id="597"/>
            <w:bookmarkEnd w:id="598"/>
            <w:bookmarkEnd w:id="599"/>
            <w:r w:rsidRPr="0018386D">
              <w:rPr>
                <w:color w:val="FFFFFF" w:themeColor="background1"/>
              </w:rPr>
              <w:t>Emission source</w:t>
            </w:r>
          </w:p>
        </w:tc>
        <w:tc>
          <w:tcPr>
            <w:tcW w:w="1418" w:type="dxa"/>
            <w:shd w:val="clear" w:color="000000" w:fill="1C556C"/>
            <w:noWrap/>
            <w:vAlign w:val="bottom"/>
            <w:hideMark/>
          </w:tcPr>
          <w:p w14:paraId="0A9AAE89" w14:textId="77777777" w:rsidR="008E2ED2" w:rsidRPr="0018386D" w:rsidRDefault="008E2ED2" w:rsidP="00DD3106">
            <w:pPr>
              <w:pStyle w:val="TableTextbold"/>
              <w:spacing w:before="30" w:after="30"/>
              <w:rPr>
                <w:color w:val="FFFFFF" w:themeColor="background1"/>
              </w:rPr>
            </w:pPr>
            <w:r w:rsidRPr="0018386D">
              <w:rPr>
                <w:color w:val="FFFFFF" w:themeColor="background1"/>
              </w:rPr>
              <w:t> </w:t>
            </w:r>
          </w:p>
        </w:tc>
        <w:tc>
          <w:tcPr>
            <w:tcW w:w="567" w:type="dxa"/>
            <w:shd w:val="clear" w:color="000000" w:fill="1C556C"/>
            <w:noWrap/>
            <w:vAlign w:val="bottom"/>
            <w:hideMark/>
          </w:tcPr>
          <w:p w14:paraId="6B266734"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191" w:type="dxa"/>
            <w:shd w:val="clear" w:color="000000" w:fill="1C556C"/>
            <w:noWrap/>
            <w:vAlign w:val="bottom"/>
            <w:hideMark/>
          </w:tcPr>
          <w:p w14:paraId="3B5220E4" w14:textId="0BFFF006"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361" w:type="dxa"/>
            <w:shd w:val="clear" w:color="000000" w:fill="1C556C"/>
            <w:noWrap/>
            <w:vAlign w:val="bottom"/>
            <w:hideMark/>
          </w:tcPr>
          <w:p w14:paraId="58C48CFD" w14:textId="2B87A644"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w:t>
            </w:r>
            <w:r w:rsidR="00610BF9" w:rsidRPr="0018386D">
              <w:rPr>
                <w:color w:val="FFFFFF" w:themeColor="background1"/>
              </w:rPr>
              <w:t xml:space="preserve"> </w:t>
            </w:r>
            <w:r w:rsidRPr="0018386D">
              <w:rPr>
                <w:color w:val="FFFFFF" w:themeColor="background1"/>
              </w:rPr>
              <w:t>unit)</w:t>
            </w:r>
          </w:p>
        </w:tc>
        <w:tc>
          <w:tcPr>
            <w:tcW w:w="1361" w:type="dxa"/>
            <w:shd w:val="clear" w:color="000000" w:fill="1C556C"/>
            <w:noWrap/>
            <w:vAlign w:val="bottom"/>
            <w:hideMark/>
          </w:tcPr>
          <w:p w14:paraId="0761AEAA" w14:textId="0E02363A" w:rsidR="008E2ED2" w:rsidRPr="0018386D" w:rsidRDefault="008E2ED2" w:rsidP="00DD3106">
            <w:pPr>
              <w:pStyle w:val="TableTextbold"/>
              <w:spacing w:before="30" w:after="30"/>
              <w:rPr>
                <w:color w:val="FFFFFF" w:themeColor="background1"/>
              </w:rPr>
            </w:pPr>
            <w:r w:rsidRPr="0018386D">
              <w:rPr>
                <w:color w:val="FFFFFF" w:themeColor="background1"/>
              </w:rPr>
              <w:t>CH₄ (kg CO₂-e/</w:t>
            </w:r>
            <w:r w:rsidR="00610BF9" w:rsidRPr="0018386D">
              <w:rPr>
                <w:color w:val="FFFFFF" w:themeColor="background1"/>
              </w:rPr>
              <w:t xml:space="preserve"> </w:t>
            </w:r>
            <w:r w:rsidRPr="0018386D">
              <w:rPr>
                <w:color w:val="FFFFFF" w:themeColor="background1"/>
              </w:rPr>
              <w:t>unit)</w:t>
            </w:r>
          </w:p>
        </w:tc>
        <w:tc>
          <w:tcPr>
            <w:tcW w:w="1361" w:type="dxa"/>
            <w:shd w:val="clear" w:color="000000" w:fill="1C556C"/>
            <w:noWrap/>
            <w:vAlign w:val="bottom"/>
            <w:hideMark/>
          </w:tcPr>
          <w:p w14:paraId="497660B0" w14:textId="05E71967" w:rsidR="008E2ED2" w:rsidRPr="0018386D" w:rsidRDefault="008E2ED2" w:rsidP="00DD3106">
            <w:pPr>
              <w:pStyle w:val="TableTextbold"/>
              <w:spacing w:before="30" w:after="30"/>
              <w:rPr>
                <w:color w:val="FFFFFF" w:themeColor="background1"/>
              </w:rPr>
            </w:pPr>
            <w:r w:rsidRPr="0018386D">
              <w:rPr>
                <w:color w:val="FFFFFF" w:themeColor="background1"/>
              </w:rPr>
              <w:t>N₂O (kg CO₂-e/</w:t>
            </w:r>
            <w:r w:rsidR="00610BF9" w:rsidRPr="0018386D">
              <w:rPr>
                <w:color w:val="FFFFFF" w:themeColor="background1"/>
              </w:rPr>
              <w:t xml:space="preserve"> </w:t>
            </w:r>
            <w:r w:rsidRPr="0018386D">
              <w:rPr>
                <w:color w:val="FFFFFF" w:themeColor="background1"/>
              </w:rPr>
              <w:t>unit)</w:t>
            </w:r>
          </w:p>
        </w:tc>
      </w:tr>
      <w:tr w:rsidR="001F49EB" w:rsidRPr="0018386D" w14:paraId="1EBAC5F7" w14:textId="77777777" w:rsidTr="00A453CD">
        <w:trPr>
          <w:divId w:val="1797331944"/>
        </w:trPr>
        <w:tc>
          <w:tcPr>
            <w:tcW w:w="1418" w:type="dxa"/>
            <w:tcBorders>
              <w:top w:val="nil"/>
              <w:left w:val="nil"/>
              <w:bottom w:val="nil"/>
              <w:right w:val="single" w:sz="4" w:space="0" w:color="auto"/>
            </w:tcBorders>
            <w:shd w:val="clear" w:color="000000" w:fill="FFFFFF"/>
            <w:noWrap/>
            <w:hideMark/>
          </w:tcPr>
          <w:p w14:paraId="7B75B2B3" w14:textId="77777777" w:rsidR="008E2ED2" w:rsidRPr="0018386D" w:rsidRDefault="008E2ED2" w:rsidP="00DD3106">
            <w:pPr>
              <w:pStyle w:val="TableText"/>
              <w:spacing w:before="30" w:after="30"/>
            </w:pPr>
            <w:r w:rsidRPr="0018386D">
              <w:t>Petrol</w:t>
            </w:r>
          </w:p>
        </w:tc>
        <w:tc>
          <w:tcPr>
            <w:tcW w:w="1418" w:type="dxa"/>
            <w:tcBorders>
              <w:left w:val="single" w:sz="4" w:space="0" w:color="auto"/>
            </w:tcBorders>
            <w:shd w:val="clear" w:color="000000" w:fill="FFFFFF"/>
            <w:noWrap/>
            <w:hideMark/>
          </w:tcPr>
          <w:p w14:paraId="6D5564E0" w14:textId="77777777" w:rsidR="008E2ED2" w:rsidRPr="0018386D" w:rsidRDefault="008E2ED2" w:rsidP="00DD3106">
            <w:pPr>
              <w:pStyle w:val="TableText"/>
              <w:spacing w:before="30" w:after="30"/>
            </w:pPr>
            <w:r w:rsidRPr="0018386D">
              <w:t>&lt;1350 cc</w:t>
            </w:r>
          </w:p>
        </w:tc>
        <w:tc>
          <w:tcPr>
            <w:tcW w:w="567" w:type="dxa"/>
            <w:shd w:val="clear" w:color="000000" w:fill="FFFFFF"/>
            <w:noWrap/>
            <w:hideMark/>
          </w:tcPr>
          <w:p w14:paraId="000BDC4A"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20EC08C" w14:textId="77777777" w:rsidR="008E2ED2" w:rsidRPr="0018386D" w:rsidRDefault="008E2ED2" w:rsidP="00DD3106">
            <w:pPr>
              <w:pStyle w:val="TableText"/>
              <w:spacing w:before="30" w:after="30"/>
            </w:pPr>
            <w:r w:rsidRPr="0018386D">
              <w:t>0.207</w:t>
            </w:r>
          </w:p>
        </w:tc>
        <w:tc>
          <w:tcPr>
            <w:tcW w:w="1361" w:type="dxa"/>
            <w:shd w:val="clear" w:color="000000" w:fill="FFFFFF"/>
            <w:noWrap/>
            <w:hideMark/>
          </w:tcPr>
          <w:p w14:paraId="6AFDA781" w14:textId="77777777" w:rsidR="008E2ED2" w:rsidRPr="0018386D" w:rsidRDefault="008E2ED2" w:rsidP="00DD3106">
            <w:pPr>
              <w:pStyle w:val="TableText"/>
              <w:spacing w:before="30" w:after="30"/>
            </w:pPr>
            <w:r w:rsidRPr="0018386D">
              <w:t>0.198</w:t>
            </w:r>
          </w:p>
        </w:tc>
        <w:tc>
          <w:tcPr>
            <w:tcW w:w="1361" w:type="dxa"/>
            <w:shd w:val="clear" w:color="000000" w:fill="FFFFFF"/>
            <w:noWrap/>
            <w:hideMark/>
          </w:tcPr>
          <w:p w14:paraId="200FF5E1" w14:textId="5D79398D" w:rsidR="008E2ED2" w:rsidRPr="0018386D" w:rsidRDefault="008E2ED2" w:rsidP="00DD3106">
            <w:pPr>
              <w:pStyle w:val="TableText"/>
              <w:spacing w:before="30" w:after="30"/>
            </w:pPr>
            <w:r w:rsidRPr="0018386D">
              <w:t>0.00261</w:t>
            </w:r>
          </w:p>
        </w:tc>
        <w:tc>
          <w:tcPr>
            <w:tcW w:w="1361" w:type="dxa"/>
            <w:shd w:val="clear" w:color="000000" w:fill="FFFFFF"/>
            <w:noWrap/>
            <w:hideMark/>
          </w:tcPr>
          <w:p w14:paraId="1F586F83" w14:textId="0EA1B6A9" w:rsidR="008E2ED2" w:rsidRPr="0018386D" w:rsidRDefault="008E2ED2" w:rsidP="00DD3106">
            <w:pPr>
              <w:pStyle w:val="TableText"/>
              <w:spacing w:before="30" w:after="30"/>
            </w:pPr>
            <w:r w:rsidRPr="0018386D">
              <w:t>0.00598</w:t>
            </w:r>
          </w:p>
        </w:tc>
      </w:tr>
      <w:tr w:rsidR="001F49EB" w:rsidRPr="0018386D" w14:paraId="34EFF873" w14:textId="77777777" w:rsidTr="00A453CD">
        <w:trPr>
          <w:divId w:val="1797331944"/>
        </w:trPr>
        <w:tc>
          <w:tcPr>
            <w:tcW w:w="1418" w:type="dxa"/>
            <w:tcBorders>
              <w:top w:val="nil"/>
              <w:left w:val="nil"/>
              <w:bottom w:val="nil"/>
              <w:right w:val="single" w:sz="4" w:space="0" w:color="auto"/>
            </w:tcBorders>
            <w:shd w:val="clear" w:color="000000" w:fill="FFFFFF"/>
            <w:noWrap/>
            <w:hideMark/>
          </w:tcPr>
          <w:p w14:paraId="7E49523E"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5DE51998" w14:textId="45E7FFD1" w:rsidR="008E2ED2" w:rsidRPr="0018386D" w:rsidRDefault="008E2ED2" w:rsidP="00DD3106">
            <w:pPr>
              <w:pStyle w:val="TableText"/>
              <w:spacing w:before="30" w:after="30"/>
            </w:pPr>
            <w:r w:rsidRPr="0018386D">
              <w:t>1350</w:t>
            </w:r>
            <w:r w:rsidR="00DC7471" w:rsidRPr="0018386D">
              <w:t>–</w:t>
            </w:r>
            <w:r w:rsidRPr="0018386D">
              <w:t>&lt;1600 cc</w:t>
            </w:r>
          </w:p>
        </w:tc>
        <w:tc>
          <w:tcPr>
            <w:tcW w:w="567" w:type="dxa"/>
            <w:shd w:val="clear" w:color="000000" w:fill="FFFFFF"/>
            <w:noWrap/>
            <w:hideMark/>
          </w:tcPr>
          <w:p w14:paraId="3913CCD6"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7A607CE" w14:textId="77777777" w:rsidR="008E2ED2" w:rsidRPr="0018386D" w:rsidRDefault="008E2ED2" w:rsidP="00DD3106">
            <w:pPr>
              <w:pStyle w:val="TableText"/>
              <w:spacing w:before="30" w:after="30"/>
            </w:pPr>
            <w:r w:rsidRPr="0018386D">
              <w:t>0.222</w:t>
            </w:r>
          </w:p>
        </w:tc>
        <w:tc>
          <w:tcPr>
            <w:tcW w:w="1361" w:type="dxa"/>
            <w:shd w:val="clear" w:color="000000" w:fill="FFFFFF"/>
            <w:noWrap/>
            <w:hideMark/>
          </w:tcPr>
          <w:p w14:paraId="4786506A" w14:textId="704DBDD4" w:rsidR="008E2ED2" w:rsidRPr="0018386D" w:rsidRDefault="008E2ED2" w:rsidP="00DD3106">
            <w:pPr>
              <w:pStyle w:val="TableText"/>
              <w:spacing w:before="30" w:after="30"/>
            </w:pPr>
            <w:r w:rsidRPr="0018386D">
              <w:t>0.213</w:t>
            </w:r>
          </w:p>
        </w:tc>
        <w:tc>
          <w:tcPr>
            <w:tcW w:w="1361" w:type="dxa"/>
            <w:shd w:val="clear" w:color="000000" w:fill="FFFFFF"/>
            <w:noWrap/>
            <w:hideMark/>
          </w:tcPr>
          <w:p w14:paraId="06C7BF8A" w14:textId="7178641A" w:rsidR="008E2ED2" w:rsidRPr="0018386D" w:rsidRDefault="008E2ED2" w:rsidP="00DD3106">
            <w:pPr>
              <w:pStyle w:val="TableText"/>
              <w:spacing w:before="30" w:after="30"/>
            </w:pPr>
            <w:r w:rsidRPr="0018386D">
              <w:t>0.00280</w:t>
            </w:r>
          </w:p>
        </w:tc>
        <w:tc>
          <w:tcPr>
            <w:tcW w:w="1361" w:type="dxa"/>
            <w:shd w:val="clear" w:color="000000" w:fill="FFFFFF"/>
            <w:noWrap/>
            <w:hideMark/>
          </w:tcPr>
          <w:p w14:paraId="380BBA1F" w14:textId="32A51D7A" w:rsidR="008E2ED2" w:rsidRPr="0018386D" w:rsidRDefault="008E2ED2" w:rsidP="00DD3106">
            <w:pPr>
              <w:pStyle w:val="TableText"/>
              <w:spacing w:before="30" w:after="30"/>
            </w:pPr>
            <w:r w:rsidRPr="0018386D">
              <w:t>0.00642</w:t>
            </w:r>
          </w:p>
        </w:tc>
      </w:tr>
      <w:tr w:rsidR="001F49EB" w:rsidRPr="0018386D" w14:paraId="16B2C2B3" w14:textId="77777777" w:rsidTr="00A453CD">
        <w:trPr>
          <w:divId w:val="1797331944"/>
        </w:trPr>
        <w:tc>
          <w:tcPr>
            <w:tcW w:w="1418" w:type="dxa"/>
            <w:tcBorders>
              <w:top w:val="nil"/>
              <w:left w:val="nil"/>
              <w:bottom w:val="nil"/>
              <w:right w:val="single" w:sz="4" w:space="0" w:color="auto"/>
            </w:tcBorders>
            <w:shd w:val="clear" w:color="000000" w:fill="FFFFFF"/>
            <w:noWrap/>
            <w:hideMark/>
          </w:tcPr>
          <w:p w14:paraId="751B2EAA"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2EDA1643" w14:textId="523A26AE" w:rsidR="008E2ED2" w:rsidRPr="0018386D" w:rsidRDefault="008E2ED2" w:rsidP="00DD3106">
            <w:pPr>
              <w:pStyle w:val="TableText"/>
              <w:spacing w:before="30" w:after="30"/>
            </w:pPr>
            <w:r w:rsidRPr="0018386D">
              <w:t>1600</w:t>
            </w:r>
            <w:r w:rsidR="00F8159D" w:rsidRPr="0018386D">
              <w:t>–</w:t>
            </w:r>
            <w:r w:rsidRPr="0018386D">
              <w:t>&lt;2000 cc</w:t>
            </w:r>
          </w:p>
        </w:tc>
        <w:tc>
          <w:tcPr>
            <w:tcW w:w="567" w:type="dxa"/>
            <w:shd w:val="clear" w:color="000000" w:fill="FFFFFF"/>
            <w:noWrap/>
            <w:hideMark/>
          </w:tcPr>
          <w:p w14:paraId="7F94CE65"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ABEF287" w14:textId="1BEACE3C" w:rsidR="008E2ED2" w:rsidRPr="0018386D" w:rsidRDefault="008E2ED2" w:rsidP="00DD3106">
            <w:pPr>
              <w:pStyle w:val="TableText"/>
              <w:spacing w:before="30" w:after="30"/>
            </w:pPr>
            <w:r w:rsidRPr="0018386D">
              <w:t>0.300</w:t>
            </w:r>
          </w:p>
        </w:tc>
        <w:tc>
          <w:tcPr>
            <w:tcW w:w="1361" w:type="dxa"/>
            <w:shd w:val="clear" w:color="000000" w:fill="FFFFFF"/>
            <w:noWrap/>
            <w:hideMark/>
          </w:tcPr>
          <w:p w14:paraId="5A6AE601" w14:textId="19F6924A" w:rsidR="008E2ED2" w:rsidRPr="0018386D" w:rsidRDefault="008E2ED2" w:rsidP="00DD3106">
            <w:pPr>
              <w:pStyle w:val="TableText"/>
              <w:spacing w:before="30" w:after="30"/>
            </w:pPr>
            <w:r w:rsidRPr="0018386D">
              <w:t>0.287</w:t>
            </w:r>
          </w:p>
        </w:tc>
        <w:tc>
          <w:tcPr>
            <w:tcW w:w="1361" w:type="dxa"/>
            <w:shd w:val="clear" w:color="000000" w:fill="FFFFFF"/>
            <w:noWrap/>
            <w:hideMark/>
          </w:tcPr>
          <w:p w14:paraId="5206A0B5" w14:textId="2356E718" w:rsidR="008E2ED2" w:rsidRPr="0018386D" w:rsidRDefault="008E2ED2" w:rsidP="00DD3106">
            <w:pPr>
              <w:pStyle w:val="TableText"/>
              <w:spacing w:before="30" w:after="30"/>
            </w:pPr>
            <w:r w:rsidRPr="0018386D">
              <w:t>0.00378</w:t>
            </w:r>
          </w:p>
        </w:tc>
        <w:tc>
          <w:tcPr>
            <w:tcW w:w="1361" w:type="dxa"/>
            <w:shd w:val="clear" w:color="000000" w:fill="FFFFFF"/>
            <w:noWrap/>
            <w:hideMark/>
          </w:tcPr>
          <w:p w14:paraId="6350329E" w14:textId="57EC3EC3" w:rsidR="008E2ED2" w:rsidRPr="0018386D" w:rsidRDefault="008E2ED2" w:rsidP="00DD3106">
            <w:pPr>
              <w:pStyle w:val="TableText"/>
              <w:spacing w:before="30" w:after="30"/>
            </w:pPr>
            <w:r w:rsidRPr="0018386D">
              <w:t>0.00867</w:t>
            </w:r>
          </w:p>
        </w:tc>
      </w:tr>
      <w:tr w:rsidR="001F49EB" w:rsidRPr="0018386D" w14:paraId="27BF9A6D" w14:textId="77777777" w:rsidTr="00A453CD">
        <w:trPr>
          <w:divId w:val="1797331944"/>
        </w:trPr>
        <w:tc>
          <w:tcPr>
            <w:tcW w:w="1418" w:type="dxa"/>
            <w:tcBorders>
              <w:top w:val="nil"/>
              <w:left w:val="nil"/>
              <w:bottom w:val="nil"/>
              <w:right w:val="single" w:sz="4" w:space="0" w:color="auto"/>
            </w:tcBorders>
            <w:shd w:val="clear" w:color="000000" w:fill="FFFFFF"/>
            <w:noWrap/>
            <w:hideMark/>
          </w:tcPr>
          <w:p w14:paraId="62E404B2"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60951F4B" w14:textId="1D309DC7" w:rsidR="008E2ED2" w:rsidRPr="0018386D" w:rsidRDefault="008E2ED2" w:rsidP="00DD3106">
            <w:pPr>
              <w:pStyle w:val="TableText"/>
              <w:spacing w:before="30" w:after="30"/>
            </w:pPr>
            <w:r w:rsidRPr="0018386D">
              <w:t>2000</w:t>
            </w:r>
            <w:r w:rsidR="00F8159D" w:rsidRPr="0018386D">
              <w:t>–</w:t>
            </w:r>
            <w:r w:rsidRPr="0018386D">
              <w:t>&lt;3000 cc</w:t>
            </w:r>
          </w:p>
        </w:tc>
        <w:tc>
          <w:tcPr>
            <w:tcW w:w="567" w:type="dxa"/>
            <w:shd w:val="clear" w:color="000000" w:fill="FFFFFF"/>
            <w:noWrap/>
            <w:hideMark/>
          </w:tcPr>
          <w:p w14:paraId="53DE5909"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40A917A" w14:textId="77777777" w:rsidR="008E2ED2" w:rsidRPr="0018386D" w:rsidRDefault="008E2ED2" w:rsidP="00DD3106">
            <w:pPr>
              <w:pStyle w:val="TableText"/>
              <w:spacing w:before="30" w:after="30"/>
            </w:pPr>
            <w:r w:rsidRPr="0018386D">
              <w:t>0.317</w:t>
            </w:r>
          </w:p>
        </w:tc>
        <w:tc>
          <w:tcPr>
            <w:tcW w:w="1361" w:type="dxa"/>
            <w:shd w:val="clear" w:color="000000" w:fill="FFFFFF"/>
            <w:noWrap/>
            <w:hideMark/>
          </w:tcPr>
          <w:p w14:paraId="747BBBAD" w14:textId="6D219416" w:rsidR="008E2ED2" w:rsidRPr="0018386D" w:rsidRDefault="008E2ED2" w:rsidP="00DD3106">
            <w:pPr>
              <w:pStyle w:val="TableText"/>
              <w:spacing w:before="30" w:after="30"/>
            </w:pPr>
            <w:r w:rsidRPr="0018386D">
              <w:t>0.304</w:t>
            </w:r>
          </w:p>
        </w:tc>
        <w:tc>
          <w:tcPr>
            <w:tcW w:w="1361" w:type="dxa"/>
            <w:shd w:val="clear" w:color="000000" w:fill="FFFFFF"/>
            <w:noWrap/>
            <w:hideMark/>
          </w:tcPr>
          <w:p w14:paraId="49DBCB31" w14:textId="3C3B040F" w:rsidR="008E2ED2" w:rsidRPr="0018386D" w:rsidRDefault="008E2ED2" w:rsidP="00DD3106">
            <w:pPr>
              <w:pStyle w:val="TableText"/>
              <w:spacing w:before="30" w:after="30"/>
            </w:pPr>
            <w:r w:rsidRPr="0018386D">
              <w:t>0.00400</w:t>
            </w:r>
          </w:p>
        </w:tc>
        <w:tc>
          <w:tcPr>
            <w:tcW w:w="1361" w:type="dxa"/>
            <w:shd w:val="clear" w:color="000000" w:fill="FFFFFF"/>
            <w:noWrap/>
            <w:hideMark/>
          </w:tcPr>
          <w:p w14:paraId="100EEDA5" w14:textId="3F1774DD" w:rsidR="008E2ED2" w:rsidRPr="0018386D" w:rsidRDefault="008E2ED2" w:rsidP="00DD3106">
            <w:pPr>
              <w:pStyle w:val="TableText"/>
              <w:spacing w:before="30" w:after="30"/>
            </w:pPr>
            <w:r w:rsidRPr="0018386D">
              <w:t>0.00917</w:t>
            </w:r>
          </w:p>
        </w:tc>
      </w:tr>
      <w:tr w:rsidR="001F49EB" w:rsidRPr="0018386D" w14:paraId="2697E225" w14:textId="77777777" w:rsidTr="00A453CD">
        <w:trPr>
          <w:divId w:val="1797331944"/>
        </w:trPr>
        <w:tc>
          <w:tcPr>
            <w:tcW w:w="1418" w:type="dxa"/>
            <w:tcBorders>
              <w:top w:val="nil"/>
              <w:left w:val="nil"/>
              <w:bottom w:val="single" w:sz="4" w:space="0" w:color="auto"/>
              <w:right w:val="single" w:sz="4" w:space="0" w:color="auto"/>
            </w:tcBorders>
            <w:shd w:val="clear" w:color="000000" w:fill="FFFFFF"/>
            <w:noWrap/>
            <w:hideMark/>
          </w:tcPr>
          <w:p w14:paraId="7C940602" w14:textId="77777777" w:rsidR="008E2ED2" w:rsidRPr="0018386D" w:rsidRDefault="008E2ED2" w:rsidP="00DD3106">
            <w:pPr>
              <w:pStyle w:val="TableText"/>
              <w:spacing w:before="30" w:after="30"/>
            </w:pPr>
            <w:r w:rsidRPr="0018386D">
              <w:t> </w:t>
            </w:r>
          </w:p>
        </w:tc>
        <w:tc>
          <w:tcPr>
            <w:tcW w:w="1418" w:type="dxa"/>
            <w:tcBorders>
              <w:left w:val="single" w:sz="4" w:space="0" w:color="auto"/>
              <w:bottom w:val="single" w:sz="4" w:space="0" w:color="auto"/>
            </w:tcBorders>
            <w:shd w:val="clear" w:color="000000" w:fill="FFFFFF"/>
            <w:noWrap/>
            <w:hideMark/>
          </w:tcPr>
          <w:p w14:paraId="55B786B1" w14:textId="77777777" w:rsidR="008E2ED2" w:rsidRPr="0018386D" w:rsidRDefault="008E2ED2" w:rsidP="00DD3106">
            <w:pPr>
              <w:pStyle w:val="TableText"/>
              <w:spacing w:before="30" w:after="30"/>
            </w:pPr>
            <w:r w:rsidRPr="0018386D">
              <w:t>≥3000 cc</w:t>
            </w:r>
          </w:p>
        </w:tc>
        <w:tc>
          <w:tcPr>
            <w:tcW w:w="567" w:type="dxa"/>
            <w:shd w:val="clear" w:color="000000" w:fill="FFFFFF"/>
            <w:noWrap/>
            <w:hideMark/>
          </w:tcPr>
          <w:p w14:paraId="7CB719D3"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766B894" w14:textId="77777777" w:rsidR="008E2ED2" w:rsidRPr="0018386D" w:rsidRDefault="008E2ED2" w:rsidP="00DD3106">
            <w:pPr>
              <w:pStyle w:val="TableText"/>
              <w:spacing w:before="30" w:after="30"/>
            </w:pPr>
            <w:r w:rsidRPr="0018386D">
              <w:t>0.362</w:t>
            </w:r>
          </w:p>
        </w:tc>
        <w:tc>
          <w:tcPr>
            <w:tcW w:w="1361" w:type="dxa"/>
            <w:shd w:val="clear" w:color="000000" w:fill="FFFFFF"/>
            <w:noWrap/>
            <w:hideMark/>
          </w:tcPr>
          <w:p w14:paraId="5AC3C23B" w14:textId="01EB0BB8" w:rsidR="008E2ED2" w:rsidRPr="0018386D" w:rsidRDefault="008E2ED2" w:rsidP="00DD3106">
            <w:pPr>
              <w:pStyle w:val="TableText"/>
              <w:spacing w:before="30" w:after="30"/>
            </w:pPr>
            <w:r w:rsidRPr="0018386D">
              <w:t>0.347</w:t>
            </w:r>
          </w:p>
        </w:tc>
        <w:tc>
          <w:tcPr>
            <w:tcW w:w="1361" w:type="dxa"/>
            <w:shd w:val="clear" w:color="000000" w:fill="FFFFFF"/>
            <w:noWrap/>
            <w:hideMark/>
          </w:tcPr>
          <w:p w14:paraId="22FF41AE" w14:textId="312D459F" w:rsidR="008E2ED2" w:rsidRPr="0018386D" w:rsidRDefault="008E2ED2" w:rsidP="00DD3106">
            <w:pPr>
              <w:pStyle w:val="TableText"/>
              <w:spacing w:before="30" w:after="30"/>
            </w:pPr>
            <w:r w:rsidRPr="0018386D">
              <w:t>0.00456</w:t>
            </w:r>
          </w:p>
        </w:tc>
        <w:tc>
          <w:tcPr>
            <w:tcW w:w="1361" w:type="dxa"/>
            <w:shd w:val="clear" w:color="000000" w:fill="FFFFFF"/>
            <w:noWrap/>
            <w:hideMark/>
          </w:tcPr>
          <w:p w14:paraId="3587676F" w14:textId="30D4ABF2" w:rsidR="008E2ED2" w:rsidRPr="0018386D" w:rsidRDefault="008E2ED2" w:rsidP="00DD3106">
            <w:pPr>
              <w:pStyle w:val="TableText"/>
              <w:spacing w:before="30" w:after="30"/>
            </w:pPr>
            <w:r w:rsidRPr="0018386D">
              <w:t>0.0105</w:t>
            </w:r>
          </w:p>
        </w:tc>
      </w:tr>
      <w:tr w:rsidR="001F49EB" w:rsidRPr="0018386D" w14:paraId="6031BB25" w14:textId="77777777" w:rsidTr="00A453CD">
        <w:trPr>
          <w:divId w:val="1797331944"/>
        </w:trPr>
        <w:tc>
          <w:tcPr>
            <w:tcW w:w="1418" w:type="dxa"/>
            <w:tcBorders>
              <w:top w:val="single" w:sz="4" w:space="0" w:color="auto"/>
              <w:bottom w:val="nil"/>
              <w:right w:val="single" w:sz="4" w:space="0" w:color="auto"/>
            </w:tcBorders>
            <w:shd w:val="clear" w:color="000000" w:fill="FFFFFF"/>
            <w:noWrap/>
            <w:hideMark/>
          </w:tcPr>
          <w:p w14:paraId="2BCB7099" w14:textId="77777777" w:rsidR="008E2ED2" w:rsidRPr="0018386D" w:rsidRDefault="008E2ED2" w:rsidP="00DD3106">
            <w:pPr>
              <w:pStyle w:val="TableText"/>
              <w:spacing w:before="30" w:after="30"/>
            </w:pPr>
            <w:r w:rsidRPr="0018386D">
              <w:t>Diesel</w:t>
            </w:r>
          </w:p>
        </w:tc>
        <w:tc>
          <w:tcPr>
            <w:tcW w:w="1418" w:type="dxa"/>
            <w:tcBorders>
              <w:top w:val="single" w:sz="4" w:space="0" w:color="auto"/>
              <w:left w:val="single" w:sz="4" w:space="0" w:color="auto"/>
            </w:tcBorders>
            <w:shd w:val="clear" w:color="000000" w:fill="FFFFFF"/>
            <w:noWrap/>
            <w:hideMark/>
          </w:tcPr>
          <w:p w14:paraId="36AB582D" w14:textId="77777777" w:rsidR="008E2ED2" w:rsidRPr="0018386D" w:rsidRDefault="008E2ED2" w:rsidP="00DD3106">
            <w:pPr>
              <w:pStyle w:val="TableText"/>
              <w:spacing w:before="30" w:after="30"/>
            </w:pPr>
            <w:r w:rsidRPr="0018386D">
              <w:t>&lt;1350 cc</w:t>
            </w:r>
          </w:p>
        </w:tc>
        <w:tc>
          <w:tcPr>
            <w:tcW w:w="567" w:type="dxa"/>
            <w:shd w:val="clear" w:color="000000" w:fill="FFFFFF"/>
            <w:noWrap/>
            <w:hideMark/>
          </w:tcPr>
          <w:p w14:paraId="666291D5"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E819043" w14:textId="69D542D2" w:rsidR="008E2ED2" w:rsidRPr="0018386D" w:rsidRDefault="008E2ED2" w:rsidP="00DD3106">
            <w:pPr>
              <w:pStyle w:val="TableText"/>
              <w:spacing w:before="30" w:after="30"/>
            </w:pPr>
            <w:r w:rsidRPr="0018386D">
              <w:t>0.217</w:t>
            </w:r>
          </w:p>
        </w:tc>
        <w:tc>
          <w:tcPr>
            <w:tcW w:w="1361" w:type="dxa"/>
            <w:shd w:val="clear" w:color="000000" w:fill="FFFFFF"/>
            <w:noWrap/>
            <w:hideMark/>
          </w:tcPr>
          <w:p w14:paraId="7B884C27" w14:textId="35715F50" w:rsidR="008E2ED2" w:rsidRPr="0018386D" w:rsidRDefault="008E2ED2" w:rsidP="00DD3106">
            <w:pPr>
              <w:pStyle w:val="TableText"/>
              <w:spacing w:before="30" w:after="30"/>
            </w:pPr>
            <w:r w:rsidRPr="0018386D">
              <w:t>0.214</w:t>
            </w:r>
          </w:p>
        </w:tc>
        <w:tc>
          <w:tcPr>
            <w:tcW w:w="1361" w:type="dxa"/>
            <w:shd w:val="clear" w:color="000000" w:fill="FFFFFF"/>
            <w:noWrap/>
            <w:hideMark/>
          </w:tcPr>
          <w:p w14:paraId="36DE7113" w14:textId="77777777" w:rsidR="008E2ED2" w:rsidRPr="0018386D" w:rsidRDefault="008E2ED2" w:rsidP="00DD3106">
            <w:pPr>
              <w:pStyle w:val="TableText"/>
              <w:spacing w:before="30" w:after="30"/>
            </w:pPr>
            <w:r w:rsidRPr="0018386D">
              <w:t>0.0003</w:t>
            </w:r>
          </w:p>
        </w:tc>
        <w:tc>
          <w:tcPr>
            <w:tcW w:w="1361" w:type="dxa"/>
            <w:shd w:val="clear" w:color="000000" w:fill="FFFFFF"/>
            <w:noWrap/>
            <w:hideMark/>
          </w:tcPr>
          <w:p w14:paraId="0EA4B7F4" w14:textId="59623E8D" w:rsidR="008E2ED2" w:rsidRPr="0018386D" w:rsidRDefault="008E2ED2" w:rsidP="00DD3106">
            <w:pPr>
              <w:pStyle w:val="TableText"/>
              <w:spacing w:before="30" w:after="30"/>
            </w:pPr>
            <w:r w:rsidRPr="0018386D">
              <w:t>0.00302</w:t>
            </w:r>
          </w:p>
        </w:tc>
      </w:tr>
      <w:tr w:rsidR="001F49EB" w:rsidRPr="0018386D" w14:paraId="756B6A3E" w14:textId="77777777" w:rsidTr="00A453CD">
        <w:trPr>
          <w:divId w:val="1797331944"/>
        </w:trPr>
        <w:tc>
          <w:tcPr>
            <w:tcW w:w="1418" w:type="dxa"/>
            <w:tcBorders>
              <w:top w:val="nil"/>
              <w:bottom w:val="nil"/>
              <w:right w:val="single" w:sz="4" w:space="0" w:color="auto"/>
            </w:tcBorders>
            <w:shd w:val="clear" w:color="000000" w:fill="FFFFFF"/>
            <w:noWrap/>
            <w:hideMark/>
          </w:tcPr>
          <w:p w14:paraId="6EE55A6C"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6FCAD539" w14:textId="290693CC" w:rsidR="008E2ED2" w:rsidRPr="0018386D" w:rsidRDefault="008E2ED2" w:rsidP="00DD3106">
            <w:pPr>
              <w:pStyle w:val="TableText"/>
              <w:spacing w:before="30" w:after="30"/>
            </w:pPr>
            <w:r w:rsidRPr="0018386D">
              <w:t>1350</w:t>
            </w:r>
            <w:r w:rsidR="00F8159D" w:rsidRPr="0018386D">
              <w:t>–</w:t>
            </w:r>
            <w:r w:rsidRPr="0018386D">
              <w:t>&lt;1600 cc</w:t>
            </w:r>
          </w:p>
        </w:tc>
        <w:tc>
          <w:tcPr>
            <w:tcW w:w="567" w:type="dxa"/>
            <w:shd w:val="clear" w:color="000000" w:fill="FFFFFF"/>
            <w:noWrap/>
            <w:hideMark/>
          </w:tcPr>
          <w:p w14:paraId="5362CC70"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049D1B6" w14:textId="7C60B426" w:rsidR="008E2ED2" w:rsidRPr="0018386D" w:rsidRDefault="008E2ED2" w:rsidP="00DD3106">
            <w:pPr>
              <w:pStyle w:val="TableText"/>
              <w:spacing w:before="30" w:after="30"/>
            </w:pPr>
            <w:r w:rsidRPr="0018386D">
              <w:t>0.209</w:t>
            </w:r>
          </w:p>
        </w:tc>
        <w:tc>
          <w:tcPr>
            <w:tcW w:w="1361" w:type="dxa"/>
            <w:shd w:val="clear" w:color="000000" w:fill="FFFFFF"/>
            <w:noWrap/>
            <w:hideMark/>
          </w:tcPr>
          <w:p w14:paraId="7AFEF19B" w14:textId="24EC1B1B" w:rsidR="008E2ED2" w:rsidRPr="0018386D" w:rsidRDefault="008E2ED2" w:rsidP="00DD3106">
            <w:pPr>
              <w:pStyle w:val="TableText"/>
              <w:spacing w:before="30" w:after="30"/>
            </w:pPr>
            <w:r w:rsidRPr="0018386D">
              <w:t>0.206</w:t>
            </w:r>
          </w:p>
        </w:tc>
        <w:tc>
          <w:tcPr>
            <w:tcW w:w="1361" w:type="dxa"/>
            <w:shd w:val="clear" w:color="000000" w:fill="FFFFFF"/>
            <w:noWrap/>
            <w:hideMark/>
          </w:tcPr>
          <w:p w14:paraId="2187B3E2" w14:textId="77777777" w:rsidR="008E2ED2" w:rsidRPr="0018386D" w:rsidRDefault="008E2ED2" w:rsidP="00DD3106">
            <w:pPr>
              <w:pStyle w:val="TableText"/>
              <w:spacing w:before="30" w:after="30"/>
            </w:pPr>
            <w:r w:rsidRPr="0018386D">
              <w:t>0.0003</w:t>
            </w:r>
          </w:p>
        </w:tc>
        <w:tc>
          <w:tcPr>
            <w:tcW w:w="1361" w:type="dxa"/>
            <w:shd w:val="clear" w:color="000000" w:fill="FFFFFF"/>
            <w:noWrap/>
            <w:hideMark/>
          </w:tcPr>
          <w:p w14:paraId="6E0CA038" w14:textId="10D893AF" w:rsidR="008E2ED2" w:rsidRPr="0018386D" w:rsidRDefault="008E2ED2" w:rsidP="00DD3106">
            <w:pPr>
              <w:pStyle w:val="TableText"/>
              <w:spacing w:before="30" w:after="30"/>
            </w:pPr>
            <w:r w:rsidRPr="0018386D">
              <w:t>0.00291</w:t>
            </w:r>
          </w:p>
        </w:tc>
      </w:tr>
      <w:tr w:rsidR="001F49EB" w:rsidRPr="0018386D" w14:paraId="1AE0ED97" w14:textId="77777777" w:rsidTr="00A453CD">
        <w:trPr>
          <w:divId w:val="1797331944"/>
        </w:trPr>
        <w:tc>
          <w:tcPr>
            <w:tcW w:w="1418" w:type="dxa"/>
            <w:tcBorders>
              <w:top w:val="nil"/>
              <w:bottom w:val="nil"/>
              <w:right w:val="single" w:sz="4" w:space="0" w:color="auto"/>
            </w:tcBorders>
            <w:shd w:val="clear" w:color="000000" w:fill="FFFFFF"/>
            <w:noWrap/>
            <w:hideMark/>
          </w:tcPr>
          <w:p w14:paraId="34D7CDED"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5603CB3F" w14:textId="253C69DD" w:rsidR="008E2ED2" w:rsidRPr="0018386D" w:rsidRDefault="008E2ED2" w:rsidP="00DD3106">
            <w:pPr>
              <w:pStyle w:val="TableText"/>
              <w:spacing w:before="30" w:after="30"/>
            </w:pPr>
            <w:r w:rsidRPr="0018386D">
              <w:t>1600</w:t>
            </w:r>
            <w:r w:rsidR="00F8159D" w:rsidRPr="0018386D">
              <w:t>–</w:t>
            </w:r>
            <w:r w:rsidRPr="0018386D">
              <w:t>&lt;2000 cc</w:t>
            </w:r>
          </w:p>
        </w:tc>
        <w:tc>
          <w:tcPr>
            <w:tcW w:w="567" w:type="dxa"/>
            <w:shd w:val="clear" w:color="000000" w:fill="FFFFFF"/>
            <w:noWrap/>
            <w:hideMark/>
          </w:tcPr>
          <w:p w14:paraId="6A991B08"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EAEF85F" w14:textId="19B61BEE" w:rsidR="008E2ED2" w:rsidRPr="0018386D" w:rsidRDefault="008E2ED2" w:rsidP="00DD3106">
            <w:pPr>
              <w:pStyle w:val="TableText"/>
              <w:spacing w:before="30" w:after="30"/>
            </w:pPr>
            <w:r w:rsidRPr="0018386D">
              <w:t>0.278</w:t>
            </w:r>
          </w:p>
        </w:tc>
        <w:tc>
          <w:tcPr>
            <w:tcW w:w="1361" w:type="dxa"/>
            <w:shd w:val="clear" w:color="000000" w:fill="FFFFFF"/>
            <w:noWrap/>
            <w:hideMark/>
          </w:tcPr>
          <w:p w14:paraId="697B0EA7" w14:textId="7A5A285D" w:rsidR="008E2ED2" w:rsidRPr="0018386D" w:rsidRDefault="008E2ED2" w:rsidP="00DD3106">
            <w:pPr>
              <w:pStyle w:val="TableText"/>
              <w:spacing w:before="30" w:after="30"/>
            </w:pPr>
            <w:r w:rsidRPr="0018386D">
              <w:t>0.274</w:t>
            </w:r>
          </w:p>
        </w:tc>
        <w:tc>
          <w:tcPr>
            <w:tcW w:w="1361" w:type="dxa"/>
            <w:shd w:val="clear" w:color="000000" w:fill="FFFFFF"/>
            <w:noWrap/>
            <w:hideMark/>
          </w:tcPr>
          <w:p w14:paraId="30EE1B13" w14:textId="77777777" w:rsidR="008E2ED2" w:rsidRPr="0018386D" w:rsidRDefault="008E2ED2" w:rsidP="00DD3106">
            <w:pPr>
              <w:pStyle w:val="TableText"/>
              <w:spacing w:before="30" w:after="30"/>
            </w:pPr>
            <w:r w:rsidRPr="0018386D">
              <w:t>0.0004</w:t>
            </w:r>
          </w:p>
        </w:tc>
        <w:tc>
          <w:tcPr>
            <w:tcW w:w="1361" w:type="dxa"/>
            <w:shd w:val="clear" w:color="000000" w:fill="FFFFFF"/>
            <w:noWrap/>
            <w:hideMark/>
          </w:tcPr>
          <w:p w14:paraId="39916BCA" w14:textId="6FCB6CBF" w:rsidR="008E2ED2" w:rsidRPr="0018386D" w:rsidRDefault="008E2ED2" w:rsidP="00DD3106">
            <w:pPr>
              <w:pStyle w:val="TableText"/>
              <w:spacing w:before="30" w:after="30"/>
            </w:pPr>
            <w:r w:rsidRPr="0018386D">
              <w:t>0.00387</w:t>
            </w:r>
          </w:p>
        </w:tc>
      </w:tr>
      <w:tr w:rsidR="001F49EB" w:rsidRPr="0018386D" w14:paraId="5798C75B" w14:textId="77777777" w:rsidTr="00A453CD">
        <w:trPr>
          <w:divId w:val="1797331944"/>
        </w:trPr>
        <w:tc>
          <w:tcPr>
            <w:tcW w:w="1418" w:type="dxa"/>
            <w:tcBorders>
              <w:top w:val="nil"/>
              <w:bottom w:val="nil"/>
              <w:right w:val="single" w:sz="4" w:space="0" w:color="auto"/>
            </w:tcBorders>
            <w:shd w:val="clear" w:color="000000" w:fill="FFFFFF"/>
            <w:noWrap/>
            <w:hideMark/>
          </w:tcPr>
          <w:p w14:paraId="42077F17"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34A368E7" w14:textId="6A17CA0E" w:rsidR="008E2ED2" w:rsidRPr="0018386D" w:rsidRDefault="008E2ED2" w:rsidP="00DD3106">
            <w:pPr>
              <w:pStyle w:val="TableText"/>
              <w:spacing w:before="30" w:after="30"/>
            </w:pPr>
            <w:r w:rsidRPr="0018386D">
              <w:t>2000</w:t>
            </w:r>
            <w:r w:rsidR="00F8159D" w:rsidRPr="0018386D">
              <w:t>–</w:t>
            </w:r>
            <w:r w:rsidRPr="0018386D">
              <w:t>&lt;3000 cc</w:t>
            </w:r>
          </w:p>
        </w:tc>
        <w:tc>
          <w:tcPr>
            <w:tcW w:w="567" w:type="dxa"/>
            <w:shd w:val="clear" w:color="000000" w:fill="FFFFFF"/>
            <w:noWrap/>
            <w:hideMark/>
          </w:tcPr>
          <w:p w14:paraId="7BFC2DB2"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4720652" w14:textId="2DAF5FDE" w:rsidR="008E2ED2" w:rsidRPr="0018386D" w:rsidRDefault="008E2ED2" w:rsidP="00DD3106">
            <w:pPr>
              <w:pStyle w:val="TableText"/>
              <w:spacing w:before="30" w:after="30"/>
            </w:pPr>
            <w:r w:rsidRPr="0018386D">
              <w:t>0.298</w:t>
            </w:r>
          </w:p>
        </w:tc>
        <w:tc>
          <w:tcPr>
            <w:tcW w:w="1361" w:type="dxa"/>
            <w:shd w:val="clear" w:color="000000" w:fill="FFFFFF"/>
            <w:noWrap/>
            <w:hideMark/>
          </w:tcPr>
          <w:p w14:paraId="7569269E" w14:textId="3BFD86E3" w:rsidR="008E2ED2" w:rsidRPr="0018386D" w:rsidRDefault="008E2ED2" w:rsidP="00DD3106">
            <w:pPr>
              <w:pStyle w:val="TableText"/>
              <w:spacing w:before="30" w:after="30"/>
            </w:pPr>
            <w:r w:rsidRPr="0018386D">
              <w:t>0.294</w:t>
            </w:r>
          </w:p>
        </w:tc>
        <w:tc>
          <w:tcPr>
            <w:tcW w:w="1361" w:type="dxa"/>
            <w:shd w:val="clear" w:color="000000" w:fill="FFFFFF"/>
            <w:noWrap/>
            <w:hideMark/>
          </w:tcPr>
          <w:p w14:paraId="5DFB6964" w14:textId="77777777" w:rsidR="008E2ED2" w:rsidRPr="0018386D" w:rsidRDefault="008E2ED2" w:rsidP="00DD3106">
            <w:pPr>
              <w:pStyle w:val="TableText"/>
              <w:spacing w:before="30" w:after="30"/>
            </w:pPr>
            <w:r w:rsidRPr="0018386D">
              <w:t>0.0004</w:t>
            </w:r>
          </w:p>
        </w:tc>
        <w:tc>
          <w:tcPr>
            <w:tcW w:w="1361" w:type="dxa"/>
            <w:shd w:val="clear" w:color="000000" w:fill="FFFFFF"/>
            <w:noWrap/>
            <w:hideMark/>
          </w:tcPr>
          <w:p w14:paraId="1107140C" w14:textId="082C97FF" w:rsidR="008E2ED2" w:rsidRPr="0018386D" w:rsidRDefault="008E2ED2" w:rsidP="00DD3106">
            <w:pPr>
              <w:pStyle w:val="TableText"/>
              <w:spacing w:before="30" w:after="30"/>
            </w:pPr>
            <w:r w:rsidRPr="0018386D">
              <w:t>0.00415</w:t>
            </w:r>
          </w:p>
        </w:tc>
      </w:tr>
      <w:tr w:rsidR="001F49EB" w:rsidRPr="0018386D" w14:paraId="6CBBD614" w14:textId="77777777" w:rsidTr="00A453CD">
        <w:trPr>
          <w:divId w:val="1797331944"/>
        </w:trPr>
        <w:tc>
          <w:tcPr>
            <w:tcW w:w="1418" w:type="dxa"/>
            <w:tcBorders>
              <w:top w:val="nil"/>
              <w:bottom w:val="single" w:sz="4" w:space="0" w:color="auto"/>
              <w:right w:val="single" w:sz="4" w:space="0" w:color="auto"/>
            </w:tcBorders>
            <w:shd w:val="clear" w:color="000000" w:fill="FFFFFF"/>
            <w:noWrap/>
            <w:hideMark/>
          </w:tcPr>
          <w:p w14:paraId="1B24D457"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6EF2BEC2" w14:textId="77777777" w:rsidR="008E2ED2" w:rsidRPr="0018386D" w:rsidRDefault="008E2ED2" w:rsidP="00DD3106">
            <w:pPr>
              <w:pStyle w:val="TableText"/>
              <w:spacing w:before="30" w:after="30"/>
            </w:pPr>
            <w:r w:rsidRPr="0018386D">
              <w:t>≥3000 cc</w:t>
            </w:r>
          </w:p>
        </w:tc>
        <w:tc>
          <w:tcPr>
            <w:tcW w:w="567" w:type="dxa"/>
            <w:shd w:val="clear" w:color="000000" w:fill="FFFFFF"/>
            <w:noWrap/>
            <w:hideMark/>
          </w:tcPr>
          <w:p w14:paraId="718CF84F"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81ED4D4" w14:textId="31CFC9D6" w:rsidR="008E2ED2" w:rsidRPr="0018386D" w:rsidRDefault="008E2ED2" w:rsidP="00DD3106">
            <w:pPr>
              <w:pStyle w:val="TableText"/>
              <w:spacing w:before="30" w:after="30"/>
            </w:pPr>
            <w:r w:rsidRPr="0018386D">
              <w:t>0.302</w:t>
            </w:r>
          </w:p>
        </w:tc>
        <w:tc>
          <w:tcPr>
            <w:tcW w:w="1361" w:type="dxa"/>
            <w:shd w:val="clear" w:color="000000" w:fill="FFFFFF"/>
            <w:noWrap/>
            <w:hideMark/>
          </w:tcPr>
          <w:p w14:paraId="61D792AB" w14:textId="0B7ED310" w:rsidR="008E2ED2" w:rsidRPr="0018386D" w:rsidRDefault="008E2ED2" w:rsidP="00DD3106">
            <w:pPr>
              <w:pStyle w:val="TableText"/>
              <w:spacing w:before="30" w:after="30"/>
            </w:pPr>
            <w:r w:rsidRPr="0018386D">
              <w:t>0.297</w:t>
            </w:r>
          </w:p>
        </w:tc>
        <w:tc>
          <w:tcPr>
            <w:tcW w:w="1361" w:type="dxa"/>
            <w:shd w:val="clear" w:color="000000" w:fill="FFFFFF"/>
            <w:noWrap/>
            <w:hideMark/>
          </w:tcPr>
          <w:p w14:paraId="2622992B" w14:textId="77777777" w:rsidR="008E2ED2" w:rsidRPr="0018386D" w:rsidRDefault="008E2ED2" w:rsidP="00DD3106">
            <w:pPr>
              <w:pStyle w:val="TableText"/>
              <w:spacing w:before="30" w:after="30"/>
            </w:pPr>
            <w:r w:rsidRPr="0018386D">
              <w:t>0.0004</w:t>
            </w:r>
          </w:p>
        </w:tc>
        <w:tc>
          <w:tcPr>
            <w:tcW w:w="1361" w:type="dxa"/>
            <w:shd w:val="clear" w:color="000000" w:fill="FFFFFF"/>
            <w:noWrap/>
            <w:hideMark/>
          </w:tcPr>
          <w:p w14:paraId="185AC171" w14:textId="1B73C8C2" w:rsidR="008E2ED2" w:rsidRPr="0018386D" w:rsidRDefault="008E2ED2" w:rsidP="00DD3106">
            <w:pPr>
              <w:pStyle w:val="TableText"/>
              <w:spacing w:before="30" w:after="30"/>
            </w:pPr>
            <w:r w:rsidRPr="0018386D">
              <w:t>0.00421</w:t>
            </w:r>
          </w:p>
        </w:tc>
      </w:tr>
      <w:tr w:rsidR="001F49EB" w:rsidRPr="0018386D" w14:paraId="05E362A8" w14:textId="77777777" w:rsidTr="00A453CD">
        <w:trPr>
          <w:divId w:val="1797331944"/>
        </w:trPr>
        <w:tc>
          <w:tcPr>
            <w:tcW w:w="1418" w:type="dxa"/>
            <w:tcBorders>
              <w:top w:val="single" w:sz="4" w:space="0" w:color="auto"/>
              <w:bottom w:val="nil"/>
              <w:right w:val="single" w:sz="4" w:space="0" w:color="auto"/>
            </w:tcBorders>
            <w:shd w:val="clear" w:color="000000" w:fill="FFFFFF"/>
            <w:noWrap/>
            <w:hideMark/>
          </w:tcPr>
          <w:p w14:paraId="7D10A8C9" w14:textId="77777777" w:rsidR="008E2ED2" w:rsidRPr="0018386D" w:rsidRDefault="008E2ED2" w:rsidP="00DD3106">
            <w:pPr>
              <w:pStyle w:val="TableText"/>
              <w:spacing w:before="30" w:after="30"/>
            </w:pPr>
            <w:r w:rsidRPr="0018386D">
              <w:t>Petrol hybrid</w:t>
            </w:r>
          </w:p>
        </w:tc>
        <w:tc>
          <w:tcPr>
            <w:tcW w:w="1418" w:type="dxa"/>
            <w:tcBorders>
              <w:left w:val="single" w:sz="4" w:space="0" w:color="auto"/>
            </w:tcBorders>
            <w:shd w:val="clear" w:color="000000" w:fill="FFFFFF"/>
            <w:noWrap/>
            <w:hideMark/>
          </w:tcPr>
          <w:p w14:paraId="03281A0A" w14:textId="77777777" w:rsidR="008E2ED2" w:rsidRPr="0018386D" w:rsidRDefault="008E2ED2" w:rsidP="00DD3106">
            <w:pPr>
              <w:pStyle w:val="TableText"/>
              <w:spacing w:before="30" w:after="30"/>
            </w:pPr>
            <w:r w:rsidRPr="0018386D">
              <w:t>&lt;1350 cc</w:t>
            </w:r>
          </w:p>
        </w:tc>
        <w:tc>
          <w:tcPr>
            <w:tcW w:w="567" w:type="dxa"/>
            <w:shd w:val="clear" w:color="000000" w:fill="FFFFFF"/>
            <w:noWrap/>
            <w:hideMark/>
          </w:tcPr>
          <w:p w14:paraId="347B9E37"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57180BF" w14:textId="77777777" w:rsidR="008E2ED2" w:rsidRPr="0018386D" w:rsidRDefault="008E2ED2" w:rsidP="00DD3106">
            <w:pPr>
              <w:pStyle w:val="TableText"/>
              <w:spacing w:before="30" w:after="30"/>
            </w:pPr>
            <w:r w:rsidRPr="0018386D">
              <w:t>0.163</w:t>
            </w:r>
          </w:p>
        </w:tc>
        <w:tc>
          <w:tcPr>
            <w:tcW w:w="1361" w:type="dxa"/>
            <w:shd w:val="clear" w:color="000000" w:fill="FFFFFF"/>
            <w:noWrap/>
            <w:hideMark/>
          </w:tcPr>
          <w:p w14:paraId="6E64E4EB" w14:textId="43E979F1" w:rsidR="008E2ED2" w:rsidRPr="0018386D" w:rsidRDefault="008E2ED2" w:rsidP="00DD3106">
            <w:pPr>
              <w:pStyle w:val="TableText"/>
              <w:spacing w:before="30" w:after="30"/>
            </w:pPr>
            <w:r w:rsidRPr="0018386D">
              <w:t>0.157</w:t>
            </w:r>
          </w:p>
        </w:tc>
        <w:tc>
          <w:tcPr>
            <w:tcW w:w="1361" w:type="dxa"/>
            <w:shd w:val="clear" w:color="000000" w:fill="FFFFFF"/>
            <w:noWrap/>
            <w:hideMark/>
          </w:tcPr>
          <w:p w14:paraId="2FAEFACA" w14:textId="6EF7E69E" w:rsidR="008E2ED2" w:rsidRPr="0018386D" w:rsidRDefault="008E2ED2" w:rsidP="00DD3106">
            <w:pPr>
              <w:pStyle w:val="TableText"/>
              <w:spacing w:before="30" w:after="30"/>
            </w:pPr>
            <w:r w:rsidRPr="0018386D">
              <w:t>0.00206</w:t>
            </w:r>
          </w:p>
        </w:tc>
        <w:tc>
          <w:tcPr>
            <w:tcW w:w="1361" w:type="dxa"/>
            <w:shd w:val="clear" w:color="000000" w:fill="FFFFFF"/>
            <w:noWrap/>
            <w:hideMark/>
          </w:tcPr>
          <w:p w14:paraId="66D7F51E" w14:textId="375733F5" w:rsidR="008E2ED2" w:rsidRPr="0018386D" w:rsidRDefault="008E2ED2" w:rsidP="00DD3106">
            <w:pPr>
              <w:pStyle w:val="TableText"/>
              <w:spacing w:before="30" w:after="30"/>
            </w:pPr>
            <w:r w:rsidRPr="0018386D">
              <w:t>0.00472</w:t>
            </w:r>
          </w:p>
        </w:tc>
      </w:tr>
      <w:tr w:rsidR="001F49EB" w:rsidRPr="0018386D" w14:paraId="653A1EA2" w14:textId="77777777" w:rsidTr="00A453CD">
        <w:trPr>
          <w:divId w:val="1797331944"/>
        </w:trPr>
        <w:tc>
          <w:tcPr>
            <w:tcW w:w="1418" w:type="dxa"/>
            <w:tcBorders>
              <w:top w:val="nil"/>
              <w:bottom w:val="nil"/>
              <w:right w:val="single" w:sz="4" w:space="0" w:color="auto"/>
            </w:tcBorders>
            <w:shd w:val="clear" w:color="000000" w:fill="FFFFFF"/>
            <w:noWrap/>
            <w:hideMark/>
          </w:tcPr>
          <w:p w14:paraId="7F4C89F0"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3654C442" w14:textId="277121E3" w:rsidR="008E2ED2" w:rsidRPr="0018386D" w:rsidRDefault="008E2ED2" w:rsidP="00DD3106">
            <w:pPr>
              <w:pStyle w:val="TableText"/>
              <w:spacing w:before="30" w:after="30"/>
            </w:pPr>
            <w:r w:rsidRPr="0018386D">
              <w:t>1350</w:t>
            </w:r>
            <w:r w:rsidR="00F8159D" w:rsidRPr="0018386D">
              <w:t>–</w:t>
            </w:r>
            <w:r w:rsidRPr="0018386D">
              <w:t>&lt;1600 cc</w:t>
            </w:r>
          </w:p>
        </w:tc>
        <w:tc>
          <w:tcPr>
            <w:tcW w:w="567" w:type="dxa"/>
            <w:shd w:val="clear" w:color="000000" w:fill="FFFFFF"/>
            <w:noWrap/>
            <w:hideMark/>
          </w:tcPr>
          <w:p w14:paraId="6CF9EC6B"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AEFB9E9" w14:textId="77777777" w:rsidR="008E2ED2" w:rsidRPr="0018386D" w:rsidRDefault="008E2ED2" w:rsidP="00DD3106">
            <w:pPr>
              <w:pStyle w:val="TableText"/>
              <w:spacing w:before="30" w:after="30"/>
            </w:pPr>
            <w:r w:rsidRPr="0018386D">
              <w:t>0.175</w:t>
            </w:r>
          </w:p>
        </w:tc>
        <w:tc>
          <w:tcPr>
            <w:tcW w:w="1361" w:type="dxa"/>
            <w:shd w:val="clear" w:color="000000" w:fill="FFFFFF"/>
            <w:noWrap/>
            <w:hideMark/>
          </w:tcPr>
          <w:p w14:paraId="69BBEEFE" w14:textId="77777777" w:rsidR="008E2ED2" w:rsidRPr="0018386D" w:rsidRDefault="008E2ED2" w:rsidP="00DD3106">
            <w:pPr>
              <w:pStyle w:val="TableText"/>
              <w:spacing w:before="30" w:after="30"/>
            </w:pPr>
            <w:r w:rsidRPr="0018386D">
              <w:t>0.168</w:t>
            </w:r>
          </w:p>
        </w:tc>
        <w:tc>
          <w:tcPr>
            <w:tcW w:w="1361" w:type="dxa"/>
            <w:shd w:val="clear" w:color="000000" w:fill="FFFFFF"/>
            <w:noWrap/>
            <w:hideMark/>
          </w:tcPr>
          <w:p w14:paraId="69CC6DD2" w14:textId="3A2DB9D0" w:rsidR="008E2ED2" w:rsidRPr="0018386D" w:rsidRDefault="008E2ED2" w:rsidP="00DD3106">
            <w:pPr>
              <w:pStyle w:val="TableText"/>
              <w:spacing w:before="30" w:after="30"/>
            </w:pPr>
            <w:r w:rsidRPr="0018386D">
              <w:t>0.00221</w:t>
            </w:r>
          </w:p>
        </w:tc>
        <w:tc>
          <w:tcPr>
            <w:tcW w:w="1361" w:type="dxa"/>
            <w:shd w:val="clear" w:color="000000" w:fill="FFFFFF"/>
            <w:noWrap/>
            <w:hideMark/>
          </w:tcPr>
          <w:p w14:paraId="629E128A" w14:textId="073E2AD2" w:rsidR="008E2ED2" w:rsidRPr="0018386D" w:rsidRDefault="008E2ED2" w:rsidP="00DD3106">
            <w:pPr>
              <w:pStyle w:val="TableText"/>
              <w:spacing w:before="30" w:after="30"/>
            </w:pPr>
            <w:r w:rsidRPr="0018386D">
              <w:t>0.00507</w:t>
            </w:r>
          </w:p>
        </w:tc>
      </w:tr>
      <w:tr w:rsidR="001F49EB" w:rsidRPr="0018386D" w14:paraId="05840416" w14:textId="77777777" w:rsidTr="00A453CD">
        <w:trPr>
          <w:divId w:val="1797331944"/>
        </w:trPr>
        <w:tc>
          <w:tcPr>
            <w:tcW w:w="1418" w:type="dxa"/>
            <w:tcBorders>
              <w:top w:val="nil"/>
              <w:bottom w:val="nil"/>
              <w:right w:val="single" w:sz="4" w:space="0" w:color="auto"/>
            </w:tcBorders>
            <w:shd w:val="clear" w:color="000000" w:fill="FFFFFF"/>
            <w:noWrap/>
            <w:hideMark/>
          </w:tcPr>
          <w:p w14:paraId="01B61947"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41F465E6" w14:textId="595550FB" w:rsidR="008E2ED2" w:rsidRPr="0018386D" w:rsidRDefault="008E2ED2" w:rsidP="00DD3106">
            <w:pPr>
              <w:pStyle w:val="TableText"/>
              <w:spacing w:before="30" w:after="30"/>
            </w:pPr>
            <w:r w:rsidRPr="0018386D">
              <w:t>1600</w:t>
            </w:r>
            <w:r w:rsidR="00ED00D8" w:rsidRPr="0018386D">
              <w:t>–</w:t>
            </w:r>
            <w:r w:rsidRPr="0018386D">
              <w:t>&lt;2000 cc</w:t>
            </w:r>
          </w:p>
        </w:tc>
        <w:tc>
          <w:tcPr>
            <w:tcW w:w="567" w:type="dxa"/>
            <w:shd w:val="clear" w:color="000000" w:fill="FFFFFF"/>
            <w:noWrap/>
            <w:hideMark/>
          </w:tcPr>
          <w:p w14:paraId="57F60FBB"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15C66E59" w14:textId="39109795" w:rsidR="008E2ED2" w:rsidRPr="0018386D" w:rsidRDefault="008E2ED2" w:rsidP="00DD3106">
            <w:pPr>
              <w:pStyle w:val="TableText"/>
              <w:spacing w:before="30" w:after="30"/>
            </w:pPr>
            <w:r w:rsidRPr="0018386D">
              <w:t>0.237</w:t>
            </w:r>
          </w:p>
        </w:tc>
        <w:tc>
          <w:tcPr>
            <w:tcW w:w="1361" w:type="dxa"/>
            <w:shd w:val="clear" w:color="000000" w:fill="FFFFFF"/>
            <w:noWrap/>
            <w:hideMark/>
          </w:tcPr>
          <w:p w14:paraId="78841802" w14:textId="4C940645" w:rsidR="008E2ED2" w:rsidRPr="0018386D" w:rsidRDefault="008E2ED2" w:rsidP="00DD3106">
            <w:pPr>
              <w:pStyle w:val="TableText"/>
              <w:spacing w:before="30" w:after="30"/>
            </w:pPr>
            <w:r w:rsidRPr="0018386D">
              <w:t>0.227</w:t>
            </w:r>
          </w:p>
        </w:tc>
        <w:tc>
          <w:tcPr>
            <w:tcW w:w="1361" w:type="dxa"/>
            <w:shd w:val="clear" w:color="000000" w:fill="FFFFFF"/>
            <w:noWrap/>
            <w:hideMark/>
          </w:tcPr>
          <w:p w14:paraId="7E99F018" w14:textId="65C1686B" w:rsidR="008E2ED2" w:rsidRPr="0018386D" w:rsidRDefault="008E2ED2" w:rsidP="00DD3106">
            <w:pPr>
              <w:pStyle w:val="TableText"/>
              <w:spacing w:before="30" w:after="30"/>
            </w:pPr>
            <w:r w:rsidRPr="0018386D">
              <w:t>0.00298</w:t>
            </w:r>
          </w:p>
        </w:tc>
        <w:tc>
          <w:tcPr>
            <w:tcW w:w="1361" w:type="dxa"/>
            <w:shd w:val="clear" w:color="000000" w:fill="FFFFFF"/>
            <w:noWrap/>
            <w:hideMark/>
          </w:tcPr>
          <w:p w14:paraId="729CD428" w14:textId="47CFCB87" w:rsidR="008E2ED2" w:rsidRPr="0018386D" w:rsidRDefault="008E2ED2" w:rsidP="00DD3106">
            <w:pPr>
              <w:pStyle w:val="TableText"/>
              <w:spacing w:before="30" w:after="30"/>
            </w:pPr>
            <w:r w:rsidRPr="0018386D">
              <w:t>0.00684</w:t>
            </w:r>
          </w:p>
        </w:tc>
      </w:tr>
      <w:tr w:rsidR="001F49EB" w:rsidRPr="0018386D" w14:paraId="0152F1F2" w14:textId="77777777" w:rsidTr="00A453CD">
        <w:trPr>
          <w:divId w:val="1797331944"/>
        </w:trPr>
        <w:tc>
          <w:tcPr>
            <w:tcW w:w="1418" w:type="dxa"/>
            <w:tcBorders>
              <w:top w:val="nil"/>
              <w:bottom w:val="nil"/>
              <w:right w:val="single" w:sz="4" w:space="0" w:color="auto"/>
            </w:tcBorders>
            <w:shd w:val="clear" w:color="000000" w:fill="FFFFFF"/>
            <w:noWrap/>
            <w:hideMark/>
          </w:tcPr>
          <w:p w14:paraId="349D75B8"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17B9D063" w14:textId="09BFE126" w:rsidR="008E2ED2" w:rsidRPr="0018386D" w:rsidRDefault="008E2ED2" w:rsidP="00DD3106">
            <w:pPr>
              <w:pStyle w:val="TableText"/>
              <w:spacing w:before="30" w:after="30"/>
            </w:pPr>
            <w:r w:rsidRPr="0018386D">
              <w:t>2000</w:t>
            </w:r>
            <w:r w:rsidR="00ED00D8" w:rsidRPr="0018386D">
              <w:t>–</w:t>
            </w:r>
            <w:r w:rsidRPr="0018386D">
              <w:t>&lt;3000 cc</w:t>
            </w:r>
          </w:p>
        </w:tc>
        <w:tc>
          <w:tcPr>
            <w:tcW w:w="567" w:type="dxa"/>
            <w:shd w:val="clear" w:color="000000" w:fill="FFFFFF"/>
            <w:noWrap/>
            <w:hideMark/>
          </w:tcPr>
          <w:p w14:paraId="4E7C36D0"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E4FA308" w14:textId="77777777" w:rsidR="008E2ED2" w:rsidRPr="0018386D" w:rsidRDefault="008E2ED2" w:rsidP="00DD3106">
            <w:pPr>
              <w:pStyle w:val="TableText"/>
              <w:spacing w:before="30" w:after="30"/>
            </w:pPr>
            <w:r w:rsidRPr="0018386D">
              <w:t>0.250</w:t>
            </w:r>
          </w:p>
        </w:tc>
        <w:tc>
          <w:tcPr>
            <w:tcW w:w="1361" w:type="dxa"/>
            <w:shd w:val="clear" w:color="000000" w:fill="FFFFFF"/>
            <w:noWrap/>
            <w:hideMark/>
          </w:tcPr>
          <w:p w14:paraId="202E18BD" w14:textId="212D1FE3" w:rsidR="008E2ED2" w:rsidRPr="0018386D" w:rsidRDefault="008E2ED2" w:rsidP="00DD3106">
            <w:pPr>
              <w:pStyle w:val="TableText"/>
              <w:spacing w:before="30" w:after="30"/>
            </w:pPr>
            <w:r w:rsidRPr="0018386D">
              <w:t>0.240</w:t>
            </w:r>
          </w:p>
        </w:tc>
        <w:tc>
          <w:tcPr>
            <w:tcW w:w="1361" w:type="dxa"/>
            <w:shd w:val="clear" w:color="000000" w:fill="FFFFFF"/>
            <w:noWrap/>
            <w:hideMark/>
          </w:tcPr>
          <w:p w14:paraId="2377D24B" w14:textId="5B2CF9F7" w:rsidR="008E2ED2" w:rsidRPr="0018386D" w:rsidRDefault="008E2ED2" w:rsidP="00DD3106">
            <w:pPr>
              <w:pStyle w:val="TableText"/>
              <w:spacing w:before="30" w:after="30"/>
            </w:pPr>
            <w:r w:rsidRPr="0018386D">
              <w:t>0.00315</w:t>
            </w:r>
          </w:p>
        </w:tc>
        <w:tc>
          <w:tcPr>
            <w:tcW w:w="1361" w:type="dxa"/>
            <w:shd w:val="clear" w:color="000000" w:fill="FFFFFF"/>
            <w:noWrap/>
            <w:hideMark/>
          </w:tcPr>
          <w:p w14:paraId="46CB5399" w14:textId="677E62E7" w:rsidR="008E2ED2" w:rsidRPr="0018386D" w:rsidRDefault="008E2ED2" w:rsidP="00DD3106">
            <w:pPr>
              <w:pStyle w:val="TableText"/>
              <w:spacing w:before="30" w:after="30"/>
            </w:pPr>
            <w:r w:rsidRPr="0018386D">
              <w:t>0.00724</w:t>
            </w:r>
          </w:p>
        </w:tc>
      </w:tr>
      <w:tr w:rsidR="001F49EB" w:rsidRPr="0018386D" w14:paraId="4EA2D74F" w14:textId="77777777" w:rsidTr="00A453CD">
        <w:trPr>
          <w:divId w:val="1797331944"/>
        </w:trPr>
        <w:tc>
          <w:tcPr>
            <w:tcW w:w="1418" w:type="dxa"/>
            <w:tcBorders>
              <w:top w:val="nil"/>
              <w:bottom w:val="single" w:sz="4" w:space="0" w:color="auto"/>
              <w:right w:val="single" w:sz="4" w:space="0" w:color="auto"/>
            </w:tcBorders>
            <w:shd w:val="clear" w:color="000000" w:fill="FFFFFF"/>
            <w:noWrap/>
            <w:hideMark/>
          </w:tcPr>
          <w:p w14:paraId="661890D3"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5778EC88" w14:textId="77777777" w:rsidR="008E2ED2" w:rsidRPr="0018386D" w:rsidRDefault="008E2ED2" w:rsidP="00DD3106">
            <w:pPr>
              <w:pStyle w:val="TableText"/>
              <w:spacing w:before="30" w:after="30"/>
            </w:pPr>
            <w:r w:rsidRPr="0018386D">
              <w:t>≥3000 cc</w:t>
            </w:r>
          </w:p>
        </w:tc>
        <w:tc>
          <w:tcPr>
            <w:tcW w:w="567" w:type="dxa"/>
            <w:shd w:val="clear" w:color="000000" w:fill="FFFFFF"/>
            <w:noWrap/>
            <w:hideMark/>
          </w:tcPr>
          <w:p w14:paraId="551708B4"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6FB5BF6C" w14:textId="77777777" w:rsidR="008E2ED2" w:rsidRPr="0018386D" w:rsidRDefault="008E2ED2" w:rsidP="00DD3106">
            <w:pPr>
              <w:pStyle w:val="TableText"/>
              <w:spacing w:before="30" w:after="30"/>
            </w:pPr>
            <w:r w:rsidRPr="0018386D">
              <w:t>0.286</w:t>
            </w:r>
          </w:p>
        </w:tc>
        <w:tc>
          <w:tcPr>
            <w:tcW w:w="1361" w:type="dxa"/>
            <w:shd w:val="clear" w:color="000000" w:fill="FFFFFF"/>
            <w:noWrap/>
            <w:hideMark/>
          </w:tcPr>
          <w:p w14:paraId="2A7D90DD" w14:textId="76A52084" w:rsidR="008E2ED2" w:rsidRPr="0018386D" w:rsidRDefault="008E2ED2" w:rsidP="00DD3106">
            <w:pPr>
              <w:pStyle w:val="TableText"/>
              <w:spacing w:before="30" w:after="30"/>
            </w:pPr>
            <w:r w:rsidRPr="0018386D">
              <w:t>0.274</w:t>
            </w:r>
          </w:p>
        </w:tc>
        <w:tc>
          <w:tcPr>
            <w:tcW w:w="1361" w:type="dxa"/>
            <w:shd w:val="clear" w:color="000000" w:fill="FFFFFF"/>
            <w:noWrap/>
            <w:hideMark/>
          </w:tcPr>
          <w:p w14:paraId="2E2B473A" w14:textId="37DD57AC" w:rsidR="008E2ED2" w:rsidRPr="0018386D" w:rsidRDefault="008E2ED2" w:rsidP="00DD3106">
            <w:pPr>
              <w:pStyle w:val="TableText"/>
              <w:spacing w:before="30" w:after="30"/>
            </w:pPr>
            <w:r w:rsidRPr="0018386D">
              <w:t>0.00360</w:t>
            </w:r>
          </w:p>
        </w:tc>
        <w:tc>
          <w:tcPr>
            <w:tcW w:w="1361" w:type="dxa"/>
            <w:shd w:val="clear" w:color="000000" w:fill="FFFFFF"/>
            <w:noWrap/>
            <w:hideMark/>
          </w:tcPr>
          <w:p w14:paraId="4D5846D9" w14:textId="417934BB" w:rsidR="008E2ED2" w:rsidRPr="0018386D" w:rsidRDefault="008E2ED2" w:rsidP="00DD3106">
            <w:pPr>
              <w:pStyle w:val="TableText"/>
              <w:spacing w:before="30" w:after="30"/>
            </w:pPr>
            <w:r w:rsidRPr="0018386D">
              <w:t>0.00827</w:t>
            </w:r>
          </w:p>
        </w:tc>
      </w:tr>
      <w:tr w:rsidR="001F49EB" w:rsidRPr="0018386D" w14:paraId="37AE3AD2" w14:textId="77777777" w:rsidTr="00A453CD">
        <w:trPr>
          <w:divId w:val="1797331944"/>
        </w:trPr>
        <w:tc>
          <w:tcPr>
            <w:tcW w:w="1418" w:type="dxa"/>
            <w:tcBorders>
              <w:top w:val="single" w:sz="4" w:space="0" w:color="auto"/>
              <w:bottom w:val="nil"/>
              <w:right w:val="single" w:sz="4" w:space="0" w:color="auto"/>
            </w:tcBorders>
            <w:shd w:val="clear" w:color="000000" w:fill="FFFFFF"/>
            <w:noWrap/>
            <w:hideMark/>
          </w:tcPr>
          <w:p w14:paraId="582AE1CA" w14:textId="77777777" w:rsidR="008E2ED2" w:rsidRPr="0018386D" w:rsidRDefault="008E2ED2" w:rsidP="00DD3106">
            <w:pPr>
              <w:pStyle w:val="TableText"/>
              <w:spacing w:before="30" w:after="30"/>
            </w:pPr>
            <w:r w:rsidRPr="0018386D">
              <w:t>Diesel hybrid</w:t>
            </w:r>
          </w:p>
        </w:tc>
        <w:tc>
          <w:tcPr>
            <w:tcW w:w="1418" w:type="dxa"/>
            <w:tcBorders>
              <w:left w:val="single" w:sz="4" w:space="0" w:color="auto"/>
            </w:tcBorders>
            <w:shd w:val="clear" w:color="000000" w:fill="FFFFFF"/>
            <w:noWrap/>
            <w:hideMark/>
          </w:tcPr>
          <w:p w14:paraId="0024F866" w14:textId="77777777" w:rsidR="008E2ED2" w:rsidRPr="0018386D" w:rsidRDefault="008E2ED2" w:rsidP="00DD3106">
            <w:pPr>
              <w:pStyle w:val="TableText"/>
              <w:spacing w:before="30" w:after="30"/>
            </w:pPr>
            <w:r w:rsidRPr="0018386D">
              <w:t>&lt;1350 cc</w:t>
            </w:r>
          </w:p>
        </w:tc>
        <w:tc>
          <w:tcPr>
            <w:tcW w:w="567" w:type="dxa"/>
            <w:shd w:val="clear" w:color="000000" w:fill="FFFFFF"/>
            <w:noWrap/>
            <w:hideMark/>
          </w:tcPr>
          <w:p w14:paraId="255A17C1"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C4E1186" w14:textId="61E8BC34" w:rsidR="008E2ED2" w:rsidRPr="0018386D" w:rsidRDefault="008E2ED2" w:rsidP="00DD3106">
            <w:pPr>
              <w:pStyle w:val="TableText"/>
              <w:spacing w:before="30" w:after="30"/>
            </w:pPr>
            <w:r w:rsidRPr="0018386D">
              <w:t>0.195</w:t>
            </w:r>
          </w:p>
        </w:tc>
        <w:tc>
          <w:tcPr>
            <w:tcW w:w="1361" w:type="dxa"/>
            <w:shd w:val="clear" w:color="000000" w:fill="FFFFFF"/>
            <w:noWrap/>
            <w:hideMark/>
          </w:tcPr>
          <w:p w14:paraId="2A02EB57" w14:textId="388901AA" w:rsidR="008E2ED2" w:rsidRPr="0018386D" w:rsidRDefault="008E2ED2" w:rsidP="00DD3106">
            <w:pPr>
              <w:pStyle w:val="TableText"/>
              <w:spacing w:before="30" w:after="30"/>
            </w:pPr>
            <w:r w:rsidRPr="0018386D">
              <w:t>0.192</w:t>
            </w:r>
          </w:p>
        </w:tc>
        <w:tc>
          <w:tcPr>
            <w:tcW w:w="1361" w:type="dxa"/>
            <w:shd w:val="clear" w:color="000000" w:fill="FFFFFF"/>
            <w:noWrap/>
            <w:hideMark/>
          </w:tcPr>
          <w:p w14:paraId="4D0B4225" w14:textId="77777777" w:rsidR="008E2ED2" w:rsidRPr="0018386D" w:rsidRDefault="008E2ED2" w:rsidP="00DD3106">
            <w:pPr>
              <w:pStyle w:val="TableText"/>
              <w:spacing w:before="30" w:after="30"/>
            </w:pPr>
            <w:r w:rsidRPr="0018386D">
              <w:t>0.0003</w:t>
            </w:r>
          </w:p>
        </w:tc>
        <w:tc>
          <w:tcPr>
            <w:tcW w:w="1361" w:type="dxa"/>
            <w:shd w:val="clear" w:color="000000" w:fill="FFFFFF"/>
            <w:noWrap/>
            <w:hideMark/>
          </w:tcPr>
          <w:p w14:paraId="43F5619A" w14:textId="7B11AA60" w:rsidR="008E2ED2" w:rsidRPr="0018386D" w:rsidRDefault="008E2ED2" w:rsidP="00DD3106">
            <w:pPr>
              <w:pStyle w:val="TableText"/>
              <w:spacing w:before="30" w:after="30"/>
            </w:pPr>
            <w:r w:rsidRPr="0018386D">
              <w:t>0.00271</w:t>
            </w:r>
          </w:p>
        </w:tc>
      </w:tr>
      <w:tr w:rsidR="001F49EB" w:rsidRPr="0018386D" w14:paraId="7E82ADC5" w14:textId="77777777" w:rsidTr="00A453CD">
        <w:trPr>
          <w:divId w:val="1797331944"/>
        </w:trPr>
        <w:tc>
          <w:tcPr>
            <w:tcW w:w="1418" w:type="dxa"/>
            <w:tcBorders>
              <w:top w:val="nil"/>
              <w:bottom w:val="nil"/>
              <w:right w:val="single" w:sz="4" w:space="0" w:color="auto"/>
            </w:tcBorders>
            <w:shd w:val="clear" w:color="000000" w:fill="FFFFFF"/>
            <w:noWrap/>
            <w:hideMark/>
          </w:tcPr>
          <w:p w14:paraId="32135704"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2AFE0E4B" w14:textId="6FC219FC" w:rsidR="008E2ED2" w:rsidRPr="0018386D" w:rsidRDefault="008E2ED2" w:rsidP="00DD3106">
            <w:pPr>
              <w:pStyle w:val="TableText"/>
              <w:spacing w:before="30" w:after="30"/>
            </w:pPr>
            <w:r w:rsidRPr="0018386D">
              <w:t>1350</w:t>
            </w:r>
            <w:r w:rsidR="00ED00D8" w:rsidRPr="0018386D">
              <w:t>–</w:t>
            </w:r>
            <w:r w:rsidRPr="0018386D">
              <w:t>&lt;1600 cc</w:t>
            </w:r>
          </w:p>
        </w:tc>
        <w:tc>
          <w:tcPr>
            <w:tcW w:w="567" w:type="dxa"/>
            <w:shd w:val="clear" w:color="000000" w:fill="FFFFFF"/>
            <w:noWrap/>
            <w:hideMark/>
          </w:tcPr>
          <w:p w14:paraId="6F7724EA"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48D024C3" w14:textId="046BD528" w:rsidR="008E2ED2" w:rsidRPr="0018386D" w:rsidRDefault="008E2ED2" w:rsidP="00DD3106">
            <w:pPr>
              <w:pStyle w:val="TableText"/>
              <w:spacing w:before="30" w:after="30"/>
            </w:pPr>
            <w:r w:rsidRPr="0018386D">
              <w:t>0.187</w:t>
            </w:r>
          </w:p>
        </w:tc>
        <w:tc>
          <w:tcPr>
            <w:tcW w:w="1361" w:type="dxa"/>
            <w:shd w:val="clear" w:color="000000" w:fill="FFFFFF"/>
            <w:noWrap/>
            <w:hideMark/>
          </w:tcPr>
          <w:p w14:paraId="741F1B23" w14:textId="37DD15B5" w:rsidR="008E2ED2" w:rsidRPr="0018386D" w:rsidRDefault="008E2ED2" w:rsidP="00DD3106">
            <w:pPr>
              <w:pStyle w:val="TableText"/>
              <w:spacing w:before="30" w:after="30"/>
            </w:pPr>
            <w:r w:rsidRPr="0018386D">
              <w:t>0.184</w:t>
            </w:r>
          </w:p>
        </w:tc>
        <w:tc>
          <w:tcPr>
            <w:tcW w:w="1361" w:type="dxa"/>
            <w:shd w:val="clear" w:color="000000" w:fill="FFFFFF"/>
            <w:noWrap/>
            <w:hideMark/>
          </w:tcPr>
          <w:p w14:paraId="686106CC" w14:textId="379680BE" w:rsidR="008E2ED2" w:rsidRPr="0018386D" w:rsidRDefault="008E2ED2" w:rsidP="00DD3106">
            <w:pPr>
              <w:pStyle w:val="TableText"/>
              <w:spacing w:before="30" w:after="30"/>
            </w:pPr>
            <w:r w:rsidRPr="0018386D">
              <w:t>0.0003</w:t>
            </w:r>
          </w:p>
        </w:tc>
        <w:tc>
          <w:tcPr>
            <w:tcW w:w="1361" w:type="dxa"/>
            <w:shd w:val="clear" w:color="000000" w:fill="FFFFFF"/>
            <w:noWrap/>
            <w:hideMark/>
          </w:tcPr>
          <w:p w14:paraId="6D4EAE54" w14:textId="23D5D783" w:rsidR="008E2ED2" w:rsidRPr="0018386D" w:rsidRDefault="008E2ED2" w:rsidP="00DD3106">
            <w:pPr>
              <w:pStyle w:val="TableText"/>
              <w:spacing w:before="30" w:after="30"/>
            </w:pPr>
            <w:r w:rsidRPr="0018386D">
              <w:t>0.00261</w:t>
            </w:r>
          </w:p>
        </w:tc>
      </w:tr>
      <w:tr w:rsidR="001F49EB" w:rsidRPr="0018386D" w14:paraId="4902D070" w14:textId="77777777" w:rsidTr="00A453CD">
        <w:trPr>
          <w:divId w:val="1797331944"/>
        </w:trPr>
        <w:tc>
          <w:tcPr>
            <w:tcW w:w="1418" w:type="dxa"/>
            <w:tcBorders>
              <w:top w:val="nil"/>
              <w:bottom w:val="nil"/>
              <w:right w:val="single" w:sz="4" w:space="0" w:color="auto"/>
            </w:tcBorders>
            <w:shd w:val="clear" w:color="000000" w:fill="FFFFFF"/>
            <w:noWrap/>
            <w:hideMark/>
          </w:tcPr>
          <w:p w14:paraId="76515613"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29600C51" w14:textId="06D08901" w:rsidR="008E2ED2" w:rsidRPr="0018386D" w:rsidRDefault="008E2ED2" w:rsidP="00DD3106">
            <w:pPr>
              <w:pStyle w:val="TableText"/>
              <w:spacing w:before="30" w:after="30"/>
            </w:pPr>
            <w:r w:rsidRPr="0018386D">
              <w:t>1600</w:t>
            </w:r>
            <w:r w:rsidR="00ED00D8" w:rsidRPr="0018386D">
              <w:t>–</w:t>
            </w:r>
            <w:r w:rsidRPr="0018386D">
              <w:t>&lt;2000 cc</w:t>
            </w:r>
          </w:p>
        </w:tc>
        <w:tc>
          <w:tcPr>
            <w:tcW w:w="567" w:type="dxa"/>
            <w:shd w:val="clear" w:color="000000" w:fill="FFFFFF"/>
            <w:noWrap/>
            <w:hideMark/>
          </w:tcPr>
          <w:p w14:paraId="64C54B2D"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7FE1EFAF" w14:textId="0924ABCE" w:rsidR="008E2ED2" w:rsidRPr="0018386D" w:rsidRDefault="008E2ED2" w:rsidP="00DD3106">
            <w:pPr>
              <w:pStyle w:val="TableText"/>
              <w:spacing w:before="30" w:after="30"/>
            </w:pPr>
            <w:r w:rsidRPr="0018386D">
              <w:t>0.249</w:t>
            </w:r>
          </w:p>
        </w:tc>
        <w:tc>
          <w:tcPr>
            <w:tcW w:w="1361" w:type="dxa"/>
            <w:shd w:val="clear" w:color="000000" w:fill="FFFFFF"/>
            <w:noWrap/>
            <w:hideMark/>
          </w:tcPr>
          <w:p w14:paraId="19B513D3" w14:textId="5EDFB967" w:rsidR="008E2ED2" w:rsidRPr="0018386D" w:rsidRDefault="008E2ED2" w:rsidP="00DD3106">
            <w:pPr>
              <w:pStyle w:val="TableText"/>
              <w:spacing w:before="30" w:after="30"/>
            </w:pPr>
            <w:r w:rsidRPr="0018386D">
              <w:t>0.246</w:t>
            </w:r>
          </w:p>
        </w:tc>
        <w:tc>
          <w:tcPr>
            <w:tcW w:w="1361" w:type="dxa"/>
            <w:shd w:val="clear" w:color="000000" w:fill="FFFFFF"/>
            <w:noWrap/>
            <w:hideMark/>
          </w:tcPr>
          <w:p w14:paraId="52C633E2" w14:textId="47D88DC4" w:rsidR="008E2ED2" w:rsidRPr="0018386D" w:rsidRDefault="008E2ED2" w:rsidP="00DD3106">
            <w:pPr>
              <w:pStyle w:val="TableText"/>
              <w:spacing w:before="30" w:after="30"/>
            </w:pPr>
            <w:r w:rsidRPr="0018386D">
              <w:t>0.0004</w:t>
            </w:r>
          </w:p>
        </w:tc>
        <w:tc>
          <w:tcPr>
            <w:tcW w:w="1361" w:type="dxa"/>
            <w:shd w:val="clear" w:color="000000" w:fill="FFFFFF"/>
            <w:noWrap/>
            <w:hideMark/>
          </w:tcPr>
          <w:p w14:paraId="18C141B7" w14:textId="59C380E0" w:rsidR="008E2ED2" w:rsidRPr="0018386D" w:rsidRDefault="008E2ED2" w:rsidP="00DD3106">
            <w:pPr>
              <w:pStyle w:val="TableText"/>
              <w:spacing w:before="30" w:after="30"/>
            </w:pPr>
            <w:r w:rsidRPr="0018386D">
              <w:t>0.00347</w:t>
            </w:r>
          </w:p>
        </w:tc>
      </w:tr>
      <w:tr w:rsidR="001F49EB" w:rsidRPr="0018386D" w14:paraId="46050638" w14:textId="77777777" w:rsidTr="00A453CD">
        <w:trPr>
          <w:divId w:val="1797331944"/>
        </w:trPr>
        <w:tc>
          <w:tcPr>
            <w:tcW w:w="1418" w:type="dxa"/>
            <w:tcBorders>
              <w:top w:val="nil"/>
              <w:bottom w:val="nil"/>
              <w:right w:val="single" w:sz="4" w:space="0" w:color="auto"/>
            </w:tcBorders>
            <w:shd w:val="clear" w:color="000000" w:fill="FFFFFF"/>
            <w:noWrap/>
            <w:hideMark/>
          </w:tcPr>
          <w:p w14:paraId="0C03330E"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71CA55CF" w14:textId="3C340810" w:rsidR="008E2ED2" w:rsidRPr="0018386D" w:rsidRDefault="008E2ED2" w:rsidP="00DD3106">
            <w:pPr>
              <w:pStyle w:val="TableText"/>
              <w:spacing w:before="30" w:after="30"/>
            </w:pPr>
            <w:r w:rsidRPr="0018386D">
              <w:t>2000</w:t>
            </w:r>
            <w:r w:rsidR="00ED00D8" w:rsidRPr="0018386D">
              <w:t>–</w:t>
            </w:r>
            <w:r w:rsidRPr="0018386D">
              <w:t>&lt;3000 cc</w:t>
            </w:r>
          </w:p>
        </w:tc>
        <w:tc>
          <w:tcPr>
            <w:tcW w:w="567" w:type="dxa"/>
            <w:shd w:val="clear" w:color="000000" w:fill="FFFFFF"/>
            <w:noWrap/>
            <w:hideMark/>
          </w:tcPr>
          <w:p w14:paraId="7A4AC91A"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2211E1A9" w14:textId="33261CDD" w:rsidR="008E2ED2" w:rsidRPr="0018386D" w:rsidRDefault="008E2ED2" w:rsidP="00DD3106">
            <w:pPr>
              <w:pStyle w:val="TableText"/>
              <w:spacing w:before="30" w:after="30"/>
            </w:pPr>
            <w:r w:rsidRPr="0018386D">
              <w:t>0.267</w:t>
            </w:r>
          </w:p>
        </w:tc>
        <w:tc>
          <w:tcPr>
            <w:tcW w:w="1361" w:type="dxa"/>
            <w:shd w:val="clear" w:color="000000" w:fill="FFFFFF"/>
            <w:noWrap/>
            <w:hideMark/>
          </w:tcPr>
          <w:p w14:paraId="230AC393" w14:textId="582E15F6" w:rsidR="008E2ED2" w:rsidRPr="0018386D" w:rsidRDefault="008E2ED2" w:rsidP="00DD3106">
            <w:pPr>
              <w:pStyle w:val="TableText"/>
              <w:spacing w:before="30" w:after="30"/>
            </w:pPr>
            <w:r w:rsidRPr="0018386D">
              <w:t>0.263</w:t>
            </w:r>
          </w:p>
        </w:tc>
        <w:tc>
          <w:tcPr>
            <w:tcW w:w="1361" w:type="dxa"/>
            <w:shd w:val="clear" w:color="000000" w:fill="FFFFFF"/>
            <w:noWrap/>
            <w:hideMark/>
          </w:tcPr>
          <w:p w14:paraId="6EFD9433" w14:textId="7B0D69BC" w:rsidR="008E2ED2" w:rsidRPr="0018386D" w:rsidRDefault="008E2ED2" w:rsidP="00DD3106">
            <w:pPr>
              <w:pStyle w:val="TableText"/>
              <w:spacing w:before="30" w:after="30"/>
            </w:pPr>
            <w:r w:rsidRPr="0018386D">
              <w:t>0.0004</w:t>
            </w:r>
          </w:p>
        </w:tc>
        <w:tc>
          <w:tcPr>
            <w:tcW w:w="1361" w:type="dxa"/>
            <w:shd w:val="clear" w:color="000000" w:fill="FFFFFF"/>
            <w:noWrap/>
            <w:hideMark/>
          </w:tcPr>
          <w:p w14:paraId="112B5267" w14:textId="4C9E5CAA" w:rsidR="008E2ED2" w:rsidRPr="0018386D" w:rsidRDefault="008E2ED2" w:rsidP="00DD3106">
            <w:pPr>
              <w:pStyle w:val="TableText"/>
              <w:spacing w:before="30" w:after="30"/>
            </w:pPr>
            <w:r w:rsidRPr="0018386D">
              <w:t>0.00372</w:t>
            </w:r>
          </w:p>
        </w:tc>
      </w:tr>
      <w:tr w:rsidR="001F49EB" w:rsidRPr="0018386D" w14:paraId="6049601C" w14:textId="77777777" w:rsidTr="00A453CD">
        <w:trPr>
          <w:divId w:val="1797331944"/>
        </w:trPr>
        <w:tc>
          <w:tcPr>
            <w:tcW w:w="1418" w:type="dxa"/>
            <w:tcBorders>
              <w:top w:val="nil"/>
              <w:bottom w:val="single" w:sz="4" w:space="0" w:color="auto"/>
              <w:right w:val="single" w:sz="4" w:space="0" w:color="auto"/>
            </w:tcBorders>
            <w:shd w:val="clear" w:color="000000" w:fill="FFFFFF"/>
            <w:noWrap/>
            <w:hideMark/>
          </w:tcPr>
          <w:p w14:paraId="49CC7327" w14:textId="77777777" w:rsidR="008E2ED2" w:rsidRPr="0018386D" w:rsidRDefault="008E2ED2" w:rsidP="00DD3106">
            <w:pPr>
              <w:pStyle w:val="TableText"/>
              <w:spacing w:before="30" w:after="30"/>
            </w:pPr>
            <w:r w:rsidRPr="0018386D">
              <w:t> </w:t>
            </w:r>
          </w:p>
        </w:tc>
        <w:tc>
          <w:tcPr>
            <w:tcW w:w="1418" w:type="dxa"/>
            <w:tcBorders>
              <w:left w:val="single" w:sz="4" w:space="0" w:color="auto"/>
            </w:tcBorders>
            <w:shd w:val="clear" w:color="000000" w:fill="FFFFFF"/>
            <w:noWrap/>
            <w:hideMark/>
          </w:tcPr>
          <w:p w14:paraId="436A6CB8" w14:textId="77777777" w:rsidR="008E2ED2" w:rsidRPr="0018386D" w:rsidRDefault="008E2ED2" w:rsidP="00DD3106">
            <w:pPr>
              <w:pStyle w:val="TableText"/>
              <w:spacing w:before="30" w:after="30"/>
            </w:pPr>
            <w:r w:rsidRPr="0018386D">
              <w:t>≥3000 cc</w:t>
            </w:r>
          </w:p>
        </w:tc>
        <w:tc>
          <w:tcPr>
            <w:tcW w:w="567" w:type="dxa"/>
            <w:shd w:val="clear" w:color="000000" w:fill="FFFFFF"/>
            <w:noWrap/>
            <w:hideMark/>
          </w:tcPr>
          <w:p w14:paraId="64D9A89B"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0D263361" w14:textId="7255B9E6" w:rsidR="008E2ED2" w:rsidRPr="0018386D" w:rsidRDefault="008E2ED2" w:rsidP="00DD3106">
            <w:pPr>
              <w:pStyle w:val="TableText"/>
              <w:spacing w:before="30" w:after="30"/>
            </w:pPr>
            <w:r w:rsidRPr="0018386D">
              <w:t>0.271</w:t>
            </w:r>
          </w:p>
        </w:tc>
        <w:tc>
          <w:tcPr>
            <w:tcW w:w="1361" w:type="dxa"/>
            <w:shd w:val="clear" w:color="000000" w:fill="FFFFFF"/>
            <w:noWrap/>
            <w:hideMark/>
          </w:tcPr>
          <w:p w14:paraId="0D8DC764" w14:textId="5DC9AC15" w:rsidR="008E2ED2" w:rsidRPr="0018386D" w:rsidRDefault="008E2ED2" w:rsidP="00DD3106">
            <w:pPr>
              <w:pStyle w:val="TableText"/>
              <w:spacing w:before="30" w:after="30"/>
            </w:pPr>
            <w:r w:rsidRPr="0018386D">
              <w:t>0.267</w:t>
            </w:r>
          </w:p>
        </w:tc>
        <w:tc>
          <w:tcPr>
            <w:tcW w:w="1361" w:type="dxa"/>
            <w:shd w:val="clear" w:color="000000" w:fill="FFFFFF"/>
            <w:noWrap/>
            <w:hideMark/>
          </w:tcPr>
          <w:p w14:paraId="1326EED2" w14:textId="77777777" w:rsidR="008E2ED2" w:rsidRPr="0018386D" w:rsidRDefault="008E2ED2" w:rsidP="00DD3106">
            <w:pPr>
              <w:pStyle w:val="TableText"/>
              <w:spacing w:before="30" w:after="30"/>
            </w:pPr>
            <w:r w:rsidRPr="0018386D">
              <w:t>0.0004</w:t>
            </w:r>
          </w:p>
        </w:tc>
        <w:tc>
          <w:tcPr>
            <w:tcW w:w="1361" w:type="dxa"/>
            <w:shd w:val="clear" w:color="000000" w:fill="FFFFFF"/>
            <w:noWrap/>
            <w:hideMark/>
          </w:tcPr>
          <w:p w14:paraId="57A49733" w14:textId="1CDB8177" w:rsidR="008E2ED2" w:rsidRPr="0018386D" w:rsidRDefault="008E2ED2" w:rsidP="00DD3106">
            <w:pPr>
              <w:pStyle w:val="TableText"/>
              <w:spacing w:before="30" w:after="30"/>
            </w:pPr>
            <w:r w:rsidRPr="0018386D">
              <w:t>0.00377</w:t>
            </w:r>
          </w:p>
        </w:tc>
      </w:tr>
    </w:tbl>
    <w:p w14:paraId="2932A939" w14:textId="77777777" w:rsidR="005B2EC6" w:rsidRPr="0018386D" w:rsidRDefault="005B2EC6" w:rsidP="00DD3106">
      <w:pPr>
        <w:pStyle w:val="Note"/>
      </w:pPr>
      <w:r w:rsidRPr="0018386D">
        <w:rPr>
          <w:b/>
          <w:bCs/>
        </w:rPr>
        <w:t>Note</w:t>
      </w:r>
      <w:r w:rsidR="000A56D0" w:rsidRPr="0018386D">
        <w:rPr>
          <w:b/>
          <w:bCs/>
        </w:rPr>
        <w:t>:</w:t>
      </w:r>
      <w:r w:rsidR="000A56D0" w:rsidRPr="0018386D">
        <w:t xml:space="preserve"> T</w:t>
      </w:r>
      <w:r w:rsidR="00D80439" w:rsidRPr="0018386D">
        <w:t>h</w:t>
      </w:r>
      <w:r w:rsidRPr="0018386D">
        <w:t xml:space="preserve">ese numbers are rounded to three </w:t>
      </w:r>
      <w:r w:rsidR="002011A6" w:rsidRPr="0018386D">
        <w:t xml:space="preserve">decimal places </w:t>
      </w:r>
      <w:r w:rsidRPr="0018386D">
        <w:t xml:space="preserve">unless the number is significantly small. </w:t>
      </w:r>
    </w:p>
    <w:p w14:paraId="6509239D" w14:textId="1820F19D" w:rsidR="00C803E3" w:rsidRPr="0018386D" w:rsidRDefault="00EB4389" w:rsidP="00DD3106">
      <w:pPr>
        <w:pStyle w:val="Tableheading"/>
      </w:pPr>
      <w:bookmarkStart w:id="600" w:name="_Toc111536658"/>
      <w:bookmarkStart w:id="601" w:name="_Toc140048986"/>
      <w:r w:rsidRPr="0018386D">
        <w:t xml:space="preserve">Table </w:t>
      </w:r>
      <w:r w:rsidR="00C67FCD" w:rsidRPr="0018386D">
        <w:fldChar w:fldCharType="begin"/>
      </w:r>
      <w:r w:rsidR="00C67FCD" w:rsidRPr="0018386D">
        <w:instrText>SEQ Table \* ARABIC</w:instrText>
      </w:r>
      <w:r w:rsidR="00C67FCD" w:rsidRPr="0018386D">
        <w:fldChar w:fldCharType="separate"/>
      </w:r>
      <w:r w:rsidR="00330460" w:rsidRPr="0018386D">
        <w:rPr>
          <w:noProof/>
        </w:rPr>
        <w:t>46</w:t>
      </w:r>
      <w:r w:rsidR="00C67FCD" w:rsidRPr="0018386D">
        <w:fldChar w:fldCharType="end"/>
      </w:r>
      <w:r w:rsidRPr="0018386D">
        <w:t>:</w:t>
      </w:r>
      <w:r w:rsidRPr="0018386D">
        <w:tab/>
      </w:r>
      <w:r w:rsidR="00C803E3" w:rsidRPr="0018386D">
        <w:t>Emission factors for light commercial vehicles manufactured between 2010</w:t>
      </w:r>
      <w:r w:rsidR="00DD6397" w:rsidRPr="0018386D">
        <w:t xml:space="preserve"> and </w:t>
      </w:r>
      <w:proofErr w:type="gramStart"/>
      <w:r w:rsidR="00C803E3" w:rsidRPr="0018386D">
        <w:t>2015</w:t>
      </w:r>
      <w:bookmarkEnd w:id="600"/>
      <w:bookmarkEnd w:id="601"/>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334"/>
        <w:gridCol w:w="1389"/>
        <w:gridCol w:w="558"/>
        <w:gridCol w:w="1222"/>
        <w:gridCol w:w="1334"/>
        <w:gridCol w:w="1334"/>
        <w:gridCol w:w="1334"/>
      </w:tblGrid>
      <w:tr w:rsidR="001F49EB" w:rsidRPr="0018386D" w14:paraId="122B78A2" w14:textId="77777777" w:rsidTr="00A453CD">
        <w:trPr>
          <w:divId w:val="1127504634"/>
          <w:tblHeader/>
        </w:trPr>
        <w:tc>
          <w:tcPr>
            <w:tcW w:w="1361" w:type="dxa"/>
            <w:tcBorders>
              <w:bottom w:val="nil"/>
            </w:tcBorders>
            <w:shd w:val="clear" w:color="000000" w:fill="1B556B" w:themeFill="text2"/>
            <w:noWrap/>
            <w:vAlign w:val="bottom"/>
            <w:hideMark/>
          </w:tcPr>
          <w:p w14:paraId="3ADC771D" w14:textId="3B090CF0" w:rsidR="008E2ED2" w:rsidRPr="0018386D" w:rsidRDefault="008E2ED2" w:rsidP="00DD3106">
            <w:pPr>
              <w:pStyle w:val="TableTextbold"/>
              <w:spacing w:before="30" w:after="20"/>
              <w:rPr>
                <w:rFonts w:cs="Calibri"/>
                <w:color w:val="FFFFFF" w:themeColor="background1"/>
                <w:szCs w:val="18"/>
              </w:rPr>
            </w:pPr>
            <w:bookmarkStart w:id="602" w:name="_1746366842"/>
            <w:bookmarkStart w:id="603" w:name="_1745997850"/>
            <w:bookmarkStart w:id="604" w:name="_1746254079"/>
            <w:bookmarkStart w:id="605" w:name="_1747051275"/>
            <w:bookmarkEnd w:id="602"/>
            <w:bookmarkEnd w:id="603"/>
            <w:bookmarkEnd w:id="604"/>
            <w:bookmarkEnd w:id="605"/>
            <w:r w:rsidRPr="0018386D">
              <w:rPr>
                <w:rFonts w:cs="Calibri"/>
                <w:color w:val="FFFFFF" w:themeColor="background1"/>
                <w:szCs w:val="18"/>
              </w:rPr>
              <w:t>Emission source</w:t>
            </w:r>
          </w:p>
        </w:tc>
        <w:tc>
          <w:tcPr>
            <w:tcW w:w="1418" w:type="dxa"/>
            <w:shd w:val="clear" w:color="000000" w:fill="1B556B" w:themeFill="text2"/>
            <w:noWrap/>
            <w:vAlign w:val="bottom"/>
            <w:hideMark/>
          </w:tcPr>
          <w:p w14:paraId="36D26E59" w14:textId="77777777" w:rsidR="008E2ED2" w:rsidRPr="0018386D" w:rsidRDefault="008E2ED2" w:rsidP="00DD3106">
            <w:pPr>
              <w:pStyle w:val="TableTextbold"/>
              <w:spacing w:before="30" w:after="20"/>
              <w:rPr>
                <w:rFonts w:cs="Calibri"/>
                <w:color w:val="FFFFFF" w:themeColor="background1"/>
                <w:szCs w:val="18"/>
              </w:rPr>
            </w:pPr>
            <w:r w:rsidRPr="0018386D">
              <w:rPr>
                <w:rFonts w:cs="Calibri"/>
                <w:color w:val="FFFFFF" w:themeColor="background1"/>
                <w:szCs w:val="18"/>
              </w:rPr>
              <w:t> </w:t>
            </w:r>
          </w:p>
        </w:tc>
        <w:tc>
          <w:tcPr>
            <w:tcW w:w="567" w:type="dxa"/>
            <w:shd w:val="clear" w:color="000000" w:fill="1B556B" w:themeFill="text2"/>
            <w:noWrap/>
            <w:vAlign w:val="bottom"/>
            <w:hideMark/>
          </w:tcPr>
          <w:p w14:paraId="41E02BDE" w14:textId="77777777" w:rsidR="008E2ED2" w:rsidRPr="0018386D" w:rsidRDefault="008E2ED2" w:rsidP="00DD3106">
            <w:pPr>
              <w:pStyle w:val="TableTextbold"/>
              <w:spacing w:before="30" w:after="20"/>
              <w:rPr>
                <w:rFonts w:cs="Calibri"/>
                <w:color w:val="FFFFFF" w:themeColor="background1"/>
                <w:szCs w:val="18"/>
              </w:rPr>
            </w:pPr>
            <w:r w:rsidRPr="0018386D">
              <w:rPr>
                <w:rFonts w:cs="Calibri"/>
                <w:color w:val="FFFFFF" w:themeColor="background1"/>
                <w:szCs w:val="18"/>
              </w:rPr>
              <w:t>Unit</w:t>
            </w:r>
          </w:p>
        </w:tc>
        <w:tc>
          <w:tcPr>
            <w:tcW w:w="1247" w:type="dxa"/>
            <w:shd w:val="clear" w:color="000000" w:fill="1B556B" w:themeFill="text2"/>
            <w:noWrap/>
            <w:vAlign w:val="bottom"/>
            <w:hideMark/>
          </w:tcPr>
          <w:p w14:paraId="4FFFADD4" w14:textId="77777777" w:rsidR="008E2ED2" w:rsidRPr="0018386D" w:rsidRDefault="008E2ED2" w:rsidP="00DD3106">
            <w:pPr>
              <w:pStyle w:val="TableTextbold"/>
              <w:spacing w:before="30" w:after="20"/>
              <w:rPr>
                <w:rFonts w:cs="Calibri"/>
                <w:color w:val="FFFFFF" w:themeColor="background1"/>
                <w:szCs w:val="18"/>
              </w:rPr>
            </w:pPr>
            <w:r w:rsidRPr="0018386D">
              <w:rPr>
                <w:rFonts w:cs="Calibri"/>
                <w:color w:val="FFFFFF" w:themeColor="background1"/>
                <w:szCs w:val="18"/>
              </w:rPr>
              <w:t>kg CO₂-e/unit</w:t>
            </w:r>
          </w:p>
        </w:tc>
        <w:tc>
          <w:tcPr>
            <w:tcW w:w="1361" w:type="dxa"/>
            <w:shd w:val="clear" w:color="000000" w:fill="1B556B" w:themeFill="text2"/>
            <w:noWrap/>
            <w:vAlign w:val="bottom"/>
            <w:hideMark/>
          </w:tcPr>
          <w:p w14:paraId="1EBC711D" w14:textId="72322BE6" w:rsidR="008E2ED2" w:rsidRPr="0018386D" w:rsidRDefault="008E2ED2" w:rsidP="00DD3106">
            <w:pPr>
              <w:pStyle w:val="TableTextbold"/>
              <w:spacing w:before="30" w:after="20"/>
              <w:rPr>
                <w:rFonts w:cs="Calibri"/>
                <w:color w:val="FFFFFF" w:themeColor="background1"/>
                <w:szCs w:val="18"/>
              </w:rPr>
            </w:pPr>
            <w:r w:rsidRPr="0018386D">
              <w:rPr>
                <w:rFonts w:cs="Calibri"/>
                <w:color w:val="FFFFFF" w:themeColor="background1"/>
                <w:szCs w:val="18"/>
              </w:rPr>
              <w:t>CO₂ (kg CO₂</w:t>
            </w:r>
            <w:r w:rsidRPr="0018386D">
              <w:rPr>
                <w:rFonts w:cs="Calibri"/>
                <w:color w:val="FFFFFF" w:themeColor="background1"/>
                <w:szCs w:val="18"/>
              </w:rPr>
              <w:noBreakHyphen/>
              <w:t>e/</w:t>
            </w:r>
            <w:r w:rsidR="007137C4" w:rsidRPr="0018386D">
              <w:rPr>
                <w:rFonts w:cs="Calibri"/>
                <w:color w:val="FFFFFF" w:themeColor="background1"/>
                <w:szCs w:val="18"/>
              </w:rPr>
              <w:t xml:space="preserve"> </w:t>
            </w:r>
            <w:r w:rsidRPr="0018386D">
              <w:rPr>
                <w:rFonts w:cs="Calibri"/>
                <w:color w:val="FFFFFF" w:themeColor="background1"/>
                <w:szCs w:val="18"/>
              </w:rPr>
              <w:t>unit)</w:t>
            </w:r>
          </w:p>
        </w:tc>
        <w:tc>
          <w:tcPr>
            <w:tcW w:w="1361" w:type="dxa"/>
            <w:shd w:val="clear" w:color="000000" w:fill="1B556B" w:themeFill="text2"/>
            <w:noWrap/>
            <w:vAlign w:val="bottom"/>
            <w:hideMark/>
          </w:tcPr>
          <w:p w14:paraId="3E4C29DF" w14:textId="09CB108B" w:rsidR="008E2ED2" w:rsidRPr="0018386D" w:rsidRDefault="008E2ED2" w:rsidP="00DD3106">
            <w:pPr>
              <w:pStyle w:val="TableTextbold"/>
              <w:spacing w:before="30" w:after="20"/>
              <w:rPr>
                <w:rFonts w:cs="Calibri"/>
                <w:color w:val="FFFFFF" w:themeColor="background1"/>
                <w:szCs w:val="18"/>
              </w:rPr>
            </w:pPr>
            <w:r w:rsidRPr="0018386D">
              <w:rPr>
                <w:rFonts w:cs="Calibri"/>
                <w:color w:val="FFFFFF" w:themeColor="background1"/>
                <w:szCs w:val="18"/>
              </w:rPr>
              <w:t>CH₄ (kg CO₂-e/</w:t>
            </w:r>
            <w:r w:rsidR="007137C4" w:rsidRPr="0018386D">
              <w:rPr>
                <w:rFonts w:cs="Calibri"/>
                <w:color w:val="FFFFFF" w:themeColor="background1"/>
                <w:szCs w:val="18"/>
              </w:rPr>
              <w:t xml:space="preserve"> </w:t>
            </w:r>
            <w:r w:rsidRPr="0018386D">
              <w:rPr>
                <w:rFonts w:cs="Calibri"/>
                <w:color w:val="FFFFFF" w:themeColor="background1"/>
                <w:szCs w:val="18"/>
              </w:rPr>
              <w:t>unit)</w:t>
            </w:r>
          </w:p>
        </w:tc>
        <w:tc>
          <w:tcPr>
            <w:tcW w:w="1361" w:type="dxa"/>
            <w:shd w:val="clear" w:color="000000" w:fill="1B556B" w:themeFill="text2"/>
            <w:noWrap/>
            <w:vAlign w:val="bottom"/>
            <w:hideMark/>
          </w:tcPr>
          <w:p w14:paraId="0AEF1CAB" w14:textId="4E46586C" w:rsidR="008E2ED2" w:rsidRPr="0018386D" w:rsidRDefault="008E2ED2" w:rsidP="00DD3106">
            <w:pPr>
              <w:pStyle w:val="TableTextbold"/>
              <w:spacing w:before="30" w:after="20"/>
              <w:rPr>
                <w:rFonts w:cs="Calibri"/>
                <w:color w:val="FFFFFF" w:themeColor="background1"/>
                <w:szCs w:val="18"/>
              </w:rPr>
            </w:pPr>
            <w:r w:rsidRPr="0018386D">
              <w:rPr>
                <w:rFonts w:cs="Calibri"/>
                <w:color w:val="FFFFFF" w:themeColor="background1"/>
                <w:szCs w:val="18"/>
              </w:rPr>
              <w:t>N₂O (kg CO₂-e/</w:t>
            </w:r>
            <w:r w:rsidR="007137C4" w:rsidRPr="0018386D">
              <w:rPr>
                <w:rFonts w:cs="Calibri"/>
                <w:color w:val="FFFFFF" w:themeColor="background1"/>
                <w:szCs w:val="18"/>
              </w:rPr>
              <w:t xml:space="preserve"> </w:t>
            </w:r>
            <w:r w:rsidRPr="0018386D">
              <w:rPr>
                <w:rFonts w:cs="Calibri"/>
                <w:color w:val="FFFFFF" w:themeColor="background1"/>
                <w:szCs w:val="18"/>
              </w:rPr>
              <w:t>unit)</w:t>
            </w:r>
          </w:p>
        </w:tc>
      </w:tr>
      <w:tr w:rsidR="001F49EB" w:rsidRPr="0018386D" w14:paraId="1880A074" w14:textId="77777777" w:rsidTr="00A453CD">
        <w:trPr>
          <w:divId w:val="1127504634"/>
        </w:trPr>
        <w:tc>
          <w:tcPr>
            <w:tcW w:w="1361" w:type="dxa"/>
            <w:tcBorders>
              <w:top w:val="nil"/>
              <w:bottom w:val="nil"/>
              <w:right w:val="single" w:sz="4" w:space="0" w:color="auto"/>
            </w:tcBorders>
            <w:shd w:val="clear" w:color="000000" w:fill="FFFFFF"/>
            <w:noWrap/>
            <w:hideMark/>
          </w:tcPr>
          <w:p w14:paraId="28BF8E48" w14:textId="77777777" w:rsidR="008E2ED2" w:rsidRPr="0018386D" w:rsidRDefault="008E2ED2" w:rsidP="00DD3106">
            <w:pPr>
              <w:pStyle w:val="TableText"/>
              <w:spacing w:before="30" w:after="20"/>
              <w:rPr>
                <w:rFonts w:cs="Calibri"/>
                <w:szCs w:val="18"/>
              </w:rPr>
            </w:pPr>
            <w:r w:rsidRPr="0018386D">
              <w:rPr>
                <w:rFonts w:cs="Calibri"/>
                <w:szCs w:val="18"/>
              </w:rPr>
              <w:t>Petrol</w:t>
            </w:r>
          </w:p>
        </w:tc>
        <w:tc>
          <w:tcPr>
            <w:tcW w:w="1418" w:type="dxa"/>
            <w:tcBorders>
              <w:left w:val="single" w:sz="4" w:space="0" w:color="auto"/>
            </w:tcBorders>
            <w:shd w:val="clear" w:color="000000" w:fill="FFFFFF"/>
            <w:noWrap/>
            <w:hideMark/>
          </w:tcPr>
          <w:p w14:paraId="57C2392C"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51181EBB"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255FCC4B" w14:textId="77777777" w:rsidR="008E2ED2" w:rsidRPr="0018386D" w:rsidRDefault="008E2ED2" w:rsidP="00DD3106">
            <w:pPr>
              <w:pStyle w:val="TableText"/>
              <w:spacing w:before="30" w:after="20"/>
              <w:rPr>
                <w:rFonts w:cs="Calibri"/>
                <w:szCs w:val="18"/>
              </w:rPr>
            </w:pPr>
            <w:r w:rsidRPr="0018386D">
              <w:rPr>
                <w:rFonts w:cs="Calibri"/>
                <w:szCs w:val="18"/>
              </w:rPr>
              <w:t>0.195</w:t>
            </w:r>
          </w:p>
        </w:tc>
        <w:tc>
          <w:tcPr>
            <w:tcW w:w="1361" w:type="dxa"/>
            <w:shd w:val="clear" w:color="000000" w:fill="FFFFFF"/>
            <w:noWrap/>
            <w:hideMark/>
          </w:tcPr>
          <w:p w14:paraId="672D2359" w14:textId="77777777" w:rsidR="008E2ED2" w:rsidRPr="0018386D" w:rsidRDefault="008E2ED2" w:rsidP="00DD3106">
            <w:pPr>
              <w:pStyle w:val="TableText"/>
              <w:spacing w:before="30" w:after="20"/>
              <w:rPr>
                <w:rFonts w:cs="Calibri"/>
                <w:szCs w:val="18"/>
              </w:rPr>
            </w:pPr>
            <w:r w:rsidRPr="0018386D">
              <w:rPr>
                <w:rFonts w:cs="Calibri"/>
                <w:szCs w:val="18"/>
              </w:rPr>
              <w:t>0.187</w:t>
            </w:r>
          </w:p>
        </w:tc>
        <w:tc>
          <w:tcPr>
            <w:tcW w:w="1361" w:type="dxa"/>
            <w:shd w:val="clear" w:color="000000" w:fill="FFFFFF"/>
            <w:noWrap/>
            <w:hideMark/>
          </w:tcPr>
          <w:p w14:paraId="49B1FFD2" w14:textId="77777777" w:rsidR="008E2ED2" w:rsidRPr="0018386D" w:rsidRDefault="008E2ED2" w:rsidP="00DD3106">
            <w:pPr>
              <w:pStyle w:val="TableText"/>
              <w:spacing w:before="30" w:after="20"/>
              <w:rPr>
                <w:rFonts w:cs="Calibri"/>
                <w:szCs w:val="18"/>
              </w:rPr>
            </w:pPr>
            <w:r w:rsidRPr="0018386D">
              <w:rPr>
                <w:rFonts w:cs="Calibri"/>
                <w:szCs w:val="18"/>
              </w:rPr>
              <w:t>0.00246</w:t>
            </w:r>
          </w:p>
        </w:tc>
        <w:tc>
          <w:tcPr>
            <w:tcW w:w="1361" w:type="dxa"/>
            <w:shd w:val="clear" w:color="000000" w:fill="FFFFFF"/>
            <w:noWrap/>
            <w:hideMark/>
          </w:tcPr>
          <w:p w14:paraId="4CB00A1C" w14:textId="77777777" w:rsidR="008E2ED2" w:rsidRPr="0018386D" w:rsidRDefault="008E2ED2" w:rsidP="00DD3106">
            <w:pPr>
              <w:pStyle w:val="TableText"/>
              <w:spacing w:before="30" w:after="20"/>
              <w:rPr>
                <w:rFonts w:cs="Calibri"/>
                <w:szCs w:val="18"/>
              </w:rPr>
            </w:pPr>
            <w:r w:rsidRPr="0018386D">
              <w:rPr>
                <w:rFonts w:cs="Calibri"/>
                <w:szCs w:val="18"/>
              </w:rPr>
              <w:t>0.00564</w:t>
            </w:r>
          </w:p>
        </w:tc>
      </w:tr>
      <w:tr w:rsidR="001F49EB" w:rsidRPr="0018386D" w14:paraId="12C81A47" w14:textId="77777777" w:rsidTr="00A453CD">
        <w:trPr>
          <w:divId w:val="1127504634"/>
        </w:trPr>
        <w:tc>
          <w:tcPr>
            <w:tcW w:w="1361" w:type="dxa"/>
            <w:tcBorders>
              <w:top w:val="nil"/>
              <w:bottom w:val="nil"/>
              <w:right w:val="single" w:sz="4" w:space="0" w:color="auto"/>
            </w:tcBorders>
            <w:shd w:val="clear" w:color="000000" w:fill="FFFFFF"/>
            <w:noWrap/>
            <w:hideMark/>
          </w:tcPr>
          <w:p w14:paraId="1998322C"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7EC98604" w14:textId="009192B1" w:rsidR="008E2ED2" w:rsidRPr="0018386D" w:rsidRDefault="008E2ED2" w:rsidP="00DD3106">
            <w:pPr>
              <w:pStyle w:val="TableText"/>
              <w:spacing w:before="30" w:after="20"/>
              <w:rPr>
                <w:rFonts w:cs="Calibri"/>
                <w:szCs w:val="18"/>
              </w:rPr>
            </w:pPr>
            <w:r w:rsidRPr="0018386D">
              <w:rPr>
                <w:rFonts w:cs="Calibri"/>
                <w:szCs w:val="18"/>
              </w:rPr>
              <w:t>1350</w:t>
            </w:r>
            <w:r w:rsidR="00ED00D8" w:rsidRPr="0018386D">
              <w:rPr>
                <w:rFonts w:cs="Calibri"/>
                <w:szCs w:val="18"/>
              </w:rPr>
              <w:t>–</w:t>
            </w:r>
            <w:r w:rsidRPr="0018386D">
              <w:rPr>
                <w:rFonts w:cs="Calibri"/>
                <w:szCs w:val="18"/>
              </w:rPr>
              <w:t>&lt;1600 cc</w:t>
            </w:r>
          </w:p>
        </w:tc>
        <w:tc>
          <w:tcPr>
            <w:tcW w:w="567" w:type="dxa"/>
            <w:shd w:val="clear" w:color="000000" w:fill="FFFFFF"/>
            <w:noWrap/>
            <w:hideMark/>
          </w:tcPr>
          <w:p w14:paraId="142744F6"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418D4E6F" w14:textId="77777777" w:rsidR="008E2ED2" w:rsidRPr="0018386D" w:rsidRDefault="008E2ED2" w:rsidP="00DD3106">
            <w:pPr>
              <w:pStyle w:val="TableText"/>
              <w:spacing w:before="30" w:after="20"/>
              <w:rPr>
                <w:rFonts w:cs="Calibri"/>
                <w:szCs w:val="18"/>
              </w:rPr>
            </w:pPr>
            <w:r w:rsidRPr="0018386D">
              <w:rPr>
                <w:rFonts w:cs="Calibri"/>
                <w:szCs w:val="18"/>
              </w:rPr>
              <w:t>0.209</w:t>
            </w:r>
          </w:p>
        </w:tc>
        <w:tc>
          <w:tcPr>
            <w:tcW w:w="1361" w:type="dxa"/>
            <w:shd w:val="clear" w:color="000000" w:fill="FFFFFF"/>
            <w:noWrap/>
            <w:hideMark/>
          </w:tcPr>
          <w:p w14:paraId="6506D396" w14:textId="77777777" w:rsidR="008E2ED2" w:rsidRPr="0018386D" w:rsidRDefault="008E2ED2" w:rsidP="00DD3106">
            <w:pPr>
              <w:pStyle w:val="TableText"/>
              <w:spacing w:before="30" w:after="20"/>
              <w:rPr>
                <w:rFonts w:cs="Calibri"/>
                <w:szCs w:val="18"/>
              </w:rPr>
            </w:pPr>
            <w:r w:rsidRPr="0018386D">
              <w:rPr>
                <w:rFonts w:cs="Calibri"/>
                <w:szCs w:val="18"/>
              </w:rPr>
              <w:t>0.201</w:t>
            </w:r>
          </w:p>
        </w:tc>
        <w:tc>
          <w:tcPr>
            <w:tcW w:w="1361" w:type="dxa"/>
            <w:shd w:val="clear" w:color="000000" w:fill="FFFFFF"/>
            <w:noWrap/>
            <w:hideMark/>
          </w:tcPr>
          <w:p w14:paraId="51F00479" w14:textId="77777777" w:rsidR="008E2ED2" w:rsidRPr="0018386D" w:rsidRDefault="008E2ED2" w:rsidP="00DD3106">
            <w:pPr>
              <w:pStyle w:val="TableText"/>
              <w:spacing w:before="30" w:after="20"/>
              <w:rPr>
                <w:rFonts w:cs="Calibri"/>
                <w:szCs w:val="18"/>
              </w:rPr>
            </w:pPr>
            <w:r w:rsidRPr="0018386D">
              <w:rPr>
                <w:rFonts w:cs="Calibri"/>
                <w:szCs w:val="18"/>
              </w:rPr>
              <w:t>0.00264</w:t>
            </w:r>
          </w:p>
        </w:tc>
        <w:tc>
          <w:tcPr>
            <w:tcW w:w="1361" w:type="dxa"/>
            <w:shd w:val="clear" w:color="000000" w:fill="FFFFFF"/>
            <w:noWrap/>
            <w:hideMark/>
          </w:tcPr>
          <w:p w14:paraId="7FE86DC5" w14:textId="77777777" w:rsidR="008E2ED2" w:rsidRPr="0018386D" w:rsidRDefault="008E2ED2" w:rsidP="00DD3106">
            <w:pPr>
              <w:pStyle w:val="TableText"/>
              <w:spacing w:before="30" w:after="20"/>
              <w:rPr>
                <w:rFonts w:cs="Calibri"/>
                <w:szCs w:val="18"/>
              </w:rPr>
            </w:pPr>
            <w:r w:rsidRPr="0018386D">
              <w:rPr>
                <w:rFonts w:cs="Calibri"/>
                <w:szCs w:val="18"/>
              </w:rPr>
              <w:t>0.00606</w:t>
            </w:r>
          </w:p>
        </w:tc>
      </w:tr>
      <w:tr w:rsidR="001F49EB" w:rsidRPr="0018386D" w14:paraId="3AA32760" w14:textId="77777777" w:rsidTr="00A453CD">
        <w:trPr>
          <w:divId w:val="1127504634"/>
        </w:trPr>
        <w:tc>
          <w:tcPr>
            <w:tcW w:w="1361" w:type="dxa"/>
            <w:tcBorders>
              <w:top w:val="nil"/>
              <w:bottom w:val="nil"/>
              <w:right w:val="single" w:sz="4" w:space="0" w:color="auto"/>
            </w:tcBorders>
            <w:shd w:val="clear" w:color="000000" w:fill="FFFFFF"/>
            <w:noWrap/>
            <w:hideMark/>
          </w:tcPr>
          <w:p w14:paraId="21A4C513"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92934FB" w14:textId="6BB54546" w:rsidR="008E2ED2" w:rsidRPr="0018386D" w:rsidRDefault="008E2ED2" w:rsidP="00DD3106">
            <w:pPr>
              <w:pStyle w:val="TableText"/>
              <w:spacing w:before="30" w:after="20"/>
              <w:rPr>
                <w:rFonts w:cs="Calibri"/>
                <w:szCs w:val="18"/>
              </w:rPr>
            </w:pPr>
            <w:r w:rsidRPr="0018386D">
              <w:rPr>
                <w:rFonts w:cs="Calibri"/>
                <w:szCs w:val="18"/>
              </w:rPr>
              <w:t>1600</w:t>
            </w:r>
            <w:r w:rsidR="00ED00D8" w:rsidRPr="0018386D">
              <w:rPr>
                <w:rFonts w:cs="Calibri"/>
                <w:szCs w:val="18"/>
              </w:rPr>
              <w:t>–</w:t>
            </w:r>
            <w:r w:rsidRPr="0018386D">
              <w:rPr>
                <w:rFonts w:cs="Calibri"/>
                <w:szCs w:val="18"/>
              </w:rPr>
              <w:t>&lt;2000 cc</w:t>
            </w:r>
          </w:p>
        </w:tc>
        <w:tc>
          <w:tcPr>
            <w:tcW w:w="567" w:type="dxa"/>
            <w:shd w:val="clear" w:color="000000" w:fill="FFFFFF"/>
            <w:noWrap/>
            <w:hideMark/>
          </w:tcPr>
          <w:p w14:paraId="4CE25B2C"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22D08698" w14:textId="77777777" w:rsidR="008E2ED2" w:rsidRPr="0018386D" w:rsidRDefault="008E2ED2" w:rsidP="00DD3106">
            <w:pPr>
              <w:pStyle w:val="TableText"/>
              <w:spacing w:before="30" w:after="20"/>
              <w:rPr>
                <w:rFonts w:cs="Calibri"/>
                <w:szCs w:val="18"/>
              </w:rPr>
            </w:pPr>
            <w:r w:rsidRPr="0018386D">
              <w:rPr>
                <w:rFonts w:cs="Calibri"/>
                <w:szCs w:val="18"/>
              </w:rPr>
              <w:t>0.283</w:t>
            </w:r>
          </w:p>
        </w:tc>
        <w:tc>
          <w:tcPr>
            <w:tcW w:w="1361" w:type="dxa"/>
            <w:shd w:val="clear" w:color="000000" w:fill="FFFFFF"/>
            <w:noWrap/>
            <w:hideMark/>
          </w:tcPr>
          <w:p w14:paraId="34C8465E" w14:textId="77777777" w:rsidR="008E2ED2" w:rsidRPr="0018386D" w:rsidRDefault="008E2ED2" w:rsidP="00DD3106">
            <w:pPr>
              <w:pStyle w:val="TableText"/>
              <w:spacing w:before="30" w:after="20"/>
              <w:rPr>
                <w:rFonts w:cs="Calibri"/>
                <w:szCs w:val="18"/>
              </w:rPr>
            </w:pPr>
            <w:r w:rsidRPr="0018386D">
              <w:rPr>
                <w:rFonts w:cs="Calibri"/>
                <w:szCs w:val="18"/>
              </w:rPr>
              <w:t>0.271</w:t>
            </w:r>
          </w:p>
        </w:tc>
        <w:tc>
          <w:tcPr>
            <w:tcW w:w="1361" w:type="dxa"/>
            <w:shd w:val="clear" w:color="000000" w:fill="FFFFFF"/>
            <w:noWrap/>
            <w:hideMark/>
          </w:tcPr>
          <w:p w14:paraId="02405320" w14:textId="77777777" w:rsidR="008E2ED2" w:rsidRPr="0018386D" w:rsidRDefault="008E2ED2" w:rsidP="00DD3106">
            <w:pPr>
              <w:pStyle w:val="TableText"/>
              <w:spacing w:before="30" w:after="20"/>
              <w:rPr>
                <w:rFonts w:cs="Calibri"/>
                <w:szCs w:val="18"/>
              </w:rPr>
            </w:pPr>
            <w:r w:rsidRPr="0018386D">
              <w:rPr>
                <w:rFonts w:cs="Calibri"/>
                <w:szCs w:val="18"/>
              </w:rPr>
              <w:t>0.00356</w:t>
            </w:r>
          </w:p>
        </w:tc>
        <w:tc>
          <w:tcPr>
            <w:tcW w:w="1361" w:type="dxa"/>
            <w:shd w:val="clear" w:color="000000" w:fill="FFFFFF"/>
            <w:noWrap/>
            <w:hideMark/>
          </w:tcPr>
          <w:p w14:paraId="78C1B755" w14:textId="77777777" w:rsidR="008E2ED2" w:rsidRPr="0018386D" w:rsidRDefault="008E2ED2" w:rsidP="00DD3106">
            <w:pPr>
              <w:pStyle w:val="TableText"/>
              <w:spacing w:before="30" w:after="20"/>
              <w:rPr>
                <w:rFonts w:cs="Calibri"/>
                <w:szCs w:val="18"/>
              </w:rPr>
            </w:pPr>
            <w:r w:rsidRPr="0018386D">
              <w:rPr>
                <w:rFonts w:cs="Calibri"/>
                <w:szCs w:val="18"/>
              </w:rPr>
              <w:t>0.00817</w:t>
            </w:r>
          </w:p>
        </w:tc>
      </w:tr>
      <w:tr w:rsidR="001F49EB" w:rsidRPr="0018386D" w14:paraId="64B09D77" w14:textId="77777777" w:rsidTr="00A453CD">
        <w:trPr>
          <w:divId w:val="1127504634"/>
        </w:trPr>
        <w:tc>
          <w:tcPr>
            <w:tcW w:w="1361" w:type="dxa"/>
            <w:tcBorders>
              <w:top w:val="nil"/>
              <w:bottom w:val="nil"/>
              <w:right w:val="single" w:sz="4" w:space="0" w:color="auto"/>
            </w:tcBorders>
            <w:shd w:val="clear" w:color="000000" w:fill="FFFFFF"/>
            <w:noWrap/>
            <w:hideMark/>
          </w:tcPr>
          <w:p w14:paraId="202A6338"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152D30EA" w14:textId="242F7862" w:rsidR="008E2ED2" w:rsidRPr="0018386D" w:rsidRDefault="008E2ED2" w:rsidP="00DD3106">
            <w:pPr>
              <w:pStyle w:val="TableText"/>
              <w:spacing w:before="30" w:after="20"/>
              <w:rPr>
                <w:rFonts w:cs="Calibri"/>
                <w:szCs w:val="18"/>
              </w:rPr>
            </w:pPr>
            <w:r w:rsidRPr="0018386D">
              <w:rPr>
                <w:rFonts w:cs="Calibri"/>
                <w:szCs w:val="18"/>
              </w:rPr>
              <w:t>2000</w:t>
            </w:r>
            <w:r w:rsidR="00ED00D8" w:rsidRPr="0018386D">
              <w:rPr>
                <w:rFonts w:cs="Calibri"/>
                <w:szCs w:val="18"/>
              </w:rPr>
              <w:t>–</w:t>
            </w:r>
            <w:r w:rsidRPr="0018386D">
              <w:rPr>
                <w:rFonts w:cs="Calibri"/>
                <w:szCs w:val="18"/>
              </w:rPr>
              <w:t>&lt;3000 cc</w:t>
            </w:r>
          </w:p>
        </w:tc>
        <w:tc>
          <w:tcPr>
            <w:tcW w:w="567" w:type="dxa"/>
            <w:shd w:val="clear" w:color="000000" w:fill="FFFFFF"/>
            <w:noWrap/>
            <w:hideMark/>
          </w:tcPr>
          <w:p w14:paraId="01BA451F"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1FA6E02" w14:textId="77777777" w:rsidR="008E2ED2" w:rsidRPr="0018386D" w:rsidRDefault="008E2ED2" w:rsidP="00DD3106">
            <w:pPr>
              <w:pStyle w:val="TableText"/>
              <w:spacing w:before="30" w:after="20"/>
              <w:rPr>
                <w:rFonts w:cs="Calibri"/>
                <w:szCs w:val="18"/>
              </w:rPr>
            </w:pPr>
            <w:r w:rsidRPr="0018386D">
              <w:rPr>
                <w:rFonts w:cs="Calibri"/>
                <w:szCs w:val="18"/>
              </w:rPr>
              <w:t>0.299</w:t>
            </w:r>
          </w:p>
        </w:tc>
        <w:tc>
          <w:tcPr>
            <w:tcW w:w="1361" w:type="dxa"/>
            <w:shd w:val="clear" w:color="000000" w:fill="FFFFFF"/>
            <w:noWrap/>
            <w:hideMark/>
          </w:tcPr>
          <w:p w14:paraId="5F5B21F6" w14:textId="77777777" w:rsidR="008E2ED2" w:rsidRPr="0018386D" w:rsidRDefault="008E2ED2" w:rsidP="00DD3106">
            <w:pPr>
              <w:pStyle w:val="TableText"/>
              <w:spacing w:before="30" w:after="20"/>
              <w:rPr>
                <w:rFonts w:cs="Calibri"/>
                <w:szCs w:val="18"/>
              </w:rPr>
            </w:pPr>
            <w:r w:rsidRPr="0018386D">
              <w:rPr>
                <w:rFonts w:cs="Calibri"/>
                <w:szCs w:val="18"/>
              </w:rPr>
              <w:t>0.287</w:t>
            </w:r>
          </w:p>
        </w:tc>
        <w:tc>
          <w:tcPr>
            <w:tcW w:w="1361" w:type="dxa"/>
            <w:shd w:val="clear" w:color="000000" w:fill="FFFFFF"/>
            <w:noWrap/>
            <w:hideMark/>
          </w:tcPr>
          <w:p w14:paraId="4632C60A" w14:textId="77777777" w:rsidR="008E2ED2" w:rsidRPr="0018386D" w:rsidRDefault="008E2ED2" w:rsidP="00DD3106">
            <w:pPr>
              <w:pStyle w:val="TableText"/>
              <w:spacing w:before="30" w:after="20"/>
              <w:rPr>
                <w:rFonts w:cs="Calibri"/>
                <w:szCs w:val="18"/>
              </w:rPr>
            </w:pPr>
            <w:r w:rsidRPr="0018386D">
              <w:rPr>
                <w:rFonts w:cs="Calibri"/>
                <w:szCs w:val="18"/>
              </w:rPr>
              <w:t>0.00377</w:t>
            </w:r>
          </w:p>
        </w:tc>
        <w:tc>
          <w:tcPr>
            <w:tcW w:w="1361" w:type="dxa"/>
            <w:shd w:val="clear" w:color="000000" w:fill="FFFFFF"/>
            <w:noWrap/>
            <w:hideMark/>
          </w:tcPr>
          <w:p w14:paraId="24E44826" w14:textId="77777777" w:rsidR="008E2ED2" w:rsidRPr="0018386D" w:rsidRDefault="008E2ED2" w:rsidP="00DD3106">
            <w:pPr>
              <w:pStyle w:val="TableText"/>
              <w:spacing w:before="30" w:after="20"/>
              <w:rPr>
                <w:rFonts w:cs="Calibri"/>
                <w:szCs w:val="18"/>
              </w:rPr>
            </w:pPr>
            <w:r w:rsidRPr="0018386D">
              <w:rPr>
                <w:rFonts w:cs="Calibri"/>
                <w:szCs w:val="18"/>
              </w:rPr>
              <w:t>0.00864</w:t>
            </w:r>
          </w:p>
        </w:tc>
      </w:tr>
      <w:tr w:rsidR="001F49EB" w:rsidRPr="0018386D" w14:paraId="2024BB56"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6695B8E4"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18E2FACB"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56BBE9CE"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2055630" w14:textId="77777777" w:rsidR="008E2ED2" w:rsidRPr="0018386D" w:rsidRDefault="008E2ED2" w:rsidP="00DD3106">
            <w:pPr>
              <w:pStyle w:val="TableText"/>
              <w:spacing w:before="30" w:after="20"/>
              <w:rPr>
                <w:rFonts w:cs="Calibri"/>
                <w:szCs w:val="18"/>
              </w:rPr>
            </w:pPr>
            <w:r w:rsidRPr="0018386D">
              <w:rPr>
                <w:rFonts w:cs="Calibri"/>
                <w:szCs w:val="18"/>
              </w:rPr>
              <w:t>0.341</w:t>
            </w:r>
          </w:p>
        </w:tc>
        <w:tc>
          <w:tcPr>
            <w:tcW w:w="1361" w:type="dxa"/>
            <w:shd w:val="clear" w:color="000000" w:fill="FFFFFF"/>
            <w:noWrap/>
            <w:hideMark/>
          </w:tcPr>
          <w:p w14:paraId="21C81474" w14:textId="77777777" w:rsidR="008E2ED2" w:rsidRPr="0018386D" w:rsidRDefault="008E2ED2" w:rsidP="00DD3106">
            <w:pPr>
              <w:pStyle w:val="TableText"/>
              <w:spacing w:before="30" w:after="20"/>
              <w:rPr>
                <w:rFonts w:cs="Calibri"/>
                <w:szCs w:val="18"/>
              </w:rPr>
            </w:pPr>
            <w:r w:rsidRPr="0018386D">
              <w:rPr>
                <w:rFonts w:cs="Calibri"/>
                <w:szCs w:val="18"/>
              </w:rPr>
              <w:t>0.327</w:t>
            </w:r>
          </w:p>
        </w:tc>
        <w:tc>
          <w:tcPr>
            <w:tcW w:w="1361" w:type="dxa"/>
            <w:shd w:val="clear" w:color="000000" w:fill="FFFFFF"/>
            <w:noWrap/>
            <w:hideMark/>
          </w:tcPr>
          <w:p w14:paraId="13C575A5" w14:textId="77777777" w:rsidR="008E2ED2" w:rsidRPr="0018386D" w:rsidRDefault="008E2ED2" w:rsidP="00DD3106">
            <w:pPr>
              <w:pStyle w:val="TableText"/>
              <w:spacing w:before="30" w:after="20"/>
              <w:rPr>
                <w:rFonts w:cs="Calibri"/>
                <w:szCs w:val="18"/>
              </w:rPr>
            </w:pPr>
            <w:r w:rsidRPr="0018386D">
              <w:rPr>
                <w:rFonts w:cs="Calibri"/>
                <w:szCs w:val="18"/>
              </w:rPr>
              <w:t>0.00430</w:t>
            </w:r>
          </w:p>
        </w:tc>
        <w:tc>
          <w:tcPr>
            <w:tcW w:w="1361" w:type="dxa"/>
            <w:shd w:val="clear" w:color="000000" w:fill="FFFFFF"/>
            <w:noWrap/>
            <w:hideMark/>
          </w:tcPr>
          <w:p w14:paraId="193EFAB5" w14:textId="77777777" w:rsidR="008E2ED2" w:rsidRPr="0018386D" w:rsidRDefault="008E2ED2" w:rsidP="00DD3106">
            <w:pPr>
              <w:pStyle w:val="TableText"/>
              <w:spacing w:before="30" w:after="20"/>
              <w:rPr>
                <w:rFonts w:cs="Calibri"/>
                <w:szCs w:val="18"/>
              </w:rPr>
            </w:pPr>
            <w:r w:rsidRPr="0018386D">
              <w:rPr>
                <w:rFonts w:cs="Calibri"/>
                <w:szCs w:val="18"/>
              </w:rPr>
              <w:t>0.00987</w:t>
            </w:r>
          </w:p>
        </w:tc>
      </w:tr>
      <w:tr w:rsidR="001F49EB" w:rsidRPr="0018386D" w14:paraId="3A1044E4"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3C3393F4" w14:textId="77777777" w:rsidR="008E2ED2" w:rsidRPr="0018386D" w:rsidRDefault="008E2ED2" w:rsidP="00DD3106">
            <w:pPr>
              <w:pStyle w:val="TableText"/>
              <w:spacing w:before="30" w:after="20"/>
              <w:rPr>
                <w:rFonts w:cs="Calibri"/>
                <w:szCs w:val="18"/>
              </w:rPr>
            </w:pPr>
            <w:r w:rsidRPr="0018386D">
              <w:rPr>
                <w:rFonts w:cs="Calibri"/>
                <w:szCs w:val="18"/>
              </w:rPr>
              <w:t>Diesel</w:t>
            </w:r>
          </w:p>
        </w:tc>
        <w:tc>
          <w:tcPr>
            <w:tcW w:w="1418" w:type="dxa"/>
            <w:tcBorders>
              <w:left w:val="single" w:sz="4" w:space="0" w:color="auto"/>
            </w:tcBorders>
            <w:shd w:val="clear" w:color="000000" w:fill="FFFFFF"/>
            <w:noWrap/>
            <w:hideMark/>
          </w:tcPr>
          <w:p w14:paraId="21BFDCF2"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588BF991"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CF21EB9" w14:textId="77777777" w:rsidR="008E2ED2" w:rsidRPr="0018386D" w:rsidRDefault="008E2ED2" w:rsidP="00DD3106">
            <w:pPr>
              <w:pStyle w:val="TableText"/>
              <w:spacing w:before="30" w:after="20"/>
              <w:rPr>
                <w:rFonts w:cs="Calibri"/>
                <w:szCs w:val="18"/>
              </w:rPr>
            </w:pPr>
            <w:r w:rsidRPr="0018386D">
              <w:rPr>
                <w:rFonts w:cs="Calibri"/>
                <w:szCs w:val="18"/>
              </w:rPr>
              <w:t>0.200</w:t>
            </w:r>
          </w:p>
        </w:tc>
        <w:tc>
          <w:tcPr>
            <w:tcW w:w="1361" w:type="dxa"/>
            <w:shd w:val="clear" w:color="000000" w:fill="FFFFFF"/>
            <w:noWrap/>
            <w:hideMark/>
          </w:tcPr>
          <w:p w14:paraId="3F915A07" w14:textId="77777777" w:rsidR="008E2ED2" w:rsidRPr="0018386D" w:rsidRDefault="008E2ED2" w:rsidP="00DD3106">
            <w:pPr>
              <w:pStyle w:val="TableText"/>
              <w:spacing w:before="30" w:after="20"/>
              <w:rPr>
                <w:rFonts w:cs="Calibri"/>
                <w:szCs w:val="18"/>
              </w:rPr>
            </w:pPr>
            <w:r w:rsidRPr="0018386D">
              <w:rPr>
                <w:rFonts w:cs="Calibri"/>
                <w:szCs w:val="18"/>
              </w:rPr>
              <w:t>0.197</w:t>
            </w:r>
          </w:p>
        </w:tc>
        <w:tc>
          <w:tcPr>
            <w:tcW w:w="1361" w:type="dxa"/>
            <w:shd w:val="clear" w:color="000000" w:fill="FFFFFF"/>
            <w:noWrap/>
            <w:hideMark/>
          </w:tcPr>
          <w:p w14:paraId="46378892"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5B7F348F" w14:textId="77777777" w:rsidR="008E2ED2" w:rsidRPr="0018386D" w:rsidRDefault="008E2ED2" w:rsidP="00DD3106">
            <w:pPr>
              <w:pStyle w:val="TableText"/>
              <w:spacing w:before="30" w:after="20"/>
              <w:rPr>
                <w:rFonts w:cs="Calibri"/>
                <w:szCs w:val="18"/>
              </w:rPr>
            </w:pPr>
            <w:r w:rsidRPr="0018386D">
              <w:rPr>
                <w:rFonts w:cs="Calibri"/>
                <w:szCs w:val="18"/>
              </w:rPr>
              <w:t>0.00279</w:t>
            </w:r>
          </w:p>
        </w:tc>
      </w:tr>
      <w:tr w:rsidR="001F49EB" w:rsidRPr="0018386D" w14:paraId="2E8C1525" w14:textId="77777777" w:rsidTr="00A453CD">
        <w:trPr>
          <w:divId w:val="1127504634"/>
        </w:trPr>
        <w:tc>
          <w:tcPr>
            <w:tcW w:w="1361" w:type="dxa"/>
            <w:tcBorders>
              <w:top w:val="nil"/>
              <w:bottom w:val="nil"/>
              <w:right w:val="single" w:sz="4" w:space="0" w:color="auto"/>
            </w:tcBorders>
            <w:shd w:val="clear" w:color="000000" w:fill="FFFFFF"/>
            <w:noWrap/>
            <w:hideMark/>
          </w:tcPr>
          <w:p w14:paraId="1D2FAABC"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8B5A1D9" w14:textId="4C2A0079" w:rsidR="008E2ED2" w:rsidRPr="0018386D" w:rsidRDefault="008E2ED2" w:rsidP="00DD3106">
            <w:pPr>
              <w:pStyle w:val="TableText"/>
              <w:spacing w:before="30" w:after="20"/>
              <w:rPr>
                <w:rFonts w:cs="Calibri"/>
                <w:szCs w:val="18"/>
              </w:rPr>
            </w:pPr>
            <w:r w:rsidRPr="0018386D">
              <w:rPr>
                <w:rFonts w:cs="Calibri"/>
                <w:szCs w:val="18"/>
              </w:rPr>
              <w:t>1350</w:t>
            </w:r>
            <w:r w:rsidR="00ED00D8" w:rsidRPr="0018386D">
              <w:rPr>
                <w:rFonts w:cs="Calibri"/>
                <w:szCs w:val="18"/>
              </w:rPr>
              <w:t>–</w:t>
            </w:r>
            <w:r w:rsidRPr="0018386D">
              <w:rPr>
                <w:rFonts w:cs="Calibri"/>
                <w:szCs w:val="18"/>
              </w:rPr>
              <w:t>&lt;1600 cc</w:t>
            </w:r>
          </w:p>
        </w:tc>
        <w:tc>
          <w:tcPr>
            <w:tcW w:w="567" w:type="dxa"/>
            <w:shd w:val="clear" w:color="000000" w:fill="FFFFFF"/>
            <w:noWrap/>
            <w:hideMark/>
          </w:tcPr>
          <w:p w14:paraId="7B0EDA78"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3E0293B" w14:textId="77777777" w:rsidR="008E2ED2" w:rsidRPr="0018386D" w:rsidRDefault="008E2ED2" w:rsidP="00DD3106">
            <w:pPr>
              <w:pStyle w:val="TableText"/>
              <w:spacing w:before="30" w:after="20"/>
              <w:rPr>
                <w:rFonts w:cs="Calibri"/>
                <w:szCs w:val="18"/>
              </w:rPr>
            </w:pPr>
            <w:r w:rsidRPr="0018386D">
              <w:rPr>
                <w:rFonts w:cs="Calibri"/>
                <w:szCs w:val="18"/>
              </w:rPr>
              <w:t>0.193</w:t>
            </w:r>
          </w:p>
        </w:tc>
        <w:tc>
          <w:tcPr>
            <w:tcW w:w="1361" w:type="dxa"/>
            <w:shd w:val="clear" w:color="000000" w:fill="FFFFFF"/>
            <w:noWrap/>
            <w:hideMark/>
          </w:tcPr>
          <w:p w14:paraId="499A64D2" w14:textId="77777777" w:rsidR="008E2ED2" w:rsidRPr="0018386D" w:rsidRDefault="008E2ED2" w:rsidP="00DD3106">
            <w:pPr>
              <w:pStyle w:val="TableText"/>
              <w:spacing w:before="30" w:after="20"/>
              <w:rPr>
                <w:rFonts w:cs="Calibri"/>
                <w:szCs w:val="18"/>
              </w:rPr>
            </w:pPr>
            <w:r w:rsidRPr="0018386D">
              <w:rPr>
                <w:rFonts w:cs="Calibri"/>
                <w:szCs w:val="18"/>
              </w:rPr>
              <w:t>0.190</w:t>
            </w:r>
          </w:p>
        </w:tc>
        <w:tc>
          <w:tcPr>
            <w:tcW w:w="1361" w:type="dxa"/>
            <w:shd w:val="clear" w:color="000000" w:fill="FFFFFF"/>
            <w:noWrap/>
            <w:hideMark/>
          </w:tcPr>
          <w:p w14:paraId="431AA275"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6FD737FF" w14:textId="77777777" w:rsidR="008E2ED2" w:rsidRPr="0018386D" w:rsidRDefault="008E2ED2" w:rsidP="00DD3106">
            <w:pPr>
              <w:pStyle w:val="TableText"/>
              <w:spacing w:before="30" w:after="20"/>
              <w:rPr>
                <w:rFonts w:cs="Calibri"/>
                <w:szCs w:val="18"/>
              </w:rPr>
            </w:pPr>
            <w:r w:rsidRPr="0018386D">
              <w:rPr>
                <w:rFonts w:cs="Calibri"/>
                <w:szCs w:val="18"/>
              </w:rPr>
              <w:t>0.00268</w:t>
            </w:r>
          </w:p>
        </w:tc>
      </w:tr>
      <w:tr w:rsidR="001F49EB" w:rsidRPr="0018386D" w14:paraId="564D21F6" w14:textId="77777777" w:rsidTr="00A453CD">
        <w:trPr>
          <w:divId w:val="1127504634"/>
        </w:trPr>
        <w:tc>
          <w:tcPr>
            <w:tcW w:w="1361" w:type="dxa"/>
            <w:tcBorders>
              <w:top w:val="nil"/>
              <w:bottom w:val="nil"/>
              <w:right w:val="single" w:sz="4" w:space="0" w:color="auto"/>
            </w:tcBorders>
            <w:shd w:val="clear" w:color="000000" w:fill="FFFFFF"/>
            <w:noWrap/>
            <w:hideMark/>
          </w:tcPr>
          <w:p w14:paraId="4F13E84F" w14:textId="77777777" w:rsidR="008E2ED2" w:rsidRPr="0018386D" w:rsidRDefault="008E2ED2" w:rsidP="00DD3106">
            <w:pPr>
              <w:pStyle w:val="TableText"/>
              <w:spacing w:before="30" w:after="20"/>
              <w:rPr>
                <w:rFonts w:cs="Calibri"/>
                <w:szCs w:val="18"/>
              </w:rPr>
            </w:pPr>
            <w:r w:rsidRPr="0018386D">
              <w:rPr>
                <w:rFonts w:cs="Calibri"/>
                <w:szCs w:val="18"/>
              </w:rPr>
              <w:lastRenderedPageBreak/>
              <w:t> </w:t>
            </w:r>
          </w:p>
        </w:tc>
        <w:tc>
          <w:tcPr>
            <w:tcW w:w="1418" w:type="dxa"/>
            <w:tcBorders>
              <w:left w:val="single" w:sz="4" w:space="0" w:color="auto"/>
            </w:tcBorders>
            <w:shd w:val="clear" w:color="000000" w:fill="FFFFFF"/>
            <w:noWrap/>
            <w:hideMark/>
          </w:tcPr>
          <w:p w14:paraId="49C3FD8F" w14:textId="0260F6A1" w:rsidR="008E2ED2" w:rsidRPr="0018386D" w:rsidRDefault="008E2ED2" w:rsidP="00DD3106">
            <w:pPr>
              <w:pStyle w:val="TableText"/>
              <w:spacing w:before="30" w:after="20"/>
              <w:rPr>
                <w:rFonts w:cs="Calibri"/>
                <w:szCs w:val="18"/>
              </w:rPr>
            </w:pPr>
            <w:r w:rsidRPr="0018386D">
              <w:rPr>
                <w:rFonts w:cs="Calibri"/>
                <w:szCs w:val="18"/>
              </w:rPr>
              <w:t>1600</w:t>
            </w:r>
            <w:r w:rsidR="00ED00D8" w:rsidRPr="0018386D">
              <w:rPr>
                <w:rFonts w:cs="Calibri"/>
                <w:szCs w:val="18"/>
              </w:rPr>
              <w:t>–</w:t>
            </w:r>
            <w:r w:rsidRPr="0018386D">
              <w:rPr>
                <w:rFonts w:cs="Calibri"/>
                <w:szCs w:val="18"/>
              </w:rPr>
              <w:t>&lt;2000 cc</w:t>
            </w:r>
          </w:p>
        </w:tc>
        <w:tc>
          <w:tcPr>
            <w:tcW w:w="567" w:type="dxa"/>
            <w:shd w:val="clear" w:color="000000" w:fill="FFFFFF"/>
            <w:noWrap/>
            <w:hideMark/>
          </w:tcPr>
          <w:p w14:paraId="7EE32F23"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C9449E6" w14:textId="77777777" w:rsidR="008E2ED2" w:rsidRPr="0018386D" w:rsidRDefault="008E2ED2" w:rsidP="00DD3106">
            <w:pPr>
              <w:pStyle w:val="TableText"/>
              <w:spacing w:before="30" w:after="20"/>
              <w:rPr>
                <w:rFonts w:cs="Calibri"/>
                <w:szCs w:val="18"/>
              </w:rPr>
            </w:pPr>
            <w:r w:rsidRPr="0018386D">
              <w:rPr>
                <w:rFonts w:cs="Calibri"/>
                <w:szCs w:val="18"/>
              </w:rPr>
              <w:t>0.256</w:t>
            </w:r>
          </w:p>
        </w:tc>
        <w:tc>
          <w:tcPr>
            <w:tcW w:w="1361" w:type="dxa"/>
            <w:shd w:val="clear" w:color="000000" w:fill="FFFFFF"/>
            <w:noWrap/>
            <w:hideMark/>
          </w:tcPr>
          <w:p w14:paraId="0FE3E3E2" w14:textId="77777777" w:rsidR="008E2ED2" w:rsidRPr="0018386D" w:rsidRDefault="008E2ED2" w:rsidP="00DD3106">
            <w:pPr>
              <w:pStyle w:val="TableText"/>
              <w:spacing w:before="30" w:after="20"/>
              <w:rPr>
                <w:rFonts w:cs="Calibri"/>
                <w:szCs w:val="18"/>
              </w:rPr>
            </w:pPr>
            <w:r w:rsidRPr="0018386D">
              <w:rPr>
                <w:rFonts w:cs="Calibri"/>
                <w:szCs w:val="18"/>
              </w:rPr>
              <w:t>0.252</w:t>
            </w:r>
          </w:p>
        </w:tc>
        <w:tc>
          <w:tcPr>
            <w:tcW w:w="1361" w:type="dxa"/>
            <w:shd w:val="clear" w:color="000000" w:fill="FFFFFF"/>
            <w:noWrap/>
            <w:hideMark/>
          </w:tcPr>
          <w:p w14:paraId="34AA1B29" w14:textId="77777777" w:rsidR="008E2ED2" w:rsidRPr="0018386D" w:rsidRDefault="008E2ED2" w:rsidP="00DD3106">
            <w:pPr>
              <w:pStyle w:val="TableText"/>
              <w:spacing w:before="30" w:after="20"/>
              <w:rPr>
                <w:rFonts w:cs="Calibri"/>
                <w:szCs w:val="18"/>
              </w:rPr>
            </w:pPr>
            <w:r w:rsidRPr="0018386D">
              <w:rPr>
                <w:rFonts w:cs="Calibri"/>
                <w:szCs w:val="18"/>
              </w:rPr>
              <w:t>0.0004</w:t>
            </w:r>
          </w:p>
        </w:tc>
        <w:tc>
          <w:tcPr>
            <w:tcW w:w="1361" w:type="dxa"/>
            <w:shd w:val="clear" w:color="000000" w:fill="FFFFFF"/>
            <w:noWrap/>
            <w:hideMark/>
          </w:tcPr>
          <w:p w14:paraId="7CE0C75C" w14:textId="77777777" w:rsidR="008E2ED2" w:rsidRPr="0018386D" w:rsidRDefault="008E2ED2" w:rsidP="00DD3106">
            <w:pPr>
              <w:pStyle w:val="TableText"/>
              <w:spacing w:before="30" w:after="20"/>
              <w:rPr>
                <w:rFonts w:cs="Calibri"/>
                <w:szCs w:val="18"/>
              </w:rPr>
            </w:pPr>
            <w:r w:rsidRPr="0018386D">
              <w:rPr>
                <w:rFonts w:cs="Calibri"/>
                <w:szCs w:val="18"/>
              </w:rPr>
              <w:t>0.00357</w:t>
            </w:r>
          </w:p>
        </w:tc>
      </w:tr>
      <w:tr w:rsidR="001F49EB" w:rsidRPr="0018386D" w14:paraId="0BCBD265" w14:textId="77777777" w:rsidTr="00A453CD">
        <w:trPr>
          <w:divId w:val="1127504634"/>
        </w:trPr>
        <w:tc>
          <w:tcPr>
            <w:tcW w:w="1361" w:type="dxa"/>
            <w:tcBorders>
              <w:top w:val="nil"/>
              <w:bottom w:val="nil"/>
              <w:right w:val="single" w:sz="4" w:space="0" w:color="auto"/>
            </w:tcBorders>
            <w:shd w:val="clear" w:color="000000" w:fill="FFFFFF"/>
            <w:noWrap/>
            <w:hideMark/>
          </w:tcPr>
          <w:p w14:paraId="681CB8DA"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30EC5EE9" w14:textId="5CE23BB4" w:rsidR="008E2ED2" w:rsidRPr="0018386D" w:rsidRDefault="008E2ED2" w:rsidP="00DD3106">
            <w:pPr>
              <w:pStyle w:val="TableText"/>
              <w:spacing w:before="30" w:after="20"/>
              <w:rPr>
                <w:rFonts w:cs="Calibri"/>
                <w:szCs w:val="18"/>
              </w:rPr>
            </w:pPr>
            <w:r w:rsidRPr="0018386D">
              <w:rPr>
                <w:rFonts w:cs="Calibri"/>
                <w:szCs w:val="18"/>
              </w:rPr>
              <w:t>2000</w:t>
            </w:r>
            <w:r w:rsidR="00ED00D8" w:rsidRPr="0018386D">
              <w:rPr>
                <w:rFonts w:cs="Calibri"/>
                <w:szCs w:val="18"/>
              </w:rPr>
              <w:t>–</w:t>
            </w:r>
            <w:r w:rsidRPr="0018386D">
              <w:rPr>
                <w:rFonts w:cs="Calibri"/>
                <w:szCs w:val="18"/>
              </w:rPr>
              <w:t>&lt;3000 cc</w:t>
            </w:r>
          </w:p>
        </w:tc>
        <w:tc>
          <w:tcPr>
            <w:tcW w:w="567" w:type="dxa"/>
            <w:shd w:val="clear" w:color="000000" w:fill="FFFFFF"/>
            <w:noWrap/>
            <w:hideMark/>
          </w:tcPr>
          <w:p w14:paraId="7701D0B5"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1BB09536" w14:textId="77777777" w:rsidR="008E2ED2" w:rsidRPr="0018386D" w:rsidRDefault="008E2ED2" w:rsidP="00DD3106">
            <w:pPr>
              <w:pStyle w:val="TableText"/>
              <w:spacing w:before="30" w:after="20"/>
              <w:rPr>
                <w:rFonts w:cs="Calibri"/>
                <w:szCs w:val="18"/>
              </w:rPr>
            </w:pPr>
            <w:r w:rsidRPr="0018386D">
              <w:rPr>
                <w:rFonts w:cs="Calibri"/>
                <w:szCs w:val="18"/>
              </w:rPr>
              <w:t>0.275</w:t>
            </w:r>
          </w:p>
        </w:tc>
        <w:tc>
          <w:tcPr>
            <w:tcW w:w="1361" w:type="dxa"/>
            <w:shd w:val="clear" w:color="000000" w:fill="FFFFFF"/>
            <w:noWrap/>
            <w:hideMark/>
          </w:tcPr>
          <w:p w14:paraId="6058E9FE" w14:textId="77777777" w:rsidR="008E2ED2" w:rsidRPr="0018386D" w:rsidRDefault="008E2ED2" w:rsidP="00DD3106">
            <w:pPr>
              <w:pStyle w:val="TableText"/>
              <w:spacing w:before="30" w:after="20"/>
              <w:rPr>
                <w:rFonts w:cs="Calibri"/>
                <w:szCs w:val="18"/>
              </w:rPr>
            </w:pPr>
            <w:r w:rsidRPr="0018386D">
              <w:rPr>
                <w:rFonts w:cs="Calibri"/>
                <w:szCs w:val="18"/>
              </w:rPr>
              <w:t>0.271</w:t>
            </w:r>
          </w:p>
        </w:tc>
        <w:tc>
          <w:tcPr>
            <w:tcW w:w="1361" w:type="dxa"/>
            <w:shd w:val="clear" w:color="000000" w:fill="FFFFFF"/>
            <w:noWrap/>
            <w:hideMark/>
          </w:tcPr>
          <w:p w14:paraId="4E15AA03" w14:textId="77777777" w:rsidR="008E2ED2" w:rsidRPr="0018386D" w:rsidRDefault="008E2ED2" w:rsidP="00DD3106">
            <w:pPr>
              <w:pStyle w:val="TableText"/>
              <w:spacing w:before="30" w:after="20"/>
              <w:rPr>
                <w:rFonts w:cs="Calibri"/>
                <w:szCs w:val="18"/>
              </w:rPr>
            </w:pPr>
            <w:r w:rsidRPr="0018386D">
              <w:rPr>
                <w:rFonts w:cs="Calibri"/>
                <w:szCs w:val="18"/>
              </w:rPr>
              <w:t>0.0004</w:t>
            </w:r>
          </w:p>
        </w:tc>
        <w:tc>
          <w:tcPr>
            <w:tcW w:w="1361" w:type="dxa"/>
            <w:shd w:val="clear" w:color="000000" w:fill="FFFFFF"/>
            <w:noWrap/>
            <w:hideMark/>
          </w:tcPr>
          <w:p w14:paraId="30280EC8" w14:textId="77777777" w:rsidR="008E2ED2" w:rsidRPr="0018386D" w:rsidRDefault="008E2ED2" w:rsidP="00DD3106">
            <w:pPr>
              <w:pStyle w:val="TableText"/>
              <w:spacing w:before="30" w:after="20"/>
              <w:rPr>
                <w:rFonts w:cs="Calibri"/>
                <w:szCs w:val="18"/>
              </w:rPr>
            </w:pPr>
            <w:r w:rsidRPr="0018386D">
              <w:rPr>
                <w:rFonts w:cs="Calibri"/>
                <w:szCs w:val="18"/>
              </w:rPr>
              <w:t>0.00383</w:t>
            </w:r>
          </w:p>
        </w:tc>
      </w:tr>
      <w:tr w:rsidR="001F49EB" w:rsidRPr="0018386D" w14:paraId="7C11842F"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255327F6"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0230D5D9"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26889244"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0600987" w14:textId="77777777" w:rsidR="008E2ED2" w:rsidRPr="0018386D" w:rsidRDefault="008E2ED2" w:rsidP="00DD3106">
            <w:pPr>
              <w:pStyle w:val="TableText"/>
              <w:spacing w:before="30" w:after="20"/>
              <w:rPr>
                <w:rFonts w:cs="Calibri"/>
                <w:szCs w:val="18"/>
              </w:rPr>
            </w:pPr>
            <w:r w:rsidRPr="0018386D">
              <w:rPr>
                <w:rFonts w:cs="Calibri"/>
                <w:szCs w:val="18"/>
              </w:rPr>
              <w:t>0.278</w:t>
            </w:r>
          </w:p>
        </w:tc>
        <w:tc>
          <w:tcPr>
            <w:tcW w:w="1361" w:type="dxa"/>
            <w:shd w:val="clear" w:color="000000" w:fill="FFFFFF"/>
            <w:noWrap/>
            <w:hideMark/>
          </w:tcPr>
          <w:p w14:paraId="5F5A742E" w14:textId="77777777" w:rsidR="008E2ED2" w:rsidRPr="0018386D" w:rsidRDefault="008E2ED2" w:rsidP="00DD3106">
            <w:pPr>
              <w:pStyle w:val="TableText"/>
              <w:spacing w:before="30" w:after="20"/>
              <w:rPr>
                <w:rFonts w:cs="Calibri"/>
                <w:szCs w:val="18"/>
              </w:rPr>
            </w:pPr>
            <w:r w:rsidRPr="0018386D">
              <w:rPr>
                <w:rFonts w:cs="Calibri"/>
                <w:szCs w:val="18"/>
              </w:rPr>
              <w:t>0.274</w:t>
            </w:r>
          </w:p>
        </w:tc>
        <w:tc>
          <w:tcPr>
            <w:tcW w:w="1361" w:type="dxa"/>
            <w:shd w:val="clear" w:color="000000" w:fill="FFFFFF"/>
            <w:noWrap/>
            <w:hideMark/>
          </w:tcPr>
          <w:p w14:paraId="2C27F762" w14:textId="77777777" w:rsidR="008E2ED2" w:rsidRPr="0018386D" w:rsidRDefault="008E2ED2" w:rsidP="00DD3106">
            <w:pPr>
              <w:pStyle w:val="TableText"/>
              <w:spacing w:before="30" w:after="20"/>
              <w:rPr>
                <w:rFonts w:cs="Calibri"/>
                <w:szCs w:val="18"/>
              </w:rPr>
            </w:pPr>
            <w:r w:rsidRPr="0018386D">
              <w:rPr>
                <w:rFonts w:cs="Calibri"/>
                <w:szCs w:val="18"/>
              </w:rPr>
              <w:t>0.0004</w:t>
            </w:r>
          </w:p>
        </w:tc>
        <w:tc>
          <w:tcPr>
            <w:tcW w:w="1361" w:type="dxa"/>
            <w:shd w:val="clear" w:color="000000" w:fill="FFFFFF"/>
            <w:noWrap/>
            <w:hideMark/>
          </w:tcPr>
          <w:p w14:paraId="144A28F2" w14:textId="77777777" w:rsidR="008E2ED2" w:rsidRPr="0018386D" w:rsidRDefault="008E2ED2" w:rsidP="00DD3106">
            <w:pPr>
              <w:pStyle w:val="TableText"/>
              <w:spacing w:before="30" w:after="20"/>
              <w:rPr>
                <w:rFonts w:cs="Calibri"/>
                <w:szCs w:val="18"/>
              </w:rPr>
            </w:pPr>
            <w:r w:rsidRPr="0018386D">
              <w:rPr>
                <w:rFonts w:cs="Calibri"/>
                <w:szCs w:val="18"/>
              </w:rPr>
              <w:t>0.00387</w:t>
            </w:r>
          </w:p>
        </w:tc>
      </w:tr>
      <w:tr w:rsidR="001F49EB" w:rsidRPr="0018386D" w14:paraId="1D41EFC8"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4708E8B9" w14:textId="77777777" w:rsidR="008E2ED2" w:rsidRPr="0018386D" w:rsidRDefault="008E2ED2" w:rsidP="00DD3106">
            <w:pPr>
              <w:pStyle w:val="TableText"/>
              <w:spacing w:before="30" w:after="20"/>
              <w:rPr>
                <w:rFonts w:cs="Calibri"/>
                <w:szCs w:val="18"/>
              </w:rPr>
            </w:pPr>
            <w:r w:rsidRPr="0018386D">
              <w:rPr>
                <w:rFonts w:cs="Calibri"/>
                <w:szCs w:val="18"/>
              </w:rPr>
              <w:t>Petrol hybrid</w:t>
            </w:r>
          </w:p>
        </w:tc>
        <w:tc>
          <w:tcPr>
            <w:tcW w:w="1418" w:type="dxa"/>
            <w:tcBorders>
              <w:left w:val="single" w:sz="4" w:space="0" w:color="auto"/>
            </w:tcBorders>
            <w:shd w:val="clear" w:color="000000" w:fill="FFFFFF"/>
            <w:noWrap/>
            <w:hideMark/>
          </w:tcPr>
          <w:p w14:paraId="3BD4DF8B"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7090A545"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782136BB" w14:textId="77777777" w:rsidR="008E2ED2" w:rsidRPr="0018386D" w:rsidRDefault="008E2ED2" w:rsidP="00DD3106">
            <w:pPr>
              <w:pStyle w:val="TableText"/>
              <w:spacing w:before="30" w:after="20"/>
              <w:rPr>
                <w:rFonts w:cs="Calibri"/>
                <w:szCs w:val="18"/>
              </w:rPr>
            </w:pPr>
            <w:r w:rsidRPr="0018386D">
              <w:rPr>
                <w:rFonts w:cs="Calibri"/>
                <w:szCs w:val="18"/>
              </w:rPr>
              <w:t>0.154</w:t>
            </w:r>
          </w:p>
        </w:tc>
        <w:tc>
          <w:tcPr>
            <w:tcW w:w="1361" w:type="dxa"/>
            <w:shd w:val="clear" w:color="000000" w:fill="FFFFFF"/>
            <w:noWrap/>
            <w:hideMark/>
          </w:tcPr>
          <w:p w14:paraId="2D3DAF14" w14:textId="77777777" w:rsidR="008E2ED2" w:rsidRPr="0018386D" w:rsidRDefault="008E2ED2" w:rsidP="00DD3106">
            <w:pPr>
              <w:pStyle w:val="TableText"/>
              <w:spacing w:before="30" w:after="20"/>
              <w:rPr>
                <w:rFonts w:cs="Calibri"/>
                <w:szCs w:val="18"/>
              </w:rPr>
            </w:pPr>
            <w:r w:rsidRPr="0018386D">
              <w:rPr>
                <w:rFonts w:cs="Calibri"/>
                <w:szCs w:val="18"/>
              </w:rPr>
              <w:t>0.148</w:t>
            </w:r>
          </w:p>
        </w:tc>
        <w:tc>
          <w:tcPr>
            <w:tcW w:w="1361" w:type="dxa"/>
            <w:shd w:val="clear" w:color="000000" w:fill="FFFFFF"/>
            <w:noWrap/>
            <w:hideMark/>
          </w:tcPr>
          <w:p w14:paraId="32725195" w14:textId="77777777" w:rsidR="008E2ED2" w:rsidRPr="0018386D" w:rsidRDefault="008E2ED2" w:rsidP="00DD3106">
            <w:pPr>
              <w:pStyle w:val="TableText"/>
              <w:spacing w:before="30" w:after="20"/>
              <w:rPr>
                <w:rFonts w:cs="Calibri"/>
                <w:szCs w:val="18"/>
              </w:rPr>
            </w:pPr>
            <w:r w:rsidRPr="0018386D">
              <w:rPr>
                <w:rFonts w:cs="Calibri"/>
                <w:szCs w:val="18"/>
              </w:rPr>
              <w:t>0.00194</w:t>
            </w:r>
          </w:p>
        </w:tc>
        <w:tc>
          <w:tcPr>
            <w:tcW w:w="1361" w:type="dxa"/>
            <w:shd w:val="clear" w:color="000000" w:fill="FFFFFF"/>
            <w:noWrap/>
            <w:hideMark/>
          </w:tcPr>
          <w:p w14:paraId="66B08742" w14:textId="77777777" w:rsidR="008E2ED2" w:rsidRPr="0018386D" w:rsidRDefault="008E2ED2" w:rsidP="00DD3106">
            <w:pPr>
              <w:pStyle w:val="TableText"/>
              <w:spacing w:before="30" w:after="20"/>
              <w:rPr>
                <w:rFonts w:cs="Calibri"/>
                <w:szCs w:val="18"/>
              </w:rPr>
            </w:pPr>
            <w:r w:rsidRPr="0018386D">
              <w:rPr>
                <w:rFonts w:cs="Calibri"/>
                <w:szCs w:val="18"/>
              </w:rPr>
              <w:t>0.00445</w:t>
            </w:r>
          </w:p>
        </w:tc>
      </w:tr>
      <w:tr w:rsidR="001F49EB" w:rsidRPr="0018386D" w14:paraId="72362EBC" w14:textId="77777777" w:rsidTr="00A453CD">
        <w:trPr>
          <w:divId w:val="1127504634"/>
        </w:trPr>
        <w:tc>
          <w:tcPr>
            <w:tcW w:w="1361" w:type="dxa"/>
            <w:tcBorders>
              <w:top w:val="nil"/>
              <w:bottom w:val="nil"/>
              <w:right w:val="single" w:sz="4" w:space="0" w:color="auto"/>
            </w:tcBorders>
            <w:shd w:val="clear" w:color="000000" w:fill="FFFFFF"/>
            <w:noWrap/>
            <w:hideMark/>
          </w:tcPr>
          <w:p w14:paraId="0598885A"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7B39D1E" w14:textId="6E195197" w:rsidR="008E2ED2" w:rsidRPr="0018386D" w:rsidRDefault="008E2ED2" w:rsidP="00DD3106">
            <w:pPr>
              <w:pStyle w:val="TableText"/>
              <w:spacing w:before="30" w:after="20"/>
              <w:rPr>
                <w:rFonts w:cs="Calibri"/>
                <w:szCs w:val="18"/>
              </w:rPr>
            </w:pPr>
            <w:r w:rsidRPr="0018386D">
              <w:rPr>
                <w:rFonts w:cs="Calibri"/>
                <w:szCs w:val="18"/>
              </w:rPr>
              <w:t>1350</w:t>
            </w:r>
            <w:r w:rsidR="00ED00D8" w:rsidRPr="0018386D">
              <w:rPr>
                <w:rFonts w:cs="Calibri"/>
                <w:szCs w:val="18"/>
              </w:rPr>
              <w:t>–</w:t>
            </w:r>
            <w:r w:rsidRPr="0018386D">
              <w:rPr>
                <w:rFonts w:cs="Calibri"/>
                <w:szCs w:val="18"/>
              </w:rPr>
              <w:t>&lt;1600 cc</w:t>
            </w:r>
          </w:p>
        </w:tc>
        <w:tc>
          <w:tcPr>
            <w:tcW w:w="567" w:type="dxa"/>
            <w:shd w:val="clear" w:color="000000" w:fill="FFFFFF"/>
            <w:noWrap/>
            <w:hideMark/>
          </w:tcPr>
          <w:p w14:paraId="509F591F"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C2AD035" w14:textId="77777777" w:rsidR="008E2ED2" w:rsidRPr="0018386D" w:rsidRDefault="008E2ED2" w:rsidP="00DD3106">
            <w:pPr>
              <w:pStyle w:val="TableText"/>
              <w:spacing w:before="30" w:after="20"/>
              <w:rPr>
                <w:rFonts w:cs="Calibri"/>
                <w:szCs w:val="18"/>
              </w:rPr>
            </w:pPr>
            <w:r w:rsidRPr="0018386D">
              <w:rPr>
                <w:rFonts w:cs="Calibri"/>
                <w:szCs w:val="18"/>
              </w:rPr>
              <w:t>0.165</w:t>
            </w:r>
          </w:p>
        </w:tc>
        <w:tc>
          <w:tcPr>
            <w:tcW w:w="1361" w:type="dxa"/>
            <w:shd w:val="clear" w:color="000000" w:fill="FFFFFF"/>
            <w:noWrap/>
            <w:hideMark/>
          </w:tcPr>
          <w:p w14:paraId="618241D7" w14:textId="77777777" w:rsidR="008E2ED2" w:rsidRPr="0018386D" w:rsidRDefault="008E2ED2" w:rsidP="00DD3106">
            <w:pPr>
              <w:pStyle w:val="TableText"/>
              <w:spacing w:before="30" w:after="20"/>
              <w:rPr>
                <w:rFonts w:cs="Calibri"/>
                <w:szCs w:val="18"/>
              </w:rPr>
            </w:pPr>
            <w:r w:rsidRPr="0018386D">
              <w:rPr>
                <w:rFonts w:cs="Calibri"/>
                <w:szCs w:val="18"/>
              </w:rPr>
              <w:t>0.158</w:t>
            </w:r>
          </w:p>
        </w:tc>
        <w:tc>
          <w:tcPr>
            <w:tcW w:w="1361" w:type="dxa"/>
            <w:shd w:val="clear" w:color="000000" w:fill="FFFFFF"/>
            <w:noWrap/>
            <w:hideMark/>
          </w:tcPr>
          <w:p w14:paraId="5D24C4F9" w14:textId="77777777" w:rsidR="008E2ED2" w:rsidRPr="0018386D" w:rsidRDefault="008E2ED2" w:rsidP="00DD3106">
            <w:pPr>
              <w:pStyle w:val="TableText"/>
              <w:spacing w:before="30" w:after="20"/>
              <w:rPr>
                <w:rFonts w:cs="Calibri"/>
                <w:szCs w:val="18"/>
              </w:rPr>
            </w:pPr>
            <w:r w:rsidRPr="0018386D">
              <w:rPr>
                <w:rFonts w:cs="Calibri"/>
                <w:szCs w:val="18"/>
              </w:rPr>
              <w:t>0.00208</w:t>
            </w:r>
          </w:p>
        </w:tc>
        <w:tc>
          <w:tcPr>
            <w:tcW w:w="1361" w:type="dxa"/>
            <w:shd w:val="clear" w:color="000000" w:fill="FFFFFF"/>
            <w:noWrap/>
            <w:hideMark/>
          </w:tcPr>
          <w:p w14:paraId="66A56590" w14:textId="77777777" w:rsidR="008E2ED2" w:rsidRPr="0018386D" w:rsidRDefault="008E2ED2" w:rsidP="00DD3106">
            <w:pPr>
              <w:pStyle w:val="TableText"/>
              <w:spacing w:before="30" w:after="20"/>
              <w:rPr>
                <w:rFonts w:cs="Calibri"/>
                <w:szCs w:val="18"/>
              </w:rPr>
            </w:pPr>
            <w:r w:rsidRPr="0018386D">
              <w:rPr>
                <w:rFonts w:cs="Calibri"/>
                <w:szCs w:val="18"/>
              </w:rPr>
              <w:t>0.00478</w:t>
            </w:r>
          </w:p>
        </w:tc>
      </w:tr>
      <w:tr w:rsidR="001F49EB" w:rsidRPr="0018386D" w14:paraId="3B907A36" w14:textId="77777777" w:rsidTr="00A453CD">
        <w:trPr>
          <w:divId w:val="1127504634"/>
        </w:trPr>
        <w:tc>
          <w:tcPr>
            <w:tcW w:w="1361" w:type="dxa"/>
            <w:tcBorders>
              <w:top w:val="nil"/>
              <w:bottom w:val="nil"/>
              <w:right w:val="single" w:sz="4" w:space="0" w:color="auto"/>
            </w:tcBorders>
            <w:shd w:val="clear" w:color="000000" w:fill="FFFFFF"/>
            <w:noWrap/>
            <w:hideMark/>
          </w:tcPr>
          <w:p w14:paraId="23ABD1F1"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11A1D6E8" w14:textId="5C5BFF98" w:rsidR="008E2ED2" w:rsidRPr="0018386D" w:rsidRDefault="008E2ED2" w:rsidP="00DD3106">
            <w:pPr>
              <w:pStyle w:val="TableText"/>
              <w:spacing w:before="30" w:after="20"/>
              <w:rPr>
                <w:rFonts w:cs="Calibri"/>
                <w:szCs w:val="18"/>
              </w:rPr>
            </w:pPr>
            <w:r w:rsidRPr="0018386D">
              <w:rPr>
                <w:rFonts w:cs="Calibri"/>
                <w:szCs w:val="18"/>
              </w:rPr>
              <w:t>1600</w:t>
            </w:r>
            <w:r w:rsidR="00ED00D8" w:rsidRPr="0018386D">
              <w:rPr>
                <w:rFonts w:cs="Calibri"/>
                <w:szCs w:val="18"/>
              </w:rPr>
              <w:t>–</w:t>
            </w:r>
            <w:r w:rsidRPr="0018386D">
              <w:rPr>
                <w:rFonts w:cs="Calibri"/>
                <w:szCs w:val="18"/>
              </w:rPr>
              <w:t>&lt;2000 cc</w:t>
            </w:r>
          </w:p>
        </w:tc>
        <w:tc>
          <w:tcPr>
            <w:tcW w:w="567" w:type="dxa"/>
            <w:shd w:val="clear" w:color="000000" w:fill="FFFFFF"/>
            <w:noWrap/>
            <w:hideMark/>
          </w:tcPr>
          <w:p w14:paraId="08BE3948"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4A83F13" w14:textId="77777777" w:rsidR="008E2ED2" w:rsidRPr="0018386D" w:rsidRDefault="008E2ED2" w:rsidP="00DD3106">
            <w:pPr>
              <w:pStyle w:val="TableText"/>
              <w:spacing w:before="30" w:after="20"/>
              <w:rPr>
                <w:rFonts w:cs="Calibri"/>
                <w:szCs w:val="18"/>
              </w:rPr>
            </w:pPr>
            <w:r w:rsidRPr="0018386D">
              <w:rPr>
                <w:rFonts w:cs="Calibri"/>
                <w:szCs w:val="18"/>
              </w:rPr>
              <w:t>0.223</w:t>
            </w:r>
          </w:p>
        </w:tc>
        <w:tc>
          <w:tcPr>
            <w:tcW w:w="1361" w:type="dxa"/>
            <w:shd w:val="clear" w:color="000000" w:fill="FFFFFF"/>
            <w:noWrap/>
            <w:hideMark/>
          </w:tcPr>
          <w:p w14:paraId="45886D0E" w14:textId="77777777" w:rsidR="008E2ED2" w:rsidRPr="0018386D" w:rsidRDefault="008E2ED2" w:rsidP="00DD3106">
            <w:pPr>
              <w:pStyle w:val="TableText"/>
              <w:spacing w:before="30" w:after="20"/>
              <w:rPr>
                <w:rFonts w:cs="Calibri"/>
                <w:szCs w:val="18"/>
              </w:rPr>
            </w:pPr>
            <w:r w:rsidRPr="0018386D">
              <w:rPr>
                <w:rFonts w:cs="Calibri"/>
                <w:szCs w:val="18"/>
              </w:rPr>
              <w:t>0.214</w:t>
            </w:r>
          </w:p>
        </w:tc>
        <w:tc>
          <w:tcPr>
            <w:tcW w:w="1361" w:type="dxa"/>
            <w:shd w:val="clear" w:color="000000" w:fill="FFFFFF"/>
            <w:noWrap/>
            <w:hideMark/>
          </w:tcPr>
          <w:p w14:paraId="1DCC91EC" w14:textId="77777777" w:rsidR="008E2ED2" w:rsidRPr="0018386D" w:rsidRDefault="008E2ED2" w:rsidP="00DD3106">
            <w:pPr>
              <w:pStyle w:val="TableText"/>
              <w:spacing w:before="30" w:after="20"/>
              <w:rPr>
                <w:rFonts w:cs="Calibri"/>
                <w:szCs w:val="18"/>
              </w:rPr>
            </w:pPr>
            <w:r w:rsidRPr="0018386D">
              <w:rPr>
                <w:rFonts w:cs="Calibri"/>
                <w:szCs w:val="18"/>
              </w:rPr>
              <w:t>0.00281</w:t>
            </w:r>
          </w:p>
        </w:tc>
        <w:tc>
          <w:tcPr>
            <w:tcW w:w="1361" w:type="dxa"/>
            <w:shd w:val="clear" w:color="000000" w:fill="FFFFFF"/>
            <w:noWrap/>
            <w:hideMark/>
          </w:tcPr>
          <w:p w14:paraId="4C06CA6C" w14:textId="77777777" w:rsidR="008E2ED2" w:rsidRPr="0018386D" w:rsidRDefault="008E2ED2" w:rsidP="00DD3106">
            <w:pPr>
              <w:pStyle w:val="TableText"/>
              <w:spacing w:before="30" w:after="20"/>
              <w:rPr>
                <w:rFonts w:cs="Calibri"/>
                <w:szCs w:val="18"/>
              </w:rPr>
            </w:pPr>
            <w:r w:rsidRPr="0018386D">
              <w:rPr>
                <w:rFonts w:cs="Calibri"/>
                <w:szCs w:val="18"/>
              </w:rPr>
              <w:t>0.00645</w:t>
            </w:r>
          </w:p>
        </w:tc>
      </w:tr>
      <w:tr w:rsidR="001F49EB" w:rsidRPr="0018386D" w14:paraId="0B602547" w14:textId="77777777" w:rsidTr="00A453CD">
        <w:trPr>
          <w:divId w:val="1127504634"/>
        </w:trPr>
        <w:tc>
          <w:tcPr>
            <w:tcW w:w="1361" w:type="dxa"/>
            <w:tcBorders>
              <w:top w:val="nil"/>
              <w:bottom w:val="nil"/>
              <w:right w:val="single" w:sz="4" w:space="0" w:color="auto"/>
            </w:tcBorders>
            <w:shd w:val="clear" w:color="000000" w:fill="FFFFFF"/>
            <w:noWrap/>
            <w:hideMark/>
          </w:tcPr>
          <w:p w14:paraId="30AD2F74"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7F0233B4" w14:textId="5069603B" w:rsidR="008E2ED2" w:rsidRPr="0018386D" w:rsidRDefault="008E2ED2" w:rsidP="00DD3106">
            <w:pPr>
              <w:pStyle w:val="TableText"/>
              <w:spacing w:before="30" w:after="20"/>
              <w:rPr>
                <w:rFonts w:cs="Calibri"/>
                <w:szCs w:val="18"/>
              </w:rPr>
            </w:pPr>
            <w:r w:rsidRPr="0018386D">
              <w:rPr>
                <w:rFonts w:cs="Calibri"/>
                <w:szCs w:val="18"/>
              </w:rPr>
              <w:t>2000</w:t>
            </w:r>
            <w:r w:rsidR="00ED00D8" w:rsidRPr="0018386D">
              <w:rPr>
                <w:rFonts w:cs="Calibri"/>
                <w:szCs w:val="18"/>
              </w:rPr>
              <w:t>–</w:t>
            </w:r>
            <w:r w:rsidRPr="0018386D">
              <w:rPr>
                <w:rFonts w:cs="Calibri"/>
                <w:szCs w:val="18"/>
              </w:rPr>
              <w:t>&lt;3000 cc</w:t>
            </w:r>
          </w:p>
        </w:tc>
        <w:tc>
          <w:tcPr>
            <w:tcW w:w="567" w:type="dxa"/>
            <w:shd w:val="clear" w:color="000000" w:fill="FFFFFF"/>
            <w:noWrap/>
            <w:hideMark/>
          </w:tcPr>
          <w:p w14:paraId="128673EF"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4B1A4EE5" w14:textId="77777777" w:rsidR="008E2ED2" w:rsidRPr="0018386D" w:rsidRDefault="008E2ED2" w:rsidP="00DD3106">
            <w:pPr>
              <w:pStyle w:val="TableText"/>
              <w:spacing w:before="30" w:after="20"/>
              <w:rPr>
                <w:rFonts w:cs="Calibri"/>
                <w:szCs w:val="18"/>
              </w:rPr>
            </w:pPr>
            <w:r w:rsidRPr="0018386D">
              <w:rPr>
                <w:rFonts w:cs="Calibri"/>
                <w:szCs w:val="18"/>
              </w:rPr>
              <w:t>0.236</w:t>
            </w:r>
          </w:p>
        </w:tc>
        <w:tc>
          <w:tcPr>
            <w:tcW w:w="1361" w:type="dxa"/>
            <w:shd w:val="clear" w:color="000000" w:fill="FFFFFF"/>
            <w:noWrap/>
            <w:hideMark/>
          </w:tcPr>
          <w:p w14:paraId="4B519470" w14:textId="77777777" w:rsidR="008E2ED2" w:rsidRPr="0018386D" w:rsidRDefault="008E2ED2" w:rsidP="00DD3106">
            <w:pPr>
              <w:pStyle w:val="TableText"/>
              <w:spacing w:before="30" w:after="20"/>
              <w:rPr>
                <w:rFonts w:cs="Calibri"/>
                <w:szCs w:val="18"/>
              </w:rPr>
            </w:pPr>
            <w:r w:rsidRPr="0018386D">
              <w:rPr>
                <w:rFonts w:cs="Calibri"/>
                <w:szCs w:val="18"/>
              </w:rPr>
              <w:t>0.226</w:t>
            </w:r>
          </w:p>
        </w:tc>
        <w:tc>
          <w:tcPr>
            <w:tcW w:w="1361" w:type="dxa"/>
            <w:shd w:val="clear" w:color="000000" w:fill="FFFFFF"/>
            <w:noWrap/>
            <w:hideMark/>
          </w:tcPr>
          <w:p w14:paraId="13B86016" w14:textId="77777777" w:rsidR="008E2ED2" w:rsidRPr="0018386D" w:rsidRDefault="008E2ED2" w:rsidP="00DD3106">
            <w:pPr>
              <w:pStyle w:val="TableText"/>
              <w:spacing w:before="30" w:after="20"/>
              <w:rPr>
                <w:rFonts w:cs="Calibri"/>
                <w:szCs w:val="18"/>
              </w:rPr>
            </w:pPr>
            <w:r w:rsidRPr="0018386D">
              <w:rPr>
                <w:rFonts w:cs="Calibri"/>
                <w:szCs w:val="18"/>
              </w:rPr>
              <w:t>0.00297</w:t>
            </w:r>
          </w:p>
        </w:tc>
        <w:tc>
          <w:tcPr>
            <w:tcW w:w="1361" w:type="dxa"/>
            <w:shd w:val="clear" w:color="000000" w:fill="FFFFFF"/>
            <w:noWrap/>
            <w:hideMark/>
          </w:tcPr>
          <w:p w14:paraId="234AE5D7" w14:textId="77777777" w:rsidR="008E2ED2" w:rsidRPr="0018386D" w:rsidRDefault="008E2ED2" w:rsidP="00DD3106">
            <w:pPr>
              <w:pStyle w:val="TableText"/>
              <w:spacing w:before="30" w:after="20"/>
              <w:rPr>
                <w:rFonts w:cs="Calibri"/>
                <w:szCs w:val="18"/>
              </w:rPr>
            </w:pPr>
            <w:r w:rsidRPr="0018386D">
              <w:rPr>
                <w:rFonts w:cs="Calibri"/>
                <w:szCs w:val="18"/>
              </w:rPr>
              <w:t>0.00682</w:t>
            </w:r>
          </w:p>
        </w:tc>
      </w:tr>
      <w:tr w:rsidR="001F49EB" w:rsidRPr="0018386D" w14:paraId="088F881D"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0282C2CE"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6D77FA2D"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2EC58A09"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B4D4539" w14:textId="77777777" w:rsidR="008E2ED2" w:rsidRPr="0018386D" w:rsidRDefault="008E2ED2" w:rsidP="00DD3106">
            <w:pPr>
              <w:pStyle w:val="TableText"/>
              <w:spacing w:before="30" w:after="20"/>
              <w:rPr>
                <w:rFonts w:cs="Calibri"/>
                <w:szCs w:val="18"/>
              </w:rPr>
            </w:pPr>
            <w:r w:rsidRPr="0018386D">
              <w:rPr>
                <w:rFonts w:cs="Calibri"/>
                <w:szCs w:val="18"/>
              </w:rPr>
              <w:t>0.269</w:t>
            </w:r>
          </w:p>
        </w:tc>
        <w:tc>
          <w:tcPr>
            <w:tcW w:w="1361" w:type="dxa"/>
            <w:shd w:val="clear" w:color="000000" w:fill="FFFFFF"/>
            <w:noWrap/>
            <w:hideMark/>
          </w:tcPr>
          <w:p w14:paraId="0E658044" w14:textId="77777777" w:rsidR="008E2ED2" w:rsidRPr="0018386D" w:rsidRDefault="008E2ED2" w:rsidP="00DD3106">
            <w:pPr>
              <w:pStyle w:val="TableText"/>
              <w:spacing w:before="30" w:after="20"/>
              <w:rPr>
                <w:rFonts w:cs="Calibri"/>
                <w:szCs w:val="18"/>
              </w:rPr>
            </w:pPr>
            <w:r w:rsidRPr="0018386D">
              <w:rPr>
                <w:rFonts w:cs="Calibri"/>
                <w:szCs w:val="18"/>
              </w:rPr>
              <w:t>0.258</w:t>
            </w:r>
          </w:p>
        </w:tc>
        <w:tc>
          <w:tcPr>
            <w:tcW w:w="1361" w:type="dxa"/>
            <w:shd w:val="clear" w:color="000000" w:fill="FFFFFF"/>
            <w:noWrap/>
            <w:hideMark/>
          </w:tcPr>
          <w:p w14:paraId="66F65B2F" w14:textId="77777777" w:rsidR="008E2ED2" w:rsidRPr="0018386D" w:rsidRDefault="008E2ED2" w:rsidP="00DD3106">
            <w:pPr>
              <w:pStyle w:val="TableText"/>
              <w:spacing w:before="30" w:after="20"/>
              <w:rPr>
                <w:rFonts w:cs="Calibri"/>
                <w:szCs w:val="18"/>
              </w:rPr>
            </w:pPr>
            <w:r w:rsidRPr="0018386D">
              <w:rPr>
                <w:rFonts w:cs="Calibri"/>
                <w:szCs w:val="18"/>
              </w:rPr>
              <w:t>0.00339</w:t>
            </w:r>
          </w:p>
        </w:tc>
        <w:tc>
          <w:tcPr>
            <w:tcW w:w="1361" w:type="dxa"/>
            <w:shd w:val="clear" w:color="000000" w:fill="FFFFFF"/>
            <w:noWrap/>
            <w:hideMark/>
          </w:tcPr>
          <w:p w14:paraId="141519E8" w14:textId="77777777" w:rsidR="008E2ED2" w:rsidRPr="0018386D" w:rsidRDefault="008E2ED2" w:rsidP="00DD3106">
            <w:pPr>
              <w:pStyle w:val="TableText"/>
              <w:spacing w:before="30" w:after="20"/>
              <w:rPr>
                <w:rFonts w:cs="Calibri"/>
                <w:szCs w:val="18"/>
              </w:rPr>
            </w:pPr>
            <w:r w:rsidRPr="0018386D">
              <w:rPr>
                <w:rFonts w:cs="Calibri"/>
                <w:szCs w:val="18"/>
              </w:rPr>
              <w:t>0.00779</w:t>
            </w:r>
          </w:p>
        </w:tc>
      </w:tr>
      <w:tr w:rsidR="001F49EB" w:rsidRPr="0018386D" w14:paraId="679B0D0F"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0565882C" w14:textId="77777777" w:rsidR="008E2ED2" w:rsidRPr="0018386D" w:rsidRDefault="008E2ED2" w:rsidP="00DD3106">
            <w:pPr>
              <w:pStyle w:val="TableText"/>
              <w:spacing w:before="30" w:after="20"/>
              <w:rPr>
                <w:rFonts w:cs="Calibri"/>
                <w:szCs w:val="18"/>
              </w:rPr>
            </w:pPr>
            <w:r w:rsidRPr="0018386D">
              <w:rPr>
                <w:rFonts w:cs="Calibri"/>
                <w:szCs w:val="18"/>
              </w:rPr>
              <w:t>Diesel hybrid</w:t>
            </w:r>
          </w:p>
        </w:tc>
        <w:tc>
          <w:tcPr>
            <w:tcW w:w="1418" w:type="dxa"/>
            <w:tcBorders>
              <w:left w:val="single" w:sz="4" w:space="0" w:color="auto"/>
            </w:tcBorders>
            <w:shd w:val="clear" w:color="000000" w:fill="FFFFFF"/>
            <w:noWrap/>
            <w:hideMark/>
          </w:tcPr>
          <w:p w14:paraId="2325A5FA"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765D1ED1"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D741E33" w14:textId="77777777" w:rsidR="008E2ED2" w:rsidRPr="0018386D" w:rsidRDefault="008E2ED2" w:rsidP="00DD3106">
            <w:pPr>
              <w:pStyle w:val="TableText"/>
              <w:spacing w:before="30" w:after="20"/>
              <w:rPr>
                <w:rFonts w:cs="Calibri"/>
                <w:szCs w:val="18"/>
              </w:rPr>
            </w:pPr>
            <w:r w:rsidRPr="0018386D">
              <w:rPr>
                <w:rFonts w:cs="Calibri"/>
                <w:szCs w:val="18"/>
              </w:rPr>
              <w:t>0.179</w:t>
            </w:r>
          </w:p>
        </w:tc>
        <w:tc>
          <w:tcPr>
            <w:tcW w:w="1361" w:type="dxa"/>
            <w:shd w:val="clear" w:color="000000" w:fill="FFFFFF"/>
            <w:noWrap/>
            <w:hideMark/>
          </w:tcPr>
          <w:p w14:paraId="1AB7887C" w14:textId="77777777" w:rsidR="008E2ED2" w:rsidRPr="0018386D" w:rsidRDefault="008E2ED2" w:rsidP="00DD3106">
            <w:pPr>
              <w:pStyle w:val="TableText"/>
              <w:spacing w:before="30" w:after="20"/>
              <w:rPr>
                <w:rFonts w:cs="Calibri"/>
                <w:szCs w:val="18"/>
              </w:rPr>
            </w:pPr>
            <w:r w:rsidRPr="0018386D">
              <w:rPr>
                <w:rFonts w:cs="Calibri"/>
                <w:szCs w:val="18"/>
              </w:rPr>
              <w:t>0.177</w:t>
            </w:r>
          </w:p>
        </w:tc>
        <w:tc>
          <w:tcPr>
            <w:tcW w:w="1361" w:type="dxa"/>
            <w:shd w:val="clear" w:color="000000" w:fill="FFFFFF"/>
            <w:noWrap/>
            <w:hideMark/>
          </w:tcPr>
          <w:p w14:paraId="0DFBBD90"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0DA3FFDA" w14:textId="77777777" w:rsidR="008E2ED2" w:rsidRPr="0018386D" w:rsidRDefault="008E2ED2" w:rsidP="00DD3106">
            <w:pPr>
              <w:pStyle w:val="TableText"/>
              <w:spacing w:before="30" w:after="20"/>
              <w:rPr>
                <w:rFonts w:cs="Calibri"/>
                <w:szCs w:val="18"/>
              </w:rPr>
            </w:pPr>
            <w:r w:rsidRPr="0018386D">
              <w:rPr>
                <w:rFonts w:cs="Calibri"/>
                <w:szCs w:val="18"/>
              </w:rPr>
              <w:t>0.00250</w:t>
            </w:r>
          </w:p>
        </w:tc>
      </w:tr>
      <w:tr w:rsidR="001F49EB" w:rsidRPr="0018386D" w14:paraId="3FE462DE" w14:textId="77777777" w:rsidTr="00A453CD">
        <w:trPr>
          <w:divId w:val="1127504634"/>
        </w:trPr>
        <w:tc>
          <w:tcPr>
            <w:tcW w:w="1361" w:type="dxa"/>
            <w:tcBorders>
              <w:top w:val="nil"/>
              <w:bottom w:val="nil"/>
              <w:right w:val="single" w:sz="4" w:space="0" w:color="auto"/>
            </w:tcBorders>
            <w:shd w:val="clear" w:color="000000" w:fill="FFFFFF"/>
            <w:noWrap/>
            <w:hideMark/>
          </w:tcPr>
          <w:p w14:paraId="4250E180"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33E7B84D" w14:textId="759D947E" w:rsidR="008E2ED2" w:rsidRPr="0018386D" w:rsidRDefault="008E2ED2" w:rsidP="00DD3106">
            <w:pPr>
              <w:pStyle w:val="TableText"/>
              <w:spacing w:before="30" w:after="20"/>
              <w:rPr>
                <w:rFonts w:cs="Calibri"/>
                <w:szCs w:val="18"/>
              </w:rPr>
            </w:pPr>
            <w:r w:rsidRPr="0018386D">
              <w:rPr>
                <w:rFonts w:cs="Calibri"/>
                <w:szCs w:val="18"/>
              </w:rPr>
              <w:t>1350</w:t>
            </w:r>
            <w:r w:rsidR="00ED00D8" w:rsidRPr="0018386D">
              <w:rPr>
                <w:rFonts w:cs="Calibri"/>
                <w:szCs w:val="18"/>
              </w:rPr>
              <w:t>–</w:t>
            </w:r>
            <w:r w:rsidRPr="0018386D">
              <w:rPr>
                <w:rFonts w:cs="Calibri"/>
                <w:szCs w:val="18"/>
              </w:rPr>
              <w:t>&lt;1600 cc</w:t>
            </w:r>
          </w:p>
        </w:tc>
        <w:tc>
          <w:tcPr>
            <w:tcW w:w="567" w:type="dxa"/>
            <w:shd w:val="clear" w:color="000000" w:fill="FFFFFF"/>
            <w:noWrap/>
            <w:hideMark/>
          </w:tcPr>
          <w:p w14:paraId="5B9642C7"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2E8CC035" w14:textId="77777777" w:rsidR="008E2ED2" w:rsidRPr="0018386D" w:rsidRDefault="008E2ED2" w:rsidP="00DD3106">
            <w:pPr>
              <w:pStyle w:val="TableText"/>
              <w:spacing w:before="30" w:after="20"/>
              <w:rPr>
                <w:rFonts w:cs="Calibri"/>
                <w:szCs w:val="18"/>
              </w:rPr>
            </w:pPr>
            <w:r w:rsidRPr="0018386D">
              <w:rPr>
                <w:rFonts w:cs="Calibri"/>
                <w:szCs w:val="18"/>
              </w:rPr>
              <w:t>0.173</w:t>
            </w:r>
          </w:p>
        </w:tc>
        <w:tc>
          <w:tcPr>
            <w:tcW w:w="1361" w:type="dxa"/>
            <w:shd w:val="clear" w:color="000000" w:fill="FFFFFF"/>
            <w:noWrap/>
            <w:hideMark/>
          </w:tcPr>
          <w:p w14:paraId="68B68B04" w14:textId="77777777" w:rsidR="008E2ED2" w:rsidRPr="0018386D" w:rsidRDefault="008E2ED2" w:rsidP="00DD3106">
            <w:pPr>
              <w:pStyle w:val="TableText"/>
              <w:spacing w:before="30" w:after="20"/>
              <w:rPr>
                <w:rFonts w:cs="Calibri"/>
                <w:szCs w:val="18"/>
              </w:rPr>
            </w:pPr>
            <w:r w:rsidRPr="0018386D">
              <w:rPr>
                <w:rFonts w:cs="Calibri"/>
                <w:szCs w:val="18"/>
              </w:rPr>
              <w:t>0.170</w:t>
            </w:r>
          </w:p>
        </w:tc>
        <w:tc>
          <w:tcPr>
            <w:tcW w:w="1361" w:type="dxa"/>
            <w:shd w:val="clear" w:color="000000" w:fill="FFFFFF"/>
            <w:noWrap/>
            <w:hideMark/>
          </w:tcPr>
          <w:p w14:paraId="3E000985"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227A10D4" w14:textId="77777777" w:rsidR="008E2ED2" w:rsidRPr="0018386D" w:rsidRDefault="008E2ED2" w:rsidP="00DD3106">
            <w:pPr>
              <w:pStyle w:val="TableText"/>
              <w:spacing w:before="30" w:after="20"/>
              <w:rPr>
                <w:rFonts w:cs="Calibri"/>
                <w:szCs w:val="18"/>
              </w:rPr>
            </w:pPr>
            <w:r w:rsidRPr="0018386D">
              <w:rPr>
                <w:rFonts w:cs="Calibri"/>
                <w:szCs w:val="18"/>
              </w:rPr>
              <w:t>0.00240</w:t>
            </w:r>
          </w:p>
        </w:tc>
      </w:tr>
      <w:tr w:rsidR="001F49EB" w:rsidRPr="0018386D" w14:paraId="2F538460" w14:textId="77777777" w:rsidTr="00A453CD">
        <w:trPr>
          <w:divId w:val="1127504634"/>
        </w:trPr>
        <w:tc>
          <w:tcPr>
            <w:tcW w:w="1361" w:type="dxa"/>
            <w:tcBorders>
              <w:top w:val="nil"/>
              <w:bottom w:val="nil"/>
              <w:right w:val="single" w:sz="4" w:space="0" w:color="auto"/>
            </w:tcBorders>
            <w:shd w:val="clear" w:color="000000" w:fill="FFFFFF"/>
            <w:noWrap/>
            <w:hideMark/>
          </w:tcPr>
          <w:p w14:paraId="37B1ADEC"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366A1751" w14:textId="77777777" w:rsidR="008E2ED2" w:rsidRPr="0018386D" w:rsidRDefault="008E2ED2" w:rsidP="00DD3106">
            <w:pPr>
              <w:pStyle w:val="TableText"/>
              <w:spacing w:before="30" w:after="20"/>
              <w:rPr>
                <w:rFonts w:cs="Calibri"/>
                <w:szCs w:val="18"/>
              </w:rPr>
            </w:pPr>
            <w:r w:rsidRPr="0018386D">
              <w:rPr>
                <w:rFonts w:cs="Calibri"/>
                <w:szCs w:val="18"/>
              </w:rPr>
              <w:t>1600 -&lt;2000 cc</w:t>
            </w:r>
          </w:p>
        </w:tc>
        <w:tc>
          <w:tcPr>
            <w:tcW w:w="567" w:type="dxa"/>
            <w:shd w:val="clear" w:color="000000" w:fill="FFFFFF"/>
            <w:noWrap/>
            <w:hideMark/>
          </w:tcPr>
          <w:p w14:paraId="1F0D5D70"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EC65173" w14:textId="77777777" w:rsidR="008E2ED2" w:rsidRPr="0018386D" w:rsidRDefault="008E2ED2" w:rsidP="00DD3106">
            <w:pPr>
              <w:pStyle w:val="TableText"/>
              <w:spacing w:before="30" w:after="20"/>
              <w:rPr>
                <w:rFonts w:cs="Calibri"/>
                <w:szCs w:val="18"/>
              </w:rPr>
            </w:pPr>
            <w:r w:rsidRPr="0018386D">
              <w:rPr>
                <w:rFonts w:cs="Calibri"/>
                <w:szCs w:val="18"/>
              </w:rPr>
              <w:t>0.230</w:t>
            </w:r>
          </w:p>
        </w:tc>
        <w:tc>
          <w:tcPr>
            <w:tcW w:w="1361" w:type="dxa"/>
            <w:shd w:val="clear" w:color="000000" w:fill="FFFFFF"/>
            <w:noWrap/>
            <w:hideMark/>
          </w:tcPr>
          <w:p w14:paraId="792F98B8" w14:textId="77777777" w:rsidR="008E2ED2" w:rsidRPr="0018386D" w:rsidRDefault="008E2ED2" w:rsidP="00DD3106">
            <w:pPr>
              <w:pStyle w:val="TableText"/>
              <w:spacing w:before="30" w:after="20"/>
              <w:rPr>
                <w:rFonts w:cs="Calibri"/>
                <w:szCs w:val="18"/>
              </w:rPr>
            </w:pPr>
            <w:r w:rsidRPr="0018386D">
              <w:rPr>
                <w:rFonts w:cs="Calibri"/>
                <w:szCs w:val="18"/>
              </w:rPr>
              <w:t>0.226</w:t>
            </w:r>
          </w:p>
        </w:tc>
        <w:tc>
          <w:tcPr>
            <w:tcW w:w="1361" w:type="dxa"/>
            <w:shd w:val="clear" w:color="000000" w:fill="FFFFFF"/>
            <w:noWrap/>
            <w:hideMark/>
          </w:tcPr>
          <w:p w14:paraId="3202B2EC"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2C96C6C0" w14:textId="77777777" w:rsidR="008E2ED2" w:rsidRPr="0018386D" w:rsidRDefault="008E2ED2" w:rsidP="00DD3106">
            <w:pPr>
              <w:pStyle w:val="TableText"/>
              <w:spacing w:before="30" w:after="20"/>
              <w:rPr>
                <w:rFonts w:cs="Calibri"/>
                <w:szCs w:val="18"/>
              </w:rPr>
            </w:pPr>
            <w:r w:rsidRPr="0018386D">
              <w:rPr>
                <w:rFonts w:cs="Calibri"/>
                <w:szCs w:val="18"/>
              </w:rPr>
              <w:t>0.00320</w:t>
            </w:r>
          </w:p>
        </w:tc>
      </w:tr>
      <w:tr w:rsidR="001F49EB" w:rsidRPr="0018386D" w14:paraId="7EEACF54" w14:textId="77777777" w:rsidTr="00A453CD">
        <w:trPr>
          <w:divId w:val="1127504634"/>
        </w:trPr>
        <w:tc>
          <w:tcPr>
            <w:tcW w:w="1361" w:type="dxa"/>
            <w:tcBorders>
              <w:top w:val="nil"/>
              <w:bottom w:val="nil"/>
              <w:right w:val="single" w:sz="4" w:space="0" w:color="auto"/>
            </w:tcBorders>
            <w:shd w:val="clear" w:color="000000" w:fill="FFFFFF"/>
            <w:noWrap/>
            <w:hideMark/>
          </w:tcPr>
          <w:p w14:paraId="320A1B70"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8CB52E1" w14:textId="3956968B" w:rsidR="008E2ED2" w:rsidRPr="0018386D" w:rsidRDefault="008E2ED2" w:rsidP="00DD3106">
            <w:pPr>
              <w:pStyle w:val="TableText"/>
              <w:spacing w:before="30" w:after="20"/>
              <w:rPr>
                <w:rFonts w:cs="Calibri"/>
                <w:szCs w:val="18"/>
              </w:rPr>
            </w:pPr>
            <w:r w:rsidRPr="0018386D">
              <w:rPr>
                <w:rFonts w:cs="Calibri"/>
                <w:szCs w:val="18"/>
              </w:rPr>
              <w:t>2000</w:t>
            </w:r>
            <w:r w:rsidR="005F6998" w:rsidRPr="0018386D">
              <w:rPr>
                <w:rFonts w:cs="Calibri"/>
                <w:szCs w:val="18"/>
              </w:rPr>
              <w:t>–</w:t>
            </w:r>
            <w:r w:rsidRPr="0018386D">
              <w:rPr>
                <w:rFonts w:cs="Calibri"/>
                <w:szCs w:val="18"/>
              </w:rPr>
              <w:t>&lt;3000 cc</w:t>
            </w:r>
          </w:p>
        </w:tc>
        <w:tc>
          <w:tcPr>
            <w:tcW w:w="567" w:type="dxa"/>
            <w:shd w:val="clear" w:color="000000" w:fill="FFFFFF"/>
            <w:noWrap/>
            <w:hideMark/>
          </w:tcPr>
          <w:p w14:paraId="3B376E9C"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89B2D96" w14:textId="77777777" w:rsidR="008E2ED2" w:rsidRPr="0018386D" w:rsidRDefault="008E2ED2" w:rsidP="00DD3106">
            <w:pPr>
              <w:pStyle w:val="TableText"/>
              <w:spacing w:before="30" w:after="20"/>
              <w:rPr>
                <w:rFonts w:cs="Calibri"/>
                <w:szCs w:val="18"/>
              </w:rPr>
            </w:pPr>
            <w:r w:rsidRPr="0018386D">
              <w:rPr>
                <w:rFonts w:cs="Calibri"/>
                <w:szCs w:val="18"/>
              </w:rPr>
              <w:t>0.247</w:t>
            </w:r>
          </w:p>
        </w:tc>
        <w:tc>
          <w:tcPr>
            <w:tcW w:w="1361" w:type="dxa"/>
            <w:shd w:val="clear" w:color="000000" w:fill="FFFFFF"/>
            <w:noWrap/>
            <w:hideMark/>
          </w:tcPr>
          <w:p w14:paraId="5430C84E" w14:textId="77777777" w:rsidR="008E2ED2" w:rsidRPr="0018386D" w:rsidRDefault="008E2ED2" w:rsidP="00DD3106">
            <w:pPr>
              <w:pStyle w:val="TableText"/>
              <w:spacing w:before="30" w:after="20"/>
              <w:rPr>
                <w:rFonts w:cs="Calibri"/>
                <w:szCs w:val="18"/>
              </w:rPr>
            </w:pPr>
            <w:r w:rsidRPr="0018386D">
              <w:rPr>
                <w:rFonts w:cs="Calibri"/>
                <w:szCs w:val="18"/>
              </w:rPr>
              <w:t>0.243</w:t>
            </w:r>
          </w:p>
        </w:tc>
        <w:tc>
          <w:tcPr>
            <w:tcW w:w="1361" w:type="dxa"/>
            <w:shd w:val="clear" w:color="000000" w:fill="FFFFFF"/>
            <w:noWrap/>
            <w:hideMark/>
          </w:tcPr>
          <w:p w14:paraId="6E8138FE" w14:textId="77777777" w:rsidR="008E2ED2" w:rsidRPr="0018386D" w:rsidRDefault="008E2ED2" w:rsidP="00DD3106">
            <w:pPr>
              <w:pStyle w:val="TableText"/>
              <w:spacing w:before="30" w:after="20"/>
              <w:rPr>
                <w:rFonts w:cs="Calibri"/>
                <w:szCs w:val="18"/>
              </w:rPr>
            </w:pPr>
            <w:r w:rsidRPr="0018386D">
              <w:rPr>
                <w:rFonts w:cs="Calibri"/>
                <w:szCs w:val="18"/>
              </w:rPr>
              <w:t>0.0004</w:t>
            </w:r>
          </w:p>
        </w:tc>
        <w:tc>
          <w:tcPr>
            <w:tcW w:w="1361" w:type="dxa"/>
            <w:shd w:val="clear" w:color="000000" w:fill="FFFFFF"/>
            <w:noWrap/>
            <w:hideMark/>
          </w:tcPr>
          <w:p w14:paraId="6E744E40" w14:textId="77777777" w:rsidR="008E2ED2" w:rsidRPr="0018386D" w:rsidRDefault="008E2ED2" w:rsidP="00DD3106">
            <w:pPr>
              <w:pStyle w:val="TableText"/>
              <w:spacing w:before="30" w:after="20"/>
              <w:rPr>
                <w:rFonts w:cs="Calibri"/>
                <w:szCs w:val="18"/>
              </w:rPr>
            </w:pPr>
            <w:r w:rsidRPr="0018386D">
              <w:rPr>
                <w:rFonts w:cs="Calibri"/>
                <w:szCs w:val="18"/>
              </w:rPr>
              <w:t>0.00343</w:t>
            </w:r>
          </w:p>
        </w:tc>
      </w:tr>
      <w:tr w:rsidR="001F49EB" w:rsidRPr="0018386D" w14:paraId="15BB8CBB"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1120C0E1"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309438DA"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4155D71E"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152A5E29" w14:textId="77777777" w:rsidR="008E2ED2" w:rsidRPr="0018386D" w:rsidRDefault="008E2ED2" w:rsidP="00DD3106">
            <w:pPr>
              <w:pStyle w:val="TableText"/>
              <w:spacing w:before="30" w:after="20"/>
              <w:rPr>
                <w:rFonts w:cs="Calibri"/>
                <w:szCs w:val="18"/>
              </w:rPr>
            </w:pPr>
            <w:r w:rsidRPr="0018386D">
              <w:rPr>
                <w:rFonts w:cs="Calibri"/>
                <w:szCs w:val="18"/>
              </w:rPr>
              <w:t>0.250</w:t>
            </w:r>
          </w:p>
        </w:tc>
        <w:tc>
          <w:tcPr>
            <w:tcW w:w="1361" w:type="dxa"/>
            <w:shd w:val="clear" w:color="000000" w:fill="FFFFFF"/>
            <w:noWrap/>
            <w:hideMark/>
          </w:tcPr>
          <w:p w14:paraId="156B1095" w14:textId="77777777" w:rsidR="008E2ED2" w:rsidRPr="0018386D" w:rsidRDefault="008E2ED2" w:rsidP="00DD3106">
            <w:pPr>
              <w:pStyle w:val="TableText"/>
              <w:spacing w:before="30" w:after="20"/>
              <w:rPr>
                <w:rFonts w:cs="Calibri"/>
                <w:szCs w:val="18"/>
              </w:rPr>
            </w:pPr>
            <w:r w:rsidRPr="0018386D">
              <w:rPr>
                <w:rFonts w:cs="Calibri"/>
                <w:szCs w:val="18"/>
              </w:rPr>
              <w:t>0.246</w:t>
            </w:r>
          </w:p>
        </w:tc>
        <w:tc>
          <w:tcPr>
            <w:tcW w:w="1361" w:type="dxa"/>
            <w:shd w:val="clear" w:color="000000" w:fill="FFFFFF"/>
            <w:noWrap/>
            <w:hideMark/>
          </w:tcPr>
          <w:p w14:paraId="4767D4C2" w14:textId="77777777" w:rsidR="008E2ED2" w:rsidRPr="0018386D" w:rsidRDefault="008E2ED2" w:rsidP="00DD3106">
            <w:pPr>
              <w:pStyle w:val="TableText"/>
              <w:spacing w:before="30" w:after="20"/>
              <w:rPr>
                <w:rFonts w:cs="Calibri"/>
                <w:szCs w:val="18"/>
              </w:rPr>
            </w:pPr>
            <w:r w:rsidRPr="0018386D">
              <w:rPr>
                <w:rFonts w:cs="Calibri"/>
                <w:szCs w:val="18"/>
              </w:rPr>
              <w:t>0.0004</w:t>
            </w:r>
          </w:p>
        </w:tc>
        <w:tc>
          <w:tcPr>
            <w:tcW w:w="1361" w:type="dxa"/>
            <w:shd w:val="clear" w:color="000000" w:fill="FFFFFF"/>
            <w:noWrap/>
            <w:hideMark/>
          </w:tcPr>
          <w:p w14:paraId="7559EBE4" w14:textId="77777777" w:rsidR="008E2ED2" w:rsidRPr="0018386D" w:rsidRDefault="008E2ED2" w:rsidP="00DD3106">
            <w:pPr>
              <w:pStyle w:val="TableText"/>
              <w:spacing w:before="30" w:after="20"/>
              <w:rPr>
                <w:rFonts w:cs="Calibri"/>
                <w:szCs w:val="18"/>
              </w:rPr>
            </w:pPr>
            <w:r w:rsidRPr="0018386D">
              <w:rPr>
                <w:rFonts w:cs="Calibri"/>
                <w:szCs w:val="18"/>
              </w:rPr>
              <w:t>0.00347</w:t>
            </w:r>
          </w:p>
        </w:tc>
      </w:tr>
      <w:tr w:rsidR="001F49EB" w:rsidRPr="0018386D" w14:paraId="7AF7401F"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5712A1FF" w14:textId="77777777" w:rsidR="008E2ED2" w:rsidRPr="0018386D" w:rsidRDefault="008E2ED2" w:rsidP="00DD3106">
            <w:pPr>
              <w:pStyle w:val="TableText"/>
              <w:spacing w:before="30" w:after="20"/>
              <w:rPr>
                <w:rFonts w:cs="Calibri"/>
                <w:szCs w:val="18"/>
                <w:lang w:eastAsia="zh-CN" w:bidi="th-TH"/>
              </w:rPr>
            </w:pPr>
            <w:r w:rsidRPr="0018386D">
              <w:rPr>
                <w:rFonts w:cs="Calibri"/>
                <w:szCs w:val="18"/>
              </w:rPr>
              <w:t>PHEV (Petrol</w:t>
            </w:r>
            <w:r w:rsidRPr="0018386D">
              <w:rPr>
                <w:rFonts w:cs="Calibri"/>
                <w:szCs w:val="18"/>
                <w:lang w:eastAsia="zh-CN" w:bidi="th-TH"/>
              </w:rPr>
              <w:t>) - Petrol consumption</w:t>
            </w:r>
          </w:p>
        </w:tc>
        <w:tc>
          <w:tcPr>
            <w:tcW w:w="1418" w:type="dxa"/>
            <w:tcBorders>
              <w:left w:val="single" w:sz="4" w:space="0" w:color="auto"/>
            </w:tcBorders>
            <w:shd w:val="clear" w:color="000000" w:fill="FFFFFF"/>
            <w:noWrap/>
            <w:hideMark/>
          </w:tcPr>
          <w:p w14:paraId="00DD9918"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5046DEF2"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49E3D0B7" w14:textId="77777777" w:rsidR="008E2ED2" w:rsidRPr="0018386D" w:rsidRDefault="008E2ED2" w:rsidP="00DD3106">
            <w:pPr>
              <w:pStyle w:val="TableText"/>
              <w:spacing w:before="30" w:after="20"/>
              <w:rPr>
                <w:rFonts w:cs="Calibri"/>
                <w:szCs w:val="18"/>
              </w:rPr>
            </w:pPr>
            <w:r w:rsidRPr="0018386D">
              <w:rPr>
                <w:rFonts w:cs="Calibri"/>
                <w:szCs w:val="18"/>
              </w:rPr>
              <w:t>0.0806</w:t>
            </w:r>
          </w:p>
        </w:tc>
        <w:tc>
          <w:tcPr>
            <w:tcW w:w="1361" w:type="dxa"/>
            <w:shd w:val="clear" w:color="000000" w:fill="FFFFFF"/>
            <w:noWrap/>
            <w:hideMark/>
          </w:tcPr>
          <w:p w14:paraId="43CAE9E0" w14:textId="77777777" w:rsidR="008E2ED2" w:rsidRPr="0018386D" w:rsidRDefault="008E2ED2" w:rsidP="00DD3106">
            <w:pPr>
              <w:pStyle w:val="TableText"/>
              <w:spacing w:before="30" w:after="20"/>
              <w:rPr>
                <w:rFonts w:cs="Calibri"/>
                <w:szCs w:val="18"/>
              </w:rPr>
            </w:pPr>
            <w:r w:rsidRPr="0018386D">
              <w:rPr>
                <w:rFonts w:cs="Calibri"/>
                <w:szCs w:val="18"/>
              </w:rPr>
              <w:t>0.0772</w:t>
            </w:r>
          </w:p>
        </w:tc>
        <w:tc>
          <w:tcPr>
            <w:tcW w:w="1361" w:type="dxa"/>
            <w:shd w:val="clear" w:color="000000" w:fill="FFFFFF"/>
            <w:noWrap/>
            <w:hideMark/>
          </w:tcPr>
          <w:p w14:paraId="5A7B17B5" w14:textId="77777777" w:rsidR="008E2ED2" w:rsidRPr="0018386D" w:rsidRDefault="008E2ED2" w:rsidP="00DD3106">
            <w:pPr>
              <w:pStyle w:val="TableText"/>
              <w:spacing w:before="30" w:after="20"/>
              <w:rPr>
                <w:rFonts w:cs="Calibri"/>
                <w:szCs w:val="18"/>
              </w:rPr>
            </w:pPr>
            <w:r w:rsidRPr="0018386D">
              <w:rPr>
                <w:rFonts w:cs="Calibri"/>
                <w:szCs w:val="18"/>
              </w:rPr>
              <w:t>0.00102</w:t>
            </w:r>
          </w:p>
        </w:tc>
        <w:tc>
          <w:tcPr>
            <w:tcW w:w="1361" w:type="dxa"/>
            <w:shd w:val="clear" w:color="000000" w:fill="FFFFFF"/>
            <w:noWrap/>
            <w:hideMark/>
          </w:tcPr>
          <w:p w14:paraId="3F4952B8" w14:textId="77777777" w:rsidR="008E2ED2" w:rsidRPr="0018386D" w:rsidRDefault="008E2ED2" w:rsidP="00DD3106">
            <w:pPr>
              <w:pStyle w:val="TableText"/>
              <w:spacing w:before="30" w:after="20"/>
              <w:rPr>
                <w:rFonts w:cs="Calibri"/>
                <w:szCs w:val="18"/>
              </w:rPr>
            </w:pPr>
            <w:r w:rsidRPr="0018386D">
              <w:rPr>
                <w:rFonts w:cs="Calibri"/>
                <w:szCs w:val="18"/>
              </w:rPr>
              <w:t>0.00233</w:t>
            </w:r>
          </w:p>
        </w:tc>
      </w:tr>
      <w:tr w:rsidR="001F49EB" w:rsidRPr="0018386D" w14:paraId="539E2DFD" w14:textId="77777777" w:rsidTr="00A453CD">
        <w:trPr>
          <w:divId w:val="1127504634"/>
        </w:trPr>
        <w:tc>
          <w:tcPr>
            <w:tcW w:w="1361" w:type="dxa"/>
            <w:tcBorders>
              <w:top w:val="nil"/>
              <w:bottom w:val="nil"/>
              <w:right w:val="single" w:sz="4" w:space="0" w:color="auto"/>
            </w:tcBorders>
            <w:shd w:val="clear" w:color="000000" w:fill="FFFFFF"/>
            <w:noWrap/>
            <w:hideMark/>
          </w:tcPr>
          <w:p w14:paraId="7A63D8F3"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6386CD7F" w14:textId="49DA1435" w:rsidR="008E2ED2" w:rsidRPr="0018386D" w:rsidRDefault="008E2ED2" w:rsidP="00DD3106">
            <w:pPr>
              <w:pStyle w:val="TableText"/>
              <w:spacing w:before="30" w:after="20"/>
              <w:rPr>
                <w:rFonts w:cs="Calibri"/>
                <w:szCs w:val="18"/>
              </w:rPr>
            </w:pPr>
            <w:r w:rsidRPr="0018386D">
              <w:rPr>
                <w:rFonts w:cs="Calibri"/>
                <w:szCs w:val="18"/>
              </w:rPr>
              <w:t>1350</w:t>
            </w:r>
            <w:r w:rsidR="005F6998" w:rsidRPr="0018386D">
              <w:rPr>
                <w:rFonts w:cs="Calibri"/>
                <w:szCs w:val="18"/>
              </w:rPr>
              <w:t>–</w:t>
            </w:r>
            <w:r w:rsidRPr="0018386D">
              <w:rPr>
                <w:rFonts w:cs="Calibri"/>
                <w:szCs w:val="18"/>
              </w:rPr>
              <w:t>&lt;1600 cc</w:t>
            </w:r>
          </w:p>
        </w:tc>
        <w:tc>
          <w:tcPr>
            <w:tcW w:w="567" w:type="dxa"/>
            <w:shd w:val="clear" w:color="000000" w:fill="FFFFFF"/>
            <w:noWrap/>
            <w:hideMark/>
          </w:tcPr>
          <w:p w14:paraId="45867EA4"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3B53CEF" w14:textId="77777777" w:rsidR="008E2ED2" w:rsidRPr="0018386D" w:rsidRDefault="008E2ED2" w:rsidP="00DD3106">
            <w:pPr>
              <w:pStyle w:val="TableText"/>
              <w:spacing w:before="30" w:after="20"/>
              <w:rPr>
                <w:rFonts w:cs="Calibri"/>
                <w:szCs w:val="18"/>
              </w:rPr>
            </w:pPr>
            <w:r w:rsidRPr="0018386D">
              <w:rPr>
                <w:rFonts w:cs="Calibri"/>
                <w:szCs w:val="18"/>
              </w:rPr>
              <w:t>0.0865</w:t>
            </w:r>
          </w:p>
        </w:tc>
        <w:tc>
          <w:tcPr>
            <w:tcW w:w="1361" w:type="dxa"/>
            <w:shd w:val="clear" w:color="000000" w:fill="FFFFFF"/>
            <w:noWrap/>
            <w:hideMark/>
          </w:tcPr>
          <w:p w14:paraId="6AEF711E" w14:textId="77777777" w:rsidR="008E2ED2" w:rsidRPr="0018386D" w:rsidRDefault="008E2ED2" w:rsidP="00DD3106">
            <w:pPr>
              <w:pStyle w:val="TableText"/>
              <w:spacing w:before="30" w:after="20"/>
              <w:rPr>
                <w:rFonts w:cs="Calibri"/>
                <w:szCs w:val="18"/>
              </w:rPr>
            </w:pPr>
            <w:r w:rsidRPr="0018386D">
              <w:rPr>
                <w:rFonts w:cs="Calibri"/>
                <w:szCs w:val="18"/>
              </w:rPr>
              <w:t>0.0829</w:t>
            </w:r>
          </w:p>
        </w:tc>
        <w:tc>
          <w:tcPr>
            <w:tcW w:w="1361" w:type="dxa"/>
            <w:shd w:val="clear" w:color="000000" w:fill="FFFFFF"/>
            <w:noWrap/>
            <w:hideMark/>
          </w:tcPr>
          <w:p w14:paraId="7ED372FF" w14:textId="77777777" w:rsidR="008E2ED2" w:rsidRPr="0018386D" w:rsidRDefault="008E2ED2" w:rsidP="00DD3106">
            <w:pPr>
              <w:pStyle w:val="TableText"/>
              <w:spacing w:before="30" w:after="20"/>
              <w:rPr>
                <w:rFonts w:cs="Calibri"/>
                <w:szCs w:val="18"/>
              </w:rPr>
            </w:pPr>
            <w:r w:rsidRPr="0018386D">
              <w:rPr>
                <w:rFonts w:cs="Calibri"/>
                <w:szCs w:val="18"/>
              </w:rPr>
              <w:t>0.00109</w:t>
            </w:r>
          </w:p>
        </w:tc>
        <w:tc>
          <w:tcPr>
            <w:tcW w:w="1361" w:type="dxa"/>
            <w:shd w:val="clear" w:color="000000" w:fill="FFFFFF"/>
            <w:noWrap/>
            <w:hideMark/>
          </w:tcPr>
          <w:p w14:paraId="10EF9E72" w14:textId="77777777" w:rsidR="008E2ED2" w:rsidRPr="0018386D" w:rsidRDefault="008E2ED2" w:rsidP="00DD3106">
            <w:pPr>
              <w:pStyle w:val="TableText"/>
              <w:spacing w:before="30" w:after="20"/>
              <w:rPr>
                <w:rFonts w:cs="Calibri"/>
                <w:szCs w:val="18"/>
              </w:rPr>
            </w:pPr>
            <w:r w:rsidRPr="0018386D">
              <w:rPr>
                <w:rFonts w:cs="Calibri"/>
                <w:szCs w:val="18"/>
              </w:rPr>
              <w:t>0.00250</w:t>
            </w:r>
          </w:p>
        </w:tc>
      </w:tr>
      <w:tr w:rsidR="001F49EB" w:rsidRPr="0018386D" w14:paraId="09661F27" w14:textId="77777777" w:rsidTr="00A453CD">
        <w:trPr>
          <w:divId w:val="1127504634"/>
        </w:trPr>
        <w:tc>
          <w:tcPr>
            <w:tcW w:w="1361" w:type="dxa"/>
            <w:tcBorders>
              <w:top w:val="nil"/>
              <w:bottom w:val="nil"/>
              <w:right w:val="single" w:sz="4" w:space="0" w:color="auto"/>
            </w:tcBorders>
            <w:shd w:val="clear" w:color="000000" w:fill="FFFFFF"/>
            <w:noWrap/>
            <w:hideMark/>
          </w:tcPr>
          <w:p w14:paraId="7657340D"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0A74BB35" w14:textId="4E461A8E" w:rsidR="008E2ED2" w:rsidRPr="0018386D" w:rsidRDefault="008E2ED2" w:rsidP="00DD3106">
            <w:pPr>
              <w:pStyle w:val="TableText"/>
              <w:spacing w:before="30" w:after="20"/>
              <w:rPr>
                <w:rFonts w:cs="Calibri"/>
                <w:szCs w:val="18"/>
              </w:rPr>
            </w:pPr>
            <w:r w:rsidRPr="0018386D">
              <w:rPr>
                <w:rFonts w:cs="Calibri"/>
                <w:szCs w:val="18"/>
              </w:rPr>
              <w:t>1600</w:t>
            </w:r>
            <w:r w:rsidR="005F6998" w:rsidRPr="0018386D">
              <w:rPr>
                <w:rFonts w:cs="Calibri"/>
                <w:szCs w:val="18"/>
              </w:rPr>
              <w:t>–</w:t>
            </w:r>
            <w:r w:rsidRPr="0018386D">
              <w:rPr>
                <w:rFonts w:cs="Calibri"/>
                <w:szCs w:val="18"/>
              </w:rPr>
              <w:t>&lt;2000 cc</w:t>
            </w:r>
          </w:p>
        </w:tc>
        <w:tc>
          <w:tcPr>
            <w:tcW w:w="567" w:type="dxa"/>
            <w:shd w:val="clear" w:color="000000" w:fill="FFFFFF"/>
            <w:noWrap/>
            <w:hideMark/>
          </w:tcPr>
          <w:p w14:paraId="3B3E83B2"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84F1A47" w14:textId="77777777" w:rsidR="008E2ED2" w:rsidRPr="0018386D" w:rsidRDefault="008E2ED2" w:rsidP="00DD3106">
            <w:pPr>
              <w:pStyle w:val="TableText"/>
              <w:spacing w:before="30" w:after="20"/>
              <w:rPr>
                <w:rFonts w:cs="Calibri"/>
                <w:szCs w:val="18"/>
              </w:rPr>
            </w:pPr>
            <w:r w:rsidRPr="0018386D">
              <w:rPr>
                <w:rFonts w:cs="Calibri"/>
                <w:szCs w:val="18"/>
              </w:rPr>
              <w:t>0.117</w:t>
            </w:r>
          </w:p>
        </w:tc>
        <w:tc>
          <w:tcPr>
            <w:tcW w:w="1361" w:type="dxa"/>
            <w:shd w:val="clear" w:color="000000" w:fill="FFFFFF"/>
            <w:noWrap/>
            <w:hideMark/>
          </w:tcPr>
          <w:p w14:paraId="3DB01519" w14:textId="77777777" w:rsidR="008E2ED2" w:rsidRPr="0018386D" w:rsidRDefault="008E2ED2" w:rsidP="00DD3106">
            <w:pPr>
              <w:pStyle w:val="TableText"/>
              <w:spacing w:before="30" w:after="20"/>
              <w:rPr>
                <w:rFonts w:cs="Calibri"/>
                <w:szCs w:val="18"/>
              </w:rPr>
            </w:pPr>
            <w:r w:rsidRPr="0018386D">
              <w:rPr>
                <w:rFonts w:cs="Calibri"/>
                <w:szCs w:val="18"/>
              </w:rPr>
              <w:t>0.112</w:t>
            </w:r>
          </w:p>
        </w:tc>
        <w:tc>
          <w:tcPr>
            <w:tcW w:w="1361" w:type="dxa"/>
            <w:shd w:val="clear" w:color="000000" w:fill="FFFFFF"/>
            <w:noWrap/>
            <w:hideMark/>
          </w:tcPr>
          <w:p w14:paraId="27262ADD" w14:textId="77777777" w:rsidR="008E2ED2" w:rsidRPr="0018386D" w:rsidRDefault="008E2ED2" w:rsidP="00DD3106">
            <w:pPr>
              <w:pStyle w:val="TableText"/>
              <w:spacing w:before="30" w:after="20"/>
              <w:rPr>
                <w:rFonts w:cs="Calibri"/>
                <w:szCs w:val="18"/>
              </w:rPr>
            </w:pPr>
            <w:r w:rsidRPr="0018386D">
              <w:rPr>
                <w:rFonts w:cs="Calibri"/>
                <w:szCs w:val="18"/>
              </w:rPr>
              <w:t>0.00147</w:t>
            </w:r>
          </w:p>
        </w:tc>
        <w:tc>
          <w:tcPr>
            <w:tcW w:w="1361" w:type="dxa"/>
            <w:shd w:val="clear" w:color="000000" w:fill="FFFFFF"/>
            <w:noWrap/>
            <w:hideMark/>
          </w:tcPr>
          <w:p w14:paraId="7E471E66" w14:textId="77777777" w:rsidR="008E2ED2" w:rsidRPr="0018386D" w:rsidRDefault="008E2ED2" w:rsidP="00DD3106">
            <w:pPr>
              <w:pStyle w:val="TableText"/>
              <w:spacing w:before="30" w:after="20"/>
              <w:rPr>
                <w:rFonts w:cs="Calibri"/>
                <w:szCs w:val="18"/>
              </w:rPr>
            </w:pPr>
            <w:r w:rsidRPr="0018386D">
              <w:rPr>
                <w:rFonts w:cs="Calibri"/>
                <w:szCs w:val="18"/>
              </w:rPr>
              <w:t>0.00337</w:t>
            </w:r>
          </w:p>
        </w:tc>
      </w:tr>
      <w:tr w:rsidR="001F49EB" w:rsidRPr="0018386D" w14:paraId="051B2E67" w14:textId="77777777" w:rsidTr="00A453CD">
        <w:trPr>
          <w:divId w:val="1127504634"/>
        </w:trPr>
        <w:tc>
          <w:tcPr>
            <w:tcW w:w="1361" w:type="dxa"/>
            <w:tcBorders>
              <w:top w:val="nil"/>
              <w:bottom w:val="nil"/>
              <w:right w:val="single" w:sz="4" w:space="0" w:color="auto"/>
            </w:tcBorders>
            <w:shd w:val="clear" w:color="000000" w:fill="FFFFFF"/>
            <w:noWrap/>
            <w:hideMark/>
          </w:tcPr>
          <w:p w14:paraId="2DC5C474"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170E7334" w14:textId="7275A99A" w:rsidR="008E2ED2" w:rsidRPr="0018386D" w:rsidRDefault="008E2ED2" w:rsidP="00DD3106">
            <w:pPr>
              <w:pStyle w:val="TableText"/>
              <w:spacing w:before="30" w:after="20"/>
              <w:rPr>
                <w:rFonts w:cs="Calibri"/>
                <w:szCs w:val="18"/>
              </w:rPr>
            </w:pPr>
            <w:r w:rsidRPr="0018386D">
              <w:rPr>
                <w:rFonts w:cs="Calibri"/>
                <w:szCs w:val="18"/>
              </w:rPr>
              <w:t>2000</w:t>
            </w:r>
            <w:r w:rsidR="005F6998" w:rsidRPr="0018386D">
              <w:rPr>
                <w:rFonts w:cs="Calibri"/>
                <w:szCs w:val="18"/>
              </w:rPr>
              <w:t>–</w:t>
            </w:r>
            <w:r w:rsidRPr="0018386D">
              <w:rPr>
                <w:rFonts w:cs="Calibri"/>
                <w:szCs w:val="18"/>
              </w:rPr>
              <w:t>&lt;3000 cc</w:t>
            </w:r>
          </w:p>
        </w:tc>
        <w:tc>
          <w:tcPr>
            <w:tcW w:w="567" w:type="dxa"/>
            <w:shd w:val="clear" w:color="000000" w:fill="FFFFFF"/>
            <w:noWrap/>
            <w:hideMark/>
          </w:tcPr>
          <w:p w14:paraId="20665C4C"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11EF9140" w14:textId="77777777" w:rsidR="008E2ED2" w:rsidRPr="0018386D" w:rsidRDefault="008E2ED2" w:rsidP="00DD3106">
            <w:pPr>
              <w:pStyle w:val="TableText"/>
              <w:spacing w:before="30" w:after="20"/>
              <w:rPr>
                <w:rFonts w:cs="Calibri"/>
                <w:szCs w:val="18"/>
              </w:rPr>
            </w:pPr>
            <w:r w:rsidRPr="0018386D">
              <w:rPr>
                <w:rFonts w:cs="Calibri"/>
                <w:szCs w:val="18"/>
              </w:rPr>
              <w:t>0.123</w:t>
            </w:r>
          </w:p>
        </w:tc>
        <w:tc>
          <w:tcPr>
            <w:tcW w:w="1361" w:type="dxa"/>
            <w:shd w:val="clear" w:color="000000" w:fill="FFFFFF"/>
            <w:noWrap/>
            <w:hideMark/>
          </w:tcPr>
          <w:p w14:paraId="2EA3FC39" w14:textId="77777777" w:rsidR="008E2ED2" w:rsidRPr="0018386D" w:rsidRDefault="008E2ED2" w:rsidP="00DD3106">
            <w:pPr>
              <w:pStyle w:val="TableText"/>
              <w:spacing w:before="30" w:after="20"/>
              <w:rPr>
                <w:rFonts w:cs="Calibri"/>
                <w:szCs w:val="18"/>
              </w:rPr>
            </w:pPr>
            <w:r w:rsidRPr="0018386D">
              <w:rPr>
                <w:rFonts w:cs="Calibri"/>
                <w:szCs w:val="18"/>
              </w:rPr>
              <w:t>0.118</w:t>
            </w:r>
          </w:p>
        </w:tc>
        <w:tc>
          <w:tcPr>
            <w:tcW w:w="1361" w:type="dxa"/>
            <w:shd w:val="clear" w:color="000000" w:fill="FFFFFF"/>
            <w:noWrap/>
            <w:hideMark/>
          </w:tcPr>
          <w:p w14:paraId="640FE47B" w14:textId="77777777" w:rsidR="008E2ED2" w:rsidRPr="0018386D" w:rsidRDefault="008E2ED2" w:rsidP="00DD3106">
            <w:pPr>
              <w:pStyle w:val="TableText"/>
              <w:spacing w:before="30" w:after="20"/>
              <w:rPr>
                <w:rFonts w:cs="Calibri"/>
                <w:szCs w:val="18"/>
              </w:rPr>
            </w:pPr>
            <w:r w:rsidRPr="0018386D">
              <w:rPr>
                <w:rFonts w:cs="Calibri"/>
                <w:szCs w:val="18"/>
              </w:rPr>
              <w:t>0.00156</w:t>
            </w:r>
          </w:p>
        </w:tc>
        <w:tc>
          <w:tcPr>
            <w:tcW w:w="1361" w:type="dxa"/>
            <w:shd w:val="clear" w:color="000000" w:fill="FFFFFF"/>
            <w:noWrap/>
            <w:hideMark/>
          </w:tcPr>
          <w:p w14:paraId="50BD315A" w14:textId="77777777" w:rsidR="008E2ED2" w:rsidRPr="0018386D" w:rsidRDefault="008E2ED2" w:rsidP="00DD3106">
            <w:pPr>
              <w:pStyle w:val="TableText"/>
              <w:spacing w:before="30" w:after="20"/>
              <w:rPr>
                <w:rFonts w:cs="Calibri"/>
                <w:szCs w:val="18"/>
              </w:rPr>
            </w:pPr>
            <w:r w:rsidRPr="0018386D">
              <w:rPr>
                <w:rFonts w:cs="Calibri"/>
                <w:szCs w:val="18"/>
              </w:rPr>
              <w:t>0.00357</w:t>
            </w:r>
          </w:p>
        </w:tc>
      </w:tr>
      <w:tr w:rsidR="001F49EB" w:rsidRPr="0018386D" w14:paraId="59236415"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7ECFDDB0"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07789297"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379C62D4"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5882CCC" w14:textId="77777777" w:rsidR="008E2ED2" w:rsidRPr="0018386D" w:rsidRDefault="008E2ED2" w:rsidP="00DD3106">
            <w:pPr>
              <w:pStyle w:val="TableText"/>
              <w:spacing w:before="30" w:after="20"/>
              <w:rPr>
                <w:rFonts w:cs="Calibri"/>
                <w:szCs w:val="18"/>
              </w:rPr>
            </w:pPr>
            <w:r w:rsidRPr="0018386D">
              <w:rPr>
                <w:rFonts w:cs="Calibri"/>
                <w:szCs w:val="18"/>
              </w:rPr>
              <w:t>0.141</w:t>
            </w:r>
          </w:p>
        </w:tc>
        <w:tc>
          <w:tcPr>
            <w:tcW w:w="1361" w:type="dxa"/>
            <w:shd w:val="clear" w:color="000000" w:fill="FFFFFF"/>
            <w:noWrap/>
            <w:hideMark/>
          </w:tcPr>
          <w:p w14:paraId="542B300D" w14:textId="77777777" w:rsidR="008E2ED2" w:rsidRPr="0018386D" w:rsidRDefault="008E2ED2" w:rsidP="00DD3106">
            <w:pPr>
              <w:pStyle w:val="TableText"/>
              <w:spacing w:before="30" w:after="20"/>
              <w:rPr>
                <w:rFonts w:cs="Calibri"/>
                <w:szCs w:val="18"/>
              </w:rPr>
            </w:pPr>
            <w:r w:rsidRPr="0018386D">
              <w:rPr>
                <w:rFonts w:cs="Calibri"/>
                <w:szCs w:val="18"/>
              </w:rPr>
              <w:t>0.135</w:t>
            </w:r>
          </w:p>
        </w:tc>
        <w:tc>
          <w:tcPr>
            <w:tcW w:w="1361" w:type="dxa"/>
            <w:shd w:val="clear" w:color="000000" w:fill="FFFFFF"/>
            <w:noWrap/>
            <w:hideMark/>
          </w:tcPr>
          <w:p w14:paraId="17DF476E" w14:textId="77777777" w:rsidR="008E2ED2" w:rsidRPr="0018386D" w:rsidRDefault="008E2ED2" w:rsidP="00DD3106">
            <w:pPr>
              <w:pStyle w:val="TableText"/>
              <w:spacing w:before="30" w:after="20"/>
              <w:rPr>
                <w:rFonts w:cs="Calibri"/>
                <w:szCs w:val="18"/>
              </w:rPr>
            </w:pPr>
            <w:r w:rsidRPr="0018386D">
              <w:rPr>
                <w:rFonts w:cs="Calibri"/>
                <w:szCs w:val="18"/>
              </w:rPr>
              <w:t>0.00178</w:t>
            </w:r>
          </w:p>
        </w:tc>
        <w:tc>
          <w:tcPr>
            <w:tcW w:w="1361" w:type="dxa"/>
            <w:shd w:val="clear" w:color="000000" w:fill="FFFFFF"/>
            <w:noWrap/>
            <w:hideMark/>
          </w:tcPr>
          <w:p w14:paraId="6BC3FF3B" w14:textId="77777777" w:rsidR="008E2ED2" w:rsidRPr="0018386D" w:rsidRDefault="008E2ED2" w:rsidP="00DD3106">
            <w:pPr>
              <w:pStyle w:val="TableText"/>
              <w:spacing w:before="30" w:after="20"/>
              <w:rPr>
                <w:rFonts w:cs="Calibri"/>
                <w:szCs w:val="18"/>
              </w:rPr>
            </w:pPr>
            <w:r w:rsidRPr="0018386D">
              <w:rPr>
                <w:rFonts w:cs="Calibri"/>
                <w:szCs w:val="18"/>
              </w:rPr>
              <w:t>0.00408</w:t>
            </w:r>
          </w:p>
        </w:tc>
      </w:tr>
      <w:tr w:rsidR="001F49EB" w:rsidRPr="0018386D" w14:paraId="3D6495A3"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3DC357F7" w14:textId="77777777" w:rsidR="008E2ED2" w:rsidRPr="0018386D" w:rsidRDefault="008E2ED2" w:rsidP="00DD3106">
            <w:pPr>
              <w:pStyle w:val="TableText"/>
              <w:spacing w:before="30" w:after="20"/>
              <w:rPr>
                <w:rFonts w:cs="Calibri"/>
                <w:szCs w:val="18"/>
                <w:lang w:eastAsia="zh-CN" w:bidi="th-TH"/>
              </w:rPr>
            </w:pPr>
            <w:r w:rsidRPr="0018386D">
              <w:rPr>
                <w:rFonts w:cs="Calibri"/>
                <w:szCs w:val="18"/>
              </w:rPr>
              <w:t xml:space="preserve">PHEV (Petrol) - </w:t>
            </w:r>
            <w:r w:rsidRPr="0018386D">
              <w:rPr>
                <w:rFonts w:cs="Calibri"/>
                <w:szCs w:val="18"/>
                <w:lang w:eastAsia="zh-CN" w:bidi="th-TH"/>
              </w:rPr>
              <w:t>Electricity consumption</w:t>
            </w:r>
          </w:p>
        </w:tc>
        <w:tc>
          <w:tcPr>
            <w:tcW w:w="1418" w:type="dxa"/>
            <w:tcBorders>
              <w:left w:val="single" w:sz="4" w:space="0" w:color="auto"/>
            </w:tcBorders>
            <w:shd w:val="clear" w:color="000000" w:fill="FFFFFF"/>
            <w:noWrap/>
            <w:hideMark/>
          </w:tcPr>
          <w:p w14:paraId="0A126C82"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7FD97F87"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5FE691C" w14:textId="77777777" w:rsidR="008E2ED2" w:rsidRPr="0018386D" w:rsidRDefault="008E2ED2" w:rsidP="00DD3106">
            <w:pPr>
              <w:pStyle w:val="TableText"/>
              <w:spacing w:before="30" w:after="20"/>
              <w:rPr>
                <w:rFonts w:cs="Calibri"/>
                <w:szCs w:val="18"/>
              </w:rPr>
            </w:pPr>
            <w:r w:rsidRPr="0018386D">
              <w:rPr>
                <w:rFonts w:cs="Calibri"/>
                <w:szCs w:val="18"/>
              </w:rPr>
              <w:t>0.00835</w:t>
            </w:r>
          </w:p>
        </w:tc>
        <w:tc>
          <w:tcPr>
            <w:tcW w:w="1361" w:type="dxa"/>
            <w:shd w:val="clear" w:color="000000" w:fill="FFFFFF"/>
            <w:noWrap/>
            <w:hideMark/>
          </w:tcPr>
          <w:p w14:paraId="1C1335CF" w14:textId="77777777" w:rsidR="008E2ED2" w:rsidRPr="0018386D" w:rsidRDefault="008E2ED2" w:rsidP="00DD3106">
            <w:pPr>
              <w:pStyle w:val="TableText"/>
              <w:spacing w:before="30" w:after="20"/>
              <w:rPr>
                <w:rFonts w:cs="Calibri"/>
                <w:szCs w:val="18"/>
              </w:rPr>
            </w:pPr>
            <w:r w:rsidRPr="0018386D">
              <w:rPr>
                <w:rFonts w:cs="Calibri"/>
                <w:szCs w:val="18"/>
              </w:rPr>
              <w:t>0.00811</w:t>
            </w:r>
          </w:p>
        </w:tc>
        <w:tc>
          <w:tcPr>
            <w:tcW w:w="1361" w:type="dxa"/>
            <w:shd w:val="clear" w:color="000000" w:fill="FFFFFF"/>
            <w:noWrap/>
            <w:hideMark/>
          </w:tcPr>
          <w:p w14:paraId="2804097D"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3DECB83B" w14:textId="77777777" w:rsidR="008E2ED2" w:rsidRPr="0018386D" w:rsidRDefault="008E2ED2" w:rsidP="00DD3106">
            <w:pPr>
              <w:pStyle w:val="TableText"/>
              <w:spacing w:before="30" w:after="20"/>
              <w:rPr>
                <w:rFonts w:cs="Calibri"/>
                <w:szCs w:val="18"/>
              </w:rPr>
            </w:pPr>
            <w:r w:rsidRPr="0018386D">
              <w:rPr>
                <w:rFonts w:cs="Calibri"/>
                <w:szCs w:val="18"/>
              </w:rPr>
              <w:t>0.00002</w:t>
            </w:r>
          </w:p>
        </w:tc>
      </w:tr>
      <w:tr w:rsidR="001F49EB" w:rsidRPr="0018386D" w14:paraId="454E4617" w14:textId="77777777" w:rsidTr="00A453CD">
        <w:trPr>
          <w:divId w:val="1127504634"/>
        </w:trPr>
        <w:tc>
          <w:tcPr>
            <w:tcW w:w="1361" w:type="dxa"/>
            <w:tcBorders>
              <w:top w:val="nil"/>
              <w:bottom w:val="nil"/>
              <w:right w:val="single" w:sz="4" w:space="0" w:color="auto"/>
            </w:tcBorders>
            <w:shd w:val="clear" w:color="000000" w:fill="FFFFFF"/>
            <w:noWrap/>
            <w:hideMark/>
          </w:tcPr>
          <w:p w14:paraId="56CD5EC3"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1FB942CC" w14:textId="26F867FE" w:rsidR="008E2ED2" w:rsidRPr="0018386D" w:rsidRDefault="008E2ED2" w:rsidP="00DD3106">
            <w:pPr>
              <w:pStyle w:val="TableText"/>
              <w:spacing w:before="30" w:after="20"/>
              <w:rPr>
                <w:rFonts w:cs="Calibri"/>
                <w:szCs w:val="18"/>
              </w:rPr>
            </w:pPr>
            <w:r w:rsidRPr="0018386D">
              <w:rPr>
                <w:rFonts w:cs="Calibri"/>
                <w:szCs w:val="18"/>
              </w:rPr>
              <w:t>1350</w:t>
            </w:r>
            <w:r w:rsidR="005F6998" w:rsidRPr="0018386D">
              <w:rPr>
                <w:rFonts w:cs="Calibri"/>
                <w:szCs w:val="18"/>
              </w:rPr>
              <w:t>–</w:t>
            </w:r>
            <w:r w:rsidRPr="0018386D">
              <w:rPr>
                <w:rFonts w:cs="Calibri"/>
                <w:szCs w:val="18"/>
              </w:rPr>
              <w:t>&lt;1600 cc</w:t>
            </w:r>
          </w:p>
        </w:tc>
        <w:tc>
          <w:tcPr>
            <w:tcW w:w="567" w:type="dxa"/>
            <w:shd w:val="clear" w:color="000000" w:fill="FFFFFF"/>
            <w:noWrap/>
            <w:hideMark/>
          </w:tcPr>
          <w:p w14:paraId="21444B6D"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40E5ABB" w14:textId="77777777" w:rsidR="008E2ED2" w:rsidRPr="0018386D" w:rsidRDefault="008E2ED2" w:rsidP="00DD3106">
            <w:pPr>
              <w:pStyle w:val="TableText"/>
              <w:spacing w:before="30" w:after="20"/>
              <w:rPr>
                <w:rFonts w:cs="Calibri"/>
                <w:szCs w:val="18"/>
              </w:rPr>
            </w:pPr>
            <w:r w:rsidRPr="0018386D">
              <w:rPr>
                <w:rFonts w:cs="Calibri"/>
                <w:szCs w:val="18"/>
              </w:rPr>
              <w:t>0.00897</w:t>
            </w:r>
          </w:p>
        </w:tc>
        <w:tc>
          <w:tcPr>
            <w:tcW w:w="1361" w:type="dxa"/>
            <w:shd w:val="clear" w:color="000000" w:fill="FFFFFF"/>
            <w:noWrap/>
            <w:hideMark/>
          </w:tcPr>
          <w:p w14:paraId="45BB925F" w14:textId="77777777" w:rsidR="008E2ED2" w:rsidRPr="0018386D" w:rsidRDefault="008E2ED2" w:rsidP="00DD3106">
            <w:pPr>
              <w:pStyle w:val="TableText"/>
              <w:spacing w:before="30" w:after="20"/>
              <w:rPr>
                <w:rFonts w:cs="Calibri"/>
                <w:szCs w:val="18"/>
              </w:rPr>
            </w:pPr>
            <w:r w:rsidRPr="0018386D">
              <w:rPr>
                <w:rFonts w:cs="Calibri"/>
                <w:szCs w:val="18"/>
              </w:rPr>
              <w:t>0.00871</w:t>
            </w:r>
          </w:p>
        </w:tc>
        <w:tc>
          <w:tcPr>
            <w:tcW w:w="1361" w:type="dxa"/>
            <w:shd w:val="clear" w:color="000000" w:fill="FFFFFF"/>
            <w:noWrap/>
            <w:hideMark/>
          </w:tcPr>
          <w:p w14:paraId="47EB2991"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23A67E76" w14:textId="77777777" w:rsidR="008E2ED2" w:rsidRPr="0018386D" w:rsidRDefault="008E2ED2" w:rsidP="00DD3106">
            <w:pPr>
              <w:pStyle w:val="TableText"/>
              <w:spacing w:before="30" w:after="20"/>
              <w:rPr>
                <w:rFonts w:cs="Calibri"/>
                <w:szCs w:val="18"/>
              </w:rPr>
            </w:pPr>
            <w:r w:rsidRPr="0018386D">
              <w:rPr>
                <w:rFonts w:cs="Calibri"/>
                <w:szCs w:val="18"/>
              </w:rPr>
              <w:t>0.00002</w:t>
            </w:r>
          </w:p>
        </w:tc>
      </w:tr>
      <w:tr w:rsidR="001F49EB" w:rsidRPr="0018386D" w14:paraId="6CEA813F" w14:textId="77777777" w:rsidTr="00A453CD">
        <w:trPr>
          <w:divId w:val="1127504634"/>
        </w:trPr>
        <w:tc>
          <w:tcPr>
            <w:tcW w:w="1361" w:type="dxa"/>
            <w:tcBorders>
              <w:top w:val="nil"/>
              <w:bottom w:val="nil"/>
              <w:right w:val="single" w:sz="4" w:space="0" w:color="auto"/>
            </w:tcBorders>
            <w:shd w:val="clear" w:color="000000" w:fill="FFFFFF"/>
            <w:noWrap/>
            <w:hideMark/>
          </w:tcPr>
          <w:p w14:paraId="66E3B64C"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8D56890" w14:textId="22BA363E" w:rsidR="008E2ED2" w:rsidRPr="0018386D" w:rsidRDefault="008E2ED2" w:rsidP="00DD3106">
            <w:pPr>
              <w:pStyle w:val="TableText"/>
              <w:spacing w:before="30" w:after="20"/>
              <w:rPr>
                <w:rFonts w:cs="Calibri"/>
                <w:szCs w:val="18"/>
              </w:rPr>
            </w:pPr>
            <w:r w:rsidRPr="0018386D">
              <w:rPr>
                <w:rFonts w:cs="Calibri"/>
                <w:szCs w:val="18"/>
              </w:rPr>
              <w:t>1600</w:t>
            </w:r>
            <w:r w:rsidR="005F6998" w:rsidRPr="0018386D">
              <w:rPr>
                <w:rFonts w:cs="Calibri"/>
                <w:szCs w:val="18"/>
              </w:rPr>
              <w:t>–</w:t>
            </w:r>
            <w:r w:rsidRPr="0018386D">
              <w:rPr>
                <w:rFonts w:cs="Calibri"/>
                <w:szCs w:val="18"/>
              </w:rPr>
              <w:t>&lt;2000 cc</w:t>
            </w:r>
          </w:p>
        </w:tc>
        <w:tc>
          <w:tcPr>
            <w:tcW w:w="567" w:type="dxa"/>
            <w:shd w:val="clear" w:color="000000" w:fill="FFFFFF"/>
            <w:noWrap/>
            <w:hideMark/>
          </w:tcPr>
          <w:p w14:paraId="3E1925D1"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5CCA408" w14:textId="77777777" w:rsidR="008E2ED2" w:rsidRPr="0018386D" w:rsidRDefault="008E2ED2" w:rsidP="00DD3106">
            <w:pPr>
              <w:pStyle w:val="TableText"/>
              <w:spacing w:before="30" w:after="20"/>
              <w:rPr>
                <w:rFonts w:cs="Calibri"/>
                <w:szCs w:val="18"/>
              </w:rPr>
            </w:pPr>
            <w:r w:rsidRPr="0018386D">
              <w:rPr>
                <w:rFonts w:cs="Calibri"/>
                <w:szCs w:val="18"/>
              </w:rPr>
              <w:t>0.0101</w:t>
            </w:r>
          </w:p>
        </w:tc>
        <w:tc>
          <w:tcPr>
            <w:tcW w:w="1361" w:type="dxa"/>
            <w:shd w:val="clear" w:color="000000" w:fill="FFFFFF"/>
            <w:noWrap/>
            <w:hideMark/>
          </w:tcPr>
          <w:p w14:paraId="76BDB054" w14:textId="77777777" w:rsidR="008E2ED2" w:rsidRPr="0018386D" w:rsidRDefault="008E2ED2" w:rsidP="00DD3106">
            <w:pPr>
              <w:pStyle w:val="TableText"/>
              <w:spacing w:before="30" w:after="20"/>
              <w:rPr>
                <w:rFonts w:cs="Calibri"/>
                <w:szCs w:val="18"/>
              </w:rPr>
            </w:pPr>
            <w:r w:rsidRPr="0018386D">
              <w:rPr>
                <w:rFonts w:cs="Calibri"/>
                <w:szCs w:val="18"/>
              </w:rPr>
              <w:t>0.00986</w:t>
            </w:r>
          </w:p>
        </w:tc>
        <w:tc>
          <w:tcPr>
            <w:tcW w:w="1361" w:type="dxa"/>
            <w:shd w:val="clear" w:color="000000" w:fill="FFFFFF"/>
            <w:noWrap/>
            <w:hideMark/>
          </w:tcPr>
          <w:p w14:paraId="66227628"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531BCF3F" w14:textId="77777777" w:rsidR="008E2ED2" w:rsidRPr="0018386D" w:rsidRDefault="008E2ED2" w:rsidP="00DD3106">
            <w:pPr>
              <w:pStyle w:val="TableText"/>
              <w:spacing w:before="30" w:after="20"/>
              <w:rPr>
                <w:rFonts w:cs="Calibri"/>
                <w:szCs w:val="18"/>
              </w:rPr>
            </w:pPr>
            <w:r w:rsidRPr="0018386D">
              <w:rPr>
                <w:rFonts w:cs="Calibri"/>
                <w:szCs w:val="18"/>
              </w:rPr>
              <w:t>0.00002</w:t>
            </w:r>
          </w:p>
        </w:tc>
      </w:tr>
      <w:tr w:rsidR="001F49EB" w:rsidRPr="0018386D" w14:paraId="3FCBF9F6" w14:textId="77777777" w:rsidTr="00A453CD">
        <w:trPr>
          <w:divId w:val="1127504634"/>
        </w:trPr>
        <w:tc>
          <w:tcPr>
            <w:tcW w:w="1361" w:type="dxa"/>
            <w:tcBorders>
              <w:top w:val="nil"/>
              <w:bottom w:val="nil"/>
              <w:right w:val="single" w:sz="4" w:space="0" w:color="auto"/>
            </w:tcBorders>
            <w:shd w:val="clear" w:color="000000" w:fill="FFFFFF"/>
            <w:noWrap/>
            <w:hideMark/>
          </w:tcPr>
          <w:p w14:paraId="7B6D3429"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277706DA" w14:textId="5CBFC07D" w:rsidR="008E2ED2" w:rsidRPr="0018386D" w:rsidRDefault="008E2ED2" w:rsidP="00DD3106">
            <w:pPr>
              <w:pStyle w:val="TableText"/>
              <w:spacing w:before="30" w:after="20"/>
              <w:rPr>
                <w:rFonts w:cs="Calibri"/>
                <w:szCs w:val="18"/>
              </w:rPr>
            </w:pPr>
            <w:r w:rsidRPr="0018386D">
              <w:rPr>
                <w:rFonts w:cs="Calibri"/>
                <w:szCs w:val="18"/>
              </w:rPr>
              <w:t>2000</w:t>
            </w:r>
            <w:r w:rsidR="005F6998" w:rsidRPr="0018386D">
              <w:rPr>
                <w:rFonts w:cs="Calibri"/>
                <w:szCs w:val="18"/>
              </w:rPr>
              <w:t>–</w:t>
            </w:r>
            <w:r w:rsidRPr="0018386D">
              <w:rPr>
                <w:rFonts w:cs="Calibri"/>
                <w:szCs w:val="18"/>
              </w:rPr>
              <w:t>&lt;3000 cc</w:t>
            </w:r>
          </w:p>
        </w:tc>
        <w:tc>
          <w:tcPr>
            <w:tcW w:w="567" w:type="dxa"/>
            <w:shd w:val="clear" w:color="000000" w:fill="FFFFFF"/>
            <w:noWrap/>
            <w:hideMark/>
          </w:tcPr>
          <w:p w14:paraId="1C4E99B6"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E6B9DA8" w14:textId="77777777" w:rsidR="008E2ED2" w:rsidRPr="0018386D" w:rsidRDefault="008E2ED2" w:rsidP="00DD3106">
            <w:pPr>
              <w:pStyle w:val="TableText"/>
              <w:spacing w:before="30" w:after="20"/>
              <w:rPr>
                <w:rFonts w:cs="Calibri"/>
                <w:szCs w:val="18"/>
              </w:rPr>
            </w:pPr>
            <w:r w:rsidRPr="0018386D">
              <w:rPr>
                <w:rFonts w:cs="Calibri"/>
                <w:szCs w:val="18"/>
              </w:rPr>
              <w:t>0.0125</w:t>
            </w:r>
          </w:p>
        </w:tc>
        <w:tc>
          <w:tcPr>
            <w:tcW w:w="1361" w:type="dxa"/>
            <w:shd w:val="clear" w:color="000000" w:fill="FFFFFF"/>
            <w:noWrap/>
            <w:hideMark/>
          </w:tcPr>
          <w:p w14:paraId="518BF4E5" w14:textId="77777777" w:rsidR="008E2ED2" w:rsidRPr="0018386D" w:rsidRDefault="008E2ED2" w:rsidP="00DD3106">
            <w:pPr>
              <w:pStyle w:val="TableText"/>
              <w:spacing w:before="30" w:after="20"/>
              <w:rPr>
                <w:rFonts w:cs="Calibri"/>
                <w:szCs w:val="18"/>
              </w:rPr>
            </w:pPr>
            <w:r w:rsidRPr="0018386D">
              <w:rPr>
                <w:rFonts w:cs="Calibri"/>
                <w:szCs w:val="18"/>
              </w:rPr>
              <w:t>0.0121</w:t>
            </w:r>
          </w:p>
        </w:tc>
        <w:tc>
          <w:tcPr>
            <w:tcW w:w="1361" w:type="dxa"/>
            <w:shd w:val="clear" w:color="000000" w:fill="FFFFFF"/>
            <w:noWrap/>
            <w:hideMark/>
          </w:tcPr>
          <w:p w14:paraId="013EDE3F"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63E0BD53" w14:textId="77777777" w:rsidR="008E2ED2" w:rsidRPr="0018386D" w:rsidRDefault="008E2ED2" w:rsidP="00DD3106">
            <w:pPr>
              <w:pStyle w:val="TableText"/>
              <w:spacing w:before="30" w:after="20"/>
              <w:rPr>
                <w:rFonts w:cs="Calibri"/>
                <w:szCs w:val="18"/>
              </w:rPr>
            </w:pPr>
            <w:r w:rsidRPr="0018386D">
              <w:rPr>
                <w:rFonts w:cs="Calibri"/>
                <w:szCs w:val="18"/>
              </w:rPr>
              <w:t>0.00003</w:t>
            </w:r>
          </w:p>
        </w:tc>
      </w:tr>
      <w:tr w:rsidR="001F49EB" w:rsidRPr="0018386D" w14:paraId="14C0BA9A"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0F412B63"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522A2059"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3527D6B1"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4640E67" w14:textId="77777777" w:rsidR="008E2ED2" w:rsidRPr="0018386D" w:rsidRDefault="008E2ED2" w:rsidP="00DD3106">
            <w:pPr>
              <w:pStyle w:val="TableText"/>
              <w:spacing w:before="30" w:after="20"/>
              <w:rPr>
                <w:rFonts w:cs="Calibri"/>
                <w:szCs w:val="18"/>
              </w:rPr>
            </w:pPr>
            <w:r w:rsidRPr="0018386D">
              <w:rPr>
                <w:rFonts w:cs="Calibri"/>
                <w:szCs w:val="18"/>
              </w:rPr>
              <w:t>0.0146</w:t>
            </w:r>
          </w:p>
        </w:tc>
        <w:tc>
          <w:tcPr>
            <w:tcW w:w="1361" w:type="dxa"/>
            <w:shd w:val="clear" w:color="000000" w:fill="FFFFFF"/>
            <w:noWrap/>
            <w:hideMark/>
          </w:tcPr>
          <w:p w14:paraId="1D8977E9" w14:textId="77777777" w:rsidR="008E2ED2" w:rsidRPr="0018386D" w:rsidRDefault="008E2ED2" w:rsidP="00DD3106">
            <w:pPr>
              <w:pStyle w:val="TableText"/>
              <w:spacing w:before="30" w:after="20"/>
              <w:rPr>
                <w:rFonts w:cs="Calibri"/>
                <w:szCs w:val="18"/>
              </w:rPr>
            </w:pPr>
            <w:r w:rsidRPr="0018386D">
              <w:rPr>
                <w:rFonts w:cs="Calibri"/>
                <w:szCs w:val="18"/>
              </w:rPr>
              <w:t>0.0142</w:t>
            </w:r>
          </w:p>
        </w:tc>
        <w:tc>
          <w:tcPr>
            <w:tcW w:w="1361" w:type="dxa"/>
            <w:shd w:val="clear" w:color="000000" w:fill="FFFFFF"/>
            <w:noWrap/>
            <w:hideMark/>
          </w:tcPr>
          <w:p w14:paraId="3DC9EE1A" w14:textId="77777777" w:rsidR="008E2ED2" w:rsidRPr="0018386D" w:rsidRDefault="008E2ED2" w:rsidP="00DD3106">
            <w:pPr>
              <w:pStyle w:val="TableText"/>
              <w:spacing w:before="30" w:after="20"/>
              <w:rPr>
                <w:rFonts w:cs="Calibri"/>
                <w:szCs w:val="18"/>
              </w:rPr>
            </w:pPr>
            <w:r w:rsidRPr="0018386D">
              <w:rPr>
                <w:rFonts w:cs="Calibri"/>
                <w:szCs w:val="18"/>
              </w:rPr>
              <w:t>0.0004</w:t>
            </w:r>
          </w:p>
        </w:tc>
        <w:tc>
          <w:tcPr>
            <w:tcW w:w="1361" w:type="dxa"/>
            <w:shd w:val="clear" w:color="000000" w:fill="FFFFFF"/>
            <w:noWrap/>
            <w:hideMark/>
          </w:tcPr>
          <w:p w14:paraId="06C027BA" w14:textId="77777777" w:rsidR="008E2ED2" w:rsidRPr="0018386D" w:rsidRDefault="008E2ED2" w:rsidP="00DD3106">
            <w:pPr>
              <w:pStyle w:val="TableText"/>
              <w:spacing w:before="30" w:after="20"/>
              <w:rPr>
                <w:rFonts w:cs="Calibri"/>
                <w:szCs w:val="18"/>
              </w:rPr>
            </w:pPr>
            <w:r w:rsidRPr="0018386D">
              <w:rPr>
                <w:rFonts w:cs="Calibri"/>
                <w:szCs w:val="18"/>
              </w:rPr>
              <w:t>0.00003</w:t>
            </w:r>
          </w:p>
        </w:tc>
      </w:tr>
      <w:tr w:rsidR="001F49EB" w:rsidRPr="0018386D" w14:paraId="44636F8C"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40C369FB" w14:textId="77777777" w:rsidR="008E2ED2" w:rsidRPr="0018386D" w:rsidRDefault="008E2ED2" w:rsidP="00DD3106">
            <w:pPr>
              <w:pStyle w:val="TableText"/>
              <w:spacing w:before="30" w:after="20"/>
              <w:rPr>
                <w:rFonts w:cs="Calibri"/>
                <w:szCs w:val="18"/>
                <w:lang w:eastAsia="zh-CN" w:bidi="th-TH"/>
              </w:rPr>
            </w:pPr>
            <w:r w:rsidRPr="0018386D">
              <w:rPr>
                <w:rFonts w:cs="Calibri"/>
                <w:szCs w:val="18"/>
              </w:rPr>
              <w:t>PHEV (Diesel</w:t>
            </w:r>
            <w:r w:rsidRPr="0018386D">
              <w:rPr>
                <w:rFonts w:cs="Calibri"/>
                <w:szCs w:val="18"/>
                <w:lang w:eastAsia="zh-CN" w:bidi="th-TH"/>
              </w:rPr>
              <w:t>) - Diesel consumption</w:t>
            </w:r>
          </w:p>
        </w:tc>
        <w:tc>
          <w:tcPr>
            <w:tcW w:w="1418" w:type="dxa"/>
            <w:tcBorders>
              <w:left w:val="single" w:sz="4" w:space="0" w:color="auto"/>
            </w:tcBorders>
            <w:shd w:val="clear" w:color="000000" w:fill="FFFFFF"/>
            <w:noWrap/>
            <w:hideMark/>
          </w:tcPr>
          <w:p w14:paraId="23C59954"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6E97E881"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4BF9785" w14:textId="77777777" w:rsidR="008E2ED2" w:rsidRPr="0018386D" w:rsidRDefault="008E2ED2" w:rsidP="00DD3106">
            <w:pPr>
              <w:pStyle w:val="TableText"/>
              <w:spacing w:before="30" w:after="20"/>
              <w:rPr>
                <w:rFonts w:cs="Calibri"/>
                <w:szCs w:val="18"/>
              </w:rPr>
            </w:pPr>
            <w:r w:rsidRPr="0018386D">
              <w:rPr>
                <w:rFonts w:cs="Calibri"/>
                <w:szCs w:val="18"/>
              </w:rPr>
              <w:t>0.0939</w:t>
            </w:r>
          </w:p>
        </w:tc>
        <w:tc>
          <w:tcPr>
            <w:tcW w:w="1361" w:type="dxa"/>
            <w:shd w:val="clear" w:color="000000" w:fill="FFFFFF"/>
            <w:noWrap/>
            <w:hideMark/>
          </w:tcPr>
          <w:p w14:paraId="5524B07E" w14:textId="77777777" w:rsidR="008E2ED2" w:rsidRPr="0018386D" w:rsidRDefault="008E2ED2" w:rsidP="00DD3106">
            <w:pPr>
              <w:pStyle w:val="TableText"/>
              <w:spacing w:before="30" w:after="20"/>
              <w:rPr>
                <w:rFonts w:cs="Calibri"/>
                <w:szCs w:val="18"/>
              </w:rPr>
            </w:pPr>
            <w:r w:rsidRPr="0018386D">
              <w:rPr>
                <w:rFonts w:cs="Calibri"/>
                <w:szCs w:val="18"/>
              </w:rPr>
              <w:t>0.0925</w:t>
            </w:r>
          </w:p>
        </w:tc>
        <w:tc>
          <w:tcPr>
            <w:tcW w:w="1361" w:type="dxa"/>
            <w:shd w:val="clear" w:color="000000" w:fill="FFFFFF"/>
            <w:noWrap/>
            <w:hideMark/>
          </w:tcPr>
          <w:p w14:paraId="7B93B02E" w14:textId="77777777" w:rsidR="008E2ED2" w:rsidRPr="0018386D" w:rsidRDefault="008E2ED2" w:rsidP="00DD3106">
            <w:pPr>
              <w:pStyle w:val="TableText"/>
              <w:spacing w:before="30" w:after="20"/>
              <w:rPr>
                <w:rFonts w:cs="Calibri"/>
                <w:szCs w:val="18"/>
              </w:rPr>
            </w:pPr>
            <w:r w:rsidRPr="0018386D">
              <w:rPr>
                <w:rFonts w:cs="Calibri"/>
                <w:szCs w:val="18"/>
              </w:rPr>
              <w:t>0.0001</w:t>
            </w:r>
          </w:p>
        </w:tc>
        <w:tc>
          <w:tcPr>
            <w:tcW w:w="1361" w:type="dxa"/>
            <w:shd w:val="clear" w:color="000000" w:fill="FFFFFF"/>
            <w:noWrap/>
            <w:hideMark/>
          </w:tcPr>
          <w:p w14:paraId="6BDACFD1" w14:textId="77777777" w:rsidR="008E2ED2" w:rsidRPr="0018386D" w:rsidRDefault="008E2ED2" w:rsidP="00DD3106">
            <w:pPr>
              <w:pStyle w:val="TableText"/>
              <w:spacing w:before="30" w:after="20"/>
              <w:rPr>
                <w:rFonts w:cs="Calibri"/>
                <w:szCs w:val="18"/>
              </w:rPr>
            </w:pPr>
            <w:r w:rsidRPr="0018386D">
              <w:rPr>
                <w:rFonts w:cs="Calibri"/>
                <w:szCs w:val="18"/>
              </w:rPr>
              <w:t>0.00131</w:t>
            </w:r>
          </w:p>
        </w:tc>
      </w:tr>
      <w:tr w:rsidR="001F49EB" w:rsidRPr="0018386D" w14:paraId="12FB7D68" w14:textId="77777777" w:rsidTr="00A453CD">
        <w:trPr>
          <w:divId w:val="1127504634"/>
        </w:trPr>
        <w:tc>
          <w:tcPr>
            <w:tcW w:w="1361" w:type="dxa"/>
            <w:tcBorders>
              <w:top w:val="nil"/>
              <w:bottom w:val="nil"/>
              <w:right w:val="single" w:sz="4" w:space="0" w:color="auto"/>
            </w:tcBorders>
            <w:shd w:val="clear" w:color="000000" w:fill="FFFFFF"/>
            <w:noWrap/>
            <w:hideMark/>
          </w:tcPr>
          <w:p w14:paraId="35BB39FB"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6AAC3024" w14:textId="43485EB1" w:rsidR="008E2ED2" w:rsidRPr="0018386D" w:rsidRDefault="008E2ED2" w:rsidP="00DD3106">
            <w:pPr>
              <w:pStyle w:val="TableText"/>
              <w:spacing w:before="30" w:after="20"/>
              <w:rPr>
                <w:rFonts w:cs="Calibri"/>
                <w:szCs w:val="18"/>
              </w:rPr>
            </w:pPr>
            <w:r w:rsidRPr="0018386D">
              <w:rPr>
                <w:rFonts w:cs="Calibri"/>
                <w:szCs w:val="18"/>
              </w:rPr>
              <w:t>1350</w:t>
            </w:r>
            <w:r w:rsidR="005F6998" w:rsidRPr="0018386D">
              <w:rPr>
                <w:rFonts w:cs="Calibri"/>
                <w:szCs w:val="18"/>
              </w:rPr>
              <w:t>–</w:t>
            </w:r>
            <w:r w:rsidRPr="0018386D">
              <w:rPr>
                <w:rFonts w:cs="Calibri"/>
                <w:szCs w:val="18"/>
              </w:rPr>
              <w:t>&lt;1600 cc</w:t>
            </w:r>
          </w:p>
        </w:tc>
        <w:tc>
          <w:tcPr>
            <w:tcW w:w="567" w:type="dxa"/>
            <w:shd w:val="clear" w:color="000000" w:fill="FFFFFF"/>
            <w:noWrap/>
            <w:hideMark/>
          </w:tcPr>
          <w:p w14:paraId="6ABFCCBC"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B1E4B92" w14:textId="77777777" w:rsidR="008E2ED2" w:rsidRPr="0018386D" w:rsidRDefault="008E2ED2" w:rsidP="00DD3106">
            <w:pPr>
              <w:pStyle w:val="TableText"/>
              <w:spacing w:before="30" w:after="20"/>
              <w:rPr>
                <w:rFonts w:cs="Calibri"/>
                <w:szCs w:val="18"/>
              </w:rPr>
            </w:pPr>
            <w:r w:rsidRPr="0018386D">
              <w:rPr>
                <w:rFonts w:cs="Calibri"/>
                <w:szCs w:val="18"/>
              </w:rPr>
              <w:t>0.0904</w:t>
            </w:r>
          </w:p>
        </w:tc>
        <w:tc>
          <w:tcPr>
            <w:tcW w:w="1361" w:type="dxa"/>
            <w:shd w:val="clear" w:color="000000" w:fill="FFFFFF"/>
            <w:noWrap/>
            <w:hideMark/>
          </w:tcPr>
          <w:p w14:paraId="344602DF" w14:textId="77777777" w:rsidR="008E2ED2" w:rsidRPr="0018386D" w:rsidRDefault="008E2ED2" w:rsidP="00DD3106">
            <w:pPr>
              <w:pStyle w:val="TableText"/>
              <w:spacing w:before="30" w:after="20"/>
              <w:rPr>
                <w:rFonts w:cs="Calibri"/>
                <w:szCs w:val="18"/>
              </w:rPr>
            </w:pPr>
            <w:r w:rsidRPr="0018386D">
              <w:rPr>
                <w:rFonts w:cs="Calibri"/>
                <w:szCs w:val="18"/>
              </w:rPr>
              <w:t>0.0890</w:t>
            </w:r>
          </w:p>
        </w:tc>
        <w:tc>
          <w:tcPr>
            <w:tcW w:w="1361" w:type="dxa"/>
            <w:shd w:val="clear" w:color="000000" w:fill="FFFFFF"/>
            <w:noWrap/>
            <w:hideMark/>
          </w:tcPr>
          <w:p w14:paraId="7CE8EEE3" w14:textId="77777777" w:rsidR="008E2ED2" w:rsidRPr="0018386D" w:rsidRDefault="008E2ED2" w:rsidP="00DD3106">
            <w:pPr>
              <w:pStyle w:val="TableText"/>
              <w:spacing w:before="30" w:after="20"/>
              <w:rPr>
                <w:rFonts w:cs="Calibri"/>
                <w:szCs w:val="18"/>
              </w:rPr>
            </w:pPr>
            <w:r w:rsidRPr="0018386D">
              <w:rPr>
                <w:rFonts w:cs="Calibri"/>
                <w:szCs w:val="18"/>
              </w:rPr>
              <w:t>0.0001</w:t>
            </w:r>
          </w:p>
        </w:tc>
        <w:tc>
          <w:tcPr>
            <w:tcW w:w="1361" w:type="dxa"/>
            <w:shd w:val="clear" w:color="000000" w:fill="FFFFFF"/>
            <w:noWrap/>
            <w:hideMark/>
          </w:tcPr>
          <w:p w14:paraId="0F217E6B" w14:textId="77777777" w:rsidR="008E2ED2" w:rsidRPr="0018386D" w:rsidRDefault="008E2ED2" w:rsidP="00DD3106">
            <w:pPr>
              <w:pStyle w:val="TableText"/>
              <w:spacing w:before="30" w:after="20"/>
              <w:rPr>
                <w:rFonts w:cs="Calibri"/>
                <w:szCs w:val="18"/>
              </w:rPr>
            </w:pPr>
            <w:r w:rsidRPr="0018386D">
              <w:rPr>
                <w:rFonts w:cs="Calibri"/>
                <w:szCs w:val="18"/>
              </w:rPr>
              <w:t>0.00126</w:t>
            </w:r>
          </w:p>
        </w:tc>
      </w:tr>
      <w:tr w:rsidR="001F49EB" w:rsidRPr="0018386D" w14:paraId="63050092" w14:textId="77777777" w:rsidTr="00A453CD">
        <w:trPr>
          <w:divId w:val="1127504634"/>
        </w:trPr>
        <w:tc>
          <w:tcPr>
            <w:tcW w:w="1361" w:type="dxa"/>
            <w:tcBorders>
              <w:top w:val="nil"/>
              <w:bottom w:val="nil"/>
              <w:right w:val="single" w:sz="4" w:space="0" w:color="auto"/>
            </w:tcBorders>
            <w:shd w:val="clear" w:color="000000" w:fill="FFFFFF"/>
            <w:noWrap/>
            <w:hideMark/>
          </w:tcPr>
          <w:p w14:paraId="5506AA8A"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7BC94CF7" w14:textId="4A6579A0" w:rsidR="008E2ED2" w:rsidRPr="0018386D" w:rsidRDefault="008E2ED2" w:rsidP="00DD3106">
            <w:pPr>
              <w:pStyle w:val="TableText"/>
              <w:spacing w:before="30" w:after="20"/>
              <w:rPr>
                <w:rFonts w:cs="Calibri"/>
                <w:szCs w:val="18"/>
              </w:rPr>
            </w:pPr>
            <w:r w:rsidRPr="0018386D">
              <w:rPr>
                <w:rFonts w:cs="Calibri"/>
                <w:szCs w:val="18"/>
              </w:rPr>
              <w:t>1600</w:t>
            </w:r>
            <w:r w:rsidR="005F6998" w:rsidRPr="0018386D">
              <w:rPr>
                <w:rFonts w:cs="Calibri"/>
                <w:szCs w:val="18"/>
              </w:rPr>
              <w:t>–</w:t>
            </w:r>
            <w:r w:rsidRPr="0018386D">
              <w:rPr>
                <w:rFonts w:cs="Calibri"/>
                <w:szCs w:val="18"/>
              </w:rPr>
              <w:t>&lt;2000 cc</w:t>
            </w:r>
          </w:p>
        </w:tc>
        <w:tc>
          <w:tcPr>
            <w:tcW w:w="567" w:type="dxa"/>
            <w:shd w:val="clear" w:color="000000" w:fill="FFFFFF"/>
            <w:noWrap/>
            <w:hideMark/>
          </w:tcPr>
          <w:p w14:paraId="749AA1F4"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B440227" w14:textId="77777777" w:rsidR="008E2ED2" w:rsidRPr="0018386D" w:rsidRDefault="008E2ED2" w:rsidP="00DD3106">
            <w:pPr>
              <w:pStyle w:val="TableText"/>
              <w:spacing w:before="30" w:after="20"/>
              <w:rPr>
                <w:rFonts w:cs="Calibri"/>
                <w:szCs w:val="18"/>
              </w:rPr>
            </w:pPr>
            <w:r w:rsidRPr="0018386D">
              <w:rPr>
                <w:rFonts w:cs="Calibri"/>
                <w:szCs w:val="18"/>
              </w:rPr>
              <w:t>0.120</w:t>
            </w:r>
          </w:p>
        </w:tc>
        <w:tc>
          <w:tcPr>
            <w:tcW w:w="1361" w:type="dxa"/>
            <w:shd w:val="clear" w:color="000000" w:fill="FFFFFF"/>
            <w:noWrap/>
            <w:hideMark/>
          </w:tcPr>
          <w:p w14:paraId="2B137D64" w14:textId="77777777" w:rsidR="008E2ED2" w:rsidRPr="0018386D" w:rsidRDefault="008E2ED2" w:rsidP="00DD3106">
            <w:pPr>
              <w:pStyle w:val="TableText"/>
              <w:spacing w:before="30" w:after="20"/>
              <w:rPr>
                <w:rFonts w:cs="Calibri"/>
                <w:szCs w:val="18"/>
              </w:rPr>
            </w:pPr>
            <w:r w:rsidRPr="0018386D">
              <w:rPr>
                <w:rFonts w:cs="Calibri"/>
                <w:szCs w:val="18"/>
              </w:rPr>
              <w:t>0.118</w:t>
            </w:r>
          </w:p>
        </w:tc>
        <w:tc>
          <w:tcPr>
            <w:tcW w:w="1361" w:type="dxa"/>
            <w:shd w:val="clear" w:color="000000" w:fill="FFFFFF"/>
            <w:noWrap/>
            <w:hideMark/>
          </w:tcPr>
          <w:p w14:paraId="25BE3C79"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0E22AAF4" w14:textId="77777777" w:rsidR="008E2ED2" w:rsidRPr="0018386D" w:rsidRDefault="008E2ED2" w:rsidP="00DD3106">
            <w:pPr>
              <w:pStyle w:val="TableText"/>
              <w:spacing w:before="30" w:after="20"/>
              <w:rPr>
                <w:rFonts w:cs="Calibri"/>
                <w:szCs w:val="18"/>
              </w:rPr>
            </w:pPr>
            <w:r w:rsidRPr="0018386D">
              <w:rPr>
                <w:rFonts w:cs="Calibri"/>
                <w:szCs w:val="18"/>
              </w:rPr>
              <w:t>0.00167</w:t>
            </w:r>
          </w:p>
        </w:tc>
      </w:tr>
      <w:tr w:rsidR="001F49EB" w:rsidRPr="0018386D" w14:paraId="28F08067" w14:textId="77777777" w:rsidTr="00A453CD">
        <w:trPr>
          <w:divId w:val="1127504634"/>
        </w:trPr>
        <w:tc>
          <w:tcPr>
            <w:tcW w:w="1361" w:type="dxa"/>
            <w:tcBorders>
              <w:top w:val="nil"/>
              <w:bottom w:val="nil"/>
              <w:right w:val="single" w:sz="4" w:space="0" w:color="auto"/>
            </w:tcBorders>
            <w:shd w:val="clear" w:color="000000" w:fill="FFFFFF"/>
            <w:noWrap/>
            <w:hideMark/>
          </w:tcPr>
          <w:p w14:paraId="51F3C824"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1051E486" w14:textId="31F7DA59" w:rsidR="008E2ED2" w:rsidRPr="0018386D" w:rsidRDefault="008E2ED2" w:rsidP="00DD3106">
            <w:pPr>
              <w:pStyle w:val="TableText"/>
              <w:spacing w:before="30" w:after="20"/>
              <w:rPr>
                <w:rFonts w:cs="Calibri"/>
                <w:szCs w:val="18"/>
              </w:rPr>
            </w:pPr>
            <w:r w:rsidRPr="0018386D">
              <w:rPr>
                <w:rFonts w:cs="Calibri"/>
                <w:szCs w:val="18"/>
              </w:rPr>
              <w:t>2000</w:t>
            </w:r>
            <w:r w:rsidR="005F6998" w:rsidRPr="0018386D">
              <w:rPr>
                <w:rFonts w:cs="Calibri"/>
                <w:szCs w:val="18"/>
              </w:rPr>
              <w:t>–</w:t>
            </w:r>
            <w:r w:rsidRPr="0018386D">
              <w:rPr>
                <w:rFonts w:cs="Calibri"/>
                <w:szCs w:val="18"/>
              </w:rPr>
              <w:t>&lt;3000 cc</w:t>
            </w:r>
          </w:p>
        </w:tc>
        <w:tc>
          <w:tcPr>
            <w:tcW w:w="567" w:type="dxa"/>
            <w:shd w:val="clear" w:color="000000" w:fill="FFFFFF"/>
            <w:noWrap/>
            <w:hideMark/>
          </w:tcPr>
          <w:p w14:paraId="30B89B2F"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35261DE3" w14:textId="77777777" w:rsidR="008E2ED2" w:rsidRPr="0018386D" w:rsidRDefault="008E2ED2" w:rsidP="00DD3106">
            <w:pPr>
              <w:pStyle w:val="TableText"/>
              <w:spacing w:before="30" w:after="20"/>
              <w:rPr>
                <w:rFonts w:cs="Calibri"/>
                <w:szCs w:val="18"/>
              </w:rPr>
            </w:pPr>
            <w:r w:rsidRPr="0018386D">
              <w:rPr>
                <w:rFonts w:cs="Calibri"/>
                <w:szCs w:val="18"/>
              </w:rPr>
              <w:t>0.129</w:t>
            </w:r>
          </w:p>
        </w:tc>
        <w:tc>
          <w:tcPr>
            <w:tcW w:w="1361" w:type="dxa"/>
            <w:shd w:val="clear" w:color="000000" w:fill="FFFFFF"/>
            <w:noWrap/>
            <w:hideMark/>
          </w:tcPr>
          <w:p w14:paraId="12554FB4" w14:textId="77777777" w:rsidR="008E2ED2" w:rsidRPr="0018386D" w:rsidRDefault="008E2ED2" w:rsidP="00DD3106">
            <w:pPr>
              <w:pStyle w:val="TableText"/>
              <w:spacing w:before="30" w:after="20"/>
              <w:rPr>
                <w:rFonts w:cs="Calibri"/>
                <w:szCs w:val="18"/>
              </w:rPr>
            </w:pPr>
            <w:r w:rsidRPr="0018386D">
              <w:rPr>
                <w:rFonts w:cs="Calibri"/>
                <w:szCs w:val="18"/>
              </w:rPr>
              <w:t>0.127</w:t>
            </w:r>
          </w:p>
        </w:tc>
        <w:tc>
          <w:tcPr>
            <w:tcW w:w="1361" w:type="dxa"/>
            <w:shd w:val="clear" w:color="000000" w:fill="FFFFFF"/>
            <w:noWrap/>
            <w:hideMark/>
          </w:tcPr>
          <w:p w14:paraId="6DDF75BE"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30B4F38F" w14:textId="77777777" w:rsidR="008E2ED2" w:rsidRPr="0018386D" w:rsidRDefault="008E2ED2" w:rsidP="00DD3106">
            <w:pPr>
              <w:pStyle w:val="TableText"/>
              <w:spacing w:before="30" w:after="20"/>
              <w:rPr>
                <w:rFonts w:cs="Calibri"/>
                <w:szCs w:val="18"/>
              </w:rPr>
            </w:pPr>
            <w:r w:rsidRPr="0018386D">
              <w:rPr>
                <w:rFonts w:cs="Calibri"/>
                <w:szCs w:val="18"/>
              </w:rPr>
              <w:t>0.00180</w:t>
            </w:r>
          </w:p>
        </w:tc>
      </w:tr>
      <w:tr w:rsidR="001F49EB" w:rsidRPr="0018386D" w14:paraId="7A5F8839"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2D7AC5E3"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5A066078"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41AFAE9D"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BCAA0C5" w14:textId="77777777" w:rsidR="008E2ED2" w:rsidRPr="0018386D" w:rsidRDefault="008E2ED2" w:rsidP="00DD3106">
            <w:pPr>
              <w:pStyle w:val="TableText"/>
              <w:spacing w:before="30" w:after="20"/>
              <w:rPr>
                <w:rFonts w:cs="Calibri"/>
                <w:szCs w:val="18"/>
              </w:rPr>
            </w:pPr>
            <w:r w:rsidRPr="0018386D">
              <w:rPr>
                <w:rFonts w:cs="Calibri"/>
                <w:szCs w:val="18"/>
              </w:rPr>
              <w:t>0.131</w:t>
            </w:r>
          </w:p>
        </w:tc>
        <w:tc>
          <w:tcPr>
            <w:tcW w:w="1361" w:type="dxa"/>
            <w:shd w:val="clear" w:color="000000" w:fill="FFFFFF"/>
            <w:noWrap/>
            <w:hideMark/>
          </w:tcPr>
          <w:p w14:paraId="77864FF9" w14:textId="77777777" w:rsidR="008E2ED2" w:rsidRPr="0018386D" w:rsidRDefault="008E2ED2" w:rsidP="00DD3106">
            <w:pPr>
              <w:pStyle w:val="TableText"/>
              <w:spacing w:before="30" w:after="20"/>
              <w:rPr>
                <w:rFonts w:cs="Calibri"/>
                <w:szCs w:val="18"/>
              </w:rPr>
            </w:pPr>
            <w:r w:rsidRPr="0018386D">
              <w:rPr>
                <w:rFonts w:cs="Calibri"/>
                <w:szCs w:val="18"/>
              </w:rPr>
              <w:t>0.129</w:t>
            </w:r>
          </w:p>
        </w:tc>
        <w:tc>
          <w:tcPr>
            <w:tcW w:w="1361" w:type="dxa"/>
            <w:shd w:val="clear" w:color="000000" w:fill="FFFFFF"/>
            <w:noWrap/>
            <w:hideMark/>
          </w:tcPr>
          <w:p w14:paraId="76B6FC50"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64FA88D0" w14:textId="77777777" w:rsidR="008E2ED2" w:rsidRPr="0018386D" w:rsidRDefault="008E2ED2" w:rsidP="00DD3106">
            <w:pPr>
              <w:pStyle w:val="TableText"/>
              <w:spacing w:before="30" w:after="20"/>
              <w:rPr>
                <w:rFonts w:cs="Calibri"/>
                <w:szCs w:val="18"/>
              </w:rPr>
            </w:pPr>
            <w:r w:rsidRPr="0018386D">
              <w:rPr>
                <w:rFonts w:cs="Calibri"/>
                <w:szCs w:val="18"/>
              </w:rPr>
              <w:t>0.00182</w:t>
            </w:r>
          </w:p>
        </w:tc>
      </w:tr>
      <w:tr w:rsidR="001F49EB" w:rsidRPr="0018386D" w14:paraId="7C18B5B1"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3DF9EBCB" w14:textId="77777777" w:rsidR="008E2ED2" w:rsidRPr="0018386D" w:rsidRDefault="008E2ED2" w:rsidP="00DD3106">
            <w:pPr>
              <w:pStyle w:val="TableText"/>
              <w:spacing w:before="30" w:after="20"/>
              <w:rPr>
                <w:rFonts w:cs="Calibri"/>
                <w:szCs w:val="18"/>
                <w:lang w:eastAsia="zh-CN" w:bidi="th-TH"/>
              </w:rPr>
            </w:pPr>
            <w:r w:rsidRPr="0018386D">
              <w:rPr>
                <w:rFonts w:cs="Calibri"/>
                <w:szCs w:val="18"/>
              </w:rPr>
              <w:t xml:space="preserve">PHEV (Diesel) - </w:t>
            </w:r>
            <w:r w:rsidRPr="0018386D">
              <w:rPr>
                <w:rFonts w:cs="Calibri"/>
                <w:szCs w:val="18"/>
                <w:lang w:eastAsia="zh-CN" w:bidi="th-TH"/>
              </w:rPr>
              <w:t>Electricity consumption</w:t>
            </w:r>
          </w:p>
        </w:tc>
        <w:tc>
          <w:tcPr>
            <w:tcW w:w="1418" w:type="dxa"/>
            <w:tcBorders>
              <w:left w:val="single" w:sz="4" w:space="0" w:color="auto"/>
            </w:tcBorders>
            <w:shd w:val="clear" w:color="000000" w:fill="FFFFFF"/>
            <w:noWrap/>
            <w:hideMark/>
          </w:tcPr>
          <w:p w14:paraId="37D7929A"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641FFF33"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3A8E3EE4" w14:textId="77777777" w:rsidR="008E2ED2" w:rsidRPr="0018386D" w:rsidRDefault="008E2ED2" w:rsidP="00DD3106">
            <w:pPr>
              <w:pStyle w:val="TableText"/>
              <w:spacing w:before="30" w:after="20"/>
              <w:rPr>
                <w:rFonts w:cs="Calibri"/>
                <w:szCs w:val="18"/>
              </w:rPr>
            </w:pPr>
            <w:r w:rsidRPr="0018386D">
              <w:rPr>
                <w:rFonts w:cs="Calibri"/>
                <w:szCs w:val="18"/>
              </w:rPr>
              <w:t>0.00848</w:t>
            </w:r>
          </w:p>
        </w:tc>
        <w:tc>
          <w:tcPr>
            <w:tcW w:w="1361" w:type="dxa"/>
            <w:shd w:val="clear" w:color="000000" w:fill="FFFFFF"/>
            <w:noWrap/>
            <w:hideMark/>
          </w:tcPr>
          <w:p w14:paraId="7E0F71DD" w14:textId="77777777" w:rsidR="008E2ED2" w:rsidRPr="0018386D" w:rsidRDefault="008E2ED2" w:rsidP="00DD3106">
            <w:pPr>
              <w:pStyle w:val="TableText"/>
              <w:spacing w:before="30" w:after="20"/>
              <w:rPr>
                <w:rFonts w:cs="Calibri"/>
                <w:szCs w:val="18"/>
              </w:rPr>
            </w:pPr>
            <w:r w:rsidRPr="0018386D">
              <w:rPr>
                <w:rFonts w:cs="Calibri"/>
                <w:szCs w:val="18"/>
              </w:rPr>
              <w:t>0.00824</w:t>
            </w:r>
          </w:p>
        </w:tc>
        <w:tc>
          <w:tcPr>
            <w:tcW w:w="1361" w:type="dxa"/>
            <w:shd w:val="clear" w:color="000000" w:fill="FFFFFF"/>
            <w:noWrap/>
            <w:hideMark/>
          </w:tcPr>
          <w:p w14:paraId="31901E9A"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00F2C268" w14:textId="77777777" w:rsidR="008E2ED2" w:rsidRPr="0018386D" w:rsidRDefault="008E2ED2" w:rsidP="00DD3106">
            <w:pPr>
              <w:pStyle w:val="TableText"/>
              <w:spacing w:before="30" w:after="20"/>
              <w:rPr>
                <w:rFonts w:cs="Calibri"/>
                <w:szCs w:val="18"/>
              </w:rPr>
            </w:pPr>
            <w:r w:rsidRPr="0018386D">
              <w:rPr>
                <w:rFonts w:cs="Calibri"/>
                <w:szCs w:val="18"/>
              </w:rPr>
              <w:t>0.00002</w:t>
            </w:r>
          </w:p>
        </w:tc>
      </w:tr>
      <w:tr w:rsidR="001F49EB" w:rsidRPr="0018386D" w14:paraId="0A311F9F" w14:textId="77777777" w:rsidTr="00A453CD">
        <w:trPr>
          <w:divId w:val="1127504634"/>
        </w:trPr>
        <w:tc>
          <w:tcPr>
            <w:tcW w:w="1361" w:type="dxa"/>
            <w:tcBorders>
              <w:top w:val="nil"/>
              <w:bottom w:val="nil"/>
              <w:right w:val="single" w:sz="4" w:space="0" w:color="auto"/>
            </w:tcBorders>
            <w:shd w:val="clear" w:color="000000" w:fill="FFFFFF"/>
            <w:noWrap/>
            <w:hideMark/>
          </w:tcPr>
          <w:p w14:paraId="5AFF440E"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0DE2C31A" w14:textId="0C805F67" w:rsidR="008E2ED2" w:rsidRPr="0018386D" w:rsidRDefault="008E2ED2" w:rsidP="00DD3106">
            <w:pPr>
              <w:pStyle w:val="TableText"/>
              <w:spacing w:before="30" w:after="20"/>
              <w:rPr>
                <w:rFonts w:cs="Calibri"/>
                <w:szCs w:val="18"/>
              </w:rPr>
            </w:pPr>
            <w:r w:rsidRPr="0018386D">
              <w:rPr>
                <w:rFonts w:cs="Calibri"/>
                <w:szCs w:val="18"/>
              </w:rPr>
              <w:t>1350</w:t>
            </w:r>
            <w:r w:rsidR="005F6998" w:rsidRPr="0018386D">
              <w:rPr>
                <w:rFonts w:cs="Calibri"/>
                <w:szCs w:val="18"/>
              </w:rPr>
              <w:t>–</w:t>
            </w:r>
            <w:r w:rsidRPr="0018386D">
              <w:rPr>
                <w:rFonts w:cs="Calibri"/>
                <w:szCs w:val="18"/>
              </w:rPr>
              <w:t>&lt;1600 cc</w:t>
            </w:r>
          </w:p>
        </w:tc>
        <w:tc>
          <w:tcPr>
            <w:tcW w:w="567" w:type="dxa"/>
            <w:shd w:val="clear" w:color="000000" w:fill="FFFFFF"/>
            <w:noWrap/>
            <w:hideMark/>
          </w:tcPr>
          <w:p w14:paraId="4F637324"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35451CD9" w14:textId="77777777" w:rsidR="008E2ED2" w:rsidRPr="0018386D" w:rsidRDefault="008E2ED2" w:rsidP="00DD3106">
            <w:pPr>
              <w:pStyle w:val="TableText"/>
              <w:spacing w:before="30" w:after="20"/>
              <w:rPr>
                <w:rFonts w:cs="Calibri"/>
                <w:szCs w:val="18"/>
              </w:rPr>
            </w:pPr>
            <w:r w:rsidRPr="0018386D">
              <w:rPr>
                <w:rFonts w:cs="Calibri"/>
                <w:szCs w:val="18"/>
              </w:rPr>
              <w:t>0.00814</w:t>
            </w:r>
          </w:p>
        </w:tc>
        <w:tc>
          <w:tcPr>
            <w:tcW w:w="1361" w:type="dxa"/>
            <w:shd w:val="clear" w:color="000000" w:fill="FFFFFF"/>
            <w:noWrap/>
            <w:hideMark/>
          </w:tcPr>
          <w:p w14:paraId="37707278" w14:textId="77777777" w:rsidR="008E2ED2" w:rsidRPr="0018386D" w:rsidRDefault="008E2ED2" w:rsidP="00DD3106">
            <w:pPr>
              <w:pStyle w:val="TableText"/>
              <w:spacing w:before="30" w:after="20"/>
              <w:rPr>
                <w:rFonts w:cs="Calibri"/>
                <w:szCs w:val="18"/>
              </w:rPr>
            </w:pPr>
            <w:r w:rsidRPr="0018386D">
              <w:rPr>
                <w:rFonts w:cs="Calibri"/>
                <w:szCs w:val="18"/>
              </w:rPr>
              <w:t>0.00791</w:t>
            </w:r>
          </w:p>
        </w:tc>
        <w:tc>
          <w:tcPr>
            <w:tcW w:w="1361" w:type="dxa"/>
            <w:shd w:val="clear" w:color="000000" w:fill="FFFFFF"/>
            <w:noWrap/>
            <w:hideMark/>
          </w:tcPr>
          <w:p w14:paraId="6FE443ED"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230ECF3D" w14:textId="77777777" w:rsidR="008E2ED2" w:rsidRPr="0018386D" w:rsidRDefault="008E2ED2" w:rsidP="00DD3106">
            <w:pPr>
              <w:pStyle w:val="TableText"/>
              <w:spacing w:before="30" w:after="20"/>
              <w:rPr>
                <w:rFonts w:cs="Calibri"/>
                <w:szCs w:val="18"/>
              </w:rPr>
            </w:pPr>
            <w:r w:rsidRPr="0018386D">
              <w:rPr>
                <w:rFonts w:cs="Calibri"/>
                <w:szCs w:val="18"/>
              </w:rPr>
              <w:t>0.00002</w:t>
            </w:r>
          </w:p>
        </w:tc>
      </w:tr>
      <w:tr w:rsidR="001F49EB" w:rsidRPr="0018386D" w14:paraId="4D225454" w14:textId="77777777" w:rsidTr="00A453CD">
        <w:trPr>
          <w:divId w:val="1127504634"/>
        </w:trPr>
        <w:tc>
          <w:tcPr>
            <w:tcW w:w="1361" w:type="dxa"/>
            <w:tcBorders>
              <w:top w:val="nil"/>
              <w:bottom w:val="nil"/>
              <w:right w:val="single" w:sz="4" w:space="0" w:color="auto"/>
            </w:tcBorders>
            <w:shd w:val="clear" w:color="000000" w:fill="FFFFFF"/>
            <w:noWrap/>
            <w:hideMark/>
          </w:tcPr>
          <w:p w14:paraId="1996BCAE"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6D10F3D" w14:textId="33D8A871" w:rsidR="008E2ED2" w:rsidRPr="0018386D" w:rsidRDefault="008E2ED2" w:rsidP="00DD3106">
            <w:pPr>
              <w:pStyle w:val="TableText"/>
              <w:spacing w:before="30" w:after="20"/>
              <w:rPr>
                <w:rFonts w:cs="Calibri"/>
                <w:szCs w:val="18"/>
              </w:rPr>
            </w:pPr>
            <w:r w:rsidRPr="0018386D">
              <w:rPr>
                <w:rFonts w:cs="Calibri"/>
                <w:szCs w:val="18"/>
              </w:rPr>
              <w:t>1600</w:t>
            </w:r>
            <w:r w:rsidR="005F6998" w:rsidRPr="0018386D">
              <w:rPr>
                <w:rFonts w:cs="Calibri"/>
                <w:szCs w:val="18"/>
              </w:rPr>
              <w:t>–</w:t>
            </w:r>
            <w:r w:rsidRPr="0018386D">
              <w:rPr>
                <w:rFonts w:cs="Calibri"/>
                <w:szCs w:val="18"/>
              </w:rPr>
              <w:t>&lt;2000 cc</w:t>
            </w:r>
          </w:p>
        </w:tc>
        <w:tc>
          <w:tcPr>
            <w:tcW w:w="567" w:type="dxa"/>
            <w:shd w:val="clear" w:color="000000" w:fill="FFFFFF"/>
            <w:noWrap/>
            <w:hideMark/>
          </w:tcPr>
          <w:p w14:paraId="5D42818F"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5B712217" w14:textId="77777777" w:rsidR="008E2ED2" w:rsidRPr="0018386D" w:rsidRDefault="008E2ED2" w:rsidP="00DD3106">
            <w:pPr>
              <w:pStyle w:val="TableText"/>
              <w:spacing w:before="30" w:after="20"/>
              <w:rPr>
                <w:rFonts w:cs="Calibri"/>
                <w:szCs w:val="18"/>
              </w:rPr>
            </w:pPr>
            <w:r w:rsidRPr="0018386D">
              <w:rPr>
                <w:rFonts w:cs="Calibri"/>
                <w:szCs w:val="18"/>
              </w:rPr>
              <w:t>0.00892</w:t>
            </w:r>
          </w:p>
        </w:tc>
        <w:tc>
          <w:tcPr>
            <w:tcW w:w="1361" w:type="dxa"/>
            <w:shd w:val="clear" w:color="000000" w:fill="FFFFFF"/>
            <w:noWrap/>
            <w:hideMark/>
          </w:tcPr>
          <w:p w14:paraId="1E35AFB6" w14:textId="77777777" w:rsidR="008E2ED2" w:rsidRPr="0018386D" w:rsidRDefault="008E2ED2" w:rsidP="00DD3106">
            <w:pPr>
              <w:pStyle w:val="TableText"/>
              <w:spacing w:before="30" w:after="20"/>
              <w:rPr>
                <w:rFonts w:cs="Calibri"/>
                <w:szCs w:val="18"/>
              </w:rPr>
            </w:pPr>
            <w:r w:rsidRPr="0018386D">
              <w:rPr>
                <w:rFonts w:cs="Calibri"/>
                <w:szCs w:val="18"/>
              </w:rPr>
              <w:t>0.00867</w:t>
            </w:r>
          </w:p>
        </w:tc>
        <w:tc>
          <w:tcPr>
            <w:tcW w:w="1361" w:type="dxa"/>
            <w:shd w:val="clear" w:color="000000" w:fill="FFFFFF"/>
            <w:noWrap/>
            <w:hideMark/>
          </w:tcPr>
          <w:p w14:paraId="0CA2AD6A" w14:textId="77777777" w:rsidR="008E2ED2" w:rsidRPr="0018386D" w:rsidRDefault="008E2ED2" w:rsidP="00DD3106">
            <w:pPr>
              <w:pStyle w:val="TableText"/>
              <w:spacing w:before="30" w:after="20"/>
              <w:rPr>
                <w:rFonts w:cs="Calibri"/>
                <w:szCs w:val="18"/>
              </w:rPr>
            </w:pPr>
            <w:r w:rsidRPr="0018386D">
              <w:rPr>
                <w:rFonts w:cs="Calibri"/>
                <w:szCs w:val="18"/>
              </w:rPr>
              <w:t>0.0002</w:t>
            </w:r>
          </w:p>
        </w:tc>
        <w:tc>
          <w:tcPr>
            <w:tcW w:w="1361" w:type="dxa"/>
            <w:shd w:val="clear" w:color="000000" w:fill="FFFFFF"/>
            <w:noWrap/>
            <w:hideMark/>
          </w:tcPr>
          <w:p w14:paraId="57E37C3F" w14:textId="77777777" w:rsidR="008E2ED2" w:rsidRPr="0018386D" w:rsidRDefault="008E2ED2" w:rsidP="00DD3106">
            <w:pPr>
              <w:pStyle w:val="TableText"/>
              <w:spacing w:before="30" w:after="20"/>
              <w:rPr>
                <w:rFonts w:cs="Calibri"/>
                <w:szCs w:val="18"/>
              </w:rPr>
            </w:pPr>
            <w:r w:rsidRPr="0018386D">
              <w:rPr>
                <w:rFonts w:cs="Calibri"/>
                <w:szCs w:val="18"/>
              </w:rPr>
              <w:t>0.00002</w:t>
            </w:r>
          </w:p>
        </w:tc>
      </w:tr>
      <w:tr w:rsidR="001F49EB" w:rsidRPr="0018386D" w14:paraId="0E29D627" w14:textId="77777777" w:rsidTr="00A453CD">
        <w:trPr>
          <w:divId w:val="1127504634"/>
        </w:trPr>
        <w:tc>
          <w:tcPr>
            <w:tcW w:w="1361" w:type="dxa"/>
            <w:tcBorders>
              <w:top w:val="nil"/>
              <w:bottom w:val="nil"/>
              <w:right w:val="single" w:sz="4" w:space="0" w:color="auto"/>
            </w:tcBorders>
            <w:shd w:val="clear" w:color="000000" w:fill="FFFFFF"/>
            <w:noWrap/>
            <w:hideMark/>
          </w:tcPr>
          <w:p w14:paraId="3909F362"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DCABA69" w14:textId="19C2CF78" w:rsidR="008E2ED2" w:rsidRPr="0018386D" w:rsidRDefault="008E2ED2" w:rsidP="00DD3106">
            <w:pPr>
              <w:pStyle w:val="TableText"/>
              <w:spacing w:before="30" w:after="20"/>
              <w:rPr>
                <w:rFonts w:cs="Calibri"/>
                <w:szCs w:val="18"/>
              </w:rPr>
            </w:pPr>
            <w:r w:rsidRPr="0018386D">
              <w:rPr>
                <w:rFonts w:cs="Calibri"/>
                <w:szCs w:val="18"/>
              </w:rPr>
              <w:t>2000</w:t>
            </w:r>
            <w:r w:rsidR="005F6998" w:rsidRPr="0018386D">
              <w:rPr>
                <w:rFonts w:cs="Calibri"/>
                <w:szCs w:val="18"/>
              </w:rPr>
              <w:t>–</w:t>
            </w:r>
            <w:r w:rsidRPr="0018386D">
              <w:rPr>
                <w:rFonts w:cs="Calibri"/>
                <w:szCs w:val="18"/>
              </w:rPr>
              <w:t>&lt;3000 cc</w:t>
            </w:r>
          </w:p>
        </w:tc>
        <w:tc>
          <w:tcPr>
            <w:tcW w:w="567" w:type="dxa"/>
            <w:shd w:val="clear" w:color="000000" w:fill="FFFFFF"/>
            <w:noWrap/>
            <w:hideMark/>
          </w:tcPr>
          <w:p w14:paraId="755E36BE"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3A6706BE" w14:textId="77777777" w:rsidR="008E2ED2" w:rsidRPr="0018386D" w:rsidRDefault="008E2ED2" w:rsidP="00DD3106">
            <w:pPr>
              <w:pStyle w:val="TableText"/>
              <w:spacing w:before="30" w:after="20"/>
              <w:rPr>
                <w:rFonts w:cs="Calibri"/>
                <w:szCs w:val="18"/>
              </w:rPr>
            </w:pPr>
            <w:r w:rsidRPr="0018386D">
              <w:rPr>
                <w:rFonts w:cs="Calibri"/>
                <w:szCs w:val="18"/>
              </w:rPr>
              <w:t>0.0101</w:t>
            </w:r>
          </w:p>
        </w:tc>
        <w:tc>
          <w:tcPr>
            <w:tcW w:w="1361" w:type="dxa"/>
            <w:shd w:val="clear" w:color="000000" w:fill="FFFFFF"/>
            <w:noWrap/>
            <w:hideMark/>
          </w:tcPr>
          <w:p w14:paraId="1D7A7A45" w14:textId="77777777" w:rsidR="008E2ED2" w:rsidRPr="0018386D" w:rsidRDefault="008E2ED2" w:rsidP="00DD3106">
            <w:pPr>
              <w:pStyle w:val="TableText"/>
              <w:spacing w:before="30" w:after="20"/>
              <w:rPr>
                <w:rFonts w:cs="Calibri"/>
                <w:szCs w:val="18"/>
              </w:rPr>
            </w:pPr>
            <w:r w:rsidRPr="0018386D">
              <w:rPr>
                <w:rFonts w:cs="Calibri"/>
                <w:szCs w:val="18"/>
              </w:rPr>
              <w:t>0.00981</w:t>
            </w:r>
          </w:p>
        </w:tc>
        <w:tc>
          <w:tcPr>
            <w:tcW w:w="1361" w:type="dxa"/>
            <w:shd w:val="clear" w:color="000000" w:fill="FFFFFF"/>
            <w:noWrap/>
            <w:hideMark/>
          </w:tcPr>
          <w:p w14:paraId="7EB17B56"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79D57D03" w14:textId="77777777" w:rsidR="008E2ED2" w:rsidRPr="0018386D" w:rsidRDefault="008E2ED2" w:rsidP="00DD3106">
            <w:pPr>
              <w:pStyle w:val="TableText"/>
              <w:spacing w:before="30" w:after="20"/>
              <w:rPr>
                <w:rFonts w:cs="Calibri"/>
                <w:szCs w:val="18"/>
              </w:rPr>
            </w:pPr>
            <w:r w:rsidRPr="0018386D">
              <w:rPr>
                <w:rFonts w:cs="Calibri"/>
                <w:szCs w:val="18"/>
              </w:rPr>
              <w:t>0.00002</w:t>
            </w:r>
          </w:p>
        </w:tc>
      </w:tr>
      <w:tr w:rsidR="001F49EB" w:rsidRPr="0018386D" w14:paraId="509EA918" w14:textId="77777777" w:rsidTr="00A453CD">
        <w:trPr>
          <w:divId w:val="1127504634"/>
        </w:trPr>
        <w:tc>
          <w:tcPr>
            <w:tcW w:w="1361" w:type="dxa"/>
            <w:tcBorders>
              <w:top w:val="nil"/>
              <w:bottom w:val="single" w:sz="4" w:space="0" w:color="auto"/>
              <w:right w:val="single" w:sz="4" w:space="0" w:color="auto"/>
            </w:tcBorders>
            <w:shd w:val="clear" w:color="000000" w:fill="FFFFFF"/>
            <w:noWrap/>
            <w:hideMark/>
          </w:tcPr>
          <w:p w14:paraId="76094598"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5CBFD798"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46BEDA54"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22CAA8E0" w14:textId="77777777" w:rsidR="008E2ED2" w:rsidRPr="0018386D" w:rsidRDefault="008E2ED2" w:rsidP="00DD3106">
            <w:pPr>
              <w:pStyle w:val="TableText"/>
              <w:spacing w:before="30" w:after="20"/>
              <w:rPr>
                <w:rFonts w:cs="Calibri"/>
                <w:szCs w:val="18"/>
              </w:rPr>
            </w:pPr>
            <w:r w:rsidRPr="0018386D">
              <w:rPr>
                <w:rFonts w:cs="Calibri"/>
                <w:szCs w:val="18"/>
              </w:rPr>
              <w:t>0.0119</w:t>
            </w:r>
          </w:p>
        </w:tc>
        <w:tc>
          <w:tcPr>
            <w:tcW w:w="1361" w:type="dxa"/>
            <w:shd w:val="clear" w:color="000000" w:fill="FFFFFF"/>
            <w:noWrap/>
            <w:hideMark/>
          </w:tcPr>
          <w:p w14:paraId="53BD637A" w14:textId="77777777" w:rsidR="008E2ED2" w:rsidRPr="0018386D" w:rsidRDefault="008E2ED2" w:rsidP="00DD3106">
            <w:pPr>
              <w:pStyle w:val="TableText"/>
              <w:spacing w:before="30" w:after="20"/>
              <w:rPr>
                <w:rFonts w:cs="Calibri"/>
                <w:szCs w:val="18"/>
              </w:rPr>
            </w:pPr>
            <w:r w:rsidRPr="0018386D">
              <w:rPr>
                <w:rFonts w:cs="Calibri"/>
                <w:szCs w:val="18"/>
              </w:rPr>
              <w:t>0.0116</w:t>
            </w:r>
          </w:p>
        </w:tc>
        <w:tc>
          <w:tcPr>
            <w:tcW w:w="1361" w:type="dxa"/>
            <w:shd w:val="clear" w:color="000000" w:fill="FFFFFF"/>
            <w:noWrap/>
            <w:hideMark/>
          </w:tcPr>
          <w:p w14:paraId="239E31D0" w14:textId="77777777" w:rsidR="008E2ED2" w:rsidRPr="0018386D" w:rsidRDefault="008E2ED2" w:rsidP="00DD3106">
            <w:pPr>
              <w:pStyle w:val="TableText"/>
              <w:spacing w:before="30" w:after="20"/>
              <w:rPr>
                <w:rFonts w:cs="Calibri"/>
                <w:szCs w:val="18"/>
              </w:rPr>
            </w:pPr>
            <w:r w:rsidRPr="0018386D">
              <w:rPr>
                <w:rFonts w:cs="Calibri"/>
                <w:szCs w:val="18"/>
              </w:rPr>
              <w:t>0.0003</w:t>
            </w:r>
          </w:p>
        </w:tc>
        <w:tc>
          <w:tcPr>
            <w:tcW w:w="1361" w:type="dxa"/>
            <w:shd w:val="clear" w:color="000000" w:fill="FFFFFF"/>
            <w:noWrap/>
            <w:hideMark/>
          </w:tcPr>
          <w:p w14:paraId="06E9C106" w14:textId="77777777" w:rsidR="008E2ED2" w:rsidRPr="0018386D" w:rsidRDefault="008E2ED2" w:rsidP="00DD3106">
            <w:pPr>
              <w:pStyle w:val="TableText"/>
              <w:spacing w:before="30" w:after="20"/>
              <w:rPr>
                <w:rFonts w:cs="Calibri"/>
                <w:szCs w:val="18"/>
              </w:rPr>
            </w:pPr>
            <w:r w:rsidRPr="0018386D">
              <w:rPr>
                <w:rFonts w:cs="Calibri"/>
                <w:szCs w:val="18"/>
              </w:rPr>
              <w:t>0.00003</w:t>
            </w:r>
          </w:p>
        </w:tc>
      </w:tr>
      <w:tr w:rsidR="001F49EB" w:rsidRPr="0018386D" w14:paraId="314B8B15" w14:textId="77777777" w:rsidTr="00A453CD">
        <w:trPr>
          <w:divId w:val="1127504634"/>
        </w:trPr>
        <w:tc>
          <w:tcPr>
            <w:tcW w:w="1361" w:type="dxa"/>
            <w:tcBorders>
              <w:top w:val="single" w:sz="4" w:space="0" w:color="auto"/>
              <w:bottom w:val="nil"/>
              <w:right w:val="single" w:sz="4" w:space="0" w:color="auto"/>
            </w:tcBorders>
            <w:shd w:val="clear" w:color="000000" w:fill="FFFFFF"/>
            <w:noWrap/>
            <w:hideMark/>
          </w:tcPr>
          <w:p w14:paraId="71C9D41C" w14:textId="77777777" w:rsidR="008E2ED2" w:rsidRPr="0018386D" w:rsidRDefault="008E2ED2" w:rsidP="00DD3106">
            <w:pPr>
              <w:pStyle w:val="TableText"/>
              <w:spacing w:before="30" w:after="20"/>
              <w:rPr>
                <w:rFonts w:cs="Calibri"/>
                <w:szCs w:val="18"/>
              </w:rPr>
            </w:pPr>
            <w:r w:rsidRPr="0018386D">
              <w:rPr>
                <w:rFonts w:cs="Calibri"/>
                <w:szCs w:val="18"/>
              </w:rPr>
              <w:t>Electric vehicle</w:t>
            </w:r>
          </w:p>
        </w:tc>
        <w:tc>
          <w:tcPr>
            <w:tcW w:w="1418" w:type="dxa"/>
            <w:tcBorders>
              <w:left w:val="single" w:sz="4" w:space="0" w:color="auto"/>
            </w:tcBorders>
            <w:shd w:val="clear" w:color="000000" w:fill="FFFFFF"/>
            <w:noWrap/>
            <w:hideMark/>
          </w:tcPr>
          <w:p w14:paraId="66DB2091" w14:textId="77777777" w:rsidR="008E2ED2" w:rsidRPr="0018386D" w:rsidRDefault="008E2ED2" w:rsidP="00DD3106">
            <w:pPr>
              <w:pStyle w:val="TableText"/>
              <w:spacing w:before="30" w:after="20"/>
              <w:rPr>
                <w:rFonts w:cs="Calibri"/>
                <w:szCs w:val="18"/>
              </w:rPr>
            </w:pPr>
            <w:r w:rsidRPr="0018386D">
              <w:rPr>
                <w:rFonts w:cs="Calibri"/>
                <w:szCs w:val="18"/>
              </w:rPr>
              <w:t>&lt;1350 cc</w:t>
            </w:r>
          </w:p>
        </w:tc>
        <w:tc>
          <w:tcPr>
            <w:tcW w:w="567" w:type="dxa"/>
            <w:shd w:val="clear" w:color="000000" w:fill="FFFFFF"/>
            <w:noWrap/>
            <w:hideMark/>
          </w:tcPr>
          <w:p w14:paraId="7F7D582D"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06ACC012" w14:textId="77777777" w:rsidR="008E2ED2" w:rsidRPr="0018386D" w:rsidRDefault="008E2ED2" w:rsidP="00DD3106">
            <w:pPr>
              <w:pStyle w:val="TableText"/>
              <w:spacing w:before="30" w:after="20"/>
              <w:rPr>
                <w:rFonts w:cs="Calibri"/>
                <w:szCs w:val="18"/>
              </w:rPr>
            </w:pPr>
            <w:r w:rsidRPr="0018386D">
              <w:rPr>
                <w:rFonts w:cs="Calibri"/>
                <w:szCs w:val="18"/>
              </w:rPr>
              <w:t>0.0175</w:t>
            </w:r>
          </w:p>
        </w:tc>
        <w:tc>
          <w:tcPr>
            <w:tcW w:w="1361" w:type="dxa"/>
            <w:shd w:val="clear" w:color="000000" w:fill="FFFFFF"/>
            <w:noWrap/>
            <w:hideMark/>
          </w:tcPr>
          <w:p w14:paraId="2C51209F" w14:textId="77777777" w:rsidR="008E2ED2" w:rsidRPr="0018386D" w:rsidRDefault="008E2ED2" w:rsidP="00DD3106">
            <w:pPr>
              <w:pStyle w:val="TableText"/>
              <w:spacing w:before="30" w:after="20"/>
              <w:rPr>
                <w:rFonts w:cs="Calibri"/>
                <w:szCs w:val="18"/>
              </w:rPr>
            </w:pPr>
            <w:r w:rsidRPr="0018386D">
              <w:rPr>
                <w:rFonts w:cs="Calibri"/>
                <w:szCs w:val="18"/>
              </w:rPr>
              <w:t>0.0170</w:t>
            </w:r>
          </w:p>
        </w:tc>
        <w:tc>
          <w:tcPr>
            <w:tcW w:w="1361" w:type="dxa"/>
            <w:shd w:val="clear" w:color="000000" w:fill="FFFFFF"/>
            <w:noWrap/>
            <w:hideMark/>
          </w:tcPr>
          <w:p w14:paraId="3F5D4270" w14:textId="77777777" w:rsidR="008E2ED2" w:rsidRPr="0018386D" w:rsidRDefault="008E2ED2" w:rsidP="00DD3106">
            <w:pPr>
              <w:pStyle w:val="TableText"/>
              <w:spacing w:before="30" w:after="20"/>
              <w:rPr>
                <w:rFonts w:cs="Calibri"/>
                <w:szCs w:val="18"/>
              </w:rPr>
            </w:pPr>
            <w:r w:rsidRPr="0018386D">
              <w:rPr>
                <w:rFonts w:cs="Calibri"/>
                <w:szCs w:val="18"/>
              </w:rPr>
              <w:t>0.0005</w:t>
            </w:r>
          </w:p>
        </w:tc>
        <w:tc>
          <w:tcPr>
            <w:tcW w:w="1361" w:type="dxa"/>
            <w:shd w:val="clear" w:color="000000" w:fill="FFFFFF"/>
            <w:noWrap/>
            <w:hideMark/>
          </w:tcPr>
          <w:p w14:paraId="77CA91E2" w14:textId="77777777" w:rsidR="008E2ED2" w:rsidRPr="0018386D" w:rsidRDefault="008E2ED2" w:rsidP="00DD3106">
            <w:pPr>
              <w:pStyle w:val="TableText"/>
              <w:spacing w:before="30" w:after="20"/>
              <w:rPr>
                <w:rFonts w:cs="Calibri"/>
                <w:szCs w:val="18"/>
              </w:rPr>
            </w:pPr>
            <w:r w:rsidRPr="0018386D">
              <w:rPr>
                <w:rFonts w:cs="Calibri"/>
                <w:szCs w:val="18"/>
              </w:rPr>
              <w:t>0.00004</w:t>
            </w:r>
          </w:p>
        </w:tc>
      </w:tr>
      <w:tr w:rsidR="001F49EB" w:rsidRPr="0018386D" w14:paraId="49BF5674" w14:textId="77777777" w:rsidTr="00A453CD">
        <w:trPr>
          <w:divId w:val="1127504634"/>
        </w:trPr>
        <w:tc>
          <w:tcPr>
            <w:tcW w:w="1361" w:type="dxa"/>
            <w:tcBorders>
              <w:top w:val="nil"/>
              <w:bottom w:val="nil"/>
              <w:right w:val="single" w:sz="4" w:space="0" w:color="auto"/>
            </w:tcBorders>
            <w:shd w:val="clear" w:color="000000" w:fill="FFFFFF"/>
            <w:noWrap/>
            <w:hideMark/>
          </w:tcPr>
          <w:p w14:paraId="3A236165"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7A5C4571" w14:textId="619DEEF5" w:rsidR="008E2ED2" w:rsidRPr="0018386D" w:rsidRDefault="008E2ED2" w:rsidP="00DD3106">
            <w:pPr>
              <w:pStyle w:val="TableText"/>
              <w:spacing w:before="30" w:after="20"/>
              <w:rPr>
                <w:rFonts w:cs="Calibri"/>
                <w:szCs w:val="18"/>
              </w:rPr>
            </w:pPr>
            <w:r w:rsidRPr="0018386D">
              <w:rPr>
                <w:rFonts w:cs="Calibri"/>
                <w:szCs w:val="18"/>
              </w:rPr>
              <w:t>1350</w:t>
            </w:r>
            <w:r w:rsidR="005F6998" w:rsidRPr="0018386D">
              <w:rPr>
                <w:rFonts w:cs="Calibri"/>
                <w:szCs w:val="18"/>
              </w:rPr>
              <w:t>–</w:t>
            </w:r>
            <w:r w:rsidRPr="0018386D">
              <w:rPr>
                <w:rFonts w:cs="Calibri"/>
                <w:szCs w:val="18"/>
              </w:rPr>
              <w:t>&lt;1600 cc</w:t>
            </w:r>
          </w:p>
        </w:tc>
        <w:tc>
          <w:tcPr>
            <w:tcW w:w="567" w:type="dxa"/>
            <w:shd w:val="clear" w:color="000000" w:fill="FFFFFF"/>
            <w:noWrap/>
            <w:hideMark/>
          </w:tcPr>
          <w:p w14:paraId="40E0F384"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10EAE559" w14:textId="77777777" w:rsidR="008E2ED2" w:rsidRPr="0018386D" w:rsidRDefault="008E2ED2" w:rsidP="00DD3106">
            <w:pPr>
              <w:pStyle w:val="TableText"/>
              <w:spacing w:before="30" w:after="20"/>
              <w:rPr>
                <w:rFonts w:cs="Calibri"/>
                <w:szCs w:val="18"/>
              </w:rPr>
            </w:pPr>
            <w:r w:rsidRPr="0018386D">
              <w:rPr>
                <w:rFonts w:cs="Calibri"/>
                <w:szCs w:val="18"/>
              </w:rPr>
              <w:t>0.0188</w:t>
            </w:r>
          </w:p>
        </w:tc>
        <w:tc>
          <w:tcPr>
            <w:tcW w:w="1361" w:type="dxa"/>
            <w:shd w:val="clear" w:color="000000" w:fill="FFFFFF"/>
            <w:noWrap/>
            <w:hideMark/>
          </w:tcPr>
          <w:p w14:paraId="1E6D4B5F" w14:textId="77777777" w:rsidR="008E2ED2" w:rsidRPr="0018386D" w:rsidRDefault="008E2ED2" w:rsidP="00DD3106">
            <w:pPr>
              <w:pStyle w:val="TableText"/>
              <w:spacing w:before="30" w:after="20"/>
              <w:rPr>
                <w:rFonts w:cs="Calibri"/>
                <w:szCs w:val="18"/>
              </w:rPr>
            </w:pPr>
            <w:r w:rsidRPr="0018386D">
              <w:rPr>
                <w:rFonts w:cs="Calibri"/>
                <w:szCs w:val="18"/>
              </w:rPr>
              <w:t>0.0183</w:t>
            </w:r>
          </w:p>
        </w:tc>
        <w:tc>
          <w:tcPr>
            <w:tcW w:w="1361" w:type="dxa"/>
            <w:shd w:val="clear" w:color="000000" w:fill="FFFFFF"/>
            <w:noWrap/>
            <w:hideMark/>
          </w:tcPr>
          <w:p w14:paraId="61F12C4A" w14:textId="77777777" w:rsidR="008E2ED2" w:rsidRPr="0018386D" w:rsidRDefault="008E2ED2" w:rsidP="00DD3106">
            <w:pPr>
              <w:pStyle w:val="TableText"/>
              <w:spacing w:before="30" w:after="20"/>
              <w:rPr>
                <w:rFonts w:cs="Calibri"/>
                <w:szCs w:val="18"/>
              </w:rPr>
            </w:pPr>
            <w:r w:rsidRPr="0018386D">
              <w:rPr>
                <w:rFonts w:cs="Calibri"/>
                <w:szCs w:val="18"/>
              </w:rPr>
              <w:t>0.0005</w:t>
            </w:r>
          </w:p>
        </w:tc>
        <w:tc>
          <w:tcPr>
            <w:tcW w:w="1361" w:type="dxa"/>
            <w:shd w:val="clear" w:color="000000" w:fill="FFFFFF"/>
            <w:noWrap/>
            <w:hideMark/>
          </w:tcPr>
          <w:p w14:paraId="7C3CF63C" w14:textId="77777777" w:rsidR="008E2ED2" w:rsidRPr="0018386D" w:rsidRDefault="008E2ED2" w:rsidP="00DD3106">
            <w:pPr>
              <w:pStyle w:val="TableText"/>
              <w:spacing w:before="30" w:after="20"/>
              <w:rPr>
                <w:rFonts w:cs="Calibri"/>
                <w:szCs w:val="18"/>
              </w:rPr>
            </w:pPr>
            <w:r w:rsidRPr="0018386D">
              <w:rPr>
                <w:rFonts w:cs="Calibri"/>
                <w:szCs w:val="18"/>
              </w:rPr>
              <w:t>0.00004</w:t>
            </w:r>
          </w:p>
        </w:tc>
      </w:tr>
      <w:tr w:rsidR="001F49EB" w:rsidRPr="0018386D" w14:paraId="6F7F4A32" w14:textId="77777777" w:rsidTr="00A453CD">
        <w:trPr>
          <w:divId w:val="1127504634"/>
        </w:trPr>
        <w:tc>
          <w:tcPr>
            <w:tcW w:w="1361" w:type="dxa"/>
            <w:tcBorders>
              <w:top w:val="nil"/>
              <w:bottom w:val="nil"/>
              <w:right w:val="single" w:sz="4" w:space="0" w:color="auto"/>
            </w:tcBorders>
            <w:shd w:val="clear" w:color="000000" w:fill="FFFFFF"/>
            <w:noWrap/>
            <w:hideMark/>
          </w:tcPr>
          <w:p w14:paraId="4C648751"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47A80CD6" w14:textId="02E507F9" w:rsidR="008E2ED2" w:rsidRPr="0018386D" w:rsidRDefault="008E2ED2" w:rsidP="00DD3106">
            <w:pPr>
              <w:pStyle w:val="TableText"/>
              <w:spacing w:before="30" w:after="20"/>
              <w:rPr>
                <w:rFonts w:cs="Calibri"/>
                <w:szCs w:val="18"/>
              </w:rPr>
            </w:pPr>
            <w:r w:rsidRPr="0018386D">
              <w:rPr>
                <w:rFonts w:cs="Calibri"/>
                <w:szCs w:val="18"/>
              </w:rPr>
              <w:t>1600</w:t>
            </w:r>
            <w:r w:rsidR="005F6998" w:rsidRPr="0018386D">
              <w:rPr>
                <w:rFonts w:cs="Calibri"/>
                <w:szCs w:val="18"/>
              </w:rPr>
              <w:t>–</w:t>
            </w:r>
            <w:r w:rsidRPr="0018386D">
              <w:rPr>
                <w:rFonts w:cs="Calibri"/>
                <w:szCs w:val="18"/>
              </w:rPr>
              <w:t>&lt;2000 cc</w:t>
            </w:r>
          </w:p>
        </w:tc>
        <w:tc>
          <w:tcPr>
            <w:tcW w:w="567" w:type="dxa"/>
            <w:shd w:val="clear" w:color="000000" w:fill="FFFFFF"/>
            <w:noWrap/>
            <w:hideMark/>
          </w:tcPr>
          <w:p w14:paraId="1501427D"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C607998" w14:textId="77777777" w:rsidR="008E2ED2" w:rsidRPr="0018386D" w:rsidRDefault="008E2ED2" w:rsidP="00DD3106">
            <w:pPr>
              <w:pStyle w:val="TableText"/>
              <w:spacing w:before="30" w:after="20"/>
              <w:rPr>
                <w:rFonts w:cs="Calibri"/>
                <w:szCs w:val="18"/>
              </w:rPr>
            </w:pPr>
            <w:r w:rsidRPr="0018386D">
              <w:rPr>
                <w:rFonts w:cs="Calibri"/>
                <w:szCs w:val="18"/>
              </w:rPr>
              <w:t>0.0213</w:t>
            </w:r>
          </w:p>
        </w:tc>
        <w:tc>
          <w:tcPr>
            <w:tcW w:w="1361" w:type="dxa"/>
            <w:shd w:val="clear" w:color="000000" w:fill="FFFFFF"/>
            <w:noWrap/>
            <w:hideMark/>
          </w:tcPr>
          <w:p w14:paraId="4C25A14C" w14:textId="77777777" w:rsidR="008E2ED2" w:rsidRPr="0018386D" w:rsidRDefault="008E2ED2" w:rsidP="00DD3106">
            <w:pPr>
              <w:pStyle w:val="TableText"/>
              <w:spacing w:before="30" w:after="20"/>
              <w:rPr>
                <w:rFonts w:cs="Calibri"/>
                <w:szCs w:val="18"/>
              </w:rPr>
            </w:pPr>
            <w:r w:rsidRPr="0018386D">
              <w:rPr>
                <w:rFonts w:cs="Calibri"/>
                <w:szCs w:val="18"/>
              </w:rPr>
              <w:t>0.0207</w:t>
            </w:r>
          </w:p>
        </w:tc>
        <w:tc>
          <w:tcPr>
            <w:tcW w:w="1361" w:type="dxa"/>
            <w:shd w:val="clear" w:color="000000" w:fill="FFFFFF"/>
            <w:noWrap/>
            <w:hideMark/>
          </w:tcPr>
          <w:p w14:paraId="5AA9BBCC" w14:textId="77777777" w:rsidR="008E2ED2" w:rsidRPr="0018386D" w:rsidRDefault="008E2ED2" w:rsidP="00DD3106">
            <w:pPr>
              <w:pStyle w:val="TableText"/>
              <w:spacing w:before="30" w:after="20"/>
              <w:rPr>
                <w:rFonts w:cs="Calibri"/>
                <w:szCs w:val="18"/>
              </w:rPr>
            </w:pPr>
            <w:r w:rsidRPr="0018386D">
              <w:rPr>
                <w:rFonts w:cs="Calibri"/>
                <w:szCs w:val="18"/>
              </w:rPr>
              <w:t>0.0006</w:t>
            </w:r>
          </w:p>
        </w:tc>
        <w:tc>
          <w:tcPr>
            <w:tcW w:w="1361" w:type="dxa"/>
            <w:shd w:val="clear" w:color="000000" w:fill="FFFFFF"/>
            <w:noWrap/>
            <w:hideMark/>
          </w:tcPr>
          <w:p w14:paraId="3C965D1F" w14:textId="77777777" w:rsidR="008E2ED2" w:rsidRPr="0018386D" w:rsidRDefault="008E2ED2" w:rsidP="00DD3106">
            <w:pPr>
              <w:pStyle w:val="TableText"/>
              <w:spacing w:before="30" w:after="20"/>
              <w:rPr>
                <w:rFonts w:cs="Calibri"/>
                <w:szCs w:val="18"/>
              </w:rPr>
            </w:pPr>
            <w:r w:rsidRPr="0018386D">
              <w:rPr>
                <w:rFonts w:cs="Calibri"/>
                <w:szCs w:val="18"/>
              </w:rPr>
              <w:t>0.00005</w:t>
            </w:r>
          </w:p>
        </w:tc>
      </w:tr>
      <w:tr w:rsidR="001F49EB" w:rsidRPr="0018386D" w14:paraId="3449712D" w14:textId="77777777" w:rsidTr="00A453CD">
        <w:trPr>
          <w:divId w:val="1127504634"/>
        </w:trPr>
        <w:tc>
          <w:tcPr>
            <w:tcW w:w="1361" w:type="dxa"/>
            <w:tcBorders>
              <w:top w:val="nil"/>
              <w:bottom w:val="nil"/>
              <w:right w:val="single" w:sz="4" w:space="0" w:color="auto"/>
            </w:tcBorders>
            <w:shd w:val="clear" w:color="000000" w:fill="FFFFFF"/>
            <w:noWrap/>
            <w:hideMark/>
          </w:tcPr>
          <w:p w14:paraId="014E5B80"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3618F061" w14:textId="276F7C34" w:rsidR="008E2ED2" w:rsidRPr="0018386D" w:rsidRDefault="008E2ED2" w:rsidP="00DD3106">
            <w:pPr>
              <w:pStyle w:val="TableText"/>
              <w:spacing w:before="30" w:after="20"/>
              <w:rPr>
                <w:rFonts w:cs="Calibri"/>
                <w:szCs w:val="18"/>
              </w:rPr>
            </w:pPr>
            <w:r w:rsidRPr="0018386D">
              <w:rPr>
                <w:rFonts w:cs="Calibri"/>
                <w:szCs w:val="18"/>
              </w:rPr>
              <w:t>2000</w:t>
            </w:r>
            <w:r w:rsidR="005F6998" w:rsidRPr="0018386D">
              <w:rPr>
                <w:rFonts w:cs="Calibri"/>
                <w:szCs w:val="18"/>
              </w:rPr>
              <w:t>–</w:t>
            </w:r>
            <w:r w:rsidRPr="0018386D">
              <w:rPr>
                <w:rFonts w:cs="Calibri"/>
                <w:szCs w:val="18"/>
              </w:rPr>
              <w:t>&lt;3000 cc</w:t>
            </w:r>
          </w:p>
        </w:tc>
        <w:tc>
          <w:tcPr>
            <w:tcW w:w="567" w:type="dxa"/>
            <w:shd w:val="clear" w:color="000000" w:fill="FFFFFF"/>
            <w:noWrap/>
            <w:hideMark/>
          </w:tcPr>
          <w:p w14:paraId="75CA7986"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73A50F80" w14:textId="77777777" w:rsidR="008E2ED2" w:rsidRPr="0018386D" w:rsidRDefault="008E2ED2" w:rsidP="00DD3106">
            <w:pPr>
              <w:pStyle w:val="TableText"/>
              <w:spacing w:before="30" w:after="20"/>
              <w:rPr>
                <w:rFonts w:cs="Calibri"/>
                <w:szCs w:val="18"/>
              </w:rPr>
            </w:pPr>
            <w:r w:rsidRPr="0018386D">
              <w:rPr>
                <w:rFonts w:cs="Calibri"/>
                <w:szCs w:val="18"/>
              </w:rPr>
              <w:t>0.0262</w:t>
            </w:r>
          </w:p>
        </w:tc>
        <w:tc>
          <w:tcPr>
            <w:tcW w:w="1361" w:type="dxa"/>
            <w:shd w:val="clear" w:color="000000" w:fill="FFFFFF"/>
            <w:noWrap/>
            <w:hideMark/>
          </w:tcPr>
          <w:p w14:paraId="1E508B3A" w14:textId="77777777" w:rsidR="008E2ED2" w:rsidRPr="0018386D" w:rsidRDefault="008E2ED2" w:rsidP="00DD3106">
            <w:pPr>
              <w:pStyle w:val="TableText"/>
              <w:spacing w:before="30" w:after="20"/>
              <w:rPr>
                <w:rFonts w:cs="Calibri"/>
                <w:szCs w:val="18"/>
              </w:rPr>
            </w:pPr>
            <w:r w:rsidRPr="0018386D">
              <w:rPr>
                <w:rFonts w:cs="Calibri"/>
                <w:szCs w:val="18"/>
              </w:rPr>
              <w:t>0.0255</w:t>
            </w:r>
          </w:p>
        </w:tc>
        <w:tc>
          <w:tcPr>
            <w:tcW w:w="1361" w:type="dxa"/>
            <w:shd w:val="clear" w:color="000000" w:fill="FFFFFF"/>
            <w:noWrap/>
            <w:hideMark/>
          </w:tcPr>
          <w:p w14:paraId="12F9EEF0" w14:textId="77777777" w:rsidR="008E2ED2" w:rsidRPr="0018386D" w:rsidRDefault="008E2ED2" w:rsidP="00DD3106">
            <w:pPr>
              <w:pStyle w:val="TableText"/>
              <w:spacing w:before="30" w:after="20"/>
              <w:rPr>
                <w:rFonts w:cs="Calibri"/>
                <w:szCs w:val="18"/>
              </w:rPr>
            </w:pPr>
            <w:r w:rsidRPr="0018386D">
              <w:rPr>
                <w:rFonts w:cs="Calibri"/>
                <w:szCs w:val="18"/>
              </w:rPr>
              <w:t>0.0007</w:t>
            </w:r>
          </w:p>
        </w:tc>
        <w:tc>
          <w:tcPr>
            <w:tcW w:w="1361" w:type="dxa"/>
            <w:shd w:val="clear" w:color="000000" w:fill="FFFFFF"/>
            <w:noWrap/>
            <w:hideMark/>
          </w:tcPr>
          <w:p w14:paraId="19502FE0" w14:textId="77777777" w:rsidR="008E2ED2" w:rsidRPr="0018386D" w:rsidRDefault="008E2ED2" w:rsidP="00DD3106">
            <w:pPr>
              <w:pStyle w:val="TableText"/>
              <w:spacing w:before="30" w:after="20"/>
              <w:rPr>
                <w:rFonts w:cs="Calibri"/>
                <w:szCs w:val="18"/>
              </w:rPr>
            </w:pPr>
            <w:r w:rsidRPr="0018386D">
              <w:rPr>
                <w:rFonts w:cs="Calibri"/>
                <w:szCs w:val="18"/>
              </w:rPr>
              <w:t>0.00006</w:t>
            </w:r>
          </w:p>
        </w:tc>
      </w:tr>
      <w:tr w:rsidR="001F49EB" w:rsidRPr="0018386D" w14:paraId="270ABECD" w14:textId="77777777" w:rsidTr="00A453CD">
        <w:trPr>
          <w:divId w:val="1127504634"/>
        </w:trPr>
        <w:tc>
          <w:tcPr>
            <w:tcW w:w="1361" w:type="dxa"/>
            <w:tcBorders>
              <w:top w:val="nil"/>
              <w:bottom w:val="nil"/>
              <w:right w:val="single" w:sz="4" w:space="0" w:color="auto"/>
            </w:tcBorders>
            <w:shd w:val="clear" w:color="000000" w:fill="FFFFFF"/>
            <w:noWrap/>
            <w:hideMark/>
          </w:tcPr>
          <w:p w14:paraId="0087AC29" w14:textId="77777777" w:rsidR="008E2ED2" w:rsidRPr="0018386D" w:rsidRDefault="008E2ED2" w:rsidP="00DD3106">
            <w:pPr>
              <w:pStyle w:val="TableText"/>
              <w:spacing w:before="30" w:after="20"/>
              <w:rPr>
                <w:rFonts w:cs="Calibri"/>
                <w:szCs w:val="18"/>
              </w:rPr>
            </w:pPr>
            <w:r w:rsidRPr="0018386D">
              <w:rPr>
                <w:rFonts w:cs="Calibri"/>
                <w:szCs w:val="18"/>
              </w:rPr>
              <w:t> </w:t>
            </w:r>
          </w:p>
        </w:tc>
        <w:tc>
          <w:tcPr>
            <w:tcW w:w="1418" w:type="dxa"/>
            <w:tcBorders>
              <w:left w:val="single" w:sz="4" w:space="0" w:color="auto"/>
            </w:tcBorders>
            <w:shd w:val="clear" w:color="000000" w:fill="FFFFFF"/>
            <w:noWrap/>
            <w:hideMark/>
          </w:tcPr>
          <w:p w14:paraId="6FE44814" w14:textId="77777777" w:rsidR="008E2ED2" w:rsidRPr="0018386D" w:rsidRDefault="008E2ED2" w:rsidP="00DD3106">
            <w:pPr>
              <w:pStyle w:val="TableText"/>
              <w:spacing w:before="30" w:after="20"/>
              <w:rPr>
                <w:rFonts w:cs="Calibri"/>
                <w:szCs w:val="18"/>
              </w:rPr>
            </w:pPr>
            <w:r w:rsidRPr="0018386D">
              <w:rPr>
                <w:rFonts w:cs="Calibri"/>
                <w:szCs w:val="18"/>
              </w:rPr>
              <w:t>≥3000 cc</w:t>
            </w:r>
          </w:p>
        </w:tc>
        <w:tc>
          <w:tcPr>
            <w:tcW w:w="567" w:type="dxa"/>
            <w:shd w:val="clear" w:color="000000" w:fill="FFFFFF"/>
            <w:noWrap/>
            <w:hideMark/>
          </w:tcPr>
          <w:p w14:paraId="23AE2765" w14:textId="77777777" w:rsidR="008E2ED2" w:rsidRPr="0018386D" w:rsidRDefault="008E2ED2" w:rsidP="00DD3106">
            <w:pPr>
              <w:pStyle w:val="TableText"/>
              <w:spacing w:before="30" w:after="20"/>
              <w:rPr>
                <w:rFonts w:cs="Calibri"/>
                <w:szCs w:val="18"/>
              </w:rPr>
            </w:pPr>
            <w:r w:rsidRPr="0018386D">
              <w:rPr>
                <w:rFonts w:cs="Calibri"/>
                <w:szCs w:val="18"/>
              </w:rPr>
              <w:t>km</w:t>
            </w:r>
          </w:p>
        </w:tc>
        <w:tc>
          <w:tcPr>
            <w:tcW w:w="1247" w:type="dxa"/>
            <w:shd w:val="clear" w:color="000000" w:fill="D2DDE1"/>
            <w:noWrap/>
            <w:hideMark/>
          </w:tcPr>
          <w:p w14:paraId="6B2A23EE" w14:textId="77777777" w:rsidR="008E2ED2" w:rsidRPr="0018386D" w:rsidRDefault="008E2ED2" w:rsidP="00DD3106">
            <w:pPr>
              <w:pStyle w:val="TableText"/>
              <w:spacing w:before="30" w:after="20"/>
              <w:rPr>
                <w:rFonts w:cs="Calibri"/>
                <w:szCs w:val="18"/>
              </w:rPr>
            </w:pPr>
            <w:r w:rsidRPr="0018386D">
              <w:rPr>
                <w:rFonts w:cs="Calibri"/>
                <w:szCs w:val="18"/>
              </w:rPr>
              <w:t>0.0306</w:t>
            </w:r>
          </w:p>
        </w:tc>
        <w:tc>
          <w:tcPr>
            <w:tcW w:w="1361" w:type="dxa"/>
            <w:shd w:val="clear" w:color="000000" w:fill="FFFFFF"/>
            <w:noWrap/>
            <w:hideMark/>
          </w:tcPr>
          <w:p w14:paraId="4AB16449" w14:textId="77777777" w:rsidR="008E2ED2" w:rsidRPr="0018386D" w:rsidRDefault="008E2ED2" w:rsidP="00DD3106">
            <w:pPr>
              <w:pStyle w:val="TableText"/>
              <w:spacing w:before="30" w:after="20"/>
              <w:rPr>
                <w:rFonts w:cs="Calibri"/>
                <w:szCs w:val="18"/>
              </w:rPr>
            </w:pPr>
            <w:r w:rsidRPr="0018386D">
              <w:rPr>
                <w:rFonts w:cs="Calibri"/>
                <w:szCs w:val="18"/>
              </w:rPr>
              <w:t>0.0298</w:t>
            </w:r>
          </w:p>
        </w:tc>
        <w:tc>
          <w:tcPr>
            <w:tcW w:w="1361" w:type="dxa"/>
            <w:shd w:val="clear" w:color="000000" w:fill="FFFFFF"/>
            <w:noWrap/>
            <w:hideMark/>
          </w:tcPr>
          <w:p w14:paraId="1261240E" w14:textId="77777777" w:rsidR="008E2ED2" w:rsidRPr="0018386D" w:rsidRDefault="008E2ED2" w:rsidP="00DD3106">
            <w:pPr>
              <w:pStyle w:val="TableText"/>
              <w:spacing w:before="30" w:after="20"/>
              <w:rPr>
                <w:rFonts w:cs="Calibri"/>
                <w:szCs w:val="18"/>
              </w:rPr>
            </w:pPr>
            <w:r w:rsidRPr="0018386D">
              <w:rPr>
                <w:rFonts w:cs="Calibri"/>
                <w:szCs w:val="18"/>
              </w:rPr>
              <w:t>0.0008</w:t>
            </w:r>
          </w:p>
        </w:tc>
        <w:tc>
          <w:tcPr>
            <w:tcW w:w="1361" w:type="dxa"/>
            <w:shd w:val="clear" w:color="000000" w:fill="FFFFFF"/>
            <w:noWrap/>
            <w:hideMark/>
          </w:tcPr>
          <w:p w14:paraId="33B0F744" w14:textId="77777777" w:rsidR="008E2ED2" w:rsidRPr="0018386D" w:rsidRDefault="008E2ED2" w:rsidP="00DD3106">
            <w:pPr>
              <w:pStyle w:val="TableText"/>
              <w:spacing w:before="30" w:after="20"/>
              <w:rPr>
                <w:rFonts w:cs="Calibri"/>
                <w:szCs w:val="18"/>
              </w:rPr>
            </w:pPr>
            <w:r w:rsidRPr="0018386D">
              <w:rPr>
                <w:rFonts w:cs="Calibri"/>
                <w:szCs w:val="18"/>
              </w:rPr>
              <w:t>0.00007</w:t>
            </w:r>
          </w:p>
        </w:tc>
      </w:tr>
    </w:tbl>
    <w:p w14:paraId="22A98AC8" w14:textId="77777777" w:rsidR="00DA1BB8" w:rsidRPr="0018386D" w:rsidRDefault="005B2EC6" w:rsidP="00DD3106">
      <w:pPr>
        <w:pStyle w:val="Note"/>
      </w:pPr>
      <w:r w:rsidRPr="0018386D">
        <w:rPr>
          <w:b/>
          <w:bCs/>
        </w:rPr>
        <w:t>Note</w:t>
      </w:r>
      <w:r w:rsidR="000A56D0" w:rsidRPr="0018386D">
        <w:rPr>
          <w:b/>
          <w:bCs/>
        </w:rPr>
        <w:t>:</w:t>
      </w:r>
      <w:r w:rsidR="000A56D0" w:rsidRPr="0018386D">
        <w:t xml:space="preserve"> T</w:t>
      </w:r>
      <w:r w:rsidRPr="0018386D">
        <w:t xml:space="preserve">hese numbers are rounded to three </w:t>
      </w:r>
      <w:r w:rsidR="002011A6" w:rsidRPr="0018386D">
        <w:t xml:space="preserve">decimal places </w:t>
      </w:r>
      <w:r w:rsidRPr="0018386D">
        <w:t>unless the number is significantly small.</w:t>
      </w:r>
      <w:r w:rsidR="00A13B22" w:rsidRPr="0018386D">
        <w:t xml:space="preserve"> </w:t>
      </w:r>
    </w:p>
    <w:p w14:paraId="6509250E" w14:textId="29BE66D2" w:rsidR="00F73FFA" w:rsidRPr="0018386D" w:rsidRDefault="00EB4389" w:rsidP="00DD3106">
      <w:pPr>
        <w:pStyle w:val="Tableheading"/>
      </w:pPr>
      <w:bookmarkStart w:id="606" w:name="_Toc111536659"/>
      <w:bookmarkStart w:id="607" w:name="_Toc140048987"/>
      <w:r w:rsidRPr="0018386D">
        <w:lastRenderedPageBreak/>
        <w:t xml:space="preserve">Table </w:t>
      </w:r>
      <w:r w:rsidR="00ED2A6D" w:rsidRPr="0018386D">
        <w:fldChar w:fldCharType="begin"/>
      </w:r>
      <w:r w:rsidR="00ED2A6D" w:rsidRPr="0018386D">
        <w:instrText>SEQ Table \* ARABIC</w:instrText>
      </w:r>
      <w:r w:rsidR="00ED2A6D" w:rsidRPr="0018386D">
        <w:fldChar w:fldCharType="separate"/>
      </w:r>
      <w:r w:rsidR="00330460" w:rsidRPr="0018386D">
        <w:rPr>
          <w:noProof/>
        </w:rPr>
        <w:t>47</w:t>
      </w:r>
      <w:r w:rsidR="00ED2A6D" w:rsidRPr="0018386D">
        <w:fldChar w:fldCharType="end"/>
      </w:r>
      <w:r w:rsidRPr="0018386D">
        <w:t>:</w:t>
      </w:r>
      <w:r w:rsidRPr="0018386D">
        <w:tab/>
      </w:r>
      <w:r w:rsidR="00F73FFA" w:rsidRPr="0018386D">
        <w:t xml:space="preserve">Emission factors for light commercial vehicles </w:t>
      </w:r>
      <w:r w:rsidR="00EE288F" w:rsidRPr="0018386D">
        <w:t xml:space="preserve">manufactured </w:t>
      </w:r>
      <w:r w:rsidR="00F73FFA" w:rsidRPr="0018386D">
        <w:t>post</w:t>
      </w:r>
      <w:r w:rsidR="005B2EC6" w:rsidRPr="0018386D">
        <w:t>-</w:t>
      </w:r>
      <w:proofErr w:type="gramStart"/>
      <w:r w:rsidR="00F73FFA" w:rsidRPr="0018386D">
        <w:t>2015</w:t>
      </w:r>
      <w:bookmarkEnd w:id="606"/>
      <w:bookmarkEnd w:id="607"/>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611"/>
        <w:gridCol w:w="1398"/>
        <w:gridCol w:w="544"/>
        <w:gridCol w:w="1184"/>
        <w:gridCol w:w="1238"/>
        <w:gridCol w:w="1238"/>
        <w:gridCol w:w="1292"/>
      </w:tblGrid>
      <w:tr w:rsidR="00D907BD" w:rsidRPr="0018386D" w14:paraId="6E1C6C26" w14:textId="77777777" w:rsidTr="00AC3D0F">
        <w:trPr>
          <w:divId w:val="59713622"/>
          <w:tblHeader/>
        </w:trPr>
        <w:tc>
          <w:tcPr>
            <w:tcW w:w="1701" w:type="dxa"/>
            <w:tcBorders>
              <w:bottom w:val="nil"/>
            </w:tcBorders>
            <w:shd w:val="clear" w:color="000000" w:fill="1B556B" w:themeFill="text2"/>
            <w:noWrap/>
            <w:vAlign w:val="bottom"/>
            <w:hideMark/>
          </w:tcPr>
          <w:p w14:paraId="6DD2109F" w14:textId="3EB7757C" w:rsidR="008E2ED2" w:rsidRPr="0018386D" w:rsidRDefault="008E2ED2" w:rsidP="00DD3106">
            <w:pPr>
              <w:pStyle w:val="TableTextbold"/>
              <w:spacing w:before="30" w:after="32"/>
              <w:rPr>
                <w:color w:val="FFFFFF" w:themeColor="background1"/>
              </w:rPr>
            </w:pPr>
            <w:bookmarkStart w:id="608" w:name="_1746366846"/>
            <w:bookmarkStart w:id="609" w:name="_1745997851"/>
            <w:bookmarkStart w:id="610" w:name="_1746254081"/>
            <w:bookmarkStart w:id="611" w:name="_1747051277"/>
            <w:bookmarkEnd w:id="608"/>
            <w:bookmarkEnd w:id="609"/>
            <w:bookmarkEnd w:id="610"/>
            <w:bookmarkEnd w:id="611"/>
            <w:r w:rsidRPr="0018386D">
              <w:rPr>
                <w:color w:val="FFFFFF" w:themeColor="background1"/>
              </w:rPr>
              <w:t>Emission source</w:t>
            </w:r>
          </w:p>
        </w:tc>
        <w:tc>
          <w:tcPr>
            <w:tcW w:w="1474" w:type="dxa"/>
            <w:shd w:val="clear" w:color="000000" w:fill="1B556B" w:themeFill="text2"/>
            <w:noWrap/>
            <w:vAlign w:val="bottom"/>
            <w:hideMark/>
          </w:tcPr>
          <w:p w14:paraId="2ED49C8C" w14:textId="77777777" w:rsidR="008E2ED2" w:rsidRPr="0018386D" w:rsidRDefault="008E2ED2" w:rsidP="00DD3106">
            <w:pPr>
              <w:pStyle w:val="TableTextbold"/>
              <w:spacing w:before="30" w:after="32"/>
              <w:rPr>
                <w:color w:val="FFFFFF" w:themeColor="background1"/>
              </w:rPr>
            </w:pPr>
            <w:r w:rsidRPr="0018386D">
              <w:rPr>
                <w:color w:val="FFFFFF" w:themeColor="background1"/>
              </w:rPr>
              <w:t> </w:t>
            </w:r>
          </w:p>
        </w:tc>
        <w:tc>
          <w:tcPr>
            <w:tcW w:w="567" w:type="dxa"/>
            <w:shd w:val="clear" w:color="000000" w:fill="1B556B" w:themeFill="text2"/>
            <w:noWrap/>
            <w:vAlign w:val="bottom"/>
            <w:hideMark/>
          </w:tcPr>
          <w:p w14:paraId="2D867935" w14:textId="77777777" w:rsidR="008E2ED2" w:rsidRPr="0018386D" w:rsidRDefault="008E2ED2" w:rsidP="00DD3106">
            <w:pPr>
              <w:pStyle w:val="TableTextbold"/>
              <w:spacing w:before="30" w:after="32"/>
              <w:rPr>
                <w:color w:val="FFFFFF" w:themeColor="background1"/>
              </w:rPr>
            </w:pPr>
            <w:r w:rsidRPr="0018386D">
              <w:rPr>
                <w:color w:val="FFFFFF" w:themeColor="background1"/>
              </w:rPr>
              <w:t>Unit</w:t>
            </w:r>
          </w:p>
        </w:tc>
        <w:tc>
          <w:tcPr>
            <w:tcW w:w="1247" w:type="dxa"/>
            <w:shd w:val="clear" w:color="000000" w:fill="1B556B" w:themeFill="text2"/>
            <w:noWrap/>
            <w:vAlign w:val="bottom"/>
            <w:hideMark/>
          </w:tcPr>
          <w:p w14:paraId="1AE4B1A2" w14:textId="77777777" w:rsidR="008E2ED2" w:rsidRPr="0018386D" w:rsidRDefault="008E2ED2" w:rsidP="00DD3106">
            <w:pPr>
              <w:pStyle w:val="TableTextbold"/>
              <w:spacing w:before="30" w:after="32"/>
              <w:rPr>
                <w:color w:val="FFFFFF" w:themeColor="background1"/>
              </w:rPr>
            </w:pPr>
            <w:r w:rsidRPr="0018386D">
              <w:rPr>
                <w:color w:val="FFFFFF" w:themeColor="background1"/>
              </w:rPr>
              <w:t>kg CO₂-e/unit</w:t>
            </w:r>
          </w:p>
        </w:tc>
        <w:tc>
          <w:tcPr>
            <w:tcW w:w="1304" w:type="dxa"/>
            <w:shd w:val="clear" w:color="000000" w:fill="1B556B" w:themeFill="text2"/>
            <w:noWrap/>
            <w:vAlign w:val="bottom"/>
            <w:hideMark/>
          </w:tcPr>
          <w:p w14:paraId="527F635A" w14:textId="49DAD769" w:rsidR="008E2ED2" w:rsidRPr="0018386D" w:rsidRDefault="008E2ED2" w:rsidP="00DD3106">
            <w:pPr>
              <w:pStyle w:val="TableTextbold"/>
              <w:spacing w:before="30" w:after="32"/>
              <w:rPr>
                <w:color w:val="FFFFFF" w:themeColor="background1"/>
              </w:rPr>
            </w:pPr>
            <w:r w:rsidRPr="0018386D">
              <w:rPr>
                <w:color w:val="FFFFFF" w:themeColor="background1"/>
              </w:rPr>
              <w:t>CO₂ (kg CO₂</w:t>
            </w:r>
            <w:r w:rsidRPr="0018386D">
              <w:rPr>
                <w:color w:val="FFFFFF" w:themeColor="background1"/>
              </w:rPr>
              <w:noBreakHyphen/>
              <w:t>e/</w:t>
            </w:r>
            <w:r w:rsidR="00DF04B5" w:rsidRPr="0018386D">
              <w:rPr>
                <w:color w:val="FFFFFF" w:themeColor="background1"/>
              </w:rPr>
              <w:t xml:space="preserve"> </w:t>
            </w:r>
            <w:r w:rsidRPr="0018386D">
              <w:rPr>
                <w:color w:val="FFFFFF" w:themeColor="background1"/>
              </w:rPr>
              <w:t>unit)</w:t>
            </w:r>
          </w:p>
        </w:tc>
        <w:tc>
          <w:tcPr>
            <w:tcW w:w="1304" w:type="dxa"/>
            <w:shd w:val="clear" w:color="000000" w:fill="1B556B" w:themeFill="text2"/>
            <w:noWrap/>
            <w:vAlign w:val="bottom"/>
            <w:hideMark/>
          </w:tcPr>
          <w:p w14:paraId="7C1342D1" w14:textId="5DA472A2" w:rsidR="008E2ED2" w:rsidRPr="0018386D" w:rsidRDefault="008E2ED2" w:rsidP="00DD3106">
            <w:pPr>
              <w:pStyle w:val="TableTextbold"/>
              <w:spacing w:before="30" w:after="32"/>
              <w:rPr>
                <w:color w:val="FFFFFF" w:themeColor="background1"/>
              </w:rPr>
            </w:pPr>
            <w:r w:rsidRPr="0018386D">
              <w:rPr>
                <w:color w:val="FFFFFF" w:themeColor="background1"/>
              </w:rPr>
              <w:t>CH₄ (kg CO₂-e/</w:t>
            </w:r>
            <w:r w:rsidR="00DF04B5" w:rsidRPr="0018386D">
              <w:rPr>
                <w:color w:val="FFFFFF" w:themeColor="background1"/>
              </w:rPr>
              <w:t xml:space="preserve"> </w:t>
            </w:r>
            <w:r w:rsidRPr="0018386D">
              <w:rPr>
                <w:color w:val="FFFFFF" w:themeColor="background1"/>
              </w:rPr>
              <w:t>unit)</w:t>
            </w:r>
          </w:p>
        </w:tc>
        <w:tc>
          <w:tcPr>
            <w:tcW w:w="1361" w:type="dxa"/>
            <w:shd w:val="clear" w:color="000000" w:fill="1B556B" w:themeFill="text2"/>
            <w:noWrap/>
            <w:vAlign w:val="bottom"/>
            <w:hideMark/>
          </w:tcPr>
          <w:p w14:paraId="09F744F0" w14:textId="08CE89DF" w:rsidR="008E2ED2" w:rsidRPr="0018386D" w:rsidRDefault="008E2ED2" w:rsidP="00DD3106">
            <w:pPr>
              <w:pStyle w:val="TableTextbold"/>
              <w:spacing w:before="30" w:after="32"/>
              <w:rPr>
                <w:color w:val="FFFFFF" w:themeColor="background1"/>
              </w:rPr>
            </w:pPr>
            <w:r w:rsidRPr="0018386D">
              <w:rPr>
                <w:color w:val="FFFFFF" w:themeColor="background1"/>
              </w:rPr>
              <w:t>N₂O (kg CO₂-e/</w:t>
            </w:r>
            <w:r w:rsidR="00DF04B5" w:rsidRPr="0018386D">
              <w:rPr>
                <w:color w:val="FFFFFF" w:themeColor="background1"/>
              </w:rPr>
              <w:t xml:space="preserve"> </w:t>
            </w:r>
            <w:r w:rsidRPr="0018386D">
              <w:rPr>
                <w:color w:val="FFFFFF" w:themeColor="background1"/>
              </w:rPr>
              <w:t>unit)</w:t>
            </w:r>
          </w:p>
        </w:tc>
      </w:tr>
      <w:tr w:rsidR="00D907BD" w:rsidRPr="0018386D" w14:paraId="37A32176" w14:textId="77777777" w:rsidTr="00AC3D0F">
        <w:trPr>
          <w:divId w:val="59713622"/>
        </w:trPr>
        <w:tc>
          <w:tcPr>
            <w:tcW w:w="1701" w:type="dxa"/>
            <w:tcBorders>
              <w:top w:val="nil"/>
              <w:bottom w:val="nil"/>
              <w:right w:val="single" w:sz="4" w:space="0" w:color="auto"/>
            </w:tcBorders>
            <w:shd w:val="clear" w:color="000000" w:fill="FFFFFF"/>
            <w:noWrap/>
            <w:hideMark/>
          </w:tcPr>
          <w:p w14:paraId="536DDA26" w14:textId="77777777" w:rsidR="008E2ED2" w:rsidRPr="0018386D" w:rsidRDefault="008E2ED2" w:rsidP="00DD3106">
            <w:pPr>
              <w:pStyle w:val="TableText"/>
              <w:spacing w:before="30" w:after="32"/>
              <w:rPr>
                <w:szCs w:val="18"/>
              </w:rPr>
            </w:pPr>
            <w:r w:rsidRPr="0018386D">
              <w:rPr>
                <w:szCs w:val="18"/>
              </w:rPr>
              <w:t>Petrol</w:t>
            </w:r>
          </w:p>
        </w:tc>
        <w:tc>
          <w:tcPr>
            <w:tcW w:w="1474" w:type="dxa"/>
            <w:tcBorders>
              <w:left w:val="single" w:sz="4" w:space="0" w:color="auto"/>
            </w:tcBorders>
            <w:shd w:val="clear" w:color="000000" w:fill="FFFFFF"/>
            <w:noWrap/>
            <w:hideMark/>
          </w:tcPr>
          <w:p w14:paraId="3856D6D2"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767C0928"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0F783FB1" w14:textId="77777777" w:rsidR="008E2ED2" w:rsidRPr="0018386D" w:rsidRDefault="008E2ED2" w:rsidP="00DD3106">
            <w:pPr>
              <w:pStyle w:val="TableText"/>
              <w:spacing w:before="30" w:after="32"/>
              <w:rPr>
                <w:szCs w:val="18"/>
              </w:rPr>
            </w:pPr>
            <w:r w:rsidRPr="0018386D">
              <w:rPr>
                <w:szCs w:val="18"/>
              </w:rPr>
              <w:t>0.184</w:t>
            </w:r>
          </w:p>
        </w:tc>
        <w:tc>
          <w:tcPr>
            <w:tcW w:w="1304" w:type="dxa"/>
            <w:shd w:val="clear" w:color="000000" w:fill="FFFFFF"/>
            <w:noWrap/>
            <w:hideMark/>
          </w:tcPr>
          <w:p w14:paraId="13301C08" w14:textId="77777777" w:rsidR="008E2ED2" w:rsidRPr="0018386D" w:rsidRDefault="008E2ED2" w:rsidP="00DD3106">
            <w:pPr>
              <w:pStyle w:val="TableText"/>
              <w:spacing w:before="30" w:after="32"/>
              <w:rPr>
                <w:szCs w:val="18"/>
              </w:rPr>
            </w:pPr>
            <w:r w:rsidRPr="0018386D">
              <w:rPr>
                <w:szCs w:val="18"/>
              </w:rPr>
              <w:t>0.176</w:t>
            </w:r>
          </w:p>
        </w:tc>
        <w:tc>
          <w:tcPr>
            <w:tcW w:w="1304" w:type="dxa"/>
            <w:shd w:val="clear" w:color="000000" w:fill="FFFFFF"/>
            <w:noWrap/>
            <w:hideMark/>
          </w:tcPr>
          <w:p w14:paraId="37B01142" w14:textId="77777777" w:rsidR="008E2ED2" w:rsidRPr="0018386D" w:rsidRDefault="008E2ED2" w:rsidP="00DD3106">
            <w:pPr>
              <w:pStyle w:val="TableText"/>
              <w:spacing w:before="30" w:after="32"/>
              <w:rPr>
                <w:szCs w:val="18"/>
              </w:rPr>
            </w:pPr>
            <w:r w:rsidRPr="0018386D">
              <w:rPr>
                <w:szCs w:val="18"/>
              </w:rPr>
              <w:t>0.00231</w:t>
            </w:r>
          </w:p>
        </w:tc>
        <w:tc>
          <w:tcPr>
            <w:tcW w:w="1361" w:type="dxa"/>
            <w:shd w:val="clear" w:color="000000" w:fill="FFFFFF"/>
            <w:noWrap/>
            <w:hideMark/>
          </w:tcPr>
          <w:p w14:paraId="7892ED36" w14:textId="77777777" w:rsidR="008E2ED2" w:rsidRPr="0018386D" w:rsidRDefault="008E2ED2" w:rsidP="00DD3106">
            <w:pPr>
              <w:pStyle w:val="TableText"/>
              <w:spacing w:before="30" w:after="32"/>
              <w:rPr>
                <w:szCs w:val="18"/>
              </w:rPr>
            </w:pPr>
            <w:r w:rsidRPr="0018386D">
              <w:rPr>
                <w:szCs w:val="18"/>
              </w:rPr>
              <w:t>0.00531</w:t>
            </w:r>
          </w:p>
        </w:tc>
      </w:tr>
      <w:tr w:rsidR="00D907BD" w:rsidRPr="0018386D" w14:paraId="179AFDCA" w14:textId="77777777" w:rsidTr="00AC3D0F">
        <w:trPr>
          <w:divId w:val="59713622"/>
        </w:trPr>
        <w:tc>
          <w:tcPr>
            <w:tcW w:w="1701" w:type="dxa"/>
            <w:tcBorders>
              <w:top w:val="nil"/>
              <w:bottom w:val="nil"/>
              <w:right w:val="single" w:sz="4" w:space="0" w:color="auto"/>
            </w:tcBorders>
            <w:shd w:val="clear" w:color="000000" w:fill="FFFFFF"/>
            <w:noWrap/>
            <w:hideMark/>
          </w:tcPr>
          <w:p w14:paraId="084774A0"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3851DFEA" w14:textId="1ED13227" w:rsidR="008E2ED2" w:rsidRPr="0018386D" w:rsidRDefault="008E2ED2" w:rsidP="00DD3106">
            <w:pPr>
              <w:pStyle w:val="TableText"/>
              <w:spacing w:before="30" w:after="32"/>
              <w:rPr>
                <w:szCs w:val="18"/>
              </w:rPr>
            </w:pPr>
            <w:r w:rsidRPr="0018386D">
              <w:rPr>
                <w:szCs w:val="18"/>
              </w:rPr>
              <w:t>1350</w:t>
            </w:r>
            <w:r w:rsidR="005F6998" w:rsidRPr="0018386D">
              <w:rPr>
                <w:szCs w:val="18"/>
              </w:rPr>
              <w:t>–</w:t>
            </w:r>
            <w:r w:rsidRPr="0018386D">
              <w:rPr>
                <w:szCs w:val="18"/>
              </w:rPr>
              <w:t>&lt;1600 cc</w:t>
            </w:r>
          </w:p>
        </w:tc>
        <w:tc>
          <w:tcPr>
            <w:tcW w:w="567" w:type="dxa"/>
            <w:shd w:val="clear" w:color="000000" w:fill="FFFFFF"/>
            <w:noWrap/>
            <w:hideMark/>
          </w:tcPr>
          <w:p w14:paraId="3807D9EB"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203FD1E8" w14:textId="77777777" w:rsidR="008E2ED2" w:rsidRPr="0018386D" w:rsidRDefault="008E2ED2" w:rsidP="00DD3106">
            <w:pPr>
              <w:pStyle w:val="TableText"/>
              <w:spacing w:before="30" w:after="32"/>
              <w:rPr>
                <w:szCs w:val="18"/>
              </w:rPr>
            </w:pPr>
            <w:r w:rsidRPr="0018386D">
              <w:rPr>
                <w:szCs w:val="18"/>
              </w:rPr>
              <w:t>0.197</w:t>
            </w:r>
          </w:p>
        </w:tc>
        <w:tc>
          <w:tcPr>
            <w:tcW w:w="1304" w:type="dxa"/>
            <w:shd w:val="clear" w:color="000000" w:fill="FFFFFF"/>
            <w:noWrap/>
            <w:hideMark/>
          </w:tcPr>
          <w:p w14:paraId="4B647A56" w14:textId="77777777" w:rsidR="008E2ED2" w:rsidRPr="0018386D" w:rsidRDefault="008E2ED2" w:rsidP="00DD3106">
            <w:pPr>
              <w:pStyle w:val="TableText"/>
              <w:spacing w:before="30" w:after="32"/>
              <w:rPr>
                <w:szCs w:val="18"/>
              </w:rPr>
            </w:pPr>
            <w:r w:rsidRPr="0018386D">
              <w:rPr>
                <w:szCs w:val="18"/>
              </w:rPr>
              <w:t>0.189</w:t>
            </w:r>
          </w:p>
        </w:tc>
        <w:tc>
          <w:tcPr>
            <w:tcW w:w="1304" w:type="dxa"/>
            <w:shd w:val="clear" w:color="000000" w:fill="FFFFFF"/>
            <w:noWrap/>
            <w:hideMark/>
          </w:tcPr>
          <w:p w14:paraId="68B612E7" w14:textId="77777777" w:rsidR="008E2ED2" w:rsidRPr="0018386D" w:rsidRDefault="008E2ED2" w:rsidP="00DD3106">
            <w:pPr>
              <w:pStyle w:val="TableText"/>
              <w:spacing w:before="30" w:after="32"/>
              <w:rPr>
                <w:szCs w:val="18"/>
              </w:rPr>
            </w:pPr>
            <w:r w:rsidRPr="0018386D">
              <w:rPr>
                <w:szCs w:val="18"/>
              </w:rPr>
              <w:t>0.00248</w:t>
            </w:r>
          </w:p>
        </w:tc>
        <w:tc>
          <w:tcPr>
            <w:tcW w:w="1361" w:type="dxa"/>
            <w:shd w:val="clear" w:color="000000" w:fill="FFFFFF"/>
            <w:noWrap/>
            <w:hideMark/>
          </w:tcPr>
          <w:p w14:paraId="2C0003B5" w14:textId="77777777" w:rsidR="008E2ED2" w:rsidRPr="0018386D" w:rsidRDefault="008E2ED2" w:rsidP="00DD3106">
            <w:pPr>
              <w:pStyle w:val="TableText"/>
              <w:spacing w:before="30" w:after="32"/>
              <w:rPr>
                <w:szCs w:val="18"/>
              </w:rPr>
            </w:pPr>
            <w:r w:rsidRPr="0018386D">
              <w:rPr>
                <w:szCs w:val="18"/>
              </w:rPr>
              <w:t>0.00570</w:t>
            </w:r>
          </w:p>
        </w:tc>
      </w:tr>
      <w:tr w:rsidR="00D907BD" w:rsidRPr="0018386D" w14:paraId="24C70112" w14:textId="77777777" w:rsidTr="00AC3D0F">
        <w:trPr>
          <w:divId w:val="59713622"/>
        </w:trPr>
        <w:tc>
          <w:tcPr>
            <w:tcW w:w="1701" w:type="dxa"/>
            <w:tcBorders>
              <w:top w:val="nil"/>
              <w:bottom w:val="nil"/>
              <w:right w:val="single" w:sz="4" w:space="0" w:color="auto"/>
            </w:tcBorders>
            <w:shd w:val="clear" w:color="000000" w:fill="FFFFFF"/>
            <w:noWrap/>
            <w:hideMark/>
          </w:tcPr>
          <w:p w14:paraId="3006E95A"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432F9AA" w14:textId="5A7DC587" w:rsidR="008E2ED2" w:rsidRPr="0018386D" w:rsidRDefault="008E2ED2" w:rsidP="00DD3106">
            <w:pPr>
              <w:pStyle w:val="TableText"/>
              <w:spacing w:before="30" w:after="32"/>
              <w:rPr>
                <w:szCs w:val="18"/>
              </w:rPr>
            </w:pPr>
            <w:r w:rsidRPr="0018386D">
              <w:rPr>
                <w:szCs w:val="18"/>
              </w:rPr>
              <w:t>1600</w:t>
            </w:r>
            <w:r w:rsidR="005F6998" w:rsidRPr="0018386D">
              <w:rPr>
                <w:szCs w:val="18"/>
              </w:rPr>
              <w:t>–</w:t>
            </w:r>
            <w:r w:rsidRPr="0018386D">
              <w:rPr>
                <w:szCs w:val="18"/>
              </w:rPr>
              <w:t>&lt;2000 cc</w:t>
            </w:r>
          </w:p>
        </w:tc>
        <w:tc>
          <w:tcPr>
            <w:tcW w:w="567" w:type="dxa"/>
            <w:shd w:val="clear" w:color="000000" w:fill="FFFFFF"/>
            <w:noWrap/>
            <w:hideMark/>
          </w:tcPr>
          <w:p w14:paraId="02A0ABAE"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8E6D92C" w14:textId="77777777" w:rsidR="008E2ED2" w:rsidRPr="0018386D" w:rsidRDefault="008E2ED2" w:rsidP="00DD3106">
            <w:pPr>
              <w:pStyle w:val="TableText"/>
              <w:spacing w:before="30" w:after="32"/>
              <w:rPr>
                <w:szCs w:val="18"/>
              </w:rPr>
            </w:pPr>
            <w:r w:rsidRPr="0018386D">
              <w:rPr>
                <w:szCs w:val="18"/>
              </w:rPr>
              <w:t>0.266</w:t>
            </w:r>
          </w:p>
        </w:tc>
        <w:tc>
          <w:tcPr>
            <w:tcW w:w="1304" w:type="dxa"/>
            <w:shd w:val="clear" w:color="000000" w:fill="FFFFFF"/>
            <w:noWrap/>
            <w:hideMark/>
          </w:tcPr>
          <w:p w14:paraId="7B265835" w14:textId="77777777" w:rsidR="008E2ED2" w:rsidRPr="0018386D" w:rsidRDefault="008E2ED2" w:rsidP="00DD3106">
            <w:pPr>
              <w:pStyle w:val="TableText"/>
              <w:spacing w:before="30" w:after="32"/>
              <w:rPr>
                <w:szCs w:val="18"/>
              </w:rPr>
            </w:pPr>
            <w:r w:rsidRPr="0018386D">
              <w:rPr>
                <w:szCs w:val="18"/>
              </w:rPr>
              <w:t>0.255</w:t>
            </w:r>
          </w:p>
        </w:tc>
        <w:tc>
          <w:tcPr>
            <w:tcW w:w="1304" w:type="dxa"/>
            <w:shd w:val="clear" w:color="000000" w:fill="FFFFFF"/>
            <w:noWrap/>
            <w:hideMark/>
          </w:tcPr>
          <w:p w14:paraId="0912D754" w14:textId="77777777" w:rsidR="008E2ED2" w:rsidRPr="0018386D" w:rsidRDefault="008E2ED2" w:rsidP="00DD3106">
            <w:pPr>
              <w:pStyle w:val="TableText"/>
              <w:spacing w:before="30" w:after="32"/>
              <w:rPr>
                <w:szCs w:val="18"/>
              </w:rPr>
            </w:pPr>
            <w:r w:rsidRPr="0018386D">
              <w:rPr>
                <w:szCs w:val="18"/>
              </w:rPr>
              <w:t>0.00335</w:t>
            </w:r>
          </w:p>
        </w:tc>
        <w:tc>
          <w:tcPr>
            <w:tcW w:w="1361" w:type="dxa"/>
            <w:shd w:val="clear" w:color="000000" w:fill="FFFFFF"/>
            <w:noWrap/>
            <w:hideMark/>
          </w:tcPr>
          <w:p w14:paraId="32DB5E8C" w14:textId="77777777" w:rsidR="008E2ED2" w:rsidRPr="0018386D" w:rsidRDefault="008E2ED2" w:rsidP="00DD3106">
            <w:pPr>
              <w:pStyle w:val="TableText"/>
              <w:spacing w:before="30" w:after="32"/>
              <w:rPr>
                <w:szCs w:val="18"/>
              </w:rPr>
            </w:pPr>
            <w:r w:rsidRPr="0018386D">
              <w:rPr>
                <w:szCs w:val="18"/>
              </w:rPr>
              <w:t>0.00769</w:t>
            </w:r>
          </w:p>
        </w:tc>
      </w:tr>
      <w:tr w:rsidR="00D907BD" w:rsidRPr="0018386D" w14:paraId="54EC5B24" w14:textId="77777777" w:rsidTr="00AC3D0F">
        <w:trPr>
          <w:divId w:val="59713622"/>
        </w:trPr>
        <w:tc>
          <w:tcPr>
            <w:tcW w:w="1701" w:type="dxa"/>
            <w:tcBorders>
              <w:top w:val="nil"/>
              <w:bottom w:val="nil"/>
              <w:right w:val="single" w:sz="4" w:space="0" w:color="auto"/>
            </w:tcBorders>
            <w:shd w:val="clear" w:color="000000" w:fill="FFFFFF"/>
            <w:noWrap/>
            <w:hideMark/>
          </w:tcPr>
          <w:p w14:paraId="0180CBB6"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4513B320" w14:textId="260FB133" w:rsidR="008E2ED2" w:rsidRPr="0018386D" w:rsidRDefault="008E2ED2" w:rsidP="00DD3106">
            <w:pPr>
              <w:pStyle w:val="TableText"/>
              <w:spacing w:before="30" w:after="32"/>
              <w:rPr>
                <w:szCs w:val="18"/>
              </w:rPr>
            </w:pPr>
            <w:r w:rsidRPr="0018386D">
              <w:rPr>
                <w:szCs w:val="18"/>
              </w:rPr>
              <w:t>2000</w:t>
            </w:r>
            <w:r w:rsidR="005F6998" w:rsidRPr="0018386D">
              <w:rPr>
                <w:szCs w:val="18"/>
              </w:rPr>
              <w:t>–</w:t>
            </w:r>
            <w:r w:rsidRPr="0018386D">
              <w:rPr>
                <w:szCs w:val="18"/>
              </w:rPr>
              <w:t>&lt;3000 cc</w:t>
            </w:r>
          </w:p>
        </w:tc>
        <w:tc>
          <w:tcPr>
            <w:tcW w:w="567" w:type="dxa"/>
            <w:shd w:val="clear" w:color="000000" w:fill="FFFFFF"/>
            <w:noWrap/>
            <w:hideMark/>
          </w:tcPr>
          <w:p w14:paraId="1FCB9A56"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0EC8DA9" w14:textId="77777777" w:rsidR="008E2ED2" w:rsidRPr="0018386D" w:rsidRDefault="008E2ED2" w:rsidP="00DD3106">
            <w:pPr>
              <w:pStyle w:val="TableText"/>
              <w:spacing w:before="30" w:after="32"/>
              <w:rPr>
                <w:szCs w:val="18"/>
              </w:rPr>
            </w:pPr>
            <w:r w:rsidRPr="0018386D">
              <w:rPr>
                <w:szCs w:val="18"/>
              </w:rPr>
              <w:t>0.281</w:t>
            </w:r>
          </w:p>
        </w:tc>
        <w:tc>
          <w:tcPr>
            <w:tcW w:w="1304" w:type="dxa"/>
            <w:shd w:val="clear" w:color="000000" w:fill="FFFFFF"/>
            <w:noWrap/>
            <w:hideMark/>
          </w:tcPr>
          <w:p w14:paraId="6E0383FA" w14:textId="77777777" w:rsidR="008E2ED2" w:rsidRPr="0018386D" w:rsidRDefault="008E2ED2" w:rsidP="00DD3106">
            <w:pPr>
              <w:pStyle w:val="TableText"/>
              <w:spacing w:before="30" w:after="32"/>
              <w:rPr>
                <w:szCs w:val="18"/>
              </w:rPr>
            </w:pPr>
            <w:r w:rsidRPr="0018386D">
              <w:rPr>
                <w:szCs w:val="18"/>
              </w:rPr>
              <w:t>0.270</w:t>
            </w:r>
          </w:p>
        </w:tc>
        <w:tc>
          <w:tcPr>
            <w:tcW w:w="1304" w:type="dxa"/>
            <w:shd w:val="clear" w:color="000000" w:fill="FFFFFF"/>
            <w:noWrap/>
            <w:hideMark/>
          </w:tcPr>
          <w:p w14:paraId="17EB0A21" w14:textId="77777777" w:rsidR="008E2ED2" w:rsidRPr="0018386D" w:rsidRDefault="008E2ED2" w:rsidP="00DD3106">
            <w:pPr>
              <w:pStyle w:val="TableText"/>
              <w:spacing w:before="30" w:after="32"/>
              <w:rPr>
                <w:szCs w:val="18"/>
              </w:rPr>
            </w:pPr>
            <w:r w:rsidRPr="0018386D">
              <w:rPr>
                <w:szCs w:val="18"/>
              </w:rPr>
              <w:t>0.00354</w:t>
            </w:r>
          </w:p>
        </w:tc>
        <w:tc>
          <w:tcPr>
            <w:tcW w:w="1361" w:type="dxa"/>
            <w:shd w:val="clear" w:color="000000" w:fill="FFFFFF"/>
            <w:noWrap/>
            <w:hideMark/>
          </w:tcPr>
          <w:p w14:paraId="2EF054A7" w14:textId="77777777" w:rsidR="008E2ED2" w:rsidRPr="0018386D" w:rsidRDefault="008E2ED2" w:rsidP="00DD3106">
            <w:pPr>
              <w:pStyle w:val="TableText"/>
              <w:spacing w:before="30" w:after="32"/>
              <w:rPr>
                <w:szCs w:val="18"/>
              </w:rPr>
            </w:pPr>
            <w:r w:rsidRPr="0018386D">
              <w:rPr>
                <w:szCs w:val="18"/>
              </w:rPr>
              <w:t>0.00813</w:t>
            </w:r>
          </w:p>
        </w:tc>
      </w:tr>
      <w:tr w:rsidR="00D907BD" w:rsidRPr="0018386D" w14:paraId="4A28E076"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0A715111"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383FBC9D"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003398CC"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567981B5" w14:textId="77777777" w:rsidR="008E2ED2" w:rsidRPr="0018386D" w:rsidRDefault="008E2ED2" w:rsidP="00DD3106">
            <w:pPr>
              <w:pStyle w:val="TableText"/>
              <w:spacing w:before="30" w:after="32"/>
              <w:rPr>
                <w:szCs w:val="18"/>
              </w:rPr>
            </w:pPr>
            <w:r w:rsidRPr="0018386D">
              <w:rPr>
                <w:szCs w:val="18"/>
              </w:rPr>
              <w:t>0.321</w:t>
            </w:r>
          </w:p>
        </w:tc>
        <w:tc>
          <w:tcPr>
            <w:tcW w:w="1304" w:type="dxa"/>
            <w:shd w:val="clear" w:color="000000" w:fill="FFFFFF"/>
            <w:noWrap/>
            <w:hideMark/>
          </w:tcPr>
          <w:p w14:paraId="0E71CE0E" w14:textId="77777777" w:rsidR="008E2ED2" w:rsidRPr="0018386D" w:rsidRDefault="008E2ED2" w:rsidP="00DD3106">
            <w:pPr>
              <w:pStyle w:val="TableText"/>
              <w:spacing w:before="30" w:after="32"/>
              <w:rPr>
                <w:szCs w:val="18"/>
              </w:rPr>
            </w:pPr>
            <w:r w:rsidRPr="0018386D">
              <w:rPr>
                <w:szCs w:val="18"/>
              </w:rPr>
              <w:t>0.308</w:t>
            </w:r>
          </w:p>
        </w:tc>
        <w:tc>
          <w:tcPr>
            <w:tcW w:w="1304" w:type="dxa"/>
            <w:shd w:val="clear" w:color="000000" w:fill="FFFFFF"/>
            <w:noWrap/>
            <w:hideMark/>
          </w:tcPr>
          <w:p w14:paraId="3EFAB405" w14:textId="77777777" w:rsidR="008E2ED2" w:rsidRPr="0018386D" w:rsidRDefault="008E2ED2" w:rsidP="00DD3106">
            <w:pPr>
              <w:pStyle w:val="TableText"/>
              <w:spacing w:before="30" w:after="32"/>
              <w:rPr>
                <w:szCs w:val="18"/>
              </w:rPr>
            </w:pPr>
            <w:r w:rsidRPr="0018386D">
              <w:rPr>
                <w:szCs w:val="18"/>
              </w:rPr>
              <w:t>0.00405</w:t>
            </w:r>
          </w:p>
        </w:tc>
        <w:tc>
          <w:tcPr>
            <w:tcW w:w="1361" w:type="dxa"/>
            <w:shd w:val="clear" w:color="000000" w:fill="FFFFFF"/>
            <w:noWrap/>
            <w:hideMark/>
          </w:tcPr>
          <w:p w14:paraId="32D901DA" w14:textId="77777777" w:rsidR="008E2ED2" w:rsidRPr="0018386D" w:rsidRDefault="008E2ED2" w:rsidP="00DD3106">
            <w:pPr>
              <w:pStyle w:val="TableText"/>
              <w:spacing w:before="30" w:after="32"/>
              <w:rPr>
                <w:szCs w:val="18"/>
              </w:rPr>
            </w:pPr>
            <w:r w:rsidRPr="0018386D">
              <w:rPr>
                <w:szCs w:val="18"/>
              </w:rPr>
              <w:t>0.00929</w:t>
            </w:r>
          </w:p>
        </w:tc>
      </w:tr>
      <w:tr w:rsidR="00D907BD" w:rsidRPr="0018386D" w14:paraId="3CFAAA55"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1D37E7A9" w14:textId="77777777" w:rsidR="008E2ED2" w:rsidRPr="0018386D" w:rsidRDefault="008E2ED2" w:rsidP="00DD3106">
            <w:pPr>
              <w:pStyle w:val="TableText"/>
              <w:spacing w:before="30" w:after="32"/>
              <w:rPr>
                <w:szCs w:val="18"/>
              </w:rPr>
            </w:pPr>
            <w:r w:rsidRPr="0018386D">
              <w:rPr>
                <w:szCs w:val="18"/>
              </w:rPr>
              <w:t>Diesel</w:t>
            </w:r>
          </w:p>
        </w:tc>
        <w:tc>
          <w:tcPr>
            <w:tcW w:w="1474" w:type="dxa"/>
            <w:tcBorders>
              <w:left w:val="single" w:sz="4" w:space="0" w:color="auto"/>
            </w:tcBorders>
            <w:shd w:val="clear" w:color="000000" w:fill="FFFFFF"/>
            <w:noWrap/>
            <w:hideMark/>
          </w:tcPr>
          <w:p w14:paraId="04BEFB3E"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2DB91985"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3114CC4C" w14:textId="77777777" w:rsidR="008E2ED2" w:rsidRPr="0018386D" w:rsidRDefault="008E2ED2" w:rsidP="00DD3106">
            <w:pPr>
              <w:pStyle w:val="TableText"/>
              <w:spacing w:before="30" w:after="32"/>
              <w:rPr>
                <w:szCs w:val="18"/>
              </w:rPr>
            </w:pPr>
            <w:r w:rsidRPr="0018386D">
              <w:rPr>
                <w:szCs w:val="18"/>
              </w:rPr>
              <w:t>0.190</w:t>
            </w:r>
          </w:p>
        </w:tc>
        <w:tc>
          <w:tcPr>
            <w:tcW w:w="1304" w:type="dxa"/>
            <w:shd w:val="clear" w:color="000000" w:fill="FFFFFF"/>
            <w:noWrap/>
            <w:hideMark/>
          </w:tcPr>
          <w:p w14:paraId="05EE564E" w14:textId="77777777" w:rsidR="008E2ED2" w:rsidRPr="0018386D" w:rsidRDefault="008E2ED2" w:rsidP="00DD3106">
            <w:pPr>
              <w:pStyle w:val="TableText"/>
              <w:spacing w:before="30" w:after="32"/>
              <w:rPr>
                <w:szCs w:val="18"/>
              </w:rPr>
            </w:pPr>
            <w:r w:rsidRPr="0018386D">
              <w:rPr>
                <w:szCs w:val="18"/>
              </w:rPr>
              <w:t>0.187</w:t>
            </w:r>
          </w:p>
        </w:tc>
        <w:tc>
          <w:tcPr>
            <w:tcW w:w="1304" w:type="dxa"/>
            <w:shd w:val="clear" w:color="000000" w:fill="FFFFFF"/>
            <w:noWrap/>
            <w:hideMark/>
          </w:tcPr>
          <w:p w14:paraId="2371A7E2"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5A424FC2" w14:textId="77777777" w:rsidR="008E2ED2" w:rsidRPr="0018386D" w:rsidRDefault="008E2ED2" w:rsidP="00DD3106">
            <w:pPr>
              <w:pStyle w:val="TableText"/>
              <w:spacing w:before="30" w:after="32"/>
              <w:rPr>
                <w:szCs w:val="18"/>
              </w:rPr>
            </w:pPr>
            <w:r w:rsidRPr="0018386D">
              <w:rPr>
                <w:szCs w:val="18"/>
              </w:rPr>
              <w:t>0.00265</w:t>
            </w:r>
          </w:p>
        </w:tc>
      </w:tr>
      <w:tr w:rsidR="00D907BD" w:rsidRPr="0018386D" w14:paraId="621A70E5" w14:textId="77777777" w:rsidTr="00AC3D0F">
        <w:trPr>
          <w:divId w:val="59713622"/>
        </w:trPr>
        <w:tc>
          <w:tcPr>
            <w:tcW w:w="1701" w:type="dxa"/>
            <w:tcBorders>
              <w:top w:val="nil"/>
              <w:bottom w:val="nil"/>
              <w:right w:val="single" w:sz="4" w:space="0" w:color="auto"/>
            </w:tcBorders>
            <w:shd w:val="clear" w:color="000000" w:fill="FFFFFF"/>
            <w:noWrap/>
            <w:hideMark/>
          </w:tcPr>
          <w:p w14:paraId="77654515"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03183E67" w14:textId="430DAD3F" w:rsidR="008E2ED2" w:rsidRPr="0018386D" w:rsidRDefault="008E2ED2" w:rsidP="00DD3106">
            <w:pPr>
              <w:pStyle w:val="TableText"/>
              <w:spacing w:before="30" w:after="32"/>
              <w:rPr>
                <w:szCs w:val="18"/>
              </w:rPr>
            </w:pPr>
            <w:r w:rsidRPr="0018386D">
              <w:rPr>
                <w:szCs w:val="18"/>
              </w:rPr>
              <w:t>1350</w:t>
            </w:r>
            <w:r w:rsidR="005F6998" w:rsidRPr="0018386D">
              <w:rPr>
                <w:szCs w:val="18"/>
              </w:rPr>
              <w:t>–</w:t>
            </w:r>
            <w:r w:rsidRPr="0018386D">
              <w:rPr>
                <w:szCs w:val="18"/>
              </w:rPr>
              <w:t>&lt;1600 cc</w:t>
            </w:r>
          </w:p>
        </w:tc>
        <w:tc>
          <w:tcPr>
            <w:tcW w:w="567" w:type="dxa"/>
            <w:shd w:val="clear" w:color="000000" w:fill="FFFFFF"/>
            <w:noWrap/>
            <w:hideMark/>
          </w:tcPr>
          <w:p w14:paraId="541EADFD"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3805A212" w14:textId="77777777" w:rsidR="008E2ED2" w:rsidRPr="0018386D" w:rsidRDefault="008E2ED2" w:rsidP="00DD3106">
            <w:pPr>
              <w:pStyle w:val="TableText"/>
              <w:spacing w:before="30" w:after="32"/>
              <w:rPr>
                <w:szCs w:val="18"/>
              </w:rPr>
            </w:pPr>
            <w:r w:rsidRPr="0018386D">
              <w:rPr>
                <w:szCs w:val="18"/>
              </w:rPr>
              <w:t>0.183</w:t>
            </w:r>
          </w:p>
        </w:tc>
        <w:tc>
          <w:tcPr>
            <w:tcW w:w="1304" w:type="dxa"/>
            <w:shd w:val="clear" w:color="000000" w:fill="FFFFFF"/>
            <w:noWrap/>
            <w:hideMark/>
          </w:tcPr>
          <w:p w14:paraId="4B27713E" w14:textId="77777777" w:rsidR="008E2ED2" w:rsidRPr="0018386D" w:rsidRDefault="008E2ED2" w:rsidP="00DD3106">
            <w:pPr>
              <w:pStyle w:val="TableText"/>
              <w:spacing w:before="30" w:after="32"/>
              <w:rPr>
                <w:szCs w:val="18"/>
              </w:rPr>
            </w:pPr>
            <w:r w:rsidRPr="0018386D">
              <w:rPr>
                <w:szCs w:val="18"/>
              </w:rPr>
              <w:t>0.180</w:t>
            </w:r>
          </w:p>
        </w:tc>
        <w:tc>
          <w:tcPr>
            <w:tcW w:w="1304" w:type="dxa"/>
            <w:shd w:val="clear" w:color="000000" w:fill="FFFFFF"/>
            <w:noWrap/>
            <w:hideMark/>
          </w:tcPr>
          <w:p w14:paraId="43303628"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2B9A862F" w14:textId="77777777" w:rsidR="008E2ED2" w:rsidRPr="0018386D" w:rsidRDefault="008E2ED2" w:rsidP="00DD3106">
            <w:pPr>
              <w:pStyle w:val="TableText"/>
              <w:spacing w:before="30" w:after="32"/>
              <w:rPr>
                <w:szCs w:val="18"/>
              </w:rPr>
            </w:pPr>
            <w:r w:rsidRPr="0018386D">
              <w:rPr>
                <w:szCs w:val="18"/>
              </w:rPr>
              <w:t>0.00255</w:t>
            </w:r>
          </w:p>
        </w:tc>
      </w:tr>
      <w:tr w:rsidR="00D907BD" w:rsidRPr="0018386D" w14:paraId="41511160" w14:textId="77777777" w:rsidTr="00AC3D0F">
        <w:trPr>
          <w:divId w:val="59713622"/>
        </w:trPr>
        <w:tc>
          <w:tcPr>
            <w:tcW w:w="1701" w:type="dxa"/>
            <w:tcBorders>
              <w:top w:val="nil"/>
              <w:bottom w:val="nil"/>
              <w:right w:val="single" w:sz="4" w:space="0" w:color="auto"/>
            </w:tcBorders>
            <w:shd w:val="clear" w:color="000000" w:fill="FFFFFF"/>
            <w:noWrap/>
            <w:hideMark/>
          </w:tcPr>
          <w:p w14:paraId="2B69E765"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8DEDE3E" w14:textId="7EBC1ACE" w:rsidR="008E2ED2" w:rsidRPr="0018386D" w:rsidRDefault="008E2ED2" w:rsidP="00DD3106">
            <w:pPr>
              <w:pStyle w:val="TableText"/>
              <w:spacing w:before="30" w:after="32"/>
              <w:rPr>
                <w:szCs w:val="18"/>
              </w:rPr>
            </w:pPr>
            <w:r w:rsidRPr="0018386D">
              <w:rPr>
                <w:szCs w:val="18"/>
              </w:rPr>
              <w:t>1600</w:t>
            </w:r>
            <w:r w:rsidR="005F6998" w:rsidRPr="0018386D">
              <w:rPr>
                <w:szCs w:val="18"/>
              </w:rPr>
              <w:t>–</w:t>
            </w:r>
            <w:r w:rsidRPr="0018386D">
              <w:rPr>
                <w:szCs w:val="18"/>
              </w:rPr>
              <w:t>&lt;2000 cc</w:t>
            </w:r>
          </w:p>
        </w:tc>
        <w:tc>
          <w:tcPr>
            <w:tcW w:w="567" w:type="dxa"/>
            <w:shd w:val="clear" w:color="000000" w:fill="FFFFFF"/>
            <w:noWrap/>
            <w:hideMark/>
          </w:tcPr>
          <w:p w14:paraId="3900AE1E"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A247436" w14:textId="77777777" w:rsidR="008E2ED2" w:rsidRPr="0018386D" w:rsidRDefault="008E2ED2" w:rsidP="00DD3106">
            <w:pPr>
              <w:pStyle w:val="TableText"/>
              <w:spacing w:before="30" w:after="32"/>
              <w:rPr>
                <w:szCs w:val="18"/>
              </w:rPr>
            </w:pPr>
            <w:r w:rsidRPr="0018386D">
              <w:rPr>
                <w:szCs w:val="18"/>
              </w:rPr>
              <w:t>0.244</w:t>
            </w:r>
          </w:p>
        </w:tc>
        <w:tc>
          <w:tcPr>
            <w:tcW w:w="1304" w:type="dxa"/>
            <w:shd w:val="clear" w:color="000000" w:fill="FFFFFF"/>
            <w:noWrap/>
            <w:hideMark/>
          </w:tcPr>
          <w:p w14:paraId="138B281E" w14:textId="77777777" w:rsidR="008E2ED2" w:rsidRPr="0018386D" w:rsidRDefault="008E2ED2" w:rsidP="00DD3106">
            <w:pPr>
              <w:pStyle w:val="TableText"/>
              <w:spacing w:before="30" w:after="32"/>
              <w:rPr>
                <w:szCs w:val="18"/>
              </w:rPr>
            </w:pPr>
            <w:r w:rsidRPr="0018386D">
              <w:rPr>
                <w:szCs w:val="18"/>
              </w:rPr>
              <w:t>0.240</w:t>
            </w:r>
          </w:p>
        </w:tc>
        <w:tc>
          <w:tcPr>
            <w:tcW w:w="1304" w:type="dxa"/>
            <w:shd w:val="clear" w:color="000000" w:fill="FFFFFF"/>
            <w:noWrap/>
            <w:hideMark/>
          </w:tcPr>
          <w:p w14:paraId="5C8EBAF9" w14:textId="77777777" w:rsidR="008E2ED2" w:rsidRPr="0018386D" w:rsidRDefault="008E2ED2" w:rsidP="00DD3106">
            <w:pPr>
              <w:pStyle w:val="TableText"/>
              <w:spacing w:before="30" w:after="32"/>
              <w:rPr>
                <w:szCs w:val="18"/>
              </w:rPr>
            </w:pPr>
            <w:r w:rsidRPr="0018386D">
              <w:rPr>
                <w:szCs w:val="18"/>
              </w:rPr>
              <w:t>0.0004</w:t>
            </w:r>
          </w:p>
        </w:tc>
        <w:tc>
          <w:tcPr>
            <w:tcW w:w="1361" w:type="dxa"/>
            <w:shd w:val="clear" w:color="000000" w:fill="FFFFFF"/>
            <w:noWrap/>
            <w:hideMark/>
          </w:tcPr>
          <w:p w14:paraId="6AA7C583" w14:textId="77777777" w:rsidR="008E2ED2" w:rsidRPr="0018386D" w:rsidRDefault="008E2ED2" w:rsidP="00DD3106">
            <w:pPr>
              <w:pStyle w:val="TableText"/>
              <w:spacing w:before="30" w:after="32"/>
              <w:rPr>
                <w:szCs w:val="18"/>
              </w:rPr>
            </w:pPr>
            <w:r w:rsidRPr="0018386D">
              <w:rPr>
                <w:szCs w:val="18"/>
              </w:rPr>
              <w:t>0.00339</w:t>
            </w:r>
          </w:p>
        </w:tc>
      </w:tr>
      <w:tr w:rsidR="00D907BD" w:rsidRPr="0018386D" w14:paraId="50B1A443" w14:textId="77777777" w:rsidTr="00AC3D0F">
        <w:trPr>
          <w:divId w:val="59713622"/>
        </w:trPr>
        <w:tc>
          <w:tcPr>
            <w:tcW w:w="1701" w:type="dxa"/>
            <w:tcBorders>
              <w:top w:val="nil"/>
              <w:bottom w:val="nil"/>
              <w:right w:val="single" w:sz="4" w:space="0" w:color="auto"/>
            </w:tcBorders>
            <w:shd w:val="clear" w:color="000000" w:fill="FFFFFF"/>
            <w:noWrap/>
            <w:hideMark/>
          </w:tcPr>
          <w:p w14:paraId="5E146119"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4EDDD206" w14:textId="115D57A3" w:rsidR="008E2ED2" w:rsidRPr="0018386D" w:rsidRDefault="008E2ED2" w:rsidP="00DD3106">
            <w:pPr>
              <w:pStyle w:val="TableText"/>
              <w:spacing w:before="30" w:after="32"/>
              <w:rPr>
                <w:szCs w:val="18"/>
              </w:rPr>
            </w:pPr>
            <w:r w:rsidRPr="0018386D">
              <w:rPr>
                <w:szCs w:val="18"/>
              </w:rPr>
              <w:t>2000</w:t>
            </w:r>
            <w:r w:rsidR="005F6998" w:rsidRPr="0018386D">
              <w:rPr>
                <w:szCs w:val="18"/>
              </w:rPr>
              <w:t>–</w:t>
            </w:r>
            <w:r w:rsidRPr="0018386D">
              <w:rPr>
                <w:szCs w:val="18"/>
              </w:rPr>
              <w:t>&lt;3000 cc</w:t>
            </w:r>
          </w:p>
        </w:tc>
        <w:tc>
          <w:tcPr>
            <w:tcW w:w="567" w:type="dxa"/>
            <w:shd w:val="clear" w:color="000000" w:fill="FFFFFF"/>
            <w:noWrap/>
            <w:hideMark/>
          </w:tcPr>
          <w:p w14:paraId="2ECF1722"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59B73CDB" w14:textId="77777777" w:rsidR="008E2ED2" w:rsidRPr="0018386D" w:rsidRDefault="008E2ED2" w:rsidP="00DD3106">
            <w:pPr>
              <w:pStyle w:val="TableText"/>
              <w:spacing w:before="30" w:after="32"/>
              <w:rPr>
                <w:szCs w:val="18"/>
              </w:rPr>
            </w:pPr>
            <w:r w:rsidRPr="0018386D">
              <w:rPr>
                <w:szCs w:val="18"/>
              </w:rPr>
              <w:t>0.261</w:t>
            </w:r>
          </w:p>
        </w:tc>
        <w:tc>
          <w:tcPr>
            <w:tcW w:w="1304" w:type="dxa"/>
            <w:shd w:val="clear" w:color="000000" w:fill="FFFFFF"/>
            <w:noWrap/>
            <w:hideMark/>
          </w:tcPr>
          <w:p w14:paraId="65A67EAA" w14:textId="77777777" w:rsidR="008E2ED2" w:rsidRPr="0018386D" w:rsidRDefault="008E2ED2" w:rsidP="00DD3106">
            <w:pPr>
              <w:pStyle w:val="TableText"/>
              <w:spacing w:before="30" w:after="32"/>
              <w:rPr>
                <w:szCs w:val="18"/>
              </w:rPr>
            </w:pPr>
            <w:r w:rsidRPr="0018386D">
              <w:rPr>
                <w:szCs w:val="18"/>
              </w:rPr>
              <w:t>0.257</w:t>
            </w:r>
          </w:p>
        </w:tc>
        <w:tc>
          <w:tcPr>
            <w:tcW w:w="1304" w:type="dxa"/>
            <w:shd w:val="clear" w:color="000000" w:fill="FFFFFF"/>
            <w:noWrap/>
            <w:hideMark/>
          </w:tcPr>
          <w:p w14:paraId="3F56292F" w14:textId="77777777" w:rsidR="008E2ED2" w:rsidRPr="0018386D" w:rsidRDefault="008E2ED2" w:rsidP="00DD3106">
            <w:pPr>
              <w:pStyle w:val="TableText"/>
              <w:spacing w:before="30" w:after="32"/>
              <w:rPr>
                <w:szCs w:val="18"/>
              </w:rPr>
            </w:pPr>
            <w:r w:rsidRPr="0018386D">
              <w:rPr>
                <w:szCs w:val="18"/>
              </w:rPr>
              <w:t>0.0004</w:t>
            </w:r>
          </w:p>
        </w:tc>
        <w:tc>
          <w:tcPr>
            <w:tcW w:w="1361" w:type="dxa"/>
            <w:shd w:val="clear" w:color="000000" w:fill="FFFFFF"/>
            <w:noWrap/>
            <w:hideMark/>
          </w:tcPr>
          <w:p w14:paraId="6776B95A" w14:textId="77777777" w:rsidR="008E2ED2" w:rsidRPr="0018386D" w:rsidRDefault="008E2ED2" w:rsidP="00DD3106">
            <w:pPr>
              <w:pStyle w:val="TableText"/>
              <w:spacing w:before="30" w:after="32"/>
              <w:rPr>
                <w:szCs w:val="18"/>
              </w:rPr>
            </w:pPr>
            <w:r w:rsidRPr="0018386D">
              <w:rPr>
                <w:szCs w:val="18"/>
              </w:rPr>
              <w:t>0.00363</w:t>
            </w:r>
          </w:p>
        </w:tc>
      </w:tr>
      <w:tr w:rsidR="00D907BD" w:rsidRPr="0018386D" w14:paraId="7CD056DD"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49F76DC3"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343AC05C"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4CF26030"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0960F851" w14:textId="77777777" w:rsidR="008E2ED2" w:rsidRPr="0018386D" w:rsidRDefault="008E2ED2" w:rsidP="00DD3106">
            <w:pPr>
              <w:pStyle w:val="TableText"/>
              <w:spacing w:before="30" w:after="32"/>
              <w:rPr>
                <w:szCs w:val="18"/>
              </w:rPr>
            </w:pPr>
            <w:r w:rsidRPr="0018386D">
              <w:rPr>
                <w:szCs w:val="18"/>
              </w:rPr>
              <w:t>0.264</w:t>
            </w:r>
          </w:p>
        </w:tc>
        <w:tc>
          <w:tcPr>
            <w:tcW w:w="1304" w:type="dxa"/>
            <w:shd w:val="clear" w:color="000000" w:fill="FFFFFF"/>
            <w:noWrap/>
            <w:hideMark/>
          </w:tcPr>
          <w:p w14:paraId="6822FDF6" w14:textId="77777777" w:rsidR="008E2ED2" w:rsidRPr="0018386D" w:rsidRDefault="008E2ED2" w:rsidP="00DD3106">
            <w:pPr>
              <w:pStyle w:val="TableText"/>
              <w:spacing w:before="30" w:after="32"/>
              <w:rPr>
                <w:szCs w:val="18"/>
              </w:rPr>
            </w:pPr>
            <w:r w:rsidRPr="0018386D">
              <w:rPr>
                <w:szCs w:val="18"/>
              </w:rPr>
              <w:t>0.260</w:t>
            </w:r>
          </w:p>
        </w:tc>
        <w:tc>
          <w:tcPr>
            <w:tcW w:w="1304" w:type="dxa"/>
            <w:shd w:val="clear" w:color="000000" w:fill="FFFFFF"/>
            <w:noWrap/>
            <w:hideMark/>
          </w:tcPr>
          <w:p w14:paraId="2175AB99" w14:textId="77777777" w:rsidR="008E2ED2" w:rsidRPr="0018386D" w:rsidRDefault="008E2ED2" w:rsidP="00DD3106">
            <w:pPr>
              <w:pStyle w:val="TableText"/>
              <w:spacing w:before="30" w:after="32"/>
              <w:rPr>
                <w:szCs w:val="18"/>
              </w:rPr>
            </w:pPr>
            <w:r w:rsidRPr="0018386D">
              <w:rPr>
                <w:szCs w:val="18"/>
              </w:rPr>
              <w:t>0.0004</w:t>
            </w:r>
          </w:p>
        </w:tc>
        <w:tc>
          <w:tcPr>
            <w:tcW w:w="1361" w:type="dxa"/>
            <w:shd w:val="clear" w:color="000000" w:fill="FFFFFF"/>
            <w:noWrap/>
            <w:hideMark/>
          </w:tcPr>
          <w:p w14:paraId="3A44CF45" w14:textId="77777777" w:rsidR="008E2ED2" w:rsidRPr="0018386D" w:rsidRDefault="008E2ED2" w:rsidP="00DD3106">
            <w:pPr>
              <w:pStyle w:val="TableText"/>
              <w:spacing w:before="30" w:after="32"/>
              <w:rPr>
                <w:szCs w:val="18"/>
              </w:rPr>
            </w:pPr>
            <w:r w:rsidRPr="0018386D">
              <w:rPr>
                <w:szCs w:val="18"/>
              </w:rPr>
              <w:t>0.00368</w:t>
            </w:r>
          </w:p>
        </w:tc>
      </w:tr>
      <w:tr w:rsidR="00D907BD" w:rsidRPr="0018386D" w14:paraId="05E92883"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5FA16374" w14:textId="77777777" w:rsidR="008E2ED2" w:rsidRPr="0018386D" w:rsidRDefault="008E2ED2" w:rsidP="00DD3106">
            <w:pPr>
              <w:pStyle w:val="TableText"/>
              <w:spacing w:before="30" w:after="32"/>
              <w:rPr>
                <w:szCs w:val="18"/>
              </w:rPr>
            </w:pPr>
            <w:r w:rsidRPr="0018386D">
              <w:rPr>
                <w:szCs w:val="18"/>
              </w:rPr>
              <w:t>Petrol hybrid</w:t>
            </w:r>
          </w:p>
        </w:tc>
        <w:tc>
          <w:tcPr>
            <w:tcW w:w="1474" w:type="dxa"/>
            <w:tcBorders>
              <w:left w:val="single" w:sz="4" w:space="0" w:color="auto"/>
            </w:tcBorders>
            <w:shd w:val="clear" w:color="000000" w:fill="FFFFFF"/>
            <w:noWrap/>
            <w:hideMark/>
          </w:tcPr>
          <w:p w14:paraId="4D714D0E"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0EA5EBDA"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0E55D4E7" w14:textId="77777777" w:rsidR="008E2ED2" w:rsidRPr="0018386D" w:rsidRDefault="008E2ED2" w:rsidP="00DD3106">
            <w:pPr>
              <w:pStyle w:val="TableText"/>
              <w:spacing w:before="30" w:after="32"/>
              <w:rPr>
                <w:szCs w:val="18"/>
              </w:rPr>
            </w:pPr>
            <w:r w:rsidRPr="0018386D">
              <w:rPr>
                <w:szCs w:val="18"/>
              </w:rPr>
              <w:t>0.144</w:t>
            </w:r>
          </w:p>
        </w:tc>
        <w:tc>
          <w:tcPr>
            <w:tcW w:w="1304" w:type="dxa"/>
            <w:shd w:val="clear" w:color="000000" w:fill="FFFFFF"/>
            <w:noWrap/>
            <w:hideMark/>
          </w:tcPr>
          <w:p w14:paraId="0DD55912" w14:textId="77777777" w:rsidR="008E2ED2" w:rsidRPr="0018386D" w:rsidRDefault="008E2ED2" w:rsidP="00DD3106">
            <w:pPr>
              <w:pStyle w:val="TableText"/>
              <w:spacing w:before="30" w:after="32"/>
              <w:rPr>
                <w:szCs w:val="18"/>
              </w:rPr>
            </w:pPr>
            <w:r w:rsidRPr="0018386D">
              <w:rPr>
                <w:szCs w:val="18"/>
              </w:rPr>
              <w:t>0.138</w:t>
            </w:r>
          </w:p>
        </w:tc>
        <w:tc>
          <w:tcPr>
            <w:tcW w:w="1304" w:type="dxa"/>
            <w:shd w:val="clear" w:color="000000" w:fill="FFFFFF"/>
            <w:noWrap/>
            <w:hideMark/>
          </w:tcPr>
          <w:p w14:paraId="4CC6AF07" w14:textId="77777777" w:rsidR="008E2ED2" w:rsidRPr="0018386D" w:rsidRDefault="008E2ED2" w:rsidP="00DD3106">
            <w:pPr>
              <w:pStyle w:val="TableText"/>
              <w:spacing w:before="30" w:after="32"/>
              <w:rPr>
                <w:szCs w:val="18"/>
              </w:rPr>
            </w:pPr>
            <w:r w:rsidRPr="0018386D">
              <w:rPr>
                <w:szCs w:val="18"/>
              </w:rPr>
              <w:t>0.00182</w:t>
            </w:r>
          </w:p>
        </w:tc>
        <w:tc>
          <w:tcPr>
            <w:tcW w:w="1361" w:type="dxa"/>
            <w:shd w:val="clear" w:color="000000" w:fill="FFFFFF"/>
            <w:noWrap/>
            <w:hideMark/>
          </w:tcPr>
          <w:p w14:paraId="7D356ED0" w14:textId="77777777" w:rsidR="008E2ED2" w:rsidRPr="0018386D" w:rsidRDefault="008E2ED2" w:rsidP="00DD3106">
            <w:pPr>
              <w:pStyle w:val="TableText"/>
              <w:spacing w:before="30" w:after="32"/>
              <w:rPr>
                <w:szCs w:val="18"/>
              </w:rPr>
            </w:pPr>
            <w:r w:rsidRPr="0018386D">
              <w:rPr>
                <w:szCs w:val="18"/>
              </w:rPr>
              <w:t>0.00417</w:t>
            </w:r>
          </w:p>
        </w:tc>
      </w:tr>
      <w:tr w:rsidR="00D907BD" w:rsidRPr="0018386D" w14:paraId="2F02D77E" w14:textId="77777777" w:rsidTr="00AC3D0F">
        <w:trPr>
          <w:divId w:val="59713622"/>
        </w:trPr>
        <w:tc>
          <w:tcPr>
            <w:tcW w:w="1701" w:type="dxa"/>
            <w:tcBorders>
              <w:top w:val="nil"/>
              <w:bottom w:val="nil"/>
              <w:right w:val="single" w:sz="4" w:space="0" w:color="auto"/>
            </w:tcBorders>
            <w:shd w:val="clear" w:color="000000" w:fill="FFFFFF"/>
            <w:noWrap/>
            <w:hideMark/>
          </w:tcPr>
          <w:p w14:paraId="5CC3E24F"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61CDDDCB" w14:textId="44F7B300" w:rsidR="008E2ED2" w:rsidRPr="0018386D" w:rsidRDefault="008E2ED2" w:rsidP="00DD3106">
            <w:pPr>
              <w:pStyle w:val="TableText"/>
              <w:spacing w:before="30" w:after="32"/>
              <w:rPr>
                <w:szCs w:val="18"/>
              </w:rPr>
            </w:pPr>
            <w:r w:rsidRPr="0018386D">
              <w:rPr>
                <w:szCs w:val="18"/>
              </w:rPr>
              <w:t>1350</w:t>
            </w:r>
            <w:r w:rsidR="005F6998" w:rsidRPr="0018386D">
              <w:rPr>
                <w:szCs w:val="18"/>
              </w:rPr>
              <w:t>–</w:t>
            </w:r>
            <w:r w:rsidRPr="0018386D">
              <w:rPr>
                <w:szCs w:val="18"/>
              </w:rPr>
              <w:t>&lt;1600 cc</w:t>
            </w:r>
          </w:p>
        </w:tc>
        <w:tc>
          <w:tcPr>
            <w:tcW w:w="567" w:type="dxa"/>
            <w:shd w:val="clear" w:color="000000" w:fill="FFFFFF"/>
            <w:noWrap/>
            <w:hideMark/>
          </w:tcPr>
          <w:p w14:paraId="31C2A092"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1296C321" w14:textId="77777777" w:rsidR="008E2ED2" w:rsidRPr="0018386D" w:rsidRDefault="008E2ED2" w:rsidP="00DD3106">
            <w:pPr>
              <w:pStyle w:val="TableText"/>
              <w:spacing w:before="30" w:after="32"/>
              <w:rPr>
                <w:szCs w:val="18"/>
              </w:rPr>
            </w:pPr>
            <w:r w:rsidRPr="0018386D">
              <w:rPr>
                <w:szCs w:val="18"/>
              </w:rPr>
              <w:t>0.155</w:t>
            </w:r>
          </w:p>
        </w:tc>
        <w:tc>
          <w:tcPr>
            <w:tcW w:w="1304" w:type="dxa"/>
            <w:shd w:val="clear" w:color="000000" w:fill="FFFFFF"/>
            <w:noWrap/>
            <w:hideMark/>
          </w:tcPr>
          <w:p w14:paraId="3CC88468" w14:textId="77777777" w:rsidR="008E2ED2" w:rsidRPr="0018386D" w:rsidRDefault="008E2ED2" w:rsidP="00DD3106">
            <w:pPr>
              <w:pStyle w:val="TableText"/>
              <w:spacing w:before="30" w:after="32"/>
              <w:rPr>
                <w:szCs w:val="18"/>
              </w:rPr>
            </w:pPr>
            <w:r w:rsidRPr="0018386D">
              <w:rPr>
                <w:szCs w:val="18"/>
              </w:rPr>
              <w:t>0.148</w:t>
            </w:r>
          </w:p>
        </w:tc>
        <w:tc>
          <w:tcPr>
            <w:tcW w:w="1304" w:type="dxa"/>
            <w:shd w:val="clear" w:color="000000" w:fill="FFFFFF"/>
            <w:noWrap/>
            <w:hideMark/>
          </w:tcPr>
          <w:p w14:paraId="738C6531" w14:textId="77777777" w:rsidR="008E2ED2" w:rsidRPr="0018386D" w:rsidRDefault="008E2ED2" w:rsidP="00DD3106">
            <w:pPr>
              <w:pStyle w:val="TableText"/>
              <w:spacing w:before="30" w:after="32"/>
              <w:rPr>
                <w:szCs w:val="18"/>
              </w:rPr>
            </w:pPr>
            <w:r w:rsidRPr="0018386D">
              <w:rPr>
                <w:szCs w:val="18"/>
              </w:rPr>
              <w:t>0.00195</w:t>
            </w:r>
          </w:p>
        </w:tc>
        <w:tc>
          <w:tcPr>
            <w:tcW w:w="1361" w:type="dxa"/>
            <w:shd w:val="clear" w:color="000000" w:fill="FFFFFF"/>
            <w:noWrap/>
            <w:hideMark/>
          </w:tcPr>
          <w:p w14:paraId="6C12F9B7" w14:textId="77777777" w:rsidR="008E2ED2" w:rsidRPr="0018386D" w:rsidRDefault="008E2ED2" w:rsidP="00DD3106">
            <w:pPr>
              <w:pStyle w:val="TableText"/>
              <w:spacing w:before="30" w:after="32"/>
              <w:rPr>
                <w:szCs w:val="18"/>
              </w:rPr>
            </w:pPr>
            <w:r w:rsidRPr="0018386D">
              <w:rPr>
                <w:szCs w:val="18"/>
              </w:rPr>
              <w:t>0.00447</w:t>
            </w:r>
          </w:p>
        </w:tc>
      </w:tr>
      <w:tr w:rsidR="00D907BD" w:rsidRPr="0018386D" w14:paraId="6DD2F3E6" w14:textId="77777777" w:rsidTr="00AC3D0F">
        <w:trPr>
          <w:divId w:val="59713622"/>
        </w:trPr>
        <w:tc>
          <w:tcPr>
            <w:tcW w:w="1701" w:type="dxa"/>
            <w:tcBorders>
              <w:top w:val="nil"/>
              <w:bottom w:val="nil"/>
              <w:right w:val="single" w:sz="4" w:space="0" w:color="auto"/>
            </w:tcBorders>
            <w:shd w:val="clear" w:color="000000" w:fill="FFFFFF"/>
            <w:noWrap/>
            <w:hideMark/>
          </w:tcPr>
          <w:p w14:paraId="1B11D9E9"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6E19105" w14:textId="6D9AD5F9" w:rsidR="008E2ED2" w:rsidRPr="0018386D" w:rsidRDefault="008E2ED2" w:rsidP="00DD3106">
            <w:pPr>
              <w:pStyle w:val="TableText"/>
              <w:spacing w:before="30" w:after="32"/>
              <w:rPr>
                <w:szCs w:val="18"/>
              </w:rPr>
            </w:pPr>
            <w:r w:rsidRPr="0018386D">
              <w:rPr>
                <w:szCs w:val="18"/>
              </w:rPr>
              <w:t>1600</w:t>
            </w:r>
            <w:r w:rsidR="005F6998" w:rsidRPr="0018386D">
              <w:rPr>
                <w:szCs w:val="18"/>
              </w:rPr>
              <w:t>–</w:t>
            </w:r>
            <w:r w:rsidRPr="0018386D">
              <w:rPr>
                <w:szCs w:val="18"/>
              </w:rPr>
              <w:t>&lt;2000 cc</w:t>
            </w:r>
          </w:p>
        </w:tc>
        <w:tc>
          <w:tcPr>
            <w:tcW w:w="567" w:type="dxa"/>
            <w:shd w:val="clear" w:color="000000" w:fill="FFFFFF"/>
            <w:noWrap/>
            <w:hideMark/>
          </w:tcPr>
          <w:p w14:paraId="66852A55"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1DB5DD97" w14:textId="77777777" w:rsidR="008E2ED2" w:rsidRPr="0018386D" w:rsidRDefault="008E2ED2" w:rsidP="00DD3106">
            <w:pPr>
              <w:pStyle w:val="TableText"/>
              <w:spacing w:before="30" w:after="32"/>
              <w:rPr>
                <w:szCs w:val="18"/>
              </w:rPr>
            </w:pPr>
            <w:r w:rsidRPr="0018386D">
              <w:rPr>
                <w:szCs w:val="18"/>
              </w:rPr>
              <w:t>0.209</w:t>
            </w:r>
          </w:p>
        </w:tc>
        <w:tc>
          <w:tcPr>
            <w:tcW w:w="1304" w:type="dxa"/>
            <w:shd w:val="clear" w:color="000000" w:fill="FFFFFF"/>
            <w:noWrap/>
            <w:hideMark/>
          </w:tcPr>
          <w:p w14:paraId="6502B41C" w14:textId="77777777" w:rsidR="008E2ED2" w:rsidRPr="0018386D" w:rsidRDefault="008E2ED2" w:rsidP="00DD3106">
            <w:pPr>
              <w:pStyle w:val="TableText"/>
              <w:spacing w:before="30" w:after="32"/>
              <w:rPr>
                <w:szCs w:val="18"/>
              </w:rPr>
            </w:pPr>
            <w:r w:rsidRPr="0018386D">
              <w:rPr>
                <w:szCs w:val="18"/>
              </w:rPr>
              <w:t>0.200</w:t>
            </w:r>
          </w:p>
        </w:tc>
        <w:tc>
          <w:tcPr>
            <w:tcW w:w="1304" w:type="dxa"/>
            <w:shd w:val="clear" w:color="000000" w:fill="FFFFFF"/>
            <w:noWrap/>
            <w:hideMark/>
          </w:tcPr>
          <w:p w14:paraId="33C4703D" w14:textId="77777777" w:rsidR="008E2ED2" w:rsidRPr="0018386D" w:rsidRDefault="008E2ED2" w:rsidP="00DD3106">
            <w:pPr>
              <w:pStyle w:val="TableText"/>
              <w:spacing w:before="30" w:after="32"/>
              <w:rPr>
                <w:szCs w:val="18"/>
              </w:rPr>
            </w:pPr>
            <w:r w:rsidRPr="0018386D">
              <w:rPr>
                <w:szCs w:val="18"/>
              </w:rPr>
              <w:t>0.00263</w:t>
            </w:r>
          </w:p>
        </w:tc>
        <w:tc>
          <w:tcPr>
            <w:tcW w:w="1361" w:type="dxa"/>
            <w:shd w:val="clear" w:color="000000" w:fill="FFFFFF"/>
            <w:noWrap/>
            <w:hideMark/>
          </w:tcPr>
          <w:p w14:paraId="12129460" w14:textId="77777777" w:rsidR="008E2ED2" w:rsidRPr="0018386D" w:rsidRDefault="008E2ED2" w:rsidP="00DD3106">
            <w:pPr>
              <w:pStyle w:val="TableText"/>
              <w:spacing w:before="30" w:after="32"/>
              <w:rPr>
                <w:szCs w:val="18"/>
              </w:rPr>
            </w:pPr>
            <w:r w:rsidRPr="0018386D">
              <w:rPr>
                <w:szCs w:val="18"/>
              </w:rPr>
              <w:t>0.00604</w:t>
            </w:r>
          </w:p>
        </w:tc>
      </w:tr>
      <w:tr w:rsidR="00D907BD" w:rsidRPr="0018386D" w14:paraId="25FEE03E" w14:textId="77777777" w:rsidTr="00AC3D0F">
        <w:trPr>
          <w:divId w:val="59713622"/>
        </w:trPr>
        <w:tc>
          <w:tcPr>
            <w:tcW w:w="1701" w:type="dxa"/>
            <w:tcBorders>
              <w:top w:val="nil"/>
              <w:bottom w:val="nil"/>
              <w:right w:val="single" w:sz="4" w:space="0" w:color="auto"/>
            </w:tcBorders>
            <w:shd w:val="clear" w:color="000000" w:fill="FFFFFF"/>
            <w:noWrap/>
            <w:hideMark/>
          </w:tcPr>
          <w:p w14:paraId="50E3B444"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4A877C54" w14:textId="680F9C87" w:rsidR="008E2ED2" w:rsidRPr="0018386D" w:rsidRDefault="008E2ED2" w:rsidP="00DD3106">
            <w:pPr>
              <w:pStyle w:val="TableText"/>
              <w:spacing w:before="30" w:after="32"/>
              <w:rPr>
                <w:szCs w:val="18"/>
              </w:rPr>
            </w:pPr>
            <w:r w:rsidRPr="0018386D">
              <w:rPr>
                <w:szCs w:val="18"/>
              </w:rPr>
              <w:t>2000</w:t>
            </w:r>
            <w:r w:rsidR="005F6998" w:rsidRPr="0018386D">
              <w:rPr>
                <w:szCs w:val="18"/>
              </w:rPr>
              <w:t>–</w:t>
            </w:r>
            <w:r w:rsidRPr="0018386D">
              <w:rPr>
                <w:szCs w:val="18"/>
              </w:rPr>
              <w:t>&lt;3000 cc</w:t>
            </w:r>
          </w:p>
        </w:tc>
        <w:tc>
          <w:tcPr>
            <w:tcW w:w="567" w:type="dxa"/>
            <w:shd w:val="clear" w:color="000000" w:fill="FFFFFF"/>
            <w:noWrap/>
            <w:hideMark/>
          </w:tcPr>
          <w:p w14:paraId="4AB9845F"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A1812E4" w14:textId="77777777" w:rsidR="008E2ED2" w:rsidRPr="0018386D" w:rsidRDefault="008E2ED2" w:rsidP="00DD3106">
            <w:pPr>
              <w:pStyle w:val="TableText"/>
              <w:spacing w:before="30" w:after="32"/>
              <w:rPr>
                <w:szCs w:val="18"/>
              </w:rPr>
            </w:pPr>
            <w:r w:rsidRPr="0018386D">
              <w:rPr>
                <w:szCs w:val="18"/>
              </w:rPr>
              <w:t>0.221</w:t>
            </w:r>
          </w:p>
        </w:tc>
        <w:tc>
          <w:tcPr>
            <w:tcW w:w="1304" w:type="dxa"/>
            <w:shd w:val="clear" w:color="000000" w:fill="FFFFFF"/>
            <w:noWrap/>
            <w:hideMark/>
          </w:tcPr>
          <w:p w14:paraId="1899A1A0" w14:textId="77777777" w:rsidR="008E2ED2" w:rsidRPr="0018386D" w:rsidRDefault="008E2ED2" w:rsidP="00DD3106">
            <w:pPr>
              <w:pStyle w:val="TableText"/>
              <w:spacing w:before="30" w:after="32"/>
              <w:rPr>
                <w:szCs w:val="18"/>
              </w:rPr>
            </w:pPr>
            <w:r w:rsidRPr="0018386D">
              <w:rPr>
                <w:szCs w:val="18"/>
              </w:rPr>
              <w:t>0.212</w:t>
            </w:r>
          </w:p>
        </w:tc>
        <w:tc>
          <w:tcPr>
            <w:tcW w:w="1304" w:type="dxa"/>
            <w:shd w:val="clear" w:color="000000" w:fill="FFFFFF"/>
            <w:noWrap/>
            <w:hideMark/>
          </w:tcPr>
          <w:p w14:paraId="58DA4713" w14:textId="77777777" w:rsidR="008E2ED2" w:rsidRPr="0018386D" w:rsidRDefault="008E2ED2" w:rsidP="00DD3106">
            <w:pPr>
              <w:pStyle w:val="TableText"/>
              <w:spacing w:before="30" w:after="32"/>
              <w:rPr>
                <w:szCs w:val="18"/>
              </w:rPr>
            </w:pPr>
            <w:r w:rsidRPr="0018386D">
              <w:rPr>
                <w:szCs w:val="18"/>
              </w:rPr>
              <w:t>0.00278</w:t>
            </w:r>
          </w:p>
        </w:tc>
        <w:tc>
          <w:tcPr>
            <w:tcW w:w="1361" w:type="dxa"/>
            <w:shd w:val="clear" w:color="000000" w:fill="FFFFFF"/>
            <w:noWrap/>
            <w:hideMark/>
          </w:tcPr>
          <w:p w14:paraId="48E57679" w14:textId="77777777" w:rsidR="008E2ED2" w:rsidRPr="0018386D" w:rsidRDefault="008E2ED2" w:rsidP="00DD3106">
            <w:pPr>
              <w:pStyle w:val="TableText"/>
              <w:spacing w:before="30" w:after="32"/>
              <w:rPr>
                <w:szCs w:val="18"/>
              </w:rPr>
            </w:pPr>
            <w:r w:rsidRPr="0018386D">
              <w:rPr>
                <w:szCs w:val="18"/>
              </w:rPr>
              <w:t>0.00638</w:t>
            </w:r>
          </w:p>
        </w:tc>
      </w:tr>
      <w:tr w:rsidR="00D907BD" w:rsidRPr="0018386D" w14:paraId="76371055"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3DED6DA9"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5894BCA4"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5D15CE05"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288D8BFB" w14:textId="77777777" w:rsidR="008E2ED2" w:rsidRPr="0018386D" w:rsidRDefault="008E2ED2" w:rsidP="00DD3106">
            <w:pPr>
              <w:pStyle w:val="TableText"/>
              <w:spacing w:before="30" w:after="32"/>
              <w:rPr>
                <w:szCs w:val="18"/>
              </w:rPr>
            </w:pPr>
            <w:r w:rsidRPr="0018386D">
              <w:rPr>
                <w:szCs w:val="18"/>
              </w:rPr>
              <w:t>0.252</w:t>
            </w:r>
          </w:p>
        </w:tc>
        <w:tc>
          <w:tcPr>
            <w:tcW w:w="1304" w:type="dxa"/>
            <w:shd w:val="clear" w:color="000000" w:fill="FFFFFF"/>
            <w:noWrap/>
            <w:hideMark/>
          </w:tcPr>
          <w:p w14:paraId="593FE0D1" w14:textId="77777777" w:rsidR="008E2ED2" w:rsidRPr="0018386D" w:rsidRDefault="008E2ED2" w:rsidP="00DD3106">
            <w:pPr>
              <w:pStyle w:val="TableText"/>
              <w:spacing w:before="30" w:after="32"/>
              <w:rPr>
                <w:szCs w:val="18"/>
              </w:rPr>
            </w:pPr>
            <w:r w:rsidRPr="0018386D">
              <w:rPr>
                <w:szCs w:val="18"/>
              </w:rPr>
              <w:t>0.242</w:t>
            </w:r>
          </w:p>
        </w:tc>
        <w:tc>
          <w:tcPr>
            <w:tcW w:w="1304" w:type="dxa"/>
            <w:shd w:val="clear" w:color="000000" w:fill="FFFFFF"/>
            <w:noWrap/>
            <w:hideMark/>
          </w:tcPr>
          <w:p w14:paraId="02A09A74" w14:textId="77777777" w:rsidR="008E2ED2" w:rsidRPr="0018386D" w:rsidRDefault="008E2ED2" w:rsidP="00DD3106">
            <w:pPr>
              <w:pStyle w:val="TableText"/>
              <w:spacing w:before="30" w:after="32"/>
              <w:rPr>
                <w:szCs w:val="18"/>
              </w:rPr>
            </w:pPr>
            <w:r w:rsidRPr="0018386D">
              <w:rPr>
                <w:szCs w:val="18"/>
              </w:rPr>
              <w:t>0.00318</w:t>
            </w:r>
          </w:p>
        </w:tc>
        <w:tc>
          <w:tcPr>
            <w:tcW w:w="1361" w:type="dxa"/>
            <w:shd w:val="clear" w:color="000000" w:fill="FFFFFF"/>
            <w:noWrap/>
            <w:hideMark/>
          </w:tcPr>
          <w:p w14:paraId="66521686" w14:textId="77777777" w:rsidR="008E2ED2" w:rsidRPr="0018386D" w:rsidRDefault="008E2ED2" w:rsidP="00DD3106">
            <w:pPr>
              <w:pStyle w:val="TableText"/>
              <w:spacing w:before="30" w:after="32"/>
              <w:rPr>
                <w:szCs w:val="18"/>
              </w:rPr>
            </w:pPr>
            <w:r w:rsidRPr="0018386D">
              <w:rPr>
                <w:szCs w:val="18"/>
              </w:rPr>
              <w:t>0.00729</w:t>
            </w:r>
          </w:p>
        </w:tc>
      </w:tr>
      <w:tr w:rsidR="00D907BD" w:rsidRPr="0018386D" w14:paraId="6FB8EEFA"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397A952D" w14:textId="77777777" w:rsidR="008E2ED2" w:rsidRPr="0018386D" w:rsidRDefault="008E2ED2" w:rsidP="00DD3106">
            <w:pPr>
              <w:pStyle w:val="TableText"/>
              <w:spacing w:before="30" w:after="32"/>
              <w:rPr>
                <w:szCs w:val="18"/>
              </w:rPr>
            </w:pPr>
            <w:r w:rsidRPr="0018386D">
              <w:rPr>
                <w:szCs w:val="18"/>
              </w:rPr>
              <w:t>Diesel hybrid</w:t>
            </w:r>
          </w:p>
        </w:tc>
        <w:tc>
          <w:tcPr>
            <w:tcW w:w="1474" w:type="dxa"/>
            <w:tcBorders>
              <w:left w:val="single" w:sz="4" w:space="0" w:color="auto"/>
            </w:tcBorders>
            <w:shd w:val="clear" w:color="000000" w:fill="FFFFFF"/>
            <w:noWrap/>
            <w:hideMark/>
          </w:tcPr>
          <w:p w14:paraId="2EB9A269"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22985F6D"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A91A4CD" w14:textId="77777777" w:rsidR="008E2ED2" w:rsidRPr="0018386D" w:rsidRDefault="008E2ED2" w:rsidP="00DD3106">
            <w:pPr>
              <w:pStyle w:val="TableText"/>
              <w:spacing w:before="30" w:after="32"/>
              <w:rPr>
                <w:szCs w:val="18"/>
              </w:rPr>
            </w:pPr>
            <w:r w:rsidRPr="0018386D">
              <w:rPr>
                <w:szCs w:val="18"/>
              </w:rPr>
              <w:t>0.171</w:t>
            </w:r>
          </w:p>
        </w:tc>
        <w:tc>
          <w:tcPr>
            <w:tcW w:w="1304" w:type="dxa"/>
            <w:shd w:val="clear" w:color="000000" w:fill="FFFFFF"/>
            <w:noWrap/>
            <w:hideMark/>
          </w:tcPr>
          <w:p w14:paraId="506C1BE5" w14:textId="77777777" w:rsidR="008E2ED2" w:rsidRPr="0018386D" w:rsidRDefault="008E2ED2" w:rsidP="00DD3106">
            <w:pPr>
              <w:pStyle w:val="TableText"/>
              <w:spacing w:before="30" w:after="32"/>
              <w:rPr>
                <w:szCs w:val="18"/>
              </w:rPr>
            </w:pPr>
            <w:r w:rsidRPr="0018386D">
              <w:rPr>
                <w:szCs w:val="18"/>
              </w:rPr>
              <w:t>0.168</w:t>
            </w:r>
          </w:p>
        </w:tc>
        <w:tc>
          <w:tcPr>
            <w:tcW w:w="1304" w:type="dxa"/>
            <w:shd w:val="clear" w:color="000000" w:fill="FFFFFF"/>
            <w:noWrap/>
            <w:hideMark/>
          </w:tcPr>
          <w:p w14:paraId="5E770EB6"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187C32E3" w14:textId="77777777" w:rsidR="008E2ED2" w:rsidRPr="0018386D" w:rsidRDefault="008E2ED2" w:rsidP="00DD3106">
            <w:pPr>
              <w:pStyle w:val="TableText"/>
              <w:spacing w:before="30" w:after="32"/>
              <w:rPr>
                <w:szCs w:val="18"/>
              </w:rPr>
            </w:pPr>
            <w:r w:rsidRPr="0018386D">
              <w:rPr>
                <w:szCs w:val="18"/>
              </w:rPr>
              <w:t>0.00238</w:t>
            </w:r>
          </w:p>
        </w:tc>
      </w:tr>
      <w:tr w:rsidR="00D907BD" w:rsidRPr="0018386D" w14:paraId="7AE165CF" w14:textId="77777777" w:rsidTr="00AC3D0F">
        <w:trPr>
          <w:divId w:val="59713622"/>
        </w:trPr>
        <w:tc>
          <w:tcPr>
            <w:tcW w:w="1701" w:type="dxa"/>
            <w:tcBorders>
              <w:top w:val="nil"/>
              <w:bottom w:val="nil"/>
              <w:right w:val="single" w:sz="4" w:space="0" w:color="auto"/>
            </w:tcBorders>
            <w:shd w:val="clear" w:color="000000" w:fill="FFFFFF"/>
            <w:noWrap/>
            <w:hideMark/>
          </w:tcPr>
          <w:p w14:paraId="24B4D5B9"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4877D912" w14:textId="39F4D69D" w:rsidR="008E2ED2" w:rsidRPr="0018386D" w:rsidRDefault="008E2ED2" w:rsidP="00DD3106">
            <w:pPr>
              <w:pStyle w:val="TableText"/>
              <w:spacing w:before="30" w:after="32"/>
              <w:rPr>
                <w:szCs w:val="18"/>
              </w:rPr>
            </w:pPr>
            <w:r w:rsidRPr="0018386D">
              <w:rPr>
                <w:szCs w:val="18"/>
              </w:rPr>
              <w:t>1350</w:t>
            </w:r>
            <w:r w:rsidR="005F6998" w:rsidRPr="0018386D">
              <w:rPr>
                <w:szCs w:val="18"/>
              </w:rPr>
              <w:t>–</w:t>
            </w:r>
            <w:r w:rsidRPr="0018386D">
              <w:rPr>
                <w:szCs w:val="18"/>
              </w:rPr>
              <w:t>&lt;1600 cc</w:t>
            </w:r>
          </w:p>
        </w:tc>
        <w:tc>
          <w:tcPr>
            <w:tcW w:w="567" w:type="dxa"/>
            <w:shd w:val="clear" w:color="000000" w:fill="FFFFFF"/>
            <w:noWrap/>
            <w:hideMark/>
          </w:tcPr>
          <w:p w14:paraId="38CF7097"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091F1DA9" w14:textId="77777777" w:rsidR="008E2ED2" w:rsidRPr="0018386D" w:rsidRDefault="008E2ED2" w:rsidP="00DD3106">
            <w:pPr>
              <w:pStyle w:val="TableText"/>
              <w:spacing w:before="30" w:after="32"/>
              <w:rPr>
                <w:szCs w:val="18"/>
              </w:rPr>
            </w:pPr>
            <w:r w:rsidRPr="0018386D">
              <w:rPr>
                <w:szCs w:val="18"/>
              </w:rPr>
              <w:t>0.165</w:t>
            </w:r>
          </w:p>
        </w:tc>
        <w:tc>
          <w:tcPr>
            <w:tcW w:w="1304" w:type="dxa"/>
            <w:shd w:val="clear" w:color="000000" w:fill="FFFFFF"/>
            <w:noWrap/>
            <w:hideMark/>
          </w:tcPr>
          <w:p w14:paraId="09C196D8" w14:textId="77777777" w:rsidR="008E2ED2" w:rsidRPr="0018386D" w:rsidRDefault="008E2ED2" w:rsidP="00DD3106">
            <w:pPr>
              <w:pStyle w:val="TableText"/>
              <w:spacing w:before="30" w:after="32"/>
              <w:rPr>
                <w:szCs w:val="18"/>
              </w:rPr>
            </w:pPr>
            <w:r w:rsidRPr="0018386D">
              <w:rPr>
                <w:szCs w:val="18"/>
              </w:rPr>
              <w:t>0.162</w:t>
            </w:r>
          </w:p>
        </w:tc>
        <w:tc>
          <w:tcPr>
            <w:tcW w:w="1304" w:type="dxa"/>
            <w:shd w:val="clear" w:color="000000" w:fill="FFFFFF"/>
            <w:noWrap/>
            <w:hideMark/>
          </w:tcPr>
          <w:p w14:paraId="62C483A8"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27FB9DCC" w14:textId="77777777" w:rsidR="008E2ED2" w:rsidRPr="0018386D" w:rsidRDefault="008E2ED2" w:rsidP="00DD3106">
            <w:pPr>
              <w:pStyle w:val="TableText"/>
              <w:spacing w:before="30" w:after="32"/>
              <w:rPr>
                <w:szCs w:val="18"/>
              </w:rPr>
            </w:pPr>
            <w:r w:rsidRPr="0018386D">
              <w:rPr>
                <w:szCs w:val="18"/>
              </w:rPr>
              <w:t>0.00229</w:t>
            </w:r>
          </w:p>
        </w:tc>
      </w:tr>
      <w:tr w:rsidR="00D907BD" w:rsidRPr="0018386D" w14:paraId="4CB00616" w14:textId="77777777" w:rsidTr="00AC3D0F">
        <w:trPr>
          <w:divId w:val="59713622"/>
        </w:trPr>
        <w:tc>
          <w:tcPr>
            <w:tcW w:w="1701" w:type="dxa"/>
            <w:tcBorders>
              <w:top w:val="nil"/>
              <w:bottom w:val="nil"/>
              <w:right w:val="single" w:sz="4" w:space="0" w:color="auto"/>
            </w:tcBorders>
            <w:shd w:val="clear" w:color="000000" w:fill="FFFFFF"/>
            <w:noWrap/>
            <w:hideMark/>
          </w:tcPr>
          <w:p w14:paraId="340BBA13"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40EE38C1" w14:textId="00DA0A46" w:rsidR="008E2ED2" w:rsidRPr="0018386D" w:rsidRDefault="008E2ED2" w:rsidP="00DD3106">
            <w:pPr>
              <w:pStyle w:val="TableText"/>
              <w:spacing w:before="30" w:after="32"/>
              <w:rPr>
                <w:szCs w:val="18"/>
              </w:rPr>
            </w:pPr>
            <w:r w:rsidRPr="0018386D">
              <w:rPr>
                <w:szCs w:val="18"/>
              </w:rPr>
              <w:t>1600</w:t>
            </w:r>
            <w:r w:rsidR="005F6998" w:rsidRPr="0018386D">
              <w:rPr>
                <w:szCs w:val="18"/>
              </w:rPr>
              <w:t>–</w:t>
            </w:r>
            <w:r w:rsidRPr="0018386D">
              <w:rPr>
                <w:szCs w:val="18"/>
              </w:rPr>
              <w:t>&lt;2000 cc</w:t>
            </w:r>
          </w:p>
        </w:tc>
        <w:tc>
          <w:tcPr>
            <w:tcW w:w="567" w:type="dxa"/>
            <w:shd w:val="clear" w:color="000000" w:fill="FFFFFF"/>
            <w:noWrap/>
            <w:hideMark/>
          </w:tcPr>
          <w:p w14:paraId="0E041364"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D689D8C" w14:textId="77777777" w:rsidR="008E2ED2" w:rsidRPr="0018386D" w:rsidRDefault="008E2ED2" w:rsidP="00DD3106">
            <w:pPr>
              <w:pStyle w:val="TableText"/>
              <w:spacing w:before="30" w:after="32"/>
              <w:rPr>
                <w:szCs w:val="18"/>
              </w:rPr>
            </w:pPr>
            <w:r w:rsidRPr="0018386D">
              <w:rPr>
                <w:szCs w:val="18"/>
              </w:rPr>
              <w:t>0.219</w:t>
            </w:r>
          </w:p>
        </w:tc>
        <w:tc>
          <w:tcPr>
            <w:tcW w:w="1304" w:type="dxa"/>
            <w:shd w:val="clear" w:color="000000" w:fill="FFFFFF"/>
            <w:noWrap/>
            <w:hideMark/>
          </w:tcPr>
          <w:p w14:paraId="4170E2DE" w14:textId="77777777" w:rsidR="008E2ED2" w:rsidRPr="0018386D" w:rsidRDefault="008E2ED2" w:rsidP="00DD3106">
            <w:pPr>
              <w:pStyle w:val="TableText"/>
              <w:spacing w:before="30" w:after="32"/>
              <w:rPr>
                <w:szCs w:val="18"/>
              </w:rPr>
            </w:pPr>
            <w:r w:rsidRPr="0018386D">
              <w:rPr>
                <w:szCs w:val="18"/>
              </w:rPr>
              <w:t>0.216</w:t>
            </w:r>
          </w:p>
        </w:tc>
        <w:tc>
          <w:tcPr>
            <w:tcW w:w="1304" w:type="dxa"/>
            <w:shd w:val="clear" w:color="000000" w:fill="FFFFFF"/>
            <w:noWrap/>
            <w:hideMark/>
          </w:tcPr>
          <w:p w14:paraId="22BC44C7"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2BA74FE0" w14:textId="77777777" w:rsidR="008E2ED2" w:rsidRPr="0018386D" w:rsidRDefault="008E2ED2" w:rsidP="00DD3106">
            <w:pPr>
              <w:pStyle w:val="TableText"/>
              <w:spacing w:before="30" w:after="32"/>
              <w:rPr>
                <w:szCs w:val="18"/>
              </w:rPr>
            </w:pPr>
            <w:r w:rsidRPr="0018386D">
              <w:rPr>
                <w:szCs w:val="18"/>
              </w:rPr>
              <w:t>0.00305</w:t>
            </w:r>
          </w:p>
        </w:tc>
      </w:tr>
      <w:tr w:rsidR="00D907BD" w:rsidRPr="0018386D" w14:paraId="54D3D0DA" w14:textId="77777777" w:rsidTr="00AC3D0F">
        <w:trPr>
          <w:divId w:val="59713622"/>
        </w:trPr>
        <w:tc>
          <w:tcPr>
            <w:tcW w:w="1701" w:type="dxa"/>
            <w:tcBorders>
              <w:top w:val="nil"/>
              <w:bottom w:val="nil"/>
              <w:right w:val="single" w:sz="4" w:space="0" w:color="auto"/>
            </w:tcBorders>
            <w:shd w:val="clear" w:color="000000" w:fill="FFFFFF"/>
            <w:noWrap/>
            <w:hideMark/>
          </w:tcPr>
          <w:p w14:paraId="17E65F4C"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7BE2B043" w14:textId="47C8CC9C" w:rsidR="008E2ED2" w:rsidRPr="0018386D" w:rsidRDefault="008E2ED2" w:rsidP="00DD3106">
            <w:pPr>
              <w:pStyle w:val="TableText"/>
              <w:spacing w:before="30" w:after="32"/>
              <w:rPr>
                <w:szCs w:val="18"/>
              </w:rPr>
            </w:pPr>
            <w:r w:rsidRPr="0018386D">
              <w:rPr>
                <w:szCs w:val="18"/>
              </w:rPr>
              <w:t>2000</w:t>
            </w:r>
            <w:r w:rsidR="005F6998" w:rsidRPr="0018386D">
              <w:rPr>
                <w:szCs w:val="18"/>
              </w:rPr>
              <w:t>–</w:t>
            </w:r>
            <w:r w:rsidRPr="0018386D">
              <w:rPr>
                <w:szCs w:val="18"/>
              </w:rPr>
              <w:t>&lt;3000 cc</w:t>
            </w:r>
          </w:p>
        </w:tc>
        <w:tc>
          <w:tcPr>
            <w:tcW w:w="567" w:type="dxa"/>
            <w:shd w:val="clear" w:color="000000" w:fill="FFFFFF"/>
            <w:noWrap/>
            <w:hideMark/>
          </w:tcPr>
          <w:p w14:paraId="4290E962"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C5635EF" w14:textId="77777777" w:rsidR="008E2ED2" w:rsidRPr="0018386D" w:rsidRDefault="008E2ED2" w:rsidP="00DD3106">
            <w:pPr>
              <w:pStyle w:val="TableText"/>
              <w:spacing w:before="30" w:after="32"/>
              <w:rPr>
                <w:szCs w:val="18"/>
              </w:rPr>
            </w:pPr>
            <w:r w:rsidRPr="0018386D">
              <w:rPr>
                <w:szCs w:val="18"/>
              </w:rPr>
              <w:t>0.235</w:t>
            </w:r>
          </w:p>
        </w:tc>
        <w:tc>
          <w:tcPr>
            <w:tcW w:w="1304" w:type="dxa"/>
            <w:shd w:val="clear" w:color="000000" w:fill="FFFFFF"/>
            <w:noWrap/>
            <w:hideMark/>
          </w:tcPr>
          <w:p w14:paraId="225FE9CB" w14:textId="77777777" w:rsidR="008E2ED2" w:rsidRPr="0018386D" w:rsidRDefault="008E2ED2" w:rsidP="00DD3106">
            <w:pPr>
              <w:pStyle w:val="TableText"/>
              <w:spacing w:before="30" w:after="32"/>
              <w:rPr>
                <w:szCs w:val="18"/>
              </w:rPr>
            </w:pPr>
            <w:r w:rsidRPr="0018386D">
              <w:rPr>
                <w:szCs w:val="18"/>
              </w:rPr>
              <w:t>0.231</w:t>
            </w:r>
          </w:p>
        </w:tc>
        <w:tc>
          <w:tcPr>
            <w:tcW w:w="1304" w:type="dxa"/>
            <w:shd w:val="clear" w:color="000000" w:fill="FFFFFF"/>
            <w:noWrap/>
            <w:hideMark/>
          </w:tcPr>
          <w:p w14:paraId="5498CDA9"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0516C016" w14:textId="77777777" w:rsidR="008E2ED2" w:rsidRPr="0018386D" w:rsidRDefault="008E2ED2" w:rsidP="00DD3106">
            <w:pPr>
              <w:pStyle w:val="TableText"/>
              <w:spacing w:before="30" w:after="32"/>
              <w:rPr>
                <w:szCs w:val="18"/>
              </w:rPr>
            </w:pPr>
            <w:r w:rsidRPr="0018386D">
              <w:rPr>
                <w:szCs w:val="18"/>
              </w:rPr>
              <w:t>0.00327</w:t>
            </w:r>
          </w:p>
        </w:tc>
      </w:tr>
      <w:tr w:rsidR="00D907BD" w:rsidRPr="0018386D" w14:paraId="1FBC9832"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5D001243"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66C970B9"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58F667FC"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00001547" w14:textId="77777777" w:rsidR="008E2ED2" w:rsidRPr="0018386D" w:rsidRDefault="008E2ED2" w:rsidP="00DD3106">
            <w:pPr>
              <w:pStyle w:val="TableText"/>
              <w:spacing w:before="30" w:after="32"/>
              <w:rPr>
                <w:szCs w:val="18"/>
              </w:rPr>
            </w:pPr>
            <w:r w:rsidRPr="0018386D">
              <w:rPr>
                <w:szCs w:val="18"/>
              </w:rPr>
              <w:t>0.238</w:t>
            </w:r>
          </w:p>
        </w:tc>
        <w:tc>
          <w:tcPr>
            <w:tcW w:w="1304" w:type="dxa"/>
            <w:shd w:val="clear" w:color="000000" w:fill="FFFFFF"/>
            <w:noWrap/>
            <w:hideMark/>
          </w:tcPr>
          <w:p w14:paraId="1E3CF965" w14:textId="77777777" w:rsidR="008E2ED2" w:rsidRPr="0018386D" w:rsidRDefault="008E2ED2" w:rsidP="00DD3106">
            <w:pPr>
              <w:pStyle w:val="TableText"/>
              <w:spacing w:before="30" w:after="32"/>
              <w:rPr>
                <w:szCs w:val="18"/>
              </w:rPr>
            </w:pPr>
            <w:r w:rsidRPr="0018386D">
              <w:rPr>
                <w:szCs w:val="18"/>
              </w:rPr>
              <w:t>0.234</w:t>
            </w:r>
          </w:p>
        </w:tc>
        <w:tc>
          <w:tcPr>
            <w:tcW w:w="1304" w:type="dxa"/>
            <w:shd w:val="clear" w:color="000000" w:fill="FFFFFF"/>
            <w:noWrap/>
            <w:hideMark/>
          </w:tcPr>
          <w:p w14:paraId="24385ECD"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2199AE33" w14:textId="77777777" w:rsidR="008E2ED2" w:rsidRPr="0018386D" w:rsidRDefault="008E2ED2" w:rsidP="00DD3106">
            <w:pPr>
              <w:pStyle w:val="TableText"/>
              <w:spacing w:before="30" w:after="32"/>
              <w:rPr>
                <w:szCs w:val="18"/>
              </w:rPr>
            </w:pPr>
            <w:r w:rsidRPr="0018386D">
              <w:rPr>
                <w:szCs w:val="18"/>
              </w:rPr>
              <w:t>0.00331</w:t>
            </w:r>
          </w:p>
        </w:tc>
      </w:tr>
      <w:tr w:rsidR="00D907BD" w:rsidRPr="0018386D" w14:paraId="5EA82DE1"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21277C73" w14:textId="7D5E6AD0" w:rsidR="008E2ED2" w:rsidRPr="0018386D" w:rsidRDefault="008E2ED2" w:rsidP="00DD3106">
            <w:pPr>
              <w:pStyle w:val="TableText"/>
              <w:spacing w:before="30" w:after="32"/>
              <w:rPr>
                <w:szCs w:val="18"/>
                <w:lang w:eastAsia="zh-CN" w:bidi="th-TH"/>
              </w:rPr>
            </w:pPr>
            <w:r w:rsidRPr="0018386D">
              <w:rPr>
                <w:szCs w:val="18"/>
              </w:rPr>
              <w:t>PHEV (Petrol</w:t>
            </w:r>
            <w:r w:rsidRPr="0018386D">
              <w:rPr>
                <w:szCs w:val="18"/>
                <w:lang w:eastAsia="zh-CN" w:bidi="th-TH"/>
              </w:rPr>
              <w:t xml:space="preserve">) </w:t>
            </w:r>
            <w:r w:rsidR="00334CF0" w:rsidRPr="0018386D">
              <w:rPr>
                <w:szCs w:val="18"/>
                <w:lang w:eastAsia="zh-CN" w:bidi="th-TH"/>
              </w:rPr>
              <w:t>–</w:t>
            </w:r>
            <w:r w:rsidRPr="0018386D">
              <w:rPr>
                <w:szCs w:val="18"/>
                <w:lang w:eastAsia="zh-CN" w:bidi="th-TH"/>
              </w:rPr>
              <w:t xml:space="preserve"> Petrol consumption</w:t>
            </w:r>
          </w:p>
        </w:tc>
        <w:tc>
          <w:tcPr>
            <w:tcW w:w="1474" w:type="dxa"/>
            <w:tcBorders>
              <w:left w:val="single" w:sz="4" w:space="0" w:color="auto"/>
            </w:tcBorders>
            <w:shd w:val="clear" w:color="000000" w:fill="FFFFFF"/>
            <w:noWrap/>
            <w:hideMark/>
          </w:tcPr>
          <w:p w14:paraId="02DE09CB"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1B2A6533"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4790EB3" w14:textId="77777777" w:rsidR="008E2ED2" w:rsidRPr="0018386D" w:rsidRDefault="008E2ED2" w:rsidP="00DD3106">
            <w:pPr>
              <w:pStyle w:val="TableText"/>
              <w:spacing w:before="30" w:after="32"/>
              <w:rPr>
                <w:szCs w:val="18"/>
              </w:rPr>
            </w:pPr>
            <w:r w:rsidRPr="0018386D">
              <w:rPr>
                <w:szCs w:val="18"/>
              </w:rPr>
              <w:t>0.0754</w:t>
            </w:r>
          </w:p>
        </w:tc>
        <w:tc>
          <w:tcPr>
            <w:tcW w:w="1304" w:type="dxa"/>
            <w:shd w:val="clear" w:color="000000" w:fill="FFFFFF"/>
            <w:noWrap/>
            <w:hideMark/>
          </w:tcPr>
          <w:p w14:paraId="7335CA35" w14:textId="77777777" w:rsidR="008E2ED2" w:rsidRPr="0018386D" w:rsidRDefault="008E2ED2" w:rsidP="00DD3106">
            <w:pPr>
              <w:pStyle w:val="TableText"/>
              <w:spacing w:before="30" w:after="32"/>
              <w:rPr>
                <w:szCs w:val="18"/>
              </w:rPr>
            </w:pPr>
            <w:r w:rsidRPr="0018386D">
              <w:rPr>
                <w:szCs w:val="18"/>
              </w:rPr>
              <w:t>0.0723</w:t>
            </w:r>
          </w:p>
        </w:tc>
        <w:tc>
          <w:tcPr>
            <w:tcW w:w="1304" w:type="dxa"/>
            <w:shd w:val="clear" w:color="000000" w:fill="FFFFFF"/>
            <w:noWrap/>
            <w:hideMark/>
          </w:tcPr>
          <w:p w14:paraId="719B43A5" w14:textId="77777777" w:rsidR="008E2ED2" w:rsidRPr="0018386D" w:rsidRDefault="008E2ED2" w:rsidP="00DD3106">
            <w:pPr>
              <w:pStyle w:val="TableText"/>
              <w:spacing w:before="30" w:after="32"/>
              <w:rPr>
                <w:szCs w:val="18"/>
              </w:rPr>
            </w:pPr>
            <w:r w:rsidRPr="0018386D">
              <w:rPr>
                <w:szCs w:val="18"/>
              </w:rPr>
              <w:t>0.0010</w:t>
            </w:r>
          </w:p>
        </w:tc>
        <w:tc>
          <w:tcPr>
            <w:tcW w:w="1361" w:type="dxa"/>
            <w:shd w:val="clear" w:color="000000" w:fill="FFFFFF"/>
            <w:noWrap/>
            <w:hideMark/>
          </w:tcPr>
          <w:p w14:paraId="6C7EFC76" w14:textId="77777777" w:rsidR="008E2ED2" w:rsidRPr="0018386D" w:rsidRDefault="008E2ED2" w:rsidP="00DD3106">
            <w:pPr>
              <w:pStyle w:val="TableText"/>
              <w:spacing w:before="30" w:after="32"/>
              <w:rPr>
                <w:szCs w:val="18"/>
              </w:rPr>
            </w:pPr>
            <w:r w:rsidRPr="0018386D">
              <w:rPr>
                <w:szCs w:val="18"/>
              </w:rPr>
              <w:t>0.00218</w:t>
            </w:r>
          </w:p>
        </w:tc>
      </w:tr>
      <w:tr w:rsidR="00D907BD" w:rsidRPr="0018386D" w14:paraId="4190286F" w14:textId="77777777" w:rsidTr="00AC3D0F">
        <w:trPr>
          <w:divId w:val="59713622"/>
        </w:trPr>
        <w:tc>
          <w:tcPr>
            <w:tcW w:w="1701" w:type="dxa"/>
            <w:tcBorders>
              <w:top w:val="nil"/>
              <w:bottom w:val="nil"/>
              <w:right w:val="single" w:sz="4" w:space="0" w:color="auto"/>
            </w:tcBorders>
            <w:shd w:val="clear" w:color="000000" w:fill="FFFFFF"/>
            <w:noWrap/>
            <w:hideMark/>
          </w:tcPr>
          <w:p w14:paraId="74F50A0B"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778F4B1E" w14:textId="2A34B9AE" w:rsidR="008E2ED2" w:rsidRPr="0018386D" w:rsidRDefault="008E2ED2" w:rsidP="00DD3106">
            <w:pPr>
              <w:pStyle w:val="TableText"/>
              <w:spacing w:before="30" w:after="32"/>
              <w:rPr>
                <w:szCs w:val="18"/>
              </w:rPr>
            </w:pPr>
            <w:r w:rsidRPr="0018386D">
              <w:rPr>
                <w:szCs w:val="18"/>
              </w:rPr>
              <w:t>1350</w:t>
            </w:r>
            <w:r w:rsidR="005F6998" w:rsidRPr="0018386D">
              <w:rPr>
                <w:szCs w:val="18"/>
              </w:rPr>
              <w:t>–</w:t>
            </w:r>
            <w:r w:rsidRPr="0018386D">
              <w:rPr>
                <w:szCs w:val="18"/>
              </w:rPr>
              <w:t>&lt;1600 cc</w:t>
            </w:r>
          </w:p>
        </w:tc>
        <w:tc>
          <w:tcPr>
            <w:tcW w:w="567" w:type="dxa"/>
            <w:shd w:val="clear" w:color="000000" w:fill="FFFFFF"/>
            <w:noWrap/>
            <w:hideMark/>
          </w:tcPr>
          <w:p w14:paraId="4F41B94E"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276EC579" w14:textId="77777777" w:rsidR="008E2ED2" w:rsidRPr="0018386D" w:rsidRDefault="008E2ED2" w:rsidP="00DD3106">
            <w:pPr>
              <w:pStyle w:val="TableText"/>
              <w:spacing w:before="30" w:after="32"/>
              <w:rPr>
                <w:szCs w:val="18"/>
              </w:rPr>
            </w:pPr>
            <w:r w:rsidRPr="0018386D">
              <w:rPr>
                <w:szCs w:val="18"/>
              </w:rPr>
              <w:t>0.0810</w:t>
            </w:r>
          </w:p>
        </w:tc>
        <w:tc>
          <w:tcPr>
            <w:tcW w:w="1304" w:type="dxa"/>
            <w:shd w:val="clear" w:color="000000" w:fill="FFFFFF"/>
            <w:noWrap/>
            <w:hideMark/>
          </w:tcPr>
          <w:p w14:paraId="5F9A6828" w14:textId="77777777" w:rsidR="008E2ED2" w:rsidRPr="0018386D" w:rsidRDefault="008E2ED2" w:rsidP="00DD3106">
            <w:pPr>
              <w:pStyle w:val="TableText"/>
              <w:spacing w:before="30" w:after="32"/>
              <w:rPr>
                <w:szCs w:val="18"/>
              </w:rPr>
            </w:pPr>
            <w:r w:rsidRPr="0018386D">
              <w:rPr>
                <w:szCs w:val="18"/>
              </w:rPr>
              <w:t>0.0776</w:t>
            </w:r>
          </w:p>
        </w:tc>
        <w:tc>
          <w:tcPr>
            <w:tcW w:w="1304" w:type="dxa"/>
            <w:shd w:val="clear" w:color="000000" w:fill="FFFFFF"/>
            <w:noWrap/>
            <w:hideMark/>
          </w:tcPr>
          <w:p w14:paraId="419A9F06" w14:textId="77777777" w:rsidR="008E2ED2" w:rsidRPr="0018386D" w:rsidRDefault="008E2ED2" w:rsidP="00DD3106">
            <w:pPr>
              <w:pStyle w:val="TableText"/>
              <w:spacing w:before="30" w:after="32"/>
              <w:rPr>
                <w:szCs w:val="18"/>
              </w:rPr>
            </w:pPr>
            <w:r w:rsidRPr="0018386D">
              <w:rPr>
                <w:szCs w:val="18"/>
              </w:rPr>
              <w:t>0.00102</w:t>
            </w:r>
          </w:p>
        </w:tc>
        <w:tc>
          <w:tcPr>
            <w:tcW w:w="1361" w:type="dxa"/>
            <w:shd w:val="clear" w:color="000000" w:fill="FFFFFF"/>
            <w:noWrap/>
            <w:hideMark/>
          </w:tcPr>
          <w:p w14:paraId="63D37082" w14:textId="77777777" w:rsidR="008E2ED2" w:rsidRPr="0018386D" w:rsidRDefault="008E2ED2" w:rsidP="00DD3106">
            <w:pPr>
              <w:pStyle w:val="TableText"/>
              <w:spacing w:before="30" w:after="32"/>
              <w:rPr>
                <w:szCs w:val="18"/>
              </w:rPr>
            </w:pPr>
            <w:r w:rsidRPr="0018386D">
              <w:rPr>
                <w:szCs w:val="18"/>
              </w:rPr>
              <w:t>0.00234</w:t>
            </w:r>
          </w:p>
        </w:tc>
      </w:tr>
      <w:tr w:rsidR="00D907BD" w:rsidRPr="0018386D" w14:paraId="6B14FCB0" w14:textId="77777777" w:rsidTr="00AC3D0F">
        <w:trPr>
          <w:divId w:val="59713622"/>
        </w:trPr>
        <w:tc>
          <w:tcPr>
            <w:tcW w:w="1701" w:type="dxa"/>
            <w:tcBorders>
              <w:top w:val="nil"/>
              <w:bottom w:val="nil"/>
              <w:right w:val="single" w:sz="4" w:space="0" w:color="auto"/>
            </w:tcBorders>
            <w:shd w:val="clear" w:color="000000" w:fill="FFFFFF"/>
            <w:noWrap/>
            <w:hideMark/>
          </w:tcPr>
          <w:p w14:paraId="526BF1CE"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228509E" w14:textId="43C41576" w:rsidR="008E2ED2" w:rsidRPr="0018386D" w:rsidRDefault="008E2ED2" w:rsidP="00DD3106">
            <w:pPr>
              <w:pStyle w:val="TableText"/>
              <w:spacing w:before="30" w:after="32"/>
              <w:rPr>
                <w:szCs w:val="18"/>
              </w:rPr>
            </w:pPr>
            <w:r w:rsidRPr="0018386D">
              <w:rPr>
                <w:szCs w:val="18"/>
              </w:rPr>
              <w:t>1600</w:t>
            </w:r>
            <w:r w:rsidR="005F6998" w:rsidRPr="0018386D">
              <w:rPr>
                <w:szCs w:val="18"/>
              </w:rPr>
              <w:t>–</w:t>
            </w:r>
            <w:r w:rsidRPr="0018386D">
              <w:rPr>
                <w:szCs w:val="18"/>
              </w:rPr>
              <w:t>&lt;2000 cc</w:t>
            </w:r>
          </w:p>
        </w:tc>
        <w:tc>
          <w:tcPr>
            <w:tcW w:w="567" w:type="dxa"/>
            <w:shd w:val="clear" w:color="000000" w:fill="FFFFFF"/>
            <w:noWrap/>
            <w:hideMark/>
          </w:tcPr>
          <w:p w14:paraId="2FA97CA4"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141F5EBF" w14:textId="77777777" w:rsidR="008E2ED2" w:rsidRPr="0018386D" w:rsidRDefault="008E2ED2" w:rsidP="00DD3106">
            <w:pPr>
              <w:pStyle w:val="TableText"/>
              <w:spacing w:before="30" w:after="32"/>
              <w:rPr>
                <w:szCs w:val="18"/>
              </w:rPr>
            </w:pPr>
            <w:r w:rsidRPr="0018386D">
              <w:rPr>
                <w:szCs w:val="18"/>
              </w:rPr>
              <w:t>0.109</w:t>
            </w:r>
          </w:p>
        </w:tc>
        <w:tc>
          <w:tcPr>
            <w:tcW w:w="1304" w:type="dxa"/>
            <w:shd w:val="clear" w:color="000000" w:fill="FFFFFF"/>
            <w:noWrap/>
            <w:hideMark/>
          </w:tcPr>
          <w:p w14:paraId="12827D96" w14:textId="77777777" w:rsidR="008E2ED2" w:rsidRPr="0018386D" w:rsidRDefault="008E2ED2" w:rsidP="00DD3106">
            <w:pPr>
              <w:pStyle w:val="TableText"/>
              <w:spacing w:before="30" w:after="32"/>
              <w:rPr>
                <w:szCs w:val="18"/>
              </w:rPr>
            </w:pPr>
            <w:r w:rsidRPr="0018386D">
              <w:rPr>
                <w:szCs w:val="18"/>
              </w:rPr>
              <w:t>0.105</w:t>
            </w:r>
          </w:p>
        </w:tc>
        <w:tc>
          <w:tcPr>
            <w:tcW w:w="1304" w:type="dxa"/>
            <w:shd w:val="clear" w:color="000000" w:fill="FFFFFF"/>
            <w:noWrap/>
            <w:hideMark/>
          </w:tcPr>
          <w:p w14:paraId="33189FD0" w14:textId="77777777" w:rsidR="008E2ED2" w:rsidRPr="0018386D" w:rsidRDefault="008E2ED2" w:rsidP="00DD3106">
            <w:pPr>
              <w:pStyle w:val="TableText"/>
              <w:spacing w:before="30" w:after="32"/>
              <w:rPr>
                <w:szCs w:val="18"/>
              </w:rPr>
            </w:pPr>
            <w:r w:rsidRPr="0018386D">
              <w:rPr>
                <w:szCs w:val="18"/>
              </w:rPr>
              <w:t>0.00138</w:t>
            </w:r>
          </w:p>
        </w:tc>
        <w:tc>
          <w:tcPr>
            <w:tcW w:w="1361" w:type="dxa"/>
            <w:shd w:val="clear" w:color="000000" w:fill="FFFFFF"/>
            <w:noWrap/>
            <w:hideMark/>
          </w:tcPr>
          <w:p w14:paraId="52B7AA81" w14:textId="77777777" w:rsidR="008E2ED2" w:rsidRPr="0018386D" w:rsidRDefault="008E2ED2" w:rsidP="00DD3106">
            <w:pPr>
              <w:pStyle w:val="TableText"/>
              <w:spacing w:before="30" w:after="32"/>
              <w:rPr>
                <w:szCs w:val="18"/>
              </w:rPr>
            </w:pPr>
            <w:r w:rsidRPr="0018386D">
              <w:rPr>
                <w:szCs w:val="18"/>
              </w:rPr>
              <w:t>0.00316</w:t>
            </w:r>
          </w:p>
        </w:tc>
      </w:tr>
      <w:tr w:rsidR="00D907BD" w:rsidRPr="0018386D" w14:paraId="1C1E0576" w14:textId="77777777" w:rsidTr="00AC3D0F">
        <w:trPr>
          <w:divId w:val="59713622"/>
        </w:trPr>
        <w:tc>
          <w:tcPr>
            <w:tcW w:w="1701" w:type="dxa"/>
            <w:tcBorders>
              <w:top w:val="nil"/>
              <w:bottom w:val="nil"/>
              <w:right w:val="single" w:sz="4" w:space="0" w:color="auto"/>
            </w:tcBorders>
            <w:shd w:val="clear" w:color="000000" w:fill="FFFFFF"/>
            <w:noWrap/>
            <w:hideMark/>
          </w:tcPr>
          <w:p w14:paraId="1F2EE65F"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65489CDB" w14:textId="5478341F" w:rsidR="008E2ED2" w:rsidRPr="0018386D" w:rsidRDefault="008E2ED2" w:rsidP="00DD3106">
            <w:pPr>
              <w:pStyle w:val="TableText"/>
              <w:spacing w:before="30" w:after="32"/>
              <w:rPr>
                <w:szCs w:val="18"/>
              </w:rPr>
            </w:pPr>
            <w:r w:rsidRPr="0018386D">
              <w:rPr>
                <w:szCs w:val="18"/>
              </w:rPr>
              <w:t>2000</w:t>
            </w:r>
            <w:r w:rsidR="005F6998" w:rsidRPr="0018386D">
              <w:rPr>
                <w:szCs w:val="18"/>
              </w:rPr>
              <w:t>–</w:t>
            </w:r>
            <w:r w:rsidRPr="0018386D">
              <w:rPr>
                <w:szCs w:val="18"/>
              </w:rPr>
              <w:t>&lt;3000 cc</w:t>
            </w:r>
          </w:p>
        </w:tc>
        <w:tc>
          <w:tcPr>
            <w:tcW w:w="567" w:type="dxa"/>
            <w:shd w:val="clear" w:color="000000" w:fill="FFFFFF"/>
            <w:noWrap/>
            <w:hideMark/>
          </w:tcPr>
          <w:p w14:paraId="2DB66F4D"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AD8AC79" w14:textId="77777777" w:rsidR="008E2ED2" w:rsidRPr="0018386D" w:rsidRDefault="008E2ED2" w:rsidP="00DD3106">
            <w:pPr>
              <w:pStyle w:val="TableText"/>
              <w:spacing w:before="30" w:after="32"/>
              <w:rPr>
                <w:szCs w:val="18"/>
              </w:rPr>
            </w:pPr>
            <w:r w:rsidRPr="0018386D">
              <w:rPr>
                <w:szCs w:val="18"/>
              </w:rPr>
              <w:t>0.116</w:t>
            </w:r>
          </w:p>
        </w:tc>
        <w:tc>
          <w:tcPr>
            <w:tcW w:w="1304" w:type="dxa"/>
            <w:shd w:val="clear" w:color="000000" w:fill="FFFFFF"/>
            <w:noWrap/>
            <w:hideMark/>
          </w:tcPr>
          <w:p w14:paraId="755D6D14" w14:textId="77777777" w:rsidR="008E2ED2" w:rsidRPr="0018386D" w:rsidRDefault="008E2ED2" w:rsidP="00DD3106">
            <w:pPr>
              <w:pStyle w:val="TableText"/>
              <w:spacing w:before="30" w:after="32"/>
              <w:rPr>
                <w:szCs w:val="18"/>
              </w:rPr>
            </w:pPr>
            <w:r w:rsidRPr="0018386D">
              <w:rPr>
                <w:szCs w:val="18"/>
              </w:rPr>
              <w:t>0.111</w:t>
            </w:r>
          </w:p>
        </w:tc>
        <w:tc>
          <w:tcPr>
            <w:tcW w:w="1304" w:type="dxa"/>
            <w:shd w:val="clear" w:color="000000" w:fill="FFFFFF"/>
            <w:noWrap/>
            <w:hideMark/>
          </w:tcPr>
          <w:p w14:paraId="1C2E9147" w14:textId="77777777" w:rsidR="008E2ED2" w:rsidRPr="0018386D" w:rsidRDefault="008E2ED2" w:rsidP="00DD3106">
            <w:pPr>
              <w:pStyle w:val="TableText"/>
              <w:spacing w:before="30" w:after="32"/>
              <w:rPr>
                <w:szCs w:val="18"/>
              </w:rPr>
            </w:pPr>
            <w:r w:rsidRPr="0018386D">
              <w:rPr>
                <w:szCs w:val="18"/>
              </w:rPr>
              <w:t>0.00146</w:t>
            </w:r>
          </w:p>
        </w:tc>
        <w:tc>
          <w:tcPr>
            <w:tcW w:w="1361" w:type="dxa"/>
            <w:shd w:val="clear" w:color="000000" w:fill="FFFFFF"/>
            <w:noWrap/>
            <w:hideMark/>
          </w:tcPr>
          <w:p w14:paraId="418811C2" w14:textId="77777777" w:rsidR="008E2ED2" w:rsidRPr="0018386D" w:rsidRDefault="008E2ED2" w:rsidP="00DD3106">
            <w:pPr>
              <w:pStyle w:val="TableText"/>
              <w:spacing w:before="30" w:after="32"/>
              <w:rPr>
                <w:szCs w:val="18"/>
              </w:rPr>
            </w:pPr>
            <w:r w:rsidRPr="0018386D">
              <w:rPr>
                <w:szCs w:val="18"/>
              </w:rPr>
              <w:t>0.00334</w:t>
            </w:r>
          </w:p>
        </w:tc>
      </w:tr>
      <w:tr w:rsidR="00D907BD" w:rsidRPr="0018386D" w14:paraId="6CF4FF4F"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46C44C5E"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73B29D71"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264EFC73"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3F37A01E" w14:textId="77777777" w:rsidR="008E2ED2" w:rsidRPr="0018386D" w:rsidRDefault="008E2ED2" w:rsidP="00DD3106">
            <w:pPr>
              <w:pStyle w:val="TableText"/>
              <w:spacing w:before="30" w:after="32"/>
              <w:rPr>
                <w:szCs w:val="18"/>
              </w:rPr>
            </w:pPr>
            <w:r w:rsidRPr="0018386D">
              <w:rPr>
                <w:szCs w:val="18"/>
              </w:rPr>
              <w:t>0.132</w:t>
            </w:r>
          </w:p>
        </w:tc>
        <w:tc>
          <w:tcPr>
            <w:tcW w:w="1304" w:type="dxa"/>
            <w:shd w:val="clear" w:color="000000" w:fill="FFFFFF"/>
            <w:noWrap/>
            <w:hideMark/>
          </w:tcPr>
          <w:p w14:paraId="54067EA8" w14:textId="77777777" w:rsidR="008E2ED2" w:rsidRPr="0018386D" w:rsidRDefault="008E2ED2" w:rsidP="00DD3106">
            <w:pPr>
              <w:pStyle w:val="TableText"/>
              <w:spacing w:before="30" w:after="32"/>
              <w:rPr>
                <w:szCs w:val="18"/>
              </w:rPr>
            </w:pPr>
            <w:r w:rsidRPr="0018386D">
              <w:rPr>
                <w:szCs w:val="18"/>
              </w:rPr>
              <w:t>0.126</w:t>
            </w:r>
          </w:p>
        </w:tc>
        <w:tc>
          <w:tcPr>
            <w:tcW w:w="1304" w:type="dxa"/>
            <w:shd w:val="clear" w:color="000000" w:fill="FFFFFF"/>
            <w:noWrap/>
            <w:hideMark/>
          </w:tcPr>
          <w:p w14:paraId="1835D21E" w14:textId="77777777" w:rsidR="008E2ED2" w:rsidRPr="0018386D" w:rsidRDefault="008E2ED2" w:rsidP="00DD3106">
            <w:pPr>
              <w:pStyle w:val="TableText"/>
              <w:spacing w:before="30" w:after="32"/>
              <w:rPr>
                <w:szCs w:val="18"/>
              </w:rPr>
            </w:pPr>
            <w:r w:rsidRPr="0018386D">
              <w:rPr>
                <w:szCs w:val="18"/>
              </w:rPr>
              <w:t>0.00166</w:t>
            </w:r>
          </w:p>
        </w:tc>
        <w:tc>
          <w:tcPr>
            <w:tcW w:w="1361" w:type="dxa"/>
            <w:shd w:val="clear" w:color="000000" w:fill="FFFFFF"/>
            <w:noWrap/>
            <w:hideMark/>
          </w:tcPr>
          <w:p w14:paraId="63CA8FA1" w14:textId="77777777" w:rsidR="008E2ED2" w:rsidRPr="0018386D" w:rsidRDefault="008E2ED2" w:rsidP="00DD3106">
            <w:pPr>
              <w:pStyle w:val="TableText"/>
              <w:spacing w:before="30" w:after="32"/>
              <w:rPr>
                <w:szCs w:val="18"/>
              </w:rPr>
            </w:pPr>
            <w:r w:rsidRPr="0018386D">
              <w:rPr>
                <w:szCs w:val="18"/>
              </w:rPr>
              <w:t>0.00382</w:t>
            </w:r>
          </w:p>
        </w:tc>
      </w:tr>
      <w:tr w:rsidR="00D907BD" w:rsidRPr="0018386D" w14:paraId="1B142652"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0DF36227" w14:textId="22746474" w:rsidR="008E2ED2" w:rsidRPr="0018386D" w:rsidRDefault="008E2ED2" w:rsidP="00DD3106">
            <w:pPr>
              <w:pStyle w:val="TableText"/>
              <w:spacing w:before="30" w:after="32"/>
              <w:rPr>
                <w:szCs w:val="18"/>
                <w:lang w:eastAsia="zh-CN" w:bidi="th-TH"/>
              </w:rPr>
            </w:pPr>
            <w:r w:rsidRPr="0018386D">
              <w:rPr>
                <w:szCs w:val="18"/>
              </w:rPr>
              <w:t xml:space="preserve">PHEV (Petrol) </w:t>
            </w:r>
            <w:r w:rsidR="00334CF0" w:rsidRPr="0018386D">
              <w:rPr>
                <w:szCs w:val="18"/>
              </w:rPr>
              <w:t>–</w:t>
            </w:r>
            <w:r w:rsidRPr="0018386D">
              <w:rPr>
                <w:szCs w:val="18"/>
              </w:rPr>
              <w:t xml:space="preserve"> </w:t>
            </w:r>
            <w:r w:rsidRPr="0018386D">
              <w:rPr>
                <w:szCs w:val="18"/>
                <w:lang w:eastAsia="zh-CN" w:bidi="th-TH"/>
              </w:rPr>
              <w:t>Electricity consumption</w:t>
            </w:r>
          </w:p>
        </w:tc>
        <w:tc>
          <w:tcPr>
            <w:tcW w:w="1474" w:type="dxa"/>
            <w:tcBorders>
              <w:left w:val="single" w:sz="4" w:space="0" w:color="auto"/>
            </w:tcBorders>
            <w:shd w:val="clear" w:color="000000" w:fill="FFFFFF"/>
            <w:noWrap/>
            <w:hideMark/>
          </w:tcPr>
          <w:p w14:paraId="4D092DBC"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742C6EA5"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79D989D" w14:textId="77777777" w:rsidR="008E2ED2" w:rsidRPr="0018386D" w:rsidRDefault="008E2ED2" w:rsidP="00DD3106">
            <w:pPr>
              <w:pStyle w:val="TableText"/>
              <w:spacing w:before="30" w:after="32"/>
              <w:rPr>
                <w:szCs w:val="18"/>
              </w:rPr>
            </w:pPr>
            <w:r w:rsidRPr="0018386D">
              <w:rPr>
                <w:szCs w:val="18"/>
              </w:rPr>
              <w:t>0.00808</w:t>
            </w:r>
          </w:p>
        </w:tc>
        <w:tc>
          <w:tcPr>
            <w:tcW w:w="1304" w:type="dxa"/>
            <w:shd w:val="clear" w:color="000000" w:fill="FFFFFF"/>
            <w:noWrap/>
            <w:hideMark/>
          </w:tcPr>
          <w:p w14:paraId="23F4B5CC" w14:textId="77777777" w:rsidR="008E2ED2" w:rsidRPr="0018386D" w:rsidRDefault="008E2ED2" w:rsidP="00DD3106">
            <w:pPr>
              <w:pStyle w:val="TableText"/>
              <w:spacing w:before="30" w:after="32"/>
              <w:rPr>
                <w:szCs w:val="18"/>
              </w:rPr>
            </w:pPr>
            <w:r w:rsidRPr="0018386D">
              <w:rPr>
                <w:szCs w:val="18"/>
              </w:rPr>
              <w:t>0.00785</w:t>
            </w:r>
          </w:p>
        </w:tc>
        <w:tc>
          <w:tcPr>
            <w:tcW w:w="1304" w:type="dxa"/>
            <w:shd w:val="clear" w:color="000000" w:fill="FFFFFF"/>
            <w:noWrap/>
            <w:hideMark/>
          </w:tcPr>
          <w:p w14:paraId="7DEF2920"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5B099E8B"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0237D0E6" w14:textId="77777777" w:rsidTr="00AC3D0F">
        <w:trPr>
          <w:divId w:val="59713622"/>
        </w:trPr>
        <w:tc>
          <w:tcPr>
            <w:tcW w:w="1701" w:type="dxa"/>
            <w:tcBorders>
              <w:top w:val="nil"/>
              <w:bottom w:val="nil"/>
              <w:right w:val="single" w:sz="4" w:space="0" w:color="auto"/>
            </w:tcBorders>
            <w:shd w:val="clear" w:color="000000" w:fill="FFFFFF"/>
            <w:noWrap/>
            <w:hideMark/>
          </w:tcPr>
          <w:p w14:paraId="6F0ED9E0"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27C94829" w14:textId="663E6BCA" w:rsidR="008E2ED2" w:rsidRPr="0018386D" w:rsidRDefault="008E2ED2" w:rsidP="00DD3106">
            <w:pPr>
              <w:pStyle w:val="TableText"/>
              <w:spacing w:before="30" w:after="32"/>
              <w:rPr>
                <w:szCs w:val="18"/>
              </w:rPr>
            </w:pPr>
            <w:r w:rsidRPr="0018386D">
              <w:rPr>
                <w:szCs w:val="18"/>
              </w:rPr>
              <w:t>1350</w:t>
            </w:r>
            <w:r w:rsidR="005F6998" w:rsidRPr="0018386D">
              <w:rPr>
                <w:szCs w:val="18"/>
              </w:rPr>
              <w:t>–</w:t>
            </w:r>
            <w:r w:rsidRPr="0018386D">
              <w:rPr>
                <w:szCs w:val="18"/>
              </w:rPr>
              <w:t>&lt;1600 cc</w:t>
            </w:r>
          </w:p>
        </w:tc>
        <w:tc>
          <w:tcPr>
            <w:tcW w:w="567" w:type="dxa"/>
            <w:shd w:val="clear" w:color="000000" w:fill="FFFFFF"/>
            <w:noWrap/>
            <w:hideMark/>
          </w:tcPr>
          <w:p w14:paraId="6FE20204"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C744B57" w14:textId="77777777" w:rsidR="008E2ED2" w:rsidRPr="0018386D" w:rsidRDefault="008E2ED2" w:rsidP="00DD3106">
            <w:pPr>
              <w:pStyle w:val="TableText"/>
              <w:spacing w:before="30" w:after="32"/>
              <w:rPr>
                <w:szCs w:val="18"/>
              </w:rPr>
            </w:pPr>
            <w:r w:rsidRPr="0018386D">
              <w:rPr>
                <w:szCs w:val="18"/>
              </w:rPr>
              <w:t>0.00868</w:t>
            </w:r>
          </w:p>
        </w:tc>
        <w:tc>
          <w:tcPr>
            <w:tcW w:w="1304" w:type="dxa"/>
            <w:shd w:val="clear" w:color="000000" w:fill="FFFFFF"/>
            <w:noWrap/>
            <w:hideMark/>
          </w:tcPr>
          <w:p w14:paraId="247B140F" w14:textId="77777777" w:rsidR="008E2ED2" w:rsidRPr="0018386D" w:rsidRDefault="008E2ED2" w:rsidP="00DD3106">
            <w:pPr>
              <w:pStyle w:val="TableText"/>
              <w:spacing w:before="30" w:after="32"/>
              <w:rPr>
                <w:szCs w:val="18"/>
              </w:rPr>
            </w:pPr>
            <w:r w:rsidRPr="0018386D">
              <w:rPr>
                <w:szCs w:val="18"/>
              </w:rPr>
              <w:t>0.00843</w:t>
            </w:r>
          </w:p>
        </w:tc>
        <w:tc>
          <w:tcPr>
            <w:tcW w:w="1304" w:type="dxa"/>
            <w:shd w:val="clear" w:color="000000" w:fill="FFFFFF"/>
            <w:noWrap/>
            <w:hideMark/>
          </w:tcPr>
          <w:p w14:paraId="20BD59EB"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1B2F5760"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42676330" w14:textId="77777777" w:rsidTr="00AC3D0F">
        <w:trPr>
          <w:divId w:val="59713622"/>
        </w:trPr>
        <w:tc>
          <w:tcPr>
            <w:tcW w:w="1701" w:type="dxa"/>
            <w:tcBorders>
              <w:top w:val="nil"/>
              <w:bottom w:val="nil"/>
              <w:right w:val="single" w:sz="4" w:space="0" w:color="auto"/>
            </w:tcBorders>
            <w:shd w:val="clear" w:color="000000" w:fill="FFFFFF"/>
            <w:noWrap/>
            <w:hideMark/>
          </w:tcPr>
          <w:p w14:paraId="3255C4EC"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F706283" w14:textId="03BA0053" w:rsidR="008E2ED2" w:rsidRPr="0018386D" w:rsidRDefault="008E2ED2" w:rsidP="00DD3106">
            <w:pPr>
              <w:pStyle w:val="TableText"/>
              <w:spacing w:before="30" w:after="32"/>
              <w:rPr>
                <w:szCs w:val="18"/>
              </w:rPr>
            </w:pPr>
            <w:r w:rsidRPr="0018386D">
              <w:rPr>
                <w:szCs w:val="18"/>
              </w:rPr>
              <w:t>1600</w:t>
            </w:r>
            <w:r w:rsidR="005F6998" w:rsidRPr="0018386D">
              <w:rPr>
                <w:szCs w:val="18"/>
              </w:rPr>
              <w:t>–</w:t>
            </w:r>
            <w:r w:rsidRPr="0018386D">
              <w:rPr>
                <w:szCs w:val="18"/>
              </w:rPr>
              <w:t>&lt;2000 cc</w:t>
            </w:r>
          </w:p>
        </w:tc>
        <w:tc>
          <w:tcPr>
            <w:tcW w:w="567" w:type="dxa"/>
            <w:shd w:val="clear" w:color="000000" w:fill="FFFFFF"/>
            <w:noWrap/>
            <w:hideMark/>
          </w:tcPr>
          <w:p w14:paraId="357FFEBA"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0A5BF5D2" w14:textId="77777777" w:rsidR="008E2ED2" w:rsidRPr="0018386D" w:rsidRDefault="008E2ED2" w:rsidP="00DD3106">
            <w:pPr>
              <w:pStyle w:val="TableText"/>
              <w:spacing w:before="30" w:after="32"/>
              <w:rPr>
                <w:szCs w:val="18"/>
              </w:rPr>
            </w:pPr>
            <w:r w:rsidRPr="0018386D">
              <w:rPr>
                <w:szCs w:val="18"/>
              </w:rPr>
              <w:t>0.00982</w:t>
            </w:r>
          </w:p>
        </w:tc>
        <w:tc>
          <w:tcPr>
            <w:tcW w:w="1304" w:type="dxa"/>
            <w:shd w:val="clear" w:color="000000" w:fill="FFFFFF"/>
            <w:noWrap/>
            <w:hideMark/>
          </w:tcPr>
          <w:p w14:paraId="04F24160" w14:textId="77777777" w:rsidR="008E2ED2" w:rsidRPr="0018386D" w:rsidRDefault="008E2ED2" w:rsidP="00DD3106">
            <w:pPr>
              <w:pStyle w:val="TableText"/>
              <w:spacing w:before="30" w:after="32"/>
              <w:rPr>
                <w:szCs w:val="18"/>
              </w:rPr>
            </w:pPr>
            <w:r w:rsidRPr="0018386D">
              <w:rPr>
                <w:szCs w:val="18"/>
              </w:rPr>
              <w:t>0.00954</w:t>
            </w:r>
          </w:p>
        </w:tc>
        <w:tc>
          <w:tcPr>
            <w:tcW w:w="1304" w:type="dxa"/>
            <w:shd w:val="clear" w:color="000000" w:fill="FFFFFF"/>
            <w:noWrap/>
            <w:hideMark/>
          </w:tcPr>
          <w:p w14:paraId="5CC2A94F"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32E626B3"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074CB1EE" w14:textId="77777777" w:rsidTr="00AC3D0F">
        <w:trPr>
          <w:divId w:val="59713622"/>
        </w:trPr>
        <w:tc>
          <w:tcPr>
            <w:tcW w:w="1701" w:type="dxa"/>
            <w:tcBorders>
              <w:top w:val="nil"/>
              <w:bottom w:val="nil"/>
              <w:right w:val="single" w:sz="4" w:space="0" w:color="auto"/>
            </w:tcBorders>
            <w:shd w:val="clear" w:color="000000" w:fill="FFFFFF"/>
            <w:noWrap/>
            <w:hideMark/>
          </w:tcPr>
          <w:p w14:paraId="13551131"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418135BB" w14:textId="11AB1EC3" w:rsidR="008E2ED2" w:rsidRPr="0018386D" w:rsidRDefault="008E2ED2" w:rsidP="00DD3106">
            <w:pPr>
              <w:pStyle w:val="TableText"/>
              <w:spacing w:before="30" w:after="32"/>
              <w:rPr>
                <w:szCs w:val="18"/>
              </w:rPr>
            </w:pPr>
            <w:r w:rsidRPr="0018386D">
              <w:rPr>
                <w:szCs w:val="18"/>
              </w:rPr>
              <w:t>2000</w:t>
            </w:r>
            <w:r w:rsidR="005F6998" w:rsidRPr="0018386D">
              <w:rPr>
                <w:szCs w:val="18"/>
              </w:rPr>
              <w:t>–</w:t>
            </w:r>
            <w:r w:rsidRPr="0018386D">
              <w:rPr>
                <w:szCs w:val="18"/>
              </w:rPr>
              <w:t>&lt;3000 cc</w:t>
            </w:r>
          </w:p>
        </w:tc>
        <w:tc>
          <w:tcPr>
            <w:tcW w:w="567" w:type="dxa"/>
            <w:shd w:val="clear" w:color="000000" w:fill="FFFFFF"/>
            <w:noWrap/>
            <w:hideMark/>
          </w:tcPr>
          <w:p w14:paraId="14F711DD"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5751756" w14:textId="77777777" w:rsidR="008E2ED2" w:rsidRPr="0018386D" w:rsidRDefault="008E2ED2" w:rsidP="00DD3106">
            <w:pPr>
              <w:pStyle w:val="TableText"/>
              <w:spacing w:before="30" w:after="32"/>
              <w:rPr>
                <w:szCs w:val="18"/>
              </w:rPr>
            </w:pPr>
            <w:r w:rsidRPr="0018386D">
              <w:rPr>
                <w:szCs w:val="18"/>
              </w:rPr>
              <w:t>0.0121</w:t>
            </w:r>
          </w:p>
        </w:tc>
        <w:tc>
          <w:tcPr>
            <w:tcW w:w="1304" w:type="dxa"/>
            <w:shd w:val="clear" w:color="000000" w:fill="FFFFFF"/>
            <w:noWrap/>
            <w:hideMark/>
          </w:tcPr>
          <w:p w14:paraId="580D2617" w14:textId="77777777" w:rsidR="008E2ED2" w:rsidRPr="0018386D" w:rsidRDefault="008E2ED2" w:rsidP="00DD3106">
            <w:pPr>
              <w:pStyle w:val="TableText"/>
              <w:spacing w:before="30" w:after="32"/>
              <w:rPr>
                <w:szCs w:val="18"/>
              </w:rPr>
            </w:pPr>
            <w:r w:rsidRPr="0018386D">
              <w:rPr>
                <w:szCs w:val="18"/>
              </w:rPr>
              <w:t>0.0117</w:t>
            </w:r>
          </w:p>
        </w:tc>
        <w:tc>
          <w:tcPr>
            <w:tcW w:w="1304" w:type="dxa"/>
            <w:shd w:val="clear" w:color="000000" w:fill="FFFFFF"/>
            <w:noWrap/>
            <w:hideMark/>
          </w:tcPr>
          <w:p w14:paraId="0B7B371F"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10FE4FEB" w14:textId="77777777" w:rsidR="008E2ED2" w:rsidRPr="0018386D" w:rsidRDefault="008E2ED2" w:rsidP="00DD3106">
            <w:pPr>
              <w:pStyle w:val="TableText"/>
              <w:spacing w:before="30" w:after="32"/>
              <w:rPr>
                <w:szCs w:val="18"/>
              </w:rPr>
            </w:pPr>
            <w:r w:rsidRPr="0018386D">
              <w:rPr>
                <w:szCs w:val="18"/>
              </w:rPr>
              <w:t>0.00003</w:t>
            </w:r>
          </w:p>
        </w:tc>
      </w:tr>
      <w:tr w:rsidR="00D907BD" w:rsidRPr="0018386D" w14:paraId="531AB3B7"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2452BCD9"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5238BF4"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0FBCCF2F"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5964F2BF" w14:textId="77777777" w:rsidR="008E2ED2" w:rsidRPr="0018386D" w:rsidRDefault="008E2ED2" w:rsidP="00DD3106">
            <w:pPr>
              <w:pStyle w:val="TableText"/>
              <w:spacing w:before="30" w:after="32"/>
              <w:rPr>
                <w:szCs w:val="18"/>
              </w:rPr>
            </w:pPr>
            <w:r w:rsidRPr="0018386D">
              <w:rPr>
                <w:szCs w:val="18"/>
              </w:rPr>
              <w:t>0.0141</w:t>
            </w:r>
          </w:p>
        </w:tc>
        <w:tc>
          <w:tcPr>
            <w:tcW w:w="1304" w:type="dxa"/>
            <w:shd w:val="clear" w:color="000000" w:fill="FFFFFF"/>
            <w:noWrap/>
            <w:hideMark/>
          </w:tcPr>
          <w:p w14:paraId="10C17DD4" w14:textId="77777777" w:rsidR="008E2ED2" w:rsidRPr="0018386D" w:rsidRDefault="008E2ED2" w:rsidP="00DD3106">
            <w:pPr>
              <w:pStyle w:val="TableText"/>
              <w:spacing w:before="30" w:after="32"/>
              <w:rPr>
                <w:szCs w:val="18"/>
              </w:rPr>
            </w:pPr>
            <w:r w:rsidRPr="0018386D">
              <w:rPr>
                <w:szCs w:val="18"/>
              </w:rPr>
              <w:t>0.0137</w:t>
            </w:r>
          </w:p>
        </w:tc>
        <w:tc>
          <w:tcPr>
            <w:tcW w:w="1304" w:type="dxa"/>
            <w:shd w:val="clear" w:color="000000" w:fill="FFFFFF"/>
            <w:noWrap/>
            <w:hideMark/>
          </w:tcPr>
          <w:p w14:paraId="6A04EBD4" w14:textId="77777777" w:rsidR="008E2ED2" w:rsidRPr="0018386D" w:rsidRDefault="008E2ED2" w:rsidP="00DD3106">
            <w:pPr>
              <w:pStyle w:val="TableText"/>
              <w:spacing w:before="30" w:after="32"/>
              <w:rPr>
                <w:szCs w:val="18"/>
              </w:rPr>
            </w:pPr>
            <w:r w:rsidRPr="0018386D">
              <w:rPr>
                <w:szCs w:val="18"/>
              </w:rPr>
              <w:t>0.0004</w:t>
            </w:r>
          </w:p>
        </w:tc>
        <w:tc>
          <w:tcPr>
            <w:tcW w:w="1361" w:type="dxa"/>
            <w:shd w:val="clear" w:color="000000" w:fill="FFFFFF"/>
            <w:noWrap/>
            <w:hideMark/>
          </w:tcPr>
          <w:p w14:paraId="59D81E99" w14:textId="77777777" w:rsidR="008E2ED2" w:rsidRPr="0018386D" w:rsidRDefault="008E2ED2" w:rsidP="00DD3106">
            <w:pPr>
              <w:pStyle w:val="TableText"/>
              <w:spacing w:before="30" w:after="32"/>
              <w:rPr>
                <w:szCs w:val="18"/>
              </w:rPr>
            </w:pPr>
            <w:r w:rsidRPr="0018386D">
              <w:rPr>
                <w:szCs w:val="18"/>
              </w:rPr>
              <w:t>0.00003</w:t>
            </w:r>
          </w:p>
        </w:tc>
      </w:tr>
      <w:tr w:rsidR="00D907BD" w:rsidRPr="0018386D" w14:paraId="112F3C3D"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426D4F0B" w14:textId="77777777" w:rsidR="008E2ED2" w:rsidRPr="0018386D" w:rsidRDefault="008E2ED2" w:rsidP="00DD3106">
            <w:pPr>
              <w:pStyle w:val="TableText"/>
              <w:spacing w:before="30" w:after="32"/>
              <w:rPr>
                <w:szCs w:val="18"/>
                <w:lang w:eastAsia="zh-CN" w:bidi="th-TH"/>
              </w:rPr>
            </w:pPr>
            <w:r w:rsidRPr="0018386D">
              <w:rPr>
                <w:szCs w:val="18"/>
              </w:rPr>
              <w:t>PHEV (Diesel</w:t>
            </w:r>
            <w:r w:rsidRPr="0018386D">
              <w:rPr>
                <w:szCs w:val="18"/>
                <w:lang w:eastAsia="zh-CN" w:bidi="th-TH"/>
              </w:rPr>
              <w:t>) - Diesel consumption</w:t>
            </w:r>
          </w:p>
        </w:tc>
        <w:tc>
          <w:tcPr>
            <w:tcW w:w="1474" w:type="dxa"/>
            <w:tcBorders>
              <w:left w:val="single" w:sz="4" w:space="0" w:color="auto"/>
            </w:tcBorders>
            <w:shd w:val="clear" w:color="000000" w:fill="FFFFFF"/>
            <w:noWrap/>
            <w:hideMark/>
          </w:tcPr>
          <w:p w14:paraId="767E317C"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623D4FBD"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52902DD" w14:textId="77777777" w:rsidR="008E2ED2" w:rsidRPr="0018386D" w:rsidRDefault="008E2ED2" w:rsidP="00DD3106">
            <w:pPr>
              <w:pStyle w:val="TableText"/>
              <w:spacing w:before="30" w:after="32"/>
              <w:rPr>
                <w:szCs w:val="18"/>
              </w:rPr>
            </w:pPr>
            <w:r w:rsidRPr="0018386D">
              <w:rPr>
                <w:szCs w:val="18"/>
              </w:rPr>
              <w:t>0.0895</w:t>
            </w:r>
          </w:p>
        </w:tc>
        <w:tc>
          <w:tcPr>
            <w:tcW w:w="1304" w:type="dxa"/>
            <w:shd w:val="clear" w:color="000000" w:fill="FFFFFF"/>
            <w:noWrap/>
            <w:hideMark/>
          </w:tcPr>
          <w:p w14:paraId="715FC621" w14:textId="77777777" w:rsidR="008E2ED2" w:rsidRPr="0018386D" w:rsidRDefault="008E2ED2" w:rsidP="00DD3106">
            <w:pPr>
              <w:pStyle w:val="TableText"/>
              <w:spacing w:before="30" w:after="32"/>
              <w:rPr>
                <w:szCs w:val="18"/>
              </w:rPr>
            </w:pPr>
            <w:r w:rsidRPr="0018386D">
              <w:rPr>
                <w:szCs w:val="18"/>
              </w:rPr>
              <w:t>0.0881</w:t>
            </w:r>
          </w:p>
        </w:tc>
        <w:tc>
          <w:tcPr>
            <w:tcW w:w="1304" w:type="dxa"/>
            <w:shd w:val="clear" w:color="000000" w:fill="FFFFFF"/>
            <w:noWrap/>
            <w:hideMark/>
          </w:tcPr>
          <w:p w14:paraId="0240C4C5" w14:textId="77777777" w:rsidR="008E2ED2" w:rsidRPr="0018386D" w:rsidRDefault="008E2ED2" w:rsidP="00DD3106">
            <w:pPr>
              <w:pStyle w:val="TableText"/>
              <w:spacing w:before="30" w:after="32"/>
              <w:rPr>
                <w:szCs w:val="18"/>
              </w:rPr>
            </w:pPr>
            <w:r w:rsidRPr="0018386D">
              <w:rPr>
                <w:szCs w:val="18"/>
              </w:rPr>
              <w:t>0.0001</w:t>
            </w:r>
          </w:p>
        </w:tc>
        <w:tc>
          <w:tcPr>
            <w:tcW w:w="1361" w:type="dxa"/>
            <w:shd w:val="clear" w:color="000000" w:fill="FFFFFF"/>
            <w:noWrap/>
            <w:hideMark/>
          </w:tcPr>
          <w:p w14:paraId="09C978E2" w14:textId="77777777" w:rsidR="008E2ED2" w:rsidRPr="0018386D" w:rsidRDefault="008E2ED2" w:rsidP="00DD3106">
            <w:pPr>
              <w:pStyle w:val="TableText"/>
              <w:spacing w:before="30" w:after="32"/>
              <w:rPr>
                <w:szCs w:val="18"/>
              </w:rPr>
            </w:pPr>
            <w:r w:rsidRPr="0018386D">
              <w:rPr>
                <w:szCs w:val="18"/>
              </w:rPr>
              <w:t>0.00125</w:t>
            </w:r>
          </w:p>
        </w:tc>
      </w:tr>
      <w:tr w:rsidR="00D907BD" w:rsidRPr="0018386D" w14:paraId="50322E81" w14:textId="77777777" w:rsidTr="00AC3D0F">
        <w:trPr>
          <w:divId w:val="59713622"/>
        </w:trPr>
        <w:tc>
          <w:tcPr>
            <w:tcW w:w="1701" w:type="dxa"/>
            <w:tcBorders>
              <w:top w:val="nil"/>
              <w:bottom w:val="nil"/>
              <w:right w:val="single" w:sz="4" w:space="0" w:color="auto"/>
            </w:tcBorders>
            <w:shd w:val="clear" w:color="000000" w:fill="FFFFFF"/>
            <w:noWrap/>
            <w:hideMark/>
          </w:tcPr>
          <w:p w14:paraId="5C26BB3A"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54E9912C" w14:textId="6CC7D190" w:rsidR="008E2ED2" w:rsidRPr="0018386D" w:rsidRDefault="008E2ED2" w:rsidP="00DD3106">
            <w:pPr>
              <w:pStyle w:val="TableText"/>
              <w:spacing w:before="30" w:after="32"/>
              <w:rPr>
                <w:szCs w:val="18"/>
              </w:rPr>
            </w:pPr>
            <w:r w:rsidRPr="0018386D">
              <w:rPr>
                <w:szCs w:val="18"/>
              </w:rPr>
              <w:t>1350</w:t>
            </w:r>
            <w:r w:rsidR="00700A08" w:rsidRPr="0018386D">
              <w:rPr>
                <w:szCs w:val="18"/>
              </w:rPr>
              <w:t>–</w:t>
            </w:r>
            <w:r w:rsidRPr="0018386D">
              <w:rPr>
                <w:szCs w:val="18"/>
              </w:rPr>
              <w:t>&lt;1600 cc</w:t>
            </w:r>
          </w:p>
        </w:tc>
        <w:tc>
          <w:tcPr>
            <w:tcW w:w="567" w:type="dxa"/>
            <w:shd w:val="clear" w:color="000000" w:fill="FFFFFF"/>
            <w:noWrap/>
            <w:hideMark/>
          </w:tcPr>
          <w:p w14:paraId="1F733920"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226348EF" w14:textId="77777777" w:rsidR="008E2ED2" w:rsidRPr="0018386D" w:rsidRDefault="008E2ED2" w:rsidP="00DD3106">
            <w:pPr>
              <w:pStyle w:val="TableText"/>
              <w:spacing w:before="30" w:after="32"/>
              <w:rPr>
                <w:szCs w:val="18"/>
              </w:rPr>
            </w:pPr>
            <w:r w:rsidRPr="0018386D">
              <w:rPr>
                <w:szCs w:val="18"/>
              </w:rPr>
              <w:t>0.0861</w:t>
            </w:r>
          </w:p>
        </w:tc>
        <w:tc>
          <w:tcPr>
            <w:tcW w:w="1304" w:type="dxa"/>
            <w:shd w:val="clear" w:color="000000" w:fill="FFFFFF"/>
            <w:noWrap/>
            <w:hideMark/>
          </w:tcPr>
          <w:p w14:paraId="55F1B72A" w14:textId="77777777" w:rsidR="008E2ED2" w:rsidRPr="0018386D" w:rsidRDefault="008E2ED2" w:rsidP="00DD3106">
            <w:pPr>
              <w:pStyle w:val="TableText"/>
              <w:spacing w:before="30" w:after="32"/>
              <w:rPr>
                <w:szCs w:val="18"/>
              </w:rPr>
            </w:pPr>
            <w:r w:rsidRPr="0018386D">
              <w:rPr>
                <w:szCs w:val="18"/>
              </w:rPr>
              <w:t>0.0848</w:t>
            </w:r>
          </w:p>
        </w:tc>
        <w:tc>
          <w:tcPr>
            <w:tcW w:w="1304" w:type="dxa"/>
            <w:shd w:val="clear" w:color="000000" w:fill="FFFFFF"/>
            <w:noWrap/>
            <w:hideMark/>
          </w:tcPr>
          <w:p w14:paraId="350CA4E5" w14:textId="77777777" w:rsidR="008E2ED2" w:rsidRPr="0018386D" w:rsidRDefault="008E2ED2" w:rsidP="00DD3106">
            <w:pPr>
              <w:pStyle w:val="TableText"/>
              <w:spacing w:before="30" w:after="32"/>
              <w:rPr>
                <w:szCs w:val="18"/>
              </w:rPr>
            </w:pPr>
            <w:r w:rsidRPr="0018386D">
              <w:rPr>
                <w:szCs w:val="18"/>
              </w:rPr>
              <w:t>0.0001</w:t>
            </w:r>
          </w:p>
        </w:tc>
        <w:tc>
          <w:tcPr>
            <w:tcW w:w="1361" w:type="dxa"/>
            <w:shd w:val="clear" w:color="000000" w:fill="FFFFFF"/>
            <w:noWrap/>
            <w:hideMark/>
          </w:tcPr>
          <w:p w14:paraId="411EA87A" w14:textId="77777777" w:rsidR="008E2ED2" w:rsidRPr="0018386D" w:rsidRDefault="008E2ED2" w:rsidP="00DD3106">
            <w:pPr>
              <w:pStyle w:val="TableText"/>
              <w:spacing w:before="30" w:after="32"/>
              <w:rPr>
                <w:szCs w:val="18"/>
              </w:rPr>
            </w:pPr>
            <w:r w:rsidRPr="0018386D">
              <w:rPr>
                <w:szCs w:val="18"/>
              </w:rPr>
              <w:t>0.00120</w:t>
            </w:r>
          </w:p>
        </w:tc>
      </w:tr>
      <w:tr w:rsidR="00D907BD" w:rsidRPr="0018386D" w14:paraId="023136AF" w14:textId="77777777" w:rsidTr="00AC3D0F">
        <w:trPr>
          <w:divId w:val="59713622"/>
        </w:trPr>
        <w:tc>
          <w:tcPr>
            <w:tcW w:w="1701" w:type="dxa"/>
            <w:tcBorders>
              <w:top w:val="nil"/>
              <w:bottom w:val="nil"/>
              <w:right w:val="single" w:sz="4" w:space="0" w:color="auto"/>
            </w:tcBorders>
            <w:shd w:val="clear" w:color="000000" w:fill="FFFFFF"/>
            <w:noWrap/>
            <w:hideMark/>
          </w:tcPr>
          <w:p w14:paraId="302EF111"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3E2E9BA" w14:textId="48BF8064" w:rsidR="008E2ED2" w:rsidRPr="0018386D" w:rsidRDefault="008E2ED2" w:rsidP="00DD3106">
            <w:pPr>
              <w:pStyle w:val="TableText"/>
              <w:spacing w:before="30" w:after="32"/>
              <w:rPr>
                <w:szCs w:val="18"/>
              </w:rPr>
            </w:pPr>
            <w:r w:rsidRPr="0018386D">
              <w:rPr>
                <w:szCs w:val="18"/>
              </w:rPr>
              <w:t>1600</w:t>
            </w:r>
            <w:r w:rsidR="00700A08" w:rsidRPr="0018386D">
              <w:rPr>
                <w:szCs w:val="18"/>
              </w:rPr>
              <w:t>–</w:t>
            </w:r>
            <w:r w:rsidRPr="0018386D">
              <w:rPr>
                <w:szCs w:val="18"/>
              </w:rPr>
              <w:t>&lt;2000 cc</w:t>
            </w:r>
          </w:p>
        </w:tc>
        <w:tc>
          <w:tcPr>
            <w:tcW w:w="567" w:type="dxa"/>
            <w:shd w:val="clear" w:color="000000" w:fill="FFFFFF"/>
            <w:noWrap/>
            <w:hideMark/>
          </w:tcPr>
          <w:p w14:paraId="032D422A"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7A500492" w14:textId="77777777" w:rsidR="008E2ED2" w:rsidRPr="0018386D" w:rsidRDefault="008E2ED2" w:rsidP="00DD3106">
            <w:pPr>
              <w:pStyle w:val="TableText"/>
              <w:spacing w:before="30" w:after="32"/>
              <w:rPr>
                <w:szCs w:val="18"/>
              </w:rPr>
            </w:pPr>
            <w:r w:rsidRPr="0018386D">
              <w:rPr>
                <w:szCs w:val="18"/>
              </w:rPr>
              <w:t>0.115</w:t>
            </w:r>
          </w:p>
        </w:tc>
        <w:tc>
          <w:tcPr>
            <w:tcW w:w="1304" w:type="dxa"/>
            <w:shd w:val="clear" w:color="000000" w:fill="FFFFFF"/>
            <w:noWrap/>
            <w:hideMark/>
          </w:tcPr>
          <w:p w14:paraId="6ACC4189" w14:textId="77777777" w:rsidR="008E2ED2" w:rsidRPr="0018386D" w:rsidRDefault="008E2ED2" w:rsidP="00DD3106">
            <w:pPr>
              <w:pStyle w:val="TableText"/>
              <w:spacing w:before="30" w:after="32"/>
              <w:rPr>
                <w:szCs w:val="18"/>
              </w:rPr>
            </w:pPr>
            <w:r w:rsidRPr="0018386D">
              <w:rPr>
                <w:szCs w:val="18"/>
              </w:rPr>
              <w:t>0.113</w:t>
            </w:r>
          </w:p>
        </w:tc>
        <w:tc>
          <w:tcPr>
            <w:tcW w:w="1304" w:type="dxa"/>
            <w:shd w:val="clear" w:color="000000" w:fill="FFFFFF"/>
            <w:noWrap/>
            <w:hideMark/>
          </w:tcPr>
          <w:p w14:paraId="38FB1649"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1392CF8E" w14:textId="77777777" w:rsidR="008E2ED2" w:rsidRPr="0018386D" w:rsidRDefault="008E2ED2" w:rsidP="00DD3106">
            <w:pPr>
              <w:pStyle w:val="TableText"/>
              <w:spacing w:before="30" w:after="32"/>
              <w:rPr>
                <w:szCs w:val="18"/>
              </w:rPr>
            </w:pPr>
            <w:r w:rsidRPr="0018386D">
              <w:rPr>
                <w:szCs w:val="18"/>
              </w:rPr>
              <w:t>0.00160</w:t>
            </w:r>
          </w:p>
        </w:tc>
      </w:tr>
      <w:tr w:rsidR="00D907BD" w:rsidRPr="0018386D" w14:paraId="77566D9B" w14:textId="77777777" w:rsidTr="00AC3D0F">
        <w:trPr>
          <w:divId w:val="59713622"/>
        </w:trPr>
        <w:tc>
          <w:tcPr>
            <w:tcW w:w="1701" w:type="dxa"/>
            <w:tcBorders>
              <w:top w:val="nil"/>
              <w:bottom w:val="nil"/>
              <w:right w:val="single" w:sz="4" w:space="0" w:color="auto"/>
            </w:tcBorders>
            <w:shd w:val="clear" w:color="000000" w:fill="FFFFFF"/>
            <w:noWrap/>
            <w:hideMark/>
          </w:tcPr>
          <w:p w14:paraId="350B7E9D"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150518DE" w14:textId="75AD5890" w:rsidR="008E2ED2" w:rsidRPr="0018386D" w:rsidRDefault="008E2ED2" w:rsidP="00DD3106">
            <w:pPr>
              <w:pStyle w:val="TableText"/>
              <w:spacing w:before="30" w:after="32"/>
              <w:rPr>
                <w:szCs w:val="18"/>
              </w:rPr>
            </w:pPr>
            <w:r w:rsidRPr="0018386D">
              <w:rPr>
                <w:szCs w:val="18"/>
              </w:rPr>
              <w:t>2000</w:t>
            </w:r>
            <w:r w:rsidR="00700A08" w:rsidRPr="0018386D">
              <w:rPr>
                <w:szCs w:val="18"/>
              </w:rPr>
              <w:t>–</w:t>
            </w:r>
            <w:r w:rsidRPr="0018386D">
              <w:rPr>
                <w:szCs w:val="18"/>
              </w:rPr>
              <w:t>&lt;3000 cc</w:t>
            </w:r>
          </w:p>
        </w:tc>
        <w:tc>
          <w:tcPr>
            <w:tcW w:w="567" w:type="dxa"/>
            <w:shd w:val="clear" w:color="000000" w:fill="FFFFFF"/>
            <w:noWrap/>
            <w:hideMark/>
          </w:tcPr>
          <w:p w14:paraId="7F97C03B"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7BB6917D" w14:textId="77777777" w:rsidR="008E2ED2" w:rsidRPr="0018386D" w:rsidRDefault="008E2ED2" w:rsidP="00DD3106">
            <w:pPr>
              <w:pStyle w:val="TableText"/>
              <w:spacing w:before="30" w:after="32"/>
              <w:rPr>
                <w:szCs w:val="18"/>
              </w:rPr>
            </w:pPr>
            <w:r w:rsidRPr="0018386D">
              <w:rPr>
                <w:szCs w:val="18"/>
              </w:rPr>
              <w:t>0.123</w:t>
            </w:r>
          </w:p>
        </w:tc>
        <w:tc>
          <w:tcPr>
            <w:tcW w:w="1304" w:type="dxa"/>
            <w:shd w:val="clear" w:color="000000" w:fill="FFFFFF"/>
            <w:noWrap/>
            <w:hideMark/>
          </w:tcPr>
          <w:p w14:paraId="25F86491" w14:textId="77777777" w:rsidR="008E2ED2" w:rsidRPr="0018386D" w:rsidRDefault="008E2ED2" w:rsidP="00DD3106">
            <w:pPr>
              <w:pStyle w:val="TableText"/>
              <w:spacing w:before="30" w:after="32"/>
              <w:rPr>
                <w:szCs w:val="18"/>
              </w:rPr>
            </w:pPr>
            <w:r w:rsidRPr="0018386D">
              <w:rPr>
                <w:szCs w:val="18"/>
              </w:rPr>
              <w:t>0.121</w:t>
            </w:r>
          </w:p>
        </w:tc>
        <w:tc>
          <w:tcPr>
            <w:tcW w:w="1304" w:type="dxa"/>
            <w:shd w:val="clear" w:color="000000" w:fill="FFFFFF"/>
            <w:noWrap/>
            <w:hideMark/>
          </w:tcPr>
          <w:p w14:paraId="4536E7C4"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666622EB" w14:textId="77777777" w:rsidR="008E2ED2" w:rsidRPr="0018386D" w:rsidRDefault="008E2ED2" w:rsidP="00DD3106">
            <w:pPr>
              <w:pStyle w:val="TableText"/>
              <w:spacing w:before="30" w:after="32"/>
              <w:rPr>
                <w:szCs w:val="18"/>
              </w:rPr>
            </w:pPr>
            <w:r w:rsidRPr="0018386D">
              <w:rPr>
                <w:szCs w:val="18"/>
              </w:rPr>
              <w:t>0.00171</w:t>
            </w:r>
          </w:p>
        </w:tc>
      </w:tr>
      <w:tr w:rsidR="00D907BD" w:rsidRPr="0018386D" w14:paraId="3AB24B6E"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49B7C426"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29ECD4ED"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7DB149E2"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156C4F60" w14:textId="77777777" w:rsidR="008E2ED2" w:rsidRPr="0018386D" w:rsidRDefault="008E2ED2" w:rsidP="00DD3106">
            <w:pPr>
              <w:pStyle w:val="TableText"/>
              <w:spacing w:before="30" w:after="32"/>
              <w:rPr>
                <w:szCs w:val="18"/>
              </w:rPr>
            </w:pPr>
            <w:r w:rsidRPr="0018386D">
              <w:rPr>
                <w:szCs w:val="18"/>
              </w:rPr>
              <w:t>0.124</w:t>
            </w:r>
          </w:p>
        </w:tc>
        <w:tc>
          <w:tcPr>
            <w:tcW w:w="1304" w:type="dxa"/>
            <w:shd w:val="clear" w:color="000000" w:fill="FFFFFF"/>
            <w:noWrap/>
            <w:hideMark/>
          </w:tcPr>
          <w:p w14:paraId="772DDB7B" w14:textId="77777777" w:rsidR="008E2ED2" w:rsidRPr="0018386D" w:rsidRDefault="008E2ED2" w:rsidP="00DD3106">
            <w:pPr>
              <w:pStyle w:val="TableText"/>
              <w:spacing w:before="30" w:after="32"/>
              <w:rPr>
                <w:szCs w:val="18"/>
              </w:rPr>
            </w:pPr>
            <w:r w:rsidRPr="0018386D">
              <w:rPr>
                <w:szCs w:val="18"/>
              </w:rPr>
              <w:t>0.123</w:t>
            </w:r>
          </w:p>
        </w:tc>
        <w:tc>
          <w:tcPr>
            <w:tcW w:w="1304" w:type="dxa"/>
            <w:shd w:val="clear" w:color="000000" w:fill="FFFFFF"/>
            <w:noWrap/>
            <w:hideMark/>
          </w:tcPr>
          <w:p w14:paraId="3549F412"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71253013" w14:textId="77777777" w:rsidR="008E2ED2" w:rsidRPr="0018386D" w:rsidRDefault="008E2ED2" w:rsidP="00DD3106">
            <w:pPr>
              <w:pStyle w:val="TableText"/>
              <w:spacing w:before="30" w:after="32"/>
              <w:rPr>
                <w:szCs w:val="18"/>
              </w:rPr>
            </w:pPr>
            <w:r w:rsidRPr="0018386D">
              <w:rPr>
                <w:szCs w:val="18"/>
              </w:rPr>
              <w:t>0.00173</w:t>
            </w:r>
          </w:p>
        </w:tc>
      </w:tr>
      <w:tr w:rsidR="00D907BD" w:rsidRPr="0018386D" w14:paraId="053F6B3A"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65047E9F" w14:textId="162B7D28" w:rsidR="008E2ED2" w:rsidRPr="0018386D" w:rsidRDefault="008E2ED2" w:rsidP="00DD3106">
            <w:pPr>
              <w:pStyle w:val="TableText"/>
              <w:spacing w:before="30" w:after="32"/>
              <w:rPr>
                <w:szCs w:val="18"/>
                <w:lang w:eastAsia="zh-CN" w:bidi="th-TH"/>
              </w:rPr>
            </w:pPr>
            <w:r w:rsidRPr="0018386D">
              <w:rPr>
                <w:szCs w:val="18"/>
              </w:rPr>
              <w:t xml:space="preserve">PHEV (Diesel) </w:t>
            </w:r>
            <w:r w:rsidR="00334CF0" w:rsidRPr="0018386D">
              <w:rPr>
                <w:szCs w:val="18"/>
              </w:rPr>
              <w:t>–</w:t>
            </w:r>
            <w:r w:rsidRPr="0018386D">
              <w:rPr>
                <w:szCs w:val="18"/>
              </w:rPr>
              <w:t xml:space="preserve"> </w:t>
            </w:r>
            <w:r w:rsidRPr="0018386D">
              <w:rPr>
                <w:szCs w:val="18"/>
                <w:lang w:eastAsia="zh-CN" w:bidi="th-TH"/>
              </w:rPr>
              <w:t>Electricity consumption</w:t>
            </w:r>
          </w:p>
        </w:tc>
        <w:tc>
          <w:tcPr>
            <w:tcW w:w="1474" w:type="dxa"/>
            <w:tcBorders>
              <w:left w:val="single" w:sz="4" w:space="0" w:color="auto"/>
            </w:tcBorders>
            <w:shd w:val="clear" w:color="000000" w:fill="FFFFFF"/>
            <w:noWrap/>
            <w:hideMark/>
          </w:tcPr>
          <w:p w14:paraId="787A746C"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0CD14B33"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543E8FA9" w14:textId="77777777" w:rsidR="008E2ED2" w:rsidRPr="0018386D" w:rsidRDefault="008E2ED2" w:rsidP="00DD3106">
            <w:pPr>
              <w:pStyle w:val="TableText"/>
              <w:spacing w:before="30" w:after="32"/>
              <w:rPr>
                <w:szCs w:val="18"/>
              </w:rPr>
            </w:pPr>
            <w:r w:rsidRPr="0018386D">
              <w:rPr>
                <w:szCs w:val="18"/>
              </w:rPr>
              <w:t>0.00820</w:t>
            </w:r>
          </w:p>
        </w:tc>
        <w:tc>
          <w:tcPr>
            <w:tcW w:w="1304" w:type="dxa"/>
            <w:shd w:val="clear" w:color="000000" w:fill="FFFFFF"/>
            <w:noWrap/>
            <w:hideMark/>
          </w:tcPr>
          <w:p w14:paraId="7F1A1FB5" w14:textId="77777777" w:rsidR="008E2ED2" w:rsidRPr="0018386D" w:rsidRDefault="008E2ED2" w:rsidP="00DD3106">
            <w:pPr>
              <w:pStyle w:val="TableText"/>
              <w:spacing w:before="30" w:after="32"/>
              <w:rPr>
                <w:szCs w:val="18"/>
              </w:rPr>
            </w:pPr>
            <w:r w:rsidRPr="0018386D">
              <w:rPr>
                <w:szCs w:val="18"/>
              </w:rPr>
              <w:t>0.00797</w:t>
            </w:r>
          </w:p>
        </w:tc>
        <w:tc>
          <w:tcPr>
            <w:tcW w:w="1304" w:type="dxa"/>
            <w:shd w:val="clear" w:color="000000" w:fill="FFFFFF"/>
            <w:noWrap/>
            <w:hideMark/>
          </w:tcPr>
          <w:p w14:paraId="283F5060"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1FFB42D3"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1827035B" w14:textId="77777777" w:rsidTr="00AC3D0F">
        <w:trPr>
          <w:divId w:val="59713622"/>
        </w:trPr>
        <w:tc>
          <w:tcPr>
            <w:tcW w:w="1701" w:type="dxa"/>
            <w:tcBorders>
              <w:top w:val="nil"/>
              <w:bottom w:val="nil"/>
              <w:right w:val="single" w:sz="4" w:space="0" w:color="auto"/>
            </w:tcBorders>
            <w:shd w:val="clear" w:color="000000" w:fill="FFFFFF"/>
            <w:noWrap/>
            <w:hideMark/>
          </w:tcPr>
          <w:p w14:paraId="6D0149FD"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65805868" w14:textId="1D6D304A" w:rsidR="008E2ED2" w:rsidRPr="0018386D" w:rsidRDefault="008E2ED2" w:rsidP="00DD3106">
            <w:pPr>
              <w:pStyle w:val="TableText"/>
              <w:spacing w:before="30" w:after="32"/>
              <w:rPr>
                <w:szCs w:val="18"/>
              </w:rPr>
            </w:pPr>
            <w:r w:rsidRPr="0018386D">
              <w:rPr>
                <w:szCs w:val="18"/>
              </w:rPr>
              <w:t>1350</w:t>
            </w:r>
            <w:r w:rsidR="00700A08" w:rsidRPr="0018386D">
              <w:rPr>
                <w:szCs w:val="18"/>
              </w:rPr>
              <w:t>–</w:t>
            </w:r>
            <w:r w:rsidRPr="0018386D">
              <w:rPr>
                <w:szCs w:val="18"/>
              </w:rPr>
              <w:t>&lt;1600 cc</w:t>
            </w:r>
          </w:p>
        </w:tc>
        <w:tc>
          <w:tcPr>
            <w:tcW w:w="567" w:type="dxa"/>
            <w:shd w:val="clear" w:color="000000" w:fill="FFFFFF"/>
            <w:noWrap/>
            <w:hideMark/>
          </w:tcPr>
          <w:p w14:paraId="07CC8466"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BFFDEC6" w14:textId="77777777" w:rsidR="008E2ED2" w:rsidRPr="0018386D" w:rsidRDefault="008E2ED2" w:rsidP="00DD3106">
            <w:pPr>
              <w:pStyle w:val="TableText"/>
              <w:spacing w:before="30" w:after="32"/>
              <w:rPr>
                <w:szCs w:val="18"/>
              </w:rPr>
            </w:pPr>
            <w:r w:rsidRPr="0018386D">
              <w:rPr>
                <w:szCs w:val="18"/>
              </w:rPr>
              <w:t>0.00787</w:t>
            </w:r>
          </w:p>
        </w:tc>
        <w:tc>
          <w:tcPr>
            <w:tcW w:w="1304" w:type="dxa"/>
            <w:shd w:val="clear" w:color="000000" w:fill="FFFFFF"/>
            <w:noWrap/>
            <w:hideMark/>
          </w:tcPr>
          <w:p w14:paraId="321221BB" w14:textId="77777777" w:rsidR="008E2ED2" w:rsidRPr="0018386D" w:rsidRDefault="008E2ED2" w:rsidP="00DD3106">
            <w:pPr>
              <w:pStyle w:val="TableText"/>
              <w:spacing w:before="30" w:after="32"/>
              <w:rPr>
                <w:szCs w:val="18"/>
              </w:rPr>
            </w:pPr>
            <w:r w:rsidRPr="0018386D">
              <w:rPr>
                <w:szCs w:val="18"/>
              </w:rPr>
              <w:t>0.00765</w:t>
            </w:r>
          </w:p>
        </w:tc>
        <w:tc>
          <w:tcPr>
            <w:tcW w:w="1304" w:type="dxa"/>
            <w:shd w:val="clear" w:color="000000" w:fill="FFFFFF"/>
            <w:noWrap/>
            <w:hideMark/>
          </w:tcPr>
          <w:p w14:paraId="7CA4C791"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5888EE33"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5BFB4B1B" w14:textId="77777777" w:rsidTr="00AC3D0F">
        <w:trPr>
          <w:divId w:val="59713622"/>
        </w:trPr>
        <w:tc>
          <w:tcPr>
            <w:tcW w:w="1701" w:type="dxa"/>
            <w:tcBorders>
              <w:top w:val="nil"/>
              <w:bottom w:val="nil"/>
              <w:right w:val="single" w:sz="4" w:space="0" w:color="auto"/>
            </w:tcBorders>
            <w:shd w:val="clear" w:color="000000" w:fill="FFFFFF"/>
            <w:noWrap/>
            <w:hideMark/>
          </w:tcPr>
          <w:p w14:paraId="2BB871F5"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5DF88ACF" w14:textId="00E248AD" w:rsidR="008E2ED2" w:rsidRPr="0018386D" w:rsidRDefault="008E2ED2" w:rsidP="00DD3106">
            <w:pPr>
              <w:pStyle w:val="TableText"/>
              <w:spacing w:before="30" w:after="32"/>
              <w:rPr>
                <w:szCs w:val="18"/>
              </w:rPr>
            </w:pPr>
            <w:r w:rsidRPr="0018386D">
              <w:rPr>
                <w:szCs w:val="18"/>
              </w:rPr>
              <w:t>1600</w:t>
            </w:r>
            <w:r w:rsidR="00700A08" w:rsidRPr="0018386D">
              <w:rPr>
                <w:szCs w:val="18"/>
              </w:rPr>
              <w:t>–</w:t>
            </w:r>
            <w:r w:rsidRPr="0018386D">
              <w:rPr>
                <w:szCs w:val="18"/>
              </w:rPr>
              <w:t>&lt;2000 cc</w:t>
            </w:r>
          </w:p>
        </w:tc>
        <w:tc>
          <w:tcPr>
            <w:tcW w:w="567" w:type="dxa"/>
            <w:shd w:val="clear" w:color="000000" w:fill="FFFFFF"/>
            <w:noWrap/>
            <w:hideMark/>
          </w:tcPr>
          <w:p w14:paraId="22F219FE"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3CDBE33D" w14:textId="77777777" w:rsidR="008E2ED2" w:rsidRPr="0018386D" w:rsidRDefault="008E2ED2" w:rsidP="00DD3106">
            <w:pPr>
              <w:pStyle w:val="TableText"/>
              <w:spacing w:before="30" w:after="32"/>
              <w:rPr>
                <w:szCs w:val="18"/>
              </w:rPr>
            </w:pPr>
            <w:r w:rsidRPr="0018386D">
              <w:rPr>
                <w:szCs w:val="18"/>
              </w:rPr>
              <w:t>0.00863</w:t>
            </w:r>
          </w:p>
        </w:tc>
        <w:tc>
          <w:tcPr>
            <w:tcW w:w="1304" w:type="dxa"/>
            <w:shd w:val="clear" w:color="000000" w:fill="FFFFFF"/>
            <w:noWrap/>
            <w:hideMark/>
          </w:tcPr>
          <w:p w14:paraId="5AA97D51" w14:textId="77777777" w:rsidR="008E2ED2" w:rsidRPr="0018386D" w:rsidRDefault="008E2ED2" w:rsidP="00DD3106">
            <w:pPr>
              <w:pStyle w:val="TableText"/>
              <w:spacing w:before="30" w:after="32"/>
              <w:rPr>
                <w:szCs w:val="18"/>
              </w:rPr>
            </w:pPr>
            <w:r w:rsidRPr="0018386D">
              <w:rPr>
                <w:szCs w:val="18"/>
              </w:rPr>
              <w:t>0.00838</w:t>
            </w:r>
          </w:p>
        </w:tc>
        <w:tc>
          <w:tcPr>
            <w:tcW w:w="1304" w:type="dxa"/>
            <w:shd w:val="clear" w:color="000000" w:fill="FFFFFF"/>
            <w:noWrap/>
            <w:hideMark/>
          </w:tcPr>
          <w:p w14:paraId="33396451" w14:textId="77777777" w:rsidR="008E2ED2" w:rsidRPr="0018386D" w:rsidRDefault="008E2ED2" w:rsidP="00DD3106">
            <w:pPr>
              <w:pStyle w:val="TableText"/>
              <w:spacing w:before="30" w:after="32"/>
              <w:rPr>
                <w:szCs w:val="18"/>
              </w:rPr>
            </w:pPr>
            <w:r w:rsidRPr="0018386D">
              <w:rPr>
                <w:szCs w:val="18"/>
              </w:rPr>
              <w:t>0.0002</w:t>
            </w:r>
          </w:p>
        </w:tc>
        <w:tc>
          <w:tcPr>
            <w:tcW w:w="1361" w:type="dxa"/>
            <w:shd w:val="clear" w:color="000000" w:fill="FFFFFF"/>
            <w:noWrap/>
            <w:hideMark/>
          </w:tcPr>
          <w:p w14:paraId="3BCA53BD"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3469BE92" w14:textId="77777777" w:rsidTr="00AC3D0F">
        <w:trPr>
          <w:divId w:val="59713622"/>
        </w:trPr>
        <w:tc>
          <w:tcPr>
            <w:tcW w:w="1701" w:type="dxa"/>
            <w:tcBorders>
              <w:top w:val="nil"/>
              <w:bottom w:val="nil"/>
              <w:right w:val="single" w:sz="4" w:space="0" w:color="auto"/>
            </w:tcBorders>
            <w:shd w:val="clear" w:color="000000" w:fill="FFFFFF"/>
            <w:noWrap/>
            <w:hideMark/>
          </w:tcPr>
          <w:p w14:paraId="527D35A8"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2880489F" w14:textId="29B74C3A" w:rsidR="008E2ED2" w:rsidRPr="0018386D" w:rsidRDefault="008E2ED2" w:rsidP="00DD3106">
            <w:pPr>
              <w:pStyle w:val="TableText"/>
              <w:spacing w:before="30" w:after="32"/>
              <w:rPr>
                <w:szCs w:val="18"/>
              </w:rPr>
            </w:pPr>
            <w:r w:rsidRPr="0018386D">
              <w:rPr>
                <w:szCs w:val="18"/>
              </w:rPr>
              <w:t>2000</w:t>
            </w:r>
            <w:r w:rsidR="00700A08" w:rsidRPr="0018386D">
              <w:rPr>
                <w:szCs w:val="18"/>
              </w:rPr>
              <w:t>–</w:t>
            </w:r>
            <w:r w:rsidRPr="0018386D">
              <w:rPr>
                <w:szCs w:val="18"/>
              </w:rPr>
              <w:t>&lt;3000 cc</w:t>
            </w:r>
          </w:p>
        </w:tc>
        <w:tc>
          <w:tcPr>
            <w:tcW w:w="567" w:type="dxa"/>
            <w:shd w:val="clear" w:color="000000" w:fill="FFFFFF"/>
            <w:noWrap/>
            <w:hideMark/>
          </w:tcPr>
          <w:p w14:paraId="5C6EC664"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20BDC0DF" w14:textId="77777777" w:rsidR="008E2ED2" w:rsidRPr="0018386D" w:rsidRDefault="008E2ED2" w:rsidP="00DD3106">
            <w:pPr>
              <w:pStyle w:val="TableText"/>
              <w:spacing w:before="30" w:after="32"/>
              <w:rPr>
                <w:szCs w:val="18"/>
              </w:rPr>
            </w:pPr>
            <w:r w:rsidRPr="0018386D">
              <w:rPr>
                <w:szCs w:val="18"/>
              </w:rPr>
              <w:t>0.00976</w:t>
            </w:r>
          </w:p>
        </w:tc>
        <w:tc>
          <w:tcPr>
            <w:tcW w:w="1304" w:type="dxa"/>
            <w:shd w:val="clear" w:color="000000" w:fill="FFFFFF"/>
            <w:noWrap/>
            <w:hideMark/>
          </w:tcPr>
          <w:p w14:paraId="2A9CFCFC" w14:textId="77777777" w:rsidR="008E2ED2" w:rsidRPr="0018386D" w:rsidRDefault="008E2ED2" w:rsidP="00DD3106">
            <w:pPr>
              <w:pStyle w:val="TableText"/>
              <w:spacing w:before="30" w:after="32"/>
              <w:rPr>
                <w:szCs w:val="18"/>
              </w:rPr>
            </w:pPr>
            <w:r w:rsidRPr="0018386D">
              <w:rPr>
                <w:szCs w:val="18"/>
              </w:rPr>
              <w:t>0.00949</w:t>
            </w:r>
          </w:p>
        </w:tc>
        <w:tc>
          <w:tcPr>
            <w:tcW w:w="1304" w:type="dxa"/>
            <w:shd w:val="clear" w:color="000000" w:fill="FFFFFF"/>
            <w:noWrap/>
            <w:hideMark/>
          </w:tcPr>
          <w:p w14:paraId="63A21E72"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5D76DF84"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23EE7A8C"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57C0A4EE" w14:textId="77777777" w:rsidR="008E2ED2" w:rsidRPr="0018386D" w:rsidRDefault="008E2ED2" w:rsidP="00DD3106">
            <w:pPr>
              <w:pStyle w:val="TableText"/>
              <w:spacing w:before="30" w:after="32"/>
              <w:rPr>
                <w:szCs w:val="18"/>
              </w:rPr>
            </w:pPr>
            <w:r w:rsidRPr="0018386D">
              <w:rPr>
                <w:szCs w:val="18"/>
              </w:rPr>
              <w:lastRenderedPageBreak/>
              <w:t> </w:t>
            </w:r>
          </w:p>
        </w:tc>
        <w:tc>
          <w:tcPr>
            <w:tcW w:w="1474" w:type="dxa"/>
            <w:tcBorders>
              <w:left w:val="single" w:sz="4" w:space="0" w:color="auto"/>
            </w:tcBorders>
            <w:shd w:val="clear" w:color="000000" w:fill="FFFFFF"/>
            <w:noWrap/>
            <w:hideMark/>
          </w:tcPr>
          <w:p w14:paraId="148419A7"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2AD8D151"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5AE2EC5D" w14:textId="77777777" w:rsidR="008E2ED2" w:rsidRPr="0018386D" w:rsidRDefault="008E2ED2" w:rsidP="00DD3106">
            <w:pPr>
              <w:pStyle w:val="TableText"/>
              <w:spacing w:before="30" w:after="32"/>
              <w:rPr>
                <w:szCs w:val="18"/>
              </w:rPr>
            </w:pPr>
            <w:r w:rsidRPr="0018386D">
              <w:rPr>
                <w:szCs w:val="18"/>
              </w:rPr>
              <w:t>0.0115</w:t>
            </w:r>
          </w:p>
        </w:tc>
        <w:tc>
          <w:tcPr>
            <w:tcW w:w="1304" w:type="dxa"/>
            <w:shd w:val="clear" w:color="000000" w:fill="FFFFFF"/>
            <w:noWrap/>
            <w:hideMark/>
          </w:tcPr>
          <w:p w14:paraId="4E9280C1" w14:textId="77777777" w:rsidR="008E2ED2" w:rsidRPr="0018386D" w:rsidRDefault="008E2ED2" w:rsidP="00DD3106">
            <w:pPr>
              <w:pStyle w:val="TableText"/>
              <w:spacing w:before="30" w:after="32"/>
              <w:rPr>
                <w:szCs w:val="18"/>
              </w:rPr>
            </w:pPr>
            <w:r w:rsidRPr="0018386D">
              <w:rPr>
                <w:szCs w:val="18"/>
              </w:rPr>
              <w:t>0.0112</w:t>
            </w:r>
          </w:p>
        </w:tc>
        <w:tc>
          <w:tcPr>
            <w:tcW w:w="1304" w:type="dxa"/>
            <w:shd w:val="clear" w:color="000000" w:fill="FFFFFF"/>
            <w:noWrap/>
            <w:hideMark/>
          </w:tcPr>
          <w:p w14:paraId="65624533" w14:textId="77777777" w:rsidR="008E2ED2" w:rsidRPr="0018386D" w:rsidRDefault="008E2ED2" w:rsidP="00DD3106">
            <w:pPr>
              <w:pStyle w:val="TableText"/>
              <w:spacing w:before="30" w:after="32"/>
              <w:rPr>
                <w:szCs w:val="18"/>
              </w:rPr>
            </w:pPr>
            <w:r w:rsidRPr="0018386D">
              <w:rPr>
                <w:szCs w:val="18"/>
              </w:rPr>
              <w:t>0.0003</w:t>
            </w:r>
          </w:p>
        </w:tc>
        <w:tc>
          <w:tcPr>
            <w:tcW w:w="1361" w:type="dxa"/>
            <w:shd w:val="clear" w:color="000000" w:fill="FFFFFF"/>
            <w:noWrap/>
            <w:hideMark/>
          </w:tcPr>
          <w:p w14:paraId="0605B49C" w14:textId="77777777" w:rsidR="008E2ED2" w:rsidRPr="0018386D" w:rsidRDefault="008E2ED2" w:rsidP="00DD3106">
            <w:pPr>
              <w:pStyle w:val="TableText"/>
              <w:spacing w:before="30" w:after="32"/>
              <w:rPr>
                <w:szCs w:val="18"/>
              </w:rPr>
            </w:pPr>
            <w:r w:rsidRPr="0018386D">
              <w:rPr>
                <w:szCs w:val="18"/>
              </w:rPr>
              <w:t>0.00002</w:t>
            </w:r>
          </w:p>
        </w:tc>
      </w:tr>
      <w:tr w:rsidR="00D907BD" w:rsidRPr="0018386D" w14:paraId="27371DDB" w14:textId="77777777" w:rsidTr="00AC3D0F">
        <w:trPr>
          <w:divId w:val="59713622"/>
        </w:trPr>
        <w:tc>
          <w:tcPr>
            <w:tcW w:w="1701" w:type="dxa"/>
            <w:tcBorders>
              <w:top w:val="single" w:sz="4" w:space="0" w:color="auto"/>
              <w:bottom w:val="nil"/>
              <w:right w:val="single" w:sz="4" w:space="0" w:color="auto"/>
            </w:tcBorders>
            <w:shd w:val="clear" w:color="000000" w:fill="FFFFFF"/>
            <w:noWrap/>
            <w:hideMark/>
          </w:tcPr>
          <w:p w14:paraId="0EE01757" w14:textId="77777777" w:rsidR="008E2ED2" w:rsidRPr="0018386D" w:rsidRDefault="008E2ED2" w:rsidP="00DD3106">
            <w:pPr>
              <w:pStyle w:val="TableText"/>
              <w:spacing w:before="30" w:after="32"/>
              <w:rPr>
                <w:szCs w:val="18"/>
              </w:rPr>
            </w:pPr>
            <w:r w:rsidRPr="0018386D">
              <w:rPr>
                <w:szCs w:val="18"/>
              </w:rPr>
              <w:t>Electric vehicle</w:t>
            </w:r>
          </w:p>
        </w:tc>
        <w:tc>
          <w:tcPr>
            <w:tcW w:w="1474" w:type="dxa"/>
            <w:tcBorders>
              <w:left w:val="single" w:sz="4" w:space="0" w:color="auto"/>
            </w:tcBorders>
            <w:shd w:val="clear" w:color="000000" w:fill="FFFFFF"/>
            <w:noWrap/>
            <w:hideMark/>
          </w:tcPr>
          <w:p w14:paraId="45EC2D36" w14:textId="77777777" w:rsidR="008E2ED2" w:rsidRPr="0018386D" w:rsidRDefault="008E2ED2" w:rsidP="00DD3106">
            <w:pPr>
              <w:pStyle w:val="TableText"/>
              <w:spacing w:before="30" w:after="32"/>
              <w:rPr>
                <w:szCs w:val="18"/>
              </w:rPr>
            </w:pPr>
            <w:r w:rsidRPr="0018386D">
              <w:rPr>
                <w:szCs w:val="18"/>
              </w:rPr>
              <w:t>&lt;1350 cc</w:t>
            </w:r>
          </w:p>
        </w:tc>
        <w:tc>
          <w:tcPr>
            <w:tcW w:w="567" w:type="dxa"/>
            <w:shd w:val="clear" w:color="000000" w:fill="FFFFFF"/>
            <w:noWrap/>
            <w:hideMark/>
          </w:tcPr>
          <w:p w14:paraId="108F4AD6"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4369B87" w14:textId="77777777" w:rsidR="008E2ED2" w:rsidRPr="0018386D" w:rsidRDefault="008E2ED2" w:rsidP="00DD3106">
            <w:pPr>
              <w:pStyle w:val="TableText"/>
              <w:spacing w:before="30" w:after="32"/>
              <w:rPr>
                <w:szCs w:val="18"/>
              </w:rPr>
            </w:pPr>
            <w:r w:rsidRPr="0018386D">
              <w:rPr>
                <w:szCs w:val="18"/>
              </w:rPr>
              <w:t>0.0170</w:t>
            </w:r>
          </w:p>
        </w:tc>
        <w:tc>
          <w:tcPr>
            <w:tcW w:w="1304" w:type="dxa"/>
            <w:shd w:val="clear" w:color="000000" w:fill="FFFFFF"/>
            <w:noWrap/>
            <w:hideMark/>
          </w:tcPr>
          <w:p w14:paraId="1DF97531" w14:textId="77777777" w:rsidR="008E2ED2" w:rsidRPr="0018386D" w:rsidRDefault="008E2ED2" w:rsidP="00DD3106">
            <w:pPr>
              <w:pStyle w:val="TableText"/>
              <w:spacing w:before="30" w:after="32"/>
              <w:rPr>
                <w:szCs w:val="18"/>
              </w:rPr>
            </w:pPr>
            <w:r w:rsidRPr="0018386D">
              <w:rPr>
                <w:szCs w:val="18"/>
              </w:rPr>
              <w:t>0.0165</w:t>
            </w:r>
          </w:p>
        </w:tc>
        <w:tc>
          <w:tcPr>
            <w:tcW w:w="1304" w:type="dxa"/>
            <w:shd w:val="clear" w:color="000000" w:fill="FFFFFF"/>
            <w:noWrap/>
            <w:hideMark/>
          </w:tcPr>
          <w:p w14:paraId="0611A8E7" w14:textId="77777777" w:rsidR="008E2ED2" w:rsidRPr="0018386D" w:rsidRDefault="008E2ED2" w:rsidP="00DD3106">
            <w:pPr>
              <w:pStyle w:val="TableText"/>
              <w:spacing w:before="30" w:after="32"/>
              <w:rPr>
                <w:szCs w:val="18"/>
              </w:rPr>
            </w:pPr>
            <w:r w:rsidRPr="0018386D">
              <w:rPr>
                <w:szCs w:val="18"/>
              </w:rPr>
              <w:t>0.0004</w:t>
            </w:r>
          </w:p>
        </w:tc>
        <w:tc>
          <w:tcPr>
            <w:tcW w:w="1361" w:type="dxa"/>
            <w:shd w:val="clear" w:color="000000" w:fill="FFFFFF"/>
            <w:noWrap/>
            <w:hideMark/>
          </w:tcPr>
          <w:p w14:paraId="6E89600F" w14:textId="77777777" w:rsidR="008E2ED2" w:rsidRPr="0018386D" w:rsidRDefault="008E2ED2" w:rsidP="00DD3106">
            <w:pPr>
              <w:pStyle w:val="TableText"/>
              <w:spacing w:before="30" w:after="32"/>
              <w:rPr>
                <w:szCs w:val="18"/>
              </w:rPr>
            </w:pPr>
            <w:r w:rsidRPr="0018386D">
              <w:rPr>
                <w:szCs w:val="18"/>
              </w:rPr>
              <w:t>0.00004</w:t>
            </w:r>
          </w:p>
        </w:tc>
      </w:tr>
      <w:tr w:rsidR="00D907BD" w:rsidRPr="0018386D" w14:paraId="56D3B63A" w14:textId="77777777" w:rsidTr="00AC3D0F">
        <w:trPr>
          <w:divId w:val="59713622"/>
        </w:trPr>
        <w:tc>
          <w:tcPr>
            <w:tcW w:w="1701" w:type="dxa"/>
            <w:tcBorders>
              <w:top w:val="nil"/>
              <w:bottom w:val="nil"/>
              <w:right w:val="single" w:sz="4" w:space="0" w:color="auto"/>
            </w:tcBorders>
            <w:shd w:val="clear" w:color="000000" w:fill="FFFFFF"/>
            <w:noWrap/>
            <w:hideMark/>
          </w:tcPr>
          <w:p w14:paraId="08811E86"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5C7CA47D" w14:textId="77F4219E" w:rsidR="008E2ED2" w:rsidRPr="0018386D" w:rsidRDefault="008E2ED2" w:rsidP="00DD3106">
            <w:pPr>
              <w:pStyle w:val="TableText"/>
              <w:spacing w:before="30" w:after="32"/>
              <w:rPr>
                <w:szCs w:val="18"/>
              </w:rPr>
            </w:pPr>
            <w:r w:rsidRPr="0018386D">
              <w:rPr>
                <w:szCs w:val="18"/>
              </w:rPr>
              <w:t>1350</w:t>
            </w:r>
            <w:r w:rsidR="00700A08" w:rsidRPr="0018386D">
              <w:rPr>
                <w:szCs w:val="18"/>
              </w:rPr>
              <w:t>–</w:t>
            </w:r>
            <w:r w:rsidRPr="0018386D">
              <w:rPr>
                <w:szCs w:val="18"/>
              </w:rPr>
              <w:t>&lt;1600 cc</w:t>
            </w:r>
          </w:p>
        </w:tc>
        <w:tc>
          <w:tcPr>
            <w:tcW w:w="567" w:type="dxa"/>
            <w:shd w:val="clear" w:color="000000" w:fill="FFFFFF"/>
            <w:noWrap/>
            <w:hideMark/>
          </w:tcPr>
          <w:p w14:paraId="34BF36E3"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26A97663" w14:textId="77777777" w:rsidR="008E2ED2" w:rsidRPr="0018386D" w:rsidRDefault="008E2ED2" w:rsidP="00DD3106">
            <w:pPr>
              <w:pStyle w:val="TableText"/>
              <w:spacing w:before="30" w:after="32"/>
              <w:rPr>
                <w:szCs w:val="18"/>
              </w:rPr>
            </w:pPr>
            <w:r w:rsidRPr="0018386D">
              <w:rPr>
                <w:szCs w:val="18"/>
              </w:rPr>
              <w:t>0.0182</w:t>
            </w:r>
          </w:p>
        </w:tc>
        <w:tc>
          <w:tcPr>
            <w:tcW w:w="1304" w:type="dxa"/>
            <w:shd w:val="clear" w:color="000000" w:fill="FFFFFF"/>
            <w:noWrap/>
            <w:hideMark/>
          </w:tcPr>
          <w:p w14:paraId="4E2F7839" w14:textId="77777777" w:rsidR="008E2ED2" w:rsidRPr="0018386D" w:rsidRDefault="008E2ED2" w:rsidP="00DD3106">
            <w:pPr>
              <w:pStyle w:val="TableText"/>
              <w:spacing w:before="30" w:after="32"/>
              <w:rPr>
                <w:szCs w:val="18"/>
              </w:rPr>
            </w:pPr>
            <w:r w:rsidRPr="0018386D">
              <w:rPr>
                <w:szCs w:val="18"/>
              </w:rPr>
              <w:t>0.0177</w:t>
            </w:r>
          </w:p>
        </w:tc>
        <w:tc>
          <w:tcPr>
            <w:tcW w:w="1304" w:type="dxa"/>
            <w:shd w:val="clear" w:color="000000" w:fill="FFFFFF"/>
            <w:noWrap/>
            <w:hideMark/>
          </w:tcPr>
          <w:p w14:paraId="0E240EC2" w14:textId="77777777" w:rsidR="008E2ED2" w:rsidRPr="0018386D" w:rsidRDefault="008E2ED2" w:rsidP="00DD3106">
            <w:pPr>
              <w:pStyle w:val="TableText"/>
              <w:spacing w:before="30" w:after="32"/>
              <w:rPr>
                <w:szCs w:val="18"/>
              </w:rPr>
            </w:pPr>
            <w:r w:rsidRPr="0018386D">
              <w:rPr>
                <w:szCs w:val="18"/>
              </w:rPr>
              <w:t>0.0005</w:t>
            </w:r>
          </w:p>
        </w:tc>
        <w:tc>
          <w:tcPr>
            <w:tcW w:w="1361" w:type="dxa"/>
            <w:shd w:val="clear" w:color="000000" w:fill="FFFFFF"/>
            <w:noWrap/>
            <w:hideMark/>
          </w:tcPr>
          <w:p w14:paraId="1856D91C" w14:textId="77777777" w:rsidR="008E2ED2" w:rsidRPr="0018386D" w:rsidRDefault="008E2ED2" w:rsidP="00DD3106">
            <w:pPr>
              <w:pStyle w:val="TableText"/>
              <w:spacing w:before="30" w:after="32"/>
              <w:rPr>
                <w:szCs w:val="18"/>
              </w:rPr>
            </w:pPr>
            <w:r w:rsidRPr="0018386D">
              <w:rPr>
                <w:szCs w:val="18"/>
              </w:rPr>
              <w:t>0.00004</w:t>
            </w:r>
          </w:p>
        </w:tc>
      </w:tr>
      <w:tr w:rsidR="00D907BD" w:rsidRPr="0018386D" w14:paraId="0EFC40C1" w14:textId="77777777" w:rsidTr="00AC3D0F">
        <w:trPr>
          <w:divId w:val="59713622"/>
        </w:trPr>
        <w:tc>
          <w:tcPr>
            <w:tcW w:w="1701" w:type="dxa"/>
            <w:tcBorders>
              <w:top w:val="nil"/>
              <w:bottom w:val="nil"/>
              <w:right w:val="single" w:sz="4" w:space="0" w:color="auto"/>
            </w:tcBorders>
            <w:shd w:val="clear" w:color="000000" w:fill="FFFFFF"/>
            <w:noWrap/>
            <w:hideMark/>
          </w:tcPr>
          <w:p w14:paraId="1302AB9C"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687E3FA9" w14:textId="74CF04F7" w:rsidR="008E2ED2" w:rsidRPr="0018386D" w:rsidRDefault="008E2ED2" w:rsidP="00DD3106">
            <w:pPr>
              <w:pStyle w:val="TableText"/>
              <w:spacing w:before="30" w:after="32"/>
              <w:rPr>
                <w:szCs w:val="18"/>
              </w:rPr>
            </w:pPr>
            <w:r w:rsidRPr="0018386D">
              <w:rPr>
                <w:szCs w:val="18"/>
              </w:rPr>
              <w:t>1600</w:t>
            </w:r>
            <w:r w:rsidR="00700A08" w:rsidRPr="0018386D">
              <w:rPr>
                <w:szCs w:val="18"/>
              </w:rPr>
              <w:t>–</w:t>
            </w:r>
            <w:r w:rsidRPr="0018386D">
              <w:rPr>
                <w:szCs w:val="18"/>
              </w:rPr>
              <w:t>&lt;2000 cc</w:t>
            </w:r>
          </w:p>
        </w:tc>
        <w:tc>
          <w:tcPr>
            <w:tcW w:w="567" w:type="dxa"/>
            <w:shd w:val="clear" w:color="000000" w:fill="FFFFFF"/>
            <w:noWrap/>
            <w:hideMark/>
          </w:tcPr>
          <w:p w14:paraId="4E5D14E1"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63F6D773" w14:textId="77777777" w:rsidR="008E2ED2" w:rsidRPr="0018386D" w:rsidRDefault="008E2ED2" w:rsidP="00DD3106">
            <w:pPr>
              <w:pStyle w:val="TableText"/>
              <w:spacing w:before="30" w:after="32"/>
              <w:rPr>
                <w:szCs w:val="18"/>
              </w:rPr>
            </w:pPr>
            <w:r w:rsidRPr="0018386D">
              <w:rPr>
                <w:szCs w:val="18"/>
              </w:rPr>
              <w:t>0.0206</w:t>
            </w:r>
          </w:p>
        </w:tc>
        <w:tc>
          <w:tcPr>
            <w:tcW w:w="1304" w:type="dxa"/>
            <w:shd w:val="clear" w:color="000000" w:fill="FFFFFF"/>
            <w:noWrap/>
            <w:hideMark/>
          </w:tcPr>
          <w:p w14:paraId="0FB43D35" w14:textId="77777777" w:rsidR="008E2ED2" w:rsidRPr="0018386D" w:rsidRDefault="008E2ED2" w:rsidP="00DD3106">
            <w:pPr>
              <w:pStyle w:val="TableText"/>
              <w:spacing w:before="30" w:after="32"/>
              <w:rPr>
                <w:szCs w:val="18"/>
              </w:rPr>
            </w:pPr>
            <w:r w:rsidRPr="0018386D">
              <w:rPr>
                <w:szCs w:val="18"/>
              </w:rPr>
              <w:t>0.0200</w:t>
            </w:r>
          </w:p>
        </w:tc>
        <w:tc>
          <w:tcPr>
            <w:tcW w:w="1304" w:type="dxa"/>
            <w:shd w:val="clear" w:color="000000" w:fill="FFFFFF"/>
            <w:noWrap/>
            <w:hideMark/>
          </w:tcPr>
          <w:p w14:paraId="109CD959" w14:textId="77777777" w:rsidR="008E2ED2" w:rsidRPr="0018386D" w:rsidRDefault="008E2ED2" w:rsidP="00DD3106">
            <w:pPr>
              <w:pStyle w:val="TableText"/>
              <w:spacing w:before="30" w:after="32"/>
              <w:rPr>
                <w:szCs w:val="18"/>
              </w:rPr>
            </w:pPr>
            <w:r w:rsidRPr="0018386D">
              <w:rPr>
                <w:szCs w:val="18"/>
              </w:rPr>
              <w:t>0.0005</w:t>
            </w:r>
          </w:p>
        </w:tc>
        <w:tc>
          <w:tcPr>
            <w:tcW w:w="1361" w:type="dxa"/>
            <w:shd w:val="clear" w:color="000000" w:fill="FFFFFF"/>
            <w:noWrap/>
            <w:hideMark/>
          </w:tcPr>
          <w:p w14:paraId="6C4ADC8F" w14:textId="77777777" w:rsidR="008E2ED2" w:rsidRPr="0018386D" w:rsidRDefault="008E2ED2" w:rsidP="00DD3106">
            <w:pPr>
              <w:pStyle w:val="TableText"/>
              <w:spacing w:before="30" w:after="32"/>
              <w:rPr>
                <w:szCs w:val="18"/>
              </w:rPr>
            </w:pPr>
            <w:r w:rsidRPr="0018386D">
              <w:rPr>
                <w:szCs w:val="18"/>
              </w:rPr>
              <w:t>0.00004</w:t>
            </w:r>
          </w:p>
        </w:tc>
      </w:tr>
      <w:tr w:rsidR="00D907BD" w:rsidRPr="0018386D" w14:paraId="2527974D" w14:textId="77777777" w:rsidTr="00AC3D0F">
        <w:trPr>
          <w:divId w:val="59713622"/>
        </w:trPr>
        <w:tc>
          <w:tcPr>
            <w:tcW w:w="1701" w:type="dxa"/>
            <w:tcBorders>
              <w:top w:val="nil"/>
              <w:bottom w:val="nil"/>
              <w:right w:val="single" w:sz="4" w:space="0" w:color="auto"/>
            </w:tcBorders>
            <w:shd w:val="clear" w:color="000000" w:fill="FFFFFF"/>
            <w:noWrap/>
            <w:hideMark/>
          </w:tcPr>
          <w:p w14:paraId="7E4CE7AE"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6760E78F" w14:textId="44FE6700" w:rsidR="008E2ED2" w:rsidRPr="0018386D" w:rsidRDefault="008E2ED2" w:rsidP="00DD3106">
            <w:pPr>
              <w:pStyle w:val="TableText"/>
              <w:spacing w:before="30" w:after="32"/>
              <w:rPr>
                <w:szCs w:val="18"/>
              </w:rPr>
            </w:pPr>
            <w:r w:rsidRPr="0018386D">
              <w:rPr>
                <w:szCs w:val="18"/>
              </w:rPr>
              <w:t>2000</w:t>
            </w:r>
            <w:r w:rsidR="00700A08" w:rsidRPr="0018386D">
              <w:rPr>
                <w:szCs w:val="18"/>
              </w:rPr>
              <w:t>–</w:t>
            </w:r>
            <w:r w:rsidRPr="0018386D">
              <w:rPr>
                <w:szCs w:val="18"/>
              </w:rPr>
              <w:t>&lt;3000 cc</w:t>
            </w:r>
          </w:p>
        </w:tc>
        <w:tc>
          <w:tcPr>
            <w:tcW w:w="567" w:type="dxa"/>
            <w:shd w:val="clear" w:color="000000" w:fill="FFFFFF"/>
            <w:noWrap/>
            <w:hideMark/>
          </w:tcPr>
          <w:p w14:paraId="0BA041C7"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1E082731" w14:textId="77777777" w:rsidR="008E2ED2" w:rsidRPr="0018386D" w:rsidRDefault="008E2ED2" w:rsidP="00DD3106">
            <w:pPr>
              <w:pStyle w:val="TableText"/>
              <w:spacing w:before="30" w:after="32"/>
              <w:rPr>
                <w:szCs w:val="18"/>
              </w:rPr>
            </w:pPr>
            <w:r w:rsidRPr="0018386D">
              <w:rPr>
                <w:szCs w:val="18"/>
              </w:rPr>
              <w:t>0.0254</w:t>
            </w:r>
          </w:p>
        </w:tc>
        <w:tc>
          <w:tcPr>
            <w:tcW w:w="1304" w:type="dxa"/>
            <w:shd w:val="clear" w:color="000000" w:fill="FFFFFF"/>
            <w:noWrap/>
            <w:hideMark/>
          </w:tcPr>
          <w:p w14:paraId="39D4499C" w14:textId="77777777" w:rsidR="008E2ED2" w:rsidRPr="0018386D" w:rsidRDefault="008E2ED2" w:rsidP="00DD3106">
            <w:pPr>
              <w:pStyle w:val="TableText"/>
              <w:spacing w:before="30" w:after="32"/>
              <w:rPr>
                <w:szCs w:val="18"/>
              </w:rPr>
            </w:pPr>
            <w:r w:rsidRPr="0018386D">
              <w:rPr>
                <w:szCs w:val="18"/>
              </w:rPr>
              <w:t>0.0247</w:t>
            </w:r>
          </w:p>
        </w:tc>
        <w:tc>
          <w:tcPr>
            <w:tcW w:w="1304" w:type="dxa"/>
            <w:shd w:val="clear" w:color="000000" w:fill="FFFFFF"/>
            <w:noWrap/>
            <w:hideMark/>
          </w:tcPr>
          <w:p w14:paraId="2018B21A" w14:textId="77777777" w:rsidR="008E2ED2" w:rsidRPr="0018386D" w:rsidRDefault="008E2ED2" w:rsidP="00DD3106">
            <w:pPr>
              <w:pStyle w:val="TableText"/>
              <w:spacing w:before="30" w:after="32"/>
              <w:rPr>
                <w:szCs w:val="18"/>
              </w:rPr>
            </w:pPr>
            <w:r w:rsidRPr="0018386D">
              <w:rPr>
                <w:szCs w:val="18"/>
              </w:rPr>
              <w:t>0.0007</w:t>
            </w:r>
          </w:p>
        </w:tc>
        <w:tc>
          <w:tcPr>
            <w:tcW w:w="1361" w:type="dxa"/>
            <w:shd w:val="clear" w:color="000000" w:fill="FFFFFF"/>
            <w:noWrap/>
            <w:hideMark/>
          </w:tcPr>
          <w:p w14:paraId="6E754D69" w14:textId="77777777" w:rsidR="008E2ED2" w:rsidRPr="0018386D" w:rsidRDefault="008E2ED2" w:rsidP="00DD3106">
            <w:pPr>
              <w:pStyle w:val="TableText"/>
              <w:spacing w:before="30" w:after="32"/>
              <w:rPr>
                <w:szCs w:val="18"/>
              </w:rPr>
            </w:pPr>
            <w:r w:rsidRPr="0018386D">
              <w:rPr>
                <w:szCs w:val="18"/>
              </w:rPr>
              <w:t>0.00005</w:t>
            </w:r>
          </w:p>
        </w:tc>
      </w:tr>
      <w:tr w:rsidR="00D907BD" w:rsidRPr="0018386D" w14:paraId="23F8749C" w14:textId="77777777" w:rsidTr="00AC3D0F">
        <w:trPr>
          <w:divId w:val="59713622"/>
        </w:trPr>
        <w:tc>
          <w:tcPr>
            <w:tcW w:w="1701" w:type="dxa"/>
            <w:tcBorders>
              <w:top w:val="nil"/>
              <w:bottom w:val="single" w:sz="4" w:space="0" w:color="auto"/>
              <w:right w:val="single" w:sz="4" w:space="0" w:color="auto"/>
            </w:tcBorders>
            <w:shd w:val="clear" w:color="000000" w:fill="FFFFFF"/>
            <w:noWrap/>
            <w:hideMark/>
          </w:tcPr>
          <w:p w14:paraId="7AE43D03" w14:textId="77777777" w:rsidR="008E2ED2" w:rsidRPr="0018386D" w:rsidRDefault="008E2ED2" w:rsidP="00DD3106">
            <w:pPr>
              <w:pStyle w:val="TableText"/>
              <w:spacing w:before="30" w:after="32"/>
              <w:rPr>
                <w:szCs w:val="18"/>
              </w:rPr>
            </w:pPr>
            <w:r w:rsidRPr="0018386D">
              <w:rPr>
                <w:szCs w:val="18"/>
              </w:rPr>
              <w:t> </w:t>
            </w:r>
          </w:p>
        </w:tc>
        <w:tc>
          <w:tcPr>
            <w:tcW w:w="1474" w:type="dxa"/>
            <w:tcBorders>
              <w:left w:val="single" w:sz="4" w:space="0" w:color="auto"/>
            </w:tcBorders>
            <w:shd w:val="clear" w:color="000000" w:fill="FFFFFF"/>
            <w:noWrap/>
            <w:hideMark/>
          </w:tcPr>
          <w:p w14:paraId="21058657" w14:textId="77777777" w:rsidR="008E2ED2" w:rsidRPr="0018386D" w:rsidRDefault="008E2ED2" w:rsidP="00DD3106">
            <w:pPr>
              <w:pStyle w:val="TableText"/>
              <w:spacing w:before="30" w:after="32"/>
              <w:rPr>
                <w:szCs w:val="18"/>
              </w:rPr>
            </w:pPr>
            <w:r w:rsidRPr="0018386D">
              <w:rPr>
                <w:szCs w:val="18"/>
              </w:rPr>
              <w:t>≥3000 cc</w:t>
            </w:r>
          </w:p>
        </w:tc>
        <w:tc>
          <w:tcPr>
            <w:tcW w:w="567" w:type="dxa"/>
            <w:shd w:val="clear" w:color="000000" w:fill="FFFFFF"/>
            <w:noWrap/>
            <w:hideMark/>
          </w:tcPr>
          <w:p w14:paraId="6BFF80F5" w14:textId="77777777" w:rsidR="008E2ED2" w:rsidRPr="0018386D" w:rsidRDefault="008E2ED2" w:rsidP="00DD3106">
            <w:pPr>
              <w:pStyle w:val="TableText"/>
              <w:spacing w:before="30" w:after="32"/>
              <w:rPr>
                <w:szCs w:val="18"/>
              </w:rPr>
            </w:pPr>
            <w:r w:rsidRPr="0018386D">
              <w:rPr>
                <w:szCs w:val="18"/>
              </w:rPr>
              <w:t>km</w:t>
            </w:r>
          </w:p>
        </w:tc>
        <w:tc>
          <w:tcPr>
            <w:tcW w:w="1247" w:type="dxa"/>
            <w:shd w:val="clear" w:color="000000" w:fill="D2DDE1"/>
            <w:noWrap/>
            <w:hideMark/>
          </w:tcPr>
          <w:p w14:paraId="4403308A" w14:textId="77777777" w:rsidR="008E2ED2" w:rsidRPr="0018386D" w:rsidRDefault="008E2ED2" w:rsidP="00DD3106">
            <w:pPr>
              <w:pStyle w:val="TableText"/>
              <w:spacing w:before="30" w:after="32"/>
              <w:rPr>
                <w:szCs w:val="18"/>
              </w:rPr>
            </w:pPr>
            <w:r w:rsidRPr="0018386D">
              <w:rPr>
                <w:szCs w:val="18"/>
              </w:rPr>
              <w:t>0.0297</w:t>
            </w:r>
          </w:p>
        </w:tc>
        <w:tc>
          <w:tcPr>
            <w:tcW w:w="1304" w:type="dxa"/>
            <w:shd w:val="clear" w:color="000000" w:fill="FFFFFF"/>
            <w:noWrap/>
            <w:hideMark/>
          </w:tcPr>
          <w:p w14:paraId="4969E996" w14:textId="77777777" w:rsidR="008E2ED2" w:rsidRPr="0018386D" w:rsidRDefault="008E2ED2" w:rsidP="00DD3106">
            <w:pPr>
              <w:pStyle w:val="TableText"/>
              <w:spacing w:before="30" w:after="32"/>
              <w:rPr>
                <w:szCs w:val="18"/>
              </w:rPr>
            </w:pPr>
            <w:r w:rsidRPr="0018386D">
              <w:rPr>
                <w:szCs w:val="18"/>
              </w:rPr>
              <w:t>0.0288</w:t>
            </w:r>
          </w:p>
        </w:tc>
        <w:tc>
          <w:tcPr>
            <w:tcW w:w="1304" w:type="dxa"/>
            <w:shd w:val="clear" w:color="000000" w:fill="FFFFFF"/>
            <w:noWrap/>
            <w:hideMark/>
          </w:tcPr>
          <w:p w14:paraId="7F32F5F5" w14:textId="77777777" w:rsidR="008E2ED2" w:rsidRPr="0018386D" w:rsidRDefault="008E2ED2" w:rsidP="00DD3106">
            <w:pPr>
              <w:pStyle w:val="TableText"/>
              <w:spacing w:before="30" w:after="32"/>
              <w:rPr>
                <w:szCs w:val="18"/>
              </w:rPr>
            </w:pPr>
            <w:r w:rsidRPr="0018386D">
              <w:rPr>
                <w:szCs w:val="18"/>
              </w:rPr>
              <w:t>0.0008</w:t>
            </w:r>
          </w:p>
        </w:tc>
        <w:tc>
          <w:tcPr>
            <w:tcW w:w="1361" w:type="dxa"/>
            <w:shd w:val="clear" w:color="000000" w:fill="FFFFFF"/>
            <w:noWrap/>
            <w:hideMark/>
          </w:tcPr>
          <w:p w14:paraId="6112A95E" w14:textId="77777777" w:rsidR="008E2ED2" w:rsidRPr="0018386D" w:rsidRDefault="008E2ED2" w:rsidP="00DD3106">
            <w:pPr>
              <w:pStyle w:val="TableText"/>
              <w:spacing w:before="30" w:after="32"/>
              <w:rPr>
                <w:szCs w:val="18"/>
              </w:rPr>
            </w:pPr>
            <w:r w:rsidRPr="0018386D">
              <w:rPr>
                <w:szCs w:val="18"/>
              </w:rPr>
              <w:t>0.00006</w:t>
            </w:r>
          </w:p>
        </w:tc>
      </w:tr>
    </w:tbl>
    <w:p w14:paraId="4DA7C99A" w14:textId="77777777" w:rsidR="005B2EC6" w:rsidRPr="0018386D" w:rsidRDefault="005B2EC6" w:rsidP="00DD3106">
      <w:pPr>
        <w:pStyle w:val="Note"/>
      </w:pPr>
      <w:r w:rsidRPr="0018386D">
        <w:rPr>
          <w:b/>
          <w:bCs/>
        </w:rPr>
        <w:t>Note</w:t>
      </w:r>
      <w:r w:rsidR="009642E8" w:rsidRPr="0018386D">
        <w:rPr>
          <w:b/>
          <w:bCs/>
        </w:rPr>
        <w:t>:</w:t>
      </w:r>
      <w:r w:rsidR="009642E8" w:rsidRPr="0018386D">
        <w:t xml:space="preserve"> T</w:t>
      </w:r>
      <w:r w:rsidRPr="0018386D">
        <w:t xml:space="preserve">hese numbers are rounded to three </w:t>
      </w:r>
      <w:r w:rsidR="002011A6" w:rsidRPr="0018386D">
        <w:t xml:space="preserve">decimal places </w:t>
      </w:r>
      <w:r w:rsidRPr="0018386D">
        <w:t xml:space="preserve">unless the number is significantly small. </w:t>
      </w:r>
    </w:p>
    <w:p w14:paraId="25B65442" w14:textId="244BEAE9" w:rsidR="00162E96" w:rsidRPr="0018386D" w:rsidRDefault="00EB4389" w:rsidP="00DD3106">
      <w:pPr>
        <w:pStyle w:val="Tableheading"/>
      </w:pPr>
      <w:bookmarkStart w:id="612" w:name="_Toc111536660"/>
      <w:bookmarkStart w:id="613" w:name="_Toc140048988"/>
      <w:r w:rsidRPr="0018386D">
        <w:t xml:space="preserve">Table </w:t>
      </w:r>
      <w:r w:rsidRPr="0018386D">
        <w:fldChar w:fldCharType="begin"/>
      </w:r>
      <w:r w:rsidRPr="0018386D">
        <w:instrText>SEQ Table \* ARABIC</w:instrText>
      </w:r>
      <w:r w:rsidRPr="0018386D">
        <w:fldChar w:fldCharType="separate"/>
      </w:r>
      <w:r w:rsidR="00330460" w:rsidRPr="0018386D">
        <w:rPr>
          <w:noProof/>
        </w:rPr>
        <w:t>48</w:t>
      </w:r>
      <w:r w:rsidRPr="0018386D">
        <w:fldChar w:fldCharType="end"/>
      </w:r>
      <w:r w:rsidR="00634642" w:rsidRPr="0018386D">
        <w:t>:</w:t>
      </w:r>
      <w:r w:rsidRPr="0018386D">
        <w:tab/>
      </w:r>
      <w:r w:rsidR="00EF0D1A" w:rsidRPr="0018386D">
        <w:t>Default light commercial vehicle values (based on pre</w:t>
      </w:r>
      <w:r w:rsidR="005B2EC6" w:rsidRPr="0018386D">
        <w:t>-</w:t>
      </w:r>
      <w:r w:rsidR="00EF0D1A" w:rsidRPr="0018386D">
        <w:t xml:space="preserve">2010 fleet </w:t>
      </w:r>
      <w:r w:rsidR="005F76DB" w:rsidRPr="0018386D">
        <w:br/>
      </w:r>
      <w:r w:rsidR="00EF0D1A" w:rsidRPr="0018386D">
        <w:t>and a 2000</w:t>
      </w:r>
      <w:r w:rsidR="005B2EC6" w:rsidRPr="0018386D">
        <w:t>–</w:t>
      </w:r>
      <w:r w:rsidR="00EF0D1A" w:rsidRPr="0018386D">
        <w:t>3000</w:t>
      </w:r>
      <w:r w:rsidR="00760CDF" w:rsidRPr="0018386D">
        <w:t xml:space="preserve"> </w:t>
      </w:r>
      <w:r w:rsidR="00EF0D1A" w:rsidRPr="0018386D">
        <w:t>cc</w:t>
      </w:r>
      <w:r w:rsidR="002B687C" w:rsidRPr="0018386D">
        <w:t> </w:t>
      </w:r>
      <w:r w:rsidR="00EF0D1A" w:rsidRPr="0018386D">
        <w:t>engine size)</w:t>
      </w:r>
      <w:bookmarkEnd w:id="612"/>
      <w:bookmarkEnd w:id="613"/>
    </w:p>
    <w:tbl>
      <w:tblPr>
        <w:tblStyle w:val="LightList-Accent11"/>
        <w:tblW w:w="8505" w:type="dxa"/>
        <w:tblLayout w:type="fixed"/>
        <w:tblLook w:val="04A0" w:firstRow="1" w:lastRow="0" w:firstColumn="1" w:lastColumn="0" w:noHBand="0" w:noVBand="1"/>
      </w:tblPr>
      <w:tblGrid>
        <w:gridCol w:w="1436"/>
        <w:gridCol w:w="575"/>
        <w:gridCol w:w="1322"/>
        <w:gridCol w:w="1724"/>
        <w:gridCol w:w="1724"/>
        <w:gridCol w:w="1724"/>
      </w:tblGrid>
      <w:tr w:rsidR="00167E06" w:rsidRPr="0018386D" w14:paraId="185B6A97" w14:textId="77777777" w:rsidTr="00C87FF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tcBorders>
              <w:bottom w:val="single" w:sz="8" w:space="0" w:color="1C556C" w:themeColor="accent1"/>
            </w:tcBorders>
            <w:shd w:val="clear" w:color="auto" w:fill="1B556B" w:themeFill="text2"/>
            <w:noWrap/>
            <w:vAlign w:val="bottom"/>
            <w:hideMark/>
          </w:tcPr>
          <w:p w14:paraId="3E2CFE90" w14:textId="77777777" w:rsidR="00A27510" w:rsidRPr="0018386D" w:rsidRDefault="00A27510" w:rsidP="00DD3106">
            <w:pPr>
              <w:pStyle w:val="TableText"/>
              <w:spacing w:before="30" w:after="30"/>
            </w:pPr>
            <w:r w:rsidRPr="0018386D">
              <w:t>Emission source</w:t>
            </w:r>
          </w:p>
        </w:tc>
        <w:tc>
          <w:tcPr>
            <w:tcW w:w="567" w:type="dxa"/>
            <w:shd w:val="clear" w:color="auto" w:fill="1B556B" w:themeFill="text2"/>
            <w:noWrap/>
            <w:vAlign w:val="bottom"/>
            <w:hideMark/>
          </w:tcPr>
          <w:p w14:paraId="5F2E9EF2" w14:textId="77777777" w:rsidR="00A27510" w:rsidRPr="0018386D" w:rsidRDefault="00A27510" w:rsidP="00DD3106">
            <w:pPr>
              <w:pStyle w:val="TableText"/>
              <w:spacing w:before="30" w:after="30"/>
              <w:cnfStyle w:val="100000000000" w:firstRow="1" w:lastRow="0" w:firstColumn="0" w:lastColumn="0" w:oddVBand="0" w:evenVBand="0" w:oddHBand="0" w:evenHBand="0" w:firstRowFirstColumn="0" w:firstRowLastColumn="0" w:lastRowFirstColumn="0" w:lastRowLastColumn="0"/>
            </w:pPr>
            <w:r w:rsidRPr="0018386D">
              <w:t>Unit</w:t>
            </w:r>
          </w:p>
        </w:tc>
        <w:tc>
          <w:tcPr>
            <w:tcW w:w="1304" w:type="dxa"/>
            <w:shd w:val="clear" w:color="auto" w:fill="1B556B" w:themeFill="text2"/>
            <w:noWrap/>
            <w:vAlign w:val="bottom"/>
            <w:hideMark/>
          </w:tcPr>
          <w:p w14:paraId="1A949271" w14:textId="504E4255" w:rsidR="00A27510" w:rsidRPr="0018386D" w:rsidRDefault="00A27510" w:rsidP="00DD3106">
            <w:pPr>
              <w:pStyle w:val="TableText"/>
              <w:spacing w:before="30" w:after="30"/>
              <w:cnfStyle w:val="100000000000" w:firstRow="1" w:lastRow="0" w:firstColumn="0" w:lastColumn="0" w:oddVBand="0" w:evenVBand="0" w:oddHBand="0" w:evenHBand="0" w:firstRowFirstColumn="0" w:firstRowLastColumn="0" w:lastRowFirstColumn="0" w:lastRowLastColumn="0"/>
            </w:pPr>
            <w:r w:rsidRPr="0018386D">
              <w:t>kg CO</w:t>
            </w:r>
            <w:r w:rsidRPr="0018386D">
              <w:rPr>
                <w:vertAlign w:val="subscript"/>
              </w:rPr>
              <w:t>2</w:t>
            </w:r>
            <w:r w:rsidRPr="0018386D">
              <w:t>-e/unit</w:t>
            </w:r>
          </w:p>
        </w:tc>
        <w:tc>
          <w:tcPr>
            <w:tcW w:w="1701" w:type="dxa"/>
            <w:shd w:val="clear" w:color="auto" w:fill="1B556B" w:themeFill="text2"/>
            <w:noWrap/>
            <w:vAlign w:val="bottom"/>
            <w:hideMark/>
          </w:tcPr>
          <w:p w14:paraId="50C2BB70" w14:textId="21E8D950" w:rsidR="00A27510" w:rsidRPr="0018386D" w:rsidRDefault="00A27510" w:rsidP="00DD3106">
            <w:pPr>
              <w:pStyle w:val="TableText"/>
              <w:spacing w:before="30" w:after="30"/>
              <w:cnfStyle w:val="100000000000" w:firstRow="1" w:lastRow="0" w:firstColumn="0" w:lastColumn="0" w:oddVBand="0" w:evenVBand="0" w:oddHBand="0" w:evenHBand="0" w:firstRowFirstColumn="0" w:firstRowLastColumn="0" w:lastRowFirstColumn="0" w:lastRowLastColumn="0"/>
            </w:pPr>
            <w:r w:rsidRPr="0018386D">
              <w:t>CO</w:t>
            </w:r>
            <w:r w:rsidRPr="0018386D">
              <w:rPr>
                <w:vertAlign w:val="subscript"/>
              </w:rPr>
              <w:t>2</w:t>
            </w:r>
            <w:r w:rsidRPr="0018386D">
              <w:t xml:space="preserve"> (kg CO</w:t>
            </w:r>
            <w:r w:rsidRPr="0018386D">
              <w:rPr>
                <w:vertAlign w:val="subscript"/>
              </w:rPr>
              <w:t>2</w:t>
            </w:r>
            <w:r w:rsidRPr="0018386D">
              <w:noBreakHyphen/>
              <w:t>e/unit)</w:t>
            </w:r>
          </w:p>
        </w:tc>
        <w:tc>
          <w:tcPr>
            <w:tcW w:w="1701" w:type="dxa"/>
            <w:shd w:val="clear" w:color="auto" w:fill="1B556B" w:themeFill="text2"/>
            <w:noWrap/>
            <w:vAlign w:val="bottom"/>
            <w:hideMark/>
          </w:tcPr>
          <w:p w14:paraId="599D8EFA" w14:textId="0CCAB7D1" w:rsidR="00A27510" w:rsidRPr="0018386D" w:rsidRDefault="00A27510" w:rsidP="00DD3106">
            <w:pPr>
              <w:pStyle w:val="TableText"/>
              <w:spacing w:before="30" w:after="30"/>
              <w:cnfStyle w:val="100000000000" w:firstRow="1" w:lastRow="0" w:firstColumn="0" w:lastColumn="0" w:oddVBand="0" w:evenVBand="0" w:oddHBand="0" w:evenHBand="0" w:firstRowFirstColumn="0" w:firstRowLastColumn="0" w:lastRowFirstColumn="0" w:lastRowLastColumn="0"/>
            </w:pPr>
            <w:r w:rsidRPr="0018386D">
              <w:t>CH</w:t>
            </w:r>
            <w:r w:rsidRPr="0018386D">
              <w:rPr>
                <w:vertAlign w:val="subscript"/>
              </w:rPr>
              <w:t>4</w:t>
            </w:r>
            <w:r w:rsidRPr="0018386D">
              <w:t xml:space="preserve"> (kg CO</w:t>
            </w:r>
            <w:r w:rsidRPr="0018386D">
              <w:rPr>
                <w:vertAlign w:val="subscript"/>
              </w:rPr>
              <w:t>2</w:t>
            </w:r>
            <w:r w:rsidRPr="0018386D">
              <w:t>-e/unit)</w:t>
            </w:r>
          </w:p>
        </w:tc>
        <w:tc>
          <w:tcPr>
            <w:tcW w:w="1701" w:type="dxa"/>
            <w:tcBorders>
              <w:bottom w:val="single" w:sz="8" w:space="0" w:color="1C556C" w:themeColor="accent1"/>
            </w:tcBorders>
            <w:shd w:val="clear" w:color="auto" w:fill="1B556B" w:themeFill="text2"/>
            <w:noWrap/>
            <w:vAlign w:val="bottom"/>
            <w:hideMark/>
          </w:tcPr>
          <w:p w14:paraId="0C82FE1E" w14:textId="3087BEA2" w:rsidR="00A27510" w:rsidRPr="0018386D" w:rsidRDefault="00A27510" w:rsidP="00DD3106">
            <w:pPr>
              <w:pStyle w:val="TableText"/>
              <w:spacing w:before="30" w:after="30"/>
              <w:cnfStyle w:val="100000000000" w:firstRow="1" w:lastRow="0" w:firstColumn="0" w:lastColumn="0" w:oddVBand="0" w:evenVBand="0" w:oddHBand="0" w:evenHBand="0" w:firstRowFirstColumn="0" w:firstRowLastColumn="0" w:lastRowFirstColumn="0" w:lastRowLastColumn="0"/>
            </w:pPr>
            <w:r w:rsidRPr="0018386D">
              <w:t>N</w:t>
            </w:r>
            <w:r w:rsidRPr="0018386D">
              <w:rPr>
                <w:vertAlign w:val="subscript"/>
              </w:rPr>
              <w:t>2</w:t>
            </w:r>
            <w:r w:rsidRPr="0018386D">
              <w:t>O (kg CO</w:t>
            </w:r>
            <w:r w:rsidRPr="0018386D">
              <w:rPr>
                <w:vertAlign w:val="subscript"/>
              </w:rPr>
              <w:t>2</w:t>
            </w:r>
            <w:r w:rsidRPr="0018386D">
              <w:t>-e/unit)</w:t>
            </w:r>
          </w:p>
        </w:tc>
      </w:tr>
      <w:tr w:rsidR="00167E06" w:rsidRPr="0018386D" w14:paraId="3052636E"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0614E459" w14:textId="684AB475" w:rsidR="00766086" w:rsidRPr="0018386D" w:rsidRDefault="00766086" w:rsidP="00DD3106">
            <w:pPr>
              <w:pStyle w:val="TableText"/>
              <w:spacing w:before="30" w:after="30"/>
              <w:rPr>
                <w:b w:val="0"/>
                <w:szCs w:val="18"/>
              </w:rPr>
            </w:pPr>
            <w:r w:rsidRPr="0018386D">
              <w:rPr>
                <w:b w:val="0"/>
                <w:szCs w:val="18"/>
              </w:rPr>
              <w:t>Petrol</w:t>
            </w:r>
          </w:p>
        </w:tc>
        <w:tc>
          <w:tcPr>
            <w:tcW w:w="567" w:type="dxa"/>
            <w:noWrap/>
          </w:tcPr>
          <w:p w14:paraId="6A88D45D" w14:textId="2BF7CD4D" w:rsidR="00766086" w:rsidRPr="0018386D" w:rsidRDefault="0076608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km</w:t>
            </w:r>
          </w:p>
        </w:tc>
        <w:tc>
          <w:tcPr>
            <w:tcW w:w="1304" w:type="dxa"/>
            <w:shd w:val="clear" w:color="auto" w:fill="D2DDE1" w:themeFill="background2"/>
            <w:noWrap/>
          </w:tcPr>
          <w:p w14:paraId="1E47F02B" w14:textId="7AECE1DD"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0.31</w:t>
            </w:r>
            <w:r w:rsidR="00234296" w:rsidRPr="0018386D">
              <w:t>7</w:t>
            </w:r>
          </w:p>
        </w:tc>
        <w:tc>
          <w:tcPr>
            <w:tcW w:w="1701" w:type="dxa"/>
            <w:shd w:val="clear" w:color="000000" w:fill="FFFFFF"/>
            <w:noWrap/>
          </w:tcPr>
          <w:p w14:paraId="48D5692D" w14:textId="015E8FDD"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0.30</w:t>
            </w:r>
            <w:r w:rsidR="00F70A03" w:rsidRPr="0018386D">
              <w:t>4</w:t>
            </w:r>
          </w:p>
        </w:tc>
        <w:tc>
          <w:tcPr>
            <w:tcW w:w="1701" w:type="dxa"/>
            <w:shd w:val="clear" w:color="000000" w:fill="FFFFFF"/>
            <w:noWrap/>
          </w:tcPr>
          <w:p w14:paraId="3E30CF18" w14:textId="1A58E2AF"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0.004</w:t>
            </w:r>
          </w:p>
        </w:tc>
        <w:tc>
          <w:tcPr>
            <w:tcW w:w="1701" w:type="dxa"/>
            <w:tcBorders>
              <w:right w:val="nil"/>
            </w:tcBorders>
            <w:shd w:val="clear" w:color="000000" w:fill="FFFFFF"/>
            <w:noWrap/>
          </w:tcPr>
          <w:p w14:paraId="7185AD33" w14:textId="0CDF75C1"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0.009</w:t>
            </w:r>
          </w:p>
        </w:tc>
      </w:tr>
      <w:tr w:rsidR="00167E06" w:rsidRPr="0018386D" w14:paraId="60A1F007"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1C556C" w:themeColor="accent1"/>
              <w:left w:val="nil"/>
              <w:bottom w:val="single" w:sz="8" w:space="0" w:color="1C556C" w:themeColor="accent1"/>
            </w:tcBorders>
          </w:tcPr>
          <w:p w14:paraId="312DC0D1" w14:textId="72B58527" w:rsidR="00766086" w:rsidRPr="0018386D" w:rsidRDefault="00766086" w:rsidP="00DD3106">
            <w:pPr>
              <w:pStyle w:val="TableText"/>
              <w:spacing w:before="30" w:after="30"/>
              <w:rPr>
                <w:b w:val="0"/>
                <w:szCs w:val="18"/>
              </w:rPr>
            </w:pPr>
            <w:r w:rsidRPr="0018386D">
              <w:rPr>
                <w:b w:val="0"/>
                <w:szCs w:val="18"/>
              </w:rPr>
              <w:t>Diesel</w:t>
            </w:r>
          </w:p>
        </w:tc>
        <w:tc>
          <w:tcPr>
            <w:tcW w:w="567" w:type="dxa"/>
            <w:noWrap/>
          </w:tcPr>
          <w:p w14:paraId="434AD67C" w14:textId="22E2A351" w:rsidR="00766086" w:rsidRPr="0018386D" w:rsidRDefault="0076608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km</w:t>
            </w:r>
          </w:p>
        </w:tc>
        <w:tc>
          <w:tcPr>
            <w:tcW w:w="1304" w:type="dxa"/>
            <w:shd w:val="clear" w:color="auto" w:fill="D2DDE1" w:themeFill="background2"/>
            <w:noWrap/>
          </w:tcPr>
          <w:p w14:paraId="2913349B" w14:textId="6D461E52"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0.29</w:t>
            </w:r>
            <w:r w:rsidR="00234296" w:rsidRPr="0018386D">
              <w:t>8</w:t>
            </w:r>
          </w:p>
        </w:tc>
        <w:tc>
          <w:tcPr>
            <w:tcW w:w="1701" w:type="dxa"/>
            <w:shd w:val="clear" w:color="000000" w:fill="FFFFFF"/>
            <w:noWrap/>
          </w:tcPr>
          <w:p w14:paraId="60D5E4D0" w14:textId="45823FBA"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0.29</w:t>
            </w:r>
            <w:r w:rsidR="00E453C8" w:rsidRPr="0018386D">
              <w:t>4</w:t>
            </w:r>
          </w:p>
        </w:tc>
        <w:tc>
          <w:tcPr>
            <w:tcW w:w="1701" w:type="dxa"/>
            <w:shd w:val="clear" w:color="000000" w:fill="FFFFFF"/>
            <w:noWrap/>
          </w:tcPr>
          <w:p w14:paraId="08B7FCD9" w14:textId="073A0C53"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0.000</w:t>
            </w:r>
          </w:p>
        </w:tc>
        <w:tc>
          <w:tcPr>
            <w:tcW w:w="1701" w:type="dxa"/>
            <w:tcBorders>
              <w:top w:val="single" w:sz="8" w:space="0" w:color="1C556C" w:themeColor="accent1"/>
              <w:bottom w:val="single" w:sz="8" w:space="0" w:color="1C556C" w:themeColor="accent1"/>
              <w:right w:val="nil"/>
            </w:tcBorders>
            <w:shd w:val="clear" w:color="000000" w:fill="FFFFFF"/>
            <w:noWrap/>
          </w:tcPr>
          <w:p w14:paraId="156BB8EC" w14:textId="58F77955"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0.004</w:t>
            </w:r>
          </w:p>
        </w:tc>
      </w:tr>
      <w:tr w:rsidR="00167E06" w:rsidRPr="0018386D" w14:paraId="6BCE5114"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310EC10B" w14:textId="57A84B0A" w:rsidR="00766086" w:rsidRPr="0018386D" w:rsidRDefault="00766086" w:rsidP="00DD3106">
            <w:pPr>
              <w:pStyle w:val="TableText"/>
              <w:spacing w:before="30" w:after="30"/>
              <w:rPr>
                <w:b w:val="0"/>
                <w:szCs w:val="18"/>
              </w:rPr>
            </w:pPr>
            <w:r w:rsidRPr="0018386D">
              <w:rPr>
                <w:b w:val="0"/>
                <w:szCs w:val="18"/>
              </w:rPr>
              <w:t>Petrol hybrid</w:t>
            </w:r>
          </w:p>
        </w:tc>
        <w:tc>
          <w:tcPr>
            <w:tcW w:w="567" w:type="dxa"/>
            <w:noWrap/>
          </w:tcPr>
          <w:p w14:paraId="1E10865C" w14:textId="79B4AC63" w:rsidR="00766086" w:rsidRPr="0018386D" w:rsidRDefault="0076608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szCs w:val="18"/>
              </w:rPr>
            </w:pPr>
            <w:r w:rsidRPr="0018386D">
              <w:rPr>
                <w:szCs w:val="18"/>
              </w:rPr>
              <w:t>km</w:t>
            </w:r>
          </w:p>
        </w:tc>
        <w:tc>
          <w:tcPr>
            <w:tcW w:w="1304" w:type="dxa"/>
            <w:shd w:val="clear" w:color="auto" w:fill="D2DDE1" w:themeFill="background2"/>
            <w:noWrap/>
          </w:tcPr>
          <w:p w14:paraId="7AFF3635" w14:textId="05B13BC7"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0.250</w:t>
            </w:r>
          </w:p>
        </w:tc>
        <w:tc>
          <w:tcPr>
            <w:tcW w:w="1701" w:type="dxa"/>
            <w:shd w:val="clear" w:color="000000" w:fill="FFFFFF"/>
            <w:noWrap/>
          </w:tcPr>
          <w:p w14:paraId="2BCF97B3" w14:textId="3FB2FE78"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0.2</w:t>
            </w:r>
            <w:r w:rsidR="00E453C8" w:rsidRPr="0018386D">
              <w:t>40</w:t>
            </w:r>
          </w:p>
        </w:tc>
        <w:tc>
          <w:tcPr>
            <w:tcW w:w="1701" w:type="dxa"/>
            <w:shd w:val="clear" w:color="000000" w:fill="FFFFFF"/>
            <w:noWrap/>
          </w:tcPr>
          <w:p w14:paraId="55FB7F06" w14:textId="1DF1882C"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0.003</w:t>
            </w:r>
          </w:p>
        </w:tc>
        <w:tc>
          <w:tcPr>
            <w:tcW w:w="1701" w:type="dxa"/>
            <w:tcBorders>
              <w:right w:val="nil"/>
            </w:tcBorders>
            <w:shd w:val="clear" w:color="000000" w:fill="FFFFFF"/>
            <w:noWrap/>
          </w:tcPr>
          <w:p w14:paraId="2C44F095" w14:textId="28F6A006" w:rsidR="00766086" w:rsidRPr="0018386D" w:rsidRDefault="00766086"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szCs w:val="18"/>
              </w:rPr>
            </w:pPr>
            <w:r w:rsidRPr="0018386D">
              <w:t>0.007</w:t>
            </w:r>
          </w:p>
        </w:tc>
      </w:tr>
      <w:tr w:rsidR="00167E06" w:rsidRPr="0018386D" w14:paraId="4F9DB8E7"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1C556C" w:themeColor="accent1"/>
              <w:left w:val="nil"/>
            </w:tcBorders>
          </w:tcPr>
          <w:p w14:paraId="3721C1DD" w14:textId="6B5FCE30" w:rsidR="00766086" w:rsidRPr="0018386D" w:rsidRDefault="00766086" w:rsidP="00DD3106">
            <w:pPr>
              <w:pStyle w:val="TableText"/>
              <w:spacing w:before="30" w:after="30"/>
              <w:rPr>
                <w:b w:val="0"/>
                <w:szCs w:val="18"/>
              </w:rPr>
            </w:pPr>
            <w:r w:rsidRPr="0018386D">
              <w:rPr>
                <w:b w:val="0"/>
                <w:szCs w:val="18"/>
              </w:rPr>
              <w:t>Diesel hybrid</w:t>
            </w:r>
          </w:p>
        </w:tc>
        <w:tc>
          <w:tcPr>
            <w:tcW w:w="567" w:type="dxa"/>
            <w:noWrap/>
          </w:tcPr>
          <w:p w14:paraId="25171859" w14:textId="584FF575" w:rsidR="00766086" w:rsidRPr="0018386D" w:rsidRDefault="0076608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szCs w:val="18"/>
              </w:rPr>
            </w:pPr>
            <w:r w:rsidRPr="0018386D">
              <w:rPr>
                <w:szCs w:val="18"/>
              </w:rPr>
              <w:t>km</w:t>
            </w:r>
          </w:p>
        </w:tc>
        <w:tc>
          <w:tcPr>
            <w:tcW w:w="1304" w:type="dxa"/>
            <w:shd w:val="clear" w:color="auto" w:fill="D2DDE1" w:themeFill="background2"/>
            <w:noWrap/>
          </w:tcPr>
          <w:p w14:paraId="020DD8BD" w14:textId="17F66F28"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0.26</w:t>
            </w:r>
            <w:r w:rsidR="00234296" w:rsidRPr="0018386D">
              <w:t>7</w:t>
            </w:r>
          </w:p>
        </w:tc>
        <w:tc>
          <w:tcPr>
            <w:tcW w:w="1701" w:type="dxa"/>
            <w:shd w:val="clear" w:color="000000" w:fill="FFFFFF"/>
            <w:noWrap/>
          </w:tcPr>
          <w:p w14:paraId="68408C4C" w14:textId="53898DD7"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0.26</w:t>
            </w:r>
            <w:r w:rsidR="00E453C8" w:rsidRPr="0018386D">
              <w:t>3</w:t>
            </w:r>
          </w:p>
        </w:tc>
        <w:tc>
          <w:tcPr>
            <w:tcW w:w="1701" w:type="dxa"/>
            <w:shd w:val="clear" w:color="000000" w:fill="FFFFFF"/>
            <w:noWrap/>
          </w:tcPr>
          <w:p w14:paraId="0F531DF3" w14:textId="1865E079"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0.000</w:t>
            </w:r>
          </w:p>
        </w:tc>
        <w:tc>
          <w:tcPr>
            <w:tcW w:w="1701" w:type="dxa"/>
            <w:tcBorders>
              <w:top w:val="single" w:sz="8" w:space="0" w:color="1C556C" w:themeColor="accent1"/>
              <w:right w:val="nil"/>
            </w:tcBorders>
            <w:shd w:val="clear" w:color="000000" w:fill="FFFFFF"/>
            <w:noWrap/>
          </w:tcPr>
          <w:p w14:paraId="02B0B1B2" w14:textId="7CE89EC6" w:rsidR="00766086" w:rsidRPr="0018386D" w:rsidRDefault="00766086"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szCs w:val="18"/>
              </w:rPr>
            </w:pPr>
            <w:r w:rsidRPr="0018386D">
              <w:t>0.004</w:t>
            </w:r>
          </w:p>
        </w:tc>
      </w:tr>
    </w:tbl>
    <w:p w14:paraId="27EDF476" w14:textId="3BD7BA25" w:rsidR="00DA1BB8" w:rsidRPr="0018386D" w:rsidRDefault="005B2EC6" w:rsidP="00DD3106">
      <w:pPr>
        <w:pStyle w:val="Note"/>
      </w:pPr>
      <w:r w:rsidRPr="0018386D">
        <w:rPr>
          <w:b/>
          <w:bCs/>
        </w:rPr>
        <w:t>Note</w:t>
      </w:r>
      <w:r w:rsidR="009642E8" w:rsidRPr="0018386D">
        <w:rPr>
          <w:b/>
          <w:bCs/>
        </w:rPr>
        <w:t>:</w:t>
      </w:r>
      <w:r w:rsidR="009642E8" w:rsidRPr="0018386D">
        <w:t xml:space="preserve"> T</w:t>
      </w:r>
      <w:r w:rsidRPr="0018386D">
        <w:t xml:space="preserve">hese numbers are rounded to three </w:t>
      </w:r>
      <w:r w:rsidR="002011A6" w:rsidRPr="0018386D">
        <w:t xml:space="preserve">decimal places </w:t>
      </w:r>
      <w:r w:rsidRPr="0018386D">
        <w:t xml:space="preserve">unless the number is significantly small. </w:t>
      </w:r>
      <w:bookmarkStart w:id="614" w:name="_Toc532904919"/>
    </w:p>
    <w:p w14:paraId="14D7CB29" w14:textId="0F681290" w:rsidR="008A00C8" w:rsidRPr="0018386D" w:rsidRDefault="004863A6" w:rsidP="00DD3106">
      <w:pPr>
        <w:pStyle w:val="Heading3"/>
        <w:numPr>
          <w:ilvl w:val="2"/>
          <w:numId w:val="8"/>
        </w:numPr>
        <w:spacing w:before="240"/>
      </w:pPr>
      <w:r w:rsidRPr="0018386D">
        <w:t>Heavy goods vehicles emission factors</w:t>
      </w:r>
      <w:bookmarkEnd w:id="614"/>
      <w:r w:rsidRPr="0018386D">
        <w:t xml:space="preserve"> </w:t>
      </w:r>
    </w:p>
    <w:p w14:paraId="0A953F77" w14:textId="53B51D88" w:rsidR="006F7AF9" w:rsidRPr="0018386D" w:rsidRDefault="00C7627E" w:rsidP="00DD3106">
      <w:pPr>
        <w:pStyle w:val="BodyText"/>
      </w:pPr>
      <w:hyperlink w:anchor="Table49">
        <w:r w:rsidR="006F7AF9" w:rsidRPr="0018386D">
          <w:rPr>
            <w:rStyle w:val="Hyperlink"/>
          </w:rPr>
          <w:t xml:space="preserve">Table </w:t>
        </w:r>
        <w:r w:rsidR="004252F3" w:rsidRPr="0018386D">
          <w:rPr>
            <w:rStyle w:val="Hyperlink"/>
          </w:rPr>
          <w:t>49</w:t>
        </w:r>
      </w:hyperlink>
      <w:r w:rsidR="006F7AF9" w:rsidRPr="0018386D">
        <w:t xml:space="preserve"> contains the default emission factors for heavy goods vehicles, based on a pre-2010 fleet</w:t>
      </w:r>
      <w:r w:rsidR="002D111B" w:rsidRPr="0018386D">
        <w:t>.</w:t>
      </w:r>
    </w:p>
    <w:p w14:paraId="3A22B45C" w14:textId="6A98066F" w:rsidR="008E2ED2" w:rsidRPr="0018386D" w:rsidRDefault="00EB4389" w:rsidP="00DD3106">
      <w:pPr>
        <w:pStyle w:val="Tableheading"/>
        <w:rPr>
          <w:rFonts w:asciiTheme="minorHAnsi" w:hAnsiTheme="minorHAnsi"/>
        </w:rPr>
      </w:pPr>
      <w:bookmarkStart w:id="615" w:name="Table49"/>
      <w:bookmarkStart w:id="616" w:name="_Toc111536661"/>
      <w:bookmarkStart w:id="617" w:name="_Toc140048989"/>
      <w:r w:rsidRPr="0018386D">
        <w:t xml:space="preserve">Table </w:t>
      </w:r>
      <w:r w:rsidRPr="0018386D">
        <w:fldChar w:fldCharType="begin"/>
      </w:r>
      <w:r w:rsidRPr="0018386D">
        <w:instrText>SEQ Table \* ARABIC</w:instrText>
      </w:r>
      <w:r w:rsidRPr="0018386D">
        <w:fldChar w:fldCharType="separate"/>
      </w:r>
      <w:r w:rsidR="00634642" w:rsidRPr="0018386D">
        <w:rPr>
          <w:noProof/>
        </w:rPr>
        <w:t>49</w:t>
      </w:r>
      <w:r w:rsidRPr="0018386D">
        <w:fldChar w:fldCharType="end"/>
      </w:r>
      <w:bookmarkEnd w:id="615"/>
      <w:r w:rsidRPr="0018386D">
        <w:t>:</w:t>
      </w:r>
      <w:r w:rsidRPr="0018386D">
        <w:tab/>
      </w:r>
      <w:r w:rsidR="007B2666" w:rsidRPr="0018386D">
        <w:t>Emission factors for heavy goods vehicles manufactured pre</w:t>
      </w:r>
      <w:r w:rsidR="00EF2882" w:rsidRPr="0018386D">
        <w:t>-</w:t>
      </w:r>
      <w:proofErr w:type="gramStart"/>
      <w:r w:rsidR="007B2666" w:rsidRPr="0018386D">
        <w:t>2010</w:t>
      </w:r>
      <w:bookmarkStart w:id="618" w:name="_1746366850"/>
      <w:bookmarkStart w:id="619" w:name="_1745997852"/>
      <w:bookmarkStart w:id="620" w:name="_1746254083"/>
      <w:bookmarkStart w:id="621" w:name="_1747051278"/>
      <w:bookmarkEnd w:id="616"/>
      <w:bookmarkEnd w:id="617"/>
      <w:bookmarkEnd w:id="618"/>
      <w:bookmarkEnd w:id="619"/>
      <w:bookmarkEnd w:id="620"/>
      <w:bookmarkEnd w:id="621"/>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414"/>
        <w:gridCol w:w="1518"/>
        <w:gridCol w:w="533"/>
        <w:gridCol w:w="1260"/>
        <w:gridCol w:w="1260"/>
        <w:gridCol w:w="1260"/>
        <w:gridCol w:w="1260"/>
      </w:tblGrid>
      <w:tr w:rsidR="00D907BD" w:rsidRPr="0018386D" w14:paraId="14BD3986" w14:textId="77777777" w:rsidTr="00AC3D0F">
        <w:trPr>
          <w:divId w:val="1626161459"/>
          <w:trHeight w:val="240"/>
        </w:trPr>
        <w:tc>
          <w:tcPr>
            <w:tcW w:w="1531" w:type="dxa"/>
            <w:tcBorders>
              <w:bottom w:val="nil"/>
            </w:tcBorders>
            <w:shd w:val="clear" w:color="000000" w:fill="1B556B" w:themeFill="text2"/>
            <w:noWrap/>
            <w:vAlign w:val="bottom"/>
            <w:hideMark/>
          </w:tcPr>
          <w:p w14:paraId="6049B759" w14:textId="512601DF" w:rsidR="008E2ED2" w:rsidRPr="0018386D" w:rsidRDefault="008E2ED2" w:rsidP="00DD3106">
            <w:pPr>
              <w:pStyle w:val="TableTextbold"/>
              <w:spacing w:before="30" w:after="30"/>
              <w:rPr>
                <w:color w:val="FFFFFF" w:themeColor="background1"/>
              </w:rPr>
            </w:pPr>
            <w:r w:rsidRPr="0018386D">
              <w:rPr>
                <w:color w:val="FFFFFF" w:themeColor="background1"/>
              </w:rPr>
              <w:t>Emission source</w:t>
            </w:r>
          </w:p>
        </w:tc>
        <w:tc>
          <w:tcPr>
            <w:tcW w:w="1644" w:type="dxa"/>
            <w:shd w:val="clear" w:color="000000" w:fill="1B556B" w:themeFill="text2"/>
            <w:noWrap/>
            <w:vAlign w:val="bottom"/>
            <w:hideMark/>
          </w:tcPr>
          <w:p w14:paraId="070BA841" w14:textId="77777777" w:rsidR="008E2ED2" w:rsidRPr="0018386D" w:rsidRDefault="008E2ED2" w:rsidP="00DD3106">
            <w:pPr>
              <w:pStyle w:val="TableTextbold"/>
              <w:spacing w:before="30" w:after="30"/>
              <w:rPr>
                <w:color w:val="FFFFFF" w:themeColor="background1"/>
              </w:rPr>
            </w:pPr>
            <w:r w:rsidRPr="0018386D">
              <w:rPr>
                <w:color w:val="FFFFFF" w:themeColor="background1"/>
              </w:rPr>
              <w:t> </w:t>
            </w:r>
          </w:p>
        </w:tc>
        <w:tc>
          <w:tcPr>
            <w:tcW w:w="567" w:type="dxa"/>
            <w:shd w:val="clear" w:color="000000" w:fill="1B556B" w:themeFill="text2"/>
            <w:noWrap/>
            <w:vAlign w:val="bottom"/>
            <w:hideMark/>
          </w:tcPr>
          <w:p w14:paraId="65426DB3"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361" w:type="dxa"/>
            <w:shd w:val="clear" w:color="000000" w:fill="1B556B" w:themeFill="text2"/>
            <w:noWrap/>
            <w:vAlign w:val="bottom"/>
            <w:hideMark/>
          </w:tcPr>
          <w:p w14:paraId="40774CAF" w14:textId="5A84B942"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361" w:type="dxa"/>
            <w:shd w:val="clear" w:color="000000" w:fill="1B556B" w:themeFill="text2"/>
            <w:noWrap/>
            <w:vAlign w:val="bottom"/>
            <w:hideMark/>
          </w:tcPr>
          <w:p w14:paraId="3BC5BB8D" w14:textId="640BEEA3"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w:t>
            </w:r>
            <w:r w:rsidR="00281F59" w:rsidRPr="0018386D">
              <w:rPr>
                <w:color w:val="FFFFFF" w:themeColor="background1"/>
              </w:rPr>
              <w:t xml:space="preserve"> </w:t>
            </w:r>
            <w:r w:rsidRPr="0018386D">
              <w:rPr>
                <w:color w:val="FFFFFF" w:themeColor="background1"/>
              </w:rPr>
              <w:t>unit)</w:t>
            </w:r>
          </w:p>
        </w:tc>
        <w:tc>
          <w:tcPr>
            <w:tcW w:w="1361" w:type="dxa"/>
            <w:shd w:val="clear" w:color="000000" w:fill="1B556B" w:themeFill="text2"/>
            <w:noWrap/>
            <w:vAlign w:val="bottom"/>
            <w:hideMark/>
          </w:tcPr>
          <w:p w14:paraId="2BB8F23B" w14:textId="38CEC299" w:rsidR="008E2ED2" w:rsidRPr="0018386D" w:rsidRDefault="008E2ED2" w:rsidP="00DD3106">
            <w:pPr>
              <w:pStyle w:val="TableTextbold"/>
              <w:spacing w:before="30" w:after="30"/>
              <w:rPr>
                <w:color w:val="FFFFFF" w:themeColor="background1"/>
              </w:rPr>
            </w:pPr>
            <w:r w:rsidRPr="0018386D">
              <w:rPr>
                <w:color w:val="FFFFFF" w:themeColor="background1"/>
              </w:rPr>
              <w:t>CH₄ (kg CO₂-e/</w:t>
            </w:r>
            <w:r w:rsidR="00281F59" w:rsidRPr="0018386D">
              <w:rPr>
                <w:color w:val="FFFFFF" w:themeColor="background1"/>
              </w:rPr>
              <w:t xml:space="preserve"> </w:t>
            </w:r>
            <w:r w:rsidRPr="0018386D">
              <w:rPr>
                <w:color w:val="FFFFFF" w:themeColor="background1"/>
              </w:rPr>
              <w:t>unit)</w:t>
            </w:r>
          </w:p>
        </w:tc>
        <w:tc>
          <w:tcPr>
            <w:tcW w:w="1361" w:type="dxa"/>
            <w:shd w:val="clear" w:color="000000" w:fill="1B556B" w:themeFill="text2"/>
            <w:noWrap/>
            <w:vAlign w:val="bottom"/>
            <w:hideMark/>
          </w:tcPr>
          <w:p w14:paraId="71318B63" w14:textId="6F0C4A2F" w:rsidR="008E2ED2" w:rsidRPr="0018386D" w:rsidRDefault="008E2ED2" w:rsidP="00DD3106">
            <w:pPr>
              <w:pStyle w:val="TableTextbold"/>
              <w:spacing w:before="30" w:after="30"/>
              <w:rPr>
                <w:color w:val="FFFFFF" w:themeColor="background1"/>
              </w:rPr>
            </w:pPr>
            <w:r w:rsidRPr="0018386D">
              <w:rPr>
                <w:color w:val="FFFFFF" w:themeColor="background1"/>
              </w:rPr>
              <w:t>N₂O (kg CO₂-e/</w:t>
            </w:r>
            <w:r w:rsidR="00281F59" w:rsidRPr="0018386D">
              <w:rPr>
                <w:color w:val="FFFFFF" w:themeColor="background1"/>
              </w:rPr>
              <w:t xml:space="preserve"> </w:t>
            </w:r>
            <w:r w:rsidRPr="0018386D">
              <w:rPr>
                <w:color w:val="FFFFFF" w:themeColor="background1"/>
              </w:rPr>
              <w:t>unit)</w:t>
            </w:r>
          </w:p>
        </w:tc>
      </w:tr>
      <w:tr w:rsidR="00D907BD" w:rsidRPr="0018386D" w14:paraId="706B24CD"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3A54742A" w14:textId="77777777" w:rsidR="008E2ED2" w:rsidRPr="0018386D" w:rsidRDefault="008E2ED2" w:rsidP="00DD3106">
            <w:pPr>
              <w:pStyle w:val="TableText"/>
              <w:spacing w:before="30" w:after="30"/>
              <w:rPr>
                <w:szCs w:val="18"/>
              </w:rPr>
            </w:pPr>
            <w:r w:rsidRPr="0018386D">
              <w:rPr>
                <w:szCs w:val="18"/>
              </w:rPr>
              <w:t>HGV diesel</w:t>
            </w:r>
          </w:p>
        </w:tc>
        <w:tc>
          <w:tcPr>
            <w:tcW w:w="1644" w:type="dxa"/>
            <w:tcBorders>
              <w:left w:val="single" w:sz="4" w:space="0" w:color="auto"/>
            </w:tcBorders>
            <w:shd w:val="clear" w:color="000000" w:fill="FFFFFF"/>
            <w:noWrap/>
            <w:hideMark/>
          </w:tcPr>
          <w:p w14:paraId="54F948B9" w14:textId="77777777" w:rsidR="008E2ED2" w:rsidRPr="0018386D" w:rsidRDefault="008E2ED2" w:rsidP="00DD3106">
            <w:pPr>
              <w:pStyle w:val="TableText"/>
              <w:spacing w:before="30" w:after="30"/>
              <w:rPr>
                <w:szCs w:val="18"/>
              </w:rPr>
            </w:pPr>
            <w:r w:rsidRPr="0018386D">
              <w:rPr>
                <w:szCs w:val="18"/>
              </w:rPr>
              <w:t>&lt; 5,000 kg</w:t>
            </w:r>
          </w:p>
        </w:tc>
        <w:tc>
          <w:tcPr>
            <w:tcW w:w="567" w:type="dxa"/>
            <w:shd w:val="clear" w:color="000000" w:fill="FFFFFF"/>
            <w:noWrap/>
            <w:hideMark/>
          </w:tcPr>
          <w:p w14:paraId="7A67B666"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77CD550C" w14:textId="59B2FE25" w:rsidR="008E2ED2" w:rsidRPr="0018386D" w:rsidRDefault="008E2ED2" w:rsidP="00DD3106">
            <w:pPr>
              <w:pStyle w:val="TableText"/>
              <w:spacing w:before="30" w:after="30"/>
              <w:rPr>
                <w:szCs w:val="18"/>
              </w:rPr>
            </w:pPr>
            <w:r w:rsidRPr="0018386D">
              <w:rPr>
                <w:szCs w:val="18"/>
              </w:rPr>
              <w:t>0.450</w:t>
            </w:r>
          </w:p>
        </w:tc>
        <w:tc>
          <w:tcPr>
            <w:tcW w:w="1361" w:type="dxa"/>
            <w:shd w:val="clear" w:color="000000" w:fill="FFFFFF"/>
            <w:noWrap/>
            <w:hideMark/>
          </w:tcPr>
          <w:p w14:paraId="1B44A014" w14:textId="42CCC235" w:rsidR="008E2ED2" w:rsidRPr="0018386D" w:rsidRDefault="008E2ED2" w:rsidP="00DD3106">
            <w:pPr>
              <w:pStyle w:val="TableText"/>
              <w:spacing w:before="30" w:after="30"/>
              <w:rPr>
                <w:szCs w:val="18"/>
              </w:rPr>
            </w:pPr>
            <w:r w:rsidRPr="0018386D">
              <w:rPr>
                <w:szCs w:val="18"/>
              </w:rPr>
              <w:t>0.443</w:t>
            </w:r>
          </w:p>
        </w:tc>
        <w:tc>
          <w:tcPr>
            <w:tcW w:w="1361" w:type="dxa"/>
            <w:shd w:val="clear" w:color="000000" w:fill="FFFFFF"/>
            <w:noWrap/>
            <w:hideMark/>
          </w:tcPr>
          <w:p w14:paraId="32BDD657" w14:textId="44435341" w:rsidR="008E2ED2" w:rsidRPr="0018386D" w:rsidRDefault="008E2ED2" w:rsidP="00DD3106">
            <w:pPr>
              <w:pStyle w:val="TableText"/>
              <w:spacing w:before="30" w:after="30"/>
              <w:rPr>
                <w:szCs w:val="18"/>
              </w:rPr>
            </w:pPr>
            <w:r w:rsidRPr="0018386D">
              <w:rPr>
                <w:szCs w:val="18"/>
              </w:rPr>
              <w:t>0.0007</w:t>
            </w:r>
          </w:p>
        </w:tc>
        <w:tc>
          <w:tcPr>
            <w:tcW w:w="1361" w:type="dxa"/>
            <w:shd w:val="clear" w:color="000000" w:fill="FFFFFF"/>
            <w:noWrap/>
            <w:hideMark/>
          </w:tcPr>
          <w:p w14:paraId="37D48E7D" w14:textId="65DDC2F2" w:rsidR="008E2ED2" w:rsidRPr="0018386D" w:rsidRDefault="008E2ED2" w:rsidP="00DD3106">
            <w:pPr>
              <w:pStyle w:val="TableText"/>
              <w:spacing w:before="30" w:after="30"/>
              <w:rPr>
                <w:szCs w:val="18"/>
              </w:rPr>
            </w:pPr>
            <w:r w:rsidRPr="0018386D">
              <w:rPr>
                <w:szCs w:val="18"/>
              </w:rPr>
              <w:t>0.00626</w:t>
            </w:r>
          </w:p>
        </w:tc>
      </w:tr>
      <w:tr w:rsidR="00D907BD" w:rsidRPr="0018386D" w14:paraId="27FCA4EF"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596FD30B"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32002F87" w14:textId="3B978B64" w:rsidR="008E2ED2" w:rsidRPr="0018386D" w:rsidRDefault="008E2ED2" w:rsidP="00DD3106">
            <w:pPr>
              <w:pStyle w:val="TableText"/>
              <w:spacing w:before="30" w:after="30"/>
              <w:rPr>
                <w:szCs w:val="18"/>
              </w:rPr>
            </w:pPr>
            <w:r w:rsidRPr="0018386D">
              <w:rPr>
                <w:szCs w:val="18"/>
              </w:rPr>
              <w:t>5,000</w:t>
            </w:r>
            <w:r w:rsidR="00381E0B" w:rsidRPr="0018386D">
              <w:rPr>
                <w:szCs w:val="18"/>
              </w:rPr>
              <w:t>–</w:t>
            </w:r>
            <w:r w:rsidRPr="0018386D">
              <w:rPr>
                <w:szCs w:val="18"/>
              </w:rPr>
              <w:t>7,500 kg</w:t>
            </w:r>
          </w:p>
        </w:tc>
        <w:tc>
          <w:tcPr>
            <w:tcW w:w="567" w:type="dxa"/>
            <w:shd w:val="clear" w:color="000000" w:fill="FFFFFF"/>
            <w:noWrap/>
            <w:hideMark/>
          </w:tcPr>
          <w:p w14:paraId="4C2C2269"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54310437" w14:textId="3FCB6008" w:rsidR="008E2ED2" w:rsidRPr="0018386D" w:rsidRDefault="008E2ED2" w:rsidP="00DD3106">
            <w:pPr>
              <w:pStyle w:val="TableText"/>
              <w:spacing w:before="30" w:after="30"/>
              <w:rPr>
                <w:szCs w:val="18"/>
              </w:rPr>
            </w:pPr>
            <w:r w:rsidRPr="0018386D">
              <w:rPr>
                <w:szCs w:val="18"/>
              </w:rPr>
              <w:t>0.515</w:t>
            </w:r>
          </w:p>
        </w:tc>
        <w:tc>
          <w:tcPr>
            <w:tcW w:w="1361" w:type="dxa"/>
            <w:shd w:val="clear" w:color="000000" w:fill="FFFFFF"/>
            <w:noWrap/>
            <w:hideMark/>
          </w:tcPr>
          <w:p w14:paraId="777B854C" w14:textId="782FF18A" w:rsidR="008E2ED2" w:rsidRPr="0018386D" w:rsidRDefault="008E2ED2" w:rsidP="00DD3106">
            <w:pPr>
              <w:pStyle w:val="TableText"/>
              <w:spacing w:before="30" w:after="30"/>
              <w:rPr>
                <w:szCs w:val="18"/>
              </w:rPr>
            </w:pPr>
            <w:r w:rsidRPr="0018386D">
              <w:rPr>
                <w:szCs w:val="18"/>
              </w:rPr>
              <w:t>0.507</w:t>
            </w:r>
          </w:p>
        </w:tc>
        <w:tc>
          <w:tcPr>
            <w:tcW w:w="1361" w:type="dxa"/>
            <w:shd w:val="clear" w:color="000000" w:fill="FFFFFF"/>
            <w:noWrap/>
            <w:hideMark/>
          </w:tcPr>
          <w:p w14:paraId="58B5B436" w14:textId="625224C8" w:rsidR="008E2ED2" w:rsidRPr="0018386D" w:rsidRDefault="008E2ED2" w:rsidP="00DD3106">
            <w:pPr>
              <w:pStyle w:val="TableText"/>
              <w:spacing w:before="30" w:after="30"/>
              <w:rPr>
                <w:szCs w:val="18"/>
              </w:rPr>
            </w:pPr>
            <w:r w:rsidRPr="0018386D">
              <w:rPr>
                <w:szCs w:val="18"/>
              </w:rPr>
              <w:t>0.0008</w:t>
            </w:r>
          </w:p>
        </w:tc>
        <w:tc>
          <w:tcPr>
            <w:tcW w:w="1361" w:type="dxa"/>
            <w:shd w:val="clear" w:color="000000" w:fill="FFFFFF"/>
            <w:noWrap/>
            <w:hideMark/>
          </w:tcPr>
          <w:p w14:paraId="4DCF6258" w14:textId="0459EAFF" w:rsidR="008E2ED2" w:rsidRPr="0018386D" w:rsidRDefault="008E2ED2" w:rsidP="00DD3106">
            <w:pPr>
              <w:pStyle w:val="TableText"/>
              <w:spacing w:before="30" w:after="30"/>
              <w:rPr>
                <w:szCs w:val="18"/>
              </w:rPr>
            </w:pPr>
            <w:r w:rsidRPr="0018386D">
              <w:rPr>
                <w:szCs w:val="18"/>
              </w:rPr>
              <w:t>0.00717</w:t>
            </w:r>
          </w:p>
        </w:tc>
      </w:tr>
      <w:tr w:rsidR="00D907BD" w:rsidRPr="0018386D" w14:paraId="362DBFF2"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22502BEF"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78B231C2" w14:textId="6BD81B07" w:rsidR="008E2ED2" w:rsidRPr="0018386D" w:rsidRDefault="008E2ED2" w:rsidP="00DD3106">
            <w:pPr>
              <w:pStyle w:val="TableText"/>
              <w:spacing w:before="30" w:after="30"/>
              <w:rPr>
                <w:szCs w:val="18"/>
              </w:rPr>
            </w:pPr>
            <w:r w:rsidRPr="0018386D">
              <w:rPr>
                <w:szCs w:val="18"/>
              </w:rPr>
              <w:t>7,500</w:t>
            </w:r>
            <w:r w:rsidR="00381E0B" w:rsidRPr="0018386D">
              <w:rPr>
                <w:szCs w:val="18"/>
              </w:rPr>
              <w:t>–</w:t>
            </w:r>
            <w:r w:rsidRPr="0018386D">
              <w:rPr>
                <w:szCs w:val="18"/>
              </w:rPr>
              <w:t>10,000 kg</w:t>
            </w:r>
          </w:p>
        </w:tc>
        <w:tc>
          <w:tcPr>
            <w:tcW w:w="567" w:type="dxa"/>
            <w:shd w:val="clear" w:color="000000" w:fill="FFFFFF"/>
            <w:noWrap/>
            <w:hideMark/>
          </w:tcPr>
          <w:p w14:paraId="672BD9AF"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184AF24E" w14:textId="5C91C03F" w:rsidR="008E2ED2" w:rsidRPr="0018386D" w:rsidRDefault="008E2ED2" w:rsidP="00DD3106">
            <w:pPr>
              <w:pStyle w:val="TableText"/>
              <w:spacing w:before="30" w:after="30"/>
              <w:rPr>
                <w:szCs w:val="18"/>
              </w:rPr>
            </w:pPr>
            <w:r w:rsidRPr="0018386D">
              <w:rPr>
                <w:szCs w:val="18"/>
              </w:rPr>
              <w:t>0.630</w:t>
            </w:r>
          </w:p>
        </w:tc>
        <w:tc>
          <w:tcPr>
            <w:tcW w:w="1361" w:type="dxa"/>
            <w:shd w:val="clear" w:color="000000" w:fill="FFFFFF"/>
            <w:noWrap/>
            <w:hideMark/>
          </w:tcPr>
          <w:p w14:paraId="0E3E6B1D" w14:textId="5E890F85" w:rsidR="008E2ED2" w:rsidRPr="0018386D" w:rsidRDefault="008E2ED2" w:rsidP="00DD3106">
            <w:pPr>
              <w:pStyle w:val="TableText"/>
              <w:spacing w:before="30" w:after="30"/>
              <w:rPr>
                <w:szCs w:val="18"/>
              </w:rPr>
            </w:pPr>
            <w:r w:rsidRPr="0018386D">
              <w:rPr>
                <w:szCs w:val="18"/>
              </w:rPr>
              <w:t>0.620</w:t>
            </w:r>
          </w:p>
        </w:tc>
        <w:tc>
          <w:tcPr>
            <w:tcW w:w="1361" w:type="dxa"/>
            <w:shd w:val="clear" w:color="000000" w:fill="FFFFFF"/>
            <w:noWrap/>
            <w:hideMark/>
          </w:tcPr>
          <w:p w14:paraId="0B9FE3AC" w14:textId="4B254AF7" w:rsidR="008E2ED2" w:rsidRPr="0018386D" w:rsidRDefault="008E2ED2" w:rsidP="00DD3106">
            <w:pPr>
              <w:pStyle w:val="TableText"/>
              <w:spacing w:before="30" w:after="30"/>
              <w:rPr>
                <w:szCs w:val="18"/>
              </w:rPr>
            </w:pPr>
            <w:r w:rsidRPr="0018386D">
              <w:rPr>
                <w:szCs w:val="18"/>
              </w:rPr>
              <w:t>0.0009</w:t>
            </w:r>
          </w:p>
        </w:tc>
        <w:tc>
          <w:tcPr>
            <w:tcW w:w="1361" w:type="dxa"/>
            <w:shd w:val="clear" w:color="000000" w:fill="FFFFFF"/>
            <w:noWrap/>
            <w:hideMark/>
          </w:tcPr>
          <w:p w14:paraId="0FEDF070" w14:textId="70B9C3EA" w:rsidR="008E2ED2" w:rsidRPr="0018386D" w:rsidRDefault="008E2ED2" w:rsidP="00DD3106">
            <w:pPr>
              <w:pStyle w:val="TableText"/>
              <w:spacing w:before="30" w:after="30"/>
              <w:rPr>
                <w:szCs w:val="18"/>
              </w:rPr>
            </w:pPr>
            <w:r w:rsidRPr="0018386D">
              <w:rPr>
                <w:szCs w:val="18"/>
              </w:rPr>
              <w:t>0.00877</w:t>
            </w:r>
          </w:p>
        </w:tc>
      </w:tr>
      <w:tr w:rsidR="00D907BD" w:rsidRPr="0018386D" w14:paraId="1A6E7578"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142976CA"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15BEEEFD" w14:textId="3DFCBE2A" w:rsidR="008E2ED2" w:rsidRPr="0018386D" w:rsidRDefault="008E2ED2" w:rsidP="00DD3106">
            <w:pPr>
              <w:pStyle w:val="TableText"/>
              <w:spacing w:before="30" w:after="30"/>
              <w:rPr>
                <w:szCs w:val="18"/>
              </w:rPr>
            </w:pPr>
            <w:r w:rsidRPr="0018386D">
              <w:rPr>
                <w:szCs w:val="18"/>
              </w:rPr>
              <w:t>10,000</w:t>
            </w:r>
            <w:r w:rsidR="00381E0B" w:rsidRPr="0018386D">
              <w:rPr>
                <w:szCs w:val="18"/>
              </w:rPr>
              <w:t>–</w:t>
            </w:r>
            <w:r w:rsidRPr="0018386D">
              <w:rPr>
                <w:szCs w:val="18"/>
              </w:rPr>
              <w:t>12,000 kg</w:t>
            </w:r>
          </w:p>
        </w:tc>
        <w:tc>
          <w:tcPr>
            <w:tcW w:w="567" w:type="dxa"/>
            <w:shd w:val="clear" w:color="000000" w:fill="FFFFFF"/>
            <w:noWrap/>
            <w:hideMark/>
          </w:tcPr>
          <w:p w14:paraId="58E31DF3"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1C00DC67" w14:textId="24183537" w:rsidR="008E2ED2" w:rsidRPr="0018386D" w:rsidRDefault="008E2ED2" w:rsidP="00DD3106">
            <w:pPr>
              <w:pStyle w:val="TableText"/>
              <w:spacing w:before="30" w:after="30"/>
              <w:rPr>
                <w:szCs w:val="18"/>
              </w:rPr>
            </w:pPr>
            <w:r w:rsidRPr="0018386D">
              <w:rPr>
                <w:szCs w:val="18"/>
              </w:rPr>
              <w:t>0.747</w:t>
            </w:r>
          </w:p>
        </w:tc>
        <w:tc>
          <w:tcPr>
            <w:tcW w:w="1361" w:type="dxa"/>
            <w:shd w:val="clear" w:color="000000" w:fill="FFFFFF"/>
            <w:noWrap/>
            <w:hideMark/>
          </w:tcPr>
          <w:p w14:paraId="68142F30" w14:textId="4FBE3E4B" w:rsidR="008E2ED2" w:rsidRPr="0018386D" w:rsidRDefault="008E2ED2" w:rsidP="00DD3106">
            <w:pPr>
              <w:pStyle w:val="TableText"/>
              <w:spacing w:before="30" w:after="30"/>
              <w:rPr>
                <w:szCs w:val="18"/>
              </w:rPr>
            </w:pPr>
            <w:r w:rsidRPr="0018386D">
              <w:rPr>
                <w:szCs w:val="18"/>
              </w:rPr>
              <w:t>0.735</w:t>
            </w:r>
          </w:p>
        </w:tc>
        <w:tc>
          <w:tcPr>
            <w:tcW w:w="1361" w:type="dxa"/>
            <w:shd w:val="clear" w:color="000000" w:fill="FFFFFF"/>
            <w:noWrap/>
            <w:hideMark/>
          </w:tcPr>
          <w:p w14:paraId="6963211F" w14:textId="5068AFBE" w:rsidR="008E2ED2" w:rsidRPr="0018386D" w:rsidRDefault="008E2ED2" w:rsidP="00DD3106">
            <w:pPr>
              <w:pStyle w:val="TableText"/>
              <w:spacing w:before="30" w:after="30"/>
              <w:rPr>
                <w:szCs w:val="18"/>
              </w:rPr>
            </w:pPr>
            <w:r w:rsidRPr="0018386D">
              <w:rPr>
                <w:szCs w:val="18"/>
              </w:rPr>
              <w:t>0.00110</w:t>
            </w:r>
          </w:p>
        </w:tc>
        <w:tc>
          <w:tcPr>
            <w:tcW w:w="1361" w:type="dxa"/>
            <w:shd w:val="clear" w:color="000000" w:fill="FFFFFF"/>
            <w:noWrap/>
            <w:hideMark/>
          </w:tcPr>
          <w:p w14:paraId="1AFA968E" w14:textId="5B2AE676" w:rsidR="008E2ED2" w:rsidRPr="0018386D" w:rsidRDefault="008E2ED2" w:rsidP="00DD3106">
            <w:pPr>
              <w:pStyle w:val="TableText"/>
              <w:spacing w:before="30" w:after="30"/>
              <w:rPr>
                <w:szCs w:val="18"/>
              </w:rPr>
            </w:pPr>
            <w:r w:rsidRPr="0018386D">
              <w:rPr>
                <w:szCs w:val="18"/>
              </w:rPr>
              <w:t>0.0104</w:t>
            </w:r>
          </w:p>
        </w:tc>
      </w:tr>
      <w:tr w:rsidR="00D907BD" w:rsidRPr="0018386D" w14:paraId="38CF5131"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1A9D32B2"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1BAE8FB0" w14:textId="720D14D7" w:rsidR="008E2ED2" w:rsidRPr="0018386D" w:rsidRDefault="008E2ED2" w:rsidP="00DD3106">
            <w:pPr>
              <w:pStyle w:val="TableText"/>
              <w:spacing w:before="30" w:after="30"/>
              <w:rPr>
                <w:szCs w:val="18"/>
              </w:rPr>
            </w:pPr>
            <w:r w:rsidRPr="0018386D">
              <w:rPr>
                <w:szCs w:val="18"/>
              </w:rPr>
              <w:t>12,000</w:t>
            </w:r>
            <w:r w:rsidR="00381E0B" w:rsidRPr="0018386D">
              <w:rPr>
                <w:szCs w:val="18"/>
              </w:rPr>
              <w:t>–</w:t>
            </w:r>
            <w:r w:rsidRPr="0018386D">
              <w:rPr>
                <w:szCs w:val="18"/>
              </w:rPr>
              <w:t>15,000 kg</w:t>
            </w:r>
          </w:p>
        </w:tc>
        <w:tc>
          <w:tcPr>
            <w:tcW w:w="567" w:type="dxa"/>
            <w:shd w:val="clear" w:color="000000" w:fill="FFFFFF"/>
            <w:noWrap/>
            <w:hideMark/>
          </w:tcPr>
          <w:p w14:paraId="12CB0F2F"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1312330D" w14:textId="67FC9E13" w:rsidR="008E2ED2" w:rsidRPr="0018386D" w:rsidRDefault="008E2ED2" w:rsidP="00DD3106">
            <w:pPr>
              <w:pStyle w:val="TableText"/>
              <w:spacing w:before="30" w:after="30"/>
              <w:rPr>
                <w:szCs w:val="18"/>
              </w:rPr>
            </w:pPr>
            <w:r w:rsidRPr="0018386D">
              <w:rPr>
                <w:szCs w:val="18"/>
              </w:rPr>
              <w:t>0.849</w:t>
            </w:r>
          </w:p>
        </w:tc>
        <w:tc>
          <w:tcPr>
            <w:tcW w:w="1361" w:type="dxa"/>
            <w:shd w:val="clear" w:color="000000" w:fill="FFFFFF"/>
            <w:noWrap/>
            <w:hideMark/>
          </w:tcPr>
          <w:p w14:paraId="3C3D3D4F" w14:textId="614925DA" w:rsidR="008E2ED2" w:rsidRPr="0018386D" w:rsidRDefault="008E2ED2" w:rsidP="00DD3106">
            <w:pPr>
              <w:pStyle w:val="TableText"/>
              <w:spacing w:before="30" w:after="30"/>
              <w:rPr>
                <w:szCs w:val="18"/>
              </w:rPr>
            </w:pPr>
            <w:r w:rsidRPr="0018386D">
              <w:rPr>
                <w:szCs w:val="18"/>
              </w:rPr>
              <w:t>0.836</w:t>
            </w:r>
          </w:p>
        </w:tc>
        <w:tc>
          <w:tcPr>
            <w:tcW w:w="1361" w:type="dxa"/>
            <w:shd w:val="clear" w:color="000000" w:fill="FFFFFF"/>
            <w:noWrap/>
            <w:hideMark/>
          </w:tcPr>
          <w:p w14:paraId="1465D366" w14:textId="4E3E0C10" w:rsidR="008E2ED2" w:rsidRPr="0018386D" w:rsidRDefault="008E2ED2" w:rsidP="00DD3106">
            <w:pPr>
              <w:pStyle w:val="TableText"/>
              <w:spacing w:before="30" w:after="30"/>
              <w:rPr>
                <w:szCs w:val="18"/>
              </w:rPr>
            </w:pPr>
            <w:r w:rsidRPr="0018386D">
              <w:rPr>
                <w:szCs w:val="18"/>
              </w:rPr>
              <w:t>0.00125</w:t>
            </w:r>
          </w:p>
        </w:tc>
        <w:tc>
          <w:tcPr>
            <w:tcW w:w="1361" w:type="dxa"/>
            <w:shd w:val="clear" w:color="000000" w:fill="FFFFFF"/>
            <w:noWrap/>
            <w:hideMark/>
          </w:tcPr>
          <w:p w14:paraId="216B9F69" w14:textId="65B3FACB" w:rsidR="008E2ED2" w:rsidRPr="0018386D" w:rsidRDefault="008E2ED2" w:rsidP="00DD3106">
            <w:pPr>
              <w:pStyle w:val="TableText"/>
              <w:spacing w:before="30" w:after="30"/>
              <w:rPr>
                <w:szCs w:val="18"/>
              </w:rPr>
            </w:pPr>
            <w:r w:rsidRPr="0018386D">
              <w:rPr>
                <w:szCs w:val="18"/>
              </w:rPr>
              <w:t>0.0118</w:t>
            </w:r>
          </w:p>
        </w:tc>
      </w:tr>
      <w:tr w:rsidR="00D907BD" w:rsidRPr="0018386D" w14:paraId="05F1D3B8"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046A9AAC"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08BC721C" w14:textId="293F2188" w:rsidR="008E2ED2" w:rsidRPr="0018386D" w:rsidRDefault="008E2ED2" w:rsidP="00DD3106">
            <w:pPr>
              <w:pStyle w:val="TableText"/>
              <w:spacing w:before="30" w:after="30"/>
              <w:rPr>
                <w:szCs w:val="18"/>
              </w:rPr>
            </w:pPr>
            <w:r w:rsidRPr="0018386D">
              <w:rPr>
                <w:szCs w:val="18"/>
              </w:rPr>
              <w:t>15,000</w:t>
            </w:r>
            <w:r w:rsidR="00381E0B" w:rsidRPr="0018386D">
              <w:rPr>
                <w:szCs w:val="18"/>
              </w:rPr>
              <w:t>–</w:t>
            </w:r>
            <w:r w:rsidRPr="0018386D">
              <w:rPr>
                <w:szCs w:val="18"/>
              </w:rPr>
              <w:t>20,000 kg</w:t>
            </w:r>
          </w:p>
        </w:tc>
        <w:tc>
          <w:tcPr>
            <w:tcW w:w="567" w:type="dxa"/>
            <w:shd w:val="clear" w:color="000000" w:fill="FFFFFF"/>
            <w:noWrap/>
            <w:hideMark/>
          </w:tcPr>
          <w:p w14:paraId="4072436F"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7A91DA0E" w14:textId="75F62DD4" w:rsidR="008E2ED2" w:rsidRPr="0018386D" w:rsidRDefault="008E2ED2" w:rsidP="00DD3106">
            <w:pPr>
              <w:pStyle w:val="TableText"/>
              <w:spacing w:before="30" w:after="30"/>
              <w:rPr>
                <w:szCs w:val="18"/>
              </w:rPr>
            </w:pPr>
            <w:r w:rsidRPr="0018386D">
              <w:rPr>
                <w:szCs w:val="18"/>
              </w:rPr>
              <w:t>0.991</w:t>
            </w:r>
          </w:p>
        </w:tc>
        <w:tc>
          <w:tcPr>
            <w:tcW w:w="1361" w:type="dxa"/>
            <w:shd w:val="clear" w:color="000000" w:fill="FFFFFF"/>
            <w:noWrap/>
            <w:hideMark/>
          </w:tcPr>
          <w:p w14:paraId="48673808" w14:textId="00490C8A" w:rsidR="008E2ED2" w:rsidRPr="0018386D" w:rsidRDefault="008E2ED2" w:rsidP="00DD3106">
            <w:pPr>
              <w:pStyle w:val="TableText"/>
              <w:spacing w:before="30" w:after="30"/>
              <w:rPr>
                <w:szCs w:val="18"/>
              </w:rPr>
            </w:pPr>
            <w:r w:rsidRPr="0018386D">
              <w:rPr>
                <w:szCs w:val="18"/>
              </w:rPr>
              <w:t>0.976</w:t>
            </w:r>
          </w:p>
        </w:tc>
        <w:tc>
          <w:tcPr>
            <w:tcW w:w="1361" w:type="dxa"/>
            <w:shd w:val="clear" w:color="000000" w:fill="FFFFFF"/>
            <w:noWrap/>
            <w:hideMark/>
          </w:tcPr>
          <w:p w14:paraId="3ADD68F1" w14:textId="0D72BA9D" w:rsidR="008E2ED2" w:rsidRPr="0018386D" w:rsidRDefault="008E2ED2" w:rsidP="00DD3106">
            <w:pPr>
              <w:pStyle w:val="TableText"/>
              <w:spacing w:before="30" w:after="30"/>
              <w:rPr>
                <w:szCs w:val="18"/>
              </w:rPr>
            </w:pPr>
            <w:r w:rsidRPr="0018386D">
              <w:rPr>
                <w:szCs w:val="18"/>
              </w:rPr>
              <w:t>0.00146</w:t>
            </w:r>
          </w:p>
        </w:tc>
        <w:tc>
          <w:tcPr>
            <w:tcW w:w="1361" w:type="dxa"/>
            <w:shd w:val="clear" w:color="000000" w:fill="FFFFFF"/>
            <w:noWrap/>
            <w:hideMark/>
          </w:tcPr>
          <w:p w14:paraId="5B0FBDD1" w14:textId="056DE086" w:rsidR="008E2ED2" w:rsidRPr="0018386D" w:rsidRDefault="008E2ED2" w:rsidP="00DD3106">
            <w:pPr>
              <w:pStyle w:val="TableText"/>
              <w:spacing w:before="30" w:after="30"/>
              <w:rPr>
                <w:szCs w:val="18"/>
              </w:rPr>
            </w:pPr>
            <w:r w:rsidRPr="0018386D">
              <w:rPr>
                <w:szCs w:val="18"/>
              </w:rPr>
              <w:t>0.0138</w:t>
            </w:r>
          </w:p>
        </w:tc>
      </w:tr>
      <w:tr w:rsidR="00D907BD" w:rsidRPr="0018386D" w14:paraId="15B66286"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2953F6B0"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152B844C" w14:textId="535B76BD" w:rsidR="008E2ED2" w:rsidRPr="0018386D" w:rsidRDefault="008E2ED2" w:rsidP="00DD3106">
            <w:pPr>
              <w:pStyle w:val="TableText"/>
              <w:spacing w:before="30" w:after="30"/>
              <w:rPr>
                <w:szCs w:val="18"/>
              </w:rPr>
            </w:pPr>
            <w:r w:rsidRPr="0018386D">
              <w:rPr>
                <w:szCs w:val="18"/>
              </w:rPr>
              <w:t>20,000</w:t>
            </w:r>
            <w:r w:rsidR="00381E0B" w:rsidRPr="0018386D">
              <w:rPr>
                <w:szCs w:val="18"/>
              </w:rPr>
              <w:t>–</w:t>
            </w:r>
            <w:r w:rsidRPr="0018386D">
              <w:rPr>
                <w:szCs w:val="18"/>
              </w:rPr>
              <w:t>25,000 kg</w:t>
            </w:r>
          </w:p>
        </w:tc>
        <w:tc>
          <w:tcPr>
            <w:tcW w:w="567" w:type="dxa"/>
            <w:shd w:val="clear" w:color="000000" w:fill="FFFFFF"/>
            <w:noWrap/>
            <w:hideMark/>
          </w:tcPr>
          <w:p w14:paraId="417F2097"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4512178C" w14:textId="76E708D9" w:rsidR="008E2ED2" w:rsidRPr="0018386D" w:rsidRDefault="008E2ED2" w:rsidP="00DD3106">
            <w:pPr>
              <w:pStyle w:val="TableText"/>
              <w:spacing w:before="30" w:after="30"/>
              <w:rPr>
                <w:szCs w:val="18"/>
              </w:rPr>
            </w:pPr>
            <w:r w:rsidRPr="0018386D">
              <w:rPr>
                <w:szCs w:val="18"/>
              </w:rPr>
              <w:t>1.32</w:t>
            </w:r>
          </w:p>
        </w:tc>
        <w:tc>
          <w:tcPr>
            <w:tcW w:w="1361" w:type="dxa"/>
            <w:shd w:val="clear" w:color="000000" w:fill="FFFFFF"/>
            <w:noWrap/>
            <w:hideMark/>
          </w:tcPr>
          <w:p w14:paraId="621E35C4" w14:textId="184B6505" w:rsidR="008E2ED2" w:rsidRPr="0018386D" w:rsidRDefault="008E2ED2" w:rsidP="00DD3106">
            <w:pPr>
              <w:pStyle w:val="TableText"/>
              <w:spacing w:before="30" w:after="30"/>
              <w:rPr>
                <w:szCs w:val="18"/>
              </w:rPr>
            </w:pPr>
            <w:r w:rsidRPr="0018386D">
              <w:rPr>
                <w:szCs w:val="18"/>
              </w:rPr>
              <w:t>1.30</w:t>
            </w:r>
          </w:p>
        </w:tc>
        <w:tc>
          <w:tcPr>
            <w:tcW w:w="1361" w:type="dxa"/>
            <w:shd w:val="clear" w:color="000000" w:fill="FFFFFF"/>
            <w:noWrap/>
            <w:hideMark/>
          </w:tcPr>
          <w:p w14:paraId="3C018D39" w14:textId="1F6F31C8" w:rsidR="008E2ED2" w:rsidRPr="0018386D" w:rsidRDefault="008E2ED2" w:rsidP="00DD3106">
            <w:pPr>
              <w:pStyle w:val="TableText"/>
              <w:spacing w:before="30" w:after="30"/>
              <w:rPr>
                <w:szCs w:val="18"/>
              </w:rPr>
            </w:pPr>
            <w:r w:rsidRPr="0018386D">
              <w:rPr>
                <w:szCs w:val="18"/>
              </w:rPr>
              <w:t>0.00194</w:t>
            </w:r>
          </w:p>
        </w:tc>
        <w:tc>
          <w:tcPr>
            <w:tcW w:w="1361" w:type="dxa"/>
            <w:shd w:val="clear" w:color="000000" w:fill="FFFFFF"/>
            <w:noWrap/>
            <w:hideMark/>
          </w:tcPr>
          <w:p w14:paraId="2293A890" w14:textId="265ADF15" w:rsidR="008E2ED2" w:rsidRPr="0018386D" w:rsidRDefault="008E2ED2" w:rsidP="00DD3106">
            <w:pPr>
              <w:pStyle w:val="TableText"/>
              <w:spacing w:before="30" w:after="30"/>
              <w:rPr>
                <w:szCs w:val="18"/>
              </w:rPr>
            </w:pPr>
            <w:r w:rsidRPr="0018386D">
              <w:rPr>
                <w:szCs w:val="18"/>
              </w:rPr>
              <w:t>0.0184</w:t>
            </w:r>
          </w:p>
        </w:tc>
      </w:tr>
      <w:tr w:rsidR="00D907BD" w:rsidRPr="0018386D" w14:paraId="66F7CBEB"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10EE69BA"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255ABD25" w14:textId="61A28B59" w:rsidR="008E2ED2" w:rsidRPr="0018386D" w:rsidRDefault="008E2ED2" w:rsidP="00DD3106">
            <w:pPr>
              <w:pStyle w:val="TableText"/>
              <w:spacing w:before="30" w:after="30"/>
              <w:rPr>
                <w:szCs w:val="18"/>
              </w:rPr>
            </w:pPr>
            <w:r w:rsidRPr="0018386D">
              <w:rPr>
                <w:szCs w:val="18"/>
              </w:rPr>
              <w:t>25,000</w:t>
            </w:r>
            <w:r w:rsidR="00381E0B" w:rsidRPr="0018386D">
              <w:rPr>
                <w:szCs w:val="18"/>
              </w:rPr>
              <w:t>–</w:t>
            </w:r>
            <w:r w:rsidRPr="0018386D">
              <w:rPr>
                <w:szCs w:val="18"/>
              </w:rPr>
              <w:t>30,000 kg</w:t>
            </w:r>
          </w:p>
        </w:tc>
        <w:tc>
          <w:tcPr>
            <w:tcW w:w="567" w:type="dxa"/>
            <w:shd w:val="clear" w:color="000000" w:fill="FFFFFF"/>
            <w:noWrap/>
            <w:hideMark/>
          </w:tcPr>
          <w:p w14:paraId="2516ED3D"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7B980ADC" w14:textId="33C8AD99" w:rsidR="008E2ED2" w:rsidRPr="0018386D" w:rsidRDefault="008E2ED2" w:rsidP="00DD3106">
            <w:pPr>
              <w:pStyle w:val="TableText"/>
              <w:spacing w:before="30" w:after="30"/>
              <w:rPr>
                <w:szCs w:val="18"/>
              </w:rPr>
            </w:pPr>
            <w:r w:rsidRPr="0018386D">
              <w:rPr>
                <w:szCs w:val="18"/>
              </w:rPr>
              <w:t>1.56</w:t>
            </w:r>
          </w:p>
        </w:tc>
        <w:tc>
          <w:tcPr>
            <w:tcW w:w="1361" w:type="dxa"/>
            <w:shd w:val="clear" w:color="000000" w:fill="FFFFFF"/>
            <w:noWrap/>
            <w:hideMark/>
          </w:tcPr>
          <w:p w14:paraId="12E581A0" w14:textId="34B89F60" w:rsidR="008E2ED2" w:rsidRPr="0018386D" w:rsidRDefault="008E2ED2" w:rsidP="00DD3106">
            <w:pPr>
              <w:pStyle w:val="TableText"/>
              <w:spacing w:before="30" w:after="30"/>
              <w:rPr>
                <w:szCs w:val="18"/>
              </w:rPr>
            </w:pPr>
            <w:r w:rsidRPr="0018386D">
              <w:rPr>
                <w:szCs w:val="18"/>
              </w:rPr>
              <w:t>1.53</w:t>
            </w:r>
          </w:p>
        </w:tc>
        <w:tc>
          <w:tcPr>
            <w:tcW w:w="1361" w:type="dxa"/>
            <w:shd w:val="clear" w:color="000000" w:fill="FFFFFF"/>
            <w:noWrap/>
            <w:hideMark/>
          </w:tcPr>
          <w:p w14:paraId="09AA9997" w14:textId="29C6E2B8" w:rsidR="008E2ED2" w:rsidRPr="0018386D" w:rsidRDefault="008E2ED2" w:rsidP="00DD3106">
            <w:pPr>
              <w:pStyle w:val="TableText"/>
              <w:spacing w:before="30" w:after="30"/>
              <w:rPr>
                <w:szCs w:val="18"/>
              </w:rPr>
            </w:pPr>
            <w:r w:rsidRPr="0018386D">
              <w:rPr>
                <w:szCs w:val="18"/>
              </w:rPr>
              <w:t>0.00229</w:t>
            </w:r>
          </w:p>
        </w:tc>
        <w:tc>
          <w:tcPr>
            <w:tcW w:w="1361" w:type="dxa"/>
            <w:shd w:val="clear" w:color="000000" w:fill="FFFFFF"/>
            <w:noWrap/>
            <w:hideMark/>
          </w:tcPr>
          <w:p w14:paraId="70D2EDC0" w14:textId="35F45ADF" w:rsidR="008E2ED2" w:rsidRPr="0018386D" w:rsidRDefault="008E2ED2" w:rsidP="00DD3106">
            <w:pPr>
              <w:pStyle w:val="TableText"/>
              <w:spacing w:before="30" w:after="30"/>
              <w:rPr>
                <w:szCs w:val="18"/>
              </w:rPr>
            </w:pPr>
            <w:r w:rsidRPr="0018386D">
              <w:rPr>
                <w:szCs w:val="18"/>
              </w:rPr>
              <w:t>0.0216</w:t>
            </w:r>
          </w:p>
        </w:tc>
      </w:tr>
      <w:tr w:rsidR="00D907BD" w:rsidRPr="0018386D" w14:paraId="01C38828" w14:textId="77777777" w:rsidTr="00575E53">
        <w:trPr>
          <w:divId w:val="1626161459"/>
          <w:trHeight w:val="240"/>
        </w:trPr>
        <w:tc>
          <w:tcPr>
            <w:tcW w:w="1531" w:type="dxa"/>
            <w:tcBorders>
              <w:top w:val="nil"/>
              <w:bottom w:val="single" w:sz="4" w:space="0" w:color="auto"/>
              <w:right w:val="single" w:sz="4" w:space="0" w:color="auto"/>
            </w:tcBorders>
            <w:shd w:val="clear" w:color="000000" w:fill="FFFFFF"/>
            <w:noWrap/>
            <w:hideMark/>
          </w:tcPr>
          <w:p w14:paraId="4B56E93C"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603E8E18" w14:textId="735563A2" w:rsidR="008E2ED2" w:rsidRPr="0018386D" w:rsidRDefault="008E2ED2" w:rsidP="00DD3106">
            <w:pPr>
              <w:pStyle w:val="TableText"/>
              <w:spacing w:before="30" w:after="30"/>
              <w:rPr>
                <w:szCs w:val="18"/>
              </w:rPr>
            </w:pPr>
            <w:r w:rsidRPr="0018386D">
              <w:rPr>
                <w:szCs w:val="18"/>
              </w:rPr>
              <w:t>≥30,000 kg</w:t>
            </w:r>
          </w:p>
        </w:tc>
        <w:tc>
          <w:tcPr>
            <w:tcW w:w="567" w:type="dxa"/>
            <w:shd w:val="clear" w:color="000000" w:fill="FFFFFF"/>
            <w:noWrap/>
            <w:hideMark/>
          </w:tcPr>
          <w:p w14:paraId="5ADE0CC1"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139C2062" w14:textId="7A4EF3B3" w:rsidR="008E2ED2" w:rsidRPr="0018386D" w:rsidRDefault="008E2ED2" w:rsidP="00DD3106">
            <w:pPr>
              <w:pStyle w:val="TableText"/>
              <w:spacing w:before="30" w:after="30"/>
              <w:rPr>
                <w:szCs w:val="18"/>
              </w:rPr>
            </w:pPr>
            <w:r w:rsidRPr="0018386D">
              <w:rPr>
                <w:szCs w:val="18"/>
              </w:rPr>
              <w:t>1.56</w:t>
            </w:r>
          </w:p>
        </w:tc>
        <w:tc>
          <w:tcPr>
            <w:tcW w:w="1361" w:type="dxa"/>
            <w:shd w:val="clear" w:color="000000" w:fill="FFFFFF"/>
            <w:noWrap/>
            <w:hideMark/>
          </w:tcPr>
          <w:p w14:paraId="67930207" w14:textId="41E8204D" w:rsidR="008E2ED2" w:rsidRPr="0018386D" w:rsidRDefault="008E2ED2" w:rsidP="00DD3106">
            <w:pPr>
              <w:pStyle w:val="TableText"/>
              <w:spacing w:before="30" w:after="30"/>
              <w:rPr>
                <w:szCs w:val="18"/>
              </w:rPr>
            </w:pPr>
            <w:r w:rsidRPr="0018386D">
              <w:rPr>
                <w:szCs w:val="18"/>
              </w:rPr>
              <w:t>1.53</w:t>
            </w:r>
          </w:p>
        </w:tc>
        <w:tc>
          <w:tcPr>
            <w:tcW w:w="1361" w:type="dxa"/>
            <w:shd w:val="clear" w:color="000000" w:fill="FFFFFF"/>
            <w:noWrap/>
            <w:hideMark/>
          </w:tcPr>
          <w:p w14:paraId="0DC1A9C0" w14:textId="012BF0A2" w:rsidR="008E2ED2" w:rsidRPr="0018386D" w:rsidRDefault="008E2ED2" w:rsidP="00DD3106">
            <w:pPr>
              <w:pStyle w:val="TableText"/>
              <w:spacing w:before="30" w:after="30"/>
              <w:rPr>
                <w:szCs w:val="18"/>
              </w:rPr>
            </w:pPr>
            <w:r w:rsidRPr="0018386D">
              <w:rPr>
                <w:szCs w:val="18"/>
              </w:rPr>
              <w:t>0.00229</w:t>
            </w:r>
          </w:p>
        </w:tc>
        <w:tc>
          <w:tcPr>
            <w:tcW w:w="1361" w:type="dxa"/>
            <w:shd w:val="clear" w:color="000000" w:fill="FFFFFF"/>
            <w:noWrap/>
            <w:hideMark/>
          </w:tcPr>
          <w:p w14:paraId="5999F11B" w14:textId="0DBB3558" w:rsidR="008E2ED2" w:rsidRPr="0018386D" w:rsidRDefault="008E2ED2" w:rsidP="00DD3106">
            <w:pPr>
              <w:pStyle w:val="TableText"/>
              <w:spacing w:before="30" w:after="30"/>
              <w:rPr>
                <w:szCs w:val="18"/>
              </w:rPr>
            </w:pPr>
            <w:r w:rsidRPr="0018386D">
              <w:rPr>
                <w:szCs w:val="18"/>
              </w:rPr>
              <w:t>0.0216</w:t>
            </w:r>
          </w:p>
        </w:tc>
      </w:tr>
      <w:tr w:rsidR="00D907BD" w:rsidRPr="0018386D" w14:paraId="187179D1" w14:textId="77777777" w:rsidTr="00AC3D0F">
        <w:trPr>
          <w:divId w:val="1626161459"/>
          <w:trHeight w:val="240"/>
        </w:trPr>
        <w:tc>
          <w:tcPr>
            <w:tcW w:w="1531" w:type="dxa"/>
            <w:tcBorders>
              <w:top w:val="single" w:sz="4" w:space="0" w:color="auto"/>
              <w:bottom w:val="nil"/>
              <w:right w:val="single" w:sz="4" w:space="0" w:color="auto"/>
            </w:tcBorders>
            <w:shd w:val="clear" w:color="000000" w:fill="FFFFFF"/>
            <w:noWrap/>
            <w:hideMark/>
          </w:tcPr>
          <w:p w14:paraId="454B16DC" w14:textId="77777777" w:rsidR="008E2ED2" w:rsidRPr="0018386D" w:rsidRDefault="008E2ED2" w:rsidP="00DD3106">
            <w:pPr>
              <w:pStyle w:val="TableText"/>
              <w:spacing w:before="30" w:after="30"/>
              <w:rPr>
                <w:szCs w:val="18"/>
              </w:rPr>
            </w:pPr>
            <w:r w:rsidRPr="0018386D">
              <w:rPr>
                <w:szCs w:val="18"/>
              </w:rPr>
              <w:t>HGV diesel hybrid</w:t>
            </w:r>
          </w:p>
        </w:tc>
        <w:tc>
          <w:tcPr>
            <w:tcW w:w="1644" w:type="dxa"/>
            <w:tcBorders>
              <w:left w:val="single" w:sz="4" w:space="0" w:color="auto"/>
            </w:tcBorders>
            <w:shd w:val="clear" w:color="000000" w:fill="FFFFFF"/>
            <w:noWrap/>
            <w:hideMark/>
          </w:tcPr>
          <w:p w14:paraId="6CB8D5D4" w14:textId="2DDC4480" w:rsidR="008E2ED2" w:rsidRPr="0018386D" w:rsidRDefault="008E2ED2" w:rsidP="00DD3106">
            <w:pPr>
              <w:pStyle w:val="TableText"/>
              <w:spacing w:before="30" w:after="30"/>
              <w:rPr>
                <w:szCs w:val="18"/>
              </w:rPr>
            </w:pPr>
            <w:r w:rsidRPr="0018386D">
              <w:rPr>
                <w:szCs w:val="18"/>
              </w:rPr>
              <w:t>&lt;5,000 kg</w:t>
            </w:r>
          </w:p>
        </w:tc>
        <w:tc>
          <w:tcPr>
            <w:tcW w:w="567" w:type="dxa"/>
            <w:shd w:val="clear" w:color="000000" w:fill="FFFFFF"/>
            <w:noWrap/>
            <w:hideMark/>
          </w:tcPr>
          <w:p w14:paraId="09F02A0B"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5D899D91" w14:textId="61FA372D" w:rsidR="008E2ED2" w:rsidRPr="0018386D" w:rsidRDefault="008E2ED2" w:rsidP="00DD3106">
            <w:pPr>
              <w:pStyle w:val="TableText"/>
              <w:spacing w:before="30" w:after="30"/>
              <w:rPr>
                <w:szCs w:val="18"/>
              </w:rPr>
            </w:pPr>
            <w:r w:rsidRPr="0018386D">
              <w:rPr>
                <w:szCs w:val="18"/>
              </w:rPr>
              <w:t>0.362</w:t>
            </w:r>
          </w:p>
        </w:tc>
        <w:tc>
          <w:tcPr>
            <w:tcW w:w="1361" w:type="dxa"/>
            <w:shd w:val="clear" w:color="000000" w:fill="FFFFFF"/>
            <w:noWrap/>
            <w:hideMark/>
          </w:tcPr>
          <w:p w14:paraId="036EBF03" w14:textId="5723A641" w:rsidR="008E2ED2" w:rsidRPr="0018386D" w:rsidRDefault="008E2ED2" w:rsidP="00DD3106">
            <w:pPr>
              <w:pStyle w:val="TableText"/>
              <w:spacing w:before="30" w:after="30"/>
              <w:rPr>
                <w:szCs w:val="18"/>
              </w:rPr>
            </w:pPr>
            <w:r w:rsidRPr="0018386D">
              <w:rPr>
                <w:szCs w:val="18"/>
              </w:rPr>
              <w:t>0.357</w:t>
            </w:r>
          </w:p>
        </w:tc>
        <w:tc>
          <w:tcPr>
            <w:tcW w:w="1361" w:type="dxa"/>
            <w:shd w:val="clear" w:color="000000" w:fill="FFFFFF"/>
            <w:noWrap/>
            <w:hideMark/>
          </w:tcPr>
          <w:p w14:paraId="4AA288D1" w14:textId="77777777" w:rsidR="008E2ED2" w:rsidRPr="0018386D" w:rsidRDefault="008E2ED2" w:rsidP="00DD3106">
            <w:pPr>
              <w:pStyle w:val="TableText"/>
              <w:spacing w:before="30" w:after="30"/>
              <w:rPr>
                <w:szCs w:val="18"/>
              </w:rPr>
            </w:pPr>
            <w:r w:rsidRPr="0018386D">
              <w:rPr>
                <w:szCs w:val="18"/>
              </w:rPr>
              <w:t>0.0005</w:t>
            </w:r>
          </w:p>
        </w:tc>
        <w:tc>
          <w:tcPr>
            <w:tcW w:w="1361" w:type="dxa"/>
            <w:shd w:val="clear" w:color="000000" w:fill="FFFFFF"/>
            <w:noWrap/>
            <w:hideMark/>
          </w:tcPr>
          <w:p w14:paraId="586792A4" w14:textId="663C62CC" w:rsidR="008E2ED2" w:rsidRPr="0018386D" w:rsidRDefault="008E2ED2" w:rsidP="00DD3106">
            <w:pPr>
              <w:pStyle w:val="TableText"/>
              <w:spacing w:before="30" w:after="30"/>
              <w:rPr>
                <w:szCs w:val="18"/>
              </w:rPr>
            </w:pPr>
            <w:r w:rsidRPr="0018386D">
              <w:rPr>
                <w:szCs w:val="18"/>
              </w:rPr>
              <w:t>0.00505</w:t>
            </w:r>
          </w:p>
        </w:tc>
      </w:tr>
      <w:tr w:rsidR="00D907BD" w:rsidRPr="0018386D" w14:paraId="0EF8E040"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545B1167"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44B78B63" w14:textId="67D7BC31" w:rsidR="008E2ED2" w:rsidRPr="0018386D" w:rsidRDefault="008E2ED2" w:rsidP="00DD3106">
            <w:pPr>
              <w:pStyle w:val="TableText"/>
              <w:spacing w:before="30" w:after="30"/>
              <w:rPr>
                <w:szCs w:val="18"/>
              </w:rPr>
            </w:pPr>
            <w:r w:rsidRPr="0018386D">
              <w:rPr>
                <w:szCs w:val="18"/>
              </w:rPr>
              <w:t>5,000</w:t>
            </w:r>
            <w:r w:rsidR="00381E0B" w:rsidRPr="0018386D">
              <w:rPr>
                <w:szCs w:val="18"/>
              </w:rPr>
              <w:t>–</w:t>
            </w:r>
            <w:r w:rsidRPr="0018386D">
              <w:rPr>
                <w:szCs w:val="18"/>
              </w:rPr>
              <w:t>7,500 kg</w:t>
            </w:r>
          </w:p>
        </w:tc>
        <w:tc>
          <w:tcPr>
            <w:tcW w:w="567" w:type="dxa"/>
            <w:shd w:val="clear" w:color="000000" w:fill="FFFFFF"/>
            <w:noWrap/>
            <w:hideMark/>
          </w:tcPr>
          <w:p w14:paraId="506B2F2E"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3AFDC5DD" w14:textId="5A5B9072" w:rsidR="008E2ED2" w:rsidRPr="0018386D" w:rsidRDefault="008E2ED2" w:rsidP="00DD3106">
            <w:pPr>
              <w:pStyle w:val="TableText"/>
              <w:spacing w:before="30" w:after="30"/>
              <w:rPr>
                <w:szCs w:val="18"/>
              </w:rPr>
            </w:pPr>
            <w:r w:rsidRPr="0018386D">
              <w:rPr>
                <w:szCs w:val="18"/>
              </w:rPr>
              <w:t>0.415</w:t>
            </w:r>
          </w:p>
        </w:tc>
        <w:tc>
          <w:tcPr>
            <w:tcW w:w="1361" w:type="dxa"/>
            <w:shd w:val="clear" w:color="000000" w:fill="FFFFFF"/>
            <w:noWrap/>
            <w:hideMark/>
          </w:tcPr>
          <w:p w14:paraId="349C7412" w14:textId="05C14DCB" w:rsidR="008E2ED2" w:rsidRPr="0018386D" w:rsidRDefault="008E2ED2" w:rsidP="00DD3106">
            <w:pPr>
              <w:pStyle w:val="TableText"/>
              <w:spacing w:before="30" w:after="30"/>
              <w:rPr>
                <w:szCs w:val="18"/>
              </w:rPr>
            </w:pPr>
            <w:r w:rsidRPr="0018386D">
              <w:rPr>
                <w:szCs w:val="18"/>
              </w:rPr>
              <w:t>0.409</w:t>
            </w:r>
          </w:p>
        </w:tc>
        <w:tc>
          <w:tcPr>
            <w:tcW w:w="1361" w:type="dxa"/>
            <w:shd w:val="clear" w:color="000000" w:fill="FFFFFF"/>
            <w:noWrap/>
            <w:hideMark/>
          </w:tcPr>
          <w:p w14:paraId="711DA6A2" w14:textId="63D21932" w:rsidR="008E2ED2" w:rsidRPr="0018386D" w:rsidRDefault="008E2ED2" w:rsidP="00DD3106">
            <w:pPr>
              <w:pStyle w:val="TableText"/>
              <w:spacing w:before="30" w:after="30"/>
              <w:rPr>
                <w:szCs w:val="18"/>
              </w:rPr>
            </w:pPr>
            <w:r w:rsidRPr="0018386D">
              <w:rPr>
                <w:szCs w:val="18"/>
              </w:rPr>
              <w:t>0.0006</w:t>
            </w:r>
          </w:p>
        </w:tc>
        <w:tc>
          <w:tcPr>
            <w:tcW w:w="1361" w:type="dxa"/>
            <w:shd w:val="clear" w:color="000000" w:fill="FFFFFF"/>
            <w:noWrap/>
            <w:hideMark/>
          </w:tcPr>
          <w:p w14:paraId="198E9BBA" w14:textId="0E1D72B3" w:rsidR="008E2ED2" w:rsidRPr="0018386D" w:rsidRDefault="008E2ED2" w:rsidP="00DD3106">
            <w:pPr>
              <w:pStyle w:val="TableText"/>
              <w:spacing w:before="30" w:after="30"/>
              <w:rPr>
                <w:szCs w:val="18"/>
              </w:rPr>
            </w:pPr>
            <w:r w:rsidRPr="0018386D">
              <w:rPr>
                <w:szCs w:val="18"/>
              </w:rPr>
              <w:t>0.00578</w:t>
            </w:r>
          </w:p>
        </w:tc>
      </w:tr>
      <w:tr w:rsidR="00D907BD" w:rsidRPr="0018386D" w14:paraId="6127C5BA"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7CBFBB22"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627AF6EB" w14:textId="3A0F4F5A" w:rsidR="008E2ED2" w:rsidRPr="0018386D" w:rsidRDefault="008E2ED2" w:rsidP="00DD3106">
            <w:pPr>
              <w:pStyle w:val="TableText"/>
              <w:spacing w:before="30" w:after="30"/>
              <w:rPr>
                <w:szCs w:val="18"/>
              </w:rPr>
            </w:pPr>
            <w:r w:rsidRPr="0018386D">
              <w:rPr>
                <w:szCs w:val="18"/>
              </w:rPr>
              <w:t>7,500</w:t>
            </w:r>
            <w:r w:rsidR="00381E0B" w:rsidRPr="0018386D">
              <w:rPr>
                <w:szCs w:val="18"/>
              </w:rPr>
              <w:t>–</w:t>
            </w:r>
            <w:r w:rsidRPr="0018386D">
              <w:rPr>
                <w:szCs w:val="18"/>
              </w:rPr>
              <w:t>10,000 kg</w:t>
            </w:r>
          </w:p>
        </w:tc>
        <w:tc>
          <w:tcPr>
            <w:tcW w:w="567" w:type="dxa"/>
            <w:shd w:val="clear" w:color="000000" w:fill="FFFFFF"/>
            <w:noWrap/>
            <w:hideMark/>
          </w:tcPr>
          <w:p w14:paraId="225F810C"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44E65D82" w14:textId="7863F407" w:rsidR="008E2ED2" w:rsidRPr="0018386D" w:rsidRDefault="008E2ED2" w:rsidP="00DD3106">
            <w:pPr>
              <w:pStyle w:val="TableText"/>
              <w:spacing w:before="30" w:after="30"/>
              <w:rPr>
                <w:szCs w:val="18"/>
              </w:rPr>
            </w:pPr>
            <w:r w:rsidRPr="0018386D">
              <w:rPr>
                <w:szCs w:val="18"/>
              </w:rPr>
              <w:t>0.508</w:t>
            </w:r>
          </w:p>
        </w:tc>
        <w:tc>
          <w:tcPr>
            <w:tcW w:w="1361" w:type="dxa"/>
            <w:shd w:val="clear" w:color="000000" w:fill="FFFFFF"/>
            <w:noWrap/>
            <w:hideMark/>
          </w:tcPr>
          <w:p w14:paraId="549E2E40" w14:textId="2D95A38F" w:rsidR="008E2ED2" w:rsidRPr="0018386D" w:rsidRDefault="008E2ED2" w:rsidP="00DD3106">
            <w:pPr>
              <w:pStyle w:val="TableText"/>
              <w:spacing w:before="30" w:after="30"/>
              <w:rPr>
                <w:szCs w:val="18"/>
              </w:rPr>
            </w:pPr>
            <w:r w:rsidRPr="0018386D">
              <w:rPr>
                <w:szCs w:val="18"/>
              </w:rPr>
              <w:t>0.500</w:t>
            </w:r>
          </w:p>
        </w:tc>
        <w:tc>
          <w:tcPr>
            <w:tcW w:w="1361" w:type="dxa"/>
            <w:shd w:val="clear" w:color="000000" w:fill="FFFFFF"/>
            <w:noWrap/>
            <w:hideMark/>
          </w:tcPr>
          <w:p w14:paraId="536127EA" w14:textId="77777777" w:rsidR="008E2ED2" w:rsidRPr="0018386D" w:rsidRDefault="008E2ED2" w:rsidP="00DD3106">
            <w:pPr>
              <w:pStyle w:val="TableText"/>
              <w:spacing w:before="30" w:after="30"/>
              <w:rPr>
                <w:szCs w:val="18"/>
              </w:rPr>
            </w:pPr>
            <w:r w:rsidRPr="0018386D">
              <w:rPr>
                <w:szCs w:val="18"/>
              </w:rPr>
              <w:t>0.0007</w:t>
            </w:r>
          </w:p>
        </w:tc>
        <w:tc>
          <w:tcPr>
            <w:tcW w:w="1361" w:type="dxa"/>
            <w:shd w:val="clear" w:color="000000" w:fill="FFFFFF"/>
            <w:noWrap/>
            <w:hideMark/>
          </w:tcPr>
          <w:p w14:paraId="51450D9B" w14:textId="60B077E5" w:rsidR="008E2ED2" w:rsidRPr="0018386D" w:rsidRDefault="008E2ED2" w:rsidP="00DD3106">
            <w:pPr>
              <w:pStyle w:val="TableText"/>
              <w:spacing w:before="30" w:after="30"/>
              <w:rPr>
                <w:szCs w:val="18"/>
              </w:rPr>
            </w:pPr>
            <w:r w:rsidRPr="0018386D">
              <w:rPr>
                <w:szCs w:val="18"/>
              </w:rPr>
              <w:t>0.00707</w:t>
            </w:r>
          </w:p>
        </w:tc>
      </w:tr>
      <w:tr w:rsidR="00D907BD" w:rsidRPr="0018386D" w14:paraId="1D73FB57"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4DD96947"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28A8BA89" w14:textId="776B2D88" w:rsidR="008E2ED2" w:rsidRPr="0018386D" w:rsidRDefault="008E2ED2" w:rsidP="00DD3106">
            <w:pPr>
              <w:pStyle w:val="TableText"/>
              <w:spacing w:before="30" w:after="30"/>
              <w:rPr>
                <w:szCs w:val="18"/>
              </w:rPr>
            </w:pPr>
            <w:r w:rsidRPr="0018386D">
              <w:rPr>
                <w:szCs w:val="18"/>
              </w:rPr>
              <w:t>10,000</w:t>
            </w:r>
            <w:r w:rsidR="00381E0B" w:rsidRPr="0018386D">
              <w:rPr>
                <w:szCs w:val="18"/>
              </w:rPr>
              <w:t>–</w:t>
            </w:r>
            <w:r w:rsidRPr="0018386D">
              <w:rPr>
                <w:szCs w:val="18"/>
              </w:rPr>
              <w:t>12,000 kg</w:t>
            </w:r>
          </w:p>
        </w:tc>
        <w:tc>
          <w:tcPr>
            <w:tcW w:w="567" w:type="dxa"/>
            <w:shd w:val="clear" w:color="000000" w:fill="FFFFFF"/>
            <w:noWrap/>
            <w:hideMark/>
          </w:tcPr>
          <w:p w14:paraId="6C08E944"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2CE9CB31" w14:textId="65BEB2F7" w:rsidR="008E2ED2" w:rsidRPr="0018386D" w:rsidRDefault="008E2ED2" w:rsidP="00DD3106">
            <w:pPr>
              <w:pStyle w:val="TableText"/>
              <w:spacing w:before="30" w:after="30"/>
              <w:rPr>
                <w:szCs w:val="18"/>
              </w:rPr>
            </w:pPr>
            <w:r w:rsidRPr="0018386D">
              <w:rPr>
                <w:szCs w:val="18"/>
              </w:rPr>
              <w:t>0.602</w:t>
            </w:r>
          </w:p>
        </w:tc>
        <w:tc>
          <w:tcPr>
            <w:tcW w:w="1361" w:type="dxa"/>
            <w:shd w:val="clear" w:color="000000" w:fill="FFFFFF"/>
            <w:noWrap/>
            <w:hideMark/>
          </w:tcPr>
          <w:p w14:paraId="2024E973" w14:textId="5FE4919C" w:rsidR="008E2ED2" w:rsidRPr="0018386D" w:rsidRDefault="008E2ED2" w:rsidP="00DD3106">
            <w:pPr>
              <w:pStyle w:val="TableText"/>
              <w:spacing w:before="30" w:after="30"/>
              <w:rPr>
                <w:szCs w:val="18"/>
              </w:rPr>
            </w:pPr>
            <w:r w:rsidRPr="0018386D">
              <w:rPr>
                <w:szCs w:val="18"/>
              </w:rPr>
              <w:t>0.593</w:t>
            </w:r>
          </w:p>
        </w:tc>
        <w:tc>
          <w:tcPr>
            <w:tcW w:w="1361" w:type="dxa"/>
            <w:shd w:val="clear" w:color="000000" w:fill="FFFFFF"/>
            <w:noWrap/>
            <w:hideMark/>
          </w:tcPr>
          <w:p w14:paraId="431CA1AA" w14:textId="5EB2EC61" w:rsidR="008E2ED2" w:rsidRPr="0018386D" w:rsidRDefault="008E2ED2" w:rsidP="00DD3106">
            <w:pPr>
              <w:pStyle w:val="TableText"/>
              <w:spacing w:before="30" w:after="30"/>
              <w:rPr>
                <w:szCs w:val="18"/>
              </w:rPr>
            </w:pPr>
            <w:r w:rsidRPr="0018386D">
              <w:rPr>
                <w:szCs w:val="18"/>
              </w:rPr>
              <w:t>0.0009</w:t>
            </w:r>
          </w:p>
        </w:tc>
        <w:tc>
          <w:tcPr>
            <w:tcW w:w="1361" w:type="dxa"/>
            <w:shd w:val="clear" w:color="000000" w:fill="FFFFFF"/>
            <w:noWrap/>
            <w:hideMark/>
          </w:tcPr>
          <w:p w14:paraId="3C72DC23" w14:textId="0ED5ECA0" w:rsidR="008E2ED2" w:rsidRPr="0018386D" w:rsidRDefault="008E2ED2" w:rsidP="00DD3106">
            <w:pPr>
              <w:pStyle w:val="TableText"/>
              <w:spacing w:before="30" w:after="30"/>
              <w:rPr>
                <w:szCs w:val="18"/>
              </w:rPr>
            </w:pPr>
            <w:r w:rsidRPr="0018386D">
              <w:rPr>
                <w:szCs w:val="18"/>
              </w:rPr>
              <w:t>0.00838</w:t>
            </w:r>
          </w:p>
        </w:tc>
      </w:tr>
      <w:tr w:rsidR="00D907BD" w:rsidRPr="0018386D" w14:paraId="6A950898"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057DFD2B"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4D6615D0" w14:textId="3A13C2EB" w:rsidR="008E2ED2" w:rsidRPr="0018386D" w:rsidRDefault="008E2ED2" w:rsidP="00DD3106">
            <w:pPr>
              <w:pStyle w:val="TableText"/>
              <w:spacing w:before="30" w:after="30"/>
              <w:rPr>
                <w:szCs w:val="18"/>
              </w:rPr>
            </w:pPr>
            <w:r w:rsidRPr="0018386D">
              <w:rPr>
                <w:szCs w:val="18"/>
              </w:rPr>
              <w:t>12,000</w:t>
            </w:r>
            <w:r w:rsidR="00381E0B" w:rsidRPr="0018386D">
              <w:rPr>
                <w:szCs w:val="18"/>
              </w:rPr>
              <w:t>–</w:t>
            </w:r>
            <w:r w:rsidRPr="0018386D">
              <w:rPr>
                <w:szCs w:val="18"/>
              </w:rPr>
              <w:t>15,000 kg</w:t>
            </w:r>
          </w:p>
        </w:tc>
        <w:tc>
          <w:tcPr>
            <w:tcW w:w="567" w:type="dxa"/>
            <w:shd w:val="clear" w:color="000000" w:fill="FFFFFF"/>
            <w:noWrap/>
            <w:hideMark/>
          </w:tcPr>
          <w:p w14:paraId="605FB96F"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5359AE3D" w14:textId="32B9DE14" w:rsidR="008E2ED2" w:rsidRPr="0018386D" w:rsidRDefault="008E2ED2" w:rsidP="00DD3106">
            <w:pPr>
              <w:pStyle w:val="TableText"/>
              <w:spacing w:before="30" w:after="30"/>
              <w:rPr>
                <w:szCs w:val="18"/>
              </w:rPr>
            </w:pPr>
            <w:r w:rsidRPr="0018386D">
              <w:rPr>
                <w:szCs w:val="18"/>
              </w:rPr>
              <w:t>0.684</w:t>
            </w:r>
          </w:p>
        </w:tc>
        <w:tc>
          <w:tcPr>
            <w:tcW w:w="1361" w:type="dxa"/>
            <w:shd w:val="clear" w:color="000000" w:fill="FFFFFF"/>
            <w:noWrap/>
            <w:hideMark/>
          </w:tcPr>
          <w:p w14:paraId="327E4EF9" w14:textId="1F89804E" w:rsidR="008E2ED2" w:rsidRPr="0018386D" w:rsidRDefault="008E2ED2" w:rsidP="00DD3106">
            <w:pPr>
              <w:pStyle w:val="TableText"/>
              <w:spacing w:before="30" w:after="30"/>
              <w:rPr>
                <w:szCs w:val="18"/>
              </w:rPr>
            </w:pPr>
            <w:r w:rsidRPr="0018386D">
              <w:rPr>
                <w:szCs w:val="18"/>
              </w:rPr>
              <w:t>0.673</w:t>
            </w:r>
          </w:p>
        </w:tc>
        <w:tc>
          <w:tcPr>
            <w:tcW w:w="1361" w:type="dxa"/>
            <w:shd w:val="clear" w:color="000000" w:fill="FFFFFF"/>
            <w:noWrap/>
            <w:hideMark/>
          </w:tcPr>
          <w:p w14:paraId="32A8871E" w14:textId="790BFE68" w:rsidR="008E2ED2" w:rsidRPr="0018386D" w:rsidRDefault="008E2ED2" w:rsidP="00DD3106">
            <w:pPr>
              <w:pStyle w:val="TableText"/>
              <w:spacing w:before="30" w:after="30"/>
              <w:rPr>
                <w:szCs w:val="18"/>
              </w:rPr>
            </w:pPr>
            <w:r w:rsidRPr="0018386D">
              <w:rPr>
                <w:szCs w:val="18"/>
              </w:rPr>
              <w:t>0.00101</w:t>
            </w:r>
          </w:p>
        </w:tc>
        <w:tc>
          <w:tcPr>
            <w:tcW w:w="1361" w:type="dxa"/>
            <w:shd w:val="clear" w:color="000000" w:fill="FFFFFF"/>
            <w:noWrap/>
            <w:hideMark/>
          </w:tcPr>
          <w:p w14:paraId="06544984" w14:textId="5C2BE653" w:rsidR="008E2ED2" w:rsidRPr="0018386D" w:rsidRDefault="008E2ED2" w:rsidP="00DD3106">
            <w:pPr>
              <w:pStyle w:val="TableText"/>
              <w:spacing w:before="30" w:after="30"/>
              <w:rPr>
                <w:szCs w:val="18"/>
              </w:rPr>
            </w:pPr>
            <w:r w:rsidRPr="0018386D">
              <w:rPr>
                <w:szCs w:val="18"/>
              </w:rPr>
              <w:t>0.00952</w:t>
            </w:r>
          </w:p>
        </w:tc>
      </w:tr>
      <w:tr w:rsidR="00D907BD" w:rsidRPr="0018386D" w14:paraId="79E2E287"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72779F89"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72302F52" w14:textId="14A94685" w:rsidR="008E2ED2" w:rsidRPr="0018386D" w:rsidRDefault="008E2ED2" w:rsidP="00DD3106">
            <w:pPr>
              <w:pStyle w:val="TableText"/>
              <w:spacing w:before="30" w:after="30"/>
              <w:rPr>
                <w:szCs w:val="18"/>
              </w:rPr>
            </w:pPr>
            <w:r w:rsidRPr="0018386D">
              <w:rPr>
                <w:szCs w:val="18"/>
              </w:rPr>
              <w:t>15,000</w:t>
            </w:r>
            <w:r w:rsidR="00381E0B" w:rsidRPr="0018386D">
              <w:rPr>
                <w:szCs w:val="18"/>
              </w:rPr>
              <w:t>–</w:t>
            </w:r>
            <w:r w:rsidRPr="0018386D">
              <w:rPr>
                <w:szCs w:val="18"/>
              </w:rPr>
              <w:t>20,000 kg</w:t>
            </w:r>
          </w:p>
        </w:tc>
        <w:tc>
          <w:tcPr>
            <w:tcW w:w="567" w:type="dxa"/>
            <w:shd w:val="clear" w:color="000000" w:fill="FFFFFF"/>
            <w:noWrap/>
            <w:hideMark/>
          </w:tcPr>
          <w:p w14:paraId="3D945400"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7E675D89" w14:textId="3D030D65" w:rsidR="008E2ED2" w:rsidRPr="0018386D" w:rsidRDefault="008E2ED2" w:rsidP="00DD3106">
            <w:pPr>
              <w:pStyle w:val="TableText"/>
              <w:spacing w:before="30" w:after="30"/>
              <w:rPr>
                <w:szCs w:val="18"/>
              </w:rPr>
            </w:pPr>
            <w:r w:rsidRPr="0018386D">
              <w:rPr>
                <w:szCs w:val="18"/>
              </w:rPr>
              <w:t>0.901</w:t>
            </w:r>
          </w:p>
        </w:tc>
        <w:tc>
          <w:tcPr>
            <w:tcW w:w="1361" w:type="dxa"/>
            <w:shd w:val="clear" w:color="000000" w:fill="FFFFFF"/>
            <w:noWrap/>
            <w:hideMark/>
          </w:tcPr>
          <w:p w14:paraId="5E7C534B" w14:textId="3925B48F" w:rsidR="008E2ED2" w:rsidRPr="0018386D" w:rsidRDefault="008E2ED2" w:rsidP="00DD3106">
            <w:pPr>
              <w:pStyle w:val="TableText"/>
              <w:spacing w:before="30" w:after="30"/>
              <w:rPr>
                <w:szCs w:val="18"/>
              </w:rPr>
            </w:pPr>
            <w:r w:rsidRPr="0018386D">
              <w:rPr>
                <w:szCs w:val="18"/>
              </w:rPr>
              <w:t>0.887</w:t>
            </w:r>
          </w:p>
        </w:tc>
        <w:tc>
          <w:tcPr>
            <w:tcW w:w="1361" w:type="dxa"/>
            <w:shd w:val="clear" w:color="000000" w:fill="FFFFFF"/>
            <w:noWrap/>
            <w:hideMark/>
          </w:tcPr>
          <w:p w14:paraId="62944E45" w14:textId="768C95C2" w:rsidR="008E2ED2" w:rsidRPr="0018386D" w:rsidRDefault="008E2ED2" w:rsidP="00DD3106">
            <w:pPr>
              <w:pStyle w:val="TableText"/>
              <w:spacing w:before="30" w:after="30"/>
              <w:rPr>
                <w:szCs w:val="18"/>
              </w:rPr>
            </w:pPr>
            <w:r w:rsidRPr="0018386D">
              <w:rPr>
                <w:szCs w:val="18"/>
              </w:rPr>
              <w:t>0.00133</w:t>
            </w:r>
          </w:p>
        </w:tc>
        <w:tc>
          <w:tcPr>
            <w:tcW w:w="1361" w:type="dxa"/>
            <w:shd w:val="clear" w:color="000000" w:fill="FFFFFF"/>
            <w:noWrap/>
            <w:hideMark/>
          </w:tcPr>
          <w:p w14:paraId="6E8B87BA" w14:textId="0A5A1C14" w:rsidR="008E2ED2" w:rsidRPr="0018386D" w:rsidRDefault="008E2ED2" w:rsidP="00DD3106">
            <w:pPr>
              <w:pStyle w:val="TableText"/>
              <w:spacing w:before="30" w:after="30"/>
              <w:rPr>
                <w:szCs w:val="18"/>
              </w:rPr>
            </w:pPr>
            <w:r w:rsidRPr="0018386D">
              <w:rPr>
                <w:szCs w:val="18"/>
              </w:rPr>
              <w:t>0.0125</w:t>
            </w:r>
          </w:p>
        </w:tc>
      </w:tr>
      <w:tr w:rsidR="00D907BD" w:rsidRPr="0018386D" w14:paraId="72E72A43"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10194DE8"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35CE704F" w14:textId="52FC4AEE" w:rsidR="008E2ED2" w:rsidRPr="0018386D" w:rsidRDefault="008E2ED2" w:rsidP="00DD3106">
            <w:pPr>
              <w:pStyle w:val="TableText"/>
              <w:spacing w:before="30" w:after="30"/>
              <w:rPr>
                <w:szCs w:val="18"/>
              </w:rPr>
            </w:pPr>
            <w:r w:rsidRPr="0018386D">
              <w:rPr>
                <w:szCs w:val="18"/>
              </w:rPr>
              <w:t>20,000</w:t>
            </w:r>
            <w:r w:rsidR="00381E0B" w:rsidRPr="0018386D">
              <w:rPr>
                <w:szCs w:val="18"/>
              </w:rPr>
              <w:t>–</w:t>
            </w:r>
            <w:r w:rsidRPr="0018386D">
              <w:rPr>
                <w:szCs w:val="18"/>
              </w:rPr>
              <w:t>25,000 kg</w:t>
            </w:r>
          </w:p>
        </w:tc>
        <w:tc>
          <w:tcPr>
            <w:tcW w:w="567" w:type="dxa"/>
            <w:shd w:val="clear" w:color="000000" w:fill="FFFFFF"/>
            <w:noWrap/>
            <w:hideMark/>
          </w:tcPr>
          <w:p w14:paraId="4BB754ED"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5341D3D9" w14:textId="33D37E21" w:rsidR="008E2ED2" w:rsidRPr="0018386D" w:rsidRDefault="008E2ED2" w:rsidP="00DD3106">
            <w:pPr>
              <w:pStyle w:val="TableText"/>
              <w:spacing w:before="30" w:after="30"/>
              <w:rPr>
                <w:szCs w:val="18"/>
              </w:rPr>
            </w:pPr>
            <w:r w:rsidRPr="0018386D">
              <w:rPr>
                <w:szCs w:val="18"/>
              </w:rPr>
              <w:t>1.20</w:t>
            </w:r>
          </w:p>
        </w:tc>
        <w:tc>
          <w:tcPr>
            <w:tcW w:w="1361" w:type="dxa"/>
            <w:shd w:val="clear" w:color="000000" w:fill="FFFFFF"/>
            <w:noWrap/>
            <w:hideMark/>
          </w:tcPr>
          <w:p w14:paraId="1F691E2D" w14:textId="539A8085" w:rsidR="008E2ED2" w:rsidRPr="0018386D" w:rsidRDefault="008E2ED2" w:rsidP="00DD3106">
            <w:pPr>
              <w:pStyle w:val="TableText"/>
              <w:spacing w:before="30" w:after="30"/>
              <w:rPr>
                <w:szCs w:val="18"/>
              </w:rPr>
            </w:pPr>
            <w:r w:rsidRPr="0018386D">
              <w:rPr>
                <w:szCs w:val="18"/>
              </w:rPr>
              <w:t>1.18</w:t>
            </w:r>
          </w:p>
        </w:tc>
        <w:tc>
          <w:tcPr>
            <w:tcW w:w="1361" w:type="dxa"/>
            <w:shd w:val="clear" w:color="000000" w:fill="FFFFFF"/>
            <w:noWrap/>
            <w:hideMark/>
          </w:tcPr>
          <w:p w14:paraId="1EB75EDE" w14:textId="077D0396" w:rsidR="008E2ED2" w:rsidRPr="0018386D" w:rsidRDefault="008E2ED2" w:rsidP="00DD3106">
            <w:pPr>
              <w:pStyle w:val="TableText"/>
              <w:spacing w:before="30" w:after="30"/>
              <w:rPr>
                <w:szCs w:val="18"/>
              </w:rPr>
            </w:pPr>
            <w:r w:rsidRPr="0018386D">
              <w:rPr>
                <w:szCs w:val="18"/>
              </w:rPr>
              <w:t>0.00176</w:t>
            </w:r>
          </w:p>
        </w:tc>
        <w:tc>
          <w:tcPr>
            <w:tcW w:w="1361" w:type="dxa"/>
            <w:shd w:val="clear" w:color="000000" w:fill="FFFFFF"/>
            <w:noWrap/>
            <w:hideMark/>
          </w:tcPr>
          <w:p w14:paraId="7BBF3F2A" w14:textId="1B8F528A" w:rsidR="008E2ED2" w:rsidRPr="0018386D" w:rsidRDefault="008E2ED2" w:rsidP="00DD3106">
            <w:pPr>
              <w:pStyle w:val="TableText"/>
              <w:spacing w:before="30" w:after="30"/>
              <w:rPr>
                <w:szCs w:val="18"/>
              </w:rPr>
            </w:pPr>
            <w:r w:rsidRPr="0018386D">
              <w:rPr>
                <w:szCs w:val="18"/>
              </w:rPr>
              <w:t>0.0167</w:t>
            </w:r>
          </w:p>
        </w:tc>
      </w:tr>
      <w:tr w:rsidR="00D907BD" w:rsidRPr="0018386D" w14:paraId="237AB509" w14:textId="77777777" w:rsidTr="00AC3D0F">
        <w:trPr>
          <w:divId w:val="1626161459"/>
          <w:trHeight w:val="240"/>
        </w:trPr>
        <w:tc>
          <w:tcPr>
            <w:tcW w:w="1531" w:type="dxa"/>
            <w:tcBorders>
              <w:top w:val="nil"/>
              <w:bottom w:val="nil"/>
              <w:right w:val="single" w:sz="4" w:space="0" w:color="auto"/>
            </w:tcBorders>
            <w:shd w:val="clear" w:color="000000" w:fill="FFFFFF"/>
            <w:noWrap/>
            <w:hideMark/>
          </w:tcPr>
          <w:p w14:paraId="294D3DDC"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134ADB98" w14:textId="0FD22246" w:rsidR="008E2ED2" w:rsidRPr="0018386D" w:rsidRDefault="008E2ED2" w:rsidP="00DD3106">
            <w:pPr>
              <w:pStyle w:val="TableText"/>
              <w:spacing w:before="30" w:after="30"/>
              <w:rPr>
                <w:szCs w:val="18"/>
              </w:rPr>
            </w:pPr>
            <w:r w:rsidRPr="0018386D">
              <w:rPr>
                <w:szCs w:val="18"/>
              </w:rPr>
              <w:t>25,000</w:t>
            </w:r>
            <w:r w:rsidR="00381E0B" w:rsidRPr="0018386D">
              <w:rPr>
                <w:szCs w:val="18"/>
              </w:rPr>
              <w:t>–</w:t>
            </w:r>
            <w:r w:rsidRPr="0018386D">
              <w:rPr>
                <w:szCs w:val="18"/>
              </w:rPr>
              <w:t>30,000 kg</w:t>
            </w:r>
          </w:p>
        </w:tc>
        <w:tc>
          <w:tcPr>
            <w:tcW w:w="567" w:type="dxa"/>
            <w:shd w:val="clear" w:color="000000" w:fill="FFFFFF"/>
            <w:noWrap/>
            <w:hideMark/>
          </w:tcPr>
          <w:p w14:paraId="39D71250"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0AE65478" w14:textId="0B798690" w:rsidR="008E2ED2" w:rsidRPr="0018386D" w:rsidRDefault="008E2ED2" w:rsidP="00DD3106">
            <w:pPr>
              <w:pStyle w:val="TableText"/>
              <w:spacing w:before="30" w:after="30"/>
              <w:rPr>
                <w:szCs w:val="18"/>
              </w:rPr>
            </w:pPr>
            <w:r w:rsidRPr="0018386D">
              <w:rPr>
                <w:szCs w:val="18"/>
              </w:rPr>
              <w:t>1.39</w:t>
            </w:r>
          </w:p>
        </w:tc>
        <w:tc>
          <w:tcPr>
            <w:tcW w:w="1361" w:type="dxa"/>
            <w:shd w:val="clear" w:color="000000" w:fill="FFFFFF"/>
            <w:noWrap/>
            <w:hideMark/>
          </w:tcPr>
          <w:p w14:paraId="4143250F" w14:textId="502BFF74" w:rsidR="008E2ED2" w:rsidRPr="0018386D" w:rsidRDefault="008E2ED2" w:rsidP="00DD3106">
            <w:pPr>
              <w:pStyle w:val="TableText"/>
              <w:spacing w:before="30" w:after="30"/>
              <w:rPr>
                <w:szCs w:val="18"/>
              </w:rPr>
            </w:pPr>
            <w:r w:rsidRPr="0018386D">
              <w:rPr>
                <w:szCs w:val="18"/>
              </w:rPr>
              <w:t>1.36</w:t>
            </w:r>
          </w:p>
        </w:tc>
        <w:tc>
          <w:tcPr>
            <w:tcW w:w="1361" w:type="dxa"/>
            <w:shd w:val="clear" w:color="000000" w:fill="FFFFFF"/>
            <w:noWrap/>
            <w:hideMark/>
          </w:tcPr>
          <w:p w14:paraId="47F18365" w14:textId="22000660" w:rsidR="008E2ED2" w:rsidRPr="0018386D" w:rsidRDefault="008E2ED2" w:rsidP="00DD3106">
            <w:pPr>
              <w:pStyle w:val="TableText"/>
              <w:spacing w:before="30" w:after="30"/>
              <w:rPr>
                <w:szCs w:val="18"/>
              </w:rPr>
            </w:pPr>
            <w:r w:rsidRPr="0018386D">
              <w:rPr>
                <w:szCs w:val="18"/>
              </w:rPr>
              <w:t>0.00204</w:t>
            </w:r>
          </w:p>
        </w:tc>
        <w:tc>
          <w:tcPr>
            <w:tcW w:w="1361" w:type="dxa"/>
            <w:shd w:val="clear" w:color="000000" w:fill="FFFFFF"/>
            <w:noWrap/>
            <w:hideMark/>
          </w:tcPr>
          <w:p w14:paraId="174A9675" w14:textId="2968C537" w:rsidR="008E2ED2" w:rsidRPr="0018386D" w:rsidRDefault="008E2ED2" w:rsidP="00DD3106">
            <w:pPr>
              <w:pStyle w:val="TableText"/>
              <w:spacing w:before="30" w:after="30"/>
              <w:rPr>
                <w:szCs w:val="18"/>
              </w:rPr>
            </w:pPr>
            <w:r w:rsidRPr="0018386D">
              <w:rPr>
                <w:szCs w:val="18"/>
              </w:rPr>
              <w:t>0.0193</w:t>
            </w:r>
          </w:p>
        </w:tc>
      </w:tr>
      <w:tr w:rsidR="00D907BD" w:rsidRPr="0018386D" w14:paraId="107544A0" w14:textId="77777777" w:rsidTr="00575E53">
        <w:trPr>
          <w:divId w:val="1626161459"/>
          <w:trHeight w:val="240"/>
        </w:trPr>
        <w:tc>
          <w:tcPr>
            <w:tcW w:w="1531" w:type="dxa"/>
            <w:tcBorders>
              <w:top w:val="nil"/>
              <w:bottom w:val="single" w:sz="4" w:space="0" w:color="1B556B" w:themeColor="text2"/>
              <w:right w:val="single" w:sz="4" w:space="0" w:color="auto"/>
            </w:tcBorders>
            <w:shd w:val="clear" w:color="000000" w:fill="FFFFFF"/>
            <w:noWrap/>
            <w:hideMark/>
          </w:tcPr>
          <w:p w14:paraId="357FEC64" w14:textId="77777777" w:rsidR="008E2ED2" w:rsidRPr="0018386D" w:rsidRDefault="008E2ED2" w:rsidP="00DD3106">
            <w:pPr>
              <w:pStyle w:val="TableText"/>
              <w:spacing w:before="30" w:after="30"/>
              <w:rPr>
                <w:szCs w:val="18"/>
              </w:rPr>
            </w:pPr>
            <w:r w:rsidRPr="0018386D">
              <w:rPr>
                <w:szCs w:val="18"/>
              </w:rPr>
              <w:t> </w:t>
            </w:r>
          </w:p>
        </w:tc>
        <w:tc>
          <w:tcPr>
            <w:tcW w:w="1644" w:type="dxa"/>
            <w:tcBorders>
              <w:left w:val="single" w:sz="4" w:space="0" w:color="auto"/>
            </w:tcBorders>
            <w:shd w:val="clear" w:color="000000" w:fill="FFFFFF"/>
            <w:noWrap/>
            <w:hideMark/>
          </w:tcPr>
          <w:p w14:paraId="079C952B" w14:textId="259F8245" w:rsidR="008E2ED2" w:rsidRPr="0018386D" w:rsidRDefault="008E2ED2" w:rsidP="00DD3106">
            <w:pPr>
              <w:pStyle w:val="TableText"/>
              <w:spacing w:before="30" w:after="30"/>
              <w:rPr>
                <w:szCs w:val="18"/>
              </w:rPr>
            </w:pPr>
            <w:r w:rsidRPr="0018386D">
              <w:rPr>
                <w:szCs w:val="18"/>
              </w:rPr>
              <w:t>≥30,000 kg</w:t>
            </w:r>
          </w:p>
        </w:tc>
        <w:tc>
          <w:tcPr>
            <w:tcW w:w="567" w:type="dxa"/>
            <w:shd w:val="clear" w:color="000000" w:fill="FFFFFF"/>
            <w:noWrap/>
            <w:hideMark/>
          </w:tcPr>
          <w:p w14:paraId="1D13481F" w14:textId="77777777" w:rsidR="008E2ED2" w:rsidRPr="0018386D" w:rsidRDefault="008E2ED2" w:rsidP="00DD3106">
            <w:pPr>
              <w:pStyle w:val="TableText"/>
              <w:spacing w:before="30" w:after="30"/>
              <w:rPr>
                <w:szCs w:val="18"/>
              </w:rPr>
            </w:pPr>
            <w:r w:rsidRPr="0018386D">
              <w:rPr>
                <w:szCs w:val="18"/>
              </w:rPr>
              <w:t>km</w:t>
            </w:r>
          </w:p>
        </w:tc>
        <w:tc>
          <w:tcPr>
            <w:tcW w:w="1361" w:type="dxa"/>
            <w:shd w:val="clear" w:color="000000" w:fill="D2DDE1"/>
            <w:noWrap/>
            <w:hideMark/>
          </w:tcPr>
          <w:p w14:paraId="07C29B44" w14:textId="33628FF2" w:rsidR="008E2ED2" w:rsidRPr="0018386D" w:rsidRDefault="008E2ED2" w:rsidP="00DD3106">
            <w:pPr>
              <w:pStyle w:val="TableText"/>
              <w:spacing w:before="30" w:after="30"/>
              <w:rPr>
                <w:szCs w:val="18"/>
              </w:rPr>
            </w:pPr>
            <w:r w:rsidRPr="0018386D">
              <w:rPr>
                <w:szCs w:val="18"/>
              </w:rPr>
              <w:t>1.46</w:t>
            </w:r>
          </w:p>
        </w:tc>
        <w:tc>
          <w:tcPr>
            <w:tcW w:w="1361" w:type="dxa"/>
            <w:shd w:val="clear" w:color="000000" w:fill="FFFFFF"/>
            <w:noWrap/>
            <w:hideMark/>
          </w:tcPr>
          <w:p w14:paraId="4FCB368D" w14:textId="6738FCE5" w:rsidR="008E2ED2" w:rsidRPr="0018386D" w:rsidRDefault="008E2ED2" w:rsidP="00DD3106">
            <w:pPr>
              <w:pStyle w:val="TableText"/>
              <w:spacing w:before="30" w:after="30"/>
              <w:rPr>
                <w:szCs w:val="18"/>
              </w:rPr>
            </w:pPr>
            <w:r w:rsidRPr="0018386D">
              <w:rPr>
                <w:szCs w:val="18"/>
              </w:rPr>
              <w:t>1.44</w:t>
            </w:r>
          </w:p>
        </w:tc>
        <w:tc>
          <w:tcPr>
            <w:tcW w:w="1361" w:type="dxa"/>
            <w:shd w:val="clear" w:color="000000" w:fill="FFFFFF"/>
            <w:noWrap/>
            <w:hideMark/>
          </w:tcPr>
          <w:p w14:paraId="41F89790" w14:textId="104AD00F" w:rsidR="008E2ED2" w:rsidRPr="0018386D" w:rsidRDefault="008E2ED2" w:rsidP="00DD3106">
            <w:pPr>
              <w:pStyle w:val="TableText"/>
              <w:spacing w:before="30" w:after="30"/>
              <w:rPr>
                <w:szCs w:val="18"/>
              </w:rPr>
            </w:pPr>
            <w:r w:rsidRPr="0018386D">
              <w:rPr>
                <w:szCs w:val="18"/>
              </w:rPr>
              <w:t>0.00215</w:t>
            </w:r>
          </w:p>
        </w:tc>
        <w:tc>
          <w:tcPr>
            <w:tcW w:w="1361" w:type="dxa"/>
            <w:shd w:val="clear" w:color="000000" w:fill="FFFFFF"/>
            <w:noWrap/>
            <w:hideMark/>
          </w:tcPr>
          <w:p w14:paraId="78DB4F11" w14:textId="211C9463" w:rsidR="008E2ED2" w:rsidRPr="0018386D" w:rsidRDefault="008E2ED2" w:rsidP="00DD3106">
            <w:pPr>
              <w:pStyle w:val="TableText"/>
              <w:spacing w:before="30" w:after="30"/>
              <w:rPr>
                <w:szCs w:val="18"/>
              </w:rPr>
            </w:pPr>
            <w:r w:rsidRPr="0018386D">
              <w:rPr>
                <w:szCs w:val="18"/>
              </w:rPr>
              <w:t>0.0203</w:t>
            </w:r>
          </w:p>
        </w:tc>
      </w:tr>
    </w:tbl>
    <w:p w14:paraId="23939544" w14:textId="0E3045E8" w:rsidR="1DB2C466" w:rsidRPr="0018386D" w:rsidRDefault="00C7627E" w:rsidP="00DD3106">
      <w:pPr>
        <w:pStyle w:val="BodyText"/>
        <w:spacing w:before="240"/>
      </w:pPr>
      <w:hyperlink w:anchor="Table50" w:history="1">
        <w:r w:rsidR="1DB2C466" w:rsidRPr="0018386D">
          <w:rPr>
            <w:rStyle w:val="Hyperlink"/>
          </w:rPr>
          <w:t>Table 50</w:t>
        </w:r>
      </w:hyperlink>
      <w:r w:rsidR="1DB2C466" w:rsidRPr="0018386D">
        <w:t xml:space="preserve"> contains the default emission factors for heavy goods vehicles, based on a 2010</w:t>
      </w:r>
      <w:r w:rsidR="00334CF0" w:rsidRPr="0018386D">
        <w:t>–</w:t>
      </w:r>
      <w:r w:rsidR="189EE48E" w:rsidRPr="0018386D">
        <w:t xml:space="preserve">2015 </w:t>
      </w:r>
      <w:r w:rsidR="1DB2C466" w:rsidRPr="0018386D">
        <w:t>flee</w:t>
      </w:r>
      <w:r w:rsidR="6665518A" w:rsidRPr="0018386D">
        <w:t>t</w:t>
      </w:r>
      <w:r w:rsidR="11D34FDA" w:rsidRPr="0018386D">
        <w:t>.</w:t>
      </w:r>
      <w:r w:rsidR="00916D2B" w:rsidRPr="0018386D">
        <w:t xml:space="preserve"> </w:t>
      </w:r>
    </w:p>
    <w:p w14:paraId="65092718" w14:textId="41FE4F1A" w:rsidR="00EC122D" w:rsidRPr="0018386D" w:rsidRDefault="00720123" w:rsidP="00DD3106">
      <w:pPr>
        <w:pStyle w:val="Tableheading"/>
      </w:pPr>
      <w:bookmarkStart w:id="622" w:name="Table50"/>
      <w:bookmarkStart w:id="623" w:name="_Toc111536662"/>
      <w:bookmarkStart w:id="624" w:name="_Toc140048990"/>
      <w:r w:rsidRPr="0018386D">
        <w:t xml:space="preserve">Table </w:t>
      </w:r>
      <w:r w:rsidRPr="0018386D">
        <w:fldChar w:fldCharType="begin"/>
      </w:r>
      <w:r w:rsidRPr="0018386D">
        <w:instrText>SEQ Table \* ARABIC</w:instrText>
      </w:r>
      <w:r w:rsidRPr="0018386D">
        <w:fldChar w:fldCharType="separate"/>
      </w:r>
      <w:r w:rsidRPr="0018386D">
        <w:t>50</w:t>
      </w:r>
      <w:r w:rsidRPr="0018386D">
        <w:fldChar w:fldCharType="end"/>
      </w:r>
      <w:bookmarkEnd w:id="622"/>
      <w:r w:rsidRPr="0018386D">
        <w:t>:</w:t>
      </w:r>
      <w:r w:rsidRPr="0018386D">
        <w:tab/>
      </w:r>
      <w:r w:rsidR="00EC122D" w:rsidRPr="0018386D">
        <w:t>Emission factors for heavy goods vehicles manufactured between 2010</w:t>
      </w:r>
      <w:r w:rsidR="00DD6397" w:rsidRPr="0018386D">
        <w:t xml:space="preserve"> and</w:t>
      </w:r>
      <w:r w:rsidR="00C50F82" w:rsidRPr="0018386D">
        <w:t> </w:t>
      </w:r>
      <w:proofErr w:type="gramStart"/>
      <w:r w:rsidR="00EC122D" w:rsidRPr="0018386D">
        <w:t>2015</w:t>
      </w:r>
      <w:bookmarkEnd w:id="623"/>
      <w:bookmarkEnd w:id="624"/>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57" w:type="dxa"/>
          <w:right w:w="57" w:type="dxa"/>
        </w:tblCellMar>
        <w:tblLook w:val="04A0" w:firstRow="1" w:lastRow="0" w:firstColumn="1" w:lastColumn="0" w:noHBand="0" w:noVBand="1"/>
      </w:tblPr>
      <w:tblGrid>
        <w:gridCol w:w="1419"/>
        <w:gridCol w:w="1644"/>
        <w:gridCol w:w="567"/>
        <w:gridCol w:w="1134"/>
        <w:gridCol w:w="1247"/>
        <w:gridCol w:w="1247"/>
        <w:gridCol w:w="1247"/>
      </w:tblGrid>
      <w:tr w:rsidR="006316C3" w:rsidRPr="0018386D" w14:paraId="71A607FE" w14:textId="77777777" w:rsidTr="00472FA1">
        <w:trPr>
          <w:divId w:val="1620720466"/>
          <w:trHeight w:val="240"/>
        </w:trPr>
        <w:tc>
          <w:tcPr>
            <w:tcW w:w="1420" w:type="dxa"/>
            <w:tcBorders>
              <w:bottom w:val="nil"/>
            </w:tcBorders>
            <w:shd w:val="clear" w:color="000000" w:fill="1B556B" w:themeFill="text2"/>
            <w:noWrap/>
            <w:vAlign w:val="bottom"/>
            <w:hideMark/>
          </w:tcPr>
          <w:p w14:paraId="568A5F5F" w14:textId="31A49B56" w:rsidR="008E2ED2" w:rsidRPr="0018386D" w:rsidRDefault="008E2ED2" w:rsidP="00DD3106">
            <w:pPr>
              <w:pStyle w:val="TableText"/>
              <w:spacing w:before="30" w:after="30"/>
              <w:rPr>
                <w:b/>
                <w:bCs/>
                <w:color w:val="FFFFFF" w:themeColor="background1"/>
              </w:rPr>
            </w:pPr>
            <w:bookmarkStart w:id="625" w:name="_1746366854"/>
            <w:bookmarkStart w:id="626" w:name="_1745997853"/>
            <w:bookmarkStart w:id="627" w:name="_1746254085"/>
            <w:bookmarkStart w:id="628" w:name="_1747051280"/>
            <w:bookmarkEnd w:id="625"/>
            <w:bookmarkEnd w:id="626"/>
            <w:bookmarkEnd w:id="627"/>
            <w:bookmarkEnd w:id="628"/>
            <w:r w:rsidRPr="0018386D">
              <w:rPr>
                <w:b/>
                <w:bCs/>
                <w:color w:val="FFFFFF" w:themeColor="background1"/>
              </w:rPr>
              <w:t>Emission source</w:t>
            </w:r>
          </w:p>
        </w:tc>
        <w:tc>
          <w:tcPr>
            <w:tcW w:w="1644" w:type="dxa"/>
            <w:shd w:val="clear" w:color="000000" w:fill="1B556B" w:themeFill="text2"/>
            <w:noWrap/>
            <w:vAlign w:val="bottom"/>
            <w:hideMark/>
          </w:tcPr>
          <w:p w14:paraId="1579AEA2" w14:textId="77777777" w:rsidR="008E2ED2" w:rsidRPr="0018386D" w:rsidRDefault="008E2ED2" w:rsidP="00DD3106">
            <w:pPr>
              <w:pStyle w:val="TableText"/>
              <w:spacing w:before="30" w:after="30"/>
              <w:rPr>
                <w:b/>
                <w:bCs/>
                <w:color w:val="FFFFFF" w:themeColor="background1"/>
              </w:rPr>
            </w:pPr>
            <w:r w:rsidRPr="0018386D">
              <w:rPr>
                <w:b/>
                <w:bCs/>
                <w:color w:val="FFFFFF" w:themeColor="background1"/>
              </w:rPr>
              <w:t> </w:t>
            </w:r>
          </w:p>
        </w:tc>
        <w:tc>
          <w:tcPr>
            <w:tcW w:w="567" w:type="dxa"/>
            <w:shd w:val="clear" w:color="000000" w:fill="1B556B" w:themeFill="text2"/>
            <w:noWrap/>
            <w:vAlign w:val="bottom"/>
            <w:hideMark/>
          </w:tcPr>
          <w:p w14:paraId="782D3EA3" w14:textId="77777777" w:rsidR="008E2ED2" w:rsidRPr="0018386D" w:rsidRDefault="008E2ED2" w:rsidP="00DD3106">
            <w:pPr>
              <w:pStyle w:val="TableText"/>
              <w:spacing w:before="30" w:after="30"/>
              <w:rPr>
                <w:b/>
                <w:bCs/>
                <w:color w:val="FFFFFF" w:themeColor="background1"/>
              </w:rPr>
            </w:pPr>
            <w:r w:rsidRPr="0018386D">
              <w:rPr>
                <w:b/>
                <w:bCs/>
                <w:color w:val="FFFFFF" w:themeColor="background1"/>
              </w:rPr>
              <w:t>Unit</w:t>
            </w:r>
          </w:p>
        </w:tc>
        <w:tc>
          <w:tcPr>
            <w:tcW w:w="1134" w:type="dxa"/>
            <w:shd w:val="clear" w:color="000000" w:fill="1B556B" w:themeFill="text2"/>
            <w:noWrap/>
            <w:vAlign w:val="bottom"/>
            <w:hideMark/>
          </w:tcPr>
          <w:p w14:paraId="7AC8DF7C" w14:textId="7698A1E4" w:rsidR="008E2ED2" w:rsidRPr="0018386D" w:rsidRDefault="008E2ED2" w:rsidP="00DD3106">
            <w:pPr>
              <w:pStyle w:val="TableText"/>
              <w:spacing w:before="30" w:after="30"/>
              <w:rPr>
                <w:b/>
                <w:bCs/>
                <w:color w:val="FFFFFF" w:themeColor="background1"/>
              </w:rPr>
            </w:pPr>
            <w:r w:rsidRPr="0018386D">
              <w:rPr>
                <w:b/>
                <w:bCs/>
                <w:color w:val="FFFFFF" w:themeColor="background1"/>
              </w:rPr>
              <w:t>kg CO₂-e/unit</w:t>
            </w:r>
          </w:p>
        </w:tc>
        <w:tc>
          <w:tcPr>
            <w:tcW w:w="1247" w:type="dxa"/>
            <w:shd w:val="clear" w:color="000000" w:fill="1B556B" w:themeFill="text2"/>
            <w:noWrap/>
            <w:vAlign w:val="bottom"/>
            <w:hideMark/>
          </w:tcPr>
          <w:p w14:paraId="07328406" w14:textId="68E0EC38" w:rsidR="008E2ED2" w:rsidRPr="0018386D" w:rsidRDefault="008E2ED2" w:rsidP="00DD3106">
            <w:pPr>
              <w:pStyle w:val="TableText"/>
              <w:spacing w:before="30" w:after="30"/>
              <w:rPr>
                <w:b/>
                <w:bCs/>
                <w:color w:val="FFFFFF" w:themeColor="background1"/>
              </w:rPr>
            </w:pPr>
            <w:r w:rsidRPr="0018386D">
              <w:rPr>
                <w:b/>
                <w:bCs/>
                <w:color w:val="FFFFFF" w:themeColor="background1"/>
              </w:rPr>
              <w:t>CO₂ (kg CO₂</w:t>
            </w:r>
            <w:r w:rsidRPr="0018386D">
              <w:rPr>
                <w:b/>
                <w:bCs/>
                <w:color w:val="FFFFFF" w:themeColor="background1"/>
              </w:rPr>
              <w:noBreakHyphen/>
              <w:t>e/</w:t>
            </w:r>
            <w:r w:rsidR="00281F59" w:rsidRPr="0018386D">
              <w:rPr>
                <w:b/>
                <w:bCs/>
                <w:color w:val="FFFFFF" w:themeColor="background1"/>
              </w:rPr>
              <w:t xml:space="preserve"> </w:t>
            </w:r>
            <w:r w:rsidRPr="0018386D">
              <w:rPr>
                <w:b/>
                <w:bCs/>
                <w:color w:val="FFFFFF" w:themeColor="background1"/>
              </w:rPr>
              <w:t>unit)</w:t>
            </w:r>
          </w:p>
        </w:tc>
        <w:tc>
          <w:tcPr>
            <w:tcW w:w="1247" w:type="dxa"/>
            <w:shd w:val="clear" w:color="000000" w:fill="1B556B" w:themeFill="text2"/>
            <w:noWrap/>
            <w:vAlign w:val="bottom"/>
            <w:hideMark/>
          </w:tcPr>
          <w:p w14:paraId="37FF83EA" w14:textId="17D31D2D" w:rsidR="008E2ED2" w:rsidRPr="0018386D" w:rsidRDefault="008E2ED2" w:rsidP="00DD3106">
            <w:pPr>
              <w:pStyle w:val="TableText"/>
              <w:spacing w:before="30" w:after="30"/>
              <w:rPr>
                <w:b/>
                <w:bCs/>
                <w:color w:val="FFFFFF" w:themeColor="background1"/>
              </w:rPr>
            </w:pPr>
            <w:r w:rsidRPr="0018386D">
              <w:rPr>
                <w:b/>
                <w:bCs/>
                <w:color w:val="FFFFFF" w:themeColor="background1"/>
              </w:rPr>
              <w:t>CH₄ (kg CO₂-e/</w:t>
            </w:r>
            <w:r w:rsidR="00281F59" w:rsidRPr="0018386D">
              <w:rPr>
                <w:b/>
                <w:bCs/>
                <w:color w:val="FFFFFF" w:themeColor="background1"/>
              </w:rPr>
              <w:t xml:space="preserve"> </w:t>
            </w:r>
            <w:r w:rsidRPr="0018386D">
              <w:rPr>
                <w:b/>
                <w:bCs/>
                <w:color w:val="FFFFFF" w:themeColor="background1"/>
              </w:rPr>
              <w:t>unit)</w:t>
            </w:r>
          </w:p>
        </w:tc>
        <w:tc>
          <w:tcPr>
            <w:tcW w:w="1247" w:type="dxa"/>
            <w:shd w:val="clear" w:color="000000" w:fill="1B556B" w:themeFill="text2"/>
            <w:noWrap/>
            <w:vAlign w:val="bottom"/>
            <w:hideMark/>
          </w:tcPr>
          <w:p w14:paraId="60748884" w14:textId="1913125B" w:rsidR="008E2ED2" w:rsidRPr="0018386D" w:rsidRDefault="008E2ED2" w:rsidP="00DD3106">
            <w:pPr>
              <w:pStyle w:val="TableText"/>
              <w:spacing w:before="30" w:after="30"/>
              <w:rPr>
                <w:b/>
                <w:bCs/>
                <w:color w:val="FFFFFF" w:themeColor="background1"/>
              </w:rPr>
            </w:pPr>
            <w:r w:rsidRPr="0018386D">
              <w:rPr>
                <w:b/>
                <w:bCs/>
                <w:color w:val="FFFFFF" w:themeColor="background1"/>
              </w:rPr>
              <w:t>N₂O (kg CO₂-e/</w:t>
            </w:r>
            <w:r w:rsidR="00281F59" w:rsidRPr="0018386D">
              <w:rPr>
                <w:b/>
                <w:bCs/>
                <w:color w:val="FFFFFF" w:themeColor="background1"/>
              </w:rPr>
              <w:t xml:space="preserve"> </w:t>
            </w:r>
            <w:r w:rsidRPr="0018386D">
              <w:rPr>
                <w:b/>
                <w:bCs/>
                <w:color w:val="FFFFFF" w:themeColor="background1"/>
              </w:rPr>
              <w:t>unit)</w:t>
            </w:r>
          </w:p>
        </w:tc>
      </w:tr>
      <w:tr w:rsidR="006316C3" w:rsidRPr="0018386D" w14:paraId="29C40A20"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098D8587" w14:textId="77777777" w:rsidR="008E2ED2" w:rsidRPr="0018386D" w:rsidRDefault="008E2ED2" w:rsidP="00DD3106">
            <w:pPr>
              <w:pStyle w:val="TableText"/>
              <w:spacing w:before="30" w:after="30"/>
              <w:rPr>
                <w:color w:val="000000"/>
              </w:rPr>
            </w:pPr>
            <w:r w:rsidRPr="0018386D">
              <w:rPr>
                <w:color w:val="000000"/>
              </w:rPr>
              <w:t>HGV diesel</w:t>
            </w:r>
          </w:p>
        </w:tc>
        <w:tc>
          <w:tcPr>
            <w:tcW w:w="1644" w:type="dxa"/>
            <w:tcBorders>
              <w:left w:val="single" w:sz="4" w:space="0" w:color="auto"/>
            </w:tcBorders>
            <w:shd w:val="clear" w:color="000000" w:fill="FFFFFF"/>
            <w:noWrap/>
            <w:hideMark/>
          </w:tcPr>
          <w:p w14:paraId="15482F0A" w14:textId="763CA5B5" w:rsidR="008E2ED2" w:rsidRPr="0018386D" w:rsidRDefault="008E2ED2" w:rsidP="00DD3106">
            <w:pPr>
              <w:pStyle w:val="TableText"/>
              <w:spacing w:before="30" w:after="30"/>
              <w:rPr>
                <w:color w:val="000000"/>
              </w:rPr>
            </w:pPr>
            <w:r w:rsidRPr="0018386D">
              <w:rPr>
                <w:color w:val="000000"/>
              </w:rPr>
              <w:t>&lt;5,000 kg</w:t>
            </w:r>
          </w:p>
        </w:tc>
        <w:tc>
          <w:tcPr>
            <w:tcW w:w="567" w:type="dxa"/>
            <w:shd w:val="clear" w:color="000000" w:fill="FFFFFF"/>
            <w:noWrap/>
            <w:hideMark/>
          </w:tcPr>
          <w:p w14:paraId="0D413F71"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1B2B9D5B" w14:textId="7E74FD77" w:rsidR="008E2ED2" w:rsidRPr="0018386D" w:rsidRDefault="008E2ED2" w:rsidP="00DD3106">
            <w:pPr>
              <w:pStyle w:val="TableText"/>
              <w:spacing w:before="30" w:after="30"/>
              <w:rPr>
                <w:color w:val="000000"/>
              </w:rPr>
            </w:pPr>
            <w:r w:rsidRPr="0018386D">
              <w:rPr>
                <w:color w:val="000000"/>
              </w:rPr>
              <w:t>0.427</w:t>
            </w:r>
          </w:p>
        </w:tc>
        <w:tc>
          <w:tcPr>
            <w:tcW w:w="1247" w:type="dxa"/>
            <w:shd w:val="clear" w:color="000000" w:fill="FFFFFF"/>
            <w:noWrap/>
            <w:hideMark/>
          </w:tcPr>
          <w:p w14:paraId="73407496" w14:textId="692CA9FA" w:rsidR="008E2ED2" w:rsidRPr="0018386D" w:rsidRDefault="008E2ED2" w:rsidP="00DD3106">
            <w:pPr>
              <w:pStyle w:val="TableText"/>
              <w:spacing w:before="30" w:after="30"/>
              <w:rPr>
                <w:color w:val="000000"/>
              </w:rPr>
            </w:pPr>
            <w:r w:rsidRPr="0018386D">
              <w:rPr>
                <w:color w:val="000000"/>
              </w:rPr>
              <w:t>0.420</w:t>
            </w:r>
          </w:p>
        </w:tc>
        <w:tc>
          <w:tcPr>
            <w:tcW w:w="1247" w:type="dxa"/>
            <w:shd w:val="clear" w:color="000000" w:fill="FFFFFF"/>
            <w:noWrap/>
            <w:hideMark/>
          </w:tcPr>
          <w:p w14:paraId="0AC5981B" w14:textId="7181BD73" w:rsidR="008E2ED2" w:rsidRPr="0018386D" w:rsidRDefault="008E2ED2" w:rsidP="00DD3106">
            <w:pPr>
              <w:pStyle w:val="TableText"/>
              <w:spacing w:before="30" w:after="30"/>
              <w:rPr>
                <w:color w:val="000000"/>
              </w:rPr>
            </w:pPr>
            <w:r w:rsidRPr="0018386D">
              <w:rPr>
                <w:color w:val="000000"/>
              </w:rPr>
              <w:t>0.0006</w:t>
            </w:r>
          </w:p>
        </w:tc>
        <w:tc>
          <w:tcPr>
            <w:tcW w:w="1247" w:type="dxa"/>
            <w:shd w:val="clear" w:color="000000" w:fill="FFFFFF"/>
            <w:noWrap/>
            <w:hideMark/>
          </w:tcPr>
          <w:p w14:paraId="5968EFCA" w14:textId="5A7BF858" w:rsidR="008E2ED2" w:rsidRPr="0018386D" w:rsidRDefault="008E2ED2" w:rsidP="00DD3106">
            <w:pPr>
              <w:pStyle w:val="TableText"/>
              <w:spacing w:before="30" w:after="30"/>
              <w:rPr>
                <w:color w:val="000000"/>
              </w:rPr>
            </w:pPr>
            <w:r w:rsidRPr="0018386D">
              <w:rPr>
                <w:color w:val="000000"/>
              </w:rPr>
              <w:t>0.00594</w:t>
            </w:r>
          </w:p>
        </w:tc>
      </w:tr>
      <w:tr w:rsidR="006316C3" w:rsidRPr="0018386D" w14:paraId="7F398BC7"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60C53D1F"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09C6C3C1" w14:textId="6AD4EED3" w:rsidR="008E2ED2" w:rsidRPr="0018386D" w:rsidRDefault="008E2ED2" w:rsidP="00DD3106">
            <w:pPr>
              <w:pStyle w:val="TableText"/>
              <w:spacing w:before="30" w:after="30"/>
              <w:rPr>
                <w:color w:val="000000"/>
              </w:rPr>
            </w:pPr>
            <w:r w:rsidRPr="0018386D">
              <w:rPr>
                <w:color w:val="000000"/>
              </w:rPr>
              <w:t>5,000</w:t>
            </w:r>
            <w:r w:rsidR="00BC42F9" w:rsidRPr="0018386D">
              <w:rPr>
                <w:color w:val="000000"/>
              </w:rPr>
              <w:t>–</w:t>
            </w:r>
            <w:r w:rsidRPr="0018386D">
              <w:rPr>
                <w:color w:val="000000"/>
              </w:rPr>
              <w:t>7,500 kg</w:t>
            </w:r>
          </w:p>
        </w:tc>
        <w:tc>
          <w:tcPr>
            <w:tcW w:w="567" w:type="dxa"/>
            <w:shd w:val="clear" w:color="000000" w:fill="FFFFFF"/>
            <w:noWrap/>
            <w:hideMark/>
          </w:tcPr>
          <w:p w14:paraId="29506F66"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0DCE5CF2" w14:textId="05DB0D24" w:rsidR="008E2ED2" w:rsidRPr="0018386D" w:rsidRDefault="008E2ED2" w:rsidP="00DD3106">
            <w:pPr>
              <w:pStyle w:val="TableText"/>
              <w:spacing w:before="30" w:after="30"/>
              <w:rPr>
                <w:color w:val="000000"/>
              </w:rPr>
            </w:pPr>
            <w:r w:rsidRPr="0018386D">
              <w:rPr>
                <w:color w:val="000000"/>
              </w:rPr>
              <w:t>0.489</w:t>
            </w:r>
          </w:p>
        </w:tc>
        <w:tc>
          <w:tcPr>
            <w:tcW w:w="1247" w:type="dxa"/>
            <w:shd w:val="clear" w:color="000000" w:fill="FFFFFF"/>
            <w:noWrap/>
            <w:hideMark/>
          </w:tcPr>
          <w:p w14:paraId="40D06EEE" w14:textId="3F93D48D" w:rsidR="008E2ED2" w:rsidRPr="0018386D" w:rsidRDefault="008E2ED2" w:rsidP="00DD3106">
            <w:pPr>
              <w:pStyle w:val="TableText"/>
              <w:spacing w:before="30" w:after="30"/>
              <w:rPr>
                <w:color w:val="000000"/>
              </w:rPr>
            </w:pPr>
            <w:r w:rsidRPr="0018386D">
              <w:rPr>
                <w:color w:val="000000"/>
              </w:rPr>
              <w:t>0.481</w:t>
            </w:r>
          </w:p>
        </w:tc>
        <w:tc>
          <w:tcPr>
            <w:tcW w:w="1247" w:type="dxa"/>
            <w:shd w:val="clear" w:color="000000" w:fill="FFFFFF"/>
            <w:noWrap/>
            <w:hideMark/>
          </w:tcPr>
          <w:p w14:paraId="173C7116" w14:textId="254E0116" w:rsidR="008E2ED2" w:rsidRPr="0018386D" w:rsidRDefault="008E2ED2" w:rsidP="00DD3106">
            <w:pPr>
              <w:pStyle w:val="TableText"/>
              <w:spacing w:before="30" w:after="30"/>
              <w:rPr>
                <w:color w:val="000000"/>
              </w:rPr>
            </w:pPr>
            <w:r w:rsidRPr="0018386D">
              <w:rPr>
                <w:color w:val="000000"/>
              </w:rPr>
              <w:t>0.0007</w:t>
            </w:r>
          </w:p>
        </w:tc>
        <w:tc>
          <w:tcPr>
            <w:tcW w:w="1247" w:type="dxa"/>
            <w:shd w:val="clear" w:color="000000" w:fill="FFFFFF"/>
            <w:noWrap/>
            <w:hideMark/>
          </w:tcPr>
          <w:p w14:paraId="04CB1D8E" w14:textId="73BDCB7B" w:rsidR="008E2ED2" w:rsidRPr="0018386D" w:rsidRDefault="008E2ED2" w:rsidP="00DD3106">
            <w:pPr>
              <w:pStyle w:val="TableText"/>
              <w:spacing w:before="30" w:after="30"/>
              <w:rPr>
                <w:color w:val="000000"/>
              </w:rPr>
            </w:pPr>
            <w:r w:rsidRPr="0018386D">
              <w:rPr>
                <w:color w:val="000000"/>
              </w:rPr>
              <w:t>0.00681</w:t>
            </w:r>
          </w:p>
        </w:tc>
      </w:tr>
      <w:tr w:rsidR="006316C3" w:rsidRPr="0018386D" w14:paraId="1AA987D2"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5DB43E2A"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66C1A83F" w14:textId="1397B1CD" w:rsidR="008E2ED2" w:rsidRPr="0018386D" w:rsidRDefault="008E2ED2" w:rsidP="00DD3106">
            <w:pPr>
              <w:pStyle w:val="TableText"/>
              <w:spacing w:before="30" w:after="30"/>
              <w:rPr>
                <w:color w:val="000000"/>
              </w:rPr>
            </w:pPr>
            <w:r w:rsidRPr="0018386D">
              <w:rPr>
                <w:color w:val="000000"/>
              </w:rPr>
              <w:t>7,500</w:t>
            </w:r>
            <w:r w:rsidR="00BC42F9" w:rsidRPr="0018386D">
              <w:rPr>
                <w:color w:val="000000"/>
              </w:rPr>
              <w:t>–</w:t>
            </w:r>
            <w:r w:rsidRPr="0018386D">
              <w:rPr>
                <w:color w:val="000000"/>
              </w:rPr>
              <w:t>10,000 kg</w:t>
            </w:r>
          </w:p>
        </w:tc>
        <w:tc>
          <w:tcPr>
            <w:tcW w:w="567" w:type="dxa"/>
            <w:shd w:val="clear" w:color="000000" w:fill="FFFFFF"/>
            <w:noWrap/>
            <w:hideMark/>
          </w:tcPr>
          <w:p w14:paraId="2E6074AB"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4568A0A8" w14:textId="3D8CC52A" w:rsidR="008E2ED2" w:rsidRPr="0018386D" w:rsidRDefault="008E2ED2" w:rsidP="00DD3106">
            <w:pPr>
              <w:pStyle w:val="TableText"/>
              <w:spacing w:before="30" w:after="30"/>
              <w:rPr>
                <w:color w:val="000000"/>
              </w:rPr>
            </w:pPr>
            <w:r w:rsidRPr="0018386D">
              <w:rPr>
                <w:color w:val="000000"/>
              </w:rPr>
              <w:t>0.598</w:t>
            </w:r>
          </w:p>
        </w:tc>
        <w:tc>
          <w:tcPr>
            <w:tcW w:w="1247" w:type="dxa"/>
            <w:shd w:val="clear" w:color="000000" w:fill="FFFFFF"/>
            <w:noWrap/>
            <w:hideMark/>
          </w:tcPr>
          <w:p w14:paraId="59E83362" w14:textId="5C749EDE" w:rsidR="008E2ED2" w:rsidRPr="0018386D" w:rsidRDefault="008E2ED2" w:rsidP="00DD3106">
            <w:pPr>
              <w:pStyle w:val="TableText"/>
              <w:spacing w:before="30" w:after="30"/>
              <w:rPr>
                <w:color w:val="000000"/>
              </w:rPr>
            </w:pPr>
            <w:r w:rsidRPr="0018386D">
              <w:rPr>
                <w:color w:val="000000"/>
              </w:rPr>
              <w:t>0.588</w:t>
            </w:r>
          </w:p>
        </w:tc>
        <w:tc>
          <w:tcPr>
            <w:tcW w:w="1247" w:type="dxa"/>
            <w:shd w:val="clear" w:color="000000" w:fill="FFFFFF"/>
            <w:noWrap/>
            <w:hideMark/>
          </w:tcPr>
          <w:p w14:paraId="3C081516" w14:textId="00FF96D9" w:rsidR="008E2ED2" w:rsidRPr="0018386D" w:rsidRDefault="008E2ED2" w:rsidP="00DD3106">
            <w:pPr>
              <w:pStyle w:val="TableText"/>
              <w:spacing w:before="30" w:after="30"/>
              <w:rPr>
                <w:color w:val="000000"/>
              </w:rPr>
            </w:pPr>
            <w:r w:rsidRPr="0018386D">
              <w:rPr>
                <w:color w:val="000000"/>
              </w:rPr>
              <w:t>0.0009</w:t>
            </w:r>
          </w:p>
        </w:tc>
        <w:tc>
          <w:tcPr>
            <w:tcW w:w="1247" w:type="dxa"/>
            <w:shd w:val="clear" w:color="000000" w:fill="FFFFFF"/>
            <w:noWrap/>
            <w:hideMark/>
          </w:tcPr>
          <w:p w14:paraId="1D1DC8B5" w14:textId="16EA333C" w:rsidR="008E2ED2" w:rsidRPr="0018386D" w:rsidRDefault="008E2ED2" w:rsidP="00DD3106">
            <w:pPr>
              <w:pStyle w:val="TableText"/>
              <w:spacing w:before="30" w:after="30"/>
              <w:rPr>
                <w:color w:val="000000"/>
              </w:rPr>
            </w:pPr>
            <w:r w:rsidRPr="0018386D">
              <w:rPr>
                <w:color w:val="000000"/>
              </w:rPr>
              <w:t>0.00832</w:t>
            </w:r>
          </w:p>
        </w:tc>
      </w:tr>
      <w:tr w:rsidR="006316C3" w:rsidRPr="0018386D" w14:paraId="62C1875C"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74CC4260"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5B1B5AD4" w14:textId="1F03AD5E" w:rsidR="008E2ED2" w:rsidRPr="0018386D" w:rsidRDefault="008E2ED2" w:rsidP="00DD3106">
            <w:pPr>
              <w:pStyle w:val="TableText"/>
              <w:spacing w:before="30" w:after="30"/>
              <w:rPr>
                <w:color w:val="000000"/>
              </w:rPr>
            </w:pPr>
            <w:r w:rsidRPr="0018386D">
              <w:rPr>
                <w:color w:val="000000"/>
              </w:rPr>
              <w:t>10,000</w:t>
            </w:r>
            <w:r w:rsidR="00BC42F9" w:rsidRPr="0018386D">
              <w:rPr>
                <w:color w:val="000000"/>
              </w:rPr>
              <w:t>–</w:t>
            </w:r>
            <w:r w:rsidRPr="0018386D">
              <w:rPr>
                <w:color w:val="000000"/>
              </w:rPr>
              <w:t>12,000 kg</w:t>
            </w:r>
          </w:p>
        </w:tc>
        <w:tc>
          <w:tcPr>
            <w:tcW w:w="567" w:type="dxa"/>
            <w:shd w:val="clear" w:color="000000" w:fill="FFFFFF"/>
            <w:noWrap/>
            <w:hideMark/>
          </w:tcPr>
          <w:p w14:paraId="43785DE4"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7BB6DCB9" w14:textId="6B1EBA13" w:rsidR="008E2ED2" w:rsidRPr="0018386D" w:rsidRDefault="008E2ED2" w:rsidP="00DD3106">
            <w:pPr>
              <w:pStyle w:val="TableText"/>
              <w:spacing w:before="30" w:after="30"/>
              <w:rPr>
                <w:color w:val="000000"/>
              </w:rPr>
            </w:pPr>
            <w:r w:rsidRPr="0018386D">
              <w:rPr>
                <w:color w:val="000000"/>
              </w:rPr>
              <w:t>0.706</w:t>
            </w:r>
          </w:p>
        </w:tc>
        <w:tc>
          <w:tcPr>
            <w:tcW w:w="1247" w:type="dxa"/>
            <w:shd w:val="clear" w:color="000000" w:fill="FFFFFF"/>
            <w:noWrap/>
            <w:hideMark/>
          </w:tcPr>
          <w:p w14:paraId="313EB0CD" w14:textId="5869D45A" w:rsidR="008E2ED2" w:rsidRPr="0018386D" w:rsidRDefault="008E2ED2" w:rsidP="00DD3106">
            <w:pPr>
              <w:pStyle w:val="TableText"/>
              <w:spacing w:before="30" w:after="30"/>
              <w:rPr>
                <w:color w:val="000000"/>
              </w:rPr>
            </w:pPr>
            <w:r w:rsidRPr="0018386D">
              <w:rPr>
                <w:color w:val="000000"/>
              </w:rPr>
              <w:t>0.695</w:t>
            </w:r>
          </w:p>
        </w:tc>
        <w:tc>
          <w:tcPr>
            <w:tcW w:w="1247" w:type="dxa"/>
            <w:shd w:val="clear" w:color="000000" w:fill="FFFFFF"/>
            <w:noWrap/>
            <w:hideMark/>
          </w:tcPr>
          <w:p w14:paraId="4D116B3C" w14:textId="6F04580F" w:rsidR="008E2ED2" w:rsidRPr="0018386D" w:rsidRDefault="008E2ED2" w:rsidP="00DD3106">
            <w:pPr>
              <w:pStyle w:val="TableText"/>
              <w:spacing w:before="30" w:after="30"/>
              <w:rPr>
                <w:color w:val="000000"/>
              </w:rPr>
            </w:pPr>
            <w:r w:rsidRPr="0018386D">
              <w:rPr>
                <w:color w:val="000000"/>
              </w:rPr>
              <w:t>0.00104</w:t>
            </w:r>
          </w:p>
        </w:tc>
        <w:tc>
          <w:tcPr>
            <w:tcW w:w="1247" w:type="dxa"/>
            <w:shd w:val="clear" w:color="000000" w:fill="FFFFFF"/>
            <w:noWrap/>
            <w:hideMark/>
          </w:tcPr>
          <w:p w14:paraId="304BB091" w14:textId="14B32FB6" w:rsidR="008E2ED2" w:rsidRPr="0018386D" w:rsidRDefault="008E2ED2" w:rsidP="00DD3106">
            <w:pPr>
              <w:pStyle w:val="TableText"/>
              <w:spacing w:before="30" w:after="30"/>
              <w:rPr>
                <w:color w:val="000000"/>
              </w:rPr>
            </w:pPr>
            <w:r w:rsidRPr="0018386D">
              <w:rPr>
                <w:color w:val="000000"/>
              </w:rPr>
              <w:t>0.00983</w:t>
            </w:r>
          </w:p>
        </w:tc>
      </w:tr>
      <w:tr w:rsidR="006316C3" w:rsidRPr="0018386D" w14:paraId="7D3C97C1"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3572C8B6"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0F8AC45D" w14:textId="03E547A9" w:rsidR="008E2ED2" w:rsidRPr="0018386D" w:rsidRDefault="008E2ED2" w:rsidP="00DD3106">
            <w:pPr>
              <w:pStyle w:val="TableText"/>
              <w:spacing w:before="30" w:after="30"/>
              <w:rPr>
                <w:color w:val="000000"/>
              </w:rPr>
            </w:pPr>
            <w:r w:rsidRPr="0018386D">
              <w:rPr>
                <w:color w:val="000000"/>
              </w:rPr>
              <w:t>12,000</w:t>
            </w:r>
            <w:r w:rsidR="00BC42F9" w:rsidRPr="0018386D">
              <w:rPr>
                <w:color w:val="000000"/>
              </w:rPr>
              <w:t>–</w:t>
            </w:r>
            <w:r w:rsidRPr="0018386D">
              <w:rPr>
                <w:color w:val="000000"/>
              </w:rPr>
              <w:t>15,000 kg</w:t>
            </w:r>
          </w:p>
        </w:tc>
        <w:tc>
          <w:tcPr>
            <w:tcW w:w="567" w:type="dxa"/>
            <w:shd w:val="clear" w:color="000000" w:fill="FFFFFF"/>
            <w:noWrap/>
            <w:hideMark/>
          </w:tcPr>
          <w:p w14:paraId="599BD9E2"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4B02927C" w14:textId="571C1220" w:rsidR="008E2ED2" w:rsidRPr="0018386D" w:rsidRDefault="008E2ED2" w:rsidP="00DD3106">
            <w:pPr>
              <w:pStyle w:val="TableText"/>
              <w:spacing w:before="30" w:after="30"/>
              <w:rPr>
                <w:color w:val="000000"/>
              </w:rPr>
            </w:pPr>
            <w:r w:rsidRPr="0018386D">
              <w:rPr>
                <w:color w:val="000000"/>
              </w:rPr>
              <w:t>0.805</w:t>
            </w:r>
          </w:p>
        </w:tc>
        <w:tc>
          <w:tcPr>
            <w:tcW w:w="1247" w:type="dxa"/>
            <w:shd w:val="clear" w:color="000000" w:fill="FFFFFF"/>
            <w:noWrap/>
            <w:hideMark/>
          </w:tcPr>
          <w:p w14:paraId="3CBA81A7" w14:textId="6AF041E5" w:rsidR="008E2ED2" w:rsidRPr="0018386D" w:rsidRDefault="008E2ED2" w:rsidP="00DD3106">
            <w:pPr>
              <w:pStyle w:val="TableText"/>
              <w:spacing w:before="30" w:after="30"/>
              <w:rPr>
                <w:color w:val="000000"/>
              </w:rPr>
            </w:pPr>
            <w:r w:rsidRPr="0018386D">
              <w:rPr>
                <w:color w:val="000000"/>
              </w:rPr>
              <w:t>0.793</w:t>
            </w:r>
          </w:p>
        </w:tc>
        <w:tc>
          <w:tcPr>
            <w:tcW w:w="1247" w:type="dxa"/>
            <w:shd w:val="clear" w:color="000000" w:fill="FFFFFF"/>
            <w:noWrap/>
            <w:hideMark/>
          </w:tcPr>
          <w:p w14:paraId="5A0CBF01" w14:textId="1E1CDA17" w:rsidR="008E2ED2" w:rsidRPr="0018386D" w:rsidRDefault="008E2ED2" w:rsidP="00DD3106">
            <w:pPr>
              <w:pStyle w:val="TableText"/>
              <w:spacing w:before="30" w:after="30"/>
              <w:rPr>
                <w:color w:val="000000"/>
              </w:rPr>
            </w:pPr>
            <w:r w:rsidRPr="0018386D">
              <w:rPr>
                <w:color w:val="000000"/>
              </w:rPr>
              <w:t>0.00118</w:t>
            </w:r>
          </w:p>
        </w:tc>
        <w:tc>
          <w:tcPr>
            <w:tcW w:w="1247" w:type="dxa"/>
            <w:shd w:val="clear" w:color="000000" w:fill="FFFFFF"/>
            <w:noWrap/>
            <w:hideMark/>
          </w:tcPr>
          <w:p w14:paraId="36087350" w14:textId="53E76D69" w:rsidR="008E2ED2" w:rsidRPr="0018386D" w:rsidRDefault="008E2ED2" w:rsidP="00DD3106">
            <w:pPr>
              <w:pStyle w:val="TableText"/>
              <w:spacing w:before="30" w:after="30"/>
              <w:rPr>
                <w:color w:val="000000"/>
              </w:rPr>
            </w:pPr>
            <w:r w:rsidRPr="0018386D">
              <w:rPr>
                <w:color w:val="000000"/>
              </w:rPr>
              <w:t>0.0112</w:t>
            </w:r>
          </w:p>
        </w:tc>
      </w:tr>
      <w:tr w:rsidR="006316C3" w:rsidRPr="0018386D" w14:paraId="50C0E1CC"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1896C332"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6ACB2735" w14:textId="4272E4A0" w:rsidR="008E2ED2" w:rsidRPr="0018386D" w:rsidRDefault="008E2ED2" w:rsidP="00DD3106">
            <w:pPr>
              <w:pStyle w:val="TableText"/>
              <w:spacing w:before="30" w:after="30"/>
              <w:rPr>
                <w:color w:val="000000"/>
              </w:rPr>
            </w:pPr>
            <w:r w:rsidRPr="0018386D">
              <w:rPr>
                <w:color w:val="000000"/>
              </w:rPr>
              <w:t>15,000</w:t>
            </w:r>
            <w:r w:rsidR="00BC42F9" w:rsidRPr="0018386D">
              <w:rPr>
                <w:color w:val="000000"/>
              </w:rPr>
              <w:t>–</w:t>
            </w:r>
            <w:r w:rsidRPr="0018386D">
              <w:rPr>
                <w:color w:val="000000"/>
              </w:rPr>
              <w:t>20,000 kg</w:t>
            </w:r>
          </w:p>
        </w:tc>
        <w:tc>
          <w:tcPr>
            <w:tcW w:w="567" w:type="dxa"/>
            <w:shd w:val="clear" w:color="000000" w:fill="FFFFFF"/>
            <w:noWrap/>
            <w:hideMark/>
          </w:tcPr>
          <w:p w14:paraId="0EAC187D"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7B342D2D" w14:textId="4CB9953B" w:rsidR="008E2ED2" w:rsidRPr="0018386D" w:rsidRDefault="008E2ED2" w:rsidP="00DD3106">
            <w:pPr>
              <w:pStyle w:val="TableText"/>
              <w:spacing w:before="30" w:after="30"/>
              <w:rPr>
                <w:color w:val="000000"/>
              </w:rPr>
            </w:pPr>
            <w:r w:rsidRPr="0018386D">
              <w:rPr>
                <w:color w:val="000000"/>
              </w:rPr>
              <w:t>0.966</w:t>
            </w:r>
          </w:p>
        </w:tc>
        <w:tc>
          <w:tcPr>
            <w:tcW w:w="1247" w:type="dxa"/>
            <w:shd w:val="clear" w:color="000000" w:fill="FFFFFF"/>
            <w:noWrap/>
            <w:hideMark/>
          </w:tcPr>
          <w:p w14:paraId="1BB61947" w14:textId="069EE0BD" w:rsidR="008E2ED2" w:rsidRPr="0018386D" w:rsidRDefault="008E2ED2" w:rsidP="00DD3106">
            <w:pPr>
              <w:pStyle w:val="TableText"/>
              <w:spacing w:before="30" w:after="30"/>
              <w:rPr>
                <w:color w:val="000000"/>
              </w:rPr>
            </w:pPr>
            <w:r w:rsidRPr="0018386D">
              <w:rPr>
                <w:color w:val="000000"/>
              </w:rPr>
              <w:t>0.951</w:t>
            </w:r>
          </w:p>
        </w:tc>
        <w:tc>
          <w:tcPr>
            <w:tcW w:w="1247" w:type="dxa"/>
            <w:shd w:val="clear" w:color="000000" w:fill="FFFFFF"/>
            <w:noWrap/>
            <w:hideMark/>
          </w:tcPr>
          <w:p w14:paraId="33F46B12" w14:textId="18206025" w:rsidR="008E2ED2" w:rsidRPr="0018386D" w:rsidRDefault="008E2ED2" w:rsidP="00DD3106">
            <w:pPr>
              <w:pStyle w:val="TableText"/>
              <w:spacing w:before="30" w:after="30"/>
              <w:rPr>
                <w:color w:val="000000"/>
              </w:rPr>
            </w:pPr>
            <w:r w:rsidRPr="0018386D">
              <w:rPr>
                <w:color w:val="000000"/>
              </w:rPr>
              <w:t>0.00142</w:t>
            </w:r>
          </w:p>
        </w:tc>
        <w:tc>
          <w:tcPr>
            <w:tcW w:w="1247" w:type="dxa"/>
            <w:shd w:val="clear" w:color="000000" w:fill="FFFFFF"/>
            <w:noWrap/>
            <w:hideMark/>
          </w:tcPr>
          <w:p w14:paraId="42BC66CF" w14:textId="2D1528BC" w:rsidR="008E2ED2" w:rsidRPr="0018386D" w:rsidRDefault="008E2ED2" w:rsidP="00DD3106">
            <w:pPr>
              <w:pStyle w:val="TableText"/>
              <w:spacing w:before="30" w:after="30"/>
              <w:rPr>
                <w:color w:val="000000"/>
              </w:rPr>
            </w:pPr>
            <w:r w:rsidRPr="0018386D">
              <w:rPr>
                <w:color w:val="000000"/>
              </w:rPr>
              <w:t>0.0135</w:t>
            </w:r>
          </w:p>
        </w:tc>
      </w:tr>
      <w:tr w:rsidR="006316C3" w:rsidRPr="0018386D" w14:paraId="576BA20A"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12A33DB5"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1B830021" w14:textId="699A820F" w:rsidR="008E2ED2" w:rsidRPr="0018386D" w:rsidRDefault="008E2ED2" w:rsidP="00DD3106">
            <w:pPr>
              <w:pStyle w:val="TableText"/>
              <w:spacing w:before="30" w:after="30"/>
              <w:rPr>
                <w:color w:val="000000"/>
              </w:rPr>
            </w:pPr>
            <w:r w:rsidRPr="0018386D">
              <w:rPr>
                <w:color w:val="000000"/>
              </w:rPr>
              <w:t>20,000</w:t>
            </w:r>
            <w:r w:rsidR="00BC42F9" w:rsidRPr="0018386D">
              <w:rPr>
                <w:color w:val="000000"/>
              </w:rPr>
              <w:t>–</w:t>
            </w:r>
            <w:r w:rsidRPr="0018386D">
              <w:rPr>
                <w:color w:val="000000"/>
              </w:rPr>
              <w:t>25,000 kg</w:t>
            </w:r>
          </w:p>
        </w:tc>
        <w:tc>
          <w:tcPr>
            <w:tcW w:w="567" w:type="dxa"/>
            <w:shd w:val="clear" w:color="000000" w:fill="FFFFFF"/>
            <w:noWrap/>
            <w:hideMark/>
          </w:tcPr>
          <w:p w14:paraId="0BA8AE62"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6136A883" w14:textId="677C78C0" w:rsidR="008E2ED2" w:rsidRPr="0018386D" w:rsidRDefault="008E2ED2" w:rsidP="00DD3106">
            <w:pPr>
              <w:pStyle w:val="TableText"/>
              <w:spacing w:before="30" w:after="30"/>
              <w:rPr>
                <w:color w:val="000000"/>
              </w:rPr>
            </w:pPr>
            <w:r w:rsidRPr="0018386D">
              <w:rPr>
                <w:color w:val="000000"/>
              </w:rPr>
              <w:t>1.29</w:t>
            </w:r>
          </w:p>
        </w:tc>
        <w:tc>
          <w:tcPr>
            <w:tcW w:w="1247" w:type="dxa"/>
            <w:shd w:val="clear" w:color="000000" w:fill="FFFFFF"/>
            <w:noWrap/>
            <w:hideMark/>
          </w:tcPr>
          <w:p w14:paraId="08EB8B4D" w14:textId="2D314EE5" w:rsidR="008E2ED2" w:rsidRPr="0018386D" w:rsidRDefault="008E2ED2" w:rsidP="00DD3106">
            <w:pPr>
              <w:pStyle w:val="TableText"/>
              <w:spacing w:before="30" w:after="30"/>
              <w:rPr>
                <w:color w:val="000000"/>
              </w:rPr>
            </w:pPr>
            <w:r w:rsidRPr="0018386D">
              <w:rPr>
                <w:color w:val="000000"/>
              </w:rPr>
              <w:t>1.27</w:t>
            </w:r>
          </w:p>
        </w:tc>
        <w:tc>
          <w:tcPr>
            <w:tcW w:w="1247" w:type="dxa"/>
            <w:shd w:val="clear" w:color="000000" w:fill="FFFFFF"/>
            <w:noWrap/>
            <w:hideMark/>
          </w:tcPr>
          <w:p w14:paraId="4F4BB70E" w14:textId="57AC654E" w:rsidR="008E2ED2" w:rsidRPr="0018386D" w:rsidRDefault="008E2ED2" w:rsidP="00DD3106">
            <w:pPr>
              <w:pStyle w:val="TableText"/>
              <w:spacing w:before="30" w:after="30"/>
              <w:rPr>
                <w:color w:val="000000"/>
              </w:rPr>
            </w:pPr>
            <w:r w:rsidRPr="0018386D">
              <w:rPr>
                <w:color w:val="000000"/>
              </w:rPr>
              <w:t>0.00189</w:t>
            </w:r>
          </w:p>
        </w:tc>
        <w:tc>
          <w:tcPr>
            <w:tcW w:w="1247" w:type="dxa"/>
            <w:shd w:val="clear" w:color="000000" w:fill="FFFFFF"/>
            <w:noWrap/>
            <w:hideMark/>
          </w:tcPr>
          <w:p w14:paraId="26BA62C3" w14:textId="0BB7516F" w:rsidR="008E2ED2" w:rsidRPr="0018386D" w:rsidRDefault="008E2ED2" w:rsidP="00DD3106">
            <w:pPr>
              <w:pStyle w:val="TableText"/>
              <w:spacing w:before="30" w:after="30"/>
              <w:rPr>
                <w:color w:val="000000"/>
              </w:rPr>
            </w:pPr>
            <w:r w:rsidRPr="0018386D">
              <w:rPr>
                <w:color w:val="000000"/>
              </w:rPr>
              <w:t>0.0179</w:t>
            </w:r>
          </w:p>
        </w:tc>
      </w:tr>
      <w:tr w:rsidR="006316C3" w:rsidRPr="0018386D" w14:paraId="596BB690"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5734333F"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089EDB05" w14:textId="46A615BC" w:rsidR="008E2ED2" w:rsidRPr="0018386D" w:rsidRDefault="008E2ED2" w:rsidP="00DD3106">
            <w:pPr>
              <w:pStyle w:val="TableText"/>
              <w:spacing w:before="30" w:after="30"/>
              <w:rPr>
                <w:color w:val="000000"/>
              </w:rPr>
            </w:pPr>
            <w:r w:rsidRPr="0018386D">
              <w:rPr>
                <w:color w:val="000000"/>
              </w:rPr>
              <w:t>25,000</w:t>
            </w:r>
            <w:r w:rsidR="00BC42F9" w:rsidRPr="0018386D">
              <w:rPr>
                <w:color w:val="000000"/>
              </w:rPr>
              <w:t>–</w:t>
            </w:r>
            <w:r w:rsidRPr="0018386D">
              <w:rPr>
                <w:color w:val="000000"/>
              </w:rPr>
              <w:t>30,000 kg</w:t>
            </w:r>
          </w:p>
        </w:tc>
        <w:tc>
          <w:tcPr>
            <w:tcW w:w="567" w:type="dxa"/>
            <w:shd w:val="clear" w:color="000000" w:fill="FFFFFF"/>
            <w:noWrap/>
            <w:hideMark/>
          </w:tcPr>
          <w:p w14:paraId="51450E34"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613ED45A" w14:textId="6C9C97B3" w:rsidR="008E2ED2" w:rsidRPr="0018386D" w:rsidRDefault="008E2ED2" w:rsidP="00DD3106">
            <w:pPr>
              <w:pStyle w:val="TableText"/>
              <w:spacing w:before="30" w:after="30"/>
              <w:rPr>
                <w:color w:val="000000"/>
              </w:rPr>
            </w:pPr>
            <w:r w:rsidRPr="0018386D">
              <w:rPr>
                <w:color w:val="000000"/>
              </w:rPr>
              <w:t>1.44</w:t>
            </w:r>
          </w:p>
        </w:tc>
        <w:tc>
          <w:tcPr>
            <w:tcW w:w="1247" w:type="dxa"/>
            <w:shd w:val="clear" w:color="000000" w:fill="FFFFFF"/>
            <w:noWrap/>
            <w:hideMark/>
          </w:tcPr>
          <w:p w14:paraId="42657D60" w14:textId="4E749607" w:rsidR="008E2ED2" w:rsidRPr="0018386D" w:rsidRDefault="008E2ED2" w:rsidP="00DD3106">
            <w:pPr>
              <w:pStyle w:val="TableText"/>
              <w:spacing w:before="30" w:after="30"/>
              <w:rPr>
                <w:color w:val="000000"/>
              </w:rPr>
            </w:pPr>
            <w:r w:rsidRPr="0018386D">
              <w:rPr>
                <w:color w:val="000000"/>
              </w:rPr>
              <w:t>1.41</w:t>
            </w:r>
          </w:p>
        </w:tc>
        <w:tc>
          <w:tcPr>
            <w:tcW w:w="1247" w:type="dxa"/>
            <w:shd w:val="clear" w:color="000000" w:fill="FFFFFF"/>
            <w:noWrap/>
            <w:hideMark/>
          </w:tcPr>
          <w:p w14:paraId="4A87AF4E" w14:textId="69AC68E0" w:rsidR="008E2ED2" w:rsidRPr="0018386D" w:rsidRDefault="008E2ED2" w:rsidP="00DD3106">
            <w:pPr>
              <w:pStyle w:val="TableText"/>
              <w:spacing w:before="30" w:after="30"/>
              <w:rPr>
                <w:color w:val="000000"/>
              </w:rPr>
            </w:pPr>
            <w:r w:rsidRPr="0018386D">
              <w:rPr>
                <w:color w:val="000000"/>
              </w:rPr>
              <w:t>0.00211</w:t>
            </w:r>
          </w:p>
        </w:tc>
        <w:tc>
          <w:tcPr>
            <w:tcW w:w="1247" w:type="dxa"/>
            <w:shd w:val="clear" w:color="000000" w:fill="FFFFFF"/>
            <w:noWrap/>
            <w:hideMark/>
          </w:tcPr>
          <w:p w14:paraId="525D1E99" w14:textId="16404D84" w:rsidR="008E2ED2" w:rsidRPr="0018386D" w:rsidRDefault="008E2ED2" w:rsidP="00DD3106">
            <w:pPr>
              <w:pStyle w:val="TableText"/>
              <w:spacing w:before="30" w:after="30"/>
              <w:rPr>
                <w:color w:val="000000"/>
              </w:rPr>
            </w:pPr>
            <w:r w:rsidRPr="0018386D">
              <w:rPr>
                <w:color w:val="000000"/>
              </w:rPr>
              <w:t>0.0200</w:t>
            </w:r>
          </w:p>
        </w:tc>
      </w:tr>
      <w:tr w:rsidR="006316C3" w:rsidRPr="0018386D" w14:paraId="7FE778AD" w14:textId="77777777" w:rsidTr="00472FA1">
        <w:trPr>
          <w:divId w:val="1620720466"/>
          <w:trHeight w:val="240"/>
        </w:trPr>
        <w:tc>
          <w:tcPr>
            <w:tcW w:w="1420" w:type="dxa"/>
            <w:tcBorders>
              <w:top w:val="nil"/>
              <w:bottom w:val="single" w:sz="4" w:space="0" w:color="auto"/>
              <w:right w:val="single" w:sz="4" w:space="0" w:color="auto"/>
            </w:tcBorders>
            <w:shd w:val="clear" w:color="000000" w:fill="FFFFFF"/>
            <w:noWrap/>
            <w:hideMark/>
          </w:tcPr>
          <w:p w14:paraId="14478A22"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178AE956" w14:textId="0FAE0E56" w:rsidR="008E2ED2" w:rsidRPr="0018386D" w:rsidRDefault="008E2ED2" w:rsidP="00DD3106">
            <w:pPr>
              <w:pStyle w:val="TableText"/>
              <w:spacing w:before="30" w:after="30"/>
              <w:rPr>
                <w:color w:val="000000"/>
              </w:rPr>
            </w:pPr>
            <w:r w:rsidRPr="0018386D">
              <w:rPr>
                <w:color w:val="000000"/>
              </w:rPr>
              <w:t>≥30,000 kg</w:t>
            </w:r>
          </w:p>
        </w:tc>
        <w:tc>
          <w:tcPr>
            <w:tcW w:w="567" w:type="dxa"/>
            <w:shd w:val="clear" w:color="000000" w:fill="FFFFFF"/>
            <w:noWrap/>
            <w:hideMark/>
          </w:tcPr>
          <w:p w14:paraId="47263772"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2029FAE4" w14:textId="2FA08DAE" w:rsidR="008E2ED2" w:rsidRPr="0018386D" w:rsidRDefault="008E2ED2" w:rsidP="00DD3106">
            <w:pPr>
              <w:pStyle w:val="TableText"/>
              <w:spacing w:before="30" w:after="30"/>
              <w:rPr>
                <w:color w:val="000000"/>
              </w:rPr>
            </w:pPr>
            <w:r w:rsidRPr="0018386D">
              <w:rPr>
                <w:color w:val="000000"/>
              </w:rPr>
              <w:t>1.51</w:t>
            </w:r>
          </w:p>
        </w:tc>
        <w:tc>
          <w:tcPr>
            <w:tcW w:w="1247" w:type="dxa"/>
            <w:shd w:val="clear" w:color="000000" w:fill="FFFFFF"/>
            <w:noWrap/>
            <w:hideMark/>
          </w:tcPr>
          <w:p w14:paraId="058AB494" w14:textId="60408A1E" w:rsidR="008E2ED2" w:rsidRPr="0018386D" w:rsidRDefault="008E2ED2" w:rsidP="00DD3106">
            <w:pPr>
              <w:pStyle w:val="TableText"/>
              <w:spacing w:before="30" w:after="30"/>
              <w:rPr>
                <w:color w:val="000000"/>
              </w:rPr>
            </w:pPr>
            <w:r w:rsidRPr="0018386D">
              <w:rPr>
                <w:color w:val="000000"/>
              </w:rPr>
              <w:t>1.49</w:t>
            </w:r>
          </w:p>
        </w:tc>
        <w:tc>
          <w:tcPr>
            <w:tcW w:w="1247" w:type="dxa"/>
            <w:shd w:val="clear" w:color="000000" w:fill="FFFFFF"/>
            <w:noWrap/>
            <w:hideMark/>
          </w:tcPr>
          <w:p w14:paraId="353E4AA3" w14:textId="26FF7F16" w:rsidR="008E2ED2" w:rsidRPr="0018386D" w:rsidRDefault="008E2ED2" w:rsidP="00DD3106">
            <w:pPr>
              <w:pStyle w:val="TableText"/>
              <w:spacing w:before="30" w:after="30"/>
              <w:rPr>
                <w:color w:val="000000"/>
              </w:rPr>
            </w:pPr>
            <w:r w:rsidRPr="0018386D">
              <w:rPr>
                <w:color w:val="000000"/>
              </w:rPr>
              <w:t>0.00223</w:t>
            </w:r>
          </w:p>
        </w:tc>
        <w:tc>
          <w:tcPr>
            <w:tcW w:w="1247" w:type="dxa"/>
            <w:shd w:val="clear" w:color="000000" w:fill="FFFFFF"/>
            <w:noWrap/>
            <w:hideMark/>
          </w:tcPr>
          <w:p w14:paraId="31C223E3" w14:textId="520071ED" w:rsidR="008E2ED2" w:rsidRPr="0018386D" w:rsidRDefault="008E2ED2" w:rsidP="00DD3106">
            <w:pPr>
              <w:pStyle w:val="TableText"/>
              <w:spacing w:before="30" w:after="30"/>
              <w:rPr>
                <w:color w:val="000000"/>
              </w:rPr>
            </w:pPr>
            <w:r w:rsidRPr="0018386D">
              <w:rPr>
                <w:color w:val="000000"/>
              </w:rPr>
              <w:t>0.0211</w:t>
            </w:r>
          </w:p>
        </w:tc>
      </w:tr>
      <w:tr w:rsidR="006316C3" w:rsidRPr="0018386D" w14:paraId="7AD54081" w14:textId="77777777" w:rsidTr="00472FA1">
        <w:trPr>
          <w:divId w:val="1620720466"/>
          <w:trHeight w:val="240"/>
        </w:trPr>
        <w:tc>
          <w:tcPr>
            <w:tcW w:w="1420" w:type="dxa"/>
            <w:tcBorders>
              <w:top w:val="single" w:sz="4" w:space="0" w:color="auto"/>
              <w:bottom w:val="nil"/>
              <w:right w:val="single" w:sz="4" w:space="0" w:color="auto"/>
            </w:tcBorders>
            <w:shd w:val="clear" w:color="000000" w:fill="FFFFFF"/>
            <w:noWrap/>
            <w:hideMark/>
          </w:tcPr>
          <w:p w14:paraId="6E0D9468" w14:textId="77777777" w:rsidR="008E2ED2" w:rsidRPr="0018386D" w:rsidRDefault="008E2ED2" w:rsidP="00DD3106">
            <w:pPr>
              <w:pStyle w:val="TableText"/>
              <w:spacing w:before="30" w:after="30"/>
              <w:rPr>
                <w:color w:val="000000"/>
              </w:rPr>
            </w:pPr>
            <w:r w:rsidRPr="0018386D">
              <w:rPr>
                <w:color w:val="000000"/>
              </w:rPr>
              <w:t>HGV diesel hybrid</w:t>
            </w:r>
          </w:p>
        </w:tc>
        <w:tc>
          <w:tcPr>
            <w:tcW w:w="1644" w:type="dxa"/>
            <w:tcBorders>
              <w:left w:val="single" w:sz="4" w:space="0" w:color="auto"/>
            </w:tcBorders>
            <w:shd w:val="clear" w:color="000000" w:fill="FFFFFF"/>
            <w:noWrap/>
            <w:hideMark/>
          </w:tcPr>
          <w:p w14:paraId="1A035AE3" w14:textId="2368BD34" w:rsidR="008E2ED2" w:rsidRPr="0018386D" w:rsidRDefault="008E2ED2" w:rsidP="00DD3106">
            <w:pPr>
              <w:pStyle w:val="TableText"/>
              <w:spacing w:before="30" w:after="30"/>
              <w:rPr>
                <w:color w:val="000000"/>
              </w:rPr>
            </w:pPr>
            <w:r w:rsidRPr="0018386D">
              <w:rPr>
                <w:color w:val="000000"/>
              </w:rPr>
              <w:t>&lt;5,000 kg</w:t>
            </w:r>
          </w:p>
        </w:tc>
        <w:tc>
          <w:tcPr>
            <w:tcW w:w="567" w:type="dxa"/>
            <w:shd w:val="clear" w:color="000000" w:fill="FFFFFF"/>
            <w:noWrap/>
            <w:hideMark/>
          </w:tcPr>
          <w:p w14:paraId="0DC268BF"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7639164A" w14:textId="761F750D" w:rsidR="008E2ED2" w:rsidRPr="0018386D" w:rsidRDefault="008E2ED2" w:rsidP="00DD3106">
            <w:pPr>
              <w:pStyle w:val="TableText"/>
              <w:spacing w:before="30" w:after="30"/>
              <w:rPr>
                <w:color w:val="000000"/>
              </w:rPr>
            </w:pPr>
            <w:r w:rsidRPr="0018386D">
              <w:rPr>
                <w:color w:val="000000"/>
              </w:rPr>
              <w:t>0.343</w:t>
            </w:r>
          </w:p>
        </w:tc>
        <w:tc>
          <w:tcPr>
            <w:tcW w:w="1247" w:type="dxa"/>
            <w:shd w:val="clear" w:color="000000" w:fill="FFFFFF"/>
            <w:noWrap/>
            <w:hideMark/>
          </w:tcPr>
          <w:p w14:paraId="071909DA" w14:textId="2FDA5967" w:rsidR="008E2ED2" w:rsidRPr="0018386D" w:rsidRDefault="008E2ED2" w:rsidP="00DD3106">
            <w:pPr>
              <w:pStyle w:val="TableText"/>
              <w:spacing w:before="30" w:after="30"/>
              <w:rPr>
                <w:color w:val="000000"/>
              </w:rPr>
            </w:pPr>
            <w:r w:rsidRPr="0018386D">
              <w:rPr>
                <w:color w:val="000000"/>
              </w:rPr>
              <w:t>0.338</w:t>
            </w:r>
          </w:p>
        </w:tc>
        <w:tc>
          <w:tcPr>
            <w:tcW w:w="1247" w:type="dxa"/>
            <w:shd w:val="clear" w:color="000000" w:fill="FFFFFF"/>
            <w:noWrap/>
            <w:hideMark/>
          </w:tcPr>
          <w:p w14:paraId="669B9223" w14:textId="66A48AA0" w:rsidR="008E2ED2" w:rsidRPr="0018386D" w:rsidRDefault="008E2ED2" w:rsidP="00DD3106">
            <w:pPr>
              <w:pStyle w:val="TableText"/>
              <w:spacing w:before="30" w:after="30"/>
              <w:rPr>
                <w:color w:val="000000"/>
              </w:rPr>
            </w:pPr>
            <w:r w:rsidRPr="0018386D">
              <w:rPr>
                <w:color w:val="000000"/>
              </w:rPr>
              <w:t>0.0005</w:t>
            </w:r>
          </w:p>
        </w:tc>
        <w:tc>
          <w:tcPr>
            <w:tcW w:w="1247" w:type="dxa"/>
            <w:shd w:val="clear" w:color="000000" w:fill="FFFFFF"/>
            <w:noWrap/>
            <w:hideMark/>
          </w:tcPr>
          <w:p w14:paraId="79422D6A" w14:textId="77192956" w:rsidR="008E2ED2" w:rsidRPr="0018386D" w:rsidRDefault="008E2ED2" w:rsidP="00DD3106">
            <w:pPr>
              <w:pStyle w:val="TableText"/>
              <w:spacing w:before="30" w:after="30"/>
              <w:rPr>
                <w:color w:val="000000"/>
              </w:rPr>
            </w:pPr>
            <w:r w:rsidRPr="0018386D">
              <w:rPr>
                <w:color w:val="000000"/>
              </w:rPr>
              <w:t>0.00478</w:t>
            </w:r>
          </w:p>
        </w:tc>
      </w:tr>
      <w:tr w:rsidR="006316C3" w:rsidRPr="0018386D" w14:paraId="422AC206"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62187E96"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60BD25B8" w14:textId="7909A60D" w:rsidR="008E2ED2" w:rsidRPr="0018386D" w:rsidRDefault="008E2ED2" w:rsidP="00DD3106">
            <w:pPr>
              <w:pStyle w:val="TableText"/>
              <w:spacing w:before="30" w:after="30"/>
              <w:rPr>
                <w:color w:val="000000"/>
              </w:rPr>
            </w:pPr>
            <w:r w:rsidRPr="0018386D">
              <w:rPr>
                <w:color w:val="000000"/>
              </w:rPr>
              <w:t>5,000</w:t>
            </w:r>
            <w:r w:rsidR="00BC42F9" w:rsidRPr="0018386D">
              <w:rPr>
                <w:color w:val="000000"/>
              </w:rPr>
              <w:t>–</w:t>
            </w:r>
            <w:r w:rsidRPr="0018386D">
              <w:rPr>
                <w:color w:val="000000"/>
              </w:rPr>
              <w:t>7,500 kg</w:t>
            </w:r>
          </w:p>
        </w:tc>
        <w:tc>
          <w:tcPr>
            <w:tcW w:w="567" w:type="dxa"/>
            <w:shd w:val="clear" w:color="000000" w:fill="FFFFFF"/>
            <w:noWrap/>
            <w:hideMark/>
          </w:tcPr>
          <w:p w14:paraId="535CECE4"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2EF8D9FF" w14:textId="0234365D" w:rsidR="008E2ED2" w:rsidRPr="0018386D" w:rsidRDefault="008E2ED2" w:rsidP="00DD3106">
            <w:pPr>
              <w:pStyle w:val="TableText"/>
              <w:spacing w:before="30" w:after="30"/>
              <w:rPr>
                <w:color w:val="000000"/>
              </w:rPr>
            </w:pPr>
            <w:r w:rsidRPr="0018386D">
              <w:rPr>
                <w:color w:val="000000"/>
              </w:rPr>
              <w:t>0.394</w:t>
            </w:r>
          </w:p>
        </w:tc>
        <w:tc>
          <w:tcPr>
            <w:tcW w:w="1247" w:type="dxa"/>
            <w:shd w:val="clear" w:color="000000" w:fill="FFFFFF"/>
            <w:noWrap/>
            <w:hideMark/>
          </w:tcPr>
          <w:p w14:paraId="1BCFC615" w14:textId="28164828" w:rsidR="008E2ED2" w:rsidRPr="0018386D" w:rsidRDefault="008E2ED2" w:rsidP="00DD3106">
            <w:pPr>
              <w:pStyle w:val="TableText"/>
              <w:spacing w:before="30" w:after="30"/>
              <w:rPr>
                <w:color w:val="000000"/>
              </w:rPr>
            </w:pPr>
            <w:r w:rsidRPr="0018386D">
              <w:rPr>
                <w:color w:val="000000"/>
              </w:rPr>
              <w:t>0.388</w:t>
            </w:r>
          </w:p>
        </w:tc>
        <w:tc>
          <w:tcPr>
            <w:tcW w:w="1247" w:type="dxa"/>
            <w:shd w:val="clear" w:color="000000" w:fill="FFFFFF"/>
            <w:noWrap/>
            <w:hideMark/>
          </w:tcPr>
          <w:p w14:paraId="0CEEE12F" w14:textId="79DAED1D" w:rsidR="008E2ED2" w:rsidRPr="0018386D" w:rsidRDefault="008E2ED2" w:rsidP="00DD3106">
            <w:pPr>
              <w:pStyle w:val="TableText"/>
              <w:spacing w:before="30" w:after="30"/>
              <w:rPr>
                <w:color w:val="000000"/>
              </w:rPr>
            </w:pPr>
            <w:r w:rsidRPr="0018386D">
              <w:rPr>
                <w:color w:val="000000"/>
              </w:rPr>
              <w:t>0.0006</w:t>
            </w:r>
          </w:p>
        </w:tc>
        <w:tc>
          <w:tcPr>
            <w:tcW w:w="1247" w:type="dxa"/>
            <w:shd w:val="clear" w:color="000000" w:fill="FFFFFF"/>
            <w:noWrap/>
            <w:hideMark/>
          </w:tcPr>
          <w:p w14:paraId="43417B7A" w14:textId="22B124DD" w:rsidR="008E2ED2" w:rsidRPr="0018386D" w:rsidRDefault="008E2ED2" w:rsidP="00DD3106">
            <w:pPr>
              <w:pStyle w:val="TableText"/>
              <w:spacing w:before="30" w:after="30"/>
              <w:rPr>
                <w:color w:val="000000"/>
              </w:rPr>
            </w:pPr>
            <w:r w:rsidRPr="0018386D">
              <w:rPr>
                <w:color w:val="000000"/>
              </w:rPr>
              <w:t>0.00548</w:t>
            </w:r>
          </w:p>
        </w:tc>
      </w:tr>
      <w:tr w:rsidR="006316C3" w:rsidRPr="0018386D" w14:paraId="68CCD6F4"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7D623DB0"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3CE57D27" w14:textId="29B1CDAD" w:rsidR="008E2ED2" w:rsidRPr="0018386D" w:rsidRDefault="008E2ED2" w:rsidP="00DD3106">
            <w:pPr>
              <w:pStyle w:val="TableText"/>
              <w:spacing w:before="30" w:after="30"/>
              <w:rPr>
                <w:color w:val="000000"/>
              </w:rPr>
            </w:pPr>
            <w:r w:rsidRPr="0018386D">
              <w:rPr>
                <w:color w:val="000000"/>
              </w:rPr>
              <w:t>7,500</w:t>
            </w:r>
            <w:r w:rsidR="00BC42F9" w:rsidRPr="0018386D">
              <w:rPr>
                <w:color w:val="000000"/>
              </w:rPr>
              <w:t>–</w:t>
            </w:r>
            <w:r w:rsidRPr="0018386D">
              <w:rPr>
                <w:color w:val="000000"/>
              </w:rPr>
              <w:t>10,000 kg</w:t>
            </w:r>
          </w:p>
        </w:tc>
        <w:tc>
          <w:tcPr>
            <w:tcW w:w="567" w:type="dxa"/>
            <w:shd w:val="clear" w:color="000000" w:fill="FFFFFF"/>
            <w:noWrap/>
            <w:hideMark/>
          </w:tcPr>
          <w:p w14:paraId="4AFF1084"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36297F81" w14:textId="252C2C49" w:rsidR="008E2ED2" w:rsidRPr="0018386D" w:rsidRDefault="008E2ED2" w:rsidP="00DD3106">
            <w:pPr>
              <w:pStyle w:val="TableText"/>
              <w:spacing w:before="30" w:after="30"/>
              <w:rPr>
                <w:color w:val="000000"/>
              </w:rPr>
            </w:pPr>
            <w:r w:rsidRPr="0018386D">
              <w:rPr>
                <w:color w:val="000000"/>
              </w:rPr>
              <w:t>0.481</w:t>
            </w:r>
          </w:p>
        </w:tc>
        <w:tc>
          <w:tcPr>
            <w:tcW w:w="1247" w:type="dxa"/>
            <w:shd w:val="clear" w:color="000000" w:fill="FFFFFF"/>
            <w:noWrap/>
            <w:hideMark/>
          </w:tcPr>
          <w:p w14:paraId="710D52C0" w14:textId="2AABA19C" w:rsidR="008E2ED2" w:rsidRPr="0018386D" w:rsidRDefault="008E2ED2" w:rsidP="00DD3106">
            <w:pPr>
              <w:pStyle w:val="TableText"/>
              <w:spacing w:before="30" w:after="30"/>
              <w:rPr>
                <w:color w:val="000000"/>
              </w:rPr>
            </w:pPr>
            <w:r w:rsidRPr="0018386D">
              <w:rPr>
                <w:color w:val="000000"/>
              </w:rPr>
              <w:t>0.474</w:t>
            </w:r>
          </w:p>
        </w:tc>
        <w:tc>
          <w:tcPr>
            <w:tcW w:w="1247" w:type="dxa"/>
            <w:shd w:val="clear" w:color="000000" w:fill="FFFFFF"/>
            <w:noWrap/>
            <w:hideMark/>
          </w:tcPr>
          <w:p w14:paraId="272C7641" w14:textId="28DF53BD" w:rsidR="008E2ED2" w:rsidRPr="0018386D" w:rsidRDefault="008E2ED2" w:rsidP="00DD3106">
            <w:pPr>
              <w:pStyle w:val="TableText"/>
              <w:spacing w:before="30" w:after="30"/>
              <w:rPr>
                <w:color w:val="000000"/>
              </w:rPr>
            </w:pPr>
            <w:r w:rsidRPr="0018386D">
              <w:rPr>
                <w:color w:val="000000"/>
              </w:rPr>
              <w:t>0.0007</w:t>
            </w:r>
          </w:p>
        </w:tc>
        <w:tc>
          <w:tcPr>
            <w:tcW w:w="1247" w:type="dxa"/>
            <w:shd w:val="clear" w:color="000000" w:fill="FFFFFF"/>
            <w:noWrap/>
            <w:hideMark/>
          </w:tcPr>
          <w:p w14:paraId="6FC161AB" w14:textId="79B39D50" w:rsidR="008E2ED2" w:rsidRPr="0018386D" w:rsidRDefault="008E2ED2" w:rsidP="00DD3106">
            <w:pPr>
              <w:pStyle w:val="TableText"/>
              <w:spacing w:before="30" w:after="30"/>
              <w:rPr>
                <w:color w:val="000000"/>
              </w:rPr>
            </w:pPr>
            <w:r w:rsidRPr="0018386D">
              <w:rPr>
                <w:color w:val="000000"/>
              </w:rPr>
              <w:t>0.00670</w:t>
            </w:r>
          </w:p>
        </w:tc>
      </w:tr>
      <w:tr w:rsidR="006316C3" w:rsidRPr="0018386D" w14:paraId="395B9699"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155F35F8"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00A63115" w14:textId="724DFB81" w:rsidR="008E2ED2" w:rsidRPr="0018386D" w:rsidRDefault="008E2ED2" w:rsidP="00DD3106">
            <w:pPr>
              <w:pStyle w:val="TableText"/>
              <w:spacing w:before="30" w:after="30"/>
              <w:rPr>
                <w:color w:val="000000"/>
              </w:rPr>
            </w:pPr>
            <w:r w:rsidRPr="0018386D">
              <w:rPr>
                <w:color w:val="000000"/>
              </w:rPr>
              <w:t>10,000</w:t>
            </w:r>
            <w:r w:rsidR="00BC42F9" w:rsidRPr="0018386D">
              <w:rPr>
                <w:color w:val="000000"/>
              </w:rPr>
              <w:t>–</w:t>
            </w:r>
            <w:r w:rsidRPr="0018386D">
              <w:rPr>
                <w:color w:val="000000"/>
              </w:rPr>
              <w:t>12,000 kg</w:t>
            </w:r>
          </w:p>
        </w:tc>
        <w:tc>
          <w:tcPr>
            <w:tcW w:w="567" w:type="dxa"/>
            <w:shd w:val="clear" w:color="000000" w:fill="FFFFFF"/>
            <w:noWrap/>
            <w:hideMark/>
          </w:tcPr>
          <w:p w14:paraId="02B598C5"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0BB28281" w14:textId="34B6742F" w:rsidR="008E2ED2" w:rsidRPr="0018386D" w:rsidRDefault="008E2ED2" w:rsidP="00DD3106">
            <w:pPr>
              <w:pStyle w:val="TableText"/>
              <w:spacing w:before="30" w:after="30"/>
              <w:rPr>
                <w:color w:val="000000"/>
              </w:rPr>
            </w:pPr>
            <w:r w:rsidRPr="0018386D">
              <w:rPr>
                <w:color w:val="000000"/>
              </w:rPr>
              <w:t>0.570</w:t>
            </w:r>
          </w:p>
        </w:tc>
        <w:tc>
          <w:tcPr>
            <w:tcW w:w="1247" w:type="dxa"/>
            <w:shd w:val="clear" w:color="000000" w:fill="FFFFFF"/>
            <w:noWrap/>
            <w:hideMark/>
          </w:tcPr>
          <w:p w14:paraId="5A455208" w14:textId="5693ED57" w:rsidR="008E2ED2" w:rsidRPr="0018386D" w:rsidRDefault="008E2ED2" w:rsidP="00DD3106">
            <w:pPr>
              <w:pStyle w:val="TableText"/>
              <w:spacing w:before="30" w:after="30"/>
              <w:rPr>
                <w:color w:val="000000"/>
              </w:rPr>
            </w:pPr>
            <w:r w:rsidRPr="0018386D">
              <w:rPr>
                <w:color w:val="000000"/>
              </w:rPr>
              <w:t>0.562</w:t>
            </w:r>
          </w:p>
        </w:tc>
        <w:tc>
          <w:tcPr>
            <w:tcW w:w="1247" w:type="dxa"/>
            <w:shd w:val="clear" w:color="000000" w:fill="FFFFFF"/>
            <w:noWrap/>
            <w:hideMark/>
          </w:tcPr>
          <w:p w14:paraId="3068F331" w14:textId="4E0216D6" w:rsidR="008E2ED2" w:rsidRPr="0018386D" w:rsidRDefault="008E2ED2" w:rsidP="00DD3106">
            <w:pPr>
              <w:pStyle w:val="TableText"/>
              <w:spacing w:before="30" w:after="30"/>
              <w:rPr>
                <w:color w:val="000000"/>
              </w:rPr>
            </w:pPr>
            <w:r w:rsidRPr="0018386D">
              <w:rPr>
                <w:color w:val="000000"/>
              </w:rPr>
              <w:t>0.0008</w:t>
            </w:r>
          </w:p>
        </w:tc>
        <w:tc>
          <w:tcPr>
            <w:tcW w:w="1247" w:type="dxa"/>
            <w:shd w:val="clear" w:color="000000" w:fill="FFFFFF"/>
            <w:noWrap/>
            <w:hideMark/>
          </w:tcPr>
          <w:p w14:paraId="454669F4" w14:textId="59D023F2" w:rsidR="008E2ED2" w:rsidRPr="0018386D" w:rsidRDefault="008E2ED2" w:rsidP="00DD3106">
            <w:pPr>
              <w:pStyle w:val="TableText"/>
              <w:spacing w:before="30" w:after="30"/>
              <w:rPr>
                <w:color w:val="000000"/>
              </w:rPr>
            </w:pPr>
            <w:r w:rsidRPr="0018386D">
              <w:rPr>
                <w:color w:val="000000"/>
              </w:rPr>
              <w:t>0.00794</w:t>
            </w:r>
          </w:p>
        </w:tc>
      </w:tr>
      <w:tr w:rsidR="006316C3" w:rsidRPr="0018386D" w14:paraId="01327978"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09AD4713"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578C4F0F" w14:textId="6A9A0673" w:rsidR="008E2ED2" w:rsidRPr="0018386D" w:rsidRDefault="008E2ED2" w:rsidP="00DD3106">
            <w:pPr>
              <w:pStyle w:val="TableText"/>
              <w:spacing w:before="30" w:after="30"/>
              <w:rPr>
                <w:color w:val="000000"/>
              </w:rPr>
            </w:pPr>
            <w:r w:rsidRPr="0018386D">
              <w:rPr>
                <w:color w:val="000000"/>
              </w:rPr>
              <w:t>12,000</w:t>
            </w:r>
            <w:r w:rsidR="00BC42F9" w:rsidRPr="0018386D">
              <w:rPr>
                <w:color w:val="000000"/>
              </w:rPr>
              <w:t>–</w:t>
            </w:r>
            <w:r w:rsidRPr="0018386D">
              <w:rPr>
                <w:color w:val="000000"/>
              </w:rPr>
              <w:t>15,000 kg</w:t>
            </w:r>
          </w:p>
        </w:tc>
        <w:tc>
          <w:tcPr>
            <w:tcW w:w="567" w:type="dxa"/>
            <w:shd w:val="clear" w:color="000000" w:fill="FFFFFF"/>
            <w:noWrap/>
            <w:hideMark/>
          </w:tcPr>
          <w:p w14:paraId="3CC1E444"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755EDB2B" w14:textId="327979FD" w:rsidR="008E2ED2" w:rsidRPr="0018386D" w:rsidRDefault="008E2ED2" w:rsidP="00DD3106">
            <w:pPr>
              <w:pStyle w:val="TableText"/>
              <w:spacing w:before="30" w:after="30"/>
              <w:rPr>
                <w:color w:val="000000"/>
              </w:rPr>
            </w:pPr>
            <w:r w:rsidRPr="0018386D">
              <w:rPr>
                <w:color w:val="000000"/>
              </w:rPr>
              <w:t>0.648</w:t>
            </w:r>
          </w:p>
        </w:tc>
        <w:tc>
          <w:tcPr>
            <w:tcW w:w="1247" w:type="dxa"/>
            <w:shd w:val="clear" w:color="000000" w:fill="FFFFFF"/>
            <w:noWrap/>
            <w:hideMark/>
          </w:tcPr>
          <w:p w14:paraId="530AF1FD" w14:textId="7949AFFB" w:rsidR="008E2ED2" w:rsidRPr="0018386D" w:rsidRDefault="008E2ED2" w:rsidP="00DD3106">
            <w:pPr>
              <w:pStyle w:val="TableText"/>
              <w:spacing w:before="30" w:after="30"/>
              <w:rPr>
                <w:color w:val="000000"/>
              </w:rPr>
            </w:pPr>
            <w:r w:rsidRPr="0018386D">
              <w:rPr>
                <w:color w:val="000000"/>
              </w:rPr>
              <w:t>0.638</w:t>
            </w:r>
          </w:p>
        </w:tc>
        <w:tc>
          <w:tcPr>
            <w:tcW w:w="1247" w:type="dxa"/>
            <w:shd w:val="clear" w:color="000000" w:fill="FFFFFF"/>
            <w:noWrap/>
            <w:hideMark/>
          </w:tcPr>
          <w:p w14:paraId="65F24A01" w14:textId="2F2DF67E" w:rsidR="008E2ED2" w:rsidRPr="0018386D" w:rsidRDefault="008E2ED2" w:rsidP="00DD3106">
            <w:pPr>
              <w:pStyle w:val="TableText"/>
              <w:spacing w:before="30" w:after="30"/>
              <w:rPr>
                <w:color w:val="000000"/>
              </w:rPr>
            </w:pPr>
            <w:r w:rsidRPr="0018386D">
              <w:rPr>
                <w:color w:val="000000"/>
              </w:rPr>
              <w:t>0.0010</w:t>
            </w:r>
          </w:p>
        </w:tc>
        <w:tc>
          <w:tcPr>
            <w:tcW w:w="1247" w:type="dxa"/>
            <w:shd w:val="clear" w:color="000000" w:fill="FFFFFF"/>
            <w:noWrap/>
            <w:hideMark/>
          </w:tcPr>
          <w:p w14:paraId="1B0DF310" w14:textId="2D9D5F2B" w:rsidR="008E2ED2" w:rsidRPr="0018386D" w:rsidRDefault="008E2ED2" w:rsidP="00DD3106">
            <w:pPr>
              <w:pStyle w:val="TableText"/>
              <w:spacing w:before="30" w:after="30"/>
              <w:rPr>
                <w:color w:val="000000"/>
              </w:rPr>
            </w:pPr>
            <w:r w:rsidRPr="0018386D">
              <w:rPr>
                <w:color w:val="000000"/>
              </w:rPr>
              <w:t>0.00902</w:t>
            </w:r>
          </w:p>
        </w:tc>
      </w:tr>
      <w:tr w:rsidR="006316C3" w:rsidRPr="0018386D" w14:paraId="0640E8DC"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086A9D1B"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7D19C43C" w14:textId="2C07184B" w:rsidR="008E2ED2" w:rsidRPr="0018386D" w:rsidRDefault="008E2ED2" w:rsidP="00DD3106">
            <w:pPr>
              <w:pStyle w:val="TableText"/>
              <w:spacing w:before="30" w:after="30"/>
              <w:rPr>
                <w:color w:val="000000"/>
              </w:rPr>
            </w:pPr>
            <w:r w:rsidRPr="0018386D">
              <w:rPr>
                <w:color w:val="000000"/>
              </w:rPr>
              <w:t>15,000</w:t>
            </w:r>
            <w:r w:rsidR="00BC42F9" w:rsidRPr="0018386D">
              <w:rPr>
                <w:color w:val="000000"/>
              </w:rPr>
              <w:t>–</w:t>
            </w:r>
            <w:r w:rsidRPr="0018386D">
              <w:rPr>
                <w:color w:val="000000"/>
              </w:rPr>
              <w:t>20,000 kg</w:t>
            </w:r>
          </w:p>
        </w:tc>
        <w:tc>
          <w:tcPr>
            <w:tcW w:w="567" w:type="dxa"/>
            <w:shd w:val="clear" w:color="000000" w:fill="FFFFFF"/>
            <w:noWrap/>
            <w:hideMark/>
          </w:tcPr>
          <w:p w14:paraId="608A3CAD"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32469948" w14:textId="273BD010" w:rsidR="008E2ED2" w:rsidRPr="0018386D" w:rsidRDefault="008E2ED2" w:rsidP="00DD3106">
            <w:pPr>
              <w:pStyle w:val="TableText"/>
              <w:spacing w:before="30" w:after="30"/>
              <w:rPr>
                <w:color w:val="000000"/>
              </w:rPr>
            </w:pPr>
            <w:r w:rsidRPr="0018386D">
              <w:rPr>
                <w:color w:val="000000"/>
              </w:rPr>
              <w:t>0.878</w:t>
            </w:r>
          </w:p>
        </w:tc>
        <w:tc>
          <w:tcPr>
            <w:tcW w:w="1247" w:type="dxa"/>
            <w:shd w:val="clear" w:color="000000" w:fill="FFFFFF"/>
            <w:noWrap/>
            <w:hideMark/>
          </w:tcPr>
          <w:p w14:paraId="5973303A" w14:textId="3CA9AEFC" w:rsidR="008E2ED2" w:rsidRPr="0018386D" w:rsidRDefault="008E2ED2" w:rsidP="00DD3106">
            <w:pPr>
              <w:pStyle w:val="TableText"/>
              <w:spacing w:before="30" w:after="30"/>
              <w:rPr>
                <w:color w:val="000000"/>
              </w:rPr>
            </w:pPr>
            <w:r w:rsidRPr="0018386D">
              <w:rPr>
                <w:color w:val="000000"/>
              </w:rPr>
              <w:t>0.865</w:t>
            </w:r>
          </w:p>
        </w:tc>
        <w:tc>
          <w:tcPr>
            <w:tcW w:w="1247" w:type="dxa"/>
            <w:shd w:val="clear" w:color="000000" w:fill="FFFFFF"/>
            <w:noWrap/>
            <w:hideMark/>
          </w:tcPr>
          <w:p w14:paraId="330E0F71" w14:textId="362389AB" w:rsidR="008E2ED2" w:rsidRPr="0018386D" w:rsidRDefault="008E2ED2" w:rsidP="00DD3106">
            <w:pPr>
              <w:pStyle w:val="TableText"/>
              <w:spacing w:before="30" w:after="30"/>
              <w:rPr>
                <w:color w:val="000000"/>
              </w:rPr>
            </w:pPr>
            <w:r w:rsidRPr="0018386D">
              <w:rPr>
                <w:color w:val="000000"/>
              </w:rPr>
              <w:t>0.00129</w:t>
            </w:r>
          </w:p>
        </w:tc>
        <w:tc>
          <w:tcPr>
            <w:tcW w:w="1247" w:type="dxa"/>
            <w:shd w:val="clear" w:color="000000" w:fill="FFFFFF"/>
            <w:noWrap/>
            <w:hideMark/>
          </w:tcPr>
          <w:p w14:paraId="3D732AE2" w14:textId="1FF43A28" w:rsidR="008E2ED2" w:rsidRPr="0018386D" w:rsidRDefault="008E2ED2" w:rsidP="00DD3106">
            <w:pPr>
              <w:pStyle w:val="TableText"/>
              <w:spacing w:before="30" w:after="30"/>
              <w:rPr>
                <w:color w:val="000000"/>
              </w:rPr>
            </w:pPr>
            <w:r w:rsidRPr="0018386D">
              <w:rPr>
                <w:color w:val="000000"/>
              </w:rPr>
              <w:t>0.0122</w:t>
            </w:r>
          </w:p>
        </w:tc>
      </w:tr>
      <w:tr w:rsidR="006316C3" w:rsidRPr="0018386D" w14:paraId="03B9E95F"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033201B7"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30786907" w14:textId="678BBC35" w:rsidR="008E2ED2" w:rsidRPr="0018386D" w:rsidRDefault="008E2ED2" w:rsidP="00DD3106">
            <w:pPr>
              <w:pStyle w:val="TableText"/>
              <w:spacing w:before="30" w:after="30"/>
              <w:rPr>
                <w:color w:val="000000"/>
              </w:rPr>
            </w:pPr>
            <w:r w:rsidRPr="0018386D">
              <w:rPr>
                <w:color w:val="000000"/>
              </w:rPr>
              <w:t>20,000</w:t>
            </w:r>
            <w:r w:rsidR="00BC42F9" w:rsidRPr="0018386D">
              <w:rPr>
                <w:color w:val="000000"/>
              </w:rPr>
              <w:t>–</w:t>
            </w:r>
            <w:r w:rsidRPr="0018386D">
              <w:rPr>
                <w:color w:val="000000"/>
              </w:rPr>
              <w:t>25,000 kg</w:t>
            </w:r>
          </w:p>
        </w:tc>
        <w:tc>
          <w:tcPr>
            <w:tcW w:w="567" w:type="dxa"/>
            <w:shd w:val="clear" w:color="000000" w:fill="FFFFFF"/>
            <w:noWrap/>
            <w:hideMark/>
          </w:tcPr>
          <w:p w14:paraId="1661F715"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47509A53" w14:textId="76C03CB4" w:rsidR="008E2ED2" w:rsidRPr="0018386D" w:rsidRDefault="008E2ED2" w:rsidP="00DD3106">
            <w:pPr>
              <w:pStyle w:val="TableText"/>
              <w:spacing w:before="30" w:after="30"/>
              <w:rPr>
                <w:color w:val="000000"/>
              </w:rPr>
            </w:pPr>
            <w:r w:rsidRPr="0018386D">
              <w:rPr>
                <w:color w:val="000000"/>
              </w:rPr>
              <w:t>1.17</w:t>
            </w:r>
          </w:p>
        </w:tc>
        <w:tc>
          <w:tcPr>
            <w:tcW w:w="1247" w:type="dxa"/>
            <w:shd w:val="clear" w:color="000000" w:fill="FFFFFF"/>
            <w:noWrap/>
            <w:hideMark/>
          </w:tcPr>
          <w:p w14:paraId="7A3D36BE" w14:textId="47E5C478" w:rsidR="008E2ED2" w:rsidRPr="0018386D" w:rsidRDefault="008E2ED2" w:rsidP="00DD3106">
            <w:pPr>
              <w:pStyle w:val="TableText"/>
              <w:spacing w:before="30" w:after="30"/>
              <w:rPr>
                <w:color w:val="000000"/>
              </w:rPr>
            </w:pPr>
            <w:r w:rsidRPr="0018386D">
              <w:rPr>
                <w:color w:val="000000"/>
              </w:rPr>
              <w:t>1.15</w:t>
            </w:r>
          </w:p>
        </w:tc>
        <w:tc>
          <w:tcPr>
            <w:tcW w:w="1247" w:type="dxa"/>
            <w:shd w:val="clear" w:color="000000" w:fill="FFFFFF"/>
            <w:noWrap/>
            <w:hideMark/>
          </w:tcPr>
          <w:p w14:paraId="196A1A00" w14:textId="54AF0BD4" w:rsidR="008E2ED2" w:rsidRPr="0018386D" w:rsidRDefault="008E2ED2" w:rsidP="00DD3106">
            <w:pPr>
              <w:pStyle w:val="TableText"/>
              <w:spacing w:before="30" w:after="30"/>
              <w:rPr>
                <w:color w:val="000000"/>
              </w:rPr>
            </w:pPr>
            <w:r w:rsidRPr="0018386D">
              <w:rPr>
                <w:color w:val="000000"/>
              </w:rPr>
              <w:t>0.00172</w:t>
            </w:r>
          </w:p>
        </w:tc>
        <w:tc>
          <w:tcPr>
            <w:tcW w:w="1247" w:type="dxa"/>
            <w:shd w:val="clear" w:color="000000" w:fill="FFFFFF"/>
            <w:noWrap/>
            <w:hideMark/>
          </w:tcPr>
          <w:p w14:paraId="167438F6" w14:textId="0AD82488" w:rsidR="008E2ED2" w:rsidRPr="0018386D" w:rsidRDefault="008E2ED2" w:rsidP="00DD3106">
            <w:pPr>
              <w:pStyle w:val="TableText"/>
              <w:spacing w:before="30" w:after="30"/>
              <w:rPr>
                <w:color w:val="000000"/>
              </w:rPr>
            </w:pPr>
            <w:r w:rsidRPr="0018386D">
              <w:rPr>
                <w:color w:val="000000"/>
              </w:rPr>
              <w:t>0.0163</w:t>
            </w:r>
          </w:p>
        </w:tc>
      </w:tr>
      <w:tr w:rsidR="006316C3" w:rsidRPr="0018386D" w14:paraId="4B3F47F3"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0E3A973D"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78C8BBB3" w14:textId="51819720" w:rsidR="008E2ED2" w:rsidRPr="0018386D" w:rsidRDefault="008E2ED2" w:rsidP="00DD3106">
            <w:pPr>
              <w:pStyle w:val="TableText"/>
              <w:spacing w:before="30" w:after="30"/>
              <w:rPr>
                <w:color w:val="000000"/>
              </w:rPr>
            </w:pPr>
            <w:r w:rsidRPr="0018386D">
              <w:rPr>
                <w:color w:val="000000"/>
              </w:rPr>
              <w:t>25,000</w:t>
            </w:r>
            <w:r w:rsidR="00BC42F9" w:rsidRPr="0018386D">
              <w:rPr>
                <w:color w:val="000000"/>
              </w:rPr>
              <w:t>–</w:t>
            </w:r>
            <w:r w:rsidRPr="0018386D">
              <w:rPr>
                <w:color w:val="000000"/>
              </w:rPr>
              <w:t>30,000 kg</w:t>
            </w:r>
          </w:p>
        </w:tc>
        <w:tc>
          <w:tcPr>
            <w:tcW w:w="567" w:type="dxa"/>
            <w:shd w:val="clear" w:color="000000" w:fill="FFFFFF"/>
            <w:noWrap/>
            <w:hideMark/>
          </w:tcPr>
          <w:p w14:paraId="47D5B93D"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6D3032B2" w14:textId="738F91C5" w:rsidR="008E2ED2" w:rsidRPr="0018386D" w:rsidRDefault="008E2ED2" w:rsidP="00DD3106">
            <w:pPr>
              <w:pStyle w:val="TableText"/>
              <w:spacing w:before="30" w:after="30"/>
              <w:rPr>
                <w:color w:val="000000"/>
              </w:rPr>
            </w:pPr>
            <w:r w:rsidRPr="0018386D">
              <w:rPr>
                <w:color w:val="000000"/>
              </w:rPr>
              <w:t>1.35</w:t>
            </w:r>
          </w:p>
        </w:tc>
        <w:tc>
          <w:tcPr>
            <w:tcW w:w="1247" w:type="dxa"/>
            <w:shd w:val="clear" w:color="000000" w:fill="FFFFFF"/>
            <w:noWrap/>
            <w:hideMark/>
          </w:tcPr>
          <w:p w14:paraId="6D15D930" w14:textId="65D82907" w:rsidR="008E2ED2" w:rsidRPr="0018386D" w:rsidRDefault="008E2ED2" w:rsidP="00DD3106">
            <w:pPr>
              <w:pStyle w:val="TableText"/>
              <w:spacing w:before="30" w:after="30"/>
              <w:rPr>
                <w:color w:val="000000"/>
              </w:rPr>
            </w:pPr>
            <w:r w:rsidRPr="0018386D">
              <w:rPr>
                <w:color w:val="000000"/>
              </w:rPr>
              <w:t>1.33</w:t>
            </w:r>
          </w:p>
        </w:tc>
        <w:tc>
          <w:tcPr>
            <w:tcW w:w="1247" w:type="dxa"/>
            <w:shd w:val="clear" w:color="000000" w:fill="FFFFFF"/>
            <w:noWrap/>
            <w:hideMark/>
          </w:tcPr>
          <w:p w14:paraId="7A39F075" w14:textId="244BF4A3" w:rsidR="008E2ED2" w:rsidRPr="0018386D" w:rsidRDefault="008E2ED2" w:rsidP="00DD3106">
            <w:pPr>
              <w:pStyle w:val="TableText"/>
              <w:spacing w:before="30" w:after="30"/>
              <w:rPr>
                <w:color w:val="000000"/>
              </w:rPr>
            </w:pPr>
            <w:r w:rsidRPr="0018386D">
              <w:rPr>
                <w:color w:val="000000"/>
              </w:rPr>
              <w:t>0.00199</w:t>
            </w:r>
          </w:p>
        </w:tc>
        <w:tc>
          <w:tcPr>
            <w:tcW w:w="1247" w:type="dxa"/>
            <w:shd w:val="clear" w:color="000000" w:fill="FFFFFF"/>
            <w:noWrap/>
            <w:hideMark/>
          </w:tcPr>
          <w:p w14:paraId="1BCAB99C" w14:textId="1B01F6C4" w:rsidR="008E2ED2" w:rsidRPr="0018386D" w:rsidRDefault="008E2ED2" w:rsidP="00DD3106">
            <w:pPr>
              <w:pStyle w:val="TableText"/>
              <w:spacing w:before="30" w:after="30"/>
              <w:rPr>
                <w:color w:val="000000"/>
              </w:rPr>
            </w:pPr>
            <w:r w:rsidRPr="0018386D">
              <w:rPr>
                <w:color w:val="000000"/>
              </w:rPr>
              <w:t>0.0188</w:t>
            </w:r>
          </w:p>
        </w:tc>
      </w:tr>
      <w:tr w:rsidR="006316C3" w:rsidRPr="0018386D" w14:paraId="28F7788F" w14:textId="77777777" w:rsidTr="00472FA1">
        <w:trPr>
          <w:divId w:val="1620720466"/>
          <w:trHeight w:val="240"/>
        </w:trPr>
        <w:tc>
          <w:tcPr>
            <w:tcW w:w="1420" w:type="dxa"/>
            <w:tcBorders>
              <w:top w:val="nil"/>
              <w:bottom w:val="single" w:sz="4" w:space="0" w:color="auto"/>
              <w:right w:val="single" w:sz="4" w:space="0" w:color="auto"/>
            </w:tcBorders>
            <w:shd w:val="clear" w:color="000000" w:fill="FFFFFF"/>
            <w:noWrap/>
            <w:hideMark/>
          </w:tcPr>
          <w:p w14:paraId="55B80A8B"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10796B76" w14:textId="042F4411" w:rsidR="008E2ED2" w:rsidRPr="0018386D" w:rsidRDefault="008E2ED2" w:rsidP="00DD3106">
            <w:pPr>
              <w:pStyle w:val="TableText"/>
              <w:spacing w:before="30" w:after="30"/>
              <w:rPr>
                <w:color w:val="000000"/>
              </w:rPr>
            </w:pPr>
            <w:r w:rsidRPr="0018386D">
              <w:rPr>
                <w:color w:val="000000"/>
              </w:rPr>
              <w:t>≥30,000 kg</w:t>
            </w:r>
          </w:p>
        </w:tc>
        <w:tc>
          <w:tcPr>
            <w:tcW w:w="567" w:type="dxa"/>
            <w:shd w:val="clear" w:color="000000" w:fill="FFFFFF"/>
            <w:noWrap/>
            <w:hideMark/>
          </w:tcPr>
          <w:p w14:paraId="1D1C561A"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631FDAD1" w14:textId="35647EEB" w:rsidR="008E2ED2" w:rsidRPr="0018386D" w:rsidRDefault="008E2ED2" w:rsidP="00DD3106">
            <w:pPr>
              <w:pStyle w:val="TableText"/>
              <w:spacing w:before="30" w:after="30"/>
              <w:rPr>
                <w:color w:val="000000"/>
              </w:rPr>
            </w:pPr>
            <w:r w:rsidRPr="0018386D">
              <w:rPr>
                <w:color w:val="000000"/>
              </w:rPr>
              <w:t>1.42</w:t>
            </w:r>
          </w:p>
        </w:tc>
        <w:tc>
          <w:tcPr>
            <w:tcW w:w="1247" w:type="dxa"/>
            <w:shd w:val="clear" w:color="000000" w:fill="FFFFFF"/>
            <w:noWrap/>
            <w:hideMark/>
          </w:tcPr>
          <w:p w14:paraId="581A66AE" w14:textId="6B65BC4F" w:rsidR="008E2ED2" w:rsidRPr="0018386D" w:rsidRDefault="008E2ED2" w:rsidP="00DD3106">
            <w:pPr>
              <w:pStyle w:val="TableText"/>
              <w:spacing w:before="30" w:after="30"/>
              <w:rPr>
                <w:color w:val="000000"/>
              </w:rPr>
            </w:pPr>
            <w:r w:rsidRPr="0018386D">
              <w:rPr>
                <w:color w:val="000000"/>
              </w:rPr>
              <w:t>1.40</w:t>
            </w:r>
          </w:p>
        </w:tc>
        <w:tc>
          <w:tcPr>
            <w:tcW w:w="1247" w:type="dxa"/>
            <w:shd w:val="clear" w:color="000000" w:fill="FFFFFF"/>
            <w:noWrap/>
            <w:hideMark/>
          </w:tcPr>
          <w:p w14:paraId="07E20A7D" w14:textId="5338E599" w:rsidR="008E2ED2" w:rsidRPr="0018386D" w:rsidRDefault="008E2ED2" w:rsidP="00DD3106">
            <w:pPr>
              <w:pStyle w:val="TableText"/>
              <w:spacing w:before="30" w:after="30"/>
              <w:rPr>
                <w:color w:val="000000"/>
              </w:rPr>
            </w:pPr>
            <w:r w:rsidRPr="0018386D">
              <w:rPr>
                <w:color w:val="000000"/>
              </w:rPr>
              <w:t>0.00209</w:t>
            </w:r>
          </w:p>
        </w:tc>
        <w:tc>
          <w:tcPr>
            <w:tcW w:w="1247" w:type="dxa"/>
            <w:shd w:val="clear" w:color="000000" w:fill="FFFFFF"/>
            <w:noWrap/>
            <w:hideMark/>
          </w:tcPr>
          <w:p w14:paraId="05B918C2" w14:textId="7C882034" w:rsidR="008E2ED2" w:rsidRPr="0018386D" w:rsidRDefault="008E2ED2" w:rsidP="00DD3106">
            <w:pPr>
              <w:pStyle w:val="TableText"/>
              <w:spacing w:before="30" w:after="30"/>
              <w:rPr>
                <w:color w:val="000000"/>
              </w:rPr>
            </w:pPr>
            <w:r w:rsidRPr="0018386D">
              <w:rPr>
                <w:color w:val="000000"/>
              </w:rPr>
              <w:t>0.0198</w:t>
            </w:r>
          </w:p>
        </w:tc>
      </w:tr>
      <w:tr w:rsidR="006316C3" w:rsidRPr="0018386D" w14:paraId="7FAA396E" w14:textId="77777777" w:rsidTr="00472FA1">
        <w:trPr>
          <w:divId w:val="1620720466"/>
          <w:trHeight w:val="240"/>
        </w:trPr>
        <w:tc>
          <w:tcPr>
            <w:tcW w:w="1420" w:type="dxa"/>
            <w:tcBorders>
              <w:top w:val="single" w:sz="4" w:space="0" w:color="auto"/>
              <w:bottom w:val="nil"/>
              <w:right w:val="single" w:sz="4" w:space="0" w:color="auto"/>
            </w:tcBorders>
            <w:shd w:val="clear" w:color="000000" w:fill="FFFFFF"/>
            <w:noWrap/>
            <w:hideMark/>
          </w:tcPr>
          <w:p w14:paraId="38D8D4A0" w14:textId="0D4856CA" w:rsidR="008E2ED2" w:rsidRPr="0018386D" w:rsidRDefault="008E2ED2" w:rsidP="00DD3106">
            <w:pPr>
              <w:pStyle w:val="TableText"/>
              <w:spacing w:before="30" w:after="30"/>
              <w:rPr>
                <w:color w:val="000000"/>
              </w:rPr>
            </w:pPr>
            <w:r w:rsidRPr="0018386D">
              <w:rPr>
                <w:color w:val="000000"/>
              </w:rPr>
              <w:t>HGV BEV</w:t>
            </w:r>
          </w:p>
        </w:tc>
        <w:tc>
          <w:tcPr>
            <w:tcW w:w="1644" w:type="dxa"/>
            <w:tcBorders>
              <w:left w:val="single" w:sz="4" w:space="0" w:color="auto"/>
            </w:tcBorders>
            <w:shd w:val="clear" w:color="000000" w:fill="FFFFFF"/>
            <w:noWrap/>
            <w:hideMark/>
          </w:tcPr>
          <w:p w14:paraId="7161CD52" w14:textId="2453014A" w:rsidR="008E2ED2" w:rsidRPr="0018386D" w:rsidRDefault="008E2ED2" w:rsidP="00DD3106">
            <w:pPr>
              <w:pStyle w:val="TableText"/>
              <w:spacing w:before="30" w:after="30"/>
              <w:rPr>
                <w:color w:val="000000"/>
              </w:rPr>
            </w:pPr>
            <w:r w:rsidRPr="0018386D">
              <w:rPr>
                <w:color w:val="000000"/>
              </w:rPr>
              <w:t>&lt;5,000 kg</w:t>
            </w:r>
          </w:p>
        </w:tc>
        <w:tc>
          <w:tcPr>
            <w:tcW w:w="567" w:type="dxa"/>
            <w:shd w:val="clear" w:color="000000" w:fill="FFFFFF"/>
            <w:noWrap/>
            <w:hideMark/>
          </w:tcPr>
          <w:p w14:paraId="500EC2C4"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6152BC55" w14:textId="5D1F4259" w:rsidR="008E2ED2" w:rsidRPr="0018386D" w:rsidRDefault="008E2ED2" w:rsidP="00DD3106">
            <w:pPr>
              <w:pStyle w:val="TableText"/>
              <w:spacing w:before="30" w:after="30"/>
              <w:rPr>
                <w:color w:val="000000"/>
              </w:rPr>
            </w:pPr>
            <w:r w:rsidRPr="0018386D">
              <w:rPr>
                <w:color w:val="000000"/>
              </w:rPr>
              <w:t>0.0367</w:t>
            </w:r>
          </w:p>
        </w:tc>
        <w:tc>
          <w:tcPr>
            <w:tcW w:w="1247" w:type="dxa"/>
            <w:shd w:val="clear" w:color="000000" w:fill="FFFFFF"/>
            <w:noWrap/>
            <w:hideMark/>
          </w:tcPr>
          <w:p w14:paraId="3E0FEEA2" w14:textId="4646684B" w:rsidR="008E2ED2" w:rsidRPr="0018386D" w:rsidRDefault="008E2ED2" w:rsidP="00DD3106">
            <w:pPr>
              <w:pStyle w:val="TableText"/>
              <w:spacing w:before="30" w:after="30"/>
              <w:rPr>
                <w:color w:val="000000"/>
              </w:rPr>
            </w:pPr>
            <w:r w:rsidRPr="0018386D">
              <w:rPr>
                <w:color w:val="000000"/>
              </w:rPr>
              <w:t>0.0357</w:t>
            </w:r>
          </w:p>
        </w:tc>
        <w:tc>
          <w:tcPr>
            <w:tcW w:w="1247" w:type="dxa"/>
            <w:shd w:val="clear" w:color="000000" w:fill="FFFFFF"/>
            <w:noWrap/>
            <w:hideMark/>
          </w:tcPr>
          <w:p w14:paraId="044289F5" w14:textId="161BE695" w:rsidR="008E2ED2" w:rsidRPr="0018386D" w:rsidRDefault="008E2ED2" w:rsidP="00DD3106">
            <w:pPr>
              <w:pStyle w:val="TableText"/>
              <w:spacing w:before="30" w:after="30"/>
              <w:rPr>
                <w:color w:val="000000"/>
              </w:rPr>
            </w:pPr>
            <w:r w:rsidRPr="0018386D">
              <w:rPr>
                <w:color w:val="000000"/>
              </w:rPr>
              <w:t>0.0010</w:t>
            </w:r>
          </w:p>
        </w:tc>
        <w:tc>
          <w:tcPr>
            <w:tcW w:w="1247" w:type="dxa"/>
            <w:shd w:val="clear" w:color="000000" w:fill="FFFFFF"/>
            <w:noWrap/>
            <w:hideMark/>
          </w:tcPr>
          <w:p w14:paraId="07B32BF6" w14:textId="476993BB" w:rsidR="008E2ED2" w:rsidRPr="0018386D" w:rsidRDefault="008E2ED2" w:rsidP="00DD3106">
            <w:pPr>
              <w:pStyle w:val="TableText"/>
              <w:spacing w:before="30" w:after="30"/>
              <w:rPr>
                <w:color w:val="000000"/>
              </w:rPr>
            </w:pPr>
            <w:r w:rsidRPr="0018386D">
              <w:rPr>
                <w:color w:val="000000"/>
              </w:rPr>
              <w:t>0.00008</w:t>
            </w:r>
          </w:p>
        </w:tc>
      </w:tr>
      <w:tr w:rsidR="006316C3" w:rsidRPr="0018386D" w14:paraId="4271D1FA"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406A3296"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4523879F" w14:textId="3BF31B4F" w:rsidR="008E2ED2" w:rsidRPr="0018386D" w:rsidRDefault="008E2ED2" w:rsidP="00DD3106">
            <w:pPr>
              <w:pStyle w:val="TableText"/>
              <w:spacing w:before="30" w:after="30"/>
              <w:rPr>
                <w:color w:val="000000"/>
              </w:rPr>
            </w:pPr>
            <w:r w:rsidRPr="0018386D">
              <w:rPr>
                <w:color w:val="000000"/>
              </w:rPr>
              <w:t>5,000</w:t>
            </w:r>
            <w:r w:rsidR="00BC42F9" w:rsidRPr="0018386D">
              <w:rPr>
                <w:color w:val="000000"/>
              </w:rPr>
              <w:t>–</w:t>
            </w:r>
            <w:r w:rsidRPr="0018386D">
              <w:rPr>
                <w:color w:val="000000"/>
              </w:rPr>
              <w:t>7,500 kg</w:t>
            </w:r>
          </w:p>
        </w:tc>
        <w:tc>
          <w:tcPr>
            <w:tcW w:w="567" w:type="dxa"/>
            <w:shd w:val="clear" w:color="000000" w:fill="FFFFFF"/>
            <w:noWrap/>
            <w:hideMark/>
          </w:tcPr>
          <w:p w14:paraId="7F16C483"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277DC90E" w14:textId="4BE3C704" w:rsidR="008E2ED2" w:rsidRPr="0018386D" w:rsidRDefault="008E2ED2" w:rsidP="00DD3106">
            <w:pPr>
              <w:pStyle w:val="TableText"/>
              <w:spacing w:before="30" w:after="30"/>
              <w:rPr>
                <w:color w:val="000000"/>
              </w:rPr>
            </w:pPr>
            <w:r w:rsidRPr="0018386D">
              <w:rPr>
                <w:color w:val="000000"/>
              </w:rPr>
              <w:t>0.0421</w:t>
            </w:r>
          </w:p>
        </w:tc>
        <w:tc>
          <w:tcPr>
            <w:tcW w:w="1247" w:type="dxa"/>
            <w:shd w:val="clear" w:color="000000" w:fill="FFFFFF"/>
            <w:noWrap/>
            <w:hideMark/>
          </w:tcPr>
          <w:p w14:paraId="1F96F47B" w14:textId="27369044" w:rsidR="008E2ED2" w:rsidRPr="0018386D" w:rsidRDefault="008E2ED2" w:rsidP="00DD3106">
            <w:pPr>
              <w:pStyle w:val="TableText"/>
              <w:spacing w:before="30" w:after="30"/>
              <w:rPr>
                <w:color w:val="000000"/>
              </w:rPr>
            </w:pPr>
            <w:r w:rsidRPr="0018386D">
              <w:rPr>
                <w:color w:val="000000"/>
              </w:rPr>
              <w:t>0.0409</w:t>
            </w:r>
          </w:p>
        </w:tc>
        <w:tc>
          <w:tcPr>
            <w:tcW w:w="1247" w:type="dxa"/>
            <w:shd w:val="clear" w:color="000000" w:fill="FFFFFF"/>
            <w:noWrap/>
            <w:hideMark/>
          </w:tcPr>
          <w:p w14:paraId="7D2DD6B7" w14:textId="734938F9" w:rsidR="008E2ED2" w:rsidRPr="0018386D" w:rsidRDefault="008E2ED2" w:rsidP="00DD3106">
            <w:pPr>
              <w:pStyle w:val="TableText"/>
              <w:spacing w:before="30" w:after="30"/>
              <w:rPr>
                <w:color w:val="000000"/>
              </w:rPr>
            </w:pPr>
            <w:r w:rsidRPr="0018386D">
              <w:rPr>
                <w:color w:val="000000"/>
              </w:rPr>
              <w:t>0.00110</w:t>
            </w:r>
          </w:p>
        </w:tc>
        <w:tc>
          <w:tcPr>
            <w:tcW w:w="1247" w:type="dxa"/>
            <w:shd w:val="clear" w:color="000000" w:fill="FFFFFF"/>
            <w:noWrap/>
            <w:hideMark/>
          </w:tcPr>
          <w:p w14:paraId="629327FC" w14:textId="5B1B921B" w:rsidR="008E2ED2" w:rsidRPr="0018386D" w:rsidRDefault="008E2ED2" w:rsidP="00DD3106">
            <w:pPr>
              <w:pStyle w:val="TableText"/>
              <w:spacing w:before="30" w:after="30"/>
              <w:rPr>
                <w:color w:val="000000"/>
              </w:rPr>
            </w:pPr>
            <w:r w:rsidRPr="0018386D">
              <w:rPr>
                <w:color w:val="000000"/>
              </w:rPr>
              <w:t>0.00009</w:t>
            </w:r>
          </w:p>
        </w:tc>
      </w:tr>
      <w:tr w:rsidR="006316C3" w:rsidRPr="0018386D" w14:paraId="0020D2C7"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23913F16"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162DEB9D" w14:textId="4462FD38" w:rsidR="008E2ED2" w:rsidRPr="0018386D" w:rsidRDefault="008E2ED2" w:rsidP="00DD3106">
            <w:pPr>
              <w:pStyle w:val="TableText"/>
              <w:spacing w:before="30" w:after="30"/>
              <w:rPr>
                <w:color w:val="000000"/>
              </w:rPr>
            </w:pPr>
            <w:r w:rsidRPr="0018386D">
              <w:rPr>
                <w:color w:val="000000"/>
              </w:rPr>
              <w:t>7,500</w:t>
            </w:r>
            <w:r w:rsidR="00BC42F9" w:rsidRPr="0018386D">
              <w:rPr>
                <w:color w:val="000000"/>
              </w:rPr>
              <w:t>–</w:t>
            </w:r>
            <w:r w:rsidRPr="0018386D">
              <w:rPr>
                <w:color w:val="000000"/>
              </w:rPr>
              <w:t>10,000 kg</w:t>
            </w:r>
          </w:p>
        </w:tc>
        <w:tc>
          <w:tcPr>
            <w:tcW w:w="567" w:type="dxa"/>
            <w:shd w:val="clear" w:color="000000" w:fill="FFFFFF"/>
            <w:noWrap/>
            <w:hideMark/>
          </w:tcPr>
          <w:p w14:paraId="7AB4977C"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7D246BC0" w14:textId="1FE06603" w:rsidR="008E2ED2" w:rsidRPr="0018386D" w:rsidRDefault="008E2ED2" w:rsidP="00DD3106">
            <w:pPr>
              <w:pStyle w:val="TableText"/>
              <w:spacing w:before="30" w:after="30"/>
              <w:rPr>
                <w:color w:val="000000"/>
              </w:rPr>
            </w:pPr>
            <w:r w:rsidRPr="0018386D">
              <w:rPr>
                <w:color w:val="000000"/>
              </w:rPr>
              <w:t>0.0515</w:t>
            </w:r>
          </w:p>
        </w:tc>
        <w:tc>
          <w:tcPr>
            <w:tcW w:w="1247" w:type="dxa"/>
            <w:shd w:val="clear" w:color="000000" w:fill="FFFFFF"/>
            <w:noWrap/>
            <w:hideMark/>
          </w:tcPr>
          <w:p w14:paraId="7946A0C1" w14:textId="2FC36812" w:rsidR="008E2ED2" w:rsidRPr="0018386D" w:rsidRDefault="008E2ED2" w:rsidP="00DD3106">
            <w:pPr>
              <w:pStyle w:val="TableText"/>
              <w:spacing w:before="30" w:after="30"/>
              <w:rPr>
                <w:color w:val="000000"/>
              </w:rPr>
            </w:pPr>
            <w:r w:rsidRPr="0018386D">
              <w:rPr>
                <w:color w:val="000000"/>
              </w:rPr>
              <w:t>0.0500</w:t>
            </w:r>
          </w:p>
        </w:tc>
        <w:tc>
          <w:tcPr>
            <w:tcW w:w="1247" w:type="dxa"/>
            <w:shd w:val="clear" w:color="000000" w:fill="FFFFFF"/>
            <w:noWrap/>
            <w:hideMark/>
          </w:tcPr>
          <w:p w14:paraId="2591FDA2" w14:textId="767C58DF" w:rsidR="008E2ED2" w:rsidRPr="0018386D" w:rsidRDefault="008E2ED2" w:rsidP="00DD3106">
            <w:pPr>
              <w:pStyle w:val="TableText"/>
              <w:spacing w:before="30" w:after="30"/>
              <w:rPr>
                <w:color w:val="000000"/>
              </w:rPr>
            </w:pPr>
            <w:r w:rsidRPr="0018386D">
              <w:rPr>
                <w:color w:val="000000"/>
              </w:rPr>
              <w:t>0.00135</w:t>
            </w:r>
          </w:p>
        </w:tc>
        <w:tc>
          <w:tcPr>
            <w:tcW w:w="1247" w:type="dxa"/>
            <w:shd w:val="clear" w:color="000000" w:fill="FFFFFF"/>
            <w:noWrap/>
            <w:hideMark/>
          </w:tcPr>
          <w:p w14:paraId="6CBBEA85" w14:textId="77777777" w:rsidR="008E2ED2" w:rsidRPr="0018386D" w:rsidRDefault="008E2ED2" w:rsidP="00DD3106">
            <w:pPr>
              <w:pStyle w:val="TableText"/>
              <w:spacing w:before="30" w:after="30"/>
              <w:rPr>
                <w:color w:val="000000"/>
              </w:rPr>
            </w:pPr>
            <w:r w:rsidRPr="0018386D">
              <w:rPr>
                <w:color w:val="000000"/>
              </w:rPr>
              <w:t>0.0001</w:t>
            </w:r>
          </w:p>
        </w:tc>
      </w:tr>
      <w:tr w:rsidR="006316C3" w:rsidRPr="0018386D" w14:paraId="77039BE4" w14:textId="77777777" w:rsidTr="00472FA1">
        <w:trPr>
          <w:divId w:val="1620720466"/>
          <w:trHeight w:val="240"/>
        </w:trPr>
        <w:tc>
          <w:tcPr>
            <w:tcW w:w="1420" w:type="dxa"/>
            <w:tcBorders>
              <w:top w:val="nil"/>
              <w:bottom w:val="nil"/>
              <w:right w:val="single" w:sz="4" w:space="0" w:color="auto"/>
            </w:tcBorders>
            <w:shd w:val="clear" w:color="000000" w:fill="FFFFFF"/>
            <w:noWrap/>
            <w:hideMark/>
          </w:tcPr>
          <w:p w14:paraId="0642C37C"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4A521F73" w14:textId="599E3B9F" w:rsidR="008E2ED2" w:rsidRPr="0018386D" w:rsidRDefault="008E2ED2" w:rsidP="00DD3106">
            <w:pPr>
              <w:pStyle w:val="TableText"/>
              <w:spacing w:before="30" w:after="30"/>
              <w:rPr>
                <w:color w:val="000000"/>
              </w:rPr>
            </w:pPr>
            <w:r w:rsidRPr="0018386D">
              <w:rPr>
                <w:color w:val="000000"/>
              </w:rPr>
              <w:t>10,000</w:t>
            </w:r>
            <w:r w:rsidR="00BC42F9" w:rsidRPr="0018386D">
              <w:rPr>
                <w:color w:val="000000"/>
              </w:rPr>
              <w:t>–</w:t>
            </w:r>
            <w:r w:rsidRPr="0018386D">
              <w:rPr>
                <w:color w:val="000000"/>
              </w:rPr>
              <w:t>12,000 kg</w:t>
            </w:r>
          </w:p>
        </w:tc>
        <w:tc>
          <w:tcPr>
            <w:tcW w:w="567" w:type="dxa"/>
            <w:shd w:val="clear" w:color="000000" w:fill="FFFFFF"/>
            <w:noWrap/>
            <w:hideMark/>
          </w:tcPr>
          <w:p w14:paraId="4B8D57DA"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08702E6D" w14:textId="20A786D0" w:rsidR="008E2ED2" w:rsidRPr="0018386D" w:rsidRDefault="008E2ED2" w:rsidP="00DD3106">
            <w:pPr>
              <w:pStyle w:val="TableText"/>
              <w:spacing w:before="30" w:after="30"/>
              <w:rPr>
                <w:color w:val="000000"/>
              </w:rPr>
            </w:pPr>
            <w:r w:rsidRPr="0018386D">
              <w:rPr>
                <w:color w:val="000000"/>
              </w:rPr>
              <w:t>0.0610</w:t>
            </w:r>
          </w:p>
        </w:tc>
        <w:tc>
          <w:tcPr>
            <w:tcW w:w="1247" w:type="dxa"/>
            <w:shd w:val="clear" w:color="000000" w:fill="FFFFFF"/>
            <w:noWrap/>
            <w:hideMark/>
          </w:tcPr>
          <w:p w14:paraId="52B1B21C" w14:textId="4B09CDB9" w:rsidR="008E2ED2" w:rsidRPr="0018386D" w:rsidRDefault="008E2ED2" w:rsidP="00DD3106">
            <w:pPr>
              <w:pStyle w:val="TableText"/>
              <w:spacing w:before="30" w:after="30"/>
              <w:rPr>
                <w:color w:val="000000"/>
              </w:rPr>
            </w:pPr>
            <w:r w:rsidRPr="0018386D">
              <w:rPr>
                <w:color w:val="000000"/>
              </w:rPr>
              <w:t>0.0593</w:t>
            </w:r>
          </w:p>
        </w:tc>
        <w:tc>
          <w:tcPr>
            <w:tcW w:w="1247" w:type="dxa"/>
            <w:shd w:val="clear" w:color="000000" w:fill="FFFFFF"/>
            <w:noWrap/>
            <w:hideMark/>
          </w:tcPr>
          <w:p w14:paraId="060AC3F4" w14:textId="52261590" w:rsidR="008E2ED2" w:rsidRPr="0018386D" w:rsidRDefault="008E2ED2" w:rsidP="00DD3106">
            <w:pPr>
              <w:pStyle w:val="TableText"/>
              <w:spacing w:before="30" w:after="30"/>
              <w:rPr>
                <w:color w:val="000000"/>
              </w:rPr>
            </w:pPr>
            <w:r w:rsidRPr="0018386D">
              <w:rPr>
                <w:color w:val="000000"/>
              </w:rPr>
              <w:t>0.00160</w:t>
            </w:r>
          </w:p>
        </w:tc>
        <w:tc>
          <w:tcPr>
            <w:tcW w:w="1247" w:type="dxa"/>
            <w:shd w:val="clear" w:color="000000" w:fill="FFFFFF"/>
            <w:noWrap/>
            <w:hideMark/>
          </w:tcPr>
          <w:p w14:paraId="660C0AB4" w14:textId="77777777" w:rsidR="008E2ED2" w:rsidRPr="0018386D" w:rsidRDefault="008E2ED2" w:rsidP="00DD3106">
            <w:pPr>
              <w:pStyle w:val="TableText"/>
              <w:spacing w:before="30" w:after="30"/>
              <w:rPr>
                <w:color w:val="000000"/>
              </w:rPr>
            </w:pPr>
            <w:r w:rsidRPr="0018386D">
              <w:rPr>
                <w:color w:val="000000"/>
              </w:rPr>
              <w:t>0.0001</w:t>
            </w:r>
          </w:p>
        </w:tc>
      </w:tr>
      <w:tr w:rsidR="008C2ADF" w:rsidRPr="0018386D" w14:paraId="2A0CF685" w14:textId="77777777" w:rsidTr="00472FA1">
        <w:trPr>
          <w:divId w:val="1620720466"/>
          <w:trHeight w:val="240"/>
        </w:trPr>
        <w:tc>
          <w:tcPr>
            <w:tcW w:w="1420" w:type="dxa"/>
            <w:tcBorders>
              <w:top w:val="nil"/>
              <w:bottom w:val="single" w:sz="4" w:space="0" w:color="auto"/>
              <w:right w:val="single" w:sz="4" w:space="0" w:color="auto"/>
            </w:tcBorders>
            <w:shd w:val="clear" w:color="000000" w:fill="FFFFFF"/>
            <w:noWrap/>
            <w:hideMark/>
          </w:tcPr>
          <w:p w14:paraId="6080675F" w14:textId="77777777" w:rsidR="008E2ED2" w:rsidRPr="0018386D" w:rsidRDefault="008E2ED2" w:rsidP="00DD3106">
            <w:pPr>
              <w:pStyle w:val="TableText"/>
              <w:spacing w:before="30" w:after="30"/>
              <w:rPr>
                <w:color w:val="000000"/>
              </w:rPr>
            </w:pPr>
            <w:r w:rsidRPr="0018386D">
              <w:rPr>
                <w:color w:val="000000"/>
              </w:rPr>
              <w:t> </w:t>
            </w:r>
          </w:p>
        </w:tc>
        <w:tc>
          <w:tcPr>
            <w:tcW w:w="1644" w:type="dxa"/>
            <w:tcBorders>
              <w:left w:val="single" w:sz="4" w:space="0" w:color="auto"/>
            </w:tcBorders>
            <w:shd w:val="clear" w:color="000000" w:fill="FFFFFF"/>
            <w:noWrap/>
            <w:hideMark/>
          </w:tcPr>
          <w:p w14:paraId="390A96EE" w14:textId="0B806E19" w:rsidR="008E2ED2" w:rsidRPr="0018386D" w:rsidRDefault="008E2ED2" w:rsidP="00DD3106">
            <w:pPr>
              <w:pStyle w:val="TableText"/>
              <w:spacing w:before="30" w:after="30"/>
              <w:rPr>
                <w:color w:val="000000"/>
              </w:rPr>
            </w:pPr>
            <w:r w:rsidRPr="0018386D">
              <w:rPr>
                <w:color w:val="000000"/>
              </w:rPr>
              <w:t>12,000</w:t>
            </w:r>
            <w:r w:rsidR="00BC42F9" w:rsidRPr="0018386D">
              <w:rPr>
                <w:color w:val="000000"/>
              </w:rPr>
              <w:t>–</w:t>
            </w:r>
            <w:r w:rsidRPr="0018386D">
              <w:rPr>
                <w:color w:val="000000"/>
              </w:rPr>
              <w:t>15,000 kg</w:t>
            </w:r>
          </w:p>
        </w:tc>
        <w:tc>
          <w:tcPr>
            <w:tcW w:w="567" w:type="dxa"/>
            <w:shd w:val="clear" w:color="000000" w:fill="FFFFFF"/>
            <w:noWrap/>
            <w:hideMark/>
          </w:tcPr>
          <w:p w14:paraId="664D061F" w14:textId="77777777" w:rsidR="008E2ED2" w:rsidRPr="0018386D" w:rsidRDefault="008E2ED2" w:rsidP="00DD3106">
            <w:pPr>
              <w:pStyle w:val="TableText"/>
              <w:spacing w:before="30" w:after="30"/>
              <w:rPr>
                <w:color w:val="000000"/>
              </w:rPr>
            </w:pPr>
            <w:r w:rsidRPr="0018386D">
              <w:rPr>
                <w:color w:val="000000"/>
              </w:rPr>
              <w:t>km</w:t>
            </w:r>
          </w:p>
        </w:tc>
        <w:tc>
          <w:tcPr>
            <w:tcW w:w="1134" w:type="dxa"/>
            <w:shd w:val="clear" w:color="000000" w:fill="D2DDE1"/>
            <w:noWrap/>
            <w:hideMark/>
          </w:tcPr>
          <w:p w14:paraId="33F0AF0D" w14:textId="03908780" w:rsidR="008E2ED2" w:rsidRPr="0018386D" w:rsidRDefault="008E2ED2" w:rsidP="00DD3106">
            <w:pPr>
              <w:pStyle w:val="TableText"/>
              <w:spacing w:before="30" w:after="30"/>
              <w:rPr>
                <w:color w:val="000000"/>
              </w:rPr>
            </w:pPr>
            <w:r w:rsidRPr="0018386D">
              <w:rPr>
                <w:color w:val="000000"/>
              </w:rPr>
              <w:t>0.0693</w:t>
            </w:r>
          </w:p>
        </w:tc>
        <w:tc>
          <w:tcPr>
            <w:tcW w:w="1247" w:type="dxa"/>
            <w:shd w:val="clear" w:color="000000" w:fill="FFFFFF"/>
            <w:noWrap/>
            <w:hideMark/>
          </w:tcPr>
          <w:p w14:paraId="33784CC1" w14:textId="6C296F48" w:rsidR="008E2ED2" w:rsidRPr="0018386D" w:rsidRDefault="008E2ED2" w:rsidP="00DD3106">
            <w:pPr>
              <w:pStyle w:val="TableText"/>
              <w:spacing w:before="30" w:after="30"/>
              <w:rPr>
                <w:color w:val="000000"/>
              </w:rPr>
            </w:pPr>
            <w:r w:rsidRPr="0018386D">
              <w:rPr>
                <w:color w:val="000000"/>
              </w:rPr>
              <w:t>0.0674</w:t>
            </w:r>
          </w:p>
        </w:tc>
        <w:tc>
          <w:tcPr>
            <w:tcW w:w="1247" w:type="dxa"/>
            <w:shd w:val="clear" w:color="000000" w:fill="FFFFFF"/>
            <w:noWrap/>
            <w:hideMark/>
          </w:tcPr>
          <w:p w14:paraId="29256972" w14:textId="0C9F053C" w:rsidR="008E2ED2" w:rsidRPr="0018386D" w:rsidRDefault="008E2ED2" w:rsidP="00DD3106">
            <w:pPr>
              <w:pStyle w:val="TableText"/>
              <w:spacing w:before="30" w:after="30"/>
              <w:rPr>
                <w:color w:val="000000"/>
              </w:rPr>
            </w:pPr>
            <w:r w:rsidRPr="0018386D">
              <w:rPr>
                <w:color w:val="000000"/>
              </w:rPr>
              <w:t>0.00181</w:t>
            </w:r>
          </w:p>
        </w:tc>
        <w:tc>
          <w:tcPr>
            <w:tcW w:w="1247" w:type="dxa"/>
            <w:shd w:val="clear" w:color="000000" w:fill="FFFFFF"/>
            <w:noWrap/>
            <w:hideMark/>
          </w:tcPr>
          <w:p w14:paraId="1B4B1262" w14:textId="77777777" w:rsidR="008E2ED2" w:rsidRPr="0018386D" w:rsidRDefault="008E2ED2" w:rsidP="00DD3106">
            <w:pPr>
              <w:pStyle w:val="TableText"/>
              <w:spacing w:before="30" w:after="30"/>
              <w:rPr>
                <w:color w:val="000000"/>
              </w:rPr>
            </w:pPr>
            <w:r w:rsidRPr="0018386D">
              <w:rPr>
                <w:color w:val="000000"/>
              </w:rPr>
              <w:t>0.0001</w:t>
            </w:r>
          </w:p>
        </w:tc>
      </w:tr>
    </w:tbl>
    <w:p w14:paraId="1964FDA2" w14:textId="08A2EAF8" w:rsidR="00334CF0" w:rsidRPr="0018386D" w:rsidRDefault="00C7627E" w:rsidP="00DD3106">
      <w:pPr>
        <w:pStyle w:val="BodyText"/>
        <w:spacing w:before="240"/>
        <w:rPr>
          <w:b/>
          <w:sz w:val="20"/>
        </w:rPr>
      </w:pPr>
      <w:hyperlink w:anchor="table51" w:history="1">
        <w:r w:rsidR="00334CF0" w:rsidRPr="0018386D">
          <w:rPr>
            <w:rStyle w:val="Hyperlink"/>
          </w:rPr>
          <w:t>Table 51</w:t>
        </w:r>
      </w:hyperlink>
      <w:r w:rsidR="00334CF0" w:rsidRPr="0018386D">
        <w:t xml:space="preserve"> contains the default emission factors for heavy goods vehicles, based on a post-2015 fleet</w:t>
      </w:r>
      <w:r w:rsidR="5EBC4A4F" w:rsidRPr="0018386D">
        <w:t>.</w:t>
      </w:r>
    </w:p>
    <w:p w14:paraId="650927D9" w14:textId="069EF051" w:rsidR="00EC122D" w:rsidRPr="0018386D" w:rsidRDefault="00334CF0" w:rsidP="00DD3106">
      <w:pPr>
        <w:pStyle w:val="Tableheading"/>
      </w:pPr>
      <w:bookmarkStart w:id="629" w:name="table51"/>
      <w:bookmarkStart w:id="630" w:name="_Toc111536663"/>
      <w:bookmarkStart w:id="631" w:name="_Toc140048991"/>
      <w:r w:rsidRPr="0018386D">
        <w:t xml:space="preserve">Table </w:t>
      </w:r>
      <w:r w:rsidR="00C7627E">
        <w:fldChar w:fldCharType="begin"/>
      </w:r>
      <w:r w:rsidR="00C7627E">
        <w:instrText xml:space="preserve"> SEQ Table \* ARABIC </w:instrText>
      </w:r>
      <w:r w:rsidR="00C7627E">
        <w:fldChar w:fldCharType="separate"/>
      </w:r>
      <w:r w:rsidR="00634642" w:rsidRPr="0018386D">
        <w:rPr>
          <w:noProof/>
        </w:rPr>
        <w:t>51</w:t>
      </w:r>
      <w:r w:rsidR="00C7627E">
        <w:rPr>
          <w:noProof/>
        </w:rPr>
        <w:fldChar w:fldCharType="end"/>
      </w:r>
      <w:r w:rsidR="00634642" w:rsidRPr="0018386D">
        <w:t>:</w:t>
      </w:r>
      <w:bookmarkEnd w:id="629"/>
      <w:r w:rsidR="00EB4389" w:rsidRPr="0018386D">
        <w:tab/>
      </w:r>
      <w:r w:rsidR="00EC122D" w:rsidRPr="0018386D">
        <w:t>Emission factors for heavy goods vehicles manufactured post</w:t>
      </w:r>
      <w:r w:rsidR="001569F5" w:rsidRPr="0018386D">
        <w:t>-</w:t>
      </w:r>
      <w:proofErr w:type="gramStart"/>
      <w:r w:rsidR="00EC122D" w:rsidRPr="0018386D">
        <w:t>2015</w:t>
      </w:r>
      <w:bookmarkEnd w:id="630"/>
      <w:bookmarkEnd w:id="631"/>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356"/>
        <w:gridCol w:w="1623"/>
        <w:gridCol w:w="492"/>
        <w:gridCol w:w="1191"/>
        <w:gridCol w:w="1299"/>
        <w:gridCol w:w="1245"/>
        <w:gridCol w:w="1299"/>
      </w:tblGrid>
      <w:tr w:rsidR="006316C3" w:rsidRPr="0018386D" w14:paraId="4FFD720B" w14:textId="77777777" w:rsidTr="00472FA1">
        <w:trPr>
          <w:divId w:val="839926928"/>
          <w:tblHeader/>
        </w:trPr>
        <w:tc>
          <w:tcPr>
            <w:tcW w:w="1420" w:type="dxa"/>
            <w:tcBorders>
              <w:bottom w:val="nil"/>
            </w:tcBorders>
            <w:shd w:val="clear" w:color="000000" w:fill="1B556B" w:themeFill="text2"/>
            <w:noWrap/>
            <w:vAlign w:val="bottom"/>
            <w:hideMark/>
          </w:tcPr>
          <w:p w14:paraId="5B44676A" w14:textId="5BBCA9FE" w:rsidR="008E2ED2" w:rsidRPr="0018386D" w:rsidRDefault="008E2ED2" w:rsidP="00DD3106">
            <w:pPr>
              <w:pStyle w:val="TableTextbold"/>
              <w:spacing w:before="30" w:after="30"/>
              <w:rPr>
                <w:color w:val="FFFFFF" w:themeColor="background1"/>
              </w:rPr>
            </w:pPr>
            <w:bookmarkStart w:id="632" w:name="_1746366858"/>
            <w:bookmarkStart w:id="633" w:name="_1745997854"/>
            <w:bookmarkStart w:id="634" w:name="_1746254087"/>
            <w:bookmarkStart w:id="635" w:name="_1747051281"/>
            <w:bookmarkEnd w:id="632"/>
            <w:bookmarkEnd w:id="633"/>
            <w:bookmarkEnd w:id="634"/>
            <w:bookmarkEnd w:id="635"/>
            <w:r w:rsidRPr="0018386D">
              <w:rPr>
                <w:color w:val="FFFFFF" w:themeColor="background1"/>
              </w:rPr>
              <w:t>Emission source</w:t>
            </w:r>
          </w:p>
        </w:tc>
        <w:tc>
          <w:tcPr>
            <w:tcW w:w="1701" w:type="dxa"/>
            <w:shd w:val="clear" w:color="000000" w:fill="1B556B" w:themeFill="text2"/>
            <w:noWrap/>
            <w:vAlign w:val="bottom"/>
            <w:hideMark/>
          </w:tcPr>
          <w:p w14:paraId="6A40476A" w14:textId="77777777" w:rsidR="008E2ED2" w:rsidRPr="0018386D" w:rsidRDefault="008E2ED2" w:rsidP="00DD3106">
            <w:pPr>
              <w:pStyle w:val="TableTextbold"/>
              <w:spacing w:before="30" w:after="30"/>
              <w:rPr>
                <w:color w:val="FFFFFF" w:themeColor="background1"/>
              </w:rPr>
            </w:pPr>
            <w:r w:rsidRPr="0018386D">
              <w:rPr>
                <w:color w:val="FFFFFF" w:themeColor="background1"/>
              </w:rPr>
              <w:t> </w:t>
            </w:r>
          </w:p>
        </w:tc>
        <w:tc>
          <w:tcPr>
            <w:tcW w:w="510" w:type="dxa"/>
            <w:shd w:val="clear" w:color="000000" w:fill="1B556B" w:themeFill="text2"/>
            <w:noWrap/>
            <w:vAlign w:val="bottom"/>
            <w:hideMark/>
          </w:tcPr>
          <w:p w14:paraId="3F009BA7"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247" w:type="dxa"/>
            <w:shd w:val="clear" w:color="000000" w:fill="1B556B" w:themeFill="text2"/>
            <w:noWrap/>
            <w:vAlign w:val="bottom"/>
            <w:hideMark/>
          </w:tcPr>
          <w:p w14:paraId="15602FF6" w14:textId="3A17A575"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361" w:type="dxa"/>
            <w:shd w:val="clear" w:color="000000" w:fill="1B556B" w:themeFill="text2"/>
            <w:noWrap/>
            <w:vAlign w:val="bottom"/>
            <w:hideMark/>
          </w:tcPr>
          <w:p w14:paraId="261C9F20" w14:textId="09E879AF"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w:t>
            </w:r>
            <w:r w:rsidR="00061197" w:rsidRPr="0018386D">
              <w:rPr>
                <w:color w:val="FFFFFF" w:themeColor="background1"/>
              </w:rPr>
              <w:t xml:space="preserve"> </w:t>
            </w:r>
            <w:r w:rsidRPr="0018386D">
              <w:rPr>
                <w:color w:val="FFFFFF" w:themeColor="background1"/>
              </w:rPr>
              <w:t>unit)</w:t>
            </w:r>
          </w:p>
        </w:tc>
        <w:tc>
          <w:tcPr>
            <w:tcW w:w="1304" w:type="dxa"/>
            <w:shd w:val="clear" w:color="000000" w:fill="1B556B" w:themeFill="text2"/>
            <w:noWrap/>
            <w:vAlign w:val="bottom"/>
            <w:hideMark/>
          </w:tcPr>
          <w:p w14:paraId="33114F4A" w14:textId="3690F588" w:rsidR="008E2ED2" w:rsidRPr="0018386D" w:rsidRDefault="008E2ED2" w:rsidP="00DD3106">
            <w:pPr>
              <w:pStyle w:val="TableTextbold"/>
              <w:spacing w:before="30" w:after="30"/>
              <w:rPr>
                <w:color w:val="FFFFFF" w:themeColor="background1"/>
              </w:rPr>
            </w:pPr>
            <w:r w:rsidRPr="0018386D">
              <w:rPr>
                <w:color w:val="FFFFFF" w:themeColor="background1"/>
              </w:rPr>
              <w:t>CH₄ (kg CO₂-e/</w:t>
            </w:r>
            <w:r w:rsidR="00061197" w:rsidRPr="0018386D">
              <w:rPr>
                <w:color w:val="FFFFFF" w:themeColor="background1"/>
              </w:rPr>
              <w:t xml:space="preserve"> </w:t>
            </w:r>
            <w:r w:rsidRPr="0018386D">
              <w:rPr>
                <w:color w:val="FFFFFF" w:themeColor="background1"/>
              </w:rPr>
              <w:t>unit)</w:t>
            </w:r>
          </w:p>
        </w:tc>
        <w:tc>
          <w:tcPr>
            <w:tcW w:w="1361" w:type="dxa"/>
            <w:shd w:val="clear" w:color="000000" w:fill="1B556B" w:themeFill="text2"/>
            <w:noWrap/>
            <w:vAlign w:val="bottom"/>
            <w:hideMark/>
          </w:tcPr>
          <w:p w14:paraId="3A1B9A5B" w14:textId="72283CC4" w:rsidR="008E2ED2" w:rsidRPr="0018386D" w:rsidRDefault="008E2ED2" w:rsidP="00DD3106">
            <w:pPr>
              <w:pStyle w:val="TableTextbold"/>
              <w:spacing w:before="30" w:after="30"/>
              <w:rPr>
                <w:color w:val="FFFFFF" w:themeColor="background1"/>
              </w:rPr>
            </w:pPr>
            <w:r w:rsidRPr="0018386D">
              <w:rPr>
                <w:color w:val="FFFFFF" w:themeColor="background1"/>
              </w:rPr>
              <w:t>N₂O (kg CO₂-e/</w:t>
            </w:r>
            <w:r w:rsidR="00061197" w:rsidRPr="0018386D">
              <w:rPr>
                <w:color w:val="FFFFFF" w:themeColor="background1"/>
              </w:rPr>
              <w:t xml:space="preserve"> </w:t>
            </w:r>
            <w:r w:rsidRPr="0018386D">
              <w:rPr>
                <w:color w:val="FFFFFF" w:themeColor="background1"/>
              </w:rPr>
              <w:t>unit)</w:t>
            </w:r>
          </w:p>
        </w:tc>
      </w:tr>
      <w:tr w:rsidR="006316C3" w:rsidRPr="0018386D" w14:paraId="793346BA" w14:textId="77777777" w:rsidTr="00472FA1">
        <w:trPr>
          <w:divId w:val="839926928"/>
        </w:trPr>
        <w:tc>
          <w:tcPr>
            <w:tcW w:w="1420" w:type="dxa"/>
            <w:tcBorders>
              <w:top w:val="nil"/>
              <w:bottom w:val="nil"/>
              <w:right w:val="single" w:sz="4" w:space="0" w:color="auto"/>
            </w:tcBorders>
            <w:shd w:val="clear" w:color="000000" w:fill="FFFFFF"/>
            <w:noWrap/>
            <w:hideMark/>
          </w:tcPr>
          <w:p w14:paraId="490CF9CB" w14:textId="77777777" w:rsidR="008E2ED2" w:rsidRPr="0018386D" w:rsidRDefault="008E2ED2" w:rsidP="00DD3106">
            <w:pPr>
              <w:pStyle w:val="TableText"/>
              <w:spacing w:before="30" w:after="30"/>
            </w:pPr>
            <w:r w:rsidRPr="0018386D">
              <w:t>HGV diesel</w:t>
            </w:r>
          </w:p>
        </w:tc>
        <w:tc>
          <w:tcPr>
            <w:tcW w:w="1701" w:type="dxa"/>
            <w:tcBorders>
              <w:left w:val="single" w:sz="4" w:space="0" w:color="auto"/>
            </w:tcBorders>
            <w:shd w:val="clear" w:color="000000" w:fill="FFFFFF"/>
            <w:noWrap/>
            <w:hideMark/>
          </w:tcPr>
          <w:p w14:paraId="11D7CCDF" w14:textId="644BBB95" w:rsidR="008E2ED2" w:rsidRPr="0018386D" w:rsidRDefault="008E2ED2" w:rsidP="00DD3106">
            <w:pPr>
              <w:pStyle w:val="TableText"/>
              <w:spacing w:before="30" w:after="30"/>
            </w:pPr>
            <w:r w:rsidRPr="0018386D">
              <w:t>&lt;5,000 kg</w:t>
            </w:r>
          </w:p>
        </w:tc>
        <w:tc>
          <w:tcPr>
            <w:tcW w:w="510" w:type="dxa"/>
            <w:shd w:val="clear" w:color="000000" w:fill="FFFFFF"/>
            <w:noWrap/>
            <w:hideMark/>
          </w:tcPr>
          <w:p w14:paraId="1EDB3E9C"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5BFDB7F8" w14:textId="620935D1" w:rsidR="008E2ED2" w:rsidRPr="0018386D" w:rsidRDefault="008E2ED2" w:rsidP="00DD3106">
            <w:pPr>
              <w:pStyle w:val="TableText"/>
              <w:spacing w:before="30" w:after="30"/>
            </w:pPr>
            <w:r w:rsidRPr="0018386D">
              <w:t>0.425</w:t>
            </w:r>
          </w:p>
        </w:tc>
        <w:tc>
          <w:tcPr>
            <w:tcW w:w="1361" w:type="dxa"/>
            <w:shd w:val="clear" w:color="000000" w:fill="FFFFFF"/>
            <w:noWrap/>
            <w:hideMark/>
          </w:tcPr>
          <w:p w14:paraId="2F878202" w14:textId="16626B32" w:rsidR="008E2ED2" w:rsidRPr="0018386D" w:rsidRDefault="008E2ED2" w:rsidP="00DD3106">
            <w:pPr>
              <w:pStyle w:val="TableText"/>
              <w:spacing w:before="30" w:after="30"/>
            </w:pPr>
            <w:r w:rsidRPr="0018386D">
              <w:t>0.419</w:t>
            </w:r>
          </w:p>
        </w:tc>
        <w:tc>
          <w:tcPr>
            <w:tcW w:w="1304" w:type="dxa"/>
            <w:shd w:val="clear" w:color="000000" w:fill="FFFFFF"/>
            <w:noWrap/>
            <w:hideMark/>
          </w:tcPr>
          <w:p w14:paraId="7C934331" w14:textId="77777777" w:rsidR="008E2ED2" w:rsidRPr="0018386D" w:rsidRDefault="008E2ED2" w:rsidP="00DD3106">
            <w:pPr>
              <w:pStyle w:val="TableText"/>
              <w:spacing w:before="30" w:after="30"/>
            </w:pPr>
            <w:r w:rsidRPr="0018386D">
              <w:t>0.0006</w:t>
            </w:r>
          </w:p>
        </w:tc>
        <w:tc>
          <w:tcPr>
            <w:tcW w:w="1361" w:type="dxa"/>
            <w:shd w:val="clear" w:color="000000" w:fill="FFFFFF"/>
            <w:noWrap/>
            <w:hideMark/>
          </w:tcPr>
          <w:p w14:paraId="38859F0B" w14:textId="01DDF711" w:rsidR="008E2ED2" w:rsidRPr="0018386D" w:rsidRDefault="008E2ED2" w:rsidP="00DD3106">
            <w:pPr>
              <w:pStyle w:val="TableText"/>
              <w:spacing w:before="30" w:after="30"/>
            </w:pPr>
            <w:r w:rsidRPr="0018386D">
              <w:t>0.00592</w:t>
            </w:r>
          </w:p>
        </w:tc>
      </w:tr>
      <w:tr w:rsidR="006316C3" w:rsidRPr="0018386D" w14:paraId="771A8AF4" w14:textId="77777777" w:rsidTr="00472FA1">
        <w:trPr>
          <w:divId w:val="839926928"/>
        </w:trPr>
        <w:tc>
          <w:tcPr>
            <w:tcW w:w="1420" w:type="dxa"/>
            <w:tcBorders>
              <w:top w:val="nil"/>
              <w:bottom w:val="nil"/>
              <w:right w:val="single" w:sz="4" w:space="0" w:color="auto"/>
            </w:tcBorders>
            <w:shd w:val="clear" w:color="000000" w:fill="FFFFFF"/>
            <w:noWrap/>
            <w:hideMark/>
          </w:tcPr>
          <w:p w14:paraId="3F2D56B1"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4963875D" w14:textId="4FC04BF7" w:rsidR="008E2ED2" w:rsidRPr="0018386D" w:rsidRDefault="008E2ED2" w:rsidP="00DD3106">
            <w:pPr>
              <w:pStyle w:val="TableText"/>
              <w:spacing w:before="30" w:after="30"/>
            </w:pPr>
            <w:r w:rsidRPr="0018386D">
              <w:t>5,000</w:t>
            </w:r>
            <w:r w:rsidR="00807B64" w:rsidRPr="0018386D">
              <w:t>–</w:t>
            </w:r>
            <w:r w:rsidRPr="0018386D">
              <w:t>7,500 kg</w:t>
            </w:r>
          </w:p>
        </w:tc>
        <w:tc>
          <w:tcPr>
            <w:tcW w:w="510" w:type="dxa"/>
            <w:shd w:val="clear" w:color="000000" w:fill="FFFFFF"/>
            <w:noWrap/>
            <w:hideMark/>
          </w:tcPr>
          <w:p w14:paraId="0A4CC412"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3E0A8C61" w14:textId="1F2F306E" w:rsidR="008E2ED2" w:rsidRPr="0018386D" w:rsidRDefault="008E2ED2" w:rsidP="00DD3106">
            <w:pPr>
              <w:pStyle w:val="TableText"/>
              <w:spacing w:before="30" w:after="30"/>
            </w:pPr>
            <w:r w:rsidRPr="0018386D">
              <w:t>0.481</w:t>
            </w:r>
          </w:p>
        </w:tc>
        <w:tc>
          <w:tcPr>
            <w:tcW w:w="1361" w:type="dxa"/>
            <w:shd w:val="clear" w:color="000000" w:fill="FFFFFF"/>
            <w:noWrap/>
            <w:hideMark/>
          </w:tcPr>
          <w:p w14:paraId="35B834AA" w14:textId="70619C70" w:rsidR="008E2ED2" w:rsidRPr="0018386D" w:rsidRDefault="008E2ED2" w:rsidP="00DD3106">
            <w:pPr>
              <w:pStyle w:val="TableText"/>
              <w:spacing w:before="30" w:after="30"/>
            </w:pPr>
            <w:r w:rsidRPr="0018386D">
              <w:t>0.474</w:t>
            </w:r>
          </w:p>
        </w:tc>
        <w:tc>
          <w:tcPr>
            <w:tcW w:w="1304" w:type="dxa"/>
            <w:shd w:val="clear" w:color="000000" w:fill="FFFFFF"/>
            <w:noWrap/>
            <w:hideMark/>
          </w:tcPr>
          <w:p w14:paraId="76C925E9" w14:textId="6BBB6288" w:rsidR="008E2ED2" w:rsidRPr="0018386D" w:rsidRDefault="008E2ED2" w:rsidP="00DD3106">
            <w:pPr>
              <w:pStyle w:val="TableText"/>
              <w:spacing w:before="30" w:after="30"/>
            </w:pPr>
            <w:r w:rsidRPr="0018386D">
              <w:t>0.0007</w:t>
            </w:r>
          </w:p>
        </w:tc>
        <w:tc>
          <w:tcPr>
            <w:tcW w:w="1361" w:type="dxa"/>
            <w:shd w:val="clear" w:color="000000" w:fill="FFFFFF"/>
            <w:noWrap/>
            <w:hideMark/>
          </w:tcPr>
          <w:p w14:paraId="1DC058C7" w14:textId="720E107E" w:rsidR="008E2ED2" w:rsidRPr="0018386D" w:rsidRDefault="008E2ED2" w:rsidP="00DD3106">
            <w:pPr>
              <w:pStyle w:val="TableText"/>
              <w:spacing w:before="30" w:after="30"/>
            </w:pPr>
            <w:r w:rsidRPr="0018386D">
              <w:t>0.00670</w:t>
            </w:r>
          </w:p>
        </w:tc>
      </w:tr>
      <w:tr w:rsidR="006316C3" w:rsidRPr="0018386D" w14:paraId="7A56920B" w14:textId="77777777" w:rsidTr="00472FA1">
        <w:trPr>
          <w:divId w:val="839926928"/>
        </w:trPr>
        <w:tc>
          <w:tcPr>
            <w:tcW w:w="1420" w:type="dxa"/>
            <w:tcBorders>
              <w:top w:val="nil"/>
              <w:bottom w:val="nil"/>
              <w:right w:val="single" w:sz="4" w:space="0" w:color="auto"/>
            </w:tcBorders>
            <w:shd w:val="clear" w:color="000000" w:fill="FFFFFF"/>
            <w:noWrap/>
            <w:hideMark/>
          </w:tcPr>
          <w:p w14:paraId="5051A97A"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67DF8A74" w14:textId="0BD765E2" w:rsidR="008E2ED2" w:rsidRPr="0018386D" w:rsidRDefault="008E2ED2" w:rsidP="00DD3106">
            <w:pPr>
              <w:pStyle w:val="TableText"/>
              <w:spacing w:before="30" w:after="30"/>
            </w:pPr>
            <w:r w:rsidRPr="0018386D">
              <w:t>7,500</w:t>
            </w:r>
            <w:r w:rsidR="00807B64" w:rsidRPr="0018386D">
              <w:t>–</w:t>
            </w:r>
            <w:r w:rsidRPr="0018386D">
              <w:t>10,000 kg</w:t>
            </w:r>
          </w:p>
        </w:tc>
        <w:tc>
          <w:tcPr>
            <w:tcW w:w="510" w:type="dxa"/>
            <w:shd w:val="clear" w:color="000000" w:fill="FFFFFF"/>
            <w:noWrap/>
            <w:hideMark/>
          </w:tcPr>
          <w:p w14:paraId="05CF7BE1"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03D02442" w14:textId="616C52AF" w:rsidR="008E2ED2" w:rsidRPr="0018386D" w:rsidRDefault="008E2ED2" w:rsidP="00DD3106">
            <w:pPr>
              <w:pStyle w:val="TableText"/>
              <w:spacing w:before="30" w:after="30"/>
            </w:pPr>
            <w:r w:rsidRPr="0018386D">
              <w:t>0.589</w:t>
            </w:r>
          </w:p>
        </w:tc>
        <w:tc>
          <w:tcPr>
            <w:tcW w:w="1361" w:type="dxa"/>
            <w:shd w:val="clear" w:color="000000" w:fill="FFFFFF"/>
            <w:noWrap/>
            <w:hideMark/>
          </w:tcPr>
          <w:p w14:paraId="630BB052" w14:textId="13ACFDA3" w:rsidR="008E2ED2" w:rsidRPr="0018386D" w:rsidRDefault="008E2ED2" w:rsidP="00DD3106">
            <w:pPr>
              <w:pStyle w:val="TableText"/>
              <w:spacing w:before="30" w:after="30"/>
            </w:pPr>
            <w:r w:rsidRPr="0018386D">
              <w:t>0.580</w:t>
            </w:r>
          </w:p>
        </w:tc>
        <w:tc>
          <w:tcPr>
            <w:tcW w:w="1304" w:type="dxa"/>
            <w:shd w:val="clear" w:color="000000" w:fill="FFFFFF"/>
            <w:noWrap/>
            <w:hideMark/>
          </w:tcPr>
          <w:p w14:paraId="52782A68" w14:textId="6E8B0591" w:rsidR="008E2ED2" w:rsidRPr="0018386D" w:rsidRDefault="008E2ED2" w:rsidP="00DD3106">
            <w:pPr>
              <w:pStyle w:val="TableText"/>
              <w:spacing w:before="30" w:after="30"/>
            </w:pPr>
            <w:r w:rsidRPr="0018386D">
              <w:t>0.0009</w:t>
            </w:r>
          </w:p>
        </w:tc>
        <w:tc>
          <w:tcPr>
            <w:tcW w:w="1361" w:type="dxa"/>
            <w:shd w:val="clear" w:color="000000" w:fill="FFFFFF"/>
            <w:noWrap/>
            <w:hideMark/>
          </w:tcPr>
          <w:p w14:paraId="66FFB1D8" w14:textId="461515EF" w:rsidR="008E2ED2" w:rsidRPr="0018386D" w:rsidRDefault="008E2ED2" w:rsidP="00DD3106">
            <w:pPr>
              <w:pStyle w:val="TableText"/>
              <w:spacing w:before="30" w:after="30"/>
            </w:pPr>
            <w:r w:rsidRPr="0018386D">
              <w:t>0.00819</w:t>
            </w:r>
          </w:p>
        </w:tc>
      </w:tr>
      <w:tr w:rsidR="006316C3" w:rsidRPr="0018386D" w14:paraId="5FE55F42" w14:textId="77777777" w:rsidTr="00472FA1">
        <w:trPr>
          <w:divId w:val="839926928"/>
        </w:trPr>
        <w:tc>
          <w:tcPr>
            <w:tcW w:w="1420" w:type="dxa"/>
            <w:tcBorders>
              <w:top w:val="nil"/>
              <w:bottom w:val="nil"/>
              <w:right w:val="single" w:sz="4" w:space="0" w:color="auto"/>
            </w:tcBorders>
            <w:shd w:val="clear" w:color="000000" w:fill="FFFFFF"/>
            <w:noWrap/>
            <w:hideMark/>
          </w:tcPr>
          <w:p w14:paraId="662DA362"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7FE1DC4F" w14:textId="791593CB" w:rsidR="008E2ED2" w:rsidRPr="0018386D" w:rsidRDefault="008E2ED2" w:rsidP="00DD3106">
            <w:pPr>
              <w:pStyle w:val="TableText"/>
              <w:spacing w:before="30" w:after="30"/>
            </w:pPr>
            <w:r w:rsidRPr="0018386D">
              <w:t>10,000</w:t>
            </w:r>
            <w:r w:rsidR="00807B64" w:rsidRPr="0018386D">
              <w:t>–</w:t>
            </w:r>
            <w:r w:rsidRPr="0018386D">
              <w:t>12,000 kg</w:t>
            </w:r>
          </w:p>
        </w:tc>
        <w:tc>
          <w:tcPr>
            <w:tcW w:w="510" w:type="dxa"/>
            <w:shd w:val="clear" w:color="000000" w:fill="FFFFFF"/>
            <w:noWrap/>
            <w:hideMark/>
          </w:tcPr>
          <w:p w14:paraId="16CDD09E"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70C8F212" w14:textId="4BD3DA37" w:rsidR="008E2ED2" w:rsidRPr="0018386D" w:rsidRDefault="008E2ED2" w:rsidP="00DD3106">
            <w:pPr>
              <w:pStyle w:val="TableText"/>
              <w:spacing w:before="30" w:after="30"/>
            </w:pPr>
            <w:r w:rsidRPr="0018386D">
              <w:t>0.698</w:t>
            </w:r>
          </w:p>
        </w:tc>
        <w:tc>
          <w:tcPr>
            <w:tcW w:w="1361" w:type="dxa"/>
            <w:shd w:val="clear" w:color="000000" w:fill="FFFFFF"/>
            <w:noWrap/>
            <w:hideMark/>
          </w:tcPr>
          <w:p w14:paraId="67FB90FA" w14:textId="19675968" w:rsidR="008E2ED2" w:rsidRPr="0018386D" w:rsidRDefault="008E2ED2" w:rsidP="00DD3106">
            <w:pPr>
              <w:pStyle w:val="TableText"/>
              <w:spacing w:before="30" w:after="30"/>
            </w:pPr>
            <w:r w:rsidRPr="0018386D">
              <w:t>0.687</w:t>
            </w:r>
          </w:p>
        </w:tc>
        <w:tc>
          <w:tcPr>
            <w:tcW w:w="1304" w:type="dxa"/>
            <w:shd w:val="clear" w:color="000000" w:fill="FFFFFF"/>
            <w:noWrap/>
            <w:hideMark/>
          </w:tcPr>
          <w:p w14:paraId="38F5AB26" w14:textId="2CDDB410" w:rsidR="008E2ED2" w:rsidRPr="0018386D" w:rsidRDefault="008E2ED2" w:rsidP="00DD3106">
            <w:pPr>
              <w:pStyle w:val="TableText"/>
              <w:spacing w:before="30" w:after="30"/>
            </w:pPr>
            <w:r w:rsidRPr="0018386D">
              <w:t>0.00103</w:t>
            </w:r>
          </w:p>
        </w:tc>
        <w:tc>
          <w:tcPr>
            <w:tcW w:w="1361" w:type="dxa"/>
            <w:shd w:val="clear" w:color="000000" w:fill="FFFFFF"/>
            <w:noWrap/>
            <w:hideMark/>
          </w:tcPr>
          <w:p w14:paraId="43B3B2F6" w14:textId="64F4E6E0" w:rsidR="008E2ED2" w:rsidRPr="0018386D" w:rsidRDefault="008E2ED2" w:rsidP="00DD3106">
            <w:pPr>
              <w:pStyle w:val="TableText"/>
              <w:spacing w:before="30" w:after="30"/>
            </w:pPr>
            <w:r w:rsidRPr="0018386D">
              <w:t>0.00972</w:t>
            </w:r>
          </w:p>
        </w:tc>
      </w:tr>
      <w:tr w:rsidR="006316C3" w:rsidRPr="0018386D" w14:paraId="4CB58AEB" w14:textId="77777777" w:rsidTr="00472FA1">
        <w:trPr>
          <w:divId w:val="839926928"/>
        </w:trPr>
        <w:tc>
          <w:tcPr>
            <w:tcW w:w="1420" w:type="dxa"/>
            <w:tcBorders>
              <w:top w:val="nil"/>
              <w:bottom w:val="nil"/>
              <w:right w:val="single" w:sz="4" w:space="0" w:color="auto"/>
            </w:tcBorders>
            <w:shd w:val="clear" w:color="000000" w:fill="FFFFFF"/>
            <w:noWrap/>
            <w:hideMark/>
          </w:tcPr>
          <w:p w14:paraId="7D844349"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56163F54" w14:textId="4ECE8832" w:rsidR="008E2ED2" w:rsidRPr="0018386D" w:rsidRDefault="008E2ED2" w:rsidP="00DD3106">
            <w:pPr>
              <w:pStyle w:val="TableText"/>
              <w:spacing w:before="30" w:after="30"/>
            </w:pPr>
            <w:r w:rsidRPr="0018386D">
              <w:t>12,000</w:t>
            </w:r>
            <w:r w:rsidR="00807B64" w:rsidRPr="0018386D">
              <w:t>–</w:t>
            </w:r>
            <w:r w:rsidRPr="0018386D">
              <w:t>15,000 kg</w:t>
            </w:r>
          </w:p>
        </w:tc>
        <w:tc>
          <w:tcPr>
            <w:tcW w:w="510" w:type="dxa"/>
            <w:shd w:val="clear" w:color="000000" w:fill="FFFFFF"/>
            <w:noWrap/>
            <w:hideMark/>
          </w:tcPr>
          <w:p w14:paraId="2E886471"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4181FE3F" w14:textId="56ED89A3" w:rsidR="008E2ED2" w:rsidRPr="0018386D" w:rsidRDefault="008E2ED2" w:rsidP="00DD3106">
            <w:pPr>
              <w:pStyle w:val="TableText"/>
              <w:spacing w:before="30" w:after="30"/>
            </w:pPr>
            <w:r w:rsidRPr="0018386D">
              <w:t>0.793</w:t>
            </w:r>
          </w:p>
        </w:tc>
        <w:tc>
          <w:tcPr>
            <w:tcW w:w="1361" w:type="dxa"/>
            <w:shd w:val="clear" w:color="000000" w:fill="FFFFFF"/>
            <w:noWrap/>
            <w:hideMark/>
          </w:tcPr>
          <w:p w14:paraId="33037D65" w14:textId="71C61771" w:rsidR="008E2ED2" w:rsidRPr="0018386D" w:rsidRDefault="008E2ED2" w:rsidP="00DD3106">
            <w:pPr>
              <w:pStyle w:val="TableText"/>
              <w:spacing w:before="30" w:after="30"/>
            </w:pPr>
            <w:r w:rsidRPr="0018386D">
              <w:t>0.781</w:t>
            </w:r>
          </w:p>
        </w:tc>
        <w:tc>
          <w:tcPr>
            <w:tcW w:w="1304" w:type="dxa"/>
            <w:shd w:val="clear" w:color="000000" w:fill="FFFFFF"/>
            <w:noWrap/>
            <w:hideMark/>
          </w:tcPr>
          <w:p w14:paraId="27EE629C" w14:textId="1F7B3966" w:rsidR="008E2ED2" w:rsidRPr="0018386D" w:rsidRDefault="008E2ED2" w:rsidP="00DD3106">
            <w:pPr>
              <w:pStyle w:val="TableText"/>
              <w:spacing w:before="30" w:after="30"/>
            </w:pPr>
            <w:r w:rsidRPr="0018386D">
              <w:t>0.00117</w:t>
            </w:r>
          </w:p>
        </w:tc>
        <w:tc>
          <w:tcPr>
            <w:tcW w:w="1361" w:type="dxa"/>
            <w:shd w:val="clear" w:color="000000" w:fill="FFFFFF"/>
            <w:noWrap/>
            <w:hideMark/>
          </w:tcPr>
          <w:p w14:paraId="7F49C91E" w14:textId="56AA7BFF" w:rsidR="008E2ED2" w:rsidRPr="0018386D" w:rsidRDefault="008E2ED2" w:rsidP="00DD3106">
            <w:pPr>
              <w:pStyle w:val="TableText"/>
              <w:spacing w:before="30" w:after="30"/>
            </w:pPr>
            <w:r w:rsidRPr="0018386D">
              <w:t>0.0110</w:t>
            </w:r>
          </w:p>
        </w:tc>
      </w:tr>
      <w:tr w:rsidR="006316C3" w:rsidRPr="0018386D" w14:paraId="36A4580A" w14:textId="77777777" w:rsidTr="00472FA1">
        <w:trPr>
          <w:divId w:val="839926928"/>
        </w:trPr>
        <w:tc>
          <w:tcPr>
            <w:tcW w:w="1420" w:type="dxa"/>
            <w:tcBorders>
              <w:top w:val="nil"/>
              <w:bottom w:val="nil"/>
              <w:right w:val="single" w:sz="4" w:space="0" w:color="auto"/>
            </w:tcBorders>
            <w:shd w:val="clear" w:color="000000" w:fill="FFFFFF"/>
            <w:noWrap/>
            <w:hideMark/>
          </w:tcPr>
          <w:p w14:paraId="6B9F3F7F"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5753DB14" w14:textId="3ECF5BD4" w:rsidR="008E2ED2" w:rsidRPr="0018386D" w:rsidRDefault="008E2ED2" w:rsidP="00DD3106">
            <w:pPr>
              <w:pStyle w:val="TableText"/>
              <w:spacing w:before="30" w:after="30"/>
            </w:pPr>
            <w:r w:rsidRPr="0018386D">
              <w:t>15,000</w:t>
            </w:r>
            <w:r w:rsidR="00807B64" w:rsidRPr="0018386D">
              <w:t>–</w:t>
            </w:r>
            <w:r w:rsidRPr="0018386D">
              <w:t>20,000 kg</w:t>
            </w:r>
          </w:p>
        </w:tc>
        <w:tc>
          <w:tcPr>
            <w:tcW w:w="510" w:type="dxa"/>
            <w:shd w:val="clear" w:color="000000" w:fill="FFFFFF"/>
            <w:noWrap/>
            <w:hideMark/>
          </w:tcPr>
          <w:p w14:paraId="4708767E"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2AB68CA7" w14:textId="3402AEAE" w:rsidR="008E2ED2" w:rsidRPr="0018386D" w:rsidRDefault="008E2ED2" w:rsidP="00DD3106">
            <w:pPr>
              <w:pStyle w:val="TableText"/>
              <w:spacing w:before="30" w:after="30"/>
            </w:pPr>
            <w:r w:rsidRPr="0018386D">
              <w:t>0.964</w:t>
            </w:r>
          </w:p>
        </w:tc>
        <w:tc>
          <w:tcPr>
            <w:tcW w:w="1361" w:type="dxa"/>
            <w:shd w:val="clear" w:color="000000" w:fill="FFFFFF"/>
            <w:noWrap/>
            <w:hideMark/>
          </w:tcPr>
          <w:p w14:paraId="383EA415" w14:textId="65F41ACE" w:rsidR="008E2ED2" w:rsidRPr="0018386D" w:rsidRDefault="008E2ED2" w:rsidP="00DD3106">
            <w:pPr>
              <w:pStyle w:val="TableText"/>
              <w:spacing w:before="30" w:after="30"/>
            </w:pPr>
            <w:r w:rsidRPr="0018386D">
              <w:t>0.949</w:t>
            </w:r>
          </w:p>
        </w:tc>
        <w:tc>
          <w:tcPr>
            <w:tcW w:w="1304" w:type="dxa"/>
            <w:shd w:val="clear" w:color="000000" w:fill="FFFFFF"/>
            <w:noWrap/>
            <w:hideMark/>
          </w:tcPr>
          <w:p w14:paraId="5629830F" w14:textId="60B5499E" w:rsidR="008E2ED2" w:rsidRPr="0018386D" w:rsidRDefault="008E2ED2" w:rsidP="00DD3106">
            <w:pPr>
              <w:pStyle w:val="TableText"/>
              <w:spacing w:before="30" w:after="30"/>
            </w:pPr>
            <w:r w:rsidRPr="0018386D">
              <w:t>0.00142</w:t>
            </w:r>
          </w:p>
        </w:tc>
        <w:tc>
          <w:tcPr>
            <w:tcW w:w="1361" w:type="dxa"/>
            <w:shd w:val="clear" w:color="000000" w:fill="FFFFFF"/>
            <w:noWrap/>
            <w:hideMark/>
          </w:tcPr>
          <w:p w14:paraId="1195B097" w14:textId="24409C8D" w:rsidR="008E2ED2" w:rsidRPr="0018386D" w:rsidRDefault="008E2ED2" w:rsidP="00DD3106">
            <w:pPr>
              <w:pStyle w:val="TableText"/>
              <w:spacing w:before="30" w:after="30"/>
            </w:pPr>
            <w:r w:rsidRPr="0018386D">
              <w:t>0.0134</w:t>
            </w:r>
          </w:p>
        </w:tc>
      </w:tr>
      <w:tr w:rsidR="006316C3" w:rsidRPr="0018386D" w14:paraId="02F17207" w14:textId="77777777" w:rsidTr="00472FA1">
        <w:trPr>
          <w:divId w:val="839926928"/>
        </w:trPr>
        <w:tc>
          <w:tcPr>
            <w:tcW w:w="1420" w:type="dxa"/>
            <w:tcBorders>
              <w:top w:val="nil"/>
              <w:bottom w:val="nil"/>
              <w:right w:val="single" w:sz="4" w:space="0" w:color="auto"/>
            </w:tcBorders>
            <w:shd w:val="clear" w:color="000000" w:fill="FFFFFF"/>
            <w:noWrap/>
            <w:hideMark/>
          </w:tcPr>
          <w:p w14:paraId="59D24089"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7202BDDB" w14:textId="0E033456" w:rsidR="008E2ED2" w:rsidRPr="0018386D" w:rsidRDefault="008E2ED2" w:rsidP="00DD3106">
            <w:pPr>
              <w:pStyle w:val="TableText"/>
              <w:spacing w:before="30" w:after="30"/>
            </w:pPr>
            <w:r w:rsidRPr="0018386D">
              <w:t>20,000</w:t>
            </w:r>
            <w:r w:rsidR="00807B64" w:rsidRPr="0018386D">
              <w:t>–</w:t>
            </w:r>
            <w:r w:rsidRPr="0018386D">
              <w:t>25,000 kg</w:t>
            </w:r>
          </w:p>
        </w:tc>
        <w:tc>
          <w:tcPr>
            <w:tcW w:w="510" w:type="dxa"/>
            <w:shd w:val="clear" w:color="000000" w:fill="FFFFFF"/>
            <w:noWrap/>
            <w:hideMark/>
          </w:tcPr>
          <w:p w14:paraId="6E3A5E96"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504B8D36" w14:textId="2BFB7387" w:rsidR="008E2ED2" w:rsidRPr="0018386D" w:rsidRDefault="008E2ED2" w:rsidP="00DD3106">
            <w:pPr>
              <w:pStyle w:val="TableText"/>
              <w:spacing w:before="30" w:after="30"/>
            </w:pPr>
            <w:r w:rsidRPr="0018386D">
              <w:t>1.28</w:t>
            </w:r>
          </w:p>
        </w:tc>
        <w:tc>
          <w:tcPr>
            <w:tcW w:w="1361" w:type="dxa"/>
            <w:shd w:val="clear" w:color="000000" w:fill="FFFFFF"/>
            <w:noWrap/>
            <w:hideMark/>
          </w:tcPr>
          <w:p w14:paraId="7D754008" w14:textId="688BC2EE" w:rsidR="008E2ED2" w:rsidRPr="0018386D" w:rsidRDefault="008E2ED2" w:rsidP="00DD3106">
            <w:pPr>
              <w:pStyle w:val="TableText"/>
              <w:spacing w:before="30" w:after="30"/>
            </w:pPr>
            <w:r w:rsidRPr="0018386D">
              <w:t>1.26</w:t>
            </w:r>
          </w:p>
        </w:tc>
        <w:tc>
          <w:tcPr>
            <w:tcW w:w="1304" w:type="dxa"/>
            <w:shd w:val="clear" w:color="000000" w:fill="FFFFFF"/>
            <w:noWrap/>
            <w:hideMark/>
          </w:tcPr>
          <w:p w14:paraId="162676EF" w14:textId="54C209D7" w:rsidR="008E2ED2" w:rsidRPr="0018386D" w:rsidRDefault="008E2ED2" w:rsidP="00DD3106">
            <w:pPr>
              <w:pStyle w:val="TableText"/>
              <w:spacing w:before="30" w:after="30"/>
            </w:pPr>
            <w:r w:rsidRPr="0018386D">
              <w:t>0.00189</w:t>
            </w:r>
          </w:p>
        </w:tc>
        <w:tc>
          <w:tcPr>
            <w:tcW w:w="1361" w:type="dxa"/>
            <w:shd w:val="clear" w:color="000000" w:fill="FFFFFF"/>
            <w:noWrap/>
            <w:hideMark/>
          </w:tcPr>
          <w:p w14:paraId="5CAD6466" w14:textId="2DB2C37F" w:rsidR="008E2ED2" w:rsidRPr="0018386D" w:rsidRDefault="008E2ED2" w:rsidP="00DD3106">
            <w:pPr>
              <w:pStyle w:val="TableText"/>
              <w:spacing w:before="30" w:after="30"/>
            </w:pPr>
            <w:r w:rsidRPr="0018386D">
              <w:t>0.0179</w:t>
            </w:r>
          </w:p>
        </w:tc>
      </w:tr>
      <w:tr w:rsidR="006316C3" w:rsidRPr="0018386D" w14:paraId="314E2086" w14:textId="77777777" w:rsidTr="00472FA1">
        <w:trPr>
          <w:divId w:val="839926928"/>
        </w:trPr>
        <w:tc>
          <w:tcPr>
            <w:tcW w:w="1420" w:type="dxa"/>
            <w:tcBorders>
              <w:top w:val="nil"/>
              <w:bottom w:val="nil"/>
              <w:right w:val="single" w:sz="4" w:space="0" w:color="auto"/>
            </w:tcBorders>
            <w:shd w:val="clear" w:color="000000" w:fill="FFFFFF"/>
            <w:noWrap/>
            <w:hideMark/>
          </w:tcPr>
          <w:p w14:paraId="03B02946"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182C14C9" w14:textId="04E77564" w:rsidR="008E2ED2" w:rsidRPr="0018386D" w:rsidRDefault="008E2ED2" w:rsidP="00DD3106">
            <w:pPr>
              <w:pStyle w:val="TableText"/>
              <w:spacing w:before="30" w:after="30"/>
            </w:pPr>
            <w:r w:rsidRPr="0018386D">
              <w:t>25,000</w:t>
            </w:r>
            <w:r w:rsidR="00807B64" w:rsidRPr="0018386D">
              <w:t>–</w:t>
            </w:r>
            <w:r w:rsidRPr="0018386D">
              <w:t>30,000 kg</w:t>
            </w:r>
          </w:p>
        </w:tc>
        <w:tc>
          <w:tcPr>
            <w:tcW w:w="510" w:type="dxa"/>
            <w:shd w:val="clear" w:color="000000" w:fill="FFFFFF"/>
            <w:noWrap/>
            <w:hideMark/>
          </w:tcPr>
          <w:p w14:paraId="6E262FE2"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4A07EFFE" w14:textId="3E8F2DE2" w:rsidR="008E2ED2" w:rsidRPr="0018386D" w:rsidRDefault="008E2ED2" w:rsidP="00DD3106">
            <w:pPr>
              <w:pStyle w:val="TableText"/>
              <w:spacing w:before="30" w:after="30"/>
            </w:pPr>
            <w:r w:rsidRPr="0018386D">
              <w:t>1.43</w:t>
            </w:r>
          </w:p>
        </w:tc>
        <w:tc>
          <w:tcPr>
            <w:tcW w:w="1361" w:type="dxa"/>
            <w:shd w:val="clear" w:color="000000" w:fill="FFFFFF"/>
            <w:noWrap/>
            <w:hideMark/>
          </w:tcPr>
          <w:p w14:paraId="2D8EC14F" w14:textId="15E0058E" w:rsidR="008E2ED2" w:rsidRPr="0018386D" w:rsidRDefault="008E2ED2" w:rsidP="00DD3106">
            <w:pPr>
              <w:pStyle w:val="TableText"/>
              <w:spacing w:before="30" w:after="30"/>
            </w:pPr>
            <w:r w:rsidRPr="0018386D">
              <w:t>1.41</w:t>
            </w:r>
          </w:p>
        </w:tc>
        <w:tc>
          <w:tcPr>
            <w:tcW w:w="1304" w:type="dxa"/>
            <w:shd w:val="clear" w:color="000000" w:fill="FFFFFF"/>
            <w:noWrap/>
            <w:hideMark/>
          </w:tcPr>
          <w:p w14:paraId="589ACBF7" w14:textId="4E43E7B7" w:rsidR="008E2ED2" w:rsidRPr="0018386D" w:rsidRDefault="008E2ED2" w:rsidP="00DD3106">
            <w:pPr>
              <w:pStyle w:val="TableText"/>
              <w:spacing w:before="30" w:after="30"/>
            </w:pPr>
            <w:r w:rsidRPr="0018386D">
              <w:t>0.00211</w:t>
            </w:r>
          </w:p>
        </w:tc>
        <w:tc>
          <w:tcPr>
            <w:tcW w:w="1361" w:type="dxa"/>
            <w:shd w:val="clear" w:color="000000" w:fill="FFFFFF"/>
            <w:noWrap/>
            <w:hideMark/>
          </w:tcPr>
          <w:p w14:paraId="458F9B85" w14:textId="62333A5D" w:rsidR="008E2ED2" w:rsidRPr="0018386D" w:rsidRDefault="008E2ED2" w:rsidP="00DD3106">
            <w:pPr>
              <w:pStyle w:val="TableText"/>
              <w:spacing w:before="30" w:after="30"/>
            </w:pPr>
            <w:r w:rsidRPr="0018386D">
              <w:t>0.0199</w:t>
            </w:r>
          </w:p>
        </w:tc>
      </w:tr>
      <w:tr w:rsidR="006316C3" w:rsidRPr="0018386D" w14:paraId="1DF54963" w14:textId="77777777" w:rsidTr="00472FA1">
        <w:trPr>
          <w:divId w:val="839926928"/>
        </w:trPr>
        <w:tc>
          <w:tcPr>
            <w:tcW w:w="1420" w:type="dxa"/>
            <w:tcBorders>
              <w:top w:val="nil"/>
              <w:bottom w:val="single" w:sz="4" w:space="0" w:color="auto"/>
              <w:right w:val="single" w:sz="4" w:space="0" w:color="auto"/>
            </w:tcBorders>
            <w:shd w:val="clear" w:color="000000" w:fill="FFFFFF"/>
            <w:noWrap/>
            <w:hideMark/>
          </w:tcPr>
          <w:p w14:paraId="1D427B0A"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1A76F79E" w14:textId="48681FAA" w:rsidR="008E2ED2" w:rsidRPr="0018386D" w:rsidRDefault="008E2ED2" w:rsidP="00DD3106">
            <w:pPr>
              <w:pStyle w:val="TableText"/>
              <w:spacing w:before="30" w:after="30"/>
            </w:pPr>
            <w:r w:rsidRPr="0018386D">
              <w:t>≥30,000 kg</w:t>
            </w:r>
          </w:p>
        </w:tc>
        <w:tc>
          <w:tcPr>
            <w:tcW w:w="510" w:type="dxa"/>
            <w:shd w:val="clear" w:color="000000" w:fill="FFFFFF"/>
            <w:noWrap/>
            <w:hideMark/>
          </w:tcPr>
          <w:p w14:paraId="610618BA"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41EF777B" w14:textId="6252E656" w:rsidR="008E2ED2" w:rsidRPr="0018386D" w:rsidRDefault="008E2ED2" w:rsidP="00DD3106">
            <w:pPr>
              <w:pStyle w:val="TableText"/>
              <w:spacing w:before="30" w:after="30"/>
            </w:pPr>
            <w:r w:rsidRPr="0018386D">
              <w:t>1.51</w:t>
            </w:r>
          </w:p>
        </w:tc>
        <w:tc>
          <w:tcPr>
            <w:tcW w:w="1361" w:type="dxa"/>
            <w:shd w:val="clear" w:color="000000" w:fill="FFFFFF"/>
            <w:noWrap/>
            <w:hideMark/>
          </w:tcPr>
          <w:p w14:paraId="1AC77058" w14:textId="4ABD43DD" w:rsidR="008E2ED2" w:rsidRPr="0018386D" w:rsidRDefault="008E2ED2" w:rsidP="00DD3106">
            <w:pPr>
              <w:pStyle w:val="TableText"/>
              <w:spacing w:before="30" w:after="30"/>
            </w:pPr>
            <w:r w:rsidRPr="0018386D">
              <w:t>1.49</w:t>
            </w:r>
          </w:p>
        </w:tc>
        <w:tc>
          <w:tcPr>
            <w:tcW w:w="1304" w:type="dxa"/>
            <w:shd w:val="clear" w:color="000000" w:fill="FFFFFF"/>
            <w:noWrap/>
            <w:hideMark/>
          </w:tcPr>
          <w:p w14:paraId="702D9E75" w14:textId="59E152B8" w:rsidR="008E2ED2" w:rsidRPr="0018386D" w:rsidRDefault="008E2ED2" w:rsidP="00DD3106">
            <w:pPr>
              <w:pStyle w:val="TableText"/>
              <w:spacing w:before="30" w:after="30"/>
            </w:pPr>
            <w:r w:rsidRPr="0018386D">
              <w:t>0.00222</w:t>
            </w:r>
          </w:p>
        </w:tc>
        <w:tc>
          <w:tcPr>
            <w:tcW w:w="1361" w:type="dxa"/>
            <w:shd w:val="clear" w:color="000000" w:fill="FFFFFF"/>
            <w:noWrap/>
            <w:hideMark/>
          </w:tcPr>
          <w:p w14:paraId="2124DB14" w14:textId="153A27C1" w:rsidR="008E2ED2" w:rsidRPr="0018386D" w:rsidRDefault="008E2ED2" w:rsidP="00DD3106">
            <w:pPr>
              <w:pStyle w:val="TableText"/>
              <w:spacing w:before="30" w:after="30"/>
            </w:pPr>
            <w:r w:rsidRPr="0018386D">
              <w:t>0.0210</w:t>
            </w:r>
          </w:p>
        </w:tc>
      </w:tr>
      <w:tr w:rsidR="006316C3" w:rsidRPr="0018386D" w14:paraId="4A1F4C93" w14:textId="77777777" w:rsidTr="00472FA1">
        <w:trPr>
          <w:divId w:val="839926928"/>
        </w:trPr>
        <w:tc>
          <w:tcPr>
            <w:tcW w:w="1420" w:type="dxa"/>
            <w:tcBorders>
              <w:top w:val="single" w:sz="4" w:space="0" w:color="auto"/>
              <w:bottom w:val="nil"/>
              <w:right w:val="single" w:sz="4" w:space="0" w:color="auto"/>
            </w:tcBorders>
            <w:shd w:val="clear" w:color="000000" w:fill="FFFFFF"/>
            <w:noWrap/>
            <w:hideMark/>
          </w:tcPr>
          <w:p w14:paraId="660D1A81" w14:textId="77777777" w:rsidR="008E2ED2" w:rsidRPr="0018386D" w:rsidRDefault="008E2ED2" w:rsidP="00DD3106">
            <w:pPr>
              <w:pStyle w:val="TableText"/>
              <w:keepNext/>
              <w:spacing w:before="30" w:after="30"/>
            </w:pPr>
            <w:r w:rsidRPr="0018386D">
              <w:lastRenderedPageBreak/>
              <w:t>HGV diesel hybrid</w:t>
            </w:r>
          </w:p>
        </w:tc>
        <w:tc>
          <w:tcPr>
            <w:tcW w:w="1701" w:type="dxa"/>
            <w:tcBorders>
              <w:left w:val="single" w:sz="4" w:space="0" w:color="auto"/>
            </w:tcBorders>
            <w:shd w:val="clear" w:color="000000" w:fill="FFFFFF"/>
            <w:noWrap/>
            <w:hideMark/>
          </w:tcPr>
          <w:p w14:paraId="1FBEA1E7" w14:textId="31F64F3B" w:rsidR="008E2ED2" w:rsidRPr="0018386D" w:rsidRDefault="008E2ED2" w:rsidP="00DD3106">
            <w:pPr>
              <w:pStyle w:val="TableText"/>
              <w:spacing w:before="30" w:after="30"/>
            </w:pPr>
            <w:r w:rsidRPr="0018386D">
              <w:t>&lt;5,000 kg</w:t>
            </w:r>
          </w:p>
        </w:tc>
        <w:tc>
          <w:tcPr>
            <w:tcW w:w="510" w:type="dxa"/>
            <w:shd w:val="clear" w:color="000000" w:fill="FFFFFF"/>
            <w:noWrap/>
            <w:hideMark/>
          </w:tcPr>
          <w:p w14:paraId="6F55E8FE"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4DD83C74" w14:textId="7313D0F5" w:rsidR="008E2ED2" w:rsidRPr="0018386D" w:rsidRDefault="008E2ED2" w:rsidP="00DD3106">
            <w:pPr>
              <w:pStyle w:val="TableText"/>
              <w:spacing w:before="30" w:after="30"/>
            </w:pPr>
            <w:r w:rsidRPr="0018386D">
              <w:t>0.335</w:t>
            </w:r>
          </w:p>
        </w:tc>
        <w:tc>
          <w:tcPr>
            <w:tcW w:w="1361" w:type="dxa"/>
            <w:shd w:val="clear" w:color="000000" w:fill="FFFFFF"/>
            <w:noWrap/>
            <w:hideMark/>
          </w:tcPr>
          <w:p w14:paraId="7B94026F" w14:textId="5A442989" w:rsidR="008E2ED2" w:rsidRPr="0018386D" w:rsidRDefault="008E2ED2" w:rsidP="00DD3106">
            <w:pPr>
              <w:pStyle w:val="TableText"/>
              <w:spacing w:before="30" w:after="30"/>
            </w:pPr>
            <w:r w:rsidRPr="0018386D">
              <w:t>0.330</w:t>
            </w:r>
          </w:p>
        </w:tc>
        <w:tc>
          <w:tcPr>
            <w:tcW w:w="1304" w:type="dxa"/>
            <w:shd w:val="clear" w:color="000000" w:fill="FFFFFF"/>
            <w:noWrap/>
            <w:hideMark/>
          </w:tcPr>
          <w:p w14:paraId="782E436C" w14:textId="03FA4138" w:rsidR="008E2ED2" w:rsidRPr="0018386D" w:rsidRDefault="008E2ED2" w:rsidP="00DD3106">
            <w:pPr>
              <w:pStyle w:val="TableText"/>
              <w:spacing w:before="30" w:after="30"/>
            </w:pPr>
            <w:r w:rsidRPr="0018386D">
              <w:t>0.0005</w:t>
            </w:r>
          </w:p>
        </w:tc>
        <w:tc>
          <w:tcPr>
            <w:tcW w:w="1361" w:type="dxa"/>
            <w:shd w:val="clear" w:color="000000" w:fill="FFFFFF"/>
            <w:noWrap/>
            <w:hideMark/>
          </w:tcPr>
          <w:p w14:paraId="21DD840B" w14:textId="720D613A" w:rsidR="008E2ED2" w:rsidRPr="0018386D" w:rsidRDefault="008E2ED2" w:rsidP="00DD3106">
            <w:pPr>
              <w:pStyle w:val="TableText"/>
              <w:spacing w:before="30" w:after="30"/>
            </w:pPr>
            <w:r w:rsidRPr="0018386D">
              <w:t>0.00466</w:t>
            </w:r>
          </w:p>
        </w:tc>
      </w:tr>
      <w:tr w:rsidR="006316C3" w:rsidRPr="0018386D" w14:paraId="66D1AFD1" w14:textId="77777777" w:rsidTr="00472FA1">
        <w:trPr>
          <w:divId w:val="839926928"/>
        </w:trPr>
        <w:tc>
          <w:tcPr>
            <w:tcW w:w="1420" w:type="dxa"/>
            <w:tcBorders>
              <w:top w:val="nil"/>
              <w:bottom w:val="nil"/>
              <w:right w:val="single" w:sz="4" w:space="0" w:color="auto"/>
            </w:tcBorders>
            <w:shd w:val="clear" w:color="000000" w:fill="FFFFFF"/>
            <w:noWrap/>
            <w:hideMark/>
          </w:tcPr>
          <w:p w14:paraId="2DC96E2F"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2394BF31" w14:textId="7654257D" w:rsidR="008E2ED2" w:rsidRPr="0018386D" w:rsidRDefault="008E2ED2" w:rsidP="00DD3106">
            <w:pPr>
              <w:pStyle w:val="TableText"/>
              <w:spacing w:before="30" w:after="30"/>
            </w:pPr>
            <w:r w:rsidRPr="0018386D">
              <w:t>5,000</w:t>
            </w:r>
            <w:r w:rsidR="00807B64" w:rsidRPr="0018386D">
              <w:t>–</w:t>
            </w:r>
            <w:r w:rsidRPr="0018386D">
              <w:t>7,500 kg</w:t>
            </w:r>
          </w:p>
        </w:tc>
        <w:tc>
          <w:tcPr>
            <w:tcW w:w="510" w:type="dxa"/>
            <w:shd w:val="clear" w:color="000000" w:fill="FFFFFF"/>
            <w:noWrap/>
            <w:hideMark/>
          </w:tcPr>
          <w:p w14:paraId="1C778488"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3024250E" w14:textId="152F122A" w:rsidR="008E2ED2" w:rsidRPr="0018386D" w:rsidRDefault="008E2ED2" w:rsidP="00DD3106">
            <w:pPr>
              <w:pStyle w:val="TableText"/>
              <w:spacing w:before="30" w:after="30"/>
            </w:pPr>
            <w:r w:rsidRPr="0018386D">
              <w:t>0.384</w:t>
            </w:r>
          </w:p>
        </w:tc>
        <w:tc>
          <w:tcPr>
            <w:tcW w:w="1361" w:type="dxa"/>
            <w:shd w:val="clear" w:color="000000" w:fill="FFFFFF"/>
            <w:noWrap/>
            <w:hideMark/>
          </w:tcPr>
          <w:p w14:paraId="75AE6725" w14:textId="49D8A282" w:rsidR="008E2ED2" w:rsidRPr="0018386D" w:rsidRDefault="008E2ED2" w:rsidP="00DD3106">
            <w:pPr>
              <w:pStyle w:val="TableText"/>
              <w:spacing w:before="30" w:after="30"/>
            </w:pPr>
            <w:r w:rsidRPr="0018386D">
              <w:t>0.378</w:t>
            </w:r>
          </w:p>
        </w:tc>
        <w:tc>
          <w:tcPr>
            <w:tcW w:w="1304" w:type="dxa"/>
            <w:shd w:val="clear" w:color="000000" w:fill="FFFFFF"/>
            <w:noWrap/>
            <w:hideMark/>
          </w:tcPr>
          <w:p w14:paraId="3EB7E735" w14:textId="16DF397C" w:rsidR="008E2ED2" w:rsidRPr="0018386D" w:rsidRDefault="008E2ED2" w:rsidP="00DD3106">
            <w:pPr>
              <w:pStyle w:val="TableText"/>
              <w:spacing w:before="30" w:after="30"/>
            </w:pPr>
            <w:r w:rsidRPr="0018386D">
              <w:t>0.0006</w:t>
            </w:r>
          </w:p>
        </w:tc>
        <w:tc>
          <w:tcPr>
            <w:tcW w:w="1361" w:type="dxa"/>
            <w:shd w:val="clear" w:color="000000" w:fill="FFFFFF"/>
            <w:noWrap/>
            <w:hideMark/>
          </w:tcPr>
          <w:p w14:paraId="302DC455" w14:textId="63BA8D06" w:rsidR="008E2ED2" w:rsidRPr="0018386D" w:rsidRDefault="008E2ED2" w:rsidP="00DD3106">
            <w:pPr>
              <w:pStyle w:val="TableText"/>
              <w:spacing w:before="30" w:after="30"/>
            </w:pPr>
            <w:r w:rsidRPr="0018386D">
              <w:t>0.00534</w:t>
            </w:r>
          </w:p>
        </w:tc>
      </w:tr>
      <w:tr w:rsidR="006316C3" w:rsidRPr="0018386D" w14:paraId="32B840BA" w14:textId="77777777" w:rsidTr="00472FA1">
        <w:trPr>
          <w:divId w:val="839926928"/>
        </w:trPr>
        <w:tc>
          <w:tcPr>
            <w:tcW w:w="1420" w:type="dxa"/>
            <w:tcBorders>
              <w:top w:val="nil"/>
              <w:bottom w:val="nil"/>
              <w:right w:val="single" w:sz="4" w:space="0" w:color="auto"/>
            </w:tcBorders>
            <w:shd w:val="clear" w:color="000000" w:fill="FFFFFF"/>
            <w:noWrap/>
            <w:hideMark/>
          </w:tcPr>
          <w:p w14:paraId="1552D4F2"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25C01099" w14:textId="346E82DE" w:rsidR="008E2ED2" w:rsidRPr="0018386D" w:rsidRDefault="008E2ED2" w:rsidP="00DD3106">
            <w:pPr>
              <w:pStyle w:val="TableText"/>
              <w:spacing w:before="30" w:after="30"/>
            </w:pPr>
            <w:r w:rsidRPr="0018386D">
              <w:t>7,500</w:t>
            </w:r>
            <w:r w:rsidR="00807B64" w:rsidRPr="0018386D">
              <w:t>–</w:t>
            </w:r>
            <w:r w:rsidRPr="0018386D">
              <w:t>10,000 kg</w:t>
            </w:r>
          </w:p>
        </w:tc>
        <w:tc>
          <w:tcPr>
            <w:tcW w:w="510" w:type="dxa"/>
            <w:shd w:val="clear" w:color="000000" w:fill="FFFFFF"/>
            <w:noWrap/>
            <w:hideMark/>
          </w:tcPr>
          <w:p w14:paraId="54497866"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219CD173" w14:textId="11F5C661" w:rsidR="008E2ED2" w:rsidRPr="0018386D" w:rsidRDefault="008E2ED2" w:rsidP="00DD3106">
            <w:pPr>
              <w:pStyle w:val="TableText"/>
              <w:spacing w:before="30" w:after="30"/>
            </w:pPr>
            <w:r w:rsidRPr="0018386D">
              <w:t>0.469</w:t>
            </w:r>
          </w:p>
        </w:tc>
        <w:tc>
          <w:tcPr>
            <w:tcW w:w="1361" w:type="dxa"/>
            <w:shd w:val="clear" w:color="000000" w:fill="FFFFFF"/>
            <w:noWrap/>
            <w:hideMark/>
          </w:tcPr>
          <w:p w14:paraId="181BEDF0" w14:textId="1CC82D1D" w:rsidR="008E2ED2" w:rsidRPr="0018386D" w:rsidRDefault="008E2ED2" w:rsidP="00DD3106">
            <w:pPr>
              <w:pStyle w:val="TableText"/>
              <w:spacing w:before="30" w:after="30"/>
            </w:pPr>
            <w:r w:rsidRPr="0018386D">
              <w:t>0.462</w:t>
            </w:r>
          </w:p>
        </w:tc>
        <w:tc>
          <w:tcPr>
            <w:tcW w:w="1304" w:type="dxa"/>
            <w:shd w:val="clear" w:color="000000" w:fill="FFFFFF"/>
            <w:noWrap/>
            <w:hideMark/>
          </w:tcPr>
          <w:p w14:paraId="0283DCC5" w14:textId="46777C04" w:rsidR="008E2ED2" w:rsidRPr="0018386D" w:rsidRDefault="008E2ED2" w:rsidP="00DD3106">
            <w:pPr>
              <w:pStyle w:val="TableText"/>
              <w:spacing w:before="30" w:after="30"/>
            </w:pPr>
            <w:r w:rsidRPr="0018386D">
              <w:t>0.0007</w:t>
            </w:r>
          </w:p>
        </w:tc>
        <w:tc>
          <w:tcPr>
            <w:tcW w:w="1361" w:type="dxa"/>
            <w:shd w:val="clear" w:color="000000" w:fill="FFFFFF"/>
            <w:noWrap/>
            <w:hideMark/>
          </w:tcPr>
          <w:p w14:paraId="17B9171C" w14:textId="79D40FA9" w:rsidR="008E2ED2" w:rsidRPr="0018386D" w:rsidRDefault="008E2ED2" w:rsidP="00DD3106">
            <w:pPr>
              <w:pStyle w:val="TableText"/>
              <w:spacing w:before="30" w:after="30"/>
            </w:pPr>
            <w:r w:rsidRPr="0018386D">
              <w:t>0.00653</w:t>
            </w:r>
          </w:p>
        </w:tc>
      </w:tr>
      <w:tr w:rsidR="006316C3" w:rsidRPr="0018386D" w14:paraId="7A59A1E2" w14:textId="77777777" w:rsidTr="00472FA1">
        <w:trPr>
          <w:divId w:val="839926928"/>
        </w:trPr>
        <w:tc>
          <w:tcPr>
            <w:tcW w:w="1420" w:type="dxa"/>
            <w:tcBorders>
              <w:top w:val="nil"/>
              <w:bottom w:val="nil"/>
              <w:right w:val="single" w:sz="4" w:space="0" w:color="auto"/>
            </w:tcBorders>
            <w:shd w:val="clear" w:color="000000" w:fill="FFFFFF"/>
            <w:noWrap/>
            <w:hideMark/>
          </w:tcPr>
          <w:p w14:paraId="6197E8D9"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1BCCBF66" w14:textId="0E344182" w:rsidR="008E2ED2" w:rsidRPr="0018386D" w:rsidRDefault="008E2ED2" w:rsidP="00DD3106">
            <w:pPr>
              <w:pStyle w:val="TableText"/>
              <w:spacing w:before="30" w:after="30"/>
            </w:pPr>
            <w:r w:rsidRPr="0018386D">
              <w:t>10,000</w:t>
            </w:r>
            <w:r w:rsidR="00807B64" w:rsidRPr="0018386D">
              <w:t>–</w:t>
            </w:r>
            <w:r w:rsidRPr="0018386D">
              <w:t>12,000 kg</w:t>
            </w:r>
          </w:p>
        </w:tc>
        <w:tc>
          <w:tcPr>
            <w:tcW w:w="510" w:type="dxa"/>
            <w:shd w:val="clear" w:color="000000" w:fill="FFFFFF"/>
            <w:noWrap/>
            <w:hideMark/>
          </w:tcPr>
          <w:p w14:paraId="18D77B7B"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1DA8E5D8" w14:textId="05C1C8EF" w:rsidR="008E2ED2" w:rsidRPr="0018386D" w:rsidRDefault="008E2ED2" w:rsidP="00DD3106">
            <w:pPr>
              <w:pStyle w:val="TableText"/>
              <w:spacing w:before="30" w:after="30"/>
            </w:pPr>
            <w:r w:rsidRPr="0018386D">
              <w:t>0.557</w:t>
            </w:r>
          </w:p>
        </w:tc>
        <w:tc>
          <w:tcPr>
            <w:tcW w:w="1361" w:type="dxa"/>
            <w:shd w:val="clear" w:color="000000" w:fill="FFFFFF"/>
            <w:noWrap/>
            <w:hideMark/>
          </w:tcPr>
          <w:p w14:paraId="73863FDF" w14:textId="76462ED8" w:rsidR="008E2ED2" w:rsidRPr="0018386D" w:rsidRDefault="008E2ED2" w:rsidP="00DD3106">
            <w:pPr>
              <w:pStyle w:val="TableText"/>
              <w:spacing w:before="30" w:after="30"/>
            </w:pPr>
            <w:r w:rsidRPr="0018386D">
              <w:t>0.548</w:t>
            </w:r>
          </w:p>
        </w:tc>
        <w:tc>
          <w:tcPr>
            <w:tcW w:w="1304" w:type="dxa"/>
            <w:shd w:val="clear" w:color="000000" w:fill="FFFFFF"/>
            <w:noWrap/>
            <w:hideMark/>
          </w:tcPr>
          <w:p w14:paraId="004D34E4" w14:textId="7D80133E" w:rsidR="008E2ED2" w:rsidRPr="0018386D" w:rsidRDefault="008E2ED2" w:rsidP="00DD3106">
            <w:pPr>
              <w:pStyle w:val="TableText"/>
              <w:spacing w:before="30" w:after="30"/>
            </w:pPr>
            <w:r w:rsidRPr="0018386D">
              <w:t>0.0008</w:t>
            </w:r>
          </w:p>
        </w:tc>
        <w:tc>
          <w:tcPr>
            <w:tcW w:w="1361" w:type="dxa"/>
            <w:shd w:val="clear" w:color="000000" w:fill="FFFFFF"/>
            <w:noWrap/>
            <w:hideMark/>
          </w:tcPr>
          <w:p w14:paraId="2CF2D171" w14:textId="07C1E814" w:rsidR="008E2ED2" w:rsidRPr="0018386D" w:rsidRDefault="008E2ED2" w:rsidP="00DD3106">
            <w:pPr>
              <w:pStyle w:val="TableText"/>
              <w:spacing w:before="30" w:after="30"/>
            </w:pPr>
            <w:r w:rsidRPr="0018386D">
              <w:t>0.00775</w:t>
            </w:r>
          </w:p>
        </w:tc>
      </w:tr>
      <w:tr w:rsidR="006316C3" w:rsidRPr="0018386D" w14:paraId="48256530" w14:textId="77777777" w:rsidTr="00472FA1">
        <w:trPr>
          <w:divId w:val="839926928"/>
        </w:trPr>
        <w:tc>
          <w:tcPr>
            <w:tcW w:w="1420" w:type="dxa"/>
            <w:tcBorders>
              <w:top w:val="nil"/>
              <w:bottom w:val="nil"/>
              <w:right w:val="single" w:sz="4" w:space="0" w:color="auto"/>
            </w:tcBorders>
            <w:shd w:val="clear" w:color="000000" w:fill="FFFFFF"/>
            <w:noWrap/>
            <w:hideMark/>
          </w:tcPr>
          <w:p w14:paraId="5BA44E6A"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49612754" w14:textId="2D9F66FC" w:rsidR="008E2ED2" w:rsidRPr="0018386D" w:rsidRDefault="008E2ED2" w:rsidP="00DD3106">
            <w:pPr>
              <w:pStyle w:val="TableText"/>
              <w:spacing w:before="30" w:after="30"/>
            </w:pPr>
            <w:r w:rsidRPr="0018386D">
              <w:t>12,000</w:t>
            </w:r>
            <w:r w:rsidR="00807B64" w:rsidRPr="0018386D">
              <w:t>–</w:t>
            </w:r>
            <w:r w:rsidRPr="0018386D">
              <w:t>15,000 kg</w:t>
            </w:r>
          </w:p>
        </w:tc>
        <w:tc>
          <w:tcPr>
            <w:tcW w:w="510" w:type="dxa"/>
            <w:shd w:val="clear" w:color="000000" w:fill="FFFFFF"/>
            <w:noWrap/>
            <w:hideMark/>
          </w:tcPr>
          <w:p w14:paraId="2F2E8DCB"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28027B24" w14:textId="2F93617A" w:rsidR="008E2ED2" w:rsidRPr="0018386D" w:rsidRDefault="008E2ED2" w:rsidP="00DD3106">
            <w:pPr>
              <w:pStyle w:val="TableText"/>
              <w:spacing w:before="30" w:after="30"/>
            </w:pPr>
            <w:r w:rsidRPr="0018386D">
              <w:t>0.633</w:t>
            </w:r>
          </w:p>
        </w:tc>
        <w:tc>
          <w:tcPr>
            <w:tcW w:w="1361" w:type="dxa"/>
            <w:shd w:val="clear" w:color="000000" w:fill="FFFFFF"/>
            <w:noWrap/>
            <w:hideMark/>
          </w:tcPr>
          <w:p w14:paraId="023AD81E" w14:textId="440F60F5" w:rsidR="008E2ED2" w:rsidRPr="0018386D" w:rsidRDefault="008E2ED2" w:rsidP="00DD3106">
            <w:pPr>
              <w:pStyle w:val="TableText"/>
              <w:spacing w:before="30" w:after="30"/>
            </w:pPr>
            <w:r w:rsidRPr="0018386D">
              <w:t>0.623</w:t>
            </w:r>
          </w:p>
        </w:tc>
        <w:tc>
          <w:tcPr>
            <w:tcW w:w="1304" w:type="dxa"/>
            <w:shd w:val="clear" w:color="000000" w:fill="FFFFFF"/>
            <w:noWrap/>
            <w:hideMark/>
          </w:tcPr>
          <w:p w14:paraId="2681A7AE" w14:textId="42587671" w:rsidR="008E2ED2" w:rsidRPr="0018386D" w:rsidRDefault="008E2ED2" w:rsidP="00DD3106">
            <w:pPr>
              <w:pStyle w:val="TableText"/>
              <w:spacing w:before="30" w:after="30"/>
            </w:pPr>
            <w:r w:rsidRPr="0018386D">
              <w:t>0.0009</w:t>
            </w:r>
          </w:p>
        </w:tc>
        <w:tc>
          <w:tcPr>
            <w:tcW w:w="1361" w:type="dxa"/>
            <w:shd w:val="clear" w:color="000000" w:fill="FFFFFF"/>
            <w:noWrap/>
            <w:hideMark/>
          </w:tcPr>
          <w:p w14:paraId="570A7B34" w14:textId="50DEAF07" w:rsidR="008E2ED2" w:rsidRPr="0018386D" w:rsidRDefault="008E2ED2" w:rsidP="00DD3106">
            <w:pPr>
              <w:pStyle w:val="TableText"/>
              <w:spacing w:before="30" w:after="30"/>
            </w:pPr>
            <w:r w:rsidRPr="0018386D">
              <w:t>0.00881</w:t>
            </w:r>
          </w:p>
        </w:tc>
      </w:tr>
      <w:tr w:rsidR="006316C3" w:rsidRPr="0018386D" w14:paraId="2800C5D1" w14:textId="77777777" w:rsidTr="00472FA1">
        <w:trPr>
          <w:divId w:val="839926928"/>
        </w:trPr>
        <w:tc>
          <w:tcPr>
            <w:tcW w:w="1420" w:type="dxa"/>
            <w:tcBorders>
              <w:top w:val="nil"/>
              <w:bottom w:val="nil"/>
              <w:right w:val="single" w:sz="4" w:space="0" w:color="auto"/>
            </w:tcBorders>
            <w:shd w:val="clear" w:color="000000" w:fill="FFFFFF"/>
            <w:noWrap/>
            <w:hideMark/>
          </w:tcPr>
          <w:p w14:paraId="5DA7C079"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078FBA3A" w14:textId="74E3A6F4" w:rsidR="008E2ED2" w:rsidRPr="0018386D" w:rsidRDefault="008E2ED2" w:rsidP="00DD3106">
            <w:pPr>
              <w:pStyle w:val="TableText"/>
              <w:spacing w:before="30" w:after="30"/>
            </w:pPr>
            <w:r w:rsidRPr="0018386D">
              <w:t>15,000</w:t>
            </w:r>
            <w:r w:rsidR="00807B64" w:rsidRPr="0018386D">
              <w:t>–</w:t>
            </w:r>
            <w:r w:rsidRPr="0018386D">
              <w:t>20,000 kg</w:t>
            </w:r>
          </w:p>
        </w:tc>
        <w:tc>
          <w:tcPr>
            <w:tcW w:w="510" w:type="dxa"/>
            <w:shd w:val="clear" w:color="000000" w:fill="FFFFFF"/>
            <w:noWrap/>
            <w:hideMark/>
          </w:tcPr>
          <w:p w14:paraId="2FE7F580"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70C1EC57" w14:textId="08F6C05C" w:rsidR="008E2ED2" w:rsidRPr="0018386D" w:rsidRDefault="008E2ED2" w:rsidP="00DD3106">
            <w:pPr>
              <w:pStyle w:val="TableText"/>
              <w:spacing w:before="30" w:after="30"/>
            </w:pPr>
            <w:r w:rsidRPr="0018386D">
              <w:t>0.876</w:t>
            </w:r>
          </w:p>
        </w:tc>
        <w:tc>
          <w:tcPr>
            <w:tcW w:w="1361" w:type="dxa"/>
            <w:shd w:val="clear" w:color="000000" w:fill="FFFFFF"/>
            <w:noWrap/>
            <w:hideMark/>
          </w:tcPr>
          <w:p w14:paraId="5A94B253" w14:textId="7D3E4F1A" w:rsidR="008E2ED2" w:rsidRPr="0018386D" w:rsidRDefault="008E2ED2" w:rsidP="00DD3106">
            <w:pPr>
              <w:pStyle w:val="TableText"/>
              <w:spacing w:before="30" w:after="30"/>
            </w:pPr>
            <w:r w:rsidRPr="0018386D">
              <w:t>0.863</w:t>
            </w:r>
          </w:p>
        </w:tc>
        <w:tc>
          <w:tcPr>
            <w:tcW w:w="1304" w:type="dxa"/>
            <w:shd w:val="clear" w:color="000000" w:fill="FFFFFF"/>
            <w:noWrap/>
            <w:hideMark/>
          </w:tcPr>
          <w:p w14:paraId="158A0993" w14:textId="3918AEF7" w:rsidR="008E2ED2" w:rsidRPr="0018386D" w:rsidRDefault="008E2ED2" w:rsidP="00DD3106">
            <w:pPr>
              <w:pStyle w:val="TableText"/>
              <w:spacing w:before="30" w:after="30"/>
            </w:pPr>
            <w:r w:rsidRPr="0018386D">
              <w:t>0.00129</w:t>
            </w:r>
          </w:p>
        </w:tc>
        <w:tc>
          <w:tcPr>
            <w:tcW w:w="1361" w:type="dxa"/>
            <w:shd w:val="clear" w:color="000000" w:fill="FFFFFF"/>
            <w:noWrap/>
            <w:hideMark/>
          </w:tcPr>
          <w:p w14:paraId="6B9E03B2" w14:textId="43576907" w:rsidR="008E2ED2" w:rsidRPr="0018386D" w:rsidRDefault="008E2ED2" w:rsidP="00DD3106">
            <w:pPr>
              <w:pStyle w:val="TableText"/>
              <w:spacing w:before="30" w:after="30"/>
            </w:pPr>
            <w:r w:rsidRPr="0018386D">
              <w:t>0.0122</w:t>
            </w:r>
          </w:p>
        </w:tc>
      </w:tr>
      <w:tr w:rsidR="006316C3" w:rsidRPr="0018386D" w14:paraId="04899661" w14:textId="77777777" w:rsidTr="00472FA1">
        <w:trPr>
          <w:divId w:val="839926928"/>
        </w:trPr>
        <w:tc>
          <w:tcPr>
            <w:tcW w:w="1420" w:type="dxa"/>
            <w:tcBorders>
              <w:top w:val="nil"/>
              <w:bottom w:val="nil"/>
              <w:right w:val="single" w:sz="4" w:space="0" w:color="auto"/>
            </w:tcBorders>
            <w:shd w:val="clear" w:color="000000" w:fill="FFFFFF"/>
            <w:noWrap/>
            <w:hideMark/>
          </w:tcPr>
          <w:p w14:paraId="40B1AA08"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7AD4DD34" w14:textId="3F332E9D" w:rsidR="008E2ED2" w:rsidRPr="0018386D" w:rsidRDefault="008E2ED2" w:rsidP="00DD3106">
            <w:pPr>
              <w:pStyle w:val="TableText"/>
              <w:spacing w:before="30" w:after="30"/>
            </w:pPr>
            <w:r w:rsidRPr="0018386D">
              <w:t>20,000</w:t>
            </w:r>
            <w:r w:rsidR="00807B64" w:rsidRPr="0018386D">
              <w:t>–</w:t>
            </w:r>
            <w:r w:rsidRPr="0018386D">
              <w:t>25,000 kg</w:t>
            </w:r>
          </w:p>
        </w:tc>
        <w:tc>
          <w:tcPr>
            <w:tcW w:w="510" w:type="dxa"/>
            <w:shd w:val="clear" w:color="000000" w:fill="FFFFFF"/>
            <w:noWrap/>
            <w:hideMark/>
          </w:tcPr>
          <w:p w14:paraId="53370E19"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0224B8D1" w14:textId="299005CB" w:rsidR="008E2ED2" w:rsidRPr="0018386D" w:rsidRDefault="008E2ED2" w:rsidP="00DD3106">
            <w:pPr>
              <w:pStyle w:val="TableText"/>
              <w:spacing w:before="30" w:after="30"/>
            </w:pPr>
            <w:r w:rsidRPr="0018386D">
              <w:t>1.17</w:t>
            </w:r>
          </w:p>
        </w:tc>
        <w:tc>
          <w:tcPr>
            <w:tcW w:w="1361" w:type="dxa"/>
            <w:shd w:val="clear" w:color="000000" w:fill="FFFFFF"/>
            <w:noWrap/>
            <w:hideMark/>
          </w:tcPr>
          <w:p w14:paraId="55D2D456" w14:textId="134393AE" w:rsidR="008E2ED2" w:rsidRPr="0018386D" w:rsidRDefault="008E2ED2" w:rsidP="00DD3106">
            <w:pPr>
              <w:pStyle w:val="TableText"/>
              <w:spacing w:before="30" w:after="30"/>
            </w:pPr>
            <w:r w:rsidRPr="0018386D">
              <w:t>1.15</w:t>
            </w:r>
          </w:p>
        </w:tc>
        <w:tc>
          <w:tcPr>
            <w:tcW w:w="1304" w:type="dxa"/>
            <w:shd w:val="clear" w:color="000000" w:fill="FFFFFF"/>
            <w:noWrap/>
            <w:hideMark/>
          </w:tcPr>
          <w:p w14:paraId="1428B9BE" w14:textId="22853FBF" w:rsidR="008E2ED2" w:rsidRPr="0018386D" w:rsidRDefault="008E2ED2" w:rsidP="00DD3106">
            <w:pPr>
              <w:pStyle w:val="TableText"/>
              <w:spacing w:before="30" w:after="30"/>
            </w:pPr>
            <w:r w:rsidRPr="0018386D">
              <w:t>0.00172</w:t>
            </w:r>
          </w:p>
        </w:tc>
        <w:tc>
          <w:tcPr>
            <w:tcW w:w="1361" w:type="dxa"/>
            <w:shd w:val="clear" w:color="000000" w:fill="FFFFFF"/>
            <w:noWrap/>
            <w:hideMark/>
          </w:tcPr>
          <w:p w14:paraId="796A77F9" w14:textId="19BA0BB7" w:rsidR="008E2ED2" w:rsidRPr="0018386D" w:rsidRDefault="008E2ED2" w:rsidP="00DD3106">
            <w:pPr>
              <w:pStyle w:val="TableText"/>
              <w:spacing w:before="30" w:after="30"/>
            </w:pPr>
            <w:r w:rsidRPr="0018386D">
              <w:t>0.0162</w:t>
            </w:r>
          </w:p>
        </w:tc>
      </w:tr>
      <w:tr w:rsidR="006316C3" w:rsidRPr="0018386D" w14:paraId="0D26E8B9" w14:textId="77777777" w:rsidTr="00472FA1">
        <w:trPr>
          <w:divId w:val="839926928"/>
        </w:trPr>
        <w:tc>
          <w:tcPr>
            <w:tcW w:w="1420" w:type="dxa"/>
            <w:tcBorders>
              <w:top w:val="nil"/>
              <w:bottom w:val="nil"/>
              <w:right w:val="single" w:sz="4" w:space="0" w:color="auto"/>
            </w:tcBorders>
            <w:shd w:val="clear" w:color="000000" w:fill="FFFFFF"/>
            <w:noWrap/>
            <w:hideMark/>
          </w:tcPr>
          <w:p w14:paraId="2D5AB1B9"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0B60DFAD" w14:textId="2FE0EB0E" w:rsidR="008E2ED2" w:rsidRPr="0018386D" w:rsidRDefault="008E2ED2" w:rsidP="00DD3106">
            <w:pPr>
              <w:pStyle w:val="TableText"/>
              <w:spacing w:before="30" w:after="30"/>
            </w:pPr>
            <w:r w:rsidRPr="0018386D">
              <w:t>25,000</w:t>
            </w:r>
            <w:r w:rsidR="00807B64" w:rsidRPr="0018386D">
              <w:t>–</w:t>
            </w:r>
            <w:r w:rsidRPr="0018386D">
              <w:t>30,000 kg</w:t>
            </w:r>
          </w:p>
        </w:tc>
        <w:tc>
          <w:tcPr>
            <w:tcW w:w="510" w:type="dxa"/>
            <w:shd w:val="clear" w:color="000000" w:fill="FFFFFF"/>
            <w:noWrap/>
            <w:hideMark/>
          </w:tcPr>
          <w:p w14:paraId="1E719EAE"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07E140D9" w14:textId="62A6512D" w:rsidR="008E2ED2" w:rsidRPr="0018386D" w:rsidRDefault="008E2ED2" w:rsidP="00DD3106">
            <w:pPr>
              <w:pStyle w:val="TableText"/>
              <w:spacing w:before="30" w:after="30"/>
            </w:pPr>
            <w:r w:rsidRPr="0018386D">
              <w:t>1.35</w:t>
            </w:r>
          </w:p>
        </w:tc>
        <w:tc>
          <w:tcPr>
            <w:tcW w:w="1361" w:type="dxa"/>
            <w:shd w:val="clear" w:color="000000" w:fill="FFFFFF"/>
            <w:noWrap/>
            <w:hideMark/>
          </w:tcPr>
          <w:p w14:paraId="67816AD2" w14:textId="21850411" w:rsidR="008E2ED2" w:rsidRPr="0018386D" w:rsidRDefault="008E2ED2" w:rsidP="00DD3106">
            <w:pPr>
              <w:pStyle w:val="TableText"/>
              <w:spacing w:before="30" w:after="30"/>
            </w:pPr>
            <w:r w:rsidRPr="0018386D">
              <w:t>1.33</w:t>
            </w:r>
          </w:p>
        </w:tc>
        <w:tc>
          <w:tcPr>
            <w:tcW w:w="1304" w:type="dxa"/>
            <w:shd w:val="clear" w:color="000000" w:fill="FFFFFF"/>
            <w:noWrap/>
            <w:hideMark/>
          </w:tcPr>
          <w:p w14:paraId="6AEBD7A6" w14:textId="34C9DB34" w:rsidR="008E2ED2" w:rsidRPr="0018386D" w:rsidRDefault="008E2ED2" w:rsidP="00DD3106">
            <w:pPr>
              <w:pStyle w:val="TableText"/>
              <w:spacing w:before="30" w:after="30"/>
            </w:pPr>
            <w:r w:rsidRPr="0018386D">
              <w:t>0.00198</w:t>
            </w:r>
          </w:p>
        </w:tc>
        <w:tc>
          <w:tcPr>
            <w:tcW w:w="1361" w:type="dxa"/>
            <w:shd w:val="clear" w:color="000000" w:fill="FFFFFF"/>
            <w:noWrap/>
            <w:hideMark/>
          </w:tcPr>
          <w:p w14:paraId="74BCE194" w14:textId="5D973C59" w:rsidR="008E2ED2" w:rsidRPr="0018386D" w:rsidRDefault="008E2ED2" w:rsidP="00DD3106">
            <w:pPr>
              <w:pStyle w:val="TableText"/>
              <w:spacing w:before="30" w:after="30"/>
            </w:pPr>
            <w:r w:rsidRPr="0018386D">
              <w:t>0.0187</w:t>
            </w:r>
          </w:p>
        </w:tc>
      </w:tr>
      <w:tr w:rsidR="006316C3" w:rsidRPr="0018386D" w14:paraId="322A8962" w14:textId="77777777" w:rsidTr="00472FA1">
        <w:trPr>
          <w:divId w:val="839926928"/>
        </w:trPr>
        <w:tc>
          <w:tcPr>
            <w:tcW w:w="1420" w:type="dxa"/>
            <w:tcBorders>
              <w:top w:val="nil"/>
              <w:bottom w:val="single" w:sz="4" w:space="0" w:color="auto"/>
              <w:right w:val="single" w:sz="4" w:space="0" w:color="auto"/>
            </w:tcBorders>
            <w:shd w:val="clear" w:color="000000" w:fill="FFFFFF"/>
            <w:noWrap/>
            <w:hideMark/>
          </w:tcPr>
          <w:p w14:paraId="28BAC1B9"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1FA698BF" w14:textId="573E8D1D" w:rsidR="008E2ED2" w:rsidRPr="0018386D" w:rsidRDefault="008E2ED2" w:rsidP="00DD3106">
            <w:pPr>
              <w:pStyle w:val="TableText"/>
              <w:spacing w:before="30" w:after="30"/>
            </w:pPr>
            <w:r w:rsidRPr="0018386D">
              <w:t>≥30,000 kg</w:t>
            </w:r>
          </w:p>
        </w:tc>
        <w:tc>
          <w:tcPr>
            <w:tcW w:w="510" w:type="dxa"/>
            <w:shd w:val="clear" w:color="000000" w:fill="FFFFFF"/>
            <w:noWrap/>
            <w:hideMark/>
          </w:tcPr>
          <w:p w14:paraId="553E9640"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5D16FE4C" w14:textId="0DF316D9" w:rsidR="008E2ED2" w:rsidRPr="0018386D" w:rsidRDefault="008E2ED2" w:rsidP="00DD3106">
            <w:pPr>
              <w:pStyle w:val="TableText"/>
              <w:spacing w:before="30" w:after="30"/>
            </w:pPr>
            <w:r w:rsidRPr="0018386D">
              <w:t>1.42</w:t>
            </w:r>
          </w:p>
        </w:tc>
        <w:tc>
          <w:tcPr>
            <w:tcW w:w="1361" w:type="dxa"/>
            <w:shd w:val="clear" w:color="000000" w:fill="FFFFFF"/>
            <w:noWrap/>
            <w:hideMark/>
          </w:tcPr>
          <w:p w14:paraId="56269CC6" w14:textId="41C0479E" w:rsidR="008E2ED2" w:rsidRPr="0018386D" w:rsidRDefault="008E2ED2" w:rsidP="00DD3106">
            <w:pPr>
              <w:pStyle w:val="TableText"/>
              <w:spacing w:before="30" w:after="30"/>
            </w:pPr>
            <w:r w:rsidRPr="0018386D">
              <w:t>1.40</w:t>
            </w:r>
          </w:p>
        </w:tc>
        <w:tc>
          <w:tcPr>
            <w:tcW w:w="1304" w:type="dxa"/>
            <w:shd w:val="clear" w:color="000000" w:fill="FFFFFF"/>
            <w:noWrap/>
            <w:hideMark/>
          </w:tcPr>
          <w:p w14:paraId="225938BD" w14:textId="08884880" w:rsidR="008E2ED2" w:rsidRPr="0018386D" w:rsidRDefault="008E2ED2" w:rsidP="00DD3106">
            <w:pPr>
              <w:pStyle w:val="TableText"/>
              <w:spacing w:before="30" w:after="30"/>
            </w:pPr>
            <w:r w:rsidRPr="0018386D">
              <w:t>0.00209</w:t>
            </w:r>
          </w:p>
        </w:tc>
        <w:tc>
          <w:tcPr>
            <w:tcW w:w="1361" w:type="dxa"/>
            <w:shd w:val="clear" w:color="000000" w:fill="FFFFFF"/>
            <w:noWrap/>
            <w:hideMark/>
          </w:tcPr>
          <w:p w14:paraId="53E27836" w14:textId="3A5561FC" w:rsidR="008E2ED2" w:rsidRPr="0018386D" w:rsidRDefault="008E2ED2" w:rsidP="00DD3106">
            <w:pPr>
              <w:pStyle w:val="TableText"/>
              <w:spacing w:before="30" w:after="30"/>
            </w:pPr>
            <w:r w:rsidRPr="0018386D">
              <w:t>0.0198</w:t>
            </w:r>
          </w:p>
        </w:tc>
      </w:tr>
      <w:tr w:rsidR="006316C3" w:rsidRPr="0018386D" w14:paraId="3B160936" w14:textId="77777777" w:rsidTr="00472FA1">
        <w:trPr>
          <w:divId w:val="839926928"/>
        </w:trPr>
        <w:tc>
          <w:tcPr>
            <w:tcW w:w="1420" w:type="dxa"/>
            <w:tcBorders>
              <w:top w:val="single" w:sz="4" w:space="0" w:color="auto"/>
              <w:bottom w:val="nil"/>
              <w:right w:val="single" w:sz="4" w:space="0" w:color="auto"/>
            </w:tcBorders>
            <w:shd w:val="clear" w:color="000000" w:fill="FFFFFF"/>
            <w:noWrap/>
            <w:hideMark/>
          </w:tcPr>
          <w:p w14:paraId="24E53F4F" w14:textId="77777777" w:rsidR="008E2ED2" w:rsidRPr="0018386D" w:rsidRDefault="008E2ED2" w:rsidP="00DD3106">
            <w:pPr>
              <w:pStyle w:val="TableText"/>
              <w:spacing w:before="30" w:after="30"/>
            </w:pPr>
            <w:r w:rsidRPr="0018386D">
              <w:t>HGV BEV</w:t>
            </w:r>
          </w:p>
        </w:tc>
        <w:tc>
          <w:tcPr>
            <w:tcW w:w="1701" w:type="dxa"/>
            <w:tcBorders>
              <w:left w:val="single" w:sz="4" w:space="0" w:color="auto"/>
            </w:tcBorders>
            <w:shd w:val="clear" w:color="000000" w:fill="FFFFFF"/>
            <w:noWrap/>
            <w:hideMark/>
          </w:tcPr>
          <w:p w14:paraId="09BA70DA" w14:textId="15B87AE3" w:rsidR="008E2ED2" w:rsidRPr="0018386D" w:rsidRDefault="008E2ED2" w:rsidP="00DD3106">
            <w:pPr>
              <w:pStyle w:val="TableText"/>
              <w:spacing w:before="30" w:after="30"/>
            </w:pPr>
            <w:r w:rsidRPr="0018386D">
              <w:t>&lt;5,000 kg</w:t>
            </w:r>
          </w:p>
        </w:tc>
        <w:tc>
          <w:tcPr>
            <w:tcW w:w="510" w:type="dxa"/>
            <w:shd w:val="clear" w:color="000000" w:fill="FFFFFF"/>
            <w:noWrap/>
            <w:hideMark/>
          </w:tcPr>
          <w:p w14:paraId="508802AF"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0CDBC2DA" w14:textId="312B7F67" w:rsidR="008E2ED2" w:rsidRPr="0018386D" w:rsidRDefault="008E2ED2" w:rsidP="00DD3106">
            <w:pPr>
              <w:pStyle w:val="TableText"/>
              <w:spacing w:before="30" w:after="30"/>
            </w:pPr>
            <w:r w:rsidRPr="0018386D">
              <w:t>0.0359</w:t>
            </w:r>
          </w:p>
        </w:tc>
        <w:tc>
          <w:tcPr>
            <w:tcW w:w="1361" w:type="dxa"/>
            <w:shd w:val="clear" w:color="000000" w:fill="FFFFFF"/>
            <w:noWrap/>
            <w:hideMark/>
          </w:tcPr>
          <w:p w14:paraId="65CEDF6A" w14:textId="1C6E1C12" w:rsidR="008E2ED2" w:rsidRPr="0018386D" w:rsidRDefault="008E2ED2" w:rsidP="00DD3106">
            <w:pPr>
              <w:pStyle w:val="TableText"/>
              <w:spacing w:before="30" w:after="30"/>
            </w:pPr>
            <w:r w:rsidRPr="0018386D">
              <w:t>0.0349</w:t>
            </w:r>
          </w:p>
        </w:tc>
        <w:tc>
          <w:tcPr>
            <w:tcW w:w="1304" w:type="dxa"/>
            <w:shd w:val="clear" w:color="000000" w:fill="FFFFFF"/>
            <w:noWrap/>
            <w:hideMark/>
          </w:tcPr>
          <w:p w14:paraId="4C5DC484" w14:textId="47379AB5" w:rsidR="008E2ED2" w:rsidRPr="0018386D" w:rsidRDefault="008E2ED2" w:rsidP="00DD3106">
            <w:pPr>
              <w:pStyle w:val="TableText"/>
              <w:spacing w:before="30" w:after="30"/>
            </w:pPr>
            <w:r w:rsidRPr="0018386D">
              <w:t>0.0009</w:t>
            </w:r>
          </w:p>
        </w:tc>
        <w:tc>
          <w:tcPr>
            <w:tcW w:w="1361" w:type="dxa"/>
            <w:shd w:val="clear" w:color="000000" w:fill="FFFFFF"/>
            <w:noWrap/>
            <w:hideMark/>
          </w:tcPr>
          <w:p w14:paraId="4448E215" w14:textId="3B36E620" w:rsidR="008E2ED2" w:rsidRPr="0018386D" w:rsidRDefault="008E2ED2" w:rsidP="00DD3106">
            <w:pPr>
              <w:pStyle w:val="TableText"/>
              <w:spacing w:before="30" w:after="30"/>
            </w:pPr>
            <w:r w:rsidRPr="0018386D">
              <w:t>0.00008</w:t>
            </w:r>
          </w:p>
        </w:tc>
      </w:tr>
      <w:tr w:rsidR="006316C3" w:rsidRPr="0018386D" w14:paraId="78673ED6" w14:textId="77777777" w:rsidTr="00472FA1">
        <w:trPr>
          <w:divId w:val="839926928"/>
        </w:trPr>
        <w:tc>
          <w:tcPr>
            <w:tcW w:w="1420" w:type="dxa"/>
            <w:tcBorders>
              <w:top w:val="nil"/>
              <w:bottom w:val="nil"/>
              <w:right w:val="single" w:sz="4" w:space="0" w:color="auto"/>
            </w:tcBorders>
            <w:shd w:val="clear" w:color="000000" w:fill="FFFFFF"/>
            <w:noWrap/>
            <w:hideMark/>
          </w:tcPr>
          <w:p w14:paraId="576C1E54"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69D461D1" w14:textId="2C368D33" w:rsidR="008E2ED2" w:rsidRPr="0018386D" w:rsidRDefault="008E2ED2" w:rsidP="00DD3106">
            <w:pPr>
              <w:pStyle w:val="TableText"/>
              <w:spacing w:before="30" w:after="30"/>
            </w:pPr>
            <w:r w:rsidRPr="0018386D">
              <w:t>5,000</w:t>
            </w:r>
            <w:r w:rsidR="00807B64" w:rsidRPr="0018386D">
              <w:t>–</w:t>
            </w:r>
            <w:r w:rsidRPr="0018386D">
              <w:t>7,500 kg</w:t>
            </w:r>
          </w:p>
        </w:tc>
        <w:tc>
          <w:tcPr>
            <w:tcW w:w="510" w:type="dxa"/>
            <w:shd w:val="clear" w:color="000000" w:fill="FFFFFF"/>
            <w:noWrap/>
            <w:hideMark/>
          </w:tcPr>
          <w:p w14:paraId="13B97EF2"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4E47D298" w14:textId="2C1763DB" w:rsidR="008E2ED2" w:rsidRPr="0018386D" w:rsidRDefault="008E2ED2" w:rsidP="00DD3106">
            <w:pPr>
              <w:pStyle w:val="TableText"/>
              <w:spacing w:before="30" w:after="30"/>
            </w:pPr>
            <w:r w:rsidRPr="0018386D">
              <w:t>0.0412</w:t>
            </w:r>
          </w:p>
        </w:tc>
        <w:tc>
          <w:tcPr>
            <w:tcW w:w="1361" w:type="dxa"/>
            <w:shd w:val="clear" w:color="000000" w:fill="FFFFFF"/>
            <w:noWrap/>
            <w:hideMark/>
          </w:tcPr>
          <w:p w14:paraId="3466F267" w14:textId="00A8BED1" w:rsidR="008E2ED2" w:rsidRPr="0018386D" w:rsidRDefault="008E2ED2" w:rsidP="00DD3106">
            <w:pPr>
              <w:pStyle w:val="TableText"/>
              <w:spacing w:before="30" w:after="30"/>
            </w:pPr>
            <w:r w:rsidRPr="0018386D">
              <w:t>0.0400</w:t>
            </w:r>
          </w:p>
        </w:tc>
        <w:tc>
          <w:tcPr>
            <w:tcW w:w="1304" w:type="dxa"/>
            <w:shd w:val="clear" w:color="000000" w:fill="FFFFFF"/>
            <w:noWrap/>
            <w:hideMark/>
          </w:tcPr>
          <w:p w14:paraId="6C6E2372" w14:textId="64AD197C" w:rsidR="008E2ED2" w:rsidRPr="0018386D" w:rsidRDefault="008E2ED2" w:rsidP="00DD3106">
            <w:pPr>
              <w:pStyle w:val="TableText"/>
              <w:spacing w:before="30" w:after="30"/>
            </w:pPr>
            <w:r w:rsidRPr="0018386D">
              <w:t>0.00108</w:t>
            </w:r>
          </w:p>
        </w:tc>
        <w:tc>
          <w:tcPr>
            <w:tcW w:w="1361" w:type="dxa"/>
            <w:shd w:val="clear" w:color="000000" w:fill="FFFFFF"/>
            <w:noWrap/>
            <w:hideMark/>
          </w:tcPr>
          <w:p w14:paraId="5852B7EF" w14:textId="5FB7A7C7" w:rsidR="008E2ED2" w:rsidRPr="0018386D" w:rsidRDefault="008E2ED2" w:rsidP="00DD3106">
            <w:pPr>
              <w:pStyle w:val="TableText"/>
              <w:spacing w:before="30" w:after="30"/>
            </w:pPr>
            <w:r w:rsidRPr="0018386D">
              <w:t>0.00009</w:t>
            </w:r>
          </w:p>
        </w:tc>
      </w:tr>
      <w:tr w:rsidR="006316C3" w:rsidRPr="0018386D" w14:paraId="4CE200B8" w14:textId="77777777" w:rsidTr="00472FA1">
        <w:trPr>
          <w:divId w:val="839926928"/>
        </w:trPr>
        <w:tc>
          <w:tcPr>
            <w:tcW w:w="1420" w:type="dxa"/>
            <w:tcBorders>
              <w:top w:val="nil"/>
              <w:bottom w:val="nil"/>
              <w:right w:val="single" w:sz="4" w:space="0" w:color="auto"/>
            </w:tcBorders>
            <w:shd w:val="clear" w:color="000000" w:fill="FFFFFF"/>
            <w:noWrap/>
            <w:hideMark/>
          </w:tcPr>
          <w:p w14:paraId="2BE290FA"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2DE09CC4" w14:textId="261E9EF2" w:rsidR="008E2ED2" w:rsidRPr="0018386D" w:rsidRDefault="008E2ED2" w:rsidP="00DD3106">
            <w:pPr>
              <w:pStyle w:val="TableText"/>
              <w:spacing w:before="30" w:after="30"/>
            </w:pPr>
            <w:r w:rsidRPr="0018386D">
              <w:t>7,500</w:t>
            </w:r>
            <w:r w:rsidR="00807B64" w:rsidRPr="0018386D">
              <w:t>–</w:t>
            </w:r>
            <w:r w:rsidRPr="0018386D">
              <w:t>10,000 kg</w:t>
            </w:r>
          </w:p>
        </w:tc>
        <w:tc>
          <w:tcPr>
            <w:tcW w:w="510" w:type="dxa"/>
            <w:shd w:val="clear" w:color="000000" w:fill="FFFFFF"/>
            <w:noWrap/>
            <w:hideMark/>
          </w:tcPr>
          <w:p w14:paraId="1CEACBCB"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7698F43F" w14:textId="30A638CC" w:rsidR="008E2ED2" w:rsidRPr="0018386D" w:rsidRDefault="008E2ED2" w:rsidP="00DD3106">
            <w:pPr>
              <w:pStyle w:val="TableText"/>
              <w:spacing w:before="30" w:after="30"/>
            </w:pPr>
            <w:r w:rsidRPr="0018386D">
              <w:t>0.0503</w:t>
            </w:r>
          </w:p>
        </w:tc>
        <w:tc>
          <w:tcPr>
            <w:tcW w:w="1361" w:type="dxa"/>
            <w:shd w:val="clear" w:color="000000" w:fill="FFFFFF"/>
            <w:noWrap/>
            <w:hideMark/>
          </w:tcPr>
          <w:p w14:paraId="64DF1C5B" w14:textId="19CABFF5" w:rsidR="008E2ED2" w:rsidRPr="0018386D" w:rsidRDefault="008E2ED2" w:rsidP="00DD3106">
            <w:pPr>
              <w:pStyle w:val="TableText"/>
              <w:spacing w:before="30" w:after="30"/>
            </w:pPr>
            <w:r w:rsidRPr="0018386D">
              <w:t>0.0489</w:t>
            </w:r>
          </w:p>
        </w:tc>
        <w:tc>
          <w:tcPr>
            <w:tcW w:w="1304" w:type="dxa"/>
            <w:shd w:val="clear" w:color="000000" w:fill="FFFFFF"/>
            <w:noWrap/>
            <w:hideMark/>
          </w:tcPr>
          <w:p w14:paraId="5E4FB87B" w14:textId="1232DBDE" w:rsidR="008E2ED2" w:rsidRPr="0018386D" w:rsidRDefault="008E2ED2" w:rsidP="00DD3106">
            <w:pPr>
              <w:pStyle w:val="TableText"/>
              <w:spacing w:before="30" w:after="30"/>
            </w:pPr>
            <w:r w:rsidRPr="0018386D">
              <w:t>0.00132</w:t>
            </w:r>
          </w:p>
        </w:tc>
        <w:tc>
          <w:tcPr>
            <w:tcW w:w="1361" w:type="dxa"/>
            <w:shd w:val="clear" w:color="000000" w:fill="FFFFFF"/>
            <w:noWrap/>
            <w:hideMark/>
          </w:tcPr>
          <w:p w14:paraId="33653654" w14:textId="77777777" w:rsidR="008E2ED2" w:rsidRPr="0018386D" w:rsidRDefault="008E2ED2" w:rsidP="00DD3106">
            <w:pPr>
              <w:pStyle w:val="TableText"/>
              <w:spacing w:before="30" w:after="30"/>
            </w:pPr>
            <w:r w:rsidRPr="0018386D">
              <w:t>0.0001</w:t>
            </w:r>
          </w:p>
        </w:tc>
      </w:tr>
      <w:tr w:rsidR="006316C3" w:rsidRPr="0018386D" w14:paraId="34ED1452" w14:textId="77777777" w:rsidTr="00472FA1">
        <w:trPr>
          <w:divId w:val="839926928"/>
        </w:trPr>
        <w:tc>
          <w:tcPr>
            <w:tcW w:w="1420" w:type="dxa"/>
            <w:tcBorders>
              <w:top w:val="nil"/>
              <w:bottom w:val="nil"/>
              <w:right w:val="single" w:sz="4" w:space="0" w:color="auto"/>
            </w:tcBorders>
            <w:shd w:val="clear" w:color="000000" w:fill="FFFFFF"/>
            <w:noWrap/>
            <w:hideMark/>
          </w:tcPr>
          <w:p w14:paraId="15426245"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2EC0B939" w14:textId="0C001C75" w:rsidR="008E2ED2" w:rsidRPr="0018386D" w:rsidRDefault="008E2ED2" w:rsidP="00DD3106">
            <w:pPr>
              <w:pStyle w:val="TableText"/>
              <w:spacing w:before="30" w:after="30"/>
            </w:pPr>
            <w:r w:rsidRPr="0018386D">
              <w:t>10,000</w:t>
            </w:r>
            <w:r w:rsidR="00807B64" w:rsidRPr="0018386D">
              <w:t>–</w:t>
            </w:r>
            <w:r w:rsidRPr="0018386D">
              <w:t>12,000 kg</w:t>
            </w:r>
          </w:p>
        </w:tc>
        <w:tc>
          <w:tcPr>
            <w:tcW w:w="510" w:type="dxa"/>
            <w:shd w:val="clear" w:color="000000" w:fill="FFFFFF"/>
            <w:noWrap/>
            <w:hideMark/>
          </w:tcPr>
          <w:p w14:paraId="328E967A"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232F86D6" w14:textId="59FC13F6" w:rsidR="008E2ED2" w:rsidRPr="0018386D" w:rsidRDefault="008E2ED2" w:rsidP="00DD3106">
            <w:pPr>
              <w:pStyle w:val="TableText"/>
              <w:spacing w:before="30" w:after="30"/>
            </w:pPr>
            <w:r w:rsidRPr="0018386D">
              <w:t>0.0678</w:t>
            </w:r>
          </w:p>
        </w:tc>
        <w:tc>
          <w:tcPr>
            <w:tcW w:w="1361" w:type="dxa"/>
            <w:shd w:val="clear" w:color="000000" w:fill="FFFFFF"/>
            <w:noWrap/>
            <w:hideMark/>
          </w:tcPr>
          <w:p w14:paraId="71548247" w14:textId="4E3706C8" w:rsidR="008E2ED2" w:rsidRPr="0018386D" w:rsidRDefault="008E2ED2" w:rsidP="00DD3106">
            <w:pPr>
              <w:pStyle w:val="TableText"/>
              <w:spacing w:before="30" w:after="30"/>
            </w:pPr>
            <w:r w:rsidRPr="0018386D">
              <w:t>0.0659</w:t>
            </w:r>
          </w:p>
        </w:tc>
        <w:tc>
          <w:tcPr>
            <w:tcW w:w="1304" w:type="dxa"/>
            <w:shd w:val="clear" w:color="000000" w:fill="FFFFFF"/>
            <w:noWrap/>
            <w:hideMark/>
          </w:tcPr>
          <w:p w14:paraId="5216C305" w14:textId="300C18A0" w:rsidR="008E2ED2" w:rsidRPr="0018386D" w:rsidRDefault="008E2ED2" w:rsidP="00DD3106">
            <w:pPr>
              <w:pStyle w:val="TableText"/>
              <w:spacing w:before="30" w:after="30"/>
            </w:pPr>
            <w:r w:rsidRPr="0018386D">
              <w:t>0.00177</w:t>
            </w:r>
          </w:p>
        </w:tc>
        <w:tc>
          <w:tcPr>
            <w:tcW w:w="1361" w:type="dxa"/>
            <w:shd w:val="clear" w:color="000000" w:fill="FFFFFF"/>
            <w:noWrap/>
            <w:hideMark/>
          </w:tcPr>
          <w:p w14:paraId="4E447FF1" w14:textId="77777777" w:rsidR="008E2ED2" w:rsidRPr="0018386D" w:rsidRDefault="008E2ED2" w:rsidP="00DD3106">
            <w:pPr>
              <w:pStyle w:val="TableText"/>
              <w:spacing w:before="30" w:after="30"/>
            </w:pPr>
            <w:r w:rsidRPr="0018386D">
              <w:t>0.0001</w:t>
            </w:r>
          </w:p>
        </w:tc>
      </w:tr>
      <w:tr w:rsidR="006316C3" w:rsidRPr="0018386D" w14:paraId="74937D8B" w14:textId="77777777" w:rsidTr="00472FA1">
        <w:trPr>
          <w:divId w:val="839926928"/>
        </w:trPr>
        <w:tc>
          <w:tcPr>
            <w:tcW w:w="1420" w:type="dxa"/>
            <w:tcBorders>
              <w:top w:val="nil"/>
              <w:bottom w:val="nil"/>
              <w:right w:val="single" w:sz="4" w:space="0" w:color="auto"/>
            </w:tcBorders>
            <w:shd w:val="clear" w:color="000000" w:fill="FFFFFF"/>
            <w:noWrap/>
            <w:hideMark/>
          </w:tcPr>
          <w:p w14:paraId="06316A7B" w14:textId="77777777" w:rsidR="008E2ED2" w:rsidRPr="0018386D" w:rsidRDefault="008E2ED2" w:rsidP="00DD3106">
            <w:pPr>
              <w:pStyle w:val="TableText"/>
              <w:spacing w:before="30" w:after="30"/>
            </w:pPr>
            <w:r w:rsidRPr="0018386D">
              <w:t> </w:t>
            </w:r>
          </w:p>
        </w:tc>
        <w:tc>
          <w:tcPr>
            <w:tcW w:w="1701" w:type="dxa"/>
            <w:tcBorders>
              <w:left w:val="single" w:sz="4" w:space="0" w:color="auto"/>
            </w:tcBorders>
            <w:shd w:val="clear" w:color="000000" w:fill="FFFFFF"/>
            <w:noWrap/>
            <w:hideMark/>
          </w:tcPr>
          <w:p w14:paraId="30CE983F" w14:textId="32765A9E" w:rsidR="008E2ED2" w:rsidRPr="0018386D" w:rsidRDefault="008E2ED2" w:rsidP="00DD3106">
            <w:pPr>
              <w:pStyle w:val="TableText"/>
              <w:spacing w:before="30" w:after="30"/>
            </w:pPr>
            <w:r w:rsidRPr="0018386D">
              <w:t>12,000</w:t>
            </w:r>
            <w:r w:rsidR="00807B64" w:rsidRPr="0018386D">
              <w:t>–</w:t>
            </w:r>
            <w:r w:rsidRPr="0018386D">
              <w:t>15,000 kg</w:t>
            </w:r>
          </w:p>
        </w:tc>
        <w:tc>
          <w:tcPr>
            <w:tcW w:w="510" w:type="dxa"/>
            <w:shd w:val="clear" w:color="000000" w:fill="FFFFFF"/>
            <w:noWrap/>
            <w:hideMark/>
          </w:tcPr>
          <w:p w14:paraId="00B37F22" w14:textId="77777777" w:rsidR="008E2ED2" w:rsidRPr="0018386D" w:rsidRDefault="008E2ED2" w:rsidP="00DD3106">
            <w:pPr>
              <w:pStyle w:val="TableText"/>
              <w:spacing w:before="30" w:after="30"/>
            </w:pPr>
            <w:r w:rsidRPr="0018386D">
              <w:t>km</w:t>
            </w:r>
          </w:p>
        </w:tc>
        <w:tc>
          <w:tcPr>
            <w:tcW w:w="1247" w:type="dxa"/>
            <w:shd w:val="clear" w:color="000000" w:fill="D2DDE1"/>
            <w:noWrap/>
            <w:hideMark/>
          </w:tcPr>
          <w:p w14:paraId="0120F174" w14:textId="4ECD9632" w:rsidR="008E2ED2" w:rsidRPr="0018386D" w:rsidRDefault="008E2ED2" w:rsidP="00DD3106">
            <w:pPr>
              <w:pStyle w:val="TableText"/>
              <w:spacing w:before="30" w:after="30"/>
            </w:pPr>
            <w:r w:rsidRPr="0018386D">
              <w:t>0.0761</w:t>
            </w:r>
          </w:p>
        </w:tc>
        <w:tc>
          <w:tcPr>
            <w:tcW w:w="1361" w:type="dxa"/>
            <w:shd w:val="clear" w:color="000000" w:fill="FFFFFF"/>
            <w:noWrap/>
            <w:hideMark/>
          </w:tcPr>
          <w:p w14:paraId="67DBA829" w14:textId="05E38A79" w:rsidR="008E2ED2" w:rsidRPr="0018386D" w:rsidRDefault="008E2ED2" w:rsidP="00DD3106">
            <w:pPr>
              <w:pStyle w:val="TableText"/>
              <w:spacing w:before="30" w:after="30"/>
            </w:pPr>
            <w:r w:rsidRPr="0018386D">
              <w:t>0.0740</w:t>
            </w:r>
          </w:p>
        </w:tc>
        <w:tc>
          <w:tcPr>
            <w:tcW w:w="1304" w:type="dxa"/>
            <w:shd w:val="clear" w:color="000000" w:fill="FFFFFF"/>
            <w:noWrap/>
            <w:hideMark/>
          </w:tcPr>
          <w:p w14:paraId="70CF1AFF" w14:textId="0543F5F0" w:rsidR="008E2ED2" w:rsidRPr="0018386D" w:rsidRDefault="008E2ED2" w:rsidP="00DD3106">
            <w:pPr>
              <w:pStyle w:val="TableText"/>
              <w:spacing w:before="30" w:after="30"/>
            </w:pPr>
            <w:r w:rsidRPr="0018386D">
              <w:t>0.00199</w:t>
            </w:r>
          </w:p>
        </w:tc>
        <w:tc>
          <w:tcPr>
            <w:tcW w:w="1361" w:type="dxa"/>
            <w:shd w:val="clear" w:color="000000" w:fill="FFFFFF"/>
            <w:noWrap/>
            <w:hideMark/>
          </w:tcPr>
          <w:p w14:paraId="544BA205" w14:textId="1B3EB196" w:rsidR="008E2ED2" w:rsidRPr="0018386D" w:rsidRDefault="008E2ED2" w:rsidP="00DD3106">
            <w:pPr>
              <w:pStyle w:val="TableText"/>
              <w:spacing w:before="30" w:after="30"/>
            </w:pPr>
            <w:r w:rsidRPr="0018386D">
              <w:t>0.0002</w:t>
            </w:r>
          </w:p>
        </w:tc>
      </w:tr>
    </w:tbl>
    <w:bookmarkStart w:id="636" w:name="_Ref532762895"/>
    <w:p w14:paraId="0F34C508" w14:textId="40C44DD8" w:rsidR="00321271" w:rsidRPr="0018386D" w:rsidRDefault="00445772" w:rsidP="00DD3106">
      <w:pPr>
        <w:pStyle w:val="BodyText"/>
        <w:spacing w:before="240"/>
      </w:pPr>
      <w:r w:rsidRPr="0018386D">
        <w:fldChar w:fldCharType="begin"/>
      </w:r>
      <w:r w:rsidRPr="0018386D">
        <w:instrText>HYPERLINK \l "Table52"</w:instrText>
      </w:r>
      <w:r w:rsidRPr="0018386D">
        <w:fldChar w:fldCharType="separate"/>
      </w:r>
      <w:r w:rsidR="00321271" w:rsidRPr="0018386D">
        <w:rPr>
          <w:rStyle w:val="Hyperlink"/>
        </w:rPr>
        <w:t xml:space="preserve">Table </w:t>
      </w:r>
      <w:r w:rsidR="23D9E2AA" w:rsidRPr="0018386D">
        <w:rPr>
          <w:rStyle w:val="Hyperlink"/>
        </w:rPr>
        <w:t>5</w:t>
      </w:r>
      <w:r w:rsidR="08AA0787" w:rsidRPr="0018386D">
        <w:rPr>
          <w:rStyle w:val="Hyperlink"/>
        </w:rPr>
        <w:t>2</w:t>
      </w:r>
      <w:r w:rsidRPr="0018386D">
        <w:rPr>
          <w:rStyle w:val="Hyperlink"/>
        </w:rPr>
        <w:fldChar w:fldCharType="end"/>
      </w:r>
      <w:r w:rsidR="00321271" w:rsidRPr="0018386D">
        <w:t xml:space="preserve"> contains the default emission factors for heavy goods vehicles, based on a pre-2010 fleet and a gross vehicle mass of &lt;7500 kg. </w:t>
      </w:r>
    </w:p>
    <w:p w14:paraId="022D466A" w14:textId="1765EDA7" w:rsidR="008E2ED2" w:rsidRPr="0018386D" w:rsidRDefault="00EB4389" w:rsidP="00DD3106">
      <w:pPr>
        <w:pStyle w:val="Tableheading"/>
        <w:rPr>
          <w:rFonts w:asciiTheme="minorHAnsi" w:hAnsiTheme="minorHAnsi"/>
        </w:rPr>
      </w:pPr>
      <w:bookmarkStart w:id="637" w:name="Table52"/>
      <w:bookmarkStart w:id="638" w:name="_Toc111536664"/>
      <w:bookmarkStart w:id="639" w:name="_Toc140048992"/>
      <w:bookmarkEnd w:id="636"/>
      <w:r w:rsidRPr="0018386D">
        <w:t xml:space="preserve">Table </w:t>
      </w:r>
      <w:r w:rsidRPr="0018386D">
        <w:fldChar w:fldCharType="begin"/>
      </w:r>
      <w:r w:rsidRPr="0018386D">
        <w:instrText>SEQ Table \* ARABIC</w:instrText>
      </w:r>
      <w:r w:rsidRPr="0018386D">
        <w:fldChar w:fldCharType="separate"/>
      </w:r>
      <w:r w:rsidR="00634642" w:rsidRPr="0018386D">
        <w:rPr>
          <w:noProof/>
        </w:rPr>
        <w:t>52</w:t>
      </w:r>
      <w:r w:rsidRPr="0018386D">
        <w:fldChar w:fldCharType="end"/>
      </w:r>
      <w:bookmarkEnd w:id="637"/>
      <w:r w:rsidRPr="0018386D">
        <w:t>:</w:t>
      </w:r>
      <w:r w:rsidRPr="0018386D">
        <w:tab/>
      </w:r>
      <w:r w:rsidR="00A55149" w:rsidRPr="0018386D">
        <w:t>Default emission factors for heavy goods vehicles</w:t>
      </w:r>
      <w:bookmarkStart w:id="640" w:name="_1746366862"/>
      <w:bookmarkStart w:id="641" w:name="_1745997856"/>
      <w:bookmarkStart w:id="642" w:name="_1746254088"/>
      <w:bookmarkStart w:id="643" w:name="_1747051283"/>
      <w:bookmarkEnd w:id="638"/>
      <w:bookmarkEnd w:id="639"/>
      <w:bookmarkEnd w:id="640"/>
      <w:bookmarkEnd w:id="641"/>
      <w:bookmarkEnd w:id="642"/>
      <w:bookmarkEnd w:id="643"/>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629"/>
        <w:gridCol w:w="592"/>
        <w:gridCol w:w="1244"/>
        <w:gridCol w:w="1659"/>
        <w:gridCol w:w="1659"/>
        <w:gridCol w:w="1717"/>
      </w:tblGrid>
      <w:tr w:rsidR="00B97E4D" w:rsidRPr="0018386D" w14:paraId="3A881BF1" w14:textId="77777777" w:rsidTr="00B97E4D">
        <w:trPr>
          <w:divId w:val="2076852565"/>
          <w:trHeight w:val="240"/>
        </w:trPr>
        <w:tc>
          <w:tcPr>
            <w:tcW w:w="1560" w:type="dxa"/>
            <w:shd w:val="clear" w:color="000000" w:fill="1B556B" w:themeFill="text2"/>
            <w:noWrap/>
            <w:vAlign w:val="bottom"/>
            <w:hideMark/>
          </w:tcPr>
          <w:p w14:paraId="690C489A" w14:textId="47DCF199" w:rsidR="008E2ED2" w:rsidRPr="0018386D" w:rsidRDefault="008E2ED2" w:rsidP="00DD3106">
            <w:pPr>
              <w:pStyle w:val="TableTextbold"/>
              <w:spacing w:before="30" w:after="30"/>
              <w:rPr>
                <w:color w:val="FFFFFF" w:themeColor="background1"/>
              </w:rPr>
            </w:pPr>
            <w:r w:rsidRPr="0018386D">
              <w:rPr>
                <w:color w:val="FFFFFF" w:themeColor="background1"/>
              </w:rPr>
              <w:t>Emission source</w:t>
            </w:r>
          </w:p>
        </w:tc>
        <w:tc>
          <w:tcPr>
            <w:tcW w:w="567" w:type="dxa"/>
            <w:shd w:val="clear" w:color="000000" w:fill="1B556B" w:themeFill="text2"/>
            <w:noWrap/>
            <w:vAlign w:val="bottom"/>
            <w:hideMark/>
          </w:tcPr>
          <w:p w14:paraId="174A19E8"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191" w:type="dxa"/>
            <w:shd w:val="clear" w:color="000000" w:fill="1B556B" w:themeFill="text2"/>
            <w:noWrap/>
            <w:vAlign w:val="bottom"/>
            <w:hideMark/>
          </w:tcPr>
          <w:p w14:paraId="10D0AA95" w14:textId="665CBA60"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588" w:type="dxa"/>
            <w:shd w:val="clear" w:color="000000" w:fill="1B556B" w:themeFill="text2"/>
            <w:noWrap/>
            <w:vAlign w:val="bottom"/>
            <w:hideMark/>
          </w:tcPr>
          <w:p w14:paraId="302CCCAE" w14:textId="16436B8C"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e/unit)</w:t>
            </w:r>
          </w:p>
        </w:tc>
        <w:tc>
          <w:tcPr>
            <w:tcW w:w="1588" w:type="dxa"/>
            <w:shd w:val="clear" w:color="000000" w:fill="1B556B" w:themeFill="text2"/>
            <w:noWrap/>
            <w:vAlign w:val="bottom"/>
            <w:hideMark/>
          </w:tcPr>
          <w:p w14:paraId="41B4EBAE" w14:textId="5887BE4B" w:rsidR="008E2ED2" w:rsidRPr="0018386D" w:rsidRDefault="008E2ED2" w:rsidP="00DD3106">
            <w:pPr>
              <w:pStyle w:val="TableTextbold"/>
              <w:spacing w:before="30" w:after="30"/>
              <w:rPr>
                <w:color w:val="FFFFFF" w:themeColor="background1"/>
              </w:rPr>
            </w:pPr>
            <w:r w:rsidRPr="0018386D">
              <w:rPr>
                <w:color w:val="FFFFFF" w:themeColor="background1"/>
              </w:rPr>
              <w:t>CH₄ (kg CO₂-e/unit)</w:t>
            </w:r>
          </w:p>
        </w:tc>
        <w:tc>
          <w:tcPr>
            <w:tcW w:w="1644" w:type="dxa"/>
            <w:shd w:val="clear" w:color="000000" w:fill="1B556B" w:themeFill="text2"/>
            <w:noWrap/>
            <w:vAlign w:val="bottom"/>
            <w:hideMark/>
          </w:tcPr>
          <w:p w14:paraId="54C23C17" w14:textId="5641EC27" w:rsidR="008E2ED2" w:rsidRPr="0018386D" w:rsidRDefault="008E2ED2" w:rsidP="00DD3106">
            <w:pPr>
              <w:pStyle w:val="TableTextbold"/>
              <w:spacing w:before="30" w:after="30"/>
              <w:rPr>
                <w:color w:val="FFFFFF" w:themeColor="background1"/>
              </w:rPr>
            </w:pPr>
            <w:r w:rsidRPr="0018386D">
              <w:rPr>
                <w:color w:val="FFFFFF" w:themeColor="background1"/>
              </w:rPr>
              <w:t>N₂O (kg CO₂-e/unit)</w:t>
            </w:r>
          </w:p>
        </w:tc>
      </w:tr>
      <w:tr w:rsidR="00F35D56" w:rsidRPr="0018386D" w14:paraId="6AA15DA9" w14:textId="77777777" w:rsidTr="00B97E4D">
        <w:trPr>
          <w:divId w:val="2076852565"/>
          <w:trHeight w:val="240"/>
        </w:trPr>
        <w:tc>
          <w:tcPr>
            <w:tcW w:w="1560" w:type="dxa"/>
            <w:shd w:val="clear" w:color="000000" w:fill="FFFFFF"/>
            <w:noWrap/>
            <w:hideMark/>
          </w:tcPr>
          <w:p w14:paraId="12A4C15F" w14:textId="3A0D80F7" w:rsidR="008E2ED2" w:rsidRPr="0018386D" w:rsidRDefault="008E2ED2" w:rsidP="00DD3106">
            <w:pPr>
              <w:pStyle w:val="TableText"/>
              <w:spacing w:before="30" w:after="30"/>
            </w:pPr>
            <w:r w:rsidRPr="0018386D">
              <w:t>HGV Diesel</w:t>
            </w:r>
          </w:p>
        </w:tc>
        <w:tc>
          <w:tcPr>
            <w:tcW w:w="567" w:type="dxa"/>
            <w:shd w:val="clear" w:color="000000" w:fill="FFFFFF"/>
            <w:noWrap/>
            <w:hideMark/>
          </w:tcPr>
          <w:p w14:paraId="559B24AA"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3BDA6EB7" w14:textId="331953AE" w:rsidR="008E2ED2" w:rsidRPr="0018386D" w:rsidRDefault="008E2ED2" w:rsidP="00DD3106">
            <w:pPr>
              <w:pStyle w:val="TableText"/>
              <w:spacing w:before="30" w:after="30"/>
            </w:pPr>
            <w:r w:rsidRPr="0018386D">
              <w:t>0.482</w:t>
            </w:r>
          </w:p>
        </w:tc>
        <w:tc>
          <w:tcPr>
            <w:tcW w:w="1588" w:type="dxa"/>
            <w:shd w:val="clear" w:color="000000" w:fill="FFFFFF"/>
            <w:noWrap/>
            <w:hideMark/>
          </w:tcPr>
          <w:p w14:paraId="45D63DF8" w14:textId="6DAC0CC8" w:rsidR="008E2ED2" w:rsidRPr="0018386D" w:rsidRDefault="008E2ED2" w:rsidP="00DD3106">
            <w:pPr>
              <w:pStyle w:val="TableText"/>
              <w:spacing w:before="30" w:after="30"/>
            </w:pPr>
            <w:r w:rsidRPr="0018386D">
              <w:t>0.475</w:t>
            </w:r>
          </w:p>
        </w:tc>
        <w:tc>
          <w:tcPr>
            <w:tcW w:w="1588" w:type="dxa"/>
            <w:shd w:val="clear" w:color="000000" w:fill="FFFFFF"/>
            <w:noWrap/>
            <w:hideMark/>
          </w:tcPr>
          <w:p w14:paraId="4714249E" w14:textId="7C7334F0" w:rsidR="008E2ED2" w:rsidRPr="0018386D" w:rsidRDefault="008E2ED2" w:rsidP="00DD3106">
            <w:pPr>
              <w:pStyle w:val="TableText"/>
              <w:spacing w:before="30" w:after="30"/>
            </w:pPr>
            <w:r w:rsidRPr="0018386D">
              <w:t>0.0007</w:t>
            </w:r>
          </w:p>
        </w:tc>
        <w:tc>
          <w:tcPr>
            <w:tcW w:w="1644" w:type="dxa"/>
            <w:shd w:val="clear" w:color="000000" w:fill="FFFFFF"/>
            <w:noWrap/>
            <w:hideMark/>
          </w:tcPr>
          <w:p w14:paraId="6ACD8CD9" w14:textId="6AC2C4C2" w:rsidR="008E2ED2" w:rsidRPr="0018386D" w:rsidRDefault="008E2ED2" w:rsidP="00DD3106">
            <w:pPr>
              <w:pStyle w:val="TableText"/>
              <w:spacing w:before="30" w:after="30"/>
            </w:pPr>
            <w:r w:rsidRPr="0018386D">
              <w:t>0.00671</w:t>
            </w:r>
          </w:p>
        </w:tc>
      </w:tr>
      <w:tr w:rsidR="00F35D56" w:rsidRPr="0018386D" w14:paraId="2009E4C9" w14:textId="77777777" w:rsidTr="00B97E4D">
        <w:trPr>
          <w:divId w:val="2076852565"/>
          <w:trHeight w:val="240"/>
        </w:trPr>
        <w:tc>
          <w:tcPr>
            <w:tcW w:w="1560" w:type="dxa"/>
            <w:shd w:val="clear" w:color="000000" w:fill="FFFFFF"/>
            <w:noWrap/>
            <w:hideMark/>
          </w:tcPr>
          <w:p w14:paraId="4B930DE9" w14:textId="11599748" w:rsidR="008E2ED2" w:rsidRPr="0018386D" w:rsidRDefault="008E2ED2" w:rsidP="00DD3106">
            <w:pPr>
              <w:pStyle w:val="TableText"/>
              <w:spacing w:before="30" w:after="30"/>
            </w:pPr>
            <w:r w:rsidRPr="0018386D">
              <w:t xml:space="preserve">HGV Diesel </w:t>
            </w:r>
            <w:r w:rsidR="00334CF0" w:rsidRPr="0018386D">
              <w:t>h</w:t>
            </w:r>
            <w:r w:rsidRPr="0018386D">
              <w:t>ybrid</w:t>
            </w:r>
          </w:p>
        </w:tc>
        <w:tc>
          <w:tcPr>
            <w:tcW w:w="567" w:type="dxa"/>
            <w:shd w:val="clear" w:color="000000" w:fill="FFFFFF"/>
            <w:noWrap/>
            <w:hideMark/>
          </w:tcPr>
          <w:p w14:paraId="6389849A" w14:textId="77777777" w:rsidR="008E2ED2" w:rsidRPr="0018386D" w:rsidRDefault="008E2ED2" w:rsidP="00DD3106">
            <w:pPr>
              <w:pStyle w:val="TableText"/>
              <w:spacing w:before="30" w:after="30"/>
            </w:pPr>
            <w:r w:rsidRPr="0018386D">
              <w:t>km</w:t>
            </w:r>
          </w:p>
        </w:tc>
        <w:tc>
          <w:tcPr>
            <w:tcW w:w="1191" w:type="dxa"/>
            <w:shd w:val="clear" w:color="000000" w:fill="D2DDE1"/>
            <w:noWrap/>
            <w:hideMark/>
          </w:tcPr>
          <w:p w14:paraId="2DB0E36F" w14:textId="350D7136" w:rsidR="008E2ED2" w:rsidRPr="0018386D" w:rsidRDefault="008E2ED2" w:rsidP="00DD3106">
            <w:pPr>
              <w:pStyle w:val="TableText"/>
              <w:spacing w:before="30" w:after="30"/>
            </w:pPr>
            <w:r w:rsidRPr="0018386D">
              <w:t>0.389</w:t>
            </w:r>
          </w:p>
        </w:tc>
        <w:tc>
          <w:tcPr>
            <w:tcW w:w="1588" w:type="dxa"/>
            <w:shd w:val="clear" w:color="000000" w:fill="FFFFFF"/>
            <w:noWrap/>
            <w:hideMark/>
          </w:tcPr>
          <w:p w14:paraId="7611EAD8" w14:textId="5FBCE61A" w:rsidR="008E2ED2" w:rsidRPr="0018386D" w:rsidRDefault="008E2ED2" w:rsidP="00DD3106">
            <w:pPr>
              <w:pStyle w:val="TableText"/>
              <w:spacing w:before="30" w:after="30"/>
            </w:pPr>
            <w:r w:rsidRPr="0018386D">
              <w:t>0.383</w:t>
            </w:r>
          </w:p>
        </w:tc>
        <w:tc>
          <w:tcPr>
            <w:tcW w:w="1588" w:type="dxa"/>
            <w:shd w:val="clear" w:color="000000" w:fill="FFFFFF"/>
            <w:noWrap/>
            <w:hideMark/>
          </w:tcPr>
          <w:p w14:paraId="286B5249" w14:textId="6CD46A34" w:rsidR="008E2ED2" w:rsidRPr="0018386D" w:rsidRDefault="008E2ED2" w:rsidP="00DD3106">
            <w:pPr>
              <w:pStyle w:val="TableText"/>
              <w:spacing w:before="30" w:after="30"/>
            </w:pPr>
            <w:r w:rsidRPr="0018386D">
              <w:t>0.0006</w:t>
            </w:r>
          </w:p>
        </w:tc>
        <w:tc>
          <w:tcPr>
            <w:tcW w:w="1644" w:type="dxa"/>
            <w:shd w:val="clear" w:color="000000" w:fill="FFFFFF"/>
            <w:noWrap/>
            <w:hideMark/>
          </w:tcPr>
          <w:p w14:paraId="38409110" w14:textId="2BFB4946" w:rsidR="008E2ED2" w:rsidRPr="0018386D" w:rsidRDefault="008E2ED2" w:rsidP="00DD3106">
            <w:pPr>
              <w:pStyle w:val="TableText"/>
              <w:spacing w:before="30" w:after="30"/>
            </w:pPr>
            <w:r w:rsidRPr="0018386D">
              <w:t>0.00541</w:t>
            </w:r>
          </w:p>
        </w:tc>
      </w:tr>
    </w:tbl>
    <w:p w14:paraId="6103D32B" w14:textId="0B009666" w:rsidR="007D475D" w:rsidRPr="0018386D" w:rsidRDefault="007D475D" w:rsidP="00DD3106">
      <w:pPr>
        <w:pStyle w:val="Note"/>
      </w:pPr>
      <w:r w:rsidRPr="0018386D">
        <w:rPr>
          <w:b/>
          <w:bCs/>
        </w:rPr>
        <w:t>Note</w:t>
      </w:r>
      <w:r w:rsidR="00542171" w:rsidRPr="0018386D">
        <w:rPr>
          <w:b/>
          <w:bCs/>
        </w:rPr>
        <w:t>:</w:t>
      </w:r>
      <w:r w:rsidR="00542171" w:rsidRPr="0018386D">
        <w:t xml:space="preserve"> T</w:t>
      </w:r>
      <w:r w:rsidRPr="0018386D">
        <w:t xml:space="preserve">hese numbers are rounded to three </w:t>
      </w:r>
      <w:r w:rsidR="002011A6" w:rsidRPr="0018386D">
        <w:t xml:space="preserve">decimal places </w:t>
      </w:r>
      <w:r w:rsidRPr="0018386D">
        <w:t xml:space="preserve">unless the number is significantly small. </w:t>
      </w:r>
    </w:p>
    <w:p w14:paraId="4E622FE0" w14:textId="37D9A304" w:rsidR="0083579E" w:rsidRPr="0018386D" w:rsidRDefault="00C7627E" w:rsidP="00DD3106">
      <w:pPr>
        <w:pStyle w:val="BodyText"/>
        <w:spacing w:before="100" w:after="100"/>
      </w:pPr>
      <w:hyperlink w:anchor="Table53" w:history="1">
        <w:r w:rsidR="00B54FF5" w:rsidRPr="0018386D">
          <w:rPr>
            <w:rStyle w:val="Hyperlink"/>
          </w:rPr>
          <w:t xml:space="preserve">Table </w:t>
        </w:r>
        <w:r w:rsidR="754FA53A" w:rsidRPr="0018386D">
          <w:rPr>
            <w:rStyle w:val="Hyperlink"/>
          </w:rPr>
          <w:t>53</w:t>
        </w:r>
      </w:hyperlink>
      <w:r w:rsidR="00404486" w:rsidRPr="0018386D">
        <w:t xml:space="preserve"> contains emission factors for freighting goods.</w:t>
      </w:r>
    </w:p>
    <w:p w14:paraId="69181A27" w14:textId="27D38855" w:rsidR="004C3735" w:rsidRPr="0018386D" w:rsidRDefault="004C3735" w:rsidP="00DD3106">
      <w:pPr>
        <w:pStyle w:val="BodyText"/>
        <w:spacing w:before="100" w:after="100"/>
      </w:pPr>
      <w:r w:rsidRPr="0018386D">
        <w:rPr>
          <w:shd w:val="clear" w:color="auto" w:fill="FFFFFF"/>
        </w:rPr>
        <w:t xml:space="preserve">The </w:t>
      </w:r>
      <w:proofErr w:type="spellStart"/>
      <w:r w:rsidRPr="0018386D">
        <w:rPr>
          <w:shd w:val="clear" w:color="auto" w:fill="FFFFFF"/>
        </w:rPr>
        <w:t>tkm</w:t>
      </w:r>
      <w:proofErr w:type="spellEnd"/>
      <w:r w:rsidRPr="0018386D">
        <w:rPr>
          <w:shd w:val="clear" w:color="auto" w:fill="FFFFFF"/>
        </w:rPr>
        <w:t xml:space="preserve"> emission factor should be </w:t>
      </w:r>
      <w:r w:rsidRPr="0018386D">
        <w:t>used</w:t>
      </w:r>
      <w:r w:rsidRPr="0018386D">
        <w:rPr>
          <w:shd w:val="clear" w:color="auto" w:fill="FFFFFF"/>
        </w:rPr>
        <w:t xml:space="preserve"> where there is a mixed consignment on the same truck.</w:t>
      </w:r>
    </w:p>
    <w:p w14:paraId="6509289A" w14:textId="1130BF5D" w:rsidR="00EC122D" w:rsidRPr="0018386D" w:rsidRDefault="00EB4389" w:rsidP="00DD3106">
      <w:pPr>
        <w:pStyle w:val="Tableheading"/>
      </w:pPr>
      <w:bookmarkStart w:id="644" w:name="Table53"/>
      <w:bookmarkStart w:id="645" w:name="_Toc111536665"/>
      <w:bookmarkStart w:id="646" w:name="_Toc140048993"/>
      <w:r w:rsidRPr="0018386D">
        <w:t xml:space="preserve">Table </w:t>
      </w:r>
      <w:r w:rsidRPr="0018386D">
        <w:fldChar w:fldCharType="begin"/>
      </w:r>
      <w:r w:rsidRPr="0018386D">
        <w:instrText>SEQ Table \* ARABIC</w:instrText>
      </w:r>
      <w:r w:rsidRPr="0018386D">
        <w:fldChar w:fldCharType="separate"/>
      </w:r>
      <w:r w:rsidR="00634642" w:rsidRPr="0018386D">
        <w:rPr>
          <w:noProof/>
        </w:rPr>
        <w:t>53</w:t>
      </w:r>
      <w:r w:rsidRPr="0018386D">
        <w:fldChar w:fldCharType="end"/>
      </w:r>
      <w:bookmarkEnd w:id="644"/>
      <w:r w:rsidRPr="0018386D">
        <w:t>:</w:t>
      </w:r>
      <w:r w:rsidRPr="0018386D">
        <w:tab/>
      </w:r>
      <w:r w:rsidR="00EC122D" w:rsidRPr="0018386D">
        <w:t>Emission factors for freighting goods</w:t>
      </w:r>
      <w:r w:rsidR="00660F9F" w:rsidRPr="0018386D">
        <w:t xml:space="preserve"> by road</w:t>
      </w:r>
      <w:bookmarkEnd w:id="645"/>
      <w:bookmarkEnd w:id="646"/>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683"/>
        <w:gridCol w:w="543"/>
        <w:gridCol w:w="1260"/>
        <w:gridCol w:w="1673"/>
        <w:gridCol w:w="1673"/>
        <w:gridCol w:w="1673"/>
      </w:tblGrid>
      <w:tr w:rsidR="00377B70" w:rsidRPr="0018386D" w14:paraId="3B2E66C7" w14:textId="77777777" w:rsidTr="00377B70">
        <w:trPr>
          <w:divId w:val="1680354513"/>
          <w:trHeight w:val="240"/>
        </w:trPr>
        <w:tc>
          <w:tcPr>
            <w:tcW w:w="1713" w:type="dxa"/>
            <w:shd w:val="clear" w:color="000000" w:fill="1B556B" w:themeFill="text2"/>
            <w:noWrap/>
            <w:vAlign w:val="bottom"/>
            <w:hideMark/>
          </w:tcPr>
          <w:p w14:paraId="50E4E8C2" w14:textId="6538E494" w:rsidR="008E2ED2" w:rsidRPr="0018386D" w:rsidRDefault="008E2ED2" w:rsidP="00DD3106">
            <w:pPr>
              <w:pStyle w:val="TableTextbold"/>
              <w:spacing w:before="30" w:after="30"/>
              <w:rPr>
                <w:color w:val="FFFFFF" w:themeColor="background1"/>
              </w:rPr>
            </w:pPr>
            <w:bookmarkStart w:id="647" w:name="_1746366865"/>
            <w:bookmarkStart w:id="648" w:name="_1745997857"/>
            <w:bookmarkStart w:id="649" w:name="_1746254090"/>
            <w:bookmarkStart w:id="650" w:name="_1747051284"/>
            <w:bookmarkEnd w:id="647"/>
            <w:bookmarkEnd w:id="648"/>
            <w:bookmarkEnd w:id="649"/>
            <w:bookmarkEnd w:id="650"/>
            <w:r w:rsidRPr="0018386D">
              <w:rPr>
                <w:color w:val="FFFFFF" w:themeColor="background1"/>
              </w:rPr>
              <w:t>Emission source</w:t>
            </w:r>
          </w:p>
        </w:tc>
        <w:tc>
          <w:tcPr>
            <w:tcW w:w="550" w:type="dxa"/>
            <w:shd w:val="clear" w:color="000000" w:fill="1B556B" w:themeFill="text2"/>
            <w:noWrap/>
            <w:vAlign w:val="bottom"/>
            <w:hideMark/>
          </w:tcPr>
          <w:p w14:paraId="78C247DE" w14:textId="77777777" w:rsidR="008E2ED2" w:rsidRPr="0018386D" w:rsidRDefault="008E2ED2" w:rsidP="00DD3106">
            <w:pPr>
              <w:pStyle w:val="TableTextbold"/>
              <w:spacing w:before="30" w:after="30"/>
              <w:rPr>
                <w:color w:val="FFFFFF" w:themeColor="background1"/>
              </w:rPr>
            </w:pPr>
            <w:r w:rsidRPr="0018386D">
              <w:rPr>
                <w:color w:val="FFFFFF" w:themeColor="background1"/>
              </w:rPr>
              <w:t>Unit</w:t>
            </w:r>
          </w:p>
        </w:tc>
        <w:tc>
          <w:tcPr>
            <w:tcW w:w="1281" w:type="dxa"/>
            <w:shd w:val="clear" w:color="000000" w:fill="1B556B" w:themeFill="text2"/>
            <w:noWrap/>
            <w:vAlign w:val="bottom"/>
            <w:hideMark/>
          </w:tcPr>
          <w:p w14:paraId="504C1758" w14:textId="637A4950" w:rsidR="008E2ED2" w:rsidRPr="0018386D" w:rsidRDefault="008E2ED2" w:rsidP="00DD3106">
            <w:pPr>
              <w:pStyle w:val="TableTextbold"/>
              <w:spacing w:before="30" w:after="30"/>
              <w:rPr>
                <w:color w:val="FFFFFF" w:themeColor="background1"/>
              </w:rPr>
            </w:pPr>
            <w:r w:rsidRPr="0018386D">
              <w:rPr>
                <w:color w:val="FFFFFF" w:themeColor="background1"/>
              </w:rPr>
              <w:t>kg CO₂-e/unit</w:t>
            </w:r>
          </w:p>
        </w:tc>
        <w:tc>
          <w:tcPr>
            <w:tcW w:w="1701" w:type="dxa"/>
            <w:shd w:val="clear" w:color="000000" w:fill="1B556B" w:themeFill="text2"/>
            <w:noWrap/>
            <w:vAlign w:val="bottom"/>
            <w:hideMark/>
          </w:tcPr>
          <w:p w14:paraId="12286303" w14:textId="2AAE1A5A" w:rsidR="008E2ED2" w:rsidRPr="0018386D" w:rsidRDefault="008E2ED2" w:rsidP="00DD3106">
            <w:pPr>
              <w:pStyle w:val="TableTextbold"/>
              <w:spacing w:before="30" w:after="30"/>
              <w:rPr>
                <w:color w:val="FFFFFF" w:themeColor="background1"/>
              </w:rPr>
            </w:pPr>
            <w:r w:rsidRPr="0018386D">
              <w:rPr>
                <w:color w:val="FFFFFF" w:themeColor="background1"/>
              </w:rPr>
              <w:t>CO₂ (kg CO₂</w:t>
            </w:r>
            <w:r w:rsidRPr="0018386D">
              <w:rPr>
                <w:color w:val="FFFFFF" w:themeColor="background1"/>
              </w:rPr>
              <w:noBreakHyphen/>
              <w:t>e/</w:t>
            </w:r>
            <w:r w:rsidR="003072FD" w:rsidRPr="0018386D">
              <w:rPr>
                <w:color w:val="FFFFFF" w:themeColor="background1"/>
              </w:rPr>
              <w:t xml:space="preserve"> </w:t>
            </w:r>
            <w:r w:rsidRPr="0018386D">
              <w:rPr>
                <w:color w:val="FFFFFF" w:themeColor="background1"/>
              </w:rPr>
              <w:t>unit)</w:t>
            </w:r>
          </w:p>
        </w:tc>
        <w:tc>
          <w:tcPr>
            <w:tcW w:w="1701" w:type="dxa"/>
            <w:shd w:val="clear" w:color="000000" w:fill="1B556B" w:themeFill="text2"/>
            <w:noWrap/>
            <w:vAlign w:val="bottom"/>
            <w:hideMark/>
          </w:tcPr>
          <w:p w14:paraId="326B2DFA" w14:textId="7435BAE5" w:rsidR="008E2ED2" w:rsidRPr="0018386D" w:rsidRDefault="008E2ED2" w:rsidP="00DD3106">
            <w:pPr>
              <w:pStyle w:val="TableTextbold"/>
              <w:spacing w:before="30" w:after="30"/>
              <w:rPr>
                <w:color w:val="FFFFFF" w:themeColor="background1"/>
              </w:rPr>
            </w:pPr>
            <w:r w:rsidRPr="0018386D">
              <w:rPr>
                <w:color w:val="FFFFFF" w:themeColor="background1"/>
              </w:rPr>
              <w:t>CH₄ (kg CO₂-e/</w:t>
            </w:r>
            <w:r w:rsidR="003072FD" w:rsidRPr="0018386D">
              <w:rPr>
                <w:color w:val="FFFFFF" w:themeColor="background1"/>
              </w:rPr>
              <w:t xml:space="preserve"> </w:t>
            </w:r>
            <w:r w:rsidRPr="0018386D">
              <w:rPr>
                <w:color w:val="FFFFFF" w:themeColor="background1"/>
              </w:rPr>
              <w:t>unit)</w:t>
            </w:r>
          </w:p>
        </w:tc>
        <w:tc>
          <w:tcPr>
            <w:tcW w:w="1701" w:type="dxa"/>
            <w:shd w:val="clear" w:color="000000" w:fill="1B556B" w:themeFill="text2"/>
            <w:noWrap/>
            <w:vAlign w:val="bottom"/>
            <w:hideMark/>
          </w:tcPr>
          <w:p w14:paraId="54CF9906" w14:textId="4C4FD8FA" w:rsidR="008E2ED2" w:rsidRPr="0018386D" w:rsidRDefault="008E2ED2" w:rsidP="00DD3106">
            <w:pPr>
              <w:pStyle w:val="TableTextbold"/>
              <w:spacing w:before="30" w:after="30"/>
              <w:rPr>
                <w:color w:val="FFFFFF" w:themeColor="background1"/>
              </w:rPr>
            </w:pPr>
            <w:r w:rsidRPr="0018386D">
              <w:rPr>
                <w:color w:val="FFFFFF" w:themeColor="background1"/>
              </w:rPr>
              <w:t>N₂O (kg CO₂-e/</w:t>
            </w:r>
            <w:r w:rsidR="003072FD" w:rsidRPr="0018386D">
              <w:rPr>
                <w:color w:val="FFFFFF" w:themeColor="background1"/>
              </w:rPr>
              <w:t xml:space="preserve"> </w:t>
            </w:r>
            <w:r w:rsidRPr="0018386D">
              <w:rPr>
                <w:color w:val="FFFFFF" w:themeColor="background1"/>
              </w:rPr>
              <w:t>unit)</w:t>
            </w:r>
          </w:p>
        </w:tc>
      </w:tr>
      <w:tr w:rsidR="00377B70" w:rsidRPr="0018386D" w14:paraId="5B3E7754" w14:textId="77777777" w:rsidTr="00377B70">
        <w:trPr>
          <w:divId w:val="1680354513"/>
          <w:trHeight w:val="240"/>
        </w:trPr>
        <w:tc>
          <w:tcPr>
            <w:tcW w:w="1713" w:type="dxa"/>
            <w:shd w:val="clear" w:color="000000" w:fill="FFFFFF"/>
            <w:noWrap/>
            <w:hideMark/>
          </w:tcPr>
          <w:p w14:paraId="7E29B3D6" w14:textId="77777777" w:rsidR="008E2ED2" w:rsidRPr="0018386D" w:rsidRDefault="008E2ED2" w:rsidP="00DD3106">
            <w:pPr>
              <w:pStyle w:val="TableText"/>
              <w:spacing w:before="30" w:after="30"/>
            </w:pPr>
            <w:r w:rsidRPr="0018386D">
              <w:t>Long-haul heavy truck</w:t>
            </w:r>
          </w:p>
        </w:tc>
        <w:tc>
          <w:tcPr>
            <w:tcW w:w="550" w:type="dxa"/>
            <w:shd w:val="clear" w:color="000000" w:fill="FFFFFF"/>
            <w:noWrap/>
            <w:hideMark/>
          </w:tcPr>
          <w:p w14:paraId="20E506E4" w14:textId="77777777" w:rsidR="008E2ED2" w:rsidRPr="0018386D" w:rsidRDefault="008E2ED2" w:rsidP="00DD3106">
            <w:pPr>
              <w:pStyle w:val="TableText"/>
              <w:spacing w:before="30" w:after="30"/>
            </w:pPr>
            <w:proofErr w:type="spellStart"/>
            <w:r w:rsidRPr="0018386D">
              <w:t>tkm</w:t>
            </w:r>
            <w:proofErr w:type="spellEnd"/>
          </w:p>
        </w:tc>
        <w:tc>
          <w:tcPr>
            <w:tcW w:w="1281" w:type="dxa"/>
            <w:shd w:val="clear" w:color="000000" w:fill="D2DDE1"/>
            <w:noWrap/>
            <w:hideMark/>
          </w:tcPr>
          <w:p w14:paraId="0D460CE8" w14:textId="77777777" w:rsidR="008E2ED2" w:rsidRPr="0018386D" w:rsidRDefault="008E2ED2" w:rsidP="00DD3106">
            <w:pPr>
              <w:pStyle w:val="TableText"/>
              <w:spacing w:before="30" w:after="30"/>
            </w:pPr>
            <w:r w:rsidRPr="0018386D">
              <w:t>0.105</w:t>
            </w:r>
          </w:p>
        </w:tc>
        <w:tc>
          <w:tcPr>
            <w:tcW w:w="1701" w:type="dxa"/>
            <w:shd w:val="clear" w:color="000000" w:fill="FFFFFF"/>
            <w:noWrap/>
            <w:hideMark/>
          </w:tcPr>
          <w:p w14:paraId="5369DCF9" w14:textId="77777777" w:rsidR="008E2ED2" w:rsidRPr="0018386D" w:rsidRDefault="008E2ED2" w:rsidP="00DD3106">
            <w:pPr>
              <w:pStyle w:val="TableText"/>
              <w:spacing w:before="30" w:after="30"/>
            </w:pPr>
            <w:r w:rsidRPr="0018386D">
              <w:t>0.103</w:t>
            </w:r>
          </w:p>
        </w:tc>
        <w:tc>
          <w:tcPr>
            <w:tcW w:w="1701" w:type="dxa"/>
            <w:shd w:val="clear" w:color="000000" w:fill="FFFFFF"/>
            <w:noWrap/>
            <w:hideMark/>
          </w:tcPr>
          <w:p w14:paraId="1F4F1B3E" w14:textId="77777777" w:rsidR="008E2ED2" w:rsidRPr="0018386D" w:rsidRDefault="008E2ED2" w:rsidP="00DD3106">
            <w:pPr>
              <w:pStyle w:val="TableText"/>
              <w:spacing w:before="30" w:after="30"/>
            </w:pPr>
            <w:r w:rsidRPr="0018386D">
              <w:t>0.0001</w:t>
            </w:r>
          </w:p>
        </w:tc>
        <w:tc>
          <w:tcPr>
            <w:tcW w:w="1701" w:type="dxa"/>
            <w:shd w:val="clear" w:color="000000" w:fill="FFFFFF"/>
            <w:noWrap/>
            <w:hideMark/>
          </w:tcPr>
          <w:p w14:paraId="38D4EABF" w14:textId="53369F79" w:rsidR="008E2ED2" w:rsidRPr="0018386D" w:rsidRDefault="008E2ED2" w:rsidP="00DD3106">
            <w:pPr>
              <w:pStyle w:val="TableText"/>
              <w:spacing w:before="30" w:after="30"/>
            </w:pPr>
            <w:r w:rsidRPr="0018386D">
              <w:t>0.00165</w:t>
            </w:r>
          </w:p>
        </w:tc>
      </w:tr>
      <w:tr w:rsidR="00377B70" w:rsidRPr="0018386D" w14:paraId="45E80F3D" w14:textId="77777777" w:rsidTr="00377B70">
        <w:trPr>
          <w:divId w:val="1680354513"/>
          <w:trHeight w:val="240"/>
        </w:trPr>
        <w:tc>
          <w:tcPr>
            <w:tcW w:w="1713" w:type="dxa"/>
            <w:shd w:val="clear" w:color="000000" w:fill="FFFFFF"/>
            <w:noWrap/>
            <w:hideMark/>
          </w:tcPr>
          <w:p w14:paraId="0674B879" w14:textId="77777777" w:rsidR="008E2ED2" w:rsidRPr="0018386D" w:rsidRDefault="008E2ED2" w:rsidP="00DD3106">
            <w:pPr>
              <w:pStyle w:val="TableText"/>
              <w:spacing w:before="30" w:after="30"/>
            </w:pPr>
            <w:r w:rsidRPr="0018386D">
              <w:t>Urban delivery heavy truck</w:t>
            </w:r>
          </w:p>
        </w:tc>
        <w:tc>
          <w:tcPr>
            <w:tcW w:w="550" w:type="dxa"/>
            <w:shd w:val="clear" w:color="000000" w:fill="FFFFFF"/>
            <w:noWrap/>
            <w:hideMark/>
          </w:tcPr>
          <w:p w14:paraId="46D59D19" w14:textId="77777777" w:rsidR="008E2ED2" w:rsidRPr="0018386D" w:rsidRDefault="008E2ED2" w:rsidP="00DD3106">
            <w:pPr>
              <w:pStyle w:val="TableText"/>
              <w:spacing w:before="30" w:after="30"/>
            </w:pPr>
            <w:proofErr w:type="spellStart"/>
            <w:r w:rsidRPr="0018386D">
              <w:t>tkm</w:t>
            </w:r>
            <w:proofErr w:type="spellEnd"/>
          </w:p>
        </w:tc>
        <w:tc>
          <w:tcPr>
            <w:tcW w:w="1281" w:type="dxa"/>
            <w:shd w:val="clear" w:color="000000" w:fill="D2DDE1"/>
            <w:noWrap/>
            <w:hideMark/>
          </w:tcPr>
          <w:p w14:paraId="0BF8A931" w14:textId="77777777" w:rsidR="008E2ED2" w:rsidRPr="0018386D" w:rsidRDefault="008E2ED2" w:rsidP="00DD3106">
            <w:pPr>
              <w:pStyle w:val="TableText"/>
              <w:spacing w:before="30" w:after="30"/>
            </w:pPr>
            <w:r w:rsidRPr="0018386D">
              <w:t>0.390</w:t>
            </w:r>
          </w:p>
        </w:tc>
        <w:tc>
          <w:tcPr>
            <w:tcW w:w="1701" w:type="dxa"/>
            <w:shd w:val="clear" w:color="000000" w:fill="FFFFFF"/>
            <w:noWrap/>
            <w:hideMark/>
          </w:tcPr>
          <w:p w14:paraId="5D7F7FDC" w14:textId="77777777" w:rsidR="008E2ED2" w:rsidRPr="0018386D" w:rsidRDefault="008E2ED2" w:rsidP="00DD3106">
            <w:pPr>
              <w:pStyle w:val="TableText"/>
              <w:spacing w:before="30" w:after="30"/>
            </w:pPr>
            <w:r w:rsidRPr="0018386D">
              <w:t>0.383</w:t>
            </w:r>
          </w:p>
        </w:tc>
        <w:tc>
          <w:tcPr>
            <w:tcW w:w="1701" w:type="dxa"/>
            <w:shd w:val="clear" w:color="000000" w:fill="FFFFFF"/>
            <w:noWrap/>
            <w:hideMark/>
          </w:tcPr>
          <w:p w14:paraId="7F590A90" w14:textId="77777777" w:rsidR="008E2ED2" w:rsidRPr="0018386D" w:rsidRDefault="008E2ED2" w:rsidP="00DD3106">
            <w:pPr>
              <w:pStyle w:val="TableText"/>
              <w:spacing w:before="30" w:after="30"/>
            </w:pPr>
            <w:r w:rsidRPr="0018386D">
              <w:t>0.0005</w:t>
            </w:r>
          </w:p>
        </w:tc>
        <w:tc>
          <w:tcPr>
            <w:tcW w:w="1701" w:type="dxa"/>
            <w:shd w:val="clear" w:color="000000" w:fill="FFFFFF"/>
            <w:noWrap/>
            <w:hideMark/>
          </w:tcPr>
          <w:p w14:paraId="15F728E1" w14:textId="7190CA68" w:rsidR="008E2ED2" w:rsidRPr="0018386D" w:rsidRDefault="008E2ED2" w:rsidP="00DD3106">
            <w:pPr>
              <w:pStyle w:val="TableText"/>
              <w:spacing w:before="30" w:after="30"/>
            </w:pPr>
            <w:r w:rsidRPr="0018386D">
              <w:t>0.00612</w:t>
            </w:r>
          </w:p>
        </w:tc>
      </w:tr>
      <w:tr w:rsidR="00377B70" w:rsidRPr="0018386D" w14:paraId="440C9287" w14:textId="77777777" w:rsidTr="00377B70">
        <w:trPr>
          <w:divId w:val="1680354513"/>
          <w:trHeight w:val="240"/>
        </w:trPr>
        <w:tc>
          <w:tcPr>
            <w:tcW w:w="1713" w:type="dxa"/>
            <w:shd w:val="clear" w:color="000000" w:fill="FFFFFF"/>
            <w:noWrap/>
            <w:hideMark/>
          </w:tcPr>
          <w:p w14:paraId="729D6648" w14:textId="77777777" w:rsidR="008E2ED2" w:rsidRPr="0018386D" w:rsidRDefault="008E2ED2" w:rsidP="00DD3106">
            <w:pPr>
              <w:pStyle w:val="TableText"/>
              <w:spacing w:before="30" w:after="30"/>
            </w:pPr>
            <w:r w:rsidRPr="0018386D">
              <w:t>All trucks</w:t>
            </w:r>
          </w:p>
        </w:tc>
        <w:tc>
          <w:tcPr>
            <w:tcW w:w="550" w:type="dxa"/>
            <w:shd w:val="clear" w:color="000000" w:fill="FFFFFF"/>
            <w:noWrap/>
            <w:hideMark/>
          </w:tcPr>
          <w:p w14:paraId="1B69D12B" w14:textId="77777777" w:rsidR="008E2ED2" w:rsidRPr="0018386D" w:rsidRDefault="008E2ED2" w:rsidP="00DD3106">
            <w:pPr>
              <w:pStyle w:val="TableText"/>
              <w:spacing w:before="30" w:after="30"/>
            </w:pPr>
            <w:proofErr w:type="spellStart"/>
            <w:r w:rsidRPr="0018386D">
              <w:t>tkm</w:t>
            </w:r>
            <w:proofErr w:type="spellEnd"/>
          </w:p>
        </w:tc>
        <w:tc>
          <w:tcPr>
            <w:tcW w:w="1281" w:type="dxa"/>
            <w:shd w:val="clear" w:color="000000" w:fill="D2DDE1"/>
            <w:noWrap/>
            <w:hideMark/>
          </w:tcPr>
          <w:p w14:paraId="458A1F95" w14:textId="77777777" w:rsidR="008E2ED2" w:rsidRPr="0018386D" w:rsidRDefault="008E2ED2" w:rsidP="00DD3106">
            <w:pPr>
              <w:pStyle w:val="TableText"/>
              <w:spacing w:before="30" w:after="30"/>
            </w:pPr>
            <w:r w:rsidRPr="0018386D">
              <w:t>0.135</w:t>
            </w:r>
          </w:p>
        </w:tc>
        <w:tc>
          <w:tcPr>
            <w:tcW w:w="1701" w:type="dxa"/>
            <w:shd w:val="clear" w:color="000000" w:fill="FFFFFF"/>
            <w:noWrap/>
            <w:hideMark/>
          </w:tcPr>
          <w:p w14:paraId="5EEA8379" w14:textId="77777777" w:rsidR="008E2ED2" w:rsidRPr="0018386D" w:rsidRDefault="008E2ED2" w:rsidP="00DD3106">
            <w:pPr>
              <w:pStyle w:val="TableText"/>
              <w:spacing w:before="30" w:after="30"/>
            </w:pPr>
            <w:r w:rsidRPr="0018386D">
              <w:t>0.133</w:t>
            </w:r>
          </w:p>
        </w:tc>
        <w:tc>
          <w:tcPr>
            <w:tcW w:w="1701" w:type="dxa"/>
            <w:shd w:val="clear" w:color="000000" w:fill="FFFFFF"/>
            <w:noWrap/>
            <w:hideMark/>
          </w:tcPr>
          <w:p w14:paraId="65C2ABD2" w14:textId="77777777" w:rsidR="008E2ED2" w:rsidRPr="0018386D" w:rsidRDefault="008E2ED2" w:rsidP="00DD3106">
            <w:pPr>
              <w:pStyle w:val="TableText"/>
              <w:spacing w:before="30" w:after="30"/>
            </w:pPr>
            <w:r w:rsidRPr="0018386D">
              <w:t>0.0002</w:t>
            </w:r>
          </w:p>
        </w:tc>
        <w:tc>
          <w:tcPr>
            <w:tcW w:w="1701" w:type="dxa"/>
            <w:shd w:val="clear" w:color="000000" w:fill="FFFFFF"/>
            <w:noWrap/>
            <w:hideMark/>
          </w:tcPr>
          <w:p w14:paraId="78468295" w14:textId="5AB1F5BC" w:rsidR="008E2ED2" w:rsidRPr="0018386D" w:rsidRDefault="008E2ED2" w:rsidP="00DD3106">
            <w:pPr>
              <w:pStyle w:val="TableText"/>
              <w:spacing w:before="30" w:after="30"/>
            </w:pPr>
            <w:r w:rsidRPr="0018386D">
              <w:t>0.00212</w:t>
            </w:r>
          </w:p>
        </w:tc>
      </w:tr>
    </w:tbl>
    <w:p w14:paraId="67385191" w14:textId="707A464B" w:rsidR="007D475D" w:rsidRPr="0018386D" w:rsidRDefault="007D475D" w:rsidP="00DD3106">
      <w:pPr>
        <w:pStyle w:val="Note"/>
      </w:pPr>
      <w:r w:rsidRPr="0018386D">
        <w:rPr>
          <w:b/>
          <w:bCs/>
        </w:rPr>
        <w:t>Note</w:t>
      </w:r>
      <w:r w:rsidR="00542171" w:rsidRPr="0018386D">
        <w:rPr>
          <w:b/>
          <w:bCs/>
        </w:rPr>
        <w:t>:</w:t>
      </w:r>
      <w:r w:rsidRPr="0018386D">
        <w:t xml:space="preserve"> </w:t>
      </w:r>
      <w:r w:rsidR="00542171" w:rsidRPr="0018386D">
        <w:t xml:space="preserve">These </w:t>
      </w:r>
      <w:r w:rsidRPr="0018386D">
        <w:t xml:space="preserve">numbers are rounded to three </w:t>
      </w:r>
      <w:r w:rsidR="002011A6" w:rsidRPr="0018386D">
        <w:t xml:space="preserve">decimal places </w:t>
      </w:r>
      <w:r w:rsidRPr="0018386D">
        <w:t xml:space="preserve">unless the number is significantly small. </w:t>
      </w:r>
    </w:p>
    <w:p w14:paraId="22DDADD8" w14:textId="6995C375" w:rsidR="00405B35" w:rsidRPr="0018386D" w:rsidRDefault="00301928" w:rsidP="00DD3106">
      <w:pPr>
        <w:pStyle w:val="Heading3"/>
        <w:numPr>
          <w:ilvl w:val="2"/>
          <w:numId w:val="8"/>
        </w:numPr>
        <w:spacing w:before="320"/>
      </w:pPr>
      <w:bookmarkStart w:id="651" w:name="_Toc532904920"/>
      <w:r w:rsidRPr="0018386D">
        <w:t xml:space="preserve">GHG </w:t>
      </w:r>
      <w:r w:rsidR="00405B35" w:rsidRPr="0018386D">
        <w:t>inventory development</w:t>
      </w:r>
      <w:bookmarkEnd w:id="651"/>
    </w:p>
    <w:p w14:paraId="49FA989E" w14:textId="18CA9C02" w:rsidR="006E187B" w:rsidRPr="0018386D" w:rsidRDefault="00405B35" w:rsidP="00DD3106">
      <w:pPr>
        <w:pStyle w:val="BodyText"/>
      </w:pPr>
      <w:r w:rsidRPr="0018386D">
        <w:t>If an organisation uses freight vehicles, they can calculate the emissions from the k</w:t>
      </w:r>
      <w:r w:rsidR="005C184D" w:rsidRPr="0018386D">
        <w:t>ilo</w:t>
      </w:r>
      <w:r w:rsidRPr="0018386D">
        <w:t>m</w:t>
      </w:r>
      <w:r w:rsidR="005C184D" w:rsidRPr="0018386D">
        <w:t>etres</w:t>
      </w:r>
      <w:r w:rsidRPr="0018386D">
        <w:t xml:space="preserve"> travelled. </w:t>
      </w:r>
      <w:r w:rsidR="007D475D" w:rsidRPr="0018386D">
        <w:t>Multiply t</w:t>
      </w:r>
      <w:r w:rsidRPr="0018386D">
        <w:t>he distances b</w:t>
      </w:r>
      <w:r w:rsidR="00064006" w:rsidRPr="0018386D">
        <w:t xml:space="preserve">y the emission factors in </w:t>
      </w:r>
      <w:hyperlink w:anchor="Table45" w:history="1">
        <w:r w:rsidR="003A1C85" w:rsidRPr="0018386D">
          <w:rPr>
            <w:rStyle w:val="Hyperlink"/>
          </w:rPr>
          <w:t>table</w:t>
        </w:r>
        <w:r w:rsidR="004671A5" w:rsidRPr="0018386D">
          <w:rPr>
            <w:rStyle w:val="Hyperlink"/>
          </w:rPr>
          <w:t>s</w:t>
        </w:r>
        <w:r w:rsidR="003A1C85" w:rsidRPr="0018386D">
          <w:rPr>
            <w:rStyle w:val="Hyperlink"/>
          </w:rPr>
          <w:t xml:space="preserve"> 45</w:t>
        </w:r>
      </w:hyperlink>
      <w:r w:rsidR="003A1C85" w:rsidRPr="0018386D">
        <w:t xml:space="preserve"> to </w:t>
      </w:r>
      <w:hyperlink w:anchor="Table53" w:history="1">
        <w:r w:rsidR="003A1C85" w:rsidRPr="0018386D">
          <w:rPr>
            <w:rStyle w:val="Hyperlink"/>
          </w:rPr>
          <w:t>53</w:t>
        </w:r>
      </w:hyperlink>
      <w:r w:rsidR="006F707B" w:rsidRPr="0018386D">
        <w:t>.</w:t>
      </w:r>
      <w:r w:rsidR="00064006" w:rsidRPr="0018386D">
        <w:t xml:space="preserve"> </w:t>
      </w:r>
      <w:r w:rsidR="007D475D" w:rsidRPr="0018386D">
        <w:t xml:space="preserve">Applying the equation </w:t>
      </w:r>
      <w:r w:rsidR="00E71782" w:rsidRPr="0018386D">
        <w:t>E</w:t>
      </w:r>
      <w:r w:rsidR="00B37794" w:rsidRPr="0018386D">
        <w:t xml:space="preserve"> </w:t>
      </w:r>
      <w:r w:rsidR="00E71782" w:rsidRPr="0018386D">
        <w:t>= Q x F</w:t>
      </w:r>
      <w:r w:rsidR="0083579E" w:rsidRPr="0018386D">
        <w:t xml:space="preserve"> </w:t>
      </w:r>
      <w:r w:rsidR="00E71782" w:rsidRPr="0018386D">
        <w:t>(</w:t>
      </w:r>
      <w:hyperlink w:anchor="_How_to_quantify">
        <w:r w:rsidR="5366C642" w:rsidRPr="0018386D">
          <w:rPr>
            <w:rStyle w:val="Hyperlink"/>
          </w:rPr>
          <w:t>s</w:t>
        </w:r>
        <w:r w:rsidR="269CE652" w:rsidRPr="0018386D">
          <w:rPr>
            <w:rStyle w:val="Hyperlink"/>
          </w:rPr>
          <w:t>ection</w:t>
        </w:r>
        <w:r w:rsidR="519AEE20" w:rsidRPr="0018386D">
          <w:rPr>
            <w:rStyle w:val="Hyperlink"/>
          </w:rPr>
          <w:t xml:space="preserve"> 2</w:t>
        </w:r>
      </w:hyperlink>
      <w:r w:rsidR="1BD20776" w:rsidRPr="0018386D">
        <w:rPr>
          <w:rStyle w:val="Hyperlink"/>
          <w:color w:val="auto"/>
        </w:rPr>
        <w:t>)</w:t>
      </w:r>
      <w:r w:rsidR="5CDD7319" w:rsidRPr="0018386D">
        <w:t>, this means</w:t>
      </w:r>
      <w:r w:rsidR="1E9CAB83" w:rsidRPr="0018386D">
        <w:t>:</w:t>
      </w:r>
    </w:p>
    <w:p w14:paraId="4F091D7E" w14:textId="7CCCEFB6" w:rsidR="00E71782" w:rsidRPr="0018386D" w:rsidRDefault="00E71782"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2DBDB5DF" w14:textId="10FBC193" w:rsidR="006E187B" w:rsidRPr="0018386D" w:rsidRDefault="00C23F2D" w:rsidP="00DD3106">
      <w:pPr>
        <w:pStyle w:val="BodyText"/>
        <w:tabs>
          <w:tab w:val="left" w:pos="680"/>
          <w:tab w:val="left" w:pos="1134"/>
        </w:tabs>
        <w:contextualSpacing/>
      </w:pPr>
      <w:r w:rsidRPr="0018386D">
        <w:t>Q</w:t>
      </w:r>
      <w:r w:rsidRPr="0018386D">
        <w:tab/>
        <w:t>=</w:t>
      </w:r>
      <w:r w:rsidRPr="0018386D">
        <w:tab/>
      </w:r>
      <w:r w:rsidR="006E187B" w:rsidRPr="0018386D">
        <w:t>km travelled by specific freight vehicle</w:t>
      </w:r>
      <w:r w:rsidR="00306679" w:rsidRPr="0018386D">
        <w:t xml:space="preserve"> one way</w:t>
      </w:r>
    </w:p>
    <w:p w14:paraId="2D63095E" w14:textId="5B581BBB" w:rsidR="00405B35" w:rsidRPr="0018386D" w:rsidRDefault="00C23F2D" w:rsidP="00DD3106">
      <w:pPr>
        <w:pStyle w:val="BodyText"/>
        <w:tabs>
          <w:tab w:val="left" w:pos="680"/>
          <w:tab w:val="left" w:pos="1134"/>
        </w:tabs>
        <w:contextualSpacing/>
      </w:pPr>
      <w:r w:rsidRPr="0018386D">
        <w:t>F</w:t>
      </w:r>
      <w:r w:rsidRPr="0018386D">
        <w:tab/>
      </w:r>
      <w:r w:rsidR="006E187B" w:rsidRPr="0018386D">
        <w:t>=</w:t>
      </w:r>
      <w:r w:rsidRPr="0018386D">
        <w:tab/>
      </w:r>
      <w:r w:rsidR="006E187B" w:rsidRPr="0018386D">
        <w:t xml:space="preserve">appropriate emission factors from </w:t>
      </w:r>
      <w:hyperlink w:anchor="Table45" w:history="1">
        <w:r w:rsidR="006F7BC6" w:rsidRPr="0018386D">
          <w:rPr>
            <w:rStyle w:val="Hyperlink"/>
          </w:rPr>
          <w:t>table</w:t>
        </w:r>
        <w:r w:rsidR="004671A5" w:rsidRPr="0018386D">
          <w:rPr>
            <w:rStyle w:val="Hyperlink"/>
          </w:rPr>
          <w:t>s</w:t>
        </w:r>
        <w:r w:rsidR="006F7BC6" w:rsidRPr="0018386D">
          <w:rPr>
            <w:rStyle w:val="Hyperlink"/>
          </w:rPr>
          <w:t xml:space="preserve"> 45</w:t>
        </w:r>
      </w:hyperlink>
      <w:r w:rsidR="006F7BC6" w:rsidRPr="0018386D">
        <w:t xml:space="preserve"> </w:t>
      </w:r>
      <w:r w:rsidR="007D475D" w:rsidRPr="0018386D">
        <w:t xml:space="preserve">to </w:t>
      </w:r>
      <w:hyperlink w:anchor="Table53" w:history="1">
        <w:r w:rsidR="006F7BC6" w:rsidRPr="0018386D">
          <w:rPr>
            <w:rStyle w:val="Hyperlink"/>
          </w:rPr>
          <w:t>53</w:t>
        </w:r>
      </w:hyperlink>
    </w:p>
    <w:p w14:paraId="43B21B0F" w14:textId="6176C88B" w:rsidR="006E187B" w:rsidRPr="0018386D" w:rsidRDefault="00405B35" w:rsidP="00DD3106">
      <w:pPr>
        <w:pStyle w:val="BodyText"/>
      </w:pPr>
      <w:r w:rsidRPr="0018386D">
        <w:lastRenderedPageBreak/>
        <w:t xml:space="preserve">For </w:t>
      </w:r>
      <w:r w:rsidR="007D475D" w:rsidRPr="0018386D">
        <w:t xml:space="preserve">emissions from </w:t>
      </w:r>
      <w:r w:rsidRPr="0018386D">
        <w:t>freight</w:t>
      </w:r>
      <w:r w:rsidR="007D475D" w:rsidRPr="0018386D">
        <w:t>ing</w:t>
      </w:r>
      <w:r w:rsidRPr="0018386D">
        <w:t xml:space="preserve"> good</w:t>
      </w:r>
      <w:r w:rsidR="007D475D" w:rsidRPr="0018386D">
        <w:t>s</w:t>
      </w:r>
      <w:r w:rsidRPr="0018386D">
        <w:t xml:space="preserve">, users need to know the weight in tonnes of the goods freighted as well as the </w:t>
      </w:r>
      <w:r w:rsidR="005C184D" w:rsidRPr="0018386D">
        <w:t>kilometres</w:t>
      </w:r>
      <w:r w:rsidRPr="0018386D">
        <w:t xml:space="preserve"> travelled. These two numbers multiplied together is the </w:t>
      </w:r>
      <w:proofErr w:type="spellStart"/>
      <w:r w:rsidR="0081566C" w:rsidRPr="0018386D">
        <w:t>t</w:t>
      </w:r>
      <w:r w:rsidRPr="0018386D">
        <w:t>km</w:t>
      </w:r>
      <w:proofErr w:type="spellEnd"/>
      <w:r w:rsidRPr="0018386D">
        <w:t>.</w:t>
      </w:r>
      <w:r w:rsidR="008D13EB" w:rsidRPr="0018386D">
        <w:t> </w:t>
      </w:r>
      <w:r w:rsidR="007D475D" w:rsidRPr="0018386D">
        <w:t>Multiply t</w:t>
      </w:r>
      <w:r w:rsidRPr="0018386D">
        <w:t xml:space="preserve">he </w:t>
      </w:r>
      <w:proofErr w:type="spellStart"/>
      <w:r w:rsidRPr="0018386D">
        <w:t>tkm</w:t>
      </w:r>
      <w:proofErr w:type="spellEnd"/>
      <w:r w:rsidRPr="0018386D">
        <w:t xml:space="preserve"> by the emission factors</w:t>
      </w:r>
      <w:r w:rsidR="009F1DC5" w:rsidRPr="0018386D">
        <w:t xml:space="preserve"> in</w:t>
      </w:r>
      <w:r w:rsidR="00F22210" w:rsidRPr="0018386D">
        <w:t xml:space="preserve"> </w:t>
      </w:r>
      <w:hyperlink w:anchor="Table53" w:history="1">
        <w:r w:rsidR="003A1C85" w:rsidRPr="0018386D">
          <w:rPr>
            <w:rStyle w:val="Hyperlink"/>
          </w:rPr>
          <w:t>table 53</w:t>
        </w:r>
      </w:hyperlink>
      <w:r w:rsidRPr="0018386D">
        <w:t>.</w:t>
      </w:r>
      <w:r w:rsidR="006E187B" w:rsidRPr="0018386D">
        <w:t xml:space="preserve"> </w:t>
      </w:r>
      <w:r w:rsidR="007D475D" w:rsidRPr="0018386D">
        <w:t xml:space="preserve">Applying the equation </w:t>
      </w:r>
      <w:r w:rsidR="00E71782" w:rsidRPr="0018386D">
        <w:t>E</w:t>
      </w:r>
      <w:r w:rsidR="00A555D9" w:rsidRPr="0018386D">
        <w:t xml:space="preserve"> </w:t>
      </w:r>
      <w:r w:rsidR="00E71782" w:rsidRPr="0018386D">
        <w:t>= Q x F</w:t>
      </w:r>
      <w:r w:rsidR="0083579E" w:rsidRPr="0018386D">
        <w:t xml:space="preserve"> </w:t>
      </w:r>
      <w:r w:rsidR="00E71782" w:rsidRPr="0018386D">
        <w:t>(</w:t>
      </w:r>
      <w:hyperlink w:anchor="_How_to_quantify">
        <w:r w:rsidR="75C2ACA0" w:rsidRPr="0018386D">
          <w:rPr>
            <w:rStyle w:val="Hyperlink"/>
          </w:rPr>
          <w:t>section 2</w:t>
        </w:r>
      </w:hyperlink>
      <w:r w:rsidR="1BD20776" w:rsidRPr="0018386D">
        <w:rPr>
          <w:rStyle w:val="Hyperlink"/>
          <w:color w:val="auto"/>
        </w:rPr>
        <w:t>)</w:t>
      </w:r>
      <w:r w:rsidR="5CDD7319" w:rsidRPr="0018386D">
        <w:t>, this</w:t>
      </w:r>
      <w:r w:rsidR="75C2ACA0" w:rsidRPr="0018386D">
        <w:t> </w:t>
      </w:r>
      <w:r w:rsidR="5CDD7319" w:rsidRPr="0018386D">
        <w:t>means</w:t>
      </w:r>
      <w:r w:rsidR="1E9CAB83" w:rsidRPr="0018386D">
        <w:t>:</w:t>
      </w:r>
    </w:p>
    <w:p w14:paraId="720AB925" w14:textId="26C584AC" w:rsidR="00E71782" w:rsidRPr="0018386D" w:rsidRDefault="00E71782"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22C4E1EC" w14:textId="5AFB05E1" w:rsidR="006E187B" w:rsidRPr="0018386D" w:rsidRDefault="00C23F2D" w:rsidP="00DD3106">
      <w:pPr>
        <w:pStyle w:val="BodyText"/>
        <w:tabs>
          <w:tab w:val="left" w:pos="680"/>
          <w:tab w:val="left" w:pos="1134"/>
        </w:tabs>
        <w:contextualSpacing/>
      </w:pPr>
      <w:r w:rsidRPr="0018386D">
        <w:t>Q</w:t>
      </w:r>
      <w:r w:rsidRPr="0018386D">
        <w:tab/>
      </w:r>
      <w:r w:rsidR="006E187B" w:rsidRPr="0018386D">
        <w:t>=</w:t>
      </w:r>
      <w:r w:rsidRPr="0018386D">
        <w:tab/>
      </w:r>
      <w:r w:rsidR="006E187B" w:rsidRPr="0018386D">
        <w:t xml:space="preserve">tonne × </w:t>
      </w:r>
      <w:r w:rsidR="00A625ED" w:rsidRPr="0018386D">
        <w:t>kilometres travelled</w:t>
      </w:r>
      <w:r w:rsidR="00306679" w:rsidRPr="0018386D">
        <w:t xml:space="preserve"> one way</w:t>
      </w:r>
    </w:p>
    <w:p w14:paraId="240CB97A" w14:textId="1321B869" w:rsidR="00EF0D1A" w:rsidRPr="0018386D" w:rsidRDefault="00C23F2D" w:rsidP="00DD3106">
      <w:pPr>
        <w:pStyle w:val="BodyText"/>
        <w:tabs>
          <w:tab w:val="left" w:pos="680"/>
          <w:tab w:val="left" w:pos="1134"/>
        </w:tabs>
        <w:spacing w:after="240"/>
        <w:contextualSpacing/>
      </w:pPr>
      <w:r w:rsidRPr="0018386D">
        <w:t>F</w:t>
      </w:r>
      <w:r w:rsidRPr="0018386D">
        <w:tab/>
        <w:t>=</w:t>
      </w:r>
      <w:r w:rsidRPr="0018386D">
        <w:tab/>
      </w:r>
      <w:r w:rsidR="006E187B" w:rsidRPr="0018386D">
        <w:t>appropriate emission factors from</w:t>
      </w:r>
      <w:r w:rsidR="00064006" w:rsidRPr="0018386D">
        <w:t xml:space="preserve"> </w:t>
      </w:r>
      <w:hyperlink w:anchor="Table53" w:history="1">
        <w:r w:rsidR="00F5281A" w:rsidRPr="0018386D">
          <w:rPr>
            <w:rStyle w:val="Hyperlink"/>
          </w:rPr>
          <w:t xml:space="preserve">table </w:t>
        </w:r>
        <w:r w:rsidR="000B18B0" w:rsidRPr="0018386D">
          <w:rPr>
            <w:rStyle w:val="Hyperlink"/>
          </w:rPr>
          <w:t>53</w:t>
        </w:r>
      </w:hyperlink>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18"/>
      </w:tblGrid>
      <w:tr w:rsidR="00A51FB7" w:rsidRPr="0018386D" w:rsidDel="00D5390D" w14:paraId="1056A75A" w14:textId="77777777" w:rsidTr="008E713C">
        <w:tc>
          <w:tcPr>
            <w:tcW w:w="8618" w:type="dxa"/>
            <w:tcBorders>
              <w:top w:val="single" w:sz="4" w:space="0" w:color="0F7B7D"/>
              <w:left w:val="single" w:sz="4" w:space="0" w:color="0F7B7D"/>
              <w:bottom w:val="nil"/>
              <w:right w:val="single" w:sz="4" w:space="0" w:color="0F7B7D"/>
            </w:tcBorders>
            <w:shd w:val="clear" w:color="auto" w:fill="0F7B7D"/>
            <w:vAlign w:val="center"/>
          </w:tcPr>
          <w:p w14:paraId="4D7804A2" w14:textId="7ADC2090" w:rsidR="004D150E" w:rsidRPr="0018386D" w:rsidDel="00D5390D" w:rsidRDefault="0047779A" w:rsidP="00DD3106">
            <w:pPr>
              <w:pStyle w:val="Casestudyheading"/>
            </w:pPr>
            <w:r w:rsidRPr="0018386D">
              <w:t xml:space="preserve">Road freight: </w:t>
            </w:r>
            <w:r w:rsidR="004D150E" w:rsidRPr="0018386D">
              <w:t>Example Calculation</w:t>
            </w:r>
          </w:p>
        </w:tc>
      </w:tr>
      <w:tr w:rsidR="00A51FB7" w:rsidRPr="0018386D" w14:paraId="7113150F" w14:textId="77777777" w:rsidTr="008E713C">
        <w:trPr>
          <w:trHeight w:val="2248"/>
        </w:trPr>
        <w:tc>
          <w:tcPr>
            <w:tcW w:w="8618" w:type="dxa"/>
            <w:tcBorders>
              <w:top w:val="nil"/>
              <w:left w:val="single" w:sz="4" w:space="0" w:color="D5EBE8" w:themeColor="accent3"/>
              <w:bottom w:val="nil"/>
              <w:right w:val="single" w:sz="4" w:space="0" w:color="D5EBE8" w:themeColor="accent3"/>
            </w:tcBorders>
            <w:shd w:val="clear" w:color="auto" w:fill="D5EBE8" w:themeFill="accent3"/>
          </w:tcPr>
          <w:p w14:paraId="132C8D92" w14:textId="59BCE6EF" w:rsidR="004D150E" w:rsidRPr="0018386D" w:rsidRDefault="004D150E" w:rsidP="00DD3106">
            <w:pPr>
              <w:pStyle w:val="Boxtext"/>
              <w:spacing w:after="80"/>
            </w:pPr>
            <w:r w:rsidRPr="0018386D">
              <w:t xml:space="preserve">During the reporting period, an organisation moves 10 tonnes </w:t>
            </w:r>
            <w:r w:rsidR="00FA2670" w:rsidRPr="0018386D">
              <w:t xml:space="preserve">of goods </w:t>
            </w:r>
            <w:r w:rsidRPr="0018386D">
              <w:t xml:space="preserve">by truck 100 km. They also hire a van (a light commercial vehicle) with a two-litre petrol engine, manufactured in 2012. This is used to drive 800 km. The weight of the goods </w:t>
            </w:r>
            <w:r w:rsidR="00FA2670" w:rsidRPr="0018386D">
              <w:t xml:space="preserve">moved by van </w:t>
            </w:r>
            <w:r w:rsidRPr="0018386D">
              <w:t>is unknown.</w:t>
            </w:r>
          </w:p>
          <w:p w14:paraId="7E4E7BAE" w14:textId="43B51355" w:rsidR="004D150E" w:rsidRPr="0018386D" w:rsidRDefault="004D150E" w:rsidP="00DD3106">
            <w:pPr>
              <w:pStyle w:val="Boxtext"/>
              <w:spacing w:after="80"/>
            </w:pPr>
            <w:r w:rsidRPr="0018386D">
              <w:t>For the 10 tonnes moved by truck:</w:t>
            </w:r>
          </w:p>
          <w:p w14:paraId="268B85D3" w14:textId="20638786" w:rsidR="004D150E" w:rsidRPr="0018386D" w:rsidRDefault="004D150E" w:rsidP="00DD3106">
            <w:pPr>
              <w:pStyle w:val="Boxtext"/>
              <w:tabs>
                <w:tab w:val="left" w:pos="2881"/>
                <w:tab w:val="left" w:pos="4681"/>
              </w:tabs>
              <w:spacing w:before="20" w:after="20"/>
              <w:ind w:left="851"/>
            </w:pPr>
            <w:r w:rsidRPr="0018386D">
              <w:t>CO</w:t>
            </w:r>
            <w:r w:rsidRPr="0018386D">
              <w:rPr>
                <w:vertAlign w:val="subscript"/>
              </w:rPr>
              <w:t>2</w:t>
            </w:r>
            <w:r w:rsidRPr="0018386D">
              <w:t xml:space="preserve"> emissions </w:t>
            </w:r>
            <w:r w:rsidRPr="0018386D">
              <w:tab/>
              <w:t xml:space="preserve">= 10 </w:t>
            </w:r>
            <w:r w:rsidR="002749F4" w:rsidRPr="0018386D">
              <w:t>×</w:t>
            </w:r>
            <w:r w:rsidRPr="0018386D">
              <w:t xml:space="preserve"> 100 × 0.13</w:t>
            </w:r>
            <w:r w:rsidR="00B8484D" w:rsidRPr="0018386D">
              <w:t>3</w:t>
            </w:r>
            <w:r w:rsidR="002749F4" w:rsidRPr="0018386D">
              <w:tab/>
            </w:r>
            <w:r w:rsidR="005A7577" w:rsidRPr="0018386D">
              <w:t xml:space="preserve">= </w:t>
            </w:r>
            <w:r w:rsidR="00A242E4" w:rsidRPr="0018386D">
              <w:t>133</w:t>
            </w:r>
            <w:r w:rsidRPr="0018386D">
              <w:t xml:space="preserve"> kg CO</w:t>
            </w:r>
            <w:r w:rsidRPr="0018386D">
              <w:rPr>
                <w:vertAlign w:val="subscript"/>
              </w:rPr>
              <w:t>2</w:t>
            </w:r>
          </w:p>
          <w:p w14:paraId="5199ABBE" w14:textId="5EA50029" w:rsidR="004D150E" w:rsidRPr="0018386D" w:rsidRDefault="004D150E" w:rsidP="00DD3106">
            <w:pPr>
              <w:pStyle w:val="Boxtext"/>
              <w:tabs>
                <w:tab w:val="left" w:pos="2881"/>
                <w:tab w:val="left" w:pos="4681"/>
              </w:tabs>
              <w:spacing w:before="20" w:after="20"/>
              <w:ind w:left="851"/>
            </w:pPr>
            <w:r w:rsidRPr="0018386D">
              <w:t>CH</w:t>
            </w:r>
            <w:r w:rsidRPr="0018386D">
              <w:rPr>
                <w:vertAlign w:val="subscript"/>
              </w:rPr>
              <w:t>4</w:t>
            </w:r>
            <w:r w:rsidRPr="0018386D">
              <w:t xml:space="preserve"> emissions </w:t>
            </w:r>
            <w:r w:rsidR="002749F4" w:rsidRPr="0018386D">
              <w:tab/>
            </w:r>
            <w:r w:rsidRPr="0018386D">
              <w:t>= 10 × 100 × 0.</w:t>
            </w:r>
            <w:r w:rsidR="005958F5" w:rsidRPr="0018386D">
              <w:t>000</w:t>
            </w:r>
            <w:r w:rsidR="00AA7D70" w:rsidRPr="0018386D">
              <w:t>2</w:t>
            </w:r>
            <w:r w:rsidR="002749F4" w:rsidRPr="0018386D">
              <w:tab/>
            </w:r>
            <w:r w:rsidR="005A7577" w:rsidRPr="0018386D">
              <w:t>= 0.</w:t>
            </w:r>
            <w:r w:rsidR="00A82BA3" w:rsidRPr="0018386D">
              <w:t>2</w:t>
            </w:r>
            <w:r w:rsidR="005958F5" w:rsidRPr="0018386D">
              <w:t xml:space="preserve"> </w:t>
            </w:r>
            <w:r w:rsidRPr="0018386D">
              <w:t>kg CO</w:t>
            </w:r>
            <w:r w:rsidRPr="0018386D">
              <w:rPr>
                <w:vertAlign w:val="subscript"/>
              </w:rPr>
              <w:t>2</w:t>
            </w:r>
            <w:r w:rsidRPr="0018386D">
              <w:t xml:space="preserve">-e </w:t>
            </w:r>
          </w:p>
          <w:p w14:paraId="0F5E8BCA" w14:textId="0FAC4F31" w:rsidR="004D150E" w:rsidRPr="0018386D" w:rsidRDefault="004D150E" w:rsidP="00DD3106">
            <w:pPr>
              <w:pStyle w:val="Boxtext"/>
              <w:tabs>
                <w:tab w:val="left" w:pos="2881"/>
                <w:tab w:val="left" w:pos="4681"/>
              </w:tabs>
              <w:spacing w:before="20" w:after="20"/>
              <w:ind w:left="851"/>
            </w:pPr>
            <w:r w:rsidRPr="0018386D">
              <w:t>N</w:t>
            </w:r>
            <w:r w:rsidRPr="0018386D">
              <w:rPr>
                <w:vertAlign w:val="subscript"/>
              </w:rPr>
              <w:t>2</w:t>
            </w:r>
            <w:r w:rsidRPr="0018386D">
              <w:t>O emissions</w:t>
            </w:r>
            <w:r w:rsidRPr="0018386D">
              <w:tab/>
              <w:t xml:space="preserve">= 10 × 100 </w:t>
            </w:r>
            <w:r w:rsidR="002749F4" w:rsidRPr="0018386D">
              <w:t>×</w:t>
            </w:r>
            <w:r w:rsidRPr="0018386D">
              <w:t xml:space="preserve"> 0.002</w:t>
            </w:r>
            <w:r w:rsidR="00A67103" w:rsidRPr="0018386D">
              <w:t>1</w:t>
            </w:r>
            <w:r w:rsidR="00361290" w:rsidRPr="0018386D">
              <w:t>2</w:t>
            </w:r>
            <w:r w:rsidR="002749F4" w:rsidRPr="0018386D">
              <w:tab/>
            </w:r>
            <w:r w:rsidR="005A7577" w:rsidRPr="0018386D">
              <w:t>= 2</w:t>
            </w:r>
            <w:r w:rsidR="00C83883" w:rsidRPr="0018386D">
              <w:t>.1</w:t>
            </w:r>
            <w:r w:rsidR="0069473F" w:rsidRPr="0018386D">
              <w:t>2</w:t>
            </w:r>
            <w:r w:rsidRPr="0018386D">
              <w:t xml:space="preserve"> kg CO</w:t>
            </w:r>
            <w:r w:rsidRPr="0018386D">
              <w:rPr>
                <w:vertAlign w:val="subscript"/>
              </w:rPr>
              <w:t>2</w:t>
            </w:r>
            <w:r w:rsidRPr="0018386D">
              <w:t xml:space="preserve">-e </w:t>
            </w:r>
          </w:p>
          <w:p w14:paraId="29926AAC" w14:textId="3B736E52" w:rsidR="00D9313E" w:rsidRPr="0018386D" w:rsidRDefault="004D150E" w:rsidP="00DD3106">
            <w:pPr>
              <w:pStyle w:val="Boxtext"/>
              <w:tabs>
                <w:tab w:val="left" w:pos="2881"/>
                <w:tab w:val="left" w:pos="4681"/>
              </w:tabs>
              <w:spacing w:before="20" w:after="80"/>
              <w:ind w:left="851"/>
            </w:pPr>
            <w:r w:rsidRPr="0018386D">
              <w:t>Total CO</w:t>
            </w:r>
            <w:r w:rsidRPr="0018386D">
              <w:rPr>
                <w:vertAlign w:val="subscript"/>
              </w:rPr>
              <w:t>2</w:t>
            </w:r>
            <w:r w:rsidRPr="0018386D">
              <w:t>-e emissions</w:t>
            </w:r>
            <w:r w:rsidRPr="0018386D">
              <w:tab/>
              <w:t xml:space="preserve">= 10 × 100 </w:t>
            </w:r>
            <w:r w:rsidR="002749F4" w:rsidRPr="0018386D">
              <w:t>×</w:t>
            </w:r>
            <w:r w:rsidRPr="0018386D">
              <w:t xml:space="preserve"> 0.13</w:t>
            </w:r>
            <w:r w:rsidR="006B3724" w:rsidRPr="0018386D">
              <w:t>5</w:t>
            </w:r>
            <w:r w:rsidR="002749F4" w:rsidRPr="0018386D">
              <w:tab/>
            </w:r>
            <w:r w:rsidR="005A7577" w:rsidRPr="0018386D">
              <w:t>= 13</w:t>
            </w:r>
            <w:r w:rsidR="00F70216" w:rsidRPr="0018386D">
              <w:t>5</w:t>
            </w:r>
            <w:r w:rsidRPr="0018386D">
              <w:t xml:space="preserve"> kg CO</w:t>
            </w:r>
            <w:r w:rsidRPr="0018386D">
              <w:rPr>
                <w:vertAlign w:val="subscript"/>
              </w:rPr>
              <w:t>2</w:t>
            </w:r>
            <w:r w:rsidRPr="0018386D">
              <w:t xml:space="preserve">-e </w:t>
            </w:r>
          </w:p>
        </w:tc>
      </w:tr>
      <w:tr w:rsidR="00A51FB7" w:rsidRPr="0018386D" w14:paraId="2B3EB36E" w14:textId="77777777" w:rsidTr="008E713C">
        <w:trPr>
          <w:trHeight w:val="712"/>
        </w:trPr>
        <w:tc>
          <w:tcPr>
            <w:tcW w:w="8618"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7049746" w14:textId="4F2DEEAC" w:rsidR="00F5281A" w:rsidRPr="0018386D" w:rsidRDefault="00F5281A" w:rsidP="00DD3106">
            <w:pPr>
              <w:pStyle w:val="Boxtext"/>
              <w:spacing w:after="80"/>
              <w:rPr>
                <w:spacing w:val="-2"/>
              </w:rPr>
            </w:pPr>
            <w:r w:rsidRPr="0018386D">
              <w:rPr>
                <w:spacing w:val="-2"/>
              </w:rPr>
              <w:t>For the hired van, use the emission factors for the 2010–2015 fleet, petrol 1600-2000 cc. (Note: if the quantity of fuel used is known, users can more accurately calculate emissions using the litres of fuel used rather than distance)</w:t>
            </w:r>
            <w:r w:rsidR="00CD1482" w:rsidRPr="0018386D">
              <w:rPr>
                <w:spacing w:val="-2"/>
              </w:rPr>
              <w:t>.</w:t>
            </w:r>
            <w:r w:rsidRPr="0018386D">
              <w:rPr>
                <w:spacing w:val="-2"/>
              </w:rPr>
              <w:t xml:space="preserve"> In this example the fuel usage is unknown, so the organisation applies the emission factors for km travelled to calculate the total CO</w:t>
            </w:r>
            <w:r w:rsidRPr="0018386D">
              <w:rPr>
                <w:spacing w:val="-2"/>
                <w:vertAlign w:val="subscript"/>
              </w:rPr>
              <w:t>2</w:t>
            </w:r>
            <w:r w:rsidRPr="0018386D">
              <w:rPr>
                <w:spacing w:val="-2"/>
              </w:rPr>
              <w:t>-e emissions.</w:t>
            </w:r>
          </w:p>
          <w:p w14:paraId="762C0F20" w14:textId="2672A302" w:rsidR="00F5281A" w:rsidRPr="0018386D" w:rsidRDefault="00F5281A" w:rsidP="00DD3106">
            <w:pPr>
              <w:pStyle w:val="Boxtext"/>
              <w:spacing w:after="80"/>
            </w:pPr>
            <w:r w:rsidRPr="0018386D">
              <w:t>For the goods moved by van:</w:t>
            </w:r>
          </w:p>
          <w:p w14:paraId="014A2D32" w14:textId="3763B21B" w:rsidR="00361052" w:rsidRPr="0018386D" w:rsidRDefault="00361052" w:rsidP="00DD3106">
            <w:pPr>
              <w:pStyle w:val="Boxtext"/>
              <w:tabs>
                <w:tab w:val="left" w:pos="2881"/>
                <w:tab w:val="left" w:pos="4681"/>
              </w:tabs>
              <w:spacing w:before="20" w:after="20"/>
              <w:ind w:left="851"/>
            </w:pPr>
            <w:r w:rsidRPr="0018386D">
              <w:t>CO</w:t>
            </w:r>
            <w:r w:rsidRPr="0018386D">
              <w:rPr>
                <w:vertAlign w:val="subscript"/>
              </w:rPr>
              <w:t>2</w:t>
            </w:r>
            <w:r w:rsidRPr="0018386D">
              <w:t xml:space="preserve"> emissions </w:t>
            </w:r>
            <w:r w:rsidRPr="0018386D">
              <w:tab/>
              <w:t>= 800 × 0.</w:t>
            </w:r>
            <w:r w:rsidR="00B43042" w:rsidRPr="0018386D">
              <w:t>271</w:t>
            </w:r>
            <w:r w:rsidRPr="0018386D">
              <w:t xml:space="preserve"> </w:t>
            </w:r>
            <w:r w:rsidRPr="0018386D">
              <w:tab/>
              <w:t xml:space="preserve">= </w:t>
            </w:r>
            <w:r w:rsidR="00A13913" w:rsidRPr="0018386D">
              <w:t>216.8</w:t>
            </w:r>
            <w:r w:rsidRPr="0018386D">
              <w:t xml:space="preserve"> kg CO</w:t>
            </w:r>
            <w:r w:rsidRPr="0018386D">
              <w:rPr>
                <w:vertAlign w:val="subscript"/>
              </w:rPr>
              <w:t>2</w:t>
            </w:r>
          </w:p>
          <w:p w14:paraId="15B4821A" w14:textId="6AF37FA0" w:rsidR="00361052" w:rsidRPr="0018386D" w:rsidRDefault="00361052" w:rsidP="00DD3106">
            <w:pPr>
              <w:pStyle w:val="Boxtext"/>
              <w:tabs>
                <w:tab w:val="left" w:pos="2881"/>
                <w:tab w:val="left" w:pos="4681"/>
              </w:tabs>
              <w:spacing w:before="20" w:after="20"/>
              <w:ind w:left="851"/>
            </w:pPr>
            <w:r w:rsidRPr="0018386D">
              <w:t>CH</w:t>
            </w:r>
            <w:r w:rsidRPr="0018386D">
              <w:rPr>
                <w:vertAlign w:val="subscript"/>
              </w:rPr>
              <w:t>4</w:t>
            </w:r>
            <w:r w:rsidRPr="0018386D">
              <w:t xml:space="preserve"> emissions </w:t>
            </w:r>
            <w:r w:rsidRPr="0018386D">
              <w:tab/>
              <w:t>= 800 × 0.</w:t>
            </w:r>
            <w:r w:rsidR="00BC4D37" w:rsidRPr="0018386D">
              <w:t>00356</w:t>
            </w:r>
            <w:r w:rsidRPr="0018386D">
              <w:tab/>
              <w:t>= 2.</w:t>
            </w:r>
            <w:r w:rsidR="00A13913" w:rsidRPr="0018386D">
              <w:t>848</w:t>
            </w:r>
            <w:r w:rsidRPr="0018386D">
              <w:t xml:space="preserve"> kg CO</w:t>
            </w:r>
            <w:r w:rsidRPr="0018386D">
              <w:rPr>
                <w:vertAlign w:val="subscript"/>
              </w:rPr>
              <w:t>2</w:t>
            </w:r>
            <w:r w:rsidRPr="0018386D">
              <w:t xml:space="preserve">-e </w:t>
            </w:r>
          </w:p>
          <w:p w14:paraId="48EFD5FE" w14:textId="32C66680" w:rsidR="00361052" w:rsidRPr="0018386D" w:rsidRDefault="00361052" w:rsidP="00DD3106">
            <w:pPr>
              <w:pStyle w:val="Boxtext"/>
              <w:tabs>
                <w:tab w:val="left" w:pos="2881"/>
                <w:tab w:val="left" w:pos="4681"/>
              </w:tabs>
              <w:spacing w:before="20" w:after="20"/>
              <w:ind w:left="851"/>
            </w:pPr>
            <w:r w:rsidRPr="0018386D">
              <w:t>N</w:t>
            </w:r>
            <w:r w:rsidRPr="0018386D">
              <w:rPr>
                <w:vertAlign w:val="subscript"/>
              </w:rPr>
              <w:t>2</w:t>
            </w:r>
            <w:r w:rsidRPr="0018386D">
              <w:t>O emissions</w:t>
            </w:r>
            <w:r w:rsidRPr="0018386D">
              <w:tab/>
              <w:t>= 800 × 0.</w:t>
            </w:r>
            <w:r w:rsidR="00A13913" w:rsidRPr="0018386D">
              <w:t>00817</w:t>
            </w:r>
            <w:r w:rsidRPr="0018386D">
              <w:t xml:space="preserve"> </w:t>
            </w:r>
            <w:r w:rsidRPr="0018386D">
              <w:tab/>
              <w:t xml:space="preserve">= </w:t>
            </w:r>
            <w:r w:rsidR="00E2219E" w:rsidRPr="0018386D">
              <w:t>6.536</w:t>
            </w:r>
            <w:r w:rsidRPr="0018386D">
              <w:t xml:space="preserve"> kg CO</w:t>
            </w:r>
            <w:r w:rsidRPr="0018386D">
              <w:rPr>
                <w:vertAlign w:val="subscript"/>
              </w:rPr>
              <w:t>2</w:t>
            </w:r>
            <w:r w:rsidRPr="0018386D">
              <w:t xml:space="preserve">-e </w:t>
            </w:r>
          </w:p>
          <w:p w14:paraId="33F15F9B" w14:textId="6461E246" w:rsidR="00361052" w:rsidRPr="0018386D" w:rsidRDefault="00361052" w:rsidP="00DD3106">
            <w:pPr>
              <w:pStyle w:val="Boxtext"/>
              <w:tabs>
                <w:tab w:val="left" w:pos="2881"/>
                <w:tab w:val="left" w:pos="4681"/>
              </w:tabs>
              <w:spacing w:before="20" w:after="20"/>
              <w:ind w:left="851"/>
            </w:pPr>
            <w:r w:rsidRPr="0018386D">
              <w:t>Total CO</w:t>
            </w:r>
            <w:r w:rsidRPr="0018386D">
              <w:rPr>
                <w:vertAlign w:val="subscript"/>
              </w:rPr>
              <w:t>2</w:t>
            </w:r>
            <w:r w:rsidRPr="0018386D">
              <w:t>-e emissions</w:t>
            </w:r>
            <w:r w:rsidRPr="0018386D">
              <w:tab/>
              <w:t>= 800 × 0.</w:t>
            </w:r>
            <w:r w:rsidR="00A13913" w:rsidRPr="0018386D">
              <w:t>283</w:t>
            </w:r>
            <w:r w:rsidRPr="0018386D">
              <w:tab/>
              <w:t xml:space="preserve">= </w:t>
            </w:r>
            <w:r w:rsidR="00E2219E" w:rsidRPr="0018386D">
              <w:t>226.4</w:t>
            </w:r>
            <w:r w:rsidR="007F4DDF" w:rsidRPr="0018386D">
              <w:t xml:space="preserve"> </w:t>
            </w:r>
            <w:r w:rsidRPr="0018386D">
              <w:t>kg CO</w:t>
            </w:r>
            <w:r w:rsidRPr="0018386D">
              <w:rPr>
                <w:vertAlign w:val="subscript"/>
              </w:rPr>
              <w:t>2</w:t>
            </w:r>
            <w:r w:rsidRPr="0018386D">
              <w:t xml:space="preserve">-e </w:t>
            </w:r>
          </w:p>
          <w:p w14:paraId="4DED95E0" w14:textId="7E062E8A" w:rsidR="00361052" w:rsidRPr="0018386D" w:rsidRDefault="00361052" w:rsidP="00DD3106">
            <w:pPr>
              <w:pStyle w:val="Boxtext"/>
              <w:tabs>
                <w:tab w:val="left" w:pos="2881"/>
                <w:tab w:val="left" w:pos="4681"/>
              </w:tabs>
              <w:spacing w:before="20" w:after="20"/>
              <w:ind w:left="851"/>
            </w:pPr>
            <w:r w:rsidRPr="0018386D">
              <w:t>Total CO</w:t>
            </w:r>
            <w:r w:rsidRPr="0018386D">
              <w:rPr>
                <w:vertAlign w:val="subscript"/>
              </w:rPr>
              <w:t>2</w:t>
            </w:r>
            <w:r w:rsidRPr="0018386D">
              <w:t xml:space="preserve">-e emission from freighted goods = 135 + </w:t>
            </w:r>
            <w:r w:rsidR="009412EC" w:rsidRPr="0018386D">
              <w:t>226.4</w:t>
            </w:r>
            <w:r w:rsidRPr="0018386D">
              <w:t xml:space="preserve"> = 3</w:t>
            </w:r>
            <w:r w:rsidR="009412EC" w:rsidRPr="0018386D">
              <w:t>61.4</w:t>
            </w:r>
            <w:r w:rsidRPr="0018386D">
              <w:t xml:space="preserve"> kg CO</w:t>
            </w:r>
            <w:r w:rsidRPr="0018386D">
              <w:rPr>
                <w:vertAlign w:val="subscript"/>
              </w:rPr>
              <w:t>2</w:t>
            </w:r>
            <w:r w:rsidRPr="0018386D">
              <w:t>-e</w:t>
            </w:r>
          </w:p>
          <w:p w14:paraId="627E8845" w14:textId="4271CFEA" w:rsidR="00F5281A" w:rsidRPr="0018386D" w:rsidRDefault="00F5281A" w:rsidP="00DD3106">
            <w:pPr>
              <w:pStyle w:val="Boxtext"/>
              <w:spacing w:after="160"/>
            </w:pPr>
            <w:r w:rsidRPr="0018386D">
              <w:rPr>
                <w:sz w:val="18"/>
              </w:rPr>
              <w:t>Note: Numbers may not add due to rounding.</w:t>
            </w:r>
          </w:p>
        </w:tc>
      </w:tr>
    </w:tbl>
    <w:p w14:paraId="1E47DE27" w14:textId="65561A6C" w:rsidR="00B36DA6" w:rsidRPr="0018386D" w:rsidRDefault="00B36DA6" w:rsidP="00DD3106">
      <w:pPr>
        <w:pStyle w:val="BodyText"/>
        <w:spacing w:before="240"/>
        <w:rPr>
          <w:b/>
        </w:rPr>
      </w:pPr>
      <w:bookmarkStart w:id="652" w:name="_Toc532904921"/>
      <w:r w:rsidRPr="0018386D">
        <w:rPr>
          <w:rFonts w:cs="Calibri"/>
          <w:shd w:val="clear" w:color="auto" w:fill="FFFFFF"/>
        </w:rPr>
        <w:t>For vehicles that run on electricity, care should be taken not to double-count emissions from electricity use that is already captured from reporting of an organisations on-site electricity consumption</w:t>
      </w:r>
      <w:r w:rsidR="00B92E81" w:rsidRPr="0018386D">
        <w:rPr>
          <w:rFonts w:cs="Calibri"/>
          <w:shd w:val="clear" w:color="auto" w:fill="FFFFFF"/>
        </w:rPr>
        <w:t>.</w:t>
      </w:r>
      <w:r w:rsidRPr="0018386D">
        <w:rPr>
          <w:rStyle w:val="FootnoteReference"/>
          <w:rFonts w:cs="Calibri"/>
          <w:shd w:val="clear" w:color="auto" w:fill="FFFFFF"/>
        </w:rPr>
        <w:footnoteReference w:id="39"/>
      </w:r>
    </w:p>
    <w:p w14:paraId="650928A9" w14:textId="44E19CC4" w:rsidR="00645D01" w:rsidRPr="0018386D" w:rsidRDefault="00645D01" w:rsidP="00DD3106">
      <w:pPr>
        <w:pStyle w:val="Heading3"/>
        <w:numPr>
          <w:ilvl w:val="2"/>
          <w:numId w:val="8"/>
        </w:numPr>
      </w:pPr>
      <w:r w:rsidRPr="0018386D">
        <w:t>Emission factor derivation methodology</w:t>
      </w:r>
      <w:bookmarkEnd w:id="652"/>
    </w:p>
    <w:p w14:paraId="29D559D6" w14:textId="562B38E1" w:rsidR="000008EB" w:rsidRPr="0018386D" w:rsidRDefault="000008EB" w:rsidP="00DD3106">
      <w:pPr>
        <w:pStyle w:val="BodyText"/>
      </w:pPr>
      <w:r w:rsidRPr="0018386D">
        <w:t>The 2021 fleet statistics were taken from the Te Manatū Waka Ministry of Transport Vehicle Fleet Emissions Model</w:t>
      </w:r>
      <w:r w:rsidR="008D6996" w:rsidRPr="0018386D">
        <w:t xml:space="preserve">. This </w:t>
      </w:r>
      <w:r w:rsidRPr="0018386D">
        <w:t>provides energy (fuel and electricity) use per 100 km travelled by</w:t>
      </w:r>
      <w:r w:rsidR="00536278" w:rsidRPr="0018386D">
        <w:t> </w:t>
      </w:r>
      <w:r w:rsidRPr="0018386D">
        <w:t>vehicle.</w:t>
      </w:r>
      <w:r w:rsidR="005F00B3" w:rsidRPr="0018386D">
        <w:t xml:space="preserve"> The litres of fuel (or kWh of electricity) consumed per 100 km are provided in </w:t>
      </w:r>
      <w:hyperlink w:anchor="Table54" w:history="1">
        <w:r w:rsidR="005F00B3" w:rsidRPr="0018386D">
          <w:rPr>
            <w:rStyle w:val="Hyperlink"/>
          </w:rPr>
          <w:t>table</w:t>
        </w:r>
        <w:r w:rsidR="008D6996" w:rsidRPr="0018386D">
          <w:rPr>
            <w:rStyle w:val="Hyperlink"/>
          </w:rPr>
          <w:t>s</w:t>
        </w:r>
        <w:r w:rsidR="00536278" w:rsidRPr="0018386D">
          <w:rPr>
            <w:rStyle w:val="Hyperlink"/>
          </w:rPr>
          <w:t> </w:t>
        </w:r>
        <w:r w:rsidR="005F00B3" w:rsidRPr="0018386D">
          <w:rPr>
            <w:rStyle w:val="Hyperlink"/>
          </w:rPr>
          <w:t>54</w:t>
        </w:r>
      </w:hyperlink>
      <w:r w:rsidR="005F00B3" w:rsidRPr="0018386D">
        <w:t xml:space="preserve"> and </w:t>
      </w:r>
      <w:hyperlink w:anchor="Table55" w:history="1">
        <w:r w:rsidR="005F00B3" w:rsidRPr="0018386D">
          <w:rPr>
            <w:rStyle w:val="Hyperlink"/>
          </w:rPr>
          <w:t>55</w:t>
        </w:r>
      </w:hyperlink>
      <w:r w:rsidR="005F00B3" w:rsidRPr="0018386D">
        <w:t>.</w:t>
      </w:r>
    </w:p>
    <w:p w14:paraId="650928AB" w14:textId="787D7795" w:rsidR="008B2AF1" w:rsidRPr="0018386D" w:rsidRDefault="00EB4389" w:rsidP="00DD3106">
      <w:pPr>
        <w:pStyle w:val="Tableheading"/>
      </w:pPr>
      <w:bookmarkStart w:id="655" w:name="Table54"/>
      <w:bookmarkStart w:id="656" w:name="_Toc111536666"/>
      <w:bookmarkStart w:id="657" w:name="_Toc140048994"/>
      <w:r w:rsidRPr="0018386D">
        <w:lastRenderedPageBreak/>
        <w:t xml:space="preserve">Table </w:t>
      </w:r>
      <w:r w:rsidRPr="0018386D">
        <w:fldChar w:fldCharType="begin"/>
      </w:r>
      <w:r w:rsidRPr="0018386D">
        <w:instrText>SEQ Table \* ARABIC</w:instrText>
      </w:r>
      <w:r w:rsidRPr="0018386D">
        <w:fldChar w:fldCharType="separate"/>
      </w:r>
      <w:r w:rsidR="00061BCE" w:rsidRPr="0018386D">
        <w:t>54</w:t>
      </w:r>
      <w:r w:rsidRPr="0018386D">
        <w:fldChar w:fldCharType="end"/>
      </w:r>
      <w:bookmarkEnd w:id="655"/>
      <w:r w:rsidRPr="0018386D">
        <w:t>:</w:t>
      </w:r>
      <w:r w:rsidRPr="0018386D">
        <w:tab/>
      </w:r>
      <w:r w:rsidR="00F7178D" w:rsidRPr="0018386D">
        <w:t xml:space="preserve">Light commercial vehicles </w:t>
      </w:r>
      <w:r w:rsidR="00836D5A" w:rsidRPr="0018386D">
        <w:t>(</w:t>
      </w:r>
      <w:r w:rsidR="00F7178D" w:rsidRPr="0018386D">
        <w:t>energy consumption per 100</w:t>
      </w:r>
      <w:r w:rsidR="00836D5A" w:rsidRPr="0018386D">
        <w:t xml:space="preserve"> </w:t>
      </w:r>
      <w:r w:rsidR="00F7178D" w:rsidRPr="0018386D">
        <w:t>km</w:t>
      </w:r>
      <w:r w:rsidR="00836D5A" w:rsidRPr="0018386D">
        <w:t>)</w:t>
      </w:r>
      <w:bookmarkEnd w:id="656"/>
      <w:bookmarkEnd w:id="657"/>
    </w:p>
    <w:tbl>
      <w:tblPr>
        <w:tblStyle w:val="LightList-Accent11"/>
        <w:tblW w:w="8505" w:type="dxa"/>
        <w:tblLook w:val="04A0" w:firstRow="1" w:lastRow="0" w:firstColumn="1" w:lastColumn="0" w:noHBand="0" w:noVBand="1"/>
      </w:tblPr>
      <w:tblGrid>
        <w:gridCol w:w="2830"/>
        <w:gridCol w:w="1791"/>
        <w:gridCol w:w="669"/>
        <w:gridCol w:w="1106"/>
        <w:gridCol w:w="1051"/>
        <w:gridCol w:w="1058"/>
      </w:tblGrid>
      <w:tr w:rsidR="00AA04C5" w:rsidRPr="0018386D" w14:paraId="650928B0" w14:textId="77777777" w:rsidTr="005362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shd w:val="clear" w:color="auto" w:fill="1B556B" w:themeFill="text2"/>
            <w:noWrap/>
            <w:vAlign w:val="bottom"/>
            <w:hideMark/>
          </w:tcPr>
          <w:p w14:paraId="650928AC" w14:textId="77777777" w:rsidR="00AA04C5" w:rsidRPr="0018386D" w:rsidRDefault="00AA04C5" w:rsidP="00DD3106">
            <w:pPr>
              <w:pStyle w:val="TableText"/>
              <w:spacing w:before="0" w:after="40"/>
              <w:rPr>
                <w:rFonts w:cs="Calibri"/>
                <w:szCs w:val="18"/>
              </w:rPr>
            </w:pPr>
            <w:r w:rsidRPr="0018386D">
              <w:rPr>
                <w:rFonts w:cs="Calibri"/>
                <w:szCs w:val="18"/>
              </w:rPr>
              <w:t>Emission source</w:t>
            </w:r>
          </w:p>
        </w:tc>
        <w:tc>
          <w:tcPr>
            <w:tcW w:w="0" w:type="auto"/>
            <w:vMerge w:val="restart"/>
            <w:shd w:val="clear" w:color="auto" w:fill="1B556B" w:themeFill="text2"/>
            <w:vAlign w:val="bottom"/>
          </w:tcPr>
          <w:p w14:paraId="6805EF6B" w14:textId="15D02D18" w:rsidR="00AA04C5" w:rsidRPr="0018386D" w:rsidRDefault="00AA04C5" w:rsidP="00DD3106">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Units</w:t>
            </w:r>
          </w:p>
        </w:tc>
        <w:tc>
          <w:tcPr>
            <w:tcW w:w="0" w:type="auto"/>
            <w:gridSpan w:val="3"/>
            <w:shd w:val="clear" w:color="auto" w:fill="1B556B" w:themeFill="text2"/>
            <w:noWrap/>
            <w:vAlign w:val="bottom"/>
            <w:hideMark/>
          </w:tcPr>
          <w:p w14:paraId="650928AF" w14:textId="0869BB16" w:rsidR="00AA04C5" w:rsidRPr="0018386D" w:rsidRDefault="00AA04C5" w:rsidP="00DD3106">
            <w:pPr>
              <w:pStyle w:val="TableText"/>
              <w:spacing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Units of energy consumed per 100 km</w:t>
            </w:r>
          </w:p>
        </w:tc>
      </w:tr>
      <w:tr w:rsidR="0013422C" w:rsidRPr="0018386D" w14:paraId="4EAEA9B3" w14:textId="77777777" w:rsidTr="00C87F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shd w:val="clear" w:color="auto" w:fill="1B556B" w:themeFill="text2"/>
            <w:noWrap/>
            <w:vAlign w:val="bottom"/>
          </w:tcPr>
          <w:p w14:paraId="50DA050B" w14:textId="77777777" w:rsidR="00AA04C5" w:rsidRPr="0018386D" w:rsidRDefault="00AA04C5" w:rsidP="00DD3106">
            <w:pPr>
              <w:pStyle w:val="TableText"/>
              <w:spacing w:before="40" w:after="40"/>
              <w:rPr>
                <w:rFonts w:cs="Calibri"/>
                <w:szCs w:val="18"/>
              </w:rPr>
            </w:pPr>
          </w:p>
        </w:tc>
        <w:tc>
          <w:tcPr>
            <w:tcW w:w="0" w:type="auto"/>
            <w:vMerge/>
            <w:shd w:val="clear" w:color="auto" w:fill="1B556B" w:themeFill="text2"/>
            <w:vAlign w:val="bottom"/>
          </w:tcPr>
          <w:p w14:paraId="57006943" w14:textId="77777777" w:rsidR="00AA04C5" w:rsidRPr="0018386D" w:rsidRDefault="00AA04C5" w:rsidP="00DD3106">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p>
        </w:tc>
        <w:tc>
          <w:tcPr>
            <w:tcW w:w="1106" w:type="dxa"/>
            <w:shd w:val="clear" w:color="auto" w:fill="1B556B" w:themeFill="text2"/>
            <w:noWrap/>
            <w:vAlign w:val="bottom"/>
          </w:tcPr>
          <w:p w14:paraId="45D30941" w14:textId="33B29B4B" w:rsidR="00AA04C5" w:rsidRPr="0018386D" w:rsidRDefault="00AA04C5" w:rsidP="00DD3106">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Pre</w:t>
            </w:r>
            <w:r w:rsidR="0013422C" w:rsidRPr="0018386D">
              <w:rPr>
                <w:rFonts w:cs="Calibri"/>
                <w:szCs w:val="18"/>
              </w:rPr>
              <w:t>-</w:t>
            </w:r>
            <w:r w:rsidRPr="0018386D">
              <w:rPr>
                <w:rFonts w:cs="Calibri"/>
                <w:szCs w:val="18"/>
              </w:rPr>
              <w:t>2010</w:t>
            </w:r>
          </w:p>
        </w:tc>
        <w:tc>
          <w:tcPr>
            <w:tcW w:w="1051" w:type="dxa"/>
            <w:shd w:val="clear" w:color="auto" w:fill="1B556B" w:themeFill="text2"/>
            <w:noWrap/>
            <w:vAlign w:val="bottom"/>
          </w:tcPr>
          <w:p w14:paraId="4C16DB41" w14:textId="22516C78" w:rsidR="00AA04C5" w:rsidRPr="0018386D" w:rsidRDefault="00AA04C5" w:rsidP="00DD3106">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2010</w:t>
            </w:r>
            <w:r w:rsidR="0013422C" w:rsidRPr="0018386D">
              <w:rPr>
                <w:rFonts w:cs="Calibri"/>
                <w:szCs w:val="18"/>
              </w:rPr>
              <w:t>–</w:t>
            </w:r>
            <w:r w:rsidRPr="0018386D">
              <w:rPr>
                <w:rFonts w:cs="Calibri"/>
                <w:szCs w:val="18"/>
              </w:rPr>
              <w:t>2015</w:t>
            </w:r>
          </w:p>
        </w:tc>
        <w:tc>
          <w:tcPr>
            <w:tcW w:w="0" w:type="auto"/>
            <w:tcBorders>
              <w:bottom w:val="single" w:sz="8" w:space="0" w:color="1C556C" w:themeColor="accent1"/>
            </w:tcBorders>
            <w:shd w:val="clear" w:color="auto" w:fill="1B556B" w:themeFill="text2"/>
            <w:noWrap/>
            <w:vAlign w:val="bottom"/>
          </w:tcPr>
          <w:p w14:paraId="23E621E2" w14:textId="1F412787" w:rsidR="00AA04C5" w:rsidRPr="0018386D" w:rsidRDefault="00AA04C5" w:rsidP="00DD3106">
            <w:pPr>
              <w:pStyle w:val="TableText"/>
              <w:spacing w:before="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Post</w:t>
            </w:r>
            <w:r w:rsidR="0013422C" w:rsidRPr="0018386D">
              <w:rPr>
                <w:rFonts w:cs="Calibri"/>
                <w:szCs w:val="18"/>
              </w:rPr>
              <w:t>-</w:t>
            </w:r>
            <w:r w:rsidRPr="0018386D">
              <w:rPr>
                <w:rFonts w:cs="Calibri"/>
                <w:szCs w:val="18"/>
              </w:rPr>
              <w:t>2015</w:t>
            </w:r>
          </w:p>
        </w:tc>
      </w:tr>
      <w:tr w:rsidR="00593AEF" w:rsidRPr="0018386D" w14:paraId="650928B6"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tcPr>
          <w:p w14:paraId="650928B1" w14:textId="77777777" w:rsidR="00593AEF" w:rsidRPr="0018386D" w:rsidRDefault="00593AEF" w:rsidP="00DD3106">
            <w:pPr>
              <w:pStyle w:val="TableText"/>
              <w:spacing w:before="40" w:after="40"/>
              <w:rPr>
                <w:rFonts w:cs="Calibri"/>
                <w:b w:val="0"/>
                <w:szCs w:val="18"/>
              </w:rPr>
            </w:pPr>
            <w:r w:rsidRPr="0018386D">
              <w:rPr>
                <w:rFonts w:cs="Calibri"/>
                <w:b w:val="0"/>
                <w:szCs w:val="18"/>
              </w:rPr>
              <w:t>Petrol</w:t>
            </w:r>
          </w:p>
        </w:tc>
        <w:tc>
          <w:tcPr>
            <w:tcW w:w="1791" w:type="dxa"/>
            <w:noWrap/>
          </w:tcPr>
          <w:p w14:paraId="650928B2"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1F0884E0" w14:textId="7D16F79A"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B3" w14:textId="78F96E88"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8.43</w:t>
            </w:r>
          </w:p>
        </w:tc>
        <w:tc>
          <w:tcPr>
            <w:tcW w:w="1051" w:type="dxa"/>
            <w:shd w:val="clear" w:color="auto" w:fill="auto"/>
            <w:noWrap/>
          </w:tcPr>
          <w:p w14:paraId="650928B4" w14:textId="14125F8E"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7.95</w:t>
            </w:r>
          </w:p>
        </w:tc>
        <w:tc>
          <w:tcPr>
            <w:tcW w:w="0" w:type="auto"/>
            <w:tcBorders>
              <w:right w:val="nil"/>
            </w:tcBorders>
            <w:shd w:val="clear" w:color="auto" w:fill="auto"/>
            <w:noWrap/>
          </w:tcPr>
          <w:p w14:paraId="650928B5" w14:textId="1FE87FB6"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7.48</w:t>
            </w:r>
          </w:p>
        </w:tc>
      </w:tr>
      <w:tr w:rsidR="00593AEF" w:rsidRPr="0018386D" w14:paraId="650928BC"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8B7" w14:textId="77777777" w:rsidR="00593AEF" w:rsidRPr="0018386D" w:rsidRDefault="00593AEF" w:rsidP="00DD3106">
            <w:pPr>
              <w:pStyle w:val="TableText"/>
              <w:spacing w:before="40" w:after="40"/>
              <w:rPr>
                <w:rFonts w:cs="Calibri"/>
                <w:b w:val="0"/>
                <w:szCs w:val="18"/>
              </w:rPr>
            </w:pPr>
          </w:p>
        </w:tc>
        <w:tc>
          <w:tcPr>
            <w:tcW w:w="1791" w:type="dxa"/>
            <w:noWrap/>
          </w:tcPr>
          <w:p w14:paraId="650928B8" w14:textId="35783AA4"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7EC73761" w14:textId="4474EE8D"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B9" w14:textId="606E7107"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9.05</w:t>
            </w:r>
          </w:p>
        </w:tc>
        <w:tc>
          <w:tcPr>
            <w:tcW w:w="1051" w:type="dxa"/>
            <w:shd w:val="clear" w:color="auto" w:fill="auto"/>
            <w:noWrap/>
          </w:tcPr>
          <w:p w14:paraId="650928BA" w14:textId="07F31661"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8.53</w:t>
            </w:r>
          </w:p>
        </w:tc>
        <w:tc>
          <w:tcPr>
            <w:tcW w:w="0" w:type="auto"/>
            <w:tcBorders>
              <w:top w:val="single" w:sz="8" w:space="0" w:color="1C556C" w:themeColor="accent1"/>
              <w:bottom w:val="single" w:sz="8" w:space="0" w:color="1C556C" w:themeColor="accent1"/>
              <w:right w:val="nil"/>
            </w:tcBorders>
            <w:shd w:val="clear" w:color="auto" w:fill="auto"/>
            <w:noWrap/>
          </w:tcPr>
          <w:p w14:paraId="650928BB" w14:textId="13AE2BE2"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8.03</w:t>
            </w:r>
          </w:p>
        </w:tc>
      </w:tr>
      <w:tr w:rsidR="00593AEF" w:rsidRPr="0018386D" w14:paraId="650928C2"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BD" w14:textId="77777777" w:rsidR="00593AEF" w:rsidRPr="0018386D" w:rsidRDefault="00593AEF" w:rsidP="00DD3106">
            <w:pPr>
              <w:pStyle w:val="TableText"/>
              <w:spacing w:before="40" w:after="40"/>
              <w:rPr>
                <w:rFonts w:cs="Calibri"/>
                <w:b w:val="0"/>
                <w:szCs w:val="18"/>
              </w:rPr>
            </w:pPr>
          </w:p>
        </w:tc>
        <w:tc>
          <w:tcPr>
            <w:tcW w:w="1791" w:type="dxa"/>
            <w:noWrap/>
          </w:tcPr>
          <w:p w14:paraId="650928BE" w14:textId="1BD629C3"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2E94162A" w14:textId="54F079C1"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BF" w14:textId="020CDB36"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12.21</w:t>
            </w:r>
          </w:p>
        </w:tc>
        <w:tc>
          <w:tcPr>
            <w:tcW w:w="1051" w:type="dxa"/>
            <w:shd w:val="clear" w:color="auto" w:fill="auto"/>
            <w:noWrap/>
          </w:tcPr>
          <w:p w14:paraId="650928C0" w14:textId="42425107"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11.51</w:t>
            </w:r>
          </w:p>
        </w:tc>
        <w:tc>
          <w:tcPr>
            <w:tcW w:w="0" w:type="auto"/>
            <w:tcBorders>
              <w:right w:val="nil"/>
            </w:tcBorders>
            <w:shd w:val="clear" w:color="auto" w:fill="auto"/>
            <w:noWrap/>
          </w:tcPr>
          <w:p w14:paraId="650928C1" w14:textId="052B4C0C"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10.83</w:t>
            </w:r>
          </w:p>
        </w:tc>
      </w:tr>
      <w:tr w:rsidR="00593AEF" w:rsidRPr="0018386D" w14:paraId="650928C8"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8C3" w14:textId="77777777" w:rsidR="00593AEF" w:rsidRPr="0018386D" w:rsidRDefault="00593AEF" w:rsidP="00DD3106">
            <w:pPr>
              <w:pStyle w:val="TableText"/>
              <w:spacing w:before="40" w:after="40"/>
              <w:rPr>
                <w:rFonts w:cs="Calibri"/>
                <w:b w:val="0"/>
                <w:szCs w:val="18"/>
              </w:rPr>
            </w:pPr>
          </w:p>
        </w:tc>
        <w:tc>
          <w:tcPr>
            <w:tcW w:w="1791" w:type="dxa"/>
            <w:noWrap/>
          </w:tcPr>
          <w:p w14:paraId="650928C4" w14:textId="69110BF3"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185CAF63" w14:textId="287BB57C"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C5" w14:textId="4E044DD5"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12.92</w:t>
            </w:r>
          </w:p>
        </w:tc>
        <w:tc>
          <w:tcPr>
            <w:tcW w:w="1051" w:type="dxa"/>
            <w:shd w:val="clear" w:color="auto" w:fill="auto"/>
            <w:noWrap/>
          </w:tcPr>
          <w:p w14:paraId="650928C6" w14:textId="162AB514"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12.18</w:t>
            </w:r>
          </w:p>
        </w:tc>
        <w:tc>
          <w:tcPr>
            <w:tcW w:w="0" w:type="auto"/>
            <w:tcBorders>
              <w:top w:val="single" w:sz="8" w:space="0" w:color="1C556C" w:themeColor="accent1"/>
              <w:bottom w:val="single" w:sz="8" w:space="0" w:color="1C556C" w:themeColor="accent1"/>
              <w:right w:val="nil"/>
            </w:tcBorders>
            <w:shd w:val="clear" w:color="auto" w:fill="auto"/>
            <w:noWrap/>
          </w:tcPr>
          <w:p w14:paraId="650928C7" w14:textId="7F718BCA"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11.46</w:t>
            </w:r>
          </w:p>
        </w:tc>
      </w:tr>
      <w:tr w:rsidR="00593AEF" w:rsidRPr="0018386D" w14:paraId="650928CE"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C9" w14:textId="77777777" w:rsidR="00593AEF" w:rsidRPr="0018386D" w:rsidRDefault="00593AEF" w:rsidP="00DD3106">
            <w:pPr>
              <w:pStyle w:val="TableText"/>
              <w:spacing w:before="40" w:after="40"/>
              <w:rPr>
                <w:rFonts w:cs="Calibri"/>
                <w:b w:val="0"/>
                <w:szCs w:val="18"/>
              </w:rPr>
            </w:pPr>
          </w:p>
        </w:tc>
        <w:tc>
          <w:tcPr>
            <w:tcW w:w="1791" w:type="dxa"/>
            <w:noWrap/>
          </w:tcPr>
          <w:p w14:paraId="650928CA"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2B4D0E21" w14:textId="60FFA390"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CB" w14:textId="420CC82F"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14.75</w:t>
            </w:r>
          </w:p>
        </w:tc>
        <w:tc>
          <w:tcPr>
            <w:tcW w:w="1051" w:type="dxa"/>
            <w:shd w:val="clear" w:color="auto" w:fill="auto"/>
            <w:noWrap/>
          </w:tcPr>
          <w:p w14:paraId="650928CC" w14:textId="7F687A07"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13.91</w:t>
            </w:r>
          </w:p>
        </w:tc>
        <w:tc>
          <w:tcPr>
            <w:tcW w:w="0" w:type="auto"/>
            <w:tcBorders>
              <w:right w:val="nil"/>
            </w:tcBorders>
            <w:shd w:val="clear" w:color="auto" w:fill="auto"/>
            <w:noWrap/>
          </w:tcPr>
          <w:p w14:paraId="650928CD" w14:textId="661E5F45"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13.08</w:t>
            </w:r>
          </w:p>
        </w:tc>
      </w:tr>
      <w:tr w:rsidR="00593AEF" w:rsidRPr="0018386D" w14:paraId="650928D4"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1C556C" w:themeColor="accent1"/>
              <w:left w:val="nil"/>
              <w:bottom w:val="single" w:sz="8" w:space="0" w:color="1C556C" w:themeColor="accent1"/>
            </w:tcBorders>
          </w:tcPr>
          <w:p w14:paraId="650928CF" w14:textId="77777777" w:rsidR="00593AEF" w:rsidRPr="0018386D" w:rsidRDefault="00593AEF" w:rsidP="00DD3106">
            <w:pPr>
              <w:pStyle w:val="TableText"/>
              <w:spacing w:before="40" w:after="40"/>
              <w:rPr>
                <w:rFonts w:cs="Calibri"/>
                <w:b w:val="0"/>
                <w:szCs w:val="18"/>
              </w:rPr>
            </w:pPr>
            <w:r w:rsidRPr="0018386D">
              <w:rPr>
                <w:rFonts w:cs="Calibri"/>
                <w:b w:val="0"/>
                <w:szCs w:val="18"/>
              </w:rPr>
              <w:t>Diesel</w:t>
            </w:r>
          </w:p>
        </w:tc>
        <w:tc>
          <w:tcPr>
            <w:tcW w:w="1791" w:type="dxa"/>
            <w:noWrap/>
          </w:tcPr>
          <w:p w14:paraId="650928D0" w14:textId="7777777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6887601A" w14:textId="4A32B1F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D1" w14:textId="3639B64E"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8.00</w:t>
            </w:r>
          </w:p>
        </w:tc>
        <w:tc>
          <w:tcPr>
            <w:tcW w:w="1051" w:type="dxa"/>
            <w:shd w:val="clear" w:color="auto" w:fill="auto"/>
            <w:noWrap/>
          </w:tcPr>
          <w:p w14:paraId="650928D2" w14:textId="5F1398D0"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7.37</w:t>
            </w:r>
          </w:p>
        </w:tc>
        <w:tc>
          <w:tcPr>
            <w:tcW w:w="0" w:type="auto"/>
            <w:tcBorders>
              <w:top w:val="single" w:sz="8" w:space="0" w:color="1C556C" w:themeColor="accent1"/>
              <w:bottom w:val="single" w:sz="8" w:space="0" w:color="1C556C" w:themeColor="accent1"/>
              <w:right w:val="nil"/>
            </w:tcBorders>
            <w:shd w:val="clear" w:color="auto" w:fill="auto"/>
            <w:noWrap/>
          </w:tcPr>
          <w:p w14:paraId="650928D3" w14:textId="0DDA5289"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7.00</w:t>
            </w:r>
          </w:p>
        </w:tc>
      </w:tr>
      <w:tr w:rsidR="00593AEF" w:rsidRPr="0018386D" w14:paraId="650928DA"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D5" w14:textId="77777777" w:rsidR="00593AEF" w:rsidRPr="0018386D" w:rsidRDefault="00593AEF" w:rsidP="00DD3106">
            <w:pPr>
              <w:pStyle w:val="TableText"/>
              <w:spacing w:before="40" w:after="40"/>
              <w:rPr>
                <w:rFonts w:cs="Calibri"/>
                <w:b w:val="0"/>
                <w:szCs w:val="18"/>
              </w:rPr>
            </w:pPr>
          </w:p>
        </w:tc>
        <w:tc>
          <w:tcPr>
            <w:tcW w:w="1791" w:type="dxa"/>
            <w:noWrap/>
          </w:tcPr>
          <w:p w14:paraId="650928D6" w14:textId="0B9D05A0"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126C3147" w14:textId="15E224BA"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D7" w14:textId="21ED72EA"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7.70</w:t>
            </w:r>
          </w:p>
        </w:tc>
        <w:tc>
          <w:tcPr>
            <w:tcW w:w="1051" w:type="dxa"/>
            <w:shd w:val="clear" w:color="auto" w:fill="auto"/>
            <w:noWrap/>
          </w:tcPr>
          <w:p w14:paraId="650928D8" w14:textId="2D5E3FCB"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7.09</w:t>
            </w:r>
          </w:p>
        </w:tc>
        <w:tc>
          <w:tcPr>
            <w:tcW w:w="0" w:type="auto"/>
            <w:tcBorders>
              <w:right w:val="nil"/>
            </w:tcBorders>
            <w:shd w:val="clear" w:color="auto" w:fill="auto"/>
            <w:noWrap/>
          </w:tcPr>
          <w:p w14:paraId="650928D9" w14:textId="13C21ED9"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6.74</w:t>
            </w:r>
          </w:p>
        </w:tc>
      </w:tr>
      <w:tr w:rsidR="00593AEF" w:rsidRPr="0018386D" w14:paraId="650928E0"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8DB" w14:textId="77777777" w:rsidR="00593AEF" w:rsidRPr="0018386D" w:rsidRDefault="00593AEF" w:rsidP="00DD3106">
            <w:pPr>
              <w:pStyle w:val="TableText"/>
              <w:spacing w:before="40" w:after="40"/>
              <w:rPr>
                <w:rFonts w:cs="Calibri"/>
                <w:b w:val="0"/>
                <w:szCs w:val="18"/>
              </w:rPr>
            </w:pPr>
          </w:p>
        </w:tc>
        <w:tc>
          <w:tcPr>
            <w:tcW w:w="1791" w:type="dxa"/>
            <w:noWrap/>
          </w:tcPr>
          <w:p w14:paraId="650928DC" w14:textId="192624FB"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522A9F40" w14:textId="1FA7BECD"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DD" w14:textId="676562DC"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10.25</w:t>
            </w:r>
          </w:p>
        </w:tc>
        <w:tc>
          <w:tcPr>
            <w:tcW w:w="1051" w:type="dxa"/>
            <w:shd w:val="clear" w:color="auto" w:fill="auto"/>
            <w:noWrap/>
          </w:tcPr>
          <w:p w14:paraId="650928DE" w14:textId="378E7C2C"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9.44</w:t>
            </w:r>
          </w:p>
        </w:tc>
        <w:tc>
          <w:tcPr>
            <w:tcW w:w="0" w:type="auto"/>
            <w:tcBorders>
              <w:top w:val="single" w:sz="8" w:space="0" w:color="1C556C" w:themeColor="accent1"/>
              <w:bottom w:val="single" w:sz="8" w:space="0" w:color="1C556C" w:themeColor="accent1"/>
              <w:right w:val="nil"/>
            </w:tcBorders>
            <w:shd w:val="clear" w:color="auto" w:fill="auto"/>
            <w:noWrap/>
          </w:tcPr>
          <w:p w14:paraId="650928DF" w14:textId="703E6D30"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8.97</w:t>
            </w:r>
          </w:p>
        </w:tc>
      </w:tr>
      <w:tr w:rsidR="00593AEF" w:rsidRPr="0018386D" w14:paraId="650928E6"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E1" w14:textId="77777777" w:rsidR="00593AEF" w:rsidRPr="0018386D" w:rsidRDefault="00593AEF" w:rsidP="00DD3106">
            <w:pPr>
              <w:pStyle w:val="TableText"/>
              <w:spacing w:before="40" w:after="40"/>
              <w:rPr>
                <w:rFonts w:cs="Calibri"/>
                <w:b w:val="0"/>
                <w:szCs w:val="18"/>
              </w:rPr>
            </w:pPr>
          </w:p>
        </w:tc>
        <w:tc>
          <w:tcPr>
            <w:tcW w:w="1791" w:type="dxa"/>
            <w:noWrap/>
          </w:tcPr>
          <w:p w14:paraId="650928E2" w14:textId="25EFB609"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65B1472D" w14:textId="014F800A"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E3" w14:textId="78274AD0"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10.99</w:t>
            </w:r>
          </w:p>
        </w:tc>
        <w:tc>
          <w:tcPr>
            <w:tcW w:w="1051" w:type="dxa"/>
            <w:shd w:val="clear" w:color="auto" w:fill="auto"/>
            <w:noWrap/>
          </w:tcPr>
          <w:p w14:paraId="650928E4" w14:textId="166DFBB6"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10.13</w:t>
            </w:r>
          </w:p>
        </w:tc>
        <w:tc>
          <w:tcPr>
            <w:tcW w:w="0" w:type="auto"/>
            <w:tcBorders>
              <w:right w:val="nil"/>
            </w:tcBorders>
            <w:shd w:val="clear" w:color="auto" w:fill="auto"/>
            <w:noWrap/>
          </w:tcPr>
          <w:p w14:paraId="650928E5" w14:textId="145E2932"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9.62</w:t>
            </w:r>
          </w:p>
        </w:tc>
      </w:tr>
      <w:tr w:rsidR="00593AEF" w:rsidRPr="0018386D" w14:paraId="650928EC"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8E7" w14:textId="77777777" w:rsidR="00593AEF" w:rsidRPr="0018386D" w:rsidRDefault="00593AEF" w:rsidP="00DD3106">
            <w:pPr>
              <w:pStyle w:val="TableText"/>
              <w:spacing w:before="40" w:after="40"/>
              <w:rPr>
                <w:rFonts w:cs="Calibri"/>
                <w:b w:val="0"/>
                <w:szCs w:val="18"/>
              </w:rPr>
            </w:pPr>
          </w:p>
        </w:tc>
        <w:tc>
          <w:tcPr>
            <w:tcW w:w="1791" w:type="dxa"/>
            <w:noWrap/>
          </w:tcPr>
          <w:p w14:paraId="650928E8" w14:textId="7777777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1068CB8E" w14:textId="61EFB0A2"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E9" w14:textId="7B5F1FDA"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11.13</w:t>
            </w:r>
          </w:p>
        </w:tc>
        <w:tc>
          <w:tcPr>
            <w:tcW w:w="1051" w:type="dxa"/>
            <w:shd w:val="clear" w:color="auto" w:fill="auto"/>
            <w:noWrap/>
          </w:tcPr>
          <w:p w14:paraId="650928EA" w14:textId="0B55F359"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10.25</w:t>
            </w:r>
          </w:p>
        </w:tc>
        <w:tc>
          <w:tcPr>
            <w:tcW w:w="0" w:type="auto"/>
            <w:tcBorders>
              <w:top w:val="single" w:sz="8" w:space="0" w:color="1C556C" w:themeColor="accent1"/>
              <w:bottom w:val="single" w:sz="8" w:space="0" w:color="1C556C" w:themeColor="accent1"/>
              <w:right w:val="nil"/>
            </w:tcBorders>
            <w:shd w:val="clear" w:color="auto" w:fill="auto"/>
            <w:noWrap/>
          </w:tcPr>
          <w:p w14:paraId="650928EB" w14:textId="7B654843"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9.74</w:t>
            </w:r>
          </w:p>
        </w:tc>
      </w:tr>
      <w:tr w:rsidR="00593AEF" w:rsidRPr="0018386D" w14:paraId="650928F2" w14:textId="77777777" w:rsidTr="00C87FF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tcPr>
          <w:p w14:paraId="650928ED" w14:textId="551F8772" w:rsidR="00593AEF" w:rsidRPr="0018386D" w:rsidRDefault="00593AEF" w:rsidP="00DD3106">
            <w:pPr>
              <w:pStyle w:val="TableText"/>
              <w:spacing w:before="40" w:after="40"/>
              <w:rPr>
                <w:rFonts w:cs="Calibri"/>
                <w:b w:val="0"/>
                <w:szCs w:val="18"/>
              </w:rPr>
            </w:pPr>
            <w:r w:rsidRPr="0018386D">
              <w:rPr>
                <w:rFonts w:cs="Calibri"/>
                <w:b w:val="0"/>
                <w:szCs w:val="18"/>
              </w:rPr>
              <w:t>Petrol hybrid</w:t>
            </w:r>
          </w:p>
        </w:tc>
        <w:tc>
          <w:tcPr>
            <w:tcW w:w="1791" w:type="dxa"/>
            <w:noWrap/>
          </w:tcPr>
          <w:p w14:paraId="650928EE"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38A17489" w14:textId="43582F1D"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EF" w14:textId="7792359C"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6.65</w:t>
            </w:r>
          </w:p>
        </w:tc>
        <w:tc>
          <w:tcPr>
            <w:tcW w:w="1051" w:type="dxa"/>
            <w:shd w:val="clear" w:color="auto" w:fill="auto"/>
            <w:noWrap/>
          </w:tcPr>
          <w:p w14:paraId="650928F0" w14:textId="3F1FAADE"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6.27</w:t>
            </w:r>
          </w:p>
        </w:tc>
        <w:tc>
          <w:tcPr>
            <w:tcW w:w="0" w:type="auto"/>
            <w:tcBorders>
              <w:right w:val="nil"/>
            </w:tcBorders>
            <w:shd w:val="clear" w:color="auto" w:fill="auto"/>
            <w:noWrap/>
          </w:tcPr>
          <w:p w14:paraId="650928F1" w14:textId="3CEAD09A"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5.87</w:t>
            </w:r>
          </w:p>
        </w:tc>
      </w:tr>
      <w:tr w:rsidR="00593AEF" w:rsidRPr="0018386D" w14:paraId="650928F8" w14:textId="77777777" w:rsidTr="00C87FF9">
        <w:trPr>
          <w:trHeight w:val="345"/>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8F3" w14:textId="77777777" w:rsidR="00593AEF" w:rsidRPr="0018386D" w:rsidRDefault="00593AEF" w:rsidP="00DD3106">
            <w:pPr>
              <w:pStyle w:val="TableText"/>
              <w:spacing w:before="40" w:after="40"/>
              <w:rPr>
                <w:rFonts w:cs="Calibri"/>
                <w:b w:val="0"/>
                <w:szCs w:val="18"/>
              </w:rPr>
            </w:pPr>
          </w:p>
        </w:tc>
        <w:tc>
          <w:tcPr>
            <w:tcW w:w="1791" w:type="dxa"/>
            <w:noWrap/>
          </w:tcPr>
          <w:p w14:paraId="650928F4" w14:textId="17518880"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1DB11EC3" w14:textId="29143EEF"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F5" w14:textId="2DEE6733"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7.14</w:t>
            </w:r>
          </w:p>
        </w:tc>
        <w:tc>
          <w:tcPr>
            <w:tcW w:w="1051" w:type="dxa"/>
            <w:shd w:val="clear" w:color="auto" w:fill="auto"/>
            <w:noWrap/>
          </w:tcPr>
          <w:p w14:paraId="650928F6" w14:textId="2DF9DB0E"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6.73</w:t>
            </w:r>
          </w:p>
        </w:tc>
        <w:tc>
          <w:tcPr>
            <w:tcW w:w="0" w:type="auto"/>
            <w:tcBorders>
              <w:top w:val="single" w:sz="8" w:space="0" w:color="1C556C" w:themeColor="accent1"/>
              <w:bottom w:val="single" w:sz="8" w:space="0" w:color="1C556C" w:themeColor="accent1"/>
              <w:right w:val="nil"/>
            </w:tcBorders>
            <w:shd w:val="clear" w:color="auto" w:fill="auto"/>
            <w:noWrap/>
          </w:tcPr>
          <w:p w14:paraId="650928F7" w14:textId="65558585"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6.30</w:t>
            </w:r>
          </w:p>
        </w:tc>
      </w:tr>
      <w:tr w:rsidR="00593AEF" w:rsidRPr="0018386D" w14:paraId="650928FE"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hideMark/>
          </w:tcPr>
          <w:p w14:paraId="650928F9" w14:textId="77777777" w:rsidR="00593AEF" w:rsidRPr="0018386D" w:rsidRDefault="00593AEF" w:rsidP="00DD3106">
            <w:pPr>
              <w:pStyle w:val="TableText"/>
              <w:spacing w:before="40" w:after="40"/>
              <w:rPr>
                <w:rFonts w:cs="Calibri"/>
                <w:b w:val="0"/>
                <w:szCs w:val="18"/>
              </w:rPr>
            </w:pPr>
          </w:p>
        </w:tc>
        <w:tc>
          <w:tcPr>
            <w:tcW w:w="1791" w:type="dxa"/>
            <w:noWrap/>
          </w:tcPr>
          <w:p w14:paraId="650928FA" w14:textId="1CF02C90"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2BF34CA9" w14:textId="08BF10AC"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8FB" w14:textId="44EA63B5"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9.64</w:t>
            </w:r>
          </w:p>
        </w:tc>
        <w:tc>
          <w:tcPr>
            <w:tcW w:w="1051" w:type="dxa"/>
            <w:shd w:val="clear" w:color="auto" w:fill="auto"/>
            <w:noWrap/>
          </w:tcPr>
          <w:p w14:paraId="650928FC" w14:textId="6EFFF6F6"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9.08</w:t>
            </w:r>
          </w:p>
        </w:tc>
        <w:tc>
          <w:tcPr>
            <w:tcW w:w="0" w:type="auto"/>
            <w:tcBorders>
              <w:right w:val="nil"/>
            </w:tcBorders>
            <w:shd w:val="clear" w:color="auto" w:fill="auto"/>
            <w:noWrap/>
          </w:tcPr>
          <w:p w14:paraId="650928FD" w14:textId="6CB21DE5"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8.50</w:t>
            </w:r>
          </w:p>
        </w:tc>
      </w:tr>
      <w:tr w:rsidR="00593AEF" w:rsidRPr="0018386D" w14:paraId="65092904"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hideMark/>
          </w:tcPr>
          <w:p w14:paraId="650928FF" w14:textId="77777777" w:rsidR="00593AEF" w:rsidRPr="0018386D" w:rsidRDefault="00593AEF" w:rsidP="00DD3106">
            <w:pPr>
              <w:pStyle w:val="TableText"/>
              <w:spacing w:before="40" w:after="40"/>
              <w:rPr>
                <w:rFonts w:cs="Calibri"/>
                <w:b w:val="0"/>
                <w:szCs w:val="18"/>
              </w:rPr>
            </w:pPr>
          </w:p>
        </w:tc>
        <w:tc>
          <w:tcPr>
            <w:tcW w:w="1791" w:type="dxa"/>
            <w:noWrap/>
          </w:tcPr>
          <w:p w14:paraId="65092900" w14:textId="0831D501"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784ECE42" w14:textId="24EF52A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01" w14:textId="7AC52FBF"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10.20</w:t>
            </w:r>
          </w:p>
        </w:tc>
        <w:tc>
          <w:tcPr>
            <w:tcW w:w="1051" w:type="dxa"/>
            <w:shd w:val="clear" w:color="auto" w:fill="auto"/>
            <w:noWrap/>
          </w:tcPr>
          <w:p w14:paraId="65092902" w14:textId="79C5AEEA"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9.61</w:t>
            </w:r>
          </w:p>
        </w:tc>
        <w:tc>
          <w:tcPr>
            <w:tcW w:w="0" w:type="auto"/>
            <w:tcBorders>
              <w:top w:val="single" w:sz="8" w:space="0" w:color="1C556C" w:themeColor="accent1"/>
              <w:bottom w:val="single" w:sz="8" w:space="0" w:color="1C556C" w:themeColor="accent1"/>
              <w:right w:val="nil"/>
            </w:tcBorders>
            <w:shd w:val="clear" w:color="auto" w:fill="auto"/>
            <w:noWrap/>
          </w:tcPr>
          <w:p w14:paraId="65092903" w14:textId="2FD44304"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8.99</w:t>
            </w:r>
          </w:p>
        </w:tc>
      </w:tr>
      <w:tr w:rsidR="00593AEF" w:rsidRPr="0018386D" w14:paraId="6509290A"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hideMark/>
          </w:tcPr>
          <w:p w14:paraId="65092905" w14:textId="77777777" w:rsidR="00593AEF" w:rsidRPr="0018386D" w:rsidRDefault="00593AEF" w:rsidP="00DD3106">
            <w:pPr>
              <w:pStyle w:val="TableText"/>
              <w:spacing w:before="40" w:after="40"/>
              <w:rPr>
                <w:rFonts w:cs="Calibri"/>
                <w:b w:val="0"/>
                <w:szCs w:val="18"/>
              </w:rPr>
            </w:pPr>
          </w:p>
        </w:tc>
        <w:tc>
          <w:tcPr>
            <w:tcW w:w="1791" w:type="dxa"/>
            <w:noWrap/>
          </w:tcPr>
          <w:p w14:paraId="65092906"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2D3B1395" w14:textId="0C42A50A"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07" w14:textId="7D1BBB9A"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11.64</w:t>
            </w:r>
          </w:p>
        </w:tc>
        <w:tc>
          <w:tcPr>
            <w:tcW w:w="1051" w:type="dxa"/>
            <w:shd w:val="clear" w:color="auto" w:fill="auto"/>
            <w:noWrap/>
          </w:tcPr>
          <w:p w14:paraId="65092908" w14:textId="2BF90A44"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10.97</w:t>
            </w:r>
          </w:p>
        </w:tc>
        <w:tc>
          <w:tcPr>
            <w:tcW w:w="0" w:type="auto"/>
            <w:tcBorders>
              <w:right w:val="nil"/>
            </w:tcBorders>
            <w:shd w:val="clear" w:color="auto" w:fill="auto"/>
            <w:noWrap/>
          </w:tcPr>
          <w:p w14:paraId="65092909" w14:textId="0C0BAE58"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10.27</w:t>
            </w:r>
          </w:p>
        </w:tc>
      </w:tr>
      <w:tr w:rsidR="00593AEF" w:rsidRPr="0018386D" w14:paraId="65092910"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1C556C" w:themeColor="accent1"/>
              <w:left w:val="nil"/>
              <w:bottom w:val="single" w:sz="8" w:space="0" w:color="1C556C" w:themeColor="accent1"/>
            </w:tcBorders>
            <w:hideMark/>
          </w:tcPr>
          <w:p w14:paraId="6509290B" w14:textId="15DB183B" w:rsidR="00593AEF" w:rsidRPr="0018386D" w:rsidRDefault="00593AEF" w:rsidP="00DD3106">
            <w:pPr>
              <w:pStyle w:val="TableText"/>
              <w:spacing w:before="40" w:after="40"/>
              <w:rPr>
                <w:rFonts w:cs="Calibri"/>
                <w:b w:val="0"/>
                <w:szCs w:val="18"/>
              </w:rPr>
            </w:pPr>
            <w:r w:rsidRPr="0018386D">
              <w:rPr>
                <w:rFonts w:cs="Calibri"/>
                <w:b w:val="0"/>
                <w:szCs w:val="18"/>
              </w:rPr>
              <w:t>Diesel hybrid</w:t>
            </w:r>
          </w:p>
        </w:tc>
        <w:tc>
          <w:tcPr>
            <w:tcW w:w="1791" w:type="dxa"/>
            <w:noWrap/>
          </w:tcPr>
          <w:p w14:paraId="6509290C" w14:textId="7777777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79A95DF3" w14:textId="73C23856"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0D" w14:textId="372C1F11"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7.17</w:t>
            </w:r>
          </w:p>
        </w:tc>
        <w:tc>
          <w:tcPr>
            <w:tcW w:w="1051" w:type="dxa"/>
            <w:shd w:val="clear" w:color="auto" w:fill="auto"/>
            <w:noWrap/>
          </w:tcPr>
          <w:p w14:paraId="6509290E" w14:textId="32B09263"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6.61</w:t>
            </w:r>
          </w:p>
        </w:tc>
        <w:tc>
          <w:tcPr>
            <w:tcW w:w="0" w:type="auto"/>
            <w:tcBorders>
              <w:top w:val="single" w:sz="8" w:space="0" w:color="1C556C" w:themeColor="accent1"/>
              <w:bottom w:val="single" w:sz="8" w:space="0" w:color="1C556C" w:themeColor="accent1"/>
              <w:right w:val="nil"/>
            </w:tcBorders>
            <w:shd w:val="clear" w:color="auto" w:fill="auto"/>
            <w:noWrap/>
          </w:tcPr>
          <w:p w14:paraId="6509290F" w14:textId="3AECB72F"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6.30</w:t>
            </w:r>
          </w:p>
        </w:tc>
      </w:tr>
      <w:tr w:rsidR="00593AEF" w:rsidRPr="0018386D" w14:paraId="65092916"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11" w14:textId="77777777" w:rsidR="00593AEF" w:rsidRPr="0018386D" w:rsidRDefault="00593AEF" w:rsidP="00DD3106">
            <w:pPr>
              <w:pStyle w:val="TableText"/>
              <w:spacing w:before="40" w:after="40"/>
              <w:rPr>
                <w:rFonts w:cs="Calibri"/>
                <w:b w:val="0"/>
                <w:szCs w:val="18"/>
              </w:rPr>
            </w:pPr>
          </w:p>
        </w:tc>
        <w:tc>
          <w:tcPr>
            <w:tcW w:w="1791" w:type="dxa"/>
            <w:noWrap/>
          </w:tcPr>
          <w:p w14:paraId="65092912" w14:textId="263C4A09"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462C7384" w14:textId="7CF834EC"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13" w14:textId="71F10B71"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6.90</w:t>
            </w:r>
          </w:p>
        </w:tc>
        <w:tc>
          <w:tcPr>
            <w:tcW w:w="1051" w:type="dxa"/>
            <w:shd w:val="clear" w:color="auto" w:fill="auto"/>
            <w:noWrap/>
          </w:tcPr>
          <w:p w14:paraId="65092914" w14:textId="4750D587"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6.36</w:t>
            </w:r>
          </w:p>
        </w:tc>
        <w:tc>
          <w:tcPr>
            <w:tcW w:w="0" w:type="auto"/>
            <w:tcBorders>
              <w:right w:val="nil"/>
            </w:tcBorders>
            <w:shd w:val="clear" w:color="auto" w:fill="auto"/>
            <w:noWrap/>
          </w:tcPr>
          <w:p w14:paraId="65092915" w14:textId="031C700B"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6.06</w:t>
            </w:r>
          </w:p>
        </w:tc>
      </w:tr>
      <w:tr w:rsidR="00593AEF" w:rsidRPr="0018386D" w14:paraId="6509291C"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17" w14:textId="77777777" w:rsidR="00593AEF" w:rsidRPr="0018386D" w:rsidRDefault="00593AEF" w:rsidP="00DD3106">
            <w:pPr>
              <w:pStyle w:val="TableText"/>
              <w:spacing w:before="40" w:after="40"/>
              <w:rPr>
                <w:rFonts w:cs="Calibri"/>
                <w:b w:val="0"/>
                <w:szCs w:val="18"/>
              </w:rPr>
            </w:pPr>
          </w:p>
        </w:tc>
        <w:tc>
          <w:tcPr>
            <w:tcW w:w="1791" w:type="dxa"/>
            <w:noWrap/>
          </w:tcPr>
          <w:p w14:paraId="65092918" w14:textId="7502FADC"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0296DDFE" w14:textId="59134156"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19" w14:textId="0E5EB1DA"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9.19</w:t>
            </w:r>
          </w:p>
        </w:tc>
        <w:tc>
          <w:tcPr>
            <w:tcW w:w="1051" w:type="dxa"/>
            <w:shd w:val="clear" w:color="auto" w:fill="auto"/>
            <w:noWrap/>
          </w:tcPr>
          <w:p w14:paraId="6509291A" w14:textId="61D9C033"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8.47</w:t>
            </w:r>
          </w:p>
        </w:tc>
        <w:tc>
          <w:tcPr>
            <w:tcW w:w="0" w:type="auto"/>
            <w:tcBorders>
              <w:top w:val="single" w:sz="8" w:space="0" w:color="1C556C" w:themeColor="accent1"/>
              <w:bottom w:val="single" w:sz="8" w:space="0" w:color="1C556C" w:themeColor="accent1"/>
              <w:right w:val="nil"/>
            </w:tcBorders>
            <w:shd w:val="clear" w:color="auto" w:fill="auto"/>
            <w:noWrap/>
          </w:tcPr>
          <w:p w14:paraId="6509291B" w14:textId="79AF53B8"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8.07</w:t>
            </w:r>
          </w:p>
        </w:tc>
      </w:tr>
      <w:tr w:rsidR="00593AEF" w:rsidRPr="0018386D" w14:paraId="65092922"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1D" w14:textId="77777777" w:rsidR="00593AEF" w:rsidRPr="0018386D" w:rsidRDefault="00593AEF" w:rsidP="00DD3106">
            <w:pPr>
              <w:pStyle w:val="TableText"/>
              <w:spacing w:before="40" w:after="40"/>
              <w:rPr>
                <w:rFonts w:cs="Calibri"/>
                <w:b w:val="0"/>
                <w:szCs w:val="18"/>
              </w:rPr>
            </w:pPr>
          </w:p>
        </w:tc>
        <w:tc>
          <w:tcPr>
            <w:tcW w:w="1791" w:type="dxa"/>
            <w:noWrap/>
          </w:tcPr>
          <w:p w14:paraId="6509291E" w14:textId="562BA8F6"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5473590A" w14:textId="52BE66F8"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1F" w14:textId="63FDCD97"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9.85</w:t>
            </w:r>
          </w:p>
        </w:tc>
        <w:tc>
          <w:tcPr>
            <w:tcW w:w="1051" w:type="dxa"/>
            <w:shd w:val="clear" w:color="auto" w:fill="auto"/>
            <w:noWrap/>
          </w:tcPr>
          <w:p w14:paraId="65092920" w14:textId="1AC50D19"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9.08</w:t>
            </w:r>
          </w:p>
        </w:tc>
        <w:tc>
          <w:tcPr>
            <w:tcW w:w="0" w:type="auto"/>
            <w:tcBorders>
              <w:right w:val="nil"/>
            </w:tcBorders>
            <w:shd w:val="clear" w:color="auto" w:fill="auto"/>
            <w:noWrap/>
          </w:tcPr>
          <w:p w14:paraId="65092921" w14:textId="1494397F"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8.65</w:t>
            </w:r>
          </w:p>
        </w:tc>
      </w:tr>
      <w:tr w:rsidR="00593AEF" w:rsidRPr="0018386D" w14:paraId="65092928"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23" w14:textId="77777777" w:rsidR="00593AEF" w:rsidRPr="0018386D" w:rsidRDefault="00593AEF" w:rsidP="00DD3106">
            <w:pPr>
              <w:pStyle w:val="TableText"/>
              <w:spacing w:before="40" w:after="40"/>
              <w:rPr>
                <w:rFonts w:cs="Calibri"/>
                <w:b w:val="0"/>
                <w:szCs w:val="18"/>
              </w:rPr>
            </w:pPr>
          </w:p>
        </w:tc>
        <w:tc>
          <w:tcPr>
            <w:tcW w:w="1791" w:type="dxa"/>
            <w:noWrap/>
          </w:tcPr>
          <w:p w14:paraId="65092924" w14:textId="7777777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72B3BCE1" w14:textId="6D81130E"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25" w14:textId="156E8692"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9.97</w:t>
            </w:r>
          </w:p>
        </w:tc>
        <w:tc>
          <w:tcPr>
            <w:tcW w:w="1051" w:type="dxa"/>
            <w:shd w:val="clear" w:color="auto" w:fill="auto"/>
            <w:noWrap/>
          </w:tcPr>
          <w:p w14:paraId="65092926" w14:textId="4C2D42D0"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9.19</w:t>
            </w:r>
          </w:p>
        </w:tc>
        <w:tc>
          <w:tcPr>
            <w:tcW w:w="0" w:type="auto"/>
            <w:tcBorders>
              <w:top w:val="single" w:sz="8" w:space="0" w:color="1C556C" w:themeColor="accent1"/>
              <w:bottom w:val="single" w:sz="8" w:space="0" w:color="1C556C" w:themeColor="accent1"/>
              <w:right w:val="nil"/>
            </w:tcBorders>
            <w:shd w:val="clear" w:color="auto" w:fill="auto"/>
            <w:noWrap/>
          </w:tcPr>
          <w:p w14:paraId="65092927" w14:textId="7F69131B"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8.76</w:t>
            </w:r>
          </w:p>
        </w:tc>
      </w:tr>
      <w:tr w:rsidR="00593AEF" w:rsidRPr="0018386D" w14:paraId="6509292E"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tcPr>
          <w:p w14:paraId="65092929" w14:textId="422C48FE" w:rsidR="00593AEF" w:rsidRPr="0018386D" w:rsidRDefault="00593AEF" w:rsidP="00DD3106">
            <w:pPr>
              <w:pStyle w:val="TableText"/>
              <w:spacing w:before="40" w:after="40"/>
              <w:rPr>
                <w:rFonts w:cs="Calibri"/>
                <w:b w:val="0"/>
                <w:szCs w:val="18"/>
              </w:rPr>
            </w:pPr>
            <w:r w:rsidRPr="0018386D">
              <w:rPr>
                <w:rFonts w:cs="Calibri"/>
                <w:b w:val="0"/>
                <w:szCs w:val="18"/>
              </w:rPr>
              <w:t>Petrol PHEV – petrol consumption</w:t>
            </w:r>
          </w:p>
        </w:tc>
        <w:tc>
          <w:tcPr>
            <w:tcW w:w="1791" w:type="dxa"/>
            <w:noWrap/>
          </w:tcPr>
          <w:p w14:paraId="6509292A"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6E359231" w14:textId="55FD0EAA"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2B" w14:textId="7D0EE213"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3.48</w:t>
            </w:r>
          </w:p>
        </w:tc>
        <w:tc>
          <w:tcPr>
            <w:tcW w:w="1051" w:type="dxa"/>
            <w:shd w:val="clear" w:color="auto" w:fill="auto"/>
            <w:noWrap/>
          </w:tcPr>
          <w:p w14:paraId="6509292C" w14:textId="3F03E911"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3.28</w:t>
            </w:r>
          </w:p>
        </w:tc>
        <w:tc>
          <w:tcPr>
            <w:tcW w:w="0" w:type="auto"/>
            <w:tcBorders>
              <w:right w:val="nil"/>
            </w:tcBorders>
            <w:shd w:val="clear" w:color="auto" w:fill="auto"/>
            <w:noWrap/>
          </w:tcPr>
          <w:p w14:paraId="6509292D" w14:textId="1410F5E3"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3.07</w:t>
            </w:r>
          </w:p>
        </w:tc>
      </w:tr>
      <w:tr w:rsidR="00593AEF" w:rsidRPr="0018386D" w14:paraId="65092934"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2F" w14:textId="77777777" w:rsidR="00593AEF" w:rsidRPr="0018386D" w:rsidRDefault="00593AEF" w:rsidP="00DD3106">
            <w:pPr>
              <w:pStyle w:val="TableText"/>
              <w:spacing w:before="40" w:after="40"/>
              <w:rPr>
                <w:rFonts w:cs="Calibri"/>
                <w:b w:val="0"/>
                <w:szCs w:val="18"/>
              </w:rPr>
            </w:pPr>
          </w:p>
        </w:tc>
        <w:tc>
          <w:tcPr>
            <w:tcW w:w="1791" w:type="dxa"/>
            <w:noWrap/>
          </w:tcPr>
          <w:p w14:paraId="65092930" w14:textId="69B5CE98"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79AB0E7C" w14:textId="68286D0B"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31" w14:textId="7EC381D8"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3.74</w:t>
            </w:r>
          </w:p>
        </w:tc>
        <w:tc>
          <w:tcPr>
            <w:tcW w:w="1051" w:type="dxa"/>
            <w:shd w:val="clear" w:color="auto" w:fill="auto"/>
            <w:noWrap/>
          </w:tcPr>
          <w:p w14:paraId="65092932" w14:textId="2D593980"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3.52</w:t>
            </w:r>
          </w:p>
        </w:tc>
        <w:tc>
          <w:tcPr>
            <w:tcW w:w="0" w:type="auto"/>
            <w:tcBorders>
              <w:top w:val="single" w:sz="8" w:space="0" w:color="1C556C" w:themeColor="accent1"/>
              <w:bottom w:val="single" w:sz="8" w:space="0" w:color="1C556C" w:themeColor="accent1"/>
              <w:right w:val="nil"/>
            </w:tcBorders>
            <w:shd w:val="clear" w:color="auto" w:fill="auto"/>
            <w:noWrap/>
          </w:tcPr>
          <w:p w14:paraId="65092933" w14:textId="52FFAB0E"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3.30</w:t>
            </w:r>
          </w:p>
        </w:tc>
      </w:tr>
      <w:tr w:rsidR="00593AEF" w:rsidRPr="0018386D" w14:paraId="6509293A"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35" w14:textId="77777777" w:rsidR="00593AEF" w:rsidRPr="0018386D" w:rsidRDefault="00593AEF" w:rsidP="00DD3106">
            <w:pPr>
              <w:pStyle w:val="TableText"/>
              <w:spacing w:before="40" w:after="40"/>
              <w:rPr>
                <w:rFonts w:cs="Calibri"/>
                <w:b w:val="0"/>
                <w:szCs w:val="18"/>
              </w:rPr>
            </w:pPr>
          </w:p>
        </w:tc>
        <w:tc>
          <w:tcPr>
            <w:tcW w:w="1791" w:type="dxa"/>
            <w:noWrap/>
          </w:tcPr>
          <w:p w14:paraId="65092936" w14:textId="355223D5"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69401D56" w14:textId="71EC1E4D"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37" w14:textId="2B3583DD"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5.05</w:t>
            </w:r>
          </w:p>
        </w:tc>
        <w:tc>
          <w:tcPr>
            <w:tcW w:w="1051" w:type="dxa"/>
            <w:shd w:val="clear" w:color="auto" w:fill="auto"/>
            <w:noWrap/>
          </w:tcPr>
          <w:p w14:paraId="65092938" w14:textId="3F1074D3"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4.75</w:t>
            </w:r>
          </w:p>
        </w:tc>
        <w:tc>
          <w:tcPr>
            <w:tcW w:w="0" w:type="auto"/>
            <w:tcBorders>
              <w:right w:val="nil"/>
            </w:tcBorders>
            <w:shd w:val="clear" w:color="auto" w:fill="auto"/>
            <w:noWrap/>
          </w:tcPr>
          <w:p w14:paraId="65092939" w14:textId="755E9DB0"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4.45</w:t>
            </w:r>
          </w:p>
        </w:tc>
      </w:tr>
      <w:tr w:rsidR="00593AEF" w:rsidRPr="0018386D" w14:paraId="65092940"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3B" w14:textId="77777777" w:rsidR="00593AEF" w:rsidRPr="0018386D" w:rsidRDefault="00593AEF" w:rsidP="00DD3106">
            <w:pPr>
              <w:pStyle w:val="TableText"/>
              <w:spacing w:before="40" w:after="40"/>
              <w:rPr>
                <w:rFonts w:cs="Calibri"/>
                <w:b w:val="0"/>
                <w:szCs w:val="18"/>
              </w:rPr>
            </w:pPr>
          </w:p>
        </w:tc>
        <w:tc>
          <w:tcPr>
            <w:tcW w:w="1791" w:type="dxa"/>
            <w:noWrap/>
          </w:tcPr>
          <w:p w14:paraId="6509293C" w14:textId="49D45D60"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63B86876" w14:textId="0A5371FA"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3D" w14:textId="730F1034"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5.34</w:t>
            </w:r>
          </w:p>
        </w:tc>
        <w:tc>
          <w:tcPr>
            <w:tcW w:w="1051" w:type="dxa"/>
            <w:shd w:val="clear" w:color="auto" w:fill="auto"/>
            <w:noWrap/>
          </w:tcPr>
          <w:p w14:paraId="6509293E" w14:textId="23ED7D0C"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5.03</w:t>
            </w:r>
          </w:p>
        </w:tc>
        <w:tc>
          <w:tcPr>
            <w:tcW w:w="0" w:type="auto"/>
            <w:tcBorders>
              <w:top w:val="single" w:sz="8" w:space="0" w:color="1C556C" w:themeColor="accent1"/>
              <w:bottom w:val="single" w:sz="8" w:space="0" w:color="1C556C" w:themeColor="accent1"/>
              <w:right w:val="nil"/>
            </w:tcBorders>
            <w:shd w:val="clear" w:color="auto" w:fill="auto"/>
            <w:noWrap/>
          </w:tcPr>
          <w:p w14:paraId="6509293F" w14:textId="68E30D66"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4.71</w:t>
            </w:r>
          </w:p>
        </w:tc>
      </w:tr>
      <w:tr w:rsidR="00593AEF" w:rsidRPr="0018386D" w14:paraId="65092946"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41" w14:textId="77777777" w:rsidR="00593AEF" w:rsidRPr="0018386D" w:rsidRDefault="00593AEF" w:rsidP="00DD3106">
            <w:pPr>
              <w:pStyle w:val="TableText"/>
              <w:spacing w:before="40" w:after="40"/>
              <w:rPr>
                <w:rFonts w:cs="Calibri"/>
                <w:b w:val="0"/>
                <w:szCs w:val="18"/>
              </w:rPr>
            </w:pPr>
          </w:p>
        </w:tc>
        <w:tc>
          <w:tcPr>
            <w:tcW w:w="1791" w:type="dxa"/>
            <w:noWrap/>
          </w:tcPr>
          <w:p w14:paraId="65092942"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0631DF3B" w14:textId="3E483CFE"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43" w14:textId="6985EC4D"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6.09</w:t>
            </w:r>
          </w:p>
        </w:tc>
        <w:tc>
          <w:tcPr>
            <w:tcW w:w="1051" w:type="dxa"/>
            <w:shd w:val="clear" w:color="auto" w:fill="auto"/>
            <w:noWrap/>
          </w:tcPr>
          <w:p w14:paraId="65092944" w14:textId="51C7358A"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5.74</w:t>
            </w:r>
          </w:p>
        </w:tc>
        <w:tc>
          <w:tcPr>
            <w:tcW w:w="0" w:type="auto"/>
            <w:tcBorders>
              <w:right w:val="nil"/>
            </w:tcBorders>
            <w:shd w:val="clear" w:color="auto" w:fill="auto"/>
            <w:noWrap/>
          </w:tcPr>
          <w:p w14:paraId="65092945" w14:textId="625DDABA"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5.38</w:t>
            </w:r>
          </w:p>
        </w:tc>
      </w:tr>
      <w:tr w:rsidR="00593AEF" w:rsidRPr="0018386D" w14:paraId="6509294C"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1C556C" w:themeColor="accent1"/>
              <w:left w:val="nil"/>
              <w:bottom w:val="single" w:sz="8" w:space="0" w:color="1C556C" w:themeColor="accent1"/>
            </w:tcBorders>
          </w:tcPr>
          <w:p w14:paraId="65092947" w14:textId="252036DC" w:rsidR="00593AEF" w:rsidRPr="0018386D" w:rsidRDefault="00593AEF" w:rsidP="00DD3106">
            <w:pPr>
              <w:pStyle w:val="TableText"/>
              <w:keepNext/>
              <w:spacing w:before="40" w:after="40"/>
              <w:rPr>
                <w:rFonts w:cs="Calibri"/>
                <w:b w:val="0"/>
                <w:szCs w:val="18"/>
              </w:rPr>
            </w:pPr>
            <w:r w:rsidRPr="0018386D">
              <w:rPr>
                <w:rFonts w:cs="Calibri"/>
                <w:b w:val="0"/>
                <w:szCs w:val="18"/>
              </w:rPr>
              <w:t>Petrol PHEV – electricity consumption</w:t>
            </w:r>
          </w:p>
        </w:tc>
        <w:tc>
          <w:tcPr>
            <w:tcW w:w="1791" w:type="dxa"/>
            <w:noWrap/>
          </w:tcPr>
          <w:p w14:paraId="65092948" w14:textId="77777777" w:rsidR="00593AEF" w:rsidRPr="0018386D" w:rsidRDefault="00593AEF" w:rsidP="00DD3106">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35388A95" w14:textId="17157F93" w:rsidR="00593AEF" w:rsidRPr="0018386D" w:rsidRDefault="00593AEF" w:rsidP="00DD3106">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49" w14:textId="459D0B7B"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10.66</w:t>
            </w:r>
          </w:p>
        </w:tc>
        <w:tc>
          <w:tcPr>
            <w:tcW w:w="1051" w:type="dxa"/>
            <w:shd w:val="clear" w:color="auto" w:fill="auto"/>
            <w:noWrap/>
          </w:tcPr>
          <w:p w14:paraId="6509294A" w14:textId="34CE3577"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10.09</w:t>
            </w:r>
          </w:p>
        </w:tc>
        <w:tc>
          <w:tcPr>
            <w:tcW w:w="0" w:type="auto"/>
            <w:tcBorders>
              <w:top w:val="single" w:sz="8" w:space="0" w:color="1C556C" w:themeColor="accent1"/>
              <w:bottom w:val="single" w:sz="8" w:space="0" w:color="1C556C" w:themeColor="accent1"/>
              <w:right w:val="nil"/>
            </w:tcBorders>
            <w:shd w:val="clear" w:color="auto" w:fill="auto"/>
            <w:noWrap/>
          </w:tcPr>
          <w:p w14:paraId="6509294B" w14:textId="65E5F084"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9.76</w:t>
            </w:r>
          </w:p>
        </w:tc>
      </w:tr>
      <w:tr w:rsidR="00593AEF" w:rsidRPr="0018386D" w14:paraId="65092952"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4D" w14:textId="77777777" w:rsidR="00593AEF" w:rsidRPr="0018386D" w:rsidRDefault="00593AEF" w:rsidP="00DD3106">
            <w:pPr>
              <w:pStyle w:val="TableText"/>
              <w:keepNext/>
              <w:spacing w:before="40" w:after="40"/>
              <w:rPr>
                <w:rFonts w:cs="Calibri"/>
                <w:szCs w:val="18"/>
              </w:rPr>
            </w:pPr>
          </w:p>
        </w:tc>
        <w:tc>
          <w:tcPr>
            <w:tcW w:w="1791" w:type="dxa"/>
            <w:noWrap/>
          </w:tcPr>
          <w:p w14:paraId="6509294E" w14:textId="4148F36F" w:rsidR="00593AEF" w:rsidRPr="0018386D" w:rsidRDefault="00593AEF" w:rsidP="00DD3106">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2D5809FB" w14:textId="45BF8A9C" w:rsidR="00593AEF" w:rsidRPr="0018386D" w:rsidRDefault="00593AEF" w:rsidP="00DD3106">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4F" w14:textId="26AFD05A" w:rsidR="00593AEF" w:rsidRPr="0018386D" w:rsidRDefault="00593AEF"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11.44</w:t>
            </w:r>
          </w:p>
        </w:tc>
        <w:tc>
          <w:tcPr>
            <w:tcW w:w="1051" w:type="dxa"/>
            <w:shd w:val="clear" w:color="auto" w:fill="auto"/>
            <w:noWrap/>
          </w:tcPr>
          <w:p w14:paraId="65092950" w14:textId="41D8DD2B" w:rsidR="00593AEF" w:rsidRPr="0018386D" w:rsidRDefault="00593AEF"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10.83</w:t>
            </w:r>
          </w:p>
        </w:tc>
        <w:tc>
          <w:tcPr>
            <w:tcW w:w="0" w:type="auto"/>
            <w:tcBorders>
              <w:right w:val="nil"/>
            </w:tcBorders>
            <w:shd w:val="clear" w:color="auto" w:fill="auto"/>
            <w:noWrap/>
          </w:tcPr>
          <w:p w14:paraId="65092951" w14:textId="37A9979C" w:rsidR="00593AEF" w:rsidRPr="0018386D" w:rsidRDefault="00593AEF"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10.48</w:t>
            </w:r>
          </w:p>
        </w:tc>
      </w:tr>
      <w:tr w:rsidR="00593AEF" w:rsidRPr="0018386D" w14:paraId="65092958"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53" w14:textId="77777777" w:rsidR="00593AEF" w:rsidRPr="0018386D" w:rsidRDefault="00593AEF" w:rsidP="00DD3106">
            <w:pPr>
              <w:pStyle w:val="TableText"/>
              <w:keepNext/>
              <w:spacing w:before="40" w:after="40"/>
              <w:rPr>
                <w:rFonts w:cs="Calibri"/>
                <w:szCs w:val="18"/>
              </w:rPr>
            </w:pPr>
          </w:p>
        </w:tc>
        <w:tc>
          <w:tcPr>
            <w:tcW w:w="1791" w:type="dxa"/>
            <w:noWrap/>
          </w:tcPr>
          <w:p w14:paraId="65092954" w14:textId="0029FF1D" w:rsidR="00593AEF" w:rsidRPr="0018386D" w:rsidRDefault="00593AEF" w:rsidP="00DD3106">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49E522F2" w14:textId="5DCFE912" w:rsidR="00593AEF" w:rsidRPr="0018386D" w:rsidRDefault="00593AEF" w:rsidP="00DD3106">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55" w14:textId="662C9AEE"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12.95</w:t>
            </w:r>
          </w:p>
        </w:tc>
        <w:tc>
          <w:tcPr>
            <w:tcW w:w="1051" w:type="dxa"/>
            <w:shd w:val="clear" w:color="auto" w:fill="auto"/>
            <w:noWrap/>
          </w:tcPr>
          <w:p w14:paraId="65092956" w14:textId="58407A6C"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12.26</w:t>
            </w:r>
          </w:p>
        </w:tc>
        <w:tc>
          <w:tcPr>
            <w:tcW w:w="0" w:type="auto"/>
            <w:tcBorders>
              <w:top w:val="single" w:sz="8" w:space="0" w:color="1C556C" w:themeColor="accent1"/>
              <w:bottom w:val="single" w:sz="8" w:space="0" w:color="1C556C" w:themeColor="accent1"/>
              <w:right w:val="nil"/>
            </w:tcBorders>
            <w:shd w:val="clear" w:color="auto" w:fill="auto"/>
            <w:noWrap/>
          </w:tcPr>
          <w:p w14:paraId="65092957" w14:textId="3CA560EB"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11.86</w:t>
            </w:r>
          </w:p>
        </w:tc>
      </w:tr>
      <w:tr w:rsidR="00593AEF" w:rsidRPr="0018386D" w14:paraId="6509295E"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59" w14:textId="77777777" w:rsidR="00593AEF" w:rsidRPr="0018386D" w:rsidRDefault="00593AEF" w:rsidP="00DD3106">
            <w:pPr>
              <w:pStyle w:val="TableText"/>
              <w:keepNext/>
              <w:spacing w:before="40" w:after="40"/>
              <w:rPr>
                <w:rFonts w:cs="Calibri"/>
                <w:szCs w:val="18"/>
              </w:rPr>
            </w:pPr>
          </w:p>
        </w:tc>
        <w:tc>
          <w:tcPr>
            <w:tcW w:w="1791" w:type="dxa"/>
            <w:noWrap/>
          </w:tcPr>
          <w:p w14:paraId="6509295A" w14:textId="2F83EF7D" w:rsidR="00593AEF" w:rsidRPr="0018386D" w:rsidRDefault="00593AEF" w:rsidP="00DD3106">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54ACC923" w14:textId="49D80F99" w:rsidR="00593AEF" w:rsidRPr="0018386D" w:rsidRDefault="00593AEF" w:rsidP="00DD3106">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5B" w14:textId="73875943" w:rsidR="00593AEF" w:rsidRPr="0018386D" w:rsidRDefault="00593AEF"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15.95</w:t>
            </w:r>
          </w:p>
        </w:tc>
        <w:tc>
          <w:tcPr>
            <w:tcW w:w="1051" w:type="dxa"/>
            <w:shd w:val="clear" w:color="auto" w:fill="auto"/>
            <w:noWrap/>
          </w:tcPr>
          <w:p w14:paraId="6509295C" w14:textId="2A784ACA" w:rsidR="00593AEF" w:rsidRPr="0018386D" w:rsidRDefault="00593AEF"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15.09</w:t>
            </w:r>
          </w:p>
        </w:tc>
        <w:tc>
          <w:tcPr>
            <w:tcW w:w="0" w:type="auto"/>
            <w:tcBorders>
              <w:right w:val="nil"/>
            </w:tcBorders>
            <w:shd w:val="clear" w:color="auto" w:fill="auto"/>
            <w:noWrap/>
          </w:tcPr>
          <w:p w14:paraId="6509295D" w14:textId="63D9ED24" w:rsidR="00593AEF" w:rsidRPr="0018386D" w:rsidRDefault="00593AEF"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14.61</w:t>
            </w:r>
          </w:p>
        </w:tc>
      </w:tr>
      <w:tr w:rsidR="00593AEF" w:rsidRPr="0018386D" w14:paraId="65092964"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5F" w14:textId="77777777" w:rsidR="00593AEF" w:rsidRPr="0018386D" w:rsidRDefault="00593AEF" w:rsidP="00DD3106">
            <w:pPr>
              <w:pStyle w:val="TableText"/>
              <w:keepNext/>
              <w:spacing w:before="40" w:after="40"/>
              <w:rPr>
                <w:rFonts w:cs="Calibri"/>
                <w:szCs w:val="18"/>
              </w:rPr>
            </w:pPr>
          </w:p>
        </w:tc>
        <w:tc>
          <w:tcPr>
            <w:tcW w:w="1791" w:type="dxa"/>
            <w:noWrap/>
          </w:tcPr>
          <w:p w14:paraId="65092960" w14:textId="77777777" w:rsidR="00593AEF" w:rsidRPr="0018386D" w:rsidRDefault="00593AEF" w:rsidP="00DD3106">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234822C7" w14:textId="3F8DAD72" w:rsidR="00593AEF" w:rsidRPr="0018386D" w:rsidRDefault="00593AEF" w:rsidP="00DD3106">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61" w14:textId="3A6B5C0A"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18.64</w:t>
            </w:r>
          </w:p>
        </w:tc>
        <w:tc>
          <w:tcPr>
            <w:tcW w:w="1051" w:type="dxa"/>
            <w:shd w:val="clear" w:color="auto" w:fill="auto"/>
            <w:noWrap/>
          </w:tcPr>
          <w:p w14:paraId="65092962" w14:textId="43B6BCEE"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17.64</w:t>
            </w:r>
          </w:p>
        </w:tc>
        <w:tc>
          <w:tcPr>
            <w:tcW w:w="0" w:type="auto"/>
            <w:tcBorders>
              <w:top w:val="single" w:sz="8" w:space="0" w:color="1C556C" w:themeColor="accent1"/>
              <w:bottom w:val="single" w:sz="8" w:space="0" w:color="1C556C" w:themeColor="accent1"/>
              <w:right w:val="nil"/>
            </w:tcBorders>
            <w:shd w:val="clear" w:color="auto" w:fill="auto"/>
            <w:noWrap/>
          </w:tcPr>
          <w:p w14:paraId="65092963" w14:textId="547AD35F" w:rsidR="00593AEF" w:rsidRPr="0018386D" w:rsidRDefault="00593AEF" w:rsidP="00DD3106">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17.08</w:t>
            </w:r>
          </w:p>
        </w:tc>
      </w:tr>
      <w:tr w:rsidR="00593AEF" w:rsidRPr="0018386D" w14:paraId="6509296A" w14:textId="77777777" w:rsidTr="00C87FF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tcPr>
          <w:p w14:paraId="65092965" w14:textId="17F9F714" w:rsidR="00593AEF" w:rsidRPr="0018386D" w:rsidRDefault="00593AEF" w:rsidP="00DD3106">
            <w:pPr>
              <w:pStyle w:val="TableText"/>
              <w:spacing w:before="40" w:after="40"/>
              <w:rPr>
                <w:rFonts w:cs="Calibri"/>
                <w:b w:val="0"/>
                <w:szCs w:val="18"/>
              </w:rPr>
            </w:pPr>
            <w:r w:rsidRPr="0018386D">
              <w:rPr>
                <w:rFonts w:cs="Calibri"/>
                <w:b w:val="0"/>
                <w:szCs w:val="18"/>
              </w:rPr>
              <w:t>Diesel PHEV – diesel consumption</w:t>
            </w:r>
          </w:p>
        </w:tc>
        <w:tc>
          <w:tcPr>
            <w:tcW w:w="1791" w:type="dxa"/>
            <w:noWrap/>
          </w:tcPr>
          <w:p w14:paraId="65092966"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1E7E7E91" w14:textId="0916AB8C"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67" w14:textId="070BC659"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3.75</w:t>
            </w:r>
          </w:p>
        </w:tc>
        <w:tc>
          <w:tcPr>
            <w:tcW w:w="1051" w:type="dxa"/>
            <w:shd w:val="clear" w:color="auto" w:fill="auto"/>
            <w:noWrap/>
          </w:tcPr>
          <w:p w14:paraId="65092968" w14:textId="69C4E7D9"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3.46</w:t>
            </w:r>
          </w:p>
        </w:tc>
        <w:tc>
          <w:tcPr>
            <w:tcW w:w="0" w:type="auto"/>
            <w:tcBorders>
              <w:right w:val="nil"/>
            </w:tcBorders>
            <w:shd w:val="clear" w:color="auto" w:fill="auto"/>
            <w:noWrap/>
          </w:tcPr>
          <w:p w14:paraId="65092969" w14:textId="41FF4D6B"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3.30</w:t>
            </w:r>
          </w:p>
        </w:tc>
      </w:tr>
      <w:tr w:rsidR="00593AEF" w:rsidRPr="0018386D" w14:paraId="65092970" w14:textId="77777777" w:rsidTr="00C87FF9">
        <w:trPr>
          <w:trHeight w:val="345"/>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6B" w14:textId="77777777" w:rsidR="00593AEF" w:rsidRPr="0018386D" w:rsidRDefault="00593AEF" w:rsidP="00DD3106">
            <w:pPr>
              <w:pStyle w:val="TableText"/>
              <w:spacing w:before="40" w:after="40"/>
              <w:rPr>
                <w:rFonts w:cs="Calibri"/>
                <w:b w:val="0"/>
                <w:szCs w:val="18"/>
              </w:rPr>
            </w:pPr>
          </w:p>
        </w:tc>
        <w:tc>
          <w:tcPr>
            <w:tcW w:w="1791" w:type="dxa"/>
            <w:noWrap/>
          </w:tcPr>
          <w:p w14:paraId="6509296C" w14:textId="7A49D6B0"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693F8DD6" w14:textId="45BFBEB9"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6D" w14:textId="7DBE0F73"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3.61</w:t>
            </w:r>
          </w:p>
        </w:tc>
        <w:tc>
          <w:tcPr>
            <w:tcW w:w="1051" w:type="dxa"/>
            <w:shd w:val="clear" w:color="auto" w:fill="auto"/>
            <w:noWrap/>
          </w:tcPr>
          <w:p w14:paraId="6509296E" w14:textId="7F63B62B"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3.33</w:t>
            </w:r>
          </w:p>
        </w:tc>
        <w:tc>
          <w:tcPr>
            <w:tcW w:w="0" w:type="auto"/>
            <w:tcBorders>
              <w:top w:val="single" w:sz="8" w:space="0" w:color="1C556C" w:themeColor="accent1"/>
              <w:bottom w:val="single" w:sz="8" w:space="0" w:color="1C556C" w:themeColor="accent1"/>
              <w:right w:val="nil"/>
            </w:tcBorders>
            <w:shd w:val="clear" w:color="auto" w:fill="auto"/>
            <w:noWrap/>
          </w:tcPr>
          <w:p w14:paraId="6509296F" w14:textId="2F509884"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3.17</w:t>
            </w:r>
          </w:p>
        </w:tc>
      </w:tr>
      <w:tr w:rsidR="00593AEF" w:rsidRPr="0018386D" w14:paraId="65092976"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hideMark/>
          </w:tcPr>
          <w:p w14:paraId="65092971" w14:textId="77777777" w:rsidR="00593AEF" w:rsidRPr="0018386D" w:rsidRDefault="00593AEF" w:rsidP="00DD3106">
            <w:pPr>
              <w:pStyle w:val="TableText"/>
              <w:spacing w:before="40" w:after="40"/>
              <w:rPr>
                <w:rFonts w:cs="Calibri"/>
                <w:b w:val="0"/>
                <w:szCs w:val="18"/>
              </w:rPr>
            </w:pPr>
          </w:p>
        </w:tc>
        <w:tc>
          <w:tcPr>
            <w:tcW w:w="1791" w:type="dxa"/>
            <w:noWrap/>
          </w:tcPr>
          <w:p w14:paraId="65092972" w14:textId="41F7D466"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6C09781A" w14:textId="6804A721"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73" w14:textId="5B9C1BBA"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4.81</w:t>
            </w:r>
          </w:p>
        </w:tc>
        <w:tc>
          <w:tcPr>
            <w:tcW w:w="1051" w:type="dxa"/>
            <w:shd w:val="clear" w:color="auto" w:fill="auto"/>
            <w:noWrap/>
          </w:tcPr>
          <w:p w14:paraId="65092974" w14:textId="0EE0A423"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4.43</w:t>
            </w:r>
          </w:p>
        </w:tc>
        <w:tc>
          <w:tcPr>
            <w:tcW w:w="0" w:type="auto"/>
            <w:tcBorders>
              <w:right w:val="nil"/>
            </w:tcBorders>
            <w:shd w:val="clear" w:color="auto" w:fill="auto"/>
            <w:noWrap/>
          </w:tcPr>
          <w:p w14:paraId="65092975" w14:textId="5B0585F7"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4.22</w:t>
            </w:r>
          </w:p>
        </w:tc>
      </w:tr>
      <w:tr w:rsidR="00593AEF" w:rsidRPr="0018386D" w14:paraId="6509297C"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hideMark/>
          </w:tcPr>
          <w:p w14:paraId="65092977" w14:textId="77777777" w:rsidR="00593AEF" w:rsidRPr="0018386D" w:rsidRDefault="00593AEF" w:rsidP="00DD3106">
            <w:pPr>
              <w:pStyle w:val="TableText"/>
              <w:spacing w:before="40" w:after="40"/>
              <w:rPr>
                <w:rFonts w:cs="Calibri"/>
                <w:b w:val="0"/>
                <w:szCs w:val="18"/>
              </w:rPr>
            </w:pPr>
          </w:p>
        </w:tc>
        <w:tc>
          <w:tcPr>
            <w:tcW w:w="1791" w:type="dxa"/>
            <w:noWrap/>
          </w:tcPr>
          <w:p w14:paraId="65092978" w14:textId="7DF137DB"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47F58197" w14:textId="158C9AB9"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79" w14:textId="29F8D8AD"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5.16</w:t>
            </w:r>
          </w:p>
        </w:tc>
        <w:tc>
          <w:tcPr>
            <w:tcW w:w="1051" w:type="dxa"/>
            <w:shd w:val="clear" w:color="auto" w:fill="auto"/>
            <w:noWrap/>
          </w:tcPr>
          <w:p w14:paraId="6509297A" w14:textId="4A9D3219"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4.75</w:t>
            </w:r>
          </w:p>
        </w:tc>
        <w:tc>
          <w:tcPr>
            <w:tcW w:w="0" w:type="auto"/>
            <w:tcBorders>
              <w:top w:val="single" w:sz="8" w:space="0" w:color="1C556C" w:themeColor="accent1"/>
              <w:bottom w:val="single" w:sz="8" w:space="0" w:color="1C556C" w:themeColor="accent1"/>
              <w:right w:val="nil"/>
            </w:tcBorders>
            <w:shd w:val="clear" w:color="auto" w:fill="auto"/>
            <w:noWrap/>
          </w:tcPr>
          <w:p w14:paraId="6509297B" w14:textId="0B97CD57"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4.53</w:t>
            </w:r>
          </w:p>
        </w:tc>
      </w:tr>
      <w:tr w:rsidR="00593AEF" w:rsidRPr="0018386D" w14:paraId="65092982"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hideMark/>
          </w:tcPr>
          <w:p w14:paraId="6509297D" w14:textId="77777777" w:rsidR="00593AEF" w:rsidRPr="0018386D" w:rsidRDefault="00593AEF" w:rsidP="00DD3106">
            <w:pPr>
              <w:pStyle w:val="TableText"/>
              <w:spacing w:before="40" w:after="40"/>
              <w:rPr>
                <w:rFonts w:cs="Calibri"/>
                <w:b w:val="0"/>
                <w:szCs w:val="18"/>
              </w:rPr>
            </w:pPr>
          </w:p>
        </w:tc>
        <w:tc>
          <w:tcPr>
            <w:tcW w:w="1791" w:type="dxa"/>
            <w:noWrap/>
          </w:tcPr>
          <w:p w14:paraId="6509297E"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3B316D4F" w14:textId="4E1856BD"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06" w:type="dxa"/>
            <w:shd w:val="clear" w:color="auto" w:fill="auto"/>
            <w:noWrap/>
          </w:tcPr>
          <w:p w14:paraId="6509297F" w14:textId="59AD376E"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5.22</w:t>
            </w:r>
          </w:p>
        </w:tc>
        <w:tc>
          <w:tcPr>
            <w:tcW w:w="1051" w:type="dxa"/>
            <w:shd w:val="clear" w:color="auto" w:fill="auto"/>
            <w:noWrap/>
          </w:tcPr>
          <w:p w14:paraId="65092980" w14:textId="653452F9"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4.81</w:t>
            </w:r>
          </w:p>
        </w:tc>
        <w:tc>
          <w:tcPr>
            <w:tcW w:w="0" w:type="auto"/>
            <w:tcBorders>
              <w:right w:val="nil"/>
            </w:tcBorders>
            <w:shd w:val="clear" w:color="auto" w:fill="auto"/>
            <w:noWrap/>
          </w:tcPr>
          <w:p w14:paraId="65092981" w14:textId="235FF665"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4.58</w:t>
            </w:r>
          </w:p>
        </w:tc>
      </w:tr>
      <w:tr w:rsidR="00593AEF" w:rsidRPr="0018386D" w14:paraId="65092988"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1C556C" w:themeColor="accent1"/>
              <w:left w:val="nil"/>
              <w:bottom w:val="single" w:sz="8" w:space="0" w:color="1C556C" w:themeColor="accent1"/>
            </w:tcBorders>
            <w:hideMark/>
          </w:tcPr>
          <w:p w14:paraId="65092983" w14:textId="45C016CD" w:rsidR="00593AEF" w:rsidRPr="0018386D" w:rsidRDefault="00593AEF" w:rsidP="00DD3106">
            <w:pPr>
              <w:pStyle w:val="TableText"/>
              <w:spacing w:before="40" w:after="40"/>
              <w:rPr>
                <w:rFonts w:cs="Calibri"/>
                <w:b w:val="0"/>
                <w:szCs w:val="18"/>
              </w:rPr>
            </w:pPr>
            <w:r w:rsidRPr="0018386D">
              <w:rPr>
                <w:rFonts w:cs="Calibri"/>
                <w:b w:val="0"/>
                <w:szCs w:val="18"/>
              </w:rPr>
              <w:t>Diesel PHEV – electricity consumption</w:t>
            </w:r>
          </w:p>
        </w:tc>
        <w:tc>
          <w:tcPr>
            <w:tcW w:w="1791" w:type="dxa"/>
            <w:noWrap/>
          </w:tcPr>
          <w:p w14:paraId="65092984" w14:textId="7777777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677E24EF" w14:textId="6C82EEF4"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85" w14:textId="337C55A9"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11.09</w:t>
            </w:r>
          </w:p>
        </w:tc>
        <w:tc>
          <w:tcPr>
            <w:tcW w:w="1051" w:type="dxa"/>
            <w:shd w:val="clear" w:color="auto" w:fill="auto"/>
            <w:noWrap/>
          </w:tcPr>
          <w:p w14:paraId="65092986" w14:textId="43EF0D7C"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10.24</w:t>
            </w:r>
          </w:p>
        </w:tc>
        <w:tc>
          <w:tcPr>
            <w:tcW w:w="0" w:type="auto"/>
            <w:tcBorders>
              <w:top w:val="single" w:sz="8" w:space="0" w:color="1C556C" w:themeColor="accent1"/>
              <w:bottom w:val="single" w:sz="8" w:space="0" w:color="1C556C" w:themeColor="accent1"/>
              <w:right w:val="nil"/>
            </w:tcBorders>
            <w:shd w:val="clear" w:color="auto" w:fill="auto"/>
            <w:noWrap/>
          </w:tcPr>
          <w:p w14:paraId="65092987" w14:textId="44E526C3"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9.90</w:t>
            </w:r>
          </w:p>
        </w:tc>
      </w:tr>
      <w:tr w:rsidR="00593AEF" w:rsidRPr="0018386D" w14:paraId="6509298E"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89" w14:textId="77777777" w:rsidR="00593AEF" w:rsidRPr="0018386D" w:rsidRDefault="00593AEF" w:rsidP="00DD3106">
            <w:pPr>
              <w:pStyle w:val="TableText"/>
              <w:spacing w:before="40" w:after="40"/>
              <w:rPr>
                <w:rFonts w:cs="Calibri"/>
                <w:b w:val="0"/>
                <w:szCs w:val="18"/>
              </w:rPr>
            </w:pPr>
          </w:p>
        </w:tc>
        <w:tc>
          <w:tcPr>
            <w:tcW w:w="1791" w:type="dxa"/>
            <w:noWrap/>
          </w:tcPr>
          <w:p w14:paraId="6509298A" w14:textId="260CE314"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743E0AF6" w14:textId="7615EB7E"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8B" w14:textId="577040BE"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10.65</w:t>
            </w:r>
          </w:p>
        </w:tc>
        <w:tc>
          <w:tcPr>
            <w:tcW w:w="1051" w:type="dxa"/>
            <w:shd w:val="clear" w:color="auto" w:fill="auto"/>
            <w:noWrap/>
          </w:tcPr>
          <w:p w14:paraId="6509298C" w14:textId="0870A7FF"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9.84</w:t>
            </w:r>
          </w:p>
        </w:tc>
        <w:tc>
          <w:tcPr>
            <w:tcW w:w="0" w:type="auto"/>
            <w:tcBorders>
              <w:right w:val="nil"/>
            </w:tcBorders>
            <w:shd w:val="clear" w:color="auto" w:fill="auto"/>
            <w:noWrap/>
          </w:tcPr>
          <w:p w14:paraId="6509298D" w14:textId="64E9957C"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9.51</w:t>
            </w:r>
          </w:p>
        </w:tc>
      </w:tr>
      <w:tr w:rsidR="00593AEF" w:rsidRPr="0018386D" w14:paraId="65092994"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8F" w14:textId="77777777" w:rsidR="00593AEF" w:rsidRPr="0018386D" w:rsidRDefault="00593AEF" w:rsidP="00DD3106">
            <w:pPr>
              <w:pStyle w:val="TableText"/>
              <w:spacing w:before="40" w:after="40"/>
              <w:rPr>
                <w:rFonts w:cs="Calibri"/>
                <w:b w:val="0"/>
                <w:szCs w:val="18"/>
              </w:rPr>
            </w:pPr>
          </w:p>
        </w:tc>
        <w:tc>
          <w:tcPr>
            <w:tcW w:w="1791" w:type="dxa"/>
            <w:noWrap/>
          </w:tcPr>
          <w:p w14:paraId="65092990" w14:textId="7018AA8F"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68F26F22" w14:textId="41F82D7F"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91" w14:textId="7D541B18"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11.67</w:t>
            </w:r>
          </w:p>
        </w:tc>
        <w:tc>
          <w:tcPr>
            <w:tcW w:w="1051" w:type="dxa"/>
            <w:shd w:val="clear" w:color="auto" w:fill="auto"/>
            <w:noWrap/>
          </w:tcPr>
          <w:p w14:paraId="65092992" w14:textId="1EA05E55"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10.78</w:t>
            </w:r>
          </w:p>
        </w:tc>
        <w:tc>
          <w:tcPr>
            <w:tcW w:w="0" w:type="auto"/>
            <w:tcBorders>
              <w:top w:val="single" w:sz="8" w:space="0" w:color="1C556C" w:themeColor="accent1"/>
              <w:bottom w:val="single" w:sz="8" w:space="0" w:color="1C556C" w:themeColor="accent1"/>
              <w:right w:val="nil"/>
            </w:tcBorders>
            <w:shd w:val="clear" w:color="auto" w:fill="auto"/>
            <w:noWrap/>
          </w:tcPr>
          <w:p w14:paraId="65092993" w14:textId="094FAB0A"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10.42</w:t>
            </w:r>
          </w:p>
        </w:tc>
      </w:tr>
      <w:tr w:rsidR="00593AEF" w:rsidRPr="0018386D" w14:paraId="6509299A"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95" w14:textId="77777777" w:rsidR="00593AEF" w:rsidRPr="0018386D" w:rsidRDefault="00593AEF" w:rsidP="00DD3106">
            <w:pPr>
              <w:pStyle w:val="TableText"/>
              <w:spacing w:before="40" w:after="40"/>
              <w:rPr>
                <w:rFonts w:cs="Calibri"/>
                <w:b w:val="0"/>
                <w:szCs w:val="18"/>
              </w:rPr>
            </w:pPr>
          </w:p>
        </w:tc>
        <w:tc>
          <w:tcPr>
            <w:tcW w:w="1791" w:type="dxa"/>
            <w:noWrap/>
          </w:tcPr>
          <w:p w14:paraId="65092996" w14:textId="50614F09"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4F1BCB99" w14:textId="68F62A31"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97" w14:textId="4021F325"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13.21</w:t>
            </w:r>
          </w:p>
        </w:tc>
        <w:tc>
          <w:tcPr>
            <w:tcW w:w="1051" w:type="dxa"/>
            <w:shd w:val="clear" w:color="auto" w:fill="auto"/>
            <w:noWrap/>
          </w:tcPr>
          <w:p w14:paraId="65092998" w14:textId="7179BB57"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12.20</w:t>
            </w:r>
          </w:p>
        </w:tc>
        <w:tc>
          <w:tcPr>
            <w:tcW w:w="0" w:type="auto"/>
            <w:tcBorders>
              <w:right w:val="nil"/>
            </w:tcBorders>
            <w:shd w:val="clear" w:color="auto" w:fill="auto"/>
            <w:noWrap/>
          </w:tcPr>
          <w:p w14:paraId="65092999" w14:textId="6614DDD5"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11.80</w:t>
            </w:r>
          </w:p>
        </w:tc>
      </w:tr>
      <w:tr w:rsidR="00593AEF" w:rsidRPr="0018386D" w14:paraId="650929A0"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9B" w14:textId="77777777" w:rsidR="00593AEF" w:rsidRPr="0018386D" w:rsidRDefault="00593AEF" w:rsidP="00DD3106">
            <w:pPr>
              <w:pStyle w:val="TableText"/>
              <w:spacing w:before="40" w:after="40"/>
              <w:rPr>
                <w:rFonts w:cs="Calibri"/>
                <w:b w:val="0"/>
                <w:szCs w:val="18"/>
              </w:rPr>
            </w:pPr>
          </w:p>
        </w:tc>
        <w:tc>
          <w:tcPr>
            <w:tcW w:w="1791" w:type="dxa"/>
            <w:noWrap/>
          </w:tcPr>
          <w:p w14:paraId="6509299C" w14:textId="77777777"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60FDE4E0" w14:textId="46BD7776"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9D" w14:textId="498F1D81"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15.62</w:t>
            </w:r>
          </w:p>
        </w:tc>
        <w:tc>
          <w:tcPr>
            <w:tcW w:w="1051" w:type="dxa"/>
            <w:shd w:val="clear" w:color="auto" w:fill="auto"/>
            <w:noWrap/>
          </w:tcPr>
          <w:p w14:paraId="6509299E" w14:textId="126BB1A3"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14.43</w:t>
            </w:r>
          </w:p>
        </w:tc>
        <w:tc>
          <w:tcPr>
            <w:tcW w:w="0" w:type="auto"/>
            <w:tcBorders>
              <w:top w:val="single" w:sz="8" w:space="0" w:color="1C556C" w:themeColor="accent1"/>
              <w:bottom w:val="single" w:sz="8" w:space="0" w:color="1C556C" w:themeColor="accent1"/>
              <w:right w:val="nil"/>
            </w:tcBorders>
            <w:shd w:val="clear" w:color="auto" w:fill="auto"/>
            <w:noWrap/>
          </w:tcPr>
          <w:p w14:paraId="6509299F" w14:textId="488A708A"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13.95</w:t>
            </w:r>
          </w:p>
        </w:tc>
      </w:tr>
      <w:tr w:rsidR="00593AEF" w:rsidRPr="0018386D" w14:paraId="650929A6"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tcPr>
          <w:p w14:paraId="650929A1" w14:textId="6B89DDB8" w:rsidR="00593AEF" w:rsidRPr="0018386D" w:rsidRDefault="00593AEF" w:rsidP="00DD3106">
            <w:pPr>
              <w:pStyle w:val="TableText"/>
              <w:spacing w:before="40" w:after="40"/>
              <w:rPr>
                <w:rFonts w:cs="Calibri"/>
                <w:b w:val="0"/>
                <w:szCs w:val="18"/>
              </w:rPr>
            </w:pPr>
            <w:r w:rsidRPr="0018386D">
              <w:rPr>
                <w:rFonts w:cs="Calibri"/>
                <w:b w:val="0"/>
                <w:szCs w:val="18"/>
              </w:rPr>
              <w:t>BEV – electricity consumption</w:t>
            </w:r>
          </w:p>
        </w:tc>
        <w:tc>
          <w:tcPr>
            <w:tcW w:w="1791" w:type="dxa"/>
            <w:noWrap/>
          </w:tcPr>
          <w:p w14:paraId="650929A2"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&lt;1350 cc</w:t>
            </w:r>
          </w:p>
        </w:tc>
        <w:tc>
          <w:tcPr>
            <w:tcW w:w="0" w:type="auto"/>
          </w:tcPr>
          <w:p w14:paraId="13F2ED7B" w14:textId="65FE7286"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A3" w14:textId="020C2C10"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22.36</w:t>
            </w:r>
          </w:p>
        </w:tc>
        <w:tc>
          <w:tcPr>
            <w:tcW w:w="1051" w:type="dxa"/>
            <w:shd w:val="clear" w:color="auto" w:fill="auto"/>
            <w:noWrap/>
          </w:tcPr>
          <w:p w14:paraId="650929A4" w14:textId="280311B2"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21.16</w:t>
            </w:r>
          </w:p>
        </w:tc>
        <w:tc>
          <w:tcPr>
            <w:tcW w:w="0" w:type="auto"/>
            <w:tcBorders>
              <w:right w:val="nil"/>
            </w:tcBorders>
            <w:shd w:val="clear" w:color="auto" w:fill="auto"/>
            <w:noWrap/>
          </w:tcPr>
          <w:p w14:paraId="650929A5" w14:textId="18CA8FC4"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20.48</w:t>
            </w:r>
          </w:p>
        </w:tc>
      </w:tr>
      <w:tr w:rsidR="00593AEF" w:rsidRPr="0018386D" w14:paraId="650929AC"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A7" w14:textId="77777777" w:rsidR="00593AEF" w:rsidRPr="0018386D" w:rsidRDefault="00593AEF" w:rsidP="00DD3106">
            <w:pPr>
              <w:pStyle w:val="TableText"/>
              <w:spacing w:before="40" w:after="40"/>
              <w:rPr>
                <w:rFonts w:cs="Calibri"/>
                <w:szCs w:val="18"/>
              </w:rPr>
            </w:pPr>
          </w:p>
        </w:tc>
        <w:tc>
          <w:tcPr>
            <w:tcW w:w="1791" w:type="dxa"/>
            <w:noWrap/>
          </w:tcPr>
          <w:p w14:paraId="650929A8" w14:textId="2DFA223A"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1350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1600 cc</w:t>
            </w:r>
          </w:p>
        </w:tc>
        <w:tc>
          <w:tcPr>
            <w:tcW w:w="0" w:type="auto"/>
          </w:tcPr>
          <w:p w14:paraId="6E1CF7C8" w14:textId="2E196F26"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A9" w14:textId="6FFFE49B"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24.01</w:t>
            </w:r>
          </w:p>
        </w:tc>
        <w:tc>
          <w:tcPr>
            <w:tcW w:w="1051" w:type="dxa"/>
            <w:shd w:val="clear" w:color="auto" w:fill="auto"/>
            <w:noWrap/>
          </w:tcPr>
          <w:p w14:paraId="650929AA" w14:textId="46F210D5"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22.72</w:t>
            </w:r>
          </w:p>
        </w:tc>
        <w:tc>
          <w:tcPr>
            <w:tcW w:w="0" w:type="auto"/>
            <w:tcBorders>
              <w:top w:val="single" w:sz="8" w:space="0" w:color="1C556C" w:themeColor="accent1"/>
              <w:bottom w:val="single" w:sz="8" w:space="0" w:color="1C556C" w:themeColor="accent1"/>
              <w:right w:val="nil"/>
            </w:tcBorders>
            <w:shd w:val="clear" w:color="auto" w:fill="auto"/>
            <w:noWrap/>
          </w:tcPr>
          <w:p w14:paraId="650929AB" w14:textId="4F7CA567"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21.99</w:t>
            </w:r>
          </w:p>
        </w:tc>
      </w:tr>
      <w:tr w:rsidR="00593AEF" w:rsidRPr="0018386D" w14:paraId="650929B2"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AD" w14:textId="77777777" w:rsidR="00593AEF" w:rsidRPr="0018386D" w:rsidRDefault="00593AEF" w:rsidP="00DD3106">
            <w:pPr>
              <w:pStyle w:val="TableText"/>
              <w:spacing w:before="40" w:after="40"/>
              <w:rPr>
                <w:rFonts w:cs="Calibri"/>
                <w:szCs w:val="18"/>
              </w:rPr>
            </w:pPr>
          </w:p>
        </w:tc>
        <w:tc>
          <w:tcPr>
            <w:tcW w:w="1791" w:type="dxa"/>
            <w:noWrap/>
          </w:tcPr>
          <w:p w14:paraId="650929AE" w14:textId="7BE23B14"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1600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2000 cc</w:t>
            </w:r>
          </w:p>
        </w:tc>
        <w:tc>
          <w:tcPr>
            <w:tcW w:w="0" w:type="auto"/>
          </w:tcPr>
          <w:p w14:paraId="7A795340" w14:textId="20C9D2E2"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AF" w14:textId="3101663A"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27.16</w:t>
            </w:r>
          </w:p>
        </w:tc>
        <w:tc>
          <w:tcPr>
            <w:tcW w:w="1051" w:type="dxa"/>
            <w:shd w:val="clear" w:color="auto" w:fill="auto"/>
            <w:noWrap/>
          </w:tcPr>
          <w:p w14:paraId="650929B0" w14:textId="1DBB9192"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25.71</w:t>
            </w:r>
          </w:p>
        </w:tc>
        <w:tc>
          <w:tcPr>
            <w:tcW w:w="0" w:type="auto"/>
            <w:tcBorders>
              <w:right w:val="nil"/>
            </w:tcBorders>
            <w:shd w:val="clear" w:color="auto" w:fill="auto"/>
            <w:noWrap/>
          </w:tcPr>
          <w:p w14:paraId="650929B1" w14:textId="3FCC40FE"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24.88</w:t>
            </w:r>
          </w:p>
        </w:tc>
      </w:tr>
      <w:tr w:rsidR="00593AEF" w:rsidRPr="0018386D" w14:paraId="650929B8"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1C556C" w:themeColor="accent1"/>
              <w:left w:val="nil"/>
              <w:bottom w:val="single" w:sz="8" w:space="0" w:color="1C556C" w:themeColor="accent1"/>
            </w:tcBorders>
          </w:tcPr>
          <w:p w14:paraId="650929B3" w14:textId="77777777" w:rsidR="00593AEF" w:rsidRPr="0018386D" w:rsidRDefault="00593AEF" w:rsidP="00DD3106">
            <w:pPr>
              <w:pStyle w:val="TableText"/>
              <w:spacing w:before="40" w:after="40"/>
              <w:rPr>
                <w:rFonts w:cs="Calibri"/>
                <w:szCs w:val="18"/>
              </w:rPr>
            </w:pPr>
          </w:p>
        </w:tc>
        <w:tc>
          <w:tcPr>
            <w:tcW w:w="1791" w:type="dxa"/>
            <w:noWrap/>
          </w:tcPr>
          <w:p w14:paraId="650929B4" w14:textId="19E61788"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3000 cc</w:t>
            </w:r>
          </w:p>
        </w:tc>
        <w:tc>
          <w:tcPr>
            <w:tcW w:w="0" w:type="auto"/>
          </w:tcPr>
          <w:p w14:paraId="771AC4E1" w14:textId="79ABE5EA" w:rsidR="00593AEF" w:rsidRPr="0018386D" w:rsidRDefault="00593AEF"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B5" w14:textId="2B218C48"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33.46</w:t>
            </w:r>
          </w:p>
        </w:tc>
        <w:tc>
          <w:tcPr>
            <w:tcW w:w="1051" w:type="dxa"/>
            <w:shd w:val="clear" w:color="auto" w:fill="auto"/>
            <w:noWrap/>
          </w:tcPr>
          <w:p w14:paraId="650929B6" w14:textId="410F71C2"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31.67</w:t>
            </w:r>
          </w:p>
        </w:tc>
        <w:tc>
          <w:tcPr>
            <w:tcW w:w="0" w:type="auto"/>
            <w:tcBorders>
              <w:top w:val="single" w:sz="8" w:space="0" w:color="1C556C" w:themeColor="accent1"/>
              <w:bottom w:val="single" w:sz="8" w:space="0" w:color="1C556C" w:themeColor="accent1"/>
              <w:right w:val="nil"/>
            </w:tcBorders>
            <w:shd w:val="clear" w:color="auto" w:fill="auto"/>
            <w:noWrap/>
          </w:tcPr>
          <w:p w14:paraId="650929B7" w14:textId="088C03E2" w:rsidR="00593AEF" w:rsidRPr="0018386D" w:rsidRDefault="00593AE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t>30.64</w:t>
            </w:r>
          </w:p>
        </w:tc>
      </w:tr>
      <w:tr w:rsidR="00593AEF" w:rsidRPr="0018386D" w14:paraId="650929BE"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B9" w14:textId="77777777" w:rsidR="00593AEF" w:rsidRPr="0018386D" w:rsidRDefault="00593AEF" w:rsidP="00DD3106">
            <w:pPr>
              <w:pStyle w:val="TableText"/>
              <w:spacing w:before="40" w:after="40"/>
              <w:rPr>
                <w:rFonts w:cs="Calibri"/>
                <w:szCs w:val="18"/>
              </w:rPr>
            </w:pPr>
          </w:p>
        </w:tc>
        <w:tc>
          <w:tcPr>
            <w:tcW w:w="1791" w:type="dxa"/>
            <w:noWrap/>
          </w:tcPr>
          <w:p w14:paraId="650929BA" w14:textId="7777777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≥3000 cc</w:t>
            </w:r>
          </w:p>
        </w:tc>
        <w:tc>
          <w:tcPr>
            <w:tcW w:w="0" w:type="auto"/>
          </w:tcPr>
          <w:p w14:paraId="6C2278D8" w14:textId="52A03C97" w:rsidR="00593AEF" w:rsidRPr="0018386D" w:rsidRDefault="00593AEF"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06" w:type="dxa"/>
            <w:shd w:val="clear" w:color="auto" w:fill="auto"/>
            <w:noWrap/>
          </w:tcPr>
          <w:p w14:paraId="650929BB" w14:textId="7E7DB7DC"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39.11</w:t>
            </w:r>
          </w:p>
        </w:tc>
        <w:tc>
          <w:tcPr>
            <w:tcW w:w="1051" w:type="dxa"/>
            <w:shd w:val="clear" w:color="auto" w:fill="auto"/>
            <w:noWrap/>
          </w:tcPr>
          <w:p w14:paraId="650929BC" w14:textId="38036D0E"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37.01</w:t>
            </w:r>
          </w:p>
        </w:tc>
        <w:tc>
          <w:tcPr>
            <w:tcW w:w="0" w:type="auto"/>
            <w:tcBorders>
              <w:right w:val="nil"/>
            </w:tcBorders>
            <w:shd w:val="clear" w:color="auto" w:fill="auto"/>
            <w:noWrap/>
          </w:tcPr>
          <w:p w14:paraId="650929BD" w14:textId="767B8EEB" w:rsidR="00593AEF" w:rsidRPr="0018386D" w:rsidRDefault="00593AE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t>35.82</w:t>
            </w:r>
          </w:p>
        </w:tc>
      </w:tr>
    </w:tbl>
    <w:p w14:paraId="292E3F28" w14:textId="151C695C" w:rsidR="00917FF8" w:rsidRPr="0018386D" w:rsidRDefault="00917FF8" w:rsidP="00DD3106">
      <w:pPr>
        <w:pStyle w:val="Note"/>
      </w:pPr>
      <w:bookmarkStart w:id="658" w:name="Table55"/>
      <w:r w:rsidRPr="0018386D">
        <w:rPr>
          <w:b/>
          <w:bCs/>
        </w:rPr>
        <w:t>Note:</w:t>
      </w:r>
      <w:r w:rsidRPr="0018386D">
        <w:t xml:space="preserve"> These numbers are rounded to two decimal places.</w:t>
      </w:r>
      <w:r w:rsidR="004C3308" w:rsidRPr="0018386D">
        <w:t xml:space="preserve"> </w:t>
      </w:r>
    </w:p>
    <w:p w14:paraId="650929C0" w14:textId="661F05A9" w:rsidR="00DA4F00" w:rsidRPr="0018386D" w:rsidRDefault="00EB4389" w:rsidP="00DD3106">
      <w:pPr>
        <w:pStyle w:val="Tableheading"/>
      </w:pPr>
      <w:bookmarkStart w:id="659" w:name="_Toc111536667"/>
      <w:bookmarkStart w:id="660" w:name="_Toc140048995"/>
      <w:r w:rsidRPr="0018386D">
        <w:t xml:space="preserve">Table </w:t>
      </w:r>
      <w:r w:rsidRPr="0018386D">
        <w:fldChar w:fldCharType="begin"/>
      </w:r>
      <w:r w:rsidRPr="0018386D">
        <w:instrText>SEQ Table \* ARABIC</w:instrText>
      </w:r>
      <w:r w:rsidRPr="0018386D">
        <w:fldChar w:fldCharType="separate"/>
      </w:r>
      <w:r w:rsidR="00061BCE" w:rsidRPr="0018386D">
        <w:t>55</w:t>
      </w:r>
      <w:r w:rsidRPr="0018386D">
        <w:fldChar w:fldCharType="end"/>
      </w:r>
      <w:bookmarkEnd w:id="658"/>
      <w:r w:rsidRPr="0018386D">
        <w:t>:</w:t>
      </w:r>
      <w:r w:rsidRPr="0018386D">
        <w:tab/>
      </w:r>
      <w:r w:rsidR="00F7178D" w:rsidRPr="0018386D">
        <w:t xml:space="preserve">Heavy goods vehicles </w:t>
      </w:r>
      <w:r w:rsidR="00836D5A" w:rsidRPr="0018386D">
        <w:t>(</w:t>
      </w:r>
      <w:r w:rsidR="00F7178D" w:rsidRPr="0018386D">
        <w:t>energy consumption per 100</w:t>
      </w:r>
      <w:r w:rsidR="00836D5A" w:rsidRPr="0018386D">
        <w:t xml:space="preserve"> </w:t>
      </w:r>
      <w:r w:rsidR="00F7178D" w:rsidRPr="0018386D">
        <w:t>km</w:t>
      </w:r>
      <w:r w:rsidR="00836D5A" w:rsidRPr="0018386D">
        <w:t>)</w:t>
      </w:r>
      <w:bookmarkEnd w:id="659"/>
      <w:bookmarkEnd w:id="660"/>
    </w:p>
    <w:tbl>
      <w:tblPr>
        <w:tblStyle w:val="LightList-Accent11"/>
        <w:tblW w:w="8505" w:type="dxa"/>
        <w:tblLook w:val="04A0" w:firstRow="1" w:lastRow="0" w:firstColumn="1" w:lastColumn="0" w:noHBand="0" w:noVBand="1"/>
      </w:tblPr>
      <w:tblGrid>
        <w:gridCol w:w="2882"/>
        <w:gridCol w:w="1720"/>
        <w:gridCol w:w="652"/>
        <w:gridCol w:w="1125"/>
        <w:gridCol w:w="1094"/>
        <w:gridCol w:w="1032"/>
      </w:tblGrid>
      <w:tr w:rsidR="00AA04C5" w:rsidRPr="0018386D" w14:paraId="2ABAFE9F" w14:textId="77777777" w:rsidTr="005362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shd w:val="clear" w:color="auto" w:fill="1B556B"/>
            <w:noWrap/>
            <w:vAlign w:val="bottom"/>
          </w:tcPr>
          <w:p w14:paraId="69B57DA1" w14:textId="7A26D22C" w:rsidR="00AA04C5" w:rsidRPr="0018386D" w:rsidRDefault="00AA04C5" w:rsidP="00DD3106">
            <w:pPr>
              <w:pStyle w:val="TableText"/>
              <w:spacing w:before="0"/>
              <w:rPr>
                <w:rFonts w:cs="Calibri"/>
                <w:szCs w:val="18"/>
              </w:rPr>
            </w:pPr>
            <w:r w:rsidRPr="0018386D">
              <w:rPr>
                <w:rFonts w:cs="Calibri"/>
                <w:szCs w:val="18"/>
              </w:rPr>
              <w:t>Emission source</w:t>
            </w:r>
          </w:p>
        </w:tc>
        <w:tc>
          <w:tcPr>
            <w:tcW w:w="0" w:type="auto"/>
            <w:vMerge w:val="restart"/>
            <w:shd w:val="clear" w:color="auto" w:fill="1B556B"/>
            <w:vAlign w:val="bottom"/>
          </w:tcPr>
          <w:p w14:paraId="72A17515" w14:textId="71EA3CAB" w:rsidR="00AA04C5" w:rsidRPr="0018386D" w:rsidRDefault="00AA04C5" w:rsidP="00DD3106">
            <w:pPr>
              <w:pStyle w:val="TableText"/>
              <w:spacing w:before="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Units</w:t>
            </w:r>
          </w:p>
        </w:tc>
        <w:tc>
          <w:tcPr>
            <w:tcW w:w="0" w:type="auto"/>
            <w:gridSpan w:val="3"/>
            <w:shd w:val="clear" w:color="auto" w:fill="1B556B"/>
            <w:noWrap/>
            <w:vAlign w:val="bottom"/>
          </w:tcPr>
          <w:p w14:paraId="04D2EC2C" w14:textId="02B37648" w:rsidR="00AA04C5" w:rsidRPr="0018386D" w:rsidRDefault="00AA04C5" w:rsidP="00DD3106">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Units of energy consumed per 100 km</w:t>
            </w:r>
          </w:p>
        </w:tc>
      </w:tr>
      <w:tr w:rsidR="00AA04C5" w:rsidRPr="0018386D" w14:paraId="5EC9F4C2" w14:textId="77777777" w:rsidTr="00C87F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Merge/>
            <w:shd w:val="clear" w:color="auto" w:fill="1B556B"/>
            <w:noWrap/>
            <w:vAlign w:val="bottom"/>
          </w:tcPr>
          <w:p w14:paraId="00523BDC" w14:textId="77777777" w:rsidR="00AA04C5" w:rsidRPr="0018386D" w:rsidRDefault="00AA04C5" w:rsidP="00DD3106">
            <w:pPr>
              <w:pStyle w:val="TableText"/>
              <w:rPr>
                <w:rFonts w:cs="Calibri"/>
                <w:b w:val="0"/>
                <w:szCs w:val="18"/>
              </w:rPr>
            </w:pPr>
          </w:p>
        </w:tc>
        <w:tc>
          <w:tcPr>
            <w:tcW w:w="0" w:type="auto"/>
            <w:vMerge/>
            <w:shd w:val="clear" w:color="auto" w:fill="1B556B"/>
          </w:tcPr>
          <w:p w14:paraId="6DCF2722" w14:textId="77777777" w:rsidR="00AA04C5" w:rsidRPr="0018386D" w:rsidRDefault="00AA04C5" w:rsidP="00DD3106">
            <w:pPr>
              <w:pStyle w:val="TableText"/>
              <w:cnfStyle w:val="100000000000" w:firstRow="1" w:lastRow="0" w:firstColumn="0" w:lastColumn="0" w:oddVBand="0" w:evenVBand="0" w:oddHBand="0" w:evenHBand="0" w:firstRowFirstColumn="0" w:firstRowLastColumn="0" w:lastRowFirstColumn="0" w:lastRowLastColumn="0"/>
              <w:rPr>
                <w:rFonts w:cs="Calibri"/>
                <w:b w:val="0"/>
                <w:szCs w:val="18"/>
              </w:rPr>
            </w:pPr>
          </w:p>
        </w:tc>
        <w:tc>
          <w:tcPr>
            <w:tcW w:w="1125" w:type="dxa"/>
            <w:shd w:val="clear" w:color="auto" w:fill="1B556B"/>
            <w:noWrap/>
          </w:tcPr>
          <w:p w14:paraId="40473CDD" w14:textId="753EF15E" w:rsidR="00AA04C5" w:rsidRPr="0018386D" w:rsidRDefault="00AA04C5" w:rsidP="00DD3106">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Pre-2010</w:t>
            </w:r>
          </w:p>
        </w:tc>
        <w:tc>
          <w:tcPr>
            <w:tcW w:w="1094" w:type="dxa"/>
            <w:shd w:val="clear" w:color="auto" w:fill="1B556B"/>
          </w:tcPr>
          <w:p w14:paraId="07F6BAD6" w14:textId="0ABEA826" w:rsidR="00AA04C5" w:rsidRPr="0018386D" w:rsidRDefault="00AA04C5" w:rsidP="00DD3106">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2010–2015</w:t>
            </w:r>
          </w:p>
        </w:tc>
        <w:tc>
          <w:tcPr>
            <w:tcW w:w="0" w:type="auto"/>
            <w:tcBorders>
              <w:bottom w:val="single" w:sz="8" w:space="0" w:color="1C556C" w:themeColor="accent1"/>
            </w:tcBorders>
            <w:shd w:val="clear" w:color="auto" w:fill="1B556B"/>
          </w:tcPr>
          <w:p w14:paraId="3F1D36BE" w14:textId="4F457D2A" w:rsidR="00AA04C5" w:rsidRPr="0018386D" w:rsidRDefault="00AA04C5" w:rsidP="00DD3106">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Post-2015</w:t>
            </w:r>
          </w:p>
        </w:tc>
      </w:tr>
      <w:tr w:rsidR="004F6139" w:rsidRPr="0018386D" w14:paraId="650929CB"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tcPr>
          <w:p w14:paraId="650929C6" w14:textId="1565AE0D" w:rsidR="00B9331D" w:rsidRPr="0018386D" w:rsidRDefault="00B9331D" w:rsidP="00DD3106">
            <w:pPr>
              <w:pStyle w:val="TableText"/>
              <w:spacing w:before="50" w:after="50"/>
              <w:rPr>
                <w:rFonts w:cs="Calibri"/>
                <w:b w:val="0"/>
                <w:szCs w:val="18"/>
              </w:rPr>
            </w:pPr>
            <w:r w:rsidRPr="0018386D">
              <w:rPr>
                <w:rFonts w:cs="Calibri"/>
                <w:b w:val="0"/>
                <w:szCs w:val="18"/>
              </w:rPr>
              <w:t>HGV diesel</w:t>
            </w:r>
          </w:p>
        </w:tc>
        <w:tc>
          <w:tcPr>
            <w:tcW w:w="0" w:type="auto"/>
            <w:noWrap/>
          </w:tcPr>
          <w:p w14:paraId="650929C7" w14:textId="15B65E62"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 xml:space="preserve">&lt;5,000 kg </w:t>
            </w:r>
          </w:p>
        </w:tc>
        <w:tc>
          <w:tcPr>
            <w:tcW w:w="0" w:type="auto"/>
          </w:tcPr>
          <w:p w14:paraId="094DFF92" w14:textId="4352A050"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C8" w14:textId="05F6494D" w:rsidR="00B9331D" w:rsidRPr="0018386D" w:rsidRDefault="00842E09"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r w:rsidRPr="0018386D">
              <w:rPr>
                <w:szCs w:val="18"/>
              </w:rPr>
              <w:t>6.56</w:t>
            </w:r>
          </w:p>
        </w:tc>
        <w:tc>
          <w:tcPr>
            <w:tcW w:w="1094" w:type="dxa"/>
            <w:shd w:val="clear" w:color="auto" w:fill="auto"/>
            <w:noWrap/>
            <w:vAlign w:val="bottom"/>
          </w:tcPr>
          <w:p w14:paraId="650929C9" w14:textId="5466B988" w:rsidR="00B9331D" w:rsidRPr="0018386D" w:rsidRDefault="00842E09"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r w:rsidRPr="0018386D">
              <w:rPr>
                <w:szCs w:val="18"/>
              </w:rPr>
              <w:t>5.72</w:t>
            </w:r>
          </w:p>
        </w:tc>
        <w:tc>
          <w:tcPr>
            <w:tcW w:w="0" w:type="auto"/>
            <w:tcBorders>
              <w:right w:val="nil"/>
            </w:tcBorders>
            <w:shd w:val="clear" w:color="auto" w:fill="auto"/>
            <w:noWrap/>
            <w:vAlign w:val="bottom"/>
          </w:tcPr>
          <w:p w14:paraId="650929CA" w14:textId="03E876D8" w:rsidR="00B9331D" w:rsidRPr="0018386D" w:rsidRDefault="00842E09"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r w:rsidRPr="0018386D">
              <w:rPr>
                <w:szCs w:val="18"/>
              </w:rPr>
              <w:t>5.66</w:t>
            </w:r>
          </w:p>
        </w:tc>
      </w:tr>
      <w:tr w:rsidR="004F6139" w:rsidRPr="0018386D" w14:paraId="650929D1"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9CC" w14:textId="77777777" w:rsidR="00B9331D" w:rsidRPr="0018386D" w:rsidRDefault="00B9331D" w:rsidP="00DD3106">
            <w:pPr>
              <w:pStyle w:val="TableText"/>
              <w:spacing w:before="50" w:after="50"/>
              <w:rPr>
                <w:rFonts w:cs="Calibri"/>
                <w:b w:val="0"/>
                <w:szCs w:val="18"/>
              </w:rPr>
            </w:pPr>
          </w:p>
        </w:tc>
        <w:tc>
          <w:tcPr>
            <w:tcW w:w="0" w:type="auto"/>
            <w:noWrap/>
          </w:tcPr>
          <w:p w14:paraId="650929CD" w14:textId="02D50CF2"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5,000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7,500 kg </w:t>
            </w:r>
          </w:p>
        </w:tc>
        <w:tc>
          <w:tcPr>
            <w:tcW w:w="0" w:type="auto"/>
          </w:tcPr>
          <w:p w14:paraId="3E7605A0" w14:textId="5FED2298"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CE" w14:textId="0823E72E" w:rsidR="00B9331D" w:rsidRPr="0018386D" w:rsidRDefault="00842E09"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8.97</w:t>
            </w:r>
          </w:p>
        </w:tc>
        <w:tc>
          <w:tcPr>
            <w:tcW w:w="1094" w:type="dxa"/>
            <w:shd w:val="clear" w:color="auto" w:fill="auto"/>
            <w:noWrap/>
            <w:vAlign w:val="bottom"/>
          </w:tcPr>
          <w:p w14:paraId="650929CF" w14:textId="646897B7" w:rsidR="00B9331D" w:rsidRPr="0018386D" w:rsidRDefault="00842E09"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8.01</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9D0" w14:textId="1B9136AD" w:rsidR="00B9331D" w:rsidRPr="0018386D" w:rsidRDefault="00842E09"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7.73</w:t>
            </w:r>
          </w:p>
        </w:tc>
      </w:tr>
      <w:tr w:rsidR="004F6139" w:rsidRPr="0018386D" w14:paraId="650929D7"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9D2" w14:textId="77777777" w:rsidR="00B9331D" w:rsidRPr="0018386D" w:rsidRDefault="00B9331D" w:rsidP="00DD3106">
            <w:pPr>
              <w:pStyle w:val="TableText"/>
              <w:spacing w:before="50" w:after="50"/>
              <w:rPr>
                <w:rFonts w:cs="Calibri"/>
                <w:b w:val="0"/>
                <w:szCs w:val="18"/>
              </w:rPr>
            </w:pPr>
          </w:p>
        </w:tc>
        <w:tc>
          <w:tcPr>
            <w:tcW w:w="0" w:type="auto"/>
            <w:noWrap/>
          </w:tcPr>
          <w:p w14:paraId="650929D3" w14:textId="425E4AD9"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7,500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10,000 kg</w:t>
            </w:r>
          </w:p>
        </w:tc>
        <w:tc>
          <w:tcPr>
            <w:tcW w:w="0" w:type="auto"/>
          </w:tcPr>
          <w:p w14:paraId="5387C8B3" w14:textId="071E275A"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D4" w14:textId="2CEB539B" w:rsidR="00B9331D" w:rsidRPr="0018386D" w:rsidRDefault="00842E09"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w:t>
            </w:r>
            <w:r w:rsidRPr="0018386D">
              <w:rPr>
                <w:szCs w:val="18"/>
              </w:rPr>
              <w:t>3.20</w:t>
            </w:r>
          </w:p>
        </w:tc>
        <w:tc>
          <w:tcPr>
            <w:tcW w:w="1094" w:type="dxa"/>
            <w:shd w:val="clear" w:color="auto" w:fill="auto"/>
            <w:noWrap/>
            <w:vAlign w:val="bottom"/>
          </w:tcPr>
          <w:p w14:paraId="650929D5" w14:textId="5AF32318" w:rsidR="00B9331D" w:rsidRPr="0018386D" w:rsidRDefault="00C112CE"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w:t>
            </w:r>
            <w:r w:rsidRPr="0018386D">
              <w:rPr>
                <w:szCs w:val="18"/>
              </w:rPr>
              <w:t>2.01</w:t>
            </w:r>
          </w:p>
        </w:tc>
        <w:tc>
          <w:tcPr>
            <w:tcW w:w="0" w:type="auto"/>
            <w:tcBorders>
              <w:right w:val="nil"/>
            </w:tcBorders>
            <w:shd w:val="clear" w:color="auto" w:fill="auto"/>
            <w:noWrap/>
            <w:vAlign w:val="bottom"/>
          </w:tcPr>
          <w:p w14:paraId="650929D6" w14:textId="3C963BFE" w:rsidR="00B9331D" w:rsidRPr="0018386D" w:rsidRDefault="00C112CE"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w:t>
            </w:r>
            <w:r w:rsidRPr="0018386D">
              <w:rPr>
                <w:szCs w:val="18"/>
              </w:rPr>
              <w:t>1.68</w:t>
            </w:r>
          </w:p>
        </w:tc>
      </w:tr>
      <w:tr w:rsidR="004F6139" w:rsidRPr="0018386D" w14:paraId="650929DD"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9D8" w14:textId="77777777" w:rsidR="00B9331D" w:rsidRPr="0018386D" w:rsidRDefault="00B9331D" w:rsidP="00DD3106">
            <w:pPr>
              <w:pStyle w:val="TableText"/>
              <w:spacing w:before="50" w:after="50"/>
              <w:rPr>
                <w:rFonts w:cs="Calibri"/>
                <w:b w:val="0"/>
                <w:szCs w:val="18"/>
              </w:rPr>
            </w:pPr>
          </w:p>
        </w:tc>
        <w:tc>
          <w:tcPr>
            <w:tcW w:w="0" w:type="auto"/>
            <w:noWrap/>
          </w:tcPr>
          <w:p w14:paraId="650929D9" w14:textId="366A43BF"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10,000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12,000 kg </w:t>
            </w:r>
          </w:p>
        </w:tc>
        <w:tc>
          <w:tcPr>
            <w:tcW w:w="0" w:type="auto"/>
          </w:tcPr>
          <w:p w14:paraId="684C9B5A" w14:textId="483463E8"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DA" w14:textId="6A8844CE" w:rsidR="00B9331D" w:rsidRPr="0018386D" w:rsidRDefault="00C112CE"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w:t>
            </w:r>
            <w:r w:rsidRPr="0018386D">
              <w:rPr>
                <w:szCs w:val="18"/>
              </w:rPr>
              <w:t>7.51</w:t>
            </w:r>
          </w:p>
        </w:tc>
        <w:tc>
          <w:tcPr>
            <w:tcW w:w="1094" w:type="dxa"/>
            <w:shd w:val="clear" w:color="auto" w:fill="auto"/>
            <w:noWrap/>
            <w:vAlign w:val="bottom"/>
          </w:tcPr>
          <w:p w14:paraId="650929DB" w14:textId="08C48242" w:rsidR="00B9331D" w:rsidRPr="0018386D" w:rsidRDefault="00C112CE"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w:t>
            </w:r>
            <w:r w:rsidRPr="0018386D">
              <w:rPr>
                <w:szCs w:val="18"/>
              </w:rPr>
              <w:t>6.01</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9DC" w14:textId="75C5D545" w:rsidR="00B9331D" w:rsidRPr="0018386D" w:rsidRDefault="00C112CE"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w:t>
            </w:r>
            <w:r w:rsidRPr="0018386D">
              <w:rPr>
                <w:szCs w:val="18"/>
              </w:rPr>
              <w:t>5.71</w:t>
            </w:r>
          </w:p>
        </w:tc>
      </w:tr>
      <w:tr w:rsidR="004F6139" w:rsidRPr="0018386D" w14:paraId="650929E3"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9DE" w14:textId="77777777" w:rsidR="00B9331D" w:rsidRPr="0018386D" w:rsidRDefault="00B9331D" w:rsidP="00DD3106">
            <w:pPr>
              <w:pStyle w:val="TableText"/>
              <w:spacing w:before="50" w:after="50"/>
              <w:rPr>
                <w:rFonts w:cs="Calibri"/>
                <w:b w:val="0"/>
                <w:szCs w:val="18"/>
              </w:rPr>
            </w:pPr>
          </w:p>
        </w:tc>
        <w:tc>
          <w:tcPr>
            <w:tcW w:w="0" w:type="auto"/>
            <w:noWrap/>
          </w:tcPr>
          <w:p w14:paraId="650929DF" w14:textId="25B5C9DC"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15,000 kg </w:t>
            </w:r>
          </w:p>
        </w:tc>
        <w:tc>
          <w:tcPr>
            <w:tcW w:w="0" w:type="auto"/>
          </w:tcPr>
          <w:p w14:paraId="78EAD250" w14:textId="49F621D2"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E0" w14:textId="4193BA38" w:rsidR="00B9331D" w:rsidRPr="0018386D" w:rsidRDefault="00C112CE"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3</w:t>
            </w:r>
            <w:r w:rsidRPr="0018386D">
              <w:rPr>
                <w:szCs w:val="18"/>
              </w:rPr>
              <w:t>1.26</w:t>
            </w:r>
          </w:p>
        </w:tc>
        <w:tc>
          <w:tcPr>
            <w:tcW w:w="1094" w:type="dxa"/>
            <w:shd w:val="clear" w:color="auto" w:fill="auto"/>
            <w:noWrap/>
            <w:vAlign w:val="bottom"/>
          </w:tcPr>
          <w:p w14:paraId="650929E1" w14:textId="5B5BBD73" w:rsidR="00B9331D" w:rsidRPr="0018386D" w:rsidRDefault="00C112CE"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w:t>
            </w:r>
            <w:r w:rsidRPr="0018386D">
              <w:rPr>
                <w:szCs w:val="18"/>
              </w:rPr>
              <w:t>9.66</w:t>
            </w:r>
          </w:p>
        </w:tc>
        <w:tc>
          <w:tcPr>
            <w:tcW w:w="0" w:type="auto"/>
            <w:tcBorders>
              <w:right w:val="nil"/>
            </w:tcBorders>
            <w:shd w:val="clear" w:color="auto" w:fill="auto"/>
            <w:noWrap/>
            <w:vAlign w:val="bottom"/>
          </w:tcPr>
          <w:p w14:paraId="650929E2" w14:textId="697FCD13" w:rsidR="00B9331D" w:rsidRPr="0018386D" w:rsidRDefault="00C112CE"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w:t>
            </w:r>
            <w:r w:rsidRPr="0018386D">
              <w:rPr>
                <w:szCs w:val="18"/>
              </w:rPr>
              <w:t>9.22</w:t>
            </w:r>
          </w:p>
        </w:tc>
      </w:tr>
      <w:tr w:rsidR="004F6139" w:rsidRPr="0018386D" w14:paraId="650929E9"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9E4" w14:textId="77777777" w:rsidR="00B9331D" w:rsidRPr="0018386D" w:rsidRDefault="00B9331D" w:rsidP="00DD3106">
            <w:pPr>
              <w:pStyle w:val="TableText"/>
              <w:spacing w:before="50" w:after="50"/>
              <w:rPr>
                <w:rFonts w:cs="Calibri"/>
                <w:b w:val="0"/>
                <w:szCs w:val="18"/>
              </w:rPr>
            </w:pPr>
          </w:p>
        </w:tc>
        <w:tc>
          <w:tcPr>
            <w:tcW w:w="0" w:type="auto"/>
            <w:noWrap/>
          </w:tcPr>
          <w:p w14:paraId="650929E5" w14:textId="4A0DBDBC"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15,000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20,000 kg </w:t>
            </w:r>
          </w:p>
        </w:tc>
        <w:tc>
          <w:tcPr>
            <w:tcW w:w="0" w:type="auto"/>
          </w:tcPr>
          <w:p w14:paraId="207E775B" w14:textId="73C3EFE0"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E6" w14:textId="66EB4C1C" w:rsidR="00B9331D" w:rsidRPr="0018386D" w:rsidRDefault="0098370A"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3</w:t>
            </w:r>
            <w:r w:rsidRPr="0018386D">
              <w:rPr>
                <w:szCs w:val="18"/>
              </w:rPr>
              <w:t>6.51</w:t>
            </w:r>
          </w:p>
        </w:tc>
        <w:tc>
          <w:tcPr>
            <w:tcW w:w="1094" w:type="dxa"/>
            <w:shd w:val="clear" w:color="auto" w:fill="auto"/>
            <w:noWrap/>
            <w:vAlign w:val="bottom"/>
          </w:tcPr>
          <w:p w14:paraId="650929E7" w14:textId="6BD3B1D3" w:rsidR="00B9331D" w:rsidRPr="0018386D" w:rsidRDefault="0098370A"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3</w:t>
            </w:r>
            <w:r w:rsidRPr="0018386D">
              <w:rPr>
                <w:szCs w:val="18"/>
              </w:rPr>
              <w:t>5.59</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9E8" w14:textId="3359DBD2" w:rsidR="00B9331D" w:rsidRPr="0018386D" w:rsidRDefault="0098370A"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3</w:t>
            </w:r>
            <w:r w:rsidRPr="0018386D">
              <w:rPr>
                <w:szCs w:val="18"/>
              </w:rPr>
              <w:t>5.50</w:t>
            </w:r>
          </w:p>
        </w:tc>
      </w:tr>
      <w:tr w:rsidR="004F6139" w:rsidRPr="0018386D" w14:paraId="650929EF"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9EA" w14:textId="77777777" w:rsidR="00B9331D" w:rsidRPr="0018386D" w:rsidRDefault="00B9331D" w:rsidP="00DD3106">
            <w:pPr>
              <w:pStyle w:val="TableText"/>
              <w:spacing w:before="50" w:after="50"/>
              <w:rPr>
                <w:rFonts w:cs="Calibri"/>
                <w:b w:val="0"/>
                <w:szCs w:val="18"/>
              </w:rPr>
            </w:pPr>
          </w:p>
        </w:tc>
        <w:tc>
          <w:tcPr>
            <w:tcW w:w="0" w:type="auto"/>
            <w:noWrap/>
          </w:tcPr>
          <w:p w14:paraId="650929EB" w14:textId="0C34B3B6"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20,000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25,000 kg </w:t>
            </w:r>
          </w:p>
        </w:tc>
        <w:tc>
          <w:tcPr>
            <w:tcW w:w="0" w:type="auto"/>
          </w:tcPr>
          <w:p w14:paraId="0677A820" w14:textId="417E8EC9"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EC" w14:textId="1952DDFC" w:rsidR="00B9331D" w:rsidRPr="0018386D" w:rsidRDefault="0098370A"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w:t>
            </w:r>
            <w:r w:rsidRPr="0018386D">
              <w:rPr>
                <w:szCs w:val="18"/>
              </w:rPr>
              <w:t>8.61</w:t>
            </w:r>
          </w:p>
        </w:tc>
        <w:tc>
          <w:tcPr>
            <w:tcW w:w="1094" w:type="dxa"/>
            <w:shd w:val="clear" w:color="auto" w:fill="auto"/>
            <w:noWrap/>
            <w:vAlign w:val="bottom"/>
          </w:tcPr>
          <w:p w14:paraId="650929ED" w14:textId="1B1AC618" w:rsidR="00B9331D" w:rsidRPr="0018386D" w:rsidRDefault="009903B6"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w:t>
            </w:r>
            <w:r w:rsidRPr="0018386D">
              <w:rPr>
                <w:szCs w:val="18"/>
              </w:rPr>
              <w:t>7.37</w:t>
            </w:r>
          </w:p>
        </w:tc>
        <w:tc>
          <w:tcPr>
            <w:tcW w:w="0" w:type="auto"/>
            <w:tcBorders>
              <w:right w:val="nil"/>
            </w:tcBorders>
            <w:shd w:val="clear" w:color="auto" w:fill="auto"/>
            <w:noWrap/>
            <w:vAlign w:val="bottom"/>
          </w:tcPr>
          <w:p w14:paraId="650929EE" w14:textId="6D2E4D60" w:rsidR="00B9331D" w:rsidRPr="0018386D" w:rsidRDefault="009903B6"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w:t>
            </w:r>
            <w:r w:rsidRPr="0018386D">
              <w:rPr>
                <w:szCs w:val="18"/>
              </w:rPr>
              <w:t>7.26</w:t>
            </w:r>
          </w:p>
        </w:tc>
      </w:tr>
      <w:tr w:rsidR="004F6139" w:rsidRPr="0018386D" w14:paraId="650929F5"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9F0" w14:textId="77777777" w:rsidR="00B9331D" w:rsidRPr="0018386D" w:rsidRDefault="00B9331D" w:rsidP="00DD3106">
            <w:pPr>
              <w:pStyle w:val="TableText"/>
              <w:spacing w:before="50" w:after="50"/>
              <w:rPr>
                <w:rFonts w:cs="Calibri"/>
                <w:b w:val="0"/>
                <w:szCs w:val="18"/>
              </w:rPr>
            </w:pPr>
          </w:p>
        </w:tc>
        <w:tc>
          <w:tcPr>
            <w:tcW w:w="0" w:type="auto"/>
            <w:noWrap/>
          </w:tcPr>
          <w:p w14:paraId="650929F1" w14:textId="716321AF"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25,000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30,000 kg </w:t>
            </w:r>
          </w:p>
        </w:tc>
        <w:tc>
          <w:tcPr>
            <w:tcW w:w="0" w:type="auto"/>
          </w:tcPr>
          <w:p w14:paraId="4E7708A4" w14:textId="24CDE220" w:rsidR="00B9331D" w:rsidRPr="0018386D" w:rsidRDefault="00B9331D"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F2" w14:textId="245B40BB" w:rsidR="00B9331D" w:rsidRPr="0018386D" w:rsidRDefault="009903B6"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w:t>
            </w:r>
            <w:r w:rsidRPr="0018386D">
              <w:rPr>
                <w:szCs w:val="18"/>
              </w:rPr>
              <w:t>7.28</w:t>
            </w:r>
          </w:p>
        </w:tc>
        <w:tc>
          <w:tcPr>
            <w:tcW w:w="1094" w:type="dxa"/>
            <w:shd w:val="clear" w:color="auto" w:fill="auto"/>
            <w:noWrap/>
            <w:vAlign w:val="bottom"/>
          </w:tcPr>
          <w:p w14:paraId="650929F3" w14:textId="5BCF0C4A" w:rsidR="00B9331D" w:rsidRPr="0018386D" w:rsidRDefault="009903B6"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w:t>
            </w:r>
            <w:r w:rsidRPr="0018386D">
              <w:rPr>
                <w:szCs w:val="18"/>
              </w:rPr>
              <w:t>2.90</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9F4" w14:textId="3117623A" w:rsidR="00B9331D" w:rsidRPr="0018386D" w:rsidRDefault="009903B6"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w:t>
            </w:r>
            <w:r w:rsidRPr="0018386D">
              <w:rPr>
                <w:szCs w:val="18"/>
              </w:rPr>
              <w:t>2.77</w:t>
            </w:r>
          </w:p>
        </w:tc>
      </w:tr>
      <w:tr w:rsidR="004F6139" w:rsidRPr="0018386D" w14:paraId="650929FB"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9F6" w14:textId="77777777" w:rsidR="00B9331D" w:rsidRPr="0018386D" w:rsidRDefault="00B9331D" w:rsidP="00DD3106">
            <w:pPr>
              <w:pStyle w:val="TableText"/>
              <w:spacing w:before="50" w:after="50"/>
              <w:rPr>
                <w:rFonts w:cs="Calibri"/>
                <w:b w:val="0"/>
                <w:szCs w:val="18"/>
              </w:rPr>
            </w:pPr>
          </w:p>
        </w:tc>
        <w:tc>
          <w:tcPr>
            <w:tcW w:w="0" w:type="auto"/>
            <w:noWrap/>
          </w:tcPr>
          <w:p w14:paraId="650929F7" w14:textId="1E61AA8B"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 xml:space="preserve">≥30,000 kg </w:t>
            </w:r>
          </w:p>
        </w:tc>
        <w:tc>
          <w:tcPr>
            <w:tcW w:w="0" w:type="auto"/>
          </w:tcPr>
          <w:p w14:paraId="7940E70D" w14:textId="10A03FC3" w:rsidR="00B9331D" w:rsidRPr="0018386D" w:rsidRDefault="00B9331D"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F8" w14:textId="692021C3" w:rsidR="00B9331D" w:rsidRPr="0018386D" w:rsidRDefault="00E41B81"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w:t>
            </w:r>
            <w:r w:rsidRPr="0018386D">
              <w:rPr>
                <w:szCs w:val="18"/>
              </w:rPr>
              <w:t>7.28</w:t>
            </w:r>
          </w:p>
        </w:tc>
        <w:tc>
          <w:tcPr>
            <w:tcW w:w="1094" w:type="dxa"/>
            <w:shd w:val="clear" w:color="auto" w:fill="auto"/>
            <w:noWrap/>
            <w:vAlign w:val="bottom"/>
          </w:tcPr>
          <w:p w14:paraId="650929F9" w14:textId="10BC15C0" w:rsidR="00B9331D" w:rsidRPr="0018386D" w:rsidRDefault="00E41B81"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w:t>
            </w:r>
            <w:r w:rsidRPr="0018386D">
              <w:rPr>
                <w:szCs w:val="18"/>
              </w:rPr>
              <w:t>5.73</w:t>
            </w:r>
          </w:p>
        </w:tc>
        <w:tc>
          <w:tcPr>
            <w:tcW w:w="0" w:type="auto"/>
            <w:tcBorders>
              <w:right w:val="nil"/>
            </w:tcBorders>
            <w:shd w:val="clear" w:color="auto" w:fill="auto"/>
            <w:noWrap/>
            <w:vAlign w:val="bottom"/>
          </w:tcPr>
          <w:p w14:paraId="650929FA" w14:textId="1A9B2D69" w:rsidR="00B9331D" w:rsidRPr="0018386D" w:rsidRDefault="00E41B81"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w:t>
            </w:r>
            <w:r w:rsidRPr="0018386D">
              <w:rPr>
                <w:szCs w:val="18"/>
              </w:rPr>
              <w:t>5.60</w:t>
            </w:r>
          </w:p>
        </w:tc>
      </w:tr>
      <w:tr w:rsidR="004F6139" w:rsidRPr="0018386D" w14:paraId="65092A01"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1C556C" w:themeColor="accent1"/>
              <w:left w:val="nil"/>
              <w:bottom w:val="single" w:sz="8" w:space="0" w:color="1C556C" w:themeColor="accent1"/>
            </w:tcBorders>
          </w:tcPr>
          <w:p w14:paraId="650929FC" w14:textId="77777777" w:rsidR="00B9331D" w:rsidRPr="0018386D" w:rsidRDefault="00B9331D" w:rsidP="00DD3106">
            <w:pPr>
              <w:pStyle w:val="TableText"/>
              <w:keepNext/>
              <w:spacing w:before="40" w:after="40"/>
              <w:rPr>
                <w:rFonts w:cs="Calibri"/>
                <w:b w:val="0"/>
                <w:szCs w:val="18"/>
              </w:rPr>
            </w:pPr>
            <w:r w:rsidRPr="0018386D">
              <w:rPr>
                <w:rFonts w:cs="Calibri"/>
                <w:b w:val="0"/>
                <w:szCs w:val="18"/>
              </w:rPr>
              <w:t>HGV diesel hybrid</w:t>
            </w:r>
          </w:p>
        </w:tc>
        <w:tc>
          <w:tcPr>
            <w:tcW w:w="0" w:type="auto"/>
            <w:noWrap/>
          </w:tcPr>
          <w:p w14:paraId="650929FD" w14:textId="6CA9634F"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 xml:space="preserve">&lt;5,000 kg </w:t>
            </w:r>
          </w:p>
        </w:tc>
        <w:tc>
          <w:tcPr>
            <w:tcW w:w="0" w:type="auto"/>
          </w:tcPr>
          <w:p w14:paraId="1C729CA5" w14:textId="2D04FAA8"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9FE" w14:textId="4E29D3A2" w:rsidR="00B9331D" w:rsidRPr="0018386D" w:rsidRDefault="00E41B81"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3.35</w:t>
            </w:r>
          </w:p>
        </w:tc>
        <w:tc>
          <w:tcPr>
            <w:tcW w:w="1094" w:type="dxa"/>
            <w:shd w:val="clear" w:color="auto" w:fill="auto"/>
            <w:noWrap/>
            <w:vAlign w:val="bottom"/>
          </w:tcPr>
          <w:p w14:paraId="650929FF" w14:textId="35A8DA6C" w:rsidR="00B9331D" w:rsidRPr="0018386D" w:rsidRDefault="00E41B81"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2.65</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A00" w14:textId="29D042A5" w:rsidR="00B9331D" w:rsidRPr="0018386D" w:rsidRDefault="009637DC"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2.34</w:t>
            </w:r>
          </w:p>
        </w:tc>
      </w:tr>
      <w:tr w:rsidR="004F6139" w:rsidRPr="0018386D" w14:paraId="65092A07" w14:textId="77777777" w:rsidTr="00C87FF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A02" w14:textId="77777777" w:rsidR="00B9331D" w:rsidRPr="0018386D" w:rsidRDefault="00B9331D" w:rsidP="00DD3106">
            <w:pPr>
              <w:pStyle w:val="TableText"/>
              <w:spacing w:before="40" w:after="40"/>
              <w:rPr>
                <w:rFonts w:cs="Calibri"/>
                <w:b w:val="0"/>
                <w:szCs w:val="18"/>
              </w:rPr>
            </w:pPr>
          </w:p>
        </w:tc>
        <w:tc>
          <w:tcPr>
            <w:tcW w:w="0" w:type="auto"/>
            <w:noWrap/>
          </w:tcPr>
          <w:p w14:paraId="65092A03" w14:textId="03101BA8"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5,000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7,500 kg </w:t>
            </w:r>
          </w:p>
        </w:tc>
        <w:tc>
          <w:tcPr>
            <w:tcW w:w="0" w:type="auto"/>
          </w:tcPr>
          <w:p w14:paraId="61A95A63" w14:textId="3310C35E"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04" w14:textId="35996C83" w:rsidR="00B9331D" w:rsidRPr="0018386D" w:rsidRDefault="009637DC"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r w:rsidRPr="0018386D">
              <w:rPr>
                <w:szCs w:val="18"/>
              </w:rPr>
              <w:t>5.29</w:t>
            </w:r>
          </w:p>
        </w:tc>
        <w:tc>
          <w:tcPr>
            <w:tcW w:w="1094" w:type="dxa"/>
            <w:shd w:val="clear" w:color="auto" w:fill="auto"/>
            <w:noWrap/>
            <w:vAlign w:val="bottom"/>
          </w:tcPr>
          <w:p w14:paraId="65092A05" w14:textId="59E4BCBF" w:rsidR="00B9331D" w:rsidRPr="0018386D" w:rsidRDefault="009637DC"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r w:rsidRPr="0018386D">
              <w:rPr>
                <w:szCs w:val="18"/>
              </w:rPr>
              <w:t>4.50</w:t>
            </w:r>
          </w:p>
        </w:tc>
        <w:tc>
          <w:tcPr>
            <w:tcW w:w="0" w:type="auto"/>
            <w:tcBorders>
              <w:right w:val="nil"/>
            </w:tcBorders>
            <w:shd w:val="clear" w:color="auto" w:fill="auto"/>
            <w:noWrap/>
            <w:vAlign w:val="bottom"/>
          </w:tcPr>
          <w:p w14:paraId="65092A06" w14:textId="3729DF74" w:rsidR="00B9331D" w:rsidRPr="0018386D" w:rsidRDefault="009637DC"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r w:rsidRPr="0018386D">
              <w:rPr>
                <w:szCs w:val="18"/>
              </w:rPr>
              <w:t>4.14</w:t>
            </w:r>
          </w:p>
        </w:tc>
      </w:tr>
      <w:tr w:rsidR="004F6139" w:rsidRPr="0018386D" w14:paraId="65092A0D" w14:textId="77777777" w:rsidTr="00C87FF9">
        <w:trPr>
          <w:trHeight w:val="34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A08" w14:textId="77777777" w:rsidR="00B9331D" w:rsidRPr="0018386D" w:rsidRDefault="00B9331D" w:rsidP="00DD3106">
            <w:pPr>
              <w:pStyle w:val="TableText"/>
              <w:spacing w:before="40" w:after="40"/>
              <w:rPr>
                <w:rFonts w:cs="Calibri"/>
                <w:b w:val="0"/>
                <w:szCs w:val="18"/>
              </w:rPr>
            </w:pPr>
          </w:p>
        </w:tc>
        <w:tc>
          <w:tcPr>
            <w:tcW w:w="0" w:type="auto"/>
            <w:noWrap/>
          </w:tcPr>
          <w:p w14:paraId="65092A09" w14:textId="1C01B0DC"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7,500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10,000 kg</w:t>
            </w:r>
          </w:p>
        </w:tc>
        <w:tc>
          <w:tcPr>
            <w:tcW w:w="0" w:type="auto"/>
          </w:tcPr>
          <w:p w14:paraId="7071F5E5" w14:textId="2523B9CD"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0A" w14:textId="5C6E267A" w:rsidR="00B9331D" w:rsidRPr="0018386D" w:rsidRDefault="009637DC"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8.70</w:t>
            </w:r>
          </w:p>
        </w:tc>
        <w:tc>
          <w:tcPr>
            <w:tcW w:w="1094" w:type="dxa"/>
            <w:shd w:val="clear" w:color="auto" w:fill="auto"/>
            <w:noWrap/>
            <w:vAlign w:val="bottom"/>
          </w:tcPr>
          <w:p w14:paraId="65092A0B" w14:textId="08C6FF26" w:rsidR="00B9331D" w:rsidRPr="0018386D" w:rsidRDefault="009637DC"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7.72</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A0C" w14:textId="55370CB3" w:rsidR="00B9331D" w:rsidRPr="0018386D" w:rsidRDefault="00CA655F"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r w:rsidRPr="0018386D">
              <w:rPr>
                <w:szCs w:val="18"/>
              </w:rPr>
              <w:t>7.29</w:t>
            </w:r>
          </w:p>
        </w:tc>
      </w:tr>
      <w:tr w:rsidR="004F6139" w:rsidRPr="0018386D" w14:paraId="65092A13"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hideMark/>
          </w:tcPr>
          <w:p w14:paraId="65092A0E" w14:textId="77777777" w:rsidR="00B9331D" w:rsidRPr="0018386D" w:rsidRDefault="00B9331D" w:rsidP="00DD3106">
            <w:pPr>
              <w:pStyle w:val="TableText"/>
              <w:spacing w:before="40" w:after="40"/>
              <w:rPr>
                <w:rFonts w:cs="Calibri"/>
                <w:b w:val="0"/>
                <w:szCs w:val="18"/>
              </w:rPr>
            </w:pPr>
          </w:p>
        </w:tc>
        <w:tc>
          <w:tcPr>
            <w:tcW w:w="0" w:type="auto"/>
            <w:noWrap/>
          </w:tcPr>
          <w:p w14:paraId="65092A0F" w14:textId="07EA9D94"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10,000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12,000 kg </w:t>
            </w:r>
          </w:p>
        </w:tc>
        <w:tc>
          <w:tcPr>
            <w:tcW w:w="0" w:type="auto"/>
          </w:tcPr>
          <w:p w14:paraId="3681CBE4" w14:textId="669BC057"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10" w14:textId="3BEF1C33" w:rsidR="00B9331D" w:rsidRPr="0018386D" w:rsidRDefault="00CA655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w:t>
            </w:r>
            <w:r w:rsidRPr="0018386D">
              <w:rPr>
                <w:szCs w:val="18"/>
              </w:rPr>
              <w:t>2.17</w:t>
            </w:r>
          </w:p>
        </w:tc>
        <w:tc>
          <w:tcPr>
            <w:tcW w:w="1094" w:type="dxa"/>
            <w:shd w:val="clear" w:color="auto" w:fill="auto"/>
            <w:noWrap/>
            <w:vAlign w:val="bottom"/>
          </w:tcPr>
          <w:p w14:paraId="65092A11" w14:textId="5F199CF4" w:rsidR="00B9331D" w:rsidRPr="0018386D" w:rsidRDefault="00CA655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w:t>
            </w:r>
            <w:r w:rsidRPr="0018386D">
              <w:rPr>
                <w:szCs w:val="18"/>
              </w:rPr>
              <w:t>1.01</w:t>
            </w:r>
          </w:p>
        </w:tc>
        <w:tc>
          <w:tcPr>
            <w:tcW w:w="0" w:type="auto"/>
            <w:tcBorders>
              <w:right w:val="nil"/>
            </w:tcBorders>
            <w:shd w:val="clear" w:color="auto" w:fill="auto"/>
            <w:noWrap/>
            <w:vAlign w:val="bottom"/>
          </w:tcPr>
          <w:p w14:paraId="65092A12" w14:textId="74A720F7" w:rsidR="00B9331D" w:rsidRPr="0018386D" w:rsidRDefault="00CA655F"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20.50</w:t>
            </w:r>
          </w:p>
        </w:tc>
      </w:tr>
      <w:tr w:rsidR="004F6139" w:rsidRPr="0018386D" w14:paraId="65092A19"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hideMark/>
          </w:tcPr>
          <w:p w14:paraId="65092A14" w14:textId="77777777" w:rsidR="00B9331D" w:rsidRPr="0018386D" w:rsidRDefault="00B9331D" w:rsidP="00DD3106">
            <w:pPr>
              <w:pStyle w:val="TableText"/>
              <w:spacing w:before="40" w:after="40"/>
              <w:rPr>
                <w:rFonts w:cs="Calibri"/>
                <w:b w:val="0"/>
                <w:szCs w:val="18"/>
              </w:rPr>
            </w:pPr>
          </w:p>
        </w:tc>
        <w:tc>
          <w:tcPr>
            <w:tcW w:w="0" w:type="auto"/>
            <w:noWrap/>
          </w:tcPr>
          <w:p w14:paraId="65092A15" w14:textId="4EABDCFA"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15,000 kg </w:t>
            </w:r>
          </w:p>
        </w:tc>
        <w:tc>
          <w:tcPr>
            <w:tcW w:w="0" w:type="auto"/>
          </w:tcPr>
          <w:p w14:paraId="05D19461" w14:textId="002EC5C4"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16" w14:textId="4AA8AC40" w:rsidR="00B9331D" w:rsidRPr="0018386D" w:rsidRDefault="00254D5C"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25.19</w:t>
            </w:r>
          </w:p>
        </w:tc>
        <w:tc>
          <w:tcPr>
            <w:tcW w:w="1094" w:type="dxa"/>
            <w:shd w:val="clear" w:color="auto" w:fill="auto"/>
            <w:noWrap/>
            <w:vAlign w:val="bottom"/>
          </w:tcPr>
          <w:p w14:paraId="65092A17" w14:textId="43E4EB4A" w:rsidR="00B9331D" w:rsidRPr="0018386D" w:rsidRDefault="00254D5C"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23.88</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A18" w14:textId="40236022" w:rsidR="00B9331D" w:rsidRPr="0018386D" w:rsidRDefault="00254D5C"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23.30</w:t>
            </w:r>
          </w:p>
        </w:tc>
      </w:tr>
      <w:tr w:rsidR="004F6139" w:rsidRPr="0018386D" w14:paraId="65092A1F"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hideMark/>
          </w:tcPr>
          <w:p w14:paraId="65092A1A" w14:textId="77777777" w:rsidR="00B9331D" w:rsidRPr="0018386D" w:rsidRDefault="00B9331D" w:rsidP="00DD3106">
            <w:pPr>
              <w:pStyle w:val="TableText"/>
              <w:spacing w:before="40" w:after="40"/>
              <w:rPr>
                <w:rFonts w:cs="Calibri"/>
                <w:b w:val="0"/>
                <w:szCs w:val="18"/>
              </w:rPr>
            </w:pPr>
          </w:p>
        </w:tc>
        <w:tc>
          <w:tcPr>
            <w:tcW w:w="0" w:type="auto"/>
            <w:noWrap/>
          </w:tcPr>
          <w:p w14:paraId="65092A1B" w14:textId="32495516"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15,000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20,000 kg </w:t>
            </w:r>
          </w:p>
        </w:tc>
        <w:tc>
          <w:tcPr>
            <w:tcW w:w="0" w:type="auto"/>
          </w:tcPr>
          <w:p w14:paraId="37DD119C" w14:textId="1D65A2DB"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1C" w14:textId="282BC18F" w:rsidR="00B9331D" w:rsidRPr="0018386D" w:rsidRDefault="00254D5C"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33.19</w:t>
            </w:r>
          </w:p>
        </w:tc>
        <w:tc>
          <w:tcPr>
            <w:tcW w:w="1094" w:type="dxa"/>
            <w:shd w:val="clear" w:color="auto" w:fill="auto"/>
            <w:noWrap/>
            <w:vAlign w:val="bottom"/>
          </w:tcPr>
          <w:p w14:paraId="65092A1D" w14:textId="31AD502F" w:rsidR="00B9331D" w:rsidRPr="0018386D" w:rsidRDefault="008B0F31"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32.35</w:t>
            </w:r>
          </w:p>
        </w:tc>
        <w:tc>
          <w:tcPr>
            <w:tcW w:w="0" w:type="auto"/>
            <w:tcBorders>
              <w:right w:val="nil"/>
            </w:tcBorders>
            <w:shd w:val="clear" w:color="auto" w:fill="auto"/>
            <w:noWrap/>
            <w:vAlign w:val="bottom"/>
          </w:tcPr>
          <w:p w14:paraId="65092A1E" w14:textId="60E9EE9E" w:rsidR="00B9331D" w:rsidRPr="0018386D" w:rsidRDefault="008B0F31"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32.27</w:t>
            </w:r>
          </w:p>
        </w:tc>
      </w:tr>
      <w:tr w:rsidR="004F6139" w:rsidRPr="0018386D" w14:paraId="65092A25"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hideMark/>
          </w:tcPr>
          <w:p w14:paraId="65092A20" w14:textId="77777777" w:rsidR="00B9331D" w:rsidRPr="0018386D" w:rsidRDefault="00B9331D" w:rsidP="00DD3106">
            <w:pPr>
              <w:pStyle w:val="TableText"/>
              <w:spacing w:before="40" w:after="40"/>
              <w:rPr>
                <w:rFonts w:cs="Calibri"/>
                <w:b w:val="0"/>
                <w:szCs w:val="18"/>
              </w:rPr>
            </w:pPr>
          </w:p>
        </w:tc>
        <w:tc>
          <w:tcPr>
            <w:tcW w:w="0" w:type="auto"/>
            <w:noWrap/>
          </w:tcPr>
          <w:p w14:paraId="65092A21" w14:textId="425206E8"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20,000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25,000 kg </w:t>
            </w:r>
          </w:p>
        </w:tc>
        <w:tc>
          <w:tcPr>
            <w:tcW w:w="0" w:type="auto"/>
          </w:tcPr>
          <w:p w14:paraId="16899AD8" w14:textId="5F257D4E"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22" w14:textId="0974118C" w:rsidR="00B9331D" w:rsidRPr="0018386D" w:rsidRDefault="008B0F31"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44.18</w:t>
            </w:r>
          </w:p>
        </w:tc>
        <w:tc>
          <w:tcPr>
            <w:tcW w:w="1094" w:type="dxa"/>
            <w:shd w:val="clear" w:color="auto" w:fill="auto"/>
            <w:noWrap/>
            <w:vAlign w:val="bottom"/>
          </w:tcPr>
          <w:p w14:paraId="65092A23" w14:textId="44D1DBC9" w:rsidR="00B9331D" w:rsidRPr="0018386D" w:rsidRDefault="008B0F31"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43.06</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A24" w14:textId="41E98323" w:rsidR="00B9331D" w:rsidRPr="0018386D" w:rsidRDefault="00AD1B23"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42.96</w:t>
            </w:r>
          </w:p>
        </w:tc>
      </w:tr>
      <w:tr w:rsidR="004F6139" w:rsidRPr="0018386D" w14:paraId="65092A2B"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A26" w14:textId="77777777" w:rsidR="00B9331D" w:rsidRPr="0018386D" w:rsidRDefault="00B9331D" w:rsidP="00DD3106">
            <w:pPr>
              <w:pStyle w:val="TableText"/>
              <w:spacing w:before="40" w:after="40"/>
              <w:rPr>
                <w:rFonts w:cs="Calibri"/>
                <w:b w:val="0"/>
                <w:szCs w:val="18"/>
              </w:rPr>
            </w:pPr>
          </w:p>
        </w:tc>
        <w:tc>
          <w:tcPr>
            <w:tcW w:w="0" w:type="auto"/>
            <w:noWrap/>
          </w:tcPr>
          <w:p w14:paraId="65092A27" w14:textId="5FDFCAEB"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25,000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30,000 kg </w:t>
            </w:r>
          </w:p>
        </w:tc>
        <w:tc>
          <w:tcPr>
            <w:tcW w:w="0" w:type="auto"/>
          </w:tcPr>
          <w:p w14:paraId="5E025C59" w14:textId="3C450815" w:rsidR="00B9331D" w:rsidRPr="0018386D" w:rsidRDefault="00B9331D"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28" w14:textId="3658BCBE" w:rsidR="00B9331D" w:rsidRPr="0018386D" w:rsidRDefault="00AD1B23"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51.02</w:t>
            </w:r>
          </w:p>
        </w:tc>
        <w:tc>
          <w:tcPr>
            <w:tcW w:w="1094" w:type="dxa"/>
            <w:shd w:val="clear" w:color="auto" w:fill="auto"/>
            <w:noWrap/>
            <w:vAlign w:val="bottom"/>
          </w:tcPr>
          <w:p w14:paraId="65092A29" w14:textId="054D9580" w:rsidR="00B9331D" w:rsidRPr="0018386D" w:rsidRDefault="00AD1B23"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49.72</w:t>
            </w:r>
          </w:p>
        </w:tc>
        <w:tc>
          <w:tcPr>
            <w:tcW w:w="0" w:type="auto"/>
            <w:tcBorders>
              <w:right w:val="nil"/>
            </w:tcBorders>
            <w:shd w:val="clear" w:color="auto" w:fill="auto"/>
            <w:noWrap/>
            <w:vAlign w:val="bottom"/>
          </w:tcPr>
          <w:p w14:paraId="65092A2A" w14:textId="0C6D0620" w:rsidR="00B9331D" w:rsidRPr="0018386D" w:rsidRDefault="00AD1B23"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49.60</w:t>
            </w:r>
          </w:p>
        </w:tc>
      </w:tr>
      <w:tr w:rsidR="004F6139" w:rsidRPr="0018386D" w14:paraId="65092A31"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A2C" w14:textId="77777777" w:rsidR="00B9331D" w:rsidRPr="0018386D" w:rsidRDefault="00B9331D" w:rsidP="00DD3106">
            <w:pPr>
              <w:pStyle w:val="TableText"/>
              <w:spacing w:before="40" w:after="40"/>
              <w:rPr>
                <w:rFonts w:cs="Calibri"/>
                <w:b w:val="0"/>
                <w:szCs w:val="18"/>
              </w:rPr>
            </w:pPr>
          </w:p>
        </w:tc>
        <w:tc>
          <w:tcPr>
            <w:tcW w:w="0" w:type="auto"/>
            <w:noWrap/>
          </w:tcPr>
          <w:p w14:paraId="65092A2D" w14:textId="0A95E82A"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 xml:space="preserve">≥30,000 kg </w:t>
            </w:r>
          </w:p>
        </w:tc>
        <w:tc>
          <w:tcPr>
            <w:tcW w:w="0" w:type="auto"/>
          </w:tcPr>
          <w:p w14:paraId="08073AF6" w14:textId="3F53D2F0" w:rsidR="00B9331D" w:rsidRPr="0018386D" w:rsidRDefault="00B9331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litres</w:t>
            </w:r>
          </w:p>
        </w:tc>
        <w:tc>
          <w:tcPr>
            <w:tcW w:w="1125" w:type="dxa"/>
            <w:shd w:val="clear" w:color="auto" w:fill="auto"/>
            <w:noWrap/>
            <w:vAlign w:val="bottom"/>
          </w:tcPr>
          <w:p w14:paraId="65092A2E" w14:textId="4D90BD0F" w:rsidR="00B9331D" w:rsidRPr="0018386D" w:rsidRDefault="00AD1B23"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53.75</w:t>
            </w:r>
          </w:p>
        </w:tc>
        <w:tc>
          <w:tcPr>
            <w:tcW w:w="1094" w:type="dxa"/>
            <w:shd w:val="clear" w:color="auto" w:fill="auto"/>
            <w:noWrap/>
            <w:vAlign w:val="bottom"/>
          </w:tcPr>
          <w:p w14:paraId="65092A2F" w14:textId="44B1D492" w:rsidR="00B9331D" w:rsidRPr="0018386D" w:rsidRDefault="00AD1B23"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52.38</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A30" w14:textId="7534C2FF" w:rsidR="00B9331D" w:rsidRPr="0018386D" w:rsidRDefault="00C7098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52.26</w:t>
            </w:r>
          </w:p>
        </w:tc>
      </w:tr>
      <w:tr w:rsidR="004F6139" w:rsidRPr="0018386D" w14:paraId="65092A37"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tcPr>
          <w:p w14:paraId="65092A32" w14:textId="15117C0E" w:rsidR="004F6139" w:rsidRPr="0018386D" w:rsidRDefault="004F6139" w:rsidP="00DD3106">
            <w:pPr>
              <w:pStyle w:val="TableText"/>
              <w:spacing w:before="40" w:after="40"/>
              <w:rPr>
                <w:rFonts w:cs="Calibri"/>
                <w:b w:val="0"/>
                <w:szCs w:val="18"/>
              </w:rPr>
            </w:pPr>
            <w:r w:rsidRPr="0018386D">
              <w:rPr>
                <w:rFonts w:cs="Calibri"/>
                <w:b w:val="0"/>
                <w:szCs w:val="18"/>
              </w:rPr>
              <w:t>HGV BEV (battery electric vehicle)</w:t>
            </w:r>
          </w:p>
        </w:tc>
        <w:tc>
          <w:tcPr>
            <w:tcW w:w="0" w:type="auto"/>
            <w:noWrap/>
          </w:tcPr>
          <w:p w14:paraId="65092A33" w14:textId="01D0E09D" w:rsidR="004F6139" w:rsidRPr="0018386D" w:rsidRDefault="004F613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 xml:space="preserve">&lt;5,000 kg </w:t>
            </w:r>
          </w:p>
        </w:tc>
        <w:tc>
          <w:tcPr>
            <w:tcW w:w="0" w:type="auto"/>
          </w:tcPr>
          <w:p w14:paraId="434ED025" w14:textId="7FE0A962" w:rsidR="004F6139" w:rsidRPr="0018386D" w:rsidRDefault="004F613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25" w:type="dxa"/>
            <w:shd w:val="clear" w:color="auto" w:fill="auto"/>
            <w:noWrap/>
            <w:vAlign w:val="bottom"/>
          </w:tcPr>
          <w:p w14:paraId="65092A34" w14:textId="0429A84D" w:rsidR="004F6139" w:rsidRPr="0018386D" w:rsidRDefault="00C7098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46.81</w:t>
            </w:r>
          </w:p>
        </w:tc>
        <w:tc>
          <w:tcPr>
            <w:tcW w:w="1094" w:type="dxa"/>
            <w:shd w:val="clear" w:color="auto" w:fill="auto"/>
            <w:noWrap/>
            <w:vAlign w:val="bottom"/>
          </w:tcPr>
          <w:p w14:paraId="65092A35" w14:textId="4D2A4898" w:rsidR="004F6139" w:rsidRPr="0018386D" w:rsidRDefault="00C7098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44.38</w:t>
            </w:r>
          </w:p>
        </w:tc>
        <w:tc>
          <w:tcPr>
            <w:tcW w:w="0" w:type="auto"/>
            <w:tcBorders>
              <w:right w:val="nil"/>
            </w:tcBorders>
            <w:shd w:val="clear" w:color="auto" w:fill="auto"/>
            <w:noWrap/>
            <w:vAlign w:val="bottom"/>
          </w:tcPr>
          <w:p w14:paraId="65092A36" w14:textId="6A2FD904" w:rsidR="004F6139" w:rsidRPr="0018386D" w:rsidRDefault="00C7098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43.42</w:t>
            </w:r>
          </w:p>
        </w:tc>
      </w:tr>
      <w:tr w:rsidR="004F6139" w:rsidRPr="0018386D" w14:paraId="65092A3D"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A38" w14:textId="77777777" w:rsidR="004F6139" w:rsidRPr="0018386D" w:rsidRDefault="004F6139" w:rsidP="00DD3106">
            <w:pPr>
              <w:pStyle w:val="TableText"/>
              <w:spacing w:before="40" w:after="40"/>
              <w:rPr>
                <w:rFonts w:cs="Calibri"/>
                <w:b w:val="0"/>
                <w:szCs w:val="18"/>
              </w:rPr>
            </w:pPr>
          </w:p>
        </w:tc>
        <w:tc>
          <w:tcPr>
            <w:tcW w:w="0" w:type="auto"/>
            <w:noWrap/>
          </w:tcPr>
          <w:p w14:paraId="65092A39" w14:textId="27789501" w:rsidR="004F6139" w:rsidRPr="0018386D" w:rsidRDefault="004F6139"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5,000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7,500 kg </w:t>
            </w:r>
          </w:p>
        </w:tc>
        <w:tc>
          <w:tcPr>
            <w:tcW w:w="0" w:type="auto"/>
          </w:tcPr>
          <w:p w14:paraId="667D2293" w14:textId="6A21C2CE" w:rsidR="004F6139" w:rsidRPr="0018386D" w:rsidRDefault="004F6139"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25" w:type="dxa"/>
            <w:shd w:val="clear" w:color="auto" w:fill="auto"/>
            <w:noWrap/>
            <w:vAlign w:val="bottom"/>
          </w:tcPr>
          <w:p w14:paraId="65092A3A" w14:textId="48A55A93" w:rsidR="004F6139" w:rsidRPr="0018386D" w:rsidRDefault="004D0CE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53.63</w:t>
            </w:r>
          </w:p>
        </w:tc>
        <w:tc>
          <w:tcPr>
            <w:tcW w:w="1094" w:type="dxa"/>
            <w:shd w:val="clear" w:color="auto" w:fill="auto"/>
            <w:noWrap/>
            <w:vAlign w:val="bottom"/>
          </w:tcPr>
          <w:p w14:paraId="65092A3B" w14:textId="0A90975E" w:rsidR="004F6139" w:rsidRPr="0018386D" w:rsidRDefault="0006228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50.85</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A3C" w14:textId="680B9C15" w:rsidR="004F6139" w:rsidRPr="0018386D" w:rsidRDefault="0006228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49.74</w:t>
            </w:r>
          </w:p>
        </w:tc>
      </w:tr>
      <w:tr w:rsidR="004F6139" w:rsidRPr="0018386D" w14:paraId="65092A43"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A3E" w14:textId="77777777" w:rsidR="004F6139" w:rsidRPr="0018386D" w:rsidRDefault="004F6139" w:rsidP="00DD3106">
            <w:pPr>
              <w:pStyle w:val="TableText"/>
              <w:spacing w:before="40" w:after="40"/>
              <w:rPr>
                <w:rFonts w:cs="Calibri"/>
                <w:b w:val="0"/>
                <w:szCs w:val="18"/>
              </w:rPr>
            </w:pPr>
          </w:p>
        </w:tc>
        <w:tc>
          <w:tcPr>
            <w:tcW w:w="0" w:type="auto"/>
            <w:noWrap/>
          </w:tcPr>
          <w:p w14:paraId="65092A3F" w14:textId="57F915F6" w:rsidR="004F6139" w:rsidRPr="0018386D" w:rsidRDefault="004F613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7,500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10,000 kg</w:t>
            </w:r>
          </w:p>
        </w:tc>
        <w:tc>
          <w:tcPr>
            <w:tcW w:w="0" w:type="auto"/>
          </w:tcPr>
          <w:p w14:paraId="5D8CDF2B" w14:textId="2C3B5884" w:rsidR="004F6139" w:rsidRPr="0018386D" w:rsidRDefault="004F613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25" w:type="dxa"/>
            <w:shd w:val="clear" w:color="auto" w:fill="auto"/>
            <w:noWrap/>
            <w:vAlign w:val="bottom"/>
          </w:tcPr>
          <w:p w14:paraId="65092A40" w14:textId="206FAE8B" w:rsidR="004F6139" w:rsidRPr="0018386D" w:rsidRDefault="0006228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65.57</w:t>
            </w:r>
          </w:p>
        </w:tc>
        <w:tc>
          <w:tcPr>
            <w:tcW w:w="1094" w:type="dxa"/>
            <w:shd w:val="clear" w:color="auto" w:fill="auto"/>
            <w:noWrap/>
            <w:vAlign w:val="bottom"/>
          </w:tcPr>
          <w:p w14:paraId="65092A41" w14:textId="7787C6F6" w:rsidR="004F6139" w:rsidRPr="0018386D" w:rsidRDefault="0070566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62.17</w:t>
            </w:r>
          </w:p>
        </w:tc>
        <w:tc>
          <w:tcPr>
            <w:tcW w:w="0" w:type="auto"/>
            <w:tcBorders>
              <w:right w:val="nil"/>
            </w:tcBorders>
            <w:shd w:val="clear" w:color="auto" w:fill="auto"/>
            <w:noWrap/>
            <w:vAlign w:val="bottom"/>
          </w:tcPr>
          <w:p w14:paraId="65092A42" w14:textId="2EE8BB9C" w:rsidR="004F6139" w:rsidRPr="0018386D" w:rsidRDefault="0070566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60.82</w:t>
            </w:r>
          </w:p>
        </w:tc>
      </w:tr>
      <w:tr w:rsidR="004F6139" w:rsidRPr="0018386D" w14:paraId="65092A49" w14:textId="77777777" w:rsidTr="00C87FF9">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1C556C" w:themeColor="accent1"/>
              <w:left w:val="nil"/>
              <w:bottom w:val="single" w:sz="8" w:space="0" w:color="1C556C" w:themeColor="accent1"/>
            </w:tcBorders>
          </w:tcPr>
          <w:p w14:paraId="65092A44" w14:textId="77777777" w:rsidR="004F6139" w:rsidRPr="0018386D" w:rsidRDefault="004F6139" w:rsidP="00DD3106">
            <w:pPr>
              <w:pStyle w:val="TableText"/>
              <w:spacing w:before="40" w:after="40"/>
              <w:rPr>
                <w:rFonts w:cs="Calibri"/>
                <w:b w:val="0"/>
                <w:szCs w:val="18"/>
              </w:rPr>
            </w:pPr>
          </w:p>
        </w:tc>
        <w:tc>
          <w:tcPr>
            <w:tcW w:w="0" w:type="auto"/>
            <w:noWrap/>
          </w:tcPr>
          <w:p w14:paraId="65092A45" w14:textId="09CC6CF7" w:rsidR="004F6139" w:rsidRPr="0018386D" w:rsidRDefault="004F6139"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color w:val="000000"/>
                <w:szCs w:val="18"/>
              </w:rPr>
              <w:t>10,000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12,000 kg </w:t>
            </w:r>
          </w:p>
        </w:tc>
        <w:tc>
          <w:tcPr>
            <w:tcW w:w="0" w:type="auto"/>
          </w:tcPr>
          <w:p w14:paraId="237DF6AC" w14:textId="7BBF8735" w:rsidR="004F6139" w:rsidRPr="0018386D" w:rsidRDefault="004F6139"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kWh</w:t>
            </w:r>
          </w:p>
        </w:tc>
        <w:tc>
          <w:tcPr>
            <w:tcW w:w="1125" w:type="dxa"/>
            <w:shd w:val="clear" w:color="auto" w:fill="auto"/>
            <w:noWrap/>
            <w:vAlign w:val="bottom"/>
          </w:tcPr>
          <w:p w14:paraId="65092A46" w14:textId="31722D69" w:rsidR="004F6139" w:rsidRPr="0018386D" w:rsidRDefault="0070566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77.75</w:t>
            </w:r>
          </w:p>
        </w:tc>
        <w:tc>
          <w:tcPr>
            <w:tcW w:w="1094" w:type="dxa"/>
            <w:shd w:val="clear" w:color="auto" w:fill="auto"/>
            <w:noWrap/>
            <w:vAlign w:val="bottom"/>
          </w:tcPr>
          <w:p w14:paraId="65092A47" w14:textId="0444D18A" w:rsidR="004F6139" w:rsidRPr="0018386D" w:rsidRDefault="0070566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73.72</w:t>
            </w:r>
          </w:p>
        </w:tc>
        <w:tc>
          <w:tcPr>
            <w:tcW w:w="0" w:type="auto"/>
            <w:tcBorders>
              <w:top w:val="single" w:sz="8" w:space="0" w:color="1C556C" w:themeColor="accent1"/>
              <w:bottom w:val="single" w:sz="8" w:space="0" w:color="1C556C" w:themeColor="accent1"/>
              <w:right w:val="nil"/>
            </w:tcBorders>
            <w:shd w:val="clear" w:color="auto" w:fill="auto"/>
            <w:noWrap/>
            <w:vAlign w:val="bottom"/>
          </w:tcPr>
          <w:p w14:paraId="65092A48" w14:textId="5F275E0B" w:rsidR="004F6139" w:rsidRPr="0018386D" w:rsidRDefault="0070566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81.94</w:t>
            </w:r>
          </w:p>
        </w:tc>
      </w:tr>
      <w:tr w:rsidR="004F6139" w:rsidRPr="0018386D" w14:paraId="65092A4F" w14:textId="77777777" w:rsidTr="00C87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5092A4A" w14:textId="77777777" w:rsidR="004F6139" w:rsidRPr="0018386D" w:rsidRDefault="004F6139" w:rsidP="00DD3106">
            <w:pPr>
              <w:pStyle w:val="TableText"/>
              <w:spacing w:before="40" w:after="40"/>
              <w:rPr>
                <w:rFonts w:cs="Calibri"/>
                <w:b w:val="0"/>
                <w:szCs w:val="18"/>
              </w:rPr>
            </w:pPr>
          </w:p>
        </w:tc>
        <w:tc>
          <w:tcPr>
            <w:tcW w:w="0" w:type="auto"/>
            <w:noWrap/>
          </w:tcPr>
          <w:p w14:paraId="65092A4B" w14:textId="027CF71B" w:rsidR="004F6139" w:rsidRPr="0018386D" w:rsidRDefault="004F613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color w:val="000000"/>
                <w:szCs w:val="18"/>
              </w:rPr>
              <w:t>12,000</w:t>
            </w:r>
            <w:r w:rsidR="00807B64" w:rsidRPr="0018386D">
              <w:rPr>
                <w:rFonts w:eastAsia="Times New Roman" w:cs="Calibri"/>
                <w:color w:val="000000"/>
                <w:szCs w:val="18"/>
              </w:rPr>
              <w:t>–</w:t>
            </w:r>
            <w:r w:rsidRPr="0018386D">
              <w:rPr>
                <w:rFonts w:cs="Calibri"/>
                <w:szCs w:val="18"/>
              </w:rPr>
              <w:t>&lt;</w:t>
            </w:r>
            <w:r w:rsidRPr="0018386D">
              <w:rPr>
                <w:rFonts w:cs="Calibri"/>
                <w:color w:val="000000"/>
                <w:szCs w:val="18"/>
              </w:rPr>
              <w:t xml:space="preserve">15,000 kg </w:t>
            </w:r>
          </w:p>
        </w:tc>
        <w:tc>
          <w:tcPr>
            <w:tcW w:w="0" w:type="auto"/>
          </w:tcPr>
          <w:p w14:paraId="1532B217" w14:textId="7DB2F27D" w:rsidR="004F6139" w:rsidRPr="0018386D" w:rsidRDefault="004F613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kWh</w:t>
            </w:r>
          </w:p>
        </w:tc>
        <w:tc>
          <w:tcPr>
            <w:tcW w:w="1125" w:type="dxa"/>
            <w:shd w:val="clear" w:color="auto" w:fill="auto"/>
            <w:noWrap/>
            <w:vAlign w:val="bottom"/>
          </w:tcPr>
          <w:p w14:paraId="65092A4C" w14:textId="044FADB5" w:rsidR="004F6139" w:rsidRPr="0018386D" w:rsidRDefault="00FF040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88.35</w:t>
            </w:r>
          </w:p>
        </w:tc>
        <w:tc>
          <w:tcPr>
            <w:tcW w:w="1094" w:type="dxa"/>
            <w:shd w:val="clear" w:color="auto" w:fill="auto"/>
            <w:noWrap/>
            <w:vAlign w:val="bottom"/>
          </w:tcPr>
          <w:p w14:paraId="65092A4D" w14:textId="7FC7A6D5" w:rsidR="004F6139" w:rsidRPr="0018386D" w:rsidRDefault="00FF040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83.77</w:t>
            </w:r>
          </w:p>
        </w:tc>
        <w:tc>
          <w:tcPr>
            <w:tcW w:w="0" w:type="auto"/>
            <w:tcBorders>
              <w:right w:val="nil"/>
            </w:tcBorders>
            <w:shd w:val="clear" w:color="auto" w:fill="auto"/>
            <w:noWrap/>
            <w:vAlign w:val="bottom"/>
          </w:tcPr>
          <w:p w14:paraId="65092A4E" w14:textId="29582E6B" w:rsidR="004F6139" w:rsidRPr="0018386D" w:rsidRDefault="00FF040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91.94</w:t>
            </w:r>
          </w:p>
        </w:tc>
      </w:tr>
    </w:tbl>
    <w:p w14:paraId="60180B9B" w14:textId="4C074263" w:rsidR="003021E9" w:rsidRPr="0018386D" w:rsidRDefault="003021E9" w:rsidP="00DD3106">
      <w:pPr>
        <w:pStyle w:val="Note"/>
      </w:pPr>
      <w:r w:rsidRPr="0018386D">
        <w:rPr>
          <w:b/>
          <w:bCs/>
        </w:rPr>
        <w:t>Note:</w:t>
      </w:r>
      <w:r w:rsidRPr="0018386D">
        <w:t xml:space="preserve"> These numbers are rounded to two decimal places. </w:t>
      </w:r>
    </w:p>
    <w:p w14:paraId="526164C5" w14:textId="77777777" w:rsidR="00BA5692" w:rsidRPr="0018386D" w:rsidRDefault="00BA5692" w:rsidP="00DD3106">
      <w:pPr>
        <w:spacing w:line="23" w:lineRule="auto"/>
        <w:rPr>
          <w:rFonts w:eastAsiaTheme="minorEastAsia" w:cstheme="minorBidi"/>
          <w:szCs w:val="22"/>
          <w:lang w:val="en-NZ" w:eastAsia="en-NZ"/>
        </w:rPr>
      </w:pPr>
      <w:r w:rsidRPr="0018386D">
        <w:br w:type="page"/>
      </w:r>
    </w:p>
    <w:p w14:paraId="65092A51" w14:textId="443578A0" w:rsidR="008B2AF1" w:rsidRPr="0018386D" w:rsidRDefault="008B2AF1" w:rsidP="00DD3106">
      <w:pPr>
        <w:pStyle w:val="BodyText"/>
        <w:spacing w:before="280" w:after="160"/>
      </w:pPr>
      <w:r w:rsidRPr="0018386D">
        <w:lastRenderedPageBreak/>
        <w:t xml:space="preserve">The equation used to calculate the emission factor for each </w:t>
      </w:r>
      <w:r w:rsidR="00AE5DF1" w:rsidRPr="0018386D">
        <w:t>GHG</w:t>
      </w:r>
      <w:r w:rsidRPr="0018386D">
        <w:t xml:space="preserve"> is:</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F919E2" w:rsidRPr="0018386D" w14:paraId="65092A53" w14:textId="77777777" w:rsidTr="00DE6137">
        <w:tc>
          <w:tcPr>
            <w:tcW w:w="8720" w:type="dxa"/>
            <w:shd w:val="clear" w:color="auto" w:fill="D2DDE1" w:themeFill="background2"/>
          </w:tcPr>
          <w:p w14:paraId="65092A52" w14:textId="67746589" w:rsidR="00F919E2" w:rsidRPr="0018386D" w:rsidRDefault="00C7627E" w:rsidP="00DD3106">
            <w:pPr>
              <w:pStyle w:val="Box"/>
              <w:shd w:val="clear" w:color="auto" w:fill="auto"/>
              <w:spacing w:before="0" w:after="0"/>
              <w:ind w:left="0"/>
            </w:pPr>
            <m:oMathPara>
              <m:oMath>
                <m:f>
                  <m:fPr>
                    <m:ctrlPr>
                      <w:rPr>
                        <w:rFonts w:ascii="Cambria Math" w:hAnsi="Cambria Math"/>
                      </w:rPr>
                    </m:ctrlPr>
                  </m:fPr>
                  <m:num>
                    <m:r>
                      <w:rPr>
                        <w:rFonts w:ascii="Cambria Math" w:hAnsi="Cambria Math"/>
                      </w:rPr>
                      <m:t>real</m:t>
                    </m:r>
                    <m:r>
                      <w:rPr>
                        <w:rFonts w:ascii="Cambria Math" w:hAnsi="Cambria Math"/>
                      </w:rPr>
                      <m:t>˗</m:t>
                    </m:r>
                    <m:r>
                      <w:rPr>
                        <w:rFonts w:ascii="Cambria Math" w:hAnsi="Cambria Math"/>
                      </w:rPr>
                      <m:t>world</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consumption</m:t>
                    </m:r>
                    <m:r>
                      <w:rPr>
                        <w:rFonts w:ascii="Cambria Math" w:hAnsi="Cambria Math"/>
                      </w:rPr>
                      <m:t xml:space="preserve"> </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num>
                  <m:den>
                    <m:r>
                      <m:rPr>
                        <m:sty m:val="p"/>
                      </m:rPr>
                      <w:rPr>
                        <w:rFonts w:ascii="Cambria Math" w:hAnsi="Cambria Math"/>
                      </w:rPr>
                      <m:t>100 km</m:t>
                    </m:r>
                  </m:den>
                </m:f>
              </m:oMath>
            </m:oMathPara>
          </w:p>
        </w:tc>
      </w:tr>
    </w:tbl>
    <w:p w14:paraId="65092A54" w14:textId="23B56EE9" w:rsidR="008B2AF1" w:rsidRPr="0018386D" w:rsidRDefault="008B2AF1" w:rsidP="00DD3106">
      <w:pPr>
        <w:pStyle w:val="BodyText"/>
      </w:pPr>
      <w:r w:rsidRPr="0018386D">
        <w:t>Dividing by 100 gives a factor for litres (or kWh) per fuel per km</w:t>
      </w:r>
      <w:r w:rsidR="00AE5DF1" w:rsidRPr="0018386D">
        <w:t>. Use this</w:t>
      </w:r>
      <w:r w:rsidRPr="0018386D">
        <w:t xml:space="preserve"> with the fuel emission factors to calculate emission</w:t>
      </w:r>
      <w:r w:rsidR="0047779A" w:rsidRPr="0018386D">
        <w:t>s</w:t>
      </w:r>
      <w:r w:rsidRPr="0018386D">
        <w:t xml:space="preserve"> per km.</w:t>
      </w:r>
    </w:p>
    <w:p w14:paraId="65092A55" w14:textId="701D8D82" w:rsidR="008B2AF1" w:rsidRPr="0018386D" w:rsidRDefault="00AE5DF1" w:rsidP="00DD3106">
      <w:pPr>
        <w:pStyle w:val="BodyText"/>
      </w:pPr>
      <w:r w:rsidRPr="0018386D">
        <w:t>We multiplied t</w:t>
      </w:r>
      <w:r w:rsidR="008B2AF1" w:rsidRPr="0018386D">
        <w:t>he values for fuel consumption by the emission conversion factors provided in</w:t>
      </w:r>
      <w:r w:rsidR="004B591E" w:rsidRPr="0018386D">
        <w:t> </w:t>
      </w:r>
      <w:hyperlink w:anchor="table4" w:history="1">
        <w:r w:rsidR="004B591E" w:rsidRPr="0018386D">
          <w:rPr>
            <w:rStyle w:val="Hyperlink"/>
          </w:rPr>
          <w:t>table 4</w:t>
        </w:r>
      </w:hyperlink>
      <w:r w:rsidR="008B2AF1" w:rsidRPr="0018386D">
        <w:t>.</w:t>
      </w:r>
    </w:p>
    <w:p w14:paraId="26CFC935" w14:textId="36F98E39" w:rsidR="00914819" w:rsidRPr="0018386D" w:rsidRDefault="00AE5DF1" w:rsidP="00DD3106">
      <w:pPr>
        <w:pStyle w:val="BodyText"/>
      </w:pPr>
      <w:r w:rsidRPr="0018386D">
        <w:t>The default emission factors for freighting vehicles include the following assumptions b</w:t>
      </w:r>
      <w:r w:rsidR="00914819" w:rsidRPr="0018386D">
        <w:t xml:space="preserve">ased on the </w:t>
      </w:r>
      <w:proofErr w:type="spellStart"/>
      <w:r w:rsidR="00914819" w:rsidRPr="0018386D">
        <w:t>MoT</w:t>
      </w:r>
      <w:proofErr w:type="spellEnd"/>
      <w:r w:rsidR="00914819" w:rsidRPr="0018386D">
        <w:t xml:space="preserve"> NZ Vehicle Fleet </w:t>
      </w:r>
      <w:r w:rsidR="00A93F78" w:rsidRPr="0018386D">
        <w:t>20</w:t>
      </w:r>
      <w:r w:rsidR="00FF0409" w:rsidRPr="0018386D">
        <w:t>20</w:t>
      </w:r>
      <w:r w:rsidR="009E1FFB" w:rsidRPr="0018386D">
        <w:t>:</w:t>
      </w:r>
      <w:r w:rsidR="00914819" w:rsidRPr="0018386D">
        <w:rPr>
          <w:rStyle w:val="FootnoteReference"/>
        </w:rPr>
        <w:footnoteReference w:id="40"/>
      </w:r>
    </w:p>
    <w:p w14:paraId="0C66C36F" w14:textId="73911FF1" w:rsidR="00914819" w:rsidRPr="0018386D" w:rsidRDefault="00914819" w:rsidP="00DD3106">
      <w:pPr>
        <w:pStyle w:val="Bullet"/>
      </w:pPr>
      <w:r w:rsidRPr="0018386D">
        <w:t xml:space="preserve">Light commercial vehicles are on average </w:t>
      </w:r>
      <w:r w:rsidR="00FF0409" w:rsidRPr="0018386D">
        <w:t xml:space="preserve">around </w:t>
      </w:r>
      <w:r w:rsidRPr="0018386D">
        <w:t>12 years old</w:t>
      </w:r>
      <w:r w:rsidRPr="0018386D">
        <w:rPr>
          <w:rStyle w:val="FootnoteReference"/>
        </w:rPr>
        <w:footnoteReference w:id="41"/>
      </w:r>
      <w:r w:rsidRPr="0018386D">
        <w:t xml:space="preserve"> and the most common engine size is 2000</w:t>
      </w:r>
      <w:r w:rsidR="0066103F" w:rsidRPr="0018386D">
        <w:t>-</w:t>
      </w:r>
      <w:r w:rsidR="006F7D0E" w:rsidRPr="0018386D">
        <w:t>3000</w:t>
      </w:r>
      <w:r w:rsidR="00AF2926" w:rsidRPr="0018386D">
        <w:t xml:space="preserve"> </w:t>
      </w:r>
      <w:r w:rsidRPr="0018386D">
        <w:t>cc</w:t>
      </w:r>
      <w:r w:rsidR="00AE5DF1" w:rsidRPr="0018386D">
        <w:t>,</w:t>
      </w:r>
      <w:r w:rsidRPr="0018386D">
        <w:t xml:space="preserve"> therefore</w:t>
      </w:r>
      <w:r w:rsidR="00AE5DF1" w:rsidRPr="0018386D">
        <w:t xml:space="preserve"> we used</w:t>
      </w:r>
      <w:r w:rsidRPr="0018386D">
        <w:t xml:space="preserve"> a pre-2010 fleet and a 2000</w:t>
      </w:r>
      <w:r w:rsidR="0066103F" w:rsidRPr="0018386D">
        <w:t>-</w:t>
      </w:r>
      <w:r w:rsidR="006F7D0E" w:rsidRPr="0018386D">
        <w:t>3000</w:t>
      </w:r>
      <w:r w:rsidR="00AF2926" w:rsidRPr="0018386D">
        <w:t xml:space="preserve"> </w:t>
      </w:r>
      <w:r w:rsidRPr="0018386D">
        <w:t>cc engine size for the default values.</w:t>
      </w:r>
    </w:p>
    <w:p w14:paraId="5D64303F" w14:textId="0F208334" w:rsidR="00914819" w:rsidRPr="0018386D" w:rsidRDefault="0A891D74" w:rsidP="00DD3106">
      <w:pPr>
        <w:pStyle w:val="Bullet"/>
      </w:pPr>
      <w:r w:rsidRPr="0018386D">
        <w:t>Heavy trucks are on average 1</w:t>
      </w:r>
      <w:r w:rsidR="3B5755C9" w:rsidRPr="0018386D">
        <w:t>8</w:t>
      </w:r>
      <w:r w:rsidR="6EB4F180" w:rsidRPr="0018386D">
        <w:t xml:space="preserve"> </w:t>
      </w:r>
      <w:r w:rsidRPr="0018386D">
        <w:t xml:space="preserve">years </w:t>
      </w:r>
      <w:proofErr w:type="gramStart"/>
      <w:r w:rsidRPr="0018386D">
        <w:t>old</w:t>
      </w:r>
      <w:proofErr w:type="gramEnd"/>
      <w:r w:rsidRPr="0018386D">
        <w:t xml:space="preserve"> and </w:t>
      </w:r>
      <w:r w:rsidR="6D236A48" w:rsidRPr="0018386D">
        <w:t xml:space="preserve">the </w:t>
      </w:r>
      <w:r w:rsidRPr="0018386D">
        <w:t>most common gross vehicle mass is &lt;7500</w:t>
      </w:r>
      <w:r w:rsidR="4D96AACA" w:rsidRPr="0018386D">
        <w:t> </w:t>
      </w:r>
      <w:r w:rsidRPr="0018386D">
        <w:t>k</w:t>
      </w:r>
      <w:r w:rsidR="00E266A8" w:rsidRPr="0018386D">
        <w:t>g</w:t>
      </w:r>
      <w:r w:rsidR="6D236A48" w:rsidRPr="0018386D">
        <w:t>,</w:t>
      </w:r>
      <w:r w:rsidRPr="0018386D">
        <w:t xml:space="preserve"> therefore </w:t>
      </w:r>
      <w:r w:rsidR="6D236A48" w:rsidRPr="0018386D">
        <w:t xml:space="preserve">we selected </w:t>
      </w:r>
      <w:r w:rsidRPr="0018386D">
        <w:t>a pre</w:t>
      </w:r>
      <w:r w:rsidR="6D236A48" w:rsidRPr="0018386D">
        <w:t>-</w:t>
      </w:r>
      <w:r w:rsidRPr="0018386D">
        <w:t>2010</w:t>
      </w:r>
      <w:r w:rsidR="6D236A48" w:rsidRPr="0018386D">
        <w:t xml:space="preserve"> </w:t>
      </w:r>
      <w:r w:rsidRPr="0018386D">
        <w:t>vehicle fleet with a gross vehicle mass of &lt;7500</w:t>
      </w:r>
      <w:r w:rsidR="4D96AACA" w:rsidRPr="0018386D">
        <w:t> </w:t>
      </w:r>
      <w:r w:rsidRPr="0018386D">
        <w:t>kg.</w:t>
      </w:r>
    </w:p>
    <w:p w14:paraId="2E954ADF" w14:textId="4AC7C218" w:rsidR="00687A95" w:rsidRPr="0018386D" w:rsidRDefault="008E3024" w:rsidP="00DD3106">
      <w:pPr>
        <w:pStyle w:val="Bullet"/>
      </w:pPr>
      <w:r w:rsidRPr="0018386D">
        <w:t xml:space="preserve">Using the </w:t>
      </w:r>
      <w:r w:rsidR="00BE5E53" w:rsidRPr="0018386D">
        <w:t>M</w:t>
      </w:r>
      <w:r w:rsidRPr="0018386D">
        <w:t xml:space="preserve">otor </w:t>
      </w:r>
      <w:r w:rsidR="00BE5E53" w:rsidRPr="0018386D">
        <w:t>V</w:t>
      </w:r>
      <w:r w:rsidRPr="0018386D">
        <w:t xml:space="preserve">ehicle </w:t>
      </w:r>
      <w:r w:rsidR="00BE5E53" w:rsidRPr="0018386D">
        <w:t>R</w:t>
      </w:r>
      <w:r w:rsidRPr="0018386D">
        <w:t>egister</w:t>
      </w:r>
      <w:r w:rsidR="00536278" w:rsidRPr="0018386D">
        <w:t>,</w:t>
      </w:r>
      <w:r w:rsidR="00FC5CDA" w:rsidRPr="0018386D">
        <w:rPr>
          <w:rStyle w:val="FootnoteReference"/>
        </w:rPr>
        <w:footnoteReference w:id="42"/>
      </w:r>
      <w:r w:rsidRPr="0018386D">
        <w:t xml:space="preserve"> 79 per cent of goods vans/trucks and utility vehicles are diesel. </w:t>
      </w:r>
      <w:proofErr w:type="gramStart"/>
      <w:r w:rsidRPr="0018386D">
        <w:t>Therefore</w:t>
      </w:r>
      <w:proofErr w:type="gramEnd"/>
      <w:r w:rsidRPr="0018386D">
        <w:t xml:space="preserve"> diesel vehicles are assumed </w:t>
      </w:r>
      <w:r w:rsidR="00E54CC2" w:rsidRPr="0018386D">
        <w:t>for the all</w:t>
      </w:r>
      <w:r w:rsidR="003D5EAE" w:rsidRPr="0018386D">
        <w:t>-</w:t>
      </w:r>
      <w:r w:rsidR="00E54CC2" w:rsidRPr="0018386D">
        <w:t>trucks</w:t>
      </w:r>
      <w:r w:rsidR="00D76899" w:rsidRPr="0018386D">
        <w:t xml:space="preserve"> factor.</w:t>
      </w:r>
    </w:p>
    <w:p w14:paraId="65092A56" w14:textId="3CBF9011" w:rsidR="00083837" w:rsidRPr="0018386D" w:rsidRDefault="00645D01" w:rsidP="00DD3106">
      <w:pPr>
        <w:pStyle w:val="BodyText"/>
      </w:pPr>
      <w:r w:rsidRPr="0018386D">
        <w:t>Emission facto</w:t>
      </w:r>
      <w:r w:rsidR="00DF345D" w:rsidRPr="0018386D">
        <w:t>r</w:t>
      </w:r>
      <w:r w:rsidRPr="0018386D">
        <w:t xml:space="preserve">s for freighting goods </w:t>
      </w:r>
      <w:r w:rsidR="00914819" w:rsidRPr="0018386D">
        <w:t>(</w:t>
      </w:r>
      <w:proofErr w:type="spellStart"/>
      <w:r w:rsidR="00AF2926" w:rsidRPr="0018386D">
        <w:t>t</w:t>
      </w:r>
      <w:r w:rsidR="00914819" w:rsidRPr="0018386D">
        <w:t>km</w:t>
      </w:r>
      <w:proofErr w:type="spellEnd"/>
      <w:r w:rsidR="00914819" w:rsidRPr="0018386D">
        <w:t xml:space="preserve">) </w:t>
      </w:r>
      <w:r w:rsidRPr="0018386D">
        <w:t>are from</w:t>
      </w:r>
      <w:r w:rsidR="00AE3639" w:rsidRPr="0018386D">
        <w:t xml:space="preserve"> the </w:t>
      </w:r>
      <w:proofErr w:type="spellStart"/>
      <w:r w:rsidR="00AE3639" w:rsidRPr="0018386D">
        <w:t>MoT</w:t>
      </w:r>
      <w:proofErr w:type="spellEnd"/>
      <w:r w:rsidR="00AE3639" w:rsidRPr="0018386D">
        <w:t xml:space="preserve"> presentation </w:t>
      </w:r>
      <w:r w:rsidR="00225A14" w:rsidRPr="0018386D">
        <w:t>’Real-world fuel economy of heavy trucks’</w:t>
      </w:r>
      <w:r w:rsidR="00DE6137" w:rsidRPr="0018386D">
        <w:t>.</w:t>
      </w:r>
      <w:r w:rsidR="00146CA4" w:rsidRPr="0018386D">
        <w:rPr>
          <w:rStyle w:val="FootnoteReference"/>
        </w:rPr>
        <w:footnoteReference w:id="43"/>
      </w:r>
    </w:p>
    <w:p w14:paraId="65092A58" w14:textId="49DA42C2" w:rsidR="00CA1E67" w:rsidRPr="0018386D" w:rsidRDefault="00EB4389" w:rsidP="00DD3106">
      <w:pPr>
        <w:pStyle w:val="Tableheading"/>
      </w:pPr>
      <w:bookmarkStart w:id="661" w:name="Table56"/>
      <w:bookmarkStart w:id="662" w:name="_Toc111536668"/>
      <w:bookmarkStart w:id="663" w:name="_Toc140048996"/>
      <w:r w:rsidRPr="0018386D">
        <w:t xml:space="preserve">Table </w:t>
      </w:r>
      <w:r w:rsidRPr="0018386D">
        <w:fldChar w:fldCharType="begin"/>
      </w:r>
      <w:r w:rsidRPr="0018386D">
        <w:instrText>SEQ Table \* ARABIC</w:instrText>
      </w:r>
      <w:r w:rsidRPr="0018386D">
        <w:fldChar w:fldCharType="separate"/>
      </w:r>
      <w:r w:rsidR="00061BCE" w:rsidRPr="0018386D">
        <w:t>56</w:t>
      </w:r>
      <w:r w:rsidRPr="0018386D">
        <w:fldChar w:fldCharType="end"/>
      </w:r>
      <w:bookmarkEnd w:id="661"/>
      <w:r w:rsidRPr="0018386D">
        <w:t>:</w:t>
      </w:r>
      <w:r w:rsidRPr="0018386D">
        <w:tab/>
      </w:r>
      <w:r w:rsidR="00CA1E67" w:rsidRPr="0018386D">
        <w:t>Data used to calculate the road freight (</w:t>
      </w:r>
      <w:proofErr w:type="spellStart"/>
      <w:r w:rsidR="00CA1E67" w:rsidRPr="0018386D">
        <w:t>tkm</w:t>
      </w:r>
      <w:proofErr w:type="spellEnd"/>
      <w:r w:rsidR="00CA1E67" w:rsidRPr="0018386D">
        <w:t xml:space="preserve">) emission </w:t>
      </w:r>
      <w:proofErr w:type="gramStart"/>
      <w:r w:rsidR="00CA1E67" w:rsidRPr="0018386D">
        <w:t>factor</w:t>
      </w:r>
      <w:bookmarkEnd w:id="662"/>
      <w:bookmarkEnd w:id="663"/>
      <w:proofErr w:type="gramEnd"/>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2677"/>
        <w:gridCol w:w="2285"/>
        <w:gridCol w:w="3543"/>
      </w:tblGrid>
      <w:tr w:rsidR="00C11FE3" w:rsidRPr="0018386D" w14:paraId="65092A5C" w14:textId="77777777" w:rsidTr="00D71E15">
        <w:tc>
          <w:tcPr>
            <w:tcW w:w="2677" w:type="dxa"/>
            <w:shd w:val="clear" w:color="auto" w:fill="1B556B" w:themeFill="text2"/>
            <w:vAlign w:val="center"/>
          </w:tcPr>
          <w:p w14:paraId="65092A59" w14:textId="34927661" w:rsidR="00C11FE3" w:rsidRPr="0018386D" w:rsidRDefault="00276910" w:rsidP="00DD3106">
            <w:pPr>
              <w:pStyle w:val="TableText"/>
              <w:spacing w:before="40" w:after="40"/>
              <w:rPr>
                <w:b/>
                <w:color w:val="FFFFFF" w:themeColor="background1"/>
              </w:rPr>
            </w:pPr>
            <w:r w:rsidRPr="0018386D">
              <w:rPr>
                <w:b/>
                <w:color w:val="FFFFFF" w:themeColor="background1"/>
              </w:rPr>
              <w:t>Truck type</w:t>
            </w:r>
          </w:p>
        </w:tc>
        <w:tc>
          <w:tcPr>
            <w:tcW w:w="2285" w:type="dxa"/>
            <w:shd w:val="clear" w:color="auto" w:fill="1B556B" w:themeFill="text2"/>
            <w:vAlign w:val="center"/>
          </w:tcPr>
          <w:p w14:paraId="65092A5A" w14:textId="718038F5" w:rsidR="00C11FE3" w:rsidRPr="0018386D" w:rsidRDefault="00276910" w:rsidP="00DD3106">
            <w:pPr>
              <w:pStyle w:val="TableText"/>
              <w:spacing w:before="40" w:after="40"/>
              <w:rPr>
                <w:b/>
                <w:color w:val="FFFFFF" w:themeColor="background1"/>
              </w:rPr>
            </w:pPr>
            <w:r w:rsidRPr="0018386D">
              <w:rPr>
                <w:b/>
                <w:color w:val="FFFFFF" w:themeColor="background1"/>
              </w:rPr>
              <w:t>Typical gCO</w:t>
            </w:r>
            <w:r w:rsidRPr="0018386D">
              <w:rPr>
                <w:b/>
                <w:color w:val="FFFFFF" w:themeColor="background1"/>
                <w:vertAlign w:val="subscript"/>
              </w:rPr>
              <w:t>2</w:t>
            </w:r>
            <w:r w:rsidRPr="0018386D">
              <w:rPr>
                <w:b/>
                <w:color w:val="FFFFFF" w:themeColor="background1"/>
              </w:rPr>
              <w:t>/</w:t>
            </w:r>
            <w:proofErr w:type="spellStart"/>
            <w:r w:rsidRPr="0018386D">
              <w:rPr>
                <w:b/>
                <w:color w:val="FFFFFF" w:themeColor="background1"/>
              </w:rPr>
              <w:t>tkm</w:t>
            </w:r>
            <w:proofErr w:type="spellEnd"/>
          </w:p>
        </w:tc>
        <w:tc>
          <w:tcPr>
            <w:tcW w:w="3543" w:type="dxa"/>
            <w:shd w:val="clear" w:color="auto" w:fill="1B556B" w:themeFill="text2"/>
            <w:vAlign w:val="center"/>
          </w:tcPr>
          <w:p w14:paraId="65092A5B" w14:textId="77777777" w:rsidR="00C11FE3" w:rsidRPr="0018386D" w:rsidRDefault="00C11FE3" w:rsidP="00DD3106">
            <w:pPr>
              <w:pStyle w:val="TableText"/>
              <w:spacing w:before="40" w:after="40"/>
              <w:rPr>
                <w:b/>
                <w:color w:val="FFFFFF" w:themeColor="background1"/>
              </w:rPr>
            </w:pPr>
            <w:r w:rsidRPr="0018386D">
              <w:rPr>
                <w:b/>
                <w:color w:val="FFFFFF" w:themeColor="background1"/>
              </w:rPr>
              <w:t>Source</w:t>
            </w:r>
          </w:p>
        </w:tc>
      </w:tr>
      <w:tr w:rsidR="00C11FE3" w:rsidRPr="0018386D" w14:paraId="65092A60" w14:textId="77777777" w:rsidTr="00D71E15">
        <w:tc>
          <w:tcPr>
            <w:tcW w:w="2677" w:type="dxa"/>
            <w:shd w:val="clear" w:color="auto" w:fill="auto"/>
            <w:vAlign w:val="center"/>
          </w:tcPr>
          <w:p w14:paraId="65092A5D" w14:textId="565D065B" w:rsidR="00C11FE3" w:rsidRPr="0018386D" w:rsidRDefault="00F97DBC" w:rsidP="00DD3106">
            <w:pPr>
              <w:pStyle w:val="TableText"/>
              <w:spacing w:before="40" w:after="40"/>
              <w:rPr>
                <w:color w:val="000000" w:themeColor="text1"/>
              </w:rPr>
            </w:pPr>
            <w:r w:rsidRPr="0018386D">
              <w:rPr>
                <w:rFonts w:cs="Calibri"/>
                <w:color w:val="000000" w:themeColor="text1"/>
              </w:rPr>
              <w:t>Long-haul heavy truck</w:t>
            </w:r>
          </w:p>
        </w:tc>
        <w:tc>
          <w:tcPr>
            <w:tcW w:w="2285" w:type="dxa"/>
            <w:shd w:val="clear" w:color="auto" w:fill="auto"/>
            <w:vAlign w:val="center"/>
          </w:tcPr>
          <w:p w14:paraId="65092A5E" w14:textId="49C9C546" w:rsidR="00C11FE3" w:rsidRPr="0018386D" w:rsidRDefault="00F97DBC" w:rsidP="00DD3106">
            <w:pPr>
              <w:pStyle w:val="TableText"/>
              <w:spacing w:before="40" w:after="40"/>
              <w:jc w:val="center"/>
              <w:rPr>
                <w:color w:val="000000" w:themeColor="text1"/>
              </w:rPr>
            </w:pPr>
            <w:r w:rsidRPr="0018386D">
              <w:rPr>
                <w:rFonts w:cs="Calibri"/>
                <w:color w:val="000000" w:themeColor="text1"/>
              </w:rPr>
              <w:t>105</w:t>
            </w:r>
          </w:p>
        </w:tc>
        <w:tc>
          <w:tcPr>
            <w:tcW w:w="3543" w:type="dxa"/>
            <w:vAlign w:val="center"/>
          </w:tcPr>
          <w:p w14:paraId="65092A5F" w14:textId="5F48182C" w:rsidR="00C11FE3" w:rsidRPr="0018386D" w:rsidRDefault="00410F2A" w:rsidP="00DD3106">
            <w:pPr>
              <w:pStyle w:val="TableText"/>
              <w:spacing w:before="40" w:after="40"/>
              <w:rPr>
                <w:color w:val="000000" w:themeColor="text1"/>
              </w:rPr>
            </w:pPr>
            <w:proofErr w:type="spellStart"/>
            <w:r w:rsidRPr="0018386D">
              <w:rPr>
                <w:color w:val="000000" w:themeColor="text1"/>
              </w:rPr>
              <w:t>MoT</w:t>
            </w:r>
            <w:proofErr w:type="spellEnd"/>
          </w:p>
        </w:tc>
      </w:tr>
      <w:tr w:rsidR="00C11FE3" w:rsidRPr="0018386D" w14:paraId="65092A64" w14:textId="77777777" w:rsidTr="00D71E15">
        <w:tc>
          <w:tcPr>
            <w:tcW w:w="2677" w:type="dxa"/>
            <w:shd w:val="clear" w:color="auto" w:fill="auto"/>
            <w:vAlign w:val="center"/>
          </w:tcPr>
          <w:p w14:paraId="65092A61" w14:textId="5CA1DDB4" w:rsidR="00C11FE3" w:rsidRPr="0018386D" w:rsidRDefault="00F97DBC" w:rsidP="00DD3106">
            <w:pPr>
              <w:pStyle w:val="TableText"/>
              <w:spacing w:before="40" w:after="40"/>
              <w:rPr>
                <w:color w:val="000000" w:themeColor="text1"/>
              </w:rPr>
            </w:pPr>
            <w:r w:rsidRPr="0018386D">
              <w:rPr>
                <w:rFonts w:cs="Calibri"/>
                <w:color w:val="000000" w:themeColor="text1"/>
              </w:rPr>
              <w:t>Urban delivery heavy truck</w:t>
            </w:r>
          </w:p>
        </w:tc>
        <w:tc>
          <w:tcPr>
            <w:tcW w:w="2285" w:type="dxa"/>
            <w:shd w:val="clear" w:color="auto" w:fill="auto"/>
            <w:vAlign w:val="center"/>
          </w:tcPr>
          <w:p w14:paraId="65092A62" w14:textId="48C322F9" w:rsidR="00C11FE3" w:rsidRPr="0018386D" w:rsidRDefault="00F97DBC" w:rsidP="00DD3106">
            <w:pPr>
              <w:pStyle w:val="TableText"/>
              <w:spacing w:before="40" w:after="40"/>
              <w:jc w:val="center"/>
              <w:rPr>
                <w:color w:val="000000" w:themeColor="text1"/>
              </w:rPr>
            </w:pPr>
            <w:r w:rsidRPr="0018386D">
              <w:rPr>
                <w:rFonts w:cs="Calibri"/>
                <w:color w:val="000000" w:themeColor="text1"/>
              </w:rPr>
              <w:t>390</w:t>
            </w:r>
          </w:p>
        </w:tc>
        <w:tc>
          <w:tcPr>
            <w:tcW w:w="3543" w:type="dxa"/>
            <w:vAlign w:val="center"/>
          </w:tcPr>
          <w:p w14:paraId="65092A63" w14:textId="3919FC88" w:rsidR="00C11FE3" w:rsidRPr="0018386D" w:rsidRDefault="0018663B" w:rsidP="00DD3106">
            <w:pPr>
              <w:pStyle w:val="TableText"/>
              <w:spacing w:before="40" w:after="40"/>
              <w:rPr>
                <w:color w:val="000000" w:themeColor="text1"/>
              </w:rPr>
            </w:pPr>
            <w:proofErr w:type="spellStart"/>
            <w:r w:rsidRPr="0018386D">
              <w:rPr>
                <w:color w:val="000000" w:themeColor="text1"/>
              </w:rPr>
              <w:t>MoT</w:t>
            </w:r>
            <w:proofErr w:type="spellEnd"/>
          </w:p>
        </w:tc>
      </w:tr>
      <w:tr w:rsidR="00C11FE3" w:rsidRPr="0018386D" w14:paraId="65092A68" w14:textId="77777777" w:rsidTr="00D71E15">
        <w:trPr>
          <w:trHeight w:val="339"/>
        </w:trPr>
        <w:tc>
          <w:tcPr>
            <w:tcW w:w="2677" w:type="dxa"/>
            <w:shd w:val="clear" w:color="auto" w:fill="auto"/>
            <w:vAlign w:val="center"/>
          </w:tcPr>
          <w:p w14:paraId="65092A65" w14:textId="01218978" w:rsidR="00C11FE3" w:rsidRPr="0018386D" w:rsidRDefault="00F97DBC" w:rsidP="00DD3106">
            <w:pPr>
              <w:pStyle w:val="TableText"/>
              <w:spacing w:before="40" w:after="40"/>
              <w:rPr>
                <w:color w:val="000000" w:themeColor="text1"/>
              </w:rPr>
            </w:pPr>
            <w:r w:rsidRPr="0018386D">
              <w:rPr>
                <w:rFonts w:cs="Calibri"/>
                <w:color w:val="000000" w:themeColor="text1"/>
              </w:rPr>
              <w:t>All trucks</w:t>
            </w:r>
          </w:p>
        </w:tc>
        <w:tc>
          <w:tcPr>
            <w:tcW w:w="2285" w:type="dxa"/>
            <w:shd w:val="clear" w:color="auto" w:fill="auto"/>
            <w:vAlign w:val="center"/>
          </w:tcPr>
          <w:p w14:paraId="65092A66" w14:textId="7EA3805B" w:rsidR="00C11FE3" w:rsidRPr="0018386D" w:rsidRDefault="00F97DBC" w:rsidP="00DD3106">
            <w:pPr>
              <w:pStyle w:val="TableText"/>
              <w:spacing w:before="40" w:after="40"/>
              <w:jc w:val="center"/>
              <w:rPr>
                <w:color w:val="000000" w:themeColor="text1"/>
              </w:rPr>
            </w:pPr>
            <w:r w:rsidRPr="0018386D">
              <w:rPr>
                <w:rFonts w:cs="Calibri"/>
                <w:color w:val="000000" w:themeColor="text1"/>
              </w:rPr>
              <w:t>135</w:t>
            </w:r>
          </w:p>
        </w:tc>
        <w:tc>
          <w:tcPr>
            <w:tcW w:w="3543" w:type="dxa"/>
            <w:vAlign w:val="center"/>
          </w:tcPr>
          <w:p w14:paraId="65092A67" w14:textId="52BEFE06" w:rsidR="003079FA" w:rsidRPr="0018386D" w:rsidRDefault="0018663B" w:rsidP="00DD3106">
            <w:pPr>
              <w:pStyle w:val="TableText"/>
              <w:spacing w:before="40" w:after="40"/>
              <w:rPr>
                <w:color w:val="000000" w:themeColor="text1"/>
              </w:rPr>
            </w:pPr>
            <w:proofErr w:type="spellStart"/>
            <w:r w:rsidRPr="0018386D">
              <w:rPr>
                <w:color w:val="000000" w:themeColor="text1"/>
              </w:rPr>
              <w:t>MoT</w:t>
            </w:r>
            <w:proofErr w:type="spellEnd"/>
          </w:p>
        </w:tc>
      </w:tr>
    </w:tbl>
    <w:p w14:paraId="65092A6A" w14:textId="4AF4F2B0" w:rsidR="00E1750F" w:rsidRPr="0018386D" w:rsidRDefault="00C7626B" w:rsidP="00DD3106">
      <w:pPr>
        <w:pStyle w:val="BodyText"/>
        <w:spacing w:before="240"/>
      </w:pPr>
      <w:r w:rsidRPr="0018386D">
        <w:t>As m</w:t>
      </w:r>
      <w:r w:rsidR="00F919E2" w:rsidRPr="0018386D">
        <w:t>ost</w:t>
      </w:r>
      <w:r w:rsidR="00E1750F" w:rsidRPr="0018386D">
        <w:t xml:space="preserve"> heavy goods vehicles are diesel</w:t>
      </w:r>
      <w:r w:rsidR="00176139" w:rsidRPr="0018386D">
        <w:t>,</w:t>
      </w:r>
      <w:r w:rsidR="00E1750F" w:rsidRPr="0018386D">
        <w:t xml:space="preserve"> </w:t>
      </w:r>
      <w:r w:rsidR="00404C14" w:rsidRPr="0018386D">
        <w:t xml:space="preserve">we used </w:t>
      </w:r>
      <w:r w:rsidR="00E1750F" w:rsidRPr="0018386D">
        <w:t xml:space="preserve">the information </w:t>
      </w:r>
      <w:r w:rsidR="00434DCE" w:rsidRPr="0018386D">
        <w:t>in</w:t>
      </w:r>
      <w:r w:rsidR="00AD608A" w:rsidRPr="0018386D">
        <w:t xml:space="preserve"> </w:t>
      </w:r>
      <w:hyperlink w:anchor="Table57" w:history="1">
        <w:r w:rsidR="00AD608A" w:rsidRPr="0018386D">
          <w:rPr>
            <w:rStyle w:val="Hyperlink"/>
          </w:rPr>
          <w:t xml:space="preserve">table </w:t>
        </w:r>
        <w:r w:rsidR="008F6F10" w:rsidRPr="0018386D">
          <w:rPr>
            <w:rStyle w:val="Hyperlink"/>
          </w:rPr>
          <w:t>57</w:t>
        </w:r>
      </w:hyperlink>
      <w:r w:rsidR="00434DCE" w:rsidRPr="0018386D">
        <w:rPr>
          <w:color w:val="32809C" w:themeColor="accent2"/>
        </w:rPr>
        <w:t xml:space="preserve"> </w:t>
      </w:r>
      <w:r w:rsidR="00E1750F" w:rsidRPr="0018386D">
        <w:t>to calculate the ratio of carbon</w:t>
      </w:r>
      <w:r w:rsidR="00F919E2" w:rsidRPr="0018386D">
        <w:t xml:space="preserve"> dioxide,</w:t>
      </w:r>
      <w:r w:rsidR="00E1750F" w:rsidRPr="0018386D">
        <w:t xml:space="preserve"> </w:t>
      </w:r>
      <w:proofErr w:type="gramStart"/>
      <w:r w:rsidR="00E1750F" w:rsidRPr="0018386D">
        <w:t>methane</w:t>
      </w:r>
      <w:proofErr w:type="gramEnd"/>
      <w:r w:rsidR="00F919E2" w:rsidRPr="0018386D">
        <w:t xml:space="preserve"> and</w:t>
      </w:r>
      <w:r w:rsidR="00E1750F" w:rsidRPr="0018386D">
        <w:t xml:space="preserve"> nitrous oxide.</w:t>
      </w:r>
    </w:p>
    <w:p w14:paraId="65092A6B" w14:textId="4EA047FE" w:rsidR="00434DCE" w:rsidRPr="0018386D" w:rsidRDefault="00EB4389" w:rsidP="00DD3106">
      <w:pPr>
        <w:pStyle w:val="Tableheading"/>
      </w:pPr>
      <w:bookmarkStart w:id="664" w:name="Table57"/>
      <w:bookmarkStart w:id="665" w:name="_Ref57106701"/>
      <w:bookmarkStart w:id="666" w:name="_Toc111536669"/>
      <w:bookmarkStart w:id="667" w:name="_Toc140048997"/>
      <w:r w:rsidRPr="0018386D">
        <w:t xml:space="preserve">Table </w:t>
      </w:r>
      <w:r w:rsidRPr="0018386D">
        <w:fldChar w:fldCharType="begin"/>
      </w:r>
      <w:r w:rsidRPr="0018386D">
        <w:instrText>SEQ Table \* ARABIC</w:instrText>
      </w:r>
      <w:r w:rsidRPr="0018386D">
        <w:fldChar w:fldCharType="separate"/>
      </w:r>
      <w:r w:rsidR="00061BCE" w:rsidRPr="0018386D">
        <w:t>57</w:t>
      </w:r>
      <w:r w:rsidRPr="0018386D">
        <w:fldChar w:fldCharType="end"/>
      </w:r>
      <w:bookmarkEnd w:id="664"/>
      <w:r w:rsidRPr="0018386D">
        <w:t>:</w:t>
      </w:r>
      <w:r w:rsidRPr="0018386D">
        <w:tab/>
      </w:r>
      <w:r w:rsidR="00434DCE" w:rsidRPr="0018386D">
        <w:t xml:space="preserve">Calculating the ratio of gases in </w:t>
      </w:r>
      <w:proofErr w:type="gramStart"/>
      <w:r w:rsidR="00434DCE" w:rsidRPr="0018386D">
        <w:t>diesel</w:t>
      </w:r>
      <w:bookmarkEnd w:id="665"/>
      <w:bookmarkEnd w:id="666"/>
      <w:bookmarkEnd w:id="667"/>
      <w:proofErr w:type="gramEnd"/>
    </w:p>
    <w:tbl>
      <w:tblPr>
        <w:tblStyle w:val="TableGrid"/>
        <w:tblW w:w="8505" w:type="dxa"/>
        <w:tblInd w:w="2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624"/>
        <w:gridCol w:w="1221"/>
        <w:gridCol w:w="1099"/>
        <w:gridCol w:w="1709"/>
        <w:gridCol w:w="1852"/>
      </w:tblGrid>
      <w:tr w:rsidR="001C726B" w:rsidRPr="0018386D" w14:paraId="65092A71" w14:textId="77777777" w:rsidTr="00370212">
        <w:trPr>
          <w:trHeight w:val="20"/>
        </w:trPr>
        <w:tc>
          <w:tcPr>
            <w:tcW w:w="2438" w:type="dxa"/>
            <w:shd w:val="clear" w:color="auto" w:fill="1B556B" w:themeFill="text2"/>
            <w:vAlign w:val="bottom"/>
          </w:tcPr>
          <w:p w14:paraId="65092A6C" w14:textId="77777777" w:rsidR="00D02A49" w:rsidRPr="0018386D" w:rsidRDefault="00D02A49" w:rsidP="00DD3106">
            <w:pPr>
              <w:pStyle w:val="TableText"/>
              <w:spacing w:before="40" w:after="40"/>
              <w:rPr>
                <w:b/>
                <w:color w:val="FFFFFF" w:themeColor="background1"/>
              </w:rPr>
            </w:pPr>
            <w:r w:rsidRPr="0018386D">
              <w:rPr>
                <w:b/>
                <w:color w:val="FFFFFF" w:themeColor="background1"/>
              </w:rPr>
              <w:t>Information</w:t>
            </w:r>
          </w:p>
        </w:tc>
        <w:tc>
          <w:tcPr>
            <w:tcW w:w="1134" w:type="dxa"/>
            <w:shd w:val="clear" w:color="auto" w:fill="1B556B" w:themeFill="text2"/>
            <w:vAlign w:val="bottom"/>
          </w:tcPr>
          <w:p w14:paraId="65092A6D" w14:textId="77C7423B" w:rsidR="00D02A49" w:rsidRPr="0018386D" w:rsidRDefault="00D02A49" w:rsidP="00DD3106">
            <w:pPr>
              <w:pStyle w:val="TableText"/>
              <w:spacing w:before="40" w:after="40"/>
              <w:jc w:val="right"/>
              <w:rPr>
                <w:b/>
                <w:color w:val="FFFFFF" w:themeColor="background1"/>
              </w:rPr>
            </w:pPr>
            <w:r w:rsidRPr="0018386D">
              <w:rPr>
                <w:b/>
                <w:color w:val="FFFFFF" w:themeColor="background1"/>
              </w:rPr>
              <w:t>kg CO</w:t>
            </w:r>
            <w:r w:rsidRPr="0018386D">
              <w:rPr>
                <w:b/>
                <w:color w:val="FFFFFF" w:themeColor="background1"/>
                <w:vertAlign w:val="subscript"/>
              </w:rPr>
              <w:t>2</w:t>
            </w:r>
            <w:r w:rsidRPr="0018386D">
              <w:rPr>
                <w:b/>
                <w:color w:val="FFFFFF" w:themeColor="background1"/>
              </w:rPr>
              <w:t>-e</w:t>
            </w:r>
            <w:r w:rsidR="00AF162E" w:rsidRPr="0018386D">
              <w:rPr>
                <w:b/>
                <w:color w:val="FFFFFF" w:themeColor="background1"/>
              </w:rPr>
              <w:t>/litre</w:t>
            </w:r>
          </w:p>
        </w:tc>
        <w:tc>
          <w:tcPr>
            <w:tcW w:w="1021" w:type="dxa"/>
            <w:shd w:val="clear" w:color="auto" w:fill="1B556B" w:themeFill="text2"/>
            <w:vAlign w:val="bottom"/>
          </w:tcPr>
          <w:p w14:paraId="65092A6E" w14:textId="0745FD61" w:rsidR="00D02A49" w:rsidRPr="0018386D" w:rsidRDefault="00D02A49" w:rsidP="00DD3106">
            <w:pPr>
              <w:pStyle w:val="TableText"/>
              <w:spacing w:before="40" w:after="40"/>
              <w:jc w:val="right"/>
              <w:rPr>
                <w:b/>
                <w:color w:val="FFFFFF" w:themeColor="background1"/>
              </w:rPr>
            </w:pPr>
            <w:r w:rsidRPr="0018386D">
              <w:rPr>
                <w:b/>
                <w:color w:val="FFFFFF" w:themeColor="background1"/>
              </w:rPr>
              <w:t>kg CO</w:t>
            </w:r>
            <w:r w:rsidRPr="0018386D">
              <w:rPr>
                <w:b/>
                <w:color w:val="FFFFFF" w:themeColor="background1"/>
                <w:vertAlign w:val="subscript"/>
              </w:rPr>
              <w:t>2</w:t>
            </w:r>
            <w:r w:rsidR="00AF162E" w:rsidRPr="0018386D">
              <w:rPr>
                <w:b/>
                <w:color w:val="FFFFFF" w:themeColor="background1"/>
              </w:rPr>
              <w:t>/litre</w:t>
            </w:r>
          </w:p>
        </w:tc>
        <w:tc>
          <w:tcPr>
            <w:tcW w:w="1588" w:type="dxa"/>
            <w:shd w:val="clear" w:color="auto" w:fill="1B556B" w:themeFill="text2"/>
            <w:vAlign w:val="bottom"/>
          </w:tcPr>
          <w:p w14:paraId="65092A6F" w14:textId="6F2D5F3A" w:rsidR="00D02A49" w:rsidRPr="0018386D" w:rsidRDefault="00D02A49" w:rsidP="00DD3106">
            <w:pPr>
              <w:pStyle w:val="TableText"/>
              <w:spacing w:before="40" w:after="40"/>
              <w:jc w:val="right"/>
              <w:rPr>
                <w:b/>
                <w:color w:val="FFFFFF" w:themeColor="background1"/>
              </w:rPr>
            </w:pPr>
            <w:r w:rsidRPr="0018386D">
              <w:rPr>
                <w:b/>
                <w:color w:val="FFFFFF" w:themeColor="background1"/>
              </w:rPr>
              <w:t>CH</w:t>
            </w:r>
            <w:r w:rsidRPr="0018386D">
              <w:rPr>
                <w:b/>
                <w:color w:val="FFFFFF" w:themeColor="background1"/>
                <w:vertAlign w:val="subscript"/>
              </w:rPr>
              <w:t>4</w:t>
            </w:r>
            <w:r w:rsidR="00703485" w:rsidRPr="0018386D">
              <w:rPr>
                <w:b/>
                <w:color w:val="FFFFFF" w:themeColor="background1"/>
                <w:vertAlign w:val="subscript"/>
              </w:rPr>
              <w:t xml:space="preserve"> </w:t>
            </w:r>
            <w:r w:rsidR="00915529" w:rsidRPr="0018386D">
              <w:rPr>
                <w:b/>
                <w:color w:val="FFFFFF" w:themeColor="background1"/>
              </w:rPr>
              <w:t>(</w:t>
            </w:r>
            <w:r w:rsidR="00546F2A" w:rsidRPr="0018386D">
              <w:rPr>
                <w:b/>
                <w:color w:val="FFFFFF" w:themeColor="background1"/>
              </w:rPr>
              <w:t>kg</w:t>
            </w:r>
            <w:r w:rsidR="00915529" w:rsidRPr="0018386D">
              <w:rPr>
                <w:b/>
                <w:color w:val="FFFFFF" w:themeColor="background1"/>
              </w:rPr>
              <w:t xml:space="preserve"> CO</w:t>
            </w:r>
            <w:r w:rsidR="00915529" w:rsidRPr="0018386D">
              <w:rPr>
                <w:b/>
                <w:color w:val="FFFFFF" w:themeColor="background1"/>
                <w:vertAlign w:val="subscript"/>
              </w:rPr>
              <w:t>2</w:t>
            </w:r>
            <w:r w:rsidR="00AF162E" w:rsidRPr="0018386D">
              <w:rPr>
                <w:b/>
                <w:color w:val="FFFFFF" w:themeColor="background1"/>
              </w:rPr>
              <w:t>-</w:t>
            </w:r>
            <w:r w:rsidR="00915529" w:rsidRPr="0018386D">
              <w:rPr>
                <w:b/>
                <w:color w:val="FFFFFF" w:themeColor="background1"/>
              </w:rPr>
              <w:t>e</w:t>
            </w:r>
            <w:r w:rsidR="00AF162E" w:rsidRPr="0018386D">
              <w:rPr>
                <w:b/>
                <w:color w:val="FFFFFF" w:themeColor="background1"/>
              </w:rPr>
              <w:t xml:space="preserve"> / litre</w:t>
            </w:r>
            <w:r w:rsidR="0088581E" w:rsidRPr="0018386D">
              <w:rPr>
                <w:b/>
                <w:color w:val="FFFFFF" w:themeColor="background1"/>
              </w:rPr>
              <w:t>)</w:t>
            </w:r>
          </w:p>
        </w:tc>
        <w:tc>
          <w:tcPr>
            <w:tcW w:w="1721" w:type="dxa"/>
            <w:shd w:val="clear" w:color="auto" w:fill="1B556B" w:themeFill="text2"/>
            <w:vAlign w:val="bottom"/>
          </w:tcPr>
          <w:p w14:paraId="65092A70" w14:textId="13F503DB" w:rsidR="00D02A49" w:rsidRPr="0018386D" w:rsidRDefault="00035F53" w:rsidP="00DD3106">
            <w:pPr>
              <w:pStyle w:val="TableText"/>
              <w:spacing w:before="40" w:after="40"/>
              <w:jc w:val="right"/>
              <w:rPr>
                <w:b/>
                <w:color w:val="FFFFFF" w:themeColor="background1"/>
              </w:rPr>
            </w:pPr>
            <w:r w:rsidRPr="0018386D">
              <w:rPr>
                <w:b/>
                <w:color w:val="FFFFFF" w:themeColor="background1"/>
              </w:rPr>
              <w:t>N</w:t>
            </w:r>
            <w:r w:rsidRPr="0018386D">
              <w:rPr>
                <w:b/>
                <w:color w:val="FFFFFF" w:themeColor="background1"/>
                <w:vertAlign w:val="subscript"/>
              </w:rPr>
              <w:t>2</w:t>
            </w:r>
            <w:r w:rsidRPr="0018386D">
              <w:rPr>
                <w:b/>
                <w:color w:val="FFFFFF" w:themeColor="background1"/>
              </w:rPr>
              <w:t>O</w:t>
            </w:r>
            <w:r w:rsidR="00301510" w:rsidRPr="0018386D">
              <w:rPr>
                <w:b/>
                <w:color w:val="FFFFFF" w:themeColor="background1"/>
              </w:rPr>
              <w:t xml:space="preserve"> </w:t>
            </w:r>
            <w:r w:rsidR="00915529" w:rsidRPr="0018386D">
              <w:rPr>
                <w:b/>
                <w:color w:val="FFFFFF" w:themeColor="background1"/>
              </w:rPr>
              <w:t>(</w:t>
            </w:r>
            <w:r w:rsidR="00546F2A" w:rsidRPr="0018386D">
              <w:rPr>
                <w:b/>
                <w:color w:val="FFFFFF" w:themeColor="background1"/>
              </w:rPr>
              <w:t>kg</w:t>
            </w:r>
            <w:r w:rsidR="00915529" w:rsidRPr="0018386D">
              <w:rPr>
                <w:b/>
                <w:color w:val="FFFFFF" w:themeColor="background1"/>
              </w:rPr>
              <w:t xml:space="preserve"> CO</w:t>
            </w:r>
            <w:r w:rsidR="00915529" w:rsidRPr="0018386D">
              <w:rPr>
                <w:b/>
                <w:color w:val="FFFFFF" w:themeColor="background1"/>
                <w:vertAlign w:val="subscript"/>
              </w:rPr>
              <w:t>2</w:t>
            </w:r>
            <w:r w:rsidR="00AF162E" w:rsidRPr="0018386D">
              <w:rPr>
                <w:b/>
                <w:color w:val="FFFFFF" w:themeColor="background1"/>
              </w:rPr>
              <w:t>-</w:t>
            </w:r>
            <w:r w:rsidR="00915529" w:rsidRPr="0018386D">
              <w:rPr>
                <w:b/>
                <w:color w:val="FFFFFF" w:themeColor="background1"/>
              </w:rPr>
              <w:t>e</w:t>
            </w:r>
            <w:r w:rsidR="0088581E" w:rsidRPr="0018386D">
              <w:rPr>
                <w:b/>
                <w:color w:val="FFFFFF" w:themeColor="background1"/>
              </w:rPr>
              <w:t xml:space="preserve"> </w:t>
            </w:r>
            <w:r w:rsidR="00AF162E" w:rsidRPr="0018386D">
              <w:rPr>
                <w:b/>
                <w:color w:val="FFFFFF" w:themeColor="background1"/>
              </w:rPr>
              <w:t>/ litre</w:t>
            </w:r>
            <w:r w:rsidR="0088581E" w:rsidRPr="0018386D">
              <w:rPr>
                <w:b/>
                <w:color w:val="FFFFFF" w:themeColor="background1"/>
              </w:rPr>
              <w:t>)</w:t>
            </w:r>
          </w:p>
        </w:tc>
      </w:tr>
      <w:tr w:rsidR="00350DC4" w:rsidRPr="0018386D" w14:paraId="65092A77" w14:textId="77777777" w:rsidTr="00370212">
        <w:trPr>
          <w:trHeight w:val="20"/>
        </w:trPr>
        <w:tc>
          <w:tcPr>
            <w:tcW w:w="2438" w:type="dxa"/>
          </w:tcPr>
          <w:p w14:paraId="65092A72" w14:textId="2D896A8A" w:rsidR="00350DC4" w:rsidRPr="0018386D" w:rsidRDefault="00350DC4" w:rsidP="00DD3106">
            <w:pPr>
              <w:pStyle w:val="TableText"/>
              <w:spacing w:before="40" w:after="40"/>
            </w:pPr>
            <w:r w:rsidRPr="0018386D">
              <w:t>Diesel emission factors</w:t>
            </w:r>
          </w:p>
        </w:tc>
        <w:tc>
          <w:tcPr>
            <w:tcW w:w="1134" w:type="dxa"/>
            <w:shd w:val="clear" w:color="auto" w:fill="auto"/>
          </w:tcPr>
          <w:p w14:paraId="65092A73" w14:textId="77D39F18" w:rsidR="00350DC4" w:rsidRPr="0018386D" w:rsidRDefault="00350DC4" w:rsidP="00DD3106">
            <w:pPr>
              <w:pStyle w:val="TableText"/>
              <w:spacing w:before="40" w:after="40"/>
              <w:jc w:val="right"/>
            </w:pPr>
            <w:r w:rsidRPr="0018386D">
              <w:t>2.</w:t>
            </w:r>
            <w:r w:rsidR="00C02A09" w:rsidRPr="0018386D">
              <w:t>7</w:t>
            </w:r>
            <w:r w:rsidR="00407290" w:rsidRPr="0018386D">
              <w:t>15</w:t>
            </w:r>
          </w:p>
        </w:tc>
        <w:tc>
          <w:tcPr>
            <w:tcW w:w="1021" w:type="dxa"/>
            <w:shd w:val="clear" w:color="auto" w:fill="auto"/>
          </w:tcPr>
          <w:p w14:paraId="65092A74" w14:textId="6CB79F3D" w:rsidR="00350DC4" w:rsidRPr="0018386D" w:rsidRDefault="00350DC4" w:rsidP="00DD3106">
            <w:pPr>
              <w:pStyle w:val="TableText"/>
              <w:spacing w:before="40" w:after="40"/>
              <w:jc w:val="right"/>
            </w:pPr>
            <w:r w:rsidRPr="0018386D">
              <w:t>2.</w:t>
            </w:r>
            <w:r w:rsidR="00407290" w:rsidRPr="0018386D">
              <w:t>673</w:t>
            </w:r>
          </w:p>
        </w:tc>
        <w:tc>
          <w:tcPr>
            <w:tcW w:w="1588" w:type="dxa"/>
            <w:shd w:val="clear" w:color="auto" w:fill="auto"/>
          </w:tcPr>
          <w:p w14:paraId="65092A75" w14:textId="5BABD59F" w:rsidR="00350DC4" w:rsidRPr="0018386D" w:rsidRDefault="00350DC4" w:rsidP="00DD3106">
            <w:pPr>
              <w:pStyle w:val="TableText"/>
              <w:spacing w:before="40" w:after="40"/>
              <w:jc w:val="right"/>
            </w:pPr>
            <w:r w:rsidRPr="0018386D">
              <w:t>0.</w:t>
            </w:r>
            <w:r w:rsidR="00407290" w:rsidRPr="0018386D">
              <w:t>00</w:t>
            </w:r>
            <w:r w:rsidR="001E5FAB" w:rsidRPr="0018386D">
              <w:t>40</w:t>
            </w:r>
          </w:p>
        </w:tc>
        <w:tc>
          <w:tcPr>
            <w:tcW w:w="1721" w:type="dxa"/>
            <w:shd w:val="clear" w:color="auto" w:fill="auto"/>
          </w:tcPr>
          <w:p w14:paraId="65092A76" w14:textId="06B1E036" w:rsidR="00350DC4" w:rsidRPr="0018386D" w:rsidRDefault="00350DC4" w:rsidP="00DD3106">
            <w:pPr>
              <w:pStyle w:val="TableText"/>
              <w:spacing w:before="40" w:after="40"/>
              <w:jc w:val="right"/>
            </w:pPr>
            <w:r w:rsidRPr="0018386D">
              <w:t>0.</w:t>
            </w:r>
            <w:r w:rsidR="000E1A20" w:rsidRPr="0018386D">
              <w:t>0378</w:t>
            </w:r>
          </w:p>
        </w:tc>
      </w:tr>
      <w:tr w:rsidR="001C726B" w:rsidRPr="0018386D" w14:paraId="65092A86" w14:textId="77777777" w:rsidTr="00370212">
        <w:trPr>
          <w:trHeight w:val="20"/>
        </w:trPr>
        <w:tc>
          <w:tcPr>
            <w:tcW w:w="2438" w:type="dxa"/>
          </w:tcPr>
          <w:p w14:paraId="65092A7E" w14:textId="3CEC875F" w:rsidR="00D02A49" w:rsidRPr="0018386D" w:rsidRDefault="000F59BC" w:rsidP="00DD3106">
            <w:pPr>
              <w:pStyle w:val="TableText"/>
              <w:spacing w:before="40" w:after="40"/>
            </w:pPr>
            <w:r w:rsidRPr="0018386D">
              <w:t>% of gas type</w:t>
            </w:r>
            <w:r w:rsidR="00D02A49" w:rsidRPr="0018386D">
              <w:t xml:space="preserve"> to calculate losses</w:t>
            </w:r>
          </w:p>
        </w:tc>
        <w:tc>
          <w:tcPr>
            <w:tcW w:w="1134" w:type="dxa"/>
          </w:tcPr>
          <w:p w14:paraId="65092A7F" w14:textId="5DC6C324" w:rsidR="00D02A49" w:rsidRPr="0018386D" w:rsidRDefault="003B27A7" w:rsidP="00DD3106">
            <w:pPr>
              <w:pStyle w:val="TableText"/>
              <w:spacing w:before="40" w:after="40"/>
              <w:jc w:val="right"/>
            </w:pPr>
            <w:r w:rsidRPr="0018386D">
              <w:t>–</w:t>
            </w:r>
          </w:p>
        </w:tc>
        <w:tc>
          <w:tcPr>
            <w:tcW w:w="1021" w:type="dxa"/>
          </w:tcPr>
          <w:p w14:paraId="65092A81" w14:textId="3223FF25" w:rsidR="00D02A49" w:rsidRPr="0018386D" w:rsidRDefault="000F59BC" w:rsidP="00DD3106">
            <w:pPr>
              <w:pStyle w:val="TableText"/>
              <w:spacing w:before="40" w:after="40"/>
              <w:jc w:val="right"/>
            </w:pPr>
            <w:r w:rsidRPr="0018386D">
              <w:t>98.</w:t>
            </w:r>
            <w:r w:rsidR="004A00EE" w:rsidRPr="0018386D">
              <w:t>46</w:t>
            </w:r>
            <w:r w:rsidRPr="0018386D">
              <w:t>%</w:t>
            </w:r>
          </w:p>
        </w:tc>
        <w:tc>
          <w:tcPr>
            <w:tcW w:w="1588" w:type="dxa"/>
          </w:tcPr>
          <w:p w14:paraId="65092A83" w14:textId="2A0000A4" w:rsidR="00D02A49" w:rsidRPr="0018386D" w:rsidRDefault="00D02A49" w:rsidP="00DD3106">
            <w:pPr>
              <w:pStyle w:val="TableText"/>
              <w:spacing w:before="40" w:after="40"/>
              <w:jc w:val="right"/>
            </w:pPr>
            <w:r w:rsidRPr="0018386D">
              <w:t>0.</w:t>
            </w:r>
            <w:r w:rsidR="000F59BC" w:rsidRPr="0018386D">
              <w:t>1</w:t>
            </w:r>
            <w:r w:rsidR="004A00EE" w:rsidRPr="0018386D">
              <w:t>5</w:t>
            </w:r>
            <w:r w:rsidR="000F59BC" w:rsidRPr="0018386D">
              <w:t>%</w:t>
            </w:r>
          </w:p>
        </w:tc>
        <w:tc>
          <w:tcPr>
            <w:tcW w:w="1721" w:type="dxa"/>
          </w:tcPr>
          <w:p w14:paraId="65092A85" w14:textId="5D255105" w:rsidR="00D02A49" w:rsidRPr="0018386D" w:rsidRDefault="000F59BC" w:rsidP="00DD3106">
            <w:pPr>
              <w:pStyle w:val="TableText"/>
              <w:spacing w:before="40" w:after="40"/>
              <w:jc w:val="right"/>
            </w:pPr>
            <w:r w:rsidRPr="0018386D">
              <w:t>1.</w:t>
            </w:r>
            <w:r w:rsidR="004A00EE" w:rsidRPr="0018386D">
              <w:t>39</w:t>
            </w:r>
            <w:r w:rsidRPr="0018386D">
              <w:t>%</w:t>
            </w:r>
          </w:p>
        </w:tc>
      </w:tr>
    </w:tbl>
    <w:p w14:paraId="65092A87" w14:textId="38E971CE" w:rsidR="00E1750F" w:rsidRPr="0018386D" w:rsidRDefault="00AE5DF1" w:rsidP="00DD3106">
      <w:pPr>
        <w:pStyle w:val="BodyText"/>
        <w:spacing w:before="240"/>
      </w:pPr>
      <w:r w:rsidRPr="0018386D">
        <w:lastRenderedPageBreak/>
        <w:t>We multiplied t</w:t>
      </w:r>
      <w:r w:rsidR="00F919E2" w:rsidRPr="0018386D">
        <w:t xml:space="preserve">he </w:t>
      </w:r>
      <w:r w:rsidR="00914819" w:rsidRPr="0018386D">
        <w:t>0.13</w:t>
      </w:r>
      <w:r w:rsidR="005464BF" w:rsidRPr="0018386D">
        <w:t>5</w:t>
      </w:r>
      <w:r w:rsidR="00F919E2" w:rsidRPr="0018386D">
        <w:t xml:space="preserve"> </w:t>
      </w:r>
      <w:r w:rsidR="00CA1E67" w:rsidRPr="0018386D">
        <w:t>kg</w:t>
      </w:r>
      <w:r w:rsidR="00F919E2" w:rsidRPr="0018386D">
        <w:t xml:space="preserve"> </w:t>
      </w:r>
      <w:r w:rsidR="00CA1E67" w:rsidRPr="0018386D">
        <w:t>CO</w:t>
      </w:r>
      <w:r w:rsidR="00CA1E67" w:rsidRPr="0018386D">
        <w:rPr>
          <w:vertAlign w:val="subscript"/>
        </w:rPr>
        <w:t>2</w:t>
      </w:r>
      <w:r w:rsidR="00F919E2" w:rsidRPr="0018386D">
        <w:t>-</w:t>
      </w:r>
      <w:r w:rsidR="00CA1E67" w:rsidRPr="0018386D">
        <w:t>e</w:t>
      </w:r>
      <w:r w:rsidR="00F919E2" w:rsidRPr="0018386D">
        <w:t xml:space="preserve"> </w:t>
      </w:r>
      <w:r w:rsidR="00B249BA" w:rsidRPr="0018386D">
        <w:rPr>
          <w:rFonts w:cs="Calibri"/>
          <w:shd w:val="clear" w:color="auto" w:fill="FFFFFF"/>
        </w:rPr>
        <w:t xml:space="preserve">(Road Freight: Example Calculation box) </w:t>
      </w:r>
      <w:r w:rsidR="00F919E2" w:rsidRPr="0018386D">
        <w:t>result</w:t>
      </w:r>
      <w:r w:rsidR="00CA1E67" w:rsidRPr="0018386D">
        <w:t xml:space="preserve"> by the calculated factor to provide emission factors broken down by gas type.</w:t>
      </w:r>
    </w:p>
    <w:p w14:paraId="65092A88" w14:textId="6E9643F1" w:rsidR="0054105F" w:rsidRPr="0018386D" w:rsidRDefault="500DFA64" w:rsidP="00DD3106">
      <w:pPr>
        <w:pStyle w:val="Heading3"/>
        <w:numPr>
          <w:ilvl w:val="2"/>
          <w:numId w:val="8"/>
        </w:numPr>
        <w:spacing w:before="280"/>
        <w:jc w:val="both"/>
      </w:pPr>
      <w:bookmarkStart w:id="668" w:name="_Toc532904922"/>
      <w:r w:rsidRPr="0018386D">
        <w:t xml:space="preserve">Assumptions, </w:t>
      </w:r>
      <w:proofErr w:type="gramStart"/>
      <w:r w:rsidRPr="0018386D">
        <w:t>limitations</w:t>
      </w:r>
      <w:proofErr w:type="gramEnd"/>
      <w:r w:rsidRPr="0018386D">
        <w:t xml:space="preserve"> and uncertainties</w:t>
      </w:r>
      <w:bookmarkEnd w:id="668"/>
    </w:p>
    <w:p w14:paraId="2851D48C" w14:textId="12572F48" w:rsidR="000C15EB" w:rsidRPr="0018386D" w:rsidRDefault="000C15EB" w:rsidP="00DD3106">
      <w:pPr>
        <w:pStyle w:val="BodyText"/>
        <w:keepLines/>
      </w:pPr>
      <w:r w:rsidRPr="0018386D">
        <w:t xml:space="preserve">The </w:t>
      </w:r>
      <w:r w:rsidR="00FF0409" w:rsidRPr="0018386D">
        <w:t xml:space="preserve">Vehicle Fleet Emissions Model </w:t>
      </w:r>
      <w:r w:rsidRPr="0018386D">
        <w:t>historical year results have been carefully calibrated to give</w:t>
      </w:r>
      <w:r w:rsidR="00536278" w:rsidRPr="0018386D">
        <w:t> </w:t>
      </w:r>
      <w:r w:rsidRPr="0018386D">
        <w:t xml:space="preserve">a total road fuel use </w:t>
      </w:r>
      <w:r w:rsidR="00E50234" w:rsidRPr="0018386D">
        <w:t>that</w:t>
      </w:r>
      <w:r w:rsidRPr="0018386D">
        <w:t xml:space="preserve"> matches MBIE’s road fuel sales figures. </w:t>
      </w:r>
      <w:r w:rsidR="00E50234" w:rsidRPr="0018386D">
        <w:t>T</w:t>
      </w:r>
      <w:r w:rsidRPr="0018386D">
        <w:t>he major source of uncertainty</w:t>
      </w:r>
      <w:r w:rsidR="00E50234" w:rsidRPr="0018386D">
        <w:t xml:space="preserve"> for the freighting goods emission factor </w:t>
      </w:r>
      <w:r w:rsidRPr="0018386D">
        <w:t>is that net tonne-kilometres must be inferred from truck</w:t>
      </w:r>
      <w:r w:rsidRPr="0018386D" w:rsidDel="00182C7C">
        <w:t xml:space="preserve"> </w:t>
      </w:r>
      <w:r w:rsidR="001F3BCC" w:rsidRPr="0018386D">
        <w:t xml:space="preserve">(RUC) </w:t>
      </w:r>
      <w:r w:rsidRPr="0018386D">
        <w:t xml:space="preserve">returns and the </w:t>
      </w:r>
      <w:r w:rsidR="00DF618F" w:rsidRPr="0018386D">
        <w:t>Waka Kotahi NZ Transport Agency</w:t>
      </w:r>
      <w:r w:rsidR="00E06CCC" w:rsidRPr="0018386D">
        <w:t xml:space="preserve"> (</w:t>
      </w:r>
      <w:r w:rsidRPr="0018386D">
        <w:t>NZTA</w:t>
      </w:r>
      <w:r w:rsidR="00E06CCC" w:rsidRPr="0018386D">
        <w:t>)</w:t>
      </w:r>
      <w:r w:rsidRPr="0018386D">
        <w:t xml:space="preserve"> truck weigh-in-motion statistics. </w:t>
      </w:r>
    </w:p>
    <w:p w14:paraId="603A5F13" w14:textId="593DDC05" w:rsidR="00FB003E" w:rsidRPr="0018386D" w:rsidRDefault="00FB003E" w:rsidP="00DD3106">
      <w:pPr>
        <w:pStyle w:val="BodyText"/>
      </w:pPr>
      <w:r w:rsidRPr="0018386D">
        <w:t xml:space="preserve">The sources used to develop these emission factors will have inbuilt assumptions, </w:t>
      </w:r>
      <w:proofErr w:type="gramStart"/>
      <w:r w:rsidRPr="0018386D">
        <w:t>limitations</w:t>
      </w:r>
      <w:proofErr w:type="gramEnd"/>
      <w:r w:rsidRPr="0018386D">
        <w:t xml:space="preserve"> and uncertainties</w:t>
      </w:r>
      <w:r w:rsidR="00C7626B" w:rsidRPr="0018386D">
        <w:t>. To investigate these, see</w:t>
      </w:r>
      <w:r w:rsidRPr="0018386D">
        <w:t xml:space="preserve"> the documents referenced.</w:t>
      </w:r>
    </w:p>
    <w:p w14:paraId="65092A8E" w14:textId="5FBDDBF0" w:rsidR="00321918" w:rsidRPr="0018386D" w:rsidRDefault="00321918" w:rsidP="00DD3106">
      <w:pPr>
        <w:pStyle w:val="Heading2"/>
        <w:numPr>
          <w:ilvl w:val="1"/>
          <w:numId w:val="8"/>
        </w:numPr>
        <w:jc w:val="both"/>
      </w:pPr>
      <w:bookmarkStart w:id="669" w:name="_Toc532904923"/>
      <w:bookmarkStart w:id="670" w:name="_Toc600590"/>
      <w:bookmarkStart w:id="671" w:name="_Toc140048921"/>
      <w:r w:rsidRPr="0018386D">
        <w:t xml:space="preserve">Rail </w:t>
      </w:r>
      <w:bookmarkEnd w:id="669"/>
      <w:r w:rsidR="00322289" w:rsidRPr="0018386D">
        <w:t>freight</w:t>
      </w:r>
      <w:bookmarkEnd w:id="670"/>
      <w:bookmarkEnd w:id="671"/>
      <w:r w:rsidR="00322289" w:rsidRPr="0018386D">
        <w:t xml:space="preserve"> </w:t>
      </w:r>
    </w:p>
    <w:p w14:paraId="65092A8F" w14:textId="2B33D0B6" w:rsidR="003079FA" w:rsidRPr="0018386D" w:rsidRDefault="003079FA" w:rsidP="00DD3106">
      <w:pPr>
        <w:pStyle w:val="BodyText"/>
      </w:pPr>
      <w:r w:rsidRPr="0018386D">
        <w:t>In New Zealand</w:t>
      </w:r>
      <w:r w:rsidR="00C7626B" w:rsidRPr="0018386D">
        <w:t>,</w:t>
      </w:r>
      <w:r w:rsidRPr="0018386D">
        <w:t xml:space="preserve"> </w:t>
      </w:r>
      <w:r w:rsidR="003E38BD" w:rsidRPr="0018386D">
        <w:t xml:space="preserve">KiwiRail owns </w:t>
      </w:r>
      <w:r w:rsidRPr="0018386D">
        <w:t>th</w:t>
      </w:r>
      <w:r w:rsidR="003E38BD" w:rsidRPr="0018386D">
        <w:t>e rail</w:t>
      </w:r>
      <w:r w:rsidRPr="0018386D">
        <w:t xml:space="preserve"> infrastructure </w:t>
      </w:r>
      <w:r w:rsidR="003E38BD" w:rsidRPr="0018386D">
        <w:t xml:space="preserve">and </w:t>
      </w:r>
      <w:r w:rsidRPr="0018386D">
        <w:t>ha</w:t>
      </w:r>
      <w:r w:rsidR="00C7626B" w:rsidRPr="0018386D">
        <w:t>s</w:t>
      </w:r>
      <w:r w:rsidRPr="0018386D">
        <w:t xml:space="preserve"> </w:t>
      </w:r>
      <w:r w:rsidR="003E38BD" w:rsidRPr="0018386D">
        <w:t>provided the information to calculate</w:t>
      </w:r>
      <w:r w:rsidRPr="0018386D">
        <w:t xml:space="preserve"> the emission factor. </w:t>
      </w:r>
      <w:r w:rsidR="00434DCE" w:rsidRPr="0018386D">
        <w:t>The emission factor for freighting goods by rail is in</w:t>
      </w:r>
      <w:r w:rsidR="00011447" w:rsidRPr="0018386D">
        <w:t xml:space="preserve"> </w:t>
      </w:r>
      <w:hyperlink w:anchor="Table58" w:history="1">
        <w:r w:rsidR="00011447" w:rsidRPr="0018386D">
          <w:rPr>
            <w:rStyle w:val="Hyperlink"/>
          </w:rPr>
          <w:t xml:space="preserve">table </w:t>
        </w:r>
        <w:r w:rsidR="00850CCB" w:rsidRPr="0018386D">
          <w:rPr>
            <w:rStyle w:val="Hyperlink"/>
          </w:rPr>
          <w:t>58</w:t>
        </w:r>
      </w:hyperlink>
      <w:r w:rsidR="001F219F" w:rsidRPr="0018386D">
        <w:t>.</w:t>
      </w:r>
    </w:p>
    <w:p w14:paraId="27C2FB2B" w14:textId="4E506BF8" w:rsidR="008E2ED2" w:rsidRPr="0018386D" w:rsidRDefault="00EB4389" w:rsidP="00DD3106">
      <w:pPr>
        <w:pStyle w:val="Tableheading"/>
        <w:rPr>
          <w:rFonts w:asciiTheme="minorHAnsi" w:hAnsiTheme="minorHAnsi"/>
        </w:rPr>
      </w:pPr>
      <w:bookmarkStart w:id="672" w:name="Table58"/>
      <w:bookmarkStart w:id="673" w:name="_Ref529908811"/>
      <w:bookmarkStart w:id="674" w:name="_Toc111536670"/>
      <w:bookmarkStart w:id="675" w:name="_Toc140048998"/>
      <w:r w:rsidRPr="0018386D">
        <w:t xml:space="preserve">Table </w:t>
      </w:r>
      <w:r w:rsidRPr="0018386D">
        <w:fldChar w:fldCharType="begin"/>
      </w:r>
      <w:r w:rsidRPr="0018386D">
        <w:instrText>SEQ Table \* ARABIC</w:instrText>
      </w:r>
      <w:r w:rsidRPr="0018386D">
        <w:fldChar w:fldCharType="separate"/>
      </w:r>
      <w:r w:rsidR="00061BCE" w:rsidRPr="0018386D">
        <w:t>58</w:t>
      </w:r>
      <w:r w:rsidRPr="0018386D">
        <w:fldChar w:fldCharType="end"/>
      </w:r>
      <w:bookmarkEnd w:id="672"/>
      <w:bookmarkEnd w:id="673"/>
      <w:r w:rsidRPr="0018386D">
        <w:t>:</w:t>
      </w:r>
      <w:r w:rsidRPr="0018386D">
        <w:tab/>
      </w:r>
      <w:r w:rsidR="003079FA" w:rsidRPr="0018386D">
        <w:t>Emission factor</w:t>
      </w:r>
      <w:r w:rsidR="001F219F" w:rsidRPr="0018386D">
        <w:t>s</w:t>
      </w:r>
      <w:r w:rsidR="003079FA" w:rsidRPr="0018386D">
        <w:t xml:space="preserve"> for rail freight</w:t>
      </w:r>
      <w:bookmarkStart w:id="676" w:name="_1746366869"/>
      <w:bookmarkStart w:id="677" w:name="_1745997858"/>
      <w:bookmarkStart w:id="678" w:name="_1746254092"/>
      <w:bookmarkStart w:id="679" w:name="_1747051286"/>
      <w:bookmarkEnd w:id="674"/>
      <w:bookmarkEnd w:id="675"/>
      <w:bookmarkEnd w:id="676"/>
      <w:bookmarkEnd w:id="677"/>
      <w:bookmarkEnd w:id="678"/>
      <w:bookmarkEnd w:id="679"/>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484"/>
        <w:gridCol w:w="675"/>
        <w:gridCol w:w="1282"/>
        <w:gridCol w:w="1688"/>
        <w:gridCol w:w="1688"/>
        <w:gridCol w:w="1688"/>
      </w:tblGrid>
      <w:tr w:rsidR="00996DB7" w:rsidRPr="0018386D" w14:paraId="789EC719" w14:textId="77777777" w:rsidTr="00996DB7">
        <w:trPr>
          <w:divId w:val="1468278191"/>
          <w:trHeight w:val="240"/>
        </w:trPr>
        <w:tc>
          <w:tcPr>
            <w:tcW w:w="1247" w:type="dxa"/>
            <w:shd w:val="clear" w:color="000000" w:fill="1B556B" w:themeFill="text2"/>
            <w:noWrap/>
            <w:hideMark/>
          </w:tcPr>
          <w:p w14:paraId="2E9C3CEA" w14:textId="528086DF" w:rsidR="008E2ED2" w:rsidRPr="0018386D" w:rsidRDefault="008E2ED2" w:rsidP="00DD3106">
            <w:pPr>
              <w:pStyle w:val="TableTextbold"/>
              <w:rPr>
                <w:color w:val="FFFFFF" w:themeColor="background1"/>
                <w:lang w:bidi="th-TH"/>
              </w:rPr>
            </w:pPr>
            <w:r w:rsidRPr="0018386D">
              <w:rPr>
                <w:color w:val="FFFFFF" w:themeColor="background1"/>
                <w:lang w:bidi="th-TH"/>
              </w:rPr>
              <w:t>Emission source</w:t>
            </w:r>
          </w:p>
        </w:tc>
        <w:tc>
          <w:tcPr>
            <w:tcW w:w="567" w:type="dxa"/>
            <w:shd w:val="clear" w:color="000000" w:fill="1B556B" w:themeFill="text2"/>
            <w:noWrap/>
            <w:hideMark/>
          </w:tcPr>
          <w:p w14:paraId="3AD9A444" w14:textId="77777777" w:rsidR="008E2ED2" w:rsidRPr="0018386D" w:rsidRDefault="008E2ED2" w:rsidP="00DD3106">
            <w:pPr>
              <w:pStyle w:val="TableTextbold"/>
              <w:rPr>
                <w:color w:val="FFFFFF" w:themeColor="background1"/>
                <w:lang w:bidi="th-TH"/>
              </w:rPr>
            </w:pPr>
            <w:r w:rsidRPr="0018386D">
              <w:rPr>
                <w:color w:val="FFFFFF" w:themeColor="background1"/>
                <w:lang w:bidi="th-TH"/>
              </w:rPr>
              <w:t>Unit</w:t>
            </w:r>
          </w:p>
        </w:tc>
        <w:tc>
          <w:tcPr>
            <w:tcW w:w="1077" w:type="dxa"/>
            <w:shd w:val="clear" w:color="000000" w:fill="1B556B" w:themeFill="text2"/>
            <w:noWrap/>
            <w:hideMark/>
          </w:tcPr>
          <w:p w14:paraId="4A7F9494" w14:textId="53F19A7F" w:rsidR="008E2ED2" w:rsidRPr="0018386D" w:rsidRDefault="008E2ED2" w:rsidP="00DD3106">
            <w:pPr>
              <w:pStyle w:val="TableTextbold"/>
              <w:rPr>
                <w:color w:val="FFFFFF" w:themeColor="background1"/>
                <w:lang w:bidi="th-TH"/>
              </w:rPr>
            </w:pPr>
            <w:r w:rsidRPr="0018386D">
              <w:rPr>
                <w:color w:val="FFFFFF" w:themeColor="background1"/>
                <w:lang w:bidi="th-TH"/>
              </w:rPr>
              <w:t>kg CO₂-e/unit</w:t>
            </w:r>
          </w:p>
        </w:tc>
        <w:tc>
          <w:tcPr>
            <w:tcW w:w="1418" w:type="dxa"/>
            <w:shd w:val="clear" w:color="000000" w:fill="1B556B" w:themeFill="text2"/>
            <w:noWrap/>
            <w:hideMark/>
          </w:tcPr>
          <w:p w14:paraId="1B73BD5F" w14:textId="1A6578BF" w:rsidR="008E2ED2" w:rsidRPr="0018386D" w:rsidRDefault="008E2ED2" w:rsidP="00DD3106">
            <w:pPr>
              <w:pStyle w:val="TableTextbold"/>
              <w:rPr>
                <w:color w:val="FFFFFF" w:themeColor="background1"/>
                <w:lang w:bidi="th-TH"/>
              </w:rPr>
            </w:pPr>
            <w:r w:rsidRPr="0018386D">
              <w:rPr>
                <w:color w:val="FFFFFF" w:themeColor="background1"/>
                <w:lang w:bidi="th-TH"/>
              </w:rPr>
              <w:t>CO₂ (kg CO₂</w:t>
            </w:r>
            <w:r w:rsidRPr="0018386D">
              <w:rPr>
                <w:color w:val="FFFFFF" w:themeColor="background1"/>
                <w:lang w:bidi="th-TH"/>
              </w:rPr>
              <w:noBreakHyphen/>
              <w:t>e/unit)</w:t>
            </w:r>
          </w:p>
        </w:tc>
        <w:tc>
          <w:tcPr>
            <w:tcW w:w="1418" w:type="dxa"/>
            <w:shd w:val="clear" w:color="000000" w:fill="1B556B" w:themeFill="text2"/>
            <w:noWrap/>
            <w:hideMark/>
          </w:tcPr>
          <w:p w14:paraId="4234A38D" w14:textId="27A282E3" w:rsidR="008E2ED2" w:rsidRPr="0018386D" w:rsidRDefault="008E2ED2" w:rsidP="00DD3106">
            <w:pPr>
              <w:pStyle w:val="TableTextbold"/>
              <w:rPr>
                <w:color w:val="FFFFFF" w:themeColor="background1"/>
                <w:lang w:bidi="th-TH"/>
              </w:rPr>
            </w:pPr>
            <w:r w:rsidRPr="0018386D">
              <w:rPr>
                <w:color w:val="FFFFFF" w:themeColor="background1"/>
                <w:lang w:bidi="th-TH"/>
              </w:rPr>
              <w:t>CH₄ (kg CO₂-e/unit)</w:t>
            </w:r>
          </w:p>
        </w:tc>
        <w:tc>
          <w:tcPr>
            <w:tcW w:w="1418" w:type="dxa"/>
            <w:shd w:val="clear" w:color="000000" w:fill="1B556B" w:themeFill="text2"/>
            <w:noWrap/>
            <w:hideMark/>
          </w:tcPr>
          <w:p w14:paraId="78734158" w14:textId="01ECFC92" w:rsidR="008E2ED2" w:rsidRPr="0018386D" w:rsidRDefault="008E2ED2" w:rsidP="00DD3106">
            <w:pPr>
              <w:pStyle w:val="TableTextbold"/>
              <w:rPr>
                <w:color w:val="FFFFFF" w:themeColor="background1"/>
                <w:lang w:bidi="th-TH"/>
              </w:rPr>
            </w:pPr>
            <w:r w:rsidRPr="0018386D">
              <w:rPr>
                <w:color w:val="FFFFFF" w:themeColor="background1"/>
                <w:lang w:bidi="th-TH"/>
              </w:rPr>
              <w:t>N₂O (kg CO₂-e/unit)</w:t>
            </w:r>
          </w:p>
        </w:tc>
      </w:tr>
      <w:tr w:rsidR="00996DB7" w:rsidRPr="0018386D" w14:paraId="678279D3" w14:textId="77777777" w:rsidTr="00996DB7">
        <w:trPr>
          <w:divId w:val="1468278191"/>
          <w:trHeight w:val="240"/>
        </w:trPr>
        <w:tc>
          <w:tcPr>
            <w:tcW w:w="1247" w:type="dxa"/>
            <w:shd w:val="clear" w:color="000000" w:fill="FFFFFF"/>
            <w:noWrap/>
            <w:hideMark/>
          </w:tcPr>
          <w:p w14:paraId="7E490D47" w14:textId="79DF33EA" w:rsidR="008E2ED2" w:rsidRPr="0018386D" w:rsidRDefault="008E2ED2" w:rsidP="00DD3106">
            <w:pPr>
              <w:pStyle w:val="TableText"/>
              <w:rPr>
                <w:lang w:bidi="th-TH"/>
              </w:rPr>
            </w:pPr>
            <w:r w:rsidRPr="0018386D">
              <w:rPr>
                <w:lang w:bidi="th-TH"/>
              </w:rPr>
              <w:t xml:space="preserve">Rail </w:t>
            </w:r>
            <w:r w:rsidR="00C87FF9" w:rsidRPr="0018386D">
              <w:rPr>
                <w:lang w:bidi="th-TH"/>
              </w:rPr>
              <w:t>f</w:t>
            </w:r>
            <w:r w:rsidRPr="0018386D">
              <w:rPr>
                <w:lang w:bidi="th-TH"/>
              </w:rPr>
              <w:t>reight</w:t>
            </w:r>
          </w:p>
        </w:tc>
        <w:tc>
          <w:tcPr>
            <w:tcW w:w="567" w:type="dxa"/>
            <w:shd w:val="clear" w:color="000000" w:fill="FFFFFF"/>
            <w:noWrap/>
            <w:hideMark/>
          </w:tcPr>
          <w:p w14:paraId="538F5F18" w14:textId="77777777" w:rsidR="008E2ED2" w:rsidRPr="0018386D" w:rsidRDefault="008E2ED2" w:rsidP="00DD3106">
            <w:pPr>
              <w:pStyle w:val="TableText"/>
              <w:rPr>
                <w:lang w:bidi="th-TH"/>
              </w:rPr>
            </w:pPr>
            <w:proofErr w:type="spellStart"/>
            <w:r w:rsidRPr="0018386D">
              <w:rPr>
                <w:lang w:bidi="th-TH"/>
              </w:rPr>
              <w:t>tkm</w:t>
            </w:r>
            <w:proofErr w:type="spellEnd"/>
          </w:p>
        </w:tc>
        <w:tc>
          <w:tcPr>
            <w:tcW w:w="1077" w:type="dxa"/>
            <w:shd w:val="clear" w:color="000000" w:fill="D2DDE1"/>
            <w:noWrap/>
            <w:hideMark/>
          </w:tcPr>
          <w:p w14:paraId="3E3FF0C3" w14:textId="218814DE" w:rsidR="008E2ED2" w:rsidRPr="0018386D" w:rsidRDefault="008E2ED2" w:rsidP="00DD3106">
            <w:pPr>
              <w:pStyle w:val="TableText"/>
              <w:rPr>
                <w:lang w:bidi="th-TH"/>
              </w:rPr>
            </w:pPr>
            <w:r w:rsidRPr="0018386D">
              <w:rPr>
                <w:lang w:bidi="th-TH"/>
              </w:rPr>
              <w:t>0.027</w:t>
            </w:r>
            <w:r w:rsidR="00582B4B" w:rsidRPr="0018386D">
              <w:rPr>
                <w:lang w:bidi="th-TH"/>
              </w:rPr>
              <w:t>0</w:t>
            </w:r>
          </w:p>
        </w:tc>
        <w:tc>
          <w:tcPr>
            <w:tcW w:w="1418" w:type="dxa"/>
            <w:shd w:val="clear" w:color="000000" w:fill="FFFFFF"/>
            <w:noWrap/>
            <w:hideMark/>
          </w:tcPr>
          <w:p w14:paraId="360448E6" w14:textId="7CB581C6" w:rsidR="008E2ED2" w:rsidRPr="0018386D" w:rsidRDefault="008E2ED2" w:rsidP="00DD3106">
            <w:pPr>
              <w:pStyle w:val="TableText"/>
              <w:rPr>
                <w:lang w:bidi="th-TH"/>
              </w:rPr>
            </w:pPr>
            <w:r w:rsidRPr="0018386D">
              <w:rPr>
                <w:lang w:bidi="th-TH"/>
              </w:rPr>
              <w:t>0.02</w:t>
            </w:r>
            <w:r w:rsidR="00582B4B" w:rsidRPr="0018386D">
              <w:rPr>
                <w:lang w:bidi="th-TH"/>
              </w:rPr>
              <w:t>66</w:t>
            </w:r>
          </w:p>
        </w:tc>
        <w:tc>
          <w:tcPr>
            <w:tcW w:w="1418" w:type="dxa"/>
            <w:shd w:val="clear" w:color="000000" w:fill="FFFFFF"/>
            <w:noWrap/>
            <w:hideMark/>
          </w:tcPr>
          <w:p w14:paraId="5D6D7426" w14:textId="2F452DAA" w:rsidR="008E2ED2" w:rsidRPr="0018386D" w:rsidRDefault="008E2ED2" w:rsidP="00DD3106">
            <w:pPr>
              <w:pStyle w:val="TableText"/>
              <w:rPr>
                <w:lang w:bidi="th-TH"/>
              </w:rPr>
            </w:pPr>
            <w:r w:rsidRPr="0018386D">
              <w:rPr>
                <w:lang w:bidi="th-TH"/>
              </w:rPr>
              <w:t>0.00004</w:t>
            </w:r>
          </w:p>
        </w:tc>
        <w:tc>
          <w:tcPr>
            <w:tcW w:w="1418" w:type="dxa"/>
            <w:shd w:val="clear" w:color="000000" w:fill="FFFFFF"/>
            <w:noWrap/>
            <w:hideMark/>
          </w:tcPr>
          <w:p w14:paraId="4B0DB26A" w14:textId="686FF7D5" w:rsidR="008E2ED2" w:rsidRPr="0018386D" w:rsidRDefault="008E2ED2" w:rsidP="00DD3106">
            <w:pPr>
              <w:pStyle w:val="TableText"/>
              <w:rPr>
                <w:lang w:bidi="th-TH"/>
              </w:rPr>
            </w:pPr>
            <w:r w:rsidRPr="0018386D">
              <w:rPr>
                <w:lang w:bidi="th-TH"/>
              </w:rPr>
              <w:t>0.0004</w:t>
            </w:r>
          </w:p>
        </w:tc>
      </w:tr>
    </w:tbl>
    <w:p w14:paraId="1232BDC6" w14:textId="1BB700F6" w:rsidR="001A021C" w:rsidRPr="0018386D" w:rsidRDefault="00301928" w:rsidP="00DD3106">
      <w:pPr>
        <w:pStyle w:val="Heading3"/>
        <w:numPr>
          <w:ilvl w:val="2"/>
          <w:numId w:val="8"/>
        </w:numPr>
        <w:spacing w:before="440"/>
      </w:pPr>
      <w:bookmarkStart w:id="680" w:name="_Toc532904924"/>
      <w:r w:rsidRPr="0018386D">
        <w:t xml:space="preserve">GHG </w:t>
      </w:r>
      <w:r w:rsidR="001A021C" w:rsidRPr="0018386D">
        <w:t>inventory development</w:t>
      </w:r>
      <w:bookmarkEnd w:id="680"/>
    </w:p>
    <w:p w14:paraId="3FA70482" w14:textId="17D0621F" w:rsidR="001A021C" w:rsidRPr="0018386D" w:rsidRDefault="001A021C" w:rsidP="00DD3106">
      <w:pPr>
        <w:pStyle w:val="BodyText"/>
      </w:pPr>
      <w:r w:rsidRPr="0018386D">
        <w:t>Users should collect data on the weight of goods freighted</w:t>
      </w:r>
      <w:r w:rsidR="007170FA" w:rsidRPr="0018386D">
        <w:t xml:space="preserve"> (tonnes)</w:t>
      </w:r>
      <w:r w:rsidR="00422BDE" w:rsidRPr="0018386D">
        <w:t>, and</w:t>
      </w:r>
      <w:r w:rsidRPr="0018386D">
        <w:t xml:space="preserve"> the distance travelled</w:t>
      </w:r>
      <w:r w:rsidR="007170FA" w:rsidRPr="0018386D">
        <w:t xml:space="preserve"> (kilometres)</w:t>
      </w:r>
      <w:r w:rsidRPr="0018386D">
        <w:t>. For each journey</w:t>
      </w:r>
      <w:r w:rsidR="00422BDE" w:rsidRPr="0018386D">
        <w:t>,</w:t>
      </w:r>
      <w:r w:rsidRPr="0018386D">
        <w:t xml:space="preserve"> </w:t>
      </w:r>
      <w:r w:rsidR="003E38BD" w:rsidRPr="0018386D">
        <w:t xml:space="preserve">multiply </w:t>
      </w:r>
      <w:r w:rsidRPr="0018386D">
        <w:t xml:space="preserve">the total tonnes by the total km travelled. </w:t>
      </w:r>
    </w:p>
    <w:p w14:paraId="4307582B" w14:textId="28F312A0" w:rsidR="003E38BD" w:rsidRPr="0018386D" w:rsidRDefault="003E38BD" w:rsidP="00DD3106">
      <w:pPr>
        <w:pStyle w:val="BodyText"/>
        <w:keepNext/>
      </w:pPr>
      <w:r w:rsidRPr="0018386D">
        <w:t xml:space="preserve">Applying the equation </w:t>
      </w:r>
      <w:r w:rsidR="00E71782" w:rsidRPr="0018386D">
        <w:t>E</w:t>
      </w:r>
      <w:r w:rsidR="00B37794" w:rsidRPr="0018386D">
        <w:t xml:space="preserve"> </w:t>
      </w:r>
      <w:r w:rsidR="00E71782" w:rsidRPr="0018386D">
        <w:t>= Q x F</w:t>
      </w:r>
      <w:r w:rsidR="005C1BD3" w:rsidRPr="0018386D">
        <w:t xml:space="preserve"> </w:t>
      </w:r>
      <w:r w:rsidR="00E71782" w:rsidRPr="0018386D">
        <w:t>(</w:t>
      </w:r>
      <w:hyperlink w:anchor="_How_to_quantify" w:history="1">
        <w:r w:rsidR="00E97D2C" w:rsidRPr="0018386D">
          <w:rPr>
            <w:rStyle w:val="Hyperlink"/>
          </w:rPr>
          <w:t>section 2</w:t>
        </w:r>
      </w:hyperlink>
      <w:r w:rsidR="00E71782" w:rsidRPr="0018386D">
        <w:rPr>
          <w:rStyle w:val="Hyperlink"/>
          <w:color w:val="auto"/>
        </w:rPr>
        <w:t>)</w:t>
      </w:r>
      <w:r w:rsidRPr="0018386D">
        <w:t xml:space="preserve">, this means: </w:t>
      </w:r>
    </w:p>
    <w:p w14:paraId="0B9CE2F9" w14:textId="07A6F2AB" w:rsidR="00E71782" w:rsidRPr="0018386D" w:rsidRDefault="00E71782" w:rsidP="00DD3106">
      <w:pPr>
        <w:pStyle w:val="BodyText"/>
        <w:tabs>
          <w:tab w:val="left" w:pos="680"/>
          <w:tab w:val="left" w:pos="851"/>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08796C38" w14:textId="55933674" w:rsidR="001A021C" w:rsidRPr="0018386D" w:rsidRDefault="001A021C" w:rsidP="00DD3106">
      <w:pPr>
        <w:pStyle w:val="BodyText"/>
        <w:tabs>
          <w:tab w:val="left" w:pos="680"/>
          <w:tab w:val="left" w:pos="851"/>
        </w:tabs>
        <w:contextualSpacing/>
      </w:pPr>
      <w:r w:rsidRPr="0018386D">
        <w:t>Q</w:t>
      </w:r>
      <w:r w:rsidR="00E97D2C" w:rsidRPr="0018386D">
        <w:tab/>
      </w:r>
      <w:r w:rsidRPr="0018386D">
        <w:t>=</w:t>
      </w:r>
      <w:r w:rsidR="00E97D2C" w:rsidRPr="0018386D">
        <w:tab/>
      </w:r>
      <w:r w:rsidRPr="0018386D">
        <w:t>tonnes of freight</w:t>
      </w:r>
      <w:r w:rsidR="00771E24" w:rsidRPr="0018386D">
        <w:t xml:space="preserve"> </w:t>
      </w:r>
      <w:r w:rsidR="00771E24" w:rsidRPr="0018386D">
        <w:rPr>
          <w:rFonts w:cs="Calibri"/>
        </w:rPr>
        <w:t>×</w:t>
      </w:r>
      <w:r w:rsidR="00771E24" w:rsidRPr="0018386D">
        <w:t xml:space="preserve"> </w:t>
      </w:r>
      <w:r w:rsidRPr="0018386D">
        <w:t>km travelled</w:t>
      </w:r>
    </w:p>
    <w:p w14:paraId="35395B17" w14:textId="4763FB10" w:rsidR="001A021C" w:rsidRPr="0018386D" w:rsidRDefault="00E97D2C" w:rsidP="00DD3106">
      <w:pPr>
        <w:pStyle w:val="BodyText"/>
        <w:tabs>
          <w:tab w:val="left" w:pos="680"/>
          <w:tab w:val="left" w:pos="851"/>
        </w:tabs>
        <w:spacing w:after="240"/>
        <w:contextualSpacing/>
      </w:pPr>
      <w:r w:rsidRPr="0018386D">
        <w:t>F</w:t>
      </w:r>
      <w:r w:rsidRPr="0018386D">
        <w:tab/>
        <w:t>=</w:t>
      </w:r>
      <w:r w:rsidRPr="0018386D">
        <w:tab/>
      </w:r>
      <w:r w:rsidR="001A021C" w:rsidRPr="0018386D">
        <w:t xml:space="preserve">emission factors in </w:t>
      </w:r>
      <w:hyperlink w:anchor="Table58" w:history="1">
        <w:r w:rsidR="007D29CD" w:rsidRPr="0018386D">
          <w:rPr>
            <w:rStyle w:val="Hyperlink"/>
          </w:rPr>
          <w:t xml:space="preserve">table </w:t>
        </w:r>
        <w:r w:rsidR="00521227" w:rsidRPr="0018386D">
          <w:rPr>
            <w:rStyle w:val="Hyperlink"/>
          </w:rPr>
          <w:t>5</w:t>
        </w:r>
        <w:r w:rsidR="000B18B0" w:rsidRPr="0018386D">
          <w:rPr>
            <w:rStyle w:val="Hyperlink"/>
          </w:rPr>
          <w:t>8</w:t>
        </w:r>
      </w:hyperlink>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18"/>
      </w:tblGrid>
      <w:tr w:rsidR="00A51FB7" w:rsidRPr="0018386D" w:rsidDel="00D5390D" w14:paraId="17DEE204" w14:textId="77777777" w:rsidTr="008F4775">
        <w:tc>
          <w:tcPr>
            <w:tcW w:w="8500" w:type="dxa"/>
            <w:tcBorders>
              <w:top w:val="single" w:sz="4" w:space="0" w:color="0F7B7D"/>
              <w:left w:val="single" w:sz="4" w:space="0" w:color="0F7B7D"/>
              <w:bottom w:val="nil"/>
              <w:right w:val="single" w:sz="4" w:space="0" w:color="0F7B7D"/>
            </w:tcBorders>
            <w:shd w:val="clear" w:color="auto" w:fill="0F7B7D"/>
            <w:vAlign w:val="center"/>
          </w:tcPr>
          <w:p w14:paraId="318008D0" w14:textId="3E95810C" w:rsidR="000733CF" w:rsidRPr="0018386D" w:rsidDel="00D5390D" w:rsidRDefault="00081569" w:rsidP="00DD3106">
            <w:pPr>
              <w:pStyle w:val="Casestudyheading"/>
            </w:pPr>
            <w:r w:rsidRPr="0018386D">
              <w:t xml:space="preserve">RAIL Freight: </w:t>
            </w:r>
            <w:r w:rsidR="000733CF" w:rsidRPr="0018386D">
              <w:t>Example Calculation</w:t>
            </w:r>
          </w:p>
        </w:tc>
      </w:tr>
      <w:tr w:rsidR="00A51FB7" w:rsidRPr="0018386D" w14:paraId="3D658FC2" w14:textId="77777777" w:rsidTr="008F4775">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1A2EC859" w14:textId="1C993A2D" w:rsidR="000733CF" w:rsidRPr="0018386D" w:rsidRDefault="000733CF" w:rsidP="00DD3106">
            <w:pPr>
              <w:pStyle w:val="Boxtext"/>
              <w:spacing w:after="0"/>
            </w:pPr>
            <w:r w:rsidRPr="0018386D">
              <w:t xml:space="preserve">During the reporting period, an organisation freights </w:t>
            </w:r>
            <w:r w:rsidR="00081569" w:rsidRPr="0018386D">
              <w:t xml:space="preserve">8 </w:t>
            </w:r>
            <w:r w:rsidRPr="0018386D">
              <w:t>tonnes of materials 150 km</w:t>
            </w:r>
            <w:r w:rsidR="00081569" w:rsidRPr="0018386D">
              <w:t xml:space="preserve"> by rail.</w:t>
            </w:r>
            <w:r w:rsidR="00771E24" w:rsidRPr="0018386D">
              <w:t xml:space="preserve"> </w:t>
            </w:r>
            <w:r w:rsidR="00081569" w:rsidRPr="0018386D">
              <w:t>T</w:t>
            </w:r>
            <w:r w:rsidRPr="0018386D">
              <w:t xml:space="preserve">his </w:t>
            </w:r>
            <w:r w:rsidR="00F84B66" w:rsidRPr="0018386D">
              <w:t>occurs</w:t>
            </w:r>
            <w:r w:rsidRPr="0018386D">
              <w:t xml:space="preserve"> four times in the reporting year.</w:t>
            </w:r>
          </w:p>
          <w:p w14:paraId="0FC8BE66" w14:textId="70DE8FFE" w:rsidR="000733CF" w:rsidRPr="0018386D" w:rsidRDefault="000733CF" w:rsidP="00DD3106">
            <w:pPr>
              <w:pStyle w:val="Boxtext"/>
              <w:spacing w:after="0"/>
            </w:pPr>
            <w:r w:rsidRPr="0018386D">
              <w:t xml:space="preserve">To calculate </w:t>
            </w:r>
            <w:proofErr w:type="spellStart"/>
            <w:r w:rsidRPr="0018386D">
              <w:t>tkm</w:t>
            </w:r>
            <w:proofErr w:type="spellEnd"/>
            <w:r w:rsidRPr="0018386D">
              <w:t xml:space="preserve">: 8 × 150 × 4 = 4,800 </w:t>
            </w:r>
            <w:proofErr w:type="spellStart"/>
            <w:r w:rsidRPr="0018386D">
              <w:t>tkm</w:t>
            </w:r>
            <w:proofErr w:type="spellEnd"/>
          </w:p>
          <w:p w14:paraId="233D0E25" w14:textId="6F8D1055" w:rsidR="000733CF" w:rsidRPr="0018386D" w:rsidRDefault="000733CF" w:rsidP="00DD3106">
            <w:pPr>
              <w:pStyle w:val="Boxtext"/>
              <w:spacing w:after="80"/>
            </w:pPr>
            <w:r w:rsidRPr="0018386D">
              <w:t xml:space="preserve">For the </w:t>
            </w:r>
            <w:r w:rsidR="00081569" w:rsidRPr="0018386D">
              <w:t xml:space="preserve">8 </w:t>
            </w:r>
            <w:r w:rsidRPr="0018386D">
              <w:t>tonnes moved 150</w:t>
            </w:r>
            <w:r w:rsidR="00771E24" w:rsidRPr="0018386D">
              <w:t xml:space="preserve"> </w:t>
            </w:r>
            <w:r w:rsidRPr="0018386D">
              <w:t xml:space="preserve">km by rail </w:t>
            </w:r>
            <w:r w:rsidR="00771E24" w:rsidRPr="0018386D">
              <w:t xml:space="preserve">four </w:t>
            </w:r>
            <w:r w:rsidRPr="0018386D">
              <w:t>times:</w:t>
            </w:r>
          </w:p>
          <w:p w14:paraId="78547908" w14:textId="4BEC7C7C" w:rsidR="000733CF" w:rsidRPr="0018386D" w:rsidRDefault="000733CF" w:rsidP="00DD3106">
            <w:pPr>
              <w:pStyle w:val="Boxtext"/>
              <w:tabs>
                <w:tab w:val="left" w:pos="2832"/>
                <w:tab w:val="left" w:pos="4664"/>
              </w:tabs>
              <w:spacing w:before="20" w:after="20"/>
              <w:ind w:left="850"/>
            </w:pPr>
            <w:r w:rsidRPr="0018386D">
              <w:t>CO</w:t>
            </w:r>
            <w:r w:rsidRPr="0018386D">
              <w:rPr>
                <w:vertAlign w:val="subscript"/>
              </w:rPr>
              <w:t>2</w:t>
            </w:r>
            <w:r w:rsidRPr="0018386D">
              <w:t xml:space="preserve"> emissions </w:t>
            </w:r>
            <w:r w:rsidRPr="0018386D">
              <w:tab/>
              <w:t>= 4,800 × 0.0</w:t>
            </w:r>
            <w:r w:rsidR="007A20C1" w:rsidRPr="0018386D">
              <w:t>266</w:t>
            </w:r>
            <w:r w:rsidRPr="0018386D">
              <w:t xml:space="preserve"> </w:t>
            </w:r>
            <w:r w:rsidR="00771E24" w:rsidRPr="0018386D">
              <w:tab/>
            </w:r>
            <w:r w:rsidRPr="0018386D">
              <w:t xml:space="preserve">= </w:t>
            </w:r>
            <w:r w:rsidR="00CF66FC" w:rsidRPr="0018386D">
              <w:t>12</w:t>
            </w:r>
            <w:r w:rsidR="007A20C1" w:rsidRPr="0018386D">
              <w:t>7.</w:t>
            </w:r>
            <w:r w:rsidR="00692C98" w:rsidRPr="0018386D">
              <w:t>68</w:t>
            </w:r>
            <w:r w:rsidR="00B33370" w:rsidRPr="0018386D">
              <w:t xml:space="preserve"> </w:t>
            </w:r>
            <w:r w:rsidRPr="0018386D">
              <w:t>kg CO</w:t>
            </w:r>
            <w:r w:rsidRPr="0018386D">
              <w:rPr>
                <w:vertAlign w:val="subscript"/>
              </w:rPr>
              <w:t>2</w:t>
            </w:r>
          </w:p>
          <w:p w14:paraId="5BB40EB5" w14:textId="32C70E5E" w:rsidR="000733CF" w:rsidRPr="0018386D" w:rsidRDefault="000733CF" w:rsidP="00DD3106">
            <w:pPr>
              <w:pStyle w:val="Boxtext"/>
              <w:tabs>
                <w:tab w:val="left" w:pos="2832"/>
                <w:tab w:val="left" w:pos="4664"/>
              </w:tabs>
              <w:spacing w:before="20" w:after="20"/>
              <w:ind w:left="850"/>
            </w:pPr>
            <w:r w:rsidRPr="0018386D">
              <w:t>CH</w:t>
            </w:r>
            <w:r w:rsidRPr="0018386D">
              <w:rPr>
                <w:vertAlign w:val="subscript"/>
              </w:rPr>
              <w:t>4</w:t>
            </w:r>
            <w:r w:rsidRPr="0018386D">
              <w:t xml:space="preserve"> emissions </w:t>
            </w:r>
            <w:r w:rsidR="00771E24" w:rsidRPr="0018386D">
              <w:tab/>
            </w:r>
            <w:r w:rsidRPr="0018386D">
              <w:t>= 4,800 × 0.</w:t>
            </w:r>
            <w:r w:rsidR="00E727F9" w:rsidRPr="0018386D">
              <w:t>0000</w:t>
            </w:r>
            <w:r w:rsidR="005E20D4" w:rsidRPr="0018386D">
              <w:t>4</w:t>
            </w:r>
            <w:r w:rsidR="00E727F9" w:rsidRPr="0018386D">
              <w:t xml:space="preserve"> </w:t>
            </w:r>
            <w:r w:rsidR="00771E24" w:rsidRPr="0018386D">
              <w:tab/>
            </w:r>
            <w:r w:rsidR="005A7BFC" w:rsidRPr="0018386D">
              <w:t>= 0.</w:t>
            </w:r>
            <w:r w:rsidR="009E6571" w:rsidRPr="0018386D">
              <w:t>19</w:t>
            </w:r>
            <w:r w:rsidR="00B33370" w:rsidRPr="0018386D">
              <w:t xml:space="preserve"> </w:t>
            </w:r>
            <w:r w:rsidRPr="0018386D">
              <w:t>kg CO</w:t>
            </w:r>
            <w:r w:rsidRPr="0018386D">
              <w:rPr>
                <w:vertAlign w:val="subscript"/>
              </w:rPr>
              <w:t>2</w:t>
            </w:r>
            <w:r w:rsidRPr="0018386D">
              <w:t xml:space="preserve">-e </w:t>
            </w:r>
          </w:p>
          <w:p w14:paraId="25A517B0" w14:textId="7698C085" w:rsidR="000733CF" w:rsidRPr="0018386D" w:rsidRDefault="000733CF" w:rsidP="00DD3106">
            <w:pPr>
              <w:pStyle w:val="Boxtext"/>
              <w:tabs>
                <w:tab w:val="left" w:pos="2832"/>
                <w:tab w:val="left" w:pos="4664"/>
              </w:tabs>
              <w:spacing w:before="20" w:after="20"/>
              <w:ind w:left="850"/>
            </w:pPr>
            <w:r w:rsidRPr="0018386D">
              <w:t>N</w:t>
            </w:r>
            <w:r w:rsidRPr="0018386D">
              <w:rPr>
                <w:vertAlign w:val="subscript"/>
              </w:rPr>
              <w:t>2</w:t>
            </w:r>
            <w:r w:rsidRPr="0018386D">
              <w:t>O emissions</w:t>
            </w:r>
            <w:r w:rsidR="00771E24" w:rsidRPr="0018386D">
              <w:tab/>
            </w:r>
            <w:r w:rsidRPr="0018386D">
              <w:t>= 4,800 × 0.</w:t>
            </w:r>
            <w:r w:rsidR="00E727F9" w:rsidRPr="0018386D">
              <w:t xml:space="preserve">0004 </w:t>
            </w:r>
            <w:r w:rsidR="00771E24" w:rsidRPr="0018386D">
              <w:tab/>
            </w:r>
            <w:r w:rsidRPr="0018386D">
              <w:t xml:space="preserve">= </w:t>
            </w:r>
            <w:r w:rsidR="00B33370" w:rsidRPr="0018386D">
              <w:t>1.</w:t>
            </w:r>
            <w:r w:rsidR="00DB114C" w:rsidRPr="0018386D">
              <w:t>92</w:t>
            </w:r>
            <w:r w:rsidR="00B33370" w:rsidRPr="0018386D">
              <w:t xml:space="preserve"> </w:t>
            </w:r>
            <w:r w:rsidRPr="0018386D">
              <w:t>kg CO</w:t>
            </w:r>
            <w:r w:rsidRPr="0018386D">
              <w:rPr>
                <w:vertAlign w:val="subscript"/>
              </w:rPr>
              <w:t>2</w:t>
            </w:r>
            <w:r w:rsidRPr="0018386D">
              <w:t xml:space="preserve">-e </w:t>
            </w:r>
          </w:p>
          <w:p w14:paraId="498A7DEC" w14:textId="528AAA5B" w:rsidR="000733CF" w:rsidRPr="0018386D" w:rsidRDefault="000733CF" w:rsidP="00DD3106">
            <w:pPr>
              <w:pStyle w:val="Boxtext"/>
              <w:tabs>
                <w:tab w:val="left" w:pos="2832"/>
                <w:tab w:val="left" w:pos="4664"/>
              </w:tabs>
              <w:spacing w:before="20" w:after="0"/>
              <w:ind w:left="850"/>
            </w:pPr>
            <w:r w:rsidRPr="0018386D">
              <w:t>Total CO</w:t>
            </w:r>
            <w:r w:rsidRPr="0018386D">
              <w:rPr>
                <w:vertAlign w:val="subscript"/>
              </w:rPr>
              <w:t>2</w:t>
            </w:r>
            <w:r w:rsidRPr="0018386D">
              <w:t>-e emissions</w:t>
            </w:r>
            <w:r w:rsidRPr="0018386D">
              <w:tab/>
              <w:t>= 4,800 × 0.02</w:t>
            </w:r>
            <w:r w:rsidR="00111C46" w:rsidRPr="0018386D">
              <w:t>7</w:t>
            </w:r>
            <w:r w:rsidR="007A20C1" w:rsidRPr="0018386D">
              <w:t>0</w:t>
            </w:r>
            <w:r w:rsidRPr="0018386D">
              <w:t xml:space="preserve"> </w:t>
            </w:r>
            <w:r w:rsidR="00771E24" w:rsidRPr="0018386D">
              <w:tab/>
            </w:r>
            <w:r w:rsidRPr="0018386D">
              <w:t xml:space="preserve">= </w:t>
            </w:r>
            <w:r w:rsidR="00111C46" w:rsidRPr="0018386D">
              <w:t>1</w:t>
            </w:r>
            <w:r w:rsidR="00C76687" w:rsidRPr="0018386D">
              <w:t>29.60</w:t>
            </w:r>
            <w:r w:rsidR="00EC022E" w:rsidRPr="0018386D">
              <w:t xml:space="preserve"> </w:t>
            </w:r>
            <w:r w:rsidRPr="0018386D">
              <w:t>kg CO</w:t>
            </w:r>
            <w:r w:rsidRPr="0018386D">
              <w:rPr>
                <w:vertAlign w:val="subscript"/>
              </w:rPr>
              <w:t>2</w:t>
            </w:r>
            <w:r w:rsidRPr="0018386D">
              <w:t xml:space="preserve">-e </w:t>
            </w:r>
          </w:p>
          <w:p w14:paraId="77ACDB4A" w14:textId="3F71810C" w:rsidR="000733CF" w:rsidRPr="0018386D" w:rsidRDefault="00771E24" w:rsidP="00DD3106">
            <w:pPr>
              <w:pStyle w:val="Boxtext"/>
              <w:spacing w:after="180"/>
            </w:pPr>
            <w:r w:rsidRPr="0018386D">
              <w:rPr>
                <w:sz w:val="18"/>
              </w:rPr>
              <w:t>N</w:t>
            </w:r>
            <w:r w:rsidR="000733CF" w:rsidRPr="0018386D">
              <w:rPr>
                <w:sz w:val="18"/>
              </w:rPr>
              <w:t>ote</w:t>
            </w:r>
            <w:r w:rsidR="00422BDE" w:rsidRPr="0018386D">
              <w:rPr>
                <w:sz w:val="18"/>
              </w:rPr>
              <w:t>: N</w:t>
            </w:r>
            <w:r w:rsidR="000733CF" w:rsidRPr="0018386D">
              <w:rPr>
                <w:sz w:val="18"/>
              </w:rPr>
              <w:t>umbers may not add due to rounding</w:t>
            </w:r>
            <w:r w:rsidR="009E1FFB" w:rsidRPr="0018386D">
              <w:rPr>
                <w:sz w:val="18"/>
              </w:rPr>
              <w:t>.</w:t>
            </w:r>
          </w:p>
        </w:tc>
      </w:tr>
    </w:tbl>
    <w:p w14:paraId="65092A9F" w14:textId="4098D1D1" w:rsidR="0054105F" w:rsidRPr="0018386D" w:rsidRDefault="0054105F" w:rsidP="00DD3106">
      <w:pPr>
        <w:pStyle w:val="Heading3"/>
        <w:numPr>
          <w:ilvl w:val="2"/>
          <w:numId w:val="8"/>
        </w:numPr>
        <w:spacing w:before="400"/>
      </w:pPr>
      <w:bookmarkStart w:id="681" w:name="_Toc532904925"/>
      <w:r w:rsidRPr="0018386D">
        <w:lastRenderedPageBreak/>
        <w:t>Emission factor derivation methodology</w:t>
      </w:r>
      <w:bookmarkEnd w:id="681"/>
    </w:p>
    <w:p w14:paraId="65092AA0" w14:textId="530B028C" w:rsidR="005B4652" w:rsidRPr="0018386D" w:rsidRDefault="005B4652" w:rsidP="00DD3106">
      <w:pPr>
        <w:pStyle w:val="BodyText"/>
        <w:keepNext/>
      </w:pPr>
      <w:r w:rsidRPr="0018386D">
        <w:t>KiwiRail provided the following information used to calculate the emission factors</w:t>
      </w:r>
      <w:r w:rsidR="00771E24" w:rsidRPr="0018386D">
        <w:t>.</w:t>
      </w:r>
    </w:p>
    <w:p w14:paraId="65092AA1" w14:textId="3FDED44C" w:rsidR="00D918F2" w:rsidRPr="0018386D" w:rsidRDefault="00EB4389" w:rsidP="00DD3106">
      <w:pPr>
        <w:pStyle w:val="Tableheading"/>
      </w:pPr>
      <w:bookmarkStart w:id="682" w:name="_Toc111536671"/>
      <w:bookmarkStart w:id="683" w:name="_Toc140048999"/>
      <w:r w:rsidRPr="0018386D">
        <w:t xml:space="preserve">Table </w:t>
      </w:r>
      <w:r w:rsidRPr="0018386D">
        <w:fldChar w:fldCharType="begin"/>
      </w:r>
      <w:r w:rsidRPr="0018386D">
        <w:instrText>SEQ Table \* ARABIC</w:instrText>
      </w:r>
      <w:r w:rsidRPr="0018386D">
        <w:fldChar w:fldCharType="separate"/>
      </w:r>
      <w:r w:rsidR="00061BCE" w:rsidRPr="0018386D">
        <w:t>59</w:t>
      </w:r>
      <w:r w:rsidRPr="0018386D">
        <w:fldChar w:fldCharType="end"/>
      </w:r>
      <w:r w:rsidRPr="0018386D">
        <w:t>:</w:t>
      </w:r>
      <w:r w:rsidRPr="0018386D">
        <w:tab/>
      </w:r>
      <w:r w:rsidR="00D918F2" w:rsidRPr="0018386D">
        <w:t xml:space="preserve">Information provided by </w:t>
      </w:r>
      <w:proofErr w:type="gramStart"/>
      <w:r w:rsidR="00D918F2" w:rsidRPr="0018386D">
        <w:t>KiwiRail</w:t>
      </w:r>
      <w:bookmarkEnd w:id="682"/>
      <w:bookmarkEnd w:id="683"/>
      <w:proofErr w:type="gramEnd"/>
    </w:p>
    <w:tbl>
      <w:tblPr>
        <w:tblStyle w:val="LightList-Accent11"/>
        <w:tblW w:w="8505" w:type="dxa"/>
        <w:tblLook w:val="04A0" w:firstRow="1" w:lastRow="0" w:firstColumn="1" w:lastColumn="0" w:noHBand="0" w:noVBand="1"/>
      </w:tblPr>
      <w:tblGrid>
        <w:gridCol w:w="5087"/>
        <w:gridCol w:w="1480"/>
        <w:gridCol w:w="1938"/>
      </w:tblGrid>
      <w:tr w:rsidR="00C35E14" w:rsidRPr="0018386D" w14:paraId="65092AA5" w14:textId="77777777" w:rsidTr="00C87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1C556C" w:themeColor="accent1"/>
            </w:tcBorders>
            <w:shd w:val="clear" w:color="auto" w:fill="1B556B" w:themeFill="text2"/>
          </w:tcPr>
          <w:p w14:paraId="65092AA2" w14:textId="77777777" w:rsidR="005B4652" w:rsidRPr="0018386D" w:rsidRDefault="005B4652" w:rsidP="00DD3106">
            <w:pPr>
              <w:pStyle w:val="TableText"/>
              <w:keepNext/>
              <w:spacing w:before="40" w:after="40"/>
            </w:pPr>
            <w:r w:rsidRPr="0018386D">
              <w:t>Calculation component</w:t>
            </w:r>
          </w:p>
        </w:tc>
        <w:tc>
          <w:tcPr>
            <w:tcW w:w="0" w:type="auto"/>
            <w:shd w:val="clear" w:color="auto" w:fill="1B556B" w:themeFill="text2"/>
          </w:tcPr>
          <w:p w14:paraId="65092AA3" w14:textId="77777777" w:rsidR="005B4652" w:rsidRPr="0018386D" w:rsidRDefault="005B4652" w:rsidP="00DD3106">
            <w:pPr>
              <w:pStyle w:val="TableText"/>
              <w:keepNext/>
              <w:spacing w:before="40" w:after="40"/>
              <w:cnfStyle w:val="100000000000" w:firstRow="1" w:lastRow="0" w:firstColumn="0" w:lastColumn="0" w:oddVBand="0" w:evenVBand="0" w:oddHBand="0" w:evenHBand="0" w:firstRowFirstColumn="0" w:firstRowLastColumn="0" w:lastRowFirstColumn="0" w:lastRowLastColumn="0"/>
            </w:pPr>
            <w:r w:rsidRPr="0018386D">
              <w:t>Unit</w:t>
            </w:r>
          </w:p>
        </w:tc>
        <w:tc>
          <w:tcPr>
            <w:tcW w:w="0" w:type="auto"/>
            <w:tcBorders>
              <w:bottom w:val="single" w:sz="8" w:space="0" w:color="1C556C" w:themeColor="accent1"/>
            </w:tcBorders>
            <w:shd w:val="clear" w:color="auto" w:fill="1B556B" w:themeFill="text2"/>
          </w:tcPr>
          <w:p w14:paraId="65092AA4" w14:textId="3AE62784" w:rsidR="005B4652" w:rsidRPr="0018386D" w:rsidRDefault="005B4652" w:rsidP="00DD3106">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pPr>
            <w:r w:rsidRPr="0018386D">
              <w:t>Amount in 20</w:t>
            </w:r>
            <w:r w:rsidR="00111C46" w:rsidRPr="0018386D">
              <w:t>2</w:t>
            </w:r>
            <w:r w:rsidR="00294E6B" w:rsidRPr="0018386D">
              <w:t>1</w:t>
            </w:r>
          </w:p>
        </w:tc>
      </w:tr>
      <w:tr w:rsidR="005B4652" w:rsidRPr="0018386D" w14:paraId="65092AA9" w14:textId="77777777" w:rsidTr="00C87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65092AA6" w14:textId="6A70416A" w:rsidR="005B4652" w:rsidRPr="0018386D" w:rsidRDefault="005B4652" w:rsidP="00DD3106">
            <w:pPr>
              <w:pStyle w:val="TableText"/>
              <w:spacing w:before="40" w:after="40"/>
              <w:rPr>
                <w:b w:val="0"/>
              </w:rPr>
            </w:pPr>
            <w:r w:rsidRPr="0018386D">
              <w:rPr>
                <w:b w:val="0"/>
              </w:rPr>
              <w:t>Freight</w:t>
            </w:r>
            <w:r w:rsidR="00081569" w:rsidRPr="0018386D">
              <w:rPr>
                <w:b w:val="0"/>
              </w:rPr>
              <w:t>-</w:t>
            </w:r>
            <w:r w:rsidRPr="0018386D">
              <w:rPr>
                <w:b w:val="0"/>
              </w:rPr>
              <w:t>only fuel</w:t>
            </w:r>
          </w:p>
        </w:tc>
        <w:tc>
          <w:tcPr>
            <w:tcW w:w="0" w:type="auto"/>
          </w:tcPr>
          <w:p w14:paraId="65092AA7" w14:textId="77777777" w:rsidR="005B4652" w:rsidRPr="0018386D" w:rsidRDefault="005B4652" w:rsidP="00DD310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386D">
              <w:t>litres</w:t>
            </w:r>
          </w:p>
        </w:tc>
        <w:tc>
          <w:tcPr>
            <w:tcW w:w="0" w:type="auto"/>
            <w:tcBorders>
              <w:right w:val="nil"/>
            </w:tcBorders>
          </w:tcPr>
          <w:p w14:paraId="65092AA8" w14:textId="2A86C1B4" w:rsidR="005B4652" w:rsidRPr="0018386D" w:rsidRDefault="00294E6B"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18386D">
              <w:t xml:space="preserve"> 42,803,760 </w:t>
            </w:r>
          </w:p>
        </w:tc>
      </w:tr>
      <w:tr w:rsidR="005B4652" w:rsidRPr="0018386D" w14:paraId="65092AAD" w14:textId="77777777" w:rsidTr="00C87FF9">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1C556C" w:themeColor="accent1"/>
              <w:left w:val="nil"/>
              <w:bottom w:val="single" w:sz="8" w:space="0" w:color="1C556C" w:themeColor="accent1"/>
            </w:tcBorders>
          </w:tcPr>
          <w:p w14:paraId="65092AAA" w14:textId="77777777" w:rsidR="005B4652" w:rsidRPr="0018386D" w:rsidRDefault="005B4652" w:rsidP="00DD3106">
            <w:pPr>
              <w:pStyle w:val="TableText"/>
              <w:spacing w:before="40" w:after="40"/>
              <w:rPr>
                <w:b w:val="0"/>
              </w:rPr>
            </w:pPr>
            <w:r w:rsidRPr="0018386D">
              <w:rPr>
                <w:b w:val="0"/>
              </w:rPr>
              <w:t>Freight volumes (net)</w:t>
            </w:r>
          </w:p>
        </w:tc>
        <w:tc>
          <w:tcPr>
            <w:tcW w:w="0" w:type="auto"/>
          </w:tcPr>
          <w:p w14:paraId="65092AAB" w14:textId="01F92E9D" w:rsidR="005B4652" w:rsidRPr="0018386D" w:rsidRDefault="005B4652" w:rsidP="00DD310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18386D">
              <w:t>NTKs (000s)</w:t>
            </w:r>
          </w:p>
        </w:tc>
        <w:tc>
          <w:tcPr>
            <w:tcW w:w="0" w:type="auto"/>
            <w:tcBorders>
              <w:top w:val="single" w:sz="8" w:space="0" w:color="1C556C" w:themeColor="accent1"/>
              <w:bottom w:val="single" w:sz="8" w:space="0" w:color="1C556C" w:themeColor="accent1"/>
              <w:right w:val="nil"/>
            </w:tcBorders>
          </w:tcPr>
          <w:p w14:paraId="65092AAC" w14:textId="0EC1EC90" w:rsidR="005B4652" w:rsidRPr="0018386D" w:rsidRDefault="00294E6B"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18386D">
              <w:t xml:space="preserve"> 4,333,855 </w:t>
            </w:r>
          </w:p>
        </w:tc>
      </w:tr>
      <w:tr w:rsidR="005B4652" w:rsidRPr="0018386D" w14:paraId="65092AB1" w14:textId="77777777" w:rsidTr="00C87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65092AAE" w14:textId="18FC5A3E" w:rsidR="005B4652" w:rsidRPr="0018386D" w:rsidRDefault="005B4652" w:rsidP="00DD3106">
            <w:pPr>
              <w:pStyle w:val="TableText"/>
              <w:spacing w:before="40" w:after="40"/>
              <w:rPr>
                <w:b w:val="0"/>
              </w:rPr>
            </w:pPr>
            <w:r w:rsidRPr="0018386D">
              <w:rPr>
                <w:b w:val="0"/>
              </w:rPr>
              <w:t>Electricity (net)</w:t>
            </w:r>
            <w:r w:rsidR="00E813F5" w:rsidRPr="0018386D">
              <w:rPr>
                <w:b w:val="0"/>
              </w:rPr>
              <w:t xml:space="preserve"> North Island Main Trunk</w:t>
            </w:r>
            <w:r w:rsidR="007B2CCA" w:rsidRPr="0018386D">
              <w:rPr>
                <w:b w:val="0"/>
              </w:rPr>
              <w:t xml:space="preserve"> (NIMT)</w:t>
            </w:r>
          </w:p>
        </w:tc>
        <w:tc>
          <w:tcPr>
            <w:tcW w:w="0" w:type="auto"/>
          </w:tcPr>
          <w:p w14:paraId="65092AAF" w14:textId="77777777" w:rsidR="005B4652" w:rsidRPr="0018386D" w:rsidRDefault="005B4652" w:rsidP="00DD310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386D">
              <w:t>k</w:t>
            </w:r>
            <w:r w:rsidR="00D918F2" w:rsidRPr="0018386D">
              <w:t>W</w:t>
            </w:r>
            <w:r w:rsidRPr="0018386D">
              <w:t>h</w:t>
            </w:r>
          </w:p>
        </w:tc>
        <w:tc>
          <w:tcPr>
            <w:tcW w:w="0" w:type="auto"/>
            <w:tcBorders>
              <w:right w:val="nil"/>
            </w:tcBorders>
          </w:tcPr>
          <w:p w14:paraId="65092AB0" w14:textId="409CFF71" w:rsidR="005B4652" w:rsidRPr="0018386D" w:rsidRDefault="00294E6B"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18386D">
              <w:t xml:space="preserve"> 8,851,891 </w:t>
            </w:r>
          </w:p>
        </w:tc>
      </w:tr>
    </w:tbl>
    <w:p w14:paraId="65092AB2" w14:textId="5F4F653B" w:rsidR="005B4652" w:rsidRPr="0018386D" w:rsidRDefault="001F219F" w:rsidP="00DD3106">
      <w:pPr>
        <w:pStyle w:val="Note"/>
      </w:pPr>
      <w:r w:rsidRPr="0018386D">
        <w:rPr>
          <w:b/>
          <w:bCs/>
        </w:rPr>
        <w:t>Note</w:t>
      </w:r>
      <w:r w:rsidR="00081569" w:rsidRPr="0018386D">
        <w:rPr>
          <w:b/>
          <w:bCs/>
        </w:rPr>
        <w:t>:</w:t>
      </w:r>
      <w:r w:rsidRPr="0018386D">
        <w:t xml:space="preserve"> </w:t>
      </w:r>
      <w:r w:rsidR="005B4652" w:rsidRPr="0018386D">
        <w:t xml:space="preserve">NTK </w:t>
      </w:r>
      <w:r w:rsidR="008B06A8" w:rsidRPr="0018386D">
        <w:t xml:space="preserve">(Net tonne km) </w:t>
      </w:r>
      <w:r w:rsidR="005B4652" w:rsidRPr="0018386D">
        <w:t xml:space="preserve">is </w:t>
      </w:r>
      <w:r w:rsidR="00C400EA" w:rsidRPr="0018386D">
        <w:t>the sum of the tonnes carried multiplied by the distance travelled.</w:t>
      </w:r>
    </w:p>
    <w:p w14:paraId="65092AB3" w14:textId="15E71EFF" w:rsidR="00D918F2" w:rsidRPr="0018386D" w:rsidRDefault="00D918F2" w:rsidP="00DD3106">
      <w:pPr>
        <w:pStyle w:val="BodyText"/>
        <w:spacing w:after="180"/>
      </w:pPr>
      <w:r w:rsidRPr="0018386D">
        <w:t>To calculate emissions from freight</w:t>
      </w:r>
      <w:r w:rsidR="00081569" w:rsidRPr="0018386D">
        <w:t>-</w:t>
      </w:r>
      <w:r w:rsidRPr="0018386D">
        <w:t>only fuel</w:t>
      </w:r>
      <w:r w:rsidR="00771E24" w:rsidRPr="0018386D">
        <w:t>,</w:t>
      </w:r>
      <w:r w:rsidRPr="0018386D">
        <w:t xml:space="preserve"> </w:t>
      </w:r>
      <w:r w:rsidR="00771E24" w:rsidRPr="0018386D">
        <w:t xml:space="preserve">multiply </w:t>
      </w:r>
      <w:r w:rsidRPr="0018386D">
        <w:t>the litres by the diesel emission factor in</w:t>
      </w:r>
      <w:r w:rsidR="007D29CD" w:rsidRPr="0018386D">
        <w:t> </w:t>
      </w:r>
      <w:hyperlink w:anchor="table4">
        <w:r w:rsidR="007D29CD" w:rsidRPr="0018386D">
          <w:rPr>
            <w:rStyle w:val="Hyperlink"/>
          </w:rPr>
          <w:t>table 4</w:t>
        </w:r>
      </w:hyperlink>
      <w:r w:rsidR="00771E24" w:rsidRPr="0018386D">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F919E2" w:rsidRPr="0018386D" w14:paraId="65092AB5" w14:textId="77777777" w:rsidTr="00317ED4">
        <w:tc>
          <w:tcPr>
            <w:tcW w:w="8720" w:type="dxa"/>
            <w:shd w:val="clear" w:color="auto" w:fill="D2DDE1" w:themeFill="background2"/>
          </w:tcPr>
          <w:p w14:paraId="65092AB4" w14:textId="78487CEA" w:rsidR="00F919E2" w:rsidRPr="0018386D" w:rsidRDefault="00E97D2C" w:rsidP="00DD3106">
            <w:pPr>
              <w:pStyle w:val="Box"/>
              <w:shd w:val="clear" w:color="auto" w:fill="auto"/>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fuel=freight˗only</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 </m:t>
                </m:r>
                <m:r>
                  <w:rPr>
                    <w:rFonts w:ascii="Cambria Math" w:hAnsi="Cambria Math"/>
                  </w:rPr>
                  <m:t>diesel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6" w14:textId="5AD9E135" w:rsidR="00D918F2" w:rsidRPr="0018386D" w:rsidRDefault="00D918F2" w:rsidP="00DD3106">
      <w:pPr>
        <w:pStyle w:val="BodyText"/>
        <w:spacing w:before="240" w:after="180"/>
      </w:pPr>
      <w:r w:rsidRPr="0018386D">
        <w:t xml:space="preserve">To calculate emissions from </w:t>
      </w:r>
      <w:r w:rsidR="00771E24" w:rsidRPr="0018386D">
        <w:t>electricity,</w:t>
      </w:r>
      <w:r w:rsidRPr="0018386D">
        <w:t xml:space="preserve"> </w:t>
      </w:r>
      <w:r w:rsidR="00771E24" w:rsidRPr="0018386D">
        <w:t xml:space="preserve">multiply </w:t>
      </w:r>
      <w:r w:rsidRPr="0018386D">
        <w:t xml:space="preserve">the </w:t>
      </w:r>
      <w:r w:rsidR="00E813F5" w:rsidRPr="0018386D">
        <w:t xml:space="preserve">net </w:t>
      </w:r>
      <w:r w:rsidRPr="0018386D">
        <w:t>kWh by the emission factors in</w:t>
      </w:r>
      <w:r w:rsidR="00317A99" w:rsidRPr="0018386D">
        <w:t xml:space="preserve"> </w:t>
      </w:r>
      <w:hyperlink w:anchor="table9" w:history="1">
        <w:r w:rsidR="00514754" w:rsidRPr="0018386D">
          <w:rPr>
            <w:rStyle w:val="Hyperlink"/>
          </w:rPr>
          <w:t xml:space="preserve">table </w:t>
        </w:r>
        <w:r w:rsidR="00E770A9" w:rsidRPr="0018386D">
          <w:rPr>
            <w:rStyle w:val="Hyperlink"/>
          </w:rPr>
          <w:t>9</w:t>
        </w:r>
      </w:hyperlink>
      <w:r w:rsidR="00E770A9" w:rsidRPr="0018386D">
        <w:rPr>
          <w:rStyle w:val="Hyperlink"/>
          <w:color w:val="auto"/>
        </w:rPr>
        <w:t xml:space="preserve"> or </w:t>
      </w:r>
      <w:hyperlink w:anchor="table10" w:history="1">
        <w:r w:rsidR="00E770A9" w:rsidRPr="0018386D">
          <w:rPr>
            <w:rStyle w:val="Hyperlink"/>
          </w:rPr>
          <w:t>table 10</w:t>
        </w:r>
      </w:hyperlink>
      <w:r w:rsidR="00771E24" w:rsidRPr="0018386D">
        <w:t>:</w:t>
      </w:r>
    </w:p>
    <w:tbl>
      <w:tblPr>
        <w:tblStyle w:val="mfebox"/>
        <w:tblW w:w="0" w:type="auto"/>
        <w:tblBorders>
          <w:top w:val="single" w:sz="4" w:space="0" w:color="D2DDE1"/>
          <w:left w:val="single" w:sz="4" w:space="0" w:color="D2DDE1"/>
          <w:bottom w:val="single" w:sz="4" w:space="0" w:color="D2DDE1"/>
          <w:right w:val="single" w:sz="4" w:space="0" w:color="D2DDE1"/>
        </w:tblBorders>
        <w:shd w:val="clear" w:color="auto" w:fill="D2DDE1" w:themeFill="background2"/>
        <w:tblLook w:val="04A0" w:firstRow="1" w:lastRow="0" w:firstColumn="1" w:lastColumn="0" w:noHBand="0" w:noVBand="1"/>
      </w:tblPr>
      <w:tblGrid>
        <w:gridCol w:w="8495"/>
      </w:tblGrid>
      <w:tr w:rsidR="00F919E2" w:rsidRPr="0018386D" w14:paraId="65092AB8" w14:textId="77777777" w:rsidTr="00317ED4">
        <w:tc>
          <w:tcPr>
            <w:tcW w:w="8720" w:type="dxa"/>
            <w:shd w:val="clear" w:color="auto" w:fill="D2DDE1" w:themeFill="background2"/>
          </w:tcPr>
          <w:p w14:paraId="65092AB7" w14:textId="234AD101" w:rsidR="00F919E2" w:rsidRPr="0018386D" w:rsidRDefault="00E97D2C" w:rsidP="00DD3106">
            <w:pPr>
              <w:pStyle w:val="Box"/>
              <w:shd w:val="clear" w:color="auto" w:fill="auto"/>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electricity= electricity</m:t>
                </m:r>
                <m:r>
                  <m:rPr>
                    <m:sty m:val="p"/>
                  </m:rPr>
                  <w:rPr>
                    <w:rFonts w:ascii="Cambria Math" w:hAnsi="Cambria Math"/>
                  </w:rPr>
                  <m:t xml:space="preserve"> </m:t>
                </m:r>
                <m:r>
                  <w:rPr>
                    <w:rFonts w:ascii="Cambria Math" w:hAnsi="Cambria Math"/>
                  </w:rPr>
                  <m:t>NIMT</m:t>
                </m:r>
                <m:r>
                  <m:rPr>
                    <m:sty m:val="p"/>
                  </m:rPr>
                  <w:rPr>
                    <w:rFonts w:ascii="Cambria Math" w:hAnsi="Cambria Math"/>
                  </w:rPr>
                  <m:t xml:space="preserve"> × </m:t>
                </m:r>
                <m:r>
                  <w:rPr>
                    <w:rFonts w:ascii="Cambria Math" w:hAnsi="Cambria Math"/>
                  </w:rPr>
                  <m:t>purchased</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9" w14:textId="1B7AFE04" w:rsidR="00D918F2" w:rsidRPr="0018386D" w:rsidRDefault="00D918F2" w:rsidP="00DD3106">
      <w:pPr>
        <w:pStyle w:val="BodyText"/>
        <w:spacing w:before="240" w:after="180"/>
      </w:pPr>
      <w:r w:rsidRPr="0018386D">
        <w:t>To calculate emissions from transmission and distribution losses from the purchased electricity</w:t>
      </w:r>
      <w:r w:rsidR="00771E24" w:rsidRPr="0018386D">
        <w:t xml:space="preserve">, multiply </w:t>
      </w:r>
      <w:r w:rsidRPr="0018386D">
        <w:t>the kWh by the emission factors in</w:t>
      </w:r>
      <w:r w:rsidR="00E770A9" w:rsidRPr="0018386D">
        <w:t xml:space="preserve"> </w:t>
      </w:r>
      <w:hyperlink w:anchor="Table12" w:history="1">
        <w:r w:rsidR="00E770A9" w:rsidRPr="0018386D">
          <w:rPr>
            <w:rStyle w:val="Hyperlink"/>
          </w:rPr>
          <w:t>table 12</w:t>
        </w:r>
      </w:hyperlink>
      <w:r w:rsidR="00771E24" w:rsidRPr="0018386D">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F919E2" w:rsidRPr="0018386D" w14:paraId="65092ABB" w14:textId="77777777" w:rsidTr="00317ED4">
        <w:tc>
          <w:tcPr>
            <w:tcW w:w="8629" w:type="dxa"/>
            <w:shd w:val="clear" w:color="auto" w:fill="D2DDE1" w:themeFill="background2"/>
            <w:vAlign w:val="center"/>
          </w:tcPr>
          <w:p w14:paraId="65092ABA" w14:textId="586FA583" w:rsidR="00F919E2" w:rsidRPr="0018386D" w:rsidRDefault="00E97D2C" w:rsidP="00DD3106">
            <w:pPr>
              <w:pStyle w:val="Box"/>
              <w:shd w:val="clear" w:color="auto" w:fill="auto"/>
              <w:spacing w:before="0" w:after="0"/>
              <w:ind w:left="0"/>
              <w:jc w:val="center"/>
            </w:pPr>
            <m:oMathPara>
              <m:oMathParaPr>
                <m:jc m:val="center"/>
              </m:oMathParaPr>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T</m:t>
                </m:r>
                <m:r>
                  <m:rPr>
                    <m:sty m:val="p"/>
                  </m:rPr>
                  <w:rPr>
                    <w:rFonts w:ascii="Cambria Math" w:hAnsi="Cambria Math"/>
                  </w:rPr>
                  <m:t>&amp;</m:t>
                </m:r>
                <m:r>
                  <w:rPr>
                    <w:rFonts w:ascii="Cambria Math" w:hAnsi="Cambria Math"/>
                  </w:rPr>
                  <m:t>D</m:t>
                </m:r>
                <m:r>
                  <m:rPr>
                    <m:sty m:val="p"/>
                  </m:rPr>
                  <w:rPr>
                    <w:rFonts w:ascii="Cambria Math" w:hAnsi="Cambria Math"/>
                  </w:rPr>
                  <m:t xml:space="preserve"> </m:t>
                </m:r>
                <m:r>
                  <w:rPr>
                    <w:rFonts w:ascii="Cambria Math" w:hAnsi="Cambria Math"/>
                  </w:rPr>
                  <m:t xml:space="preserve">losses </m:t>
                </m:r>
                <m:r>
                  <m:rPr>
                    <m:sty m:val="p"/>
                  </m:rPr>
                  <w:rPr>
                    <w:rFonts w:ascii="Cambria Math" w:hAnsi="Cambria Math"/>
                  </w:rPr>
                  <w:br/>
                </m:r>
              </m:oMath>
              <m:oMath>
                <m:r>
                  <w:rPr>
                    <w:rFonts w:ascii="Cambria Math" w:hAnsi="Cambria Math"/>
                  </w:rPr>
                  <m:t>=electricity</m:t>
                </m:r>
                <m:r>
                  <m:rPr>
                    <m:sty m:val="p"/>
                  </m:rPr>
                  <w:rPr>
                    <w:rFonts w:ascii="Cambria Math" w:hAnsi="Cambria Math"/>
                  </w:rPr>
                  <m:t xml:space="preserve"> </m:t>
                </m:r>
                <m:r>
                  <w:rPr>
                    <w:rFonts w:ascii="Cambria Math" w:hAnsi="Cambria Math"/>
                  </w:rPr>
                  <m:t>NIMT</m:t>
                </m:r>
                <m:r>
                  <m:rPr>
                    <m:sty m:val="p"/>
                  </m:rPr>
                  <w:rPr>
                    <w:rFonts w:ascii="Cambria Math" w:hAnsi="Cambria Math"/>
                  </w:rPr>
                  <m:t>×</m:t>
                </m:r>
                <m:r>
                  <w:rPr>
                    <w:rFonts w:ascii="Cambria Math" w:hAnsi="Cambria Math"/>
                  </w:rPr>
                  <m:t>T</m:t>
                </m:r>
                <m:r>
                  <m:rPr>
                    <m:sty m:val="p"/>
                  </m:rPr>
                  <w:rPr>
                    <w:rFonts w:ascii="Cambria Math" w:hAnsi="Cambria Math"/>
                  </w:rPr>
                  <m:t>&amp;</m:t>
                </m:r>
                <m:r>
                  <w:rPr>
                    <w:rFonts w:ascii="Cambria Math" w:hAnsi="Cambria Math"/>
                  </w:rPr>
                  <m:t>D</m:t>
                </m:r>
                <m:r>
                  <m:rPr>
                    <m:sty m:val="p"/>
                  </m:rPr>
                  <w:rPr>
                    <w:rFonts w:ascii="Cambria Math" w:hAnsi="Cambria Math"/>
                  </w:rPr>
                  <m:t xml:space="preserve"> </m:t>
                </m:r>
                <m:r>
                  <w:rPr>
                    <w:rFonts w:ascii="Cambria Math" w:hAnsi="Cambria Math"/>
                  </w:rPr>
                  <m:t>losses</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C" w14:textId="3A6EF639" w:rsidR="004C47E8" w:rsidRPr="0018386D" w:rsidRDefault="00771E24" w:rsidP="00DD3106">
      <w:pPr>
        <w:pStyle w:val="BodyText"/>
        <w:keepNext/>
        <w:spacing w:before="240" w:after="180"/>
      </w:pPr>
      <w:r w:rsidRPr="0018386D">
        <w:t>Divide t</w:t>
      </w:r>
      <w:r w:rsidR="004C47E8" w:rsidRPr="0018386D">
        <w:t xml:space="preserve">hese total emissions by the freight volumes in tonnes to give emissions per </w:t>
      </w:r>
      <w:proofErr w:type="spellStart"/>
      <w:r w:rsidR="004C47E8" w:rsidRPr="0018386D">
        <w:t>tkm</w:t>
      </w:r>
      <w:proofErr w:type="spellEnd"/>
      <w:r w:rsidRPr="0018386D">
        <w:t>:</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9E41DD" w:rsidRPr="0018386D" w14:paraId="65092ABE" w14:textId="77777777" w:rsidTr="00317ED4">
        <w:tc>
          <w:tcPr>
            <w:tcW w:w="8720" w:type="dxa"/>
            <w:shd w:val="clear" w:color="auto" w:fill="D2DDE1" w:themeFill="background2"/>
          </w:tcPr>
          <w:p w14:paraId="65092ABD" w14:textId="18C6900B" w:rsidR="009E41DD" w:rsidRPr="0018386D" w:rsidRDefault="00E97D2C" w:rsidP="00DD3106">
            <w:pPr>
              <w:pStyle w:val="Box"/>
              <w:shd w:val="clear" w:color="auto" w:fill="auto"/>
              <w:spacing w:before="0" w:after="0"/>
              <w:ind w:left="0"/>
            </w:pPr>
            <m:oMathPara>
              <m:oMathParaPr>
                <m:jc m:val="center"/>
              </m:oMathParaPr>
              <m:oMath>
                <m:r>
                  <w:rPr>
                    <w:rFonts w:ascii="Cambria Math" w:hAnsi="Cambria Math"/>
                  </w:rPr>
                  <m:t>emission per tkm</m:t>
                </m:r>
                <m:r>
                  <m:rPr>
                    <m:sty m:val="p"/>
                  </m:rPr>
                  <w:rPr>
                    <w:rFonts w:ascii="Cambria Math" w:hAnsi="Cambria Math"/>
                  </w:rPr>
                  <w:br/>
                </m:r>
              </m:oMath>
              <m:oMath>
                <m:r>
                  <w:rPr>
                    <w:rFonts w:ascii="Cambria Math" w:hAnsi="Cambria Math"/>
                  </w:rPr>
                  <m:t xml:space="preserve">= </m:t>
                </m:r>
                <m:f>
                  <m:fPr>
                    <m:ctrlPr>
                      <w:rPr>
                        <w:rFonts w:ascii="Cambria Math" w:hAnsi="Cambria Math"/>
                      </w:rPr>
                    </m:ctrlPr>
                  </m:fPr>
                  <m:num>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fuel</m:t>
                    </m:r>
                    <m:r>
                      <m:rPr>
                        <m:sty m:val="p"/>
                      </m:rPr>
                      <w:rPr>
                        <w:rFonts w:ascii="Cambria Math" w:hAnsi="Cambria Math"/>
                      </w:rPr>
                      <m:t>+</m:t>
                    </m:r>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electricity</m:t>
                    </m:r>
                    <m:r>
                      <m:rPr>
                        <m:sty m:val="p"/>
                      </m:rPr>
                      <w:rPr>
                        <w:rFonts w:ascii="Cambria Math" w:hAnsi="Cambria Math"/>
                      </w:rPr>
                      <m:t>+</m:t>
                    </m:r>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T</m:t>
                    </m:r>
                    <m:r>
                      <m:rPr>
                        <m:sty m:val="p"/>
                      </m:rPr>
                      <w:rPr>
                        <w:rFonts w:ascii="Cambria Math" w:hAnsi="Cambria Math"/>
                      </w:rPr>
                      <m:t>&amp;</m:t>
                    </m:r>
                    <m:r>
                      <w:rPr>
                        <w:rFonts w:ascii="Cambria Math" w:hAnsi="Cambria Math"/>
                      </w:rPr>
                      <m:t>D</m:t>
                    </m:r>
                    <m:r>
                      <m:rPr>
                        <m:sty m:val="p"/>
                      </m:rPr>
                      <w:rPr>
                        <w:rFonts w:ascii="Cambria Math" w:hAnsi="Cambria Math"/>
                      </w:rPr>
                      <m:t xml:space="preserve"> </m:t>
                    </m:r>
                    <m:r>
                      <w:rPr>
                        <w:rFonts w:ascii="Cambria Math" w:hAnsi="Cambria Math"/>
                      </w:rPr>
                      <m:t>losses</m:t>
                    </m:r>
                  </m:num>
                  <m:den>
                    <m:r>
                      <w:rPr>
                        <w:rFonts w:ascii="Cambria Math" w:hAnsi="Cambria Math"/>
                      </w:rPr>
                      <m:t>freight</m:t>
                    </m:r>
                    <m:r>
                      <m:rPr>
                        <m:sty m:val="p"/>
                      </m:rPr>
                      <w:rPr>
                        <w:rFonts w:ascii="Cambria Math" w:hAnsi="Cambria Math"/>
                      </w:rPr>
                      <m:t xml:space="preserve"> </m:t>
                    </m:r>
                    <m:r>
                      <w:rPr>
                        <w:rFonts w:ascii="Cambria Math" w:hAnsi="Cambria Math"/>
                      </w:rPr>
                      <m:t>volumes</m:t>
                    </m:r>
                    <m:r>
                      <m:rPr>
                        <m:sty m:val="p"/>
                      </m:rPr>
                      <w:rPr>
                        <w:rFonts w:ascii="Cambria Math" w:hAnsi="Cambria Math"/>
                      </w:rPr>
                      <m:t xml:space="preserve"> </m:t>
                    </m:r>
                    <m:d>
                      <m:dPr>
                        <m:ctrlPr>
                          <w:rPr>
                            <w:rFonts w:ascii="Cambria Math" w:hAnsi="Cambria Math"/>
                          </w:rPr>
                        </m:ctrlPr>
                      </m:dPr>
                      <m:e>
                        <m:r>
                          <w:rPr>
                            <w:rFonts w:ascii="Cambria Math" w:hAnsi="Cambria Math"/>
                          </w:rPr>
                          <m:t>net</m:t>
                        </m:r>
                      </m:e>
                    </m:d>
                    <m:r>
                      <m:rPr>
                        <m:sty m:val="p"/>
                      </m:rPr>
                      <w:rPr>
                        <w:rFonts w:ascii="Cambria Math" w:hAnsi="Cambria Math"/>
                      </w:rPr>
                      <m:t>×1000</m:t>
                    </m:r>
                  </m:den>
                </m:f>
              </m:oMath>
            </m:oMathPara>
          </w:p>
        </w:tc>
      </w:tr>
    </w:tbl>
    <w:p w14:paraId="65092ABF" w14:textId="6F51CF23" w:rsidR="0054105F" w:rsidRPr="0018386D" w:rsidRDefault="500DFA64" w:rsidP="00DD3106">
      <w:pPr>
        <w:pStyle w:val="Heading3"/>
        <w:numPr>
          <w:ilvl w:val="2"/>
          <w:numId w:val="8"/>
        </w:numPr>
        <w:spacing w:before="400"/>
      </w:pPr>
      <w:bookmarkStart w:id="684" w:name="_Toc532904926"/>
      <w:r w:rsidRPr="0018386D">
        <w:t xml:space="preserve">Assumptions, </w:t>
      </w:r>
      <w:proofErr w:type="gramStart"/>
      <w:r w:rsidRPr="0018386D">
        <w:t>limitations</w:t>
      </w:r>
      <w:proofErr w:type="gramEnd"/>
      <w:r w:rsidRPr="0018386D">
        <w:t xml:space="preserve"> and uncertainties</w:t>
      </w:r>
      <w:bookmarkEnd w:id="684"/>
    </w:p>
    <w:p w14:paraId="65092AC0" w14:textId="41769AD7" w:rsidR="00D34AB8" w:rsidRPr="0018386D" w:rsidRDefault="004C47E8" w:rsidP="00DD3106">
      <w:pPr>
        <w:pStyle w:val="BodyText"/>
      </w:pPr>
      <w:r w:rsidRPr="0018386D">
        <w:t xml:space="preserve">The figure for </w:t>
      </w:r>
      <w:r w:rsidR="009E41DD" w:rsidRPr="0018386D">
        <w:t>n</w:t>
      </w:r>
      <w:r w:rsidRPr="0018386D">
        <w:t xml:space="preserve">et </w:t>
      </w:r>
      <w:proofErr w:type="spellStart"/>
      <w:r w:rsidR="009E41DD" w:rsidRPr="0018386D">
        <w:t>tk</w:t>
      </w:r>
      <w:r w:rsidRPr="0018386D">
        <w:t>m</w:t>
      </w:r>
      <w:proofErr w:type="spellEnd"/>
      <w:r w:rsidRPr="0018386D">
        <w:t xml:space="preserve"> includes the weight for third</w:t>
      </w:r>
      <w:r w:rsidR="00771E24" w:rsidRPr="0018386D">
        <w:t>-</w:t>
      </w:r>
      <w:r w:rsidRPr="0018386D">
        <w:t xml:space="preserve">party tare weight containers. </w:t>
      </w:r>
      <w:r w:rsidR="00771E24" w:rsidRPr="0018386D">
        <w:t>KiwiRail does not own or control t</w:t>
      </w:r>
      <w:r w:rsidR="00D34AB8" w:rsidRPr="0018386D">
        <w:t xml:space="preserve">hose containers </w:t>
      </w:r>
      <w:r w:rsidR="00771E24" w:rsidRPr="0018386D">
        <w:t xml:space="preserve">and </w:t>
      </w:r>
      <w:r w:rsidR="00D34AB8" w:rsidRPr="0018386D">
        <w:t>it is the responsibility of the customer to load and unload the</w:t>
      </w:r>
      <w:r w:rsidR="00081569" w:rsidRPr="0018386D">
        <w:t>m</w:t>
      </w:r>
      <w:r w:rsidR="00D34AB8" w:rsidRPr="0018386D">
        <w:t xml:space="preserve">. The alternative for these customers would be to </w:t>
      </w:r>
      <w:r w:rsidR="00A67995" w:rsidRPr="0018386D">
        <w:t>transport freight</w:t>
      </w:r>
      <w:r w:rsidR="00D34AB8" w:rsidRPr="0018386D">
        <w:t xml:space="preserve"> by road</w:t>
      </w:r>
      <w:r w:rsidR="00771E24" w:rsidRPr="0018386D">
        <w:t>.</w:t>
      </w:r>
      <w:r w:rsidR="00D34AB8" w:rsidRPr="0018386D">
        <w:t xml:space="preserve"> </w:t>
      </w:r>
      <w:r w:rsidR="00771E24" w:rsidRPr="0018386D">
        <w:t>Therefore,</w:t>
      </w:r>
      <w:r w:rsidR="00D34AB8" w:rsidRPr="0018386D">
        <w:t xml:space="preserve"> these figures reflect the actual freight (including the weight of empty and loaded containers) </w:t>
      </w:r>
      <w:r w:rsidR="00081569" w:rsidRPr="0018386D">
        <w:t xml:space="preserve">that </w:t>
      </w:r>
      <w:r w:rsidR="00771E24" w:rsidRPr="0018386D">
        <w:t xml:space="preserve">KiwiRail </w:t>
      </w:r>
      <w:r w:rsidR="00D34AB8" w:rsidRPr="0018386D">
        <w:t xml:space="preserve">moved. </w:t>
      </w:r>
    </w:p>
    <w:p w14:paraId="65092AC6" w14:textId="24184A5D" w:rsidR="00321918" w:rsidRPr="0018386D" w:rsidRDefault="00321918" w:rsidP="00DD3106">
      <w:pPr>
        <w:pStyle w:val="Heading2"/>
        <w:numPr>
          <w:ilvl w:val="1"/>
          <w:numId w:val="8"/>
        </w:numPr>
      </w:pPr>
      <w:bookmarkStart w:id="685" w:name="_Toc532904927"/>
      <w:bookmarkStart w:id="686" w:name="_Toc600591"/>
      <w:bookmarkStart w:id="687" w:name="_Toc140048922"/>
      <w:r w:rsidRPr="0018386D">
        <w:lastRenderedPageBreak/>
        <w:t xml:space="preserve">Air </w:t>
      </w:r>
      <w:bookmarkEnd w:id="685"/>
      <w:r w:rsidR="00322289" w:rsidRPr="0018386D">
        <w:t>freight</w:t>
      </w:r>
      <w:bookmarkEnd w:id="686"/>
      <w:bookmarkEnd w:id="687"/>
    </w:p>
    <w:p w14:paraId="1AE357BE" w14:textId="4819A883" w:rsidR="000929AE" w:rsidRPr="0018386D" w:rsidRDefault="00F86CDC" w:rsidP="00DD3106">
      <w:pPr>
        <w:pStyle w:val="BodyText"/>
        <w:spacing w:before="100" w:after="100"/>
      </w:pPr>
      <w:r w:rsidRPr="0018386D">
        <w:rPr>
          <w:spacing w:val="-2"/>
        </w:rPr>
        <w:t>In the absence of N</w:t>
      </w:r>
      <w:r w:rsidR="00081569" w:rsidRPr="0018386D">
        <w:rPr>
          <w:spacing w:val="-2"/>
        </w:rPr>
        <w:t xml:space="preserve">ew </w:t>
      </w:r>
      <w:r w:rsidRPr="0018386D">
        <w:rPr>
          <w:spacing w:val="-2"/>
        </w:rPr>
        <w:t>Z</w:t>
      </w:r>
      <w:r w:rsidR="00081569" w:rsidRPr="0018386D">
        <w:rPr>
          <w:spacing w:val="-2"/>
        </w:rPr>
        <w:t>ealand</w:t>
      </w:r>
      <w:r w:rsidRPr="0018386D">
        <w:rPr>
          <w:spacing w:val="-2"/>
        </w:rPr>
        <w:t xml:space="preserve"> data, w</w:t>
      </w:r>
      <w:r w:rsidR="00181039" w:rsidRPr="0018386D">
        <w:rPr>
          <w:spacing w:val="-2"/>
        </w:rPr>
        <w:t>e</w:t>
      </w:r>
      <w:r w:rsidRPr="0018386D">
        <w:rPr>
          <w:spacing w:val="-2"/>
        </w:rPr>
        <w:t xml:space="preserve"> have</w:t>
      </w:r>
      <w:r w:rsidR="00181039" w:rsidRPr="0018386D">
        <w:rPr>
          <w:spacing w:val="-2"/>
        </w:rPr>
        <w:t xml:space="preserve"> adopted the air freight e</w:t>
      </w:r>
      <w:r w:rsidR="005C11BF" w:rsidRPr="0018386D">
        <w:rPr>
          <w:spacing w:val="-2"/>
        </w:rPr>
        <w:t xml:space="preserve">mission factors from the </w:t>
      </w:r>
      <w:r w:rsidR="002E7063" w:rsidRPr="0018386D">
        <w:rPr>
          <w:spacing w:val="-2"/>
        </w:rPr>
        <w:t>latest</w:t>
      </w:r>
      <w:r w:rsidR="005C11BF" w:rsidRPr="0018386D">
        <w:rPr>
          <w:spacing w:val="-2"/>
        </w:rPr>
        <w:t xml:space="preserve"> </w:t>
      </w:r>
      <w:hyperlink r:id="rId108" w:history="1">
        <w:r w:rsidR="00EC5D7E" w:rsidRPr="0018386D">
          <w:rPr>
            <w:rStyle w:val="Hyperlink"/>
            <w:rFonts w:eastAsia="Times New Roman" w:cs="Times New Roman"/>
          </w:rPr>
          <w:t>UK BEIS emission factors</w:t>
        </w:r>
      </w:hyperlink>
      <w:r w:rsidR="00EC5D7E" w:rsidRPr="0018386D">
        <w:rPr>
          <w:spacing w:val="-2"/>
        </w:rPr>
        <w:t>.</w:t>
      </w:r>
      <w:r w:rsidR="005C11BF" w:rsidRPr="0018386D">
        <w:rPr>
          <w:spacing w:val="-2"/>
        </w:rPr>
        <w:t xml:space="preserve"> </w:t>
      </w:r>
      <w:r w:rsidR="00FD051F" w:rsidRPr="0018386D">
        <w:rPr>
          <w:spacing w:val="-2"/>
        </w:rPr>
        <w:t xml:space="preserve">These emission </w:t>
      </w:r>
      <w:r w:rsidR="00FD051F" w:rsidRPr="0018386D">
        <w:t>factors</w:t>
      </w:r>
      <w:r w:rsidR="00FD051F" w:rsidRPr="0018386D">
        <w:rPr>
          <w:spacing w:val="-2"/>
        </w:rPr>
        <w:t xml:space="preserve"> are Scope 3.</w:t>
      </w:r>
      <w:r w:rsidR="00F01599" w:rsidRPr="0018386D">
        <w:rPr>
          <w:spacing w:val="-2"/>
        </w:rPr>
        <w:t xml:space="preserve"> </w:t>
      </w:r>
      <w:r w:rsidR="00B5320A" w:rsidRPr="0018386D">
        <w:rPr>
          <w:spacing w:val="-2"/>
        </w:rPr>
        <w:t>R</w:t>
      </w:r>
      <w:r w:rsidR="00B46895" w:rsidRPr="0018386D">
        <w:rPr>
          <w:spacing w:val="-2"/>
        </w:rPr>
        <w:t xml:space="preserve">efer to </w:t>
      </w:r>
      <w:hyperlink w:anchor="_Air_travel" w:history="1">
        <w:r w:rsidR="00FB5F56" w:rsidRPr="0018386D">
          <w:rPr>
            <w:rStyle w:val="Hyperlink"/>
            <w:spacing w:val="-2"/>
          </w:rPr>
          <w:t>section 7.5</w:t>
        </w:r>
      </w:hyperlink>
      <w:r w:rsidR="00181039" w:rsidRPr="0018386D">
        <w:rPr>
          <w:color w:val="32809C" w:themeColor="accent2"/>
          <w:spacing w:val="-2"/>
        </w:rPr>
        <w:t xml:space="preserve"> </w:t>
      </w:r>
      <w:r w:rsidR="00A474CF" w:rsidRPr="0018386D">
        <w:rPr>
          <w:spacing w:val="-2"/>
        </w:rPr>
        <w:t>for further guidance</w:t>
      </w:r>
      <w:r w:rsidR="00181039" w:rsidRPr="0018386D">
        <w:rPr>
          <w:spacing w:val="-2"/>
        </w:rPr>
        <w:t xml:space="preserve"> on radiative forcing</w:t>
      </w:r>
      <w:r w:rsidR="00A474CF" w:rsidRPr="0018386D">
        <w:rPr>
          <w:spacing w:val="-2"/>
        </w:rPr>
        <w:t xml:space="preserve"> to </w:t>
      </w:r>
      <w:r w:rsidR="00181039" w:rsidRPr="0018386D">
        <w:rPr>
          <w:spacing w:val="-2"/>
        </w:rPr>
        <w:t>inform</w:t>
      </w:r>
      <w:r w:rsidR="00A474CF" w:rsidRPr="0018386D">
        <w:rPr>
          <w:spacing w:val="-2"/>
        </w:rPr>
        <w:t xml:space="preserve"> your </w:t>
      </w:r>
      <w:r w:rsidR="00181039" w:rsidRPr="0018386D">
        <w:rPr>
          <w:spacing w:val="-2"/>
        </w:rPr>
        <w:t>choice of</w:t>
      </w:r>
      <w:r w:rsidR="00A474CF" w:rsidRPr="0018386D">
        <w:rPr>
          <w:spacing w:val="-2"/>
        </w:rPr>
        <w:t xml:space="preserve"> emission factor.</w:t>
      </w:r>
      <w:r w:rsidR="00AE2534" w:rsidRPr="0018386D">
        <w:rPr>
          <w:spacing w:val="-2"/>
        </w:rPr>
        <w:t xml:space="preserve"> </w:t>
      </w:r>
      <w:r w:rsidR="00AE2534" w:rsidRPr="0018386D">
        <w:t>While the radiative forcing multiplier of 1.9 used in this guidance is based on current scientific evidence and research, this figure is subject to significant uncertainty.</w:t>
      </w:r>
      <w:r w:rsidR="00AE2534" w:rsidRPr="0018386D">
        <w:rPr>
          <w:rStyle w:val="FootnoteReference"/>
        </w:rPr>
        <w:footnoteReference w:id="44"/>
      </w:r>
      <w:r w:rsidR="00AE2534" w:rsidRPr="0018386D">
        <w:rPr>
          <w:vertAlign w:val="superscript"/>
        </w:rPr>
        <w:t xml:space="preserve">, </w:t>
      </w:r>
      <w:r w:rsidR="00AE2534" w:rsidRPr="0018386D">
        <w:rPr>
          <w:rStyle w:val="FootnoteReference"/>
        </w:rPr>
        <w:footnoteReference w:id="45"/>
      </w:r>
    </w:p>
    <w:p w14:paraId="7868B2A8" w14:textId="559E31DC" w:rsidR="0059293C" w:rsidRPr="0018386D" w:rsidRDefault="0059293C" w:rsidP="00DD3106">
      <w:pPr>
        <w:pStyle w:val="BodyText"/>
        <w:spacing w:before="100" w:after="100"/>
      </w:pPr>
      <w:r w:rsidRPr="0018386D">
        <w:t>Emissions from aviation have both direct (CO</w:t>
      </w:r>
      <w:r w:rsidRPr="0018386D">
        <w:rPr>
          <w:vertAlign w:val="subscript"/>
        </w:rPr>
        <w:t>2</w:t>
      </w:r>
      <w:r w:rsidRPr="0018386D">
        <w:t>, CH</w:t>
      </w:r>
      <w:r w:rsidRPr="0018386D">
        <w:rPr>
          <w:vertAlign w:val="subscript"/>
        </w:rPr>
        <w:t>4</w:t>
      </w:r>
      <w:r w:rsidRPr="0018386D">
        <w:t xml:space="preserve"> and N</w:t>
      </w:r>
      <w:r w:rsidRPr="0018386D">
        <w:rPr>
          <w:vertAlign w:val="subscript"/>
        </w:rPr>
        <w:t>2</w:t>
      </w:r>
      <w:r w:rsidRPr="0018386D">
        <w:t>O) and indirect (non-CO</w:t>
      </w:r>
      <w:r w:rsidRPr="0018386D">
        <w:rPr>
          <w:vertAlign w:val="subscript"/>
        </w:rPr>
        <w:t>2</w:t>
      </w:r>
      <w:r w:rsidRPr="0018386D">
        <w:t xml:space="preserve"> emissions </w:t>
      </w:r>
      <w:r w:rsidR="005A09B7" w:rsidRPr="0018386D">
        <w:t>eg</w:t>
      </w:r>
      <w:r w:rsidR="005C1BD3" w:rsidRPr="0018386D">
        <w:t>,</w:t>
      </w:r>
      <w:r w:rsidRPr="0018386D">
        <w:t xml:space="preserve"> water vapour, contrails, NOx) climate change effects. Two sets of emission factors for air freight are presented here; one that includes the indirect effects of non-CO</w:t>
      </w:r>
      <w:r w:rsidRPr="0018386D">
        <w:rPr>
          <w:vertAlign w:val="subscript"/>
        </w:rPr>
        <w:t>2</w:t>
      </w:r>
      <w:r w:rsidRPr="0018386D">
        <w:t xml:space="preserve"> emissions and one that represents direct effects only.</w:t>
      </w:r>
      <w:r w:rsidR="00A42624" w:rsidRPr="0018386D">
        <w:t xml:space="preserve"> </w:t>
      </w:r>
    </w:p>
    <w:p w14:paraId="1E93AB74" w14:textId="22254D0C" w:rsidR="007A208A" w:rsidRPr="0018386D" w:rsidRDefault="007A208A" w:rsidP="00DD3106">
      <w:pPr>
        <w:pStyle w:val="BodyText"/>
        <w:spacing w:before="100" w:after="100"/>
      </w:pPr>
      <w:r w:rsidRPr="0018386D">
        <w:t>The short-haul emission factor applies to international flights of less than 3,700 km. The long-haul factor applies to flights of more than 3,700 km.</w:t>
      </w:r>
    </w:p>
    <w:p w14:paraId="3886E5AB" w14:textId="63ECB1FA" w:rsidR="00041430" w:rsidRPr="0018386D" w:rsidRDefault="00440C4C" w:rsidP="00DD3106">
      <w:pPr>
        <w:pStyle w:val="BodyText"/>
        <w:spacing w:before="100" w:after="100"/>
      </w:pPr>
      <w:r w:rsidRPr="0018386D">
        <w:t xml:space="preserve">Organisations should include </w:t>
      </w:r>
      <w:r w:rsidR="00041430" w:rsidRPr="0018386D">
        <w:t>the</w:t>
      </w:r>
      <w:r w:rsidR="00041430" w:rsidRPr="0018386D">
        <w:rPr>
          <w:spacing w:val="-2"/>
        </w:rPr>
        <w:t xml:space="preserve"> indirect effects of non-CO</w:t>
      </w:r>
      <w:r w:rsidR="00041430" w:rsidRPr="0018386D">
        <w:rPr>
          <w:spacing w:val="-2"/>
          <w:vertAlign w:val="subscript"/>
        </w:rPr>
        <w:t>2</w:t>
      </w:r>
      <w:r w:rsidR="00041430" w:rsidRPr="0018386D">
        <w:rPr>
          <w:spacing w:val="-2"/>
        </w:rPr>
        <w:t xml:space="preserve"> emissions when reporting air freight emissions to capture the full climate impact of their travel. However, it should be noted that there is significant scientific uncertainty around the magnitude of the indirect effect of non-CO</w:t>
      </w:r>
      <w:r w:rsidR="00041430" w:rsidRPr="0018386D">
        <w:rPr>
          <w:spacing w:val="-2"/>
          <w:vertAlign w:val="subscript"/>
        </w:rPr>
        <w:t>2</w:t>
      </w:r>
      <w:r w:rsidR="00041430" w:rsidRPr="0018386D">
        <w:rPr>
          <w:spacing w:val="-2"/>
        </w:rPr>
        <w:t xml:space="preserve"> aviation emissions and it is an active area of research. Further information can be found in paragraphs 8.3</w:t>
      </w:r>
      <w:r w:rsidR="00C02198" w:rsidRPr="0018386D">
        <w:rPr>
          <w:spacing w:val="-2"/>
        </w:rPr>
        <w:t>9</w:t>
      </w:r>
      <w:r w:rsidR="00041430" w:rsidRPr="0018386D">
        <w:rPr>
          <w:spacing w:val="-2"/>
        </w:rPr>
        <w:t>-8.4</w:t>
      </w:r>
      <w:r w:rsidR="00C02198" w:rsidRPr="0018386D">
        <w:rPr>
          <w:spacing w:val="-2"/>
        </w:rPr>
        <w:t>3</w:t>
      </w:r>
      <w:r w:rsidR="00041430" w:rsidRPr="0018386D">
        <w:rPr>
          <w:spacing w:val="-2"/>
        </w:rPr>
        <w:t xml:space="preserve"> in the </w:t>
      </w:r>
      <w:hyperlink r:id="rId109" w:history="1">
        <w:r w:rsidR="00EC5D7E" w:rsidRPr="0018386D">
          <w:rPr>
            <w:rStyle w:val="Hyperlink"/>
            <w:rFonts w:eastAsia="Times New Roman" w:cs="Times New Roman"/>
          </w:rPr>
          <w:t>UK BEIS emission factors</w:t>
        </w:r>
      </w:hyperlink>
      <w:r w:rsidR="00EC5D7E" w:rsidRPr="0018386D">
        <w:t>.</w:t>
      </w:r>
    </w:p>
    <w:p w14:paraId="09485356" w14:textId="059400DE" w:rsidR="006C0594" w:rsidRPr="0018386D" w:rsidRDefault="00EB4389" w:rsidP="00DD3106">
      <w:pPr>
        <w:pStyle w:val="Tableheading"/>
        <w:rPr>
          <w:rFonts w:asciiTheme="minorHAnsi" w:hAnsiTheme="minorHAnsi"/>
        </w:rPr>
      </w:pPr>
      <w:bookmarkStart w:id="688" w:name="Table60"/>
      <w:bookmarkStart w:id="689" w:name="_Toc111536672"/>
      <w:bookmarkStart w:id="690" w:name="_Toc140049000"/>
      <w:r w:rsidRPr="0018386D">
        <w:t xml:space="preserve">Table </w:t>
      </w:r>
      <w:r w:rsidRPr="0018386D">
        <w:fldChar w:fldCharType="begin"/>
      </w:r>
      <w:r w:rsidRPr="0018386D">
        <w:instrText>SEQ Table \* ARABIC</w:instrText>
      </w:r>
      <w:r w:rsidRPr="0018386D">
        <w:fldChar w:fldCharType="separate"/>
      </w:r>
      <w:r w:rsidR="00061BCE" w:rsidRPr="0018386D">
        <w:t>60</w:t>
      </w:r>
      <w:r w:rsidRPr="0018386D">
        <w:fldChar w:fldCharType="end"/>
      </w:r>
      <w:bookmarkEnd w:id="688"/>
      <w:r w:rsidRPr="0018386D">
        <w:t>:</w:t>
      </w:r>
      <w:r w:rsidRPr="0018386D">
        <w:tab/>
      </w:r>
      <w:r w:rsidR="00F30127" w:rsidRPr="0018386D">
        <w:t>Air freight emission factors</w:t>
      </w:r>
      <w:r w:rsidR="00D06C46" w:rsidRPr="0018386D">
        <w:t xml:space="preserve"> </w:t>
      </w:r>
      <w:r w:rsidR="00303DF3" w:rsidRPr="0018386D">
        <w:t>with</w:t>
      </w:r>
      <w:r w:rsidR="00446FCB" w:rsidRPr="0018386D">
        <w:t>out</w:t>
      </w:r>
      <w:r w:rsidR="00303DF3" w:rsidRPr="0018386D">
        <w:t xml:space="preserve"> radiative forcing multiplier</w:t>
      </w:r>
      <w:bookmarkEnd w:id="689"/>
      <w:bookmarkEnd w:id="690"/>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439"/>
        <w:gridCol w:w="719"/>
        <w:gridCol w:w="1295"/>
        <w:gridCol w:w="1624"/>
        <w:gridCol w:w="1624"/>
        <w:gridCol w:w="1799"/>
      </w:tblGrid>
      <w:tr w:rsidR="00FA33D0" w:rsidRPr="0018386D" w14:paraId="1E71197D" w14:textId="77777777" w:rsidTr="00A02453">
        <w:tc>
          <w:tcPr>
            <w:tcW w:w="1134" w:type="dxa"/>
            <w:shd w:val="clear" w:color="000000" w:fill="1B556B" w:themeFill="text2"/>
            <w:noWrap/>
            <w:vAlign w:val="center"/>
            <w:hideMark/>
          </w:tcPr>
          <w:p w14:paraId="3FA66278" w14:textId="0C11286B" w:rsidR="006C0594" w:rsidRPr="0018386D" w:rsidRDefault="006C0594" w:rsidP="00DD3106">
            <w:pPr>
              <w:pStyle w:val="TableTextbold"/>
              <w:spacing w:before="40" w:after="40"/>
              <w:rPr>
                <w:color w:val="FFFFFF" w:themeColor="background1"/>
              </w:rPr>
            </w:pPr>
            <w:r w:rsidRPr="0018386D">
              <w:rPr>
                <w:color w:val="FFFFFF" w:themeColor="background1"/>
              </w:rPr>
              <w:t>Emission source</w:t>
            </w:r>
          </w:p>
        </w:tc>
        <w:tc>
          <w:tcPr>
            <w:tcW w:w="567" w:type="dxa"/>
            <w:shd w:val="clear" w:color="000000" w:fill="1B556B" w:themeFill="text2"/>
            <w:noWrap/>
            <w:vAlign w:val="center"/>
            <w:hideMark/>
          </w:tcPr>
          <w:p w14:paraId="6D1C7C8B" w14:textId="77777777" w:rsidR="006C0594" w:rsidRPr="0018386D" w:rsidRDefault="006C0594" w:rsidP="00DD3106">
            <w:pPr>
              <w:pStyle w:val="TableTextbold"/>
              <w:spacing w:before="40" w:after="40"/>
              <w:rPr>
                <w:color w:val="FFFFFF" w:themeColor="background1"/>
              </w:rPr>
            </w:pPr>
            <w:r w:rsidRPr="0018386D">
              <w:rPr>
                <w:color w:val="FFFFFF" w:themeColor="background1"/>
              </w:rPr>
              <w:t>Unit</w:t>
            </w:r>
          </w:p>
        </w:tc>
        <w:tc>
          <w:tcPr>
            <w:tcW w:w="1021" w:type="dxa"/>
            <w:shd w:val="clear" w:color="000000" w:fill="1B556B" w:themeFill="text2"/>
            <w:noWrap/>
            <w:vAlign w:val="center"/>
            <w:hideMark/>
          </w:tcPr>
          <w:p w14:paraId="78E2D05C" w14:textId="4BB7F905" w:rsidR="006C0594" w:rsidRPr="0018386D" w:rsidRDefault="006C0594" w:rsidP="00DD3106">
            <w:pPr>
              <w:pStyle w:val="TableTextbold"/>
              <w:spacing w:before="40" w:after="40"/>
              <w:rPr>
                <w:color w:val="FFFFFF" w:themeColor="background1"/>
              </w:rPr>
            </w:pPr>
            <w:r w:rsidRPr="0018386D">
              <w:rPr>
                <w:color w:val="FFFFFF" w:themeColor="background1"/>
              </w:rPr>
              <w:t>kg CO₂-e/unit</w:t>
            </w:r>
          </w:p>
        </w:tc>
        <w:tc>
          <w:tcPr>
            <w:tcW w:w="1280" w:type="dxa"/>
            <w:shd w:val="clear" w:color="000000" w:fill="1B556B" w:themeFill="text2"/>
            <w:noWrap/>
            <w:vAlign w:val="center"/>
            <w:hideMark/>
          </w:tcPr>
          <w:p w14:paraId="306060F8" w14:textId="0105B55B" w:rsidR="006C0594" w:rsidRPr="0018386D" w:rsidRDefault="006C0594" w:rsidP="00DD3106">
            <w:pPr>
              <w:pStyle w:val="TableTextbold"/>
              <w:spacing w:before="40" w:after="40"/>
              <w:rPr>
                <w:color w:val="FFFFFF" w:themeColor="background1"/>
              </w:rPr>
            </w:pPr>
            <w:r w:rsidRPr="0018386D">
              <w:rPr>
                <w:color w:val="FFFFFF" w:themeColor="background1"/>
              </w:rPr>
              <w:t>CO₂ (kg CO₂</w:t>
            </w:r>
            <w:r w:rsidRPr="0018386D">
              <w:rPr>
                <w:color w:val="FFFFFF" w:themeColor="background1"/>
              </w:rPr>
              <w:noBreakHyphen/>
              <w:t>e/unit)</w:t>
            </w:r>
          </w:p>
        </w:tc>
        <w:tc>
          <w:tcPr>
            <w:tcW w:w="1280" w:type="dxa"/>
            <w:shd w:val="clear" w:color="000000" w:fill="1B556B" w:themeFill="text2"/>
            <w:noWrap/>
            <w:vAlign w:val="center"/>
            <w:hideMark/>
          </w:tcPr>
          <w:p w14:paraId="7C74D432" w14:textId="33F80A81" w:rsidR="006C0594" w:rsidRPr="0018386D" w:rsidRDefault="006C0594" w:rsidP="00DD3106">
            <w:pPr>
              <w:pStyle w:val="TableTextbold"/>
              <w:spacing w:before="40" w:after="40"/>
              <w:rPr>
                <w:color w:val="FFFFFF" w:themeColor="background1"/>
              </w:rPr>
            </w:pPr>
            <w:r w:rsidRPr="0018386D">
              <w:rPr>
                <w:color w:val="FFFFFF" w:themeColor="background1"/>
              </w:rPr>
              <w:t>CH₄ (kg CO₂-e/unit)</w:t>
            </w:r>
          </w:p>
        </w:tc>
        <w:tc>
          <w:tcPr>
            <w:tcW w:w="1418" w:type="dxa"/>
            <w:shd w:val="clear" w:color="000000" w:fill="1B556B" w:themeFill="text2"/>
            <w:noWrap/>
            <w:vAlign w:val="center"/>
            <w:hideMark/>
          </w:tcPr>
          <w:p w14:paraId="28FD74A8" w14:textId="24BC343B" w:rsidR="006C0594" w:rsidRPr="0018386D" w:rsidRDefault="006C0594" w:rsidP="00DD3106">
            <w:pPr>
              <w:pStyle w:val="TableTextbold"/>
              <w:spacing w:before="40" w:after="40"/>
              <w:rPr>
                <w:color w:val="FFFFFF" w:themeColor="background1"/>
              </w:rPr>
            </w:pPr>
            <w:r w:rsidRPr="0018386D">
              <w:rPr>
                <w:color w:val="FFFFFF" w:themeColor="background1"/>
              </w:rPr>
              <w:t>N₂O (kg CO₂-e/unit)</w:t>
            </w:r>
          </w:p>
        </w:tc>
      </w:tr>
      <w:tr w:rsidR="006C0594" w:rsidRPr="0018386D" w14:paraId="6C5FA3E8" w14:textId="77777777" w:rsidTr="00A02453">
        <w:tc>
          <w:tcPr>
            <w:tcW w:w="1134" w:type="dxa"/>
            <w:shd w:val="clear" w:color="000000" w:fill="FFFFFF"/>
            <w:noWrap/>
            <w:vAlign w:val="bottom"/>
            <w:hideMark/>
          </w:tcPr>
          <w:p w14:paraId="73EB9CAF" w14:textId="632C73DA" w:rsidR="006C0594" w:rsidRPr="0018386D" w:rsidRDefault="006C0594" w:rsidP="00DD3106">
            <w:pPr>
              <w:pStyle w:val="TableText"/>
              <w:spacing w:before="40" w:after="40"/>
            </w:pPr>
            <w:r w:rsidRPr="0018386D">
              <w:t>Domestic</w:t>
            </w:r>
          </w:p>
        </w:tc>
        <w:tc>
          <w:tcPr>
            <w:tcW w:w="567" w:type="dxa"/>
            <w:shd w:val="clear" w:color="000000" w:fill="FFFFFF"/>
            <w:noWrap/>
            <w:vAlign w:val="bottom"/>
            <w:hideMark/>
          </w:tcPr>
          <w:p w14:paraId="30E6E255" w14:textId="77777777" w:rsidR="006C0594" w:rsidRPr="0018386D" w:rsidRDefault="006C0594" w:rsidP="00DD3106">
            <w:pPr>
              <w:pStyle w:val="TableText"/>
              <w:spacing w:before="40" w:after="40"/>
            </w:pPr>
            <w:proofErr w:type="spellStart"/>
            <w:r w:rsidRPr="0018386D">
              <w:t>tkm</w:t>
            </w:r>
            <w:proofErr w:type="spellEnd"/>
          </w:p>
        </w:tc>
        <w:tc>
          <w:tcPr>
            <w:tcW w:w="1021" w:type="dxa"/>
            <w:shd w:val="clear" w:color="000000" w:fill="D2DDE1"/>
            <w:noWrap/>
            <w:vAlign w:val="bottom"/>
            <w:hideMark/>
          </w:tcPr>
          <w:p w14:paraId="24859AFE" w14:textId="3C97F399" w:rsidR="006C0594" w:rsidRPr="0018386D" w:rsidRDefault="006C0594" w:rsidP="00DD3106">
            <w:pPr>
              <w:pStyle w:val="TableText"/>
              <w:spacing w:before="40" w:after="40"/>
            </w:pPr>
            <w:r w:rsidRPr="0018386D">
              <w:t>2.3</w:t>
            </w:r>
            <w:r w:rsidR="00356B87" w:rsidRPr="0018386D">
              <w:t>77</w:t>
            </w:r>
          </w:p>
        </w:tc>
        <w:tc>
          <w:tcPr>
            <w:tcW w:w="1280" w:type="dxa"/>
            <w:shd w:val="clear" w:color="000000" w:fill="FFFFFF"/>
            <w:noWrap/>
            <w:vAlign w:val="bottom"/>
            <w:hideMark/>
          </w:tcPr>
          <w:p w14:paraId="3497BA05" w14:textId="2C691B89" w:rsidR="006C0594" w:rsidRPr="0018386D" w:rsidRDefault="006C0594" w:rsidP="00DD3106">
            <w:pPr>
              <w:pStyle w:val="TableText"/>
              <w:spacing w:before="40" w:after="40"/>
            </w:pPr>
            <w:r w:rsidRPr="0018386D">
              <w:t>2.35</w:t>
            </w:r>
            <w:r w:rsidR="009132F7" w:rsidRPr="0018386D">
              <w:t>2</w:t>
            </w:r>
          </w:p>
        </w:tc>
        <w:tc>
          <w:tcPr>
            <w:tcW w:w="1280" w:type="dxa"/>
            <w:shd w:val="clear" w:color="000000" w:fill="FFFFFF"/>
            <w:noWrap/>
            <w:vAlign w:val="bottom"/>
            <w:hideMark/>
          </w:tcPr>
          <w:p w14:paraId="3BC8310D" w14:textId="7BADB731" w:rsidR="006C0594" w:rsidRPr="0018386D" w:rsidRDefault="006C0594" w:rsidP="00DD3106">
            <w:pPr>
              <w:pStyle w:val="TableText"/>
              <w:spacing w:before="40" w:after="40"/>
            </w:pPr>
            <w:r w:rsidRPr="0018386D">
              <w:t>0.00</w:t>
            </w:r>
            <w:r w:rsidR="00FF7F89" w:rsidRPr="0018386D">
              <w:t>19</w:t>
            </w:r>
          </w:p>
        </w:tc>
        <w:tc>
          <w:tcPr>
            <w:tcW w:w="1418" w:type="dxa"/>
            <w:shd w:val="clear" w:color="000000" w:fill="FFFFFF"/>
            <w:noWrap/>
            <w:vAlign w:val="bottom"/>
            <w:hideMark/>
          </w:tcPr>
          <w:p w14:paraId="0A0E9465" w14:textId="0F1E4B91" w:rsidR="006C0594" w:rsidRPr="0018386D" w:rsidRDefault="006C0594" w:rsidP="00DD3106">
            <w:pPr>
              <w:pStyle w:val="TableText"/>
              <w:spacing w:before="40" w:after="40"/>
            </w:pPr>
            <w:r w:rsidRPr="0018386D">
              <w:t>0.022</w:t>
            </w:r>
          </w:p>
        </w:tc>
      </w:tr>
      <w:tr w:rsidR="006C0594" w:rsidRPr="0018386D" w14:paraId="54D0E7F0" w14:textId="77777777" w:rsidTr="00A02453">
        <w:tc>
          <w:tcPr>
            <w:tcW w:w="1134" w:type="dxa"/>
            <w:shd w:val="clear" w:color="000000" w:fill="FFFFFF"/>
            <w:noWrap/>
            <w:vAlign w:val="bottom"/>
            <w:hideMark/>
          </w:tcPr>
          <w:p w14:paraId="2C1FE47B" w14:textId="77777777" w:rsidR="006C0594" w:rsidRPr="0018386D" w:rsidRDefault="006C0594" w:rsidP="00DD3106">
            <w:pPr>
              <w:pStyle w:val="TableText"/>
              <w:spacing w:before="40" w:after="40"/>
            </w:pPr>
            <w:r w:rsidRPr="0018386D">
              <w:t>Short haul</w:t>
            </w:r>
          </w:p>
        </w:tc>
        <w:tc>
          <w:tcPr>
            <w:tcW w:w="567" w:type="dxa"/>
            <w:shd w:val="clear" w:color="000000" w:fill="FFFFFF"/>
            <w:noWrap/>
            <w:vAlign w:val="bottom"/>
            <w:hideMark/>
          </w:tcPr>
          <w:p w14:paraId="5E8D1D6C" w14:textId="77777777" w:rsidR="006C0594" w:rsidRPr="0018386D" w:rsidRDefault="006C0594" w:rsidP="00DD3106">
            <w:pPr>
              <w:pStyle w:val="TableText"/>
              <w:spacing w:before="40" w:after="40"/>
            </w:pPr>
            <w:proofErr w:type="spellStart"/>
            <w:r w:rsidRPr="0018386D">
              <w:t>tkm</w:t>
            </w:r>
            <w:proofErr w:type="spellEnd"/>
          </w:p>
        </w:tc>
        <w:tc>
          <w:tcPr>
            <w:tcW w:w="1021" w:type="dxa"/>
            <w:shd w:val="clear" w:color="000000" w:fill="D2DDE1"/>
            <w:noWrap/>
            <w:vAlign w:val="bottom"/>
            <w:hideMark/>
          </w:tcPr>
          <w:p w14:paraId="66AE90CC" w14:textId="45EDAD5F" w:rsidR="006C0594" w:rsidRPr="0018386D" w:rsidRDefault="006C0594" w:rsidP="00DD3106">
            <w:pPr>
              <w:pStyle w:val="TableText"/>
              <w:spacing w:before="40" w:after="40"/>
            </w:pPr>
            <w:r w:rsidRPr="0018386D">
              <w:t>1.2</w:t>
            </w:r>
            <w:r w:rsidR="00356B87" w:rsidRPr="0018386D">
              <w:t>17</w:t>
            </w:r>
          </w:p>
        </w:tc>
        <w:tc>
          <w:tcPr>
            <w:tcW w:w="1280" w:type="dxa"/>
            <w:shd w:val="clear" w:color="000000" w:fill="FFFFFF"/>
            <w:noWrap/>
            <w:vAlign w:val="bottom"/>
            <w:hideMark/>
          </w:tcPr>
          <w:p w14:paraId="51F5D6C6" w14:textId="268D03CB" w:rsidR="006C0594" w:rsidRPr="0018386D" w:rsidRDefault="006C0594" w:rsidP="00DD3106">
            <w:pPr>
              <w:pStyle w:val="TableText"/>
              <w:spacing w:before="40" w:after="40"/>
            </w:pPr>
            <w:r w:rsidRPr="0018386D">
              <w:t>1.2</w:t>
            </w:r>
            <w:r w:rsidR="00D422A2" w:rsidRPr="0018386D">
              <w:t>06</w:t>
            </w:r>
          </w:p>
        </w:tc>
        <w:tc>
          <w:tcPr>
            <w:tcW w:w="1280" w:type="dxa"/>
            <w:shd w:val="clear" w:color="000000" w:fill="FFFFFF"/>
            <w:noWrap/>
            <w:vAlign w:val="bottom"/>
            <w:hideMark/>
          </w:tcPr>
          <w:p w14:paraId="5F3D3CA6" w14:textId="000B1A92" w:rsidR="006C0594" w:rsidRPr="0018386D" w:rsidRDefault="006C0594" w:rsidP="00DD3106">
            <w:pPr>
              <w:pStyle w:val="TableText"/>
              <w:spacing w:before="40" w:after="40"/>
            </w:pPr>
            <w:r w:rsidRPr="0018386D">
              <w:t>0.00008</w:t>
            </w:r>
          </w:p>
        </w:tc>
        <w:tc>
          <w:tcPr>
            <w:tcW w:w="1418" w:type="dxa"/>
            <w:shd w:val="clear" w:color="000000" w:fill="FFFFFF"/>
            <w:noWrap/>
            <w:vAlign w:val="bottom"/>
            <w:hideMark/>
          </w:tcPr>
          <w:p w14:paraId="4B4C9A86" w14:textId="370DE499" w:rsidR="006C0594" w:rsidRPr="0018386D" w:rsidRDefault="006C0594" w:rsidP="00DD3106">
            <w:pPr>
              <w:pStyle w:val="TableText"/>
              <w:spacing w:before="40" w:after="40"/>
            </w:pPr>
            <w:r w:rsidRPr="0018386D">
              <w:t>0.011</w:t>
            </w:r>
          </w:p>
        </w:tc>
      </w:tr>
      <w:tr w:rsidR="006C0594" w:rsidRPr="0018386D" w14:paraId="5AEB82B4" w14:textId="77777777" w:rsidTr="00A02453">
        <w:tc>
          <w:tcPr>
            <w:tcW w:w="1134" w:type="dxa"/>
            <w:shd w:val="clear" w:color="000000" w:fill="FFFFFF"/>
            <w:noWrap/>
            <w:vAlign w:val="bottom"/>
            <w:hideMark/>
          </w:tcPr>
          <w:p w14:paraId="6D5EB32F" w14:textId="77777777" w:rsidR="006C0594" w:rsidRPr="0018386D" w:rsidRDefault="006C0594" w:rsidP="00DD3106">
            <w:pPr>
              <w:pStyle w:val="TableText"/>
              <w:spacing w:before="40" w:after="40"/>
            </w:pPr>
            <w:r w:rsidRPr="0018386D">
              <w:t>Long haul</w:t>
            </w:r>
          </w:p>
        </w:tc>
        <w:tc>
          <w:tcPr>
            <w:tcW w:w="567" w:type="dxa"/>
            <w:shd w:val="clear" w:color="000000" w:fill="FFFFFF"/>
            <w:noWrap/>
            <w:vAlign w:val="bottom"/>
            <w:hideMark/>
          </w:tcPr>
          <w:p w14:paraId="650CF979" w14:textId="77777777" w:rsidR="006C0594" w:rsidRPr="0018386D" w:rsidRDefault="006C0594" w:rsidP="00DD3106">
            <w:pPr>
              <w:pStyle w:val="TableText"/>
              <w:spacing w:before="40" w:after="40"/>
            </w:pPr>
            <w:proofErr w:type="spellStart"/>
            <w:r w:rsidRPr="0018386D">
              <w:t>tkm</w:t>
            </w:r>
            <w:proofErr w:type="spellEnd"/>
          </w:p>
        </w:tc>
        <w:tc>
          <w:tcPr>
            <w:tcW w:w="1021" w:type="dxa"/>
            <w:shd w:val="clear" w:color="000000" w:fill="D2DDE1"/>
            <w:noWrap/>
            <w:vAlign w:val="bottom"/>
            <w:hideMark/>
          </w:tcPr>
          <w:p w14:paraId="3DCB8A46" w14:textId="2B0784A5" w:rsidR="006C0594" w:rsidRPr="0018386D" w:rsidRDefault="006C0594" w:rsidP="00DD3106">
            <w:pPr>
              <w:pStyle w:val="TableText"/>
              <w:spacing w:before="40" w:after="40"/>
            </w:pPr>
            <w:r w:rsidRPr="0018386D">
              <w:t>0.539</w:t>
            </w:r>
          </w:p>
        </w:tc>
        <w:tc>
          <w:tcPr>
            <w:tcW w:w="1280" w:type="dxa"/>
            <w:shd w:val="clear" w:color="000000" w:fill="FFFFFF"/>
            <w:noWrap/>
            <w:vAlign w:val="bottom"/>
            <w:hideMark/>
          </w:tcPr>
          <w:p w14:paraId="448467CF" w14:textId="5A787738" w:rsidR="006C0594" w:rsidRPr="0018386D" w:rsidRDefault="006C0594" w:rsidP="00DD3106">
            <w:pPr>
              <w:pStyle w:val="TableText"/>
              <w:spacing w:before="40" w:after="40"/>
            </w:pPr>
            <w:r w:rsidRPr="0018386D">
              <w:t>0.534</w:t>
            </w:r>
          </w:p>
        </w:tc>
        <w:tc>
          <w:tcPr>
            <w:tcW w:w="1280" w:type="dxa"/>
            <w:shd w:val="clear" w:color="000000" w:fill="FFFFFF"/>
            <w:noWrap/>
            <w:vAlign w:val="bottom"/>
            <w:hideMark/>
          </w:tcPr>
          <w:p w14:paraId="268F5BE0" w14:textId="77777777" w:rsidR="006C0594" w:rsidRPr="0018386D" w:rsidRDefault="006C0594" w:rsidP="00DD3106">
            <w:pPr>
              <w:pStyle w:val="TableText"/>
              <w:spacing w:before="40" w:after="40"/>
            </w:pPr>
            <w:r w:rsidRPr="0018386D">
              <w:t>0.00004</w:t>
            </w:r>
          </w:p>
        </w:tc>
        <w:tc>
          <w:tcPr>
            <w:tcW w:w="1418" w:type="dxa"/>
            <w:shd w:val="clear" w:color="000000" w:fill="FFFFFF"/>
            <w:noWrap/>
            <w:vAlign w:val="bottom"/>
            <w:hideMark/>
          </w:tcPr>
          <w:p w14:paraId="64C45486" w14:textId="3592E5B2" w:rsidR="006C0594" w:rsidRPr="0018386D" w:rsidRDefault="006C0594" w:rsidP="00DD3106">
            <w:pPr>
              <w:pStyle w:val="TableText"/>
              <w:spacing w:before="40" w:after="40"/>
            </w:pPr>
            <w:r w:rsidRPr="0018386D">
              <w:t>0.005</w:t>
            </w:r>
          </w:p>
        </w:tc>
      </w:tr>
    </w:tbl>
    <w:p w14:paraId="5356BE10" w14:textId="77777777" w:rsidR="00181039" w:rsidRPr="0018386D" w:rsidRDefault="00181039" w:rsidP="00DD3106">
      <w:pPr>
        <w:pStyle w:val="Note"/>
      </w:pPr>
      <w:bookmarkStart w:id="691" w:name="_Ref532482365"/>
      <w:r w:rsidRPr="0018386D">
        <w:rPr>
          <w:b/>
          <w:bCs/>
        </w:rPr>
        <w:t>Note</w:t>
      </w:r>
      <w:r w:rsidR="00E97D2C" w:rsidRPr="0018386D">
        <w:rPr>
          <w:b/>
          <w:bCs/>
        </w:rPr>
        <w:t>:</w:t>
      </w:r>
      <w:r w:rsidR="00E97D2C" w:rsidRPr="0018386D">
        <w:t xml:space="preserve"> T</w:t>
      </w:r>
      <w:r w:rsidRPr="0018386D">
        <w:t xml:space="preserve">hese numbers are rounded to three </w:t>
      </w:r>
      <w:r w:rsidR="002011A6" w:rsidRPr="0018386D">
        <w:t xml:space="preserve">decimal places </w:t>
      </w:r>
      <w:r w:rsidRPr="0018386D">
        <w:t xml:space="preserve">unless the number is significantly small. </w:t>
      </w:r>
    </w:p>
    <w:p w14:paraId="63FE034C" w14:textId="70DC55CA" w:rsidR="00B46895" w:rsidRPr="0018386D" w:rsidRDefault="00EB4389" w:rsidP="00DD3106">
      <w:pPr>
        <w:pStyle w:val="Tableheading"/>
      </w:pPr>
      <w:bookmarkStart w:id="692" w:name="Table61"/>
      <w:bookmarkStart w:id="693" w:name="_Toc111536673"/>
      <w:bookmarkStart w:id="694" w:name="_Toc140049001"/>
      <w:bookmarkEnd w:id="691"/>
      <w:r w:rsidRPr="0018386D">
        <w:t xml:space="preserve">Table </w:t>
      </w:r>
      <w:r w:rsidRPr="0018386D">
        <w:fldChar w:fldCharType="begin"/>
      </w:r>
      <w:r w:rsidRPr="0018386D">
        <w:instrText>SEQ Table \* ARABIC</w:instrText>
      </w:r>
      <w:r w:rsidRPr="0018386D">
        <w:fldChar w:fldCharType="separate"/>
      </w:r>
      <w:r w:rsidR="00061BCE" w:rsidRPr="0018386D">
        <w:t>61</w:t>
      </w:r>
      <w:r w:rsidRPr="0018386D">
        <w:fldChar w:fldCharType="end"/>
      </w:r>
      <w:bookmarkEnd w:id="692"/>
      <w:r w:rsidRPr="0018386D">
        <w:t>:</w:t>
      </w:r>
      <w:r w:rsidRPr="0018386D">
        <w:tab/>
      </w:r>
      <w:r w:rsidR="00B46895" w:rsidRPr="0018386D">
        <w:t>Air freight emissions</w:t>
      </w:r>
      <w:r w:rsidR="00303DF3" w:rsidRPr="0018386D">
        <w:t xml:space="preserve"> with</w:t>
      </w:r>
      <w:r w:rsidR="00446FCB" w:rsidRPr="0018386D">
        <w:t xml:space="preserve"> </w:t>
      </w:r>
      <w:r w:rsidR="00303DF3" w:rsidRPr="0018386D">
        <w:t>radiative forcing multiplier</w:t>
      </w:r>
      <w:bookmarkEnd w:id="693"/>
      <w:bookmarkEnd w:id="694"/>
      <w:r w:rsidR="00F27EB4" w:rsidRPr="0018386D">
        <w:t xml:space="preserve"> </w:t>
      </w:r>
    </w:p>
    <w:tbl>
      <w:tblPr>
        <w:tblW w:w="8500" w:type="dxa"/>
        <w:tblCellMar>
          <w:left w:w="85" w:type="dxa"/>
          <w:right w:w="57" w:type="dxa"/>
        </w:tblCellMar>
        <w:tblLook w:val="04A0" w:firstRow="1" w:lastRow="0" w:firstColumn="1" w:lastColumn="0" w:noHBand="0" w:noVBand="1"/>
      </w:tblPr>
      <w:tblGrid>
        <w:gridCol w:w="1488"/>
        <w:gridCol w:w="677"/>
        <w:gridCol w:w="1320"/>
        <w:gridCol w:w="1695"/>
        <w:gridCol w:w="1626"/>
        <w:gridCol w:w="1694"/>
      </w:tblGrid>
      <w:tr w:rsidR="007755EA" w:rsidRPr="0018386D" w14:paraId="43A46043" w14:textId="77777777" w:rsidTr="006C1E3B">
        <w:trPr>
          <w:trHeight w:val="240"/>
        </w:trPr>
        <w:tc>
          <w:tcPr>
            <w:tcW w:w="1471" w:type="dxa"/>
            <w:tcBorders>
              <w:top w:val="nil"/>
              <w:left w:val="nil"/>
              <w:bottom w:val="single" w:sz="4" w:space="0" w:color="1B556B" w:themeColor="text2"/>
              <w:right w:val="nil"/>
            </w:tcBorders>
            <w:shd w:val="clear" w:color="000000" w:fill="1C556C"/>
            <w:noWrap/>
            <w:vAlign w:val="center"/>
            <w:hideMark/>
          </w:tcPr>
          <w:p w14:paraId="2447B18C" w14:textId="1173A6D1" w:rsidR="00C65FE1" w:rsidRPr="0018386D" w:rsidRDefault="00C65FE1" w:rsidP="00DD3106">
            <w:pPr>
              <w:pStyle w:val="TableTextbold"/>
              <w:spacing w:before="40" w:after="40"/>
              <w:rPr>
                <w:color w:val="FFFFFF" w:themeColor="background1"/>
              </w:rPr>
            </w:pPr>
            <w:r w:rsidRPr="0018386D">
              <w:rPr>
                <w:color w:val="FFFFFF" w:themeColor="background1"/>
              </w:rPr>
              <w:t>Emission source</w:t>
            </w:r>
          </w:p>
        </w:tc>
        <w:tc>
          <w:tcPr>
            <w:tcW w:w="669" w:type="dxa"/>
            <w:tcBorders>
              <w:top w:val="nil"/>
              <w:left w:val="nil"/>
              <w:bottom w:val="single" w:sz="4" w:space="0" w:color="1B556B" w:themeColor="text2"/>
              <w:right w:val="nil"/>
            </w:tcBorders>
            <w:shd w:val="clear" w:color="000000" w:fill="1C556C"/>
            <w:noWrap/>
            <w:vAlign w:val="center"/>
            <w:hideMark/>
          </w:tcPr>
          <w:p w14:paraId="6D731FE6" w14:textId="77777777" w:rsidR="00C65FE1" w:rsidRPr="0018386D" w:rsidRDefault="00C65FE1" w:rsidP="00DD3106">
            <w:pPr>
              <w:pStyle w:val="TableTextbold"/>
              <w:spacing w:before="40" w:after="40"/>
              <w:rPr>
                <w:color w:val="FFFFFF" w:themeColor="background1"/>
              </w:rPr>
            </w:pPr>
            <w:r w:rsidRPr="0018386D">
              <w:rPr>
                <w:color w:val="FFFFFF" w:themeColor="background1"/>
              </w:rPr>
              <w:t>Unit</w:t>
            </w:r>
          </w:p>
        </w:tc>
        <w:tc>
          <w:tcPr>
            <w:tcW w:w="1304" w:type="dxa"/>
            <w:tcBorders>
              <w:top w:val="nil"/>
              <w:left w:val="nil"/>
              <w:bottom w:val="single" w:sz="4" w:space="0" w:color="1B556B" w:themeColor="text2"/>
              <w:right w:val="nil"/>
            </w:tcBorders>
            <w:shd w:val="clear" w:color="000000" w:fill="1C556C"/>
            <w:noWrap/>
            <w:vAlign w:val="center"/>
            <w:hideMark/>
          </w:tcPr>
          <w:p w14:paraId="749BA4CD" w14:textId="439F53B1" w:rsidR="00C65FE1" w:rsidRPr="0018386D" w:rsidRDefault="00C65FE1" w:rsidP="00DD3106">
            <w:pPr>
              <w:pStyle w:val="TableTextbold"/>
              <w:spacing w:before="40" w:after="40"/>
              <w:rPr>
                <w:color w:val="FFFFFF" w:themeColor="background1"/>
              </w:rPr>
            </w:pPr>
            <w:r w:rsidRPr="0018386D">
              <w:rPr>
                <w:color w:val="FFFFFF" w:themeColor="background1"/>
              </w:rPr>
              <w:t>kg CO₂-e/unit</w:t>
            </w:r>
          </w:p>
        </w:tc>
        <w:tc>
          <w:tcPr>
            <w:tcW w:w="1675" w:type="dxa"/>
            <w:tcBorders>
              <w:top w:val="nil"/>
              <w:left w:val="nil"/>
              <w:bottom w:val="single" w:sz="4" w:space="0" w:color="1B556B" w:themeColor="text2"/>
              <w:right w:val="nil"/>
            </w:tcBorders>
            <w:shd w:val="clear" w:color="000000" w:fill="1C556C"/>
            <w:noWrap/>
            <w:vAlign w:val="center"/>
            <w:hideMark/>
          </w:tcPr>
          <w:p w14:paraId="120E3C32" w14:textId="760DA11A" w:rsidR="00C65FE1" w:rsidRPr="0018386D" w:rsidRDefault="00C65FE1" w:rsidP="00DD3106">
            <w:pPr>
              <w:pStyle w:val="TableTextbold"/>
              <w:spacing w:before="40" w:after="40"/>
              <w:rPr>
                <w:color w:val="FFFFFF" w:themeColor="background1"/>
              </w:rPr>
            </w:pPr>
            <w:r w:rsidRPr="0018386D">
              <w:rPr>
                <w:color w:val="FFFFFF" w:themeColor="background1"/>
              </w:rPr>
              <w:t>CO₂ (kg CO₂</w:t>
            </w:r>
            <w:r w:rsidRPr="0018386D">
              <w:rPr>
                <w:color w:val="FFFFFF" w:themeColor="background1"/>
              </w:rPr>
              <w:noBreakHyphen/>
              <w:t>e/unit)</w:t>
            </w:r>
          </w:p>
        </w:tc>
        <w:tc>
          <w:tcPr>
            <w:tcW w:w="1607" w:type="dxa"/>
            <w:tcBorders>
              <w:top w:val="nil"/>
              <w:left w:val="nil"/>
              <w:bottom w:val="single" w:sz="4" w:space="0" w:color="1B556B" w:themeColor="text2"/>
              <w:right w:val="nil"/>
            </w:tcBorders>
            <w:shd w:val="clear" w:color="000000" w:fill="1C556C"/>
            <w:noWrap/>
            <w:vAlign w:val="center"/>
            <w:hideMark/>
          </w:tcPr>
          <w:p w14:paraId="4727F70C" w14:textId="65A16EB6" w:rsidR="00C65FE1" w:rsidRPr="0018386D" w:rsidRDefault="00C65FE1" w:rsidP="00DD3106">
            <w:pPr>
              <w:pStyle w:val="TableTextbold"/>
              <w:spacing w:before="40" w:after="40"/>
              <w:rPr>
                <w:color w:val="FFFFFF" w:themeColor="background1"/>
              </w:rPr>
            </w:pPr>
            <w:r w:rsidRPr="0018386D">
              <w:rPr>
                <w:color w:val="FFFFFF" w:themeColor="background1"/>
              </w:rPr>
              <w:t>CH₄ (kg CO₂-e/unit)</w:t>
            </w:r>
          </w:p>
        </w:tc>
        <w:tc>
          <w:tcPr>
            <w:tcW w:w="1674" w:type="dxa"/>
            <w:tcBorders>
              <w:top w:val="nil"/>
              <w:left w:val="nil"/>
              <w:bottom w:val="single" w:sz="4" w:space="0" w:color="1B556B" w:themeColor="text2"/>
              <w:right w:val="nil"/>
            </w:tcBorders>
            <w:shd w:val="clear" w:color="000000" w:fill="1C556C"/>
            <w:noWrap/>
            <w:vAlign w:val="center"/>
            <w:hideMark/>
          </w:tcPr>
          <w:p w14:paraId="633D59A1" w14:textId="213CC37B" w:rsidR="00C65FE1" w:rsidRPr="0018386D" w:rsidRDefault="00C65FE1" w:rsidP="00DD3106">
            <w:pPr>
              <w:pStyle w:val="TableTextbold"/>
              <w:spacing w:before="40" w:after="40"/>
              <w:rPr>
                <w:color w:val="FFFFFF" w:themeColor="background1"/>
              </w:rPr>
            </w:pPr>
            <w:r w:rsidRPr="0018386D">
              <w:rPr>
                <w:color w:val="FFFFFF" w:themeColor="background1"/>
              </w:rPr>
              <w:t>N₂O (kg CO₂-e/unit)</w:t>
            </w:r>
          </w:p>
        </w:tc>
      </w:tr>
      <w:tr w:rsidR="00C65FE1" w:rsidRPr="0018386D" w14:paraId="0354E454" w14:textId="77777777" w:rsidTr="006C1E3B">
        <w:trPr>
          <w:trHeight w:val="240"/>
        </w:trPr>
        <w:tc>
          <w:tcPr>
            <w:tcW w:w="1471" w:type="dxa"/>
            <w:tcBorders>
              <w:top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140DBDF6" w14:textId="33241B7A" w:rsidR="00C65FE1" w:rsidRPr="0018386D" w:rsidRDefault="00C65FE1" w:rsidP="00DD3106">
            <w:pPr>
              <w:pStyle w:val="TableText"/>
              <w:spacing w:before="40" w:after="40"/>
            </w:pPr>
            <w:r w:rsidRPr="0018386D">
              <w:t>Domestic</w:t>
            </w:r>
          </w:p>
        </w:tc>
        <w:tc>
          <w:tcPr>
            <w:tcW w:w="669"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6E3D551D" w14:textId="77777777" w:rsidR="00C65FE1" w:rsidRPr="0018386D" w:rsidRDefault="00C65FE1" w:rsidP="00DD3106">
            <w:pPr>
              <w:pStyle w:val="TableText"/>
              <w:spacing w:before="40" w:after="40"/>
            </w:pPr>
            <w:proofErr w:type="spellStart"/>
            <w:r w:rsidRPr="0018386D">
              <w:t>tkm</w:t>
            </w:r>
            <w:proofErr w:type="spellEnd"/>
          </w:p>
        </w:tc>
        <w:tc>
          <w:tcPr>
            <w:tcW w:w="130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D2DDE1"/>
            <w:noWrap/>
            <w:vAlign w:val="bottom"/>
            <w:hideMark/>
          </w:tcPr>
          <w:p w14:paraId="41F73611" w14:textId="0896E4FE" w:rsidR="00C65FE1" w:rsidRPr="0018386D" w:rsidRDefault="00C65FE1" w:rsidP="00DD3106">
            <w:pPr>
              <w:pStyle w:val="TableText"/>
              <w:spacing w:before="40" w:after="40"/>
            </w:pPr>
            <w:r w:rsidRPr="0018386D">
              <w:t>4.49</w:t>
            </w:r>
            <w:r w:rsidR="00F8213A" w:rsidRPr="0018386D">
              <w:t>4</w:t>
            </w:r>
          </w:p>
        </w:tc>
        <w:tc>
          <w:tcPr>
            <w:tcW w:w="167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43E1FFD2" w14:textId="4753872C" w:rsidR="00C65FE1" w:rsidRPr="0018386D" w:rsidRDefault="00C65FE1" w:rsidP="00DD3106">
            <w:pPr>
              <w:pStyle w:val="TableText"/>
              <w:spacing w:before="40" w:after="40"/>
            </w:pPr>
            <w:r w:rsidRPr="0018386D">
              <w:t>4.4</w:t>
            </w:r>
            <w:r w:rsidR="00AD217C" w:rsidRPr="0018386D">
              <w:t>69</w:t>
            </w:r>
          </w:p>
        </w:tc>
        <w:tc>
          <w:tcPr>
            <w:tcW w:w="1607"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501FE65E" w14:textId="1552A38E" w:rsidR="00C65FE1" w:rsidRPr="0018386D" w:rsidRDefault="00C65FE1" w:rsidP="00DD3106">
            <w:pPr>
              <w:pStyle w:val="TableText"/>
              <w:spacing w:before="40" w:after="40"/>
            </w:pPr>
            <w:r w:rsidRPr="0018386D">
              <w:t>0.00</w:t>
            </w:r>
            <w:r w:rsidR="002847D5" w:rsidRPr="0018386D">
              <w:t>19</w:t>
            </w:r>
          </w:p>
        </w:tc>
        <w:tc>
          <w:tcPr>
            <w:tcW w:w="1674" w:type="dxa"/>
            <w:tcBorders>
              <w:top w:val="single" w:sz="4" w:space="0" w:color="1B556B" w:themeColor="text2"/>
              <w:left w:val="single" w:sz="4" w:space="0" w:color="1B556B" w:themeColor="text2"/>
              <w:bottom w:val="single" w:sz="4" w:space="0" w:color="1B556B" w:themeColor="text2"/>
            </w:tcBorders>
            <w:shd w:val="clear" w:color="000000" w:fill="FFFFFF"/>
            <w:noWrap/>
            <w:vAlign w:val="bottom"/>
            <w:hideMark/>
          </w:tcPr>
          <w:p w14:paraId="72D57E22" w14:textId="5D1BA477" w:rsidR="00C65FE1" w:rsidRPr="0018386D" w:rsidRDefault="00C65FE1" w:rsidP="00DD3106">
            <w:pPr>
              <w:pStyle w:val="TableText"/>
              <w:spacing w:before="40" w:after="40"/>
            </w:pPr>
            <w:r w:rsidRPr="0018386D">
              <w:t>0.022</w:t>
            </w:r>
          </w:p>
        </w:tc>
      </w:tr>
      <w:tr w:rsidR="00C65FE1" w:rsidRPr="0018386D" w14:paraId="62CE61C8" w14:textId="77777777" w:rsidTr="006C1E3B">
        <w:trPr>
          <w:trHeight w:val="240"/>
        </w:trPr>
        <w:tc>
          <w:tcPr>
            <w:tcW w:w="1471" w:type="dxa"/>
            <w:tcBorders>
              <w:top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6AC8154C" w14:textId="77777777" w:rsidR="00C65FE1" w:rsidRPr="0018386D" w:rsidRDefault="00C65FE1" w:rsidP="00DD3106">
            <w:pPr>
              <w:pStyle w:val="TableText"/>
              <w:spacing w:before="40" w:after="40"/>
            </w:pPr>
            <w:r w:rsidRPr="0018386D">
              <w:t>Short haul</w:t>
            </w:r>
          </w:p>
        </w:tc>
        <w:tc>
          <w:tcPr>
            <w:tcW w:w="669"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18E5F9F4" w14:textId="77777777" w:rsidR="00C65FE1" w:rsidRPr="0018386D" w:rsidRDefault="00C65FE1" w:rsidP="00DD3106">
            <w:pPr>
              <w:pStyle w:val="TableText"/>
              <w:spacing w:before="40" w:after="40"/>
            </w:pPr>
            <w:proofErr w:type="spellStart"/>
            <w:r w:rsidRPr="0018386D">
              <w:t>tkm</w:t>
            </w:r>
            <w:proofErr w:type="spellEnd"/>
          </w:p>
        </w:tc>
        <w:tc>
          <w:tcPr>
            <w:tcW w:w="130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D2DDE1"/>
            <w:noWrap/>
            <w:vAlign w:val="bottom"/>
            <w:hideMark/>
          </w:tcPr>
          <w:p w14:paraId="49B2BB10" w14:textId="6363EAC9" w:rsidR="00C65FE1" w:rsidRPr="0018386D" w:rsidRDefault="00C65FE1" w:rsidP="00DD3106">
            <w:pPr>
              <w:pStyle w:val="TableText"/>
              <w:spacing w:before="40" w:after="40"/>
            </w:pPr>
            <w:r w:rsidRPr="0018386D">
              <w:t>2.30</w:t>
            </w:r>
            <w:r w:rsidR="006E6B8E" w:rsidRPr="0018386D">
              <w:t>2</w:t>
            </w:r>
          </w:p>
        </w:tc>
        <w:tc>
          <w:tcPr>
            <w:tcW w:w="167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68BF4235" w14:textId="0B330820" w:rsidR="00C65FE1" w:rsidRPr="0018386D" w:rsidRDefault="00C65FE1" w:rsidP="00DD3106">
            <w:pPr>
              <w:pStyle w:val="TableText"/>
              <w:spacing w:before="40" w:after="40"/>
            </w:pPr>
            <w:r w:rsidRPr="0018386D">
              <w:t>2.29</w:t>
            </w:r>
            <w:r w:rsidR="00EE0BA8" w:rsidRPr="0018386D">
              <w:t>1</w:t>
            </w:r>
          </w:p>
        </w:tc>
        <w:tc>
          <w:tcPr>
            <w:tcW w:w="1607"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0C5BCC97" w14:textId="78E32641" w:rsidR="00C65FE1" w:rsidRPr="0018386D" w:rsidRDefault="00C65FE1" w:rsidP="00DD3106">
            <w:pPr>
              <w:pStyle w:val="TableText"/>
              <w:spacing w:before="40" w:after="40"/>
            </w:pPr>
            <w:r w:rsidRPr="0018386D">
              <w:t>0.00008</w:t>
            </w:r>
          </w:p>
        </w:tc>
        <w:tc>
          <w:tcPr>
            <w:tcW w:w="1674" w:type="dxa"/>
            <w:tcBorders>
              <w:top w:val="single" w:sz="4" w:space="0" w:color="1B556B" w:themeColor="text2"/>
              <w:left w:val="single" w:sz="4" w:space="0" w:color="1B556B" w:themeColor="text2"/>
              <w:bottom w:val="single" w:sz="4" w:space="0" w:color="1B556B" w:themeColor="text2"/>
            </w:tcBorders>
            <w:shd w:val="clear" w:color="000000" w:fill="FFFFFF"/>
            <w:noWrap/>
            <w:vAlign w:val="bottom"/>
            <w:hideMark/>
          </w:tcPr>
          <w:p w14:paraId="38C46E75" w14:textId="469688B2" w:rsidR="00C65FE1" w:rsidRPr="0018386D" w:rsidRDefault="00C65FE1" w:rsidP="00DD3106">
            <w:pPr>
              <w:pStyle w:val="TableText"/>
              <w:spacing w:before="40" w:after="40"/>
            </w:pPr>
            <w:r w:rsidRPr="0018386D">
              <w:t>0.011</w:t>
            </w:r>
          </w:p>
        </w:tc>
      </w:tr>
      <w:tr w:rsidR="00C65FE1" w:rsidRPr="0018386D" w14:paraId="57D7B0EF" w14:textId="77777777" w:rsidTr="006C1E3B">
        <w:trPr>
          <w:trHeight w:val="240"/>
        </w:trPr>
        <w:tc>
          <w:tcPr>
            <w:tcW w:w="1471" w:type="dxa"/>
            <w:tcBorders>
              <w:top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228A2959" w14:textId="77777777" w:rsidR="00C65FE1" w:rsidRPr="0018386D" w:rsidRDefault="00C65FE1" w:rsidP="00DD3106">
            <w:pPr>
              <w:pStyle w:val="TableText"/>
              <w:spacing w:before="40" w:after="40"/>
            </w:pPr>
            <w:r w:rsidRPr="0018386D">
              <w:t>Long haul</w:t>
            </w:r>
          </w:p>
        </w:tc>
        <w:tc>
          <w:tcPr>
            <w:tcW w:w="669"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29610031" w14:textId="77777777" w:rsidR="00C65FE1" w:rsidRPr="0018386D" w:rsidRDefault="00C65FE1" w:rsidP="00DD3106">
            <w:pPr>
              <w:pStyle w:val="TableText"/>
              <w:spacing w:before="40" w:after="40"/>
            </w:pPr>
            <w:proofErr w:type="spellStart"/>
            <w:r w:rsidRPr="0018386D">
              <w:t>tkm</w:t>
            </w:r>
            <w:proofErr w:type="spellEnd"/>
          </w:p>
        </w:tc>
        <w:tc>
          <w:tcPr>
            <w:tcW w:w="130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D2DDE1"/>
            <w:noWrap/>
            <w:vAlign w:val="bottom"/>
            <w:hideMark/>
          </w:tcPr>
          <w:p w14:paraId="09512EDF" w14:textId="5B8B8CF5" w:rsidR="00C65FE1" w:rsidRPr="0018386D" w:rsidRDefault="00C65FE1" w:rsidP="00DD3106">
            <w:pPr>
              <w:pStyle w:val="TableText"/>
              <w:spacing w:before="40" w:after="40"/>
            </w:pPr>
            <w:r w:rsidRPr="0018386D">
              <w:t>1.0</w:t>
            </w:r>
            <w:r w:rsidR="00927740" w:rsidRPr="0018386D">
              <w:t>19</w:t>
            </w:r>
          </w:p>
        </w:tc>
        <w:tc>
          <w:tcPr>
            <w:tcW w:w="167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0A7FD70A" w14:textId="361BE25F" w:rsidR="00C65FE1" w:rsidRPr="0018386D" w:rsidRDefault="00C65FE1" w:rsidP="00DD3106">
            <w:pPr>
              <w:pStyle w:val="TableText"/>
              <w:spacing w:before="40" w:after="40"/>
            </w:pPr>
            <w:r w:rsidRPr="0018386D">
              <w:t>1.01</w:t>
            </w:r>
            <w:r w:rsidR="0058581F" w:rsidRPr="0018386D">
              <w:t>4</w:t>
            </w:r>
          </w:p>
        </w:tc>
        <w:tc>
          <w:tcPr>
            <w:tcW w:w="1607"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000000" w:fill="FFFFFF"/>
            <w:noWrap/>
            <w:vAlign w:val="bottom"/>
            <w:hideMark/>
          </w:tcPr>
          <w:p w14:paraId="65694CAF" w14:textId="77777777" w:rsidR="00C65FE1" w:rsidRPr="0018386D" w:rsidRDefault="00C65FE1" w:rsidP="00DD3106">
            <w:pPr>
              <w:pStyle w:val="TableText"/>
              <w:spacing w:before="40" w:after="40"/>
            </w:pPr>
            <w:r w:rsidRPr="0018386D">
              <w:t>0.00004</w:t>
            </w:r>
          </w:p>
        </w:tc>
        <w:tc>
          <w:tcPr>
            <w:tcW w:w="1674" w:type="dxa"/>
            <w:tcBorders>
              <w:top w:val="single" w:sz="4" w:space="0" w:color="1B556B" w:themeColor="text2"/>
              <w:left w:val="single" w:sz="4" w:space="0" w:color="1B556B" w:themeColor="text2"/>
              <w:bottom w:val="single" w:sz="4" w:space="0" w:color="1B556B" w:themeColor="text2"/>
            </w:tcBorders>
            <w:shd w:val="clear" w:color="000000" w:fill="FFFFFF"/>
            <w:noWrap/>
            <w:vAlign w:val="bottom"/>
            <w:hideMark/>
          </w:tcPr>
          <w:p w14:paraId="13AFBC4E" w14:textId="4C02CF3A" w:rsidR="00C65FE1" w:rsidRPr="0018386D" w:rsidRDefault="00C65FE1" w:rsidP="00DD3106">
            <w:pPr>
              <w:pStyle w:val="TableText"/>
              <w:spacing w:before="40" w:after="40"/>
            </w:pPr>
            <w:r w:rsidRPr="0018386D">
              <w:t>0.005</w:t>
            </w:r>
          </w:p>
        </w:tc>
      </w:tr>
    </w:tbl>
    <w:p w14:paraId="20448E4E" w14:textId="527A43CF" w:rsidR="001A021C" w:rsidRPr="0018386D" w:rsidRDefault="00301928" w:rsidP="00DD3106">
      <w:pPr>
        <w:pStyle w:val="Heading3"/>
        <w:numPr>
          <w:ilvl w:val="2"/>
          <w:numId w:val="8"/>
        </w:numPr>
        <w:spacing w:before="440"/>
      </w:pPr>
      <w:bookmarkStart w:id="695" w:name="_1746366876"/>
      <w:bookmarkStart w:id="696" w:name="_1745997860"/>
      <w:bookmarkStart w:id="697" w:name="_1746254096"/>
      <w:bookmarkStart w:id="698" w:name="_1747051289"/>
      <w:bookmarkStart w:id="699" w:name="_Toc532904928"/>
      <w:bookmarkEnd w:id="695"/>
      <w:bookmarkEnd w:id="696"/>
      <w:bookmarkEnd w:id="697"/>
      <w:bookmarkEnd w:id="698"/>
      <w:r w:rsidRPr="0018386D">
        <w:t xml:space="preserve">GHG </w:t>
      </w:r>
      <w:r w:rsidR="001A021C" w:rsidRPr="0018386D">
        <w:t>inventory development</w:t>
      </w:r>
      <w:bookmarkEnd w:id="699"/>
    </w:p>
    <w:p w14:paraId="6FC14CB5" w14:textId="4998A090" w:rsidR="001A021C" w:rsidRPr="0018386D" w:rsidRDefault="001A021C" w:rsidP="00DD3106">
      <w:pPr>
        <w:pStyle w:val="BodyText"/>
      </w:pPr>
      <w:r w:rsidRPr="0018386D">
        <w:t>Users should collect data on the weight in tonnes of goods freighted</w:t>
      </w:r>
      <w:r w:rsidR="00B46895" w:rsidRPr="0018386D">
        <w:t xml:space="preserve"> by air and </w:t>
      </w:r>
      <w:r w:rsidRPr="0018386D">
        <w:t>the distance travelled. For each journey</w:t>
      </w:r>
      <w:r w:rsidR="00522B0E" w:rsidRPr="0018386D">
        <w:t>, multiply</w:t>
      </w:r>
      <w:r w:rsidRPr="0018386D">
        <w:t xml:space="preserve"> the total tonnes by the total km travelled. </w:t>
      </w:r>
    </w:p>
    <w:p w14:paraId="3826D200" w14:textId="51F74DB7" w:rsidR="00522B0E" w:rsidRPr="0018386D" w:rsidRDefault="00522B0E" w:rsidP="00DD3106">
      <w:pPr>
        <w:pStyle w:val="BodyText"/>
      </w:pPr>
      <w:r w:rsidRPr="0018386D">
        <w:t xml:space="preserve">Applying the equation </w:t>
      </w:r>
      <w:r w:rsidR="00E71782" w:rsidRPr="0018386D">
        <w:t>E</w:t>
      </w:r>
      <w:r w:rsidR="00B37794" w:rsidRPr="0018386D">
        <w:t xml:space="preserve"> </w:t>
      </w:r>
      <w:r w:rsidR="00E71782" w:rsidRPr="0018386D">
        <w:t>= Q x F</w:t>
      </w:r>
      <w:r w:rsidR="00DD7BD6" w:rsidRPr="0018386D">
        <w:t xml:space="preserve"> </w:t>
      </w:r>
      <w:r w:rsidR="00E71782" w:rsidRPr="0018386D">
        <w:t>(</w:t>
      </w:r>
      <w:hyperlink w:anchor="_How_to_quantify" w:history="1">
        <w:r w:rsidR="00DD7BD6" w:rsidRPr="0018386D">
          <w:rPr>
            <w:rStyle w:val="Hyperlink"/>
          </w:rPr>
          <w:t>section 2</w:t>
        </w:r>
      </w:hyperlink>
      <w:r w:rsidR="00E71782" w:rsidRPr="0018386D">
        <w:rPr>
          <w:rStyle w:val="Hyperlink"/>
          <w:color w:val="auto"/>
        </w:rPr>
        <w:t>)</w:t>
      </w:r>
      <w:r w:rsidRPr="0018386D">
        <w:t>, this means:</w:t>
      </w:r>
    </w:p>
    <w:p w14:paraId="3A71B823" w14:textId="63494900" w:rsidR="00E71782" w:rsidRPr="0018386D" w:rsidRDefault="00E71782"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15E91033" w14:textId="432696BD" w:rsidR="001A021C" w:rsidRPr="0018386D" w:rsidRDefault="001A021C" w:rsidP="00DD3106">
      <w:pPr>
        <w:pStyle w:val="BodyText"/>
        <w:tabs>
          <w:tab w:val="left" w:pos="680"/>
          <w:tab w:val="left" w:pos="1134"/>
        </w:tabs>
        <w:contextualSpacing/>
      </w:pPr>
      <w:r w:rsidRPr="0018386D">
        <w:t>Q</w:t>
      </w:r>
      <w:r w:rsidR="004A7BFA" w:rsidRPr="0018386D">
        <w:tab/>
      </w:r>
      <w:r w:rsidRPr="0018386D">
        <w:t>=</w:t>
      </w:r>
      <w:r w:rsidR="004A7BFA" w:rsidRPr="0018386D">
        <w:tab/>
      </w:r>
      <w:r w:rsidRPr="0018386D">
        <w:t>tonnes of freight</w:t>
      </w:r>
      <w:r w:rsidR="00522B0E" w:rsidRPr="0018386D">
        <w:t xml:space="preserve"> × </w:t>
      </w:r>
      <w:r w:rsidRPr="0018386D">
        <w:t>km travelled</w:t>
      </w:r>
    </w:p>
    <w:p w14:paraId="614B89B0" w14:textId="7F61D030" w:rsidR="00FC4007" w:rsidRPr="0018386D" w:rsidRDefault="004A7BFA" w:rsidP="00DD3106">
      <w:pPr>
        <w:pStyle w:val="BodyText"/>
        <w:tabs>
          <w:tab w:val="left" w:pos="680"/>
          <w:tab w:val="left" w:pos="1134"/>
        </w:tabs>
        <w:spacing w:after="240"/>
        <w:contextualSpacing/>
      </w:pPr>
      <w:r w:rsidRPr="0018386D">
        <w:t>F</w:t>
      </w:r>
      <w:r w:rsidRPr="0018386D">
        <w:tab/>
        <w:t>=</w:t>
      </w:r>
      <w:r w:rsidRPr="0018386D">
        <w:tab/>
      </w:r>
      <w:r w:rsidR="009F1DC5" w:rsidRPr="0018386D">
        <w:t>appropriate emission factors in</w:t>
      </w:r>
      <w:r w:rsidR="002352C4" w:rsidRPr="0018386D">
        <w:t xml:space="preserve"> </w:t>
      </w:r>
      <w:hyperlink w:anchor="Table60" w:history="1">
        <w:r w:rsidR="002352C4" w:rsidRPr="0018386D">
          <w:rPr>
            <w:rStyle w:val="Hyperlink"/>
          </w:rPr>
          <w:t>table 6</w:t>
        </w:r>
        <w:r w:rsidR="009A6554" w:rsidRPr="0018386D">
          <w:rPr>
            <w:rStyle w:val="Hyperlink"/>
          </w:rPr>
          <w:t>0</w:t>
        </w:r>
      </w:hyperlink>
      <w:r w:rsidR="002352C4" w:rsidRPr="0018386D">
        <w:t xml:space="preserve"> or </w:t>
      </w:r>
      <w:hyperlink w:anchor="Table61" w:history="1">
        <w:r w:rsidR="002352C4" w:rsidRPr="0018386D">
          <w:rPr>
            <w:rStyle w:val="Hyperlink"/>
          </w:rPr>
          <w:t xml:space="preserve">table </w:t>
        </w:r>
        <w:r w:rsidR="00521227" w:rsidRPr="0018386D">
          <w:rPr>
            <w:rStyle w:val="Hyperlink"/>
          </w:rPr>
          <w:t>6</w:t>
        </w:r>
        <w:r w:rsidR="009A6554" w:rsidRPr="0018386D">
          <w:rPr>
            <w:rStyle w:val="Hyperlink"/>
          </w:rPr>
          <w:t>1</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A51FB7" w:rsidRPr="0018386D" w:rsidDel="00D5390D" w14:paraId="7B1014D4" w14:textId="77777777" w:rsidTr="00D72245">
        <w:tc>
          <w:tcPr>
            <w:tcW w:w="8500" w:type="dxa"/>
            <w:tcBorders>
              <w:top w:val="single" w:sz="4" w:space="0" w:color="0F7B7D"/>
              <w:left w:val="single" w:sz="4" w:space="0" w:color="0F7B7D"/>
              <w:bottom w:val="nil"/>
              <w:right w:val="single" w:sz="4" w:space="0" w:color="0F7B7D"/>
            </w:tcBorders>
            <w:shd w:val="clear" w:color="auto" w:fill="0F7B7D"/>
            <w:vAlign w:val="center"/>
          </w:tcPr>
          <w:p w14:paraId="0A4B051E" w14:textId="3ED4DE32" w:rsidR="00522B0E" w:rsidRPr="0018386D" w:rsidDel="00D5390D" w:rsidRDefault="00F84B66" w:rsidP="00DD3106">
            <w:pPr>
              <w:pStyle w:val="Casestudyheading"/>
            </w:pPr>
            <w:r w:rsidRPr="0018386D">
              <w:lastRenderedPageBreak/>
              <w:t xml:space="preserve">AIR FREIGHT: </w:t>
            </w:r>
            <w:r w:rsidR="00522B0E" w:rsidRPr="0018386D">
              <w:t>Example Calculation</w:t>
            </w:r>
          </w:p>
        </w:tc>
      </w:tr>
      <w:tr w:rsidR="00A51FB7" w:rsidRPr="0018386D" w14:paraId="0CF5BA46" w14:textId="77777777" w:rsidTr="00D72245">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0286FBE6" w14:textId="3ECFB654" w:rsidR="00522B0E" w:rsidRPr="0018386D" w:rsidRDefault="00522B0E" w:rsidP="00DD3106">
            <w:pPr>
              <w:pStyle w:val="Boxtext"/>
              <w:keepNext/>
              <w:spacing w:after="0"/>
            </w:pPr>
            <w:r w:rsidRPr="0018386D">
              <w:t xml:space="preserve">During the reporting period, an organisation </w:t>
            </w:r>
            <w:r w:rsidR="00F84B66" w:rsidRPr="0018386D">
              <w:t xml:space="preserve">air </w:t>
            </w:r>
            <w:r w:rsidRPr="0018386D">
              <w:t>freights 0.5 tonnes of materials 10,000 km</w:t>
            </w:r>
            <w:r w:rsidR="00F84B66" w:rsidRPr="0018386D">
              <w:t>. T</w:t>
            </w:r>
            <w:r w:rsidRPr="0018386D">
              <w:t xml:space="preserve">his </w:t>
            </w:r>
            <w:r w:rsidR="00F84B66" w:rsidRPr="0018386D">
              <w:t>occurs</w:t>
            </w:r>
            <w:r w:rsidRPr="0018386D">
              <w:t xml:space="preserve"> six times in the reporting year. The organisation decides to use emission factors </w:t>
            </w:r>
            <w:r w:rsidR="00303DF3" w:rsidRPr="0018386D">
              <w:t>with the radiative forcing multiplier applied.</w:t>
            </w:r>
          </w:p>
          <w:p w14:paraId="0F7A6785" w14:textId="47C46EC6" w:rsidR="00522B0E" w:rsidRPr="0018386D" w:rsidRDefault="00522B0E" w:rsidP="00DD3106">
            <w:pPr>
              <w:pStyle w:val="Boxtext"/>
              <w:spacing w:after="0"/>
            </w:pPr>
            <w:r w:rsidRPr="0018386D">
              <w:t xml:space="preserve">To calculate </w:t>
            </w:r>
            <w:proofErr w:type="spellStart"/>
            <w:r w:rsidRPr="0018386D">
              <w:t>tkm</w:t>
            </w:r>
            <w:proofErr w:type="spellEnd"/>
            <w:r w:rsidRPr="0018386D">
              <w:t>: 0.5</w:t>
            </w:r>
            <w:r w:rsidR="004D105B" w:rsidRPr="0018386D">
              <w:t xml:space="preserve"> tonnes</w:t>
            </w:r>
            <w:r w:rsidRPr="0018386D">
              <w:t xml:space="preserve"> × 10,000 </w:t>
            </w:r>
            <w:r w:rsidR="004D105B" w:rsidRPr="0018386D">
              <w:t xml:space="preserve">km </w:t>
            </w:r>
            <w:r w:rsidRPr="0018386D">
              <w:t>× 6</w:t>
            </w:r>
            <w:r w:rsidR="005D0D5E" w:rsidRPr="0018386D">
              <w:t xml:space="preserve"> times</w:t>
            </w:r>
            <w:r w:rsidRPr="0018386D">
              <w:t xml:space="preserve"> = 30,000 </w:t>
            </w:r>
            <w:proofErr w:type="spellStart"/>
            <w:r w:rsidRPr="0018386D">
              <w:t>tkm</w:t>
            </w:r>
            <w:proofErr w:type="spellEnd"/>
          </w:p>
          <w:p w14:paraId="65E21F4D" w14:textId="6357A3B1" w:rsidR="00522B0E" w:rsidRPr="0018386D" w:rsidRDefault="00522B0E" w:rsidP="00DD3106">
            <w:pPr>
              <w:pStyle w:val="Boxtext"/>
            </w:pPr>
            <w:r w:rsidRPr="0018386D">
              <w:t>Use long</w:t>
            </w:r>
            <w:r w:rsidR="00F84B66" w:rsidRPr="0018386D">
              <w:t>-</w:t>
            </w:r>
            <w:r w:rsidRPr="0018386D">
              <w:t>haul emission factors because the journey is more than 3,700 km:</w:t>
            </w:r>
          </w:p>
          <w:p w14:paraId="2ED7B07B" w14:textId="602D88AB" w:rsidR="00522B0E" w:rsidRPr="0018386D" w:rsidRDefault="00522B0E" w:rsidP="00DD3106">
            <w:pPr>
              <w:pStyle w:val="Boxtext"/>
              <w:tabs>
                <w:tab w:val="left" w:pos="2865"/>
                <w:tab w:val="left" w:pos="4560"/>
              </w:tabs>
              <w:spacing w:before="20" w:after="20"/>
              <w:ind w:left="850"/>
            </w:pPr>
            <w:r w:rsidRPr="0018386D">
              <w:t>CO</w:t>
            </w:r>
            <w:r w:rsidRPr="0018386D">
              <w:rPr>
                <w:vertAlign w:val="subscript"/>
              </w:rPr>
              <w:t>2</w:t>
            </w:r>
            <w:r w:rsidRPr="0018386D">
              <w:t xml:space="preserve"> emissions </w:t>
            </w:r>
            <w:r w:rsidRPr="0018386D">
              <w:tab/>
              <w:t>= 30,000 × 1.</w:t>
            </w:r>
            <w:r w:rsidR="004563D8" w:rsidRPr="0018386D">
              <w:t>014</w:t>
            </w:r>
            <w:r w:rsidRPr="0018386D">
              <w:t xml:space="preserve"> </w:t>
            </w:r>
            <w:r w:rsidRPr="0018386D">
              <w:tab/>
              <w:t xml:space="preserve">= </w:t>
            </w:r>
            <w:r w:rsidR="00544AB6" w:rsidRPr="0018386D">
              <w:t>30,420</w:t>
            </w:r>
            <w:r w:rsidR="00431E85" w:rsidRPr="0018386D">
              <w:t xml:space="preserve"> </w:t>
            </w:r>
            <w:r w:rsidRPr="0018386D">
              <w:t>kg CO</w:t>
            </w:r>
            <w:r w:rsidRPr="0018386D">
              <w:rPr>
                <w:vertAlign w:val="subscript"/>
              </w:rPr>
              <w:t>2</w:t>
            </w:r>
          </w:p>
          <w:p w14:paraId="239A1A8E" w14:textId="43AB4F12" w:rsidR="00522B0E" w:rsidRPr="0018386D" w:rsidRDefault="00522B0E" w:rsidP="00DD3106">
            <w:pPr>
              <w:pStyle w:val="Boxtext"/>
              <w:tabs>
                <w:tab w:val="left" w:pos="2865"/>
                <w:tab w:val="left" w:pos="4560"/>
              </w:tabs>
              <w:spacing w:before="20" w:after="20"/>
              <w:ind w:left="850"/>
            </w:pPr>
            <w:r w:rsidRPr="0018386D">
              <w:t>CH</w:t>
            </w:r>
            <w:r w:rsidRPr="0018386D">
              <w:rPr>
                <w:vertAlign w:val="subscript"/>
              </w:rPr>
              <w:t>4</w:t>
            </w:r>
            <w:r w:rsidRPr="0018386D">
              <w:t xml:space="preserve"> emissions </w:t>
            </w:r>
            <w:r w:rsidRPr="0018386D">
              <w:tab/>
            </w:r>
            <w:r w:rsidR="00AB4783" w:rsidRPr="0018386D">
              <w:t>= 30,000 × 0.0000</w:t>
            </w:r>
            <w:r w:rsidR="00212370" w:rsidRPr="0018386D">
              <w:t>4</w:t>
            </w:r>
            <w:r w:rsidR="00AB4783" w:rsidRPr="0018386D">
              <w:tab/>
            </w:r>
            <w:r w:rsidRPr="0018386D">
              <w:t>= 1.2 kg CO</w:t>
            </w:r>
            <w:r w:rsidRPr="0018386D">
              <w:rPr>
                <w:vertAlign w:val="subscript"/>
              </w:rPr>
              <w:t>2</w:t>
            </w:r>
            <w:r w:rsidRPr="0018386D">
              <w:t xml:space="preserve">-e </w:t>
            </w:r>
          </w:p>
          <w:p w14:paraId="69F97214" w14:textId="49715335" w:rsidR="00522B0E" w:rsidRPr="0018386D" w:rsidRDefault="00522B0E" w:rsidP="00DD3106">
            <w:pPr>
              <w:pStyle w:val="Boxtext"/>
              <w:tabs>
                <w:tab w:val="left" w:pos="2865"/>
                <w:tab w:val="left" w:pos="4560"/>
              </w:tabs>
              <w:spacing w:before="20" w:after="20"/>
              <w:ind w:left="850"/>
            </w:pPr>
            <w:r w:rsidRPr="0018386D">
              <w:t>N</w:t>
            </w:r>
            <w:r w:rsidRPr="0018386D">
              <w:rPr>
                <w:vertAlign w:val="subscript"/>
              </w:rPr>
              <w:t>2</w:t>
            </w:r>
            <w:r w:rsidRPr="0018386D">
              <w:t>O emissions</w:t>
            </w:r>
            <w:r w:rsidRPr="0018386D">
              <w:tab/>
              <w:t>= 30,000 × 0.00</w:t>
            </w:r>
            <w:r w:rsidR="000941D3" w:rsidRPr="0018386D">
              <w:t>5</w:t>
            </w:r>
            <w:r w:rsidRPr="0018386D">
              <w:t xml:space="preserve"> </w:t>
            </w:r>
            <w:r w:rsidRPr="0018386D">
              <w:tab/>
              <w:t>=</w:t>
            </w:r>
            <w:r w:rsidR="00431E85" w:rsidRPr="0018386D">
              <w:t xml:space="preserve"> </w:t>
            </w:r>
            <w:r w:rsidR="002D30C0" w:rsidRPr="0018386D">
              <w:t>150</w:t>
            </w:r>
            <w:r w:rsidRPr="0018386D">
              <w:t xml:space="preserve"> kg CO</w:t>
            </w:r>
            <w:r w:rsidRPr="0018386D">
              <w:rPr>
                <w:vertAlign w:val="subscript"/>
              </w:rPr>
              <w:t>2</w:t>
            </w:r>
            <w:r w:rsidRPr="0018386D">
              <w:t xml:space="preserve">-e </w:t>
            </w:r>
          </w:p>
          <w:p w14:paraId="219A67D2" w14:textId="0BB5BB54" w:rsidR="00522B0E" w:rsidRPr="0018386D" w:rsidRDefault="00522B0E" w:rsidP="00DD3106">
            <w:pPr>
              <w:pStyle w:val="Boxtext"/>
              <w:tabs>
                <w:tab w:val="left" w:pos="2865"/>
                <w:tab w:val="left" w:pos="4560"/>
              </w:tabs>
              <w:spacing w:before="20" w:after="20"/>
              <w:ind w:left="850"/>
            </w:pPr>
            <w:r w:rsidRPr="0018386D">
              <w:t>Total CO</w:t>
            </w:r>
            <w:r w:rsidRPr="0018386D">
              <w:rPr>
                <w:vertAlign w:val="subscript"/>
              </w:rPr>
              <w:t>2</w:t>
            </w:r>
            <w:r w:rsidRPr="0018386D">
              <w:t>-e emissions</w:t>
            </w:r>
            <w:r w:rsidRPr="0018386D">
              <w:tab/>
              <w:t xml:space="preserve">= 30,000 × </w:t>
            </w:r>
            <w:r w:rsidR="002D30C0" w:rsidRPr="0018386D">
              <w:t>1.0</w:t>
            </w:r>
            <w:r w:rsidR="00917D40" w:rsidRPr="0018386D">
              <w:t>19</w:t>
            </w:r>
            <w:r w:rsidRPr="0018386D">
              <w:t xml:space="preserve"> </w:t>
            </w:r>
            <w:r w:rsidRPr="0018386D">
              <w:tab/>
              <w:t>=</w:t>
            </w:r>
            <w:r w:rsidR="0035388A" w:rsidRPr="0018386D">
              <w:t xml:space="preserve"> </w:t>
            </w:r>
            <w:r w:rsidR="002D30C0" w:rsidRPr="0018386D">
              <w:t>30,</w:t>
            </w:r>
            <w:r w:rsidR="00ED7801" w:rsidRPr="0018386D">
              <w:t>570</w:t>
            </w:r>
            <w:r w:rsidRPr="0018386D">
              <w:t xml:space="preserve"> kg CO</w:t>
            </w:r>
            <w:r w:rsidRPr="0018386D">
              <w:rPr>
                <w:vertAlign w:val="subscript"/>
              </w:rPr>
              <w:t>2</w:t>
            </w:r>
            <w:r w:rsidRPr="0018386D">
              <w:t xml:space="preserve">-e </w:t>
            </w:r>
          </w:p>
          <w:p w14:paraId="008517FB" w14:textId="6D23B797" w:rsidR="00522B0E" w:rsidRPr="0018386D" w:rsidRDefault="00522B0E" w:rsidP="00DD3106">
            <w:pPr>
              <w:pStyle w:val="Boxtext"/>
              <w:spacing w:before="60" w:after="180"/>
            </w:pPr>
            <w:r w:rsidRPr="0018386D">
              <w:rPr>
                <w:sz w:val="18"/>
              </w:rPr>
              <w:t>Note</w:t>
            </w:r>
            <w:r w:rsidR="00F84B66" w:rsidRPr="0018386D">
              <w:rPr>
                <w:sz w:val="18"/>
              </w:rPr>
              <w:t>: N</w:t>
            </w:r>
            <w:r w:rsidRPr="0018386D">
              <w:rPr>
                <w:sz w:val="18"/>
              </w:rPr>
              <w:t>umbers may not add due to rounding</w:t>
            </w:r>
            <w:r w:rsidR="009E1FFB" w:rsidRPr="0018386D">
              <w:rPr>
                <w:sz w:val="18"/>
              </w:rPr>
              <w:t>.</w:t>
            </w:r>
          </w:p>
        </w:tc>
      </w:tr>
    </w:tbl>
    <w:p w14:paraId="65092AC8" w14:textId="39554D90" w:rsidR="0054105F" w:rsidRPr="0018386D" w:rsidRDefault="0054105F" w:rsidP="00DD3106">
      <w:pPr>
        <w:pStyle w:val="Heading3"/>
        <w:numPr>
          <w:ilvl w:val="2"/>
          <w:numId w:val="8"/>
        </w:numPr>
        <w:spacing w:before="400"/>
      </w:pPr>
      <w:bookmarkStart w:id="700" w:name="_Toc532904929"/>
      <w:r w:rsidRPr="0018386D">
        <w:t>Emission factor derivation methodology</w:t>
      </w:r>
      <w:bookmarkEnd w:id="700"/>
    </w:p>
    <w:p w14:paraId="6D3EE8E2" w14:textId="1C649FFD" w:rsidR="000929AE" w:rsidRPr="0018386D" w:rsidRDefault="00522B0E" w:rsidP="00DD3106">
      <w:pPr>
        <w:pStyle w:val="BodyText"/>
        <w:spacing w:before="100" w:after="100"/>
        <w:jc w:val="both"/>
      </w:pPr>
      <w:r w:rsidRPr="0018386D">
        <w:t xml:space="preserve">The methodology paper for the </w:t>
      </w:r>
      <w:hyperlink r:id="rId110" w:history="1">
        <w:r w:rsidR="00AD58A1" w:rsidRPr="0018386D">
          <w:rPr>
            <w:rStyle w:val="Hyperlink"/>
            <w:rFonts w:eastAsia="Times New Roman" w:cs="Times New Roman"/>
          </w:rPr>
          <w:t>UK BEIS emission factors</w:t>
        </w:r>
      </w:hyperlink>
      <w:r w:rsidR="00AD58A1" w:rsidRPr="0018386D">
        <w:rPr>
          <w:rStyle w:val="Hyperlink"/>
          <w:rFonts w:eastAsia="Times New Roman" w:cs="Times New Roman"/>
        </w:rPr>
        <w:t xml:space="preserve"> </w:t>
      </w:r>
      <w:r w:rsidRPr="0018386D">
        <w:t>contains f</w:t>
      </w:r>
      <w:r w:rsidR="000929AE" w:rsidRPr="0018386D">
        <w:t>ull details on the derivation of these emission factors</w:t>
      </w:r>
      <w:r w:rsidR="00766F65" w:rsidRPr="0018386D">
        <w:t>.</w:t>
      </w:r>
    </w:p>
    <w:p w14:paraId="4DFD649A" w14:textId="024012DA" w:rsidR="003E73AA" w:rsidRPr="0018386D" w:rsidRDefault="500DFA64" w:rsidP="00DD3106">
      <w:pPr>
        <w:pStyle w:val="Heading3"/>
        <w:numPr>
          <w:ilvl w:val="2"/>
          <w:numId w:val="8"/>
        </w:numPr>
        <w:jc w:val="both"/>
      </w:pPr>
      <w:bookmarkStart w:id="701" w:name="_Toc532904930"/>
      <w:r w:rsidRPr="0018386D">
        <w:t xml:space="preserve">Assumptions, </w:t>
      </w:r>
      <w:proofErr w:type="gramStart"/>
      <w:r w:rsidRPr="0018386D">
        <w:t>limitations</w:t>
      </w:r>
      <w:proofErr w:type="gramEnd"/>
      <w:r w:rsidRPr="0018386D">
        <w:t xml:space="preserve"> and uncertaintie</w:t>
      </w:r>
      <w:r w:rsidR="4FBF015C" w:rsidRPr="0018386D">
        <w:t>s</w:t>
      </w:r>
      <w:bookmarkEnd w:id="701"/>
    </w:p>
    <w:p w14:paraId="68EB2E48" w14:textId="3E30B0B0" w:rsidR="003E73AA" w:rsidRPr="0018386D" w:rsidRDefault="000929AE" w:rsidP="00DD3106">
      <w:pPr>
        <w:pStyle w:val="BodyText"/>
      </w:pPr>
      <w:r w:rsidRPr="0018386D">
        <w:rPr>
          <w:spacing w:val="-2"/>
        </w:rPr>
        <w:t>As</w:t>
      </w:r>
      <w:r w:rsidR="00E26CFB" w:rsidRPr="0018386D">
        <w:rPr>
          <w:spacing w:val="-2"/>
        </w:rPr>
        <w:t xml:space="preserve"> we adopted</w:t>
      </w:r>
      <w:r w:rsidRPr="0018386D">
        <w:rPr>
          <w:spacing w:val="-2"/>
        </w:rPr>
        <w:t xml:space="preserve"> these emission factors from the UK BEIS emissions for air freight to and from the</w:t>
      </w:r>
      <w:r w:rsidRPr="0018386D">
        <w:t xml:space="preserve"> UK, </w:t>
      </w:r>
      <w:r w:rsidR="00E26CFB" w:rsidRPr="0018386D">
        <w:t>we</w:t>
      </w:r>
      <w:r w:rsidRPr="0018386D">
        <w:t xml:space="preserve"> assume the same factors apply to New Zealand. </w:t>
      </w:r>
      <w:r w:rsidR="00384469" w:rsidRPr="0018386D">
        <w:t>We have not considered t</w:t>
      </w:r>
      <w:r w:rsidRPr="0018386D">
        <w:t>he difference in the size of aircraft transporting domestic air freight</w:t>
      </w:r>
      <w:r w:rsidR="00F84B66" w:rsidRPr="0018386D">
        <w:t xml:space="preserve"> – </w:t>
      </w:r>
      <w:r w:rsidR="00384469" w:rsidRPr="0018386D">
        <w:t>this</w:t>
      </w:r>
      <w:r w:rsidRPr="0018386D">
        <w:t xml:space="preserve"> </w:t>
      </w:r>
      <w:r w:rsidR="00384469" w:rsidRPr="0018386D">
        <w:t xml:space="preserve">limits the </w:t>
      </w:r>
      <w:r w:rsidRPr="0018386D">
        <w:t>accuracy of</w:t>
      </w:r>
      <w:r w:rsidR="00D3757A" w:rsidRPr="0018386D">
        <w:t> </w:t>
      </w:r>
      <w:r w:rsidRPr="0018386D">
        <w:t xml:space="preserve">these emission factors to </w:t>
      </w:r>
      <w:r w:rsidR="00163F41" w:rsidRPr="0018386D">
        <w:t xml:space="preserve">better </w:t>
      </w:r>
      <w:r w:rsidRPr="0018386D">
        <w:t>reflect N</w:t>
      </w:r>
      <w:r w:rsidR="00766F65" w:rsidRPr="0018386D">
        <w:t xml:space="preserve">ew Zealand </w:t>
      </w:r>
      <w:r w:rsidR="00E26CFB" w:rsidRPr="0018386D">
        <w:t xml:space="preserve">domestic </w:t>
      </w:r>
      <w:r w:rsidR="00766F65" w:rsidRPr="0018386D">
        <w:t>air freight.</w:t>
      </w:r>
      <w:r w:rsidR="00DC1038" w:rsidRPr="0018386D">
        <w:t xml:space="preserve"> The</w:t>
      </w:r>
      <w:r w:rsidR="00B24667" w:rsidRPr="0018386D">
        <w:t xml:space="preserve"> methodology paper for the</w:t>
      </w:r>
      <w:r w:rsidR="00DC1038" w:rsidRPr="0018386D">
        <w:t xml:space="preserve"> </w:t>
      </w:r>
      <w:hyperlink r:id="rId111" w:history="1">
        <w:r w:rsidR="00BE555D" w:rsidRPr="0018386D">
          <w:rPr>
            <w:rStyle w:val="Hyperlink"/>
            <w:rFonts w:eastAsia="Times New Roman" w:cs="Times New Roman"/>
          </w:rPr>
          <w:t>UK BEIS</w:t>
        </w:r>
        <w:r w:rsidR="008D6996" w:rsidRPr="0018386D">
          <w:rPr>
            <w:rStyle w:val="Hyperlink"/>
            <w:rFonts w:eastAsia="Times New Roman" w:cs="Times New Roman"/>
          </w:rPr>
          <w:t xml:space="preserve"> </w:t>
        </w:r>
        <w:r w:rsidR="00BE555D" w:rsidRPr="0018386D">
          <w:rPr>
            <w:rStyle w:val="Hyperlink"/>
            <w:rFonts w:eastAsia="Times New Roman" w:cs="Times New Roman"/>
          </w:rPr>
          <w:t>emission factors</w:t>
        </w:r>
      </w:hyperlink>
      <w:r w:rsidR="00BE555D" w:rsidRPr="0018386D">
        <w:rPr>
          <w:rStyle w:val="Hyperlink"/>
          <w:rFonts w:eastAsia="Times New Roman" w:cs="Times New Roman"/>
        </w:rPr>
        <w:t xml:space="preserve"> </w:t>
      </w:r>
      <w:r w:rsidR="00DC1038" w:rsidRPr="0018386D">
        <w:t>goes into more detail behind the GHG conversion factors.</w:t>
      </w:r>
    </w:p>
    <w:p w14:paraId="0FC0792B" w14:textId="52197697" w:rsidR="00766F65" w:rsidRPr="0018386D" w:rsidRDefault="00E26CFB" w:rsidP="00DD3106">
      <w:pPr>
        <w:pStyle w:val="BodyText"/>
      </w:pPr>
      <w:r w:rsidRPr="0018386D">
        <w:t>We included t</w:t>
      </w:r>
      <w:r w:rsidR="00766F65" w:rsidRPr="0018386D">
        <w:t xml:space="preserve">he emission factors with radiative forcing </w:t>
      </w:r>
      <w:r w:rsidR="00A474CF" w:rsidRPr="0018386D">
        <w:t xml:space="preserve">to </w:t>
      </w:r>
      <w:r w:rsidR="00E7560A" w:rsidRPr="0018386D">
        <w:t xml:space="preserve">account for </w:t>
      </w:r>
      <w:r w:rsidR="00CF721D" w:rsidRPr="0018386D">
        <w:t>additional radiative forcing from</w:t>
      </w:r>
      <w:r w:rsidR="00E7560A" w:rsidRPr="0018386D">
        <w:t xml:space="preserve"> emissions arising from aircraft transport at altitude (jet aircraft)</w:t>
      </w:r>
      <w:r w:rsidR="00766F65" w:rsidRPr="0018386D">
        <w:t xml:space="preserve">. </w:t>
      </w:r>
    </w:p>
    <w:p w14:paraId="65092ACB" w14:textId="49D25C31" w:rsidR="00321918" w:rsidRPr="0018386D" w:rsidRDefault="00083837" w:rsidP="00DD3106">
      <w:pPr>
        <w:pStyle w:val="Heading2"/>
        <w:numPr>
          <w:ilvl w:val="1"/>
          <w:numId w:val="8"/>
        </w:numPr>
      </w:pPr>
      <w:bookmarkStart w:id="702" w:name="_Toc532904931"/>
      <w:bookmarkStart w:id="703" w:name="_Toc600592"/>
      <w:bookmarkStart w:id="704" w:name="_Toc140048923"/>
      <w:r w:rsidRPr="0018386D">
        <w:t xml:space="preserve">Coastal </w:t>
      </w:r>
      <w:r w:rsidR="00420B61" w:rsidRPr="0018386D">
        <w:t xml:space="preserve">and </w:t>
      </w:r>
      <w:r w:rsidR="00322289" w:rsidRPr="0018386D">
        <w:t>international shipping</w:t>
      </w:r>
      <w:bookmarkEnd w:id="702"/>
      <w:r w:rsidR="00CC65A4" w:rsidRPr="0018386D">
        <w:t> </w:t>
      </w:r>
      <w:r w:rsidR="00322289" w:rsidRPr="0018386D">
        <w:t>freight</w:t>
      </w:r>
      <w:bookmarkEnd w:id="703"/>
      <w:bookmarkEnd w:id="704"/>
    </w:p>
    <w:p w14:paraId="0F515F16" w14:textId="6BD637C3" w:rsidR="00CF0668" w:rsidRPr="0018386D" w:rsidRDefault="00B84F69" w:rsidP="00DD3106">
      <w:pPr>
        <w:pStyle w:val="BodyText"/>
      </w:pPr>
      <w:r w:rsidRPr="0018386D">
        <w:t>We calculated t</w:t>
      </w:r>
      <w:r w:rsidR="0082354E" w:rsidRPr="0018386D">
        <w:t>he domestic coastal shipping emission factor,</w:t>
      </w:r>
      <w:r w:rsidR="006A1FCE" w:rsidRPr="0018386D">
        <w:t xml:space="preserve"> </w:t>
      </w:r>
      <w:hyperlink w:anchor="Table62" w:history="1">
        <w:r w:rsidR="00585260" w:rsidRPr="0018386D">
          <w:rPr>
            <w:rStyle w:val="Hyperlink"/>
          </w:rPr>
          <w:t>table 62</w:t>
        </w:r>
      </w:hyperlink>
      <w:r w:rsidR="0082354E" w:rsidRPr="0018386D">
        <w:t xml:space="preserve"> based on the findings </w:t>
      </w:r>
      <w:r w:rsidR="00C45F80" w:rsidRPr="0018386D">
        <w:t xml:space="preserve">from the </w:t>
      </w:r>
      <w:proofErr w:type="spellStart"/>
      <w:r w:rsidR="00C45F80" w:rsidRPr="0018386D">
        <w:t>MoT</w:t>
      </w:r>
      <w:proofErr w:type="spellEnd"/>
      <w:r w:rsidR="00C45F80" w:rsidRPr="0018386D">
        <w:t xml:space="preserve"> presentation </w:t>
      </w:r>
      <w:r w:rsidR="00BD2E63" w:rsidRPr="0018386D">
        <w:t>‘</w:t>
      </w:r>
      <w:r w:rsidR="00C45F80" w:rsidRPr="0018386D">
        <w:t>Real-world fuel economy of heavy trucks’</w:t>
      </w:r>
      <w:r w:rsidR="006A1FCE" w:rsidRPr="0018386D">
        <w:t>,</w:t>
      </w:r>
      <w:r w:rsidR="003167D0" w:rsidRPr="0018386D">
        <w:rPr>
          <w:rStyle w:val="FootnoteReference"/>
        </w:rPr>
        <w:footnoteReference w:id="46"/>
      </w:r>
      <w:r w:rsidR="0098024D" w:rsidRPr="0018386D">
        <w:t xml:space="preserve"> prepared for the 2019 Transport Knowledge Conference.</w:t>
      </w:r>
      <w:r w:rsidR="00724C42" w:rsidRPr="0018386D">
        <w:t xml:space="preserve"> </w:t>
      </w:r>
      <w:r w:rsidRPr="0018386D">
        <w:t>We adopted t</w:t>
      </w:r>
      <w:r w:rsidR="0082354E" w:rsidRPr="0018386D">
        <w:t>he international shipping emission factors</w:t>
      </w:r>
      <w:r w:rsidR="00AB3F6F" w:rsidRPr="0018386D">
        <w:t xml:space="preserve"> </w:t>
      </w:r>
      <w:r w:rsidR="0082354E" w:rsidRPr="0018386D">
        <w:t>from the</w:t>
      </w:r>
      <w:r w:rsidR="00BE555D" w:rsidRPr="0018386D">
        <w:t xml:space="preserve"> </w:t>
      </w:r>
      <w:hyperlink r:id="rId112" w:history="1">
        <w:r w:rsidR="00BE555D" w:rsidRPr="0018386D">
          <w:rPr>
            <w:rStyle w:val="Hyperlink"/>
            <w:rFonts w:eastAsia="Times New Roman" w:cs="Times New Roman"/>
          </w:rPr>
          <w:t>UK BEIS emission factors</w:t>
        </w:r>
      </w:hyperlink>
      <w:r w:rsidR="00BE555D" w:rsidRPr="0018386D">
        <w:t>.</w:t>
      </w:r>
      <w:bookmarkStart w:id="705" w:name="_Ref529914460"/>
      <w:bookmarkStart w:id="706" w:name="_Ref529914438"/>
    </w:p>
    <w:p w14:paraId="7C1E4F66" w14:textId="589896C1" w:rsidR="008E2ED2" w:rsidRPr="0018386D" w:rsidRDefault="00EB4389" w:rsidP="00DD3106">
      <w:pPr>
        <w:pStyle w:val="Tableheading"/>
        <w:rPr>
          <w:rFonts w:asciiTheme="minorHAnsi" w:hAnsiTheme="minorHAnsi"/>
        </w:rPr>
      </w:pPr>
      <w:bookmarkStart w:id="707" w:name="Table62"/>
      <w:bookmarkStart w:id="708" w:name="_Toc111536674"/>
      <w:bookmarkStart w:id="709" w:name="_Toc140049002"/>
      <w:bookmarkEnd w:id="705"/>
      <w:r w:rsidRPr="0018386D">
        <w:t xml:space="preserve">Table </w:t>
      </w:r>
      <w:r w:rsidRPr="0018386D">
        <w:fldChar w:fldCharType="begin"/>
      </w:r>
      <w:r w:rsidRPr="0018386D">
        <w:instrText>SEQ Table \* ARABIC</w:instrText>
      </w:r>
      <w:r w:rsidRPr="0018386D">
        <w:fldChar w:fldCharType="separate"/>
      </w:r>
      <w:r w:rsidR="00061BCE" w:rsidRPr="0018386D">
        <w:t>62</w:t>
      </w:r>
      <w:r w:rsidRPr="0018386D">
        <w:fldChar w:fldCharType="end"/>
      </w:r>
      <w:bookmarkEnd w:id="707"/>
      <w:r w:rsidRPr="0018386D">
        <w:t>:</w:t>
      </w:r>
      <w:r w:rsidRPr="0018386D">
        <w:tab/>
      </w:r>
      <w:r w:rsidR="0082354E" w:rsidRPr="0018386D">
        <w:t>Coastal shipping emission factors</w:t>
      </w:r>
      <w:bookmarkStart w:id="710" w:name="_1746366880"/>
      <w:bookmarkStart w:id="711" w:name="_1745997861"/>
      <w:bookmarkStart w:id="712" w:name="_1746254098"/>
      <w:bookmarkStart w:id="713" w:name="_1747051291"/>
      <w:bookmarkEnd w:id="706"/>
      <w:bookmarkEnd w:id="708"/>
      <w:bookmarkEnd w:id="709"/>
      <w:bookmarkEnd w:id="710"/>
      <w:bookmarkEnd w:id="711"/>
      <w:bookmarkEnd w:id="712"/>
      <w:bookmarkEnd w:id="713"/>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557"/>
        <w:gridCol w:w="636"/>
        <w:gridCol w:w="1415"/>
        <w:gridCol w:w="1597"/>
        <w:gridCol w:w="1597"/>
        <w:gridCol w:w="1698"/>
      </w:tblGrid>
      <w:tr w:rsidR="007755EA" w:rsidRPr="0018386D" w14:paraId="3553AB12" w14:textId="77777777" w:rsidTr="00AF434E">
        <w:trPr>
          <w:divId w:val="1842431604"/>
          <w:trHeight w:val="240"/>
        </w:trPr>
        <w:tc>
          <w:tcPr>
            <w:tcW w:w="1247" w:type="dxa"/>
            <w:shd w:val="clear" w:color="auto" w:fill="1B556B" w:themeFill="text2"/>
            <w:noWrap/>
            <w:hideMark/>
          </w:tcPr>
          <w:p w14:paraId="6D5CBCA1" w14:textId="39AEA5E0" w:rsidR="008E2ED2" w:rsidRPr="0018386D" w:rsidRDefault="008E2ED2" w:rsidP="00DD3106">
            <w:pPr>
              <w:pStyle w:val="TableTextbold"/>
              <w:spacing w:before="40" w:after="40"/>
              <w:rPr>
                <w:color w:val="FFFFFF" w:themeColor="background1"/>
              </w:rPr>
            </w:pPr>
            <w:r w:rsidRPr="0018386D">
              <w:rPr>
                <w:color w:val="FFFFFF" w:themeColor="background1"/>
              </w:rPr>
              <w:t>Emission source</w:t>
            </w:r>
          </w:p>
        </w:tc>
        <w:tc>
          <w:tcPr>
            <w:tcW w:w="510" w:type="dxa"/>
            <w:shd w:val="clear" w:color="auto" w:fill="1B556B" w:themeFill="text2"/>
            <w:noWrap/>
            <w:hideMark/>
          </w:tcPr>
          <w:p w14:paraId="19BD69EC"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134" w:type="dxa"/>
            <w:shd w:val="clear" w:color="auto" w:fill="1B556B" w:themeFill="text2"/>
            <w:noWrap/>
            <w:hideMark/>
          </w:tcPr>
          <w:p w14:paraId="129538E9" w14:textId="2288C39E"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280" w:type="dxa"/>
            <w:shd w:val="clear" w:color="auto" w:fill="1B556B" w:themeFill="text2"/>
            <w:noWrap/>
            <w:hideMark/>
          </w:tcPr>
          <w:p w14:paraId="01B502A3" w14:textId="7EB1F55C" w:rsidR="008E2ED2" w:rsidRPr="0018386D" w:rsidRDefault="008E2ED2" w:rsidP="00DD3106">
            <w:pPr>
              <w:pStyle w:val="TableTextbold"/>
              <w:spacing w:before="40" w:after="40"/>
              <w:rPr>
                <w:bCs/>
                <w:color w:val="FFFFFF" w:themeColor="background1"/>
              </w:rPr>
            </w:pPr>
            <w:r w:rsidRPr="0018386D">
              <w:rPr>
                <w:bCs/>
                <w:color w:val="FFFFFF" w:themeColor="background1"/>
              </w:rPr>
              <w:t>CO₂ (kg CO₂</w:t>
            </w:r>
            <w:r w:rsidRPr="0018386D">
              <w:rPr>
                <w:bCs/>
                <w:color w:val="FFFFFF" w:themeColor="background1"/>
              </w:rPr>
              <w:noBreakHyphen/>
              <w:t>e/unit)</w:t>
            </w:r>
          </w:p>
        </w:tc>
        <w:tc>
          <w:tcPr>
            <w:tcW w:w="1280" w:type="dxa"/>
            <w:shd w:val="clear" w:color="auto" w:fill="1B556B" w:themeFill="text2"/>
            <w:noWrap/>
            <w:hideMark/>
          </w:tcPr>
          <w:p w14:paraId="1832DF57" w14:textId="06B7F95E" w:rsidR="008E2ED2" w:rsidRPr="0018386D" w:rsidRDefault="008E2ED2" w:rsidP="00DD3106">
            <w:pPr>
              <w:pStyle w:val="TableTextbold"/>
              <w:spacing w:before="40" w:after="40"/>
              <w:rPr>
                <w:bCs/>
                <w:color w:val="FFFFFF" w:themeColor="background1"/>
              </w:rPr>
            </w:pPr>
            <w:r w:rsidRPr="0018386D">
              <w:rPr>
                <w:bCs/>
                <w:color w:val="FFFFFF" w:themeColor="background1"/>
              </w:rPr>
              <w:t>CH₄ (kg CO₂-e/unit)</w:t>
            </w:r>
          </w:p>
        </w:tc>
        <w:tc>
          <w:tcPr>
            <w:tcW w:w="1361" w:type="dxa"/>
            <w:shd w:val="clear" w:color="auto" w:fill="1B556B" w:themeFill="text2"/>
            <w:noWrap/>
            <w:hideMark/>
          </w:tcPr>
          <w:p w14:paraId="72AEC1F4" w14:textId="59EFB463" w:rsidR="008E2ED2" w:rsidRPr="0018386D" w:rsidRDefault="008E2ED2" w:rsidP="00DD3106">
            <w:pPr>
              <w:pStyle w:val="TableTextbold"/>
              <w:spacing w:before="40" w:after="40"/>
              <w:rPr>
                <w:bCs/>
                <w:color w:val="FFFFFF" w:themeColor="background1"/>
              </w:rPr>
            </w:pPr>
            <w:r w:rsidRPr="0018386D">
              <w:rPr>
                <w:bCs/>
                <w:color w:val="FFFFFF" w:themeColor="background1"/>
              </w:rPr>
              <w:t>N₂O (kg CO₂-e/unit)</w:t>
            </w:r>
          </w:p>
        </w:tc>
      </w:tr>
      <w:tr w:rsidR="00AF434E" w:rsidRPr="0018386D" w14:paraId="30A4EA7C" w14:textId="77777777" w:rsidTr="00AF434E">
        <w:trPr>
          <w:divId w:val="1842431604"/>
          <w:trHeight w:val="240"/>
        </w:trPr>
        <w:tc>
          <w:tcPr>
            <w:tcW w:w="1247" w:type="dxa"/>
            <w:shd w:val="clear" w:color="000000" w:fill="FFFFFF"/>
            <w:noWrap/>
            <w:hideMark/>
          </w:tcPr>
          <w:p w14:paraId="65D6AE13" w14:textId="77777777" w:rsidR="008E2ED2" w:rsidRPr="0018386D" w:rsidRDefault="008E2ED2" w:rsidP="00DD3106">
            <w:pPr>
              <w:pStyle w:val="TableText"/>
              <w:spacing w:before="40" w:after="40"/>
            </w:pPr>
            <w:r w:rsidRPr="0018386D">
              <w:t>Oil products</w:t>
            </w:r>
          </w:p>
        </w:tc>
        <w:tc>
          <w:tcPr>
            <w:tcW w:w="510" w:type="dxa"/>
            <w:shd w:val="clear" w:color="000000" w:fill="FFFFFF"/>
            <w:noWrap/>
            <w:hideMark/>
          </w:tcPr>
          <w:p w14:paraId="77E0F540" w14:textId="77777777" w:rsidR="008E2ED2" w:rsidRPr="0018386D" w:rsidRDefault="008E2ED2" w:rsidP="00DD3106">
            <w:pPr>
              <w:pStyle w:val="TableText"/>
              <w:spacing w:before="40" w:after="40"/>
            </w:pPr>
            <w:proofErr w:type="spellStart"/>
            <w:r w:rsidRPr="0018386D">
              <w:t>tkm</w:t>
            </w:r>
            <w:proofErr w:type="spellEnd"/>
          </w:p>
        </w:tc>
        <w:tc>
          <w:tcPr>
            <w:tcW w:w="1134" w:type="dxa"/>
            <w:shd w:val="clear" w:color="000000" w:fill="D2DDE1"/>
            <w:noWrap/>
            <w:hideMark/>
          </w:tcPr>
          <w:p w14:paraId="0C2D9D1A" w14:textId="5BE82F4D" w:rsidR="008E2ED2" w:rsidRPr="0018386D" w:rsidRDefault="008E2ED2" w:rsidP="00DD3106">
            <w:pPr>
              <w:pStyle w:val="TableText"/>
              <w:spacing w:before="40" w:after="40"/>
            </w:pPr>
            <w:r w:rsidRPr="0018386D">
              <w:t>0.0160</w:t>
            </w:r>
          </w:p>
        </w:tc>
        <w:tc>
          <w:tcPr>
            <w:tcW w:w="1280" w:type="dxa"/>
            <w:shd w:val="clear" w:color="000000" w:fill="FFFFFF"/>
            <w:noWrap/>
            <w:hideMark/>
          </w:tcPr>
          <w:p w14:paraId="4CF0A3DE" w14:textId="756B880B" w:rsidR="008E2ED2" w:rsidRPr="0018386D" w:rsidRDefault="008E2ED2" w:rsidP="00DD3106">
            <w:pPr>
              <w:pStyle w:val="TableText"/>
              <w:spacing w:before="40" w:after="40"/>
            </w:pPr>
            <w:r w:rsidRPr="0018386D">
              <w:t>0.0159</w:t>
            </w:r>
          </w:p>
        </w:tc>
        <w:tc>
          <w:tcPr>
            <w:tcW w:w="1280" w:type="dxa"/>
            <w:shd w:val="clear" w:color="000000" w:fill="FFFFFF"/>
            <w:noWrap/>
            <w:hideMark/>
          </w:tcPr>
          <w:p w14:paraId="46CB690B" w14:textId="77777777" w:rsidR="008E2ED2" w:rsidRPr="0018386D" w:rsidRDefault="008E2ED2" w:rsidP="00DD3106">
            <w:pPr>
              <w:pStyle w:val="TableText"/>
              <w:spacing w:before="40" w:after="40"/>
            </w:pPr>
            <w:r w:rsidRPr="0018386D">
              <w:t>0.00004</w:t>
            </w:r>
          </w:p>
        </w:tc>
        <w:tc>
          <w:tcPr>
            <w:tcW w:w="1361" w:type="dxa"/>
            <w:shd w:val="clear" w:color="000000" w:fill="FFFFFF"/>
            <w:noWrap/>
            <w:hideMark/>
          </w:tcPr>
          <w:p w14:paraId="0489AC55" w14:textId="77777777" w:rsidR="008E2ED2" w:rsidRPr="0018386D" w:rsidRDefault="008E2ED2" w:rsidP="00DD3106">
            <w:pPr>
              <w:pStyle w:val="TableText"/>
              <w:spacing w:before="40" w:after="40"/>
            </w:pPr>
            <w:r w:rsidRPr="0018386D">
              <w:t>0.0001</w:t>
            </w:r>
          </w:p>
        </w:tc>
      </w:tr>
      <w:tr w:rsidR="00AF434E" w:rsidRPr="0018386D" w14:paraId="285FC2CB" w14:textId="77777777" w:rsidTr="00AF434E">
        <w:trPr>
          <w:divId w:val="1842431604"/>
          <w:trHeight w:val="240"/>
        </w:trPr>
        <w:tc>
          <w:tcPr>
            <w:tcW w:w="1247" w:type="dxa"/>
            <w:shd w:val="clear" w:color="000000" w:fill="FFFFFF"/>
            <w:noWrap/>
            <w:hideMark/>
          </w:tcPr>
          <w:p w14:paraId="41C453F7" w14:textId="394EFD7D" w:rsidR="008E2ED2" w:rsidRPr="0018386D" w:rsidRDefault="008E2ED2" w:rsidP="00DD3106">
            <w:pPr>
              <w:pStyle w:val="TableText"/>
              <w:spacing w:before="40" w:after="40"/>
            </w:pPr>
            <w:r w:rsidRPr="0018386D">
              <w:t>Other bulk</w:t>
            </w:r>
          </w:p>
        </w:tc>
        <w:tc>
          <w:tcPr>
            <w:tcW w:w="510" w:type="dxa"/>
            <w:shd w:val="clear" w:color="000000" w:fill="FFFFFF"/>
            <w:noWrap/>
            <w:hideMark/>
          </w:tcPr>
          <w:p w14:paraId="23D5F80F" w14:textId="77777777" w:rsidR="008E2ED2" w:rsidRPr="0018386D" w:rsidRDefault="008E2ED2" w:rsidP="00DD3106">
            <w:pPr>
              <w:pStyle w:val="TableText"/>
              <w:spacing w:before="40" w:after="40"/>
            </w:pPr>
            <w:proofErr w:type="spellStart"/>
            <w:r w:rsidRPr="0018386D">
              <w:t>tkm</w:t>
            </w:r>
            <w:proofErr w:type="spellEnd"/>
          </w:p>
        </w:tc>
        <w:tc>
          <w:tcPr>
            <w:tcW w:w="1134" w:type="dxa"/>
            <w:shd w:val="clear" w:color="000000" w:fill="D2DDE1"/>
            <w:noWrap/>
            <w:hideMark/>
          </w:tcPr>
          <w:p w14:paraId="629A1C4E" w14:textId="265F890A" w:rsidR="008E2ED2" w:rsidRPr="0018386D" w:rsidRDefault="008E2ED2" w:rsidP="00DD3106">
            <w:pPr>
              <w:pStyle w:val="TableText"/>
              <w:spacing w:before="40" w:after="40"/>
            </w:pPr>
            <w:r w:rsidRPr="0018386D">
              <w:t>0.0300</w:t>
            </w:r>
          </w:p>
        </w:tc>
        <w:tc>
          <w:tcPr>
            <w:tcW w:w="1280" w:type="dxa"/>
            <w:shd w:val="clear" w:color="000000" w:fill="FFFFFF"/>
            <w:noWrap/>
            <w:hideMark/>
          </w:tcPr>
          <w:p w14:paraId="4D3CD9C4" w14:textId="3A191C4D" w:rsidR="008E2ED2" w:rsidRPr="0018386D" w:rsidRDefault="008E2ED2" w:rsidP="00DD3106">
            <w:pPr>
              <w:pStyle w:val="TableText"/>
              <w:spacing w:before="40" w:after="40"/>
            </w:pPr>
            <w:r w:rsidRPr="0018386D">
              <w:t>0.0297</w:t>
            </w:r>
          </w:p>
        </w:tc>
        <w:tc>
          <w:tcPr>
            <w:tcW w:w="1280" w:type="dxa"/>
            <w:shd w:val="clear" w:color="000000" w:fill="FFFFFF"/>
            <w:noWrap/>
            <w:hideMark/>
          </w:tcPr>
          <w:p w14:paraId="327B1097" w14:textId="705F7D60" w:rsidR="008E2ED2" w:rsidRPr="0018386D" w:rsidRDefault="008E2ED2" w:rsidP="00DD3106">
            <w:pPr>
              <w:pStyle w:val="TableText"/>
              <w:spacing w:before="40" w:after="40"/>
            </w:pPr>
            <w:r w:rsidRPr="0018386D">
              <w:t>0.00008</w:t>
            </w:r>
          </w:p>
        </w:tc>
        <w:tc>
          <w:tcPr>
            <w:tcW w:w="1361" w:type="dxa"/>
            <w:shd w:val="clear" w:color="000000" w:fill="FFFFFF"/>
            <w:noWrap/>
            <w:hideMark/>
          </w:tcPr>
          <w:p w14:paraId="36384946" w14:textId="77777777" w:rsidR="008E2ED2" w:rsidRPr="0018386D" w:rsidRDefault="008E2ED2" w:rsidP="00DD3106">
            <w:pPr>
              <w:pStyle w:val="TableText"/>
              <w:spacing w:before="40" w:after="40"/>
            </w:pPr>
            <w:r w:rsidRPr="0018386D">
              <w:t>0.0002</w:t>
            </w:r>
          </w:p>
        </w:tc>
      </w:tr>
      <w:tr w:rsidR="00AF434E" w:rsidRPr="0018386D" w14:paraId="44189773" w14:textId="77777777" w:rsidTr="00AF434E">
        <w:trPr>
          <w:divId w:val="1842431604"/>
          <w:trHeight w:val="240"/>
        </w:trPr>
        <w:tc>
          <w:tcPr>
            <w:tcW w:w="1247" w:type="dxa"/>
            <w:shd w:val="clear" w:color="000000" w:fill="FFFFFF"/>
            <w:noWrap/>
            <w:hideMark/>
          </w:tcPr>
          <w:p w14:paraId="7CC0C0B5" w14:textId="77777777" w:rsidR="008E2ED2" w:rsidRPr="0018386D" w:rsidRDefault="008E2ED2" w:rsidP="00DD3106">
            <w:pPr>
              <w:pStyle w:val="TableText"/>
              <w:spacing w:before="40" w:after="40"/>
            </w:pPr>
            <w:r w:rsidRPr="0018386D">
              <w:t>Container freight</w:t>
            </w:r>
          </w:p>
        </w:tc>
        <w:tc>
          <w:tcPr>
            <w:tcW w:w="510" w:type="dxa"/>
            <w:shd w:val="clear" w:color="000000" w:fill="FFFFFF"/>
            <w:noWrap/>
            <w:hideMark/>
          </w:tcPr>
          <w:p w14:paraId="09ADCD3A" w14:textId="77777777" w:rsidR="008E2ED2" w:rsidRPr="0018386D" w:rsidRDefault="008E2ED2" w:rsidP="00DD3106">
            <w:pPr>
              <w:pStyle w:val="TableText"/>
              <w:spacing w:before="40" w:after="40"/>
            </w:pPr>
            <w:proofErr w:type="spellStart"/>
            <w:r w:rsidRPr="0018386D">
              <w:t>tkm</w:t>
            </w:r>
            <w:proofErr w:type="spellEnd"/>
          </w:p>
        </w:tc>
        <w:tc>
          <w:tcPr>
            <w:tcW w:w="1134" w:type="dxa"/>
            <w:shd w:val="clear" w:color="000000" w:fill="D2DDE1"/>
            <w:noWrap/>
            <w:hideMark/>
          </w:tcPr>
          <w:p w14:paraId="6BA6EC14" w14:textId="028F4616" w:rsidR="008E2ED2" w:rsidRPr="0018386D" w:rsidRDefault="008E2ED2" w:rsidP="00DD3106">
            <w:pPr>
              <w:pStyle w:val="TableText"/>
              <w:spacing w:before="40" w:after="40"/>
            </w:pPr>
            <w:r w:rsidRPr="0018386D">
              <w:t>0.0460</w:t>
            </w:r>
          </w:p>
        </w:tc>
        <w:tc>
          <w:tcPr>
            <w:tcW w:w="1280" w:type="dxa"/>
            <w:shd w:val="clear" w:color="000000" w:fill="FFFFFF"/>
            <w:noWrap/>
            <w:hideMark/>
          </w:tcPr>
          <w:p w14:paraId="7DBBBC70" w14:textId="4D8078C8" w:rsidR="008E2ED2" w:rsidRPr="0018386D" w:rsidRDefault="008E2ED2" w:rsidP="00DD3106">
            <w:pPr>
              <w:pStyle w:val="TableText"/>
              <w:spacing w:before="40" w:after="40"/>
            </w:pPr>
            <w:r w:rsidRPr="0018386D">
              <w:t>0.0456</w:t>
            </w:r>
          </w:p>
        </w:tc>
        <w:tc>
          <w:tcPr>
            <w:tcW w:w="1280" w:type="dxa"/>
            <w:shd w:val="clear" w:color="000000" w:fill="FFFFFF"/>
            <w:noWrap/>
            <w:hideMark/>
          </w:tcPr>
          <w:p w14:paraId="26391A96" w14:textId="77777777" w:rsidR="008E2ED2" w:rsidRPr="0018386D" w:rsidRDefault="008E2ED2" w:rsidP="00DD3106">
            <w:pPr>
              <w:pStyle w:val="TableText"/>
              <w:spacing w:before="40" w:after="40"/>
            </w:pPr>
            <w:r w:rsidRPr="0018386D">
              <w:t>0.0001</w:t>
            </w:r>
          </w:p>
        </w:tc>
        <w:tc>
          <w:tcPr>
            <w:tcW w:w="1361" w:type="dxa"/>
            <w:shd w:val="clear" w:color="000000" w:fill="FFFFFF"/>
            <w:noWrap/>
            <w:hideMark/>
          </w:tcPr>
          <w:p w14:paraId="77BDB6BE" w14:textId="54A672BD" w:rsidR="008E2ED2" w:rsidRPr="0018386D" w:rsidRDefault="008E2ED2" w:rsidP="00DD3106">
            <w:pPr>
              <w:pStyle w:val="TableText"/>
              <w:spacing w:before="40" w:after="40"/>
            </w:pPr>
            <w:r w:rsidRPr="0018386D">
              <w:t>0.0003</w:t>
            </w:r>
          </w:p>
        </w:tc>
      </w:tr>
    </w:tbl>
    <w:p w14:paraId="2932228C" w14:textId="212F28CD" w:rsidR="00B84F69" w:rsidRPr="0018386D" w:rsidRDefault="00B84F69" w:rsidP="00DD3106">
      <w:pPr>
        <w:pStyle w:val="Note"/>
      </w:pPr>
      <w:bookmarkStart w:id="714" w:name="_Hlk532819507"/>
      <w:bookmarkStart w:id="715" w:name="_Ref529919506"/>
      <w:r w:rsidRPr="0018386D">
        <w:rPr>
          <w:b/>
          <w:bCs/>
        </w:rPr>
        <w:t>Note</w:t>
      </w:r>
      <w:r w:rsidR="004A7BFA" w:rsidRPr="0018386D">
        <w:rPr>
          <w:b/>
          <w:bCs/>
        </w:rPr>
        <w:t>:</w:t>
      </w:r>
      <w:r w:rsidR="004A7BFA" w:rsidRPr="0018386D">
        <w:t xml:space="preserve"> T</w:t>
      </w:r>
      <w:r w:rsidRPr="0018386D">
        <w:t xml:space="preserve">hese numbers are rounded to three decimal places unless the number is significantly small. </w:t>
      </w:r>
    </w:p>
    <w:p w14:paraId="2DD58E15" w14:textId="1DA3F8EA" w:rsidR="00FD76D5" w:rsidRPr="0018386D" w:rsidRDefault="00EB4389" w:rsidP="00DD3106">
      <w:pPr>
        <w:pStyle w:val="Tableheading"/>
        <w:rPr>
          <w:bCs/>
        </w:rPr>
      </w:pPr>
      <w:bookmarkStart w:id="716" w:name="_Toc111536675"/>
      <w:bookmarkStart w:id="717" w:name="_Toc140049003"/>
      <w:bookmarkStart w:id="718" w:name="Table63"/>
      <w:bookmarkEnd w:id="714"/>
      <w:bookmarkEnd w:id="715"/>
      <w:r w:rsidRPr="0018386D">
        <w:lastRenderedPageBreak/>
        <w:t xml:space="preserve">Table </w:t>
      </w:r>
      <w:r w:rsidRPr="0018386D">
        <w:fldChar w:fldCharType="begin"/>
      </w:r>
      <w:r w:rsidRPr="0018386D">
        <w:instrText>SEQ Table \* ARABIC</w:instrText>
      </w:r>
      <w:r w:rsidRPr="0018386D">
        <w:fldChar w:fldCharType="separate"/>
      </w:r>
      <w:r w:rsidR="00061BCE" w:rsidRPr="0018386D">
        <w:t>63</w:t>
      </w:r>
      <w:r w:rsidRPr="0018386D">
        <w:fldChar w:fldCharType="end"/>
      </w:r>
      <w:r w:rsidRPr="0018386D">
        <w:t>:</w:t>
      </w:r>
      <w:r w:rsidRPr="0018386D">
        <w:tab/>
      </w:r>
      <w:r w:rsidR="00DB53B1" w:rsidRPr="0018386D">
        <w:t>International shipping emission factors</w:t>
      </w:r>
      <w:bookmarkEnd w:id="716"/>
      <w:bookmarkEnd w:id="717"/>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230"/>
        <w:gridCol w:w="1902"/>
        <w:gridCol w:w="561"/>
        <w:gridCol w:w="1063"/>
        <w:gridCol w:w="1231"/>
        <w:gridCol w:w="1231"/>
        <w:gridCol w:w="1287"/>
      </w:tblGrid>
      <w:tr w:rsidR="00D86FE8" w:rsidRPr="0018386D" w14:paraId="68BE7642" w14:textId="77777777" w:rsidTr="0075540B">
        <w:trPr>
          <w:divId w:val="1140003949"/>
          <w:trHeight w:val="240"/>
        </w:trPr>
        <w:tc>
          <w:tcPr>
            <w:tcW w:w="1247" w:type="dxa"/>
            <w:shd w:val="clear" w:color="auto" w:fill="1B556B" w:themeFill="text2"/>
            <w:noWrap/>
            <w:vAlign w:val="bottom"/>
            <w:hideMark/>
          </w:tcPr>
          <w:p w14:paraId="392CA3FB" w14:textId="37A5BFE6" w:rsidR="008E2ED2" w:rsidRPr="0018386D" w:rsidRDefault="008E2ED2" w:rsidP="00DD3106">
            <w:pPr>
              <w:pStyle w:val="TableText"/>
              <w:spacing w:before="30" w:after="32"/>
              <w:rPr>
                <w:b/>
                <w:bCs/>
                <w:color w:val="FFFFFF" w:themeColor="background1"/>
              </w:rPr>
            </w:pPr>
            <w:bookmarkStart w:id="719" w:name="_1746366883"/>
            <w:bookmarkStart w:id="720" w:name="_1745997862"/>
            <w:bookmarkStart w:id="721" w:name="_1746254099"/>
            <w:bookmarkStart w:id="722" w:name="_1747051292"/>
            <w:bookmarkEnd w:id="719"/>
            <w:bookmarkEnd w:id="720"/>
            <w:bookmarkEnd w:id="721"/>
            <w:bookmarkEnd w:id="722"/>
            <w:r w:rsidRPr="0018386D">
              <w:rPr>
                <w:b/>
                <w:bCs/>
                <w:color w:val="FFFFFF" w:themeColor="background1"/>
              </w:rPr>
              <w:t>Emission source</w:t>
            </w:r>
          </w:p>
        </w:tc>
        <w:tc>
          <w:tcPr>
            <w:tcW w:w="1928" w:type="dxa"/>
            <w:shd w:val="clear" w:color="auto" w:fill="1B556B" w:themeFill="text2"/>
            <w:noWrap/>
            <w:vAlign w:val="bottom"/>
            <w:hideMark/>
          </w:tcPr>
          <w:p w14:paraId="009BAE07" w14:textId="77777777" w:rsidR="008E2ED2" w:rsidRPr="0018386D" w:rsidRDefault="008E2ED2" w:rsidP="00DD3106">
            <w:pPr>
              <w:pStyle w:val="TableText"/>
              <w:spacing w:before="30" w:after="32"/>
              <w:rPr>
                <w:b/>
                <w:bCs/>
                <w:color w:val="FFFFFF" w:themeColor="background1"/>
              </w:rPr>
            </w:pPr>
            <w:r w:rsidRPr="0018386D">
              <w:rPr>
                <w:b/>
                <w:bCs/>
                <w:color w:val="FFFFFF" w:themeColor="background1"/>
              </w:rPr>
              <w:t> </w:t>
            </w:r>
          </w:p>
        </w:tc>
        <w:tc>
          <w:tcPr>
            <w:tcW w:w="567" w:type="dxa"/>
            <w:shd w:val="clear" w:color="auto" w:fill="1B556B" w:themeFill="text2"/>
            <w:noWrap/>
            <w:vAlign w:val="bottom"/>
            <w:hideMark/>
          </w:tcPr>
          <w:p w14:paraId="6F6FEDD9" w14:textId="77777777" w:rsidR="008E2ED2" w:rsidRPr="0018386D" w:rsidRDefault="008E2ED2" w:rsidP="00DD3106">
            <w:pPr>
              <w:pStyle w:val="TableText"/>
              <w:spacing w:before="30" w:after="32"/>
              <w:rPr>
                <w:b/>
                <w:bCs/>
                <w:color w:val="FFFFFF" w:themeColor="background1"/>
              </w:rPr>
            </w:pPr>
            <w:r w:rsidRPr="0018386D">
              <w:rPr>
                <w:b/>
                <w:bCs/>
                <w:color w:val="FFFFFF" w:themeColor="background1"/>
              </w:rPr>
              <w:t>Unit</w:t>
            </w:r>
          </w:p>
        </w:tc>
        <w:tc>
          <w:tcPr>
            <w:tcW w:w="1077" w:type="dxa"/>
            <w:shd w:val="clear" w:color="auto" w:fill="1B556B" w:themeFill="text2"/>
            <w:noWrap/>
            <w:vAlign w:val="bottom"/>
            <w:hideMark/>
          </w:tcPr>
          <w:p w14:paraId="34049D96" w14:textId="5340618B" w:rsidR="008E2ED2" w:rsidRPr="0018386D" w:rsidRDefault="008E2ED2" w:rsidP="00DD3106">
            <w:pPr>
              <w:pStyle w:val="TableText"/>
              <w:spacing w:before="30" w:after="32"/>
              <w:jc w:val="left"/>
              <w:rPr>
                <w:b/>
                <w:bCs/>
                <w:color w:val="FFFFFF" w:themeColor="background1"/>
              </w:rPr>
            </w:pPr>
            <w:r w:rsidRPr="0018386D">
              <w:rPr>
                <w:b/>
                <w:bCs/>
                <w:color w:val="FFFFFF" w:themeColor="background1"/>
              </w:rPr>
              <w:t>kg CO₂-e/</w:t>
            </w:r>
            <w:r w:rsidR="00D86FE8" w:rsidRPr="0018386D">
              <w:rPr>
                <w:b/>
                <w:bCs/>
                <w:color w:val="FFFFFF" w:themeColor="background1"/>
              </w:rPr>
              <w:t xml:space="preserve"> </w:t>
            </w:r>
            <w:r w:rsidRPr="0018386D">
              <w:rPr>
                <w:b/>
                <w:bCs/>
                <w:color w:val="FFFFFF" w:themeColor="background1"/>
              </w:rPr>
              <w:t>unit</w:t>
            </w:r>
          </w:p>
        </w:tc>
        <w:tc>
          <w:tcPr>
            <w:tcW w:w="1247" w:type="dxa"/>
            <w:shd w:val="clear" w:color="auto" w:fill="1B556B" w:themeFill="text2"/>
            <w:noWrap/>
            <w:vAlign w:val="bottom"/>
            <w:hideMark/>
          </w:tcPr>
          <w:p w14:paraId="301E5D55" w14:textId="67EB01F6" w:rsidR="008E2ED2" w:rsidRPr="0018386D" w:rsidRDefault="008E2ED2" w:rsidP="00DD3106">
            <w:pPr>
              <w:pStyle w:val="TableText"/>
              <w:spacing w:before="30" w:after="32"/>
              <w:jc w:val="left"/>
              <w:rPr>
                <w:b/>
                <w:bCs/>
                <w:color w:val="FFFFFF" w:themeColor="background1"/>
              </w:rPr>
            </w:pPr>
            <w:r w:rsidRPr="0018386D">
              <w:rPr>
                <w:b/>
                <w:bCs/>
                <w:color w:val="FFFFFF" w:themeColor="background1"/>
              </w:rPr>
              <w:t>CO₂ (kg CO₂</w:t>
            </w:r>
            <w:r w:rsidRPr="0018386D">
              <w:rPr>
                <w:b/>
                <w:bCs/>
                <w:color w:val="FFFFFF" w:themeColor="background1"/>
              </w:rPr>
              <w:noBreakHyphen/>
              <w:t>e/</w:t>
            </w:r>
            <w:r w:rsidR="00D86FE8" w:rsidRPr="0018386D">
              <w:rPr>
                <w:b/>
                <w:bCs/>
                <w:color w:val="FFFFFF" w:themeColor="background1"/>
              </w:rPr>
              <w:t xml:space="preserve"> </w:t>
            </w:r>
            <w:r w:rsidRPr="0018386D">
              <w:rPr>
                <w:b/>
                <w:bCs/>
                <w:color w:val="FFFFFF" w:themeColor="background1"/>
              </w:rPr>
              <w:t>unit)</w:t>
            </w:r>
          </w:p>
        </w:tc>
        <w:tc>
          <w:tcPr>
            <w:tcW w:w="1247" w:type="dxa"/>
            <w:shd w:val="clear" w:color="auto" w:fill="1B556B" w:themeFill="text2"/>
            <w:noWrap/>
            <w:vAlign w:val="bottom"/>
            <w:hideMark/>
          </w:tcPr>
          <w:p w14:paraId="17EF578E" w14:textId="3DB72CDC" w:rsidR="008E2ED2" w:rsidRPr="0018386D" w:rsidRDefault="008E2ED2" w:rsidP="00DD3106">
            <w:pPr>
              <w:pStyle w:val="TableText"/>
              <w:spacing w:before="30" w:after="32"/>
              <w:jc w:val="left"/>
              <w:rPr>
                <w:b/>
                <w:bCs/>
                <w:color w:val="FFFFFF" w:themeColor="background1"/>
              </w:rPr>
            </w:pPr>
            <w:r w:rsidRPr="0018386D">
              <w:rPr>
                <w:b/>
                <w:bCs/>
                <w:color w:val="FFFFFF" w:themeColor="background1"/>
              </w:rPr>
              <w:t>CH₄ (kg CO₂-e/</w:t>
            </w:r>
            <w:r w:rsidR="00D86FE8" w:rsidRPr="0018386D">
              <w:rPr>
                <w:b/>
                <w:bCs/>
                <w:color w:val="FFFFFF" w:themeColor="background1"/>
              </w:rPr>
              <w:t xml:space="preserve"> </w:t>
            </w:r>
            <w:r w:rsidRPr="0018386D">
              <w:rPr>
                <w:b/>
                <w:bCs/>
                <w:color w:val="FFFFFF" w:themeColor="background1"/>
              </w:rPr>
              <w:t>unit)</w:t>
            </w:r>
          </w:p>
        </w:tc>
        <w:tc>
          <w:tcPr>
            <w:tcW w:w="1304" w:type="dxa"/>
            <w:shd w:val="clear" w:color="auto" w:fill="1B556B" w:themeFill="text2"/>
            <w:noWrap/>
            <w:vAlign w:val="bottom"/>
            <w:hideMark/>
          </w:tcPr>
          <w:p w14:paraId="53FE959C" w14:textId="3740BC61" w:rsidR="008E2ED2" w:rsidRPr="0018386D" w:rsidRDefault="008E2ED2" w:rsidP="00DD3106">
            <w:pPr>
              <w:pStyle w:val="TableText"/>
              <w:spacing w:before="30" w:after="32"/>
              <w:jc w:val="left"/>
              <w:rPr>
                <w:b/>
                <w:bCs/>
                <w:color w:val="FFFFFF" w:themeColor="background1"/>
              </w:rPr>
            </w:pPr>
            <w:r w:rsidRPr="0018386D">
              <w:rPr>
                <w:b/>
                <w:bCs/>
                <w:color w:val="FFFFFF" w:themeColor="background1"/>
              </w:rPr>
              <w:t>N₂O (kg CO₂-e/</w:t>
            </w:r>
            <w:r w:rsidR="00D86FE8" w:rsidRPr="0018386D">
              <w:rPr>
                <w:b/>
                <w:bCs/>
                <w:color w:val="FFFFFF" w:themeColor="background1"/>
              </w:rPr>
              <w:t xml:space="preserve"> </w:t>
            </w:r>
            <w:r w:rsidRPr="0018386D">
              <w:rPr>
                <w:b/>
                <w:bCs/>
                <w:color w:val="FFFFFF" w:themeColor="background1"/>
              </w:rPr>
              <w:t>unit)</w:t>
            </w:r>
          </w:p>
        </w:tc>
      </w:tr>
      <w:tr w:rsidR="00D86FE8" w:rsidRPr="0018386D" w14:paraId="11233F58" w14:textId="77777777" w:rsidTr="00CD2FDD">
        <w:trPr>
          <w:divId w:val="1140003949"/>
          <w:trHeight w:val="240"/>
        </w:trPr>
        <w:tc>
          <w:tcPr>
            <w:tcW w:w="1247" w:type="dxa"/>
            <w:noWrap/>
            <w:hideMark/>
          </w:tcPr>
          <w:p w14:paraId="6DCBB417" w14:textId="77777777" w:rsidR="008E2ED2" w:rsidRPr="0018386D" w:rsidRDefault="008E2ED2" w:rsidP="00DD3106">
            <w:pPr>
              <w:pStyle w:val="TableText"/>
              <w:spacing w:before="30" w:after="32"/>
            </w:pPr>
            <w:r w:rsidRPr="0018386D">
              <w:t>Bulk carrier</w:t>
            </w:r>
          </w:p>
        </w:tc>
        <w:tc>
          <w:tcPr>
            <w:tcW w:w="1928" w:type="dxa"/>
            <w:noWrap/>
            <w:hideMark/>
          </w:tcPr>
          <w:p w14:paraId="3AC8C8B2" w14:textId="77777777" w:rsidR="008E2ED2" w:rsidRPr="0018386D" w:rsidRDefault="008E2ED2" w:rsidP="00DD3106">
            <w:pPr>
              <w:pStyle w:val="TableText"/>
              <w:spacing w:before="30" w:after="32"/>
            </w:pPr>
            <w:r w:rsidRPr="0018386D">
              <w:t>200,000+ dwt</w:t>
            </w:r>
          </w:p>
        </w:tc>
        <w:tc>
          <w:tcPr>
            <w:tcW w:w="567" w:type="dxa"/>
            <w:noWrap/>
            <w:hideMark/>
          </w:tcPr>
          <w:p w14:paraId="43C835B2"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72C0D01E" w14:textId="77777777" w:rsidR="008E2ED2" w:rsidRPr="0018386D" w:rsidRDefault="008E2ED2" w:rsidP="00DD3106">
            <w:pPr>
              <w:pStyle w:val="TableText"/>
              <w:spacing w:before="30" w:after="32"/>
            </w:pPr>
            <w:r w:rsidRPr="0018386D">
              <w:t>0.00253</w:t>
            </w:r>
          </w:p>
        </w:tc>
        <w:tc>
          <w:tcPr>
            <w:tcW w:w="1247" w:type="dxa"/>
            <w:noWrap/>
            <w:hideMark/>
          </w:tcPr>
          <w:p w14:paraId="69FD02A9" w14:textId="77777777" w:rsidR="008E2ED2" w:rsidRPr="0018386D" w:rsidRDefault="008E2ED2" w:rsidP="00DD3106">
            <w:pPr>
              <w:pStyle w:val="TableText"/>
              <w:spacing w:before="30" w:after="32"/>
            </w:pPr>
            <w:r w:rsidRPr="0018386D">
              <w:t>0.00250</w:t>
            </w:r>
          </w:p>
        </w:tc>
        <w:tc>
          <w:tcPr>
            <w:tcW w:w="1247" w:type="dxa"/>
            <w:noWrap/>
            <w:hideMark/>
          </w:tcPr>
          <w:p w14:paraId="2A5BFFA9" w14:textId="77777777" w:rsidR="008E2ED2" w:rsidRPr="0018386D" w:rsidRDefault="008E2ED2" w:rsidP="00DD3106">
            <w:pPr>
              <w:pStyle w:val="TableText"/>
              <w:spacing w:before="30" w:after="32"/>
            </w:pPr>
            <w:r w:rsidRPr="0018386D">
              <w:t>0.000001</w:t>
            </w:r>
          </w:p>
        </w:tc>
        <w:tc>
          <w:tcPr>
            <w:tcW w:w="1304" w:type="dxa"/>
            <w:noWrap/>
            <w:hideMark/>
          </w:tcPr>
          <w:p w14:paraId="266BD04F" w14:textId="77777777" w:rsidR="008E2ED2" w:rsidRPr="0018386D" w:rsidRDefault="008E2ED2" w:rsidP="00DD3106">
            <w:pPr>
              <w:pStyle w:val="TableText"/>
              <w:spacing w:before="30" w:after="32"/>
            </w:pPr>
            <w:r w:rsidRPr="0018386D">
              <w:t>0.00003</w:t>
            </w:r>
          </w:p>
        </w:tc>
      </w:tr>
      <w:tr w:rsidR="00D86FE8" w:rsidRPr="0018386D" w14:paraId="13D94E52" w14:textId="77777777" w:rsidTr="00CD2FDD">
        <w:trPr>
          <w:divId w:val="1140003949"/>
          <w:trHeight w:val="240"/>
        </w:trPr>
        <w:tc>
          <w:tcPr>
            <w:tcW w:w="1247" w:type="dxa"/>
            <w:noWrap/>
            <w:hideMark/>
          </w:tcPr>
          <w:p w14:paraId="1041C1E1" w14:textId="77777777" w:rsidR="008E2ED2" w:rsidRPr="0018386D" w:rsidRDefault="008E2ED2" w:rsidP="00DD3106">
            <w:pPr>
              <w:pStyle w:val="TableText"/>
              <w:spacing w:before="30" w:after="32"/>
            </w:pPr>
            <w:r w:rsidRPr="0018386D">
              <w:t> </w:t>
            </w:r>
          </w:p>
        </w:tc>
        <w:tc>
          <w:tcPr>
            <w:tcW w:w="1928" w:type="dxa"/>
            <w:noWrap/>
            <w:hideMark/>
          </w:tcPr>
          <w:p w14:paraId="45B77CFA" w14:textId="77777777" w:rsidR="008E2ED2" w:rsidRPr="0018386D" w:rsidRDefault="008E2ED2" w:rsidP="00DD3106">
            <w:pPr>
              <w:pStyle w:val="TableText"/>
              <w:spacing w:before="30" w:after="32"/>
            </w:pPr>
            <w:r w:rsidRPr="0018386D">
              <w:t>100,000–199,999 dwt</w:t>
            </w:r>
          </w:p>
        </w:tc>
        <w:tc>
          <w:tcPr>
            <w:tcW w:w="567" w:type="dxa"/>
            <w:noWrap/>
            <w:hideMark/>
          </w:tcPr>
          <w:p w14:paraId="2B424B0E"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9460F76" w14:textId="77777777" w:rsidR="008E2ED2" w:rsidRPr="0018386D" w:rsidRDefault="008E2ED2" w:rsidP="00DD3106">
            <w:pPr>
              <w:pStyle w:val="TableText"/>
              <w:spacing w:before="30" w:after="32"/>
            </w:pPr>
            <w:r w:rsidRPr="0018386D">
              <w:t>0.00304</w:t>
            </w:r>
          </w:p>
        </w:tc>
        <w:tc>
          <w:tcPr>
            <w:tcW w:w="1247" w:type="dxa"/>
            <w:noWrap/>
            <w:hideMark/>
          </w:tcPr>
          <w:p w14:paraId="7FCBDE41" w14:textId="77777777" w:rsidR="008E2ED2" w:rsidRPr="0018386D" w:rsidRDefault="008E2ED2" w:rsidP="00DD3106">
            <w:pPr>
              <w:pStyle w:val="TableText"/>
              <w:spacing w:before="30" w:after="32"/>
            </w:pPr>
            <w:r w:rsidRPr="0018386D">
              <w:t>0.00300</w:t>
            </w:r>
          </w:p>
        </w:tc>
        <w:tc>
          <w:tcPr>
            <w:tcW w:w="1247" w:type="dxa"/>
            <w:noWrap/>
            <w:hideMark/>
          </w:tcPr>
          <w:p w14:paraId="4B1A7340" w14:textId="77777777" w:rsidR="008E2ED2" w:rsidRPr="0018386D" w:rsidRDefault="008E2ED2" w:rsidP="00DD3106">
            <w:pPr>
              <w:pStyle w:val="TableText"/>
              <w:spacing w:before="30" w:after="32"/>
            </w:pPr>
            <w:r w:rsidRPr="0018386D">
              <w:t>0.000001</w:t>
            </w:r>
          </w:p>
        </w:tc>
        <w:tc>
          <w:tcPr>
            <w:tcW w:w="1304" w:type="dxa"/>
            <w:noWrap/>
            <w:hideMark/>
          </w:tcPr>
          <w:p w14:paraId="50C44008" w14:textId="77777777" w:rsidR="008E2ED2" w:rsidRPr="0018386D" w:rsidRDefault="008E2ED2" w:rsidP="00DD3106">
            <w:pPr>
              <w:pStyle w:val="TableText"/>
              <w:spacing w:before="30" w:after="32"/>
            </w:pPr>
            <w:r w:rsidRPr="0018386D">
              <w:t>0.00004</w:t>
            </w:r>
          </w:p>
        </w:tc>
      </w:tr>
      <w:tr w:rsidR="00D86FE8" w:rsidRPr="0018386D" w14:paraId="1180CA0B" w14:textId="77777777" w:rsidTr="00CD2FDD">
        <w:trPr>
          <w:divId w:val="1140003949"/>
          <w:trHeight w:val="240"/>
        </w:trPr>
        <w:tc>
          <w:tcPr>
            <w:tcW w:w="1247" w:type="dxa"/>
            <w:noWrap/>
            <w:hideMark/>
          </w:tcPr>
          <w:p w14:paraId="129E6A59" w14:textId="77777777" w:rsidR="008E2ED2" w:rsidRPr="0018386D" w:rsidRDefault="008E2ED2" w:rsidP="00DD3106">
            <w:pPr>
              <w:pStyle w:val="TableText"/>
              <w:spacing w:before="30" w:after="32"/>
            </w:pPr>
            <w:r w:rsidRPr="0018386D">
              <w:t> </w:t>
            </w:r>
          </w:p>
        </w:tc>
        <w:tc>
          <w:tcPr>
            <w:tcW w:w="1928" w:type="dxa"/>
            <w:noWrap/>
            <w:hideMark/>
          </w:tcPr>
          <w:p w14:paraId="6262818A" w14:textId="77777777" w:rsidR="008E2ED2" w:rsidRPr="0018386D" w:rsidRDefault="008E2ED2" w:rsidP="00DD3106">
            <w:pPr>
              <w:pStyle w:val="TableText"/>
              <w:spacing w:before="30" w:after="32"/>
            </w:pPr>
            <w:r w:rsidRPr="0018386D">
              <w:t>60,000–99,999 dwt</w:t>
            </w:r>
          </w:p>
        </w:tc>
        <w:tc>
          <w:tcPr>
            <w:tcW w:w="567" w:type="dxa"/>
            <w:noWrap/>
            <w:hideMark/>
          </w:tcPr>
          <w:p w14:paraId="78108796"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D2E7A62" w14:textId="77777777" w:rsidR="008E2ED2" w:rsidRPr="0018386D" w:rsidRDefault="008E2ED2" w:rsidP="00DD3106">
            <w:pPr>
              <w:pStyle w:val="TableText"/>
              <w:spacing w:before="30" w:after="32"/>
            </w:pPr>
            <w:r w:rsidRPr="0018386D">
              <w:t>0.00416</w:t>
            </w:r>
          </w:p>
        </w:tc>
        <w:tc>
          <w:tcPr>
            <w:tcW w:w="1247" w:type="dxa"/>
            <w:noWrap/>
            <w:hideMark/>
          </w:tcPr>
          <w:p w14:paraId="6B19C2DD" w14:textId="77777777" w:rsidR="008E2ED2" w:rsidRPr="0018386D" w:rsidRDefault="008E2ED2" w:rsidP="00DD3106">
            <w:pPr>
              <w:pStyle w:val="TableText"/>
              <w:spacing w:before="30" w:after="32"/>
            </w:pPr>
            <w:r w:rsidRPr="0018386D">
              <w:t>0.00410</w:t>
            </w:r>
          </w:p>
        </w:tc>
        <w:tc>
          <w:tcPr>
            <w:tcW w:w="1247" w:type="dxa"/>
            <w:noWrap/>
            <w:hideMark/>
          </w:tcPr>
          <w:p w14:paraId="56557A24" w14:textId="77777777" w:rsidR="008E2ED2" w:rsidRPr="0018386D" w:rsidRDefault="008E2ED2" w:rsidP="00DD3106">
            <w:pPr>
              <w:pStyle w:val="TableText"/>
              <w:spacing w:before="30" w:after="32"/>
            </w:pPr>
            <w:r w:rsidRPr="0018386D">
              <w:t>0.000001</w:t>
            </w:r>
          </w:p>
        </w:tc>
        <w:tc>
          <w:tcPr>
            <w:tcW w:w="1304" w:type="dxa"/>
            <w:noWrap/>
            <w:hideMark/>
          </w:tcPr>
          <w:p w14:paraId="283B999C" w14:textId="77777777" w:rsidR="008E2ED2" w:rsidRPr="0018386D" w:rsidRDefault="008E2ED2" w:rsidP="00DD3106">
            <w:pPr>
              <w:pStyle w:val="TableText"/>
              <w:spacing w:before="30" w:after="32"/>
            </w:pPr>
            <w:r w:rsidRPr="0018386D">
              <w:t>0.00006</w:t>
            </w:r>
          </w:p>
        </w:tc>
      </w:tr>
      <w:tr w:rsidR="00D86FE8" w:rsidRPr="0018386D" w14:paraId="2E314692" w14:textId="77777777" w:rsidTr="00CD2FDD">
        <w:trPr>
          <w:divId w:val="1140003949"/>
          <w:trHeight w:val="240"/>
        </w:trPr>
        <w:tc>
          <w:tcPr>
            <w:tcW w:w="1247" w:type="dxa"/>
            <w:noWrap/>
            <w:hideMark/>
          </w:tcPr>
          <w:p w14:paraId="14D3CFB5" w14:textId="77777777" w:rsidR="008E2ED2" w:rsidRPr="0018386D" w:rsidRDefault="008E2ED2" w:rsidP="00DD3106">
            <w:pPr>
              <w:pStyle w:val="TableText"/>
              <w:spacing w:before="30" w:after="32"/>
            </w:pPr>
            <w:r w:rsidRPr="0018386D">
              <w:t> </w:t>
            </w:r>
          </w:p>
        </w:tc>
        <w:tc>
          <w:tcPr>
            <w:tcW w:w="1928" w:type="dxa"/>
            <w:noWrap/>
            <w:hideMark/>
          </w:tcPr>
          <w:p w14:paraId="1CD3FFB7" w14:textId="77777777" w:rsidR="008E2ED2" w:rsidRPr="0018386D" w:rsidRDefault="008E2ED2" w:rsidP="00DD3106">
            <w:pPr>
              <w:pStyle w:val="TableText"/>
              <w:spacing w:before="30" w:after="32"/>
            </w:pPr>
            <w:r w:rsidRPr="0018386D">
              <w:t>35,000–59,999 dwt</w:t>
            </w:r>
          </w:p>
        </w:tc>
        <w:tc>
          <w:tcPr>
            <w:tcW w:w="567" w:type="dxa"/>
            <w:noWrap/>
            <w:hideMark/>
          </w:tcPr>
          <w:p w14:paraId="0C05C25C"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53FE03B6" w14:textId="77777777" w:rsidR="008E2ED2" w:rsidRPr="0018386D" w:rsidRDefault="008E2ED2" w:rsidP="00DD3106">
            <w:pPr>
              <w:pStyle w:val="TableText"/>
              <w:spacing w:before="30" w:after="32"/>
            </w:pPr>
            <w:r w:rsidRPr="0018386D">
              <w:t>0.00578</w:t>
            </w:r>
          </w:p>
        </w:tc>
        <w:tc>
          <w:tcPr>
            <w:tcW w:w="1247" w:type="dxa"/>
            <w:noWrap/>
            <w:hideMark/>
          </w:tcPr>
          <w:p w14:paraId="52E1311C" w14:textId="77777777" w:rsidR="008E2ED2" w:rsidRPr="0018386D" w:rsidRDefault="008E2ED2" w:rsidP="00DD3106">
            <w:pPr>
              <w:pStyle w:val="TableText"/>
              <w:spacing w:before="30" w:after="32"/>
            </w:pPr>
            <w:r w:rsidRPr="0018386D">
              <w:t>0.00570</w:t>
            </w:r>
          </w:p>
        </w:tc>
        <w:tc>
          <w:tcPr>
            <w:tcW w:w="1247" w:type="dxa"/>
            <w:noWrap/>
            <w:hideMark/>
          </w:tcPr>
          <w:p w14:paraId="2425F0C4" w14:textId="77777777" w:rsidR="008E2ED2" w:rsidRPr="0018386D" w:rsidRDefault="008E2ED2" w:rsidP="00DD3106">
            <w:pPr>
              <w:pStyle w:val="TableText"/>
              <w:spacing w:before="30" w:after="32"/>
            </w:pPr>
            <w:r w:rsidRPr="0018386D">
              <w:t>0.000002</w:t>
            </w:r>
          </w:p>
        </w:tc>
        <w:tc>
          <w:tcPr>
            <w:tcW w:w="1304" w:type="dxa"/>
            <w:noWrap/>
            <w:hideMark/>
          </w:tcPr>
          <w:p w14:paraId="5E9250C4" w14:textId="77777777" w:rsidR="008E2ED2" w:rsidRPr="0018386D" w:rsidRDefault="008E2ED2" w:rsidP="00DD3106">
            <w:pPr>
              <w:pStyle w:val="TableText"/>
              <w:spacing w:before="30" w:after="32"/>
            </w:pPr>
            <w:r w:rsidRPr="0018386D">
              <w:t>0.00008</w:t>
            </w:r>
          </w:p>
        </w:tc>
      </w:tr>
      <w:tr w:rsidR="00D86FE8" w:rsidRPr="0018386D" w14:paraId="09B4E80A" w14:textId="77777777" w:rsidTr="00CD2FDD">
        <w:trPr>
          <w:divId w:val="1140003949"/>
          <w:trHeight w:val="240"/>
        </w:trPr>
        <w:tc>
          <w:tcPr>
            <w:tcW w:w="1247" w:type="dxa"/>
            <w:noWrap/>
            <w:hideMark/>
          </w:tcPr>
          <w:p w14:paraId="336D20F0" w14:textId="77777777" w:rsidR="008E2ED2" w:rsidRPr="0018386D" w:rsidRDefault="008E2ED2" w:rsidP="00DD3106">
            <w:pPr>
              <w:pStyle w:val="TableText"/>
              <w:spacing w:before="30" w:after="32"/>
            </w:pPr>
            <w:r w:rsidRPr="0018386D">
              <w:t> </w:t>
            </w:r>
          </w:p>
        </w:tc>
        <w:tc>
          <w:tcPr>
            <w:tcW w:w="1928" w:type="dxa"/>
            <w:noWrap/>
            <w:hideMark/>
          </w:tcPr>
          <w:p w14:paraId="7C955F1E" w14:textId="77777777" w:rsidR="008E2ED2" w:rsidRPr="0018386D" w:rsidRDefault="008E2ED2" w:rsidP="00DD3106">
            <w:pPr>
              <w:pStyle w:val="TableText"/>
              <w:spacing w:before="30" w:after="32"/>
            </w:pPr>
            <w:r w:rsidRPr="0018386D">
              <w:t>10,000–34,999 dwt</w:t>
            </w:r>
          </w:p>
        </w:tc>
        <w:tc>
          <w:tcPr>
            <w:tcW w:w="567" w:type="dxa"/>
            <w:noWrap/>
            <w:hideMark/>
          </w:tcPr>
          <w:p w14:paraId="096EEA21"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7F189A93" w14:textId="77777777" w:rsidR="008E2ED2" w:rsidRPr="0018386D" w:rsidRDefault="008E2ED2" w:rsidP="00DD3106">
            <w:pPr>
              <w:pStyle w:val="TableText"/>
              <w:spacing w:before="30" w:after="32"/>
            </w:pPr>
            <w:r w:rsidRPr="0018386D">
              <w:t>0.00801</w:t>
            </w:r>
          </w:p>
        </w:tc>
        <w:tc>
          <w:tcPr>
            <w:tcW w:w="1247" w:type="dxa"/>
            <w:noWrap/>
            <w:hideMark/>
          </w:tcPr>
          <w:p w14:paraId="6DEEE825" w14:textId="77777777" w:rsidR="008E2ED2" w:rsidRPr="0018386D" w:rsidRDefault="008E2ED2" w:rsidP="00DD3106">
            <w:pPr>
              <w:pStyle w:val="TableText"/>
              <w:spacing w:before="30" w:after="32"/>
            </w:pPr>
            <w:r w:rsidRPr="0018386D">
              <w:t>0.00790</w:t>
            </w:r>
          </w:p>
        </w:tc>
        <w:tc>
          <w:tcPr>
            <w:tcW w:w="1247" w:type="dxa"/>
            <w:noWrap/>
            <w:hideMark/>
          </w:tcPr>
          <w:p w14:paraId="014CBF44" w14:textId="77777777" w:rsidR="008E2ED2" w:rsidRPr="0018386D" w:rsidRDefault="008E2ED2" w:rsidP="00DD3106">
            <w:pPr>
              <w:pStyle w:val="TableText"/>
              <w:spacing w:before="30" w:after="32"/>
            </w:pPr>
            <w:r w:rsidRPr="0018386D">
              <w:t>0.000002</w:t>
            </w:r>
          </w:p>
        </w:tc>
        <w:tc>
          <w:tcPr>
            <w:tcW w:w="1304" w:type="dxa"/>
            <w:noWrap/>
            <w:hideMark/>
          </w:tcPr>
          <w:p w14:paraId="785255DD" w14:textId="77777777" w:rsidR="008E2ED2" w:rsidRPr="0018386D" w:rsidRDefault="008E2ED2" w:rsidP="00DD3106">
            <w:pPr>
              <w:pStyle w:val="TableText"/>
              <w:spacing w:before="30" w:after="32"/>
            </w:pPr>
            <w:r w:rsidRPr="0018386D">
              <w:t>0.0001</w:t>
            </w:r>
          </w:p>
        </w:tc>
      </w:tr>
      <w:tr w:rsidR="00D86FE8" w:rsidRPr="0018386D" w14:paraId="248B7F4A" w14:textId="77777777" w:rsidTr="00CD2FDD">
        <w:trPr>
          <w:divId w:val="1140003949"/>
          <w:trHeight w:val="240"/>
        </w:trPr>
        <w:tc>
          <w:tcPr>
            <w:tcW w:w="1247" w:type="dxa"/>
            <w:noWrap/>
            <w:hideMark/>
          </w:tcPr>
          <w:p w14:paraId="7C368419" w14:textId="77777777" w:rsidR="008E2ED2" w:rsidRPr="0018386D" w:rsidRDefault="008E2ED2" w:rsidP="00DD3106">
            <w:pPr>
              <w:pStyle w:val="TableText"/>
              <w:spacing w:before="30" w:after="32"/>
            </w:pPr>
            <w:r w:rsidRPr="0018386D">
              <w:t> </w:t>
            </w:r>
          </w:p>
        </w:tc>
        <w:tc>
          <w:tcPr>
            <w:tcW w:w="1928" w:type="dxa"/>
            <w:noWrap/>
            <w:hideMark/>
          </w:tcPr>
          <w:p w14:paraId="5276A353" w14:textId="77777777" w:rsidR="008E2ED2" w:rsidRPr="0018386D" w:rsidRDefault="008E2ED2" w:rsidP="00DD3106">
            <w:pPr>
              <w:pStyle w:val="TableText"/>
              <w:spacing w:before="30" w:after="32"/>
            </w:pPr>
            <w:r w:rsidRPr="0018386D">
              <w:t>0–9999 dwt</w:t>
            </w:r>
          </w:p>
        </w:tc>
        <w:tc>
          <w:tcPr>
            <w:tcW w:w="567" w:type="dxa"/>
            <w:noWrap/>
            <w:hideMark/>
          </w:tcPr>
          <w:p w14:paraId="2C6484E4"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74ADB39" w14:textId="77777777" w:rsidR="008E2ED2" w:rsidRPr="0018386D" w:rsidRDefault="008E2ED2" w:rsidP="00DD3106">
            <w:pPr>
              <w:pStyle w:val="TableText"/>
              <w:spacing w:before="30" w:after="32"/>
            </w:pPr>
            <w:r w:rsidRPr="0018386D">
              <w:t>0.0296</w:t>
            </w:r>
          </w:p>
        </w:tc>
        <w:tc>
          <w:tcPr>
            <w:tcW w:w="1247" w:type="dxa"/>
            <w:noWrap/>
            <w:hideMark/>
          </w:tcPr>
          <w:p w14:paraId="7DC8DC9D" w14:textId="77777777" w:rsidR="008E2ED2" w:rsidRPr="0018386D" w:rsidRDefault="008E2ED2" w:rsidP="00DD3106">
            <w:pPr>
              <w:pStyle w:val="TableText"/>
              <w:spacing w:before="30" w:after="32"/>
            </w:pPr>
            <w:r w:rsidRPr="0018386D">
              <w:t>0.0292</w:t>
            </w:r>
          </w:p>
        </w:tc>
        <w:tc>
          <w:tcPr>
            <w:tcW w:w="1247" w:type="dxa"/>
            <w:noWrap/>
            <w:hideMark/>
          </w:tcPr>
          <w:p w14:paraId="1DC47B1B" w14:textId="77777777" w:rsidR="008E2ED2" w:rsidRPr="0018386D" w:rsidRDefault="008E2ED2" w:rsidP="00DD3106">
            <w:pPr>
              <w:pStyle w:val="TableText"/>
              <w:spacing w:before="30" w:after="32"/>
            </w:pPr>
            <w:r w:rsidRPr="0018386D">
              <w:t>0.000009</w:t>
            </w:r>
          </w:p>
        </w:tc>
        <w:tc>
          <w:tcPr>
            <w:tcW w:w="1304" w:type="dxa"/>
            <w:noWrap/>
            <w:hideMark/>
          </w:tcPr>
          <w:p w14:paraId="15B38F41" w14:textId="77777777" w:rsidR="008E2ED2" w:rsidRPr="0018386D" w:rsidRDefault="008E2ED2" w:rsidP="00DD3106">
            <w:pPr>
              <w:pStyle w:val="TableText"/>
              <w:spacing w:before="30" w:after="32"/>
            </w:pPr>
            <w:r w:rsidRPr="0018386D">
              <w:t>0.0004</w:t>
            </w:r>
          </w:p>
        </w:tc>
      </w:tr>
      <w:tr w:rsidR="00D86FE8" w:rsidRPr="0018386D" w14:paraId="2D81CEDF" w14:textId="77777777" w:rsidTr="00CD2FDD">
        <w:trPr>
          <w:divId w:val="1140003949"/>
          <w:trHeight w:val="240"/>
        </w:trPr>
        <w:tc>
          <w:tcPr>
            <w:tcW w:w="1247" w:type="dxa"/>
            <w:noWrap/>
            <w:hideMark/>
          </w:tcPr>
          <w:p w14:paraId="169F0916" w14:textId="77777777" w:rsidR="008E2ED2" w:rsidRPr="0018386D" w:rsidRDefault="008E2ED2" w:rsidP="00DD3106">
            <w:pPr>
              <w:pStyle w:val="TableText"/>
              <w:spacing w:before="30" w:after="32"/>
            </w:pPr>
            <w:r w:rsidRPr="0018386D">
              <w:t> </w:t>
            </w:r>
          </w:p>
        </w:tc>
        <w:tc>
          <w:tcPr>
            <w:tcW w:w="1928" w:type="dxa"/>
            <w:noWrap/>
            <w:hideMark/>
          </w:tcPr>
          <w:p w14:paraId="6E2C443E" w14:textId="77777777" w:rsidR="008E2ED2" w:rsidRPr="0018386D" w:rsidRDefault="008E2ED2" w:rsidP="00DD3106">
            <w:pPr>
              <w:pStyle w:val="TableText"/>
              <w:spacing w:before="30" w:after="32"/>
            </w:pPr>
            <w:r w:rsidRPr="0018386D">
              <w:t>Average</w:t>
            </w:r>
          </w:p>
        </w:tc>
        <w:tc>
          <w:tcPr>
            <w:tcW w:w="567" w:type="dxa"/>
            <w:noWrap/>
            <w:hideMark/>
          </w:tcPr>
          <w:p w14:paraId="3342E1A8"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7D7A97F" w14:textId="77777777" w:rsidR="008E2ED2" w:rsidRPr="0018386D" w:rsidRDefault="008E2ED2" w:rsidP="00DD3106">
            <w:pPr>
              <w:pStyle w:val="TableText"/>
              <w:spacing w:before="30" w:after="32"/>
            </w:pPr>
            <w:r w:rsidRPr="0018386D">
              <w:t>0.00355</w:t>
            </w:r>
          </w:p>
        </w:tc>
        <w:tc>
          <w:tcPr>
            <w:tcW w:w="1247" w:type="dxa"/>
            <w:noWrap/>
            <w:hideMark/>
          </w:tcPr>
          <w:p w14:paraId="178E4136" w14:textId="77777777" w:rsidR="008E2ED2" w:rsidRPr="0018386D" w:rsidRDefault="008E2ED2" w:rsidP="00DD3106">
            <w:pPr>
              <w:pStyle w:val="TableText"/>
              <w:spacing w:before="30" w:after="32"/>
            </w:pPr>
            <w:r w:rsidRPr="0018386D">
              <w:t>0.00350</w:t>
            </w:r>
          </w:p>
        </w:tc>
        <w:tc>
          <w:tcPr>
            <w:tcW w:w="1247" w:type="dxa"/>
            <w:noWrap/>
            <w:hideMark/>
          </w:tcPr>
          <w:p w14:paraId="47686073" w14:textId="77777777" w:rsidR="008E2ED2" w:rsidRPr="0018386D" w:rsidRDefault="008E2ED2" w:rsidP="00DD3106">
            <w:pPr>
              <w:pStyle w:val="TableText"/>
              <w:spacing w:before="30" w:after="32"/>
            </w:pPr>
            <w:r w:rsidRPr="0018386D">
              <w:t>0.000001</w:t>
            </w:r>
          </w:p>
        </w:tc>
        <w:tc>
          <w:tcPr>
            <w:tcW w:w="1304" w:type="dxa"/>
            <w:noWrap/>
            <w:hideMark/>
          </w:tcPr>
          <w:p w14:paraId="0A48FF96" w14:textId="77777777" w:rsidR="008E2ED2" w:rsidRPr="0018386D" w:rsidRDefault="008E2ED2" w:rsidP="00DD3106">
            <w:pPr>
              <w:pStyle w:val="TableText"/>
              <w:spacing w:before="30" w:after="32"/>
            </w:pPr>
            <w:r w:rsidRPr="0018386D">
              <w:t>0.00005</w:t>
            </w:r>
          </w:p>
        </w:tc>
      </w:tr>
      <w:tr w:rsidR="00D86FE8" w:rsidRPr="0018386D" w14:paraId="190F4E0E" w14:textId="77777777" w:rsidTr="00CD2FDD">
        <w:trPr>
          <w:divId w:val="1140003949"/>
          <w:trHeight w:val="240"/>
        </w:trPr>
        <w:tc>
          <w:tcPr>
            <w:tcW w:w="1247" w:type="dxa"/>
            <w:noWrap/>
            <w:hideMark/>
          </w:tcPr>
          <w:p w14:paraId="67EA0F62" w14:textId="77777777" w:rsidR="008E2ED2" w:rsidRPr="0018386D" w:rsidRDefault="008E2ED2" w:rsidP="00DD3106">
            <w:pPr>
              <w:pStyle w:val="TableText"/>
              <w:spacing w:before="30" w:after="32"/>
            </w:pPr>
            <w:r w:rsidRPr="0018386D">
              <w:t>General cargo</w:t>
            </w:r>
          </w:p>
        </w:tc>
        <w:tc>
          <w:tcPr>
            <w:tcW w:w="1928" w:type="dxa"/>
            <w:noWrap/>
            <w:hideMark/>
          </w:tcPr>
          <w:p w14:paraId="195D22A8" w14:textId="77777777" w:rsidR="008E2ED2" w:rsidRPr="0018386D" w:rsidRDefault="008E2ED2" w:rsidP="00DD3106">
            <w:pPr>
              <w:pStyle w:val="TableText"/>
              <w:spacing w:before="30" w:after="32"/>
            </w:pPr>
            <w:r w:rsidRPr="0018386D">
              <w:t>10,000+ dwt</w:t>
            </w:r>
          </w:p>
        </w:tc>
        <w:tc>
          <w:tcPr>
            <w:tcW w:w="567" w:type="dxa"/>
            <w:noWrap/>
            <w:hideMark/>
          </w:tcPr>
          <w:p w14:paraId="25074AC5"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3CC22D6" w14:textId="77777777" w:rsidR="008E2ED2" w:rsidRPr="0018386D" w:rsidRDefault="008E2ED2" w:rsidP="00DD3106">
            <w:pPr>
              <w:pStyle w:val="TableText"/>
              <w:spacing w:before="30" w:after="32"/>
            </w:pPr>
            <w:r w:rsidRPr="0018386D">
              <w:t>0.0121</w:t>
            </w:r>
          </w:p>
        </w:tc>
        <w:tc>
          <w:tcPr>
            <w:tcW w:w="1247" w:type="dxa"/>
            <w:noWrap/>
            <w:hideMark/>
          </w:tcPr>
          <w:p w14:paraId="69613937" w14:textId="77777777" w:rsidR="008E2ED2" w:rsidRPr="0018386D" w:rsidRDefault="008E2ED2" w:rsidP="00DD3106">
            <w:pPr>
              <w:pStyle w:val="TableText"/>
              <w:spacing w:before="30" w:after="32"/>
            </w:pPr>
            <w:r w:rsidRPr="0018386D">
              <w:t>0.0119</w:t>
            </w:r>
          </w:p>
        </w:tc>
        <w:tc>
          <w:tcPr>
            <w:tcW w:w="1247" w:type="dxa"/>
            <w:noWrap/>
            <w:hideMark/>
          </w:tcPr>
          <w:p w14:paraId="51DCEC24" w14:textId="77777777" w:rsidR="008E2ED2" w:rsidRPr="0018386D" w:rsidRDefault="008E2ED2" w:rsidP="00DD3106">
            <w:pPr>
              <w:pStyle w:val="TableText"/>
              <w:spacing w:before="30" w:after="32"/>
            </w:pPr>
            <w:r w:rsidRPr="0018386D">
              <w:t>0.000004</w:t>
            </w:r>
          </w:p>
        </w:tc>
        <w:tc>
          <w:tcPr>
            <w:tcW w:w="1304" w:type="dxa"/>
            <w:noWrap/>
            <w:hideMark/>
          </w:tcPr>
          <w:p w14:paraId="235BEFE8" w14:textId="77777777" w:rsidR="008E2ED2" w:rsidRPr="0018386D" w:rsidRDefault="008E2ED2" w:rsidP="00DD3106">
            <w:pPr>
              <w:pStyle w:val="TableText"/>
              <w:spacing w:before="30" w:after="32"/>
            </w:pPr>
            <w:r w:rsidRPr="0018386D">
              <w:t>0.0002</w:t>
            </w:r>
          </w:p>
        </w:tc>
      </w:tr>
      <w:tr w:rsidR="00D86FE8" w:rsidRPr="0018386D" w14:paraId="0B8C3A72" w14:textId="77777777" w:rsidTr="00CD2FDD">
        <w:trPr>
          <w:divId w:val="1140003949"/>
          <w:trHeight w:val="240"/>
        </w:trPr>
        <w:tc>
          <w:tcPr>
            <w:tcW w:w="1247" w:type="dxa"/>
            <w:noWrap/>
            <w:hideMark/>
          </w:tcPr>
          <w:p w14:paraId="7B324074" w14:textId="77777777" w:rsidR="008E2ED2" w:rsidRPr="0018386D" w:rsidRDefault="008E2ED2" w:rsidP="00DD3106">
            <w:pPr>
              <w:pStyle w:val="TableText"/>
              <w:spacing w:before="30" w:after="32"/>
            </w:pPr>
            <w:r w:rsidRPr="0018386D">
              <w:t> </w:t>
            </w:r>
          </w:p>
        </w:tc>
        <w:tc>
          <w:tcPr>
            <w:tcW w:w="1928" w:type="dxa"/>
            <w:noWrap/>
            <w:hideMark/>
          </w:tcPr>
          <w:p w14:paraId="51DFAC62" w14:textId="77777777" w:rsidR="008E2ED2" w:rsidRPr="0018386D" w:rsidRDefault="008E2ED2" w:rsidP="00DD3106">
            <w:pPr>
              <w:pStyle w:val="TableText"/>
              <w:spacing w:before="30" w:after="32"/>
            </w:pPr>
            <w:r w:rsidRPr="0018386D">
              <w:t>5000–9999 dwt</w:t>
            </w:r>
          </w:p>
        </w:tc>
        <w:tc>
          <w:tcPr>
            <w:tcW w:w="567" w:type="dxa"/>
            <w:noWrap/>
            <w:hideMark/>
          </w:tcPr>
          <w:p w14:paraId="0CE50A64"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49CC4930" w14:textId="77777777" w:rsidR="008E2ED2" w:rsidRPr="0018386D" w:rsidRDefault="008E2ED2" w:rsidP="00DD3106">
            <w:pPr>
              <w:pStyle w:val="TableText"/>
              <w:spacing w:before="30" w:after="32"/>
            </w:pPr>
            <w:r w:rsidRPr="0018386D">
              <w:t>0.0160</w:t>
            </w:r>
          </w:p>
        </w:tc>
        <w:tc>
          <w:tcPr>
            <w:tcW w:w="1247" w:type="dxa"/>
            <w:noWrap/>
            <w:hideMark/>
          </w:tcPr>
          <w:p w14:paraId="3D208C61" w14:textId="77777777" w:rsidR="008E2ED2" w:rsidRPr="0018386D" w:rsidRDefault="008E2ED2" w:rsidP="00DD3106">
            <w:pPr>
              <w:pStyle w:val="TableText"/>
              <w:spacing w:before="30" w:after="32"/>
            </w:pPr>
            <w:r w:rsidRPr="0018386D">
              <w:t>0.0158</w:t>
            </w:r>
          </w:p>
        </w:tc>
        <w:tc>
          <w:tcPr>
            <w:tcW w:w="1247" w:type="dxa"/>
            <w:noWrap/>
            <w:hideMark/>
          </w:tcPr>
          <w:p w14:paraId="24B64C31" w14:textId="77777777" w:rsidR="008E2ED2" w:rsidRPr="0018386D" w:rsidRDefault="008E2ED2" w:rsidP="00DD3106">
            <w:pPr>
              <w:pStyle w:val="TableText"/>
              <w:spacing w:before="30" w:after="32"/>
            </w:pPr>
            <w:r w:rsidRPr="0018386D">
              <w:t>0.000005</w:t>
            </w:r>
          </w:p>
        </w:tc>
        <w:tc>
          <w:tcPr>
            <w:tcW w:w="1304" w:type="dxa"/>
            <w:noWrap/>
            <w:hideMark/>
          </w:tcPr>
          <w:p w14:paraId="0095BD4F" w14:textId="77777777" w:rsidR="008E2ED2" w:rsidRPr="0018386D" w:rsidRDefault="008E2ED2" w:rsidP="00DD3106">
            <w:pPr>
              <w:pStyle w:val="TableText"/>
              <w:spacing w:before="30" w:after="32"/>
            </w:pPr>
            <w:r w:rsidRPr="0018386D">
              <w:t>0.0002</w:t>
            </w:r>
          </w:p>
        </w:tc>
      </w:tr>
      <w:tr w:rsidR="00D86FE8" w:rsidRPr="0018386D" w14:paraId="457EA195" w14:textId="77777777" w:rsidTr="00CD2FDD">
        <w:trPr>
          <w:divId w:val="1140003949"/>
          <w:trHeight w:val="240"/>
        </w:trPr>
        <w:tc>
          <w:tcPr>
            <w:tcW w:w="1247" w:type="dxa"/>
            <w:noWrap/>
            <w:hideMark/>
          </w:tcPr>
          <w:p w14:paraId="1DAAEA7A" w14:textId="77777777" w:rsidR="008E2ED2" w:rsidRPr="0018386D" w:rsidRDefault="008E2ED2" w:rsidP="00DD3106">
            <w:pPr>
              <w:pStyle w:val="TableText"/>
              <w:spacing w:before="30" w:after="32"/>
            </w:pPr>
            <w:r w:rsidRPr="0018386D">
              <w:t> </w:t>
            </w:r>
          </w:p>
        </w:tc>
        <w:tc>
          <w:tcPr>
            <w:tcW w:w="1928" w:type="dxa"/>
            <w:noWrap/>
            <w:hideMark/>
          </w:tcPr>
          <w:p w14:paraId="40F21F1A" w14:textId="77777777" w:rsidR="008E2ED2" w:rsidRPr="0018386D" w:rsidRDefault="008E2ED2" w:rsidP="00DD3106">
            <w:pPr>
              <w:pStyle w:val="TableText"/>
              <w:spacing w:before="30" w:after="32"/>
            </w:pPr>
            <w:r w:rsidRPr="0018386D">
              <w:t>0–4999 dwt</w:t>
            </w:r>
          </w:p>
        </w:tc>
        <w:tc>
          <w:tcPr>
            <w:tcW w:w="567" w:type="dxa"/>
            <w:noWrap/>
            <w:hideMark/>
          </w:tcPr>
          <w:p w14:paraId="23A0034C"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4CAB4A7C" w14:textId="77777777" w:rsidR="008E2ED2" w:rsidRPr="0018386D" w:rsidRDefault="008E2ED2" w:rsidP="00DD3106">
            <w:pPr>
              <w:pStyle w:val="TableText"/>
              <w:spacing w:before="30" w:after="32"/>
            </w:pPr>
            <w:r w:rsidRPr="0018386D">
              <w:t>0.0141</w:t>
            </w:r>
          </w:p>
        </w:tc>
        <w:tc>
          <w:tcPr>
            <w:tcW w:w="1247" w:type="dxa"/>
            <w:noWrap/>
            <w:hideMark/>
          </w:tcPr>
          <w:p w14:paraId="625542A6" w14:textId="77777777" w:rsidR="008E2ED2" w:rsidRPr="0018386D" w:rsidRDefault="008E2ED2" w:rsidP="00DD3106">
            <w:pPr>
              <w:pStyle w:val="TableText"/>
              <w:spacing w:before="30" w:after="32"/>
            </w:pPr>
            <w:r w:rsidRPr="0018386D">
              <w:t>0.0139</w:t>
            </w:r>
          </w:p>
        </w:tc>
        <w:tc>
          <w:tcPr>
            <w:tcW w:w="1247" w:type="dxa"/>
            <w:noWrap/>
            <w:hideMark/>
          </w:tcPr>
          <w:p w14:paraId="7BEABEB5" w14:textId="77777777" w:rsidR="008E2ED2" w:rsidRPr="0018386D" w:rsidRDefault="008E2ED2" w:rsidP="00DD3106">
            <w:pPr>
              <w:pStyle w:val="TableText"/>
              <w:spacing w:before="30" w:after="32"/>
            </w:pPr>
            <w:r w:rsidRPr="0018386D">
              <w:t>0.000004</w:t>
            </w:r>
          </w:p>
        </w:tc>
        <w:tc>
          <w:tcPr>
            <w:tcW w:w="1304" w:type="dxa"/>
            <w:noWrap/>
            <w:hideMark/>
          </w:tcPr>
          <w:p w14:paraId="77A30EE0" w14:textId="77777777" w:rsidR="008E2ED2" w:rsidRPr="0018386D" w:rsidRDefault="008E2ED2" w:rsidP="00DD3106">
            <w:pPr>
              <w:pStyle w:val="TableText"/>
              <w:spacing w:before="30" w:after="32"/>
            </w:pPr>
            <w:r w:rsidRPr="0018386D">
              <w:t>0.0002</w:t>
            </w:r>
          </w:p>
        </w:tc>
      </w:tr>
      <w:tr w:rsidR="00D86FE8" w:rsidRPr="0018386D" w14:paraId="5C92E599" w14:textId="77777777" w:rsidTr="00CD2FDD">
        <w:trPr>
          <w:divId w:val="1140003949"/>
          <w:trHeight w:val="240"/>
        </w:trPr>
        <w:tc>
          <w:tcPr>
            <w:tcW w:w="1247" w:type="dxa"/>
            <w:noWrap/>
            <w:hideMark/>
          </w:tcPr>
          <w:p w14:paraId="2609B4DC" w14:textId="77777777" w:rsidR="008E2ED2" w:rsidRPr="0018386D" w:rsidRDefault="008E2ED2" w:rsidP="00DD3106">
            <w:pPr>
              <w:pStyle w:val="TableText"/>
              <w:spacing w:before="30" w:after="32"/>
            </w:pPr>
            <w:r w:rsidRPr="0018386D">
              <w:t> </w:t>
            </w:r>
          </w:p>
        </w:tc>
        <w:tc>
          <w:tcPr>
            <w:tcW w:w="1928" w:type="dxa"/>
            <w:noWrap/>
            <w:hideMark/>
          </w:tcPr>
          <w:p w14:paraId="5D6C2CB1" w14:textId="77777777" w:rsidR="008E2ED2" w:rsidRPr="0018386D" w:rsidRDefault="008E2ED2" w:rsidP="00DD3106">
            <w:pPr>
              <w:pStyle w:val="TableText"/>
              <w:spacing w:before="30" w:after="32"/>
            </w:pPr>
            <w:r w:rsidRPr="0018386D">
              <w:t>10,000+ dwt 100+ TEU</w:t>
            </w:r>
          </w:p>
        </w:tc>
        <w:tc>
          <w:tcPr>
            <w:tcW w:w="567" w:type="dxa"/>
            <w:noWrap/>
            <w:hideMark/>
          </w:tcPr>
          <w:p w14:paraId="19FB7B2A"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5FB0AD35" w14:textId="77777777" w:rsidR="008E2ED2" w:rsidRPr="0018386D" w:rsidRDefault="008E2ED2" w:rsidP="00DD3106">
            <w:pPr>
              <w:pStyle w:val="TableText"/>
              <w:spacing w:before="30" w:after="32"/>
            </w:pPr>
            <w:r w:rsidRPr="0018386D">
              <w:t>0.0112</w:t>
            </w:r>
          </w:p>
        </w:tc>
        <w:tc>
          <w:tcPr>
            <w:tcW w:w="1247" w:type="dxa"/>
            <w:noWrap/>
            <w:hideMark/>
          </w:tcPr>
          <w:p w14:paraId="17F1B7E0" w14:textId="77777777" w:rsidR="008E2ED2" w:rsidRPr="0018386D" w:rsidRDefault="008E2ED2" w:rsidP="00DD3106">
            <w:pPr>
              <w:pStyle w:val="TableText"/>
              <w:spacing w:before="30" w:after="32"/>
            </w:pPr>
            <w:r w:rsidRPr="0018386D">
              <w:t>0.0110</w:t>
            </w:r>
          </w:p>
        </w:tc>
        <w:tc>
          <w:tcPr>
            <w:tcW w:w="1247" w:type="dxa"/>
            <w:noWrap/>
            <w:hideMark/>
          </w:tcPr>
          <w:p w14:paraId="2F27DC40" w14:textId="77777777" w:rsidR="008E2ED2" w:rsidRPr="0018386D" w:rsidRDefault="008E2ED2" w:rsidP="00DD3106">
            <w:pPr>
              <w:pStyle w:val="TableText"/>
              <w:spacing w:before="30" w:after="32"/>
            </w:pPr>
            <w:r w:rsidRPr="0018386D">
              <w:t>0.000003</w:t>
            </w:r>
          </w:p>
        </w:tc>
        <w:tc>
          <w:tcPr>
            <w:tcW w:w="1304" w:type="dxa"/>
            <w:noWrap/>
            <w:hideMark/>
          </w:tcPr>
          <w:p w14:paraId="27394EDB" w14:textId="77777777" w:rsidR="008E2ED2" w:rsidRPr="0018386D" w:rsidRDefault="008E2ED2" w:rsidP="00DD3106">
            <w:pPr>
              <w:pStyle w:val="TableText"/>
              <w:spacing w:before="30" w:after="32"/>
            </w:pPr>
            <w:r w:rsidRPr="0018386D">
              <w:t>0.0001</w:t>
            </w:r>
          </w:p>
        </w:tc>
      </w:tr>
      <w:tr w:rsidR="00D86FE8" w:rsidRPr="0018386D" w14:paraId="37876E52" w14:textId="77777777" w:rsidTr="00CD2FDD">
        <w:trPr>
          <w:divId w:val="1140003949"/>
          <w:trHeight w:val="240"/>
        </w:trPr>
        <w:tc>
          <w:tcPr>
            <w:tcW w:w="1247" w:type="dxa"/>
            <w:noWrap/>
            <w:hideMark/>
          </w:tcPr>
          <w:p w14:paraId="0A7F07B6" w14:textId="77777777" w:rsidR="008E2ED2" w:rsidRPr="0018386D" w:rsidRDefault="008E2ED2" w:rsidP="00DD3106">
            <w:pPr>
              <w:pStyle w:val="TableText"/>
              <w:spacing w:before="30" w:after="32"/>
            </w:pPr>
            <w:r w:rsidRPr="0018386D">
              <w:t> </w:t>
            </w:r>
          </w:p>
        </w:tc>
        <w:tc>
          <w:tcPr>
            <w:tcW w:w="1928" w:type="dxa"/>
            <w:noWrap/>
            <w:hideMark/>
          </w:tcPr>
          <w:p w14:paraId="46577E86" w14:textId="77777777" w:rsidR="008E2ED2" w:rsidRPr="0018386D" w:rsidRDefault="008E2ED2" w:rsidP="00DD3106">
            <w:pPr>
              <w:pStyle w:val="TableText"/>
              <w:spacing w:before="30" w:after="32"/>
            </w:pPr>
            <w:r w:rsidRPr="0018386D">
              <w:t>5000–9999 dwt 100+ TEU</w:t>
            </w:r>
          </w:p>
        </w:tc>
        <w:tc>
          <w:tcPr>
            <w:tcW w:w="567" w:type="dxa"/>
            <w:noWrap/>
            <w:hideMark/>
          </w:tcPr>
          <w:p w14:paraId="259DB75E"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E905F13" w14:textId="77777777" w:rsidR="008E2ED2" w:rsidRPr="0018386D" w:rsidRDefault="008E2ED2" w:rsidP="00DD3106">
            <w:pPr>
              <w:pStyle w:val="TableText"/>
              <w:spacing w:before="30" w:after="32"/>
            </w:pPr>
            <w:r w:rsidRPr="0018386D">
              <w:t>0.0177</w:t>
            </w:r>
          </w:p>
        </w:tc>
        <w:tc>
          <w:tcPr>
            <w:tcW w:w="1247" w:type="dxa"/>
            <w:noWrap/>
            <w:hideMark/>
          </w:tcPr>
          <w:p w14:paraId="739C3224" w14:textId="77777777" w:rsidR="008E2ED2" w:rsidRPr="0018386D" w:rsidRDefault="008E2ED2" w:rsidP="00DD3106">
            <w:pPr>
              <w:pStyle w:val="TableText"/>
              <w:spacing w:before="30" w:after="32"/>
            </w:pPr>
            <w:r w:rsidRPr="0018386D">
              <w:t>0.0175</w:t>
            </w:r>
          </w:p>
        </w:tc>
        <w:tc>
          <w:tcPr>
            <w:tcW w:w="1247" w:type="dxa"/>
            <w:noWrap/>
            <w:hideMark/>
          </w:tcPr>
          <w:p w14:paraId="4A3C91E7" w14:textId="77777777" w:rsidR="008E2ED2" w:rsidRPr="0018386D" w:rsidRDefault="008E2ED2" w:rsidP="00DD3106">
            <w:pPr>
              <w:pStyle w:val="TableText"/>
              <w:spacing w:before="30" w:after="32"/>
            </w:pPr>
            <w:r w:rsidRPr="0018386D">
              <w:t>0.000005</w:t>
            </w:r>
          </w:p>
        </w:tc>
        <w:tc>
          <w:tcPr>
            <w:tcW w:w="1304" w:type="dxa"/>
            <w:noWrap/>
            <w:hideMark/>
          </w:tcPr>
          <w:p w14:paraId="10B62A74" w14:textId="77777777" w:rsidR="008E2ED2" w:rsidRPr="0018386D" w:rsidRDefault="008E2ED2" w:rsidP="00DD3106">
            <w:pPr>
              <w:pStyle w:val="TableText"/>
              <w:spacing w:before="30" w:after="32"/>
            </w:pPr>
            <w:r w:rsidRPr="0018386D">
              <w:t>0.0002</w:t>
            </w:r>
          </w:p>
        </w:tc>
      </w:tr>
      <w:tr w:rsidR="00D86FE8" w:rsidRPr="0018386D" w14:paraId="79F82B88" w14:textId="77777777" w:rsidTr="00CD2FDD">
        <w:trPr>
          <w:divId w:val="1140003949"/>
          <w:trHeight w:val="240"/>
        </w:trPr>
        <w:tc>
          <w:tcPr>
            <w:tcW w:w="1247" w:type="dxa"/>
            <w:noWrap/>
            <w:hideMark/>
          </w:tcPr>
          <w:p w14:paraId="61A012E2" w14:textId="77777777" w:rsidR="008E2ED2" w:rsidRPr="0018386D" w:rsidRDefault="008E2ED2" w:rsidP="00DD3106">
            <w:pPr>
              <w:pStyle w:val="TableText"/>
              <w:spacing w:before="30" w:after="32"/>
            </w:pPr>
            <w:r w:rsidRPr="0018386D">
              <w:t> </w:t>
            </w:r>
          </w:p>
        </w:tc>
        <w:tc>
          <w:tcPr>
            <w:tcW w:w="1928" w:type="dxa"/>
            <w:noWrap/>
            <w:hideMark/>
          </w:tcPr>
          <w:p w14:paraId="550152CC" w14:textId="77777777" w:rsidR="008E2ED2" w:rsidRPr="0018386D" w:rsidRDefault="008E2ED2" w:rsidP="00DD3106">
            <w:pPr>
              <w:pStyle w:val="TableText"/>
              <w:spacing w:before="30" w:after="32"/>
            </w:pPr>
            <w:r w:rsidRPr="0018386D">
              <w:t>0–4999 dwt 100+ TEU</w:t>
            </w:r>
          </w:p>
        </w:tc>
        <w:tc>
          <w:tcPr>
            <w:tcW w:w="567" w:type="dxa"/>
            <w:noWrap/>
            <w:hideMark/>
          </w:tcPr>
          <w:p w14:paraId="2ED24F20"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5532517F" w14:textId="77777777" w:rsidR="008E2ED2" w:rsidRPr="0018386D" w:rsidRDefault="008E2ED2" w:rsidP="00DD3106">
            <w:pPr>
              <w:pStyle w:val="TableText"/>
              <w:spacing w:before="30" w:after="32"/>
            </w:pPr>
            <w:r w:rsidRPr="0018386D">
              <w:t>0.0201</w:t>
            </w:r>
          </w:p>
        </w:tc>
        <w:tc>
          <w:tcPr>
            <w:tcW w:w="1247" w:type="dxa"/>
            <w:noWrap/>
            <w:hideMark/>
          </w:tcPr>
          <w:p w14:paraId="066D4AEF" w14:textId="77777777" w:rsidR="008E2ED2" w:rsidRPr="0018386D" w:rsidRDefault="008E2ED2" w:rsidP="00DD3106">
            <w:pPr>
              <w:pStyle w:val="TableText"/>
              <w:spacing w:before="30" w:after="32"/>
            </w:pPr>
            <w:r w:rsidRPr="0018386D">
              <w:t>0.0198</w:t>
            </w:r>
          </w:p>
        </w:tc>
        <w:tc>
          <w:tcPr>
            <w:tcW w:w="1247" w:type="dxa"/>
            <w:noWrap/>
            <w:hideMark/>
          </w:tcPr>
          <w:p w14:paraId="29E0657A" w14:textId="77777777" w:rsidR="008E2ED2" w:rsidRPr="0018386D" w:rsidRDefault="008E2ED2" w:rsidP="00DD3106">
            <w:pPr>
              <w:pStyle w:val="TableText"/>
              <w:spacing w:before="30" w:after="32"/>
            </w:pPr>
            <w:r w:rsidRPr="0018386D">
              <w:t>0.000006</w:t>
            </w:r>
          </w:p>
        </w:tc>
        <w:tc>
          <w:tcPr>
            <w:tcW w:w="1304" w:type="dxa"/>
            <w:noWrap/>
            <w:hideMark/>
          </w:tcPr>
          <w:p w14:paraId="20A1CB12" w14:textId="77777777" w:rsidR="008E2ED2" w:rsidRPr="0018386D" w:rsidRDefault="008E2ED2" w:rsidP="00DD3106">
            <w:pPr>
              <w:pStyle w:val="TableText"/>
              <w:spacing w:before="30" w:after="32"/>
            </w:pPr>
            <w:r w:rsidRPr="0018386D">
              <w:t>0.0003</w:t>
            </w:r>
          </w:p>
        </w:tc>
      </w:tr>
      <w:tr w:rsidR="00D86FE8" w:rsidRPr="0018386D" w14:paraId="1F604482" w14:textId="77777777" w:rsidTr="00CD2FDD">
        <w:trPr>
          <w:divId w:val="1140003949"/>
          <w:trHeight w:val="240"/>
        </w:trPr>
        <w:tc>
          <w:tcPr>
            <w:tcW w:w="1247" w:type="dxa"/>
            <w:noWrap/>
            <w:hideMark/>
          </w:tcPr>
          <w:p w14:paraId="40AAF0E0" w14:textId="77777777" w:rsidR="008E2ED2" w:rsidRPr="0018386D" w:rsidRDefault="008E2ED2" w:rsidP="00DD3106">
            <w:pPr>
              <w:pStyle w:val="TableText"/>
              <w:spacing w:before="30" w:after="32"/>
            </w:pPr>
            <w:r w:rsidRPr="0018386D">
              <w:t> </w:t>
            </w:r>
          </w:p>
        </w:tc>
        <w:tc>
          <w:tcPr>
            <w:tcW w:w="1928" w:type="dxa"/>
            <w:noWrap/>
            <w:hideMark/>
          </w:tcPr>
          <w:p w14:paraId="78E78D93" w14:textId="77777777" w:rsidR="008E2ED2" w:rsidRPr="0018386D" w:rsidRDefault="008E2ED2" w:rsidP="00DD3106">
            <w:pPr>
              <w:pStyle w:val="TableText"/>
              <w:spacing w:before="30" w:after="32"/>
            </w:pPr>
            <w:r w:rsidRPr="0018386D">
              <w:t>Average</w:t>
            </w:r>
          </w:p>
        </w:tc>
        <w:tc>
          <w:tcPr>
            <w:tcW w:w="567" w:type="dxa"/>
            <w:noWrap/>
            <w:hideMark/>
          </w:tcPr>
          <w:p w14:paraId="662F3630"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3C3EBDF5" w14:textId="77777777" w:rsidR="008E2ED2" w:rsidRPr="0018386D" w:rsidRDefault="008E2ED2" w:rsidP="00DD3106">
            <w:pPr>
              <w:pStyle w:val="TableText"/>
              <w:spacing w:before="30" w:after="32"/>
            </w:pPr>
            <w:r w:rsidRPr="0018386D">
              <w:t>0.0133</w:t>
            </w:r>
          </w:p>
        </w:tc>
        <w:tc>
          <w:tcPr>
            <w:tcW w:w="1247" w:type="dxa"/>
            <w:noWrap/>
            <w:hideMark/>
          </w:tcPr>
          <w:p w14:paraId="4E0A36C5" w14:textId="77777777" w:rsidR="008E2ED2" w:rsidRPr="0018386D" w:rsidRDefault="008E2ED2" w:rsidP="00DD3106">
            <w:pPr>
              <w:pStyle w:val="TableText"/>
              <w:spacing w:before="30" w:after="32"/>
            </w:pPr>
            <w:r w:rsidRPr="0018386D">
              <w:t>0.0131</w:t>
            </w:r>
          </w:p>
        </w:tc>
        <w:tc>
          <w:tcPr>
            <w:tcW w:w="1247" w:type="dxa"/>
            <w:noWrap/>
            <w:hideMark/>
          </w:tcPr>
          <w:p w14:paraId="78E40A71" w14:textId="77777777" w:rsidR="008E2ED2" w:rsidRPr="0018386D" w:rsidRDefault="008E2ED2" w:rsidP="00DD3106">
            <w:pPr>
              <w:pStyle w:val="TableText"/>
              <w:spacing w:before="30" w:after="32"/>
            </w:pPr>
            <w:r w:rsidRPr="0018386D">
              <w:t>0.000004</w:t>
            </w:r>
          </w:p>
        </w:tc>
        <w:tc>
          <w:tcPr>
            <w:tcW w:w="1304" w:type="dxa"/>
            <w:noWrap/>
            <w:hideMark/>
          </w:tcPr>
          <w:p w14:paraId="5F7179F3" w14:textId="77777777" w:rsidR="008E2ED2" w:rsidRPr="0018386D" w:rsidRDefault="008E2ED2" w:rsidP="00DD3106">
            <w:pPr>
              <w:pStyle w:val="TableText"/>
              <w:spacing w:before="30" w:after="32"/>
            </w:pPr>
            <w:r w:rsidRPr="0018386D">
              <w:t>0.0002</w:t>
            </w:r>
          </w:p>
        </w:tc>
      </w:tr>
      <w:tr w:rsidR="00D86FE8" w:rsidRPr="0018386D" w14:paraId="4E567D10" w14:textId="77777777" w:rsidTr="00CD2FDD">
        <w:trPr>
          <w:divId w:val="1140003949"/>
          <w:trHeight w:val="240"/>
        </w:trPr>
        <w:tc>
          <w:tcPr>
            <w:tcW w:w="1247" w:type="dxa"/>
            <w:noWrap/>
            <w:hideMark/>
          </w:tcPr>
          <w:p w14:paraId="4B30F1EA" w14:textId="77777777" w:rsidR="008E2ED2" w:rsidRPr="0018386D" w:rsidRDefault="008E2ED2" w:rsidP="00DD3106">
            <w:pPr>
              <w:pStyle w:val="TableText"/>
              <w:spacing w:before="30" w:after="32"/>
            </w:pPr>
            <w:r w:rsidRPr="0018386D">
              <w:t>Container ship</w:t>
            </w:r>
          </w:p>
        </w:tc>
        <w:tc>
          <w:tcPr>
            <w:tcW w:w="1928" w:type="dxa"/>
            <w:noWrap/>
            <w:hideMark/>
          </w:tcPr>
          <w:p w14:paraId="2FBD6AD0" w14:textId="77777777" w:rsidR="008E2ED2" w:rsidRPr="0018386D" w:rsidRDefault="008E2ED2" w:rsidP="00DD3106">
            <w:pPr>
              <w:pStyle w:val="TableText"/>
              <w:spacing w:before="30" w:after="32"/>
            </w:pPr>
            <w:r w:rsidRPr="0018386D">
              <w:t>8000+ TEU</w:t>
            </w:r>
          </w:p>
        </w:tc>
        <w:tc>
          <w:tcPr>
            <w:tcW w:w="567" w:type="dxa"/>
            <w:noWrap/>
            <w:hideMark/>
          </w:tcPr>
          <w:p w14:paraId="10B76803"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671DE246" w14:textId="77777777" w:rsidR="008E2ED2" w:rsidRPr="0018386D" w:rsidRDefault="008E2ED2" w:rsidP="00DD3106">
            <w:pPr>
              <w:pStyle w:val="TableText"/>
              <w:spacing w:before="30" w:after="32"/>
            </w:pPr>
            <w:r w:rsidRPr="0018386D">
              <w:t>0.0127</w:t>
            </w:r>
          </w:p>
        </w:tc>
        <w:tc>
          <w:tcPr>
            <w:tcW w:w="1247" w:type="dxa"/>
            <w:noWrap/>
            <w:hideMark/>
          </w:tcPr>
          <w:p w14:paraId="007E9790" w14:textId="77777777" w:rsidR="008E2ED2" w:rsidRPr="0018386D" w:rsidRDefault="008E2ED2" w:rsidP="00DD3106">
            <w:pPr>
              <w:pStyle w:val="TableText"/>
              <w:spacing w:before="30" w:after="32"/>
            </w:pPr>
            <w:r w:rsidRPr="0018386D">
              <w:t>0.0125</w:t>
            </w:r>
          </w:p>
        </w:tc>
        <w:tc>
          <w:tcPr>
            <w:tcW w:w="1247" w:type="dxa"/>
            <w:noWrap/>
            <w:hideMark/>
          </w:tcPr>
          <w:p w14:paraId="138913A8" w14:textId="77777777" w:rsidR="008E2ED2" w:rsidRPr="0018386D" w:rsidRDefault="008E2ED2" w:rsidP="00DD3106">
            <w:pPr>
              <w:pStyle w:val="TableText"/>
              <w:spacing w:before="30" w:after="32"/>
            </w:pPr>
            <w:r w:rsidRPr="0018386D">
              <w:t>0.000004</w:t>
            </w:r>
          </w:p>
        </w:tc>
        <w:tc>
          <w:tcPr>
            <w:tcW w:w="1304" w:type="dxa"/>
            <w:noWrap/>
            <w:hideMark/>
          </w:tcPr>
          <w:p w14:paraId="0CC3CB2F" w14:textId="77777777" w:rsidR="008E2ED2" w:rsidRPr="0018386D" w:rsidRDefault="008E2ED2" w:rsidP="00DD3106">
            <w:pPr>
              <w:pStyle w:val="TableText"/>
              <w:spacing w:before="30" w:after="32"/>
            </w:pPr>
            <w:r w:rsidRPr="0018386D">
              <w:t>0.0002</w:t>
            </w:r>
          </w:p>
        </w:tc>
      </w:tr>
      <w:tr w:rsidR="00D86FE8" w:rsidRPr="0018386D" w14:paraId="09833C15" w14:textId="77777777" w:rsidTr="00CD2FDD">
        <w:trPr>
          <w:divId w:val="1140003949"/>
          <w:trHeight w:val="240"/>
        </w:trPr>
        <w:tc>
          <w:tcPr>
            <w:tcW w:w="1247" w:type="dxa"/>
            <w:noWrap/>
            <w:hideMark/>
          </w:tcPr>
          <w:p w14:paraId="6708ACBC" w14:textId="77777777" w:rsidR="008E2ED2" w:rsidRPr="0018386D" w:rsidRDefault="008E2ED2" w:rsidP="00DD3106">
            <w:pPr>
              <w:pStyle w:val="TableText"/>
              <w:spacing w:before="30" w:after="32"/>
            </w:pPr>
            <w:r w:rsidRPr="0018386D">
              <w:t> </w:t>
            </w:r>
          </w:p>
        </w:tc>
        <w:tc>
          <w:tcPr>
            <w:tcW w:w="1928" w:type="dxa"/>
            <w:noWrap/>
            <w:hideMark/>
          </w:tcPr>
          <w:p w14:paraId="52D78941" w14:textId="77777777" w:rsidR="008E2ED2" w:rsidRPr="0018386D" w:rsidRDefault="008E2ED2" w:rsidP="00DD3106">
            <w:pPr>
              <w:pStyle w:val="TableText"/>
              <w:spacing w:before="30" w:after="32"/>
            </w:pPr>
            <w:r w:rsidRPr="0018386D">
              <w:t>5000–7999 TEU</w:t>
            </w:r>
          </w:p>
        </w:tc>
        <w:tc>
          <w:tcPr>
            <w:tcW w:w="567" w:type="dxa"/>
            <w:noWrap/>
            <w:hideMark/>
          </w:tcPr>
          <w:p w14:paraId="31B95E1A"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F5BDCF8" w14:textId="77777777" w:rsidR="008E2ED2" w:rsidRPr="0018386D" w:rsidRDefault="008E2ED2" w:rsidP="00DD3106">
            <w:pPr>
              <w:pStyle w:val="TableText"/>
              <w:spacing w:before="30" w:after="32"/>
            </w:pPr>
            <w:r w:rsidRPr="0018386D">
              <w:t>0.0168</w:t>
            </w:r>
          </w:p>
        </w:tc>
        <w:tc>
          <w:tcPr>
            <w:tcW w:w="1247" w:type="dxa"/>
            <w:noWrap/>
            <w:hideMark/>
          </w:tcPr>
          <w:p w14:paraId="7238E18B" w14:textId="77777777" w:rsidR="008E2ED2" w:rsidRPr="0018386D" w:rsidRDefault="008E2ED2" w:rsidP="00DD3106">
            <w:pPr>
              <w:pStyle w:val="TableText"/>
              <w:spacing w:before="30" w:after="32"/>
            </w:pPr>
            <w:r w:rsidRPr="0018386D">
              <w:t>0.0166</w:t>
            </w:r>
          </w:p>
        </w:tc>
        <w:tc>
          <w:tcPr>
            <w:tcW w:w="1247" w:type="dxa"/>
            <w:noWrap/>
            <w:hideMark/>
          </w:tcPr>
          <w:p w14:paraId="0B318E55" w14:textId="77777777" w:rsidR="008E2ED2" w:rsidRPr="0018386D" w:rsidRDefault="008E2ED2" w:rsidP="00DD3106">
            <w:pPr>
              <w:pStyle w:val="TableText"/>
              <w:spacing w:before="30" w:after="32"/>
            </w:pPr>
            <w:r w:rsidRPr="0018386D">
              <w:t>0.000005</w:t>
            </w:r>
          </w:p>
        </w:tc>
        <w:tc>
          <w:tcPr>
            <w:tcW w:w="1304" w:type="dxa"/>
            <w:noWrap/>
            <w:hideMark/>
          </w:tcPr>
          <w:p w14:paraId="072DF7AC" w14:textId="77777777" w:rsidR="008E2ED2" w:rsidRPr="0018386D" w:rsidRDefault="008E2ED2" w:rsidP="00DD3106">
            <w:pPr>
              <w:pStyle w:val="TableText"/>
              <w:spacing w:before="30" w:after="32"/>
            </w:pPr>
            <w:r w:rsidRPr="0018386D">
              <w:t>0.0002</w:t>
            </w:r>
          </w:p>
        </w:tc>
      </w:tr>
      <w:tr w:rsidR="00D86FE8" w:rsidRPr="0018386D" w14:paraId="62D68A68" w14:textId="77777777" w:rsidTr="00CD2FDD">
        <w:trPr>
          <w:divId w:val="1140003949"/>
          <w:trHeight w:val="240"/>
        </w:trPr>
        <w:tc>
          <w:tcPr>
            <w:tcW w:w="1247" w:type="dxa"/>
            <w:noWrap/>
            <w:hideMark/>
          </w:tcPr>
          <w:p w14:paraId="0AA4A6C2" w14:textId="77777777" w:rsidR="008E2ED2" w:rsidRPr="0018386D" w:rsidRDefault="008E2ED2" w:rsidP="00DD3106">
            <w:pPr>
              <w:pStyle w:val="TableText"/>
              <w:spacing w:before="30" w:after="32"/>
            </w:pPr>
            <w:r w:rsidRPr="0018386D">
              <w:t> </w:t>
            </w:r>
          </w:p>
        </w:tc>
        <w:tc>
          <w:tcPr>
            <w:tcW w:w="1928" w:type="dxa"/>
            <w:noWrap/>
            <w:hideMark/>
          </w:tcPr>
          <w:p w14:paraId="699E0BA2" w14:textId="77777777" w:rsidR="008E2ED2" w:rsidRPr="0018386D" w:rsidRDefault="008E2ED2" w:rsidP="00DD3106">
            <w:pPr>
              <w:pStyle w:val="TableText"/>
              <w:spacing w:before="30" w:after="32"/>
            </w:pPr>
            <w:r w:rsidRPr="0018386D">
              <w:t>3000–4999 TEU</w:t>
            </w:r>
          </w:p>
        </w:tc>
        <w:tc>
          <w:tcPr>
            <w:tcW w:w="567" w:type="dxa"/>
            <w:noWrap/>
            <w:hideMark/>
          </w:tcPr>
          <w:p w14:paraId="6F3137AA"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4E317196" w14:textId="77777777" w:rsidR="008E2ED2" w:rsidRPr="0018386D" w:rsidRDefault="008E2ED2" w:rsidP="00DD3106">
            <w:pPr>
              <w:pStyle w:val="TableText"/>
              <w:spacing w:before="30" w:after="32"/>
            </w:pPr>
            <w:r w:rsidRPr="0018386D">
              <w:t>0.0168</w:t>
            </w:r>
          </w:p>
        </w:tc>
        <w:tc>
          <w:tcPr>
            <w:tcW w:w="1247" w:type="dxa"/>
            <w:noWrap/>
            <w:hideMark/>
          </w:tcPr>
          <w:p w14:paraId="59DF7902" w14:textId="77777777" w:rsidR="008E2ED2" w:rsidRPr="0018386D" w:rsidRDefault="008E2ED2" w:rsidP="00DD3106">
            <w:pPr>
              <w:pStyle w:val="TableText"/>
              <w:spacing w:before="30" w:after="32"/>
            </w:pPr>
            <w:r w:rsidRPr="0018386D">
              <w:t>0.0166</w:t>
            </w:r>
          </w:p>
        </w:tc>
        <w:tc>
          <w:tcPr>
            <w:tcW w:w="1247" w:type="dxa"/>
            <w:noWrap/>
            <w:hideMark/>
          </w:tcPr>
          <w:p w14:paraId="6D3222AE" w14:textId="77777777" w:rsidR="008E2ED2" w:rsidRPr="0018386D" w:rsidRDefault="008E2ED2" w:rsidP="00DD3106">
            <w:pPr>
              <w:pStyle w:val="TableText"/>
              <w:spacing w:before="30" w:after="32"/>
            </w:pPr>
            <w:r w:rsidRPr="0018386D">
              <w:t>0.000005</w:t>
            </w:r>
          </w:p>
        </w:tc>
        <w:tc>
          <w:tcPr>
            <w:tcW w:w="1304" w:type="dxa"/>
            <w:noWrap/>
            <w:hideMark/>
          </w:tcPr>
          <w:p w14:paraId="37696F10" w14:textId="77777777" w:rsidR="008E2ED2" w:rsidRPr="0018386D" w:rsidRDefault="008E2ED2" w:rsidP="00DD3106">
            <w:pPr>
              <w:pStyle w:val="TableText"/>
              <w:spacing w:before="30" w:after="32"/>
            </w:pPr>
            <w:r w:rsidRPr="0018386D">
              <w:t>0.0002</w:t>
            </w:r>
          </w:p>
        </w:tc>
      </w:tr>
      <w:tr w:rsidR="00D86FE8" w:rsidRPr="0018386D" w14:paraId="5FDE29B0" w14:textId="77777777" w:rsidTr="00CD2FDD">
        <w:trPr>
          <w:divId w:val="1140003949"/>
          <w:trHeight w:val="240"/>
        </w:trPr>
        <w:tc>
          <w:tcPr>
            <w:tcW w:w="1247" w:type="dxa"/>
            <w:noWrap/>
            <w:hideMark/>
          </w:tcPr>
          <w:p w14:paraId="5B88B090" w14:textId="77777777" w:rsidR="008E2ED2" w:rsidRPr="0018386D" w:rsidRDefault="008E2ED2" w:rsidP="00DD3106">
            <w:pPr>
              <w:pStyle w:val="TableText"/>
              <w:spacing w:before="30" w:after="32"/>
            </w:pPr>
            <w:r w:rsidRPr="0018386D">
              <w:t> </w:t>
            </w:r>
          </w:p>
        </w:tc>
        <w:tc>
          <w:tcPr>
            <w:tcW w:w="1928" w:type="dxa"/>
            <w:noWrap/>
            <w:hideMark/>
          </w:tcPr>
          <w:p w14:paraId="25EA7D06" w14:textId="77777777" w:rsidR="008E2ED2" w:rsidRPr="0018386D" w:rsidRDefault="008E2ED2" w:rsidP="00DD3106">
            <w:pPr>
              <w:pStyle w:val="TableText"/>
              <w:spacing w:before="30" w:after="32"/>
            </w:pPr>
            <w:r w:rsidRPr="0018386D">
              <w:t>2000–2999 TEU</w:t>
            </w:r>
          </w:p>
        </w:tc>
        <w:tc>
          <w:tcPr>
            <w:tcW w:w="567" w:type="dxa"/>
            <w:noWrap/>
            <w:hideMark/>
          </w:tcPr>
          <w:p w14:paraId="2FCB1A8F"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1DC6AF73" w14:textId="77777777" w:rsidR="008E2ED2" w:rsidRPr="0018386D" w:rsidRDefault="008E2ED2" w:rsidP="00DD3106">
            <w:pPr>
              <w:pStyle w:val="TableText"/>
              <w:spacing w:before="30" w:after="32"/>
            </w:pPr>
            <w:r w:rsidRPr="0018386D">
              <w:t>0.0203</w:t>
            </w:r>
          </w:p>
        </w:tc>
        <w:tc>
          <w:tcPr>
            <w:tcW w:w="1247" w:type="dxa"/>
            <w:noWrap/>
            <w:hideMark/>
          </w:tcPr>
          <w:p w14:paraId="6A459DE6" w14:textId="77777777" w:rsidR="008E2ED2" w:rsidRPr="0018386D" w:rsidRDefault="008E2ED2" w:rsidP="00DD3106">
            <w:pPr>
              <w:pStyle w:val="TableText"/>
              <w:spacing w:before="30" w:after="32"/>
            </w:pPr>
            <w:r w:rsidRPr="0018386D">
              <w:t>0.0200</w:t>
            </w:r>
          </w:p>
        </w:tc>
        <w:tc>
          <w:tcPr>
            <w:tcW w:w="1247" w:type="dxa"/>
            <w:noWrap/>
            <w:hideMark/>
          </w:tcPr>
          <w:p w14:paraId="0BC77991" w14:textId="77777777" w:rsidR="008E2ED2" w:rsidRPr="0018386D" w:rsidRDefault="008E2ED2" w:rsidP="00DD3106">
            <w:pPr>
              <w:pStyle w:val="TableText"/>
              <w:spacing w:before="30" w:after="32"/>
            </w:pPr>
            <w:r w:rsidRPr="0018386D">
              <w:t>0.000006</w:t>
            </w:r>
          </w:p>
        </w:tc>
        <w:tc>
          <w:tcPr>
            <w:tcW w:w="1304" w:type="dxa"/>
            <w:noWrap/>
            <w:hideMark/>
          </w:tcPr>
          <w:p w14:paraId="7E8F708F" w14:textId="77777777" w:rsidR="008E2ED2" w:rsidRPr="0018386D" w:rsidRDefault="008E2ED2" w:rsidP="00DD3106">
            <w:pPr>
              <w:pStyle w:val="TableText"/>
              <w:spacing w:before="30" w:after="32"/>
            </w:pPr>
            <w:r w:rsidRPr="0018386D">
              <w:t>0.0003</w:t>
            </w:r>
          </w:p>
        </w:tc>
      </w:tr>
      <w:tr w:rsidR="00D86FE8" w:rsidRPr="0018386D" w14:paraId="49AD8CBD" w14:textId="77777777" w:rsidTr="00CD2FDD">
        <w:trPr>
          <w:divId w:val="1140003949"/>
          <w:trHeight w:val="240"/>
        </w:trPr>
        <w:tc>
          <w:tcPr>
            <w:tcW w:w="1247" w:type="dxa"/>
            <w:noWrap/>
            <w:hideMark/>
          </w:tcPr>
          <w:p w14:paraId="68F23BFF" w14:textId="77777777" w:rsidR="008E2ED2" w:rsidRPr="0018386D" w:rsidRDefault="008E2ED2" w:rsidP="00DD3106">
            <w:pPr>
              <w:pStyle w:val="TableText"/>
              <w:spacing w:before="30" w:after="32"/>
            </w:pPr>
            <w:r w:rsidRPr="0018386D">
              <w:t> </w:t>
            </w:r>
          </w:p>
        </w:tc>
        <w:tc>
          <w:tcPr>
            <w:tcW w:w="1928" w:type="dxa"/>
            <w:noWrap/>
            <w:hideMark/>
          </w:tcPr>
          <w:p w14:paraId="2FF49787" w14:textId="77777777" w:rsidR="008E2ED2" w:rsidRPr="0018386D" w:rsidRDefault="008E2ED2" w:rsidP="00DD3106">
            <w:pPr>
              <w:pStyle w:val="TableText"/>
              <w:spacing w:before="30" w:after="32"/>
            </w:pPr>
            <w:r w:rsidRPr="0018386D">
              <w:t>1000–1999 TEU</w:t>
            </w:r>
          </w:p>
        </w:tc>
        <w:tc>
          <w:tcPr>
            <w:tcW w:w="567" w:type="dxa"/>
            <w:noWrap/>
            <w:hideMark/>
          </w:tcPr>
          <w:p w14:paraId="5565F37A"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433A7C91" w14:textId="77777777" w:rsidR="008E2ED2" w:rsidRPr="0018386D" w:rsidRDefault="008E2ED2" w:rsidP="00DD3106">
            <w:pPr>
              <w:pStyle w:val="TableText"/>
              <w:spacing w:before="30" w:after="32"/>
            </w:pPr>
            <w:r w:rsidRPr="0018386D">
              <w:t>0.0325</w:t>
            </w:r>
          </w:p>
        </w:tc>
        <w:tc>
          <w:tcPr>
            <w:tcW w:w="1247" w:type="dxa"/>
            <w:noWrap/>
            <w:hideMark/>
          </w:tcPr>
          <w:p w14:paraId="35C99A12" w14:textId="77777777" w:rsidR="008E2ED2" w:rsidRPr="0018386D" w:rsidRDefault="008E2ED2" w:rsidP="00DD3106">
            <w:pPr>
              <w:pStyle w:val="TableText"/>
              <w:spacing w:before="30" w:after="32"/>
            </w:pPr>
            <w:r w:rsidRPr="0018386D">
              <w:t>0.0321</w:t>
            </w:r>
          </w:p>
        </w:tc>
        <w:tc>
          <w:tcPr>
            <w:tcW w:w="1247" w:type="dxa"/>
            <w:noWrap/>
            <w:hideMark/>
          </w:tcPr>
          <w:p w14:paraId="122884C0" w14:textId="77777777" w:rsidR="008E2ED2" w:rsidRPr="0018386D" w:rsidRDefault="008E2ED2" w:rsidP="00DD3106">
            <w:pPr>
              <w:pStyle w:val="TableText"/>
              <w:spacing w:before="30" w:after="32"/>
            </w:pPr>
            <w:r w:rsidRPr="0018386D">
              <w:t>0.00001</w:t>
            </w:r>
          </w:p>
        </w:tc>
        <w:tc>
          <w:tcPr>
            <w:tcW w:w="1304" w:type="dxa"/>
            <w:noWrap/>
            <w:hideMark/>
          </w:tcPr>
          <w:p w14:paraId="377975EB" w14:textId="77777777" w:rsidR="008E2ED2" w:rsidRPr="0018386D" w:rsidRDefault="008E2ED2" w:rsidP="00DD3106">
            <w:pPr>
              <w:pStyle w:val="TableText"/>
              <w:spacing w:before="30" w:after="32"/>
            </w:pPr>
            <w:r w:rsidRPr="0018386D">
              <w:t>0.0004</w:t>
            </w:r>
          </w:p>
        </w:tc>
      </w:tr>
      <w:tr w:rsidR="00D86FE8" w:rsidRPr="0018386D" w14:paraId="2A78214B" w14:textId="77777777" w:rsidTr="00CD2FDD">
        <w:trPr>
          <w:divId w:val="1140003949"/>
          <w:trHeight w:val="240"/>
        </w:trPr>
        <w:tc>
          <w:tcPr>
            <w:tcW w:w="1247" w:type="dxa"/>
            <w:noWrap/>
            <w:hideMark/>
          </w:tcPr>
          <w:p w14:paraId="21FD1CBB" w14:textId="77777777" w:rsidR="008E2ED2" w:rsidRPr="0018386D" w:rsidRDefault="008E2ED2" w:rsidP="00DD3106">
            <w:pPr>
              <w:pStyle w:val="TableText"/>
              <w:spacing w:before="30" w:after="32"/>
            </w:pPr>
            <w:r w:rsidRPr="0018386D">
              <w:t> </w:t>
            </w:r>
          </w:p>
        </w:tc>
        <w:tc>
          <w:tcPr>
            <w:tcW w:w="1928" w:type="dxa"/>
            <w:noWrap/>
            <w:hideMark/>
          </w:tcPr>
          <w:p w14:paraId="06440542" w14:textId="77777777" w:rsidR="008E2ED2" w:rsidRPr="0018386D" w:rsidRDefault="008E2ED2" w:rsidP="00DD3106">
            <w:pPr>
              <w:pStyle w:val="TableText"/>
              <w:spacing w:before="30" w:after="32"/>
            </w:pPr>
            <w:r w:rsidRPr="0018386D">
              <w:t>0–999 TEU</w:t>
            </w:r>
          </w:p>
        </w:tc>
        <w:tc>
          <w:tcPr>
            <w:tcW w:w="567" w:type="dxa"/>
            <w:noWrap/>
            <w:hideMark/>
          </w:tcPr>
          <w:p w14:paraId="7A8A67DA"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ABEFCD9" w14:textId="77777777" w:rsidR="008E2ED2" w:rsidRPr="0018386D" w:rsidRDefault="008E2ED2" w:rsidP="00DD3106">
            <w:pPr>
              <w:pStyle w:val="TableText"/>
              <w:spacing w:before="30" w:after="32"/>
            </w:pPr>
            <w:r w:rsidRPr="0018386D">
              <w:t>0.0368</w:t>
            </w:r>
          </w:p>
        </w:tc>
        <w:tc>
          <w:tcPr>
            <w:tcW w:w="1247" w:type="dxa"/>
            <w:noWrap/>
            <w:hideMark/>
          </w:tcPr>
          <w:p w14:paraId="7BF6E4F9" w14:textId="77777777" w:rsidR="008E2ED2" w:rsidRPr="0018386D" w:rsidRDefault="008E2ED2" w:rsidP="00DD3106">
            <w:pPr>
              <w:pStyle w:val="TableText"/>
              <w:spacing w:before="30" w:after="32"/>
            </w:pPr>
            <w:r w:rsidRPr="0018386D">
              <w:t>0.0363</w:t>
            </w:r>
          </w:p>
        </w:tc>
        <w:tc>
          <w:tcPr>
            <w:tcW w:w="1247" w:type="dxa"/>
            <w:noWrap/>
            <w:hideMark/>
          </w:tcPr>
          <w:p w14:paraId="49BB23FC" w14:textId="77777777" w:rsidR="008E2ED2" w:rsidRPr="0018386D" w:rsidRDefault="008E2ED2" w:rsidP="00DD3106">
            <w:pPr>
              <w:pStyle w:val="TableText"/>
              <w:spacing w:before="30" w:after="32"/>
            </w:pPr>
            <w:r w:rsidRPr="0018386D">
              <w:t>0.00001</w:t>
            </w:r>
          </w:p>
        </w:tc>
        <w:tc>
          <w:tcPr>
            <w:tcW w:w="1304" w:type="dxa"/>
            <w:noWrap/>
            <w:hideMark/>
          </w:tcPr>
          <w:p w14:paraId="2B605A62" w14:textId="77777777" w:rsidR="008E2ED2" w:rsidRPr="0018386D" w:rsidRDefault="008E2ED2" w:rsidP="00DD3106">
            <w:pPr>
              <w:pStyle w:val="TableText"/>
              <w:spacing w:before="30" w:after="32"/>
            </w:pPr>
            <w:r w:rsidRPr="0018386D">
              <w:t>0.0005</w:t>
            </w:r>
          </w:p>
        </w:tc>
      </w:tr>
      <w:tr w:rsidR="00D86FE8" w:rsidRPr="0018386D" w14:paraId="3873370D" w14:textId="77777777" w:rsidTr="00CD2FDD">
        <w:trPr>
          <w:divId w:val="1140003949"/>
          <w:trHeight w:val="240"/>
        </w:trPr>
        <w:tc>
          <w:tcPr>
            <w:tcW w:w="1247" w:type="dxa"/>
            <w:noWrap/>
            <w:hideMark/>
          </w:tcPr>
          <w:p w14:paraId="5DA1FCDB" w14:textId="77777777" w:rsidR="008E2ED2" w:rsidRPr="0018386D" w:rsidRDefault="008E2ED2" w:rsidP="00DD3106">
            <w:pPr>
              <w:pStyle w:val="TableText"/>
              <w:spacing w:before="30" w:after="32"/>
            </w:pPr>
            <w:r w:rsidRPr="0018386D">
              <w:t> </w:t>
            </w:r>
          </w:p>
        </w:tc>
        <w:tc>
          <w:tcPr>
            <w:tcW w:w="1928" w:type="dxa"/>
            <w:noWrap/>
            <w:hideMark/>
          </w:tcPr>
          <w:p w14:paraId="2A6E49C2" w14:textId="77777777" w:rsidR="008E2ED2" w:rsidRPr="0018386D" w:rsidRDefault="008E2ED2" w:rsidP="00DD3106">
            <w:pPr>
              <w:pStyle w:val="TableText"/>
              <w:spacing w:before="30" w:after="32"/>
            </w:pPr>
            <w:r w:rsidRPr="0018386D">
              <w:t>Average</w:t>
            </w:r>
          </w:p>
        </w:tc>
        <w:tc>
          <w:tcPr>
            <w:tcW w:w="567" w:type="dxa"/>
            <w:noWrap/>
            <w:hideMark/>
          </w:tcPr>
          <w:p w14:paraId="6410560A"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61C1B12C" w14:textId="77777777" w:rsidR="008E2ED2" w:rsidRPr="0018386D" w:rsidRDefault="008E2ED2" w:rsidP="00DD3106">
            <w:pPr>
              <w:pStyle w:val="TableText"/>
              <w:spacing w:before="30" w:after="32"/>
            </w:pPr>
            <w:r w:rsidRPr="0018386D">
              <w:t>0.0161</w:t>
            </w:r>
          </w:p>
        </w:tc>
        <w:tc>
          <w:tcPr>
            <w:tcW w:w="1247" w:type="dxa"/>
            <w:noWrap/>
            <w:hideMark/>
          </w:tcPr>
          <w:p w14:paraId="5EB6C245" w14:textId="77777777" w:rsidR="008E2ED2" w:rsidRPr="0018386D" w:rsidRDefault="008E2ED2" w:rsidP="00DD3106">
            <w:pPr>
              <w:pStyle w:val="TableText"/>
              <w:spacing w:before="30" w:after="32"/>
            </w:pPr>
            <w:r w:rsidRPr="0018386D">
              <w:t>0.0159</w:t>
            </w:r>
          </w:p>
        </w:tc>
        <w:tc>
          <w:tcPr>
            <w:tcW w:w="1247" w:type="dxa"/>
            <w:noWrap/>
            <w:hideMark/>
          </w:tcPr>
          <w:p w14:paraId="2447B061" w14:textId="77777777" w:rsidR="008E2ED2" w:rsidRPr="0018386D" w:rsidRDefault="008E2ED2" w:rsidP="00DD3106">
            <w:pPr>
              <w:pStyle w:val="TableText"/>
              <w:spacing w:before="30" w:after="32"/>
            </w:pPr>
            <w:r w:rsidRPr="0018386D">
              <w:t>0.000005</w:t>
            </w:r>
          </w:p>
        </w:tc>
        <w:tc>
          <w:tcPr>
            <w:tcW w:w="1304" w:type="dxa"/>
            <w:noWrap/>
            <w:hideMark/>
          </w:tcPr>
          <w:p w14:paraId="6D462E83" w14:textId="77777777" w:rsidR="008E2ED2" w:rsidRPr="0018386D" w:rsidRDefault="008E2ED2" w:rsidP="00DD3106">
            <w:pPr>
              <w:pStyle w:val="TableText"/>
              <w:spacing w:before="30" w:after="32"/>
            </w:pPr>
            <w:r w:rsidRPr="0018386D">
              <w:t>0.0002</w:t>
            </w:r>
          </w:p>
        </w:tc>
      </w:tr>
      <w:tr w:rsidR="00D86FE8" w:rsidRPr="0018386D" w14:paraId="5AC66E4A" w14:textId="77777777" w:rsidTr="00CD2FDD">
        <w:trPr>
          <w:divId w:val="1140003949"/>
          <w:trHeight w:val="240"/>
        </w:trPr>
        <w:tc>
          <w:tcPr>
            <w:tcW w:w="1247" w:type="dxa"/>
            <w:noWrap/>
            <w:hideMark/>
          </w:tcPr>
          <w:p w14:paraId="3713B116" w14:textId="77777777" w:rsidR="008E2ED2" w:rsidRPr="0018386D" w:rsidRDefault="008E2ED2" w:rsidP="00DD3106">
            <w:pPr>
              <w:pStyle w:val="TableText"/>
              <w:spacing w:before="30" w:after="32"/>
            </w:pPr>
            <w:r w:rsidRPr="0018386D">
              <w:t>Vehicle transport</w:t>
            </w:r>
          </w:p>
        </w:tc>
        <w:tc>
          <w:tcPr>
            <w:tcW w:w="1928" w:type="dxa"/>
            <w:noWrap/>
            <w:hideMark/>
          </w:tcPr>
          <w:p w14:paraId="097D57C9" w14:textId="77777777" w:rsidR="008E2ED2" w:rsidRPr="0018386D" w:rsidRDefault="008E2ED2" w:rsidP="00DD3106">
            <w:pPr>
              <w:pStyle w:val="TableText"/>
              <w:spacing w:before="30" w:after="32"/>
            </w:pPr>
            <w:r w:rsidRPr="0018386D">
              <w:t>4000+ CEU</w:t>
            </w:r>
          </w:p>
        </w:tc>
        <w:tc>
          <w:tcPr>
            <w:tcW w:w="567" w:type="dxa"/>
            <w:noWrap/>
            <w:hideMark/>
          </w:tcPr>
          <w:p w14:paraId="289D75BD"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3BBAA495" w14:textId="77777777" w:rsidR="008E2ED2" w:rsidRPr="0018386D" w:rsidRDefault="008E2ED2" w:rsidP="00DD3106">
            <w:pPr>
              <w:pStyle w:val="TableText"/>
              <w:spacing w:before="30" w:after="32"/>
            </w:pPr>
            <w:r w:rsidRPr="0018386D">
              <w:t>0.0324</w:t>
            </w:r>
          </w:p>
        </w:tc>
        <w:tc>
          <w:tcPr>
            <w:tcW w:w="1247" w:type="dxa"/>
            <w:noWrap/>
            <w:hideMark/>
          </w:tcPr>
          <w:p w14:paraId="0248C891" w14:textId="77777777" w:rsidR="008E2ED2" w:rsidRPr="0018386D" w:rsidRDefault="008E2ED2" w:rsidP="00DD3106">
            <w:pPr>
              <w:pStyle w:val="TableText"/>
              <w:spacing w:before="30" w:after="32"/>
            </w:pPr>
            <w:r w:rsidRPr="0018386D">
              <w:t>0.0320</w:t>
            </w:r>
          </w:p>
        </w:tc>
        <w:tc>
          <w:tcPr>
            <w:tcW w:w="1247" w:type="dxa"/>
            <w:noWrap/>
            <w:hideMark/>
          </w:tcPr>
          <w:p w14:paraId="3D430D63" w14:textId="77777777" w:rsidR="008E2ED2" w:rsidRPr="0018386D" w:rsidRDefault="008E2ED2" w:rsidP="00DD3106">
            <w:pPr>
              <w:pStyle w:val="TableText"/>
              <w:spacing w:before="30" w:after="32"/>
            </w:pPr>
            <w:r w:rsidRPr="0018386D">
              <w:t>0.00001</w:t>
            </w:r>
          </w:p>
        </w:tc>
        <w:tc>
          <w:tcPr>
            <w:tcW w:w="1304" w:type="dxa"/>
            <w:noWrap/>
            <w:hideMark/>
          </w:tcPr>
          <w:p w14:paraId="506556F9" w14:textId="77777777" w:rsidR="008E2ED2" w:rsidRPr="0018386D" w:rsidRDefault="008E2ED2" w:rsidP="00DD3106">
            <w:pPr>
              <w:pStyle w:val="TableText"/>
              <w:spacing w:before="30" w:after="32"/>
            </w:pPr>
            <w:r w:rsidRPr="0018386D">
              <w:t>0.0004</w:t>
            </w:r>
          </w:p>
        </w:tc>
      </w:tr>
      <w:tr w:rsidR="00D86FE8" w:rsidRPr="0018386D" w14:paraId="5CD5FFC6" w14:textId="77777777" w:rsidTr="00CD2FDD">
        <w:trPr>
          <w:divId w:val="1140003949"/>
          <w:trHeight w:val="240"/>
        </w:trPr>
        <w:tc>
          <w:tcPr>
            <w:tcW w:w="1247" w:type="dxa"/>
            <w:noWrap/>
            <w:hideMark/>
          </w:tcPr>
          <w:p w14:paraId="0981F2F0" w14:textId="77777777" w:rsidR="008E2ED2" w:rsidRPr="0018386D" w:rsidRDefault="008E2ED2" w:rsidP="00DD3106">
            <w:pPr>
              <w:pStyle w:val="TableText"/>
              <w:spacing w:before="30" w:after="32"/>
            </w:pPr>
            <w:r w:rsidRPr="0018386D">
              <w:t> </w:t>
            </w:r>
          </w:p>
        </w:tc>
        <w:tc>
          <w:tcPr>
            <w:tcW w:w="1928" w:type="dxa"/>
            <w:noWrap/>
            <w:hideMark/>
          </w:tcPr>
          <w:p w14:paraId="5951A3CC" w14:textId="77777777" w:rsidR="008E2ED2" w:rsidRPr="0018386D" w:rsidRDefault="008E2ED2" w:rsidP="00DD3106">
            <w:pPr>
              <w:pStyle w:val="TableText"/>
              <w:spacing w:before="30" w:after="32"/>
            </w:pPr>
            <w:r w:rsidRPr="0018386D">
              <w:t>0–3999 CEU</w:t>
            </w:r>
          </w:p>
        </w:tc>
        <w:tc>
          <w:tcPr>
            <w:tcW w:w="567" w:type="dxa"/>
            <w:noWrap/>
            <w:hideMark/>
          </w:tcPr>
          <w:p w14:paraId="2C05B54F"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72095643" w14:textId="77777777" w:rsidR="008E2ED2" w:rsidRPr="0018386D" w:rsidRDefault="008E2ED2" w:rsidP="00DD3106">
            <w:pPr>
              <w:pStyle w:val="TableText"/>
              <w:spacing w:before="30" w:after="32"/>
            </w:pPr>
            <w:r w:rsidRPr="0018386D">
              <w:t>0.0584</w:t>
            </w:r>
          </w:p>
        </w:tc>
        <w:tc>
          <w:tcPr>
            <w:tcW w:w="1247" w:type="dxa"/>
            <w:noWrap/>
            <w:hideMark/>
          </w:tcPr>
          <w:p w14:paraId="6B3F3BE1" w14:textId="77777777" w:rsidR="008E2ED2" w:rsidRPr="0018386D" w:rsidRDefault="008E2ED2" w:rsidP="00DD3106">
            <w:pPr>
              <w:pStyle w:val="TableText"/>
              <w:spacing w:before="30" w:after="32"/>
            </w:pPr>
            <w:r w:rsidRPr="0018386D">
              <w:t>0.0576</w:t>
            </w:r>
          </w:p>
        </w:tc>
        <w:tc>
          <w:tcPr>
            <w:tcW w:w="1247" w:type="dxa"/>
            <w:noWrap/>
            <w:hideMark/>
          </w:tcPr>
          <w:p w14:paraId="73E9042C" w14:textId="77777777" w:rsidR="008E2ED2" w:rsidRPr="0018386D" w:rsidRDefault="008E2ED2" w:rsidP="00DD3106">
            <w:pPr>
              <w:pStyle w:val="TableText"/>
              <w:spacing w:before="30" w:after="32"/>
            </w:pPr>
            <w:r w:rsidRPr="0018386D">
              <w:t>0.00002</w:t>
            </w:r>
          </w:p>
        </w:tc>
        <w:tc>
          <w:tcPr>
            <w:tcW w:w="1304" w:type="dxa"/>
            <w:noWrap/>
            <w:hideMark/>
          </w:tcPr>
          <w:p w14:paraId="4D51F94E" w14:textId="77777777" w:rsidR="008E2ED2" w:rsidRPr="0018386D" w:rsidRDefault="008E2ED2" w:rsidP="00DD3106">
            <w:pPr>
              <w:pStyle w:val="TableText"/>
              <w:spacing w:before="30" w:after="32"/>
            </w:pPr>
            <w:r w:rsidRPr="0018386D">
              <w:t>0.0008</w:t>
            </w:r>
          </w:p>
        </w:tc>
      </w:tr>
      <w:tr w:rsidR="00D86FE8" w:rsidRPr="0018386D" w14:paraId="290739E4" w14:textId="77777777" w:rsidTr="00CD2FDD">
        <w:trPr>
          <w:divId w:val="1140003949"/>
          <w:trHeight w:val="240"/>
        </w:trPr>
        <w:tc>
          <w:tcPr>
            <w:tcW w:w="1247" w:type="dxa"/>
            <w:noWrap/>
            <w:hideMark/>
          </w:tcPr>
          <w:p w14:paraId="18C231FD" w14:textId="77777777" w:rsidR="008E2ED2" w:rsidRPr="0018386D" w:rsidRDefault="008E2ED2" w:rsidP="00DD3106">
            <w:pPr>
              <w:pStyle w:val="TableText"/>
              <w:spacing w:before="30" w:after="32"/>
            </w:pPr>
            <w:r w:rsidRPr="0018386D">
              <w:t> </w:t>
            </w:r>
          </w:p>
        </w:tc>
        <w:tc>
          <w:tcPr>
            <w:tcW w:w="1928" w:type="dxa"/>
            <w:noWrap/>
            <w:hideMark/>
          </w:tcPr>
          <w:p w14:paraId="6D046F54" w14:textId="77777777" w:rsidR="008E2ED2" w:rsidRPr="0018386D" w:rsidRDefault="008E2ED2" w:rsidP="00DD3106">
            <w:pPr>
              <w:pStyle w:val="TableText"/>
              <w:spacing w:before="30" w:after="32"/>
            </w:pPr>
            <w:r w:rsidRPr="0018386D">
              <w:t>Average</w:t>
            </w:r>
          </w:p>
        </w:tc>
        <w:tc>
          <w:tcPr>
            <w:tcW w:w="567" w:type="dxa"/>
            <w:noWrap/>
            <w:hideMark/>
          </w:tcPr>
          <w:p w14:paraId="5E2FE11A"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6DDB7863" w14:textId="77777777" w:rsidR="008E2ED2" w:rsidRPr="0018386D" w:rsidRDefault="008E2ED2" w:rsidP="00DD3106">
            <w:pPr>
              <w:pStyle w:val="TableText"/>
              <w:spacing w:before="30" w:after="32"/>
            </w:pPr>
            <w:r w:rsidRPr="0018386D">
              <w:t>0.0386</w:t>
            </w:r>
          </w:p>
        </w:tc>
        <w:tc>
          <w:tcPr>
            <w:tcW w:w="1247" w:type="dxa"/>
            <w:noWrap/>
            <w:hideMark/>
          </w:tcPr>
          <w:p w14:paraId="17A654EB" w14:textId="77777777" w:rsidR="008E2ED2" w:rsidRPr="0018386D" w:rsidRDefault="008E2ED2" w:rsidP="00DD3106">
            <w:pPr>
              <w:pStyle w:val="TableText"/>
              <w:spacing w:before="30" w:after="32"/>
            </w:pPr>
            <w:r w:rsidRPr="0018386D">
              <w:t>0.0381</w:t>
            </w:r>
          </w:p>
        </w:tc>
        <w:tc>
          <w:tcPr>
            <w:tcW w:w="1247" w:type="dxa"/>
            <w:noWrap/>
            <w:hideMark/>
          </w:tcPr>
          <w:p w14:paraId="63148506" w14:textId="77777777" w:rsidR="008E2ED2" w:rsidRPr="0018386D" w:rsidRDefault="008E2ED2" w:rsidP="00DD3106">
            <w:pPr>
              <w:pStyle w:val="TableText"/>
              <w:spacing w:before="30" w:after="32"/>
            </w:pPr>
            <w:r w:rsidRPr="0018386D">
              <w:t>0.00001</w:t>
            </w:r>
          </w:p>
        </w:tc>
        <w:tc>
          <w:tcPr>
            <w:tcW w:w="1304" w:type="dxa"/>
            <w:noWrap/>
            <w:hideMark/>
          </w:tcPr>
          <w:p w14:paraId="2540263A" w14:textId="77777777" w:rsidR="008E2ED2" w:rsidRPr="0018386D" w:rsidRDefault="008E2ED2" w:rsidP="00DD3106">
            <w:pPr>
              <w:pStyle w:val="TableText"/>
              <w:spacing w:before="30" w:after="32"/>
            </w:pPr>
            <w:r w:rsidRPr="0018386D">
              <w:t>0.0005</w:t>
            </w:r>
          </w:p>
        </w:tc>
      </w:tr>
      <w:tr w:rsidR="00D86FE8" w:rsidRPr="0018386D" w14:paraId="2873A6CF" w14:textId="77777777" w:rsidTr="00CD2FDD">
        <w:trPr>
          <w:divId w:val="1140003949"/>
          <w:trHeight w:val="240"/>
        </w:trPr>
        <w:tc>
          <w:tcPr>
            <w:tcW w:w="1247" w:type="dxa"/>
            <w:noWrap/>
            <w:hideMark/>
          </w:tcPr>
          <w:p w14:paraId="1544A9DC" w14:textId="5E2CA133" w:rsidR="008E2ED2" w:rsidRPr="0018386D" w:rsidRDefault="008E2ED2" w:rsidP="00DD3106">
            <w:pPr>
              <w:pStyle w:val="TableText"/>
              <w:spacing w:before="30" w:after="32"/>
            </w:pPr>
            <w:proofErr w:type="spellStart"/>
            <w:r w:rsidRPr="0018386D">
              <w:t>RoRo</w:t>
            </w:r>
            <w:proofErr w:type="spellEnd"/>
            <w:r w:rsidR="008D6996" w:rsidRPr="0018386D">
              <w:t xml:space="preserve"> f</w:t>
            </w:r>
            <w:r w:rsidRPr="0018386D">
              <w:t>erry</w:t>
            </w:r>
          </w:p>
        </w:tc>
        <w:tc>
          <w:tcPr>
            <w:tcW w:w="1928" w:type="dxa"/>
            <w:noWrap/>
            <w:hideMark/>
          </w:tcPr>
          <w:p w14:paraId="06352216" w14:textId="77777777" w:rsidR="008E2ED2" w:rsidRPr="0018386D" w:rsidRDefault="008E2ED2" w:rsidP="00DD3106">
            <w:pPr>
              <w:pStyle w:val="TableText"/>
              <w:spacing w:before="30" w:after="32"/>
            </w:pPr>
            <w:r w:rsidRPr="0018386D">
              <w:t>2000+ LM</w:t>
            </w:r>
          </w:p>
        </w:tc>
        <w:tc>
          <w:tcPr>
            <w:tcW w:w="567" w:type="dxa"/>
            <w:noWrap/>
            <w:hideMark/>
          </w:tcPr>
          <w:p w14:paraId="3F694C35"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459D5928" w14:textId="77777777" w:rsidR="008E2ED2" w:rsidRPr="0018386D" w:rsidRDefault="008E2ED2" w:rsidP="00DD3106">
            <w:pPr>
              <w:pStyle w:val="TableText"/>
              <w:spacing w:before="30" w:after="32"/>
            </w:pPr>
            <w:r w:rsidRPr="0018386D">
              <w:t>0.0502</w:t>
            </w:r>
          </w:p>
        </w:tc>
        <w:tc>
          <w:tcPr>
            <w:tcW w:w="1247" w:type="dxa"/>
            <w:noWrap/>
            <w:hideMark/>
          </w:tcPr>
          <w:p w14:paraId="40722D72" w14:textId="77777777" w:rsidR="008E2ED2" w:rsidRPr="0018386D" w:rsidRDefault="008E2ED2" w:rsidP="00DD3106">
            <w:pPr>
              <w:pStyle w:val="TableText"/>
              <w:spacing w:before="30" w:after="32"/>
            </w:pPr>
            <w:r w:rsidRPr="0018386D">
              <w:t>0.0495</w:t>
            </w:r>
          </w:p>
        </w:tc>
        <w:tc>
          <w:tcPr>
            <w:tcW w:w="1247" w:type="dxa"/>
            <w:noWrap/>
            <w:hideMark/>
          </w:tcPr>
          <w:p w14:paraId="7746470D" w14:textId="77777777" w:rsidR="008E2ED2" w:rsidRPr="0018386D" w:rsidRDefault="008E2ED2" w:rsidP="00DD3106">
            <w:pPr>
              <w:pStyle w:val="TableText"/>
              <w:spacing w:before="30" w:after="32"/>
            </w:pPr>
            <w:r w:rsidRPr="0018386D">
              <w:t>0.00002</w:t>
            </w:r>
          </w:p>
        </w:tc>
        <w:tc>
          <w:tcPr>
            <w:tcW w:w="1304" w:type="dxa"/>
            <w:noWrap/>
            <w:hideMark/>
          </w:tcPr>
          <w:p w14:paraId="5E20B95A" w14:textId="77777777" w:rsidR="008E2ED2" w:rsidRPr="0018386D" w:rsidRDefault="008E2ED2" w:rsidP="00DD3106">
            <w:pPr>
              <w:pStyle w:val="TableText"/>
              <w:spacing w:before="30" w:after="32"/>
            </w:pPr>
            <w:r w:rsidRPr="0018386D">
              <w:t>0.0007</w:t>
            </w:r>
          </w:p>
        </w:tc>
      </w:tr>
      <w:tr w:rsidR="00D86FE8" w:rsidRPr="0018386D" w14:paraId="692FF644" w14:textId="77777777" w:rsidTr="00CD2FDD">
        <w:trPr>
          <w:divId w:val="1140003949"/>
          <w:trHeight w:val="240"/>
        </w:trPr>
        <w:tc>
          <w:tcPr>
            <w:tcW w:w="1247" w:type="dxa"/>
            <w:noWrap/>
            <w:hideMark/>
          </w:tcPr>
          <w:p w14:paraId="77D3295D" w14:textId="77777777" w:rsidR="008E2ED2" w:rsidRPr="0018386D" w:rsidRDefault="008E2ED2" w:rsidP="00DD3106">
            <w:pPr>
              <w:pStyle w:val="TableText"/>
              <w:spacing w:before="30" w:after="32"/>
            </w:pPr>
            <w:r w:rsidRPr="0018386D">
              <w:t> </w:t>
            </w:r>
          </w:p>
        </w:tc>
        <w:tc>
          <w:tcPr>
            <w:tcW w:w="1928" w:type="dxa"/>
            <w:noWrap/>
            <w:hideMark/>
          </w:tcPr>
          <w:p w14:paraId="7AE6D0A3" w14:textId="77777777" w:rsidR="008E2ED2" w:rsidRPr="0018386D" w:rsidRDefault="008E2ED2" w:rsidP="00DD3106">
            <w:pPr>
              <w:pStyle w:val="TableText"/>
              <w:spacing w:before="30" w:after="32"/>
            </w:pPr>
            <w:r w:rsidRPr="0018386D">
              <w:t>0–1999 LM</w:t>
            </w:r>
          </w:p>
        </w:tc>
        <w:tc>
          <w:tcPr>
            <w:tcW w:w="567" w:type="dxa"/>
            <w:noWrap/>
            <w:hideMark/>
          </w:tcPr>
          <w:p w14:paraId="03DF0729"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1E2272CF" w14:textId="77777777" w:rsidR="008E2ED2" w:rsidRPr="0018386D" w:rsidRDefault="008E2ED2" w:rsidP="00DD3106">
            <w:pPr>
              <w:pStyle w:val="TableText"/>
              <w:spacing w:before="30" w:after="32"/>
            </w:pPr>
            <w:r w:rsidRPr="0018386D">
              <w:t>0.0611</w:t>
            </w:r>
          </w:p>
        </w:tc>
        <w:tc>
          <w:tcPr>
            <w:tcW w:w="1247" w:type="dxa"/>
            <w:noWrap/>
            <w:hideMark/>
          </w:tcPr>
          <w:p w14:paraId="2A9B2A8B" w14:textId="77777777" w:rsidR="008E2ED2" w:rsidRPr="0018386D" w:rsidRDefault="008E2ED2" w:rsidP="00DD3106">
            <w:pPr>
              <w:pStyle w:val="TableText"/>
              <w:spacing w:before="30" w:after="32"/>
            </w:pPr>
            <w:r w:rsidRPr="0018386D">
              <w:t>0.0603</w:t>
            </w:r>
          </w:p>
        </w:tc>
        <w:tc>
          <w:tcPr>
            <w:tcW w:w="1247" w:type="dxa"/>
            <w:noWrap/>
            <w:hideMark/>
          </w:tcPr>
          <w:p w14:paraId="1DBBEAF1" w14:textId="77777777" w:rsidR="008E2ED2" w:rsidRPr="0018386D" w:rsidRDefault="008E2ED2" w:rsidP="00DD3106">
            <w:pPr>
              <w:pStyle w:val="TableText"/>
              <w:spacing w:before="30" w:after="32"/>
            </w:pPr>
            <w:r w:rsidRPr="0018386D">
              <w:t>0.00002</w:t>
            </w:r>
          </w:p>
        </w:tc>
        <w:tc>
          <w:tcPr>
            <w:tcW w:w="1304" w:type="dxa"/>
            <w:noWrap/>
            <w:hideMark/>
          </w:tcPr>
          <w:p w14:paraId="4D30EE3A" w14:textId="77777777" w:rsidR="008E2ED2" w:rsidRPr="0018386D" w:rsidRDefault="008E2ED2" w:rsidP="00DD3106">
            <w:pPr>
              <w:pStyle w:val="TableText"/>
              <w:spacing w:before="30" w:after="32"/>
            </w:pPr>
            <w:r w:rsidRPr="0018386D">
              <w:t>0.0008</w:t>
            </w:r>
          </w:p>
        </w:tc>
      </w:tr>
      <w:tr w:rsidR="00D86FE8" w:rsidRPr="0018386D" w14:paraId="698091F1" w14:textId="77777777" w:rsidTr="00CD2FDD">
        <w:trPr>
          <w:divId w:val="1140003949"/>
          <w:trHeight w:val="240"/>
        </w:trPr>
        <w:tc>
          <w:tcPr>
            <w:tcW w:w="1247" w:type="dxa"/>
            <w:noWrap/>
            <w:hideMark/>
          </w:tcPr>
          <w:p w14:paraId="70078EAE" w14:textId="77777777" w:rsidR="008E2ED2" w:rsidRPr="0018386D" w:rsidRDefault="008E2ED2" w:rsidP="00DD3106">
            <w:pPr>
              <w:pStyle w:val="TableText"/>
              <w:spacing w:before="30" w:after="32"/>
            </w:pPr>
            <w:r w:rsidRPr="0018386D">
              <w:t> </w:t>
            </w:r>
          </w:p>
        </w:tc>
        <w:tc>
          <w:tcPr>
            <w:tcW w:w="1928" w:type="dxa"/>
            <w:noWrap/>
            <w:hideMark/>
          </w:tcPr>
          <w:p w14:paraId="6CF98C57" w14:textId="77777777" w:rsidR="008E2ED2" w:rsidRPr="0018386D" w:rsidRDefault="008E2ED2" w:rsidP="00DD3106">
            <w:pPr>
              <w:pStyle w:val="TableText"/>
              <w:spacing w:before="30" w:after="32"/>
            </w:pPr>
            <w:r w:rsidRPr="0018386D">
              <w:t>Average</w:t>
            </w:r>
          </w:p>
        </w:tc>
        <w:tc>
          <w:tcPr>
            <w:tcW w:w="567" w:type="dxa"/>
            <w:noWrap/>
            <w:hideMark/>
          </w:tcPr>
          <w:p w14:paraId="3C89CB6F"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0D4E3579" w14:textId="77777777" w:rsidR="008E2ED2" w:rsidRPr="0018386D" w:rsidRDefault="008E2ED2" w:rsidP="00DD3106">
            <w:pPr>
              <w:pStyle w:val="TableText"/>
              <w:spacing w:before="30" w:after="32"/>
            </w:pPr>
            <w:r w:rsidRPr="0018386D">
              <w:t>0.0517</w:t>
            </w:r>
          </w:p>
        </w:tc>
        <w:tc>
          <w:tcPr>
            <w:tcW w:w="1247" w:type="dxa"/>
            <w:noWrap/>
            <w:hideMark/>
          </w:tcPr>
          <w:p w14:paraId="0C6615C3" w14:textId="77777777" w:rsidR="008E2ED2" w:rsidRPr="0018386D" w:rsidRDefault="008E2ED2" w:rsidP="00DD3106">
            <w:pPr>
              <w:pStyle w:val="TableText"/>
              <w:spacing w:before="30" w:after="32"/>
            </w:pPr>
            <w:r w:rsidRPr="0018386D">
              <w:t>0.0510</w:t>
            </w:r>
          </w:p>
        </w:tc>
        <w:tc>
          <w:tcPr>
            <w:tcW w:w="1247" w:type="dxa"/>
            <w:noWrap/>
            <w:hideMark/>
          </w:tcPr>
          <w:p w14:paraId="435D9329" w14:textId="77777777" w:rsidR="008E2ED2" w:rsidRPr="0018386D" w:rsidRDefault="008E2ED2" w:rsidP="00DD3106">
            <w:pPr>
              <w:pStyle w:val="TableText"/>
              <w:spacing w:before="30" w:after="32"/>
            </w:pPr>
            <w:r w:rsidRPr="0018386D">
              <w:t>0.00002</w:t>
            </w:r>
          </w:p>
        </w:tc>
        <w:tc>
          <w:tcPr>
            <w:tcW w:w="1304" w:type="dxa"/>
            <w:noWrap/>
            <w:hideMark/>
          </w:tcPr>
          <w:p w14:paraId="77E36402" w14:textId="77777777" w:rsidR="008E2ED2" w:rsidRPr="0018386D" w:rsidRDefault="008E2ED2" w:rsidP="00DD3106">
            <w:pPr>
              <w:pStyle w:val="TableText"/>
              <w:spacing w:before="30" w:after="32"/>
            </w:pPr>
            <w:r w:rsidRPr="0018386D">
              <w:t>0.0007</w:t>
            </w:r>
          </w:p>
        </w:tc>
      </w:tr>
      <w:tr w:rsidR="00D86FE8" w:rsidRPr="0018386D" w14:paraId="56F2EF76" w14:textId="77777777" w:rsidTr="00CD2FDD">
        <w:trPr>
          <w:divId w:val="1140003949"/>
          <w:trHeight w:val="240"/>
        </w:trPr>
        <w:tc>
          <w:tcPr>
            <w:tcW w:w="1247" w:type="dxa"/>
            <w:noWrap/>
            <w:hideMark/>
          </w:tcPr>
          <w:p w14:paraId="046BB614" w14:textId="77777777" w:rsidR="008E2ED2" w:rsidRPr="0018386D" w:rsidRDefault="008E2ED2" w:rsidP="00DD3106">
            <w:pPr>
              <w:pStyle w:val="TableText"/>
              <w:spacing w:before="30" w:after="32"/>
            </w:pPr>
            <w:r w:rsidRPr="0018386D">
              <w:t> </w:t>
            </w:r>
          </w:p>
        </w:tc>
        <w:tc>
          <w:tcPr>
            <w:tcW w:w="1928" w:type="dxa"/>
            <w:noWrap/>
            <w:hideMark/>
          </w:tcPr>
          <w:p w14:paraId="3334C37B" w14:textId="77777777" w:rsidR="008E2ED2" w:rsidRPr="0018386D" w:rsidRDefault="008E2ED2" w:rsidP="00DD3106">
            <w:pPr>
              <w:pStyle w:val="TableText"/>
              <w:spacing w:before="30" w:after="32"/>
            </w:pPr>
            <w:r w:rsidRPr="0018386D">
              <w:t xml:space="preserve">Large </w:t>
            </w:r>
            <w:proofErr w:type="spellStart"/>
            <w:r w:rsidRPr="0018386D">
              <w:t>RoPax</w:t>
            </w:r>
            <w:proofErr w:type="spellEnd"/>
            <w:r w:rsidRPr="0018386D">
              <w:t xml:space="preserve"> ferry</w:t>
            </w:r>
          </w:p>
        </w:tc>
        <w:tc>
          <w:tcPr>
            <w:tcW w:w="567" w:type="dxa"/>
            <w:noWrap/>
            <w:hideMark/>
          </w:tcPr>
          <w:p w14:paraId="0A3C1197"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3D7B8168" w14:textId="77777777" w:rsidR="008E2ED2" w:rsidRPr="0018386D" w:rsidRDefault="008E2ED2" w:rsidP="00DD3106">
            <w:pPr>
              <w:pStyle w:val="TableText"/>
              <w:spacing w:before="30" w:after="32"/>
            </w:pPr>
            <w:r w:rsidRPr="0018386D">
              <w:t>0.377</w:t>
            </w:r>
          </w:p>
        </w:tc>
        <w:tc>
          <w:tcPr>
            <w:tcW w:w="1247" w:type="dxa"/>
            <w:noWrap/>
            <w:hideMark/>
          </w:tcPr>
          <w:p w14:paraId="46204B6C" w14:textId="77777777" w:rsidR="008E2ED2" w:rsidRPr="0018386D" w:rsidRDefault="008E2ED2" w:rsidP="00DD3106">
            <w:pPr>
              <w:pStyle w:val="TableText"/>
              <w:spacing w:before="30" w:after="32"/>
            </w:pPr>
            <w:r w:rsidRPr="0018386D">
              <w:t>0.371</w:t>
            </w:r>
          </w:p>
        </w:tc>
        <w:tc>
          <w:tcPr>
            <w:tcW w:w="1247" w:type="dxa"/>
            <w:noWrap/>
            <w:hideMark/>
          </w:tcPr>
          <w:p w14:paraId="5FFA4380" w14:textId="77777777" w:rsidR="008E2ED2" w:rsidRPr="0018386D" w:rsidRDefault="008E2ED2" w:rsidP="00DD3106">
            <w:pPr>
              <w:pStyle w:val="TableText"/>
              <w:spacing w:before="30" w:after="32"/>
            </w:pPr>
            <w:r w:rsidRPr="0018386D">
              <w:t>0.0001</w:t>
            </w:r>
          </w:p>
        </w:tc>
        <w:tc>
          <w:tcPr>
            <w:tcW w:w="1304" w:type="dxa"/>
            <w:noWrap/>
            <w:hideMark/>
          </w:tcPr>
          <w:p w14:paraId="1EFC7A77" w14:textId="77777777" w:rsidR="008E2ED2" w:rsidRPr="0018386D" w:rsidRDefault="008E2ED2" w:rsidP="00DD3106">
            <w:pPr>
              <w:pStyle w:val="TableText"/>
              <w:spacing w:before="30" w:after="32"/>
            </w:pPr>
            <w:r w:rsidRPr="0018386D">
              <w:t>0.00506</w:t>
            </w:r>
          </w:p>
        </w:tc>
      </w:tr>
      <w:tr w:rsidR="00D86FE8" w:rsidRPr="0018386D" w14:paraId="5C6185C6" w14:textId="77777777" w:rsidTr="00CD2FDD">
        <w:trPr>
          <w:divId w:val="1140003949"/>
          <w:trHeight w:val="240"/>
        </w:trPr>
        <w:tc>
          <w:tcPr>
            <w:tcW w:w="1247" w:type="dxa"/>
            <w:noWrap/>
            <w:hideMark/>
          </w:tcPr>
          <w:p w14:paraId="40D95F9A" w14:textId="77777777" w:rsidR="008E2ED2" w:rsidRPr="0018386D" w:rsidRDefault="008E2ED2" w:rsidP="00DD3106">
            <w:pPr>
              <w:pStyle w:val="TableText"/>
              <w:spacing w:before="30" w:after="32"/>
            </w:pPr>
            <w:r w:rsidRPr="0018386D">
              <w:t>Refrigerated cargo</w:t>
            </w:r>
          </w:p>
        </w:tc>
        <w:tc>
          <w:tcPr>
            <w:tcW w:w="1928" w:type="dxa"/>
            <w:noWrap/>
            <w:hideMark/>
          </w:tcPr>
          <w:p w14:paraId="6E3579B3" w14:textId="77777777" w:rsidR="008E2ED2" w:rsidRPr="0018386D" w:rsidRDefault="008E2ED2" w:rsidP="00DD3106">
            <w:pPr>
              <w:pStyle w:val="TableText"/>
              <w:spacing w:before="30" w:after="32"/>
            </w:pPr>
            <w:r w:rsidRPr="0018386D">
              <w:t>All dwt</w:t>
            </w:r>
          </w:p>
        </w:tc>
        <w:tc>
          <w:tcPr>
            <w:tcW w:w="567" w:type="dxa"/>
            <w:noWrap/>
            <w:hideMark/>
          </w:tcPr>
          <w:p w14:paraId="148AB14E" w14:textId="77777777" w:rsidR="008E2ED2" w:rsidRPr="0018386D" w:rsidRDefault="008E2ED2" w:rsidP="00DD3106">
            <w:pPr>
              <w:pStyle w:val="TableText"/>
              <w:spacing w:before="30" w:after="32"/>
            </w:pPr>
            <w:proofErr w:type="spellStart"/>
            <w:r w:rsidRPr="0018386D">
              <w:t>tkm</w:t>
            </w:r>
            <w:proofErr w:type="spellEnd"/>
          </w:p>
        </w:tc>
        <w:tc>
          <w:tcPr>
            <w:tcW w:w="1077" w:type="dxa"/>
            <w:shd w:val="clear" w:color="auto" w:fill="D2DDE1"/>
            <w:noWrap/>
            <w:hideMark/>
          </w:tcPr>
          <w:p w14:paraId="27C0B8C2" w14:textId="77777777" w:rsidR="008E2ED2" w:rsidRPr="0018386D" w:rsidRDefault="008E2ED2" w:rsidP="00DD3106">
            <w:pPr>
              <w:pStyle w:val="TableText"/>
              <w:spacing w:before="30" w:after="32"/>
            </w:pPr>
            <w:r w:rsidRPr="0018386D">
              <w:t>0.0131</w:t>
            </w:r>
          </w:p>
        </w:tc>
        <w:tc>
          <w:tcPr>
            <w:tcW w:w="1247" w:type="dxa"/>
            <w:noWrap/>
            <w:hideMark/>
          </w:tcPr>
          <w:p w14:paraId="277C9F87" w14:textId="77777777" w:rsidR="008E2ED2" w:rsidRPr="0018386D" w:rsidRDefault="008E2ED2" w:rsidP="00DD3106">
            <w:pPr>
              <w:pStyle w:val="TableText"/>
              <w:spacing w:before="30" w:after="32"/>
            </w:pPr>
            <w:r w:rsidRPr="0018386D">
              <w:t>0.0129</w:t>
            </w:r>
          </w:p>
        </w:tc>
        <w:tc>
          <w:tcPr>
            <w:tcW w:w="1247" w:type="dxa"/>
            <w:noWrap/>
            <w:hideMark/>
          </w:tcPr>
          <w:p w14:paraId="7300C898" w14:textId="77777777" w:rsidR="008E2ED2" w:rsidRPr="0018386D" w:rsidRDefault="008E2ED2" w:rsidP="00DD3106">
            <w:pPr>
              <w:pStyle w:val="TableText"/>
              <w:spacing w:before="30" w:after="32"/>
            </w:pPr>
            <w:r w:rsidRPr="0018386D">
              <w:t>0.000004</w:t>
            </w:r>
          </w:p>
        </w:tc>
        <w:tc>
          <w:tcPr>
            <w:tcW w:w="1304" w:type="dxa"/>
            <w:noWrap/>
            <w:hideMark/>
          </w:tcPr>
          <w:p w14:paraId="001C6529" w14:textId="77777777" w:rsidR="008E2ED2" w:rsidRPr="0018386D" w:rsidRDefault="008E2ED2" w:rsidP="00DD3106">
            <w:pPr>
              <w:pStyle w:val="TableText"/>
              <w:spacing w:before="30" w:after="32"/>
            </w:pPr>
            <w:r w:rsidRPr="0018386D">
              <w:t>0.0002</w:t>
            </w:r>
          </w:p>
        </w:tc>
      </w:tr>
    </w:tbl>
    <w:p w14:paraId="36B0A30B" w14:textId="1BC19113" w:rsidR="00B84F69" w:rsidRPr="0018386D" w:rsidRDefault="00B84F69" w:rsidP="00DD3106">
      <w:pPr>
        <w:pStyle w:val="Note"/>
      </w:pPr>
      <w:bookmarkStart w:id="723" w:name="_Hlk532820350"/>
      <w:bookmarkEnd w:id="718"/>
      <w:r w:rsidRPr="0018386D">
        <w:rPr>
          <w:b/>
          <w:bCs/>
        </w:rPr>
        <w:t>Note</w:t>
      </w:r>
      <w:r w:rsidR="004A7BFA" w:rsidRPr="0018386D">
        <w:rPr>
          <w:b/>
          <w:bCs/>
        </w:rPr>
        <w:t>:</w:t>
      </w:r>
      <w:r w:rsidR="004A7BFA" w:rsidRPr="0018386D">
        <w:t xml:space="preserve"> T</w:t>
      </w:r>
      <w:r w:rsidRPr="0018386D">
        <w:t xml:space="preserve">hese numbers are rounded to three decimal places unless the number is significantly small. </w:t>
      </w:r>
      <w:r w:rsidR="00303DF3" w:rsidRPr="0018386D">
        <w:t>d</w:t>
      </w:r>
      <w:r w:rsidR="00C50DC9" w:rsidRPr="0018386D">
        <w:t>wt</w:t>
      </w:r>
      <w:r w:rsidR="00DF7205" w:rsidRPr="0018386D">
        <w:t> </w:t>
      </w:r>
      <w:r w:rsidR="00E20736" w:rsidRPr="0018386D">
        <w:t>=</w:t>
      </w:r>
      <w:r w:rsidR="00DF7205" w:rsidRPr="0018386D">
        <w:t> </w:t>
      </w:r>
      <w:r w:rsidR="00842E6A" w:rsidRPr="0018386D">
        <w:t>deadweight tonnes.</w:t>
      </w:r>
      <w:r w:rsidRPr="0018386D">
        <w:t xml:space="preserve"> </w:t>
      </w:r>
      <w:r w:rsidR="00842E6A" w:rsidRPr="0018386D">
        <w:t xml:space="preserve">TEU </w:t>
      </w:r>
      <w:r w:rsidR="00E20736" w:rsidRPr="0018386D">
        <w:t xml:space="preserve">= </w:t>
      </w:r>
      <w:r w:rsidR="00534350" w:rsidRPr="0018386D">
        <w:t>twenty-foot equivalent unit.</w:t>
      </w:r>
      <w:r w:rsidR="00842E6A" w:rsidRPr="0018386D">
        <w:t xml:space="preserve"> CEU</w:t>
      </w:r>
      <w:r w:rsidR="00E20736" w:rsidRPr="0018386D">
        <w:t xml:space="preserve"> =</w:t>
      </w:r>
      <w:r w:rsidR="00842E6A" w:rsidRPr="0018386D">
        <w:t xml:space="preserve"> </w:t>
      </w:r>
      <w:r w:rsidR="00534350" w:rsidRPr="0018386D">
        <w:t>car equivalent unit.</w:t>
      </w:r>
      <w:r w:rsidR="00842E6A" w:rsidRPr="0018386D">
        <w:t xml:space="preserve"> LM </w:t>
      </w:r>
      <w:r w:rsidR="00E20736" w:rsidRPr="0018386D">
        <w:t>=</w:t>
      </w:r>
      <w:r w:rsidR="00BD685C" w:rsidRPr="0018386D">
        <w:t xml:space="preserve"> </w:t>
      </w:r>
      <w:proofErr w:type="spellStart"/>
      <w:r w:rsidR="00534350" w:rsidRPr="0018386D">
        <w:t>lanemetre</w:t>
      </w:r>
      <w:proofErr w:type="spellEnd"/>
      <w:r w:rsidR="00A625ED" w:rsidRPr="0018386D">
        <w:t>.</w:t>
      </w:r>
    </w:p>
    <w:p w14:paraId="47DF198F" w14:textId="50FCF8F3" w:rsidR="001320EE" w:rsidRPr="0018386D" w:rsidRDefault="00301928" w:rsidP="00DD3106">
      <w:pPr>
        <w:pStyle w:val="Heading3"/>
        <w:numPr>
          <w:ilvl w:val="2"/>
          <w:numId w:val="8"/>
        </w:numPr>
        <w:spacing w:before="320"/>
      </w:pPr>
      <w:bookmarkStart w:id="724" w:name="_Toc532904932"/>
      <w:bookmarkEnd w:id="723"/>
      <w:r w:rsidRPr="0018386D">
        <w:t xml:space="preserve">GHG </w:t>
      </w:r>
      <w:r w:rsidR="001320EE" w:rsidRPr="0018386D">
        <w:t>inventory development</w:t>
      </w:r>
      <w:bookmarkEnd w:id="724"/>
    </w:p>
    <w:p w14:paraId="54E467CD" w14:textId="7754D549" w:rsidR="001320EE" w:rsidRPr="0018386D" w:rsidRDefault="001320EE" w:rsidP="00DD3106">
      <w:pPr>
        <w:pStyle w:val="BodyText"/>
      </w:pPr>
      <w:r w:rsidRPr="0018386D">
        <w:t>Users should collect data on the weight in tonnes of goods freighted</w:t>
      </w:r>
      <w:r w:rsidR="00FD32F5" w:rsidRPr="0018386D">
        <w:t>, and</w:t>
      </w:r>
      <w:r w:rsidRPr="0018386D">
        <w:t xml:space="preserve"> the distance travelled. </w:t>
      </w:r>
      <w:bookmarkStart w:id="725" w:name="_Hlk532894251"/>
      <w:r w:rsidRPr="0018386D">
        <w:t>For each journey</w:t>
      </w:r>
      <w:r w:rsidR="001E65F3" w:rsidRPr="0018386D">
        <w:t>, multiply</w:t>
      </w:r>
      <w:r w:rsidRPr="0018386D">
        <w:t xml:space="preserve"> the total tonnes by the total km travelled</w:t>
      </w:r>
      <w:bookmarkEnd w:id="725"/>
      <w:r w:rsidRPr="0018386D">
        <w:t xml:space="preserve">. </w:t>
      </w:r>
    </w:p>
    <w:p w14:paraId="24B5261C" w14:textId="0BA56E79" w:rsidR="00AF2926" w:rsidRPr="0018386D" w:rsidRDefault="00AF2926" w:rsidP="00DD3106">
      <w:pPr>
        <w:pStyle w:val="BodyText"/>
      </w:pPr>
      <w:bookmarkStart w:id="726" w:name="_Hlk532819631"/>
      <w:r w:rsidRPr="0018386D">
        <w:t xml:space="preserve">Applying the equation </w:t>
      </w:r>
      <w:r w:rsidR="00E71782" w:rsidRPr="0018386D">
        <w:t>E</w:t>
      </w:r>
      <w:r w:rsidR="00B37794" w:rsidRPr="0018386D">
        <w:t xml:space="preserve"> </w:t>
      </w:r>
      <w:r w:rsidR="00E71782" w:rsidRPr="0018386D">
        <w:t>= Q x F</w:t>
      </w:r>
      <w:r w:rsidRPr="0018386D">
        <w:t xml:space="preserve"> </w:t>
      </w:r>
      <w:r w:rsidR="00E71782" w:rsidRPr="0018386D">
        <w:t>(</w:t>
      </w:r>
      <w:hyperlink w:anchor="_How_to_quantify" w:history="1">
        <w:r w:rsidR="00FE2A90" w:rsidRPr="0018386D">
          <w:rPr>
            <w:rStyle w:val="Hyperlink"/>
          </w:rPr>
          <w:t>section 2</w:t>
        </w:r>
      </w:hyperlink>
      <w:r w:rsidR="00E71782" w:rsidRPr="0018386D">
        <w:rPr>
          <w:rStyle w:val="Hyperlink"/>
          <w:color w:val="auto"/>
        </w:rPr>
        <w:t>)</w:t>
      </w:r>
      <w:r w:rsidRPr="0018386D">
        <w:t>, this means:</w:t>
      </w:r>
    </w:p>
    <w:bookmarkEnd w:id="726"/>
    <w:p w14:paraId="765AF00B" w14:textId="2B5DB764" w:rsidR="00E71782" w:rsidRPr="0018386D" w:rsidRDefault="00E71782"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14C75768" w14:textId="02A45B9B" w:rsidR="001320EE" w:rsidRPr="0018386D" w:rsidRDefault="001320EE" w:rsidP="00DD3106">
      <w:pPr>
        <w:pStyle w:val="BodyText"/>
        <w:tabs>
          <w:tab w:val="left" w:pos="680"/>
          <w:tab w:val="left" w:pos="1134"/>
        </w:tabs>
        <w:contextualSpacing/>
      </w:pPr>
      <w:r w:rsidRPr="0018386D">
        <w:t>Q</w:t>
      </w:r>
      <w:r w:rsidR="004A7BFA" w:rsidRPr="0018386D">
        <w:tab/>
      </w:r>
      <w:r w:rsidRPr="0018386D">
        <w:t>=</w:t>
      </w:r>
      <w:r w:rsidR="004A7BFA" w:rsidRPr="0018386D">
        <w:tab/>
      </w:r>
      <w:r w:rsidRPr="0018386D">
        <w:t xml:space="preserve">tonnes of freight </w:t>
      </w:r>
      <w:r w:rsidR="00AF2926" w:rsidRPr="0018386D">
        <w:rPr>
          <w:rFonts w:cs="Calibri"/>
        </w:rPr>
        <w:t>×</w:t>
      </w:r>
      <w:r w:rsidR="00AF2926" w:rsidRPr="0018386D">
        <w:t xml:space="preserve"> </w:t>
      </w:r>
      <w:r w:rsidRPr="0018386D">
        <w:t>km travelled</w:t>
      </w:r>
    </w:p>
    <w:p w14:paraId="3E70E95A" w14:textId="41DDE75B" w:rsidR="001320EE" w:rsidRPr="0018386D" w:rsidRDefault="004A7BFA" w:rsidP="00DD3106">
      <w:pPr>
        <w:pStyle w:val="BodyText"/>
        <w:tabs>
          <w:tab w:val="left" w:pos="680"/>
          <w:tab w:val="left" w:pos="1134"/>
        </w:tabs>
        <w:spacing w:after="240"/>
        <w:contextualSpacing/>
      </w:pPr>
      <w:r w:rsidRPr="0018386D">
        <w:t>F</w:t>
      </w:r>
      <w:r w:rsidRPr="0018386D">
        <w:tab/>
        <w:t>=</w:t>
      </w:r>
      <w:r w:rsidRPr="0018386D">
        <w:tab/>
      </w:r>
      <w:r w:rsidR="001320EE" w:rsidRPr="0018386D">
        <w:t>appropri</w:t>
      </w:r>
      <w:r w:rsidR="001C4341" w:rsidRPr="0018386D">
        <w:t xml:space="preserve">ate emission factors from </w:t>
      </w:r>
      <w:hyperlink w:anchor="Table62" w:history="1">
        <w:r w:rsidR="00307B03" w:rsidRPr="0018386D">
          <w:rPr>
            <w:rStyle w:val="Hyperlink"/>
          </w:rPr>
          <w:t xml:space="preserve">table </w:t>
        </w:r>
        <w:r w:rsidR="006E1FA8" w:rsidRPr="0018386D">
          <w:rPr>
            <w:rStyle w:val="Hyperlink"/>
          </w:rPr>
          <w:t>6</w:t>
        </w:r>
        <w:r w:rsidR="009A6554" w:rsidRPr="0018386D">
          <w:rPr>
            <w:rStyle w:val="Hyperlink"/>
          </w:rPr>
          <w:t>2</w:t>
        </w:r>
      </w:hyperlink>
      <w:r w:rsidR="001C4341" w:rsidRPr="0018386D">
        <w:t xml:space="preserve"> or </w:t>
      </w:r>
      <w:hyperlink w:anchor="Table63" w:history="1">
        <w:r w:rsidR="00307B03" w:rsidRPr="0018386D">
          <w:rPr>
            <w:rStyle w:val="Hyperlink"/>
          </w:rPr>
          <w:t xml:space="preserve">table </w:t>
        </w:r>
        <w:r w:rsidR="009A6554" w:rsidRPr="0018386D">
          <w:rPr>
            <w:rStyle w:val="Hyperlink"/>
          </w:rPr>
          <w:t>63</w:t>
        </w:r>
      </w:hyperlink>
      <w:r w:rsidR="008B3A2D" w:rsidRPr="0018386D">
        <w:t xml:space="preserve"> </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618"/>
      </w:tblGrid>
      <w:tr w:rsidR="00D9613F" w:rsidRPr="0018386D" w:rsidDel="00D5390D" w14:paraId="737A5C1B" w14:textId="77777777" w:rsidTr="7A15BFB1">
        <w:trPr>
          <w:tblHeader/>
        </w:trPr>
        <w:tc>
          <w:tcPr>
            <w:tcW w:w="8358" w:type="dxa"/>
            <w:tcBorders>
              <w:top w:val="single" w:sz="4" w:space="0" w:color="0F7B7D"/>
              <w:left w:val="single" w:sz="4" w:space="0" w:color="0F7B7D"/>
              <w:bottom w:val="nil"/>
              <w:right w:val="single" w:sz="4" w:space="0" w:color="0F7B7D"/>
            </w:tcBorders>
            <w:shd w:val="clear" w:color="auto" w:fill="0F7B7D"/>
            <w:vAlign w:val="center"/>
          </w:tcPr>
          <w:p w14:paraId="1CE0B487" w14:textId="6897FF0F" w:rsidR="001E65F3" w:rsidRPr="0018386D" w:rsidDel="00D5390D" w:rsidRDefault="00FD32F5" w:rsidP="00DD3106">
            <w:pPr>
              <w:pStyle w:val="Casestudyheading"/>
            </w:pPr>
            <w:bookmarkStart w:id="727" w:name="_Hlk532819675"/>
            <w:r w:rsidRPr="0018386D">
              <w:lastRenderedPageBreak/>
              <w:t xml:space="preserve">MULTIPLE FREIGHT MODES: </w:t>
            </w:r>
            <w:r w:rsidR="001E65F3" w:rsidRPr="0018386D">
              <w:t xml:space="preserve">Example Calculation </w:t>
            </w:r>
          </w:p>
        </w:tc>
      </w:tr>
      <w:tr w:rsidR="000B7D63" w:rsidRPr="0018386D" w14:paraId="3A92F949" w14:textId="77777777" w:rsidTr="7A15BFB1">
        <w:tc>
          <w:tcPr>
            <w:tcW w:w="8358"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97439E6" w14:textId="31C12EDC" w:rsidR="001E65F3" w:rsidRPr="0018386D" w:rsidRDefault="001E65F3" w:rsidP="00DD3106">
            <w:pPr>
              <w:pStyle w:val="Boxtext"/>
              <w:spacing w:after="80"/>
            </w:pPr>
            <w:r w:rsidRPr="0018386D">
              <w:t xml:space="preserve">A company sends 300 kg of its product to a customer. It travels by road freight </w:t>
            </w:r>
            <w:r w:rsidR="00FC2A70" w:rsidRPr="0018386D">
              <w:t xml:space="preserve">(All </w:t>
            </w:r>
            <w:r w:rsidR="00EA4680" w:rsidRPr="0018386D">
              <w:t xml:space="preserve">trucks) </w:t>
            </w:r>
            <w:r w:rsidRPr="0018386D">
              <w:t>50 km to the port, then 500 km by coastal shipping</w:t>
            </w:r>
            <w:r w:rsidR="00301510" w:rsidRPr="0018386D">
              <w:t xml:space="preserve"> (container freight)</w:t>
            </w:r>
            <w:r w:rsidRPr="0018386D">
              <w:t xml:space="preserve"> to another domestic port</w:t>
            </w:r>
            <w:r w:rsidR="00FD32F5" w:rsidRPr="0018386D">
              <w:t xml:space="preserve">. It is then </w:t>
            </w:r>
            <w:r w:rsidRPr="0018386D">
              <w:t>loaded onto rail to its destination 250 km from the port.</w:t>
            </w:r>
          </w:p>
          <w:p w14:paraId="7ADE2A5B" w14:textId="77777777" w:rsidR="001E65F3" w:rsidRPr="0018386D" w:rsidRDefault="001E65F3" w:rsidP="00DD3106">
            <w:pPr>
              <w:pStyle w:val="Boxtext"/>
              <w:spacing w:before="80" w:after="80"/>
            </w:pPr>
            <w:r w:rsidRPr="0018386D">
              <w:t>Road freight emissions:</w:t>
            </w:r>
          </w:p>
          <w:p w14:paraId="380BE45D" w14:textId="54A9E566" w:rsidR="001E65F3" w:rsidRPr="0018386D" w:rsidRDefault="001E65F3" w:rsidP="00DD3106">
            <w:pPr>
              <w:pStyle w:val="Boxtext"/>
              <w:spacing w:before="20" w:after="20"/>
              <w:ind w:left="850"/>
            </w:pPr>
            <w:r w:rsidRPr="0018386D">
              <w:t xml:space="preserve">0.3 tonnes × 50 km = 15 </w:t>
            </w:r>
            <w:proofErr w:type="spellStart"/>
            <w:r w:rsidRPr="0018386D">
              <w:t>tkm</w:t>
            </w:r>
            <w:proofErr w:type="spellEnd"/>
          </w:p>
          <w:p w14:paraId="488BE9BE" w14:textId="0FFF55A1" w:rsidR="00D9313E" w:rsidRPr="0018386D" w:rsidRDefault="001E65F3" w:rsidP="00DD3106">
            <w:pPr>
              <w:pStyle w:val="Boxtext"/>
              <w:spacing w:before="20" w:after="180"/>
              <w:ind w:left="850"/>
            </w:pPr>
            <w:r w:rsidRPr="0018386D">
              <w:t xml:space="preserve">15 </w:t>
            </w:r>
            <w:proofErr w:type="spellStart"/>
            <w:r w:rsidRPr="0018386D">
              <w:t>tkm</w:t>
            </w:r>
            <w:proofErr w:type="spellEnd"/>
            <w:r w:rsidRPr="0018386D">
              <w:t xml:space="preserve"> × 0</w:t>
            </w:r>
            <w:r w:rsidR="00DB640A" w:rsidRPr="0018386D">
              <w:t>.</w:t>
            </w:r>
            <w:r w:rsidR="00301510" w:rsidRPr="0018386D">
              <w:t>13</w:t>
            </w:r>
            <w:r w:rsidR="00EA4680" w:rsidRPr="0018386D">
              <w:t>5</w:t>
            </w:r>
            <w:r w:rsidRPr="0018386D">
              <w:t xml:space="preserve"> =</w:t>
            </w:r>
            <w:r w:rsidR="002917F4" w:rsidRPr="0018386D">
              <w:t xml:space="preserve"> </w:t>
            </w:r>
            <w:r w:rsidRPr="0018386D">
              <w:t>2.</w:t>
            </w:r>
            <w:r w:rsidR="00301510" w:rsidRPr="0018386D">
              <w:t>0</w:t>
            </w:r>
            <w:r w:rsidR="00EA4680" w:rsidRPr="0018386D">
              <w:t>3</w:t>
            </w:r>
            <w:r w:rsidRPr="0018386D">
              <w:t xml:space="preserve"> kg CO</w:t>
            </w:r>
            <w:r w:rsidRPr="0018386D">
              <w:rPr>
                <w:vertAlign w:val="subscript"/>
              </w:rPr>
              <w:t>2</w:t>
            </w:r>
            <w:r w:rsidRPr="0018386D">
              <w:t>-e</w:t>
            </w:r>
          </w:p>
        </w:tc>
      </w:tr>
      <w:tr w:rsidR="007E7513" w:rsidRPr="0018386D" w14:paraId="2F3203BB" w14:textId="77777777" w:rsidTr="00D637BC">
        <w:tc>
          <w:tcPr>
            <w:tcW w:w="8358" w:type="dxa"/>
            <w:tcBorders>
              <w:top w:val="single" w:sz="4" w:space="0" w:color="D5EBE8" w:themeColor="accent3"/>
              <w:left w:val="single" w:sz="4" w:space="0" w:color="CFE5E5"/>
              <w:bottom w:val="single" w:sz="4" w:space="0" w:color="CFE5E5"/>
              <w:right w:val="single" w:sz="4" w:space="0" w:color="CFE5E5"/>
            </w:tcBorders>
            <w:shd w:val="clear" w:color="auto" w:fill="D5EBE8" w:themeFill="accent3"/>
          </w:tcPr>
          <w:p w14:paraId="3EFBD630" w14:textId="77777777" w:rsidR="007E7513" w:rsidRPr="0018386D" w:rsidRDefault="007E7513" w:rsidP="00DD3106">
            <w:pPr>
              <w:pStyle w:val="Boxtext"/>
              <w:keepNext/>
              <w:spacing w:before="0" w:after="80"/>
            </w:pPr>
            <w:r w:rsidRPr="0018386D">
              <w:t>Coastal shipping emissions:</w:t>
            </w:r>
          </w:p>
          <w:p w14:paraId="5E54C395" w14:textId="038373C4" w:rsidR="007E7513" w:rsidRPr="0018386D" w:rsidRDefault="007E7513" w:rsidP="00DD3106">
            <w:pPr>
              <w:pStyle w:val="Boxtext"/>
              <w:spacing w:before="20" w:after="20"/>
              <w:ind w:left="850"/>
            </w:pPr>
            <w:r w:rsidRPr="0018386D">
              <w:t>0.3 tonnes × 500</w:t>
            </w:r>
            <w:r w:rsidR="00D9159A" w:rsidRPr="0018386D">
              <w:t xml:space="preserve"> </w:t>
            </w:r>
            <w:r w:rsidRPr="0018386D">
              <w:t xml:space="preserve">km = 150 </w:t>
            </w:r>
            <w:proofErr w:type="spellStart"/>
            <w:r w:rsidRPr="0018386D">
              <w:t>tkm</w:t>
            </w:r>
            <w:proofErr w:type="spellEnd"/>
          </w:p>
          <w:p w14:paraId="74E0044A" w14:textId="77777777" w:rsidR="007E7513" w:rsidRPr="0018386D" w:rsidRDefault="007E7513" w:rsidP="00DD3106">
            <w:pPr>
              <w:pStyle w:val="Boxtext"/>
              <w:spacing w:before="20" w:after="20"/>
              <w:ind w:left="850"/>
            </w:pPr>
            <w:r w:rsidRPr="0018386D">
              <w:t xml:space="preserve">150 </w:t>
            </w:r>
            <w:proofErr w:type="spellStart"/>
            <w:r w:rsidRPr="0018386D">
              <w:t>tkm</w:t>
            </w:r>
            <w:proofErr w:type="spellEnd"/>
            <w:r w:rsidRPr="0018386D">
              <w:t xml:space="preserve"> × 0.046 = </w:t>
            </w:r>
            <w:r w:rsidRPr="0018386D" w:rsidDel="00E53A06">
              <w:t>6.</w:t>
            </w:r>
            <w:r w:rsidRPr="0018386D">
              <w:t>90 kg CO</w:t>
            </w:r>
            <w:r w:rsidRPr="0018386D">
              <w:rPr>
                <w:vertAlign w:val="subscript"/>
              </w:rPr>
              <w:t>2</w:t>
            </w:r>
            <w:r w:rsidRPr="0018386D">
              <w:t>-e</w:t>
            </w:r>
          </w:p>
          <w:p w14:paraId="511190EE" w14:textId="77777777" w:rsidR="007E7513" w:rsidRPr="0018386D" w:rsidRDefault="007E7513" w:rsidP="00DD3106">
            <w:pPr>
              <w:pStyle w:val="Boxtext"/>
              <w:spacing w:after="80"/>
            </w:pPr>
            <w:r w:rsidRPr="0018386D">
              <w:t>Rail freight emissions:</w:t>
            </w:r>
          </w:p>
          <w:p w14:paraId="29F1D2A7" w14:textId="47892DD2" w:rsidR="007E7513" w:rsidRPr="0018386D" w:rsidRDefault="007E7513" w:rsidP="00DD3106">
            <w:pPr>
              <w:pStyle w:val="Boxtext"/>
              <w:spacing w:before="20" w:after="20"/>
              <w:ind w:left="850"/>
            </w:pPr>
            <w:r w:rsidRPr="0018386D">
              <w:t>0.3 tonnes × 250</w:t>
            </w:r>
            <w:r w:rsidR="00244CCA" w:rsidRPr="0018386D">
              <w:t xml:space="preserve"> </w:t>
            </w:r>
            <w:r w:rsidRPr="0018386D">
              <w:t xml:space="preserve">km = 75 </w:t>
            </w:r>
            <w:proofErr w:type="spellStart"/>
            <w:r w:rsidRPr="0018386D">
              <w:t>tkm</w:t>
            </w:r>
            <w:proofErr w:type="spellEnd"/>
            <w:r w:rsidRPr="0018386D">
              <w:t xml:space="preserve"> </w:t>
            </w:r>
          </w:p>
          <w:p w14:paraId="3D2B227D" w14:textId="31E0E579" w:rsidR="007E7513" w:rsidRPr="0018386D" w:rsidRDefault="007E7513" w:rsidP="00DD3106">
            <w:pPr>
              <w:pStyle w:val="Boxtext"/>
              <w:spacing w:before="20" w:after="20"/>
              <w:ind w:left="850"/>
            </w:pPr>
            <w:r w:rsidRPr="0018386D">
              <w:t xml:space="preserve">75 </w:t>
            </w:r>
            <w:proofErr w:type="spellStart"/>
            <w:r w:rsidRPr="0018386D">
              <w:t>tkm</w:t>
            </w:r>
            <w:proofErr w:type="spellEnd"/>
            <w:r w:rsidRPr="0018386D">
              <w:t xml:space="preserve"> × 0.027</w:t>
            </w:r>
            <w:r w:rsidR="005D657F" w:rsidRPr="0018386D">
              <w:t>1</w:t>
            </w:r>
            <w:r w:rsidRPr="0018386D">
              <w:t xml:space="preserve"> = 2.03 kg CO</w:t>
            </w:r>
            <w:r w:rsidRPr="0018386D">
              <w:rPr>
                <w:vertAlign w:val="subscript"/>
              </w:rPr>
              <w:t>2</w:t>
            </w:r>
            <w:r w:rsidRPr="0018386D">
              <w:t>-e</w:t>
            </w:r>
          </w:p>
          <w:p w14:paraId="3AD6FCBD" w14:textId="77777777" w:rsidR="007E7513" w:rsidRPr="0018386D" w:rsidRDefault="007E7513" w:rsidP="00DD3106">
            <w:pPr>
              <w:pStyle w:val="Boxtext"/>
              <w:spacing w:after="80"/>
            </w:pPr>
            <w:r w:rsidRPr="0018386D">
              <w:t>Total freight emissions:</w:t>
            </w:r>
          </w:p>
          <w:p w14:paraId="64AAA4A4" w14:textId="60C645E6" w:rsidR="007E7513" w:rsidRPr="0018386D" w:rsidRDefault="007E7513" w:rsidP="00DD3106">
            <w:pPr>
              <w:pStyle w:val="Boxtext"/>
              <w:spacing w:before="20" w:after="20"/>
              <w:ind w:left="850"/>
            </w:pPr>
            <w:r w:rsidRPr="0018386D">
              <w:t>2.03 + 6.9 + 2.</w:t>
            </w:r>
            <w:r w:rsidR="0048571C" w:rsidRPr="0018386D">
              <w:t>0</w:t>
            </w:r>
            <w:r w:rsidRPr="0018386D">
              <w:t>3 = 10.96</w:t>
            </w:r>
            <w:r w:rsidR="00244CCA" w:rsidRPr="0018386D">
              <w:t xml:space="preserve"> </w:t>
            </w:r>
            <w:r w:rsidRPr="0018386D">
              <w:t>kg CO</w:t>
            </w:r>
            <w:r w:rsidRPr="0018386D">
              <w:rPr>
                <w:vertAlign w:val="subscript"/>
              </w:rPr>
              <w:t>2</w:t>
            </w:r>
            <w:r w:rsidRPr="0018386D">
              <w:t>-e</w:t>
            </w:r>
          </w:p>
          <w:p w14:paraId="53E26463" w14:textId="017B1A73" w:rsidR="007E7513" w:rsidRPr="0018386D" w:rsidRDefault="007E7513" w:rsidP="00DD3106">
            <w:pPr>
              <w:pStyle w:val="Boxtext"/>
              <w:spacing w:before="80" w:after="180"/>
            </w:pPr>
            <w:r w:rsidRPr="0018386D">
              <w:rPr>
                <w:sz w:val="18"/>
              </w:rPr>
              <w:t>Note: Numbers may not add due to rounding.</w:t>
            </w:r>
          </w:p>
        </w:tc>
      </w:tr>
    </w:tbl>
    <w:p w14:paraId="65092BD3" w14:textId="50D01460" w:rsidR="008D3BC6" w:rsidRPr="0018386D" w:rsidRDefault="008D3BC6" w:rsidP="00DD3106">
      <w:pPr>
        <w:pStyle w:val="Heading3"/>
        <w:numPr>
          <w:ilvl w:val="2"/>
          <w:numId w:val="8"/>
        </w:numPr>
        <w:spacing w:before="440"/>
      </w:pPr>
      <w:bookmarkStart w:id="728" w:name="_Toc532904933"/>
      <w:bookmarkEnd w:id="727"/>
      <w:r w:rsidRPr="0018386D">
        <w:t>Emission factor derivation methodology</w:t>
      </w:r>
      <w:bookmarkEnd w:id="728"/>
    </w:p>
    <w:p w14:paraId="5B2FC05F" w14:textId="2AC09E07" w:rsidR="00DF1402" w:rsidRPr="0018386D" w:rsidRDefault="00842E6A" w:rsidP="00DD3106">
      <w:pPr>
        <w:pStyle w:val="BodyText"/>
      </w:pPr>
      <w:r w:rsidRPr="0018386D">
        <w:rPr>
          <w:spacing w:val="-2"/>
        </w:rPr>
        <w:t>We based t</w:t>
      </w:r>
      <w:r w:rsidR="009274E6" w:rsidRPr="0018386D">
        <w:rPr>
          <w:spacing w:val="-2"/>
        </w:rPr>
        <w:t>he emission factor</w:t>
      </w:r>
      <w:r w:rsidR="0073185C" w:rsidRPr="0018386D">
        <w:rPr>
          <w:spacing w:val="-2"/>
        </w:rPr>
        <w:t>s</w:t>
      </w:r>
      <w:r w:rsidR="009274E6" w:rsidRPr="0018386D">
        <w:rPr>
          <w:spacing w:val="-2"/>
        </w:rPr>
        <w:t xml:space="preserve"> for coastal shipping on </w:t>
      </w:r>
      <w:r w:rsidR="00311F10" w:rsidRPr="0018386D">
        <w:rPr>
          <w:spacing w:val="-2"/>
        </w:rPr>
        <w:t xml:space="preserve">figures included in the </w:t>
      </w:r>
      <w:proofErr w:type="spellStart"/>
      <w:r w:rsidR="008B3A2D" w:rsidRPr="0018386D">
        <w:rPr>
          <w:spacing w:val="-2"/>
        </w:rPr>
        <w:t>MoT</w:t>
      </w:r>
      <w:proofErr w:type="spellEnd"/>
      <w:r w:rsidR="009F6B37" w:rsidRPr="0018386D">
        <w:rPr>
          <w:spacing w:val="-2"/>
        </w:rPr>
        <w:t xml:space="preserve"> </w:t>
      </w:r>
      <w:r w:rsidR="00311F10" w:rsidRPr="0018386D">
        <w:rPr>
          <w:spacing w:val="-2"/>
        </w:rPr>
        <w:t>presentatio</w:t>
      </w:r>
      <w:r w:rsidR="00311F10" w:rsidRPr="0018386D">
        <w:t>n</w:t>
      </w:r>
      <w:r w:rsidR="003C7D8D" w:rsidRPr="0018386D">
        <w:t xml:space="preserve"> </w:t>
      </w:r>
      <w:r w:rsidR="00557716" w:rsidRPr="0018386D">
        <w:t xml:space="preserve">‘Real world </w:t>
      </w:r>
      <w:r w:rsidR="001E7492" w:rsidRPr="0018386D">
        <w:t xml:space="preserve">fuel </w:t>
      </w:r>
      <w:r w:rsidR="00557716" w:rsidRPr="0018386D">
        <w:t>economy of heavy trucks’</w:t>
      </w:r>
      <w:r w:rsidR="000B7D63" w:rsidRPr="0018386D">
        <w:t>,</w:t>
      </w:r>
      <w:r w:rsidR="00557716" w:rsidRPr="0018386D">
        <w:rPr>
          <w:rStyle w:val="FootnoteReference"/>
        </w:rPr>
        <w:footnoteReference w:id="47"/>
      </w:r>
      <w:r w:rsidR="00557716" w:rsidRPr="0018386D">
        <w:t xml:space="preserve"> </w:t>
      </w:r>
      <w:r w:rsidR="003C7D8D" w:rsidRPr="0018386D">
        <w:t>prepared for the 2019 Transport Knowledge Conference</w:t>
      </w:r>
      <w:r w:rsidR="00557716" w:rsidRPr="0018386D">
        <w:t>.</w:t>
      </w:r>
    </w:p>
    <w:p w14:paraId="69775214" w14:textId="3A2B4A9E" w:rsidR="00DF1402" w:rsidRPr="0018386D" w:rsidRDefault="00EB4389" w:rsidP="00DD3106">
      <w:pPr>
        <w:pStyle w:val="Tableheading"/>
      </w:pPr>
      <w:bookmarkStart w:id="729" w:name="Table64"/>
      <w:bookmarkStart w:id="730" w:name="_Toc111536676"/>
      <w:bookmarkStart w:id="731" w:name="_Toc140049004"/>
      <w:r w:rsidRPr="0018386D">
        <w:t xml:space="preserve">Table </w:t>
      </w:r>
      <w:r w:rsidRPr="0018386D">
        <w:fldChar w:fldCharType="begin"/>
      </w:r>
      <w:r w:rsidRPr="0018386D">
        <w:instrText>SEQ Table \* ARABIC</w:instrText>
      </w:r>
      <w:r w:rsidRPr="0018386D">
        <w:fldChar w:fldCharType="separate"/>
      </w:r>
      <w:r w:rsidR="00061BCE" w:rsidRPr="0018386D">
        <w:t>64</w:t>
      </w:r>
      <w:r w:rsidRPr="0018386D">
        <w:fldChar w:fldCharType="end"/>
      </w:r>
      <w:bookmarkEnd w:id="729"/>
      <w:r w:rsidRPr="0018386D">
        <w:t>:</w:t>
      </w:r>
      <w:r w:rsidRPr="0018386D">
        <w:tab/>
      </w:r>
      <w:r w:rsidR="00DF1402" w:rsidRPr="0018386D">
        <w:t>Coastal shipping data</w:t>
      </w:r>
      <w:bookmarkEnd w:id="730"/>
      <w:bookmarkEnd w:id="73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155"/>
        <w:gridCol w:w="5350"/>
      </w:tblGrid>
      <w:tr w:rsidR="0075540B" w:rsidRPr="0018386D" w14:paraId="044BBFA9" w14:textId="77777777" w:rsidTr="00A86654">
        <w:tc>
          <w:tcPr>
            <w:tcW w:w="3153" w:type="dxa"/>
            <w:shd w:val="clear" w:color="auto" w:fill="1B556B" w:themeFill="text2"/>
            <w:noWrap/>
            <w:vAlign w:val="bottom"/>
            <w:hideMark/>
          </w:tcPr>
          <w:p w14:paraId="4AAF85FF" w14:textId="1C69A01A" w:rsidR="00327F9E" w:rsidRPr="0018386D" w:rsidRDefault="00327F9E" w:rsidP="00DD3106">
            <w:pPr>
              <w:pStyle w:val="TableTextbold"/>
              <w:spacing w:before="30" w:after="30"/>
              <w:rPr>
                <w:color w:val="FFFFFF" w:themeColor="background1"/>
              </w:rPr>
            </w:pPr>
            <w:r w:rsidRPr="0018386D">
              <w:rPr>
                <w:color w:val="FFFFFF" w:themeColor="background1"/>
              </w:rPr>
              <w:t>Mode</w:t>
            </w:r>
          </w:p>
        </w:tc>
        <w:tc>
          <w:tcPr>
            <w:tcW w:w="5347" w:type="dxa"/>
            <w:shd w:val="clear" w:color="auto" w:fill="1B556B" w:themeFill="text2"/>
            <w:noWrap/>
            <w:vAlign w:val="bottom"/>
            <w:hideMark/>
          </w:tcPr>
          <w:p w14:paraId="4AB45C75" w14:textId="62575FA8" w:rsidR="00327F9E" w:rsidRPr="0018386D" w:rsidRDefault="00327F9E" w:rsidP="00DD3106">
            <w:pPr>
              <w:pStyle w:val="TableTextbold"/>
              <w:spacing w:before="30" w:after="30"/>
              <w:rPr>
                <w:color w:val="FFFFFF" w:themeColor="background1"/>
              </w:rPr>
            </w:pPr>
            <w:r w:rsidRPr="0018386D">
              <w:rPr>
                <w:color w:val="FFFFFF" w:themeColor="background1"/>
              </w:rPr>
              <w:t xml:space="preserve">Typical </w:t>
            </w:r>
            <w:r w:rsidR="004C4BD6" w:rsidRPr="0018386D">
              <w:rPr>
                <w:color w:val="FFFFFF" w:themeColor="background1"/>
              </w:rPr>
              <w:t xml:space="preserve">kg </w:t>
            </w:r>
            <w:r w:rsidRPr="0018386D">
              <w:rPr>
                <w:color w:val="FFFFFF" w:themeColor="background1"/>
              </w:rPr>
              <w:t>CO</w:t>
            </w:r>
            <w:r w:rsidRPr="0018386D">
              <w:rPr>
                <w:color w:val="FFFFFF" w:themeColor="background1"/>
                <w:vertAlign w:val="subscript"/>
              </w:rPr>
              <w:t>2</w:t>
            </w:r>
            <w:r w:rsidRPr="0018386D">
              <w:rPr>
                <w:color w:val="FFFFFF" w:themeColor="background1"/>
              </w:rPr>
              <w:t>/</w:t>
            </w:r>
            <w:proofErr w:type="spellStart"/>
            <w:r w:rsidRPr="0018386D">
              <w:rPr>
                <w:color w:val="FFFFFF" w:themeColor="background1"/>
              </w:rPr>
              <w:t>tkm</w:t>
            </w:r>
            <w:proofErr w:type="spellEnd"/>
          </w:p>
        </w:tc>
      </w:tr>
      <w:tr w:rsidR="00327F9E" w:rsidRPr="0018386D" w14:paraId="50F79B93" w14:textId="77777777" w:rsidTr="00D12F07">
        <w:trPr>
          <w:trHeight w:val="300"/>
        </w:trPr>
        <w:tc>
          <w:tcPr>
            <w:tcW w:w="3153" w:type="dxa"/>
            <w:shd w:val="clear" w:color="auto" w:fill="auto"/>
            <w:noWrap/>
            <w:vAlign w:val="bottom"/>
            <w:hideMark/>
          </w:tcPr>
          <w:p w14:paraId="690470FC" w14:textId="77777777" w:rsidR="00327F9E" w:rsidRPr="0018386D" w:rsidRDefault="00327F9E" w:rsidP="00DD3106">
            <w:pPr>
              <w:pStyle w:val="TableText"/>
              <w:spacing w:before="30" w:after="30"/>
            </w:pPr>
            <w:r w:rsidRPr="0018386D">
              <w:t>Coastal shipping (oil products)</w:t>
            </w:r>
          </w:p>
        </w:tc>
        <w:tc>
          <w:tcPr>
            <w:tcW w:w="5347" w:type="dxa"/>
            <w:shd w:val="clear" w:color="auto" w:fill="auto"/>
            <w:noWrap/>
            <w:vAlign w:val="bottom"/>
            <w:hideMark/>
          </w:tcPr>
          <w:p w14:paraId="6A6F7565" w14:textId="1C85EBB8" w:rsidR="00327F9E" w:rsidRPr="0018386D" w:rsidRDefault="004C4BD6" w:rsidP="00DD3106">
            <w:pPr>
              <w:pStyle w:val="TableText"/>
              <w:spacing w:before="30" w:after="30"/>
              <w:jc w:val="right"/>
            </w:pPr>
            <w:r w:rsidRPr="0018386D">
              <w:t>0.0</w:t>
            </w:r>
            <w:r w:rsidR="00327F9E" w:rsidRPr="0018386D">
              <w:t>16</w:t>
            </w:r>
          </w:p>
        </w:tc>
      </w:tr>
      <w:tr w:rsidR="00327F9E" w:rsidRPr="0018386D" w14:paraId="46B69091" w14:textId="77777777" w:rsidTr="00D12F07">
        <w:trPr>
          <w:trHeight w:val="300"/>
        </w:trPr>
        <w:tc>
          <w:tcPr>
            <w:tcW w:w="3153" w:type="dxa"/>
            <w:shd w:val="clear" w:color="auto" w:fill="auto"/>
            <w:noWrap/>
            <w:vAlign w:val="bottom"/>
            <w:hideMark/>
          </w:tcPr>
          <w:p w14:paraId="46184838" w14:textId="77777777" w:rsidR="00327F9E" w:rsidRPr="0018386D" w:rsidRDefault="00327F9E" w:rsidP="00DD3106">
            <w:pPr>
              <w:pStyle w:val="TableText"/>
              <w:spacing w:before="30" w:after="30"/>
            </w:pPr>
            <w:r w:rsidRPr="0018386D">
              <w:t>Coastal shipping (other bulk)</w:t>
            </w:r>
          </w:p>
        </w:tc>
        <w:tc>
          <w:tcPr>
            <w:tcW w:w="5347" w:type="dxa"/>
            <w:shd w:val="clear" w:color="auto" w:fill="auto"/>
            <w:noWrap/>
            <w:vAlign w:val="bottom"/>
            <w:hideMark/>
          </w:tcPr>
          <w:p w14:paraId="2C9762D0" w14:textId="26A1442F" w:rsidR="00327F9E" w:rsidRPr="0018386D" w:rsidRDefault="004C4BD6" w:rsidP="00DD3106">
            <w:pPr>
              <w:pStyle w:val="TableText"/>
              <w:spacing w:before="30" w:after="30"/>
              <w:jc w:val="right"/>
            </w:pPr>
            <w:r w:rsidRPr="0018386D">
              <w:t>0.0</w:t>
            </w:r>
            <w:r w:rsidR="00327F9E" w:rsidRPr="0018386D">
              <w:t>30</w:t>
            </w:r>
          </w:p>
        </w:tc>
      </w:tr>
      <w:tr w:rsidR="00327F9E" w:rsidRPr="0018386D" w14:paraId="0D25C878" w14:textId="77777777" w:rsidTr="00D12F07">
        <w:trPr>
          <w:trHeight w:val="300"/>
        </w:trPr>
        <w:tc>
          <w:tcPr>
            <w:tcW w:w="3153" w:type="dxa"/>
            <w:shd w:val="clear" w:color="auto" w:fill="auto"/>
            <w:noWrap/>
            <w:vAlign w:val="bottom"/>
            <w:hideMark/>
          </w:tcPr>
          <w:p w14:paraId="64D4DDB2" w14:textId="77777777" w:rsidR="00327F9E" w:rsidRPr="0018386D" w:rsidRDefault="00327F9E" w:rsidP="00DD3106">
            <w:pPr>
              <w:pStyle w:val="TableText"/>
              <w:spacing w:before="30" w:after="30"/>
            </w:pPr>
            <w:r w:rsidRPr="0018386D">
              <w:t>Coastal shipping (container freight)</w:t>
            </w:r>
          </w:p>
        </w:tc>
        <w:tc>
          <w:tcPr>
            <w:tcW w:w="5347" w:type="dxa"/>
            <w:shd w:val="clear" w:color="auto" w:fill="auto"/>
            <w:noWrap/>
            <w:vAlign w:val="bottom"/>
            <w:hideMark/>
          </w:tcPr>
          <w:p w14:paraId="5549D965" w14:textId="1325E388" w:rsidR="00327F9E" w:rsidRPr="0018386D" w:rsidRDefault="004C4BD6" w:rsidP="00DD3106">
            <w:pPr>
              <w:pStyle w:val="TableText"/>
              <w:spacing w:before="30" w:after="30"/>
              <w:jc w:val="right"/>
            </w:pPr>
            <w:r w:rsidRPr="0018386D">
              <w:t>0.0</w:t>
            </w:r>
            <w:r w:rsidR="00327F9E" w:rsidRPr="0018386D">
              <w:t>46</w:t>
            </w:r>
          </w:p>
        </w:tc>
      </w:tr>
    </w:tbl>
    <w:p w14:paraId="65092BDB" w14:textId="6421F2B4" w:rsidR="00937F15" w:rsidRPr="0018386D" w:rsidRDefault="00842E6A" w:rsidP="00DD3106">
      <w:pPr>
        <w:pStyle w:val="BodyText"/>
        <w:spacing w:before="240" w:after="100"/>
      </w:pPr>
      <w:r w:rsidRPr="0018386D">
        <w:t>We assumed t</w:t>
      </w:r>
      <w:r w:rsidR="00937F15" w:rsidRPr="0018386D">
        <w:t xml:space="preserve">ransport fuel for coastal shipping is </w:t>
      </w:r>
      <w:r w:rsidR="0073185C" w:rsidRPr="0018386D">
        <w:t>heavy fuel oil</w:t>
      </w:r>
      <w:r w:rsidR="00FD32F5" w:rsidRPr="0018386D">
        <w:t>,</w:t>
      </w:r>
      <w:r w:rsidR="0073185C" w:rsidRPr="0018386D">
        <w:t xml:space="preserve"> </w:t>
      </w:r>
      <w:r w:rsidR="00937F15" w:rsidRPr="0018386D">
        <w:t>and therefore</w:t>
      </w:r>
      <w:r w:rsidRPr="0018386D">
        <w:t xml:space="preserve"> applied</w:t>
      </w:r>
      <w:r w:rsidR="00937F15" w:rsidRPr="0018386D">
        <w:t xml:space="preserve"> the ratio of </w:t>
      </w:r>
      <w:r w:rsidR="008D6410" w:rsidRPr="0018386D">
        <w:t>carbon dioxide</w:t>
      </w:r>
      <w:r w:rsidR="009E41DD" w:rsidRPr="0018386D">
        <w:t>,</w:t>
      </w:r>
      <w:r w:rsidR="00937F15" w:rsidRPr="0018386D">
        <w:t xml:space="preserve"> </w:t>
      </w:r>
      <w:proofErr w:type="gramStart"/>
      <w:r w:rsidR="008D6410" w:rsidRPr="0018386D">
        <w:t>methane</w:t>
      </w:r>
      <w:proofErr w:type="gramEnd"/>
      <w:r w:rsidR="009E41DD" w:rsidRPr="0018386D">
        <w:t xml:space="preserve"> and</w:t>
      </w:r>
      <w:r w:rsidR="00937F15" w:rsidRPr="0018386D">
        <w:t xml:space="preserve"> </w:t>
      </w:r>
      <w:r w:rsidR="008D6410" w:rsidRPr="0018386D">
        <w:t>nitrous oxide</w:t>
      </w:r>
      <w:r w:rsidR="00937F15" w:rsidRPr="0018386D">
        <w:t xml:space="preserve"> to provide a breakdown by gas</w:t>
      </w:r>
      <w:r w:rsidR="0005038E" w:rsidRPr="0018386D">
        <w:t xml:space="preserve">. </w:t>
      </w:r>
    </w:p>
    <w:p w14:paraId="65092BDC" w14:textId="7975F24E" w:rsidR="00BB14F4" w:rsidRPr="0018386D" w:rsidRDefault="009274E6" w:rsidP="00DD3106">
      <w:pPr>
        <w:pStyle w:val="BodyText"/>
      </w:pPr>
      <w:r w:rsidRPr="0018386D">
        <w:t xml:space="preserve">For </w:t>
      </w:r>
      <w:r w:rsidR="00FD32F5" w:rsidRPr="0018386D">
        <w:t>i</w:t>
      </w:r>
      <w:r w:rsidRPr="0018386D">
        <w:t>nternational shipping</w:t>
      </w:r>
      <w:r w:rsidR="00842E6A" w:rsidRPr="0018386D">
        <w:t>, we used</w:t>
      </w:r>
      <w:r w:rsidRPr="0018386D">
        <w:t xml:space="preserve"> </w:t>
      </w:r>
      <w:r w:rsidR="00BB14F4" w:rsidRPr="0018386D">
        <w:t>the Freight Information Gathering System</w:t>
      </w:r>
      <w:r w:rsidR="000D0FE2" w:rsidRPr="0018386D">
        <w:t xml:space="preserve"> (FIGS)</w:t>
      </w:r>
      <w:r w:rsidR="00BB14F4" w:rsidRPr="0018386D">
        <w:rPr>
          <w:rStyle w:val="FootnoteReference"/>
        </w:rPr>
        <w:footnoteReference w:id="48"/>
      </w:r>
      <w:r w:rsidR="00BB14F4" w:rsidRPr="0018386D">
        <w:t xml:space="preserve"> </w:t>
      </w:r>
      <w:r w:rsidR="00DC0A6D" w:rsidRPr="0018386D">
        <w:t xml:space="preserve">to identify which </w:t>
      </w:r>
      <w:r w:rsidR="00420B61" w:rsidRPr="0018386D">
        <w:t xml:space="preserve">types of </w:t>
      </w:r>
      <w:r w:rsidR="00DC0A6D" w:rsidRPr="0018386D">
        <w:t>ships visit New Zealand</w:t>
      </w:r>
      <w:r w:rsidR="00FD32F5" w:rsidRPr="0018386D">
        <w:t>,</w:t>
      </w:r>
      <w:r w:rsidR="00DC0A6D" w:rsidRPr="0018386D">
        <w:t xml:space="preserve"> and </w:t>
      </w:r>
      <w:r w:rsidR="00BB14F4" w:rsidRPr="0018386D">
        <w:t>the</w:t>
      </w:r>
      <w:r w:rsidR="00420B61" w:rsidRPr="0018386D">
        <w:t>i</w:t>
      </w:r>
      <w:r w:rsidR="00BB14F4" w:rsidRPr="0018386D">
        <w:t xml:space="preserve">r average sizes. </w:t>
      </w:r>
      <w:r w:rsidR="00842E6A" w:rsidRPr="0018386D">
        <w:t>We then adopted t</w:t>
      </w:r>
      <w:r w:rsidR="00BB14F4" w:rsidRPr="0018386D">
        <w:t xml:space="preserve">he </w:t>
      </w:r>
      <w:hyperlink r:id="rId113" w:history="1">
        <w:r w:rsidR="00842E6A" w:rsidRPr="0018386D">
          <w:rPr>
            <w:rStyle w:val="Hyperlink"/>
            <w:rFonts w:eastAsia="Times New Roman" w:cs="Times New Roman"/>
          </w:rPr>
          <w:t>UK BEIS emission factors</w:t>
        </w:r>
      </w:hyperlink>
      <w:r w:rsidR="00BB14F4" w:rsidRPr="0018386D">
        <w:t xml:space="preserve"> for the relevant ships and </w:t>
      </w:r>
      <w:r w:rsidR="00842E6A" w:rsidRPr="0018386D">
        <w:t xml:space="preserve">adapted </w:t>
      </w:r>
      <w:r w:rsidR="00BB14F4" w:rsidRPr="0018386D">
        <w:t xml:space="preserve">the average emission factors to reflect ship </w:t>
      </w:r>
      <w:r w:rsidRPr="0018386D">
        <w:t xml:space="preserve">sizes </w:t>
      </w:r>
      <w:r w:rsidR="00BB14F4" w:rsidRPr="0018386D">
        <w:t>visiting New Zealand.</w:t>
      </w:r>
    </w:p>
    <w:p w14:paraId="65092BDD" w14:textId="5FC92672" w:rsidR="00BF353D" w:rsidRPr="0018386D" w:rsidRDefault="00842E6A" w:rsidP="00DD3106">
      <w:pPr>
        <w:pStyle w:val="BodyText"/>
        <w:keepNext/>
      </w:pPr>
      <w:r w:rsidRPr="0018386D">
        <w:lastRenderedPageBreak/>
        <w:t>We identified t</w:t>
      </w:r>
      <w:r w:rsidR="00564255" w:rsidRPr="0018386D">
        <w:t>he following shipping types as visiting New Zealand:</w:t>
      </w:r>
    </w:p>
    <w:p w14:paraId="65092BDE" w14:textId="23530799" w:rsidR="00564255" w:rsidRPr="0018386D" w:rsidRDefault="009E1FFB" w:rsidP="00DD3106">
      <w:pPr>
        <w:pStyle w:val="Bullet"/>
        <w:keepNext/>
      </w:pPr>
      <w:r w:rsidRPr="0018386D">
        <w:t>c</w:t>
      </w:r>
      <w:r w:rsidR="00564255" w:rsidRPr="0018386D">
        <w:t>ontainer ships</w:t>
      </w:r>
    </w:p>
    <w:p w14:paraId="65092BDF" w14:textId="7F2FA71A" w:rsidR="00564255" w:rsidRPr="0018386D" w:rsidRDefault="009E1FFB" w:rsidP="00DD3106">
      <w:pPr>
        <w:pStyle w:val="Bullet"/>
        <w:keepNext/>
      </w:pPr>
      <w:r w:rsidRPr="0018386D">
        <w:t>r</w:t>
      </w:r>
      <w:r w:rsidR="00564255" w:rsidRPr="0018386D">
        <w:t>eefer</w:t>
      </w:r>
      <w:r w:rsidR="00BE6C79" w:rsidRPr="0018386D">
        <w:t xml:space="preserve"> (</w:t>
      </w:r>
      <w:r w:rsidR="00FD32F5" w:rsidRPr="0018386D">
        <w:t>r</w:t>
      </w:r>
      <w:r w:rsidR="00BE6C79" w:rsidRPr="0018386D">
        <w:t>efrigerated cargo ship)</w:t>
      </w:r>
    </w:p>
    <w:p w14:paraId="65092BE0" w14:textId="54DA34E3" w:rsidR="00564255" w:rsidRPr="0018386D" w:rsidRDefault="009E1FFB" w:rsidP="00DD3106">
      <w:pPr>
        <w:pStyle w:val="Bullet"/>
      </w:pPr>
      <w:r w:rsidRPr="0018386D">
        <w:t>b</w:t>
      </w:r>
      <w:r w:rsidR="00564255" w:rsidRPr="0018386D">
        <w:t>ulk carrier</w:t>
      </w:r>
    </w:p>
    <w:p w14:paraId="65092BE1" w14:textId="3BB67E59" w:rsidR="00564255" w:rsidRPr="0018386D" w:rsidRDefault="2836268F" w:rsidP="00DD3106">
      <w:pPr>
        <w:pStyle w:val="Bullet"/>
      </w:pPr>
      <w:proofErr w:type="spellStart"/>
      <w:r w:rsidRPr="0018386D">
        <w:t>Ro</w:t>
      </w:r>
      <w:r w:rsidR="33AC75DA" w:rsidRPr="0018386D">
        <w:t>Ro</w:t>
      </w:r>
      <w:proofErr w:type="spellEnd"/>
      <w:r w:rsidR="33AC75DA" w:rsidRPr="0018386D">
        <w:t xml:space="preserve"> (roll-on, roll-off)</w:t>
      </w:r>
    </w:p>
    <w:p w14:paraId="65092BE2" w14:textId="296BF34A" w:rsidR="00564255" w:rsidRPr="0018386D" w:rsidRDefault="009E1FFB" w:rsidP="00DD3106">
      <w:pPr>
        <w:pStyle w:val="Bullet"/>
      </w:pPr>
      <w:r w:rsidRPr="0018386D">
        <w:t>o</w:t>
      </w:r>
      <w:r w:rsidR="00564255" w:rsidRPr="0018386D">
        <w:t>il/gas tanker</w:t>
      </w:r>
    </w:p>
    <w:p w14:paraId="65092BE3" w14:textId="17938F4C" w:rsidR="00564255" w:rsidRPr="0018386D" w:rsidRDefault="009E1FFB" w:rsidP="00DD3106">
      <w:pPr>
        <w:pStyle w:val="Bullet"/>
      </w:pPr>
      <w:r w:rsidRPr="0018386D">
        <w:t>v</w:t>
      </w:r>
      <w:r w:rsidR="00564255" w:rsidRPr="0018386D">
        <w:t>ehicle carrier</w:t>
      </w:r>
    </w:p>
    <w:p w14:paraId="65092BE4" w14:textId="3C564637" w:rsidR="00564255" w:rsidRPr="0018386D" w:rsidRDefault="009E1FFB" w:rsidP="00DD3106">
      <w:pPr>
        <w:pStyle w:val="Bullet"/>
      </w:pPr>
      <w:r w:rsidRPr="0018386D">
        <w:t>g</w:t>
      </w:r>
      <w:r w:rsidR="00564255" w:rsidRPr="0018386D">
        <w:t>eneral cargo</w:t>
      </w:r>
      <w:r w:rsidRPr="0018386D">
        <w:t>.</w:t>
      </w:r>
    </w:p>
    <w:p w14:paraId="65092BE5" w14:textId="668884D2" w:rsidR="00101FB7" w:rsidRPr="0018386D" w:rsidRDefault="00842E6A" w:rsidP="00DD3106">
      <w:pPr>
        <w:pStyle w:val="BodyText"/>
      </w:pPr>
      <w:r w:rsidRPr="0018386D">
        <w:t>We used</w:t>
      </w:r>
      <w:r w:rsidR="00101FB7" w:rsidRPr="0018386D">
        <w:t xml:space="preserve"> </w:t>
      </w:r>
      <w:proofErr w:type="spellStart"/>
      <w:r w:rsidR="00D837FF" w:rsidRPr="0018386D">
        <w:t>MoT’s</w:t>
      </w:r>
      <w:proofErr w:type="spellEnd"/>
      <w:r w:rsidR="0017606D" w:rsidRPr="0018386D">
        <w:t xml:space="preserve"> </w:t>
      </w:r>
      <w:r w:rsidR="00101FB7" w:rsidRPr="0018386D">
        <w:t>FIGS</w:t>
      </w:r>
      <w:r w:rsidR="00101FB7" w:rsidRPr="0018386D">
        <w:rPr>
          <w:rStyle w:val="FootnoteReference"/>
        </w:rPr>
        <w:footnoteReference w:id="49"/>
      </w:r>
      <w:r w:rsidR="00101FB7" w:rsidRPr="0018386D">
        <w:t xml:space="preserve"> to find out the average sizes of ships visiting New Zealand. </w:t>
      </w:r>
      <w:r w:rsidR="00534350" w:rsidRPr="0018386D">
        <w:t xml:space="preserve">Ships are measured in deadweight tonnes (dwt), twenty-foot equivalent unit (TEU), car equivalent unit (CEU) or </w:t>
      </w:r>
      <w:proofErr w:type="spellStart"/>
      <w:r w:rsidR="00534350" w:rsidRPr="0018386D">
        <w:t>lanemetre</w:t>
      </w:r>
      <w:proofErr w:type="spellEnd"/>
      <w:r w:rsidR="00534350" w:rsidRPr="0018386D">
        <w:t xml:space="preserve"> (LM).</w:t>
      </w:r>
    </w:p>
    <w:p w14:paraId="65092BE6" w14:textId="229C7823" w:rsidR="00101FB7" w:rsidRPr="0018386D" w:rsidRDefault="00101FB7" w:rsidP="00DD3106">
      <w:pPr>
        <w:pStyle w:val="Bullet"/>
      </w:pPr>
      <w:r w:rsidRPr="0018386D">
        <w:t>Bulk carrier is 36,900 dwt and therefore in the 35,000–59,999 dwt category</w:t>
      </w:r>
      <w:r w:rsidR="00FD32F5" w:rsidRPr="0018386D">
        <w:t>.</w:t>
      </w:r>
    </w:p>
    <w:p w14:paraId="65092BE7" w14:textId="67B9A83C" w:rsidR="00101FB7" w:rsidRPr="0018386D" w:rsidRDefault="00101FB7" w:rsidP="00DD3106">
      <w:pPr>
        <w:pStyle w:val="Bullet"/>
      </w:pPr>
      <w:r w:rsidRPr="0018386D">
        <w:t>General cargo is 15,800 dwt and therefore in the 10,000+ dwt category</w:t>
      </w:r>
      <w:r w:rsidR="00FD32F5" w:rsidRPr="0018386D">
        <w:t>.</w:t>
      </w:r>
    </w:p>
    <w:p w14:paraId="65092BE8" w14:textId="60B399B0" w:rsidR="00101FB7" w:rsidRPr="0018386D" w:rsidRDefault="00101FB7" w:rsidP="00DD3106">
      <w:pPr>
        <w:pStyle w:val="Bullet"/>
      </w:pPr>
      <w:r w:rsidRPr="0018386D">
        <w:t>Container ship is</w:t>
      </w:r>
      <w:r w:rsidR="00726B16" w:rsidRPr="0018386D">
        <w:t xml:space="preserve"> </w:t>
      </w:r>
      <w:r w:rsidR="00565826" w:rsidRPr="0018386D">
        <w:t>3</w:t>
      </w:r>
      <w:r w:rsidR="00726B16" w:rsidRPr="0018386D">
        <w:t>,</w:t>
      </w:r>
      <w:r w:rsidR="00565826" w:rsidRPr="0018386D">
        <w:t>194</w:t>
      </w:r>
      <w:r w:rsidR="00150BEF" w:rsidRPr="0018386D">
        <w:t xml:space="preserve"> TEU</w:t>
      </w:r>
      <w:r w:rsidR="00534350" w:rsidRPr="0018386D">
        <w:t xml:space="preserve"> </w:t>
      </w:r>
      <w:r w:rsidRPr="0018386D">
        <w:t xml:space="preserve">and therefore in the </w:t>
      </w:r>
      <w:r w:rsidR="00DC2005" w:rsidRPr="0018386D">
        <w:t>3</w:t>
      </w:r>
      <w:r w:rsidR="00726B16" w:rsidRPr="0018386D">
        <w:t>,</w:t>
      </w:r>
      <w:r w:rsidR="00150BEF" w:rsidRPr="0018386D">
        <w:t>000–</w:t>
      </w:r>
      <w:r w:rsidR="00DC2005" w:rsidRPr="0018386D">
        <w:t>4</w:t>
      </w:r>
      <w:r w:rsidR="00726B16" w:rsidRPr="0018386D">
        <w:t>,</w:t>
      </w:r>
      <w:r w:rsidR="00150BEF" w:rsidRPr="0018386D">
        <w:t>999 TEU category</w:t>
      </w:r>
      <w:r w:rsidR="00FD32F5" w:rsidRPr="0018386D">
        <w:t>.</w:t>
      </w:r>
    </w:p>
    <w:p w14:paraId="65092BE9" w14:textId="0D631881" w:rsidR="00150BEF" w:rsidRPr="0018386D" w:rsidRDefault="00150BEF" w:rsidP="00DD3106">
      <w:pPr>
        <w:pStyle w:val="Bullet"/>
      </w:pPr>
      <w:r w:rsidRPr="0018386D">
        <w:t xml:space="preserve">Vehicle </w:t>
      </w:r>
      <w:r w:rsidR="00BB14F4" w:rsidRPr="0018386D">
        <w:t>carrier (transport)</w:t>
      </w:r>
      <w:r w:rsidRPr="0018386D">
        <w:t xml:space="preserve"> </w:t>
      </w:r>
      <w:r w:rsidR="00BB14F4" w:rsidRPr="0018386D">
        <w:t>is unknown and therefore the same as the UK average</w:t>
      </w:r>
      <w:r w:rsidR="00FD32F5" w:rsidRPr="0018386D">
        <w:t>.</w:t>
      </w:r>
    </w:p>
    <w:p w14:paraId="65092BEA" w14:textId="6E4027A2" w:rsidR="00BB14F4" w:rsidRPr="0018386D" w:rsidRDefault="0A37BE76" w:rsidP="00DD3106">
      <w:pPr>
        <w:pStyle w:val="Bullet"/>
      </w:pPr>
      <w:proofErr w:type="spellStart"/>
      <w:r w:rsidRPr="0018386D">
        <w:t>RoRo</w:t>
      </w:r>
      <w:proofErr w:type="spellEnd"/>
      <w:r w:rsidRPr="0018386D">
        <w:t xml:space="preserve"> ferry is unknown and therefore the same as the UK average</w:t>
      </w:r>
      <w:r w:rsidR="173F7FBF" w:rsidRPr="0018386D">
        <w:t>.</w:t>
      </w:r>
    </w:p>
    <w:p w14:paraId="65092BEB" w14:textId="4DF932AB" w:rsidR="00BB14F4" w:rsidRPr="0018386D" w:rsidRDefault="00BB14F4" w:rsidP="00DD3106">
      <w:pPr>
        <w:pStyle w:val="Bullet"/>
      </w:pPr>
      <w:r w:rsidRPr="0018386D">
        <w:t>As there is only one emission factor for all refrigerated cargo an average was not necessary</w:t>
      </w:r>
      <w:r w:rsidR="00FD32F5" w:rsidRPr="0018386D">
        <w:t>.</w:t>
      </w:r>
    </w:p>
    <w:p w14:paraId="65092BEC" w14:textId="740A603D" w:rsidR="00101FB7" w:rsidRPr="0018386D" w:rsidRDefault="009274E6" w:rsidP="00DD3106">
      <w:pPr>
        <w:pStyle w:val="BodyText"/>
      </w:pPr>
      <w:r w:rsidRPr="0018386D">
        <w:t xml:space="preserve">Emission factors for these have been adopted from the </w:t>
      </w:r>
      <w:r w:rsidR="0020242D" w:rsidRPr="0018386D">
        <w:rPr>
          <w:color w:val="000000" w:themeColor="text1"/>
        </w:rPr>
        <w:t>UK BEIS 2022 Guidance</w:t>
      </w:r>
      <w:r w:rsidRPr="0018386D">
        <w:rPr>
          <w:rStyle w:val="FootnoteReference"/>
          <w:color w:val="000000" w:themeColor="text1"/>
        </w:rPr>
        <w:footnoteReference w:id="50"/>
      </w:r>
      <w:r w:rsidR="6B74EE97" w:rsidRPr="0018386D">
        <w:rPr>
          <w:color w:val="000000" w:themeColor="text1"/>
        </w:rPr>
        <w:t xml:space="preserve">. </w:t>
      </w:r>
      <w:r w:rsidR="00371807" w:rsidRPr="0018386D">
        <w:t>R</w:t>
      </w:r>
      <w:r w:rsidRPr="0018386D">
        <w:t>efer to that document for details on the methodology.</w:t>
      </w:r>
    </w:p>
    <w:p w14:paraId="65092BED" w14:textId="5BC80FE7" w:rsidR="0054105F" w:rsidRPr="0018386D" w:rsidRDefault="500DFA64" w:rsidP="00DD3106">
      <w:pPr>
        <w:pStyle w:val="Heading3"/>
        <w:numPr>
          <w:ilvl w:val="2"/>
          <w:numId w:val="8"/>
        </w:numPr>
      </w:pPr>
      <w:bookmarkStart w:id="732" w:name="_Toc532904934"/>
      <w:r w:rsidRPr="0018386D">
        <w:t xml:space="preserve">Assumptions, </w:t>
      </w:r>
      <w:proofErr w:type="gramStart"/>
      <w:r w:rsidRPr="0018386D">
        <w:t>limitations</w:t>
      </w:r>
      <w:proofErr w:type="gramEnd"/>
      <w:r w:rsidRPr="0018386D">
        <w:t xml:space="preserve"> and uncertainties</w:t>
      </w:r>
      <w:bookmarkEnd w:id="732"/>
    </w:p>
    <w:p w14:paraId="65092BEE" w14:textId="4DDB2D70" w:rsidR="0054105F" w:rsidRPr="0018386D" w:rsidRDefault="00534350" w:rsidP="00DD3106">
      <w:pPr>
        <w:pStyle w:val="BodyText"/>
      </w:pPr>
      <w:r w:rsidRPr="0018386D">
        <w:t>We assumed</w:t>
      </w:r>
      <w:r w:rsidR="00937F15" w:rsidRPr="0018386D">
        <w:t xml:space="preserve"> the New Zealand coastal shipping fleet is similar to that in the </w:t>
      </w:r>
      <w:hyperlink r:id="rId114">
        <w:r w:rsidR="00937F15" w:rsidRPr="0018386D">
          <w:rPr>
            <w:rStyle w:val="Hyperlink"/>
          </w:rPr>
          <w:t xml:space="preserve">STREAM </w:t>
        </w:r>
      </w:hyperlink>
      <w:r w:rsidR="00937F15" w:rsidRPr="0018386D">
        <w:rPr>
          <w:rStyle w:val="Hyperlink"/>
        </w:rPr>
        <w:t>Freight Handbook.</w:t>
      </w:r>
      <w:r w:rsidR="00283C69" w:rsidRPr="0018386D">
        <w:t xml:space="preserve"> </w:t>
      </w:r>
      <w:r w:rsidR="003A535C" w:rsidRPr="0018386D">
        <w:t>These figures have a high degree of uncertainty as they are based on international data for costal shipping</w:t>
      </w:r>
      <w:r w:rsidR="00284EC1" w:rsidRPr="0018386D">
        <w:t>.</w:t>
      </w:r>
    </w:p>
    <w:p w14:paraId="2A625F55" w14:textId="504BAD86" w:rsidR="0073567F" w:rsidRPr="0018386D" w:rsidRDefault="584C13A9" w:rsidP="00DD3106">
      <w:pPr>
        <w:pStyle w:val="BodyText"/>
      </w:pPr>
      <w:r w:rsidRPr="0018386D">
        <w:t>We carried over t</w:t>
      </w:r>
      <w:r w:rsidR="6C3D4C27" w:rsidRPr="0018386D">
        <w:t xml:space="preserve">he assumptions for the international shipping emission factors </w:t>
      </w:r>
      <w:r w:rsidRPr="0018386D">
        <w:t>from</w:t>
      </w:r>
      <w:r w:rsidR="6C3D4C27" w:rsidRPr="0018386D">
        <w:t xml:space="preserve"> the </w:t>
      </w:r>
      <w:hyperlink r:id="rId115">
        <w:r w:rsidR="4822948F" w:rsidRPr="0018386D">
          <w:rPr>
            <w:rStyle w:val="Hyperlink"/>
          </w:rPr>
          <w:t>202</w:t>
        </w:r>
        <w:r w:rsidR="00E02207" w:rsidRPr="0018386D">
          <w:rPr>
            <w:rStyle w:val="Hyperlink"/>
          </w:rPr>
          <w:t>2</w:t>
        </w:r>
        <w:r w:rsidR="4822948F" w:rsidRPr="0018386D">
          <w:rPr>
            <w:rStyle w:val="Hyperlink"/>
          </w:rPr>
          <w:t xml:space="preserve"> UK BEIS Methodology Paper</w:t>
        </w:r>
      </w:hyperlink>
      <w:r w:rsidR="53AF8E86" w:rsidRPr="0018386D">
        <w:rPr>
          <w:rStyle w:val="Hyperlink"/>
        </w:rPr>
        <w:t xml:space="preserve"> emission factors</w:t>
      </w:r>
      <w:r w:rsidR="5D8D66CB" w:rsidRPr="0018386D">
        <w:t>.</w:t>
      </w:r>
      <w:bookmarkStart w:id="733" w:name="_Toc529960715"/>
      <w:bookmarkStart w:id="734" w:name="_Toc532904935"/>
      <w:bookmarkStart w:id="735" w:name="_Toc600593"/>
      <w:bookmarkStart w:id="736" w:name="_Ref55220099"/>
    </w:p>
    <w:p w14:paraId="2581A705" w14:textId="77777777" w:rsidR="00C129AC" w:rsidRPr="0018386D" w:rsidRDefault="00C129AC" w:rsidP="00DD3106">
      <w:pPr>
        <w:pStyle w:val="BodyText"/>
      </w:pPr>
      <w:bookmarkStart w:id="737" w:name="_Water_supply_and"/>
      <w:bookmarkEnd w:id="737"/>
      <w:r w:rsidRPr="0018386D">
        <w:br w:type="page"/>
      </w:r>
    </w:p>
    <w:p w14:paraId="72C34970" w14:textId="7A518C56" w:rsidR="002177EC" w:rsidRPr="0018386D" w:rsidRDefault="23A8B1A7" w:rsidP="00DD3106">
      <w:pPr>
        <w:pStyle w:val="Heading1"/>
        <w:numPr>
          <w:ilvl w:val="0"/>
          <w:numId w:val="8"/>
        </w:numPr>
      </w:pPr>
      <w:bookmarkStart w:id="738" w:name="_Toc140048924"/>
      <w:r w:rsidRPr="0018386D">
        <w:lastRenderedPageBreak/>
        <w:t>Water supply and wastewater treatment emission factors</w:t>
      </w:r>
      <w:bookmarkEnd w:id="733"/>
      <w:bookmarkEnd w:id="734"/>
      <w:bookmarkEnd w:id="735"/>
      <w:bookmarkEnd w:id="736"/>
      <w:bookmarkEnd w:id="738"/>
    </w:p>
    <w:p w14:paraId="767F66DB" w14:textId="58EAAFD4" w:rsidR="710BC396" w:rsidRPr="0018386D" w:rsidRDefault="710BC396" w:rsidP="00DD3106">
      <w:pPr>
        <w:pStyle w:val="BodyText"/>
      </w:pPr>
      <w:bookmarkStart w:id="739" w:name="_Hlk532894303"/>
      <w:r w:rsidRPr="0018386D">
        <w:t xml:space="preserve">Emissions result from energy use in water supply and wastewater treatment plants. Some treatment plants also generate emissions from the treatment of organic matter. </w:t>
      </w:r>
      <w:bookmarkEnd w:id="739"/>
      <w:r w:rsidRPr="0018386D">
        <w:t>We calculated the emission factors using data from Water N</w:t>
      </w:r>
      <w:r w:rsidR="00C952CE" w:rsidRPr="0018386D">
        <w:t xml:space="preserve">ew </w:t>
      </w:r>
      <w:r w:rsidRPr="0018386D">
        <w:t>Z</w:t>
      </w:r>
      <w:r w:rsidR="00C952CE" w:rsidRPr="0018386D">
        <w:t>ealand</w:t>
      </w:r>
      <w:r w:rsidRPr="0018386D">
        <w:t xml:space="preserve"> and </w:t>
      </w:r>
      <w:hyperlink r:id="rId116" w:history="1">
        <w:r w:rsidRPr="0018386D">
          <w:rPr>
            <w:rStyle w:val="Hyperlink"/>
            <w:rFonts w:eastAsia="Calibri" w:cs="Calibri"/>
            <w:i/>
            <w:iCs/>
          </w:rPr>
          <w:t>New Zealand’s Greenhouse Gas Inventory 1990–2021</w:t>
        </w:r>
      </w:hyperlink>
      <w:r w:rsidRPr="0018386D">
        <w:t>.</w:t>
      </w:r>
    </w:p>
    <w:p w14:paraId="17C4B08D" w14:textId="4F23414A" w:rsidR="00A959E4" w:rsidRPr="0018386D" w:rsidRDefault="00A959E4" w:rsidP="00DD3106">
      <w:pPr>
        <w:pStyle w:val="Heading2"/>
        <w:numPr>
          <w:ilvl w:val="1"/>
          <w:numId w:val="8"/>
        </w:numPr>
      </w:pPr>
      <w:bookmarkStart w:id="740" w:name="_Toc137807664"/>
      <w:bookmarkStart w:id="741" w:name="_Toc532904936"/>
      <w:bookmarkStart w:id="742" w:name="_Toc600594"/>
      <w:bookmarkStart w:id="743" w:name="_Toc140048925"/>
      <w:bookmarkEnd w:id="740"/>
      <w:r w:rsidRPr="0018386D">
        <w:t>Overview of changes since previous</w:t>
      </w:r>
      <w:r w:rsidR="004936D7" w:rsidRPr="0018386D">
        <w:t> </w:t>
      </w:r>
      <w:r w:rsidRPr="0018386D">
        <w:t>update</w:t>
      </w:r>
      <w:bookmarkEnd w:id="741"/>
      <w:bookmarkEnd w:id="742"/>
      <w:bookmarkEnd w:id="743"/>
    </w:p>
    <w:p w14:paraId="23D7CC9D" w14:textId="0111786C" w:rsidR="00635F81" w:rsidRPr="0018386D" w:rsidRDefault="4F845839" w:rsidP="00DD3106">
      <w:pPr>
        <w:pStyle w:val="BodyText"/>
        <w:rPr>
          <w:color w:val="000000" w:themeColor="text1"/>
        </w:rPr>
      </w:pPr>
      <w:r w:rsidRPr="0018386D">
        <w:t>There are some changes to water supply and domestic wastewater emission factors, due to the use of the latest population data, energy use emission factors</w:t>
      </w:r>
      <w:r w:rsidR="008D6996" w:rsidRPr="0018386D">
        <w:t>,</w:t>
      </w:r>
      <w:r w:rsidRPr="0018386D">
        <w:t xml:space="preserve"> and water and energy consumption data from Water</w:t>
      </w:r>
      <w:r w:rsidR="009A0009" w:rsidRPr="0018386D">
        <w:t xml:space="preserve"> </w:t>
      </w:r>
      <w:r w:rsidRPr="0018386D">
        <w:t>N</w:t>
      </w:r>
      <w:r w:rsidR="000446EC" w:rsidRPr="0018386D">
        <w:t xml:space="preserve">ew </w:t>
      </w:r>
      <w:r w:rsidRPr="0018386D">
        <w:t>Z</w:t>
      </w:r>
      <w:r w:rsidR="000446EC" w:rsidRPr="0018386D">
        <w:t>ealand</w:t>
      </w:r>
      <w:r w:rsidRPr="0018386D">
        <w:t>.</w:t>
      </w:r>
    </w:p>
    <w:p w14:paraId="6E363C04" w14:textId="15FC67BB" w:rsidR="00B1376C" w:rsidRPr="0018386D" w:rsidRDefault="00FE173B" w:rsidP="00DD3106">
      <w:pPr>
        <w:pStyle w:val="BodyText"/>
      </w:pPr>
      <w:r w:rsidRPr="0018386D">
        <w:t xml:space="preserve">The emission factor for water supply increased by </w:t>
      </w:r>
      <w:r w:rsidR="00AC3245" w:rsidRPr="0018386D">
        <w:t>14</w:t>
      </w:r>
      <w:r w:rsidR="00AE1B07" w:rsidRPr="0018386D">
        <w:t xml:space="preserve"> to </w:t>
      </w:r>
      <w:r w:rsidR="00AC3245" w:rsidRPr="0018386D">
        <w:t>19</w:t>
      </w:r>
      <w:r w:rsidR="001E54E9" w:rsidRPr="0018386D">
        <w:t xml:space="preserve"> per cent</w:t>
      </w:r>
      <w:r w:rsidR="0075370C" w:rsidRPr="0018386D">
        <w:t xml:space="preserve">, depending on the unit used. </w:t>
      </w:r>
      <w:r w:rsidR="002A603C" w:rsidRPr="0018386D">
        <w:t xml:space="preserve">This is </w:t>
      </w:r>
      <w:r w:rsidR="00EB56A2" w:rsidRPr="0018386D">
        <w:t xml:space="preserve">due to </w:t>
      </w:r>
      <w:r w:rsidR="002A603C" w:rsidRPr="0018386D">
        <w:t>an increase in energy demand (kWh/m</w:t>
      </w:r>
      <w:r w:rsidR="002A603C" w:rsidRPr="0018386D">
        <w:rPr>
          <w:vertAlign w:val="superscript"/>
        </w:rPr>
        <w:t>3</w:t>
      </w:r>
      <w:r w:rsidR="002A603C" w:rsidRPr="0018386D">
        <w:t>) by 39</w:t>
      </w:r>
      <w:r w:rsidR="001E54E9" w:rsidRPr="0018386D">
        <w:t xml:space="preserve"> per cent</w:t>
      </w:r>
      <w:r w:rsidR="002A603C" w:rsidRPr="0018386D">
        <w:t xml:space="preserve"> since </w:t>
      </w:r>
      <w:r w:rsidR="00034E7C" w:rsidRPr="0018386D">
        <w:t xml:space="preserve">the </w:t>
      </w:r>
      <w:r w:rsidR="002A603C" w:rsidRPr="0018386D">
        <w:t xml:space="preserve">last </w:t>
      </w:r>
      <w:r w:rsidR="00034E7C" w:rsidRPr="0018386D">
        <w:t>guidance</w:t>
      </w:r>
      <w:r w:rsidR="008D6996" w:rsidRPr="0018386D">
        <w:t>,</w:t>
      </w:r>
      <w:r w:rsidR="00C542DE" w:rsidRPr="0018386D">
        <w:t xml:space="preserve"> </w:t>
      </w:r>
      <w:r w:rsidR="008968CA" w:rsidRPr="0018386D">
        <w:t>and the</w:t>
      </w:r>
      <w:r w:rsidR="000D61BD" w:rsidRPr="0018386D">
        <w:t xml:space="preserve"> inclusion of electricity </w:t>
      </w:r>
      <w:r w:rsidR="00A51205" w:rsidRPr="0018386D">
        <w:t>transmission and distribution</w:t>
      </w:r>
      <w:r w:rsidR="000D61BD" w:rsidRPr="0018386D">
        <w:t xml:space="preserve"> losses in the methodology this </w:t>
      </w:r>
      <w:r w:rsidR="00034E7C" w:rsidRPr="0018386D">
        <w:t>guidance</w:t>
      </w:r>
      <w:r w:rsidR="00B1376C" w:rsidRPr="0018386D">
        <w:t>.</w:t>
      </w:r>
    </w:p>
    <w:p w14:paraId="15A69B30" w14:textId="562BDB43" w:rsidR="004D47EC" w:rsidRPr="0018386D" w:rsidRDefault="008E7616" w:rsidP="00DD3106">
      <w:pPr>
        <w:pStyle w:val="BodyText"/>
        <w:rPr>
          <w:color w:val="000000" w:themeColor="text1"/>
        </w:rPr>
      </w:pPr>
      <w:r w:rsidRPr="0018386D">
        <w:t>The change to AR5</w:t>
      </w:r>
      <w:r w:rsidR="007E7AFF" w:rsidRPr="0018386D">
        <w:t xml:space="preserve"> has </w:t>
      </w:r>
      <w:r w:rsidR="004B5C77" w:rsidRPr="0018386D">
        <w:t>led to changes</w:t>
      </w:r>
      <w:r w:rsidR="4F845839" w:rsidRPr="0018386D">
        <w:t xml:space="preserve"> to emission factors for industrial wastewater</w:t>
      </w:r>
      <w:r w:rsidR="000F6DE6" w:rsidRPr="0018386D">
        <w:t xml:space="preserve">, </w:t>
      </w:r>
      <w:r w:rsidR="0037743C" w:rsidRPr="0018386D">
        <w:t xml:space="preserve">ranging from -11% for dairy processing </w:t>
      </w:r>
      <w:r w:rsidR="008D6996" w:rsidRPr="0018386D">
        <w:t>to</w:t>
      </w:r>
      <w:r w:rsidR="0037743C" w:rsidRPr="0018386D">
        <w:t xml:space="preserve"> +12% for wine and pulp and paper wastewater treatment</w:t>
      </w:r>
      <w:r w:rsidR="4F845839" w:rsidRPr="0018386D">
        <w:t xml:space="preserve">. Septic tank emission factors are based on the publication </w:t>
      </w:r>
      <w:r w:rsidR="4F845839" w:rsidRPr="0018386D">
        <w:rPr>
          <w:color w:val="000000" w:themeColor="text1"/>
        </w:rPr>
        <w:t xml:space="preserve">of </w:t>
      </w:r>
      <w:r w:rsidR="4F845839" w:rsidRPr="0018386D">
        <w:rPr>
          <w:i/>
          <w:iCs/>
          <w:color w:val="000000" w:themeColor="text1"/>
        </w:rPr>
        <w:t>Carbon Accounting Guidelines for Wastewater Treatment: CH</w:t>
      </w:r>
      <w:r w:rsidR="4F845839" w:rsidRPr="0018386D">
        <w:rPr>
          <w:i/>
          <w:iCs/>
          <w:color w:val="000000" w:themeColor="text1"/>
          <w:vertAlign w:val="subscript"/>
        </w:rPr>
        <w:t>4</w:t>
      </w:r>
      <w:r w:rsidR="4F845839" w:rsidRPr="0018386D">
        <w:rPr>
          <w:i/>
          <w:iCs/>
          <w:color w:val="000000" w:themeColor="text1"/>
        </w:rPr>
        <w:t xml:space="preserve"> and N</w:t>
      </w:r>
      <w:r w:rsidR="4F845839" w:rsidRPr="0018386D">
        <w:rPr>
          <w:i/>
          <w:iCs/>
          <w:color w:val="000000" w:themeColor="text1"/>
          <w:vertAlign w:val="subscript"/>
        </w:rPr>
        <w:t>2</w:t>
      </w:r>
      <w:r w:rsidR="4F845839" w:rsidRPr="0018386D">
        <w:rPr>
          <w:i/>
          <w:iCs/>
          <w:color w:val="000000" w:themeColor="text1"/>
        </w:rPr>
        <w:t>O</w:t>
      </w:r>
      <w:r w:rsidR="4F845839" w:rsidRPr="0018386D">
        <w:rPr>
          <w:color w:val="000000" w:themeColor="text1"/>
        </w:rPr>
        <w:t xml:space="preserve"> (Water</w:t>
      </w:r>
      <w:r w:rsidR="00C952CE" w:rsidRPr="0018386D">
        <w:rPr>
          <w:color w:val="000000" w:themeColor="text1"/>
        </w:rPr>
        <w:t xml:space="preserve"> </w:t>
      </w:r>
      <w:r w:rsidR="4F845839" w:rsidRPr="0018386D">
        <w:rPr>
          <w:color w:val="000000" w:themeColor="text1"/>
        </w:rPr>
        <w:t>N</w:t>
      </w:r>
      <w:r w:rsidR="00C952CE" w:rsidRPr="0018386D">
        <w:rPr>
          <w:color w:val="000000" w:themeColor="text1"/>
        </w:rPr>
        <w:t xml:space="preserve">ew </w:t>
      </w:r>
      <w:r w:rsidR="4F845839" w:rsidRPr="0018386D">
        <w:rPr>
          <w:color w:val="000000" w:themeColor="text1"/>
        </w:rPr>
        <w:t>Z</w:t>
      </w:r>
      <w:r w:rsidR="00C952CE" w:rsidRPr="0018386D">
        <w:rPr>
          <w:color w:val="000000" w:themeColor="text1"/>
        </w:rPr>
        <w:t>ealand</w:t>
      </w:r>
      <w:r w:rsidR="4F845839" w:rsidRPr="0018386D">
        <w:rPr>
          <w:color w:val="000000" w:themeColor="text1"/>
        </w:rPr>
        <w:t>, 2021).</w:t>
      </w:r>
      <w:r w:rsidR="009C623F" w:rsidRPr="0018386D">
        <w:rPr>
          <w:rStyle w:val="FootnoteReference"/>
          <w:rFonts w:eastAsia="Calibri" w:cs="Calibri"/>
        </w:rPr>
        <w:footnoteReference w:id="51"/>
      </w:r>
      <w:r w:rsidR="4F845839" w:rsidRPr="0018386D">
        <w:rPr>
          <w:color w:val="000000" w:themeColor="text1"/>
        </w:rPr>
        <w:t xml:space="preserve"> </w:t>
      </w:r>
    </w:p>
    <w:p w14:paraId="21F4BF4A" w14:textId="777BEE7D" w:rsidR="4F845839" w:rsidRPr="0018386D" w:rsidRDefault="4F845839" w:rsidP="00DD3106">
      <w:pPr>
        <w:pStyle w:val="BodyText"/>
        <w:numPr>
          <w:ilvl w:val="0"/>
          <w:numId w:val="36"/>
        </w:numPr>
        <w:ind w:left="0" w:firstLine="0"/>
        <w:rPr>
          <w:rFonts w:eastAsia="Calibri" w:cs="Calibri"/>
          <w:color w:val="000000" w:themeColor="text1"/>
        </w:rPr>
      </w:pPr>
      <w:r w:rsidRPr="0018386D">
        <w:rPr>
          <w:rFonts w:eastAsia="Calibri" w:cs="Calibri"/>
        </w:rPr>
        <w:t>Users seeking emission factors for specific types of wastewater treatment plants are referred to the Water</w:t>
      </w:r>
      <w:r w:rsidR="00C952CE" w:rsidRPr="0018386D">
        <w:rPr>
          <w:rFonts w:eastAsia="Calibri" w:cs="Calibri"/>
        </w:rPr>
        <w:t xml:space="preserve"> </w:t>
      </w:r>
      <w:r w:rsidRPr="0018386D">
        <w:rPr>
          <w:rFonts w:eastAsia="Calibri" w:cs="Calibri"/>
        </w:rPr>
        <w:t>N</w:t>
      </w:r>
      <w:r w:rsidR="00C952CE" w:rsidRPr="0018386D">
        <w:rPr>
          <w:rFonts w:eastAsia="Calibri" w:cs="Calibri"/>
        </w:rPr>
        <w:t xml:space="preserve">ew </w:t>
      </w:r>
      <w:r w:rsidRPr="0018386D">
        <w:rPr>
          <w:rFonts w:eastAsia="Calibri" w:cs="Calibri"/>
        </w:rPr>
        <w:t>Z</w:t>
      </w:r>
      <w:r w:rsidR="00C952CE" w:rsidRPr="0018386D">
        <w:rPr>
          <w:rFonts w:eastAsia="Calibri" w:cs="Calibri"/>
        </w:rPr>
        <w:t>ealand</w:t>
      </w:r>
      <w:r w:rsidRPr="0018386D">
        <w:rPr>
          <w:rFonts w:eastAsia="Calibri" w:cs="Calibri"/>
        </w:rPr>
        <w:t>’s guidelines</w:t>
      </w:r>
      <w:r w:rsidR="008D6996" w:rsidRPr="0018386D">
        <w:rPr>
          <w:rFonts w:eastAsia="Calibri" w:cs="Calibri"/>
        </w:rPr>
        <w:t>.</w:t>
      </w:r>
      <w:r w:rsidR="001D7618" w:rsidRPr="0018386D">
        <w:rPr>
          <w:rStyle w:val="FootnoteReference"/>
          <w:rFonts w:eastAsia="Calibri" w:cs="Calibri"/>
        </w:rPr>
        <w:footnoteReference w:id="52"/>
      </w:r>
      <w:r w:rsidRPr="0018386D">
        <w:rPr>
          <w:rFonts w:eastAsia="Calibri" w:cs="Calibri"/>
        </w:rPr>
        <w:t xml:space="preserve"> Weighted average emission factors for wastewater treatment remain in this guide for general use.</w:t>
      </w:r>
    </w:p>
    <w:p w14:paraId="2E10B8A1" w14:textId="65365A5D" w:rsidR="00A959E4" w:rsidRPr="0018386D" w:rsidRDefault="00A959E4" w:rsidP="00DD3106">
      <w:pPr>
        <w:pStyle w:val="Heading2"/>
        <w:numPr>
          <w:ilvl w:val="1"/>
          <w:numId w:val="8"/>
        </w:numPr>
      </w:pPr>
      <w:bookmarkStart w:id="744" w:name="_Toc140048926"/>
      <w:bookmarkStart w:id="745" w:name="_Toc532904937"/>
      <w:bookmarkStart w:id="746" w:name="_Toc600595"/>
      <w:r w:rsidRPr="0018386D">
        <w:t>Water supply</w:t>
      </w:r>
      <w:bookmarkEnd w:id="744"/>
      <w:r w:rsidRPr="0018386D">
        <w:t xml:space="preserve"> </w:t>
      </w:r>
      <w:bookmarkEnd w:id="745"/>
      <w:bookmarkEnd w:id="746"/>
    </w:p>
    <w:p w14:paraId="5287B973" w14:textId="5C33B4E4" w:rsidR="00A959E4" w:rsidRPr="0018386D" w:rsidRDefault="00C7627E" w:rsidP="00DD3106">
      <w:pPr>
        <w:pStyle w:val="BodyText"/>
      </w:pPr>
      <w:hyperlink w:anchor="Table65" w:history="1">
        <w:r w:rsidR="00607D76" w:rsidRPr="0018386D">
          <w:rPr>
            <w:rStyle w:val="Hyperlink"/>
          </w:rPr>
          <w:t xml:space="preserve">Table </w:t>
        </w:r>
        <w:r w:rsidR="200C9C60" w:rsidRPr="0018386D">
          <w:rPr>
            <w:rStyle w:val="Hyperlink"/>
          </w:rPr>
          <w:t>65</w:t>
        </w:r>
      </w:hyperlink>
      <w:r w:rsidR="00F066FA" w:rsidRPr="0018386D">
        <w:t xml:space="preserve"> provides w</w:t>
      </w:r>
      <w:r w:rsidR="00A959E4" w:rsidRPr="0018386D">
        <w:t>ater supply emission factors</w:t>
      </w:r>
      <w:r w:rsidR="003B5F6D" w:rsidRPr="0018386D">
        <w:t xml:space="preserve">. </w:t>
      </w:r>
      <w:r w:rsidR="00F066FA" w:rsidRPr="0018386D">
        <w:t>We calculated the factors using Water N</w:t>
      </w:r>
      <w:r w:rsidR="000446EC" w:rsidRPr="0018386D">
        <w:t>ew</w:t>
      </w:r>
      <w:r w:rsidR="008946F5" w:rsidRPr="0018386D">
        <w:t> </w:t>
      </w:r>
      <w:r w:rsidR="00F066FA" w:rsidRPr="0018386D">
        <w:t>Z</w:t>
      </w:r>
      <w:r w:rsidR="000446EC" w:rsidRPr="0018386D">
        <w:t>ealand</w:t>
      </w:r>
      <w:r w:rsidR="00F066FA" w:rsidRPr="0018386D">
        <w:t xml:space="preserve"> </w:t>
      </w:r>
      <w:r w:rsidR="00A959E4" w:rsidRPr="0018386D">
        <w:t xml:space="preserve">data. </w:t>
      </w:r>
    </w:p>
    <w:p w14:paraId="619784BA" w14:textId="3423570C" w:rsidR="00FD76D5" w:rsidRPr="0018386D" w:rsidRDefault="00EB4389" w:rsidP="00DD3106">
      <w:pPr>
        <w:pStyle w:val="Tableheading"/>
        <w:rPr>
          <w:bCs/>
        </w:rPr>
      </w:pPr>
      <w:bookmarkStart w:id="747" w:name="Table65"/>
      <w:bookmarkStart w:id="748" w:name="_Toc111536677"/>
      <w:bookmarkStart w:id="749" w:name="_Toc140049005"/>
      <w:r w:rsidRPr="0018386D">
        <w:t xml:space="preserve">Table </w:t>
      </w:r>
      <w:r w:rsidRPr="0018386D">
        <w:fldChar w:fldCharType="begin"/>
      </w:r>
      <w:r w:rsidRPr="0018386D">
        <w:instrText>SEQ Table \* ARABIC</w:instrText>
      </w:r>
      <w:r w:rsidRPr="0018386D">
        <w:fldChar w:fldCharType="separate"/>
      </w:r>
      <w:r w:rsidR="00061BCE" w:rsidRPr="0018386D">
        <w:t>65</w:t>
      </w:r>
      <w:r w:rsidRPr="0018386D">
        <w:fldChar w:fldCharType="end"/>
      </w:r>
      <w:bookmarkEnd w:id="747"/>
      <w:r w:rsidRPr="0018386D">
        <w:t>:</w:t>
      </w:r>
      <w:r w:rsidRPr="0018386D">
        <w:tab/>
      </w:r>
      <w:r w:rsidR="00A959E4" w:rsidRPr="0018386D">
        <w:t>Water supply emission factors</w:t>
      </w:r>
      <w:bookmarkEnd w:id="748"/>
      <w:bookmarkEnd w:id="749"/>
    </w:p>
    <w:tbl>
      <w:tblPr>
        <w:tblStyle w:val="TableGrid"/>
        <w:tblW w:w="8562"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700"/>
        <w:gridCol w:w="1026"/>
        <w:gridCol w:w="1320"/>
        <w:gridCol w:w="1525"/>
        <w:gridCol w:w="1482"/>
        <w:gridCol w:w="1509"/>
      </w:tblGrid>
      <w:tr w:rsidR="00431484" w:rsidRPr="0018386D" w14:paraId="064690DD" w14:textId="77777777" w:rsidTr="00575E53">
        <w:trPr>
          <w:divId w:val="614098809"/>
          <w:trHeight w:val="240"/>
        </w:trPr>
        <w:tc>
          <w:tcPr>
            <w:tcW w:w="1644" w:type="dxa"/>
            <w:tcBorders>
              <w:bottom w:val="nil"/>
            </w:tcBorders>
            <w:shd w:val="clear" w:color="auto" w:fill="1B556B" w:themeFill="text2"/>
            <w:noWrap/>
            <w:vAlign w:val="bottom"/>
            <w:hideMark/>
          </w:tcPr>
          <w:p w14:paraId="287C7F44" w14:textId="7A6D77C0" w:rsidR="008E2ED2" w:rsidRPr="0018386D" w:rsidRDefault="008E2ED2" w:rsidP="00DD3106">
            <w:pPr>
              <w:pStyle w:val="TableTextbold"/>
              <w:spacing w:before="40" w:after="40"/>
              <w:rPr>
                <w:color w:val="FFFFFF" w:themeColor="background1"/>
              </w:rPr>
            </w:pPr>
            <w:bookmarkStart w:id="750" w:name="_1746366888"/>
            <w:bookmarkStart w:id="751" w:name="_1745997863"/>
            <w:bookmarkStart w:id="752" w:name="_1746254101"/>
            <w:bookmarkStart w:id="753" w:name="_1747051294"/>
            <w:bookmarkEnd w:id="750"/>
            <w:bookmarkEnd w:id="751"/>
            <w:bookmarkEnd w:id="752"/>
            <w:bookmarkEnd w:id="753"/>
            <w:r w:rsidRPr="0018386D">
              <w:rPr>
                <w:color w:val="FFFFFF" w:themeColor="background1"/>
              </w:rPr>
              <w:t>Emission source</w:t>
            </w:r>
          </w:p>
        </w:tc>
        <w:tc>
          <w:tcPr>
            <w:tcW w:w="992" w:type="dxa"/>
            <w:shd w:val="clear" w:color="auto" w:fill="1B556B" w:themeFill="text2"/>
            <w:noWrap/>
            <w:vAlign w:val="bottom"/>
            <w:hideMark/>
          </w:tcPr>
          <w:p w14:paraId="4B2B0EF9"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276" w:type="dxa"/>
            <w:shd w:val="clear" w:color="auto" w:fill="1B556B" w:themeFill="text2"/>
            <w:noWrap/>
            <w:vAlign w:val="bottom"/>
            <w:hideMark/>
          </w:tcPr>
          <w:p w14:paraId="4DEA33EF" w14:textId="27E813DF"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474" w:type="dxa"/>
            <w:shd w:val="clear" w:color="auto" w:fill="1B556B" w:themeFill="text2"/>
            <w:noWrap/>
            <w:vAlign w:val="bottom"/>
            <w:hideMark/>
          </w:tcPr>
          <w:p w14:paraId="2CD72A9F" w14:textId="02AC9C44" w:rsidR="008E2ED2" w:rsidRPr="0018386D" w:rsidRDefault="008E2ED2" w:rsidP="00DD3106">
            <w:pPr>
              <w:pStyle w:val="TableTextbold"/>
              <w:spacing w:before="40" w:after="40"/>
              <w:rPr>
                <w:color w:val="FFFFFF" w:themeColor="background1"/>
              </w:rPr>
            </w:pPr>
            <w:r w:rsidRPr="0018386D">
              <w:rPr>
                <w:color w:val="FFFFFF" w:themeColor="background1"/>
              </w:rPr>
              <w:t xml:space="preserve">CO₂ </w:t>
            </w:r>
            <w:r w:rsidR="008946F5" w:rsidRPr="0018386D">
              <w:rPr>
                <w:color w:val="FFFFFF" w:themeColor="background1"/>
              </w:rPr>
              <w:br/>
            </w:r>
            <w:r w:rsidRPr="0018386D">
              <w:rPr>
                <w:color w:val="FFFFFF" w:themeColor="background1"/>
              </w:rPr>
              <w:t>(kg CO₂</w:t>
            </w:r>
            <w:r w:rsidRPr="0018386D">
              <w:rPr>
                <w:color w:val="FFFFFF" w:themeColor="background1"/>
              </w:rPr>
              <w:noBreakHyphen/>
              <w:t>e/unit)</w:t>
            </w:r>
          </w:p>
        </w:tc>
        <w:tc>
          <w:tcPr>
            <w:tcW w:w="1433" w:type="dxa"/>
            <w:shd w:val="clear" w:color="auto" w:fill="1B556B" w:themeFill="text2"/>
            <w:noWrap/>
            <w:vAlign w:val="bottom"/>
            <w:hideMark/>
          </w:tcPr>
          <w:p w14:paraId="558AE496" w14:textId="47155A57" w:rsidR="008E2ED2" w:rsidRPr="0018386D" w:rsidRDefault="008E2ED2" w:rsidP="00DD3106">
            <w:pPr>
              <w:pStyle w:val="TableTextbold"/>
              <w:spacing w:before="40" w:after="40"/>
              <w:rPr>
                <w:color w:val="FFFFFF" w:themeColor="background1"/>
              </w:rPr>
            </w:pPr>
            <w:r w:rsidRPr="0018386D">
              <w:rPr>
                <w:color w:val="FFFFFF" w:themeColor="background1"/>
              </w:rPr>
              <w:t xml:space="preserve">CH₄ </w:t>
            </w:r>
            <w:r w:rsidR="008946F5" w:rsidRPr="0018386D">
              <w:rPr>
                <w:color w:val="FFFFFF" w:themeColor="background1"/>
              </w:rPr>
              <w:br/>
            </w:r>
            <w:r w:rsidRPr="0018386D">
              <w:rPr>
                <w:color w:val="FFFFFF" w:themeColor="background1"/>
              </w:rPr>
              <w:t>(kg CO₂-e/unit)</w:t>
            </w:r>
          </w:p>
        </w:tc>
        <w:tc>
          <w:tcPr>
            <w:tcW w:w="1459" w:type="dxa"/>
            <w:shd w:val="clear" w:color="auto" w:fill="1B556B" w:themeFill="text2"/>
            <w:noWrap/>
            <w:vAlign w:val="bottom"/>
            <w:hideMark/>
          </w:tcPr>
          <w:p w14:paraId="4C702BA1" w14:textId="193789C2" w:rsidR="008E2ED2" w:rsidRPr="0018386D" w:rsidRDefault="008E2ED2" w:rsidP="00DD3106">
            <w:pPr>
              <w:pStyle w:val="TableTextbold"/>
              <w:spacing w:before="40" w:after="40"/>
              <w:rPr>
                <w:color w:val="FFFFFF" w:themeColor="background1"/>
              </w:rPr>
            </w:pPr>
            <w:r w:rsidRPr="0018386D">
              <w:rPr>
                <w:color w:val="FFFFFF" w:themeColor="background1"/>
              </w:rPr>
              <w:t xml:space="preserve">N₂O </w:t>
            </w:r>
            <w:r w:rsidR="008946F5" w:rsidRPr="0018386D">
              <w:rPr>
                <w:color w:val="FFFFFF" w:themeColor="background1"/>
              </w:rPr>
              <w:br/>
            </w:r>
            <w:r w:rsidRPr="0018386D">
              <w:rPr>
                <w:color w:val="FFFFFF" w:themeColor="background1"/>
              </w:rPr>
              <w:t>(kg CO₂-e/unit)</w:t>
            </w:r>
          </w:p>
        </w:tc>
      </w:tr>
      <w:tr w:rsidR="00276D31" w:rsidRPr="0018386D" w14:paraId="7FB00CA2" w14:textId="77777777" w:rsidTr="00575E53">
        <w:trPr>
          <w:divId w:val="614098809"/>
          <w:trHeight w:val="240"/>
        </w:trPr>
        <w:tc>
          <w:tcPr>
            <w:tcW w:w="1644" w:type="dxa"/>
            <w:tcBorders>
              <w:top w:val="nil"/>
              <w:bottom w:val="nil"/>
              <w:right w:val="single" w:sz="4" w:space="0" w:color="1B556B" w:themeColor="text2"/>
            </w:tcBorders>
            <w:noWrap/>
            <w:hideMark/>
          </w:tcPr>
          <w:p w14:paraId="5C302BCD" w14:textId="77777777" w:rsidR="008E2ED2" w:rsidRPr="0018386D" w:rsidRDefault="008E2ED2" w:rsidP="00DD3106">
            <w:pPr>
              <w:pStyle w:val="TableText"/>
              <w:spacing w:before="40" w:after="40"/>
              <w:jc w:val="left"/>
            </w:pPr>
            <w:r w:rsidRPr="0018386D">
              <w:t>Water supply emission factors</w:t>
            </w:r>
          </w:p>
        </w:tc>
        <w:tc>
          <w:tcPr>
            <w:tcW w:w="992" w:type="dxa"/>
            <w:tcBorders>
              <w:left w:val="single" w:sz="4" w:space="0" w:color="1B556B" w:themeColor="text2"/>
            </w:tcBorders>
            <w:noWrap/>
            <w:hideMark/>
          </w:tcPr>
          <w:p w14:paraId="3F0D362F" w14:textId="77777777" w:rsidR="008E2ED2" w:rsidRPr="0018386D" w:rsidRDefault="008E2ED2" w:rsidP="00DD3106">
            <w:pPr>
              <w:pStyle w:val="TableText"/>
              <w:spacing w:before="40" w:after="40"/>
            </w:pPr>
            <w:r w:rsidRPr="0018386D">
              <w:t>m</w:t>
            </w:r>
            <w:r w:rsidRPr="0018386D">
              <w:rPr>
                <w:vertAlign w:val="superscript"/>
              </w:rPr>
              <w:t>3</w:t>
            </w:r>
          </w:p>
        </w:tc>
        <w:tc>
          <w:tcPr>
            <w:tcW w:w="1276" w:type="dxa"/>
            <w:shd w:val="clear" w:color="auto" w:fill="D2DDE1"/>
            <w:noWrap/>
            <w:hideMark/>
          </w:tcPr>
          <w:p w14:paraId="78E47353" w14:textId="606C2D8D" w:rsidR="008E2ED2" w:rsidRPr="0018386D" w:rsidRDefault="008E2ED2" w:rsidP="00DD3106">
            <w:pPr>
              <w:pStyle w:val="TableText"/>
              <w:spacing w:before="40" w:after="40"/>
            </w:pPr>
            <w:r w:rsidRPr="0018386D">
              <w:t>0.0369</w:t>
            </w:r>
          </w:p>
        </w:tc>
        <w:tc>
          <w:tcPr>
            <w:tcW w:w="1474" w:type="dxa"/>
            <w:noWrap/>
            <w:hideMark/>
          </w:tcPr>
          <w:p w14:paraId="6F293794" w14:textId="311C51E4" w:rsidR="008E2ED2" w:rsidRPr="0018386D" w:rsidRDefault="008E2ED2" w:rsidP="00DD3106">
            <w:pPr>
              <w:pStyle w:val="TableText"/>
              <w:spacing w:before="40" w:after="40"/>
            </w:pPr>
            <w:r w:rsidRPr="0018386D">
              <w:t>0.0359</w:t>
            </w:r>
          </w:p>
        </w:tc>
        <w:tc>
          <w:tcPr>
            <w:tcW w:w="1433" w:type="dxa"/>
            <w:noWrap/>
            <w:hideMark/>
          </w:tcPr>
          <w:p w14:paraId="1B460F7F" w14:textId="267E5F3D" w:rsidR="008E2ED2" w:rsidRPr="0018386D" w:rsidRDefault="008E2ED2" w:rsidP="00DD3106">
            <w:pPr>
              <w:pStyle w:val="TableText"/>
              <w:spacing w:before="40" w:after="40"/>
            </w:pPr>
            <w:r w:rsidRPr="0018386D">
              <w:t>0.0010</w:t>
            </w:r>
          </w:p>
        </w:tc>
        <w:tc>
          <w:tcPr>
            <w:tcW w:w="1459" w:type="dxa"/>
            <w:noWrap/>
            <w:hideMark/>
          </w:tcPr>
          <w:p w14:paraId="69CD2FCF" w14:textId="59185E9B" w:rsidR="008E2ED2" w:rsidRPr="0018386D" w:rsidRDefault="008E2ED2" w:rsidP="00DD3106">
            <w:pPr>
              <w:pStyle w:val="TableText"/>
              <w:spacing w:before="40" w:after="40"/>
            </w:pPr>
            <w:r w:rsidRPr="0018386D">
              <w:t>0.00008</w:t>
            </w:r>
          </w:p>
        </w:tc>
      </w:tr>
      <w:tr w:rsidR="00276D31" w:rsidRPr="0018386D" w14:paraId="1D38EC94" w14:textId="77777777" w:rsidTr="00575E53">
        <w:trPr>
          <w:divId w:val="614098809"/>
          <w:trHeight w:val="240"/>
        </w:trPr>
        <w:tc>
          <w:tcPr>
            <w:tcW w:w="1644" w:type="dxa"/>
            <w:tcBorders>
              <w:top w:val="nil"/>
              <w:bottom w:val="single" w:sz="4" w:space="0" w:color="1B556B" w:themeColor="text2"/>
              <w:right w:val="single" w:sz="4" w:space="0" w:color="1B556B" w:themeColor="text2"/>
            </w:tcBorders>
            <w:noWrap/>
            <w:hideMark/>
          </w:tcPr>
          <w:p w14:paraId="1FE1AD65" w14:textId="77777777" w:rsidR="008E2ED2" w:rsidRPr="0018386D" w:rsidRDefault="008E2ED2" w:rsidP="00DD3106">
            <w:pPr>
              <w:pStyle w:val="TableText"/>
              <w:spacing w:before="40" w:after="40"/>
            </w:pPr>
            <w:r w:rsidRPr="0018386D">
              <w:t> </w:t>
            </w:r>
          </w:p>
        </w:tc>
        <w:tc>
          <w:tcPr>
            <w:tcW w:w="992" w:type="dxa"/>
            <w:tcBorders>
              <w:left w:val="single" w:sz="4" w:space="0" w:color="1B556B" w:themeColor="text2"/>
            </w:tcBorders>
            <w:noWrap/>
            <w:hideMark/>
          </w:tcPr>
          <w:p w14:paraId="2FC5CFFD" w14:textId="16F24A09" w:rsidR="008E2ED2" w:rsidRPr="0018386D" w:rsidRDefault="008E2ED2" w:rsidP="00DD3106">
            <w:pPr>
              <w:pStyle w:val="TableText"/>
              <w:spacing w:before="40" w:after="40"/>
            </w:pPr>
            <w:r w:rsidRPr="0018386D">
              <w:t>per capita</w:t>
            </w:r>
          </w:p>
        </w:tc>
        <w:tc>
          <w:tcPr>
            <w:tcW w:w="1276" w:type="dxa"/>
            <w:shd w:val="clear" w:color="auto" w:fill="D2DDE1"/>
            <w:noWrap/>
            <w:hideMark/>
          </w:tcPr>
          <w:p w14:paraId="52C8DDA6" w14:textId="680EFA0F" w:rsidR="008E2ED2" w:rsidRPr="0018386D" w:rsidRDefault="008E2ED2" w:rsidP="00DD3106">
            <w:pPr>
              <w:pStyle w:val="TableText"/>
              <w:spacing w:before="40" w:after="40"/>
            </w:pPr>
            <w:r w:rsidRPr="0018386D">
              <w:t>4.30</w:t>
            </w:r>
            <w:r w:rsidR="00350595" w:rsidRPr="0018386D">
              <w:t>2</w:t>
            </w:r>
          </w:p>
        </w:tc>
        <w:tc>
          <w:tcPr>
            <w:tcW w:w="1474" w:type="dxa"/>
            <w:noWrap/>
            <w:hideMark/>
          </w:tcPr>
          <w:p w14:paraId="7EEC00BE" w14:textId="219BF388" w:rsidR="008E2ED2" w:rsidRPr="0018386D" w:rsidRDefault="008E2ED2" w:rsidP="00DD3106">
            <w:pPr>
              <w:pStyle w:val="TableText"/>
              <w:spacing w:before="40" w:after="40"/>
            </w:pPr>
            <w:r w:rsidRPr="0018386D">
              <w:t>4.18</w:t>
            </w:r>
            <w:r w:rsidR="00350595" w:rsidRPr="0018386D">
              <w:t>0</w:t>
            </w:r>
          </w:p>
        </w:tc>
        <w:tc>
          <w:tcPr>
            <w:tcW w:w="1433" w:type="dxa"/>
            <w:noWrap/>
            <w:hideMark/>
          </w:tcPr>
          <w:p w14:paraId="3EE57841" w14:textId="76DA7953" w:rsidR="008E2ED2" w:rsidRPr="0018386D" w:rsidRDefault="008E2ED2" w:rsidP="00DD3106">
            <w:pPr>
              <w:pStyle w:val="TableText"/>
              <w:spacing w:before="40" w:after="40"/>
            </w:pPr>
            <w:r w:rsidRPr="0018386D">
              <w:t>0.112</w:t>
            </w:r>
          </w:p>
        </w:tc>
        <w:tc>
          <w:tcPr>
            <w:tcW w:w="1459" w:type="dxa"/>
            <w:noWrap/>
            <w:hideMark/>
          </w:tcPr>
          <w:p w14:paraId="04431994" w14:textId="366D6BF3" w:rsidR="008E2ED2" w:rsidRPr="0018386D" w:rsidRDefault="008E2ED2" w:rsidP="00DD3106">
            <w:pPr>
              <w:pStyle w:val="TableText"/>
              <w:spacing w:before="40" w:after="40"/>
            </w:pPr>
            <w:r w:rsidRPr="0018386D">
              <w:t>0.00919</w:t>
            </w:r>
          </w:p>
        </w:tc>
      </w:tr>
    </w:tbl>
    <w:p w14:paraId="11BE96F2" w14:textId="23E1D818" w:rsidR="00F066FA" w:rsidRPr="0018386D" w:rsidRDefault="00F066FA" w:rsidP="00DD3106">
      <w:pPr>
        <w:pStyle w:val="Note"/>
        <w:rPr>
          <w:szCs w:val="18"/>
        </w:rPr>
      </w:pPr>
      <w:r w:rsidRPr="0018386D">
        <w:rPr>
          <w:b/>
          <w:bCs/>
        </w:rPr>
        <w:t>Note</w:t>
      </w:r>
      <w:r w:rsidR="00ED3F75" w:rsidRPr="0018386D">
        <w:rPr>
          <w:b/>
          <w:bCs/>
        </w:rPr>
        <w:t>:</w:t>
      </w:r>
      <w:r w:rsidRPr="0018386D">
        <w:t xml:space="preserve"> </w:t>
      </w:r>
      <w:r w:rsidR="00ED3F75" w:rsidRPr="0018386D">
        <w:t xml:space="preserve">These </w:t>
      </w:r>
      <w:r w:rsidRPr="0018386D">
        <w:t xml:space="preserve">numbers are rounded to three </w:t>
      </w:r>
      <w:r w:rsidR="007C241D" w:rsidRPr="0018386D">
        <w:t>decimal places</w:t>
      </w:r>
      <w:r w:rsidRPr="0018386D">
        <w:t xml:space="preserve"> unless the number is significantly small.</w:t>
      </w:r>
      <w:r w:rsidRPr="0018386D">
        <w:rPr>
          <w:szCs w:val="18"/>
        </w:rPr>
        <w:t xml:space="preserve"> </w:t>
      </w:r>
    </w:p>
    <w:p w14:paraId="1B0F8982" w14:textId="11416689" w:rsidR="00A959E4" w:rsidRPr="0018386D" w:rsidRDefault="00301928" w:rsidP="00DD3106">
      <w:pPr>
        <w:pStyle w:val="Heading3"/>
        <w:numPr>
          <w:ilvl w:val="2"/>
          <w:numId w:val="8"/>
        </w:numPr>
      </w:pPr>
      <w:bookmarkStart w:id="754" w:name="_Toc532904938"/>
      <w:r w:rsidRPr="0018386D">
        <w:lastRenderedPageBreak/>
        <w:t xml:space="preserve">GHG </w:t>
      </w:r>
      <w:r w:rsidR="00A959E4" w:rsidRPr="0018386D">
        <w:t>inventory development</w:t>
      </w:r>
      <w:bookmarkEnd w:id="754"/>
    </w:p>
    <w:p w14:paraId="3E3A8988" w14:textId="1ED31A6D" w:rsidR="5C396375" w:rsidRPr="0018386D" w:rsidRDefault="5C396375" w:rsidP="00DD3106">
      <w:pPr>
        <w:pStyle w:val="BodyText"/>
        <w:spacing w:before="100" w:after="100"/>
      </w:pPr>
      <w:bookmarkStart w:id="755" w:name="_Hlk532894327"/>
      <w:r w:rsidRPr="0018386D">
        <w:t>Users should collect data on cubic metres (m</w:t>
      </w:r>
      <w:r w:rsidRPr="0018386D">
        <w:rPr>
          <w:vertAlign w:val="superscript"/>
        </w:rPr>
        <w:t>3</w:t>
      </w:r>
      <w:r w:rsidRPr="0018386D">
        <w:t>) of water used, if available. In the absence of this information,</w:t>
      </w:r>
      <w:r w:rsidR="00267D8A" w:rsidRPr="0018386D">
        <w:t xml:space="preserve"> </w:t>
      </w:r>
      <w:r w:rsidRPr="0018386D">
        <w:t>the per capita emission factor can be applied.</w:t>
      </w:r>
    </w:p>
    <w:bookmarkEnd w:id="755"/>
    <w:p w14:paraId="74E575BC" w14:textId="356F4187" w:rsidR="007824F5" w:rsidRPr="0018386D" w:rsidRDefault="007824F5" w:rsidP="00DD3106">
      <w:pPr>
        <w:pStyle w:val="BodyText"/>
        <w:spacing w:before="100" w:after="100"/>
      </w:pPr>
      <w:r w:rsidRPr="0018386D">
        <w:t xml:space="preserve">Applying the equation </w:t>
      </w:r>
      <w:r w:rsidR="00E71782" w:rsidRPr="0018386D">
        <w:t>E</w:t>
      </w:r>
      <w:r w:rsidR="005053DE" w:rsidRPr="0018386D">
        <w:t xml:space="preserve"> </w:t>
      </w:r>
      <w:r w:rsidR="00E71782" w:rsidRPr="0018386D">
        <w:t>= Q x F</w:t>
      </w:r>
      <w:r w:rsidR="00C129AC" w:rsidRPr="0018386D">
        <w:t xml:space="preserve"> </w:t>
      </w:r>
      <w:r w:rsidR="00E71782" w:rsidRPr="0018386D">
        <w:t>(</w:t>
      </w:r>
      <w:hyperlink w:anchor="_How_to_quantify" w:history="1">
        <w:r w:rsidR="00FE2A90" w:rsidRPr="0018386D">
          <w:rPr>
            <w:rStyle w:val="Hyperlink"/>
          </w:rPr>
          <w:t>section 2</w:t>
        </w:r>
      </w:hyperlink>
      <w:r w:rsidR="00E71782" w:rsidRPr="0018386D">
        <w:rPr>
          <w:rStyle w:val="Hyperlink"/>
          <w:color w:val="auto"/>
        </w:rPr>
        <w:t>)</w:t>
      </w:r>
      <w:r w:rsidRPr="0018386D">
        <w:t>, this means:</w:t>
      </w:r>
    </w:p>
    <w:p w14:paraId="6A058A74" w14:textId="37AB7BE7" w:rsidR="00E71782" w:rsidRPr="0018386D" w:rsidRDefault="00E71782"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67D04234" w14:textId="011DA9BE" w:rsidR="00A959E4" w:rsidRPr="0018386D" w:rsidRDefault="00A959E4" w:rsidP="00DD3106">
      <w:pPr>
        <w:pStyle w:val="BodyText"/>
        <w:tabs>
          <w:tab w:val="left" w:pos="680"/>
          <w:tab w:val="left" w:pos="1134"/>
        </w:tabs>
        <w:contextualSpacing/>
      </w:pPr>
      <w:r w:rsidRPr="0018386D">
        <w:t>Q</w:t>
      </w:r>
      <w:r w:rsidR="00ED3F75" w:rsidRPr="0018386D">
        <w:tab/>
      </w:r>
      <w:r w:rsidRPr="0018386D">
        <w:t>=</w:t>
      </w:r>
      <w:r w:rsidR="00ED3F75" w:rsidRPr="0018386D">
        <w:tab/>
      </w:r>
      <w:r w:rsidRPr="0018386D">
        <w:t>quantity of water used (m</w:t>
      </w:r>
      <w:r w:rsidRPr="0018386D">
        <w:rPr>
          <w:vertAlign w:val="superscript"/>
        </w:rPr>
        <w:t>3</w:t>
      </w:r>
      <w:r w:rsidRPr="0018386D">
        <w:t>) or persons using water supply (per capita)</w:t>
      </w:r>
    </w:p>
    <w:p w14:paraId="3B88AB18" w14:textId="1A3C593D" w:rsidR="00D837FF" w:rsidRPr="0018386D" w:rsidRDefault="00ED3F75" w:rsidP="00DD3106">
      <w:pPr>
        <w:pStyle w:val="BodyText"/>
        <w:tabs>
          <w:tab w:val="left" w:pos="680"/>
          <w:tab w:val="left" w:pos="1134"/>
        </w:tabs>
        <w:spacing w:after="240"/>
        <w:contextualSpacing/>
      </w:pPr>
      <w:r w:rsidRPr="0018386D">
        <w:t>F</w:t>
      </w:r>
      <w:r w:rsidRPr="0018386D">
        <w:tab/>
        <w:t>=</w:t>
      </w:r>
      <w:r w:rsidRPr="0018386D">
        <w:tab/>
      </w:r>
      <w:r w:rsidR="00A959E4" w:rsidRPr="0018386D">
        <w:t xml:space="preserve">appropriate emission factors from </w:t>
      </w:r>
      <w:hyperlink w:anchor="Table65" w:history="1">
        <w:r w:rsidR="00E22BA7" w:rsidRPr="0018386D">
          <w:rPr>
            <w:rStyle w:val="Hyperlink"/>
          </w:rPr>
          <w:t xml:space="preserve">table </w:t>
        </w:r>
        <w:r w:rsidR="002771BA" w:rsidRPr="0018386D">
          <w:rPr>
            <w:rStyle w:val="Hyperlink"/>
          </w:rPr>
          <w:t>65</w:t>
        </w:r>
      </w:hyperlink>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51FB7" w:rsidRPr="0018386D" w:rsidDel="00D5390D" w14:paraId="3D277606" w14:textId="77777777" w:rsidTr="00A86654">
        <w:tc>
          <w:tcPr>
            <w:tcW w:w="8500" w:type="dxa"/>
            <w:tcBorders>
              <w:top w:val="single" w:sz="4" w:space="0" w:color="0F7B7D"/>
              <w:left w:val="single" w:sz="4" w:space="0" w:color="0F7B7D"/>
              <w:bottom w:val="nil"/>
              <w:right w:val="single" w:sz="4" w:space="0" w:color="0F7B7D"/>
            </w:tcBorders>
            <w:shd w:val="clear" w:color="auto" w:fill="0F7B7D"/>
            <w:vAlign w:val="center"/>
          </w:tcPr>
          <w:p w14:paraId="66614881" w14:textId="18456001" w:rsidR="007824F5" w:rsidRPr="0018386D" w:rsidDel="00D5390D" w:rsidRDefault="0019141A" w:rsidP="00DD3106">
            <w:pPr>
              <w:pStyle w:val="Casestudyheading"/>
            </w:pPr>
            <w:bookmarkStart w:id="756" w:name="_Hlk532894342"/>
            <w:r w:rsidRPr="0018386D">
              <w:t xml:space="preserve">WATER SUPPLY: </w:t>
            </w:r>
            <w:r w:rsidR="007824F5" w:rsidRPr="0018386D">
              <w:t>Example Calculation</w:t>
            </w:r>
          </w:p>
        </w:tc>
      </w:tr>
      <w:tr w:rsidR="00A51FB7" w:rsidRPr="0018386D" w14:paraId="3F843007" w14:textId="77777777" w:rsidTr="00A86654">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33D9E79" w14:textId="2B4A8CFD" w:rsidR="007824F5" w:rsidRPr="0018386D" w:rsidRDefault="007824F5" w:rsidP="00DD3106">
            <w:pPr>
              <w:pStyle w:val="Boxtext"/>
              <w:spacing w:after="80"/>
            </w:pPr>
            <w:r w:rsidRPr="0018386D">
              <w:t>An organisation’s assets have water met</w:t>
            </w:r>
            <w:r w:rsidR="0017606D" w:rsidRPr="0018386D">
              <w:t>e</w:t>
            </w:r>
            <w:r w:rsidRPr="0018386D">
              <w:t>rs. Throughout the reporting year they use 1</w:t>
            </w:r>
            <w:r w:rsidR="00081696" w:rsidRPr="0018386D">
              <w:t>,</w:t>
            </w:r>
            <w:r w:rsidRPr="0018386D">
              <w:t>000 m</w:t>
            </w:r>
            <w:r w:rsidRPr="0018386D">
              <w:rPr>
                <w:vertAlign w:val="superscript"/>
              </w:rPr>
              <w:t>3</w:t>
            </w:r>
            <w:r w:rsidRPr="0018386D">
              <w:t xml:space="preserve"> of water. </w:t>
            </w:r>
          </w:p>
          <w:p w14:paraId="5EA9F791" w14:textId="50C9C234" w:rsidR="009A3A4E" w:rsidRPr="0018386D" w:rsidRDefault="009A3A4E" w:rsidP="00DD3106">
            <w:pPr>
              <w:pStyle w:val="Boxtext"/>
              <w:tabs>
                <w:tab w:val="left" w:pos="2866"/>
                <w:tab w:val="left" w:pos="4567"/>
              </w:tabs>
              <w:spacing w:before="20" w:after="20"/>
              <w:ind w:left="850"/>
            </w:pPr>
            <w:r w:rsidRPr="0018386D">
              <w:t>CO</w:t>
            </w:r>
            <w:r w:rsidRPr="0018386D">
              <w:rPr>
                <w:vertAlign w:val="subscript"/>
              </w:rPr>
              <w:t>2</w:t>
            </w:r>
            <w:r w:rsidRPr="0018386D">
              <w:t xml:space="preserve"> emissions</w:t>
            </w:r>
            <w:r w:rsidRPr="0018386D">
              <w:tab/>
              <w:t>= 1,000 × 0.</w:t>
            </w:r>
            <w:r w:rsidR="00CC577A" w:rsidRPr="0018386D">
              <w:t>0359</w:t>
            </w:r>
            <w:r w:rsidRPr="0018386D">
              <w:tab/>
              <w:t xml:space="preserve">= </w:t>
            </w:r>
            <w:r w:rsidR="00B14B46" w:rsidRPr="0018386D">
              <w:t>35.9</w:t>
            </w:r>
            <w:r w:rsidRPr="0018386D">
              <w:t xml:space="preserve"> kg CO</w:t>
            </w:r>
            <w:r w:rsidRPr="0018386D">
              <w:rPr>
                <w:vertAlign w:val="subscript"/>
              </w:rPr>
              <w:t>2</w:t>
            </w:r>
            <w:r w:rsidRPr="0018386D">
              <w:t xml:space="preserve"> </w:t>
            </w:r>
          </w:p>
          <w:p w14:paraId="398B5E93" w14:textId="1D662A33" w:rsidR="009A3A4E" w:rsidRPr="0018386D" w:rsidRDefault="009A3A4E" w:rsidP="00DD3106">
            <w:pPr>
              <w:pStyle w:val="Boxtext"/>
              <w:tabs>
                <w:tab w:val="left" w:pos="2866"/>
                <w:tab w:val="left" w:pos="4567"/>
              </w:tabs>
              <w:spacing w:before="20" w:after="20"/>
              <w:ind w:left="850"/>
            </w:pPr>
            <w:r w:rsidRPr="0018386D">
              <w:t>CH</w:t>
            </w:r>
            <w:r w:rsidRPr="0018386D">
              <w:rPr>
                <w:vertAlign w:val="subscript"/>
              </w:rPr>
              <w:t>4</w:t>
            </w:r>
            <w:r w:rsidRPr="0018386D">
              <w:t xml:space="preserve"> emissions</w:t>
            </w:r>
            <w:r w:rsidRPr="0018386D">
              <w:tab/>
              <w:t>= 1,000 × 0.</w:t>
            </w:r>
            <w:r w:rsidR="00FC5D31" w:rsidRPr="0018386D">
              <w:t>0010</w:t>
            </w:r>
            <w:r w:rsidRPr="0018386D">
              <w:tab/>
              <w:t>= 1 kg CO</w:t>
            </w:r>
            <w:r w:rsidRPr="0018386D">
              <w:rPr>
                <w:vertAlign w:val="subscript"/>
              </w:rPr>
              <w:t>2</w:t>
            </w:r>
            <w:r w:rsidRPr="0018386D">
              <w:t xml:space="preserve">-e </w:t>
            </w:r>
          </w:p>
          <w:p w14:paraId="32B812A2" w14:textId="5A0E87CB" w:rsidR="009A3A4E" w:rsidRPr="0018386D" w:rsidRDefault="009A3A4E" w:rsidP="00DD3106">
            <w:pPr>
              <w:pStyle w:val="Boxtext"/>
              <w:tabs>
                <w:tab w:val="left" w:pos="2866"/>
                <w:tab w:val="left" w:pos="4567"/>
              </w:tabs>
              <w:spacing w:before="20" w:after="20"/>
              <w:ind w:left="850"/>
            </w:pPr>
            <w:r w:rsidRPr="0018386D">
              <w:t>N</w:t>
            </w:r>
            <w:r w:rsidRPr="0018386D">
              <w:rPr>
                <w:vertAlign w:val="subscript"/>
              </w:rPr>
              <w:t>2</w:t>
            </w:r>
            <w:r w:rsidRPr="0018386D">
              <w:t>O emissions</w:t>
            </w:r>
            <w:r w:rsidRPr="0018386D">
              <w:tab/>
              <w:t>= 1,000 × 0.000</w:t>
            </w:r>
            <w:r w:rsidR="00FC5D31" w:rsidRPr="0018386D">
              <w:t>08</w:t>
            </w:r>
            <w:r w:rsidRPr="0018386D">
              <w:tab/>
              <w:t>= 0.</w:t>
            </w:r>
            <w:r w:rsidR="00BD17C5" w:rsidRPr="0018386D">
              <w:t>08</w:t>
            </w:r>
            <w:r w:rsidRPr="0018386D">
              <w:t xml:space="preserve"> kg CO</w:t>
            </w:r>
            <w:r w:rsidRPr="0018386D">
              <w:rPr>
                <w:vertAlign w:val="subscript"/>
              </w:rPr>
              <w:t>2</w:t>
            </w:r>
            <w:r w:rsidRPr="0018386D">
              <w:t xml:space="preserve">-e </w:t>
            </w:r>
          </w:p>
          <w:p w14:paraId="5AAF9389" w14:textId="2D953F9B" w:rsidR="009A3A4E" w:rsidRPr="0018386D" w:rsidRDefault="009A3A4E" w:rsidP="00DD3106">
            <w:pPr>
              <w:pStyle w:val="Boxtext"/>
              <w:tabs>
                <w:tab w:val="left" w:pos="2866"/>
                <w:tab w:val="left" w:pos="4567"/>
              </w:tabs>
              <w:spacing w:before="20" w:after="20"/>
              <w:ind w:left="850"/>
            </w:pPr>
            <w:r w:rsidRPr="0018386D">
              <w:t>Total CO</w:t>
            </w:r>
            <w:r w:rsidRPr="0018386D">
              <w:rPr>
                <w:vertAlign w:val="subscript"/>
              </w:rPr>
              <w:t>2</w:t>
            </w:r>
            <w:r w:rsidRPr="0018386D">
              <w:t>-e emissions</w:t>
            </w:r>
            <w:r w:rsidRPr="0018386D">
              <w:tab/>
              <w:t>= 1,000 × 0.</w:t>
            </w:r>
            <w:r w:rsidR="003E1288" w:rsidRPr="0018386D">
              <w:t>0369</w:t>
            </w:r>
            <w:r w:rsidRPr="0018386D">
              <w:tab/>
              <w:t xml:space="preserve">= </w:t>
            </w:r>
            <w:r w:rsidR="00081696" w:rsidRPr="0018386D">
              <w:t>36.9</w:t>
            </w:r>
            <w:r w:rsidRPr="0018386D">
              <w:t xml:space="preserve"> kg CO</w:t>
            </w:r>
            <w:r w:rsidRPr="0018386D">
              <w:rPr>
                <w:vertAlign w:val="subscript"/>
              </w:rPr>
              <w:t>2</w:t>
            </w:r>
            <w:r w:rsidRPr="0018386D">
              <w:t xml:space="preserve">-e </w:t>
            </w:r>
          </w:p>
          <w:p w14:paraId="0E828064" w14:textId="19133E6A" w:rsidR="007824F5" w:rsidRPr="0018386D" w:rsidRDefault="007824F5" w:rsidP="00DD3106">
            <w:pPr>
              <w:pStyle w:val="Boxtext"/>
              <w:spacing w:after="180"/>
            </w:pPr>
            <w:r w:rsidRPr="0018386D">
              <w:rPr>
                <w:sz w:val="18"/>
              </w:rPr>
              <w:t>Note</w:t>
            </w:r>
            <w:r w:rsidR="0019141A" w:rsidRPr="0018386D">
              <w:rPr>
                <w:sz w:val="18"/>
              </w:rPr>
              <w:t>: N</w:t>
            </w:r>
            <w:r w:rsidRPr="0018386D">
              <w:rPr>
                <w:sz w:val="18"/>
              </w:rPr>
              <w:t>umbers may not add due to rounding</w:t>
            </w:r>
            <w:r w:rsidR="00D837FF" w:rsidRPr="0018386D">
              <w:rPr>
                <w:sz w:val="18"/>
              </w:rPr>
              <w:t>.</w:t>
            </w:r>
          </w:p>
        </w:tc>
      </w:tr>
    </w:tbl>
    <w:p w14:paraId="2CC77CAC" w14:textId="40E0AF47" w:rsidR="00A959E4" w:rsidRPr="0018386D" w:rsidRDefault="00A959E4" w:rsidP="00DD3106">
      <w:pPr>
        <w:pStyle w:val="Heading3"/>
        <w:numPr>
          <w:ilvl w:val="2"/>
          <w:numId w:val="8"/>
        </w:numPr>
        <w:tabs>
          <w:tab w:val="left" w:pos="1276"/>
        </w:tabs>
        <w:spacing w:before="440"/>
      </w:pPr>
      <w:bookmarkStart w:id="757" w:name="_Toc532904939"/>
      <w:bookmarkEnd w:id="756"/>
      <w:r w:rsidRPr="0018386D">
        <w:t>Emission factor derivation methodology</w:t>
      </w:r>
      <w:bookmarkEnd w:id="757"/>
    </w:p>
    <w:p w14:paraId="063511A3" w14:textId="3D6638F4" w:rsidR="57CFA640" w:rsidRPr="0018386D" w:rsidRDefault="57CFA640" w:rsidP="00DD3106">
      <w:pPr>
        <w:pStyle w:val="BodyText"/>
      </w:pPr>
      <w:r w:rsidRPr="0018386D">
        <w:t>We adopted the Water N</w:t>
      </w:r>
      <w:r w:rsidR="000446EC" w:rsidRPr="0018386D">
        <w:t xml:space="preserve">ew </w:t>
      </w:r>
      <w:r w:rsidRPr="0018386D">
        <w:t>Z</w:t>
      </w:r>
      <w:r w:rsidR="000446EC" w:rsidRPr="0018386D">
        <w:t>ealand</w:t>
      </w:r>
      <w:r w:rsidRPr="0018386D">
        <w:t xml:space="preserve"> </w:t>
      </w:r>
      <w:r w:rsidR="00027DAA" w:rsidRPr="0018386D">
        <w:t xml:space="preserve">2020/21 </w:t>
      </w:r>
      <w:r w:rsidRPr="0018386D">
        <w:t>National Performance Review</w:t>
      </w:r>
      <w:r w:rsidR="00084B3D" w:rsidRPr="0018386D">
        <w:rPr>
          <w:rStyle w:val="FootnoteReference"/>
          <w:rFonts w:eastAsia="Calibri" w:cs="Calibri"/>
        </w:rPr>
        <w:footnoteReference w:id="53"/>
      </w:r>
      <w:r w:rsidRPr="0018386D">
        <w:t xml:space="preserve"> methodology to</w:t>
      </w:r>
      <w:r w:rsidR="00431484" w:rsidRPr="0018386D">
        <w:t> </w:t>
      </w:r>
      <w:r w:rsidRPr="0018386D">
        <w:t>calculate the water supply emission factors. The Water N</w:t>
      </w:r>
      <w:r w:rsidR="000446EC" w:rsidRPr="0018386D">
        <w:t xml:space="preserve">ew </w:t>
      </w:r>
      <w:r w:rsidRPr="0018386D">
        <w:t>Z</w:t>
      </w:r>
      <w:r w:rsidR="000446EC" w:rsidRPr="0018386D">
        <w:t>ealand</w:t>
      </w:r>
      <w:r w:rsidRPr="0018386D">
        <w:t xml:space="preserve"> review gathered data from participating water industry bodies, which represent approximately </w:t>
      </w:r>
      <w:r w:rsidR="00EA421B" w:rsidRPr="0018386D">
        <w:t>75</w:t>
      </w:r>
      <w:r w:rsidR="00EA421B" w:rsidRPr="0018386D">
        <w:rPr>
          <w:color w:val="D13438"/>
        </w:rPr>
        <w:t xml:space="preserve"> </w:t>
      </w:r>
      <w:r w:rsidRPr="0018386D">
        <w:t>per cent of New</w:t>
      </w:r>
      <w:r w:rsidR="00431484" w:rsidRPr="0018386D">
        <w:t> </w:t>
      </w:r>
      <w:r w:rsidRPr="0018386D">
        <w:t xml:space="preserve">Zealand’s population. </w:t>
      </w:r>
      <w:r w:rsidR="00C924C9" w:rsidRPr="0018386D">
        <w:t>Twenty-seven</w:t>
      </w:r>
      <w:r w:rsidRPr="0018386D">
        <w:t xml:space="preserve"> participants in the survey provided reliable information on the energy use of their water systems, which was used to calculate national averages. In the </w:t>
      </w:r>
      <w:r w:rsidRPr="0018386D" w:rsidDel="002C697E">
        <w:t>2020/</w:t>
      </w:r>
      <w:r w:rsidR="003D7A92" w:rsidRPr="0018386D" w:rsidDel="002C697E">
        <w:t>21</w:t>
      </w:r>
      <w:r w:rsidRPr="0018386D">
        <w:t xml:space="preserve"> period, the operation of water supply pumps used </w:t>
      </w:r>
      <w:r w:rsidR="00C80A50" w:rsidRPr="0018386D">
        <w:t>757</w:t>
      </w:r>
      <w:r w:rsidR="008A06BE" w:rsidRPr="0018386D">
        <w:t xml:space="preserve"> </w:t>
      </w:r>
      <w:r w:rsidRPr="0018386D">
        <w:t>TJ of energy to supply</w:t>
      </w:r>
      <w:r w:rsidR="002C697E" w:rsidRPr="0018386D">
        <w:t xml:space="preserve"> 471</w:t>
      </w:r>
      <w:r w:rsidRPr="0018386D">
        <w:t> million m</w:t>
      </w:r>
      <w:r w:rsidRPr="0018386D">
        <w:rPr>
          <w:vertAlign w:val="superscript"/>
        </w:rPr>
        <w:t>3</w:t>
      </w:r>
      <w:r w:rsidRPr="0018386D">
        <w:t xml:space="preserve"> of water, and treatment plants used an estimated </w:t>
      </w:r>
      <w:r w:rsidR="00C80A50" w:rsidRPr="0018386D">
        <w:t>1</w:t>
      </w:r>
      <w:r w:rsidR="00057546" w:rsidRPr="0018386D">
        <w:t>,</w:t>
      </w:r>
      <w:r w:rsidR="00C80A50" w:rsidRPr="0018386D">
        <w:t>130</w:t>
      </w:r>
      <w:r w:rsidR="008A06BE" w:rsidRPr="0018386D">
        <w:t xml:space="preserve"> </w:t>
      </w:r>
      <w:r w:rsidRPr="0018386D">
        <w:t>TJ of energy in the treatment of about </w:t>
      </w:r>
      <w:r w:rsidR="00EA421B" w:rsidRPr="0018386D">
        <w:t xml:space="preserve">409 </w:t>
      </w:r>
      <w:r w:rsidRPr="0018386D">
        <w:t>million m</w:t>
      </w:r>
      <w:r w:rsidRPr="0018386D">
        <w:rPr>
          <w:vertAlign w:val="superscript"/>
        </w:rPr>
        <w:t>3</w:t>
      </w:r>
      <w:r w:rsidRPr="0018386D">
        <w:t xml:space="preserve"> of water. This equates to a median energy intensity of</w:t>
      </w:r>
      <w:r w:rsidR="00431484" w:rsidRPr="0018386D">
        <w:t> </w:t>
      </w:r>
      <w:r w:rsidRPr="0018386D">
        <w:t>1.</w:t>
      </w:r>
      <w:r w:rsidR="00EA421B" w:rsidRPr="0018386D">
        <w:t>6</w:t>
      </w:r>
      <w:r w:rsidR="00431484" w:rsidRPr="0018386D">
        <w:t> </w:t>
      </w:r>
      <w:r w:rsidRPr="0018386D">
        <w:t xml:space="preserve">MJ of energy per cubic metre of water supplied and </w:t>
      </w:r>
      <w:r w:rsidR="00EA421B" w:rsidRPr="0018386D">
        <w:t xml:space="preserve">2.8 </w:t>
      </w:r>
      <w:r w:rsidRPr="0018386D">
        <w:t>MJ of energy per cubic metre of water treated.</w:t>
      </w:r>
    </w:p>
    <w:p w14:paraId="2678448D" w14:textId="3B7BDFDC" w:rsidR="00A959E4" w:rsidRPr="0018386D" w:rsidRDefault="00D72EFE" w:rsidP="00DD3106">
      <w:pPr>
        <w:pStyle w:val="BodyText"/>
      </w:pPr>
      <w:r w:rsidRPr="0018386D">
        <w:t>We used a</w:t>
      </w:r>
      <w:r w:rsidR="00A959E4" w:rsidRPr="0018386D">
        <w:t xml:space="preserve"> weighted average of participant energy use and water supply data to calculate the emission factors.</w:t>
      </w:r>
    </w:p>
    <w:p w14:paraId="6EEA9EE0" w14:textId="473E6F67" w:rsidR="00A959E4" w:rsidRPr="0018386D" w:rsidRDefault="00D72EFE" w:rsidP="00DD3106">
      <w:pPr>
        <w:pStyle w:val="BodyText"/>
        <w:spacing w:after="240"/>
      </w:pPr>
      <w:r w:rsidRPr="0018386D">
        <w:t>We calculated t</w:t>
      </w:r>
      <w:r w:rsidR="00A959E4" w:rsidRPr="0018386D">
        <w:t>he emission factors for each gas by summing the weighted averages from each participant</w:t>
      </w:r>
      <w:r w:rsidR="00273B9C" w:rsidRPr="0018386D">
        <w:t>’</w:t>
      </w:r>
      <w:r w:rsidR="00A959E4" w:rsidRPr="0018386D">
        <w:t>s data. The basic equation for each gas is as follows:</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A959E4" w:rsidRPr="0018386D" w14:paraId="10DD7835" w14:textId="77777777" w:rsidTr="003554FA">
        <w:tc>
          <w:tcPr>
            <w:tcW w:w="8505" w:type="dxa"/>
            <w:shd w:val="clear" w:color="auto" w:fill="D2DDE1" w:themeFill="background2"/>
          </w:tcPr>
          <w:p w14:paraId="39DDE66B" w14:textId="66E5DD0E" w:rsidR="00A959E4" w:rsidRPr="0018386D" w:rsidRDefault="00C7627E" w:rsidP="00DD3106">
            <w:pPr>
              <w:pStyle w:val="Box"/>
              <w:shd w:val="clear" w:color="auto" w:fill="auto"/>
              <w:spacing w:before="0" w:after="0"/>
              <w:ind w:left="0"/>
            </w:pPr>
            <m:oMathPara>
              <m:oMath>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use</m:t>
                    </m:r>
                  </m:num>
                  <m:den>
                    <m:r>
                      <w:rPr>
                        <w:rFonts w:ascii="Cambria Math" w:hAnsi="Cambria Math"/>
                      </w:rPr>
                      <m:t>water</m:t>
                    </m:r>
                    <m:r>
                      <m:rPr>
                        <m:sty m:val="p"/>
                      </m:rPr>
                      <w:rPr>
                        <w:rFonts w:ascii="Cambria Math" w:hAnsi="Cambria Math"/>
                      </w:rPr>
                      <m:t xml:space="preserve"> </m:t>
                    </m:r>
                    <m:r>
                      <w:rPr>
                        <w:rFonts w:ascii="Cambria Math" w:hAnsi="Cambria Math"/>
                      </w:rPr>
                      <m:t>supply</m:t>
                    </m:r>
                  </m:den>
                </m:f>
                <m:r>
                  <m:rPr>
                    <m:sty m:val="p"/>
                  </m:rPr>
                  <w:rPr>
                    <w:rFonts w:ascii="Cambria Math" w:hAnsi="Cambria Math"/>
                  </w:rPr>
                  <m:t>×</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unit</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m:t>
                </m:r>
                <m:r>
                  <w:rPr>
                    <w:rFonts w:ascii="Cambria Math" w:hAnsi="Cambria Math"/>
                  </w:rPr>
                  <m:t>r</m:t>
                </m:r>
              </m:oMath>
            </m:oMathPara>
          </w:p>
        </w:tc>
      </w:tr>
    </w:tbl>
    <w:p w14:paraId="3E2430D7" w14:textId="257EA6AF" w:rsidR="003554FA" w:rsidRPr="0018386D" w:rsidRDefault="003554FA" w:rsidP="00DD3106">
      <w:pPr>
        <w:pStyle w:val="BodyText"/>
        <w:keepNext/>
        <w:spacing w:before="240"/>
      </w:pPr>
      <w:r w:rsidRPr="0018386D">
        <w:lastRenderedPageBreak/>
        <w:t>This equation gives the emissions per m</w:t>
      </w:r>
      <w:r w:rsidRPr="0018386D">
        <w:rPr>
          <w:vertAlign w:val="superscript"/>
        </w:rPr>
        <w:t>3</w:t>
      </w:r>
      <w:r w:rsidRPr="0018386D">
        <w:t xml:space="preserve"> of water supplied</w:t>
      </w:r>
      <w:r w:rsidR="6B14302C" w:rsidRPr="0018386D">
        <w:t>,</w:t>
      </w:r>
      <w:r w:rsidR="008D6996" w:rsidRPr="0018386D">
        <w:t xml:space="preserve"> w</w:t>
      </w:r>
      <w:r w:rsidRPr="0018386D">
        <w:t>here the following values were used to calculate the emission factors:</w:t>
      </w:r>
    </w:p>
    <w:p w14:paraId="4933C6D7" w14:textId="51D838A2" w:rsidR="00A959E4" w:rsidRPr="0018386D" w:rsidRDefault="00224DEE" w:rsidP="00DD3106">
      <w:pPr>
        <w:pStyle w:val="Bullet"/>
        <w:keepNext/>
        <w:rPr>
          <w:rFonts w:eastAsia="Calibri"/>
        </w:rPr>
      </w:pPr>
      <w:r w:rsidRPr="0018386D">
        <w:rPr>
          <w:rFonts w:eastAsia="Calibri"/>
        </w:rPr>
        <w:t>en</w:t>
      </w:r>
      <w:r w:rsidR="00A959E4" w:rsidRPr="0018386D">
        <w:rPr>
          <w:rFonts w:eastAsia="Calibri"/>
        </w:rPr>
        <w:t xml:space="preserve">ergy use = </w:t>
      </w:r>
      <w:r w:rsidR="00273B9C" w:rsidRPr="0018386D">
        <w:rPr>
          <w:rFonts w:eastAsia="Calibri"/>
        </w:rPr>
        <w:t>t</w:t>
      </w:r>
      <w:r w:rsidR="00A959E4" w:rsidRPr="0018386D">
        <w:rPr>
          <w:rFonts w:eastAsia="Calibri"/>
        </w:rPr>
        <w:t>he GJ of energy used by the water system that year</w:t>
      </w:r>
    </w:p>
    <w:p w14:paraId="625FF36E" w14:textId="51D838A2" w:rsidR="00A959E4" w:rsidRPr="0018386D" w:rsidRDefault="00224DEE" w:rsidP="00DD3106">
      <w:pPr>
        <w:pStyle w:val="Bullet"/>
        <w:rPr>
          <w:rFonts w:eastAsia="Calibri"/>
        </w:rPr>
      </w:pPr>
      <w:r w:rsidRPr="0018386D">
        <w:rPr>
          <w:rFonts w:eastAsia="Calibri"/>
        </w:rPr>
        <w:t>w</w:t>
      </w:r>
      <w:r w:rsidR="00A959E4" w:rsidRPr="0018386D">
        <w:rPr>
          <w:rFonts w:eastAsia="Calibri"/>
        </w:rPr>
        <w:t>ater supply = m</w:t>
      </w:r>
      <w:r w:rsidR="00A959E4" w:rsidRPr="0018386D">
        <w:rPr>
          <w:rFonts w:eastAsia="Calibri"/>
          <w:vertAlign w:val="superscript"/>
        </w:rPr>
        <w:t>3</w:t>
      </w:r>
      <w:r w:rsidR="00D72EFE" w:rsidRPr="0018386D">
        <w:rPr>
          <w:rFonts w:eastAsia="Calibri"/>
        </w:rPr>
        <w:t xml:space="preserve"> </w:t>
      </w:r>
      <w:r w:rsidR="00A959E4" w:rsidRPr="0018386D">
        <w:rPr>
          <w:rFonts w:eastAsia="Calibri"/>
        </w:rPr>
        <w:t>of water supplied that year</w:t>
      </w:r>
    </w:p>
    <w:p w14:paraId="160AAE30" w14:textId="51D838A2" w:rsidR="00A959E4" w:rsidRPr="0018386D" w:rsidRDefault="76B8698B" w:rsidP="00DD3106">
      <w:pPr>
        <w:pStyle w:val="Bullet"/>
        <w:rPr>
          <w:rFonts w:eastAsia="Calibri"/>
        </w:rPr>
      </w:pPr>
      <w:r w:rsidRPr="0018386D">
        <w:rPr>
          <w:rFonts w:eastAsia="Calibri"/>
        </w:rPr>
        <w:t>el</w:t>
      </w:r>
      <w:r w:rsidR="14FAB11F" w:rsidRPr="0018386D">
        <w:rPr>
          <w:rFonts w:eastAsia="Calibri"/>
        </w:rPr>
        <w:t xml:space="preserve">ectricity emission factor = the </w:t>
      </w:r>
      <w:r w:rsidR="247AD579" w:rsidRPr="0018386D">
        <w:rPr>
          <w:rFonts w:eastAsia="Calibri"/>
        </w:rPr>
        <w:t xml:space="preserve">relevant gas </w:t>
      </w:r>
      <w:r w:rsidR="14FAB11F" w:rsidRPr="0018386D">
        <w:rPr>
          <w:rFonts w:eastAsia="Calibri"/>
        </w:rPr>
        <w:t>emission conversion factor (</w:t>
      </w:r>
      <w:r w:rsidR="247AD579" w:rsidRPr="0018386D">
        <w:rPr>
          <w:rFonts w:eastAsia="Calibri"/>
        </w:rPr>
        <w:t xml:space="preserve">ie, </w:t>
      </w:r>
      <w:r w:rsidR="14FAB11F" w:rsidRPr="0018386D">
        <w:rPr>
          <w:rFonts w:eastAsia="Calibri"/>
        </w:rPr>
        <w:t>CO</w:t>
      </w:r>
      <w:r w:rsidR="14FAB11F" w:rsidRPr="0018386D">
        <w:rPr>
          <w:rFonts w:eastAsia="Calibri"/>
          <w:vertAlign w:val="subscript"/>
        </w:rPr>
        <w:t>2</w:t>
      </w:r>
      <w:r w:rsidR="14FAB11F" w:rsidRPr="0018386D">
        <w:rPr>
          <w:rFonts w:eastAsia="Calibri"/>
        </w:rPr>
        <w:t>, N</w:t>
      </w:r>
      <w:r w:rsidR="14FAB11F" w:rsidRPr="0018386D">
        <w:rPr>
          <w:rFonts w:eastAsia="Calibri"/>
          <w:vertAlign w:val="subscript"/>
        </w:rPr>
        <w:t>2</w:t>
      </w:r>
      <w:r w:rsidR="14FAB11F" w:rsidRPr="0018386D">
        <w:rPr>
          <w:rFonts w:eastAsia="Calibri"/>
        </w:rPr>
        <w:t>O, CH</w:t>
      </w:r>
      <w:r w:rsidR="14FAB11F" w:rsidRPr="0018386D">
        <w:rPr>
          <w:rFonts w:eastAsia="Calibri"/>
          <w:vertAlign w:val="subscript"/>
        </w:rPr>
        <w:t>4</w:t>
      </w:r>
      <w:r w:rsidR="14FAB11F" w:rsidRPr="0018386D">
        <w:rPr>
          <w:rFonts w:eastAsia="Calibri"/>
        </w:rPr>
        <w:t>)</w:t>
      </w:r>
    </w:p>
    <w:p w14:paraId="32C91824" w14:textId="51D838A2" w:rsidR="00A959E4" w:rsidRPr="0018386D" w:rsidRDefault="00224DEE" w:rsidP="00DD3106">
      <w:pPr>
        <w:pStyle w:val="Bullet"/>
        <w:rPr>
          <w:rFonts w:eastAsia="Calibri"/>
        </w:rPr>
      </w:pPr>
      <w:r w:rsidRPr="0018386D">
        <w:rPr>
          <w:rFonts w:eastAsia="Calibri"/>
        </w:rPr>
        <w:t>u</w:t>
      </w:r>
      <w:r w:rsidR="00A959E4" w:rsidRPr="0018386D">
        <w:rPr>
          <w:rFonts w:eastAsia="Calibri"/>
        </w:rPr>
        <w:t>nit conversion factor = 277.778 (converting GJ to kWh).</w:t>
      </w:r>
    </w:p>
    <w:p w14:paraId="08B28952" w14:textId="3B91BEAF" w:rsidR="3539AE50" w:rsidRPr="0018386D" w:rsidRDefault="3539AE50" w:rsidP="00DD3106">
      <w:pPr>
        <w:pStyle w:val="BodyText"/>
      </w:pPr>
      <w:r w:rsidRPr="0018386D">
        <w:t xml:space="preserve">If organisations </w:t>
      </w:r>
      <w:r w:rsidR="00A76C4F" w:rsidRPr="0018386D">
        <w:t xml:space="preserve">do not </w:t>
      </w:r>
      <w:r w:rsidRPr="0018386D">
        <w:t xml:space="preserve">know the volume of water used, they can estimate it based on a calculated per capita (per person) emission factor. To develop a per capita emission factor, we used an average of </w:t>
      </w:r>
      <w:r w:rsidR="00A76C4F" w:rsidRPr="0018386D">
        <w:t>116</w:t>
      </w:r>
      <w:r w:rsidR="005053DE" w:rsidRPr="0018386D">
        <w:t xml:space="preserve"> </w:t>
      </w:r>
      <w:r w:rsidRPr="0018386D">
        <w:t>m</w:t>
      </w:r>
      <w:r w:rsidRPr="0018386D">
        <w:rPr>
          <w:vertAlign w:val="superscript"/>
        </w:rPr>
        <w:t>3</w:t>
      </w:r>
      <w:r w:rsidRPr="0018386D">
        <w:t xml:space="preserve"> of water per person per year, which is calculated from the following equations and information:</w:t>
      </w:r>
    </w:p>
    <w:p w14:paraId="1DF7FAAC" w14:textId="65AF6ADC" w:rsidR="00A959E4" w:rsidRPr="0018386D" w:rsidRDefault="00A948AA" w:rsidP="00DD3106">
      <w:pPr>
        <w:pStyle w:val="BodyText"/>
        <w:keepNext/>
        <w:spacing w:after="160"/>
      </w:pPr>
      <w:r w:rsidRPr="0018386D">
        <w:t>The first e</w:t>
      </w:r>
      <w:r w:rsidR="00A959E4" w:rsidRPr="0018386D">
        <w:t>quation:</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495"/>
      </w:tblGrid>
      <w:tr w:rsidR="00A959E4" w:rsidRPr="0018386D" w14:paraId="4F920C19" w14:textId="77777777" w:rsidTr="000D1DBE">
        <w:tc>
          <w:tcPr>
            <w:tcW w:w="8720" w:type="dxa"/>
            <w:shd w:val="clear" w:color="auto" w:fill="D2DDE1" w:themeFill="background2"/>
          </w:tcPr>
          <w:p w14:paraId="4D584D15" w14:textId="1832D530" w:rsidR="00A959E4" w:rsidRPr="0018386D" w:rsidRDefault="00434227" w:rsidP="00DD3106">
            <w:pPr>
              <w:pStyle w:val="Box"/>
              <w:shd w:val="clear" w:color="auto" w:fill="auto"/>
              <w:spacing w:before="0" w:after="0" w:line="240" w:lineRule="auto"/>
              <w:ind w:left="0"/>
              <w:rPr>
                <w:sz w:val="19"/>
                <w:szCs w:val="19"/>
              </w:rPr>
            </w:pPr>
            <m:oMathPara>
              <m:oMath>
                <m:r>
                  <w:rPr>
                    <w:rFonts w:ascii="Cambria Math" w:hAnsi="Cambria Math"/>
                    <w:sz w:val="19"/>
                    <w:szCs w:val="19"/>
                  </w:rPr>
                  <m:t>average</m:t>
                </m:r>
                <m:r>
                  <m:rPr>
                    <m:sty m:val="p"/>
                  </m:rPr>
                  <w:rPr>
                    <w:rFonts w:ascii="Cambria Math" w:hAnsi="Cambria Math"/>
                    <w:sz w:val="19"/>
                    <w:szCs w:val="19"/>
                  </w:rPr>
                  <m:t xml:space="preserve"> </m:t>
                </m:r>
                <m:r>
                  <w:rPr>
                    <w:rFonts w:ascii="Cambria Math" w:hAnsi="Cambria Math"/>
                    <w:sz w:val="19"/>
                    <w:szCs w:val="19"/>
                  </w:rPr>
                  <m:t>volume of water supplied per person=</m:t>
                </m:r>
                <m:f>
                  <m:fPr>
                    <m:ctrlPr>
                      <w:rPr>
                        <w:rFonts w:ascii="Cambria Math" w:hAnsi="Cambria Math"/>
                        <w:i/>
                        <w:sz w:val="19"/>
                        <w:szCs w:val="19"/>
                      </w:rPr>
                    </m:ctrlPr>
                  </m:fPr>
                  <m:num>
                    <m:r>
                      <w:rPr>
                        <w:rFonts w:ascii="Cambria Math" w:hAnsi="Cambria Math"/>
                        <w:sz w:val="19"/>
                        <w:szCs w:val="19"/>
                      </w:rPr>
                      <m:t>water supplied</m:t>
                    </m:r>
                  </m:num>
                  <m:den>
                    <m:r>
                      <w:rPr>
                        <w:rFonts w:ascii="Cambria Math" w:hAnsi="Cambria Math"/>
                        <w:sz w:val="19"/>
                        <w:szCs w:val="19"/>
                      </w:rPr>
                      <m:t>population served by WWTP</m:t>
                    </m:r>
                  </m:den>
                </m:f>
                <m:r>
                  <m:rPr>
                    <m:sty m:val="p"/>
                  </m:rPr>
                  <w:rPr>
                    <w:rFonts w:ascii="Cambria Math" w:hAnsi="Cambria Math"/>
                    <w:sz w:val="19"/>
                    <w:szCs w:val="19"/>
                  </w:rPr>
                  <m:t xml:space="preserve"> </m:t>
                </m:r>
              </m:oMath>
            </m:oMathPara>
          </w:p>
        </w:tc>
      </w:tr>
    </w:tbl>
    <w:p w14:paraId="1B9BB954" w14:textId="38077809" w:rsidR="00D72EFE" w:rsidRPr="0018386D" w:rsidRDefault="00A948AA" w:rsidP="00DD3106">
      <w:pPr>
        <w:pStyle w:val="BodyText"/>
        <w:spacing w:before="240" w:after="160"/>
      </w:pPr>
      <w:r w:rsidRPr="0018386D">
        <w:t>The second e</w:t>
      </w:r>
      <w:r w:rsidR="00A959E4" w:rsidRPr="0018386D">
        <w:t xml:space="preserve">quation: </w:t>
      </w:r>
    </w:p>
    <w:tbl>
      <w:tblPr>
        <w:tblStyle w:val="mfebox"/>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A959E4" w:rsidRPr="0018386D" w14:paraId="3926EB12" w14:textId="77777777" w:rsidTr="00AB7A73">
        <w:tc>
          <w:tcPr>
            <w:tcW w:w="8495" w:type="dxa"/>
            <w:shd w:val="clear" w:color="auto" w:fill="D2DDE1" w:themeFill="background2"/>
          </w:tcPr>
          <w:p w14:paraId="29799A73" w14:textId="6B0AD672" w:rsidR="00A959E4" w:rsidRPr="0018386D" w:rsidRDefault="00ED3F75" w:rsidP="00DD3106">
            <w:pPr>
              <w:pStyle w:val="Box"/>
              <w:shd w:val="clear" w:color="auto" w:fill="auto"/>
              <w:spacing w:before="0" w:after="0"/>
              <w:ind w:left="0"/>
              <w:rPr>
                <w:sz w:val="19"/>
                <w:szCs w:val="19"/>
              </w:rPr>
            </w:pPr>
            <m:oMath>
              <m:r>
                <w:rPr>
                  <w:rFonts w:ascii="Cambria Math" w:hAnsi="Cambria Math"/>
                  <w:sz w:val="19"/>
                  <w:szCs w:val="19"/>
                </w:rPr>
                <m:t xml:space="preserve">average volume of water supplied per person ×emission factors for water supplied in </m:t>
              </m:r>
              <m:sSup>
                <m:sSupPr>
                  <m:ctrlPr>
                    <w:rPr>
                      <w:rFonts w:ascii="Cambria Math" w:hAnsi="Cambria Math"/>
                      <w:i/>
                      <w:sz w:val="19"/>
                      <w:szCs w:val="19"/>
                    </w:rPr>
                  </m:ctrlPr>
                </m:sSupPr>
                <m:e>
                  <m:r>
                    <w:rPr>
                      <w:rFonts w:ascii="Cambria Math" w:hAnsi="Cambria Math"/>
                      <w:sz w:val="19"/>
                      <w:szCs w:val="19"/>
                    </w:rPr>
                    <m:t>m</m:t>
                  </m:r>
                </m:e>
                <m:sup>
                  <m:r>
                    <w:rPr>
                      <w:rFonts w:ascii="Cambria Math" w:hAnsi="Cambria Math"/>
                      <w:sz w:val="19"/>
                      <w:szCs w:val="19"/>
                    </w:rPr>
                    <m:t>3</m:t>
                  </m:r>
                </m:sup>
              </m:sSup>
              <m:r>
                <w:rPr>
                  <w:rFonts w:ascii="Cambria Math" w:hAnsi="Cambria Math"/>
                  <w:sz w:val="19"/>
                  <w:szCs w:val="19"/>
                </w:rPr>
                <m:t>=</m:t>
              </m:r>
            </m:oMath>
            <w:r w:rsidR="00D72EFE" w:rsidRPr="0018386D">
              <w:rPr>
                <w:i/>
                <w:sz w:val="19"/>
                <w:szCs w:val="19"/>
              </w:rPr>
              <w:t xml:space="preserve"> </w:t>
            </w:r>
            <w:r w:rsidR="00A959E4" w:rsidRPr="0018386D">
              <w:rPr>
                <w:rFonts w:asciiTheme="majorHAnsi" w:hAnsiTheme="majorHAnsi"/>
                <w:i/>
                <w:sz w:val="19"/>
                <w:szCs w:val="19"/>
              </w:rPr>
              <w:t>emission factors for water supplied per capita</w:t>
            </w:r>
          </w:p>
        </w:tc>
      </w:tr>
    </w:tbl>
    <w:p w14:paraId="5684EE95" w14:textId="7BB8ACD7" w:rsidR="00AB7A73" w:rsidRPr="0018386D" w:rsidRDefault="00AB7A73" w:rsidP="00DD3106">
      <w:pPr>
        <w:pStyle w:val="BodyText"/>
        <w:spacing w:before="240" w:after="100" w:line="260" w:lineRule="atLeast"/>
      </w:pPr>
      <w:r w:rsidRPr="0018386D">
        <w:t>Where the following data were used to calculate the emission factors:</w:t>
      </w:r>
    </w:p>
    <w:p w14:paraId="1AE2B336" w14:textId="7F4F3119" w:rsidR="00434227" w:rsidRPr="0018386D" w:rsidRDefault="00434227" w:rsidP="00DD3106">
      <w:pPr>
        <w:pStyle w:val="Bullet"/>
      </w:pPr>
      <w:r w:rsidRPr="0018386D">
        <w:t>m</w:t>
      </w:r>
      <w:r w:rsidRPr="0018386D">
        <w:rPr>
          <w:vertAlign w:val="superscript"/>
        </w:rPr>
        <w:t>3</w:t>
      </w:r>
      <w:r w:rsidRPr="0018386D">
        <w:t xml:space="preserve"> of water supplied nationwide is </w:t>
      </w:r>
      <w:r w:rsidR="3D39F6D3" w:rsidRPr="0018386D">
        <w:t>531</w:t>
      </w:r>
      <w:r w:rsidRPr="0018386D">
        <w:t>,000,000</w:t>
      </w:r>
      <w:r w:rsidRPr="0018386D">
        <w:rPr>
          <w:rStyle w:val="FootnoteReference"/>
        </w:rPr>
        <w:footnoteReference w:id="54"/>
      </w:r>
    </w:p>
    <w:p w14:paraId="0601DB03" w14:textId="55DCD060" w:rsidR="00434227" w:rsidRPr="0018386D" w:rsidRDefault="002B7ED1" w:rsidP="00DD3106">
      <w:pPr>
        <w:pStyle w:val="Bullet"/>
      </w:pPr>
      <w:r w:rsidRPr="0018386D">
        <w:t>p</w:t>
      </w:r>
      <w:r w:rsidR="00434227" w:rsidRPr="0018386D">
        <w:t xml:space="preserve">opulation served by </w:t>
      </w:r>
      <w:r w:rsidR="006644D0" w:rsidRPr="0018386D">
        <w:t>Wastewa</w:t>
      </w:r>
      <w:r w:rsidR="00882FCE" w:rsidRPr="0018386D">
        <w:t>ter Treatment Plants</w:t>
      </w:r>
      <w:r w:rsidR="0045435A" w:rsidRPr="0018386D">
        <w:t xml:space="preserve"> (</w:t>
      </w:r>
      <w:r w:rsidR="00434227" w:rsidRPr="0018386D">
        <w:t>WWTP</w:t>
      </w:r>
      <w:r w:rsidR="0045435A" w:rsidRPr="0018386D">
        <w:t>s)</w:t>
      </w:r>
      <w:r w:rsidR="00434227" w:rsidRPr="0018386D">
        <w:t xml:space="preserve"> is approximately </w:t>
      </w:r>
      <w:r w:rsidR="00434227" w:rsidRPr="0018386D" w:rsidDel="004A5BA8">
        <w:t>4.</w:t>
      </w:r>
      <w:r w:rsidR="004A5BA8" w:rsidRPr="0018386D">
        <w:t>56</w:t>
      </w:r>
      <w:r w:rsidR="00431484" w:rsidRPr="0018386D">
        <w:t> </w:t>
      </w:r>
      <w:r w:rsidR="00434227" w:rsidRPr="0018386D">
        <w:t>million</w:t>
      </w:r>
      <w:r w:rsidR="0071351B" w:rsidRPr="0018386D">
        <w:t>.</w:t>
      </w:r>
      <w:r w:rsidR="00434227" w:rsidRPr="0018386D">
        <w:rPr>
          <w:rStyle w:val="FootnoteReference"/>
        </w:rPr>
        <w:footnoteReference w:id="55"/>
      </w:r>
    </w:p>
    <w:p w14:paraId="7B4876EC" w14:textId="2E8B727C" w:rsidR="00A959E4" w:rsidRPr="0018386D" w:rsidRDefault="14FAB11F" w:rsidP="00DD3106">
      <w:pPr>
        <w:pStyle w:val="Heading3"/>
        <w:numPr>
          <w:ilvl w:val="2"/>
          <w:numId w:val="8"/>
        </w:numPr>
        <w:spacing w:before="240"/>
      </w:pPr>
      <w:bookmarkStart w:id="758" w:name="_Toc532904940"/>
      <w:r w:rsidRPr="0018386D">
        <w:t xml:space="preserve">Assumptions, </w:t>
      </w:r>
      <w:proofErr w:type="gramStart"/>
      <w:r w:rsidRPr="0018386D">
        <w:t>limitations</w:t>
      </w:r>
      <w:proofErr w:type="gramEnd"/>
      <w:r w:rsidRPr="0018386D">
        <w:t xml:space="preserve"> and uncertainties</w:t>
      </w:r>
      <w:bookmarkEnd w:id="758"/>
    </w:p>
    <w:p w14:paraId="26072BD4" w14:textId="53BC8FF9" w:rsidR="00A959E4" w:rsidRPr="0018386D" w:rsidRDefault="00A959E4" w:rsidP="00DD3106">
      <w:pPr>
        <w:pStyle w:val="BodyText"/>
      </w:pPr>
      <w:r w:rsidRPr="0018386D">
        <w:t>The data adopted from Water N</w:t>
      </w:r>
      <w:r w:rsidR="000446EC" w:rsidRPr="0018386D">
        <w:t xml:space="preserve">ew </w:t>
      </w:r>
      <w:r w:rsidRPr="0018386D">
        <w:t>Z</w:t>
      </w:r>
      <w:r w:rsidR="000446EC" w:rsidRPr="0018386D">
        <w:t>ealand</w:t>
      </w:r>
      <w:r w:rsidRPr="0018386D">
        <w:t xml:space="preserve"> do not account for emission</w:t>
      </w:r>
      <w:r w:rsidR="00D72EFE" w:rsidRPr="0018386D">
        <w:t>s</w:t>
      </w:r>
      <w:r w:rsidRPr="0018386D">
        <w:t xml:space="preserve"> outside those associated with</w:t>
      </w:r>
      <w:r w:rsidR="000D1DBE" w:rsidRPr="0018386D">
        <w:t> </w:t>
      </w:r>
      <w:r w:rsidRPr="0018386D">
        <w:t>the national electricity grid</w:t>
      </w:r>
      <w:r w:rsidR="00963D21" w:rsidRPr="0018386D">
        <w:t>,</w:t>
      </w:r>
      <w:r w:rsidRPr="0018386D">
        <w:t xml:space="preserve"> and therefore</w:t>
      </w:r>
      <w:r w:rsidR="007F6B63" w:rsidRPr="0018386D">
        <w:t>,</w:t>
      </w:r>
      <w:r w:rsidRPr="0018386D">
        <w:t xml:space="preserve"> </w:t>
      </w:r>
      <w:r w:rsidR="00D72EFE" w:rsidRPr="0018386D">
        <w:t>may</w:t>
      </w:r>
      <w:r w:rsidRPr="0018386D">
        <w:t xml:space="preserve"> underestimate the total </w:t>
      </w:r>
      <w:r w:rsidR="00D72EFE" w:rsidRPr="0018386D">
        <w:t>GHG</w:t>
      </w:r>
      <w:r w:rsidRPr="0018386D">
        <w:t xml:space="preserve"> emissions depending on the </w:t>
      </w:r>
      <w:r w:rsidR="00E971D5" w:rsidRPr="0018386D">
        <w:t xml:space="preserve">water supplier’s </w:t>
      </w:r>
      <w:r w:rsidRPr="0018386D">
        <w:t>facilities and processes.</w:t>
      </w:r>
    </w:p>
    <w:p w14:paraId="5F7B3692" w14:textId="3B1DE07B" w:rsidR="00A959E4" w:rsidRPr="0018386D" w:rsidRDefault="6906A4D8" w:rsidP="00DD3106">
      <w:pPr>
        <w:pStyle w:val="BodyText"/>
      </w:pPr>
      <w:r w:rsidRPr="0018386D">
        <w:t xml:space="preserve">The assumptions used for water supply per person are inherently uncertain and </w:t>
      </w:r>
      <w:r w:rsidR="725D27CF" w:rsidRPr="0018386D">
        <w:t xml:space="preserve">organisations </w:t>
      </w:r>
      <w:r w:rsidRPr="0018386D">
        <w:t>should only use</w:t>
      </w:r>
      <w:r w:rsidR="725D27CF" w:rsidRPr="0018386D">
        <w:t xml:space="preserve"> </w:t>
      </w:r>
      <w:r w:rsidR="4A37B069" w:rsidRPr="0018386D">
        <w:t xml:space="preserve">them </w:t>
      </w:r>
      <w:r w:rsidRPr="0018386D">
        <w:t>in the absence</w:t>
      </w:r>
      <w:r w:rsidRPr="0018386D">
        <w:rPr>
          <w:spacing w:val="2"/>
        </w:rPr>
        <w:t xml:space="preserve"> of water volume</w:t>
      </w:r>
      <w:r w:rsidR="725D27CF" w:rsidRPr="0018386D">
        <w:rPr>
          <w:spacing w:val="2"/>
        </w:rPr>
        <w:t xml:space="preserve"> data</w:t>
      </w:r>
      <w:r w:rsidRPr="0018386D">
        <w:rPr>
          <w:spacing w:val="2"/>
        </w:rPr>
        <w:t xml:space="preserve">. </w:t>
      </w:r>
      <w:r w:rsidR="06D54850" w:rsidRPr="0018386D">
        <w:rPr>
          <w:spacing w:val="2"/>
        </w:rPr>
        <w:t>They do</w:t>
      </w:r>
      <w:r w:rsidR="725D27CF" w:rsidRPr="0018386D">
        <w:rPr>
          <w:spacing w:val="2"/>
        </w:rPr>
        <w:t xml:space="preserve"> not account for f</w:t>
      </w:r>
      <w:r w:rsidRPr="0018386D">
        <w:rPr>
          <w:spacing w:val="2"/>
        </w:rPr>
        <w:t>actors such as</w:t>
      </w:r>
      <w:r w:rsidR="2A57A32C" w:rsidRPr="0018386D">
        <w:rPr>
          <w:spacing w:val="2"/>
        </w:rPr>
        <w:t>:</w:t>
      </w:r>
      <w:r w:rsidRPr="0018386D">
        <w:rPr>
          <w:spacing w:val="2"/>
        </w:rPr>
        <w:t xml:space="preserve"> seasonal use of water</w:t>
      </w:r>
      <w:r w:rsidR="2A57A32C" w:rsidRPr="0018386D">
        <w:t xml:space="preserve"> and</w:t>
      </w:r>
      <w:r w:rsidR="00B210B7" w:rsidRPr="0018386D">
        <w:rPr>
          <w:rFonts w:eastAsia="Calibri" w:cs="Calibri"/>
          <w:strike/>
          <w:color w:val="D13438"/>
        </w:rPr>
        <w:t xml:space="preserve"> </w:t>
      </w:r>
      <w:r w:rsidR="724BA4A3" w:rsidRPr="0018386D">
        <w:rPr>
          <w:rFonts w:eastAsia="Calibri" w:cs="Calibri"/>
          <w:color w:val="000000" w:themeColor="text1"/>
        </w:rPr>
        <w:t xml:space="preserve">water-intensive </w:t>
      </w:r>
      <w:r w:rsidR="724BA4A3" w:rsidRPr="0018386D">
        <w:rPr>
          <w:rFonts w:eastAsia="Calibri" w:cs="Calibri"/>
        </w:rPr>
        <w:t>activities (such as gardening, lifestyle choices and geography).</w:t>
      </w:r>
      <w:r w:rsidR="00344FD1" w:rsidRPr="0018386D">
        <w:rPr>
          <w:rFonts w:eastAsia="Calibri" w:cs="Calibri"/>
        </w:rPr>
        <w:t xml:space="preserve"> </w:t>
      </w:r>
      <w:r w:rsidR="724BA4A3" w:rsidRPr="0018386D">
        <w:rPr>
          <w:rFonts w:eastAsia="Calibri" w:cs="Calibri"/>
        </w:rPr>
        <w:t xml:space="preserve">Therefore, per person water supply reflects only an average of the water supply per person. Furthermore, the figure is based on a national average of water usage throughout the </w:t>
      </w:r>
      <w:proofErr w:type="gramStart"/>
      <w:r w:rsidR="724BA4A3" w:rsidRPr="0018386D">
        <w:rPr>
          <w:rFonts w:eastAsia="Calibri" w:cs="Calibri"/>
        </w:rPr>
        <w:t>year, and</w:t>
      </w:r>
      <w:proofErr w:type="gramEnd"/>
      <w:r w:rsidR="724BA4A3" w:rsidRPr="0018386D">
        <w:rPr>
          <w:rFonts w:eastAsia="Calibri" w:cs="Calibri"/>
        </w:rPr>
        <w:t xml:space="preserve"> may overestimate emissions from office use per capita. This is because employees do not spend all </w:t>
      </w:r>
      <w:r w:rsidR="724BA4A3" w:rsidRPr="0018386D">
        <w:rPr>
          <w:rFonts w:eastAsia="Calibri" w:cs="Calibri"/>
          <w:color w:val="000000" w:themeColor="text1"/>
        </w:rPr>
        <w:t>their time in the office, and it is likely that most of their water usage will be outside working hours.</w:t>
      </w:r>
    </w:p>
    <w:p w14:paraId="53AFDDD1" w14:textId="4E4EEF09" w:rsidR="00A959E4" w:rsidRPr="0018386D" w:rsidRDefault="00A959E4" w:rsidP="00DD3106">
      <w:pPr>
        <w:pStyle w:val="Heading2"/>
        <w:numPr>
          <w:ilvl w:val="1"/>
          <w:numId w:val="8"/>
        </w:numPr>
        <w:spacing w:before="240"/>
      </w:pPr>
      <w:bookmarkStart w:id="759" w:name="_Toc140048927"/>
      <w:bookmarkStart w:id="760" w:name="_Toc532904941"/>
      <w:bookmarkStart w:id="761" w:name="_Toc600596"/>
      <w:r w:rsidRPr="0018386D">
        <w:lastRenderedPageBreak/>
        <w:t>Wastewater treatment</w:t>
      </w:r>
      <w:bookmarkEnd w:id="759"/>
      <w:r w:rsidRPr="0018386D">
        <w:t xml:space="preserve"> </w:t>
      </w:r>
      <w:bookmarkEnd w:id="760"/>
      <w:bookmarkEnd w:id="761"/>
    </w:p>
    <w:p w14:paraId="4762DC9E" w14:textId="31612E76" w:rsidR="00A21C76" w:rsidRPr="0018386D" w:rsidRDefault="00FC0B90" w:rsidP="00DD3106">
      <w:pPr>
        <w:pStyle w:val="BodyText"/>
        <w:spacing w:before="100" w:after="100"/>
      </w:pPr>
      <w:bookmarkStart w:id="762" w:name="_Hlk532894375"/>
      <w:r w:rsidRPr="0018386D">
        <w:t>We recommend that users refer directly to the Water</w:t>
      </w:r>
      <w:r w:rsidR="00C952CE" w:rsidRPr="0018386D">
        <w:t xml:space="preserve"> </w:t>
      </w:r>
      <w:r w:rsidRPr="0018386D">
        <w:t>N</w:t>
      </w:r>
      <w:r w:rsidR="00C952CE" w:rsidRPr="0018386D">
        <w:t xml:space="preserve">ew </w:t>
      </w:r>
      <w:r w:rsidRPr="0018386D">
        <w:t>Z</w:t>
      </w:r>
      <w:r w:rsidR="00C952CE" w:rsidRPr="0018386D">
        <w:t>ealand</w:t>
      </w:r>
      <w:r w:rsidRPr="0018386D">
        <w:t>’s guidelines</w:t>
      </w:r>
      <w:r w:rsidR="004A0766" w:rsidRPr="0018386D">
        <w:rPr>
          <w:rStyle w:val="FootnoteReference"/>
          <w:rFonts w:eastAsia="Calibri" w:cs="Calibri"/>
        </w:rPr>
        <w:footnoteReference w:id="56"/>
      </w:r>
      <w:r w:rsidRPr="0018386D">
        <w:t xml:space="preserve"> for emission factors for specific types of wastewater treatment plants. </w:t>
      </w:r>
      <w:r w:rsidR="26673EE1" w:rsidRPr="0018386D">
        <w:t>Weighted average</w:t>
      </w:r>
      <w:r w:rsidR="00E36932" w:rsidRPr="0018386D">
        <w:t xml:space="preserve"> </w:t>
      </w:r>
      <w:r w:rsidR="00902347" w:rsidRPr="0018386D">
        <w:t xml:space="preserve">emission </w:t>
      </w:r>
      <w:r w:rsidR="00E36932" w:rsidRPr="0018386D">
        <w:t xml:space="preserve">factors </w:t>
      </w:r>
      <w:r w:rsidR="00902347" w:rsidRPr="0018386D">
        <w:t xml:space="preserve">for wastewater treatment </w:t>
      </w:r>
      <w:r w:rsidR="00E36932" w:rsidRPr="0018386D">
        <w:t>remain in the measuring emissions guide for general use.</w:t>
      </w:r>
    </w:p>
    <w:p w14:paraId="5466CF34" w14:textId="4E4EEF09" w:rsidR="00D72EFE" w:rsidRPr="0018386D" w:rsidRDefault="00D72EFE" w:rsidP="00DD3106">
      <w:pPr>
        <w:pStyle w:val="BodyText"/>
        <w:spacing w:before="100" w:after="100"/>
      </w:pPr>
      <w:r w:rsidRPr="0018386D">
        <w:t>We converted e</w:t>
      </w:r>
      <w:r w:rsidR="00F066FA" w:rsidRPr="0018386D">
        <w:t xml:space="preserve">nergy use (kWh) to GHG emissions and </w:t>
      </w:r>
      <w:r w:rsidRPr="0018386D">
        <w:t xml:space="preserve">added </w:t>
      </w:r>
      <w:r w:rsidR="00F066FA" w:rsidRPr="0018386D">
        <w:t xml:space="preserve">these to the treatment process emissions to give the total emissions from wastewater treatment in New </w:t>
      </w:r>
      <w:r w:rsidR="00191A66" w:rsidRPr="0018386D">
        <w:t>Zealand.</w:t>
      </w:r>
    </w:p>
    <w:bookmarkEnd w:id="762"/>
    <w:p w14:paraId="1CDD8BD8" w14:textId="53F51524" w:rsidR="00A959E4" w:rsidRPr="0018386D" w:rsidRDefault="00A959E4" w:rsidP="00DD3106">
      <w:pPr>
        <w:pStyle w:val="BodyText"/>
        <w:spacing w:before="100" w:after="100"/>
        <w:rPr>
          <w:color w:val="000000" w:themeColor="text1"/>
        </w:rPr>
      </w:pPr>
      <w:r w:rsidRPr="0018386D">
        <w:t>W</w:t>
      </w:r>
      <w:r w:rsidR="00D72EFE" w:rsidRPr="0018386D">
        <w:t>e provide w</w:t>
      </w:r>
      <w:r w:rsidRPr="0018386D">
        <w:t>astewater treatment emiss</w:t>
      </w:r>
      <w:r w:rsidRPr="0018386D">
        <w:rPr>
          <w:color w:val="000000" w:themeColor="text1"/>
        </w:rPr>
        <w:t>ion factors</w:t>
      </w:r>
      <w:r w:rsidR="003B5F6D" w:rsidRPr="0018386D">
        <w:rPr>
          <w:color w:val="000000" w:themeColor="text1"/>
        </w:rPr>
        <w:t xml:space="preserve"> in </w:t>
      </w:r>
      <w:hyperlink w:anchor="Table66" w:history="1">
        <w:r w:rsidR="002838DD" w:rsidRPr="0018386D">
          <w:rPr>
            <w:rStyle w:val="Hyperlink"/>
            <w:rFonts w:eastAsia="Calibri" w:cs="Calibri"/>
          </w:rPr>
          <w:t>table</w:t>
        </w:r>
        <w:r w:rsidR="008D6996" w:rsidRPr="0018386D">
          <w:rPr>
            <w:rStyle w:val="Hyperlink"/>
            <w:rFonts w:eastAsia="Calibri" w:cs="Calibri"/>
          </w:rPr>
          <w:t>s</w:t>
        </w:r>
        <w:r w:rsidR="002838DD" w:rsidRPr="0018386D">
          <w:rPr>
            <w:rStyle w:val="Hyperlink"/>
            <w:rFonts w:eastAsia="Calibri" w:cs="Calibri"/>
          </w:rPr>
          <w:t xml:space="preserve"> </w:t>
        </w:r>
        <w:r w:rsidR="00A76C4F" w:rsidRPr="0018386D">
          <w:rPr>
            <w:rStyle w:val="Hyperlink"/>
            <w:rFonts w:eastAsia="Calibri" w:cs="Calibri"/>
          </w:rPr>
          <w:t>66</w:t>
        </w:r>
      </w:hyperlink>
      <w:r w:rsidR="00A76C4F" w:rsidRPr="0018386D">
        <w:rPr>
          <w:color w:val="000000" w:themeColor="text1"/>
        </w:rPr>
        <w:t xml:space="preserve"> a</w:t>
      </w:r>
      <w:r w:rsidR="003B5F6D" w:rsidRPr="0018386D">
        <w:rPr>
          <w:color w:val="000000" w:themeColor="text1"/>
        </w:rPr>
        <w:t>nd</w:t>
      </w:r>
      <w:r w:rsidR="00267D8A" w:rsidRPr="0018386D">
        <w:rPr>
          <w:color w:val="000000" w:themeColor="text1"/>
        </w:rPr>
        <w:t xml:space="preserve"> </w:t>
      </w:r>
      <w:hyperlink w:anchor="Table67" w:history="1">
        <w:r w:rsidR="1D88D0CC" w:rsidRPr="0018386D">
          <w:rPr>
            <w:rStyle w:val="Hyperlink"/>
            <w:rFonts w:eastAsia="Calibri" w:cs="Calibri"/>
          </w:rPr>
          <w:t>67</w:t>
        </w:r>
      </w:hyperlink>
      <w:r w:rsidR="003B5F6D" w:rsidRPr="0018386D">
        <w:rPr>
          <w:color w:val="000000" w:themeColor="text1"/>
        </w:rPr>
        <w:t xml:space="preserve">. </w:t>
      </w:r>
      <w:bookmarkStart w:id="763" w:name="_Hlk532894475"/>
      <w:r w:rsidR="006A47D1" w:rsidRPr="0018386D">
        <w:rPr>
          <w:color w:val="000000" w:themeColor="text1"/>
        </w:rPr>
        <w:t>Some industries produce wastewater that is particularly high in biological oxygen demand (BOD)</w:t>
      </w:r>
      <w:bookmarkEnd w:id="763"/>
      <w:r w:rsidR="006A47D1" w:rsidRPr="0018386D">
        <w:rPr>
          <w:color w:val="000000" w:themeColor="text1"/>
        </w:rPr>
        <w:t xml:space="preserve">. For this reason, we developed industrial wastewater emission factors for the </w:t>
      </w:r>
      <w:bookmarkStart w:id="764" w:name="_Hlk532894491"/>
      <w:r w:rsidR="00A625ED" w:rsidRPr="0018386D">
        <w:rPr>
          <w:color w:val="000000" w:themeColor="text1"/>
        </w:rPr>
        <w:t>m</w:t>
      </w:r>
      <w:r w:rsidR="006A47D1" w:rsidRPr="0018386D">
        <w:rPr>
          <w:color w:val="000000" w:themeColor="text1"/>
        </w:rPr>
        <w:t xml:space="preserve">eat, </w:t>
      </w:r>
      <w:r w:rsidR="00A625ED" w:rsidRPr="0018386D">
        <w:rPr>
          <w:color w:val="000000" w:themeColor="text1"/>
        </w:rPr>
        <w:t>p</w:t>
      </w:r>
      <w:r w:rsidR="006A47D1" w:rsidRPr="0018386D">
        <w:rPr>
          <w:color w:val="000000" w:themeColor="text1"/>
        </w:rPr>
        <w:t xml:space="preserve">oultry, </w:t>
      </w:r>
      <w:r w:rsidR="00A625ED" w:rsidRPr="0018386D">
        <w:rPr>
          <w:color w:val="000000" w:themeColor="text1"/>
        </w:rPr>
        <w:t>p</w:t>
      </w:r>
      <w:r w:rsidR="006A47D1" w:rsidRPr="0018386D">
        <w:rPr>
          <w:color w:val="000000" w:themeColor="text1"/>
        </w:rPr>
        <w:t xml:space="preserve">ulp </w:t>
      </w:r>
      <w:r w:rsidR="00E971D5" w:rsidRPr="0018386D">
        <w:rPr>
          <w:color w:val="000000" w:themeColor="text1"/>
        </w:rPr>
        <w:t xml:space="preserve">and </w:t>
      </w:r>
      <w:r w:rsidR="00A625ED" w:rsidRPr="0018386D">
        <w:rPr>
          <w:color w:val="000000" w:themeColor="text1"/>
        </w:rPr>
        <w:t xml:space="preserve">paper, </w:t>
      </w:r>
      <w:proofErr w:type="gramStart"/>
      <w:r w:rsidR="00A625ED" w:rsidRPr="0018386D">
        <w:rPr>
          <w:color w:val="000000" w:themeColor="text1"/>
        </w:rPr>
        <w:t>w</w:t>
      </w:r>
      <w:r w:rsidR="006A47D1" w:rsidRPr="0018386D">
        <w:rPr>
          <w:color w:val="000000" w:themeColor="text1"/>
        </w:rPr>
        <w:t>ine</w:t>
      </w:r>
      <w:proofErr w:type="gramEnd"/>
      <w:r w:rsidR="006A47D1" w:rsidRPr="0018386D">
        <w:rPr>
          <w:color w:val="000000" w:themeColor="text1"/>
        </w:rPr>
        <w:t xml:space="preserve"> and </w:t>
      </w:r>
      <w:r w:rsidR="00A625ED" w:rsidRPr="0018386D">
        <w:rPr>
          <w:color w:val="000000" w:themeColor="text1"/>
        </w:rPr>
        <w:t>d</w:t>
      </w:r>
      <w:r w:rsidR="006A47D1" w:rsidRPr="0018386D">
        <w:rPr>
          <w:color w:val="000000" w:themeColor="text1"/>
        </w:rPr>
        <w:t xml:space="preserve">airy sectors. </w:t>
      </w:r>
      <w:bookmarkEnd w:id="764"/>
      <w:r w:rsidR="006A47D1" w:rsidRPr="0018386D">
        <w:rPr>
          <w:color w:val="000000" w:themeColor="text1"/>
        </w:rPr>
        <w:t>Manufacturing organisations in these sectors should use specific industrial wastewater factors. All other organisations should use the domestic wastewater factor</w:t>
      </w:r>
      <w:r w:rsidR="004C0D3A" w:rsidRPr="0018386D">
        <w:rPr>
          <w:color w:val="000000" w:themeColor="text1"/>
        </w:rPr>
        <w:t>s</w:t>
      </w:r>
      <w:r w:rsidR="006A47D1" w:rsidRPr="0018386D">
        <w:rPr>
          <w:color w:val="000000" w:themeColor="text1"/>
        </w:rPr>
        <w:t>.</w:t>
      </w:r>
      <w:r w:rsidR="00BD3421" w:rsidRPr="0018386D">
        <w:rPr>
          <w:color w:val="000000" w:themeColor="text1"/>
        </w:rPr>
        <w:t xml:space="preserve"> Where the do</w:t>
      </w:r>
      <w:r w:rsidR="00D562F1" w:rsidRPr="0018386D">
        <w:rPr>
          <w:color w:val="000000" w:themeColor="text1"/>
        </w:rPr>
        <w:t>mestic wastewater treatment type is unknown</w:t>
      </w:r>
      <w:r w:rsidR="00B5621E" w:rsidRPr="0018386D">
        <w:t xml:space="preserve">, </w:t>
      </w:r>
      <w:r w:rsidR="008E1CDF" w:rsidRPr="0018386D">
        <w:t>we</w:t>
      </w:r>
      <w:r w:rsidR="00B5621E" w:rsidRPr="0018386D">
        <w:t xml:space="preserve"> suggest</w:t>
      </w:r>
      <w:r w:rsidR="008E1CDF" w:rsidRPr="0018386D">
        <w:t xml:space="preserve"> using </w:t>
      </w:r>
      <w:r w:rsidR="00D562F1" w:rsidRPr="0018386D">
        <w:t xml:space="preserve">the </w:t>
      </w:r>
      <w:r w:rsidR="00E514B8" w:rsidRPr="0018386D">
        <w:t>a</w:t>
      </w:r>
      <w:r w:rsidR="00D562F1" w:rsidRPr="0018386D">
        <w:t>verage for wastewater treatment plants</w:t>
      </w:r>
      <w:r w:rsidR="00101157" w:rsidRPr="0018386D">
        <w:t xml:space="preserve"> (</w:t>
      </w:r>
      <w:r w:rsidR="008D6996" w:rsidRPr="0018386D">
        <w:t>see</w:t>
      </w:r>
      <w:r w:rsidR="00101157" w:rsidRPr="0018386D">
        <w:t xml:space="preserve"> </w:t>
      </w:r>
      <w:hyperlink w:anchor="Table66" w:history="1">
        <w:r w:rsidR="008D6996" w:rsidRPr="0018386D">
          <w:rPr>
            <w:rStyle w:val="Hyperlink"/>
            <w:rFonts w:eastAsia="Calibri" w:cs="Calibri"/>
          </w:rPr>
          <w:t>t</w:t>
        </w:r>
        <w:r w:rsidR="00101157" w:rsidRPr="0018386D">
          <w:rPr>
            <w:rStyle w:val="Hyperlink"/>
            <w:rFonts w:eastAsia="Calibri" w:cs="Calibri"/>
          </w:rPr>
          <w:t xml:space="preserve">able </w:t>
        </w:r>
        <w:r w:rsidR="106EA521" w:rsidRPr="0018386D">
          <w:rPr>
            <w:rStyle w:val="Hyperlink"/>
            <w:rFonts w:eastAsia="Calibri" w:cs="Calibri"/>
          </w:rPr>
          <w:t>66</w:t>
        </w:r>
      </w:hyperlink>
      <w:r w:rsidR="00101157" w:rsidRPr="0018386D">
        <w:t>).</w:t>
      </w:r>
    </w:p>
    <w:p w14:paraId="7A4AAD0A" w14:textId="0895D57D" w:rsidR="00A959E4" w:rsidRPr="0018386D" w:rsidRDefault="00EB4389" w:rsidP="00DD3106">
      <w:pPr>
        <w:pStyle w:val="Tableheading"/>
      </w:pPr>
      <w:bookmarkStart w:id="765" w:name="Table66"/>
      <w:bookmarkStart w:id="766" w:name="_Ref55207744"/>
      <w:bookmarkStart w:id="767" w:name="_Toc111536678"/>
      <w:bookmarkStart w:id="768" w:name="_Toc140049006"/>
      <w:r w:rsidRPr="0018386D">
        <w:t xml:space="preserve">Table </w:t>
      </w:r>
      <w:r w:rsidRPr="0018386D">
        <w:fldChar w:fldCharType="begin"/>
      </w:r>
      <w:r w:rsidRPr="0018386D">
        <w:instrText>SEQ Table \* ARABIC</w:instrText>
      </w:r>
      <w:r w:rsidRPr="0018386D">
        <w:fldChar w:fldCharType="separate"/>
      </w:r>
      <w:r w:rsidR="0085383F" w:rsidRPr="0018386D">
        <w:t>66</w:t>
      </w:r>
      <w:r w:rsidRPr="0018386D">
        <w:fldChar w:fldCharType="end"/>
      </w:r>
      <w:bookmarkEnd w:id="765"/>
      <w:r w:rsidRPr="0018386D">
        <w:t>:</w:t>
      </w:r>
      <w:r w:rsidRPr="0018386D">
        <w:tab/>
      </w:r>
      <w:r w:rsidR="00A959E4" w:rsidRPr="0018386D">
        <w:t>Domestic wastewater treatment emission factors</w:t>
      </w:r>
      <w:bookmarkEnd w:id="766"/>
      <w:bookmarkEnd w:id="767"/>
      <w:bookmarkEnd w:id="768"/>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903"/>
        <w:gridCol w:w="1249"/>
        <w:gridCol w:w="1249"/>
        <w:gridCol w:w="1368"/>
        <w:gridCol w:w="1368"/>
        <w:gridCol w:w="1368"/>
      </w:tblGrid>
      <w:tr w:rsidR="00431484" w:rsidRPr="0018386D" w14:paraId="690B9514" w14:textId="77777777" w:rsidTr="0007009C">
        <w:trPr>
          <w:divId w:val="18236916"/>
          <w:trHeight w:val="240"/>
        </w:trPr>
        <w:tc>
          <w:tcPr>
            <w:tcW w:w="1814" w:type="dxa"/>
            <w:tcBorders>
              <w:bottom w:val="single" w:sz="4" w:space="0" w:color="1B556B" w:themeColor="text2"/>
            </w:tcBorders>
            <w:shd w:val="clear" w:color="000000" w:fill="1C556C"/>
            <w:noWrap/>
            <w:vAlign w:val="bottom"/>
            <w:hideMark/>
          </w:tcPr>
          <w:p w14:paraId="2BDC5BC2" w14:textId="3C9FD0D7" w:rsidR="008E2ED2" w:rsidRPr="0018386D" w:rsidRDefault="008E2ED2" w:rsidP="00DD3106">
            <w:pPr>
              <w:pStyle w:val="TableTextbold"/>
              <w:spacing w:before="40" w:after="40"/>
              <w:rPr>
                <w:color w:val="FFFFFF" w:themeColor="background1"/>
                <w:lang w:bidi="th-TH"/>
              </w:rPr>
            </w:pPr>
            <w:bookmarkStart w:id="769" w:name="_1747051295"/>
            <w:bookmarkEnd w:id="769"/>
            <w:r w:rsidRPr="0018386D">
              <w:rPr>
                <w:color w:val="FFFFFF" w:themeColor="background1"/>
                <w:lang w:bidi="th-TH"/>
              </w:rPr>
              <w:t>Emission source</w:t>
            </w:r>
          </w:p>
        </w:tc>
        <w:tc>
          <w:tcPr>
            <w:tcW w:w="1191" w:type="dxa"/>
            <w:shd w:val="clear" w:color="000000" w:fill="1C556C"/>
            <w:noWrap/>
            <w:vAlign w:val="bottom"/>
            <w:hideMark/>
          </w:tcPr>
          <w:p w14:paraId="3FB8FA58" w14:textId="7777777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Unit</w:t>
            </w:r>
          </w:p>
        </w:tc>
        <w:tc>
          <w:tcPr>
            <w:tcW w:w="1191" w:type="dxa"/>
            <w:shd w:val="clear" w:color="000000" w:fill="1C556C"/>
            <w:noWrap/>
            <w:vAlign w:val="bottom"/>
            <w:hideMark/>
          </w:tcPr>
          <w:p w14:paraId="3668C5C8" w14:textId="0DAFC619"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kg CO₂-e/</w:t>
            </w:r>
            <w:r w:rsidR="0007009C" w:rsidRPr="0018386D">
              <w:rPr>
                <w:color w:val="FFFFFF" w:themeColor="background1"/>
                <w:lang w:bidi="th-TH"/>
              </w:rPr>
              <w:t xml:space="preserve"> </w:t>
            </w:r>
            <w:r w:rsidRPr="0018386D">
              <w:rPr>
                <w:color w:val="FFFFFF" w:themeColor="background1"/>
                <w:lang w:bidi="th-TH"/>
              </w:rPr>
              <w:t>unit</w:t>
            </w:r>
          </w:p>
        </w:tc>
        <w:tc>
          <w:tcPr>
            <w:tcW w:w="1304" w:type="dxa"/>
            <w:shd w:val="clear" w:color="000000" w:fill="1C556C"/>
            <w:noWrap/>
            <w:vAlign w:val="bottom"/>
            <w:hideMark/>
          </w:tcPr>
          <w:p w14:paraId="6C784BE4" w14:textId="2B4F55F5"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CO₂ (kg CO₂</w:t>
            </w:r>
            <w:r w:rsidRPr="0018386D">
              <w:rPr>
                <w:color w:val="FFFFFF" w:themeColor="background1"/>
                <w:lang w:bidi="th-TH"/>
              </w:rPr>
              <w:noBreakHyphen/>
              <w:t>e/</w:t>
            </w:r>
            <w:r w:rsidR="0007009C" w:rsidRPr="0018386D">
              <w:rPr>
                <w:color w:val="FFFFFF" w:themeColor="background1"/>
                <w:lang w:bidi="th-TH"/>
              </w:rPr>
              <w:t xml:space="preserve"> </w:t>
            </w:r>
            <w:r w:rsidRPr="0018386D">
              <w:rPr>
                <w:color w:val="FFFFFF" w:themeColor="background1"/>
                <w:lang w:bidi="th-TH"/>
              </w:rPr>
              <w:t>unit)</w:t>
            </w:r>
          </w:p>
        </w:tc>
        <w:tc>
          <w:tcPr>
            <w:tcW w:w="1304" w:type="dxa"/>
            <w:shd w:val="clear" w:color="000000" w:fill="1C556C"/>
            <w:noWrap/>
            <w:vAlign w:val="bottom"/>
            <w:hideMark/>
          </w:tcPr>
          <w:p w14:paraId="5E04598B" w14:textId="1DA161EC"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CH₄ (kg CO₂-e/</w:t>
            </w:r>
            <w:r w:rsidR="0007009C" w:rsidRPr="0018386D">
              <w:rPr>
                <w:color w:val="FFFFFF" w:themeColor="background1"/>
                <w:lang w:bidi="th-TH"/>
              </w:rPr>
              <w:t xml:space="preserve"> </w:t>
            </w:r>
            <w:r w:rsidRPr="0018386D">
              <w:rPr>
                <w:color w:val="FFFFFF" w:themeColor="background1"/>
                <w:lang w:bidi="th-TH"/>
              </w:rPr>
              <w:t>unit)</w:t>
            </w:r>
          </w:p>
        </w:tc>
        <w:tc>
          <w:tcPr>
            <w:tcW w:w="1304" w:type="dxa"/>
            <w:shd w:val="clear" w:color="000000" w:fill="1C556C"/>
            <w:noWrap/>
            <w:vAlign w:val="bottom"/>
            <w:hideMark/>
          </w:tcPr>
          <w:p w14:paraId="67EC231A" w14:textId="5336689F"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N₂O (kg CO₂-e/</w:t>
            </w:r>
            <w:r w:rsidR="0007009C" w:rsidRPr="0018386D">
              <w:rPr>
                <w:color w:val="FFFFFF" w:themeColor="background1"/>
                <w:lang w:bidi="th-TH"/>
              </w:rPr>
              <w:t xml:space="preserve"> </w:t>
            </w:r>
            <w:r w:rsidRPr="0018386D">
              <w:rPr>
                <w:color w:val="FFFFFF" w:themeColor="background1"/>
                <w:lang w:bidi="th-TH"/>
              </w:rPr>
              <w:t>unit)</w:t>
            </w:r>
          </w:p>
        </w:tc>
      </w:tr>
      <w:tr w:rsidR="0007009C" w:rsidRPr="0018386D" w14:paraId="5C5857FE" w14:textId="77777777" w:rsidTr="0007009C">
        <w:trPr>
          <w:divId w:val="18236916"/>
          <w:trHeight w:val="240"/>
        </w:trPr>
        <w:tc>
          <w:tcPr>
            <w:tcW w:w="1814" w:type="dxa"/>
            <w:tcBorders>
              <w:bottom w:val="nil"/>
            </w:tcBorders>
            <w:shd w:val="clear" w:color="000000" w:fill="FFFFFF"/>
            <w:noWrap/>
            <w:hideMark/>
          </w:tcPr>
          <w:p w14:paraId="7C630B09" w14:textId="77777777" w:rsidR="008E2ED2" w:rsidRPr="0018386D" w:rsidRDefault="008E2ED2" w:rsidP="00DD3106">
            <w:pPr>
              <w:pStyle w:val="TableText"/>
              <w:spacing w:before="40" w:after="40"/>
              <w:rPr>
                <w:lang w:bidi="th-TH"/>
              </w:rPr>
            </w:pPr>
            <w:r w:rsidRPr="0018386D">
              <w:rPr>
                <w:lang w:bidi="th-TH"/>
              </w:rPr>
              <w:t>Average for wastewater treatment plants</w:t>
            </w:r>
          </w:p>
        </w:tc>
        <w:tc>
          <w:tcPr>
            <w:tcW w:w="1191" w:type="dxa"/>
            <w:shd w:val="clear" w:color="000000" w:fill="FFFFFF"/>
            <w:noWrap/>
            <w:hideMark/>
          </w:tcPr>
          <w:p w14:paraId="7EAB5240" w14:textId="77777777" w:rsidR="008E2ED2" w:rsidRPr="0018386D" w:rsidRDefault="008E2ED2" w:rsidP="00DD3106">
            <w:pPr>
              <w:pStyle w:val="TableText"/>
              <w:spacing w:before="40" w:after="40"/>
              <w:rPr>
                <w:lang w:bidi="th-TH"/>
              </w:rPr>
            </w:pPr>
            <w:r w:rsidRPr="0018386D">
              <w:rPr>
                <w:lang w:bidi="th-TH"/>
              </w:rPr>
              <w:t>m</w:t>
            </w:r>
            <w:r w:rsidRPr="0018386D">
              <w:rPr>
                <w:vertAlign w:val="superscript"/>
                <w:lang w:bidi="th-TH"/>
              </w:rPr>
              <w:t>3</w:t>
            </w:r>
            <w:r w:rsidRPr="0018386D">
              <w:rPr>
                <w:lang w:bidi="th-TH"/>
              </w:rPr>
              <w:t xml:space="preserve"> of water supplied</w:t>
            </w:r>
          </w:p>
        </w:tc>
        <w:tc>
          <w:tcPr>
            <w:tcW w:w="1191" w:type="dxa"/>
            <w:shd w:val="clear" w:color="000000" w:fill="D2DDE1"/>
            <w:noWrap/>
            <w:hideMark/>
          </w:tcPr>
          <w:p w14:paraId="0D7F565E" w14:textId="4464C2A8" w:rsidR="008E2ED2" w:rsidRPr="0018386D" w:rsidRDefault="008E2ED2" w:rsidP="00DD3106">
            <w:pPr>
              <w:pStyle w:val="TableText"/>
              <w:spacing w:before="40" w:after="40"/>
              <w:rPr>
                <w:lang w:bidi="th-TH"/>
              </w:rPr>
            </w:pPr>
            <w:r w:rsidRPr="0018386D">
              <w:rPr>
                <w:lang w:bidi="th-TH"/>
              </w:rPr>
              <w:t>0.508</w:t>
            </w:r>
          </w:p>
        </w:tc>
        <w:tc>
          <w:tcPr>
            <w:tcW w:w="1304" w:type="dxa"/>
            <w:shd w:val="clear" w:color="000000" w:fill="FFFFFF"/>
            <w:noWrap/>
            <w:hideMark/>
          </w:tcPr>
          <w:p w14:paraId="69210407" w14:textId="688C715C" w:rsidR="008E2ED2" w:rsidRPr="0018386D" w:rsidRDefault="008E2ED2" w:rsidP="00DD3106">
            <w:pPr>
              <w:pStyle w:val="TableText"/>
              <w:spacing w:before="40" w:after="40"/>
              <w:rPr>
                <w:lang w:bidi="th-TH"/>
              </w:rPr>
            </w:pPr>
            <w:r w:rsidRPr="0018386D">
              <w:rPr>
                <w:lang w:bidi="th-TH"/>
              </w:rPr>
              <w:t>0.0618</w:t>
            </w:r>
          </w:p>
        </w:tc>
        <w:tc>
          <w:tcPr>
            <w:tcW w:w="1304" w:type="dxa"/>
            <w:shd w:val="clear" w:color="000000" w:fill="FFFFFF"/>
            <w:noWrap/>
            <w:hideMark/>
          </w:tcPr>
          <w:p w14:paraId="32A45D01" w14:textId="6EE5B774" w:rsidR="008E2ED2" w:rsidRPr="0018386D" w:rsidRDefault="008E2ED2" w:rsidP="00DD3106">
            <w:pPr>
              <w:pStyle w:val="TableText"/>
              <w:spacing w:before="40" w:after="40"/>
              <w:rPr>
                <w:lang w:bidi="th-TH"/>
              </w:rPr>
            </w:pPr>
            <w:r w:rsidRPr="0018386D">
              <w:rPr>
                <w:lang w:bidi="th-TH"/>
              </w:rPr>
              <w:t>0.198</w:t>
            </w:r>
          </w:p>
        </w:tc>
        <w:tc>
          <w:tcPr>
            <w:tcW w:w="1304" w:type="dxa"/>
            <w:shd w:val="clear" w:color="000000" w:fill="FFFFFF"/>
            <w:noWrap/>
            <w:hideMark/>
          </w:tcPr>
          <w:p w14:paraId="6690CEBF" w14:textId="7DBBBF98" w:rsidR="008E2ED2" w:rsidRPr="0018386D" w:rsidRDefault="008E2ED2" w:rsidP="00DD3106">
            <w:pPr>
              <w:pStyle w:val="TableText"/>
              <w:spacing w:before="40" w:after="40"/>
              <w:rPr>
                <w:lang w:bidi="th-TH"/>
              </w:rPr>
            </w:pPr>
            <w:r w:rsidRPr="0018386D">
              <w:rPr>
                <w:lang w:bidi="th-TH"/>
              </w:rPr>
              <w:t>0.248</w:t>
            </w:r>
          </w:p>
        </w:tc>
      </w:tr>
      <w:tr w:rsidR="0007009C" w:rsidRPr="0018386D" w14:paraId="62CB9B2A" w14:textId="77777777" w:rsidTr="0007009C">
        <w:trPr>
          <w:divId w:val="18236916"/>
          <w:trHeight w:val="240"/>
        </w:trPr>
        <w:tc>
          <w:tcPr>
            <w:tcW w:w="1814" w:type="dxa"/>
            <w:tcBorders>
              <w:top w:val="nil"/>
            </w:tcBorders>
            <w:shd w:val="clear" w:color="000000" w:fill="FFFFFF"/>
            <w:noWrap/>
            <w:hideMark/>
          </w:tcPr>
          <w:p w14:paraId="4434869C" w14:textId="07882994" w:rsidR="008E2ED2" w:rsidRPr="0018386D" w:rsidRDefault="008E2ED2" w:rsidP="00DD3106">
            <w:pPr>
              <w:pStyle w:val="TableText"/>
              <w:spacing w:before="40" w:after="40"/>
              <w:rPr>
                <w:lang w:bidi="th-TH"/>
              </w:rPr>
            </w:pPr>
          </w:p>
        </w:tc>
        <w:tc>
          <w:tcPr>
            <w:tcW w:w="1191" w:type="dxa"/>
            <w:shd w:val="clear" w:color="000000" w:fill="FFFFFF"/>
            <w:noWrap/>
            <w:hideMark/>
          </w:tcPr>
          <w:p w14:paraId="2E1CF89F" w14:textId="77777777" w:rsidR="008E2ED2" w:rsidRPr="0018386D" w:rsidRDefault="008E2ED2" w:rsidP="00DD3106">
            <w:pPr>
              <w:pStyle w:val="TableText"/>
              <w:spacing w:before="40" w:after="40"/>
              <w:rPr>
                <w:lang w:bidi="th-TH"/>
              </w:rPr>
            </w:pPr>
            <w:r w:rsidRPr="0018386D">
              <w:rPr>
                <w:lang w:bidi="th-TH"/>
              </w:rPr>
              <w:t>per capita</w:t>
            </w:r>
          </w:p>
        </w:tc>
        <w:tc>
          <w:tcPr>
            <w:tcW w:w="1191" w:type="dxa"/>
            <w:shd w:val="clear" w:color="000000" w:fill="D2DDE1"/>
            <w:noWrap/>
            <w:hideMark/>
          </w:tcPr>
          <w:p w14:paraId="287ABF75" w14:textId="26B21E22" w:rsidR="008E2ED2" w:rsidRPr="0018386D" w:rsidRDefault="008E2ED2" w:rsidP="00DD3106">
            <w:pPr>
              <w:pStyle w:val="TableText"/>
              <w:spacing w:before="40" w:after="40"/>
              <w:rPr>
                <w:lang w:bidi="th-TH"/>
              </w:rPr>
            </w:pPr>
            <w:r w:rsidRPr="0018386D">
              <w:rPr>
                <w:lang w:bidi="th-TH"/>
              </w:rPr>
              <w:t>48.5</w:t>
            </w:r>
          </w:p>
        </w:tc>
        <w:tc>
          <w:tcPr>
            <w:tcW w:w="1304" w:type="dxa"/>
            <w:shd w:val="clear" w:color="000000" w:fill="FFFFFF"/>
            <w:noWrap/>
            <w:hideMark/>
          </w:tcPr>
          <w:p w14:paraId="080FC13A" w14:textId="1A3AD831" w:rsidR="008E2ED2" w:rsidRPr="0018386D" w:rsidRDefault="008E2ED2" w:rsidP="00DD3106">
            <w:pPr>
              <w:pStyle w:val="TableText"/>
              <w:spacing w:before="40" w:after="40"/>
              <w:rPr>
                <w:lang w:bidi="th-TH"/>
              </w:rPr>
            </w:pPr>
            <w:r w:rsidRPr="0018386D">
              <w:rPr>
                <w:lang w:bidi="th-TH"/>
              </w:rPr>
              <w:t>5.90</w:t>
            </w:r>
          </w:p>
        </w:tc>
        <w:tc>
          <w:tcPr>
            <w:tcW w:w="1304" w:type="dxa"/>
            <w:shd w:val="clear" w:color="000000" w:fill="FFFFFF"/>
            <w:noWrap/>
            <w:hideMark/>
          </w:tcPr>
          <w:p w14:paraId="5F7479C0" w14:textId="21337859" w:rsidR="008E2ED2" w:rsidRPr="0018386D" w:rsidRDefault="008E2ED2" w:rsidP="00DD3106">
            <w:pPr>
              <w:pStyle w:val="TableText"/>
              <w:spacing w:before="40" w:after="40"/>
              <w:rPr>
                <w:lang w:bidi="th-TH"/>
              </w:rPr>
            </w:pPr>
            <w:r w:rsidRPr="0018386D">
              <w:rPr>
                <w:lang w:bidi="th-TH"/>
              </w:rPr>
              <w:t>18.9</w:t>
            </w:r>
          </w:p>
        </w:tc>
        <w:tc>
          <w:tcPr>
            <w:tcW w:w="1304" w:type="dxa"/>
            <w:shd w:val="clear" w:color="000000" w:fill="FFFFFF"/>
            <w:noWrap/>
            <w:hideMark/>
          </w:tcPr>
          <w:p w14:paraId="126FB6FC" w14:textId="6DFA85B3" w:rsidR="008E2ED2" w:rsidRPr="0018386D" w:rsidRDefault="008E2ED2" w:rsidP="00DD3106">
            <w:pPr>
              <w:pStyle w:val="TableText"/>
              <w:spacing w:before="40" w:after="40"/>
              <w:rPr>
                <w:lang w:bidi="th-TH"/>
              </w:rPr>
            </w:pPr>
            <w:r w:rsidRPr="0018386D">
              <w:rPr>
                <w:lang w:bidi="th-TH"/>
              </w:rPr>
              <w:t>23.7</w:t>
            </w:r>
          </w:p>
        </w:tc>
      </w:tr>
      <w:tr w:rsidR="0007009C" w:rsidRPr="0018386D" w14:paraId="39EC0E7C" w14:textId="77777777" w:rsidTr="0007009C">
        <w:trPr>
          <w:divId w:val="18236916"/>
          <w:trHeight w:val="240"/>
        </w:trPr>
        <w:tc>
          <w:tcPr>
            <w:tcW w:w="1814" w:type="dxa"/>
            <w:shd w:val="clear" w:color="000000" w:fill="FFFFFF"/>
            <w:noWrap/>
            <w:hideMark/>
          </w:tcPr>
          <w:p w14:paraId="380C8E3F" w14:textId="77777777" w:rsidR="008E2ED2" w:rsidRPr="0018386D" w:rsidRDefault="008E2ED2" w:rsidP="00DD3106">
            <w:pPr>
              <w:pStyle w:val="TableText"/>
              <w:spacing w:before="40" w:after="40"/>
              <w:rPr>
                <w:lang w:bidi="th-TH"/>
              </w:rPr>
            </w:pPr>
            <w:r w:rsidRPr="0018386D">
              <w:rPr>
                <w:lang w:bidi="th-TH"/>
              </w:rPr>
              <w:t>Septic tanks</w:t>
            </w:r>
          </w:p>
        </w:tc>
        <w:tc>
          <w:tcPr>
            <w:tcW w:w="1191" w:type="dxa"/>
            <w:shd w:val="clear" w:color="000000" w:fill="FFFFFF"/>
            <w:noWrap/>
            <w:hideMark/>
          </w:tcPr>
          <w:p w14:paraId="54B9E79E" w14:textId="77777777" w:rsidR="008E2ED2" w:rsidRPr="0018386D" w:rsidRDefault="008E2ED2" w:rsidP="00DD3106">
            <w:pPr>
              <w:pStyle w:val="TableText"/>
              <w:spacing w:before="40" w:after="40"/>
              <w:rPr>
                <w:lang w:bidi="th-TH"/>
              </w:rPr>
            </w:pPr>
            <w:r w:rsidRPr="0018386D">
              <w:rPr>
                <w:lang w:bidi="th-TH"/>
              </w:rPr>
              <w:t>per capita</w:t>
            </w:r>
          </w:p>
        </w:tc>
        <w:tc>
          <w:tcPr>
            <w:tcW w:w="1191" w:type="dxa"/>
            <w:shd w:val="clear" w:color="000000" w:fill="D2DDE1"/>
            <w:noWrap/>
            <w:hideMark/>
          </w:tcPr>
          <w:p w14:paraId="7AF78557" w14:textId="3EE8165E" w:rsidR="008E2ED2" w:rsidRPr="0018386D" w:rsidRDefault="008E2ED2" w:rsidP="00DD3106">
            <w:pPr>
              <w:pStyle w:val="TableText"/>
              <w:spacing w:before="40" w:after="40"/>
              <w:rPr>
                <w:lang w:bidi="th-TH"/>
              </w:rPr>
            </w:pPr>
            <w:r w:rsidRPr="0018386D">
              <w:rPr>
                <w:lang w:bidi="th-TH"/>
              </w:rPr>
              <w:t>190</w:t>
            </w:r>
          </w:p>
        </w:tc>
        <w:tc>
          <w:tcPr>
            <w:tcW w:w="1304" w:type="dxa"/>
            <w:shd w:val="clear" w:color="000000" w:fill="FFFFFF"/>
            <w:noWrap/>
            <w:hideMark/>
          </w:tcPr>
          <w:p w14:paraId="04C35EDC" w14:textId="77777777" w:rsidR="008E2ED2" w:rsidRPr="0018386D" w:rsidRDefault="008E2ED2" w:rsidP="00DD3106">
            <w:pPr>
              <w:pStyle w:val="TableText"/>
              <w:spacing w:before="40" w:after="40"/>
            </w:pPr>
            <w:r w:rsidRPr="0018386D">
              <w:t>n/a</w:t>
            </w:r>
          </w:p>
        </w:tc>
        <w:tc>
          <w:tcPr>
            <w:tcW w:w="1304" w:type="dxa"/>
            <w:shd w:val="clear" w:color="000000" w:fill="FFFFFF"/>
            <w:noWrap/>
            <w:hideMark/>
          </w:tcPr>
          <w:p w14:paraId="561AC1F6" w14:textId="1B00C82B" w:rsidR="008E2ED2" w:rsidRPr="0018386D" w:rsidRDefault="008E2ED2" w:rsidP="00DD3106">
            <w:pPr>
              <w:pStyle w:val="TableText"/>
              <w:spacing w:before="40" w:after="40"/>
              <w:rPr>
                <w:lang w:bidi="th-TH"/>
              </w:rPr>
            </w:pPr>
            <w:r w:rsidRPr="0018386D">
              <w:rPr>
                <w:lang w:bidi="th-TH"/>
              </w:rPr>
              <w:t>168</w:t>
            </w:r>
          </w:p>
        </w:tc>
        <w:tc>
          <w:tcPr>
            <w:tcW w:w="1304" w:type="dxa"/>
            <w:shd w:val="clear" w:color="000000" w:fill="FFFFFF"/>
            <w:noWrap/>
            <w:hideMark/>
          </w:tcPr>
          <w:p w14:paraId="5B8FE25E" w14:textId="080BE707" w:rsidR="008E2ED2" w:rsidRPr="0018386D" w:rsidRDefault="008E2ED2" w:rsidP="00DD3106">
            <w:pPr>
              <w:pStyle w:val="TableText"/>
              <w:spacing w:before="40" w:after="40"/>
              <w:rPr>
                <w:lang w:bidi="th-TH"/>
              </w:rPr>
            </w:pPr>
            <w:r w:rsidRPr="0018386D">
              <w:rPr>
                <w:lang w:bidi="th-TH"/>
              </w:rPr>
              <w:t>22.5</w:t>
            </w:r>
          </w:p>
        </w:tc>
      </w:tr>
    </w:tbl>
    <w:p w14:paraId="2BD087F9" w14:textId="5BD58A39" w:rsidR="00A959E4" w:rsidRPr="0018386D" w:rsidRDefault="00EB4389" w:rsidP="00DD3106">
      <w:pPr>
        <w:pStyle w:val="Tableheading"/>
        <w:spacing w:before="240"/>
      </w:pPr>
      <w:bookmarkStart w:id="770" w:name="Table67"/>
      <w:bookmarkStart w:id="771" w:name="_Toc111536679"/>
      <w:bookmarkStart w:id="772" w:name="_Toc140049007"/>
      <w:r w:rsidRPr="0018386D">
        <w:t xml:space="preserve">Table </w:t>
      </w:r>
      <w:r w:rsidRPr="0018386D">
        <w:fldChar w:fldCharType="begin"/>
      </w:r>
      <w:r w:rsidRPr="0018386D">
        <w:instrText>SEQ Table \* ARABIC</w:instrText>
      </w:r>
      <w:r w:rsidRPr="0018386D">
        <w:fldChar w:fldCharType="separate"/>
      </w:r>
      <w:r w:rsidR="0085383F" w:rsidRPr="0018386D">
        <w:t>67</w:t>
      </w:r>
      <w:r w:rsidRPr="0018386D">
        <w:fldChar w:fldCharType="end"/>
      </w:r>
      <w:bookmarkEnd w:id="770"/>
      <w:r w:rsidRPr="0018386D">
        <w:t>:</w:t>
      </w:r>
      <w:r w:rsidRPr="0018386D">
        <w:tab/>
      </w:r>
      <w:r w:rsidR="00A959E4" w:rsidRPr="0018386D">
        <w:t>Industrial wastewater treatment emission factors</w:t>
      </w:r>
      <w:bookmarkEnd w:id="771"/>
      <w:bookmarkEnd w:id="772"/>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608"/>
        <w:gridCol w:w="1609"/>
        <w:gridCol w:w="1173"/>
        <w:gridCol w:w="1370"/>
        <w:gridCol w:w="1370"/>
        <w:gridCol w:w="1370"/>
      </w:tblGrid>
      <w:tr w:rsidR="006E327D" w:rsidRPr="0018386D" w14:paraId="4029AAC0" w14:textId="77777777" w:rsidTr="00CF70E3">
        <w:trPr>
          <w:divId w:val="1607538272"/>
          <w:trHeight w:val="240"/>
        </w:trPr>
        <w:tc>
          <w:tcPr>
            <w:tcW w:w="1531" w:type="dxa"/>
            <w:shd w:val="clear" w:color="000000" w:fill="1B556B" w:themeFill="text2"/>
            <w:noWrap/>
            <w:vAlign w:val="bottom"/>
            <w:hideMark/>
          </w:tcPr>
          <w:p w14:paraId="6A32E062" w14:textId="304FB69E" w:rsidR="008E2ED2" w:rsidRPr="0018386D" w:rsidRDefault="008E2ED2" w:rsidP="00DD3106">
            <w:pPr>
              <w:pStyle w:val="TableTextbold"/>
              <w:spacing w:before="40" w:after="40"/>
              <w:rPr>
                <w:color w:val="FFFFFF" w:themeColor="background1"/>
              </w:rPr>
            </w:pPr>
            <w:bookmarkStart w:id="773" w:name="_1746366905"/>
            <w:bookmarkStart w:id="774" w:name="_1745997865"/>
            <w:bookmarkStart w:id="775" w:name="_1746254104"/>
            <w:bookmarkStart w:id="776" w:name="_1747051297"/>
            <w:bookmarkEnd w:id="773"/>
            <w:bookmarkEnd w:id="774"/>
            <w:bookmarkEnd w:id="775"/>
            <w:bookmarkEnd w:id="776"/>
            <w:r w:rsidRPr="0018386D">
              <w:rPr>
                <w:color w:val="FFFFFF" w:themeColor="background1"/>
              </w:rPr>
              <w:t>Emission source</w:t>
            </w:r>
          </w:p>
        </w:tc>
        <w:tc>
          <w:tcPr>
            <w:tcW w:w="1531" w:type="dxa"/>
            <w:shd w:val="clear" w:color="000000" w:fill="1C556C"/>
            <w:noWrap/>
            <w:vAlign w:val="bottom"/>
            <w:hideMark/>
          </w:tcPr>
          <w:p w14:paraId="3CD70491"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116" w:type="dxa"/>
            <w:shd w:val="clear" w:color="000000" w:fill="1C556C"/>
            <w:noWrap/>
            <w:vAlign w:val="bottom"/>
            <w:hideMark/>
          </w:tcPr>
          <w:p w14:paraId="1FD6F6E9" w14:textId="65E23CF9"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304" w:type="dxa"/>
            <w:shd w:val="clear" w:color="000000" w:fill="1C556C"/>
            <w:noWrap/>
            <w:vAlign w:val="bottom"/>
            <w:hideMark/>
          </w:tcPr>
          <w:p w14:paraId="14CB0005" w14:textId="6683AC25" w:rsidR="008E2ED2" w:rsidRPr="0018386D" w:rsidRDefault="008E2ED2" w:rsidP="00DD3106">
            <w:pPr>
              <w:pStyle w:val="TableTextbold"/>
              <w:spacing w:before="40" w:after="40"/>
              <w:rPr>
                <w:color w:val="FFFFFF" w:themeColor="background1"/>
              </w:rPr>
            </w:pPr>
            <w:r w:rsidRPr="0018386D">
              <w:rPr>
                <w:color w:val="FFFFFF" w:themeColor="background1"/>
              </w:rPr>
              <w:t>CO₂ (kg CO₂</w:t>
            </w:r>
            <w:r w:rsidRPr="0018386D">
              <w:rPr>
                <w:color w:val="FFFFFF" w:themeColor="background1"/>
              </w:rPr>
              <w:noBreakHyphen/>
              <w:t>e/</w:t>
            </w:r>
            <w:r w:rsidR="00E14111" w:rsidRPr="0018386D">
              <w:rPr>
                <w:color w:val="FFFFFF" w:themeColor="background1"/>
              </w:rPr>
              <w:t xml:space="preserve"> </w:t>
            </w:r>
            <w:r w:rsidRPr="0018386D">
              <w:rPr>
                <w:color w:val="FFFFFF" w:themeColor="background1"/>
              </w:rPr>
              <w:t>unit)</w:t>
            </w:r>
          </w:p>
        </w:tc>
        <w:tc>
          <w:tcPr>
            <w:tcW w:w="1304" w:type="dxa"/>
            <w:shd w:val="clear" w:color="000000" w:fill="1C556C"/>
            <w:noWrap/>
            <w:vAlign w:val="bottom"/>
            <w:hideMark/>
          </w:tcPr>
          <w:p w14:paraId="4ACC7C35" w14:textId="646FE433" w:rsidR="008E2ED2" w:rsidRPr="0018386D" w:rsidRDefault="008E2ED2" w:rsidP="00DD3106">
            <w:pPr>
              <w:pStyle w:val="TableTextbold"/>
              <w:spacing w:before="40" w:after="40"/>
              <w:rPr>
                <w:color w:val="FFFFFF" w:themeColor="background1"/>
              </w:rPr>
            </w:pPr>
            <w:r w:rsidRPr="0018386D">
              <w:rPr>
                <w:color w:val="FFFFFF" w:themeColor="background1"/>
              </w:rPr>
              <w:t>CH₄ (kg CO₂-e/</w:t>
            </w:r>
            <w:r w:rsidR="00E14111" w:rsidRPr="0018386D">
              <w:rPr>
                <w:color w:val="FFFFFF" w:themeColor="background1"/>
              </w:rPr>
              <w:t xml:space="preserve"> </w:t>
            </w:r>
            <w:r w:rsidRPr="0018386D">
              <w:rPr>
                <w:color w:val="FFFFFF" w:themeColor="background1"/>
              </w:rPr>
              <w:t>unit)</w:t>
            </w:r>
          </w:p>
        </w:tc>
        <w:tc>
          <w:tcPr>
            <w:tcW w:w="1304" w:type="dxa"/>
            <w:shd w:val="clear" w:color="000000" w:fill="1C556C"/>
            <w:noWrap/>
            <w:vAlign w:val="bottom"/>
            <w:hideMark/>
          </w:tcPr>
          <w:p w14:paraId="21C5E688" w14:textId="339273C9" w:rsidR="008E2ED2" w:rsidRPr="0018386D" w:rsidRDefault="008E2ED2" w:rsidP="00DD3106">
            <w:pPr>
              <w:pStyle w:val="TableTextbold"/>
              <w:spacing w:before="40" w:after="40"/>
              <w:rPr>
                <w:color w:val="FFFFFF" w:themeColor="background1"/>
              </w:rPr>
            </w:pPr>
            <w:r w:rsidRPr="0018386D">
              <w:rPr>
                <w:color w:val="FFFFFF" w:themeColor="background1"/>
              </w:rPr>
              <w:t>N₂O (kg CO₂-e/</w:t>
            </w:r>
            <w:r w:rsidR="00E14111" w:rsidRPr="0018386D">
              <w:rPr>
                <w:color w:val="FFFFFF" w:themeColor="background1"/>
              </w:rPr>
              <w:t xml:space="preserve"> </w:t>
            </w:r>
            <w:r w:rsidRPr="0018386D">
              <w:rPr>
                <w:color w:val="FFFFFF" w:themeColor="background1"/>
              </w:rPr>
              <w:t>unit)</w:t>
            </w:r>
          </w:p>
        </w:tc>
      </w:tr>
      <w:tr w:rsidR="00E14111" w:rsidRPr="0018386D" w14:paraId="630F14BD" w14:textId="77777777" w:rsidTr="00CF70E3">
        <w:trPr>
          <w:divId w:val="1607538272"/>
          <w:trHeight w:val="240"/>
        </w:trPr>
        <w:tc>
          <w:tcPr>
            <w:tcW w:w="1531" w:type="dxa"/>
            <w:shd w:val="clear" w:color="000000" w:fill="FFFFFF"/>
            <w:noWrap/>
            <w:hideMark/>
          </w:tcPr>
          <w:p w14:paraId="19885C32" w14:textId="54327366" w:rsidR="008E2ED2" w:rsidRPr="0018386D" w:rsidRDefault="008E2ED2" w:rsidP="00DD3106">
            <w:pPr>
              <w:pStyle w:val="TableText"/>
              <w:spacing w:before="40" w:after="40"/>
            </w:pPr>
            <w:r w:rsidRPr="0018386D">
              <w:t>Meat (excl</w:t>
            </w:r>
            <w:r w:rsidR="00000285" w:rsidRPr="0018386D">
              <w:t>.</w:t>
            </w:r>
            <w:r w:rsidRPr="0018386D">
              <w:t xml:space="preserve"> poultry)</w:t>
            </w:r>
          </w:p>
        </w:tc>
        <w:tc>
          <w:tcPr>
            <w:tcW w:w="1531" w:type="dxa"/>
            <w:shd w:val="clear" w:color="000000" w:fill="FFFFFF"/>
            <w:noWrap/>
            <w:hideMark/>
          </w:tcPr>
          <w:p w14:paraId="1F45B8D7" w14:textId="77777777" w:rsidR="008E2ED2" w:rsidRPr="0018386D" w:rsidRDefault="008E2ED2" w:rsidP="00DD3106">
            <w:pPr>
              <w:pStyle w:val="TableText"/>
              <w:spacing w:before="40" w:after="40"/>
            </w:pPr>
            <w:r w:rsidRPr="0018386D">
              <w:t>tonne of kills</w:t>
            </w:r>
          </w:p>
        </w:tc>
        <w:tc>
          <w:tcPr>
            <w:tcW w:w="1116" w:type="dxa"/>
            <w:shd w:val="clear" w:color="000000" w:fill="D2DDE1"/>
            <w:noWrap/>
            <w:hideMark/>
          </w:tcPr>
          <w:p w14:paraId="50D0DF4E" w14:textId="7D09E59E" w:rsidR="008E2ED2" w:rsidRPr="0018386D" w:rsidRDefault="008E2ED2" w:rsidP="00DD3106">
            <w:pPr>
              <w:pStyle w:val="TableText"/>
              <w:spacing w:before="40" w:after="40"/>
            </w:pPr>
            <w:r w:rsidRPr="0018386D">
              <w:t>52.6</w:t>
            </w:r>
          </w:p>
        </w:tc>
        <w:tc>
          <w:tcPr>
            <w:tcW w:w="1304" w:type="dxa"/>
            <w:shd w:val="clear" w:color="000000" w:fill="FFFFFF"/>
            <w:noWrap/>
            <w:hideMark/>
          </w:tcPr>
          <w:p w14:paraId="78138CF2" w14:textId="77777777" w:rsidR="008E2ED2" w:rsidRPr="0018386D" w:rsidRDefault="008E2ED2" w:rsidP="00DD3106">
            <w:pPr>
              <w:pStyle w:val="TableText"/>
              <w:spacing w:before="40" w:after="40"/>
            </w:pPr>
            <w:r w:rsidRPr="0018386D">
              <w:t>n/a</w:t>
            </w:r>
          </w:p>
        </w:tc>
        <w:tc>
          <w:tcPr>
            <w:tcW w:w="1304" w:type="dxa"/>
            <w:shd w:val="clear" w:color="000000" w:fill="FFFFFF"/>
            <w:noWrap/>
            <w:hideMark/>
          </w:tcPr>
          <w:p w14:paraId="21132969" w14:textId="7FBAEA83" w:rsidR="008E2ED2" w:rsidRPr="0018386D" w:rsidRDefault="008E2ED2" w:rsidP="00DD3106">
            <w:pPr>
              <w:pStyle w:val="TableText"/>
              <w:spacing w:before="40" w:after="40"/>
            </w:pPr>
            <w:r w:rsidRPr="0018386D">
              <w:t>50.0</w:t>
            </w:r>
          </w:p>
        </w:tc>
        <w:tc>
          <w:tcPr>
            <w:tcW w:w="1304" w:type="dxa"/>
            <w:shd w:val="clear" w:color="000000" w:fill="FFFFFF"/>
            <w:noWrap/>
            <w:hideMark/>
          </w:tcPr>
          <w:p w14:paraId="7728609B" w14:textId="40C39734" w:rsidR="008E2ED2" w:rsidRPr="0018386D" w:rsidRDefault="008E2ED2" w:rsidP="00DD3106">
            <w:pPr>
              <w:pStyle w:val="TableText"/>
              <w:spacing w:before="40" w:after="40"/>
            </w:pPr>
            <w:r w:rsidRPr="0018386D">
              <w:t>2.53</w:t>
            </w:r>
          </w:p>
        </w:tc>
      </w:tr>
      <w:tr w:rsidR="00E14111" w:rsidRPr="0018386D" w14:paraId="33E3DE59" w14:textId="77777777" w:rsidTr="00CF70E3">
        <w:trPr>
          <w:divId w:val="1607538272"/>
          <w:trHeight w:val="240"/>
        </w:trPr>
        <w:tc>
          <w:tcPr>
            <w:tcW w:w="1531" w:type="dxa"/>
            <w:shd w:val="clear" w:color="000000" w:fill="FFFFFF"/>
            <w:noWrap/>
            <w:hideMark/>
          </w:tcPr>
          <w:p w14:paraId="549B8F5E" w14:textId="77777777" w:rsidR="008E2ED2" w:rsidRPr="0018386D" w:rsidRDefault="008E2ED2" w:rsidP="00DD3106">
            <w:pPr>
              <w:pStyle w:val="TableText"/>
              <w:spacing w:before="40" w:after="40"/>
            </w:pPr>
            <w:r w:rsidRPr="0018386D">
              <w:t>Poultry</w:t>
            </w:r>
          </w:p>
        </w:tc>
        <w:tc>
          <w:tcPr>
            <w:tcW w:w="1531" w:type="dxa"/>
            <w:shd w:val="clear" w:color="000000" w:fill="FFFFFF"/>
            <w:noWrap/>
            <w:hideMark/>
          </w:tcPr>
          <w:p w14:paraId="6ED7FAE3" w14:textId="77777777" w:rsidR="008E2ED2" w:rsidRPr="0018386D" w:rsidRDefault="008E2ED2" w:rsidP="00DD3106">
            <w:pPr>
              <w:pStyle w:val="TableText"/>
              <w:spacing w:before="40" w:after="40"/>
            </w:pPr>
            <w:r w:rsidRPr="0018386D">
              <w:t>tonne of kills</w:t>
            </w:r>
          </w:p>
        </w:tc>
        <w:tc>
          <w:tcPr>
            <w:tcW w:w="1116" w:type="dxa"/>
            <w:shd w:val="clear" w:color="000000" w:fill="D2DDE1"/>
            <w:noWrap/>
            <w:hideMark/>
          </w:tcPr>
          <w:p w14:paraId="6EC0CC53" w14:textId="2A8C8A39" w:rsidR="008E2ED2" w:rsidRPr="0018386D" w:rsidRDefault="008E2ED2" w:rsidP="00DD3106">
            <w:pPr>
              <w:pStyle w:val="TableText"/>
              <w:spacing w:before="40" w:after="40"/>
            </w:pPr>
            <w:r w:rsidRPr="0018386D">
              <w:t>51.7</w:t>
            </w:r>
          </w:p>
        </w:tc>
        <w:tc>
          <w:tcPr>
            <w:tcW w:w="1304" w:type="dxa"/>
            <w:shd w:val="clear" w:color="000000" w:fill="FFFFFF"/>
            <w:noWrap/>
            <w:hideMark/>
          </w:tcPr>
          <w:p w14:paraId="756B81B6" w14:textId="77777777" w:rsidR="008E2ED2" w:rsidRPr="0018386D" w:rsidRDefault="008E2ED2" w:rsidP="00DD3106">
            <w:pPr>
              <w:pStyle w:val="TableText"/>
              <w:spacing w:before="40" w:after="40"/>
            </w:pPr>
            <w:r w:rsidRPr="0018386D">
              <w:t>n/a</w:t>
            </w:r>
          </w:p>
        </w:tc>
        <w:tc>
          <w:tcPr>
            <w:tcW w:w="1304" w:type="dxa"/>
            <w:shd w:val="clear" w:color="000000" w:fill="FFFFFF"/>
            <w:noWrap/>
            <w:hideMark/>
          </w:tcPr>
          <w:p w14:paraId="385C232C" w14:textId="6C9F687F" w:rsidR="008E2ED2" w:rsidRPr="0018386D" w:rsidRDefault="008E2ED2" w:rsidP="00DD3106">
            <w:pPr>
              <w:pStyle w:val="TableText"/>
              <w:spacing w:before="40" w:after="40"/>
            </w:pPr>
            <w:r w:rsidRPr="0018386D">
              <w:t>48.1</w:t>
            </w:r>
          </w:p>
        </w:tc>
        <w:tc>
          <w:tcPr>
            <w:tcW w:w="1304" w:type="dxa"/>
            <w:shd w:val="clear" w:color="000000" w:fill="FFFFFF"/>
            <w:noWrap/>
            <w:hideMark/>
          </w:tcPr>
          <w:p w14:paraId="41BE12CB" w14:textId="3A78CE64" w:rsidR="008E2ED2" w:rsidRPr="0018386D" w:rsidRDefault="008E2ED2" w:rsidP="00DD3106">
            <w:pPr>
              <w:pStyle w:val="TableText"/>
              <w:spacing w:before="40" w:after="40"/>
            </w:pPr>
            <w:r w:rsidRPr="0018386D">
              <w:t>3.61</w:t>
            </w:r>
          </w:p>
        </w:tc>
      </w:tr>
      <w:tr w:rsidR="00E14111" w:rsidRPr="0018386D" w14:paraId="6E524AA7" w14:textId="77777777" w:rsidTr="00CF70E3">
        <w:trPr>
          <w:divId w:val="1607538272"/>
          <w:trHeight w:val="240"/>
        </w:trPr>
        <w:tc>
          <w:tcPr>
            <w:tcW w:w="1531" w:type="dxa"/>
            <w:shd w:val="clear" w:color="000000" w:fill="FFFFFF"/>
            <w:noWrap/>
            <w:hideMark/>
          </w:tcPr>
          <w:p w14:paraId="47D5C5B0" w14:textId="4792AEB7" w:rsidR="008E2ED2" w:rsidRPr="0018386D" w:rsidRDefault="008E2ED2" w:rsidP="00DD3106">
            <w:pPr>
              <w:pStyle w:val="TableText"/>
              <w:spacing w:before="40" w:after="40"/>
            </w:pPr>
            <w:r w:rsidRPr="0018386D">
              <w:t>Pulp &amp; paper</w:t>
            </w:r>
          </w:p>
        </w:tc>
        <w:tc>
          <w:tcPr>
            <w:tcW w:w="1531" w:type="dxa"/>
            <w:shd w:val="clear" w:color="000000" w:fill="FFFFFF"/>
            <w:noWrap/>
            <w:hideMark/>
          </w:tcPr>
          <w:p w14:paraId="6F0DC41B" w14:textId="77777777" w:rsidR="008E2ED2" w:rsidRPr="0018386D" w:rsidRDefault="008E2ED2" w:rsidP="00DD3106">
            <w:pPr>
              <w:pStyle w:val="TableText"/>
              <w:spacing w:before="40" w:after="40"/>
            </w:pPr>
            <w:r w:rsidRPr="0018386D">
              <w:t>tonne of product</w:t>
            </w:r>
          </w:p>
        </w:tc>
        <w:tc>
          <w:tcPr>
            <w:tcW w:w="1116" w:type="dxa"/>
            <w:shd w:val="clear" w:color="000000" w:fill="D2DDE1"/>
            <w:noWrap/>
            <w:hideMark/>
          </w:tcPr>
          <w:p w14:paraId="7E293179" w14:textId="61457AE5" w:rsidR="008E2ED2" w:rsidRPr="0018386D" w:rsidRDefault="008E2ED2" w:rsidP="00DD3106">
            <w:pPr>
              <w:pStyle w:val="TableText"/>
              <w:spacing w:before="40" w:after="40"/>
            </w:pPr>
            <w:r w:rsidRPr="0018386D">
              <w:t>11.8</w:t>
            </w:r>
          </w:p>
        </w:tc>
        <w:tc>
          <w:tcPr>
            <w:tcW w:w="1304" w:type="dxa"/>
            <w:shd w:val="clear" w:color="000000" w:fill="FFFFFF"/>
            <w:noWrap/>
            <w:hideMark/>
          </w:tcPr>
          <w:p w14:paraId="0D5BDDEE" w14:textId="77777777" w:rsidR="008E2ED2" w:rsidRPr="0018386D" w:rsidRDefault="008E2ED2" w:rsidP="00DD3106">
            <w:pPr>
              <w:pStyle w:val="TableText"/>
              <w:spacing w:before="40" w:after="40"/>
            </w:pPr>
            <w:r w:rsidRPr="0018386D">
              <w:t>n/a</w:t>
            </w:r>
          </w:p>
        </w:tc>
        <w:tc>
          <w:tcPr>
            <w:tcW w:w="1304" w:type="dxa"/>
            <w:shd w:val="clear" w:color="000000" w:fill="FFFFFF"/>
            <w:noWrap/>
            <w:hideMark/>
          </w:tcPr>
          <w:p w14:paraId="185DA764" w14:textId="418889EB" w:rsidR="008E2ED2" w:rsidRPr="0018386D" w:rsidRDefault="008E2ED2" w:rsidP="00DD3106">
            <w:pPr>
              <w:pStyle w:val="TableText"/>
              <w:spacing w:before="40" w:after="40"/>
            </w:pPr>
            <w:r w:rsidRPr="0018386D">
              <w:t>11.8</w:t>
            </w:r>
          </w:p>
        </w:tc>
        <w:tc>
          <w:tcPr>
            <w:tcW w:w="1304" w:type="dxa"/>
            <w:shd w:val="clear" w:color="000000" w:fill="FFFFFF"/>
            <w:noWrap/>
            <w:hideMark/>
          </w:tcPr>
          <w:p w14:paraId="5BEB5615" w14:textId="77777777" w:rsidR="008E2ED2" w:rsidRPr="0018386D" w:rsidRDefault="008E2ED2" w:rsidP="00DD3106">
            <w:pPr>
              <w:pStyle w:val="TableText"/>
              <w:spacing w:before="40" w:after="40"/>
            </w:pPr>
            <w:r w:rsidRPr="0018386D">
              <w:t>n/a</w:t>
            </w:r>
          </w:p>
        </w:tc>
      </w:tr>
      <w:tr w:rsidR="00E14111" w:rsidRPr="0018386D" w14:paraId="673AA89A" w14:textId="77777777" w:rsidTr="00CF70E3">
        <w:trPr>
          <w:divId w:val="1607538272"/>
          <w:trHeight w:val="240"/>
        </w:trPr>
        <w:tc>
          <w:tcPr>
            <w:tcW w:w="1531" w:type="dxa"/>
            <w:shd w:val="clear" w:color="000000" w:fill="FFFFFF"/>
            <w:noWrap/>
            <w:hideMark/>
          </w:tcPr>
          <w:p w14:paraId="6606DF81" w14:textId="77777777" w:rsidR="008E2ED2" w:rsidRPr="0018386D" w:rsidRDefault="008E2ED2" w:rsidP="00DD3106">
            <w:pPr>
              <w:pStyle w:val="TableText"/>
              <w:spacing w:before="40" w:after="40"/>
            </w:pPr>
            <w:r w:rsidRPr="0018386D">
              <w:t>Wine</w:t>
            </w:r>
          </w:p>
        </w:tc>
        <w:tc>
          <w:tcPr>
            <w:tcW w:w="1531" w:type="dxa"/>
            <w:shd w:val="clear" w:color="000000" w:fill="FFFFFF"/>
            <w:noWrap/>
            <w:hideMark/>
          </w:tcPr>
          <w:p w14:paraId="30B93500" w14:textId="77777777" w:rsidR="008E2ED2" w:rsidRPr="0018386D" w:rsidRDefault="008E2ED2" w:rsidP="00DD3106">
            <w:pPr>
              <w:pStyle w:val="TableText"/>
              <w:spacing w:before="40" w:after="40"/>
            </w:pPr>
            <w:r w:rsidRPr="0018386D">
              <w:t>tonne of crushed grapes</w:t>
            </w:r>
          </w:p>
        </w:tc>
        <w:tc>
          <w:tcPr>
            <w:tcW w:w="1116" w:type="dxa"/>
            <w:shd w:val="clear" w:color="000000" w:fill="D2DDE1"/>
            <w:noWrap/>
            <w:hideMark/>
          </w:tcPr>
          <w:p w14:paraId="4C33125F" w14:textId="2E1FD756" w:rsidR="008E2ED2" w:rsidRPr="0018386D" w:rsidRDefault="008E2ED2" w:rsidP="00DD3106">
            <w:pPr>
              <w:pStyle w:val="TableText"/>
              <w:spacing w:before="40" w:after="40"/>
            </w:pPr>
            <w:r w:rsidRPr="0018386D">
              <w:t>5.79</w:t>
            </w:r>
          </w:p>
        </w:tc>
        <w:tc>
          <w:tcPr>
            <w:tcW w:w="1304" w:type="dxa"/>
            <w:shd w:val="clear" w:color="000000" w:fill="FFFFFF"/>
            <w:noWrap/>
            <w:hideMark/>
          </w:tcPr>
          <w:p w14:paraId="5E54AA64" w14:textId="77777777" w:rsidR="008E2ED2" w:rsidRPr="0018386D" w:rsidRDefault="008E2ED2" w:rsidP="00DD3106">
            <w:pPr>
              <w:pStyle w:val="TableText"/>
              <w:spacing w:before="40" w:after="40"/>
            </w:pPr>
            <w:r w:rsidRPr="0018386D">
              <w:t>n/a</w:t>
            </w:r>
          </w:p>
        </w:tc>
        <w:tc>
          <w:tcPr>
            <w:tcW w:w="1304" w:type="dxa"/>
            <w:shd w:val="clear" w:color="000000" w:fill="FFFFFF"/>
            <w:noWrap/>
            <w:hideMark/>
          </w:tcPr>
          <w:p w14:paraId="71199D09" w14:textId="1694C55A" w:rsidR="008E2ED2" w:rsidRPr="0018386D" w:rsidRDefault="008E2ED2" w:rsidP="00DD3106">
            <w:pPr>
              <w:pStyle w:val="TableText"/>
              <w:spacing w:before="40" w:after="40"/>
            </w:pPr>
            <w:r w:rsidRPr="0018386D">
              <w:t>5.79</w:t>
            </w:r>
          </w:p>
        </w:tc>
        <w:tc>
          <w:tcPr>
            <w:tcW w:w="1304" w:type="dxa"/>
            <w:shd w:val="clear" w:color="000000" w:fill="FFFFFF"/>
            <w:noWrap/>
            <w:hideMark/>
          </w:tcPr>
          <w:p w14:paraId="7EAA52E2" w14:textId="77777777" w:rsidR="008E2ED2" w:rsidRPr="0018386D" w:rsidRDefault="008E2ED2" w:rsidP="00DD3106">
            <w:pPr>
              <w:pStyle w:val="TableText"/>
              <w:spacing w:before="40" w:after="40"/>
            </w:pPr>
            <w:r w:rsidRPr="0018386D">
              <w:t>n/a</w:t>
            </w:r>
          </w:p>
        </w:tc>
      </w:tr>
      <w:tr w:rsidR="00E14111" w:rsidRPr="0018386D" w14:paraId="68AC0CCB" w14:textId="77777777" w:rsidTr="00CF70E3">
        <w:trPr>
          <w:divId w:val="1607538272"/>
          <w:trHeight w:val="240"/>
        </w:trPr>
        <w:tc>
          <w:tcPr>
            <w:tcW w:w="1531" w:type="dxa"/>
            <w:shd w:val="clear" w:color="000000" w:fill="FFFFFF"/>
            <w:noWrap/>
            <w:hideMark/>
          </w:tcPr>
          <w:p w14:paraId="50630991" w14:textId="77777777" w:rsidR="008E2ED2" w:rsidRPr="0018386D" w:rsidRDefault="008E2ED2" w:rsidP="00DD3106">
            <w:pPr>
              <w:pStyle w:val="TableText"/>
              <w:spacing w:before="40" w:after="40"/>
            </w:pPr>
            <w:r w:rsidRPr="0018386D">
              <w:t>Dairy processing</w:t>
            </w:r>
          </w:p>
        </w:tc>
        <w:tc>
          <w:tcPr>
            <w:tcW w:w="1531" w:type="dxa"/>
            <w:shd w:val="clear" w:color="000000" w:fill="FFFFFF"/>
            <w:noWrap/>
            <w:hideMark/>
          </w:tcPr>
          <w:p w14:paraId="0272CF8E" w14:textId="77777777" w:rsidR="008E2ED2" w:rsidRPr="0018386D" w:rsidRDefault="008E2ED2" w:rsidP="00DD3106">
            <w:pPr>
              <w:pStyle w:val="TableText"/>
              <w:spacing w:before="40" w:after="40"/>
            </w:pPr>
            <w:r w:rsidRPr="0018386D">
              <w:t>m</w:t>
            </w:r>
            <w:r w:rsidRPr="0018386D">
              <w:rPr>
                <w:vertAlign w:val="superscript"/>
              </w:rPr>
              <w:t>3</w:t>
            </w:r>
            <w:r w:rsidRPr="0018386D">
              <w:t xml:space="preserve"> of milk</w:t>
            </w:r>
          </w:p>
        </w:tc>
        <w:tc>
          <w:tcPr>
            <w:tcW w:w="1116" w:type="dxa"/>
            <w:shd w:val="clear" w:color="000000" w:fill="D2DDE1"/>
            <w:noWrap/>
            <w:hideMark/>
          </w:tcPr>
          <w:p w14:paraId="09911FD4" w14:textId="6463CFA1" w:rsidR="008E2ED2" w:rsidRPr="0018386D" w:rsidRDefault="008E2ED2" w:rsidP="00DD3106">
            <w:pPr>
              <w:pStyle w:val="TableText"/>
              <w:spacing w:before="40" w:after="40"/>
            </w:pPr>
            <w:r w:rsidRPr="0018386D">
              <w:t>0.102</w:t>
            </w:r>
          </w:p>
        </w:tc>
        <w:tc>
          <w:tcPr>
            <w:tcW w:w="1304" w:type="dxa"/>
            <w:shd w:val="clear" w:color="000000" w:fill="FFFFFF"/>
            <w:noWrap/>
            <w:hideMark/>
          </w:tcPr>
          <w:p w14:paraId="1F7EC610" w14:textId="77777777" w:rsidR="008E2ED2" w:rsidRPr="0018386D" w:rsidRDefault="008E2ED2" w:rsidP="00DD3106">
            <w:pPr>
              <w:pStyle w:val="TableText"/>
              <w:spacing w:before="40" w:after="40"/>
            </w:pPr>
            <w:r w:rsidRPr="0018386D">
              <w:t>n/a</w:t>
            </w:r>
          </w:p>
        </w:tc>
        <w:tc>
          <w:tcPr>
            <w:tcW w:w="1304" w:type="dxa"/>
            <w:shd w:val="clear" w:color="000000" w:fill="FFFFFF"/>
            <w:noWrap/>
            <w:hideMark/>
          </w:tcPr>
          <w:p w14:paraId="5D810734" w14:textId="77777777" w:rsidR="008E2ED2" w:rsidRPr="0018386D" w:rsidRDefault="008E2ED2" w:rsidP="00DD3106">
            <w:pPr>
              <w:pStyle w:val="TableText"/>
              <w:spacing w:before="40" w:after="40"/>
            </w:pPr>
            <w:r w:rsidRPr="0018386D">
              <w:t>n/a</w:t>
            </w:r>
          </w:p>
        </w:tc>
        <w:tc>
          <w:tcPr>
            <w:tcW w:w="1304" w:type="dxa"/>
            <w:shd w:val="clear" w:color="000000" w:fill="FFFFFF"/>
            <w:noWrap/>
            <w:hideMark/>
          </w:tcPr>
          <w:p w14:paraId="39FE37B6" w14:textId="64214DB2" w:rsidR="008E2ED2" w:rsidRPr="0018386D" w:rsidRDefault="008E2ED2" w:rsidP="00DD3106">
            <w:pPr>
              <w:pStyle w:val="TableText"/>
              <w:spacing w:before="40" w:after="40"/>
            </w:pPr>
            <w:r w:rsidRPr="0018386D">
              <w:t>0.102</w:t>
            </w:r>
          </w:p>
        </w:tc>
      </w:tr>
    </w:tbl>
    <w:p w14:paraId="3A9D5D80" w14:textId="4E4EEF09" w:rsidR="00A959E4" w:rsidRPr="0018386D" w:rsidRDefault="00301928" w:rsidP="00DD3106">
      <w:pPr>
        <w:pStyle w:val="Heading3"/>
        <w:numPr>
          <w:ilvl w:val="2"/>
          <w:numId w:val="8"/>
        </w:numPr>
        <w:spacing w:before="440"/>
      </w:pPr>
      <w:bookmarkStart w:id="777" w:name="_Toc532904942"/>
      <w:r w:rsidRPr="0018386D">
        <w:t xml:space="preserve">GHG </w:t>
      </w:r>
      <w:r w:rsidR="00A959E4" w:rsidRPr="0018386D">
        <w:t>inventory development</w:t>
      </w:r>
      <w:bookmarkEnd w:id="777"/>
    </w:p>
    <w:p w14:paraId="3C132252" w14:textId="0F7DD2D5" w:rsidR="53DCDB5F" w:rsidRPr="0018386D" w:rsidRDefault="53DCDB5F" w:rsidP="00DD3106">
      <w:pPr>
        <w:pStyle w:val="BodyText"/>
      </w:pPr>
      <w:r w:rsidRPr="0018386D">
        <w:t>Domestic water u</w:t>
      </w:r>
      <w:r w:rsidR="776A75E7" w:rsidRPr="0018386D">
        <w:t>sers should collect data on m</w:t>
      </w:r>
      <w:r w:rsidR="776A75E7" w:rsidRPr="0018386D">
        <w:rPr>
          <w:vertAlign w:val="superscript"/>
        </w:rPr>
        <w:t>3</w:t>
      </w:r>
      <w:r w:rsidR="776A75E7" w:rsidRPr="0018386D">
        <w:t xml:space="preserve"> of water sent to treatment</w:t>
      </w:r>
      <w:r w:rsidR="60607052" w:rsidRPr="0018386D">
        <w:t>.</w:t>
      </w:r>
      <w:r w:rsidR="776A75E7" w:rsidRPr="0018386D">
        <w:t xml:space="preserve"> </w:t>
      </w:r>
      <w:r w:rsidR="17807B9F" w:rsidRPr="0018386D">
        <w:t>If metered water data is not available,</w:t>
      </w:r>
      <w:r w:rsidR="00344FD1" w:rsidRPr="0018386D">
        <w:t xml:space="preserve"> </w:t>
      </w:r>
      <w:r w:rsidR="7267747A" w:rsidRPr="0018386D">
        <w:rPr>
          <w:color w:val="000000" w:themeColor="text1"/>
        </w:rPr>
        <w:t xml:space="preserve">the per capita emission </w:t>
      </w:r>
      <w:r w:rsidR="7267747A" w:rsidRPr="0018386D">
        <w:t>factor can be applied instead</w:t>
      </w:r>
      <w:r w:rsidR="7267747A" w:rsidRPr="0018386D">
        <w:rPr>
          <w:color w:val="000000" w:themeColor="text1"/>
        </w:rPr>
        <w:t>. Industrial organisations can calculate the emissions using appropriate activity data and the correlating emission factors.</w:t>
      </w:r>
    </w:p>
    <w:p w14:paraId="7CA95DD4" w14:textId="7EDA04E5" w:rsidR="00F20545" w:rsidRPr="0018386D" w:rsidRDefault="00F20545" w:rsidP="00DD3106">
      <w:pPr>
        <w:pStyle w:val="BodyText"/>
        <w:keepNext/>
        <w:spacing w:before="100" w:after="80"/>
      </w:pPr>
      <w:r w:rsidRPr="0018386D">
        <w:t xml:space="preserve">Applying the equation </w:t>
      </w:r>
      <w:r w:rsidR="00E71782" w:rsidRPr="0018386D">
        <w:t>E</w:t>
      </w:r>
      <w:r w:rsidR="00504B00" w:rsidRPr="0018386D">
        <w:t xml:space="preserve"> </w:t>
      </w:r>
      <w:r w:rsidR="00E71782" w:rsidRPr="0018386D">
        <w:t>= Q x F</w:t>
      </w:r>
      <w:r w:rsidR="00A87CF5" w:rsidRPr="0018386D">
        <w:t xml:space="preserve"> </w:t>
      </w:r>
      <w:r w:rsidR="00E71782" w:rsidRPr="0018386D">
        <w:t>(</w:t>
      </w:r>
      <w:hyperlink w:anchor="_How_to_quantify" w:history="1">
        <w:r w:rsidR="009F094B" w:rsidRPr="0018386D">
          <w:rPr>
            <w:rStyle w:val="Hyperlink"/>
          </w:rPr>
          <w:t>section 2</w:t>
        </w:r>
      </w:hyperlink>
      <w:r w:rsidR="00E71782" w:rsidRPr="0018386D">
        <w:rPr>
          <w:rStyle w:val="Hyperlink"/>
          <w:color w:val="auto"/>
        </w:rPr>
        <w:t>)</w:t>
      </w:r>
      <w:r w:rsidRPr="0018386D">
        <w:t>, this means:</w:t>
      </w:r>
    </w:p>
    <w:p w14:paraId="697A09E3" w14:textId="14089B48" w:rsidR="00E71782" w:rsidRPr="0018386D" w:rsidRDefault="00E71782" w:rsidP="00DD3106">
      <w:pPr>
        <w:pStyle w:val="BodyText"/>
        <w:keepN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4335F31C" w14:textId="1C5AFBC9" w:rsidR="00A959E4" w:rsidRPr="0018386D" w:rsidRDefault="0020582D" w:rsidP="00DD3106">
      <w:pPr>
        <w:pStyle w:val="BodyText"/>
        <w:keepNext/>
        <w:tabs>
          <w:tab w:val="left" w:pos="680"/>
          <w:tab w:val="left" w:pos="1134"/>
        </w:tabs>
        <w:contextualSpacing/>
      </w:pPr>
      <w:r w:rsidRPr="0018386D">
        <w:t>Q</w:t>
      </w:r>
      <w:r w:rsidRPr="0018386D">
        <w:tab/>
      </w:r>
      <w:r w:rsidR="00A959E4" w:rsidRPr="0018386D">
        <w:t>=</w:t>
      </w:r>
      <w:r w:rsidRPr="0018386D">
        <w:tab/>
      </w:r>
      <w:r w:rsidR="00A959E4" w:rsidRPr="0018386D">
        <w:t>quantity of water treated (m</w:t>
      </w:r>
      <w:r w:rsidR="00A959E4" w:rsidRPr="0018386D">
        <w:rPr>
          <w:vertAlign w:val="superscript"/>
        </w:rPr>
        <w:t>3</w:t>
      </w:r>
      <w:r w:rsidR="00A959E4" w:rsidRPr="0018386D">
        <w:t>) or persons using water facilities (per capita)</w:t>
      </w:r>
    </w:p>
    <w:p w14:paraId="07BC581C" w14:textId="5966114D" w:rsidR="00A959E4" w:rsidRPr="0018386D" w:rsidRDefault="0020582D" w:rsidP="00DD3106">
      <w:pPr>
        <w:pStyle w:val="BodyText"/>
        <w:tabs>
          <w:tab w:val="left" w:pos="680"/>
          <w:tab w:val="left" w:pos="1134"/>
        </w:tabs>
        <w:spacing w:after="240"/>
        <w:contextualSpacing/>
      </w:pPr>
      <w:r w:rsidRPr="0018386D">
        <w:t>F</w:t>
      </w:r>
      <w:r w:rsidRPr="0018386D">
        <w:tab/>
        <w:t>=</w:t>
      </w:r>
      <w:r w:rsidRPr="0018386D">
        <w:tab/>
      </w:r>
      <w:r w:rsidR="00A959E4" w:rsidRPr="0018386D">
        <w:t xml:space="preserve">appropriate emission factors from </w:t>
      </w:r>
      <w:hyperlink w:anchor="Table66" w:history="1">
        <w:r w:rsidR="00A55754" w:rsidRPr="0018386D">
          <w:rPr>
            <w:rStyle w:val="Hyperlink"/>
          </w:rPr>
          <w:t>table</w:t>
        </w:r>
        <w:r w:rsidR="00D14B2A" w:rsidRPr="0018386D">
          <w:rPr>
            <w:rStyle w:val="Hyperlink"/>
          </w:rPr>
          <w:t>s</w:t>
        </w:r>
        <w:r w:rsidR="00A55754" w:rsidRPr="0018386D">
          <w:rPr>
            <w:rStyle w:val="Hyperlink"/>
          </w:rPr>
          <w:t xml:space="preserve"> </w:t>
        </w:r>
        <w:r w:rsidR="001E6479" w:rsidRPr="0018386D">
          <w:rPr>
            <w:rStyle w:val="Hyperlink"/>
          </w:rPr>
          <w:t>66</w:t>
        </w:r>
      </w:hyperlink>
      <w:r w:rsidR="00A55754" w:rsidRPr="0018386D">
        <w:t xml:space="preserve"> </w:t>
      </w:r>
      <w:r w:rsidR="003B5F6D" w:rsidRPr="0018386D">
        <w:t>and</w:t>
      </w:r>
      <w:r w:rsidR="00A55754" w:rsidRPr="0018386D">
        <w:t xml:space="preserve"> </w:t>
      </w:r>
      <w:hyperlink w:anchor="Table67" w:history="1">
        <w:r w:rsidR="001E6479" w:rsidRPr="0018386D">
          <w:rPr>
            <w:rStyle w:val="Hyperlink"/>
          </w:rPr>
          <w:t>67</w:t>
        </w:r>
      </w:hyperlink>
      <w:r w:rsidR="008B78E0" w:rsidRPr="0018386D">
        <w:rPr>
          <w:rStyle w:val="Hyperlink"/>
          <w:color w:val="auto"/>
        </w:rPr>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F20545" w:rsidRPr="0018386D" w:rsidDel="00D5390D" w14:paraId="1BCBF005" w14:textId="77777777" w:rsidTr="003E7AEC">
        <w:tc>
          <w:tcPr>
            <w:tcW w:w="8500" w:type="dxa"/>
            <w:tcBorders>
              <w:top w:val="single" w:sz="4" w:space="0" w:color="0F7B7D"/>
              <w:left w:val="single" w:sz="4" w:space="0" w:color="0F7B7D"/>
              <w:bottom w:val="nil"/>
              <w:right w:val="single" w:sz="4" w:space="0" w:color="0F7B7D"/>
            </w:tcBorders>
            <w:shd w:val="clear" w:color="auto" w:fill="0F7B7D"/>
            <w:vAlign w:val="center"/>
          </w:tcPr>
          <w:p w14:paraId="38E3F21C" w14:textId="3C3813CF" w:rsidR="00F20545" w:rsidRPr="0018386D" w:rsidDel="00D5390D" w:rsidRDefault="00A625ED" w:rsidP="00DD3106">
            <w:pPr>
              <w:pStyle w:val="Casestudyheading"/>
            </w:pPr>
            <w:bookmarkStart w:id="778" w:name="_Hlk532894538"/>
            <w:r w:rsidRPr="0018386D">
              <w:lastRenderedPageBreak/>
              <w:t xml:space="preserve">Wastewater: </w:t>
            </w:r>
            <w:r w:rsidR="00F20545" w:rsidRPr="0018386D">
              <w:t>Example Calculation</w:t>
            </w:r>
          </w:p>
        </w:tc>
      </w:tr>
      <w:tr w:rsidR="00045537" w:rsidRPr="0018386D" w14:paraId="20D1162D" w14:textId="77777777" w:rsidTr="003E7AEC">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4BF3399" w14:textId="31E55A7C" w:rsidR="00F20545" w:rsidRPr="0018386D" w:rsidRDefault="00F20545" w:rsidP="00DD3106">
            <w:pPr>
              <w:pStyle w:val="Boxtext"/>
              <w:spacing w:after="60"/>
            </w:pPr>
            <w:r w:rsidRPr="0018386D">
              <w:t>During the reporting period an organisation uses 100 m</w:t>
            </w:r>
            <w:r w:rsidRPr="0018386D">
              <w:rPr>
                <w:vertAlign w:val="superscript"/>
              </w:rPr>
              <w:t>3</w:t>
            </w:r>
            <w:r w:rsidRPr="0018386D">
              <w:t xml:space="preserve"> of water in its offices</w:t>
            </w:r>
            <w:r w:rsidR="00E504C3" w:rsidRPr="0018386D">
              <w:t>. T</w:t>
            </w:r>
            <w:r w:rsidRPr="0018386D">
              <w:t>hey assume that all water is also sent to be treated. This organisation also owns a winery that crushed 10</w:t>
            </w:r>
            <w:r w:rsidR="00E61BB8" w:rsidRPr="0018386D">
              <w:t> </w:t>
            </w:r>
            <w:r w:rsidRPr="0018386D">
              <w:t>tonnes of grapes during the reporting period.</w:t>
            </w:r>
          </w:p>
          <w:p w14:paraId="562B32EC" w14:textId="2C39F5A7" w:rsidR="00F20545" w:rsidRPr="0018386D" w:rsidRDefault="00F20545" w:rsidP="00DD3106">
            <w:pPr>
              <w:pStyle w:val="Boxtext"/>
              <w:spacing w:before="80" w:after="60"/>
            </w:pPr>
            <w:r w:rsidRPr="0018386D">
              <w:t>The office wastewater is domestic, therefore:</w:t>
            </w:r>
          </w:p>
          <w:p w14:paraId="3076709B" w14:textId="4B3DB9D6" w:rsidR="003464AC" w:rsidRPr="0018386D" w:rsidRDefault="003464AC" w:rsidP="00DD3106">
            <w:pPr>
              <w:pStyle w:val="Boxtext"/>
              <w:tabs>
                <w:tab w:val="left" w:pos="2847"/>
                <w:tab w:val="left" w:pos="4265"/>
              </w:tabs>
              <w:spacing w:before="20" w:after="20"/>
              <w:ind w:left="850"/>
            </w:pPr>
            <w:r w:rsidRPr="0018386D">
              <w:t>CO</w:t>
            </w:r>
            <w:r w:rsidRPr="0018386D">
              <w:rPr>
                <w:vertAlign w:val="subscript"/>
              </w:rPr>
              <w:t>2</w:t>
            </w:r>
            <w:r w:rsidRPr="0018386D">
              <w:t xml:space="preserve"> emissions</w:t>
            </w:r>
            <w:r w:rsidRPr="0018386D">
              <w:tab/>
              <w:t xml:space="preserve">= 100 </w:t>
            </w:r>
            <w:r w:rsidRPr="0018386D">
              <w:rPr>
                <w:rFonts w:cs="Calibri"/>
              </w:rPr>
              <w:t xml:space="preserve">× </w:t>
            </w:r>
            <w:r w:rsidRPr="0018386D">
              <w:t>0.0</w:t>
            </w:r>
            <w:r w:rsidR="000771CC" w:rsidRPr="0018386D">
              <w:t>6</w:t>
            </w:r>
            <w:r w:rsidR="00AF72BD" w:rsidRPr="0018386D">
              <w:t>18</w:t>
            </w:r>
            <w:r w:rsidRPr="0018386D">
              <w:tab/>
              <w:t xml:space="preserve">= </w:t>
            </w:r>
            <w:r w:rsidR="005E197E" w:rsidRPr="0018386D">
              <w:t>6.</w:t>
            </w:r>
            <w:r w:rsidR="00932952" w:rsidRPr="0018386D">
              <w:t>18</w:t>
            </w:r>
            <w:r w:rsidRPr="0018386D">
              <w:t xml:space="preserve"> kg CO</w:t>
            </w:r>
            <w:r w:rsidRPr="0018386D">
              <w:rPr>
                <w:vertAlign w:val="subscript"/>
              </w:rPr>
              <w:t>2</w:t>
            </w:r>
            <w:r w:rsidRPr="0018386D">
              <w:t xml:space="preserve"> </w:t>
            </w:r>
          </w:p>
          <w:p w14:paraId="4ACABE9B" w14:textId="0F02BE7A" w:rsidR="003464AC" w:rsidRPr="0018386D" w:rsidRDefault="003464AC" w:rsidP="00DD3106">
            <w:pPr>
              <w:pStyle w:val="Boxtext"/>
              <w:tabs>
                <w:tab w:val="left" w:pos="2847"/>
                <w:tab w:val="left" w:pos="4265"/>
              </w:tabs>
              <w:spacing w:before="20" w:after="20"/>
              <w:ind w:left="850"/>
            </w:pPr>
            <w:r w:rsidRPr="0018386D">
              <w:t>CH</w:t>
            </w:r>
            <w:r w:rsidRPr="0018386D">
              <w:rPr>
                <w:vertAlign w:val="subscript"/>
              </w:rPr>
              <w:t>4</w:t>
            </w:r>
            <w:r w:rsidRPr="0018386D">
              <w:t xml:space="preserve"> emissions</w:t>
            </w:r>
            <w:r w:rsidRPr="0018386D">
              <w:tab/>
              <w:t xml:space="preserve">= 100 </w:t>
            </w:r>
            <w:r w:rsidRPr="0018386D">
              <w:rPr>
                <w:rFonts w:cs="Calibri"/>
              </w:rPr>
              <w:t xml:space="preserve">× </w:t>
            </w:r>
            <w:r w:rsidRPr="0018386D">
              <w:t>0.19</w:t>
            </w:r>
            <w:r w:rsidR="000771CC" w:rsidRPr="0018386D">
              <w:t>8</w:t>
            </w:r>
            <w:r w:rsidRPr="0018386D">
              <w:tab/>
              <w:t>= 19.</w:t>
            </w:r>
            <w:r w:rsidR="005E197E" w:rsidRPr="0018386D">
              <w:t>8</w:t>
            </w:r>
            <w:r w:rsidRPr="0018386D">
              <w:t xml:space="preserve"> kg CO</w:t>
            </w:r>
            <w:r w:rsidRPr="0018386D">
              <w:rPr>
                <w:vertAlign w:val="subscript"/>
              </w:rPr>
              <w:t>2</w:t>
            </w:r>
            <w:r w:rsidRPr="0018386D">
              <w:t xml:space="preserve">-e </w:t>
            </w:r>
          </w:p>
          <w:p w14:paraId="5EFF180C" w14:textId="3CA80326" w:rsidR="003464AC" w:rsidRPr="0018386D" w:rsidRDefault="003464AC" w:rsidP="00DD3106">
            <w:pPr>
              <w:pStyle w:val="Boxtext"/>
              <w:tabs>
                <w:tab w:val="left" w:pos="2847"/>
                <w:tab w:val="left" w:pos="4265"/>
              </w:tabs>
              <w:spacing w:before="20" w:after="20"/>
              <w:ind w:left="850"/>
            </w:pPr>
            <w:r w:rsidRPr="0018386D">
              <w:t>N</w:t>
            </w:r>
            <w:r w:rsidRPr="0018386D">
              <w:rPr>
                <w:vertAlign w:val="subscript"/>
              </w:rPr>
              <w:t>2</w:t>
            </w:r>
            <w:r w:rsidRPr="0018386D">
              <w:t>O emissions</w:t>
            </w:r>
            <w:r w:rsidRPr="0018386D">
              <w:tab/>
              <w:t xml:space="preserve">= 100 </w:t>
            </w:r>
            <w:r w:rsidRPr="0018386D">
              <w:rPr>
                <w:rFonts w:cs="Calibri"/>
              </w:rPr>
              <w:t xml:space="preserve">× </w:t>
            </w:r>
            <w:r w:rsidRPr="0018386D">
              <w:t>0.248</w:t>
            </w:r>
            <w:r w:rsidRPr="0018386D">
              <w:tab/>
              <w:t>= 24.8 kg CO</w:t>
            </w:r>
            <w:r w:rsidRPr="0018386D">
              <w:rPr>
                <w:vertAlign w:val="subscript"/>
              </w:rPr>
              <w:t>2</w:t>
            </w:r>
            <w:r w:rsidRPr="0018386D">
              <w:t xml:space="preserve">-e </w:t>
            </w:r>
          </w:p>
          <w:p w14:paraId="7B4A7918" w14:textId="14DABB63" w:rsidR="003464AC" w:rsidRPr="0018386D" w:rsidRDefault="003464AC" w:rsidP="00DD3106">
            <w:pPr>
              <w:pStyle w:val="Boxtext"/>
              <w:tabs>
                <w:tab w:val="left" w:pos="2847"/>
                <w:tab w:val="left" w:pos="4265"/>
              </w:tabs>
              <w:spacing w:before="20" w:after="20"/>
              <w:ind w:left="850"/>
            </w:pPr>
            <w:r w:rsidRPr="0018386D">
              <w:t>Total CO</w:t>
            </w:r>
            <w:r w:rsidRPr="0018386D">
              <w:rPr>
                <w:vertAlign w:val="subscript"/>
              </w:rPr>
              <w:t>2</w:t>
            </w:r>
            <w:r w:rsidRPr="0018386D">
              <w:t>-e emissions</w:t>
            </w:r>
            <w:r w:rsidRPr="0018386D">
              <w:tab/>
              <w:t xml:space="preserve">= 100 </w:t>
            </w:r>
            <w:r w:rsidRPr="0018386D">
              <w:rPr>
                <w:rFonts w:cs="Calibri"/>
              </w:rPr>
              <w:t>× 0.5</w:t>
            </w:r>
            <w:r w:rsidR="000771CC" w:rsidRPr="0018386D">
              <w:rPr>
                <w:rFonts w:cs="Calibri"/>
              </w:rPr>
              <w:t>08</w:t>
            </w:r>
            <w:r w:rsidRPr="0018386D">
              <w:tab/>
              <w:t>= 5</w:t>
            </w:r>
            <w:r w:rsidR="005E197E" w:rsidRPr="0018386D">
              <w:t>0.8</w:t>
            </w:r>
            <w:r w:rsidRPr="0018386D">
              <w:t xml:space="preserve"> kg CO</w:t>
            </w:r>
            <w:r w:rsidRPr="0018386D">
              <w:rPr>
                <w:vertAlign w:val="subscript"/>
              </w:rPr>
              <w:t>2</w:t>
            </w:r>
            <w:r w:rsidRPr="0018386D">
              <w:t xml:space="preserve">-e </w:t>
            </w:r>
          </w:p>
          <w:p w14:paraId="73148DC5" w14:textId="77777777" w:rsidR="003464AC" w:rsidRPr="0018386D" w:rsidRDefault="003464AC" w:rsidP="00DD3106">
            <w:pPr>
              <w:pStyle w:val="Boxtext"/>
              <w:spacing w:after="80"/>
            </w:pPr>
            <w:r w:rsidRPr="0018386D">
              <w:t>The winery wastewater is industrial wastewater (wine), therefore:</w:t>
            </w:r>
          </w:p>
          <w:p w14:paraId="768FA8BD" w14:textId="77777777" w:rsidR="003464AC" w:rsidRPr="0018386D" w:rsidRDefault="003464AC" w:rsidP="00DD3106">
            <w:pPr>
              <w:pStyle w:val="Boxtext"/>
              <w:tabs>
                <w:tab w:val="left" w:pos="2847"/>
                <w:tab w:val="left" w:pos="4265"/>
              </w:tabs>
              <w:spacing w:before="20" w:after="20"/>
              <w:ind w:left="850"/>
            </w:pPr>
            <w:r w:rsidRPr="0018386D">
              <w:t>CO</w:t>
            </w:r>
            <w:r w:rsidRPr="0018386D">
              <w:rPr>
                <w:vertAlign w:val="subscript"/>
              </w:rPr>
              <w:t>2</w:t>
            </w:r>
            <w:r w:rsidRPr="0018386D">
              <w:t xml:space="preserve"> emissions</w:t>
            </w:r>
            <w:r w:rsidRPr="0018386D">
              <w:tab/>
              <w:t xml:space="preserve">= n/a </w:t>
            </w:r>
          </w:p>
          <w:p w14:paraId="00494357" w14:textId="27785B03" w:rsidR="003464AC" w:rsidRPr="0018386D" w:rsidRDefault="003464AC" w:rsidP="00DD3106">
            <w:pPr>
              <w:pStyle w:val="Boxtext"/>
              <w:tabs>
                <w:tab w:val="left" w:pos="2847"/>
                <w:tab w:val="left" w:pos="4265"/>
              </w:tabs>
              <w:spacing w:before="20" w:after="20"/>
              <w:ind w:left="850"/>
            </w:pPr>
            <w:r w:rsidRPr="0018386D">
              <w:t>CH</w:t>
            </w:r>
            <w:r w:rsidRPr="0018386D">
              <w:rPr>
                <w:vertAlign w:val="subscript"/>
              </w:rPr>
              <w:t>4</w:t>
            </w:r>
            <w:r w:rsidRPr="0018386D">
              <w:t xml:space="preserve"> emissions</w:t>
            </w:r>
            <w:r w:rsidRPr="0018386D">
              <w:tab/>
              <w:t xml:space="preserve">= 10 </w:t>
            </w:r>
            <w:r w:rsidRPr="0018386D">
              <w:rPr>
                <w:rFonts w:cs="Calibri"/>
              </w:rPr>
              <w:t>× 5.79</w:t>
            </w:r>
            <w:r w:rsidRPr="0018386D">
              <w:tab/>
              <w:t>= 57.9 kg CO</w:t>
            </w:r>
            <w:r w:rsidRPr="0018386D">
              <w:rPr>
                <w:vertAlign w:val="subscript"/>
              </w:rPr>
              <w:t>2</w:t>
            </w:r>
            <w:r w:rsidRPr="0018386D">
              <w:t xml:space="preserve">-e </w:t>
            </w:r>
          </w:p>
          <w:p w14:paraId="15A90AA5" w14:textId="77777777" w:rsidR="003464AC" w:rsidRPr="0018386D" w:rsidRDefault="003464AC" w:rsidP="00DD3106">
            <w:pPr>
              <w:pStyle w:val="Boxtext"/>
              <w:tabs>
                <w:tab w:val="left" w:pos="2847"/>
                <w:tab w:val="left" w:pos="4265"/>
              </w:tabs>
              <w:spacing w:before="20" w:after="20"/>
              <w:ind w:left="850"/>
            </w:pPr>
            <w:r w:rsidRPr="0018386D">
              <w:t>N</w:t>
            </w:r>
            <w:r w:rsidRPr="0018386D">
              <w:rPr>
                <w:vertAlign w:val="subscript"/>
              </w:rPr>
              <w:t>2</w:t>
            </w:r>
            <w:r w:rsidRPr="0018386D">
              <w:t>O emissions</w:t>
            </w:r>
            <w:r w:rsidRPr="0018386D">
              <w:tab/>
              <w:t>= n/a</w:t>
            </w:r>
          </w:p>
          <w:p w14:paraId="110A0B9A" w14:textId="2C8EE743" w:rsidR="003464AC" w:rsidRPr="0018386D" w:rsidRDefault="003464AC" w:rsidP="00DD3106">
            <w:pPr>
              <w:pStyle w:val="Boxtext"/>
              <w:tabs>
                <w:tab w:val="left" w:pos="2847"/>
                <w:tab w:val="left" w:pos="4265"/>
              </w:tabs>
              <w:spacing w:before="20" w:after="20"/>
              <w:ind w:left="850"/>
            </w:pPr>
            <w:r w:rsidRPr="0018386D">
              <w:t>Total CO</w:t>
            </w:r>
            <w:r w:rsidRPr="0018386D">
              <w:rPr>
                <w:vertAlign w:val="subscript"/>
              </w:rPr>
              <w:t>2</w:t>
            </w:r>
            <w:r w:rsidRPr="0018386D">
              <w:t>-e emissions</w:t>
            </w:r>
            <w:r w:rsidRPr="0018386D">
              <w:tab/>
              <w:t xml:space="preserve">= 10 </w:t>
            </w:r>
            <w:r w:rsidRPr="0018386D">
              <w:rPr>
                <w:rFonts w:cs="Calibri"/>
              </w:rPr>
              <w:t>× 5.7</w:t>
            </w:r>
            <w:r w:rsidR="00E12F79" w:rsidRPr="0018386D">
              <w:rPr>
                <w:rFonts w:cs="Calibri"/>
              </w:rPr>
              <w:t>9</w:t>
            </w:r>
            <w:r w:rsidR="00015B56" w:rsidRPr="0018386D">
              <w:rPr>
                <w:rFonts w:cs="Calibri"/>
              </w:rPr>
              <w:t xml:space="preserve"> </w:t>
            </w:r>
            <w:r w:rsidRPr="0018386D">
              <w:t>= 57.9 kg CO</w:t>
            </w:r>
            <w:r w:rsidRPr="0018386D">
              <w:rPr>
                <w:vertAlign w:val="subscript"/>
              </w:rPr>
              <w:t>2</w:t>
            </w:r>
            <w:r w:rsidRPr="0018386D">
              <w:t xml:space="preserve">-e </w:t>
            </w:r>
          </w:p>
          <w:p w14:paraId="496BC281" w14:textId="77777777" w:rsidR="003464AC" w:rsidRPr="0018386D" w:rsidRDefault="003464AC" w:rsidP="00DD3106">
            <w:pPr>
              <w:pStyle w:val="Boxtext"/>
              <w:spacing w:after="80"/>
            </w:pPr>
            <w:r w:rsidRPr="0018386D">
              <w:t xml:space="preserve">The total wastewater emissions are: </w:t>
            </w:r>
          </w:p>
          <w:p w14:paraId="4611BDAA" w14:textId="1ED0EC3F" w:rsidR="003464AC" w:rsidRPr="0018386D" w:rsidRDefault="003464AC" w:rsidP="00DD3106">
            <w:pPr>
              <w:pStyle w:val="Boxtext"/>
              <w:tabs>
                <w:tab w:val="left" w:pos="2847"/>
                <w:tab w:val="left" w:pos="4265"/>
              </w:tabs>
              <w:spacing w:before="20" w:after="0"/>
              <w:ind w:left="850"/>
            </w:pPr>
            <w:r w:rsidRPr="0018386D">
              <w:tab/>
              <w:t>= 5</w:t>
            </w:r>
            <w:r w:rsidR="005E197E" w:rsidRPr="0018386D">
              <w:t>0.8</w:t>
            </w:r>
            <w:r w:rsidRPr="0018386D">
              <w:t xml:space="preserve"> + 57.9 </w:t>
            </w:r>
            <w:r w:rsidRPr="0018386D">
              <w:tab/>
              <w:t>= 1</w:t>
            </w:r>
            <w:r w:rsidR="000F092F" w:rsidRPr="0018386D">
              <w:t>08.7</w:t>
            </w:r>
            <w:r w:rsidRPr="0018386D">
              <w:t xml:space="preserve"> kg CO</w:t>
            </w:r>
            <w:r w:rsidRPr="0018386D">
              <w:rPr>
                <w:vertAlign w:val="subscript"/>
              </w:rPr>
              <w:t>2</w:t>
            </w:r>
            <w:r w:rsidRPr="0018386D">
              <w:t>-e</w:t>
            </w:r>
          </w:p>
          <w:p w14:paraId="5AFFC262" w14:textId="2841D232" w:rsidR="00166895" w:rsidRPr="0018386D" w:rsidRDefault="00166895" w:rsidP="00DD3106">
            <w:pPr>
              <w:pStyle w:val="Boxtext"/>
              <w:spacing w:before="0"/>
            </w:pPr>
            <w:r w:rsidRPr="0018386D">
              <w:rPr>
                <w:sz w:val="18"/>
              </w:rPr>
              <w:t>Note</w:t>
            </w:r>
            <w:r w:rsidR="00E504C3" w:rsidRPr="0018386D">
              <w:rPr>
                <w:sz w:val="18"/>
              </w:rPr>
              <w:t>: N</w:t>
            </w:r>
            <w:r w:rsidRPr="0018386D">
              <w:rPr>
                <w:sz w:val="18"/>
              </w:rPr>
              <w:t>umbers may not add due to rounding</w:t>
            </w:r>
            <w:r w:rsidR="0071351B" w:rsidRPr="0018386D">
              <w:rPr>
                <w:sz w:val="18"/>
              </w:rPr>
              <w:t>.</w:t>
            </w:r>
          </w:p>
        </w:tc>
      </w:tr>
    </w:tbl>
    <w:p w14:paraId="19E8F1F1" w14:textId="39549564" w:rsidR="00A959E4" w:rsidRPr="0018386D" w:rsidRDefault="00A959E4" w:rsidP="00DD3106">
      <w:pPr>
        <w:pStyle w:val="Heading3"/>
        <w:numPr>
          <w:ilvl w:val="2"/>
          <w:numId w:val="8"/>
        </w:numPr>
        <w:spacing w:before="440"/>
      </w:pPr>
      <w:bookmarkStart w:id="779" w:name="_Toc532904943"/>
      <w:bookmarkEnd w:id="778"/>
      <w:r w:rsidRPr="0018386D">
        <w:t>Emission factor derivation methodology</w:t>
      </w:r>
      <w:bookmarkEnd w:id="779"/>
    </w:p>
    <w:p w14:paraId="189678DB" w14:textId="3F0EC008" w:rsidR="00A959E4" w:rsidRPr="0018386D" w:rsidRDefault="00A959E4" w:rsidP="00DD3106">
      <w:pPr>
        <w:pStyle w:val="Heading4"/>
        <w:numPr>
          <w:ilvl w:val="3"/>
          <w:numId w:val="8"/>
        </w:numPr>
        <w:spacing w:before="240"/>
      </w:pPr>
      <w:r w:rsidRPr="0018386D">
        <w:t xml:space="preserve">Domestic </w:t>
      </w:r>
      <w:r w:rsidR="00E504C3" w:rsidRPr="0018386D">
        <w:t>w</w:t>
      </w:r>
      <w:r w:rsidRPr="0018386D">
        <w:t>astewater treatment</w:t>
      </w:r>
    </w:p>
    <w:p w14:paraId="7E1DFE0B" w14:textId="310BC608" w:rsidR="00A959E4" w:rsidRPr="0018386D" w:rsidRDefault="0A96F5BE" w:rsidP="00DD3106">
      <w:pPr>
        <w:pStyle w:val="BodyText"/>
      </w:pPr>
      <w:r w:rsidRPr="0018386D">
        <w:t>We derived the domestic wastewater treatment plant emission factors from the total energy use emissions in the wastewater treatment plants, and the gases emitted during the treatment process.</w:t>
      </w:r>
    </w:p>
    <w:p w14:paraId="2D0F3D84" w14:textId="5A5B4848" w:rsidR="00A959E4" w:rsidRPr="0018386D" w:rsidRDefault="0A96F5BE" w:rsidP="00DD3106">
      <w:pPr>
        <w:pStyle w:val="BodyText"/>
      </w:pPr>
      <w:r w:rsidRPr="0018386D">
        <w:t>The emission factors for septic tanks are sourced directly from Water</w:t>
      </w:r>
      <w:r w:rsidR="00C952CE" w:rsidRPr="0018386D">
        <w:t xml:space="preserve"> </w:t>
      </w:r>
      <w:r w:rsidRPr="0018386D">
        <w:t>N</w:t>
      </w:r>
      <w:r w:rsidR="00C952CE" w:rsidRPr="0018386D">
        <w:t xml:space="preserve">ew </w:t>
      </w:r>
      <w:r w:rsidRPr="0018386D">
        <w:t>Z</w:t>
      </w:r>
      <w:r w:rsidR="00C952CE" w:rsidRPr="0018386D">
        <w:t>ealand</w:t>
      </w:r>
      <w:r w:rsidRPr="0018386D">
        <w:t xml:space="preserve"> (2021).</w:t>
      </w:r>
    </w:p>
    <w:p w14:paraId="1DB87C03" w14:textId="18D8BAA6" w:rsidR="00A959E4" w:rsidRPr="0018386D" w:rsidRDefault="0A96F5BE" w:rsidP="00DD3106">
      <w:pPr>
        <w:pStyle w:val="BodyText"/>
      </w:pPr>
      <w:r w:rsidRPr="0018386D">
        <w:t xml:space="preserve">Since direct carbon dioxide emissions from wastewater treatment are biogenic, the methodologies </w:t>
      </w:r>
      <w:r w:rsidR="00F72C0A" w:rsidRPr="0018386D">
        <w:t xml:space="preserve">described here </w:t>
      </w:r>
      <w:r w:rsidRPr="0018386D">
        <w:t xml:space="preserve">for all treatment types other than septic tanks are only for methane and nitrous oxide. We calculated the emission factors using equations in the </w:t>
      </w:r>
      <w:hyperlink r:id="rId117" w:history="1">
        <w:r w:rsidRPr="0018386D">
          <w:rPr>
            <w:rStyle w:val="Hyperlink"/>
            <w:rFonts w:eastAsia="Calibri" w:cs="Calibri"/>
            <w:i/>
          </w:rPr>
          <w:t>2006 IPCC Guidelines for National Greenhouse Gas Inventories</w:t>
        </w:r>
      </w:hyperlink>
      <w:r w:rsidRPr="0018386D">
        <w:t xml:space="preserve">. Updated methodologies for some categories are available in the </w:t>
      </w:r>
      <w:hyperlink r:id="rId118" w:history="1">
        <w:r w:rsidRPr="0018386D">
          <w:rPr>
            <w:rStyle w:val="Hyperlink"/>
            <w:rFonts w:eastAsia="Calibri" w:cs="Calibri"/>
            <w:i/>
          </w:rPr>
          <w:t>2019 Refinement to the 2006 IPCC Guidelines for National Greenhouse Gas Inventories</w:t>
        </w:r>
      </w:hyperlink>
      <w:r w:rsidRPr="0018386D">
        <w:t>.</w:t>
      </w:r>
      <w:r w:rsidRPr="0018386D">
        <w:rPr>
          <w:i/>
        </w:rPr>
        <w:t xml:space="preserve"> </w:t>
      </w:r>
      <w:r w:rsidRPr="0018386D">
        <w:t xml:space="preserve">Using updated methodologies in the 2019 Refinement would be inconsistent with </w:t>
      </w:r>
      <w:hyperlink r:id="rId119" w:history="1">
        <w:r w:rsidRPr="0018386D">
          <w:rPr>
            <w:rStyle w:val="Hyperlink"/>
            <w:i/>
          </w:rPr>
          <w:t>New Zealand Greenhouse Gas Inventory</w:t>
        </w:r>
        <w:r w:rsidRPr="0018386D">
          <w:rPr>
            <w:rStyle w:val="Hyperlink"/>
            <w:rFonts w:eastAsia="Calibri" w:cs="Calibri"/>
            <w:i/>
            <w:iCs/>
          </w:rPr>
          <w:t xml:space="preserve"> 1990–2021</w:t>
        </w:r>
      </w:hyperlink>
      <w:r w:rsidRPr="0018386D">
        <w:t xml:space="preserve"> reporting at the time of publication of this guide</w:t>
      </w:r>
      <w:r w:rsidR="00F72C0A" w:rsidRPr="0018386D">
        <w:t>,</w:t>
      </w:r>
      <w:r w:rsidRPr="0018386D">
        <w:t xml:space="preserve"> because this part of the </w:t>
      </w:r>
      <w:r w:rsidR="00F72C0A" w:rsidRPr="0018386D">
        <w:t>i</w:t>
      </w:r>
      <w:r w:rsidRPr="0018386D">
        <w:t xml:space="preserve">nventory uses </w:t>
      </w:r>
      <w:r w:rsidR="00F72C0A" w:rsidRPr="0018386D">
        <w:t xml:space="preserve">the </w:t>
      </w:r>
      <w:r w:rsidRPr="0018386D">
        <w:t>IPCC 2006 Guidelines.</w:t>
      </w:r>
      <w:r w:rsidRPr="0018386D">
        <w:rPr>
          <w:i/>
        </w:rPr>
        <w:t xml:space="preserve"> </w:t>
      </w:r>
      <w:r w:rsidRPr="0018386D">
        <w:t xml:space="preserve">The 2019 Refinement will be considered for future inventories, and the guide will be revised after the relevant NIR has been updated. The example calculations are done using AR4 GWPs. </w:t>
      </w:r>
    </w:p>
    <w:p w14:paraId="3B0FB254" w14:textId="362EDA3A" w:rsidR="00A959E4" w:rsidRPr="0018386D" w:rsidRDefault="00A959E4" w:rsidP="00DD3106">
      <w:pPr>
        <w:pStyle w:val="BodyText"/>
        <w:spacing w:after="180" w:line="270" w:lineRule="atLeast"/>
        <w:jc w:val="both"/>
      </w:pPr>
      <w:r w:rsidRPr="0018386D">
        <w:t xml:space="preserve">To calculate </w:t>
      </w:r>
      <w:r w:rsidR="008D6410" w:rsidRPr="0018386D">
        <w:t>methane</w:t>
      </w:r>
      <w:r w:rsidR="00766DA1" w:rsidRPr="0018386D">
        <w:t xml:space="preserve"> </w:t>
      </w:r>
      <w:r w:rsidRPr="0018386D">
        <w:t>emissions, first calculate the total organic product in</w:t>
      </w:r>
      <w:r w:rsidR="00434227" w:rsidRPr="0018386D">
        <w:t xml:space="preserve"> domestic</w:t>
      </w:r>
      <w:r w:rsidRPr="0018386D">
        <w:t xml:space="preserve"> wastewater</w:t>
      </w:r>
      <w:r w:rsidR="00766DA1" w:rsidRPr="0018386D">
        <w:t xml:space="preserve"> (TOW)</w:t>
      </w:r>
      <w:r w:rsidR="006A47D1" w:rsidRPr="0018386D">
        <w:t>:</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613"/>
      </w:tblGrid>
      <w:tr w:rsidR="00A959E4" w:rsidRPr="0018386D" w14:paraId="4B8F9E39" w14:textId="77777777" w:rsidTr="003E17EC">
        <w:tc>
          <w:tcPr>
            <w:tcW w:w="8613" w:type="dxa"/>
            <w:shd w:val="clear" w:color="auto" w:fill="D2DDE1" w:themeFill="background2"/>
            <w:noWrap/>
            <w:hideMark/>
          </w:tcPr>
          <w:p w14:paraId="7C61B5FD" w14:textId="0C1D8168" w:rsidR="00A959E4" w:rsidRPr="0018386D" w:rsidRDefault="00C7627E" w:rsidP="00DD3106">
            <w:pPr>
              <w:pStyle w:val="Box"/>
              <w:shd w:val="clear" w:color="auto" w:fill="auto"/>
              <w:spacing w:before="0" w:after="0" w:line="240" w:lineRule="auto"/>
              <w:ind w:left="0" w:right="0"/>
              <w:rPr>
                <w:rFonts w:eastAsia="Times New Roman"/>
              </w:rPr>
            </w:pPr>
            <m:oMathPara>
              <m:oMath>
                <m:nary>
                  <m:naryPr>
                    <m:chr m:val="∑"/>
                    <m:limLoc m:val="undOvr"/>
                    <m:supHide m:val="1"/>
                    <m:ctrlPr>
                      <w:rPr>
                        <w:rFonts w:ascii="Cambria Math" w:eastAsia="Times New Roman" w:hAnsi="Cambria Math"/>
                        <w:i/>
                      </w:rPr>
                    </m:ctrlPr>
                  </m:naryPr>
                  <m:sub>
                    <m:r>
                      <w:rPr>
                        <w:rFonts w:ascii="Cambria Math" w:eastAsia="Times New Roman" w:hAnsi="Cambria Math"/>
                      </w:rPr>
                      <m:t>i</m:t>
                    </m:r>
                  </m:sub>
                  <m:sup>
                    <m:ctrlPr>
                      <w:rPr>
                        <w:rStyle w:val="CommentReference"/>
                        <w:rFonts w:ascii="Cambria Math" w:hAnsi="Cambria Math"/>
                        <w:color w:val="auto"/>
                      </w:rPr>
                    </m:ctrlPr>
                  </m:sup>
                  <m:e>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i</m:t>
                        </m:r>
                      </m:sub>
                    </m:sSub>
                    <m:r>
                      <w:rPr>
                        <w:rFonts w:ascii="Cambria Math" w:eastAsia="Times New Roman" w:hAnsi="Cambria Math"/>
                      </w:rPr>
                      <m:t xml:space="preserve">× </m:t>
                    </m:r>
                    <m:r>
                      <w:rPr>
                        <w:rFonts w:ascii="Cambria Math" w:eastAsia="Times New Roman" w:hAnsi="Cambria Math"/>
                      </w:rPr>
                      <m:t>BOD</m:t>
                    </m:r>
                    <m:r>
                      <w:rPr>
                        <w:rFonts w:ascii="Cambria Math" w:eastAsia="Times New Roman" w:hAnsi="Cambria Math"/>
                      </w:rPr>
                      <m:t xml:space="preserve">× </m:t>
                    </m:r>
                    <m:r>
                      <w:rPr>
                        <w:rFonts w:ascii="Cambria Math" w:eastAsia="Times New Roman" w:hAnsi="Cambria Math"/>
                      </w:rPr>
                      <m:t>I</m:t>
                    </m:r>
                    <m:ctrlPr>
                      <w:rPr>
                        <w:rStyle w:val="CommentReference"/>
                        <w:rFonts w:ascii="Cambria Math" w:hAnsi="Cambria Math"/>
                        <w:color w:val="auto"/>
                      </w:rPr>
                    </m:ctrlPr>
                  </m:e>
                </m:nary>
                <m:r>
                  <m:rPr>
                    <m:sty m:val="p"/>
                  </m:rPr>
                  <w:rPr>
                    <w:rStyle w:val="CommentReference"/>
                    <w:rFonts w:ascii="Cambria Math" w:hAnsi="Cambria Math"/>
                    <w:color w:val="auto"/>
                  </w:rPr>
                  <m:t xml:space="preserve"> </m:t>
                </m:r>
                <m:r>
                  <m:rPr>
                    <m:sty m:val="p"/>
                  </m:rPr>
                  <w:rPr>
                    <w:rFonts w:ascii="Cambria Math" w:hAnsi="Cambria Math"/>
                  </w:rPr>
                  <m:t>=</m:t>
                </m:r>
                <m:r>
                  <w:rPr>
                    <w:rFonts w:ascii="Cambria Math" w:hAnsi="Cambria Math"/>
                  </w:rPr>
                  <m:t>total</m:t>
                </m:r>
                <m:r>
                  <m:rPr>
                    <m:sty m:val="p"/>
                  </m:rPr>
                  <w:rPr>
                    <w:rFonts w:ascii="Cambria Math" w:hAnsi="Cambria Math"/>
                  </w:rPr>
                  <m:t xml:space="preserve"> </m:t>
                </m:r>
                <m:r>
                  <w:rPr>
                    <w:rFonts w:ascii="Cambria Math" w:hAnsi="Cambria Math"/>
                  </w:rPr>
                  <m:t>organic</m:t>
                </m:r>
                <m:r>
                  <w:rPr>
                    <w:rFonts w:ascii="Cambria Math" w:hAnsi="Cambria Math"/>
                  </w:rPr>
                  <m:t xml:space="preserve"> </m:t>
                </m:r>
                <m:r>
                  <w:rPr>
                    <w:rFonts w:ascii="Cambria Math" w:hAnsi="Cambria Math"/>
                  </w:rPr>
                  <m:t>product</m:t>
                </m:r>
                <m:r>
                  <w:rPr>
                    <w:rFonts w:ascii="Cambria Math" w:hAnsi="Cambria Math"/>
                  </w:rPr>
                  <m:t xml:space="preserve"> </m:t>
                </m:r>
                <m:r>
                  <w:rPr>
                    <w:rFonts w:ascii="Cambria Math" w:hAnsi="Cambria Math"/>
                  </w:rPr>
                  <m:t>in</m:t>
                </m:r>
                <m:r>
                  <w:rPr>
                    <w:rFonts w:ascii="Cambria Math" w:hAnsi="Cambria Math"/>
                  </w:rPr>
                  <m:t xml:space="preserve"> </m:t>
                </m:r>
                <m:r>
                  <w:rPr>
                    <w:rFonts w:ascii="Cambria Math" w:hAnsi="Cambria Math"/>
                  </w:rPr>
                  <m:t>domestic</m:t>
                </m:r>
                <m:r>
                  <w:rPr>
                    <w:rFonts w:ascii="Cambria Math" w:hAnsi="Cambria Math"/>
                  </w:rPr>
                  <m:t xml:space="preserve"> </m:t>
                </m:r>
                <m:r>
                  <w:rPr>
                    <w:rFonts w:ascii="Cambria Math" w:hAnsi="Cambria Math"/>
                  </w:rPr>
                  <m:t>wastewater</m:t>
                </m:r>
              </m:oMath>
            </m:oMathPara>
          </w:p>
        </w:tc>
      </w:tr>
    </w:tbl>
    <w:p w14:paraId="5FB5DF86" w14:textId="6061CEA4" w:rsidR="00B93232" w:rsidRPr="0018386D" w:rsidRDefault="0020582D" w:rsidP="00DD3106">
      <w:pPr>
        <w:pStyle w:val="BodyText"/>
        <w:keepNext/>
        <w:spacing w:before="240" w:after="100"/>
      </w:pPr>
      <w:r w:rsidRPr="0018386D">
        <w:rPr>
          <w:rFonts w:eastAsia="Calibri" w:cs="Calibri"/>
        </w:rPr>
        <w:lastRenderedPageBreak/>
        <w:t>Where</w:t>
      </w:r>
      <w:r w:rsidR="00162860" w:rsidRPr="0018386D">
        <w:rPr>
          <w:rFonts w:eastAsia="Calibri" w:cs="Calibri"/>
        </w:rPr>
        <w:t xml:space="preserve"> the following data were used to calculate the emission factors</w:t>
      </w:r>
      <w:r w:rsidRPr="0018386D">
        <w:rPr>
          <w:rFonts w:eastAsia="Calibri" w:cs="Calibri"/>
        </w:rPr>
        <w:t>:</w:t>
      </w:r>
    </w:p>
    <w:p w14:paraId="58145219" w14:textId="2C359D5D" w:rsidR="006A47D1" w:rsidRPr="0018386D" w:rsidRDefault="00B93232" w:rsidP="00DD3106">
      <w:pPr>
        <w:pStyle w:val="Bullet"/>
      </w:pPr>
      <w:r w:rsidRPr="0018386D">
        <w:t>P</w:t>
      </w:r>
      <w:r w:rsidR="006A47D1" w:rsidRPr="0018386D">
        <w:t xml:space="preserve"> =</w:t>
      </w:r>
      <w:r w:rsidRPr="0018386D">
        <w:t xml:space="preserve"> the population for wastewater treatment plant </w:t>
      </w:r>
      <w:proofErr w:type="spellStart"/>
      <w:r w:rsidR="00766DA1" w:rsidRPr="0018386D">
        <w:rPr>
          <w:i/>
          <w:iCs/>
        </w:rPr>
        <w:t>i</w:t>
      </w:r>
      <w:proofErr w:type="spellEnd"/>
    </w:p>
    <w:p w14:paraId="4F100A2F" w14:textId="67316FB3" w:rsidR="00B93232" w:rsidRPr="0018386D" w:rsidRDefault="47017826" w:rsidP="00DD3106">
      <w:pPr>
        <w:pStyle w:val="Bullet"/>
        <w:spacing w:after="100"/>
      </w:pPr>
      <w:proofErr w:type="spellStart"/>
      <w:r w:rsidRPr="0018386D">
        <w:rPr>
          <w:i/>
          <w:iCs/>
        </w:rPr>
        <w:t>i</w:t>
      </w:r>
      <w:proofErr w:type="spellEnd"/>
      <w:r w:rsidRPr="0018386D">
        <w:rPr>
          <w:i/>
          <w:iCs/>
        </w:rPr>
        <w:t xml:space="preserve"> </w:t>
      </w:r>
      <w:r w:rsidRPr="0018386D">
        <w:t xml:space="preserve">= </w:t>
      </w:r>
      <w:r w:rsidR="7CE62E2D" w:rsidRPr="0018386D">
        <w:t>type of treatment plant</w:t>
      </w:r>
    </w:p>
    <w:p w14:paraId="35638065" w14:textId="39EFF5BB" w:rsidR="00B93232" w:rsidRPr="0018386D" w:rsidRDefault="00B93232" w:rsidP="00DD3106">
      <w:pPr>
        <w:pStyle w:val="Bullet"/>
        <w:spacing w:after="100"/>
      </w:pPr>
      <w:r w:rsidRPr="0018386D">
        <w:t xml:space="preserve">BOD </w:t>
      </w:r>
      <w:r w:rsidR="006A47D1" w:rsidRPr="0018386D">
        <w:t>=</w:t>
      </w:r>
      <w:r w:rsidRPr="0018386D">
        <w:t xml:space="preserve"> 26</w:t>
      </w:r>
      <w:r w:rsidR="006A47D1" w:rsidRPr="0018386D">
        <w:t xml:space="preserve"> </w:t>
      </w:r>
      <w:r w:rsidRPr="0018386D">
        <w:t>(kg/capita/year) country-specific</w:t>
      </w:r>
      <w:r w:rsidR="0071351B" w:rsidRPr="0018386D">
        <w:t>,</w:t>
      </w:r>
      <w:r w:rsidRPr="0018386D">
        <w:t xml:space="preserve"> per-capita Biological Oxygen Demand</w:t>
      </w:r>
    </w:p>
    <w:p w14:paraId="7C3C401C" w14:textId="580FD02B" w:rsidR="00B93232" w:rsidRPr="0018386D" w:rsidRDefault="34D893E8" w:rsidP="00DD3106">
      <w:pPr>
        <w:pStyle w:val="Bullet"/>
        <w:spacing w:after="100"/>
      </w:pPr>
      <w:r w:rsidRPr="0018386D">
        <w:t xml:space="preserve">I </w:t>
      </w:r>
      <w:r w:rsidR="2BE3EAE0" w:rsidRPr="0018386D">
        <w:t>=</w:t>
      </w:r>
      <w:r w:rsidRPr="0018386D">
        <w:t xml:space="preserve"> the correction factor for additional industrial and commercial BOD (default 1.25 or 1.0 for septic </w:t>
      </w:r>
      <w:proofErr w:type="gramStart"/>
      <w:r w:rsidRPr="0018386D">
        <w:t>tanks,</w:t>
      </w:r>
      <w:r w:rsidR="2BE3EAE0" w:rsidRPr="0018386D">
        <w:t xml:space="preserve"> </w:t>
      </w:r>
      <w:r w:rsidRPr="0018386D">
        <w:t>but</w:t>
      </w:r>
      <w:proofErr w:type="gramEnd"/>
      <w:r w:rsidRPr="0018386D">
        <w:t xml:space="preserve"> varies for several sites).</w:t>
      </w:r>
    </w:p>
    <w:p w14:paraId="71B1D3BE" w14:textId="74100AD2" w:rsidR="00766DA1" w:rsidRPr="0018386D" w:rsidRDefault="00766DA1" w:rsidP="00DD3106">
      <w:pPr>
        <w:pStyle w:val="BodyText"/>
        <w:spacing w:after="180"/>
      </w:pPr>
      <w:r w:rsidRPr="0018386D">
        <w:t xml:space="preserve">Then calculate </w:t>
      </w:r>
      <w:r w:rsidR="00303AA0" w:rsidRPr="0018386D">
        <w:t>methane</w:t>
      </w:r>
      <w:r w:rsidRPr="0018386D">
        <w:t xml:space="preserve"> emissions per capita:</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B93232" w:rsidRPr="0018386D" w14:paraId="63E1D6A5" w14:textId="77777777" w:rsidTr="003E17EC">
        <w:tc>
          <w:tcPr>
            <w:tcW w:w="8720" w:type="dxa"/>
            <w:shd w:val="clear" w:color="auto" w:fill="D2DDE1" w:themeFill="background2"/>
          </w:tcPr>
          <w:p w14:paraId="437468B6" w14:textId="46B01A31" w:rsidR="00B93232" w:rsidRPr="0018386D" w:rsidRDefault="00C7627E" w:rsidP="00DD3106">
            <w:pPr>
              <w:pStyle w:val="Box"/>
              <w:shd w:val="clear" w:color="auto" w:fill="auto"/>
              <w:spacing w:before="0" w:after="0"/>
              <w:ind w:left="0"/>
            </w:pPr>
            <m:oMathPara>
              <m:oMath>
                <m:f>
                  <m:fPr>
                    <m:ctrlPr>
                      <w:rPr>
                        <w:rFonts w:ascii="Cambria Math" w:hAnsi="Cambria Math"/>
                        <w:i/>
                      </w:rPr>
                    </m:ctrlPr>
                  </m:fPr>
                  <m:num>
                    <m:r>
                      <w:rPr>
                        <w:rFonts w:ascii="Cambria Math" w:hAnsi="Cambria Math"/>
                      </w:rPr>
                      <m:t>MCF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m:t>
                        </m:r>
                      </m:sub>
                    </m:sSub>
                    <m:r>
                      <m:rPr>
                        <m:sty m:val="p"/>
                      </m:rPr>
                      <w:rPr>
                        <w:rFonts w:ascii="Cambria Math" w:hAnsi="Cambria Math"/>
                      </w:rPr>
                      <m:t>×</m:t>
                    </m:r>
                    <m:r>
                      <w:rPr>
                        <w:rFonts w:ascii="Cambria Math" w:hAnsi="Cambria Math"/>
                      </w:rPr>
                      <m:t>TOW</m:t>
                    </m:r>
                    <m:r>
                      <m:rPr>
                        <m:sty m:val="p"/>
                      </m:rPr>
                      <w:rPr>
                        <w:rFonts w:ascii="Cambria Math" w:hAnsi="Cambria Math"/>
                      </w:rPr>
                      <m:t>×GWP</m:t>
                    </m:r>
                  </m:num>
                  <m:den>
                    <m:r>
                      <w:rPr>
                        <w:rFonts w:ascii="Cambria Math" w:hAnsi="Cambria Math"/>
                      </w:rPr>
                      <m:t>popula</m:t>
                    </m:r>
                    <m:r>
                      <w:rPr>
                        <w:rFonts w:ascii="Cambria Math" w:hAnsi="Cambria Math"/>
                      </w:rPr>
                      <m:t>tion</m:t>
                    </m:r>
                    <m:r>
                      <w:rPr>
                        <w:rFonts w:ascii="Cambria Math" w:hAnsi="Cambria Math"/>
                      </w:rPr>
                      <m:t xml:space="preserve"> </m:t>
                    </m:r>
                    <m:r>
                      <w:rPr>
                        <w:rFonts w:ascii="Cambria Math" w:hAnsi="Cambria Math"/>
                      </w:rPr>
                      <m:t>served</m:t>
                    </m:r>
                  </m:den>
                </m:f>
                <m:r>
                  <m:rPr>
                    <m:sty m:val="p"/>
                  </m:rPr>
                  <w:rPr>
                    <w:rFonts w:ascii="Cambria Math" w:hAnsi="Cambria Math"/>
                  </w:rPr>
                  <m:t>=</m:t>
                </m:r>
                <m:r>
                  <w:rPr>
                    <w:rFonts w:ascii="Cambria Math" w:hAnsi="Cambria Math"/>
                  </w:rPr>
                  <m:t>met</m:t>
                </m:r>
                <m:r>
                  <w:rPr>
                    <w:rFonts w:ascii="Cambria Math" w:hAnsi="Cambria Math"/>
                  </w:rPr>
                  <m:t>h</m:t>
                </m:r>
                <m:r>
                  <w:rPr>
                    <w:rFonts w:ascii="Cambria Math" w:hAnsi="Cambria Math"/>
                  </w:rPr>
                  <m:t>ane</m:t>
                </m:r>
                <m:r>
                  <m:rPr>
                    <m:sty m:val="p"/>
                  </m:rPr>
                  <w:rPr>
                    <w:rFonts w:ascii="Cambria Math" w:hAnsi="Cambria Math"/>
                  </w:rPr>
                  <m:t xml:space="preserve"> </m:t>
                </m:r>
                <m:r>
                  <w:rPr>
                    <w:rFonts w:ascii="Cambria Math" w:hAnsi="Cambria Math"/>
                  </w:rPr>
                  <m:t>emissions</m:t>
                </m:r>
                <m:r>
                  <m:rPr>
                    <m:sty m:val="p"/>
                  </m:rPr>
                  <w:rPr>
                    <w:rFonts w:ascii="Cambria Math" w:hAnsi="Cambria Math"/>
                  </w:rPr>
                  <m:t xml:space="preserve"> </m:t>
                </m:r>
                <m:d>
                  <m:dPr>
                    <m:ctrlPr>
                      <w:rPr>
                        <w:rFonts w:ascii="Cambria Math" w:hAnsi="Cambria Math"/>
                      </w:rPr>
                    </m:ctrlPr>
                  </m:dPr>
                  <m:e>
                    <m:r>
                      <w:rPr>
                        <w:rFonts w:ascii="Cambria Math" w:hAnsi="Cambria Math"/>
                      </w:rPr>
                      <m:t>kg</m:t>
                    </m:r>
                    <m: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capita</m:t>
                    </m:r>
                  </m:e>
                </m:d>
              </m:oMath>
            </m:oMathPara>
          </w:p>
        </w:tc>
      </w:tr>
    </w:tbl>
    <w:p w14:paraId="57B73150" w14:textId="6061CEA4" w:rsidR="00B93232" w:rsidRPr="0018386D" w:rsidRDefault="00B93232" w:rsidP="00DD3106">
      <w:pPr>
        <w:pStyle w:val="BodyText"/>
        <w:spacing w:before="240" w:after="100"/>
        <w:jc w:val="both"/>
        <w:rPr>
          <w:rFonts w:eastAsia="Calibri" w:cs="Calibri"/>
          <w:color w:val="000000" w:themeColor="text1"/>
        </w:rPr>
      </w:pPr>
      <w:r w:rsidRPr="0018386D">
        <w:t>Where</w:t>
      </w:r>
      <w:r w:rsidR="0006398F" w:rsidRPr="0018386D">
        <w:t xml:space="preserve"> the following data were used to calculate the emission factors</w:t>
      </w:r>
      <w:r w:rsidR="00E504C3" w:rsidRPr="0018386D">
        <w:t>:</w:t>
      </w:r>
    </w:p>
    <w:p w14:paraId="50DDDB43" w14:textId="7E5126CA" w:rsidR="00766DA1" w:rsidRPr="0018386D" w:rsidRDefault="00766DA1" w:rsidP="00DD3106">
      <w:pPr>
        <w:pStyle w:val="Bullet"/>
        <w:rPr>
          <w:rFonts w:eastAsia="Calibri"/>
        </w:rPr>
      </w:pPr>
      <w:r w:rsidRPr="0018386D">
        <w:rPr>
          <w:rFonts w:eastAsia="Calibri"/>
        </w:rPr>
        <w:t xml:space="preserve">MCF = </w:t>
      </w:r>
      <w:r w:rsidR="001E6479" w:rsidRPr="0018386D">
        <w:rPr>
          <w:rFonts w:eastAsia="Calibri"/>
        </w:rPr>
        <w:t>0.0</w:t>
      </w:r>
      <w:r w:rsidR="008858E9" w:rsidRPr="0018386D">
        <w:rPr>
          <w:rFonts w:eastAsia="Calibri"/>
        </w:rPr>
        <w:t>2528</w:t>
      </w:r>
      <w:r w:rsidRPr="0018386D">
        <w:rPr>
          <w:rFonts w:eastAsia="Calibri"/>
        </w:rPr>
        <w:t>, the weighted-average methane correction factor (MCF) for wastewater treatment plants in</w:t>
      </w:r>
      <w:r w:rsidR="00992115" w:rsidRPr="0018386D">
        <w:t xml:space="preserve"> </w:t>
      </w:r>
      <w:r w:rsidR="008858E9" w:rsidRPr="0018386D">
        <w:rPr>
          <w:rFonts w:eastAsia="Calibri"/>
        </w:rPr>
        <w:t>2021</w:t>
      </w:r>
      <w:r w:rsidR="0006398F" w:rsidRPr="0018386D">
        <w:rPr>
          <w:rFonts w:eastAsia="Calibri"/>
        </w:rPr>
        <w:t xml:space="preserve"> </w:t>
      </w:r>
    </w:p>
    <w:p w14:paraId="08340C8B" w14:textId="6061CEA4" w:rsidR="00B93232" w:rsidRPr="0018386D" w:rsidRDefault="00B93232" w:rsidP="00DD3106">
      <w:pPr>
        <w:pStyle w:val="Bullet"/>
        <w:rPr>
          <w:rFonts w:eastAsia="Calibri"/>
        </w:rPr>
      </w:pPr>
      <w:r w:rsidRPr="0018386D">
        <w:rPr>
          <w:rFonts w:eastAsia="Calibri"/>
        </w:rPr>
        <w:t>B</w:t>
      </w:r>
      <w:r w:rsidRPr="0018386D">
        <w:rPr>
          <w:rFonts w:eastAsia="Calibri"/>
          <w:vertAlign w:val="subscript"/>
        </w:rPr>
        <w:t>0</w:t>
      </w:r>
      <w:r w:rsidRPr="0018386D">
        <w:rPr>
          <w:rFonts w:eastAsia="Calibri"/>
        </w:rPr>
        <w:t xml:space="preserve"> = 0.625, converts the BOD to maximum potential methane emissions</w:t>
      </w:r>
    </w:p>
    <w:p w14:paraId="208FE490" w14:textId="6061CEA4" w:rsidR="00B93232" w:rsidRPr="0018386D" w:rsidRDefault="00B93232" w:rsidP="00DD3106">
      <w:pPr>
        <w:pStyle w:val="Bullet"/>
        <w:rPr>
          <w:rFonts w:eastAsia="Calibri"/>
        </w:rPr>
      </w:pPr>
      <w:r w:rsidRPr="0018386D">
        <w:rPr>
          <w:rFonts w:eastAsia="Calibri"/>
        </w:rPr>
        <w:t>TOW = the total organic product in wastewater from the equation above</w:t>
      </w:r>
    </w:p>
    <w:p w14:paraId="5CBD3C99" w14:textId="573A2F19" w:rsidR="00B93232" w:rsidRPr="0018386D" w:rsidRDefault="00B93232" w:rsidP="00DD3106">
      <w:pPr>
        <w:pStyle w:val="Bullet"/>
        <w:rPr>
          <w:rFonts w:eastAsia="Calibri"/>
        </w:rPr>
      </w:pPr>
      <w:r w:rsidRPr="0018386D">
        <w:rPr>
          <w:rFonts w:eastAsia="Calibri"/>
        </w:rPr>
        <w:t xml:space="preserve">GWP = </w:t>
      </w:r>
      <w:r w:rsidR="008858E9" w:rsidRPr="0018386D">
        <w:rPr>
          <w:rFonts w:eastAsia="Calibri"/>
        </w:rPr>
        <w:t xml:space="preserve">28 </w:t>
      </w:r>
      <w:r w:rsidR="00F35229" w:rsidRPr="0018386D">
        <w:rPr>
          <w:rFonts w:eastAsia="Calibri"/>
        </w:rPr>
        <w:t xml:space="preserve">(IPCC </w:t>
      </w:r>
      <w:r w:rsidR="00CD52BC" w:rsidRPr="0018386D">
        <w:rPr>
          <w:rFonts w:eastAsia="Calibri"/>
        </w:rPr>
        <w:t>AR5</w:t>
      </w:r>
      <w:r w:rsidR="00F35229" w:rsidRPr="0018386D">
        <w:rPr>
          <w:rFonts w:eastAsia="Calibri"/>
        </w:rPr>
        <w:t>)</w:t>
      </w:r>
      <w:r w:rsidRPr="0018386D">
        <w:rPr>
          <w:rFonts w:eastAsia="Calibri"/>
        </w:rPr>
        <w:t>, converts methane into CO</w:t>
      </w:r>
      <w:r w:rsidRPr="0018386D">
        <w:rPr>
          <w:rFonts w:eastAsia="Calibri"/>
          <w:vertAlign w:val="subscript"/>
        </w:rPr>
        <w:t>2</w:t>
      </w:r>
      <w:r w:rsidRPr="0018386D">
        <w:rPr>
          <w:rFonts w:eastAsia="Calibri"/>
        </w:rPr>
        <w:t>-e</w:t>
      </w:r>
    </w:p>
    <w:p w14:paraId="0F89107B" w14:textId="6061CEA4" w:rsidR="00B93232" w:rsidRPr="0018386D" w:rsidRDefault="008A60C4" w:rsidP="00DD3106">
      <w:pPr>
        <w:pStyle w:val="Bullet"/>
        <w:rPr>
          <w:rFonts w:eastAsia="Calibri"/>
        </w:rPr>
      </w:pPr>
      <w:r w:rsidRPr="0018386D">
        <w:rPr>
          <w:rFonts w:eastAsia="Calibri"/>
        </w:rPr>
        <w:t>p</w:t>
      </w:r>
      <w:r w:rsidR="00B93232" w:rsidRPr="0018386D">
        <w:rPr>
          <w:rFonts w:eastAsia="Calibri"/>
        </w:rPr>
        <w:t>opulation served = the population served by all wastewater treatment plants</w:t>
      </w:r>
      <w:r w:rsidRPr="0018386D">
        <w:rPr>
          <w:rFonts w:eastAsia="Calibri"/>
        </w:rPr>
        <w:t>.</w:t>
      </w:r>
    </w:p>
    <w:p w14:paraId="4F3D6DA4" w14:textId="6061CEA4" w:rsidR="00B93232" w:rsidRPr="0018386D" w:rsidRDefault="00B93232" w:rsidP="00DD3106">
      <w:pPr>
        <w:pStyle w:val="BodyText"/>
      </w:pPr>
      <w:r w:rsidRPr="0018386D">
        <w:t xml:space="preserve">To calculate </w:t>
      </w:r>
      <w:r w:rsidR="008D6410" w:rsidRPr="0018386D">
        <w:t>methane</w:t>
      </w:r>
      <w:r w:rsidR="00766DA1" w:rsidRPr="0018386D">
        <w:t xml:space="preserve"> </w:t>
      </w:r>
      <w:r w:rsidRPr="0018386D">
        <w:t>emissions per water volume</w:t>
      </w:r>
      <w:r w:rsidR="00766DA1" w:rsidRPr="0018386D">
        <w:t>, divide</w:t>
      </w:r>
      <w:r w:rsidRPr="0018386D">
        <w:t xml:space="preserve"> </w:t>
      </w:r>
      <w:r w:rsidR="008D6410" w:rsidRPr="0018386D">
        <w:t>methane</w:t>
      </w:r>
      <w:r w:rsidR="00766DA1" w:rsidRPr="0018386D">
        <w:t xml:space="preserve"> </w:t>
      </w:r>
      <w:r w:rsidRPr="0018386D">
        <w:t>emissions per capita by the average water volume (m</w:t>
      </w:r>
      <w:r w:rsidRPr="0018386D">
        <w:rPr>
          <w:vertAlign w:val="superscript"/>
        </w:rPr>
        <w:t>3</w:t>
      </w:r>
      <w:r w:rsidRPr="0018386D">
        <w:t>) treated per capita (10</w:t>
      </w:r>
      <w:r w:rsidR="00F35229" w:rsidRPr="0018386D">
        <w:t>1</w:t>
      </w:r>
      <w:r w:rsidRPr="0018386D">
        <w:t xml:space="preserve"> m</w:t>
      </w:r>
      <w:r w:rsidRPr="0018386D">
        <w:rPr>
          <w:vertAlign w:val="superscript"/>
        </w:rPr>
        <w:t>3</w:t>
      </w:r>
      <w:r w:rsidRPr="0018386D">
        <w:t>).</w:t>
      </w:r>
    </w:p>
    <w:p w14:paraId="4FEA728D" w14:textId="71AB3E4D" w:rsidR="27FAFA81" w:rsidRPr="0018386D" w:rsidRDefault="27FAFA81" w:rsidP="00DD3106">
      <w:pPr>
        <w:pStyle w:val="BodyText"/>
        <w:spacing w:after="160"/>
        <w:rPr>
          <w:color w:val="000000" w:themeColor="text1"/>
        </w:rPr>
      </w:pPr>
      <w:r w:rsidRPr="0018386D">
        <w:rPr>
          <w:color w:val="000000" w:themeColor="text1"/>
        </w:rPr>
        <w:t xml:space="preserve">To calculate nitrous oxide emissions from wastewater treatment plants we </w:t>
      </w:r>
      <w:r w:rsidRPr="0018386D">
        <w:t>used two equations. The first equation calculates the amount of nitrogen per person:</w:t>
      </w:r>
    </w:p>
    <w:tbl>
      <w:tblPr>
        <w:tblStyle w:val="mfebox"/>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766DA1" w:rsidRPr="0018386D" w14:paraId="5BE16C81" w14:textId="77777777" w:rsidTr="00CD52BC">
        <w:tc>
          <w:tcPr>
            <w:tcW w:w="8505" w:type="dxa"/>
            <w:shd w:val="clear" w:color="auto" w:fill="D2DDE1" w:themeFill="background2"/>
          </w:tcPr>
          <w:p w14:paraId="71A82D5E" w14:textId="43E3608B" w:rsidR="00766DA1" w:rsidRPr="0018386D" w:rsidRDefault="000A26B7" w:rsidP="00DD3106">
            <w:pPr>
              <w:pStyle w:val="Box"/>
              <w:shd w:val="clear" w:color="auto" w:fill="auto"/>
              <w:spacing w:before="0" w:after="0"/>
              <w:ind w:left="0"/>
            </w:pPr>
            <m:oMathPara>
              <m:oMath>
                <m:r>
                  <w:rPr>
                    <w:rFonts w:ascii="Cambria Math" w:hAnsi="Cambria Math"/>
                  </w:rPr>
                  <m:t>per</m:t>
                </m:r>
                <m:r>
                  <m:rPr>
                    <m:sty m:val="p"/>
                  </m:rPr>
                  <w:rPr>
                    <w:rFonts w:ascii="Cambria Math" w:hAnsi="Cambria Math"/>
                  </w:rPr>
                  <m:t xml:space="preserve"> </m:t>
                </m:r>
                <m:r>
                  <w:rPr>
                    <w:rFonts w:ascii="Cambria Math" w:hAnsi="Cambria Math"/>
                  </w:rPr>
                  <m:t>capita</m:t>
                </m:r>
                <m:r>
                  <m:rPr>
                    <m:sty m:val="p"/>
                  </m:rPr>
                  <w:rPr>
                    <w:rFonts w:ascii="Cambria Math" w:hAnsi="Cambria Math"/>
                  </w:rPr>
                  <m:t xml:space="preserve"> </m:t>
                </m:r>
                <m:r>
                  <w:rPr>
                    <w:rFonts w:ascii="Cambria Math" w:hAnsi="Cambria Math"/>
                  </w:rPr>
                  <m:t>nitrogen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effluent</m:t>
                </m:r>
                <m:r>
                  <m:rPr>
                    <m:sty m:val="p"/>
                  </m:rPr>
                  <w:rPr>
                    <w:rFonts w:ascii="Cambria Math" w:hAnsi="Cambria Math"/>
                  </w:rPr>
                  <m:t xml:space="preserve"> (</m:t>
                </m:r>
                <m:r>
                  <w:rPr>
                    <w:rFonts w:ascii="Cambria Math" w:hAnsi="Cambria Math"/>
                  </w:rPr>
                  <m:t>kg</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year</m:t>
                </m:r>
                <m:r>
                  <m:rPr>
                    <m:sty m:val="p"/>
                  </m:rPr>
                  <w:rPr>
                    <w:rFonts w:ascii="Cambria Math" w:hAnsi="Cambria Math"/>
                  </w:rPr>
                  <m:t>)=</m:t>
                </m:r>
                <m:r>
                  <w:rPr>
                    <w:rFonts w:ascii="Cambria Math" w:hAnsi="Cambria Math"/>
                  </w:rPr>
                  <m:t>protein</m:t>
                </m:r>
                <m:r>
                  <m:rPr>
                    <m:sty m:val="p"/>
                  </m:rPr>
                  <w:rPr>
                    <w:rFonts w:ascii="Cambria Math" w:hAnsi="Cambria Math"/>
                  </w:rPr>
                  <m:t xml:space="preserve"> </m:t>
                </m:r>
                <m:r>
                  <m:rPr>
                    <m:sty m:val="p"/>
                  </m:rPr>
                  <w:rPr>
                    <w:rFonts w:ascii="Cambria Math" w:eastAsia="Times New Roman"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NPR</m:t>
                    </m:r>
                  </m:sub>
                </m:sSub>
                <m:r>
                  <m:rPr>
                    <m:sty m:val="p"/>
                  </m:rPr>
                  <w:rPr>
                    <w:rFonts w:ascii="Cambria Math" w:eastAsia="Times New Roman"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NON</m:t>
                    </m:r>
                    <m:r>
                      <m:rPr>
                        <m:sty m:val="p"/>
                      </m:rPr>
                      <w:rPr>
                        <w:rFonts w:ascii="Cambria Math" w:hAnsi="Cambria Math"/>
                      </w:rPr>
                      <m:t>-</m:t>
                    </m:r>
                    <m:r>
                      <w:rPr>
                        <w:rFonts w:ascii="Cambria Math" w:hAnsi="Cambria Math"/>
                      </w:rPr>
                      <m:t>CON</m:t>
                    </m:r>
                  </m:sub>
                </m:sSub>
                <m:r>
                  <m:rPr>
                    <m:sty m:val="p"/>
                  </m:rPr>
                  <w:rPr>
                    <w:rFonts w:ascii="Cambria Math" w:eastAsia="Times New Roman" w:hAnsi="Cambria Math"/>
                  </w:rPr>
                  <m:t>×</m:t>
                </m:r>
                <m:sSub>
                  <m:sSubPr>
                    <m:ctrlPr>
                      <w:rPr>
                        <w:rFonts w:ascii="Cambria Math" w:hAnsi="Cambria Math"/>
                      </w:rPr>
                    </m:ctrlPr>
                  </m:sSubPr>
                  <m:e>
                    <m:r>
                      <w:rPr>
                        <w:rFonts w:ascii="Cambria Math" w:hAnsi="Cambria Math"/>
                      </w:rPr>
                      <m:t>F</m:t>
                    </m:r>
                  </m:e>
                  <m:sub>
                    <m:r>
                      <w:rPr>
                        <w:rFonts w:ascii="Cambria Math" w:hAnsi="Cambria Math"/>
                      </w:rPr>
                      <m:t>IND</m:t>
                    </m:r>
                    <m:r>
                      <m:rPr>
                        <m:sty m:val="p"/>
                      </m:rPr>
                      <w:rPr>
                        <w:rFonts w:ascii="Cambria Math" w:hAnsi="Cambria Math"/>
                      </w:rPr>
                      <m:t>-</m:t>
                    </m:r>
                    <m:r>
                      <w:rPr>
                        <w:rFonts w:ascii="Cambria Math" w:hAnsi="Cambria Math"/>
                      </w:rPr>
                      <m:t>COM</m:t>
                    </m:r>
                  </m:sub>
                </m:sSub>
              </m:oMath>
            </m:oMathPara>
          </w:p>
        </w:tc>
      </w:tr>
    </w:tbl>
    <w:p w14:paraId="50E6149B" w14:textId="3B117BDA" w:rsidR="00CD52BC" w:rsidRPr="0018386D" w:rsidRDefault="00CD52BC" w:rsidP="00DD3106">
      <w:pPr>
        <w:pStyle w:val="BodyText"/>
        <w:spacing w:before="240"/>
        <w:jc w:val="both"/>
        <w:rPr>
          <w:rFonts w:eastAsia="Calibri" w:cs="Calibri"/>
        </w:rPr>
      </w:pPr>
      <w:r w:rsidRPr="0018386D">
        <w:rPr>
          <w:rFonts w:eastAsia="Calibri" w:cs="Calibri"/>
        </w:rPr>
        <w:t>Where the following data were used:</w:t>
      </w:r>
    </w:p>
    <w:p w14:paraId="61DCAFD8" w14:textId="305B29CB" w:rsidR="00B93232" w:rsidRPr="0018386D" w:rsidRDefault="008A60C4" w:rsidP="00DD3106">
      <w:pPr>
        <w:pStyle w:val="Bullet"/>
        <w:rPr>
          <w:rFonts w:eastAsia="Calibri"/>
        </w:rPr>
      </w:pPr>
      <w:r w:rsidRPr="0018386D">
        <w:rPr>
          <w:rFonts w:eastAsia="Calibri"/>
        </w:rPr>
        <w:t>p</w:t>
      </w:r>
      <w:r w:rsidR="00766DA1" w:rsidRPr="0018386D">
        <w:rPr>
          <w:rFonts w:eastAsia="Calibri"/>
        </w:rPr>
        <w:t>rotein</w:t>
      </w:r>
      <w:r w:rsidR="00B93232" w:rsidRPr="0018386D">
        <w:rPr>
          <w:rFonts w:eastAsia="Calibri"/>
        </w:rPr>
        <w:t xml:space="preserve"> = annual per capita protein consumption (36.135 kg per year from Beca, 2007)</w:t>
      </w:r>
    </w:p>
    <w:p w14:paraId="34EFB7FE" w14:textId="5181F739" w:rsidR="00B93232" w:rsidRPr="0018386D" w:rsidRDefault="00B93232" w:rsidP="00DD3106">
      <w:pPr>
        <w:pStyle w:val="Bullet"/>
        <w:rPr>
          <w:rFonts w:eastAsia="Calibri"/>
        </w:rPr>
      </w:pPr>
      <w:r w:rsidRPr="0018386D">
        <w:rPr>
          <w:rFonts w:eastAsia="Calibri"/>
        </w:rPr>
        <w:t>F</w:t>
      </w:r>
      <w:r w:rsidRPr="0018386D">
        <w:rPr>
          <w:rFonts w:eastAsia="Calibri"/>
          <w:vertAlign w:val="subscript"/>
        </w:rPr>
        <w:t>NPR</w:t>
      </w:r>
      <w:r w:rsidRPr="0018386D">
        <w:rPr>
          <w:rFonts w:eastAsia="Calibri"/>
        </w:rPr>
        <w:t xml:space="preserve"> = fraction of nitrogen in protein (0.16, IPCC </w:t>
      </w:r>
      <w:r w:rsidR="00FC72A1" w:rsidRPr="0018386D">
        <w:rPr>
          <w:rFonts w:eastAsia="Calibri"/>
        </w:rPr>
        <w:t>2006</w:t>
      </w:r>
      <w:r w:rsidRPr="0018386D">
        <w:rPr>
          <w:rFonts w:eastAsia="Calibri"/>
        </w:rPr>
        <w:t>)</w:t>
      </w:r>
    </w:p>
    <w:p w14:paraId="60FB6194" w14:textId="01F62B3D" w:rsidR="00B93232" w:rsidRPr="0018386D" w:rsidRDefault="00B93232" w:rsidP="00DD3106">
      <w:pPr>
        <w:pStyle w:val="Bullet"/>
        <w:rPr>
          <w:rFonts w:eastAsia="Calibri"/>
        </w:rPr>
      </w:pPr>
      <w:r w:rsidRPr="0018386D">
        <w:rPr>
          <w:rFonts w:eastAsia="Calibri"/>
        </w:rPr>
        <w:t>F</w:t>
      </w:r>
      <w:r w:rsidRPr="0018386D">
        <w:rPr>
          <w:rFonts w:eastAsia="Calibri"/>
          <w:vertAlign w:val="subscript"/>
        </w:rPr>
        <w:t>NON-CON</w:t>
      </w:r>
      <w:r w:rsidRPr="0018386D">
        <w:rPr>
          <w:rFonts w:eastAsia="Calibri"/>
        </w:rPr>
        <w:t xml:space="preserve"> = factor for non-consumed protein added to the wastewater (1.4, IPCC </w:t>
      </w:r>
      <w:r w:rsidR="00FC72A1" w:rsidRPr="0018386D">
        <w:rPr>
          <w:rFonts w:eastAsia="Calibri"/>
        </w:rPr>
        <w:t>2006</w:t>
      </w:r>
      <w:r w:rsidRPr="0018386D">
        <w:rPr>
          <w:rFonts w:eastAsia="Calibri"/>
        </w:rPr>
        <w:t>)</w:t>
      </w:r>
    </w:p>
    <w:p w14:paraId="02823B07" w14:textId="5BE57B5B" w:rsidR="00B93232" w:rsidRPr="0018386D" w:rsidRDefault="00B93232" w:rsidP="00DD3106">
      <w:pPr>
        <w:pStyle w:val="Bullet"/>
        <w:rPr>
          <w:rFonts w:eastAsia="Calibri"/>
        </w:rPr>
      </w:pPr>
      <w:r w:rsidRPr="0018386D">
        <w:rPr>
          <w:rFonts w:eastAsia="Calibri"/>
        </w:rPr>
        <w:t>F</w:t>
      </w:r>
      <w:r w:rsidRPr="0018386D">
        <w:rPr>
          <w:rFonts w:eastAsia="Calibri"/>
          <w:vertAlign w:val="subscript"/>
        </w:rPr>
        <w:t>IND-COM</w:t>
      </w:r>
      <w:r w:rsidRPr="0018386D">
        <w:rPr>
          <w:rFonts w:eastAsia="Calibri"/>
        </w:rPr>
        <w:t xml:space="preserve"> = factor for industrial and commercial co-discharged protein into the sewer system (1.25, IPCC </w:t>
      </w:r>
      <w:r w:rsidR="00FC72A1" w:rsidRPr="0018386D">
        <w:rPr>
          <w:rFonts w:eastAsia="Calibri"/>
        </w:rPr>
        <w:t>2006</w:t>
      </w:r>
      <w:r w:rsidRPr="0018386D">
        <w:rPr>
          <w:rFonts w:eastAsia="Calibri"/>
        </w:rPr>
        <w:t>)</w:t>
      </w:r>
      <w:r w:rsidR="008A60C4" w:rsidRPr="0018386D">
        <w:rPr>
          <w:rFonts w:eastAsia="Calibri"/>
        </w:rPr>
        <w:t>.</w:t>
      </w:r>
    </w:p>
    <w:p w14:paraId="79DB4BD1" w14:textId="67EF9EB5" w:rsidR="00B24D7D" w:rsidRPr="0018386D" w:rsidRDefault="00C7627E" w:rsidP="00DD3106">
      <w:pPr>
        <w:pStyle w:val="BodyText"/>
        <w:keepNext/>
      </w:pPr>
      <w:hyperlink w:anchor="Table68" w:history="1">
        <w:r w:rsidR="00B24D7D" w:rsidRPr="0018386D">
          <w:rPr>
            <w:rStyle w:val="Hyperlink"/>
            <w:rFonts w:eastAsia="Calibri" w:cs="Calibri"/>
          </w:rPr>
          <w:t xml:space="preserve">Table </w:t>
        </w:r>
        <w:r w:rsidR="0A81CBAE" w:rsidRPr="0018386D">
          <w:rPr>
            <w:rStyle w:val="Hyperlink"/>
            <w:rFonts w:eastAsia="Calibri" w:cs="Calibri"/>
          </w:rPr>
          <w:t>68</w:t>
        </w:r>
      </w:hyperlink>
      <w:r w:rsidR="00B24D7D" w:rsidRPr="0018386D">
        <w:t xml:space="preserve"> details the values used in the equation above.</w:t>
      </w:r>
    </w:p>
    <w:p w14:paraId="7FB7B103" w14:textId="6E9EE0E9" w:rsidR="003F32A6" w:rsidRPr="0018386D" w:rsidRDefault="00EB4389" w:rsidP="00DD3106">
      <w:pPr>
        <w:pStyle w:val="Tableheading"/>
      </w:pPr>
      <w:bookmarkStart w:id="780" w:name="Table68"/>
      <w:bookmarkStart w:id="781" w:name="_Toc111536680"/>
      <w:bookmarkStart w:id="782" w:name="_Toc140049008"/>
      <w:r w:rsidRPr="0018386D">
        <w:t xml:space="preserve">Table </w:t>
      </w:r>
      <w:r w:rsidRPr="0018386D">
        <w:fldChar w:fldCharType="begin"/>
      </w:r>
      <w:r w:rsidRPr="0018386D">
        <w:instrText>SEQ Table \* ARABIC</w:instrText>
      </w:r>
      <w:r w:rsidRPr="0018386D">
        <w:fldChar w:fldCharType="separate"/>
      </w:r>
      <w:r w:rsidR="0085383F" w:rsidRPr="0018386D">
        <w:t>68</w:t>
      </w:r>
      <w:r w:rsidRPr="0018386D">
        <w:fldChar w:fldCharType="end"/>
      </w:r>
      <w:bookmarkEnd w:id="780"/>
      <w:r w:rsidRPr="0018386D">
        <w:t>:</w:t>
      </w:r>
      <w:r w:rsidRPr="0018386D">
        <w:tab/>
      </w:r>
      <w:r w:rsidR="003F32A6" w:rsidRPr="0018386D">
        <w:t>Domestic wastewater treatment emissions calculation components</w:t>
      </w:r>
      <w:bookmarkEnd w:id="781"/>
      <w:bookmarkEnd w:id="782"/>
    </w:p>
    <w:tbl>
      <w:tblPr>
        <w:tblStyle w:val="LightList-Accent11"/>
        <w:tblW w:w="8505" w:type="dxa"/>
        <w:tblLayout w:type="fixed"/>
        <w:tblLook w:val="04A0" w:firstRow="1" w:lastRow="0" w:firstColumn="1" w:lastColumn="0" w:noHBand="0" w:noVBand="1"/>
      </w:tblPr>
      <w:tblGrid>
        <w:gridCol w:w="3119"/>
        <w:gridCol w:w="851"/>
        <w:gridCol w:w="2552"/>
        <w:gridCol w:w="1983"/>
      </w:tblGrid>
      <w:tr w:rsidR="003F32A6" w:rsidRPr="0018386D" w14:paraId="42A06404" w14:textId="77777777" w:rsidTr="00CD2FD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4" w:type="pct"/>
            <w:tcBorders>
              <w:bottom w:val="single" w:sz="8" w:space="0" w:color="1C556C" w:themeColor="accent1"/>
            </w:tcBorders>
            <w:shd w:val="clear" w:color="auto" w:fill="1B556B" w:themeFill="text2"/>
            <w:noWrap/>
            <w:hideMark/>
          </w:tcPr>
          <w:p w14:paraId="6497CE2D" w14:textId="537A6874" w:rsidR="003F32A6" w:rsidRPr="0018386D" w:rsidRDefault="003F32A6" w:rsidP="00DD3106">
            <w:pPr>
              <w:pStyle w:val="TableText"/>
              <w:keepNext/>
              <w:spacing w:before="30" w:after="30"/>
              <w:rPr>
                <w:rFonts w:eastAsia="Times New Roman"/>
                <w:szCs w:val="18"/>
              </w:rPr>
            </w:pPr>
            <w:r w:rsidRPr="0018386D">
              <w:rPr>
                <w:rFonts w:eastAsia="Times New Roman"/>
                <w:szCs w:val="18"/>
              </w:rPr>
              <w:t>Calculation component </w:t>
            </w:r>
          </w:p>
        </w:tc>
        <w:tc>
          <w:tcPr>
            <w:tcW w:w="500" w:type="pct"/>
            <w:shd w:val="clear" w:color="auto" w:fill="1B556B" w:themeFill="text2"/>
            <w:noWrap/>
            <w:hideMark/>
          </w:tcPr>
          <w:p w14:paraId="2ECD7F46" w14:textId="77777777" w:rsidR="003F32A6" w:rsidRPr="0018386D" w:rsidRDefault="003F32A6" w:rsidP="00DD3106">
            <w:pPr>
              <w:pStyle w:val="TableText"/>
              <w:keepNext/>
              <w:spacing w:before="30" w:after="3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Number</w:t>
            </w:r>
          </w:p>
        </w:tc>
        <w:tc>
          <w:tcPr>
            <w:tcW w:w="1500" w:type="pct"/>
            <w:shd w:val="clear" w:color="auto" w:fill="1B556B" w:themeFill="text2"/>
            <w:noWrap/>
            <w:hideMark/>
          </w:tcPr>
          <w:p w14:paraId="1C985BA0" w14:textId="531A954E" w:rsidR="003F32A6" w:rsidRPr="0018386D" w:rsidRDefault="00130596" w:rsidP="00DD3106">
            <w:pPr>
              <w:pStyle w:val="TableText"/>
              <w:keepNext/>
              <w:spacing w:before="30" w:after="3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Additional information</w:t>
            </w:r>
          </w:p>
        </w:tc>
        <w:tc>
          <w:tcPr>
            <w:tcW w:w="1166" w:type="pct"/>
            <w:tcBorders>
              <w:bottom w:val="single" w:sz="8" w:space="0" w:color="1C556C" w:themeColor="accent1"/>
            </w:tcBorders>
            <w:shd w:val="clear" w:color="auto" w:fill="1B556B" w:themeFill="text2"/>
            <w:noWrap/>
            <w:hideMark/>
          </w:tcPr>
          <w:p w14:paraId="3FCD50C5" w14:textId="45BBCA16" w:rsidR="003F32A6" w:rsidRPr="0018386D" w:rsidRDefault="003F32A6" w:rsidP="00DD3106">
            <w:pPr>
              <w:pStyle w:val="TableText"/>
              <w:keepNext/>
              <w:spacing w:before="30" w:after="3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 Source</w:t>
            </w:r>
          </w:p>
        </w:tc>
      </w:tr>
      <w:tr w:rsidR="003F32A6" w:rsidRPr="0018386D" w14:paraId="34B851ED" w14:textId="77777777" w:rsidTr="00CD2F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4" w:type="pct"/>
            <w:tcBorders>
              <w:left w:val="nil"/>
            </w:tcBorders>
            <w:noWrap/>
            <w:hideMark/>
          </w:tcPr>
          <w:p w14:paraId="44D4EE26" w14:textId="247DFD85" w:rsidR="003F32A6" w:rsidRPr="0018386D" w:rsidRDefault="003F32A6" w:rsidP="00DD3106">
            <w:pPr>
              <w:pStyle w:val="TableText"/>
              <w:keepNext/>
              <w:spacing w:before="30" w:after="30"/>
              <w:rPr>
                <w:rFonts w:eastAsia="Times New Roman"/>
                <w:b w:val="0"/>
                <w:bCs w:val="0"/>
                <w:szCs w:val="18"/>
              </w:rPr>
            </w:pPr>
            <w:r w:rsidRPr="0018386D">
              <w:rPr>
                <w:rFonts w:eastAsia="Times New Roman"/>
                <w:b w:val="0"/>
                <w:bCs w:val="0"/>
                <w:szCs w:val="18"/>
              </w:rPr>
              <w:t>Population</w:t>
            </w:r>
          </w:p>
        </w:tc>
        <w:tc>
          <w:tcPr>
            <w:tcW w:w="500" w:type="pct"/>
            <w:noWrap/>
            <w:hideMark/>
          </w:tcPr>
          <w:p w14:paraId="37C109D0" w14:textId="77777777" w:rsidR="003F32A6" w:rsidRPr="0018386D" w:rsidRDefault="003F32A6"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1</w:t>
            </w:r>
          </w:p>
        </w:tc>
        <w:tc>
          <w:tcPr>
            <w:tcW w:w="1500" w:type="pct"/>
            <w:noWrap/>
            <w:hideMark/>
          </w:tcPr>
          <w:p w14:paraId="3CD120E9" w14:textId="283A22C6" w:rsidR="003F32A6" w:rsidRPr="0018386D" w:rsidRDefault="003F32A6"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This is a per</w:t>
            </w:r>
            <w:r w:rsidR="008F4945" w:rsidRPr="0018386D">
              <w:rPr>
                <w:rFonts w:eastAsia="Times New Roman"/>
                <w:szCs w:val="18"/>
              </w:rPr>
              <w:t xml:space="preserve"> </w:t>
            </w:r>
            <w:r w:rsidRPr="0018386D">
              <w:rPr>
                <w:rFonts w:eastAsia="Times New Roman"/>
                <w:szCs w:val="18"/>
              </w:rPr>
              <w:t>person calculation</w:t>
            </w:r>
          </w:p>
        </w:tc>
        <w:tc>
          <w:tcPr>
            <w:tcW w:w="1166" w:type="pct"/>
            <w:tcBorders>
              <w:right w:val="nil"/>
            </w:tcBorders>
            <w:noWrap/>
            <w:hideMark/>
          </w:tcPr>
          <w:p w14:paraId="01ABBE83" w14:textId="77777777" w:rsidR="003F32A6" w:rsidRPr="0018386D" w:rsidRDefault="003F32A6" w:rsidP="00DD3106">
            <w:pPr>
              <w:pStyle w:val="TableText"/>
              <w:keepN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 </w:t>
            </w:r>
          </w:p>
        </w:tc>
      </w:tr>
      <w:tr w:rsidR="003F32A6" w:rsidRPr="0018386D" w14:paraId="42A5706B" w14:textId="77777777" w:rsidTr="00CD2FDD">
        <w:trPr>
          <w:trHeight w:val="285"/>
        </w:trPr>
        <w:tc>
          <w:tcPr>
            <w:cnfStyle w:val="001000000000" w:firstRow="0" w:lastRow="0" w:firstColumn="1" w:lastColumn="0" w:oddVBand="0" w:evenVBand="0" w:oddHBand="0" w:evenHBand="0" w:firstRowFirstColumn="0" w:firstRowLastColumn="0" w:lastRowFirstColumn="0" w:lastRowLastColumn="0"/>
            <w:tcW w:w="1834" w:type="pct"/>
            <w:tcBorders>
              <w:top w:val="single" w:sz="8" w:space="0" w:color="1C556C" w:themeColor="accent1"/>
              <w:left w:val="nil"/>
              <w:bottom w:val="single" w:sz="8" w:space="0" w:color="1C556C" w:themeColor="accent1"/>
            </w:tcBorders>
            <w:noWrap/>
            <w:hideMark/>
          </w:tcPr>
          <w:p w14:paraId="1E2BBCA1" w14:textId="60FC00AA" w:rsidR="003F32A6" w:rsidRPr="0018386D" w:rsidRDefault="003F32A6" w:rsidP="00DD3106">
            <w:pPr>
              <w:pStyle w:val="TableText"/>
              <w:spacing w:before="30" w:after="30"/>
              <w:rPr>
                <w:rFonts w:eastAsia="Times New Roman"/>
                <w:b w:val="0"/>
                <w:bCs w:val="0"/>
                <w:szCs w:val="18"/>
              </w:rPr>
            </w:pPr>
            <w:r w:rsidRPr="0018386D">
              <w:rPr>
                <w:rFonts w:eastAsia="Times New Roman"/>
                <w:b w:val="0"/>
                <w:bCs w:val="0"/>
                <w:szCs w:val="18"/>
              </w:rPr>
              <w:t>Per capita protein consumption</w:t>
            </w:r>
          </w:p>
        </w:tc>
        <w:tc>
          <w:tcPr>
            <w:tcW w:w="500" w:type="pct"/>
            <w:noWrap/>
            <w:hideMark/>
          </w:tcPr>
          <w:p w14:paraId="0EF03A91"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36.135</w:t>
            </w:r>
          </w:p>
        </w:tc>
        <w:tc>
          <w:tcPr>
            <w:tcW w:w="1500" w:type="pct"/>
            <w:noWrap/>
            <w:hideMark/>
          </w:tcPr>
          <w:p w14:paraId="31038A7E"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kg/year</w:t>
            </w:r>
          </w:p>
        </w:tc>
        <w:tc>
          <w:tcPr>
            <w:tcW w:w="1166" w:type="pct"/>
            <w:tcBorders>
              <w:top w:val="single" w:sz="8" w:space="0" w:color="1C556C" w:themeColor="accent1"/>
              <w:bottom w:val="single" w:sz="8" w:space="0" w:color="1C556C" w:themeColor="accent1"/>
              <w:right w:val="nil"/>
            </w:tcBorders>
            <w:noWrap/>
            <w:hideMark/>
          </w:tcPr>
          <w:p w14:paraId="393F0B68" w14:textId="02BC4008"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rPr>
              <w:t>Beca 2007,</w:t>
            </w:r>
            <w:r w:rsidR="007D559B" w:rsidRPr="0018386D">
              <w:rPr>
                <w:rStyle w:val="FootnoteReference"/>
                <w:rFonts w:eastAsia="Times New Roman"/>
                <w:sz w:val="18"/>
                <w:szCs w:val="18"/>
              </w:rPr>
              <w:footnoteReference w:id="57"/>
            </w:r>
            <w:r w:rsidRPr="0018386D">
              <w:rPr>
                <w:rFonts w:eastAsia="Times New Roman"/>
              </w:rPr>
              <w:t xml:space="preserve"> 99</w:t>
            </w:r>
            <w:r w:rsidR="00F70A62" w:rsidRPr="0018386D">
              <w:rPr>
                <w:rFonts w:eastAsia="Times New Roman"/>
              </w:rPr>
              <w:t xml:space="preserve"> </w:t>
            </w:r>
            <w:r w:rsidRPr="0018386D">
              <w:rPr>
                <w:rFonts w:eastAsia="Times New Roman"/>
              </w:rPr>
              <w:t>g/day</w:t>
            </w:r>
          </w:p>
        </w:tc>
      </w:tr>
      <w:tr w:rsidR="003F32A6" w:rsidRPr="0018386D" w14:paraId="4E69097B" w14:textId="77777777" w:rsidTr="00CD2F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4" w:type="pct"/>
            <w:tcBorders>
              <w:left w:val="nil"/>
            </w:tcBorders>
            <w:noWrap/>
            <w:hideMark/>
          </w:tcPr>
          <w:p w14:paraId="5FD69854" w14:textId="5C434EF9" w:rsidR="003F32A6" w:rsidRPr="0018386D" w:rsidRDefault="003F32A6" w:rsidP="00DD3106">
            <w:pPr>
              <w:pStyle w:val="TableText"/>
              <w:spacing w:before="30" w:after="30"/>
              <w:rPr>
                <w:rFonts w:eastAsia="Times New Roman"/>
                <w:b w:val="0"/>
                <w:bCs w:val="0"/>
                <w:szCs w:val="18"/>
              </w:rPr>
            </w:pPr>
            <w:r w:rsidRPr="0018386D">
              <w:rPr>
                <w:rFonts w:eastAsia="Times New Roman"/>
                <w:b w:val="0"/>
                <w:bCs w:val="0"/>
                <w:szCs w:val="18"/>
              </w:rPr>
              <w:t>Fraction of N in protein</w:t>
            </w:r>
          </w:p>
        </w:tc>
        <w:tc>
          <w:tcPr>
            <w:tcW w:w="500" w:type="pct"/>
            <w:noWrap/>
            <w:hideMark/>
          </w:tcPr>
          <w:p w14:paraId="469EB817" w14:textId="77777777" w:rsidR="003F32A6" w:rsidRPr="0018386D" w:rsidRDefault="003F32A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0.16</w:t>
            </w:r>
          </w:p>
        </w:tc>
        <w:tc>
          <w:tcPr>
            <w:tcW w:w="1500" w:type="pct"/>
            <w:noWrap/>
            <w:hideMark/>
          </w:tcPr>
          <w:p w14:paraId="52092192" w14:textId="77777777" w:rsidR="003F32A6" w:rsidRPr="0018386D" w:rsidRDefault="003F32A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 </w:t>
            </w:r>
          </w:p>
        </w:tc>
        <w:tc>
          <w:tcPr>
            <w:tcW w:w="1166" w:type="pct"/>
            <w:tcBorders>
              <w:right w:val="nil"/>
            </w:tcBorders>
            <w:noWrap/>
            <w:hideMark/>
          </w:tcPr>
          <w:p w14:paraId="666867F5" w14:textId="77777777" w:rsidR="003F32A6" w:rsidRPr="0018386D" w:rsidRDefault="003F32A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IPCC default</w:t>
            </w:r>
          </w:p>
        </w:tc>
      </w:tr>
      <w:tr w:rsidR="003F32A6" w:rsidRPr="0018386D" w14:paraId="753B7019" w14:textId="77777777" w:rsidTr="00CD2FDD">
        <w:trPr>
          <w:trHeight w:val="285"/>
        </w:trPr>
        <w:tc>
          <w:tcPr>
            <w:cnfStyle w:val="001000000000" w:firstRow="0" w:lastRow="0" w:firstColumn="1" w:lastColumn="0" w:oddVBand="0" w:evenVBand="0" w:oddHBand="0" w:evenHBand="0" w:firstRowFirstColumn="0" w:firstRowLastColumn="0" w:lastRowFirstColumn="0" w:lastRowLastColumn="0"/>
            <w:tcW w:w="1834" w:type="pct"/>
            <w:tcBorders>
              <w:top w:val="single" w:sz="8" w:space="0" w:color="1C556C" w:themeColor="accent1"/>
              <w:left w:val="nil"/>
              <w:bottom w:val="single" w:sz="8" w:space="0" w:color="1C556C" w:themeColor="accent1"/>
            </w:tcBorders>
            <w:noWrap/>
            <w:hideMark/>
          </w:tcPr>
          <w:p w14:paraId="2E9D879B" w14:textId="77777777" w:rsidR="003F32A6" w:rsidRPr="0018386D" w:rsidRDefault="003F32A6" w:rsidP="00DD3106">
            <w:pPr>
              <w:pStyle w:val="TableText"/>
              <w:spacing w:before="30" w:after="30"/>
              <w:rPr>
                <w:rFonts w:eastAsia="Times New Roman"/>
                <w:b w:val="0"/>
                <w:bCs w:val="0"/>
                <w:szCs w:val="18"/>
              </w:rPr>
            </w:pPr>
            <w:r w:rsidRPr="0018386D">
              <w:rPr>
                <w:rFonts w:eastAsia="Times New Roman"/>
                <w:b w:val="0"/>
                <w:bCs w:val="0"/>
                <w:szCs w:val="18"/>
              </w:rPr>
              <w:t>Fraction of non-consumption protein</w:t>
            </w:r>
          </w:p>
        </w:tc>
        <w:tc>
          <w:tcPr>
            <w:tcW w:w="500" w:type="pct"/>
            <w:noWrap/>
            <w:hideMark/>
          </w:tcPr>
          <w:p w14:paraId="6C680991"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1.4</w:t>
            </w:r>
          </w:p>
        </w:tc>
        <w:tc>
          <w:tcPr>
            <w:tcW w:w="1500" w:type="pct"/>
            <w:noWrap/>
            <w:hideMark/>
          </w:tcPr>
          <w:p w14:paraId="6E43EBB8"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 </w:t>
            </w:r>
          </w:p>
        </w:tc>
        <w:tc>
          <w:tcPr>
            <w:tcW w:w="1166" w:type="pct"/>
            <w:tcBorders>
              <w:top w:val="single" w:sz="8" w:space="0" w:color="1C556C" w:themeColor="accent1"/>
              <w:bottom w:val="single" w:sz="8" w:space="0" w:color="1C556C" w:themeColor="accent1"/>
              <w:right w:val="nil"/>
            </w:tcBorders>
            <w:noWrap/>
            <w:hideMark/>
          </w:tcPr>
          <w:p w14:paraId="0B090CC4"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IPCC default</w:t>
            </w:r>
          </w:p>
        </w:tc>
      </w:tr>
      <w:tr w:rsidR="003F32A6" w:rsidRPr="0018386D" w14:paraId="3A1F518B" w14:textId="77777777" w:rsidTr="00CD2F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4" w:type="pct"/>
            <w:tcBorders>
              <w:left w:val="nil"/>
            </w:tcBorders>
            <w:noWrap/>
            <w:hideMark/>
          </w:tcPr>
          <w:p w14:paraId="0448786E" w14:textId="4FD886FD" w:rsidR="003F32A6" w:rsidRPr="0018386D" w:rsidRDefault="003F32A6" w:rsidP="00DD3106">
            <w:pPr>
              <w:pStyle w:val="TableText"/>
              <w:spacing w:before="30" w:after="30" w:line="200" w:lineRule="atLeast"/>
              <w:rPr>
                <w:rFonts w:eastAsia="Times New Roman"/>
                <w:b w:val="0"/>
                <w:bCs w:val="0"/>
                <w:szCs w:val="18"/>
              </w:rPr>
            </w:pPr>
            <w:r w:rsidRPr="0018386D">
              <w:rPr>
                <w:rFonts w:eastAsia="Times New Roman"/>
                <w:b w:val="0"/>
                <w:bCs w:val="0"/>
                <w:szCs w:val="18"/>
              </w:rPr>
              <w:t>Fraction of industrial and commercial co</w:t>
            </w:r>
            <w:r w:rsidR="005F0F00" w:rsidRPr="0018386D">
              <w:rPr>
                <w:rFonts w:eastAsia="Times New Roman"/>
                <w:b w:val="0"/>
                <w:bCs w:val="0"/>
                <w:szCs w:val="18"/>
              </w:rPr>
              <w:noBreakHyphen/>
            </w:r>
            <w:r w:rsidRPr="0018386D">
              <w:rPr>
                <w:rFonts w:eastAsia="Times New Roman"/>
                <w:b w:val="0"/>
                <w:bCs w:val="0"/>
                <w:szCs w:val="18"/>
              </w:rPr>
              <w:t>discharged protein</w:t>
            </w:r>
          </w:p>
        </w:tc>
        <w:tc>
          <w:tcPr>
            <w:tcW w:w="500" w:type="pct"/>
            <w:noWrap/>
            <w:hideMark/>
          </w:tcPr>
          <w:p w14:paraId="6B40C57C" w14:textId="77777777" w:rsidR="003F32A6" w:rsidRPr="0018386D" w:rsidRDefault="003F32A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1.25</w:t>
            </w:r>
          </w:p>
        </w:tc>
        <w:tc>
          <w:tcPr>
            <w:tcW w:w="1500" w:type="pct"/>
            <w:noWrap/>
            <w:hideMark/>
          </w:tcPr>
          <w:p w14:paraId="2EE528B9" w14:textId="77777777" w:rsidR="003F32A6" w:rsidRPr="0018386D" w:rsidRDefault="003F32A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 </w:t>
            </w:r>
          </w:p>
        </w:tc>
        <w:tc>
          <w:tcPr>
            <w:tcW w:w="1166" w:type="pct"/>
            <w:tcBorders>
              <w:right w:val="nil"/>
            </w:tcBorders>
            <w:noWrap/>
            <w:hideMark/>
          </w:tcPr>
          <w:p w14:paraId="55D07B84" w14:textId="77777777" w:rsidR="003F32A6" w:rsidRPr="0018386D" w:rsidRDefault="003F32A6" w:rsidP="00DD3106">
            <w:pPr>
              <w:pStyle w:val="TableText"/>
              <w:spacing w:before="30" w:after="3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8386D">
              <w:rPr>
                <w:rFonts w:eastAsia="Times New Roman"/>
                <w:szCs w:val="18"/>
              </w:rPr>
              <w:t>IPCC default</w:t>
            </w:r>
          </w:p>
        </w:tc>
      </w:tr>
      <w:tr w:rsidR="003F32A6" w:rsidRPr="0018386D" w14:paraId="74A77200" w14:textId="77777777" w:rsidTr="00CD2FDD">
        <w:trPr>
          <w:trHeight w:val="285"/>
        </w:trPr>
        <w:tc>
          <w:tcPr>
            <w:cnfStyle w:val="001000000000" w:firstRow="0" w:lastRow="0" w:firstColumn="1" w:lastColumn="0" w:oddVBand="0" w:evenVBand="0" w:oddHBand="0" w:evenHBand="0" w:firstRowFirstColumn="0" w:firstRowLastColumn="0" w:lastRowFirstColumn="0" w:lastRowLastColumn="0"/>
            <w:tcW w:w="1834" w:type="pct"/>
            <w:tcBorders>
              <w:top w:val="single" w:sz="8" w:space="0" w:color="1C556C" w:themeColor="accent1"/>
              <w:left w:val="nil"/>
            </w:tcBorders>
            <w:noWrap/>
            <w:hideMark/>
          </w:tcPr>
          <w:p w14:paraId="5E880C20" w14:textId="77777777" w:rsidR="003F32A6" w:rsidRPr="0018386D" w:rsidRDefault="003F32A6" w:rsidP="00DD3106">
            <w:pPr>
              <w:pStyle w:val="TableText"/>
              <w:spacing w:before="30" w:after="30"/>
              <w:rPr>
                <w:rFonts w:eastAsia="Times New Roman"/>
                <w:b w:val="0"/>
                <w:bCs w:val="0"/>
                <w:szCs w:val="18"/>
              </w:rPr>
            </w:pPr>
            <w:r w:rsidRPr="0018386D">
              <w:rPr>
                <w:rFonts w:eastAsia="Times New Roman"/>
                <w:b w:val="0"/>
                <w:bCs w:val="0"/>
                <w:szCs w:val="18"/>
              </w:rPr>
              <w:t>N removed with sludge</w:t>
            </w:r>
          </w:p>
        </w:tc>
        <w:tc>
          <w:tcPr>
            <w:tcW w:w="500" w:type="pct"/>
            <w:noWrap/>
            <w:hideMark/>
          </w:tcPr>
          <w:p w14:paraId="2445FE2B"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0</w:t>
            </w:r>
          </w:p>
        </w:tc>
        <w:tc>
          <w:tcPr>
            <w:tcW w:w="1500" w:type="pct"/>
            <w:noWrap/>
            <w:hideMark/>
          </w:tcPr>
          <w:p w14:paraId="3284B0CD"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Default is zero</w:t>
            </w:r>
          </w:p>
        </w:tc>
        <w:tc>
          <w:tcPr>
            <w:tcW w:w="1166" w:type="pct"/>
            <w:tcBorders>
              <w:top w:val="single" w:sz="8" w:space="0" w:color="1C556C" w:themeColor="accent1"/>
              <w:right w:val="nil"/>
            </w:tcBorders>
            <w:noWrap/>
            <w:hideMark/>
          </w:tcPr>
          <w:p w14:paraId="768F5B1E" w14:textId="77777777" w:rsidR="003F32A6" w:rsidRPr="0018386D" w:rsidRDefault="003F32A6" w:rsidP="00DD3106">
            <w:pPr>
              <w:pStyle w:val="TableText"/>
              <w:spacing w:before="30" w:after="3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8386D">
              <w:rPr>
                <w:rFonts w:eastAsia="Times New Roman"/>
                <w:szCs w:val="18"/>
              </w:rPr>
              <w:t>IPCC default</w:t>
            </w:r>
          </w:p>
        </w:tc>
      </w:tr>
    </w:tbl>
    <w:p w14:paraId="474B8380" w14:textId="6E7E7237" w:rsidR="655AFF7E" w:rsidRPr="0018386D" w:rsidRDefault="655AFF7E" w:rsidP="00DD3106">
      <w:pPr>
        <w:pStyle w:val="BodyText"/>
        <w:spacing w:before="240" w:after="160"/>
      </w:pPr>
      <w:r w:rsidRPr="0018386D">
        <w:rPr>
          <w:rFonts w:eastAsia="Calibri" w:cs="Calibri"/>
        </w:rPr>
        <w:t>Then the second equation calculates nitrous oxide emissions based on the result from the first equation: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5D44A7" w:rsidRPr="0018386D" w14:paraId="1B6E815B" w14:textId="77777777" w:rsidTr="007C30DD">
        <w:tc>
          <w:tcPr>
            <w:tcW w:w="0" w:type="auto"/>
            <w:shd w:val="clear" w:color="auto" w:fill="D2DDE1" w:themeFill="background2"/>
          </w:tcPr>
          <w:p w14:paraId="72E6CDB5" w14:textId="44800224" w:rsidR="005D44A7" w:rsidRPr="0018386D" w:rsidRDefault="00C7627E" w:rsidP="00DD3106">
            <w:pPr>
              <w:pStyle w:val="Blueboxtext"/>
              <w:ind w:left="0"/>
            </w:pPr>
            <m:oMathPara>
              <m:oMath>
                <m:sSub>
                  <m:sSubPr>
                    <m:ctrlPr>
                      <w:rPr>
                        <w:rFonts w:ascii="Cambria Math" w:eastAsia="Times New Roman" w:hAnsi="Cambria Math"/>
                      </w:rPr>
                    </m:ctrlPr>
                  </m:sSubPr>
                  <m:e>
                    <m:r>
                      <w:rPr>
                        <w:rFonts w:ascii="Cambria Math" w:eastAsia="Times New Roman" w:hAnsi="Cambria Math"/>
                      </w:rPr>
                      <m:t>N</m:t>
                    </m:r>
                  </m:e>
                  <m:sub>
                    <m:r>
                      <m:rPr>
                        <m:sty m:val="p"/>
                      </m:rPr>
                      <w:rPr>
                        <w:rFonts w:ascii="Cambria Math" w:eastAsia="Times New Roman" w:hAnsi="Cambria Math"/>
                      </w:rPr>
                      <m:t>2</m:t>
                    </m:r>
                  </m:sub>
                </m:sSub>
                <m:r>
                  <w:rPr>
                    <w:rFonts w:ascii="Cambria Math" w:eastAsia="Times New Roman" w:hAnsi="Cambria Math"/>
                  </w:rPr>
                  <m:t>O</m:t>
                </m:r>
                <m:r>
                  <m:rPr>
                    <m:sty m:val="p"/>
                  </m:rPr>
                  <w:rPr>
                    <w:rFonts w:ascii="Cambria Math" w:eastAsia="Times New Roman" w:hAnsi="Cambria Math"/>
                  </w:rPr>
                  <m:t xml:space="preserve"> </m:t>
                </m:r>
                <m:r>
                  <w:rPr>
                    <w:rFonts w:ascii="Cambria Math" w:eastAsia="Times New Roman" w:hAnsi="Cambria Math"/>
                  </w:rPr>
                  <m:t>emissions</m:t>
                </m:r>
                <m:r>
                  <m:rPr>
                    <m:sty m:val="p"/>
                  </m:rPr>
                  <w:rPr>
                    <w:rFonts w:ascii="Cambria Math" w:eastAsia="Times New Roman" w:hAnsi="Cambria Math"/>
                  </w:rPr>
                  <m:t xml:space="preserve"> </m:t>
                </m:r>
                <m:d>
                  <m:dPr>
                    <m:ctrlPr>
                      <w:rPr>
                        <w:rFonts w:ascii="Cambria Math" w:eastAsia="Times New Roman" w:hAnsi="Cambria Math"/>
                      </w:rPr>
                    </m:ctrlPr>
                  </m:dPr>
                  <m:e>
                    <m:r>
                      <w:rPr>
                        <w:rFonts w:ascii="Cambria Math" w:eastAsia="Times New Roman" w:hAnsi="Cambria Math"/>
                      </w:rPr>
                      <m:t>kg</m:t>
                    </m:r>
                    <m:sSub>
                      <m:sSubPr>
                        <m:ctrlPr>
                          <w:rPr>
                            <w:rFonts w:ascii="Cambria Math" w:eastAsia="Times New Roman" w:hAnsi="Cambria Math"/>
                          </w:rPr>
                        </m:ctrlPr>
                      </m:sSubPr>
                      <m:e>
                        <m:r>
                          <w:rPr>
                            <w:rFonts w:ascii="Cambria Math" w:eastAsia="Times New Roman" w:hAnsi="Cambria Math"/>
                          </w:rPr>
                          <m:t xml:space="preserve"> </m:t>
                        </m:r>
                        <m:r>
                          <w:rPr>
                            <w:rFonts w:ascii="Cambria Math" w:eastAsia="Times New Roman" w:hAnsi="Cambria Math"/>
                          </w:rPr>
                          <m:t>CO</m:t>
                        </m:r>
                      </m:e>
                      <m:sub>
                        <m:r>
                          <m:rPr>
                            <m:sty m:val="p"/>
                          </m:rPr>
                          <w:rPr>
                            <w:rFonts w:ascii="Cambria Math" w:eastAsia="Times New Roman" w:hAnsi="Cambria Math"/>
                          </w:rPr>
                          <m:t xml:space="preserve">2 </m:t>
                        </m:r>
                      </m:sub>
                    </m:sSub>
                    <m:r>
                      <w:rPr>
                        <w:rFonts w:ascii="Cambria Math" w:eastAsia="Times New Roman" w:hAnsi="Cambria Math"/>
                      </w:rPr>
                      <m:t>e</m:t>
                    </m:r>
                    <m:r>
                      <m:rPr>
                        <m:sty m:val="p"/>
                      </m:rPr>
                      <w:rPr>
                        <w:rFonts w:ascii="Cambria Math" w:eastAsia="Times New Roman" w:hAnsi="Cambria Math"/>
                      </w:rPr>
                      <m:t xml:space="preserve"> </m:t>
                    </m:r>
                    <m:r>
                      <w:rPr>
                        <w:rFonts w:ascii="Cambria Math" w:eastAsia="Times New Roman" w:hAnsi="Cambria Math"/>
                      </w:rPr>
                      <m:t>per</m:t>
                    </m:r>
                    <m:r>
                      <m:rPr>
                        <m:sty m:val="p"/>
                      </m:rPr>
                      <w:rPr>
                        <w:rFonts w:ascii="Cambria Math" w:eastAsia="Times New Roman" w:hAnsi="Cambria Math"/>
                      </w:rPr>
                      <m:t xml:space="preserve"> </m:t>
                    </m:r>
                    <m:r>
                      <w:rPr>
                        <w:rFonts w:ascii="Cambria Math" w:eastAsia="Times New Roman" w:hAnsi="Cambria Math"/>
                      </w:rPr>
                      <m:t>capita</m:t>
                    </m:r>
                  </m:e>
                </m:d>
                <m:r>
                  <m:rPr>
                    <m:sty m:val="p"/>
                  </m:rPr>
                  <w:rPr>
                    <w:rFonts w:ascii="Cambria Math" w:eastAsia="Times New Roman" w:hAnsi="Cambria Math"/>
                  </w:rPr>
                  <m:t>=</m:t>
                </m:r>
                <m:r>
                  <w:rPr>
                    <w:rFonts w:ascii="Cambria Math" w:eastAsia="Times New Roman" w:hAnsi="Cambria Math"/>
                  </w:rPr>
                  <m:t>per</m:t>
                </m:r>
                <m:r>
                  <m:rPr>
                    <m:sty m:val="p"/>
                  </m:rPr>
                  <w:rPr>
                    <w:rFonts w:ascii="Cambria Math" w:eastAsia="Times New Roman" w:hAnsi="Cambria Math"/>
                  </w:rPr>
                  <m:t xml:space="preserve"> </m:t>
                </m:r>
                <m:r>
                  <w:rPr>
                    <w:rFonts w:ascii="Cambria Math" w:eastAsia="Times New Roman" w:hAnsi="Cambria Math"/>
                  </w:rPr>
                  <m:t>capita</m:t>
                </m:r>
                <m:r>
                  <m:rPr>
                    <m:sty m:val="p"/>
                  </m:rPr>
                  <w:rPr>
                    <w:rFonts w:ascii="Cambria Math" w:eastAsia="Times New Roman" w:hAnsi="Cambria Math"/>
                  </w:rPr>
                  <m:t xml:space="preserve"> </m:t>
                </m:r>
                <m:r>
                  <w:rPr>
                    <w:rFonts w:ascii="Cambria Math" w:eastAsia="Times New Roman" w:hAnsi="Cambria Math"/>
                  </w:rPr>
                  <m:t>nitrogen</m:t>
                </m:r>
                <m:r>
                  <m:rPr>
                    <m:sty m:val="p"/>
                  </m:rPr>
                  <w:rPr>
                    <w:rFonts w:ascii="Cambria Math" w:eastAsia="Times New Roman" w:hAnsi="Cambria Math"/>
                  </w:rPr>
                  <m:t xml:space="preserve"> </m:t>
                </m:r>
                <m:r>
                  <w:rPr>
                    <w:rFonts w:ascii="Cambria Math" w:eastAsia="Times New Roman" w:hAnsi="Cambria Math"/>
                  </w:rPr>
                  <m:t>in</m:t>
                </m:r>
                <m:r>
                  <m:rPr>
                    <m:sty m:val="p"/>
                  </m:rPr>
                  <w:rPr>
                    <w:rFonts w:ascii="Cambria Math" w:eastAsia="Times New Roman" w:hAnsi="Cambria Math"/>
                  </w:rPr>
                  <m:t xml:space="preserve"> </m:t>
                </m:r>
                <m:r>
                  <w:rPr>
                    <w:rFonts w:ascii="Cambria Math" w:eastAsia="Times New Roman" w:hAnsi="Cambria Math"/>
                  </w:rPr>
                  <m:t>effluent</m:t>
                </m:r>
                <m:r>
                  <m:rPr>
                    <m:sty m:val="p"/>
                  </m:rPr>
                  <w:rPr>
                    <w:rFonts w:ascii="Cambria Math" w:eastAsia="Times New Roman" w:hAnsi="Cambria Math"/>
                  </w:rPr>
                  <m:t xml:space="preserve"> ×</m:t>
                </m:r>
                <m:r>
                  <w:rPr>
                    <w:rFonts w:ascii="Cambria Math" w:eastAsia="Times New Roman" w:hAnsi="Cambria Math"/>
                  </w:rPr>
                  <m:t>E</m:t>
                </m:r>
                <m:sSub>
                  <m:sSubPr>
                    <m:ctrlPr>
                      <w:rPr>
                        <w:rFonts w:ascii="Cambria Math" w:eastAsia="Times New Roman" w:hAnsi="Cambria Math"/>
                      </w:rPr>
                    </m:ctrlPr>
                  </m:sSubPr>
                  <m:e>
                    <m:r>
                      <w:rPr>
                        <w:rFonts w:ascii="Cambria Math" w:eastAsia="Times New Roman" w:hAnsi="Cambria Math"/>
                      </w:rPr>
                      <m:t>F</m:t>
                    </m:r>
                  </m:e>
                  <m:sub>
                    <m:r>
                      <w:rPr>
                        <w:rFonts w:ascii="Cambria Math" w:eastAsia="Times New Roman" w:hAnsi="Cambria Math"/>
                      </w:rPr>
                      <m:t>effluent</m:t>
                    </m:r>
                  </m:sub>
                </m:sSub>
                <m:r>
                  <m:rPr>
                    <m:sty m:val="p"/>
                  </m:rP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44</m:t>
                    </m:r>
                  </m:num>
                  <m:den>
                    <m:r>
                      <m:rPr>
                        <m:sty m:val="p"/>
                      </m:rPr>
                      <w:rPr>
                        <w:rFonts w:ascii="Cambria Math" w:eastAsia="Times New Roman" w:hAnsi="Cambria Math"/>
                      </w:rPr>
                      <m:t>28</m:t>
                    </m:r>
                  </m:den>
                </m:f>
                <m:r>
                  <m:rPr>
                    <m:sty m:val="p"/>
                  </m:rPr>
                  <w:rPr>
                    <w:rFonts w:ascii="Cambria Math" w:eastAsia="Times New Roman" w:hAnsi="Cambria Math"/>
                  </w:rPr>
                  <m:t xml:space="preserve"> ×</m:t>
                </m:r>
                <m:r>
                  <w:rPr>
                    <w:rFonts w:ascii="Cambria Math" w:eastAsia="Times New Roman" w:hAnsi="Cambria Math"/>
                  </w:rPr>
                  <m:t>GWP</m:t>
                </m:r>
              </m:oMath>
            </m:oMathPara>
          </w:p>
        </w:tc>
      </w:tr>
    </w:tbl>
    <w:p w14:paraId="3DD85C4D" w14:textId="03F0900F" w:rsidR="00B93232" w:rsidRPr="0018386D" w:rsidRDefault="00B93232" w:rsidP="00DD3106">
      <w:pPr>
        <w:pStyle w:val="BodyText"/>
        <w:spacing w:before="240" w:after="100"/>
        <w:rPr>
          <w:rFonts w:eastAsia="Calibri" w:cs="Calibri"/>
          <w:color w:val="000000" w:themeColor="text1"/>
        </w:rPr>
      </w:pPr>
      <w:r w:rsidRPr="0018386D">
        <w:rPr>
          <w:rFonts w:eastAsia="Calibri" w:cs="Calibri"/>
          <w:color w:val="000000" w:themeColor="text1"/>
        </w:rPr>
        <w:t>Where</w:t>
      </w:r>
      <w:r w:rsidR="008858E9" w:rsidRPr="0018386D">
        <w:rPr>
          <w:rFonts w:eastAsia="Calibri" w:cs="Calibri"/>
          <w:color w:val="000000" w:themeColor="text1"/>
        </w:rPr>
        <w:t xml:space="preserve"> the following data were used: </w:t>
      </w:r>
    </w:p>
    <w:p w14:paraId="442264D0" w14:textId="22C9C5FA" w:rsidR="00B93232" w:rsidRPr="0018386D" w:rsidRDefault="0071351B" w:rsidP="00DD3106">
      <w:pPr>
        <w:pStyle w:val="Bullet"/>
        <w:spacing w:after="100"/>
        <w:rPr>
          <w:rFonts w:eastAsia="Calibri" w:cs="Calibri"/>
          <w:color w:val="000000" w:themeColor="text1"/>
          <w:szCs w:val="22"/>
        </w:rPr>
      </w:pPr>
      <w:r w:rsidRPr="0018386D">
        <w:rPr>
          <w:rFonts w:eastAsia="Calibri" w:cs="Calibri"/>
          <w:color w:val="000000" w:themeColor="text1"/>
        </w:rPr>
        <w:t>p</w:t>
      </w:r>
      <w:r w:rsidR="00B93232" w:rsidRPr="0018386D">
        <w:rPr>
          <w:rFonts w:eastAsia="Calibri" w:cs="Calibri"/>
          <w:color w:val="000000" w:themeColor="text1"/>
        </w:rPr>
        <w:t>er capita nitrogen in effluent = from equation above</w:t>
      </w:r>
    </w:p>
    <w:p w14:paraId="0A00639E" w14:textId="3ED34E77" w:rsidR="00B93232" w:rsidRPr="0018386D" w:rsidRDefault="0071351B" w:rsidP="00DD3106">
      <w:pPr>
        <w:pStyle w:val="Bullet"/>
        <w:spacing w:after="100"/>
        <w:rPr>
          <w:rFonts w:eastAsia="Calibri" w:cs="Calibri"/>
          <w:color w:val="000000" w:themeColor="text1"/>
          <w:szCs w:val="22"/>
        </w:rPr>
      </w:pPr>
      <w:r w:rsidRPr="0018386D">
        <w:rPr>
          <w:rFonts w:eastAsia="Calibri" w:cs="Calibri"/>
          <w:color w:val="000000" w:themeColor="text1"/>
        </w:rPr>
        <w:t>e</w:t>
      </w:r>
      <w:r w:rsidR="00B93232" w:rsidRPr="0018386D">
        <w:rPr>
          <w:rFonts w:eastAsia="Calibri" w:cs="Calibri"/>
          <w:color w:val="000000" w:themeColor="text1"/>
        </w:rPr>
        <w:t>ffluent = emission factor of 0.005 kg N</w:t>
      </w:r>
      <w:r w:rsidR="00B93232" w:rsidRPr="0018386D">
        <w:rPr>
          <w:rFonts w:eastAsia="Calibri" w:cs="Calibri"/>
          <w:color w:val="000000" w:themeColor="text1"/>
          <w:vertAlign w:val="subscript"/>
        </w:rPr>
        <w:t>2</w:t>
      </w:r>
      <w:r w:rsidR="00B93232" w:rsidRPr="0018386D">
        <w:rPr>
          <w:rFonts w:eastAsia="Calibri" w:cs="Calibri"/>
          <w:color w:val="000000" w:themeColor="text1"/>
        </w:rPr>
        <w:t xml:space="preserve">O-N/kg N (IPCC </w:t>
      </w:r>
      <w:r w:rsidR="008858E9" w:rsidRPr="0018386D">
        <w:rPr>
          <w:rFonts w:eastAsia="Calibri" w:cs="Calibri"/>
          <w:color w:val="000000" w:themeColor="text1"/>
        </w:rPr>
        <w:t>2006</w:t>
      </w:r>
      <w:r w:rsidR="00B93232" w:rsidRPr="0018386D">
        <w:rPr>
          <w:rFonts w:eastAsia="Calibri" w:cs="Calibri"/>
          <w:color w:val="000000" w:themeColor="text1"/>
        </w:rPr>
        <w:t>)</w:t>
      </w:r>
    </w:p>
    <w:p w14:paraId="755E3164" w14:textId="07ADBF2B" w:rsidR="00B93232" w:rsidRPr="0018386D" w:rsidRDefault="00B93232" w:rsidP="00DD3106">
      <w:pPr>
        <w:pStyle w:val="Bullet"/>
        <w:spacing w:after="100"/>
        <w:rPr>
          <w:rFonts w:eastAsia="Calibri" w:cs="Calibri"/>
          <w:color w:val="000000" w:themeColor="text1"/>
          <w:sz w:val="17"/>
          <w:szCs w:val="17"/>
        </w:rPr>
      </w:pPr>
      <w:r w:rsidRPr="0018386D">
        <w:rPr>
          <w:rFonts w:eastAsia="Calibri" w:cs="Calibri"/>
          <w:color w:val="000000" w:themeColor="text1"/>
        </w:rPr>
        <w:t>44/28 ratio of N</w:t>
      </w:r>
      <w:r w:rsidRPr="0018386D">
        <w:rPr>
          <w:rFonts w:eastAsia="Calibri" w:cs="Calibri"/>
          <w:color w:val="000000" w:themeColor="text1"/>
          <w:vertAlign w:val="subscript"/>
        </w:rPr>
        <w:t>2</w:t>
      </w:r>
      <w:r w:rsidRPr="0018386D">
        <w:rPr>
          <w:rFonts w:eastAsia="Calibri" w:cs="Calibri"/>
          <w:color w:val="000000" w:themeColor="text1"/>
        </w:rPr>
        <w:t>O to N</w:t>
      </w:r>
      <w:r w:rsidRPr="0018386D">
        <w:rPr>
          <w:rFonts w:eastAsia="Calibri" w:cs="Calibri"/>
          <w:color w:val="000000" w:themeColor="text1"/>
          <w:vertAlign w:val="subscript"/>
        </w:rPr>
        <w:t>2</w:t>
      </w:r>
    </w:p>
    <w:p w14:paraId="77E70528" w14:textId="084BC51F" w:rsidR="00B93232" w:rsidRPr="0018386D" w:rsidRDefault="00B93232" w:rsidP="00DD3106">
      <w:pPr>
        <w:pStyle w:val="Bullet"/>
        <w:spacing w:after="100"/>
        <w:rPr>
          <w:rFonts w:eastAsia="Calibri" w:cs="Calibri"/>
          <w:color w:val="000000" w:themeColor="text1"/>
          <w:szCs w:val="22"/>
        </w:rPr>
      </w:pPr>
      <w:r w:rsidRPr="0018386D">
        <w:rPr>
          <w:rFonts w:eastAsia="Calibri" w:cs="Calibri"/>
          <w:color w:val="000000" w:themeColor="text1"/>
        </w:rPr>
        <w:t xml:space="preserve">GWP = </w:t>
      </w:r>
      <w:r w:rsidR="008858E9" w:rsidRPr="0018386D">
        <w:rPr>
          <w:rFonts w:eastAsia="Calibri" w:cs="Calibri"/>
          <w:color w:val="000000" w:themeColor="text1"/>
        </w:rPr>
        <w:t xml:space="preserve">265 </w:t>
      </w:r>
      <w:r w:rsidRPr="0018386D">
        <w:rPr>
          <w:rFonts w:eastAsia="Calibri" w:cs="Calibri"/>
          <w:color w:val="000000" w:themeColor="text1"/>
        </w:rPr>
        <w:t>(IPCC</w:t>
      </w:r>
      <w:r w:rsidR="004260A8" w:rsidRPr="0018386D">
        <w:rPr>
          <w:rFonts w:eastAsia="Calibri" w:cs="Calibri"/>
          <w:color w:val="000000" w:themeColor="text1"/>
        </w:rPr>
        <w:t xml:space="preserve"> </w:t>
      </w:r>
      <w:r w:rsidRPr="0018386D">
        <w:rPr>
          <w:rFonts w:eastAsia="Calibri" w:cs="Calibri"/>
          <w:color w:val="000000" w:themeColor="text1"/>
        </w:rPr>
        <w:t>AR</w:t>
      </w:r>
      <w:r w:rsidR="008858E9" w:rsidRPr="0018386D">
        <w:rPr>
          <w:rFonts w:eastAsia="Calibri" w:cs="Calibri"/>
          <w:color w:val="000000" w:themeColor="text1"/>
        </w:rPr>
        <w:t>5</w:t>
      </w:r>
      <w:r w:rsidRPr="0018386D">
        <w:rPr>
          <w:rFonts w:eastAsia="Calibri" w:cs="Calibri"/>
          <w:color w:val="000000" w:themeColor="text1"/>
        </w:rPr>
        <w:t>)</w:t>
      </w:r>
      <w:r w:rsidR="003E54D5" w:rsidRPr="0018386D">
        <w:rPr>
          <w:rFonts w:eastAsia="Calibri" w:cs="Calibri"/>
          <w:color w:val="000000" w:themeColor="text1"/>
        </w:rPr>
        <w:t>.</w:t>
      </w:r>
    </w:p>
    <w:p w14:paraId="682C4066" w14:textId="739CDC02" w:rsidR="00B93232" w:rsidRPr="0018386D" w:rsidRDefault="00766DA1" w:rsidP="00DD3106">
      <w:pPr>
        <w:pStyle w:val="BodyText"/>
        <w:rPr>
          <w:rFonts w:eastAsia="Calibri" w:cs="Calibri"/>
          <w:color w:val="000000" w:themeColor="text1"/>
        </w:rPr>
      </w:pPr>
      <w:r w:rsidRPr="0018386D">
        <w:rPr>
          <w:rFonts w:eastAsia="Calibri" w:cs="Calibri"/>
          <w:color w:val="000000" w:themeColor="text1"/>
        </w:rPr>
        <w:t>Divide t</w:t>
      </w:r>
      <w:r w:rsidR="00B93232" w:rsidRPr="0018386D">
        <w:rPr>
          <w:rFonts w:eastAsia="Calibri" w:cs="Calibri"/>
          <w:color w:val="000000" w:themeColor="text1"/>
        </w:rPr>
        <w:t>hese emissions per capita by the average volume of water treated (</w:t>
      </w:r>
      <w:r w:rsidR="00C24EF1" w:rsidRPr="0018386D">
        <w:rPr>
          <w:rFonts w:eastAsia="Calibri" w:cs="Calibri"/>
          <w:color w:val="000000" w:themeColor="text1"/>
        </w:rPr>
        <w:t>95</w:t>
      </w:r>
      <w:r w:rsidR="00B93232" w:rsidRPr="0018386D">
        <w:rPr>
          <w:rFonts w:eastAsia="Calibri" w:cs="Calibri"/>
          <w:color w:val="000000" w:themeColor="text1"/>
        </w:rPr>
        <w:t xml:space="preserve"> m</w:t>
      </w:r>
      <w:r w:rsidR="00B93232" w:rsidRPr="0018386D">
        <w:rPr>
          <w:rFonts w:eastAsia="Calibri" w:cs="Calibri"/>
          <w:color w:val="000000" w:themeColor="text1"/>
          <w:vertAlign w:val="superscript"/>
        </w:rPr>
        <w:t>3</w:t>
      </w:r>
      <w:r w:rsidR="00B93232" w:rsidRPr="0018386D">
        <w:rPr>
          <w:rFonts w:eastAsia="Calibri" w:cs="Calibri"/>
          <w:color w:val="000000" w:themeColor="text1"/>
        </w:rPr>
        <w:t>) per person to give the emissions per m</w:t>
      </w:r>
      <w:r w:rsidR="00B93232" w:rsidRPr="0018386D">
        <w:rPr>
          <w:rFonts w:eastAsia="Calibri" w:cs="Calibri"/>
          <w:color w:val="000000" w:themeColor="text1"/>
          <w:vertAlign w:val="superscript"/>
        </w:rPr>
        <w:t>3</w:t>
      </w:r>
      <w:r w:rsidR="00B93232" w:rsidRPr="0018386D">
        <w:rPr>
          <w:rFonts w:eastAsia="Calibri" w:cs="Calibri"/>
          <w:color w:val="000000" w:themeColor="text1"/>
        </w:rPr>
        <w:t>.</w:t>
      </w:r>
    </w:p>
    <w:p w14:paraId="1DD61903" w14:textId="177A8B77" w:rsidR="00A959E4" w:rsidRPr="0018386D" w:rsidRDefault="00A959E4" w:rsidP="00DD3106">
      <w:pPr>
        <w:pStyle w:val="Heading4"/>
        <w:numPr>
          <w:ilvl w:val="3"/>
          <w:numId w:val="8"/>
        </w:numPr>
        <w:ind w:left="1134" w:hanging="1134"/>
      </w:pPr>
      <w:r w:rsidRPr="0018386D">
        <w:t xml:space="preserve">Industrial </w:t>
      </w:r>
      <w:r w:rsidR="00E504C3" w:rsidRPr="0018386D">
        <w:t>w</w:t>
      </w:r>
      <w:r w:rsidRPr="0018386D">
        <w:t xml:space="preserve">astewater </w:t>
      </w:r>
      <w:r w:rsidR="004D1A6E" w:rsidRPr="0018386D">
        <w:t>treatment</w:t>
      </w:r>
    </w:p>
    <w:p w14:paraId="398A4E4C" w14:textId="50FECCD1" w:rsidR="00A959E4" w:rsidRPr="0018386D" w:rsidRDefault="00E504C3" w:rsidP="00DD3106">
      <w:pPr>
        <w:pStyle w:val="BodyText"/>
        <w:spacing w:before="100" w:after="100"/>
      </w:pPr>
      <w:r w:rsidRPr="0018386D">
        <w:t xml:space="preserve">As with </w:t>
      </w:r>
      <w:r w:rsidR="00A959E4" w:rsidRPr="0018386D">
        <w:t xml:space="preserve">domestic wastewater, </w:t>
      </w:r>
      <w:r w:rsidR="003F32A6" w:rsidRPr="0018386D">
        <w:t xml:space="preserve">we derived </w:t>
      </w:r>
      <w:r w:rsidR="00A959E4" w:rsidRPr="0018386D">
        <w:t xml:space="preserve">the emission factors for industrial wastewater treatment from the total </w:t>
      </w:r>
      <w:r w:rsidR="003F32A6" w:rsidRPr="0018386D">
        <w:t>energy</w:t>
      </w:r>
      <w:r w:rsidR="00FF78E6" w:rsidRPr="0018386D">
        <w:t>-</w:t>
      </w:r>
      <w:r w:rsidR="003F32A6" w:rsidRPr="0018386D">
        <w:t xml:space="preserve">use </w:t>
      </w:r>
      <w:r w:rsidR="00A959E4" w:rsidRPr="0018386D">
        <w:t>emissions in the wastewater treatment plants and the gases emitted during the treatment process.</w:t>
      </w:r>
    </w:p>
    <w:p w14:paraId="09EA9B05" w14:textId="47F2B15E" w:rsidR="00A959E4" w:rsidRPr="0018386D" w:rsidRDefault="00F90A3F" w:rsidP="00DD3106">
      <w:pPr>
        <w:pStyle w:val="BodyText"/>
        <w:spacing w:before="100" w:after="100"/>
      </w:pPr>
      <w:proofErr w:type="gramStart"/>
      <w:r w:rsidRPr="0018386D">
        <w:t>For the purpose of</w:t>
      </w:r>
      <w:proofErr w:type="gramEnd"/>
      <w:r w:rsidRPr="0018386D">
        <w:t xml:space="preserve"> this guide, it is assumed t</w:t>
      </w:r>
      <w:r w:rsidR="00A959E4" w:rsidRPr="0018386D">
        <w:t xml:space="preserve">here are no direct </w:t>
      </w:r>
      <w:r w:rsidR="008D6410" w:rsidRPr="0018386D">
        <w:t>carbon dioxide</w:t>
      </w:r>
      <w:r w:rsidR="00A959E4" w:rsidRPr="0018386D">
        <w:t xml:space="preserve"> emissions from the treatment of wastewater</w:t>
      </w:r>
      <w:r w:rsidR="001049CA" w:rsidRPr="0018386D">
        <w:t xml:space="preserve">, as all </w:t>
      </w:r>
      <w:r w:rsidR="00AB3F6F" w:rsidRPr="0018386D">
        <w:t>carbon dioxide</w:t>
      </w:r>
      <w:r w:rsidR="001049CA" w:rsidRPr="0018386D">
        <w:t xml:space="preserve"> emissions are biogenic</w:t>
      </w:r>
      <w:r w:rsidR="00E504C3" w:rsidRPr="0018386D">
        <w:t>. T</w:t>
      </w:r>
      <w:r w:rsidR="00A959E4" w:rsidRPr="0018386D">
        <w:t>herefore</w:t>
      </w:r>
      <w:r w:rsidR="00D411B3" w:rsidRPr="0018386D">
        <w:t>,</w:t>
      </w:r>
      <w:r w:rsidR="00A959E4" w:rsidRPr="0018386D">
        <w:t xml:space="preserve"> </w:t>
      </w:r>
      <w:r w:rsidR="003F32A6" w:rsidRPr="0018386D">
        <w:t xml:space="preserve">we have calculated </w:t>
      </w:r>
      <w:r w:rsidR="00A959E4" w:rsidRPr="0018386D">
        <w:t xml:space="preserve">only </w:t>
      </w:r>
      <w:r w:rsidR="008D6410" w:rsidRPr="0018386D">
        <w:t>methane</w:t>
      </w:r>
      <w:r w:rsidR="00A959E4" w:rsidRPr="0018386D">
        <w:t xml:space="preserve"> and </w:t>
      </w:r>
      <w:r w:rsidR="008D6410" w:rsidRPr="0018386D">
        <w:t>nitrous oxide</w:t>
      </w:r>
      <w:r w:rsidR="00A959E4" w:rsidRPr="0018386D">
        <w:t xml:space="preserve"> emissions. </w:t>
      </w:r>
    </w:p>
    <w:p w14:paraId="0849C764" w14:textId="79333710" w:rsidR="00A959E4" w:rsidRPr="0018386D" w:rsidRDefault="00A959E4" w:rsidP="00DD3106">
      <w:pPr>
        <w:pStyle w:val="BodyText"/>
        <w:spacing w:before="100" w:after="160"/>
      </w:pPr>
      <w:r w:rsidRPr="0018386D">
        <w:t xml:space="preserve">The equation followed to calculate </w:t>
      </w:r>
      <w:r w:rsidR="008D6410" w:rsidRPr="0018386D">
        <w:t>methane</w:t>
      </w:r>
      <w:r w:rsidR="003F32A6" w:rsidRPr="0018386D">
        <w:rPr>
          <w:vertAlign w:val="subscript"/>
        </w:rPr>
        <w:t xml:space="preserve"> </w:t>
      </w:r>
      <w:r w:rsidRPr="0018386D">
        <w:t>emissions is</w:t>
      </w:r>
      <w:r w:rsidR="00AB3F6F" w:rsidRPr="0018386D">
        <w:t>:</w:t>
      </w:r>
    </w:p>
    <w:tbl>
      <w:tblPr>
        <w:tblStyle w:val="TableGrid"/>
        <w:tblW w:w="861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618"/>
      </w:tblGrid>
      <w:tr w:rsidR="000174CA" w:rsidRPr="0018386D" w14:paraId="1FF9C3B4" w14:textId="77777777" w:rsidTr="001A61DF">
        <w:tc>
          <w:tcPr>
            <w:tcW w:w="0" w:type="auto"/>
            <w:shd w:val="clear" w:color="auto" w:fill="D2DDE1" w:themeFill="background2"/>
          </w:tcPr>
          <w:p w14:paraId="7FF2C844" w14:textId="4D4F36C7" w:rsidR="000174CA" w:rsidRPr="0018386D" w:rsidRDefault="000174CA" w:rsidP="00DD3106">
            <w:pPr>
              <w:pStyle w:val="Blueboxtext"/>
              <w:spacing w:before="180" w:after="180"/>
              <w:ind w:left="0"/>
            </w:pPr>
            <m:oMathPara>
              <m:oMath>
                <m:r>
                  <w:rPr>
                    <w:rFonts w:ascii="Cambria Math" w:hAnsi="Cambria Math"/>
                  </w:rPr>
                  <m:t>mbCOD</m:t>
                </m:r>
                <m:r>
                  <m:rPr>
                    <m:sty m:val="p"/>
                  </m:rPr>
                  <w:rPr>
                    <w:rFonts w:ascii="Cambria Math" w:hAnsi="Cambria Math"/>
                  </w:rPr>
                  <m:t xml:space="preserve"> ×</m:t>
                </m:r>
                <m:r>
                  <w:rPr>
                    <w:rFonts w:ascii="Cambria Math" w:hAnsi="Cambria Math"/>
                  </w:rPr>
                  <m:t>EF</m:t>
                </m:r>
                <m:r>
                  <m:rPr>
                    <m:sty m:val="p"/>
                  </m:rPr>
                  <w:rPr>
                    <w:rFonts w:ascii="Cambria Math" w:hAnsi="Cambria Math"/>
                  </w:rPr>
                  <m:t xml:space="preserve"> ×</m:t>
                </m:r>
                <m:r>
                  <w:rPr>
                    <w:rFonts w:ascii="Cambria Math" w:hAnsi="Cambria Math"/>
                  </w:rPr>
                  <m:t>GWP</m:t>
                </m:r>
                <m:r>
                  <m:rPr>
                    <m:sty m:val="p"/>
                  </m:rPr>
                  <w:rPr>
                    <w:rFonts w:ascii="Cambria Math" w:hAnsi="Cambria Math"/>
                  </w:rPr>
                  <m:t>=</m:t>
                </m:r>
                <m:r>
                  <w:rPr>
                    <w:rFonts w:ascii="Cambria Math" w:hAnsi="Cambria Math"/>
                  </w:rPr>
                  <m:t>methane</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kg</m:t>
                </m:r>
                <m:r>
                  <m:rPr>
                    <m:sty m:val="p"/>
                  </m:rPr>
                  <w:rPr>
                    <w:rFonts w:ascii="Cambria Math" w:hAnsi="Cambria Math"/>
                  </w:rPr>
                  <m:t>/</m:t>
                </m:r>
                <m:r>
                  <w:rPr>
                    <w:rFonts w:ascii="Cambria Math" w:hAnsi="Cambria Math"/>
                  </w:rPr>
                  <m:t>unit</m:t>
                </m:r>
                <m:r>
                  <m:rPr>
                    <m:sty m:val="p"/>
                  </m:rPr>
                  <w:rPr>
                    <w:rFonts w:ascii="Cambria Math" w:hAnsi="Cambria Math"/>
                  </w:rPr>
                  <m:t>)</m:t>
                </m:r>
              </m:oMath>
            </m:oMathPara>
          </w:p>
        </w:tc>
      </w:tr>
    </w:tbl>
    <w:p w14:paraId="277EECDB" w14:textId="5B353848" w:rsidR="00A959E4" w:rsidRPr="0018386D" w:rsidRDefault="00A959E4" w:rsidP="00DD3106">
      <w:pPr>
        <w:pStyle w:val="BodyText"/>
        <w:keepNext/>
        <w:spacing w:before="240" w:after="100"/>
      </w:pPr>
      <w:r w:rsidRPr="0018386D">
        <w:t>Where</w:t>
      </w:r>
      <w:r w:rsidR="00AB3F6F" w:rsidRPr="0018386D">
        <w:t>:</w:t>
      </w:r>
    </w:p>
    <w:p w14:paraId="4B515005" w14:textId="50A71057" w:rsidR="00A959E4" w:rsidRPr="0018386D" w:rsidRDefault="484C2F2D" w:rsidP="00DD3106">
      <w:pPr>
        <w:pStyle w:val="Bullet"/>
        <w:spacing w:after="100"/>
      </w:pPr>
      <w:proofErr w:type="spellStart"/>
      <w:r w:rsidRPr="0018386D">
        <w:t>mbCOD</w:t>
      </w:r>
      <w:proofErr w:type="spellEnd"/>
      <w:r w:rsidRPr="0018386D">
        <w:tab/>
        <w:t xml:space="preserve">= the unit biodegradable chemical oxygen demand load in kg per tonne of </w:t>
      </w:r>
      <w:r w:rsidR="1CB22AD9" w:rsidRPr="0018386D">
        <w:t xml:space="preserve">material </w:t>
      </w:r>
      <w:r w:rsidR="3F82BEA9" w:rsidRPr="0018386D">
        <w:t>processed</w:t>
      </w:r>
      <w:r w:rsidR="5BF31C21" w:rsidRPr="0018386D">
        <w:t xml:space="preserve"> (specified by industry type in </w:t>
      </w:r>
      <w:hyperlink w:anchor="Table57">
        <w:r w:rsidR="6F719FD8" w:rsidRPr="0018386D">
          <w:rPr>
            <w:rStyle w:val="Hyperlink"/>
          </w:rPr>
          <w:t xml:space="preserve">table </w:t>
        </w:r>
        <w:r w:rsidR="003C63BD" w:rsidRPr="0018386D">
          <w:rPr>
            <w:rStyle w:val="Hyperlink"/>
          </w:rPr>
          <w:t>57</w:t>
        </w:r>
      </w:hyperlink>
      <w:r w:rsidR="6F719FD8" w:rsidRPr="0018386D">
        <w:t>: Calculating the ratio of gases in</w:t>
      </w:r>
      <w:r w:rsidR="519D9007" w:rsidRPr="0018386D">
        <w:t> </w:t>
      </w:r>
      <w:r w:rsidR="6F719FD8" w:rsidRPr="0018386D">
        <w:t>diesel</w:t>
      </w:r>
      <w:r w:rsidR="5BF31C21" w:rsidRPr="0018386D">
        <w:t>)</w:t>
      </w:r>
      <w:r w:rsidRPr="0018386D">
        <w:t xml:space="preserve"> (kg</w:t>
      </w:r>
      <w:r w:rsidR="354497A6" w:rsidRPr="0018386D">
        <w:t> </w:t>
      </w:r>
      <w:proofErr w:type="spellStart"/>
      <w:r w:rsidRPr="0018386D">
        <w:t>CODb</w:t>
      </w:r>
      <w:proofErr w:type="spellEnd"/>
      <w:r w:rsidRPr="0018386D">
        <w:t>)/t</w:t>
      </w:r>
    </w:p>
    <w:p w14:paraId="0977AE14" w14:textId="77777777" w:rsidR="00A959E4" w:rsidRPr="0018386D" w:rsidRDefault="00A959E4" w:rsidP="00DD3106">
      <w:pPr>
        <w:pStyle w:val="Bullet"/>
        <w:spacing w:after="100"/>
      </w:pPr>
      <w:r w:rsidRPr="0018386D">
        <w:lastRenderedPageBreak/>
        <w:t>EF = emission factor in kg methane/kg COD</w:t>
      </w:r>
    </w:p>
    <w:p w14:paraId="4F5DFC12" w14:textId="1E0318F2" w:rsidR="00A959E4" w:rsidRPr="0018386D" w:rsidRDefault="00A959E4" w:rsidP="00DD3106">
      <w:pPr>
        <w:pStyle w:val="Bullet"/>
        <w:spacing w:after="100"/>
      </w:pPr>
      <w:r w:rsidRPr="0018386D">
        <w:t xml:space="preserve">GWP = </w:t>
      </w:r>
      <w:r w:rsidR="00E376C3" w:rsidRPr="0018386D">
        <w:t>g</w:t>
      </w:r>
      <w:r w:rsidRPr="0018386D">
        <w:t xml:space="preserve">lobal </w:t>
      </w:r>
      <w:r w:rsidR="00E376C3" w:rsidRPr="0018386D">
        <w:t>w</w:t>
      </w:r>
      <w:r w:rsidRPr="0018386D">
        <w:t xml:space="preserve">arming </w:t>
      </w:r>
      <w:r w:rsidR="00E376C3" w:rsidRPr="0018386D">
        <w:t>p</w:t>
      </w:r>
      <w:r w:rsidRPr="0018386D">
        <w:t>otential</w:t>
      </w:r>
      <w:r w:rsidR="008A60C4" w:rsidRPr="0018386D">
        <w:t>.</w:t>
      </w:r>
    </w:p>
    <w:p w14:paraId="6714CD2B" w14:textId="2F99C151" w:rsidR="005A1428" w:rsidRPr="0018386D" w:rsidRDefault="00A959E4" w:rsidP="00DD3106">
      <w:pPr>
        <w:pStyle w:val="BodyText"/>
        <w:spacing w:after="100"/>
      </w:pPr>
      <w:r w:rsidRPr="0018386D">
        <w:t xml:space="preserve">The following </w:t>
      </w:r>
      <w:r w:rsidR="003F32A6" w:rsidRPr="0018386D">
        <w:t>table</w:t>
      </w:r>
      <w:r w:rsidR="00F90A3F" w:rsidRPr="0018386D">
        <w:t>s</w:t>
      </w:r>
      <w:r w:rsidR="002508F2" w:rsidRPr="0018386D">
        <w:t xml:space="preserve"> </w:t>
      </w:r>
      <w:r w:rsidRPr="0018386D">
        <w:t>detail the information used in the calculations to provide the industrial wastewa</w:t>
      </w:r>
      <w:bookmarkStart w:id="783" w:name="_Ref532907815"/>
      <w:r w:rsidR="009E5828" w:rsidRPr="0018386D">
        <w:t>ter treatment emission factors.</w:t>
      </w:r>
    </w:p>
    <w:p w14:paraId="67AF1A88" w14:textId="7D390218" w:rsidR="003F32A6" w:rsidRPr="0018386D" w:rsidRDefault="00EB4389" w:rsidP="00DD3106">
      <w:pPr>
        <w:pStyle w:val="Tableheading"/>
      </w:pPr>
      <w:bookmarkStart w:id="784" w:name="Table69"/>
      <w:bookmarkStart w:id="785" w:name="_Toc111536681"/>
      <w:bookmarkStart w:id="786" w:name="_Toc140049009"/>
      <w:bookmarkEnd w:id="783"/>
      <w:r w:rsidRPr="0018386D">
        <w:t xml:space="preserve">Table </w:t>
      </w:r>
      <w:r w:rsidRPr="0018386D">
        <w:fldChar w:fldCharType="begin"/>
      </w:r>
      <w:r w:rsidRPr="0018386D">
        <w:instrText>SEQ Table \* ARABIC</w:instrText>
      </w:r>
      <w:r w:rsidRPr="0018386D">
        <w:fldChar w:fldCharType="separate"/>
      </w:r>
      <w:r w:rsidR="0085383F" w:rsidRPr="0018386D">
        <w:t>69</w:t>
      </w:r>
      <w:r w:rsidRPr="0018386D">
        <w:fldChar w:fldCharType="end"/>
      </w:r>
      <w:bookmarkEnd w:id="784"/>
      <w:r w:rsidRPr="0018386D">
        <w:t>:</w:t>
      </w:r>
      <w:r w:rsidRPr="0018386D">
        <w:tab/>
      </w:r>
      <w:r w:rsidR="003F32A6" w:rsidRPr="0018386D">
        <w:t xml:space="preserve">Industrial wastewater treatment </w:t>
      </w:r>
      <w:r w:rsidR="00303AA0" w:rsidRPr="0018386D">
        <w:t>methane</w:t>
      </w:r>
      <w:r w:rsidR="0015092E" w:rsidRPr="0018386D">
        <w:t xml:space="preserve"> </w:t>
      </w:r>
      <w:r w:rsidR="003F32A6" w:rsidRPr="0018386D">
        <w:t>emissions calculation information</w:t>
      </w:r>
      <w:bookmarkEnd w:id="785"/>
      <w:bookmarkEnd w:id="786"/>
    </w:p>
    <w:tbl>
      <w:tblPr>
        <w:tblStyle w:val="LightList-Accent11"/>
        <w:tblW w:w="8505" w:type="dxa"/>
        <w:tblLook w:val="04A0" w:firstRow="1" w:lastRow="0" w:firstColumn="1" w:lastColumn="0" w:noHBand="0" w:noVBand="1"/>
      </w:tblPr>
      <w:tblGrid>
        <w:gridCol w:w="2533"/>
        <w:gridCol w:w="1153"/>
        <w:gridCol w:w="1701"/>
        <w:gridCol w:w="951"/>
        <w:gridCol w:w="901"/>
        <w:gridCol w:w="1266"/>
      </w:tblGrid>
      <w:tr w:rsidR="0013377B" w:rsidRPr="0018386D" w14:paraId="7D2CD84B" w14:textId="77777777" w:rsidTr="00C52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vMerge w:val="restart"/>
            <w:tcBorders>
              <w:left w:val="single" w:sz="4" w:space="0" w:color="1B556B" w:themeColor="text2"/>
              <w:bottom w:val="single" w:sz="8" w:space="0" w:color="1C556C" w:themeColor="accent1"/>
            </w:tcBorders>
            <w:shd w:val="clear" w:color="auto" w:fill="1B556B" w:themeFill="text2"/>
            <w:vAlign w:val="bottom"/>
          </w:tcPr>
          <w:p w14:paraId="7EA16910" w14:textId="7A09CE9A" w:rsidR="00B93232" w:rsidRPr="0018386D" w:rsidRDefault="00B93232" w:rsidP="00DD3106">
            <w:pPr>
              <w:pStyle w:val="TableTextbold"/>
              <w:rPr>
                <w:b/>
                <w:bCs w:val="0"/>
              </w:rPr>
            </w:pPr>
            <w:r w:rsidRPr="0018386D">
              <w:rPr>
                <w:b/>
                <w:bCs w:val="0"/>
              </w:rPr>
              <w:t>Factor</w:t>
            </w:r>
          </w:p>
        </w:tc>
        <w:tc>
          <w:tcPr>
            <w:tcW w:w="4706" w:type="dxa"/>
            <w:gridSpan w:val="4"/>
            <w:shd w:val="clear" w:color="auto" w:fill="1B556B" w:themeFill="text2"/>
            <w:vAlign w:val="bottom"/>
          </w:tcPr>
          <w:p w14:paraId="114897C1" w14:textId="77777777" w:rsidR="00B93232" w:rsidRPr="0018386D" w:rsidRDefault="00B93232" w:rsidP="00DD3106">
            <w:pPr>
              <w:pStyle w:val="TableTextbold"/>
              <w:spacing w:before="0" w:after="0"/>
              <w:jc w:val="center"/>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Industry</w:t>
            </w:r>
          </w:p>
        </w:tc>
        <w:tc>
          <w:tcPr>
            <w:tcW w:w="1266" w:type="dxa"/>
            <w:vMerge w:val="restart"/>
            <w:tcBorders>
              <w:bottom w:val="single" w:sz="8" w:space="0" w:color="1C556C" w:themeColor="accent1"/>
              <w:right w:val="single" w:sz="4" w:space="0" w:color="1B556B" w:themeColor="text2"/>
            </w:tcBorders>
            <w:shd w:val="clear" w:color="auto" w:fill="1B556B" w:themeFill="text2"/>
            <w:vAlign w:val="bottom"/>
          </w:tcPr>
          <w:p w14:paraId="28F29437" w14:textId="77777777" w:rsidR="00B93232" w:rsidRPr="0018386D" w:rsidRDefault="00B93232" w:rsidP="00DD3106">
            <w:pPr>
              <w:pStyle w:val="TableTextbold"/>
              <w:spacing w:before="0"/>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Source</w:t>
            </w:r>
          </w:p>
        </w:tc>
      </w:tr>
      <w:tr w:rsidR="0013377B" w:rsidRPr="0018386D" w14:paraId="01F98728"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vMerge/>
            <w:tcBorders>
              <w:left w:val="single" w:sz="4" w:space="0" w:color="1B556B" w:themeColor="text2"/>
            </w:tcBorders>
            <w:vAlign w:val="bottom"/>
          </w:tcPr>
          <w:p w14:paraId="3C72BF0A" w14:textId="77777777" w:rsidR="00B93232" w:rsidRPr="0018386D" w:rsidRDefault="00B93232" w:rsidP="00DD3106">
            <w:pPr>
              <w:pStyle w:val="TableTextbold"/>
              <w:rPr>
                <w:b/>
                <w:bCs w:val="0"/>
                <w:color w:val="FFFFFF" w:themeColor="background1"/>
              </w:rPr>
            </w:pPr>
          </w:p>
        </w:tc>
        <w:tc>
          <w:tcPr>
            <w:tcW w:w="1153" w:type="dxa"/>
            <w:shd w:val="clear" w:color="auto" w:fill="1B556B" w:themeFill="text2"/>
            <w:vAlign w:val="bottom"/>
          </w:tcPr>
          <w:p w14:paraId="1917BDF9" w14:textId="77777777" w:rsidR="00B93232" w:rsidRPr="0018386D" w:rsidRDefault="00B93232" w:rsidP="00DD3106">
            <w:pPr>
              <w:pStyle w:val="TableTextbold"/>
              <w:spacing w:before="0"/>
              <w:cnfStyle w:val="000000100000" w:firstRow="0" w:lastRow="0" w:firstColumn="0" w:lastColumn="0" w:oddVBand="0" w:evenVBand="0" w:oddHBand="1" w:evenHBand="0" w:firstRowFirstColumn="0" w:firstRowLastColumn="0" w:lastRowFirstColumn="0" w:lastRowLastColumn="0"/>
              <w:rPr>
                <w:color w:val="FFFFFF" w:themeColor="background1"/>
              </w:rPr>
            </w:pPr>
            <w:r w:rsidRPr="0018386D">
              <w:rPr>
                <w:color w:val="FFFFFF" w:themeColor="background1"/>
              </w:rPr>
              <w:t>Pulp and paper</w:t>
            </w:r>
          </w:p>
        </w:tc>
        <w:tc>
          <w:tcPr>
            <w:tcW w:w="1701" w:type="dxa"/>
            <w:shd w:val="clear" w:color="auto" w:fill="1B556B" w:themeFill="text2"/>
            <w:vAlign w:val="bottom"/>
          </w:tcPr>
          <w:p w14:paraId="3EDFBD0B" w14:textId="0AAD5697" w:rsidR="00B93232" w:rsidRPr="0018386D" w:rsidRDefault="00B93232" w:rsidP="00DD3106">
            <w:pPr>
              <w:pStyle w:val="TableTextbold"/>
              <w:spacing w:before="0"/>
              <w:cnfStyle w:val="000000100000" w:firstRow="0" w:lastRow="0" w:firstColumn="0" w:lastColumn="0" w:oddVBand="0" w:evenVBand="0" w:oddHBand="1" w:evenHBand="0" w:firstRowFirstColumn="0" w:firstRowLastColumn="0" w:lastRowFirstColumn="0" w:lastRowLastColumn="0"/>
              <w:rPr>
                <w:color w:val="FFFFFF" w:themeColor="background1"/>
              </w:rPr>
            </w:pPr>
            <w:r w:rsidRPr="0018386D">
              <w:rPr>
                <w:color w:val="FFFFFF" w:themeColor="background1"/>
              </w:rPr>
              <w:t>Meat</w:t>
            </w:r>
            <w:r w:rsidR="00E949FF" w:rsidRPr="0018386D">
              <w:rPr>
                <w:color w:val="FFFFFF" w:themeColor="background1"/>
              </w:rPr>
              <w:br/>
            </w:r>
            <w:r w:rsidRPr="0018386D">
              <w:rPr>
                <w:color w:val="FFFFFF" w:themeColor="background1"/>
              </w:rPr>
              <w:t>(excluding poultry)</w:t>
            </w:r>
          </w:p>
        </w:tc>
        <w:tc>
          <w:tcPr>
            <w:tcW w:w="951" w:type="dxa"/>
            <w:shd w:val="clear" w:color="auto" w:fill="1B556B" w:themeFill="text2"/>
            <w:vAlign w:val="bottom"/>
          </w:tcPr>
          <w:p w14:paraId="286422B1" w14:textId="77777777" w:rsidR="00B93232" w:rsidRPr="0018386D" w:rsidRDefault="00B93232" w:rsidP="00DD3106">
            <w:pPr>
              <w:pStyle w:val="TableTextbold"/>
              <w:spacing w:before="0"/>
              <w:cnfStyle w:val="000000100000" w:firstRow="0" w:lastRow="0" w:firstColumn="0" w:lastColumn="0" w:oddVBand="0" w:evenVBand="0" w:oddHBand="1" w:evenHBand="0" w:firstRowFirstColumn="0" w:firstRowLastColumn="0" w:lastRowFirstColumn="0" w:lastRowLastColumn="0"/>
              <w:rPr>
                <w:color w:val="FFFFFF" w:themeColor="background1"/>
              </w:rPr>
            </w:pPr>
            <w:r w:rsidRPr="0018386D">
              <w:rPr>
                <w:color w:val="FFFFFF" w:themeColor="background1"/>
              </w:rPr>
              <w:t>Poultry</w:t>
            </w:r>
          </w:p>
        </w:tc>
        <w:tc>
          <w:tcPr>
            <w:tcW w:w="901" w:type="dxa"/>
            <w:shd w:val="clear" w:color="auto" w:fill="1B556B" w:themeFill="text2"/>
            <w:vAlign w:val="bottom"/>
          </w:tcPr>
          <w:p w14:paraId="2493B605" w14:textId="77777777" w:rsidR="00B93232" w:rsidRPr="0018386D" w:rsidRDefault="00B93232" w:rsidP="00DD3106">
            <w:pPr>
              <w:pStyle w:val="TableTextbold"/>
              <w:spacing w:before="0"/>
              <w:cnfStyle w:val="000000100000" w:firstRow="0" w:lastRow="0" w:firstColumn="0" w:lastColumn="0" w:oddVBand="0" w:evenVBand="0" w:oddHBand="1" w:evenHBand="0" w:firstRowFirstColumn="0" w:firstRowLastColumn="0" w:lastRowFirstColumn="0" w:lastRowLastColumn="0"/>
              <w:rPr>
                <w:color w:val="FFFFFF" w:themeColor="background1"/>
              </w:rPr>
            </w:pPr>
            <w:r w:rsidRPr="0018386D">
              <w:rPr>
                <w:color w:val="FFFFFF" w:themeColor="background1"/>
              </w:rPr>
              <w:t>Wine</w:t>
            </w:r>
          </w:p>
        </w:tc>
        <w:tc>
          <w:tcPr>
            <w:tcW w:w="1266" w:type="dxa"/>
            <w:vMerge/>
            <w:tcBorders>
              <w:right w:val="single" w:sz="4" w:space="0" w:color="1B556B" w:themeColor="text2"/>
            </w:tcBorders>
            <w:vAlign w:val="bottom"/>
          </w:tcPr>
          <w:p w14:paraId="51BAAFDD" w14:textId="77777777" w:rsidR="00B93232" w:rsidRPr="0018386D" w:rsidRDefault="00B93232" w:rsidP="00DD3106">
            <w:pPr>
              <w:pStyle w:val="TableTextbold"/>
              <w:spacing w:before="0"/>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B93232" w:rsidRPr="0018386D" w14:paraId="1DFAF064" w14:textId="77777777" w:rsidTr="00C52370">
        <w:tc>
          <w:tcPr>
            <w:cnfStyle w:val="001000000000" w:firstRow="0" w:lastRow="0" w:firstColumn="1" w:lastColumn="0" w:oddVBand="0" w:evenVBand="0" w:oddHBand="0" w:evenHBand="0" w:firstRowFirstColumn="0" w:firstRowLastColumn="0" w:lastRowFirstColumn="0" w:lastRowLastColumn="0"/>
            <w:tcW w:w="2533" w:type="dxa"/>
            <w:tcBorders>
              <w:bottom w:val="single" w:sz="8" w:space="0" w:color="1C556C" w:themeColor="accent1"/>
            </w:tcBorders>
          </w:tcPr>
          <w:p w14:paraId="5CC2C326" w14:textId="7376224C" w:rsidR="00B93232" w:rsidRPr="0018386D" w:rsidRDefault="003F32A6" w:rsidP="00DD3106">
            <w:pPr>
              <w:pStyle w:val="TableText"/>
              <w:spacing w:before="40" w:after="40"/>
              <w:rPr>
                <w:b w:val="0"/>
                <w:bCs w:val="0"/>
              </w:rPr>
            </w:pPr>
            <w:r w:rsidRPr="0018386D">
              <w:rPr>
                <w:b w:val="0"/>
                <w:bCs w:val="0"/>
              </w:rPr>
              <w:t>B</w:t>
            </w:r>
            <w:r w:rsidR="00B93232" w:rsidRPr="0018386D">
              <w:rPr>
                <w:b w:val="0"/>
                <w:bCs w:val="0"/>
              </w:rPr>
              <w:t>iodegradable chemical oxygen demand load (kg</w:t>
            </w:r>
            <w:r w:rsidR="007D559B" w:rsidRPr="0018386D">
              <w:rPr>
                <w:b w:val="0"/>
                <w:bCs w:val="0"/>
              </w:rPr>
              <w:t> </w:t>
            </w:r>
            <w:proofErr w:type="spellStart"/>
            <w:r w:rsidR="00B93232" w:rsidRPr="0018386D">
              <w:rPr>
                <w:b w:val="0"/>
                <w:bCs w:val="0"/>
              </w:rPr>
              <w:t>CODb</w:t>
            </w:r>
            <w:proofErr w:type="spellEnd"/>
            <w:r w:rsidR="00B93232" w:rsidRPr="0018386D">
              <w:rPr>
                <w:b w:val="0"/>
                <w:bCs w:val="0"/>
              </w:rPr>
              <w:t>/tonne)</w:t>
            </w:r>
          </w:p>
        </w:tc>
        <w:tc>
          <w:tcPr>
            <w:tcW w:w="1153" w:type="dxa"/>
          </w:tcPr>
          <w:p w14:paraId="36C57CCC"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36</w:t>
            </w:r>
          </w:p>
        </w:tc>
        <w:tc>
          <w:tcPr>
            <w:tcW w:w="1701" w:type="dxa"/>
          </w:tcPr>
          <w:p w14:paraId="51516F7B"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50</w:t>
            </w:r>
          </w:p>
        </w:tc>
        <w:tc>
          <w:tcPr>
            <w:tcW w:w="951" w:type="dxa"/>
          </w:tcPr>
          <w:p w14:paraId="3C2EA590"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50</w:t>
            </w:r>
          </w:p>
        </w:tc>
        <w:tc>
          <w:tcPr>
            <w:tcW w:w="901" w:type="dxa"/>
          </w:tcPr>
          <w:p w14:paraId="64926405"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12.42</w:t>
            </w:r>
          </w:p>
        </w:tc>
        <w:tc>
          <w:tcPr>
            <w:tcW w:w="1266" w:type="dxa"/>
            <w:tcBorders>
              <w:top w:val="single" w:sz="8" w:space="0" w:color="1C556C" w:themeColor="accent1"/>
              <w:bottom w:val="single" w:sz="8" w:space="0" w:color="1C556C" w:themeColor="accent1"/>
              <w:right w:val="nil"/>
            </w:tcBorders>
          </w:tcPr>
          <w:p w14:paraId="5F14046F" w14:textId="35BD8E29" w:rsidR="00B93232" w:rsidRPr="0018386D" w:rsidRDefault="00E04A80" w:rsidP="00DD3106">
            <w:pPr>
              <w:pStyle w:val="Table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18386D">
              <w:t>Cardno</w:t>
            </w:r>
            <w:proofErr w:type="spellEnd"/>
            <w:r w:rsidRPr="0018386D">
              <w:t xml:space="preserve"> (2015)</w:t>
            </w:r>
          </w:p>
        </w:tc>
      </w:tr>
      <w:tr w:rsidR="00B93232" w:rsidRPr="0018386D" w14:paraId="616497B6"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left w:val="nil"/>
            </w:tcBorders>
          </w:tcPr>
          <w:p w14:paraId="3EE4EC8B" w14:textId="1FD2A734" w:rsidR="00B93232" w:rsidRPr="0018386D" w:rsidRDefault="003F32A6" w:rsidP="00DD3106">
            <w:pPr>
              <w:pStyle w:val="TableText"/>
              <w:spacing w:before="40" w:after="40"/>
              <w:rPr>
                <w:b w:val="0"/>
                <w:bCs w:val="0"/>
              </w:rPr>
            </w:pPr>
            <w:r w:rsidRPr="0018386D">
              <w:rPr>
                <w:b w:val="0"/>
                <w:bCs w:val="0"/>
              </w:rPr>
              <w:t xml:space="preserve">CH4 </w:t>
            </w:r>
            <w:r w:rsidR="007D559B" w:rsidRPr="0018386D">
              <w:rPr>
                <w:b w:val="0"/>
                <w:bCs w:val="0"/>
              </w:rPr>
              <w:t>emission factor (kg </w:t>
            </w:r>
            <w:r w:rsidR="00B93232" w:rsidRPr="0018386D">
              <w:rPr>
                <w:b w:val="0"/>
                <w:bCs w:val="0"/>
              </w:rPr>
              <w:t>CH4/kg</w:t>
            </w:r>
            <w:r w:rsidR="007D559B" w:rsidRPr="0018386D">
              <w:rPr>
                <w:b w:val="0"/>
                <w:bCs w:val="0"/>
              </w:rPr>
              <w:t> </w:t>
            </w:r>
            <w:proofErr w:type="spellStart"/>
            <w:r w:rsidR="00B93232" w:rsidRPr="0018386D">
              <w:rPr>
                <w:b w:val="0"/>
                <w:bCs w:val="0"/>
              </w:rPr>
              <w:t>CODb</w:t>
            </w:r>
            <w:proofErr w:type="spellEnd"/>
            <w:r w:rsidR="00B93232" w:rsidRPr="0018386D">
              <w:rPr>
                <w:b w:val="0"/>
                <w:bCs w:val="0"/>
              </w:rPr>
              <w:t>)</w:t>
            </w:r>
          </w:p>
        </w:tc>
        <w:tc>
          <w:tcPr>
            <w:tcW w:w="1153" w:type="dxa"/>
          </w:tcPr>
          <w:p w14:paraId="6F535D85" w14:textId="77777777" w:rsidR="00B93232" w:rsidRPr="0018386D" w:rsidRDefault="00B9323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0.0117</w:t>
            </w:r>
          </w:p>
        </w:tc>
        <w:tc>
          <w:tcPr>
            <w:tcW w:w="1701" w:type="dxa"/>
          </w:tcPr>
          <w:p w14:paraId="6C37AD07" w14:textId="77777777" w:rsidR="00B93232" w:rsidRPr="0018386D" w:rsidRDefault="00B9323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0.03575</w:t>
            </w:r>
          </w:p>
        </w:tc>
        <w:tc>
          <w:tcPr>
            <w:tcW w:w="951" w:type="dxa"/>
          </w:tcPr>
          <w:p w14:paraId="2EF5CD2C" w14:textId="77777777" w:rsidR="00B93232" w:rsidRPr="0018386D" w:rsidRDefault="00B9323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0.034375</w:t>
            </w:r>
          </w:p>
        </w:tc>
        <w:tc>
          <w:tcPr>
            <w:tcW w:w="901" w:type="dxa"/>
          </w:tcPr>
          <w:p w14:paraId="26CCCC8E" w14:textId="77777777" w:rsidR="00B93232" w:rsidRPr="0018386D" w:rsidRDefault="00B9323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0.016661</w:t>
            </w:r>
          </w:p>
        </w:tc>
        <w:tc>
          <w:tcPr>
            <w:tcW w:w="1266" w:type="dxa"/>
            <w:tcBorders>
              <w:right w:val="nil"/>
            </w:tcBorders>
          </w:tcPr>
          <w:p w14:paraId="19D02693" w14:textId="44038CCB" w:rsidR="00B93232" w:rsidRPr="0018386D" w:rsidRDefault="00E04A80" w:rsidP="00DD3106">
            <w:pPr>
              <w:pStyle w:val="TableText"/>
              <w:spacing w:before="40" w:after="40"/>
              <w:cnfStyle w:val="000000100000" w:firstRow="0" w:lastRow="0" w:firstColumn="0" w:lastColumn="0" w:oddVBand="0" w:evenVBand="0" w:oddHBand="1" w:evenHBand="0" w:firstRowFirstColumn="0" w:firstRowLastColumn="0" w:lastRowFirstColumn="0" w:lastRowLastColumn="0"/>
            </w:pPr>
            <w:proofErr w:type="spellStart"/>
            <w:r w:rsidRPr="0018386D">
              <w:t>Cardno</w:t>
            </w:r>
            <w:proofErr w:type="spellEnd"/>
            <w:r w:rsidRPr="0018386D">
              <w:t xml:space="preserve"> (2015)</w:t>
            </w:r>
          </w:p>
        </w:tc>
      </w:tr>
      <w:tr w:rsidR="00B93232" w:rsidRPr="0018386D" w14:paraId="6BAD6D01" w14:textId="77777777" w:rsidTr="00C52370">
        <w:tc>
          <w:tcPr>
            <w:cnfStyle w:val="001000000000" w:firstRow="0" w:lastRow="0" w:firstColumn="1" w:lastColumn="0" w:oddVBand="0" w:evenVBand="0" w:oddHBand="0" w:evenHBand="0" w:firstRowFirstColumn="0" w:firstRowLastColumn="0" w:lastRowFirstColumn="0" w:lastRowLastColumn="0"/>
            <w:tcW w:w="2533" w:type="dxa"/>
          </w:tcPr>
          <w:p w14:paraId="6B1D17CD" w14:textId="77777777" w:rsidR="00B93232" w:rsidRPr="0018386D" w:rsidRDefault="00B93232" w:rsidP="00DD3106">
            <w:pPr>
              <w:pStyle w:val="TableText"/>
              <w:spacing w:before="40" w:after="40"/>
              <w:rPr>
                <w:b w:val="0"/>
                <w:bCs w:val="0"/>
              </w:rPr>
            </w:pPr>
            <w:r w:rsidRPr="0018386D">
              <w:rPr>
                <w:b w:val="0"/>
                <w:bCs w:val="0"/>
              </w:rPr>
              <w:t>GWP</w:t>
            </w:r>
          </w:p>
        </w:tc>
        <w:tc>
          <w:tcPr>
            <w:tcW w:w="1153" w:type="dxa"/>
          </w:tcPr>
          <w:p w14:paraId="562708E2" w14:textId="29731A14" w:rsidR="00B93232" w:rsidRPr="0018386D" w:rsidRDefault="00A2775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28</w:t>
            </w:r>
          </w:p>
        </w:tc>
        <w:tc>
          <w:tcPr>
            <w:tcW w:w="1701" w:type="dxa"/>
          </w:tcPr>
          <w:p w14:paraId="328CB838" w14:textId="3FBC3FCA" w:rsidR="00B93232" w:rsidRPr="0018386D" w:rsidRDefault="00A2775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28</w:t>
            </w:r>
          </w:p>
        </w:tc>
        <w:tc>
          <w:tcPr>
            <w:tcW w:w="951" w:type="dxa"/>
          </w:tcPr>
          <w:p w14:paraId="5B840852" w14:textId="33E81002" w:rsidR="00B93232" w:rsidRPr="0018386D" w:rsidRDefault="00A2775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28</w:t>
            </w:r>
          </w:p>
        </w:tc>
        <w:tc>
          <w:tcPr>
            <w:tcW w:w="901" w:type="dxa"/>
          </w:tcPr>
          <w:p w14:paraId="734012AB" w14:textId="68BAFE95" w:rsidR="00B93232" w:rsidRPr="0018386D" w:rsidRDefault="00A2775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28</w:t>
            </w:r>
          </w:p>
        </w:tc>
        <w:tc>
          <w:tcPr>
            <w:tcW w:w="1266" w:type="dxa"/>
            <w:tcBorders>
              <w:top w:val="single" w:sz="8" w:space="0" w:color="1C556C" w:themeColor="accent1"/>
              <w:right w:val="nil"/>
            </w:tcBorders>
          </w:tcPr>
          <w:p w14:paraId="7C192500" w14:textId="68C57C82" w:rsidR="00B93232" w:rsidRPr="0018386D" w:rsidRDefault="00B93232" w:rsidP="00DD310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18386D">
              <w:t xml:space="preserve">IPCC </w:t>
            </w:r>
            <w:r w:rsidR="00A27757" w:rsidRPr="0018386D">
              <w:t>AR5</w:t>
            </w:r>
          </w:p>
        </w:tc>
      </w:tr>
    </w:tbl>
    <w:p w14:paraId="6E37D488" w14:textId="1623630E" w:rsidR="00A959E4" w:rsidRPr="0018386D" w:rsidRDefault="00A959E4" w:rsidP="00DD3106">
      <w:pPr>
        <w:pStyle w:val="BodyText"/>
        <w:spacing w:before="240"/>
      </w:pPr>
      <w:r w:rsidRPr="0018386D">
        <w:t xml:space="preserve">It is </w:t>
      </w:r>
      <w:r w:rsidR="002F3D2A" w:rsidRPr="0018386D">
        <w:t xml:space="preserve">assumed </w:t>
      </w:r>
      <w:r w:rsidRPr="0018386D">
        <w:t xml:space="preserve">that the methods used to treat wastewater from dairy processing do not result in </w:t>
      </w:r>
      <w:r w:rsidR="008D6410" w:rsidRPr="0018386D">
        <w:t>methane</w:t>
      </w:r>
      <w:r w:rsidR="003F32A6" w:rsidRPr="0018386D">
        <w:t xml:space="preserve"> </w:t>
      </w:r>
      <w:r w:rsidRPr="0018386D">
        <w:t>emissions.</w:t>
      </w:r>
    </w:p>
    <w:p w14:paraId="564C1748" w14:textId="5269AFF7" w:rsidR="00A959E4" w:rsidRPr="0018386D" w:rsidRDefault="00A959E4" w:rsidP="00DD3106">
      <w:pPr>
        <w:pStyle w:val="BodyText"/>
        <w:spacing w:after="160"/>
      </w:pPr>
      <w:r w:rsidRPr="0018386D">
        <w:t xml:space="preserve">The equation used to calculate </w:t>
      </w:r>
      <w:r w:rsidR="008D6410" w:rsidRPr="0018386D">
        <w:t>nitrous oxide</w:t>
      </w:r>
      <w:r w:rsidR="003F32A6" w:rsidRPr="0018386D">
        <w:t xml:space="preserve"> emissions</w:t>
      </w:r>
      <w:r w:rsidRPr="0018386D">
        <w:t xml:space="preserve"> is</w:t>
      </w:r>
      <w:r w:rsidR="003F32A6" w:rsidRPr="0018386D">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3C5214" w:rsidRPr="0018386D" w14:paraId="35844BE0" w14:textId="77777777" w:rsidTr="00F638B4">
        <w:tc>
          <w:tcPr>
            <w:tcW w:w="0" w:type="auto"/>
            <w:shd w:val="clear" w:color="auto" w:fill="D2DDE1" w:themeFill="background2"/>
          </w:tcPr>
          <w:p w14:paraId="3E434394" w14:textId="72085C37" w:rsidR="003C5214" w:rsidRPr="0018386D" w:rsidRDefault="003C5214" w:rsidP="00DD3106">
            <w:pPr>
              <w:pStyle w:val="Blueboxtext"/>
              <w:spacing w:before="180" w:after="180"/>
              <w:ind w:left="0"/>
            </w:pPr>
            <m:oMathPara>
              <m:oMath>
                <m:r>
                  <w:rPr>
                    <w:rFonts w:ascii="Cambria Math" w:hAnsi="Cambria Math"/>
                  </w:rPr>
                  <m:t>mbCOD ×N:COD ×EF ×</m:t>
                </m:r>
                <m:d>
                  <m:dPr>
                    <m:ctrlPr>
                      <w:rPr>
                        <w:rFonts w:ascii="Cambria Math" w:hAnsi="Cambria Math"/>
                        <w:i/>
                      </w:rPr>
                    </m:ctrlPr>
                  </m:dPr>
                  <m:e>
                    <m:f>
                      <m:fPr>
                        <m:ctrlPr>
                          <w:rPr>
                            <w:rFonts w:ascii="Cambria Math" w:hAnsi="Cambria Math"/>
                            <w:i/>
                          </w:rPr>
                        </m:ctrlPr>
                      </m:fPr>
                      <m:num>
                        <m:r>
                          <w:rPr>
                            <w:rFonts w:ascii="Cambria Math" w:hAnsi="Cambria Math"/>
                          </w:rPr>
                          <m:t>44</m:t>
                        </m:r>
                      </m:num>
                      <m:den>
                        <m:r>
                          <w:rPr>
                            <w:rFonts w:ascii="Cambria Math" w:hAnsi="Cambria Math"/>
                          </w:rPr>
                          <m:t>28</m:t>
                        </m:r>
                      </m:den>
                    </m:f>
                  </m:e>
                </m:d>
                <m:r>
                  <w:rPr>
                    <w:rFonts w:ascii="Cambria Math" w:hAnsi="Cambria Math"/>
                  </w:rPr>
                  <m:t>×GWP=N=nitrous oxide emission factor (</m:t>
                </m:r>
                <m:f>
                  <m:fPr>
                    <m:ctrlPr>
                      <w:rPr>
                        <w:rFonts w:ascii="Cambria Math" w:hAnsi="Cambria Math"/>
                        <w:i/>
                      </w:rPr>
                    </m:ctrlPr>
                  </m:fPr>
                  <m:num>
                    <m:r>
                      <w:rPr>
                        <w:rFonts w:ascii="Cambria Math" w:hAnsi="Cambria Math"/>
                      </w:rPr>
                      <m:t>kg</m:t>
                    </m:r>
                  </m:num>
                  <m:den>
                    <m:r>
                      <w:rPr>
                        <w:rFonts w:ascii="Cambria Math" w:hAnsi="Cambria Math"/>
                      </w:rPr>
                      <m:t>tonnes</m:t>
                    </m:r>
                  </m:den>
                </m:f>
                <m:r>
                  <w:rPr>
                    <w:rFonts w:ascii="Cambria Math" w:hAnsi="Cambria Math"/>
                  </w:rPr>
                  <m:t>)</m:t>
                </m:r>
              </m:oMath>
            </m:oMathPara>
          </w:p>
        </w:tc>
      </w:tr>
    </w:tbl>
    <w:p w14:paraId="0B7DDC47" w14:textId="77777777" w:rsidR="00A959E4" w:rsidRPr="0018386D" w:rsidRDefault="00A959E4" w:rsidP="00DD3106">
      <w:pPr>
        <w:pStyle w:val="BodyText"/>
        <w:keepNext/>
        <w:spacing w:before="240" w:after="100"/>
      </w:pPr>
      <w:r w:rsidRPr="0018386D">
        <w:t>Where:</w:t>
      </w:r>
    </w:p>
    <w:p w14:paraId="767859E5" w14:textId="67316FB3" w:rsidR="00A959E4" w:rsidRPr="0018386D" w:rsidRDefault="484C2F2D" w:rsidP="00DD3106">
      <w:pPr>
        <w:pStyle w:val="Bullet"/>
        <w:keepNext/>
        <w:spacing w:after="100"/>
      </w:pPr>
      <w:proofErr w:type="spellStart"/>
      <w:r w:rsidRPr="0018386D">
        <w:t>mbCOD</w:t>
      </w:r>
      <w:proofErr w:type="spellEnd"/>
      <w:r w:rsidRPr="0018386D">
        <w:t xml:space="preserve"> = unit biodegradable COD load (kg</w:t>
      </w:r>
      <w:r w:rsidR="7D2EBF0E" w:rsidRPr="0018386D">
        <w:t xml:space="preserve"> </w:t>
      </w:r>
      <w:proofErr w:type="spellStart"/>
      <w:r w:rsidRPr="0018386D">
        <w:t>CODb</w:t>
      </w:r>
      <w:proofErr w:type="spellEnd"/>
      <w:r w:rsidRPr="0018386D">
        <w:t>/t)</w:t>
      </w:r>
    </w:p>
    <w:p w14:paraId="021D98B0" w14:textId="7B467405" w:rsidR="00A959E4" w:rsidRPr="0018386D" w:rsidRDefault="00137A48" w:rsidP="00DD3106">
      <w:pPr>
        <w:pStyle w:val="Bullet"/>
        <w:spacing w:after="100"/>
      </w:pPr>
      <w:proofErr w:type="gramStart"/>
      <w:r w:rsidRPr="0018386D">
        <w:t>N:COD</w:t>
      </w:r>
      <w:proofErr w:type="gramEnd"/>
      <w:r w:rsidR="14FAB11F" w:rsidRPr="0018386D">
        <w:t xml:space="preserve"> = </w:t>
      </w:r>
      <w:r w:rsidR="4EF13EB2" w:rsidRPr="0018386D">
        <w:t>t</w:t>
      </w:r>
      <w:r w:rsidR="14FAB11F" w:rsidRPr="0018386D">
        <w:t>otal nitrogen to biodegradable COD ratio</w:t>
      </w:r>
    </w:p>
    <w:p w14:paraId="44773A08" w14:textId="05134EEF" w:rsidR="00A959E4" w:rsidRPr="0018386D" w:rsidRDefault="00A959E4" w:rsidP="00DD3106">
      <w:pPr>
        <w:pStyle w:val="Bullet"/>
        <w:spacing w:after="100"/>
      </w:pPr>
      <w:r w:rsidRPr="0018386D">
        <w:t xml:space="preserve">EF = </w:t>
      </w:r>
      <w:r w:rsidR="00E376C3" w:rsidRPr="0018386D">
        <w:t>e</w:t>
      </w:r>
      <w:r w:rsidRPr="0018386D">
        <w:t xml:space="preserve">mission </w:t>
      </w:r>
      <w:r w:rsidR="00E376C3" w:rsidRPr="0018386D">
        <w:t>f</w:t>
      </w:r>
      <w:r w:rsidRPr="0018386D">
        <w:t>actor</w:t>
      </w:r>
    </w:p>
    <w:p w14:paraId="2CFA1130" w14:textId="413B09B5" w:rsidR="00A959E4" w:rsidRPr="0018386D" w:rsidRDefault="00A959E4" w:rsidP="00DD3106">
      <w:pPr>
        <w:pStyle w:val="Bullet"/>
        <w:spacing w:after="100"/>
      </w:pPr>
      <w:r w:rsidRPr="0018386D">
        <w:t xml:space="preserve">44/28 = </w:t>
      </w:r>
      <w:r w:rsidR="00FF78E6" w:rsidRPr="0018386D">
        <w:t>r</w:t>
      </w:r>
      <w:r w:rsidRPr="0018386D">
        <w:t>atio of N</w:t>
      </w:r>
      <w:r w:rsidRPr="0018386D">
        <w:rPr>
          <w:vertAlign w:val="subscript"/>
        </w:rPr>
        <w:t>2</w:t>
      </w:r>
      <w:r w:rsidR="0015092E" w:rsidRPr="0018386D">
        <w:t>O</w:t>
      </w:r>
      <w:r w:rsidRPr="0018386D">
        <w:t xml:space="preserve"> to N</w:t>
      </w:r>
      <w:r w:rsidRPr="0018386D">
        <w:rPr>
          <w:vertAlign w:val="subscript"/>
        </w:rPr>
        <w:t>2</w:t>
      </w:r>
    </w:p>
    <w:p w14:paraId="10722579" w14:textId="00405C99" w:rsidR="00A959E4" w:rsidRPr="0018386D" w:rsidRDefault="00A959E4" w:rsidP="00DD3106">
      <w:pPr>
        <w:pStyle w:val="Bullet"/>
        <w:spacing w:after="100"/>
      </w:pPr>
      <w:r w:rsidRPr="0018386D">
        <w:t xml:space="preserve">GWP = </w:t>
      </w:r>
      <w:r w:rsidR="00E376C3" w:rsidRPr="0018386D">
        <w:t>g</w:t>
      </w:r>
      <w:r w:rsidRPr="0018386D">
        <w:t xml:space="preserve">lobal </w:t>
      </w:r>
      <w:r w:rsidR="00E376C3" w:rsidRPr="0018386D">
        <w:t>w</w:t>
      </w:r>
      <w:r w:rsidRPr="0018386D">
        <w:t xml:space="preserve">arming </w:t>
      </w:r>
      <w:r w:rsidR="00E376C3" w:rsidRPr="0018386D">
        <w:t>p</w:t>
      </w:r>
      <w:r w:rsidRPr="0018386D">
        <w:t>otential</w:t>
      </w:r>
      <w:r w:rsidR="008A60C4" w:rsidRPr="0018386D">
        <w:t>.</w:t>
      </w:r>
    </w:p>
    <w:p w14:paraId="4D368F38" w14:textId="4398CA13" w:rsidR="00B93232" w:rsidRPr="0018386D" w:rsidRDefault="00B93232" w:rsidP="00DD3106">
      <w:pPr>
        <w:pStyle w:val="BodyText"/>
      </w:pPr>
      <w:r w:rsidRPr="0018386D">
        <w:t>The following</w:t>
      </w:r>
      <w:r w:rsidR="003F32A6" w:rsidRPr="0018386D">
        <w:t xml:space="preserve"> table</w:t>
      </w:r>
      <w:r w:rsidRPr="0018386D">
        <w:t xml:space="preserve"> details the information used in the calculations to provide the industrial wastewater treatment emission factors. Note that for dairy processing</w:t>
      </w:r>
      <w:r w:rsidR="00E376C3" w:rsidRPr="0018386D">
        <w:t>,</w:t>
      </w:r>
      <w:r w:rsidRPr="0018386D">
        <w:t xml:space="preserve"> </w:t>
      </w:r>
      <w:r w:rsidR="0015092E" w:rsidRPr="0018386D">
        <w:t xml:space="preserve">users should first convert </w:t>
      </w:r>
      <w:r w:rsidRPr="0018386D">
        <w:t>the quantity of milk to tonnes using a</w:t>
      </w:r>
      <w:r w:rsidR="002F3D2A" w:rsidRPr="0018386D">
        <w:t xml:space="preserve"> density</w:t>
      </w:r>
      <w:r w:rsidRPr="0018386D">
        <w:t xml:space="preserve"> factor of 1.031 tonnes per m</w:t>
      </w:r>
      <w:r w:rsidRPr="0018386D">
        <w:rPr>
          <w:vertAlign w:val="superscript"/>
        </w:rPr>
        <w:t>3</w:t>
      </w:r>
      <w:r w:rsidRPr="0018386D">
        <w:t>.</w:t>
      </w:r>
    </w:p>
    <w:p w14:paraId="6D351232" w14:textId="19B33C2B" w:rsidR="0015092E" w:rsidRPr="0018386D" w:rsidRDefault="00EB4389" w:rsidP="00DD3106">
      <w:pPr>
        <w:pStyle w:val="Tableheading"/>
      </w:pPr>
      <w:bookmarkStart w:id="787" w:name="Table70"/>
      <w:bookmarkStart w:id="788" w:name="_Toc111536682"/>
      <w:bookmarkStart w:id="789" w:name="_Toc140049010"/>
      <w:r w:rsidRPr="0018386D">
        <w:t xml:space="preserve">Table </w:t>
      </w:r>
      <w:r w:rsidRPr="0018386D">
        <w:fldChar w:fldCharType="begin"/>
      </w:r>
      <w:r w:rsidRPr="0018386D">
        <w:instrText>SEQ Table \* ARABIC</w:instrText>
      </w:r>
      <w:r w:rsidRPr="0018386D">
        <w:fldChar w:fldCharType="separate"/>
      </w:r>
      <w:r w:rsidR="0085383F" w:rsidRPr="0018386D">
        <w:t>70</w:t>
      </w:r>
      <w:r w:rsidRPr="0018386D">
        <w:fldChar w:fldCharType="end"/>
      </w:r>
      <w:bookmarkEnd w:id="787"/>
      <w:r w:rsidRPr="0018386D">
        <w:t>:</w:t>
      </w:r>
      <w:r w:rsidRPr="0018386D">
        <w:tab/>
      </w:r>
      <w:r w:rsidR="0015092E" w:rsidRPr="0018386D">
        <w:t xml:space="preserve">Industrial wastewater treatment </w:t>
      </w:r>
      <w:r w:rsidR="00303AA0" w:rsidRPr="0018386D">
        <w:t>nitrous oxide</w:t>
      </w:r>
      <w:r w:rsidR="0015092E" w:rsidRPr="0018386D">
        <w:t xml:space="preserve"> emissions calculation information</w:t>
      </w:r>
      <w:bookmarkEnd w:id="788"/>
      <w:bookmarkEnd w:id="789"/>
    </w:p>
    <w:tbl>
      <w:tblPr>
        <w:tblStyle w:val="LightList-Accent11"/>
        <w:tblW w:w="8505" w:type="dxa"/>
        <w:tblLook w:val="04A0" w:firstRow="1" w:lastRow="0" w:firstColumn="1" w:lastColumn="0" w:noHBand="0" w:noVBand="1"/>
      </w:tblPr>
      <w:tblGrid>
        <w:gridCol w:w="2835"/>
        <w:gridCol w:w="1276"/>
        <w:gridCol w:w="1762"/>
        <w:gridCol w:w="1127"/>
        <w:gridCol w:w="1505"/>
      </w:tblGrid>
      <w:tr w:rsidR="003B73AD" w:rsidRPr="0018386D" w14:paraId="489D216D" w14:textId="77777777" w:rsidTr="00C52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left w:val="nil"/>
              <w:bottom w:val="single" w:sz="8" w:space="0" w:color="1C556C" w:themeColor="accent1"/>
            </w:tcBorders>
            <w:shd w:val="clear" w:color="auto" w:fill="1B556B" w:themeFill="text2"/>
            <w:vAlign w:val="bottom"/>
          </w:tcPr>
          <w:p w14:paraId="4121341B" w14:textId="77777777" w:rsidR="00B93232" w:rsidRPr="0018386D" w:rsidRDefault="00B93232" w:rsidP="00DD3106">
            <w:pPr>
              <w:pStyle w:val="TableTextbold"/>
              <w:spacing w:before="40" w:after="40"/>
              <w:rPr>
                <w:b/>
                <w:bCs w:val="0"/>
              </w:rPr>
            </w:pPr>
            <w:r w:rsidRPr="0018386D">
              <w:rPr>
                <w:b/>
                <w:bCs w:val="0"/>
              </w:rPr>
              <w:t>Factor</w:t>
            </w:r>
          </w:p>
        </w:tc>
        <w:tc>
          <w:tcPr>
            <w:tcW w:w="4165" w:type="dxa"/>
            <w:gridSpan w:val="3"/>
            <w:shd w:val="clear" w:color="auto" w:fill="1B556B" w:themeFill="text2"/>
            <w:vAlign w:val="bottom"/>
          </w:tcPr>
          <w:p w14:paraId="31D8C4B4" w14:textId="5ABF0B6A" w:rsidR="00B93232" w:rsidRPr="0018386D" w:rsidRDefault="00B93232" w:rsidP="00DD3106">
            <w:pPr>
              <w:pStyle w:val="TableTextbold"/>
              <w:spacing w:before="40" w:after="40"/>
              <w:jc w:val="center"/>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Industry</w:t>
            </w:r>
          </w:p>
        </w:tc>
        <w:tc>
          <w:tcPr>
            <w:tcW w:w="1505" w:type="dxa"/>
            <w:vMerge w:val="restart"/>
            <w:tcBorders>
              <w:right w:val="nil"/>
            </w:tcBorders>
            <w:shd w:val="clear" w:color="auto" w:fill="1B556B" w:themeFill="text2"/>
            <w:vAlign w:val="bottom"/>
          </w:tcPr>
          <w:p w14:paraId="63FEFF83" w14:textId="77777777" w:rsidR="00B93232" w:rsidRPr="0018386D" w:rsidRDefault="00B93232" w:rsidP="00DD3106">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18386D">
              <w:rPr>
                <w:b/>
                <w:bCs w:val="0"/>
              </w:rPr>
              <w:t>Source</w:t>
            </w:r>
          </w:p>
        </w:tc>
      </w:tr>
      <w:tr w:rsidR="003B73AD" w:rsidRPr="0018386D" w14:paraId="1E486751"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left w:val="nil"/>
            </w:tcBorders>
            <w:shd w:val="clear" w:color="auto" w:fill="1B556B" w:themeFill="text2"/>
            <w:vAlign w:val="bottom"/>
          </w:tcPr>
          <w:p w14:paraId="4F182E76" w14:textId="77777777" w:rsidR="00B93232" w:rsidRPr="0018386D" w:rsidRDefault="00B93232" w:rsidP="00DD3106">
            <w:pPr>
              <w:pStyle w:val="TableTextbold"/>
              <w:spacing w:before="40" w:after="40"/>
              <w:rPr>
                <w:b/>
                <w:bCs w:val="0"/>
                <w:color w:val="FFFFFF" w:themeColor="background1"/>
              </w:rPr>
            </w:pPr>
          </w:p>
        </w:tc>
        <w:tc>
          <w:tcPr>
            <w:tcW w:w="1276" w:type="dxa"/>
            <w:shd w:val="clear" w:color="auto" w:fill="1B556B" w:themeFill="text2"/>
            <w:vAlign w:val="bottom"/>
          </w:tcPr>
          <w:p w14:paraId="6DBB32DD" w14:textId="77777777" w:rsidR="00B93232" w:rsidRPr="0018386D" w:rsidRDefault="00B93232" w:rsidP="00DD3106">
            <w:pPr>
              <w:pStyle w:val="TableTextbold"/>
              <w:spacing w:before="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18386D">
              <w:rPr>
                <w:color w:val="FFFFFF" w:themeColor="background1"/>
              </w:rPr>
              <w:t>Dairy product processing</w:t>
            </w:r>
          </w:p>
        </w:tc>
        <w:tc>
          <w:tcPr>
            <w:tcW w:w="1762" w:type="dxa"/>
            <w:shd w:val="clear" w:color="auto" w:fill="1B556B" w:themeFill="text2"/>
            <w:vAlign w:val="bottom"/>
          </w:tcPr>
          <w:p w14:paraId="419B4BDC" w14:textId="5F7A9716" w:rsidR="00B93232" w:rsidRPr="0018386D" w:rsidRDefault="00B93232" w:rsidP="00DD3106">
            <w:pPr>
              <w:pStyle w:val="TableTextbold"/>
              <w:spacing w:before="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18386D">
              <w:rPr>
                <w:color w:val="FFFFFF" w:themeColor="background1"/>
              </w:rPr>
              <w:t xml:space="preserve">Meat </w:t>
            </w:r>
            <w:r w:rsidR="00E949FF" w:rsidRPr="0018386D">
              <w:rPr>
                <w:color w:val="FFFFFF" w:themeColor="background1"/>
              </w:rPr>
              <w:br/>
            </w:r>
            <w:r w:rsidRPr="0018386D">
              <w:rPr>
                <w:color w:val="FFFFFF" w:themeColor="background1"/>
              </w:rPr>
              <w:t>(excluding poultry)</w:t>
            </w:r>
          </w:p>
        </w:tc>
        <w:tc>
          <w:tcPr>
            <w:tcW w:w="1127" w:type="dxa"/>
            <w:shd w:val="clear" w:color="auto" w:fill="1B556B" w:themeFill="text2"/>
            <w:vAlign w:val="bottom"/>
          </w:tcPr>
          <w:p w14:paraId="7DBA0F42" w14:textId="77777777" w:rsidR="00B93232" w:rsidRPr="0018386D" w:rsidRDefault="00B93232" w:rsidP="00DD3106">
            <w:pPr>
              <w:pStyle w:val="TableTextbold"/>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r w:rsidRPr="0018386D">
              <w:rPr>
                <w:color w:val="FFFFFF" w:themeColor="background1"/>
              </w:rPr>
              <w:t>Poultry</w:t>
            </w:r>
          </w:p>
        </w:tc>
        <w:tc>
          <w:tcPr>
            <w:tcW w:w="1505" w:type="dxa"/>
            <w:vMerge/>
            <w:tcBorders>
              <w:right w:val="nil"/>
            </w:tcBorders>
            <w:shd w:val="clear" w:color="auto" w:fill="1B556B" w:themeFill="text2"/>
            <w:vAlign w:val="bottom"/>
          </w:tcPr>
          <w:p w14:paraId="65E85D19" w14:textId="77777777" w:rsidR="00B93232" w:rsidRPr="0018386D" w:rsidRDefault="00B93232" w:rsidP="00DD3106">
            <w:pPr>
              <w:pStyle w:val="TableTextbold"/>
              <w:spacing w:before="40" w:after="40"/>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B93232" w:rsidRPr="0018386D" w14:paraId="7DE66369" w14:textId="77777777" w:rsidTr="00C52370">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1C556C" w:themeColor="accent1"/>
              <w:left w:val="nil"/>
              <w:bottom w:val="single" w:sz="8" w:space="0" w:color="1C556C" w:themeColor="accent1"/>
            </w:tcBorders>
          </w:tcPr>
          <w:p w14:paraId="5AB06318" w14:textId="677AE9DB" w:rsidR="00B93232" w:rsidRPr="0018386D" w:rsidRDefault="0015092E" w:rsidP="00DD3106">
            <w:pPr>
              <w:pStyle w:val="TableText"/>
              <w:spacing w:before="40" w:after="40"/>
              <w:rPr>
                <w:b w:val="0"/>
              </w:rPr>
            </w:pPr>
            <w:r w:rsidRPr="0018386D">
              <w:rPr>
                <w:b w:val="0"/>
              </w:rPr>
              <w:t>B</w:t>
            </w:r>
            <w:r w:rsidR="00B93232" w:rsidRPr="0018386D">
              <w:rPr>
                <w:b w:val="0"/>
              </w:rPr>
              <w:t>iodegradable chemical oxygen demand load (kg</w:t>
            </w:r>
            <w:r w:rsidR="007D559B" w:rsidRPr="0018386D">
              <w:rPr>
                <w:b w:val="0"/>
              </w:rPr>
              <w:t> </w:t>
            </w:r>
            <w:proofErr w:type="spellStart"/>
            <w:r w:rsidR="00B93232" w:rsidRPr="0018386D">
              <w:rPr>
                <w:b w:val="0"/>
              </w:rPr>
              <w:t>CODb</w:t>
            </w:r>
            <w:proofErr w:type="spellEnd"/>
            <w:r w:rsidR="00B93232" w:rsidRPr="0018386D">
              <w:rPr>
                <w:b w:val="0"/>
              </w:rPr>
              <w:t>/tonne)</w:t>
            </w:r>
          </w:p>
        </w:tc>
        <w:tc>
          <w:tcPr>
            <w:tcW w:w="1276" w:type="dxa"/>
          </w:tcPr>
          <w:p w14:paraId="3BD6734D"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2</w:t>
            </w:r>
          </w:p>
        </w:tc>
        <w:tc>
          <w:tcPr>
            <w:tcW w:w="1762" w:type="dxa"/>
          </w:tcPr>
          <w:p w14:paraId="2D1213CF"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50</w:t>
            </w:r>
          </w:p>
        </w:tc>
        <w:tc>
          <w:tcPr>
            <w:tcW w:w="1127" w:type="dxa"/>
          </w:tcPr>
          <w:p w14:paraId="298EC6F0"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50</w:t>
            </w:r>
          </w:p>
        </w:tc>
        <w:tc>
          <w:tcPr>
            <w:tcW w:w="1505" w:type="dxa"/>
            <w:tcBorders>
              <w:right w:val="nil"/>
            </w:tcBorders>
          </w:tcPr>
          <w:p w14:paraId="6572BDC0" w14:textId="573D0FAD" w:rsidR="00B93232" w:rsidRPr="0018386D" w:rsidRDefault="00E04A80" w:rsidP="00DD3106">
            <w:pPr>
              <w:pStyle w:val="Table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18386D">
              <w:t>Cardno</w:t>
            </w:r>
            <w:proofErr w:type="spellEnd"/>
            <w:r w:rsidRPr="0018386D">
              <w:t xml:space="preserve"> (2015)</w:t>
            </w:r>
          </w:p>
        </w:tc>
      </w:tr>
      <w:tr w:rsidR="00B93232" w:rsidRPr="0018386D" w14:paraId="3BC2864A"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0A80AC3B" w14:textId="311B25C4" w:rsidR="00B93232" w:rsidRPr="0018386D" w:rsidRDefault="00B93232" w:rsidP="00DD3106">
            <w:pPr>
              <w:pStyle w:val="TableText"/>
              <w:spacing w:before="40" w:after="40"/>
              <w:rPr>
                <w:b w:val="0"/>
              </w:rPr>
            </w:pPr>
            <w:r w:rsidRPr="0018386D">
              <w:rPr>
                <w:b w:val="0"/>
              </w:rPr>
              <w:t xml:space="preserve">Total </w:t>
            </w:r>
            <w:proofErr w:type="gramStart"/>
            <w:r w:rsidRPr="0018386D">
              <w:rPr>
                <w:b w:val="0"/>
              </w:rPr>
              <w:t>N:biodegradable</w:t>
            </w:r>
            <w:proofErr w:type="gramEnd"/>
            <w:r w:rsidRPr="0018386D">
              <w:rPr>
                <w:b w:val="0"/>
              </w:rPr>
              <w:t xml:space="preserve"> COD ratio</w:t>
            </w:r>
          </w:p>
        </w:tc>
        <w:tc>
          <w:tcPr>
            <w:tcW w:w="1276" w:type="dxa"/>
          </w:tcPr>
          <w:p w14:paraId="055C1B4B" w14:textId="77777777" w:rsidR="00B93232" w:rsidRPr="0018386D" w:rsidRDefault="00B9323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0.044</w:t>
            </w:r>
          </w:p>
        </w:tc>
        <w:tc>
          <w:tcPr>
            <w:tcW w:w="1762" w:type="dxa"/>
          </w:tcPr>
          <w:p w14:paraId="398FC724" w14:textId="77777777" w:rsidR="00B93232" w:rsidRPr="0018386D" w:rsidRDefault="00B9323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0.09</w:t>
            </w:r>
          </w:p>
        </w:tc>
        <w:tc>
          <w:tcPr>
            <w:tcW w:w="1127" w:type="dxa"/>
          </w:tcPr>
          <w:p w14:paraId="5BD78113" w14:textId="77777777" w:rsidR="00B93232" w:rsidRPr="0018386D" w:rsidRDefault="00B93232"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0.09</w:t>
            </w:r>
          </w:p>
        </w:tc>
        <w:tc>
          <w:tcPr>
            <w:tcW w:w="1505" w:type="dxa"/>
            <w:tcBorders>
              <w:right w:val="nil"/>
            </w:tcBorders>
          </w:tcPr>
          <w:p w14:paraId="757F9D4D" w14:textId="5C8F4812" w:rsidR="00B93232" w:rsidRPr="0018386D" w:rsidRDefault="00E04A80" w:rsidP="00DD3106">
            <w:pPr>
              <w:pStyle w:val="TableText"/>
              <w:spacing w:before="40" w:after="40"/>
              <w:cnfStyle w:val="000000100000" w:firstRow="0" w:lastRow="0" w:firstColumn="0" w:lastColumn="0" w:oddVBand="0" w:evenVBand="0" w:oddHBand="1" w:evenHBand="0" w:firstRowFirstColumn="0" w:firstRowLastColumn="0" w:lastRowFirstColumn="0" w:lastRowLastColumn="0"/>
            </w:pPr>
            <w:proofErr w:type="spellStart"/>
            <w:r w:rsidRPr="0018386D">
              <w:t>Cardno</w:t>
            </w:r>
            <w:proofErr w:type="spellEnd"/>
            <w:r w:rsidRPr="0018386D">
              <w:t xml:space="preserve"> (2015)</w:t>
            </w:r>
          </w:p>
        </w:tc>
      </w:tr>
      <w:tr w:rsidR="00B93232" w:rsidRPr="0018386D" w14:paraId="03F75C3F" w14:textId="77777777" w:rsidTr="00C52370">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1C556C" w:themeColor="accent1"/>
              <w:left w:val="nil"/>
              <w:bottom w:val="single" w:sz="8" w:space="0" w:color="1C556C" w:themeColor="accent1"/>
            </w:tcBorders>
          </w:tcPr>
          <w:p w14:paraId="30A68D57" w14:textId="7A9FC981" w:rsidR="00B93232" w:rsidRPr="0018386D" w:rsidRDefault="00B93232" w:rsidP="00DD3106">
            <w:pPr>
              <w:pStyle w:val="TableText"/>
              <w:spacing w:before="40" w:after="40"/>
              <w:rPr>
                <w:b w:val="0"/>
              </w:rPr>
            </w:pPr>
            <w:r w:rsidRPr="0018386D">
              <w:rPr>
                <w:b w:val="0"/>
              </w:rPr>
              <w:t xml:space="preserve">Nitrous oxide emission factor </w:t>
            </w:r>
            <w:r w:rsidR="00E949FF" w:rsidRPr="0018386D">
              <w:rPr>
                <w:b w:val="0"/>
              </w:rPr>
              <w:br/>
            </w:r>
            <w:r w:rsidRPr="0018386D">
              <w:rPr>
                <w:b w:val="0"/>
              </w:rPr>
              <w:t>(kg N</w:t>
            </w:r>
            <w:r w:rsidRPr="0018386D">
              <w:rPr>
                <w:b w:val="0"/>
                <w:vertAlign w:val="subscript"/>
              </w:rPr>
              <w:t>2</w:t>
            </w:r>
            <w:r w:rsidRPr="0018386D">
              <w:rPr>
                <w:b w:val="0"/>
              </w:rPr>
              <w:t>O/kg</w:t>
            </w:r>
            <w:r w:rsidR="007D559B" w:rsidRPr="0018386D">
              <w:rPr>
                <w:b w:val="0"/>
              </w:rPr>
              <w:t> </w:t>
            </w:r>
            <w:proofErr w:type="spellStart"/>
            <w:r w:rsidRPr="0018386D">
              <w:rPr>
                <w:b w:val="0"/>
              </w:rPr>
              <w:t>CODb</w:t>
            </w:r>
            <w:proofErr w:type="spellEnd"/>
            <w:r w:rsidRPr="0018386D">
              <w:rPr>
                <w:b w:val="0"/>
              </w:rPr>
              <w:t>)</w:t>
            </w:r>
          </w:p>
        </w:tc>
        <w:tc>
          <w:tcPr>
            <w:tcW w:w="1276" w:type="dxa"/>
          </w:tcPr>
          <w:p w14:paraId="00890EE3"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0.00279</w:t>
            </w:r>
          </w:p>
        </w:tc>
        <w:tc>
          <w:tcPr>
            <w:tcW w:w="1762" w:type="dxa"/>
          </w:tcPr>
          <w:p w14:paraId="250CCA7F"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0.001348</w:t>
            </w:r>
          </w:p>
        </w:tc>
        <w:tc>
          <w:tcPr>
            <w:tcW w:w="1127" w:type="dxa"/>
          </w:tcPr>
          <w:p w14:paraId="76C12E2B" w14:textId="77777777" w:rsidR="00B93232" w:rsidRPr="0018386D" w:rsidRDefault="00B93232"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t>0.001925</w:t>
            </w:r>
          </w:p>
        </w:tc>
        <w:tc>
          <w:tcPr>
            <w:tcW w:w="1505" w:type="dxa"/>
            <w:tcBorders>
              <w:right w:val="nil"/>
            </w:tcBorders>
          </w:tcPr>
          <w:p w14:paraId="6C1530A0" w14:textId="7FCCCDC6" w:rsidR="00B93232" w:rsidRPr="0018386D" w:rsidRDefault="00E04A80" w:rsidP="00DD3106">
            <w:pPr>
              <w:pStyle w:val="Table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18386D">
              <w:t>Cardno</w:t>
            </w:r>
            <w:proofErr w:type="spellEnd"/>
            <w:r w:rsidRPr="0018386D">
              <w:t xml:space="preserve"> (2015)</w:t>
            </w:r>
          </w:p>
        </w:tc>
      </w:tr>
      <w:tr w:rsidR="00B93232" w:rsidRPr="0018386D" w14:paraId="282DD052"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439A8293" w14:textId="77777777" w:rsidR="00B93232" w:rsidRPr="0018386D" w:rsidRDefault="00B93232" w:rsidP="00DD3106">
            <w:pPr>
              <w:pStyle w:val="TableText"/>
              <w:spacing w:before="40" w:after="40"/>
              <w:rPr>
                <w:b w:val="0"/>
              </w:rPr>
            </w:pPr>
            <w:r w:rsidRPr="0018386D">
              <w:rPr>
                <w:b w:val="0"/>
              </w:rPr>
              <w:t>GWP</w:t>
            </w:r>
          </w:p>
        </w:tc>
        <w:tc>
          <w:tcPr>
            <w:tcW w:w="1276" w:type="dxa"/>
          </w:tcPr>
          <w:p w14:paraId="19902941" w14:textId="798493B6" w:rsidR="00B93232" w:rsidRPr="0018386D" w:rsidRDefault="005F270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265</w:t>
            </w:r>
          </w:p>
        </w:tc>
        <w:tc>
          <w:tcPr>
            <w:tcW w:w="1762" w:type="dxa"/>
          </w:tcPr>
          <w:p w14:paraId="4A8B7303" w14:textId="6E23A034" w:rsidR="00B93232" w:rsidRPr="0018386D" w:rsidRDefault="005F270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265</w:t>
            </w:r>
          </w:p>
        </w:tc>
        <w:tc>
          <w:tcPr>
            <w:tcW w:w="1127" w:type="dxa"/>
          </w:tcPr>
          <w:p w14:paraId="62C8101B" w14:textId="67C5EB17" w:rsidR="00B93232" w:rsidRPr="0018386D" w:rsidRDefault="005F270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t>265</w:t>
            </w:r>
          </w:p>
        </w:tc>
        <w:tc>
          <w:tcPr>
            <w:tcW w:w="1505" w:type="dxa"/>
            <w:tcBorders>
              <w:right w:val="nil"/>
            </w:tcBorders>
          </w:tcPr>
          <w:p w14:paraId="301EC9BB" w14:textId="2ED8C978" w:rsidR="00B93232" w:rsidRPr="0018386D" w:rsidRDefault="00B93232" w:rsidP="00DD310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386D">
              <w:t xml:space="preserve">IPCC </w:t>
            </w:r>
            <w:r w:rsidR="005F2709" w:rsidRPr="0018386D">
              <w:t>AR5</w:t>
            </w:r>
          </w:p>
        </w:tc>
      </w:tr>
    </w:tbl>
    <w:p w14:paraId="278640BA" w14:textId="7A1D33C9" w:rsidR="00A959E4" w:rsidRPr="0018386D" w:rsidRDefault="00A959E4" w:rsidP="00DD3106">
      <w:pPr>
        <w:pStyle w:val="BodyText"/>
      </w:pPr>
      <w:r w:rsidRPr="0018386D">
        <w:lastRenderedPageBreak/>
        <w:t>Ba</w:t>
      </w:r>
      <w:r w:rsidR="00B93232" w:rsidRPr="0018386D">
        <w:t>sed</w:t>
      </w:r>
      <w:r w:rsidRPr="0018386D">
        <w:t xml:space="preserve"> on the </w:t>
      </w:r>
      <w:proofErr w:type="spellStart"/>
      <w:r w:rsidRPr="0018386D">
        <w:t>Cardno</w:t>
      </w:r>
      <w:proofErr w:type="spellEnd"/>
      <w:r w:rsidRPr="0018386D">
        <w:t xml:space="preserve"> report</w:t>
      </w:r>
      <w:r w:rsidR="008A6135" w:rsidRPr="0018386D">
        <w:rPr>
          <w:rStyle w:val="FootnoteReference"/>
        </w:rPr>
        <w:footnoteReference w:id="58"/>
      </w:r>
      <w:r w:rsidRPr="0018386D">
        <w:t xml:space="preserve"> </w:t>
      </w:r>
      <w:r w:rsidR="0015092E" w:rsidRPr="0018386D">
        <w:t>we</w:t>
      </w:r>
      <w:r w:rsidRPr="0018386D">
        <w:t xml:space="preserve"> assume that there are no </w:t>
      </w:r>
      <w:r w:rsidR="00303AA0" w:rsidRPr="0018386D">
        <w:t>nitrous oxide</w:t>
      </w:r>
      <w:r w:rsidR="0015092E" w:rsidRPr="0018386D">
        <w:t xml:space="preserve"> </w:t>
      </w:r>
      <w:r w:rsidRPr="0018386D">
        <w:t xml:space="preserve">emissions from the methods used to process wastewater from the wine and pulp </w:t>
      </w:r>
      <w:r w:rsidR="00E376C3" w:rsidRPr="0018386D">
        <w:t xml:space="preserve">and </w:t>
      </w:r>
      <w:r w:rsidRPr="0018386D">
        <w:t>paper industries</w:t>
      </w:r>
      <w:r w:rsidR="00B93232" w:rsidRPr="0018386D">
        <w:t>.</w:t>
      </w:r>
    </w:p>
    <w:p w14:paraId="69A44736" w14:textId="43A9C721" w:rsidR="00A959E4" w:rsidRPr="0018386D" w:rsidRDefault="14FAB11F" w:rsidP="00DD3106">
      <w:pPr>
        <w:pStyle w:val="Heading3"/>
        <w:numPr>
          <w:ilvl w:val="2"/>
          <w:numId w:val="8"/>
        </w:numPr>
      </w:pPr>
      <w:bookmarkStart w:id="790" w:name="_Toc532904944"/>
      <w:r w:rsidRPr="0018386D">
        <w:t xml:space="preserve">Assumptions, </w:t>
      </w:r>
      <w:proofErr w:type="gramStart"/>
      <w:r w:rsidRPr="0018386D">
        <w:t>limitations</w:t>
      </w:r>
      <w:proofErr w:type="gramEnd"/>
      <w:r w:rsidRPr="0018386D">
        <w:t xml:space="preserve"> and uncertainties</w:t>
      </w:r>
      <w:bookmarkEnd w:id="790"/>
    </w:p>
    <w:p w14:paraId="02196D7A" w14:textId="4FC3FCF5" w:rsidR="005A1428" w:rsidRPr="0018386D" w:rsidRDefault="0015092E" w:rsidP="00DD3106">
      <w:pPr>
        <w:pStyle w:val="BodyText"/>
      </w:pPr>
      <w:r w:rsidRPr="0018386D">
        <w:t>We calculated t</w:t>
      </w:r>
      <w:r w:rsidR="00A959E4" w:rsidRPr="0018386D">
        <w:t>hese emission factors on the best available data using industry</w:t>
      </w:r>
      <w:r w:rsidR="00E376C3" w:rsidRPr="0018386D">
        <w:t>-</w:t>
      </w:r>
      <w:r w:rsidR="00A959E4" w:rsidRPr="0018386D">
        <w:t>wide sources and international default factors w</w:t>
      </w:r>
      <w:r w:rsidR="00E376C3" w:rsidRPr="0018386D">
        <w:t>h</w:t>
      </w:r>
      <w:r w:rsidR="00A959E4" w:rsidRPr="0018386D">
        <w:t xml:space="preserve">ere appropriate. As </w:t>
      </w:r>
      <w:r w:rsidRPr="0018386D">
        <w:t xml:space="preserve">the wastewater </w:t>
      </w:r>
      <w:r w:rsidR="00A959E4" w:rsidRPr="0018386D">
        <w:t xml:space="preserve">emissions </w:t>
      </w:r>
      <w:r w:rsidRPr="0018386D">
        <w:t xml:space="preserve">include </w:t>
      </w:r>
      <w:r w:rsidR="00A959E4" w:rsidRPr="0018386D">
        <w:t xml:space="preserve">electricity </w:t>
      </w:r>
      <w:r w:rsidRPr="0018386D">
        <w:t xml:space="preserve">emissions, </w:t>
      </w:r>
      <w:r w:rsidR="00A959E4" w:rsidRPr="0018386D">
        <w:t>the same</w:t>
      </w:r>
      <w:r w:rsidRPr="0018386D">
        <w:t xml:space="preserve"> electricity emissions</w:t>
      </w:r>
      <w:r w:rsidR="00A959E4" w:rsidRPr="0018386D">
        <w:t xml:space="preserve"> uncertainties </w:t>
      </w:r>
      <w:r w:rsidRPr="0018386D">
        <w:t>carry</w:t>
      </w:r>
      <w:r w:rsidR="003B5F6D" w:rsidRPr="0018386D">
        <w:t xml:space="preserve"> through.</w:t>
      </w:r>
      <w:r w:rsidR="002167D9" w:rsidRPr="0018386D">
        <w:t xml:space="preserve"> </w:t>
      </w:r>
      <w:hyperlink w:anchor="Table71" w:history="1">
        <w:r w:rsidR="002167D9" w:rsidRPr="0018386D">
          <w:rPr>
            <w:rStyle w:val="Hyperlink"/>
          </w:rPr>
          <w:t xml:space="preserve">Table </w:t>
        </w:r>
        <w:r w:rsidR="4F298D4C" w:rsidRPr="0018386D">
          <w:rPr>
            <w:rStyle w:val="Hyperlink"/>
          </w:rPr>
          <w:t>7</w:t>
        </w:r>
        <w:r w:rsidR="3D1F1D43" w:rsidRPr="0018386D">
          <w:rPr>
            <w:rStyle w:val="Hyperlink"/>
          </w:rPr>
          <w:t>1</w:t>
        </w:r>
      </w:hyperlink>
      <w:r w:rsidR="00A959E4" w:rsidRPr="0018386D">
        <w:t xml:space="preserve"> details the uncertain</w:t>
      </w:r>
      <w:bookmarkStart w:id="791" w:name="_Ref532482900"/>
      <w:r w:rsidR="005A1428" w:rsidRPr="0018386D">
        <w:t>ties with this source category.</w:t>
      </w:r>
    </w:p>
    <w:p w14:paraId="44957BC2" w14:textId="52A43AC4" w:rsidR="00A959E4" w:rsidRPr="0018386D" w:rsidRDefault="00EB4389" w:rsidP="00DD3106">
      <w:pPr>
        <w:pStyle w:val="Tableheading"/>
      </w:pPr>
      <w:bookmarkStart w:id="792" w:name="Table71"/>
      <w:bookmarkStart w:id="793" w:name="_Toc111536683"/>
      <w:bookmarkStart w:id="794" w:name="_Toc140049011"/>
      <w:bookmarkEnd w:id="791"/>
      <w:r w:rsidRPr="0018386D">
        <w:t xml:space="preserve">Table </w:t>
      </w:r>
      <w:r w:rsidRPr="0018386D">
        <w:fldChar w:fldCharType="begin"/>
      </w:r>
      <w:r w:rsidRPr="0018386D">
        <w:instrText>SEQ Table \* ARABIC</w:instrText>
      </w:r>
      <w:r w:rsidRPr="0018386D">
        <w:fldChar w:fldCharType="separate"/>
      </w:r>
      <w:r w:rsidR="0085383F" w:rsidRPr="0018386D">
        <w:t>71</w:t>
      </w:r>
      <w:r w:rsidRPr="0018386D">
        <w:fldChar w:fldCharType="end"/>
      </w:r>
      <w:bookmarkEnd w:id="792"/>
      <w:r w:rsidRPr="0018386D">
        <w:t>:</w:t>
      </w:r>
      <w:r w:rsidRPr="0018386D">
        <w:tab/>
      </w:r>
      <w:r w:rsidR="00A959E4" w:rsidRPr="0018386D">
        <w:t>Uncertainties with wastewater treatment emission source category</w:t>
      </w:r>
      <w:bookmarkEnd w:id="793"/>
      <w:bookmarkEnd w:id="794"/>
    </w:p>
    <w:tbl>
      <w:tblPr>
        <w:tblStyle w:val="LightList-Accent11"/>
        <w:tblW w:w="8505" w:type="dxa"/>
        <w:tblLook w:val="04A0" w:firstRow="1" w:lastRow="0" w:firstColumn="1" w:lastColumn="0" w:noHBand="0" w:noVBand="1"/>
      </w:tblPr>
      <w:tblGrid>
        <w:gridCol w:w="2835"/>
        <w:gridCol w:w="2835"/>
        <w:gridCol w:w="2835"/>
      </w:tblGrid>
      <w:tr w:rsidR="00A959E4" w:rsidRPr="0018386D" w14:paraId="145812A3" w14:textId="77777777" w:rsidTr="00C52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1C556C" w:themeColor="accent1"/>
            </w:tcBorders>
            <w:shd w:val="clear" w:color="auto" w:fill="1B556B" w:themeFill="text2"/>
          </w:tcPr>
          <w:p w14:paraId="35B991E0" w14:textId="77777777" w:rsidR="00A959E4" w:rsidRPr="0018386D" w:rsidRDefault="00A959E4" w:rsidP="00DD3106">
            <w:pPr>
              <w:pStyle w:val="TableText"/>
              <w:spacing w:before="40" w:after="40"/>
            </w:pPr>
          </w:p>
        </w:tc>
        <w:tc>
          <w:tcPr>
            <w:tcW w:w="2835" w:type="dxa"/>
            <w:shd w:val="clear" w:color="auto" w:fill="1B556B" w:themeFill="text2"/>
          </w:tcPr>
          <w:p w14:paraId="2B1E1465" w14:textId="10C34F00" w:rsidR="00A959E4" w:rsidRPr="0018386D" w:rsidRDefault="0015092E"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18386D">
              <w:t>U</w:t>
            </w:r>
            <w:r w:rsidR="00A959E4" w:rsidRPr="0018386D">
              <w:t>ncertainty in activity data</w:t>
            </w:r>
          </w:p>
        </w:tc>
        <w:tc>
          <w:tcPr>
            <w:tcW w:w="2835" w:type="dxa"/>
            <w:tcBorders>
              <w:bottom w:val="single" w:sz="8" w:space="0" w:color="1C556C" w:themeColor="accent1"/>
            </w:tcBorders>
            <w:shd w:val="clear" w:color="auto" w:fill="1B556B" w:themeFill="text2"/>
          </w:tcPr>
          <w:p w14:paraId="3C012E40" w14:textId="5A1E4B1C" w:rsidR="00A959E4" w:rsidRPr="0018386D" w:rsidRDefault="0015092E"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18386D">
              <w:t>U</w:t>
            </w:r>
            <w:r w:rsidR="00A959E4" w:rsidRPr="0018386D">
              <w:t>ncertainty in emission factors</w:t>
            </w:r>
          </w:p>
        </w:tc>
      </w:tr>
      <w:tr w:rsidR="00A959E4" w:rsidRPr="0018386D" w14:paraId="38E0CDBD"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11CFB256" w14:textId="77777777" w:rsidR="00A959E4" w:rsidRPr="0018386D" w:rsidRDefault="00A959E4" w:rsidP="00DD3106">
            <w:pPr>
              <w:pStyle w:val="TableText"/>
              <w:spacing w:before="40" w:after="40"/>
              <w:rPr>
                <w:b w:val="0"/>
              </w:rPr>
            </w:pPr>
            <w:r w:rsidRPr="0018386D">
              <w:rPr>
                <w:b w:val="0"/>
              </w:rPr>
              <w:t>Domestic and industrial CH</w:t>
            </w:r>
            <w:r w:rsidRPr="0018386D">
              <w:rPr>
                <w:b w:val="0"/>
                <w:vertAlign w:val="subscript"/>
              </w:rPr>
              <w:t>4</w:t>
            </w:r>
          </w:p>
        </w:tc>
        <w:tc>
          <w:tcPr>
            <w:tcW w:w="2835" w:type="dxa"/>
          </w:tcPr>
          <w:p w14:paraId="67F94CC7" w14:textId="77777777" w:rsidR="00A959E4" w:rsidRPr="0018386D" w:rsidRDefault="00A959E4"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rPr>
                <w:rFonts w:cs="Calibri"/>
              </w:rPr>
              <w:t>±</w:t>
            </w:r>
            <w:r w:rsidRPr="0018386D">
              <w:t>10%</w:t>
            </w:r>
          </w:p>
        </w:tc>
        <w:tc>
          <w:tcPr>
            <w:tcW w:w="2835" w:type="dxa"/>
            <w:tcBorders>
              <w:right w:val="nil"/>
            </w:tcBorders>
          </w:tcPr>
          <w:p w14:paraId="62036FB1" w14:textId="77777777" w:rsidR="00A959E4" w:rsidRPr="0018386D" w:rsidRDefault="00A959E4"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18386D">
              <w:rPr>
                <w:rFonts w:cs="Calibri"/>
              </w:rPr>
              <w:t>±</w:t>
            </w:r>
            <w:r w:rsidRPr="0018386D">
              <w:t>40%</w:t>
            </w:r>
          </w:p>
        </w:tc>
      </w:tr>
      <w:tr w:rsidR="00A959E4" w:rsidRPr="0018386D" w14:paraId="7F64B314" w14:textId="77777777" w:rsidTr="00F638B4">
        <w:tc>
          <w:tcPr>
            <w:cnfStyle w:val="001000000000" w:firstRow="0" w:lastRow="0" w:firstColumn="1" w:lastColumn="0" w:oddVBand="0" w:evenVBand="0" w:oddHBand="0" w:evenHBand="0" w:firstRowFirstColumn="0" w:firstRowLastColumn="0" w:lastRowFirstColumn="0" w:lastRowLastColumn="0"/>
            <w:tcW w:w="2835" w:type="dxa"/>
          </w:tcPr>
          <w:p w14:paraId="2341AFD7" w14:textId="77777777" w:rsidR="00A959E4" w:rsidRPr="0018386D" w:rsidRDefault="00A959E4" w:rsidP="00DD3106">
            <w:pPr>
              <w:pStyle w:val="TableText"/>
              <w:spacing w:before="40" w:after="40"/>
              <w:rPr>
                <w:b w:val="0"/>
              </w:rPr>
            </w:pPr>
            <w:r w:rsidRPr="0018386D">
              <w:rPr>
                <w:b w:val="0"/>
              </w:rPr>
              <w:t>Domestic and industrial N</w:t>
            </w:r>
            <w:r w:rsidRPr="0018386D">
              <w:rPr>
                <w:b w:val="0"/>
                <w:vertAlign w:val="subscript"/>
              </w:rPr>
              <w:t>2</w:t>
            </w:r>
            <w:r w:rsidRPr="0018386D">
              <w:rPr>
                <w:b w:val="0"/>
              </w:rPr>
              <w:t>O</w:t>
            </w:r>
          </w:p>
        </w:tc>
        <w:tc>
          <w:tcPr>
            <w:tcW w:w="2835" w:type="dxa"/>
          </w:tcPr>
          <w:p w14:paraId="2A039F54" w14:textId="77777777" w:rsidR="00A959E4" w:rsidRPr="0018386D" w:rsidRDefault="00A959E4"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rPr>
                <w:rFonts w:cs="Calibri"/>
              </w:rPr>
              <w:t>±</w:t>
            </w:r>
            <w:r w:rsidRPr="0018386D">
              <w:t>10%</w:t>
            </w:r>
          </w:p>
        </w:tc>
        <w:tc>
          <w:tcPr>
            <w:tcW w:w="2835" w:type="dxa"/>
          </w:tcPr>
          <w:p w14:paraId="68041349" w14:textId="77777777" w:rsidR="00A959E4" w:rsidRPr="0018386D" w:rsidRDefault="00A959E4"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18386D">
              <w:rPr>
                <w:rFonts w:cs="Calibri"/>
              </w:rPr>
              <w:t>±</w:t>
            </w:r>
            <w:r w:rsidRPr="0018386D">
              <w:t>90%</w:t>
            </w:r>
          </w:p>
        </w:tc>
      </w:tr>
    </w:tbl>
    <w:p w14:paraId="55F4866F" w14:textId="77777777" w:rsidR="00A03881" w:rsidRPr="0018386D" w:rsidRDefault="00A03881" w:rsidP="00DD3106">
      <w:pPr>
        <w:pStyle w:val="BodyText"/>
      </w:pPr>
      <w:bookmarkStart w:id="795" w:name="_Toc529960719"/>
      <w:bookmarkStart w:id="796" w:name="_Toc532904945"/>
      <w:bookmarkStart w:id="797" w:name="_Toc600597"/>
    </w:p>
    <w:p w14:paraId="575CCB2A" w14:textId="01B69EBE" w:rsidR="00607D76" w:rsidRPr="0018386D" w:rsidRDefault="00607D76" w:rsidP="00DD3106">
      <w:pPr>
        <w:pStyle w:val="BodyText"/>
      </w:pPr>
      <w:r w:rsidRPr="0018386D">
        <w:br w:type="page"/>
      </w:r>
    </w:p>
    <w:p w14:paraId="2259A729" w14:textId="771C0F04" w:rsidR="002177EC" w:rsidRPr="0018386D" w:rsidRDefault="23A8B1A7" w:rsidP="00DD3106">
      <w:pPr>
        <w:pStyle w:val="Heading1"/>
        <w:numPr>
          <w:ilvl w:val="0"/>
          <w:numId w:val="8"/>
        </w:numPr>
        <w:tabs>
          <w:tab w:val="clear" w:pos="851"/>
        </w:tabs>
        <w:ind w:left="993" w:hanging="993"/>
      </w:pPr>
      <w:bookmarkStart w:id="798" w:name="_Toc140048928"/>
      <w:r w:rsidRPr="0018386D">
        <w:lastRenderedPageBreak/>
        <w:t>Materials and waste</w:t>
      </w:r>
      <w:bookmarkEnd w:id="795"/>
      <w:bookmarkEnd w:id="796"/>
      <w:bookmarkEnd w:id="797"/>
      <w:r w:rsidR="6C8D6B70" w:rsidRPr="0018386D">
        <w:t xml:space="preserve"> emission factors</w:t>
      </w:r>
      <w:bookmarkEnd w:id="798"/>
    </w:p>
    <w:p w14:paraId="2F467455" w14:textId="26E6E0BB" w:rsidR="00A959E4" w:rsidRPr="0018386D" w:rsidRDefault="00A959E4" w:rsidP="00DD3106">
      <w:pPr>
        <w:pStyle w:val="Heading2"/>
        <w:numPr>
          <w:ilvl w:val="1"/>
          <w:numId w:val="8"/>
        </w:numPr>
        <w:tabs>
          <w:tab w:val="clear" w:pos="851"/>
        </w:tabs>
        <w:spacing w:before="240" w:after="120"/>
        <w:ind w:left="993" w:hanging="993"/>
      </w:pPr>
      <w:bookmarkStart w:id="799" w:name="_Toc532904946"/>
      <w:bookmarkStart w:id="800" w:name="_Toc600598"/>
      <w:bookmarkStart w:id="801" w:name="_Toc140048929"/>
      <w:bookmarkStart w:id="802" w:name="_Toc529960720"/>
      <w:r w:rsidRPr="0018386D">
        <w:t>Overview of changes since previous</w:t>
      </w:r>
      <w:r w:rsidR="00F4214D" w:rsidRPr="0018386D">
        <w:t> </w:t>
      </w:r>
      <w:r w:rsidRPr="0018386D">
        <w:t>update</w:t>
      </w:r>
      <w:bookmarkEnd w:id="799"/>
      <w:bookmarkEnd w:id="800"/>
      <w:bookmarkEnd w:id="801"/>
    </w:p>
    <w:p w14:paraId="2A8218CC" w14:textId="71F0A1B0" w:rsidR="0096690A" w:rsidRPr="0018386D" w:rsidRDefault="0096690A" w:rsidP="00DD3106">
      <w:pPr>
        <w:pStyle w:val="Bullet"/>
        <w:numPr>
          <w:ilvl w:val="0"/>
          <w:numId w:val="0"/>
        </w:numPr>
        <w:rPr>
          <w:rFonts w:eastAsia="Calibri" w:cs="Calibri"/>
          <w:szCs w:val="22"/>
        </w:rPr>
      </w:pPr>
      <w:r w:rsidRPr="0018386D">
        <w:rPr>
          <w:rFonts w:eastAsia="Calibri" w:cs="Calibri"/>
          <w:szCs w:val="22"/>
        </w:rPr>
        <w:t xml:space="preserve">The </w:t>
      </w:r>
      <w:r w:rsidR="00103096" w:rsidRPr="0018386D">
        <w:rPr>
          <w:rFonts w:eastAsia="Calibri" w:cs="Calibri"/>
          <w:szCs w:val="22"/>
        </w:rPr>
        <w:t>increase</w:t>
      </w:r>
      <w:r w:rsidR="00AB427D" w:rsidRPr="0018386D">
        <w:rPr>
          <w:rFonts w:eastAsia="Calibri" w:cs="Calibri"/>
          <w:szCs w:val="22"/>
        </w:rPr>
        <w:t xml:space="preserve"> in the </w:t>
      </w:r>
      <w:r w:rsidRPr="0018386D">
        <w:rPr>
          <w:rFonts w:eastAsia="Calibri" w:cs="Calibri"/>
          <w:szCs w:val="22"/>
        </w:rPr>
        <w:t>AR5 GWP</w:t>
      </w:r>
      <w:r w:rsidR="00AB427D" w:rsidRPr="0018386D">
        <w:rPr>
          <w:rFonts w:eastAsia="Calibri" w:cs="Calibri"/>
          <w:szCs w:val="22"/>
        </w:rPr>
        <w:t xml:space="preserve"> for methane (from 25 to 28) </w:t>
      </w:r>
      <w:r w:rsidR="005B7F31" w:rsidRPr="0018386D">
        <w:rPr>
          <w:rFonts w:eastAsia="Calibri" w:cs="Calibri"/>
          <w:szCs w:val="22"/>
        </w:rPr>
        <w:t xml:space="preserve">resulted in a </w:t>
      </w:r>
      <w:r w:rsidR="00CE5352" w:rsidRPr="0018386D">
        <w:rPr>
          <w:rFonts w:eastAsia="Calibri" w:cs="Calibri"/>
          <w:szCs w:val="22"/>
        </w:rPr>
        <w:t xml:space="preserve">corresponding increase of </w:t>
      </w:r>
      <w:r w:rsidRPr="0018386D">
        <w:rPr>
          <w:rFonts w:eastAsia="Calibri" w:cs="Calibri"/>
          <w:szCs w:val="22"/>
        </w:rPr>
        <w:t>12</w:t>
      </w:r>
      <w:r w:rsidR="001E54E9" w:rsidRPr="0018386D">
        <w:rPr>
          <w:rFonts w:eastAsia="Calibri" w:cs="Calibri"/>
          <w:szCs w:val="22"/>
        </w:rPr>
        <w:t xml:space="preserve"> per cent</w:t>
      </w:r>
      <w:r w:rsidR="00CE5352" w:rsidRPr="0018386D">
        <w:rPr>
          <w:rFonts w:eastAsia="Calibri" w:cs="Calibri"/>
          <w:szCs w:val="22"/>
        </w:rPr>
        <w:t xml:space="preserve"> across the </w:t>
      </w:r>
      <w:r w:rsidRPr="0018386D">
        <w:rPr>
          <w:rFonts w:eastAsia="Calibri" w:cs="Calibri"/>
          <w:szCs w:val="22"/>
        </w:rPr>
        <w:t>waste to landfill factors</w:t>
      </w:r>
      <w:r w:rsidR="00C56E20" w:rsidRPr="0018386D">
        <w:rPr>
          <w:rFonts w:eastAsia="Calibri" w:cs="Calibri"/>
          <w:szCs w:val="22"/>
        </w:rPr>
        <w:t>. T</w:t>
      </w:r>
      <w:r w:rsidR="002D33D6" w:rsidRPr="0018386D">
        <w:rPr>
          <w:rFonts w:eastAsia="Calibri" w:cs="Calibri"/>
          <w:szCs w:val="22"/>
        </w:rPr>
        <w:t>he biological treatment of waste using anaerobic digestion</w:t>
      </w:r>
      <w:r w:rsidR="00C56E20" w:rsidRPr="0018386D">
        <w:rPr>
          <w:rFonts w:eastAsia="Calibri" w:cs="Calibri"/>
          <w:szCs w:val="22"/>
        </w:rPr>
        <w:t xml:space="preserve"> also increased by 12</w:t>
      </w:r>
      <w:r w:rsidR="001E54E9" w:rsidRPr="0018386D">
        <w:rPr>
          <w:rFonts w:eastAsia="Calibri" w:cs="Calibri"/>
          <w:szCs w:val="22"/>
        </w:rPr>
        <w:t xml:space="preserve"> per cent</w:t>
      </w:r>
      <w:r w:rsidR="00C56E20" w:rsidRPr="0018386D">
        <w:rPr>
          <w:rFonts w:eastAsia="Calibri" w:cs="Calibri"/>
          <w:szCs w:val="22"/>
        </w:rPr>
        <w:t>.</w:t>
      </w:r>
    </w:p>
    <w:p w14:paraId="73CECCC9" w14:textId="3FBFD8EB" w:rsidR="26524231" w:rsidRPr="0018386D" w:rsidRDefault="00B05D9E" w:rsidP="00DD3106">
      <w:pPr>
        <w:pStyle w:val="Bullet"/>
        <w:numPr>
          <w:ilvl w:val="0"/>
          <w:numId w:val="0"/>
        </w:numPr>
        <w:jc w:val="both"/>
        <w:rPr>
          <w:rFonts w:eastAsia="Calibri" w:cs="Calibri"/>
          <w:szCs w:val="22"/>
        </w:rPr>
      </w:pPr>
      <w:r w:rsidRPr="0018386D">
        <w:rPr>
          <w:rFonts w:eastAsia="Calibri" w:cs="Calibri"/>
          <w:szCs w:val="22"/>
        </w:rPr>
        <w:t>T</w:t>
      </w:r>
      <w:r w:rsidR="005A7E28" w:rsidRPr="0018386D">
        <w:rPr>
          <w:rFonts w:eastAsia="Calibri" w:cs="Calibri"/>
          <w:szCs w:val="22"/>
        </w:rPr>
        <w:t>his version of the g</w:t>
      </w:r>
      <w:r w:rsidR="00267D8A" w:rsidRPr="0018386D">
        <w:rPr>
          <w:rFonts w:eastAsia="Calibri" w:cs="Calibri"/>
          <w:szCs w:val="22"/>
        </w:rPr>
        <w:t>u</w:t>
      </w:r>
      <w:r w:rsidR="005A7E28" w:rsidRPr="0018386D">
        <w:rPr>
          <w:rFonts w:eastAsia="Calibri" w:cs="Calibri"/>
          <w:szCs w:val="22"/>
        </w:rPr>
        <w:t>ide includes t</w:t>
      </w:r>
      <w:r w:rsidRPr="0018386D">
        <w:rPr>
          <w:rFonts w:eastAsia="Calibri" w:cs="Calibri"/>
          <w:szCs w:val="22"/>
        </w:rPr>
        <w:t>wo a</w:t>
      </w:r>
      <w:r w:rsidR="26524231" w:rsidRPr="0018386D">
        <w:rPr>
          <w:rFonts w:eastAsia="Calibri" w:cs="Calibri"/>
          <w:szCs w:val="22"/>
        </w:rPr>
        <w:t>dditional emission factors for waste wood to landfill</w:t>
      </w:r>
      <w:r w:rsidRPr="0018386D">
        <w:rPr>
          <w:rFonts w:eastAsia="Calibri" w:cs="Calibri"/>
          <w:szCs w:val="22"/>
        </w:rPr>
        <w:t>,</w:t>
      </w:r>
      <w:r w:rsidR="005A7E28" w:rsidRPr="0018386D">
        <w:rPr>
          <w:rFonts w:eastAsia="Calibri" w:cs="Calibri"/>
          <w:szCs w:val="22"/>
        </w:rPr>
        <w:t xml:space="preserve"> </w:t>
      </w:r>
      <w:r w:rsidRPr="0018386D">
        <w:rPr>
          <w:rFonts w:eastAsia="Calibri" w:cs="Calibri"/>
          <w:szCs w:val="22"/>
        </w:rPr>
        <w:t>for treated and untreated wood.</w:t>
      </w:r>
      <w:r w:rsidR="26524231" w:rsidRPr="0018386D">
        <w:rPr>
          <w:rFonts w:eastAsia="Calibri" w:cs="Calibri"/>
          <w:szCs w:val="22"/>
        </w:rPr>
        <w:t xml:space="preserve"> </w:t>
      </w:r>
    </w:p>
    <w:p w14:paraId="6E852764" w14:textId="0960EBD3" w:rsidR="00A959E4" w:rsidRPr="0018386D" w:rsidRDefault="00A959E4" w:rsidP="00DD3106">
      <w:pPr>
        <w:pStyle w:val="Heading2"/>
        <w:numPr>
          <w:ilvl w:val="1"/>
          <w:numId w:val="8"/>
        </w:numPr>
        <w:tabs>
          <w:tab w:val="clear" w:pos="851"/>
        </w:tabs>
        <w:ind w:left="993" w:hanging="993"/>
      </w:pPr>
      <w:bookmarkStart w:id="803" w:name="_Toc137807671"/>
      <w:bookmarkStart w:id="804" w:name="_Toc532904947"/>
      <w:bookmarkStart w:id="805" w:name="_Toc600599"/>
      <w:bookmarkStart w:id="806" w:name="_Toc140048930"/>
      <w:bookmarkEnd w:id="803"/>
      <w:r w:rsidRPr="0018386D">
        <w:t>Construction materials</w:t>
      </w:r>
      <w:bookmarkEnd w:id="804"/>
      <w:bookmarkEnd w:id="805"/>
      <w:bookmarkEnd w:id="806"/>
    </w:p>
    <w:p w14:paraId="05452955" w14:textId="644E4749" w:rsidR="00A959E4" w:rsidRPr="0018386D" w:rsidRDefault="00CE77B3" w:rsidP="00DD3106">
      <w:pPr>
        <w:pStyle w:val="BodyText"/>
      </w:pPr>
      <w:r w:rsidRPr="0018386D">
        <w:t>BRANZ</w:t>
      </w:r>
      <w:r w:rsidR="00A959E4" w:rsidRPr="0018386D">
        <w:rPr>
          <w:rStyle w:val="FootnoteReference"/>
        </w:rPr>
        <w:footnoteReference w:id="59"/>
      </w:r>
      <w:r w:rsidR="00A959E4" w:rsidRPr="0018386D">
        <w:t xml:space="preserve"> provide the emission conversion factors for the </w:t>
      </w:r>
      <w:r w:rsidR="00A90D22" w:rsidRPr="0018386D">
        <w:t>emission sources</w:t>
      </w:r>
      <w:r w:rsidR="00A959E4" w:rsidRPr="0018386D">
        <w:t xml:space="preserve"> </w:t>
      </w:r>
      <w:r w:rsidR="00706AC9" w:rsidRPr="0018386D">
        <w:t>in their 2021 CO</w:t>
      </w:r>
      <w:r w:rsidR="00C90F68" w:rsidRPr="0018386D">
        <w:rPr>
          <w:vertAlign w:val="subscript"/>
        </w:rPr>
        <w:t>2</w:t>
      </w:r>
      <w:r w:rsidR="00706AC9" w:rsidRPr="0018386D">
        <w:t xml:space="preserve">NSTRUCT </w:t>
      </w:r>
      <w:r w:rsidR="00183931" w:rsidRPr="0018386D">
        <w:t>dataset</w:t>
      </w:r>
      <w:r w:rsidR="00A9270C" w:rsidRPr="0018386D">
        <w:t>.</w:t>
      </w:r>
      <w:r w:rsidR="00092DFD" w:rsidRPr="0018386D">
        <w:rPr>
          <w:rStyle w:val="FootnoteReference"/>
        </w:rPr>
        <w:footnoteReference w:id="60"/>
      </w:r>
      <w:r w:rsidR="47E5DA7F" w:rsidRPr="0018386D">
        <w:t xml:space="preserve"> </w:t>
      </w:r>
      <w:r w:rsidR="008F4945" w:rsidRPr="0018386D">
        <w:t>These emissions are indirect (Scope 3) if the organisation does not own</w:t>
      </w:r>
      <w:r w:rsidR="00D01071" w:rsidRPr="0018386D">
        <w:t> </w:t>
      </w:r>
      <w:r w:rsidR="008F4945" w:rsidRPr="0018386D">
        <w:t>or control the facilities making the materials.</w:t>
      </w:r>
    </w:p>
    <w:p w14:paraId="19C004CE" w14:textId="2199DE27" w:rsidR="00CD42C8" w:rsidRPr="0018386D" w:rsidRDefault="0052179E" w:rsidP="00DD3106">
      <w:pPr>
        <w:pStyle w:val="BodyText"/>
      </w:pPr>
      <w:r w:rsidRPr="0018386D">
        <w:t>We recommend that users</w:t>
      </w:r>
      <w:r w:rsidR="00144FA4" w:rsidRPr="0018386D">
        <w:t xml:space="preserve"> refer directly to the </w:t>
      </w:r>
      <w:r w:rsidR="00A61556" w:rsidRPr="0018386D">
        <w:t>free</w:t>
      </w:r>
      <w:r w:rsidR="00144FA4" w:rsidRPr="0018386D">
        <w:t xml:space="preserve"> CO</w:t>
      </w:r>
      <w:r w:rsidR="00CD42C8" w:rsidRPr="0018386D">
        <w:rPr>
          <w:vertAlign w:val="subscript"/>
        </w:rPr>
        <w:t>2</w:t>
      </w:r>
      <w:r w:rsidR="00144FA4" w:rsidRPr="0018386D">
        <w:t xml:space="preserve">NSTRUCT </w:t>
      </w:r>
      <w:r w:rsidR="00246EAF" w:rsidRPr="0018386D">
        <w:t>dataset</w:t>
      </w:r>
      <w:r w:rsidR="00144FA4" w:rsidRPr="0018386D">
        <w:t xml:space="preserve"> for emission factors </w:t>
      </w:r>
      <w:r w:rsidR="00E9293D" w:rsidRPr="0018386D">
        <w:t xml:space="preserve">for construction materials. </w:t>
      </w:r>
      <w:r w:rsidR="00CD42C8" w:rsidRPr="0018386D">
        <w:t xml:space="preserve">The </w:t>
      </w:r>
      <w:r w:rsidR="00246EAF" w:rsidRPr="0018386D">
        <w:t>dataset</w:t>
      </w:r>
      <w:r w:rsidR="00CD42C8" w:rsidRPr="0018386D">
        <w:t xml:space="preserve"> provides embodied </w:t>
      </w:r>
      <w:r w:rsidR="00BB3B1F" w:rsidRPr="0018386D">
        <w:t>greenhouse gas</w:t>
      </w:r>
      <w:r w:rsidR="00CD42C8" w:rsidRPr="0018386D">
        <w:t xml:space="preserve"> and energy values for building materials including concrete, glass, timber</w:t>
      </w:r>
      <w:r w:rsidR="00D00328" w:rsidRPr="0018386D">
        <w:t>,</w:t>
      </w:r>
      <w:r w:rsidR="00CD42C8" w:rsidRPr="0018386D">
        <w:t xml:space="preserve"> and metals, as well as products such a</w:t>
      </w:r>
      <w:r w:rsidR="008610CF" w:rsidRPr="0018386D">
        <w:t>s</w:t>
      </w:r>
      <w:r w:rsidR="00CD42C8" w:rsidRPr="0018386D">
        <w:t xml:space="preserve"> bathroom and kitchen fittings.</w:t>
      </w:r>
    </w:p>
    <w:p w14:paraId="5C3EA843" w14:textId="26EC4F18" w:rsidR="0052179E" w:rsidRPr="0018386D" w:rsidRDefault="00246EAF" w:rsidP="00DD3106">
      <w:pPr>
        <w:pStyle w:val="BodyText"/>
      </w:pPr>
      <w:r w:rsidRPr="0018386D">
        <w:t>The CO</w:t>
      </w:r>
      <w:r w:rsidRPr="0018386D">
        <w:rPr>
          <w:vertAlign w:val="subscript"/>
        </w:rPr>
        <w:t>2</w:t>
      </w:r>
      <w:r w:rsidRPr="0018386D">
        <w:t xml:space="preserve">NSTRUCT dataset takes emission factors from EPDs for construction products and is regularly updated. </w:t>
      </w:r>
      <w:r w:rsidR="00E9293D" w:rsidRPr="0018386D">
        <w:t xml:space="preserve">Users </w:t>
      </w:r>
      <w:r w:rsidRPr="0018386D">
        <w:t>c</w:t>
      </w:r>
      <w:r w:rsidR="00E9293D" w:rsidRPr="0018386D">
        <w:t xml:space="preserve">ould also check </w:t>
      </w:r>
      <w:r w:rsidRPr="0018386D">
        <w:t>the</w:t>
      </w:r>
      <w:r w:rsidR="00E9293D" w:rsidRPr="0018386D">
        <w:t xml:space="preserve"> </w:t>
      </w:r>
      <w:r w:rsidR="008610CF" w:rsidRPr="0018386D">
        <w:t>EPD</w:t>
      </w:r>
      <w:r w:rsidR="00E9293D" w:rsidRPr="0018386D">
        <w:t xml:space="preserve"> </w:t>
      </w:r>
      <w:r w:rsidR="005A1387" w:rsidRPr="0018386D">
        <w:t>Australasia</w:t>
      </w:r>
      <w:r w:rsidRPr="0018386D">
        <w:t xml:space="preserve"> platform</w:t>
      </w:r>
      <w:r w:rsidR="00021386" w:rsidRPr="0018386D">
        <w:rPr>
          <w:rStyle w:val="FootnoteReference"/>
        </w:rPr>
        <w:footnoteReference w:id="61"/>
      </w:r>
      <w:r w:rsidR="00E9293D" w:rsidRPr="0018386D">
        <w:t xml:space="preserve"> for any i</w:t>
      </w:r>
      <w:r w:rsidR="00D00328" w:rsidRPr="0018386D">
        <w:t>nterim</w:t>
      </w:r>
      <w:r w:rsidR="001552B7" w:rsidRPr="0018386D">
        <w:t xml:space="preserve"> updates to emission factors.</w:t>
      </w:r>
    </w:p>
    <w:p w14:paraId="1B6F0B0E" w14:textId="34F64918" w:rsidR="4E97C0E1" w:rsidRPr="0018386D" w:rsidRDefault="00255325" w:rsidP="00DD3106">
      <w:pPr>
        <w:pStyle w:val="BodyText"/>
      </w:pPr>
      <w:r w:rsidRPr="0018386D">
        <w:t xml:space="preserve">The </w:t>
      </w:r>
      <w:r w:rsidR="001552B7" w:rsidRPr="0018386D">
        <w:t>M</w:t>
      </w:r>
      <w:r w:rsidRPr="0018386D">
        <w:t xml:space="preserve">inistry of </w:t>
      </w:r>
      <w:r w:rsidR="00E40764" w:rsidRPr="0018386D">
        <w:t>B</w:t>
      </w:r>
      <w:r w:rsidRPr="0018386D">
        <w:t xml:space="preserve">usiness, </w:t>
      </w:r>
      <w:r w:rsidR="00E40764" w:rsidRPr="0018386D">
        <w:t>I</w:t>
      </w:r>
      <w:r w:rsidRPr="0018386D">
        <w:t xml:space="preserve">nnovation and </w:t>
      </w:r>
      <w:r w:rsidR="00E40764" w:rsidRPr="0018386D">
        <w:t>E</w:t>
      </w:r>
      <w:r w:rsidRPr="0018386D">
        <w:t>mployment</w:t>
      </w:r>
      <w:r w:rsidR="00E40764" w:rsidRPr="0018386D">
        <w:t xml:space="preserve">’s </w:t>
      </w:r>
      <w:hyperlink r:id="rId120" w:history="1">
        <w:r w:rsidR="6037DA6C" w:rsidRPr="0018386D">
          <w:rPr>
            <w:rStyle w:val="Hyperlink"/>
            <w:rFonts w:eastAsia="Calibri" w:cs="Calibri"/>
          </w:rPr>
          <w:t>Building for Climate Change Programme</w:t>
        </w:r>
      </w:hyperlink>
      <w:r w:rsidR="00E40764" w:rsidRPr="0018386D">
        <w:t xml:space="preserve"> (</w:t>
      </w:r>
      <w:proofErr w:type="spellStart"/>
      <w:r w:rsidR="00E40764" w:rsidRPr="0018386D">
        <w:t>B</w:t>
      </w:r>
      <w:r w:rsidR="00613FF3" w:rsidRPr="0018386D">
        <w:t>f</w:t>
      </w:r>
      <w:r w:rsidR="00E40764" w:rsidRPr="0018386D">
        <w:t>CC</w:t>
      </w:r>
      <w:proofErr w:type="spellEnd"/>
      <w:r w:rsidR="00E40764" w:rsidRPr="0018386D">
        <w:t>)</w:t>
      </w:r>
      <w:r w:rsidR="0080286D" w:rsidRPr="0018386D">
        <w:t xml:space="preserve"> </w:t>
      </w:r>
      <w:r w:rsidR="00613FF3" w:rsidRPr="0018386D">
        <w:t xml:space="preserve">has been </w:t>
      </w:r>
      <w:r w:rsidR="00F62AE6" w:rsidRPr="0018386D">
        <w:t>set up</w:t>
      </w:r>
      <w:r w:rsidR="00B07104" w:rsidRPr="0018386D">
        <w:t xml:space="preserve"> to </w:t>
      </w:r>
      <w:r w:rsidR="007B2424" w:rsidRPr="0018386D">
        <w:t xml:space="preserve">reduce emissions from constructing and operating buildings, and to make sure buildings are prepared for the future effects of climate change. </w:t>
      </w:r>
      <w:r w:rsidR="00412EE7" w:rsidRPr="0018386D">
        <w:t>Through t</w:t>
      </w:r>
      <w:r w:rsidR="007B2424" w:rsidRPr="0018386D">
        <w:t xml:space="preserve">he </w:t>
      </w:r>
      <w:proofErr w:type="spellStart"/>
      <w:r w:rsidR="007B2424" w:rsidRPr="0018386D">
        <w:t>B</w:t>
      </w:r>
      <w:r w:rsidR="00412EE7" w:rsidRPr="0018386D">
        <w:t>f</w:t>
      </w:r>
      <w:r w:rsidR="007B2424" w:rsidRPr="0018386D">
        <w:t>CC</w:t>
      </w:r>
      <w:proofErr w:type="spellEnd"/>
      <w:r w:rsidR="007B2424" w:rsidRPr="0018386D">
        <w:t xml:space="preserve"> </w:t>
      </w:r>
      <w:r w:rsidR="005A7E28" w:rsidRPr="0018386D">
        <w:t>p</w:t>
      </w:r>
      <w:r w:rsidR="005E19A2" w:rsidRPr="0018386D">
        <w:t>rogramme</w:t>
      </w:r>
      <w:r w:rsidR="00412EE7" w:rsidRPr="0018386D">
        <w:t xml:space="preserve">, MBIE is leading the Building and </w:t>
      </w:r>
      <w:r w:rsidR="002944FA" w:rsidRPr="0018386D">
        <w:t>Construction Sector policy for</w:t>
      </w:r>
      <w:r w:rsidR="005E19A2" w:rsidRPr="0018386D">
        <w:rPr>
          <w:color w:val="0078D4"/>
        </w:rPr>
        <w:t xml:space="preserve"> </w:t>
      </w:r>
      <w:r w:rsidR="005E19A2" w:rsidRPr="0018386D">
        <w:t xml:space="preserve">New Zealand’s </w:t>
      </w:r>
      <w:r w:rsidR="00837C60" w:rsidRPr="0018386D">
        <w:t>Emissions Reduction Plan</w:t>
      </w:r>
      <w:r w:rsidR="002944FA" w:rsidRPr="0018386D">
        <w:t>, setting out policies and strategies to meet the Government’s emission budget.</w:t>
      </w:r>
    </w:p>
    <w:p w14:paraId="65310F6C" w14:textId="12EF3D49" w:rsidR="002A499E" w:rsidRPr="0018386D" w:rsidRDefault="002A499E" w:rsidP="00DD3106">
      <w:pPr>
        <w:pStyle w:val="BodyText"/>
      </w:pPr>
      <w:r w:rsidRPr="0018386D">
        <w:t xml:space="preserve">Users should note that </w:t>
      </w:r>
      <w:r w:rsidR="00C412A5" w:rsidRPr="0018386D">
        <w:t xml:space="preserve">in the </w:t>
      </w:r>
      <w:hyperlink r:id="rId121">
        <w:r w:rsidR="05841CB1" w:rsidRPr="0018386D">
          <w:rPr>
            <w:color w:val="32809C" w:themeColor="accent2"/>
          </w:rPr>
          <w:t>GHG Protocol</w:t>
        </w:r>
      </w:hyperlink>
      <w:r w:rsidR="00EE3C1C" w:rsidRPr="0018386D">
        <w:t>, construction materials are classified as</w:t>
      </w:r>
      <w:r w:rsidRPr="0018386D">
        <w:t xml:space="preserve"> Scope 3 Category 1 (emissions from purchased goods and services)</w:t>
      </w:r>
      <w:r w:rsidR="00EE3C1C" w:rsidRPr="0018386D">
        <w:t>.</w:t>
      </w:r>
      <w:r w:rsidR="0064686B" w:rsidRPr="0018386D">
        <w:t xml:space="preserve"> </w:t>
      </w:r>
      <w:r w:rsidR="005A7E28" w:rsidRPr="0018386D">
        <w:t>B</w:t>
      </w:r>
      <w:r w:rsidR="0064686B" w:rsidRPr="0018386D">
        <w:t xml:space="preserve">uildings are classified as </w:t>
      </w:r>
      <w:r w:rsidR="007F1A63" w:rsidRPr="0018386D">
        <w:t xml:space="preserve">Scope 3 </w:t>
      </w:r>
      <w:r w:rsidR="0064686B" w:rsidRPr="0018386D">
        <w:t>Category 2</w:t>
      </w:r>
      <w:r w:rsidR="007F1A63" w:rsidRPr="0018386D">
        <w:t xml:space="preserve"> (embodied </w:t>
      </w:r>
      <w:r w:rsidR="007A0680" w:rsidRPr="0018386D">
        <w:t>emissions of new buildings</w:t>
      </w:r>
      <w:r w:rsidR="0007746B" w:rsidRPr="0018386D">
        <w:t>, which includes accounting for the emissions impact of construction materials</w:t>
      </w:r>
      <w:r w:rsidR="007A0680" w:rsidRPr="0018386D">
        <w:t>)</w:t>
      </w:r>
      <w:r w:rsidR="00EE3C1C" w:rsidRPr="0018386D">
        <w:t>. These</w:t>
      </w:r>
      <w:r w:rsidRPr="0018386D">
        <w:t xml:space="preserve"> can form a large proportion of an </w:t>
      </w:r>
      <w:r w:rsidR="00EE3C1C" w:rsidRPr="0018386D">
        <w:t>organisation’s</w:t>
      </w:r>
      <w:r w:rsidRPr="0018386D">
        <w:t xml:space="preserve"> </w:t>
      </w:r>
      <w:r w:rsidR="003818D3" w:rsidRPr="0018386D">
        <w:t>GHG</w:t>
      </w:r>
      <w:r w:rsidR="00A9270C" w:rsidRPr="0018386D">
        <w:t> </w:t>
      </w:r>
      <w:r w:rsidRPr="0018386D">
        <w:t xml:space="preserve">inventory. </w:t>
      </w:r>
    </w:p>
    <w:p w14:paraId="3B0EF4A5" w14:textId="0236FE24" w:rsidR="00A959E4" w:rsidRPr="0018386D" w:rsidRDefault="00A959E4" w:rsidP="00DD3106">
      <w:pPr>
        <w:pStyle w:val="Heading2"/>
        <w:numPr>
          <w:ilvl w:val="1"/>
          <w:numId w:val="8"/>
        </w:numPr>
        <w:tabs>
          <w:tab w:val="clear" w:pos="851"/>
        </w:tabs>
        <w:ind w:left="993" w:hanging="993"/>
      </w:pPr>
      <w:bookmarkStart w:id="807" w:name="_Toc532904951"/>
      <w:bookmarkStart w:id="808" w:name="_Toc600600"/>
      <w:bookmarkStart w:id="809" w:name="_Toc140048931"/>
      <w:r w:rsidRPr="0018386D">
        <w:lastRenderedPageBreak/>
        <w:t>Waste disposal</w:t>
      </w:r>
      <w:bookmarkEnd w:id="807"/>
      <w:bookmarkEnd w:id="808"/>
      <w:bookmarkEnd w:id="809"/>
    </w:p>
    <w:p w14:paraId="12AF8C8C" w14:textId="348B4CAC" w:rsidR="169B3F3F" w:rsidRPr="0018386D" w:rsidRDefault="169B3F3F" w:rsidP="00DD3106">
      <w:pPr>
        <w:pStyle w:val="BodyText"/>
        <w:rPr>
          <w:rFonts w:eastAsia="Calibri" w:cs="Calibri"/>
          <w:color w:val="000000" w:themeColor="text1"/>
        </w:rPr>
      </w:pPr>
      <w:r w:rsidRPr="0018386D">
        <w:t>W</w:t>
      </w:r>
      <w:r w:rsidR="450C4D77" w:rsidRPr="0018386D">
        <w:t xml:space="preserve">aste disposal </w:t>
      </w:r>
      <w:r w:rsidR="387C6DC9" w:rsidRPr="0018386D">
        <w:t xml:space="preserve">emissions account only for the </w:t>
      </w:r>
      <w:r w:rsidR="450C4D77" w:rsidRPr="0018386D">
        <w:t>GHG</w:t>
      </w:r>
      <w:r w:rsidR="387C6DC9" w:rsidRPr="0018386D">
        <w:t xml:space="preserve"> emitted from </w:t>
      </w:r>
      <w:r w:rsidR="71686730" w:rsidRPr="0018386D">
        <w:t xml:space="preserve">end-of-life </w:t>
      </w:r>
      <w:r w:rsidR="387C6DC9" w:rsidRPr="0018386D">
        <w:t xml:space="preserve">waste </w:t>
      </w:r>
      <w:r w:rsidR="71686730" w:rsidRPr="0018386D">
        <w:t>disposal</w:t>
      </w:r>
      <w:r w:rsidR="387C6DC9" w:rsidRPr="0018386D">
        <w:t>. Currently</w:t>
      </w:r>
      <w:r w:rsidR="63F1D1B5" w:rsidRPr="0018386D">
        <w:t>,</w:t>
      </w:r>
      <w:r w:rsidR="387C6DC9" w:rsidRPr="0018386D">
        <w:t xml:space="preserve"> </w:t>
      </w:r>
      <w:r w:rsidR="71686730" w:rsidRPr="0018386D">
        <w:t xml:space="preserve">this guide covers emissions from </w:t>
      </w:r>
      <w:r w:rsidR="450C4D77" w:rsidRPr="0018386D">
        <w:t>waste-to-landfill</w:t>
      </w:r>
      <w:r w:rsidR="71686730" w:rsidRPr="0018386D">
        <w:t xml:space="preserve"> for municipal </w:t>
      </w:r>
      <w:r w:rsidR="2045878F" w:rsidRPr="0018386D">
        <w:t>a</w:t>
      </w:r>
      <w:r w:rsidR="71686730" w:rsidRPr="0018386D">
        <w:t>nd non-municipal landfills</w:t>
      </w:r>
      <w:r w:rsidR="6F359B12" w:rsidRPr="0018386D">
        <w:t>, as well as biological treatment (composting and anaerobic digestion).</w:t>
      </w:r>
      <w:r w:rsidR="387C6DC9" w:rsidRPr="0018386D">
        <w:t xml:space="preserve"> </w:t>
      </w:r>
      <w:r w:rsidR="005A7E28" w:rsidRPr="0018386D">
        <w:t>U</w:t>
      </w:r>
      <w:r w:rsidR="387C6DC9" w:rsidRPr="0018386D">
        <w:t>sers seeking whole</w:t>
      </w:r>
      <w:r w:rsidRPr="0018386D">
        <w:t>-</w:t>
      </w:r>
      <w:r w:rsidR="387C6DC9" w:rsidRPr="0018386D">
        <w:t>life assessment of waste streams</w:t>
      </w:r>
      <w:r w:rsidR="00890754" w:rsidRPr="0018386D">
        <w:t xml:space="preserve"> </w:t>
      </w:r>
      <w:r w:rsidR="005A7E28" w:rsidRPr="0018386D">
        <w:t>should</w:t>
      </w:r>
      <w:r w:rsidR="55028EEA" w:rsidRPr="0018386D">
        <w:t xml:space="preserve"> refer</w:t>
      </w:r>
      <w:r w:rsidR="005A7E28" w:rsidRPr="0018386D">
        <w:t xml:space="preserve"> </w:t>
      </w:r>
      <w:r w:rsidR="0852B404" w:rsidRPr="0018386D">
        <w:rPr>
          <w:rFonts w:eastAsia="Calibri" w:cs="Calibri"/>
          <w:color w:val="000000" w:themeColor="text1"/>
        </w:rPr>
        <w:t xml:space="preserve">to the </w:t>
      </w:r>
      <w:hyperlink r:id="rId122" w:history="1">
        <w:r w:rsidR="0852B404" w:rsidRPr="0018386D">
          <w:rPr>
            <w:rStyle w:val="Hyperlink"/>
            <w:rFonts w:eastAsia="Calibri" w:cs="Calibri"/>
          </w:rPr>
          <w:t>UK BEIS emission factors</w:t>
        </w:r>
      </w:hyperlink>
      <w:r w:rsidR="0852B404" w:rsidRPr="0018386D">
        <w:rPr>
          <w:rFonts w:eastAsia="Calibri" w:cs="Calibri"/>
          <w:color w:val="000000" w:themeColor="text1"/>
        </w:rPr>
        <w:t xml:space="preserve"> for company reporting.</w:t>
      </w:r>
    </w:p>
    <w:p w14:paraId="2B25502E" w14:textId="46490362" w:rsidR="00A959E4" w:rsidRPr="0018386D" w:rsidRDefault="00A959E4" w:rsidP="00DD3106">
      <w:pPr>
        <w:pStyle w:val="BodyText"/>
        <w:rPr>
          <w:spacing w:val="-2"/>
        </w:rPr>
      </w:pPr>
      <w:r w:rsidRPr="0018386D">
        <w:t xml:space="preserve">The units of emissions are </w:t>
      </w:r>
      <w:r w:rsidR="00C67917" w:rsidRPr="0018386D">
        <w:t>kg</w:t>
      </w:r>
      <w:r w:rsidRPr="0018386D">
        <w:t xml:space="preserve"> CO</w:t>
      </w:r>
      <w:r w:rsidRPr="0018386D">
        <w:rPr>
          <w:vertAlign w:val="subscript"/>
        </w:rPr>
        <w:t>2</w:t>
      </w:r>
      <w:r w:rsidRPr="0018386D">
        <w:t xml:space="preserve">-e per </w:t>
      </w:r>
      <w:r w:rsidR="00C67917" w:rsidRPr="0018386D">
        <w:t>kg</w:t>
      </w:r>
      <w:r w:rsidRPr="0018386D">
        <w:t xml:space="preserve"> of material. The anaerobic decomposition of organic waste in landfills generates </w:t>
      </w:r>
      <w:r w:rsidR="00303AA0" w:rsidRPr="0018386D">
        <w:t>methane</w:t>
      </w:r>
      <w:r w:rsidRPr="0018386D">
        <w:t>.</w:t>
      </w:r>
      <w:r w:rsidR="00A26926" w:rsidRPr="0018386D">
        <w:t xml:space="preserve"> </w:t>
      </w:r>
      <w:r w:rsidR="00C67917" w:rsidRPr="0018386D">
        <w:t>Organisations should adjust i</w:t>
      </w:r>
      <w:r w:rsidRPr="0018386D">
        <w:t>nventories to account for the landfill</w:t>
      </w:r>
      <w:r w:rsidR="00D24054" w:rsidRPr="0018386D">
        <w:t xml:space="preserve">s that </w:t>
      </w:r>
      <w:r w:rsidR="0852B404" w:rsidRPr="0018386D">
        <w:t>collect</w:t>
      </w:r>
      <w:r w:rsidR="00D24054" w:rsidRPr="0018386D">
        <w:t xml:space="preserve"> and </w:t>
      </w:r>
      <w:r w:rsidR="0852B404" w:rsidRPr="0018386D">
        <w:t>destroy landfill gas.</w:t>
      </w:r>
      <w:r w:rsidR="007D66F9" w:rsidRPr="0018386D">
        <w:t xml:space="preserve"> </w:t>
      </w:r>
      <w:r w:rsidRPr="0018386D">
        <w:t xml:space="preserve">Where </w:t>
      </w:r>
      <w:r w:rsidR="00303AA0" w:rsidRPr="0018386D">
        <w:t>methane</w:t>
      </w:r>
      <w:r w:rsidRPr="0018386D">
        <w:t xml:space="preserve"> is </w:t>
      </w:r>
      <w:r w:rsidR="00D24054" w:rsidRPr="0018386D">
        <w:t>collected and destroyed by flaring</w:t>
      </w:r>
      <w:r w:rsidR="00A72CE8" w:rsidRPr="0018386D">
        <w:t xml:space="preserve"> </w:t>
      </w:r>
      <w:r w:rsidRPr="0018386D">
        <w:t>or combust</w:t>
      </w:r>
      <w:r w:rsidR="00D24054" w:rsidRPr="0018386D">
        <w:t>ion</w:t>
      </w:r>
      <w:r w:rsidRPr="0018386D">
        <w:t xml:space="preserve"> </w:t>
      </w:r>
      <w:r w:rsidR="00C81DA8" w:rsidRPr="0018386D">
        <w:t>to generate</w:t>
      </w:r>
      <w:r w:rsidRPr="0018386D">
        <w:t xml:space="preserve"> energy, the </w:t>
      </w:r>
      <w:r w:rsidR="00303AA0" w:rsidRPr="0018386D">
        <w:t>carbon dioxide</w:t>
      </w:r>
      <w:r w:rsidRPr="0018386D">
        <w:t xml:space="preserve"> emitted from the combustion process is</w:t>
      </w:r>
      <w:r w:rsidR="00A72CE8" w:rsidRPr="0018386D">
        <w:t xml:space="preserve"> </w:t>
      </w:r>
      <w:r w:rsidRPr="0018386D">
        <w:t xml:space="preserve">regarded as part of the natural carbon cycle. </w:t>
      </w:r>
      <w:r w:rsidR="0852B404" w:rsidRPr="0018386D">
        <w:t>Biogenic carbon dioxide</w:t>
      </w:r>
      <w:r w:rsidR="0852B404" w:rsidRPr="0018386D">
        <w:rPr>
          <w:vertAlign w:val="subscript"/>
        </w:rPr>
        <w:t>,</w:t>
      </w:r>
      <w:r w:rsidR="004C3308" w:rsidRPr="0018386D">
        <w:rPr>
          <w:vertAlign w:val="subscript"/>
        </w:rPr>
        <w:t xml:space="preserve"> </w:t>
      </w:r>
      <w:r w:rsidR="00F56575" w:rsidRPr="0018386D">
        <w:t xml:space="preserve">which is </w:t>
      </w:r>
      <w:r w:rsidRPr="0018386D">
        <w:t xml:space="preserve">part of the natural </w:t>
      </w:r>
      <w:r w:rsidR="00D76D15" w:rsidRPr="0018386D">
        <w:t xml:space="preserve">carbon </w:t>
      </w:r>
      <w:r w:rsidRPr="0018386D">
        <w:t xml:space="preserve">cycle, is absorbed by living organic matter and released at the end of its </w:t>
      </w:r>
      <w:r w:rsidR="00C67917" w:rsidRPr="0018386D">
        <w:rPr>
          <w:spacing w:val="-2"/>
        </w:rPr>
        <w:t>life and</w:t>
      </w:r>
      <w:r w:rsidRPr="0018386D">
        <w:rPr>
          <w:spacing w:val="-2"/>
        </w:rPr>
        <w:t xml:space="preserve"> is not</w:t>
      </w:r>
      <w:r w:rsidR="00F0029C" w:rsidRPr="0018386D">
        <w:rPr>
          <w:spacing w:val="-2"/>
        </w:rPr>
        <w:t xml:space="preserve"> </w:t>
      </w:r>
      <w:r w:rsidRPr="0018386D">
        <w:rPr>
          <w:spacing w:val="-2"/>
        </w:rPr>
        <w:t>included in these emission factors</w:t>
      </w:r>
      <w:r w:rsidR="006C07FA" w:rsidRPr="0018386D">
        <w:rPr>
          <w:spacing w:val="-2"/>
        </w:rPr>
        <w:t xml:space="preserve"> since it has no net effect on greenhouse gases.</w:t>
      </w:r>
    </w:p>
    <w:p w14:paraId="3F8A12DE" w14:textId="0236FE24" w:rsidR="009343E3" w:rsidRPr="0018386D" w:rsidRDefault="006C07FA" w:rsidP="00DD3106">
      <w:pPr>
        <w:pStyle w:val="BodyText"/>
      </w:pPr>
      <w:r w:rsidRPr="0018386D">
        <w:t>E</w:t>
      </w:r>
      <w:r w:rsidR="00220181" w:rsidRPr="0018386D">
        <w:t>mission factor</w:t>
      </w:r>
      <w:r w:rsidRPr="0018386D">
        <w:t>s</w:t>
      </w:r>
      <w:r w:rsidR="00220181" w:rsidRPr="0018386D">
        <w:t xml:space="preserve"> for anaerobic digestion</w:t>
      </w:r>
      <w:r w:rsidRPr="0018386D">
        <w:t xml:space="preserve"> and composting are reported as</w:t>
      </w:r>
      <w:r w:rsidR="00220181" w:rsidRPr="0018386D">
        <w:t xml:space="preserve"> form</w:t>
      </w:r>
      <w:r w:rsidR="00E97DA9" w:rsidRPr="0018386D">
        <w:t>s</w:t>
      </w:r>
      <w:r w:rsidR="00220181" w:rsidRPr="0018386D">
        <w:t xml:space="preserve"> of biological treatment of waste.</w:t>
      </w:r>
    </w:p>
    <w:p w14:paraId="18B92B62" w14:textId="52027B99" w:rsidR="00A959E4" w:rsidRPr="0018386D" w:rsidRDefault="00A959E4" w:rsidP="00DD3106">
      <w:pPr>
        <w:pStyle w:val="BodyText"/>
        <w:rPr>
          <w:color w:val="000000" w:themeColor="text1"/>
        </w:rPr>
      </w:pPr>
      <w:r w:rsidRPr="0018386D">
        <w:t xml:space="preserve">The </w:t>
      </w:r>
      <w:r w:rsidR="00FB5314" w:rsidRPr="0018386D">
        <w:t>type</w:t>
      </w:r>
      <w:r w:rsidR="005D4802" w:rsidRPr="0018386D">
        <w:t>, age, design, engineering, and management practices</w:t>
      </w:r>
      <w:r w:rsidRPr="0018386D">
        <w:t xml:space="preserve"> of</w:t>
      </w:r>
      <w:r w:rsidR="005D4802" w:rsidRPr="0018386D">
        <w:t xml:space="preserve"> the</w:t>
      </w:r>
      <w:r w:rsidRPr="0018386D">
        <w:t xml:space="preserve"> landfill influences the </w:t>
      </w:r>
      <w:r w:rsidR="00C67917" w:rsidRPr="0018386D">
        <w:t>GHG</w:t>
      </w:r>
      <w:r w:rsidRPr="0018386D">
        <w:t xml:space="preserve"> conversion factor</w:t>
      </w:r>
      <w:r w:rsidR="00126671" w:rsidRPr="0018386D">
        <w:t>,</w:t>
      </w:r>
      <w:r w:rsidRPr="0018386D">
        <w:t xml:space="preserve"> based on </w:t>
      </w:r>
      <w:r w:rsidR="00C67917" w:rsidRPr="0018386D">
        <w:t>whether</w:t>
      </w:r>
      <w:r w:rsidRPr="0018386D">
        <w:t xml:space="preserve"> there is a </w:t>
      </w:r>
      <w:r w:rsidR="00303AA0" w:rsidRPr="0018386D">
        <w:t>methane</w:t>
      </w:r>
      <w:r w:rsidR="00C67917" w:rsidRPr="0018386D">
        <w:t xml:space="preserve"> </w:t>
      </w:r>
      <w:r w:rsidRPr="0018386D">
        <w:t xml:space="preserve">gas collection system. </w:t>
      </w:r>
      <w:r w:rsidR="0852B404" w:rsidRPr="0018386D">
        <w:t>In 2021</w:t>
      </w:r>
      <w:r w:rsidR="00E97DA9" w:rsidRPr="0018386D">
        <w:t>, 97</w:t>
      </w:r>
      <w:r w:rsidR="00D01071" w:rsidRPr="0018386D">
        <w:t> </w:t>
      </w:r>
      <w:r w:rsidR="00F0029C" w:rsidRPr="0018386D">
        <w:t xml:space="preserve">per </w:t>
      </w:r>
      <w:r w:rsidR="00F0029C" w:rsidRPr="0018386D">
        <w:rPr>
          <w:color w:val="000000" w:themeColor="text1"/>
        </w:rPr>
        <w:t xml:space="preserve">cent </w:t>
      </w:r>
      <w:r w:rsidR="00E97DA9" w:rsidRPr="0018386D">
        <w:rPr>
          <w:color w:val="000000" w:themeColor="text1"/>
        </w:rPr>
        <w:t>of municipal waste was disposed to landfills with gas collection.</w:t>
      </w:r>
    </w:p>
    <w:p w14:paraId="75BCE07C" w14:textId="1ECE351F" w:rsidR="00A959E4" w:rsidRPr="0018386D" w:rsidRDefault="00EB4389" w:rsidP="00DD3106">
      <w:pPr>
        <w:pStyle w:val="Tableheading"/>
      </w:pPr>
      <w:bookmarkStart w:id="810" w:name="_Ref532845214"/>
      <w:bookmarkStart w:id="811" w:name="_Toc111536684"/>
      <w:bookmarkStart w:id="812" w:name="_Toc140049012"/>
      <w:r w:rsidRPr="0018386D">
        <w:t xml:space="preserve">Table </w:t>
      </w:r>
      <w:r w:rsidRPr="0018386D">
        <w:fldChar w:fldCharType="begin"/>
      </w:r>
      <w:r w:rsidRPr="0018386D">
        <w:instrText>SEQ Table \* ARABIC</w:instrText>
      </w:r>
      <w:r w:rsidRPr="0018386D">
        <w:fldChar w:fldCharType="separate"/>
      </w:r>
      <w:r w:rsidR="0085383F" w:rsidRPr="0018386D">
        <w:t>72</w:t>
      </w:r>
      <w:r w:rsidRPr="0018386D">
        <w:fldChar w:fldCharType="end"/>
      </w:r>
      <w:r w:rsidRPr="0018386D">
        <w:t>:</w:t>
      </w:r>
      <w:r w:rsidRPr="0018386D">
        <w:tab/>
      </w:r>
      <w:r w:rsidR="00A959E4" w:rsidRPr="0018386D">
        <w:t>Description of landfill types</w:t>
      </w:r>
      <w:bookmarkEnd w:id="810"/>
      <w:bookmarkEnd w:id="811"/>
      <w:bookmarkEnd w:id="812"/>
    </w:p>
    <w:tbl>
      <w:tblPr>
        <w:tblStyle w:val="LightList-Accent2"/>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440"/>
        <w:gridCol w:w="6065"/>
      </w:tblGrid>
      <w:tr w:rsidR="00A959E4" w:rsidRPr="0018386D" w14:paraId="01A8ABBE" w14:textId="77777777" w:rsidTr="00C52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bottom w:val="single" w:sz="8" w:space="0" w:color="32809C" w:themeColor="accent2"/>
            </w:tcBorders>
            <w:shd w:val="clear" w:color="auto" w:fill="1B556B" w:themeFill="text2"/>
          </w:tcPr>
          <w:p w14:paraId="69FCEA75" w14:textId="77777777" w:rsidR="00A959E4" w:rsidRPr="0018386D" w:rsidRDefault="00A959E4" w:rsidP="00DD3106">
            <w:pPr>
              <w:pStyle w:val="TableText"/>
              <w:keepNext/>
              <w:spacing w:before="40" w:after="40"/>
            </w:pPr>
            <w:r w:rsidRPr="0018386D">
              <w:t>Landfill type</w:t>
            </w:r>
          </w:p>
        </w:tc>
        <w:tc>
          <w:tcPr>
            <w:tcW w:w="6065" w:type="dxa"/>
            <w:tcBorders>
              <w:bottom w:val="single" w:sz="8" w:space="0" w:color="32809C" w:themeColor="accent2"/>
            </w:tcBorders>
            <w:shd w:val="clear" w:color="auto" w:fill="1B556B" w:themeFill="text2"/>
          </w:tcPr>
          <w:p w14:paraId="26BB7C9F" w14:textId="77777777" w:rsidR="00A959E4" w:rsidRPr="0018386D" w:rsidRDefault="00A959E4" w:rsidP="00DD3106">
            <w:pPr>
              <w:pStyle w:val="TableText"/>
              <w:keepNext/>
              <w:spacing w:before="40" w:after="40"/>
              <w:cnfStyle w:val="100000000000" w:firstRow="1" w:lastRow="0" w:firstColumn="0" w:lastColumn="0" w:oddVBand="0" w:evenVBand="0" w:oddHBand="0" w:evenHBand="0" w:firstRowFirstColumn="0" w:firstRowLastColumn="0" w:lastRowFirstColumn="0" w:lastRowLastColumn="0"/>
            </w:pPr>
            <w:r w:rsidRPr="0018386D">
              <w:t>Description</w:t>
            </w:r>
          </w:p>
        </w:tc>
      </w:tr>
      <w:tr w:rsidR="00CA577B" w:rsidRPr="0018386D" w14:paraId="7F41418F"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left w:val="nil"/>
            </w:tcBorders>
          </w:tcPr>
          <w:p w14:paraId="3ED1528B" w14:textId="0AAAC861" w:rsidR="00CA577B" w:rsidRPr="0018386D" w:rsidRDefault="00CA577B" w:rsidP="00DD3106">
            <w:pPr>
              <w:pStyle w:val="TableText"/>
              <w:spacing w:before="40" w:after="40"/>
              <w:rPr>
                <w:b w:val="0"/>
              </w:rPr>
            </w:pPr>
            <w:r w:rsidRPr="0018386D">
              <w:rPr>
                <w:b w:val="0"/>
              </w:rPr>
              <w:t xml:space="preserve">Municipal (class 1) landfills </w:t>
            </w:r>
            <w:r w:rsidR="00E97DA9" w:rsidRPr="0018386D">
              <w:rPr>
                <w:b w:val="0"/>
              </w:rPr>
              <w:t>w</w:t>
            </w:r>
            <w:r w:rsidRPr="0018386D">
              <w:rPr>
                <w:b w:val="0"/>
              </w:rPr>
              <w:t>ith gas recovery</w:t>
            </w:r>
          </w:p>
        </w:tc>
        <w:tc>
          <w:tcPr>
            <w:tcW w:w="6065" w:type="dxa"/>
            <w:tcBorders>
              <w:right w:val="nil"/>
            </w:tcBorders>
          </w:tcPr>
          <w:p w14:paraId="7F587303" w14:textId="6D71D3F4" w:rsidR="00CA577B" w:rsidRPr="0018386D" w:rsidRDefault="00CA577B" w:rsidP="00DD310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386D">
              <w:t xml:space="preserve">Municipal, well-managed </w:t>
            </w:r>
            <w:r w:rsidR="00E97DA9" w:rsidRPr="0018386D">
              <w:t>l</w:t>
            </w:r>
            <w:r w:rsidRPr="0018386D">
              <w:t xml:space="preserve">andfill where </w:t>
            </w:r>
            <w:r w:rsidR="00D577D5" w:rsidRPr="0018386D">
              <w:t>a landfill gas recovery system is installed. S</w:t>
            </w:r>
            <w:r w:rsidRPr="0018386D">
              <w:t>ome of the CH</w:t>
            </w:r>
            <w:r w:rsidRPr="0018386D">
              <w:rPr>
                <w:vertAlign w:val="subscript"/>
              </w:rPr>
              <w:t>4</w:t>
            </w:r>
            <w:r w:rsidRPr="0018386D">
              <w:t xml:space="preserve"> produced during the organic decomposition of waste is captured</w:t>
            </w:r>
            <w:r w:rsidR="00D577D5" w:rsidRPr="0018386D">
              <w:t xml:space="preserve"> and destroyed.</w:t>
            </w:r>
          </w:p>
        </w:tc>
      </w:tr>
      <w:tr w:rsidR="00CA577B" w:rsidRPr="0018386D" w14:paraId="17BC3A9B" w14:textId="77777777" w:rsidTr="00C52370">
        <w:tc>
          <w:tcPr>
            <w:cnfStyle w:val="001000000000" w:firstRow="0" w:lastRow="0" w:firstColumn="1" w:lastColumn="0" w:oddVBand="0" w:evenVBand="0" w:oddHBand="0" w:evenHBand="0" w:firstRowFirstColumn="0" w:firstRowLastColumn="0" w:lastRowFirstColumn="0" w:lastRowLastColumn="0"/>
            <w:tcW w:w="2440" w:type="dxa"/>
            <w:tcBorders>
              <w:top w:val="single" w:sz="8" w:space="0" w:color="32809C" w:themeColor="accent2"/>
              <w:left w:val="nil"/>
              <w:bottom w:val="single" w:sz="8" w:space="0" w:color="32809C" w:themeColor="accent2"/>
            </w:tcBorders>
          </w:tcPr>
          <w:p w14:paraId="057CF461" w14:textId="42DD1BD2" w:rsidR="00CA577B" w:rsidRPr="0018386D" w:rsidRDefault="00CA577B" w:rsidP="00DD3106">
            <w:pPr>
              <w:pStyle w:val="TableText"/>
              <w:spacing w:before="40" w:after="40"/>
              <w:rPr>
                <w:b w:val="0"/>
              </w:rPr>
            </w:pPr>
            <w:r w:rsidRPr="0018386D">
              <w:rPr>
                <w:b w:val="0"/>
              </w:rPr>
              <w:t xml:space="preserve">Municipal (class 1) landfills </w:t>
            </w:r>
            <w:r w:rsidR="00E97DA9" w:rsidRPr="0018386D">
              <w:rPr>
                <w:b w:val="0"/>
              </w:rPr>
              <w:t>w</w:t>
            </w:r>
            <w:r w:rsidRPr="0018386D">
              <w:rPr>
                <w:b w:val="0"/>
              </w:rPr>
              <w:t>ithout gas recovery</w:t>
            </w:r>
          </w:p>
        </w:tc>
        <w:tc>
          <w:tcPr>
            <w:tcW w:w="6065" w:type="dxa"/>
            <w:tcBorders>
              <w:top w:val="single" w:sz="8" w:space="0" w:color="32809C" w:themeColor="accent2"/>
              <w:bottom w:val="single" w:sz="8" w:space="0" w:color="32809C" w:themeColor="accent2"/>
              <w:right w:val="nil"/>
            </w:tcBorders>
          </w:tcPr>
          <w:p w14:paraId="25B7D03B" w14:textId="45DE273C" w:rsidR="00CA577B" w:rsidRPr="0018386D" w:rsidRDefault="00CA577B" w:rsidP="00DD310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18386D">
              <w:t xml:space="preserve">Municipal, well-managed </w:t>
            </w:r>
            <w:r w:rsidR="00D577D5" w:rsidRPr="0018386D">
              <w:t>l</w:t>
            </w:r>
            <w:r w:rsidRPr="0018386D">
              <w:t>andfill where</w:t>
            </w:r>
            <w:r w:rsidR="00D577D5" w:rsidRPr="0018386D">
              <w:t xml:space="preserve"> all</w:t>
            </w:r>
            <w:r w:rsidRPr="0018386D">
              <w:t xml:space="preserve"> the CH</w:t>
            </w:r>
            <w:r w:rsidRPr="0018386D">
              <w:rPr>
                <w:vertAlign w:val="subscript"/>
              </w:rPr>
              <w:t>4</w:t>
            </w:r>
            <w:r w:rsidRPr="0018386D">
              <w:t xml:space="preserve"> produced during organic decomposition of waste escapes into the atmosphere</w:t>
            </w:r>
            <w:r w:rsidR="00D577D5" w:rsidRPr="0018386D">
              <w:t>, apart from that which is oxidised inside the landfill.</w:t>
            </w:r>
          </w:p>
        </w:tc>
      </w:tr>
      <w:tr w:rsidR="00CA577B" w:rsidRPr="0018386D" w14:paraId="4ECB65A7"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left w:val="nil"/>
            </w:tcBorders>
          </w:tcPr>
          <w:p w14:paraId="3BB997F0" w14:textId="47E5D6B0" w:rsidR="00CA577B" w:rsidRPr="0018386D" w:rsidRDefault="00CA577B" w:rsidP="00DD3106">
            <w:pPr>
              <w:pStyle w:val="TableText"/>
              <w:spacing w:before="40" w:after="40"/>
              <w:rPr>
                <w:b w:val="0"/>
              </w:rPr>
            </w:pPr>
            <w:r w:rsidRPr="0018386D">
              <w:rPr>
                <w:b w:val="0"/>
              </w:rPr>
              <w:t>Non-municipal (class 2-</w:t>
            </w:r>
            <w:r w:rsidR="008A4050" w:rsidRPr="0018386D">
              <w:rPr>
                <w:b w:val="0"/>
              </w:rPr>
              <w:t>5</w:t>
            </w:r>
            <w:r w:rsidRPr="0018386D">
              <w:rPr>
                <w:b w:val="0"/>
              </w:rPr>
              <w:t>) landfills</w:t>
            </w:r>
          </w:p>
        </w:tc>
        <w:tc>
          <w:tcPr>
            <w:tcW w:w="6065" w:type="dxa"/>
            <w:tcBorders>
              <w:right w:val="nil"/>
            </w:tcBorders>
          </w:tcPr>
          <w:p w14:paraId="5A06B7F0" w14:textId="07D2B852" w:rsidR="00CA577B" w:rsidRPr="0018386D" w:rsidRDefault="00CA577B" w:rsidP="00DD310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386D">
              <w:t>Non-municipal landfills that accept a broader range of wastes where the CH</w:t>
            </w:r>
            <w:r w:rsidRPr="0018386D">
              <w:rPr>
                <w:vertAlign w:val="subscript"/>
              </w:rPr>
              <w:t>4</w:t>
            </w:r>
            <w:r w:rsidRPr="0018386D">
              <w:t xml:space="preserve"> produced during organic decomposition of waste escapes into the </w:t>
            </w:r>
            <w:r w:rsidR="00AD1386" w:rsidRPr="0018386D">
              <w:t>atmosphere.</w:t>
            </w:r>
          </w:p>
        </w:tc>
      </w:tr>
    </w:tbl>
    <w:p w14:paraId="461CB5EB" w14:textId="59BE238A" w:rsidR="00C67917" w:rsidRPr="0018386D" w:rsidRDefault="00C7627E" w:rsidP="00DD3106">
      <w:pPr>
        <w:pStyle w:val="BodyText"/>
        <w:spacing w:before="240"/>
      </w:pPr>
      <w:hyperlink w:anchor="_Appendix_C:_Landfills" w:history="1">
        <w:r w:rsidR="009657E3" w:rsidRPr="0018386D">
          <w:rPr>
            <w:rStyle w:val="Hyperlink"/>
          </w:rPr>
          <w:t>Appendix C: Landfills with and without landfill gas recovery</w:t>
        </w:r>
      </w:hyperlink>
      <w:r w:rsidR="009657E3" w:rsidRPr="0018386D">
        <w:rPr>
          <w:color w:val="32809C" w:themeColor="accent2"/>
        </w:rPr>
        <w:t xml:space="preserve"> </w:t>
      </w:r>
      <w:r w:rsidR="00C67917" w:rsidRPr="0018386D">
        <w:t>includes a</w:t>
      </w:r>
      <w:r w:rsidR="00A959E4" w:rsidRPr="0018386D">
        <w:t xml:space="preserve"> list of</w:t>
      </w:r>
      <w:r w:rsidR="00C004C7" w:rsidRPr="0018386D">
        <w:t xml:space="preserve"> class 1</w:t>
      </w:r>
      <w:r w:rsidR="00A959E4" w:rsidRPr="0018386D">
        <w:t xml:space="preserve"> landfills with gas recovery.</w:t>
      </w:r>
    </w:p>
    <w:p w14:paraId="4F034FEC" w14:textId="5769E7AA" w:rsidR="00A959E4" w:rsidRPr="0018386D" w:rsidRDefault="00A959E4" w:rsidP="00DD3106">
      <w:pPr>
        <w:pStyle w:val="BodyText"/>
      </w:pPr>
      <w:r w:rsidRPr="0018386D">
        <w:t xml:space="preserve">If organisations are interested in calculating the emissions from </w:t>
      </w:r>
      <w:r w:rsidR="009E1098" w:rsidRPr="0018386D">
        <w:t>transporting waste</w:t>
      </w:r>
      <w:r w:rsidRPr="0018386D">
        <w:t xml:space="preserve"> materials</w:t>
      </w:r>
      <w:r w:rsidR="00176139" w:rsidRPr="0018386D">
        <w:t>,</w:t>
      </w:r>
      <w:r w:rsidRPr="0018386D">
        <w:t xml:space="preserve"> they could do so by independently accounting for the distance travelled, </w:t>
      </w:r>
      <w:r w:rsidR="00C67917" w:rsidRPr="0018386D">
        <w:t>using</w:t>
      </w:r>
      <w:r w:rsidRPr="0018386D">
        <w:t xml:space="preserve"> freight</w:t>
      </w:r>
      <w:r w:rsidR="00C67917" w:rsidRPr="0018386D">
        <w:t xml:space="preserve"> emission factors</w:t>
      </w:r>
      <w:r w:rsidR="00632416" w:rsidRPr="0018386D">
        <w:t xml:space="preserve"> (see </w:t>
      </w:r>
      <w:hyperlink w:anchor="_Freight_transport_emission">
        <w:r w:rsidR="2CF01170" w:rsidRPr="0018386D">
          <w:rPr>
            <w:rStyle w:val="Hyperlink"/>
          </w:rPr>
          <w:t>section</w:t>
        </w:r>
        <w:r w:rsidR="18643166" w:rsidRPr="0018386D">
          <w:rPr>
            <w:rStyle w:val="Hyperlink"/>
          </w:rPr>
          <w:t xml:space="preserve"> </w:t>
        </w:r>
        <w:r w:rsidR="57BC4BC7" w:rsidRPr="0018386D">
          <w:rPr>
            <w:rStyle w:val="Hyperlink"/>
          </w:rPr>
          <w:t>8</w:t>
        </w:r>
      </w:hyperlink>
      <w:r w:rsidR="00632416" w:rsidRPr="0018386D">
        <w:t>)</w:t>
      </w:r>
      <w:r w:rsidR="003B5F6D" w:rsidRPr="0018386D">
        <w:t>.</w:t>
      </w:r>
    </w:p>
    <w:p w14:paraId="2017208F" w14:textId="481DF14C" w:rsidR="4B474C69" w:rsidRPr="0018386D" w:rsidRDefault="4B474C69" w:rsidP="00DD3106">
      <w:pPr>
        <w:pStyle w:val="BodyText"/>
      </w:pPr>
      <w:r w:rsidRPr="0018386D">
        <w:rPr>
          <w:rFonts w:eastAsia="Calibri" w:cs="Calibri"/>
          <w:color w:val="000000" w:themeColor="text1"/>
        </w:rPr>
        <w:t xml:space="preserve">We calculated the waste-to-landfill emission </w:t>
      </w:r>
      <w:r w:rsidRPr="0018386D">
        <w:t>conversion</w:t>
      </w:r>
      <w:r w:rsidRPr="0018386D">
        <w:rPr>
          <w:rFonts w:eastAsia="Calibri" w:cs="Calibri"/>
          <w:color w:val="000000" w:themeColor="text1"/>
        </w:rPr>
        <w:t xml:space="preserve"> factors based on </w:t>
      </w:r>
      <w:hyperlink r:id="rId123" w:history="1">
        <w:r w:rsidRPr="0018386D">
          <w:rPr>
            <w:rStyle w:val="Hyperlink"/>
            <w:rFonts w:eastAsia="Calibri" w:cs="Calibri"/>
            <w:i/>
            <w:iCs/>
          </w:rPr>
          <w:t>New Zealand</w:t>
        </w:r>
        <w:r w:rsidR="00BF4371" w:rsidRPr="0018386D">
          <w:rPr>
            <w:rStyle w:val="Hyperlink"/>
            <w:rFonts w:eastAsia="Calibri" w:cs="Calibri"/>
            <w:i/>
            <w:iCs/>
          </w:rPr>
          <w:t>’s</w:t>
        </w:r>
        <w:r w:rsidRPr="0018386D">
          <w:rPr>
            <w:rStyle w:val="Hyperlink"/>
            <w:rFonts w:eastAsia="Calibri" w:cs="Calibri"/>
            <w:i/>
            <w:iCs/>
          </w:rPr>
          <w:t xml:space="preserve"> Greenhouse Gas Inventory </w:t>
        </w:r>
        <w:r w:rsidRPr="0018386D">
          <w:rPr>
            <w:rStyle w:val="Hyperlink"/>
            <w:rFonts w:eastAsia="Calibri" w:cs="Calibri"/>
            <w:i/>
          </w:rPr>
          <w:t>1990</w:t>
        </w:r>
        <w:r w:rsidR="00A9270C" w:rsidRPr="0018386D">
          <w:rPr>
            <w:rStyle w:val="Hyperlink"/>
            <w:rFonts w:eastAsia="Calibri" w:cs="Calibri"/>
            <w:i/>
          </w:rPr>
          <w:t>–</w:t>
        </w:r>
        <w:r w:rsidRPr="0018386D">
          <w:rPr>
            <w:rStyle w:val="Hyperlink"/>
            <w:rFonts w:eastAsia="Calibri" w:cs="Calibri"/>
            <w:i/>
          </w:rPr>
          <w:t>2021</w:t>
        </w:r>
      </w:hyperlink>
      <w:r w:rsidR="00546BA7" w:rsidRPr="0018386D">
        <w:rPr>
          <w:rFonts w:eastAsia="Calibri" w:cs="Calibri"/>
          <w:i/>
          <w:iCs/>
          <w:color w:val="000000" w:themeColor="text1"/>
        </w:rPr>
        <w:t xml:space="preserve">. </w:t>
      </w:r>
      <w:hyperlink w:anchor="Table73" w:history="1">
        <w:r w:rsidRPr="0018386D">
          <w:rPr>
            <w:rStyle w:val="Hyperlink"/>
            <w:rFonts w:eastAsia="Calibri" w:cs="Calibri"/>
          </w:rPr>
          <w:t xml:space="preserve">Table </w:t>
        </w:r>
        <w:r w:rsidR="110149D3" w:rsidRPr="0018386D">
          <w:rPr>
            <w:rStyle w:val="Hyperlink"/>
            <w:rFonts w:eastAsia="Calibri" w:cs="Calibri"/>
          </w:rPr>
          <w:t>73</w:t>
        </w:r>
      </w:hyperlink>
      <w:r w:rsidRPr="0018386D">
        <w:rPr>
          <w:rFonts w:eastAsia="Calibri" w:cs="Calibri"/>
          <w:color w:val="000000" w:themeColor="text1"/>
        </w:rPr>
        <w:t xml:space="preserve"> to </w:t>
      </w:r>
      <w:hyperlink w:anchor="Table76" w:history="1">
        <w:r w:rsidRPr="0018386D">
          <w:rPr>
            <w:rStyle w:val="Hyperlink"/>
            <w:rFonts w:eastAsia="Calibri" w:cs="Calibri"/>
          </w:rPr>
          <w:t xml:space="preserve">table </w:t>
        </w:r>
        <w:r w:rsidR="3A18E66D" w:rsidRPr="0018386D">
          <w:rPr>
            <w:rStyle w:val="Hyperlink"/>
            <w:rFonts w:eastAsia="Calibri" w:cs="Calibri"/>
          </w:rPr>
          <w:t>76</w:t>
        </w:r>
      </w:hyperlink>
      <w:r w:rsidRPr="0018386D">
        <w:rPr>
          <w:rFonts w:eastAsia="Calibri" w:cs="Calibri"/>
          <w:color w:val="000000" w:themeColor="text1"/>
        </w:rPr>
        <w:t xml:space="preserve"> show the factors.</w:t>
      </w:r>
    </w:p>
    <w:p w14:paraId="0E9A8824" w14:textId="5D346AF7" w:rsidR="00A959E4" w:rsidRPr="0018386D" w:rsidRDefault="00EB4389" w:rsidP="00DD3106">
      <w:pPr>
        <w:pStyle w:val="Tableheading"/>
      </w:pPr>
      <w:bookmarkStart w:id="813" w:name="Table73"/>
      <w:bookmarkStart w:id="814" w:name="_Ref532845768"/>
      <w:bookmarkStart w:id="815" w:name="_Toc111536685"/>
      <w:bookmarkStart w:id="816" w:name="_Toc140049013"/>
      <w:r w:rsidRPr="0018386D">
        <w:lastRenderedPageBreak/>
        <w:t xml:space="preserve">Table </w:t>
      </w:r>
      <w:r w:rsidRPr="0018386D">
        <w:fldChar w:fldCharType="begin"/>
      </w:r>
      <w:r w:rsidRPr="0018386D">
        <w:instrText>SEQ Table \* ARABIC</w:instrText>
      </w:r>
      <w:r w:rsidRPr="0018386D">
        <w:fldChar w:fldCharType="separate"/>
      </w:r>
      <w:r w:rsidR="0085383F" w:rsidRPr="0018386D">
        <w:t>73</w:t>
      </w:r>
      <w:r w:rsidRPr="0018386D">
        <w:fldChar w:fldCharType="end"/>
      </w:r>
      <w:bookmarkEnd w:id="813"/>
      <w:r w:rsidRPr="0018386D">
        <w:t>:</w:t>
      </w:r>
      <w:r w:rsidRPr="0018386D">
        <w:tab/>
      </w:r>
      <w:r w:rsidR="00A959E4" w:rsidRPr="0018386D">
        <w:t xml:space="preserve">Waste disposal </w:t>
      </w:r>
      <w:r w:rsidR="00CA577B" w:rsidRPr="0018386D">
        <w:t>to</w:t>
      </w:r>
      <w:r w:rsidR="00D336C7" w:rsidRPr="0018386D">
        <w:t xml:space="preserve"> municipal</w:t>
      </w:r>
      <w:r w:rsidR="00CA577B" w:rsidRPr="0018386D">
        <w:t xml:space="preserve"> (class 1)</w:t>
      </w:r>
      <w:r w:rsidR="00A959E4" w:rsidRPr="0018386D">
        <w:t xml:space="preserve"> landfill</w:t>
      </w:r>
      <w:r w:rsidR="00D336C7" w:rsidRPr="0018386D">
        <w:t>s with</w:t>
      </w:r>
      <w:r w:rsidR="00A959E4" w:rsidRPr="0018386D">
        <w:t xml:space="preserve"> gas recovery</w:t>
      </w:r>
      <w:bookmarkEnd w:id="814"/>
      <w:bookmarkEnd w:id="815"/>
      <w:bookmarkEnd w:id="816"/>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353"/>
        <w:gridCol w:w="1515"/>
        <w:gridCol w:w="546"/>
        <w:gridCol w:w="1191"/>
        <w:gridCol w:w="1300"/>
        <w:gridCol w:w="1300"/>
        <w:gridCol w:w="1300"/>
      </w:tblGrid>
      <w:tr w:rsidR="00E01485" w:rsidRPr="0018386D" w14:paraId="149CE105" w14:textId="77777777" w:rsidTr="00575E53">
        <w:trPr>
          <w:divId w:val="933317166"/>
          <w:trHeight w:val="240"/>
        </w:trPr>
        <w:tc>
          <w:tcPr>
            <w:tcW w:w="1418" w:type="dxa"/>
            <w:tcBorders>
              <w:bottom w:val="nil"/>
            </w:tcBorders>
            <w:shd w:val="clear" w:color="auto" w:fill="1B556B" w:themeFill="text2"/>
            <w:noWrap/>
            <w:vAlign w:val="bottom"/>
            <w:hideMark/>
          </w:tcPr>
          <w:p w14:paraId="5F92C82B" w14:textId="7F28E15A" w:rsidR="008E2ED2" w:rsidRPr="0018386D" w:rsidRDefault="008E2ED2" w:rsidP="00DD3106">
            <w:pPr>
              <w:pStyle w:val="TableTextbold"/>
              <w:keepNext/>
              <w:spacing w:before="30" w:after="40"/>
              <w:rPr>
                <w:color w:val="FFFFFF" w:themeColor="background1"/>
                <w:szCs w:val="18"/>
              </w:rPr>
            </w:pPr>
            <w:bookmarkStart w:id="817" w:name="_1746366908"/>
            <w:bookmarkStart w:id="818" w:name="_1745997866"/>
            <w:bookmarkStart w:id="819" w:name="_1746254106"/>
            <w:bookmarkStart w:id="820" w:name="_1747051298"/>
            <w:bookmarkEnd w:id="817"/>
            <w:bookmarkEnd w:id="818"/>
            <w:bookmarkEnd w:id="819"/>
            <w:bookmarkEnd w:id="820"/>
            <w:r w:rsidRPr="0018386D">
              <w:rPr>
                <w:color w:val="FFFFFF" w:themeColor="background1"/>
                <w:szCs w:val="18"/>
              </w:rPr>
              <w:t>Emission source</w:t>
            </w:r>
          </w:p>
        </w:tc>
        <w:tc>
          <w:tcPr>
            <w:tcW w:w="1588" w:type="dxa"/>
            <w:shd w:val="clear" w:color="auto" w:fill="1B556B" w:themeFill="text2"/>
            <w:noWrap/>
            <w:vAlign w:val="bottom"/>
            <w:hideMark/>
          </w:tcPr>
          <w:p w14:paraId="1D160BF7" w14:textId="1DD2F736" w:rsidR="008E2ED2" w:rsidRPr="0018386D" w:rsidRDefault="00C724CC" w:rsidP="00DD3106">
            <w:pPr>
              <w:pStyle w:val="TableTextbold"/>
              <w:keepNext/>
              <w:spacing w:before="30" w:after="40"/>
              <w:rPr>
                <w:color w:val="FFFFFF" w:themeColor="background1"/>
                <w:szCs w:val="18"/>
              </w:rPr>
            </w:pPr>
            <w:r w:rsidRPr="0018386D">
              <w:rPr>
                <w:color w:val="FFFFFF" w:themeColor="background1"/>
                <w:szCs w:val="18"/>
              </w:rPr>
              <w:t>Waste type</w:t>
            </w:r>
          </w:p>
        </w:tc>
        <w:tc>
          <w:tcPr>
            <w:tcW w:w="567" w:type="dxa"/>
            <w:shd w:val="clear" w:color="auto" w:fill="1B556B" w:themeFill="text2"/>
            <w:noWrap/>
            <w:vAlign w:val="bottom"/>
            <w:hideMark/>
          </w:tcPr>
          <w:p w14:paraId="71D5BD3F" w14:textId="77777777" w:rsidR="008E2ED2" w:rsidRPr="0018386D" w:rsidRDefault="008E2ED2" w:rsidP="00DD3106">
            <w:pPr>
              <w:pStyle w:val="TableTextbold"/>
              <w:keepNext/>
              <w:spacing w:before="30" w:after="40"/>
              <w:rPr>
                <w:color w:val="FFFFFF" w:themeColor="background1"/>
                <w:szCs w:val="18"/>
              </w:rPr>
            </w:pPr>
            <w:r w:rsidRPr="0018386D">
              <w:rPr>
                <w:color w:val="FFFFFF" w:themeColor="background1"/>
                <w:szCs w:val="18"/>
              </w:rPr>
              <w:t>Unit</w:t>
            </w:r>
          </w:p>
        </w:tc>
        <w:tc>
          <w:tcPr>
            <w:tcW w:w="1247" w:type="dxa"/>
            <w:tcBorders>
              <w:bottom w:val="single" w:sz="4" w:space="0" w:color="1B556B" w:themeColor="text2"/>
            </w:tcBorders>
            <w:shd w:val="clear" w:color="auto" w:fill="1B556B" w:themeFill="text2"/>
            <w:noWrap/>
            <w:vAlign w:val="bottom"/>
            <w:hideMark/>
          </w:tcPr>
          <w:p w14:paraId="2FCA14C5" w14:textId="02BA4249" w:rsidR="008E2ED2" w:rsidRPr="0018386D" w:rsidRDefault="008E2ED2" w:rsidP="00DD3106">
            <w:pPr>
              <w:pStyle w:val="TableTextbold"/>
              <w:keepNext/>
              <w:spacing w:before="30" w:after="40"/>
              <w:rPr>
                <w:color w:val="FFFFFF" w:themeColor="background1"/>
                <w:szCs w:val="18"/>
              </w:rPr>
            </w:pPr>
            <w:r w:rsidRPr="0018386D">
              <w:rPr>
                <w:color w:val="FFFFFF" w:themeColor="background1"/>
                <w:szCs w:val="18"/>
              </w:rPr>
              <w:t>kg CO₂-e/unit</w:t>
            </w:r>
          </w:p>
        </w:tc>
        <w:tc>
          <w:tcPr>
            <w:tcW w:w="1361" w:type="dxa"/>
            <w:shd w:val="clear" w:color="auto" w:fill="1B556B" w:themeFill="text2"/>
            <w:noWrap/>
            <w:vAlign w:val="bottom"/>
            <w:hideMark/>
          </w:tcPr>
          <w:p w14:paraId="768B9F35" w14:textId="6D971C94" w:rsidR="008E2ED2" w:rsidRPr="0018386D" w:rsidRDefault="008E2ED2" w:rsidP="00DD3106">
            <w:pPr>
              <w:pStyle w:val="TableTextbold"/>
              <w:keepNext/>
              <w:spacing w:before="30" w:after="40"/>
              <w:rPr>
                <w:color w:val="FFFFFF" w:themeColor="background1"/>
                <w:szCs w:val="18"/>
              </w:rPr>
            </w:pPr>
            <w:r w:rsidRPr="0018386D">
              <w:rPr>
                <w:color w:val="FFFFFF" w:themeColor="background1"/>
                <w:szCs w:val="18"/>
              </w:rPr>
              <w:t>CO₂ (kg CO₂</w:t>
            </w:r>
            <w:r w:rsidRPr="0018386D">
              <w:rPr>
                <w:color w:val="FFFFFF" w:themeColor="background1"/>
                <w:szCs w:val="18"/>
              </w:rPr>
              <w:noBreakHyphen/>
              <w:t>e/</w:t>
            </w:r>
            <w:r w:rsidR="00E01485" w:rsidRPr="0018386D">
              <w:rPr>
                <w:color w:val="FFFFFF" w:themeColor="background1"/>
                <w:szCs w:val="18"/>
              </w:rPr>
              <w:t xml:space="preserve"> </w:t>
            </w:r>
            <w:r w:rsidRPr="0018386D">
              <w:rPr>
                <w:color w:val="FFFFFF" w:themeColor="background1"/>
                <w:szCs w:val="18"/>
              </w:rPr>
              <w:t>unit)</w:t>
            </w:r>
          </w:p>
        </w:tc>
        <w:tc>
          <w:tcPr>
            <w:tcW w:w="1361" w:type="dxa"/>
            <w:shd w:val="clear" w:color="auto" w:fill="1B556B" w:themeFill="text2"/>
            <w:noWrap/>
            <w:vAlign w:val="bottom"/>
            <w:hideMark/>
          </w:tcPr>
          <w:p w14:paraId="6567A5B2" w14:textId="59304F54" w:rsidR="008E2ED2" w:rsidRPr="0018386D" w:rsidRDefault="008E2ED2" w:rsidP="00DD3106">
            <w:pPr>
              <w:pStyle w:val="TableTextbold"/>
              <w:keepNext/>
              <w:spacing w:before="30" w:after="40"/>
              <w:rPr>
                <w:color w:val="FFFFFF" w:themeColor="background1"/>
                <w:szCs w:val="18"/>
              </w:rPr>
            </w:pPr>
            <w:r w:rsidRPr="0018386D">
              <w:rPr>
                <w:color w:val="FFFFFF" w:themeColor="background1"/>
                <w:szCs w:val="18"/>
              </w:rPr>
              <w:t>CH₄ (kg CO₂-e/</w:t>
            </w:r>
            <w:r w:rsidR="00E01485" w:rsidRPr="0018386D">
              <w:rPr>
                <w:color w:val="FFFFFF" w:themeColor="background1"/>
                <w:szCs w:val="18"/>
              </w:rPr>
              <w:t xml:space="preserve"> </w:t>
            </w:r>
            <w:r w:rsidRPr="0018386D">
              <w:rPr>
                <w:color w:val="FFFFFF" w:themeColor="background1"/>
                <w:szCs w:val="18"/>
              </w:rPr>
              <w:t>unit)</w:t>
            </w:r>
          </w:p>
        </w:tc>
        <w:tc>
          <w:tcPr>
            <w:tcW w:w="1361" w:type="dxa"/>
            <w:shd w:val="clear" w:color="auto" w:fill="1B556B" w:themeFill="text2"/>
            <w:noWrap/>
            <w:vAlign w:val="bottom"/>
            <w:hideMark/>
          </w:tcPr>
          <w:p w14:paraId="544C77CD" w14:textId="2D602335" w:rsidR="008E2ED2" w:rsidRPr="0018386D" w:rsidRDefault="008E2ED2" w:rsidP="00DD3106">
            <w:pPr>
              <w:pStyle w:val="TableTextbold"/>
              <w:keepNext/>
              <w:spacing w:before="30" w:after="40"/>
              <w:rPr>
                <w:color w:val="FFFFFF" w:themeColor="background1"/>
                <w:szCs w:val="18"/>
              </w:rPr>
            </w:pPr>
            <w:r w:rsidRPr="0018386D">
              <w:rPr>
                <w:color w:val="FFFFFF" w:themeColor="background1"/>
                <w:szCs w:val="18"/>
              </w:rPr>
              <w:t>N₂O (kg CO₂-e/</w:t>
            </w:r>
            <w:r w:rsidR="00E01485" w:rsidRPr="0018386D">
              <w:rPr>
                <w:color w:val="FFFFFF" w:themeColor="background1"/>
                <w:szCs w:val="18"/>
              </w:rPr>
              <w:t xml:space="preserve"> </w:t>
            </w:r>
            <w:r w:rsidRPr="0018386D">
              <w:rPr>
                <w:color w:val="FFFFFF" w:themeColor="background1"/>
                <w:szCs w:val="18"/>
              </w:rPr>
              <w:t>unit)</w:t>
            </w:r>
          </w:p>
        </w:tc>
      </w:tr>
      <w:tr w:rsidR="001F4CA2" w:rsidRPr="0018386D" w14:paraId="4A2378A4" w14:textId="77777777" w:rsidTr="00575E53">
        <w:trPr>
          <w:divId w:val="933317166"/>
          <w:trHeight w:val="240"/>
        </w:trPr>
        <w:tc>
          <w:tcPr>
            <w:tcW w:w="1418" w:type="dxa"/>
            <w:tcBorders>
              <w:top w:val="nil"/>
              <w:bottom w:val="nil"/>
              <w:right w:val="single" w:sz="4" w:space="0" w:color="1B556B" w:themeColor="text2"/>
            </w:tcBorders>
            <w:noWrap/>
            <w:hideMark/>
          </w:tcPr>
          <w:p w14:paraId="617145B8" w14:textId="77777777" w:rsidR="008E2ED2" w:rsidRPr="0018386D" w:rsidRDefault="008E2ED2" w:rsidP="00DD3106">
            <w:pPr>
              <w:pStyle w:val="TableText"/>
              <w:keepNext/>
              <w:spacing w:before="30" w:after="40"/>
              <w:jc w:val="left"/>
              <w:rPr>
                <w:szCs w:val="18"/>
              </w:rPr>
            </w:pPr>
            <w:r w:rsidRPr="0018386D">
              <w:rPr>
                <w:szCs w:val="18"/>
              </w:rPr>
              <w:t>Waste (known composition)</w:t>
            </w:r>
          </w:p>
        </w:tc>
        <w:tc>
          <w:tcPr>
            <w:tcW w:w="1588" w:type="dxa"/>
            <w:tcBorders>
              <w:left w:val="single" w:sz="4" w:space="0" w:color="1B556B" w:themeColor="text2"/>
            </w:tcBorders>
            <w:noWrap/>
            <w:hideMark/>
          </w:tcPr>
          <w:p w14:paraId="518C99EE" w14:textId="4A6AA3E7" w:rsidR="008E2ED2" w:rsidRPr="0018386D" w:rsidRDefault="008E2ED2" w:rsidP="00DD3106">
            <w:pPr>
              <w:pStyle w:val="TableText"/>
              <w:keepNext/>
              <w:spacing w:before="30" w:after="40"/>
              <w:rPr>
                <w:szCs w:val="18"/>
              </w:rPr>
            </w:pPr>
            <w:r w:rsidRPr="0018386D">
              <w:rPr>
                <w:szCs w:val="18"/>
              </w:rPr>
              <w:t>Food</w:t>
            </w:r>
          </w:p>
        </w:tc>
        <w:tc>
          <w:tcPr>
            <w:tcW w:w="567" w:type="dxa"/>
            <w:noWrap/>
            <w:hideMark/>
          </w:tcPr>
          <w:p w14:paraId="19FA237E" w14:textId="77777777" w:rsidR="008E2ED2" w:rsidRPr="0018386D" w:rsidRDefault="008E2ED2" w:rsidP="00DD3106">
            <w:pPr>
              <w:pStyle w:val="TableText"/>
              <w:keepNext/>
              <w:spacing w:before="30" w:after="40"/>
              <w:rPr>
                <w:szCs w:val="18"/>
              </w:rPr>
            </w:pPr>
            <w:r w:rsidRPr="0018386D">
              <w:rPr>
                <w:szCs w:val="18"/>
              </w:rPr>
              <w:t>kg</w:t>
            </w:r>
          </w:p>
        </w:tc>
        <w:tc>
          <w:tcPr>
            <w:tcW w:w="1247" w:type="dxa"/>
            <w:shd w:val="clear" w:color="auto" w:fill="D2DDE1" w:themeFill="background2"/>
            <w:noWrap/>
            <w:hideMark/>
          </w:tcPr>
          <w:p w14:paraId="2C305F0F" w14:textId="781EB3ED" w:rsidR="008E2ED2" w:rsidRPr="0018386D" w:rsidRDefault="008E2ED2" w:rsidP="00DD3106">
            <w:pPr>
              <w:pStyle w:val="TableText"/>
              <w:keepNext/>
              <w:spacing w:before="30" w:after="40"/>
              <w:rPr>
                <w:szCs w:val="18"/>
              </w:rPr>
            </w:pPr>
            <w:r w:rsidRPr="0018386D">
              <w:rPr>
                <w:szCs w:val="18"/>
              </w:rPr>
              <w:t>0.674</w:t>
            </w:r>
          </w:p>
        </w:tc>
        <w:tc>
          <w:tcPr>
            <w:tcW w:w="1361" w:type="dxa"/>
            <w:noWrap/>
            <w:hideMark/>
          </w:tcPr>
          <w:p w14:paraId="56BB8476" w14:textId="77777777" w:rsidR="008E2ED2" w:rsidRPr="0018386D" w:rsidRDefault="008E2ED2" w:rsidP="00DD3106">
            <w:pPr>
              <w:pStyle w:val="TableText"/>
              <w:keepNext/>
              <w:spacing w:before="30" w:after="40"/>
              <w:rPr>
                <w:szCs w:val="18"/>
              </w:rPr>
            </w:pPr>
            <w:r w:rsidRPr="0018386D">
              <w:rPr>
                <w:szCs w:val="18"/>
              </w:rPr>
              <w:t>n/a</w:t>
            </w:r>
          </w:p>
        </w:tc>
        <w:tc>
          <w:tcPr>
            <w:tcW w:w="1361" w:type="dxa"/>
            <w:noWrap/>
            <w:hideMark/>
          </w:tcPr>
          <w:p w14:paraId="72D57DAD" w14:textId="32A987BA" w:rsidR="008E2ED2" w:rsidRPr="0018386D" w:rsidRDefault="008E2ED2" w:rsidP="00DD3106">
            <w:pPr>
              <w:pStyle w:val="TableText"/>
              <w:keepNext/>
              <w:spacing w:before="30" w:after="40"/>
              <w:rPr>
                <w:szCs w:val="18"/>
              </w:rPr>
            </w:pPr>
            <w:r w:rsidRPr="0018386D">
              <w:rPr>
                <w:szCs w:val="18"/>
              </w:rPr>
              <w:t>0.674</w:t>
            </w:r>
          </w:p>
        </w:tc>
        <w:tc>
          <w:tcPr>
            <w:tcW w:w="1361" w:type="dxa"/>
            <w:noWrap/>
            <w:hideMark/>
          </w:tcPr>
          <w:p w14:paraId="03435BC0" w14:textId="77777777" w:rsidR="008E2ED2" w:rsidRPr="0018386D" w:rsidRDefault="008E2ED2" w:rsidP="00DD3106">
            <w:pPr>
              <w:pStyle w:val="TableText"/>
              <w:keepNext/>
              <w:spacing w:before="30" w:after="40"/>
              <w:rPr>
                <w:szCs w:val="18"/>
              </w:rPr>
            </w:pPr>
            <w:r w:rsidRPr="0018386D">
              <w:rPr>
                <w:szCs w:val="18"/>
              </w:rPr>
              <w:t>n/a</w:t>
            </w:r>
          </w:p>
        </w:tc>
      </w:tr>
      <w:tr w:rsidR="001F4CA2" w:rsidRPr="0018386D" w14:paraId="4086F1BD" w14:textId="77777777" w:rsidTr="00575E53">
        <w:trPr>
          <w:divId w:val="933317166"/>
          <w:trHeight w:val="240"/>
        </w:trPr>
        <w:tc>
          <w:tcPr>
            <w:tcW w:w="1418" w:type="dxa"/>
            <w:tcBorders>
              <w:top w:val="nil"/>
              <w:bottom w:val="nil"/>
              <w:right w:val="single" w:sz="4" w:space="0" w:color="1B556B" w:themeColor="text2"/>
            </w:tcBorders>
            <w:noWrap/>
            <w:hideMark/>
          </w:tcPr>
          <w:p w14:paraId="4DD805A5" w14:textId="77777777" w:rsidR="008E2ED2" w:rsidRPr="0018386D" w:rsidRDefault="008E2ED2" w:rsidP="00DD3106">
            <w:pPr>
              <w:pStyle w:val="TableText"/>
              <w:keepN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735D6228" w14:textId="6AD25B37" w:rsidR="008E2ED2" w:rsidRPr="0018386D" w:rsidRDefault="008E2ED2" w:rsidP="00DD3106">
            <w:pPr>
              <w:pStyle w:val="TableText"/>
              <w:keepNext/>
              <w:spacing w:before="30" w:after="40"/>
              <w:rPr>
                <w:szCs w:val="18"/>
              </w:rPr>
            </w:pPr>
            <w:r w:rsidRPr="0018386D">
              <w:rPr>
                <w:szCs w:val="18"/>
              </w:rPr>
              <w:t>Garden</w:t>
            </w:r>
          </w:p>
        </w:tc>
        <w:tc>
          <w:tcPr>
            <w:tcW w:w="567" w:type="dxa"/>
            <w:noWrap/>
            <w:hideMark/>
          </w:tcPr>
          <w:p w14:paraId="608B82DA" w14:textId="77777777" w:rsidR="008E2ED2" w:rsidRPr="0018386D" w:rsidRDefault="008E2ED2" w:rsidP="00DD3106">
            <w:pPr>
              <w:pStyle w:val="TableText"/>
              <w:keepNext/>
              <w:spacing w:before="30" w:after="40"/>
              <w:rPr>
                <w:szCs w:val="18"/>
              </w:rPr>
            </w:pPr>
            <w:r w:rsidRPr="0018386D">
              <w:rPr>
                <w:szCs w:val="18"/>
              </w:rPr>
              <w:t>kg</w:t>
            </w:r>
          </w:p>
        </w:tc>
        <w:tc>
          <w:tcPr>
            <w:tcW w:w="1247" w:type="dxa"/>
            <w:shd w:val="clear" w:color="auto" w:fill="D2DDE1" w:themeFill="background2"/>
            <w:noWrap/>
            <w:hideMark/>
          </w:tcPr>
          <w:p w14:paraId="6327DBCE" w14:textId="23023FEC" w:rsidR="008E2ED2" w:rsidRPr="0018386D" w:rsidRDefault="008E2ED2" w:rsidP="00DD3106">
            <w:pPr>
              <w:pStyle w:val="TableText"/>
              <w:keepNext/>
              <w:spacing w:before="30" w:after="40"/>
              <w:rPr>
                <w:szCs w:val="18"/>
              </w:rPr>
            </w:pPr>
            <w:r w:rsidRPr="0018386D">
              <w:rPr>
                <w:szCs w:val="18"/>
              </w:rPr>
              <w:t>0.552</w:t>
            </w:r>
          </w:p>
        </w:tc>
        <w:tc>
          <w:tcPr>
            <w:tcW w:w="1361" w:type="dxa"/>
            <w:noWrap/>
            <w:hideMark/>
          </w:tcPr>
          <w:p w14:paraId="0B285C49" w14:textId="77777777" w:rsidR="008E2ED2" w:rsidRPr="0018386D" w:rsidRDefault="008E2ED2" w:rsidP="00DD3106">
            <w:pPr>
              <w:pStyle w:val="TableText"/>
              <w:keepNext/>
              <w:spacing w:before="30" w:after="40"/>
              <w:rPr>
                <w:szCs w:val="18"/>
              </w:rPr>
            </w:pPr>
            <w:r w:rsidRPr="0018386D">
              <w:rPr>
                <w:szCs w:val="18"/>
              </w:rPr>
              <w:t>n/a</w:t>
            </w:r>
          </w:p>
        </w:tc>
        <w:tc>
          <w:tcPr>
            <w:tcW w:w="1361" w:type="dxa"/>
            <w:noWrap/>
            <w:hideMark/>
          </w:tcPr>
          <w:p w14:paraId="266905F5" w14:textId="285B0CCA" w:rsidR="008E2ED2" w:rsidRPr="0018386D" w:rsidRDefault="008E2ED2" w:rsidP="00DD3106">
            <w:pPr>
              <w:pStyle w:val="TableText"/>
              <w:keepNext/>
              <w:spacing w:before="30" w:after="40"/>
              <w:rPr>
                <w:szCs w:val="18"/>
              </w:rPr>
            </w:pPr>
            <w:r w:rsidRPr="0018386D">
              <w:rPr>
                <w:szCs w:val="18"/>
              </w:rPr>
              <w:t>0.552</w:t>
            </w:r>
          </w:p>
        </w:tc>
        <w:tc>
          <w:tcPr>
            <w:tcW w:w="1361" w:type="dxa"/>
            <w:noWrap/>
            <w:hideMark/>
          </w:tcPr>
          <w:p w14:paraId="26164CA4" w14:textId="77777777" w:rsidR="008E2ED2" w:rsidRPr="0018386D" w:rsidRDefault="008E2ED2" w:rsidP="00DD3106">
            <w:pPr>
              <w:pStyle w:val="TableText"/>
              <w:keepNext/>
              <w:spacing w:before="30" w:after="40"/>
              <w:rPr>
                <w:szCs w:val="18"/>
              </w:rPr>
            </w:pPr>
            <w:r w:rsidRPr="0018386D">
              <w:rPr>
                <w:szCs w:val="18"/>
              </w:rPr>
              <w:t>n/a</w:t>
            </w:r>
          </w:p>
        </w:tc>
      </w:tr>
      <w:tr w:rsidR="001F4CA2" w:rsidRPr="0018386D" w14:paraId="1B74308D" w14:textId="77777777" w:rsidTr="00575E53">
        <w:trPr>
          <w:divId w:val="933317166"/>
          <w:trHeight w:val="240"/>
        </w:trPr>
        <w:tc>
          <w:tcPr>
            <w:tcW w:w="1418" w:type="dxa"/>
            <w:tcBorders>
              <w:top w:val="nil"/>
              <w:bottom w:val="nil"/>
              <w:right w:val="single" w:sz="4" w:space="0" w:color="1B556B" w:themeColor="text2"/>
            </w:tcBorders>
            <w:noWrap/>
            <w:hideMark/>
          </w:tcPr>
          <w:p w14:paraId="13F4C86A" w14:textId="77777777" w:rsidR="008E2ED2" w:rsidRPr="0018386D" w:rsidRDefault="008E2ED2" w:rsidP="00DD3106">
            <w:pPr>
              <w:pStyle w:val="TableText"/>
              <w:keepN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30B93B70" w14:textId="3906F32A" w:rsidR="008E2ED2" w:rsidRPr="0018386D" w:rsidRDefault="008E2ED2" w:rsidP="00DD3106">
            <w:pPr>
              <w:pStyle w:val="TableText"/>
              <w:keepNext/>
              <w:spacing w:before="30" w:after="40"/>
              <w:rPr>
                <w:szCs w:val="18"/>
              </w:rPr>
            </w:pPr>
            <w:r w:rsidRPr="0018386D">
              <w:rPr>
                <w:szCs w:val="18"/>
              </w:rPr>
              <w:t>Paper</w:t>
            </w:r>
          </w:p>
        </w:tc>
        <w:tc>
          <w:tcPr>
            <w:tcW w:w="567" w:type="dxa"/>
            <w:noWrap/>
            <w:hideMark/>
          </w:tcPr>
          <w:p w14:paraId="4D2A029E" w14:textId="77777777" w:rsidR="008E2ED2" w:rsidRPr="0018386D" w:rsidRDefault="008E2ED2" w:rsidP="00DD3106">
            <w:pPr>
              <w:pStyle w:val="TableText"/>
              <w:keepNext/>
              <w:spacing w:before="30" w:after="40"/>
              <w:rPr>
                <w:szCs w:val="18"/>
              </w:rPr>
            </w:pPr>
            <w:r w:rsidRPr="0018386D">
              <w:rPr>
                <w:szCs w:val="18"/>
              </w:rPr>
              <w:t>kg</w:t>
            </w:r>
          </w:p>
        </w:tc>
        <w:tc>
          <w:tcPr>
            <w:tcW w:w="1247" w:type="dxa"/>
            <w:shd w:val="clear" w:color="auto" w:fill="D2DDE1" w:themeFill="background2"/>
            <w:noWrap/>
            <w:hideMark/>
          </w:tcPr>
          <w:p w14:paraId="5FB33373" w14:textId="5AAB59D0" w:rsidR="008E2ED2" w:rsidRPr="0018386D" w:rsidRDefault="008E2ED2" w:rsidP="00DD3106">
            <w:pPr>
              <w:pStyle w:val="TableText"/>
              <w:keepNext/>
              <w:spacing w:before="30" w:after="40"/>
              <w:rPr>
                <w:szCs w:val="18"/>
              </w:rPr>
            </w:pPr>
            <w:r w:rsidRPr="0018386D">
              <w:rPr>
                <w:szCs w:val="18"/>
              </w:rPr>
              <w:t>0.981</w:t>
            </w:r>
          </w:p>
        </w:tc>
        <w:tc>
          <w:tcPr>
            <w:tcW w:w="1361" w:type="dxa"/>
            <w:noWrap/>
            <w:hideMark/>
          </w:tcPr>
          <w:p w14:paraId="78C9AAA0" w14:textId="77777777" w:rsidR="008E2ED2" w:rsidRPr="0018386D" w:rsidRDefault="008E2ED2" w:rsidP="00DD3106">
            <w:pPr>
              <w:pStyle w:val="TableText"/>
              <w:keepNext/>
              <w:spacing w:before="30" w:after="40"/>
              <w:rPr>
                <w:szCs w:val="18"/>
              </w:rPr>
            </w:pPr>
            <w:r w:rsidRPr="0018386D">
              <w:rPr>
                <w:szCs w:val="18"/>
              </w:rPr>
              <w:t>n/a</w:t>
            </w:r>
          </w:p>
        </w:tc>
        <w:tc>
          <w:tcPr>
            <w:tcW w:w="1361" w:type="dxa"/>
            <w:noWrap/>
            <w:hideMark/>
          </w:tcPr>
          <w:p w14:paraId="6BA3B2E2" w14:textId="7AA16C4E" w:rsidR="008E2ED2" w:rsidRPr="0018386D" w:rsidRDefault="008E2ED2" w:rsidP="00DD3106">
            <w:pPr>
              <w:pStyle w:val="TableText"/>
              <w:keepNext/>
              <w:spacing w:before="30" w:after="40"/>
              <w:rPr>
                <w:szCs w:val="18"/>
              </w:rPr>
            </w:pPr>
            <w:r w:rsidRPr="0018386D">
              <w:rPr>
                <w:szCs w:val="18"/>
              </w:rPr>
              <w:t>0.981</w:t>
            </w:r>
          </w:p>
        </w:tc>
        <w:tc>
          <w:tcPr>
            <w:tcW w:w="1361" w:type="dxa"/>
            <w:noWrap/>
            <w:hideMark/>
          </w:tcPr>
          <w:p w14:paraId="02128490" w14:textId="77777777" w:rsidR="008E2ED2" w:rsidRPr="0018386D" w:rsidRDefault="008E2ED2" w:rsidP="00DD3106">
            <w:pPr>
              <w:pStyle w:val="TableText"/>
              <w:keepNext/>
              <w:spacing w:before="30" w:after="40"/>
              <w:rPr>
                <w:szCs w:val="18"/>
              </w:rPr>
            </w:pPr>
            <w:r w:rsidRPr="0018386D">
              <w:rPr>
                <w:szCs w:val="18"/>
              </w:rPr>
              <w:t>n/a</w:t>
            </w:r>
          </w:p>
        </w:tc>
      </w:tr>
      <w:tr w:rsidR="001F4CA2" w:rsidRPr="0018386D" w14:paraId="15B594A5" w14:textId="77777777" w:rsidTr="00575E53">
        <w:trPr>
          <w:divId w:val="933317166"/>
          <w:trHeight w:val="240"/>
        </w:trPr>
        <w:tc>
          <w:tcPr>
            <w:tcW w:w="1418" w:type="dxa"/>
            <w:tcBorders>
              <w:top w:val="nil"/>
              <w:bottom w:val="nil"/>
              <w:right w:val="single" w:sz="4" w:space="0" w:color="1B556B" w:themeColor="text2"/>
            </w:tcBorders>
            <w:noWrap/>
            <w:hideMark/>
          </w:tcPr>
          <w:p w14:paraId="53775974" w14:textId="77777777" w:rsidR="008E2ED2" w:rsidRPr="0018386D" w:rsidRDefault="008E2ED2" w:rsidP="00DD3106">
            <w:pPr>
              <w:pStyle w:val="TableT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24AFABE2" w14:textId="351B37F2" w:rsidR="008E2ED2" w:rsidRPr="0018386D" w:rsidRDefault="008E2ED2" w:rsidP="00DD3106">
            <w:pPr>
              <w:pStyle w:val="TableText"/>
              <w:spacing w:before="30" w:after="40"/>
              <w:rPr>
                <w:szCs w:val="18"/>
              </w:rPr>
            </w:pPr>
            <w:r w:rsidRPr="0018386D">
              <w:rPr>
                <w:szCs w:val="18"/>
              </w:rPr>
              <w:t>Wood (combined)</w:t>
            </w:r>
          </w:p>
        </w:tc>
        <w:tc>
          <w:tcPr>
            <w:tcW w:w="567" w:type="dxa"/>
            <w:noWrap/>
            <w:hideMark/>
          </w:tcPr>
          <w:p w14:paraId="0261B06E"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78BA2FB1" w14:textId="703E08DE" w:rsidR="008E2ED2" w:rsidRPr="0018386D" w:rsidRDefault="008E2ED2" w:rsidP="00DD3106">
            <w:pPr>
              <w:pStyle w:val="TableText"/>
              <w:spacing w:before="30" w:after="40"/>
              <w:rPr>
                <w:szCs w:val="18"/>
              </w:rPr>
            </w:pPr>
            <w:r w:rsidRPr="0018386D">
              <w:rPr>
                <w:szCs w:val="18"/>
              </w:rPr>
              <w:t>0.380</w:t>
            </w:r>
          </w:p>
        </w:tc>
        <w:tc>
          <w:tcPr>
            <w:tcW w:w="1361" w:type="dxa"/>
            <w:noWrap/>
            <w:hideMark/>
          </w:tcPr>
          <w:p w14:paraId="19C4A14D"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276CC517" w14:textId="16E71134" w:rsidR="008E2ED2" w:rsidRPr="0018386D" w:rsidRDefault="008E2ED2" w:rsidP="00DD3106">
            <w:pPr>
              <w:pStyle w:val="TableText"/>
              <w:spacing w:before="30" w:after="40"/>
              <w:rPr>
                <w:szCs w:val="18"/>
              </w:rPr>
            </w:pPr>
            <w:r w:rsidRPr="0018386D">
              <w:rPr>
                <w:szCs w:val="18"/>
              </w:rPr>
              <w:t>0.380</w:t>
            </w:r>
          </w:p>
        </w:tc>
        <w:tc>
          <w:tcPr>
            <w:tcW w:w="1361" w:type="dxa"/>
            <w:noWrap/>
            <w:hideMark/>
          </w:tcPr>
          <w:p w14:paraId="12D1CD17"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2D608EC9" w14:textId="77777777" w:rsidTr="00575E53">
        <w:trPr>
          <w:divId w:val="933317166"/>
          <w:trHeight w:val="240"/>
        </w:trPr>
        <w:tc>
          <w:tcPr>
            <w:tcW w:w="1418" w:type="dxa"/>
            <w:tcBorders>
              <w:top w:val="nil"/>
              <w:bottom w:val="nil"/>
              <w:right w:val="single" w:sz="4" w:space="0" w:color="1B556B" w:themeColor="text2"/>
            </w:tcBorders>
            <w:noWrap/>
            <w:hideMark/>
          </w:tcPr>
          <w:p w14:paraId="721434A3" w14:textId="77777777" w:rsidR="008E2ED2" w:rsidRPr="0018386D" w:rsidRDefault="008E2ED2" w:rsidP="00DD3106">
            <w:pPr>
              <w:pStyle w:val="TableT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0C3441FC" w14:textId="77777777" w:rsidR="008E2ED2" w:rsidRPr="0018386D" w:rsidRDefault="008E2ED2" w:rsidP="00DD3106">
            <w:pPr>
              <w:pStyle w:val="TableText"/>
              <w:spacing w:before="30" w:after="40"/>
              <w:rPr>
                <w:szCs w:val="18"/>
              </w:rPr>
            </w:pPr>
            <w:r w:rsidRPr="0018386D">
              <w:rPr>
                <w:szCs w:val="18"/>
              </w:rPr>
              <w:t>Wood (treated)</w:t>
            </w:r>
          </w:p>
        </w:tc>
        <w:tc>
          <w:tcPr>
            <w:tcW w:w="567" w:type="dxa"/>
            <w:noWrap/>
            <w:hideMark/>
          </w:tcPr>
          <w:p w14:paraId="4BD42242"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24332348" w14:textId="77777777" w:rsidR="008E2ED2" w:rsidRPr="0018386D" w:rsidRDefault="008E2ED2" w:rsidP="00DD3106">
            <w:pPr>
              <w:pStyle w:val="TableText"/>
              <w:spacing w:before="30" w:after="40"/>
              <w:rPr>
                <w:szCs w:val="18"/>
              </w:rPr>
            </w:pPr>
            <w:r w:rsidRPr="0018386D">
              <w:rPr>
                <w:szCs w:val="18"/>
              </w:rPr>
              <w:t>0.0613</w:t>
            </w:r>
          </w:p>
        </w:tc>
        <w:tc>
          <w:tcPr>
            <w:tcW w:w="1361" w:type="dxa"/>
            <w:noWrap/>
            <w:hideMark/>
          </w:tcPr>
          <w:p w14:paraId="58DD4ACF"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3C8BD63E" w14:textId="77777777" w:rsidR="008E2ED2" w:rsidRPr="0018386D" w:rsidRDefault="008E2ED2" w:rsidP="00DD3106">
            <w:pPr>
              <w:pStyle w:val="TableText"/>
              <w:spacing w:before="30" w:after="40"/>
              <w:rPr>
                <w:szCs w:val="18"/>
              </w:rPr>
            </w:pPr>
            <w:r w:rsidRPr="0018386D">
              <w:rPr>
                <w:szCs w:val="18"/>
              </w:rPr>
              <w:t>0.0613</w:t>
            </w:r>
          </w:p>
        </w:tc>
        <w:tc>
          <w:tcPr>
            <w:tcW w:w="1361" w:type="dxa"/>
            <w:noWrap/>
            <w:hideMark/>
          </w:tcPr>
          <w:p w14:paraId="5BA6E9B4"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72F84A60" w14:textId="77777777" w:rsidTr="00575E53">
        <w:trPr>
          <w:divId w:val="933317166"/>
          <w:trHeight w:val="240"/>
        </w:trPr>
        <w:tc>
          <w:tcPr>
            <w:tcW w:w="1418" w:type="dxa"/>
            <w:tcBorders>
              <w:top w:val="nil"/>
              <w:bottom w:val="nil"/>
              <w:right w:val="single" w:sz="4" w:space="0" w:color="1B556B" w:themeColor="text2"/>
            </w:tcBorders>
            <w:noWrap/>
            <w:hideMark/>
          </w:tcPr>
          <w:p w14:paraId="6C527A2D" w14:textId="77777777" w:rsidR="008E2ED2" w:rsidRPr="0018386D" w:rsidRDefault="008E2ED2" w:rsidP="00DD3106">
            <w:pPr>
              <w:pStyle w:val="TableT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3326034A" w14:textId="77777777" w:rsidR="008E2ED2" w:rsidRPr="0018386D" w:rsidRDefault="008E2ED2" w:rsidP="00DD3106">
            <w:pPr>
              <w:pStyle w:val="TableText"/>
              <w:spacing w:before="30" w:after="40"/>
              <w:rPr>
                <w:szCs w:val="18"/>
              </w:rPr>
            </w:pPr>
            <w:r w:rsidRPr="0018386D">
              <w:rPr>
                <w:szCs w:val="18"/>
              </w:rPr>
              <w:t>Wood (untreated)</w:t>
            </w:r>
          </w:p>
        </w:tc>
        <w:tc>
          <w:tcPr>
            <w:tcW w:w="567" w:type="dxa"/>
            <w:noWrap/>
            <w:hideMark/>
          </w:tcPr>
          <w:p w14:paraId="5458F9EF"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74792DAC" w14:textId="77777777" w:rsidR="008E2ED2" w:rsidRPr="0018386D" w:rsidRDefault="008E2ED2" w:rsidP="00DD3106">
            <w:pPr>
              <w:pStyle w:val="TableText"/>
              <w:spacing w:before="30" w:after="40"/>
              <w:rPr>
                <w:szCs w:val="18"/>
              </w:rPr>
            </w:pPr>
            <w:r w:rsidRPr="0018386D">
              <w:rPr>
                <w:szCs w:val="18"/>
              </w:rPr>
              <w:t>0.858</w:t>
            </w:r>
          </w:p>
        </w:tc>
        <w:tc>
          <w:tcPr>
            <w:tcW w:w="1361" w:type="dxa"/>
            <w:noWrap/>
            <w:hideMark/>
          </w:tcPr>
          <w:p w14:paraId="67DA163E"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349444FB" w14:textId="77777777" w:rsidR="008E2ED2" w:rsidRPr="0018386D" w:rsidRDefault="008E2ED2" w:rsidP="00DD3106">
            <w:pPr>
              <w:pStyle w:val="TableText"/>
              <w:spacing w:before="30" w:after="40"/>
              <w:rPr>
                <w:szCs w:val="18"/>
              </w:rPr>
            </w:pPr>
            <w:r w:rsidRPr="0018386D">
              <w:rPr>
                <w:szCs w:val="18"/>
              </w:rPr>
              <w:t>0.858</w:t>
            </w:r>
          </w:p>
        </w:tc>
        <w:tc>
          <w:tcPr>
            <w:tcW w:w="1361" w:type="dxa"/>
            <w:noWrap/>
            <w:hideMark/>
          </w:tcPr>
          <w:p w14:paraId="37271FB6"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245C1B55" w14:textId="77777777" w:rsidTr="00575E53">
        <w:trPr>
          <w:divId w:val="933317166"/>
          <w:trHeight w:val="240"/>
        </w:trPr>
        <w:tc>
          <w:tcPr>
            <w:tcW w:w="1418" w:type="dxa"/>
            <w:tcBorders>
              <w:top w:val="nil"/>
              <w:bottom w:val="nil"/>
              <w:right w:val="single" w:sz="4" w:space="0" w:color="1B556B" w:themeColor="text2"/>
            </w:tcBorders>
            <w:noWrap/>
            <w:hideMark/>
          </w:tcPr>
          <w:p w14:paraId="3A4A4D18" w14:textId="77777777" w:rsidR="008E2ED2" w:rsidRPr="0018386D" w:rsidRDefault="008E2ED2" w:rsidP="00DD3106">
            <w:pPr>
              <w:pStyle w:val="TableT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4F7C7440" w14:textId="5E57D116" w:rsidR="008E2ED2" w:rsidRPr="0018386D" w:rsidRDefault="008E2ED2" w:rsidP="00DD3106">
            <w:pPr>
              <w:pStyle w:val="TableText"/>
              <w:spacing w:before="30" w:after="40"/>
              <w:rPr>
                <w:szCs w:val="18"/>
              </w:rPr>
            </w:pPr>
            <w:r w:rsidRPr="0018386D">
              <w:rPr>
                <w:szCs w:val="18"/>
              </w:rPr>
              <w:t>Textile</w:t>
            </w:r>
          </w:p>
        </w:tc>
        <w:tc>
          <w:tcPr>
            <w:tcW w:w="567" w:type="dxa"/>
            <w:noWrap/>
            <w:hideMark/>
          </w:tcPr>
          <w:p w14:paraId="74848F9E"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1C868E78" w14:textId="69FD165A" w:rsidR="008E2ED2" w:rsidRPr="0018386D" w:rsidRDefault="008E2ED2" w:rsidP="00DD3106">
            <w:pPr>
              <w:pStyle w:val="TableText"/>
              <w:spacing w:before="30" w:after="40"/>
              <w:rPr>
                <w:szCs w:val="18"/>
              </w:rPr>
            </w:pPr>
            <w:r w:rsidRPr="0018386D">
              <w:rPr>
                <w:szCs w:val="18"/>
              </w:rPr>
              <w:t>0.490</w:t>
            </w:r>
          </w:p>
        </w:tc>
        <w:tc>
          <w:tcPr>
            <w:tcW w:w="1361" w:type="dxa"/>
            <w:noWrap/>
            <w:hideMark/>
          </w:tcPr>
          <w:p w14:paraId="711464FC"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36731E1E" w14:textId="2D4F60F9" w:rsidR="008E2ED2" w:rsidRPr="0018386D" w:rsidRDefault="008E2ED2" w:rsidP="00DD3106">
            <w:pPr>
              <w:pStyle w:val="TableText"/>
              <w:spacing w:before="30" w:after="40"/>
              <w:rPr>
                <w:szCs w:val="18"/>
              </w:rPr>
            </w:pPr>
            <w:r w:rsidRPr="0018386D">
              <w:rPr>
                <w:szCs w:val="18"/>
              </w:rPr>
              <w:t>0.490</w:t>
            </w:r>
          </w:p>
        </w:tc>
        <w:tc>
          <w:tcPr>
            <w:tcW w:w="1361" w:type="dxa"/>
            <w:noWrap/>
            <w:hideMark/>
          </w:tcPr>
          <w:p w14:paraId="7957476D"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7CFC8D22" w14:textId="77777777" w:rsidTr="00575E53">
        <w:trPr>
          <w:divId w:val="933317166"/>
          <w:trHeight w:val="240"/>
        </w:trPr>
        <w:tc>
          <w:tcPr>
            <w:tcW w:w="1418" w:type="dxa"/>
            <w:tcBorders>
              <w:top w:val="nil"/>
              <w:bottom w:val="nil"/>
              <w:right w:val="single" w:sz="4" w:space="0" w:color="1B556B" w:themeColor="text2"/>
            </w:tcBorders>
            <w:noWrap/>
            <w:hideMark/>
          </w:tcPr>
          <w:p w14:paraId="7C9153BB" w14:textId="77777777" w:rsidR="008E2ED2" w:rsidRPr="0018386D" w:rsidRDefault="008E2ED2" w:rsidP="00DD3106">
            <w:pPr>
              <w:pStyle w:val="TableT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6E46348D" w14:textId="030718CE" w:rsidR="008E2ED2" w:rsidRPr="0018386D" w:rsidRDefault="008E2ED2" w:rsidP="00DD3106">
            <w:pPr>
              <w:pStyle w:val="TableText"/>
              <w:spacing w:before="30" w:after="40"/>
              <w:rPr>
                <w:szCs w:val="18"/>
              </w:rPr>
            </w:pPr>
            <w:r w:rsidRPr="0018386D">
              <w:rPr>
                <w:szCs w:val="18"/>
              </w:rPr>
              <w:t>Nappies</w:t>
            </w:r>
          </w:p>
        </w:tc>
        <w:tc>
          <w:tcPr>
            <w:tcW w:w="567" w:type="dxa"/>
            <w:noWrap/>
            <w:hideMark/>
          </w:tcPr>
          <w:p w14:paraId="165AFCBC"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3B9E8759" w14:textId="424F3662" w:rsidR="008E2ED2" w:rsidRPr="0018386D" w:rsidRDefault="008E2ED2" w:rsidP="00DD3106">
            <w:pPr>
              <w:pStyle w:val="TableText"/>
              <w:spacing w:before="30" w:after="40"/>
              <w:rPr>
                <w:szCs w:val="18"/>
              </w:rPr>
            </w:pPr>
            <w:r w:rsidRPr="0018386D">
              <w:rPr>
                <w:szCs w:val="18"/>
              </w:rPr>
              <w:t>0.245</w:t>
            </w:r>
          </w:p>
        </w:tc>
        <w:tc>
          <w:tcPr>
            <w:tcW w:w="1361" w:type="dxa"/>
            <w:noWrap/>
            <w:hideMark/>
          </w:tcPr>
          <w:p w14:paraId="4BBB2D02"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66BA9119" w14:textId="73E61322" w:rsidR="008E2ED2" w:rsidRPr="0018386D" w:rsidRDefault="008E2ED2" w:rsidP="00DD3106">
            <w:pPr>
              <w:pStyle w:val="TableText"/>
              <w:spacing w:before="30" w:after="40"/>
              <w:rPr>
                <w:szCs w:val="18"/>
              </w:rPr>
            </w:pPr>
            <w:r w:rsidRPr="0018386D">
              <w:rPr>
                <w:szCs w:val="18"/>
              </w:rPr>
              <w:t>0.245</w:t>
            </w:r>
          </w:p>
        </w:tc>
        <w:tc>
          <w:tcPr>
            <w:tcW w:w="1361" w:type="dxa"/>
            <w:noWrap/>
            <w:hideMark/>
          </w:tcPr>
          <w:p w14:paraId="1E5D5116"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6D15C8DA" w14:textId="77777777" w:rsidTr="00575E53">
        <w:trPr>
          <w:divId w:val="933317166"/>
          <w:trHeight w:val="240"/>
        </w:trPr>
        <w:tc>
          <w:tcPr>
            <w:tcW w:w="1418" w:type="dxa"/>
            <w:tcBorders>
              <w:top w:val="nil"/>
              <w:bottom w:val="nil"/>
              <w:right w:val="single" w:sz="4" w:space="0" w:color="1B556B" w:themeColor="text2"/>
            </w:tcBorders>
            <w:noWrap/>
            <w:hideMark/>
          </w:tcPr>
          <w:p w14:paraId="7FBF50E0" w14:textId="77777777" w:rsidR="008E2ED2" w:rsidRPr="0018386D" w:rsidRDefault="008E2ED2" w:rsidP="00DD3106">
            <w:pPr>
              <w:pStyle w:val="TableT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698EA792" w14:textId="774D1E08" w:rsidR="008E2ED2" w:rsidRPr="0018386D" w:rsidRDefault="008E2ED2" w:rsidP="00DD3106">
            <w:pPr>
              <w:pStyle w:val="TableText"/>
              <w:spacing w:before="30" w:after="40"/>
              <w:rPr>
                <w:szCs w:val="18"/>
              </w:rPr>
            </w:pPr>
            <w:r w:rsidRPr="0018386D">
              <w:rPr>
                <w:szCs w:val="18"/>
              </w:rPr>
              <w:t>Sludge</w:t>
            </w:r>
          </w:p>
        </w:tc>
        <w:tc>
          <w:tcPr>
            <w:tcW w:w="567" w:type="dxa"/>
            <w:noWrap/>
            <w:hideMark/>
          </w:tcPr>
          <w:p w14:paraId="20BF722B"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6B8BA533" w14:textId="6485FDFC" w:rsidR="008E2ED2" w:rsidRPr="0018386D" w:rsidRDefault="008E2ED2" w:rsidP="00DD3106">
            <w:pPr>
              <w:pStyle w:val="TableText"/>
              <w:spacing w:before="30" w:after="40"/>
              <w:rPr>
                <w:szCs w:val="18"/>
              </w:rPr>
            </w:pPr>
            <w:r w:rsidRPr="0018386D">
              <w:rPr>
                <w:szCs w:val="18"/>
              </w:rPr>
              <w:t>0.153</w:t>
            </w:r>
          </w:p>
        </w:tc>
        <w:tc>
          <w:tcPr>
            <w:tcW w:w="1361" w:type="dxa"/>
            <w:noWrap/>
            <w:hideMark/>
          </w:tcPr>
          <w:p w14:paraId="674D7D9A"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22D86253" w14:textId="036D87BD" w:rsidR="008E2ED2" w:rsidRPr="0018386D" w:rsidRDefault="008E2ED2" w:rsidP="00DD3106">
            <w:pPr>
              <w:pStyle w:val="TableText"/>
              <w:spacing w:before="30" w:after="40"/>
              <w:rPr>
                <w:szCs w:val="18"/>
              </w:rPr>
            </w:pPr>
            <w:r w:rsidRPr="0018386D">
              <w:rPr>
                <w:szCs w:val="18"/>
              </w:rPr>
              <w:t>0.153</w:t>
            </w:r>
          </w:p>
        </w:tc>
        <w:tc>
          <w:tcPr>
            <w:tcW w:w="1361" w:type="dxa"/>
            <w:noWrap/>
            <w:hideMark/>
          </w:tcPr>
          <w:p w14:paraId="6240DAC6"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0EFD74BD" w14:textId="77777777" w:rsidTr="00575E53">
        <w:trPr>
          <w:divId w:val="933317166"/>
          <w:trHeight w:val="240"/>
        </w:trPr>
        <w:tc>
          <w:tcPr>
            <w:tcW w:w="1418" w:type="dxa"/>
            <w:tcBorders>
              <w:top w:val="nil"/>
              <w:bottom w:val="single" w:sz="4" w:space="0" w:color="1B556B" w:themeColor="text2"/>
              <w:right w:val="single" w:sz="4" w:space="0" w:color="1B556B" w:themeColor="text2"/>
            </w:tcBorders>
            <w:noWrap/>
            <w:hideMark/>
          </w:tcPr>
          <w:p w14:paraId="77C734C0" w14:textId="77777777" w:rsidR="008E2ED2" w:rsidRPr="0018386D" w:rsidRDefault="008E2ED2" w:rsidP="00DD3106">
            <w:pPr>
              <w:pStyle w:val="TableText"/>
              <w:spacing w:before="30" w:after="40"/>
              <w:jc w:val="left"/>
              <w:rPr>
                <w:szCs w:val="18"/>
              </w:rPr>
            </w:pPr>
            <w:r w:rsidRPr="0018386D">
              <w:rPr>
                <w:szCs w:val="18"/>
              </w:rPr>
              <w:t> </w:t>
            </w:r>
          </w:p>
        </w:tc>
        <w:tc>
          <w:tcPr>
            <w:tcW w:w="1588" w:type="dxa"/>
            <w:tcBorders>
              <w:left w:val="single" w:sz="4" w:space="0" w:color="1B556B" w:themeColor="text2"/>
            </w:tcBorders>
            <w:noWrap/>
            <w:hideMark/>
          </w:tcPr>
          <w:p w14:paraId="303F96C6" w14:textId="09ECC6FA" w:rsidR="008E2ED2" w:rsidRPr="0018386D" w:rsidRDefault="008E2ED2" w:rsidP="00DD3106">
            <w:pPr>
              <w:pStyle w:val="TableText"/>
              <w:spacing w:before="30" w:after="40"/>
              <w:rPr>
                <w:szCs w:val="18"/>
              </w:rPr>
            </w:pPr>
            <w:r w:rsidRPr="0018386D">
              <w:rPr>
                <w:szCs w:val="18"/>
              </w:rPr>
              <w:t>Other (</w:t>
            </w:r>
            <w:r w:rsidR="0003313D" w:rsidRPr="0018386D">
              <w:rPr>
                <w:szCs w:val="18"/>
              </w:rPr>
              <w:t>i</w:t>
            </w:r>
            <w:r w:rsidRPr="0018386D">
              <w:rPr>
                <w:szCs w:val="18"/>
              </w:rPr>
              <w:t>nert)</w:t>
            </w:r>
          </w:p>
        </w:tc>
        <w:tc>
          <w:tcPr>
            <w:tcW w:w="567" w:type="dxa"/>
            <w:noWrap/>
            <w:hideMark/>
          </w:tcPr>
          <w:p w14:paraId="1287E87F"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02EF1D51"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2A44635A"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1CA42CA5"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61518237"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460AA546" w14:textId="77777777" w:rsidTr="00575E53">
        <w:trPr>
          <w:divId w:val="933317166"/>
          <w:trHeight w:val="240"/>
        </w:trPr>
        <w:tc>
          <w:tcPr>
            <w:tcW w:w="1418" w:type="dxa"/>
            <w:tcBorders>
              <w:top w:val="single" w:sz="4" w:space="0" w:color="1B556B" w:themeColor="text2"/>
              <w:bottom w:val="nil"/>
              <w:right w:val="single" w:sz="4" w:space="0" w:color="1B556B" w:themeColor="text2"/>
            </w:tcBorders>
            <w:noWrap/>
            <w:hideMark/>
          </w:tcPr>
          <w:p w14:paraId="2C743AB2" w14:textId="77777777" w:rsidR="008E2ED2" w:rsidRPr="0018386D" w:rsidRDefault="008E2ED2" w:rsidP="00DD3106">
            <w:pPr>
              <w:pStyle w:val="TableText"/>
              <w:spacing w:before="30" w:after="40"/>
              <w:rPr>
                <w:szCs w:val="18"/>
              </w:rPr>
            </w:pPr>
            <w:r w:rsidRPr="0018386D">
              <w:rPr>
                <w:szCs w:val="18"/>
              </w:rPr>
              <w:t>Waste (unknown composition)</w:t>
            </w:r>
          </w:p>
        </w:tc>
        <w:tc>
          <w:tcPr>
            <w:tcW w:w="1588" w:type="dxa"/>
            <w:tcBorders>
              <w:left w:val="single" w:sz="4" w:space="0" w:color="1B556B" w:themeColor="text2"/>
            </w:tcBorders>
            <w:noWrap/>
            <w:hideMark/>
          </w:tcPr>
          <w:p w14:paraId="01FC95CF" w14:textId="77777777" w:rsidR="008E2ED2" w:rsidRPr="0018386D" w:rsidRDefault="008E2ED2" w:rsidP="00DD3106">
            <w:pPr>
              <w:pStyle w:val="TableText"/>
              <w:spacing w:before="30" w:after="40"/>
              <w:rPr>
                <w:szCs w:val="18"/>
              </w:rPr>
            </w:pPr>
            <w:r w:rsidRPr="0018386D">
              <w:rPr>
                <w:szCs w:val="18"/>
              </w:rPr>
              <w:t>General waste</w:t>
            </w:r>
          </w:p>
        </w:tc>
        <w:tc>
          <w:tcPr>
            <w:tcW w:w="567" w:type="dxa"/>
            <w:noWrap/>
            <w:hideMark/>
          </w:tcPr>
          <w:p w14:paraId="520BE331"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2D17A319" w14:textId="5B9A1AB1" w:rsidR="008E2ED2" w:rsidRPr="0018386D" w:rsidRDefault="008E2ED2" w:rsidP="00DD3106">
            <w:pPr>
              <w:pStyle w:val="TableText"/>
              <w:spacing w:before="30" w:after="40"/>
              <w:rPr>
                <w:szCs w:val="18"/>
              </w:rPr>
            </w:pPr>
            <w:r w:rsidRPr="0018386D">
              <w:rPr>
                <w:szCs w:val="18"/>
              </w:rPr>
              <w:t>0.232</w:t>
            </w:r>
          </w:p>
        </w:tc>
        <w:tc>
          <w:tcPr>
            <w:tcW w:w="1361" w:type="dxa"/>
            <w:noWrap/>
            <w:hideMark/>
          </w:tcPr>
          <w:p w14:paraId="7ED8CDD2"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5E5CE607" w14:textId="6B42F90B" w:rsidR="008E2ED2" w:rsidRPr="0018386D" w:rsidRDefault="008E2ED2" w:rsidP="00DD3106">
            <w:pPr>
              <w:pStyle w:val="TableText"/>
              <w:spacing w:before="30" w:after="40"/>
              <w:rPr>
                <w:szCs w:val="18"/>
              </w:rPr>
            </w:pPr>
            <w:r w:rsidRPr="0018386D">
              <w:rPr>
                <w:szCs w:val="18"/>
              </w:rPr>
              <w:t>0.232</w:t>
            </w:r>
          </w:p>
        </w:tc>
        <w:tc>
          <w:tcPr>
            <w:tcW w:w="1361" w:type="dxa"/>
            <w:noWrap/>
            <w:hideMark/>
          </w:tcPr>
          <w:p w14:paraId="2CF17462" w14:textId="77777777" w:rsidR="008E2ED2" w:rsidRPr="0018386D" w:rsidRDefault="008E2ED2" w:rsidP="00DD3106">
            <w:pPr>
              <w:pStyle w:val="TableText"/>
              <w:spacing w:before="30" w:after="40"/>
              <w:rPr>
                <w:szCs w:val="18"/>
              </w:rPr>
            </w:pPr>
            <w:r w:rsidRPr="0018386D">
              <w:rPr>
                <w:szCs w:val="18"/>
              </w:rPr>
              <w:t>n/a</w:t>
            </w:r>
          </w:p>
        </w:tc>
      </w:tr>
      <w:tr w:rsidR="001F4CA2" w:rsidRPr="0018386D" w14:paraId="18D4589B" w14:textId="77777777" w:rsidTr="00575E53">
        <w:trPr>
          <w:divId w:val="933317166"/>
          <w:trHeight w:val="240"/>
        </w:trPr>
        <w:tc>
          <w:tcPr>
            <w:tcW w:w="1418" w:type="dxa"/>
            <w:tcBorders>
              <w:top w:val="nil"/>
              <w:bottom w:val="single" w:sz="4" w:space="0" w:color="1B556B" w:themeColor="text2"/>
              <w:right w:val="single" w:sz="4" w:space="0" w:color="1B556B" w:themeColor="text2"/>
            </w:tcBorders>
            <w:noWrap/>
            <w:hideMark/>
          </w:tcPr>
          <w:p w14:paraId="217347D2" w14:textId="77777777" w:rsidR="008E2ED2" w:rsidRPr="0018386D" w:rsidRDefault="008E2ED2" w:rsidP="00DD3106">
            <w:pPr>
              <w:pStyle w:val="TableText"/>
              <w:spacing w:before="30" w:after="40"/>
              <w:rPr>
                <w:szCs w:val="18"/>
              </w:rPr>
            </w:pPr>
            <w:r w:rsidRPr="0018386D">
              <w:rPr>
                <w:szCs w:val="18"/>
              </w:rPr>
              <w:t> </w:t>
            </w:r>
          </w:p>
        </w:tc>
        <w:tc>
          <w:tcPr>
            <w:tcW w:w="1588" w:type="dxa"/>
            <w:tcBorders>
              <w:left w:val="single" w:sz="4" w:space="0" w:color="1B556B" w:themeColor="text2"/>
            </w:tcBorders>
            <w:noWrap/>
            <w:hideMark/>
          </w:tcPr>
          <w:p w14:paraId="5E971183" w14:textId="77777777" w:rsidR="008E2ED2" w:rsidRPr="0018386D" w:rsidRDefault="008E2ED2" w:rsidP="00DD3106">
            <w:pPr>
              <w:pStyle w:val="TableText"/>
              <w:spacing w:before="30" w:after="40"/>
              <w:rPr>
                <w:szCs w:val="18"/>
              </w:rPr>
            </w:pPr>
            <w:r w:rsidRPr="0018386D">
              <w:rPr>
                <w:szCs w:val="18"/>
              </w:rPr>
              <w:t>Office waste</w:t>
            </w:r>
          </w:p>
        </w:tc>
        <w:tc>
          <w:tcPr>
            <w:tcW w:w="567" w:type="dxa"/>
            <w:noWrap/>
            <w:hideMark/>
          </w:tcPr>
          <w:p w14:paraId="6487C0B4" w14:textId="77777777" w:rsidR="008E2ED2" w:rsidRPr="0018386D" w:rsidRDefault="008E2ED2" w:rsidP="00DD3106">
            <w:pPr>
              <w:pStyle w:val="TableText"/>
              <w:spacing w:before="30" w:after="40"/>
              <w:rPr>
                <w:szCs w:val="18"/>
              </w:rPr>
            </w:pPr>
            <w:r w:rsidRPr="0018386D">
              <w:rPr>
                <w:szCs w:val="18"/>
              </w:rPr>
              <w:t>kg</w:t>
            </w:r>
          </w:p>
        </w:tc>
        <w:tc>
          <w:tcPr>
            <w:tcW w:w="1247" w:type="dxa"/>
            <w:shd w:val="clear" w:color="auto" w:fill="D2DDE1" w:themeFill="background2"/>
            <w:noWrap/>
            <w:hideMark/>
          </w:tcPr>
          <w:p w14:paraId="46F8ABBB" w14:textId="03591B94" w:rsidR="008E2ED2" w:rsidRPr="0018386D" w:rsidRDefault="008E2ED2" w:rsidP="00DD3106">
            <w:pPr>
              <w:pStyle w:val="TableText"/>
              <w:spacing w:before="30" w:after="40"/>
              <w:rPr>
                <w:szCs w:val="18"/>
              </w:rPr>
            </w:pPr>
            <w:r w:rsidRPr="0018386D">
              <w:rPr>
                <w:szCs w:val="18"/>
              </w:rPr>
              <w:t>0.666</w:t>
            </w:r>
          </w:p>
        </w:tc>
        <w:tc>
          <w:tcPr>
            <w:tcW w:w="1361" w:type="dxa"/>
            <w:noWrap/>
            <w:hideMark/>
          </w:tcPr>
          <w:p w14:paraId="4CE105D1" w14:textId="77777777" w:rsidR="008E2ED2" w:rsidRPr="0018386D" w:rsidRDefault="008E2ED2" w:rsidP="00DD3106">
            <w:pPr>
              <w:pStyle w:val="TableText"/>
              <w:spacing w:before="30" w:after="40"/>
              <w:rPr>
                <w:szCs w:val="18"/>
              </w:rPr>
            </w:pPr>
            <w:r w:rsidRPr="0018386D">
              <w:rPr>
                <w:szCs w:val="18"/>
              </w:rPr>
              <w:t>n/a</w:t>
            </w:r>
          </w:p>
        </w:tc>
        <w:tc>
          <w:tcPr>
            <w:tcW w:w="1361" w:type="dxa"/>
            <w:noWrap/>
            <w:hideMark/>
          </w:tcPr>
          <w:p w14:paraId="6FA8F771" w14:textId="0C83A48E" w:rsidR="008E2ED2" w:rsidRPr="0018386D" w:rsidRDefault="008E2ED2" w:rsidP="00DD3106">
            <w:pPr>
              <w:pStyle w:val="TableText"/>
              <w:spacing w:before="30" w:after="40"/>
              <w:rPr>
                <w:szCs w:val="18"/>
              </w:rPr>
            </w:pPr>
            <w:r w:rsidRPr="0018386D">
              <w:rPr>
                <w:szCs w:val="18"/>
              </w:rPr>
              <w:t>0.666</w:t>
            </w:r>
          </w:p>
        </w:tc>
        <w:tc>
          <w:tcPr>
            <w:tcW w:w="1361" w:type="dxa"/>
            <w:noWrap/>
            <w:hideMark/>
          </w:tcPr>
          <w:p w14:paraId="4029A60F" w14:textId="77777777" w:rsidR="008E2ED2" w:rsidRPr="0018386D" w:rsidRDefault="008E2ED2" w:rsidP="00DD3106">
            <w:pPr>
              <w:pStyle w:val="TableText"/>
              <w:spacing w:before="30" w:after="40"/>
              <w:rPr>
                <w:szCs w:val="18"/>
              </w:rPr>
            </w:pPr>
            <w:r w:rsidRPr="0018386D">
              <w:rPr>
                <w:szCs w:val="18"/>
              </w:rPr>
              <w:t>n/a</w:t>
            </w:r>
          </w:p>
        </w:tc>
      </w:tr>
    </w:tbl>
    <w:p w14:paraId="69FCBD5A" w14:textId="65F9DB1E" w:rsidR="002D77AE" w:rsidRPr="0018386D" w:rsidRDefault="002D77AE" w:rsidP="00DD3106">
      <w:pPr>
        <w:pStyle w:val="BodyText"/>
        <w:spacing w:before="0" w:after="0"/>
      </w:pPr>
    </w:p>
    <w:p w14:paraId="531A1A67" w14:textId="2A46D0F4" w:rsidR="00A959E4" w:rsidRPr="0018386D" w:rsidRDefault="00EB4389" w:rsidP="00DD3106">
      <w:pPr>
        <w:pStyle w:val="Tableheading"/>
      </w:pPr>
      <w:bookmarkStart w:id="821" w:name="Table74"/>
      <w:bookmarkStart w:id="822" w:name="_Ref532845771"/>
      <w:bookmarkStart w:id="823" w:name="_Toc111536686"/>
      <w:bookmarkStart w:id="824" w:name="_Toc140049014"/>
      <w:r w:rsidRPr="0018386D">
        <w:t xml:space="preserve">Table </w:t>
      </w:r>
      <w:r w:rsidRPr="0018386D">
        <w:fldChar w:fldCharType="begin"/>
      </w:r>
      <w:r w:rsidRPr="0018386D">
        <w:instrText>SEQ Table \* ARABIC</w:instrText>
      </w:r>
      <w:r w:rsidRPr="0018386D">
        <w:fldChar w:fldCharType="separate"/>
      </w:r>
      <w:r w:rsidR="0085383F" w:rsidRPr="0018386D">
        <w:t>74</w:t>
      </w:r>
      <w:r w:rsidRPr="0018386D">
        <w:fldChar w:fldCharType="end"/>
      </w:r>
      <w:bookmarkEnd w:id="821"/>
      <w:r w:rsidRPr="0018386D">
        <w:t>:</w:t>
      </w:r>
      <w:r w:rsidRPr="0018386D">
        <w:tab/>
      </w:r>
      <w:r w:rsidR="00A959E4" w:rsidRPr="0018386D">
        <w:t xml:space="preserve">Waste </w:t>
      </w:r>
      <w:r w:rsidR="000D1F64" w:rsidRPr="0018386D">
        <w:t>disposal to municipal (class 1</w:t>
      </w:r>
      <w:r w:rsidR="00FE2D37" w:rsidRPr="0018386D">
        <w:t>) landfills without</w:t>
      </w:r>
      <w:r w:rsidR="000C3EF0" w:rsidRPr="0018386D">
        <w:t xml:space="preserve"> </w:t>
      </w:r>
      <w:r w:rsidR="00A959E4" w:rsidRPr="0018386D">
        <w:t>gas recovery</w:t>
      </w:r>
      <w:bookmarkEnd w:id="822"/>
      <w:bookmarkEnd w:id="823"/>
      <w:bookmarkEnd w:id="824"/>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505"/>
        <w:gridCol w:w="1397"/>
        <w:gridCol w:w="543"/>
        <w:gridCol w:w="1184"/>
        <w:gridCol w:w="1292"/>
        <w:gridCol w:w="1292"/>
        <w:gridCol w:w="1292"/>
      </w:tblGrid>
      <w:tr w:rsidR="004F1FCA" w:rsidRPr="0018386D" w14:paraId="64F17FAD" w14:textId="77777777" w:rsidTr="00575E53">
        <w:trPr>
          <w:divId w:val="517349461"/>
        </w:trPr>
        <w:tc>
          <w:tcPr>
            <w:tcW w:w="1588" w:type="dxa"/>
            <w:tcBorders>
              <w:bottom w:val="nil"/>
            </w:tcBorders>
            <w:shd w:val="clear" w:color="auto" w:fill="1B556B" w:themeFill="text2"/>
            <w:noWrap/>
            <w:vAlign w:val="bottom"/>
            <w:hideMark/>
          </w:tcPr>
          <w:p w14:paraId="7660E207" w14:textId="4FA1BCDF" w:rsidR="008E2ED2" w:rsidRPr="0018386D" w:rsidRDefault="008E2ED2" w:rsidP="00DD3106">
            <w:pPr>
              <w:pStyle w:val="TableTextbold"/>
              <w:spacing w:before="40" w:after="40"/>
              <w:rPr>
                <w:color w:val="FFFFFF" w:themeColor="background1"/>
              </w:rPr>
            </w:pPr>
            <w:bookmarkStart w:id="825" w:name="_1746366912"/>
            <w:bookmarkStart w:id="826" w:name="_1745997867"/>
            <w:bookmarkStart w:id="827" w:name="_1746254108"/>
            <w:bookmarkStart w:id="828" w:name="_1747051300"/>
            <w:bookmarkEnd w:id="825"/>
            <w:bookmarkEnd w:id="826"/>
            <w:bookmarkEnd w:id="827"/>
            <w:bookmarkEnd w:id="828"/>
            <w:r w:rsidRPr="0018386D">
              <w:rPr>
                <w:color w:val="FFFFFF" w:themeColor="background1"/>
              </w:rPr>
              <w:t>Emission source</w:t>
            </w:r>
          </w:p>
        </w:tc>
        <w:tc>
          <w:tcPr>
            <w:tcW w:w="1474" w:type="dxa"/>
            <w:shd w:val="clear" w:color="auto" w:fill="1B556B" w:themeFill="text2"/>
            <w:noWrap/>
            <w:vAlign w:val="bottom"/>
            <w:hideMark/>
          </w:tcPr>
          <w:p w14:paraId="7DCC28FD" w14:textId="79CAF11D" w:rsidR="008E2ED2" w:rsidRPr="0018386D" w:rsidRDefault="0003313D" w:rsidP="00DD3106">
            <w:pPr>
              <w:pStyle w:val="TableTextbold"/>
              <w:spacing w:before="40" w:after="40"/>
              <w:rPr>
                <w:color w:val="FFFFFF" w:themeColor="background1"/>
              </w:rPr>
            </w:pPr>
            <w:r w:rsidRPr="0018386D">
              <w:rPr>
                <w:color w:val="FFFFFF" w:themeColor="background1"/>
              </w:rPr>
              <w:t>Waste type</w:t>
            </w:r>
          </w:p>
        </w:tc>
        <w:tc>
          <w:tcPr>
            <w:tcW w:w="567" w:type="dxa"/>
            <w:shd w:val="clear" w:color="auto" w:fill="1B556B" w:themeFill="text2"/>
            <w:noWrap/>
            <w:vAlign w:val="bottom"/>
            <w:hideMark/>
          </w:tcPr>
          <w:p w14:paraId="1C4D7B42"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247" w:type="dxa"/>
            <w:tcBorders>
              <w:bottom w:val="single" w:sz="4" w:space="0" w:color="1B556B" w:themeColor="text2"/>
            </w:tcBorders>
            <w:shd w:val="clear" w:color="auto" w:fill="1B556B" w:themeFill="text2"/>
            <w:noWrap/>
            <w:vAlign w:val="bottom"/>
            <w:hideMark/>
          </w:tcPr>
          <w:p w14:paraId="637E4481" w14:textId="24630B2B"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361" w:type="dxa"/>
            <w:shd w:val="clear" w:color="auto" w:fill="1B556B" w:themeFill="text2"/>
            <w:noWrap/>
            <w:vAlign w:val="bottom"/>
            <w:hideMark/>
          </w:tcPr>
          <w:p w14:paraId="7E16E52C" w14:textId="35CE9109" w:rsidR="008E2ED2" w:rsidRPr="0018386D" w:rsidRDefault="008E2ED2" w:rsidP="00DD3106">
            <w:pPr>
              <w:pStyle w:val="TableTextbold"/>
              <w:spacing w:before="40" w:after="40"/>
              <w:rPr>
                <w:color w:val="FFFFFF" w:themeColor="background1"/>
              </w:rPr>
            </w:pPr>
            <w:r w:rsidRPr="0018386D">
              <w:rPr>
                <w:color w:val="FFFFFF" w:themeColor="background1"/>
              </w:rPr>
              <w:t>CO₂ (kg CO₂</w:t>
            </w:r>
            <w:r w:rsidRPr="0018386D">
              <w:rPr>
                <w:color w:val="FFFFFF" w:themeColor="background1"/>
              </w:rPr>
              <w:noBreakHyphen/>
              <w:t>e/</w:t>
            </w:r>
            <w:r w:rsidR="006A0B1D" w:rsidRPr="0018386D">
              <w:rPr>
                <w:color w:val="FFFFFF" w:themeColor="background1"/>
              </w:rPr>
              <w:t xml:space="preserve"> </w:t>
            </w:r>
            <w:r w:rsidRPr="0018386D">
              <w:rPr>
                <w:color w:val="FFFFFF" w:themeColor="background1"/>
              </w:rPr>
              <w:t>unit)</w:t>
            </w:r>
          </w:p>
        </w:tc>
        <w:tc>
          <w:tcPr>
            <w:tcW w:w="1361" w:type="dxa"/>
            <w:shd w:val="clear" w:color="auto" w:fill="1B556B" w:themeFill="text2"/>
            <w:noWrap/>
            <w:vAlign w:val="bottom"/>
            <w:hideMark/>
          </w:tcPr>
          <w:p w14:paraId="4F62C0CB" w14:textId="509ECE20" w:rsidR="008E2ED2" w:rsidRPr="0018386D" w:rsidRDefault="008E2ED2" w:rsidP="00DD3106">
            <w:pPr>
              <w:pStyle w:val="TableTextbold"/>
              <w:spacing w:before="40" w:after="40"/>
              <w:rPr>
                <w:color w:val="FFFFFF" w:themeColor="background1"/>
              </w:rPr>
            </w:pPr>
            <w:r w:rsidRPr="0018386D">
              <w:rPr>
                <w:color w:val="FFFFFF" w:themeColor="background1"/>
              </w:rPr>
              <w:t>CH₄ (kg CO₂-e/</w:t>
            </w:r>
            <w:r w:rsidR="006A0B1D" w:rsidRPr="0018386D">
              <w:rPr>
                <w:color w:val="FFFFFF" w:themeColor="background1"/>
              </w:rPr>
              <w:t xml:space="preserve"> </w:t>
            </w:r>
            <w:r w:rsidRPr="0018386D">
              <w:rPr>
                <w:color w:val="FFFFFF" w:themeColor="background1"/>
              </w:rPr>
              <w:t>unit)</w:t>
            </w:r>
          </w:p>
        </w:tc>
        <w:tc>
          <w:tcPr>
            <w:tcW w:w="1361" w:type="dxa"/>
            <w:shd w:val="clear" w:color="auto" w:fill="1B556B" w:themeFill="text2"/>
            <w:noWrap/>
            <w:vAlign w:val="bottom"/>
            <w:hideMark/>
          </w:tcPr>
          <w:p w14:paraId="1A8B16AC" w14:textId="2A75AF46" w:rsidR="008E2ED2" w:rsidRPr="0018386D" w:rsidRDefault="008E2ED2" w:rsidP="00DD3106">
            <w:pPr>
              <w:pStyle w:val="TableTextbold"/>
              <w:spacing w:before="40" w:after="40"/>
              <w:rPr>
                <w:color w:val="FFFFFF" w:themeColor="background1"/>
              </w:rPr>
            </w:pPr>
            <w:r w:rsidRPr="0018386D">
              <w:rPr>
                <w:color w:val="FFFFFF" w:themeColor="background1"/>
              </w:rPr>
              <w:t>N₂O (kg CO₂-e/</w:t>
            </w:r>
            <w:r w:rsidR="006A0B1D" w:rsidRPr="0018386D">
              <w:rPr>
                <w:color w:val="FFFFFF" w:themeColor="background1"/>
              </w:rPr>
              <w:t xml:space="preserve"> </w:t>
            </w:r>
            <w:r w:rsidRPr="0018386D">
              <w:rPr>
                <w:color w:val="FFFFFF" w:themeColor="background1"/>
              </w:rPr>
              <w:t>unit)</w:t>
            </w:r>
          </w:p>
        </w:tc>
      </w:tr>
      <w:tr w:rsidR="008135C2" w:rsidRPr="0018386D" w14:paraId="73053B4F" w14:textId="77777777" w:rsidTr="00575E53">
        <w:trPr>
          <w:divId w:val="517349461"/>
        </w:trPr>
        <w:tc>
          <w:tcPr>
            <w:tcW w:w="1588" w:type="dxa"/>
            <w:tcBorders>
              <w:top w:val="nil"/>
              <w:bottom w:val="nil"/>
              <w:right w:val="single" w:sz="4" w:space="0" w:color="1B556B" w:themeColor="text2"/>
            </w:tcBorders>
            <w:noWrap/>
            <w:hideMark/>
          </w:tcPr>
          <w:p w14:paraId="1FBBFCB9" w14:textId="77777777" w:rsidR="008E2ED2" w:rsidRPr="0018386D" w:rsidRDefault="008E2ED2" w:rsidP="00DD3106">
            <w:pPr>
              <w:pStyle w:val="TableText"/>
              <w:spacing w:before="40" w:after="40"/>
              <w:jc w:val="left"/>
            </w:pPr>
            <w:r w:rsidRPr="0018386D">
              <w:t>Waste (known composition)</w:t>
            </w:r>
          </w:p>
        </w:tc>
        <w:tc>
          <w:tcPr>
            <w:tcW w:w="1474" w:type="dxa"/>
            <w:tcBorders>
              <w:left w:val="single" w:sz="4" w:space="0" w:color="1B556B" w:themeColor="text2"/>
            </w:tcBorders>
            <w:noWrap/>
            <w:hideMark/>
          </w:tcPr>
          <w:p w14:paraId="09DAF5C4" w14:textId="0DC63506" w:rsidR="008E2ED2" w:rsidRPr="0018386D" w:rsidRDefault="008E2ED2" w:rsidP="00DD3106">
            <w:pPr>
              <w:pStyle w:val="TableText"/>
              <w:spacing w:before="40" w:after="40"/>
            </w:pPr>
            <w:r w:rsidRPr="0018386D">
              <w:t>Food</w:t>
            </w:r>
          </w:p>
        </w:tc>
        <w:tc>
          <w:tcPr>
            <w:tcW w:w="567" w:type="dxa"/>
            <w:noWrap/>
            <w:hideMark/>
          </w:tcPr>
          <w:p w14:paraId="3013084B"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6531DF8A" w14:textId="07ECD75D" w:rsidR="008E2ED2" w:rsidRPr="0018386D" w:rsidRDefault="008E2ED2" w:rsidP="00DD3106">
            <w:pPr>
              <w:pStyle w:val="TableText"/>
              <w:spacing w:before="40" w:after="40"/>
            </w:pPr>
            <w:r w:rsidRPr="0018386D">
              <w:t>2.11</w:t>
            </w:r>
          </w:p>
        </w:tc>
        <w:tc>
          <w:tcPr>
            <w:tcW w:w="1361" w:type="dxa"/>
            <w:noWrap/>
            <w:hideMark/>
          </w:tcPr>
          <w:p w14:paraId="4559971C" w14:textId="77777777" w:rsidR="008E2ED2" w:rsidRPr="0018386D" w:rsidRDefault="008E2ED2" w:rsidP="00DD3106">
            <w:pPr>
              <w:pStyle w:val="TableText"/>
              <w:spacing w:before="40" w:after="40"/>
            </w:pPr>
            <w:r w:rsidRPr="0018386D">
              <w:t>n/a</w:t>
            </w:r>
          </w:p>
        </w:tc>
        <w:tc>
          <w:tcPr>
            <w:tcW w:w="1361" w:type="dxa"/>
            <w:noWrap/>
            <w:hideMark/>
          </w:tcPr>
          <w:p w14:paraId="1906EF2E" w14:textId="240EB665" w:rsidR="008E2ED2" w:rsidRPr="0018386D" w:rsidRDefault="008E2ED2" w:rsidP="00DD3106">
            <w:pPr>
              <w:pStyle w:val="TableText"/>
              <w:spacing w:before="40" w:after="40"/>
            </w:pPr>
            <w:r w:rsidRPr="0018386D">
              <w:t>2.11</w:t>
            </w:r>
          </w:p>
        </w:tc>
        <w:tc>
          <w:tcPr>
            <w:tcW w:w="1361" w:type="dxa"/>
            <w:noWrap/>
            <w:hideMark/>
          </w:tcPr>
          <w:p w14:paraId="3A1281AA" w14:textId="77777777" w:rsidR="008E2ED2" w:rsidRPr="0018386D" w:rsidRDefault="008E2ED2" w:rsidP="00DD3106">
            <w:pPr>
              <w:pStyle w:val="TableText"/>
              <w:spacing w:before="40" w:after="40"/>
            </w:pPr>
            <w:r w:rsidRPr="0018386D">
              <w:t>n/a</w:t>
            </w:r>
          </w:p>
        </w:tc>
      </w:tr>
      <w:tr w:rsidR="008135C2" w:rsidRPr="0018386D" w14:paraId="05093D8C" w14:textId="77777777" w:rsidTr="00575E53">
        <w:trPr>
          <w:divId w:val="517349461"/>
        </w:trPr>
        <w:tc>
          <w:tcPr>
            <w:tcW w:w="1588" w:type="dxa"/>
            <w:tcBorders>
              <w:top w:val="nil"/>
              <w:bottom w:val="nil"/>
              <w:right w:val="single" w:sz="4" w:space="0" w:color="1B556B" w:themeColor="text2"/>
            </w:tcBorders>
            <w:noWrap/>
            <w:hideMark/>
          </w:tcPr>
          <w:p w14:paraId="2AC13CC3"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5244D071" w14:textId="2A07659F" w:rsidR="008E2ED2" w:rsidRPr="0018386D" w:rsidRDefault="008E2ED2" w:rsidP="00DD3106">
            <w:pPr>
              <w:pStyle w:val="TableText"/>
              <w:spacing w:before="40" w:after="40"/>
            </w:pPr>
            <w:r w:rsidRPr="0018386D">
              <w:t>Garden</w:t>
            </w:r>
          </w:p>
        </w:tc>
        <w:tc>
          <w:tcPr>
            <w:tcW w:w="567" w:type="dxa"/>
            <w:noWrap/>
            <w:hideMark/>
          </w:tcPr>
          <w:p w14:paraId="34FD6375"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77DD4243" w14:textId="78D242A6" w:rsidR="008E2ED2" w:rsidRPr="0018386D" w:rsidRDefault="008E2ED2" w:rsidP="00DD3106">
            <w:pPr>
              <w:pStyle w:val="TableText"/>
              <w:spacing w:before="40" w:after="40"/>
            </w:pPr>
            <w:r w:rsidRPr="0018386D">
              <w:t>1.72</w:t>
            </w:r>
          </w:p>
        </w:tc>
        <w:tc>
          <w:tcPr>
            <w:tcW w:w="1361" w:type="dxa"/>
            <w:noWrap/>
            <w:hideMark/>
          </w:tcPr>
          <w:p w14:paraId="7E43FE78" w14:textId="77777777" w:rsidR="008E2ED2" w:rsidRPr="0018386D" w:rsidRDefault="008E2ED2" w:rsidP="00DD3106">
            <w:pPr>
              <w:pStyle w:val="TableText"/>
              <w:spacing w:before="40" w:after="40"/>
            </w:pPr>
            <w:r w:rsidRPr="0018386D">
              <w:t>n/a</w:t>
            </w:r>
          </w:p>
        </w:tc>
        <w:tc>
          <w:tcPr>
            <w:tcW w:w="1361" w:type="dxa"/>
            <w:noWrap/>
            <w:hideMark/>
          </w:tcPr>
          <w:p w14:paraId="118644CC" w14:textId="3553DBDB" w:rsidR="008E2ED2" w:rsidRPr="0018386D" w:rsidRDefault="008E2ED2" w:rsidP="00DD3106">
            <w:pPr>
              <w:pStyle w:val="TableText"/>
              <w:spacing w:before="40" w:after="40"/>
            </w:pPr>
            <w:r w:rsidRPr="0018386D">
              <w:t>1.72</w:t>
            </w:r>
          </w:p>
        </w:tc>
        <w:tc>
          <w:tcPr>
            <w:tcW w:w="1361" w:type="dxa"/>
            <w:noWrap/>
            <w:hideMark/>
          </w:tcPr>
          <w:p w14:paraId="6709FBAE" w14:textId="77777777" w:rsidR="008E2ED2" w:rsidRPr="0018386D" w:rsidRDefault="008E2ED2" w:rsidP="00DD3106">
            <w:pPr>
              <w:pStyle w:val="TableText"/>
              <w:spacing w:before="40" w:after="40"/>
            </w:pPr>
            <w:r w:rsidRPr="0018386D">
              <w:t>n/a</w:t>
            </w:r>
          </w:p>
        </w:tc>
      </w:tr>
      <w:tr w:rsidR="008135C2" w:rsidRPr="0018386D" w14:paraId="262AA03B" w14:textId="77777777" w:rsidTr="00575E53">
        <w:trPr>
          <w:divId w:val="517349461"/>
        </w:trPr>
        <w:tc>
          <w:tcPr>
            <w:tcW w:w="1588" w:type="dxa"/>
            <w:tcBorders>
              <w:top w:val="nil"/>
              <w:bottom w:val="nil"/>
              <w:right w:val="single" w:sz="4" w:space="0" w:color="1B556B" w:themeColor="text2"/>
            </w:tcBorders>
            <w:noWrap/>
            <w:hideMark/>
          </w:tcPr>
          <w:p w14:paraId="4E8AD696"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3F571135" w14:textId="11063291" w:rsidR="008E2ED2" w:rsidRPr="0018386D" w:rsidRDefault="008E2ED2" w:rsidP="00DD3106">
            <w:pPr>
              <w:pStyle w:val="TableText"/>
              <w:spacing w:before="40" w:after="40"/>
            </w:pPr>
            <w:r w:rsidRPr="0018386D">
              <w:t>Paper</w:t>
            </w:r>
            <w:r w:rsidR="006A0B1D" w:rsidRPr="0018386D">
              <w:t xml:space="preserve"> </w:t>
            </w:r>
          </w:p>
        </w:tc>
        <w:tc>
          <w:tcPr>
            <w:tcW w:w="567" w:type="dxa"/>
            <w:noWrap/>
            <w:hideMark/>
          </w:tcPr>
          <w:p w14:paraId="0A3BFA7F"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3A057E41" w14:textId="228F75C1" w:rsidR="008E2ED2" w:rsidRPr="0018386D" w:rsidRDefault="008E2ED2" w:rsidP="00DD3106">
            <w:pPr>
              <w:pStyle w:val="TableText"/>
              <w:spacing w:before="40" w:after="40"/>
            </w:pPr>
            <w:r w:rsidRPr="0018386D">
              <w:t>3.06</w:t>
            </w:r>
          </w:p>
        </w:tc>
        <w:tc>
          <w:tcPr>
            <w:tcW w:w="1361" w:type="dxa"/>
            <w:noWrap/>
            <w:hideMark/>
          </w:tcPr>
          <w:p w14:paraId="7FC94C37" w14:textId="77777777" w:rsidR="008E2ED2" w:rsidRPr="0018386D" w:rsidRDefault="008E2ED2" w:rsidP="00DD3106">
            <w:pPr>
              <w:pStyle w:val="TableText"/>
              <w:spacing w:before="40" w:after="40"/>
            </w:pPr>
            <w:r w:rsidRPr="0018386D">
              <w:t>n/a</w:t>
            </w:r>
          </w:p>
        </w:tc>
        <w:tc>
          <w:tcPr>
            <w:tcW w:w="1361" w:type="dxa"/>
            <w:noWrap/>
            <w:hideMark/>
          </w:tcPr>
          <w:p w14:paraId="687DDA8E" w14:textId="74A522E9" w:rsidR="008E2ED2" w:rsidRPr="0018386D" w:rsidRDefault="008E2ED2" w:rsidP="00DD3106">
            <w:pPr>
              <w:pStyle w:val="TableText"/>
              <w:spacing w:before="40" w:after="40"/>
            </w:pPr>
            <w:r w:rsidRPr="0018386D">
              <w:t>3.06</w:t>
            </w:r>
          </w:p>
        </w:tc>
        <w:tc>
          <w:tcPr>
            <w:tcW w:w="1361" w:type="dxa"/>
            <w:noWrap/>
            <w:hideMark/>
          </w:tcPr>
          <w:p w14:paraId="3F366E1A" w14:textId="77777777" w:rsidR="008E2ED2" w:rsidRPr="0018386D" w:rsidRDefault="008E2ED2" w:rsidP="00DD3106">
            <w:pPr>
              <w:pStyle w:val="TableText"/>
              <w:spacing w:before="40" w:after="40"/>
            </w:pPr>
            <w:r w:rsidRPr="0018386D">
              <w:t>n/a</w:t>
            </w:r>
          </w:p>
        </w:tc>
      </w:tr>
      <w:tr w:rsidR="008135C2" w:rsidRPr="0018386D" w14:paraId="1DE5F984" w14:textId="77777777" w:rsidTr="00575E53">
        <w:trPr>
          <w:divId w:val="517349461"/>
        </w:trPr>
        <w:tc>
          <w:tcPr>
            <w:tcW w:w="1588" w:type="dxa"/>
            <w:tcBorders>
              <w:top w:val="nil"/>
              <w:bottom w:val="nil"/>
              <w:right w:val="single" w:sz="4" w:space="0" w:color="1B556B" w:themeColor="text2"/>
            </w:tcBorders>
            <w:noWrap/>
            <w:hideMark/>
          </w:tcPr>
          <w:p w14:paraId="4C51C788"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78608CE9" w14:textId="75926CC7" w:rsidR="008E2ED2" w:rsidRPr="0018386D" w:rsidRDefault="008E2ED2" w:rsidP="00DD3106">
            <w:pPr>
              <w:pStyle w:val="TableText"/>
              <w:spacing w:before="40" w:after="40"/>
            </w:pPr>
            <w:r w:rsidRPr="0018386D">
              <w:t>Wood (combined)</w:t>
            </w:r>
          </w:p>
        </w:tc>
        <w:tc>
          <w:tcPr>
            <w:tcW w:w="567" w:type="dxa"/>
            <w:noWrap/>
            <w:hideMark/>
          </w:tcPr>
          <w:p w14:paraId="2B0AC50D"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573647AE" w14:textId="0D640941" w:rsidR="008E2ED2" w:rsidRPr="0018386D" w:rsidRDefault="008E2ED2" w:rsidP="00DD3106">
            <w:pPr>
              <w:pStyle w:val="TableText"/>
              <w:spacing w:before="40" w:after="40"/>
            </w:pPr>
            <w:r w:rsidRPr="0018386D">
              <w:t>1.19</w:t>
            </w:r>
          </w:p>
        </w:tc>
        <w:tc>
          <w:tcPr>
            <w:tcW w:w="1361" w:type="dxa"/>
            <w:noWrap/>
            <w:hideMark/>
          </w:tcPr>
          <w:p w14:paraId="5868D4BF" w14:textId="77777777" w:rsidR="008E2ED2" w:rsidRPr="0018386D" w:rsidRDefault="008E2ED2" w:rsidP="00DD3106">
            <w:pPr>
              <w:pStyle w:val="TableText"/>
              <w:spacing w:before="40" w:after="40"/>
            </w:pPr>
            <w:r w:rsidRPr="0018386D">
              <w:t>n/a</w:t>
            </w:r>
          </w:p>
        </w:tc>
        <w:tc>
          <w:tcPr>
            <w:tcW w:w="1361" w:type="dxa"/>
            <w:noWrap/>
            <w:hideMark/>
          </w:tcPr>
          <w:p w14:paraId="48B68ADD" w14:textId="51C3B8EF" w:rsidR="008E2ED2" w:rsidRPr="0018386D" w:rsidRDefault="008E2ED2" w:rsidP="00DD3106">
            <w:pPr>
              <w:pStyle w:val="TableText"/>
              <w:spacing w:before="40" w:after="40"/>
            </w:pPr>
            <w:r w:rsidRPr="0018386D">
              <w:t>1.19</w:t>
            </w:r>
          </w:p>
        </w:tc>
        <w:tc>
          <w:tcPr>
            <w:tcW w:w="1361" w:type="dxa"/>
            <w:noWrap/>
            <w:hideMark/>
          </w:tcPr>
          <w:p w14:paraId="1DFA1435" w14:textId="77777777" w:rsidR="008E2ED2" w:rsidRPr="0018386D" w:rsidRDefault="008E2ED2" w:rsidP="00DD3106">
            <w:pPr>
              <w:pStyle w:val="TableText"/>
              <w:spacing w:before="40" w:after="40"/>
            </w:pPr>
            <w:r w:rsidRPr="0018386D">
              <w:t>n/a</w:t>
            </w:r>
          </w:p>
        </w:tc>
      </w:tr>
      <w:tr w:rsidR="008135C2" w:rsidRPr="0018386D" w14:paraId="55BCF92D" w14:textId="77777777" w:rsidTr="00575E53">
        <w:trPr>
          <w:divId w:val="517349461"/>
        </w:trPr>
        <w:tc>
          <w:tcPr>
            <w:tcW w:w="1588" w:type="dxa"/>
            <w:tcBorders>
              <w:top w:val="nil"/>
              <w:bottom w:val="nil"/>
              <w:right w:val="single" w:sz="4" w:space="0" w:color="1B556B" w:themeColor="text2"/>
            </w:tcBorders>
            <w:noWrap/>
            <w:hideMark/>
          </w:tcPr>
          <w:p w14:paraId="1AA202A4"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544BFE35" w14:textId="77777777" w:rsidR="008E2ED2" w:rsidRPr="0018386D" w:rsidRDefault="008E2ED2" w:rsidP="00DD3106">
            <w:pPr>
              <w:pStyle w:val="TableText"/>
              <w:spacing w:before="40" w:after="40"/>
            </w:pPr>
            <w:r w:rsidRPr="0018386D">
              <w:t>Wood (treated)</w:t>
            </w:r>
          </w:p>
        </w:tc>
        <w:tc>
          <w:tcPr>
            <w:tcW w:w="567" w:type="dxa"/>
            <w:noWrap/>
            <w:hideMark/>
          </w:tcPr>
          <w:p w14:paraId="02640CAD"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5346FF05" w14:textId="77777777" w:rsidR="008E2ED2" w:rsidRPr="0018386D" w:rsidRDefault="008E2ED2" w:rsidP="00DD3106">
            <w:pPr>
              <w:pStyle w:val="TableText"/>
              <w:spacing w:before="40" w:after="40"/>
            </w:pPr>
            <w:r w:rsidRPr="0018386D">
              <w:t>0.192</w:t>
            </w:r>
          </w:p>
        </w:tc>
        <w:tc>
          <w:tcPr>
            <w:tcW w:w="1361" w:type="dxa"/>
            <w:noWrap/>
            <w:hideMark/>
          </w:tcPr>
          <w:p w14:paraId="65B2492B" w14:textId="77777777" w:rsidR="008E2ED2" w:rsidRPr="0018386D" w:rsidRDefault="008E2ED2" w:rsidP="00DD3106">
            <w:pPr>
              <w:pStyle w:val="TableText"/>
              <w:spacing w:before="40" w:after="40"/>
            </w:pPr>
            <w:r w:rsidRPr="0018386D">
              <w:t>n/a</w:t>
            </w:r>
          </w:p>
        </w:tc>
        <w:tc>
          <w:tcPr>
            <w:tcW w:w="1361" w:type="dxa"/>
            <w:noWrap/>
            <w:hideMark/>
          </w:tcPr>
          <w:p w14:paraId="03ADEC1D" w14:textId="77777777" w:rsidR="008E2ED2" w:rsidRPr="0018386D" w:rsidRDefault="008E2ED2" w:rsidP="00DD3106">
            <w:pPr>
              <w:pStyle w:val="TableText"/>
              <w:spacing w:before="40" w:after="40"/>
            </w:pPr>
            <w:r w:rsidRPr="0018386D">
              <w:t>0.192</w:t>
            </w:r>
          </w:p>
        </w:tc>
        <w:tc>
          <w:tcPr>
            <w:tcW w:w="1361" w:type="dxa"/>
            <w:noWrap/>
            <w:hideMark/>
          </w:tcPr>
          <w:p w14:paraId="4247C0D1" w14:textId="77777777" w:rsidR="008E2ED2" w:rsidRPr="0018386D" w:rsidRDefault="008E2ED2" w:rsidP="00DD3106">
            <w:pPr>
              <w:pStyle w:val="TableText"/>
              <w:spacing w:before="40" w:after="40"/>
            </w:pPr>
            <w:r w:rsidRPr="0018386D">
              <w:t>n/a</w:t>
            </w:r>
          </w:p>
        </w:tc>
      </w:tr>
      <w:tr w:rsidR="008135C2" w:rsidRPr="0018386D" w14:paraId="7514A9F6" w14:textId="77777777" w:rsidTr="00575E53">
        <w:trPr>
          <w:divId w:val="517349461"/>
        </w:trPr>
        <w:tc>
          <w:tcPr>
            <w:tcW w:w="1588" w:type="dxa"/>
            <w:tcBorders>
              <w:top w:val="nil"/>
              <w:bottom w:val="nil"/>
              <w:right w:val="single" w:sz="4" w:space="0" w:color="1B556B" w:themeColor="text2"/>
            </w:tcBorders>
            <w:noWrap/>
            <w:hideMark/>
          </w:tcPr>
          <w:p w14:paraId="4DB018BA"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77B16831" w14:textId="77777777" w:rsidR="008E2ED2" w:rsidRPr="0018386D" w:rsidRDefault="008E2ED2" w:rsidP="00DD3106">
            <w:pPr>
              <w:pStyle w:val="TableText"/>
              <w:spacing w:before="40" w:after="40"/>
            </w:pPr>
            <w:r w:rsidRPr="0018386D">
              <w:t>Wood (untreated)</w:t>
            </w:r>
          </w:p>
        </w:tc>
        <w:tc>
          <w:tcPr>
            <w:tcW w:w="567" w:type="dxa"/>
            <w:noWrap/>
            <w:hideMark/>
          </w:tcPr>
          <w:p w14:paraId="6BF70AB9"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7F633CD6" w14:textId="77777777" w:rsidR="008E2ED2" w:rsidRPr="0018386D" w:rsidRDefault="008E2ED2" w:rsidP="00DD3106">
            <w:pPr>
              <w:pStyle w:val="TableText"/>
              <w:spacing w:before="40" w:after="40"/>
            </w:pPr>
            <w:r w:rsidRPr="0018386D">
              <w:t>2.68</w:t>
            </w:r>
          </w:p>
        </w:tc>
        <w:tc>
          <w:tcPr>
            <w:tcW w:w="1361" w:type="dxa"/>
            <w:noWrap/>
            <w:hideMark/>
          </w:tcPr>
          <w:p w14:paraId="1D21D1A9" w14:textId="77777777" w:rsidR="008E2ED2" w:rsidRPr="0018386D" w:rsidRDefault="008E2ED2" w:rsidP="00DD3106">
            <w:pPr>
              <w:pStyle w:val="TableText"/>
              <w:spacing w:before="40" w:after="40"/>
            </w:pPr>
            <w:r w:rsidRPr="0018386D">
              <w:t>n/a</w:t>
            </w:r>
          </w:p>
        </w:tc>
        <w:tc>
          <w:tcPr>
            <w:tcW w:w="1361" w:type="dxa"/>
            <w:noWrap/>
            <w:hideMark/>
          </w:tcPr>
          <w:p w14:paraId="3574F3DF" w14:textId="77777777" w:rsidR="008E2ED2" w:rsidRPr="0018386D" w:rsidRDefault="008E2ED2" w:rsidP="00DD3106">
            <w:pPr>
              <w:pStyle w:val="TableText"/>
              <w:spacing w:before="40" w:after="40"/>
            </w:pPr>
            <w:r w:rsidRPr="0018386D">
              <w:t>2.68</w:t>
            </w:r>
          </w:p>
        </w:tc>
        <w:tc>
          <w:tcPr>
            <w:tcW w:w="1361" w:type="dxa"/>
            <w:noWrap/>
            <w:hideMark/>
          </w:tcPr>
          <w:p w14:paraId="62BC83AF" w14:textId="77777777" w:rsidR="008E2ED2" w:rsidRPr="0018386D" w:rsidRDefault="008E2ED2" w:rsidP="00DD3106">
            <w:pPr>
              <w:pStyle w:val="TableText"/>
              <w:spacing w:before="40" w:after="40"/>
            </w:pPr>
            <w:r w:rsidRPr="0018386D">
              <w:t>n/a</w:t>
            </w:r>
          </w:p>
        </w:tc>
      </w:tr>
      <w:tr w:rsidR="008135C2" w:rsidRPr="0018386D" w14:paraId="0282DE2D" w14:textId="77777777" w:rsidTr="00575E53">
        <w:trPr>
          <w:divId w:val="517349461"/>
        </w:trPr>
        <w:tc>
          <w:tcPr>
            <w:tcW w:w="1588" w:type="dxa"/>
            <w:tcBorders>
              <w:top w:val="nil"/>
              <w:bottom w:val="nil"/>
              <w:right w:val="single" w:sz="4" w:space="0" w:color="1B556B" w:themeColor="text2"/>
            </w:tcBorders>
            <w:noWrap/>
            <w:hideMark/>
          </w:tcPr>
          <w:p w14:paraId="34C936F5"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264E20C2" w14:textId="7B8AA9C0" w:rsidR="008E2ED2" w:rsidRPr="0018386D" w:rsidRDefault="008E2ED2" w:rsidP="00DD3106">
            <w:pPr>
              <w:pStyle w:val="TableText"/>
              <w:spacing w:before="40" w:after="40"/>
            </w:pPr>
            <w:r w:rsidRPr="0018386D">
              <w:t>Textile</w:t>
            </w:r>
          </w:p>
        </w:tc>
        <w:tc>
          <w:tcPr>
            <w:tcW w:w="567" w:type="dxa"/>
            <w:noWrap/>
            <w:hideMark/>
          </w:tcPr>
          <w:p w14:paraId="1E4B7E75"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513F0906" w14:textId="119F3080" w:rsidR="008E2ED2" w:rsidRPr="0018386D" w:rsidRDefault="008E2ED2" w:rsidP="00DD3106">
            <w:pPr>
              <w:pStyle w:val="TableText"/>
              <w:spacing w:before="40" w:after="40"/>
            </w:pPr>
            <w:r w:rsidRPr="0018386D">
              <w:t>1.53</w:t>
            </w:r>
          </w:p>
        </w:tc>
        <w:tc>
          <w:tcPr>
            <w:tcW w:w="1361" w:type="dxa"/>
            <w:noWrap/>
            <w:hideMark/>
          </w:tcPr>
          <w:p w14:paraId="7A49FFB2" w14:textId="77777777" w:rsidR="008E2ED2" w:rsidRPr="0018386D" w:rsidRDefault="008E2ED2" w:rsidP="00DD3106">
            <w:pPr>
              <w:pStyle w:val="TableText"/>
              <w:spacing w:before="40" w:after="40"/>
            </w:pPr>
            <w:r w:rsidRPr="0018386D">
              <w:t>n/a</w:t>
            </w:r>
          </w:p>
        </w:tc>
        <w:tc>
          <w:tcPr>
            <w:tcW w:w="1361" w:type="dxa"/>
            <w:noWrap/>
            <w:hideMark/>
          </w:tcPr>
          <w:p w14:paraId="03E34BAD" w14:textId="23145AD2" w:rsidR="008E2ED2" w:rsidRPr="0018386D" w:rsidRDefault="008E2ED2" w:rsidP="00DD3106">
            <w:pPr>
              <w:pStyle w:val="TableText"/>
              <w:spacing w:before="40" w:after="40"/>
            </w:pPr>
            <w:r w:rsidRPr="0018386D">
              <w:t>1.53</w:t>
            </w:r>
          </w:p>
        </w:tc>
        <w:tc>
          <w:tcPr>
            <w:tcW w:w="1361" w:type="dxa"/>
            <w:noWrap/>
            <w:hideMark/>
          </w:tcPr>
          <w:p w14:paraId="41DAD0A3" w14:textId="77777777" w:rsidR="008E2ED2" w:rsidRPr="0018386D" w:rsidRDefault="008E2ED2" w:rsidP="00DD3106">
            <w:pPr>
              <w:pStyle w:val="TableText"/>
              <w:spacing w:before="40" w:after="40"/>
            </w:pPr>
            <w:r w:rsidRPr="0018386D">
              <w:t>n/a</w:t>
            </w:r>
          </w:p>
        </w:tc>
      </w:tr>
      <w:tr w:rsidR="008135C2" w:rsidRPr="0018386D" w14:paraId="03279A36" w14:textId="77777777" w:rsidTr="00575E53">
        <w:trPr>
          <w:divId w:val="517349461"/>
        </w:trPr>
        <w:tc>
          <w:tcPr>
            <w:tcW w:w="1588" w:type="dxa"/>
            <w:tcBorders>
              <w:top w:val="nil"/>
              <w:bottom w:val="nil"/>
              <w:right w:val="single" w:sz="4" w:space="0" w:color="1B556B" w:themeColor="text2"/>
            </w:tcBorders>
            <w:noWrap/>
            <w:hideMark/>
          </w:tcPr>
          <w:p w14:paraId="71921978"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0CE8087C" w14:textId="33D91D69" w:rsidR="008E2ED2" w:rsidRPr="0018386D" w:rsidRDefault="008E2ED2" w:rsidP="00DD3106">
            <w:pPr>
              <w:pStyle w:val="TableText"/>
              <w:spacing w:before="40" w:after="40"/>
            </w:pPr>
            <w:r w:rsidRPr="0018386D">
              <w:t>Nappies</w:t>
            </w:r>
          </w:p>
        </w:tc>
        <w:tc>
          <w:tcPr>
            <w:tcW w:w="567" w:type="dxa"/>
            <w:noWrap/>
            <w:hideMark/>
          </w:tcPr>
          <w:p w14:paraId="3C9A3937"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0391C75B" w14:textId="2B4A1758" w:rsidR="008E2ED2" w:rsidRPr="0018386D" w:rsidRDefault="008E2ED2" w:rsidP="00DD3106">
            <w:pPr>
              <w:pStyle w:val="TableText"/>
              <w:spacing w:before="40" w:after="40"/>
            </w:pPr>
            <w:r w:rsidRPr="0018386D">
              <w:t>0.766</w:t>
            </w:r>
          </w:p>
        </w:tc>
        <w:tc>
          <w:tcPr>
            <w:tcW w:w="1361" w:type="dxa"/>
            <w:noWrap/>
            <w:hideMark/>
          </w:tcPr>
          <w:p w14:paraId="0A998F68" w14:textId="77777777" w:rsidR="008E2ED2" w:rsidRPr="0018386D" w:rsidRDefault="008E2ED2" w:rsidP="00DD3106">
            <w:pPr>
              <w:pStyle w:val="TableText"/>
              <w:spacing w:before="40" w:after="40"/>
            </w:pPr>
            <w:r w:rsidRPr="0018386D">
              <w:t>n/a</w:t>
            </w:r>
          </w:p>
        </w:tc>
        <w:tc>
          <w:tcPr>
            <w:tcW w:w="1361" w:type="dxa"/>
            <w:noWrap/>
            <w:hideMark/>
          </w:tcPr>
          <w:p w14:paraId="401F35BD" w14:textId="546E4869" w:rsidR="008E2ED2" w:rsidRPr="0018386D" w:rsidRDefault="008E2ED2" w:rsidP="00DD3106">
            <w:pPr>
              <w:pStyle w:val="TableText"/>
              <w:spacing w:before="40" w:after="40"/>
            </w:pPr>
            <w:r w:rsidRPr="0018386D">
              <w:t>0.766</w:t>
            </w:r>
          </w:p>
        </w:tc>
        <w:tc>
          <w:tcPr>
            <w:tcW w:w="1361" w:type="dxa"/>
            <w:noWrap/>
            <w:hideMark/>
          </w:tcPr>
          <w:p w14:paraId="085D6CE7" w14:textId="77777777" w:rsidR="008E2ED2" w:rsidRPr="0018386D" w:rsidRDefault="008E2ED2" w:rsidP="00DD3106">
            <w:pPr>
              <w:pStyle w:val="TableText"/>
              <w:spacing w:before="40" w:after="40"/>
            </w:pPr>
            <w:r w:rsidRPr="0018386D">
              <w:t>n/a</w:t>
            </w:r>
          </w:p>
        </w:tc>
      </w:tr>
      <w:tr w:rsidR="008135C2" w:rsidRPr="0018386D" w14:paraId="4504A4A6" w14:textId="77777777" w:rsidTr="00575E53">
        <w:trPr>
          <w:divId w:val="517349461"/>
        </w:trPr>
        <w:tc>
          <w:tcPr>
            <w:tcW w:w="1588" w:type="dxa"/>
            <w:tcBorders>
              <w:top w:val="nil"/>
              <w:bottom w:val="nil"/>
              <w:right w:val="single" w:sz="4" w:space="0" w:color="1B556B" w:themeColor="text2"/>
            </w:tcBorders>
            <w:noWrap/>
            <w:hideMark/>
          </w:tcPr>
          <w:p w14:paraId="2153B740"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23A9DD7B" w14:textId="23B92ECC" w:rsidR="008E2ED2" w:rsidRPr="0018386D" w:rsidRDefault="008E2ED2" w:rsidP="00DD3106">
            <w:pPr>
              <w:pStyle w:val="TableText"/>
              <w:spacing w:before="40" w:after="40"/>
            </w:pPr>
            <w:r w:rsidRPr="0018386D">
              <w:t>Sludge</w:t>
            </w:r>
          </w:p>
        </w:tc>
        <w:tc>
          <w:tcPr>
            <w:tcW w:w="567" w:type="dxa"/>
            <w:noWrap/>
            <w:hideMark/>
          </w:tcPr>
          <w:p w14:paraId="46A29040"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6584B58C" w14:textId="12450BD9" w:rsidR="008E2ED2" w:rsidRPr="0018386D" w:rsidRDefault="008E2ED2" w:rsidP="00DD3106">
            <w:pPr>
              <w:pStyle w:val="TableText"/>
              <w:spacing w:before="40" w:after="40"/>
            </w:pPr>
            <w:r w:rsidRPr="0018386D">
              <w:t>0.479</w:t>
            </w:r>
          </w:p>
        </w:tc>
        <w:tc>
          <w:tcPr>
            <w:tcW w:w="1361" w:type="dxa"/>
            <w:noWrap/>
            <w:hideMark/>
          </w:tcPr>
          <w:p w14:paraId="2F35B4F2" w14:textId="77777777" w:rsidR="008E2ED2" w:rsidRPr="0018386D" w:rsidRDefault="008E2ED2" w:rsidP="00DD3106">
            <w:pPr>
              <w:pStyle w:val="TableText"/>
              <w:spacing w:before="40" w:after="40"/>
            </w:pPr>
            <w:r w:rsidRPr="0018386D">
              <w:t>n/a</w:t>
            </w:r>
          </w:p>
        </w:tc>
        <w:tc>
          <w:tcPr>
            <w:tcW w:w="1361" w:type="dxa"/>
            <w:noWrap/>
            <w:hideMark/>
          </w:tcPr>
          <w:p w14:paraId="3A6B6FC5" w14:textId="7DE43F19" w:rsidR="008E2ED2" w:rsidRPr="0018386D" w:rsidRDefault="008E2ED2" w:rsidP="00DD3106">
            <w:pPr>
              <w:pStyle w:val="TableText"/>
              <w:spacing w:before="40" w:after="40"/>
            </w:pPr>
            <w:r w:rsidRPr="0018386D">
              <w:t>0.479</w:t>
            </w:r>
          </w:p>
        </w:tc>
        <w:tc>
          <w:tcPr>
            <w:tcW w:w="1361" w:type="dxa"/>
            <w:noWrap/>
            <w:hideMark/>
          </w:tcPr>
          <w:p w14:paraId="46ABB9D3" w14:textId="77777777" w:rsidR="008E2ED2" w:rsidRPr="0018386D" w:rsidRDefault="008E2ED2" w:rsidP="00DD3106">
            <w:pPr>
              <w:pStyle w:val="TableText"/>
              <w:spacing w:before="40" w:after="40"/>
            </w:pPr>
            <w:r w:rsidRPr="0018386D">
              <w:t>n/a</w:t>
            </w:r>
          </w:p>
        </w:tc>
      </w:tr>
      <w:tr w:rsidR="008135C2" w:rsidRPr="0018386D" w14:paraId="205A4486" w14:textId="77777777" w:rsidTr="00575E53">
        <w:trPr>
          <w:divId w:val="517349461"/>
        </w:trPr>
        <w:tc>
          <w:tcPr>
            <w:tcW w:w="1588" w:type="dxa"/>
            <w:tcBorders>
              <w:top w:val="nil"/>
              <w:bottom w:val="single" w:sz="4" w:space="0" w:color="1B556B" w:themeColor="text2"/>
              <w:right w:val="single" w:sz="4" w:space="0" w:color="1B556B" w:themeColor="text2"/>
            </w:tcBorders>
            <w:noWrap/>
            <w:hideMark/>
          </w:tcPr>
          <w:p w14:paraId="5E2D5BB4" w14:textId="77777777" w:rsidR="008E2ED2" w:rsidRPr="0018386D" w:rsidRDefault="008E2ED2" w:rsidP="00DD3106">
            <w:pPr>
              <w:pStyle w:val="TableText"/>
              <w:spacing w:before="40" w:after="40"/>
              <w:jc w:val="left"/>
            </w:pPr>
            <w:r w:rsidRPr="0018386D">
              <w:t> </w:t>
            </w:r>
          </w:p>
        </w:tc>
        <w:tc>
          <w:tcPr>
            <w:tcW w:w="1474" w:type="dxa"/>
            <w:tcBorders>
              <w:left w:val="single" w:sz="4" w:space="0" w:color="1B556B" w:themeColor="text2"/>
            </w:tcBorders>
            <w:noWrap/>
            <w:hideMark/>
          </w:tcPr>
          <w:p w14:paraId="0D23FBB5" w14:textId="1916FBD2" w:rsidR="008E2ED2" w:rsidRPr="0018386D" w:rsidRDefault="008E2ED2" w:rsidP="00DD3106">
            <w:pPr>
              <w:pStyle w:val="TableText"/>
              <w:spacing w:before="40" w:after="40"/>
            </w:pPr>
            <w:r w:rsidRPr="0018386D">
              <w:t>Other (</w:t>
            </w:r>
            <w:r w:rsidR="003D1317" w:rsidRPr="0018386D">
              <w:t>i</w:t>
            </w:r>
            <w:r w:rsidRPr="0018386D">
              <w:t>nert)</w:t>
            </w:r>
          </w:p>
        </w:tc>
        <w:tc>
          <w:tcPr>
            <w:tcW w:w="567" w:type="dxa"/>
            <w:noWrap/>
            <w:hideMark/>
          </w:tcPr>
          <w:p w14:paraId="387C1723"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0B905F07" w14:textId="77777777" w:rsidR="008E2ED2" w:rsidRPr="0018386D" w:rsidRDefault="008E2ED2" w:rsidP="00DD3106">
            <w:pPr>
              <w:pStyle w:val="TableText"/>
              <w:spacing w:before="40" w:after="40"/>
            </w:pPr>
            <w:r w:rsidRPr="0018386D">
              <w:t>n/a</w:t>
            </w:r>
          </w:p>
        </w:tc>
        <w:tc>
          <w:tcPr>
            <w:tcW w:w="1361" w:type="dxa"/>
            <w:noWrap/>
            <w:hideMark/>
          </w:tcPr>
          <w:p w14:paraId="3C9A43B2" w14:textId="77777777" w:rsidR="008E2ED2" w:rsidRPr="0018386D" w:rsidRDefault="008E2ED2" w:rsidP="00DD3106">
            <w:pPr>
              <w:pStyle w:val="TableText"/>
              <w:spacing w:before="40" w:after="40"/>
            </w:pPr>
            <w:r w:rsidRPr="0018386D">
              <w:t>n/a</w:t>
            </w:r>
          </w:p>
        </w:tc>
        <w:tc>
          <w:tcPr>
            <w:tcW w:w="1361" w:type="dxa"/>
            <w:noWrap/>
            <w:hideMark/>
          </w:tcPr>
          <w:p w14:paraId="0523C754" w14:textId="77777777" w:rsidR="008E2ED2" w:rsidRPr="0018386D" w:rsidRDefault="008E2ED2" w:rsidP="00DD3106">
            <w:pPr>
              <w:pStyle w:val="TableText"/>
              <w:spacing w:before="40" w:after="40"/>
            </w:pPr>
            <w:r w:rsidRPr="0018386D">
              <w:t>n/a</w:t>
            </w:r>
          </w:p>
        </w:tc>
        <w:tc>
          <w:tcPr>
            <w:tcW w:w="1361" w:type="dxa"/>
            <w:noWrap/>
            <w:hideMark/>
          </w:tcPr>
          <w:p w14:paraId="48A295D1" w14:textId="77777777" w:rsidR="008E2ED2" w:rsidRPr="0018386D" w:rsidRDefault="008E2ED2" w:rsidP="00DD3106">
            <w:pPr>
              <w:pStyle w:val="TableText"/>
              <w:spacing w:before="40" w:after="40"/>
            </w:pPr>
            <w:r w:rsidRPr="0018386D">
              <w:t>n/a</w:t>
            </w:r>
          </w:p>
        </w:tc>
      </w:tr>
      <w:tr w:rsidR="008135C2" w:rsidRPr="0018386D" w14:paraId="6BD68DCC" w14:textId="77777777" w:rsidTr="00575E53">
        <w:trPr>
          <w:divId w:val="517349461"/>
        </w:trPr>
        <w:tc>
          <w:tcPr>
            <w:tcW w:w="1588" w:type="dxa"/>
            <w:tcBorders>
              <w:top w:val="single" w:sz="4" w:space="0" w:color="1B556B" w:themeColor="text2"/>
              <w:bottom w:val="nil"/>
              <w:right w:val="single" w:sz="4" w:space="0" w:color="1B556B" w:themeColor="text2"/>
            </w:tcBorders>
            <w:noWrap/>
            <w:hideMark/>
          </w:tcPr>
          <w:p w14:paraId="42039B1A" w14:textId="77777777" w:rsidR="008E2ED2" w:rsidRPr="0018386D" w:rsidRDefault="008E2ED2" w:rsidP="00DD3106">
            <w:pPr>
              <w:pStyle w:val="TableText"/>
              <w:spacing w:before="40" w:after="40"/>
              <w:jc w:val="left"/>
            </w:pPr>
            <w:r w:rsidRPr="0018386D">
              <w:t>Waste (unknown composition)</w:t>
            </w:r>
          </w:p>
        </w:tc>
        <w:tc>
          <w:tcPr>
            <w:tcW w:w="1474" w:type="dxa"/>
            <w:tcBorders>
              <w:left w:val="single" w:sz="4" w:space="0" w:color="1B556B" w:themeColor="text2"/>
            </w:tcBorders>
            <w:noWrap/>
            <w:hideMark/>
          </w:tcPr>
          <w:p w14:paraId="1F6206CB" w14:textId="77777777" w:rsidR="008E2ED2" w:rsidRPr="0018386D" w:rsidRDefault="008E2ED2" w:rsidP="00DD3106">
            <w:pPr>
              <w:pStyle w:val="TableText"/>
              <w:spacing w:before="40" w:after="40"/>
            </w:pPr>
            <w:r w:rsidRPr="0018386D">
              <w:t>General waste</w:t>
            </w:r>
          </w:p>
        </w:tc>
        <w:tc>
          <w:tcPr>
            <w:tcW w:w="567" w:type="dxa"/>
            <w:noWrap/>
            <w:hideMark/>
          </w:tcPr>
          <w:p w14:paraId="0EAB6521"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60534C1F" w14:textId="21C75DC4" w:rsidR="008E2ED2" w:rsidRPr="0018386D" w:rsidRDefault="008E2ED2" w:rsidP="00DD3106">
            <w:pPr>
              <w:pStyle w:val="TableText"/>
              <w:spacing w:before="40" w:after="40"/>
            </w:pPr>
            <w:r w:rsidRPr="0018386D">
              <w:t>0.724</w:t>
            </w:r>
          </w:p>
        </w:tc>
        <w:tc>
          <w:tcPr>
            <w:tcW w:w="1361" w:type="dxa"/>
            <w:noWrap/>
            <w:hideMark/>
          </w:tcPr>
          <w:p w14:paraId="769C36BF" w14:textId="77777777" w:rsidR="008E2ED2" w:rsidRPr="0018386D" w:rsidRDefault="008E2ED2" w:rsidP="00DD3106">
            <w:pPr>
              <w:pStyle w:val="TableText"/>
              <w:spacing w:before="40" w:after="40"/>
            </w:pPr>
            <w:r w:rsidRPr="0018386D">
              <w:t>n/a</w:t>
            </w:r>
          </w:p>
        </w:tc>
        <w:tc>
          <w:tcPr>
            <w:tcW w:w="1361" w:type="dxa"/>
            <w:noWrap/>
            <w:hideMark/>
          </w:tcPr>
          <w:p w14:paraId="61ED3665" w14:textId="7864DDB3" w:rsidR="008E2ED2" w:rsidRPr="0018386D" w:rsidRDefault="008E2ED2" w:rsidP="00DD3106">
            <w:pPr>
              <w:pStyle w:val="TableText"/>
              <w:spacing w:before="40" w:after="40"/>
            </w:pPr>
            <w:r w:rsidRPr="0018386D">
              <w:t>0.724</w:t>
            </w:r>
          </w:p>
        </w:tc>
        <w:tc>
          <w:tcPr>
            <w:tcW w:w="1361" w:type="dxa"/>
            <w:noWrap/>
            <w:hideMark/>
          </w:tcPr>
          <w:p w14:paraId="644CA804" w14:textId="77777777" w:rsidR="008E2ED2" w:rsidRPr="0018386D" w:rsidRDefault="008E2ED2" w:rsidP="00DD3106">
            <w:pPr>
              <w:pStyle w:val="TableText"/>
              <w:spacing w:before="40" w:after="40"/>
            </w:pPr>
            <w:r w:rsidRPr="0018386D">
              <w:t>n/a</w:t>
            </w:r>
          </w:p>
        </w:tc>
      </w:tr>
      <w:tr w:rsidR="008135C2" w:rsidRPr="0018386D" w14:paraId="26C1EEAF" w14:textId="77777777" w:rsidTr="00575E53">
        <w:trPr>
          <w:divId w:val="517349461"/>
        </w:trPr>
        <w:tc>
          <w:tcPr>
            <w:tcW w:w="1588" w:type="dxa"/>
            <w:tcBorders>
              <w:top w:val="nil"/>
              <w:bottom w:val="single" w:sz="4" w:space="0" w:color="1B556B" w:themeColor="text2"/>
              <w:right w:val="single" w:sz="4" w:space="0" w:color="1B556B" w:themeColor="text2"/>
            </w:tcBorders>
            <w:noWrap/>
            <w:hideMark/>
          </w:tcPr>
          <w:p w14:paraId="210ABDFA" w14:textId="77777777" w:rsidR="008E2ED2" w:rsidRPr="0018386D" w:rsidRDefault="008E2ED2" w:rsidP="00DD3106">
            <w:pPr>
              <w:pStyle w:val="TableText"/>
              <w:spacing w:before="40" w:after="40"/>
            </w:pPr>
            <w:r w:rsidRPr="0018386D">
              <w:t> </w:t>
            </w:r>
          </w:p>
        </w:tc>
        <w:tc>
          <w:tcPr>
            <w:tcW w:w="1474" w:type="dxa"/>
            <w:tcBorders>
              <w:left w:val="single" w:sz="4" w:space="0" w:color="1B556B" w:themeColor="text2"/>
            </w:tcBorders>
            <w:noWrap/>
            <w:hideMark/>
          </w:tcPr>
          <w:p w14:paraId="3426E4D5" w14:textId="77777777" w:rsidR="008E2ED2" w:rsidRPr="0018386D" w:rsidRDefault="008E2ED2" w:rsidP="00DD3106">
            <w:pPr>
              <w:pStyle w:val="TableText"/>
              <w:spacing w:before="40" w:after="40"/>
            </w:pPr>
            <w:r w:rsidRPr="0018386D">
              <w:t>Office waste</w:t>
            </w:r>
          </w:p>
        </w:tc>
        <w:tc>
          <w:tcPr>
            <w:tcW w:w="567" w:type="dxa"/>
            <w:noWrap/>
            <w:hideMark/>
          </w:tcPr>
          <w:p w14:paraId="53257E05" w14:textId="77777777" w:rsidR="008E2ED2" w:rsidRPr="0018386D" w:rsidRDefault="008E2ED2" w:rsidP="00DD3106">
            <w:pPr>
              <w:pStyle w:val="TableText"/>
              <w:spacing w:before="40" w:after="40"/>
            </w:pPr>
            <w:r w:rsidRPr="0018386D">
              <w:t>kg</w:t>
            </w:r>
          </w:p>
        </w:tc>
        <w:tc>
          <w:tcPr>
            <w:tcW w:w="1247" w:type="dxa"/>
            <w:shd w:val="clear" w:color="auto" w:fill="D2DDE1" w:themeFill="background2"/>
            <w:noWrap/>
            <w:hideMark/>
          </w:tcPr>
          <w:p w14:paraId="606059F6" w14:textId="509A1064" w:rsidR="008E2ED2" w:rsidRPr="0018386D" w:rsidRDefault="008E2ED2" w:rsidP="00DD3106">
            <w:pPr>
              <w:pStyle w:val="TableText"/>
              <w:spacing w:before="40" w:after="40"/>
            </w:pPr>
            <w:r w:rsidRPr="0018386D">
              <w:t>2.08</w:t>
            </w:r>
          </w:p>
        </w:tc>
        <w:tc>
          <w:tcPr>
            <w:tcW w:w="1361" w:type="dxa"/>
            <w:noWrap/>
            <w:hideMark/>
          </w:tcPr>
          <w:p w14:paraId="6B680B88" w14:textId="77777777" w:rsidR="008E2ED2" w:rsidRPr="0018386D" w:rsidRDefault="008E2ED2" w:rsidP="00DD3106">
            <w:pPr>
              <w:pStyle w:val="TableText"/>
              <w:spacing w:before="40" w:after="40"/>
            </w:pPr>
            <w:r w:rsidRPr="0018386D">
              <w:t>n/a</w:t>
            </w:r>
          </w:p>
        </w:tc>
        <w:tc>
          <w:tcPr>
            <w:tcW w:w="1361" w:type="dxa"/>
            <w:noWrap/>
            <w:hideMark/>
          </w:tcPr>
          <w:p w14:paraId="118F4018" w14:textId="4173A99D" w:rsidR="008E2ED2" w:rsidRPr="0018386D" w:rsidRDefault="008E2ED2" w:rsidP="00DD3106">
            <w:pPr>
              <w:pStyle w:val="TableText"/>
              <w:spacing w:before="40" w:after="40"/>
            </w:pPr>
            <w:r w:rsidRPr="0018386D">
              <w:t>2.08</w:t>
            </w:r>
          </w:p>
        </w:tc>
        <w:tc>
          <w:tcPr>
            <w:tcW w:w="1361" w:type="dxa"/>
            <w:noWrap/>
            <w:hideMark/>
          </w:tcPr>
          <w:p w14:paraId="3F9A8A8C" w14:textId="77777777" w:rsidR="008E2ED2" w:rsidRPr="0018386D" w:rsidRDefault="008E2ED2" w:rsidP="00DD3106">
            <w:pPr>
              <w:pStyle w:val="TableText"/>
              <w:spacing w:before="40" w:after="40"/>
            </w:pPr>
            <w:r w:rsidRPr="0018386D">
              <w:t>n/a</w:t>
            </w:r>
          </w:p>
        </w:tc>
      </w:tr>
    </w:tbl>
    <w:p w14:paraId="35351F69" w14:textId="3FB88A0F" w:rsidR="002D77AE" w:rsidRPr="0018386D" w:rsidRDefault="002D77AE" w:rsidP="00DD3106">
      <w:pPr>
        <w:pStyle w:val="BodyText"/>
        <w:spacing w:before="0" w:after="0"/>
      </w:pPr>
    </w:p>
    <w:p w14:paraId="5EACD507" w14:textId="2BDA7529" w:rsidR="00660321" w:rsidRPr="0018386D" w:rsidRDefault="00EB4389" w:rsidP="00DD3106">
      <w:pPr>
        <w:pStyle w:val="Tableheading"/>
      </w:pPr>
      <w:bookmarkStart w:id="829" w:name="Table75"/>
      <w:bookmarkStart w:id="830" w:name="_Toc111536687"/>
      <w:bookmarkStart w:id="831" w:name="_Toc140049015"/>
      <w:r w:rsidRPr="0018386D">
        <w:lastRenderedPageBreak/>
        <w:t xml:space="preserve">Table </w:t>
      </w:r>
      <w:r w:rsidRPr="0018386D">
        <w:fldChar w:fldCharType="begin"/>
      </w:r>
      <w:r w:rsidRPr="0018386D">
        <w:instrText>SEQ Table \* ARABIC</w:instrText>
      </w:r>
      <w:r w:rsidRPr="0018386D">
        <w:fldChar w:fldCharType="separate"/>
      </w:r>
      <w:r w:rsidR="0085383F" w:rsidRPr="0018386D">
        <w:t>75</w:t>
      </w:r>
      <w:r w:rsidRPr="0018386D">
        <w:fldChar w:fldCharType="end"/>
      </w:r>
      <w:bookmarkEnd w:id="829"/>
      <w:r w:rsidRPr="0018386D">
        <w:t>:</w:t>
      </w:r>
      <w:r w:rsidRPr="0018386D">
        <w:tab/>
      </w:r>
      <w:r w:rsidR="00A618B3" w:rsidRPr="0018386D">
        <w:t>Waste disposal to non-municipal (class 2-5) landfills</w:t>
      </w:r>
      <w:bookmarkEnd w:id="830"/>
      <w:bookmarkEnd w:id="83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354"/>
        <w:gridCol w:w="1517"/>
        <w:gridCol w:w="538"/>
        <w:gridCol w:w="1193"/>
        <w:gridCol w:w="1301"/>
        <w:gridCol w:w="1301"/>
        <w:gridCol w:w="1301"/>
      </w:tblGrid>
      <w:tr w:rsidR="00B601AF" w:rsidRPr="0018386D" w14:paraId="1F9CA7BC" w14:textId="77777777" w:rsidTr="00575E53">
        <w:trPr>
          <w:divId w:val="687367331"/>
          <w:trHeight w:val="240"/>
        </w:trPr>
        <w:tc>
          <w:tcPr>
            <w:tcW w:w="1418" w:type="dxa"/>
            <w:tcBorders>
              <w:bottom w:val="nil"/>
            </w:tcBorders>
            <w:shd w:val="clear" w:color="000000" w:fill="1B556B" w:themeFill="text2"/>
            <w:noWrap/>
            <w:vAlign w:val="bottom"/>
            <w:hideMark/>
          </w:tcPr>
          <w:p w14:paraId="5E190507" w14:textId="17CBC516" w:rsidR="008E2ED2" w:rsidRPr="0018386D" w:rsidRDefault="008E2ED2" w:rsidP="00DD3106">
            <w:pPr>
              <w:pStyle w:val="TableTextbold"/>
              <w:keepNext/>
              <w:spacing w:before="40" w:after="40"/>
              <w:rPr>
                <w:color w:val="FFFFFF" w:themeColor="background1"/>
                <w:szCs w:val="18"/>
              </w:rPr>
            </w:pPr>
            <w:bookmarkStart w:id="832" w:name="_1746366916"/>
            <w:bookmarkStart w:id="833" w:name="_1745997868"/>
            <w:bookmarkStart w:id="834" w:name="_1746254109"/>
            <w:bookmarkStart w:id="835" w:name="_1747051301"/>
            <w:bookmarkEnd w:id="832"/>
            <w:bookmarkEnd w:id="833"/>
            <w:bookmarkEnd w:id="834"/>
            <w:bookmarkEnd w:id="835"/>
            <w:r w:rsidRPr="0018386D">
              <w:rPr>
                <w:color w:val="FFFFFF" w:themeColor="background1"/>
                <w:szCs w:val="18"/>
              </w:rPr>
              <w:t>Emission source</w:t>
            </w:r>
          </w:p>
        </w:tc>
        <w:tc>
          <w:tcPr>
            <w:tcW w:w="1588" w:type="dxa"/>
            <w:shd w:val="clear" w:color="000000" w:fill="1B556B" w:themeFill="text2"/>
            <w:noWrap/>
            <w:vAlign w:val="bottom"/>
            <w:hideMark/>
          </w:tcPr>
          <w:p w14:paraId="00E2D655" w14:textId="4BD8BF92" w:rsidR="008E2ED2" w:rsidRPr="0018386D" w:rsidRDefault="00C724CC" w:rsidP="00DD3106">
            <w:pPr>
              <w:pStyle w:val="TableTextbold"/>
              <w:keepNext/>
              <w:spacing w:before="40" w:after="40"/>
              <w:rPr>
                <w:color w:val="FFFFFF" w:themeColor="background1"/>
                <w:szCs w:val="18"/>
              </w:rPr>
            </w:pPr>
            <w:r w:rsidRPr="0018386D">
              <w:rPr>
                <w:color w:val="FFFFFF" w:themeColor="background1"/>
                <w:szCs w:val="18"/>
              </w:rPr>
              <w:t>Waste type</w:t>
            </w:r>
          </w:p>
        </w:tc>
        <w:tc>
          <w:tcPr>
            <w:tcW w:w="558" w:type="dxa"/>
            <w:shd w:val="clear" w:color="000000" w:fill="1B556B" w:themeFill="text2"/>
            <w:noWrap/>
            <w:vAlign w:val="bottom"/>
            <w:hideMark/>
          </w:tcPr>
          <w:p w14:paraId="194526DD" w14:textId="77777777"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Unit</w:t>
            </w:r>
          </w:p>
        </w:tc>
        <w:tc>
          <w:tcPr>
            <w:tcW w:w="1247" w:type="dxa"/>
            <w:shd w:val="clear" w:color="000000" w:fill="1B556B" w:themeFill="text2"/>
            <w:noWrap/>
            <w:vAlign w:val="bottom"/>
            <w:hideMark/>
          </w:tcPr>
          <w:p w14:paraId="0CF0B7AB" w14:textId="29687DD4"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kg CO₂-e/unit</w:t>
            </w:r>
          </w:p>
        </w:tc>
        <w:tc>
          <w:tcPr>
            <w:tcW w:w="1361" w:type="dxa"/>
            <w:shd w:val="clear" w:color="000000" w:fill="1B556B" w:themeFill="text2"/>
            <w:noWrap/>
            <w:vAlign w:val="bottom"/>
            <w:hideMark/>
          </w:tcPr>
          <w:p w14:paraId="09C2CFC3" w14:textId="21591F4B"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CO₂ (kg CO₂</w:t>
            </w:r>
            <w:r w:rsidRPr="0018386D">
              <w:rPr>
                <w:color w:val="FFFFFF" w:themeColor="background1"/>
                <w:szCs w:val="18"/>
              </w:rPr>
              <w:noBreakHyphen/>
              <w:t>e/</w:t>
            </w:r>
            <w:r w:rsidR="00B601AF" w:rsidRPr="0018386D">
              <w:rPr>
                <w:color w:val="FFFFFF" w:themeColor="background1"/>
                <w:szCs w:val="18"/>
              </w:rPr>
              <w:t xml:space="preserve"> </w:t>
            </w:r>
            <w:r w:rsidRPr="0018386D">
              <w:rPr>
                <w:color w:val="FFFFFF" w:themeColor="background1"/>
                <w:szCs w:val="18"/>
              </w:rPr>
              <w:t>unit)</w:t>
            </w:r>
          </w:p>
        </w:tc>
        <w:tc>
          <w:tcPr>
            <w:tcW w:w="1361" w:type="dxa"/>
            <w:shd w:val="clear" w:color="000000" w:fill="1B556B" w:themeFill="text2"/>
            <w:noWrap/>
            <w:vAlign w:val="bottom"/>
            <w:hideMark/>
          </w:tcPr>
          <w:p w14:paraId="11A92341" w14:textId="73124C98"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CH₄ (kg CO₂-e/</w:t>
            </w:r>
            <w:r w:rsidR="00B601AF" w:rsidRPr="0018386D">
              <w:rPr>
                <w:color w:val="FFFFFF" w:themeColor="background1"/>
                <w:szCs w:val="18"/>
              </w:rPr>
              <w:t xml:space="preserve"> </w:t>
            </w:r>
            <w:r w:rsidRPr="0018386D">
              <w:rPr>
                <w:color w:val="FFFFFF" w:themeColor="background1"/>
                <w:szCs w:val="18"/>
              </w:rPr>
              <w:t>unit)</w:t>
            </w:r>
          </w:p>
        </w:tc>
        <w:tc>
          <w:tcPr>
            <w:tcW w:w="1361" w:type="dxa"/>
            <w:shd w:val="clear" w:color="000000" w:fill="1B556B" w:themeFill="text2"/>
            <w:noWrap/>
            <w:vAlign w:val="bottom"/>
            <w:hideMark/>
          </w:tcPr>
          <w:p w14:paraId="20BA214F" w14:textId="201166F2" w:rsidR="008E2ED2" w:rsidRPr="0018386D" w:rsidRDefault="008E2ED2" w:rsidP="00DD3106">
            <w:pPr>
              <w:pStyle w:val="TableTextbold"/>
              <w:keepNext/>
              <w:spacing w:before="40" w:after="40"/>
              <w:rPr>
                <w:color w:val="FFFFFF" w:themeColor="background1"/>
                <w:szCs w:val="18"/>
              </w:rPr>
            </w:pPr>
            <w:r w:rsidRPr="0018386D">
              <w:rPr>
                <w:color w:val="FFFFFF" w:themeColor="background1"/>
                <w:szCs w:val="18"/>
              </w:rPr>
              <w:t>N₂O (kg CO₂-e/</w:t>
            </w:r>
            <w:r w:rsidR="00B601AF" w:rsidRPr="0018386D">
              <w:rPr>
                <w:color w:val="FFFFFF" w:themeColor="background1"/>
                <w:szCs w:val="18"/>
              </w:rPr>
              <w:t xml:space="preserve"> </w:t>
            </w:r>
            <w:r w:rsidRPr="0018386D">
              <w:rPr>
                <w:color w:val="FFFFFF" w:themeColor="background1"/>
                <w:szCs w:val="18"/>
              </w:rPr>
              <w:t>unit)</w:t>
            </w:r>
          </w:p>
        </w:tc>
      </w:tr>
      <w:tr w:rsidR="00B601AF" w:rsidRPr="0018386D" w14:paraId="08A7A56F"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57DB92D4" w14:textId="77777777" w:rsidR="008E2ED2" w:rsidRPr="0018386D" w:rsidRDefault="008E2ED2" w:rsidP="00DD3106">
            <w:pPr>
              <w:pStyle w:val="TableText"/>
              <w:keepNext/>
              <w:spacing w:before="40" w:after="40"/>
              <w:rPr>
                <w:szCs w:val="18"/>
              </w:rPr>
            </w:pPr>
            <w:r w:rsidRPr="0018386D">
              <w:rPr>
                <w:szCs w:val="18"/>
              </w:rPr>
              <w:t>Waste (known composition)</w:t>
            </w:r>
          </w:p>
        </w:tc>
        <w:tc>
          <w:tcPr>
            <w:tcW w:w="1588" w:type="dxa"/>
            <w:tcBorders>
              <w:left w:val="single" w:sz="4" w:space="0" w:color="1B556B" w:themeColor="text2"/>
            </w:tcBorders>
            <w:shd w:val="clear" w:color="000000" w:fill="FFFFFF"/>
            <w:noWrap/>
            <w:hideMark/>
          </w:tcPr>
          <w:p w14:paraId="1D9CA1B4" w14:textId="75A4FBFC" w:rsidR="008E2ED2" w:rsidRPr="0018386D" w:rsidRDefault="008E2ED2" w:rsidP="00DD3106">
            <w:pPr>
              <w:pStyle w:val="TableText"/>
              <w:keepNext/>
              <w:spacing w:before="40" w:after="40"/>
              <w:rPr>
                <w:szCs w:val="18"/>
              </w:rPr>
            </w:pPr>
            <w:r w:rsidRPr="0018386D">
              <w:rPr>
                <w:szCs w:val="18"/>
              </w:rPr>
              <w:t>Biological (sludge)</w:t>
            </w:r>
          </w:p>
        </w:tc>
        <w:tc>
          <w:tcPr>
            <w:tcW w:w="558" w:type="dxa"/>
            <w:shd w:val="clear" w:color="000000" w:fill="FFFFFF"/>
            <w:noWrap/>
            <w:hideMark/>
          </w:tcPr>
          <w:p w14:paraId="1CF4278C" w14:textId="77777777" w:rsidR="008E2ED2" w:rsidRPr="0018386D" w:rsidRDefault="008E2ED2" w:rsidP="00DD3106">
            <w:pPr>
              <w:pStyle w:val="TableText"/>
              <w:keepNext/>
              <w:spacing w:before="40" w:after="40"/>
              <w:rPr>
                <w:szCs w:val="18"/>
              </w:rPr>
            </w:pPr>
            <w:r w:rsidRPr="0018386D">
              <w:rPr>
                <w:szCs w:val="18"/>
              </w:rPr>
              <w:t>kg</w:t>
            </w:r>
          </w:p>
        </w:tc>
        <w:tc>
          <w:tcPr>
            <w:tcW w:w="1247" w:type="dxa"/>
            <w:shd w:val="clear" w:color="000000" w:fill="D2DDE1"/>
            <w:noWrap/>
            <w:hideMark/>
          </w:tcPr>
          <w:p w14:paraId="5D9DDF54" w14:textId="5563EE41" w:rsidR="008E2ED2" w:rsidRPr="0018386D" w:rsidRDefault="008E2ED2" w:rsidP="00DD3106">
            <w:pPr>
              <w:pStyle w:val="TableText"/>
              <w:keepNext/>
              <w:spacing w:before="40" w:after="40"/>
              <w:rPr>
                <w:szCs w:val="18"/>
              </w:rPr>
            </w:pPr>
            <w:r w:rsidRPr="0018386D">
              <w:rPr>
                <w:szCs w:val="18"/>
              </w:rPr>
              <w:t>0.196</w:t>
            </w:r>
          </w:p>
        </w:tc>
        <w:tc>
          <w:tcPr>
            <w:tcW w:w="1361" w:type="dxa"/>
            <w:shd w:val="clear" w:color="000000" w:fill="FFFFFF"/>
            <w:noWrap/>
            <w:hideMark/>
          </w:tcPr>
          <w:p w14:paraId="0C8D7F92" w14:textId="77777777" w:rsidR="008E2ED2" w:rsidRPr="0018386D" w:rsidRDefault="008E2ED2" w:rsidP="00DD3106">
            <w:pPr>
              <w:pStyle w:val="TableText"/>
              <w:keepNext/>
              <w:spacing w:before="40" w:after="40"/>
              <w:rPr>
                <w:szCs w:val="18"/>
              </w:rPr>
            </w:pPr>
            <w:r w:rsidRPr="0018386D">
              <w:rPr>
                <w:szCs w:val="18"/>
              </w:rPr>
              <w:t>n/a</w:t>
            </w:r>
          </w:p>
        </w:tc>
        <w:tc>
          <w:tcPr>
            <w:tcW w:w="1361" w:type="dxa"/>
            <w:shd w:val="clear" w:color="000000" w:fill="FFFFFF"/>
            <w:noWrap/>
            <w:hideMark/>
          </w:tcPr>
          <w:p w14:paraId="2B63C6A7" w14:textId="75B80941" w:rsidR="008E2ED2" w:rsidRPr="0018386D" w:rsidRDefault="008E2ED2" w:rsidP="00DD3106">
            <w:pPr>
              <w:pStyle w:val="TableText"/>
              <w:keepNext/>
              <w:spacing w:before="40" w:after="40"/>
              <w:rPr>
                <w:szCs w:val="18"/>
              </w:rPr>
            </w:pPr>
            <w:r w:rsidRPr="0018386D">
              <w:rPr>
                <w:szCs w:val="18"/>
              </w:rPr>
              <w:t>0.196</w:t>
            </w:r>
          </w:p>
        </w:tc>
        <w:tc>
          <w:tcPr>
            <w:tcW w:w="1361" w:type="dxa"/>
            <w:shd w:val="clear" w:color="000000" w:fill="FFFFFF"/>
            <w:noWrap/>
            <w:hideMark/>
          </w:tcPr>
          <w:p w14:paraId="2DC8BA81" w14:textId="77777777" w:rsidR="008E2ED2" w:rsidRPr="0018386D" w:rsidRDefault="008E2ED2" w:rsidP="00DD3106">
            <w:pPr>
              <w:pStyle w:val="TableText"/>
              <w:keepNext/>
              <w:spacing w:before="40" w:after="40"/>
              <w:rPr>
                <w:szCs w:val="18"/>
              </w:rPr>
            </w:pPr>
            <w:r w:rsidRPr="0018386D">
              <w:rPr>
                <w:szCs w:val="18"/>
              </w:rPr>
              <w:t>n/a</w:t>
            </w:r>
          </w:p>
        </w:tc>
      </w:tr>
      <w:tr w:rsidR="00B601AF" w:rsidRPr="0018386D" w14:paraId="10A01739"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22823A24" w14:textId="77777777" w:rsidR="008E2ED2" w:rsidRPr="0018386D" w:rsidRDefault="008E2ED2" w:rsidP="00DD3106">
            <w:pPr>
              <w:pStyle w:val="TableText"/>
              <w:keepN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78FD2DFF" w14:textId="3047F40E" w:rsidR="008E2ED2" w:rsidRPr="0018386D" w:rsidRDefault="008E2ED2" w:rsidP="00DD3106">
            <w:pPr>
              <w:pStyle w:val="TableText"/>
              <w:keepNext/>
              <w:spacing w:before="40" w:after="40"/>
              <w:rPr>
                <w:szCs w:val="18"/>
              </w:rPr>
            </w:pPr>
            <w:r w:rsidRPr="0018386D">
              <w:rPr>
                <w:szCs w:val="18"/>
              </w:rPr>
              <w:t xml:space="preserve">Construction &amp; </w:t>
            </w:r>
            <w:r w:rsidR="00C724CC" w:rsidRPr="0018386D">
              <w:rPr>
                <w:szCs w:val="18"/>
              </w:rPr>
              <w:t>d</w:t>
            </w:r>
            <w:r w:rsidRPr="0018386D">
              <w:rPr>
                <w:szCs w:val="18"/>
              </w:rPr>
              <w:t>emolition</w:t>
            </w:r>
          </w:p>
        </w:tc>
        <w:tc>
          <w:tcPr>
            <w:tcW w:w="558" w:type="dxa"/>
            <w:shd w:val="clear" w:color="000000" w:fill="FFFFFF"/>
            <w:noWrap/>
            <w:hideMark/>
          </w:tcPr>
          <w:p w14:paraId="23DA9550" w14:textId="77777777" w:rsidR="008E2ED2" w:rsidRPr="0018386D" w:rsidRDefault="008E2ED2" w:rsidP="00DD3106">
            <w:pPr>
              <w:pStyle w:val="TableText"/>
              <w:keepNext/>
              <w:spacing w:before="40" w:after="40"/>
              <w:rPr>
                <w:szCs w:val="18"/>
              </w:rPr>
            </w:pPr>
            <w:r w:rsidRPr="0018386D">
              <w:rPr>
                <w:szCs w:val="18"/>
              </w:rPr>
              <w:t>kg</w:t>
            </w:r>
          </w:p>
        </w:tc>
        <w:tc>
          <w:tcPr>
            <w:tcW w:w="1247" w:type="dxa"/>
            <w:shd w:val="clear" w:color="000000" w:fill="D2DDE1"/>
            <w:noWrap/>
            <w:hideMark/>
          </w:tcPr>
          <w:p w14:paraId="139ED357" w14:textId="536A9739" w:rsidR="008E2ED2" w:rsidRPr="0018386D" w:rsidRDefault="008E2ED2" w:rsidP="00DD3106">
            <w:pPr>
              <w:pStyle w:val="TableText"/>
              <w:keepNext/>
              <w:spacing w:before="40" w:after="40"/>
              <w:rPr>
                <w:szCs w:val="18"/>
              </w:rPr>
            </w:pPr>
            <w:r w:rsidRPr="0018386D">
              <w:rPr>
                <w:szCs w:val="18"/>
              </w:rPr>
              <w:t>0.157</w:t>
            </w:r>
          </w:p>
        </w:tc>
        <w:tc>
          <w:tcPr>
            <w:tcW w:w="1361" w:type="dxa"/>
            <w:shd w:val="clear" w:color="000000" w:fill="FFFFFF"/>
            <w:noWrap/>
            <w:hideMark/>
          </w:tcPr>
          <w:p w14:paraId="4F1E69B3" w14:textId="77777777" w:rsidR="008E2ED2" w:rsidRPr="0018386D" w:rsidRDefault="008E2ED2" w:rsidP="00DD3106">
            <w:pPr>
              <w:pStyle w:val="TableText"/>
              <w:keepNext/>
              <w:spacing w:before="40" w:after="40"/>
              <w:rPr>
                <w:szCs w:val="18"/>
              </w:rPr>
            </w:pPr>
            <w:r w:rsidRPr="0018386D">
              <w:rPr>
                <w:szCs w:val="18"/>
              </w:rPr>
              <w:t>n/a</w:t>
            </w:r>
          </w:p>
        </w:tc>
        <w:tc>
          <w:tcPr>
            <w:tcW w:w="1361" w:type="dxa"/>
            <w:shd w:val="clear" w:color="000000" w:fill="FFFFFF"/>
            <w:noWrap/>
            <w:hideMark/>
          </w:tcPr>
          <w:p w14:paraId="5CC9E19A" w14:textId="3B385341" w:rsidR="008E2ED2" w:rsidRPr="0018386D" w:rsidRDefault="008E2ED2" w:rsidP="00DD3106">
            <w:pPr>
              <w:pStyle w:val="TableText"/>
              <w:keepNext/>
              <w:spacing w:before="40" w:after="40"/>
              <w:rPr>
                <w:szCs w:val="18"/>
              </w:rPr>
            </w:pPr>
            <w:r w:rsidRPr="0018386D">
              <w:rPr>
                <w:szCs w:val="18"/>
              </w:rPr>
              <w:t>0.157</w:t>
            </w:r>
          </w:p>
        </w:tc>
        <w:tc>
          <w:tcPr>
            <w:tcW w:w="1361" w:type="dxa"/>
            <w:shd w:val="clear" w:color="000000" w:fill="FFFFFF"/>
            <w:noWrap/>
            <w:hideMark/>
          </w:tcPr>
          <w:p w14:paraId="47E0A829" w14:textId="77777777" w:rsidR="008E2ED2" w:rsidRPr="0018386D" w:rsidRDefault="008E2ED2" w:rsidP="00DD3106">
            <w:pPr>
              <w:pStyle w:val="TableText"/>
              <w:keepNext/>
              <w:spacing w:before="40" w:after="40"/>
              <w:rPr>
                <w:szCs w:val="18"/>
              </w:rPr>
            </w:pPr>
            <w:r w:rsidRPr="0018386D">
              <w:rPr>
                <w:szCs w:val="18"/>
              </w:rPr>
              <w:t>n/a</w:t>
            </w:r>
          </w:p>
        </w:tc>
      </w:tr>
      <w:tr w:rsidR="00B601AF" w:rsidRPr="0018386D" w14:paraId="738F1C2E"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68A78F84" w14:textId="77777777" w:rsidR="008E2ED2" w:rsidRPr="0018386D" w:rsidRDefault="008E2ED2" w:rsidP="00DD3106">
            <w:pPr>
              <w:pStyle w:val="TableT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7F39A26D" w14:textId="7ADEAD84" w:rsidR="008E2ED2" w:rsidRPr="0018386D" w:rsidRDefault="008E2ED2" w:rsidP="00DD3106">
            <w:pPr>
              <w:pStyle w:val="TableText"/>
              <w:spacing w:before="40" w:after="40"/>
              <w:rPr>
                <w:szCs w:val="18"/>
              </w:rPr>
            </w:pPr>
            <w:r w:rsidRPr="0018386D">
              <w:rPr>
                <w:szCs w:val="18"/>
              </w:rPr>
              <w:t xml:space="preserve">Bulk </w:t>
            </w:r>
            <w:r w:rsidR="00C724CC" w:rsidRPr="0018386D">
              <w:rPr>
                <w:szCs w:val="18"/>
              </w:rPr>
              <w:t>w</w:t>
            </w:r>
            <w:r w:rsidRPr="0018386D">
              <w:rPr>
                <w:szCs w:val="18"/>
              </w:rPr>
              <w:t>aste</w:t>
            </w:r>
          </w:p>
        </w:tc>
        <w:tc>
          <w:tcPr>
            <w:tcW w:w="558" w:type="dxa"/>
            <w:shd w:val="clear" w:color="000000" w:fill="FFFFFF"/>
            <w:noWrap/>
            <w:hideMark/>
          </w:tcPr>
          <w:p w14:paraId="611929E1" w14:textId="77777777" w:rsidR="008E2ED2" w:rsidRPr="0018386D" w:rsidRDefault="008E2ED2" w:rsidP="00DD3106">
            <w:pPr>
              <w:pStyle w:val="TableText"/>
              <w:spacing w:before="40" w:after="40"/>
              <w:rPr>
                <w:szCs w:val="18"/>
              </w:rPr>
            </w:pPr>
            <w:r w:rsidRPr="0018386D">
              <w:rPr>
                <w:szCs w:val="18"/>
              </w:rPr>
              <w:t>kg</w:t>
            </w:r>
          </w:p>
        </w:tc>
        <w:tc>
          <w:tcPr>
            <w:tcW w:w="1247" w:type="dxa"/>
            <w:shd w:val="clear" w:color="000000" w:fill="D2DDE1"/>
            <w:noWrap/>
            <w:hideMark/>
          </w:tcPr>
          <w:p w14:paraId="1D68875D" w14:textId="4BB3970A" w:rsidR="008E2ED2" w:rsidRPr="0018386D" w:rsidRDefault="008E2ED2" w:rsidP="00DD3106">
            <w:pPr>
              <w:pStyle w:val="TableText"/>
              <w:spacing w:before="40" w:after="40"/>
              <w:rPr>
                <w:szCs w:val="18"/>
              </w:rPr>
            </w:pPr>
            <w:r w:rsidRPr="0018386D">
              <w:rPr>
                <w:szCs w:val="18"/>
              </w:rPr>
              <w:t>1.10</w:t>
            </w:r>
          </w:p>
        </w:tc>
        <w:tc>
          <w:tcPr>
            <w:tcW w:w="1361" w:type="dxa"/>
            <w:shd w:val="clear" w:color="000000" w:fill="FFFFFF"/>
            <w:noWrap/>
            <w:hideMark/>
          </w:tcPr>
          <w:p w14:paraId="4E1DC078"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666D9295" w14:textId="43B63EAA" w:rsidR="008E2ED2" w:rsidRPr="0018386D" w:rsidRDefault="008E2ED2" w:rsidP="00DD3106">
            <w:pPr>
              <w:pStyle w:val="TableText"/>
              <w:spacing w:before="40" w:after="40"/>
              <w:rPr>
                <w:szCs w:val="18"/>
              </w:rPr>
            </w:pPr>
            <w:r w:rsidRPr="0018386D">
              <w:rPr>
                <w:szCs w:val="18"/>
              </w:rPr>
              <w:t>1.10</w:t>
            </w:r>
          </w:p>
        </w:tc>
        <w:tc>
          <w:tcPr>
            <w:tcW w:w="1361" w:type="dxa"/>
            <w:shd w:val="clear" w:color="000000" w:fill="FFFFFF"/>
            <w:noWrap/>
            <w:hideMark/>
          </w:tcPr>
          <w:p w14:paraId="149D59EA" w14:textId="77777777" w:rsidR="008E2ED2" w:rsidRPr="0018386D" w:rsidRDefault="008E2ED2" w:rsidP="00DD3106">
            <w:pPr>
              <w:pStyle w:val="TableText"/>
              <w:spacing w:before="40" w:after="40"/>
              <w:rPr>
                <w:szCs w:val="18"/>
              </w:rPr>
            </w:pPr>
            <w:r w:rsidRPr="0018386D">
              <w:rPr>
                <w:szCs w:val="18"/>
              </w:rPr>
              <w:t>n/a</w:t>
            </w:r>
          </w:p>
        </w:tc>
      </w:tr>
      <w:tr w:rsidR="00B601AF" w:rsidRPr="0018386D" w14:paraId="1BE31C50"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5438F710" w14:textId="77777777" w:rsidR="008E2ED2" w:rsidRPr="0018386D" w:rsidRDefault="008E2ED2" w:rsidP="00DD3106">
            <w:pPr>
              <w:pStyle w:val="TableT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286AFF73" w14:textId="77777777" w:rsidR="008E2ED2" w:rsidRPr="0018386D" w:rsidRDefault="008E2ED2" w:rsidP="00DD3106">
            <w:pPr>
              <w:pStyle w:val="TableText"/>
              <w:spacing w:before="40" w:after="40"/>
              <w:rPr>
                <w:szCs w:val="18"/>
              </w:rPr>
            </w:pPr>
            <w:r w:rsidRPr="0018386D">
              <w:rPr>
                <w:szCs w:val="18"/>
              </w:rPr>
              <w:t>Food</w:t>
            </w:r>
          </w:p>
        </w:tc>
        <w:tc>
          <w:tcPr>
            <w:tcW w:w="558" w:type="dxa"/>
            <w:shd w:val="clear" w:color="000000" w:fill="FFFFFF"/>
            <w:noWrap/>
            <w:hideMark/>
          </w:tcPr>
          <w:p w14:paraId="2BD6A211" w14:textId="77777777" w:rsidR="008E2ED2" w:rsidRPr="0018386D" w:rsidRDefault="008E2ED2" w:rsidP="00DD3106">
            <w:pPr>
              <w:pStyle w:val="TableText"/>
              <w:spacing w:before="40" w:after="40"/>
              <w:rPr>
                <w:szCs w:val="18"/>
              </w:rPr>
            </w:pPr>
            <w:r w:rsidRPr="0018386D">
              <w:rPr>
                <w:szCs w:val="18"/>
              </w:rPr>
              <w:t>kg</w:t>
            </w:r>
          </w:p>
        </w:tc>
        <w:tc>
          <w:tcPr>
            <w:tcW w:w="1247" w:type="dxa"/>
            <w:shd w:val="clear" w:color="000000" w:fill="D2DDE1"/>
            <w:noWrap/>
            <w:hideMark/>
          </w:tcPr>
          <w:p w14:paraId="64141DFF" w14:textId="418EC60A" w:rsidR="008E2ED2" w:rsidRPr="0018386D" w:rsidRDefault="008E2ED2" w:rsidP="00DD3106">
            <w:pPr>
              <w:pStyle w:val="TableText"/>
              <w:spacing w:before="40" w:after="40"/>
              <w:rPr>
                <w:szCs w:val="18"/>
              </w:rPr>
            </w:pPr>
            <w:r w:rsidRPr="0018386D">
              <w:rPr>
                <w:szCs w:val="18"/>
              </w:rPr>
              <w:t>0.588</w:t>
            </w:r>
          </w:p>
        </w:tc>
        <w:tc>
          <w:tcPr>
            <w:tcW w:w="1361" w:type="dxa"/>
            <w:shd w:val="clear" w:color="000000" w:fill="FFFFFF"/>
            <w:noWrap/>
            <w:hideMark/>
          </w:tcPr>
          <w:p w14:paraId="72CFA5D6"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2319F9A8" w14:textId="1D505603" w:rsidR="008E2ED2" w:rsidRPr="0018386D" w:rsidRDefault="008E2ED2" w:rsidP="00DD3106">
            <w:pPr>
              <w:pStyle w:val="TableText"/>
              <w:spacing w:before="40" w:after="40"/>
              <w:rPr>
                <w:szCs w:val="18"/>
              </w:rPr>
            </w:pPr>
            <w:r w:rsidRPr="0018386D">
              <w:rPr>
                <w:szCs w:val="18"/>
              </w:rPr>
              <w:t>0.588</w:t>
            </w:r>
          </w:p>
        </w:tc>
        <w:tc>
          <w:tcPr>
            <w:tcW w:w="1361" w:type="dxa"/>
            <w:shd w:val="clear" w:color="000000" w:fill="FFFFFF"/>
            <w:noWrap/>
            <w:hideMark/>
          </w:tcPr>
          <w:p w14:paraId="368B5FB3" w14:textId="77777777" w:rsidR="008E2ED2" w:rsidRPr="0018386D" w:rsidRDefault="008E2ED2" w:rsidP="00DD3106">
            <w:pPr>
              <w:pStyle w:val="TableText"/>
              <w:spacing w:before="40" w:after="40"/>
              <w:rPr>
                <w:szCs w:val="18"/>
              </w:rPr>
            </w:pPr>
            <w:r w:rsidRPr="0018386D">
              <w:rPr>
                <w:szCs w:val="18"/>
              </w:rPr>
              <w:t>n/a</w:t>
            </w:r>
          </w:p>
        </w:tc>
      </w:tr>
      <w:tr w:rsidR="00B601AF" w:rsidRPr="0018386D" w14:paraId="57C6E5CF"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72C1EB12" w14:textId="77777777" w:rsidR="008E2ED2" w:rsidRPr="0018386D" w:rsidRDefault="008E2ED2" w:rsidP="00DD3106">
            <w:pPr>
              <w:pStyle w:val="TableT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146412B8" w14:textId="77777777" w:rsidR="008E2ED2" w:rsidRPr="0018386D" w:rsidRDefault="008E2ED2" w:rsidP="00DD3106">
            <w:pPr>
              <w:pStyle w:val="TableText"/>
              <w:spacing w:before="40" w:after="40"/>
              <w:rPr>
                <w:szCs w:val="18"/>
              </w:rPr>
            </w:pPr>
            <w:r w:rsidRPr="0018386D">
              <w:rPr>
                <w:szCs w:val="18"/>
              </w:rPr>
              <w:t>Garden</w:t>
            </w:r>
          </w:p>
        </w:tc>
        <w:tc>
          <w:tcPr>
            <w:tcW w:w="558" w:type="dxa"/>
            <w:shd w:val="clear" w:color="000000" w:fill="FFFFFF"/>
            <w:noWrap/>
            <w:hideMark/>
          </w:tcPr>
          <w:p w14:paraId="5E2ED603" w14:textId="77777777" w:rsidR="008E2ED2" w:rsidRPr="0018386D" w:rsidRDefault="008E2ED2" w:rsidP="00DD3106">
            <w:pPr>
              <w:pStyle w:val="TableText"/>
              <w:spacing w:before="40" w:after="40"/>
              <w:rPr>
                <w:szCs w:val="18"/>
              </w:rPr>
            </w:pPr>
            <w:r w:rsidRPr="0018386D">
              <w:rPr>
                <w:szCs w:val="18"/>
              </w:rPr>
              <w:t>kg</w:t>
            </w:r>
          </w:p>
        </w:tc>
        <w:tc>
          <w:tcPr>
            <w:tcW w:w="1247" w:type="dxa"/>
            <w:shd w:val="clear" w:color="000000" w:fill="D2DDE1"/>
            <w:noWrap/>
            <w:hideMark/>
          </w:tcPr>
          <w:p w14:paraId="45D521A2" w14:textId="2E00658B" w:rsidR="008E2ED2" w:rsidRPr="0018386D" w:rsidRDefault="008E2ED2" w:rsidP="00DD3106">
            <w:pPr>
              <w:pStyle w:val="TableText"/>
              <w:spacing w:before="40" w:after="40"/>
              <w:rPr>
                <w:szCs w:val="18"/>
              </w:rPr>
            </w:pPr>
            <w:r w:rsidRPr="0018386D">
              <w:rPr>
                <w:szCs w:val="18"/>
              </w:rPr>
              <w:t>0.784</w:t>
            </w:r>
          </w:p>
        </w:tc>
        <w:tc>
          <w:tcPr>
            <w:tcW w:w="1361" w:type="dxa"/>
            <w:shd w:val="clear" w:color="000000" w:fill="FFFFFF"/>
            <w:noWrap/>
            <w:hideMark/>
          </w:tcPr>
          <w:p w14:paraId="1C7816F3"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46152C9D" w14:textId="60443EAA" w:rsidR="008E2ED2" w:rsidRPr="0018386D" w:rsidRDefault="008E2ED2" w:rsidP="00DD3106">
            <w:pPr>
              <w:pStyle w:val="TableText"/>
              <w:spacing w:before="40" w:after="40"/>
              <w:rPr>
                <w:szCs w:val="18"/>
              </w:rPr>
            </w:pPr>
            <w:r w:rsidRPr="0018386D">
              <w:rPr>
                <w:szCs w:val="18"/>
              </w:rPr>
              <w:t>0.784</w:t>
            </w:r>
          </w:p>
        </w:tc>
        <w:tc>
          <w:tcPr>
            <w:tcW w:w="1361" w:type="dxa"/>
            <w:shd w:val="clear" w:color="000000" w:fill="FFFFFF"/>
            <w:noWrap/>
            <w:hideMark/>
          </w:tcPr>
          <w:p w14:paraId="355D4FB0" w14:textId="77777777" w:rsidR="008E2ED2" w:rsidRPr="0018386D" w:rsidRDefault="008E2ED2" w:rsidP="00DD3106">
            <w:pPr>
              <w:pStyle w:val="TableText"/>
              <w:spacing w:before="40" w:after="40"/>
              <w:rPr>
                <w:szCs w:val="18"/>
              </w:rPr>
            </w:pPr>
            <w:r w:rsidRPr="0018386D">
              <w:rPr>
                <w:szCs w:val="18"/>
              </w:rPr>
              <w:t>n/a</w:t>
            </w:r>
          </w:p>
        </w:tc>
      </w:tr>
      <w:tr w:rsidR="00B601AF" w:rsidRPr="0018386D" w14:paraId="0A5D1A62"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046B0BFF" w14:textId="77777777" w:rsidR="008E2ED2" w:rsidRPr="0018386D" w:rsidRDefault="008E2ED2" w:rsidP="00DD3106">
            <w:pPr>
              <w:pStyle w:val="TableT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19B7E84A" w14:textId="77777777" w:rsidR="008E2ED2" w:rsidRPr="0018386D" w:rsidRDefault="008E2ED2" w:rsidP="00DD3106">
            <w:pPr>
              <w:pStyle w:val="TableText"/>
              <w:spacing w:before="40" w:after="40"/>
              <w:rPr>
                <w:szCs w:val="18"/>
              </w:rPr>
            </w:pPr>
            <w:r w:rsidRPr="0018386D">
              <w:rPr>
                <w:szCs w:val="18"/>
              </w:rPr>
              <w:t>Industrial</w:t>
            </w:r>
          </w:p>
        </w:tc>
        <w:tc>
          <w:tcPr>
            <w:tcW w:w="558" w:type="dxa"/>
            <w:shd w:val="clear" w:color="000000" w:fill="FFFFFF"/>
            <w:noWrap/>
            <w:hideMark/>
          </w:tcPr>
          <w:p w14:paraId="3F5730A1" w14:textId="77777777" w:rsidR="008E2ED2" w:rsidRPr="0018386D" w:rsidRDefault="008E2ED2" w:rsidP="00DD3106">
            <w:pPr>
              <w:pStyle w:val="TableText"/>
              <w:spacing w:before="40" w:after="40"/>
              <w:rPr>
                <w:szCs w:val="18"/>
              </w:rPr>
            </w:pPr>
            <w:r w:rsidRPr="0018386D">
              <w:rPr>
                <w:szCs w:val="18"/>
              </w:rPr>
              <w:t>kg</w:t>
            </w:r>
          </w:p>
        </w:tc>
        <w:tc>
          <w:tcPr>
            <w:tcW w:w="1247" w:type="dxa"/>
            <w:shd w:val="clear" w:color="000000" w:fill="D2DDE1"/>
            <w:noWrap/>
            <w:hideMark/>
          </w:tcPr>
          <w:p w14:paraId="0EF170D9" w14:textId="3524F04D" w:rsidR="008E2ED2" w:rsidRPr="0018386D" w:rsidRDefault="008E2ED2" w:rsidP="00DD3106">
            <w:pPr>
              <w:pStyle w:val="TableText"/>
              <w:spacing w:before="40" w:after="40"/>
              <w:rPr>
                <w:szCs w:val="18"/>
              </w:rPr>
            </w:pPr>
            <w:r w:rsidRPr="0018386D">
              <w:rPr>
                <w:szCs w:val="18"/>
              </w:rPr>
              <w:t>0.588</w:t>
            </w:r>
          </w:p>
        </w:tc>
        <w:tc>
          <w:tcPr>
            <w:tcW w:w="1361" w:type="dxa"/>
            <w:shd w:val="clear" w:color="000000" w:fill="FFFFFF"/>
            <w:noWrap/>
            <w:hideMark/>
          </w:tcPr>
          <w:p w14:paraId="5F82FEEF"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3F7B0951" w14:textId="65238D11" w:rsidR="008E2ED2" w:rsidRPr="0018386D" w:rsidRDefault="008E2ED2" w:rsidP="00DD3106">
            <w:pPr>
              <w:pStyle w:val="TableText"/>
              <w:spacing w:before="40" w:after="40"/>
              <w:rPr>
                <w:szCs w:val="18"/>
              </w:rPr>
            </w:pPr>
            <w:r w:rsidRPr="0018386D">
              <w:rPr>
                <w:szCs w:val="18"/>
              </w:rPr>
              <w:t>0.588</w:t>
            </w:r>
          </w:p>
        </w:tc>
        <w:tc>
          <w:tcPr>
            <w:tcW w:w="1361" w:type="dxa"/>
            <w:shd w:val="clear" w:color="000000" w:fill="FFFFFF"/>
            <w:noWrap/>
            <w:hideMark/>
          </w:tcPr>
          <w:p w14:paraId="6E2130E1" w14:textId="77777777" w:rsidR="008E2ED2" w:rsidRPr="0018386D" w:rsidRDefault="008E2ED2" w:rsidP="00DD3106">
            <w:pPr>
              <w:pStyle w:val="TableText"/>
              <w:spacing w:before="40" w:after="40"/>
              <w:rPr>
                <w:szCs w:val="18"/>
              </w:rPr>
            </w:pPr>
            <w:r w:rsidRPr="0018386D">
              <w:rPr>
                <w:szCs w:val="18"/>
              </w:rPr>
              <w:t>n/a</w:t>
            </w:r>
          </w:p>
        </w:tc>
      </w:tr>
      <w:tr w:rsidR="00B601AF" w:rsidRPr="0018386D" w14:paraId="68D48552"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30C9D1C8" w14:textId="77777777" w:rsidR="008E2ED2" w:rsidRPr="0018386D" w:rsidRDefault="008E2ED2" w:rsidP="00DD3106">
            <w:pPr>
              <w:pStyle w:val="TableT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4981B7A1" w14:textId="77777777" w:rsidR="008E2ED2" w:rsidRPr="0018386D" w:rsidRDefault="008E2ED2" w:rsidP="00DD3106">
            <w:pPr>
              <w:pStyle w:val="TableText"/>
              <w:spacing w:before="40" w:after="40"/>
              <w:rPr>
                <w:szCs w:val="18"/>
              </w:rPr>
            </w:pPr>
            <w:r w:rsidRPr="0018386D">
              <w:rPr>
                <w:szCs w:val="18"/>
              </w:rPr>
              <w:t>Wood</w:t>
            </w:r>
          </w:p>
        </w:tc>
        <w:tc>
          <w:tcPr>
            <w:tcW w:w="558" w:type="dxa"/>
            <w:shd w:val="clear" w:color="000000" w:fill="FFFFFF"/>
            <w:noWrap/>
            <w:hideMark/>
          </w:tcPr>
          <w:p w14:paraId="106E6A64" w14:textId="77777777" w:rsidR="008E2ED2" w:rsidRPr="0018386D" w:rsidRDefault="008E2ED2" w:rsidP="00DD3106">
            <w:pPr>
              <w:pStyle w:val="TableText"/>
              <w:spacing w:before="40" w:after="40"/>
              <w:rPr>
                <w:szCs w:val="18"/>
              </w:rPr>
            </w:pPr>
            <w:r w:rsidRPr="0018386D">
              <w:rPr>
                <w:szCs w:val="18"/>
              </w:rPr>
              <w:t>kg</w:t>
            </w:r>
          </w:p>
        </w:tc>
        <w:tc>
          <w:tcPr>
            <w:tcW w:w="1247" w:type="dxa"/>
            <w:shd w:val="clear" w:color="000000" w:fill="D2DDE1"/>
            <w:noWrap/>
            <w:hideMark/>
          </w:tcPr>
          <w:p w14:paraId="76F43C11" w14:textId="1FE7AFE0" w:rsidR="008E2ED2" w:rsidRPr="0018386D" w:rsidRDefault="008E2ED2" w:rsidP="00DD3106">
            <w:pPr>
              <w:pStyle w:val="TableText"/>
              <w:spacing w:before="40" w:after="40"/>
              <w:rPr>
                <w:szCs w:val="18"/>
              </w:rPr>
            </w:pPr>
            <w:r w:rsidRPr="0018386D">
              <w:rPr>
                <w:szCs w:val="18"/>
              </w:rPr>
              <w:t>1.33</w:t>
            </w:r>
          </w:p>
        </w:tc>
        <w:tc>
          <w:tcPr>
            <w:tcW w:w="1361" w:type="dxa"/>
            <w:shd w:val="clear" w:color="000000" w:fill="FFFFFF"/>
            <w:noWrap/>
            <w:hideMark/>
          </w:tcPr>
          <w:p w14:paraId="12B14BCB"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36B568B6" w14:textId="1652F108" w:rsidR="008E2ED2" w:rsidRPr="0018386D" w:rsidRDefault="008E2ED2" w:rsidP="00DD3106">
            <w:pPr>
              <w:pStyle w:val="TableText"/>
              <w:spacing w:before="40" w:after="40"/>
              <w:rPr>
                <w:szCs w:val="18"/>
              </w:rPr>
            </w:pPr>
            <w:r w:rsidRPr="0018386D">
              <w:rPr>
                <w:szCs w:val="18"/>
              </w:rPr>
              <w:t>1.33</w:t>
            </w:r>
          </w:p>
        </w:tc>
        <w:tc>
          <w:tcPr>
            <w:tcW w:w="1361" w:type="dxa"/>
            <w:shd w:val="clear" w:color="000000" w:fill="FFFFFF"/>
            <w:noWrap/>
            <w:hideMark/>
          </w:tcPr>
          <w:p w14:paraId="687EF045" w14:textId="77777777" w:rsidR="008E2ED2" w:rsidRPr="0018386D" w:rsidRDefault="008E2ED2" w:rsidP="00DD3106">
            <w:pPr>
              <w:pStyle w:val="TableText"/>
              <w:spacing w:before="40" w:after="40"/>
              <w:rPr>
                <w:szCs w:val="18"/>
              </w:rPr>
            </w:pPr>
            <w:r w:rsidRPr="0018386D">
              <w:rPr>
                <w:szCs w:val="18"/>
              </w:rPr>
              <w:t>n/a</w:t>
            </w:r>
          </w:p>
        </w:tc>
      </w:tr>
      <w:tr w:rsidR="00B601AF" w:rsidRPr="0018386D" w14:paraId="1663B814" w14:textId="77777777" w:rsidTr="00575E53">
        <w:trPr>
          <w:divId w:val="687367331"/>
          <w:trHeight w:val="240"/>
        </w:trPr>
        <w:tc>
          <w:tcPr>
            <w:tcW w:w="1418" w:type="dxa"/>
            <w:tcBorders>
              <w:top w:val="nil"/>
              <w:bottom w:val="nil"/>
              <w:right w:val="single" w:sz="4" w:space="0" w:color="1B556B" w:themeColor="text2"/>
            </w:tcBorders>
            <w:shd w:val="clear" w:color="000000" w:fill="FFFFFF"/>
            <w:noWrap/>
            <w:hideMark/>
          </w:tcPr>
          <w:p w14:paraId="3C0B771A" w14:textId="77777777" w:rsidR="008E2ED2" w:rsidRPr="0018386D" w:rsidRDefault="008E2ED2" w:rsidP="00DD3106">
            <w:pPr>
              <w:pStyle w:val="TableT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1EE4F1E5" w14:textId="77777777" w:rsidR="008E2ED2" w:rsidRPr="0018386D" w:rsidRDefault="008E2ED2" w:rsidP="00DD3106">
            <w:pPr>
              <w:pStyle w:val="TableText"/>
              <w:spacing w:before="40" w:after="40"/>
              <w:rPr>
                <w:szCs w:val="18"/>
              </w:rPr>
            </w:pPr>
            <w:r w:rsidRPr="0018386D">
              <w:rPr>
                <w:szCs w:val="18"/>
              </w:rPr>
              <w:t>Inert (all other waste)</w:t>
            </w:r>
          </w:p>
        </w:tc>
        <w:tc>
          <w:tcPr>
            <w:tcW w:w="558" w:type="dxa"/>
            <w:shd w:val="clear" w:color="000000" w:fill="FFFFFF"/>
            <w:noWrap/>
            <w:hideMark/>
          </w:tcPr>
          <w:p w14:paraId="5020A2AD" w14:textId="77777777" w:rsidR="008E2ED2" w:rsidRPr="0018386D" w:rsidRDefault="008E2ED2" w:rsidP="00DD3106">
            <w:pPr>
              <w:pStyle w:val="TableText"/>
              <w:spacing w:before="40" w:after="40"/>
              <w:rPr>
                <w:szCs w:val="18"/>
              </w:rPr>
            </w:pPr>
            <w:r w:rsidRPr="0018386D">
              <w:rPr>
                <w:szCs w:val="18"/>
              </w:rPr>
              <w:t>kg</w:t>
            </w:r>
          </w:p>
        </w:tc>
        <w:tc>
          <w:tcPr>
            <w:tcW w:w="1247" w:type="dxa"/>
            <w:shd w:val="clear" w:color="auto" w:fill="D2DDE1"/>
            <w:noWrap/>
            <w:hideMark/>
          </w:tcPr>
          <w:p w14:paraId="0F0DA170"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18F71052"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5939C9F7"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19060111" w14:textId="77777777" w:rsidR="008E2ED2" w:rsidRPr="0018386D" w:rsidRDefault="008E2ED2" w:rsidP="00DD3106">
            <w:pPr>
              <w:pStyle w:val="TableText"/>
              <w:spacing w:before="40" w:after="40"/>
              <w:rPr>
                <w:szCs w:val="18"/>
              </w:rPr>
            </w:pPr>
            <w:r w:rsidRPr="0018386D">
              <w:rPr>
                <w:szCs w:val="18"/>
              </w:rPr>
              <w:t>n/a</w:t>
            </w:r>
          </w:p>
        </w:tc>
      </w:tr>
      <w:tr w:rsidR="000A1D56" w:rsidRPr="0018386D" w14:paraId="12BCBB76" w14:textId="77777777" w:rsidTr="006968AF">
        <w:trPr>
          <w:divId w:val="687367331"/>
          <w:trHeight w:val="240"/>
        </w:trPr>
        <w:tc>
          <w:tcPr>
            <w:tcW w:w="1418" w:type="dxa"/>
            <w:tcBorders>
              <w:top w:val="nil"/>
              <w:bottom w:val="single" w:sz="4" w:space="0" w:color="1B556B" w:themeColor="text2"/>
              <w:right w:val="single" w:sz="4" w:space="0" w:color="1B556B" w:themeColor="text2"/>
            </w:tcBorders>
            <w:shd w:val="clear" w:color="000000" w:fill="FFFFFF"/>
            <w:noWrap/>
            <w:hideMark/>
          </w:tcPr>
          <w:p w14:paraId="0A999503" w14:textId="77777777" w:rsidR="008E2ED2" w:rsidRPr="0018386D" w:rsidRDefault="008E2ED2" w:rsidP="00DD3106">
            <w:pPr>
              <w:pStyle w:val="TableText"/>
              <w:spacing w:before="40" w:after="40"/>
              <w:rPr>
                <w:szCs w:val="18"/>
              </w:rPr>
            </w:pPr>
            <w:r w:rsidRPr="0018386D">
              <w:rPr>
                <w:szCs w:val="18"/>
              </w:rPr>
              <w:t> </w:t>
            </w:r>
          </w:p>
        </w:tc>
        <w:tc>
          <w:tcPr>
            <w:tcW w:w="1588" w:type="dxa"/>
            <w:tcBorders>
              <w:left w:val="single" w:sz="4" w:space="0" w:color="1B556B" w:themeColor="text2"/>
            </w:tcBorders>
            <w:shd w:val="clear" w:color="000000" w:fill="FFFFFF"/>
            <w:noWrap/>
            <w:hideMark/>
          </w:tcPr>
          <w:p w14:paraId="40F63AFA" w14:textId="77777777" w:rsidR="008E2ED2" w:rsidRPr="0018386D" w:rsidRDefault="008E2ED2" w:rsidP="00DD3106">
            <w:pPr>
              <w:pStyle w:val="TableText"/>
              <w:spacing w:before="40" w:after="40"/>
              <w:rPr>
                <w:szCs w:val="18"/>
              </w:rPr>
            </w:pPr>
            <w:r w:rsidRPr="0018386D">
              <w:rPr>
                <w:szCs w:val="18"/>
              </w:rPr>
              <w:t>Average for non-municipal solid waste</w:t>
            </w:r>
          </w:p>
        </w:tc>
        <w:tc>
          <w:tcPr>
            <w:tcW w:w="558" w:type="dxa"/>
            <w:shd w:val="clear" w:color="000000" w:fill="FFFFFF"/>
            <w:noWrap/>
            <w:hideMark/>
          </w:tcPr>
          <w:p w14:paraId="41416D13" w14:textId="77777777" w:rsidR="008E2ED2" w:rsidRPr="0018386D" w:rsidRDefault="008E2ED2" w:rsidP="00DD3106">
            <w:pPr>
              <w:pStyle w:val="TableText"/>
              <w:spacing w:before="40" w:after="40"/>
              <w:rPr>
                <w:szCs w:val="18"/>
              </w:rPr>
            </w:pPr>
            <w:r w:rsidRPr="0018386D">
              <w:rPr>
                <w:szCs w:val="18"/>
              </w:rPr>
              <w:t>kg</w:t>
            </w:r>
          </w:p>
        </w:tc>
        <w:tc>
          <w:tcPr>
            <w:tcW w:w="1247" w:type="dxa"/>
            <w:shd w:val="clear" w:color="000000" w:fill="D2DDE1"/>
            <w:noWrap/>
            <w:hideMark/>
          </w:tcPr>
          <w:p w14:paraId="06024D18" w14:textId="06F56C6B" w:rsidR="008E2ED2" w:rsidRPr="0018386D" w:rsidRDefault="008E2ED2" w:rsidP="00DD3106">
            <w:pPr>
              <w:pStyle w:val="TableText"/>
              <w:spacing w:before="40" w:after="40"/>
              <w:rPr>
                <w:szCs w:val="18"/>
              </w:rPr>
            </w:pPr>
            <w:r w:rsidRPr="0018386D">
              <w:rPr>
                <w:szCs w:val="18"/>
              </w:rPr>
              <w:t>0.197</w:t>
            </w:r>
          </w:p>
        </w:tc>
        <w:tc>
          <w:tcPr>
            <w:tcW w:w="1361" w:type="dxa"/>
            <w:shd w:val="clear" w:color="000000" w:fill="FFFFFF"/>
            <w:noWrap/>
            <w:hideMark/>
          </w:tcPr>
          <w:p w14:paraId="2154475F" w14:textId="77777777" w:rsidR="008E2ED2" w:rsidRPr="0018386D" w:rsidRDefault="008E2ED2" w:rsidP="00DD3106">
            <w:pPr>
              <w:pStyle w:val="TableText"/>
              <w:spacing w:before="40" w:after="40"/>
              <w:rPr>
                <w:szCs w:val="18"/>
              </w:rPr>
            </w:pPr>
            <w:r w:rsidRPr="0018386D">
              <w:rPr>
                <w:szCs w:val="18"/>
              </w:rPr>
              <w:t>n/a</w:t>
            </w:r>
          </w:p>
        </w:tc>
        <w:tc>
          <w:tcPr>
            <w:tcW w:w="1361" w:type="dxa"/>
            <w:shd w:val="clear" w:color="000000" w:fill="FFFFFF"/>
            <w:noWrap/>
            <w:hideMark/>
          </w:tcPr>
          <w:p w14:paraId="3942BD16" w14:textId="104CF44E" w:rsidR="008E2ED2" w:rsidRPr="0018386D" w:rsidRDefault="008E2ED2" w:rsidP="00DD3106">
            <w:pPr>
              <w:pStyle w:val="TableText"/>
              <w:spacing w:before="40" w:after="40"/>
              <w:rPr>
                <w:szCs w:val="18"/>
              </w:rPr>
            </w:pPr>
            <w:r w:rsidRPr="0018386D">
              <w:rPr>
                <w:szCs w:val="18"/>
              </w:rPr>
              <w:t>0.197</w:t>
            </w:r>
          </w:p>
        </w:tc>
        <w:tc>
          <w:tcPr>
            <w:tcW w:w="1361" w:type="dxa"/>
            <w:shd w:val="clear" w:color="000000" w:fill="FFFFFF"/>
            <w:noWrap/>
            <w:hideMark/>
          </w:tcPr>
          <w:p w14:paraId="505CC9F6" w14:textId="77777777" w:rsidR="008E2ED2" w:rsidRPr="0018386D" w:rsidRDefault="008E2ED2" w:rsidP="00DD3106">
            <w:pPr>
              <w:pStyle w:val="TableText"/>
              <w:spacing w:before="40" w:after="40"/>
              <w:rPr>
                <w:szCs w:val="18"/>
              </w:rPr>
            </w:pPr>
            <w:r w:rsidRPr="0018386D">
              <w:rPr>
                <w:szCs w:val="18"/>
              </w:rPr>
              <w:t>n/a</w:t>
            </w:r>
          </w:p>
        </w:tc>
      </w:tr>
    </w:tbl>
    <w:p w14:paraId="32A272A3" w14:textId="0B45AFCB" w:rsidR="4621DFFE" w:rsidRPr="0018386D" w:rsidRDefault="4621DFFE" w:rsidP="00DD3106">
      <w:pPr>
        <w:pStyle w:val="BodyText"/>
        <w:spacing w:before="0" w:after="0"/>
      </w:pPr>
    </w:p>
    <w:p w14:paraId="1F788490" w14:textId="5A774AB9" w:rsidR="00A959E4" w:rsidRPr="0018386D" w:rsidRDefault="00EB4389" w:rsidP="00DD3106">
      <w:pPr>
        <w:pStyle w:val="Tableheading"/>
      </w:pPr>
      <w:bookmarkStart w:id="836" w:name="Table76"/>
      <w:bookmarkStart w:id="837" w:name="_Toc111536688"/>
      <w:bookmarkStart w:id="838" w:name="_Toc140049016"/>
      <w:r w:rsidRPr="0018386D">
        <w:t xml:space="preserve">Table </w:t>
      </w:r>
      <w:r w:rsidRPr="0018386D">
        <w:fldChar w:fldCharType="begin"/>
      </w:r>
      <w:r w:rsidRPr="0018386D">
        <w:instrText>SEQ Table \* ARABIC</w:instrText>
      </w:r>
      <w:r w:rsidRPr="0018386D">
        <w:fldChar w:fldCharType="separate"/>
      </w:r>
      <w:r w:rsidR="0085383F" w:rsidRPr="0018386D">
        <w:t>76</w:t>
      </w:r>
      <w:r w:rsidRPr="0018386D">
        <w:fldChar w:fldCharType="end"/>
      </w:r>
      <w:bookmarkEnd w:id="836"/>
      <w:r w:rsidRPr="0018386D">
        <w:t>:</w:t>
      </w:r>
      <w:r w:rsidRPr="0018386D">
        <w:tab/>
      </w:r>
      <w:r w:rsidR="00C60CA6" w:rsidRPr="0018386D">
        <w:t xml:space="preserve">Biological treatment of waste </w:t>
      </w:r>
      <w:r w:rsidR="00A959E4" w:rsidRPr="0018386D">
        <w:t>emission factors</w:t>
      </w:r>
      <w:bookmarkEnd w:id="837"/>
      <w:bookmarkEnd w:id="838"/>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761"/>
        <w:gridCol w:w="608"/>
        <w:gridCol w:w="1214"/>
        <w:gridCol w:w="1639"/>
        <w:gridCol w:w="1639"/>
        <w:gridCol w:w="1639"/>
      </w:tblGrid>
      <w:tr w:rsidR="000C52D5" w:rsidRPr="0018386D" w14:paraId="68C0A4A3" w14:textId="77777777" w:rsidTr="000C52D5">
        <w:trPr>
          <w:divId w:val="1825002862"/>
          <w:trHeight w:val="240"/>
        </w:trPr>
        <w:tc>
          <w:tcPr>
            <w:tcW w:w="1644" w:type="dxa"/>
            <w:shd w:val="clear" w:color="000000" w:fill="1C556C"/>
            <w:noWrap/>
            <w:vAlign w:val="bottom"/>
            <w:hideMark/>
          </w:tcPr>
          <w:p w14:paraId="6BE5D338" w14:textId="35CD87A0" w:rsidR="008E2ED2" w:rsidRPr="0018386D" w:rsidRDefault="008E2ED2" w:rsidP="00DD3106">
            <w:pPr>
              <w:pStyle w:val="TableTextbold"/>
              <w:spacing w:before="40" w:after="40"/>
              <w:rPr>
                <w:color w:val="FFFFFF" w:themeColor="background1"/>
              </w:rPr>
            </w:pPr>
            <w:bookmarkStart w:id="839" w:name="_1746366920"/>
            <w:bookmarkStart w:id="840" w:name="_1745997869"/>
            <w:bookmarkStart w:id="841" w:name="_1746254111"/>
            <w:bookmarkStart w:id="842" w:name="_1747051303"/>
            <w:bookmarkEnd w:id="839"/>
            <w:bookmarkEnd w:id="840"/>
            <w:bookmarkEnd w:id="841"/>
            <w:bookmarkEnd w:id="842"/>
            <w:r w:rsidRPr="0018386D">
              <w:rPr>
                <w:color w:val="FFFFFF" w:themeColor="background1"/>
              </w:rPr>
              <w:t>Emission source</w:t>
            </w:r>
          </w:p>
        </w:tc>
        <w:tc>
          <w:tcPr>
            <w:tcW w:w="567" w:type="dxa"/>
            <w:shd w:val="clear" w:color="000000" w:fill="1C556C"/>
            <w:noWrap/>
            <w:vAlign w:val="bottom"/>
            <w:hideMark/>
          </w:tcPr>
          <w:p w14:paraId="6AE4F9F0"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134" w:type="dxa"/>
            <w:shd w:val="clear" w:color="000000" w:fill="1C556C"/>
            <w:noWrap/>
            <w:vAlign w:val="bottom"/>
            <w:hideMark/>
          </w:tcPr>
          <w:p w14:paraId="6D5549EC" w14:textId="10CC504E"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531" w:type="dxa"/>
            <w:shd w:val="clear" w:color="000000" w:fill="1C556C"/>
            <w:noWrap/>
            <w:vAlign w:val="bottom"/>
            <w:hideMark/>
          </w:tcPr>
          <w:p w14:paraId="7C01C590" w14:textId="0EB4BD5B" w:rsidR="008E2ED2" w:rsidRPr="0018386D" w:rsidRDefault="008E2ED2" w:rsidP="00DD3106">
            <w:pPr>
              <w:pStyle w:val="TableTextbold"/>
              <w:spacing w:before="40" w:after="40"/>
              <w:rPr>
                <w:color w:val="FFFFFF" w:themeColor="background1"/>
              </w:rPr>
            </w:pPr>
            <w:r w:rsidRPr="0018386D">
              <w:rPr>
                <w:color w:val="FFFFFF" w:themeColor="background1"/>
              </w:rPr>
              <w:t>CO₂ (kg CO₂</w:t>
            </w:r>
            <w:r w:rsidRPr="0018386D">
              <w:rPr>
                <w:color w:val="FFFFFF" w:themeColor="background1"/>
              </w:rPr>
              <w:noBreakHyphen/>
              <w:t>e/unit)</w:t>
            </w:r>
          </w:p>
        </w:tc>
        <w:tc>
          <w:tcPr>
            <w:tcW w:w="1531" w:type="dxa"/>
            <w:shd w:val="clear" w:color="000000" w:fill="1C556C"/>
            <w:noWrap/>
            <w:vAlign w:val="bottom"/>
            <w:hideMark/>
          </w:tcPr>
          <w:p w14:paraId="6B0515A1" w14:textId="56EFD474" w:rsidR="008E2ED2" w:rsidRPr="0018386D" w:rsidRDefault="008E2ED2" w:rsidP="00DD3106">
            <w:pPr>
              <w:pStyle w:val="TableTextbold"/>
              <w:spacing w:before="40" w:after="40"/>
              <w:rPr>
                <w:color w:val="FFFFFF" w:themeColor="background1"/>
              </w:rPr>
            </w:pPr>
            <w:r w:rsidRPr="0018386D">
              <w:rPr>
                <w:color w:val="FFFFFF" w:themeColor="background1"/>
              </w:rPr>
              <w:t>CH₄ (kg CO₂-e/unit)</w:t>
            </w:r>
          </w:p>
        </w:tc>
        <w:tc>
          <w:tcPr>
            <w:tcW w:w="1531" w:type="dxa"/>
            <w:shd w:val="clear" w:color="000000" w:fill="1C556C"/>
            <w:noWrap/>
            <w:vAlign w:val="bottom"/>
            <w:hideMark/>
          </w:tcPr>
          <w:p w14:paraId="3D1BA61E" w14:textId="2E43F5F5" w:rsidR="008E2ED2" w:rsidRPr="0018386D" w:rsidRDefault="008E2ED2" w:rsidP="00DD3106">
            <w:pPr>
              <w:pStyle w:val="TableTextbold"/>
              <w:spacing w:before="40" w:after="40"/>
              <w:rPr>
                <w:color w:val="FFFFFF" w:themeColor="background1"/>
              </w:rPr>
            </w:pPr>
            <w:r w:rsidRPr="0018386D">
              <w:rPr>
                <w:color w:val="FFFFFF" w:themeColor="background1"/>
              </w:rPr>
              <w:t>N₂O (kg CO₂-e/unit)</w:t>
            </w:r>
          </w:p>
        </w:tc>
      </w:tr>
      <w:tr w:rsidR="000C52D5" w:rsidRPr="0018386D" w14:paraId="52FB4410" w14:textId="77777777" w:rsidTr="000C52D5">
        <w:trPr>
          <w:divId w:val="1825002862"/>
          <w:trHeight w:val="240"/>
        </w:trPr>
        <w:tc>
          <w:tcPr>
            <w:tcW w:w="1644" w:type="dxa"/>
            <w:shd w:val="clear" w:color="000000" w:fill="FFFFFF"/>
            <w:noWrap/>
            <w:hideMark/>
          </w:tcPr>
          <w:p w14:paraId="4178F5F4" w14:textId="77777777" w:rsidR="008E2ED2" w:rsidRPr="0018386D" w:rsidRDefault="008E2ED2" w:rsidP="00DD3106">
            <w:pPr>
              <w:pStyle w:val="TableText"/>
              <w:spacing w:before="40" w:after="40"/>
            </w:pPr>
            <w:r w:rsidRPr="0018386D">
              <w:t>Composting</w:t>
            </w:r>
          </w:p>
        </w:tc>
        <w:tc>
          <w:tcPr>
            <w:tcW w:w="567" w:type="dxa"/>
            <w:shd w:val="clear" w:color="000000" w:fill="FFFFFF"/>
            <w:noWrap/>
            <w:hideMark/>
          </w:tcPr>
          <w:p w14:paraId="58806B54" w14:textId="77777777" w:rsidR="008E2ED2" w:rsidRPr="0018386D" w:rsidRDefault="008E2ED2" w:rsidP="00DD3106">
            <w:pPr>
              <w:pStyle w:val="TableText"/>
              <w:spacing w:before="40" w:after="40"/>
            </w:pPr>
            <w:r w:rsidRPr="0018386D">
              <w:t>kg</w:t>
            </w:r>
          </w:p>
        </w:tc>
        <w:tc>
          <w:tcPr>
            <w:tcW w:w="1134" w:type="dxa"/>
            <w:shd w:val="clear" w:color="000000" w:fill="D2DDE1"/>
            <w:noWrap/>
            <w:hideMark/>
          </w:tcPr>
          <w:p w14:paraId="51A25F9D" w14:textId="20F626B7" w:rsidR="008E2ED2" w:rsidRPr="0018386D" w:rsidRDefault="008E2ED2" w:rsidP="00DD3106">
            <w:pPr>
              <w:pStyle w:val="TableText"/>
              <w:spacing w:before="40" w:after="40"/>
            </w:pPr>
            <w:r w:rsidRPr="0018386D">
              <w:t>0.176</w:t>
            </w:r>
          </w:p>
        </w:tc>
        <w:tc>
          <w:tcPr>
            <w:tcW w:w="1531" w:type="dxa"/>
            <w:shd w:val="clear" w:color="000000" w:fill="FFFFFF"/>
            <w:noWrap/>
            <w:hideMark/>
          </w:tcPr>
          <w:p w14:paraId="5D3AEBAA" w14:textId="77777777" w:rsidR="008E2ED2" w:rsidRPr="0018386D" w:rsidRDefault="008E2ED2" w:rsidP="00DD3106">
            <w:pPr>
              <w:pStyle w:val="TableText"/>
              <w:spacing w:before="40" w:after="40"/>
            </w:pPr>
            <w:r w:rsidRPr="0018386D">
              <w:t>n/a</w:t>
            </w:r>
          </w:p>
        </w:tc>
        <w:tc>
          <w:tcPr>
            <w:tcW w:w="1531" w:type="dxa"/>
            <w:shd w:val="clear" w:color="000000" w:fill="FFFFFF"/>
            <w:noWrap/>
            <w:hideMark/>
          </w:tcPr>
          <w:p w14:paraId="386FCC99" w14:textId="6254B433" w:rsidR="008E2ED2" w:rsidRPr="0018386D" w:rsidRDefault="008E2ED2" w:rsidP="00DD3106">
            <w:pPr>
              <w:pStyle w:val="TableText"/>
              <w:spacing w:before="40" w:after="40"/>
            </w:pPr>
            <w:r w:rsidRPr="0018386D">
              <w:t>0.112</w:t>
            </w:r>
          </w:p>
        </w:tc>
        <w:tc>
          <w:tcPr>
            <w:tcW w:w="1531" w:type="dxa"/>
            <w:shd w:val="clear" w:color="000000" w:fill="FFFFFF"/>
            <w:noWrap/>
            <w:hideMark/>
          </w:tcPr>
          <w:p w14:paraId="3408DC61" w14:textId="6691EDE7" w:rsidR="008E2ED2" w:rsidRPr="0018386D" w:rsidRDefault="008E2ED2" w:rsidP="00DD3106">
            <w:pPr>
              <w:pStyle w:val="TableText"/>
              <w:spacing w:before="40" w:after="40"/>
            </w:pPr>
            <w:r w:rsidRPr="0018386D">
              <w:t>0.0636</w:t>
            </w:r>
          </w:p>
        </w:tc>
      </w:tr>
      <w:tr w:rsidR="000C52D5" w:rsidRPr="0018386D" w14:paraId="59F76A4B" w14:textId="77777777" w:rsidTr="000C52D5">
        <w:trPr>
          <w:divId w:val="1825002862"/>
          <w:trHeight w:val="240"/>
        </w:trPr>
        <w:tc>
          <w:tcPr>
            <w:tcW w:w="1644" w:type="dxa"/>
            <w:shd w:val="clear" w:color="000000" w:fill="FFFFFF"/>
            <w:noWrap/>
            <w:hideMark/>
          </w:tcPr>
          <w:p w14:paraId="0C6EF6F4" w14:textId="77777777" w:rsidR="008E2ED2" w:rsidRPr="0018386D" w:rsidRDefault="008E2ED2" w:rsidP="00DD3106">
            <w:pPr>
              <w:pStyle w:val="TableText"/>
              <w:spacing w:before="40" w:after="40"/>
            </w:pPr>
            <w:r w:rsidRPr="0018386D">
              <w:t>Anaerobic digestion</w:t>
            </w:r>
          </w:p>
        </w:tc>
        <w:tc>
          <w:tcPr>
            <w:tcW w:w="567" w:type="dxa"/>
            <w:shd w:val="clear" w:color="000000" w:fill="FFFFFF"/>
            <w:noWrap/>
            <w:hideMark/>
          </w:tcPr>
          <w:p w14:paraId="180499A7" w14:textId="22FC61D8" w:rsidR="008E2ED2" w:rsidRPr="0018386D" w:rsidRDefault="00F14D2C" w:rsidP="00DD3106">
            <w:pPr>
              <w:pStyle w:val="TableText"/>
              <w:spacing w:before="40" w:after="40"/>
            </w:pPr>
            <w:r w:rsidRPr="0018386D">
              <w:t>k</w:t>
            </w:r>
            <w:r w:rsidR="008E2ED2" w:rsidRPr="0018386D">
              <w:t>g</w:t>
            </w:r>
          </w:p>
        </w:tc>
        <w:tc>
          <w:tcPr>
            <w:tcW w:w="1134" w:type="dxa"/>
            <w:shd w:val="clear" w:color="000000" w:fill="D2DDE1"/>
            <w:noWrap/>
            <w:hideMark/>
          </w:tcPr>
          <w:p w14:paraId="03875930" w14:textId="57037E44" w:rsidR="008E2ED2" w:rsidRPr="0018386D" w:rsidRDefault="008E2ED2" w:rsidP="00DD3106">
            <w:pPr>
              <w:pStyle w:val="TableText"/>
              <w:spacing w:before="40" w:after="40"/>
            </w:pPr>
            <w:r w:rsidRPr="0018386D">
              <w:t>0.0224</w:t>
            </w:r>
          </w:p>
        </w:tc>
        <w:tc>
          <w:tcPr>
            <w:tcW w:w="1531" w:type="dxa"/>
            <w:shd w:val="clear" w:color="000000" w:fill="FFFFFF"/>
            <w:noWrap/>
            <w:hideMark/>
          </w:tcPr>
          <w:p w14:paraId="7A753EC8" w14:textId="77777777" w:rsidR="008E2ED2" w:rsidRPr="0018386D" w:rsidRDefault="008E2ED2" w:rsidP="00DD3106">
            <w:pPr>
              <w:pStyle w:val="TableText"/>
              <w:spacing w:before="40" w:after="40"/>
            </w:pPr>
            <w:r w:rsidRPr="0018386D">
              <w:t>n/a</w:t>
            </w:r>
          </w:p>
        </w:tc>
        <w:tc>
          <w:tcPr>
            <w:tcW w:w="1531" w:type="dxa"/>
            <w:shd w:val="clear" w:color="000000" w:fill="FFFFFF"/>
            <w:noWrap/>
            <w:hideMark/>
          </w:tcPr>
          <w:p w14:paraId="7EF66F45" w14:textId="45501B36" w:rsidR="008E2ED2" w:rsidRPr="0018386D" w:rsidRDefault="008E2ED2" w:rsidP="00DD3106">
            <w:pPr>
              <w:pStyle w:val="TableText"/>
              <w:spacing w:before="40" w:after="40"/>
            </w:pPr>
            <w:r w:rsidRPr="0018386D">
              <w:t>0.0224</w:t>
            </w:r>
          </w:p>
        </w:tc>
        <w:tc>
          <w:tcPr>
            <w:tcW w:w="1531" w:type="dxa"/>
            <w:shd w:val="clear" w:color="000000" w:fill="FFFFFF"/>
            <w:noWrap/>
            <w:hideMark/>
          </w:tcPr>
          <w:p w14:paraId="4F17AA91" w14:textId="77777777" w:rsidR="008E2ED2" w:rsidRPr="0018386D" w:rsidRDefault="008E2ED2" w:rsidP="00DD3106">
            <w:pPr>
              <w:pStyle w:val="TableText"/>
              <w:spacing w:before="40" w:after="40"/>
            </w:pPr>
            <w:r w:rsidRPr="0018386D">
              <w:t>n/a</w:t>
            </w:r>
          </w:p>
        </w:tc>
      </w:tr>
    </w:tbl>
    <w:p w14:paraId="385744E6" w14:textId="01465109" w:rsidR="00A959E4" w:rsidRPr="0018386D" w:rsidRDefault="00301928" w:rsidP="00DD3106">
      <w:pPr>
        <w:pStyle w:val="Heading3"/>
        <w:numPr>
          <w:ilvl w:val="2"/>
          <w:numId w:val="8"/>
        </w:numPr>
        <w:spacing w:before="440"/>
        <w:ind w:left="1134" w:hanging="1134"/>
      </w:pPr>
      <w:bookmarkStart w:id="843" w:name="_Toc532904952"/>
      <w:r w:rsidRPr="0018386D">
        <w:t xml:space="preserve">GHG </w:t>
      </w:r>
      <w:r w:rsidR="00A959E4" w:rsidRPr="0018386D">
        <w:t>inventory development</w:t>
      </w:r>
      <w:bookmarkEnd w:id="843"/>
    </w:p>
    <w:p w14:paraId="7B4FFB2B" w14:textId="51AB2D70" w:rsidR="00C04F05" w:rsidRPr="0018386D" w:rsidRDefault="00C04F05" w:rsidP="00DD3106">
      <w:pPr>
        <w:pStyle w:val="BodyText"/>
      </w:pPr>
      <w:r w:rsidRPr="0018386D">
        <w:t xml:space="preserve">There are two methodologies </w:t>
      </w:r>
      <w:r w:rsidR="000C3EF0" w:rsidRPr="0018386D">
        <w:t xml:space="preserve">that </w:t>
      </w:r>
      <w:r w:rsidRPr="0018386D">
        <w:t>organisations can follow for calculating waste emissions</w:t>
      </w:r>
      <w:r w:rsidR="000C3EF0" w:rsidRPr="0018386D">
        <w:t>.</w:t>
      </w:r>
    </w:p>
    <w:p w14:paraId="46638AF2" w14:textId="09AAB520" w:rsidR="00C04F05" w:rsidRPr="0018386D" w:rsidRDefault="00C04F05" w:rsidP="00DD3106">
      <w:pPr>
        <w:pStyle w:val="Numberedparagraph"/>
        <w:numPr>
          <w:ilvl w:val="0"/>
          <w:numId w:val="67"/>
        </w:numPr>
        <w:jc w:val="both"/>
      </w:pPr>
      <w:r w:rsidRPr="0018386D">
        <w:t>Where composition of waste is known</w:t>
      </w:r>
      <w:r w:rsidR="000C3EF0" w:rsidRPr="0018386D">
        <w:t>.</w:t>
      </w:r>
    </w:p>
    <w:p w14:paraId="73D63629" w14:textId="74F3390E" w:rsidR="00C04F05" w:rsidRPr="0018386D" w:rsidRDefault="00C04F05" w:rsidP="00DD3106">
      <w:pPr>
        <w:pStyle w:val="Numberedparagraph"/>
        <w:numPr>
          <w:ilvl w:val="0"/>
          <w:numId w:val="18"/>
        </w:numPr>
        <w:jc w:val="both"/>
      </w:pPr>
      <w:r w:rsidRPr="0018386D">
        <w:t>Where composition of waste is unknown</w:t>
      </w:r>
      <w:r w:rsidR="000C3EF0" w:rsidRPr="0018386D">
        <w:t>.</w:t>
      </w:r>
    </w:p>
    <w:p w14:paraId="51108E73" w14:textId="40668A02" w:rsidR="6C018FCD" w:rsidRPr="0018386D" w:rsidRDefault="6C018FCD" w:rsidP="00DD3106">
      <w:pPr>
        <w:pStyle w:val="BodyText"/>
      </w:pPr>
      <w:r w:rsidRPr="0018386D">
        <w:t xml:space="preserve">The choice of methodology depends on organisational knowledge of waste composition. It is </w:t>
      </w:r>
      <w:r w:rsidRPr="0018386D">
        <w:rPr>
          <w:spacing w:val="-2"/>
        </w:rPr>
        <w:t>preferable to know the composition of waste as it allows more accurate calculation of emissions</w:t>
      </w:r>
      <w:r w:rsidRPr="0018386D">
        <w:t>. The example calculations are done using IPCC AR5 GWPs.</w:t>
      </w:r>
    </w:p>
    <w:p w14:paraId="06FAFBE2" w14:textId="361AC894" w:rsidR="00A959E4" w:rsidRPr="0018386D" w:rsidRDefault="00A959E4" w:rsidP="00DD3106">
      <w:pPr>
        <w:pStyle w:val="BodyText"/>
      </w:pPr>
      <w:r w:rsidRPr="0018386D">
        <w:t>Users should collect data on</w:t>
      </w:r>
      <w:r w:rsidR="00632416" w:rsidRPr="0018386D">
        <w:t xml:space="preserve"> the</w:t>
      </w:r>
      <w:r w:rsidRPr="0018386D">
        <w:t xml:space="preserve"> quantity (kg)</w:t>
      </w:r>
      <w:r w:rsidR="00BB736D" w:rsidRPr="0018386D">
        <w:t xml:space="preserve"> and type</w:t>
      </w:r>
      <w:r w:rsidRPr="0018386D">
        <w:t xml:space="preserve"> of waste disposed</w:t>
      </w:r>
      <w:r w:rsidR="00BB736D" w:rsidRPr="0018386D">
        <w:t xml:space="preserve">. </w:t>
      </w:r>
    </w:p>
    <w:p w14:paraId="3EE80A83" w14:textId="64861F39" w:rsidR="00632416" w:rsidRPr="0018386D" w:rsidRDefault="00632416" w:rsidP="00DD3106">
      <w:pPr>
        <w:pStyle w:val="BodyText"/>
      </w:pPr>
      <w:r w:rsidRPr="0018386D">
        <w:t xml:space="preserve">Applying the equation </w:t>
      </w:r>
      <w:r w:rsidR="00D34302" w:rsidRPr="0018386D">
        <w:t>E</w:t>
      </w:r>
      <w:r w:rsidR="00B37794" w:rsidRPr="0018386D">
        <w:t xml:space="preserve"> </w:t>
      </w:r>
      <w:r w:rsidR="00D34302" w:rsidRPr="0018386D">
        <w:t>= Q x F</w:t>
      </w:r>
      <w:r w:rsidR="005C6DDF" w:rsidRPr="0018386D">
        <w:t xml:space="preserve"> </w:t>
      </w:r>
      <w:r w:rsidR="00D34302" w:rsidRPr="0018386D">
        <w:t>(</w:t>
      </w:r>
      <w:hyperlink w:anchor="_How_to_quantify" w:history="1">
        <w:r w:rsidR="005C6DDF" w:rsidRPr="0018386D">
          <w:rPr>
            <w:rStyle w:val="Hyperlink"/>
          </w:rPr>
          <w:t>section 2</w:t>
        </w:r>
      </w:hyperlink>
      <w:r w:rsidR="00D34302" w:rsidRPr="0018386D">
        <w:rPr>
          <w:rStyle w:val="Hyperlink"/>
          <w:color w:val="auto"/>
        </w:rPr>
        <w:t>)</w:t>
      </w:r>
      <w:r w:rsidRPr="0018386D">
        <w:t>, this means:</w:t>
      </w:r>
    </w:p>
    <w:p w14:paraId="4DF6C328" w14:textId="4AA405F1" w:rsidR="00D34302" w:rsidRPr="0018386D" w:rsidRDefault="00D34302" w:rsidP="00DD3106">
      <w:pPr>
        <w:pStyle w:val="BodyText"/>
        <w:tabs>
          <w:tab w:val="left" w:pos="680"/>
          <w:tab w:val="left" w:pos="993"/>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6E53D20F" w14:textId="30FBFBC7" w:rsidR="00A959E4" w:rsidRPr="0018386D" w:rsidRDefault="005B503B" w:rsidP="00DD3106">
      <w:pPr>
        <w:pStyle w:val="BodyText"/>
        <w:tabs>
          <w:tab w:val="left" w:pos="680"/>
          <w:tab w:val="left" w:pos="993"/>
        </w:tabs>
        <w:contextualSpacing/>
      </w:pPr>
      <w:r w:rsidRPr="0018386D">
        <w:t>Q</w:t>
      </w:r>
      <w:r w:rsidRPr="0018386D">
        <w:tab/>
        <w:t>=</w:t>
      </w:r>
      <w:r w:rsidRPr="0018386D">
        <w:tab/>
      </w:r>
      <w:r w:rsidR="00A959E4" w:rsidRPr="0018386D">
        <w:t>quantity of waste disposed (kg)</w:t>
      </w:r>
    </w:p>
    <w:p w14:paraId="5FC4815E" w14:textId="7A909D92" w:rsidR="00A959E4" w:rsidRPr="0018386D" w:rsidRDefault="005B503B" w:rsidP="00DD3106">
      <w:pPr>
        <w:pStyle w:val="BodyText"/>
        <w:tabs>
          <w:tab w:val="left" w:pos="680"/>
          <w:tab w:val="left" w:pos="993"/>
        </w:tabs>
        <w:spacing w:after="240"/>
        <w:contextualSpacing/>
        <w:jc w:val="both"/>
      </w:pPr>
      <w:r w:rsidRPr="0018386D">
        <w:t>F</w:t>
      </w:r>
      <w:r w:rsidRPr="0018386D">
        <w:tab/>
        <w:t>=</w:t>
      </w:r>
      <w:r w:rsidRPr="0018386D">
        <w:tab/>
      </w:r>
      <w:r w:rsidR="00A959E4" w:rsidRPr="0018386D">
        <w:t xml:space="preserve">appropriate emission factors from </w:t>
      </w:r>
      <w:hyperlink w:anchor="Table73" w:history="1">
        <w:r w:rsidR="00D37DA6" w:rsidRPr="0018386D">
          <w:rPr>
            <w:rStyle w:val="Hyperlink"/>
          </w:rPr>
          <w:t>table 73</w:t>
        </w:r>
      </w:hyperlink>
      <w:r w:rsidR="00C57282" w:rsidRPr="0018386D">
        <w:t xml:space="preserve"> to </w:t>
      </w:r>
      <w:hyperlink w:anchor="Table76" w:history="1">
        <w:r w:rsidR="00D37DA6" w:rsidRPr="0018386D">
          <w:rPr>
            <w:rStyle w:val="Hyperlink"/>
          </w:rPr>
          <w:t>table 76</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A51FB7" w:rsidRPr="0018386D" w:rsidDel="00D5390D" w14:paraId="4E7BE643" w14:textId="77777777" w:rsidTr="00A953DC">
        <w:tc>
          <w:tcPr>
            <w:tcW w:w="8500" w:type="dxa"/>
            <w:tcBorders>
              <w:top w:val="single" w:sz="4" w:space="0" w:color="0F7B7D"/>
              <w:left w:val="single" w:sz="4" w:space="0" w:color="0F7B7D"/>
              <w:bottom w:val="nil"/>
              <w:right w:val="single" w:sz="4" w:space="0" w:color="0F7B7D"/>
            </w:tcBorders>
            <w:shd w:val="clear" w:color="auto" w:fill="0F7B7D"/>
            <w:vAlign w:val="center"/>
          </w:tcPr>
          <w:p w14:paraId="10C41C3C" w14:textId="554391EE" w:rsidR="00632416" w:rsidRPr="0018386D" w:rsidDel="00D5390D" w:rsidRDefault="000C3EF0" w:rsidP="00DD3106">
            <w:pPr>
              <w:pStyle w:val="Casestudyheading"/>
            </w:pPr>
            <w:bookmarkStart w:id="844" w:name="_Hlk532894926"/>
            <w:r w:rsidRPr="0018386D">
              <w:lastRenderedPageBreak/>
              <w:t xml:space="preserve">WASTE DISPOSAL: </w:t>
            </w:r>
            <w:r w:rsidR="00632416" w:rsidRPr="0018386D">
              <w:t>Example Calculation</w:t>
            </w:r>
          </w:p>
        </w:tc>
      </w:tr>
      <w:tr w:rsidR="00A51FB7" w:rsidRPr="0018386D" w14:paraId="003F36AD" w14:textId="77777777" w:rsidTr="00A953DC">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95F4EEF" w14:textId="27356F81" w:rsidR="00632416" w:rsidRPr="0018386D" w:rsidRDefault="00632416" w:rsidP="00DD3106">
            <w:pPr>
              <w:pStyle w:val="Boxtext"/>
              <w:keepNext/>
              <w:spacing w:after="80"/>
            </w:pPr>
            <w:r w:rsidRPr="0018386D">
              <w:t>A hotel produces waste in its kitchen, guest rooms and garden. Th</w:t>
            </w:r>
            <w:r w:rsidR="00C04F05" w:rsidRPr="0018386D">
              <w:t xml:space="preserve">ey send </w:t>
            </w:r>
            <w:r w:rsidR="000C3EF0" w:rsidRPr="0018386D">
              <w:t>it</w:t>
            </w:r>
            <w:r w:rsidRPr="0018386D">
              <w:t xml:space="preserve"> to the regional landfill, which is known to have landfill gas recovery. </w:t>
            </w:r>
          </w:p>
          <w:p w14:paraId="023D8896" w14:textId="48E49DCE" w:rsidR="00632416" w:rsidRPr="0018386D" w:rsidRDefault="00632416" w:rsidP="00DD3106">
            <w:pPr>
              <w:pStyle w:val="Boxtext"/>
              <w:spacing w:after="80"/>
            </w:pPr>
            <w:r w:rsidRPr="0018386D">
              <w:t xml:space="preserve">If the waste comprises 150 kg food waste, 50 kg general waste from guest rooms and 60 kg of garden waste, the hotel calculates emissions as follows: </w:t>
            </w:r>
          </w:p>
          <w:p w14:paraId="0DAD99B8" w14:textId="5E440754" w:rsidR="00632416" w:rsidRPr="0018386D" w:rsidRDefault="00632416" w:rsidP="00DD3106">
            <w:pPr>
              <w:pStyle w:val="Boxtext"/>
              <w:tabs>
                <w:tab w:val="left" w:pos="3056"/>
                <w:tab w:val="left" w:pos="4992"/>
              </w:tabs>
              <w:spacing w:before="20" w:after="20"/>
              <w:ind w:left="850"/>
            </w:pPr>
            <w:r w:rsidRPr="0018386D">
              <w:t>Food waste</w:t>
            </w:r>
            <w:r w:rsidRPr="0018386D">
              <w:tab/>
              <w:t xml:space="preserve">= 150 </w:t>
            </w:r>
            <w:r w:rsidRPr="0018386D">
              <w:rPr>
                <w:rFonts w:cs="Calibri"/>
              </w:rPr>
              <w:t>×</w:t>
            </w:r>
            <w:r w:rsidRPr="0018386D">
              <w:t xml:space="preserve"> 0.</w:t>
            </w:r>
            <w:r w:rsidR="001E15AA" w:rsidRPr="0018386D">
              <w:t>674</w:t>
            </w:r>
            <w:r w:rsidRPr="0018386D">
              <w:tab/>
              <w:t xml:space="preserve">= </w:t>
            </w:r>
            <w:r w:rsidR="006B0AF3" w:rsidRPr="0018386D">
              <w:t>101.1</w:t>
            </w:r>
            <w:r w:rsidRPr="0018386D">
              <w:t xml:space="preserve"> kg CO</w:t>
            </w:r>
            <w:r w:rsidRPr="0018386D">
              <w:rPr>
                <w:vertAlign w:val="subscript"/>
              </w:rPr>
              <w:t>2</w:t>
            </w:r>
            <w:r w:rsidRPr="0018386D">
              <w:t xml:space="preserve">-e </w:t>
            </w:r>
          </w:p>
          <w:p w14:paraId="57EED64D" w14:textId="36727A7F" w:rsidR="00632416" w:rsidRPr="0018386D" w:rsidRDefault="00632416" w:rsidP="00DD3106">
            <w:pPr>
              <w:pStyle w:val="Boxtext"/>
              <w:tabs>
                <w:tab w:val="left" w:pos="3056"/>
                <w:tab w:val="left" w:pos="4992"/>
              </w:tabs>
              <w:spacing w:before="20" w:after="20"/>
              <w:ind w:left="850"/>
            </w:pPr>
            <w:r w:rsidRPr="0018386D">
              <w:t>General waste</w:t>
            </w:r>
            <w:r w:rsidRPr="0018386D">
              <w:tab/>
              <w:t xml:space="preserve">= 50 </w:t>
            </w:r>
            <w:r w:rsidRPr="0018386D">
              <w:rPr>
                <w:rFonts w:cs="Calibri"/>
              </w:rPr>
              <w:t>×</w:t>
            </w:r>
            <w:r w:rsidRPr="0018386D">
              <w:t xml:space="preserve"> </w:t>
            </w:r>
            <w:r w:rsidR="006B0AF3" w:rsidRPr="0018386D">
              <w:t>0.232</w:t>
            </w:r>
            <w:r w:rsidR="00724C42" w:rsidRPr="0018386D">
              <w:t xml:space="preserve"> </w:t>
            </w:r>
            <w:r w:rsidRPr="0018386D">
              <w:tab/>
              <w:t xml:space="preserve">= </w:t>
            </w:r>
            <w:r w:rsidR="006B0AF3" w:rsidRPr="0018386D">
              <w:t>11.6</w:t>
            </w:r>
            <w:r w:rsidRPr="0018386D">
              <w:t xml:space="preserve"> kg CO</w:t>
            </w:r>
            <w:r w:rsidRPr="0018386D">
              <w:rPr>
                <w:vertAlign w:val="subscript"/>
              </w:rPr>
              <w:t>2</w:t>
            </w:r>
            <w:r w:rsidRPr="0018386D">
              <w:t xml:space="preserve">-e </w:t>
            </w:r>
          </w:p>
          <w:p w14:paraId="00A02A22" w14:textId="0331FF61" w:rsidR="00632416" w:rsidRPr="0018386D" w:rsidRDefault="00632416" w:rsidP="00DD3106">
            <w:pPr>
              <w:pStyle w:val="Boxtext"/>
              <w:tabs>
                <w:tab w:val="left" w:pos="3056"/>
                <w:tab w:val="left" w:pos="4992"/>
              </w:tabs>
              <w:spacing w:before="20" w:after="20"/>
              <w:ind w:left="850"/>
            </w:pPr>
            <w:r w:rsidRPr="0018386D">
              <w:t>Garden waste</w:t>
            </w:r>
            <w:r w:rsidRPr="0018386D">
              <w:tab/>
              <w:t xml:space="preserve">= 60 </w:t>
            </w:r>
            <w:r w:rsidRPr="0018386D">
              <w:rPr>
                <w:rFonts w:cs="Calibri"/>
              </w:rPr>
              <w:t>×</w:t>
            </w:r>
            <w:r w:rsidRPr="0018386D">
              <w:t xml:space="preserve"> </w:t>
            </w:r>
            <w:r w:rsidR="00CF6497" w:rsidRPr="0018386D">
              <w:t>0.552</w:t>
            </w:r>
            <w:r w:rsidR="00724C42" w:rsidRPr="0018386D">
              <w:t xml:space="preserve"> </w:t>
            </w:r>
            <w:r w:rsidRPr="0018386D">
              <w:tab/>
              <w:t xml:space="preserve">= </w:t>
            </w:r>
            <w:r w:rsidR="00CF6497" w:rsidRPr="0018386D">
              <w:t>33.1</w:t>
            </w:r>
            <w:r w:rsidR="00343F9B" w:rsidRPr="0018386D">
              <w:t>2</w:t>
            </w:r>
            <w:r w:rsidRPr="0018386D">
              <w:t xml:space="preserve"> kg CO</w:t>
            </w:r>
            <w:r w:rsidRPr="0018386D">
              <w:rPr>
                <w:vertAlign w:val="subscript"/>
              </w:rPr>
              <w:t>2</w:t>
            </w:r>
            <w:r w:rsidRPr="0018386D">
              <w:t xml:space="preserve">-e </w:t>
            </w:r>
          </w:p>
          <w:p w14:paraId="079289A3" w14:textId="6F7E772E" w:rsidR="00632416" w:rsidRPr="0018386D" w:rsidRDefault="00632416" w:rsidP="00DD3106">
            <w:pPr>
              <w:pStyle w:val="Boxtext"/>
              <w:tabs>
                <w:tab w:val="left" w:pos="3056"/>
                <w:tab w:val="left" w:pos="4992"/>
              </w:tabs>
              <w:spacing w:before="20" w:after="20"/>
              <w:ind w:left="850"/>
            </w:pPr>
            <w:r w:rsidRPr="0018386D">
              <w:t xml:space="preserve">Total waste emissions </w:t>
            </w:r>
            <w:r w:rsidR="00B11878" w:rsidRPr="0018386D">
              <w:tab/>
            </w:r>
            <w:r w:rsidRPr="0018386D">
              <w:t xml:space="preserve">= </w:t>
            </w:r>
            <w:r w:rsidR="00CF6497" w:rsidRPr="0018386D">
              <w:t>101.1</w:t>
            </w:r>
            <w:r w:rsidR="00BF2874" w:rsidRPr="0018386D">
              <w:t xml:space="preserve"> + </w:t>
            </w:r>
            <w:r w:rsidR="00CF6497" w:rsidRPr="0018386D">
              <w:t>11.6</w:t>
            </w:r>
            <w:r w:rsidR="002330AC" w:rsidRPr="0018386D">
              <w:t xml:space="preserve"> </w:t>
            </w:r>
            <w:r w:rsidR="00BF2874" w:rsidRPr="0018386D">
              <w:t xml:space="preserve">+ </w:t>
            </w:r>
            <w:r w:rsidR="00CF6497" w:rsidRPr="0018386D">
              <w:t>33.1</w:t>
            </w:r>
            <w:r w:rsidR="006850FB" w:rsidRPr="0018386D">
              <w:t>2</w:t>
            </w:r>
            <w:r w:rsidR="00724C42" w:rsidRPr="0018386D">
              <w:tab/>
            </w:r>
            <w:r w:rsidRPr="0018386D">
              <w:t xml:space="preserve">= </w:t>
            </w:r>
            <w:r w:rsidR="008932D2" w:rsidRPr="0018386D">
              <w:t>145.8</w:t>
            </w:r>
            <w:r w:rsidR="00A87D01" w:rsidRPr="0018386D">
              <w:t>2</w:t>
            </w:r>
            <w:r w:rsidRPr="0018386D">
              <w:t xml:space="preserve"> kg CO</w:t>
            </w:r>
            <w:r w:rsidRPr="0018386D">
              <w:rPr>
                <w:vertAlign w:val="subscript"/>
              </w:rPr>
              <w:t>2</w:t>
            </w:r>
            <w:r w:rsidRPr="0018386D">
              <w:t xml:space="preserve">-e </w:t>
            </w:r>
          </w:p>
          <w:p w14:paraId="273D930E" w14:textId="59CAEF5C" w:rsidR="00166895" w:rsidRPr="0018386D" w:rsidRDefault="00166895" w:rsidP="00DD3106">
            <w:pPr>
              <w:pStyle w:val="Boxtext"/>
              <w:spacing w:after="180"/>
            </w:pPr>
            <w:r w:rsidRPr="0018386D">
              <w:rPr>
                <w:sz w:val="18"/>
              </w:rPr>
              <w:t>Note</w:t>
            </w:r>
            <w:r w:rsidR="000C3EF0" w:rsidRPr="0018386D">
              <w:rPr>
                <w:sz w:val="18"/>
              </w:rPr>
              <w:t>: N</w:t>
            </w:r>
            <w:r w:rsidRPr="0018386D">
              <w:rPr>
                <w:sz w:val="18"/>
              </w:rPr>
              <w:t>umbers may not add due to rounding</w:t>
            </w:r>
          </w:p>
        </w:tc>
      </w:tr>
    </w:tbl>
    <w:p w14:paraId="30C9FFFC" w14:textId="7844B6B1" w:rsidR="00A959E4" w:rsidRPr="0018386D" w:rsidRDefault="00A959E4" w:rsidP="00DD3106">
      <w:pPr>
        <w:pStyle w:val="Heading3"/>
        <w:numPr>
          <w:ilvl w:val="2"/>
          <w:numId w:val="8"/>
        </w:numPr>
        <w:spacing w:before="480"/>
        <w:ind w:left="1134" w:hanging="1134"/>
      </w:pPr>
      <w:bookmarkStart w:id="845" w:name="_Toc532904953"/>
      <w:bookmarkEnd w:id="844"/>
      <w:r w:rsidRPr="0018386D">
        <w:t>Emission factor derivation methodologies</w:t>
      </w:r>
      <w:bookmarkEnd w:id="845"/>
    </w:p>
    <w:p w14:paraId="48D52B47" w14:textId="1CD27BF6" w:rsidR="38E57B4C" w:rsidRPr="0018386D" w:rsidRDefault="38E57B4C" w:rsidP="00DD3106">
      <w:pPr>
        <w:pStyle w:val="BodyText"/>
      </w:pPr>
      <w:r w:rsidRPr="0018386D">
        <w:t xml:space="preserve">We broke down data derived from the National Inventory Report into seven categories. </w:t>
      </w:r>
      <w:hyperlink w:anchor="Table77" w:history="1">
        <w:r w:rsidRPr="0018386D">
          <w:rPr>
            <w:rStyle w:val="Hyperlink"/>
            <w:rFonts w:eastAsia="Calibri" w:cs="Calibri"/>
          </w:rPr>
          <w:t>Table</w:t>
        </w:r>
        <w:r w:rsidR="00232DB1" w:rsidRPr="0018386D">
          <w:rPr>
            <w:rStyle w:val="Hyperlink"/>
            <w:rFonts w:eastAsia="Calibri" w:cs="Calibri"/>
          </w:rPr>
          <w:t> </w:t>
        </w:r>
        <w:r w:rsidR="0C93A598" w:rsidRPr="0018386D">
          <w:rPr>
            <w:rStyle w:val="Hyperlink"/>
            <w:rFonts w:eastAsia="Calibri" w:cs="Calibri"/>
          </w:rPr>
          <w:t>77</w:t>
        </w:r>
      </w:hyperlink>
      <w:r w:rsidRPr="0018386D">
        <w:t xml:space="preserve"> identifies these alongside their proportion of the waste to</w:t>
      </w:r>
      <w:r w:rsidR="00DC3B6F" w:rsidRPr="0018386D">
        <w:t xml:space="preserve"> </w:t>
      </w:r>
      <w:r w:rsidRPr="0018386D">
        <w:t xml:space="preserve">landfills. </w:t>
      </w:r>
    </w:p>
    <w:p w14:paraId="176F8AB9" w14:textId="17F1E1C0" w:rsidR="00A959E4" w:rsidRPr="0018386D" w:rsidRDefault="00567545" w:rsidP="00DD3106">
      <w:pPr>
        <w:pStyle w:val="Tableheading"/>
      </w:pPr>
      <w:bookmarkStart w:id="846" w:name="Table77"/>
      <w:bookmarkStart w:id="847" w:name="_Toc111536689"/>
      <w:bookmarkStart w:id="848" w:name="_Toc140049017"/>
      <w:r w:rsidRPr="0018386D">
        <w:t xml:space="preserve">Table </w:t>
      </w:r>
      <w:r w:rsidRPr="0018386D">
        <w:fldChar w:fldCharType="begin"/>
      </w:r>
      <w:r w:rsidRPr="0018386D">
        <w:instrText>SEQ Table \* ARABIC</w:instrText>
      </w:r>
      <w:r w:rsidRPr="0018386D">
        <w:fldChar w:fldCharType="separate"/>
      </w:r>
      <w:r w:rsidRPr="0018386D">
        <w:t>77</w:t>
      </w:r>
      <w:r w:rsidRPr="0018386D">
        <w:fldChar w:fldCharType="end"/>
      </w:r>
      <w:bookmarkEnd w:id="846"/>
      <w:r w:rsidRPr="0018386D">
        <w:t>:</w:t>
      </w:r>
      <w:r w:rsidR="38E57B4C" w:rsidRPr="0018386D">
        <w:tab/>
        <w:t xml:space="preserve">Composition of waste sent to NZ </w:t>
      </w:r>
      <w:proofErr w:type="gramStart"/>
      <w:r w:rsidR="38E57B4C" w:rsidRPr="0018386D">
        <w:t>landfills</w:t>
      </w:r>
      <w:bookmarkEnd w:id="847"/>
      <w:bookmarkEnd w:id="848"/>
      <w:proofErr w:type="gramEnd"/>
    </w:p>
    <w:tbl>
      <w:tblPr>
        <w:tblStyle w:val="LightList-Accent1"/>
        <w:tblW w:w="8505" w:type="dxa"/>
        <w:tblBorders>
          <w:top w:val="single" w:sz="4" w:space="0" w:color="1C556C" w:themeColor="accent1"/>
          <w:bottom w:val="single" w:sz="4" w:space="0" w:color="1C556C" w:themeColor="accent1"/>
        </w:tblBorders>
        <w:tblCellMar>
          <w:left w:w="85" w:type="dxa"/>
          <w:right w:w="85" w:type="dxa"/>
        </w:tblCellMar>
        <w:tblLook w:val="04A0" w:firstRow="1" w:lastRow="0" w:firstColumn="1" w:lastColumn="0" w:noHBand="0" w:noVBand="1"/>
      </w:tblPr>
      <w:tblGrid>
        <w:gridCol w:w="1432"/>
        <w:gridCol w:w="3494"/>
        <w:gridCol w:w="1713"/>
        <w:gridCol w:w="1866"/>
      </w:tblGrid>
      <w:tr w:rsidR="007E1411" w:rsidRPr="0018386D" w14:paraId="135D45F6" w14:textId="6FED3073" w:rsidTr="00C52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single" w:sz="8" w:space="0" w:color="1C556C" w:themeColor="accent1"/>
            </w:tcBorders>
            <w:shd w:val="clear" w:color="auto" w:fill="1B556B" w:themeFill="text2"/>
            <w:vAlign w:val="bottom"/>
          </w:tcPr>
          <w:p w14:paraId="2D2997E7" w14:textId="77777777" w:rsidR="007E1411" w:rsidRPr="0018386D" w:rsidRDefault="007E1411" w:rsidP="00DD3106">
            <w:pPr>
              <w:pStyle w:val="TableText"/>
              <w:keepNext/>
              <w:spacing w:before="40" w:after="40"/>
              <w:rPr>
                <w:rFonts w:cs="Calibri"/>
                <w:szCs w:val="18"/>
              </w:rPr>
            </w:pPr>
            <w:r w:rsidRPr="0018386D">
              <w:rPr>
                <w:rFonts w:cs="Calibri"/>
                <w:szCs w:val="18"/>
              </w:rPr>
              <w:t>Waste category</w:t>
            </w:r>
          </w:p>
        </w:tc>
        <w:tc>
          <w:tcPr>
            <w:tcW w:w="3459" w:type="dxa"/>
            <w:shd w:val="clear" w:color="auto" w:fill="1B556B" w:themeFill="text2"/>
            <w:vAlign w:val="bottom"/>
          </w:tcPr>
          <w:p w14:paraId="2FB53157" w14:textId="77777777" w:rsidR="007E1411" w:rsidRPr="0018386D" w:rsidRDefault="007E1411" w:rsidP="00DD3106">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Description</w:t>
            </w:r>
          </w:p>
        </w:tc>
        <w:tc>
          <w:tcPr>
            <w:tcW w:w="1696" w:type="dxa"/>
            <w:shd w:val="clear" w:color="auto" w:fill="1B556B" w:themeFill="text2"/>
            <w:vAlign w:val="bottom"/>
          </w:tcPr>
          <w:p w14:paraId="5532A7D4" w14:textId="5CD05EDD" w:rsidR="007E1411" w:rsidRPr="0018386D" w:rsidRDefault="007E1411" w:rsidP="00DD3106">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Estimated composition of waste to municipal landfills</w:t>
            </w:r>
          </w:p>
        </w:tc>
        <w:tc>
          <w:tcPr>
            <w:tcW w:w="1847" w:type="dxa"/>
            <w:tcBorders>
              <w:bottom w:val="single" w:sz="8" w:space="0" w:color="1C556C" w:themeColor="accent1"/>
            </w:tcBorders>
            <w:shd w:val="clear" w:color="auto" w:fill="1B556B" w:themeFill="text2"/>
            <w:vAlign w:val="bottom"/>
          </w:tcPr>
          <w:p w14:paraId="7968AED3" w14:textId="567EE2D1" w:rsidR="007E1411" w:rsidRPr="0018386D" w:rsidRDefault="007E1411" w:rsidP="00DD3106">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Estimated composition of waste to non-municipal landfills</w:t>
            </w:r>
          </w:p>
        </w:tc>
      </w:tr>
      <w:tr w:rsidR="007E1411" w:rsidRPr="0018386D" w14:paraId="506BD82C" w14:textId="6B12E0F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7C51AEF4" w14:textId="0BCD9E5A" w:rsidR="007E1411" w:rsidRPr="0018386D" w:rsidRDefault="007E1411" w:rsidP="00DD3106">
            <w:pPr>
              <w:pStyle w:val="TableText"/>
              <w:keepNext/>
              <w:spacing w:before="40" w:after="40"/>
              <w:rPr>
                <w:rFonts w:cs="Calibri"/>
                <w:b w:val="0"/>
                <w:szCs w:val="18"/>
              </w:rPr>
            </w:pPr>
            <w:r w:rsidRPr="0018386D">
              <w:rPr>
                <w:rFonts w:cs="Calibri"/>
                <w:b w:val="0"/>
                <w:szCs w:val="18"/>
              </w:rPr>
              <w:t>Food</w:t>
            </w:r>
          </w:p>
        </w:tc>
        <w:tc>
          <w:tcPr>
            <w:tcW w:w="3459" w:type="dxa"/>
          </w:tcPr>
          <w:p w14:paraId="64B1B682" w14:textId="77777777" w:rsidR="007E1411" w:rsidRPr="0018386D" w:rsidRDefault="007E1411" w:rsidP="00DD3106">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Food waste</w:t>
            </w:r>
          </w:p>
        </w:tc>
        <w:tc>
          <w:tcPr>
            <w:tcW w:w="1696" w:type="dxa"/>
          </w:tcPr>
          <w:p w14:paraId="10B37A69" w14:textId="40D4368D" w:rsidR="007E1411" w:rsidRPr="0018386D" w:rsidRDefault="007B5D71"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9.0</w:t>
            </w:r>
            <w:r w:rsidR="007E1411" w:rsidRPr="0018386D">
              <w:rPr>
                <w:rFonts w:cs="Calibri"/>
                <w:szCs w:val="18"/>
              </w:rPr>
              <w:t>%</w:t>
            </w:r>
          </w:p>
        </w:tc>
        <w:tc>
          <w:tcPr>
            <w:tcW w:w="1847" w:type="dxa"/>
            <w:tcBorders>
              <w:right w:val="nil"/>
            </w:tcBorders>
          </w:tcPr>
          <w:p w14:paraId="4E4D65BB" w14:textId="75FCE7B3" w:rsidR="007E1411" w:rsidRPr="0018386D" w:rsidRDefault="007E1411"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0.01%</w:t>
            </w:r>
          </w:p>
        </w:tc>
      </w:tr>
      <w:tr w:rsidR="007E1411" w:rsidRPr="0018386D" w14:paraId="59B19493" w14:textId="232DD607" w:rsidTr="00C52370">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1C556C" w:themeColor="accent1"/>
              <w:left w:val="nil"/>
              <w:bottom w:val="single" w:sz="8" w:space="0" w:color="1C556C" w:themeColor="accent1"/>
            </w:tcBorders>
          </w:tcPr>
          <w:p w14:paraId="5450FB81" w14:textId="6A40A7B4" w:rsidR="007E1411" w:rsidRPr="0018386D" w:rsidRDefault="007E1411" w:rsidP="00DD3106">
            <w:pPr>
              <w:pStyle w:val="TableText"/>
              <w:spacing w:before="40" w:after="40"/>
              <w:rPr>
                <w:rFonts w:cs="Calibri"/>
                <w:b w:val="0"/>
                <w:szCs w:val="18"/>
              </w:rPr>
            </w:pPr>
            <w:r w:rsidRPr="0018386D">
              <w:rPr>
                <w:rFonts w:cs="Calibri"/>
                <w:b w:val="0"/>
                <w:szCs w:val="18"/>
              </w:rPr>
              <w:t>Garden</w:t>
            </w:r>
          </w:p>
        </w:tc>
        <w:tc>
          <w:tcPr>
            <w:tcW w:w="3459" w:type="dxa"/>
          </w:tcPr>
          <w:p w14:paraId="41CD76CE" w14:textId="77777777" w:rsidR="007E1411" w:rsidRPr="0018386D" w:rsidRDefault="007E1411"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Organic material</w:t>
            </w:r>
          </w:p>
        </w:tc>
        <w:tc>
          <w:tcPr>
            <w:tcW w:w="1696" w:type="dxa"/>
          </w:tcPr>
          <w:p w14:paraId="025388BE" w14:textId="283D9923" w:rsidR="007E1411" w:rsidRPr="0018386D" w:rsidRDefault="003C1E68"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5.7</w:t>
            </w:r>
            <w:r w:rsidR="007E1411" w:rsidRPr="0018386D">
              <w:rPr>
                <w:rFonts w:cs="Calibri"/>
                <w:szCs w:val="18"/>
              </w:rPr>
              <w:t>%</w:t>
            </w:r>
          </w:p>
        </w:tc>
        <w:tc>
          <w:tcPr>
            <w:tcW w:w="1847" w:type="dxa"/>
            <w:tcBorders>
              <w:top w:val="single" w:sz="8" w:space="0" w:color="1C556C" w:themeColor="accent1"/>
              <w:bottom w:val="single" w:sz="8" w:space="0" w:color="1C556C" w:themeColor="accent1"/>
              <w:right w:val="nil"/>
            </w:tcBorders>
          </w:tcPr>
          <w:p w14:paraId="30788EE1" w14:textId="0251A7E8" w:rsidR="007E1411" w:rsidRPr="0018386D" w:rsidRDefault="007E1411"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11.0%</w:t>
            </w:r>
          </w:p>
        </w:tc>
      </w:tr>
      <w:tr w:rsidR="007E1411" w:rsidRPr="0018386D" w14:paraId="621FDF00" w14:textId="6B2D1751"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0C9DA40C" w14:textId="4D6E8965" w:rsidR="007E1411" w:rsidRPr="0018386D" w:rsidRDefault="007E1411" w:rsidP="00DD3106">
            <w:pPr>
              <w:pStyle w:val="TableText"/>
              <w:spacing w:before="40" w:after="40"/>
              <w:rPr>
                <w:rFonts w:cs="Calibri"/>
                <w:b w:val="0"/>
                <w:szCs w:val="18"/>
              </w:rPr>
            </w:pPr>
            <w:r w:rsidRPr="0018386D">
              <w:rPr>
                <w:rFonts w:cs="Calibri"/>
                <w:b w:val="0"/>
                <w:szCs w:val="18"/>
              </w:rPr>
              <w:t>Paper</w:t>
            </w:r>
          </w:p>
        </w:tc>
        <w:tc>
          <w:tcPr>
            <w:tcW w:w="3459" w:type="dxa"/>
          </w:tcPr>
          <w:p w14:paraId="16AB2645" w14:textId="77777777" w:rsidR="007E1411" w:rsidRPr="0018386D" w:rsidRDefault="007E1411"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Paper and cardboard waste</w:t>
            </w:r>
          </w:p>
        </w:tc>
        <w:tc>
          <w:tcPr>
            <w:tcW w:w="1696" w:type="dxa"/>
          </w:tcPr>
          <w:p w14:paraId="3EE7EA9A" w14:textId="5E28AC5A" w:rsidR="007E1411" w:rsidRPr="0018386D" w:rsidRDefault="003C1E68"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5.9</w:t>
            </w:r>
            <w:r w:rsidR="007E1411" w:rsidRPr="0018386D">
              <w:rPr>
                <w:rFonts w:cs="Calibri"/>
                <w:szCs w:val="18"/>
              </w:rPr>
              <w:t>%</w:t>
            </w:r>
          </w:p>
        </w:tc>
        <w:tc>
          <w:tcPr>
            <w:tcW w:w="1847" w:type="dxa"/>
            <w:tcBorders>
              <w:right w:val="nil"/>
            </w:tcBorders>
          </w:tcPr>
          <w:p w14:paraId="3BE47DCE" w14:textId="11A315B9" w:rsidR="007E1411" w:rsidRPr="0018386D" w:rsidRDefault="007E1411"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n/a</w:t>
            </w:r>
          </w:p>
        </w:tc>
      </w:tr>
      <w:tr w:rsidR="007E1411" w:rsidRPr="0018386D" w14:paraId="7EC75E02" w14:textId="4AFD0A84" w:rsidTr="00C52370">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1C556C" w:themeColor="accent1"/>
              <w:left w:val="nil"/>
              <w:bottom w:val="single" w:sz="8" w:space="0" w:color="1C556C" w:themeColor="accent1"/>
            </w:tcBorders>
          </w:tcPr>
          <w:p w14:paraId="7BBAE0A8" w14:textId="2499BBD6" w:rsidR="007E1411" w:rsidRPr="0018386D" w:rsidRDefault="007E1411" w:rsidP="00DD3106">
            <w:pPr>
              <w:pStyle w:val="TableText"/>
              <w:spacing w:before="40" w:after="40"/>
              <w:rPr>
                <w:rFonts w:cs="Calibri"/>
                <w:b w:val="0"/>
                <w:szCs w:val="18"/>
              </w:rPr>
            </w:pPr>
            <w:r w:rsidRPr="0018386D">
              <w:rPr>
                <w:rFonts w:cs="Calibri"/>
                <w:b w:val="0"/>
                <w:szCs w:val="18"/>
              </w:rPr>
              <w:t>Wood</w:t>
            </w:r>
          </w:p>
        </w:tc>
        <w:tc>
          <w:tcPr>
            <w:tcW w:w="3459" w:type="dxa"/>
          </w:tcPr>
          <w:p w14:paraId="4B498F2E" w14:textId="77777777" w:rsidR="007E1411" w:rsidRPr="0018386D" w:rsidRDefault="007E1411"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Wood waste</w:t>
            </w:r>
          </w:p>
        </w:tc>
        <w:tc>
          <w:tcPr>
            <w:tcW w:w="1696" w:type="dxa"/>
          </w:tcPr>
          <w:p w14:paraId="6006C52E" w14:textId="5968F453" w:rsidR="007E1411" w:rsidRPr="0018386D" w:rsidRDefault="003C1E68"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12.6</w:t>
            </w:r>
            <w:r w:rsidR="007E1411" w:rsidRPr="0018386D">
              <w:rPr>
                <w:rFonts w:cs="Calibri"/>
                <w:szCs w:val="18"/>
              </w:rPr>
              <w:t>%</w:t>
            </w:r>
          </w:p>
        </w:tc>
        <w:tc>
          <w:tcPr>
            <w:tcW w:w="1847" w:type="dxa"/>
            <w:tcBorders>
              <w:top w:val="single" w:sz="8" w:space="0" w:color="1C556C" w:themeColor="accent1"/>
              <w:bottom w:val="single" w:sz="8" w:space="0" w:color="1C556C" w:themeColor="accent1"/>
              <w:right w:val="nil"/>
            </w:tcBorders>
          </w:tcPr>
          <w:p w14:paraId="68893627" w14:textId="2A72091E" w:rsidR="007E1411" w:rsidRPr="0018386D" w:rsidRDefault="003C1E68"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6.1</w:t>
            </w:r>
            <w:r w:rsidR="007E1411" w:rsidRPr="0018386D">
              <w:rPr>
                <w:rFonts w:cs="Calibri"/>
                <w:szCs w:val="18"/>
              </w:rPr>
              <w:t>%</w:t>
            </w:r>
          </w:p>
        </w:tc>
      </w:tr>
      <w:tr w:rsidR="007E1411" w:rsidRPr="0018386D" w14:paraId="2FB6C3EB" w14:textId="29E221BD"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416E6CEF" w14:textId="38C7D9E8" w:rsidR="007E1411" w:rsidRPr="0018386D" w:rsidRDefault="007E1411" w:rsidP="00DD3106">
            <w:pPr>
              <w:pStyle w:val="TableText"/>
              <w:spacing w:before="40" w:after="40"/>
              <w:rPr>
                <w:rFonts w:cs="Calibri"/>
                <w:b w:val="0"/>
                <w:szCs w:val="18"/>
              </w:rPr>
            </w:pPr>
            <w:r w:rsidRPr="0018386D">
              <w:rPr>
                <w:rFonts w:cs="Calibri"/>
                <w:b w:val="0"/>
                <w:szCs w:val="18"/>
              </w:rPr>
              <w:t>Textile</w:t>
            </w:r>
          </w:p>
        </w:tc>
        <w:tc>
          <w:tcPr>
            <w:tcW w:w="3459" w:type="dxa"/>
          </w:tcPr>
          <w:p w14:paraId="4455F08E" w14:textId="77777777" w:rsidR="007E1411" w:rsidRPr="0018386D" w:rsidRDefault="007E1411"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Fabrics and other textiles</w:t>
            </w:r>
          </w:p>
        </w:tc>
        <w:tc>
          <w:tcPr>
            <w:tcW w:w="1696" w:type="dxa"/>
          </w:tcPr>
          <w:p w14:paraId="2FFA485C" w14:textId="73D48C20" w:rsidR="007E1411" w:rsidRPr="0018386D" w:rsidRDefault="001D3E1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5.0</w:t>
            </w:r>
            <w:r w:rsidR="007E1411" w:rsidRPr="0018386D">
              <w:rPr>
                <w:rFonts w:cs="Calibri"/>
                <w:szCs w:val="18"/>
              </w:rPr>
              <w:t>%</w:t>
            </w:r>
          </w:p>
        </w:tc>
        <w:tc>
          <w:tcPr>
            <w:tcW w:w="1847" w:type="dxa"/>
            <w:tcBorders>
              <w:right w:val="nil"/>
            </w:tcBorders>
          </w:tcPr>
          <w:p w14:paraId="63351724" w14:textId="64762F38" w:rsidR="007E1411" w:rsidRPr="0018386D" w:rsidRDefault="007E1411"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n/a</w:t>
            </w:r>
          </w:p>
        </w:tc>
      </w:tr>
      <w:tr w:rsidR="007E1411" w:rsidRPr="0018386D" w14:paraId="68A5C362" w14:textId="5B1A496C" w:rsidTr="00C52370">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1C556C" w:themeColor="accent1"/>
              <w:left w:val="nil"/>
              <w:bottom w:val="single" w:sz="8" w:space="0" w:color="1C556C" w:themeColor="accent1"/>
            </w:tcBorders>
          </w:tcPr>
          <w:p w14:paraId="1186E7B0" w14:textId="65FF78F6" w:rsidR="007E1411" w:rsidRPr="0018386D" w:rsidRDefault="007E1411" w:rsidP="00DD3106">
            <w:pPr>
              <w:pStyle w:val="TableText"/>
              <w:spacing w:before="40" w:after="40"/>
              <w:rPr>
                <w:rFonts w:cs="Calibri"/>
                <w:b w:val="0"/>
                <w:szCs w:val="18"/>
              </w:rPr>
            </w:pPr>
            <w:r w:rsidRPr="0018386D">
              <w:rPr>
                <w:rFonts w:cs="Calibri"/>
                <w:b w:val="0"/>
                <w:szCs w:val="18"/>
              </w:rPr>
              <w:t>Nappies</w:t>
            </w:r>
          </w:p>
        </w:tc>
        <w:tc>
          <w:tcPr>
            <w:tcW w:w="3459" w:type="dxa"/>
          </w:tcPr>
          <w:p w14:paraId="7F731231" w14:textId="77777777" w:rsidR="007E1411" w:rsidRPr="0018386D" w:rsidRDefault="007E1411"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Nappies and similar sanitary waste</w:t>
            </w:r>
          </w:p>
        </w:tc>
        <w:tc>
          <w:tcPr>
            <w:tcW w:w="1696" w:type="dxa"/>
          </w:tcPr>
          <w:p w14:paraId="7C8DD809" w14:textId="3C10ABB9" w:rsidR="007E1411" w:rsidRPr="0018386D" w:rsidRDefault="001D3E1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2.5</w:t>
            </w:r>
            <w:r w:rsidR="007E1411" w:rsidRPr="0018386D">
              <w:rPr>
                <w:rFonts w:cs="Calibri"/>
                <w:szCs w:val="18"/>
              </w:rPr>
              <w:t>%</w:t>
            </w:r>
          </w:p>
        </w:tc>
        <w:tc>
          <w:tcPr>
            <w:tcW w:w="1847" w:type="dxa"/>
            <w:tcBorders>
              <w:top w:val="single" w:sz="8" w:space="0" w:color="1C556C" w:themeColor="accent1"/>
              <w:bottom w:val="single" w:sz="8" w:space="0" w:color="1C556C" w:themeColor="accent1"/>
              <w:right w:val="nil"/>
            </w:tcBorders>
          </w:tcPr>
          <w:p w14:paraId="1A7F92CC" w14:textId="24FE6E68" w:rsidR="007E1411" w:rsidRPr="0018386D" w:rsidRDefault="007E1411"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n/a</w:t>
            </w:r>
          </w:p>
        </w:tc>
      </w:tr>
      <w:tr w:rsidR="001D3E15" w:rsidRPr="0018386D" w14:paraId="6BB95EF1"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251ACB2A" w14:textId="273463F8" w:rsidR="001D3E15" w:rsidRPr="0018386D" w:rsidRDefault="001D3E15" w:rsidP="00DD3106">
            <w:pPr>
              <w:pStyle w:val="TableText"/>
              <w:spacing w:before="40" w:after="40"/>
              <w:rPr>
                <w:rFonts w:cs="Calibri"/>
                <w:b w:val="0"/>
                <w:bCs w:val="0"/>
                <w:szCs w:val="18"/>
              </w:rPr>
            </w:pPr>
            <w:r w:rsidRPr="0018386D">
              <w:rPr>
                <w:rFonts w:cs="Calibri"/>
                <w:b w:val="0"/>
                <w:bCs w:val="0"/>
                <w:szCs w:val="18"/>
              </w:rPr>
              <w:t>Sludge</w:t>
            </w:r>
          </w:p>
        </w:tc>
        <w:tc>
          <w:tcPr>
            <w:tcW w:w="3459" w:type="dxa"/>
          </w:tcPr>
          <w:p w14:paraId="0FF0DACF" w14:textId="16982A01" w:rsidR="001D3E15" w:rsidRPr="0018386D" w:rsidRDefault="001D3E1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Sludges from sewer/septic tanks and offal and meat</w:t>
            </w:r>
            <w:r w:rsidR="00067518" w:rsidRPr="0018386D">
              <w:rPr>
                <w:rFonts w:cs="Calibri"/>
                <w:szCs w:val="18"/>
              </w:rPr>
              <w:t>-</w:t>
            </w:r>
            <w:r w:rsidRPr="0018386D">
              <w:rPr>
                <w:rFonts w:cs="Calibri"/>
                <w:szCs w:val="18"/>
              </w:rPr>
              <w:t>based waste</w:t>
            </w:r>
          </w:p>
        </w:tc>
        <w:tc>
          <w:tcPr>
            <w:tcW w:w="1696" w:type="dxa"/>
          </w:tcPr>
          <w:p w14:paraId="2606F4CB" w14:textId="4A373B39" w:rsidR="001D3E15" w:rsidRPr="0018386D" w:rsidRDefault="001D3E1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1.9%</w:t>
            </w:r>
          </w:p>
        </w:tc>
        <w:tc>
          <w:tcPr>
            <w:tcW w:w="1847" w:type="dxa"/>
            <w:tcBorders>
              <w:right w:val="nil"/>
            </w:tcBorders>
          </w:tcPr>
          <w:p w14:paraId="73E9CF0F" w14:textId="52D54528" w:rsidR="001D3E15" w:rsidRPr="0018386D" w:rsidRDefault="00A67D40"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5.0%</w:t>
            </w:r>
          </w:p>
        </w:tc>
      </w:tr>
      <w:tr w:rsidR="007E1411" w:rsidRPr="0018386D" w14:paraId="2FCA2851" w14:textId="4F1A96BF" w:rsidTr="00C52370">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1C556C" w:themeColor="accent1"/>
              <w:left w:val="nil"/>
              <w:bottom w:val="single" w:sz="8" w:space="0" w:color="1C556C" w:themeColor="accent1"/>
            </w:tcBorders>
          </w:tcPr>
          <w:p w14:paraId="3A457905" w14:textId="14D073D9" w:rsidR="007E1411" w:rsidRPr="0018386D" w:rsidRDefault="007E1411" w:rsidP="00DD3106">
            <w:pPr>
              <w:pStyle w:val="TableText"/>
              <w:spacing w:before="40" w:after="40"/>
              <w:rPr>
                <w:rFonts w:cs="Calibri"/>
                <w:b w:val="0"/>
                <w:szCs w:val="18"/>
              </w:rPr>
            </w:pPr>
            <w:r w:rsidRPr="0018386D">
              <w:rPr>
                <w:rFonts w:cs="Calibri"/>
                <w:b w:val="0"/>
                <w:szCs w:val="18"/>
              </w:rPr>
              <w:t>Inert</w:t>
            </w:r>
          </w:p>
        </w:tc>
        <w:tc>
          <w:tcPr>
            <w:tcW w:w="3459" w:type="dxa"/>
          </w:tcPr>
          <w:p w14:paraId="1640764E" w14:textId="109DDAAE" w:rsidR="007E1411" w:rsidRPr="0018386D" w:rsidRDefault="007E1411"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 xml:space="preserve">Waste that does not produce </w:t>
            </w:r>
            <w:r w:rsidR="00831325" w:rsidRPr="0018386D">
              <w:rPr>
                <w:rFonts w:cs="Calibri"/>
                <w:szCs w:val="18"/>
              </w:rPr>
              <w:t>GHG</w:t>
            </w:r>
            <w:r w:rsidRPr="0018386D">
              <w:rPr>
                <w:rFonts w:cs="Calibri"/>
                <w:szCs w:val="18"/>
              </w:rPr>
              <w:t xml:space="preserve"> emissions </w:t>
            </w:r>
          </w:p>
        </w:tc>
        <w:tc>
          <w:tcPr>
            <w:tcW w:w="1696" w:type="dxa"/>
          </w:tcPr>
          <w:p w14:paraId="42075EBC" w14:textId="4CC7E734" w:rsidR="007E1411" w:rsidRPr="0018386D" w:rsidRDefault="00A67D40"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57.3</w:t>
            </w:r>
            <w:r w:rsidR="007E1411" w:rsidRPr="0018386D">
              <w:rPr>
                <w:rFonts w:cs="Calibri"/>
                <w:szCs w:val="18"/>
              </w:rPr>
              <w:t>%</w:t>
            </w:r>
          </w:p>
        </w:tc>
        <w:tc>
          <w:tcPr>
            <w:tcW w:w="1847" w:type="dxa"/>
            <w:tcBorders>
              <w:top w:val="single" w:sz="8" w:space="0" w:color="1C556C" w:themeColor="accent1"/>
              <w:bottom w:val="single" w:sz="8" w:space="0" w:color="1C556C" w:themeColor="accent1"/>
              <w:right w:val="nil"/>
            </w:tcBorders>
          </w:tcPr>
          <w:p w14:paraId="4A15F175" w14:textId="2BFDA2EA" w:rsidR="007E1411" w:rsidRPr="0018386D" w:rsidRDefault="00A67D40"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67.4</w:t>
            </w:r>
            <w:r w:rsidR="007E1411" w:rsidRPr="0018386D">
              <w:rPr>
                <w:rFonts w:cs="Calibri"/>
                <w:szCs w:val="18"/>
              </w:rPr>
              <w:t>%</w:t>
            </w:r>
          </w:p>
        </w:tc>
      </w:tr>
      <w:tr w:rsidR="00963959" w:rsidRPr="0018386D" w14:paraId="2EDB5F12"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5B111275" w14:textId="0EF5DD03" w:rsidR="00963959" w:rsidRPr="0018386D" w:rsidRDefault="00963959" w:rsidP="00DD3106">
            <w:pPr>
              <w:pStyle w:val="TableText"/>
              <w:spacing w:before="40" w:after="40"/>
              <w:rPr>
                <w:rFonts w:cs="Calibri"/>
                <w:b w:val="0"/>
                <w:bCs w:val="0"/>
                <w:szCs w:val="18"/>
              </w:rPr>
            </w:pPr>
            <w:r w:rsidRPr="0018386D">
              <w:rPr>
                <w:rFonts w:cs="Calibri"/>
                <w:b w:val="0"/>
                <w:bCs w:val="0"/>
                <w:szCs w:val="18"/>
              </w:rPr>
              <w:t>C &amp; D</w:t>
            </w:r>
          </w:p>
        </w:tc>
        <w:tc>
          <w:tcPr>
            <w:tcW w:w="3459" w:type="dxa"/>
          </w:tcPr>
          <w:p w14:paraId="38FE061E" w14:textId="092C81B4" w:rsidR="00963959" w:rsidRPr="0018386D" w:rsidRDefault="0096395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Construction and demolition waste</w:t>
            </w:r>
          </w:p>
        </w:tc>
        <w:tc>
          <w:tcPr>
            <w:tcW w:w="1696" w:type="dxa"/>
          </w:tcPr>
          <w:p w14:paraId="043D9128" w14:textId="0B78800E" w:rsidR="00963959" w:rsidRPr="0018386D" w:rsidRDefault="0096395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n/a</w:t>
            </w:r>
          </w:p>
        </w:tc>
        <w:tc>
          <w:tcPr>
            <w:tcW w:w="1847" w:type="dxa"/>
            <w:tcBorders>
              <w:right w:val="nil"/>
            </w:tcBorders>
          </w:tcPr>
          <w:p w14:paraId="48F6605B" w14:textId="3D05CC6E" w:rsidR="00963959" w:rsidRPr="0018386D" w:rsidRDefault="00A67D40"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9.9</w:t>
            </w:r>
            <w:r w:rsidR="00963959" w:rsidRPr="0018386D">
              <w:rPr>
                <w:rFonts w:cs="Calibri"/>
                <w:szCs w:val="18"/>
              </w:rPr>
              <w:t>%</w:t>
            </w:r>
          </w:p>
        </w:tc>
      </w:tr>
      <w:tr w:rsidR="00963959" w:rsidRPr="0018386D" w14:paraId="3EAE4AA3" w14:textId="77777777" w:rsidTr="00C52370">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1C556C" w:themeColor="accent1"/>
              <w:left w:val="nil"/>
              <w:bottom w:val="single" w:sz="8" w:space="0" w:color="1C556C" w:themeColor="accent1"/>
            </w:tcBorders>
          </w:tcPr>
          <w:p w14:paraId="14937239" w14:textId="19DB8281" w:rsidR="00963959" w:rsidRPr="0018386D" w:rsidRDefault="00963959" w:rsidP="00DD3106">
            <w:pPr>
              <w:pStyle w:val="TableText"/>
              <w:spacing w:before="40" w:after="40"/>
              <w:rPr>
                <w:rFonts w:cs="Calibri"/>
                <w:b w:val="0"/>
                <w:bCs w:val="0"/>
                <w:szCs w:val="18"/>
              </w:rPr>
            </w:pPr>
            <w:r w:rsidRPr="0018386D">
              <w:rPr>
                <w:rFonts w:cs="Calibri"/>
                <w:b w:val="0"/>
                <w:bCs w:val="0"/>
                <w:szCs w:val="18"/>
              </w:rPr>
              <w:t>Industrial</w:t>
            </w:r>
          </w:p>
        </w:tc>
        <w:tc>
          <w:tcPr>
            <w:tcW w:w="3459" w:type="dxa"/>
          </w:tcPr>
          <w:p w14:paraId="7791BF2F" w14:textId="152A5260" w:rsidR="00963959" w:rsidRPr="0018386D" w:rsidRDefault="00963959"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Where specific type of industrial is unknown</w:t>
            </w:r>
          </w:p>
        </w:tc>
        <w:tc>
          <w:tcPr>
            <w:tcW w:w="1696" w:type="dxa"/>
          </w:tcPr>
          <w:p w14:paraId="2D605D0B" w14:textId="13A6F99B" w:rsidR="00963959" w:rsidRPr="0018386D" w:rsidRDefault="00963959"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n/a</w:t>
            </w:r>
          </w:p>
        </w:tc>
        <w:tc>
          <w:tcPr>
            <w:tcW w:w="1847" w:type="dxa"/>
            <w:tcBorders>
              <w:top w:val="single" w:sz="8" w:space="0" w:color="1C556C" w:themeColor="accent1"/>
              <w:bottom w:val="single" w:sz="8" w:space="0" w:color="1C556C" w:themeColor="accent1"/>
              <w:right w:val="nil"/>
            </w:tcBorders>
          </w:tcPr>
          <w:p w14:paraId="64DE4948" w14:textId="22806CB5" w:rsidR="00963959" w:rsidRPr="0018386D" w:rsidRDefault="00CF79A0"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0.7</w:t>
            </w:r>
            <w:r w:rsidR="00963959" w:rsidRPr="0018386D">
              <w:rPr>
                <w:rFonts w:cs="Calibri"/>
                <w:szCs w:val="18"/>
              </w:rPr>
              <w:t>%</w:t>
            </w:r>
          </w:p>
        </w:tc>
      </w:tr>
      <w:tr w:rsidR="00963959" w:rsidRPr="0018386D" w14:paraId="5F3662A5" w14:textId="77777777" w:rsidTr="00C5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tcBorders>
          </w:tcPr>
          <w:p w14:paraId="62608612" w14:textId="47548AB1" w:rsidR="00963959" w:rsidRPr="0018386D" w:rsidRDefault="00963959" w:rsidP="00DD3106">
            <w:pPr>
              <w:pStyle w:val="TableText"/>
              <w:spacing w:before="40" w:after="40"/>
              <w:rPr>
                <w:rFonts w:cs="Calibri"/>
                <w:b w:val="0"/>
                <w:bCs w:val="0"/>
                <w:szCs w:val="18"/>
              </w:rPr>
            </w:pPr>
            <w:r w:rsidRPr="0018386D">
              <w:rPr>
                <w:rFonts w:cs="Calibri"/>
                <w:b w:val="0"/>
                <w:bCs w:val="0"/>
                <w:szCs w:val="18"/>
              </w:rPr>
              <w:t>Bulk waste</w:t>
            </w:r>
          </w:p>
        </w:tc>
        <w:tc>
          <w:tcPr>
            <w:tcW w:w="3459" w:type="dxa"/>
          </w:tcPr>
          <w:p w14:paraId="2C043E80" w14:textId="115981B2" w:rsidR="00963959" w:rsidRPr="0018386D" w:rsidRDefault="00963959"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General domestic and farm waste</w:t>
            </w:r>
          </w:p>
        </w:tc>
        <w:tc>
          <w:tcPr>
            <w:tcW w:w="1696" w:type="dxa"/>
          </w:tcPr>
          <w:p w14:paraId="39DE85CC" w14:textId="31D13187" w:rsidR="00963959" w:rsidRPr="0018386D" w:rsidRDefault="00963959"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n/a</w:t>
            </w:r>
          </w:p>
        </w:tc>
        <w:tc>
          <w:tcPr>
            <w:tcW w:w="1847" w:type="dxa"/>
            <w:tcBorders>
              <w:right w:val="nil"/>
            </w:tcBorders>
          </w:tcPr>
          <w:p w14:paraId="28BFC006" w14:textId="33D71FF1" w:rsidR="00963959" w:rsidRPr="0018386D" w:rsidRDefault="00CF79A0"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0.1</w:t>
            </w:r>
            <w:r w:rsidR="00963959" w:rsidRPr="0018386D">
              <w:rPr>
                <w:rFonts w:cs="Calibri"/>
                <w:szCs w:val="18"/>
              </w:rPr>
              <w:t>%</w:t>
            </w:r>
          </w:p>
        </w:tc>
      </w:tr>
    </w:tbl>
    <w:p w14:paraId="4E6EBB01" w14:textId="5FF802AE" w:rsidR="0B3E6E2F" w:rsidRPr="0018386D" w:rsidRDefault="0B3E6E2F" w:rsidP="00DD3106">
      <w:pPr>
        <w:pStyle w:val="Note"/>
        <w:rPr>
          <w:rFonts w:eastAsia="Calibri" w:cs="Calibri"/>
          <w:sz w:val="22"/>
        </w:rPr>
      </w:pPr>
      <w:r w:rsidRPr="0018386D">
        <w:rPr>
          <w:rFonts w:eastAsia="Calibri" w:cs="Calibri"/>
          <w:b/>
          <w:bCs/>
          <w:color w:val="000000" w:themeColor="text1"/>
          <w:szCs w:val="18"/>
        </w:rPr>
        <w:t>Note:</w:t>
      </w:r>
      <w:r w:rsidRPr="0018386D">
        <w:rPr>
          <w:rFonts w:eastAsia="Calibri" w:cs="Calibri"/>
          <w:color w:val="000000" w:themeColor="text1"/>
          <w:szCs w:val="18"/>
        </w:rPr>
        <w:t xml:space="preserve"> The composition for municipal landfills is based on a survey of 2018 data, and the composition for non-municipal landfills is based on an estimate for 2015. Columns may not total to 100% due to rounding.</w:t>
      </w:r>
    </w:p>
    <w:p w14:paraId="78DEB328" w14:textId="16057AF1" w:rsidR="00427631" w:rsidRPr="0018386D" w:rsidRDefault="00427631" w:rsidP="00DD3106">
      <w:pPr>
        <w:pStyle w:val="BodyText"/>
      </w:pPr>
      <w:bookmarkStart w:id="849" w:name="_Toc532904954"/>
      <w:r w:rsidRPr="0018386D">
        <w:t xml:space="preserve">Substances such as plastics, metals and glass are inert because their decomposition </w:t>
      </w:r>
      <w:r w:rsidR="00CF79A0" w:rsidRPr="0018386D">
        <w:t>in landfill</w:t>
      </w:r>
      <w:r w:rsidR="00C316E2" w:rsidRPr="0018386D">
        <w:t>s</w:t>
      </w:r>
      <w:r w:rsidR="00CF79A0" w:rsidRPr="0018386D">
        <w:t xml:space="preserve"> </w:t>
      </w:r>
      <w:r w:rsidRPr="0018386D">
        <w:t>does not directly produce GHG emissions. Only waste that contains degradable organic carbon produces methane as it breaks down.</w:t>
      </w:r>
    </w:p>
    <w:p w14:paraId="128BEEE2" w14:textId="77777777" w:rsidR="00427631" w:rsidRPr="0018386D" w:rsidRDefault="00427631" w:rsidP="00DD3106">
      <w:pPr>
        <w:pStyle w:val="BodyText"/>
      </w:pPr>
      <w:r w:rsidRPr="0018386D">
        <w:t>We provide no methodology for nitrous oxide emissions from waste disposal because the IPCC</w:t>
      </w:r>
      <w:r w:rsidRPr="0018386D">
        <w:rPr>
          <w:rStyle w:val="FootnoteReference"/>
        </w:rPr>
        <w:footnoteReference w:id="62"/>
      </w:r>
      <w:r w:rsidRPr="0018386D">
        <w:t xml:space="preserve"> has found them to be insignificant. </w:t>
      </w:r>
    </w:p>
    <w:p w14:paraId="14407618" w14:textId="5E731F3C" w:rsidR="00A959E4" w:rsidRPr="0018386D" w:rsidRDefault="00A959E4" w:rsidP="00DD3106">
      <w:pPr>
        <w:pStyle w:val="Heading3"/>
        <w:numPr>
          <w:ilvl w:val="2"/>
          <w:numId w:val="8"/>
        </w:numPr>
        <w:ind w:left="1134" w:hanging="1134"/>
        <w:jc w:val="both"/>
      </w:pPr>
      <w:r w:rsidRPr="0018386D">
        <w:lastRenderedPageBreak/>
        <w:t>Whe</w:t>
      </w:r>
      <w:r w:rsidR="000C3EF0" w:rsidRPr="0018386D">
        <w:t>n</w:t>
      </w:r>
      <w:r w:rsidRPr="0018386D">
        <w:t xml:space="preserve"> composition of waste is known</w:t>
      </w:r>
      <w:bookmarkEnd w:id="849"/>
      <w:r w:rsidRPr="0018386D">
        <w:t xml:space="preserve"> </w:t>
      </w:r>
    </w:p>
    <w:p w14:paraId="07FF4433" w14:textId="19A8B424" w:rsidR="00A959E4" w:rsidRPr="0018386D" w:rsidRDefault="000C3EF0" w:rsidP="00DD3106">
      <w:pPr>
        <w:pStyle w:val="BodyText"/>
      </w:pPr>
      <w:r w:rsidRPr="0018386D">
        <w:t xml:space="preserve">If </w:t>
      </w:r>
      <w:r w:rsidR="00A959E4" w:rsidRPr="0018386D">
        <w:t>the composition of waste is known</w:t>
      </w:r>
      <w:r w:rsidRPr="0018386D">
        <w:t>,</w:t>
      </w:r>
      <w:r w:rsidR="00A959E4" w:rsidRPr="0018386D">
        <w:t xml:space="preserve"> use the specific emission factors for each waste stream based on k</w:t>
      </w:r>
      <w:r w:rsidR="00624544" w:rsidRPr="0018386D">
        <w:t>ilo</w:t>
      </w:r>
      <w:r w:rsidR="00A959E4" w:rsidRPr="0018386D">
        <w:t>g</w:t>
      </w:r>
      <w:r w:rsidR="00624544" w:rsidRPr="0018386D">
        <w:t>rams</w:t>
      </w:r>
      <w:r w:rsidR="00A959E4" w:rsidRPr="0018386D">
        <w:t xml:space="preserve"> of waste produced. </w:t>
      </w:r>
    </w:p>
    <w:p w14:paraId="6E132030" w14:textId="2B3EDEF4" w:rsidR="00A959E4" w:rsidRPr="0018386D" w:rsidRDefault="00A80972" w:rsidP="00DD3106">
      <w:pPr>
        <w:pStyle w:val="BodyText"/>
        <w:spacing w:after="180"/>
      </w:pPr>
      <w:r w:rsidRPr="0018386D">
        <w:t>We generated e</w:t>
      </w:r>
      <w:r w:rsidR="00A959E4" w:rsidRPr="0018386D">
        <w:t>mission factors for each waste category</w:t>
      </w:r>
      <w:r w:rsidR="000C3EF0" w:rsidRPr="0018386D">
        <w:t>,</w:t>
      </w:r>
      <w:r w:rsidR="00A959E4" w:rsidRPr="0018386D">
        <w:t xml:space="preserve"> following a simplification of the IPCC First Order Decay model.</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B6727F" w:rsidRPr="0018386D" w14:paraId="36901E18" w14:textId="77777777" w:rsidTr="00BF5F39">
        <w:tc>
          <w:tcPr>
            <w:tcW w:w="0" w:type="auto"/>
            <w:shd w:val="clear" w:color="auto" w:fill="D2DDE1" w:themeFill="background2"/>
          </w:tcPr>
          <w:p w14:paraId="572160EC" w14:textId="70AF2F6C" w:rsidR="00B6727F" w:rsidRPr="0018386D" w:rsidRDefault="00A403E2" w:rsidP="00DD3106">
            <w:pPr>
              <w:pStyle w:val="Blueboxtext"/>
              <w:ind w:left="0"/>
            </w:pPr>
            <m:oMathPara>
              <m:oMathParaPr>
                <m:jc m:val="left"/>
              </m:oMathParaPr>
              <m:oMath>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DOC</m:t>
                </m:r>
                <m:r>
                  <m:rPr>
                    <m:sty m:val="p"/>
                  </m:rPr>
                  <w:rPr>
                    <w:rFonts w:ascii="Cambria Math" w:hAnsi="Cambria Math"/>
                  </w:rPr>
                  <m:t xml:space="preserve"> × </m:t>
                </m:r>
                <m:r>
                  <w:rPr>
                    <w:rFonts w:ascii="Cambria Math" w:hAnsi="Cambria Math"/>
                  </w:rPr>
                  <m:t>DOCf</m:t>
                </m:r>
                <m:r>
                  <m:rPr>
                    <m:sty m:val="p"/>
                  </m:rPr>
                  <w:rPr>
                    <w:rFonts w:ascii="Cambria Math" w:hAnsi="Cambria Math"/>
                  </w:rPr>
                  <m:t xml:space="preserve"> × </m:t>
                </m:r>
                <m:r>
                  <w:rPr>
                    <w:rFonts w:ascii="Cambria Math" w:hAnsi="Cambria Math"/>
                  </w:rPr>
                  <m:t>F</m:t>
                </m:r>
                <m:r>
                  <m:rPr>
                    <m:sty m:val="p"/>
                  </m:rPr>
                  <w:rPr>
                    <w:rFonts w:ascii="Cambria Math" w:hAnsi="Cambria Math"/>
                  </w:rPr>
                  <m:t xml:space="preserve"> × </m:t>
                </m:r>
                <m:r>
                  <w:rPr>
                    <w:rFonts w:ascii="Cambria Math" w:hAnsi="Cambria Math"/>
                  </w:rPr>
                  <m:t>MCF</m:t>
                </m:r>
                <m:r>
                  <m:rPr>
                    <m:sty m:val="p"/>
                  </m:rPr>
                  <w:rPr>
                    <w:rFonts w:ascii="Cambria Math" w:hAnsi="Cambria Math"/>
                  </w:rPr>
                  <m:t xml:space="preserve"> × </m:t>
                </m:r>
                <m:r>
                  <w:rPr>
                    <w:rFonts w:ascii="Cambria Math" w:hAnsi="Cambria Math"/>
                  </w:rPr>
                  <m:t>conversion</m:t>
                </m:r>
                <m:r>
                  <m:rPr>
                    <m:sty m:val="p"/>
                  </m:rPr>
                  <w:rPr>
                    <w:rFonts w:ascii="Cambria Math" w:hAnsi="Cambria Math"/>
                  </w:rPr>
                  <m:t xml:space="preserve"> × </m:t>
                </m:r>
                <m:d>
                  <m:dPr>
                    <m:ctrlPr>
                      <w:rPr>
                        <w:rFonts w:ascii="Cambria Math" w:hAnsi="Cambria Math"/>
                      </w:rPr>
                    </m:ctrlPr>
                  </m:dPr>
                  <m:e>
                    <m:r>
                      <m:rPr>
                        <m:sty m:val="p"/>
                      </m:rPr>
                      <w:rPr>
                        <w:rFonts w:ascii="Cambria Math" w:hAnsi="Cambria Math"/>
                      </w:rPr>
                      <m:t>1-</m:t>
                    </m:r>
                    <m:r>
                      <w:rPr>
                        <w:rFonts w:ascii="Cambria Math" w:hAnsi="Cambria Math"/>
                      </w:rPr>
                      <m:t>oxidation</m:t>
                    </m:r>
                  </m:e>
                </m:d>
                <m:r>
                  <m:rPr>
                    <m:sty m:val="p"/>
                  </m:rPr>
                  <w:rPr>
                    <w:rFonts w:ascii="Cambria Math" w:hAnsi="Cambria Math"/>
                  </w:rPr>
                  <m:t>× (1-</m:t>
                </m:r>
                <m:r>
                  <w:rPr>
                    <w:rFonts w:ascii="Cambria Math" w:hAnsi="Cambria Math"/>
                  </w:rPr>
                  <m:t>recovery</m:t>
                </m:r>
                <m:r>
                  <m:rPr>
                    <m:sty m:val="p"/>
                  </m:rPr>
                  <w:rPr>
                    <w:rFonts w:ascii="Cambria Math" w:hAnsi="Cambria Math"/>
                  </w:rPr>
                  <m:t>) ×</m:t>
                </m:r>
                <m:r>
                  <w:rPr>
                    <w:rFonts w:ascii="Cambria Math" w:hAnsi="Cambria Math"/>
                  </w:rPr>
                  <m:t>GWP</m:t>
                </m:r>
              </m:oMath>
            </m:oMathPara>
          </w:p>
        </w:tc>
      </w:tr>
    </w:tbl>
    <w:p w14:paraId="4D6A867C" w14:textId="77777777" w:rsidR="00A959E4" w:rsidRPr="0018386D" w:rsidRDefault="00A959E4" w:rsidP="00DD3106">
      <w:pPr>
        <w:pStyle w:val="BodyText"/>
        <w:keepNext/>
        <w:spacing w:before="240" w:after="100"/>
      </w:pPr>
      <w:r w:rsidRPr="0018386D">
        <w:t xml:space="preserve">Where: </w:t>
      </w:r>
    </w:p>
    <w:p w14:paraId="0AB62FEC" w14:textId="54ED72B1" w:rsidR="00A959E4" w:rsidRPr="0018386D" w:rsidRDefault="00A959E4" w:rsidP="00DD3106">
      <w:pPr>
        <w:pStyle w:val="Bullet"/>
      </w:pPr>
      <w:r w:rsidRPr="0018386D">
        <w:t xml:space="preserve">DOC = </w:t>
      </w:r>
      <w:r w:rsidR="00CF79A0" w:rsidRPr="0018386D">
        <w:t xml:space="preserve">amount of </w:t>
      </w:r>
      <w:r w:rsidRPr="0018386D">
        <w:t>degradable organic carbon</w:t>
      </w:r>
      <w:r w:rsidR="00CF79A0" w:rsidRPr="0018386D">
        <w:t xml:space="preserve"> in the material</w:t>
      </w:r>
    </w:p>
    <w:p w14:paraId="0A59214B" w14:textId="1DEF7AAB" w:rsidR="00A959E4" w:rsidRPr="0018386D" w:rsidRDefault="00A959E4" w:rsidP="00DD3106">
      <w:pPr>
        <w:pStyle w:val="Bullet"/>
      </w:pPr>
      <w:proofErr w:type="spellStart"/>
      <w:r w:rsidRPr="0018386D">
        <w:t>DOC</w:t>
      </w:r>
      <w:r w:rsidR="00CF79A0" w:rsidRPr="0018386D">
        <w:t>f</w:t>
      </w:r>
      <w:proofErr w:type="spellEnd"/>
      <w:r w:rsidRPr="0018386D">
        <w:t xml:space="preserve"> = fraction of DOC </w:t>
      </w:r>
      <w:r w:rsidR="00CF79A0" w:rsidRPr="0018386D">
        <w:t>that degrades in landfill</w:t>
      </w:r>
    </w:p>
    <w:p w14:paraId="185EE256" w14:textId="0741A214" w:rsidR="00A959E4" w:rsidRPr="0018386D" w:rsidRDefault="00A959E4" w:rsidP="00DD3106">
      <w:pPr>
        <w:pStyle w:val="Bullet"/>
      </w:pPr>
      <w:r w:rsidRPr="0018386D">
        <w:t xml:space="preserve">F = fraction of CH4 in </w:t>
      </w:r>
      <w:r w:rsidR="00CF79A0" w:rsidRPr="0018386D">
        <w:t xml:space="preserve">the gas that is generated inside the </w:t>
      </w:r>
      <w:r w:rsidRPr="0018386D">
        <w:t xml:space="preserve">landfill </w:t>
      </w:r>
    </w:p>
    <w:p w14:paraId="0B1DB78A" w14:textId="4C3266B3" w:rsidR="00A959E4" w:rsidRPr="0018386D" w:rsidRDefault="00A959E4" w:rsidP="00DD3106">
      <w:pPr>
        <w:pStyle w:val="Bullet"/>
      </w:pPr>
      <w:r w:rsidRPr="0018386D">
        <w:t>MC</w:t>
      </w:r>
      <w:r w:rsidR="00F34C31" w:rsidRPr="0018386D">
        <w:t>F</w:t>
      </w:r>
      <w:r w:rsidRPr="0018386D">
        <w:t xml:space="preserve"> = methane correction factor</w:t>
      </w:r>
      <w:r w:rsidR="00CF79A0" w:rsidRPr="0018386D">
        <w:t xml:space="preserve"> (the extent that the landfill is anaerobic)</w:t>
      </w:r>
    </w:p>
    <w:p w14:paraId="0E16E8C0" w14:textId="2344E5A0" w:rsidR="00A959E4" w:rsidRPr="0018386D" w:rsidRDefault="00386BD8" w:rsidP="00DD3106">
      <w:pPr>
        <w:pStyle w:val="Bullet"/>
      </w:pPr>
      <w:r w:rsidRPr="0018386D">
        <w:t>c</w:t>
      </w:r>
      <w:r w:rsidR="00A959E4" w:rsidRPr="0018386D">
        <w:t>onversion = conversion of carbon to methane (molecular weight ratio CH4/C)</w:t>
      </w:r>
    </w:p>
    <w:p w14:paraId="1FEBC965" w14:textId="0027E45B" w:rsidR="00A959E4" w:rsidRPr="0018386D" w:rsidRDefault="00386BD8" w:rsidP="00DD3106">
      <w:pPr>
        <w:pStyle w:val="Bullet"/>
      </w:pPr>
      <w:r w:rsidRPr="0018386D">
        <w:t>r</w:t>
      </w:r>
      <w:r w:rsidR="005870B0" w:rsidRPr="0018386D">
        <w:t xml:space="preserve">ecovery </w:t>
      </w:r>
      <w:r w:rsidR="00A959E4" w:rsidRPr="0018386D">
        <w:t>= fraction of methane recovered where landf</w:t>
      </w:r>
      <w:r w:rsidR="006F1206" w:rsidRPr="0018386D">
        <w:t xml:space="preserve">ill gas systems are in place, </w:t>
      </w:r>
      <w:r w:rsidR="00A959E4" w:rsidRPr="0018386D">
        <w:t>otherwise</w:t>
      </w:r>
      <w:r w:rsidR="00E424B6" w:rsidRPr="0018386D">
        <w:t xml:space="preserve"> use 0</w:t>
      </w:r>
    </w:p>
    <w:p w14:paraId="3399F1A6" w14:textId="1D48DD67" w:rsidR="00A959E4" w:rsidRPr="0018386D" w:rsidRDefault="00386BD8" w:rsidP="00DD3106">
      <w:pPr>
        <w:pStyle w:val="Bullet"/>
      </w:pPr>
      <w:r w:rsidRPr="0018386D">
        <w:t>o</w:t>
      </w:r>
      <w:r w:rsidR="005870B0" w:rsidRPr="0018386D">
        <w:t xml:space="preserve">xidation </w:t>
      </w:r>
      <w:r w:rsidR="00A959E4" w:rsidRPr="0018386D">
        <w:t xml:space="preserve">= oxidation factor </w:t>
      </w:r>
      <w:r w:rsidR="00CF79A0" w:rsidRPr="0018386D">
        <w:t>of methane that degrades before being emitted</w:t>
      </w:r>
    </w:p>
    <w:p w14:paraId="33D82B7F" w14:textId="39D817D9" w:rsidR="00A959E4" w:rsidRPr="0018386D" w:rsidRDefault="00535F0B" w:rsidP="00DD3106">
      <w:pPr>
        <w:pStyle w:val="Bullet"/>
      </w:pPr>
      <w:r w:rsidRPr="0018386D">
        <w:t>GWP =</w:t>
      </w:r>
      <w:r w:rsidR="00A959E4" w:rsidRPr="0018386D">
        <w:t xml:space="preserve"> </w:t>
      </w:r>
      <w:r w:rsidR="00386BD8" w:rsidRPr="0018386D">
        <w:t>g</w:t>
      </w:r>
      <w:r w:rsidR="00A959E4" w:rsidRPr="0018386D">
        <w:t>lobal warming potential of methane</w:t>
      </w:r>
      <w:r w:rsidR="00386BD8" w:rsidRPr="0018386D">
        <w:t>.</w:t>
      </w:r>
    </w:p>
    <w:p w14:paraId="777EEB79" w14:textId="3F3ABA11" w:rsidR="00C57282" w:rsidRPr="0018386D" w:rsidRDefault="00535F0B" w:rsidP="00DD3106">
      <w:pPr>
        <w:pStyle w:val="BodyText"/>
      </w:pPr>
      <w:r w:rsidRPr="0018386D">
        <w:t xml:space="preserve">We used the waste information from </w:t>
      </w:r>
      <w:r w:rsidR="006264E4" w:rsidRPr="0018386D">
        <w:t xml:space="preserve">the </w:t>
      </w:r>
      <w:r w:rsidR="00855F98" w:rsidRPr="0018386D">
        <w:t>N</w:t>
      </w:r>
      <w:r w:rsidR="006264E4" w:rsidRPr="0018386D">
        <w:t>ational</w:t>
      </w:r>
      <w:r w:rsidR="006264E4" w:rsidRPr="0018386D">
        <w:rPr>
          <w:rFonts w:eastAsia="Times New Roman" w:cs="Times New Roman"/>
        </w:rPr>
        <w:t xml:space="preserve"> </w:t>
      </w:r>
      <w:r w:rsidR="00855F98" w:rsidRPr="0018386D">
        <w:rPr>
          <w:rFonts w:eastAsia="Times New Roman" w:cs="Times New Roman"/>
        </w:rPr>
        <w:t>I</w:t>
      </w:r>
      <w:r w:rsidR="006264E4" w:rsidRPr="0018386D">
        <w:rPr>
          <w:rFonts w:eastAsia="Times New Roman" w:cs="Times New Roman"/>
        </w:rPr>
        <w:t>nventory</w:t>
      </w:r>
      <w:r w:rsidR="00855F98" w:rsidRPr="0018386D">
        <w:rPr>
          <w:rFonts w:eastAsia="Times New Roman" w:cs="Times New Roman"/>
        </w:rPr>
        <w:t xml:space="preserve"> Report</w:t>
      </w:r>
      <w:r w:rsidR="006264E4" w:rsidRPr="0018386D">
        <w:rPr>
          <w:rFonts w:eastAsia="Times New Roman" w:cs="Times New Roman"/>
        </w:rPr>
        <w:t xml:space="preserve"> </w:t>
      </w:r>
      <w:r w:rsidRPr="0018386D">
        <w:t>to develop</w:t>
      </w:r>
      <w:r w:rsidR="00A959E4" w:rsidRPr="0018386D">
        <w:t xml:space="preserve"> </w:t>
      </w:r>
      <w:r w:rsidR="006264E4" w:rsidRPr="0018386D">
        <w:t xml:space="preserve">solid waste </w:t>
      </w:r>
      <w:r w:rsidR="00A959E4" w:rsidRPr="0018386D">
        <w:t xml:space="preserve">emission factors for voluntary reporting. </w:t>
      </w:r>
    </w:p>
    <w:p w14:paraId="11471846" w14:textId="17FB86E7" w:rsidR="00A959E4" w:rsidRPr="0018386D" w:rsidRDefault="00EB4389" w:rsidP="00DD3106">
      <w:pPr>
        <w:pStyle w:val="Tableheading"/>
      </w:pPr>
      <w:bookmarkStart w:id="850" w:name="Table78"/>
      <w:bookmarkStart w:id="851" w:name="_Toc140049018"/>
      <w:bookmarkStart w:id="852" w:name="_Toc111536690"/>
      <w:r w:rsidRPr="0018386D">
        <w:t xml:space="preserve">Table </w:t>
      </w:r>
      <w:r w:rsidRPr="0018386D">
        <w:fldChar w:fldCharType="begin"/>
      </w:r>
      <w:r w:rsidRPr="0018386D">
        <w:instrText>SEQ Table \* ARABIC</w:instrText>
      </w:r>
      <w:r w:rsidRPr="0018386D">
        <w:fldChar w:fldCharType="separate"/>
      </w:r>
      <w:r w:rsidR="0085383F" w:rsidRPr="0018386D">
        <w:t>78</w:t>
      </w:r>
      <w:r w:rsidRPr="0018386D">
        <w:fldChar w:fldCharType="end"/>
      </w:r>
      <w:bookmarkEnd w:id="850"/>
      <w:r w:rsidRPr="0018386D">
        <w:t>:</w:t>
      </w:r>
      <w:r w:rsidRPr="0018386D">
        <w:tab/>
      </w:r>
      <w:r w:rsidR="00A959E4" w:rsidRPr="0018386D">
        <w:t>Information on managed solid waste</w:t>
      </w:r>
      <w:bookmarkEnd w:id="851"/>
      <w:r w:rsidR="00A959E4" w:rsidRPr="0018386D">
        <w:t xml:space="preserve"> </w:t>
      </w:r>
      <w:bookmarkEnd w:id="852"/>
    </w:p>
    <w:tbl>
      <w:tblPr>
        <w:tblStyle w:val="LightList-Accent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063"/>
        <w:gridCol w:w="1063"/>
        <w:gridCol w:w="1063"/>
        <w:gridCol w:w="1063"/>
        <w:gridCol w:w="1063"/>
        <w:gridCol w:w="1063"/>
        <w:gridCol w:w="1063"/>
        <w:gridCol w:w="1064"/>
      </w:tblGrid>
      <w:tr w:rsidR="000A1D56" w:rsidRPr="0018386D" w14:paraId="5DD65D95" w14:textId="77777777" w:rsidTr="00C24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Borders>
              <w:bottom w:val="single" w:sz="8" w:space="0" w:color="1C556C" w:themeColor="accent1"/>
            </w:tcBorders>
            <w:shd w:val="clear" w:color="auto" w:fill="1B556B" w:themeFill="text2"/>
          </w:tcPr>
          <w:p w14:paraId="6F7AEC80" w14:textId="77777777" w:rsidR="00A959E4" w:rsidRPr="0018386D" w:rsidRDefault="00A959E4" w:rsidP="00DD3106">
            <w:pPr>
              <w:pStyle w:val="TableText"/>
              <w:spacing w:before="20" w:after="20"/>
              <w:rPr>
                <w:rFonts w:cs="Calibri"/>
                <w:szCs w:val="18"/>
              </w:rPr>
            </w:pPr>
            <w:r w:rsidRPr="0018386D">
              <w:rPr>
                <w:rFonts w:cs="Calibri"/>
                <w:szCs w:val="18"/>
              </w:rPr>
              <w:t>Category</w:t>
            </w:r>
          </w:p>
        </w:tc>
        <w:tc>
          <w:tcPr>
            <w:tcW w:w="1063" w:type="dxa"/>
            <w:shd w:val="clear" w:color="auto" w:fill="1B556B" w:themeFill="text2"/>
          </w:tcPr>
          <w:p w14:paraId="59CFD7BF" w14:textId="77777777" w:rsidR="00A959E4" w:rsidRPr="0018386D" w:rsidRDefault="00A959E4" w:rsidP="00DD3106">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DOC</w:t>
            </w:r>
          </w:p>
        </w:tc>
        <w:tc>
          <w:tcPr>
            <w:tcW w:w="1063" w:type="dxa"/>
            <w:shd w:val="clear" w:color="auto" w:fill="1B556B" w:themeFill="text2"/>
          </w:tcPr>
          <w:p w14:paraId="15948DEF" w14:textId="3C4A7426" w:rsidR="00A959E4" w:rsidRPr="0018386D" w:rsidRDefault="00A959E4" w:rsidP="00DD3106">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proofErr w:type="spellStart"/>
            <w:r w:rsidRPr="0018386D">
              <w:rPr>
                <w:rFonts w:cs="Calibri"/>
                <w:szCs w:val="18"/>
              </w:rPr>
              <w:t>DOC</w:t>
            </w:r>
            <w:r w:rsidR="00CF79A0" w:rsidRPr="0018386D">
              <w:rPr>
                <w:rFonts w:cs="Calibri"/>
                <w:szCs w:val="18"/>
              </w:rPr>
              <w:t>f</w:t>
            </w:r>
            <w:proofErr w:type="spellEnd"/>
          </w:p>
        </w:tc>
        <w:tc>
          <w:tcPr>
            <w:tcW w:w="1063" w:type="dxa"/>
            <w:shd w:val="clear" w:color="auto" w:fill="1B556B" w:themeFill="text2"/>
          </w:tcPr>
          <w:p w14:paraId="7F15D19A" w14:textId="77777777" w:rsidR="00A959E4" w:rsidRPr="0018386D" w:rsidRDefault="00A959E4" w:rsidP="00DD3106">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F</w:t>
            </w:r>
          </w:p>
        </w:tc>
        <w:tc>
          <w:tcPr>
            <w:tcW w:w="1063" w:type="dxa"/>
            <w:shd w:val="clear" w:color="auto" w:fill="1B556B" w:themeFill="text2"/>
          </w:tcPr>
          <w:p w14:paraId="0317019A" w14:textId="77777777" w:rsidR="00A959E4" w:rsidRPr="0018386D" w:rsidRDefault="00A959E4" w:rsidP="00DD3106">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MCF</w:t>
            </w:r>
          </w:p>
        </w:tc>
        <w:tc>
          <w:tcPr>
            <w:tcW w:w="1063" w:type="dxa"/>
            <w:shd w:val="clear" w:color="auto" w:fill="1B556B" w:themeFill="text2"/>
          </w:tcPr>
          <w:p w14:paraId="24A51FC7" w14:textId="77777777" w:rsidR="00A959E4" w:rsidRPr="0018386D" w:rsidRDefault="00A959E4" w:rsidP="00DD3106">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Conversion</w:t>
            </w:r>
          </w:p>
        </w:tc>
        <w:tc>
          <w:tcPr>
            <w:tcW w:w="1063" w:type="dxa"/>
            <w:shd w:val="clear" w:color="auto" w:fill="1B556B" w:themeFill="text2"/>
          </w:tcPr>
          <w:p w14:paraId="6DC0DCED" w14:textId="77777777" w:rsidR="00A959E4" w:rsidRPr="0018386D" w:rsidRDefault="00A959E4" w:rsidP="00DD3106">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Ox</w:t>
            </w:r>
          </w:p>
        </w:tc>
        <w:tc>
          <w:tcPr>
            <w:tcW w:w="1064" w:type="dxa"/>
            <w:tcBorders>
              <w:bottom w:val="single" w:sz="8" w:space="0" w:color="1C556C" w:themeColor="accent1"/>
            </w:tcBorders>
            <w:shd w:val="clear" w:color="auto" w:fill="1B556B" w:themeFill="text2"/>
          </w:tcPr>
          <w:p w14:paraId="1AE85375" w14:textId="0D5E21AE" w:rsidR="00A959E4" w:rsidRPr="0018386D" w:rsidRDefault="00A959E4" w:rsidP="00DD3106">
            <w:pPr>
              <w:pStyle w:val="TableT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R</w:t>
            </w:r>
          </w:p>
        </w:tc>
      </w:tr>
      <w:tr w:rsidR="006C7B7D" w:rsidRPr="0018386D" w14:paraId="14C92F02" w14:textId="77777777" w:rsidTr="00C2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Borders>
              <w:left w:val="nil"/>
            </w:tcBorders>
          </w:tcPr>
          <w:p w14:paraId="03D1122C" w14:textId="77777777" w:rsidR="00E402A9" w:rsidRPr="0018386D" w:rsidRDefault="00E402A9" w:rsidP="00DD3106">
            <w:pPr>
              <w:pStyle w:val="TableText"/>
              <w:spacing w:before="20" w:after="20"/>
              <w:rPr>
                <w:rFonts w:cs="Calibri"/>
                <w:b w:val="0"/>
                <w:szCs w:val="18"/>
              </w:rPr>
            </w:pPr>
            <w:r w:rsidRPr="0018386D">
              <w:rPr>
                <w:rFonts w:cs="Calibri"/>
                <w:b w:val="0"/>
                <w:szCs w:val="18"/>
              </w:rPr>
              <w:t>Food</w:t>
            </w:r>
          </w:p>
        </w:tc>
        <w:tc>
          <w:tcPr>
            <w:tcW w:w="1063" w:type="dxa"/>
          </w:tcPr>
          <w:p w14:paraId="06B2CAD3" w14:textId="797D04BE"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0.15</w:t>
            </w:r>
            <w:r w:rsidR="00CF79A0" w:rsidRPr="0018386D">
              <w:rPr>
                <w:rFonts w:cs="Calibri"/>
                <w:szCs w:val="18"/>
              </w:rPr>
              <w:t>7</w:t>
            </w:r>
          </w:p>
        </w:tc>
        <w:tc>
          <w:tcPr>
            <w:tcW w:w="1063" w:type="dxa"/>
          </w:tcPr>
          <w:p w14:paraId="141BB3E8" w14:textId="0F56AB2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r w:rsidR="00CF79A0" w:rsidRPr="0018386D">
              <w:rPr>
                <w:rFonts w:cs="Calibri"/>
                <w:szCs w:val="18"/>
              </w:rPr>
              <w:t>70</w:t>
            </w:r>
          </w:p>
        </w:tc>
        <w:tc>
          <w:tcPr>
            <w:tcW w:w="1063" w:type="dxa"/>
          </w:tcPr>
          <w:p w14:paraId="05D1880D" w14:textId="7C9436EE"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r w:rsidR="00CF79A0" w:rsidRPr="0018386D">
              <w:rPr>
                <w:rFonts w:cs="Calibri"/>
                <w:szCs w:val="18"/>
              </w:rPr>
              <w:t>7</w:t>
            </w:r>
          </w:p>
        </w:tc>
        <w:tc>
          <w:tcPr>
            <w:tcW w:w="1063" w:type="dxa"/>
          </w:tcPr>
          <w:p w14:paraId="525D1A1C"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p>
        </w:tc>
        <w:tc>
          <w:tcPr>
            <w:tcW w:w="1063" w:type="dxa"/>
          </w:tcPr>
          <w:p w14:paraId="58BF97A3"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1063" w:type="dxa"/>
          </w:tcPr>
          <w:p w14:paraId="49291E88"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0.1</w:t>
            </w:r>
          </w:p>
        </w:tc>
        <w:tc>
          <w:tcPr>
            <w:tcW w:w="1064" w:type="dxa"/>
            <w:tcBorders>
              <w:right w:val="nil"/>
            </w:tcBorders>
          </w:tcPr>
          <w:p w14:paraId="49852AD6" w14:textId="0AF0A660"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r w:rsidR="00CF79A0" w:rsidRPr="0018386D">
              <w:rPr>
                <w:rFonts w:cs="Calibri"/>
                <w:szCs w:val="18"/>
              </w:rPr>
              <w:t>68</w:t>
            </w:r>
          </w:p>
        </w:tc>
      </w:tr>
      <w:tr w:rsidR="006C7B7D" w:rsidRPr="0018386D" w14:paraId="462D8BAA" w14:textId="77777777" w:rsidTr="00C24FCA">
        <w:tc>
          <w:tcPr>
            <w:cnfStyle w:val="001000000000" w:firstRow="0" w:lastRow="0" w:firstColumn="1" w:lastColumn="0" w:oddVBand="0" w:evenVBand="0" w:oddHBand="0" w:evenHBand="0" w:firstRowFirstColumn="0" w:firstRowLastColumn="0" w:lastRowFirstColumn="0" w:lastRowLastColumn="0"/>
            <w:tcW w:w="1063" w:type="dxa"/>
            <w:tcBorders>
              <w:top w:val="single" w:sz="8" w:space="0" w:color="1C556C" w:themeColor="accent1"/>
              <w:left w:val="nil"/>
              <w:bottom w:val="single" w:sz="8" w:space="0" w:color="1C556C" w:themeColor="accent1"/>
            </w:tcBorders>
          </w:tcPr>
          <w:p w14:paraId="051D1C59" w14:textId="77777777" w:rsidR="00E402A9" w:rsidRPr="0018386D" w:rsidRDefault="00E402A9" w:rsidP="00DD3106">
            <w:pPr>
              <w:pStyle w:val="TableText"/>
              <w:spacing w:before="20" w:after="20"/>
              <w:rPr>
                <w:rFonts w:cs="Calibri"/>
                <w:b w:val="0"/>
                <w:szCs w:val="18"/>
              </w:rPr>
            </w:pPr>
            <w:r w:rsidRPr="0018386D">
              <w:rPr>
                <w:rFonts w:cs="Calibri"/>
                <w:b w:val="0"/>
                <w:szCs w:val="18"/>
              </w:rPr>
              <w:t>Garden</w:t>
            </w:r>
          </w:p>
        </w:tc>
        <w:tc>
          <w:tcPr>
            <w:tcW w:w="1063" w:type="dxa"/>
          </w:tcPr>
          <w:p w14:paraId="48D533C9" w14:textId="4D2B74FC"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161</w:t>
            </w:r>
          </w:p>
        </w:tc>
        <w:tc>
          <w:tcPr>
            <w:tcW w:w="1063" w:type="dxa"/>
          </w:tcPr>
          <w:p w14:paraId="36307B5D" w14:textId="339DEA86"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r w:rsidR="00C27944" w:rsidRPr="0018386D">
              <w:rPr>
                <w:rFonts w:cs="Calibri"/>
                <w:szCs w:val="18"/>
              </w:rPr>
              <w:t>6</w:t>
            </w:r>
          </w:p>
        </w:tc>
        <w:tc>
          <w:tcPr>
            <w:tcW w:w="1063" w:type="dxa"/>
          </w:tcPr>
          <w:p w14:paraId="7CF9745A" w14:textId="5E588871"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r w:rsidR="00C27944" w:rsidRPr="0018386D">
              <w:rPr>
                <w:rFonts w:cs="Calibri"/>
                <w:szCs w:val="18"/>
              </w:rPr>
              <w:t>7</w:t>
            </w:r>
          </w:p>
        </w:tc>
        <w:tc>
          <w:tcPr>
            <w:tcW w:w="1063" w:type="dxa"/>
          </w:tcPr>
          <w:p w14:paraId="08F18B2C"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p>
        </w:tc>
        <w:tc>
          <w:tcPr>
            <w:tcW w:w="1063" w:type="dxa"/>
          </w:tcPr>
          <w:p w14:paraId="3574CECF"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16/12</w:t>
            </w:r>
          </w:p>
        </w:tc>
        <w:tc>
          <w:tcPr>
            <w:tcW w:w="1063" w:type="dxa"/>
          </w:tcPr>
          <w:p w14:paraId="5D2E9B09"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w:t>
            </w:r>
          </w:p>
        </w:tc>
        <w:tc>
          <w:tcPr>
            <w:tcW w:w="1064" w:type="dxa"/>
            <w:tcBorders>
              <w:top w:val="single" w:sz="8" w:space="0" w:color="1C556C" w:themeColor="accent1"/>
              <w:bottom w:val="single" w:sz="8" w:space="0" w:color="1C556C" w:themeColor="accent1"/>
              <w:right w:val="nil"/>
            </w:tcBorders>
          </w:tcPr>
          <w:p w14:paraId="5FFE9F2E" w14:textId="1733C5A9"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68</w:t>
            </w:r>
          </w:p>
        </w:tc>
      </w:tr>
      <w:tr w:rsidR="006C7B7D" w:rsidRPr="0018386D" w14:paraId="7FFA22B3" w14:textId="77777777" w:rsidTr="00C2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Borders>
              <w:left w:val="nil"/>
            </w:tcBorders>
          </w:tcPr>
          <w:p w14:paraId="5C53DE6F" w14:textId="77777777" w:rsidR="00E402A9" w:rsidRPr="0018386D" w:rsidRDefault="00E402A9" w:rsidP="00DD3106">
            <w:pPr>
              <w:pStyle w:val="TableText"/>
              <w:spacing w:before="20" w:after="20"/>
              <w:rPr>
                <w:rFonts w:cs="Calibri"/>
                <w:b w:val="0"/>
                <w:szCs w:val="18"/>
              </w:rPr>
            </w:pPr>
            <w:r w:rsidRPr="0018386D">
              <w:rPr>
                <w:rFonts w:cs="Calibri"/>
                <w:b w:val="0"/>
                <w:szCs w:val="18"/>
              </w:rPr>
              <w:t>Paper</w:t>
            </w:r>
          </w:p>
        </w:tc>
        <w:tc>
          <w:tcPr>
            <w:tcW w:w="1063" w:type="dxa"/>
          </w:tcPr>
          <w:p w14:paraId="188934D3" w14:textId="38329D44"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32</w:t>
            </w:r>
          </w:p>
        </w:tc>
        <w:tc>
          <w:tcPr>
            <w:tcW w:w="1063" w:type="dxa"/>
          </w:tcPr>
          <w:p w14:paraId="62BC36BA"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1063" w:type="dxa"/>
          </w:tcPr>
          <w:p w14:paraId="698C60A0" w14:textId="0842683A"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r w:rsidR="00C27944" w:rsidRPr="0018386D">
              <w:rPr>
                <w:rFonts w:cs="Calibri"/>
                <w:szCs w:val="18"/>
              </w:rPr>
              <w:t>7</w:t>
            </w:r>
          </w:p>
        </w:tc>
        <w:tc>
          <w:tcPr>
            <w:tcW w:w="1063" w:type="dxa"/>
          </w:tcPr>
          <w:p w14:paraId="4963B8E9"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p>
        </w:tc>
        <w:tc>
          <w:tcPr>
            <w:tcW w:w="1063" w:type="dxa"/>
          </w:tcPr>
          <w:p w14:paraId="11B993DF"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1063" w:type="dxa"/>
          </w:tcPr>
          <w:p w14:paraId="176A8198"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0.1</w:t>
            </w:r>
          </w:p>
        </w:tc>
        <w:tc>
          <w:tcPr>
            <w:tcW w:w="1064" w:type="dxa"/>
            <w:tcBorders>
              <w:right w:val="nil"/>
            </w:tcBorders>
          </w:tcPr>
          <w:p w14:paraId="6BFA64CE" w14:textId="08C80E60"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68</w:t>
            </w:r>
          </w:p>
        </w:tc>
      </w:tr>
      <w:tr w:rsidR="006C7B7D" w:rsidRPr="0018386D" w14:paraId="4D695AF4" w14:textId="77777777" w:rsidTr="00C24FCA">
        <w:tc>
          <w:tcPr>
            <w:cnfStyle w:val="001000000000" w:firstRow="0" w:lastRow="0" w:firstColumn="1" w:lastColumn="0" w:oddVBand="0" w:evenVBand="0" w:oddHBand="0" w:evenHBand="0" w:firstRowFirstColumn="0" w:firstRowLastColumn="0" w:lastRowFirstColumn="0" w:lastRowLastColumn="0"/>
            <w:tcW w:w="1063" w:type="dxa"/>
            <w:tcBorders>
              <w:top w:val="single" w:sz="8" w:space="0" w:color="1C556C" w:themeColor="accent1"/>
              <w:left w:val="nil"/>
              <w:bottom w:val="single" w:sz="8" w:space="0" w:color="1C556C" w:themeColor="accent1"/>
            </w:tcBorders>
          </w:tcPr>
          <w:p w14:paraId="3A123493" w14:textId="77777777" w:rsidR="00E402A9" w:rsidRPr="0018386D" w:rsidRDefault="00E402A9" w:rsidP="00DD3106">
            <w:pPr>
              <w:pStyle w:val="TableText"/>
              <w:spacing w:before="20" w:after="20"/>
              <w:rPr>
                <w:rFonts w:cs="Calibri"/>
                <w:b w:val="0"/>
                <w:szCs w:val="18"/>
              </w:rPr>
            </w:pPr>
            <w:r w:rsidRPr="0018386D">
              <w:rPr>
                <w:rFonts w:cs="Calibri"/>
                <w:b w:val="0"/>
                <w:szCs w:val="18"/>
              </w:rPr>
              <w:t>Wood</w:t>
            </w:r>
          </w:p>
        </w:tc>
        <w:tc>
          <w:tcPr>
            <w:tcW w:w="1063" w:type="dxa"/>
          </w:tcPr>
          <w:p w14:paraId="6777B581"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0.43</w:t>
            </w:r>
          </w:p>
        </w:tc>
        <w:tc>
          <w:tcPr>
            <w:tcW w:w="1063" w:type="dxa"/>
          </w:tcPr>
          <w:p w14:paraId="767B085A" w14:textId="7DDC361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14</w:t>
            </w:r>
          </w:p>
        </w:tc>
        <w:tc>
          <w:tcPr>
            <w:tcW w:w="1063" w:type="dxa"/>
          </w:tcPr>
          <w:p w14:paraId="68FC5383" w14:textId="5A97FC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r w:rsidR="00C27944" w:rsidRPr="0018386D">
              <w:rPr>
                <w:rFonts w:cs="Calibri"/>
                <w:szCs w:val="18"/>
              </w:rPr>
              <w:t>7</w:t>
            </w:r>
          </w:p>
        </w:tc>
        <w:tc>
          <w:tcPr>
            <w:tcW w:w="1063" w:type="dxa"/>
          </w:tcPr>
          <w:p w14:paraId="331CBB4E"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p>
        </w:tc>
        <w:tc>
          <w:tcPr>
            <w:tcW w:w="1063" w:type="dxa"/>
          </w:tcPr>
          <w:p w14:paraId="704A7CB2"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16/12</w:t>
            </w:r>
          </w:p>
        </w:tc>
        <w:tc>
          <w:tcPr>
            <w:tcW w:w="1063" w:type="dxa"/>
          </w:tcPr>
          <w:p w14:paraId="749E9EF0"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w:t>
            </w:r>
          </w:p>
        </w:tc>
        <w:tc>
          <w:tcPr>
            <w:tcW w:w="1064" w:type="dxa"/>
            <w:tcBorders>
              <w:top w:val="single" w:sz="8" w:space="0" w:color="1C556C" w:themeColor="accent1"/>
              <w:bottom w:val="single" w:sz="8" w:space="0" w:color="1C556C" w:themeColor="accent1"/>
              <w:right w:val="nil"/>
            </w:tcBorders>
          </w:tcPr>
          <w:p w14:paraId="04445B25" w14:textId="0413F98F"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68</w:t>
            </w:r>
          </w:p>
        </w:tc>
      </w:tr>
      <w:tr w:rsidR="006C7B7D" w:rsidRPr="0018386D" w14:paraId="7C8AE324" w14:textId="77777777" w:rsidTr="00C2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Borders>
              <w:left w:val="nil"/>
            </w:tcBorders>
          </w:tcPr>
          <w:p w14:paraId="5DD32B8A" w14:textId="77777777" w:rsidR="00E402A9" w:rsidRPr="0018386D" w:rsidRDefault="00E402A9" w:rsidP="00DD3106">
            <w:pPr>
              <w:pStyle w:val="TableText"/>
              <w:spacing w:before="20" w:after="20"/>
              <w:rPr>
                <w:rFonts w:cs="Calibri"/>
                <w:b w:val="0"/>
                <w:szCs w:val="18"/>
              </w:rPr>
            </w:pPr>
            <w:r w:rsidRPr="0018386D">
              <w:rPr>
                <w:rFonts w:cs="Calibri"/>
                <w:b w:val="0"/>
                <w:szCs w:val="18"/>
              </w:rPr>
              <w:t>Textiles</w:t>
            </w:r>
          </w:p>
        </w:tc>
        <w:tc>
          <w:tcPr>
            <w:tcW w:w="1063" w:type="dxa"/>
          </w:tcPr>
          <w:p w14:paraId="093A325D" w14:textId="0D599754"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16</w:t>
            </w:r>
          </w:p>
        </w:tc>
        <w:tc>
          <w:tcPr>
            <w:tcW w:w="1063" w:type="dxa"/>
          </w:tcPr>
          <w:p w14:paraId="18AADC79"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1063" w:type="dxa"/>
          </w:tcPr>
          <w:p w14:paraId="6DD8DAC2" w14:textId="386E85C8"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r w:rsidR="00C27944" w:rsidRPr="0018386D">
              <w:rPr>
                <w:rFonts w:cs="Calibri"/>
                <w:szCs w:val="18"/>
              </w:rPr>
              <w:t>7</w:t>
            </w:r>
          </w:p>
        </w:tc>
        <w:tc>
          <w:tcPr>
            <w:tcW w:w="1063" w:type="dxa"/>
          </w:tcPr>
          <w:p w14:paraId="334D2549"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p>
        </w:tc>
        <w:tc>
          <w:tcPr>
            <w:tcW w:w="1063" w:type="dxa"/>
          </w:tcPr>
          <w:p w14:paraId="319C2F12"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1063" w:type="dxa"/>
          </w:tcPr>
          <w:p w14:paraId="4FC69F4D" w14:textId="77777777"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0.1</w:t>
            </w:r>
          </w:p>
        </w:tc>
        <w:tc>
          <w:tcPr>
            <w:tcW w:w="1064" w:type="dxa"/>
            <w:tcBorders>
              <w:right w:val="nil"/>
            </w:tcBorders>
          </w:tcPr>
          <w:p w14:paraId="11DA3E0B" w14:textId="410F23B8" w:rsidR="00E402A9" w:rsidRPr="0018386D" w:rsidRDefault="00E402A9"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68</w:t>
            </w:r>
          </w:p>
        </w:tc>
      </w:tr>
      <w:tr w:rsidR="006C7B7D" w:rsidRPr="0018386D" w14:paraId="3BC6DB22" w14:textId="77777777" w:rsidTr="00C24FCA">
        <w:tc>
          <w:tcPr>
            <w:cnfStyle w:val="001000000000" w:firstRow="0" w:lastRow="0" w:firstColumn="1" w:lastColumn="0" w:oddVBand="0" w:evenVBand="0" w:oddHBand="0" w:evenHBand="0" w:firstRowFirstColumn="0" w:firstRowLastColumn="0" w:lastRowFirstColumn="0" w:lastRowLastColumn="0"/>
            <w:tcW w:w="1063" w:type="dxa"/>
            <w:tcBorders>
              <w:top w:val="single" w:sz="8" w:space="0" w:color="1C556C" w:themeColor="accent1"/>
              <w:left w:val="nil"/>
              <w:bottom w:val="single" w:sz="8" w:space="0" w:color="1C556C" w:themeColor="accent1"/>
            </w:tcBorders>
          </w:tcPr>
          <w:p w14:paraId="7738D04A" w14:textId="77777777" w:rsidR="00E402A9" w:rsidRPr="0018386D" w:rsidRDefault="00E402A9" w:rsidP="00DD3106">
            <w:pPr>
              <w:pStyle w:val="TableText"/>
              <w:spacing w:before="20" w:after="20"/>
              <w:rPr>
                <w:rFonts w:cs="Calibri"/>
                <w:b w:val="0"/>
                <w:szCs w:val="18"/>
              </w:rPr>
            </w:pPr>
            <w:r w:rsidRPr="0018386D">
              <w:rPr>
                <w:rFonts w:cs="Calibri"/>
                <w:b w:val="0"/>
                <w:szCs w:val="18"/>
              </w:rPr>
              <w:t>Nappies</w:t>
            </w:r>
          </w:p>
        </w:tc>
        <w:tc>
          <w:tcPr>
            <w:tcW w:w="1063" w:type="dxa"/>
          </w:tcPr>
          <w:p w14:paraId="599B9C98" w14:textId="7CDA1824"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08</w:t>
            </w:r>
          </w:p>
        </w:tc>
        <w:tc>
          <w:tcPr>
            <w:tcW w:w="1063" w:type="dxa"/>
          </w:tcPr>
          <w:p w14:paraId="41D35AD8"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1063" w:type="dxa"/>
          </w:tcPr>
          <w:p w14:paraId="6450F253" w14:textId="495E0966"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r w:rsidR="00C27944" w:rsidRPr="0018386D">
              <w:rPr>
                <w:rFonts w:cs="Calibri"/>
                <w:szCs w:val="18"/>
              </w:rPr>
              <w:t>7</w:t>
            </w:r>
          </w:p>
        </w:tc>
        <w:tc>
          <w:tcPr>
            <w:tcW w:w="1063" w:type="dxa"/>
          </w:tcPr>
          <w:p w14:paraId="106D3C89"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p>
        </w:tc>
        <w:tc>
          <w:tcPr>
            <w:tcW w:w="1063" w:type="dxa"/>
          </w:tcPr>
          <w:p w14:paraId="49B81A34"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16/12</w:t>
            </w:r>
          </w:p>
        </w:tc>
        <w:tc>
          <w:tcPr>
            <w:tcW w:w="1063" w:type="dxa"/>
          </w:tcPr>
          <w:p w14:paraId="36D20CD7"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w:t>
            </w:r>
          </w:p>
        </w:tc>
        <w:tc>
          <w:tcPr>
            <w:tcW w:w="1064" w:type="dxa"/>
            <w:tcBorders>
              <w:top w:val="single" w:sz="8" w:space="0" w:color="1C556C" w:themeColor="accent1"/>
              <w:bottom w:val="single" w:sz="8" w:space="0" w:color="1C556C" w:themeColor="accent1"/>
              <w:right w:val="nil"/>
            </w:tcBorders>
          </w:tcPr>
          <w:p w14:paraId="334366AD" w14:textId="55DD1629"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68</w:t>
            </w:r>
          </w:p>
        </w:tc>
      </w:tr>
      <w:tr w:rsidR="006C7B7D" w:rsidRPr="0018386D" w14:paraId="67917092" w14:textId="77777777" w:rsidTr="00C2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Borders>
              <w:left w:val="nil"/>
            </w:tcBorders>
          </w:tcPr>
          <w:p w14:paraId="041ACBC7" w14:textId="5F75FBDB" w:rsidR="00C27944" w:rsidRPr="0018386D" w:rsidRDefault="00C27944" w:rsidP="00DD3106">
            <w:pPr>
              <w:pStyle w:val="TableText"/>
              <w:spacing w:before="20" w:after="20"/>
              <w:rPr>
                <w:rFonts w:cs="Calibri"/>
                <w:b w:val="0"/>
                <w:bCs w:val="0"/>
                <w:szCs w:val="18"/>
              </w:rPr>
            </w:pPr>
            <w:r w:rsidRPr="0018386D">
              <w:rPr>
                <w:rFonts w:cs="Calibri"/>
                <w:b w:val="0"/>
                <w:bCs w:val="0"/>
                <w:szCs w:val="18"/>
              </w:rPr>
              <w:t>Sludge</w:t>
            </w:r>
          </w:p>
        </w:tc>
        <w:tc>
          <w:tcPr>
            <w:tcW w:w="1063" w:type="dxa"/>
          </w:tcPr>
          <w:p w14:paraId="13084CA4" w14:textId="1726678D" w:rsidR="00C27944" w:rsidRPr="0018386D" w:rsidRDefault="00C27944"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0.05</w:t>
            </w:r>
          </w:p>
        </w:tc>
        <w:tc>
          <w:tcPr>
            <w:tcW w:w="1063" w:type="dxa"/>
          </w:tcPr>
          <w:p w14:paraId="4070DDA9" w14:textId="52B35AFD" w:rsidR="00C27944" w:rsidRPr="0018386D" w:rsidRDefault="00C27944"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1063" w:type="dxa"/>
          </w:tcPr>
          <w:p w14:paraId="44F46B12" w14:textId="4945D4E9" w:rsidR="00C27944" w:rsidRPr="0018386D" w:rsidRDefault="00C27944"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0.57</w:t>
            </w:r>
          </w:p>
        </w:tc>
        <w:tc>
          <w:tcPr>
            <w:tcW w:w="1063" w:type="dxa"/>
          </w:tcPr>
          <w:p w14:paraId="6FBC60BC" w14:textId="2A1DD144" w:rsidR="00C27944" w:rsidRPr="0018386D" w:rsidRDefault="00C27944"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w:t>
            </w:r>
          </w:p>
        </w:tc>
        <w:tc>
          <w:tcPr>
            <w:tcW w:w="1063" w:type="dxa"/>
          </w:tcPr>
          <w:p w14:paraId="28D80C47" w14:textId="2E0BFA76" w:rsidR="00C27944" w:rsidRPr="0018386D" w:rsidRDefault="00C27944"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1063" w:type="dxa"/>
          </w:tcPr>
          <w:p w14:paraId="035BBC90" w14:textId="4B113D0D" w:rsidR="00C27944" w:rsidRPr="0018386D" w:rsidRDefault="00C27944"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0.1</w:t>
            </w:r>
          </w:p>
        </w:tc>
        <w:tc>
          <w:tcPr>
            <w:tcW w:w="1064" w:type="dxa"/>
            <w:tcBorders>
              <w:right w:val="nil"/>
            </w:tcBorders>
          </w:tcPr>
          <w:p w14:paraId="715D9FB3" w14:textId="7AA9AEA3" w:rsidR="00C27944" w:rsidRPr="0018386D" w:rsidRDefault="00C27944"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0.68</w:t>
            </w:r>
          </w:p>
        </w:tc>
      </w:tr>
      <w:tr w:rsidR="006C7B7D" w:rsidRPr="0018386D" w14:paraId="568436DE" w14:textId="77777777" w:rsidTr="00C24FCA">
        <w:tc>
          <w:tcPr>
            <w:cnfStyle w:val="001000000000" w:firstRow="0" w:lastRow="0" w:firstColumn="1" w:lastColumn="0" w:oddVBand="0" w:evenVBand="0" w:oddHBand="0" w:evenHBand="0" w:firstRowFirstColumn="0" w:firstRowLastColumn="0" w:lastRowFirstColumn="0" w:lastRowLastColumn="0"/>
            <w:tcW w:w="1063" w:type="dxa"/>
            <w:tcBorders>
              <w:top w:val="single" w:sz="8" w:space="0" w:color="1C556C" w:themeColor="accent1"/>
              <w:left w:val="nil"/>
              <w:bottom w:val="single" w:sz="8" w:space="0" w:color="1C556C" w:themeColor="accent1"/>
            </w:tcBorders>
          </w:tcPr>
          <w:p w14:paraId="56D16A7C" w14:textId="77777777" w:rsidR="00E402A9" w:rsidRPr="0018386D" w:rsidRDefault="00E402A9" w:rsidP="00DD3106">
            <w:pPr>
              <w:pStyle w:val="TableText"/>
              <w:spacing w:before="20" w:after="20"/>
              <w:rPr>
                <w:rFonts w:cs="Calibri"/>
                <w:b w:val="0"/>
                <w:szCs w:val="18"/>
              </w:rPr>
            </w:pPr>
            <w:r w:rsidRPr="0018386D">
              <w:rPr>
                <w:rFonts w:cs="Calibri"/>
                <w:b w:val="0"/>
                <w:szCs w:val="18"/>
              </w:rPr>
              <w:t>Inert</w:t>
            </w:r>
          </w:p>
        </w:tc>
        <w:tc>
          <w:tcPr>
            <w:tcW w:w="1063" w:type="dxa"/>
          </w:tcPr>
          <w:p w14:paraId="3AEF0DA9"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p>
        </w:tc>
        <w:tc>
          <w:tcPr>
            <w:tcW w:w="1063" w:type="dxa"/>
          </w:tcPr>
          <w:p w14:paraId="7FEBD479"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1063" w:type="dxa"/>
          </w:tcPr>
          <w:p w14:paraId="15431C1F" w14:textId="070F3221"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r w:rsidR="00C27944" w:rsidRPr="0018386D">
              <w:rPr>
                <w:rFonts w:cs="Calibri"/>
                <w:szCs w:val="18"/>
              </w:rPr>
              <w:t>7</w:t>
            </w:r>
          </w:p>
        </w:tc>
        <w:tc>
          <w:tcPr>
            <w:tcW w:w="1063" w:type="dxa"/>
          </w:tcPr>
          <w:p w14:paraId="4A9A95F8"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w:t>
            </w:r>
          </w:p>
        </w:tc>
        <w:tc>
          <w:tcPr>
            <w:tcW w:w="1063" w:type="dxa"/>
          </w:tcPr>
          <w:p w14:paraId="27783A97"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16/12</w:t>
            </w:r>
          </w:p>
        </w:tc>
        <w:tc>
          <w:tcPr>
            <w:tcW w:w="1063" w:type="dxa"/>
          </w:tcPr>
          <w:p w14:paraId="4A6C711F" w14:textId="77777777"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w:t>
            </w:r>
          </w:p>
        </w:tc>
        <w:tc>
          <w:tcPr>
            <w:tcW w:w="1064" w:type="dxa"/>
            <w:tcBorders>
              <w:top w:val="single" w:sz="8" w:space="0" w:color="1C556C" w:themeColor="accent1"/>
              <w:bottom w:val="single" w:sz="8" w:space="0" w:color="1C556C" w:themeColor="accent1"/>
              <w:right w:val="nil"/>
            </w:tcBorders>
          </w:tcPr>
          <w:p w14:paraId="3D3C89EE" w14:textId="1DA8111E" w:rsidR="00E402A9" w:rsidRPr="0018386D" w:rsidRDefault="00E402A9"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r w:rsidR="00C27944" w:rsidRPr="0018386D">
              <w:rPr>
                <w:rFonts w:cs="Calibri"/>
                <w:szCs w:val="18"/>
              </w:rPr>
              <w:t>68</w:t>
            </w:r>
          </w:p>
        </w:tc>
      </w:tr>
      <w:tr w:rsidR="000A1D56" w:rsidRPr="0018386D" w14:paraId="48145A53" w14:textId="77777777" w:rsidTr="00C2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Borders>
              <w:left w:val="nil"/>
            </w:tcBorders>
            <w:shd w:val="clear" w:color="auto" w:fill="D5EBE8" w:themeFill="accent3"/>
          </w:tcPr>
          <w:p w14:paraId="2939C076" w14:textId="77777777" w:rsidR="00A959E4" w:rsidRPr="0018386D" w:rsidRDefault="00A959E4" w:rsidP="00DD3106">
            <w:pPr>
              <w:pStyle w:val="TableText"/>
              <w:spacing w:before="20" w:after="20" w:line="240" w:lineRule="auto"/>
              <w:rPr>
                <w:rFonts w:cs="Calibri"/>
                <w:b w:val="0"/>
                <w:spacing w:val="-2"/>
                <w:sz w:val="16"/>
                <w:szCs w:val="16"/>
              </w:rPr>
            </w:pPr>
            <w:r w:rsidRPr="0018386D">
              <w:rPr>
                <w:rFonts w:cs="Calibri"/>
                <w:spacing w:val="-2"/>
                <w:sz w:val="16"/>
                <w:szCs w:val="16"/>
              </w:rPr>
              <w:t>Source of information</w:t>
            </w:r>
          </w:p>
        </w:tc>
        <w:tc>
          <w:tcPr>
            <w:tcW w:w="1063" w:type="dxa"/>
            <w:shd w:val="clear" w:color="auto" w:fill="D5EBE8" w:themeFill="accent3"/>
          </w:tcPr>
          <w:p w14:paraId="2799323B" w14:textId="53A566CB" w:rsidR="00A959E4" w:rsidRPr="0018386D" w:rsidRDefault="00C27944" w:rsidP="00DD3106">
            <w:pPr>
              <w:pStyle w:val="TableText"/>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spacing w:val="-2"/>
                <w:sz w:val="16"/>
                <w:szCs w:val="16"/>
              </w:rPr>
            </w:pPr>
            <w:r w:rsidRPr="0018386D">
              <w:rPr>
                <w:rFonts w:cs="Calibri"/>
                <w:spacing w:val="-2"/>
                <w:sz w:val="16"/>
                <w:szCs w:val="16"/>
              </w:rPr>
              <w:t>Eunomia (unpublished)</w:t>
            </w:r>
          </w:p>
        </w:tc>
        <w:tc>
          <w:tcPr>
            <w:tcW w:w="1063" w:type="dxa"/>
            <w:shd w:val="clear" w:color="auto" w:fill="D5EBE8" w:themeFill="accent3"/>
          </w:tcPr>
          <w:p w14:paraId="3B28C039" w14:textId="6C30C535" w:rsidR="00A959E4" w:rsidRPr="0018386D" w:rsidRDefault="00C27944" w:rsidP="00DD3106">
            <w:pPr>
              <w:pStyle w:val="TableText"/>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spacing w:val="-2"/>
                <w:sz w:val="16"/>
                <w:szCs w:val="16"/>
              </w:rPr>
            </w:pPr>
            <w:r w:rsidRPr="0018386D">
              <w:rPr>
                <w:rFonts w:cs="Calibri"/>
                <w:spacing w:val="-2"/>
                <w:sz w:val="16"/>
                <w:szCs w:val="16"/>
              </w:rPr>
              <w:t>Eunomia (unpublished)</w:t>
            </w:r>
            <w:r w:rsidR="00F103C2" w:rsidRPr="0018386D">
              <w:rPr>
                <w:rFonts w:cs="Calibri"/>
                <w:spacing w:val="-2"/>
                <w:sz w:val="16"/>
                <w:szCs w:val="16"/>
              </w:rPr>
              <w:t xml:space="preserve"> except 0.5 is </w:t>
            </w:r>
            <w:r w:rsidR="00A959E4" w:rsidRPr="0018386D">
              <w:rPr>
                <w:rFonts w:cs="Calibri"/>
                <w:spacing w:val="-2"/>
                <w:sz w:val="16"/>
                <w:szCs w:val="16"/>
              </w:rPr>
              <w:t>IPCC default for managed landfills</w:t>
            </w:r>
          </w:p>
        </w:tc>
        <w:tc>
          <w:tcPr>
            <w:tcW w:w="1063" w:type="dxa"/>
            <w:shd w:val="clear" w:color="auto" w:fill="D5EBE8" w:themeFill="accent3"/>
          </w:tcPr>
          <w:p w14:paraId="25632CCA" w14:textId="40DE4CD8" w:rsidR="00A959E4" w:rsidRPr="0018386D" w:rsidRDefault="00F103C2" w:rsidP="00DD3106">
            <w:pPr>
              <w:pStyle w:val="TableText"/>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spacing w:val="-2"/>
                <w:sz w:val="16"/>
                <w:szCs w:val="16"/>
              </w:rPr>
            </w:pPr>
            <w:r w:rsidRPr="0018386D">
              <w:rPr>
                <w:rFonts w:cs="Calibri"/>
                <w:spacing w:val="-2"/>
                <w:sz w:val="16"/>
                <w:szCs w:val="16"/>
              </w:rPr>
              <w:t xml:space="preserve">Eunomia (unpublished) </w:t>
            </w:r>
          </w:p>
        </w:tc>
        <w:tc>
          <w:tcPr>
            <w:tcW w:w="1063" w:type="dxa"/>
            <w:shd w:val="clear" w:color="auto" w:fill="D5EBE8" w:themeFill="accent3"/>
          </w:tcPr>
          <w:p w14:paraId="68BA124E" w14:textId="77777777" w:rsidR="00A959E4" w:rsidRPr="0018386D" w:rsidRDefault="00A959E4" w:rsidP="00DD3106">
            <w:pPr>
              <w:pStyle w:val="TableText"/>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spacing w:val="-2"/>
                <w:sz w:val="16"/>
                <w:szCs w:val="16"/>
              </w:rPr>
            </w:pPr>
            <w:r w:rsidRPr="0018386D">
              <w:rPr>
                <w:rFonts w:cs="Calibri"/>
                <w:spacing w:val="-2"/>
                <w:sz w:val="16"/>
                <w:szCs w:val="16"/>
              </w:rPr>
              <w:t>IPCC default for managed landfills</w:t>
            </w:r>
          </w:p>
        </w:tc>
        <w:tc>
          <w:tcPr>
            <w:tcW w:w="1063" w:type="dxa"/>
            <w:shd w:val="clear" w:color="auto" w:fill="D5EBE8" w:themeFill="accent3"/>
          </w:tcPr>
          <w:p w14:paraId="455D1AC5" w14:textId="77777777" w:rsidR="00A959E4" w:rsidRPr="0018386D" w:rsidRDefault="00A959E4" w:rsidP="00DD3106">
            <w:pPr>
              <w:pStyle w:val="TableText"/>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spacing w:val="-2"/>
                <w:sz w:val="16"/>
                <w:szCs w:val="16"/>
              </w:rPr>
            </w:pPr>
          </w:p>
        </w:tc>
        <w:tc>
          <w:tcPr>
            <w:tcW w:w="1063" w:type="dxa"/>
            <w:shd w:val="clear" w:color="auto" w:fill="D5EBE8" w:themeFill="accent3"/>
          </w:tcPr>
          <w:p w14:paraId="1FD8C8A4" w14:textId="77777777" w:rsidR="00A959E4" w:rsidRPr="0018386D" w:rsidRDefault="00A959E4" w:rsidP="00DD3106">
            <w:pPr>
              <w:pStyle w:val="TableText"/>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spacing w:val="-2"/>
                <w:sz w:val="16"/>
                <w:szCs w:val="16"/>
              </w:rPr>
            </w:pPr>
            <w:r w:rsidRPr="0018386D">
              <w:rPr>
                <w:rFonts w:cs="Calibri"/>
                <w:spacing w:val="-2"/>
                <w:sz w:val="16"/>
                <w:szCs w:val="16"/>
              </w:rPr>
              <w:t>IPCC default for managed landfills</w:t>
            </w:r>
          </w:p>
        </w:tc>
        <w:tc>
          <w:tcPr>
            <w:tcW w:w="1064" w:type="dxa"/>
            <w:tcBorders>
              <w:right w:val="nil"/>
            </w:tcBorders>
            <w:shd w:val="clear" w:color="auto" w:fill="D5EBE8" w:themeFill="accent3"/>
          </w:tcPr>
          <w:p w14:paraId="5A960395" w14:textId="2B36D01D" w:rsidR="00A959E4" w:rsidRPr="0018386D" w:rsidRDefault="00F103C2" w:rsidP="00DD3106">
            <w:pPr>
              <w:pStyle w:val="TableText"/>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spacing w:val="-2"/>
                <w:sz w:val="16"/>
                <w:szCs w:val="16"/>
              </w:rPr>
            </w:pPr>
            <w:r w:rsidRPr="0018386D">
              <w:rPr>
                <w:rFonts w:cs="Calibri"/>
                <w:spacing w:val="-2"/>
                <w:sz w:val="16"/>
                <w:szCs w:val="16"/>
              </w:rPr>
              <w:t>Eunomia (unpublished)</w:t>
            </w:r>
          </w:p>
        </w:tc>
      </w:tr>
    </w:tbl>
    <w:p w14:paraId="4FD9EAE8" w14:textId="229F6612" w:rsidR="00A959E4" w:rsidRPr="0018386D" w:rsidRDefault="00535F0B" w:rsidP="00DD3106">
      <w:pPr>
        <w:rPr>
          <w:szCs w:val="20"/>
        </w:rPr>
      </w:pPr>
      <w:r w:rsidRPr="0018386D">
        <w:rPr>
          <w:b/>
          <w:bCs/>
          <w:sz w:val="18"/>
          <w:szCs w:val="20"/>
        </w:rPr>
        <w:t>Note</w:t>
      </w:r>
      <w:r w:rsidR="000C3EF0" w:rsidRPr="0018386D">
        <w:rPr>
          <w:b/>
          <w:bCs/>
          <w:sz w:val="18"/>
          <w:szCs w:val="20"/>
        </w:rPr>
        <w:t>:</w:t>
      </w:r>
      <w:r w:rsidRPr="0018386D">
        <w:rPr>
          <w:sz w:val="18"/>
          <w:szCs w:val="20"/>
        </w:rPr>
        <w:t xml:space="preserve"> </w:t>
      </w:r>
      <w:r w:rsidR="00A959E4" w:rsidRPr="0018386D">
        <w:rPr>
          <w:sz w:val="18"/>
          <w:szCs w:val="20"/>
        </w:rPr>
        <w:t>R only applies for landfills with gas recovery</w:t>
      </w:r>
      <w:r w:rsidR="009953FD" w:rsidRPr="0018386D">
        <w:rPr>
          <w:sz w:val="18"/>
          <w:szCs w:val="20"/>
        </w:rPr>
        <w:t>.</w:t>
      </w:r>
    </w:p>
    <w:p w14:paraId="4AE5633C" w14:textId="77777777" w:rsidR="006D784E" w:rsidRPr="0018386D" w:rsidRDefault="006D784E" w:rsidP="00DD3106">
      <w:pPr>
        <w:spacing w:line="23" w:lineRule="auto"/>
        <w:rPr>
          <w:rFonts w:eastAsiaTheme="minorEastAsia" w:cstheme="minorBidi"/>
          <w:sz w:val="18"/>
          <w:szCs w:val="22"/>
          <w:lang w:val="en-NZ" w:eastAsia="en-NZ"/>
        </w:rPr>
      </w:pPr>
      <w:r w:rsidRPr="0018386D">
        <w:br w:type="page"/>
      </w:r>
    </w:p>
    <w:p w14:paraId="3523FC7E" w14:textId="70693113" w:rsidR="00E006C4" w:rsidRPr="0018386D" w:rsidRDefault="00725A06" w:rsidP="00DD3106">
      <w:pPr>
        <w:pStyle w:val="Tableheading"/>
      </w:pPr>
      <w:bookmarkStart w:id="853" w:name="Table79"/>
      <w:bookmarkStart w:id="854" w:name="_Toc111536691"/>
      <w:bookmarkStart w:id="855" w:name="_Toc140049019"/>
      <w:r w:rsidRPr="0018386D">
        <w:lastRenderedPageBreak/>
        <w:t xml:space="preserve">Table </w:t>
      </w:r>
      <w:r w:rsidRPr="0018386D">
        <w:fldChar w:fldCharType="begin"/>
      </w:r>
      <w:r w:rsidRPr="0018386D">
        <w:instrText>SEQ Table \* ARABIC</w:instrText>
      </w:r>
      <w:r w:rsidRPr="0018386D">
        <w:fldChar w:fldCharType="separate"/>
      </w:r>
      <w:r w:rsidR="0085383F" w:rsidRPr="0018386D">
        <w:t>79</w:t>
      </w:r>
      <w:r w:rsidRPr="0018386D">
        <w:fldChar w:fldCharType="end"/>
      </w:r>
      <w:bookmarkEnd w:id="853"/>
      <w:r w:rsidRPr="0018386D">
        <w:t>:</w:t>
      </w:r>
      <w:r w:rsidRPr="0018386D">
        <w:tab/>
      </w:r>
      <w:r w:rsidR="00E006C4" w:rsidRPr="0018386D">
        <w:t>Information on non-municipal solid waste</w:t>
      </w:r>
      <w:bookmarkEnd w:id="854"/>
      <w:bookmarkEnd w:id="855"/>
      <w:r w:rsidR="00E006C4" w:rsidRPr="0018386D">
        <w:t xml:space="preserve"> </w:t>
      </w:r>
    </w:p>
    <w:tbl>
      <w:tblPr>
        <w:tblStyle w:val="LightList-Accent1"/>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012"/>
        <w:gridCol w:w="1539"/>
        <w:gridCol w:w="1133"/>
        <w:gridCol w:w="1133"/>
        <w:gridCol w:w="1175"/>
        <w:gridCol w:w="980"/>
        <w:gridCol w:w="1133"/>
        <w:gridCol w:w="400"/>
      </w:tblGrid>
      <w:tr w:rsidR="006316C3" w:rsidRPr="0018386D" w14:paraId="14324FEB" w14:textId="77777777" w:rsidTr="00472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1B556B" w:themeFill="text2"/>
          </w:tcPr>
          <w:p w14:paraId="260C8A9D" w14:textId="77777777" w:rsidR="00730D20" w:rsidRPr="0018386D" w:rsidRDefault="00730D20" w:rsidP="00DD3106">
            <w:pPr>
              <w:pStyle w:val="TableText"/>
              <w:keepNext/>
              <w:spacing w:before="20" w:after="20"/>
              <w:rPr>
                <w:rFonts w:cs="Calibri"/>
                <w:szCs w:val="18"/>
              </w:rPr>
            </w:pPr>
          </w:p>
        </w:tc>
        <w:tc>
          <w:tcPr>
            <w:tcW w:w="0" w:type="auto"/>
            <w:tcBorders>
              <w:bottom w:val="single" w:sz="4" w:space="0" w:color="auto"/>
            </w:tcBorders>
            <w:shd w:val="clear" w:color="auto" w:fill="1B556B" w:themeFill="text2"/>
          </w:tcPr>
          <w:p w14:paraId="4A2E7862" w14:textId="77777777" w:rsidR="00730D20" w:rsidRPr="0018386D" w:rsidRDefault="00730D20" w:rsidP="00DD3106">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DOC</w:t>
            </w:r>
          </w:p>
        </w:tc>
        <w:tc>
          <w:tcPr>
            <w:tcW w:w="0" w:type="auto"/>
            <w:tcBorders>
              <w:bottom w:val="single" w:sz="4" w:space="0" w:color="auto"/>
            </w:tcBorders>
            <w:shd w:val="clear" w:color="auto" w:fill="1B556B" w:themeFill="text2"/>
          </w:tcPr>
          <w:p w14:paraId="73CD2F26" w14:textId="6FBE8221" w:rsidR="00730D20" w:rsidRPr="0018386D" w:rsidRDefault="00730D20" w:rsidP="00DD3106">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proofErr w:type="spellStart"/>
            <w:r w:rsidRPr="0018386D">
              <w:rPr>
                <w:rFonts w:cs="Calibri"/>
                <w:szCs w:val="18"/>
              </w:rPr>
              <w:t>DOC</w:t>
            </w:r>
            <w:r w:rsidR="00A62EE5" w:rsidRPr="0018386D">
              <w:rPr>
                <w:rFonts w:cs="Calibri"/>
                <w:szCs w:val="18"/>
              </w:rPr>
              <w:t>f</w:t>
            </w:r>
            <w:proofErr w:type="spellEnd"/>
          </w:p>
        </w:tc>
        <w:tc>
          <w:tcPr>
            <w:tcW w:w="0" w:type="auto"/>
            <w:tcBorders>
              <w:bottom w:val="single" w:sz="4" w:space="0" w:color="auto"/>
            </w:tcBorders>
            <w:shd w:val="clear" w:color="auto" w:fill="1B556B" w:themeFill="text2"/>
          </w:tcPr>
          <w:p w14:paraId="2196C60F" w14:textId="77777777" w:rsidR="00730D20" w:rsidRPr="0018386D" w:rsidRDefault="00730D20" w:rsidP="00DD3106">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F</w:t>
            </w:r>
          </w:p>
        </w:tc>
        <w:tc>
          <w:tcPr>
            <w:tcW w:w="0" w:type="auto"/>
            <w:tcBorders>
              <w:bottom w:val="single" w:sz="4" w:space="0" w:color="auto"/>
            </w:tcBorders>
            <w:shd w:val="clear" w:color="auto" w:fill="1B556B" w:themeFill="text2"/>
          </w:tcPr>
          <w:p w14:paraId="3038EDAA" w14:textId="77777777" w:rsidR="00730D20" w:rsidRPr="0018386D" w:rsidRDefault="00730D20" w:rsidP="00DD3106">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MCF</w:t>
            </w:r>
          </w:p>
        </w:tc>
        <w:tc>
          <w:tcPr>
            <w:tcW w:w="0" w:type="auto"/>
            <w:tcBorders>
              <w:bottom w:val="single" w:sz="4" w:space="0" w:color="auto"/>
            </w:tcBorders>
            <w:shd w:val="clear" w:color="auto" w:fill="1B556B" w:themeFill="text2"/>
          </w:tcPr>
          <w:p w14:paraId="13025FCA" w14:textId="77777777" w:rsidR="00730D20" w:rsidRPr="0018386D" w:rsidRDefault="00730D20" w:rsidP="00DD3106">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Conversion</w:t>
            </w:r>
          </w:p>
        </w:tc>
        <w:tc>
          <w:tcPr>
            <w:tcW w:w="0" w:type="auto"/>
            <w:tcBorders>
              <w:bottom w:val="single" w:sz="4" w:space="0" w:color="auto"/>
            </w:tcBorders>
            <w:shd w:val="clear" w:color="auto" w:fill="1B556B" w:themeFill="text2"/>
          </w:tcPr>
          <w:p w14:paraId="5D21715E" w14:textId="77777777" w:rsidR="00730D20" w:rsidRPr="0018386D" w:rsidRDefault="00730D20" w:rsidP="00DD3106">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Ox</w:t>
            </w:r>
          </w:p>
        </w:tc>
        <w:tc>
          <w:tcPr>
            <w:tcW w:w="0" w:type="auto"/>
            <w:tcBorders>
              <w:bottom w:val="single" w:sz="4" w:space="0" w:color="auto"/>
            </w:tcBorders>
            <w:shd w:val="clear" w:color="auto" w:fill="1B556B" w:themeFill="text2"/>
          </w:tcPr>
          <w:p w14:paraId="67070AB3" w14:textId="77777777" w:rsidR="00730D20" w:rsidRPr="0018386D" w:rsidRDefault="00730D20" w:rsidP="00DD3106">
            <w:pPr>
              <w:pStyle w:val="TableText"/>
              <w:keepNext/>
              <w:spacing w:before="20" w:after="2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R</w:t>
            </w:r>
          </w:p>
        </w:tc>
      </w:tr>
      <w:tr w:rsidR="00FB0FFD" w:rsidRPr="0018386D" w14:paraId="45D83F9F" w14:textId="77777777" w:rsidTr="00472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tcPr>
          <w:p w14:paraId="6930AA82" w14:textId="7A0D913D" w:rsidR="00730D20" w:rsidRPr="0018386D" w:rsidRDefault="00970F12" w:rsidP="00DD3106">
            <w:pPr>
              <w:pStyle w:val="TableText"/>
              <w:keepNext/>
              <w:spacing w:before="20" w:after="20"/>
              <w:rPr>
                <w:rFonts w:cs="Calibri"/>
                <w:b w:val="0"/>
                <w:szCs w:val="18"/>
              </w:rPr>
            </w:pPr>
            <w:r w:rsidRPr="0018386D">
              <w:rPr>
                <w:rFonts w:cs="Calibri"/>
                <w:b w:val="0"/>
                <w:szCs w:val="18"/>
              </w:rPr>
              <w:t>Sludge</w:t>
            </w:r>
          </w:p>
        </w:tc>
        <w:tc>
          <w:tcPr>
            <w:tcW w:w="0" w:type="auto"/>
            <w:tcBorders>
              <w:top w:val="single" w:sz="4" w:space="0" w:color="auto"/>
              <w:left w:val="single" w:sz="4" w:space="0" w:color="auto"/>
              <w:bottom w:val="single" w:sz="4" w:space="0" w:color="auto"/>
              <w:right w:val="single" w:sz="4" w:space="0" w:color="auto"/>
            </w:tcBorders>
          </w:tcPr>
          <w:p w14:paraId="0B0A29A7" w14:textId="77777777" w:rsidR="00730D20" w:rsidRPr="0018386D" w:rsidRDefault="00730D20" w:rsidP="00DD3106">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0.05</w:t>
            </w:r>
          </w:p>
        </w:tc>
        <w:tc>
          <w:tcPr>
            <w:tcW w:w="0" w:type="auto"/>
            <w:tcBorders>
              <w:top w:val="single" w:sz="4" w:space="0" w:color="auto"/>
              <w:left w:val="single" w:sz="4" w:space="0" w:color="auto"/>
              <w:bottom w:val="single" w:sz="4" w:space="0" w:color="auto"/>
              <w:right w:val="single" w:sz="4" w:space="0" w:color="auto"/>
            </w:tcBorders>
          </w:tcPr>
          <w:p w14:paraId="1FEC98C7" w14:textId="77777777" w:rsidR="00730D20" w:rsidRPr="0018386D" w:rsidRDefault="00730D20" w:rsidP="00DD3106">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52ADCB1B" w14:textId="77777777" w:rsidR="00730D20" w:rsidRPr="0018386D" w:rsidRDefault="00730D20" w:rsidP="00DD3106">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7055A937" w14:textId="77777777" w:rsidR="00730D20" w:rsidRPr="0018386D" w:rsidRDefault="00730D20" w:rsidP="00DD3106">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0.42</w:t>
            </w:r>
          </w:p>
        </w:tc>
        <w:tc>
          <w:tcPr>
            <w:tcW w:w="0" w:type="auto"/>
            <w:tcBorders>
              <w:top w:val="single" w:sz="4" w:space="0" w:color="auto"/>
              <w:left w:val="single" w:sz="4" w:space="0" w:color="auto"/>
              <w:bottom w:val="single" w:sz="4" w:space="0" w:color="auto"/>
              <w:right w:val="single" w:sz="4" w:space="0" w:color="auto"/>
            </w:tcBorders>
          </w:tcPr>
          <w:p w14:paraId="21499E17" w14:textId="77777777" w:rsidR="00730D20" w:rsidRPr="0018386D" w:rsidRDefault="00730D20" w:rsidP="00DD3106">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0" w:type="auto"/>
            <w:tcBorders>
              <w:top w:val="single" w:sz="4" w:space="0" w:color="auto"/>
              <w:left w:val="single" w:sz="4" w:space="0" w:color="auto"/>
              <w:bottom w:val="single" w:sz="4" w:space="0" w:color="auto"/>
              <w:right w:val="single" w:sz="4" w:space="0" w:color="auto"/>
            </w:tcBorders>
          </w:tcPr>
          <w:p w14:paraId="20429C9E" w14:textId="77777777" w:rsidR="00730D20" w:rsidRPr="0018386D" w:rsidRDefault="00730D20" w:rsidP="00DD3106">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c>
          <w:tcPr>
            <w:tcW w:w="0" w:type="auto"/>
            <w:tcBorders>
              <w:top w:val="single" w:sz="4" w:space="0" w:color="auto"/>
              <w:left w:val="single" w:sz="4" w:space="0" w:color="auto"/>
              <w:bottom w:val="single" w:sz="4" w:space="0" w:color="auto"/>
              <w:right w:val="nil"/>
            </w:tcBorders>
          </w:tcPr>
          <w:p w14:paraId="367F1F15" w14:textId="77777777" w:rsidR="00730D20" w:rsidRPr="0018386D" w:rsidRDefault="00730D20" w:rsidP="00DD3106">
            <w:pPr>
              <w:pStyle w:val="TableText"/>
              <w:keepN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r>
      <w:tr w:rsidR="00FB0FFD" w:rsidRPr="0018386D" w14:paraId="4AB5AF34" w14:textId="77777777" w:rsidTr="00472F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140D8C2F" w14:textId="615CE79B" w:rsidR="00730D20" w:rsidRPr="0018386D" w:rsidRDefault="00730D20" w:rsidP="00DD3106">
            <w:pPr>
              <w:pStyle w:val="TableText"/>
              <w:keepNext/>
              <w:spacing w:before="20" w:after="20"/>
              <w:rPr>
                <w:rFonts w:cs="Calibri"/>
                <w:b w:val="0"/>
                <w:szCs w:val="18"/>
              </w:rPr>
            </w:pPr>
            <w:r w:rsidRPr="0018386D">
              <w:rPr>
                <w:rFonts w:cs="Calibri"/>
                <w:b w:val="0"/>
                <w:szCs w:val="18"/>
              </w:rPr>
              <w:t>C</w:t>
            </w:r>
            <w:r w:rsidR="002F7A78" w:rsidRPr="0018386D">
              <w:rPr>
                <w:rFonts w:cs="Calibri"/>
                <w:b w:val="0"/>
                <w:szCs w:val="18"/>
              </w:rPr>
              <w:t xml:space="preserve"> </w:t>
            </w:r>
            <w:r w:rsidRPr="0018386D">
              <w:rPr>
                <w:rFonts w:cs="Calibri"/>
                <w:b w:val="0"/>
                <w:szCs w:val="18"/>
              </w:rPr>
              <w:t>&amp;</w:t>
            </w:r>
            <w:r w:rsidR="002F7A78" w:rsidRPr="0018386D">
              <w:rPr>
                <w:rFonts w:cs="Calibri"/>
                <w:b w:val="0"/>
                <w:szCs w:val="18"/>
              </w:rPr>
              <w:t xml:space="preserve"> </w:t>
            </w:r>
            <w:r w:rsidRPr="0018386D">
              <w:rPr>
                <w:rFonts w:cs="Calibri"/>
                <w:b w:val="0"/>
                <w:szCs w:val="18"/>
              </w:rPr>
              <w:t>D</w:t>
            </w:r>
          </w:p>
        </w:tc>
        <w:tc>
          <w:tcPr>
            <w:tcW w:w="0" w:type="auto"/>
            <w:tcBorders>
              <w:top w:val="single" w:sz="4" w:space="0" w:color="auto"/>
              <w:left w:val="single" w:sz="4" w:space="0" w:color="auto"/>
              <w:bottom w:val="single" w:sz="4" w:space="0" w:color="auto"/>
              <w:right w:val="single" w:sz="4" w:space="0" w:color="auto"/>
            </w:tcBorders>
          </w:tcPr>
          <w:p w14:paraId="66C79D3F" w14:textId="77777777" w:rsidR="00730D20" w:rsidRPr="0018386D" w:rsidRDefault="00730D20" w:rsidP="00DD3106">
            <w:pPr>
              <w:pStyle w:val="TableText"/>
              <w:keepN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0.04</w:t>
            </w:r>
          </w:p>
        </w:tc>
        <w:tc>
          <w:tcPr>
            <w:tcW w:w="0" w:type="auto"/>
            <w:tcBorders>
              <w:top w:val="single" w:sz="4" w:space="0" w:color="auto"/>
              <w:left w:val="single" w:sz="4" w:space="0" w:color="auto"/>
              <w:bottom w:val="single" w:sz="4" w:space="0" w:color="auto"/>
              <w:right w:val="single" w:sz="4" w:space="0" w:color="auto"/>
            </w:tcBorders>
          </w:tcPr>
          <w:p w14:paraId="12E8603E" w14:textId="77777777" w:rsidR="00730D20" w:rsidRPr="0018386D" w:rsidRDefault="00730D20" w:rsidP="00DD3106">
            <w:pPr>
              <w:pStyle w:val="TableText"/>
              <w:keepN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77C0E2A4" w14:textId="77777777" w:rsidR="00730D20" w:rsidRPr="0018386D" w:rsidRDefault="00730D20" w:rsidP="00DD3106">
            <w:pPr>
              <w:pStyle w:val="TableText"/>
              <w:keepN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3DC3AFA7" w14:textId="77777777" w:rsidR="00730D20" w:rsidRPr="0018386D" w:rsidRDefault="00730D20" w:rsidP="00DD3106">
            <w:pPr>
              <w:pStyle w:val="TableText"/>
              <w:keepN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0.42</w:t>
            </w:r>
          </w:p>
        </w:tc>
        <w:tc>
          <w:tcPr>
            <w:tcW w:w="0" w:type="auto"/>
            <w:tcBorders>
              <w:top w:val="single" w:sz="4" w:space="0" w:color="auto"/>
              <w:left w:val="single" w:sz="4" w:space="0" w:color="auto"/>
              <w:bottom w:val="single" w:sz="4" w:space="0" w:color="auto"/>
              <w:right w:val="single" w:sz="4" w:space="0" w:color="auto"/>
            </w:tcBorders>
          </w:tcPr>
          <w:p w14:paraId="17368019" w14:textId="77777777" w:rsidR="00730D20" w:rsidRPr="0018386D" w:rsidRDefault="00730D20" w:rsidP="00DD3106">
            <w:pPr>
              <w:pStyle w:val="TableText"/>
              <w:keepN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16/12</w:t>
            </w:r>
          </w:p>
        </w:tc>
        <w:tc>
          <w:tcPr>
            <w:tcW w:w="0" w:type="auto"/>
            <w:tcBorders>
              <w:top w:val="single" w:sz="4" w:space="0" w:color="auto"/>
              <w:left w:val="single" w:sz="4" w:space="0" w:color="auto"/>
              <w:bottom w:val="single" w:sz="4" w:space="0" w:color="auto"/>
              <w:right w:val="single" w:sz="4" w:space="0" w:color="auto"/>
            </w:tcBorders>
          </w:tcPr>
          <w:p w14:paraId="20DCFE2D" w14:textId="77777777" w:rsidR="00730D20" w:rsidRPr="0018386D" w:rsidRDefault="00730D20" w:rsidP="00DD3106">
            <w:pPr>
              <w:pStyle w:val="TableText"/>
              <w:keepN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p>
        </w:tc>
        <w:tc>
          <w:tcPr>
            <w:tcW w:w="0" w:type="auto"/>
            <w:tcBorders>
              <w:top w:val="single" w:sz="4" w:space="0" w:color="auto"/>
              <w:left w:val="single" w:sz="4" w:space="0" w:color="auto"/>
              <w:bottom w:val="single" w:sz="4" w:space="0" w:color="auto"/>
            </w:tcBorders>
          </w:tcPr>
          <w:p w14:paraId="590FB593" w14:textId="77777777" w:rsidR="00730D20" w:rsidRPr="0018386D" w:rsidRDefault="00730D20" w:rsidP="00DD3106">
            <w:pPr>
              <w:pStyle w:val="TableText"/>
              <w:keepN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p>
        </w:tc>
      </w:tr>
      <w:tr w:rsidR="00FB0FFD" w:rsidRPr="0018386D" w14:paraId="31D68B32" w14:textId="77777777" w:rsidTr="00472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tcPr>
          <w:p w14:paraId="370F3FD3" w14:textId="77777777" w:rsidR="00730D20" w:rsidRPr="0018386D" w:rsidRDefault="00730D20" w:rsidP="00DD3106">
            <w:pPr>
              <w:pStyle w:val="TableText"/>
              <w:spacing w:before="20" w:after="20"/>
              <w:rPr>
                <w:rFonts w:cs="Calibri"/>
                <w:b w:val="0"/>
                <w:szCs w:val="18"/>
              </w:rPr>
            </w:pPr>
            <w:r w:rsidRPr="0018386D">
              <w:rPr>
                <w:rFonts w:cs="Calibri"/>
                <w:b w:val="0"/>
                <w:szCs w:val="18"/>
              </w:rPr>
              <w:t>Bulk waste</w:t>
            </w:r>
          </w:p>
        </w:tc>
        <w:tc>
          <w:tcPr>
            <w:tcW w:w="0" w:type="auto"/>
            <w:tcBorders>
              <w:top w:val="single" w:sz="4" w:space="0" w:color="auto"/>
              <w:left w:val="single" w:sz="4" w:space="0" w:color="auto"/>
              <w:bottom w:val="single" w:sz="4" w:space="0" w:color="auto"/>
              <w:right w:val="single" w:sz="4" w:space="0" w:color="auto"/>
            </w:tcBorders>
          </w:tcPr>
          <w:p w14:paraId="5F1044A3"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0.28</w:t>
            </w:r>
          </w:p>
        </w:tc>
        <w:tc>
          <w:tcPr>
            <w:tcW w:w="0" w:type="auto"/>
            <w:tcBorders>
              <w:top w:val="single" w:sz="4" w:space="0" w:color="auto"/>
              <w:left w:val="single" w:sz="4" w:space="0" w:color="auto"/>
              <w:bottom w:val="single" w:sz="4" w:space="0" w:color="auto"/>
              <w:right w:val="single" w:sz="4" w:space="0" w:color="auto"/>
            </w:tcBorders>
          </w:tcPr>
          <w:p w14:paraId="0E2609E5"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64564026"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5BE7E737"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0.42</w:t>
            </w:r>
          </w:p>
        </w:tc>
        <w:tc>
          <w:tcPr>
            <w:tcW w:w="0" w:type="auto"/>
            <w:tcBorders>
              <w:top w:val="single" w:sz="4" w:space="0" w:color="auto"/>
              <w:left w:val="single" w:sz="4" w:space="0" w:color="auto"/>
              <w:bottom w:val="single" w:sz="4" w:space="0" w:color="auto"/>
              <w:right w:val="single" w:sz="4" w:space="0" w:color="auto"/>
            </w:tcBorders>
          </w:tcPr>
          <w:p w14:paraId="6A9E1B05"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0" w:type="auto"/>
            <w:tcBorders>
              <w:top w:val="single" w:sz="4" w:space="0" w:color="auto"/>
              <w:left w:val="single" w:sz="4" w:space="0" w:color="auto"/>
              <w:bottom w:val="single" w:sz="4" w:space="0" w:color="auto"/>
              <w:right w:val="single" w:sz="4" w:space="0" w:color="auto"/>
            </w:tcBorders>
          </w:tcPr>
          <w:p w14:paraId="4E7F7A30"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c>
          <w:tcPr>
            <w:tcW w:w="0" w:type="auto"/>
            <w:tcBorders>
              <w:top w:val="single" w:sz="4" w:space="0" w:color="auto"/>
              <w:left w:val="single" w:sz="4" w:space="0" w:color="auto"/>
              <w:bottom w:val="single" w:sz="4" w:space="0" w:color="auto"/>
              <w:right w:val="nil"/>
            </w:tcBorders>
          </w:tcPr>
          <w:p w14:paraId="0B7F6872"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r>
      <w:tr w:rsidR="00FB0FFD" w:rsidRPr="0018386D" w14:paraId="5BBC29C3" w14:textId="77777777" w:rsidTr="00472F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EA6D655" w14:textId="77777777" w:rsidR="00730D20" w:rsidRPr="0018386D" w:rsidRDefault="00730D20" w:rsidP="00DD3106">
            <w:pPr>
              <w:pStyle w:val="TableText"/>
              <w:spacing w:before="20" w:after="20"/>
              <w:rPr>
                <w:rFonts w:cs="Calibri"/>
                <w:b w:val="0"/>
                <w:szCs w:val="18"/>
              </w:rPr>
            </w:pPr>
            <w:r w:rsidRPr="0018386D">
              <w:rPr>
                <w:rFonts w:cs="Calibri"/>
                <w:b w:val="0"/>
                <w:szCs w:val="18"/>
              </w:rPr>
              <w:t>Food</w:t>
            </w:r>
          </w:p>
        </w:tc>
        <w:tc>
          <w:tcPr>
            <w:tcW w:w="0" w:type="auto"/>
            <w:tcBorders>
              <w:top w:val="single" w:sz="4" w:space="0" w:color="auto"/>
              <w:left w:val="single" w:sz="4" w:space="0" w:color="auto"/>
              <w:bottom w:val="single" w:sz="4" w:space="0" w:color="auto"/>
              <w:right w:val="single" w:sz="4" w:space="0" w:color="auto"/>
            </w:tcBorders>
          </w:tcPr>
          <w:p w14:paraId="31793433"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0.15</w:t>
            </w:r>
          </w:p>
        </w:tc>
        <w:tc>
          <w:tcPr>
            <w:tcW w:w="0" w:type="auto"/>
            <w:tcBorders>
              <w:top w:val="single" w:sz="4" w:space="0" w:color="auto"/>
              <w:left w:val="single" w:sz="4" w:space="0" w:color="auto"/>
              <w:bottom w:val="single" w:sz="4" w:space="0" w:color="auto"/>
              <w:right w:val="single" w:sz="4" w:space="0" w:color="auto"/>
            </w:tcBorders>
          </w:tcPr>
          <w:p w14:paraId="11D460A5"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1B8C64CC"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7403AB31"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0.42</w:t>
            </w:r>
          </w:p>
        </w:tc>
        <w:tc>
          <w:tcPr>
            <w:tcW w:w="0" w:type="auto"/>
            <w:tcBorders>
              <w:top w:val="single" w:sz="4" w:space="0" w:color="auto"/>
              <w:left w:val="single" w:sz="4" w:space="0" w:color="auto"/>
              <w:bottom w:val="single" w:sz="4" w:space="0" w:color="auto"/>
              <w:right w:val="single" w:sz="4" w:space="0" w:color="auto"/>
            </w:tcBorders>
          </w:tcPr>
          <w:p w14:paraId="4BCB62C6"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16/12</w:t>
            </w:r>
          </w:p>
        </w:tc>
        <w:tc>
          <w:tcPr>
            <w:tcW w:w="0" w:type="auto"/>
            <w:tcBorders>
              <w:top w:val="single" w:sz="4" w:space="0" w:color="auto"/>
              <w:left w:val="single" w:sz="4" w:space="0" w:color="auto"/>
              <w:bottom w:val="single" w:sz="4" w:space="0" w:color="auto"/>
              <w:right w:val="single" w:sz="4" w:space="0" w:color="auto"/>
            </w:tcBorders>
          </w:tcPr>
          <w:p w14:paraId="54991607"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p>
        </w:tc>
        <w:tc>
          <w:tcPr>
            <w:tcW w:w="0" w:type="auto"/>
            <w:tcBorders>
              <w:top w:val="single" w:sz="4" w:space="0" w:color="auto"/>
              <w:left w:val="single" w:sz="4" w:space="0" w:color="auto"/>
              <w:bottom w:val="single" w:sz="4" w:space="0" w:color="auto"/>
            </w:tcBorders>
          </w:tcPr>
          <w:p w14:paraId="0FEEEB0E"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p>
        </w:tc>
      </w:tr>
      <w:tr w:rsidR="00FB0FFD" w:rsidRPr="0018386D" w14:paraId="7812C5F2" w14:textId="77777777" w:rsidTr="00472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tcPr>
          <w:p w14:paraId="5C9B0816" w14:textId="77777777" w:rsidR="00730D20" w:rsidRPr="0018386D" w:rsidRDefault="00730D20" w:rsidP="00DD3106">
            <w:pPr>
              <w:pStyle w:val="TableText"/>
              <w:spacing w:before="20" w:after="20"/>
              <w:rPr>
                <w:rFonts w:cs="Calibri"/>
                <w:b w:val="0"/>
                <w:szCs w:val="18"/>
              </w:rPr>
            </w:pPr>
            <w:r w:rsidRPr="0018386D">
              <w:rPr>
                <w:rFonts w:cs="Calibri"/>
                <w:b w:val="0"/>
                <w:szCs w:val="18"/>
              </w:rPr>
              <w:t>Garden</w:t>
            </w:r>
          </w:p>
        </w:tc>
        <w:tc>
          <w:tcPr>
            <w:tcW w:w="0" w:type="auto"/>
            <w:tcBorders>
              <w:top w:val="single" w:sz="4" w:space="0" w:color="auto"/>
              <w:left w:val="single" w:sz="4" w:space="0" w:color="auto"/>
              <w:bottom w:val="single" w:sz="4" w:space="0" w:color="auto"/>
              <w:right w:val="single" w:sz="4" w:space="0" w:color="auto"/>
            </w:tcBorders>
          </w:tcPr>
          <w:p w14:paraId="42922390"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0.2</w:t>
            </w:r>
          </w:p>
        </w:tc>
        <w:tc>
          <w:tcPr>
            <w:tcW w:w="0" w:type="auto"/>
            <w:tcBorders>
              <w:top w:val="single" w:sz="4" w:space="0" w:color="auto"/>
              <w:left w:val="single" w:sz="4" w:space="0" w:color="auto"/>
              <w:bottom w:val="single" w:sz="4" w:space="0" w:color="auto"/>
              <w:right w:val="single" w:sz="4" w:space="0" w:color="auto"/>
            </w:tcBorders>
          </w:tcPr>
          <w:p w14:paraId="7B6B108B"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55669E67"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5CD7C3A3"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0.42</w:t>
            </w:r>
          </w:p>
        </w:tc>
        <w:tc>
          <w:tcPr>
            <w:tcW w:w="0" w:type="auto"/>
            <w:tcBorders>
              <w:top w:val="single" w:sz="4" w:space="0" w:color="auto"/>
              <w:left w:val="single" w:sz="4" w:space="0" w:color="auto"/>
              <w:bottom w:val="single" w:sz="4" w:space="0" w:color="auto"/>
              <w:right w:val="single" w:sz="4" w:space="0" w:color="auto"/>
            </w:tcBorders>
          </w:tcPr>
          <w:p w14:paraId="5C792578"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0" w:type="auto"/>
            <w:tcBorders>
              <w:top w:val="single" w:sz="4" w:space="0" w:color="auto"/>
              <w:left w:val="single" w:sz="4" w:space="0" w:color="auto"/>
              <w:bottom w:val="single" w:sz="4" w:space="0" w:color="auto"/>
              <w:right w:val="single" w:sz="4" w:space="0" w:color="auto"/>
            </w:tcBorders>
          </w:tcPr>
          <w:p w14:paraId="2E9F63F5"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c>
          <w:tcPr>
            <w:tcW w:w="0" w:type="auto"/>
            <w:tcBorders>
              <w:top w:val="single" w:sz="4" w:space="0" w:color="auto"/>
              <w:left w:val="single" w:sz="4" w:space="0" w:color="auto"/>
              <w:bottom w:val="single" w:sz="4" w:space="0" w:color="auto"/>
              <w:right w:val="nil"/>
            </w:tcBorders>
          </w:tcPr>
          <w:p w14:paraId="33CA6F0B"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r>
      <w:tr w:rsidR="00FB0FFD" w:rsidRPr="0018386D" w14:paraId="2690DBBA" w14:textId="77777777" w:rsidTr="00472F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340C3AA" w14:textId="77777777" w:rsidR="00730D20" w:rsidRPr="0018386D" w:rsidRDefault="00730D20" w:rsidP="00DD3106">
            <w:pPr>
              <w:pStyle w:val="TableText"/>
              <w:spacing w:before="20" w:after="20"/>
              <w:rPr>
                <w:rFonts w:cs="Calibri"/>
                <w:b w:val="0"/>
                <w:szCs w:val="18"/>
              </w:rPr>
            </w:pPr>
            <w:r w:rsidRPr="0018386D">
              <w:rPr>
                <w:rFonts w:cs="Calibri"/>
                <w:b w:val="0"/>
                <w:szCs w:val="18"/>
              </w:rPr>
              <w:t>Industrial</w:t>
            </w:r>
          </w:p>
        </w:tc>
        <w:tc>
          <w:tcPr>
            <w:tcW w:w="0" w:type="auto"/>
            <w:tcBorders>
              <w:top w:val="single" w:sz="4" w:space="0" w:color="auto"/>
              <w:left w:val="single" w:sz="4" w:space="0" w:color="auto"/>
              <w:bottom w:val="single" w:sz="4" w:space="0" w:color="auto"/>
              <w:right w:val="single" w:sz="4" w:space="0" w:color="auto"/>
            </w:tcBorders>
          </w:tcPr>
          <w:p w14:paraId="669EEFDA"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0.15</w:t>
            </w:r>
          </w:p>
        </w:tc>
        <w:tc>
          <w:tcPr>
            <w:tcW w:w="0" w:type="auto"/>
            <w:tcBorders>
              <w:top w:val="single" w:sz="4" w:space="0" w:color="auto"/>
              <w:left w:val="single" w:sz="4" w:space="0" w:color="auto"/>
              <w:bottom w:val="single" w:sz="4" w:space="0" w:color="auto"/>
              <w:right w:val="single" w:sz="4" w:space="0" w:color="auto"/>
            </w:tcBorders>
          </w:tcPr>
          <w:p w14:paraId="7A6466A5"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78C2C0B9"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626871EA"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0.42</w:t>
            </w:r>
          </w:p>
        </w:tc>
        <w:tc>
          <w:tcPr>
            <w:tcW w:w="0" w:type="auto"/>
            <w:tcBorders>
              <w:top w:val="single" w:sz="4" w:space="0" w:color="auto"/>
              <w:left w:val="single" w:sz="4" w:space="0" w:color="auto"/>
              <w:bottom w:val="single" w:sz="4" w:space="0" w:color="auto"/>
              <w:right w:val="single" w:sz="4" w:space="0" w:color="auto"/>
            </w:tcBorders>
          </w:tcPr>
          <w:p w14:paraId="5BE70FD3"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16/12</w:t>
            </w:r>
          </w:p>
        </w:tc>
        <w:tc>
          <w:tcPr>
            <w:tcW w:w="0" w:type="auto"/>
            <w:tcBorders>
              <w:top w:val="single" w:sz="4" w:space="0" w:color="auto"/>
              <w:left w:val="single" w:sz="4" w:space="0" w:color="auto"/>
              <w:bottom w:val="single" w:sz="4" w:space="0" w:color="auto"/>
              <w:right w:val="single" w:sz="4" w:space="0" w:color="auto"/>
            </w:tcBorders>
          </w:tcPr>
          <w:p w14:paraId="4A56E81F"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p>
        </w:tc>
        <w:tc>
          <w:tcPr>
            <w:tcW w:w="0" w:type="auto"/>
            <w:tcBorders>
              <w:top w:val="single" w:sz="4" w:space="0" w:color="auto"/>
              <w:left w:val="single" w:sz="4" w:space="0" w:color="auto"/>
              <w:bottom w:val="single" w:sz="4" w:space="0" w:color="auto"/>
            </w:tcBorders>
          </w:tcPr>
          <w:p w14:paraId="0313B845" w14:textId="77777777" w:rsidR="00730D20" w:rsidRPr="0018386D" w:rsidRDefault="00730D20" w:rsidP="00DD3106">
            <w:pPr>
              <w:pStyle w:val="TableText"/>
              <w:spacing w:before="20" w:after="2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w:t>
            </w:r>
          </w:p>
        </w:tc>
      </w:tr>
      <w:tr w:rsidR="00FB0FFD" w:rsidRPr="0018386D" w14:paraId="53899491" w14:textId="77777777" w:rsidTr="00472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tcPr>
          <w:p w14:paraId="1E4A2BF1" w14:textId="77777777" w:rsidR="00730D20" w:rsidRPr="0018386D" w:rsidRDefault="00730D20" w:rsidP="00DD3106">
            <w:pPr>
              <w:pStyle w:val="TableText"/>
              <w:spacing w:before="20" w:after="20"/>
              <w:rPr>
                <w:rFonts w:cs="Calibri"/>
                <w:b w:val="0"/>
                <w:szCs w:val="18"/>
              </w:rPr>
            </w:pPr>
            <w:r w:rsidRPr="0018386D">
              <w:rPr>
                <w:rFonts w:cs="Calibri"/>
                <w:b w:val="0"/>
                <w:szCs w:val="18"/>
              </w:rPr>
              <w:t>Wood</w:t>
            </w:r>
          </w:p>
        </w:tc>
        <w:tc>
          <w:tcPr>
            <w:tcW w:w="0" w:type="auto"/>
            <w:tcBorders>
              <w:top w:val="single" w:sz="4" w:space="0" w:color="auto"/>
              <w:left w:val="single" w:sz="4" w:space="0" w:color="auto"/>
              <w:bottom w:val="single" w:sz="4" w:space="0" w:color="auto"/>
              <w:right w:val="single" w:sz="4" w:space="0" w:color="auto"/>
            </w:tcBorders>
          </w:tcPr>
          <w:p w14:paraId="1E847DF7" w14:textId="7589C85E"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r w:rsidR="00A62EE5" w:rsidRPr="0018386D">
              <w:rPr>
                <w:rFonts w:cs="Calibri"/>
                <w:szCs w:val="18"/>
              </w:rPr>
              <w:t>34</w:t>
            </w:r>
          </w:p>
        </w:tc>
        <w:tc>
          <w:tcPr>
            <w:tcW w:w="0" w:type="auto"/>
            <w:tcBorders>
              <w:top w:val="single" w:sz="4" w:space="0" w:color="auto"/>
              <w:left w:val="single" w:sz="4" w:space="0" w:color="auto"/>
              <w:bottom w:val="single" w:sz="4" w:space="0" w:color="auto"/>
              <w:right w:val="single" w:sz="4" w:space="0" w:color="auto"/>
            </w:tcBorders>
          </w:tcPr>
          <w:p w14:paraId="5BE13629"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69E79D08"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0.5</w:t>
            </w:r>
          </w:p>
        </w:tc>
        <w:tc>
          <w:tcPr>
            <w:tcW w:w="0" w:type="auto"/>
            <w:tcBorders>
              <w:top w:val="single" w:sz="4" w:space="0" w:color="auto"/>
              <w:left w:val="single" w:sz="4" w:space="0" w:color="auto"/>
              <w:bottom w:val="single" w:sz="4" w:space="0" w:color="auto"/>
              <w:right w:val="single" w:sz="4" w:space="0" w:color="auto"/>
            </w:tcBorders>
          </w:tcPr>
          <w:p w14:paraId="75802973"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0.42</w:t>
            </w:r>
          </w:p>
        </w:tc>
        <w:tc>
          <w:tcPr>
            <w:tcW w:w="0" w:type="auto"/>
            <w:tcBorders>
              <w:top w:val="single" w:sz="4" w:space="0" w:color="auto"/>
              <w:left w:val="single" w:sz="4" w:space="0" w:color="auto"/>
              <w:bottom w:val="single" w:sz="4" w:space="0" w:color="auto"/>
              <w:right w:val="single" w:sz="4" w:space="0" w:color="auto"/>
            </w:tcBorders>
          </w:tcPr>
          <w:p w14:paraId="50C3100C"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16/12</w:t>
            </w:r>
          </w:p>
        </w:tc>
        <w:tc>
          <w:tcPr>
            <w:tcW w:w="0" w:type="auto"/>
            <w:tcBorders>
              <w:top w:val="single" w:sz="4" w:space="0" w:color="auto"/>
              <w:left w:val="single" w:sz="4" w:space="0" w:color="auto"/>
              <w:bottom w:val="single" w:sz="4" w:space="0" w:color="auto"/>
              <w:right w:val="single" w:sz="4" w:space="0" w:color="auto"/>
            </w:tcBorders>
          </w:tcPr>
          <w:p w14:paraId="664B6C28"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c>
          <w:tcPr>
            <w:tcW w:w="0" w:type="auto"/>
            <w:tcBorders>
              <w:top w:val="single" w:sz="4" w:space="0" w:color="auto"/>
              <w:left w:val="single" w:sz="4" w:space="0" w:color="auto"/>
              <w:bottom w:val="single" w:sz="4" w:space="0" w:color="auto"/>
              <w:right w:val="nil"/>
            </w:tcBorders>
          </w:tcPr>
          <w:p w14:paraId="76812587" w14:textId="77777777" w:rsidR="00730D20" w:rsidRPr="0018386D" w:rsidRDefault="00730D20" w:rsidP="00DD3106">
            <w:pPr>
              <w:pStyle w:val="TableText"/>
              <w:spacing w:before="20" w:after="2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w:t>
            </w:r>
          </w:p>
        </w:tc>
      </w:tr>
      <w:tr w:rsidR="006316C3" w:rsidRPr="0018386D" w14:paraId="289E5702" w14:textId="77777777" w:rsidTr="00472F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D5EBE8" w:themeFill="accent3"/>
          </w:tcPr>
          <w:p w14:paraId="60156780" w14:textId="77777777" w:rsidR="00730D20" w:rsidRPr="0018386D" w:rsidRDefault="00730D20" w:rsidP="00DD3106">
            <w:pPr>
              <w:pStyle w:val="TableText"/>
              <w:spacing w:before="20" w:after="20"/>
              <w:rPr>
                <w:rFonts w:cs="Calibri"/>
                <w:b w:val="0"/>
                <w:spacing w:val="-2"/>
                <w:sz w:val="16"/>
                <w:szCs w:val="16"/>
              </w:rPr>
            </w:pPr>
            <w:r w:rsidRPr="0018386D">
              <w:rPr>
                <w:rFonts w:cs="Calibri"/>
                <w:spacing w:val="-2"/>
                <w:sz w:val="16"/>
                <w:szCs w:val="16"/>
              </w:rPr>
              <w:t>Source of information</w:t>
            </w:r>
          </w:p>
        </w:tc>
        <w:tc>
          <w:tcPr>
            <w:tcW w:w="0" w:type="auto"/>
            <w:tcBorders>
              <w:top w:val="single" w:sz="4" w:space="0" w:color="auto"/>
            </w:tcBorders>
            <w:shd w:val="clear" w:color="auto" w:fill="D5EBE8" w:themeFill="accent3"/>
          </w:tcPr>
          <w:p w14:paraId="303077C3" w14:textId="71626C6F" w:rsidR="00730D20" w:rsidRPr="0018386D" w:rsidRDefault="00730D20" w:rsidP="00DD3106">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pacing w:val="-2"/>
                <w:sz w:val="16"/>
                <w:szCs w:val="16"/>
              </w:rPr>
            </w:pPr>
            <w:r w:rsidRPr="0018386D">
              <w:rPr>
                <w:rFonts w:cs="Calibri"/>
                <w:spacing w:val="-2"/>
                <w:sz w:val="16"/>
                <w:szCs w:val="16"/>
              </w:rPr>
              <w:t>Tonkin &amp; Taylor (</w:t>
            </w:r>
            <w:r w:rsidR="00A62EE5" w:rsidRPr="0018386D">
              <w:rPr>
                <w:rFonts w:cs="Calibri"/>
                <w:spacing w:val="-2"/>
                <w:sz w:val="16"/>
                <w:szCs w:val="16"/>
              </w:rPr>
              <w:t>unpublished</w:t>
            </w:r>
            <w:r w:rsidR="00F829FF" w:rsidRPr="0018386D">
              <w:rPr>
                <w:rFonts w:cs="Calibri"/>
                <w:spacing w:val="-2"/>
                <w:sz w:val="16"/>
                <w:szCs w:val="16"/>
              </w:rPr>
              <w:t>) based on IPCC 2006 vol. 5, table 3.1</w:t>
            </w:r>
            <w:r w:rsidR="00F829FF" w:rsidRPr="0018386D">
              <w:rPr>
                <w:rStyle w:val="FootnoteReference"/>
                <w:rFonts w:cs="Calibri"/>
                <w:spacing w:val="-2"/>
                <w:sz w:val="16"/>
                <w:szCs w:val="16"/>
              </w:rPr>
              <w:footnoteReference w:id="63"/>
            </w:r>
            <w:r w:rsidR="00F829FF" w:rsidRPr="0018386D">
              <w:rPr>
                <w:rFonts w:cs="Calibri"/>
                <w:spacing w:val="-2"/>
                <w:sz w:val="16"/>
                <w:szCs w:val="16"/>
              </w:rPr>
              <w:t xml:space="preserve"> </w:t>
            </w:r>
          </w:p>
        </w:tc>
        <w:tc>
          <w:tcPr>
            <w:tcW w:w="0" w:type="auto"/>
            <w:tcBorders>
              <w:top w:val="single" w:sz="4" w:space="0" w:color="auto"/>
            </w:tcBorders>
            <w:shd w:val="clear" w:color="auto" w:fill="D5EBE8" w:themeFill="accent3"/>
          </w:tcPr>
          <w:p w14:paraId="4E6F3AA6" w14:textId="77777777" w:rsidR="00730D20" w:rsidRPr="0018386D" w:rsidRDefault="00730D20" w:rsidP="00DD3106">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pacing w:val="-2"/>
                <w:sz w:val="16"/>
                <w:szCs w:val="16"/>
              </w:rPr>
            </w:pPr>
            <w:r w:rsidRPr="0018386D">
              <w:rPr>
                <w:rFonts w:cs="Calibri"/>
                <w:spacing w:val="-2"/>
                <w:sz w:val="16"/>
                <w:szCs w:val="16"/>
              </w:rPr>
              <w:t>IPCC default for unmanaged landfills</w:t>
            </w:r>
          </w:p>
        </w:tc>
        <w:tc>
          <w:tcPr>
            <w:tcW w:w="0" w:type="auto"/>
            <w:tcBorders>
              <w:top w:val="single" w:sz="4" w:space="0" w:color="auto"/>
            </w:tcBorders>
            <w:shd w:val="clear" w:color="auto" w:fill="D5EBE8" w:themeFill="accent3"/>
          </w:tcPr>
          <w:p w14:paraId="1C29BEBC" w14:textId="77777777" w:rsidR="00730D20" w:rsidRPr="0018386D" w:rsidRDefault="00730D20" w:rsidP="00DD3106">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pacing w:val="-2"/>
                <w:sz w:val="16"/>
                <w:szCs w:val="16"/>
              </w:rPr>
            </w:pPr>
            <w:r w:rsidRPr="0018386D">
              <w:rPr>
                <w:rFonts w:cs="Calibri"/>
                <w:spacing w:val="-2"/>
                <w:sz w:val="16"/>
                <w:szCs w:val="16"/>
              </w:rPr>
              <w:t>IPCC default for unmanaged landfills</w:t>
            </w:r>
          </w:p>
        </w:tc>
        <w:tc>
          <w:tcPr>
            <w:tcW w:w="0" w:type="auto"/>
            <w:tcBorders>
              <w:top w:val="single" w:sz="4" w:space="0" w:color="auto"/>
            </w:tcBorders>
            <w:shd w:val="clear" w:color="auto" w:fill="D5EBE8" w:themeFill="accent3"/>
          </w:tcPr>
          <w:p w14:paraId="0886F044" w14:textId="67E6DEE6" w:rsidR="00730D20" w:rsidRPr="0018386D" w:rsidRDefault="00730D20" w:rsidP="00DD3106">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pacing w:val="-2"/>
                <w:sz w:val="16"/>
                <w:szCs w:val="16"/>
              </w:rPr>
            </w:pPr>
            <w:r w:rsidRPr="0018386D">
              <w:rPr>
                <w:rFonts w:cs="Calibri"/>
                <w:spacing w:val="-2"/>
                <w:sz w:val="16"/>
                <w:szCs w:val="16"/>
              </w:rPr>
              <w:t>Tonkin &amp; Taylor (</w:t>
            </w:r>
            <w:r w:rsidR="00FB0FFD" w:rsidRPr="0018386D">
              <w:rPr>
                <w:rFonts w:cs="Calibri"/>
                <w:spacing w:val="-2"/>
                <w:sz w:val="16"/>
                <w:szCs w:val="16"/>
              </w:rPr>
              <w:t>unpublished</w:t>
            </w:r>
            <w:r w:rsidRPr="0018386D">
              <w:rPr>
                <w:rFonts w:cs="Calibri"/>
                <w:spacing w:val="-2"/>
                <w:sz w:val="16"/>
                <w:szCs w:val="16"/>
              </w:rPr>
              <w:t>)</w:t>
            </w:r>
          </w:p>
        </w:tc>
        <w:tc>
          <w:tcPr>
            <w:tcW w:w="0" w:type="auto"/>
            <w:tcBorders>
              <w:top w:val="single" w:sz="4" w:space="0" w:color="auto"/>
            </w:tcBorders>
            <w:shd w:val="clear" w:color="auto" w:fill="D5EBE8" w:themeFill="accent3"/>
          </w:tcPr>
          <w:p w14:paraId="3BBC1C7F" w14:textId="77777777" w:rsidR="00730D20" w:rsidRPr="0018386D" w:rsidRDefault="00730D20" w:rsidP="00DD3106">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pacing w:val="-2"/>
                <w:sz w:val="16"/>
                <w:szCs w:val="16"/>
              </w:rPr>
            </w:pPr>
          </w:p>
        </w:tc>
        <w:tc>
          <w:tcPr>
            <w:tcW w:w="0" w:type="auto"/>
            <w:tcBorders>
              <w:top w:val="single" w:sz="4" w:space="0" w:color="auto"/>
            </w:tcBorders>
            <w:shd w:val="clear" w:color="auto" w:fill="D5EBE8" w:themeFill="accent3"/>
          </w:tcPr>
          <w:p w14:paraId="3A9E0C07" w14:textId="77777777" w:rsidR="00730D20" w:rsidRPr="0018386D" w:rsidRDefault="00730D20" w:rsidP="00DD3106">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pacing w:val="-2"/>
                <w:sz w:val="16"/>
                <w:szCs w:val="16"/>
              </w:rPr>
            </w:pPr>
            <w:r w:rsidRPr="0018386D">
              <w:rPr>
                <w:rFonts w:cs="Calibri"/>
                <w:spacing w:val="-2"/>
                <w:sz w:val="16"/>
                <w:szCs w:val="16"/>
              </w:rPr>
              <w:t>IPCC default for unmanaged landfills</w:t>
            </w:r>
          </w:p>
        </w:tc>
        <w:tc>
          <w:tcPr>
            <w:tcW w:w="0" w:type="auto"/>
            <w:tcBorders>
              <w:top w:val="single" w:sz="4" w:space="0" w:color="auto"/>
            </w:tcBorders>
            <w:shd w:val="clear" w:color="auto" w:fill="D5EBE8" w:themeFill="accent3"/>
          </w:tcPr>
          <w:p w14:paraId="5C4044DA" w14:textId="77777777" w:rsidR="00730D20" w:rsidRPr="0018386D" w:rsidRDefault="00730D20" w:rsidP="00DD3106">
            <w:pPr>
              <w:pStyle w:val="TableText"/>
              <w:spacing w:before="20" w:after="20"/>
              <w:cnfStyle w:val="000000000000" w:firstRow="0" w:lastRow="0" w:firstColumn="0" w:lastColumn="0" w:oddVBand="0" w:evenVBand="0" w:oddHBand="0" w:evenHBand="0" w:firstRowFirstColumn="0" w:firstRowLastColumn="0" w:lastRowFirstColumn="0" w:lastRowLastColumn="0"/>
              <w:rPr>
                <w:rFonts w:cs="Calibri"/>
                <w:spacing w:val="-2"/>
                <w:sz w:val="16"/>
                <w:szCs w:val="16"/>
              </w:rPr>
            </w:pPr>
            <w:r w:rsidRPr="0018386D">
              <w:rPr>
                <w:rFonts w:cs="Calibri"/>
                <w:spacing w:val="-2"/>
                <w:sz w:val="16"/>
                <w:szCs w:val="16"/>
              </w:rPr>
              <w:t>MfE</w:t>
            </w:r>
          </w:p>
        </w:tc>
      </w:tr>
    </w:tbl>
    <w:p w14:paraId="7615AE6E" w14:textId="7DCAFA40" w:rsidR="00A959E4" w:rsidRPr="0018386D" w:rsidRDefault="00A959E4" w:rsidP="00DD3106">
      <w:pPr>
        <w:pStyle w:val="Heading3"/>
        <w:numPr>
          <w:ilvl w:val="2"/>
          <w:numId w:val="8"/>
        </w:numPr>
        <w:spacing w:before="440"/>
      </w:pPr>
      <w:bookmarkStart w:id="856" w:name="_Toc532904955"/>
      <w:r w:rsidRPr="0018386D">
        <w:t>Whe</w:t>
      </w:r>
      <w:r w:rsidR="000C3EF0" w:rsidRPr="0018386D">
        <w:t>n</w:t>
      </w:r>
      <w:r w:rsidRPr="0018386D">
        <w:t xml:space="preserve"> composition of waste is unknown</w:t>
      </w:r>
      <w:bookmarkEnd w:id="856"/>
      <w:r w:rsidRPr="0018386D">
        <w:t xml:space="preserve"> </w:t>
      </w:r>
    </w:p>
    <w:p w14:paraId="38D19E3C" w14:textId="0AD7ECB7" w:rsidR="00A959E4" w:rsidRPr="0018386D" w:rsidRDefault="000C3EF0" w:rsidP="00DD3106">
      <w:pPr>
        <w:pStyle w:val="BodyText"/>
        <w:jc w:val="both"/>
        <w:rPr>
          <w:spacing w:val="-2"/>
        </w:rPr>
      </w:pPr>
      <w:r w:rsidRPr="0018386D">
        <w:rPr>
          <w:spacing w:val="-2"/>
        </w:rPr>
        <w:t xml:space="preserve">If the </w:t>
      </w:r>
      <w:r w:rsidR="00A959E4" w:rsidRPr="0018386D">
        <w:rPr>
          <w:spacing w:val="-2"/>
        </w:rPr>
        <w:t xml:space="preserve">composition is </w:t>
      </w:r>
      <w:r w:rsidR="00535F0B" w:rsidRPr="0018386D">
        <w:rPr>
          <w:spacing w:val="-2"/>
        </w:rPr>
        <w:t>un</w:t>
      </w:r>
      <w:r w:rsidR="00A959E4" w:rsidRPr="0018386D">
        <w:rPr>
          <w:spacing w:val="-2"/>
        </w:rPr>
        <w:t>known</w:t>
      </w:r>
      <w:r w:rsidRPr="0018386D">
        <w:rPr>
          <w:spacing w:val="-2"/>
        </w:rPr>
        <w:t>,</w:t>
      </w:r>
      <w:r w:rsidR="00A959E4" w:rsidRPr="0018386D">
        <w:rPr>
          <w:spacing w:val="-2"/>
        </w:rPr>
        <w:t xml:space="preserve"> select a general waste or an office waste default emission factor.</w:t>
      </w:r>
    </w:p>
    <w:p w14:paraId="3D7EB752" w14:textId="1A6AF98B" w:rsidR="1BC2B04D" w:rsidRPr="0018386D" w:rsidRDefault="1BC2B04D" w:rsidP="00DD3106">
      <w:pPr>
        <w:pStyle w:val="BodyText"/>
      </w:pPr>
      <w:r w:rsidRPr="0018386D">
        <w:rPr>
          <w:color w:val="000000" w:themeColor="text1"/>
        </w:rPr>
        <w:t xml:space="preserve">We based the default emission factor for general waste on national average composition data from </w:t>
      </w:r>
      <w:hyperlink r:id="rId124" w:history="1">
        <w:r w:rsidRPr="0018386D">
          <w:rPr>
            <w:rStyle w:val="Hyperlink"/>
            <w:rFonts w:eastAsia="Calibri" w:cs="Calibri"/>
            <w:i/>
            <w:iCs/>
          </w:rPr>
          <w:t>New Zealand</w:t>
        </w:r>
        <w:r w:rsidR="00C0070C" w:rsidRPr="0018386D">
          <w:rPr>
            <w:rStyle w:val="Hyperlink"/>
            <w:rFonts w:eastAsia="Calibri" w:cs="Calibri"/>
            <w:i/>
            <w:iCs/>
          </w:rPr>
          <w:t>’s</w:t>
        </w:r>
        <w:r w:rsidRPr="0018386D">
          <w:rPr>
            <w:rStyle w:val="Hyperlink"/>
            <w:rFonts w:eastAsia="Calibri" w:cs="Calibri"/>
            <w:i/>
            <w:iCs/>
          </w:rPr>
          <w:t xml:space="preserve"> Greenhouse Gas Inventory 1990</w:t>
        </w:r>
        <w:r w:rsidR="00C724CC" w:rsidRPr="0018386D">
          <w:rPr>
            <w:rStyle w:val="Hyperlink"/>
            <w:rFonts w:eastAsia="Calibri" w:cs="Calibri"/>
            <w:i/>
            <w:iCs/>
          </w:rPr>
          <w:t>–</w:t>
        </w:r>
        <w:r w:rsidRPr="0018386D">
          <w:rPr>
            <w:rStyle w:val="Hyperlink"/>
            <w:rFonts w:eastAsia="Calibri" w:cs="Calibri"/>
            <w:i/>
            <w:iCs/>
          </w:rPr>
          <w:t>2021</w:t>
        </w:r>
        <w:r w:rsidR="00ED3CB3" w:rsidRPr="0018386D" w:rsidDel="00ED3CB3">
          <w:rPr>
            <w:rStyle w:val="Hyperlink"/>
            <w:rFonts w:eastAsia="Calibri" w:cs="Calibri"/>
            <w:i/>
            <w:iCs/>
          </w:rPr>
          <w:t xml:space="preserve"> </w:t>
        </w:r>
      </w:hyperlink>
      <w:r w:rsidRPr="0018386D">
        <w:rPr>
          <w:color w:val="000000" w:themeColor="text1"/>
        </w:rPr>
        <w:t>(</w:t>
      </w:r>
      <w:r w:rsidR="00C724CC" w:rsidRPr="0018386D">
        <w:rPr>
          <w:color w:val="000000" w:themeColor="text1"/>
        </w:rPr>
        <w:t>see</w:t>
      </w:r>
      <w:r w:rsidRPr="0018386D">
        <w:rPr>
          <w:color w:val="000000" w:themeColor="text1"/>
        </w:rPr>
        <w:t xml:space="preserve"> </w:t>
      </w:r>
      <w:hyperlink w:anchor="Table77" w:history="1">
        <w:r w:rsidRPr="0018386D">
          <w:rPr>
            <w:rStyle w:val="Hyperlink"/>
          </w:rPr>
          <w:t>table</w:t>
        </w:r>
        <w:r w:rsidR="005F7036" w:rsidRPr="0018386D">
          <w:rPr>
            <w:rStyle w:val="Hyperlink"/>
          </w:rPr>
          <w:t xml:space="preserve"> </w:t>
        </w:r>
        <w:r w:rsidR="3947060C" w:rsidRPr="0018386D">
          <w:rPr>
            <w:rStyle w:val="Hyperlink"/>
          </w:rPr>
          <w:t>77</w:t>
        </w:r>
      </w:hyperlink>
      <w:r w:rsidRPr="0018386D">
        <w:rPr>
          <w:color w:val="000000" w:themeColor="text1"/>
        </w:rPr>
        <w:t xml:space="preserve"> above)</w:t>
      </w:r>
      <w:r w:rsidR="00735F77" w:rsidRPr="0018386D">
        <w:rPr>
          <w:color w:val="000000" w:themeColor="text1"/>
        </w:rPr>
        <w:t>.</w:t>
      </w:r>
    </w:p>
    <w:p w14:paraId="6D314ACD" w14:textId="5DA57EEE" w:rsidR="00A959E4" w:rsidRPr="0018386D" w:rsidRDefault="00A959E4" w:rsidP="00DD3106">
      <w:pPr>
        <w:pStyle w:val="BodyText"/>
      </w:pPr>
      <w:r w:rsidRPr="0018386D">
        <w:t>The following is the composition used to calculate office waste data.</w:t>
      </w:r>
    </w:p>
    <w:p w14:paraId="170F9A61" w14:textId="30CDD237" w:rsidR="00A959E4" w:rsidRPr="0018386D" w:rsidRDefault="00730FF9" w:rsidP="00DD3106">
      <w:pPr>
        <w:pStyle w:val="Tableheading"/>
      </w:pPr>
      <w:bookmarkStart w:id="857" w:name="_Toc111536692"/>
      <w:bookmarkStart w:id="858" w:name="_Toc140049020"/>
      <w:r w:rsidRPr="0018386D">
        <w:t xml:space="preserve">Table </w:t>
      </w:r>
      <w:r w:rsidRPr="0018386D">
        <w:fldChar w:fldCharType="begin"/>
      </w:r>
      <w:r w:rsidRPr="0018386D">
        <w:instrText>SEQ Table \* ARABIC</w:instrText>
      </w:r>
      <w:r w:rsidRPr="0018386D">
        <w:fldChar w:fldCharType="separate"/>
      </w:r>
      <w:r w:rsidR="0085383F" w:rsidRPr="0018386D">
        <w:t>80</w:t>
      </w:r>
      <w:r w:rsidRPr="0018386D">
        <w:fldChar w:fldCharType="end"/>
      </w:r>
      <w:r w:rsidRPr="0018386D">
        <w:t>:</w:t>
      </w:r>
      <w:r w:rsidRPr="0018386D">
        <w:tab/>
      </w:r>
      <w:r w:rsidR="00A959E4" w:rsidRPr="0018386D">
        <w:t>Composition of typical office waste</w:t>
      </w:r>
      <w:bookmarkEnd w:id="857"/>
      <w:bookmarkEnd w:id="858"/>
    </w:p>
    <w:tbl>
      <w:tblPr>
        <w:tblStyle w:val="LightList-Accent2"/>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022"/>
        <w:gridCol w:w="4483"/>
      </w:tblGrid>
      <w:tr w:rsidR="008F1EA9" w:rsidRPr="0018386D" w14:paraId="0542F005" w14:textId="77777777" w:rsidTr="0052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2" w:type="dxa"/>
            <w:tcBorders>
              <w:bottom w:val="single" w:sz="8" w:space="0" w:color="32809C" w:themeColor="accent2"/>
            </w:tcBorders>
            <w:shd w:val="clear" w:color="auto" w:fill="1B556B" w:themeFill="text2"/>
          </w:tcPr>
          <w:p w14:paraId="2069FEAF" w14:textId="1FB01476" w:rsidR="008F1EA9" w:rsidRPr="0018386D" w:rsidRDefault="008F1EA9" w:rsidP="00DD3106">
            <w:pPr>
              <w:pStyle w:val="TableText"/>
              <w:tabs>
                <w:tab w:val="center" w:pos="4144"/>
              </w:tabs>
              <w:spacing w:before="50" w:after="50"/>
              <w:rPr>
                <w:b w:val="0"/>
                <w:bCs w:val="0"/>
              </w:rPr>
            </w:pPr>
            <w:r w:rsidRPr="0018386D">
              <w:t>Waste component</w:t>
            </w:r>
          </w:p>
        </w:tc>
        <w:tc>
          <w:tcPr>
            <w:tcW w:w="4483" w:type="dxa"/>
            <w:tcBorders>
              <w:bottom w:val="single" w:sz="8" w:space="0" w:color="32809C" w:themeColor="accent2"/>
            </w:tcBorders>
            <w:shd w:val="clear" w:color="auto" w:fill="1B556B" w:themeFill="text2"/>
          </w:tcPr>
          <w:p w14:paraId="4CA2311C" w14:textId="6DE45334" w:rsidR="008F1EA9" w:rsidRPr="0018386D" w:rsidRDefault="008F1EA9" w:rsidP="00DD3106">
            <w:pPr>
              <w:pStyle w:val="TableText"/>
              <w:tabs>
                <w:tab w:val="center" w:pos="4144"/>
              </w:tabs>
              <w:spacing w:before="50" w:after="50"/>
              <w:jc w:val="right"/>
              <w:cnfStyle w:val="100000000000" w:firstRow="1" w:lastRow="0" w:firstColumn="0" w:lastColumn="0" w:oddVBand="0" w:evenVBand="0" w:oddHBand="0" w:evenHBand="0" w:firstRowFirstColumn="0" w:firstRowLastColumn="0" w:lastRowFirstColumn="0" w:lastRowLastColumn="0"/>
            </w:pPr>
            <w:r w:rsidRPr="0018386D">
              <w:t>Percentage</w:t>
            </w:r>
          </w:p>
        </w:tc>
      </w:tr>
      <w:tr w:rsidR="00A959E4" w:rsidRPr="0018386D" w14:paraId="2002FEE9" w14:textId="77777777" w:rsidTr="0052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2" w:type="dxa"/>
            <w:tcBorders>
              <w:left w:val="nil"/>
            </w:tcBorders>
          </w:tcPr>
          <w:p w14:paraId="73FE920E" w14:textId="77777777" w:rsidR="00A959E4" w:rsidRPr="0018386D" w:rsidRDefault="00A959E4" w:rsidP="00DD3106">
            <w:pPr>
              <w:pStyle w:val="TableText"/>
              <w:spacing w:before="50" w:after="50"/>
              <w:rPr>
                <w:b w:val="0"/>
              </w:rPr>
            </w:pPr>
            <w:r w:rsidRPr="0018386D">
              <w:rPr>
                <w:b w:val="0"/>
              </w:rPr>
              <w:t>Paper</w:t>
            </w:r>
          </w:p>
        </w:tc>
        <w:tc>
          <w:tcPr>
            <w:tcW w:w="4483" w:type="dxa"/>
            <w:tcBorders>
              <w:right w:val="nil"/>
            </w:tcBorders>
          </w:tcPr>
          <w:p w14:paraId="083623AB" w14:textId="77777777" w:rsidR="00A959E4" w:rsidRPr="0018386D" w:rsidRDefault="00A959E4"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18386D">
              <w:t>53.6%</w:t>
            </w:r>
          </w:p>
        </w:tc>
      </w:tr>
      <w:tr w:rsidR="00A959E4" w:rsidRPr="0018386D" w14:paraId="3C1E18F5" w14:textId="77777777" w:rsidTr="005245C7">
        <w:tc>
          <w:tcPr>
            <w:cnfStyle w:val="001000000000" w:firstRow="0" w:lastRow="0" w:firstColumn="1" w:lastColumn="0" w:oddVBand="0" w:evenVBand="0" w:oddHBand="0" w:evenHBand="0" w:firstRowFirstColumn="0" w:firstRowLastColumn="0" w:lastRowFirstColumn="0" w:lastRowLastColumn="0"/>
            <w:tcW w:w="4022" w:type="dxa"/>
            <w:tcBorders>
              <w:top w:val="single" w:sz="8" w:space="0" w:color="32809C" w:themeColor="accent2"/>
              <w:left w:val="nil"/>
              <w:bottom w:val="single" w:sz="8" w:space="0" w:color="32809C" w:themeColor="accent2"/>
            </w:tcBorders>
          </w:tcPr>
          <w:p w14:paraId="2DF9F56E" w14:textId="77777777" w:rsidR="00A959E4" w:rsidRPr="0018386D" w:rsidRDefault="00A959E4" w:rsidP="00DD3106">
            <w:pPr>
              <w:pStyle w:val="TableText"/>
              <w:spacing w:before="50" w:after="50"/>
              <w:rPr>
                <w:b w:val="0"/>
              </w:rPr>
            </w:pPr>
            <w:r w:rsidRPr="0018386D">
              <w:rPr>
                <w:b w:val="0"/>
              </w:rPr>
              <w:t>Food</w:t>
            </w:r>
          </w:p>
        </w:tc>
        <w:tc>
          <w:tcPr>
            <w:tcW w:w="4483" w:type="dxa"/>
            <w:tcBorders>
              <w:top w:val="single" w:sz="8" w:space="0" w:color="32809C" w:themeColor="accent2"/>
              <w:bottom w:val="single" w:sz="8" w:space="0" w:color="32809C" w:themeColor="accent2"/>
              <w:right w:val="nil"/>
            </w:tcBorders>
          </w:tcPr>
          <w:p w14:paraId="69494D0F" w14:textId="77777777" w:rsidR="00A959E4" w:rsidRPr="0018386D" w:rsidRDefault="00A959E4" w:rsidP="00DD3106">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18386D">
              <w:t>20.8%</w:t>
            </w:r>
          </w:p>
        </w:tc>
      </w:tr>
      <w:tr w:rsidR="00A959E4" w:rsidRPr="0018386D" w14:paraId="31934918" w14:textId="77777777" w:rsidTr="0052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2" w:type="dxa"/>
            <w:tcBorders>
              <w:left w:val="nil"/>
            </w:tcBorders>
          </w:tcPr>
          <w:p w14:paraId="69B0470B" w14:textId="77777777" w:rsidR="00A959E4" w:rsidRPr="0018386D" w:rsidRDefault="00A959E4" w:rsidP="00DD3106">
            <w:pPr>
              <w:pStyle w:val="TableText"/>
              <w:spacing w:before="50" w:after="50"/>
              <w:rPr>
                <w:b w:val="0"/>
              </w:rPr>
            </w:pPr>
            <w:r w:rsidRPr="0018386D">
              <w:rPr>
                <w:b w:val="0"/>
              </w:rPr>
              <w:t>Inert</w:t>
            </w:r>
          </w:p>
        </w:tc>
        <w:tc>
          <w:tcPr>
            <w:tcW w:w="4483" w:type="dxa"/>
            <w:tcBorders>
              <w:right w:val="nil"/>
            </w:tcBorders>
          </w:tcPr>
          <w:p w14:paraId="2AA25B3F" w14:textId="77777777" w:rsidR="00A959E4" w:rsidRPr="0018386D" w:rsidRDefault="00A959E4" w:rsidP="00DD3106">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18386D">
              <w:t>25.6%</w:t>
            </w:r>
          </w:p>
        </w:tc>
      </w:tr>
    </w:tbl>
    <w:p w14:paraId="64E55F93" w14:textId="7535E73D" w:rsidR="464B832D" w:rsidRPr="0018386D" w:rsidRDefault="464B832D" w:rsidP="00DD3106">
      <w:pPr>
        <w:pStyle w:val="Heading3"/>
        <w:numPr>
          <w:ilvl w:val="2"/>
          <w:numId w:val="8"/>
        </w:numPr>
        <w:ind w:left="1134" w:hanging="1134"/>
        <w:rPr>
          <w:rFonts w:eastAsia="Georgia" w:cs="Georgia"/>
          <w:szCs w:val="28"/>
        </w:rPr>
      </w:pPr>
      <w:r w:rsidRPr="0018386D">
        <w:rPr>
          <w:rFonts w:eastAsia="Georgia" w:cs="Georgia"/>
          <w:szCs w:val="28"/>
        </w:rPr>
        <w:t>Determining with or without landfill gas recovery</w:t>
      </w:r>
    </w:p>
    <w:p w14:paraId="7B99B059" w14:textId="4D53D6AC" w:rsidR="464B832D" w:rsidRPr="0018386D" w:rsidRDefault="464B832D" w:rsidP="00DD3106">
      <w:pPr>
        <w:pStyle w:val="BodyText"/>
      </w:pPr>
      <w:r w:rsidRPr="0018386D">
        <w:t xml:space="preserve">If an organisation does not know whether their waste goes to a landfill with or without gas recovery, either find out whether the receiving landfill has gas </w:t>
      </w:r>
      <w:proofErr w:type="gramStart"/>
      <w:r w:rsidRPr="0018386D">
        <w:t>recovery</w:t>
      </w:r>
      <w:r w:rsidR="00C724CC" w:rsidRPr="0018386D">
        <w:t>,</w:t>
      </w:r>
      <w:r w:rsidRPr="0018386D">
        <w:t xml:space="preserve"> or</w:t>
      </w:r>
      <w:proofErr w:type="gramEnd"/>
      <w:r w:rsidRPr="0018386D">
        <w:t xml:space="preserve"> choose one of the conservative assumptions. Nationwide, 97 per cent of waste disposed to municipal (class 1) landfills in 2021 went to a landfill with gas recovery.</w:t>
      </w:r>
    </w:p>
    <w:p w14:paraId="2D2E717D" w14:textId="1332A2C7" w:rsidR="464B832D" w:rsidRPr="0018386D" w:rsidRDefault="00C724CC" w:rsidP="00DD3106">
      <w:pPr>
        <w:pStyle w:val="BodyText"/>
      </w:pPr>
      <w:r w:rsidRPr="0018386D">
        <w:t xml:space="preserve">We recommend </w:t>
      </w:r>
      <w:r w:rsidR="464B832D" w:rsidRPr="0018386D">
        <w:t>check</w:t>
      </w:r>
      <w:r w:rsidRPr="0018386D">
        <w:t>ing</w:t>
      </w:r>
      <w:r w:rsidR="464B832D" w:rsidRPr="0018386D">
        <w:t xml:space="preserve"> </w:t>
      </w:r>
      <w:r w:rsidRPr="0018386D">
        <w:t>a</w:t>
      </w:r>
      <w:r w:rsidR="464B832D" w:rsidRPr="0018386D">
        <w:t xml:space="preserve">ppendix C to identify if </w:t>
      </w:r>
      <w:r w:rsidRPr="0018386D">
        <w:t xml:space="preserve">your region has </w:t>
      </w:r>
      <w:r w:rsidR="464B832D" w:rsidRPr="0018386D">
        <w:t>a landfill with gas capture. If</w:t>
      </w:r>
      <w:r w:rsidR="00135309" w:rsidRPr="0018386D">
        <w:t> </w:t>
      </w:r>
      <w:r w:rsidRPr="0018386D">
        <w:t xml:space="preserve">it does, </w:t>
      </w:r>
      <w:r w:rsidR="464B832D" w:rsidRPr="0018386D">
        <w:t>use the value with gas recovery. To be more certain, consider contacting the local council or disposal operator and ask them what landfill the waste is disposed to and if it has gas recovery. If it is not possible to identify the landfill, choose one of the following conservative assumptions:</w:t>
      </w:r>
    </w:p>
    <w:p w14:paraId="222FACAE" w14:textId="041E749D" w:rsidR="464B832D" w:rsidRPr="0018386D" w:rsidRDefault="464B832D" w:rsidP="00DD3106">
      <w:pPr>
        <w:pStyle w:val="BodyText"/>
        <w:numPr>
          <w:ilvl w:val="0"/>
          <w:numId w:val="74"/>
        </w:numPr>
        <w:ind w:left="426" w:hanging="426"/>
      </w:pPr>
      <w:r w:rsidRPr="0018386D">
        <w:t>For a conservatively high estimate of emissions from waste disposed to a municipal (class 1) landfill, assume it is disposed to a landfill without gas recovery</w:t>
      </w:r>
      <w:r w:rsidR="7A09C685" w:rsidRPr="0018386D">
        <w:t>.</w:t>
      </w:r>
    </w:p>
    <w:p w14:paraId="2775CF18" w14:textId="0ADA2185" w:rsidR="464B832D" w:rsidRPr="0018386D" w:rsidRDefault="464B832D" w:rsidP="00DD3106">
      <w:pPr>
        <w:pStyle w:val="BodyText"/>
        <w:numPr>
          <w:ilvl w:val="0"/>
          <w:numId w:val="74"/>
        </w:numPr>
        <w:ind w:left="426" w:hanging="426"/>
      </w:pPr>
      <w:r w:rsidRPr="0018386D">
        <w:t>For a conservatively low estimate of emissions avoided by diverting waste away from a municipal (class 1) landfill, assume it is from a landfill with gas capture.</w:t>
      </w:r>
    </w:p>
    <w:p w14:paraId="7A67E2F3" w14:textId="621B412F" w:rsidR="00A959E4" w:rsidRPr="0018386D" w:rsidRDefault="00A959E4" w:rsidP="00DD3106">
      <w:pPr>
        <w:pStyle w:val="Heading3"/>
        <w:numPr>
          <w:ilvl w:val="2"/>
          <w:numId w:val="8"/>
        </w:numPr>
      </w:pPr>
      <w:bookmarkStart w:id="859" w:name="_Toc532904956"/>
      <w:r w:rsidRPr="0018386D">
        <w:lastRenderedPageBreak/>
        <w:t>Composting</w:t>
      </w:r>
      <w:bookmarkEnd w:id="859"/>
      <w:r w:rsidRPr="0018386D">
        <w:t xml:space="preserve"> </w:t>
      </w:r>
      <w:r w:rsidR="004E7637" w:rsidRPr="0018386D">
        <w:t xml:space="preserve">and </w:t>
      </w:r>
      <w:r w:rsidR="002E3D9D" w:rsidRPr="0018386D">
        <w:t>a</w:t>
      </w:r>
      <w:r w:rsidR="004E7637" w:rsidRPr="0018386D">
        <w:t>naerobic digestion</w:t>
      </w:r>
    </w:p>
    <w:p w14:paraId="3C47BF4B" w14:textId="300CA72E" w:rsidR="00A959E4" w:rsidRPr="0018386D" w:rsidRDefault="00535F0B" w:rsidP="00DD3106">
      <w:pPr>
        <w:pStyle w:val="BodyText"/>
      </w:pPr>
      <w:r w:rsidRPr="0018386D">
        <w:t>We calculated e</w:t>
      </w:r>
      <w:r w:rsidR="00A959E4" w:rsidRPr="0018386D">
        <w:t xml:space="preserve">mission factors for composting </w:t>
      </w:r>
      <w:r w:rsidR="004E7637" w:rsidRPr="0018386D">
        <w:t xml:space="preserve">and anaerobic digestion </w:t>
      </w:r>
      <w:r w:rsidR="00A959E4" w:rsidRPr="0018386D">
        <w:t>using IPCC default emission factors as shown in</w:t>
      </w:r>
      <w:r w:rsidR="002B681D" w:rsidRPr="0018386D">
        <w:t xml:space="preserve"> </w:t>
      </w:r>
      <w:hyperlink w:anchor="Table81" w:history="1">
        <w:r w:rsidR="002B681D" w:rsidRPr="0018386D">
          <w:rPr>
            <w:rStyle w:val="Hyperlink"/>
          </w:rPr>
          <w:t xml:space="preserve">table </w:t>
        </w:r>
        <w:r w:rsidR="00F23341" w:rsidRPr="0018386D">
          <w:rPr>
            <w:rStyle w:val="Hyperlink"/>
          </w:rPr>
          <w:t>8</w:t>
        </w:r>
        <w:r w:rsidR="00ED3CB3" w:rsidRPr="0018386D">
          <w:rPr>
            <w:rStyle w:val="Hyperlink"/>
          </w:rPr>
          <w:t>1</w:t>
        </w:r>
      </w:hyperlink>
      <w:r w:rsidR="00EC464E" w:rsidRPr="0018386D">
        <w:t>.</w:t>
      </w:r>
    </w:p>
    <w:p w14:paraId="27828194" w14:textId="75373F3D" w:rsidR="00A959E4" w:rsidRPr="0018386D" w:rsidRDefault="00730FF9" w:rsidP="00DD3106">
      <w:pPr>
        <w:pStyle w:val="Tableheading"/>
      </w:pPr>
      <w:bookmarkStart w:id="860" w:name="Table81"/>
      <w:bookmarkStart w:id="861" w:name="_Toc111536693"/>
      <w:bookmarkStart w:id="862" w:name="_Toc140049021"/>
      <w:r w:rsidRPr="0018386D">
        <w:t xml:space="preserve">Table </w:t>
      </w:r>
      <w:r w:rsidRPr="0018386D">
        <w:fldChar w:fldCharType="begin"/>
      </w:r>
      <w:r w:rsidRPr="0018386D">
        <w:instrText>SEQ Table \* ARABIC</w:instrText>
      </w:r>
      <w:r w:rsidRPr="0018386D">
        <w:fldChar w:fldCharType="separate"/>
      </w:r>
      <w:r w:rsidR="009623D2" w:rsidRPr="0018386D">
        <w:t>81</w:t>
      </w:r>
      <w:r w:rsidRPr="0018386D">
        <w:fldChar w:fldCharType="end"/>
      </w:r>
      <w:r w:rsidRPr="0018386D">
        <w:t>:</w:t>
      </w:r>
      <w:bookmarkEnd w:id="860"/>
      <w:r w:rsidRPr="0018386D">
        <w:tab/>
      </w:r>
      <w:r w:rsidR="00A959E4" w:rsidRPr="0018386D">
        <w:t>IPCC default data used to calculate composting</w:t>
      </w:r>
      <w:r w:rsidR="00390BCA" w:rsidRPr="0018386D">
        <w:t xml:space="preserve"> and anaerobic </w:t>
      </w:r>
      <w:proofErr w:type="gramStart"/>
      <w:r w:rsidR="00390BCA" w:rsidRPr="0018386D">
        <w:t>digestion</w:t>
      </w:r>
      <w:bookmarkEnd w:id="861"/>
      <w:bookmarkEnd w:id="862"/>
      <w:proofErr w:type="gramEnd"/>
      <w:r w:rsidR="00127AB6" w:rsidRPr="0018386D">
        <w:t xml:space="preserve"> </w:t>
      </w:r>
    </w:p>
    <w:tbl>
      <w:tblPr>
        <w:tblStyle w:val="TableGridLight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780"/>
        <w:gridCol w:w="742"/>
        <w:gridCol w:w="891"/>
        <w:gridCol w:w="2001"/>
        <w:gridCol w:w="2085"/>
        <w:gridCol w:w="6"/>
      </w:tblGrid>
      <w:tr w:rsidR="00D10545" w:rsidRPr="0018386D" w14:paraId="558CF58F" w14:textId="4ABECD97" w:rsidTr="00127AB6">
        <w:trPr>
          <w:gridAfter w:val="1"/>
          <w:wAfter w:w="6" w:type="dxa"/>
        </w:trPr>
        <w:tc>
          <w:tcPr>
            <w:tcW w:w="2830" w:type="dxa"/>
            <w:shd w:val="clear" w:color="auto" w:fill="1B556B" w:themeFill="text2"/>
            <w:noWrap/>
            <w:hideMark/>
          </w:tcPr>
          <w:p w14:paraId="54B1E2BB" w14:textId="77777777" w:rsidR="0093625B" w:rsidRPr="0018386D" w:rsidRDefault="0093625B" w:rsidP="00DD3106">
            <w:pPr>
              <w:pStyle w:val="TableText"/>
              <w:spacing w:before="40" w:after="40"/>
              <w:rPr>
                <w:rFonts w:eastAsia="Times New Roman"/>
                <w:b/>
                <w:bCs/>
                <w:color w:val="FFFFFF" w:themeColor="background1"/>
              </w:rPr>
            </w:pPr>
            <w:r w:rsidRPr="0018386D">
              <w:rPr>
                <w:rFonts w:eastAsia="Times New Roman"/>
                <w:b/>
                <w:bCs/>
                <w:color w:val="FFFFFF" w:themeColor="background1"/>
              </w:rPr>
              <w:t>Calculation component</w:t>
            </w:r>
          </w:p>
        </w:tc>
        <w:tc>
          <w:tcPr>
            <w:tcW w:w="752" w:type="dxa"/>
            <w:shd w:val="clear" w:color="auto" w:fill="1B556B" w:themeFill="text2"/>
            <w:noWrap/>
            <w:hideMark/>
          </w:tcPr>
          <w:p w14:paraId="47540337" w14:textId="606E71A9" w:rsidR="0093625B" w:rsidRPr="0018386D" w:rsidRDefault="0093625B" w:rsidP="00DD3106">
            <w:pPr>
              <w:pStyle w:val="TableText"/>
              <w:spacing w:before="40" w:after="40"/>
              <w:jc w:val="right"/>
              <w:rPr>
                <w:rFonts w:eastAsia="Times New Roman"/>
                <w:b/>
                <w:bCs/>
                <w:color w:val="FFFFFF" w:themeColor="background1"/>
              </w:rPr>
            </w:pPr>
            <w:r w:rsidRPr="0018386D">
              <w:rPr>
                <w:rFonts w:eastAsia="Times New Roman"/>
                <w:b/>
                <w:bCs/>
                <w:color w:val="FFFFFF" w:themeColor="background1"/>
              </w:rPr>
              <w:t>CH</w:t>
            </w:r>
            <w:r w:rsidRPr="0018386D">
              <w:rPr>
                <w:rFonts w:eastAsia="Times New Roman"/>
                <w:b/>
                <w:bCs/>
                <w:color w:val="FFFFFF" w:themeColor="background1"/>
                <w:vertAlign w:val="subscript"/>
              </w:rPr>
              <w:t>4</w:t>
            </w:r>
            <w:r w:rsidR="00724C42" w:rsidRPr="0018386D">
              <w:rPr>
                <w:rFonts w:eastAsia="Times New Roman"/>
                <w:b/>
                <w:bCs/>
                <w:color w:val="FFFFFF" w:themeColor="background1"/>
                <w:vertAlign w:val="subscript"/>
              </w:rPr>
              <w:t xml:space="preserve"> </w:t>
            </w:r>
          </w:p>
        </w:tc>
        <w:tc>
          <w:tcPr>
            <w:tcW w:w="904" w:type="dxa"/>
            <w:shd w:val="clear" w:color="auto" w:fill="1B556B" w:themeFill="text2"/>
            <w:noWrap/>
            <w:hideMark/>
          </w:tcPr>
          <w:p w14:paraId="7D0C224E" w14:textId="77777777" w:rsidR="0093625B" w:rsidRPr="0018386D" w:rsidRDefault="0093625B" w:rsidP="00DD3106">
            <w:pPr>
              <w:pStyle w:val="TableText"/>
              <w:spacing w:before="40" w:after="40"/>
              <w:jc w:val="right"/>
              <w:rPr>
                <w:rFonts w:eastAsia="Times New Roman"/>
                <w:b/>
                <w:bCs/>
                <w:color w:val="FFFFFF" w:themeColor="background1"/>
              </w:rPr>
            </w:pPr>
            <w:r w:rsidRPr="0018386D">
              <w:rPr>
                <w:rFonts w:eastAsia="Times New Roman"/>
                <w:b/>
                <w:bCs/>
                <w:color w:val="FFFFFF" w:themeColor="background1"/>
              </w:rPr>
              <w:t>N</w:t>
            </w:r>
            <w:r w:rsidRPr="0018386D">
              <w:rPr>
                <w:rFonts w:eastAsia="Times New Roman"/>
                <w:b/>
                <w:bCs/>
                <w:color w:val="FFFFFF" w:themeColor="background1"/>
                <w:vertAlign w:val="subscript"/>
              </w:rPr>
              <w:t>2</w:t>
            </w:r>
            <w:r w:rsidRPr="0018386D">
              <w:rPr>
                <w:rFonts w:eastAsia="Times New Roman"/>
                <w:b/>
                <w:bCs/>
                <w:color w:val="FFFFFF" w:themeColor="background1"/>
              </w:rPr>
              <w:t>O</w:t>
            </w:r>
          </w:p>
        </w:tc>
        <w:tc>
          <w:tcPr>
            <w:tcW w:w="2035" w:type="dxa"/>
            <w:shd w:val="clear" w:color="auto" w:fill="1B556B" w:themeFill="text2"/>
          </w:tcPr>
          <w:p w14:paraId="66205337" w14:textId="29B98597" w:rsidR="0093625B" w:rsidRPr="0018386D" w:rsidRDefault="0093625B" w:rsidP="00DD3106">
            <w:pPr>
              <w:pStyle w:val="TableText"/>
              <w:spacing w:before="40" w:after="40"/>
              <w:jc w:val="right"/>
              <w:rPr>
                <w:rFonts w:eastAsia="Times New Roman"/>
                <w:b/>
                <w:bCs/>
                <w:color w:val="FFFFFF" w:themeColor="background1"/>
              </w:rPr>
            </w:pPr>
            <w:r w:rsidRPr="0018386D">
              <w:rPr>
                <w:rFonts w:eastAsia="Times New Roman"/>
                <w:b/>
                <w:bCs/>
                <w:color w:val="FFFFFF" w:themeColor="background1"/>
              </w:rPr>
              <w:t>Anaerobic digestion CH</w:t>
            </w:r>
            <w:r w:rsidRPr="0018386D">
              <w:rPr>
                <w:rFonts w:eastAsia="Times New Roman"/>
                <w:b/>
                <w:bCs/>
                <w:color w:val="FFFFFF" w:themeColor="background1"/>
                <w:vertAlign w:val="subscript"/>
              </w:rPr>
              <w:t>4</w:t>
            </w:r>
          </w:p>
        </w:tc>
        <w:tc>
          <w:tcPr>
            <w:tcW w:w="2121" w:type="dxa"/>
            <w:shd w:val="clear" w:color="auto" w:fill="1B556B" w:themeFill="text2"/>
          </w:tcPr>
          <w:p w14:paraId="14E205FB" w14:textId="4D46CACB" w:rsidR="0093625B" w:rsidRPr="0018386D" w:rsidRDefault="0093625B" w:rsidP="00DD3106">
            <w:pPr>
              <w:pStyle w:val="TableText"/>
              <w:spacing w:before="40" w:after="40"/>
              <w:jc w:val="right"/>
              <w:rPr>
                <w:rFonts w:eastAsia="Times New Roman"/>
                <w:b/>
                <w:bCs/>
                <w:color w:val="FFFFFF" w:themeColor="background1"/>
              </w:rPr>
            </w:pPr>
            <w:r w:rsidRPr="0018386D">
              <w:rPr>
                <w:rFonts w:eastAsia="Times New Roman"/>
                <w:b/>
                <w:bCs/>
                <w:color w:val="FFFFFF" w:themeColor="background1"/>
              </w:rPr>
              <w:t>Anaerobic digestion N</w:t>
            </w:r>
            <w:r w:rsidRPr="0018386D">
              <w:rPr>
                <w:rFonts w:eastAsia="Times New Roman"/>
                <w:b/>
                <w:bCs/>
                <w:color w:val="FFFFFF" w:themeColor="background1"/>
                <w:vertAlign w:val="subscript"/>
              </w:rPr>
              <w:t>2</w:t>
            </w:r>
            <w:r w:rsidRPr="0018386D">
              <w:rPr>
                <w:rFonts w:eastAsia="Times New Roman"/>
                <w:b/>
                <w:bCs/>
                <w:color w:val="FFFFFF" w:themeColor="background1"/>
              </w:rPr>
              <w:t>O</w:t>
            </w:r>
          </w:p>
        </w:tc>
      </w:tr>
      <w:tr w:rsidR="00D10545" w:rsidRPr="0018386D" w14:paraId="01583040" w14:textId="1D6C7F8E" w:rsidTr="00127AB6">
        <w:trPr>
          <w:gridAfter w:val="1"/>
          <w:wAfter w:w="6" w:type="dxa"/>
        </w:trPr>
        <w:tc>
          <w:tcPr>
            <w:tcW w:w="2830" w:type="dxa"/>
            <w:noWrap/>
            <w:hideMark/>
          </w:tcPr>
          <w:p w14:paraId="1BB54618" w14:textId="77777777" w:rsidR="003D1AE4" w:rsidRPr="0018386D" w:rsidRDefault="003D1AE4" w:rsidP="00DD3106">
            <w:pPr>
              <w:pStyle w:val="TableText"/>
              <w:spacing w:before="40" w:after="40"/>
            </w:pPr>
            <w:r w:rsidRPr="0018386D">
              <w:t>EF (</w:t>
            </w:r>
            <w:r w:rsidRPr="0018386D">
              <w:rPr>
                <w:rFonts w:eastAsia="Times New Roman" w:cs="Calibri"/>
              </w:rPr>
              <w:t>kg</w:t>
            </w:r>
            <w:r w:rsidRPr="0018386D">
              <w:t xml:space="preserve"> gas/</w:t>
            </w:r>
            <w:r w:rsidRPr="0018386D">
              <w:rPr>
                <w:rFonts w:eastAsia="Times New Roman" w:cs="Calibri"/>
              </w:rPr>
              <w:t>kg</w:t>
            </w:r>
            <w:r w:rsidRPr="0018386D">
              <w:t>)</w:t>
            </w:r>
          </w:p>
        </w:tc>
        <w:tc>
          <w:tcPr>
            <w:tcW w:w="752" w:type="dxa"/>
            <w:noWrap/>
            <w:hideMark/>
          </w:tcPr>
          <w:p w14:paraId="144EC3B7" w14:textId="77777777" w:rsidR="003D1AE4" w:rsidRPr="0018386D" w:rsidRDefault="003D1AE4" w:rsidP="00DD3106">
            <w:pPr>
              <w:pStyle w:val="TableText"/>
              <w:spacing w:before="40" w:after="40"/>
              <w:jc w:val="right"/>
              <w:rPr>
                <w:rFonts w:eastAsia="Times New Roman" w:cs="Calibri"/>
              </w:rPr>
            </w:pPr>
            <w:r w:rsidRPr="0018386D">
              <w:rPr>
                <w:rFonts w:eastAsia="Times New Roman" w:cs="Calibri"/>
              </w:rPr>
              <w:t>0.004</w:t>
            </w:r>
          </w:p>
        </w:tc>
        <w:tc>
          <w:tcPr>
            <w:tcW w:w="904" w:type="dxa"/>
            <w:noWrap/>
            <w:hideMark/>
          </w:tcPr>
          <w:p w14:paraId="2CB6F16A" w14:textId="77777777" w:rsidR="003D1AE4" w:rsidRPr="0018386D" w:rsidRDefault="003D1AE4" w:rsidP="00DD3106">
            <w:pPr>
              <w:pStyle w:val="TableText"/>
              <w:spacing w:before="40" w:after="40"/>
              <w:jc w:val="right"/>
              <w:rPr>
                <w:rFonts w:eastAsia="Times New Roman" w:cs="Calibri"/>
              </w:rPr>
            </w:pPr>
            <w:r w:rsidRPr="0018386D">
              <w:rPr>
                <w:rFonts w:eastAsia="Times New Roman" w:cs="Calibri"/>
              </w:rPr>
              <w:t>0.00024</w:t>
            </w:r>
          </w:p>
        </w:tc>
        <w:tc>
          <w:tcPr>
            <w:tcW w:w="2035" w:type="dxa"/>
          </w:tcPr>
          <w:p w14:paraId="0614DFD3" w14:textId="71C7B101" w:rsidR="003D1AE4" w:rsidRPr="0018386D" w:rsidRDefault="003D1AE4" w:rsidP="00DD3106">
            <w:pPr>
              <w:pStyle w:val="TableText"/>
              <w:spacing w:before="40" w:after="40"/>
              <w:jc w:val="right"/>
              <w:rPr>
                <w:rFonts w:eastAsia="Times New Roman" w:cs="Calibri"/>
              </w:rPr>
            </w:pPr>
            <w:r w:rsidRPr="0018386D">
              <w:rPr>
                <w:rFonts w:eastAsia="Times New Roman" w:cs="Calibri"/>
              </w:rPr>
              <w:t>0.0008</w:t>
            </w:r>
          </w:p>
        </w:tc>
        <w:tc>
          <w:tcPr>
            <w:tcW w:w="2121" w:type="dxa"/>
          </w:tcPr>
          <w:p w14:paraId="6666270D" w14:textId="14DE7824" w:rsidR="003D1AE4" w:rsidRPr="0018386D" w:rsidRDefault="003D1AE4" w:rsidP="00DD3106">
            <w:pPr>
              <w:pStyle w:val="TableText"/>
              <w:spacing w:before="40" w:after="40"/>
              <w:jc w:val="right"/>
              <w:rPr>
                <w:rFonts w:eastAsia="Times New Roman" w:cs="Calibri"/>
              </w:rPr>
            </w:pPr>
            <w:r w:rsidRPr="0018386D">
              <w:rPr>
                <w:rFonts w:eastAsia="Times New Roman" w:cs="Calibri"/>
              </w:rPr>
              <w:t>Assumed negligible</w:t>
            </w:r>
          </w:p>
        </w:tc>
      </w:tr>
      <w:tr w:rsidR="00D10545" w:rsidRPr="0018386D" w14:paraId="43CA66EE" w14:textId="309DEA52" w:rsidTr="00127AB6">
        <w:trPr>
          <w:gridAfter w:val="1"/>
          <w:wAfter w:w="6" w:type="dxa"/>
        </w:trPr>
        <w:tc>
          <w:tcPr>
            <w:tcW w:w="2830" w:type="dxa"/>
            <w:noWrap/>
            <w:hideMark/>
          </w:tcPr>
          <w:p w14:paraId="2F3FB854" w14:textId="3281CE06" w:rsidR="003D1AE4" w:rsidRPr="0018386D" w:rsidRDefault="003D1AE4" w:rsidP="00DD3106">
            <w:pPr>
              <w:pStyle w:val="TableText"/>
              <w:spacing w:before="40" w:after="40"/>
              <w:rPr>
                <w:rFonts w:eastAsia="Times New Roman" w:cs="Calibri"/>
              </w:rPr>
            </w:pPr>
            <w:r w:rsidRPr="0018386D">
              <w:rPr>
                <w:rFonts w:eastAsia="Times New Roman" w:cs="Calibri"/>
              </w:rPr>
              <w:t>GWP</w:t>
            </w:r>
            <w:r w:rsidR="00FB0FFD" w:rsidRPr="0018386D">
              <w:rPr>
                <w:rFonts w:eastAsia="Times New Roman" w:cs="Calibri"/>
              </w:rPr>
              <w:t xml:space="preserve"> (IPCC </w:t>
            </w:r>
            <w:r w:rsidR="008E749B" w:rsidRPr="0018386D">
              <w:rPr>
                <w:rFonts w:eastAsia="Times New Roman" w:cs="Calibri"/>
              </w:rPr>
              <w:t>AR5</w:t>
            </w:r>
            <w:r w:rsidR="00FB0FFD" w:rsidRPr="0018386D">
              <w:rPr>
                <w:rFonts w:eastAsia="Times New Roman" w:cs="Calibri"/>
              </w:rPr>
              <w:t>)</w:t>
            </w:r>
          </w:p>
        </w:tc>
        <w:tc>
          <w:tcPr>
            <w:tcW w:w="752" w:type="dxa"/>
            <w:noWrap/>
            <w:hideMark/>
          </w:tcPr>
          <w:p w14:paraId="3A8F4762" w14:textId="38C97B45" w:rsidR="003D1AE4" w:rsidRPr="0018386D" w:rsidRDefault="008E749B" w:rsidP="00DD3106">
            <w:pPr>
              <w:pStyle w:val="TableText"/>
              <w:spacing w:before="40" w:after="40"/>
              <w:jc w:val="right"/>
              <w:rPr>
                <w:rFonts w:eastAsia="Times New Roman" w:cs="Calibri"/>
              </w:rPr>
            </w:pPr>
            <w:r w:rsidRPr="0018386D">
              <w:rPr>
                <w:rFonts w:eastAsia="Times New Roman" w:cs="Calibri"/>
              </w:rPr>
              <w:t>28</w:t>
            </w:r>
          </w:p>
        </w:tc>
        <w:tc>
          <w:tcPr>
            <w:tcW w:w="904" w:type="dxa"/>
            <w:noWrap/>
            <w:hideMark/>
          </w:tcPr>
          <w:p w14:paraId="25B249EA" w14:textId="248ADDA9" w:rsidR="003D1AE4" w:rsidRPr="0018386D" w:rsidRDefault="008E749B" w:rsidP="00DD3106">
            <w:pPr>
              <w:pStyle w:val="TableText"/>
              <w:spacing w:before="40" w:after="40"/>
              <w:jc w:val="right"/>
              <w:rPr>
                <w:rFonts w:eastAsia="Times New Roman" w:cs="Calibri"/>
              </w:rPr>
            </w:pPr>
            <w:r w:rsidRPr="0018386D">
              <w:rPr>
                <w:rFonts w:eastAsia="Times New Roman" w:cs="Calibri"/>
              </w:rPr>
              <w:t>265</w:t>
            </w:r>
          </w:p>
        </w:tc>
        <w:tc>
          <w:tcPr>
            <w:tcW w:w="2035" w:type="dxa"/>
          </w:tcPr>
          <w:p w14:paraId="7CB76D43" w14:textId="7E665CD4" w:rsidR="003D1AE4" w:rsidRPr="0018386D" w:rsidRDefault="008E749B" w:rsidP="00DD3106">
            <w:pPr>
              <w:pStyle w:val="TableText"/>
              <w:spacing w:before="40" w:after="40"/>
              <w:jc w:val="right"/>
              <w:rPr>
                <w:rFonts w:eastAsia="Times New Roman" w:cs="Calibri"/>
              </w:rPr>
            </w:pPr>
            <w:r w:rsidRPr="0018386D">
              <w:rPr>
                <w:rFonts w:eastAsia="Times New Roman" w:cs="Calibri"/>
              </w:rPr>
              <w:t>28</w:t>
            </w:r>
          </w:p>
        </w:tc>
        <w:tc>
          <w:tcPr>
            <w:tcW w:w="2121" w:type="dxa"/>
          </w:tcPr>
          <w:p w14:paraId="35331DE9" w14:textId="38043950" w:rsidR="003D1AE4" w:rsidRPr="0018386D" w:rsidRDefault="008E749B" w:rsidP="00DD3106">
            <w:pPr>
              <w:pStyle w:val="TableText"/>
              <w:spacing w:before="40" w:after="40"/>
              <w:jc w:val="right"/>
              <w:rPr>
                <w:rFonts w:eastAsia="Times New Roman" w:cs="Calibri"/>
              </w:rPr>
            </w:pPr>
            <w:r w:rsidRPr="0018386D">
              <w:rPr>
                <w:rFonts w:eastAsia="Times New Roman" w:cs="Calibri"/>
              </w:rPr>
              <w:t>265</w:t>
            </w:r>
          </w:p>
        </w:tc>
      </w:tr>
      <w:tr w:rsidR="00D10545" w:rsidRPr="0018386D" w14:paraId="1675D106" w14:textId="11917ADD" w:rsidTr="00127AB6">
        <w:trPr>
          <w:gridAfter w:val="1"/>
          <w:wAfter w:w="6" w:type="dxa"/>
        </w:trPr>
        <w:tc>
          <w:tcPr>
            <w:tcW w:w="2830" w:type="dxa"/>
            <w:noWrap/>
            <w:hideMark/>
          </w:tcPr>
          <w:p w14:paraId="46DB98E5" w14:textId="15177520" w:rsidR="003D1AE4" w:rsidRPr="0018386D" w:rsidRDefault="003D1AE4" w:rsidP="00DD3106">
            <w:pPr>
              <w:pStyle w:val="TableText"/>
              <w:spacing w:before="40" w:after="40"/>
              <w:rPr>
                <w:rFonts w:eastAsia="Times New Roman" w:cs="Calibri"/>
              </w:rPr>
            </w:pPr>
            <w:r w:rsidRPr="0018386D">
              <w:rPr>
                <w:rFonts w:eastAsia="Times New Roman" w:cs="Calibri"/>
              </w:rPr>
              <w:t>EF (CO</w:t>
            </w:r>
            <w:r w:rsidRPr="0018386D">
              <w:rPr>
                <w:rFonts w:eastAsia="Times New Roman" w:cs="Calibri"/>
                <w:vertAlign w:val="subscript"/>
              </w:rPr>
              <w:t>2</w:t>
            </w:r>
            <w:r w:rsidRPr="0018386D">
              <w:rPr>
                <w:rFonts w:eastAsia="Times New Roman" w:cs="Calibri"/>
              </w:rPr>
              <w:t>-e) (kg CO</w:t>
            </w:r>
            <w:r w:rsidRPr="0018386D">
              <w:rPr>
                <w:rFonts w:eastAsia="Times New Roman" w:cs="Calibri"/>
                <w:vertAlign w:val="subscript"/>
              </w:rPr>
              <w:t>2</w:t>
            </w:r>
            <w:r w:rsidRPr="0018386D">
              <w:rPr>
                <w:rFonts w:eastAsia="Times New Roman" w:cs="Calibri"/>
              </w:rPr>
              <w:t>-e/kg waste)</w:t>
            </w:r>
          </w:p>
        </w:tc>
        <w:tc>
          <w:tcPr>
            <w:tcW w:w="752" w:type="dxa"/>
            <w:noWrap/>
            <w:hideMark/>
          </w:tcPr>
          <w:p w14:paraId="71855A43" w14:textId="3FF515E8" w:rsidR="003D1AE4" w:rsidRPr="0018386D" w:rsidRDefault="003D1AE4" w:rsidP="00DD3106">
            <w:pPr>
              <w:pStyle w:val="TableText"/>
              <w:spacing w:before="40" w:after="40"/>
              <w:jc w:val="right"/>
              <w:rPr>
                <w:rFonts w:eastAsia="Times New Roman" w:cs="Calibri"/>
              </w:rPr>
            </w:pPr>
            <w:r w:rsidRPr="0018386D">
              <w:rPr>
                <w:rFonts w:eastAsia="Times New Roman" w:cs="Calibri"/>
              </w:rPr>
              <w:t>0.</w:t>
            </w:r>
            <w:r w:rsidR="00087A5F" w:rsidRPr="0018386D">
              <w:rPr>
                <w:rFonts w:eastAsia="Times New Roman" w:cs="Calibri"/>
              </w:rPr>
              <w:t>11</w:t>
            </w:r>
          </w:p>
        </w:tc>
        <w:tc>
          <w:tcPr>
            <w:tcW w:w="904" w:type="dxa"/>
            <w:noWrap/>
            <w:hideMark/>
          </w:tcPr>
          <w:p w14:paraId="23E4AAB6" w14:textId="3856317C" w:rsidR="003D1AE4" w:rsidRPr="0018386D" w:rsidRDefault="00087A5F" w:rsidP="00DD3106">
            <w:pPr>
              <w:pStyle w:val="TableText"/>
              <w:spacing w:before="40" w:after="40"/>
              <w:jc w:val="right"/>
              <w:rPr>
                <w:rFonts w:eastAsia="Times New Roman" w:cs="Calibri"/>
              </w:rPr>
            </w:pPr>
            <w:r w:rsidRPr="0018386D">
              <w:rPr>
                <w:rFonts w:eastAsia="Times New Roman" w:cs="Calibri"/>
              </w:rPr>
              <w:t>0.064</w:t>
            </w:r>
          </w:p>
        </w:tc>
        <w:tc>
          <w:tcPr>
            <w:tcW w:w="2035" w:type="dxa"/>
          </w:tcPr>
          <w:p w14:paraId="181688D2" w14:textId="5DB53178" w:rsidR="003D1AE4" w:rsidRPr="0018386D" w:rsidRDefault="00913133" w:rsidP="00DD3106">
            <w:pPr>
              <w:pStyle w:val="TableText"/>
              <w:spacing w:before="40" w:after="40"/>
              <w:jc w:val="right"/>
              <w:rPr>
                <w:rFonts w:eastAsia="Times New Roman" w:cs="Calibri"/>
              </w:rPr>
            </w:pPr>
            <w:r w:rsidRPr="0018386D">
              <w:rPr>
                <w:rFonts w:eastAsia="Times New Roman" w:cs="Calibri"/>
              </w:rPr>
              <w:t>0.022</w:t>
            </w:r>
          </w:p>
        </w:tc>
        <w:tc>
          <w:tcPr>
            <w:tcW w:w="2121" w:type="dxa"/>
          </w:tcPr>
          <w:p w14:paraId="15232723" w14:textId="11635097" w:rsidR="003D1AE4" w:rsidRPr="0018386D" w:rsidRDefault="003D1AE4" w:rsidP="00DD3106">
            <w:pPr>
              <w:pStyle w:val="TableText"/>
              <w:spacing w:before="40" w:after="40"/>
              <w:jc w:val="right"/>
              <w:rPr>
                <w:rFonts w:eastAsia="Times New Roman" w:cs="Calibri"/>
              </w:rPr>
            </w:pPr>
            <w:r w:rsidRPr="0018386D">
              <w:rPr>
                <w:rFonts w:eastAsia="Times New Roman" w:cs="Calibri"/>
              </w:rPr>
              <w:t>0</w:t>
            </w:r>
          </w:p>
        </w:tc>
      </w:tr>
      <w:tr w:rsidR="00A72082" w:rsidRPr="0018386D" w14:paraId="2E923F90" w14:textId="77777777" w:rsidTr="00127AB6">
        <w:tc>
          <w:tcPr>
            <w:tcW w:w="2830" w:type="dxa"/>
            <w:shd w:val="clear" w:color="auto" w:fill="D2DDE1" w:themeFill="background2"/>
            <w:noWrap/>
            <w:hideMark/>
          </w:tcPr>
          <w:p w14:paraId="40E0A2E7" w14:textId="0B37B71E" w:rsidR="0093625B" w:rsidRPr="0018386D" w:rsidRDefault="0093625B" w:rsidP="00DD3106">
            <w:pPr>
              <w:pStyle w:val="TableText"/>
              <w:spacing w:before="40" w:after="40"/>
              <w:rPr>
                <w:rFonts w:eastAsia="Times New Roman" w:cs="Calibri"/>
                <w:b/>
                <w:bCs/>
              </w:rPr>
            </w:pPr>
            <w:r w:rsidRPr="0018386D">
              <w:rPr>
                <w:rFonts w:eastAsia="Times New Roman" w:cs="Calibri"/>
                <w:b/>
                <w:bCs/>
              </w:rPr>
              <w:t>Combined EF (kg CO</w:t>
            </w:r>
            <w:r w:rsidRPr="0018386D">
              <w:rPr>
                <w:rFonts w:eastAsia="Times New Roman" w:cs="Calibri"/>
                <w:b/>
                <w:bCs/>
                <w:vertAlign w:val="subscript"/>
              </w:rPr>
              <w:t>2</w:t>
            </w:r>
            <w:r w:rsidRPr="0018386D">
              <w:rPr>
                <w:rFonts w:eastAsia="Times New Roman" w:cs="Calibri"/>
                <w:b/>
                <w:bCs/>
              </w:rPr>
              <w:t>-e/kg waste)</w:t>
            </w:r>
          </w:p>
        </w:tc>
        <w:tc>
          <w:tcPr>
            <w:tcW w:w="1656" w:type="dxa"/>
            <w:gridSpan w:val="2"/>
            <w:shd w:val="clear" w:color="auto" w:fill="D2DDE1" w:themeFill="background2"/>
          </w:tcPr>
          <w:p w14:paraId="518DDCF7" w14:textId="24849D88" w:rsidR="0093625B" w:rsidRPr="0018386D" w:rsidRDefault="00913133" w:rsidP="00DD3106">
            <w:pPr>
              <w:pStyle w:val="TableText"/>
              <w:spacing w:before="40" w:after="40"/>
              <w:jc w:val="center"/>
              <w:rPr>
                <w:rFonts w:eastAsia="Times New Roman" w:cs="Calibri"/>
              </w:rPr>
            </w:pPr>
            <w:r w:rsidRPr="0018386D">
              <w:rPr>
                <w:rFonts w:eastAsia="Times New Roman" w:cs="Calibri"/>
              </w:rPr>
              <w:t>0.17</w:t>
            </w:r>
            <w:r w:rsidR="00596CF2" w:rsidRPr="0018386D">
              <w:rPr>
                <w:rFonts w:eastAsia="Times New Roman" w:cs="Calibri"/>
              </w:rPr>
              <w:t>6</w:t>
            </w:r>
          </w:p>
        </w:tc>
        <w:tc>
          <w:tcPr>
            <w:tcW w:w="4162" w:type="dxa"/>
            <w:gridSpan w:val="3"/>
            <w:shd w:val="clear" w:color="auto" w:fill="D2DDE1" w:themeFill="background2"/>
            <w:noWrap/>
          </w:tcPr>
          <w:p w14:paraId="04D65BF4" w14:textId="218B7A3C" w:rsidR="0093625B" w:rsidRPr="0018386D" w:rsidRDefault="00913133" w:rsidP="00DD3106">
            <w:pPr>
              <w:pStyle w:val="TableText"/>
              <w:spacing w:before="40" w:after="40"/>
              <w:jc w:val="center"/>
              <w:rPr>
                <w:rFonts w:eastAsia="Times New Roman" w:cs="Calibri"/>
              </w:rPr>
            </w:pPr>
            <w:r w:rsidRPr="0018386D">
              <w:rPr>
                <w:rFonts w:eastAsia="Times New Roman" w:cs="Calibri"/>
              </w:rPr>
              <w:t>0.022</w:t>
            </w:r>
            <w:r w:rsidR="00E633AD" w:rsidRPr="0018386D">
              <w:rPr>
                <w:rFonts w:eastAsia="Times New Roman" w:cs="Calibri"/>
              </w:rPr>
              <w:t>4</w:t>
            </w:r>
          </w:p>
        </w:tc>
      </w:tr>
    </w:tbl>
    <w:p w14:paraId="3B9D3953" w14:textId="4B956809" w:rsidR="00A959E4" w:rsidRPr="0018386D" w:rsidRDefault="14FAB11F" w:rsidP="00DD3106">
      <w:pPr>
        <w:pStyle w:val="Heading3"/>
        <w:numPr>
          <w:ilvl w:val="2"/>
          <w:numId w:val="8"/>
        </w:numPr>
        <w:spacing w:before="480"/>
      </w:pPr>
      <w:bookmarkStart w:id="863" w:name="_Toc532904957"/>
      <w:r w:rsidRPr="0018386D">
        <w:t xml:space="preserve">Assumptions, </w:t>
      </w:r>
      <w:proofErr w:type="gramStart"/>
      <w:r w:rsidRPr="0018386D">
        <w:t>limitations</w:t>
      </w:r>
      <w:proofErr w:type="gramEnd"/>
      <w:r w:rsidRPr="0018386D">
        <w:t xml:space="preserve"> and uncertainties</w:t>
      </w:r>
      <w:bookmarkEnd w:id="863"/>
    </w:p>
    <w:p w14:paraId="19ACFFF8" w14:textId="7D344734" w:rsidR="00A959E4" w:rsidRPr="0018386D" w:rsidRDefault="00A959E4" w:rsidP="00DD3106">
      <w:pPr>
        <w:pStyle w:val="BodyText"/>
      </w:pPr>
      <w:r w:rsidRPr="0018386D">
        <w:t xml:space="preserve">The uncertainties for emission factors used in </w:t>
      </w:r>
      <w:r w:rsidR="00303AA0" w:rsidRPr="0018386D">
        <w:t>methane</w:t>
      </w:r>
      <w:r w:rsidRPr="0018386D">
        <w:t xml:space="preserve"> emissions from managed municipal landfills is ±40 per cent. This is consistent with the estimates in the IPCC Guidelines (IPCC, 2006a). </w:t>
      </w:r>
      <w:hyperlink r:id="rId125" w:history="1">
        <w:r w:rsidR="00F437BA" w:rsidRPr="0018386D">
          <w:rPr>
            <w:rStyle w:val="Hyperlink"/>
            <w:i/>
          </w:rPr>
          <w:t>New Zealand</w:t>
        </w:r>
        <w:r w:rsidR="00056C56" w:rsidRPr="0018386D">
          <w:rPr>
            <w:rStyle w:val="Hyperlink"/>
            <w:i/>
          </w:rPr>
          <w:t>’s</w:t>
        </w:r>
        <w:r w:rsidR="00F437BA" w:rsidRPr="0018386D">
          <w:rPr>
            <w:rStyle w:val="Hyperlink"/>
            <w:i/>
          </w:rPr>
          <w:t xml:space="preserve"> </w:t>
        </w:r>
        <w:r w:rsidR="00F437BA" w:rsidRPr="0018386D">
          <w:rPr>
            <w:rStyle w:val="Hyperlink"/>
            <w:i/>
            <w:iCs/>
          </w:rPr>
          <w:t>Greenhouse</w:t>
        </w:r>
        <w:r w:rsidR="00F437BA" w:rsidRPr="0018386D">
          <w:rPr>
            <w:rStyle w:val="Hyperlink"/>
            <w:i/>
          </w:rPr>
          <w:t xml:space="preserve"> Gas In</w:t>
        </w:r>
        <w:r w:rsidR="00F72DE0" w:rsidRPr="0018386D">
          <w:rPr>
            <w:rStyle w:val="Hyperlink"/>
            <w:i/>
          </w:rPr>
          <w:t>ventory</w:t>
        </w:r>
        <w:r w:rsidR="00FA446D" w:rsidRPr="0018386D">
          <w:rPr>
            <w:rStyle w:val="Hyperlink"/>
            <w:rFonts w:eastAsia="Times New Roman" w:cs="Times New Roman"/>
            <w:i/>
            <w:iCs/>
          </w:rPr>
          <w:t xml:space="preserve"> 1990</w:t>
        </w:r>
        <w:r w:rsidR="00127AB6" w:rsidRPr="0018386D">
          <w:rPr>
            <w:rStyle w:val="Hyperlink"/>
            <w:rFonts w:eastAsia="Times New Roman" w:cs="Times New Roman"/>
            <w:i/>
            <w:iCs/>
          </w:rPr>
          <w:t>–</w:t>
        </w:r>
        <w:r w:rsidR="00FA446D" w:rsidRPr="0018386D">
          <w:rPr>
            <w:rStyle w:val="Hyperlink"/>
            <w:rFonts w:eastAsia="Times New Roman" w:cs="Times New Roman"/>
            <w:i/>
            <w:iCs/>
          </w:rPr>
          <w:t>2021</w:t>
        </w:r>
      </w:hyperlink>
      <w:r w:rsidR="001B45B8" w:rsidRPr="0018386D">
        <w:t xml:space="preserve"> </w:t>
      </w:r>
      <w:r w:rsidRPr="0018386D">
        <w:t>states that “</w:t>
      </w:r>
      <w:r w:rsidR="00FB0FFD" w:rsidRPr="0018386D">
        <w:t>the emission factor uncertainty is set at this level, while better-quality parameters are used in this category, most of the parameters are based on international data and are not site specific”.</w:t>
      </w:r>
    </w:p>
    <w:p w14:paraId="1CE48644" w14:textId="4B0FF839" w:rsidR="00A959E4" w:rsidRPr="0018386D" w:rsidRDefault="00A959E4" w:rsidP="00DD3106">
      <w:pPr>
        <w:pStyle w:val="BodyText"/>
      </w:pPr>
      <w:r w:rsidRPr="0018386D">
        <w:t>If an organisation has an advanced diversion system (to recycling and composting) then using</w:t>
      </w:r>
      <w:r w:rsidR="00A903F8" w:rsidRPr="0018386D">
        <w:t> </w:t>
      </w:r>
      <w:r w:rsidRPr="0018386D">
        <w:t xml:space="preserve">the </w:t>
      </w:r>
      <w:r w:rsidR="003A3596" w:rsidRPr="0018386D">
        <w:t>‘</w:t>
      </w:r>
      <w:r w:rsidR="000E7774" w:rsidRPr="0018386D">
        <w:t>average</w:t>
      </w:r>
      <w:r w:rsidRPr="0018386D">
        <w:t xml:space="preserve"> waste</w:t>
      </w:r>
      <w:r w:rsidR="003A3596" w:rsidRPr="0018386D">
        <w:t>’</w:t>
      </w:r>
      <w:r w:rsidRPr="0018386D">
        <w:t xml:space="preserve"> category in the methodology will overestimate emissions. If an organisation has no diversion system, then it could underestimate emissions. </w:t>
      </w:r>
    </w:p>
    <w:p w14:paraId="75E30081" w14:textId="37AF77D8" w:rsidR="009E2BB4" w:rsidRPr="0018386D" w:rsidRDefault="40898574" w:rsidP="00DD3106">
      <w:pPr>
        <w:pStyle w:val="BodyText"/>
        <w:rPr>
          <w:rFonts w:eastAsia="Calibri" w:cs="Calibri"/>
          <w:color w:val="000000" w:themeColor="text1"/>
        </w:rPr>
      </w:pPr>
      <w:r w:rsidRPr="0018386D">
        <w:t xml:space="preserve">The default emission factor for </w:t>
      </w:r>
      <w:r w:rsidR="0E31DE14" w:rsidRPr="0018386D">
        <w:t>average</w:t>
      </w:r>
      <w:r w:rsidRPr="0018386D">
        <w:t xml:space="preserve"> waste is based on national average composition data</w:t>
      </w:r>
      <w:r w:rsidR="7AB8E42A" w:rsidRPr="0018386D">
        <w:t> </w:t>
      </w:r>
      <w:r w:rsidRPr="0018386D">
        <w:t>from</w:t>
      </w:r>
      <w:r w:rsidR="5335E4EB" w:rsidRPr="0018386D">
        <w:rPr>
          <w:rFonts w:eastAsia="Times New Roman" w:cs="Times New Roman"/>
          <w:i/>
          <w:iCs/>
        </w:rPr>
        <w:t xml:space="preserve"> </w:t>
      </w:r>
      <w:hyperlink r:id="rId126" w:history="1">
        <w:r w:rsidR="0DD4D1BA" w:rsidRPr="0018386D">
          <w:rPr>
            <w:rStyle w:val="Hyperlink"/>
            <w:i/>
            <w:iCs/>
          </w:rPr>
          <w:t>New Zealand’s Greenhouse Gas Inventory 1990–2021</w:t>
        </w:r>
      </w:hyperlink>
      <w:r w:rsidR="003C209C" w:rsidRPr="0018386D">
        <w:t>.</w:t>
      </w:r>
      <w:r w:rsidR="47B10522" w:rsidRPr="0018386D">
        <w:t xml:space="preserve"> Only waste to</w:t>
      </w:r>
      <w:r w:rsidR="47B10522" w:rsidRPr="0018386D">
        <w:rPr>
          <w:rFonts w:eastAsia="Calibri" w:cs="Calibri"/>
          <w:color w:val="000000" w:themeColor="text1"/>
        </w:rPr>
        <w:t xml:space="preserve"> municipal and non-municipal landfills </w:t>
      </w:r>
      <w:r w:rsidR="00C724CC" w:rsidRPr="0018386D">
        <w:rPr>
          <w:rFonts w:eastAsia="Calibri" w:cs="Calibri"/>
          <w:color w:val="000000" w:themeColor="text1"/>
        </w:rPr>
        <w:t xml:space="preserve">is </w:t>
      </w:r>
      <w:r w:rsidR="47B10522" w:rsidRPr="0018386D">
        <w:rPr>
          <w:rFonts w:eastAsia="Calibri" w:cs="Calibri"/>
          <w:color w:val="000000" w:themeColor="text1"/>
        </w:rPr>
        <w:t>considered.</w:t>
      </w:r>
    </w:p>
    <w:p w14:paraId="0AF09473" w14:textId="77777777" w:rsidR="009E2BB4" w:rsidRPr="0018386D" w:rsidRDefault="009E2BB4" w:rsidP="00DD3106">
      <w:pPr>
        <w:pStyle w:val="BodyText"/>
      </w:pPr>
      <w:r w:rsidRPr="0018386D">
        <w:t>The nitrous oxide emissions associated with anaerobic digestion are assumed to be negligible.</w:t>
      </w:r>
    </w:p>
    <w:p w14:paraId="4A7BC7A2" w14:textId="77777777" w:rsidR="009E2BB4" w:rsidRPr="0018386D" w:rsidRDefault="009E2BB4" w:rsidP="00DD3106">
      <w:pPr>
        <w:pStyle w:val="BodyText"/>
        <w:jc w:val="both"/>
        <w:rPr>
          <w:rFonts w:eastAsia="Calibri" w:cs="Calibri"/>
          <w:color w:val="000000" w:themeColor="text1"/>
        </w:rPr>
      </w:pPr>
      <w:r w:rsidRPr="0018386D">
        <w:rPr>
          <w:rFonts w:eastAsia="Calibri" w:cs="Calibri"/>
          <w:color w:val="000000" w:themeColor="text1"/>
        </w:rPr>
        <w:t xml:space="preserve">The guide does not cover methodologies to determine emissions from solid waste incineration, as we assume emissions are negligible at the individual organisation level. </w:t>
      </w:r>
    </w:p>
    <w:p w14:paraId="7FCC69DA" w14:textId="77777777" w:rsidR="009E2BB4" w:rsidRPr="0018386D" w:rsidRDefault="009E2BB4" w:rsidP="00DD3106">
      <w:pPr>
        <w:pStyle w:val="BodyText"/>
        <w:rPr>
          <w:rFonts w:eastAsia="Calibri" w:cs="Calibri"/>
          <w:color w:val="000000" w:themeColor="text1"/>
        </w:rPr>
      </w:pPr>
    </w:p>
    <w:p w14:paraId="1EFE4F88" w14:textId="77777777" w:rsidR="00127AB6" w:rsidRPr="0018386D" w:rsidRDefault="00127AB6" w:rsidP="00DD3106">
      <w:pPr>
        <w:pStyle w:val="BodyText"/>
      </w:pPr>
      <w:bookmarkStart w:id="864" w:name="_Toc137807674"/>
      <w:bookmarkStart w:id="865" w:name="_Toc532904958"/>
      <w:bookmarkStart w:id="866" w:name="_Toc600601"/>
      <w:bookmarkEnd w:id="802"/>
      <w:bookmarkEnd w:id="864"/>
      <w:r w:rsidRPr="0018386D">
        <w:br w:type="page"/>
      </w:r>
    </w:p>
    <w:p w14:paraId="4448BA79" w14:textId="2FC7CC88" w:rsidR="003A7B65" w:rsidRPr="0018386D" w:rsidRDefault="50708F12" w:rsidP="00DD3106">
      <w:pPr>
        <w:pStyle w:val="Heading1"/>
        <w:numPr>
          <w:ilvl w:val="0"/>
          <w:numId w:val="8"/>
        </w:numPr>
        <w:tabs>
          <w:tab w:val="clear" w:pos="851"/>
        </w:tabs>
      </w:pPr>
      <w:bookmarkStart w:id="867" w:name="_Toc140048932"/>
      <w:r w:rsidRPr="0018386D">
        <w:t xml:space="preserve">Agriculture, </w:t>
      </w:r>
      <w:proofErr w:type="gramStart"/>
      <w:r w:rsidR="4FD4532B" w:rsidRPr="0018386D">
        <w:t>forestry</w:t>
      </w:r>
      <w:proofErr w:type="gramEnd"/>
      <w:r w:rsidR="4FD4532B" w:rsidRPr="0018386D">
        <w:t xml:space="preserve"> </w:t>
      </w:r>
      <w:r w:rsidRPr="0018386D">
        <w:t xml:space="preserve">and </w:t>
      </w:r>
      <w:r w:rsidR="4FD4532B" w:rsidRPr="0018386D">
        <w:t>other land</w:t>
      </w:r>
      <w:r w:rsidR="0C5CE26E" w:rsidRPr="0018386D">
        <w:t>-</w:t>
      </w:r>
      <w:r w:rsidR="4FD4532B" w:rsidRPr="0018386D">
        <w:t xml:space="preserve">use </w:t>
      </w:r>
      <w:r w:rsidRPr="0018386D">
        <w:t>emission factors</w:t>
      </w:r>
      <w:bookmarkEnd w:id="865"/>
      <w:bookmarkEnd w:id="866"/>
      <w:bookmarkEnd w:id="867"/>
    </w:p>
    <w:p w14:paraId="214BBF4D" w14:textId="5BD6F98D" w:rsidR="72D3C9D3" w:rsidRPr="0018386D" w:rsidRDefault="72D3C9D3" w:rsidP="00DD3106">
      <w:pPr>
        <w:pStyle w:val="BodyText"/>
        <w:spacing w:after="100"/>
      </w:pPr>
      <w:r w:rsidRPr="0018386D">
        <w:t xml:space="preserve">This category covers emissions produced by land use, land-use </w:t>
      </w:r>
      <w:proofErr w:type="gramStart"/>
      <w:r w:rsidRPr="0018386D">
        <w:t>change</w:t>
      </w:r>
      <w:proofErr w:type="gramEnd"/>
      <w:r w:rsidRPr="0018386D">
        <w:t xml:space="preserve"> and forestry (LULUCF),</w:t>
      </w:r>
      <w:r w:rsidR="00BD0192" w:rsidRPr="0018386D">
        <w:t xml:space="preserve"> </w:t>
      </w:r>
      <w:r w:rsidR="08EDDB52" w:rsidRPr="0018386D">
        <w:t xml:space="preserve">livestock </w:t>
      </w:r>
      <w:r w:rsidRPr="0018386D">
        <w:t>enteric fermentation, manure management</w:t>
      </w:r>
      <w:r w:rsidR="6C35E77B" w:rsidRPr="0018386D">
        <w:t>, agricultural soils</w:t>
      </w:r>
      <w:r w:rsidRPr="0018386D">
        <w:t xml:space="preserve"> and fertiliser use.</w:t>
      </w:r>
      <w:r w:rsidR="004C3308" w:rsidRPr="0018386D">
        <w:t xml:space="preserve"> </w:t>
      </w:r>
    </w:p>
    <w:p w14:paraId="73BA3BDE" w14:textId="1DBE184B" w:rsidR="002B4AE9" w:rsidRPr="0018386D" w:rsidRDefault="002B4AE9" w:rsidP="00DD3106">
      <w:pPr>
        <w:pStyle w:val="BodyText"/>
        <w:spacing w:after="100"/>
      </w:pPr>
      <w:r w:rsidRPr="0018386D">
        <w:t>We selected the emission factors below, based on appropriate available data and the professional opinions of the Ministry for Primary Industries (MPI) and the Ministry for the</w:t>
      </w:r>
      <w:r w:rsidR="00401AC7" w:rsidRPr="0018386D">
        <w:t xml:space="preserve"> </w:t>
      </w:r>
      <w:r w:rsidRPr="0018386D">
        <w:t>Environment.</w:t>
      </w:r>
    </w:p>
    <w:p w14:paraId="4A97B4D3" w14:textId="77777777" w:rsidR="002B4AE9" w:rsidRPr="0018386D" w:rsidRDefault="002B4AE9" w:rsidP="00DD3106">
      <w:pPr>
        <w:pStyle w:val="Bullet"/>
        <w:spacing w:after="100"/>
      </w:pPr>
      <w:r w:rsidRPr="0018386D">
        <w:t xml:space="preserve">Land use, land-use </w:t>
      </w:r>
      <w:proofErr w:type="gramStart"/>
      <w:r w:rsidRPr="0018386D">
        <w:t>change</w:t>
      </w:r>
      <w:proofErr w:type="gramEnd"/>
      <w:r w:rsidRPr="0018386D">
        <w:t xml:space="preserve"> and forestry</w:t>
      </w:r>
    </w:p>
    <w:p w14:paraId="3900E230" w14:textId="77777777" w:rsidR="002B4AE9" w:rsidRPr="0018386D" w:rsidRDefault="002B4AE9" w:rsidP="00DD3106">
      <w:pPr>
        <w:pStyle w:val="Sub-list"/>
        <w:spacing w:after="100"/>
      </w:pPr>
      <w:r w:rsidRPr="0018386D">
        <w:t>forest growth</w:t>
      </w:r>
    </w:p>
    <w:p w14:paraId="71F2159D" w14:textId="77777777" w:rsidR="002B4AE9" w:rsidRPr="0018386D" w:rsidRDefault="002B4AE9" w:rsidP="00DD3106">
      <w:pPr>
        <w:pStyle w:val="Sub-list"/>
        <w:spacing w:after="100"/>
      </w:pPr>
      <w:r w:rsidRPr="0018386D">
        <w:t>forest harvest and deforestation</w:t>
      </w:r>
    </w:p>
    <w:p w14:paraId="6F34217E" w14:textId="77777777" w:rsidR="002B4AE9" w:rsidRPr="0018386D" w:rsidRDefault="002B4AE9" w:rsidP="00DD3106">
      <w:pPr>
        <w:pStyle w:val="Bullet"/>
        <w:spacing w:after="100"/>
      </w:pPr>
      <w:r w:rsidRPr="0018386D">
        <w:t>Agriculture</w:t>
      </w:r>
    </w:p>
    <w:p w14:paraId="3DF5C98C" w14:textId="77777777" w:rsidR="002B4AE9" w:rsidRPr="0018386D" w:rsidRDefault="002B4AE9" w:rsidP="00DD3106">
      <w:pPr>
        <w:pStyle w:val="Sub-list"/>
        <w:spacing w:after="100"/>
      </w:pPr>
      <w:r w:rsidRPr="0018386D">
        <w:t>enteric fermentation</w:t>
      </w:r>
    </w:p>
    <w:p w14:paraId="1941D38F" w14:textId="77777777" w:rsidR="002B4AE9" w:rsidRPr="0018386D" w:rsidRDefault="002B4AE9" w:rsidP="00DD3106">
      <w:pPr>
        <w:pStyle w:val="Sub-list"/>
        <w:spacing w:after="100"/>
      </w:pPr>
      <w:r w:rsidRPr="0018386D">
        <w:t>manure management</w:t>
      </w:r>
    </w:p>
    <w:p w14:paraId="0D5DC44F" w14:textId="77777777" w:rsidR="002B4AE9" w:rsidRPr="0018386D" w:rsidRDefault="002B4AE9" w:rsidP="00DD3106">
      <w:pPr>
        <w:pStyle w:val="Sub-list"/>
        <w:spacing w:after="100"/>
      </w:pPr>
      <w:r w:rsidRPr="0018386D">
        <w:t>fertiliser use</w:t>
      </w:r>
    </w:p>
    <w:p w14:paraId="6140B661" w14:textId="02AF504D" w:rsidR="002B4AE9" w:rsidRPr="0018386D" w:rsidRDefault="002B4AE9" w:rsidP="00DD3106">
      <w:pPr>
        <w:pStyle w:val="Sub-list"/>
        <w:spacing w:after="100"/>
      </w:pPr>
      <w:r w:rsidRPr="0018386D">
        <w:t>agricultural soils (</w:t>
      </w:r>
      <w:r w:rsidR="003A4A1C" w:rsidRPr="0018386D">
        <w:t>l</w:t>
      </w:r>
      <w:r w:rsidRPr="0018386D">
        <w:t>ivestock).</w:t>
      </w:r>
    </w:p>
    <w:p w14:paraId="0AA1A379" w14:textId="08A95F68" w:rsidR="002B4AE9" w:rsidRPr="0018386D" w:rsidRDefault="002B4AE9" w:rsidP="00DD3106">
      <w:pPr>
        <w:pStyle w:val="BodyText"/>
        <w:spacing w:after="100"/>
      </w:pPr>
      <w:r w:rsidRPr="0018386D">
        <w:t>Users should disclose in their inventories if they include animals grazing on land not owned by the organisation.</w:t>
      </w:r>
    </w:p>
    <w:p w14:paraId="5380E2AE" w14:textId="1E992B99" w:rsidR="00FC7DC7" w:rsidRPr="0018386D" w:rsidRDefault="00FC7DC7" w:rsidP="00DD3106">
      <w:pPr>
        <w:pStyle w:val="BodyText"/>
        <w:spacing w:after="100"/>
      </w:pPr>
      <w:r w:rsidRPr="0018386D">
        <w:t xml:space="preserve">Users also have the option of estimating farm biological emissions and sequestration with the </w:t>
      </w:r>
      <w:r w:rsidR="00F35A30" w:rsidRPr="0018386D">
        <w:t>Ministry</w:t>
      </w:r>
      <w:r w:rsidR="004A2F20" w:rsidRPr="0018386D">
        <w:t xml:space="preserve"> </w:t>
      </w:r>
      <w:r w:rsidR="00517824" w:rsidRPr="0018386D">
        <w:t xml:space="preserve">for the Environment’s </w:t>
      </w:r>
      <w:hyperlink r:id="rId127" w:history="1">
        <w:r w:rsidR="004E1C85" w:rsidRPr="0018386D">
          <w:rPr>
            <w:rStyle w:val="Hyperlink"/>
            <w:rFonts w:eastAsia="Times New Roman"/>
          </w:rPr>
          <w:t>Agricultural Emissions Calculator</w:t>
        </w:r>
      </w:hyperlink>
      <w:r w:rsidR="4DFA0E1C" w:rsidRPr="0018386D">
        <w:t xml:space="preserve"> </w:t>
      </w:r>
      <w:r w:rsidRPr="0018386D">
        <w:t>which uses the same methods and emissions factors as the guidance.</w:t>
      </w:r>
    </w:p>
    <w:p w14:paraId="6509304F" w14:textId="3BF08072" w:rsidR="003449B6" w:rsidRPr="0018386D" w:rsidRDefault="003449B6" w:rsidP="00DD3106">
      <w:pPr>
        <w:pStyle w:val="Heading2"/>
        <w:numPr>
          <w:ilvl w:val="1"/>
          <w:numId w:val="8"/>
        </w:numPr>
        <w:tabs>
          <w:tab w:val="clear" w:pos="851"/>
        </w:tabs>
        <w:ind w:left="993" w:hanging="993"/>
      </w:pPr>
      <w:bookmarkStart w:id="868" w:name="_Toc137807676"/>
      <w:bookmarkStart w:id="869" w:name="_Toc532904959"/>
      <w:bookmarkStart w:id="870" w:name="_Toc600602"/>
      <w:bookmarkStart w:id="871" w:name="_Toc140048933"/>
      <w:bookmarkEnd w:id="868"/>
      <w:r w:rsidRPr="0018386D">
        <w:t>Overview of changes since previous</w:t>
      </w:r>
      <w:r w:rsidR="002913CC" w:rsidRPr="0018386D">
        <w:t> </w:t>
      </w:r>
      <w:r w:rsidRPr="0018386D">
        <w:t>update</w:t>
      </w:r>
      <w:bookmarkEnd w:id="869"/>
      <w:bookmarkEnd w:id="870"/>
      <w:bookmarkEnd w:id="871"/>
    </w:p>
    <w:p w14:paraId="6412F2D6" w14:textId="7922ED13" w:rsidR="00445AC7" w:rsidRPr="0018386D" w:rsidRDefault="00285C3D" w:rsidP="00DD3106">
      <w:pPr>
        <w:pStyle w:val="BodyText"/>
        <w:rPr>
          <w:rFonts w:eastAsia="Calibri" w:cs="Calibri"/>
          <w:color w:val="000000" w:themeColor="text1"/>
        </w:rPr>
      </w:pPr>
      <w:r w:rsidRPr="0018386D">
        <w:t xml:space="preserve">This guide uses </w:t>
      </w:r>
      <w:r w:rsidR="00222D62" w:rsidRPr="0018386D">
        <w:t>data from</w:t>
      </w:r>
      <w:r w:rsidR="00CE4E03" w:rsidRPr="0018386D">
        <w:t xml:space="preserve"> </w:t>
      </w:r>
      <w:hyperlink r:id="rId128" w:history="1">
        <w:r w:rsidR="003D03BD" w:rsidRPr="0018386D">
          <w:rPr>
            <w:rStyle w:val="Hyperlink"/>
            <w:i/>
            <w:iCs/>
          </w:rPr>
          <w:t>New</w:t>
        </w:r>
        <w:r w:rsidR="00CE4E03" w:rsidRPr="0018386D">
          <w:rPr>
            <w:rStyle w:val="Hyperlink"/>
            <w:i/>
            <w:iCs/>
          </w:rPr>
          <w:t xml:space="preserve"> </w:t>
        </w:r>
        <w:r w:rsidR="003D03BD" w:rsidRPr="0018386D">
          <w:rPr>
            <w:rStyle w:val="Hyperlink"/>
            <w:i/>
            <w:iCs/>
          </w:rPr>
          <w:t>Zealand</w:t>
        </w:r>
        <w:r w:rsidR="00070700" w:rsidRPr="0018386D">
          <w:rPr>
            <w:rStyle w:val="Hyperlink"/>
            <w:i/>
            <w:iCs/>
          </w:rPr>
          <w:t>’s</w:t>
        </w:r>
        <w:r w:rsidR="003D03BD" w:rsidRPr="0018386D">
          <w:rPr>
            <w:rStyle w:val="Hyperlink"/>
            <w:i/>
            <w:iCs/>
          </w:rPr>
          <w:t xml:space="preserve"> Greenhouse </w:t>
        </w:r>
        <w:r w:rsidR="004E5F97" w:rsidRPr="0018386D">
          <w:rPr>
            <w:rStyle w:val="Hyperlink"/>
            <w:i/>
            <w:iCs/>
          </w:rPr>
          <w:t xml:space="preserve">Gas </w:t>
        </w:r>
        <w:r w:rsidR="00BA084A" w:rsidRPr="0018386D">
          <w:rPr>
            <w:rStyle w:val="Hyperlink"/>
            <w:i/>
            <w:iCs/>
          </w:rPr>
          <w:t>Inventory</w:t>
        </w:r>
        <w:r w:rsidR="00A1741F" w:rsidRPr="0018386D">
          <w:rPr>
            <w:rStyle w:val="Hyperlink"/>
            <w:i/>
            <w:iCs/>
          </w:rPr>
          <w:t xml:space="preserve"> 1990</w:t>
        </w:r>
        <w:r w:rsidR="002913CC" w:rsidRPr="0018386D">
          <w:rPr>
            <w:rStyle w:val="Hyperlink"/>
            <w:i/>
            <w:iCs/>
          </w:rPr>
          <w:t>–</w:t>
        </w:r>
        <w:r w:rsidR="00A1741F" w:rsidRPr="0018386D">
          <w:rPr>
            <w:rStyle w:val="Hyperlink"/>
            <w:i/>
            <w:iCs/>
          </w:rPr>
          <w:t>2021</w:t>
        </w:r>
      </w:hyperlink>
      <w:r w:rsidR="00BA084A" w:rsidRPr="0018386D">
        <w:t xml:space="preserve"> which has </w:t>
      </w:r>
      <w:r w:rsidR="005E0964" w:rsidRPr="0018386D">
        <w:t>revised</w:t>
      </w:r>
      <w:r w:rsidR="00BA084A" w:rsidRPr="0018386D">
        <w:t xml:space="preserve"> methodolog</w:t>
      </w:r>
      <w:r w:rsidR="002D12F9" w:rsidRPr="0018386D">
        <w:t>ies and emissions factors</w:t>
      </w:r>
      <w:r w:rsidR="00505A74" w:rsidRPr="0018386D">
        <w:t> </w:t>
      </w:r>
      <w:r w:rsidR="002A579F" w:rsidRPr="0018386D">
        <w:t xml:space="preserve">from the previous edition. </w:t>
      </w:r>
      <w:r w:rsidR="00A61DA7" w:rsidRPr="0018386D">
        <w:t>The</w:t>
      </w:r>
      <w:r w:rsidR="000953A9" w:rsidRPr="0018386D">
        <w:t xml:space="preserve"> change</w:t>
      </w:r>
      <w:r w:rsidR="00070700" w:rsidRPr="0018386D">
        <w:t>s</w:t>
      </w:r>
      <w:r w:rsidR="000953A9" w:rsidRPr="0018386D">
        <w:t xml:space="preserve"> relevant to the updated emission factors included in this versio</w:t>
      </w:r>
      <w:r w:rsidR="00A700F0" w:rsidRPr="0018386D">
        <w:t>n</w:t>
      </w:r>
      <w:r w:rsidR="00A61DA7" w:rsidRPr="0018386D">
        <w:t xml:space="preserve"> are </w:t>
      </w:r>
      <w:r w:rsidR="006E66CE" w:rsidRPr="0018386D">
        <w:t>summarised as:</w:t>
      </w:r>
    </w:p>
    <w:p w14:paraId="4BF2C1F6" w14:textId="560640B3" w:rsidR="00327E39" w:rsidRPr="0018386D" w:rsidRDefault="00327E39" w:rsidP="00DD3106">
      <w:pPr>
        <w:pStyle w:val="Bullet"/>
        <w:rPr>
          <w:rFonts w:eastAsia="Calibri"/>
        </w:rPr>
      </w:pPr>
      <w:r w:rsidRPr="0018386D">
        <w:rPr>
          <w:rFonts w:eastAsia="Calibri"/>
        </w:rPr>
        <w:t>the conversion from AR4 to AR5 GWPs</w:t>
      </w:r>
      <w:r w:rsidR="00B2554A" w:rsidRPr="0018386D">
        <w:rPr>
          <w:rFonts w:eastAsia="Calibri"/>
        </w:rPr>
        <w:t>. This</w:t>
      </w:r>
      <w:r w:rsidRPr="0018386D">
        <w:rPr>
          <w:rFonts w:eastAsia="Calibri"/>
        </w:rPr>
        <w:t xml:space="preserve"> has affected the emission factors </w:t>
      </w:r>
      <w:r w:rsidR="00B2554A" w:rsidRPr="0018386D">
        <w:rPr>
          <w:rFonts w:eastAsia="Calibri"/>
        </w:rPr>
        <w:t>for</w:t>
      </w:r>
      <w:r w:rsidRPr="0018386D">
        <w:rPr>
          <w:rFonts w:eastAsia="Calibri"/>
        </w:rPr>
        <w:t xml:space="preserve"> </w:t>
      </w:r>
      <w:r w:rsidR="00CA462B" w:rsidRPr="0018386D">
        <w:rPr>
          <w:rFonts w:eastAsia="Calibri"/>
        </w:rPr>
        <w:t>CH</w:t>
      </w:r>
      <w:r w:rsidR="00CA462B" w:rsidRPr="0018386D">
        <w:rPr>
          <w:rFonts w:eastAsia="Calibri"/>
          <w:vertAlign w:val="subscript"/>
        </w:rPr>
        <w:t>4</w:t>
      </w:r>
      <w:r w:rsidR="00CA462B" w:rsidRPr="0018386D">
        <w:rPr>
          <w:rFonts w:eastAsia="Calibri"/>
        </w:rPr>
        <w:t xml:space="preserve"> and N</w:t>
      </w:r>
      <w:r w:rsidR="00CA462B" w:rsidRPr="0018386D">
        <w:rPr>
          <w:rFonts w:eastAsia="Calibri"/>
          <w:vertAlign w:val="subscript"/>
        </w:rPr>
        <w:t>2</w:t>
      </w:r>
      <w:r w:rsidR="00CA462B" w:rsidRPr="0018386D">
        <w:rPr>
          <w:rFonts w:eastAsia="Calibri"/>
        </w:rPr>
        <w:t xml:space="preserve">O </w:t>
      </w:r>
      <w:r w:rsidR="00B2554A" w:rsidRPr="0018386D">
        <w:rPr>
          <w:rFonts w:eastAsia="Calibri"/>
        </w:rPr>
        <w:t>which</w:t>
      </w:r>
      <w:r w:rsidR="008B02BE" w:rsidRPr="0018386D">
        <w:rPr>
          <w:rFonts w:eastAsia="Calibri"/>
        </w:rPr>
        <w:t xml:space="preserve"> </w:t>
      </w:r>
      <w:r w:rsidR="00CA462B" w:rsidRPr="0018386D">
        <w:rPr>
          <w:rFonts w:eastAsia="Calibri"/>
        </w:rPr>
        <w:t xml:space="preserve">make up </w:t>
      </w:r>
      <w:r w:rsidR="00044320" w:rsidRPr="0018386D">
        <w:rPr>
          <w:rFonts w:eastAsia="Calibri"/>
        </w:rPr>
        <w:t xml:space="preserve">a </w:t>
      </w:r>
      <w:r w:rsidR="00CA462B" w:rsidRPr="0018386D">
        <w:rPr>
          <w:rFonts w:eastAsia="Calibri"/>
        </w:rPr>
        <w:t xml:space="preserve">substantial proportion of </w:t>
      </w:r>
      <w:r w:rsidR="008B02BE" w:rsidRPr="0018386D">
        <w:rPr>
          <w:rFonts w:eastAsia="Calibri"/>
        </w:rPr>
        <w:t xml:space="preserve">agricultural </w:t>
      </w:r>
      <w:proofErr w:type="gramStart"/>
      <w:r w:rsidR="00CA462B" w:rsidRPr="0018386D">
        <w:rPr>
          <w:rFonts w:eastAsia="Calibri"/>
        </w:rPr>
        <w:t>emissions</w:t>
      </w:r>
      <w:proofErr w:type="gramEnd"/>
    </w:p>
    <w:p w14:paraId="0C248329" w14:textId="64DB6395" w:rsidR="003F5666" w:rsidRPr="0018386D" w:rsidRDefault="003F5666" w:rsidP="00DD3106">
      <w:pPr>
        <w:pStyle w:val="Bullet"/>
        <w:rPr>
          <w:rFonts w:eastAsia="Calibri"/>
          <w:szCs w:val="22"/>
        </w:rPr>
      </w:pPr>
      <w:r w:rsidRPr="0018386D">
        <w:rPr>
          <w:rFonts w:eastAsia="Calibri"/>
        </w:rPr>
        <w:t xml:space="preserve">adoption of new </w:t>
      </w:r>
      <w:proofErr w:type="spellStart"/>
      <w:r w:rsidRPr="0018386D">
        <w:rPr>
          <w:rFonts w:eastAsia="Calibri"/>
        </w:rPr>
        <w:t>Frac</w:t>
      </w:r>
      <w:r w:rsidRPr="0018386D">
        <w:rPr>
          <w:rFonts w:eastAsia="Calibri"/>
          <w:vertAlign w:val="subscript"/>
        </w:rPr>
        <w:t>LEACH</w:t>
      </w:r>
      <w:proofErr w:type="spellEnd"/>
      <w:r w:rsidRPr="0018386D">
        <w:rPr>
          <w:rFonts w:eastAsia="Calibri"/>
        </w:rPr>
        <w:t xml:space="preserve"> values for nitrogen applied to grazing systems and from synthetic nitrogen </w:t>
      </w:r>
      <w:proofErr w:type="gramStart"/>
      <w:r w:rsidRPr="0018386D">
        <w:rPr>
          <w:rFonts w:eastAsia="Calibri"/>
        </w:rPr>
        <w:t>fertilisers</w:t>
      </w:r>
      <w:proofErr w:type="gramEnd"/>
    </w:p>
    <w:p w14:paraId="697DF01E" w14:textId="6F8C7154" w:rsidR="003F5666" w:rsidRPr="0018386D" w:rsidRDefault="003F5666" w:rsidP="00DD3106">
      <w:pPr>
        <w:pStyle w:val="Bullet"/>
        <w:rPr>
          <w:rFonts w:eastAsia="Calibri"/>
        </w:rPr>
      </w:pPr>
      <w:r w:rsidRPr="0018386D">
        <w:rPr>
          <w:rFonts w:eastAsia="Calibri"/>
        </w:rPr>
        <w:t>the inclusion of non-pasture feeds for dairy cattle, beef cattle and sheep (previously assumed to be 100 per cent pasture fed)</w:t>
      </w:r>
    </w:p>
    <w:p w14:paraId="5DCC8152" w14:textId="591B5D6F" w:rsidR="003F5666" w:rsidRPr="0018386D" w:rsidRDefault="003F5666" w:rsidP="00DD3106">
      <w:pPr>
        <w:pStyle w:val="Bullet"/>
        <w:rPr>
          <w:rFonts w:eastAsia="Calibri"/>
        </w:rPr>
      </w:pPr>
      <w:r w:rsidRPr="0018386D">
        <w:rPr>
          <w:rFonts w:eastAsia="Calibri"/>
        </w:rPr>
        <w:t xml:space="preserve">improvement to the estimates of within-year dairy cattle population change </w:t>
      </w:r>
    </w:p>
    <w:p w14:paraId="1E4AE804" w14:textId="0C10025F" w:rsidR="00250964" w:rsidRPr="0018386D" w:rsidRDefault="00D630BB" w:rsidP="00DD3106">
      <w:pPr>
        <w:pStyle w:val="Bullet"/>
        <w:rPr>
          <w:rFonts w:eastAsia="Calibri"/>
          <w:szCs w:val="22"/>
        </w:rPr>
      </w:pPr>
      <w:r w:rsidRPr="0018386D">
        <w:rPr>
          <w:rFonts w:eastAsia="Calibri"/>
        </w:rPr>
        <w:t>m</w:t>
      </w:r>
      <w:r w:rsidR="00A83A86" w:rsidRPr="0018386D">
        <w:rPr>
          <w:rFonts w:eastAsia="Calibri"/>
        </w:rPr>
        <w:t>inor changes to the planted forest emission factors. T</w:t>
      </w:r>
      <w:r w:rsidR="00D5423B" w:rsidRPr="0018386D">
        <w:rPr>
          <w:rFonts w:eastAsia="Calibri"/>
        </w:rPr>
        <w:t>h</w:t>
      </w:r>
      <w:r w:rsidR="00B338AC" w:rsidRPr="0018386D">
        <w:rPr>
          <w:rFonts w:eastAsia="Calibri"/>
        </w:rPr>
        <w:t>is</w:t>
      </w:r>
      <w:r w:rsidR="002E79FF" w:rsidRPr="0018386D">
        <w:rPr>
          <w:rFonts w:eastAsia="Calibri"/>
        </w:rPr>
        <w:t xml:space="preserve"> comes from updated</w:t>
      </w:r>
      <w:r w:rsidR="00D5423B" w:rsidRPr="0018386D">
        <w:rPr>
          <w:rFonts w:eastAsia="Calibri"/>
        </w:rPr>
        <w:t xml:space="preserve"> </w:t>
      </w:r>
      <w:r w:rsidR="00F43CE1" w:rsidRPr="0018386D">
        <w:rPr>
          <w:rFonts w:eastAsia="Calibri"/>
        </w:rPr>
        <w:t xml:space="preserve">planted forest </w:t>
      </w:r>
      <w:r w:rsidR="00D5423B" w:rsidRPr="0018386D">
        <w:rPr>
          <w:rFonts w:eastAsia="Calibri"/>
        </w:rPr>
        <w:t>area estimates</w:t>
      </w:r>
      <w:r w:rsidR="00044320" w:rsidRPr="0018386D">
        <w:rPr>
          <w:rFonts w:eastAsia="Calibri"/>
        </w:rPr>
        <w:t>,</w:t>
      </w:r>
      <w:r w:rsidR="00D5423B" w:rsidRPr="0018386D">
        <w:rPr>
          <w:rFonts w:eastAsia="Calibri"/>
        </w:rPr>
        <w:t xml:space="preserve"> </w:t>
      </w:r>
      <w:r w:rsidR="002E79FF" w:rsidRPr="0018386D">
        <w:rPr>
          <w:rFonts w:eastAsia="Calibri"/>
        </w:rPr>
        <w:t xml:space="preserve">which are </w:t>
      </w:r>
      <w:r w:rsidR="00D5423B" w:rsidRPr="0018386D">
        <w:rPr>
          <w:rFonts w:eastAsia="Calibri"/>
        </w:rPr>
        <w:t>used to derive the emission factors</w:t>
      </w:r>
      <w:r w:rsidR="002E79FF" w:rsidRPr="0018386D">
        <w:rPr>
          <w:rFonts w:eastAsia="Calibri"/>
        </w:rPr>
        <w:t xml:space="preserve">. The </w:t>
      </w:r>
      <w:r w:rsidRPr="0018386D">
        <w:rPr>
          <w:rFonts w:eastAsia="Calibri"/>
        </w:rPr>
        <w:t>yield tables</w:t>
      </w:r>
      <w:r w:rsidR="005A1BCC" w:rsidRPr="0018386D">
        <w:rPr>
          <w:rFonts w:eastAsia="Calibri"/>
        </w:rPr>
        <w:t>, which are the other component of the emission factor calculations,</w:t>
      </w:r>
      <w:r w:rsidR="00B338AC" w:rsidRPr="0018386D">
        <w:rPr>
          <w:rFonts w:eastAsia="Calibri"/>
        </w:rPr>
        <w:t xml:space="preserve"> remain unchanged. </w:t>
      </w:r>
    </w:p>
    <w:p w14:paraId="26B95C93" w14:textId="3E75321F" w:rsidR="00D87669" w:rsidRPr="0018386D" w:rsidRDefault="001918C8" w:rsidP="00DD3106">
      <w:pPr>
        <w:pStyle w:val="Bullet"/>
        <w:rPr>
          <w:rFonts w:eastAsia="Calibri"/>
        </w:rPr>
      </w:pPr>
      <w:r w:rsidRPr="0018386D">
        <w:rPr>
          <w:rFonts w:eastAsia="Calibri"/>
        </w:rPr>
        <w:t>e</w:t>
      </w:r>
      <w:r w:rsidR="003D3E74" w:rsidRPr="0018386D">
        <w:rPr>
          <w:rFonts w:eastAsia="Calibri"/>
        </w:rPr>
        <w:t>mission</w:t>
      </w:r>
      <w:r w:rsidR="003929D3" w:rsidRPr="0018386D">
        <w:rPr>
          <w:rFonts w:eastAsia="Calibri"/>
        </w:rPr>
        <w:t xml:space="preserve"> facto</w:t>
      </w:r>
      <w:r w:rsidR="00CB489B" w:rsidRPr="0018386D">
        <w:rPr>
          <w:rFonts w:eastAsia="Calibri"/>
        </w:rPr>
        <w:t>rs</w:t>
      </w:r>
      <w:r w:rsidR="003D3E74" w:rsidRPr="0018386D">
        <w:rPr>
          <w:rFonts w:eastAsia="Calibri"/>
        </w:rPr>
        <w:t xml:space="preserve"> from agricultural soils </w:t>
      </w:r>
      <w:r w:rsidR="00DE12E2" w:rsidRPr="0018386D">
        <w:rPr>
          <w:rFonts w:eastAsia="Calibri"/>
        </w:rPr>
        <w:t xml:space="preserve">for swine and poultry </w:t>
      </w:r>
      <w:r w:rsidR="00472766" w:rsidRPr="0018386D">
        <w:rPr>
          <w:rFonts w:eastAsia="Calibri"/>
        </w:rPr>
        <w:t xml:space="preserve">increased substantially, due to </w:t>
      </w:r>
      <w:r w:rsidR="00CB489B" w:rsidRPr="0018386D">
        <w:rPr>
          <w:rFonts w:eastAsia="Calibri"/>
        </w:rPr>
        <w:t>an error correction.</w:t>
      </w:r>
    </w:p>
    <w:p w14:paraId="294E5585" w14:textId="33BB9D3D" w:rsidR="6222D473" w:rsidRPr="0018386D" w:rsidRDefault="6222D473" w:rsidP="00DD3106">
      <w:pPr>
        <w:pStyle w:val="BodyText"/>
      </w:pPr>
      <w:r w:rsidRPr="0018386D">
        <w:rPr>
          <w:color w:val="000000" w:themeColor="text1"/>
        </w:rPr>
        <w:t xml:space="preserve">Please refer to section 5.1.5 (and other relevant sections) </w:t>
      </w:r>
      <w:r w:rsidR="00FB5F56" w:rsidRPr="0018386D">
        <w:rPr>
          <w:color w:val="000000" w:themeColor="text1"/>
        </w:rPr>
        <w:t>of</w:t>
      </w:r>
      <w:r w:rsidRPr="0018386D">
        <w:rPr>
          <w:color w:val="000000" w:themeColor="text1"/>
        </w:rPr>
        <w:t xml:space="preserve"> </w:t>
      </w:r>
      <w:hyperlink r:id="rId129" w:history="1">
        <w:r w:rsidRPr="0018386D">
          <w:rPr>
            <w:rStyle w:val="Hyperlink"/>
            <w:rFonts w:eastAsia="Calibri" w:cs="Calibri"/>
            <w:i/>
            <w:iCs/>
          </w:rPr>
          <w:t>New Zealand’s Greenhouse Gas Inventory 1990–2021</w:t>
        </w:r>
      </w:hyperlink>
      <w:r w:rsidRPr="0018386D">
        <w:rPr>
          <w:color w:val="000000" w:themeColor="text1"/>
        </w:rPr>
        <w:t xml:space="preserve"> for further details.</w:t>
      </w:r>
      <w:r w:rsidRPr="0018386D">
        <w:t xml:space="preserve"> </w:t>
      </w:r>
    </w:p>
    <w:p w14:paraId="111FE2C8" w14:textId="15CE79BC" w:rsidR="002C7317" w:rsidRPr="0018386D" w:rsidRDefault="002C7317" w:rsidP="00DD3106">
      <w:pPr>
        <w:pStyle w:val="Heading2"/>
        <w:numPr>
          <w:ilvl w:val="1"/>
          <w:numId w:val="8"/>
        </w:numPr>
        <w:tabs>
          <w:tab w:val="clear" w:pos="851"/>
        </w:tabs>
        <w:ind w:left="993" w:hanging="993"/>
      </w:pPr>
      <w:bookmarkStart w:id="872" w:name="_Toc532904960"/>
      <w:bookmarkStart w:id="873" w:name="_Toc600603"/>
      <w:bookmarkStart w:id="874" w:name="_Toc140048934"/>
      <w:r w:rsidRPr="0018386D">
        <w:rPr>
          <w:rFonts w:eastAsia="Georgia" w:cs="Georgia"/>
          <w:color w:val="1B556B" w:themeColor="text2"/>
        </w:rPr>
        <w:t xml:space="preserve">Land </w:t>
      </w:r>
      <w:r w:rsidR="00436C6A" w:rsidRPr="0018386D">
        <w:rPr>
          <w:rFonts w:eastAsia="Georgia" w:cs="Georgia"/>
          <w:color w:val="1B556B" w:themeColor="text2"/>
        </w:rPr>
        <w:t>u</w:t>
      </w:r>
      <w:r w:rsidRPr="0018386D">
        <w:rPr>
          <w:rFonts w:eastAsia="Georgia" w:cs="Georgia"/>
          <w:color w:val="1B556B" w:themeColor="text2"/>
        </w:rPr>
        <w:t xml:space="preserve">se, </w:t>
      </w:r>
      <w:r w:rsidR="009953FD" w:rsidRPr="0018386D">
        <w:rPr>
          <w:rFonts w:eastAsia="Georgia" w:cs="Georgia"/>
          <w:color w:val="1B556B" w:themeColor="text2"/>
        </w:rPr>
        <w:t xml:space="preserve">land-use </w:t>
      </w:r>
      <w:proofErr w:type="gramStart"/>
      <w:r w:rsidR="009953FD" w:rsidRPr="0018386D">
        <w:rPr>
          <w:rFonts w:eastAsia="Georgia" w:cs="Georgia"/>
          <w:color w:val="1B556B" w:themeColor="text2"/>
        </w:rPr>
        <w:t>change</w:t>
      </w:r>
      <w:proofErr w:type="gramEnd"/>
      <w:r w:rsidRPr="0018386D">
        <w:rPr>
          <w:rFonts w:eastAsia="Georgia" w:cs="Georgia"/>
          <w:color w:val="1B556B" w:themeColor="text2"/>
        </w:rPr>
        <w:t xml:space="preserve"> and </w:t>
      </w:r>
      <w:r w:rsidR="00436C6A" w:rsidRPr="0018386D">
        <w:rPr>
          <w:rFonts w:eastAsia="Georgia" w:cs="Georgia"/>
          <w:color w:val="1B556B" w:themeColor="text2"/>
        </w:rPr>
        <w:t>f</w:t>
      </w:r>
      <w:r w:rsidRPr="0018386D">
        <w:rPr>
          <w:rFonts w:eastAsia="Georgia" w:cs="Georgia"/>
          <w:color w:val="1B556B" w:themeColor="text2"/>
        </w:rPr>
        <w:t>orestry (LULUCF)</w:t>
      </w:r>
      <w:bookmarkEnd w:id="872"/>
      <w:bookmarkEnd w:id="873"/>
      <w:bookmarkEnd w:id="874"/>
    </w:p>
    <w:p w14:paraId="2A98B98E" w14:textId="2C35DA0E" w:rsidR="6718FA56" w:rsidRPr="0018386D" w:rsidRDefault="6718FA56" w:rsidP="00DD3106">
      <w:pPr>
        <w:pStyle w:val="Heading3"/>
        <w:numPr>
          <w:ilvl w:val="2"/>
          <w:numId w:val="8"/>
        </w:numPr>
        <w:spacing w:before="240"/>
        <w:ind w:left="993"/>
      </w:pPr>
      <w:r w:rsidRPr="0018386D">
        <w:t>O</w:t>
      </w:r>
      <w:r w:rsidR="254DE983" w:rsidRPr="0018386D">
        <w:t>verview of the sector</w:t>
      </w:r>
    </w:p>
    <w:p w14:paraId="1FDD515E" w14:textId="52F460B0" w:rsidR="13CA97B7" w:rsidRPr="0018386D" w:rsidRDefault="2D3D35E5" w:rsidP="00DD3106">
      <w:pPr>
        <w:pStyle w:val="BodyText"/>
      </w:pPr>
      <w:bookmarkStart w:id="875" w:name="_Hlk535486838"/>
      <w:r w:rsidRPr="0018386D">
        <w:t xml:space="preserve">GHG emissions from vegetation and soils due to human activities are reported in the land use, land-use </w:t>
      </w:r>
      <w:proofErr w:type="gramStart"/>
      <w:r w:rsidRPr="0018386D">
        <w:t>change</w:t>
      </w:r>
      <w:proofErr w:type="gramEnd"/>
      <w:r w:rsidRPr="0018386D">
        <w:t xml:space="preserve"> and forestry (LULUCF) sector. This guide provides emission factors related to forest growth, forest harvest and deforestation only. The term LULUCF is used for consistency with </w:t>
      </w:r>
      <w:hyperlink r:id="rId130" w:history="1">
        <w:r w:rsidRPr="0018386D">
          <w:rPr>
            <w:rStyle w:val="Hyperlink"/>
            <w:rFonts w:eastAsia="Calibri" w:cs="Calibri"/>
            <w:i/>
            <w:iCs/>
          </w:rPr>
          <w:t>New Zealand’s Greenhouse Gas Inventory 1990–2021</w:t>
        </w:r>
      </w:hyperlink>
      <w:r w:rsidRPr="0018386D">
        <w:t>.</w:t>
      </w:r>
    </w:p>
    <w:p w14:paraId="37DF7DF1" w14:textId="0752FADC" w:rsidR="00A03680" w:rsidRPr="0018386D" w:rsidRDefault="00E9625E" w:rsidP="00DD3106">
      <w:pPr>
        <w:pStyle w:val="BodyText"/>
      </w:pPr>
      <w:bookmarkStart w:id="876" w:name="_Hlk534709198"/>
      <w:bookmarkStart w:id="877" w:name="_Hlk535486883"/>
      <w:bookmarkEnd w:id="875"/>
      <w:r w:rsidRPr="0018386D">
        <w:t xml:space="preserve">The LULUCF sector is responsible for both emitting GHG </w:t>
      </w:r>
      <w:r w:rsidR="005E4465" w:rsidRPr="0018386D">
        <w:t xml:space="preserve">(primarily carbon dioxide) </w:t>
      </w:r>
      <w:r w:rsidRPr="0018386D">
        <w:t>to the atmosphere (</w:t>
      </w:r>
      <w:proofErr w:type="gramStart"/>
      <w:r w:rsidRPr="0018386D">
        <w:t>emissions</w:t>
      </w:r>
      <w:r w:rsidR="00D851C8" w:rsidRPr="0018386D">
        <w:t>;</w:t>
      </w:r>
      <w:proofErr w:type="gramEnd"/>
      <w:r w:rsidR="003F57EF" w:rsidRPr="0018386D">
        <w:t xml:space="preserve"> ie, through </w:t>
      </w:r>
      <w:r w:rsidR="00221FAD" w:rsidRPr="0018386D">
        <w:t xml:space="preserve">harvesting and </w:t>
      </w:r>
      <w:r w:rsidR="003F57EF" w:rsidRPr="0018386D">
        <w:t>deforestation</w:t>
      </w:r>
      <w:r w:rsidRPr="0018386D">
        <w:t>) and removing GHG from the atmosphere (removals</w:t>
      </w:r>
      <w:r w:rsidR="00D851C8" w:rsidRPr="0018386D">
        <w:t>;</w:t>
      </w:r>
      <w:r w:rsidR="003F57EF" w:rsidRPr="0018386D">
        <w:t xml:space="preserve"> ie,</w:t>
      </w:r>
      <w:r w:rsidR="0073689E" w:rsidRPr="0018386D">
        <w:t> </w:t>
      </w:r>
      <w:r w:rsidR="003F57EF" w:rsidRPr="0018386D">
        <w:t xml:space="preserve">through </w:t>
      </w:r>
      <w:r w:rsidR="00221FAD" w:rsidRPr="0018386D">
        <w:t>vegetation</w:t>
      </w:r>
      <w:r w:rsidR="007171BF" w:rsidRPr="0018386D">
        <w:t xml:space="preserve"> </w:t>
      </w:r>
      <w:r w:rsidR="00221FAD" w:rsidRPr="0018386D">
        <w:t>growth</w:t>
      </w:r>
      <w:r w:rsidR="00CB489B" w:rsidRPr="0018386D">
        <w:t>)</w:t>
      </w:r>
      <w:r w:rsidR="2D3D35E5" w:rsidRPr="0018386D">
        <w:t>.</w:t>
      </w:r>
      <w:r w:rsidRPr="0018386D">
        <w:t xml:space="preserve"> </w:t>
      </w:r>
      <w:r w:rsidR="00221FAD" w:rsidRPr="0018386D">
        <w:t xml:space="preserve">Most </w:t>
      </w:r>
      <w:r w:rsidR="003F57EF" w:rsidRPr="0018386D">
        <w:t xml:space="preserve">emissions </w:t>
      </w:r>
      <w:r w:rsidR="00221FAD" w:rsidRPr="0018386D">
        <w:t xml:space="preserve">reported in this sector </w:t>
      </w:r>
      <w:r w:rsidR="003F57EF" w:rsidRPr="0018386D">
        <w:t xml:space="preserve">are due </w:t>
      </w:r>
      <w:r w:rsidR="00A03680" w:rsidRPr="0018386D">
        <w:t>to forestry activities such as</w:t>
      </w:r>
      <w:r w:rsidR="003F57EF" w:rsidRPr="0018386D">
        <w:t xml:space="preserve"> harvest </w:t>
      </w:r>
      <w:r w:rsidR="00221FAD" w:rsidRPr="0018386D">
        <w:t>operations in</w:t>
      </w:r>
      <w:r w:rsidR="003F57EF" w:rsidRPr="0018386D">
        <w:t xml:space="preserve"> production forests</w:t>
      </w:r>
      <w:r w:rsidR="00745106" w:rsidRPr="0018386D">
        <w:t>,</w:t>
      </w:r>
      <w:r w:rsidR="00482025" w:rsidRPr="0018386D">
        <w:t xml:space="preserve"> and m</w:t>
      </w:r>
      <w:r w:rsidR="00221FAD" w:rsidRPr="0018386D">
        <w:t>ost r</w:t>
      </w:r>
      <w:r w:rsidR="003F57EF" w:rsidRPr="0018386D">
        <w:t xml:space="preserve">emovals are due to </w:t>
      </w:r>
      <w:r w:rsidR="00A03680" w:rsidRPr="0018386D">
        <w:t>forest</w:t>
      </w:r>
      <w:r w:rsidR="00221FAD" w:rsidRPr="0018386D">
        <w:t xml:space="preserve"> </w:t>
      </w:r>
      <w:r w:rsidR="003F57EF" w:rsidRPr="0018386D">
        <w:t xml:space="preserve">growth. </w:t>
      </w:r>
    </w:p>
    <w:p w14:paraId="147B9BCB" w14:textId="5BEA9817" w:rsidR="00E9625E" w:rsidRPr="0018386D" w:rsidRDefault="00A03680" w:rsidP="00DD3106">
      <w:pPr>
        <w:pStyle w:val="BodyText"/>
        <w:rPr>
          <w:rFonts w:eastAsia="Calibri" w:cs="Calibri"/>
          <w:color w:val="000000" w:themeColor="text1"/>
        </w:rPr>
      </w:pPr>
      <w:r w:rsidRPr="0018386D">
        <w:rPr>
          <w:rFonts w:eastAsia="Calibri" w:cs="Calibri"/>
          <w:color w:val="000000" w:themeColor="text1"/>
        </w:rPr>
        <w:t xml:space="preserve">The basis for the methods given here is that the flux of carbon dioxide to and from the atmosphere is due to the changes in carbon stocks in vegetation and soils. </w:t>
      </w:r>
      <w:r w:rsidR="00E9625E" w:rsidRPr="0018386D">
        <w:rPr>
          <w:rFonts w:eastAsia="Calibri" w:cs="Calibri"/>
          <w:color w:val="000000" w:themeColor="text1"/>
        </w:rPr>
        <w:t xml:space="preserve">When emissions exceed removals, LULUCF is a </w:t>
      </w:r>
      <w:r w:rsidR="00482025" w:rsidRPr="0018386D">
        <w:rPr>
          <w:rFonts w:eastAsia="Calibri" w:cs="Calibri"/>
          <w:color w:val="000000" w:themeColor="text1"/>
        </w:rPr>
        <w:t>‘</w:t>
      </w:r>
      <w:r w:rsidR="00E9625E" w:rsidRPr="0018386D">
        <w:rPr>
          <w:rFonts w:eastAsia="Calibri" w:cs="Calibri"/>
          <w:color w:val="000000" w:themeColor="text1"/>
        </w:rPr>
        <w:t>net source</w:t>
      </w:r>
      <w:r w:rsidR="008C5047" w:rsidRPr="0018386D">
        <w:rPr>
          <w:rFonts w:eastAsia="Calibri" w:cs="Calibri"/>
          <w:color w:val="000000" w:themeColor="text1"/>
        </w:rPr>
        <w:t>’,</w:t>
      </w:r>
      <w:r w:rsidR="00E9625E" w:rsidRPr="0018386D">
        <w:rPr>
          <w:rFonts w:eastAsia="Calibri" w:cs="Calibri"/>
          <w:color w:val="000000" w:themeColor="text1"/>
        </w:rPr>
        <w:t xml:space="preserve"> and emissions are positive. When removals exceed emissions, LULUCF is a </w:t>
      </w:r>
      <w:r w:rsidR="00482025" w:rsidRPr="0018386D">
        <w:rPr>
          <w:rFonts w:eastAsia="Calibri" w:cs="Calibri"/>
          <w:color w:val="000000" w:themeColor="text1"/>
        </w:rPr>
        <w:t>‘</w:t>
      </w:r>
      <w:r w:rsidR="00E9625E" w:rsidRPr="0018386D">
        <w:rPr>
          <w:rFonts w:eastAsia="Calibri" w:cs="Calibri"/>
          <w:color w:val="000000" w:themeColor="text1"/>
        </w:rPr>
        <w:t>net sink</w:t>
      </w:r>
      <w:r w:rsidR="008C5047" w:rsidRPr="0018386D">
        <w:rPr>
          <w:rFonts w:eastAsia="Calibri" w:cs="Calibri"/>
          <w:color w:val="000000" w:themeColor="text1"/>
        </w:rPr>
        <w:t>’,</w:t>
      </w:r>
      <w:r w:rsidR="00E9625E" w:rsidRPr="0018386D">
        <w:rPr>
          <w:rFonts w:eastAsia="Calibri" w:cs="Calibri"/>
          <w:color w:val="000000" w:themeColor="text1"/>
        </w:rPr>
        <w:t xml:space="preserve"> and emissions are negative. </w:t>
      </w:r>
    </w:p>
    <w:p w14:paraId="747BF127" w14:textId="61CE37DD" w:rsidR="00482025" w:rsidRPr="0018386D" w:rsidRDefault="00482025" w:rsidP="00DD3106">
      <w:pPr>
        <w:pStyle w:val="BodyText"/>
        <w:rPr>
          <w:rFonts w:eastAsia="Calibri" w:cs="Calibri"/>
          <w:i/>
          <w:iCs/>
          <w:color w:val="000000" w:themeColor="text1"/>
        </w:rPr>
      </w:pPr>
      <w:r w:rsidRPr="0018386D">
        <w:rPr>
          <w:rFonts w:eastAsia="Calibri" w:cs="Calibri"/>
          <w:color w:val="000000" w:themeColor="text1"/>
        </w:rPr>
        <w:t xml:space="preserve">The guide provides methods to estimate the carbon stock change (or flux) </w:t>
      </w:r>
      <w:r w:rsidR="00A03680" w:rsidRPr="0018386D">
        <w:rPr>
          <w:rFonts w:eastAsia="Calibri" w:cs="Calibri"/>
          <w:color w:val="000000" w:themeColor="text1"/>
        </w:rPr>
        <w:t xml:space="preserve">that occurs from forestry activities </w:t>
      </w:r>
      <w:r w:rsidRPr="0018386D">
        <w:rPr>
          <w:rFonts w:eastAsia="Calibri" w:cs="Calibri"/>
          <w:color w:val="000000" w:themeColor="text1"/>
        </w:rPr>
        <w:t xml:space="preserve">during the applicable measurement period. </w:t>
      </w:r>
      <w:r w:rsidR="00C63102" w:rsidRPr="0018386D">
        <w:t>We do not include m</w:t>
      </w:r>
      <w:r w:rsidR="2D3D35E5" w:rsidRPr="0018386D">
        <w:rPr>
          <w:rFonts w:eastAsia="Calibri" w:cs="Calibri"/>
          <w:color w:val="000000" w:themeColor="text1"/>
        </w:rPr>
        <w:t>ethods</w:t>
      </w:r>
      <w:r w:rsidR="00943402" w:rsidRPr="0018386D">
        <w:rPr>
          <w:rFonts w:eastAsia="Calibri" w:cs="Calibri"/>
          <w:color w:val="000000" w:themeColor="text1"/>
        </w:rPr>
        <w:t xml:space="preserve"> </w:t>
      </w:r>
      <w:r w:rsidRPr="0018386D">
        <w:rPr>
          <w:rFonts w:eastAsia="Calibri" w:cs="Calibri"/>
          <w:color w:val="000000" w:themeColor="text1"/>
        </w:rPr>
        <w:t>to</w:t>
      </w:r>
      <w:r w:rsidRPr="0018386D">
        <w:rPr>
          <w:rFonts w:eastAsia="Calibri" w:cs="Calibri"/>
        </w:rPr>
        <w:t xml:space="preserve"> estimate carbon stock changes in non-forest vegetation, soils, harvested wood products</w:t>
      </w:r>
      <w:r w:rsidR="0048121F" w:rsidRPr="0018386D">
        <w:rPr>
          <w:rFonts w:eastAsia="Calibri" w:cs="Calibri"/>
        </w:rPr>
        <w:t>,</w:t>
      </w:r>
      <w:r w:rsidR="0009173C" w:rsidRPr="0018386D">
        <w:rPr>
          <w:rFonts w:eastAsia="Calibri" w:cs="Calibri"/>
        </w:rPr>
        <w:t> </w:t>
      </w:r>
      <w:r w:rsidRPr="0018386D">
        <w:rPr>
          <w:rFonts w:eastAsia="Calibri" w:cs="Calibri"/>
        </w:rPr>
        <w:t xml:space="preserve">or for the associated nitrous oxide and methane emissions. </w:t>
      </w:r>
      <w:r w:rsidR="2D3D35E5" w:rsidRPr="0018386D">
        <w:rPr>
          <w:rFonts w:eastAsia="Calibri" w:cs="Calibri"/>
        </w:rPr>
        <w:t xml:space="preserve">For </w:t>
      </w:r>
      <w:r w:rsidR="2D3D35E5" w:rsidRPr="0018386D">
        <w:rPr>
          <w:rFonts w:eastAsia="Calibri" w:cs="Calibri"/>
          <w:color w:val="000000" w:themeColor="text1"/>
        </w:rPr>
        <w:t>more detail, see</w:t>
      </w:r>
      <w:r w:rsidR="2D3D35E5" w:rsidRPr="0018386D">
        <w:rPr>
          <w:rFonts w:eastAsia="Calibri" w:cs="Calibri"/>
          <w:color w:val="0078D4"/>
        </w:rPr>
        <w:t xml:space="preserve"> </w:t>
      </w:r>
      <w:hyperlink r:id="rId131" w:history="1">
        <w:r w:rsidR="2D3D35E5" w:rsidRPr="0018386D">
          <w:rPr>
            <w:rStyle w:val="Hyperlink"/>
            <w:rFonts w:eastAsia="Calibri" w:cs="Calibri"/>
            <w:i/>
            <w:iCs/>
          </w:rPr>
          <w:t xml:space="preserve">New </w:t>
        </w:r>
        <w:r w:rsidR="002713B6" w:rsidRPr="0018386D">
          <w:rPr>
            <w:rStyle w:val="Hyperlink"/>
            <w:rFonts w:eastAsia="Calibri" w:cs="Calibri"/>
            <w:i/>
            <w:iCs/>
          </w:rPr>
          <w:t>Zealand</w:t>
        </w:r>
        <w:r w:rsidR="00C63102" w:rsidRPr="0018386D">
          <w:rPr>
            <w:rStyle w:val="Hyperlink"/>
            <w:rFonts w:eastAsia="Calibri" w:cs="Calibri"/>
            <w:i/>
            <w:iCs/>
          </w:rPr>
          <w:t>’</w:t>
        </w:r>
        <w:r w:rsidR="2D3D35E5" w:rsidRPr="0018386D">
          <w:rPr>
            <w:rStyle w:val="Hyperlink"/>
            <w:rFonts w:eastAsia="Calibri" w:cs="Calibri"/>
            <w:i/>
            <w:iCs/>
          </w:rPr>
          <w:t xml:space="preserve">s Greenhouse Gas Inventory </w:t>
        </w:r>
        <w:r w:rsidR="009A34CC" w:rsidRPr="0018386D">
          <w:rPr>
            <w:rStyle w:val="Hyperlink"/>
            <w:rFonts w:eastAsia="Calibri" w:cs="Calibri"/>
            <w:i/>
            <w:iCs/>
          </w:rPr>
          <w:t>1990</w:t>
        </w:r>
        <w:r w:rsidR="003479C1" w:rsidRPr="0018386D">
          <w:rPr>
            <w:rStyle w:val="Hyperlink"/>
            <w:rFonts w:eastAsia="Calibri" w:cs="Calibri"/>
            <w:i/>
            <w:iCs/>
          </w:rPr>
          <w:t>–</w:t>
        </w:r>
        <w:r w:rsidR="2D3D35E5" w:rsidRPr="0018386D">
          <w:rPr>
            <w:rStyle w:val="Hyperlink"/>
            <w:rFonts w:eastAsia="Calibri" w:cs="Calibri"/>
            <w:i/>
            <w:iCs/>
          </w:rPr>
          <w:t>2021</w:t>
        </w:r>
      </w:hyperlink>
      <w:r w:rsidR="2D3D35E5" w:rsidRPr="0018386D">
        <w:rPr>
          <w:rFonts w:eastAsia="Calibri" w:cs="Calibri"/>
          <w:color w:val="0078D4"/>
        </w:rPr>
        <w:t>.</w:t>
      </w:r>
    </w:p>
    <w:p w14:paraId="026F152D" w14:textId="43C0D96E" w:rsidR="13CA97B7" w:rsidRPr="0018386D" w:rsidRDefault="13CA97B7" w:rsidP="00DD3106">
      <w:pPr>
        <w:pStyle w:val="BodyText"/>
        <w:spacing w:after="240"/>
        <w:rPr>
          <w:rFonts w:eastAsia="Calibri" w:cs="Calibri"/>
          <w:color w:val="000000" w:themeColor="text1"/>
        </w:rPr>
      </w:pPr>
      <w:r w:rsidRPr="0018386D">
        <w:rPr>
          <w:rFonts w:eastAsia="Calibri" w:cs="Calibri"/>
          <w:color w:val="000000" w:themeColor="text1"/>
        </w:rPr>
        <w:t xml:space="preserve">In line with </w:t>
      </w:r>
      <w:hyperlink r:id="rId132" w:history="1">
        <w:r w:rsidRPr="0018386D">
          <w:rPr>
            <w:rStyle w:val="Hyperlink"/>
            <w:rFonts w:eastAsia="Calibri" w:cs="Calibri"/>
          </w:rPr>
          <w:t>ISO 14064-1:2018</w:t>
        </w:r>
      </w:hyperlink>
      <w:r w:rsidRPr="0018386D">
        <w:rPr>
          <w:rFonts w:eastAsia="Calibri" w:cs="Calibri"/>
          <w:color w:val="000000" w:themeColor="text1"/>
        </w:rPr>
        <w:t xml:space="preserve"> and the </w:t>
      </w:r>
      <w:hyperlink r:id="rId133" w:history="1">
        <w:r w:rsidRPr="0018386D">
          <w:rPr>
            <w:rStyle w:val="Hyperlink"/>
            <w:rFonts w:eastAsia="Calibri" w:cs="Calibri"/>
          </w:rPr>
          <w:t>GHG Protocol</w:t>
        </w:r>
      </w:hyperlink>
      <w:r w:rsidRPr="0018386D">
        <w:rPr>
          <w:rFonts w:eastAsia="Calibri" w:cs="Calibri"/>
          <w:color w:val="000000" w:themeColor="text1"/>
        </w:rPr>
        <w:t>, organisations should consider LULUCF emissions and removals if they have forest land within their measurement boundary, or own land that has been deforested during the measurement period.</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4E3A53" w:rsidRPr="0018386D" w14:paraId="1B9B7716" w14:textId="77777777" w:rsidTr="00FF31DC">
        <w:tc>
          <w:tcPr>
            <w:tcW w:w="0" w:type="auto"/>
            <w:shd w:val="clear" w:color="auto" w:fill="D2DDE1" w:themeFill="background2"/>
          </w:tcPr>
          <w:p w14:paraId="7E79A427" w14:textId="3A366D20" w:rsidR="004E3A53" w:rsidRPr="0018386D" w:rsidRDefault="004E3A53" w:rsidP="00DD3106">
            <w:pPr>
              <w:pStyle w:val="Boxtext"/>
              <w:spacing w:before="240" w:after="240"/>
            </w:pPr>
            <w:r w:rsidRPr="0018386D">
              <w:t>Organisations with LULUCF emissions should calculate and report these separately from direct and indirect (Scope 1, 2 and 3) emissions.</w:t>
            </w:r>
          </w:p>
        </w:tc>
      </w:tr>
    </w:tbl>
    <w:bookmarkEnd w:id="876"/>
    <w:bookmarkEnd w:id="877"/>
    <w:p w14:paraId="02EF798C" w14:textId="572BB434" w:rsidR="00D644AE" w:rsidRPr="0018386D" w:rsidRDefault="00BF2495" w:rsidP="00DD3106">
      <w:pPr>
        <w:pStyle w:val="BodyText"/>
        <w:spacing w:before="240"/>
        <w:jc w:val="both"/>
      </w:pPr>
      <w:r w:rsidRPr="0018386D">
        <w:t xml:space="preserve">The </w:t>
      </w:r>
      <w:r w:rsidR="00D644AE" w:rsidRPr="0018386D">
        <w:t xml:space="preserve">emission factors in </w:t>
      </w:r>
      <w:r w:rsidRPr="0018386D" w:rsidDel="005E1876">
        <w:t xml:space="preserve">this </w:t>
      </w:r>
      <w:r w:rsidR="00D644AE" w:rsidRPr="0018386D">
        <w:t>guide are New Zealand</w:t>
      </w:r>
      <w:r w:rsidR="00EC335A" w:rsidRPr="0018386D">
        <w:t>-</w:t>
      </w:r>
      <w:r w:rsidR="00D644AE" w:rsidRPr="0018386D">
        <w:t xml:space="preserve">specific, derived from national averages. </w:t>
      </w:r>
    </w:p>
    <w:p w14:paraId="324EE4F9" w14:textId="5BEC9335" w:rsidR="00BF2495" w:rsidRPr="0018386D" w:rsidRDefault="006B6910" w:rsidP="00DD3106">
      <w:pPr>
        <w:pStyle w:val="BodyText"/>
        <w:jc w:val="both"/>
      </w:pPr>
      <w:r w:rsidRPr="0018386D">
        <w:t>Although</w:t>
      </w:r>
      <w:r w:rsidR="00BF2495" w:rsidRPr="0018386D">
        <w:t xml:space="preserve"> the </w:t>
      </w:r>
      <w:r w:rsidR="0048121F" w:rsidRPr="0018386D">
        <w:t>main aim</w:t>
      </w:r>
      <w:r w:rsidR="00BF2495" w:rsidRPr="0018386D">
        <w:t xml:space="preserve"> of this </w:t>
      </w:r>
      <w:r w:rsidR="004D0FA8" w:rsidRPr="0018386D">
        <w:t xml:space="preserve">section of the </w:t>
      </w:r>
      <w:r w:rsidR="00BF2495" w:rsidRPr="0018386D">
        <w:t xml:space="preserve">guide is to </w:t>
      </w:r>
      <w:r w:rsidR="00D96C43" w:rsidRPr="0018386D">
        <w:t xml:space="preserve">estimate </w:t>
      </w:r>
      <w:r w:rsidR="00BF2495" w:rsidRPr="0018386D">
        <w:t>stock change</w:t>
      </w:r>
      <w:r w:rsidR="00D96C43" w:rsidRPr="0018386D">
        <w:t>s</w:t>
      </w:r>
      <w:r w:rsidR="00440A92" w:rsidRPr="0018386D">
        <w:t xml:space="preserve"> from forestry activities</w:t>
      </w:r>
      <w:r w:rsidR="00BF2495" w:rsidRPr="0018386D">
        <w:t>, it can also be used to estimate</w:t>
      </w:r>
      <w:r w:rsidR="00B7258E" w:rsidRPr="0018386D">
        <w:t xml:space="preserve"> the</w:t>
      </w:r>
      <w:r w:rsidR="00BF2495" w:rsidRPr="0018386D">
        <w:t xml:space="preserve"> </w:t>
      </w:r>
      <w:r w:rsidR="003E623D" w:rsidRPr="0018386D" w:rsidDel="00936634">
        <w:t xml:space="preserve">total carbon </w:t>
      </w:r>
      <w:r w:rsidR="003E623D" w:rsidRPr="0018386D">
        <w:t xml:space="preserve">stored for a given </w:t>
      </w:r>
      <w:r w:rsidR="00440A92" w:rsidRPr="0018386D">
        <w:t xml:space="preserve">forest type </w:t>
      </w:r>
      <w:bookmarkStart w:id="878" w:name="_Int_HpMIE0Bn"/>
      <w:proofErr w:type="gramStart"/>
      <w:r w:rsidR="00440A92" w:rsidRPr="0018386D">
        <w:t>in a given</w:t>
      </w:r>
      <w:bookmarkEnd w:id="878"/>
      <w:proofErr w:type="gramEnd"/>
      <w:r w:rsidR="00440A92" w:rsidRPr="0018386D">
        <w:t xml:space="preserve"> </w:t>
      </w:r>
      <w:r w:rsidR="003E623D" w:rsidRPr="0018386D">
        <w:t>area</w:t>
      </w:r>
      <w:r w:rsidR="0048121F" w:rsidRPr="0018386D">
        <w:t xml:space="preserve">. This can help organisations understand </w:t>
      </w:r>
      <w:r w:rsidR="003E623D" w:rsidRPr="0018386D">
        <w:t xml:space="preserve">the potential </w:t>
      </w:r>
      <w:r w:rsidR="00440A92" w:rsidRPr="0018386D">
        <w:t xml:space="preserve">impact of </w:t>
      </w:r>
      <w:r w:rsidR="0048121F" w:rsidRPr="0018386D">
        <w:t>some</w:t>
      </w:r>
      <w:r w:rsidR="00440A92" w:rsidRPr="0018386D">
        <w:t xml:space="preserve"> forestry activities on emissions, and how to manage land use for carbon.</w:t>
      </w:r>
    </w:p>
    <w:p w14:paraId="53F4AD67" w14:textId="1067DE4B" w:rsidR="00BF2495" w:rsidRPr="0018386D" w:rsidRDefault="0036564F" w:rsidP="00DD3106">
      <w:pPr>
        <w:pStyle w:val="Heading3"/>
        <w:numPr>
          <w:ilvl w:val="2"/>
          <w:numId w:val="8"/>
        </w:numPr>
        <w:spacing w:before="240"/>
        <w:ind w:left="1134" w:hanging="1134"/>
      </w:pPr>
      <w:bookmarkStart w:id="879" w:name="lulucf"/>
      <w:bookmarkStart w:id="880" w:name="_Ref532483459"/>
      <w:bookmarkEnd w:id="879"/>
      <w:r w:rsidRPr="0018386D">
        <w:t xml:space="preserve">LULUCF </w:t>
      </w:r>
      <w:r w:rsidR="00322289" w:rsidRPr="0018386D">
        <w:t>emission factors</w:t>
      </w:r>
    </w:p>
    <w:p w14:paraId="4D26AC43" w14:textId="7674540E" w:rsidR="0061783B" w:rsidRPr="0018386D" w:rsidRDefault="0061783B" w:rsidP="00DD3106">
      <w:pPr>
        <w:pStyle w:val="Heading4"/>
        <w:numPr>
          <w:ilvl w:val="3"/>
          <w:numId w:val="8"/>
        </w:numPr>
        <w:spacing w:before="240"/>
        <w:ind w:left="1134" w:hanging="1134"/>
      </w:pPr>
      <w:r w:rsidRPr="0018386D">
        <w:t xml:space="preserve">Planted </w:t>
      </w:r>
      <w:proofErr w:type="gramStart"/>
      <w:r w:rsidRPr="0018386D">
        <w:t>forests</w:t>
      </w:r>
      <w:proofErr w:type="gramEnd"/>
      <w:r w:rsidRPr="0018386D">
        <w:rPr>
          <w:rFonts w:ascii="Times New Roman" w:hAnsi="Times New Roman" w:cs="Times New Roman"/>
        </w:rPr>
        <w:t> </w:t>
      </w:r>
    </w:p>
    <w:p w14:paraId="5FAB5430" w14:textId="0FEAB005" w:rsidR="0061783B" w:rsidRPr="0018386D" w:rsidRDefault="0061783B" w:rsidP="00DD3106">
      <w:pPr>
        <w:pStyle w:val="BodyText"/>
      </w:pPr>
      <w:r w:rsidRPr="0018386D">
        <w:t>Two approaches are provided to calculate emissions and removals from planted forests. Only one approach can be used</w:t>
      </w:r>
      <w:r w:rsidR="008B2A4E" w:rsidRPr="0018386D">
        <w:t>, a mixture of approaches is not permitted.</w:t>
      </w:r>
    </w:p>
    <w:p w14:paraId="4AC9AB13" w14:textId="2DFEF744" w:rsidR="0061783B" w:rsidRPr="0018386D" w:rsidRDefault="0061783B" w:rsidP="00DD3106">
      <w:pPr>
        <w:pStyle w:val="Heading5"/>
      </w:pPr>
      <w:r w:rsidRPr="0018386D">
        <w:t xml:space="preserve">Approach </w:t>
      </w:r>
      <w:r w:rsidR="00B215C7" w:rsidRPr="0018386D">
        <w:t>o</w:t>
      </w:r>
      <w:r w:rsidRPr="0018386D">
        <w:t>ne – Carbon stock change accounting</w:t>
      </w:r>
    </w:p>
    <w:p w14:paraId="50372874" w14:textId="6723511A" w:rsidR="006A1A10" w:rsidRPr="0018386D" w:rsidRDefault="006A1A10" w:rsidP="00DD3106">
      <w:pPr>
        <w:pStyle w:val="BodyText"/>
      </w:pPr>
      <w:r w:rsidRPr="0018386D">
        <w:t>This approach estimates the net emissions and removals from forest growth and harvesting each year. The emission factors are based on the Land Use and Carbon Analysis System (LUCAS) national forest inventory. </w:t>
      </w:r>
    </w:p>
    <w:p w14:paraId="6F17B9B6" w14:textId="4A1E4434" w:rsidR="006A1A10" w:rsidRPr="0018386D" w:rsidRDefault="006A1A10" w:rsidP="00DD3106">
      <w:pPr>
        <w:pStyle w:val="BodyText"/>
      </w:pPr>
      <w:r w:rsidRPr="0018386D">
        <w:t>Annual removals from forest growth (</w:t>
      </w:r>
      <w:hyperlink w:anchor="Table82" w:history="1">
        <w:r w:rsidR="00520EEE" w:rsidRPr="0018386D">
          <w:rPr>
            <w:rStyle w:val="Hyperlink"/>
            <w:rFonts w:eastAsia="Calibri" w:cs="Calibri"/>
          </w:rPr>
          <w:t>t</w:t>
        </w:r>
        <w:r w:rsidRPr="0018386D">
          <w:rPr>
            <w:rStyle w:val="Hyperlink"/>
            <w:rFonts w:eastAsia="Calibri" w:cs="Calibri"/>
          </w:rPr>
          <w:t>able 82</w:t>
        </w:r>
      </w:hyperlink>
      <w:r w:rsidRPr="0018386D">
        <w:t>) are estimated as an average annual increment over the average duration of their harvesting cycle. Emission factors are provided for three species groups (</w:t>
      </w:r>
      <w:r w:rsidRPr="0018386D">
        <w:rPr>
          <w:i/>
          <w:iCs/>
        </w:rPr>
        <w:t>Pinus radiata</w:t>
      </w:r>
      <w:r w:rsidRPr="0018386D">
        <w:t xml:space="preserve">, other softwoods, and all hardwoods) and an ‘all planted forest category’ (this represents an average emission factor for New Zealand’s entire planted forest </w:t>
      </w:r>
      <w:r w:rsidRPr="0018386D">
        <w:rPr>
          <w:spacing w:val="-2"/>
        </w:rPr>
        <w:t>estate, regardless of species). The ‘all planted forest’ category may only be used when a species</w:t>
      </w:r>
      <w:r w:rsidRPr="0018386D">
        <w:t xml:space="preserve"> breakdown is not available. The emission factors for forest harvesting and deforestation are provided as the entire loss of carbon on the clearing of planted forest at the average harvest (</w:t>
      </w:r>
      <w:hyperlink w:anchor="Table83" w:history="1">
        <w:r w:rsidR="00520EEE" w:rsidRPr="0018386D">
          <w:rPr>
            <w:rStyle w:val="Hyperlink"/>
            <w:rFonts w:eastAsia="Calibri" w:cs="Calibri"/>
          </w:rPr>
          <w:t>t</w:t>
        </w:r>
        <w:r w:rsidRPr="0018386D">
          <w:rPr>
            <w:rStyle w:val="Hyperlink"/>
            <w:rFonts w:eastAsia="Calibri" w:cs="Calibri"/>
          </w:rPr>
          <w:t>able 83</w:t>
        </w:r>
      </w:hyperlink>
      <w:r w:rsidRPr="0018386D">
        <w:t>).</w:t>
      </w:r>
    </w:p>
    <w:p w14:paraId="2F68F881" w14:textId="062B6C71" w:rsidR="0061783B" w:rsidRPr="0018386D" w:rsidRDefault="006A1A10" w:rsidP="00DD3106">
      <w:pPr>
        <w:pStyle w:val="BodyText"/>
      </w:pPr>
      <w:r w:rsidRPr="0018386D">
        <w:t>Note, if species-specific emission factors for forest growth are used, the corresponding species-specific values must be used to account for land-use change emissions. Likewise, if the ‘all planted forest’ emission factor is used for forest growth, then it must also be used to account for land-use change emissions</w:t>
      </w:r>
      <w:r w:rsidR="00B04D69" w:rsidRPr="0018386D">
        <w:t>.</w:t>
      </w:r>
    </w:p>
    <w:p w14:paraId="16FFF6A3" w14:textId="50754221" w:rsidR="0061783B" w:rsidRPr="0018386D" w:rsidRDefault="0061783B" w:rsidP="00DD3106">
      <w:pPr>
        <w:pStyle w:val="Heading5"/>
      </w:pPr>
      <w:r w:rsidRPr="0018386D">
        <w:t xml:space="preserve">Approach </w:t>
      </w:r>
      <w:r w:rsidR="00B215C7" w:rsidRPr="0018386D">
        <w:t>t</w:t>
      </w:r>
      <w:r w:rsidRPr="0018386D">
        <w:t>wo – Averaging accounting </w:t>
      </w:r>
    </w:p>
    <w:p w14:paraId="74A593F8" w14:textId="31F1DB92" w:rsidR="0061783B" w:rsidRPr="0018386D" w:rsidRDefault="0061783B" w:rsidP="00DD3106">
      <w:pPr>
        <w:pStyle w:val="BodyText"/>
      </w:pPr>
      <w:r w:rsidRPr="0018386D">
        <w:t>The averaging approach estimates carbon dioxide removals from the planting of new forests (afforestation) up to the age when they reach their average long-term carbon</w:t>
      </w:r>
      <w:r w:rsidR="003B1276" w:rsidRPr="0018386D">
        <w:t xml:space="preserve"> stock</w:t>
      </w:r>
      <w:r w:rsidRPr="0018386D">
        <w:t>. The long-term average carbon stock represents the average carbon that is estimated to be stored over successive rotations. </w:t>
      </w:r>
    </w:p>
    <w:p w14:paraId="6B7A2BF1" w14:textId="0E0AA9B9" w:rsidR="0061783B" w:rsidRPr="0018386D" w:rsidRDefault="0061783B" w:rsidP="00DD3106">
      <w:pPr>
        <w:pStyle w:val="BodyText"/>
      </w:pPr>
      <w:r w:rsidRPr="0018386D">
        <w:t>Once carbon dioxide removals have been measured up to the long-term average carbon stock, there are assumed to be no further emissions or removals (</w:t>
      </w:r>
      <w:r w:rsidR="00A01AA0" w:rsidRPr="0018386D">
        <w:t>ie</w:t>
      </w:r>
      <w:r w:rsidRPr="0018386D">
        <w:t>, no additional removals from growth nor emissions from harvest). </w:t>
      </w:r>
      <w:r w:rsidR="00B215C7" w:rsidRPr="0018386D">
        <w:t xml:space="preserve"> </w:t>
      </w:r>
      <w:r w:rsidRPr="0018386D">
        <w:t xml:space="preserve">The averaging approach requires information on forest plant date, so the age can be determined, and for the forest to be </w:t>
      </w:r>
      <w:r w:rsidR="00A637D4" w:rsidRPr="0018386D">
        <w:t>in its</w:t>
      </w:r>
      <w:r w:rsidRPr="0018386D">
        <w:t xml:space="preserve"> first rotation. </w:t>
      </w:r>
    </w:p>
    <w:p w14:paraId="2A45B435" w14:textId="1DD43E9F" w:rsidR="0034BE84" w:rsidRPr="0018386D" w:rsidRDefault="0034BE84" w:rsidP="00DD3106">
      <w:pPr>
        <w:pStyle w:val="BodyText"/>
      </w:pPr>
      <w:r w:rsidRPr="0018386D">
        <w:t>The age that the long-term average carbon stock is reached varies depending on species (</w:t>
      </w:r>
      <w:r w:rsidRPr="0018386D">
        <w:rPr>
          <w:i/>
          <w:iCs/>
        </w:rPr>
        <w:t>Pinus radiata</w:t>
      </w:r>
      <w:r w:rsidRPr="0018386D">
        <w:t xml:space="preserve"> = 22 years, other softwoods = 28 years, and all hardwoods = 13 years, or for all planted forest = 22 years). Any forest that is over the age of the long-term average carbon stock is considered to have an emission factor of zero. The ‘all planted forest’ category may only be used when a species breakdown is not available (this represents an average emission factor for New Zealand’s planted forest estate, regardless of species).</w:t>
      </w:r>
      <w:r w:rsidR="004C3308" w:rsidRPr="0018386D">
        <w:t xml:space="preserve"> </w:t>
      </w:r>
    </w:p>
    <w:p w14:paraId="0BEAED0D" w14:textId="7F5AB99F" w:rsidR="0061783B" w:rsidRPr="0018386D" w:rsidRDefault="0061783B" w:rsidP="00DD3106">
      <w:pPr>
        <w:pStyle w:val="BodyText"/>
      </w:pPr>
      <w:r w:rsidRPr="0018386D">
        <w:t>This approach aligns with the approach that New Zealand will take to account for emissions and removals in first rotation post-1989 planted forest under the Paris Agreement. The averaging approach can be appropriate for participants who can identify the plant date of their forests (and if it is</w:t>
      </w:r>
      <w:r w:rsidR="00563C85" w:rsidRPr="0018386D">
        <w:t xml:space="preserve"> in </w:t>
      </w:r>
      <w:r w:rsidR="00F97FFE" w:rsidRPr="0018386D">
        <w:t>its</w:t>
      </w:r>
      <w:r w:rsidRPr="0018386D">
        <w:t xml:space="preserve"> first rotation), or do not have data available on harvesting activity. </w:t>
      </w:r>
    </w:p>
    <w:p w14:paraId="3051B7BA" w14:textId="016F21D3" w:rsidR="25A9A93C" w:rsidRPr="0018386D" w:rsidRDefault="25A9A93C" w:rsidP="00DD3106">
      <w:pPr>
        <w:pStyle w:val="BodyText"/>
        <w:spacing w:after="240"/>
      </w:pPr>
      <w:r w:rsidRPr="0018386D">
        <w:t>Deforestation emissions are still accounted in full, as in approach one (</w:t>
      </w:r>
      <w:hyperlink w:anchor="Table83" w:history="1">
        <w:r w:rsidR="00C0070C" w:rsidRPr="0018386D">
          <w:rPr>
            <w:rStyle w:val="Hyperlink"/>
            <w:rFonts w:eastAsia="Calibri" w:cs="Calibri"/>
          </w:rPr>
          <w:t>t</w:t>
        </w:r>
        <w:r w:rsidR="007368A0" w:rsidRPr="0018386D">
          <w:rPr>
            <w:rStyle w:val="Hyperlink"/>
            <w:rFonts w:eastAsia="Calibri" w:cs="Calibri"/>
          </w:rPr>
          <w:t>able 83</w:t>
        </w:r>
      </w:hyperlink>
      <w:r w:rsidRPr="0018386D">
        <w:t>). If species-specific emission factors for forest growth are used, the corresponding species-specific values must be used to account for land-use change emissions. Likewise, if the ‘all planted forest’ emission factor is used for forest growth, then it must also be used to account for land-use change emissions.</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FC539C" w:rsidRPr="0018386D" w:rsidDel="00D5390D" w14:paraId="06910EE7" w14:textId="77777777" w:rsidTr="005F46F1">
        <w:tc>
          <w:tcPr>
            <w:tcW w:w="8500" w:type="dxa"/>
            <w:tcBorders>
              <w:top w:val="single" w:sz="4" w:space="0" w:color="0F7B7D"/>
              <w:left w:val="single" w:sz="4" w:space="0" w:color="0F7B7D"/>
              <w:bottom w:val="nil"/>
              <w:right w:val="single" w:sz="4" w:space="0" w:color="0F7B7D"/>
            </w:tcBorders>
            <w:shd w:val="clear" w:color="auto" w:fill="0F7B7D"/>
            <w:vAlign w:val="center"/>
          </w:tcPr>
          <w:p w14:paraId="03CDBB24" w14:textId="2631F7E4" w:rsidR="00FC539C" w:rsidRPr="0018386D" w:rsidDel="00D5390D" w:rsidRDefault="00FC539C" w:rsidP="00DD3106">
            <w:pPr>
              <w:pStyle w:val="Casestudyheading"/>
            </w:pPr>
            <w:r w:rsidRPr="0018386D">
              <w:t>HARVESTING AND DEFORESTATION</w:t>
            </w:r>
          </w:p>
        </w:tc>
      </w:tr>
      <w:tr w:rsidR="00FC539C" w:rsidRPr="0018386D" w14:paraId="62A26E38" w14:textId="77777777" w:rsidTr="005F46F1">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DA757EB" w14:textId="77777777" w:rsidR="00FC539C" w:rsidRPr="0018386D" w:rsidRDefault="00FC539C" w:rsidP="00DD3106">
            <w:pPr>
              <w:pStyle w:val="Boxtext"/>
              <w:keepNext/>
              <w:spacing w:before="180" w:after="0"/>
            </w:pPr>
            <w:r w:rsidRPr="0018386D">
              <w:t>Deforestation occurs when forest land is cleared for another land use. </w:t>
            </w:r>
          </w:p>
          <w:p w14:paraId="4AF98CFC" w14:textId="17E4CB4F" w:rsidR="00FC539C" w:rsidRPr="0018386D" w:rsidRDefault="00FC539C" w:rsidP="00DD3106">
            <w:pPr>
              <w:pStyle w:val="Boxtext"/>
              <w:spacing w:after="180"/>
            </w:pPr>
            <w:r w:rsidRPr="0018386D">
              <w:t>Harvesting refers to the harvest of planted production forests for timber, which are then replanted.</w:t>
            </w:r>
          </w:p>
        </w:tc>
      </w:tr>
    </w:tbl>
    <w:p w14:paraId="48D86E44" w14:textId="27C7476F" w:rsidR="00F824B9" w:rsidRPr="0018386D" w:rsidRDefault="008F46F9" w:rsidP="00DD3106">
      <w:pPr>
        <w:pStyle w:val="Heading4"/>
        <w:numPr>
          <w:ilvl w:val="3"/>
          <w:numId w:val="8"/>
        </w:numPr>
        <w:spacing w:before="480"/>
        <w:ind w:left="1134" w:hanging="1134"/>
      </w:pPr>
      <w:r w:rsidRPr="0018386D">
        <w:t>Natural forests</w:t>
      </w:r>
    </w:p>
    <w:p w14:paraId="3E3982E1" w14:textId="6075BAB7" w:rsidR="6437A697" w:rsidRPr="0018386D" w:rsidRDefault="6437A697" w:rsidP="00DD3106">
      <w:pPr>
        <w:pStyle w:val="BodyText"/>
      </w:pPr>
      <w:r w:rsidRPr="0018386D">
        <w:t xml:space="preserve">The emission factors for natural forest growth (shown in </w:t>
      </w:r>
      <w:hyperlink w:anchor="Table82" w:history="1">
        <w:r w:rsidR="00520EEE" w:rsidRPr="0018386D">
          <w:rPr>
            <w:rStyle w:val="Hyperlink"/>
            <w:rFonts w:eastAsia="Calibri" w:cs="Calibri"/>
          </w:rPr>
          <w:t>t</w:t>
        </w:r>
        <w:r w:rsidRPr="0018386D">
          <w:rPr>
            <w:rStyle w:val="Hyperlink"/>
            <w:rFonts w:eastAsia="Calibri" w:cs="Calibri"/>
          </w:rPr>
          <w:t xml:space="preserve">able </w:t>
        </w:r>
        <w:r w:rsidR="06BC71B9" w:rsidRPr="0018386D">
          <w:rPr>
            <w:rStyle w:val="Hyperlink"/>
            <w:rFonts w:eastAsia="Calibri" w:cs="Calibri"/>
          </w:rPr>
          <w:t>8</w:t>
        </w:r>
        <w:r w:rsidR="1EFD3C88" w:rsidRPr="0018386D">
          <w:rPr>
            <w:rStyle w:val="Hyperlink"/>
            <w:rFonts w:eastAsia="Calibri" w:cs="Calibri"/>
          </w:rPr>
          <w:t>2</w:t>
        </w:r>
      </w:hyperlink>
      <w:r w:rsidRPr="0018386D">
        <w:t>) are based on the LUCAS national forest inventory. We provide separate emission factors if the forest is pre-1990 or post-1989. Post-1989 regenerating natural forest is regenerating natural forest that was established from 1 January 1990 onwards. Pre-1990 natural forest is natural forest that was established before 1 January 1990. Within pre-1990 natural forest we provide separate emission factors if the forest is tall or regenerating ie, recovering from conversion from another land use, logging, or other anthropogenic disturbance.</w:t>
      </w:r>
    </w:p>
    <w:p w14:paraId="37EDC4C0" w14:textId="621DF198" w:rsidR="6437A697" w:rsidRPr="0018386D" w:rsidRDefault="6437A697" w:rsidP="00DD3106">
      <w:pPr>
        <w:pStyle w:val="BodyText"/>
        <w:rPr>
          <w:rFonts w:eastAsia="Calibri" w:cs="Calibri"/>
          <w:color w:val="000000" w:themeColor="text1"/>
        </w:rPr>
      </w:pPr>
      <w:r w:rsidRPr="0018386D">
        <w:rPr>
          <w:rFonts w:eastAsia="Calibri" w:cs="Calibri"/>
          <w:color w:val="000000" w:themeColor="text1"/>
        </w:rPr>
        <w:t xml:space="preserve">The emission factor for natural forest deforestation (shown in </w:t>
      </w:r>
      <w:hyperlink w:anchor="Table83" w:history="1">
        <w:r w:rsidR="00520EEE" w:rsidRPr="0018386D">
          <w:rPr>
            <w:rStyle w:val="Hyperlink"/>
            <w:rFonts w:eastAsia="Calibri" w:cs="Calibri"/>
          </w:rPr>
          <w:t>t</w:t>
        </w:r>
        <w:r w:rsidRPr="0018386D">
          <w:rPr>
            <w:rStyle w:val="Hyperlink"/>
            <w:rFonts w:eastAsia="Calibri" w:cs="Calibri"/>
          </w:rPr>
          <w:t xml:space="preserve">able </w:t>
        </w:r>
        <w:r w:rsidR="519D0253" w:rsidRPr="0018386D">
          <w:rPr>
            <w:rStyle w:val="Hyperlink"/>
            <w:rFonts w:eastAsia="Calibri" w:cs="Calibri"/>
          </w:rPr>
          <w:t>83</w:t>
        </w:r>
      </w:hyperlink>
      <w:r w:rsidRPr="0018386D">
        <w:rPr>
          <w:rFonts w:eastAsia="Calibri" w:cs="Calibri"/>
          <w:color w:val="000000" w:themeColor="text1"/>
        </w:rPr>
        <w:t xml:space="preserve">) is based on the average stock at the national level, calculated from the LUCAS national </w:t>
      </w:r>
      <w:r w:rsidRPr="0018386D">
        <w:rPr>
          <w:rFonts w:eastAsia="Calibri" w:cs="Calibri"/>
        </w:rPr>
        <w:t>forest inventory.</w:t>
      </w:r>
    </w:p>
    <w:p w14:paraId="11ADC755" w14:textId="31CA3B53" w:rsidR="00962036" w:rsidRPr="0018386D" w:rsidRDefault="00730FF9" w:rsidP="00DD3106">
      <w:pPr>
        <w:pStyle w:val="Tableheading"/>
      </w:pPr>
      <w:bookmarkStart w:id="881" w:name="Table82"/>
      <w:bookmarkStart w:id="882" w:name="_Toc111536694"/>
      <w:bookmarkStart w:id="883" w:name="_Toc140049022"/>
      <w:r w:rsidRPr="0018386D">
        <w:t xml:space="preserve">Table </w:t>
      </w:r>
      <w:r w:rsidRPr="0018386D">
        <w:fldChar w:fldCharType="begin"/>
      </w:r>
      <w:r w:rsidRPr="0018386D">
        <w:instrText>SEQ Table \* ARABIC</w:instrText>
      </w:r>
      <w:r w:rsidRPr="0018386D">
        <w:fldChar w:fldCharType="separate"/>
      </w:r>
      <w:r w:rsidR="001C0788" w:rsidRPr="0018386D">
        <w:t>82</w:t>
      </w:r>
      <w:r w:rsidRPr="0018386D">
        <w:fldChar w:fldCharType="end"/>
      </w:r>
      <w:bookmarkEnd w:id="881"/>
      <w:r w:rsidRPr="0018386D">
        <w:t>:</w:t>
      </w:r>
      <w:r w:rsidRPr="0018386D">
        <w:tab/>
      </w:r>
      <w:r w:rsidR="00962036" w:rsidRPr="0018386D">
        <w:t>LULUCF forest growth emission factors</w:t>
      </w:r>
      <w:bookmarkEnd w:id="882"/>
      <w:bookmarkEnd w:id="883"/>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4876"/>
        <w:gridCol w:w="655"/>
        <w:gridCol w:w="1190"/>
        <w:gridCol w:w="1784"/>
      </w:tblGrid>
      <w:tr w:rsidR="009C5E0A" w:rsidRPr="0018386D" w14:paraId="1969C57F" w14:textId="77777777" w:rsidTr="0097043E">
        <w:trPr>
          <w:divId w:val="876625174"/>
          <w:trHeight w:val="240"/>
        </w:trPr>
        <w:tc>
          <w:tcPr>
            <w:tcW w:w="4649" w:type="dxa"/>
            <w:tcBorders>
              <w:bottom w:val="single" w:sz="4" w:space="0" w:color="1B556B" w:themeColor="text2"/>
            </w:tcBorders>
            <w:shd w:val="clear" w:color="auto" w:fill="1B556B" w:themeFill="text2"/>
            <w:noWrap/>
            <w:vAlign w:val="bottom"/>
            <w:hideMark/>
          </w:tcPr>
          <w:p w14:paraId="1DDB39A9" w14:textId="77777777" w:rsidR="00A94C3E" w:rsidRPr="0018386D" w:rsidRDefault="00A94C3E" w:rsidP="00DD3106">
            <w:pPr>
              <w:pStyle w:val="TableTextbold"/>
              <w:spacing w:before="40" w:after="40"/>
              <w:rPr>
                <w:color w:val="FFFFFF" w:themeColor="background1"/>
                <w:szCs w:val="18"/>
              </w:rPr>
            </w:pPr>
            <w:bookmarkStart w:id="884" w:name="_1746366927"/>
            <w:bookmarkStart w:id="885" w:name="_1745997870"/>
            <w:bookmarkStart w:id="886" w:name="_1746254113"/>
            <w:bookmarkStart w:id="887" w:name="_1747051304"/>
            <w:bookmarkEnd w:id="884"/>
            <w:bookmarkEnd w:id="885"/>
            <w:bookmarkEnd w:id="886"/>
            <w:bookmarkEnd w:id="887"/>
            <w:r w:rsidRPr="0018386D">
              <w:rPr>
                <w:color w:val="FFFFFF" w:themeColor="background1"/>
                <w:szCs w:val="18"/>
              </w:rPr>
              <w:t>Forest growth removal source</w:t>
            </w:r>
          </w:p>
        </w:tc>
        <w:tc>
          <w:tcPr>
            <w:tcW w:w="624" w:type="dxa"/>
            <w:tcBorders>
              <w:bottom w:val="single" w:sz="4" w:space="0" w:color="1B556B" w:themeColor="text2"/>
            </w:tcBorders>
            <w:shd w:val="clear" w:color="auto" w:fill="1B556B" w:themeFill="text2"/>
            <w:noWrap/>
            <w:vAlign w:val="bottom"/>
            <w:hideMark/>
          </w:tcPr>
          <w:p w14:paraId="7E3FC004" w14:textId="77777777" w:rsidR="00A94C3E" w:rsidRPr="0018386D" w:rsidRDefault="00A94C3E" w:rsidP="00DD3106">
            <w:pPr>
              <w:pStyle w:val="TableTextbold"/>
              <w:spacing w:before="40" w:after="40"/>
              <w:rPr>
                <w:color w:val="FFFFFF" w:themeColor="background1"/>
                <w:szCs w:val="18"/>
              </w:rPr>
            </w:pPr>
            <w:r w:rsidRPr="0018386D">
              <w:rPr>
                <w:color w:val="FFFFFF" w:themeColor="background1"/>
                <w:szCs w:val="18"/>
              </w:rPr>
              <w:t>Unit</w:t>
            </w:r>
          </w:p>
        </w:tc>
        <w:tc>
          <w:tcPr>
            <w:tcW w:w="1134" w:type="dxa"/>
            <w:tcBorders>
              <w:bottom w:val="single" w:sz="4" w:space="0" w:color="1B556B" w:themeColor="text2"/>
            </w:tcBorders>
            <w:shd w:val="clear" w:color="auto" w:fill="1B556B" w:themeFill="text2"/>
            <w:noWrap/>
            <w:vAlign w:val="bottom"/>
            <w:hideMark/>
          </w:tcPr>
          <w:p w14:paraId="6EB65887" w14:textId="77777777" w:rsidR="00A94C3E" w:rsidRPr="0018386D" w:rsidRDefault="00A94C3E" w:rsidP="00DD3106">
            <w:pPr>
              <w:pStyle w:val="TableTextbold"/>
              <w:spacing w:before="40" w:after="40"/>
              <w:rPr>
                <w:color w:val="FFFFFF" w:themeColor="background1"/>
                <w:szCs w:val="18"/>
              </w:rPr>
            </w:pPr>
            <w:r w:rsidRPr="0018386D">
              <w:rPr>
                <w:color w:val="FFFFFF" w:themeColor="background1"/>
                <w:szCs w:val="18"/>
              </w:rPr>
              <w:t>kg CO₂-e/unit</w:t>
            </w:r>
          </w:p>
        </w:tc>
        <w:tc>
          <w:tcPr>
            <w:tcW w:w="1701" w:type="dxa"/>
            <w:tcBorders>
              <w:bottom w:val="single" w:sz="4" w:space="0" w:color="1B556B" w:themeColor="text2"/>
            </w:tcBorders>
            <w:shd w:val="clear" w:color="auto" w:fill="1B556B" w:themeFill="text2"/>
            <w:noWrap/>
            <w:vAlign w:val="bottom"/>
            <w:hideMark/>
          </w:tcPr>
          <w:p w14:paraId="646F35A4" w14:textId="0BA2C2FD" w:rsidR="00A94C3E" w:rsidRPr="0018386D" w:rsidRDefault="00A94C3E" w:rsidP="00DD3106">
            <w:pPr>
              <w:pStyle w:val="TableTextbold"/>
              <w:spacing w:before="40" w:after="40"/>
              <w:rPr>
                <w:color w:val="FFFFFF" w:themeColor="background1"/>
                <w:szCs w:val="18"/>
              </w:rPr>
            </w:pPr>
            <w:r w:rsidRPr="0018386D">
              <w:rPr>
                <w:color w:val="FFFFFF" w:themeColor="background1"/>
                <w:szCs w:val="18"/>
              </w:rPr>
              <w:t>Uncertainty (95% CI)</w:t>
            </w:r>
          </w:p>
        </w:tc>
      </w:tr>
      <w:tr w:rsidR="008E2ED2" w:rsidRPr="0018386D" w14:paraId="2E043546" w14:textId="77777777" w:rsidTr="0097043E">
        <w:trPr>
          <w:divId w:val="876625174"/>
          <w:trHeight w:val="240"/>
        </w:trPr>
        <w:tc>
          <w:tcPr>
            <w:tcW w:w="4649" w:type="dxa"/>
            <w:shd w:val="clear" w:color="auto" w:fill="D2DDE1" w:themeFill="background2"/>
            <w:noWrap/>
            <w:hideMark/>
          </w:tcPr>
          <w:p w14:paraId="0974A56D" w14:textId="49DEF494" w:rsidR="008E2ED2" w:rsidRPr="0018386D" w:rsidRDefault="008E2ED2" w:rsidP="00DD3106">
            <w:pPr>
              <w:pStyle w:val="TableTextbold"/>
              <w:spacing w:before="40" w:after="40"/>
              <w:rPr>
                <w:szCs w:val="18"/>
              </w:rPr>
            </w:pPr>
            <w:r w:rsidRPr="0018386D">
              <w:rPr>
                <w:szCs w:val="18"/>
              </w:rPr>
              <w:t xml:space="preserve">Planted forests: Approach one </w:t>
            </w:r>
            <w:r w:rsidR="00452230" w:rsidRPr="0018386D">
              <w:rPr>
                <w:szCs w:val="18"/>
              </w:rPr>
              <w:t>–</w:t>
            </w:r>
            <w:r w:rsidRPr="0018386D">
              <w:rPr>
                <w:szCs w:val="18"/>
              </w:rPr>
              <w:t xml:space="preserve"> Stock change accounting</w:t>
            </w:r>
          </w:p>
        </w:tc>
        <w:tc>
          <w:tcPr>
            <w:tcW w:w="624" w:type="dxa"/>
            <w:shd w:val="clear" w:color="auto" w:fill="D2DDE1" w:themeFill="background2"/>
            <w:noWrap/>
            <w:hideMark/>
          </w:tcPr>
          <w:p w14:paraId="5AFB059C" w14:textId="77777777" w:rsidR="008E2ED2" w:rsidRPr="0018386D" w:rsidRDefault="008E2ED2" w:rsidP="00DD3106">
            <w:pPr>
              <w:pStyle w:val="TableTextbold"/>
              <w:spacing w:before="40" w:after="40"/>
              <w:rPr>
                <w:szCs w:val="18"/>
              </w:rPr>
            </w:pPr>
            <w:r w:rsidRPr="0018386D">
              <w:rPr>
                <w:szCs w:val="18"/>
              </w:rPr>
              <w:t> </w:t>
            </w:r>
          </w:p>
        </w:tc>
        <w:tc>
          <w:tcPr>
            <w:tcW w:w="1134" w:type="dxa"/>
            <w:tcBorders>
              <w:bottom w:val="single" w:sz="4" w:space="0" w:color="1B556B" w:themeColor="text2"/>
            </w:tcBorders>
            <w:shd w:val="clear" w:color="auto" w:fill="D2DDE1" w:themeFill="background2"/>
            <w:noWrap/>
            <w:hideMark/>
          </w:tcPr>
          <w:p w14:paraId="6B1328A8" w14:textId="77777777" w:rsidR="008E2ED2" w:rsidRPr="0018386D" w:rsidRDefault="008E2ED2" w:rsidP="00DD3106">
            <w:pPr>
              <w:pStyle w:val="TableTextbold"/>
              <w:spacing w:before="40" w:after="40"/>
              <w:rPr>
                <w:szCs w:val="18"/>
              </w:rPr>
            </w:pPr>
            <w:r w:rsidRPr="0018386D">
              <w:rPr>
                <w:szCs w:val="18"/>
              </w:rPr>
              <w:t> </w:t>
            </w:r>
          </w:p>
        </w:tc>
        <w:tc>
          <w:tcPr>
            <w:tcW w:w="1701" w:type="dxa"/>
            <w:shd w:val="clear" w:color="auto" w:fill="D2DDE1" w:themeFill="background2"/>
            <w:noWrap/>
            <w:hideMark/>
          </w:tcPr>
          <w:p w14:paraId="590B9FF4" w14:textId="77777777" w:rsidR="008E2ED2" w:rsidRPr="0018386D" w:rsidRDefault="008E2ED2" w:rsidP="00DD3106">
            <w:pPr>
              <w:pStyle w:val="TableTextbold"/>
              <w:spacing w:before="40" w:after="40"/>
              <w:rPr>
                <w:szCs w:val="18"/>
              </w:rPr>
            </w:pPr>
            <w:r w:rsidRPr="0018386D">
              <w:rPr>
                <w:szCs w:val="18"/>
              </w:rPr>
              <w:t> </w:t>
            </w:r>
          </w:p>
        </w:tc>
      </w:tr>
      <w:tr w:rsidR="00A94C3E" w:rsidRPr="0018386D" w14:paraId="7D46D932" w14:textId="77777777" w:rsidTr="0097043E">
        <w:trPr>
          <w:divId w:val="876625174"/>
          <w:trHeight w:val="240"/>
        </w:trPr>
        <w:tc>
          <w:tcPr>
            <w:tcW w:w="4649" w:type="dxa"/>
            <w:noWrap/>
            <w:hideMark/>
          </w:tcPr>
          <w:p w14:paraId="202B41D1" w14:textId="77777777" w:rsidR="00A94C3E" w:rsidRPr="0018386D" w:rsidRDefault="00A94C3E" w:rsidP="00DD3106">
            <w:pPr>
              <w:pStyle w:val="TableText"/>
              <w:spacing w:before="40" w:after="40"/>
              <w:rPr>
                <w:szCs w:val="18"/>
              </w:rPr>
            </w:pPr>
            <w:r w:rsidRPr="0018386D">
              <w:rPr>
                <w:szCs w:val="18"/>
              </w:rPr>
              <w:t>All planted forests</w:t>
            </w:r>
          </w:p>
        </w:tc>
        <w:tc>
          <w:tcPr>
            <w:tcW w:w="624" w:type="dxa"/>
            <w:noWrap/>
            <w:hideMark/>
          </w:tcPr>
          <w:p w14:paraId="3688B7AF"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35FB765D" w14:textId="1E472EEF" w:rsidR="00A94C3E" w:rsidRPr="0018386D" w:rsidRDefault="00A94C3E" w:rsidP="00DD3106">
            <w:pPr>
              <w:pStyle w:val="TableText"/>
              <w:spacing w:before="40" w:after="40"/>
              <w:rPr>
                <w:szCs w:val="18"/>
              </w:rPr>
            </w:pPr>
            <w:r w:rsidRPr="0018386D">
              <w:rPr>
                <w:szCs w:val="18"/>
              </w:rPr>
              <w:t>-35</w:t>
            </w:r>
            <w:r w:rsidR="00295647" w:rsidRPr="0018386D">
              <w:rPr>
                <w:szCs w:val="18"/>
              </w:rPr>
              <w:t>,</w:t>
            </w:r>
            <w:r w:rsidRPr="0018386D">
              <w:rPr>
                <w:szCs w:val="18"/>
              </w:rPr>
              <w:t>503</w:t>
            </w:r>
          </w:p>
        </w:tc>
        <w:tc>
          <w:tcPr>
            <w:tcW w:w="1701" w:type="dxa"/>
            <w:noWrap/>
            <w:hideMark/>
          </w:tcPr>
          <w:p w14:paraId="0AF893B2" w14:textId="52D3D47E" w:rsidR="00A94C3E" w:rsidRPr="0018386D" w:rsidRDefault="00BE3A88" w:rsidP="00DD3106">
            <w:pPr>
              <w:pStyle w:val="TableText"/>
              <w:spacing w:before="40" w:after="40"/>
              <w:rPr>
                <w:szCs w:val="18"/>
              </w:rPr>
            </w:pPr>
            <w:r w:rsidRPr="0018386D">
              <w:rPr>
                <w:szCs w:val="18"/>
              </w:rPr>
              <w:t>±</w:t>
            </w:r>
            <w:r w:rsidR="000250ED" w:rsidRPr="0018386D">
              <w:rPr>
                <w:szCs w:val="18"/>
              </w:rPr>
              <w:t>21.9 %</w:t>
            </w:r>
          </w:p>
        </w:tc>
      </w:tr>
      <w:tr w:rsidR="00A94C3E" w:rsidRPr="0018386D" w14:paraId="711D3688" w14:textId="77777777" w:rsidTr="0097043E">
        <w:trPr>
          <w:divId w:val="876625174"/>
          <w:trHeight w:val="240"/>
        </w:trPr>
        <w:tc>
          <w:tcPr>
            <w:tcW w:w="4649" w:type="dxa"/>
            <w:noWrap/>
            <w:hideMark/>
          </w:tcPr>
          <w:p w14:paraId="56AE2384" w14:textId="77777777" w:rsidR="00A94C3E" w:rsidRPr="0018386D" w:rsidRDefault="00A94C3E" w:rsidP="00DD3106">
            <w:pPr>
              <w:pStyle w:val="TableText"/>
              <w:spacing w:before="40" w:after="40"/>
              <w:rPr>
                <w:i/>
                <w:iCs/>
                <w:szCs w:val="18"/>
              </w:rPr>
            </w:pPr>
            <w:r w:rsidRPr="0018386D">
              <w:rPr>
                <w:i/>
                <w:iCs/>
                <w:szCs w:val="18"/>
              </w:rPr>
              <w:t>Pinus radiata</w:t>
            </w:r>
          </w:p>
        </w:tc>
        <w:tc>
          <w:tcPr>
            <w:tcW w:w="624" w:type="dxa"/>
            <w:noWrap/>
            <w:hideMark/>
          </w:tcPr>
          <w:p w14:paraId="71957304"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0D6A4828" w14:textId="2BE040AC" w:rsidR="00A94C3E" w:rsidRPr="0018386D" w:rsidRDefault="00A94C3E" w:rsidP="00DD3106">
            <w:pPr>
              <w:pStyle w:val="TableText"/>
              <w:spacing w:before="40" w:after="40"/>
              <w:rPr>
                <w:szCs w:val="18"/>
              </w:rPr>
            </w:pPr>
            <w:r w:rsidRPr="0018386D">
              <w:rPr>
                <w:szCs w:val="18"/>
              </w:rPr>
              <w:t>-36</w:t>
            </w:r>
            <w:r w:rsidR="00295647" w:rsidRPr="0018386D">
              <w:rPr>
                <w:szCs w:val="18"/>
              </w:rPr>
              <w:t>,</w:t>
            </w:r>
            <w:r w:rsidRPr="0018386D">
              <w:rPr>
                <w:szCs w:val="18"/>
              </w:rPr>
              <w:t>655</w:t>
            </w:r>
          </w:p>
        </w:tc>
        <w:tc>
          <w:tcPr>
            <w:tcW w:w="1701" w:type="dxa"/>
            <w:noWrap/>
            <w:hideMark/>
          </w:tcPr>
          <w:p w14:paraId="415EE8FE" w14:textId="54087B3F" w:rsidR="00A94C3E" w:rsidRPr="0018386D" w:rsidRDefault="000250ED" w:rsidP="00DD3106">
            <w:pPr>
              <w:pStyle w:val="TableText"/>
              <w:spacing w:before="40" w:after="40"/>
              <w:rPr>
                <w:szCs w:val="18"/>
              </w:rPr>
            </w:pPr>
            <w:r w:rsidRPr="0018386D">
              <w:rPr>
                <w:szCs w:val="18"/>
              </w:rPr>
              <w:t>±21.8 %</w:t>
            </w:r>
          </w:p>
        </w:tc>
      </w:tr>
      <w:tr w:rsidR="00A94C3E" w:rsidRPr="0018386D" w14:paraId="0A31EBFE" w14:textId="77777777" w:rsidTr="0097043E">
        <w:trPr>
          <w:divId w:val="876625174"/>
          <w:trHeight w:val="240"/>
        </w:trPr>
        <w:tc>
          <w:tcPr>
            <w:tcW w:w="4649" w:type="dxa"/>
            <w:noWrap/>
            <w:hideMark/>
          </w:tcPr>
          <w:p w14:paraId="5D0E887B" w14:textId="77777777" w:rsidR="00A94C3E" w:rsidRPr="0018386D" w:rsidRDefault="00A94C3E" w:rsidP="00DD3106">
            <w:pPr>
              <w:pStyle w:val="TableText"/>
              <w:spacing w:before="40" w:after="40"/>
              <w:rPr>
                <w:szCs w:val="18"/>
              </w:rPr>
            </w:pPr>
            <w:r w:rsidRPr="0018386D">
              <w:rPr>
                <w:szCs w:val="18"/>
              </w:rPr>
              <w:t>Other softwoods</w:t>
            </w:r>
          </w:p>
        </w:tc>
        <w:tc>
          <w:tcPr>
            <w:tcW w:w="624" w:type="dxa"/>
            <w:noWrap/>
            <w:hideMark/>
          </w:tcPr>
          <w:p w14:paraId="1196AFB4"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5CDF37C6" w14:textId="551DC2A7" w:rsidR="00A94C3E" w:rsidRPr="0018386D" w:rsidRDefault="00A94C3E" w:rsidP="00DD3106">
            <w:pPr>
              <w:pStyle w:val="TableText"/>
              <w:spacing w:before="40" w:after="40"/>
              <w:rPr>
                <w:szCs w:val="18"/>
              </w:rPr>
            </w:pPr>
            <w:r w:rsidRPr="0018386D">
              <w:rPr>
                <w:szCs w:val="18"/>
              </w:rPr>
              <w:t>-29</w:t>
            </w:r>
            <w:r w:rsidR="00295647" w:rsidRPr="0018386D">
              <w:rPr>
                <w:szCs w:val="18"/>
              </w:rPr>
              <w:t>,</w:t>
            </w:r>
            <w:r w:rsidRPr="0018386D">
              <w:rPr>
                <w:szCs w:val="18"/>
              </w:rPr>
              <w:t>414</w:t>
            </w:r>
          </w:p>
        </w:tc>
        <w:tc>
          <w:tcPr>
            <w:tcW w:w="1701" w:type="dxa"/>
            <w:noWrap/>
            <w:hideMark/>
          </w:tcPr>
          <w:p w14:paraId="7A6B8749" w14:textId="646D02DD" w:rsidR="00A94C3E" w:rsidRPr="0018386D" w:rsidRDefault="000250ED" w:rsidP="00DD3106">
            <w:pPr>
              <w:pStyle w:val="TableText"/>
              <w:spacing w:before="40" w:after="40"/>
              <w:rPr>
                <w:szCs w:val="18"/>
              </w:rPr>
            </w:pPr>
            <w:r w:rsidRPr="0018386D">
              <w:rPr>
                <w:szCs w:val="18"/>
              </w:rPr>
              <w:t xml:space="preserve"> ±28.4 %</w:t>
            </w:r>
          </w:p>
        </w:tc>
      </w:tr>
      <w:tr w:rsidR="00A94C3E" w:rsidRPr="0018386D" w14:paraId="1478D3C1" w14:textId="77777777" w:rsidTr="0097043E">
        <w:trPr>
          <w:divId w:val="876625174"/>
          <w:trHeight w:val="240"/>
        </w:trPr>
        <w:tc>
          <w:tcPr>
            <w:tcW w:w="4649" w:type="dxa"/>
            <w:tcBorders>
              <w:bottom w:val="single" w:sz="4" w:space="0" w:color="1B556B" w:themeColor="text2"/>
            </w:tcBorders>
            <w:noWrap/>
            <w:hideMark/>
          </w:tcPr>
          <w:p w14:paraId="794BF150" w14:textId="77777777" w:rsidR="00A94C3E" w:rsidRPr="0018386D" w:rsidRDefault="00A94C3E" w:rsidP="00DD3106">
            <w:pPr>
              <w:pStyle w:val="TableText"/>
              <w:spacing w:before="40" w:after="40"/>
              <w:rPr>
                <w:szCs w:val="18"/>
              </w:rPr>
            </w:pPr>
            <w:r w:rsidRPr="0018386D">
              <w:rPr>
                <w:szCs w:val="18"/>
              </w:rPr>
              <w:t>All hardwoods</w:t>
            </w:r>
          </w:p>
        </w:tc>
        <w:tc>
          <w:tcPr>
            <w:tcW w:w="624" w:type="dxa"/>
            <w:tcBorders>
              <w:bottom w:val="single" w:sz="4" w:space="0" w:color="1B556B" w:themeColor="text2"/>
            </w:tcBorders>
            <w:noWrap/>
            <w:hideMark/>
          </w:tcPr>
          <w:p w14:paraId="717570C9" w14:textId="77777777" w:rsidR="00A94C3E" w:rsidRPr="0018386D" w:rsidRDefault="00A94C3E" w:rsidP="00DD3106">
            <w:pPr>
              <w:pStyle w:val="TableText"/>
              <w:spacing w:before="40" w:after="40"/>
              <w:rPr>
                <w:szCs w:val="18"/>
              </w:rPr>
            </w:pPr>
            <w:r w:rsidRPr="0018386D">
              <w:rPr>
                <w:szCs w:val="18"/>
              </w:rPr>
              <w:t>ha</w:t>
            </w:r>
          </w:p>
        </w:tc>
        <w:tc>
          <w:tcPr>
            <w:tcW w:w="1134" w:type="dxa"/>
            <w:tcBorders>
              <w:bottom w:val="single" w:sz="4" w:space="0" w:color="1B556B" w:themeColor="text2"/>
            </w:tcBorders>
            <w:shd w:val="clear" w:color="auto" w:fill="D2DDE1" w:themeFill="background2"/>
            <w:noWrap/>
            <w:hideMark/>
          </w:tcPr>
          <w:p w14:paraId="4174D06C" w14:textId="71C15509" w:rsidR="00A94C3E" w:rsidRPr="0018386D" w:rsidRDefault="00A94C3E" w:rsidP="00DD3106">
            <w:pPr>
              <w:pStyle w:val="TableText"/>
              <w:spacing w:before="40" w:after="40"/>
              <w:rPr>
                <w:szCs w:val="18"/>
              </w:rPr>
            </w:pPr>
            <w:r w:rsidRPr="0018386D">
              <w:rPr>
                <w:szCs w:val="18"/>
              </w:rPr>
              <w:t>-16</w:t>
            </w:r>
            <w:r w:rsidR="00295647" w:rsidRPr="0018386D">
              <w:rPr>
                <w:szCs w:val="18"/>
              </w:rPr>
              <w:t>,</w:t>
            </w:r>
            <w:r w:rsidRPr="0018386D">
              <w:rPr>
                <w:szCs w:val="18"/>
              </w:rPr>
              <w:t>102</w:t>
            </w:r>
          </w:p>
        </w:tc>
        <w:tc>
          <w:tcPr>
            <w:tcW w:w="1701" w:type="dxa"/>
            <w:tcBorders>
              <w:bottom w:val="single" w:sz="4" w:space="0" w:color="1B556B" w:themeColor="text2"/>
            </w:tcBorders>
            <w:noWrap/>
            <w:hideMark/>
          </w:tcPr>
          <w:p w14:paraId="396C8D63" w14:textId="4513D677" w:rsidR="00A94C3E" w:rsidRPr="0018386D" w:rsidRDefault="000250ED" w:rsidP="00DD3106">
            <w:pPr>
              <w:pStyle w:val="TableText"/>
              <w:spacing w:before="40" w:after="40"/>
              <w:rPr>
                <w:szCs w:val="18"/>
              </w:rPr>
            </w:pPr>
            <w:r w:rsidRPr="0018386D">
              <w:rPr>
                <w:szCs w:val="18"/>
              </w:rPr>
              <w:t>±66.6 %</w:t>
            </w:r>
          </w:p>
        </w:tc>
      </w:tr>
      <w:tr w:rsidR="008E2ED2" w:rsidRPr="0018386D" w14:paraId="54463375" w14:textId="77777777" w:rsidTr="0097043E">
        <w:trPr>
          <w:divId w:val="876625174"/>
          <w:trHeight w:val="240"/>
        </w:trPr>
        <w:tc>
          <w:tcPr>
            <w:tcW w:w="4649" w:type="dxa"/>
            <w:shd w:val="clear" w:color="auto" w:fill="D2DDE1" w:themeFill="background2"/>
            <w:noWrap/>
            <w:hideMark/>
          </w:tcPr>
          <w:p w14:paraId="7CF0651A" w14:textId="4EF9B7EA" w:rsidR="008E2ED2" w:rsidRPr="0018386D" w:rsidRDefault="008E2ED2" w:rsidP="00DD3106">
            <w:pPr>
              <w:pStyle w:val="TableTextbold"/>
              <w:spacing w:before="40" w:after="40"/>
              <w:rPr>
                <w:szCs w:val="18"/>
              </w:rPr>
            </w:pPr>
            <w:r w:rsidRPr="0018386D">
              <w:rPr>
                <w:szCs w:val="18"/>
              </w:rPr>
              <w:t xml:space="preserve">Planted forests: Approach two </w:t>
            </w:r>
            <w:r w:rsidR="00452230" w:rsidRPr="0018386D">
              <w:rPr>
                <w:szCs w:val="18"/>
              </w:rPr>
              <w:t>–</w:t>
            </w:r>
            <w:r w:rsidRPr="0018386D">
              <w:rPr>
                <w:szCs w:val="18"/>
              </w:rPr>
              <w:t xml:space="preserve"> Averaging accounting</w:t>
            </w:r>
          </w:p>
        </w:tc>
        <w:tc>
          <w:tcPr>
            <w:tcW w:w="624" w:type="dxa"/>
            <w:shd w:val="clear" w:color="auto" w:fill="D2DDE1" w:themeFill="background2"/>
            <w:noWrap/>
            <w:hideMark/>
          </w:tcPr>
          <w:p w14:paraId="2D638172" w14:textId="77777777" w:rsidR="008E2ED2" w:rsidRPr="0018386D" w:rsidRDefault="008E2ED2" w:rsidP="00DD3106">
            <w:pPr>
              <w:pStyle w:val="TableTextbold"/>
              <w:spacing w:before="40" w:after="40"/>
              <w:rPr>
                <w:szCs w:val="18"/>
              </w:rPr>
            </w:pPr>
            <w:r w:rsidRPr="0018386D">
              <w:rPr>
                <w:szCs w:val="18"/>
              </w:rPr>
              <w:t> </w:t>
            </w:r>
          </w:p>
        </w:tc>
        <w:tc>
          <w:tcPr>
            <w:tcW w:w="1134" w:type="dxa"/>
            <w:shd w:val="clear" w:color="auto" w:fill="D2DDE1" w:themeFill="background2"/>
            <w:noWrap/>
            <w:hideMark/>
          </w:tcPr>
          <w:p w14:paraId="5D69B493" w14:textId="77777777" w:rsidR="008E2ED2" w:rsidRPr="0018386D" w:rsidRDefault="008E2ED2" w:rsidP="00DD3106">
            <w:pPr>
              <w:pStyle w:val="TableTextbold"/>
              <w:spacing w:before="40" w:after="40"/>
              <w:rPr>
                <w:szCs w:val="18"/>
              </w:rPr>
            </w:pPr>
            <w:r w:rsidRPr="0018386D">
              <w:rPr>
                <w:szCs w:val="18"/>
              </w:rPr>
              <w:t> </w:t>
            </w:r>
          </w:p>
        </w:tc>
        <w:tc>
          <w:tcPr>
            <w:tcW w:w="1701" w:type="dxa"/>
            <w:shd w:val="clear" w:color="auto" w:fill="D2DDE1" w:themeFill="background2"/>
            <w:noWrap/>
            <w:hideMark/>
          </w:tcPr>
          <w:p w14:paraId="3B415427" w14:textId="77777777" w:rsidR="008E2ED2" w:rsidRPr="0018386D" w:rsidRDefault="008E2ED2" w:rsidP="00DD3106">
            <w:pPr>
              <w:pStyle w:val="TableTextbold"/>
              <w:spacing w:before="40" w:after="40"/>
              <w:rPr>
                <w:szCs w:val="18"/>
              </w:rPr>
            </w:pPr>
            <w:r w:rsidRPr="0018386D">
              <w:rPr>
                <w:szCs w:val="18"/>
              </w:rPr>
              <w:t> </w:t>
            </w:r>
          </w:p>
        </w:tc>
      </w:tr>
      <w:tr w:rsidR="00A94C3E" w:rsidRPr="0018386D" w14:paraId="0F76A971" w14:textId="77777777" w:rsidTr="0097043E">
        <w:trPr>
          <w:divId w:val="876625174"/>
          <w:trHeight w:val="240"/>
        </w:trPr>
        <w:tc>
          <w:tcPr>
            <w:tcW w:w="4649" w:type="dxa"/>
            <w:noWrap/>
            <w:hideMark/>
          </w:tcPr>
          <w:p w14:paraId="0D48985B" w14:textId="77777777" w:rsidR="00A94C3E" w:rsidRPr="0018386D" w:rsidRDefault="00A94C3E" w:rsidP="00DD3106">
            <w:pPr>
              <w:pStyle w:val="TableText"/>
              <w:spacing w:before="40" w:after="40"/>
              <w:rPr>
                <w:szCs w:val="18"/>
              </w:rPr>
            </w:pPr>
            <w:r w:rsidRPr="0018386D">
              <w:rPr>
                <w:szCs w:val="18"/>
              </w:rPr>
              <w:t>All planted forests – First rotation (age 22 years and under)</w:t>
            </w:r>
          </w:p>
        </w:tc>
        <w:tc>
          <w:tcPr>
            <w:tcW w:w="624" w:type="dxa"/>
            <w:noWrap/>
            <w:hideMark/>
          </w:tcPr>
          <w:p w14:paraId="35098D7D"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4A85B140" w14:textId="20E82857" w:rsidR="00A94C3E" w:rsidRPr="0018386D" w:rsidRDefault="00A94C3E" w:rsidP="00DD3106">
            <w:pPr>
              <w:pStyle w:val="TableText"/>
              <w:spacing w:before="40" w:after="40"/>
              <w:rPr>
                <w:szCs w:val="18"/>
              </w:rPr>
            </w:pPr>
            <w:r w:rsidRPr="0018386D">
              <w:rPr>
                <w:szCs w:val="18"/>
              </w:rPr>
              <w:t>-35</w:t>
            </w:r>
            <w:r w:rsidR="00295647" w:rsidRPr="0018386D">
              <w:rPr>
                <w:szCs w:val="18"/>
              </w:rPr>
              <w:t>,</w:t>
            </w:r>
            <w:r w:rsidRPr="0018386D">
              <w:rPr>
                <w:szCs w:val="18"/>
              </w:rPr>
              <w:t>503</w:t>
            </w:r>
          </w:p>
        </w:tc>
        <w:tc>
          <w:tcPr>
            <w:tcW w:w="1701" w:type="dxa"/>
            <w:noWrap/>
            <w:hideMark/>
          </w:tcPr>
          <w:p w14:paraId="05EDD0FA" w14:textId="25176893" w:rsidR="00A94C3E" w:rsidRPr="0018386D" w:rsidRDefault="004E4ECC" w:rsidP="00DD3106">
            <w:pPr>
              <w:pStyle w:val="TableText"/>
              <w:spacing w:before="40" w:after="40"/>
              <w:rPr>
                <w:szCs w:val="18"/>
              </w:rPr>
            </w:pPr>
            <w:r w:rsidRPr="0018386D">
              <w:rPr>
                <w:szCs w:val="18"/>
              </w:rPr>
              <w:t>±21.9 %</w:t>
            </w:r>
          </w:p>
        </w:tc>
      </w:tr>
      <w:tr w:rsidR="00A94C3E" w:rsidRPr="0018386D" w14:paraId="6CDD16E3" w14:textId="77777777" w:rsidTr="0097043E">
        <w:trPr>
          <w:divId w:val="876625174"/>
          <w:trHeight w:val="240"/>
        </w:trPr>
        <w:tc>
          <w:tcPr>
            <w:tcW w:w="4649" w:type="dxa"/>
            <w:noWrap/>
            <w:hideMark/>
          </w:tcPr>
          <w:p w14:paraId="4681280B" w14:textId="77777777" w:rsidR="00A94C3E" w:rsidRPr="0018386D" w:rsidRDefault="00A94C3E" w:rsidP="00DD3106">
            <w:pPr>
              <w:pStyle w:val="TableText"/>
              <w:spacing w:before="40" w:after="40"/>
              <w:rPr>
                <w:szCs w:val="18"/>
              </w:rPr>
            </w:pPr>
            <w:r w:rsidRPr="0018386D">
              <w:rPr>
                <w:i/>
                <w:iCs/>
                <w:szCs w:val="18"/>
              </w:rPr>
              <w:t>Pinus radiata</w:t>
            </w:r>
            <w:r w:rsidRPr="0018386D">
              <w:rPr>
                <w:szCs w:val="18"/>
              </w:rPr>
              <w:t xml:space="preserve"> – First rotation (age 22 years and under)</w:t>
            </w:r>
          </w:p>
        </w:tc>
        <w:tc>
          <w:tcPr>
            <w:tcW w:w="624" w:type="dxa"/>
            <w:noWrap/>
            <w:hideMark/>
          </w:tcPr>
          <w:p w14:paraId="63EA1B17"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271E2D2E" w14:textId="05606501" w:rsidR="00A94C3E" w:rsidRPr="0018386D" w:rsidRDefault="00A94C3E" w:rsidP="00DD3106">
            <w:pPr>
              <w:pStyle w:val="TableText"/>
              <w:spacing w:before="40" w:after="40"/>
              <w:rPr>
                <w:szCs w:val="18"/>
              </w:rPr>
            </w:pPr>
            <w:r w:rsidRPr="0018386D">
              <w:rPr>
                <w:szCs w:val="18"/>
              </w:rPr>
              <w:t>-36</w:t>
            </w:r>
            <w:r w:rsidR="00295647" w:rsidRPr="0018386D">
              <w:rPr>
                <w:szCs w:val="18"/>
              </w:rPr>
              <w:t>,</w:t>
            </w:r>
            <w:r w:rsidRPr="0018386D">
              <w:rPr>
                <w:szCs w:val="18"/>
              </w:rPr>
              <w:t>655</w:t>
            </w:r>
          </w:p>
        </w:tc>
        <w:tc>
          <w:tcPr>
            <w:tcW w:w="1701" w:type="dxa"/>
            <w:noWrap/>
            <w:hideMark/>
          </w:tcPr>
          <w:p w14:paraId="4BB7FFCC" w14:textId="0E13A4F9" w:rsidR="00A94C3E" w:rsidRPr="0018386D" w:rsidRDefault="004E4ECC" w:rsidP="00DD3106">
            <w:pPr>
              <w:pStyle w:val="TableText"/>
              <w:spacing w:before="40" w:after="40"/>
              <w:rPr>
                <w:szCs w:val="18"/>
              </w:rPr>
            </w:pPr>
            <w:r w:rsidRPr="0018386D">
              <w:rPr>
                <w:szCs w:val="18"/>
              </w:rPr>
              <w:t>±21.8 %</w:t>
            </w:r>
          </w:p>
        </w:tc>
      </w:tr>
      <w:tr w:rsidR="00A94C3E" w:rsidRPr="0018386D" w14:paraId="500AFE8A" w14:textId="77777777" w:rsidTr="0097043E">
        <w:trPr>
          <w:divId w:val="876625174"/>
          <w:trHeight w:val="240"/>
        </w:trPr>
        <w:tc>
          <w:tcPr>
            <w:tcW w:w="4649" w:type="dxa"/>
            <w:noWrap/>
            <w:hideMark/>
          </w:tcPr>
          <w:p w14:paraId="37EB49E6" w14:textId="77777777" w:rsidR="00A94C3E" w:rsidRPr="0018386D" w:rsidRDefault="00A94C3E" w:rsidP="00DD3106">
            <w:pPr>
              <w:pStyle w:val="TableText"/>
              <w:spacing w:before="40" w:after="40"/>
              <w:rPr>
                <w:szCs w:val="18"/>
              </w:rPr>
            </w:pPr>
            <w:r w:rsidRPr="0018386D">
              <w:rPr>
                <w:szCs w:val="18"/>
              </w:rPr>
              <w:t>Other softwoods – First rotation (age 28 years and under)</w:t>
            </w:r>
          </w:p>
        </w:tc>
        <w:tc>
          <w:tcPr>
            <w:tcW w:w="624" w:type="dxa"/>
            <w:noWrap/>
            <w:hideMark/>
          </w:tcPr>
          <w:p w14:paraId="587EE05C"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1672012A" w14:textId="5E0F9135" w:rsidR="00A94C3E" w:rsidRPr="0018386D" w:rsidRDefault="00A94C3E" w:rsidP="00DD3106">
            <w:pPr>
              <w:pStyle w:val="TableText"/>
              <w:spacing w:before="40" w:after="40"/>
              <w:rPr>
                <w:szCs w:val="18"/>
              </w:rPr>
            </w:pPr>
            <w:r w:rsidRPr="0018386D">
              <w:rPr>
                <w:szCs w:val="18"/>
              </w:rPr>
              <w:t>-29</w:t>
            </w:r>
            <w:r w:rsidR="00295647" w:rsidRPr="0018386D">
              <w:rPr>
                <w:szCs w:val="18"/>
              </w:rPr>
              <w:t>,</w:t>
            </w:r>
            <w:r w:rsidRPr="0018386D">
              <w:rPr>
                <w:szCs w:val="18"/>
              </w:rPr>
              <w:t>414</w:t>
            </w:r>
          </w:p>
        </w:tc>
        <w:tc>
          <w:tcPr>
            <w:tcW w:w="1701" w:type="dxa"/>
            <w:noWrap/>
            <w:hideMark/>
          </w:tcPr>
          <w:p w14:paraId="2EA376A2" w14:textId="22ACA892" w:rsidR="00A94C3E" w:rsidRPr="0018386D" w:rsidRDefault="005249CA" w:rsidP="00DD3106">
            <w:pPr>
              <w:pStyle w:val="TableText"/>
              <w:spacing w:before="40" w:after="40"/>
              <w:rPr>
                <w:szCs w:val="18"/>
              </w:rPr>
            </w:pPr>
            <w:r w:rsidRPr="0018386D">
              <w:rPr>
                <w:szCs w:val="18"/>
              </w:rPr>
              <w:t>±28.4 %</w:t>
            </w:r>
          </w:p>
        </w:tc>
      </w:tr>
      <w:tr w:rsidR="00A94C3E" w:rsidRPr="0018386D" w14:paraId="7F4C88AE" w14:textId="77777777" w:rsidTr="0097043E">
        <w:trPr>
          <w:divId w:val="876625174"/>
          <w:trHeight w:val="240"/>
        </w:trPr>
        <w:tc>
          <w:tcPr>
            <w:tcW w:w="4649" w:type="dxa"/>
            <w:noWrap/>
            <w:hideMark/>
          </w:tcPr>
          <w:p w14:paraId="1EA16044" w14:textId="77777777" w:rsidR="00A94C3E" w:rsidRPr="0018386D" w:rsidRDefault="00A94C3E" w:rsidP="00DD3106">
            <w:pPr>
              <w:pStyle w:val="TableText"/>
              <w:spacing w:before="40" w:after="40"/>
              <w:rPr>
                <w:szCs w:val="18"/>
              </w:rPr>
            </w:pPr>
            <w:r w:rsidRPr="0018386D">
              <w:rPr>
                <w:szCs w:val="18"/>
              </w:rPr>
              <w:t>All hardwoods – First rotation (age 13 years and under)</w:t>
            </w:r>
          </w:p>
        </w:tc>
        <w:tc>
          <w:tcPr>
            <w:tcW w:w="624" w:type="dxa"/>
            <w:noWrap/>
            <w:hideMark/>
          </w:tcPr>
          <w:p w14:paraId="2FF6DEDB"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2CD03C58" w14:textId="164280CA" w:rsidR="00A94C3E" w:rsidRPr="0018386D" w:rsidRDefault="00A94C3E" w:rsidP="00DD3106">
            <w:pPr>
              <w:pStyle w:val="TableText"/>
              <w:spacing w:before="40" w:after="40"/>
              <w:rPr>
                <w:szCs w:val="18"/>
              </w:rPr>
            </w:pPr>
            <w:r w:rsidRPr="0018386D">
              <w:rPr>
                <w:szCs w:val="18"/>
              </w:rPr>
              <w:t>-16</w:t>
            </w:r>
            <w:r w:rsidR="00295647" w:rsidRPr="0018386D">
              <w:rPr>
                <w:szCs w:val="18"/>
              </w:rPr>
              <w:t>,</w:t>
            </w:r>
            <w:r w:rsidRPr="0018386D">
              <w:rPr>
                <w:szCs w:val="18"/>
              </w:rPr>
              <w:t>102</w:t>
            </w:r>
          </w:p>
        </w:tc>
        <w:tc>
          <w:tcPr>
            <w:tcW w:w="1701" w:type="dxa"/>
            <w:noWrap/>
            <w:hideMark/>
          </w:tcPr>
          <w:p w14:paraId="4BA7CC11" w14:textId="54CBA0C9" w:rsidR="00A94C3E" w:rsidRPr="0018386D" w:rsidRDefault="005249CA" w:rsidP="00DD3106">
            <w:pPr>
              <w:pStyle w:val="TableText"/>
              <w:spacing w:before="40" w:after="40"/>
              <w:rPr>
                <w:szCs w:val="18"/>
              </w:rPr>
            </w:pPr>
            <w:r w:rsidRPr="0018386D">
              <w:rPr>
                <w:szCs w:val="18"/>
              </w:rPr>
              <w:t>±66.6 %</w:t>
            </w:r>
          </w:p>
        </w:tc>
      </w:tr>
      <w:tr w:rsidR="00A94C3E" w:rsidRPr="0018386D" w14:paraId="47C6851D" w14:textId="77777777" w:rsidTr="0097043E">
        <w:trPr>
          <w:divId w:val="876625174"/>
          <w:trHeight w:val="240"/>
        </w:trPr>
        <w:tc>
          <w:tcPr>
            <w:tcW w:w="4649" w:type="dxa"/>
            <w:tcBorders>
              <w:bottom w:val="single" w:sz="4" w:space="0" w:color="1B556B" w:themeColor="text2"/>
            </w:tcBorders>
            <w:noWrap/>
            <w:hideMark/>
          </w:tcPr>
          <w:p w14:paraId="4E4ADD11" w14:textId="1143D8ED" w:rsidR="00A94C3E" w:rsidRPr="0018386D" w:rsidRDefault="00A94C3E" w:rsidP="00DD3106">
            <w:pPr>
              <w:pStyle w:val="TableText"/>
              <w:spacing w:before="40" w:after="40"/>
              <w:rPr>
                <w:szCs w:val="18"/>
              </w:rPr>
            </w:pPr>
            <w:r w:rsidRPr="0018386D">
              <w:rPr>
                <w:szCs w:val="18"/>
              </w:rPr>
              <w:t>All planted forest above the long-term average age</w:t>
            </w:r>
            <w:r w:rsidR="00E40335" w:rsidRPr="0018386D">
              <w:rPr>
                <w:szCs w:val="18"/>
              </w:rPr>
              <w:t xml:space="preserve"> </w:t>
            </w:r>
          </w:p>
        </w:tc>
        <w:tc>
          <w:tcPr>
            <w:tcW w:w="624" w:type="dxa"/>
            <w:tcBorders>
              <w:bottom w:val="single" w:sz="4" w:space="0" w:color="1B556B" w:themeColor="text2"/>
            </w:tcBorders>
            <w:noWrap/>
            <w:hideMark/>
          </w:tcPr>
          <w:p w14:paraId="290FC02D" w14:textId="77777777" w:rsidR="00A94C3E" w:rsidRPr="0018386D" w:rsidRDefault="00A94C3E" w:rsidP="00DD3106">
            <w:pPr>
              <w:pStyle w:val="TableText"/>
              <w:spacing w:before="40" w:after="40"/>
              <w:rPr>
                <w:szCs w:val="18"/>
              </w:rPr>
            </w:pPr>
            <w:r w:rsidRPr="0018386D">
              <w:rPr>
                <w:szCs w:val="18"/>
              </w:rPr>
              <w:t>ha</w:t>
            </w:r>
          </w:p>
        </w:tc>
        <w:tc>
          <w:tcPr>
            <w:tcW w:w="1134" w:type="dxa"/>
            <w:tcBorders>
              <w:bottom w:val="single" w:sz="4" w:space="0" w:color="1B556B" w:themeColor="text2"/>
            </w:tcBorders>
            <w:shd w:val="clear" w:color="auto" w:fill="D2DDE1" w:themeFill="background2"/>
            <w:noWrap/>
            <w:hideMark/>
          </w:tcPr>
          <w:p w14:paraId="5C4C4082" w14:textId="77777777" w:rsidR="00A94C3E" w:rsidRPr="0018386D" w:rsidRDefault="00A94C3E" w:rsidP="00DD3106">
            <w:pPr>
              <w:pStyle w:val="TableText"/>
              <w:spacing w:before="40" w:after="40"/>
              <w:rPr>
                <w:szCs w:val="18"/>
              </w:rPr>
            </w:pPr>
            <w:r w:rsidRPr="0018386D">
              <w:rPr>
                <w:szCs w:val="18"/>
              </w:rPr>
              <w:t>0000</w:t>
            </w:r>
          </w:p>
        </w:tc>
        <w:tc>
          <w:tcPr>
            <w:tcW w:w="1701" w:type="dxa"/>
            <w:tcBorders>
              <w:bottom w:val="single" w:sz="4" w:space="0" w:color="1B556B" w:themeColor="text2"/>
            </w:tcBorders>
            <w:noWrap/>
            <w:hideMark/>
          </w:tcPr>
          <w:p w14:paraId="7453A3F9" w14:textId="77777777" w:rsidR="00A94C3E" w:rsidRPr="0018386D" w:rsidRDefault="00A94C3E" w:rsidP="00DD3106">
            <w:pPr>
              <w:pStyle w:val="TableText"/>
              <w:spacing w:before="40" w:after="40"/>
              <w:rPr>
                <w:szCs w:val="18"/>
              </w:rPr>
            </w:pPr>
            <w:r w:rsidRPr="0018386D">
              <w:rPr>
                <w:szCs w:val="18"/>
              </w:rPr>
              <w:t>n/a</w:t>
            </w:r>
          </w:p>
        </w:tc>
      </w:tr>
      <w:tr w:rsidR="008E2ED2" w:rsidRPr="0018386D" w14:paraId="5B266001" w14:textId="77777777" w:rsidTr="0097043E">
        <w:trPr>
          <w:divId w:val="876625174"/>
          <w:trHeight w:val="240"/>
        </w:trPr>
        <w:tc>
          <w:tcPr>
            <w:tcW w:w="4649" w:type="dxa"/>
            <w:shd w:val="clear" w:color="auto" w:fill="D2DDE1" w:themeFill="background2"/>
            <w:noWrap/>
            <w:hideMark/>
          </w:tcPr>
          <w:p w14:paraId="3CCFD4AD" w14:textId="219CA528" w:rsidR="008E2ED2" w:rsidRPr="0018386D" w:rsidRDefault="008E2ED2" w:rsidP="00DD3106">
            <w:pPr>
              <w:pStyle w:val="TableTextbold"/>
              <w:spacing w:before="40" w:after="40"/>
              <w:rPr>
                <w:szCs w:val="18"/>
              </w:rPr>
            </w:pPr>
            <w:r w:rsidRPr="0018386D">
              <w:rPr>
                <w:szCs w:val="18"/>
              </w:rPr>
              <w:t>Natural forests</w:t>
            </w:r>
          </w:p>
        </w:tc>
        <w:tc>
          <w:tcPr>
            <w:tcW w:w="624" w:type="dxa"/>
            <w:shd w:val="clear" w:color="auto" w:fill="D2DDE1" w:themeFill="background2"/>
            <w:noWrap/>
            <w:hideMark/>
          </w:tcPr>
          <w:p w14:paraId="0C1EC465" w14:textId="77777777" w:rsidR="008E2ED2" w:rsidRPr="0018386D" w:rsidRDefault="008E2ED2" w:rsidP="00DD3106">
            <w:pPr>
              <w:pStyle w:val="TableTextbold"/>
              <w:spacing w:before="40" w:after="40"/>
              <w:rPr>
                <w:szCs w:val="18"/>
              </w:rPr>
            </w:pPr>
            <w:r w:rsidRPr="0018386D">
              <w:rPr>
                <w:szCs w:val="18"/>
              </w:rPr>
              <w:t> </w:t>
            </w:r>
          </w:p>
        </w:tc>
        <w:tc>
          <w:tcPr>
            <w:tcW w:w="1134" w:type="dxa"/>
            <w:shd w:val="clear" w:color="auto" w:fill="D2DDE1" w:themeFill="background2"/>
            <w:noWrap/>
            <w:hideMark/>
          </w:tcPr>
          <w:p w14:paraId="13611E7A" w14:textId="77777777" w:rsidR="008E2ED2" w:rsidRPr="0018386D" w:rsidRDefault="008E2ED2" w:rsidP="00DD3106">
            <w:pPr>
              <w:pStyle w:val="TableTextbold"/>
              <w:spacing w:before="40" w:after="40"/>
              <w:rPr>
                <w:szCs w:val="18"/>
              </w:rPr>
            </w:pPr>
            <w:r w:rsidRPr="0018386D">
              <w:rPr>
                <w:szCs w:val="18"/>
              </w:rPr>
              <w:t> </w:t>
            </w:r>
          </w:p>
        </w:tc>
        <w:tc>
          <w:tcPr>
            <w:tcW w:w="1701" w:type="dxa"/>
            <w:shd w:val="clear" w:color="auto" w:fill="D2DDE1" w:themeFill="background2"/>
            <w:noWrap/>
            <w:hideMark/>
          </w:tcPr>
          <w:p w14:paraId="0FDAE240" w14:textId="77777777" w:rsidR="008E2ED2" w:rsidRPr="0018386D" w:rsidRDefault="008E2ED2" w:rsidP="00DD3106">
            <w:pPr>
              <w:pStyle w:val="TableTextbold"/>
              <w:spacing w:before="40" w:after="40"/>
              <w:rPr>
                <w:szCs w:val="18"/>
              </w:rPr>
            </w:pPr>
            <w:r w:rsidRPr="0018386D">
              <w:rPr>
                <w:szCs w:val="18"/>
              </w:rPr>
              <w:t> </w:t>
            </w:r>
          </w:p>
        </w:tc>
      </w:tr>
      <w:tr w:rsidR="00A94C3E" w:rsidRPr="0018386D" w14:paraId="0726E174" w14:textId="77777777" w:rsidTr="0097043E">
        <w:trPr>
          <w:divId w:val="876625174"/>
          <w:trHeight w:val="240"/>
        </w:trPr>
        <w:tc>
          <w:tcPr>
            <w:tcW w:w="4649" w:type="dxa"/>
            <w:noWrap/>
            <w:hideMark/>
          </w:tcPr>
          <w:p w14:paraId="55081EDB" w14:textId="77777777" w:rsidR="00A94C3E" w:rsidRPr="0018386D" w:rsidRDefault="00A94C3E" w:rsidP="00DD3106">
            <w:pPr>
              <w:pStyle w:val="TableText"/>
              <w:spacing w:before="40" w:after="40"/>
              <w:rPr>
                <w:szCs w:val="18"/>
              </w:rPr>
            </w:pPr>
            <w:r w:rsidRPr="0018386D">
              <w:rPr>
                <w:szCs w:val="18"/>
              </w:rPr>
              <w:t>Post-1989 Regenerating natural forest</w:t>
            </w:r>
          </w:p>
        </w:tc>
        <w:tc>
          <w:tcPr>
            <w:tcW w:w="624" w:type="dxa"/>
            <w:noWrap/>
            <w:hideMark/>
          </w:tcPr>
          <w:p w14:paraId="3394A8A0"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6915DFA2" w14:textId="10537364" w:rsidR="00A94C3E" w:rsidRPr="0018386D" w:rsidRDefault="00A94C3E" w:rsidP="00DD3106">
            <w:pPr>
              <w:pStyle w:val="TableText"/>
              <w:spacing w:before="40" w:after="40"/>
              <w:rPr>
                <w:szCs w:val="18"/>
              </w:rPr>
            </w:pPr>
            <w:r w:rsidRPr="0018386D">
              <w:rPr>
                <w:szCs w:val="18"/>
              </w:rPr>
              <w:t>-7</w:t>
            </w:r>
            <w:r w:rsidR="00295647" w:rsidRPr="0018386D">
              <w:rPr>
                <w:szCs w:val="18"/>
              </w:rPr>
              <w:t>,</w:t>
            </w:r>
            <w:r w:rsidRPr="0018386D">
              <w:rPr>
                <w:szCs w:val="18"/>
              </w:rPr>
              <w:t>973</w:t>
            </w:r>
          </w:p>
        </w:tc>
        <w:tc>
          <w:tcPr>
            <w:tcW w:w="1701" w:type="dxa"/>
            <w:noWrap/>
            <w:hideMark/>
          </w:tcPr>
          <w:p w14:paraId="07313E12" w14:textId="22E41E41" w:rsidR="00A94C3E" w:rsidRPr="0018386D" w:rsidRDefault="005249CA" w:rsidP="00DD3106">
            <w:pPr>
              <w:pStyle w:val="TableText"/>
              <w:spacing w:before="40" w:after="40"/>
              <w:rPr>
                <w:szCs w:val="18"/>
              </w:rPr>
            </w:pPr>
            <w:r w:rsidRPr="0018386D">
              <w:rPr>
                <w:szCs w:val="18"/>
              </w:rPr>
              <w:t>±44.8 %</w:t>
            </w:r>
          </w:p>
        </w:tc>
      </w:tr>
      <w:tr w:rsidR="00A94C3E" w:rsidRPr="0018386D" w14:paraId="6E3D443B" w14:textId="77777777" w:rsidTr="0097043E">
        <w:trPr>
          <w:divId w:val="876625174"/>
          <w:trHeight w:val="240"/>
        </w:trPr>
        <w:tc>
          <w:tcPr>
            <w:tcW w:w="4649" w:type="dxa"/>
            <w:noWrap/>
            <w:hideMark/>
          </w:tcPr>
          <w:p w14:paraId="08AED2AC" w14:textId="77777777" w:rsidR="00A94C3E" w:rsidRPr="0018386D" w:rsidRDefault="00A94C3E" w:rsidP="00DD3106">
            <w:pPr>
              <w:pStyle w:val="TableText"/>
              <w:spacing w:before="40" w:after="40"/>
              <w:rPr>
                <w:szCs w:val="18"/>
              </w:rPr>
            </w:pPr>
            <w:r w:rsidRPr="0018386D">
              <w:rPr>
                <w:szCs w:val="18"/>
              </w:rPr>
              <w:t>Pre-1990 Regenerating natural forest</w:t>
            </w:r>
          </w:p>
        </w:tc>
        <w:tc>
          <w:tcPr>
            <w:tcW w:w="624" w:type="dxa"/>
            <w:noWrap/>
            <w:hideMark/>
          </w:tcPr>
          <w:p w14:paraId="35D4B9EC"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3CED575F" w14:textId="6C7E8B08" w:rsidR="00A94C3E" w:rsidRPr="0018386D" w:rsidRDefault="00A94C3E" w:rsidP="00DD3106">
            <w:pPr>
              <w:pStyle w:val="TableText"/>
              <w:spacing w:before="40" w:after="40"/>
              <w:rPr>
                <w:szCs w:val="18"/>
              </w:rPr>
            </w:pPr>
            <w:r w:rsidRPr="0018386D">
              <w:rPr>
                <w:szCs w:val="18"/>
              </w:rPr>
              <w:t>-1</w:t>
            </w:r>
            <w:r w:rsidR="00295647" w:rsidRPr="0018386D">
              <w:rPr>
                <w:szCs w:val="18"/>
              </w:rPr>
              <w:t>,</w:t>
            </w:r>
            <w:r w:rsidRPr="0018386D">
              <w:rPr>
                <w:szCs w:val="18"/>
              </w:rPr>
              <w:t>567</w:t>
            </w:r>
          </w:p>
        </w:tc>
        <w:tc>
          <w:tcPr>
            <w:tcW w:w="1701" w:type="dxa"/>
            <w:noWrap/>
            <w:hideMark/>
          </w:tcPr>
          <w:p w14:paraId="783D99AC" w14:textId="24697849" w:rsidR="00A94C3E" w:rsidRPr="0018386D" w:rsidRDefault="005249CA" w:rsidP="00DD3106">
            <w:pPr>
              <w:pStyle w:val="TableText"/>
              <w:spacing w:before="40" w:after="40"/>
              <w:rPr>
                <w:szCs w:val="18"/>
              </w:rPr>
            </w:pPr>
            <w:r w:rsidRPr="0018386D">
              <w:rPr>
                <w:szCs w:val="18"/>
              </w:rPr>
              <w:t>±119.6 %</w:t>
            </w:r>
          </w:p>
        </w:tc>
      </w:tr>
      <w:tr w:rsidR="00A94C3E" w:rsidRPr="0018386D" w14:paraId="4A961742" w14:textId="77777777" w:rsidTr="0097043E">
        <w:trPr>
          <w:divId w:val="876625174"/>
          <w:trHeight w:val="240"/>
        </w:trPr>
        <w:tc>
          <w:tcPr>
            <w:tcW w:w="4649" w:type="dxa"/>
            <w:noWrap/>
            <w:hideMark/>
          </w:tcPr>
          <w:p w14:paraId="5E7A18A1" w14:textId="77777777" w:rsidR="00A94C3E" w:rsidRPr="0018386D" w:rsidRDefault="00A94C3E" w:rsidP="00DD3106">
            <w:pPr>
              <w:pStyle w:val="TableText"/>
              <w:spacing w:before="40" w:after="40"/>
              <w:rPr>
                <w:szCs w:val="18"/>
              </w:rPr>
            </w:pPr>
            <w:r w:rsidRPr="0018386D">
              <w:rPr>
                <w:szCs w:val="18"/>
              </w:rPr>
              <w:t>Pre-1990 Tall natural forest</w:t>
            </w:r>
          </w:p>
        </w:tc>
        <w:tc>
          <w:tcPr>
            <w:tcW w:w="624" w:type="dxa"/>
            <w:noWrap/>
            <w:hideMark/>
          </w:tcPr>
          <w:p w14:paraId="0D0FB840" w14:textId="77777777" w:rsidR="00A94C3E" w:rsidRPr="0018386D" w:rsidRDefault="00A94C3E" w:rsidP="00DD3106">
            <w:pPr>
              <w:pStyle w:val="TableText"/>
              <w:spacing w:before="40" w:after="40"/>
              <w:rPr>
                <w:szCs w:val="18"/>
              </w:rPr>
            </w:pPr>
            <w:r w:rsidRPr="0018386D">
              <w:rPr>
                <w:szCs w:val="18"/>
              </w:rPr>
              <w:t>ha</w:t>
            </w:r>
          </w:p>
        </w:tc>
        <w:tc>
          <w:tcPr>
            <w:tcW w:w="1134" w:type="dxa"/>
            <w:shd w:val="clear" w:color="auto" w:fill="D2DDE1" w:themeFill="background2"/>
            <w:noWrap/>
            <w:hideMark/>
          </w:tcPr>
          <w:p w14:paraId="2F1C27F9" w14:textId="77777777" w:rsidR="00A94C3E" w:rsidRPr="0018386D" w:rsidRDefault="00A94C3E" w:rsidP="00DD3106">
            <w:pPr>
              <w:pStyle w:val="TableText"/>
              <w:spacing w:before="40" w:after="40"/>
              <w:rPr>
                <w:szCs w:val="18"/>
              </w:rPr>
            </w:pPr>
            <w:r w:rsidRPr="0018386D">
              <w:rPr>
                <w:szCs w:val="18"/>
              </w:rPr>
              <w:t>0000</w:t>
            </w:r>
          </w:p>
        </w:tc>
        <w:tc>
          <w:tcPr>
            <w:tcW w:w="1701" w:type="dxa"/>
            <w:noWrap/>
            <w:hideMark/>
          </w:tcPr>
          <w:p w14:paraId="66364230" w14:textId="77777777" w:rsidR="00A94C3E" w:rsidRPr="0018386D" w:rsidRDefault="00A94C3E" w:rsidP="00DD3106">
            <w:pPr>
              <w:pStyle w:val="TableText"/>
              <w:spacing w:before="40" w:after="40"/>
              <w:rPr>
                <w:szCs w:val="18"/>
              </w:rPr>
            </w:pPr>
            <w:r w:rsidRPr="0018386D">
              <w:rPr>
                <w:szCs w:val="18"/>
              </w:rPr>
              <w:t>n/a</w:t>
            </w:r>
          </w:p>
        </w:tc>
      </w:tr>
    </w:tbl>
    <w:p w14:paraId="68954A17" w14:textId="35EA3601" w:rsidR="00962036" w:rsidRPr="0018386D" w:rsidRDefault="00962036" w:rsidP="00DD3106">
      <w:pPr>
        <w:pStyle w:val="Note"/>
        <w:rPr>
          <w:rFonts w:ascii="Segoe UI" w:hAnsi="Segoe UI" w:cs="Segoe UI"/>
        </w:rPr>
      </w:pPr>
      <w:r w:rsidRPr="0018386D">
        <w:t xml:space="preserve">Source: New Zealand’s LUCAS national forest inventory data April </w:t>
      </w:r>
      <w:r w:rsidR="000F682F" w:rsidRPr="0018386D">
        <w:t>2023</w:t>
      </w:r>
      <w:r w:rsidR="00817F94" w:rsidRPr="0018386D">
        <w:t>.</w:t>
      </w:r>
      <w:r w:rsidR="000F682F" w:rsidRPr="0018386D">
        <w:t>  </w:t>
      </w:r>
    </w:p>
    <w:p w14:paraId="1D2F8A53" w14:textId="444AFEBA" w:rsidR="00456D02" w:rsidRPr="0018386D" w:rsidRDefault="00730FF9" w:rsidP="00DD3106">
      <w:pPr>
        <w:pStyle w:val="Tableheading"/>
      </w:pPr>
      <w:bookmarkStart w:id="888" w:name="Table83"/>
      <w:bookmarkStart w:id="889" w:name="_Toc111536695"/>
      <w:bookmarkStart w:id="890" w:name="_Toc140049023"/>
      <w:bookmarkStart w:id="891" w:name="_Ref532483460"/>
      <w:bookmarkStart w:id="892" w:name="Table88"/>
      <w:bookmarkEnd w:id="880"/>
      <w:r w:rsidRPr="0018386D">
        <w:t xml:space="preserve">Table </w:t>
      </w:r>
      <w:r w:rsidRPr="0018386D">
        <w:fldChar w:fldCharType="begin"/>
      </w:r>
      <w:r w:rsidRPr="0018386D">
        <w:instrText>SEQ Table \* ARABIC</w:instrText>
      </w:r>
      <w:r w:rsidRPr="0018386D">
        <w:fldChar w:fldCharType="separate"/>
      </w:r>
      <w:r w:rsidR="001C0788" w:rsidRPr="0018386D">
        <w:t>83</w:t>
      </w:r>
      <w:r w:rsidRPr="0018386D">
        <w:fldChar w:fldCharType="end"/>
      </w:r>
      <w:r w:rsidRPr="0018386D">
        <w:t>:</w:t>
      </w:r>
      <w:bookmarkEnd w:id="888"/>
      <w:r w:rsidRPr="0018386D">
        <w:tab/>
      </w:r>
      <w:r w:rsidR="002C7317" w:rsidRPr="0018386D">
        <w:t xml:space="preserve">LULUCF </w:t>
      </w:r>
      <w:r w:rsidR="009953FD" w:rsidRPr="0018386D">
        <w:t>land-use change</w:t>
      </w:r>
      <w:r w:rsidR="002C7317" w:rsidRPr="0018386D">
        <w:t xml:space="preserve"> emission factors</w:t>
      </w:r>
      <w:bookmarkEnd w:id="889"/>
      <w:bookmarkEnd w:id="890"/>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757"/>
        <w:gridCol w:w="2098"/>
        <w:gridCol w:w="666"/>
        <w:gridCol w:w="1272"/>
        <w:gridCol w:w="1712"/>
      </w:tblGrid>
      <w:tr w:rsidR="00452230" w:rsidRPr="0018386D" w14:paraId="6EE4E3E3" w14:textId="77777777" w:rsidTr="00F466C4">
        <w:trPr>
          <w:divId w:val="1278751454"/>
          <w:tblHeader/>
        </w:trPr>
        <w:tc>
          <w:tcPr>
            <w:tcW w:w="2835" w:type="dxa"/>
            <w:shd w:val="clear" w:color="000000" w:fill="1B556B" w:themeFill="text2"/>
            <w:noWrap/>
            <w:vAlign w:val="bottom"/>
            <w:hideMark/>
          </w:tcPr>
          <w:p w14:paraId="2F32A93D" w14:textId="77777777" w:rsidR="00A94C3E" w:rsidRPr="0018386D" w:rsidRDefault="00A94C3E" w:rsidP="00DD3106">
            <w:pPr>
              <w:pStyle w:val="TableTextbold"/>
              <w:spacing w:before="40" w:after="40"/>
              <w:rPr>
                <w:color w:val="FFFFFF" w:themeColor="background1"/>
                <w:szCs w:val="18"/>
              </w:rPr>
            </w:pPr>
            <w:bookmarkStart w:id="893" w:name="_1746366932"/>
            <w:bookmarkStart w:id="894" w:name="_1745997871"/>
            <w:bookmarkStart w:id="895" w:name="_1746254115"/>
            <w:bookmarkStart w:id="896" w:name="_1747051306"/>
            <w:bookmarkEnd w:id="893"/>
            <w:bookmarkEnd w:id="894"/>
            <w:bookmarkEnd w:id="895"/>
            <w:bookmarkEnd w:id="896"/>
            <w:r w:rsidRPr="0018386D">
              <w:rPr>
                <w:color w:val="FFFFFF" w:themeColor="background1"/>
                <w:szCs w:val="18"/>
              </w:rPr>
              <w:t>Land-use change emission source</w:t>
            </w:r>
          </w:p>
        </w:tc>
        <w:tc>
          <w:tcPr>
            <w:tcW w:w="2155" w:type="dxa"/>
            <w:shd w:val="clear" w:color="000000" w:fill="1B556B" w:themeFill="text2"/>
            <w:noWrap/>
            <w:vAlign w:val="bottom"/>
            <w:hideMark/>
          </w:tcPr>
          <w:p w14:paraId="45935297" w14:textId="77777777" w:rsidR="00A94C3E" w:rsidRPr="0018386D" w:rsidRDefault="00A94C3E" w:rsidP="00DD3106">
            <w:pPr>
              <w:pStyle w:val="TableTextbold"/>
              <w:spacing w:before="40" w:after="40"/>
              <w:rPr>
                <w:color w:val="FFFFFF" w:themeColor="background1"/>
                <w:szCs w:val="18"/>
              </w:rPr>
            </w:pPr>
            <w:r w:rsidRPr="0018386D">
              <w:rPr>
                <w:color w:val="FFFFFF" w:themeColor="background1"/>
                <w:szCs w:val="18"/>
              </w:rPr>
              <w:t> </w:t>
            </w:r>
          </w:p>
        </w:tc>
        <w:tc>
          <w:tcPr>
            <w:tcW w:w="680" w:type="dxa"/>
            <w:shd w:val="clear" w:color="000000" w:fill="1B556B" w:themeFill="text2"/>
            <w:noWrap/>
            <w:vAlign w:val="bottom"/>
            <w:hideMark/>
          </w:tcPr>
          <w:p w14:paraId="3FD444FF" w14:textId="77777777" w:rsidR="00A94C3E" w:rsidRPr="0018386D" w:rsidRDefault="00A94C3E" w:rsidP="00DD3106">
            <w:pPr>
              <w:pStyle w:val="TableTextbold"/>
              <w:spacing w:before="40" w:after="40"/>
              <w:rPr>
                <w:color w:val="FFFFFF" w:themeColor="background1"/>
                <w:szCs w:val="18"/>
              </w:rPr>
            </w:pPr>
            <w:r w:rsidRPr="0018386D">
              <w:rPr>
                <w:color w:val="FFFFFF" w:themeColor="background1"/>
                <w:szCs w:val="18"/>
              </w:rPr>
              <w:t>Unit</w:t>
            </w:r>
          </w:p>
        </w:tc>
        <w:tc>
          <w:tcPr>
            <w:tcW w:w="1304" w:type="dxa"/>
            <w:shd w:val="clear" w:color="000000" w:fill="1B556B" w:themeFill="text2"/>
            <w:noWrap/>
            <w:vAlign w:val="bottom"/>
            <w:hideMark/>
          </w:tcPr>
          <w:p w14:paraId="4D67B1D1" w14:textId="36686231" w:rsidR="00A94C3E" w:rsidRPr="0018386D" w:rsidRDefault="00A94C3E" w:rsidP="00DD3106">
            <w:pPr>
              <w:pStyle w:val="TableTextbold"/>
              <w:spacing w:before="40" w:after="40"/>
              <w:rPr>
                <w:color w:val="FFFFFF" w:themeColor="background1"/>
                <w:szCs w:val="18"/>
              </w:rPr>
            </w:pPr>
            <w:r w:rsidRPr="0018386D">
              <w:rPr>
                <w:color w:val="FFFFFF" w:themeColor="background1"/>
                <w:szCs w:val="18"/>
              </w:rPr>
              <w:t>kg CO₂-e/unit</w:t>
            </w:r>
          </w:p>
        </w:tc>
        <w:tc>
          <w:tcPr>
            <w:tcW w:w="1758" w:type="dxa"/>
            <w:shd w:val="clear" w:color="000000" w:fill="1B556B" w:themeFill="text2"/>
            <w:noWrap/>
            <w:vAlign w:val="bottom"/>
            <w:hideMark/>
          </w:tcPr>
          <w:p w14:paraId="1E1D8E32" w14:textId="49B0BABD" w:rsidR="00A94C3E" w:rsidRPr="0018386D" w:rsidRDefault="00A94C3E" w:rsidP="00DD3106">
            <w:pPr>
              <w:pStyle w:val="TableTextbold"/>
              <w:spacing w:before="40" w:after="40"/>
              <w:rPr>
                <w:color w:val="FFFFFF" w:themeColor="background1"/>
                <w:szCs w:val="18"/>
              </w:rPr>
            </w:pPr>
            <w:r w:rsidRPr="0018386D">
              <w:rPr>
                <w:color w:val="FFFFFF" w:themeColor="background1"/>
                <w:szCs w:val="18"/>
              </w:rPr>
              <w:t>Uncertainty (95% CI)</w:t>
            </w:r>
          </w:p>
        </w:tc>
      </w:tr>
      <w:tr w:rsidR="00452230" w:rsidRPr="0018386D" w14:paraId="5F3893C9" w14:textId="77777777" w:rsidTr="00452230">
        <w:trPr>
          <w:divId w:val="1278751454"/>
          <w:trHeight w:val="240"/>
        </w:trPr>
        <w:tc>
          <w:tcPr>
            <w:tcW w:w="2155" w:type="dxa"/>
            <w:gridSpan w:val="2"/>
            <w:shd w:val="clear" w:color="000000" w:fill="D2DDE1"/>
            <w:noWrap/>
            <w:hideMark/>
          </w:tcPr>
          <w:p w14:paraId="4BC451F6" w14:textId="32FB7DEC" w:rsidR="008E2ED2" w:rsidRPr="0018386D" w:rsidRDefault="008E2ED2" w:rsidP="00DD3106">
            <w:pPr>
              <w:pStyle w:val="TableTextbold"/>
              <w:spacing w:before="40" w:after="40"/>
              <w:rPr>
                <w:szCs w:val="18"/>
              </w:rPr>
            </w:pPr>
            <w:r w:rsidRPr="0018386D">
              <w:rPr>
                <w:szCs w:val="18"/>
              </w:rPr>
              <w:t xml:space="preserve">Planted forests: Approach one </w:t>
            </w:r>
            <w:r w:rsidR="00452230" w:rsidRPr="0018386D">
              <w:rPr>
                <w:szCs w:val="18"/>
              </w:rPr>
              <w:t>–</w:t>
            </w:r>
            <w:r w:rsidRPr="0018386D">
              <w:rPr>
                <w:szCs w:val="18"/>
              </w:rPr>
              <w:t xml:space="preserve"> Stock change accounting</w:t>
            </w:r>
          </w:p>
        </w:tc>
        <w:tc>
          <w:tcPr>
            <w:tcW w:w="680" w:type="dxa"/>
            <w:shd w:val="clear" w:color="000000" w:fill="D2DDE1"/>
            <w:noWrap/>
            <w:hideMark/>
          </w:tcPr>
          <w:p w14:paraId="45892854" w14:textId="77777777" w:rsidR="008E2ED2" w:rsidRPr="0018386D" w:rsidRDefault="008E2ED2" w:rsidP="00DD3106">
            <w:pPr>
              <w:pStyle w:val="TableTextbold"/>
              <w:spacing w:before="40" w:after="40"/>
              <w:rPr>
                <w:szCs w:val="18"/>
              </w:rPr>
            </w:pPr>
            <w:r w:rsidRPr="0018386D">
              <w:rPr>
                <w:szCs w:val="18"/>
              </w:rPr>
              <w:t> </w:t>
            </w:r>
          </w:p>
        </w:tc>
        <w:tc>
          <w:tcPr>
            <w:tcW w:w="1304" w:type="dxa"/>
            <w:shd w:val="clear" w:color="000000" w:fill="D2DDE1"/>
            <w:noWrap/>
            <w:hideMark/>
          </w:tcPr>
          <w:p w14:paraId="39DCEFD0" w14:textId="77777777" w:rsidR="008E2ED2" w:rsidRPr="0018386D" w:rsidRDefault="008E2ED2" w:rsidP="00DD3106">
            <w:pPr>
              <w:pStyle w:val="TableTextbold"/>
              <w:spacing w:before="40" w:after="40"/>
              <w:rPr>
                <w:szCs w:val="18"/>
              </w:rPr>
            </w:pPr>
            <w:r w:rsidRPr="0018386D">
              <w:rPr>
                <w:szCs w:val="18"/>
              </w:rPr>
              <w:t> </w:t>
            </w:r>
          </w:p>
        </w:tc>
        <w:tc>
          <w:tcPr>
            <w:tcW w:w="1758" w:type="dxa"/>
            <w:shd w:val="clear" w:color="000000" w:fill="D2DDE1"/>
            <w:noWrap/>
            <w:hideMark/>
          </w:tcPr>
          <w:p w14:paraId="6BE8DB79" w14:textId="77777777" w:rsidR="008E2ED2" w:rsidRPr="0018386D" w:rsidRDefault="008E2ED2" w:rsidP="00DD3106">
            <w:pPr>
              <w:pStyle w:val="TableTextbold"/>
              <w:spacing w:before="40" w:after="40"/>
              <w:rPr>
                <w:szCs w:val="18"/>
              </w:rPr>
            </w:pPr>
            <w:r w:rsidRPr="0018386D">
              <w:rPr>
                <w:szCs w:val="18"/>
              </w:rPr>
              <w:t> </w:t>
            </w:r>
          </w:p>
        </w:tc>
      </w:tr>
      <w:tr w:rsidR="00452230" w:rsidRPr="0018386D" w14:paraId="30983AE2" w14:textId="77777777" w:rsidTr="00452230">
        <w:trPr>
          <w:divId w:val="1278751454"/>
          <w:trHeight w:val="240"/>
        </w:trPr>
        <w:tc>
          <w:tcPr>
            <w:tcW w:w="2835" w:type="dxa"/>
            <w:shd w:val="clear" w:color="000000" w:fill="FFFFFF"/>
            <w:noWrap/>
            <w:hideMark/>
          </w:tcPr>
          <w:p w14:paraId="36645FBB" w14:textId="77777777" w:rsidR="00A94C3E" w:rsidRPr="0018386D" w:rsidRDefault="00A94C3E" w:rsidP="00DD3106">
            <w:pPr>
              <w:pStyle w:val="TableText"/>
              <w:spacing w:before="40" w:after="40"/>
              <w:rPr>
                <w:szCs w:val="18"/>
              </w:rPr>
            </w:pPr>
            <w:r w:rsidRPr="0018386D">
              <w:rPr>
                <w:szCs w:val="18"/>
              </w:rPr>
              <w:t>All planted forests</w:t>
            </w:r>
          </w:p>
        </w:tc>
        <w:tc>
          <w:tcPr>
            <w:tcW w:w="2155" w:type="dxa"/>
            <w:shd w:val="clear" w:color="000000" w:fill="FFFFFF"/>
            <w:noWrap/>
            <w:hideMark/>
          </w:tcPr>
          <w:p w14:paraId="43B963E6" w14:textId="77777777" w:rsidR="00A94C3E" w:rsidRPr="0018386D" w:rsidRDefault="00A94C3E" w:rsidP="00DD3106">
            <w:pPr>
              <w:pStyle w:val="TableText"/>
              <w:spacing w:before="40" w:after="40"/>
              <w:rPr>
                <w:szCs w:val="18"/>
              </w:rPr>
            </w:pPr>
            <w:r w:rsidRPr="0018386D">
              <w:rPr>
                <w:szCs w:val="18"/>
              </w:rPr>
              <w:t>Harvest or deforestation</w:t>
            </w:r>
          </w:p>
        </w:tc>
        <w:tc>
          <w:tcPr>
            <w:tcW w:w="680" w:type="dxa"/>
            <w:shd w:val="clear" w:color="000000" w:fill="FFFFFF"/>
            <w:noWrap/>
            <w:hideMark/>
          </w:tcPr>
          <w:p w14:paraId="3A3A35AA"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66297CB1" w14:textId="4DA8AB97" w:rsidR="00A94C3E" w:rsidRPr="0018386D" w:rsidRDefault="00A94C3E" w:rsidP="00DD3106">
            <w:pPr>
              <w:pStyle w:val="TableText"/>
              <w:spacing w:before="40" w:after="40"/>
              <w:rPr>
                <w:szCs w:val="18"/>
              </w:rPr>
            </w:pPr>
            <w:r w:rsidRPr="0018386D">
              <w:rPr>
                <w:szCs w:val="18"/>
              </w:rPr>
              <w:t>994</w:t>
            </w:r>
            <w:r w:rsidR="00295647" w:rsidRPr="0018386D">
              <w:rPr>
                <w:szCs w:val="18"/>
              </w:rPr>
              <w:t>,</w:t>
            </w:r>
            <w:r w:rsidRPr="0018386D">
              <w:rPr>
                <w:szCs w:val="18"/>
              </w:rPr>
              <w:t>095</w:t>
            </w:r>
          </w:p>
        </w:tc>
        <w:tc>
          <w:tcPr>
            <w:tcW w:w="1758" w:type="dxa"/>
            <w:shd w:val="clear" w:color="000000" w:fill="FFFFFF"/>
            <w:noWrap/>
            <w:hideMark/>
          </w:tcPr>
          <w:p w14:paraId="60A18C82" w14:textId="7D3845BC" w:rsidR="00A94C3E" w:rsidRPr="0018386D" w:rsidRDefault="00FD5D97" w:rsidP="00DD3106">
            <w:pPr>
              <w:pStyle w:val="TableText"/>
              <w:spacing w:before="40" w:after="40"/>
              <w:rPr>
                <w:szCs w:val="18"/>
              </w:rPr>
            </w:pPr>
            <w:r w:rsidRPr="0018386D">
              <w:rPr>
                <w:szCs w:val="18"/>
              </w:rPr>
              <w:t>±21.9 %</w:t>
            </w:r>
          </w:p>
        </w:tc>
      </w:tr>
      <w:tr w:rsidR="00452230" w:rsidRPr="0018386D" w14:paraId="6C963210" w14:textId="77777777" w:rsidTr="00452230">
        <w:trPr>
          <w:divId w:val="1278751454"/>
          <w:trHeight w:val="240"/>
        </w:trPr>
        <w:tc>
          <w:tcPr>
            <w:tcW w:w="2835" w:type="dxa"/>
            <w:shd w:val="clear" w:color="000000" w:fill="FFFFFF"/>
            <w:noWrap/>
            <w:hideMark/>
          </w:tcPr>
          <w:p w14:paraId="615D16FE" w14:textId="77777777" w:rsidR="00A94C3E" w:rsidRPr="0018386D" w:rsidRDefault="00A94C3E" w:rsidP="00DD3106">
            <w:pPr>
              <w:pStyle w:val="TableText"/>
              <w:spacing w:before="40" w:after="40"/>
              <w:rPr>
                <w:i/>
                <w:iCs/>
                <w:szCs w:val="18"/>
              </w:rPr>
            </w:pPr>
            <w:r w:rsidRPr="0018386D">
              <w:rPr>
                <w:i/>
                <w:iCs/>
                <w:szCs w:val="18"/>
              </w:rPr>
              <w:t>Pinus radiata</w:t>
            </w:r>
          </w:p>
        </w:tc>
        <w:tc>
          <w:tcPr>
            <w:tcW w:w="2155" w:type="dxa"/>
            <w:shd w:val="clear" w:color="000000" w:fill="FFFFFF"/>
            <w:noWrap/>
            <w:hideMark/>
          </w:tcPr>
          <w:p w14:paraId="4B480B2E" w14:textId="77777777" w:rsidR="00A94C3E" w:rsidRPr="0018386D" w:rsidRDefault="00A94C3E" w:rsidP="00DD3106">
            <w:pPr>
              <w:pStyle w:val="TableText"/>
              <w:spacing w:before="40" w:after="40"/>
              <w:rPr>
                <w:szCs w:val="18"/>
              </w:rPr>
            </w:pPr>
            <w:r w:rsidRPr="0018386D">
              <w:rPr>
                <w:szCs w:val="18"/>
              </w:rPr>
              <w:t>Harvest or deforestation</w:t>
            </w:r>
          </w:p>
        </w:tc>
        <w:tc>
          <w:tcPr>
            <w:tcW w:w="680" w:type="dxa"/>
            <w:shd w:val="clear" w:color="000000" w:fill="FFFFFF"/>
            <w:noWrap/>
            <w:hideMark/>
          </w:tcPr>
          <w:p w14:paraId="25E1B5AF"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5F03C979" w14:textId="4FBD145F" w:rsidR="00A94C3E" w:rsidRPr="0018386D" w:rsidRDefault="00A94C3E" w:rsidP="00DD3106">
            <w:pPr>
              <w:pStyle w:val="TableText"/>
              <w:spacing w:before="40" w:after="40"/>
              <w:rPr>
                <w:szCs w:val="18"/>
              </w:rPr>
            </w:pPr>
            <w:r w:rsidRPr="0018386D">
              <w:rPr>
                <w:szCs w:val="18"/>
              </w:rPr>
              <w:t>1</w:t>
            </w:r>
            <w:r w:rsidR="00295647" w:rsidRPr="0018386D">
              <w:rPr>
                <w:szCs w:val="18"/>
              </w:rPr>
              <w:t>,</w:t>
            </w:r>
            <w:r w:rsidRPr="0018386D">
              <w:rPr>
                <w:szCs w:val="18"/>
              </w:rPr>
              <w:t>026</w:t>
            </w:r>
            <w:r w:rsidR="00295647" w:rsidRPr="0018386D">
              <w:rPr>
                <w:szCs w:val="18"/>
              </w:rPr>
              <w:t>,</w:t>
            </w:r>
            <w:r w:rsidRPr="0018386D">
              <w:rPr>
                <w:szCs w:val="18"/>
              </w:rPr>
              <w:t>353</w:t>
            </w:r>
          </w:p>
        </w:tc>
        <w:tc>
          <w:tcPr>
            <w:tcW w:w="1758" w:type="dxa"/>
            <w:shd w:val="clear" w:color="000000" w:fill="FFFFFF"/>
            <w:noWrap/>
            <w:hideMark/>
          </w:tcPr>
          <w:p w14:paraId="2F550B10" w14:textId="72D8267E" w:rsidR="00A94C3E" w:rsidRPr="0018386D" w:rsidRDefault="00FD5D97" w:rsidP="00DD3106">
            <w:pPr>
              <w:pStyle w:val="TableText"/>
              <w:spacing w:before="40" w:after="40"/>
              <w:rPr>
                <w:szCs w:val="18"/>
              </w:rPr>
            </w:pPr>
            <w:r w:rsidRPr="0018386D">
              <w:rPr>
                <w:szCs w:val="18"/>
              </w:rPr>
              <w:t>±21.8 %</w:t>
            </w:r>
          </w:p>
        </w:tc>
      </w:tr>
      <w:tr w:rsidR="00452230" w:rsidRPr="0018386D" w14:paraId="5160874A" w14:textId="77777777" w:rsidTr="00452230">
        <w:trPr>
          <w:divId w:val="1278751454"/>
          <w:trHeight w:val="240"/>
        </w:trPr>
        <w:tc>
          <w:tcPr>
            <w:tcW w:w="2835" w:type="dxa"/>
            <w:shd w:val="clear" w:color="000000" w:fill="FFFFFF"/>
            <w:noWrap/>
            <w:hideMark/>
          </w:tcPr>
          <w:p w14:paraId="2FF0845E" w14:textId="77777777" w:rsidR="00A94C3E" w:rsidRPr="0018386D" w:rsidRDefault="00A94C3E" w:rsidP="00DD3106">
            <w:pPr>
              <w:pStyle w:val="TableText"/>
              <w:spacing w:before="40" w:after="40"/>
              <w:rPr>
                <w:szCs w:val="18"/>
              </w:rPr>
            </w:pPr>
            <w:r w:rsidRPr="0018386D">
              <w:rPr>
                <w:szCs w:val="18"/>
              </w:rPr>
              <w:t>Other softwoods</w:t>
            </w:r>
          </w:p>
        </w:tc>
        <w:tc>
          <w:tcPr>
            <w:tcW w:w="2155" w:type="dxa"/>
            <w:shd w:val="clear" w:color="000000" w:fill="FFFFFF"/>
            <w:noWrap/>
            <w:hideMark/>
          </w:tcPr>
          <w:p w14:paraId="3912CDA9" w14:textId="77777777" w:rsidR="00A94C3E" w:rsidRPr="0018386D" w:rsidRDefault="00A94C3E" w:rsidP="00DD3106">
            <w:pPr>
              <w:pStyle w:val="TableText"/>
              <w:spacing w:before="40" w:after="40"/>
              <w:rPr>
                <w:szCs w:val="18"/>
              </w:rPr>
            </w:pPr>
            <w:r w:rsidRPr="0018386D">
              <w:rPr>
                <w:szCs w:val="18"/>
              </w:rPr>
              <w:t>Harvest or Deforestation</w:t>
            </w:r>
          </w:p>
        </w:tc>
        <w:tc>
          <w:tcPr>
            <w:tcW w:w="680" w:type="dxa"/>
            <w:shd w:val="clear" w:color="000000" w:fill="FFFFFF"/>
            <w:noWrap/>
            <w:hideMark/>
          </w:tcPr>
          <w:p w14:paraId="21689920"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44C7141A" w14:textId="178DCA75" w:rsidR="00A94C3E" w:rsidRPr="0018386D" w:rsidRDefault="00A94C3E" w:rsidP="00DD3106">
            <w:pPr>
              <w:pStyle w:val="TableText"/>
              <w:spacing w:before="40" w:after="40"/>
              <w:rPr>
                <w:szCs w:val="18"/>
              </w:rPr>
            </w:pPr>
            <w:r w:rsidRPr="0018386D">
              <w:rPr>
                <w:szCs w:val="18"/>
              </w:rPr>
              <w:t>1</w:t>
            </w:r>
            <w:r w:rsidR="00295647" w:rsidRPr="0018386D">
              <w:rPr>
                <w:szCs w:val="18"/>
              </w:rPr>
              <w:t>,</w:t>
            </w:r>
            <w:r w:rsidRPr="0018386D">
              <w:rPr>
                <w:szCs w:val="18"/>
              </w:rPr>
              <w:t>176</w:t>
            </w:r>
            <w:r w:rsidR="00295647" w:rsidRPr="0018386D">
              <w:rPr>
                <w:szCs w:val="18"/>
              </w:rPr>
              <w:t>,</w:t>
            </w:r>
            <w:r w:rsidRPr="0018386D">
              <w:rPr>
                <w:szCs w:val="18"/>
              </w:rPr>
              <w:t>533</w:t>
            </w:r>
          </w:p>
        </w:tc>
        <w:tc>
          <w:tcPr>
            <w:tcW w:w="1758" w:type="dxa"/>
            <w:shd w:val="clear" w:color="000000" w:fill="FFFFFF"/>
            <w:noWrap/>
            <w:hideMark/>
          </w:tcPr>
          <w:p w14:paraId="245AFB1F" w14:textId="6949B0DF" w:rsidR="00A94C3E" w:rsidRPr="0018386D" w:rsidRDefault="00FD5D97" w:rsidP="00DD3106">
            <w:pPr>
              <w:pStyle w:val="TableText"/>
              <w:spacing w:before="40" w:after="40"/>
              <w:rPr>
                <w:szCs w:val="18"/>
              </w:rPr>
            </w:pPr>
            <w:r w:rsidRPr="0018386D">
              <w:rPr>
                <w:szCs w:val="18"/>
              </w:rPr>
              <w:t>±28.4 %</w:t>
            </w:r>
          </w:p>
        </w:tc>
      </w:tr>
      <w:tr w:rsidR="00452230" w:rsidRPr="0018386D" w14:paraId="5C4F191A" w14:textId="77777777" w:rsidTr="0097043E">
        <w:trPr>
          <w:divId w:val="1278751454"/>
          <w:trHeight w:val="240"/>
        </w:trPr>
        <w:tc>
          <w:tcPr>
            <w:tcW w:w="2835" w:type="dxa"/>
            <w:shd w:val="clear" w:color="000000" w:fill="FFFFFF"/>
            <w:noWrap/>
            <w:hideMark/>
          </w:tcPr>
          <w:p w14:paraId="277A0B21" w14:textId="77777777" w:rsidR="00A94C3E" w:rsidRPr="0018386D" w:rsidRDefault="00A94C3E" w:rsidP="00DD3106">
            <w:pPr>
              <w:pStyle w:val="TableText"/>
              <w:spacing w:before="40" w:after="40"/>
              <w:rPr>
                <w:szCs w:val="18"/>
              </w:rPr>
            </w:pPr>
            <w:r w:rsidRPr="0018386D">
              <w:rPr>
                <w:szCs w:val="18"/>
              </w:rPr>
              <w:t>All hardwoods</w:t>
            </w:r>
          </w:p>
        </w:tc>
        <w:tc>
          <w:tcPr>
            <w:tcW w:w="2155" w:type="dxa"/>
            <w:shd w:val="clear" w:color="000000" w:fill="FFFFFF"/>
            <w:noWrap/>
            <w:hideMark/>
          </w:tcPr>
          <w:p w14:paraId="1009C536" w14:textId="77777777" w:rsidR="00A94C3E" w:rsidRPr="0018386D" w:rsidRDefault="00A94C3E" w:rsidP="00DD3106">
            <w:pPr>
              <w:pStyle w:val="TableText"/>
              <w:spacing w:before="40" w:after="40"/>
              <w:rPr>
                <w:szCs w:val="18"/>
              </w:rPr>
            </w:pPr>
            <w:r w:rsidRPr="0018386D">
              <w:rPr>
                <w:szCs w:val="18"/>
              </w:rPr>
              <w:t>Harvest or deforestation</w:t>
            </w:r>
          </w:p>
        </w:tc>
        <w:tc>
          <w:tcPr>
            <w:tcW w:w="680" w:type="dxa"/>
            <w:shd w:val="clear" w:color="000000" w:fill="FFFFFF"/>
            <w:noWrap/>
            <w:hideMark/>
          </w:tcPr>
          <w:p w14:paraId="61DF6263"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51CE4B87" w14:textId="359CAC11" w:rsidR="00A94C3E" w:rsidRPr="0018386D" w:rsidRDefault="00A94C3E" w:rsidP="00DD3106">
            <w:pPr>
              <w:pStyle w:val="TableText"/>
              <w:spacing w:before="40" w:after="40"/>
              <w:rPr>
                <w:szCs w:val="18"/>
              </w:rPr>
            </w:pPr>
            <w:r w:rsidRPr="0018386D">
              <w:rPr>
                <w:szCs w:val="18"/>
              </w:rPr>
              <w:t>241</w:t>
            </w:r>
            <w:r w:rsidR="00295647" w:rsidRPr="0018386D">
              <w:rPr>
                <w:szCs w:val="18"/>
              </w:rPr>
              <w:t>,</w:t>
            </w:r>
            <w:r w:rsidRPr="0018386D">
              <w:rPr>
                <w:szCs w:val="18"/>
              </w:rPr>
              <w:t>536</w:t>
            </w:r>
          </w:p>
        </w:tc>
        <w:tc>
          <w:tcPr>
            <w:tcW w:w="1758" w:type="dxa"/>
            <w:shd w:val="clear" w:color="000000" w:fill="FFFFFF"/>
            <w:noWrap/>
            <w:hideMark/>
          </w:tcPr>
          <w:p w14:paraId="72345288" w14:textId="4B135A04" w:rsidR="00A94C3E" w:rsidRPr="0018386D" w:rsidRDefault="00FD5D97" w:rsidP="00DD3106">
            <w:pPr>
              <w:pStyle w:val="TableText"/>
              <w:spacing w:before="40" w:after="40"/>
              <w:rPr>
                <w:szCs w:val="18"/>
              </w:rPr>
            </w:pPr>
            <w:r w:rsidRPr="0018386D">
              <w:rPr>
                <w:szCs w:val="18"/>
              </w:rPr>
              <w:t>±</w:t>
            </w:r>
            <w:r w:rsidR="00901B9C" w:rsidRPr="0018386D">
              <w:rPr>
                <w:szCs w:val="18"/>
              </w:rPr>
              <w:t>66.6 %</w:t>
            </w:r>
          </w:p>
        </w:tc>
      </w:tr>
      <w:tr w:rsidR="00452230" w:rsidRPr="0018386D" w14:paraId="086236B1" w14:textId="77777777" w:rsidTr="0097043E">
        <w:trPr>
          <w:divId w:val="1278751454"/>
          <w:trHeight w:val="240"/>
        </w:trPr>
        <w:tc>
          <w:tcPr>
            <w:tcW w:w="2155" w:type="dxa"/>
            <w:gridSpan w:val="2"/>
            <w:shd w:val="clear" w:color="000000" w:fill="D2DDE1"/>
            <w:noWrap/>
            <w:hideMark/>
          </w:tcPr>
          <w:p w14:paraId="349A31CB" w14:textId="18C5C221" w:rsidR="008E2ED2" w:rsidRPr="0018386D" w:rsidRDefault="008E2ED2" w:rsidP="00DD3106">
            <w:pPr>
              <w:pStyle w:val="TableText"/>
              <w:keepNext/>
              <w:spacing w:before="40" w:after="40"/>
              <w:rPr>
                <w:b/>
                <w:szCs w:val="18"/>
              </w:rPr>
            </w:pPr>
            <w:r w:rsidRPr="0018386D">
              <w:rPr>
                <w:b/>
                <w:szCs w:val="18"/>
              </w:rPr>
              <w:t xml:space="preserve">Planted forests: Approach two </w:t>
            </w:r>
            <w:r w:rsidR="00452230" w:rsidRPr="0018386D">
              <w:rPr>
                <w:b/>
                <w:szCs w:val="18"/>
              </w:rPr>
              <w:t>–</w:t>
            </w:r>
            <w:r w:rsidRPr="0018386D">
              <w:rPr>
                <w:b/>
                <w:szCs w:val="18"/>
              </w:rPr>
              <w:t xml:space="preserve"> Averaging accounting</w:t>
            </w:r>
          </w:p>
        </w:tc>
        <w:tc>
          <w:tcPr>
            <w:tcW w:w="680" w:type="dxa"/>
            <w:shd w:val="clear" w:color="000000" w:fill="D2DDE1"/>
            <w:noWrap/>
            <w:hideMark/>
          </w:tcPr>
          <w:p w14:paraId="1A750BFE" w14:textId="39E9B1DC" w:rsidR="008E2ED2" w:rsidRPr="0018386D" w:rsidRDefault="008E2ED2" w:rsidP="00DD3106">
            <w:pPr>
              <w:pStyle w:val="TableText"/>
              <w:spacing w:before="40" w:after="40"/>
              <w:rPr>
                <w:b/>
                <w:szCs w:val="18"/>
              </w:rPr>
            </w:pPr>
          </w:p>
        </w:tc>
        <w:tc>
          <w:tcPr>
            <w:tcW w:w="1304" w:type="dxa"/>
            <w:shd w:val="clear" w:color="000000" w:fill="D2DDE1"/>
            <w:noWrap/>
            <w:hideMark/>
          </w:tcPr>
          <w:p w14:paraId="1759E18C" w14:textId="55592474" w:rsidR="008E2ED2" w:rsidRPr="0018386D" w:rsidRDefault="008E2ED2" w:rsidP="00DD3106">
            <w:pPr>
              <w:pStyle w:val="TableText"/>
              <w:spacing w:before="40" w:after="40"/>
              <w:rPr>
                <w:b/>
                <w:szCs w:val="18"/>
              </w:rPr>
            </w:pPr>
          </w:p>
        </w:tc>
        <w:tc>
          <w:tcPr>
            <w:tcW w:w="1758" w:type="dxa"/>
            <w:shd w:val="clear" w:color="000000" w:fill="D2DDE1"/>
            <w:noWrap/>
            <w:hideMark/>
          </w:tcPr>
          <w:p w14:paraId="6E2E7C44" w14:textId="57D866AF" w:rsidR="008E2ED2" w:rsidRPr="0018386D" w:rsidRDefault="008E2ED2" w:rsidP="00DD3106">
            <w:pPr>
              <w:pStyle w:val="TableText"/>
              <w:spacing w:before="40" w:after="40"/>
              <w:rPr>
                <w:b/>
                <w:szCs w:val="18"/>
              </w:rPr>
            </w:pPr>
          </w:p>
        </w:tc>
      </w:tr>
      <w:tr w:rsidR="00864328" w:rsidRPr="0018386D" w14:paraId="075569B9" w14:textId="77777777" w:rsidTr="00522B90">
        <w:trPr>
          <w:divId w:val="1278751454"/>
          <w:trHeight w:val="240"/>
        </w:trPr>
        <w:tc>
          <w:tcPr>
            <w:tcW w:w="2835" w:type="dxa"/>
            <w:tcBorders>
              <w:top w:val="nil"/>
              <w:bottom w:val="nil"/>
              <w:right w:val="single" w:sz="4" w:space="0" w:color="1B556B" w:themeColor="text2"/>
            </w:tcBorders>
            <w:shd w:val="clear" w:color="000000" w:fill="FFFFFF"/>
            <w:noWrap/>
            <w:hideMark/>
          </w:tcPr>
          <w:p w14:paraId="4C644231" w14:textId="77777777" w:rsidR="00A94C3E" w:rsidRPr="0018386D" w:rsidRDefault="00A94C3E" w:rsidP="00DD3106">
            <w:pPr>
              <w:pStyle w:val="TableText"/>
              <w:spacing w:before="40" w:after="40"/>
              <w:rPr>
                <w:szCs w:val="18"/>
              </w:rPr>
            </w:pPr>
            <w:r w:rsidRPr="0018386D">
              <w:rPr>
                <w:szCs w:val="18"/>
              </w:rPr>
              <w:t>All planted forests</w:t>
            </w:r>
          </w:p>
        </w:tc>
        <w:tc>
          <w:tcPr>
            <w:tcW w:w="2155" w:type="dxa"/>
            <w:tcBorders>
              <w:left w:val="single" w:sz="4" w:space="0" w:color="1B556B" w:themeColor="text2"/>
            </w:tcBorders>
            <w:shd w:val="clear" w:color="000000" w:fill="FFFFFF"/>
            <w:noWrap/>
            <w:hideMark/>
          </w:tcPr>
          <w:p w14:paraId="3D4C2EB6" w14:textId="77777777" w:rsidR="00A94C3E" w:rsidRPr="0018386D" w:rsidRDefault="00A94C3E" w:rsidP="00DD3106">
            <w:pPr>
              <w:pStyle w:val="TableText"/>
              <w:spacing w:before="40" w:after="40"/>
              <w:rPr>
                <w:szCs w:val="18"/>
              </w:rPr>
            </w:pPr>
            <w:r w:rsidRPr="0018386D">
              <w:rPr>
                <w:szCs w:val="18"/>
              </w:rPr>
              <w:t>Harvest</w:t>
            </w:r>
          </w:p>
        </w:tc>
        <w:tc>
          <w:tcPr>
            <w:tcW w:w="680" w:type="dxa"/>
            <w:shd w:val="clear" w:color="000000" w:fill="FFFFFF"/>
            <w:noWrap/>
            <w:hideMark/>
          </w:tcPr>
          <w:p w14:paraId="2EA8DEF3"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auto" w:fill="D2DDE1" w:themeFill="background2"/>
            <w:noWrap/>
            <w:hideMark/>
          </w:tcPr>
          <w:p w14:paraId="1F7DDA29" w14:textId="77777777" w:rsidR="00A94C3E" w:rsidRPr="0018386D" w:rsidRDefault="00A94C3E" w:rsidP="00DD3106">
            <w:pPr>
              <w:pStyle w:val="TableText"/>
              <w:spacing w:before="40" w:after="40"/>
              <w:rPr>
                <w:szCs w:val="18"/>
              </w:rPr>
            </w:pPr>
            <w:r w:rsidRPr="0018386D">
              <w:rPr>
                <w:szCs w:val="18"/>
              </w:rPr>
              <w:t>n/a</w:t>
            </w:r>
          </w:p>
        </w:tc>
        <w:tc>
          <w:tcPr>
            <w:tcW w:w="1758" w:type="dxa"/>
            <w:shd w:val="clear" w:color="000000" w:fill="FFFFFF"/>
            <w:noWrap/>
            <w:hideMark/>
          </w:tcPr>
          <w:p w14:paraId="3A270E1E" w14:textId="77777777" w:rsidR="00A94C3E" w:rsidRPr="0018386D" w:rsidRDefault="00A94C3E" w:rsidP="00DD3106">
            <w:pPr>
              <w:pStyle w:val="TableText"/>
              <w:spacing w:before="40" w:after="40"/>
              <w:rPr>
                <w:szCs w:val="18"/>
              </w:rPr>
            </w:pPr>
            <w:r w:rsidRPr="0018386D">
              <w:rPr>
                <w:szCs w:val="18"/>
              </w:rPr>
              <w:t>n/a</w:t>
            </w:r>
          </w:p>
        </w:tc>
      </w:tr>
      <w:tr w:rsidR="00864328" w:rsidRPr="0018386D" w14:paraId="3B2DEB87" w14:textId="77777777" w:rsidTr="00522B90">
        <w:trPr>
          <w:divId w:val="1278751454"/>
          <w:trHeight w:val="240"/>
        </w:trPr>
        <w:tc>
          <w:tcPr>
            <w:tcW w:w="2835" w:type="dxa"/>
            <w:tcBorders>
              <w:top w:val="nil"/>
              <w:bottom w:val="single" w:sz="4" w:space="0" w:color="1B556B" w:themeColor="text2"/>
              <w:right w:val="single" w:sz="4" w:space="0" w:color="1B556B" w:themeColor="text2"/>
            </w:tcBorders>
            <w:shd w:val="clear" w:color="000000" w:fill="FFFFFF"/>
            <w:noWrap/>
            <w:hideMark/>
          </w:tcPr>
          <w:p w14:paraId="470436D9" w14:textId="77777777" w:rsidR="00A94C3E" w:rsidRPr="0018386D" w:rsidRDefault="00A94C3E" w:rsidP="00DD3106">
            <w:pPr>
              <w:pStyle w:val="TableText"/>
              <w:spacing w:before="40" w:after="40"/>
              <w:rPr>
                <w:szCs w:val="18"/>
              </w:rPr>
            </w:pPr>
            <w:r w:rsidRPr="0018386D">
              <w:rPr>
                <w:szCs w:val="18"/>
              </w:rPr>
              <w:t> </w:t>
            </w:r>
          </w:p>
        </w:tc>
        <w:tc>
          <w:tcPr>
            <w:tcW w:w="2155" w:type="dxa"/>
            <w:tcBorders>
              <w:left w:val="single" w:sz="4" w:space="0" w:color="1B556B" w:themeColor="text2"/>
            </w:tcBorders>
            <w:shd w:val="clear" w:color="000000" w:fill="FFFFFF"/>
            <w:noWrap/>
            <w:hideMark/>
          </w:tcPr>
          <w:p w14:paraId="07B8FABA" w14:textId="77777777" w:rsidR="00A94C3E" w:rsidRPr="0018386D" w:rsidRDefault="00A94C3E" w:rsidP="00DD3106">
            <w:pPr>
              <w:pStyle w:val="TableText"/>
              <w:spacing w:before="40" w:after="40"/>
              <w:rPr>
                <w:szCs w:val="18"/>
              </w:rPr>
            </w:pPr>
            <w:r w:rsidRPr="0018386D">
              <w:rPr>
                <w:szCs w:val="18"/>
              </w:rPr>
              <w:t>Deforestation</w:t>
            </w:r>
          </w:p>
        </w:tc>
        <w:tc>
          <w:tcPr>
            <w:tcW w:w="680" w:type="dxa"/>
            <w:shd w:val="clear" w:color="000000" w:fill="FFFFFF"/>
            <w:noWrap/>
            <w:hideMark/>
          </w:tcPr>
          <w:p w14:paraId="5E776784"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auto" w:fill="D2DDE1" w:themeFill="background2"/>
            <w:noWrap/>
            <w:hideMark/>
          </w:tcPr>
          <w:p w14:paraId="25CB2AC4" w14:textId="5681DF8B" w:rsidR="00A94C3E" w:rsidRPr="0018386D" w:rsidRDefault="00A94C3E" w:rsidP="00DD3106">
            <w:pPr>
              <w:pStyle w:val="TableText"/>
              <w:spacing w:before="40" w:after="40"/>
              <w:rPr>
                <w:szCs w:val="18"/>
              </w:rPr>
            </w:pPr>
            <w:r w:rsidRPr="0018386D">
              <w:rPr>
                <w:szCs w:val="18"/>
              </w:rPr>
              <w:t>994</w:t>
            </w:r>
            <w:r w:rsidR="00295647" w:rsidRPr="0018386D">
              <w:rPr>
                <w:szCs w:val="18"/>
              </w:rPr>
              <w:t>,</w:t>
            </w:r>
            <w:r w:rsidRPr="0018386D">
              <w:rPr>
                <w:szCs w:val="18"/>
              </w:rPr>
              <w:t>095</w:t>
            </w:r>
          </w:p>
        </w:tc>
        <w:tc>
          <w:tcPr>
            <w:tcW w:w="1758" w:type="dxa"/>
            <w:shd w:val="clear" w:color="000000" w:fill="FFFFFF"/>
            <w:noWrap/>
            <w:hideMark/>
          </w:tcPr>
          <w:p w14:paraId="7E3465AF" w14:textId="407120B9" w:rsidR="00A94C3E" w:rsidRPr="0018386D" w:rsidRDefault="00901B9C" w:rsidP="00DD3106">
            <w:pPr>
              <w:pStyle w:val="TableText"/>
              <w:spacing w:before="40" w:after="40"/>
              <w:rPr>
                <w:szCs w:val="18"/>
              </w:rPr>
            </w:pPr>
            <w:r w:rsidRPr="0018386D">
              <w:rPr>
                <w:szCs w:val="18"/>
              </w:rPr>
              <w:t>±21.9 %</w:t>
            </w:r>
          </w:p>
        </w:tc>
      </w:tr>
      <w:tr w:rsidR="00864328" w:rsidRPr="0018386D" w14:paraId="41F16F3A" w14:textId="77777777" w:rsidTr="00522B90">
        <w:trPr>
          <w:divId w:val="1278751454"/>
          <w:trHeight w:val="240"/>
        </w:trPr>
        <w:tc>
          <w:tcPr>
            <w:tcW w:w="2835" w:type="dxa"/>
            <w:tcBorders>
              <w:top w:val="single" w:sz="4" w:space="0" w:color="1B556B" w:themeColor="text2"/>
              <w:bottom w:val="nil"/>
              <w:right w:val="single" w:sz="4" w:space="0" w:color="1B556B" w:themeColor="text2"/>
            </w:tcBorders>
            <w:shd w:val="clear" w:color="000000" w:fill="FFFFFF"/>
            <w:noWrap/>
            <w:hideMark/>
          </w:tcPr>
          <w:p w14:paraId="751DE88D" w14:textId="77777777" w:rsidR="00A94C3E" w:rsidRPr="0018386D" w:rsidRDefault="00A94C3E" w:rsidP="00DD3106">
            <w:pPr>
              <w:pStyle w:val="TableText"/>
              <w:spacing w:before="40" w:after="40"/>
              <w:rPr>
                <w:i/>
                <w:iCs/>
                <w:szCs w:val="18"/>
              </w:rPr>
            </w:pPr>
            <w:r w:rsidRPr="0018386D">
              <w:rPr>
                <w:i/>
                <w:iCs/>
                <w:szCs w:val="18"/>
              </w:rPr>
              <w:t>Pinus radiata</w:t>
            </w:r>
          </w:p>
        </w:tc>
        <w:tc>
          <w:tcPr>
            <w:tcW w:w="2155" w:type="dxa"/>
            <w:tcBorders>
              <w:left w:val="single" w:sz="4" w:space="0" w:color="1B556B" w:themeColor="text2"/>
            </w:tcBorders>
            <w:shd w:val="clear" w:color="000000" w:fill="FFFFFF"/>
            <w:noWrap/>
            <w:hideMark/>
          </w:tcPr>
          <w:p w14:paraId="176F653B" w14:textId="77777777" w:rsidR="00A94C3E" w:rsidRPr="0018386D" w:rsidRDefault="00A94C3E" w:rsidP="00DD3106">
            <w:pPr>
              <w:pStyle w:val="TableText"/>
              <w:spacing w:before="40" w:after="40"/>
              <w:rPr>
                <w:szCs w:val="18"/>
              </w:rPr>
            </w:pPr>
            <w:r w:rsidRPr="0018386D">
              <w:rPr>
                <w:szCs w:val="18"/>
              </w:rPr>
              <w:t>Harvest</w:t>
            </w:r>
          </w:p>
        </w:tc>
        <w:tc>
          <w:tcPr>
            <w:tcW w:w="680" w:type="dxa"/>
            <w:shd w:val="clear" w:color="000000" w:fill="FFFFFF"/>
            <w:noWrap/>
            <w:hideMark/>
          </w:tcPr>
          <w:p w14:paraId="278B5397"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auto" w:fill="D2DDE1" w:themeFill="background2"/>
            <w:noWrap/>
            <w:hideMark/>
          </w:tcPr>
          <w:p w14:paraId="27128274" w14:textId="77777777" w:rsidR="00A94C3E" w:rsidRPr="0018386D" w:rsidRDefault="00A94C3E" w:rsidP="00DD3106">
            <w:pPr>
              <w:pStyle w:val="TableText"/>
              <w:spacing w:before="40" w:after="40"/>
              <w:rPr>
                <w:szCs w:val="18"/>
              </w:rPr>
            </w:pPr>
            <w:r w:rsidRPr="0018386D">
              <w:rPr>
                <w:szCs w:val="18"/>
              </w:rPr>
              <w:t>n/a</w:t>
            </w:r>
          </w:p>
        </w:tc>
        <w:tc>
          <w:tcPr>
            <w:tcW w:w="1758" w:type="dxa"/>
            <w:shd w:val="clear" w:color="000000" w:fill="FFFFFF"/>
            <w:noWrap/>
            <w:hideMark/>
          </w:tcPr>
          <w:p w14:paraId="0C235145" w14:textId="77777777" w:rsidR="00A94C3E" w:rsidRPr="0018386D" w:rsidRDefault="00A94C3E" w:rsidP="00DD3106">
            <w:pPr>
              <w:pStyle w:val="TableText"/>
              <w:spacing w:before="40" w:after="40"/>
              <w:rPr>
                <w:szCs w:val="18"/>
              </w:rPr>
            </w:pPr>
            <w:r w:rsidRPr="0018386D">
              <w:rPr>
                <w:szCs w:val="18"/>
              </w:rPr>
              <w:t>n/a</w:t>
            </w:r>
          </w:p>
        </w:tc>
      </w:tr>
      <w:tr w:rsidR="00864328" w:rsidRPr="0018386D" w14:paraId="4B7DF109" w14:textId="77777777" w:rsidTr="00522B90">
        <w:trPr>
          <w:divId w:val="1278751454"/>
          <w:trHeight w:val="240"/>
        </w:trPr>
        <w:tc>
          <w:tcPr>
            <w:tcW w:w="2835" w:type="dxa"/>
            <w:tcBorders>
              <w:top w:val="nil"/>
              <w:bottom w:val="single" w:sz="4" w:space="0" w:color="1B556B" w:themeColor="text2"/>
              <w:right w:val="single" w:sz="4" w:space="0" w:color="1B556B" w:themeColor="text2"/>
            </w:tcBorders>
            <w:shd w:val="clear" w:color="000000" w:fill="FFFFFF"/>
            <w:noWrap/>
            <w:hideMark/>
          </w:tcPr>
          <w:p w14:paraId="7016FE0A" w14:textId="77777777" w:rsidR="00A94C3E" w:rsidRPr="0018386D" w:rsidRDefault="00A94C3E" w:rsidP="00DD3106">
            <w:pPr>
              <w:pStyle w:val="TableText"/>
              <w:spacing w:before="40" w:after="40"/>
              <w:rPr>
                <w:szCs w:val="18"/>
              </w:rPr>
            </w:pPr>
            <w:r w:rsidRPr="0018386D">
              <w:rPr>
                <w:szCs w:val="18"/>
              </w:rPr>
              <w:t> </w:t>
            </w:r>
          </w:p>
        </w:tc>
        <w:tc>
          <w:tcPr>
            <w:tcW w:w="2155" w:type="dxa"/>
            <w:tcBorders>
              <w:left w:val="single" w:sz="4" w:space="0" w:color="1B556B" w:themeColor="text2"/>
            </w:tcBorders>
            <w:shd w:val="clear" w:color="000000" w:fill="FFFFFF"/>
            <w:noWrap/>
            <w:hideMark/>
          </w:tcPr>
          <w:p w14:paraId="3D1CABB0" w14:textId="77777777" w:rsidR="00A94C3E" w:rsidRPr="0018386D" w:rsidRDefault="00A94C3E" w:rsidP="00DD3106">
            <w:pPr>
              <w:pStyle w:val="TableText"/>
              <w:spacing w:before="40" w:after="40"/>
              <w:rPr>
                <w:szCs w:val="18"/>
              </w:rPr>
            </w:pPr>
            <w:r w:rsidRPr="0018386D">
              <w:rPr>
                <w:szCs w:val="18"/>
              </w:rPr>
              <w:t>Deforestation</w:t>
            </w:r>
          </w:p>
        </w:tc>
        <w:tc>
          <w:tcPr>
            <w:tcW w:w="680" w:type="dxa"/>
            <w:shd w:val="clear" w:color="000000" w:fill="FFFFFF"/>
            <w:noWrap/>
            <w:hideMark/>
          </w:tcPr>
          <w:p w14:paraId="0FF341B4"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auto" w:fill="D2DDE1" w:themeFill="background2"/>
            <w:noWrap/>
            <w:hideMark/>
          </w:tcPr>
          <w:p w14:paraId="022C43CD" w14:textId="23944FA0" w:rsidR="00A94C3E" w:rsidRPr="0018386D" w:rsidRDefault="00A94C3E" w:rsidP="00DD3106">
            <w:pPr>
              <w:pStyle w:val="TableText"/>
              <w:spacing w:before="40" w:after="40"/>
              <w:rPr>
                <w:szCs w:val="18"/>
              </w:rPr>
            </w:pPr>
            <w:r w:rsidRPr="0018386D">
              <w:rPr>
                <w:szCs w:val="18"/>
              </w:rPr>
              <w:t>1</w:t>
            </w:r>
            <w:r w:rsidR="00295647" w:rsidRPr="0018386D">
              <w:rPr>
                <w:szCs w:val="18"/>
              </w:rPr>
              <w:t>,</w:t>
            </w:r>
            <w:r w:rsidRPr="0018386D">
              <w:rPr>
                <w:szCs w:val="18"/>
              </w:rPr>
              <w:t>026</w:t>
            </w:r>
            <w:r w:rsidR="00295647" w:rsidRPr="0018386D">
              <w:rPr>
                <w:szCs w:val="18"/>
              </w:rPr>
              <w:t>,</w:t>
            </w:r>
            <w:r w:rsidRPr="0018386D">
              <w:rPr>
                <w:szCs w:val="18"/>
              </w:rPr>
              <w:t>353</w:t>
            </w:r>
          </w:p>
        </w:tc>
        <w:tc>
          <w:tcPr>
            <w:tcW w:w="1758" w:type="dxa"/>
            <w:shd w:val="clear" w:color="000000" w:fill="FFFFFF"/>
            <w:noWrap/>
            <w:hideMark/>
          </w:tcPr>
          <w:p w14:paraId="7731C5CB" w14:textId="4F0127CE" w:rsidR="00A94C3E" w:rsidRPr="0018386D" w:rsidRDefault="00901B9C" w:rsidP="00DD3106">
            <w:pPr>
              <w:pStyle w:val="TableText"/>
              <w:spacing w:before="40" w:after="40"/>
              <w:rPr>
                <w:szCs w:val="18"/>
              </w:rPr>
            </w:pPr>
            <w:r w:rsidRPr="0018386D">
              <w:rPr>
                <w:szCs w:val="18"/>
              </w:rPr>
              <w:t>±</w:t>
            </w:r>
            <w:r w:rsidR="00C23563" w:rsidRPr="0018386D">
              <w:rPr>
                <w:szCs w:val="18"/>
              </w:rPr>
              <w:t>21.8 %</w:t>
            </w:r>
          </w:p>
        </w:tc>
      </w:tr>
      <w:tr w:rsidR="00864328" w:rsidRPr="0018386D" w14:paraId="30549455" w14:textId="77777777" w:rsidTr="00522B90">
        <w:trPr>
          <w:divId w:val="1278751454"/>
          <w:trHeight w:val="240"/>
        </w:trPr>
        <w:tc>
          <w:tcPr>
            <w:tcW w:w="2835" w:type="dxa"/>
            <w:tcBorders>
              <w:top w:val="single" w:sz="4" w:space="0" w:color="1B556B" w:themeColor="text2"/>
              <w:bottom w:val="nil"/>
              <w:right w:val="single" w:sz="4" w:space="0" w:color="1B556B" w:themeColor="text2"/>
            </w:tcBorders>
            <w:shd w:val="clear" w:color="000000" w:fill="FFFFFF"/>
            <w:noWrap/>
            <w:hideMark/>
          </w:tcPr>
          <w:p w14:paraId="048D148A" w14:textId="77777777" w:rsidR="00A94C3E" w:rsidRPr="0018386D" w:rsidRDefault="00A94C3E" w:rsidP="00DD3106">
            <w:pPr>
              <w:pStyle w:val="TableText"/>
              <w:spacing w:before="40" w:after="40"/>
              <w:rPr>
                <w:szCs w:val="18"/>
              </w:rPr>
            </w:pPr>
            <w:r w:rsidRPr="0018386D">
              <w:rPr>
                <w:szCs w:val="18"/>
              </w:rPr>
              <w:t>Other softwoods</w:t>
            </w:r>
          </w:p>
        </w:tc>
        <w:tc>
          <w:tcPr>
            <w:tcW w:w="2155" w:type="dxa"/>
            <w:tcBorders>
              <w:left w:val="single" w:sz="4" w:space="0" w:color="1B556B" w:themeColor="text2"/>
            </w:tcBorders>
            <w:shd w:val="clear" w:color="000000" w:fill="FFFFFF"/>
            <w:noWrap/>
            <w:hideMark/>
          </w:tcPr>
          <w:p w14:paraId="3359A6E2" w14:textId="77777777" w:rsidR="00A94C3E" w:rsidRPr="0018386D" w:rsidRDefault="00A94C3E" w:rsidP="00DD3106">
            <w:pPr>
              <w:pStyle w:val="TableText"/>
              <w:spacing w:before="40" w:after="40"/>
              <w:rPr>
                <w:szCs w:val="18"/>
              </w:rPr>
            </w:pPr>
            <w:r w:rsidRPr="0018386D">
              <w:rPr>
                <w:szCs w:val="18"/>
              </w:rPr>
              <w:t>Harvest</w:t>
            </w:r>
          </w:p>
        </w:tc>
        <w:tc>
          <w:tcPr>
            <w:tcW w:w="680" w:type="dxa"/>
            <w:shd w:val="clear" w:color="000000" w:fill="FFFFFF"/>
            <w:noWrap/>
            <w:hideMark/>
          </w:tcPr>
          <w:p w14:paraId="11640126"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auto" w:fill="D2DDE1" w:themeFill="background2"/>
            <w:noWrap/>
            <w:hideMark/>
          </w:tcPr>
          <w:p w14:paraId="448CC880" w14:textId="77777777" w:rsidR="00A94C3E" w:rsidRPr="0018386D" w:rsidRDefault="00A94C3E" w:rsidP="00DD3106">
            <w:pPr>
              <w:pStyle w:val="TableText"/>
              <w:spacing w:before="40" w:after="40"/>
              <w:rPr>
                <w:szCs w:val="18"/>
              </w:rPr>
            </w:pPr>
            <w:r w:rsidRPr="0018386D">
              <w:rPr>
                <w:szCs w:val="18"/>
              </w:rPr>
              <w:t>n/a</w:t>
            </w:r>
          </w:p>
        </w:tc>
        <w:tc>
          <w:tcPr>
            <w:tcW w:w="1758" w:type="dxa"/>
            <w:shd w:val="clear" w:color="000000" w:fill="FFFFFF"/>
            <w:noWrap/>
            <w:hideMark/>
          </w:tcPr>
          <w:p w14:paraId="67F4AB18" w14:textId="77777777" w:rsidR="00A94C3E" w:rsidRPr="0018386D" w:rsidRDefault="00A94C3E" w:rsidP="00DD3106">
            <w:pPr>
              <w:pStyle w:val="TableText"/>
              <w:spacing w:before="40" w:after="40"/>
              <w:rPr>
                <w:szCs w:val="18"/>
              </w:rPr>
            </w:pPr>
            <w:r w:rsidRPr="0018386D">
              <w:rPr>
                <w:szCs w:val="18"/>
              </w:rPr>
              <w:t>n/a</w:t>
            </w:r>
          </w:p>
        </w:tc>
      </w:tr>
      <w:tr w:rsidR="00864328" w:rsidRPr="0018386D" w14:paraId="2A431161" w14:textId="77777777" w:rsidTr="00522B90">
        <w:trPr>
          <w:divId w:val="1278751454"/>
          <w:trHeight w:val="240"/>
        </w:trPr>
        <w:tc>
          <w:tcPr>
            <w:tcW w:w="2835" w:type="dxa"/>
            <w:tcBorders>
              <w:top w:val="nil"/>
              <w:bottom w:val="single" w:sz="4" w:space="0" w:color="1B556B" w:themeColor="text2"/>
              <w:right w:val="single" w:sz="4" w:space="0" w:color="1B556B" w:themeColor="text2"/>
            </w:tcBorders>
            <w:shd w:val="clear" w:color="000000" w:fill="FFFFFF"/>
            <w:noWrap/>
            <w:hideMark/>
          </w:tcPr>
          <w:p w14:paraId="7242309C" w14:textId="77777777" w:rsidR="00A94C3E" w:rsidRPr="0018386D" w:rsidRDefault="00A94C3E" w:rsidP="00DD3106">
            <w:pPr>
              <w:pStyle w:val="TableText"/>
              <w:spacing w:before="40" w:after="40"/>
              <w:rPr>
                <w:szCs w:val="18"/>
              </w:rPr>
            </w:pPr>
            <w:r w:rsidRPr="0018386D">
              <w:rPr>
                <w:szCs w:val="18"/>
              </w:rPr>
              <w:t> </w:t>
            </w:r>
          </w:p>
        </w:tc>
        <w:tc>
          <w:tcPr>
            <w:tcW w:w="2155" w:type="dxa"/>
            <w:tcBorders>
              <w:left w:val="single" w:sz="4" w:space="0" w:color="1B556B" w:themeColor="text2"/>
            </w:tcBorders>
            <w:shd w:val="clear" w:color="000000" w:fill="FFFFFF"/>
            <w:noWrap/>
            <w:hideMark/>
          </w:tcPr>
          <w:p w14:paraId="704FD478" w14:textId="77777777" w:rsidR="00A94C3E" w:rsidRPr="0018386D" w:rsidRDefault="00A94C3E" w:rsidP="00DD3106">
            <w:pPr>
              <w:pStyle w:val="TableText"/>
              <w:spacing w:before="40" w:after="40"/>
              <w:rPr>
                <w:szCs w:val="18"/>
              </w:rPr>
            </w:pPr>
            <w:r w:rsidRPr="0018386D">
              <w:rPr>
                <w:szCs w:val="18"/>
              </w:rPr>
              <w:t>Deforestation</w:t>
            </w:r>
          </w:p>
        </w:tc>
        <w:tc>
          <w:tcPr>
            <w:tcW w:w="680" w:type="dxa"/>
            <w:shd w:val="clear" w:color="000000" w:fill="FFFFFF"/>
            <w:noWrap/>
            <w:hideMark/>
          </w:tcPr>
          <w:p w14:paraId="4196ECEA"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auto" w:fill="D2DDE1" w:themeFill="background2"/>
            <w:noWrap/>
            <w:hideMark/>
          </w:tcPr>
          <w:p w14:paraId="560BA772" w14:textId="4A11ACC9" w:rsidR="00A94C3E" w:rsidRPr="0018386D" w:rsidRDefault="00A94C3E" w:rsidP="00DD3106">
            <w:pPr>
              <w:pStyle w:val="TableText"/>
              <w:spacing w:before="40" w:after="40"/>
              <w:rPr>
                <w:szCs w:val="18"/>
              </w:rPr>
            </w:pPr>
            <w:r w:rsidRPr="0018386D">
              <w:rPr>
                <w:szCs w:val="18"/>
              </w:rPr>
              <w:t>1</w:t>
            </w:r>
            <w:r w:rsidR="00295647" w:rsidRPr="0018386D">
              <w:rPr>
                <w:szCs w:val="18"/>
              </w:rPr>
              <w:t>,</w:t>
            </w:r>
            <w:r w:rsidRPr="0018386D">
              <w:rPr>
                <w:szCs w:val="18"/>
              </w:rPr>
              <w:t>176</w:t>
            </w:r>
            <w:r w:rsidR="00295647" w:rsidRPr="0018386D">
              <w:rPr>
                <w:szCs w:val="18"/>
              </w:rPr>
              <w:t>,</w:t>
            </w:r>
            <w:r w:rsidRPr="0018386D">
              <w:rPr>
                <w:szCs w:val="18"/>
              </w:rPr>
              <w:t>533</w:t>
            </w:r>
          </w:p>
        </w:tc>
        <w:tc>
          <w:tcPr>
            <w:tcW w:w="1758" w:type="dxa"/>
            <w:shd w:val="clear" w:color="000000" w:fill="FFFFFF"/>
            <w:noWrap/>
            <w:hideMark/>
          </w:tcPr>
          <w:p w14:paraId="1823A379" w14:textId="7A60F86D" w:rsidR="00A94C3E" w:rsidRPr="0018386D" w:rsidRDefault="00C23563" w:rsidP="00DD3106">
            <w:pPr>
              <w:pStyle w:val="TableText"/>
              <w:spacing w:before="40" w:after="40"/>
              <w:rPr>
                <w:szCs w:val="18"/>
              </w:rPr>
            </w:pPr>
            <w:r w:rsidRPr="0018386D">
              <w:rPr>
                <w:szCs w:val="18"/>
              </w:rPr>
              <w:t>±28.4 %</w:t>
            </w:r>
          </w:p>
        </w:tc>
      </w:tr>
      <w:tr w:rsidR="00864328" w:rsidRPr="0018386D" w14:paraId="5AF59B39" w14:textId="77777777" w:rsidTr="00522B90">
        <w:trPr>
          <w:divId w:val="1278751454"/>
          <w:trHeight w:val="240"/>
        </w:trPr>
        <w:tc>
          <w:tcPr>
            <w:tcW w:w="2835" w:type="dxa"/>
            <w:tcBorders>
              <w:top w:val="single" w:sz="4" w:space="0" w:color="1B556B" w:themeColor="text2"/>
              <w:bottom w:val="nil"/>
              <w:right w:val="single" w:sz="4" w:space="0" w:color="1B556B" w:themeColor="text2"/>
            </w:tcBorders>
            <w:shd w:val="clear" w:color="000000" w:fill="FFFFFF"/>
            <w:noWrap/>
            <w:hideMark/>
          </w:tcPr>
          <w:p w14:paraId="37FDAC23" w14:textId="77777777" w:rsidR="00A94C3E" w:rsidRPr="0018386D" w:rsidRDefault="00A94C3E" w:rsidP="00DD3106">
            <w:pPr>
              <w:pStyle w:val="TableText"/>
              <w:spacing w:before="40" w:after="40"/>
              <w:rPr>
                <w:szCs w:val="18"/>
              </w:rPr>
            </w:pPr>
            <w:r w:rsidRPr="0018386D">
              <w:rPr>
                <w:szCs w:val="18"/>
              </w:rPr>
              <w:t>All hardwoods</w:t>
            </w:r>
          </w:p>
        </w:tc>
        <w:tc>
          <w:tcPr>
            <w:tcW w:w="2155" w:type="dxa"/>
            <w:tcBorders>
              <w:left w:val="single" w:sz="4" w:space="0" w:color="1B556B" w:themeColor="text2"/>
            </w:tcBorders>
            <w:shd w:val="clear" w:color="000000" w:fill="FFFFFF"/>
            <w:noWrap/>
            <w:hideMark/>
          </w:tcPr>
          <w:p w14:paraId="19C18233" w14:textId="77777777" w:rsidR="00A94C3E" w:rsidRPr="0018386D" w:rsidRDefault="00A94C3E" w:rsidP="00DD3106">
            <w:pPr>
              <w:pStyle w:val="TableText"/>
              <w:spacing w:before="40" w:after="40"/>
              <w:rPr>
                <w:szCs w:val="18"/>
              </w:rPr>
            </w:pPr>
            <w:r w:rsidRPr="0018386D">
              <w:rPr>
                <w:szCs w:val="18"/>
              </w:rPr>
              <w:t>Harvest</w:t>
            </w:r>
          </w:p>
        </w:tc>
        <w:tc>
          <w:tcPr>
            <w:tcW w:w="680" w:type="dxa"/>
            <w:shd w:val="clear" w:color="000000" w:fill="FFFFFF"/>
            <w:noWrap/>
            <w:hideMark/>
          </w:tcPr>
          <w:p w14:paraId="2FAC9CF2"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auto" w:fill="D2DDE1" w:themeFill="background2"/>
            <w:noWrap/>
            <w:hideMark/>
          </w:tcPr>
          <w:p w14:paraId="0C0DAF28" w14:textId="77777777" w:rsidR="00A94C3E" w:rsidRPr="0018386D" w:rsidRDefault="00A94C3E" w:rsidP="00DD3106">
            <w:pPr>
              <w:pStyle w:val="TableText"/>
              <w:spacing w:before="40" w:after="40"/>
              <w:rPr>
                <w:szCs w:val="18"/>
              </w:rPr>
            </w:pPr>
            <w:r w:rsidRPr="0018386D">
              <w:rPr>
                <w:szCs w:val="18"/>
              </w:rPr>
              <w:t>n/a</w:t>
            </w:r>
          </w:p>
        </w:tc>
        <w:tc>
          <w:tcPr>
            <w:tcW w:w="1758" w:type="dxa"/>
            <w:shd w:val="clear" w:color="000000" w:fill="FFFFFF"/>
            <w:noWrap/>
            <w:hideMark/>
          </w:tcPr>
          <w:p w14:paraId="040550B3" w14:textId="77777777" w:rsidR="00A94C3E" w:rsidRPr="0018386D" w:rsidRDefault="00A94C3E" w:rsidP="00DD3106">
            <w:pPr>
              <w:pStyle w:val="TableText"/>
              <w:spacing w:before="40" w:after="40"/>
              <w:rPr>
                <w:szCs w:val="18"/>
              </w:rPr>
            </w:pPr>
            <w:r w:rsidRPr="0018386D">
              <w:rPr>
                <w:szCs w:val="18"/>
              </w:rPr>
              <w:t>n/a</w:t>
            </w:r>
          </w:p>
        </w:tc>
      </w:tr>
      <w:tr w:rsidR="00452230" w:rsidRPr="0018386D" w14:paraId="6DA7D282" w14:textId="77777777" w:rsidTr="00575E53">
        <w:trPr>
          <w:divId w:val="1278751454"/>
          <w:trHeight w:val="240"/>
        </w:trPr>
        <w:tc>
          <w:tcPr>
            <w:tcW w:w="2835" w:type="dxa"/>
            <w:tcBorders>
              <w:top w:val="nil"/>
              <w:bottom w:val="single" w:sz="4" w:space="0" w:color="1B556B" w:themeColor="text2"/>
              <w:right w:val="single" w:sz="4" w:space="0" w:color="1B556B" w:themeColor="text2"/>
            </w:tcBorders>
            <w:shd w:val="clear" w:color="000000" w:fill="FFFFFF"/>
            <w:noWrap/>
            <w:hideMark/>
          </w:tcPr>
          <w:p w14:paraId="579A9216" w14:textId="77777777" w:rsidR="00A94C3E" w:rsidRPr="0018386D" w:rsidRDefault="00A94C3E" w:rsidP="00DD3106">
            <w:pPr>
              <w:pStyle w:val="TableText"/>
              <w:spacing w:before="40" w:after="40"/>
              <w:rPr>
                <w:szCs w:val="18"/>
              </w:rPr>
            </w:pPr>
            <w:r w:rsidRPr="0018386D">
              <w:rPr>
                <w:szCs w:val="18"/>
              </w:rPr>
              <w:t> </w:t>
            </w:r>
          </w:p>
        </w:tc>
        <w:tc>
          <w:tcPr>
            <w:tcW w:w="2155" w:type="dxa"/>
            <w:tcBorders>
              <w:left w:val="single" w:sz="4" w:space="0" w:color="1B556B" w:themeColor="text2"/>
            </w:tcBorders>
            <w:shd w:val="clear" w:color="000000" w:fill="FFFFFF"/>
            <w:noWrap/>
            <w:hideMark/>
          </w:tcPr>
          <w:p w14:paraId="5FE34077" w14:textId="77777777" w:rsidR="00A94C3E" w:rsidRPr="0018386D" w:rsidRDefault="00A94C3E" w:rsidP="00DD3106">
            <w:pPr>
              <w:pStyle w:val="TableText"/>
              <w:spacing w:before="40" w:after="40"/>
              <w:rPr>
                <w:szCs w:val="18"/>
              </w:rPr>
            </w:pPr>
            <w:r w:rsidRPr="0018386D">
              <w:rPr>
                <w:szCs w:val="18"/>
              </w:rPr>
              <w:t>Deforestation</w:t>
            </w:r>
          </w:p>
        </w:tc>
        <w:tc>
          <w:tcPr>
            <w:tcW w:w="680" w:type="dxa"/>
            <w:shd w:val="clear" w:color="000000" w:fill="FFFFFF"/>
            <w:noWrap/>
            <w:hideMark/>
          </w:tcPr>
          <w:p w14:paraId="2C2CF358"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53802FD7" w14:textId="231E82CC" w:rsidR="00A94C3E" w:rsidRPr="0018386D" w:rsidRDefault="00A94C3E" w:rsidP="00DD3106">
            <w:pPr>
              <w:pStyle w:val="TableText"/>
              <w:spacing w:before="40" w:after="40"/>
              <w:rPr>
                <w:szCs w:val="18"/>
              </w:rPr>
            </w:pPr>
            <w:r w:rsidRPr="0018386D">
              <w:rPr>
                <w:szCs w:val="18"/>
              </w:rPr>
              <w:t>241</w:t>
            </w:r>
            <w:r w:rsidR="00295647" w:rsidRPr="0018386D">
              <w:rPr>
                <w:szCs w:val="18"/>
              </w:rPr>
              <w:t>,</w:t>
            </w:r>
            <w:r w:rsidRPr="0018386D">
              <w:rPr>
                <w:szCs w:val="18"/>
              </w:rPr>
              <w:t>536</w:t>
            </w:r>
          </w:p>
        </w:tc>
        <w:tc>
          <w:tcPr>
            <w:tcW w:w="1758" w:type="dxa"/>
            <w:shd w:val="clear" w:color="000000" w:fill="FFFFFF"/>
            <w:noWrap/>
            <w:hideMark/>
          </w:tcPr>
          <w:p w14:paraId="77B81FC5" w14:textId="752771B1" w:rsidR="00A94C3E" w:rsidRPr="0018386D" w:rsidRDefault="007B107B" w:rsidP="00DD3106">
            <w:pPr>
              <w:pStyle w:val="TableText"/>
              <w:spacing w:before="40" w:after="40"/>
              <w:rPr>
                <w:szCs w:val="18"/>
              </w:rPr>
            </w:pPr>
            <w:r w:rsidRPr="0018386D">
              <w:rPr>
                <w:szCs w:val="18"/>
              </w:rPr>
              <w:t>±66.6 %</w:t>
            </w:r>
          </w:p>
        </w:tc>
      </w:tr>
      <w:tr w:rsidR="00452230" w:rsidRPr="0018386D" w14:paraId="0DE0CB6A" w14:textId="77777777" w:rsidTr="00575E53">
        <w:trPr>
          <w:divId w:val="1278751454"/>
          <w:trHeight w:val="240"/>
        </w:trPr>
        <w:tc>
          <w:tcPr>
            <w:tcW w:w="2835" w:type="dxa"/>
            <w:tcBorders>
              <w:top w:val="single" w:sz="4" w:space="0" w:color="1B556B" w:themeColor="text2"/>
            </w:tcBorders>
            <w:shd w:val="clear" w:color="000000" w:fill="D2DDE1"/>
            <w:noWrap/>
            <w:hideMark/>
          </w:tcPr>
          <w:p w14:paraId="55E22A86" w14:textId="5A43AE80" w:rsidR="008E2ED2" w:rsidRPr="0018386D" w:rsidRDefault="008E2ED2" w:rsidP="00DD3106">
            <w:pPr>
              <w:pStyle w:val="TableTextbold"/>
              <w:spacing w:before="40" w:after="40"/>
              <w:rPr>
                <w:szCs w:val="18"/>
              </w:rPr>
            </w:pPr>
            <w:r w:rsidRPr="0018386D">
              <w:rPr>
                <w:szCs w:val="18"/>
              </w:rPr>
              <w:t>Natural forests</w:t>
            </w:r>
          </w:p>
        </w:tc>
        <w:tc>
          <w:tcPr>
            <w:tcW w:w="2155" w:type="dxa"/>
            <w:shd w:val="clear" w:color="000000" w:fill="D2DDE1"/>
            <w:noWrap/>
            <w:hideMark/>
          </w:tcPr>
          <w:p w14:paraId="60862760" w14:textId="2EF6A314" w:rsidR="008E2ED2" w:rsidRPr="0018386D" w:rsidRDefault="008E2ED2" w:rsidP="00DD3106">
            <w:pPr>
              <w:pStyle w:val="TableTextbold"/>
              <w:spacing w:before="40" w:after="40"/>
              <w:rPr>
                <w:szCs w:val="18"/>
              </w:rPr>
            </w:pPr>
          </w:p>
        </w:tc>
        <w:tc>
          <w:tcPr>
            <w:tcW w:w="680" w:type="dxa"/>
            <w:shd w:val="clear" w:color="000000" w:fill="D2DDE1"/>
            <w:noWrap/>
            <w:hideMark/>
          </w:tcPr>
          <w:p w14:paraId="15A17FC5" w14:textId="46DB0371" w:rsidR="008E2ED2" w:rsidRPr="0018386D" w:rsidRDefault="008E2ED2" w:rsidP="00DD3106">
            <w:pPr>
              <w:pStyle w:val="TableTextbold"/>
              <w:spacing w:before="40" w:after="40"/>
              <w:rPr>
                <w:szCs w:val="18"/>
              </w:rPr>
            </w:pPr>
          </w:p>
        </w:tc>
        <w:tc>
          <w:tcPr>
            <w:tcW w:w="1304" w:type="dxa"/>
            <w:shd w:val="clear" w:color="000000" w:fill="D2DDE1"/>
            <w:noWrap/>
            <w:hideMark/>
          </w:tcPr>
          <w:p w14:paraId="6FAF5FA3" w14:textId="5B1FE356" w:rsidR="008E2ED2" w:rsidRPr="0018386D" w:rsidRDefault="008E2ED2" w:rsidP="00DD3106">
            <w:pPr>
              <w:pStyle w:val="TableTextbold"/>
              <w:spacing w:before="40" w:after="40"/>
              <w:rPr>
                <w:szCs w:val="18"/>
              </w:rPr>
            </w:pPr>
          </w:p>
        </w:tc>
        <w:tc>
          <w:tcPr>
            <w:tcW w:w="1758" w:type="dxa"/>
            <w:shd w:val="clear" w:color="000000" w:fill="D2DDE1"/>
            <w:noWrap/>
            <w:hideMark/>
          </w:tcPr>
          <w:p w14:paraId="35F4DD76" w14:textId="7161398C" w:rsidR="008E2ED2" w:rsidRPr="0018386D" w:rsidRDefault="008E2ED2" w:rsidP="00DD3106">
            <w:pPr>
              <w:pStyle w:val="TableTextbold"/>
              <w:spacing w:before="40" w:after="40"/>
              <w:rPr>
                <w:szCs w:val="18"/>
              </w:rPr>
            </w:pPr>
          </w:p>
        </w:tc>
      </w:tr>
      <w:tr w:rsidR="00452230" w:rsidRPr="0018386D" w14:paraId="79A8E4B3" w14:textId="77777777" w:rsidTr="00452230">
        <w:trPr>
          <w:divId w:val="1278751454"/>
          <w:trHeight w:val="240"/>
        </w:trPr>
        <w:tc>
          <w:tcPr>
            <w:tcW w:w="2835" w:type="dxa"/>
            <w:shd w:val="clear" w:color="000000" w:fill="FFFFFF"/>
            <w:noWrap/>
            <w:hideMark/>
          </w:tcPr>
          <w:p w14:paraId="2DA0690A" w14:textId="77777777" w:rsidR="00A94C3E" w:rsidRPr="0018386D" w:rsidRDefault="00A94C3E" w:rsidP="00DD3106">
            <w:pPr>
              <w:pStyle w:val="TableText"/>
              <w:spacing w:before="40" w:after="40"/>
              <w:rPr>
                <w:szCs w:val="18"/>
              </w:rPr>
            </w:pPr>
            <w:r w:rsidRPr="0018386D">
              <w:rPr>
                <w:szCs w:val="18"/>
              </w:rPr>
              <w:t>Post-1989 Regenerating natural forest</w:t>
            </w:r>
          </w:p>
        </w:tc>
        <w:tc>
          <w:tcPr>
            <w:tcW w:w="2155" w:type="dxa"/>
            <w:shd w:val="clear" w:color="000000" w:fill="FFFFFF"/>
            <w:noWrap/>
            <w:hideMark/>
          </w:tcPr>
          <w:p w14:paraId="7DEA728E" w14:textId="77777777" w:rsidR="00A94C3E" w:rsidRPr="0018386D" w:rsidRDefault="00A94C3E" w:rsidP="00DD3106">
            <w:pPr>
              <w:pStyle w:val="TableText"/>
              <w:spacing w:before="40" w:after="40"/>
              <w:rPr>
                <w:szCs w:val="18"/>
              </w:rPr>
            </w:pPr>
            <w:r w:rsidRPr="0018386D">
              <w:rPr>
                <w:szCs w:val="18"/>
              </w:rPr>
              <w:t>Deforestation</w:t>
            </w:r>
          </w:p>
        </w:tc>
        <w:tc>
          <w:tcPr>
            <w:tcW w:w="680" w:type="dxa"/>
            <w:shd w:val="clear" w:color="000000" w:fill="FFFFFF"/>
            <w:noWrap/>
            <w:hideMark/>
          </w:tcPr>
          <w:p w14:paraId="2639AE32"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0DDC6A57" w14:textId="648C958A" w:rsidR="00A94C3E" w:rsidRPr="0018386D" w:rsidRDefault="00A94C3E" w:rsidP="00DD3106">
            <w:pPr>
              <w:pStyle w:val="TableText"/>
              <w:spacing w:before="40" w:after="40"/>
              <w:rPr>
                <w:szCs w:val="18"/>
              </w:rPr>
            </w:pPr>
            <w:r w:rsidRPr="0018386D">
              <w:rPr>
                <w:szCs w:val="18"/>
              </w:rPr>
              <w:t>141</w:t>
            </w:r>
            <w:r w:rsidR="00295647" w:rsidRPr="0018386D">
              <w:rPr>
                <w:szCs w:val="18"/>
              </w:rPr>
              <w:t>,</w:t>
            </w:r>
            <w:r w:rsidRPr="0018386D">
              <w:rPr>
                <w:szCs w:val="18"/>
              </w:rPr>
              <w:t>350</w:t>
            </w:r>
          </w:p>
        </w:tc>
        <w:tc>
          <w:tcPr>
            <w:tcW w:w="1758" w:type="dxa"/>
            <w:shd w:val="clear" w:color="000000" w:fill="FFFFFF"/>
            <w:noWrap/>
            <w:hideMark/>
          </w:tcPr>
          <w:p w14:paraId="5BE84B98" w14:textId="05419C80" w:rsidR="00A94C3E" w:rsidRPr="0018386D" w:rsidRDefault="007B107B" w:rsidP="00DD3106">
            <w:pPr>
              <w:pStyle w:val="TableText"/>
              <w:spacing w:before="40" w:after="40"/>
              <w:rPr>
                <w:szCs w:val="18"/>
              </w:rPr>
            </w:pPr>
            <w:r w:rsidRPr="0018386D">
              <w:rPr>
                <w:szCs w:val="18"/>
              </w:rPr>
              <w:t>±27.0 %</w:t>
            </w:r>
          </w:p>
        </w:tc>
      </w:tr>
      <w:tr w:rsidR="00452230" w:rsidRPr="0018386D" w14:paraId="4C71C73C" w14:textId="77777777" w:rsidTr="00452230">
        <w:trPr>
          <w:divId w:val="1278751454"/>
          <w:trHeight w:val="240"/>
        </w:trPr>
        <w:tc>
          <w:tcPr>
            <w:tcW w:w="2835" w:type="dxa"/>
            <w:shd w:val="clear" w:color="000000" w:fill="FFFFFF"/>
            <w:noWrap/>
            <w:hideMark/>
          </w:tcPr>
          <w:p w14:paraId="58039140" w14:textId="77777777" w:rsidR="00A94C3E" w:rsidRPr="0018386D" w:rsidRDefault="00A94C3E" w:rsidP="00DD3106">
            <w:pPr>
              <w:pStyle w:val="TableText"/>
              <w:spacing w:before="40" w:after="40"/>
              <w:rPr>
                <w:szCs w:val="18"/>
              </w:rPr>
            </w:pPr>
            <w:r w:rsidRPr="0018386D">
              <w:rPr>
                <w:szCs w:val="18"/>
              </w:rPr>
              <w:t>Pre-1990 Regenerating natural forest</w:t>
            </w:r>
          </w:p>
        </w:tc>
        <w:tc>
          <w:tcPr>
            <w:tcW w:w="2155" w:type="dxa"/>
            <w:shd w:val="clear" w:color="000000" w:fill="FFFFFF"/>
            <w:noWrap/>
            <w:hideMark/>
          </w:tcPr>
          <w:p w14:paraId="1BE82117" w14:textId="77777777" w:rsidR="00A94C3E" w:rsidRPr="0018386D" w:rsidRDefault="00A94C3E" w:rsidP="00DD3106">
            <w:pPr>
              <w:pStyle w:val="TableText"/>
              <w:spacing w:before="40" w:after="40"/>
              <w:rPr>
                <w:szCs w:val="18"/>
              </w:rPr>
            </w:pPr>
            <w:r w:rsidRPr="0018386D">
              <w:rPr>
                <w:szCs w:val="18"/>
              </w:rPr>
              <w:t>Deforestation</w:t>
            </w:r>
          </w:p>
        </w:tc>
        <w:tc>
          <w:tcPr>
            <w:tcW w:w="680" w:type="dxa"/>
            <w:shd w:val="clear" w:color="000000" w:fill="FFFFFF"/>
            <w:noWrap/>
            <w:hideMark/>
          </w:tcPr>
          <w:p w14:paraId="334A24DB"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3E74B38F" w14:textId="0051A947" w:rsidR="00A94C3E" w:rsidRPr="0018386D" w:rsidRDefault="00A94C3E" w:rsidP="00DD3106">
            <w:pPr>
              <w:pStyle w:val="TableText"/>
              <w:spacing w:before="40" w:after="40"/>
              <w:rPr>
                <w:szCs w:val="18"/>
              </w:rPr>
            </w:pPr>
            <w:r w:rsidRPr="0018386D">
              <w:rPr>
                <w:szCs w:val="18"/>
              </w:rPr>
              <w:t>898</w:t>
            </w:r>
            <w:r w:rsidR="00295647" w:rsidRPr="0018386D">
              <w:rPr>
                <w:szCs w:val="18"/>
              </w:rPr>
              <w:t>,</w:t>
            </w:r>
            <w:r w:rsidRPr="0018386D">
              <w:rPr>
                <w:szCs w:val="18"/>
              </w:rPr>
              <w:t>662</w:t>
            </w:r>
          </w:p>
        </w:tc>
        <w:tc>
          <w:tcPr>
            <w:tcW w:w="1758" w:type="dxa"/>
            <w:shd w:val="clear" w:color="000000" w:fill="FFFFFF"/>
            <w:noWrap/>
            <w:hideMark/>
          </w:tcPr>
          <w:p w14:paraId="1E19522A" w14:textId="411D7E17" w:rsidR="00A94C3E" w:rsidRPr="0018386D" w:rsidRDefault="007B107B" w:rsidP="00DD3106">
            <w:pPr>
              <w:pStyle w:val="TableText"/>
              <w:spacing w:before="40" w:after="40"/>
              <w:rPr>
                <w:szCs w:val="18"/>
              </w:rPr>
            </w:pPr>
            <w:r w:rsidRPr="0018386D">
              <w:rPr>
                <w:szCs w:val="18"/>
              </w:rPr>
              <w:t>±</w:t>
            </w:r>
            <w:r w:rsidR="0026582E" w:rsidRPr="0018386D">
              <w:rPr>
                <w:szCs w:val="18"/>
              </w:rPr>
              <w:t>20.9 %</w:t>
            </w:r>
          </w:p>
        </w:tc>
      </w:tr>
      <w:tr w:rsidR="00452230" w:rsidRPr="0018386D" w14:paraId="45A0534A" w14:textId="77777777" w:rsidTr="00452230">
        <w:trPr>
          <w:divId w:val="1278751454"/>
          <w:trHeight w:val="240"/>
        </w:trPr>
        <w:tc>
          <w:tcPr>
            <w:tcW w:w="2835" w:type="dxa"/>
            <w:shd w:val="clear" w:color="000000" w:fill="FFFFFF"/>
            <w:noWrap/>
            <w:hideMark/>
          </w:tcPr>
          <w:p w14:paraId="5E91B438" w14:textId="77777777" w:rsidR="00A94C3E" w:rsidRPr="0018386D" w:rsidRDefault="00A94C3E" w:rsidP="00DD3106">
            <w:pPr>
              <w:pStyle w:val="TableText"/>
              <w:spacing w:before="40" w:after="40"/>
              <w:rPr>
                <w:szCs w:val="18"/>
              </w:rPr>
            </w:pPr>
            <w:r w:rsidRPr="0018386D">
              <w:rPr>
                <w:szCs w:val="18"/>
              </w:rPr>
              <w:t>Pre-1990 Tall natural forest</w:t>
            </w:r>
          </w:p>
        </w:tc>
        <w:tc>
          <w:tcPr>
            <w:tcW w:w="2155" w:type="dxa"/>
            <w:shd w:val="clear" w:color="000000" w:fill="FFFFFF"/>
            <w:noWrap/>
            <w:hideMark/>
          </w:tcPr>
          <w:p w14:paraId="16BBAA5A" w14:textId="77777777" w:rsidR="00A94C3E" w:rsidRPr="0018386D" w:rsidRDefault="00A94C3E" w:rsidP="00DD3106">
            <w:pPr>
              <w:pStyle w:val="TableText"/>
              <w:spacing w:before="40" w:after="40"/>
              <w:rPr>
                <w:szCs w:val="18"/>
              </w:rPr>
            </w:pPr>
            <w:r w:rsidRPr="0018386D">
              <w:rPr>
                <w:szCs w:val="18"/>
              </w:rPr>
              <w:t>Deforestation</w:t>
            </w:r>
          </w:p>
        </w:tc>
        <w:tc>
          <w:tcPr>
            <w:tcW w:w="680" w:type="dxa"/>
            <w:shd w:val="clear" w:color="000000" w:fill="FFFFFF"/>
            <w:noWrap/>
            <w:hideMark/>
          </w:tcPr>
          <w:p w14:paraId="388308A6" w14:textId="77777777" w:rsidR="00A94C3E" w:rsidRPr="0018386D" w:rsidRDefault="00A94C3E" w:rsidP="00DD3106">
            <w:pPr>
              <w:pStyle w:val="TableText"/>
              <w:spacing w:before="40" w:after="40"/>
              <w:rPr>
                <w:szCs w:val="18"/>
              </w:rPr>
            </w:pPr>
            <w:r w:rsidRPr="0018386D">
              <w:rPr>
                <w:szCs w:val="18"/>
              </w:rPr>
              <w:t>ha</w:t>
            </w:r>
          </w:p>
        </w:tc>
        <w:tc>
          <w:tcPr>
            <w:tcW w:w="1304" w:type="dxa"/>
            <w:shd w:val="clear" w:color="000000" w:fill="D2DDE1"/>
            <w:noWrap/>
            <w:hideMark/>
          </w:tcPr>
          <w:p w14:paraId="15EFACDD" w14:textId="57D7A99C" w:rsidR="00A94C3E" w:rsidRPr="0018386D" w:rsidRDefault="00A94C3E" w:rsidP="00DD3106">
            <w:pPr>
              <w:pStyle w:val="TableText"/>
              <w:spacing w:before="40" w:after="40"/>
              <w:rPr>
                <w:szCs w:val="18"/>
              </w:rPr>
            </w:pPr>
            <w:r w:rsidRPr="0018386D">
              <w:rPr>
                <w:szCs w:val="18"/>
              </w:rPr>
              <w:t>277</w:t>
            </w:r>
            <w:r w:rsidR="00295647" w:rsidRPr="0018386D">
              <w:rPr>
                <w:szCs w:val="18"/>
              </w:rPr>
              <w:t>,</w:t>
            </w:r>
            <w:r w:rsidRPr="0018386D">
              <w:rPr>
                <w:szCs w:val="18"/>
              </w:rPr>
              <w:t>161</w:t>
            </w:r>
          </w:p>
        </w:tc>
        <w:tc>
          <w:tcPr>
            <w:tcW w:w="1758" w:type="dxa"/>
            <w:shd w:val="clear" w:color="000000" w:fill="FFFFFF"/>
            <w:noWrap/>
            <w:hideMark/>
          </w:tcPr>
          <w:p w14:paraId="26C7449F" w14:textId="3487E67F" w:rsidR="00A94C3E" w:rsidRPr="0018386D" w:rsidRDefault="0026582E" w:rsidP="00DD3106">
            <w:pPr>
              <w:pStyle w:val="TableText"/>
              <w:spacing w:before="40" w:after="40"/>
              <w:rPr>
                <w:szCs w:val="18"/>
              </w:rPr>
            </w:pPr>
            <w:r w:rsidRPr="0018386D" w:rsidDel="0026582E">
              <w:rPr>
                <w:szCs w:val="18"/>
              </w:rPr>
              <w:t xml:space="preserve"> </w:t>
            </w:r>
            <w:r w:rsidRPr="0018386D">
              <w:rPr>
                <w:szCs w:val="18"/>
              </w:rPr>
              <w:t>±27.3 %</w:t>
            </w:r>
          </w:p>
        </w:tc>
      </w:tr>
    </w:tbl>
    <w:bookmarkEnd w:id="891"/>
    <w:bookmarkEnd w:id="892"/>
    <w:p w14:paraId="147F9B24" w14:textId="25AE6658" w:rsidR="000A2FDA" w:rsidRPr="0018386D" w:rsidRDefault="000A2FDA" w:rsidP="00DD3106">
      <w:pPr>
        <w:pStyle w:val="Note"/>
      </w:pPr>
      <w:r w:rsidRPr="0018386D">
        <w:t xml:space="preserve">Source: </w:t>
      </w:r>
      <w:r w:rsidR="006264E4" w:rsidRPr="0018386D">
        <w:t>New Zealand’</w:t>
      </w:r>
      <w:r w:rsidR="002C52FC" w:rsidRPr="0018386D">
        <w:t xml:space="preserve">s </w:t>
      </w:r>
      <w:r w:rsidR="007567BB" w:rsidRPr="0018386D">
        <w:t xml:space="preserve">LUCAS national forest inventory data </w:t>
      </w:r>
      <w:r w:rsidR="00BF392E" w:rsidRPr="0018386D">
        <w:t xml:space="preserve">April </w:t>
      </w:r>
      <w:r w:rsidR="00D15D16" w:rsidRPr="0018386D">
        <w:t>2023</w:t>
      </w:r>
      <w:r w:rsidR="00817F94" w:rsidRPr="0018386D">
        <w:t>.</w:t>
      </w:r>
    </w:p>
    <w:p w14:paraId="01704153" w14:textId="2AD85A24" w:rsidR="002C7317" w:rsidRPr="0018386D" w:rsidRDefault="00301928" w:rsidP="00DD3106">
      <w:pPr>
        <w:pStyle w:val="Heading3"/>
        <w:numPr>
          <w:ilvl w:val="2"/>
          <w:numId w:val="8"/>
        </w:numPr>
        <w:spacing w:before="280"/>
        <w:ind w:left="1134" w:hanging="1134"/>
      </w:pPr>
      <w:bookmarkStart w:id="897" w:name="_Toc532904962"/>
      <w:r w:rsidRPr="0018386D">
        <w:t xml:space="preserve">GHG </w:t>
      </w:r>
      <w:r w:rsidR="002C7317" w:rsidRPr="0018386D">
        <w:t>inventory development</w:t>
      </w:r>
      <w:bookmarkEnd w:id="897"/>
    </w:p>
    <w:p w14:paraId="42C20F28" w14:textId="542AEB30" w:rsidR="00E22327" w:rsidRPr="0018386D" w:rsidRDefault="009953FD" w:rsidP="00DD3106">
      <w:pPr>
        <w:pStyle w:val="BodyText"/>
      </w:pPr>
      <w:bookmarkStart w:id="898" w:name="_Hlk535486925"/>
      <w:r w:rsidRPr="0018386D">
        <w:t xml:space="preserve">To </w:t>
      </w:r>
      <w:r w:rsidR="00E22327" w:rsidRPr="0018386D">
        <w:t xml:space="preserve">calculate LULUCF emissions, organisations need </w:t>
      </w:r>
      <w:bookmarkEnd w:id="898"/>
      <w:r w:rsidR="00E22327" w:rsidRPr="0018386D">
        <w:t>activity data on each forest type, the area</w:t>
      </w:r>
      <w:r w:rsidR="00B5484D" w:rsidRPr="0018386D">
        <w:t> </w:t>
      </w:r>
      <w:r w:rsidR="00E22327" w:rsidRPr="0018386D">
        <w:t>harvested and any changes to forested land within the organisational boundary for the</w:t>
      </w:r>
      <w:r w:rsidR="00B5484D" w:rsidRPr="0018386D">
        <w:t> </w:t>
      </w:r>
      <w:r w:rsidR="00E22327" w:rsidRPr="0018386D">
        <w:t xml:space="preserve">measurement period. Different forest types have different emission factors, </w:t>
      </w:r>
      <w:r w:rsidR="00B46EAD" w:rsidRPr="0018386D">
        <w:t xml:space="preserve">while deforestation and </w:t>
      </w:r>
      <w:r w:rsidR="00E22327" w:rsidRPr="0018386D">
        <w:t>harvest rates change over time.</w:t>
      </w:r>
    </w:p>
    <w:p w14:paraId="29CC3B30" w14:textId="5F78CE8C" w:rsidR="00E22327" w:rsidRPr="0018386D" w:rsidRDefault="00E22327" w:rsidP="00DD3106">
      <w:pPr>
        <w:pStyle w:val="BodyText"/>
      </w:pPr>
      <w:r w:rsidRPr="0018386D">
        <w:t xml:space="preserve">First determine the type of forest and the area it covers. </w:t>
      </w:r>
      <w:r w:rsidR="000626AE" w:rsidRPr="0018386D">
        <w:t>The New Zealand parameters to define a forest are a minimum area of 1 hectare, the potential to reach a minimum height of 5</w:t>
      </w:r>
      <w:r w:rsidR="00344FB2" w:rsidRPr="0018386D">
        <w:t> </w:t>
      </w:r>
      <w:r w:rsidR="000626AE" w:rsidRPr="0018386D">
        <w:t>metres and a minimum crown cover of 30 per cent.</w:t>
      </w:r>
    </w:p>
    <w:p w14:paraId="1B07691F" w14:textId="77777777" w:rsidR="00E22327" w:rsidRPr="0018386D" w:rsidRDefault="00E22327" w:rsidP="00DD3106">
      <w:pPr>
        <w:pStyle w:val="BodyText"/>
        <w:jc w:val="both"/>
        <w:rPr>
          <w:b/>
          <w:bCs/>
        </w:rPr>
      </w:pPr>
      <w:r w:rsidRPr="0018386D">
        <w:rPr>
          <w:b/>
          <w:bCs/>
        </w:rPr>
        <w:t>Forest types:</w:t>
      </w:r>
    </w:p>
    <w:p w14:paraId="6553F0E2" w14:textId="19504DD8" w:rsidR="00AC2FB1" w:rsidRPr="0018386D" w:rsidRDefault="00AC2FB1" w:rsidP="004B6AB3">
      <w:pPr>
        <w:pStyle w:val="Numberedparagraph"/>
      </w:pPr>
      <w:r w:rsidRPr="0018386D">
        <w:rPr>
          <w:b/>
          <w:bCs/>
        </w:rPr>
        <w:t>Pre-1990 Tall natural forest</w:t>
      </w:r>
      <w:r w:rsidRPr="0018386D">
        <w:t>: areas, that on 1 January 1990, were and presently comprise of mature indigenous forest</w:t>
      </w:r>
      <w:r w:rsidR="006D399F" w:rsidRPr="0018386D">
        <w:t>.</w:t>
      </w:r>
      <w:r w:rsidRPr="0018386D">
        <w:t> </w:t>
      </w:r>
    </w:p>
    <w:p w14:paraId="604CF534" w14:textId="67316FB3" w:rsidR="00AC2FB1" w:rsidRPr="0018386D" w:rsidRDefault="6639AF3D" w:rsidP="00DD3106">
      <w:pPr>
        <w:pStyle w:val="Numberedparagraph"/>
      </w:pPr>
      <w:r w:rsidRPr="0018386D">
        <w:rPr>
          <w:b/>
          <w:bCs/>
        </w:rPr>
        <w:t>Pre-1990 Regenerating natural forest</w:t>
      </w:r>
      <w:r w:rsidRPr="0018386D">
        <w:t xml:space="preserve">: areas, that on 1 January 1990, were and presently comprise of indigenous and naturally occurring vegetation, including broadleaved hardwood shrubland, </w:t>
      </w:r>
      <w:bookmarkStart w:id="899" w:name="_Int_GLhnx8Nk"/>
      <w:proofErr w:type="spellStart"/>
      <w:r w:rsidRPr="0018386D">
        <w:t>mānuka</w:t>
      </w:r>
      <w:bookmarkEnd w:id="899"/>
      <w:proofErr w:type="spellEnd"/>
      <w:r w:rsidRPr="0018386D">
        <w:t>–</w:t>
      </w:r>
      <w:bookmarkStart w:id="900" w:name="_Int_pa676W35"/>
      <w:proofErr w:type="spellStart"/>
      <w:r w:rsidRPr="0018386D">
        <w:t>kānuka</w:t>
      </w:r>
      <w:bookmarkEnd w:id="900"/>
      <w:proofErr w:type="spellEnd"/>
      <w:r w:rsidRPr="0018386D">
        <w:t xml:space="preserve"> and other woody shrubland, with potential to reach forest </w:t>
      </w:r>
      <w:r w:rsidR="37B14AC9" w:rsidRPr="0018386D">
        <w:t>definition</w:t>
      </w:r>
      <w:r w:rsidRPr="0018386D">
        <w:t xml:space="preserve"> under its current management. This category represents mid-successional regenerating forest. </w:t>
      </w:r>
    </w:p>
    <w:p w14:paraId="0367A356" w14:textId="38C7198E" w:rsidR="00AC2FB1" w:rsidRPr="0018386D" w:rsidRDefault="00AC2FB1" w:rsidP="00DD3106">
      <w:pPr>
        <w:pStyle w:val="Numberedparagraph"/>
      </w:pPr>
      <w:r w:rsidRPr="0018386D">
        <w:rPr>
          <w:b/>
          <w:bCs/>
        </w:rPr>
        <w:t xml:space="preserve">Post-1989 Regenerating </w:t>
      </w:r>
      <w:r w:rsidR="000F320C" w:rsidRPr="0018386D">
        <w:rPr>
          <w:b/>
          <w:bCs/>
        </w:rPr>
        <w:t>n</w:t>
      </w:r>
      <w:r w:rsidRPr="0018386D">
        <w:rPr>
          <w:b/>
          <w:bCs/>
        </w:rPr>
        <w:t>atural forest</w:t>
      </w:r>
      <w:r w:rsidRPr="0018386D">
        <w:t>: areas of forest established from 1 January 1990 onwards that comprise of indigenous tree species arising from natural regeneration</w:t>
      </w:r>
      <w:r w:rsidR="00BD7AB4" w:rsidRPr="0018386D">
        <w:t xml:space="preserve">. </w:t>
      </w:r>
      <w:r w:rsidRPr="0018386D">
        <w:t>This category represents early successional regenerating forest. </w:t>
      </w:r>
    </w:p>
    <w:p w14:paraId="27D6FC69" w14:textId="77777777" w:rsidR="00FD4045" w:rsidRPr="0018386D" w:rsidRDefault="00FD4045" w:rsidP="00DD3106">
      <w:pPr>
        <w:pStyle w:val="BodyText"/>
        <w:keepNext/>
      </w:pPr>
      <w:r w:rsidRPr="0018386D">
        <w:t>The following information can be used to determine natural forest types:</w:t>
      </w:r>
    </w:p>
    <w:p w14:paraId="7D9E1372" w14:textId="77777777" w:rsidR="00FD4045" w:rsidRPr="0018386D" w:rsidRDefault="00FD4045" w:rsidP="00DD3106">
      <w:pPr>
        <w:pStyle w:val="Sub-lista"/>
        <w:keepLines/>
        <w:ind w:left="397" w:hanging="357"/>
      </w:pPr>
      <w:r w:rsidRPr="0018386D">
        <w:t xml:space="preserve">The </w:t>
      </w:r>
      <w:hyperlink r:id="rId134" w:tgtFrame="_blank" w:history="1">
        <w:r w:rsidRPr="0018386D">
          <w:t>LUCAS Land Use Map</w:t>
        </w:r>
      </w:hyperlink>
      <w:r w:rsidRPr="0018386D">
        <w:rPr>
          <w:rStyle w:val="FootnoteReference"/>
          <w:rFonts w:eastAsia="Times New Roman" w:cs="Calibri"/>
        </w:rPr>
        <w:footnoteReference w:id="64"/>
      </w:r>
      <w:r w:rsidRPr="0018386D">
        <w:t xml:space="preserve"> can provide area by vegetation type (pre-1990 and post-1989 natural forest) </w:t>
      </w:r>
      <w:proofErr w:type="gramStart"/>
      <w:r w:rsidRPr="0018386D">
        <w:t>at</w:t>
      </w:r>
      <w:proofErr w:type="gramEnd"/>
      <w:r w:rsidRPr="0018386D">
        <w:t xml:space="preserve"> 1990, 2008, 2012 and 2016. It requires geospatial expertise to analyse and extract the data by region. This is free to use and supports users in monitoring changes in their own land management practices.</w:t>
      </w:r>
    </w:p>
    <w:p w14:paraId="345CEB4F" w14:textId="77777777" w:rsidR="00FD4045" w:rsidRPr="0018386D" w:rsidRDefault="00FD4045" w:rsidP="00DD3106">
      <w:pPr>
        <w:pStyle w:val="Sub-lista"/>
        <w:ind w:left="397"/>
        <w:rPr>
          <w:rFonts w:eastAsia="Times New Roman" w:cs="Calibri"/>
        </w:rPr>
      </w:pPr>
      <w:r w:rsidRPr="0018386D">
        <w:rPr>
          <w:rFonts w:eastAsia="Times New Roman" w:cs="Calibri"/>
        </w:rPr>
        <w:t>The New Zealand Land Cover Database (</w:t>
      </w:r>
      <w:hyperlink r:id="rId135" w:tgtFrame="_blank" w:history="1">
        <w:r w:rsidRPr="0018386D">
          <w:rPr>
            <w:rFonts w:eastAsia="Times New Roman" w:cs="Calibri"/>
          </w:rPr>
          <w:t>LCDB</w:t>
        </w:r>
      </w:hyperlink>
      <w:r w:rsidRPr="0018386D">
        <w:rPr>
          <w:rFonts w:eastAsia="Times New Roman" w:cs="Calibri"/>
        </w:rPr>
        <w:t>)</w:t>
      </w:r>
      <w:r w:rsidRPr="0018386D">
        <w:rPr>
          <w:rStyle w:val="FootnoteReference"/>
          <w:rFonts w:eastAsia="Times New Roman" w:cs="Calibri"/>
        </w:rPr>
        <w:footnoteReference w:id="65"/>
      </w:r>
      <w:r w:rsidRPr="0018386D">
        <w:rPr>
          <w:rFonts w:eastAsia="Times New Roman" w:cs="Calibri"/>
        </w:rPr>
        <w:t xml:space="preserve"> provides multi-temporal land cover. This can be used to differentiate between tall and regenerating pre-1990 natural forest. Two LCDB classes are classified as tall </w:t>
      </w:r>
      <w:proofErr w:type="gramStart"/>
      <w:r w:rsidRPr="0018386D">
        <w:rPr>
          <w:rFonts w:eastAsia="Times New Roman" w:cs="Calibri"/>
        </w:rPr>
        <w:t>forest;</w:t>
      </w:r>
      <w:proofErr w:type="gramEnd"/>
      <w:r w:rsidRPr="0018386D">
        <w:rPr>
          <w:rFonts w:eastAsia="Times New Roman" w:cs="Calibri"/>
        </w:rPr>
        <w:t xml:space="preserve"> indigenous forest and broadleaved indigenous hardwoods. All other categories are classified as regenerating forest. It requires geospatial expertise to analyse and extract the data for sub-national analysis. </w:t>
      </w:r>
    </w:p>
    <w:p w14:paraId="6BBC08F1" w14:textId="77777777" w:rsidR="00FD4045" w:rsidRPr="0018386D" w:rsidRDefault="00FD4045" w:rsidP="00DD3106">
      <w:pPr>
        <w:pStyle w:val="Sub-lista"/>
        <w:ind w:left="397" w:hanging="397"/>
        <w:rPr>
          <w:rFonts w:eastAsia="Times New Roman" w:cs="Calibri"/>
        </w:rPr>
      </w:pPr>
      <w:r w:rsidRPr="0018386D">
        <w:rPr>
          <w:rFonts w:eastAsia="Times New Roman" w:cs="Calibri"/>
        </w:rPr>
        <w:t>Alternatively, if the age of the forest is known or can be estimated, this can be used to determine forest type: </w:t>
      </w:r>
    </w:p>
    <w:p w14:paraId="27AFFE30" w14:textId="2CA0280A" w:rsidR="00FD4045" w:rsidRPr="0018386D" w:rsidRDefault="00FD4045" w:rsidP="00DD3106">
      <w:pPr>
        <w:pStyle w:val="Sub-list"/>
      </w:pPr>
      <w:r w:rsidRPr="0018386D">
        <w:t>Age 0–32 years: post-1989 regenerating natural forest</w:t>
      </w:r>
    </w:p>
    <w:p w14:paraId="25B73C00" w14:textId="77C57AA6" w:rsidR="00FD4045" w:rsidRPr="0018386D" w:rsidRDefault="00FD4045" w:rsidP="00DD3106">
      <w:pPr>
        <w:pStyle w:val="Sub-list"/>
      </w:pPr>
      <w:r w:rsidRPr="0018386D">
        <w:t>Age 32–100 years: pre-1990 regenerating natural forest</w:t>
      </w:r>
    </w:p>
    <w:p w14:paraId="01858733" w14:textId="77777777" w:rsidR="00FD4045" w:rsidRPr="0018386D" w:rsidRDefault="00FD4045" w:rsidP="00DD3106">
      <w:pPr>
        <w:pStyle w:val="Sub-list"/>
      </w:pPr>
      <w:r w:rsidRPr="0018386D">
        <w:t>Age 100 years and over: pre-1990 tall natural forest</w:t>
      </w:r>
    </w:p>
    <w:p w14:paraId="7AA04FAB" w14:textId="77777777" w:rsidR="00FD4045" w:rsidRPr="0018386D" w:rsidRDefault="00FD4045" w:rsidP="00DD3106">
      <w:pPr>
        <w:pStyle w:val="Numberedparagraph"/>
        <w:spacing w:before="120"/>
        <w:jc w:val="both"/>
      </w:pPr>
      <w:r w:rsidRPr="0018386D">
        <w:rPr>
          <w:b/>
          <w:bCs/>
        </w:rPr>
        <w:t>Planted forest</w:t>
      </w:r>
      <w:r w:rsidRPr="0018386D">
        <w:t>: plantations of forest species mainly used for forestry, including:</w:t>
      </w:r>
    </w:p>
    <w:p w14:paraId="731D5066" w14:textId="77777777" w:rsidR="00FD4045" w:rsidRPr="0018386D" w:rsidRDefault="00FD4045" w:rsidP="00DD3106">
      <w:pPr>
        <w:pStyle w:val="Sub-list"/>
      </w:pPr>
      <w:r w:rsidRPr="0018386D">
        <w:t>radiata pine (</w:t>
      </w:r>
      <w:r w:rsidRPr="0018386D">
        <w:rPr>
          <w:i/>
          <w:iCs/>
        </w:rPr>
        <w:t>Pinus radiata</w:t>
      </w:r>
      <w:r w:rsidRPr="0018386D">
        <w:t>) </w:t>
      </w:r>
    </w:p>
    <w:p w14:paraId="46A25968" w14:textId="06AA73AE" w:rsidR="00FD4045" w:rsidRPr="0018386D" w:rsidRDefault="00FD4045" w:rsidP="00DD3106">
      <w:pPr>
        <w:pStyle w:val="Sub-list"/>
      </w:pPr>
      <w:r w:rsidRPr="0018386D">
        <w:t xml:space="preserve">softwoods, such as </w:t>
      </w:r>
      <w:r w:rsidR="00FC7535" w:rsidRPr="0018386D">
        <w:t>D</w:t>
      </w:r>
      <w:r w:rsidRPr="0018386D">
        <w:t>ouglas fir (</w:t>
      </w:r>
      <w:proofErr w:type="spellStart"/>
      <w:r w:rsidRPr="0018386D">
        <w:rPr>
          <w:i/>
          <w:iCs/>
        </w:rPr>
        <w:t>Pseudotsuga</w:t>
      </w:r>
      <w:proofErr w:type="spellEnd"/>
      <w:r w:rsidRPr="0018386D">
        <w:rPr>
          <w:i/>
          <w:iCs/>
        </w:rPr>
        <w:t xml:space="preserve"> </w:t>
      </w:r>
      <w:proofErr w:type="spellStart"/>
      <w:r w:rsidRPr="0018386D">
        <w:rPr>
          <w:i/>
          <w:iCs/>
        </w:rPr>
        <w:t>menziesii</w:t>
      </w:r>
      <w:proofErr w:type="spellEnd"/>
      <w:r w:rsidRPr="0018386D">
        <w:t>) </w:t>
      </w:r>
    </w:p>
    <w:p w14:paraId="5D4CCA77" w14:textId="7B2E6E8E" w:rsidR="00FD4045" w:rsidRPr="0018386D" w:rsidRDefault="00FD4045" w:rsidP="00DD3106">
      <w:pPr>
        <w:pStyle w:val="Sub-list"/>
      </w:pPr>
      <w:r w:rsidRPr="0018386D">
        <w:t>hardwoods, such as eucalypts (</w:t>
      </w:r>
      <w:r w:rsidRPr="0018386D">
        <w:rPr>
          <w:i/>
          <w:iCs/>
        </w:rPr>
        <w:t>Eucalyptus</w:t>
      </w:r>
      <w:r w:rsidRPr="0018386D">
        <w:t xml:space="preserve"> spp</w:t>
      </w:r>
      <w:r w:rsidR="00862874" w:rsidRPr="0018386D">
        <w:t>.</w:t>
      </w:r>
      <w:r w:rsidRPr="0018386D">
        <w:t>) </w:t>
      </w:r>
    </w:p>
    <w:p w14:paraId="66000F58" w14:textId="1AA88996" w:rsidR="00FD4045" w:rsidRPr="0018386D" w:rsidRDefault="00FD4045" w:rsidP="00DD3106">
      <w:pPr>
        <w:pStyle w:val="Sub-list"/>
      </w:pPr>
      <w:r w:rsidRPr="0018386D">
        <w:t>other planted species (with potential to reach ≥5 metre height at maturity in situ). </w:t>
      </w:r>
    </w:p>
    <w:p w14:paraId="2B599430" w14:textId="77777777" w:rsidR="00FD4045" w:rsidRPr="0018386D" w:rsidRDefault="00FD4045" w:rsidP="00DD3106">
      <w:pPr>
        <w:pStyle w:val="BodyText"/>
      </w:pPr>
      <w:r w:rsidRPr="0018386D">
        <w:t>Organisations will also need records of forest harvest and deforestation activities (including area in ha) to calculate the emissions from LULUCF. Sources of this information include: </w:t>
      </w:r>
    </w:p>
    <w:p w14:paraId="2696BA86" w14:textId="6DFF3521" w:rsidR="00FD4045" w:rsidRPr="0018386D" w:rsidRDefault="00FD4045" w:rsidP="00DD3106">
      <w:pPr>
        <w:pStyle w:val="Bullet"/>
      </w:pPr>
      <w:r w:rsidRPr="0018386D">
        <w:t>Corporate or farm records for enterprises and organisations</w:t>
      </w:r>
    </w:p>
    <w:p w14:paraId="7F7E6C49" w14:textId="72A61285" w:rsidR="00FD4045" w:rsidRPr="0018386D" w:rsidRDefault="00FD4045" w:rsidP="00DD3106">
      <w:pPr>
        <w:pStyle w:val="Bullet"/>
      </w:pPr>
      <w:r w:rsidRPr="0018386D">
        <w:t>Geospatial analysis of the property or region </w:t>
      </w:r>
    </w:p>
    <w:p w14:paraId="300D22E8" w14:textId="46973C9E" w:rsidR="00FD4045" w:rsidRPr="0018386D" w:rsidRDefault="00FD4045" w:rsidP="00DD3106">
      <w:pPr>
        <w:pStyle w:val="Bullet"/>
      </w:pPr>
      <w:r w:rsidRPr="0018386D">
        <w:t xml:space="preserve">The </w:t>
      </w:r>
      <w:hyperlink r:id="rId136">
        <w:r w:rsidRPr="0018386D">
          <w:t>LUCAS Land Use Map</w:t>
        </w:r>
      </w:hyperlink>
    </w:p>
    <w:p w14:paraId="0300F7D3" w14:textId="74DBB273" w:rsidR="00FD4045" w:rsidRPr="0018386D" w:rsidRDefault="00FD4045" w:rsidP="00DD3106">
      <w:pPr>
        <w:pStyle w:val="Bullet"/>
      </w:pPr>
      <w:r w:rsidRPr="0018386D">
        <w:t>The New Zealand Land Cover Database (</w:t>
      </w:r>
      <w:hyperlink r:id="rId137">
        <w:r w:rsidRPr="0018386D">
          <w:t>LCDB</w:t>
        </w:r>
      </w:hyperlink>
      <w:r w:rsidRPr="0018386D">
        <w:t>)</w:t>
      </w:r>
      <w:r w:rsidRPr="0018386D">
        <w:rPr>
          <w:sz w:val="17"/>
          <w:szCs w:val="17"/>
          <w:vertAlign w:val="superscript"/>
        </w:rPr>
        <w:t xml:space="preserve"> </w:t>
      </w:r>
    </w:p>
    <w:p w14:paraId="57300F73" w14:textId="77777777" w:rsidR="00FD4045" w:rsidRPr="0018386D" w:rsidRDefault="00FD4045" w:rsidP="00DD3106">
      <w:pPr>
        <w:pStyle w:val="Bullet"/>
      </w:pPr>
      <w:r w:rsidRPr="0018386D">
        <w:t>If Approach two (averaging) is used, the planting date (to calculate the age of the forest) will be required as well as evidence that the forest is in its first rotation.</w:t>
      </w:r>
    </w:p>
    <w:p w14:paraId="69CD98A7" w14:textId="2410735C" w:rsidR="00FD4045" w:rsidRPr="0018386D" w:rsidRDefault="00FD4045" w:rsidP="00DD3106">
      <w:pPr>
        <w:pStyle w:val="BodyText"/>
      </w:pPr>
      <w:r w:rsidRPr="0018386D">
        <w:t>Using the sources detailed above to gather information on the land use, forest type and size, organisations can apply the equation E</w:t>
      </w:r>
      <w:r w:rsidR="00B37794" w:rsidRPr="0018386D">
        <w:t xml:space="preserve"> </w:t>
      </w:r>
      <w:r w:rsidRPr="0018386D">
        <w:t>= Q x F (</w:t>
      </w:r>
      <w:hyperlink w:anchor="_How_to_quantify" w:history="1">
        <w:r w:rsidRPr="0018386D">
          <w:rPr>
            <w:rStyle w:val="Hyperlink"/>
          </w:rPr>
          <w:t>section 2</w:t>
        </w:r>
      </w:hyperlink>
      <w:r w:rsidRPr="0018386D">
        <w:rPr>
          <w:rStyle w:val="Hyperlink"/>
          <w:color w:val="auto"/>
        </w:rPr>
        <w:t>)</w:t>
      </w:r>
      <w:r w:rsidRPr="0018386D">
        <w:t>:</w:t>
      </w:r>
    </w:p>
    <w:p w14:paraId="484F3FCE" w14:textId="72917647" w:rsidR="00D34302" w:rsidRPr="0018386D" w:rsidRDefault="00D34302" w:rsidP="00DD3106">
      <w:pPr>
        <w:pStyle w:val="BodyText"/>
        <w:tabs>
          <w:tab w:val="left" w:pos="680"/>
          <w:tab w:val="left" w:pos="1134"/>
        </w:tabs>
        <w:contextualSpacing/>
        <w:jc w:val="both"/>
      </w:pPr>
      <w:r w:rsidRPr="0018386D">
        <w:t>E</w:t>
      </w:r>
      <w:r w:rsidRPr="0018386D">
        <w:tab/>
        <w:t>=</w:t>
      </w:r>
      <w:r w:rsidRPr="0018386D">
        <w:tab/>
        <w:t>emissions from the emissions source in kg CO</w:t>
      </w:r>
      <w:r w:rsidRPr="0018386D">
        <w:rPr>
          <w:vertAlign w:val="subscript"/>
        </w:rPr>
        <w:t>2</w:t>
      </w:r>
      <w:r w:rsidRPr="0018386D">
        <w:t>-e per year</w:t>
      </w:r>
    </w:p>
    <w:p w14:paraId="77D80B03" w14:textId="3C5948EB" w:rsidR="002C7317" w:rsidRPr="0018386D" w:rsidRDefault="000F4C85" w:rsidP="00DD3106">
      <w:pPr>
        <w:pStyle w:val="BodyText"/>
        <w:tabs>
          <w:tab w:val="left" w:pos="680"/>
          <w:tab w:val="left" w:pos="1134"/>
        </w:tabs>
        <w:contextualSpacing/>
        <w:jc w:val="both"/>
      </w:pPr>
      <w:r w:rsidRPr="0018386D">
        <w:t>Q</w:t>
      </w:r>
      <w:r w:rsidRPr="0018386D">
        <w:tab/>
      </w:r>
      <w:r w:rsidR="002C7317" w:rsidRPr="0018386D">
        <w:t>=</w:t>
      </w:r>
      <w:r w:rsidRPr="0018386D">
        <w:tab/>
      </w:r>
      <w:r w:rsidR="002C7317" w:rsidRPr="0018386D">
        <w:t>area of land</w:t>
      </w:r>
      <w:r w:rsidR="0096352D" w:rsidRPr="0018386D">
        <w:t xml:space="preserve"> (ha)</w:t>
      </w:r>
    </w:p>
    <w:p w14:paraId="71F52473" w14:textId="36B20552" w:rsidR="0036564F" w:rsidRPr="0018386D" w:rsidRDefault="000F4C85" w:rsidP="00DD3106">
      <w:pPr>
        <w:pStyle w:val="BodyText"/>
        <w:tabs>
          <w:tab w:val="left" w:pos="680"/>
          <w:tab w:val="left" w:pos="1134"/>
        </w:tabs>
        <w:spacing w:after="240"/>
        <w:contextualSpacing/>
        <w:jc w:val="both"/>
      </w:pPr>
      <w:r w:rsidRPr="0018386D">
        <w:t>F</w:t>
      </w:r>
      <w:r w:rsidRPr="0018386D">
        <w:tab/>
        <w:t>=</w:t>
      </w:r>
      <w:r w:rsidRPr="0018386D">
        <w:tab/>
      </w:r>
      <w:r w:rsidR="002C7317" w:rsidRPr="0018386D">
        <w:t>appropriate emission factors (fo</w:t>
      </w:r>
      <w:r w:rsidR="00EC464E" w:rsidRPr="0018386D">
        <w:t>r land use) from</w:t>
      </w:r>
      <w:r w:rsidR="00571238" w:rsidRPr="0018386D">
        <w:t xml:space="preserve"> </w:t>
      </w:r>
      <w:hyperlink w:anchor="Table82" w:history="1">
        <w:r w:rsidR="00A92160" w:rsidRPr="0018386D">
          <w:rPr>
            <w:rStyle w:val="Hyperlink"/>
          </w:rPr>
          <w:t>table</w:t>
        </w:r>
        <w:r w:rsidR="00777DF1" w:rsidRPr="0018386D">
          <w:rPr>
            <w:rStyle w:val="Hyperlink"/>
          </w:rPr>
          <w:t>s</w:t>
        </w:r>
        <w:r w:rsidR="00A92160" w:rsidRPr="0018386D">
          <w:rPr>
            <w:rStyle w:val="Hyperlink"/>
          </w:rPr>
          <w:t xml:space="preserve"> </w:t>
        </w:r>
        <w:r w:rsidR="00F23341" w:rsidRPr="0018386D">
          <w:rPr>
            <w:rStyle w:val="Hyperlink"/>
          </w:rPr>
          <w:t>8</w:t>
        </w:r>
        <w:r w:rsidR="00CD73A4" w:rsidRPr="0018386D">
          <w:rPr>
            <w:rStyle w:val="Hyperlink"/>
          </w:rPr>
          <w:t>2</w:t>
        </w:r>
      </w:hyperlink>
      <w:r w:rsidR="00A92160" w:rsidRPr="0018386D">
        <w:t xml:space="preserve"> </w:t>
      </w:r>
      <w:r w:rsidR="0096352D" w:rsidRPr="0018386D">
        <w:t>and</w:t>
      </w:r>
      <w:r w:rsidR="00571238" w:rsidRPr="0018386D">
        <w:t xml:space="preserve"> </w:t>
      </w:r>
      <w:hyperlink w:anchor="Table83" w:history="1">
        <w:r w:rsidR="00CD73A4" w:rsidRPr="0018386D">
          <w:rPr>
            <w:rStyle w:val="Hyperlink"/>
          </w:rPr>
          <w:t>83</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E45D6F" w:rsidRPr="0018386D" w:rsidDel="00D5390D" w14:paraId="01BD552B" w14:textId="77777777" w:rsidTr="00A658D8">
        <w:tc>
          <w:tcPr>
            <w:tcW w:w="8500" w:type="dxa"/>
            <w:tcBorders>
              <w:top w:val="single" w:sz="4" w:space="0" w:color="0F7B7D"/>
              <w:left w:val="single" w:sz="4" w:space="0" w:color="0F7B7D"/>
              <w:bottom w:val="nil"/>
              <w:right w:val="single" w:sz="4" w:space="0" w:color="0F7B7D"/>
            </w:tcBorders>
            <w:shd w:val="clear" w:color="auto" w:fill="0F7B7D"/>
            <w:vAlign w:val="center"/>
          </w:tcPr>
          <w:p w14:paraId="35FE8EE9" w14:textId="0EC0AE34" w:rsidR="002F6630" w:rsidRPr="0018386D" w:rsidDel="00D5390D" w:rsidRDefault="00BC545F" w:rsidP="00DD3106">
            <w:pPr>
              <w:pStyle w:val="Casestudyheading"/>
            </w:pPr>
            <w:r w:rsidRPr="0018386D">
              <w:t xml:space="preserve">Land use, </w:t>
            </w:r>
            <w:r w:rsidR="00BD685C" w:rsidRPr="0018386D">
              <w:t>land-use change</w:t>
            </w:r>
            <w:r w:rsidRPr="0018386D">
              <w:t xml:space="preserve"> and forestry: </w:t>
            </w:r>
            <w:r w:rsidR="002F6630" w:rsidRPr="0018386D">
              <w:t>Example Calculation</w:t>
            </w:r>
            <w:r w:rsidR="0086009C" w:rsidRPr="0018386D">
              <w:t>s</w:t>
            </w:r>
            <w:r w:rsidR="000C56B7" w:rsidRPr="0018386D">
              <w:t xml:space="preserve"> </w:t>
            </w:r>
          </w:p>
        </w:tc>
      </w:tr>
      <w:tr w:rsidR="00E45D6F" w:rsidRPr="0018386D" w14:paraId="5473CD0A" w14:textId="77777777" w:rsidTr="00A658D8">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8E83FA3" w14:textId="349B03C3" w:rsidR="0086009C" w:rsidRPr="0018386D" w:rsidRDefault="0086009C" w:rsidP="00DD3106">
            <w:pPr>
              <w:pStyle w:val="Boxtext"/>
              <w:keepNext/>
              <w:spacing w:after="0"/>
            </w:pPr>
            <w:r w:rsidRPr="0018386D">
              <w:t xml:space="preserve">Example </w:t>
            </w:r>
            <w:r w:rsidR="006E431A" w:rsidRPr="0018386D">
              <w:t>o</w:t>
            </w:r>
            <w:r w:rsidRPr="0018386D">
              <w:t>ne</w:t>
            </w:r>
            <w:r w:rsidR="00D828FD" w:rsidRPr="0018386D">
              <w:t xml:space="preserve"> (using Approach </w:t>
            </w:r>
            <w:r w:rsidR="009813B8" w:rsidRPr="0018386D">
              <w:t>o</w:t>
            </w:r>
            <w:r w:rsidR="00D828FD" w:rsidRPr="0018386D">
              <w:t>ne</w:t>
            </w:r>
            <w:r w:rsidR="00920120" w:rsidRPr="0018386D">
              <w:t xml:space="preserve"> for </w:t>
            </w:r>
            <w:r w:rsidR="009813B8" w:rsidRPr="0018386D">
              <w:t>p</w:t>
            </w:r>
            <w:r w:rsidR="00920120" w:rsidRPr="0018386D">
              <w:t xml:space="preserve">lanted </w:t>
            </w:r>
            <w:r w:rsidR="009813B8" w:rsidRPr="0018386D">
              <w:t>f</w:t>
            </w:r>
            <w:r w:rsidR="00920120" w:rsidRPr="0018386D">
              <w:t>orest</w:t>
            </w:r>
            <w:r w:rsidR="00D828FD" w:rsidRPr="0018386D">
              <w:t>)</w:t>
            </w:r>
            <w:r w:rsidRPr="0018386D">
              <w:t>:</w:t>
            </w:r>
          </w:p>
          <w:p w14:paraId="01DF89CA" w14:textId="5794DB02" w:rsidR="0036564F" w:rsidRPr="0018386D" w:rsidRDefault="0036564F" w:rsidP="00DD3106">
            <w:pPr>
              <w:pStyle w:val="Boxtext"/>
              <w:spacing w:after="80"/>
            </w:pPr>
            <w:r w:rsidRPr="0018386D">
              <w:t xml:space="preserve">An organisation owns 4 </w:t>
            </w:r>
            <w:r w:rsidR="006B04DD" w:rsidRPr="0018386D">
              <w:t>ha</w:t>
            </w:r>
            <w:r w:rsidRPr="0018386D">
              <w:t xml:space="preserve"> of land</w:t>
            </w:r>
            <w:r w:rsidR="00EE71CD" w:rsidRPr="0018386D">
              <w:t>:</w:t>
            </w:r>
            <w:r w:rsidRPr="0018386D">
              <w:t xml:space="preserve"> </w:t>
            </w:r>
            <w:r w:rsidR="00EE71CD" w:rsidRPr="0018386D">
              <w:t>3</w:t>
            </w:r>
            <w:r w:rsidRPr="0018386D">
              <w:t xml:space="preserve"> </w:t>
            </w:r>
            <w:r w:rsidR="006B04DD" w:rsidRPr="0018386D">
              <w:t>ha</w:t>
            </w:r>
            <w:r w:rsidRPr="0018386D">
              <w:t xml:space="preserve"> are planted forest</w:t>
            </w:r>
            <w:r w:rsidR="00C10277" w:rsidRPr="0018386D">
              <w:t xml:space="preserve"> (</w:t>
            </w:r>
            <w:r w:rsidR="00C10277" w:rsidRPr="0018386D">
              <w:rPr>
                <w:i/>
                <w:iCs/>
              </w:rPr>
              <w:t>Pinus radiata</w:t>
            </w:r>
            <w:r w:rsidR="00C10277" w:rsidRPr="0018386D">
              <w:t>)</w:t>
            </w:r>
            <w:r w:rsidRPr="0018386D">
              <w:t xml:space="preserve"> and 1 </w:t>
            </w:r>
            <w:r w:rsidR="006B04DD" w:rsidRPr="0018386D">
              <w:t>ha</w:t>
            </w:r>
            <w:r w:rsidRPr="0018386D">
              <w:t xml:space="preserve"> is </w:t>
            </w:r>
            <w:r w:rsidR="00EA664B" w:rsidRPr="0018386D">
              <w:t xml:space="preserve">pre-1990 </w:t>
            </w:r>
            <w:r w:rsidRPr="0018386D">
              <w:t xml:space="preserve">regenerating natural forest. During the reporting year the </w:t>
            </w:r>
            <w:r w:rsidR="006B04DD" w:rsidRPr="0018386D">
              <w:t xml:space="preserve">organisation harvested the </w:t>
            </w:r>
            <w:r w:rsidRPr="0018386D">
              <w:t>planted forest for timber.</w:t>
            </w:r>
          </w:p>
          <w:p w14:paraId="77B5CC77" w14:textId="6D74A82E" w:rsidR="0036564F" w:rsidRPr="0018386D" w:rsidRDefault="00D94A1D" w:rsidP="00DD3106">
            <w:pPr>
              <w:pStyle w:val="Boxtext"/>
              <w:tabs>
                <w:tab w:val="left" w:pos="2589"/>
                <w:tab w:val="left" w:pos="4290"/>
              </w:tabs>
              <w:spacing w:before="20" w:after="20"/>
              <w:ind w:left="851"/>
            </w:pPr>
            <w:r w:rsidRPr="0018386D">
              <w:t>3</w:t>
            </w:r>
            <w:r w:rsidR="0036564F" w:rsidRPr="0018386D">
              <w:t xml:space="preserve"> </w:t>
            </w:r>
            <w:r w:rsidR="006B04DD" w:rsidRPr="0018386D">
              <w:t>ha</w:t>
            </w:r>
            <w:r w:rsidR="0036564F" w:rsidRPr="0018386D">
              <w:t xml:space="preserve"> of planted forest</w:t>
            </w:r>
            <w:r w:rsidR="00390F27" w:rsidRPr="0018386D">
              <w:t xml:space="preserve"> (</w:t>
            </w:r>
            <w:r w:rsidR="00390F27" w:rsidRPr="0018386D">
              <w:rPr>
                <w:i/>
                <w:iCs/>
              </w:rPr>
              <w:t>Pinus radia</w:t>
            </w:r>
            <w:r w:rsidR="00823B5F" w:rsidRPr="0018386D">
              <w:rPr>
                <w:i/>
                <w:iCs/>
              </w:rPr>
              <w:t>t</w:t>
            </w:r>
            <w:r w:rsidR="00390F27" w:rsidRPr="0018386D">
              <w:rPr>
                <w:i/>
                <w:iCs/>
              </w:rPr>
              <w:t>a)</w:t>
            </w:r>
            <w:r w:rsidR="0036564F" w:rsidRPr="0018386D">
              <w:t xml:space="preserve"> were harvested, therefore:</w:t>
            </w:r>
          </w:p>
          <w:p w14:paraId="1471F961" w14:textId="4F142931" w:rsidR="0036564F" w:rsidRPr="0018386D" w:rsidRDefault="0036564F" w:rsidP="00DD3106">
            <w:pPr>
              <w:pStyle w:val="Boxtext"/>
              <w:tabs>
                <w:tab w:val="left" w:pos="2589"/>
                <w:tab w:val="left" w:pos="4290"/>
              </w:tabs>
              <w:spacing w:before="20" w:after="20"/>
              <w:ind w:left="851"/>
            </w:pPr>
            <w:r w:rsidRPr="0018386D">
              <w:t>CO</w:t>
            </w:r>
            <w:r w:rsidRPr="0018386D">
              <w:rPr>
                <w:vertAlign w:val="subscript"/>
              </w:rPr>
              <w:t>2</w:t>
            </w:r>
            <w:r w:rsidRPr="0018386D">
              <w:t xml:space="preserve"> emissions </w:t>
            </w:r>
            <w:r w:rsidRPr="0018386D">
              <w:tab/>
              <w:t xml:space="preserve">= 3 × </w:t>
            </w:r>
            <w:r w:rsidR="00314DDF" w:rsidRPr="0018386D">
              <w:t>1,026</w:t>
            </w:r>
            <w:r w:rsidR="00446C13" w:rsidRPr="0018386D">
              <w:t>,353</w:t>
            </w:r>
            <w:r w:rsidR="005D2F23" w:rsidRPr="0018386D">
              <w:tab/>
            </w:r>
            <w:r w:rsidRPr="0018386D">
              <w:t xml:space="preserve">= </w:t>
            </w:r>
            <w:r w:rsidR="00446C13" w:rsidRPr="0018386D">
              <w:t>3,079,059</w:t>
            </w:r>
            <w:r w:rsidRPr="0018386D">
              <w:t xml:space="preserve"> kg CO</w:t>
            </w:r>
            <w:r w:rsidRPr="0018386D">
              <w:rPr>
                <w:vertAlign w:val="subscript"/>
              </w:rPr>
              <w:t>2</w:t>
            </w:r>
            <w:r w:rsidR="0026754D" w:rsidRPr="0018386D">
              <w:t>-e</w:t>
            </w:r>
            <w:r w:rsidRPr="0018386D">
              <w:t xml:space="preserve"> </w:t>
            </w:r>
          </w:p>
          <w:p w14:paraId="7378CA4A" w14:textId="128C3E4D" w:rsidR="0036564F" w:rsidRPr="0018386D" w:rsidRDefault="0036564F" w:rsidP="00DD3106">
            <w:pPr>
              <w:pStyle w:val="Boxtext"/>
              <w:spacing w:after="80"/>
            </w:pPr>
            <w:r w:rsidRPr="0018386D">
              <w:t xml:space="preserve">The </w:t>
            </w:r>
            <w:r w:rsidR="00F14753" w:rsidRPr="0018386D">
              <w:t xml:space="preserve">removals (expressed as a negative) </w:t>
            </w:r>
            <w:r w:rsidRPr="0018386D">
              <w:t xml:space="preserve">for the regenerating </w:t>
            </w:r>
            <w:r w:rsidR="00E770E4" w:rsidRPr="0018386D">
              <w:t>pre-1990</w:t>
            </w:r>
            <w:r w:rsidRPr="0018386D">
              <w:t xml:space="preserve"> natural forest </w:t>
            </w:r>
            <w:proofErr w:type="gramStart"/>
            <w:r w:rsidR="00D94A1D" w:rsidRPr="0018386D">
              <w:t>are</w:t>
            </w:r>
            <w:proofErr w:type="gramEnd"/>
            <w:r w:rsidRPr="0018386D">
              <w:t>:</w:t>
            </w:r>
          </w:p>
          <w:p w14:paraId="7BF560BB" w14:textId="4335C6A0" w:rsidR="0036564F" w:rsidRPr="0018386D" w:rsidRDefault="0036564F" w:rsidP="00DD3106">
            <w:pPr>
              <w:pStyle w:val="Boxtext"/>
              <w:tabs>
                <w:tab w:val="left" w:pos="2589"/>
                <w:tab w:val="left" w:pos="4290"/>
              </w:tabs>
              <w:spacing w:before="20" w:after="20"/>
              <w:ind w:left="851"/>
            </w:pPr>
            <w:r w:rsidRPr="0018386D">
              <w:t>CO</w:t>
            </w:r>
            <w:r w:rsidRPr="0018386D">
              <w:rPr>
                <w:vertAlign w:val="subscript"/>
              </w:rPr>
              <w:t>2</w:t>
            </w:r>
            <w:r w:rsidR="005D2F23" w:rsidRPr="0018386D">
              <w:t xml:space="preserve"> </w:t>
            </w:r>
            <w:r w:rsidR="00F14753" w:rsidRPr="0018386D">
              <w:t xml:space="preserve">removals </w:t>
            </w:r>
            <w:r w:rsidR="005D2F23" w:rsidRPr="0018386D">
              <w:tab/>
              <w:t>= 1 × -</w:t>
            </w:r>
            <w:r w:rsidR="00CA757D" w:rsidRPr="0018386D">
              <w:t>1</w:t>
            </w:r>
            <w:r w:rsidR="00AC2FB1" w:rsidRPr="0018386D">
              <w:t>,5</w:t>
            </w:r>
            <w:r w:rsidR="00CA757D" w:rsidRPr="0018386D">
              <w:t>67</w:t>
            </w:r>
            <w:r w:rsidR="005D2F23" w:rsidRPr="0018386D">
              <w:tab/>
            </w:r>
            <w:r w:rsidRPr="0018386D">
              <w:t>= -</w:t>
            </w:r>
            <w:r w:rsidR="00786DDC" w:rsidRPr="0018386D">
              <w:t>1</w:t>
            </w:r>
            <w:r w:rsidR="00AC2FB1" w:rsidRPr="0018386D">
              <w:t>,5</w:t>
            </w:r>
            <w:r w:rsidR="00786DDC" w:rsidRPr="0018386D">
              <w:t>67</w:t>
            </w:r>
            <w:r w:rsidRPr="0018386D">
              <w:t xml:space="preserve"> kg CO</w:t>
            </w:r>
            <w:r w:rsidRPr="0018386D">
              <w:rPr>
                <w:vertAlign w:val="subscript"/>
              </w:rPr>
              <w:t>2</w:t>
            </w:r>
            <w:r w:rsidR="00DF3CB0" w:rsidRPr="0018386D">
              <w:t>-</w:t>
            </w:r>
            <w:r w:rsidR="0026754D" w:rsidRPr="0018386D">
              <w:t>e</w:t>
            </w:r>
          </w:p>
          <w:p w14:paraId="63351F8F" w14:textId="15964560" w:rsidR="002F6630" w:rsidRPr="0018386D" w:rsidRDefault="006B04DD" w:rsidP="00DD3106">
            <w:pPr>
              <w:pStyle w:val="Boxtext"/>
              <w:spacing w:after="80"/>
            </w:pPr>
            <w:r w:rsidRPr="0018386D">
              <w:t>Therefore,</w:t>
            </w:r>
            <w:r w:rsidR="0036564F" w:rsidRPr="0018386D">
              <w:t xml:space="preserve"> total net CO</w:t>
            </w:r>
            <w:r w:rsidR="0036564F" w:rsidRPr="0018386D">
              <w:rPr>
                <w:vertAlign w:val="subscript"/>
              </w:rPr>
              <w:t>2</w:t>
            </w:r>
            <w:r w:rsidR="0036564F" w:rsidRPr="0018386D">
              <w:t xml:space="preserve">-e emissions = </w:t>
            </w:r>
            <w:r w:rsidR="00446C13" w:rsidRPr="0018386D">
              <w:t>3,079</w:t>
            </w:r>
            <w:r w:rsidR="00FC4EC8" w:rsidRPr="0018386D">
              <w:t>,059</w:t>
            </w:r>
            <w:r w:rsidR="0036564F" w:rsidRPr="0018386D">
              <w:t xml:space="preserve"> </w:t>
            </w:r>
            <w:r w:rsidR="00505BA2" w:rsidRPr="0018386D">
              <w:t>–</w:t>
            </w:r>
            <w:r w:rsidR="0036564F" w:rsidRPr="0018386D">
              <w:t xml:space="preserve"> </w:t>
            </w:r>
            <w:r w:rsidR="00786DDC" w:rsidRPr="0018386D">
              <w:t>1</w:t>
            </w:r>
            <w:r w:rsidR="00C1737D" w:rsidRPr="0018386D">
              <w:t>,5</w:t>
            </w:r>
            <w:r w:rsidR="00786DDC" w:rsidRPr="0018386D">
              <w:t>67</w:t>
            </w:r>
            <w:r w:rsidR="0036564F" w:rsidRPr="0018386D">
              <w:t xml:space="preserve"> = </w:t>
            </w:r>
            <w:r w:rsidR="00FC4EC8" w:rsidRPr="0018386D">
              <w:t>3,077,492</w:t>
            </w:r>
            <w:r w:rsidR="000C10C4" w:rsidRPr="0018386D">
              <w:t xml:space="preserve"> </w:t>
            </w:r>
            <w:r w:rsidR="0036564F" w:rsidRPr="0018386D">
              <w:t>kg CO</w:t>
            </w:r>
            <w:r w:rsidR="0036564F" w:rsidRPr="0018386D">
              <w:rPr>
                <w:vertAlign w:val="subscript"/>
              </w:rPr>
              <w:t>2</w:t>
            </w:r>
            <w:r w:rsidR="0036564F" w:rsidRPr="0018386D">
              <w:t>-e.</w:t>
            </w:r>
          </w:p>
          <w:p w14:paraId="5FDCBA05" w14:textId="77777777" w:rsidR="009649BB" w:rsidRPr="0018386D" w:rsidRDefault="009649BB" w:rsidP="00DD3106">
            <w:pPr>
              <w:pStyle w:val="Boxtext"/>
              <w:spacing w:before="80"/>
              <w:rPr>
                <w:sz w:val="18"/>
              </w:rPr>
            </w:pPr>
            <w:r w:rsidRPr="0018386D">
              <w:rPr>
                <w:sz w:val="18"/>
              </w:rPr>
              <w:t>Note: Negative emissions are a carbon sink.</w:t>
            </w:r>
          </w:p>
          <w:p w14:paraId="7CDCA06B" w14:textId="49FDAA18" w:rsidR="0086009C" w:rsidRPr="0018386D" w:rsidRDefault="0086009C" w:rsidP="00DD3106">
            <w:pPr>
              <w:pStyle w:val="Boxtext"/>
              <w:spacing w:after="0"/>
            </w:pPr>
            <w:r w:rsidRPr="0018386D">
              <w:t xml:space="preserve">Example </w:t>
            </w:r>
            <w:r w:rsidR="006E431A" w:rsidRPr="0018386D">
              <w:t>t</w:t>
            </w:r>
            <w:r w:rsidRPr="0018386D">
              <w:t>wo</w:t>
            </w:r>
            <w:r w:rsidR="00D828FD" w:rsidRPr="0018386D">
              <w:t xml:space="preserve"> (using Approach </w:t>
            </w:r>
            <w:r w:rsidR="00F4755F" w:rsidRPr="0018386D">
              <w:t>t</w:t>
            </w:r>
            <w:r w:rsidR="00D828FD" w:rsidRPr="0018386D">
              <w:t>wo</w:t>
            </w:r>
            <w:r w:rsidR="00920120" w:rsidRPr="0018386D">
              <w:t xml:space="preserve"> for </w:t>
            </w:r>
            <w:r w:rsidR="00F4755F" w:rsidRPr="0018386D">
              <w:t>p</w:t>
            </w:r>
            <w:r w:rsidR="00920120" w:rsidRPr="0018386D">
              <w:t xml:space="preserve">lanted </w:t>
            </w:r>
            <w:r w:rsidR="00F4755F" w:rsidRPr="0018386D">
              <w:t>f</w:t>
            </w:r>
            <w:r w:rsidR="00920120" w:rsidRPr="0018386D">
              <w:t>orest</w:t>
            </w:r>
            <w:r w:rsidR="00D828FD" w:rsidRPr="0018386D">
              <w:t>)</w:t>
            </w:r>
            <w:r w:rsidRPr="0018386D">
              <w:t>:</w:t>
            </w:r>
          </w:p>
          <w:p w14:paraId="3A0C99FB" w14:textId="23732679" w:rsidR="00E456F7" w:rsidRPr="0018386D" w:rsidRDefault="00E456F7" w:rsidP="00DD3106">
            <w:pPr>
              <w:pStyle w:val="Boxtext"/>
              <w:spacing w:after="80"/>
            </w:pPr>
            <w:r w:rsidRPr="0018386D">
              <w:t>An organisation owns 4</w:t>
            </w:r>
            <w:r w:rsidR="00B36F12" w:rsidRPr="0018386D">
              <w:t>0</w:t>
            </w:r>
            <w:r w:rsidRPr="0018386D">
              <w:t xml:space="preserve"> ha of land: </w:t>
            </w:r>
            <w:r w:rsidR="00A653F6" w:rsidRPr="0018386D">
              <w:t>1</w:t>
            </w:r>
            <w:r w:rsidR="003D1A9F" w:rsidRPr="0018386D">
              <w:t>0</w:t>
            </w:r>
            <w:r w:rsidRPr="0018386D">
              <w:t xml:space="preserve"> ha are planted forest (</w:t>
            </w:r>
            <w:r w:rsidR="002D5C24" w:rsidRPr="0018386D">
              <w:t xml:space="preserve">Other </w:t>
            </w:r>
            <w:r w:rsidR="004A76A3" w:rsidRPr="0018386D">
              <w:t>s</w:t>
            </w:r>
            <w:r w:rsidR="002D5C24" w:rsidRPr="0018386D">
              <w:t>oftwoods</w:t>
            </w:r>
            <w:r w:rsidRPr="0018386D">
              <w:t>)</w:t>
            </w:r>
            <w:r w:rsidR="00A653F6" w:rsidRPr="0018386D">
              <w:t xml:space="preserve"> below the</w:t>
            </w:r>
            <w:r w:rsidR="000D6CFA" w:rsidRPr="0018386D">
              <w:t xml:space="preserve"> long-term average age</w:t>
            </w:r>
            <w:r w:rsidR="008A42F4" w:rsidRPr="0018386D">
              <w:t xml:space="preserve"> (</w:t>
            </w:r>
            <w:r w:rsidR="000E4936" w:rsidRPr="0018386D">
              <w:t xml:space="preserve">&lt; </w:t>
            </w:r>
            <w:r w:rsidR="00BD65CE" w:rsidRPr="0018386D">
              <w:t>2</w:t>
            </w:r>
            <w:r w:rsidR="00C32D13" w:rsidRPr="0018386D">
              <w:t>8</w:t>
            </w:r>
            <w:r w:rsidR="00BD65CE" w:rsidRPr="0018386D">
              <w:t xml:space="preserve"> years</w:t>
            </w:r>
            <w:r w:rsidR="00755D7D" w:rsidRPr="0018386D">
              <w:t xml:space="preserve"> since </w:t>
            </w:r>
            <w:r w:rsidR="00C22F84" w:rsidRPr="0018386D">
              <w:t>time of planting</w:t>
            </w:r>
            <w:r w:rsidR="00BD65CE" w:rsidRPr="0018386D">
              <w:t xml:space="preserve">), </w:t>
            </w:r>
            <w:r w:rsidR="00534BE0" w:rsidRPr="0018386D">
              <w:t>20 ha are planted forest (</w:t>
            </w:r>
            <w:r w:rsidR="00534BE0" w:rsidRPr="0018386D">
              <w:rPr>
                <w:i/>
                <w:iCs/>
              </w:rPr>
              <w:t>Pinus radiata</w:t>
            </w:r>
            <w:r w:rsidR="00534BE0" w:rsidRPr="0018386D">
              <w:t>) above the long-term average age (</w:t>
            </w:r>
            <w:r w:rsidR="000E5125" w:rsidRPr="0018386D">
              <w:t>&gt; 22 years</w:t>
            </w:r>
            <w:r w:rsidR="00C22F84" w:rsidRPr="0018386D">
              <w:t xml:space="preserve"> since time of planting</w:t>
            </w:r>
            <w:r w:rsidR="000E5125" w:rsidRPr="0018386D">
              <w:t>)</w:t>
            </w:r>
            <w:r w:rsidR="00B32320" w:rsidRPr="0018386D">
              <w:t xml:space="preserve"> and</w:t>
            </w:r>
            <w:r w:rsidR="00DA518D" w:rsidRPr="0018386D">
              <w:t xml:space="preserve"> a further</w:t>
            </w:r>
            <w:r w:rsidR="00B32320" w:rsidRPr="0018386D">
              <w:t xml:space="preserve"> 10 ha</w:t>
            </w:r>
            <w:r w:rsidR="00242F06" w:rsidRPr="0018386D">
              <w:t xml:space="preserve"> of planted forest (</w:t>
            </w:r>
            <w:r w:rsidR="00242F06" w:rsidRPr="0018386D">
              <w:rPr>
                <w:i/>
                <w:iCs/>
              </w:rPr>
              <w:t>Pinus radiata</w:t>
            </w:r>
            <w:r w:rsidR="00242F06" w:rsidRPr="0018386D">
              <w:t>) were defore</w:t>
            </w:r>
            <w:r w:rsidR="00556B03" w:rsidRPr="0018386D">
              <w:t xml:space="preserve">sted </w:t>
            </w:r>
            <w:r w:rsidR="007E5DDA" w:rsidRPr="0018386D">
              <w:t>during the reporting year.</w:t>
            </w:r>
          </w:p>
          <w:p w14:paraId="107C0F9F" w14:textId="1397BBF0" w:rsidR="00E456F7" w:rsidRPr="0018386D" w:rsidRDefault="00FA12BD" w:rsidP="00DD3106">
            <w:pPr>
              <w:pStyle w:val="Boxtext"/>
              <w:spacing w:after="80"/>
            </w:pPr>
            <w:r w:rsidRPr="0018386D">
              <w:t>The removals</w:t>
            </w:r>
            <w:r w:rsidR="00F737B8" w:rsidRPr="0018386D">
              <w:t xml:space="preserve"> (expressed as negative)</w:t>
            </w:r>
            <w:r w:rsidRPr="0018386D">
              <w:t xml:space="preserve"> </w:t>
            </w:r>
            <w:r w:rsidR="00F02B86" w:rsidRPr="0018386D">
              <w:t xml:space="preserve">for the </w:t>
            </w:r>
            <w:r w:rsidR="007E5DDA" w:rsidRPr="0018386D">
              <w:t>10</w:t>
            </w:r>
            <w:r w:rsidR="00E456F7" w:rsidRPr="0018386D">
              <w:t xml:space="preserve"> ha of planted forest</w:t>
            </w:r>
            <w:r w:rsidR="007E5DDA" w:rsidRPr="0018386D">
              <w:t xml:space="preserve"> (</w:t>
            </w:r>
            <w:r w:rsidR="00C32D13" w:rsidRPr="0018386D">
              <w:t xml:space="preserve">Other </w:t>
            </w:r>
            <w:r w:rsidR="004A76A3" w:rsidRPr="0018386D">
              <w:t>s</w:t>
            </w:r>
            <w:r w:rsidR="00C32D13" w:rsidRPr="0018386D">
              <w:t>oftwoods</w:t>
            </w:r>
            <w:r w:rsidR="007E5DDA" w:rsidRPr="0018386D">
              <w:t>)</w:t>
            </w:r>
            <w:r w:rsidR="00E456F7" w:rsidRPr="0018386D">
              <w:t xml:space="preserve"> </w:t>
            </w:r>
            <w:r w:rsidR="007E5DDA" w:rsidRPr="0018386D">
              <w:t>below the long-term average</w:t>
            </w:r>
            <w:r w:rsidR="00303E3E" w:rsidRPr="0018386D">
              <w:t xml:space="preserve"> age (&lt; </w:t>
            </w:r>
            <w:r w:rsidR="00C32D13" w:rsidRPr="0018386D">
              <w:t>28</w:t>
            </w:r>
            <w:r w:rsidR="00303E3E" w:rsidRPr="0018386D">
              <w:t xml:space="preserve"> years)</w:t>
            </w:r>
            <w:r w:rsidR="00F02B86" w:rsidRPr="0018386D">
              <w:t xml:space="preserve"> are</w:t>
            </w:r>
            <w:r w:rsidR="00E456F7" w:rsidRPr="0018386D">
              <w:t>:</w:t>
            </w:r>
          </w:p>
          <w:p w14:paraId="02700DA6" w14:textId="7EC890C8" w:rsidR="00E456F7" w:rsidRPr="0018386D" w:rsidRDefault="00E456F7" w:rsidP="00DD3106">
            <w:pPr>
              <w:pStyle w:val="Boxtext"/>
              <w:tabs>
                <w:tab w:val="left" w:pos="2589"/>
                <w:tab w:val="left" w:pos="4290"/>
              </w:tabs>
              <w:spacing w:before="20" w:after="60"/>
              <w:ind w:left="851"/>
            </w:pPr>
            <w:r w:rsidRPr="0018386D">
              <w:t>CO</w:t>
            </w:r>
            <w:r w:rsidRPr="0018386D">
              <w:rPr>
                <w:vertAlign w:val="subscript"/>
              </w:rPr>
              <w:t>2</w:t>
            </w:r>
            <w:r w:rsidRPr="0018386D">
              <w:t xml:space="preserve"> </w:t>
            </w:r>
            <w:r w:rsidR="00F02B86" w:rsidRPr="0018386D">
              <w:t>removal</w:t>
            </w:r>
            <w:r w:rsidRPr="0018386D">
              <w:t xml:space="preserve">s </w:t>
            </w:r>
            <w:r w:rsidRPr="0018386D">
              <w:tab/>
              <w:t xml:space="preserve">= </w:t>
            </w:r>
            <w:r w:rsidR="00303E3E" w:rsidRPr="0018386D">
              <w:t>10</w:t>
            </w:r>
            <w:r w:rsidRPr="0018386D">
              <w:t xml:space="preserve"> × </w:t>
            </w:r>
            <w:r w:rsidR="00C32D13" w:rsidRPr="0018386D">
              <w:t>-</w:t>
            </w:r>
            <w:r w:rsidR="000B5022" w:rsidRPr="0018386D">
              <w:t>29,414</w:t>
            </w:r>
            <w:r w:rsidRPr="0018386D">
              <w:tab/>
              <w:t xml:space="preserve">= </w:t>
            </w:r>
            <w:r w:rsidR="00E31219" w:rsidRPr="0018386D">
              <w:t>-</w:t>
            </w:r>
            <w:r w:rsidR="000B5022" w:rsidRPr="0018386D">
              <w:t>294,140</w:t>
            </w:r>
            <w:r w:rsidR="00C143E5" w:rsidRPr="0018386D">
              <w:t xml:space="preserve"> </w:t>
            </w:r>
            <w:r w:rsidRPr="0018386D">
              <w:t>kg CO</w:t>
            </w:r>
            <w:r w:rsidRPr="0018386D">
              <w:rPr>
                <w:vertAlign w:val="subscript"/>
              </w:rPr>
              <w:t>2</w:t>
            </w:r>
            <w:r w:rsidRPr="0018386D">
              <w:t xml:space="preserve">-e </w:t>
            </w:r>
          </w:p>
          <w:p w14:paraId="1FC84657" w14:textId="13E1AD4F" w:rsidR="00E456F7" w:rsidRPr="0018386D" w:rsidRDefault="00E456F7" w:rsidP="00DD3106">
            <w:pPr>
              <w:pStyle w:val="Boxtext"/>
              <w:spacing w:after="80"/>
            </w:pPr>
            <w:r w:rsidRPr="0018386D">
              <w:t xml:space="preserve">The removals (expressed as a negative) for the </w:t>
            </w:r>
            <w:r w:rsidR="00F737B8" w:rsidRPr="0018386D">
              <w:t>20 ha</w:t>
            </w:r>
            <w:r w:rsidR="00503861" w:rsidRPr="0018386D">
              <w:t xml:space="preserve"> of planted forest (</w:t>
            </w:r>
            <w:r w:rsidR="00503861" w:rsidRPr="0018386D">
              <w:rPr>
                <w:i/>
                <w:iCs/>
              </w:rPr>
              <w:t>Pinus radiata</w:t>
            </w:r>
            <w:r w:rsidR="00503861" w:rsidRPr="0018386D">
              <w:t>)</w:t>
            </w:r>
            <w:r w:rsidR="00F737B8" w:rsidRPr="0018386D">
              <w:t xml:space="preserve"> above the long-term average</w:t>
            </w:r>
            <w:r w:rsidR="00510DE2" w:rsidRPr="0018386D">
              <w:t xml:space="preserve"> (&gt; 22 years)</w:t>
            </w:r>
            <w:r w:rsidRPr="0018386D">
              <w:t>:</w:t>
            </w:r>
          </w:p>
          <w:p w14:paraId="613F3173" w14:textId="0111C02B" w:rsidR="00E456F7" w:rsidRPr="0018386D" w:rsidRDefault="00E456F7" w:rsidP="00DD3106">
            <w:pPr>
              <w:pStyle w:val="Boxtext"/>
              <w:tabs>
                <w:tab w:val="left" w:pos="2589"/>
                <w:tab w:val="left" w:pos="4290"/>
              </w:tabs>
              <w:spacing w:before="20" w:after="60"/>
              <w:ind w:left="851"/>
            </w:pPr>
            <w:r w:rsidRPr="0018386D">
              <w:t>CO</w:t>
            </w:r>
            <w:r w:rsidRPr="0018386D">
              <w:rPr>
                <w:vertAlign w:val="subscript"/>
              </w:rPr>
              <w:t>2</w:t>
            </w:r>
            <w:r w:rsidRPr="0018386D">
              <w:t xml:space="preserve"> removals </w:t>
            </w:r>
            <w:r w:rsidRPr="0018386D">
              <w:tab/>
              <w:t xml:space="preserve">= </w:t>
            </w:r>
            <w:r w:rsidR="00D269D8" w:rsidRPr="0018386D">
              <w:t>20</w:t>
            </w:r>
            <w:r w:rsidRPr="0018386D">
              <w:t xml:space="preserve"> × </w:t>
            </w:r>
            <w:r w:rsidR="008F5A0D" w:rsidRPr="0018386D">
              <w:t>0</w:t>
            </w:r>
            <w:r w:rsidRPr="0018386D">
              <w:tab/>
              <w:t xml:space="preserve">= </w:t>
            </w:r>
            <w:r w:rsidR="00D269D8" w:rsidRPr="0018386D">
              <w:t>0</w:t>
            </w:r>
            <w:r w:rsidRPr="0018386D">
              <w:t xml:space="preserve"> kg CO</w:t>
            </w:r>
            <w:r w:rsidRPr="0018386D">
              <w:rPr>
                <w:vertAlign w:val="subscript"/>
              </w:rPr>
              <w:t>2</w:t>
            </w:r>
            <w:r w:rsidR="00DF3CB0" w:rsidRPr="0018386D">
              <w:t>-</w:t>
            </w:r>
            <w:r w:rsidRPr="0018386D">
              <w:t>e</w:t>
            </w:r>
          </w:p>
          <w:p w14:paraId="7CB18E7E" w14:textId="2846DDA4" w:rsidR="00A87C64" w:rsidRPr="0018386D" w:rsidRDefault="00A87C64" w:rsidP="00DD3106">
            <w:pPr>
              <w:pStyle w:val="Boxtext"/>
            </w:pPr>
            <w:r w:rsidRPr="0018386D">
              <w:t xml:space="preserve">The emissions for the 10 ha </w:t>
            </w:r>
            <w:r w:rsidR="009934F6" w:rsidRPr="0018386D">
              <w:t>of planted forest (</w:t>
            </w:r>
            <w:r w:rsidR="009934F6" w:rsidRPr="0018386D">
              <w:rPr>
                <w:i/>
                <w:iCs/>
              </w:rPr>
              <w:t>Pinus radiata</w:t>
            </w:r>
            <w:r w:rsidR="009934F6" w:rsidRPr="0018386D">
              <w:t xml:space="preserve">) </w:t>
            </w:r>
            <w:r w:rsidR="002F5C77" w:rsidRPr="0018386D">
              <w:t>that were deforested</w:t>
            </w:r>
            <w:r w:rsidR="0001103A" w:rsidRPr="0018386D">
              <w:t>:</w:t>
            </w:r>
          </w:p>
          <w:p w14:paraId="3BB48AF2" w14:textId="661B6BD8" w:rsidR="0001103A" w:rsidRPr="0018386D" w:rsidRDefault="0001103A" w:rsidP="00DD3106">
            <w:pPr>
              <w:pStyle w:val="Boxtext"/>
              <w:tabs>
                <w:tab w:val="left" w:pos="2589"/>
                <w:tab w:val="left" w:pos="4290"/>
              </w:tabs>
              <w:spacing w:before="20" w:after="20"/>
              <w:ind w:left="851"/>
            </w:pPr>
            <w:r w:rsidRPr="0018386D">
              <w:t>CO</w:t>
            </w:r>
            <w:r w:rsidRPr="0018386D">
              <w:rPr>
                <w:vertAlign w:val="subscript"/>
              </w:rPr>
              <w:t>2</w:t>
            </w:r>
            <w:r w:rsidRPr="0018386D">
              <w:t xml:space="preserve"> emissions </w:t>
            </w:r>
            <w:r w:rsidRPr="0018386D">
              <w:tab/>
              <w:t xml:space="preserve">= 10 × </w:t>
            </w:r>
            <w:r w:rsidR="000B5022" w:rsidRPr="0018386D">
              <w:t>1,026,353</w:t>
            </w:r>
            <w:r w:rsidRPr="0018386D">
              <w:tab/>
              <w:t xml:space="preserve">= </w:t>
            </w:r>
            <w:r w:rsidR="000B5022" w:rsidRPr="0018386D">
              <w:t>10,263,530</w:t>
            </w:r>
            <w:r w:rsidRPr="0018386D">
              <w:t xml:space="preserve"> kg CO</w:t>
            </w:r>
            <w:r w:rsidRPr="0018386D">
              <w:rPr>
                <w:vertAlign w:val="subscript"/>
              </w:rPr>
              <w:t>2</w:t>
            </w:r>
            <w:r w:rsidRPr="0018386D">
              <w:t xml:space="preserve">-e </w:t>
            </w:r>
          </w:p>
          <w:p w14:paraId="28EE2E52" w14:textId="70756CE5" w:rsidR="0086009C" w:rsidRPr="0018386D" w:rsidRDefault="00E456F7" w:rsidP="00DD3106">
            <w:pPr>
              <w:pStyle w:val="Boxtext"/>
              <w:spacing w:after="180"/>
            </w:pPr>
            <w:r w:rsidRPr="0018386D">
              <w:t>Therefore, total net CO</w:t>
            </w:r>
            <w:r w:rsidRPr="0018386D">
              <w:rPr>
                <w:vertAlign w:val="subscript"/>
              </w:rPr>
              <w:t>2</w:t>
            </w:r>
            <w:r w:rsidRPr="0018386D">
              <w:t xml:space="preserve">-e emissions = </w:t>
            </w:r>
            <w:r w:rsidR="000B5022" w:rsidRPr="0018386D">
              <w:t>10,263,530</w:t>
            </w:r>
            <w:r w:rsidR="006429CE" w:rsidRPr="0018386D">
              <w:t xml:space="preserve"> </w:t>
            </w:r>
            <w:r w:rsidRPr="0018386D">
              <w:t>–</w:t>
            </w:r>
            <w:r w:rsidR="00E31219" w:rsidRPr="0018386D">
              <w:t xml:space="preserve"> </w:t>
            </w:r>
            <w:r w:rsidR="008373F3" w:rsidRPr="0018386D">
              <w:t>294,140</w:t>
            </w:r>
            <w:r w:rsidR="00554965" w:rsidRPr="0018386D">
              <w:t xml:space="preserve"> </w:t>
            </w:r>
            <w:r w:rsidR="00044CE6" w:rsidRPr="0018386D">
              <w:t>– 0</w:t>
            </w:r>
            <w:r w:rsidR="004D217A" w:rsidRPr="0018386D">
              <w:t xml:space="preserve"> </w:t>
            </w:r>
            <w:r w:rsidRPr="0018386D">
              <w:t xml:space="preserve">= </w:t>
            </w:r>
            <w:r w:rsidR="008373F3" w:rsidRPr="0018386D">
              <w:t>9,969,390</w:t>
            </w:r>
            <w:r w:rsidRPr="0018386D">
              <w:t xml:space="preserve"> kg CO</w:t>
            </w:r>
            <w:r w:rsidRPr="0018386D">
              <w:rPr>
                <w:vertAlign w:val="subscript"/>
              </w:rPr>
              <w:t>2</w:t>
            </w:r>
            <w:r w:rsidRPr="0018386D">
              <w:t>-e.</w:t>
            </w:r>
          </w:p>
        </w:tc>
      </w:tr>
    </w:tbl>
    <w:p w14:paraId="32751022" w14:textId="6BFBC253" w:rsidR="00E22327" w:rsidRPr="0018386D" w:rsidRDefault="00E22327" w:rsidP="00DD3106">
      <w:pPr>
        <w:pStyle w:val="Heading4"/>
        <w:numPr>
          <w:ilvl w:val="3"/>
          <w:numId w:val="8"/>
        </w:numPr>
        <w:ind w:left="1134" w:hanging="1134"/>
      </w:pPr>
      <w:bookmarkStart w:id="901" w:name="_Toc532904964"/>
      <w:r w:rsidRPr="0018386D">
        <w:t>Activity data uncertainties</w:t>
      </w:r>
    </w:p>
    <w:p w14:paraId="4FF8AA4A" w14:textId="7BB7654B" w:rsidR="00E22327" w:rsidRPr="0018386D" w:rsidRDefault="00E22327" w:rsidP="00DD3106">
      <w:pPr>
        <w:pStyle w:val="BodyText"/>
      </w:pPr>
      <w:r w:rsidRPr="0018386D">
        <w:rPr>
          <w:spacing w:val="-2"/>
        </w:rPr>
        <w:t>National mapping uncertaint</w:t>
      </w:r>
      <w:r w:rsidR="008866FD" w:rsidRPr="0018386D">
        <w:rPr>
          <w:spacing w:val="-2"/>
        </w:rPr>
        <w:t xml:space="preserve">y </w:t>
      </w:r>
      <w:r w:rsidRPr="0018386D">
        <w:rPr>
          <w:spacing w:val="-2"/>
        </w:rPr>
        <w:t>for natural forest and pre-1990 planted forest land is ±5 per cent</w:t>
      </w:r>
      <w:r w:rsidRPr="0018386D">
        <w:t>, and ±8 per cent for post-1989 forest land. As the guide combines planted forest types, we recommend applying the higher uncertainty of ±8 per cent.</w:t>
      </w:r>
    </w:p>
    <w:p w14:paraId="409F1F9A" w14:textId="00A13530" w:rsidR="002C7317" w:rsidRPr="0018386D" w:rsidRDefault="002C7317" w:rsidP="00DD3106">
      <w:pPr>
        <w:pStyle w:val="Heading3"/>
        <w:numPr>
          <w:ilvl w:val="2"/>
          <w:numId w:val="8"/>
        </w:numPr>
        <w:ind w:left="1134" w:hanging="1134"/>
      </w:pPr>
      <w:bookmarkStart w:id="902" w:name="_Emission_factor_derivation"/>
      <w:bookmarkEnd w:id="902"/>
      <w:r w:rsidRPr="0018386D">
        <w:t>Emission factor derivation methodology</w:t>
      </w:r>
      <w:bookmarkEnd w:id="901"/>
    </w:p>
    <w:p w14:paraId="2A7BA0ED" w14:textId="7703B52A" w:rsidR="00A14F47" w:rsidRPr="0018386D" w:rsidRDefault="00A14F47" w:rsidP="00DD3106">
      <w:pPr>
        <w:pStyle w:val="BodyText"/>
      </w:pPr>
      <w:r w:rsidRPr="0018386D">
        <w:rPr>
          <w:rFonts w:eastAsia="Times New Roman"/>
        </w:rPr>
        <w:t xml:space="preserve">As stated above, </w:t>
      </w:r>
      <w:r w:rsidRPr="0018386D">
        <w:t>two approaches are provided to calculate emissions and removals from planted forests. Approach one (carbon stock change accounting) estimates the net emissions and removals from forest growth and harvesting each year. Approach two (averaging accounting) estimates carbon dioxide removals from the planting of new forests up to the age</w:t>
      </w:r>
      <w:r w:rsidR="006C7EF2" w:rsidRPr="0018386D">
        <w:t> </w:t>
      </w:r>
      <w:r w:rsidRPr="0018386D">
        <w:t>when they reach their average long-term carbon stock.</w:t>
      </w:r>
    </w:p>
    <w:p w14:paraId="054E783C" w14:textId="63D97C36" w:rsidR="00A14F47" w:rsidRPr="0018386D" w:rsidRDefault="00A14F47" w:rsidP="00DD3106">
      <w:pPr>
        <w:pStyle w:val="BodyText"/>
        <w:keepNext/>
        <w:spacing w:after="160"/>
        <w:rPr>
          <w:rFonts w:eastAsia="Times New Roman"/>
        </w:rPr>
      </w:pPr>
      <w:r w:rsidRPr="0018386D">
        <w:t>The approach to emissions estimation for Approach one (stock change accounting) follows this equation: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AA3AE3" w:rsidRPr="0018386D" w14:paraId="5B61819B" w14:textId="77777777" w:rsidTr="00261225">
        <w:tc>
          <w:tcPr>
            <w:tcW w:w="0" w:type="auto"/>
            <w:shd w:val="clear" w:color="auto" w:fill="D2DDE1" w:themeFill="background2"/>
          </w:tcPr>
          <w:p w14:paraId="02D90A01" w14:textId="308580B5" w:rsidR="00AA3AE3" w:rsidRPr="0018386D" w:rsidRDefault="00AA3AE3" w:rsidP="00DD3106">
            <w:pPr>
              <w:pStyle w:val="Blueboxtext"/>
              <w:spacing w:before="240"/>
            </w:pPr>
            <m:oMathPara>
              <m:oMath>
                <m:r>
                  <m:rPr>
                    <m:sty m:val="p"/>
                  </m:rPr>
                  <w:rPr>
                    <w:rFonts w:ascii="Cambria Math" w:eastAsia="Times New Roman" w:hAnsi="Cambria Math"/>
                  </w:rPr>
                  <m:t>∆</m:t>
                </m:r>
                <m:r>
                  <w:rPr>
                    <w:rFonts w:ascii="Cambria Math" w:eastAsia="Times New Roman" w:hAnsi="Cambria Math"/>
                  </w:rPr>
                  <m:t>C</m:t>
                </m:r>
                <m:r>
                  <m:rPr>
                    <m:sty m:val="p"/>
                  </m:rPr>
                  <w:rPr>
                    <w:rFonts w:ascii="Cambria Math" w:eastAsia="Times New Roman" w:hAnsi="Cambria Math"/>
                  </w:rPr>
                  <m:t xml:space="preserve">= </m:t>
                </m:r>
                <m:nary>
                  <m:naryPr>
                    <m:chr m:val="∑"/>
                    <m:limLoc m:val="subSup"/>
                    <m:supHide m:val="1"/>
                    <m:ctrlPr>
                      <w:rPr>
                        <w:rFonts w:ascii="Cambria Math" w:eastAsia="Times New Roman" w:hAnsi="Cambria Math"/>
                      </w:rPr>
                    </m:ctrlPr>
                  </m:naryPr>
                  <m:sub>
                    <m:r>
                      <w:rPr>
                        <w:rFonts w:ascii="Cambria Math" w:eastAsia="Times New Roman" w:hAnsi="Cambria Math"/>
                      </w:rPr>
                      <m:t>ij</m:t>
                    </m:r>
                  </m:sub>
                  <m:sup/>
                  <m:e>
                    <m:d>
                      <m:dPr>
                        <m:begChr m:val="["/>
                        <m:endChr m:val="]"/>
                        <m:ctrlPr>
                          <w:rPr>
                            <w:rFonts w:ascii="Cambria Math" w:eastAsia="Times New Roman" w:hAnsi="Cambria Math"/>
                          </w:rPr>
                        </m:ctrlPr>
                      </m:dPr>
                      <m:e>
                        <m:sSub>
                          <m:sSubPr>
                            <m:ctrlPr>
                              <w:rPr>
                                <w:rFonts w:ascii="Cambria Math" w:eastAsia="Times New Roman" w:hAnsi="Cambria Math"/>
                              </w:rPr>
                            </m:ctrlPr>
                          </m:sSubPr>
                          <m:e>
                            <m:sSub>
                              <m:sSubPr>
                                <m:ctrlPr>
                                  <w:rPr>
                                    <w:rFonts w:ascii="Cambria Math" w:eastAsia="Times New Roman" w:hAnsi="Cambria Math"/>
                                  </w:rPr>
                                </m:ctrlPr>
                              </m:sSubPr>
                              <m:e>
                                <m:r>
                                  <w:rPr>
                                    <w:rFonts w:ascii="Cambria Math" w:eastAsia="Times New Roman" w:hAnsi="Cambria Math"/>
                                  </w:rPr>
                                  <m:t>A</m:t>
                                </m:r>
                              </m:e>
                              <m:sub>
                                <m:r>
                                  <w:rPr>
                                    <w:rFonts w:ascii="Cambria Math" w:eastAsia="Times New Roman" w:hAnsi="Cambria Math"/>
                                  </w:rPr>
                                  <m:t>ij</m:t>
                                </m:r>
                              </m:sub>
                            </m:sSub>
                            <m:r>
                              <m:rPr>
                                <m:sty m:val="p"/>
                              </m:rPr>
                              <w:rPr>
                                <w:rFonts w:ascii="Cambria Math" w:eastAsia="Times New Roman" w:hAnsi="Cambria Math"/>
                              </w:rPr>
                              <m:t>*</m:t>
                            </m:r>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m:rPr>
                                        <m:sty m:val="p"/>
                                      </m:rPr>
                                      <w:rPr>
                                        <w:rFonts w:ascii="Cambria Math" w:eastAsia="Times New Roman" w:hAnsi="Cambria Math"/>
                                      </w:rPr>
                                      <m:t>I</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L</m:t>
                                    </m:r>
                                  </m:sub>
                                </m:sSub>
                              </m:e>
                            </m:d>
                          </m:e>
                          <m:sub>
                            <m:r>
                              <w:rPr>
                                <w:rFonts w:ascii="Cambria Math" w:eastAsia="Times New Roman" w:hAnsi="Cambria Math"/>
                              </w:rPr>
                              <m:t>ij</m:t>
                            </m:r>
                          </m:sub>
                        </m:sSub>
                      </m:e>
                    </m:d>
                  </m:e>
                </m:nary>
              </m:oMath>
            </m:oMathPara>
          </w:p>
        </w:tc>
      </w:tr>
    </w:tbl>
    <w:p w14:paraId="7CA74C83" w14:textId="77777777" w:rsidR="002C7317" w:rsidRPr="0018386D" w:rsidRDefault="002C7317" w:rsidP="00DD3106">
      <w:pPr>
        <w:pStyle w:val="BodyText"/>
        <w:keepNext/>
        <w:spacing w:before="240" w:after="100"/>
        <w:rPr>
          <w:rFonts w:eastAsia="Times New Roman"/>
        </w:rPr>
      </w:pPr>
      <w:r w:rsidRPr="0018386D">
        <w:rPr>
          <w:rFonts w:eastAsia="Times New Roman"/>
        </w:rPr>
        <w:t>Where:</w:t>
      </w:r>
    </w:p>
    <w:p w14:paraId="615CDBC6" w14:textId="5D886E01" w:rsidR="00EF4165" w:rsidRPr="0018386D" w:rsidRDefault="00EF4165" w:rsidP="00DD3106">
      <w:pPr>
        <w:pStyle w:val="Bullet"/>
        <w:spacing w:after="100"/>
      </w:pPr>
      <w:r w:rsidRPr="0018386D">
        <w:t>∆</w:t>
      </w:r>
      <w:r w:rsidR="001E4717" w:rsidRPr="0018386D">
        <w:t>C = c</w:t>
      </w:r>
      <w:r w:rsidRPr="0018386D">
        <w:t xml:space="preserve">arbon stock change in the pool, </w:t>
      </w:r>
      <w:r w:rsidR="00BC403E" w:rsidRPr="0018386D">
        <w:t xml:space="preserve">kg </w:t>
      </w:r>
      <w:r w:rsidRPr="0018386D">
        <w:t>C yr</w:t>
      </w:r>
      <w:r w:rsidRPr="0018386D">
        <w:rPr>
          <w:vertAlign w:val="superscript"/>
        </w:rPr>
        <w:t>-1</w:t>
      </w:r>
    </w:p>
    <w:p w14:paraId="42683058" w14:textId="77777777" w:rsidR="00EF4165" w:rsidRPr="0018386D" w:rsidRDefault="00EF4165" w:rsidP="00DD3106">
      <w:pPr>
        <w:pStyle w:val="Bullet"/>
        <w:spacing w:after="100"/>
      </w:pPr>
      <w:r w:rsidRPr="0018386D">
        <w:t>A = area of land, ha</w:t>
      </w:r>
    </w:p>
    <w:p w14:paraId="32136BA6" w14:textId="67316FB3" w:rsidR="00EF4165" w:rsidRPr="0018386D" w:rsidRDefault="415E617E" w:rsidP="00DD3106">
      <w:pPr>
        <w:pStyle w:val="Bullet"/>
        <w:spacing w:after="100"/>
      </w:pPr>
      <w:proofErr w:type="spellStart"/>
      <w:r w:rsidRPr="0018386D">
        <w:t>ij</w:t>
      </w:r>
      <w:proofErr w:type="spellEnd"/>
      <w:r w:rsidRPr="0018386D">
        <w:t xml:space="preserve"> = corresponds to forest type, and whether harvested or deforested</w:t>
      </w:r>
    </w:p>
    <w:p w14:paraId="2E158451" w14:textId="77777777" w:rsidR="00EF4165" w:rsidRPr="0018386D" w:rsidRDefault="00EF4165" w:rsidP="00DD3106">
      <w:pPr>
        <w:pStyle w:val="Bullet"/>
        <w:spacing w:after="100"/>
      </w:pPr>
      <w:r w:rsidRPr="0018386D">
        <w:t>CI = rate of gain of carbon, kg C ha</w:t>
      </w:r>
      <w:r w:rsidRPr="0018386D">
        <w:rPr>
          <w:vertAlign w:val="superscript"/>
        </w:rPr>
        <w:t>-1</w:t>
      </w:r>
      <w:r w:rsidRPr="0018386D">
        <w:t xml:space="preserve"> yr</w:t>
      </w:r>
      <w:r w:rsidRPr="0018386D">
        <w:rPr>
          <w:vertAlign w:val="superscript"/>
        </w:rPr>
        <w:t>-1</w:t>
      </w:r>
    </w:p>
    <w:p w14:paraId="0ABE1F70" w14:textId="77777777" w:rsidR="00457464" w:rsidRPr="0018386D" w:rsidRDefault="00EF4165" w:rsidP="00DD3106">
      <w:pPr>
        <w:pStyle w:val="Bullet"/>
      </w:pPr>
      <w:r w:rsidRPr="0018386D">
        <w:t>CL = rate of loss of carbon, kg C ha</w:t>
      </w:r>
      <w:r w:rsidRPr="0018386D">
        <w:rPr>
          <w:vertAlign w:val="superscript"/>
        </w:rPr>
        <w:t>-1</w:t>
      </w:r>
      <w:r w:rsidRPr="0018386D">
        <w:t xml:space="preserve"> yr</w:t>
      </w:r>
      <w:r w:rsidRPr="0018386D">
        <w:rPr>
          <w:vertAlign w:val="superscript"/>
        </w:rPr>
        <w:t>-1</w:t>
      </w:r>
    </w:p>
    <w:p w14:paraId="1FDF27C6" w14:textId="79D8FC7F" w:rsidR="00457464" w:rsidRPr="0018386D" w:rsidRDefault="00457464" w:rsidP="00DD3106">
      <w:pPr>
        <w:pStyle w:val="BodyText"/>
        <w:spacing w:before="100" w:after="100"/>
      </w:pPr>
      <w:bookmarkStart w:id="903" w:name="_Toc532904965"/>
      <w:r w:rsidRPr="0018386D">
        <w:t>The area refers to the area of each forest type and whether harvested or deforested in th</w:t>
      </w:r>
      <w:r w:rsidR="00BC403E" w:rsidRPr="0018386D">
        <w:t>e</w:t>
      </w:r>
      <w:r w:rsidRPr="0018386D">
        <w:t xml:space="preserve"> year of the inventory. The general approach is to multiply the area data by an emission factor to provide the source</w:t>
      </w:r>
      <w:r w:rsidR="00BC403E" w:rsidRPr="0018386D">
        <w:t xml:space="preserve"> </w:t>
      </w:r>
      <w:r w:rsidRPr="0018386D">
        <w:t>or sink estimates.</w:t>
      </w:r>
    </w:p>
    <w:p w14:paraId="4F059319" w14:textId="300D77B5" w:rsidR="00457464" w:rsidRPr="0018386D" w:rsidRDefault="00457464" w:rsidP="00DD3106">
      <w:pPr>
        <w:pStyle w:val="BodyText"/>
        <w:spacing w:before="100" w:after="100"/>
      </w:pPr>
      <w:r w:rsidRPr="0018386D">
        <w:t>Quantities of carbon can be expressed in different wa</w:t>
      </w:r>
      <w:r w:rsidR="00030396" w:rsidRPr="0018386D">
        <w:t xml:space="preserve">ys: carbon (C), </w:t>
      </w:r>
      <w:r w:rsidRPr="0018386D">
        <w:t>CO</w:t>
      </w:r>
      <w:r w:rsidRPr="0018386D">
        <w:rPr>
          <w:vertAlign w:val="subscript"/>
        </w:rPr>
        <w:t>2</w:t>
      </w:r>
      <w:r w:rsidRPr="0018386D">
        <w:t xml:space="preserve"> and CO</w:t>
      </w:r>
      <w:r w:rsidRPr="0018386D">
        <w:rPr>
          <w:vertAlign w:val="subscript"/>
        </w:rPr>
        <w:t>2</w:t>
      </w:r>
      <w:r w:rsidR="006B04DD" w:rsidRPr="0018386D">
        <w:t>-</w:t>
      </w:r>
      <w:r w:rsidR="00030396" w:rsidRPr="0018386D">
        <w:t>e</w:t>
      </w:r>
      <w:r w:rsidRPr="0018386D">
        <w:t>.</w:t>
      </w:r>
    </w:p>
    <w:p w14:paraId="59495F3F" w14:textId="224F1446" w:rsidR="00457464" w:rsidRPr="0018386D" w:rsidRDefault="00457464" w:rsidP="00DD3106">
      <w:pPr>
        <w:pStyle w:val="BodyText"/>
        <w:spacing w:before="100" w:after="100"/>
      </w:pPr>
      <w:r w:rsidRPr="0018386D">
        <w:t xml:space="preserve">To convert </w:t>
      </w:r>
      <w:r w:rsidR="006B04DD" w:rsidRPr="0018386D">
        <w:t xml:space="preserve">carbon </w:t>
      </w:r>
      <w:r w:rsidRPr="0018386D">
        <w:t xml:space="preserve">to </w:t>
      </w:r>
      <w:r w:rsidR="006B04DD" w:rsidRPr="0018386D">
        <w:t>carbon dioxide,</w:t>
      </w:r>
      <w:r w:rsidRPr="0018386D">
        <w:t xml:space="preserve"> multiply by </w:t>
      </w:r>
      <m:oMath>
        <m:f>
          <m:fPr>
            <m:type m:val="skw"/>
            <m:ctrlPr>
              <w:rPr>
                <w:rFonts w:ascii="Cambria Math" w:hAnsi="Cambria Math"/>
                <w:i/>
                <w:sz w:val="18"/>
              </w:rPr>
            </m:ctrlPr>
          </m:fPr>
          <m:num>
            <m:r>
              <w:rPr>
                <w:rFonts w:ascii="Cambria Math" w:hAnsi="Cambria Math"/>
                <w:sz w:val="18"/>
              </w:rPr>
              <m:t>44</m:t>
            </m:r>
          </m:num>
          <m:den>
            <m:r>
              <w:rPr>
                <w:rFonts w:ascii="Cambria Math" w:hAnsi="Cambria Math"/>
                <w:sz w:val="18"/>
              </w:rPr>
              <m:t>12</m:t>
            </m:r>
          </m:den>
        </m:f>
        <m:r>
          <m:rPr>
            <m:sty m:val="p"/>
          </m:rPr>
          <w:rPr>
            <w:rFonts w:ascii="Cambria Math" w:hAnsi="Cambria Math" w:cstheme="minorHAnsi"/>
            <w:sz w:val="18"/>
          </w:rPr>
          <m:t xml:space="preserve"> </m:t>
        </m:r>
      </m:oMath>
      <w:r w:rsidRPr="0018386D">
        <w:t>(ie</w:t>
      </w:r>
      <w:r w:rsidR="007841B5" w:rsidRPr="0018386D">
        <w:t>,</w:t>
      </w:r>
      <w:r w:rsidRPr="0018386D">
        <w:t xml:space="preserve"> the molecular conversion of </w:t>
      </w:r>
      <w:proofErr w:type="gramStart"/>
      <w:r w:rsidRPr="0018386D">
        <w:t>carbon to carbon</w:t>
      </w:r>
      <w:proofErr w:type="gramEnd"/>
      <w:r w:rsidRPr="0018386D">
        <w:t xml:space="preserve"> dioxide).</w:t>
      </w:r>
    </w:p>
    <w:p w14:paraId="661B8DCC" w14:textId="7068469F" w:rsidR="00C86D9A" w:rsidRPr="0018386D" w:rsidRDefault="008E1C20" w:rsidP="00DD3106">
      <w:pPr>
        <w:pStyle w:val="BodyText"/>
        <w:spacing w:before="100" w:after="240"/>
      </w:pPr>
      <w:r w:rsidRPr="0018386D">
        <w:t xml:space="preserve">The approach to emissions estimation for Approach </w:t>
      </w:r>
      <w:r w:rsidR="004A76A3" w:rsidRPr="0018386D">
        <w:t xml:space="preserve">two </w:t>
      </w:r>
      <w:r w:rsidRPr="0018386D">
        <w:t>(averaging) follows this equation: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C86D9A" w:rsidRPr="0018386D" w14:paraId="22D8A156" w14:textId="77777777" w:rsidTr="00261225">
        <w:tc>
          <w:tcPr>
            <w:tcW w:w="0" w:type="auto"/>
            <w:shd w:val="clear" w:color="auto" w:fill="D2DDE1" w:themeFill="background2"/>
          </w:tcPr>
          <w:p w14:paraId="4A1BAD6A" w14:textId="0B668646" w:rsidR="00C86D9A" w:rsidRPr="0018386D" w:rsidRDefault="00C86D9A" w:rsidP="00DD3106">
            <w:pPr>
              <w:pStyle w:val="Blueboxtext"/>
              <w:spacing w:before="240"/>
            </w:pPr>
            <m:oMathPara>
              <m:oMath>
                <m:r>
                  <m:rPr>
                    <m:sty m:val="p"/>
                  </m:rPr>
                  <w:rPr>
                    <w:rFonts w:ascii="Cambria Math" w:eastAsia="Times New Roman" w:hAnsi="Cambria Math"/>
                  </w:rPr>
                  <m:t>∆</m:t>
                </m:r>
                <m:r>
                  <w:rPr>
                    <w:rFonts w:ascii="Cambria Math" w:eastAsia="Times New Roman" w:hAnsi="Cambria Math"/>
                  </w:rPr>
                  <m:t>C</m:t>
                </m:r>
                <m:r>
                  <m:rPr>
                    <m:sty m:val="p"/>
                  </m:rPr>
                  <w:rPr>
                    <w:rFonts w:ascii="Cambria Math" w:eastAsia="Times New Roman" w:hAnsi="Cambria Math"/>
                  </w:rPr>
                  <m:t xml:space="preserve">= </m:t>
                </m:r>
                <m:nary>
                  <m:naryPr>
                    <m:chr m:val="∑"/>
                    <m:limLoc m:val="subSup"/>
                    <m:supHide m:val="1"/>
                    <m:ctrlPr>
                      <w:rPr>
                        <w:rFonts w:ascii="Cambria Math" w:eastAsia="Times New Roman" w:hAnsi="Cambria Math"/>
                      </w:rPr>
                    </m:ctrlPr>
                  </m:naryPr>
                  <m:sub/>
                  <m:sup/>
                  <m:e>
                    <m:d>
                      <m:dPr>
                        <m:begChr m:val="["/>
                        <m:endChr m:val="]"/>
                        <m:ctrlPr>
                          <w:rPr>
                            <w:rFonts w:ascii="Cambria Math" w:eastAsia="Times New Roman" w:hAnsi="Cambria Math"/>
                          </w:rPr>
                        </m:ctrlPr>
                      </m:dPr>
                      <m:e>
                        <m:sSub>
                          <m:sSubPr>
                            <m:ctrlPr>
                              <w:rPr>
                                <w:rFonts w:ascii="Cambria Math" w:eastAsia="Times New Roman" w:hAnsi="Cambria Math"/>
                              </w:rPr>
                            </m:ctrlPr>
                          </m:sSubPr>
                          <m:e>
                            <m:sSub>
                              <m:sSubPr>
                                <m:ctrlPr>
                                  <w:rPr>
                                    <w:rFonts w:ascii="Cambria Math" w:eastAsia="Times New Roman" w:hAnsi="Cambria Math"/>
                                  </w:rPr>
                                </m:ctrlPr>
                              </m:sSubPr>
                              <m:e>
                                <m:r>
                                  <w:rPr>
                                    <w:rFonts w:ascii="Cambria Math" w:eastAsia="Times New Roman" w:hAnsi="Cambria Math"/>
                                  </w:rPr>
                                  <m:t>A</m:t>
                                </m:r>
                              </m:e>
                              <m:sub>
                                <m:r>
                                  <w:rPr>
                                    <w:rFonts w:ascii="Cambria Math" w:eastAsia="Times New Roman" w:hAnsi="Cambria Math"/>
                                  </w:rPr>
                                  <m:t>a</m:t>
                                </m:r>
                              </m:sub>
                            </m:sSub>
                            <m:r>
                              <m:rPr>
                                <m:sty m:val="p"/>
                              </m:rPr>
                              <w:rPr>
                                <w:rFonts w:ascii="Cambria Math" w:eastAsia="Times New Roman" w:hAnsi="Cambria Math"/>
                              </w:rPr>
                              <m:t>*</m:t>
                            </m:r>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m:rPr>
                                        <m:sty m:val="p"/>
                                      </m:rPr>
                                      <w:rPr>
                                        <w:rFonts w:ascii="Cambria Math" w:eastAsia="Times New Roman" w:hAnsi="Cambria Math"/>
                                      </w:rPr>
                                      <m:t>I</m:t>
                                    </m:r>
                                  </m:sub>
                                </m:sSub>
                              </m:e>
                            </m:d>
                            <m:r>
                              <w:rPr>
                                <w:rFonts w:ascii="Cambria Math" w:eastAsia="Times New Roman" w:hAnsi="Cambria Math"/>
                              </w:rPr>
                              <m:t>+A</m:t>
                            </m:r>
                          </m:e>
                          <m:sub>
                            <m:r>
                              <w:rPr>
                                <w:rFonts w:ascii="Cambria Math" w:eastAsia="Times New Roman" w:hAnsi="Cambria Math"/>
                              </w:rPr>
                              <m:t>b</m:t>
                            </m:r>
                          </m:sub>
                        </m:sSub>
                        <m:r>
                          <w:rPr>
                            <w:rFonts w:ascii="Cambria Math" w:eastAsia="Times New Roman" w:hAnsi="Cambria Math"/>
                          </w:rPr>
                          <m:t>*0</m:t>
                        </m:r>
                      </m:e>
                    </m:d>
                  </m:e>
                </m:nary>
              </m:oMath>
            </m:oMathPara>
          </w:p>
        </w:tc>
      </w:tr>
    </w:tbl>
    <w:p w14:paraId="6BB2344F" w14:textId="77777777" w:rsidR="00C86D9A" w:rsidRPr="0018386D" w:rsidRDefault="00C86D9A" w:rsidP="00DD3106">
      <w:pPr>
        <w:pStyle w:val="BodyText"/>
        <w:spacing w:before="240"/>
        <w:rPr>
          <w:rFonts w:eastAsia="Times New Roman"/>
        </w:rPr>
      </w:pPr>
      <w:r w:rsidRPr="0018386D">
        <w:rPr>
          <w:rFonts w:eastAsia="Times New Roman"/>
        </w:rPr>
        <w:t>Where:</w:t>
      </w:r>
    </w:p>
    <w:p w14:paraId="430938A8" w14:textId="387F576E" w:rsidR="00B644F6" w:rsidRPr="0018386D" w:rsidRDefault="00B644F6" w:rsidP="00DD3106">
      <w:pPr>
        <w:pStyle w:val="Bullet"/>
        <w:spacing w:after="100"/>
      </w:pPr>
      <w:r w:rsidRPr="0018386D">
        <w:t>∆C = carbon stock change in the pool, kg C yr</w:t>
      </w:r>
      <w:r w:rsidRPr="0018386D">
        <w:rPr>
          <w:sz w:val="17"/>
          <w:szCs w:val="17"/>
          <w:vertAlign w:val="superscript"/>
        </w:rPr>
        <w:t>-1</w:t>
      </w:r>
    </w:p>
    <w:p w14:paraId="53CF5760" w14:textId="7524D677" w:rsidR="00B644F6" w:rsidRPr="0018386D" w:rsidRDefault="00B644F6" w:rsidP="00DD3106">
      <w:pPr>
        <w:pStyle w:val="Bullet"/>
        <w:spacing w:after="100"/>
      </w:pPr>
      <w:r w:rsidRPr="0018386D">
        <w:t>A</w:t>
      </w:r>
      <w:r w:rsidRPr="0018386D">
        <w:rPr>
          <w:sz w:val="17"/>
          <w:szCs w:val="17"/>
          <w:vertAlign w:val="subscript"/>
        </w:rPr>
        <w:t>a</w:t>
      </w:r>
      <w:r w:rsidRPr="0018386D">
        <w:t xml:space="preserve"> = area of planted forest land that is yet to reach its long-term average, ha</w:t>
      </w:r>
    </w:p>
    <w:p w14:paraId="5457EF9D" w14:textId="21449263" w:rsidR="00B644F6" w:rsidRPr="0018386D" w:rsidRDefault="00B644F6" w:rsidP="00DD3106">
      <w:pPr>
        <w:pStyle w:val="Bullet"/>
        <w:spacing w:after="100"/>
      </w:pPr>
      <w:r w:rsidRPr="0018386D">
        <w:t>A</w:t>
      </w:r>
      <w:r w:rsidRPr="0018386D">
        <w:rPr>
          <w:sz w:val="17"/>
          <w:szCs w:val="17"/>
          <w:vertAlign w:val="subscript"/>
        </w:rPr>
        <w:t>b</w:t>
      </w:r>
      <w:r w:rsidRPr="0018386D">
        <w:t xml:space="preserve"> =area of planted forest land that </w:t>
      </w:r>
      <w:r w:rsidRPr="0018386D">
        <w:rPr>
          <w:i/>
          <w:iCs/>
        </w:rPr>
        <w:t>has</w:t>
      </w:r>
      <w:r w:rsidRPr="0018386D">
        <w:t xml:space="preserve"> reached its long-term average, ha</w:t>
      </w:r>
    </w:p>
    <w:p w14:paraId="4C904FE6" w14:textId="5EB09CE1" w:rsidR="00B644F6" w:rsidRPr="0018386D" w:rsidRDefault="00B644F6" w:rsidP="00DD3106">
      <w:pPr>
        <w:pStyle w:val="Bullet"/>
      </w:pPr>
      <w:r w:rsidRPr="0018386D">
        <w:t>CI = rate of gain of carbon, kg C ha</w:t>
      </w:r>
      <w:r w:rsidRPr="0018386D">
        <w:rPr>
          <w:sz w:val="17"/>
          <w:szCs w:val="17"/>
          <w:vertAlign w:val="superscript"/>
        </w:rPr>
        <w:t>-1</w:t>
      </w:r>
      <w:r w:rsidRPr="0018386D">
        <w:t xml:space="preserve"> yr</w:t>
      </w:r>
      <w:r w:rsidRPr="0018386D">
        <w:rPr>
          <w:sz w:val="17"/>
          <w:szCs w:val="17"/>
          <w:vertAlign w:val="superscript"/>
        </w:rPr>
        <w:t>-1</w:t>
      </w:r>
      <w:r w:rsidRPr="0018386D">
        <w:t>.</w:t>
      </w:r>
    </w:p>
    <w:p w14:paraId="51197643" w14:textId="6AE7D92A" w:rsidR="002C7317" w:rsidRPr="0018386D" w:rsidRDefault="484E0E6F" w:rsidP="00DD3106">
      <w:pPr>
        <w:pStyle w:val="Heading3"/>
        <w:numPr>
          <w:ilvl w:val="2"/>
          <w:numId w:val="8"/>
        </w:numPr>
        <w:spacing w:before="280"/>
        <w:ind w:left="1134" w:hanging="1134"/>
      </w:pPr>
      <w:bookmarkStart w:id="904" w:name="_Toc532904968"/>
      <w:bookmarkEnd w:id="903"/>
      <w:r w:rsidRPr="0018386D">
        <w:t xml:space="preserve">Assumptions, </w:t>
      </w:r>
      <w:proofErr w:type="gramStart"/>
      <w:r w:rsidRPr="0018386D">
        <w:t>limitations</w:t>
      </w:r>
      <w:proofErr w:type="gramEnd"/>
      <w:r w:rsidRPr="0018386D">
        <w:t xml:space="preserve"> and uncertainties</w:t>
      </w:r>
      <w:bookmarkEnd w:id="904"/>
    </w:p>
    <w:p w14:paraId="25A6EDD7" w14:textId="751D7AC0" w:rsidR="00457464" w:rsidRPr="0018386D" w:rsidRDefault="0020720F" w:rsidP="00DD3106">
      <w:pPr>
        <w:pStyle w:val="BodyText"/>
        <w:spacing w:before="100" w:after="100"/>
      </w:pPr>
      <w:r w:rsidRPr="0018386D">
        <w:t>The emission factors are</w:t>
      </w:r>
      <w:r w:rsidR="00457464" w:rsidRPr="0018386D">
        <w:t xml:space="preserve"> based on national average </w:t>
      </w:r>
      <w:proofErr w:type="gramStart"/>
      <w:r w:rsidR="00457464" w:rsidRPr="0018386D">
        <w:t>data</w:t>
      </w:r>
      <w:r w:rsidR="7A191749" w:rsidRPr="0018386D">
        <w:t>,</w:t>
      </w:r>
      <w:proofErr w:type="gramEnd"/>
      <w:r w:rsidR="7A191749" w:rsidRPr="0018386D">
        <w:t xml:space="preserve"> therefore</w:t>
      </w:r>
      <w:r w:rsidR="00512236" w:rsidRPr="0018386D">
        <w:t xml:space="preserve"> </w:t>
      </w:r>
      <w:r w:rsidRPr="0018386D">
        <w:t>t</w:t>
      </w:r>
      <w:r w:rsidR="00457464" w:rsidRPr="0018386D">
        <w:t>he uncertainties will not necessarily reflect sub-national circumstances.</w:t>
      </w:r>
    </w:p>
    <w:p w14:paraId="0B109488" w14:textId="7B33E7E1" w:rsidR="00457464" w:rsidRPr="0018386D" w:rsidRDefault="00BD5F56" w:rsidP="00DD3106">
      <w:pPr>
        <w:pStyle w:val="BodyText"/>
        <w:spacing w:before="100" w:after="100"/>
      </w:pPr>
      <w:r w:rsidRPr="0018386D">
        <w:t>For natural forests, d</w:t>
      </w:r>
      <w:r w:rsidR="00F574CC" w:rsidRPr="0018386D">
        <w:t>eforestation and harvest loss</w:t>
      </w:r>
      <w:r w:rsidR="4312C86F" w:rsidRPr="0018386D">
        <w:t>,</w:t>
      </w:r>
      <w:r w:rsidR="00F574CC" w:rsidRPr="0018386D">
        <w:t xml:space="preserve"> data are based on </w:t>
      </w:r>
      <w:r w:rsidR="00457464" w:rsidRPr="0018386D">
        <w:t>the national stock average</w:t>
      </w:r>
      <w:r w:rsidR="004D0FA8" w:rsidRPr="0018386D">
        <w:t>, which come</w:t>
      </w:r>
      <w:r w:rsidR="5BDEABF1" w:rsidRPr="0018386D">
        <w:t>s</w:t>
      </w:r>
      <w:r w:rsidR="004D0FA8" w:rsidRPr="0018386D">
        <w:t xml:space="preserve"> from</w:t>
      </w:r>
      <w:r w:rsidRPr="0018386D">
        <w:t xml:space="preserve"> </w:t>
      </w:r>
      <w:r w:rsidR="00457464" w:rsidRPr="0018386D">
        <w:t>the most recent carbon stock inventory</w:t>
      </w:r>
      <w:r w:rsidRPr="0018386D">
        <w:t xml:space="preserve"> for these forests.</w:t>
      </w:r>
      <w:r w:rsidR="00457464" w:rsidRPr="0018386D">
        <w:t xml:space="preserve"> </w:t>
      </w:r>
    </w:p>
    <w:p w14:paraId="19F6C6CC" w14:textId="748556BB" w:rsidR="00727BEF" w:rsidRPr="0018386D" w:rsidRDefault="00727BEF" w:rsidP="00DD3106">
      <w:pPr>
        <w:pStyle w:val="BodyText"/>
        <w:spacing w:before="100" w:after="100"/>
      </w:pPr>
      <w:r w:rsidRPr="0018386D">
        <w:t xml:space="preserve">The emission factors </w:t>
      </w:r>
      <w:r w:rsidR="006C44D9" w:rsidRPr="0018386D">
        <w:t xml:space="preserve">for planted forest (Approach </w:t>
      </w:r>
      <w:r w:rsidR="000A668A" w:rsidRPr="0018386D">
        <w:t>one</w:t>
      </w:r>
      <w:r w:rsidR="006C44D9" w:rsidRPr="0018386D">
        <w:t>) and natural forest</w:t>
      </w:r>
      <w:r w:rsidRPr="0018386D">
        <w:t xml:space="preserve"> in this </w:t>
      </w:r>
      <w:r w:rsidR="000A668A" w:rsidRPr="0018386D">
        <w:t xml:space="preserve">guide </w:t>
      </w:r>
      <w:r w:rsidRPr="0018386D">
        <w:t>are based on</w:t>
      </w:r>
      <w:r w:rsidR="0067703F" w:rsidRPr="0018386D">
        <w:t xml:space="preserve"> </w:t>
      </w:r>
      <w:hyperlink r:id="rId138" w:history="1">
        <w:r w:rsidRPr="0018386D">
          <w:rPr>
            <w:rStyle w:val="Hyperlink"/>
            <w:i/>
          </w:rPr>
          <w:t xml:space="preserve">New Zealand’s </w:t>
        </w:r>
        <w:r w:rsidR="005721FA" w:rsidRPr="0018386D">
          <w:rPr>
            <w:rStyle w:val="Hyperlink"/>
            <w:i/>
          </w:rPr>
          <w:t>Greenhouse</w:t>
        </w:r>
        <w:r w:rsidRPr="0018386D">
          <w:rPr>
            <w:rStyle w:val="Hyperlink"/>
            <w:i/>
          </w:rPr>
          <w:t xml:space="preserve"> </w:t>
        </w:r>
        <w:r w:rsidR="005721FA" w:rsidRPr="0018386D">
          <w:rPr>
            <w:rStyle w:val="Hyperlink"/>
            <w:i/>
          </w:rPr>
          <w:t>Gas</w:t>
        </w:r>
        <w:r w:rsidR="007137D3" w:rsidRPr="0018386D">
          <w:rPr>
            <w:rStyle w:val="Hyperlink"/>
            <w:i/>
          </w:rPr>
          <w:t xml:space="preserve"> I</w:t>
        </w:r>
        <w:r w:rsidRPr="0018386D">
          <w:rPr>
            <w:rStyle w:val="Hyperlink"/>
            <w:i/>
          </w:rPr>
          <w:t>nventory</w:t>
        </w:r>
        <w:r w:rsidR="007137D3" w:rsidRPr="0018386D">
          <w:rPr>
            <w:rStyle w:val="Hyperlink"/>
            <w:i/>
          </w:rPr>
          <w:t xml:space="preserve"> </w:t>
        </w:r>
        <w:r w:rsidR="00624D62" w:rsidRPr="0018386D">
          <w:rPr>
            <w:rStyle w:val="Hyperlink"/>
            <w:i/>
          </w:rPr>
          <w:t>1990</w:t>
        </w:r>
        <w:r w:rsidR="00184503" w:rsidRPr="0018386D">
          <w:rPr>
            <w:rStyle w:val="Hyperlink"/>
            <w:i/>
            <w:iCs/>
          </w:rPr>
          <w:t>–</w:t>
        </w:r>
        <w:r w:rsidR="00782971" w:rsidRPr="0018386D">
          <w:rPr>
            <w:rStyle w:val="Hyperlink"/>
            <w:i/>
          </w:rPr>
          <w:t>2021</w:t>
        </w:r>
      </w:hyperlink>
      <w:r w:rsidR="39BF4117" w:rsidRPr="0018386D">
        <w:t>. The long-term average carbon stock for planted forest (Approach two) are based on Wakelin et al. (unpublished</w:t>
      </w:r>
      <w:r w:rsidR="00957974" w:rsidRPr="0018386D">
        <w:rPr>
          <w:rStyle w:val="FootnoteReference"/>
          <w:rFonts w:eastAsia="Calibri" w:cs="Calibri"/>
        </w:rPr>
        <w:footnoteReference w:id="66"/>
      </w:r>
      <w:r w:rsidR="39BF4117" w:rsidRPr="0018386D">
        <w:t>).</w:t>
      </w:r>
      <w:r w:rsidRPr="0018386D">
        <w:t xml:space="preserve"> Th</w:t>
      </w:r>
      <w:r w:rsidR="005478C6" w:rsidRPr="0018386D">
        <w:t>ese emission factors</w:t>
      </w:r>
      <w:r w:rsidRPr="0018386D">
        <w:t xml:space="preserve"> </w:t>
      </w:r>
      <w:r w:rsidR="003C7D67" w:rsidRPr="0018386D">
        <w:t>represent</w:t>
      </w:r>
      <w:r w:rsidRPr="0018386D">
        <w:t xml:space="preserve"> the most up</w:t>
      </w:r>
      <w:r w:rsidR="00E55E22" w:rsidRPr="0018386D">
        <w:t>-</w:t>
      </w:r>
      <w:r w:rsidRPr="0018386D">
        <w:t>to</w:t>
      </w:r>
      <w:r w:rsidR="00E55E22" w:rsidRPr="0018386D">
        <w:t>-</w:t>
      </w:r>
      <w:r w:rsidRPr="0018386D">
        <w:t xml:space="preserve">date </w:t>
      </w:r>
      <w:r w:rsidR="00E55E22" w:rsidRPr="0018386D">
        <w:t>forestry</w:t>
      </w:r>
      <w:r w:rsidRPr="0018386D">
        <w:t xml:space="preserve"> data available. </w:t>
      </w:r>
      <w:r w:rsidR="00FB6E40" w:rsidRPr="0018386D">
        <w:t>ETS</w:t>
      </w:r>
      <w:r w:rsidRPr="0018386D">
        <w:t xml:space="preserve"> look</w:t>
      </w:r>
      <w:r w:rsidR="00FB6E40" w:rsidRPr="0018386D">
        <w:t>-</w:t>
      </w:r>
      <w:r w:rsidRPr="0018386D">
        <w:t>up tables are another source of emissions factors</w:t>
      </w:r>
      <w:r w:rsidR="000A668A" w:rsidRPr="0018386D">
        <w:t>;</w:t>
      </w:r>
      <w:r w:rsidRPr="0018386D">
        <w:t xml:space="preserve"> however</w:t>
      </w:r>
      <w:r w:rsidR="000A668A" w:rsidRPr="0018386D">
        <w:t>,</w:t>
      </w:r>
      <w:r w:rsidRPr="0018386D">
        <w:t xml:space="preserve"> </w:t>
      </w:r>
      <w:r w:rsidR="00244B9F" w:rsidRPr="0018386D">
        <w:t xml:space="preserve">these </w:t>
      </w:r>
      <w:r w:rsidRPr="0018386D">
        <w:t xml:space="preserve">are not updated as frequently. </w:t>
      </w:r>
      <w:r w:rsidR="00F35A30" w:rsidRPr="0018386D">
        <w:t xml:space="preserve">The emission factors are based on national average data and the uncertainties will not necessarily reflect sub-national circumstances and will not be </w:t>
      </w:r>
      <w:proofErr w:type="gramStart"/>
      <w:r w:rsidR="00F35A30" w:rsidRPr="0018386D">
        <w:t>exactly the same</w:t>
      </w:r>
      <w:proofErr w:type="gramEnd"/>
      <w:r w:rsidR="00F35A30" w:rsidRPr="0018386D">
        <w:t xml:space="preserve"> as the ETS estimates of carbon sequestration which differentiate based on tree age, region and to a limited extent, the</w:t>
      </w:r>
      <w:r w:rsidR="00184503" w:rsidRPr="0018386D">
        <w:t> </w:t>
      </w:r>
      <w:r w:rsidR="00F35A30" w:rsidRPr="0018386D">
        <w:t xml:space="preserve">species. </w:t>
      </w:r>
      <w:r w:rsidRPr="0018386D">
        <w:t>Selection of the most</w:t>
      </w:r>
      <w:r w:rsidR="00584992" w:rsidRPr="0018386D">
        <w:t xml:space="preserve"> </w:t>
      </w:r>
      <w:r w:rsidRPr="0018386D">
        <w:t xml:space="preserve">appropriate </w:t>
      </w:r>
      <w:r w:rsidR="00CC3295" w:rsidRPr="0018386D">
        <w:t>emission</w:t>
      </w:r>
      <w:r w:rsidRPr="0018386D">
        <w:t xml:space="preserve"> factor should be guided by the </w:t>
      </w:r>
      <w:r w:rsidR="00394610" w:rsidRPr="0018386D">
        <w:t>requirements of the i</w:t>
      </w:r>
      <w:r w:rsidR="00BD275E" w:rsidRPr="0018386D">
        <w:t>n</w:t>
      </w:r>
      <w:r w:rsidR="00394610" w:rsidRPr="0018386D">
        <w:t>tended</w:t>
      </w:r>
      <w:r w:rsidRPr="0018386D">
        <w:t xml:space="preserve"> use and by the user</w:t>
      </w:r>
      <w:r w:rsidR="00874631" w:rsidRPr="0018386D">
        <w:t>’</w:t>
      </w:r>
      <w:r w:rsidRPr="0018386D">
        <w:t>s inventory.</w:t>
      </w:r>
    </w:p>
    <w:p w14:paraId="5681A43C" w14:textId="518DD034" w:rsidR="003A7B65" w:rsidRPr="0018386D" w:rsidRDefault="003A7B65" w:rsidP="00DD3106">
      <w:pPr>
        <w:pStyle w:val="Heading2"/>
        <w:numPr>
          <w:ilvl w:val="1"/>
          <w:numId w:val="8"/>
        </w:numPr>
        <w:tabs>
          <w:tab w:val="clear" w:pos="851"/>
        </w:tabs>
        <w:spacing w:before="280"/>
        <w:ind w:left="993" w:hanging="993"/>
      </w:pPr>
      <w:bookmarkStart w:id="905" w:name="_Toc532904969"/>
      <w:bookmarkStart w:id="906" w:name="_Toc600604"/>
      <w:bookmarkStart w:id="907" w:name="_Toc140048935"/>
      <w:bookmarkStart w:id="908" w:name="_Toc529960726"/>
      <w:r w:rsidRPr="0018386D">
        <w:t>Agriculture</w:t>
      </w:r>
      <w:bookmarkEnd w:id="905"/>
      <w:bookmarkEnd w:id="906"/>
      <w:bookmarkEnd w:id="907"/>
    </w:p>
    <w:p w14:paraId="05FBA611" w14:textId="45062CCD" w:rsidR="00B11032" w:rsidRPr="0018386D" w:rsidRDefault="00002769" w:rsidP="00DD3106">
      <w:pPr>
        <w:pStyle w:val="BodyText"/>
      </w:pPr>
      <w:r w:rsidRPr="0018386D">
        <w:t xml:space="preserve">Emissions from agriculture are produced in several ways. </w:t>
      </w:r>
      <w:r w:rsidR="00C27722" w:rsidRPr="0018386D">
        <w:t>This section includes emissions from enteric fermentation, manure management and fertiliser use</w:t>
      </w:r>
      <w:r w:rsidR="00220B8C" w:rsidRPr="0018386D">
        <w:t>, in more detail:</w:t>
      </w:r>
      <w:r w:rsidR="00C27722" w:rsidRPr="0018386D">
        <w:t xml:space="preserve"> </w:t>
      </w:r>
    </w:p>
    <w:p w14:paraId="323E9912" w14:textId="63B44AB9" w:rsidR="00B11032" w:rsidRPr="0018386D" w:rsidRDefault="00B11032" w:rsidP="00DD3106">
      <w:pPr>
        <w:pStyle w:val="Bullet"/>
        <w:rPr>
          <w:rFonts w:eastAsia="Calibri"/>
        </w:rPr>
      </w:pPr>
      <w:r w:rsidRPr="0018386D">
        <w:rPr>
          <w:rFonts w:eastAsia="Calibri"/>
        </w:rPr>
        <w:t xml:space="preserve">Methane </w:t>
      </w:r>
      <w:r w:rsidR="00002769" w:rsidRPr="0018386D">
        <w:rPr>
          <w:rFonts w:eastAsia="Calibri"/>
        </w:rPr>
        <w:t xml:space="preserve">from enteric fermentation </w:t>
      </w:r>
      <w:r w:rsidRPr="0018386D">
        <w:rPr>
          <w:rFonts w:eastAsia="Calibri"/>
        </w:rPr>
        <w:t>is a by-product of ruminant digestion</w:t>
      </w:r>
      <w:r w:rsidR="00445857" w:rsidRPr="0018386D">
        <w:rPr>
          <w:rFonts w:eastAsia="Calibri"/>
        </w:rPr>
        <w:t>. C</w:t>
      </w:r>
      <w:r w:rsidRPr="0018386D">
        <w:rPr>
          <w:rFonts w:eastAsia="Calibri"/>
        </w:rPr>
        <w:t xml:space="preserve">attle and sheep are the largest sources of methane in this sector. </w:t>
      </w:r>
    </w:p>
    <w:p w14:paraId="64088716" w14:textId="4A6AB2BB" w:rsidR="00B12CD8" w:rsidRPr="0018386D" w:rsidRDefault="00445857" w:rsidP="00DD3106">
      <w:pPr>
        <w:pStyle w:val="Bullet"/>
        <w:rPr>
          <w:rFonts w:eastAsia="Calibri"/>
        </w:rPr>
      </w:pPr>
      <w:r w:rsidRPr="0018386D">
        <w:rPr>
          <w:rFonts w:eastAsia="Calibri"/>
        </w:rPr>
        <w:t>Storing and treating</w:t>
      </w:r>
      <w:r w:rsidR="00B11032" w:rsidRPr="0018386D">
        <w:rPr>
          <w:rFonts w:eastAsia="Calibri"/>
        </w:rPr>
        <w:t xml:space="preserve"> manure, including spread</w:t>
      </w:r>
      <w:r w:rsidRPr="0018386D">
        <w:rPr>
          <w:rFonts w:eastAsia="Calibri"/>
        </w:rPr>
        <w:t>ing it</w:t>
      </w:r>
      <w:r w:rsidR="00B11032" w:rsidRPr="0018386D">
        <w:rPr>
          <w:rFonts w:eastAsia="Calibri"/>
        </w:rPr>
        <w:t xml:space="preserve"> onto pasture, produces methane and nitrous oxide. </w:t>
      </w:r>
    </w:p>
    <w:p w14:paraId="12BC78E4" w14:textId="5374EE92" w:rsidR="15D1B8A0" w:rsidRPr="0018386D" w:rsidRDefault="15D1B8A0" w:rsidP="00DD3106">
      <w:pPr>
        <w:pStyle w:val="Bullet"/>
        <w:rPr>
          <w:rFonts w:eastAsia="Calibri"/>
        </w:rPr>
      </w:pPr>
      <w:r w:rsidRPr="0018386D">
        <w:rPr>
          <w:rFonts w:eastAsia="Calibri"/>
        </w:rPr>
        <w:t xml:space="preserve">Losses </w:t>
      </w:r>
      <w:r w:rsidR="004E5C4A" w:rsidRPr="0018386D">
        <w:rPr>
          <w:rFonts w:eastAsia="Calibri"/>
        </w:rPr>
        <w:t xml:space="preserve">also occur </w:t>
      </w:r>
      <w:r w:rsidRPr="0018386D">
        <w:rPr>
          <w:rFonts w:eastAsia="Calibri"/>
        </w:rPr>
        <w:t>from manure that is deposited by livestock directly onto pasture.</w:t>
      </w:r>
    </w:p>
    <w:p w14:paraId="07EDF8B4" w14:textId="4777E79A" w:rsidR="00B11032" w:rsidRPr="0018386D" w:rsidRDefault="00B11032" w:rsidP="00DD3106">
      <w:pPr>
        <w:pStyle w:val="Bullet"/>
        <w:rPr>
          <w:rFonts w:eastAsia="Calibri"/>
        </w:rPr>
      </w:pPr>
      <w:r w:rsidRPr="0018386D">
        <w:rPr>
          <w:rFonts w:eastAsia="Calibri"/>
        </w:rPr>
        <w:t>Applying nitrogen (urea</w:t>
      </w:r>
      <w:r w:rsidR="00445857" w:rsidRPr="0018386D">
        <w:rPr>
          <w:rFonts w:eastAsia="Calibri"/>
        </w:rPr>
        <w:t>-</w:t>
      </w:r>
      <w:r w:rsidRPr="0018386D">
        <w:rPr>
          <w:rFonts w:eastAsia="Calibri"/>
        </w:rPr>
        <w:t xml:space="preserve">sourced or synthetic) fertiliser onto land produces nitrous oxide and carbon dioxide </w:t>
      </w:r>
      <w:r w:rsidR="003E4D68" w:rsidRPr="0018386D">
        <w:rPr>
          <w:rFonts w:eastAsia="Calibri"/>
        </w:rPr>
        <w:t xml:space="preserve">(urea) </w:t>
      </w:r>
      <w:r w:rsidRPr="0018386D">
        <w:rPr>
          <w:rFonts w:eastAsia="Calibri"/>
        </w:rPr>
        <w:t xml:space="preserve">emissions. </w:t>
      </w:r>
    </w:p>
    <w:p w14:paraId="07C19504" w14:textId="12903D6A" w:rsidR="00B11032" w:rsidRPr="0018386D" w:rsidRDefault="00445857" w:rsidP="00DD3106">
      <w:pPr>
        <w:pStyle w:val="Bullet"/>
        <w:rPr>
          <w:rFonts w:eastAsia="Calibri"/>
        </w:rPr>
      </w:pPr>
      <w:r w:rsidRPr="0018386D">
        <w:rPr>
          <w:rFonts w:eastAsia="Calibri"/>
        </w:rPr>
        <w:t>Applying</w:t>
      </w:r>
      <w:r w:rsidR="00B11032" w:rsidRPr="0018386D">
        <w:rPr>
          <w:rFonts w:eastAsia="Calibri"/>
        </w:rPr>
        <w:t xml:space="preserve"> lime and dolomite fertilisers results in carbon dioxide emissions. </w:t>
      </w:r>
    </w:p>
    <w:p w14:paraId="069994A1" w14:textId="3EAE923A" w:rsidR="00E506DF" w:rsidRPr="0018386D" w:rsidRDefault="00E506DF" w:rsidP="00DD3106">
      <w:pPr>
        <w:pStyle w:val="BodyText"/>
      </w:pPr>
      <w:r w:rsidRPr="0018386D">
        <w:t xml:space="preserve">If an organisation directly owns and manages livestock, agriculture </w:t>
      </w:r>
      <w:r w:rsidR="00A90D22" w:rsidRPr="0018386D">
        <w:t>emission sources</w:t>
      </w:r>
      <w:r w:rsidRPr="0018386D">
        <w:t xml:space="preserve"> are direct (Scope 1).</w:t>
      </w:r>
    </w:p>
    <w:p w14:paraId="31420AD3" w14:textId="6565DF3C" w:rsidR="0004516E" w:rsidRPr="0018386D" w:rsidRDefault="004D49ED" w:rsidP="00DD3106">
      <w:pPr>
        <w:pStyle w:val="BodyText"/>
      </w:pPr>
      <w:r w:rsidRPr="0018386D">
        <w:t xml:space="preserve">Note the livestock emissions you calculate using these </w:t>
      </w:r>
      <w:r w:rsidR="00EC49AF" w:rsidRPr="0018386D">
        <w:t>implied</w:t>
      </w:r>
      <w:r w:rsidR="00782971" w:rsidRPr="0018386D">
        <w:rPr>
          <w:color w:val="D13438"/>
        </w:rPr>
        <w:t xml:space="preserve"> </w:t>
      </w:r>
      <w:r w:rsidRPr="0018386D">
        <w:t>emission factors are intended to</w:t>
      </w:r>
      <w:r w:rsidR="004C3FD6" w:rsidRPr="0018386D">
        <w:t> </w:t>
      </w:r>
      <w:r w:rsidRPr="0018386D">
        <w:t xml:space="preserve">be an approximate estimate of emissions </w:t>
      </w:r>
      <w:proofErr w:type="gramStart"/>
      <w:r w:rsidRPr="0018386D">
        <w:t>only</w:t>
      </w:r>
      <w:r w:rsidR="15D1B8A0" w:rsidRPr="0018386D">
        <w:t>, and</w:t>
      </w:r>
      <w:proofErr w:type="gramEnd"/>
      <w:r w:rsidR="15D1B8A0" w:rsidRPr="0018386D">
        <w:t xml:space="preserve"> are based on the average per-animal biological emissions of New Zealand’s main farmed livestock categories.</w:t>
      </w:r>
      <w:r w:rsidRPr="0018386D">
        <w:t xml:space="preserve"> </w:t>
      </w:r>
      <w:r w:rsidR="2AE1A0FF" w:rsidRPr="0018386D">
        <w:t>Implied e</w:t>
      </w:r>
      <w:r w:rsidR="0004516E" w:rsidRPr="0018386D">
        <w:t>mission factors are provided per head of livestock type per year.</w:t>
      </w:r>
    </w:p>
    <w:p w14:paraId="42997CEF" w14:textId="1FDB0EE6" w:rsidR="15D1B8A0" w:rsidRPr="0018386D" w:rsidRDefault="15D1B8A0" w:rsidP="00DD3106">
      <w:pPr>
        <w:pStyle w:val="BodyText"/>
      </w:pPr>
      <w:r w:rsidRPr="0018386D">
        <w:t xml:space="preserve">Actual </w:t>
      </w:r>
      <w:r w:rsidR="0CBCC5B3" w:rsidRPr="0018386D">
        <w:t>livestock</w:t>
      </w:r>
      <w:r w:rsidRPr="0018386D">
        <w:t xml:space="preserve"> emissions for an individual farm will differ depending on </w:t>
      </w:r>
      <w:proofErr w:type="gramStart"/>
      <w:r w:rsidRPr="0018386D">
        <w:t>a number of</w:t>
      </w:r>
      <w:proofErr w:type="gramEnd"/>
      <w:r w:rsidRPr="0018386D">
        <w:t xml:space="preserve"> factors, including live-weights, productivity, and feed quality. Organisations looking for a more accurate farm-based estimate of their agricultural emissions are encouraged to use alternative GHG calculator tools. </w:t>
      </w:r>
      <w:r w:rsidR="00E05318" w:rsidRPr="0018386D">
        <w:t xml:space="preserve">The </w:t>
      </w:r>
      <w:r w:rsidRPr="0018386D">
        <w:t xml:space="preserve">list of tools </w:t>
      </w:r>
      <w:r w:rsidR="00E05318" w:rsidRPr="0018386D">
        <w:t xml:space="preserve">approved </w:t>
      </w:r>
      <w:r w:rsidRPr="0018386D">
        <w:t xml:space="preserve">by the He Waka Eke Noa programme can be found here: </w:t>
      </w:r>
      <w:hyperlink r:id="rId139" w:history="1">
        <w:r w:rsidRPr="0018386D">
          <w:rPr>
            <w:rStyle w:val="Hyperlink"/>
            <w:rFonts w:eastAsia="Calibri" w:cs="Calibri"/>
          </w:rPr>
          <w:t>Know your number – Ag Matters</w:t>
        </w:r>
      </w:hyperlink>
      <w:r w:rsidRPr="0018386D">
        <w:t>.</w:t>
      </w:r>
    </w:p>
    <w:p w14:paraId="31CFF05D" w14:textId="3EC24BCB" w:rsidR="003A7B65" w:rsidRPr="0018386D" w:rsidRDefault="003A7B65" w:rsidP="00DD3106">
      <w:pPr>
        <w:pStyle w:val="Heading3"/>
        <w:numPr>
          <w:ilvl w:val="2"/>
          <w:numId w:val="8"/>
        </w:numPr>
        <w:spacing w:before="280"/>
        <w:ind w:left="1134" w:hanging="1134"/>
      </w:pPr>
      <w:bookmarkStart w:id="909" w:name="_Enteric_fermentation"/>
      <w:bookmarkStart w:id="910" w:name="_Toc532904970"/>
      <w:bookmarkEnd w:id="909"/>
      <w:r w:rsidRPr="0018386D">
        <w:t xml:space="preserve">Enteric </w:t>
      </w:r>
      <w:bookmarkEnd w:id="908"/>
      <w:bookmarkEnd w:id="910"/>
      <w:r w:rsidR="00322289" w:rsidRPr="0018386D">
        <w:t>fermentation</w:t>
      </w:r>
    </w:p>
    <w:p w14:paraId="1145005F" w14:textId="0A312102" w:rsidR="003A7B65" w:rsidRPr="0018386D" w:rsidRDefault="00B11032" w:rsidP="00DD3106">
      <w:pPr>
        <w:pStyle w:val="BodyText"/>
      </w:pPr>
      <w:r w:rsidRPr="0018386D">
        <w:t xml:space="preserve">Enteric </w:t>
      </w:r>
      <w:r w:rsidR="00002769" w:rsidRPr="0018386D">
        <w:t>f</w:t>
      </w:r>
      <w:r w:rsidRPr="0018386D">
        <w:t>ermentation is the process by which ruminant animals produce methane through digesti</w:t>
      </w:r>
      <w:r w:rsidR="00D94A1D" w:rsidRPr="0018386D">
        <w:t>ng</w:t>
      </w:r>
      <w:r w:rsidRPr="0018386D">
        <w:t xml:space="preserve"> feed</w:t>
      </w:r>
      <w:r w:rsidR="00EC464E" w:rsidRPr="0018386D">
        <w:t xml:space="preserve">. </w:t>
      </w:r>
      <w:r w:rsidR="00002769" w:rsidRPr="0018386D">
        <w:t>We provide emission factors for dairy cattle, non-dairy cattle, sheep and deer</w:t>
      </w:r>
      <w:r w:rsidR="00734F71" w:rsidRPr="0018386D">
        <w:t xml:space="preserve"> and other minor livestock </w:t>
      </w:r>
      <w:r w:rsidR="00C8714D" w:rsidRPr="0018386D">
        <w:t>categories</w:t>
      </w:r>
      <w:r w:rsidR="00002769" w:rsidRPr="0018386D">
        <w:t xml:space="preserve"> in</w:t>
      </w:r>
      <w:r w:rsidR="001F2A7B" w:rsidRPr="0018386D">
        <w:t xml:space="preserve"> </w:t>
      </w:r>
      <w:hyperlink w:anchor="Table84" w:history="1">
        <w:r w:rsidR="00AA3AE3" w:rsidRPr="0018386D">
          <w:rPr>
            <w:rStyle w:val="Hyperlink"/>
          </w:rPr>
          <w:t xml:space="preserve">table </w:t>
        </w:r>
        <w:r w:rsidR="00BE037A" w:rsidRPr="0018386D">
          <w:rPr>
            <w:rStyle w:val="Hyperlink"/>
          </w:rPr>
          <w:t>84</w:t>
        </w:r>
      </w:hyperlink>
      <w:r w:rsidR="00C86D9A" w:rsidRPr="0018386D">
        <w:t>.</w:t>
      </w:r>
    </w:p>
    <w:p w14:paraId="1F2BF529" w14:textId="4471264E" w:rsidR="003A7B65" w:rsidRPr="0018386D" w:rsidRDefault="005D328D" w:rsidP="00DD3106">
      <w:pPr>
        <w:pStyle w:val="Tableheading"/>
      </w:pPr>
      <w:bookmarkStart w:id="911" w:name="Table84"/>
      <w:bookmarkStart w:id="912" w:name="_Toc111536696"/>
      <w:bookmarkStart w:id="913" w:name="_Toc140049024"/>
      <w:r w:rsidRPr="0018386D">
        <w:t xml:space="preserve">Table </w:t>
      </w:r>
      <w:r w:rsidRPr="0018386D">
        <w:fldChar w:fldCharType="begin"/>
      </w:r>
      <w:r w:rsidRPr="0018386D">
        <w:instrText>SEQ Table \* ARABIC</w:instrText>
      </w:r>
      <w:r w:rsidRPr="0018386D">
        <w:fldChar w:fldCharType="separate"/>
      </w:r>
      <w:r w:rsidR="00BA3273" w:rsidRPr="0018386D">
        <w:t>84</w:t>
      </w:r>
      <w:r w:rsidRPr="0018386D">
        <w:fldChar w:fldCharType="end"/>
      </w:r>
      <w:bookmarkEnd w:id="911"/>
      <w:r w:rsidRPr="0018386D">
        <w:t>:</w:t>
      </w:r>
      <w:r w:rsidRPr="0018386D">
        <w:tab/>
      </w:r>
      <w:r w:rsidR="003A7B65" w:rsidRPr="0018386D">
        <w:t xml:space="preserve"> </w:t>
      </w:r>
      <w:r w:rsidR="018FCC50" w:rsidRPr="0018386D">
        <w:t>Implied</w:t>
      </w:r>
      <w:r w:rsidR="002B7F3C" w:rsidRPr="0018386D">
        <w:t xml:space="preserve"> </w:t>
      </w:r>
      <w:r w:rsidR="002193A3" w:rsidRPr="0018386D">
        <w:t>emission</w:t>
      </w:r>
      <w:r w:rsidR="003A7B65" w:rsidRPr="0018386D">
        <w:t xml:space="preserve"> factors</w:t>
      </w:r>
      <w:bookmarkEnd w:id="912"/>
      <w:r w:rsidR="72BC046A" w:rsidRPr="0018386D">
        <w:t xml:space="preserve"> from enteric fermentation</w:t>
      </w:r>
      <w:bookmarkEnd w:id="913"/>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827"/>
        <w:gridCol w:w="1120"/>
        <w:gridCol w:w="1308"/>
        <w:gridCol w:w="1179"/>
        <w:gridCol w:w="1533"/>
        <w:gridCol w:w="1533"/>
      </w:tblGrid>
      <w:tr w:rsidR="00896C2B" w:rsidRPr="0018386D" w14:paraId="05653B06" w14:textId="77777777" w:rsidTr="00231F21">
        <w:trPr>
          <w:divId w:val="1343359870"/>
          <w:tblHeader/>
        </w:trPr>
        <w:tc>
          <w:tcPr>
            <w:tcW w:w="1758" w:type="dxa"/>
            <w:shd w:val="clear" w:color="000000" w:fill="1B556B" w:themeFill="text2"/>
            <w:noWrap/>
            <w:vAlign w:val="bottom"/>
            <w:hideMark/>
          </w:tcPr>
          <w:p w14:paraId="65A5D08F" w14:textId="0CCE5E03" w:rsidR="008E2ED2" w:rsidRPr="0018386D" w:rsidRDefault="008E2ED2" w:rsidP="00DD3106">
            <w:pPr>
              <w:pStyle w:val="TableTextbold"/>
              <w:spacing w:before="40" w:after="40"/>
              <w:rPr>
                <w:color w:val="FFFFFF" w:themeColor="background1"/>
              </w:rPr>
            </w:pPr>
            <w:bookmarkStart w:id="914" w:name="_1746366936"/>
            <w:bookmarkStart w:id="915" w:name="_1745997872"/>
            <w:bookmarkStart w:id="916" w:name="_1746254116"/>
            <w:bookmarkStart w:id="917" w:name="_1747051308"/>
            <w:bookmarkEnd w:id="914"/>
            <w:bookmarkEnd w:id="915"/>
            <w:bookmarkEnd w:id="916"/>
            <w:bookmarkEnd w:id="917"/>
            <w:r w:rsidRPr="0018386D">
              <w:rPr>
                <w:color w:val="FFFFFF" w:themeColor="background1"/>
              </w:rPr>
              <w:t>Emission source</w:t>
            </w:r>
          </w:p>
        </w:tc>
        <w:tc>
          <w:tcPr>
            <w:tcW w:w="1077" w:type="dxa"/>
            <w:shd w:val="clear" w:color="000000" w:fill="1B556B" w:themeFill="text2"/>
            <w:noWrap/>
            <w:vAlign w:val="bottom"/>
            <w:hideMark/>
          </w:tcPr>
          <w:p w14:paraId="253EE880"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1258" w:type="dxa"/>
            <w:shd w:val="clear" w:color="000000" w:fill="1B556B" w:themeFill="text2"/>
            <w:noWrap/>
            <w:vAlign w:val="bottom"/>
            <w:hideMark/>
          </w:tcPr>
          <w:p w14:paraId="796A3536" w14:textId="27433973" w:rsidR="008E2ED2" w:rsidRPr="0018386D" w:rsidRDefault="008E2ED2" w:rsidP="00DD3106">
            <w:pPr>
              <w:pStyle w:val="TableTextbold"/>
              <w:spacing w:before="40" w:after="40"/>
              <w:rPr>
                <w:color w:val="FFFFFF" w:themeColor="background1"/>
              </w:rPr>
            </w:pPr>
            <w:r w:rsidRPr="0018386D">
              <w:rPr>
                <w:color w:val="FFFFFF" w:themeColor="background1"/>
              </w:rPr>
              <w:t>kg CO₂-e/unit</w:t>
            </w:r>
          </w:p>
        </w:tc>
        <w:tc>
          <w:tcPr>
            <w:tcW w:w="1134" w:type="dxa"/>
            <w:shd w:val="clear" w:color="000000" w:fill="1B556B" w:themeFill="text2"/>
            <w:noWrap/>
            <w:vAlign w:val="bottom"/>
            <w:hideMark/>
          </w:tcPr>
          <w:p w14:paraId="7A885A17" w14:textId="4375B529" w:rsidR="008E2ED2" w:rsidRPr="0018386D" w:rsidRDefault="008E2ED2" w:rsidP="00DD3106">
            <w:pPr>
              <w:pStyle w:val="TableTextbold"/>
              <w:spacing w:before="40" w:after="40"/>
              <w:rPr>
                <w:color w:val="FFFFFF" w:themeColor="background1"/>
              </w:rPr>
            </w:pPr>
            <w:r w:rsidRPr="0018386D">
              <w:rPr>
                <w:color w:val="FFFFFF" w:themeColor="background1"/>
              </w:rPr>
              <w:t>kg CO₂/unit</w:t>
            </w:r>
          </w:p>
        </w:tc>
        <w:tc>
          <w:tcPr>
            <w:tcW w:w="1474" w:type="dxa"/>
            <w:shd w:val="clear" w:color="000000" w:fill="1B556B" w:themeFill="text2"/>
            <w:noWrap/>
            <w:vAlign w:val="bottom"/>
            <w:hideMark/>
          </w:tcPr>
          <w:p w14:paraId="5BF51FC3" w14:textId="5B5030A2" w:rsidR="008E2ED2" w:rsidRPr="0018386D" w:rsidRDefault="008E2ED2" w:rsidP="00DD3106">
            <w:pPr>
              <w:pStyle w:val="TableTextbold"/>
              <w:spacing w:before="40" w:after="40"/>
              <w:rPr>
                <w:color w:val="FFFFFF" w:themeColor="background1"/>
              </w:rPr>
            </w:pPr>
            <w:r w:rsidRPr="0018386D">
              <w:rPr>
                <w:color w:val="FFFFFF" w:themeColor="background1"/>
              </w:rPr>
              <w:t>CH₄ (kg CO₂</w:t>
            </w:r>
            <w:r w:rsidRPr="0018386D">
              <w:rPr>
                <w:color w:val="FFFFFF" w:themeColor="background1"/>
              </w:rPr>
              <w:noBreakHyphen/>
              <w:t>e)/</w:t>
            </w:r>
            <w:r w:rsidR="00231F21" w:rsidRPr="0018386D">
              <w:rPr>
                <w:color w:val="FFFFFF" w:themeColor="background1"/>
              </w:rPr>
              <w:t xml:space="preserve"> </w:t>
            </w:r>
            <w:r w:rsidRPr="0018386D">
              <w:rPr>
                <w:color w:val="FFFFFF" w:themeColor="background1"/>
              </w:rPr>
              <w:t>unit</w:t>
            </w:r>
          </w:p>
        </w:tc>
        <w:tc>
          <w:tcPr>
            <w:tcW w:w="1474" w:type="dxa"/>
            <w:shd w:val="clear" w:color="000000" w:fill="1B556B" w:themeFill="text2"/>
            <w:noWrap/>
            <w:vAlign w:val="bottom"/>
            <w:hideMark/>
          </w:tcPr>
          <w:p w14:paraId="65D05BF9" w14:textId="2E66B003" w:rsidR="008E2ED2" w:rsidRPr="0018386D" w:rsidRDefault="008E2ED2" w:rsidP="00DD3106">
            <w:pPr>
              <w:pStyle w:val="TableTextbold"/>
              <w:spacing w:before="40" w:after="40"/>
              <w:rPr>
                <w:color w:val="FFFFFF" w:themeColor="background1"/>
              </w:rPr>
            </w:pPr>
            <w:r w:rsidRPr="0018386D">
              <w:rPr>
                <w:color w:val="FFFFFF" w:themeColor="background1"/>
              </w:rPr>
              <w:t>N₂O (kg CO₂</w:t>
            </w:r>
            <w:r w:rsidRPr="0018386D">
              <w:rPr>
                <w:color w:val="FFFFFF" w:themeColor="background1"/>
              </w:rPr>
              <w:noBreakHyphen/>
              <w:t>e)/</w:t>
            </w:r>
            <w:r w:rsidR="00231F21" w:rsidRPr="0018386D">
              <w:rPr>
                <w:color w:val="FFFFFF" w:themeColor="background1"/>
              </w:rPr>
              <w:t xml:space="preserve"> </w:t>
            </w:r>
            <w:r w:rsidRPr="0018386D">
              <w:rPr>
                <w:color w:val="FFFFFF" w:themeColor="background1"/>
              </w:rPr>
              <w:t>unit</w:t>
            </w:r>
          </w:p>
        </w:tc>
      </w:tr>
      <w:tr w:rsidR="00896C2B" w:rsidRPr="0018386D" w14:paraId="1BA12E27" w14:textId="77777777" w:rsidTr="00231F21">
        <w:trPr>
          <w:divId w:val="1343359870"/>
        </w:trPr>
        <w:tc>
          <w:tcPr>
            <w:tcW w:w="1758" w:type="dxa"/>
            <w:shd w:val="clear" w:color="000000" w:fill="D2DDE1"/>
            <w:noWrap/>
            <w:hideMark/>
          </w:tcPr>
          <w:p w14:paraId="1796074F" w14:textId="58389F6D" w:rsidR="008E2ED2" w:rsidRPr="0018386D" w:rsidRDefault="008E2ED2" w:rsidP="00DD3106">
            <w:pPr>
              <w:pStyle w:val="TableTextbold"/>
              <w:spacing w:before="40" w:after="40"/>
            </w:pPr>
            <w:r w:rsidRPr="0018386D">
              <w:t xml:space="preserve">Enteric </w:t>
            </w:r>
            <w:r w:rsidR="00480A20" w:rsidRPr="0018386D">
              <w:t>f</w:t>
            </w:r>
            <w:r w:rsidRPr="0018386D">
              <w:t>ermentation</w:t>
            </w:r>
          </w:p>
        </w:tc>
        <w:tc>
          <w:tcPr>
            <w:tcW w:w="1077" w:type="dxa"/>
            <w:shd w:val="clear" w:color="000000" w:fill="D2DDE1"/>
            <w:noWrap/>
            <w:hideMark/>
          </w:tcPr>
          <w:p w14:paraId="71A32907" w14:textId="77777777" w:rsidR="008E2ED2" w:rsidRPr="0018386D" w:rsidRDefault="008E2ED2" w:rsidP="00DD3106">
            <w:pPr>
              <w:pStyle w:val="TableTextbold"/>
              <w:spacing w:before="40" w:after="40"/>
            </w:pPr>
            <w:r w:rsidRPr="0018386D">
              <w:t> </w:t>
            </w:r>
          </w:p>
        </w:tc>
        <w:tc>
          <w:tcPr>
            <w:tcW w:w="1258" w:type="dxa"/>
            <w:shd w:val="clear" w:color="000000" w:fill="D2DDE1"/>
            <w:noWrap/>
            <w:hideMark/>
          </w:tcPr>
          <w:p w14:paraId="1B69EEC0" w14:textId="77777777" w:rsidR="008E2ED2" w:rsidRPr="0018386D" w:rsidRDefault="008E2ED2" w:rsidP="00DD3106">
            <w:pPr>
              <w:pStyle w:val="TableTextbold"/>
              <w:spacing w:before="40" w:after="40"/>
            </w:pPr>
            <w:r w:rsidRPr="0018386D">
              <w:t> </w:t>
            </w:r>
          </w:p>
        </w:tc>
        <w:tc>
          <w:tcPr>
            <w:tcW w:w="1134" w:type="dxa"/>
            <w:shd w:val="clear" w:color="000000" w:fill="D2DDE1"/>
            <w:noWrap/>
            <w:hideMark/>
          </w:tcPr>
          <w:p w14:paraId="49F9034E" w14:textId="77777777" w:rsidR="008E2ED2" w:rsidRPr="0018386D" w:rsidRDefault="008E2ED2" w:rsidP="00DD3106">
            <w:pPr>
              <w:pStyle w:val="TableTextbold"/>
              <w:spacing w:before="40" w:after="40"/>
            </w:pPr>
            <w:r w:rsidRPr="0018386D">
              <w:t> </w:t>
            </w:r>
          </w:p>
        </w:tc>
        <w:tc>
          <w:tcPr>
            <w:tcW w:w="1474" w:type="dxa"/>
            <w:shd w:val="clear" w:color="000000" w:fill="D2DDE1"/>
            <w:noWrap/>
            <w:hideMark/>
          </w:tcPr>
          <w:p w14:paraId="7100B315" w14:textId="77777777" w:rsidR="008E2ED2" w:rsidRPr="0018386D" w:rsidRDefault="008E2ED2" w:rsidP="00DD3106">
            <w:pPr>
              <w:pStyle w:val="TableTextbold"/>
              <w:spacing w:before="40" w:after="40"/>
            </w:pPr>
            <w:r w:rsidRPr="0018386D">
              <w:t> </w:t>
            </w:r>
          </w:p>
        </w:tc>
        <w:tc>
          <w:tcPr>
            <w:tcW w:w="1474" w:type="dxa"/>
            <w:shd w:val="clear" w:color="000000" w:fill="D2DDE1"/>
            <w:noWrap/>
            <w:hideMark/>
          </w:tcPr>
          <w:p w14:paraId="42E30E1C" w14:textId="77777777" w:rsidR="008E2ED2" w:rsidRPr="0018386D" w:rsidRDefault="008E2ED2" w:rsidP="00DD3106">
            <w:pPr>
              <w:pStyle w:val="TableTextbold"/>
              <w:spacing w:before="40" w:after="40"/>
            </w:pPr>
            <w:r w:rsidRPr="0018386D">
              <w:t> </w:t>
            </w:r>
          </w:p>
        </w:tc>
      </w:tr>
      <w:tr w:rsidR="00896C2B" w:rsidRPr="0018386D" w14:paraId="12254F13" w14:textId="77777777" w:rsidTr="00231F21">
        <w:trPr>
          <w:divId w:val="1343359870"/>
        </w:trPr>
        <w:tc>
          <w:tcPr>
            <w:tcW w:w="1758" w:type="dxa"/>
            <w:shd w:val="clear" w:color="000000" w:fill="FFFFFF"/>
            <w:noWrap/>
            <w:hideMark/>
          </w:tcPr>
          <w:p w14:paraId="7DC327F5" w14:textId="77777777" w:rsidR="00A94C3E" w:rsidRPr="0018386D" w:rsidRDefault="00A94C3E" w:rsidP="00DD3106">
            <w:pPr>
              <w:pStyle w:val="TableText"/>
              <w:spacing w:before="40"/>
            </w:pPr>
            <w:r w:rsidRPr="0018386D">
              <w:t>Dairy cattle</w:t>
            </w:r>
          </w:p>
        </w:tc>
        <w:tc>
          <w:tcPr>
            <w:tcW w:w="1077" w:type="dxa"/>
            <w:shd w:val="clear" w:color="000000" w:fill="FFFFFF"/>
            <w:noWrap/>
            <w:hideMark/>
          </w:tcPr>
          <w:p w14:paraId="42E0E0DC"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481F1F54" w14:textId="3C57394F" w:rsidR="00A94C3E" w:rsidRPr="0018386D" w:rsidRDefault="00A94C3E" w:rsidP="00DD3106">
            <w:pPr>
              <w:pStyle w:val="TableText"/>
              <w:spacing w:before="40"/>
            </w:pPr>
            <w:r w:rsidRPr="0018386D">
              <w:t>2423</w:t>
            </w:r>
          </w:p>
        </w:tc>
        <w:tc>
          <w:tcPr>
            <w:tcW w:w="1134" w:type="dxa"/>
            <w:shd w:val="clear" w:color="000000" w:fill="FFFFFF"/>
            <w:noWrap/>
            <w:hideMark/>
          </w:tcPr>
          <w:p w14:paraId="6D01B753"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75E2D4E0" w14:textId="6DBAB651" w:rsidR="00A94C3E" w:rsidRPr="0018386D" w:rsidRDefault="00A94C3E" w:rsidP="00DD3106">
            <w:pPr>
              <w:pStyle w:val="TableText"/>
              <w:spacing w:before="40"/>
            </w:pPr>
            <w:r w:rsidRPr="0018386D">
              <w:t>2</w:t>
            </w:r>
            <w:r w:rsidR="008421D4" w:rsidRPr="0018386D">
              <w:t>,</w:t>
            </w:r>
            <w:r w:rsidRPr="0018386D">
              <w:t>423</w:t>
            </w:r>
          </w:p>
        </w:tc>
        <w:tc>
          <w:tcPr>
            <w:tcW w:w="1474" w:type="dxa"/>
            <w:shd w:val="clear" w:color="000000" w:fill="FFFFFF"/>
            <w:noWrap/>
            <w:hideMark/>
          </w:tcPr>
          <w:p w14:paraId="1A0D7A9B" w14:textId="77777777" w:rsidR="00A94C3E" w:rsidRPr="0018386D" w:rsidRDefault="00A94C3E" w:rsidP="00DD3106">
            <w:pPr>
              <w:pStyle w:val="TableText"/>
              <w:spacing w:before="40"/>
            </w:pPr>
            <w:r w:rsidRPr="0018386D">
              <w:t>n/a</w:t>
            </w:r>
          </w:p>
        </w:tc>
      </w:tr>
      <w:tr w:rsidR="00896C2B" w:rsidRPr="0018386D" w14:paraId="2F527E9C" w14:textId="77777777" w:rsidTr="00231F21">
        <w:trPr>
          <w:divId w:val="1343359870"/>
        </w:trPr>
        <w:tc>
          <w:tcPr>
            <w:tcW w:w="1758" w:type="dxa"/>
            <w:shd w:val="clear" w:color="000000" w:fill="FFFFFF"/>
            <w:noWrap/>
            <w:hideMark/>
          </w:tcPr>
          <w:p w14:paraId="65A83181" w14:textId="77777777" w:rsidR="00A94C3E" w:rsidRPr="0018386D" w:rsidRDefault="00A94C3E" w:rsidP="00DD3106">
            <w:pPr>
              <w:pStyle w:val="TableText"/>
              <w:spacing w:before="40"/>
            </w:pPr>
            <w:r w:rsidRPr="0018386D">
              <w:t>Non-dairy cattle</w:t>
            </w:r>
          </w:p>
        </w:tc>
        <w:tc>
          <w:tcPr>
            <w:tcW w:w="1077" w:type="dxa"/>
            <w:shd w:val="clear" w:color="000000" w:fill="FFFFFF"/>
            <w:noWrap/>
            <w:hideMark/>
          </w:tcPr>
          <w:p w14:paraId="00801662"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4CE74C06" w14:textId="0AD002EA" w:rsidR="00A94C3E" w:rsidRPr="0018386D" w:rsidRDefault="00A94C3E" w:rsidP="00DD3106">
            <w:pPr>
              <w:pStyle w:val="TableText"/>
              <w:spacing w:before="40"/>
            </w:pPr>
            <w:r w:rsidRPr="0018386D">
              <w:t>1679</w:t>
            </w:r>
          </w:p>
        </w:tc>
        <w:tc>
          <w:tcPr>
            <w:tcW w:w="1134" w:type="dxa"/>
            <w:shd w:val="clear" w:color="000000" w:fill="FFFFFF"/>
            <w:noWrap/>
            <w:hideMark/>
          </w:tcPr>
          <w:p w14:paraId="605C5247"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50CD59C4" w14:textId="2EF12382" w:rsidR="00A94C3E" w:rsidRPr="0018386D" w:rsidRDefault="00A94C3E" w:rsidP="00DD3106">
            <w:pPr>
              <w:pStyle w:val="TableText"/>
              <w:spacing w:before="40"/>
            </w:pPr>
            <w:r w:rsidRPr="0018386D">
              <w:t>1</w:t>
            </w:r>
            <w:r w:rsidR="008421D4" w:rsidRPr="0018386D">
              <w:t>,</w:t>
            </w:r>
            <w:r w:rsidRPr="0018386D">
              <w:t>679</w:t>
            </w:r>
          </w:p>
        </w:tc>
        <w:tc>
          <w:tcPr>
            <w:tcW w:w="1474" w:type="dxa"/>
            <w:shd w:val="clear" w:color="000000" w:fill="FFFFFF"/>
            <w:noWrap/>
            <w:hideMark/>
          </w:tcPr>
          <w:p w14:paraId="70F98439" w14:textId="77777777" w:rsidR="00A94C3E" w:rsidRPr="0018386D" w:rsidRDefault="00A94C3E" w:rsidP="00DD3106">
            <w:pPr>
              <w:pStyle w:val="TableText"/>
              <w:spacing w:before="40"/>
            </w:pPr>
            <w:r w:rsidRPr="0018386D">
              <w:t>n/a</w:t>
            </w:r>
          </w:p>
        </w:tc>
      </w:tr>
      <w:tr w:rsidR="00896C2B" w:rsidRPr="0018386D" w14:paraId="5720D79C" w14:textId="77777777" w:rsidTr="00231F21">
        <w:trPr>
          <w:divId w:val="1343359870"/>
        </w:trPr>
        <w:tc>
          <w:tcPr>
            <w:tcW w:w="1758" w:type="dxa"/>
            <w:shd w:val="clear" w:color="000000" w:fill="FFFFFF"/>
            <w:noWrap/>
            <w:hideMark/>
          </w:tcPr>
          <w:p w14:paraId="15528898" w14:textId="77777777" w:rsidR="00A94C3E" w:rsidRPr="0018386D" w:rsidRDefault="00A94C3E" w:rsidP="00DD3106">
            <w:pPr>
              <w:pStyle w:val="TableText"/>
              <w:spacing w:before="40"/>
            </w:pPr>
            <w:r w:rsidRPr="0018386D">
              <w:t>Sheep</w:t>
            </w:r>
          </w:p>
        </w:tc>
        <w:tc>
          <w:tcPr>
            <w:tcW w:w="1077" w:type="dxa"/>
            <w:shd w:val="clear" w:color="000000" w:fill="FFFFFF"/>
            <w:noWrap/>
            <w:hideMark/>
          </w:tcPr>
          <w:p w14:paraId="1A4ED9EE"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5E0B4777" w14:textId="21FC6373" w:rsidR="00A94C3E" w:rsidRPr="0018386D" w:rsidRDefault="00A94C3E" w:rsidP="00DD3106">
            <w:pPr>
              <w:pStyle w:val="TableText"/>
              <w:spacing w:before="40"/>
            </w:pPr>
            <w:r w:rsidRPr="0018386D">
              <w:t>349</w:t>
            </w:r>
          </w:p>
        </w:tc>
        <w:tc>
          <w:tcPr>
            <w:tcW w:w="1134" w:type="dxa"/>
            <w:shd w:val="clear" w:color="000000" w:fill="FFFFFF"/>
            <w:noWrap/>
            <w:hideMark/>
          </w:tcPr>
          <w:p w14:paraId="71C18F6C"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29A8115B" w14:textId="6A7FFC34" w:rsidR="00A94C3E" w:rsidRPr="0018386D" w:rsidRDefault="00A94C3E" w:rsidP="00DD3106">
            <w:pPr>
              <w:pStyle w:val="TableText"/>
              <w:spacing w:before="40"/>
            </w:pPr>
            <w:r w:rsidRPr="0018386D">
              <w:t>349</w:t>
            </w:r>
          </w:p>
        </w:tc>
        <w:tc>
          <w:tcPr>
            <w:tcW w:w="1474" w:type="dxa"/>
            <w:shd w:val="clear" w:color="000000" w:fill="FFFFFF"/>
            <w:noWrap/>
            <w:hideMark/>
          </w:tcPr>
          <w:p w14:paraId="2FAE91EC" w14:textId="77777777" w:rsidR="00A94C3E" w:rsidRPr="0018386D" w:rsidRDefault="00A94C3E" w:rsidP="00DD3106">
            <w:pPr>
              <w:pStyle w:val="TableText"/>
              <w:spacing w:before="40"/>
            </w:pPr>
            <w:r w:rsidRPr="0018386D">
              <w:t>n/a</w:t>
            </w:r>
          </w:p>
        </w:tc>
      </w:tr>
      <w:tr w:rsidR="00896C2B" w:rsidRPr="0018386D" w14:paraId="7621FBBC" w14:textId="77777777" w:rsidTr="00231F21">
        <w:trPr>
          <w:divId w:val="1343359870"/>
        </w:trPr>
        <w:tc>
          <w:tcPr>
            <w:tcW w:w="1758" w:type="dxa"/>
            <w:shd w:val="clear" w:color="000000" w:fill="FFFFFF"/>
            <w:noWrap/>
            <w:hideMark/>
          </w:tcPr>
          <w:p w14:paraId="14732BA5" w14:textId="77777777" w:rsidR="00A94C3E" w:rsidRPr="0018386D" w:rsidRDefault="00A94C3E" w:rsidP="00DD3106">
            <w:pPr>
              <w:pStyle w:val="TableText"/>
              <w:spacing w:before="40"/>
            </w:pPr>
            <w:r w:rsidRPr="0018386D">
              <w:t>Deer</w:t>
            </w:r>
          </w:p>
        </w:tc>
        <w:tc>
          <w:tcPr>
            <w:tcW w:w="1077" w:type="dxa"/>
            <w:shd w:val="clear" w:color="000000" w:fill="FFFFFF"/>
            <w:noWrap/>
            <w:hideMark/>
          </w:tcPr>
          <w:p w14:paraId="215E1FE7"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32FA94EB" w14:textId="10C356DB" w:rsidR="00A94C3E" w:rsidRPr="0018386D" w:rsidRDefault="00A94C3E" w:rsidP="00DD3106">
            <w:pPr>
              <w:pStyle w:val="TableText"/>
              <w:spacing w:before="40"/>
            </w:pPr>
            <w:r w:rsidRPr="0018386D">
              <w:t>644</w:t>
            </w:r>
          </w:p>
        </w:tc>
        <w:tc>
          <w:tcPr>
            <w:tcW w:w="1134" w:type="dxa"/>
            <w:shd w:val="clear" w:color="000000" w:fill="FFFFFF"/>
            <w:noWrap/>
            <w:hideMark/>
          </w:tcPr>
          <w:p w14:paraId="522FD775"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1069866A" w14:textId="30E7D744" w:rsidR="00A94C3E" w:rsidRPr="0018386D" w:rsidRDefault="00A94C3E" w:rsidP="00DD3106">
            <w:pPr>
              <w:pStyle w:val="TableText"/>
              <w:spacing w:before="40"/>
            </w:pPr>
            <w:r w:rsidRPr="0018386D">
              <w:t>644</w:t>
            </w:r>
          </w:p>
        </w:tc>
        <w:tc>
          <w:tcPr>
            <w:tcW w:w="1474" w:type="dxa"/>
            <w:shd w:val="clear" w:color="000000" w:fill="FFFFFF"/>
            <w:noWrap/>
            <w:hideMark/>
          </w:tcPr>
          <w:p w14:paraId="3B563AFE" w14:textId="77777777" w:rsidR="00A94C3E" w:rsidRPr="0018386D" w:rsidRDefault="00A94C3E" w:rsidP="00DD3106">
            <w:pPr>
              <w:pStyle w:val="TableText"/>
              <w:spacing w:before="40"/>
            </w:pPr>
            <w:r w:rsidRPr="0018386D">
              <w:t>n/a</w:t>
            </w:r>
          </w:p>
        </w:tc>
      </w:tr>
      <w:tr w:rsidR="00896C2B" w:rsidRPr="0018386D" w14:paraId="3CA95635" w14:textId="77777777" w:rsidTr="00231F21">
        <w:trPr>
          <w:divId w:val="1343359870"/>
        </w:trPr>
        <w:tc>
          <w:tcPr>
            <w:tcW w:w="1758" w:type="dxa"/>
            <w:shd w:val="clear" w:color="000000" w:fill="FFFFFF"/>
            <w:noWrap/>
            <w:hideMark/>
          </w:tcPr>
          <w:p w14:paraId="7549C170" w14:textId="77777777" w:rsidR="00A94C3E" w:rsidRPr="0018386D" w:rsidRDefault="00A94C3E" w:rsidP="00DD3106">
            <w:pPr>
              <w:pStyle w:val="TableText"/>
              <w:spacing w:before="40"/>
            </w:pPr>
            <w:r w:rsidRPr="0018386D">
              <w:t>Swine</w:t>
            </w:r>
          </w:p>
        </w:tc>
        <w:tc>
          <w:tcPr>
            <w:tcW w:w="1077" w:type="dxa"/>
            <w:shd w:val="clear" w:color="000000" w:fill="FFFFFF"/>
            <w:noWrap/>
            <w:hideMark/>
          </w:tcPr>
          <w:p w14:paraId="298EE7B1"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6A5B2A78" w14:textId="475D0220" w:rsidR="00A94C3E" w:rsidRPr="0018386D" w:rsidRDefault="00A94C3E" w:rsidP="00DD3106">
            <w:pPr>
              <w:pStyle w:val="TableText"/>
              <w:spacing w:before="40"/>
            </w:pPr>
            <w:r w:rsidRPr="0018386D">
              <w:t>29.7</w:t>
            </w:r>
          </w:p>
        </w:tc>
        <w:tc>
          <w:tcPr>
            <w:tcW w:w="1134" w:type="dxa"/>
            <w:shd w:val="clear" w:color="000000" w:fill="FFFFFF"/>
            <w:noWrap/>
            <w:hideMark/>
          </w:tcPr>
          <w:p w14:paraId="46792E23"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31EBC7D0" w14:textId="56275B6B" w:rsidR="00A94C3E" w:rsidRPr="0018386D" w:rsidRDefault="00A94C3E" w:rsidP="00DD3106">
            <w:pPr>
              <w:pStyle w:val="TableText"/>
              <w:spacing w:before="40"/>
            </w:pPr>
            <w:r w:rsidRPr="0018386D">
              <w:t>29.7</w:t>
            </w:r>
          </w:p>
        </w:tc>
        <w:tc>
          <w:tcPr>
            <w:tcW w:w="1474" w:type="dxa"/>
            <w:shd w:val="clear" w:color="000000" w:fill="FFFFFF"/>
            <w:noWrap/>
            <w:hideMark/>
          </w:tcPr>
          <w:p w14:paraId="3D5D3AE6" w14:textId="77777777" w:rsidR="00A94C3E" w:rsidRPr="0018386D" w:rsidRDefault="00A94C3E" w:rsidP="00DD3106">
            <w:pPr>
              <w:pStyle w:val="TableText"/>
              <w:spacing w:before="40"/>
            </w:pPr>
            <w:r w:rsidRPr="0018386D">
              <w:t>n/a</w:t>
            </w:r>
          </w:p>
        </w:tc>
      </w:tr>
      <w:tr w:rsidR="00896C2B" w:rsidRPr="0018386D" w14:paraId="2654F28D" w14:textId="77777777" w:rsidTr="00231F21">
        <w:trPr>
          <w:divId w:val="1343359870"/>
        </w:trPr>
        <w:tc>
          <w:tcPr>
            <w:tcW w:w="1758" w:type="dxa"/>
            <w:shd w:val="clear" w:color="000000" w:fill="FFFFFF"/>
            <w:noWrap/>
            <w:hideMark/>
          </w:tcPr>
          <w:p w14:paraId="37B56D3A" w14:textId="77777777" w:rsidR="00A94C3E" w:rsidRPr="0018386D" w:rsidRDefault="00A94C3E" w:rsidP="00DD3106">
            <w:pPr>
              <w:pStyle w:val="TableText"/>
              <w:spacing w:before="40"/>
            </w:pPr>
            <w:r w:rsidRPr="0018386D">
              <w:t>Goats</w:t>
            </w:r>
          </w:p>
        </w:tc>
        <w:tc>
          <w:tcPr>
            <w:tcW w:w="1077" w:type="dxa"/>
            <w:shd w:val="clear" w:color="000000" w:fill="FFFFFF"/>
            <w:noWrap/>
            <w:hideMark/>
          </w:tcPr>
          <w:p w14:paraId="462C281B"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270B6C13" w14:textId="23E9C286" w:rsidR="00A94C3E" w:rsidRPr="0018386D" w:rsidRDefault="00A94C3E" w:rsidP="00DD3106">
            <w:pPr>
              <w:pStyle w:val="TableText"/>
              <w:spacing w:before="40"/>
            </w:pPr>
            <w:r w:rsidRPr="0018386D">
              <w:t>251</w:t>
            </w:r>
          </w:p>
        </w:tc>
        <w:tc>
          <w:tcPr>
            <w:tcW w:w="1134" w:type="dxa"/>
            <w:shd w:val="clear" w:color="000000" w:fill="FFFFFF"/>
            <w:noWrap/>
            <w:hideMark/>
          </w:tcPr>
          <w:p w14:paraId="7C3DEDB0"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6ED48281" w14:textId="59D8441A" w:rsidR="00A94C3E" w:rsidRPr="0018386D" w:rsidRDefault="00A94C3E" w:rsidP="00DD3106">
            <w:pPr>
              <w:pStyle w:val="TableText"/>
              <w:spacing w:before="40"/>
            </w:pPr>
            <w:r w:rsidRPr="0018386D">
              <w:t>251</w:t>
            </w:r>
          </w:p>
        </w:tc>
        <w:tc>
          <w:tcPr>
            <w:tcW w:w="1474" w:type="dxa"/>
            <w:shd w:val="clear" w:color="000000" w:fill="FFFFFF"/>
            <w:noWrap/>
            <w:hideMark/>
          </w:tcPr>
          <w:p w14:paraId="699F7B95" w14:textId="77777777" w:rsidR="00A94C3E" w:rsidRPr="0018386D" w:rsidRDefault="00A94C3E" w:rsidP="00DD3106">
            <w:pPr>
              <w:pStyle w:val="TableText"/>
              <w:spacing w:before="40"/>
            </w:pPr>
            <w:r w:rsidRPr="0018386D">
              <w:t>n/a</w:t>
            </w:r>
          </w:p>
        </w:tc>
      </w:tr>
      <w:tr w:rsidR="00896C2B" w:rsidRPr="0018386D" w14:paraId="44EAA4FB" w14:textId="77777777" w:rsidTr="00231F21">
        <w:trPr>
          <w:divId w:val="1343359870"/>
        </w:trPr>
        <w:tc>
          <w:tcPr>
            <w:tcW w:w="1758" w:type="dxa"/>
            <w:shd w:val="clear" w:color="000000" w:fill="FFFFFF"/>
            <w:noWrap/>
            <w:hideMark/>
          </w:tcPr>
          <w:p w14:paraId="0BBAE02E" w14:textId="77777777" w:rsidR="00A94C3E" w:rsidRPr="0018386D" w:rsidRDefault="00A94C3E" w:rsidP="00DD3106">
            <w:pPr>
              <w:pStyle w:val="TableText"/>
              <w:spacing w:before="40"/>
            </w:pPr>
            <w:r w:rsidRPr="0018386D">
              <w:t>Horses</w:t>
            </w:r>
          </w:p>
        </w:tc>
        <w:tc>
          <w:tcPr>
            <w:tcW w:w="1077" w:type="dxa"/>
            <w:shd w:val="clear" w:color="000000" w:fill="FFFFFF"/>
            <w:noWrap/>
            <w:hideMark/>
          </w:tcPr>
          <w:p w14:paraId="1B36FAF6"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27467653" w14:textId="78C80AA5" w:rsidR="00A94C3E" w:rsidRPr="0018386D" w:rsidRDefault="00A94C3E" w:rsidP="00DD3106">
            <w:pPr>
              <w:pStyle w:val="TableText"/>
              <w:spacing w:before="40"/>
            </w:pPr>
            <w:r w:rsidRPr="0018386D">
              <w:t>504</w:t>
            </w:r>
          </w:p>
        </w:tc>
        <w:tc>
          <w:tcPr>
            <w:tcW w:w="1134" w:type="dxa"/>
            <w:shd w:val="clear" w:color="000000" w:fill="FFFFFF"/>
            <w:noWrap/>
            <w:hideMark/>
          </w:tcPr>
          <w:p w14:paraId="55362884"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19BD2C0B" w14:textId="2D4D5780" w:rsidR="00A94C3E" w:rsidRPr="0018386D" w:rsidRDefault="00A94C3E" w:rsidP="00DD3106">
            <w:pPr>
              <w:pStyle w:val="TableText"/>
              <w:spacing w:before="40"/>
            </w:pPr>
            <w:r w:rsidRPr="0018386D">
              <w:t>504</w:t>
            </w:r>
          </w:p>
        </w:tc>
        <w:tc>
          <w:tcPr>
            <w:tcW w:w="1474" w:type="dxa"/>
            <w:shd w:val="clear" w:color="000000" w:fill="FFFFFF"/>
            <w:noWrap/>
            <w:hideMark/>
          </w:tcPr>
          <w:p w14:paraId="094F5E8B" w14:textId="77777777" w:rsidR="00A94C3E" w:rsidRPr="0018386D" w:rsidRDefault="00A94C3E" w:rsidP="00DD3106">
            <w:pPr>
              <w:pStyle w:val="TableText"/>
              <w:spacing w:before="40"/>
            </w:pPr>
            <w:r w:rsidRPr="0018386D">
              <w:t>n/a</w:t>
            </w:r>
          </w:p>
        </w:tc>
      </w:tr>
      <w:tr w:rsidR="00896C2B" w:rsidRPr="0018386D" w14:paraId="68FCD9BD" w14:textId="77777777" w:rsidTr="00231F21">
        <w:trPr>
          <w:divId w:val="1343359870"/>
        </w:trPr>
        <w:tc>
          <w:tcPr>
            <w:tcW w:w="1758" w:type="dxa"/>
            <w:shd w:val="clear" w:color="000000" w:fill="FFFFFF"/>
            <w:noWrap/>
            <w:hideMark/>
          </w:tcPr>
          <w:p w14:paraId="1D9C659D" w14:textId="77777777" w:rsidR="00A94C3E" w:rsidRPr="0018386D" w:rsidRDefault="00A94C3E" w:rsidP="00DD3106">
            <w:pPr>
              <w:pStyle w:val="TableText"/>
              <w:spacing w:before="40"/>
            </w:pPr>
            <w:r w:rsidRPr="0018386D">
              <w:t>Alpaca and llama</w:t>
            </w:r>
          </w:p>
        </w:tc>
        <w:tc>
          <w:tcPr>
            <w:tcW w:w="1077" w:type="dxa"/>
            <w:shd w:val="clear" w:color="000000" w:fill="FFFFFF"/>
            <w:noWrap/>
            <w:hideMark/>
          </w:tcPr>
          <w:p w14:paraId="13F2F328"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6A670511" w14:textId="473A07CB" w:rsidR="00A94C3E" w:rsidRPr="0018386D" w:rsidRDefault="00A94C3E" w:rsidP="00DD3106">
            <w:pPr>
              <w:pStyle w:val="TableText"/>
              <w:spacing w:before="40"/>
            </w:pPr>
            <w:r w:rsidRPr="0018386D">
              <w:t>224</w:t>
            </w:r>
          </w:p>
        </w:tc>
        <w:tc>
          <w:tcPr>
            <w:tcW w:w="1134" w:type="dxa"/>
            <w:shd w:val="clear" w:color="000000" w:fill="FFFFFF"/>
            <w:noWrap/>
            <w:hideMark/>
          </w:tcPr>
          <w:p w14:paraId="0D3A5E95"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134B21D8" w14:textId="1849D250" w:rsidR="00A94C3E" w:rsidRPr="0018386D" w:rsidRDefault="00A94C3E" w:rsidP="00DD3106">
            <w:pPr>
              <w:pStyle w:val="TableText"/>
              <w:spacing w:before="40"/>
            </w:pPr>
            <w:r w:rsidRPr="0018386D">
              <w:t>224</w:t>
            </w:r>
          </w:p>
        </w:tc>
        <w:tc>
          <w:tcPr>
            <w:tcW w:w="1474" w:type="dxa"/>
            <w:shd w:val="clear" w:color="000000" w:fill="FFFFFF"/>
            <w:noWrap/>
            <w:hideMark/>
          </w:tcPr>
          <w:p w14:paraId="445E1949" w14:textId="77777777" w:rsidR="00A94C3E" w:rsidRPr="0018386D" w:rsidRDefault="00A94C3E" w:rsidP="00DD3106">
            <w:pPr>
              <w:pStyle w:val="TableText"/>
              <w:spacing w:before="40"/>
            </w:pPr>
            <w:r w:rsidRPr="0018386D">
              <w:t>n/a</w:t>
            </w:r>
          </w:p>
        </w:tc>
      </w:tr>
      <w:tr w:rsidR="00896C2B" w:rsidRPr="0018386D" w14:paraId="49902DC9" w14:textId="77777777" w:rsidTr="00231F21">
        <w:trPr>
          <w:divId w:val="1343359870"/>
        </w:trPr>
        <w:tc>
          <w:tcPr>
            <w:tcW w:w="1758" w:type="dxa"/>
            <w:shd w:val="clear" w:color="000000" w:fill="FFFFFF"/>
            <w:noWrap/>
            <w:hideMark/>
          </w:tcPr>
          <w:p w14:paraId="78E4CD8D" w14:textId="3B394D10" w:rsidR="00A94C3E" w:rsidRPr="0018386D" w:rsidRDefault="00A94C3E" w:rsidP="00DD3106">
            <w:pPr>
              <w:pStyle w:val="TableText"/>
              <w:spacing w:before="40"/>
            </w:pPr>
            <w:r w:rsidRPr="0018386D">
              <w:t>Mules and asses</w:t>
            </w:r>
          </w:p>
        </w:tc>
        <w:tc>
          <w:tcPr>
            <w:tcW w:w="1077" w:type="dxa"/>
            <w:shd w:val="clear" w:color="000000" w:fill="FFFFFF"/>
            <w:noWrap/>
            <w:hideMark/>
          </w:tcPr>
          <w:p w14:paraId="7CAE9EB1"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520AF1E6" w14:textId="204E3EDF" w:rsidR="00A94C3E" w:rsidRPr="0018386D" w:rsidRDefault="00A94C3E" w:rsidP="00DD3106">
            <w:pPr>
              <w:pStyle w:val="TableText"/>
              <w:spacing w:before="40"/>
            </w:pPr>
            <w:r w:rsidRPr="0018386D">
              <w:t>280</w:t>
            </w:r>
          </w:p>
        </w:tc>
        <w:tc>
          <w:tcPr>
            <w:tcW w:w="1134" w:type="dxa"/>
            <w:shd w:val="clear" w:color="000000" w:fill="FFFFFF"/>
            <w:noWrap/>
            <w:hideMark/>
          </w:tcPr>
          <w:p w14:paraId="08EED94D"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4E132328" w14:textId="74CEC59A" w:rsidR="00A94C3E" w:rsidRPr="0018386D" w:rsidRDefault="00A94C3E" w:rsidP="00DD3106">
            <w:pPr>
              <w:pStyle w:val="TableText"/>
              <w:spacing w:before="40"/>
            </w:pPr>
            <w:r w:rsidRPr="0018386D">
              <w:t>280</w:t>
            </w:r>
          </w:p>
        </w:tc>
        <w:tc>
          <w:tcPr>
            <w:tcW w:w="1474" w:type="dxa"/>
            <w:shd w:val="clear" w:color="000000" w:fill="FFFFFF"/>
            <w:noWrap/>
            <w:hideMark/>
          </w:tcPr>
          <w:p w14:paraId="4F389A9C" w14:textId="77777777" w:rsidR="00A94C3E" w:rsidRPr="0018386D" w:rsidRDefault="00A94C3E" w:rsidP="00DD3106">
            <w:pPr>
              <w:pStyle w:val="TableText"/>
              <w:spacing w:before="40"/>
            </w:pPr>
            <w:r w:rsidRPr="0018386D">
              <w:t>n/a</w:t>
            </w:r>
          </w:p>
        </w:tc>
      </w:tr>
      <w:tr w:rsidR="00896C2B" w:rsidRPr="0018386D" w14:paraId="00F2F453" w14:textId="77777777" w:rsidTr="00231F21">
        <w:trPr>
          <w:divId w:val="1343359870"/>
        </w:trPr>
        <w:tc>
          <w:tcPr>
            <w:tcW w:w="1758" w:type="dxa"/>
            <w:shd w:val="clear" w:color="000000" w:fill="FFFFFF"/>
            <w:noWrap/>
            <w:hideMark/>
          </w:tcPr>
          <w:p w14:paraId="432E472F" w14:textId="77777777" w:rsidR="00A94C3E" w:rsidRPr="0018386D" w:rsidRDefault="00A94C3E" w:rsidP="00DD3106">
            <w:pPr>
              <w:pStyle w:val="TableText"/>
              <w:spacing w:before="40"/>
            </w:pPr>
            <w:r w:rsidRPr="0018386D">
              <w:t>Poultry</w:t>
            </w:r>
          </w:p>
        </w:tc>
        <w:tc>
          <w:tcPr>
            <w:tcW w:w="1077" w:type="dxa"/>
            <w:shd w:val="clear" w:color="000000" w:fill="FFFFFF"/>
            <w:noWrap/>
            <w:hideMark/>
          </w:tcPr>
          <w:p w14:paraId="616DAE90" w14:textId="77777777" w:rsidR="00A94C3E" w:rsidRPr="0018386D" w:rsidRDefault="00A94C3E" w:rsidP="00DD3106">
            <w:pPr>
              <w:pStyle w:val="TableText"/>
              <w:spacing w:before="40"/>
            </w:pPr>
            <w:r w:rsidRPr="0018386D">
              <w:t>per head</w:t>
            </w:r>
          </w:p>
        </w:tc>
        <w:tc>
          <w:tcPr>
            <w:tcW w:w="1258" w:type="dxa"/>
            <w:shd w:val="clear" w:color="000000" w:fill="D2DDE1"/>
            <w:noWrap/>
            <w:hideMark/>
          </w:tcPr>
          <w:p w14:paraId="47CEB802" w14:textId="4ED09297" w:rsidR="00A94C3E" w:rsidRPr="0018386D" w:rsidRDefault="00A94C3E" w:rsidP="00DD3106">
            <w:pPr>
              <w:pStyle w:val="TableText"/>
              <w:spacing w:before="40"/>
            </w:pPr>
            <w:r w:rsidRPr="0018386D">
              <w:t>0000</w:t>
            </w:r>
          </w:p>
        </w:tc>
        <w:tc>
          <w:tcPr>
            <w:tcW w:w="1134" w:type="dxa"/>
            <w:shd w:val="clear" w:color="000000" w:fill="FFFFFF"/>
            <w:noWrap/>
            <w:hideMark/>
          </w:tcPr>
          <w:p w14:paraId="6075FB91" w14:textId="77777777" w:rsidR="00A94C3E" w:rsidRPr="0018386D" w:rsidRDefault="00A94C3E" w:rsidP="00DD3106">
            <w:pPr>
              <w:pStyle w:val="TableText"/>
              <w:spacing w:before="40"/>
            </w:pPr>
            <w:r w:rsidRPr="0018386D">
              <w:t>n/a</w:t>
            </w:r>
          </w:p>
        </w:tc>
        <w:tc>
          <w:tcPr>
            <w:tcW w:w="1474" w:type="dxa"/>
            <w:shd w:val="clear" w:color="000000" w:fill="FFFFFF"/>
            <w:noWrap/>
            <w:hideMark/>
          </w:tcPr>
          <w:p w14:paraId="2940D786" w14:textId="591EA8FC" w:rsidR="00A94C3E" w:rsidRPr="0018386D" w:rsidRDefault="00A94C3E" w:rsidP="00DD3106">
            <w:pPr>
              <w:pStyle w:val="TableText"/>
              <w:spacing w:before="40"/>
            </w:pPr>
            <w:r w:rsidRPr="0018386D">
              <w:t>n/a</w:t>
            </w:r>
          </w:p>
        </w:tc>
        <w:tc>
          <w:tcPr>
            <w:tcW w:w="1474" w:type="dxa"/>
            <w:shd w:val="clear" w:color="000000" w:fill="FFFFFF"/>
            <w:noWrap/>
            <w:hideMark/>
          </w:tcPr>
          <w:p w14:paraId="3798EE19" w14:textId="77777777" w:rsidR="00A94C3E" w:rsidRPr="0018386D" w:rsidRDefault="00A94C3E" w:rsidP="00DD3106">
            <w:pPr>
              <w:pStyle w:val="TableText"/>
              <w:spacing w:before="40"/>
            </w:pPr>
            <w:r w:rsidRPr="0018386D">
              <w:t>n/a</w:t>
            </w:r>
          </w:p>
        </w:tc>
      </w:tr>
    </w:tbl>
    <w:p w14:paraId="7CBE3A19" w14:textId="2D3B75F3" w:rsidR="008A027F" w:rsidRPr="0018386D" w:rsidRDefault="008A027F" w:rsidP="00DD3106">
      <w:pPr>
        <w:pStyle w:val="Heading4"/>
        <w:numPr>
          <w:ilvl w:val="3"/>
          <w:numId w:val="8"/>
        </w:numPr>
        <w:spacing w:before="440"/>
        <w:ind w:left="1134" w:hanging="1134"/>
        <w:rPr>
          <w:rFonts w:eastAsia="Georgia" w:cs="Georgia"/>
          <w:color w:val="000000" w:themeColor="text1"/>
          <w:szCs w:val="24"/>
        </w:rPr>
      </w:pPr>
      <w:bookmarkStart w:id="918" w:name="_GHG_inventory_development_3"/>
      <w:bookmarkEnd w:id="918"/>
      <w:r w:rsidRPr="0018386D">
        <w:t>GHG inventory development</w:t>
      </w:r>
    </w:p>
    <w:p w14:paraId="7B970FD8" w14:textId="0845B9BA" w:rsidR="0083229C" w:rsidRPr="0018386D" w:rsidRDefault="00002769" w:rsidP="00DD3106">
      <w:pPr>
        <w:pStyle w:val="BodyText"/>
        <w:rPr>
          <w:lang w:eastAsia="en-US"/>
        </w:rPr>
      </w:pPr>
      <w:bookmarkStart w:id="919" w:name="_Hlk535495874"/>
      <w:r w:rsidRPr="0018386D">
        <w:rPr>
          <w:lang w:eastAsia="en-US"/>
        </w:rPr>
        <w:t xml:space="preserve">Organisations should collect data on the number and type of livestock </w:t>
      </w:r>
      <w:r w:rsidR="004D2F2E" w:rsidRPr="0018386D">
        <w:rPr>
          <w:lang w:eastAsia="en-US"/>
        </w:rPr>
        <w:t xml:space="preserve">as </w:t>
      </w:r>
      <w:proofErr w:type="gramStart"/>
      <w:r w:rsidR="004D2F2E" w:rsidRPr="0018386D">
        <w:rPr>
          <w:lang w:eastAsia="en-US"/>
        </w:rPr>
        <w:t>at</w:t>
      </w:r>
      <w:proofErr w:type="gramEnd"/>
      <w:r w:rsidR="004D2F2E" w:rsidRPr="0018386D">
        <w:rPr>
          <w:lang w:eastAsia="en-US"/>
        </w:rPr>
        <w:t xml:space="preserve"> 30 June </w:t>
      </w:r>
      <w:r w:rsidRPr="0018386D">
        <w:rPr>
          <w:lang w:eastAsia="en-US"/>
        </w:rPr>
        <w:t>during the</w:t>
      </w:r>
      <w:r w:rsidR="00BE64EE" w:rsidRPr="0018386D">
        <w:rPr>
          <w:lang w:eastAsia="en-US"/>
        </w:rPr>
        <w:t> </w:t>
      </w:r>
      <w:r w:rsidRPr="0018386D">
        <w:rPr>
          <w:lang w:eastAsia="en-US"/>
        </w:rPr>
        <w:t>measurement period</w:t>
      </w:r>
      <w:r w:rsidR="004D2F2E" w:rsidRPr="0018386D">
        <w:rPr>
          <w:lang w:eastAsia="en-US"/>
        </w:rPr>
        <w:t xml:space="preserve"> (regardless of whether the period is a calendar or financial year</w:t>
      </w:r>
      <w:r w:rsidR="00D94A1D" w:rsidRPr="0018386D">
        <w:rPr>
          <w:lang w:eastAsia="en-US"/>
        </w:rPr>
        <w:t>;</w:t>
      </w:r>
      <w:r w:rsidR="004D2F2E" w:rsidRPr="0018386D">
        <w:rPr>
          <w:lang w:eastAsia="en-US"/>
        </w:rPr>
        <w:t xml:space="preserve"> see</w:t>
      </w:r>
      <w:r w:rsidR="00BE64EE" w:rsidRPr="0018386D">
        <w:rPr>
          <w:lang w:eastAsia="en-US"/>
        </w:rPr>
        <w:t> </w:t>
      </w:r>
      <w:hyperlink w:anchor="_Enteric_fermentation">
        <w:r w:rsidR="39BAC7B7" w:rsidRPr="0018386D">
          <w:rPr>
            <w:rStyle w:val="Hyperlink"/>
            <w:rFonts w:eastAsia="Times New Roman"/>
            <w:lang w:eastAsia="en-US"/>
          </w:rPr>
          <w:t>section 11.3.1</w:t>
        </w:r>
      </w:hyperlink>
      <w:r w:rsidR="004D2F2E" w:rsidRPr="0018386D">
        <w:rPr>
          <w:lang w:eastAsia="en-US"/>
        </w:rPr>
        <w:t>)</w:t>
      </w:r>
      <w:r w:rsidRPr="0018386D">
        <w:rPr>
          <w:lang w:eastAsia="en-US"/>
        </w:rPr>
        <w:t xml:space="preserve"> to calculate emissions from enteric fermentation.</w:t>
      </w:r>
      <w:r w:rsidR="0083229C" w:rsidRPr="0018386D">
        <w:rPr>
          <w:lang w:eastAsia="en-US"/>
        </w:rPr>
        <w:t xml:space="preserve"> </w:t>
      </w:r>
    </w:p>
    <w:bookmarkEnd w:id="919"/>
    <w:p w14:paraId="6E2B7025" w14:textId="36B4E7A2" w:rsidR="000A2FDA" w:rsidRPr="0018386D" w:rsidRDefault="000A2FDA" w:rsidP="00DD3106">
      <w:pPr>
        <w:pStyle w:val="BodyText"/>
      </w:pPr>
      <w:r w:rsidRPr="0018386D">
        <w:t xml:space="preserve">Applying the equation </w:t>
      </w:r>
      <w:r w:rsidR="00D34302" w:rsidRPr="0018386D">
        <w:t>E</w:t>
      </w:r>
      <w:r w:rsidR="00B37794" w:rsidRPr="0018386D">
        <w:t xml:space="preserve"> </w:t>
      </w:r>
      <w:r w:rsidR="00D34302" w:rsidRPr="0018386D">
        <w:t>= Q x F</w:t>
      </w:r>
      <w:r w:rsidR="00080E17" w:rsidRPr="0018386D">
        <w:t xml:space="preserve"> </w:t>
      </w:r>
      <w:r w:rsidR="00D34302" w:rsidRPr="0018386D">
        <w:t>(</w:t>
      </w:r>
      <w:hyperlink w:anchor="_How_to_quantify" w:history="1">
        <w:r w:rsidR="00B176C6" w:rsidRPr="0018386D">
          <w:rPr>
            <w:rStyle w:val="Hyperlink"/>
          </w:rPr>
          <w:t>section 2</w:t>
        </w:r>
      </w:hyperlink>
      <w:r w:rsidR="00D34302" w:rsidRPr="0018386D">
        <w:rPr>
          <w:rStyle w:val="Hyperlink"/>
          <w:color w:val="auto"/>
        </w:rPr>
        <w:t>)</w:t>
      </w:r>
      <w:r w:rsidRPr="0018386D">
        <w:t>, this means:</w:t>
      </w:r>
    </w:p>
    <w:p w14:paraId="64BDDE23" w14:textId="3C86152D" w:rsidR="00D34302" w:rsidRPr="0018386D" w:rsidRDefault="00D34302"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756EC457" w14:textId="6755E1A1" w:rsidR="003A7B65" w:rsidRPr="0018386D" w:rsidRDefault="000F4C85" w:rsidP="00DD3106">
      <w:pPr>
        <w:pStyle w:val="BodyText"/>
        <w:tabs>
          <w:tab w:val="left" w:pos="680"/>
          <w:tab w:val="left" w:pos="1134"/>
        </w:tabs>
        <w:contextualSpacing/>
      </w:pPr>
      <w:r w:rsidRPr="0018386D">
        <w:t>Q</w:t>
      </w:r>
      <w:r w:rsidRPr="0018386D">
        <w:tab/>
        <w:t>=</w:t>
      </w:r>
      <w:r w:rsidRPr="0018386D">
        <w:tab/>
      </w:r>
      <w:r w:rsidR="00512236" w:rsidRPr="0018386D">
        <w:t>number</w:t>
      </w:r>
      <w:r w:rsidR="003A7B65" w:rsidRPr="0018386D">
        <w:t xml:space="preserve"> of animals (per head</w:t>
      </w:r>
      <w:r w:rsidR="004D2F2E" w:rsidRPr="0018386D">
        <w:t xml:space="preserve"> per </w:t>
      </w:r>
      <w:r w:rsidR="0020720F" w:rsidRPr="0018386D">
        <w:t>livestock</w:t>
      </w:r>
      <w:r w:rsidR="00512236" w:rsidRPr="0018386D">
        <w:t xml:space="preserve"> </w:t>
      </w:r>
      <w:r w:rsidR="004D2F2E" w:rsidRPr="0018386D">
        <w:t>type</w:t>
      </w:r>
      <w:r w:rsidR="003A7B65" w:rsidRPr="0018386D">
        <w:t>)</w:t>
      </w:r>
    </w:p>
    <w:p w14:paraId="356F2934" w14:textId="7272D50B" w:rsidR="003A7B65" w:rsidRPr="0018386D" w:rsidRDefault="000F4C85" w:rsidP="00DD3106">
      <w:pPr>
        <w:pStyle w:val="BodyText"/>
        <w:tabs>
          <w:tab w:val="left" w:pos="680"/>
          <w:tab w:val="left" w:pos="1134"/>
        </w:tabs>
        <w:spacing w:after="240"/>
        <w:contextualSpacing/>
      </w:pPr>
      <w:r w:rsidRPr="0018386D">
        <w:t>F</w:t>
      </w:r>
      <w:r w:rsidRPr="0018386D">
        <w:tab/>
        <w:t>=</w:t>
      </w:r>
      <w:r w:rsidRPr="0018386D">
        <w:tab/>
      </w:r>
      <w:r w:rsidR="003A7B65" w:rsidRPr="0018386D">
        <w:t xml:space="preserve">appropriate emission factors </w:t>
      </w:r>
      <w:r w:rsidR="006E6D05" w:rsidRPr="0018386D">
        <w:t>from</w:t>
      </w:r>
      <w:r w:rsidR="00B176C6" w:rsidRPr="0018386D">
        <w:t xml:space="preserve"> </w:t>
      </w:r>
      <w:hyperlink w:anchor="Table84" w:history="1">
        <w:r w:rsidR="00B96E17" w:rsidRPr="0018386D">
          <w:rPr>
            <w:rStyle w:val="Hyperlink"/>
          </w:rPr>
          <w:t>table 84</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E45D6F" w:rsidRPr="0018386D" w14:paraId="781EAB8F" w14:textId="77777777" w:rsidTr="00040137">
        <w:tc>
          <w:tcPr>
            <w:tcW w:w="8505" w:type="dxa"/>
            <w:tcBorders>
              <w:top w:val="single" w:sz="4" w:space="0" w:color="0F7B7D"/>
              <w:left w:val="single" w:sz="4" w:space="0" w:color="0F7B7D"/>
              <w:bottom w:val="nil"/>
              <w:right w:val="single" w:sz="4" w:space="0" w:color="0F7B7D"/>
            </w:tcBorders>
            <w:shd w:val="clear" w:color="auto" w:fill="0F7B7D"/>
            <w:vAlign w:val="center"/>
          </w:tcPr>
          <w:p w14:paraId="50B62E65" w14:textId="4572DE5E" w:rsidR="00002769" w:rsidRPr="0018386D" w:rsidDel="00D5390D" w:rsidRDefault="00E433ED" w:rsidP="00DD3106">
            <w:pPr>
              <w:pStyle w:val="Casestudyheading"/>
            </w:pPr>
            <w:bookmarkStart w:id="920" w:name="_Hlk535495535"/>
            <w:r w:rsidRPr="0018386D">
              <w:t xml:space="preserve">ENTERIC FERMENTATION: </w:t>
            </w:r>
            <w:r w:rsidR="00002769" w:rsidRPr="0018386D">
              <w:t>Example Calculation</w:t>
            </w:r>
          </w:p>
        </w:tc>
      </w:tr>
      <w:tr w:rsidR="00E45D6F" w:rsidRPr="0018386D" w14:paraId="48A2E067" w14:textId="77777777" w:rsidTr="00040137">
        <w:tc>
          <w:tcPr>
            <w:tcW w:w="8505"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BA8891B" w14:textId="4C870535" w:rsidR="00002769" w:rsidRPr="0018386D" w:rsidRDefault="00002769" w:rsidP="00DD3106">
            <w:pPr>
              <w:pStyle w:val="Boxtext"/>
              <w:spacing w:after="80"/>
            </w:pPr>
            <w:r w:rsidRPr="0018386D">
              <w:t xml:space="preserve">An organisation owns </w:t>
            </w:r>
            <w:r w:rsidR="00B96256" w:rsidRPr="0018386D">
              <w:t>2</w:t>
            </w:r>
            <w:r w:rsidR="00461DAD" w:rsidRPr="0018386D">
              <w:t>,</w:t>
            </w:r>
            <w:r w:rsidR="00B96256" w:rsidRPr="0018386D">
              <w:t>400</w:t>
            </w:r>
            <w:r w:rsidRPr="0018386D">
              <w:t xml:space="preserve"> sheep and </w:t>
            </w:r>
            <w:r w:rsidR="00B96256" w:rsidRPr="0018386D">
              <w:t>210</w:t>
            </w:r>
            <w:r w:rsidRPr="0018386D">
              <w:t xml:space="preserve"> dairy cows </w:t>
            </w:r>
            <w:r w:rsidR="00E5562F" w:rsidRPr="0018386D">
              <w:t xml:space="preserve">on 30 June </w:t>
            </w:r>
            <w:r w:rsidRPr="0018386D">
              <w:t>during the reporting period. They graze on land owned by the organisation.</w:t>
            </w:r>
          </w:p>
          <w:p w14:paraId="1BA0A9E7" w14:textId="6C0F2333" w:rsidR="00002769" w:rsidRPr="0018386D" w:rsidRDefault="00002769" w:rsidP="00DD3106">
            <w:pPr>
              <w:pStyle w:val="Boxtext"/>
              <w:tabs>
                <w:tab w:val="left" w:pos="3014"/>
              </w:tabs>
              <w:spacing w:before="20" w:after="20"/>
              <w:ind w:left="850"/>
            </w:pPr>
            <w:r w:rsidRPr="0018386D">
              <w:t>CO</w:t>
            </w:r>
            <w:r w:rsidRPr="0018386D">
              <w:rPr>
                <w:vertAlign w:val="subscript"/>
              </w:rPr>
              <w:t>2</w:t>
            </w:r>
            <w:r w:rsidRPr="0018386D">
              <w:t xml:space="preserve"> emissions </w:t>
            </w:r>
            <w:r w:rsidRPr="0018386D">
              <w:tab/>
              <w:t>= 0</w:t>
            </w:r>
          </w:p>
          <w:p w14:paraId="7DA2B544" w14:textId="67E3D910" w:rsidR="00002769" w:rsidRPr="0018386D" w:rsidRDefault="00002769" w:rsidP="00DD3106">
            <w:pPr>
              <w:pStyle w:val="Boxtext"/>
              <w:tabs>
                <w:tab w:val="left" w:pos="3014"/>
              </w:tabs>
              <w:spacing w:before="20" w:after="20"/>
              <w:ind w:left="850"/>
            </w:pPr>
            <w:r w:rsidRPr="0018386D">
              <w:t>CH</w:t>
            </w:r>
            <w:r w:rsidRPr="0018386D">
              <w:rPr>
                <w:vertAlign w:val="subscript"/>
              </w:rPr>
              <w:t>4</w:t>
            </w:r>
            <w:r w:rsidRPr="0018386D">
              <w:t xml:space="preserve"> emissions </w:t>
            </w:r>
            <w:r w:rsidRPr="0018386D">
              <w:tab/>
              <w:t>= (</w:t>
            </w:r>
            <w:r w:rsidR="00B96256" w:rsidRPr="0018386D">
              <w:t>2</w:t>
            </w:r>
            <w:r w:rsidR="00DC039C" w:rsidRPr="0018386D">
              <w:t>,</w:t>
            </w:r>
            <w:r w:rsidR="00B96256" w:rsidRPr="0018386D">
              <w:t>400</w:t>
            </w:r>
            <w:r w:rsidR="00E5562F" w:rsidRPr="0018386D">
              <w:t xml:space="preserve"> </w:t>
            </w:r>
            <w:r w:rsidRPr="0018386D">
              <w:t>×</w:t>
            </w:r>
            <w:r w:rsidR="00E5562F" w:rsidRPr="0018386D">
              <w:t xml:space="preserve"> </w:t>
            </w:r>
            <w:r w:rsidR="2904F50E" w:rsidRPr="0018386D">
              <w:t>349</w:t>
            </w:r>
            <w:r w:rsidRPr="0018386D">
              <w:t>) + (</w:t>
            </w:r>
            <w:r w:rsidR="00B96256" w:rsidRPr="0018386D">
              <w:t>210</w:t>
            </w:r>
            <w:r w:rsidR="00E5562F" w:rsidRPr="0018386D">
              <w:t xml:space="preserve"> </w:t>
            </w:r>
            <w:r w:rsidRPr="0018386D">
              <w:t>×</w:t>
            </w:r>
            <w:r w:rsidR="00E5562F" w:rsidRPr="0018386D">
              <w:t xml:space="preserve"> </w:t>
            </w:r>
            <w:r w:rsidR="009675E8" w:rsidRPr="0018386D">
              <w:t>2,</w:t>
            </w:r>
            <w:r w:rsidR="384E2182" w:rsidRPr="0018386D">
              <w:t>423</w:t>
            </w:r>
            <w:r w:rsidRPr="0018386D">
              <w:t xml:space="preserve">) = </w:t>
            </w:r>
            <w:r w:rsidR="009675E8" w:rsidRPr="0018386D">
              <w:t>1,</w:t>
            </w:r>
            <w:r w:rsidR="25C41647" w:rsidRPr="0018386D">
              <w:t>346,430</w:t>
            </w:r>
            <w:r w:rsidR="00D44A8C" w:rsidRPr="0018386D">
              <w:t xml:space="preserve"> </w:t>
            </w:r>
            <w:r w:rsidRPr="0018386D">
              <w:t>kg CO</w:t>
            </w:r>
            <w:r w:rsidRPr="0018386D">
              <w:rPr>
                <w:vertAlign w:val="subscript"/>
              </w:rPr>
              <w:t>2</w:t>
            </w:r>
            <w:r w:rsidRPr="0018386D">
              <w:t xml:space="preserve">-e </w:t>
            </w:r>
          </w:p>
          <w:p w14:paraId="6610F44D" w14:textId="1E49E2A5" w:rsidR="00002769" w:rsidRPr="0018386D" w:rsidRDefault="00002769" w:rsidP="00DD3106">
            <w:pPr>
              <w:pStyle w:val="Boxtext"/>
              <w:tabs>
                <w:tab w:val="left" w:pos="3014"/>
              </w:tabs>
              <w:spacing w:before="20" w:after="20"/>
              <w:ind w:left="850"/>
            </w:pPr>
            <w:r w:rsidRPr="0018386D">
              <w:t>N</w:t>
            </w:r>
            <w:r w:rsidRPr="0018386D">
              <w:rPr>
                <w:vertAlign w:val="subscript"/>
              </w:rPr>
              <w:t>2</w:t>
            </w:r>
            <w:r w:rsidRPr="0018386D">
              <w:t xml:space="preserve">O emissions </w:t>
            </w:r>
            <w:r w:rsidRPr="0018386D">
              <w:tab/>
              <w:t>= 0</w:t>
            </w:r>
          </w:p>
          <w:p w14:paraId="11620573" w14:textId="2B0B2E6E" w:rsidR="00002769" w:rsidRPr="0018386D" w:rsidRDefault="00002769" w:rsidP="00DD3106">
            <w:pPr>
              <w:pStyle w:val="Boxtext"/>
              <w:tabs>
                <w:tab w:val="left" w:pos="3014"/>
              </w:tabs>
              <w:spacing w:before="20" w:after="20"/>
              <w:ind w:left="850"/>
            </w:pPr>
            <w:r w:rsidRPr="0018386D">
              <w:t>Total CO</w:t>
            </w:r>
            <w:r w:rsidRPr="0018386D">
              <w:rPr>
                <w:vertAlign w:val="subscript"/>
              </w:rPr>
              <w:t>2</w:t>
            </w:r>
            <w:r w:rsidRPr="0018386D">
              <w:t xml:space="preserve">-e emissions </w:t>
            </w:r>
            <w:r w:rsidRPr="0018386D">
              <w:tab/>
              <w:t xml:space="preserve">= </w:t>
            </w:r>
            <w:r w:rsidR="0021413F" w:rsidRPr="0018386D">
              <w:t>1,</w:t>
            </w:r>
            <w:r w:rsidR="491AB0D8" w:rsidRPr="0018386D">
              <w:t>346,430</w:t>
            </w:r>
            <w:r w:rsidRPr="0018386D">
              <w:t xml:space="preserve"> kg CO</w:t>
            </w:r>
            <w:r w:rsidRPr="0018386D">
              <w:rPr>
                <w:vertAlign w:val="subscript"/>
              </w:rPr>
              <w:t>2</w:t>
            </w:r>
            <w:r w:rsidRPr="0018386D">
              <w:t>-e</w:t>
            </w:r>
          </w:p>
          <w:p w14:paraId="33791EE4" w14:textId="1D626752" w:rsidR="004D2F2E" w:rsidRPr="0018386D" w:rsidRDefault="004D2F2E" w:rsidP="00DD3106">
            <w:pPr>
              <w:pStyle w:val="Boxtext"/>
              <w:spacing w:after="180"/>
              <w:rPr>
                <w:sz w:val="18"/>
                <w:szCs w:val="18"/>
              </w:rPr>
            </w:pPr>
            <w:r w:rsidRPr="0018386D">
              <w:rPr>
                <w:sz w:val="18"/>
                <w:szCs w:val="18"/>
              </w:rPr>
              <w:t>Note</w:t>
            </w:r>
            <w:r w:rsidR="00E433ED" w:rsidRPr="0018386D">
              <w:rPr>
                <w:sz w:val="18"/>
                <w:szCs w:val="18"/>
              </w:rPr>
              <w:t>: N</w:t>
            </w:r>
            <w:r w:rsidRPr="0018386D">
              <w:rPr>
                <w:sz w:val="18"/>
                <w:szCs w:val="18"/>
              </w:rPr>
              <w:t>umbers may not add due to rounding</w:t>
            </w:r>
            <w:r w:rsidR="00A0044D" w:rsidRPr="0018386D">
              <w:rPr>
                <w:sz w:val="18"/>
                <w:szCs w:val="18"/>
              </w:rPr>
              <w:t>.</w:t>
            </w:r>
          </w:p>
        </w:tc>
      </w:tr>
    </w:tbl>
    <w:bookmarkEnd w:id="920"/>
    <w:p w14:paraId="1C92E9AC" w14:textId="57487D9E" w:rsidR="003A7B65" w:rsidRPr="0018386D" w:rsidRDefault="0021413F" w:rsidP="00DD3106">
      <w:pPr>
        <w:pStyle w:val="Heading5"/>
      </w:pPr>
      <w:r w:rsidRPr="0018386D">
        <w:t>Implied</w:t>
      </w:r>
      <w:bookmarkStart w:id="921" w:name="_Ref535495849"/>
      <w:r w:rsidRPr="0018386D">
        <w:t xml:space="preserve"> </w:t>
      </w:r>
      <w:r w:rsidR="00480A20" w:rsidRPr="0018386D">
        <w:t>e</w:t>
      </w:r>
      <w:r w:rsidR="003A7B65" w:rsidRPr="0018386D">
        <w:t>mission factor derivation methodology</w:t>
      </w:r>
      <w:bookmarkEnd w:id="921"/>
    </w:p>
    <w:p w14:paraId="4BD835A0" w14:textId="35E6E325" w:rsidR="2E552419" w:rsidRPr="0018386D" w:rsidRDefault="00C7627E" w:rsidP="00DD3106">
      <w:pPr>
        <w:pStyle w:val="BodyText"/>
        <w:spacing w:after="240"/>
        <w:rPr>
          <w:color w:val="000000" w:themeColor="text1"/>
        </w:rPr>
      </w:pPr>
      <w:hyperlink r:id="rId140" w:history="1">
        <w:r w:rsidR="2E552419" w:rsidRPr="0018386D">
          <w:rPr>
            <w:rStyle w:val="Hyperlink"/>
            <w:rFonts w:eastAsia="Calibri" w:cs="Calibri"/>
            <w:i/>
            <w:iCs/>
          </w:rPr>
          <w:t xml:space="preserve">New Zealand’s </w:t>
        </w:r>
        <w:r w:rsidR="2E552419" w:rsidRPr="0018386D">
          <w:rPr>
            <w:rStyle w:val="Hyperlink"/>
            <w:rFonts w:eastAsia="Calibri" w:cs="Calibri"/>
            <w:i/>
          </w:rPr>
          <w:t>Greenhouse Gas Inventory 1990–2021</w:t>
        </w:r>
      </w:hyperlink>
      <w:r w:rsidR="2E552419" w:rsidRPr="0018386D">
        <w:rPr>
          <w:i/>
        </w:rPr>
        <w:t xml:space="preserve"> </w:t>
      </w:r>
      <w:r w:rsidR="2E552419" w:rsidRPr="0018386D">
        <w:t xml:space="preserve">publishes total emissions for enteric fermentation per livestock type, along with population numbers. The Ministry </w:t>
      </w:r>
      <w:r w:rsidR="00480A20" w:rsidRPr="0018386D">
        <w:t>for</w:t>
      </w:r>
      <w:r w:rsidR="2E552419" w:rsidRPr="0018386D">
        <w:t xml:space="preserve"> Primary Industries </w:t>
      </w:r>
      <w:r w:rsidR="00480A20" w:rsidRPr="0018386D">
        <w:t xml:space="preserve">(MPI) </w:t>
      </w:r>
      <w:r w:rsidR="2E552419" w:rsidRPr="0018386D">
        <w:rPr>
          <w:color w:val="000000" w:themeColor="text1"/>
        </w:rPr>
        <w:t xml:space="preserve">publishes total emissions for enteric fermentation per </w:t>
      </w:r>
      <w:r w:rsidR="2E552419" w:rsidRPr="0018386D">
        <w:t>livestock</w:t>
      </w:r>
      <w:r w:rsidR="2E552419" w:rsidRPr="0018386D">
        <w:rPr>
          <w:color w:val="000000" w:themeColor="text1"/>
        </w:rPr>
        <w:t xml:space="preserve"> type, along with population numbers. MPI supplied these same data for the creation of implied emission factors. We used this information to calculate the emission factors based on the following equation: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8A344A" w:rsidRPr="0018386D" w14:paraId="1E9ECC92" w14:textId="77777777" w:rsidTr="00040137">
        <w:tc>
          <w:tcPr>
            <w:tcW w:w="0" w:type="auto"/>
            <w:shd w:val="clear" w:color="auto" w:fill="D2DDE1" w:themeFill="background2"/>
          </w:tcPr>
          <w:p w14:paraId="368B71F0" w14:textId="0094AE15" w:rsidR="008A344A" w:rsidRPr="0018386D" w:rsidRDefault="00CB2F76" w:rsidP="00DD3106">
            <w:pPr>
              <w:pStyle w:val="Blueboxtext"/>
              <w:spacing w:before="240" w:after="160"/>
            </w:pPr>
            <m:oMathPara>
              <m:oMathParaPr>
                <m:jc m:val="center"/>
              </m:oMathParaPr>
              <m:oMath>
                <m:r>
                  <w:rPr>
                    <w:rFonts w:ascii="Cambria Math" w:hAnsi="Cambria Math"/>
                  </w:rPr>
                  <m:t>Implied emission factor per animal=</m:t>
                </m:r>
                <m:f>
                  <m:fPr>
                    <m:ctrlPr>
                      <w:rPr>
                        <w:rFonts w:ascii="Cambria Math" w:hAnsi="Cambria Math"/>
                        <w:i/>
                      </w:rPr>
                    </m:ctrlPr>
                  </m:fPr>
                  <m:num>
                    <m:r>
                      <w:rPr>
                        <w:rFonts w:ascii="Cambria Math" w:hAnsi="Cambria Math"/>
                      </w:rPr>
                      <m:t>enteric fermentation</m:t>
                    </m:r>
                  </m:num>
                  <m:den>
                    <m:r>
                      <w:rPr>
                        <w:rFonts w:ascii="Cambria Math" w:hAnsi="Cambria Math"/>
                      </w:rPr>
                      <m:t>population</m:t>
                    </m:r>
                  </m:den>
                </m:f>
              </m:oMath>
            </m:oMathPara>
          </w:p>
        </w:tc>
      </w:tr>
    </w:tbl>
    <w:p w14:paraId="58BC526D" w14:textId="7FDBBF85" w:rsidR="003A7B65" w:rsidRPr="0018386D" w:rsidRDefault="003A7B65" w:rsidP="00DD3106">
      <w:pPr>
        <w:pStyle w:val="BodyText"/>
        <w:spacing w:before="240"/>
      </w:pPr>
      <w:r w:rsidRPr="0018386D">
        <w:t xml:space="preserve">Note that the emission factors are based on data supplied for </w:t>
      </w:r>
      <w:hyperlink r:id="rId141" w:history="1">
        <w:hyperlink r:id="rId142" w:history="1">
          <w:r w:rsidR="38CF75AD" w:rsidRPr="0018386D">
            <w:rPr>
              <w:rStyle w:val="Hyperlink"/>
              <w:i/>
            </w:rPr>
            <w:t>New Zealand</w:t>
          </w:r>
          <w:r w:rsidR="00480A20" w:rsidRPr="0018386D">
            <w:rPr>
              <w:rStyle w:val="Hyperlink"/>
              <w:i/>
            </w:rPr>
            <w:t>’s</w:t>
          </w:r>
          <w:r w:rsidR="38CF75AD" w:rsidRPr="0018386D">
            <w:rPr>
              <w:rStyle w:val="Hyperlink"/>
              <w:i/>
            </w:rPr>
            <w:t xml:space="preserve"> Greenhouse Gas Inventory 1990</w:t>
          </w:r>
          <w:r w:rsidR="00480A20" w:rsidRPr="0018386D">
            <w:rPr>
              <w:rStyle w:val="Hyperlink"/>
              <w:i/>
            </w:rPr>
            <w:t>–</w:t>
          </w:r>
          <w:r w:rsidR="38CF75AD" w:rsidRPr="0018386D">
            <w:rPr>
              <w:rStyle w:val="Hyperlink"/>
              <w:i/>
            </w:rPr>
            <w:t>202</w:t>
          </w:r>
          <w:r w:rsidR="00334DBE" w:rsidRPr="0018386D">
            <w:rPr>
              <w:rStyle w:val="Hyperlink"/>
              <w:i/>
            </w:rPr>
            <w:t>1</w:t>
          </w:r>
        </w:hyperlink>
      </w:hyperlink>
      <w:r w:rsidR="00480A20" w:rsidRPr="0018386D">
        <w:t>.</w:t>
      </w:r>
    </w:p>
    <w:p w14:paraId="7B2BA522" w14:textId="0A529934" w:rsidR="003A7B65" w:rsidRPr="0018386D" w:rsidRDefault="00E433ED" w:rsidP="00DD3106">
      <w:pPr>
        <w:pStyle w:val="BodyText"/>
      </w:pPr>
      <w:r w:rsidRPr="0018386D">
        <w:t>T</w:t>
      </w:r>
      <w:r w:rsidR="003A7B65" w:rsidRPr="0018386D">
        <w:t>o ensure consistency</w:t>
      </w:r>
      <w:r w:rsidR="00FC334F" w:rsidRPr="0018386D">
        <w:t>,</w:t>
      </w:r>
      <w:r w:rsidR="003A7B65" w:rsidRPr="0018386D">
        <w:t xml:space="preserve"> organisations should report their population of </w:t>
      </w:r>
      <w:r w:rsidR="00FC334F" w:rsidRPr="0018386D">
        <w:t xml:space="preserve">livestock </w:t>
      </w:r>
      <w:r w:rsidR="003A7B65" w:rsidRPr="0018386D">
        <w:t xml:space="preserve">as </w:t>
      </w:r>
      <w:proofErr w:type="gramStart"/>
      <w:r w:rsidR="003A7B65" w:rsidRPr="0018386D">
        <w:t>at</w:t>
      </w:r>
      <w:proofErr w:type="gramEnd"/>
      <w:r w:rsidR="003A7B65" w:rsidRPr="0018386D">
        <w:t xml:space="preserve"> 30 June</w:t>
      </w:r>
      <w:r w:rsidR="00FC334F" w:rsidRPr="0018386D">
        <w:t>, regardless of</w:t>
      </w:r>
      <w:r w:rsidR="008A344A" w:rsidRPr="0018386D">
        <w:t> </w:t>
      </w:r>
      <w:r w:rsidR="00FC334F" w:rsidRPr="0018386D">
        <w:t>the measurement period</w:t>
      </w:r>
      <w:r w:rsidR="003A7B65" w:rsidRPr="0018386D">
        <w:t>.</w:t>
      </w:r>
    </w:p>
    <w:p w14:paraId="11311768" w14:textId="2D4E400E" w:rsidR="003A5964" w:rsidRPr="0018386D" w:rsidRDefault="003A7B65" w:rsidP="00DD3106">
      <w:pPr>
        <w:pStyle w:val="BodyText"/>
      </w:pPr>
      <w:r w:rsidRPr="0018386D">
        <w:t>MPI define</w:t>
      </w:r>
      <w:r w:rsidR="00E433ED" w:rsidRPr="0018386D">
        <w:t>s</w:t>
      </w:r>
      <w:r w:rsidRPr="0018386D">
        <w:t xml:space="preserve"> non-dairy cattle </w:t>
      </w:r>
      <w:r w:rsidR="00FC334F" w:rsidRPr="0018386D">
        <w:t xml:space="preserve">as </w:t>
      </w:r>
      <w:r w:rsidRPr="0018386D">
        <w:t>beef breeds of cattle, including dairy-beef, as we</w:t>
      </w:r>
      <w:r w:rsidR="00EC464E" w:rsidRPr="0018386D">
        <w:t>ll as any beef breeding stock.</w:t>
      </w:r>
    </w:p>
    <w:p w14:paraId="26694038" w14:textId="19833A4B" w:rsidR="003A7B65" w:rsidRPr="0018386D" w:rsidRDefault="005D328D" w:rsidP="00DD3106">
      <w:pPr>
        <w:pStyle w:val="Tableheading"/>
      </w:pPr>
      <w:bookmarkStart w:id="922" w:name="_Toc111536697"/>
      <w:bookmarkStart w:id="923" w:name="_Toc140049025"/>
      <w:r w:rsidRPr="0018386D">
        <w:t xml:space="preserve">Table </w:t>
      </w:r>
      <w:r w:rsidRPr="0018386D">
        <w:fldChar w:fldCharType="begin"/>
      </w:r>
      <w:r w:rsidRPr="0018386D">
        <w:instrText>SEQ Table \* ARABIC</w:instrText>
      </w:r>
      <w:r w:rsidRPr="0018386D">
        <w:fldChar w:fldCharType="separate"/>
      </w:r>
      <w:r w:rsidR="00BA3273" w:rsidRPr="0018386D">
        <w:t>85</w:t>
      </w:r>
      <w:r w:rsidRPr="0018386D">
        <w:fldChar w:fldCharType="end"/>
      </w:r>
      <w:r w:rsidRPr="0018386D">
        <w:t>:</w:t>
      </w:r>
      <w:r w:rsidRPr="0018386D">
        <w:tab/>
      </w:r>
      <w:r w:rsidR="00FC334F" w:rsidRPr="0018386D">
        <w:t>Enteric fermentation figures per livestock type</w:t>
      </w:r>
      <w:bookmarkEnd w:id="922"/>
      <w:bookmarkEnd w:id="923"/>
    </w:p>
    <w:tbl>
      <w:tblPr>
        <w:tblStyle w:val="LightList-Accent11"/>
        <w:tblW w:w="8505" w:type="dxa"/>
        <w:tblInd w:w="20" w:type="dxa"/>
        <w:tblLook w:val="04A0" w:firstRow="1" w:lastRow="0" w:firstColumn="1" w:lastColumn="0" w:noHBand="0" w:noVBand="1"/>
      </w:tblPr>
      <w:tblGrid>
        <w:gridCol w:w="1678"/>
        <w:gridCol w:w="1856"/>
        <w:gridCol w:w="4971"/>
      </w:tblGrid>
      <w:tr w:rsidR="003A7B65" w:rsidRPr="0018386D" w14:paraId="19F4735A" w14:textId="77777777" w:rsidTr="007B76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8" w:type="dxa"/>
            <w:tcBorders>
              <w:bottom w:val="single" w:sz="8" w:space="0" w:color="1C556C" w:themeColor="accent1"/>
            </w:tcBorders>
            <w:shd w:val="clear" w:color="auto" w:fill="1B556B" w:themeFill="text2"/>
            <w:vAlign w:val="bottom"/>
          </w:tcPr>
          <w:p w14:paraId="2ED163E2" w14:textId="77777777" w:rsidR="003A7B65" w:rsidRPr="0018386D" w:rsidRDefault="003A7B65" w:rsidP="00DD3106">
            <w:pPr>
              <w:pStyle w:val="TableText"/>
              <w:spacing w:before="40" w:after="40"/>
              <w:rPr>
                <w:szCs w:val="18"/>
              </w:rPr>
            </w:pPr>
            <w:r w:rsidRPr="0018386D">
              <w:rPr>
                <w:szCs w:val="18"/>
              </w:rPr>
              <w:t>Animal</w:t>
            </w:r>
          </w:p>
        </w:tc>
        <w:tc>
          <w:tcPr>
            <w:tcW w:w="1856" w:type="dxa"/>
            <w:shd w:val="clear" w:color="auto" w:fill="1B556B" w:themeFill="text2"/>
            <w:vAlign w:val="bottom"/>
          </w:tcPr>
          <w:p w14:paraId="31F1B024" w14:textId="73D2C1CC" w:rsidR="003A7B65" w:rsidRPr="0018386D" w:rsidRDefault="00296A5B"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18386D">
              <w:t xml:space="preserve">2021 </w:t>
            </w:r>
            <w:r w:rsidR="00E433ED" w:rsidRPr="0018386D">
              <w:t>p</w:t>
            </w:r>
            <w:r w:rsidR="003A7B65" w:rsidRPr="0018386D">
              <w:t>opulation</w:t>
            </w:r>
          </w:p>
        </w:tc>
        <w:tc>
          <w:tcPr>
            <w:tcW w:w="4971" w:type="dxa"/>
            <w:tcBorders>
              <w:bottom w:val="single" w:sz="8" w:space="0" w:color="1C556C" w:themeColor="accent1"/>
            </w:tcBorders>
            <w:shd w:val="clear" w:color="auto" w:fill="1B556B" w:themeFill="text2"/>
            <w:vAlign w:val="bottom"/>
          </w:tcPr>
          <w:p w14:paraId="1FFF2328" w14:textId="770B7EC6" w:rsidR="003A7B65" w:rsidRPr="0018386D" w:rsidRDefault="00FC334F"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18386D">
              <w:t>E</w:t>
            </w:r>
            <w:r w:rsidR="003A7B65" w:rsidRPr="0018386D">
              <w:t xml:space="preserve">nteric </w:t>
            </w:r>
            <w:r w:rsidRPr="0018386D">
              <w:t xml:space="preserve">fermentation emissions </w:t>
            </w:r>
            <w:r w:rsidR="003A7B65" w:rsidRPr="0018386D">
              <w:t xml:space="preserve">in </w:t>
            </w:r>
            <w:r w:rsidR="00296A5B" w:rsidRPr="0018386D">
              <w:t xml:space="preserve">2021 </w:t>
            </w:r>
            <w:r w:rsidR="003A7B65" w:rsidRPr="0018386D">
              <w:t>(kt CH</w:t>
            </w:r>
            <w:r w:rsidR="003A7B65" w:rsidRPr="0018386D">
              <w:rPr>
                <w:vertAlign w:val="subscript"/>
              </w:rPr>
              <w:t>4</w:t>
            </w:r>
            <w:r w:rsidR="003A7B65" w:rsidRPr="0018386D">
              <w:t>)</w:t>
            </w:r>
            <w:r w:rsidR="00822BA4" w:rsidRPr="0018386D">
              <w:t xml:space="preserve"> </w:t>
            </w:r>
            <w:r w:rsidR="00AF3AAE" w:rsidRPr="0018386D">
              <w:t>(</w:t>
            </w:r>
            <w:r w:rsidR="00D03100" w:rsidRPr="0018386D">
              <w:t xml:space="preserve">as </w:t>
            </w:r>
            <w:r w:rsidR="00AF3AAE" w:rsidRPr="0018386D">
              <w:t>GHG)</w:t>
            </w:r>
          </w:p>
        </w:tc>
      </w:tr>
      <w:tr w:rsidR="00586C36" w:rsidRPr="0018386D" w14:paraId="0B11F068" w14:textId="77777777" w:rsidTr="007B7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left w:val="nil"/>
            </w:tcBorders>
          </w:tcPr>
          <w:p w14:paraId="51F9F18D" w14:textId="77777777" w:rsidR="00586C36" w:rsidRPr="0018386D" w:rsidRDefault="00586C36" w:rsidP="00DD3106">
            <w:pPr>
              <w:pStyle w:val="TableText"/>
              <w:spacing w:before="40" w:after="40"/>
              <w:rPr>
                <w:b w:val="0"/>
                <w:szCs w:val="18"/>
              </w:rPr>
            </w:pPr>
            <w:r w:rsidRPr="0018386D">
              <w:rPr>
                <w:b w:val="0"/>
                <w:szCs w:val="18"/>
              </w:rPr>
              <w:t>Dairy cattle</w:t>
            </w:r>
          </w:p>
        </w:tc>
        <w:tc>
          <w:tcPr>
            <w:tcW w:w="1856" w:type="dxa"/>
            <w:shd w:val="clear" w:color="auto" w:fill="auto"/>
            <w:vAlign w:val="bottom"/>
          </w:tcPr>
          <w:p w14:paraId="7CB48E5A" w14:textId="0F0B7B20"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6,185,435</w:t>
            </w:r>
          </w:p>
        </w:tc>
        <w:tc>
          <w:tcPr>
            <w:tcW w:w="4971" w:type="dxa"/>
            <w:tcBorders>
              <w:right w:val="nil"/>
            </w:tcBorders>
          </w:tcPr>
          <w:p w14:paraId="35C6149F" w14:textId="467F4494"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535.30</w:t>
            </w:r>
          </w:p>
        </w:tc>
      </w:tr>
      <w:tr w:rsidR="00586C36" w:rsidRPr="0018386D" w14:paraId="68620D85" w14:textId="77777777" w:rsidTr="007B7660">
        <w:tc>
          <w:tcPr>
            <w:cnfStyle w:val="001000000000" w:firstRow="0" w:lastRow="0" w:firstColumn="1" w:lastColumn="0" w:oddVBand="0" w:evenVBand="0" w:oddHBand="0" w:evenHBand="0" w:firstRowFirstColumn="0" w:firstRowLastColumn="0" w:lastRowFirstColumn="0" w:lastRowLastColumn="0"/>
            <w:tcW w:w="1678" w:type="dxa"/>
            <w:tcBorders>
              <w:top w:val="single" w:sz="8" w:space="0" w:color="1C556C" w:themeColor="accent1"/>
              <w:left w:val="nil"/>
              <w:bottom w:val="single" w:sz="8" w:space="0" w:color="1C556C" w:themeColor="accent1"/>
            </w:tcBorders>
          </w:tcPr>
          <w:p w14:paraId="4A4074B0" w14:textId="37C1D7F8" w:rsidR="00586C36" w:rsidRPr="0018386D" w:rsidRDefault="00586C36" w:rsidP="00DD3106">
            <w:pPr>
              <w:pStyle w:val="TableText"/>
              <w:spacing w:before="40" w:after="40"/>
              <w:rPr>
                <w:b w:val="0"/>
                <w:szCs w:val="18"/>
              </w:rPr>
            </w:pPr>
            <w:r w:rsidRPr="0018386D">
              <w:rPr>
                <w:b w:val="0"/>
                <w:szCs w:val="18"/>
              </w:rPr>
              <w:t>Non-dairy cattle</w:t>
            </w:r>
          </w:p>
        </w:tc>
        <w:tc>
          <w:tcPr>
            <w:tcW w:w="1856" w:type="dxa"/>
            <w:shd w:val="clear" w:color="auto" w:fill="auto"/>
            <w:vAlign w:val="bottom"/>
          </w:tcPr>
          <w:p w14:paraId="25C9528A" w14:textId="36A3087D"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rFonts w:cs="Calibri"/>
                <w:szCs w:val="18"/>
              </w:rPr>
              <w:t>3,964,811</w:t>
            </w:r>
          </w:p>
        </w:tc>
        <w:tc>
          <w:tcPr>
            <w:tcW w:w="4971" w:type="dxa"/>
            <w:tcBorders>
              <w:top w:val="single" w:sz="8" w:space="0" w:color="1C556C" w:themeColor="accent1"/>
              <w:bottom w:val="single" w:sz="8" w:space="0" w:color="1C556C" w:themeColor="accent1"/>
              <w:right w:val="nil"/>
            </w:tcBorders>
          </w:tcPr>
          <w:p w14:paraId="3770405D" w14:textId="27896EF1"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237.76</w:t>
            </w:r>
          </w:p>
        </w:tc>
      </w:tr>
      <w:tr w:rsidR="00586C36" w:rsidRPr="0018386D" w14:paraId="26E94983" w14:textId="77777777" w:rsidTr="007B7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left w:val="nil"/>
            </w:tcBorders>
          </w:tcPr>
          <w:p w14:paraId="14AD8A13" w14:textId="77777777" w:rsidR="00586C36" w:rsidRPr="0018386D" w:rsidRDefault="00586C36" w:rsidP="00DD3106">
            <w:pPr>
              <w:pStyle w:val="TableText"/>
              <w:spacing w:before="40" w:after="40"/>
              <w:rPr>
                <w:b w:val="0"/>
                <w:szCs w:val="18"/>
              </w:rPr>
            </w:pPr>
            <w:r w:rsidRPr="0018386D">
              <w:rPr>
                <w:b w:val="0"/>
                <w:szCs w:val="18"/>
              </w:rPr>
              <w:t>Sheep</w:t>
            </w:r>
          </w:p>
        </w:tc>
        <w:tc>
          <w:tcPr>
            <w:tcW w:w="1856" w:type="dxa"/>
            <w:shd w:val="clear" w:color="auto" w:fill="auto"/>
            <w:vAlign w:val="bottom"/>
          </w:tcPr>
          <w:p w14:paraId="6096BDD0" w14:textId="5E71CA9F"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25,732,889</w:t>
            </w:r>
          </w:p>
        </w:tc>
        <w:tc>
          <w:tcPr>
            <w:tcW w:w="4971" w:type="dxa"/>
            <w:tcBorders>
              <w:right w:val="nil"/>
            </w:tcBorders>
          </w:tcPr>
          <w:p w14:paraId="11FCB646" w14:textId="4E772302"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320.48</w:t>
            </w:r>
          </w:p>
        </w:tc>
      </w:tr>
      <w:tr w:rsidR="00586C36" w:rsidRPr="0018386D" w14:paraId="77507F89" w14:textId="77777777" w:rsidTr="007B7660">
        <w:tc>
          <w:tcPr>
            <w:cnfStyle w:val="001000000000" w:firstRow="0" w:lastRow="0" w:firstColumn="1" w:lastColumn="0" w:oddVBand="0" w:evenVBand="0" w:oddHBand="0" w:evenHBand="0" w:firstRowFirstColumn="0" w:firstRowLastColumn="0" w:lastRowFirstColumn="0" w:lastRowLastColumn="0"/>
            <w:tcW w:w="1678" w:type="dxa"/>
            <w:tcBorders>
              <w:top w:val="single" w:sz="8" w:space="0" w:color="1C556C" w:themeColor="accent1"/>
              <w:left w:val="nil"/>
              <w:bottom w:val="single" w:sz="8" w:space="0" w:color="1C556C" w:themeColor="accent1"/>
            </w:tcBorders>
          </w:tcPr>
          <w:p w14:paraId="5EB5F543" w14:textId="77777777" w:rsidR="00586C36" w:rsidRPr="0018386D" w:rsidRDefault="00586C36" w:rsidP="00DD3106">
            <w:pPr>
              <w:pStyle w:val="TableText"/>
              <w:spacing w:before="40" w:after="40"/>
              <w:rPr>
                <w:b w:val="0"/>
                <w:szCs w:val="18"/>
              </w:rPr>
            </w:pPr>
            <w:r w:rsidRPr="0018386D">
              <w:rPr>
                <w:b w:val="0"/>
                <w:szCs w:val="18"/>
              </w:rPr>
              <w:t>Deer</w:t>
            </w:r>
          </w:p>
        </w:tc>
        <w:tc>
          <w:tcPr>
            <w:tcW w:w="1856" w:type="dxa"/>
            <w:shd w:val="clear" w:color="auto" w:fill="auto"/>
            <w:vAlign w:val="bottom"/>
          </w:tcPr>
          <w:p w14:paraId="058F00E8" w14:textId="4B86D71F"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813,980</w:t>
            </w:r>
          </w:p>
        </w:tc>
        <w:tc>
          <w:tcPr>
            <w:tcW w:w="4971" w:type="dxa"/>
            <w:tcBorders>
              <w:top w:val="single" w:sz="8" w:space="0" w:color="1C556C" w:themeColor="accent1"/>
              <w:bottom w:val="single" w:sz="8" w:space="0" w:color="1C556C" w:themeColor="accent1"/>
              <w:right w:val="nil"/>
            </w:tcBorders>
          </w:tcPr>
          <w:p w14:paraId="5A227788" w14:textId="0EF7A079"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18.73</w:t>
            </w:r>
          </w:p>
        </w:tc>
      </w:tr>
      <w:tr w:rsidR="00586C36" w:rsidRPr="0018386D" w14:paraId="200B1C11" w14:textId="77777777" w:rsidTr="007B7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left w:val="nil"/>
            </w:tcBorders>
          </w:tcPr>
          <w:p w14:paraId="5CAFD802" w14:textId="706F620A" w:rsidR="00586C36" w:rsidRPr="0018386D" w:rsidRDefault="00586C36" w:rsidP="00DD3106">
            <w:pPr>
              <w:pStyle w:val="TableText"/>
              <w:spacing w:before="40" w:after="40"/>
              <w:rPr>
                <w:b w:val="0"/>
                <w:bCs w:val="0"/>
                <w:szCs w:val="18"/>
              </w:rPr>
            </w:pPr>
            <w:r w:rsidRPr="0018386D">
              <w:rPr>
                <w:b w:val="0"/>
              </w:rPr>
              <w:t>Swine</w:t>
            </w:r>
          </w:p>
        </w:tc>
        <w:tc>
          <w:tcPr>
            <w:tcW w:w="1856" w:type="dxa"/>
            <w:shd w:val="clear" w:color="auto" w:fill="auto"/>
            <w:vAlign w:val="bottom"/>
          </w:tcPr>
          <w:p w14:paraId="60FE9A38" w14:textId="4CD3FE20"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248,717</w:t>
            </w:r>
          </w:p>
        </w:tc>
        <w:tc>
          <w:tcPr>
            <w:tcW w:w="4971" w:type="dxa"/>
            <w:tcBorders>
              <w:right w:val="nil"/>
            </w:tcBorders>
            <w:shd w:val="clear" w:color="auto" w:fill="auto"/>
            <w:vAlign w:val="bottom"/>
          </w:tcPr>
          <w:p w14:paraId="226F39DA" w14:textId="7BC8E5FE"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0.26</w:t>
            </w:r>
          </w:p>
        </w:tc>
      </w:tr>
      <w:tr w:rsidR="00586C36" w:rsidRPr="0018386D" w14:paraId="29A32883" w14:textId="77777777" w:rsidTr="007B7660">
        <w:tc>
          <w:tcPr>
            <w:cnfStyle w:val="001000000000" w:firstRow="0" w:lastRow="0" w:firstColumn="1" w:lastColumn="0" w:oddVBand="0" w:evenVBand="0" w:oddHBand="0" w:evenHBand="0" w:firstRowFirstColumn="0" w:firstRowLastColumn="0" w:lastRowFirstColumn="0" w:lastRowLastColumn="0"/>
            <w:tcW w:w="1678" w:type="dxa"/>
            <w:tcBorders>
              <w:top w:val="single" w:sz="8" w:space="0" w:color="1C556C" w:themeColor="accent1"/>
              <w:left w:val="nil"/>
              <w:bottom w:val="single" w:sz="8" w:space="0" w:color="1C556C" w:themeColor="accent1"/>
            </w:tcBorders>
          </w:tcPr>
          <w:p w14:paraId="3872D5ED" w14:textId="7C110587" w:rsidR="00586C36" w:rsidRPr="0018386D" w:rsidRDefault="00586C36" w:rsidP="00DD3106">
            <w:pPr>
              <w:pStyle w:val="TableText"/>
              <w:spacing w:before="40" w:after="40"/>
              <w:rPr>
                <w:b w:val="0"/>
                <w:bCs w:val="0"/>
                <w:szCs w:val="18"/>
              </w:rPr>
            </w:pPr>
            <w:r w:rsidRPr="0018386D">
              <w:rPr>
                <w:b w:val="0"/>
              </w:rPr>
              <w:t>Goats</w:t>
            </w:r>
          </w:p>
        </w:tc>
        <w:tc>
          <w:tcPr>
            <w:tcW w:w="1856" w:type="dxa"/>
            <w:shd w:val="clear" w:color="auto" w:fill="auto"/>
            <w:vAlign w:val="bottom"/>
          </w:tcPr>
          <w:p w14:paraId="2885B486" w14:textId="652C2F57"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116,666</w:t>
            </w:r>
          </w:p>
        </w:tc>
        <w:tc>
          <w:tcPr>
            <w:tcW w:w="4971" w:type="dxa"/>
            <w:tcBorders>
              <w:top w:val="single" w:sz="8" w:space="0" w:color="1C556C" w:themeColor="accent1"/>
              <w:bottom w:val="single" w:sz="8" w:space="0" w:color="1C556C" w:themeColor="accent1"/>
              <w:right w:val="nil"/>
            </w:tcBorders>
            <w:shd w:val="clear" w:color="auto" w:fill="auto"/>
            <w:vAlign w:val="bottom"/>
          </w:tcPr>
          <w:p w14:paraId="2C6B40D6" w14:textId="6B21165D"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1.05</w:t>
            </w:r>
          </w:p>
        </w:tc>
      </w:tr>
      <w:tr w:rsidR="00586C36" w:rsidRPr="0018386D" w14:paraId="063FE934" w14:textId="77777777" w:rsidTr="007B7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left w:val="nil"/>
            </w:tcBorders>
          </w:tcPr>
          <w:p w14:paraId="342E6DE9" w14:textId="340DFB76" w:rsidR="00586C36" w:rsidRPr="0018386D" w:rsidRDefault="00586C36" w:rsidP="00DD3106">
            <w:pPr>
              <w:pStyle w:val="TableText"/>
              <w:spacing w:before="40" w:after="40"/>
              <w:rPr>
                <w:b w:val="0"/>
                <w:bCs w:val="0"/>
                <w:szCs w:val="18"/>
              </w:rPr>
            </w:pPr>
            <w:r w:rsidRPr="0018386D">
              <w:rPr>
                <w:b w:val="0"/>
              </w:rPr>
              <w:t>Horses</w:t>
            </w:r>
          </w:p>
        </w:tc>
        <w:tc>
          <w:tcPr>
            <w:tcW w:w="1856" w:type="dxa"/>
            <w:shd w:val="clear" w:color="auto" w:fill="auto"/>
            <w:vAlign w:val="bottom"/>
          </w:tcPr>
          <w:p w14:paraId="743B5D8E" w14:textId="62E26BCD"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40,276</w:t>
            </w:r>
          </w:p>
        </w:tc>
        <w:tc>
          <w:tcPr>
            <w:tcW w:w="4971" w:type="dxa"/>
            <w:tcBorders>
              <w:right w:val="nil"/>
            </w:tcBorders>
            <w:shd w:val="clear" w:color="auto" w:fill="auto"/>
            <w:vAlign w:val="bottom"/>
          </w:tcPr>
          <w:p w14:paraId="24810F97" w14:textId="234E9248"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0.72</w:t>
            </w:r>
          </w:p>
        </w:tc>
      </w:tr>
      <w:tr w:rsidR="00586C36" w:rsidRPr="0018386D" w14:paraId="586D3FF9" w14:textId="77777777" w:rsidTr="007B7660">
        <w:tc>
          <w:tcPr>
            <w:cnfStyle w:val="001000000000" w:firstRow="0" w:lastRow="0" w:firstColumn="1" w:lastColumn="0" w:oddVBand="0" w:evenVBand="0" w:oddHBand="0" w:evenHBand="0" w:firstRowFirstColumn="0" w:firstRowLastColumn="0" w:lastRowFirstColumn="0" w:lastRowLastColumn="0"/>
            <w:tcW w:w="1678" w:type="dxa"/>
            <w:tcBorders>
              <w:top w:val="single" w:sz="8" w:space="0" w:color="1C556C" w:themeColor="accent1"/>
              <w:left w:val="nil"/>
              <w:bottom w:val="single" w:sz="8" w:space="0" w:color="1C556C" w:themeColor="accent1"/>
            </w:tcBorders>
          </w:tcPr>
          <w:p w14:paraId="366A9D6E" w14:textId="76DBED23" w:rsidR="00586C36" w:rsidRPr="0018386D" w:rsidRDefault="00586C36" w:rsidP="00DD3106">
            <w:pPr>
              <w:pStyle w:val="TableText"/>
              <w:spacing w:before="40" w:after="40"/>
              <w:rPr>
                <w:b w:val="0"/>
                <w:bCs w:val="0"/>
                <w:szCs w:val="18"/>
              </w:rPr>
            </w:pPr>
            <w:r w:rsidRPr="0018386D">
              <w:rPr>
                <w:b w:val="0"/>
              </w:rPr>
              <w:t>Alpaca and llama</w:t>
            </w:r>
          </w:p>
        </w:tc>
        <w:tc>
          <w:tcPr>
            <w:tcW w:w="1856" w:type="dxa"/>
            <w:shd w:val="clear" w:color="auto" w:fill="auto"/>
            <w:vAlign w:val="bottom"/>
          </w:tcPr>
          <w:p w14:paraId="332643FA" w14:textId="184EA2D5"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7,578</w:t>
            </w:r>
          </w:p>
        </w:tc>
        <w:tc>
          <w:tcPr>
            <w:tcW w:w="4971" w:type="dxa"/>
            <w:tcBorders>
              <w:top w:val="single" w:sz="8" w:space="0" w:color="1C556C" w:themeColor="accent1"/>
              <w:bottom w:val="single" w:sz="8" w:space="0" w:color="1C556C" w:themeColor="accent1"/>
              <w:right w:val="nil"/>
            </w:tcBorders>
            <w:shd w:val="clear" w:color="auto" w:fill="auto"/>
            <w:vAlign w:val="bottom"/>
          </w:tcPr>
          <w:p w14:paraId="5E0A9E71" w14:textId="1BC99495"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0.06</w:t>
            </w:r>
          </w:p>
        </w:tc>
      </w:tr>
      <w:tr w:rsidR="00586C36" w:rsidRPr="0018386D" w14:paraId="251111A4" w14:textId="77777777" w:rsidTr="007B7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left w:val="nil"/>
            </w:tcBorders>
          </w:tcPr>
          <w:p w14:paraId="6B21C9E2" w14:textId="6E254735" w:rsidR="00586C36" w:rsidRPr="0018386D" w:rsidRDefault="00586C36" w:rsidP="00DD3106">
            <w:pPr>
              <w:pStyle w:val="TableText"/>
              <w:spacing w:before="40" w:after="40"/>
              <w:rPr>
                <w:b w:val="0"/>
                <w:bCs w:val="0"/>
                <w:szCs w:val="18"/>
              </w:rPr>
            </w:pPr>
            <w:r w:rsidRPr="0018386D">
              <w:rPr>
                <w:b w:val="0"/>
              </w:rPr>
              <w:t>Mules and asses</w:t>
            </w:r>
          </w:p>
        </w:tc>
        <w:tc>
          <w:tcPr>
            <w:tcW w:w="1856" w:type="dxa"/>
            <w:shd w:val="clear" w:color="auto" w:fill="auto"/>
            <w:vAlign w:val="bottom"/>
          </w:tcPr>
          <w:p w14:paraId="0A4AC75C" w14:textId="60A86347"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141</w:t>
            </w:r>
          </w:p>
        </w:tc>
        <w:tc>
          <w:tcPr>
            <w:tcW w:w="4971" w:type="dxa"/>
            <w:tcBorders>
              <w:right w:val="nil"/>
            </w:tcBorders>
            <w:shd w:val="clear" w:color="auto" w:fill="auto"/>
            <w:vAlign w:val="bottom"/>
          </w:tcPr>
          <w:p w14:paraId="71CEC965" w14:textId="36F584E4" w:rsidR="00586C36" w:rsidRPr="0018386D" w:rsidRDefault="00586C36"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0.001</w:t>
            </w:r>
          </w:p>
        </w:tc>
      </w:tr>
      <w:tr w:rsidR="00586C36" w:rsidRPr="0018386D" w14:paraId="3A7CBEC8" w14:textId="77777777" w:rsidTr="007B7660">
        <w:tc>
          <w:tcPr>
            <w:cnfStyle w:val="001000000000" w:firstRow="0" w:lastRow="0" w:firstColumn="1" w:lastColumn="0" w:oddVBand="0" w:evenVBand="0" w:oddHBand="0" w:evenHBand="0" w:firstRowFirstColumn="0" w:firstRowLastColumn="0" w:lastRowFirstColumn="0" w:lastRowLastColumn="0"/>
            <w:tcW w:w="1678" w:type="dxa"/>
            <w:tcBorders>
              <w:top w:val="single" w:sz="8" w:space="0" w:color="1C556C" w:themeColor="accent1"/>
              <w:left w:val="nil"/>
            </w:tcBorders>
          </w:tcPr>
          <w:p w14:paraId="1CE0E84C" w14:textId="6B71ED4D" w:rsidR="00586C36" w:rsidRPr="0018386D" w:rsidRDefault="00586C36" w:rsidP="00DD3106">
            <w:pPr>
              <w:pStyle w:val="TableText"/>
              <w:spacing w:before="40" w:after="40"/>
              <w:rPr>
                <w:b w:val="0"/>
                <w:bCs w:val="0"/>
                <w:szCs w:val="18"/>
              </w:rPr>
            </w:pPr>
            <w:r w:rsidRPr="0018386D">
              <w:rPr>
                <w:b w:val="0"/>
              </w:rPr>
              <w:t>Poultry</w:t>
            </w:r>
          </w:p>
        </w:tc>
        <w:tc>
          <w:tcPr>
            <w:tcW w:w="1856" w:type="dxa"/>
            <w:shd w:val="clear" w:color="auto" w:fill="auto"/>
            <w:vAlign w:val="bottom"/>
          </w:tcPr>
          <w:p w14:paraId="7B3C76AF" w14:textId="1F55CB62" w:rsidR="00586C36" w:rsidRPr="0018386D" w:rsidRDefault="00586C36"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19,346,289</w:t>
            </w:r>
          </w:p>
        </w:tc>
        <w:tc>
          <w:tcPr>
            <w:tcW w:w="4971" w:type="dxa"/>
            <w:tcBorders>
              <w:top w:val="single" w:sz="8" w:space="0" w:color="1C556C" w:themeColor="accent1"/>
              <w:right w:val="nil"/>
            </w:tcBorders>
          </w:tcPr>
          <w:p w14:paraId="59A217ED" w14:textId="3E7305AB" w:rsidR="00586C36" w:rsidRPr="0018386D" w:rsidRDefault="00F04148"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n/a</w:t>
            </w:r>
          </w:p>
        </w:tc>
      </w:tr>
    </w:tbl>
    <w:p w14:paraId="41921C33" w14:textId="04C75D06" w:rsidR="001956BC" w:rsidRPr="0018386D" w:rsidRDefault="00A0773E" w:rsidP="00DD3106">
      <w:pPr>
        <w:pStyle w:val="Note"/>
        <w:spacing w:after="60"/>
      </w:pPr>
      <w:r w:rsidRPr="0018386D">
        <w:t xml:space="preserve">kt </w:t>
      </w:r>
      <w:r w:rsidR="00480A20" w:rsidRPr="0018386D">
        <w:t xml:space="preserve">= </w:t>
      </w:r>
      <w:proofErr w:type="spellStart"/>
      <w:r w:rsidRPr="0018386D">
        <w:t>kilotonne</w:t>
      </w:r>
      <w:proofErr w:type="spellEnd"/>
      <w:r w:rsidRPr="0018386D">
        <w:t xml:space="preserve"> </w:t>
      </w:r>
    </w:p>
    <w:p w14:paraId="6267C889" w14:textId="46795EA7" w:rsidR="00FC334F" w:rsidRPr="0018386D" w:rsidRDefault="00FC334F" w:rsidP="00DD3106">
      <w:pPr>
        <w:pStyle w:val="Note"/>
        <w:spacing w:before="0"/>
      </w:pPr>
      <w:r w:rsidRPr="0018386D">
        <w:t>Source: Based on figures from the Agricultural Inventory Model used in</w:t>
      </w:r>
      <w:r w:rsidR="00E21C3C" w:rsidRPr="0018386D">
        <w:t xml:space="preserve"> </w:t>
      </w:r>
      <w:hyperlink r:id="rId143" w:history="1">
        <w:r w:rsidR="006264E4" w:rsidRPr="0018386D">
          <w:rPr>
            <w:rStyle w:val="Hyperlink"/>
            <w:i/>
          </w:rPr>
          <w:t>New Zealand’s Greenhouse Gas Inventory 1990</w:t>
        </w:r>
        <w:r w:rsidR="008A344A" w:rsidRPr="0018386D">
          <w:rPr>
            <w:rStyle w:val="Hyperlink"/>
            <w:i/>
          </w:rPr>
          <w:t>–</w:t>
        </w:r>
        <w:r w:rsidR="00586C36" w:rsidRPr="0018386D">
          <w:rPr>
            <w:rStyle w:val="Hyperlink"/>
            <w:i/>
          </w:rPr>
          <w:t>2021</w:t>
        </w:r>
      </w:hyperlink>
      <w:r w:rsidR="00A0044D" w:rsidRPr="0018386D">
        <w:rPr>
          <w:i/>
        </w:rPr>
        <w:t>.</w:t>
      </w:r>
    </w:p>
    <w:p w14:paraId="4A6D56AB" w14:textId="30C382D7" w:rsidR="003A7B65" w:rsidRPr="0018386D" w:rsidRDefault="003A7B65" w:rsidP="00DD3106">
      <w:pPr>
        <w:pStyle w:val="Heading5"/>
      </w:pPr>
      <w:bookmarkStart w:id="924" w:name="_Alternative_methods_and"/>
      <w:bookmarkStart w:id="925" w:name="_Ref535497678"/>
      <w:bookmarkEnd w:id="924"/>
      <w:r w:rsidRPr="0018386D">
        <w:t>Alternative methods and tools</w:t>
      </w:r>
      <w:bookmarkEnd w:id="925"/>
    </w:p>
    <w:p w14:paraId="5FA2BA22" w14:textId="64D063EB" w:rsidR="003A7B65" w:rsidRPr="0018386D" w:rsidRDefault="00FC334F" w:rsidP="00DD3106">
      <w:pPr>
        <w:pStyle w:val="BodyText"/>
      </w:pPr>
      <w:r w:rsidRPr="0018386D">
        <w:t>T</w:t>
      </w:r>
      <w:r w:rsidR="003A7B65" w:rsidRPr="0018386D">
        <w:t>here are alternative calculating tools</w:t>
      </w:r>
      <w:r w:rsidR="008C460E" w:rsidRPr="0018386D">
        <w:t>,</w:t>
      </w:r>
      <w:r w:rsidRPr="0018386D">
        <w:t xml:space="preserve"> such as </w:t>
      </w:r>
      <w:r w:rsidR="0071362E" w:rsidRPr="0018386D">
        <w:t>the Ministry’s</w:t>
      </w:r>
      <w:r w:rsidR="00B725E3" w:rsidRPr="0018386D">
        <w:t xml:space="preserve"> </w:t>
      </w:r>
      <w:hyperlink r:id="rId144" w:history="1">
        <w:r w:rsidR="00B725E3" w:rsidRPr="0018386D">
          <w:rPr>
            <w:rStyle w:val="Hyperlink"/>
          </w:rPr>
          <w:t>Agricultural Emissions Calculator</w:t>
        </w:r>
      </w:hyperlink>
      <w:r w:rsidR="00B725E3" w:rsidRPr="0018386D">
        <w:t xml:space="preserve">, </w:t>
      </w:r>
      <w:hyperlink r:id="rId145" w:history="1">
        <w:proofErr w:type="spellStart"/>
        <w:r w:rsidRPr="0018386D">
          <w:rPr>
            <w:rStyle w:val="Hyperlink"/>
          </w:rPr>
          <w:t>O</w:t>
        </w:r>
        <w:r w:rsidR="000874AC" w:rsidRPr="0018386D">
          <w:rPr>
            <w:rStyle w:val="Hyperlink"/>
          </w:rPr>
          <w:t>verseerFM</w:t>
        </w:r>
        <w:proofErr w:type="spellEnd"/>
      </w:hyperlink>
      <w:r w:rsidR="00B725E3" w:rsidRPr="0018386D">
        <w:t>,</w:t>
      </w:r>
      <w:r w:rsidR="005C1FB7" w:rsidRPr="0018386D">
        <w:t xml:space="preserve"> or the </w:t>
      </w:r>
      <w:hyperlink r:id="rId146" w:history="1">
        <w:r w:rsidR="00B725E3" w:rsidRPr="0018386D">
          <w:rPr>
            <w:rStyle w:val="Hyperlink"/>
          </w:rPr>
          <w:t>B+LNZ GHG calculator</w:t>
        </w:r>
      </w:hyperlink>
      <w:r w:rsidRPr="0018386D">
        <w:t>.</w:t>
      </w:r>
      <w:r w:rsidR="003A7B65" w:rsidRPr="0018386D">
        <w:t xml:space="preserve"> </w:t>
      </w:r>
      <w:r w:rsidRPr="0018386D">
        <w:t>T</w:t>
      </w:r>
      <w:r w:rsidR="003A7B65" w:rsidRPr="0018386D">
        <w:t xml:space="preserve">he </w:t>
      </w:r>
      <w:r w:rsidR="009B3723" w:rsidRPr="0018386D">
        <w:t xml:space="preserve">implied </w:t>
      </w:r>
      <w:r w:rsidR="003A7B65" w:rsidRPr="0018386D">
        <w:t xml:space="preserve">emission factors </w:t>
      </w:r>
      <w:r w:rsidRPr="0018386D">
        <w:t xml:space="preserve">in this guide </w:t>
      </w:r>
      <w:r w:rsidR="00283CDA" w:rsidRPr="0018386D">
        <w:t xml:space="preserve">may </w:t>
      </w:r>
      <w:r w:rsidR="003A7B65" w:rsidRPr="0018386D">
        <w:t xml:space="preserve">differ from </w:t>
      </w:r>
      <w:r w:rsidR="00283CDA" w:rsidRPr="0018386D">
        <w:t xml:space="preserve">other </w:t>
      </w:r>
      <w:r w:rsidR="003A7B65" w:rsidRPr="0018386D">
        <w:t>tools because of the different in</w:t>
      </w:r>
      <w:r w:rsidR="00283CDA" w:rsidRPr="0018386D">
        <w:t>-</w:t>
      </w:r>
      <w:r w:rsidR="003A7B65" w:rsidRPr="0018386D">
        <w:t>built assumptions and limitations.</w:t>
      </w:r>
      <w:r w:rsidRPr="0018386D">
        <w:t xml:space="preserve"> It is up to the user to assess the appropriateness of alternative tools.</w:t>
      </w:r>
    </w:p>
    <w:p w14:paraId="4573476F" w14:textId="10CF1CBE" w:rsidR="003B09E9" w:rsidRPr="0018386D" w:rsidRDefault="003B09E9" w:rsidP="00DD3106">
      <w:pPr>
        <w:pStyle w:val="Heading4"/>
        <w:numPr>
          <w:ilvl w:val="3"/>
          <w:numId w:val="8"/>
        </w:numPr>
        <w:spacing w:before="440"/>
        <w:ind w:left="1134" w:hanging="1134"/>
        <w:rPr>
          <w:rFonts w:eastAsia="Georgia" w:cs="Georgia"/>
          <w:color w:val="000000" w:themeColor="text1"/>
          <w:szCs w:val="24"/>
        </w:rPr>
      </w:pPr>
      <w:bookmarkStart w:id="926" w:name="_Assumptions,_limitations_and_2"/>
      <w:bookmarkEnd w:id="926"/>
      <w:r w:rsidRPr="0018386D">
        <w:t xml:space="preserve">Assumptions, </w:t>
      </w:r>
      <w:proofErr w:type="gramStart"/>
      <w:r w:rsidRPr="0018386D">
        <w:t>limitations</w:t>
      </w:r>
      <w:proofErr w:type="gramEnd"/>
      <w:r w:rsidRPr="0018386D">
        <w:t xml:space="preserve"> and uncertainties</w:t>
      </w:r>
    </w:p>
    <w:p w14:paraId="1AEB99DB" w14:textId="6D4BAD34" w:rsidR="003A7B65" w:rsidRPr="0018386D" w:rsidRDefault="00C7627E" w:rsidP="00DD3106">
      <w:pPr>
        <w:pStyle w:val="BodyText"/>
      </w:pPr>
      <w:hyperlink r:id="rId147" w:history="1">
        <w:r w:rsidR="5C886757" w:rsidRPr="0018386D">
          <w:rPr>
            <w:rStyle w:val="Hyperlink"/>
            <w:i/>
            <w:iCs/>
          </w:rPr>
          <w:t>New Zealand</w:t>
        </w:r>
        <w:r w:rsidR="00480A20" w:rsidRPr="0018386D">
          <w:rPr>
            <w:rStyle w:val="Hyperlink"/>
            <w:i/>
            <w:iCs/>
          </w:rPr>
          <w:t>’s</w:t>
        </w:r>
        <w:r w:rsidR="5C886757" w:rsidRPr="0018386D">
          <w:rPr>
            <w:rStyle w:val="Hyperlink"/>
            <w:i/>
            <w:iCs/>
          </w:rPr>
          <w:t xml:space="preserve"> Greenhouse Gas Inventory 1990–2021</w:t>
        </w:r>
      </w:hyperlink>
      <w:r w:rsidR="73AA6013" w:rsidRPr="0018386D">
        <w:rPr>
          <w:rFonts w:eastAsia="Calibri" w:cs="Calibri"/>
          <w:i/>
          <w:iCs/>
        </w:rPr>
        <w:t xml:space="preserve"> </w:t>
      </w:r>
      <w:r w:rsidR="003A7B65" w:rsidRPr="0018386D">
        <w:t xml:space="preserve">details the uncertainties associated with the activity data used to calculate the emission factors. </w:t>
      </w:r>
    </w:p>
    <w:p w14:paraId="161EC848" w14:textId="14EF65F7" w:rsidR="003A7B65" w:rsidRPr="0018386D" w:rsidRDefault="003A7B65" w:rsidP="00DD3106">
      <w:pPr>
        <w:pStyle w:val="BodyText"/>
      </w:pPr>
      <w:r w:rsidRPr="0018386D">
        <w:t xml:space="preserve">The level of uncertainty with enteric fermentation emissions is </w:t>
      </w:r>
      <w:r w:rsidRPr="0018386D">
        <w:rPr>
          <w:rFonts w:cs="Calibri"/>
        </w:rPr>
        <w:t>±</w:t>
      </w:r>
      <w:r w:rsidRPr="0018386D">
        <w:t>16</w:t>
      </w:r>
      <w:r w:rsidR="00FC334F" w:rsidRPr="0018386D">
        <w:t xml:space="preserve"> per cent</w:t>
      </w:r>
      <w:r w:rsidRPr="0018386D">
        <w:t xml:space="preserve">. </w:t>
      </w:r>
    </w:p>
    <w:p w14:paraId="35F63A9D" w14:textId="342169A0" w:rsidR="003A7B65" w:rsidRPr="0018386D" w:rsidRDefault="003A7B65" w:rsidP="00DD3106">
      <w:pPr>
        <w:pStyle w:val="Heading3"/>
        <w:numPr>
          <w:ilvl w:val="2"/>
          <w:numId w:val="8"/>
        </w:numPr>
        <w:ind w:left="1134" w:hanging="1134"/>
        <w:rPr>
          <w:sz w:val="24"/>
          <w:szCs w:val="24"/>
        </w:rPr>
      </w:pPr>
      <w:bookmarkStart w:id="927" w:name="_Manure_management_emission"/>
      <w:bookmarkStart w:id="928" w:name="_Toc529960727"/>
      <w:bookmarkStart w:id="929" w:name="_Toc532904971"/>
      <w:bookmarkEnd w:id="927"/>
      <w:r w:rsidRPr="0018386D">
        <w:rPr>
          <w:sz w:val="24"/>
          <w:szCs w:val="24"/>
        </w:rPr>
        <w:t xml:space="preserve">Manure </w:t>
      </w:r>
      <w:r w:rsidR="00322289" w:rsidRPr="0018386D">
        <w:rPr>
          <w:sz w:val="24"/>
          <w:szCs w:val="24"/>
        </w:rPr>
        <w:t xml:space="preserve">management emission </w:t>
      </w:r>
      <w:bookmarkEnd w:id="928"/>
      <w:bookmarkEnd w:id="929"/>
      <w:r w:rsidR="00322289" w:rsidRPr="0018386D">
        <w:rPr>
          <w:sz w:val="24"/>
          <w:szCs w:val="24"/>
        </w:rPr>
        <w:t>factors</w:t>
      </w:r>
    </w:p>
    <w:p w14:paraId="0EC00254" w14:textId="2612A4AD" w:rsidR="5F1E33BA" w:rsidRPr="0018386D" w:rsidRDefault="5F1E33BA" w:rsidP="00DD3106">
      <w:pPr>
        <w:pStyle w:val="BodyText"/>
      </w:pPr>
      <w:r w:rsidRPr="0018386D">
        <w:t xml:space="preserve">Manure management refers to the process of managing the excretion of livestock, particularly when they are not on paddocks, but also covers losses from manure that is deposited by livestock directly onto pasture, and it is distinct from losses from agricultural soils. The storage and treatment of manure produces GHG emissions. We provide the manure management emission factors in </w:t>
      </w:r>
      <w:hyperlink w:anchor="Table86" w:history="1">
        <w:r w:rsidRPr="0018386D">
          <w:rPr>
            <w:rStyle w:val="Hyperlink"/>
            <w:rFonts w:eastAsia="Calibri" w:cs="Calibri"/>
          </w:rPr>
          <w:t xml:space="preserve">table </w:t>
        </w:r>
        <w:r w:rsidR="005D4890" w:rsidRPr="0018386D">
          <w:rPr>
            <w:rStyle w:val="Hyperlink"/>
            <w:rFonts w:eastAsia="Calibri" w:cs="Calibri"/>
          </w:rPr>
          <w:t>86</w:t>
        </w:r>
      </w:hyperlink>
      <w:r w:rsidRPr="0018386D">
        <w:t>.</w:t>
      </w:r>
    </w:p>
    <w:p w14:paraId="48C28474" w14:textId="3B555AC2" w:rsidR="003A7B65" w:rsidRPr="0018386D" w:rsidRDefault="005D328D" w:rsidP="00DD3106">
      <w:pPr>
        <w:pStyle w:val="Tableheading"/>
      </w:pPr>
      <w:bookmarkStart w:id="930" w:name="Table86"/>
      <w:bookmarkStart w:id="931" w:name="_Toc111536698"/>
      <w:bookmarkStart w:id="932" w:name="_Toc140049026"/>
      <w:r w:rsidRPr="0018386D">
        <w:t xml:space="preserve">Table </w:t>
      </w:r>
      <w:r w:rsidRPr="0018386D">
        <w:fldChar w:fldCharType="begin"/>
      </w:r>
      <w:r w:rsidRPr="0018386D">
        <w:instrText>SEQ Table \* ARABIC</w:instrText>
      </w:r>
      <w:r w:rsidRPr="0018386D">
        <w:fldChar w:fldCharType="separate"/>
      </w:r>
      <w:r w:rsidR="00B0380A" w:rsidRPr="0018386D">
        <w:t>86</w:t>
      </w:r>
      <w:r w:rsidRPr="0018386D">
        <w:fldChar w:fldCharType="end"/>
      </w:r>
      <w:bookmarkEnd w:id="930"/>
      <w:r w:rsidRPr="0018386D">
        <w:t>:</w:t>
      </w:r>
      <w:r w:rsidRPr="0018386D">
        <w:tab/>
      </w:r>
      <w:r w:rsidR="526B047C" w:rsidRPr="0018386D">
        <w:t xml:space="preserve">Implied </w:t>
      </w:r>
      <w:r w:rsidR="003A7B65" w:rsidRPr="0018386D">
        <w:t>emission factors</w:t>
      </w:r>
      <w:bookmarkEnd w:id="931"/>
      <w:r w:rsidR="3E6B0768" w:rsidRPr="0018386D">
        <w:t xml:space="preserve"> from manure management</w:t>
      </w:r>
      <w:bookmarkEnd w:id="932"/>
    </w:p>
    <w:tbl>
      <w:tblPr>
        <w:tblW w:w="850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1953"/>
        <w:gridCol w:w="976"/>
        <w:gridCol w:w="1263"/>
        <w:gridCol w:w="1436"/>
        <w:gridCol w:w="1436"/>
        <w:gridCol w:w="1436"/>
      </w:tblGrid>
      <w:tr w:rsidR="00231F21" w:rsidRPr="0018386D" w14:paraId="34A74D63" w14:textId="77777777" w:rsidTr="009A0913">
        <w:trPr>
          <w:divId w:val="753674052"/>
          <w:trHeight w:val="240"/>
          <w:tblHeader/>
        </w:trPr>
        <w:tc>
          <w:tcPr>
            <w:tcW w:w="1928" w:type="dxa"/>
            <w:shd w:val="clear" w:color="000000" w:fill="1C556C"/>
            <w:noWrap/>
            <w:vAlign w:val="bottom"/>
            <w:hideMark/>
          </w:tcPr>
          <w:p w14:paraId="603EB690" w14:textId="6D9C713F" w:rsidR="008E2ED2" w:rsidRPr="0018386D" w:rsidRDefault="008E2ED2" w:rsidP="00DD3106">
            <w:pPr>
              <w:pStyle w:val="TableTextbold"/>
              <w:keepNext/>
              <w:spacing w:before="30" w:after="30"/>
              <w:rPr>
                <w:color w:val="FFFFFF" w:themeColor="background1"/>
              </w:rPr>
            </w:pPr>
            <w:bookmarkStart w:id="933" w:name="_1746366940"/>
            <w:bookmarkStart w:id="934" w:name="_1745997873"/>
            <w:bookmarkStart w:id="935" w:name="_1746254118"/>
            <w:bookmarkStart w:id="936" w:name="_1747051309"/>
            <w:bookmarkEnd w:id="933"/>
            <w:bookmarkEnd w:id="934"/>
            <w:bookmarkEnd w:id="935"/>
            <w:bookmarkEnd w:id="936"/>
            <w:r w:rsidRPr="0018386D">
              <w:rPr>
                <w:color w:val="FFFFFF" w:themeColor="background1"/>
              </w:rPr>
              <w:t>Emission source</w:t>
            </w:r>
          </w:p>
        </w:tc>
        <w:tc>
          <w:tcPr>
            <w:tcW w:w="964" w:type="dxa"/>
            <w:shd w:val="clear" w:color="000000" w:fill="1C556C"/>
            <w:noWrap/>
            <w:vAlign w:val="bottom"/>
            <w:hideMark/>
          </w:tcPr>
          <w:p w14:paraId="60EE8B07" w14:textId="77777777" w:rsidR="008E2ED2" w:rsidRPr="0018386D" w:rsidRDefault="008E2ED2" w:rsidP="00DD3106">
            <w:pPr>
              <w:pStyle w:val="TableTextbold"/>
              <w:keepNext/>
              <w:spacing w:before="30" w:after="30"/>
              <w:rPr>
                <w:color w:val="FFFFFF" w:themeColor="background1"/>
              </w:rPr>
            </w:pPr>
            <w:r w:rsidRPr="0018386D">
              <w:rPr>
                <w:color w:val="FFFFFF" w:themeColor="background1"/>
              </w:rPr>
              <w:t>Unit</w:t>
            </w:r>
          </w:p>
        </w:tc>
        <w:tc>
          <w:tcPr>
            <w:tcW w:w="1247" w:type="dxa"/>
            <w:shd w:val="clear" w:color="000000" w:fill="1C556C"/>
            <w:noWrap/>
            <w:vAlign w:val="bottom"/>
            <w:hideMark/>
          </w:tcPr>
          <w:p w14:paraId="3A5867C8" w14:textId="5CD4560C" w:rsidR="008E2ED2" w:rsidRPr="0018386D" w:rsidRDefault="008E2ED2" w:rsidP="00DD3106">
            <w:pPr>
              <w:pStyle w:val="TableTextbold"/>
              <w:keepNext/>
              <w:spacing w:before="30" w:after="30"/>
              <w:rPr>
                <w:color w:val="FFFFFF" w:themeColor="background1"/>
              </w:rPr>
            </w:pPr>
            <w:r w:rsidRPr="0018386D">
              <w:rPr>
                <w:color w:val="FFFFFF" w:themeColor="background1"/>
              </w:rPr>
              <w:t>kg CO₂-e/unit</w:t>
            </w:r>
          </w:p>
        </w:tc>
        <w:tc>
          <w:tcPr>
            <w:tcW w:w="1418" w:type="dxa"/>
            <w:shd w:val="clear" w:color="000000" w:fill="1C556C"/>
            <w:noWrap/>
            <w:vAlign w:val="bottom"/>
            <w:hideMark/>
          </w:tcPr>
          <w:p w14:paraId="6C922E22" w14:textId="3E4E5F5E" w:rsidR="008E2ED2" w:rsidRPr="0018386D" w:rsidRDefault="008E2ED2" w:rsidP="00DD3106">
            <w:pPr>
              <w:pStyle w:val="TableTextbold"/>
              <w:keepNext/>
              <w:spacing w:before="30" w:after="30"/>
              <w:rPr>
                <w:color w:val="FFFFFF" w:themeColor="background1"/>
              </w:rPr>
            </w:pPr>
            <w:r w:rsidRPr="0018386D">
              <w:rPr>
                <w:color w:val="FFFFFF" w:themeColor="background1"/>
              </w:rPr>
              <w:t>CO₂ (kg CO₂</w:t>
            </w:r>
            <w:r w:rsidRPr="0018386D">
              <w:rPr>
                <w:color w:val="FFFFFF" w:themeColor="background1"/>
              </w:rPr>
              <w:noBreakHyphen/>
              <w:t>e/</w:t>
            </w:r>
            <w:r w:rsidR="00A57A04" w:rsidRPr="0018386D">
              <w:rPr>
                <w:color w:val="FFFFFF" w:themeColor="background1"/>
              </w:rPr>
              <w:t xml:space="preserve"> </w:t>
            </w:r>
            <w:r w:rsidRPr="0018386D">
              <w:rPr>
                <w:color w:val="FFFFFF" w:themeColor="background1"/>
              </w:rPr>
              <w:t>unit)</w:t>
            </w:r>
          </w:p>
        </w:tc>
        <w:tc>
          <w:tcPr>
            <w:tcW w:w="1418" w:type="dxa"/>
            <w:shd w:val="clear" w:color="000000" w:fill="1C556C"/>
            <w:noWrap/>
            <w:vAlign w:val="bottom"/>
            <w:hideMark/>
          </w:tcPr>
          <w:p w14:paraId="3F00BD52" w14:textId="5FAD608E" w:rsidR="008E2ED2" w:rsidRPr="0018386D" w:rsidRDefault="008E2ED2" w:rsidP="00DD3106">
            <w:pPr>
              <w:pStyle w:val="TableTextbold"/>
              <w:keepNext/>
              <w:spacing w:before="30" w:after="30"/>
              <w:rPr>
                <w:color w:val="FFFFFF" w:themeColor="background1"/>
              </w:rPr>
            </w:pPr>
            <w:r w:rsidRPr="0018386D">
              <w:rPr>
                <w:color w:val="FFFFFF" w:themeColor="background1"/>
              </w:rPr>
              <w:t>CH₄ (kg CO₂-e/</w:t>
            </w:r>
            <w:r w:rsidR="00A57A04" w:rsidRPr="0018386D">
              <w:rPr>
                <w:color w:val="FFFFFF" w:themeColor="background1"/>
              </w:rPr>
              <w:t xml:space="preserve"> </w:t>
            </w:r>
            <w:r w:rsidRPr="0018386D">
              <w:rPr>
                <w:color w:val="FFFFFF" w:themeColor="background1"/>
              </w:rPr>
              <w:t>unit)</w:t>
            </w:r>
          </w:p>
        </w:tc>
        <w:tc>
          <w:tcPr>
            <w:tcW w:w="1418" w:type="dxa"/>
            <w:shd w:val="clear" w:color="000000" w:fill="1C556C"/>
            <w:noWrap/>
            <w:vAlign w:val="bottom"/>
            <w:hideMark/>
          </w:tcPr>
          <w:p w14:paraId="1A6BCD15" w14:textId="195E0566" w:rsidR="008E2ED2" w:rsidRPr="0018386D" w:rsidRDefault="008E2ED2" w:rsidP="00DD3106">
            <w:pPr>
              <w:pStyle w:val="TableTextbold"/>
              <w:keepNext/>
              <w:spacing w:before="30" w:after="30"/>
              <w:rPr>
                <w:color w:val="FFFFFF" w:themeColor="background1"/>
              </w:rPr>
            </w:pPr>
            <w:r w:rsidRPr="0018386D">
              <w:rPr>
                <w:color w:val="FFFFFF" w:themeColor="background1"/>
              </w:rPr>
              <w:t>N₂O (kg CO₂-e/</w:t>
            </w:r>
            <w:r w:rsidR="00A57A04" w:rsidRPr="0018386D">
              <w:rPr>
                <w:color w:val="FFFFFF" w:themeColor="background1"/>
              </w:rPr>
              <w:t xml:space="preserve"> </w:t>
            </w:r>
            <w:r w:rsidRPr="0018386D">
              <w:rPr>
                <w:color w:val="FFFFFF" w:themeColor="background1"/>
              </w:rPr>
              <w:t>unit)</w:t>
            </w:r>
          </w:p>
        </w:tc>
      </w:tr>
      <w:tr w:rsidR="00A57A04" w:rsidRPr="0018386D" w14:paraId="35A4B077" w14:textId="77777777" w:rsidTr="00A57A04">
        <w:trPr>
          <w:divId w:val="753674052"/>
          <w:trHeight w:val="240"/>
        </w:trPr>
        <w:tc>
          <w:tcPr>
            <w:tcW w:w="1928" w:type="dxa"/>
            <w:shd w:val="clear" w:color="000000" w:fill="D2DDE1"/>
            <w:noWrap/>
            <w:hideMark/>
          </w:tcPr>
          <w:p w14:paraId="11508FA2" w14:textId="77777777" w:rsidR="008E2ED2" w:rsidRPr="0018386D" w:rsidRDefault="008E2ED2" w:rsidP="00DD3106">
            <w:pPr>
              <w:pStyle w:val="TableTextbold"/>
              <w:keepNext/>
              <w:spacing w:before="30" w:after="30"/>
            </w:pPr>
            <w:r w:rsidRPr="0018386D">
              <w:t>Manure management</w:t>
            </w:r>
          </w:p>
        </w:tc>
        <w:tc>
          <w:tcPr>
            <w:tcW w:w="964" w:type="dxa"/>
            <w:shd w:val="clear" w:color="000000" w:fill="D2DDE1"/>
            <w:noWrap/>
            <w:hideMark/>
          </w:tcPr>
          <w:p w14:paraId="5AA2E3F6" w14:textId="77777777" w:rsidR="008E2ED2" w:rsidRPr="0018386D" w:rsidRDefault="008E2ED2" w:rsidP="00DD3106">
            <w:pPr>
              <w:pStyle w:val="TableTextbold"/>
              <w:keepNext/>
              <w:spacing w:before="30" w:after="30"/>
              <w:rPr>
                <w:b w:val="0"/>
                <w:bCs/>
              </w:rPr>
            </w:pPr>
            <w:r w:rsidRPr="0018386D">
              <w:rPr>
                <w:b w:val="0"/>
                <w:bCs/>
              </w:rPr>
              <w:t> </w:t>
            </w:r>
          </w:p>
        </w:tc>
        <w:tc>
          <w:tcPr>
            <w:tcW w:w="1247" w:type="dxa"/>
            <w:shd w:val="clear" w:color="000000" w:fill="D2DDE1"/>
            <w:noWrap/>
            <w:hideMark/>
          </w:tcPr>
          <w:p w14:paraId="3610315B" w14:textId="77777777" w:rsidR="008E2ED2" w:rsidRPr="0018386D" w:rsidRDefault="008E2ED2" w:rsidP="00DD3106">
            <w:pPr>
              <w:pStyle w:val="TableTextbold"/>
              <w:keepNext/>
              <w:spacing w:before="30" w:after="30"/>
              <w:rPr>
                <w:b w:val="0"/>
                <w:bCs/>
              </w:rPr>
            </w:pPr>
            <w:r w:rsidRPr="0018386D">
              <w:rPr>
                <w:b w:val="0"/>
                <w:bCs/>
              </w:rPr>
              <w:t> </w:t>
            </w:r>
          </w:p>
        </w:tc>
        <w:tc>
          <w:tcPr>
            <w:tcW w:w="1418" w:type="dxa"/>
            <w:shd w:val="clear" w:color="000000" w:fill="D2DDE1"/>
            <w:noWrap/>
            <w:hideMark/>
          </w:tcPr>
          <w:p w14:paraId="2642337F" w14:textId="77777777" w:rsidR="008E2ED2" w:rsidRPr="0018386D" w:rsidRDefault="008E2ED2" w:rsidP="00DD3106">
            <w:pPr>
              <w:pStyle w:val="TableTextbold"/>
              <w:keepNext/>
              <w:spacing w:before="30" w:after="30"/>
              <w:rPr>
                <w:b w:val="0"/>
                <w:bCs/>
              </w:rPr>
            </w:pPr>
            <w:r w:rsidRPr="0018386D">
              <w:rPr>
                <w:b w:val="0"/>
                <w:bCs/>
              </w:rPr>
              <w:t> </w:t>
            </w:r>
          </w:p>
        </w:tc>
        <w:tc>
          <w:tcPr>
            <w:tcW w:w="1418" w:type="dxa"/>
            <w:shd w:val="clear" w:color="000000" w:fill="D2DDE1"/>
            <w:noWrap/>
            <w:hideMark/>
          </w:tcPr>
          <w:p w14:paraId="54BE54E5" w14:textId="77777777" w:rsidR="008E2ED2" w:rsidRPr="0018386D" w:rsidRDefault="008E2ED2" w:rsidP="00DD3106">
            <w:pPr>
              <w:pStyle w:val="TableTextbold"/>
              <w:keepNext/>
              <w:spacing w:before="30" w:after="30"/>
              <w:rPr>
                <w:b w:val="0"/>
                <w:bCs/>
              </w:rPr>
            </w:pPr>
            <w:r w:rsidRPr="0018386D">
              <w:rPr>
                <w:b w:val="0"/>
                <w:bCs/>
              </w:rPr>
              <w:t> </w:t>
            </w:r>
          </w:p>
        </w:tc>
        <w:tc>
          <w:tcPr>
            <w:tcW w:w="1418" w:type="dxa"/>
            <w:shd w:val="clear" w:color="000000" w:fill="D2DDE1"/>
            <w:noWrap/>
            <w:hideMark/>
          </w:tcPr>
          <w:p w14:paraId="24CBB327" w14:textId="77777777" w:rsidR="008E2ED2" w:rsidRPr="0018386D" w:rsidRDefault="008E2ED2" w:rsidP="00DD3106">
            <w:pPr>
              <w:pStyle w:val="TableTextbold"/>
              <w:keepNext/>
              <w:spacing w:before="30" w:after="30"/>
              <w:rPr>
                <w:b w:val="0"/>
                <w:bCs/>
              </w:rPr>
            </w:pPr>
            <w:r w:rsidRPr="0018386D">
              <w:rPr>
                <w:b w:val="0"/>
                <w:bCs/>
              </w:rPr>
              <w:t> </w:t>
            </w:r>
          </w:p>
        </w:tc>
      </w:tr>
      <w:tr w:rsidR="00231F21" w:rsidRPr="0018386D" w14:paraId="6E136E26" w14:textId="77777777" w:rsidTr="00A57A04">
        <w:trPr>
          <w:divId w:val="753674052"/>
          <w:trHeight w:val="240"/>
        </w:trPr>
        <w:tc>
          <w:tcPr>
            <w:tcW w:w="1928" w:type="dxa"/>
            <w:shd w:val="clear" w:color="000000" w:fill="FFFFFF"/>
            <w:noWrap/>
            <w:hideMark/>
          </w:tcPr>
          <w:p w14:paraId="458AEC97" w14:textId="77777777" w:rsidR="00A94C3E" w:rsidRPr="0018386D" w:rsidRDefault="00A94C3E" w:rsidP="00DD3106">
            <w:pPr>
              <w:pStyle w:val="TableText"/>
              <w:spacing w:before="30" w:after="30"/>
            </w:pPr>
            <w:r w:rsidRPr="0018386D">
              <w:t>Dairy cattle</w:t>
            </w:r>
          </w:p>
        </w:tc>
        <w:tc>
          <w:tcPr>
            <w:tcW w:w="964" w:type="dxa"/>
            <w:shd w:val="clear" w:color="000000" w:fill="FFFFFF"/>
            <w:noWrap/>
            <w:hideMark/>
          </w:tcPr>
          <w:p w14:paraId="7DA3380A"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79A9DA01" w14:textId="55E301F4" w:rsidR="00A94C3E" w:rsidRPr="0018386D" w:rsidRDefault="00A94C3E" w:rsidP="00DD3106">
            <w:pPr>
              <w:pStyle w:val="TableText"/>
              <w:spacing w:before="30" w:after="30"/>
            </w:pPr>
            <w:r w:rsidRPr="0018386D">
              <w:t>25</w:t>
            </w:r>
            <w:r w:rsidR="00801A92" w:rsidRPr="0018386D">
              <w:t>4.</w:t>
            </w:r>
            <w:r w:rsidRPr="0018386D">
              <w:t>5</w:t>
            </w:r>
          </w:p>
        </w:tc>
        <w:tc>
          <w:tcPr>
            <w:tcW w:w="1418" w:type="dxa"/>
            <w:shd w:val="clear" w:color="000000" w:fill="FFFFFF"/>
            <w:noWrap/>
            <w:hideMark/>
          </w:tcPr>
          <w:p w14:paraId="041D5AAB"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752C00CC" w14:textId="175FD6D5" w:rsidR="00A94C3E" w:rsidRPr="0018386D" w:rsidRDefault="00A94C3E" w:rsidP="00DD3106">
            <w:pPr>
              <w:pStyle w:val="TableText"/>
              <w:spacing w:before="30" w:after="30"/>
            </w:pPr>
            <w:r w:rsidRPr="0018386D">
              <w:t>24</w:t>
            </w:r>
            <w:r w:rsidR="003A4391" w:rsidRPr="0018386D">
              <w:t>2.8</w:t>
            </w:r>
          </w:p>
        </w:tc>
        <w:tc>
          <w:tcPr>
            <w:tcW w:w="1418" w:type="dxa"/>
            <w:shd w:val="clear" w:color="000000" w:fill="FFFFFF"/>
            <w:noWrap/>
            <w:hideMark/>
          </w:tcPr>
          <w:p w14:paraId="34279888" w14:textId="5ACA3CB1" w:rsidR="00A94C3E" w:rsidRPr="0018386D" w:rsidRDefault="00A94C3E" w:rsidP="00DD3106">
            <w:pPr>
              <w:pStyle w:val="TableText"/>
              <w:spacing w:before="30" w:after="30"/>
            </w:pPr>
            <w:r w:rsidRPr="0018386D">
              <w:t>11.7</w:t>
            </w:r>
          </w:p>
        </w:tc>
      </w:tr>
      <w:tr w:rsidR="00231F21" w:rsidRPr="0018386D" w14:paraId="19970F4F" w14:textId="77777777" w:rsidTr="00A57A04">
        <w:trPr>
          <w:divId w:val="753674052"/>
          <w:trHeight w:val="240"/>
        </w:trPr>
        <w:tc>
          <w:tcPr>
            <w:tcW w:w="1928" w:type="dxa"/>
            <w:shd w:val="clear" w:color="000000" w:fill="FFFFFF"/>
            <w:noWrap/>
            <w:hideMark/>
          </w:tcPr>
          <w:p w14:paraId="23448758" w14:textId="77777777" w:rsidR="00A94C3E" w:rsidRPr="0018386D" w:rsidRDefault="00A94C3E" w:rsidP="00DD3106">
            <w:pPr>
              <w:pStyle w:val="TableText"/>
              <w:spacing w:before="30" w:after="30"/>
            </w:pPr>
            <w:r w:rsidRPr="0018386D">
              <w:t>Non-dairy cattle</w:t>
            </w:r>
          </w:p>
        </w:tc>
        <w:tc>
          <w:tcPr>
            <w:tcW w:w="964" w:type="dxa"/>
            <w:shd w:val="clear" w:color="000000" w:fill="FFFFFF"/>
            <w:noWrap/>
            <w:hideMark/>
          </w:tcPr>
          <w:p w14:paraId="1708F2A5"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4D5155D8" w14:textId="5332FA07" w:rsidR="00A94C3E" w:rsidRPr="0018386D" w:rsidRDefault="00A94C3E" w:rsidP="00DD3106">
            <w:pPr>
              <w:pStyle w:val="TableText"/>
              <w:spacing w:before="30" w:after="30"/>
            </w:pPr>
            <w:r w:rsidRPr="0018386D">
              <w:t>23.3</w:t>
            </w:r>
          </w:p>
        </w:tc>
        <w:tc>
          <w:tcPr>
            <w:tcW w:w="1418" w:type="dxa"/>
            <w:shd w:val="clear" w:color="000000" w:fill="FFFFFF"/>
            <w:noWrap/>
            <w:hideMark/>
          </w:tcPr>
          <w:p w14:paraId="44571842"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5C4A7F2E" w14:textId="65AEBE73" w:rsidR="00A94C3E" w:rsidRPr="0018386D" w:rsidRDefault="00A94C3E" w:rsidP="00DD3106">
            <w:pPr>
              <w:pStyle w:val="TableText"/>
              <w:spacing w:before="30" w:after="30"/>
            </w:pPr>
            <w:r w:rsidRPr="0018386D">
              <w:t>23.3</w:t>
            </w:r>
          </w:p>
        </w:tc>
        <w:tc>
          <w:tcPr>
            <w:tcW w:w="1418" w:type="dxa"/>
            <w:shd w:val="clear" w:color="000000" w:fill="FFFFFF"/>
            <w:noWrap/>
            <w:hideMark/>
          </w:tcPr>
          <w:p w14:paraId="30FDF46F" w14:textId="7BCD2ECB" w:rsidR="00A94C3E" w:rsidRPr="0018386D" w:rsidRDefault="00A94C3E" w:rsidP="00DD3106">
            <w:pPr>
              <w:pStyle w:val="TableText"/>
              <w:spacing w:before="30" w:after="30"/>
            </w:pPr>
            <w:r w:rsidRPr="0018386D">
              <w:t>n/a</w:t>
            </w:r>
          </w:p>
        </w:tc>
      </w:tr>
      <w:tr w:rsidR="00231F21" w:rsidRPr="0018386D" w14:paraId="7A3CDAAD" w14:textId="77777777" w:rsidTr="00A57A04">
        <w:trPr>
          <w:divId w:val="753674052"/>
          <w:trHeight w:val="240"/>
        </w:trPr>
        <w:tc>
          <w:tcPr>
            <w:tcW w:w="1928" w:type="dxa"/>
            <w:shd w:val="clear" w:color="000000" w:fill="FFFFFF"/>
            <w:noWrap/>
            <w:hideMark/>
          </w:tcPr>
          <w:p w14:paraId="61E0F9F7" w14:textId="77777777" w:rsidR="00A94C3E" w:rsidRPr="0018386D" w:rsidRDefault="00A94C3E" w:rsidP="00DD3106">
            <w:pPr>
              <w:pStyle w:val="TableText"/>
              <w:spacing w:before="30" w:after="30"/>
            </w:pPr>
            <w:r w:rsidRPr="0018386D">
              <w:t>Sheep</w:t>
            </w:r>
          </w:p>
        </w:tc>
        <w:tc>
          <w:tcPr>
            <w:tcW w:w="964" w:type="dxa"/>
            <w:shd w:val="clear" w:color="000000" w:fill="FFFFFF"/>
            <w:noWrap/>
            <w:hideMark/>
          </w:tcPr>
          <w:p w14:paraId="0EE262FB"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1DFC0064" w14:textId="0B9E1A55" w:rsidR="00A94C3E" w:rsidRPr="0018386D" w:rsidRDefault="00A94C3E" w:rsidP="00DD3106">
            <w:pPr>
              <w:pStyle w:val="TableText"/>
              <w:spacing w:before="30" w:after="30"/>
            </w:pPr>
            <w:r w:rsidRPr="0018386D">
              <w:t>3.81</w:t>
            </w:r>
          </w:p>
        </w:tc>
        <w:tc>
          <w:tcPr>
            <w:tcW w:w="1418" w:type="dxa"/>
            <w:shd w:val="clear" w:color="000000" w:fill="FFFFFF"/>
            <w:noWrap/>
            <w:hideMark/>
          </w:tcPr>
          <w:p w14:paraId="67A7C18F"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29B984DC" w14:textId="4B64EF8B" w:rsidR="00A94C3E" w:rsidRPr="0018386D" w:rsidRDefault="00A94C3E" w:rsidP="00DD3106">
            <w:pPr>
              <w:pStyle w:val="TableText"/>
              <w:spacing w:before="30" w:after="30"/>
            </w:pPr>
            <w:r w:rsidRPr="0018386D">
              <w:t>3.81</w:t>
            </w:r>
          </w:p>
        </w:tc>
        <w:tc>
          <w:tcPr>
            <w:tcW w:w="1418" w:type="dxa"/>
            <w:shd w:val="clear" w:color="000000" w:fill="FFFFFF"/>
            <w:noWrap/>
            <w:hideMark/>
          </w:tcPr>
          <w:p w14:paraId="4D2AB3B4" w14:textId="7A4677F7" w:rsidR="00A94C3E" w:rsidRPr="0018386D" w:rsidRDefault="00A94C3E" w:rsidP="00DD3106">
            <w:pPr>
              <w:pStyle w:val="TableText"/>
              <w:spacing w:before="30" w:after="30"/>
            </w:pPr>
            <w:r w:rsidRPr="0018386D">
              <w:t>n/a</w:t>
            </w:r>
          </w:p>
        </w:tc>
      </w:tr>
      <w:tr w:rsidR="00231F21" w:rsidRPr="0018386D" w14:paraId="189E1B3B" w14:textId="77777777" w:rsidTr="00A57A04">
        <w:trPr>
          <w:divId w:val="753674052"/>
          <w:trHeight w:val="240"/>
        </w:trPr>
        <w:tc>
          <w:tcPr>
            <w:tcW w:w="1928" w:type="dxa"/>
            <w:shd w:val="clear" w:color="000000" w:fill="FFFFFF"/>
            <w:noWrap/>
            <w:hideMark/>
          </w:tcPr>
          <w:p w14:paraId="28ED94FB" w14:textId="77777777" w:rsidR="00A94C3E" w:rsidRPr="0018386D" w:rsidRDefault="00A94C3E" w:rsidP="00DD3106">
            <w:pPr>
              <w:pStyle w:val="TableText"/>
              <w:spacing w:before="30" w:after="30"/>
            </w:pPr>
            <w:r w:rsidRPr="0018386D">
              <w:t>Deer</w:t>
            </w:r>
          </w:p>
        </w:tc>
        <w:tc>
          <w:tcPr>
            <w:tcW w:w="964" w:type="dxa"/>
            <w:shd w:val="clear" w:color="000000" w:fill="FFFFFF"/>
            <w:noWrap/>
            <w:hideMark/>
          </w:tcPr>
          <w:p w14:paraId="3D793567"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6E02908C" w14:textId="04876A8C" w:rsidR="00A94C3E" w:rsidRPr="0018386D" w:rsidRDefault="00A94C3E" w:rsidP="00DD3106">
            <w:pPr>
              <w:pStyle w:val="TableText"/>
              <w:spacing w:before="30" w:after="30"/>
            </w:pPr>
            <w:r w:rsidRPr="0018386D">
              <w:t>8.33</w:t>
            </w:r>
          </w:p>
        </w:tc>
        <w:tc>
          <w:tcPr>
            <w:tcW w:w="1418" w:type="dxa"/>
            <w:shd w:val="clear" w:color="000000" w:fill="FFFFFF"/>
            <w:noWrap/>
            <w:hideMark/>
          </w:tcPr>
          <w:p w14:paraId="73704CC8"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363E93A9" w14:textId="1461FD8C" w:rsidR="00A94C3E" w:rsidRPr="0018386D" w:rsidRDefault="00A94C3E" w:rsidP="00DD3106">
            <w:pPr>
              <w:pStyle w:val="TableText"/>
              <w:spacing w:before="30" w:after="30"/>
            </w:pPr>
            <w:r w:rsidRPr="0018386D">
              <w:t>8.33</w:t>
            </w:r>
          </w:p>
        </w:tc>
        <w:tc>
          <w:tcPr>
            <w:tcW w:w="1418" w:type="dxa"/>
            <w:shd w:val="clear" w:color="000000" w:fill="FFFFFF"/>
            <w:noWrap/>
            <w:hideMark/>
          </w:tcPr>
          <w:p w14:paraId="19B38FBE" w14:textId="0E48922B" w:rsidR="00A94C3E" w:rsidRPr="0018386D" w:rsidRDefault="00A94C3E" w:rsidP="00DD3106">
            <w:pPr>
              <w:pStyle w:val="TableText"/>
              <w:spacing w:before="30" w:after="30"/>
            </w:pPr>
            <w:r w:rsidRPr="0018386D">
              <w:t>n/a</w:t>
            </w:r>
          </w:p>
        </w:tc>
      </w:tr>
      <w:tr w:rsidR="00231F21" w:rsidRPr="0018386D" w14:paraId="71846DD0" w14:textId="77777777" w:rsidTr="00A57A04">
        <w:trPr>
          <w:divId w:val="753674052"/>
          <w:trHeight w:val="240"/>
        </w:trPr>
        <w:tc>
          <w:tcPr>
            <w:tcW w:w="1928" w:type="dxa"/>
            <w:shd w:val="clear" w:color="000000" w:fill="FFFFFF"/>
            <w:noWrap/>
            <w:hideMark/>
          </w:tcPr>
          <w:p w14:paraId="40FA3B4F" w14:textId="77777777" w:rsidR="00A94C3E" w:rsidRPr="0018386D" w:rsidRDefault="00A94C3E" w:rsidP="00DD3106">
            <w:pPr>
              <w:pStyle w:val="TableText"/>
              <w:spacing w:before="30" w:after="30"/>
            </w:pPr>
            <w:r w:rsidRPr="0018386D">
              <w:t>Swine</w:t>
            </w:r>
          </w:p>
        </w:tc>
        <w:tc>
          <w:tcPr>
            <w:tcW w:w="964" w:type="dxa"/>
            <w:shd w:val="clear" w:color="000000" w:fill="FFFFFF"/>
            <w:noWrap/>
            <w:hideMark/>
          </w:tcPr>
          <w:p w14:paraId="5AC22F92"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66A7E720" w14:textId="0075BDA7" w:rsidR="00A94C3E" w:rsidRPr="0018386D" w:rsidRDefault="00A94C3E" w:rsidP="00DD3106">
            <w:pPr>
              <w:pStyle w:val="TableText"/>
              <w:spacing w:before="30" w:after="30"/>
            </w:pPr>
            <w:r w:rsidRPr="0018386D">
              <w:t>218</w:t>
            </w:r>
          </w:p>
        </w:tc>
        <w:tc>
          <w:tcPr>
            <w:tcW w:w="1418" w:type="dxa"/>
            <w:shd w:val="clear" w:color="000000" w:fill="FFFFFF"/>
            <w:noWrap/>
            <w:hideMark/>
          </w:tcPr>
          <w:p w14:paraId="525AB6D4"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7D24B4AF" w14:textId="3FF95129" w:rsidR="00A94C3E" w:rsidRPr="0018386D" w:rsidRDefault="00A94C3E" w:rsidP="00DD3106">
            <w:pPr>
              <w:pStyle w:val="TableText"/>
              <w:spacing w:before="30" w:after="30"/>
            </w:pPr>
            <w:r w:rsidRPr="0018386D">
              <w:t>166</w:t>
            </w:r>
          </w:p>
        </w:tc>
        <w:tc>
          <w:tcPr>
            <w:tcW w:w="1418" w:type="dxa"/>
            <w:shd w:val="clear" w:color="000000" w:fill="FFFFFF"/>
            <w:noWrap/>
            <w:hideMark/>
          </w:tcPr>
          <w:p w14:paraId="04349D55" w14:textId="5AAB7327" w:rsidR="00A94C3E" w:rsidRPr="0018386D" w:rsidRDefault="00A94C3E" w:rsidP="00DD3106">
            <w:pPr>
              <w:pStyle w:val="TableText"/>
              <w:spacing w:before="30" w:after="30"/>
            </w:pPr>
            <w:r w:rsidRPr="0018386D">
              <w:t>51.7</w:t>
            </w:r>
          </w:p>
        </w:tc>
      </w:tr>
      <w:tr w:rsidR="00231F21" w:rsidRPr="0018386D" w14:paraId="799DD404" w14:textId="77777777" w:rsidTr="00A57A04">
        <w:trPr>
          <w:divId w:val="753674052"/>
          <w:trHeight w:val="240"/>
        </w:trPr>
        <w:tc>
          <w:tcPr>
            <w:tcW w:w="1928" w:type="dxa"/>
            <w:shd w:val="clear" w:color="000000" w:fill="FFFFFF"/>
            <w:noWrap/>
            <w:hideMark/>
          </w:tcPr>
          <w:p w14:paraId="53B9916F" w14:textId="77777777" w:rsidR="00A94C3E" w:rsidRPr="0018386D" w:rsidRDefault="00A94C3E" w:rsidP="00DD3106">
            <w:pPr>
              <w:pStyle w:val="TableText"/>
              <w:spacing w:before="30" w:after="30"/>
            </w:pPr>
            <w:r w:rsidRPr="0018386D">
              <w:t>Goats</w:t>
            </w:r>
          </w:p>
        </w:tc>
        <w:tc>
          <w:tcPr>
            <w:tcW w:w="964" w:type="dxa"/>
            <w:shd w:val="clear" w:color="000000" w:fill="FFFFFF"/>
            <w:noWrap/>
            <w:hideMark/>
          </w:tcPr>
          <w:p w14:paraId="110D377A"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4316093B" w14:textId="1F6D681D" w:rsidR="00A94C3E" w:rsidRPr="0018386D" w:rsidRDefault="00A94C3E" w:rsidP="00DD3106">
            <w:pPr>
              <w:pStyle w:val="TableText"/>
              <w:spacing w:before="30" w:after="30"/>
            </w:pPr>
            <w:r w:rsidRPr="0018386D">
              <w:t>5.60</w:t>
            </w:r>
          </w:p>
        </w:tc>
        <w:tc>
          <w:tcPr>
            <w:tcW w:w="1418" w:type="dxa"/>
            <w:shd w:val="clear" w:color="000000" w:fill="FFFFFF"/>
            <w:noWrap/>
            <w:hideMark/>
          </w:tcPr>
          <w:p w14:paraId="3F6CE1F8"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4F25B026" w14:textId="02DAA716" w:rsidR="00A94C3E" w:rsidRPr="0018386D" w:rsidRDefault="00A94C3E" w:rsidP="00DD3106">
            <w:pPr>
              <w:pStyle w:val="TableText"/>
              <w:spacing w:before="30" w:after="30"/>
            </w:pPr>
            <w:r w:rsidRPr="0018386D">
              <w:t>5.60</w:t>
            </w:r>
          </w:p>
        </w:tc>
        <w:tc>
          <w:tcPr>
            <w:tcW w:w="1418" w:type="dxa"/>
            <w:shd w:val="clear" w:color="000000" w:fill="FFFFFF"/>
            <w:noWrap/>
            <w:hideMark/>
          </w:tcPr>
          <w:p w14:paraId="73E37F76" w14:textId="19489AD0" w:rsidR="00A94C3E" w:rsidRPr="0018386D" w:rsidRDefault="00A94C3E" w:rsidP="00DD3106">
            <w:pPr>
              <w:pStyle w:val="TableText"/>
              <w:spacing w:before="30" w:after="30"/>
            </w:pPr>
            <w:r w:rsidRPr="0018386D">
              <w:t>n/a</w:t>
            </w:r>
          </w:p>
        </w:tc>
      </w:tr>
      <w:tr w:rsidR="00231F21" w:rsidRPr="0018386D" w14:paraId="4BFDD01D" w14:textId="77777777" w:rsidTr="00A57A04">
        <w:trPr>
          <w:divId w:val="753674052"/>
          <w:trHeight w:val="240"/>
        </w:trPr>
        <w:tc>
          <w:tcPr>
            <w:tcW w:w="1928" w:type="dxa"/>
            <w:shd w:val="clear" w:color="000000" w:fill="FFFFFF"/>
            <w:noWrap/>
            <w:hideMark/>
          </w:tcPr>
          <w:p w14:paraId="30851FE5" w14:textId="77777777" w:rsidR="00A94C3E" w:rsidRPr="0018386D" w:rsidRDefault="00A94C3E" w:rsidP="00DD3106">
            <w:pPr>
              <w:pStyle w:val="TableText"/>
              <w:spacing w:before="30" w:after="30"/>
            </w:pPr>
            <w:r w:rsidRPr="0018386D">
              <w:t>Horses</w:t>
            </w:r>
          </w:p>
        </w:tc>
        <w:tc>
          <w:tcPr>
            <w:tcW w:w="964" w:type="dxa"/>
            <w:shd w:val="clear" w:color="000000" w:fill="FFFFFF"/>
            <w:noWrap/>
            <w:hideMark/>
          </w:tcPr>
          <w:p w14:paraId="7E2558AC"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79C7BF6F" w14:textId="6325CC56" w:rsidR="00A94C3E" w:rsidRPr="0018386D" w:rsidRDefault="00A94C3E" w:rsidP="00DD3106">
            <w:pPr>
              <w:pStyle w:val="TableText"/>
              <w:spacing w:before="30" w:after="30"/>
            </w:pPr>
            <w:r w:rsidRPr="0018386D">
              <w:t>65.5</w:t>
            </w:r>
          </w:p>
        </w:tc>
        <w:tc>
          <w:tcPr>
            <w:tcW w:w="1418" w:type="dxa"/>
            <w:shd w:val="clear" w:color="000000" w:fill="FFFFFF"/>
            <w:noWrap/>
            <w:hideMark/>
          </w:tcPr>
          <w:p w14:paraId="7F07F663"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6F8437E9" w14:textId="3C1CFD59" w:rsidR="00A94C3E" w:rsidRPr="0018386D" w:rsidRDefault="00A94C3E" w:rsidP="00DD3106">
            <w:pPr>
              <w:pStyle w:val="TableText"/>
              <w:spacing w:before="30" w:after="30"/>
            </w:pPr>
            <w:r w:rsidRPr="0018386D">
              <w:t>65.5</w:t>
            </w:r>
          </w:p>
        </w:tc>
        <w:tc>
          <w:tcPr>
            <w:tcW w:w="1418" w:type="dxa"/>
            <w:shd w:val="clear" w:color="000000" w:fill="FFFFFF"/>
            <w:noWrap/>
            <w:hideMark/>
          </w:tcPr>
          <w:p w14:paraId="3E61E0E7" w14:textId="3F300DB5" w:rsidR="00A94C3E" w:rsidRPr="0018386D" w:rsidRDefault="00A94C3E" w:rsidP="00DD3106">
            <w:pPr>
              <w:pStyle w:val="TableText"/>
              <w:spacing w:before="30" w:after="30"/>
            </w:pPr>
            <w:r w:rsidRPr="0018386D">
              <w:t>n/a</w:t>
            </w:r>
          </w:p>
        </w:tc>
      </w:tr>
      <w:tr w:rsidR="00231F21" w:rsidRPr="0018386D" w14:paraId="4FE4A564" w14:textId="77777777" w:rsidTr="00A57A04">
        <w:trPr>
          <w:divId w:val="753674052"/>
          <w:trHeight w:val="240"/>
        </w:trPr>
        <w:tc>
          <w:tcPr>
            <w:tcW w:w="1928" w:type="dxa"/>
            <w:shd w:val="clear" w:color="000000" w:fill="FFFFFF"/>
            <w:noWrap/>
            <w:hideMark/>
          </w:tcPr>
          <w:p w14:paraId="1CBBCBC7" w14:textId="77777777" w:rsidR="00A94C3E" w:rsidRPr="0018386D" w:rsidRDefault="00A94C3E" w:rsidP="00DD3106">
            <w:pPr>
              <w:pStyle w:val="TableText"/>
              <w:spacing w:before="30" w:after="30"/>
            </w:pPr>
            <w:r w:rsidRPr="0018386D">
              <w:t>Alpaca and llama</w:t>
            </w:r>
          </w:p>
        </w:tc>
        <w:tc>
          <w:tcPr>
            <w:tcW w:w="964" w:type="dxa"/>
            <w:shd w:val="clear" w:color="000000" w:fill="FFFFFF"/>
            <w:noWrap/>
            <w:hideMark/>
          </w:tcPr>
          <w:p w14:paraId="6B85473D"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730AE6F8" w14:textId="11A9BC28" w:rsidR="00A94C3E" w:rsidRPr="0018386D" w:rsidRDefault="00A94C3E" w:rsidP="00DD3106">
            <w:pPr>
              <w:pStyle w:val="TableText"/>
              <w:spacing w:before="30" w:after="30"/>
            </w:pPr>
            <w:r w:rsidRPr="0018386D">
              <w:t>2.84</w:t>
            </w:r>
          </w:p>
        </w:tc>
        <w:tc>
          <w:tcPr>
            <w:tcW w:w="1418" w:type="dxa"/>
            <w:shd w:val="clear" w:color="000000" w:fill="FFFFFF"/>
            <w:noWrap/>
            <w:hideMark/>
          </w:tcPr>
          <w:p w14:paraId="044BA305"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64B9B215" w14:textId="37A4014E" w:rsidR="00A94C3E" w:rsidRPr="0018386D" w:rsidRDefault="00A94C3E" w:rsidP="00DD3106">
            <w:pPr>
              <w:pStyle w:val="TableText"/>
              <w:spacing w:before="30" w:after="30"/>
            </w:pPr>
            <w:r w:rsidRPr="0018386D">
              <w:t>2.84</w:t>
            </w:r>
          </w:p>
        </w:tc>
        <w:tc>
          <w:tcPr>
            <w:tcW w:w="1418" w:type="dxa"/>
            <w:shd w:val="clear" w:color="000000" w:fill="FFFFFF"/>
            <w:noWrap/>
            <w:hideMark/>
          </w:tcPr>
          <w:p w14:paraId="42F1C378" w14:textId="29D2DEB6" w:rsidR="00A94C3E" w:rsidRPr="0018386D" w:rsidRDefault="00A94C3E" w:rsidP="00DD3106">
            <w:pPr>
              <w:pStyle w:val="TableText"/>
              <w:spacing w:before="30" w:after="30"/>
            </w:pPr>
            <w:r w:rsidRPr="0018386D">
              <w:t>n/a</w:t>
            </w:r>
          </w:p>
        </w:tc>
      </w:tr>
      <w:tr w:rsidR="00231F21" w:rsidRPr="0018386D" w14:paraId="71A2131C" w14:textId="77777777" w:rsidTr="00A57A04">
        <w:trPr>
          <w:divId w:val="753674052"/>
          <w:trHeight w:val="240"/>
        </w:trPr>
        <w:tc>
          <w:tcPr>
            <w:tcW w:w="1928" w:type="dxa"/>
            <w:shd w:val="clear" w:color="000000" w:fill="FFFFFF"/>
            <w:noWrap/>
            <w:hideMark/>
          </w:tcPr>
          <w:p w14:paraId="3A8DCDE5" w14:textId="77777777" w:rsidR="00A94C3E" w:rsidRPr="0018386D" w:rsidRDefault="00A94C3E" w:rsidP="00DD3106">
            <w:pPr>
              <w:pStyle w:val="TableText"/>
              <w:spacing w:before="30" w:after="30"/>
            </w:pPr>
            <w:r w:rsidRPr="0018386D">
              <w:t>Mules and asses</w:t>
            </w:r>
          </w:p>
        </w:tc>
        <w:tc>
          <w:tcPr>
            <w:tcW w:w="964" w:type="dxa"/>
            <w:shd w:val="clear" w:color="000000" w:fill="FFFFFF"/>
            <w:noWrap/>
            <w:hideMark/>
          </w:tcPr>
          <w:p w14:paraId="6D20A9DF"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1921CE7E" w14:textId="71C41912" w:rsidR="00A94C3E" w:rsidRPr="0018386D" w:rsidRDefault="00A94C3E" w:rsidP="00DD3106">
            <w:pPr>
              <w:pStyle w:val="TableText"/>
              <w:spacing w:before="30" w:after="30"/>
            </w:pPr>
            <w:r w:rsidRPr="0018386D">
              <w:t>30.8</w:t>
            </w:r>
          </w:p>
        </w:tc>
        <w:tc>
          <w:tcPr>
            <w:tcW w:w="1418" w:type="dxa"/>
            <w:shd w:val="clear" w:color="000000" w:fill="FFFFFF"/>
            <w:noWrap/>
            <w:hideMark/>
          </w:tcPr>
          <w:p w14:paraId="40FB82A1"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0BCF1F93" w14:textId="0B02CA25" w:rsidR="00A94C3E" w:rsidRPr="0018386D" w:rsidRDefault="00A94C3E" w:rsidP="00DD3106">
            <w:pPr>
              <w:pStyle w:val="TableText"/>
              <w:spacing w:before="30" w:after="30"/>
            </w:pPr>
            <w:r w:rsidRPr="0018386D">
              <w:t>30.8</w:t>
            </w:r>
          </w:p>
        </w:tc>
        <w:tc>
          <w:tcPr>
            <w:tcW w:w="1418" w:type="dxa"/>
            <w:shd w:val="clear" w:color="000000" w:fill="FFFFFF"/>
            <w:noWrap/>
            <w:hideMark/>
          </w:tcPr>
          <w:p w14:paraId="23FB1003" w14:textId="051191A3" w:rsidR="00A94C3E" w:rsidRPr="0018386D" w:rsidRDefault="00A94C3E" w:rsidP="00DD3106">
            <w:pPr>
              <w:pStyle w:val="TableText"/>
              <w:spacing w:before="30" w:after="30"/>
            </w:pPr>
            <w:r w:rsidRPr="0018386D">
              <w:t>n/a</w:t>
            </w:r>
          </w:p>
        </w:tc>
      </w:tr>
      <w:tr w:rsidR="00231F21" w:rsidRPr="0018386D" w14:paraId="5DBDEB0D" w14:textId="77777777" w:rsidTr="00A57A04">
        <w:trPr>
          <w:divId w:val="753674052"/>
          <w:trHeight w:val="240"/>
        </w:trPr>
        <w:tc>
          <w:tcPr>
            <w:tcW w:w="1928" w:type="dxa"/>
            <w:shd w:val="clear" w:color="000000" w:fill="FFFFFF"/>
            <w:noWrap/>
            <w:hideMark/>
          </w:tcPr>
          <w:p w14:paraId="567F6ECB" w14:textId="77777777" w:rsidR="00A94C3E" w:rsidRPr="0018386D" w:rsidRDefault="00A94C3E" w:rsidP="00DD3106">
            <w:pPr>
              <w:pStyle w:val="TableText"/>
              <w:spacing w:before="30" w:after="30"/>
            </w:pPr>
            <w:r w:rsidRPr="0018386D">
              <w:t>Poultry</w:t>
            </w:r>
          </w:p>
        </w:tc>
        <w:tc>
          <w:tcPr>
            <w:tcW w:w="964" w:type="dxa"/>
            <w:shd w:val="clear" w:color="000000" w:fill="FFFFFF"/>
            <w:noWrap/>
            <w:hideMark/>
          </w:tcPr>
          <w:p w14:paraId="71CA4061" w14:textId="77777777" w:rsidR="00A94C3E" w:rsidRPr="0018386D" w:rsidRDefault="00A94C3E" w:rsidP="00DD3106">
            <w:pPr>
              <w:pStyle w:val="TableText"/>
              <w:spacing w:before="30" w:after="30"/>
            </w:pPr>
            <w:r w:rsidRPr="0018386D">
              <w:t>per head</w:t>
            </w:r>
          </w:p>
        </w:tc>
        <w:tc>
          <w:tcPr>
            <w:tcW w:w="1247" w:type="dxa"/>
            <w:shd w:val="clear" w:color="000000" w:fill="D2DDE1"/>
            <w:noWrap/>
            <w:hideMark/>
          </w:tcPr>
          <w:p w14:paraId="7714B2E2" w14:textId="59EF2C9C" w:rsidR="00A94C3E" w:rsidRPr="0018386D" w:rsidRDefault="00A94C3E" w:rsidP="00DD3106">
            <w:pPr>
              <w:pStyle w:val="TableText"/>
              <w:spacing w:before="30" w:after="30"/>
            </w:pPr>
            <w:r w:rsidRPr="0018386D">
              <w:t>1.43</w:t>
            </w:r>
          </w:p>
        </w:tc>
        <w:tc>
          <w:tcPr>
            <w:tcW w:w="1418" w:type="dxa"/>
            <w:shd w:val="clear" w:color="000000" w:fill="FFFFFF"/>
            <w:noWrap/>
            <w:hideMark/>
          </w:tcPr>
          <w:p w14:paraId="701F8CCC" w14:textId="77777777" w:rsidR="00A94C3E" w:rsidRPr="0018386D" w:rsidRDefault="00A94C3E" w:rsidP="00DD3106">
            <w:pPr>
              <w:pStyle w:val="TableText"/>
              <w:spacing w:before="30" w:after="30"/>
            </w:pPr>
            <w:r w:rsidRPr="0018386D">
              <w:t>n/a</w:t>
            </w:r>
          </w:p>
        </w:tc>
        <w:tc>
          <w:tcPr>
            <w:tcW w:w="1418" w:type="dxa"/>
            <w:shd w:val="clear" w:color="000000" w:fill="FFFFFF"/>
            <w:noWrap/>
            <w:hideMark/>
          </w:tcPr>
          <w:p w14:paraId="05696254" w14:textId="478F432C" w:rsidR="00A94C3E" w:rsidRPr="0018386D" w:rsidRDefault="00A94C3E" w:rsidP="00DD3106">
            <w:pPr>
              <w:pStyle w:val="TableText"/>
              <w:spacing w:before="30" w:after="30"/>
            </w:pPr>
            <w:r w:rsidRPr="0018386D">
              <w:t>0.852</w:t>
            </w:r>
          </w:p>
        </w:tc>
        <w:tc>
          <w:tcPr>
            <w:tcW w:w="1418" w:type="dxa"/>
            <w:shd w:val="clear" w:color="000000" w:fill="FFFFFF"/>
            <w:noWrap/>
            <w:hideMark/>
          </w:tcPr>
          <w:p w14:paraId="36EDD981" w14:textId="5E10DB67" w:rsidR="00A94C3E" w:rsidRPr="0018386D" w:rsidRDefault="00A94C3E" w:rsidP="00DD3106">
            <w:pPr>
              <w:pStyle w:val="TableText"/>
              <w:spacing w:before="30" w:after="30"/>
            </w:pPr>
            <w:r w:rsidRPr="0018386D">
              <w:t>0.580</w:t>
            </w:r>
          </w:p>
        </w:tc>
      </w:tr>
    </w:tbl>
    <w:p w14:paraId="0CF48A08" w14:textId="3E732EF3" w:rsidR="00E52FEA" w:rsidRPr="0018386D" w:rsidRDefault="00E52FEA" w:rsidP="00DD3106">
      <w:pPr>
        <w:pStyle w:val="Heading4"/>
        <w:numPr>
          <w:ilvl w:val="3"/>
          <w:numId w:val="8"/>
        </w:numPr>
        <w:spacing w:before="320"/>
        <w:ind w:left="1134" w:hanging="1134"/>
        <w:rPr>
          <w:rFonts w:eastAsia="Georgia" w:cs="Georgia"/>
          <w:color w:val="000000" w:themeColor="text1"/>
          <w:szCs w:val="24"/>
        </w:rPr>
      </w:pPr>
      <w:bookmarkStart w:id="937" w:name="_GHG_inventory_development_2"/>
      <w:bookmarkEnd w:id="937"/>
      <w:r w:rsidRPr="0018386D">
        <w:t>GHG inventory development</w:t>
      </w:r>
    </w:p>
    <w:p w14:paraId="3C0C64B6" w14:textId="11A597DE" w:rsidR="00E5562F" w:rsidRPr="0018386D" w:rsidRDefault="00E5562F" w:rsidP="00DD3106">
      <w:pPr>
        <w:pStyle w:val="BodyText"/>
        <w:rPr>
          <w:lang w:eastAsia="en-US"/>
        </w:rPr>
      </w:pPr>
      <w:r w:rsidRPr="0018386D">
        <w:rPr>
          <w:lang w:eastAsia="en-US"/>
        </w:rPr>
        <w:t xml:space="preserve">Organisations should collect data on the number </w:t>
      </w:r>
      <w:r w:rsidRPr="0018386D">
        <w:t>and</w:t>
      </w:r>
      <w:r w:rsidRPr="0018386D">
        <w:rPr>
          <w:lang w:eastAsia="en-US"/>
        </w:rPr>
        <w:t xml:space="preserve"> type of livestock as at 30 June during the</w:t>
      </w:r>
      <w:r w:rsidR="005A1D3F" w:rsidRPr="0018386D">
        <w:rPr>
          <w:lang w:eastAsia="en-US"/>
        </w:rPr>
        <w:t> </w:t>
      </w:r>
      <w:r w:rsidRPr="0018386D">
        <w:rPr>
          <w:lang w:eastAsia="en-US"/>
        </w:rPr>
        <w:t>measurement period (regardless of whether the period is a calendar or financial year, see</w:t>
      </w:r>
      <w:hyperlink w:anchor="_Manure_management_emission" w:history="1">
        <w:r w:rsidR="005A1D3F" w:rsidRPr="00CF29E7">
          <w:rPr>
            <w:rStyle w:val="Hyperlink"/>
            <w:lang w:eastAsia="en-US"/>
          </w:rPr>
          <w:t> </w:t>
        </w:r>
        <w:r w:rsidR="00110456" w:rsidRPr="00CF29E7">
          <w:rPr>
            <w:rStyle w:val="Hyperlink"/>
            <w:rFonts w:eastAsia="Times New Roman"/>
            <w:lang w:eastAsia="en-US"/>
          </w:rPr>
          <w:t>s</w:t>
        </w:r>
        <w:r w:rsidR="00DA3181" w:rsidRPr="00CF29E7">
          <w:rPr>
            <w:rStyle w:val="Hyperlink"/>
            <w:rFonts w:eastAsia="Times New Roman"/>
            <w:lang w:eastAsia="en-US"/>
          </w:rPr>
          <w:t>ection 11.3.2</w:t>
        </w:r>
      </w:hyperlink>
      <w:r w:rsidRPr="0018386D">
        <w:rPr>
          <w:lang w:eastAsia="en-US"/>
        </w:rPr>
        <w:t>) to calculate emissions from manure management.</w:t>
      </w:r>
    </w:p>
    <w:p w14:paraId="5844B03C" w14:textId="271AAC16" w:rsidR="000A2FDA" w:rsidRPr="0018386D" w:rsidRDefault="000A2FDA" w:rsidP="00DD3106">
      <w:pPr>
        <w:pStyle w:val="BodyText"/>
        <w:spacing w:line="240" w:lineRule="auto"/>
      </w:pPr>
      <w:r w:rsidRPr="0018386D">
        <w:t xml:space="preserve">Applying the equation </w:t>
      </w:r>
      <w:r w:rsidR="00D34302" w:rsidRPr="0018386D">
        <w:t>E</w:t>
      </w:r>
      <w:r w:rsidR="00B37794" w:rsidRPr="0018386D">
        <w:t xml:space="preserve"> </w:t>
      </w:r>
      <w:r w:rsidR="00D34302" w:rsidRPr="0018386D">
        <w:t>= Q x F</w:t>
      </w:r>
      <w:r w:rsidR="00647A85" w:rsidRPr="0018386D">
        <w:t xml:space="preserve"> </w:t>
      </w:r>
      <w:r w:rsidR="00D34302" w:rsidRPr="0018386D">
        <w:t>(</w:t>
      </w:r>
      <w:hyperlink w:anchor="_How_to_quantify" w:history="1">
        <w:r w:rsidR="00017123" w:rsidRPr="0018386D">
          <w:rPr>
            <w:rStyle w:val="Hyperlink"/>
          </w:rPr>
          <w:t>section 2</w:t>
        </w:r>
      </w:hyperlink>
      <w:r w:rsidR="00D34302" w:rsidRPr="0018386D">
        <w:rPr>
          <w:rStyle w:val="Hyperlink"/>
          <w:color w:val="auto"/>
        </w:rPr>
        <w:t>)</w:t>
      </w:r>
      <w:r w:rsidRPr="0018386D">
        <w:t>, this means:</w:t>
      </w:r>
    </w:p>
    <w:p w14:paraId="7271466E" w14:textId="6BFD5B64" w:rsidR="00D34302" w:rsidRPr="0018386D" w:rsidRDefault="00D34302" w:rsidP="00DD3106">
      <w:pPr>
        <w:pStyle w:val="BodyText"/>
        <w:tabs>
          <w:tab w:val="left" w:pos="680"/>
          <w:tab w:val="left" w:pos="1134"/>
        </w:tabs>
        <w:spacing w:line="240" w:lineRule="auto"/>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1F8D6F25" w14:textId="5D17BB17" w:rsidR="003A7B65" w:rsidRPr="0018386D" w:rsidRDefault="0000678C" w:rsidP="00DD3106">
      <w:pPr>
        <w:pStyle w:val="BodyText"/>
        <w:tabs>
          <w:tab w:val="left" w:pos="680"/>
          <w:tab w:val="left" w:pos="1134"/>
        </w:tabs>
        <w:spacing w:line="240" w:lineRule="auto"/>
        <w:contextualSpacing/>
      </w:pPr>
      <w:r w:rsidRPr="0018386D">
        <w:t>Q</w:t>
      </w:r>
      <w:r w:rsidRPr="0018386D">
        <w:tab/>
        <w:t>=</w:t>
      </w:r>
      <w:r w:rsidRPr="0018386D">
        <w:tab/>
      </w:r>
      <w:r w:rsidR="000B2B63" w:rsidRPr="0018386D">
        <w:t>number</w:t>
      </w:r>
      <w:r w:rsidR="003A7B65" w:rsidRPr="0018386D">
        <w:t xml:space="preserve"> of animals (per head</w:t>
      </w:r>
      <w:r w:rsidR="00E5562F" w:rsidRPr="0018386D">
        <w:t xml:space="preserve"> per </w:t>
      </w:r>
      <w:r w:rsidR="0020720F" w:rsidRPr="0018386D">
        <w:t>livestock</w:t>
      </w:r>
      <w:r w:rsidR="00E5562F" w:rsidRPr="0018386D">
        <w:t xml:space="preserve"> type</w:t>
      </w:r>
      <w:r w:rsidR="003A7B65" w:rsidRPr="0018386D">
        <w:t>)</w:t>
      </w:r>
    </w:p>
    <w:p w14:paraId="2C05FEE1" w14:textId="7C3DF10B" w:rsidR="003A7B65" w:rsidRPr="0018386D" w:rsidRDefault="0000678C" w:rsidP="00DD3106">
      <w:pPr>
        <w:pStyle w:val="BodyText"/>
        <w:tabs>
          <w:tab w:val="left" w:pos="680"/>
          <w:tab w:val="left" w:pos="1134"/>
        </w:tabs>
        <w:spacing w:after="240" w:line="240" w:lineRule="auto"/>
        <w:contextualSpacing/>
      </w:pPr>
      <w:r w:rsidRPr="0018386D">
        <w:t>F</w:t>
      </w:r>
      <w:r w:rsidRPr="0018386D">
        <w:tab/>
        <w:t>=</w:t>
      </w:r>
      <w:r w:rsidRPr="0018386D">
        <w:tab/>
      </w:r>
      <w:r w:rsidR="003A7B65" w:rsidRPr="0018386D">
        <w:t>appropriate emission factors from</w:t>
      </w:r>
      <w:r w:rsidR="005A1D3F" w:rsidRPr="0018386D">
        <w:t xml:space="preserve"> </w:t>
      </w:r>
      <w:hyperlink w:anchor="Table86" w:history="1">
        <w:r w:rsidR="005A1D3F" w:rsidRPr="0018386D">
          <w:rPr>
            <w:rStyle w:val="Hyperlink"/>
          </w:rPr>
          <w:t xml:space="preserve">table </w:t>
        </w:r>
        <w:r w:rsidR="005D4890" w:rsidRPr="0018386D">
          <w:rPr>
            <w:rStyle w:val="Hyperlink"/>
          </w:rPr>
          <w:t>86</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E45D6F" w:rsidRPr="0018386D" w14:paraId="5CC920B6" w14:textId="77777777" w:rsidTr="0A17FEA8">
        <w:tc>
          <w:tcPr>
            <w:tcW w:w="8505" w:type="dxa"/>
            <w:tcBorders>
              <w:top w:val="single" w:sz="4" w:space="0" w:color="0F7B7D"/>
              <w:left w:val="single" w:sz="4" w:space="0" w:color="0F7B7D"/>
              <w:bottom w:val="nil"/>
              <w:right w:val="single" w:sz="4" w:space="0" w:color="0F7B7D"/>
            </w:tcBorders>
            <w:shd w:val="clear" w:color="auto" w:fill="0F7B7D"/>
            <w:vAlign w:val="center"/>
          </w:tcPr>
          <w:p w14:paraId="2DE246F6" w14:textId="027D0BC7" w:rsidR="00E5562F" w:rsidRPr="0018386D" w:rsidDel="00D5390D" w:rsidRDefault="002B3933" w:rsidP="00DD3106">
            <w:pPr>
              <w:pStyle w:val="Casestudyheading"/>
            </w:pPr>
            <w:r w:rsidRPr="0018386D">
              <w:t xml:space="preserve">MANURE MANAGEMENT: </w:t>
            </w:r>
            <w:r w:rsidR="00E5562F" w:rsidRPr="0018386D">
              <w:t>Example Calculation</w:t>
            </w:r>
          </w:p>
        </w:tc>
      </w:tr>
      <w:tr w:rsidR="00E45D6F" w:rsidRPr="0018386D" w14:paraId="08C4CE1D" w14:textId="77777777" w:rsidTr="0A17FEA8">
        <w:tc>
          <w:tcPr>
            <w:tcW w:w="8505"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AF8BBB0" w14:textId="7C365072" w:rsidR="00E5562F" w:rsidRPr="0018386D" w:rsidRDefault="00E5562F" w:rsidP="00DD3106">
            <w:pPr>
              <w:pStyle w:val="Boxtext"/>
              <w:spacing w:after="80"/>
            </w:pPr>
            <w:r w:rsidRPr="0018386D">
              <w:t xml:space="preserve">An organisation owns </w:t>
            </w:r>
            <w:r w:rsidR="00D462C7" w:rsidRPr="0018386D">
              <w:t>2</w:t>
            </w:r>
            <w:r w:rsidR="0023638B" w:rsidRPr="0018386D">
              <w:t>,</w:t>
            </w:r>
            <w:r w:rsidR="00D462C7" w:rsidRPr="0018386D">
              <w:t>400</w:t>
            </w:r>
            <w:r w:rsidRPr="0018386D">
              <w:t xml:space="preserve"> sheep and </w:t>
            </w:r>
            <w:r w:rsidR="00D462C7" w:rsidRPr="0018386D">
              <w:t>210</w:t>
            </w:r>
            <w:r w:rsidRPr="0018386D">
              <w:t xml:space="preserve"> dairy cows on 30 June during the reporting period.</w:t>
            </w:r>
          </w:p>
          <w:p w14:paraId="3EE12930" w14:textId="77777777" w:rsidR="00867F64" w:rsidRPr="0018386D" w:rsidRDefault="00867F64" w:rsidP="00DD3106">
            <w:pPr>
              <w:pStyle w:val="Boxtext"/>
              <w:tabs>
                <w:tab w:val="left" w:pos="2724"/>
                <w:tab w:val="left" w:pos="5701"/>
              </w:tabs>
              <w:spacing w:before="20" w:after="20"/>
              <w:ind w:left="851"/>
            </w:pPr>
            <w:r w:rsidRPr="0018386D">
              <w:t>CO</w:t>
            </w:r>
            <w:r w:rsidRPr="0018386D">
              <w:rPr>
                <w:vertAlign w:val="subscript"/>
              </w:rPr>
              <w:t>2</w:t>
            </w:r>
            <w:r w:rsidRPr="0018386D">
              <w:t xml:space="preserve"> emissions </w:t>
            </w:r>
            <w:r w:rsidRPr="0018386D">
              <w:tab/>
              <w:t>= 0</w:t>
            </w:r>
          </w:p>
          <w:p w14:paraId="5EF5DE5E" w14:textId="1BFFCBAC" w:rsidR="00867F64" w:rsidRPr="0018386D" w:rsidRDefault="00867F64" w:rsidP="00DD3106">
            <w:pPr>
              <w:pStyle w:val="Boxtext"/>
              <w:tabs>
                <w:tab w:val="left" w:pos="2724"/>
                <w:tab w:val="left" w:pos="5418"/>
              </w:tabs>
              <w:spacing w:before="20" w:after="20"/>
              <w:ind w:left="851"/>
            </w:pPr>
            <w:r w:rsidRPr="0018386D">
              <w:t>CH</w:t>
            </w:r>
            <w:r w:rsidRPr="0018386D">
              <w:rPr>
                <w:vertAlign w:val="subscript"/>
              </w:rPr>
              <w:t>4</w:t>
            </w:r>
            <w:r w:rsidRPr="0018386D">
              <w:t xml:space="preserve"> emissions </w:t>
            </w:r>
            <w:r w:rsidRPr="0018386D">
              <w:tab/>
              <w:t>= (2</w:t>
            </w:r>
            <w:r w:rsidR="00767E4D" w:rsidRPr="0018386D">
              <w:t>,</w:t>
            </w:r>
            <w:r w:rsidRPr="0018386D">
              <w:t>400 × 3.8</w:t>
            </w:r>
            <w:r w:rsidR="00065BF4" w:rsidRPr="0018386D">
              <w:t>1</w:t>
            </w:r>
            <w:r w:rsidRPr="0018386D">
              <w:t xml:space="preserve">) + (210 × </w:t>
            </w:r>
            <w:r w:rsidR="00C02599" w:rsidRPr="0018386D">
              <w:t>2</w:t>
            </w:r>
            <w:r w:rsidR="004B345F" w:rsidRPr="0018386D">
              <w:t>42.8</w:t>
            </w:r>
            <w:r w:rsidRPr="0018386D">
              <w:t>)</w:t>
            </w:r>
            <w:r w:rsidRPr="0018386D">
              <w:tab/>
              <w:t xml:space="preserve">= </w:t>
            </w:r>
            <w:r w:rsidR="00B63A4E" w:rsidRPr="0018386D">
              <w:t>60,1</w:t>
            </w:r>
            <w:r w:rsidR="002C675D" w:rsidRPr="0018386D">
              <w:t>32</w:t>
            </w:r>
            <w:r w:rsidRPr="0018386D">
              <w:t xml:space="preserve"> kg CO</w:t>
            </w:r>
            <w:r w:rsidRPr="0018386D">
              <w:rPr>
                <w:vertAlign w:val="subscript"/>
              </w:rPr>
              <w:t>2</w:t>
            </w:r>
            <w:r w:rsidRPr="0018386D">
              <w:t xml:space="preserve">-e </w:t>
            </w:r>
          </w:p>
          <w:p w14:paraId="1960A460" w14:textId="6A81BCE7" w:rsidR="00867F64" w:rsidRPr="0018386D" w:rsidRDefault="00867F64" w:rsidP="00DD3106">
            <w:pPr>
              <w:pStyle w:val="Boxtext"/>
              <w:tabs>
                <w:tab w:val="left" w:pos="2724"/>
                <w:tab w:val="left" w:pos="5418"/>
              </w:tabs>
              <w:spacing w:before="20" w:after="20"/>
              <w:ind w:left="851"/>
            </w:pPr>
            <w:r w:rsidRPr="0018386D">
              <w:t>N</w:t>
            </w:r>
            <w:r w:rsidRPr="0018386D">
              <w:rPr>
                <w:vertAlign w:val="subscript"/>
              </w:rPr>
              <w:t>2</w:t>
            </w:r>
            <w:r w:rsidRPr="0018386D">
              <w:t xml:space="preserve">O emissions </w:t>
            </w:r>
            <w:r w:rsidRPr="0018386D">
              <w:tab/>
              <w:t>= (2</w:t>
            </w:r>
            <w:r w:rsidR="00767E4D" w:rsidRPr="0018386D">
              <w:t>,</w:t>
            </w:r>
            <w:r w:rsidRPr="0018386D">
              <w:t>400 × 0</w:t>
            </w:r>
            <w:r w:rsidR="0058068A" w:rsidRPr="0018386D">
              <w:t>.0</w:t>
            </w:r>
            <w:r w:rsidRPr="0018386D">
              <w:t>) + (210 × 11.7)</w:t>
            </w:r>
            <w:r w:rsidRPr="0018386D">
              <w:tab/>
              <w:t>= 2,457 kg CO</w:t>
            </w:r>
            <w:r w:rsidRPr="0018386D">
              <w:rPr>
                <w:vertAlign w:val="subscript"/>
              </w:rPr>
              <w:t>2</w:t>
            </w:r>
            <w:r w:rsidRPr="0018386D">
              <w:t>-e</w:t>
            </w:r>
          </w:p>
          <w:p w14:paraId="2B8EC3C1" w14:textId="60790D59" w:rsidR="00867F64" w:rsidRPr="0018386D" w:rsidRDefault="00867F64" w:rsidP="00DD3106">
            <w:pPr>
              <w:pStyle w:val="Boxtext"/>
              <w:tabs>
                <w:tab w:val="left" w:pos="2724"/>
                <w:tab w:val="left" w:pos="5418"/>
              </w:tabs>
              <w:spacing w:before="20" w:after="20"/>
              <w:ind w:left="851"/>
            </w:pPr>
            <w:r w:rsidRPr="0018386D">
              <w:t>Total CO</w:t>
            </w:r>
            <w:r w:rsidRPr="0018386D">
              <w:rPr>
                <w:vertAlign w:val="subscript"/>
              </w:rPr>
              <w:t>2</w:t>
            </w:r>
            <w:r w:rsidRPr="0018386D">
              <w:t xml:space="preserve">-e emissions </w:t>
            </w:r>
            <w:r w:rsidRPr="0018386D">
              <w:tab/>
              <w:t xml:space="preserve">= </w:t>
            </w:r>
            <w:r w:rsidR="000C2773" w:rsidRPr="0018386D">
              <w:t>62,</w:t>
            </w:r>
            <w:r w:rsidR="0070624D" w:rsidRPr="0018386D">
              <w:t>589</w:t>
            </w:r>
            <w:r w:rsidRPr="0018386D">
              <w:t xml:space="preserve"> kg CO</w:t>
            </w:r>
            <w:r w:rsidRPr="0018386D">
              <w:rPr>
                <w:vertAlign w:val="subscript"/>
              </w:rPr>
              <w:t>2</w:t>
            </w:r>
            <w:r w:rsidRPr="0018386D">
              <w:t>-e</w:t>
            </w:r>
          </w:p>
          <w:p w14:paraId="615EB14D" w14:textId="76BADC7E" w:rsidR="00E5562F" w:rsidRPr="0018386D" w:rsidRDefault="00E5562F" w:rsidP="00DD3106">
            <w:pPr>
              <w:pStyle w:val="Boxtext"/>
              <w:spacing w:before="80" w:after="180"/>
            </w:pPr>
            <w:r w:rsidRPr="0018386D">
              <w:rPr>
                <w:sz w:val="18"/>
              </w:rPr>
              <w:t>Note</w:t>
            </w:r>
            <w:r w:rsidR="002B3933" w:rsidRPr="0018386D">
              <w:rPr>
                <w:sz w:val="18"/>
              </w:rPr>
              <w:t>: N</w:t>
            </w:r>
            <w:r w:rsidRPr="0018386D">
              <w:rPr>
                <w:sz w:val="18"/>
              </w:rPr>
              <w:t>umbers may not add due to rounding</w:t>
            </w:r>
            <w:r w:rsidR="00A0044D" w:rsidRPr="0018386D">
              <w:rPr>
                <w:sz w:val="18"/>
              </w:rPr>
              <w:t>.</w:t>
            </w:r>
          </w:p>
        </w:tc>
      </w:tr>
    </w:tbl>
    <w:p w14:paraId="2EB02058" w14:textId="72B70337" w:rsidR="004140CD" w:rsidRPr="0018386D" w:rsidRDefault="004140CD" w:rsidP="0098224E">
      <w:pPr>
        <w:pStyle w:val="Heading5"/>
      </w:pPr>
      <w:r w:rsidRPr="0018386D">
        <w:t xml:space="preserve">Implied emission factor derivation methodology </w:t>
      </w:r>
    </w:p>
    <w:p w14:paraId="678F61A0" w14:textId="09409E81" w:rsidR="00244AFC" w:rsidRPr="0018386D" w:rsidRDefault="0BDA99B5" w:rsidP="00DD3106">
      <w:pPr>
        <w:pStyle w:val="BodyText"/>
        <w:jc w:val="both"/>
      </w:pPr>
      <w:r w:rsidRPr="0018386D">
        <w:t>We calculated t</w:t>
      </w:r>
      <w:r w:rsidR="3E761B57" w:rsidRPr="0018386D">
        <w:t xml:space="preserve">he </w:t>
      </w:r>
      <w:r w:rsidR="5864CCB4" w:rsidRPr="0018386D">
        <w:t xml:space="preserve">implied </w:t>
      </w:r>
      <w:r w:rsidR="3E761B57" w:rsidRPr="0018386D">
        <w:t>emission factors from figures in the Agricultural Inventory Model, used in</w:t>
      </w:r>
      <w:r w:rsidR="72C010ED" w:rsidRPr="0018386D">
        <w:t xml:space="preserve"> </w:t>
      </w:r>
      <w:hyperlink r:id="rId148">
        <w:r w:rsidR="76B30C02" w:rsidRPr="0018386D">
          <w:rPr>
            <w:rStyle w:val="Hyperlink"/>
            <w:i/>
            <w:iCs/>
          </w:rPr>
          <w:t>New Zealand’s Greenhouse Gas Inventory 1990–2021</w:t>
        </w:r>
      </w:hyperlink>
      <w:r w:rsidR="00480A20" w:rsidRPr="0018386D">
        <w:rPr>
          <w:rStyle w:val="Hyperlink"/>
        </w:rPr>
        <w:t>.</w:t>
      </w:r>
      <w:r w:rsidR="72F51DF5" w:rsidRPr="0018386D">
        <w:t xml:space="preserve"> </w:t>
      </w:r>
      <w:r w:rsidR="1D505B75" w:rsidRPr="0018386D">
        <w:t>MPI provided th</w:t>
      </w:r>
      <w:r w:rsidR="0A0EAF8A" w:rsidRPr="0018386D">
        <w:t>e</w:t>
      </w:r>
      <w:r w:rsidR="1D505B75" w:rsidRPr="0018386D">
        <w:t xml:space="preserve"> data</w:t>
      </w:r>
      <w:r w:rsidR="1A40DDA3" w:rsidRPr="0018386D">
        <w:t xml:space="preserve"> in</w:t>
      </w:r>
      <w:r w:rsidR="7B7EB075" w:rsidRPr="0018386D">
        <w:t xml:space="preserve"> </w:t>
      </w:r>
      <w:hyperlink w:anchor="Table87" w:history="1">
        <w:r w:rsidR="7B7EB075" w:rsidRPr="0018386D">
          <w:rPr>
            <w:rStyle w:val="Hyperlink"/>
          </w:rPr>
          <w:t xml:space="preserve">table </w:t>
        </w:r>
        <w:r w:rsidR="279BA141" w:rsidRPr="0018386D">
          <w:rPr>
            <w:rStyle w:val="Hyperlink"/>
          </w:rPr>
          <w:t>87</w:t>
        </w:r>
        <w:r w:rsidR="0DAD7D7E" w:rsidRPr="0018386D">
          <w:rPr>
            <w:rStyle w:val="Hyperlink"/>
          </w:rPr>
          <w:t>.</w:t>
        </w:r>
      </w:hyperlink>
    </w:p>
    <w:p w14:paraId="2B1FD1FC" w14:textId="557BDA1F" w:rsidR="003A7B65" w:rsidRPr="0018386D" w:rsidRDefault="005B0BFB" w:rsidP="00DD3106">
      <w:pPr>
        <w:pStyle w:val="Tableheading"/>
      </w:pPr>
      <w:bookmarkStart w:id="938" w:name="Table87"/>
      <w:bookmarkStart w:id="939" w:name="_Toc111536699"/>
      <w:bookmarkStart w:id="940" w:name="_Toc140049027"/>
      <w:r w:rsidRPr="0018386D">
        <w:t xml:space="preserve">Table </w:t>
      </w:r>
      <w:r w:rsidRPr="0018386D">
        <w:fldChar w:fldCharType="begin"/>
      </w:r>
      <w:r w:rsidRPr="0018386D">
        <w:instrText>SEQ Table \* ARABIC</w:instrText>
      </w:r>
      <w:r w:rsidRPr="0018386D">
        <w:fldChar w:fldCharType="separate"/>
      </w:r>
      <w:r w:rsidR="00B0380A" w:rsidRPr="0018386D">
        <w:t>87</w:t>
      </w:r>
      <w:r w:rsidRPr="0018386D">
        <w:fldChar w:fldCharType="end"/>
      </w:r>
      <w:bookmarkEnd w:id="938"/>
      <w:r w:rsidRPr="0018386D">
        <w:t>:</w:t>
      </w:r>
      <w:r w:rsidRPr="0018386D">
        <w:tab/>
      </w:r>
      <w:r w:rsidR="00A0773E" w:rsidRPr="0018386D">
        <w:t>Manure management source data</w:t>
      </w:r>
      <w:bookmarkEnd w:id="939"/>
      <w:bookmarkEnd w:id="940"/>
      <w:r w:rsidR="00A0773E" w:rsidRPr="0018386D">
        <w:t xml:space="preserve"> </w:t>
      </w:r>
    </w:p>
    <w:tbl>
      <w:tblPr>
        <w:tblStyle w:val="LightList-Accent11"/>
        <w:tblW w:w="8505" w:type="dxa"/>
        <w:tblLook w:val="04A0" w:firstRow="1" w:lastRow="0" w:firstColumn="1" w:lastColumn="0" w:noHBand="0" w:noVBand="1"/>
      </w:tblPr>
      <w:tblGrid>
        <w:gridCol w:w="1960"/>
        <w:gridCol w:w="1856"/>
        <w:gridCol w:w="2344"/>
        <w:gridCol w:w="2345"/>
      </w:tblGrid>
      <w:tr w:rsidR="003A7B65" w:rsidRPr="0018386D" w14:paraId="21A6D8FC" w14:textId="77777777" w:rsidTr="005F64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0" w:type="dxa"/>
            <w:tcBorders>
              <w:bottom w:val="single" w:sz="8" w:space="0" w:color="1C556C" w:themeColor="accent1"/>
            </w:tcBorders>
            <w:shd w:val="clear" w:color="auto" w:fill="1B556B" w:themeFill="text2"/>
            <w:vAlign w:val="bottom"/>
          </w:tcPr>
          <w:p w14:paraId="7EC7818A" w14:textId="77777777" w:rsidR="003A7B65" w:rsidRPr="0018386D" w:rsidRDefault="003A7B65" w:rsidP="00DD3106">
            <w:pPr>
              <w:pStyle w:val="TableText"/>
              <w:spacing w:before="30" w:after="30"/>
              <w:rPr>
                <w:rFonts w:cs="Calibri"/>
                <w:szCs w:val="18"/>
              </w:rPr>
            </w:pPr>
            <w:r w:rsidRPr="0018386D">
              <w:rPr>
                <w:rFonts w:cs="Calibri"/>
                <w:szCs w:val="18"/>
              </w:rPr>
              <w:t xml:space="preserve">Animal </w:t>
            </w:r>
          </w:p>
        </w:tc>
        <w:tc>
          <w:tcPr>
            <w:tcW w:w="1856" w:type="dxa"/>
            <w:shd w:val="clear" w:color="auto" w:fill="1B556B" w:themeFill="text2"/>
            <w:vAlign w:val="bottom"/>
          </w:tcPr>
          <w:p w14:paraId="46C198E6" w14:textId="77777777" w:rsidR="003A7B65" w:rsidRPr="0018386D" w:rsidRDefault="003A7B65" w:rsidP="00DD3106">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Population</w:t>
            </w:r>
          </w:p>
        </w:tc>
        <w:tc>
          <w:tcPr>
            <w:tcW w:w="2344" w:type="dxa"/>
            <w:shd w:val="clear" w:color="auto" w:fill="1B556B" w:themeFill="text2"/>
            <w:vAlign w:val="bottom"/>
          </w:tcPr>
          <w:p w14:paraId="0C137C82" w14:textId="77777777" w:rsidR="003A7B65" w:rsidRPr="0018386D" w:rsidRDefault="003A7B65" w:rsidP="00DD3106">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Methane from manure management (kt CH</w:t>
            </w:r>
            <w:r w:rsidRPr="0018386D">
              <w:rPr>
                <w:rFonts w:cs="Calibri"/>
                <w:szCs w:val="18"/>
                <w:vertAlign w:val="subscript"/>
              </w:rPr>
              <w:t>4</w:t>
            </w:r>
            <w:r w:rsidRPr="0018386D">
              <w:rPr>
                <w:rFonts w:cs="Calibri"/>
                <w:szCs w:val="18"/>
              </w:rPr>
              <w:t>)</w:t>
            </w:r>
          </w:p>
        </w:tc>
        <w:tc>
          <w:tcPr>
            <w:tcW w:w="2345" w:type="dxa"/>
            <w:tcBorders>
              <w:bottom w:val="single" w:sz="8" w:space="0" w:color="1C556C" w:themeColor="accent1"/>
            </w:tcBorders>
            <w:shd w:val="clear" w:color="auto" w:fill="1B556B" w:themeFill="text2"/>
            <w:vAlign w:val="bottom"/>
          </w:tcPr>
          <w:p w14:paraId="629C4F9B" w14:textId="77777777" w:rsidR="003A7B65" w:rsidRPr="0018386D" w:rsidRDefault="003A7B65" w:rsidP="00DD3106">
            <w:pPr>
              <w:pStyle w:val="TableText"/>
              <w:spacing w:before="30" w:after="3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Nitrous oxide from manure management (kt N</w:t>
            </w:r>
            <w:r w:rsidRPr="0018386D">
              <w:rPr>
                <w:rFonts w:cs="Calibri"/>
                <w:szCs w:val="18"/>
                <w:vertAlign w:val="subscript"/>
              </w:rPr>
              <w:t>2</w:t>
            </w:r>
            <w:r w:rsidRPr="0018386D">
              <w:rPr>
                <w:rFonts w:cs="Calibri"/>
                <w:szCs w:val="18"/>
              </w:rPr>
              <w:t>O)</w:t>
            </w:r>
          </w:p>
        </w:tc>
      </w:tr>
      <w:tr w:rsidR="000E0CD9" w:rsidRPr="0018386D" w14:paraId="4FE86EEB" w14:textId="77777777" w:rsidTr="005F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18DEEFB3" w14:textId="77777777" w:rsidR="000E0CD9" w:rsidRPr="0018386D" w:rsidRDefault="000E0CD9" w:rsidP="00DD3106">
            <w:pPr>
              <w:pStyle w:val="TableText"/>
              <w:spacing w:before="30" w:after="30"/>
              <w:rPr>
                <w:rFonts w:cs="Calibri"/>
                <w:b w:val="0"/>
                <w:bCs w:val="0"/>
              </w:rPr>
            </w:pPr>
            <w:r w:rsidRPr="0018386D">
              <w:rPr>
                <w:rFonts w:cs="Calibri"/>
                <w:b w:val="0"/>
                <w:bCs w:val="0"/>
              </w:rPr>
              <w:t>Dairy cattle</w:t>
            </w:r>
          </w:p>
        </w:tc>
        <w:tc>
          <w:tcPr>
            <w:tcW w:w="0" w:type="dxa"/>
            <w:shd w:val="clear" w:color="auto" w:fill="auto"/>
            <w:vAlign w:val="bottom"/>
          </w:tcPr>
          <w:p w14:paraId="3B9E69B0" w14:textId="32AD1E25"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6,185,435</w:t>
            </w:r>
          </w:p>
        </w:tc>
        <w:tc>
          <w:tcPr>
            <w:tcW w:w="0" w:type="dxa"/>
            <w:shd w:val="clear" w:color="auto" w:fill="auto"/>
            <w:vAlign w:val="bottom"/>
          </w:tcPr>
          <w:p w14:paraId="47495F9A" w14:textId="366A4536"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53.64</w:t>
            </w:r>
          </w:p>
        </w:tc>
        <w:tc>
          <w:tcPr>
            <w:tcW w:w="0" w:type="dxa"/>
            <w:tcBorders>
              <w:right w:val="nil"/>
            </w:tcBorders>
            <w:vAlign w:val="bottom"/>
          </w:tcPr>
          <w:p w14:paraId="64E5688A" w14:textId="374E4F43"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0.27</w:t>
            </w:r>
          </w:p>
        </w:tc>
      </w:tr>
      <w:tr w:rsidR="000E0CD9" w:rsidRPr="0018386D" w14:paraId="5360CAE2" w14:textId="77777777" w:rsidTr="005F6436">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1C556C" w:themeColor="accent1"/>
              <w:left w:val="nil"/>
              <w:bottom w:val="single" w:sz="8" w:space="0" w:color="1C556C" w:themeColor="accent1"/>
            </w:tcBorders>
          </w:tcPr>
          <w:p w14:paraId="22F3FFB8" w14:textId="77777777" w:rsidR="000E0CD9" w:rsidRPr="0018386D" w:rsidRDefault="000E0CD9" w:rsidP="00DD3106">
            <w:pPr>
              <w:pStyle w:val="TableText"/>
              <w:spacing w:before="30" w:after="30"/>
              <w:rPr>
                <w:rFonts w:cs="Calibri"/>
                <w:b w:val="0"/>
                <w:bCs w:val="0"/>
                <w:szCs w:val="18"/>
              </w:rPr>
            </w:pPr>
            <w:r w:rsidRPr="0018386D">
              <w:rPr>
                <w:rFonts w:cs="Calibri"/>
                <w:b w:val="0"/>
                <w:bCs w:val="0"/>
                <w:szCs w:val="18"/>
              </w:rPr>
              <w:t>Non-dairy cattle</w:t>
            </w:r>
          </w:p>
        </w:tc>
        <w:tc>
          <w:tcPr>
            <w:tcW w:w="0" w:type="dxa"/>
            <w:shd w:val="clear" w:color="auto" w:fill="auto"/>
            <w:vAlign w:val="bottom"/>
          </w:tcPr>
          <w:p w14:paraId="05A6013A" w14:textId="57A15B3D"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3,964,811</w:t>
            </w:r>
          </w:p>
        </w:tc>
        <w:tc>
          <w:tcPr>
            <w:tcW w:w="0" w:type="dxa"/>
            <w:shd w:val="clear" w:color="auto" w:fill="auto"/>
            <w:vAlign w:val="bottom"/>
          </w:tcPr>
          <w:p w14:paraId="4C89B735" w14:textId="643615C4"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3.30</w:t>
            </w:r>
          </w:p>
        </w:tc>
        <w:tc>
          <w:tcPr>
            <w:tcW w:w="0" w:type="dxa"/>
            <w:tcBorders>
              <w:top w:val="single" w:sz="8" w:space="0" w:color="1C556C" w:themeColor="accent1"/>
              <w:bottom w:val="single" w:sz="8" w:space="0" w:color="1C556C" w:themeColor="accent1"/>
              <w:right w:val="nil"/>
            </w:tcBorders>
            <w:vAlign w:val="bottom"/>
          </w:tcPr>
          <w:p w14:paraId="5A463B60" w14:textId="02F82FC1"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0.00</w:t>
            </w:r>
          </w:p>
        </w:tc>
      </w:tr>
      <w:tr w:rsidR="000E0CD9" w:rsidRPr="0018386D" w14:paraId="5F840A93" w14:textId="77777777" w:rsidTr="005F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4354275A" w14:textId="77777777" w:rsidR="000E0CD9" w:rsidRPr="0018386D" w:rsidRDefault="000E0CD9" w:rsidP="00DD3106">
            <w:pPr>
              <w:pStyle w:val="TableText"/>
              <w:spacing w:before="30" w:after="30"/>
              <w:rPr>
                <w:rFonts w:cs="Calibri"/>
                <w:b w:val="0"/>
                <w:bCs w:val="0"/>
                <w:szCs w:val="18"/>
              </w:rPr>
            </w:pPr>
            <w:r w:rsidRPr="0018386D">
              <w:rPr>
                <w:rFonts w:cs="Calibri"/>
                <w:b w:val="0"/>
                <w:bCs w:val="0"/>
                <w:szCs w:val="18"/>
              </w:rPr>
              <w:t>Sheep</w:t>
            </w:r>
          </w:p>
        </w:tc>
        <w:tc>
          <w:tcPr>
            <w:tcW w:w="0" w:type="dxa"/>
            <w:shd w:val="clear" w:color="auto" w:fill="auto"/>
            <w:vAlign w:val="bottom"/>
          </w:tcPr>
          <w:p w14:paraId="0E768D14" w14:textId="09EDDB8B"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25,732,889</w:t>
            </w:r>
          </w:p>
        </w:tc>
        <w:tc>
          <w:tcPr>
            <w:tcW w:w="0" w:type="dxa"/>
            <w:shd w:val="clear" w:color="auto" w:fill="auto"/>
            <w:vAlign w:val="bottom"/>
          </w:tcPr>
          <w:p w14:paraId="750EE286" w14:textId="050C2716"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3.50</w:t>
            </w:r>
          </w:p>
        </w:tc>
        <w:tc>
          <w:tcPr>
            <w:tcW w:w="0" w:type="dxa"/>
            <w:tcBorders>
              <w:right w:val="nil"/>
            </w:tcBorders>
            <w:vAlign w:val="bottom"/>
          </w:tcPr>
          <w:p w14:paraId="5715199A" w14:textId="1F6320BA"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0.00</w:t>
            </w:r>
          </w:p>
        </w:tc>
      </w:tr>
      <w:tr w:rsidR="000E0CD9" w:rsidRPr="0018386D" w14:paraId="13C7535C" w14:textId="77777777" w:rsidTr="005F6436">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1C556C" w:themeColor="accent1"/>
              <w:left w:val="nil"/>
              <w:bottom w:val="single" w:sz="8" w:space="0" w:color="1C556C" w:themeColor="accent1"/>
            </w:tcBorders>
          </w:tcPr>
          <w:p w14:paraId="67969D3D" w14:textId="77777777" w:rsidR="000E0CD9" w:rsidRPr="0018386D" w:rsidRDefault="000E0CD9" w:rsidP="00DD3106">
            <w:pPr>
              <w:pStyle w:val="TableText"/>
              <w:spacing w:before="30" w:after="30"/>
              <w:rPr>
                <w:rFonts w:cs="Calibri"/>
                <w:b w:val="0"/>
                <w:bCs w:val="0"/>
                <w:szCs w:val="18"/>
              </w:rPr>
            </w:pPr>
            <w:r w:rsidRPr="0018386D">
              <w:rPr>
                <w:rFonts w:cs="Calibri"/>
                <w:b w:val="0"/>
                <w:bCs w:val="0"/>
                <w:szCs w:val="18"/>
              </w:rPr>
              <w:t>Deer</w:t>
            </w:r>
          </w:p>
        </w:tc>
        <w:tc>
          <w:tcPr>
            <w:tcW w:w="0" w:type="dxa"/>
            <w:shd w:val="clear" w:color="auto" w:fill="auto"/>
            <w:vAlign w:val="bottom"/>
          </w:tcPr>
          <w:p w14:paraId="181B2652" w14:textId="3E442453"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szCs w:val="18"/>
              </w:rPr>
              <w:t>813,980</w:t>
            </w:r>
          </w:p>
        </w:tc>
        <w:tc>
          <w:tcPr>
            <w:tcW w:w="0" w:type="dxa"/>
            <w:shd w:val="clear" w:color="auto" w:fill="auto"/>
            <w:vAlign w:val="bottom"/>
          </w:tcPr>
          <w:p w14:paraId="6499E69D" w14:textId="41AE920F"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0.24</w:t>
            </w:r>
          </w:p>
        </w:tc>
        <w:tc>
          <w:tcPr>
            <w:tcW w:w="0" w:type="dxa"/>
            <w:tcBorders>
              <w:top w:val="single" w:sz="8" w:space="0" w:color="1C556C" w:themeColor="accent1"/>
              <w:bottom w:val="single" w:sz="8" w:space="0" w:color="1C556C" w:themeColor="accent1"/>
              <w:right w:val="nil"/>
            </w:tcBorders>
            <w:vAlign w:val="bottom"/>
          </w:tcPr>
          <w:p w14:paraId="7F30F22B" w14:textId="6313A84A"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0.00</w:t>
            </w:r>
          </w:p>
        </w:tc>
      </w:tr>
      <w:tr w:rsidR="000E0CD9" w:rsidRPr="0018386D" w14:paraId="107D245D" w14:textId="77777777" w:rsidTr="005F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left w:val="nil"/>
            </w:tcBorders>
            <w:shd w:val="clear" w:color="auto" w:fill="auto"/>
            <w:vAlign w:val="bottom"/>
          </w:tcPr>
          <w:p w14:paraId="7D215B16" w14:textId="2C350615" w:rsidR="000E0CD9" w:rsidRPr="0018386D" w:rsidRDefault="000E0CD9" w:rsidP="00DD3106">
            <w:pPr>
              <w:pStyle w:val="TableText"/>
              <w:spacing w:before="30" w:after="30"/>
              <w:rPr>
                <w:rFonts w:cs="Calibri"/>
                <w:b w:val="0"/>
                <w:bCs w:val="0"/>
                <w:szCs w:val="18"/>
              </w:rPr>
            </w:pPr>
            <w:r w:rsidRPr="0018386D">
              <w:rPr>
                <w:rFonts w:cs="Calibri"/>
                <w:b w:val="0"/>
                <w:bCs w:val="0"/>
                <w:szCs w:val="18"/>
              </w:rPr>
              <w:t>Swine</w:t>
            </w:r>
          </w:p>
        </w:tc>
        <w:tc>
          <w:tcPr>
            <w:tcW w:w="1856" w:type="dxa"/>
            <w:shd w:val="clear" w:color="auto" w:fill="auto"/>
            <w:vAlign w:val="bottom"/>
          </w:tcPr>
          <w:p w14:paraId="03B05DBF" w14:textId="61261F51"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248,717</w:t>
            </w:r>
          </w:p>
        </w:tc>
        <w:tc>
          <w:tcPr>
            <w:tcW w:w="2344" w:type="dxa"/>
            <w:shd w:val="clear" w:color="auto" w:fill="auto"/>
            <w:vAlign w:val="bottom"/>
          </w:tcPr>
          <w:p w14:paraId="20091A84" w14:textId="0E8C466A"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1.48</w:t>
            </w:r>
          </w:p>
        </w:tc>
        <w:tc>
          <w:tcPr>
            <w:tcW w:w="2345" w:type="dxa"/>
            <w:tcBorders>
              <w:right w:val="nil"/>
            </w:tcBorders>
            <w:shd w:val="clear" w:color="auto" w:fill="FFFFFF" w:themeFill="background1"/>
            <w:vAlign w:val="bottom"/>
          </w:tcPr>
          <w:p w14:paraId="184B014A" w14:textId="61699501"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0.05</w:t>
            </w:r>
          </w:p>
        </w:tc>
      </w:tr>
      <w:tr w:rsidR="000E0CD9" w:rsidRPr="0018386D" w14:paraId="22353996" w14:textId="77777777" w:rsidTr="005F6436">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1C556C" w:themeColor="accent1"/>
              <w:left w:val="nil"/>
              <w:bottom w:val="single" w:sz="8" w:space="0" w:color="1C556C" w:themeColor="accent1"/>
            </w:tcBorders>
            <w:shd w:val="clear" w:color="auto" w:fill="auto"/>
            <w:vAlign w:val="bottom"/>
          </w:tcPr>
          <w:p w14:paraId="56AE80EB" w14:textId="0937145F" w:rsidR="000E0CD9" w:rsidRPr="0018386D" w:rsidRDefault="000E0CD9" w:rsidP="00DD3106">
            <w:pPr>
              <w:pStyle w:val="TableText"/>
              <w:spacing w:before="30" w:after="30"/>
              <w:rPr>
                <w:rFonts w:cs="Calibri"/>
                <w:b w:val="0"/>
                <w:bCs w:val="0"/>
                <w:szCs w:val="18"/>
              </w:rPr>
            </w:pPr>
            <w:r w:rsidRPr="0018386D">
              <w:rPr>
                <w:rFonts w:cs="Calibri"/>
                <w:b w:val="0"/>
                <w:bCs w:val="0"/>
                <w:szCs w:val="18"/>
              </w:rPr>
              <w:t>Goats</w:t>
            </w:r>
          </w:p>
        </w:tc>
        <w:tc>
          <w:tcPr>
            <w:tcW w:w="1856" w:type="dxa"/>
            <w:shd w:val="clear" w:color="auto" w:fill="auto"/>
            <w:vAlign w:val="bottom"/>
          </w:tcPr>
          <w:p w14:paraId="7F949A0C" w14:textId="66AF214C"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116,666</w:t>
            </w:r>
          </w:p>
        </w:tc>
        <w:tc>
          <w:tcPr>
            <w:tcW w:w="2344" w:type="dxa"/>
            <w:shd w:val="clear" w:color="auto" w:fill="auto"/>
            <w:vAlign w:val="bottom"/>
          </w:tcPr>
          <w:p w14:paraId="02E6C708" w14:textId="781BE965"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0.02</w:t>
            </w:r>
          </w:p>
        </w:tc>
        <w:tc>
          <w:tcPr>
            <w:tcW w:w="2345" w:type="dxa"/>
            <w:tcBorders>
              <w:top w:val="single" w:sz="8" w:space="0" w:color="1C556C" w:themeColor="accent1"/>
              <w:bottom w:val="single" w:sz="8" w:space="0" w:color="1C556C" w:themeColor="accent1"/>
              <w:right w:val="nil"/>
            </w:tcBorders>
            <w:shd w:val="clear" w:color="auto" w:fill="FFFFFF" w:themeFill="background1"/>
            <w:vAlign w:val="bottom"/>
          </w:tcPr>
          <w:p w14:paraId="6A6E3D5E" w14:textId="61D5B708"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0.00</w:t>
            </w:r>
          </w:p>
        </w:tc>
      </w:tr>
      <w:tr w:rsidR="000E0CD9" w:rsidRPr="0018386D" w14:paraId="14E92446" w14:textId="77777777" w:rsidTr="005F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left w:val="nil"/>
            </w:tcBorders>
            <w:shd w:val="clear" w:color="auto" w:fill="auto"/>
            <w:vAlign w:val="bottom"/>
          </w:tcPr>
          <w:p w14:paraId="3B550A49" w14:textId="21153198" w:rsidR="000E0CD9" w:rsidRPr="0018386D" w:rsidRDefault="000E0CD9" w:rsidP="00DD3106">
            <w:pPr>
              <w:pStyle w:val="TableText"/>
              <w:spacing w:before="30" w:after="30"/>
              <w:rPr>
                <w:rFonts w:cs="Calibri"/>
                <w:b w:val="0"/>
                <w:bCs w:val="0"/>
                <w:szCs w:val="18"/>
              </w:rPr>
            </w:pPr>
            <w:r w:rsidRPr="0018386D">
              <w:rPr>
                <w:rFonts w:cs="Calibri"/>
                <w:b w:val="0"/>
                <w:bCs w:val="0"/>
                <w:szCs w:val="18"/>
              </w:rPr>
              <w:t>Horses</w:t>
            </w:r>
          </w:p>
        </w:tc>
        <w:tc>
          <w:tcPr>
            <w:tcW w:w="1856" w:type="dxa"/>
            <w:shd w:val="clear" w:color="auto" w:fill="auto"/>
            <w:vAlign w:val="bottom"/>
          </w:tcPr>
          <w:p w14:paraId="487858BA" w14:textId="18B51E79"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40,276</w:t>
            </w:r>
          </w:p>
        </w:tc>
        <w:tc>
          <w:tcPr>
            <w:tcW w:w="2344" w:type="dxa"/>
            <w:shd w:val="clear" w:color="auto" w:fill="auto"/>
            <w:vAlign w:val="bottom"/>
          </w:tcPr>
          <w:p w14:paraId="4BF0B8FA" w14:textId="2C403F05"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0.09</w:t>
            </w:r>
          </w:p>
        </w:tc>
        <w:tc>
          <w:tcPr>
            <w:tcW w:w="2345" w:type="dxa"/>
            <w:tcBorders>
              <w:right w:val="nil"/>
            </w:tcBorders>
            <w:shd w:val="clear" w:color="auto" w:fill="FFFFFF" w:themeFill="background1"/>
            <w:vAlign w:val="bottom"/>
          </w:tcPr>
          <w:p w14:paraId="6CF52DC1" w14:textId="37BE613C"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rPr>
            </w:pPr>
            <w:r w:rsidRPr="0018386D">
              <w:rPr>
                <w:rFonts w:cs="Calibri"/>
              </w:rPr>
              <w:t>0.00</w:t>
            </w:r>
          </w:p>
        </w:tc>
      </w:tr>
      <w:tr w:rsidR="000E0CD9" w:rsidRPr="0018386D" w14:paraId="0B5F09FE" w14:textId="77777777" w:rsidTr="005F6436">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1C556C" w:themeColor="accent1"/>
              <w:left w:val="nil"/>
              <w:bottom w:val="single" w:sz="8" w:space="0" w:color="1C556C" w:themeColor="accent1"/>
            </w:tcBorders>
            <w:shd w:val="clear" w:color="auto" w:fill="auto"/>
            <w:vAlign w:val="bottom"/>
          </w:tcPr>
          <w:p w14:paraId="4F215F48" w14:textId="18C61987" w:rsidR="000E0CD9" w:rsidRPr="0018386D" w:rsidRDefault="000E0CD9" w:rsidP="00DD3106">
            <w:pPr>
              <w:pStyle w:val="TableText"/>
              <w:spacing w:before="30" w:after="30"/>
              <w:rPr>
                <w:rFonts w:cs="Calibri"/>
                <w:b w:val="0"/>
                <w:bCs w:val="0"/>
                <w:szCs w:val="18"/>
              </w:rPr>
            </w:pPr>
            <w:r w:rsidRPr="0018386D">
              <w:rPr>
                <w:rFonts w:cs="Calibri"/>
                <w:b w:val="0"/>
                <w:bCs w:val="0"/>
                <w:szCs w:val="18"/>
              </w:rPr>
              <w:t>Alpaca and llama</w:t>
            </w:r>
          </w:p>
        </w:tc>
        <w:tc>
          <w:tcPr>
            <w:tcW w:w="1856" w:type="dxa"/>
            <w:shd w:val="clear" w:color="auto" w:fill="auto"/>
            <w:vAlign w:val="bottom"/>
          </w:tcPr>
          <w:p w14:paraId="4E511C6E" w14:textId="775ED248"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7,578</w:t>
            </w:r>
          </w:p>
        </w:tc>
        <w:tc>
          <w:tcPr>
            <w:tcW w:w="2344" w:type="dxa"/>
            <w:shd w:val="clear" w:color="auto" w:fill="auto"/>
            <w:vAlign w:val="bottom"/>
          </w:tcPr>
          <w:p w14:paraId="18BC888C" w14:textId="644BD2C0"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0.0008</w:t>
            </w:r>
          </w:p>
        </w:tc>
        <w:tc>
          <w:tcPr>
            <w:tcW w:w="2345" w:type="dxa"/>
            <w:tcBorders>
              <w:top w:val="single" w:sz="8" w:space="0" w:color="1C556C" w:themeColor="accent1"/>
              <w:bottom w:val="single" w:sz="8" w:space="0" w:color="1C556C" w:themeColor="accent1"/>
              <w:right w:val="nil"/>
            </w:tcBorders>
            <w:shd w:val="clear" w:color="auto" w:fill="FFFFFF" w:themeFill="background1"/>
            <w:vAlign w:val="bottom"/>
          </w:tcPr>
          <w:p w14:paraId="13CF1B82" w14:textId="25A640AC"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0.00</w:t>
            </w:r>
          </w:p>
        </w:tc>
      </w:tr>
      <w:tr w:rsidR="000E0CD9" w:rsidRPr="0018386D" w14:paraId="2094EEC9" w14:textId="77777777" w:rsidTr="005F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left w:val="nil"/>
            </w:tcBorders>
            <w:shd w:val="clear" w:color="auto" w:fill="auto"/>
            <w:vAlign w:val="bottom"/>
          </w:tcPr>
          <w:p w14:paraId="6AE1A985" w14:textId="68D1EB04" w:rsidR="000E0CD9" w:rsidRPr="0018386D" w:rsidRDefault="000E0CD9" w:rsidP="00DD3106">
            <w:pPr>
              <w:pStyle w:val="TableText"/>
              <w:spacing w:before="30" w:after="30"/>
              <w:rPr>
                <w:rFonts w:cs="Calibri"/>
                <w:b w:val="0"/>
                <w:bCs w:val="0"/>
                <w:szCs w:val="18"/>
              </w:rPr>
            </w:pPr>
            <w:r w:rsidRPr="0018386D">
              <w:rPr>
                <w:rFonts w:cs="Calibri"/>
                <w:b w:val="0"/>
                <w:bCs w:val="0"/>
                <w:szCs w:val="18"/>
              </w:rPr>
              <w:t>Mules and asses</w:t>
            </w:r>
          </w:p>
        </w:tc>
        <w:tc>
          <w:tcPr>
            <w:tcW w:w="1856" w:type="dxa"/>
            <w:shd w:val="clear" w:color="auto" w:fill="auto"/>
            <w:vAlign w:val="bottom"/>
          </w:tcPr>
          <w:p w14:paraId="6E313984" w14:textId="760BC2CC"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141</w:t>
            </w:r>
          </w:p>
        </w:tc>
        <w:tc>
          <w:tcPr>
            <w:tcW w:w="2344" w:type="dxa"/>
            <w:shd w:val="clear" w:color="auto" w:fill="auto"/>
            <w:vAlign w:val="bottom"/>
          </w:tcPr>
          <w:p w14:paraId="717873DD" w14:textId="3C3D14C7"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0.0002</w:t>
            </w:r>
          </w:p>
        </w:tc>
        <w:tc>
          <w:tcPr>
            <w:tcW w:w="2345" w:type="dxa"/>
            <w:tcBorders>
              <w:right w:val="nil"/>
            </w:tcBorders>
            <w:shd w:val="clear" w:color="auto" w:fill="FFFFFF" w:themeFill="background1"/>
            <w:vAlign w:val="bottom"/>
          </w:tcPr>
          <w:p w14:paraId="3501C951" w14:textId="0E52FC20" w:rsidR="000E0CD9" w:rsidRPr="0018386D" w:rsidRDefault="000E0CD9" w:rsidP="00DD3106">
            <w:pPr>
              <w:pStyle w:val="TableText"/>
              <w:spacing w:before="30" w:after="3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0.00</w:t>
            </w:r>
          </w:p>
        </w:tc>
      </w:tr>
      <w:tr w:rsidR="000E0CD9" w:rsidRPr="0018386D" w14:paraId="32C5D74E" w14:textId="77777777" w:rsidTr="005F6436">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1C556C" w:themeColor="accent1"/>
              <w:left w:val="nil"/>
            </w:tcBorders>
            <w:shd w:val="clear" w:color="auto" w:fill="auto"/>
            <w:vAlign w:val="bottom"/>
          </w:tcPr>
          <w:p w14:paraId="26C043B4" w14:textId="5831E10D" w:rsidR="000E0CD9" w:rsidRPr="0018386D" w:rsidRDefault="000E0CD9" w:rsidP="00DD3106">
            <w:pPr>
              <w:pStyle w:val="TableText"/>
              <w:spacing w:before="30" w:after="30"/>
              <w:rPr>
                <w:rFonts w:cs="Calibri"/>
                <w:b w:val="0"/>
                <w:bCs w:val="0"/>
                <w:szCs w:val="18"/>
              </w:rPr>
            </w:pPr>
            <w:r w:rsidRPr="0018386D">
              <w:rPr>
                <w:rFonts w:cs="Calibri"/>
                <w:b w:val="0"/>
                <w:bCs w:val="0"/>
                <w:szCs w:val="18"/>
              </w:rPr>
              <w:t>Poultry</w:t>
            </w:r>
          </w:p>
        </w:tc>
        <w:tc>
          <w:tcPr>
            <w:tcW w:w="1856" w:type="dxa"/>
            <w:shd w:val="clear" w:color="auto" w:fill="auto"/>
            <w:vAlign w:val="bottom"/>
          </w:tcPr>
          <w:p w14:paraId="38F218B2" w14:textId="4BE10A7B"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19,345,800</w:t>
            </w:r>
          </w:p>
        </w:tc>
        <w:tc>
          <w:tcPr>
            <w:tcW w:w="2344" w:type="dxa"/>
            <w:shd w:val="clear" w:color="auto" w:fill="auto"/>
            <w:vAlign w:val="bottom"/>
          </w:tcPr>
          <w:p w14:paraId="3AAA495E" w14:textId="0F9C6014"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0.59</w:t>
            </w:r>
          </w:p>
        </w:tc>
        <w:tc>
          <w:tcPr>
            <w:tcW w:w="2345" w:type="dxa"/>
            <w:tcBorders>
              <w:top w:val="single" w:sz="8" w:space="0" w:color="1C556C" w:themeColor="accent1"/>
              <w:right w:val="nil"/>
            </w:tcBorders>
            <w:shd w:val="clear" w:color="auto" w:fill="FFFFFF" w:themeFill="background1"/>
            <w:vAlign w:val="bottom"/>
          </w:tcPr>
          <w:p w14:paraId="31CD79C9" w14:textId="7D1E9CB4" w:rsidR="000E0CD9" w:rsidRPr="0018386D" w:rsidRDefault="000E0CD9" w:rsidP="00DD3106">
            <w:pPr>
              <w:pStyle w:val="TableText"/>
              <w:spacing w:before="30" w:after="30"/>
              <w:jc w:val="right"/>
              <w:cnfStyle w:val="000000000000" w:firstRow="0" w:lastRow="0" w:firstColumn="0" w:lastColumn="0" w:oddVBand="0" w:evenVBand="0" w:oddHBand="0" w:evenHBand="0" w:firstRowFirstColumn="0" w:firstRowLastColumn="0" w:lastRowFirstColumn="0" w:lastRowLastColumn="0"/>
              <w:rPr>
                <w:rFonts w:cs="Calibri"/>
              </w:rPr>
            </w:pPr>
            <w:r w:rsidRPr="0018386D">
              <w:rPr>
                <w:rFonts w:cs="Calibri"/>
              </w:rPr>
              <w:t>0.04</w:t>
            </w:r>
          </w:p>
        </w:tc>
      </w:tr>
    </w:tbl>
    <w:p w14:paraId="12D0DBF9" w14:textId="13939075" w:rsidR="00A0773E" w:rsidRPr="0018386D" w:rsidRDefault="00A0773E" w:rsidP="00DD3106">
      <w:pPr>
        <w:pStyle w:val="Note"/>
        <w:spacing w:after="60" w:line="240" w:lineRule="auto"/>
        <w:rPr>
          <w:sz w:val="16"/>
          <w:szCs w:val="16"/>
        </w:rPr>
      </w:pPr>
      <w:r w:rsidRPr="0018386D">
        <w:rPr>
          <w:sz w:val="16"/>
          <w:szCs w:val="16"/>
        </w:rPr>
        <w:t xml:space="preserve">kt </w:t>
      </w:r>
      <w:r w:rsidR="00C0070C" w:rsidRPr="0018386D">
        <w:rPr>
          <w:sz w:val="16"/>
          <w:szCs w:val="16"/>
        </w:rPr>
        <w:t>=</w:t>
      </w:r>
      <w:r w:rsidRPr="0018386D">
        <w:rPr>
          <w:sz w:val="16"/>
          <w:szCs w:val="16"/>
        </w:rPr>
        <w:t xml:space="preserve"> </w:t>
      </w:r>
      <w:r w:rsidR="00D3701C" w:rsidRPr="0018386D">
        <w:rPr>
          <w:sz w:val="16"/>
          <w:szCs w:val="16"/>
        </w:rPr>
        <w:t xml:space="preserve">kiloton. </w:t>
      </w:r>
      <w:r w:rsidR="203EB179" w:rsidRPr="0018386D">
        <w:rPr>
          <w:sz w:val="16"/>
          <w:szCs w:val="16"/>
        </w:rPr>
        <w:t xml:space="preserve">Source: </w:t>
      </w:r>
      <w:r w:rsidR="6191E60A" w:rsidRPr="0018386D">
        <w:rPr>
          <w:sz w:val="16"/>
          <w:szCs w:val="16"/>
        </w:rPr>
        <w:t>T</w:t>
      </w:r>
      <w:r w:rsidR="203EB179" w:rsidRPr="0018386D">
        <w:rPr>
          <w:sz w:val="16"/>
          <w:szCs w:val="16"/>
        </w:rPr>
        <w:t>he Agricultural Inventory Model used in</w:t>
      </w:r>
      <w:r w:rsidR="5A5663DC" w:rsidRPr="0018386D">
        <w:rPr>
          <w:sz w:val="16"/>
          <w:szCs w:val="16"/>
        </w:rPr>
        <w:t xml:space="preserve"> </w:t>
      </w:r>
      <w:hyperlink r:id="rId149" w:history="1">
        <w:r w:rsidR="5A5663DC" w:rsidRPr="0018386D">
          <w:rPr>
            <w:rStyle w:val="Hyperlink"/>
            <w:i/>
            <w:sz w:val="16"/>
            <w:szCs w:val="16"/>
          </w:rPr>
          <w:t>New Zealan</w:t>
        </w:r>
        <w:r w:rsidR="71785C98" w:rsidRPr="0018386D">
          <w:rPr>
            <w:rStyle w:val="Hyperlink"/>
            <w:i/>
            <w:sz w:val="16"/>
            <w:szCs w:val="16"/>
          </w:rPr>
          <w:t>d’s Greenhouse Gas Inventory 1990–</w:t>
        </w:r>
        <w:r w:rsidR="5A5663DC" w:rsidRPr="0018386D">
          <w:rPr>
            <w:rStyle w:val="Hyperlink"/>
            <w:i/>
            <w:sz w:val="16"/>
            <w:szCs w:val="16"/>
          </w:rPr>
          <w:t>2021</w:t>
        </w:r>
      </w:hyperlink>
      <w:r w:rsidR="000C33DB" w:rsidRPr="0018386D">
        <w:rPr>
          <w:rStyle w:val="Hyperlink"/>
          <w:i/>
          <w:sz w:val="16"/>
          <w:szCs w:val="16"/>
        </w:rPr>
        <w:t>.</w:t>
      </w:r>
    </w:p>
    <w:p w14:paraId="313B3737" w14:textId="77777777" w:rsidR="0016444C" w:rsidRPr="0018386D" w:rsidRDefault="0016444C" w:rsidP="00DD3106">
      <w:pPr>
        <w:pStyle w:val="Tableheading"/>
      </w:pPr>
      <w:bookmarkStart w:id="941" w:name="_Toc140049028"/>
      <w:r w:rsidRPr="0018386D">
        <w:t xml:space="preserve">Table </w:t>
      </w:r>
      <w:r w:rsidRPr="0018386D">
        <w:fldChar w:fldCharType="begin"/>
      </w:r>
      <w:r w:rsidRPr="0018386D">
        <w:instrText>SEQ Table \* ARABIC</w:instrText>
      </w:r>
      <w:r w:rsidRPr="0018386D">
        <w:fldChar w:fldCharType="separate"/>
      </w:r>
      <w:r w:rsidRPr="0018386D">
        <w:t>88</w:t>
      </w:r>
      <w:r w:rsidRPr="0018386D">
        <w:fldChar w:fldCharType="end"/>
      </w:r>
      <w:r w:rsidRPr="0018386D">
        <w:t>:</w:t>
      </w:r>
      <w:r w:rsidRPr="0018386D">
        <w:tab/>
        <w:t>Emissions from dairy cattle</w:t>
      </w:r>
      <w:bookmarkEnd w:id="941"/>
    </w:p>
    <w:tbl>
      <w:tblPr>
        <w:tblStyle w:val="LightList-Accent11"/>
        <w:tblW w:w="8505" w:type="dxa"/>
        <w:tblInd w:w="20" w:type="dxa"/>
        <w:tblLook w:val="04A0" w:firstRow="1" w:lastRow="0" w:firstColumn="1" w:lastColumn="0" w:noHBand="0" w:noVBand="1"/>
      </w:tblPr>
      <w:tblGrid>
        <w:gridCol w:w="1511"/>
        <w:gridCol w:w="2096"/>
        <w:gridCol w:w="2449"/>
        <w:gridCol w:w="2449"/>
      </w:tblGrid>
      <w:tr w:rsidR="0016444C" w:rsidRPr="0018386D" w14:paraId="28A87FFF" w14:textId="77777777" w:rsidTr="00472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1B556B" w:themeFill="text2"/>
            <w:vAlign w:val="bottom"/>
          </w:tcPr>
          <w:p w14:paraId="47C21405" w14:textId="77777777" w:rsidR="0016444C" w:rsidRPr="0018386D" w:rsidRDefault="0016444C" w:rsidP="00DD3106">
            <w:pPr>
              <w:pStyle w:val="TableText"/>
              <w:spacing w:before="40" w:after="40"/>
              <w:rPr>
                <w:bCs w:val="0"/>
              </w:rPr>
            </w:pPr>
            <w:r w:rsidRPr="0018386D">
              <w:rPr>
                <w:bCs w:val="0"/>
              </w:rPr>
              <w:t xml:space="preserve">Animal </w:t>
            </w:r>
          </w:p>
        </w:tc>
        <w:tc>
          <w:tcPr>
            <w:tcW w:w="0" w:type="dxa"/>
            <w:tcBorders>
              <w:bottom w:val="single" w:sz="4" w:space="0" w:color="auto"/>
            </w:tcBorders>
            <w:shd w:val="clear" w:color="auto" w:fill="1B556B" w:themeFill="text2"/>
            <w:vAlign w:val="bottom"/>
          </w:tcPr>
          <w:p w14:paraId="7B86D1E3" w14:textId="77777777" w:rsidR="0016444C" w:rsidRPr="0018386D" w:rsidRDefault="0016444C" w:rsidP="00DD3106">
            <w:pPr>
              <w:pStyle w:val="TableText"/>
              <w:spacing w:before="40" w:after="40"/>
              <w:cnfStyle w:val="100000000000" w:firstRow="1" w:lastRow="0" w:firstColumn="0" w:lastColumn="0" w:oddVBand="0" w:evenVBand="0" w:oddHBand="0" w:evenHBand="0" w:firstRowFirstColumn="0" w:firstRowLastColumn="0" w:lastRowFirstColumn="0" w:lastRowLastColumn="0"/>
              <w:rPr>
                <w:bCs w:val="0"/>
              </w:rPr>
            </w:pPr>
            <w:r w:rsidRPr="0018386D">
              <w:rPr>
                <w:bCs w:val="0"/>
              </w:rPr>
              <w:t>Population</w:t>
            </w:r>
          </w:p>
        </w:tc>
        <w:tc>
          <w:tcPr>
            <w:tcW w:w="0" w:type="dxa"/>
            <w:tcBorders>
              <w:bottom w:val="single" w:sz="4" w:space="0" w:color="auto"/>
            </w:tcBorders>
            <w:shd w:val="clear" w:color="auto" w:fill="1B556B" w:themeFill="text2"/>
            <w:vAlign w:val="bottom"/>
          </w:tcPr>
          <w:p w14:paraId="7E2EFC01" w14:textId="77777777" w:rsidR="0016444C" w:rsidRPr="0018386D" w:rsidRDefault="0016444C" w:rsidP="00DD3106">
            <w:pPr>
              <w:pStyle w:val="TableText"/>
              <w:spacing w:before="40" w:after="40"/>
              <w:cnfStyle w:val="100000000000" w:firstRow="1" w:lastRow="0" w:firstColumn="0" w:lastColumn="0" w:oddVBand="0" w:evenVBand="0" w:oddHBand="0" w:evenHBand="0" w:firstRowFirstColumn="0" w:firstRowLastColumn="0" w:lastRowFirstColumn="0" w:lastRowLastColumn="0"/>
              <w:rPr>
                <w:bCs w:val="0"/>
              </w:rPr>
            </w:pPr>
            <w:r w:rsidRPr="0018386D">
              <w:rPr>
                <w:bCs w:val="0"/>
              </w:rPr>
              <w:t>Methane from manure management (kg CH</w:t>
            </w:r>
            <w:r w:rsidRPr="0018386D">
              <w:rPr>
                <w:bCs w:val="0"/>
                <w:vertAlign w:val="subscript"/>
              </w:rPr>
              <w:t>4</w:t>
            </w:r>
            <w:r w:rsidRPr="0018386D">
              <w:rPr>
                <w:bCs w:val="0"/>
              </w:rPr>
              <w:t>)</w:t>
            </w:r>
          </w:p>
        </w:tc>
        <w:tc>
          <w:tcPr>
            <w:tcW w:w="0" w:type="dxa"/>
            <w:tcBorders>
              <w:bottom w:val="single" w:sz="4" w:space="0" w:color="auto"/>
            </w:tcBorders>
            <w:shd w:val="clear" w:color="auto" w:fill="1B556B" w:themeFill="text2"/>
            <w:vAlign w:val="bottom"/>
          </w:tcPr>
          <w:p w14:paraId="6B86AD05" w14:textId="77777777" w:rsidR="0016444C" w:rsidRPr="0018386D" w:rsidRDefault="0016444C" w:rsidP="00DD3106">
            <w:pPr>
              <w:pStyle w:val="TableText"/>
              <w:spacing w:before="40" w:after="40"/>
              <w:cnfStyle w:val="100000000000" w:firstRow="1" w:lastRow="0" w:firstColumn="0" w:lastColumn="0" w:oddVBand="0" w:evenVBand="0" w:oddHBand="0" w:evenHBand="0" w:firstRowFirstColumn="0" w:firstRowLastColumn="0" w:lastRowFirstColumn="0" w:lastRowLastColumn="0"/>
              <w:rPr>
                <w:bCs w:val="0"/>
              </w:rPr>
            </w:pPr>
            <w:r w:rsidRPr="0018386D">
              <w:rPr>
                <w:bCs w:val="0"/>
              </w:rPr>
              <w:t>Nitrous oxide from manure management (kg N</w:t>
            </w:r>
            <w:r w:rsidRPr="0018386D">
              <w:rPr>
                <w:bCs w:val="0"/>
                <w:vertAlign w:val="subscript"/>
              </w:rPr>
              <w:t>2</w:t>
            </w:r>
            <w:r w:rsidRPr="0018386D">
              <w:rPr>
                <w:bCs w:val="0"/>
              </w:rPr>
              <w:t>O)</w:t>
            </w:r>
          </w:p>
        </w:tc>
      </w:tr>
      <w:tr w:rsidR="0016444C" w:rsidRPr="0018386D" w14:paraId="296CD741" w14:textId="77777777" w:rsidTr="00472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bottom w:val="single" w:sz="4" w:space="0" w:color="auto"/>
              <w:right w:val="nil"/>
            </w:tcBorders>
            <w:vAlign w:val="bottom"/>
          </w:tcPr>
          <w:p w14:paraId="634311C2" w14:textId="77777777" w:rsidR="0016444C" w:rsidRPr="0018386D" w:rsidRDefault="0016444C" w:rsidP="00DD3106">
            <w:pPr>
              <w:pStyle w:val="TableText"/>
              <w:spacing w:before="40" w:after="40"/>
              <w:jc w:val="both"/>
              <w:rPr>
                <w:b w:val="0"/>
                <w:szCs w:val="18"/>
              </w:rPr>
            </w:pPr>
            <w:r w:rsidRPr="0018386D">
              <w:rPr>
                <w:b w:val="0"/>
                <w:szCs w:val="18"/>
              </w:rPr>
              <w:t>Dairy cattle</w:t>
            </w:r>
          </w:p>
        </w:tc>
        <w:tc>
          <w:tcPr>
            <w:tcW w:w="0" w:type="dxa"/>
            <w:tcBorders>
              <w:top w:val="single" w:sz="4" w:space="0" w:color="auto"/>
              <w:left w:val="nil"/>
              <w:bottom w:val="single" w:sz="4" w:space="0" w:color="auto"/>
              <w:right w:val="nil"/>
            </w:tcBorders>
            <w:shd w:val="clear" w:color="auto" w:fill="auto"/>
            <w:vAlign w:val="bottom"/>
          </w:tcPr>
          <w:p w14:paraId="1F0D1B31" w14:textId="77777777" w:rsidR="0016444C" w:rsidRPr="0018386D" w:rsidRDefault="0016444C" w:rsidP="00DD3106">
            <w:pPr>
              <w:pStyle w:val="TableText"/>
              <w:spacing w:before="40" w:after="40"/>
              <w:jc w:val="both"/>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6,185,435</w:t>
            </w:r>
          </w:p>
        </w:tc>
        <w:tc>
          <w:tcPr>
            <w:tcW w:w="0" w:type="dxa"/>
            <w:tcBorders>
              <w:top w:val="single" w:sz="4" w:space="0" w:color="auto"/>
              <w:left w:val="nil"/>
              <w:bottom w:val="single" w:sz="4" w:space="0" w:color="auto"/>
              <w:right w:val="nil"/>
            </w:tcBorders>
            <w:shd w:val="clear" w:color="auto" w:fill="auto"/>
            <w:vAlign w:val="bottom"/>
          </w:tcPr>
          <w:p w14:paraId="54D8E6DD" w14:textId="77777777" w:rsidR="0016444C" w:rsidRPr="0018386D" w:rsidRDefault="0016444C" w:rsidP="00DD3106">
            <w:pPr>
              <w:pStyle w:val="TableText"/>
              <w:spacing w:before="40" w:after="40"/>
              <w:jc w:val="both"/>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53,642,309</w:t>
            </w:r>
          </w:p>
        </w:tc>
        <w:tc>
          <w:tcPr>
            <w:tcW w:w="0" w:type="dxa"/>
            <w:tcBorders>
              <w:top w:val="single" w:sz="4" w:space="0" w:color="auto"/>
              <w:left w:val="nil"/>
              <w:bottom w:val="single" w:sz="4" w:space="0" w:color="auto"/>
              <w:right w:val="nil"/>
            </w:tcBorders>
            <w:vAlign w:val="bottom"/>
          </w:tcPr>
          <w:p w14:paraId="201D91BE" w14:textId="77777777" w:rsidR="0016444C" w:rsidRPr="0018386D" w:rsidRDefault="0016444C" w:rsidP="00DD3106">
            <w:pPr>
              <w:pStyle w:val="TableText"/>
              <w:spacing w:before="40" w:after="40"/>
              <w:jc w:val="both"/>
              <w:cnfStyle w:val="000000100000" w:firstRow="0" w:lastRow="0" w:firstColumn="0" w:lastColumn="0" w:oddVBand="0" w:evenVBand="0" w:oddHBand="1" w:evenHBand="0" w:firstRowFirstColumn="0" w:firstRowLastColumn="0" w:lastRowFirstColumn="0" w:lastRowLastColumn="0"/>
              <w:rPr>
                <w:szCs w:val="18"/>
              </w:rPr>
            </w:pPr>
            <w:r w:rsidRPr="0018386D">
              <w:rPr>
                <w:szCs w:val="18"/>
              </w:rPr>
              <w:t>273,578</w:t>
            </w:r>
          </w:p>
        </w:tc>
      </w:tr>
    </w:tbl>
    <w:p w14:paraId="1DBF8A13" w14:textId="4E260A28" w:rsidR="0016444C" w:rsidRPr="0018386D" w:rsidRDefault="0016444C" w:rsidP="00DD3106">
      <w:pPr>
        <w:rPr>
          <w:lang w:val="en-NZ" w:eastAsia="en-NZ"/>
        </w:rPr>
      </w:pPr>
    </w:p>
    <w:tbl>
      <w:tblPr>
        <w:tblStyle w:val="LightList-Accent11"/>
        <w:tblW w:w="8505" w:type="dxa"/>
        <w:tblInd w:w="20" w:type="dxa"/>
        <w:tblLook w:val="04A0" w:firstRow="1" w:lastRow="0" w:firstColumn="1" w:lastColumn="0" w:noHBand="0" w:noVBand="1"/>
      </w:tblPr>
      <w:tblGrid>
        <w:gridCol w:w="8505"/>
      </w:tblGrid>
      <w:tr w:rsidR="00043912" w:rsidRPr="0018386D" w14:paraId="4550E297" w14:textId="77777777" w:rsidTr="00266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Borders>
              <w:top w:val="nil"/>
              <w:bottom w:val="nil"/>
            </w:tcBorders>
            <w:shd w:val="clear" w:color="auto" w:fill="0F7B7D"/>
            <w:vAlign w:val="bottom"/>
          </w:tcPr>
          <w:p w14:paraId="331EF2AF" w14:textId="654F21F9" w:rsidR="00043912" w:rsidRPr="0018386D" w:rsidRDefault="00E32D08" w:rsidP="00DD3106">
            <w:pPr>
              <w:pStyle w:val="TableText"/>
              <w:spacing w:before="40" w:after="40"/>
              <w:rPr>
                <w:sz w:val="22"/>
              </w:rPr>
            </w:pPr>
            <w:r w:rsidRPr="0018386D">
              <w:rPr>
                <w:sz w:val="22"/>
              </w:rPr>
              <w:t xml:space="preserve">MANURE MANAGEMENT: EMISSION FACTORS </w:t>
            </w:r>
            <w:r w:rsidR="0016444C" w:rsidRPr="0018386D">
              <w:rPr>
                <w:sz w:val="22"/>
              </w:rPr>
              <w:t>CALCULATIONS FOR LIFESTOCK TYPE</w:t>
            </w:r>
          </w:p>
        </w:tc>
      </w:tr>
      <w:tr w:rsidR="00043912" w:rsidRPr="0018386D" w14:paraId="6C80975F" w14:textId="77777777" w:rsidTr="00164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tcBorders>
              <w:top w:val="nil"/>
              <w:left w:val="nil"/>
              <w:bottom w:val="nil"/>
              <w:right w:val="nil"/>
            </w:tcBorders>
            <w:shd w:val="clear" w:color="auto" w:fill="D5EBE8" w:themeFill="accent3"/>
            <w:vAlign w:val="bottom"/>
          </w:tcPr>
          <w:p w14:paraId="2FFCA19A" w14:textId="77777777" w:rsidR="0016444C" w:rsidRPr="0018386D" w:rsidRDefault="0016444C" w:rsidP="00DD3106">
            <w:pPr>
              <w:pStyle w:val="Boxtext"/>
              <w:rPr>
                <w:b w:val="0"/>
                <w:bCs w:val="0"/>
                <w:color w:val="1B556B" w:themeColor="text2"/>
              </w:rPr>
            </w:pPr>
            <w:r w:rsidRPr="0018386D">
              <w:rPr>
                <w:b w:val="0"/>
              </w:rPr>
              <w:t>We calculated the manure management emission factors for each type o</w:t>
            </w:r>
            <w:r w:rsidRPr="0018386D">
              <w:rPr>
                <w:b w:val="0"/>
                <w:bCs w:val="0"/>
                <w:color w:val="1B556B" w:themeColor="text2"/>
              </w:rPr>
              <w:t>f livestock as follows:</w:t>
            </w:r>
          </w:p>
          <w:p w14:paraId="09D05788" w14:textId="77777777" w:rsidR="0016444C" w:rsidRPr="0018386D" w:rsidRDefault="0016444C" w:rsidP="00DD3106">
            <w:pPr>
              <w:pStyle w:val="Boxbullet"/>
              <w:numPr>
                <w:ilvl w:val="0"/>
                <w:numId w:val="80"/>
              </w:numPr>
              <w:rPr>
                <w:b w:val="0"/>
                <w:bCs w:val="0"/>
                <w:color w:val="1B556B" w:themeColor="text2"/>
              </w:rPr>
            </w:pPr>
            <w:r w:rsidRPr="0018386D">
              <w:rPr>
                <w:b w:val="0"/>
              </w:rPr>
              <w:t xml:space="preserve">Convert the units to kg of </w:t>
            </w:r>
            <w:r w:rsidRPr="0018386D">
              <w:rPr>
                <w:b w:val="0"/>
                <w:bCs w:val="0"/>
                <w:color w:val="1B556B" w:themeColor="text2"/>
              </w:rPr>
              <w:t>GHG.</w:t>
            </w:r>
          </w:p>
          <w:p w14:paraId="18BAC191" w14:textId="77777777" w:rsidR="0016444C" w:rsidRPr="0018386D" w:rsidRDefault="0016444C" w:rsidP="00DD3106">
            <w:pPr>
              <w:pStyle w:val="Boxbullet"/>
              <w:numPr>
                <w:ilvl w:val="0"/>
                <w:numId w:val="80"/>
              </w:numPr>
              <w:rPr>
                <w:b w:val="0"/>
                <w:bCs w:val="0"/>
                <w:color w:val="1B556B" w:themeColor="text2"/>
              </w:rPr>
            </w:pPr>
            <w:r w:rsidRPr="0018386D">
              <w:rPr>
                <w:b w:val="0"/>
              </w:rPr>
              <w:t xml:space="preserve">Divide by population to generate kg of </w:t>
            </w:r>
            <w:r w:rsidRPr="0018386D">
              <w:rPr>
                <w:b w:val="0"/>
                <w:bCs w:val="0"/>
                <w:color w:val="1B556B" w:themeColor="text2"/>
              </w:rPr>
              <w:t>GHG per head (ie, per animal).</w:t>
            </w:r>
          </w:p>
          <w:p w14:paraId="4FA0A440" w14:textId="77777777" w:rsidR="0016444C" w:rsidRPr="0018386D" w:rsidRDefault="0016444C" w:rsidP="00DD3106">
            <w:pPr>
              <w:pStyle w:val="Boxbullet"/>
              <w:numPr>
                <w:ilvl w:val="0"/>
                <w:numId w:val="80"/>
              </w:numPr>
              <w:rPr>
                <w:rFonts w:eastAsia="Calibri" w:cs="Calibri"/>
                <w:b w:val="0"/>
                <w:bCs w:val="0"/>
                <w:color w:val="1B556B" w:themeColor="text2"/>
              </w:rPr>
            </w:pPr>
            <w:r w:rsidRPr="0018386D">
              <w:rPr>
                <w:b w:val="0"/>
              </w:rPr>
              <w:t>Calc</w:t>
            </w:r>
            <w:r w:rsidRPr="0018386D">
              <w:rPr>
                <w:rFonts w:eastAsia="Calibri" w:cs="Calibri"/>
                <w:b w:val="0"/>
                <w:bCs w:val="0"/>
                <w:color w:val="1B556B" w:themeColor="text2"/>
              </w:rPr>
              <w:t>ulate kg CO</w:t>
            </w:r>
            <w:r w:rsidRPr="0018386D">
              <w:rPr>
                <w:rFonts w:eastAsia="Calibri" w:cs="Calibri"/>
                <w:b w:val="0"/>
                <w:bCs w:val="0"/>
                <w:color w:val="1B556B" w:themeColor="text2"/>
                <w:vertAlign w:val="subscript"/>
              </w:rPr>
              <w:t>2</w:t>
            </w:r>
            <w:r w:rsidRPr="0018386D">
              <w:rPr>
                <w:rFonts w:eastAsia="Calibri" w:cs="Calibri"/>
                <w:b w:val="0"/>
                <w:bCs w:val="0"/>
                <w:color w:val="1B556B" w:themeColor="text2"/>
              </w:rPr>
              <w:t>-e/animal by multiplying each GHG by the IPCC AR5 100-year GWP.</w:t>
            </w:r>
          </w:p>
          <w:p w14:paraId="60CA1D84" w14:textId="36460EC2" w:rsidR="0016444C" w:rsidRPr="0018386D" w:rsidRDefault="00675B86" w:rsidP="00DD3106">
            <w:pPr>
              <w:pStyle w:val="Boxtext"/>
              <w:rPr>
                <w:b w:val="0"/>
                <w:bCs w:val="0"/>
                <w:color w:val="1B556B" w:themeColor="text2"/>
              </w:rPr>
            </w:pPr>
            <w:r w:rsidRPr="0018386D">
              <w:rPr>
                <w:b w:val="0"/>
              </w:rPr>
              <w:t>Emission f</w:t>
            </w:r>
            <w:r w:rsidRPr="0018386D">
              <w:rPr>
                <w:b w:val="0"/>
                <w:bCs w:val="0"/>
                <w:color w:val="1B556B" w:themeColor="text2"/>
              </w:rPr>
              <w:t xml:space="preserve">actors for dairy cattle </w:t>
            </w:r>
            <w:r w:rsidR="00641B5D" w:rsidRPr="0018386D">
              <w:rPr>
                <w:b w:val="0"/>
                <w:bCs w:val="0"/>
                <w:color w:val="1B556B" w:themeColor="text2"/>
              </w:rPr>
              <w:t>(table 8</w:t>
            </w:r>
            <w:r w:rsidR="006D65FD" w:rsidRPr="0018386D">
              <w:rPr>
                <w:b w:val="0"/>
                <w:bCs w:val="0"/>
                <w:color w:val="1B556B" w:themeColor="text2"/>
              </w:rPr>
              <w:t>8</w:t>
            </w:r>
            <w:r w:rsidR="00641B5D" w:rsidRPr="0018386D">
              <w:rPr>
                <w:b w:val="0"/>
                <w:bCs w:val="0"/>
                <w:color w:val="1B556B" w:themeColor="text2"/>
              </w:rPr>
              <w:t xml:space="preserve">) </w:t>
            </w:r>
            <w:r w:rsidRPr="0018386D">
              <w:rPr>
                <w:b w:val="0"/>
                <w:bCs w:val="0"/>
                <w:color w:val="1B556B" w:themeColor="text2"/>
              </w:rPr>
              <w:t xml:space="preserve">were calculated as follows: </w:t>
            </w:r>
          </w:p>
          <w:p w14:paraId="78A86028" w14:textId="38B0FF2B" w:rsidR="0016444C" w:rsidRPr="0018386D" w:rsidRDefault="0016444C" w:rsidP="00DD3106">
            <w:pPr>
              <w:pStyle w:val="Boxtext"/>
              <w:spacing w:before="20" w:after="20"/>
              <w:ind w:left="794"/>
              <w:rPr>
                <w:b w:val="0"/>
                <w:bCs w:val="0"/>
                <w:color w:val="1B556B" w:themeColor="text2"/>
              </w:rPr>
            </w:pPr>
            <w:r w:rsidRPr="0018386D">
              <w:rPr>
                <w:b w:val="0"/>
              </w:rPr>
              <w:t>Methane emissions</w:t>
            </w:r>
            <w:r w:rsidR="009B624F" w:rsidRPr="0018386D">
              <w:rPr>
                <w:b w:val="0"/>
                <w:bCs w:val="0"/>
              </w:rPr>
              <w:tab/>
            </w:r>
            <w:r w:rsidR="009B624F" w:rsidRPr="0018386D">
              <w:rPr>
                <w:b w:val="0"/>
                <w:bCs w:val="0"/>
              </w:rPr>
              <w:tab/>
            </w:r>
            <w:r w:rsidRPr="0018386D">
              <w:rPr>
                <w:b w:val="0"/>
              </w:rPr>
              <w:t xml:space="preserve">= 53,642,309 ÷ 6,185,435 </w:t>
            </w:r>
            <w:r w:rsidR="009B624F" w:rsidRPr="0018386D">
              <w:rPr>
                <w:b w:val="0"/>
                <w:bCs w:val="0"/>
              </w:rPr>
              <w:tab/>
            </w:r>
            <w:r w:rsidRPr="0018386D">
              <w:rPr>
                <w:b w:val="0"/>
              </w:rPr>
              <w:t>= 8.</w:t>
            </w:r>
            <w:r w:rsidRPr="0018386D">
              <w:rPr>
                <w:b w:val="0"/>
                <w:bCs w:val="0"/>
                <w:color w:val="1B556B" w:themeColor="text2"/>
              </w:rPr>
              <w:t>672 kg CH</w:t>
            </w:r>
            <w:r w:rsidRPr="0018386D">
              <w:rPr>
                <w:b w:val="0"/>
                <w:bCs w:val="0"/>
                <w:color w:val="1B556B" w:themeColor="text2"/>
                <w:vertAlign w:val="subscript"/>
              </w:rPr>
              <w:t>4</w:t>
            </w:r>
            <w:r w:rsidRPr="0018386D">
              <w:rPr>
                <w:b w:val="0"/>
                <w:bCs w:val="0"/>
                <w:color w:val="1B556B" w:themeColor="text2"/>
              </w:rPr>
              <w:t xml:space="preserve"> per head</w:t>
            </w:r>
          </w:p>
          <w:p w14:paraId="6E7DD8D0" w14:textId="7939F487" w:rsidR="0016444C" w:rsidRPr="0018386D" w:rsidRDefault="0016444C" w:rsidP="00DD3106">
            <w:pPr>
              <w:pStyle w:val="Boxtext"/>
              <w:spacing w:before="20" w:after="20"/>
              <w:ind w:left="794"/>
              <w:rPr>
                <w:b w:val="0"/>
                <w:bCs w:val="0"/>
                <w:color w:val="1B556B" w:themeColor="text2"/>
              </w:rPr>
            </w:pPr>
            <w:r w:rsidRPr="0018386D">
              <w:rPr>
                <w:b w:val="0"/>
              </w:rPr>
              <w:t>Nitrous oxide emissions</w:t>
            </w:r>
            <w:r w:rsidR="009B624F" w:rsidRPr="0018386D">
              <w:rPr>
                <w:b w:val="0"/>
                <w:bCs w:val="0"/>
              </w:rPr>
              <w:tab/>
            </w:r>
            <w:r w:rsidRPr="0018386D">
              <w:rPr>
                <w:b w:val="0"/>
              </w:rPr>
              <w:t xml:space="preserve">= 273,578 ÷ 6,185,435 </w:t>
            </w:r>
            <w:r w:rsidR="009B624F" w:rsidRPr="0018386D">
              <w:rPr>
                <w:b w:val="0"/>
                <w:bCs w:val="0"/>
              </w:rPr>
              <w:tab/>
            </w:r>
            <w:r w:rsidR="009B624F" w:rsidRPr="0018386D">
              <w:rPr>
                <w:b w:val="0"/>
                <w:bCs w:val="0"/>
              </w:rPr>
              <w:tab/>
            </w:r>
            <w:r w:rsidRPr="0018386D">
              <w:rPr>
                <w:b w:val="0"/>
              </w:rPr>
              <w:t>= 0.</w:t>
            </w:r>
            <w:r w:rsidRPr="0018386D">
              <w:rPr>
                <w:b w:val="0"/>
                <w:bCs w:val="0"/>
                <w:color w:val="1B556B" w:themeColor="text2"/>
              </w:rPr>
              <w:t>044 kg N</w:t>
            </w:r>
            <w:r w:rsidRPr="0018386D">
              <w:rPr>
                <w:b w:val="0"/>
                <w:bCs w:val="0"/>
                <w:color w:val="1B556B" w:themeColor="text2"/>
                <w:vertAlign w:val="subscript"/>
              </w:rPr>
              <w:t>2</w:t>
            </w:r>
            <w:r w:rsidRPr="0018386D">
              <w:rPr>
                <w:b w:val="0"/>
                <w:bCs w:val="0"/>
                <w:color w:val="1B556B" w:themeColor="text2"/>
              </w:rPr>
              <w:t>O per head</w:t>
            </w:r>
          </w:p>
          <w:p w14:paraId="512F3E3D" w14:textId="3F66CC10" w:rsidR="0016444C" w:rsidRPr="0018386D" w:rsidRDefault="0016444C" w:rsidP="00DD3106">
            <w:pPr>
              <w:pStyle w:val="Boxtext"/>
              <w:spacing w:before="20" w:after="20"/>
              <w:ind w:left="794"/>
              <w:rPr>
                <w:b w:val="0"/>
                <w:bCs w:val="0"/>
                <w:color w:val="1B556B" w:themeColor="text2"/>
              </w:rPr>
            </w:pPr>
            <w:r w:rsidRPr="0018386D">
              <w:rPr>
                <w:b w:val="0"/>
              </w:rPr>
              <w:t>Total kg CO</w:t>
            </w:r>
            <w:r w:rsidRPr="0018386D">
              <w:rPr>
                <w:b w:val="0"/>
                <w:vertAlign w:val="subscript"/>
              </w:rPr>
              <w:t>2</w:t>
            </w:r>
            <w:r w:rsidRPr="0018386D">
              <w:rPr>
                <w:b w:val="0"/>
              </w:rPr>
              <w:t xml:space="preserve"> </w:t>
            </w:r>
            <w:r w:rsidRPr="0018386D">
              <w:t>equivalent</w:t>
            </w:r>
            <w:r w:rsidR="009B624F" w:rsidRPr="0018386D">
              <w:rPr>
                <w:b w:val="0"/>
                <w:bCs w:val="0"/>
              </w:rPr>
              <w:tab/>
            </w:r>
            <w:r w:rsidRPr="0018386D">
              <w:rPr>
                <w:b w:val="0"/>
              </w:rPr>
              <w:t>=</w:t>
            </w:r>
            <w:r w:rsidRPr="0018386D">
              <w:rPr>
                <w:b w:val="0"/>
                <w:bCs w:val="0"/>
                <w:color w:val="1B556B" w:themeColor="text2"/>
              </w:rPr>
              <w:t xml:space="preserve"> (8.672 x 28) + (0.044 x 265) = 254.5 kg CO</w:t>
            </w:r>
            <w:r w:rsidRPr="0018386D">
              <w:rPr>
                <w:b w:val="0"/>
                <w:bCs w:val="0"/>
                <w:color w:val="1B556B" w:themeColor="text2"/>
                <w:vertAlign w:val="subscript"/>
              </w:rPr>
              <w:t>2</w:t>
            </w:r>
            <w:r w:rsidRPr="0018386D">
              <w:rPr>
                <w:b w:val="0"/>
                <w:bCs w:val="0"/>
                <w:color w:val="1B556B" w:themeColor="text2"/>
              </w:rPr>
              <w:t>-e per head</w:t>
            </w:r>
          </w:p>
          <w:p w14:paraId="5ABBAA49" w14:textId="00113A77" w:rsidR="00043912" w:rsidRPr="0018386D" w:rsidRDefault="00043912" w:rsidP="00DD3106">
            <w:pPr>
              <w:pStyle w:val="TableText"/>
              <w:spacing w:before="40" w:after="40"/>
              <w:jc w:val="both"/>
              <w:rPr>
                <w:szCs w:val="18"/>
              </w:rPr>
            </w:pPr>
          </w:p>
        </w:tc>
      </w:tr>
    </w:tbl>
    <w:p w14:paraId="3FD78950" w14:textId="77777777" w:rsidR="00266ECF" w:rsidRPr="0018386D" w:rsidRDefault="00266ECF" w:rsidP="00DD3106">
      <w:pPr>
        <w:pStyle w:val="Heading4"/>
        <w:numPr>
          <w:ilvl w:val="3"/>
          <w:numId w:val="8"/>
        </w:numPr>
        <w:spacing w:before="440"/>
        <w:ind w:left="1134" w:hanging="1134"/>
        <w:rPr>
          <w:rFonts w:eastAsia="Georgia" w:cs="Georgia"/>
          <w:color w:val="000000" w:themeColor="text1"/>
          <w:szCs w:val="24"/>
        </w:rPr>
      </w:pPr>
      <w:r w:rsidRPr="0018386D">
        <w:t xml:space="preserve">Assumptions, </w:t>
      </w:r>
      <w:proofErr w:type="gramStart"/>
      <w:r w:rsidRPr="0018386D">
        <w:t>limitations</w:t>
      </w:r>
      <w:proofErr w:type="gramEnd"/>
      <w:r w:rsidRPr="0018386D">
        <w:t xml:space="preserve"> and uncertainties</w:t>
      </w:r>
    </w:p>
    <w:p w14:paraId="6F7F0EB4" w14:textId="2A822981" w:rsidR="003A7B65" w:rsidRPr="0018386D" w:rsidRDefault="00C7627E" w:rsidP="00DD3106">
      <w:pPr>
        <w:pStyle w:val="BodyText"/>
      </w:pPr>
      <w:hyperlink r:id="rId150" w:history="1">
        <w:r w:rsidR="5030DD80" w:rsidRPr="0018386D">
          <w:rPr>
            <w:rStyle w:val="Hyperlink"/>
            <w:i/>
            <w:iCs/>
          </w:rPr>
          <w:t>New Zealand’s Greenhouse Gas Inventory 19</w:t>
        </w:r>
        <w:r w:rsidR="0023382F" w:rsidRPr="0018386D">
          <w:rPr>
            <w:rStyle w:val="Hyperlink"/>
            <w:i/>
            <w:iCs/>
          </w:rPr>
          <w:t>9</w:t>
        </w:r>
        <w:r w:rsidR="5030DD80" w:rsidRPr="0018386D">
          <w:rPr>
            <w:rStyle w:val="Hyperlink"/>
            <w:i/>
            <w:iCs/>
          </w:rPr>
          <w:t>0–2021</w:t>
        </w:r>
      </w:hyperlink>
      <w:r w:rsidR="5030DD80" w:rsidRPr="0018386D">
        <w:rPr>
          <w:i/>
          <w:iCs/>
        </w:rPr>
        <w:t xml:space="preserve"> </w:t>
      </w:r>
      <w:r w:rsidR="00D30E2B" w:rsidRPr="0018386D">
        <w:t>states that the major sources of uncertainty in emissions from manure management are the accuracy of emission factors for manure management system distribution, the activity data on the livestock population and the use of the various manure management systems. Based on the IPCC methodologies</w:t>
      </w:r>
      <w:r w:rsidR="006C7786" w:rsidRPr="0018386D">
        <w:rPr>
          <w:rStyle w:val="FootnoteReference"/>
        </w:rPr>
        <w:footnoteReference w:id="67"/>
      </w:r>
      <w:r w:rsidR="00D30E2B" w:rsidRPr="0018386D">
        <w:t>, the uncertainty factor for methane emissions is ±20 per cent and for nitrous oxide emissions ±100 per cent,</w:t>
      </w:r>
      <w:r w:rsidR="00D30E2B" w:rsidRPr="0018386D">
        <w:rPr>
          <w:rStyle w:val="FootnoteReference"/>
        </w:rPr>
        <w:footnoteReference w:id="68"/>
      </w:r>
      <w:r w:rsidR="00D30E2B" w:rsidRPr="0018386D">
        <w:t xml:space="preserve"> although different uncertainty values are reported in the New Zealand Inventory. </w:t>
      </w:r>
      <w:hyperlink r:id="rId151" w:history="1">
        <w:r w:rsidR="00D30E2B" w:rsidRPr="0018386D">
          <w:rPr>
            <w:rStyle w:val="Hyperlink"/>
            <w:i/>
            <w:iCs/>
          </w:rPr>
          <w:t>New Zealand</w:t>
        </w:r>
        <w:r w:rsidR="0023382F" w:rsidRPr="0018386D">
          <w:rPr>
            <w:rStyle w:val="Hyperlink"/>
            <w:i/>
            <w:iCs/>
          </w:rPr>
          <w:t>’s</w:t>
        </w:r>
        <w:r w:rsidR="00D30E2B" w:rsidRPr="0018386D">
          <w:rPr>
            <w:rStyle w:val="Hyperlink"/>
            <w:i/>
            <w:iCs/>
          </w:rPr>
          <w:t xml:space="preserve"> Greenhouse Gas Inventory 1990</w:t>
        </w:r>
        <w:r w:rsidR="0023382F" w:rsidRPr="0018386D">
          <w:rPr>
            <w:rStyle w:val="Hyperlink"/>
            <w:i/>
            <w:iCs/>
          </w:rPr>
          <w:t>–</w:t>
        </w:r>
        <w:r w:rsidR="00D30E2B" w:rsidRPr="0018386D">
          <w:rPr>
            <w:rStyle w:val="Hyperlink"/>
            <w:i/>
            <w:iCs/>
          </w:rPr>
          <w:t>2021</w:t>
        </w:r>
      </w:hyperlink>
      <w:r w:rsidR="00D30E2B" w:rsidRPr="0018386D">
        <w:t xml:space="preserve"> details the assumptions and limitations of these data.</w:t>
      </w:r>
    </w:p>
    <w:p w14:paraId="39E24949" w14:textId="3CE69524" w:rsidR="0082460A" w:rsidRPr="0018386D" w:rsidRDefault="0082460A" w:rsidP="00DD3106">
      <w:pPr>
        <w:pStyle w:val="Heading4"/>
        <w:numPr>
          <w:ilvl w:val="3"/>
          <w:numId w:val="8"/>
        </w:numPr>
        <w:spacing w:before="440"/>
        <w:ind w:left="1134" w:hanging="1134"/>
      </w:pPr>
      <w:r w:rsidRPr="0018386D">
        <w:t>Alter</w:t>
      </w:r>
      <w:r w:rsidR="008A4CE6" w:rsidRPr="0018386D">
        <w:t>n</w:t>
      </w:r>
      <w:r w:rsidRPr="0018386D">
        <w:t>ative methods of calculation</w:t>
      </w:r>
      <w:r w:rsidRPr="0018386D">
        <w:tab/>
      </w:r>
    </w:p>
    <w:p w14:paraId="3035DD4C" w14:textId="1D3E2CE2" w:rsidR="003A7B65" w:rsidRPr="0018386D" w:rsidRDefault="003A7B65" w:rsidP="00DD3106">
      <w:pPr>
        <w:pStyle w:val="BodyText"/>
        <w:jc w:val="both"/>
      </w:pPr>
      <w:r w:rsidRPr="0018386D">
        <w:t>See</w:t>
      </w:r>
      <w:r w:rsidR="00607101" w:rsidRPr="0018386D">
        <w:t xml:space="preserve"> </w:t>
      </w:r>
      <w:hyperlink w:anchor="_Alternative_methods_and" w:history="1">
        <w:r w:rsidR="0075595B" w:rsidRPr="0018386D">
          <w:rPr>
            <w:rStyle w:val="Hyperlink"/>
          </w:rPr>
          <w:t>Alternative methods and tools</w:t>
        </w:r>
      </w:hyperlink>
      <w:r w:rsidR="00A0773E" w:rsidRPr="0018386D">
        <w:t>.</w:t>
      </w:r>
      <w:r w:rsidRPr="0018386D">
        <w:t xml:space="preserve"> </w:t>
      </w:r>
    </w:p>
    <w:p w14:paraId="06F7D52C" w14:textId="6D83DC85" w:rsidR="00533ACF" w:rsidRPr="0018386D" w:rsidRDefault="00533ACF" w:rsidP="00DD3106">
      <w:pPr>
        <w:pStyle w:val="Heading3"/>
        <w:numPr>
          <w:ilvl w:val="2"/>
          <w:numId w:val="8"/>
        </w:numPr>
        <w:spacing w:before="280"/>
        <w:ind w:left="1134" w:hanging="1134"/>
        <w:jc w:val="both"/>
      </w:pPr>
      <w:r w:rsidRPr="0018386D">
        <w:t>Agricultural soils</w:t>
      </w:r>
    </w:p>
    <w:p w14:paraId="6CB9A93C" w14:textId="043458E4" w:rsidR="00D3701C" w:rsidRPr="0018386D" w:rsidRDefault="00533ACF" w:rsidP="00DD3106">
      <w:pPr>
        <w:pStyle w:val="BodyText"/>
      </w:pPr>
      <w:r w:rsidRPr="0018386D">
        <w:t xml:space="preserve">Agricultural soils emit nitrous oxide due to the addition of nitrogen to soils through manure, </w:t>
      </w:r>
      <w:proofErr w:type="gramStart"/>
      <w:r w:rsidRPr="0018386D">
        <w:t>dung</w:t>
      </w:r>
      <w:proofErr w:type="gramEnd"/>
      <w:r w:rsidRPr="0018386D">
        <w:t xml:space="preserve"> and urine. The guide provides </w:t>
      </w:r>
      <w:r w:rsidR="00C26CAA" w:rsidRPr="0018386D">
        <w:t xml:space="preserve">implied </w:t>
      </w:r>
      <w:r w:rsidRPr="0018386D">
        <w:t xml:space="preserve">emission factors for the impact of common agricultural livestock categories on soil in </w:t>
      </w:r>
      <w:hyperlink w:anchor="table89" w:history="1">
        <w:r w:rsidRPr="0018386D">
          <w:rPr>
            <w:rStyle w:val="Hyperlink"/>
          </w:rPr>
          <w:t xml:space="preserve">table </w:t>
        </w:r>
        <w:r w:rsidR="00FB0171" w:rsidRPr="0018386D">
          <w:rPr>
            <w:rStyle w:val="Hyperlink"/>
          </w:rPr>
          <w:t>8</w:t>
        </w:r>
        <w:r w:rsidRPr="0018386D">
          <w:rPr>
            <w:rStyle w:val="Hyperlink"/>
          </w:rPr>
          <w:t>9</w:t>
        </w:r>
      </w:hyperlink>
      <w:r w:rsidRPr="0018386D">
        <w:t xml:space="preserve">. </w:t>
      </w:r>
    </w:p>
    <w:p w14:paraId="6742D52E" w14:textId="77777777" w:rsidR="00D3701C" w:rsidRPr="0018386D" w:rsidRDefault="00D3701C" w:rsidP="00DD3106">
      <w:pPr>
        <w:spacing w:line="23" w:lineRule="auto"/>
        <w:rPr>
          <w:rFonts w:eastAsiaTheme="minorEastAsia" w:cstheme="minorBidi"/>
          <w:szCs w:val="22"/>
          <w:lang w:val="en-NZ" w:eastAsia="en-NZ"/>
        </w:rPr>
      </w:pPr>
      <w:r w:rsidRPr="0018386D">
        <w:br w:type="page"/>
      </w:r>
    </w:p>
    <w:p w14:paraId="299E621A" w14:textId="0B9917AE" w:rsidR="00533ACF" w:rsidRPr="0018386D" w:rsidRDefault="005B0BFB" w:rsidP="00DD3106">
      <w:pPr>
        <w:pStyle w:val="Tableheading"/>
      </w:pPr>
      <w:bookmarkStart w:id="942" w:name="table89"/>
      <w:bookmarkStart w:id="943" w:name="_Toc111536701"/>
      <w:bookmarkStart w:id="944" w:name="_Toc140049029"/>
      <w:r w:rsidRPr="0018386D">
        <w:t xml:space="preserve">Table </w:t>
      </w:r>
      <w:r w:rsidRPr="0018386D">
        <w:fldChar w:fldCharType="begin"/>
      </w:r>
      <w:r w:rsidRPr="0018386D">
        <w:instrText>SEQ Table \* ARABIC</w:instrText>
      </w:r>
      <w:r w:rsidRPr="0018386D">
        <w:fldChar w:fldCharType="separate"/>
      </w:r>
      <w:r w:rsidR="009A6CAA" w:rsidRPr="0018386D">
        <w:t>89</w:t>
      </w:r>
      <w:r w:rsidRPr="0018386D">
        <w:fldChar w:fldCharType="end"/>
      </w:r>
      <w:bookmarkEnd w:id="942"/>
      <w:r w:rsidRPr="0018386D">
        <w:t>:</w:t>
      </w:r>
      <w:r w:rsidRPr="0018386D">
        <w:tab/>
      </w:r>
      <w:r w:rsidR="002D0558" w:rsidRPr="0018386D">
        <w:t>Implied emission factors</w:t>
      </w:r>
      <w:bookmarkEnd w:id="943"/>
      <w:r w:rsidR="002D0558" w:rsidRPr="0018386D">
        <w:t xml:space="preserve"> from agricultural </w:t>
      </w:r>
      <w:r w:rsidR="29008912" w:rsidRPr="0018386D">
        <w:t>soils</w:t>
      </w:r>
      <w:bookmarkEnd w:id="944"/>
      <w:r w:rsidR="72BFB7DF" w:rsidRPr="0018386D">
        <w:t xml:space="preserve"> </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1712"/>
        <w:gridCol w:w="913"/>
        <w:gridCol w:w="1199"/>
        <w:gridCol w:w="1599"/>
        <w:gridCol w:w="1541"/>
        <w:gridCol w:w="1541"/>
      </w:tblGrid>
      <w:tr w:rsidR="00E5079E" w:rsidRPr="0018386D" w14:paraId="2DF2BE3C" w14:textId="77777777" w:rsidTr="001E1334">
        <w:trPr>
          <w:divId w:val="1800608547"/>
        </w:trPr>
        <w:tc>
          <w:tcPr>
            <w:tcW w:w="1712" w:type="dxa"/>
            <w:shd w:val="clear" w:color="000000" w:fill="1B556B" w:themeFill="text2"/>
            <w:noWrap/>
            <w:vAlign w:val="bottom"/>
            <w:hideMark/>
          </w:tcPr>
          <w:p w14:paraId="0D86CB9F" w14:textId="0A4013E3" w:rsidR="008E2ED2" w:rsidRPr="0018386D" w:rsidRDefault="008E2ED2" w:rsidP="00DD3106">
            <w:pPr>
              <w:pStyle w:val="TableTextbold"/>
              <w:spacing w:before="40" w:after="40"/>
              <w:rPr>
                <w:color w:val="FFFFFF" w:themeColor="background1"/>
                <w:lang w:bidi="th-TH"/>
              </w:rPr>
            </w:pPr>
            <w:bookmarkStart w:id="945" w:name="_1746366943"/>
            <w:bookmarkStart w:id="946" w:name="_1746254120"/>
            <w:bookmarkStart w:id="947" w:name="_1747051311"/>
            <w:bookmarkEnd w:id="945"/>
            <w:bookmarkEnd w:id="946"/>
            <w:bookmarkEnd w:id="947"/>
            <w:r w:rsidRPr="0018386D">
              <w:rPr>
                <w:color w:val="FFFFFF" w:themeColor="background1"/>
                <w:lang w:bidi="th-TH"/>
              </w:rPr>
              <w:t>Emission source</w:t>
            </w:r>
          </w:p>
        </w:tc>
        <w:tc>
          <w:tcPr>
            <w:tcW w:w="913" w:type="dxa"/>
            <w:shd w:val="clear" w:color="000000" w:fill="1B556B" w:themeFill="text2"/>
            <w:noWrap/>
            <w:vAlign w:val="bottom"/>
            <w:hideMark/>
          </w:tcPr>
          <w:p w14:paraId="073E54DA" w14:textId="77777777"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Unit</w:t>
            </w:r>
          </w:p>
        </w:tc>
        <w:tc>
          <w:tcPr>
            <w:tcW w:w="1199" w:type="dxa"/>
            <w:shd w:val="clear" w:color="000000" w:fill="1B556B" w:themeFill="text2"/>
            <w:noWrap/>
            <w:vAlign w:val="bottom"/>
            <w:hideMark/>
          </w:tcPr>
          <w:p w14:paraId="7D49EA9C" w14:textId="00D28DFC"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kg CO₂-e/unit</w:t>
            </w:r>
          </w:p>
        </w:tc>
        <w:tc>
          <w:tcPr>
            <w:tcW w:w="1599" w:type="dxa"/>
            <w:shd w:val="clear" w:color="000000" w:fill="1B556B" w:themeFill="text2"/>
            <w:noWrap/>
            <w:vAlign w:val="bottom"/>
            <w:hideMark/>
          </w:tcPr>
          <w:p w14:paraId="17BA6473" w14:textId="52BD99B1"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CO₂ (kg CO₂</w:t>
            </w:r>
            <w:r w:rsidRPr="0018386D">
              <w:rPr>
                <w:color w:val="FFFFFF" w:themeColor="background1"/>
                <w:lang w:bidi="th-TH"/>
              </w:rPr>
              <w:noBreakHyphen/>
              <w:t>e/</w:t>
            </w:r>
            <w:r w:rsidR="00E5079E" w:rsidRPr="0018386D">
              <w:rPr>
                <w:color w:val="FFFFFF" w:themeColor="background1"/>
                <w:lang w:bidi="th-TH"/>
              </w:rPr>
              <w:t xml:space="preserve"> </w:t>
            </w:r>
            <w:r w:rsidRPr="0018386D">
              <w:rPr>
                <w:color w:val="FFFFFF" w:themeColor="background1"/>
                <w:lang w:bidi="th-TH"/>
              </w:rPr>
              <w:t>unit)</w:t>
            </w:r>
          </w:p>
        </w:tc>
        <w:tc>
          <w:tcPr>
            <w:tcW w:w="1541" w:type="dxa"/>
            <w:shd w:val="clear" w:color="000000" w:fill="1B556B" w:themeFill="text2"/>
            <w:noWrap/>
            <w:vAlign w:val="bottom"/>
            <w:hideMark/>
          </w:tcPr>
          <w:p w14:paraId="64AC5A54" w14:textId="4EBDF1EB"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CH₄ (kg CO₂-e/</w:t>
            </w:r>
            <w:r w:rsidR="00E5079E" w:rsidRPr="0018386D">
              <w:rPr>
                <w:color w:val="FFFFFF" w:themeColor="background1"/>
                <w:lang w:bidi="th-TH"/>
              </w:rPr>
              <w:t xml:space="preserve"> </w:t>
            </w:r>
            <w:r w:rsidRPr="0018386D">
              <w:rPr>
                <w:color w:val="FFFFFF" w:themeColor="background1"/>
                <w:lang w:bidi="th-TH"/>
              </w:rPr>
              <w:t>unit)</w:t>
            </w:r>
          </w:p>
        </w:tc>
        <w:tc>
          <w:tcPr>
            <w:tcW w:w="1541" w:type="dxa"/>
            <w:shd w:val="clear" w:color="000000" w:fill="1B556B" w:themeFill="text2"/>
            <w:noWrap/>
            <w:vAlign w:val="bottom"/>
            <w:hideMark/>
          </w:tcPr>
          <w:p w14:paraId="43123E74" w14:textId="67F69D4F" w:rsidR="008E2ED2" w:rsidRPr="0018386D" w:rsidRDefault="008E2ED2" w:rsidP="00DD3106">
            <w:pPr>
              <w:pStyle w:val="TableTextbold"/>
              <w:spacing w:before="40" w:after="40"/>
              <w:rPr>
                <w:color w:val="FFFFFF" w:themeColor="background1"/>
                <w:lang w:bidi="th-TH"/>
              </w:rPr>
            </w:pPr>
            <w:r w:rsidRPr="0018386D">
              <w:rPr>
                <w:color w:val="FFFFFF" w:themeColor="background1"/>
                <w:lang w:bidi="th-TH"/>
              </w:rPr>
              <w:t>N₂O (kg CO₂-e/</w:t>
            </w:r>
            <w:r w:rsidR="00E5079E" w:rsidRPr="0018386D">
              <w:rPr>
                <w:color w:val="FFFFFF" w:themeColor="background1"/>
                <w:lang w:bidi="th-TH"/>
              </w:rPr>
              <w:t xml:space="preserve"> </w:t>
            </w:r>
            <w:r w:rsidRPr="0018386D">
              <w:rPr>
                <w:color w:val="FFFFFF" w:themeColor="background1"/>
                <w:lang w:bidi="th-TH"/>
              </w:rPr>
              <w:t>unit)</w:t>
            </w:r>
          </w:p>
        </w:tc>
      </w:tr>
      <w:tr w:rsidR="00E5079E" w:rsidRPr="0018386D" w14:paraId="277D6209" w14:textId="77777777" w:rsidTr="001E1334">
        <w:trPr>
          <w:divId w:val="1800608547"/>
          <w:trHeight w:val="240"/>
        </w:trPr>
        <w:tc>
          <w:tcPr>
            <w:tcW w:w="2625" w:type="dxa"/>
            <w:gridSpan w:val="2"/>
            <w:shd w:val="clear" w:color="000000" w:fill="D2DDE1"/>
            <w:noWrap/>
            <w:hideMark/>
          </w:tcPr>
          <w:p w14:paraId="5478D252" w14:textId="314E9EC6" w:rsidR="008E2ED2" w:rsidRPr="0018386D" w:rsidRDefault="008E2ED2" w:rsidP="00DD3106">
            <w:pPr>
              <w:pStyle w:val="TableTextbold"/>
              <w:spacing w:before="40" w:after="40"/>
              <w:rPr>
                <w:lang w:bidi="th-TH"/>
              </w:rPr>
            </w:pPr>
            <w:r w:rsidRPr="0018386D">
              <w:rPr>
                <w:lang w:bidi="th-TH"/>
              </w:rPr>
              <w:t>Agricultural soils (livestock)</w:t>
            </w:r>
          </w:p>
        </w:tc>
        <w:tc>
          <w:tcPr>
            <w:tcW w:w="1199" w:type="dxa"/>
            <w:shd w:val="clear" w:color="000000" w:fill="D2DDE1"/>
            <w:noWrap/>
            <w:hideMark/>
          </w:tcPr>
          <w:p w14:paraId="3A297B6A" w14:textId="77777777" w:rsidR="008E2ED2" w:rsidRPr="0018386D" w:rsidRDefault="008E2ED2" w:rsidP="00DD3106">
            <w:pPr>
              <w:pStyle w:val="TableTextbold"/>
              <w:spacing w:before="40" w:after="40"/>
              <w:rPr>
                <w:lang w:bidi="th-TH"/>
              </w:rPr>
            </w:pPr>
            <w:r w:rsidRPr="0018386D">
              <w:rPr>
                <w:lang w:bidi="th-TH"/>
              </w:rPr>
              <w:t> </w:t>
            </w:r>
          </w:p>
        </w:tc>
        <w:tc>
          <w:tcPr>
            <w:tcW w:w="1599" w:type="dxa"/>
            <w:shd w:val="clear" w:color="000000" w:fill="D2DDE1"/>
            <w:noWrap/>
            <w:hideMark/>
          </w:tcPr>
          <w:p w14:paraId="6470735D" w14:textId="77777777" w:rsidR="008E2ED2" w:rsidRPr="0018386D" w:rsidRDefault="008E2ED2" w:rsidP="00DD3106">
            <w:pPr>
              <w:pStyle w:val="TableTextbold"/>
              <w:spacing w:before="40" w:after="40"/>
              <w:rPr>
                <w:lang w:bidi="th-TH"/>
              </w:rPr>
            </w:pPr>
            <w:r w:rsidRPr="0018386D">
              <w:rPr>
                <w:lang w:bidi="th-TH"/>
              </w:rPr>
              <w:t> </w:t>
            </w:r>
          </w:p>
        </w:tc>
        <w:tc>
          <w:tcPr>
            <w:tcW w:w="1541" w:type="dxa"/>
            <w:shd w:val="clear" w:color="000000" w:fill="D2DDE1"/>
            <w:noWrap/>
            <w:hideMark/>
          </w:tcPr>
          <w:p w14:paraId="4906992A" w14:textId="77777777" w:rsidR="008E2ED2" w:rsidRPr="0018386D" w:rsidRDefault="008E2ED2" w:rsidP="00DD3106">
            <w:pPr>
              <w:pStyle w:val="TableTextbold"/>
              <w:spacing w:before="40" w:after="40"/>
              <w:rPr>
                <w:lang w:bidi="th-TH"/>
              </w:rPr>
            </w:pPr>
            <w:r w:rsidRPr="0018386D">
              <w:rPr>
                <w:lang w:bidi="th-TH"/>
              </w:rPr>
              <w:t> </w:t>
            </w:r>
          </w:p>
        </w:tc>
        <w:tc>
          <w:tcPr>
            <w:tcW w:w="1541" w:type="dxa"/>
            <w:shd w:val="clear" w:color="000000" w:fill="D2DDE1"/>
            <w:noWrap/>
            <w:hideMark/>
          </w:tcPr>
          <w:p w14:paraId="1D2ECD0E" w14:textId="77777777" w:rsidR="008E2ED2" w:rsidRPr="0018386D" w:rsidRDefault="008E2ED2" w:rsidP="00DD3106">
            <w:pPr>
              <w:pStyle w:val="TableTextbold"/>
              <w:spacing w:before="40" w:after="40"/>
              <w:rPr>
                <w:lang w:bidi="th-TH"/>
              </w:rPr>
            </w:pPr>
            <w:r w:rsidRPr="0018386D">
              <w:rPr>
                <w:lang w:bidi="th-TH"/>
              </w:rPr>
              <w:t> </w:t>
            </w:r>
          </w:p>
        </w:tc>
      </w:tr>
      <w:tr w:rsidR="00E5079E" w:rsidRPr="0018386D" w14:paraId="4270AC08" w14:textId="77777777" w:rsidTr="001E1334">
        <w:trPr>
          <w:divId w:val="1800608547"/>
          <w:trHeight w:val="240"/>
        </w:trPr>
        <w:tc>
          <w:tcPr>
            <w:tcW w:w="1712" w:type="dxa"/>
            <w:shd w:val="clear" w:color="000000" w:fill="FFFFFF"/>
            <w:noWrap/>
            <w:hideMark/>
          </w:tcPr>
          <w:p w14:paraId="68C6F24B" w14:textId="77777777" w:rsidR="00A94C3E" w:rsidRPr="0018386D" w:rsidRDefault="00A94C3E" w:rsidP="00DD3106">
            <w:pPr>
              <w:pStyle w:val="TableText"/>
              <w:spacing w:before="40" w:after="40"/>
              <w:rPr>
                <w:lang w:bidi="th-TH"/>
              </w:rPr>
            </w:pPr>
            <w:r w:rsidRPr="0018386D">
              <w:rPr>
                <w:lang w:bidi="th-TH"/>
              </w:rPr>
              <w:t>Dairy cattle</w:t>
            </w:r>
          </w:p>
        </w:tc>
        <w:tc>
          <w:tcPr>
            <w:tcW w:w="913" w:type="dxa"/>
            <w:shd w:val="clear" w:color="000000" w:fill="FFFFFF"/>
            <w:noWrap/>
            <w:hideMark/>
          </w:tcPr>
          <w:p w14:paraId="334A1A30"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3CDB6F57" w14:textId="77847722" w:rsidR="00A94C3E" w:rsidRPr="0018386D" w:rsidRDefault="00A94C3E" w:rsidP="00DD3106">
            <w:pPr>
              <w:pStyle w:val="TableText"/>
              <w:spacing w:before="40" w:after="40"/>
              <w:rPr>
                <w:lang w:bidi="th-TH"/>
              </w:rPr>
            </w:pPr>
            <w:r w:rsidRPr="0018386D">
              <w:rPr>
                <w:lang w:bidi="th-TH"/>
              </w:rPr>
              <w:t>377.2</w:t>
            </w:r>
          </w:p>
        </w:tc>
        <w:tc>
          <w:tcPr>
            <w:tcW w:w="1599" w:type="dxa"/>
            <w:shd w:val="clear" w:color="000000" w:fill="FFFFFF"/>
            <w:noWrap/>
            <w:hideMark/>
          </w:tcPr>
          <w:p w14:paraId="494B3685"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657764F4"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3068E046" w14:textId="2FDB5774" w:rsidR="00A94C3E" w:rsidRPr="0018386D" w:rsidRDefault="00A94C3E" w:rsidP="00DD3106">
            <w:pPr>
              <w:pStyle w:val="TableText"/>
              <w:spacing w:before="40" w:after="40"/>
              <w:rPr>
                <w:lang w:bidi="th-TH"/>
              </w:rPr>
            </w:pPr>
            <w:r w:rsidRPr="0018386D">
              <w:rPr>
                <w:lang w:bidi="th-TH"/>
              </w:rPr>
              <w:t>377.2</w:t>
            </w:r>
          </w:p>
        </w:tc>
      </w:tr>
      <w:tr w:rsidR="00E5079E" w:rsidRPr="0018386D" w14:paraId="4AEC567D" w14:textId="77777777" w:rsidTr="001E1334">
        <w:trPr>
          <w:divId w:val="1800608547"/>
          <w:trHeight w:val="240"/>
        </w:trPr>
        <w:tc>
          <w:tcPr>
            <w:tcW w:w="1712" w:type="dxa"/>
            <w:shd w:val="clear" w:color="000000" w:fill="FFFFFF"/>
            <w:noWrap/>
            <w:hideMark/>
          </w:tcPr>
          <w:p w14:paraId="387A141F" w14:textId="77777777" w:rsidR="00A94C3E" w:rsidRPr="0018386D" w:rsidRDefault="00A94C3E" w:rsidP="00DD3106">
            <w:pPr>
              <w:pStyle w:val="TableText"/>
              <w:spacing w:before="40" w:after="40"/>
              <w:rPr>
                <w:lang w:bidi="th-TH"/>
              </w:rPr>
            </w:pPr>
            <w:r w:rsidRPr="0018386D">
              <w:rPr>
                <w:lang w:bidi="th-TH"/>
              </w:rPr>
              <w:t>Non-dairy cattle</w:t>
            </w:r>
          </w:p>
        </w:tc>
        <w:tc>
          <w:tcPr>
            <w:tcW w:w="913" w:type="dxa"/>
            <w:shd w:val="clear" w:color="000000" w:fill="FFFFFF"/>
            <w:noWrap/>
            <w:hideMark/>
          </w:tcPr>
          <w:p w14:paraId="3E62B444"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6BAA67B9" w14:textId="21C04D23" w:rsidR="00A94C3E" w:rsidRPr="0018386D" w:rsidRDefault="00A94C3E" w:rsidP="00DD3106">
            <w:pPr>
              <w:pStyle w:val="TableText"/>
              <w:spacing w:before="40" w:after="40"/>
              <w:rPr>
                <w:lang w:bidi="th-TH"/>
              </w:rPr>
            </w:pPr>
            <w:r w:rsidRPr="0018386D">
              <w:rPr>
                <w:lang w:bidi="th-TH"/>
              </w:rPr>
              <w:t>226.6</w:t>
            </w:r>
          </w:p>
        </w:tc>
        <w:tc>
          <w:tcPr>
            <w:tcW w:w="1599" w:type="dxa"/>
            <w:shd w:val="clear" w:color="000000" w:fill="FFFFFF"/>
            <w:noWrap/>
            <w:hideMark/>
          </w:tcPr>
          <w:p w14:paraId="035A07F1"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2FEF5309"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0B5159BD" w14:textId="06E1A266" w:rsidR="00A94C3E" w:rsidRPr="0018386D" w:rsidRDefault="00A94C3E" w:rsidP="00DD3106">
            <w:pPr>
              <w:pStyle w:val="TableText"/>
              <w:spacing w:before="40" w:after="40"/>
              <w:rPr>
                <w:lang w:bidi="th-TH"/>
              </w:rPr>
            </w:pPr>
            <w:r w:rsidRPr="0018386D">
              <w:rPr>
                <w:lang w:bidi="th-TH"/>
              </w:rPr>
              <w:t>226.6</w:t>
            </w:r>
          </w:p>
        </w:tc>
      </w:tr>
      <w:tr w:rsidR="00E5079E" w:rsidRPr="0018386D" w14:paraId="5C717777" w14:textId="77777777" w:rsidTr="001E1334">
        <w:trPr>
          <w:divId w:val="1800608547"/>
          <w:trHeight w:val="240"/>
        </w:trPr>
        <w:tc>
          <w:tcPr>
            <w:tcW w:w="1712" w:type="dxa"/>
            <w:shd w:val="clear" w:color="000000" w:fill="FFFFFF"/>
            <w:noWrap/>
            <w:hideMark/>
          </w:tcPr>
          <w:p w14:paraId="6468144A" w14:textId="77777777" w:rsidR="00A94C3E" w:rsidRPr="0018386D" w:rsidRDefault="00A94C3E" w:rsidP="00DD3106">
            <w:pPr>
              <w:pStyle w:val="TableText"/>
              <w:spacing w:before="40" w:after="40"/>
              <w:rPr>
                <w:lang w:bidi="th-TH"/>
              </w:rPr>
            </w:pPr>
            <w:r w:rsidRPr="0018386D">
              <w:rPr>
                <w:lang w:bidi="th-TH"/>
              </w:rPr>
              <w:t>Sheep</w:t>
            </w:r>
          </w:p>
        </w:tc>
        <w:tc>
          <w:tcPr>
            <w:tcW w:w="913" w:type="dxa"/>
            <w:shd w:val="clear" w:color="000000" w:fill="FFFFFF"/>
            <w:noWrap/>
            <w:hideMark/>
          </w:tcPr>
          <w:p w14:paraId="07DF36F9"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194CAB00" w14:textId="080102F3" w:rsidR="00A94C3E" w:rsidRPr="0018386D" w:rsidRDefault="00A94C3E" w:rsidP="00DD3106">
            <w:pPr>
              <w:pStyle w:val="TableText"/>
              <w:spacing w:before="40" w:after="40"/>
              <w:rPr>
                <w:lang w:bidi="th-TH"/>
              </w:rPr>
            </w:pPr>
            <w:r w:rsidRPr="0018386D">
              <w:rPr>
                <w:lang w:bidi="th-TH"/>
              </w:rPr>
              <w:t>31.5</w:t>
            </w:r>
          </w:p>
        </w:tc>
        <w:tc>
          <w:tcPr>
            <w:tcW w:w="1599" w:type="dxa"/>
            <w:shd w:val="clear" w:color="000000" w:fill="FFFFFF"/>
            <w:noWrap/>
            <w:hideMark/>
          </w:tcPr>
          <w:p w14:paraId="2D48EFD9"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6226314B"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6E3E05CD" w14:textId="29DADB47" w:rsidR="00A94C3E" w:rsidRPr="0018386D" w:rsidRDefault="00A94C3E" w:rsidP="00DD3106">
            <w:pPr>
              <w:pStyle w:val="TableText"/>
              <w:spacing w:before="40" w:after="40"/>
              <w:rPr>
                <w:lang w:bidi="th-TH"/>
              </w:rPr>
            </w:pPr>
            <w:r w:rsidRPr="0018386D">
              <w:rPr>
                <w:lang w:bidi="th-TH"/>
              </w:rPr>
              <w:t>31.5</w:t>
            </w:r>
          </w:p>
        </w:tc>
      </w:tr>
      <w:tr w:rsidR="00E5079E" w:rsidRPr="0018386D" w14:paraId="464534C8" w14:textId="77777777" w:rsidTr="001E1334">
        <w:trPr>
          <w:divId w:val="1800608547"/>
          <w:trHeight w:val="240"/>
        </w:trPr>
        <w:tc>
          <w:tcPr>
            <w:tcW w:w="1712" w:type="dxa"/>
            <w:shd w:val="clear" w:color="000000" w:fill="FFFFFF"/>
            <w:noWrap/>
            <w:hideMark/>
          </w:tcPr>
          <w:p w14:paraId="600D05A8" w14:textId="77777777" w:rsidR="00A94C3E" w:rsidRPr="0018386D" w:rsidRDefault="00A94C3E" w:rsidP="00DD3106">
            <w:pPr>
              <w:pStyle w:val="TableText"/>
              <w:spacing w:before="40" w:after="40"/>
              <w:rPr>
                <w:lang w:bidi="th-TH"/>
              </w:rPr>
            </w:pPr>
            <w:r w:rsidRPr="0018386D">
              <w:rPr>
                <w:lang w:bidi="th-TH"/>
              </w:rPr>
              <w:t>Deer</w:t>
            </w:r>
          </w:p>
        </w:tc>
        <w:tc>
          <w:tcPr>
            <w:tcW w:w="913" w:type="dxa"/>
            <w:shd w:val="clear" w:color="000000" w:fill="FFFFFF"/>
            <w:noWrap/>
            <w:hideMark/>
          </w:tcPr>
          <w:p w14:paraId="6E9EE102"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602B07E7" w14:textId="6806B3A5" w:rsidR="00A94C3E" w:rsidRPr="0018386D" w:rsidRDefault="00A94C3E" w:rsidP="00DD3106">
            <w:pPr>
              <w:pStyle w:val="TableText"/>
              <w:spacing w:before="40" w:after="40"/>
              <w:rPr>
                <w:lang w:bidi="th-TH"/>
              </w:rPr>
            </w:pPr>
            <w:r w:rsidRPr="0018386D">
              <w:rPr>
                <w:lang w:bidi="th-TH"/>
              </w:rPr>
              <w:t>72.5</w:t>
            </w:r>
          </w:p>
        </w:tc>
        <w:tc>
          <w:tcPr>
            <w:tcW w:w="1599" w:type="dxa"/>
            <w:shd w:val="clear" w:color="000000" w:fill="FFFFFF"/>
            <w:noWrap/>
            <w:hideMark/>
          </w:tcPr>
          <w:p w14:paraId="6DDB249F"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0B18E3B2"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54E3E7EC" w14:textId="6426BCB9" w:rsidR="00A94C3E" w:rsidRPr="0018386D" w:rsidRDefault="00A94C3E" w:rsidP="00DD3106">
            <w:pPr>
              <w:pStyle w:val="TableText"/>
              <w:spacing w:before="40" w:after="40"/>
              <w:rPr>
                <w:lang w:bidi="th-TH"/>
              </w:rPr>
            </w:pPr>
            <w:r w:rsidRPr="0018386D">
              <w:rPr>
                <w:lang w:bidi="th-TH"/>
              </w:rPr>
              <w:t>72.5</w:t>
            </w:r>
          </w:p>
        </w:tc>
      </w:tr>
      <w:tr w:rsidR="00E5079E" w:rsidRPr="0018386D" w14:paraId="4DEFD1E7" w14:textId="77777777" w:rsidTr="001E1334">
        <w:trPr>
          <w:divId w:val="1800608547"/>
          <w:trHeight w:val="240"/>
        </w:trPr>
        <w:tc>
          <w:tcPr>
            <w:tcW w:w="1712" w:type="dxa"/>
            <w:shd w:val="clear" w:color="000000" w:fill="FFFFFF"/>
            <w:noWrap/>
            <w:hideMark/>
          </w:tcPr>
          <w:p w14:paraId="201C6C8C" w14:textId="77777777" w:rsidR="00A94C3E" w:rsidRPr="0018386D" w:rsidRDefault="00A94C3E" w:rsidP="00DD3106">
            <w:pPr>
              <w:pStyle w:val="TableText"/>
              <w:spacing w:before="40" w:after="40"/>
              <w:rPr>
                <w:lang w:bidi="th-TH"/>
              </w:rPr>
            </w:pPr>
            <w:r w:rsidRPr="0018386D">
              <w:rPr>
                <w:lang w:bidi="th-TH"/>
              </w:rPr>
              <w:t>Swine</w:t>
            </w:r>
          </w:p>
        </w:tc>
        <w:tc>
          <w:tcPr>
            <w:tcW w:w="913" w:type="dxa"/>
            <w:shd w:val="clear" w:color="000000" w:fill="FFFFFF"/>
            <w:noWrap/>
            <w:hideMark/>
          </w:tcPr>
          <w:p w14:paraId="7D7CEB3B"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3C59355D" w14:textId="04547B3D" w:rsidR="00A94C3E" w:rsidRPr="0018386D" w:rsidRDefault="00A94C3E" w:rsidP="00DD3106">
            <w:pPr>
              <w:pStyle w:val="TableText"/>
              <w:spacing w:before="40" w:after="40"/>
              <w:rPr>
                <w:lang w:bidi="th-TH"/>
              </w:rPr>
            </w:pPr>
            <w:r w:rsidRPr="0018386D">
              <w:rPr>
                <w:lang w:bidi="th-TH"/>
              </w:rPr>
              <w:t>42.0</w:t>
            </w:r>
          </w:p>
        </w:tc>
        <w:tc>
          <w:tcPr>
            <w:tcW w:w="1599" w:type="dxa"/>
            <w:shd w:val="clear" w:color="000000" w:fill="FFFFFF"/>
            <w:noWrap/>
            <w:hideMark/>
          </w:tcPr>
          <w:p w14:paraId="4560FF3C"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352C8175"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076F251F" w14:textId="3808915A" w:rsidR="00A94C3E" w:rsidRPr="0018386D" w:rsidRDefault="00A94C3E" w:rsidP="00DD3106">
            <w:pPr>
              <w:pStyle w:val="TableText"/>
              <w:spacing w:before="40" w:after="40"/>
              <w:rPr>
                <w:lang w:bidi="th-TH"/>
              </w:rPr>
            </w:pPr>
            <w:r w:rsidRPr="0018386D">
              <w:rPr>
                <w:lang w:bidi="th-TH"/>
              </w:rPr>
              <w:t>42.0</w:t>
            </w:r>
          </w:p>
        </w:tc>
      </w:tr>
      <w:tr w:rsidR="00E5079E" w:rsidRPr="0018386D" w14:paraId="136D2623" w14:textId="77777777" w:rsidTr="001E1334">
        <w:trPr>
          <w:divId w:val="1800608547"/>
          <w:trHeight w:val="240"/>
        </w:trPr>
        <w:tc>
          <w:tcPr>
            <w:tcW w:w="1712" w:type="dxa"/>
            <w:shd w:val="clear" w:color="000000" w:fill="FFFFFF"/>
            <w:noWrap/>
            <w:hideMark/>
          </w:tcPr>
          <w:p w14:paraId="05DE695F" w14:textId="77777777" w:rsidR="00A94C3E" w:rsidRPr="0018386D" w:rsidRDefault="00A94C3E" w:rsidP="00DD3106">
            <w:pPr>
              <w:pStyle w:val="TableText"/>
              <w:spacing w:before="40" w:after="40"/>
              <w:rPr>
                <w:lang w:bidi="th-TH"/>
              </w:rPr>
            </w:pPr>
            <w:r w:rsidRPr="0018386D">
              <w:rPr>
                <w:lang w:bidi="th-TH"/>
              </w:rPr>
              <w:t>Goats</w:t>
            </w:r>
          </w:p>
        </w:tc>
        <w:tc>
          <w:tcPr>
            <w:tcW w:w="913" w:type="dxa"/>
            <w:shd w:val="clear" w:color="000000" w:fill="FFFFFF"/>
            <w:noWrap/>
            <w:hideMark/>
          </w:tcPr>
          <w:p w14:paraId="407D2399"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1BCB865E" w14:textId="5D5CC2E3" w:rsidR="00A94C3E" w:rsidRPr="0018386D" w:rsidRDefault="00A94C3E" w:rsidP="00DD3106">
            <w:pPr>
              <w:pStyle w:val="TableText"/>
              <w:spacing w:before="40" w:after="40"/>
              <w:rPr>
                <w:lang w:bidi="th-TH"/>
              </w:rPr>
            </w:pPr>
            <w:r w:rsidRPr="0018386D">
              <w:rPr>
                <w:lang w:bidi="th-TH"/>
              </w:rPr>
              <w:t>61.5</w:t>
            </w:r>
          </w:p>
        </w:tc>
        <w:tc>
          <w:tcPr>
            <w:tcW w:w="1599" w:type="dxa"/>
            <w:shd w:val="clear" w:color="000000" w:fill="FFFFFF"/>
            <w:noWrap/>
            <w:hideMark/>
          </w:tcPr>
          <w:p w14:paraId="69EE7932"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7CAC6414"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7C884933" w14:textId="4AAD64D1" w:rsidR="00A94C3E" w:rsidRPr="0018386D" w:rsidRDefault="00A94C3E" w:rsidP="00DD3106">
            <w:pPr>
              <w:pStyle w:val="TableText"/>
              <w:spacing w:before="40" w:after="40"/>
              <w:rPr>
                <w:lang w:bidi="th-TH"/>
              </w:rPr>
            </w:pPr>
            <w:r w:rsidRPr="0018386D">
              <w:rPr>
                <w:lang w:bidi="th-TH"/>
              </w:rPr>
              <w:t>61.5</w:t>
            </w:r>
          </w:p>
        </w:tc>
      </w:tr>
      <w:tr w:rsidR="00E5079E" w:rsidRPr="0018386D" w14:paraId="33D704D6" w14:textId="77777777" w:rsidTr="001E1334">
        <w:trPr>
          <w:divId w:val="1800608547"/>
          <w:trHeight w:val="240"/>
        </w:trPr>
        <w:tc>
          <w:tcPr>
            <w:tcW w:w="1712" w:type="dxa"/>
            <w:shd w:val="clear" w:color="000000" w:fill="FFFFFF"/>
            <w:noWrap/>
            <w:hideMark/>
          </w:tcPr>
          <w:p w14:paraId="0CE9DC33" w14:textId="77777777" w:rsidR="00A94C3E" w:rsidRPr="0018386D" w:rsidRDefault="00A94C3E" w:rsidP="00DD3106">
            <w:pPr>
              <w:pStyle w:val="TableText"/>
              <w:spacing w:before="40" w:after="40"/>
              <w:rPr>
                <w:lang w:bidi="th-TH"/>
              </w:rPr>
            </w:pPr>
            <w:r w:rsidRPr="0018386D">
              <w:rPr>
                <w:lang w:bidi="th-TH"/>
              </w:rPr>
              <w:t>Horses</w:t>
            </w:r>
          </w:p>
        </w:tc>
        <w:tc>
          <w:tcPr>
            <w:tcW w:w="913" w:type="dxa"/>
            <w:shd w:val="clear" w:color="000000" w:fill="FFFFFF"/>
            <w:noWrap/>
            <w:hideMark/>
          </w:tcPr>
          <w:p w14:paraId="02B15072"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6767D691" w14:textId="0F037802" w:rsidR="00A94C3E" w:rsidRPr="0018386D" w:rsidRDefault="00A94C3E" w:rsidP="00DD3106">
            <w:pPr>
              <w:pStyle w:val="TableText"/>
              <w:spacing w:before="40" w:after="40"/>
              <w:rPr>
                <w:lang w:bidi="th-TH"/>
              </w:rPr>
            </w:pPr>
            <w:r w:rsidRPr="0018386D">
              <w:rPr>
                <w:lang w:bidi="th-TH"/>
              </w:rPr>
              <w:t>290.9</w:t>
            </w:r>
          </w:p>
        </w:tc>
        <w:tc>
          <w:tcPr>
            <w:tcW w:w="1599" w:type="dxa"/>
            <w:shd w:val="clear" w:color="000000" w:fill="FFFFFF"/>
            <w:noWrap/>
            <w:hideMark/>
          </w:tcPr>
          <w:p w14:paraId="159F5884"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1D137049"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0DC75A11" w14:textId="3F412780" w:rsidR="00A94C3E" w:rsidRPr="0018386D" w:rsidRDefault="00A94C3E" w:rsidP="00DD3106">
            <w:pPr>
              <w:pStyle w:val="TableText"/>
              <w:spacing w:before="40" w:after="40"/>
              <w:rPr>
                <w:lang w:bidi="th-TH"/>
              </w:rPr>
            </w:pPr>
            <w:r w:rsidRPr="0018386D">
              <w:rPr>
                <w:lang w:bidi="th-TH"/>
              </w:rPr>
              <w:t>290.9</w:t>
            </w:r>
          </w:p>
        </w:tc>
      </w:tr>
      <w:tr w:rsidR="00E5079E" w:rsidRPr="0018386D" w14:paraId="33970B5F" w14:textId="77777777" w:rsidTr="001E1334">
        <w:trPr>
          <w:divId w:val="1800608547"/>
          <w:trHeight w:val="240"/>
        </w:trPr>
        <w:tc>
          <w:tcPr>
            <w:tcW w:w="1712" w:type="dxa"/>
            <w:shd w:val="clear" w:color="000000" w:fill="FFFFFF"/>
            <w:noWrap/>
            <w:hideMark/>
          </w:tcPr>
          <w:p w14:paraId="13217AD8" w14:textId="77777777" w:rsidR="00A94C3E" w:rsidRPr="0018386D" w:rsidRDefault="00A94C3E" w:rsidP="00DD3106">
            <w:pPr>
              <w:pStyle w:val="TableText"/>
              <w:spacing w:before="40" w:after="40"/>
              <w:rPr>
                <w:lang w:bidi="th-TH"/>
              </w:rPr>
            </w:pPr>
            <w:r w:rsidRPr="0018386D">
              <w:rPr>
                <w:lang w:bidi="th-TH"/>
              </w:rPr>
              <w:t>Alpaca and llama</w:t>
            </w:r>
          </w:p>
        </w:tc>
        <w:tc>
          <w:tcPr>
            <w:tcW w:w="913" w:type="dxa"/>
            <w:shd w:val="clear" w:color="000000" w:fill="FFFFFF"/>
            <w:noWrap/>
            <w:hideMark/>
          </w:tcPr>
          <w:p w14:paraId="06725EC7"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6CAAB582" w14:textId="449C0A1D" w:rsidR="00A94C3E" w:rsidRPr="0018386D" w:rsidRDefault="00A94C3E" w:rsidP="00DD3106">
            <w:pPr>
              <w:pStyle w:val="TableText"/>
              <w:spacing w:before="40" w:after="40"/>
              <w:rPr>
                <w:lang w:bidi="th-TH"/>
              </w:rPr>
            </w:pPr>
            <w:r w:rsidRPr="0018386D">
              <w:rPr>
                <w:lang w:bidi="th-TH"/>
              </w:rPr>
              <w:t>66.3</w:t>
            </w:r>
          </w:p>
        </w:tc>
        <w:tc>
          <w:tcPr>
            <w:tcW w:w="1599" w:type="dxa"/>
            <w:shd w:val="clear" w:color="000000" w:fill="FFFFFF"/>
            <w:noWrap/>
            <w:hideMark/>
          </w:tcPr>
          <w:p w14:paraId="6C02256C"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2962A156"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47D438E2" w14:textId="313CC2C4" w:rsidR="00A94C3E" w:rsidRPr="0018386D" w:rsidRDefault="00A94C3E" w:rsidP="00DD3106">
            <w:pPr>
              <w:pStyle w:val="TableText"/>
              <w:spacing w:before="40" w:after="40"/>
              <w:rPr>
                <w:lang w:bidi="th-TH"/>
              </w:rPr>
            </w:pPr>
            <w:r w:rsidRPr="0018386D">
              <w:rPr>
                <w:lang w:bidi="th-TH"/>
              </w:rPr>
              <w:t>66.3</w:t>
            </w:r>
          </w:p>
        </w:tc>
      </w:tr>
      <w:tr w:rsidR="00E5079E" w:rsidRPr="0018386D" w14:paraId="75F39BE2" w14:textId="77777777" w:rsidTr="001E1334">
        <w:trPr>
          <w:divId w:val="1800608547"/>
          <w:trHeight w:val="240"/>
        </w:trPr>
        <w:tc>
          <w:tcPr>
            <w:tcW w:w="1712" w:type="dxa"/>
            <w:shd w:val="clear" w:color="000000" w:fill="FFFFFF"/>
            <w:noWrap/>
            <w:hideMark/>
          </w:tcPr>
          <w:p w14:paraId="2B0B9689" w14:textId="77777777" w:rsidR="00A94C3E" w:rsidRPr="0018386D" w:rsidRDefault="00A94C3E" w:rsidP="00DD3106">
            <w:pPr>
              <w:pStyle w:val="TableText"/>
              <w:spacing w:before="40" w:after="40"/>
              <w:rPr>
                <w:lang w:bidi="th-TH"/>
              </w:rPr>
            </w:pPr>
            <w:r w:rsidRPr="0018386D">
              <w:rPr>
                <w:lang w:bidi="th-TH"/>
              </w:rPr>
              <w:t>Mules and asses</w:t>
            </w:r>
          </w:p>
        </w:tc>
        <w:tc>
          <w:tcPr>
            <w:tcW w:w="913" w:type="dxa"/>
            <w:shd w:val="clear" w:color="000000" w:fill="FFFFFF"/>
            <w:noWrap/>
            <w:hideMark/>
          </w:tcPr>
          <w:p w14:paraId="769AD5CA"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2D08A649" w14:textId="09066F43" w:rsidR="00A94C3E" w:rsidRPr="0018386D" w:rsidRDefault="00A94C3E" w:rsidP="00DD3106">
            <w:pPr>
              <w:pStyle w:val="TableText"/>
              <w:spacing w:before="40" w:after="40"/>
              <w:rPr>
                <w:lang w:bidi="th-TH"/>
              </w:rPr>
            </w:pPr>
            <w:r w:rsidRPr="0018386D">
              <w:rPr>
                <w:lang w:bidi="th-TH"/>
              </w:rPr>
              <w:t>129.6</w:t>
            </w:r>
          </w:p>
        </w:tc>
        <w:tc>
          <w:tcPr>
            <w:tcW w:w="1599" w:type="dxa"/>
            <w:shd w:val="clear" w:color="000000" w:fill="FFFFFF"/>
            <w:noWrap/>
            <w:hideMark/>
          </w:tcPr>
          <w:p w14:paraId="3FE01AC2"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136F4EF5"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3034D59C" w14:textId="596CC004" w:rsidR="00A94C3E" w:rsidRPr="0018386D" w:rsidRDefault="00A94C3E" w:rsidP="00DD3106">
            <w:pPr>
              <w:pStyle w:val="TableText"/>
              <w:spacing w:before="40" w:after="40"/>
              <w:rPr>
                <w:lang w:bidi="th-TH"/>
              </w:rPr>
            </w:pPr>
            <w:r w:rsidRPr="0018386D">
              <w:rPr>
                <w:lang w:bidi="th-TH"/>
              </w:rPr>
              <w:t>129.6</w:t>
            </w:r>
          </w:p>
        </w:tc>
      </w:tr>
      <w:tr w:rsidR="00E5079E" w:rsidRPr="0018386D" w14:paraId="674D8F7B" w14:textId="77777777" w:rsidTr="001E1334">
        <w:trPr>
          <w:divId w:val="1800608547"/>
          <w:trHeight w:val="240"/>
        </w:trPr>
        <w:tc>
          <w:tcPr>
            <w:tcW w:w="1712" w:type="dxa"/>
            <w:shd w:val="clear" w:color="000000" w:fill="FFFFFF"/>
            <w:noWrap/>
            <w:hideMark/>
          </w:tcPr>
          <w:p w14:paraId="3A07C713" w14:textId="77777777" w:rsidR="00A94C3E" w:rsidRPr="0018386D" w:rsidRDefault="00A94C3E" w:rsidP="00DD3106">
            <w:pPr>
              <w:pStyle w:val="TableText"/>
              <w:spacing w:before="40" w:after="40"/>
              <w:rPr>
                <w:lang w:bidi="th-TH"/>
              </w:rPr>
            </w:pPr>
            <w:r w:rsidRPr="0018386D">
              <w:rPr>
                <w:lang w:bidi="th-TH"/>
              </w:rPr>
              <w:t>Poultry</w:t>
            </w:r>
          </w:p>
        </w:tc>
        <w:tc>
          <w:tcPr>
            <w:tcW w:w="913" w:type="dxa"/>
            <w:shd w:val="clear" w:color="000000" w:fill="FFFFFF"/>
            <w:noWrap/>
            <w:hideMark/>
          </w:tcPr>
          <w:p w14:paraId="576CE7B6" w14:textId="77777777" w:rsidR="00A94C3E" w:rsidRPr="0018386D" w:rsidRDefault="00A94C3E" w:rsidP="00DD3106">
            <w:pPr>
              <w:pStyle w:val="TableText"/>
              <w:spacing w:before="40" w:after="40"/>
              <w:rPr>
                <w:lang w:bidi="th-TH"/>
              </w:rPr>
            </w:pPr>
            <w:r w:rsidRPr="0018386D">
              <w:rPr>
                <w:lang w:bidi="th-TH"/>
              </w:rPr>
              <w:t>per head</w:t>
            </w:r>
          </w:p>
        </w:tc>
        <w:tc>
          <w:tcPr>
            <w:tcW w:w="1199" w:type="dxa"/>
            <w:shd w:val="clear" w:color="000000" w:fill="D2DDE1"/>
            <w:noWrap/>
            <w:hideMark/>
          </w:tcPr>
          <w:p w14:paraId="080219B9" w14:textId="25866243" w:rsidR="00A94C3E" w:rsidRPr="0018386D" w:rsidRDefault="00A94C3E" w:rsidP="00DD3106">
            <w:pPr>
              <w:pStyle w:val="TableText"/>
              <w:spacing w:before="40" w:after="40"/>
              <w:rPr>
                <w:lang w:bidi="th-TH"/>
              </w:rPr>
            </w:pPr>
            <w:r w:rsidRPr="0018386D">
              <w:rPr>
                <w:lang w:bidi="th-TH"/>
              </w:rPr>
              <w:t>1.54</w:t>
            </w:r>
          </w:p>
        </w:tc>
        <w:tc>
          <w:tcPr>
            <w:tcW w:w="1599" w:type="dxa"/>
            <w:shd w:val="clear" w:color="000000" w:fill="FFFFFF"/>
            <w:noWrap/>
            <w:hideMark/>
          </w:tcPr>
          <w:p w14:paraId="53A17133"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738084B2" w14:textId="77777777" w:rsidR="00A94C3E" w:rsidRPr="0018386D" w:rsidRDefault="00A94C3E" w:rsidP="00DD3106">
            <w:pPr>
              <w:pStyle w:val="TableText"/>
              <w:spacing w:before="40" w:after="40"/>
              <w:rPr>
                <w:lang w:bidi="th-TH"/>
              </w:rPr>
            </w:pPr>
            <w:r w:rsidRPr="0018386D">
              <w:rPr>
                <w:lang w:bidi="th-TH"/>
              </w:rPr>
              <w:t>n/a</w:t>
            </w:r>
          </w:p>
        </w:tc>
        <w:tc>
          <w:tcPr>
            <w:tcW w:w="1541" w:type="dxa"/>
            <w:shd w:val="clear" w:color="000000" w:fill="FFFFFF"/>
            <w:noWrap/>
            <w:hideMark/>
          </w:tcPr>
          <w:p w14:paraId="246F9255" w14:textId="2F74727E" w:rsidR="00A94C3E" w:rsidRPr="0018386D" w:rsidRDefault="00A94C3E" w:rsidP="00DD3106">
            <w:pPr>
              <w:pStyle w:val="TableText"/>
              <w:spacing w:before="40" w:after="40"/>
              <w:rPr>
                <w:lang w:bidi="th-TH"/>
              </w:rPr>
            </w:pPr>
            <w:r w:rsidRPr="0018386D">
              <w:rPr>
                <w:lang w:bidi="th-TH"/>
              </w:rPr>
              <w:t>1.54</w:t>
            </w:r>
          </w:p>
        </w:tc>
      </w:tr>
    </w:tbl>
    <w:p w14:paraId="226CF8C0" w14:textId="77777777" w:rsidR="001E1334" w:rsidRPr="0018386D" w:rsidRDefault="001E1334" w:rsidP="00DD3106">
      <w:pPr>
        <w:pStyle w:val="Heading4"/>
        <w:numPr>
          <w:ilvl w:val="3"/>
          <w:numId w:val="8"/>
        </w:numPr>
        <w:spacing w:before="440"/>
        <w:ind w:left="1134" w:hanging="1134"/>
        <w:rPr>
          <w:rFonts w:eastAsia="Georgia" w:cs="Georgia"/>
          <w:color w:val="000000" w:themeColor="text1"/>
          <w:szCs w:val="24"/>
        </w:rPr>
      </w:pPr>
      <w:r w:rsidRPr="0018386D">
        <w:t>GHG inventory development</w:t>
      </w:r>
    </w:p>
    <w:p w14:paraId="513F69D7" w14:textId="78C02D18" w:rsidR="00533ACF" w:rsidRPr="0018386D" w:rsidRDefault="00533ACF" w:rsidP="00DD3106">
      <w:pPr>
        <w:pStyle w:val="BodyText"/>
      </w:pPr>
      <w:r w:rsidRPr="0018386D">
        <w:t xml:space="preserve">Organisations should collect data on the number and type of livestock they had as </w:t>
      </w:r>
      <w:proofErr w:type="gramStart"/>
      <w:r w:rsidRPr="0018386D">
        <w:t>at</w:t>
      </w:r>
      <w:proofErr w:type="gramEnd"/>
      <w:r w:rsidRPr="0018386D">
        <w:t xml:space="preserve"> 30 June during the measurement period. Applying the equation </w:t>
      </w:r>
      <w:r w:rsidR="004D78B6" w:rsidRPr="0018386D">
        <w:t>E</w:t>
      </w:r>
      <w:r w:rsidR="00B37794" w:rsidRPr="0018386D">
        <w:t xml:space="preserve"> </w:t>
      </w:r>
      <w:r w:rsidR="004D78B6" w:rsidRPr="0018386D">
        <w:t>= Q x F (</w:t>
      </w:r>
      <w:hyperlink w:anchor="_How_to_quantify" w:history="1">
        <w:r w:rsidRPr="0018386D">
          <w:rPr>
            <w:rStyle w:val="Hyperlink"/>
          </w:rPr>
          <w:t>section 2</w:t>
        </w:r>
      </w:hyperlink>
      <w:r w:rsidR="004D78B6" w:rsidRPr="0018386D">
        <w:rPr>
          <w:rStyle w:val="Hyperlink"/>
          <w:color w:val="auto"/>
        </w:rPr>
        <w:t>)</w:t>
      </w:r>
      <w:r w:rsidRPr="0018386D">
        <w:t>, this means:</w:t>
      </w:r>
    </w:p>
    <w:p w14:paraId="62DDD060" w14:textId="06861461" w:rsidR="004D78B6" w:rsidRPr="0018386D" w:rsidRDefault="004D78B6"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-e per year</w:t>
      </w:r>
    </w:p>
    <w:p w14:paraId="08CC3F57" w14:textId="3BD7DA48" w:rsidR="00533ACF" w:rsidRPr="0018386D" w:rsidRDefault="00533ACF" w:rsidP="00DD3106">
      <w:pPr>
        <w:pStyle w:val="BodyText"/>
        <w:tabs>
          <w:tab w:val="left" w:pos="680"/>
          <w:tab w:val="left" w:pos="1134"/>
        </w:tabs>
        <w:contextualSpacing/>
      </w:pPr>
      <w:r w:rsidRPr="0018386D">
        <w:t>Q</w:t>
      </w:r>
      <w:r w:rsidRPr="0018386D">
        <w:tab/>
        <w:t>=</w:t>
      </w:r>
      <w:r w:rsidRPr="0018386D">
        <w:tab/>
        <w:t>number of animals (per head per type)</w:t>
      </w:r>
    </w:p>
    <w:p w14:paraId="1EA6A51B" w14:textId="5FF096B0" w:rsidR="00533ACF" w:rsidRPr="0018386D" w:rsidRDefault="00533ACF" w:rsidP="00DD3106">
      <w:pPr>
        <w:pStyle w:val="BodyText"/>
        <w:tabs>
          <w:tab w:val="left" w:pos="680"/>
          <w:tab w:val="left" w:pos="1134"/>
        </w:tabs>
        <w:spacing w:after="240"/>
        <w:contextualSpacing/>
      </w:pPr>
      <w:r w:rsidRPr="0018386D">
        <w:t>F</w:t>
      </w:r>
      <w:r w:rsidRPr="0018386D">
        <w:tab/>
        <w:t>=</w:t>
      </w:r>
      <w:r w:rsidRPr="0018386D">
        <w:tab/>
        <w:t xml:space="preserve">appropriate emission factors from </w:t>
      </w:r>
      <w:hyperlink w:anchor="table89" w:history="1">
        <w:r w:rsidRPr="0018386D">
          <w:rPr>
            <w:rStyle w:val="Hyperlink"/>
          </w:rPr>
          <w:t xml:space="preserve">table </w:t>
        </w:r>
        <w:r w:rsidR="00847933" w:rsidRPr="0018386D">
          <w:rPr>
            <w:rStyle w:val="Hyperlink"/>
          </w:rPr>
          <w:t>8</w:t>
        </w:r>
        <w:r w:rsidR="008B13F7" w:rsidRPr="0018386D">
          <w:rPr>
            <w:rStyle w:val="Hyperlink"/>
          </w:rPr>
          <w:t>9</w:t>
        </w:r>
      </w:hyperlink>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533ACF" w:rsidRPr="0018386D" w14:paraId="1FF0750A" w14:textId="77777777" w:rsidTr="00D34C82">
        <w:tc>
          <w:tcPr>
            <w:tcW w:w="8500" w:type="dxa"/>
            <w:tcBorders>
              <w:top w:val="single" w:sz="4" w:space="0" w:color="0F7B7D"/>
              <w:left w:val="single" w:sz="4" w:space="0" w:color="0F7B7D"/>
              <w:bottom w:val="nil"/>
              <w:right w:val="single" w:sz="4" w:space="0" w:color="0F7B7D"/>
            </w:tcBorders>
            <w:shd w:val="clear" w:color="auto" w:fill="0F7B7D"/>
            <w:vAlign w:val="center"/>
          </w:tcPr>
          <w:p w14:paraId="7A18AEA2" w14:textId="77777777" w:rsidR="00533ACF" w:rsidRPr="0018386D" w:rsidDel="00D5390D" w:rsidRDefault="00533ACF" w:rsidP="00DD3106">
            <w:pPr>
              <w:pStyle w:val="Casestudyheading"/>
            </w:pPr>
            <w:r w:rsidRPr="0018386D">
              <w:t>Agricultural soils: Example Calculation</w:t>
            </w:r>
          </w:p>
        </w:tc>
      </w:tr>
      <w:tr w:rsidR="00533ACF" w:rsidRPr="0018386D" w14:paraId="1800CAFD" w14:textId="77777777" w:rsidTr="00D34C82">
        <w:trPr>
          <w:trHeight w:val="61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6C6C198" w14:textId="494B7223" w:rsidR="00533ACF" w:rsidRPr="0018386D" w:rsidRDefault="00533ACF" w:rsidP="00DD3106">
            <w:pPr>
              <w:pStyle w:val="Boxtext"/>
              <w:spacing w:after="80"/>
            </w:pPr>
            <w:r w:rsidRPr="0018386D">
              <w:t xml:space="preserve">An organisation owns </w:t>
            </w:r>
            <w:r w:rsidR="009E2080" w:rsidRPr="0018386D">
              <w:t>2</w:t>
            </w:r>
            <w:r w:rsidR="008A50D7" w:rsidRPr="0018386D">
              <w:t>,</w:t>
            </w:r>
            <w:r w:rsidR="009E2080" w:rsidRPr="0018386D">
              <w:t>400</w:t>
            </w:r>
            <w:r w:rsidRPr="0018386D">
              <w:t xml:space="preserve"> sheep and </w:t>
            </w:r>
            <w:r w:rsidR="009E2080" w:rsidRPr="0018386D">
              <w:t>210</w:t>
            </w:r>
            <w:r w:rsidRPr="0018386D">
              <w:t xml:space="preserve"> dairy cows on 30 June during the reporting period. They graze on land owned by the organisation.</w:t>
            </w:r>
          </w:p>
          <w:p w14:paraId="71FDD090" w14:textId="77777777" w:rsidR="00533ACF" w:rsidRPr="0018386D" w:rsidRDefault="00533ACF" w:rsidP="00DD3106">
            <w:pPr>
              <w:pStyle w:val="Boxtext"/>
              <w:tabs>
                <w:tab w:val="left" w:pos="2847"/>
                <w:tab w:val="left" w:pos="5399"/>
              </w:tabs>
              <w:spacing w:before="20" w:after="20"/>
              <w:ind w:left="850"/>
            </w:pPr>
            <w:r w:rsidRPr="0018386D">
              <w:t>CO</w:t>
            </w:r>
            <w:r w:rsidRPr="0018386D">
              <w:rPr>
                <w:vertAlign w:val="subscript"/>
              </w:rPr>
              <w:t>2</w:t>
            </w:r>
            <w:r w:rsidRPr="0018386D">
              <w:t xml:space="preserve"> emissions </w:t>
            </w:r>
            <w:r w:rsidRPr="0018386D">
              <w:tab/>
              <w:t>= n/a</w:t>
            </w:r>
          </w:p>
          <w:p w14:paraId="3137172E" w14:textId="77777777" w:rsidR="00533ACF" w:rsidRPr="0018386D" w:rsidRDefault="00533ACF" w:rsidP="00DD3106">
            <w:pPr>
              <w:pStyle w:val="Boxtext"/>
              <w:tabs>
                <w:tab w:val="left" w:pos="2847"/>
                <w:tab w:val="left" w:pos="5399"/>
              </w:tabs>
              <w:spacing w:before="20" w:after="20"/>
              <w:ind w:left="850"/>
            </w:pPr>
            <w:r w:rsidRPr="0018386D">
              <w:t>CH</w:t>
            </w:r>
            <w:r w:rsidRPr="0018386D">
              <w:rPr>
                <w:vertAlign w:val="subscript"/>
              </w:rPr>
              <w:t>4</w:t>
            </w:r>
            <w:r w:rsidRPr="0018386D">
              <w:t xml:space="preserve"> emissions </w:t>
            </w:r>
            <w:r w:rsidRPr="0018386D">
              <w:tab/>
              <w:t xml:space="preserve">= n/a </w:t>
            </w:r>
          </w:p>
          <w:p w14:paraId="298104B9" w14:textId="7E157E57" w:rsidR="00533ACF" w:rsidRPr="0018386D" w:rsidRDefault="00533ACF" w:rsidP="00DD3106">
            <w:pPr>
              <w:pStyle w:val="Boxtext"/>
              <w:tabs>
                <w:tab w:val="left" w:pos="2847"/>
                <w:tab w:val="left" w:pos="5399"/>
              </w:tabs>
              <w:spacing w:before="20" w:after="20"/>
              <w:ind w:left="850"/>
            </w:pPr>
            <w:r w:rsidRPr="0018386D">
              <w:t>N</w:t>
            </w:r>
            <w:r w:rsidRPr="0018386D">
              <w:rPr>
                <w:vertAlign w:val="subscript"/>
              </w:rPr>
              <w:t>2</w:t>
            </w:r>
            <w:r w:rsidRPr="0018386D">
              <w:t xml:space="preserve">O emissions </w:t>
            </w:r>
            <w:r w:rsidRPr="0018386D">
              <w:tab/>
              <w:t xml:space="preserve">= </w:t>
            </w:r>
            <w:r w:rsidR="00101478" w:rsidRPr="0018386D">
              <w:t xml:space="preserve">(2,400 × </w:t>
            </w:r>
            <w:r w:rsidR="54C67C49" w:rsidRPr="0018386D">
              <w:t>31.5</w:t>
            </w:r>
            <w:r w:rsidR="00101478" w:rsidRPr="0018386D">
              <w:t xml:space="preserve">) + (210 × </w:t>
            </w:r>
            <w:r w:rsidR="482539C0" w:rsidRPr="0018386D">
              <w:t>377.2</w:t>
            </w:r>
            <w:r w:rsidR="25128E41" w:rsidRPr="0018386D">
              <w:t>)</w:t>
            </w:r>
            <w:r w:rsidRPr="0018386D">
              <w:tab/>
            </w:r>
            <w:r w:rsidR="25128E41" w:rsidRPr="0018386D">
              <w:t xml:space="preserve">= </w:t>
            </w:r>
            <w:r w:rsidR="194DC5BD" w:rsidRPr="0018386D">
              <w:t>154,812</w:t>
            </w:r>
            <w:r w:rsidR="00101478" w:rsidRPr="0018386D">
              <w:t xml:space="preserve"> </w:t>
            </w:r>
            <w:r w:rsidRPr="0018386D">
              <w:t>kg CO</w:t>
            </w:r>
            <w:r w:rsidRPr="0018386D">
              <w:rPr>
                <w:vertAlign w:val="subscript"/>
              </w:rPr>
              <w:t>2</w:t>
            </w:r>
            <w:r w:rsidRPr="0018386D">
              <w:t>-e</w:t>
            </w:r>
          </w:p>
          <w:p w14:paraId="559EEBD9" w14:textId="2CD7CCD0" w:rsidR="00533ACF" w:rsidRPr="0018386D" w:rsidRDefault="00533ACF" w:rsidP="00DD3106">
            <w:pPr>
              <w:pStyle w:val="Boxtext"/>
              <w:tabs>
                <w:tab w:val="left" w:pos="2847"/>
                <w:tab w:val="left" w:pos="5399"/>
              </w:tabs>
              <w:spacing w:before="20" w:after="20"/>
              <w:ind w:left="850"/>
            </w:pPr>
            <w:r w:rsidRPr="0018386D">
              <w:t>Total CO</w:t>
            </w:r>
            <w:r w:rsidRPr="0018386D">
              <w:rPr>
                <w:vertAlign w:val="subscript"/>
              </w:rPr>
              <w:t>2</w:t>
            </w:r>
            <w:r w:rsidRPr="0018386D">
              <w:t xml:space="preserve">-e emissions </w:t>
            </w:r>
            <w:r w:rsidRPr="0018386D">
              <w:tab/>
              <w:t xml:space="preserve">= </w:t>
            </w:r>
            <w:r w:rsidR="77C4B669" w:rsidRPr="0018386D">
              <w:t>154,812</w:t>
            </w:r>
            <w:r w:rsidR="00101478" w:rsidRPr="0018386D">
              <w:t xml:space="preserve"> </w:t>
            </w:r>
            <w:r w:rsidRPr="0018386D">
              <w:t>kg CO</w:t>
            </w:r>
            <w:r w:rsidRPr="0018386D">
              <w:rPr>
                <w:vertAlign w:val="subscript"/>
              </w:rPr>
              <w:t>2</w:t>
            </w:r>
            <w:r w:rsidRPr="0018386D">
              <w:t>-e</w:t>
            </w:r>
          </w:p>
          <w:p w14:paraId="4CCAB7FA" w14:textId="77777777" w:rsidR="00533ACF" w:rsidRPr="0018386D" w:rsidRDefault="00533ACF" w:rsidP="00DD3106">
            <w:pPr>
              <w:pStyle w:val="Boxtext"/>
              <w:spacing w:after="180"/>
            </w:pPr>
            <w:r w:rsidRPr="0018386D">
              <w:rPr>
                <w:sz w:val="18"/>
              </w:rPr>
              <w:t>Note: Numbers may not add due to rounding.</w:t>
            </w:r>
          </w:p>
        </w:tc>
      </w:tr>
    </w:tbl>
    <w:p w14:paraId="427B1F18" w14:textId="61ABF9A4" w:rsidR="00C14A9F" w:rsidRPr="0018386D" w:rsidRDefault="00C14A9F" w:rsidP="00DD3106">
      <w:pPr>
        <w:pStyle w:val="Heading4"/>
        <w:numPr>
          <w:ilvl w:val="3"/>
          <w:numId w:val="8"/>
        </w:numPr>
        <w:ind w:left="1134" w:hanging="1134"/>
      </w:pPr>
      <w:r w:rsidRPr="0018386D">
        <w:t xml:space="preserve">Emission factor derivation methodology </w:t>
      </w:r>
    </w:p>
    <w:p w14:paraId="246D808D" w14:textId="55A320C3" w:rsidR="00533ACF" w:rsidRPr="0018386D" w:rsidRDefault="00533ACF" w:rsidP="00DD3106">
      <w:pPr>
        <w:pStyle w:val="BodyText"/>
      </w:pPr>
      <w:r w:rsidRPr="0018386D">
        <w:t xml:space="preserve">We calculated the emission factors from the Agricultural Inventory Model, used in </w:t>
      </w:r>
      <w:hyperlink r:id="rId152" w:history="1">
        <w:r w:rsidRPr="0018386D">
          <w:rPr>
            <w:rStyle w:val="Hyperlink"/>
            <w:i/>
          </w:rPr>
          <w:t>New Zealand’s Greenhouse Gas Inventory 1990–</w:t>
        </w:r>
        <w:r w:rsidR="00E3451A" w:rsidRPr="0018386D">
          <w:rPr>
            <w:rStyle w:val="Hyperlink"/>
            <w:i/>
          </w:rPr>
          <w:t>2021</w:t>
        </w:r>
        <w:r w:rsidRPr="0018386D">
          <w:rPr>
            <w:rStyle w:val="Hyperlink"/>
          </w:rPr>
          <w:t>.</w:t>
        </w:r>
      </w:hyperlink>
      <w:r w:rsidRPr="0018386D">
        <w:t xml:space="preserve"> These data are in </w:t>
      </w:r>
      <w:hyperlink w:anchor="table90" w:history="1">
        <w:r w:rsidRPr="0018386D">
          <w:rPr>
            <w:rStyle w:val="Hyperlink"/>
          </w:rPr>
          <w:t xml:space="preserve">table </w:t>
        </w:r>
        <w:r w:rsidR="008B13F7" w:rsidRPr="0018386D">
          <w:rPr>
            <w:rStyle w:val="Hyperlink"/>
          </w:rPr>
          <w:t>9</w:t>
        </w:r>
        <w:r w:rsidR="00D95A15" w:rsidRPr="0018386D">
          <w:rPr>
            <w:rStyle w:val="Hyperlink"/>
          </w:rPr>
          <w:t>0</w:t>
        </w:r>
      </w:hyperlink>
      <w:r w:rsidR="008B13F7" w:rsidRPr="0018386D">
        <w:t>.</w:t>
      </w:r>
    </w:p>
    <w:p w14:paraId="17E96C14" w14:textId="39B88CEC" w:rsidR="00533ACF" w:rsidRPr="0018386D" w:rsidRDefault="005B0BFB" w:rsidP="00DD3106">
      <w:pPr>
        <w:pStyle w:val="Tableheading"/>
        <w:rPr>
          <w:bCs/>
        </w:rPr>
      </w:pPr>
      <w:bookmarkStart w:id="948" w:name="table90"/>
      <w:bookmarkStart w:id="949" w:name="_Toc111536702"/>
      <w:bookmarkStart w:id="950" w:name="_Toc140049030"/>
      <w:r w:rsidRPr="0018386D">
        <w:t xml:space="preserve">Table </w:t>
      </w:r>
      <w:r w:rsidRPr="0018386D">
        <w:fldChar w:fldCharType="begin"/>
      </w:r>
      <w:r w:rsidRPr="0018386D">
        <w:instrText>SEQ Table \* ARABIC</w:instrText>
      </w:r>
      <w:r w:rsidRPr="0018386D">
        <w:fldChar w:fldCharType="separate"/>
      </w:r>
      <w:r w:rsidR="009A6CAA" w:rsidRPr="0018386D">
        <w:t>90</w:t>
      </w:r>
      <w:r w:rsidRPr="0018386D">
        <w:fldChar w:fldCharType="end"/>
      </w:r>
      <w:bookmarkEnd w:id="948"/>
      <w:r w:rsidRPr="0018386D">
        <w:t>:</w:t>
      </w:r>
      <w:r w:rsidRPr="0018386D">
        <w:tab/>
      </w:r>
      <w:r w:rsidR="008707A9" w:rsidRPr="0018386D">
        <w:rPr>
          <w:rFonts w:eastAsia="Calibri" w:cs="Calibri"/>
          <w:szCs w:val="20"/>
        </w:rPr>
        <w:t xml:space="preserve">Agricultural soils </w:t>
      </w:r>
      <w:bookmarkEnd w:id="949"/>
      <w:r w:rsidR="008707A9" w:rsidRPr="0018386D">
        <w:rPr>
          <w:rFonts w:eastAsia="Calibri" w:cs="Calibri"/>
          <w:szCs w:val="20"/>
        </w:rPr>
        <w:t xml:space="preserve">source </w:t>
      </w:r>
      <w:r w:rsidR="29B645D6" w:rsidRPr="0018386D">
        <w:rPr>
          <w:rFonts w:eastAsia="Calibri" w:cs="Calibri"/>
          <w:szCs w:val="20"/>
        </w:rPr>
        <w:t>data</w:t>
      </w:r>
      <w:bookmarkEnd w:id="950"/>
    </w:p>
    <w:tbl>
      <w:tblPr>
        <w:tblStyle w:val="LightList-Accent11"/>
        <w:tblW w:w="8505" w:type="dxa"/>
        <w:tblInd w:w="20" w:type="dxa"/>
        <w:tblLook w:val="04A0" w:firstRow="1" w:lastRow="0" w:firstColumn="1" w:lastColumn="0" w:noHBand="0" w:noVBand="1"/>
      </w:tblPr>
      <w:tblGrid>
        <w:gridCol w:w="2835"/>
        <w:gridCol w:w="2835"/>
        <w:gridCol w:w="2835"/>
      </w:tblGrid>
      <w:tr w:rsidR="00533ACF" w:rsidRPr="0018386D" w14:paraId="52CFD4E8" w14:textId="77777777" w:rsidTr="00DA4C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1C556C" w:themeColor="accent1"/>
            </w:tcBorders>
            <w:shd w:val="clear" w:color="auto" w:fill="1B556B" w:themeFill="text2"/>
          </w:tcPr>
          <w:p w14:paraId="70E40059" w14:textId="77777777" w:rsidR="00533ACF" w:rsidRPr="0018386D" w:rsidRDefault="00533ACF" w:rsidP="00DD3106">
            <w:pPr>
              <w:pStyle w:val="TableText"/>
              <w:keepNext/>
              <w:spacing w:before="40" w:after="40"/>
              <w:rPr>
                <w:szCs w:val="18"/>
              </w:rPr>
            </w:pPr>
            <w:r w:rsidRPr="0018386D">
              <w:rPr>
                <w:szCs w:val="18"/>
              </w:rPr>
              <w:t xml:space="preserve">Animal </w:t>
            </w:r>
          </w:p>
        </w:tc>
        <w:tc>
          <w:tcPr>
            <w:tcW w:w="2835" w:type="dxa"/>
            <w:shd w:val="clear" w:color="auto" w:fill="1B556B" w:themeFill="text2"/>
          </w:tcPr>
          <w:p w14:paraId="75EE424D" w14:textId="77777777" w:rsidR="00533ACF" w:rsidRPr="0018386D" w:rsidRDefault="00533ACF" w:rsidP="00DD3106">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18386D">
              <w:rPr>
                <w:szCs w:val="18"/>
              </w:rPr>
              <w:t>Population</w:t>
            </w:r>
          </w:p>
        </w:tc>
        <w:tc>
          <w:tcPr>
            <w:tcW w:w="2835" w:type="dxa"/>
            <w:tcBorders>
              <w:bottom w:val="single" w:sz="8" w:space="0" w:color="1C556C" w:themeColor="accent1"/>
            </w:tcBorders>
            <w:shd w:val="clear" w:color="auto" w:fill="1B556B" w:themeFill="text2"/>
          </w:tcPr>
          <w:p w14:paraId="50727A6F" w14:textId="77777777" w:rsidR="00533ACF" w:rsidRPr="0018386D" w:rsidRDefault="00533ACF" w:rsidP="00DD3106">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18386D">
              <w:rPr>
                <w:szCs w:val="18"/>
              </w:rPr>
              <w:t>Total agricultural soils (kt N</w:t>
            </w:r>
            <w:r w:rsidRPr="0018386D">
              <w:rPr>
                <w:szCs w:val="18"/>
                <w:vertAlign w:val="subscript"/>
              </w:rPr>
              <w:t>2</w:t>
            </w:r>
            <w:r w:rsidRPr="0018386D">
              <w:rPr>
                <w:szCs w:val="18"/>
              </w:rPr>
              <w:t>O)</w:t>
            </w:r>
          </w:p>
        </w:tc>
      </w:tr>
      <w:tr w:rsidR="003757F7" w:rsidRPr="0018386D" w14:paraId="76BA3C32" w14:textId="77777777" w:rsidTr="00F47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0A27A74B" w14:textId="77777777" w:rsidR="003757F7" w:rsidRPr="0018386D" w:rsidRDefault="003757F7" w:rsidP="00DD3106">
            <w:pPr>
              <w:pStyle w:val="TableText"/>
              <w:keepNext/>
              <w:spacing w:before="40" w:after="40"/>
              <w:rPr>
                <w:b w:val="0"/>
                <w:szCs w:val="18"/>
              </w:rPr>
            </w:pPr>
            <w:r w:rsidRPr="0018386D">
              <w:rPr>
                <w:b w:val="0"/>
                <w:szCs w:val="18"/>
              </w:rPr>
              <w:t>Dairy cattle</w:t>
            </w:r>
          </w:p>
        </w:tc>
        <w:tc>
          <w:tcPr>
            <w:tcW w:w="2835" w:type="dxa"/>
            <w:shd w:val="clear" w:color="auto" w:fill="auto"/>
            <w:vAlign w:val="bottom"/>
          </w:tcPr>
          <w:p w14:paraId="2E49A803" w14:textId="5F8E8D22" w:rsidR="003757F7" w:rsidRPr="0018386D" w:rsidRDefault="003757F7"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6,185,435</w:t>
            </w:r>
          </w:p>
        </w:tc>
        <w:tc>
          <w:tcPr>
            <w:tcW w:w="2835" w:type="dxa"/>
            <w:tcBorders>
              <w:right w:val="nil"/>
            </w:tcBorders>
            <w:shd w:val="clear" w:color="auto" w:fill="auto"/>
            <w:vAlign w:val="bottom"/>
          </w:tcPr>
          <w:p w14:paraId="5ABF44AB" w14:textId="7AC94C02" w:rsidR="003757F7" w:rsidRPr="0018386D" w:rsidRDefault="003757F7" w:rsidP="00DD3106">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8.804</w:t>
            </w:r>
          </w:p>
        </w:tc>
      </w:tr>
      <w:tr w:rsidR="003757F7" w:rsidRPr="0018386D" w14:paraId="2BF1A6CB" w14:textId="77777777" w:rsidTr="00F471D5">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1C556C" w:themeColor="accent1"/>
              <w:left w:val="nil"/>
              <w:bottom w:val="single" w:sz="8" w:space="0" w:color="1C556C" w:themeColor="accent1"/>
            </w:tcBorders>
          </w:tcPr>
          <w:p w14:paraId="61A42F77" w14:textId="77777777" w:rsidR="003757F7" w:rsidRPr="0018386D" w:rsidRDefault="003757F7" w:rsidP="00DD3106">
            <w:pPr>
              <w:pStyle w:val="TableText"/>
              <w:spacing w:before="40" w:after="40"/>
              <w:rPr>
                <w:b w:val="0"/>
                <w:szCs w:val="18"/>
              </w:rPr>
            </w:pPr>
            <w:r w:rsidRPr="0018386D">
              <w:rPr>
                <w:b w:val="0"/>
                <w:szCs w:val="18"/>
              </w:rPr>
              <w:t>Non-dairy cattle</w:t>
            </w:r>
          </w:p>
        </w:tc>
        <w:tc>
          <w:tcPr>
            <w:tcW w:w="2835" w:type="dxa"/>
            <w:shd w:val="clear" w:color="auto" w:fill="auto"/>
            <w:vAlign w:val="bottom"/>
          </w:tcPr>
          <w:p w14:paraId="72BDD83F" w14:textId="1775CFD5"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rFonts w:cs="Calibri"/>
                <w:szCs w:val="18"/>
              </w:rPr>
              <w:t>3,964,811</w:t>
            </w:r>
          </w:p>
        </w:tc>
        <w:tc>
          <w:tcPr>
            <w:tcW w:w="2835" w:type="dxa"/>
            <w:tcBorders>
              <w:top w:val="single" w:sz="8" w:space="0" w:color="1C556C" w:themeColor="accent1"/>
              <w:bottom w:val="single" w:sz="8" w:space="0" w:color="1C556C" w:themeColor="accent1"/>
              <w:right w:val="nil"/>
            </w:tcBorders>
            <w:shd w:val="clear" w:color="auto" w:fill="auto"/>
            <w:vAlign w:val="bottom"/>
          </w:tcPr>
          <w:p w14:paraId="781DD7ED" w14:textId="1DB2CF76"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rFonts w:cs="Calibri"/>
                <w:szCs w:val="18"/>
              </w:rPr>
              <w:t>3.391</w:t>
            </w:r>
          </w:p>
        </w:tc>
      </w:tr>
      <w:tr w:rsidR="003757F7" w:rsidRPr="0018386D" w14:paraId="19F58868" w14:textId="77777777" w:rsidTr="00F47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709891C9" w14:textId="77777777" w:rsidR="003757F7" w:rsidRPr="0018386D" w:rsidRDefault="003757F7" w:rsidP="00DD3106">
            <w:pPr>
              <w:pStyle w:val="TableText"/>
              <w:spacing w:before="40" w:after="40"/>
              <w:rPr>
                <w:b w:val="0"/>
                <w:szCs w:val="18"/>
              </w:rPr>
            </w:pPr>
            <w:r w:rsidRPr="0018386D">
              <w:rPr>
                <w:b w:val="0"/>
                <w:szCs w:val="18"/>
              </w:rPr>
              <w:t>Sheep</w:t>
            </w:r>
          </w:p>
        </w:tc>
        <w:tc>
          <w:tcPr>
            <w:tcW w:w="2835" w:type="dxa"/>
            <w:shd w:val="clear" w:color="auto" w:fill="auto"/>
            <w:vAlign w:val="bottom"/>
          </w:tcPr>
          <w:p w14:paraId="281DB645" w14:textId="6FCD945E"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25,732,889</w:t>
            </w:r>
          </w:p>
        </w:tc>
        <w:tc>
          <w:tcPr>
            <w:tcW w:w="2835" w:type="dxa"/>
            <w:tcBorders>
              <w:right w:val="nil"/>
            </w:tcBorders>
            <w:shd w:val="clear" w:color="auto" w:fill="auto"/>
            <w:vAlign w:val="bottom"/>
          </w:tcPr>
          <w:p w14:paraId="16E63E6D" w14:textId="3CC1C453"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rFonts w:cs="Calibri"/>
                <w:szCs w:val="18"/>
              </w:rPr>
              <w:t>3.061</w:t>
            </w:r>
          </w:p>
        </w:tc>
      </w:tr>
      <w:tr w:rsidR="003757F7" w:rsidRPr="0018386D" w14:paraId="0453E25F" w14:textId="77777777" w:rsidTr="00F471D5">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1C556C" w:themeColor="accent1"/>
              <w:left w:val="nil"/>
              <w:bottom w:val="single" w:sz="8" w:space="0" w:color="1C556C" w:themeColor="accent1"/>
            </w:tcBorders>
          </w:tcPr>
          <w:p w14:paraId="7B7EC915" w14:textId="77777777" w:rsidR="003757F7" w:rsidRPr="0018386D" w:rsidRDefault="003757F7" w:rsidP="00DD3106">
            <w:pPr>
              <w:pStyle w:val="TableText"/>
              <w:spacing w:before="40" w:after="40"/>
              <w:rPr>
                <w:b w:val="0"/>
                <w:szCs w:val="18"/>
              </w:rPr>
            </w:pPr>
            <w:r w:rsidRPr="0018386D">
              <w:rPr>
                <w:b w:val="0"/>
                <w:szCs w:val="18"/>
              </w:rPr>
              <w:t>Deer</w:t>
            </w:r>
          </w:p>
        </w:tc>
        <w:tc>
          <w:tcPr>
            <w:tcW w:w="2835" w:type="dxa"/>
            <w:shd w:val="clear" w:color="auto" w:fill="auto"/>
            <w:vAlign w:val="bottom"/>
          </w:tcPr>
          <w:p w14:paraId="49F51986" w14:textId="2E88B38E"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813,980</w:t>
            </w:r>
          </w:p>
        </w:tc>
        <w:tc>
          <w:tcPr>
            <w:tcW w:w="2835" w:type="dxa"/>
            <w:tcBorders>
              <w:top w:val="single" w:sz="8" w:space="0" w:color="1C556C" w:themeColor="accent1"/>
              <w:bottom w:val="single" w:sz="8" w:space="0" w:color="1C556C" w:themeColor="accent1"/>
              <w:right w:val="nil"/>
            </w:tcBorders>
            <w:shd w:val="clear" w:color="auto" w:fill="auto"/>
            <w:vAlign w:val="bottom"/>
          </w:tcPr>
          <w:p w14:paraId="5AE0FCEC" w14:textId="4D5D1DA3"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rFonts w:cs="Calibri"/>
                <w:szCs w:val="18"/>
              </w:rPr>
              <w:t>0.223</w:t>
            </w:r>
          </w:p>
        </w:tc>
      </w:tr>
      <w:tr w:rsidR="003757F7" w:rsidRPr="0018386D" w14:paraId="0480E35F" w14:textId="77777777" w:rsidTr="00F47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21201AEC" w14:textId="77777777" w:rsidR="003757F7" w:rsidRPr="0018386D" w:rsidRDefault="003757F7" w:rsidP="00DD3106">
            <w:pPr>
              <w:pStyle w:val="TableText"/>
              <w:spacing w:before="40" w:after="40"/>
              <w:rPr>
                <w:b w:val="0"/>
                <w:bCs w:val="0"/>
                <w:szCs w:val="18"/>
              </w:rPr>
            </w:pPr>
            <w:r w:rsidRPr="0018386D">
              <w:rPr>
                <w:b w:val="0"/>
                <w:bCs w:val="0"/>
                <w:szCs w:val="18"/>
              </w:rPr>
              <w:t>Swine</w:t>
            </w:r>
          </w:p>
        </w:tc>
        <w:tc>
          <w:tcPr>
            <w:tcW w:w="2835" w:type="dxa"/>
            <w:shd w:val="clear" w:color="auto" w:fill="auto"/>
            <w:vAlign w:val="bottom"/>
          </w:tcPr>
          <w:p w14:paraId="67B5A35A" w14:textId="0846C1E5"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248,717</w:t>
            </w:r>
          </w:p>
        </w:tc>
        <w:tc>
          <w:tcPr>
            <w:tcW w:w="2835" w:type="dxa"/>
            <w:tcBorders>
              <w:right w:val="nil"/>
            </w:tcBorders>
            <w:shd w:val="clear" w:color="auto" w:fill="auto"/>
            <w:vAlign w:val="bottom"/>
          </w:tcPr>
          <w:p w14:paraId="3E48A8CF" w14:textId="1D893334"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0.039</w:t>
            </w:r>
          </w:p>
        </w:tc>
      </w:tr>
      <w:tr w:rsidR="003757F7" w:rsidRPr="0018386D" w14:paraId="3BFCBAC8" w14:textId="77777777" w:rsidTr="00F471D5">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1C556C" w:themeColor="accent1"/>
              <w:left w:val="nil"/>
              <w:bottom w:val="single" w:sz="8" w:space="0" w:color="1C556C" w:themeColor="accent1"/>
            </w:tcBorders>
          </w:tcPr>
          <w:p w14:paraId="5F9F62A4" w14:textId="77777777" w:rsidR="003757F7" w:rsidRPr="0018386D" w:rsidRDefault="003757F7" w:rsidP="00DD3106">
            <w:pPr>
              <w:pStyle w:val="TableText"/>
              <w:spacing w:before="40" w:after="40"/>
              <w:rPr>
                <w:b w:val="0"/>
                <w:bCs w:val="0"/>
                <w:szCs w:val="18"/>
              </w:rPr>
            </w:pPr>
            <w:r w:rsidRPr="0018386D">
              <w:rPr>
                <w:b w:val="0"/>
                <w:bCs w:val="0"/>
                <w:szCs w:val="18"/>
              </w:rPr>
              <w:t>Goats</w:t>
            </w:r>
          </w:p>
        </w:tc>
        <w:tc>
          <w:tcPr>
            <w:tcW w:w="2835" w:type="dxa"/>
            <w:shd w:val="clear" w:color="auto" w:fill="auto"/>
            <w:vAlign w:val="bottom"/>
          </w:tcPr>
          <w:p w14:paraId="00981116" w14:textId="337E1088"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116,666</w:t>
            </w:r>
          </w:p>
        </w:tc>
        <w:tc>
          <w:tcPr>
            <w:tcW w:w="2835" w:type="dxa"/>
            <w:tcBorders>
              <w:top w:val="single" w:sz="8" w:space="0" w:color="1C556C" w:themeColor="accent1"/>
              <w:bottom w:val="single" w:sz="8" w:space="0" w:color="1C556C" w:themeColor="accent1"/>
              <w:right w:val="nil"/>
            </w:tcBorders>
            <w:shd w:val="clear" w:color="auto" w:fill="auto"/>
            <w:vAlign w:val="bottom"/>
          </w:tcPr>
          <w:p w14:paraId="64D434DC" w14:textId="064D058E"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0.027</w:t>
            </w:r>
          </w:p>
        </w:tc>
      </w:tr>
      <w:tr w:rsidR="003757F7" w:rsidRPr="0018386D" w14:paraId="5D5A74A4" w14:textId="77777777" w:rsidTr="00F47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69966E4F" w14:textId="77777777" w:rsidR="003757F7" w:rsidRPr="0018386D" w:rsidRDefault="003757F7" w:rsidP="00DD3106">
            <w:pPr>
              <w:pStyle w:val="TableText"/>
              <w:spacing w:before="40" w:after="40"/>
              <w:rPr>
                <w:b w:val="0"/>
                <w:bCs w:val="0"/>
                <w:szCs w:val="18"/>
              </w:rPr>
            </w:pPr>
            <w:r w:rsidRPr="0018386D">
              <w:rPr>
                <w:b w:val="0"/>
                <w:bCs w:val="0"/>
                <w:szCs w:val="18"/>
              </w:rPr>
              <w:t>Horses</w:t>
            </w:r>
          </w:p>
        </w:tc>
        <w:tc>
          <w:tcPr>
            <w:tcW w:w="2835" w:type="dxa"/>
            <w:shd w:val="clear" w:color="auto" w:fill="auto"/>
            <w:vAlign w:val="bottom"/>
          </w:tcPr>
          <w:p w14:paraId="4B12BCDE" w14:textId="53DACB63"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40,276</w:t>
            </w:r>
          </w:p>
        </w:tc>
        <w:tc>
          <w:tcPr>
            <w:tcW w:w="2835" w:type="dxa"/>
            <w:tcBorders>
              <w:right w:val="nil"/>
            </w:tcBorders>
            <w:shd w:val="clear" w:color="auto" w:fill="auto"/>
            <w:vAlign w:val="bottom"/>
          </w:tcPr>
          <w:p w14:paraId="28E46744" w14:textId="0BB974A7"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0.044</w:t>
            </w:r>
          </w:p>
        </w:tc>
      </w:tr>
      <w:tr w:rsidR="003757F7" w:rsidRPr="0018386D" w14:paraId="6BD1F99E" w14:textId="77777777" w:rsidTr="00F471D5">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1C556C" w:themeColor="accent1"/>
              <w:left w:val="nil"/>
              <w:bottom w:val="single" w:sz="8" w:space="0" w:color="1C556C" w:themeColor="accent1"/>
            </w:tcBorders>
          </w:tcPr>
          <w:p w14:paraId="7239A8B8" w14:textId="2BFAB1A5" w:rsidR="003757F7" w:rsidRPr="0018386D" w:rsidRDefault="003757F7" w:rsidP="00DD3106">
            <w:pPr>
              <w:pStyle w:val="TableText"/>
              <w:spacing w:before="40" w:after="40"/>
              <w:rPr>
                <w:b w:val="0"/>
                <w:bCs w:val="0"/>
                <w:szCs w:val="18"/>
              </w:rPr>
            </w:pPr>
            <w:r w:rsidRPr="0018386D">
              <w:rPr>
                <w:b w:val="0"/>
                <w:bCs w:val="0"/>
                <w:szCs w:val="18"/>
              </w:rPr>
              <w:t>Alpaca and llama</w:t>
            </w:r>
          </w:p>
        </w:tc>
        <w:tc>
          <w:tcPr>
            <w:tcW w:w="2835" w:type="dxa"/>
            <w:shd w:val="clear" w:color="auto" w:fill="auto"/>
            <w:vAlign w:val="bottom"/>
          </w:tcPr>
          <w:p w14:paraId="290A7F53" w14:textId="64BCDC6B"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7,578</w:t>
            </w:r>
          </w:p>
        </w:tc>
        <w:tc>
          <w:tcPr>
            <w:tcW w:w="2835" w:type="dxa"/>
            <w:tcBorders>
              <w:top w:val="single" w:sz="8" w:space="0" w:color="1C556C" w:themeColor="accent1"/>
              <w:bottom w:val="single" w:sz="8" w:space="0" w:color="1C556C" w:themeColor="accent1"/>
              <w:right w:val="nil"/>
            </w:tcBorders>
            <w:shd w:val="clear" w:color="auto" w:fill="auto"/>
            <w:vAlign w:val="bottom"/>
          </w:tcPr>
          <w:p w14:paraId="12C35CF6" w14:textId="4E8362FC"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0.002</w:t>
            </w:r>
          </w:p>
        </w:tc>
      </w:tr>
      <w:tr w:rsidR="003757F7" w:rsidRPr="0018386D" w14:paraId="3BC3BFF0" w14:textId="77777777" w:rsidTr="00F47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716221B3" w14:textId="4B7DE2CE" w:rsidR="003757F7" w:rsidRPr="0018386D" w:rsidRDefault="003757F7" w:rsidP="00DD3106">
            <w:pPr>
              <w:pStyle w:val="TableText"/>
              <w:spacing w:before="40" w:after="40"/>
              <w:rPr>
                <w:b w:val="0"/>
                <w:bCs w:val="0"/>
                <w:szCs w:val="18"/>
              </w:rPr>
            </w:pPr>
            <w:r w:rsidRPr="0018386D">
              <w:rPr>
                <w:b w:val="0"/>
                <w:bCs w:val="0"/>
                <w:szCs w:val="18"/>
              </w:rPr>
              <w:t>Mules and asses</w:t>
            </w:r>
          </w:p>
        </w:tc>
        <w:tc>
          <w:tcPr>
            <w:tcW w:w="2835" w:type="dxa"/>
            <w:shd w:val="clear" w:color="auto" w:fill="auto"/>
            <w:vAlign w:val="bottom"/>
          </w:tcPr>
          <w:p w14:paraId="5CB3C13E" w14:textId="21794B78"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141</w:t>
            </w:r>
          </w:p>
        </w:tc>
        <w:tc>
          <w:tcPr>
            <w:tcW w:w="2835" w:type="dxa"/>
            <w:tcBorders>
              <w:right w:val="nil"/>
            </w:tcBorders>
            <w:shd w:val="clear" w:color="auto" w:fill="auto"/>
            <w:vAlign w:val="bottom"/>
          </w:tcPr>
          <w:p w14:paraId="7709530B" w14:textId="4550FFFA" w:rsidR="003757F7" w:rsidRPr="0018386D" w:rsidRDefault="003757F7"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0.0001</w:t>
            </w:r>
          </w:p>
        </w:tc>
      </w:tr>
      <w:tr w:rsidR="003757F7" w:rsidRPr="0018386D" w14:paraId="2C02126E" w14:textId="77777777" w:rsidTr="00F471D5">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1C556C" w:themeColor="accent1"/>
              <w:left w:val="nil"/>
            </w:tcBorders>
          </w:tcPr>
          <w:p w14:paraId="5FA7263D" w14:textId="77777777" w:rsidR="003757F7" w:rsidRPr="0018386D" w:rsidRDefault="003757F7" w:rsidP="00DD3106">
            <w:pPr>
              <w:pStyle w:val="TableText"/>
              <w:spacing w:before="40" w:after="40"/>
              <w:rPr>
                <w:b w:val="0"/>
                <w:bCs w:val="0"/>
                <w:szCs w:val="18"/>
              </w:rPr>
            </w:pPr>
            <w:r w:rsidRPr="0018386D">
              <w:rPr>
                <w:b w:val="0"/>
                <w:bCs w:val="0"/>
                <w:szCs w:val="18"/>
              </w:rPr>
              <w:t>Poultry</w:t>
            </w:r>
          </w:p>
        </w:tc>
        <w:tc>
          <w:tcPr>
            <w:tcW w:w="2835" w:type="dxa"/>
            <w:shd w:val="clear" w:color="auto" w:fill="auto"/>
            <w:vAlign w:val="bottom"/>
          </w:tcPr>
          <w:p w14:paraId="2A72DA03" w14:textId="3C60E617"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19,345,800</w:t>
            </w:r>
          </w:p>
        </w:tc>
        <w:tc>
          <w:tcPr>
            <w:tcW w:w="2835" w:type="dxa"/>
            <w:tcBorders>
              <w:top w:val="single" w:sz="8" w:space="0" w:color="1C556C" w:themeColor="accent1"/>
              <w:right w:val="nil"/>
            </w:tcBorders>
            <w:shd w:val="clear" w:color="auto" w:fill="auto"/>
            <w:vAlign w:val="bottom"/>
          </w:tcPr>
          <w:p w14:paraId="1322757E" w14:textId="6C67C570" w:rsidR="003757F7" w:rsidRPr="0018386D" w:rsidRDefault="003757F7"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0.112</w:t>
            </w:r>
          </w:p>
        </w:tc>
      </w:tr>
    </w:tbl>
    <w:p w14:paraId="633ED015" w14:textId="77777777" w:rsidR="006E60C4" w:rsidRPr="0018386D" w:rsidRDefault="006E60C4" w:rsidP="00DD3106">
      <w:pPr>
        <w:pStyle w:val="Heading4"/>
        <w:numPr>
          <w:ilvl w:val="3"/>
          <w:numId w:val="8"/>
        </w:numPr>
        <w:spacing w:before="440"/>
        <w:ind w:left="1134" w:hanging="1134"/>
        <w:rPr>
          <w:rFonts w:eastAsia="Georgia" w:cs="Georgia"/>
          <w:color w:val="000000" w:themeColor="text1"/>
          <w:szCs w:val="24"/>
        </w:rPr>
      </w:pPr>
      <w:r w:rsidRPr="0018386D">
        <w:t xml:space="preserve">Assumptions, </w:t>
      </w:r>
      <w:proofErr w:type="gramStart"/>
      <w:r w:rsidRPr="0018386D">
        <w:t>limitations</w:t>
      </w:r>
      <w:proofErr w:type="gramEnd"/>
      <w:r w:rsidRPr="0018386D">
        <w:t xml:space="preserve"> and uncertainties</w:t>
      </w:r>
    </w:p>
    <w:p w14:paraId="68515929" w14:textId="2A5F986A" w:rsidR="2666BF7E" w:rsidRPr="0018386D" w:rsidRDefault="00C7627E" w:rsidP="00DD3106">
      <w:pPr>
        <w:pStyle w:val="BodyText"/>
        <w:rPr>
          <w:rFonts w:eastAsia="Calibri" w:cs="Calibri"/>
          <w:color w:val="000000" w:themeColor="text1"/>
        </w:rPr>
      </w:pPr>
      <w:hyperlink r:id="rId153">
        <w:r w:rsidR="2666BF7E" w:rsidRPr="0018386D">
          <w:rPr>
            <w:rStyle w:val="Hyperlink"/>
            <w:i/>
            <w:iCs/>
          </w:rPr>
          <w:t>New Zealand’s Greenhouse Gas Inventory 1990–2021</w:t>
        </w:r>
      </w:hyperlink>
      <w:r w:rsidR="2666BF7E" w:rsidRPr="0018386D">
        <w:t xml:space="preserve"> </w:t>
      </w:r>
      <w:r w:rsidR="7CB157A4" w:rsidRPr="0018386D">
        <w:rPr>
          <w:rFonts w:eastAsia="Calibri" w:cs="Calibri"/>
          <w:color w:val="000000" w:themeColor="text1"/>
        </w:rPr>
        <w:t>details the uncertainties associated with the activity data used to calculate the implied</w:t>
      </w:r>
      <w:r w:rsidR="7CB157A4" w:rsidRPr="0018386D">
        <w:rPr>
          <w:rFonts w:eastAsia="Calibri" w:cs="Calibri"/>
        </w:rPr>
        <w:t xml:space="preserve"> </w:t>
      </w:r>
      <w:r w:rsidR="7CB157A4" w:rsidRPr="0018386D">
        <w:rPr>
          <w:rFonts w:eastAsia="Calibri" w:cs="Calibri"/>
          <w:color w:val="000000" w:themeColor="text1"/>
        </w:rPr>
        <w:t xml:space="preserve">emission factors. </w:t>
      </w:r>
    </w:p>
    <w:p w14:paraId="0DE61633" w14:textId="43674807" w:rsidR="7CB157A4" w:rsidRPr="0018386D" w:rsidRDefault="7CB157A4" w:rsidP="00DD3106">
      <w:pPr>
        <w:pStyle w:val="BodyText"/>
      </w:pPr>
      <w:r w:rsidRPr="0018386D">
        <w:t>The level of uncertainty with N</w:t>
      </w:r>
      <w:r w:rsidRPr="0018386D">
        <w:rPr>
          <w:vertAlign w:val="subscript"/>
        </w:rPr>
        <w:t>2</w:t>
      </w:r>
      <w:r w:rsidRPr="0018386D">
        <w:t xml:space="preserve">O emissions from agricultural soils was ±55 per cent for </w:t>
      </w:r>
      <w:r w:rsidR="007D5853" w:rsidRPr="0018386D">
        <w:t>2021</w:t>
      </w:r>
      <w:r w:rsidRPr="0018386D">
        <w:t>.</w:t>
      </w:r>
    </w:p>
    <w:p w14:paraId="1D7775D1" w14:textId="1D8BF3CB" w:rsidR="003A7B65" w:rsidRPr="0018386D" w:rsidRDefault="003A7B65" w:rsidP="00DD3106">
      <w:pPr>
        <w:pStyle w:val="Heading3"/>
        <w:numPr>
          <w:ilvl w:val="2"/>
          <w:numId w:val="8"/>
        </w:numPr>
      </w:pPr>
      <w:bookmarkStart w:id="951" w:name="_Fertiliser_use"/>
      <w:bookmarkStart w:id="952" w:name="_Toc529960728"/>
      <w:bookmarkStart w:id="953" w:name="_Toc532904972"/>
      <w:bookmarkEnd w:id="951"/>
      <w:r w:rsidRPr="0018386D">
        <w:t>Fertiliser use</w:t>
      </w:r>
      <w:bookmarkEnd w:id="952"/>
      <w:bookmarkEnd w:id="953"/>
    </w:p>
    <w:p w14:paraId="1806D093" w14:textId="50DF65ED" w:rsidR="003A7B65" w:rsidRPr="0018386D" w:rsidRDefault="003A7B65" w:rsidP="00DD3106">
      <w:pPr>
        <w:pStyle w:val="BodyText"/>
      </w:pPr>
      <w:r w:rsidRPr="0018386D">
        <w:t xml:space="preserve">The use of fertiliser produces </w:t>
      </w:r>
      <w:r w:rsidR="00E603E1" w:rsidRPr="0018386D">
        <w:t>GHG</w:t>
      </w:r>
      <w:r w:rsidRPr="0018386D">
        <w:t xml:space="preserve"> emissions. Nitrogen fertiliser </w:t>
      </w:r>
      <w:r w:rsidR="002193A3" w:rsidRPr="0018386D">
        <w:t>break</w:t>
      </w:r>
      <w:r w:rsidR="0B94C7A1" w:rsidRPr="0018386D">
        <w:t>s</w:t>
      </w:r>
      <w:r w:rsidRPr="0018386D">
        <w:t xml:space="preserve"> down to produce nitrous oxide and carbon dioxide</w:t>
      </w:r>
      <w:r w:rsidR="00D14FEA" w:rsidRPr="0018386D">
        <w:t xml:space="preserve"> (urea)</w:t>
      </w:r>
      <w:r w:rsidRPr="0018386D">
        <w:t xml:space="preserve">. Limestone and dolomite fertilisers break down to produce carbon dioxide. </w:t>
      </w:r>
      <w:hyperlink r:id="rId154">
        <w:r w:rsidR="72D051B3" w:rsidRPr="0018386D">
          <w:rPr>
            <w:rStyle w:val="Hyperlink"/>
            <w:rFonts w:eastAsia="Calibri" w:cs="Calibri"/>
            <w:i/>
            <w:iCs/>
          </w:rPr>
          <w:t>New Zealand’s Greenhouse Gas Inventory 1990</w:t>
        </w:r>
        <w:r w:rsidR="00A0401F" w:rsidRPr="0018386D">
          <w:rPr>
            <w:rStyle w:val="Hyperlink"/>
            <w:rFonts w:eastAsia="Calibri" w:cs="Calibri"/>
            <w:i/>
            <w:iCs/>
          </w:rPr>
          <w:t>–</w:t>
        </w:r>
        <w:r w:rsidR="72D051B3" w:rsidRPr="0018386D">
          <w:rPr>
            <w:rStyle w:val="Hyperlink"/>
            <w:rFonts w:eastAsia="Calibri" w:cs="Calibri"/>
            <w:i/>
            <w:iCs/>
          </w:rPr>
          <w:t>2021</w:t>
        </w:r>
      </w:hyperlink>
      <w:r w:rsidR="72D051B3" w:rsidRPr="0018386D">
        <w:rPr>
          <w:color w:val="0078D4"/>
        </w:rPr>
        <w:t xml:space="preserve"> </w:t>
      </w:r>
      <w:r w:rsidR="72D051B3" w:rsidRPr="0018386D">
        <w:t xml:space="preserve">reports the total emissions from fertiliser using New Zealand-specific emission factors. </w:t>
      </w:r>
      <w:r w:rsidR="00E603E1" w:rsidRPr="0018386D">
        <w:t xml:space="preserve">We used methodologies supplied by </w:t>
      </w:r>
      <w:r w:rsidRPr="0018386D">
        <w:t xml:space="preserve">MPI </w:t>
      </w:r>
      <w:r w:rsidR="00E603E1" w:rsidRPr="0018386D">
        <w:t>to develop emission</w:t>
      </w:r>
      <w:r w:rsidRPr="0018386D">
        <w:t xml:space="preserve"> factors for:</w:t>
      </w:r>
    </w:p>
    <w:p w14:paraId="053A4826" w14:textId="5778F1D3" w:rsidR="003A7B65" w:rsidRPr="0018386D" w:rsidRDefault="00114968" w:rsidP="00DD3106">
      <w:pPr>
        <w:pStyle w:val="Bullet"/>
        <w:rPr>
          <w:rFonts w:eastAsia="Calibri"/>
        </w:rPr>
      </w:pPr>
      <w:r w:rsidRPr="0018386D">
        <w:rPr>
          <w:rFonts w:eastAsia="Calibri"/>
        </w:rPr>
        <w:t>t</w:t>
      </w:r>
      <w:r w:rsidR="00D35677" w:rsidRPr="0018386D">
        <w:rPr>
          <w:rFonts w:eastAsia="Calibri"/>
        </w:rPr>
        <w:t xml:space="preserve">he nitrogen content of </w:t>
      </w:r>
      <w:r w:rsidR="001873EA" w:rsidRPr="0018386D">
        <w:rPr>
          <w:rFonts w:eastAsia="Calibri"/>
        </w:rPr>
        <w:t>n</w:t>
      </w:r>
      <w:r w:rsidR="003A7B65" w:rsidRPr="0018386D">
        <w:rPr>
          <w:rFonts w:eastAsia="Calibri"/>
        </w:rPr>
        <w:t>on-urea nitrogen fertiliser</w:t>
      </w:r>
    </w:p>
    <w:p w14:paraId="09C1B862" w14:textId="13E80DF8" w:rsidR="003A7B65" w:rsidRPr="0018386D" w:rsidRDefault="00114968" w:rsidP="00DD3106">
      <w:pPr>
        <w:pStyle w:val="Bullet"/>
        <w:rPr>
          <w:rFonts w:eastAsia="Calibri"/>
        </w:rPr>
      </w:pPr>
      <w:r w:rsidRPr="0018386D">
        <w:rPr>
          <w:rFonts w:eastAsia="Calibri"/>
        </w:rPr>
        <w:t xml:space="preserve">the nitrogen content of </w:t>
      </w:r>
      <w:r w:rsidR="001873EA" w:rsidRPr="0018386D">
        <w:rPr>
          <w:rFonts w:eastAsia="Calibri"/>
        </w:rPr>
        <w:t>u</w:t>
      </w:r>
      <w:r w:rsidR="003A7B65" w:rsidRPr="0018386D">
        <w:rPr>
          <w:rFonts w:eastAsia="Calibri"/>
        </w:rPr>
        <w:t xml:space="preserve">rea nitrogen fertiliser not coated with urease </w:t>
      </w:r>
      <w:proofErr w:type="gramStart"/>
      <w:r w:rsidR="003A7B65" w:rsidRPr="0018386D">
        <w:rPr>
          <w:rFonts w:eastAsia="Calibri"/>
        </w:rPr>
        <w:t>inhibitor</w:t>
      </w:r>
      <w:proofErr w:type="gramEnd"/>
    </w:p>
    <w:p w14:paraId="029B26AD" w14:textId="5FDFFC5F" w:rsidR="003A7B65" w:rsidRPr="0018386D" w:rsidRDefault="00114968" w:rsidP="00DD3106">
      <w:pPr>
        <w:pStyle w:val="Bullet"/>
        <w:rPr>
          <w:rFonts w:eastAsia="Calibri"/>
        </w:rPr>
      </w:pPr>
      <w:r w:rsidRPr="0018386D">
        <w:rPr>
          <w:rFonts w:eastAsia="Calibri"/>
        </w:rPr>
        <w:t xml:space="preserve">the nitrogen content of </w:t>
      </w:r>
      <w:r w:rsidR="001873EA" w:rsidRPr="0018386D">
        <w:rPr>
          <w:rFonts w:eastAsia="Calibri"/>
        </w:rPr>
        <w:t>u</w:t>
      </w:r>
      <w:r w:rsidR="003A7B65" w:rsidRPr="0018386D">
        <w:rPr>
          <w:rFonts w:eastAsia="Calibri"/>
        </w:rPr>
        <w:t xml:space="preserve">rea nitrogen fertiliser coated with urease </w:t>
      </w:r>
      <w:proofErr w:type="gramStart"/>
      <w:r w:rsidR="003A7B65" w:rsidRPr="0018386D">
        <w:rPr>
          <w:rFonts w:eastAsia="Calibri"/>
        </w:rPr>
        <w:t>inhibitor</w:t>
      </w:r>
      <w:proofErr w:type="gramEnd"/>
    </w:p>
    <w:p w14:paraId="3FAAA34F" w14:textId="0C4CE281" w:rsidR="003A7B65" w:rsidRPr="0018386D" w:rsidRDefault="001873EA" w:rsidP="00DD3106">
      <w:pPr>
        <w:pStyle w:val="Bullet"/>
        <w:rPr>
          <w:rFonts w:eastAsia="Calibri"/>
        </w:rPr>
      </w:pPr>
      <w:r w:rsidRPr="0018386D">
        <w:rPr>
          <w:rFonts w:eastAsia="Calibri"/>
        </w:rPr>
        <w:t>l</w:t>
      </w:r>
      <w:r w:rsidR="003A7B65" w:rsidRPr="0018386D">
        <w:rPr>
          <w:rFonts w:eastAsia="Calibri"/>
        </w:rPr>
        <w:t>imestone</w:t>
      </w:r>
    </w:p>
    <w:p w14:paraId="1640451D" w14:textId="44B0C7E8" w:rsidR="003A7B65" w:rsidRPr="0018386D" w:rsidRDefault="001873EA" w:rsidP="00DD3106">
      <w:pPr>
        <w:pStyle w:val="Bullet"/>
        <w:rPr>
          <w:rFonts w:eastAsia="Calibri"/>
        </w:rPr>
      </w:pPr>
      <w:r w:rsidRPr="0018386D">
        <w:rPr>
          <w:rFonts w:eastAsia="Calibri"/>
        </w:rPr>
        <w:t>d</w:t>
      </w:r>
      <w:r w:rsidR="003A7B65" w:rsidRPr="0018386D">
        <w:rPr>
          <w:rFonts w:eastAsia="Calibri"/>
        </w:rPr>
        <w:t>olomite</w:t>
      </w:r>
      <w:r w:rsidRPr="0018386D">
        <w:rPr>
          <w:rFonts w:eastAsia="Calibri"/>
        </w:rPr>
        <w:t>.</w:t>
      </w:r>
    </w:p>
    <w:p w14:paraId="5EF23471" w14:textId="0AB513BF" w:rsidR="003A7B65" w:rsidRPr="0018386D" w:rsidRDefault="003A7B65" w:rsidP="00DD3106">
      <w:pPr>
        <w:pStyle w:val="BodyText"/>
        <w:rPr>
          <w:color w:val="000000" w:themeColor="text1"/>
        </w:rPr>
      </w:pPr>
      <w:r w:rsidRPr="0018386D">
        <w:rPr>
          <w:color w:val="000000" w:themeColor="text1"/>
        </w:rPr>
        <w:t xml:space="preserve">In line with the reporting </w:t>
      </w:r>
      <w:r w:rsidRPr="0018386D">
        <w:t>requirements</w:t>
      </w:r>
      <w:r w:rsidRPr="0018386D">
        <w:rPr>
          <w:color w:val="000000" w:themeColor="text1"/>
        </w:rPr>
        <w:t xml:space="preserve"> of </w:t>
      </w:r>
      <w:hyperlink r:id="rId155">
        <w:r w:rsidRPr="0018386D">
          <w:rPr>
            <w:rStyle w:val="Hyperlink"/>
            <w:rFonts w:eastAsia="Calibri" w:cs="Calibri"/>
          </w:rPr>
          <w:t>ISO 14064-1</w:t>
        </w:r>
        <w:r w:rsidR="00A8360E" w:rsidRPr="0018386D">
          <w:rPr>
            <w:rStyle w:val="Hyperlink"/>
            <w:rFonts w:eastAsia="Calibri" w:cs="Calibri"/>
          </w:rPr>
          <w:t>:2018</w:t>
        </w:r>
      </w:hyperlink>
      <w:r w:rsidRPr="0018386D">
        <w:rPr>
          <w:color w:val="000000" w:themeColor="text1"/>
        </w:rPr>
        <w:t xml:space="preserve"> and th</w:t>
      </w:r>
      <w:r w:rsidRPr="0018386D">
        <w:t xml:space="preserve">e </w:t>
      </w:r>
      <w:hyperlink r:id="rId156" w:history="1">
        <w:r w:rsidRPr="0018386D">
          <w:rPr>
            <w:rStyle w:val="Hyperlink"/>
            <w:rFonts w:eastAsia="Calibri" w:cs="Calibri"/>
          </w:rPr>
          <w:t>GHG Protocol,</w:t>
        </w:r>
      </w:hyperlink>
      <w:r w:rsidRPr="0018386D">
        <w:rPr>
          <w:color w:val="000000" w:themeColor="text1"/>
        </w:rPr>
        <w:t xml:space="preserve"> </w:t>
      </w:r>
      <w:r w:rsidR="009706E4" w:rsidRPr="0018386D">
        <w:rPr>
          <w:color w:val="000000" w:themeColor="text1"/>
        </w:rPr>
        <w:t xml:space="preserve">we provide </w:t>
      </w:r>
      <w:r w:rsidR="007D5853" w:rsidRPr="0018386D">
        <w:rPr>
          <w:color w:val="000000" w:themeColor="text1"/>
        </w:rPr>
        <w:t>imp</w:t>
      </w:r>
      <w:r w:rsidR="007D5853" w:rsidRPr="0018386D">
        <w:t>l</w:t>
      </w:r>
      <w:r w:rsidR="007D5853" w:rsidRPr="0018386D">
        <w:rPr>
          <w:color w:val="000000" w:themeColor="text1"/>
        </w:rPr>
        <w:t>ied</w:t>
      </w:r>
      <w:r w:rsidR="009E2DD9" w:rsidRPr="0018386D">
        <w:rPr>
          <w:color w:val="000000" w:themeColor="text1"/>
        </w:rPr>
        <w:t xml:space="preserve"> </w:t>
      </w:r>
      <w:r w:rsidRPr="0018386D">
        <w:rPr>
          <w:color w:val="000000" w:themeColor="text1"/>
        </w:rPr>
        <w:t xml:space="preserve">emission factors to allow </w:t>
      </w:r>
      <w:r w:rsidR="00E603E1" w:rsidRPr="0018386D">
        <w:rPr>
          <w:color w:val="000000" w:themeColor="text1"/>
        </w:rPr>
        <w:t xml:space="preserve">separate </w:t>
      </w:r>
      <w:r w:rsidRPr="0018386D">
        <w:rPr>
          <w:color w:val="000000" w:themeColor="text1"/>
        </w:rPr>
        <w:t xml:space="preserve">calculation of </w:t>
      </w:r>
      <w:r w:rsidR="00303AA0" w:rsidRPr="0018386D">
        <w:rPr>
          <w:color w:val="000000" w:themeColor="text1"/>
        </w:rPr>
        <w:t>carbon dioxide</w:t>
      </w:r>
      <w:r w:rsidRPr="0018386D">
        <w:rPr>
          <w:color w:val="000000" w:themeColor="text1"/>
        </w:rPr>
        <w:t xml:space="preserve">, </w:t>
      </w:r>
      <w:r w:rsidR="00303AA0" w:rsidRPr="0018386D">
        <w:rPr>
          <w:color w:val="000000" w:themeColor="text1"/>
        </w:rPr>
        <w:t>methane</w:t>
      </w:r>
      <w:r w:rsidRPr="0018386D">
        <w:rPr>
          <w:color w:val="000000" w:themeColor="text1"/>
        </w:rPr>
        <w:t xml:space="preserve"> and </w:t>
      </w:r>
      <w:r w:rsidR="00303AA0" w:rsidRPr="0018386D">
        <w:rPr>
          <w:color w:val="000000" w:themeColor="text1"/>
        </w:rPr>
        <w:t>nitrous oxide</w:t>
      </w:r>
      <w:r w:rsidRPr="0018386D">
        <w:rPr>
          <w:color w:val="000000" w:themeColor="text1"/>
        </w:rPr>
        <w:t xml:space="preserve">. </w:t>
      </w:r>
      <w:hyperlink w:anchor="table91" w:history="1">
        <w:r w:rsidR="009F7FFC" w:rsidRPr="0018386D">
          <w:rPr>
            <w:rStyle w:val="Hyperlink"/>
            <w:rFonts w:eastAsia="Calibri" w:cs="Calibri"/>
          </w:rPr>
          <w:t xml:space="preserve">Table </w:t>
        </w:r>
        <w:r w:rsidR="00EE24CD" w:rsidRPr="0018386D">
          <w:rPr>
            <w:rStyle w:val="Hyperlink"/>
            <w:rFonts w:eastAsia="Calibri" w:cs="Calibri"/>
          </w:rPr>
          <w:t>9</w:t>
        </w:r>
        <w:r w:rsidR="00F126A7" w:rsidRPr="0018386D">
          <w:rPr>
            <w:rStyle w:val="Hyperlink"/>
            <w:rFonts w:eastAsia="Calibri" w:cs="Calibri"/>
          </w:rPr>
          <w:t>1</w:t>
        </w:r>
      </w:hyperlink>
      <w:r w:rsidR="00840156" w:rsidRPr="0018386D">
        <w:rPr>
          <w:color w:val="000000" w:themeColor="text1"/>
        </w:rPr>
        <w:t xml:space="preserve"> </w:t>
      </w:r>
      <w:r w:rsidR="00E603E1" w:rsidRPr="0018386D">
        <w:rPr>
          <w:color w:val="000000" w:themeColor="text1"/>
        </w:rPr>
        <w:t>list</w:t>
      </w:r>
      <w:r w:rsidR="00E603E1" w:rsidRPr="0018386D">
        <w:t xml:space="preserve">s </w:t>
      </w:r>
      <w:r w:rsidR="005205FF" w:rsidRPr="0018386D">
        <w:t xml:space="preserve">emissions from the use of different </w:t>
      </w:r>
      <w:r w:rsidR="7B893976" w:rsidRPr="0018386D">
        <w:t>fertiliser</w:t>
      </w:r>
      <w:r w:rsidR="3D029778" w:rsidRPr="0018386D">
        <w:t>s</w:t>
      </w:r>
      <w:r w:rsidR="00D502FC" w:rsidRPr="0018386D">
        <w:t>.</w:t>
      </w:r>
      <w:r w:rsidR="009F7FFC" w:rsidRPr="0018386D">
        <w:t xml:space="preserve"> </w:t>
      </w:r>
      <w:hyperlink w:anchor="table92" w:history="1">
        <w:r w:rsidR="00CB6B09" w:rsidRPr="0018386D">
          <w:rPr>
            <w:rStyle w:val="Hyperlink"/>
            <w:rFonts w:eastAsia="Calibri" w:cs="Calibri"/>
          </w:rPr>
          <w:t xml:space="preserve">Table </w:t>
        </w:r>
        <w:r w:rsidR="00EE24CD" w:rsidRPr="0018386D">
          <w:rPr>
            <w:rStyle w:val="Hyperlink"/>
            <w:rFonts w:eastAsia="Calibri" w:cs="Calibri"/>
          </w:rPr>
          <w:t>9</w:t>
        </w:r>
        <w:r w:rsidR="00F126A7" w:rsidRPr="0018386D">
          <w:rPr>
            <w:rStyle w:val="Hyperlink"/>
            <w:rFonts w:eastAsia="Calibri" w:cs="Calibri"/>
          </w:rPr>
          <w:t>2</w:t>
        </w:r>
      </w:hyperlink>
      <w:r w:rsidR="00CB6B09" w:rsidRPr="0018386D">
        <w:rPr>
          <w:color w:val="000000" w:themeColor="text1"/>
        </w:rPr>
        <w:t xml:space="preserve"> </w:t>
      </w:r>
      <w:r w:rsidR="001873EA" w:rsidRPr="0018386D">
        <w:rPr>
          <w:color w:val="000000" w:themeColor="text1"/>
        </w:rPr>
        <w:t xml:space="preserve">lists </w:t>
      </w:r>
      <w:r w:rsidR="00E603E1" w:rsidRPr="0018386D">
        <w:rPr>
          <w:color w:val="000000" w:themeColor="text1"/>
        </w:rPr>
        <w:t>example products for the different fertiliser types.</w:t>
      </w:r>
      <w:r w:rsidR="002F0DBF" w:rsidRPr="0018386D">
        <w:rPr>
          <w:color w:val="000000" w:themeColor="text1"/>
        </w:rPr>
        <w:t xml:space="preserve"> For the nitrogen fertilisers listed in </w:t>
      </w:r>
      <w:hyperlink w:anchor="table91" w:history="1">
        <w:r w:rsidR="002F0DBF" w:rsidRPr="0018386D">
          <w:rPr>
            <w:rStyle w:val="Hyperlink"/>
            <w:rFonts w:eastAsia="Calibri" w:cs="Calibri"/>
          </w:rPr>
          <w:t xml:space="preserve">table </w:t>
        </w:r>
        <w:r w:rsidR="00EE24CD" w:rsidRPr="0018386D">
          <w:rPr>
            <w:rStyle w:val="Hyperlink"/>
            <w:rFonts w:eastAsia="Calibri" w:cs="Calibri"/>
          </w:rPr>
          <w:t>9</w:t>
        </w:r>
        <w:r w:rsidR="00CF5052" w:rsidRPr="0018386D">
          <w:rPr>
            <w:rStyle w:val="Hyperlink"/>
            <w:rFonts w:eastAsia="Calibri" w:cs="Calibri"/>
          </w:rPr>
          <w:t>1</w:t>
        </w:r>
      </w:hyperlink>
      <w:r w:rsidR="00840156" w:rsidRPr="0018386D">
        <w:rPr>
          <w:color w:val="000000" w:themeColor="text1"/>
        </w:rPr>
        <w:t xml:space="preserve">, </w:t>
      </w:r>
      <w:r w:rsidR="002F0DBF" w:rsidRPr="0018386D">
        <w:rPr>
          <w:color w:val="000000" w:themeColor="text1"/>
        </w:rPr>
        <w:t xml:space="preserve">the input amounts are </w:t>
      </w:r>
      <w:r w:rsidR="00D005C5" w:rsidRPr="0018386D">
        <w:rPr>
          <w:color w:val="000000" w:themeColor="text1"/>
        </w:rPr>
        <w:t>expressed in terms of the nitrogen component of fertiliser only.</w:t>
      </w:r>
    </w:p>
    <w:p w14:paraId="5A1313C7" w14:textId="5FC33F41" w:rsidR="003A7B65" w:rsidRPr="0018386D" w:rsidRDefault="005B0BFB" w:rsidP="00DD3106">
      <w:pPr>
        <w:pStyle w:val="Tableheading"/>
      </w:pPr>
      <w:bookmarkStart w:id="954" w:name="table91"/>
      <w:bookmarkStart w:id="955" w:name="_Toc111536703"/>
      <w:bookmarkStart w:id="956" w:name="_Toc140049031"/>
      <w:r w:rsidRPr="0018386D">
        <w:t xml:space="preserve">Table </w:t>
      </w:r>
      <w:r w:rsidRPr="0018386D">
        <w:fldChar w:fldCharType="begin"/>
      </w:r>
      <w:r w:rsidRPr="0018386D">
        <w:instrText>SEQ Table \* ARABIC</w:instrText>
      </w:r>
      <w:r w:rsidRPr="0018386D">
        <w:fldChar w:fldCharType="separate"/>
      </w:r>
      <w:r w:rsidR="009A6CAA" w:rsidRPr="0018386D">
        <w:t>91</w:t>
      </w:r>
      <w:r w:rsidRPr="0018386D">
        <w:fldChar w:fldCharType="end"/>
      </w:r>
      <w:bookmarkEnd w:id="954"/>
      <w:r w:rsidRPr="0018386D">
        <w:t>:</w:t>
      </w:r>
      <w:r w:rsidRPr="0018386D">
        <w:tab/>
      </w:r>
      <w:r w:rsidR="003A7B65" w:rsidRPr="0018386D">
        <w:t>Fertiliser use emission factors</w:t>
      </w:r>
      <w:bookmarkEnd w:id="955"/>
      <w:bookmarkEnd w:id="956"/>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3024"/>
        <w:gridCol w:w="601"/>
        <w:gridCol w:w="1139"/>
        <w:gridCol w:w="1247"/>
        <w:gridCol w:w="1247"/>
        <w:gridCol w:w="1247"/>
      </w:tblGrid>
      <w:tr w:rsidR="008B010E" w:rsidRPr="0018386D" w14:paraId="65FF5B58" w14:textId="77777777" w:rsidTr="004A45C7">
        <w:trPr>
          <w:divId w:val="1310205041"/>
          <w:trHeight w:val="240"/>
        </w:trPr>
        <w:tc>
          <w:tcPr>
            <w:tcW w:w="3175" w:type="dxa"/>
            <w:shd w:val="clear" w:color="000000" w:fill="1B556B" w:themeFill="text2"/>
            <w:noWrap/>
            <w:vAlign w:val="bottom"/>
            <w:hideMark/>
          </w:tcPr>
          <w:p w14:paraId="09559385" w14:textId="63BB868A" w:rsidR="008E2ED2" w:rsidRPr="0018386D" w:rsidRDefault="008E2ED2" w:rsidP="00DD3106">
            <w:pPr>
              <w:pStyle w:val="TableTextbold"/>
              <w:keepNext/>
              <w:spacing w:before="40" w:after="40"/>
              <w:rPr>
                <w:color w:val="FFFFFF" w:themeColor="background1"/>
              </w:rPr>
            </w:pPr>
            <w:bookmarkStart w:id="957" w:name="_1746366947"/>
            <w:bookmarkStart w:id="958" w:name="_1745997875"/>
            <w:bookmarkStart w:id="959" w:name="_1746254121"/>
            <w:bookmarkStart w:id="960" w:name="_1747051312"/>
            <w:bookmarkEnd w:id="957"/>
            <w:bookmarkEnd w:id="958"/>
            <w:bookmarkEnd w:id="959"/>
            <w:bookmarkEnd w:id="960"/>
            <w:r w:rsidRPr="0018386D">
              <w:rPr>
                <w:color w:val="FFFFFF" w:themeColor="background1"/>
              </w:rPr>
              <w:t>Emission source</w:t>
            </w:r>
          </w:p>
        </w:tc>
        <w:tc>
          <w:tcPr>
            <w:tcW w:w="624" w:type="dxa"/>
            <w:shd w:val="clear" w:color="000000" w:fill="1B556B" w:themeFill="text2"/>
            <w:noWrap/>
            <w:vAlign w:val="bottom"/>
            <w:hideMark/>
          </w:tcPr>
          <w:p w14:paraId="3308FC48" w14:textId="77777777" w:rsidR="008E2ED2" w:rsidRPr="0018386D" w:rsidRDefault="008E2ED2" w:rsidP="00DD3106">
            <w:pPr>
              <w:pStyle w:val="TableTextbold"/>
              <w:keepNext/>
              <w:spacing w:before="40" w:after="40"/>
              <w:rPr>
                <w:color w:val="FFFFFF" w:themeColor="background1"/>
              </w:rPr>
            </w:pPr>
            <w:r w:rsidRPr="0018386D">
              <w:rPr>
                <w:color w:val="FFFFFF" w:themeColor="background1"/>
              </w:rPr>
              <w:t>Unit</w:t>
            </w:r>
          </w:p>
        </w:tc>
        <w:tc>
          <w:tcPr>
            <w:tcW w:w="1191" w:type="dxa"/>
            <w:shd w:val="clear" w:color="000000" w:fill="1B556B" w:themeFill="text2"/>
            <w:noWrap/>
            <w:vAlign w:val="bottom"/>
            <w:hideMark/>
          </w:tcPr>
          <w:p w14:paraId="7AC31B03" w14:textId="38462E6C" w:rsidR="008E2ED2" w:rsidRPr="0018386D" w:rsidRDefault="008E2ED2" w:rsidP="00DD3106">
            <w:pPr>
              <w:pStyle w:val="TableTextbold"/>
              <w:keepNext/>
              <w:spacing w:before="40" w:after="40"/>
              <w:rPr>
                <w:color w:val="FFFFFF" w:themeColor="background1"/>
              </w:rPr>
            </w:pPr>
            <w:r w:rsidRPr="0018386D">
              <w:rPr>
                <w:color w:val="FFFFFF" w:themeColor="background1"/>
              </w:rPr>
              <w:t>kg CO₂</w:t>
            </w:r>
            <w:r w:rsidRPr="0018386D">
              <w:rPr>
                <w:color w:val="FFFFFF" w:themeColor="background1"/>
              </w:rPr>
              <w:noBreakHyphen/>
              <w:t>e/</w:t>
            </w:r>
            <w:r w:rsidR="004A45C7" w:rsidRPr="0018386D">
              <w:rPr>
                <w:color w:val="FFFFFF" w:themeColor="background1"/>
              </w:rPr>
              <w:t xml:space="preserve"> </w:t>
            </w:r>
            <w:r w:rsidRPr="0018386D">
              <w:rPr>
                <w:color w:val="FFFFFF" w:themeColor="background1"/>
              </w:rPr>
              <w:t>unit</w:t>
            </w:r>
          </w:p>
        </w:tc>
        <w:tc>
          <w:tcPr>
            <w:tcW w:w="1304" w:type="dxa"/>
            <w:shd w:val="clear" w:color="000000" w:fill="1B556B" w:themeFill="text2"/>
            <w:noWrap/>
            <w:vAlign w:val="bottom"/>
            <w:hideMark/>
          </w:tcPr>
          <w:p w14:paraId="29F03F86" w14:textId="776FCA16" w:rsidR="008E2ED2" w:rsidRPr="0018386D" w:rsidRDefault="008E2ED2" w:rsidP="00DD3106">
            <w:pPr>
              <w:pStyle w:val="TableTextbold"/>
              <w:keepNext/>
              <w:spacing w:before="40" w:after="40"/>
              <w:rPr>
                <w:color w:val="FFFFFF" w:themeColor="background1"/>
              </w:rPr>
            </w:pPr>
            <w:r w:rsidRPr="0018386D">
              <w:rPr>
                <w:color w:val="FFFFFF" w:themeColor="background1"/>
              </w:rPr>
              <w:t>CO₂ (kg CO₂</w:t>
            </w:r>
            <w:r w:rsidRPr="0018386D">
              <w:rPr>
                <w:color w:val="FFFFFF" w:themeColor="background1"/>
              </w:rPr>
              <w:noBreakHyphen/>
              <w:t>e/</w:t>
            </w:r>
            <w:r w:rsidR="004A45C7" w:rsidRPr="0018386D">
              <w:rPr>
                <w:color w:val="FFFFFF" w:themeColor="background1"/>
              </w:rPr>
              <w:t xml:space="preserve"> </w:t>
            </w:r>
            <w:r w:rsidRPr="0018386D">
              <w:rPr>
                <w:color w:val="FFFFFF" w:themeColor="background1"/>
              </w:rPr>
              <w:t>unit)</w:t>
            </w:r>
          </w:p>
        </w:tc>
        <w:tc>
          <w:tcPr>
            <w:tcW w:w="1304" w:type="dxa"/>
            <w:shd w:val="clear" w:color="000000" w:fill="1B556B" w:themeFill="text2"/>
            <w:noWrap/>
            <w:vAlign w:val="bottom"/>
            <w:hideMark/>
          </w:tcPr>
          <w:p w14:paraId="00C1ADDB" w14:textId="16A89A91" w:rsidR="008E2ED2" w:rsidRPr="0018386D" w:rsidRDefault="008E2ED2" w:rsidP="00DD3106">
            <w:pPr>
              <w:pStyle w:val="TableTextbold"/>
              <w:keepNext/>
              <w:spacing w:before="40" w:after="40"/>
              <w:rPr>
                <w:color w:val="FFFFFF" w:themeColor="background1"/>
              </w:rPr>
            </w:pPr>
            <w:r w:rsidRPr="0018386D">
              <w:rPr>
                <w:color w:val="FFFFFF" w:themeColor="background1"/>
              </w:rPr>
              <w:t>CH₄ (kg CO₂-e/</w:t>
            </w:r>
            <w:r w:rsidR="004A45C7" w:rsidRPr="0018386D">
              <w:rPr>
                <w:color w:val="FFFFFF" w:themeColor="background1"/>
              </w:rPr>
              <w:t xml:space="preserve"> </w:t>
            </w:r>
            <w:r w:rsidRPr="0018386D">
              <w:rPr>
                <w:color w:val="FFFFFF" w:themeColor="background1"/>
              </w:rPr>
              <w:t>unit)</w:t>
            </w:r>
          </w:p>
        </w:tc>
        <w:tc>
          <w:tcPr>
            <w:tcW w:w="1304" w:type="dxa"/>
            <w:shd w:val="clear" w:color="000000" w:fill="1B556B" w:themeFill="text2"/>
            <w:noWrap/>
            <w:vAlign w:val="bottom"/>
            <w:hideMark/>
          </w:tcPr>
          <w:p w14:paraId="21376A8D" w14:textId="5D3E67CB" w:rsidR="008E2ED2" w:rsidRPr="0018386D" w:rsidRDefault="008E2ED2" w:rsidP="00DD3106">
            <w:pPr>
              <w:pStyle w:val="TableTextbold"/>
              <w:keepNext/>
              <w:spacing w:before="40" w:after="40"/>
              <w:rPr>
                <w:color w:val="FFFFFF" w:themeColor="background1"/>
              </w:rPr>
            </w:pPr>
            <w:r w:rsidRPr="0018386D">
              <w:rPr>
                <w:color w:val="FFFFFF" w:themeColor="background1"/>
              </w:rPr>
              <w:t>N₂O (kg CO₂-e/</w:t>
            </w:r>
            <w:r w:rsidR="004A45C7" w:rsidRPr="0018386D">
              <w:rPr>
                <w:color w:val="FFFFFF" w:themeColor="background1"/>
              </w:rPr>
              <w:t xml:space="preserve"> </w:t>
            </w:r>
            <w:r w:rsidRPr="0018386D">
              <w:rPr>
                <w:color w:val="FFFFFF" w:themeColor="background1"/>
              </w:rPr>
              <w:t>unit)</w:t>
            </w:r>
          </w:p>
        </w:tc>
      </w:tr>
      <w:tr w:rsidR="004A45C7" w:rsidRPr="0018386D" w14:paraId="5EAD7EBA" w14:textId="77777777" w:rsidTr="004A45C7">
        <w:trPr>
          <w:divId w:val="1310205041"/>
          <w:trHeight w:val="240"/>
        </w:trPr>
        <w:tc>
          <w:tcPr>
            <w:tcW w:w="3175" w:type="dxa"/>
            <w:shd w:val="clear" w:color="000000" w:fill="D2DDE1"/>
            <w:noWrap/>
            <w:hideMark/>
          </w:tcPr>
          <w:p w14:paraId="10602630" w14:textId="6723D560" w:rsidR="008E2ED2" w:rsidRPr="0018386D" w:rsidRDefault="008E2ED2" w:rsidP="00DD3106">
            <w:pPr>
              <w:pStyle w:val="TableTextbold"/>
              <w:keepNext/>
              <w:spacing w:before="40" w:after="40"/>
              <w:rPr>
                <w:color w:val="000000"/>
              </w:rPr>
            </w:pPr>
            <w:r w:rsidRPr="0018386D">
              <w:rPr>
                <w:color w:val="000000"/>
              </w:rPr>
              <w:t xml:space="preserve">Fertiliser </w:t>
            </w:r>
            <w:r w:rsidR="0070282F" w:rsidRPr="0018386D">
              <w:rPr>
                <w:color w:val="000000"/>
              </w:rPr>
              <w:t>u</w:t>
            </w:r>
            <w:r w:rsidRPr="0018386D">
              <w:rPr>
                <w:color w:val="000000"/>
              </w:rPr>
              <w:t>se</w:t>
            </w:r>
          </w:p>
        </w:tc>
        <w:tc>
          <w:tcPr>
            <w:tcW w:w="624" w:type="dxa"/>
            <w:shd w:val="clear" w:color="000000" w:fill="D2DDE1"/>
            <w:noWrap/>
            <w:hideMark/>
          </w:tcPr>
          <w:p w14:paraId="53A5A7C0" w14:textId="77777777" w:rsidR="008E2ED2" w:rsidRPr="0018386D" w:rsidRDefault="008E2ED2" w:rsidP="00DD3106">
            <w:pPr>
              <w:pStyle w:val="TableTextbold"/>
              <w:keepNext/>
              <w:spacing w:before="40" w:after="40"/>
              <w:rPr>
                <w:color w:val="000000"/>
              </w:rPr>
            </w:pPr>
            <w:r w:rsidRPr="0018386D">
              <w:rPr>
                <w:color w:val="000000"/>
              </w:rPr>
              <w:t> </w:t>
            </w:r>
          </w:p>
        </w:tc>
        <w:tc>
          <w:tcPr>
            <w:tcW w:w="1191" w:type="dxa"/>
            <w:shd w:val="clear" w:color="000000" w:fill="D2DDE1"/>
            <w:noWrap/>
            <w:hideMark/>
          </w:tcPr>
          <w:p w14:paraId="15213FF4" w14:textId="77777777" w:rsidR="008E2ED2" w:rsidRPr="0018386D" w:rsidRDefault="008E2ED2" w:rsidP="00DD3106">
            <w:pPr>
              <w:pStyle w:val="TableTextbold"/>
              <w:keepNext/>
              <w:spacing w:before="40" w:after="40"/>
              <w:rPr>
                <w:color w:val="000000"/>
              </w:rPr>
            </w:pPr>
            <w:r w:rsidRPr="0018386D">
              <w:rPr>
                <w:color w:val="000000"/>
              </w:rPr>
              <w:t> </w:t>
            </w:r>
          </w:p>
        </w:tc>
        <w:tc>
          <w:tcPr>
            <w:tcW w:w="1304" w:type="dxa"/>
            <w:shd w:val="clear" w:color="000000" w:fill="D2DDE1"/>
            <w:noWrap/>
            <w:hideMark/>
          </w:tcPr>
          <w:p w14:paraId="379F26E4" w14:textId="77777777" w:rsidR="008E2ED2" w:rsidRPr="0018386D" w:rsidRDefault="008E2ED2" w:rsidP="00DD3106">
            <w:pPr>
              <w:pStyle w:val="TableTextbold"/>
              <w:keepNext/>
              <w:spacing w:before="40" w:after="40"/>
              <w:rPr>
                <w:color w:val="000000"/>
              </w:rPr>
            </w:pPr>
            <w:r w:rsidRPr="0018386D">
              <w:rPr>
                <w:color w:val="000000"/>
              </w:rPr>
              <w:t> </w:t>
            </w:r>
          </w:p>
        </w:tc>
        <w:tc>
          <w:tcPr>
            <w:tcW w:w="1304" w:type="dxa"/>
            <w:shd w:val="clear" w:color="000000" w:fill="D2DDE1"/>
            <w:noWrap/>
            <w:hideMark/>
          </w:tcPr>
          <w:p w14:paraId="6FA3DBF5" w14:textId="77777777" w:rsidR="008E2ED2" w:rsidRPr="0018386D" w:rsidRDefault="008E2ED2" w:rsidP="00DD3106">
            <w:pPr>
              <w:pStyle w:val="TableTextbold"/>
              <w:keepNext/>
              <w:spacing w:before="40" w:after="40"/>
              <w:rPr>
                <w:color w:val="000000"/>
              </w:rPr>
            </w:pPr>
            <w:r w:rsidRPr="0018386D">
              <w:rPr>
                <w:color w:val="000000"/>
              </w:rPr>
              <w:t> </w:t>
            </w:r>
          </w:p>
        </w:tc>
        <w:tc>
          <w:tcPr>
            <w:tcW w:w="1304" w:type="dxa"/>
            <w:shd w:val="clear" w:color="000000" w:fill="D2DDE1"/>
            <w:noWrap/>
            <w:hideMark/>
          </w:tcPr>
          <w:p w14:paraId="7C3A2BC1" w14:textId="77777777" w:rsidR="008E2ED2" w:rsidRPr="0018386D" w:rsidRDefault="008E2ED2" w:rsidP="00DD3106">
            <w:pPr>
              <w:pStyle w:val="TableTextbold"/>
              <w:keepNext/>
              <w:spacing w:before="40" w:after="40"/>
              <w:rPr>
                <w:color w:val="000000"/>
              </w:rPr>
            </w:pPr>
            <w:r w:rsidRPr="0018386D">
              <w:rPr>
                <w:color w:val="000000"/>
              </w:rPr>
              <w:t> </w:t>
            </w:r>
          </w:p>
        </w:tc>
      </w:tr>
      <w:tr w:rsidR="004A45C7" w:rsidRPr="0018386D" w14:paraId="1EE2C29A" w14:textId="77777777" w:rsidTr="004A45C7">
        <w:trPr>
          <w:divId w:val="1310205041"/>
          <w:trHeight w:val="240"/>
        </w:trPr>
        <w:tc>
          <w:tcPr>
            <w:tcW w:w="3175" w:type="dxa"/>
            <w:shd w:val="clear" w:color="000000" w:fill="FFFFFF"/>
            <w:noWrap/>
            <w:hideMark/>
          </w:tcPr>
          <w:p w14:paraId="62D45657" w14:textId="7C505CFE" w:rsidR="00A94C3E" w:rsidRPr="0018386D" w:rsidRDefault="00A94C3E" w:rsidP="00DD3106">
            <w:pPr>
              <w:pStyle w:val="TableText"/>
              <w:keepNext/>
              <w:spacing w:before="40" w:after="40"/>
            </w:pPr>
            <w:r w:rsidRPr="0018386D">
              <w:t>Nitrogen content of non-urea nitrogen fertiliser</w:t>
            </w:r>
          </w:p>
        </w:tc>
        <w:tc>
          <w:tcPr>
            <w:tcW w:w="624" w:type="dxa"/>
            <w:shd w:val="clear" w:color="000000" w:fill="FFFFFF"/>
            <w:noWrap/>
            <w:hideMark/>
          </w:tcPr>
          <w:p w14:paraId="07014591" w14:textId="77777777" w:rsidR="00A94C3E" w:rsidRPr="0018386D" w:rsidRDefault="00A94C3E" w:rsidP="00DD3106">
            <w:pPr>
              <w:pStyle w:val="TableText"/>
              <w:keepNext/>
              <w:spacing w:before="40" w:after="40"/>
            </w:pPr>
            <w:r w:rsidRPr="0018386D">
              <w:t>kg N</w:t>
            </w:r>
          </w:p>
        </w:tc>
        <w:tc>
          <w:tcPr>
            <w:tcW w:w="1191" w:type="dxa"/>
            <w:shd w:val="clear" w:color="000000" w:fill="D2DDE1"/>
            <w:noWrap/>
            <w:hideMark/>
          </w:tcPr>
          <w:p w14:paraId="56D67CC1" w14:textId="21F0DE96" w:rsidR="00A94C3E" w:rsidRPr="0018386D" w:rsidRDefault="00A94C3E" w:rsidP="00DD3106">
            <w:pPr>
              <w:pStyle w:val="TableText"/>
              <w:keepNext/>
              <w:spacing w:before="40" w:after="40"/>
            </w:pPr>
            <w:r w:rsidRPr="0018386D">
              <w:t>4.80</w:t>
            </w:r>
          </w:p>
        </w:tc>
        <w:tc>
          <w:tcPr>
            <w:tcW w:w="1304" w:type="dxa"/>
            <w:shd w:val="clear" w:color="000000" w:fill="FFFFFF"/>
            <w:noWrap/>
            <w:hideMark/>
          </w:tcPr>
          <w:p w14:paraId="7D7CD0FA" w14:textId="77777777" w:rsidR="00A94C3E" w:rsidRPr="0018386D" w:rsidRDefault="00A94C3E" w:rsidP="00DD3106">
            <w:pPr>
              <w:pStyle w:val="TableText"/>
              <w:keepNext/>
              <w:spacing w:before="40" w:after="40"/>
            </w:pPr>
            <w:r w:rsidRPr="0018386D">
              <w:t>n/a</w:t>
            </w:r>
          </w:p>
        </w:tc>
        <w:tc>
          <w:tcPr>
            <w:tcW w:w="1304" w:type="dxa"/>
            <w:shd w:val="clear" w:color="000000" w:fill="FFFFFF"/>
            <w:noWrap/>
            <w:hideMark/>
          </w:tcPr>
          <w:p w14:paraId="3869F0FF" w14:textId="77777777" w:rsidR="00A94C3E" w:rsidRPr="0018386D" w:rsidRDefault="00A94C3E" w:rsidP="00DD3106">
            <w:pPr>
              <w:pStyle w:val="TableText"/>
              <w:keepNext/>
              <w:spacing w:before="40" w:after="40"/>
            </w:pPr>
            <w:r w:rsidRPr="0018386D">
              <w:t>n/a</w:t>
            </w:r>
          </w:p>
        </w:tc>
        <w:tc>
          <w:tcPr>
            <w:tcW w:w="1304" w:type="dxa"/>
            <w:shd w:val="clear" w:color="000000" w:fill="FFFFFF"/>
            <w:noWrap/>
            <w:hideMark/>
          </w:tcPr>
          <w:p w14:paraId="534F28F3" w14:textId="4F6E9771" w:rsidR="00A94C3E" w:rsidRPr="0018386D" w:rsidRDefault="00A94C3E" w:rsidP="00DD3106">
            <w:pPr>
              <w:pStyle w:val="TableText"/>
              <w:keepNext/>
              <w:spacing w:before="40" w:after="40"/>
            </w:pPr>
            <w:r w:rsidRPr="0018386D">
              <w:t>4.80</w:t>
            </w:r>
          </w:p>
        </w:tc>
      </w:tr>
      <w:tr w:rsidR="004A45C7" w:rsidRPr="0018386D" w14:paraId="66934DDB" w14:textId="77777777" w:rsidTr="004A45C7">
        <w:trPr>
          <w:divId w:val="1310205041"/>
          <w:trHeight w:val="240"/>
        </w:trPr>
        <w:tc>
          <w:tcPr>
            <w:tcW w:w="3175" w:type="dxa"/>
            <w:shd w:val="clear" w:color="000000" w:fill="FFFFFF"/>
            <w:noWrap/>
            <w:hideMark/>
          </w:tcPr>
          <w:p w14:paraId="334AB222" w14:textId="77777777" w:rsidR="00A94C3E" w:rsidRPr="0018386D" w:rsidRDefault="00A94C3E" w:rsidP="00DD3106">
            <w:pPr>
              <w:pStyle w:val="TableText"/>
              <w:spacing w:before="40" w:after="40"/>
            </w:pPr>
            <w:r w:rsidRPr="0018386D">
              <w:t>Nitrogen content of urea nitrogen fertiliser not coated with urease inhibitor</w:t>
            </w:r>
          </w:p>
        </w:tc>
        <w:tc>
          <w:tcPr>
            <w:tcW w:w="624" w:type="dxa"/>
            <w:shd w:val="clear" w:color="000000" w:fill="FFFFFF"/>
            <w:noWrap/>
            <w:hideMark/>
          </w:tcPr>
          <w:p w14:paraId="53A08BC8" w14:textId="77777777" w:rsidR="00A94C3E" w:rsidRPr="0018386D" w:rsidRDefault="00A94C3E" w:rsidP="00DD3106">
            <w:pPr>
              <w:pStyle w:val="TableText"/>
              <w:spacing w:before="40" w:after="40"/>
            </w:pPr>
            <w:r w:rsidRPr="0018386D">
              <w:t>kg N</w:t>
            </w:r>
          </w:p>
        </w:tc>
        <w:tc>
          <w:tcPr>
            <w:tcW w:w="1191" w:type="dxa"/>
            <w:shd w:val="clear" w:color="000000" w:fill="D2DDE1"/>
            <w:noWrap/>
            <w:hideMark/>
          </w:tcPr>
          <w:p w14:paraId="511F51CB" w14:textId="01672E45" w:rsidR="00A94C3E" w:rsidRPr="0018386D" w:rsidRDefault="00A94C3E" w:rsidP="00DD3106">
            <w:pPr>
              <w:pStyle w:val="TableText"/>
              <w:spacing w:before="40" w:after="40"/>
            </w:pPr>
            <w:r w:rsidRPr="0018386D">
              <w:t>4.69</w:t>
            </w:r>
          </w:p>
        </w:tc>
        <w:tc>
          <w:tcPr>
            <w:tcW w:w="1304" w:type="dxa"/>
            <w:shd w:val="clear" w:color="000000" w:fill="FFFFFF"/>
            <w:noWrap/>
            <w:hideMark/>
          </w:tcPr>
          <w:p w14:paraId="3991C64B" w14:textId="77777777" w:rsidR="00A94C3E" w:rsidRPr="0018386D" w:rsidRDefault="00A94C3E" w:rsidP="00DD3106">
            <w:pPr>
              <w:pStyle w:val="TableText"/>
              <w:spacing w:before="40" w:after="40"/>
            </w:pPr>
            <w:r w:rsidRPr="0018386D">
              <w:t>1.59</w:t>
            </w:r>
          </w:p>
        </w:tc>
        <w:tc>
          <w:tcPr>
            <w:tcW w:w="1304" w:type="dxa"/>
            <w:shd w:val="clear" w:color="000000" w:fill="FFFFFF"/>
            <w:noWrap/>
            <w:hideMark/>
          </w:tcPr>
          <w:p w14:paraId="2870F427" w14:textId="77777777" w:rsidR="00A94C3E" w:rsidRPr="0018386D" w:rsidRDefault="00A94C3E" w:rsidP="00DD3106">
            <w:pPr>
              <w:pStyle w:val="TableText"/>
              <w:spacing w:before="40" w:after="40"/>
            </w:pPr>
            <w:r w:rsidRPr="0018386D">
              <w:t>n/a</w:t>
            </w:r>
          </w:p>
        </w:tc>
        <w:tc>
          <w:tcPr>
            <w:tcW w:w="1304" w:type="dxa"/>
            <w:shd w:val="clear" w:color="000000" w:fill="FFFFFF"/>
            <w:noWrap/>
            <w:hideMark/>
          </w:tcPr>
          <w:p w14:paraId="10534BE5" w14:textId="6E66C184" w:rsidR="00A94C3E" w:rsidRPr="0018386D" w:rsidRDefault="00A94C3E" w:rsidP="00DD3106">
            <w:pPr>
              <w:pStyle w:val="TableText"/>
              <w:spacing w:before="40" w:after="40"/>
            </w:pPr>
            <w:r w:rsidRPr="0018386D">
              <w:t>3.09</w:t>
            </w:r>
          </w:p>
        </w:tc>
      </w:tr>
      <w:tr w:rsidR="004A45C7" w:rsidRPr="0018386D" w14:paraId="788B5B22" w14:textId="77777777" w:rsidTr="004A45C7">
        <w:trPr>
          <w:divId w:val="1310205041"/>
          <w:trHeight w:val="240"/>
        </w:trPr>
        <w:tc>
          <w:tcPr>
            <w:tcW w:w="3175" w:type="dxa"/>
            <w:shd w:val="clear" w:color="000000" w:fill="FFFFFF"/>
            <w:noWrap/>
            <w:hideMark/>
          </w:tcPr>
          <w:p w14:paraId="33B5EC95" w14:textId="77777777" w:rsidR="00A94C3E" w:rsidRPr="0018386D" w:rsidRDefault="00A94C3E" w:rsidP="00DD3106">
            <w:pPr>
              <w:pStyle w:val="TableText"/>
              <w:spacing w:before="40" w:after="40"/>
            </w:pPr>
            <w:r w:rsidRPr="0018386D">
              <w:t>Nitrogen content of urea nitrogen fertiliser coated with urease inhibitor</w:t>
            </w:r>
          </w:p>
        </w:tc>
        <w:tc>
          <w:tcPr>
            <w:tcW w:w="624" w:type="dxa"/>
            <w:shd w:val="clear" w:color="000000" w:fill="FFFFFF"/>
            <w:noWrap/>
            <w:hideMark/>
          </w:tcPr>
          <w:p w14:paraId="6541ECBD" w14:textId="77777777" w:rsidR="00A94C3E" w:rsidRPr="0018386D" w:rsidRDefault="00A94C3E" w:rsidP="00DD3106">
            <w:pPr>
              <w:pStyle w:val="TableText"/>
              <w:spacing w:before="40" w:after="40"/>
            </w:pPr>
            <w:r w:rsidRPr="0018386D">
              <w:t>kg N</w:t>
            </w:r>
          </w:p>
        </w:tc>
        <w:tc>
          <w:tcPr>
            <w:tcW w:w="1191" w:type="dxa"/>
            <w:shd w:val="clear" w:color="000000" w:fill="D2DDE1"/>
            <w:noWrap/>
            <w:hideMark/>
          </w:tcPr>
          <w:p w14:paraId="2D23FBFB" w14:textId="1534272F" w:rsidR="00A94C3E" w:rsidRPr="0018386D" w:rsidRDefault="00A94C3E" w:rsidP="00DD3106">
            <w:pPr>
              <w:pStyle w:val="TableText"/>
              <w:spacing w:before="40" w:after="40"/>
            </w:pPr>
            <w:r w:rsidRPr="0018386D">
              <w:t>4.50</w:t>
            </w:r>
          </w:p>
        </w:tc>
        <w:tc>
          <w:tcPr>
            <w:tcW w:w="1304" w:type="dxa"/>
            <w:shd w:val="clear" w:color="000000" w:fill="FFFFFF"/>
            <w:noWrap/>
            <w:hideMark/>
          </w:tcPr>
          <w:p w14:paraId="5886A68C" w14:textId="77777777" w:rsidR="00A94C3E" w:rsidRPr="0018386D" w:rsidRDefault="00A94C3E" w:rsidP="00DD3106">
            <w:pPr>
              <w:pStyle w:val="TableText"/>
              <w:spacing w:before="40" w:after="40"/>
            </w:pPr>
            <w:r w:rsidRPr="0018386D">
              <w:t>1.59</w:t>
            </w:r>
          </w:p>
        </w:tc>
        <w:tc>
          <w:tcPr>
            <w:tcW w:w="1304" w:type="dxa"/>
            <w:shd w:val="clear" w:color="000000" w:fill="FFFFFF"/>
            <w:noWrap/>
            <w:hideMark/>
          </w:tcPr>
          <w:p w14:paraId="40B024F2" w14:textId="77777777" w:rsidR="00A94C3E" w:rsidRPr="0018386D" w:rsidRDefault="00A94C3E" w:rsidP="00DD3106">
            <w:pPr>
              <w:pStyle w:val="TableText"/>
              <w:spacing w:before="40" w:after="40"/>
            </w:pPr>
            <w:r w:rsidRPr="0018386D">
              <w:t>n/a</w:t>
            </w:r>
          </w:p>
        </w:tc>
        <w:tc>
          <w:tcPr>
            <w:tcW w:w="1304" w:type="dxa"/>
            <w:shd w:val="clear" w:color="000000" w:fill="FFFFFF"/>
            <w:noWrap/>
            <w:hideMark/>
          </w:tcPr>
          <w:p w14:paraId="40863AD2" w14:textId="1E931FA8" w:rsidR="00A94C3E" w:rsidRPr="0018386D" w:rsidRDefault="00A94C3E" w:rsidP="00DD3106">
            <w:pPr>
              <w:pStyle w:val="TableText"/>
              <w:spacing w:before="40" w:after="40"/>
            </w:pPr>
            <w:r w:rsidRPr="0018386D">
              <w:t>2.90</w:t>
            </w:r>
          </w:p>
        </w:tc>
      </w:tr>
      <w:tr w:rsidR="004A45C7" w:rsidRPr="0018386D" w14:paraId="39479449" w14:textId="77777777" w:rsidTr="004A45C7">
        <w:trPr>
          <w:divId w:val="1310205041"/>
          <w:trHeight w:val="240"/>
        </w:trPr>
        <w:tc>
          <w:tcPr>
            <w:tcW w:w="3175" w:type="dxa"/>
            <w:shd w:val="clear" w:color="000000" w:fill="FFFFFF"/>
            <w:noWrap/>
            <w:hideMark/>
          </w:tcPr>
          <w:p w14:paraId="06691C82" w14:textId="77777777" w:rsidR="00A94C3E" w:rsidRPr="0018386D" w:rsidRDefault="00A94C3E" w:rsidP="00DD3106">
            <w:pPr>
              <w:pStyle w:val="TableText"/>
              <w:spacing w:before="40" w:after="40"/>
            </w:pPr>
            <w:r w:rsidRPr="0018386D">
              <w:t>Limestone</w:t>
            </w:r>
          </w:p>
        </w:tc>
        <w:tc>
          <w:tcPr>
            <w:tcW w:w="624" w:type="dxa"/>
            <w:shd w:val="clear" w:color="000000" w:fill="FFFFFF"/>
            <w:noWrap/>
            <w:hideMark/>
          </w:tcPr>
          <w:p w14:paraId="09776C9D" w14:textId="77777777" w:rsidR="00A94C3E" w:rsidRPr="0018386D" w:rsidRDefault="00A94C3E" w:rsidP="00DD3106">
            <w:pPr>
              <w:pStyle w:val="TableText"/>
              <w:spacing w:before="40" w:after="40"/>
            </w:pPr>
            <w:r w:rsidRPr="0018386D">
              <w:t>kg</w:t>
            </w:r>
          </w:p>
        </w:tc>
        <w:tc>
          <w:tcPr>
            <w:tcW w:w="1191" w:type="dxa"/>
            <w:shd w:val="clear" w:color="000000" w:fill="D2DDE1"/>
            <w:noWrap/>
            <w:hideMark/>
          </w:tcPr>
          <w:p w14:paraId="458E7E27" w14:textId="77777777" w:rsidR="00A94C3E" w:rsidRPr="0018386D" w:rsidRDefault="00A94C3E" w:rsidP="00DD3106">
            <w:pPr>
              <w:pStyle w:val="TableText"/>
              <w:spacing w:before="40" w:after="40"/>
            </w:pPr>
            <w:r w:rsidRPr="0018386D">
              <w:t>0.440</w:t>
            </w:r>
          </w:p>
        </w:tc>
        <w:tc>
          <w:tcPr>
            <w:tcW w:w="1304" w:type="dxa"/>
            <w:shd w:val="clear" w:color="000000" w:fill="FFFFFF"/>
            <w:noWrap/>
            <w:hideMark/>
          </w:tcPr>
          <w:p w14:paraId="068A8413" w14:textId="77777777" w:rsidR="00A94C3E" w:rsidRPr="0018386D" w:rsidRDefault="00A94C3E" w:rsidP="00DD3106">
            <w:pPr>
              <w:pStyle w:val="TableText"/>
              <w:spacing w:before="40" w:after="40"/>
            </w:pPr>
            <w:r w:rsidRPr="0018386D">
              <w:t>0.440</w:t>
            </w:r>
          </w:p>
        </w:tc>
        <w:tc>
          <w:tcPr>
            <w:tcW w:w="1304" w:type="dxa"/>
            <w:shd w:val="clear" w:color="000000" w:fill="FFFFFF"/>
            <w:noWrap/>
            <w:hideMark/>
          </w:tcPr>
          <w:p w14:paraId="0AF98195" w14:textId="77777777" w:rsidR="00A94C3E" w:rsidRPr="0018386D" w:rsidRDefault="00A94C3E" w:rsidP="00DD3106">
            <w:pPr>
              <w:pStyle w:val="TableText"/>
              <w:spacing w:before="40" w:after="40"/>
            </w:pPr>
            <w:r w:rsidRPr="0018386D">
              <w:t>n/a</w:t>
            </w:r>
          </w:p>
        </w:tc>
        <w:tc>
          <w:tcPr>
            <w:tcW w:w="1304" w:type="dxa"/>
            <w:shd w:val="clear" w:color="000000" w:fill="FFFFFF"/>
            <w:noWrap/>
            <w:hideMark/>
          </w:tcPr>
          <w:p w14:paraId="20ECD8D8" w14:textId="77777777" w:rsidR="00A94C3E" w:rsidRPr="0018386D" w:rsidRDefault="00A94C3E" w:rsidP="00DD3106">
            <w:pPr>
              <w:pStyle w:val="TableText"/>
              <w:spacing w:before="40" w:after="40"/>
            </w:pPr>
            <w:r w:rsidRPr="0018386D">
              <w:t>n/a</w:t>
            </w:r>
          </w:p>
        </w:tc>
      </w:tr>
      <w:tr w:rsidR="004A45C7" w:rsidRPr="0018386D" w14:paraId="0CE8B292" w14:textId="77777777" w:rsidTr="004A45C7">
        <w:trPr>
          <w:divId w:val="1310205041"/>
          <w:trHeight w:val="240"/>
        </w:trPr>
        <w:tc>
          <w:tcPr>
            <w:tcW w:w="3175" w:type="dxa"/>
            <w:shd w:val="clear" w:color="000000" w:fill="FFFFFF"/>
            <w:noWrap/>
            <w:hideMark/>
          </w:tcPr>
          <w:p w14:paraId="0BBF241A" w14:textId="77777777" w:rsidR="00A94C3E" w:rsidRPr="0018386D" w:rsidRDefault="00A94C3E" w:rsidP="00DD3106">
            <w:pPr>
              <w:pStyle w:val="TableText"/>
              <w:spacing w:before="40" w:after="40"/>
            </w:pPr>
            <w:r w:rsidRPr="0018386D">
              <w:t>Dolomite</w:t>
            </w:r>
          </w:p>
        </w:tc>
        <w:tc>
          <w:tcPr>
            <w:tcW w:w="624" w:type="dxa"/>
            <w:shd w:val="clear" w:color="000000" w:fill="FFFFFF"/>
            <w:noWrap/>
            <w:hideMark/>
          </w:tcPr>
          <w:p w14:paraId="3ED8B277" w14:textId="77777777" w:rsidR="00A94C3E" w:rsidRPr="0018386D" w:rsidRDefault="00A94C3E" w:rsidP="00DD3106">
            <w:pPr>
              <w:pStyle w:val="TableText"/>
              <w:spacing w:before="40" w:after="40"/>
            </w:pPr>
            <w:r w:rsidRPr="0018386D">
              <w:t>kg</w:t>
            </w:r>
          </w:p>
        </w:tc>
        <w:tc>
          <w:tcPr>
            <w:tcW w:w="1191" w:type="dxa"/>
            <w:shd w:val="clear" w:color="000000" w:fill="D2DDE1"/>
            <w:noWrap/>
            <w:hideMark/>
          </w:tcPr>
          <w:p w14:paraId="1A4361D7" w14:textId="77777777" w:rsidR="00A94C3E" w:rsidRPr="0018386D" w:rsidRDefault="00A94C3E" w:rsidP="00DD3106">
            <w:pPr>
              <w:pStyle w:val="TableText"/>
              <w:spacing w:before="40" w:after="40"/>
            </w:pPr>
            <w:r w:rsidRPr="0018386D">
              <w:t>0.477</w:t>
            </w:r>
          </w:p>
        </w:tc>
        <w:tc>
          <w:tcPr>
            <w:tcW w:w="1304" w:type="dxa"/>
            <w:shd w:val="clear" w:color="000000" w:fill="FFFFFF"/>
            <w:noWrap/>
            <w:hideMark/>
          </w:tcPr>
          <w:p w14:paraId="260D2A15" w14:textId="77777777" w:rsidR="00A94C3E" w:rsidRPr="0018386D" w:rsidRDefault="00A94C3E" w:rsidP="00DD3106">
            <w:pPr>
              <w:pStyle w:val="TableText"/>
              <w:spacing w:before="40" w:after="40"/>
            </w:pPr>
            <w:r w:rsidRPr="0018386D">
              <w:t>0.477</w:t>
            </w:r>
          </w:p>
        </w:tc>
        <w:tc>
          <w:tcPr>
            <w:tcW w:w="1304" w:type="dxa"/>
            <w:shd w:val="clear" w:color="000000" w:fill="FFFFFF"/>
            <w:noWrap/>
            <w:hideMark/>
          </w:tcPr>
          <w:p w14:paraId="62142B36" w14:textId="77777777" w:rsidR="00A94C3E" w:rsidRPr="0018386D" w:rsidRDefault="00A94C3E" w:rsidP="00DD3106">
            <w:pPr>
              <w:pStyle w:val="TableText"/>
              <w:spacing w:before="40" w:after="40"/>
            </w:pPr>
            <w:r w:rsidRPr="0018386D">
              <w:t>n/a</w:t>
            </w:r>
          </w:p>
        </w:tc>
        <w:tc>
          <w:tcPr>
            <w:tcW w:w="1304" w:type="dxa"/>
            <w:shd w:val="clear" w:color="000000" w:fill="FFFFFF"/>
            <w:noWrap/>
            <w:hideMark/>
          </w:tcPr>
          <w:p w14:paraId="3ACAB0AD" w14:textId="77777777" w:rsidR="00A94C3E" w:rsidRPr="0018386D" w:rsidRDefault="00A94C3E" w:rsidP="00DD3106">
            <w:pPr>
              <w:pStyle w:val="TableText"/>
              <w:spacing w:before="40" w:after="40"/>
            </w:pPr>
            <w:r w:rsidRPr="0018386D">
              <w:t>n/a</w:t>
            </w:r>
          </w:p>
        </w:tc>
      </w:tr>
    </w:tbl>
    <w:p w14:paraId="711B797B" w14:textId="0B9E5317" w:rsidR="00E603E1" w:rsidRPr="0018386D" w:rsidRDefault="00E603E1" w:rsidP="00DD3106">
      <w:pPr>
        <w:pStyle w:val="Note"/>
        <w:spacing w:after="0"/>
      </w:pPr>
      <w:r w:rsidRPr="0018386D">
        <w:rPr>
          <w:b/>
          <w:bCs/>
        </w:rPr>
        <w:t>Note</w:t>
      </w:r>
      <w:r w:rsidR="0025058F" w:rsidRPr="0018386D">
        <w:rPr>
          <w:b/>
          <w:bCs/>
        </w:rPr>
        <w:t>:</w:t>
      </w:r>
      <w:r w:rsidR="0025058F" w:rsidRPr="0018386D">
        <w:t xml:space="preserve"> T</w:t>
      </w:r>
      <w:r w:rsidRPr="0018386D">
        <w:t xml:space="preserve">hese numbers are rounded to three </w:t>
      </w:r>
      <w:r w:rsidR="00515214" w:rsidRPr="0018386D">
        <w:t>significant figures</w:t>
      </w:r>
      <w:r w:rsidRPr="0018386D">
        <w:t xml:space="preserve"> unless the number is significantly small. </w:t>
      </w:r>
    </w:p>
    <w:p w14:paraId="0BBC2D47" w14:textId="063C9942" w:rsidR="0091279C" w:rsidRPr="0018386D" w:rsidRDefault="0091279C" w:rsidP="00DD3106">
      <w:pPr>
        <w:pStyle w:val="Note"/>
        <w:spacing w:before="40"/>
      </w:pPr>
      <w:r w:rsidRPr="0018386D">
        <w:t>* Noting that this is the mass of the nitrogen component of fertiliser only.</w:t>
      </w:r>
    </w:p>
    <w:p w14:paraId="0F02B2BE" w14:textId="561736B9" w:rsidR="003A7B65" w:rsidRPr="0018386D" w:rsidRDefault="005B0BFB" w:rsidP="00DD3106">
      <w:pPr>
        <w:pStyle w:val="Tableheading"/>
      </w:pPr>
      <w:bookmarkStart w:id="961" w:name="table92"/>
      <w:bookmarkStart w:id="962" w:name="_Toc111536704"/>
      <w:bookmarkStart w:id="963" w:name="_Toc140049032"/>
      <w:r w:rsidRPr="0018386D">
        <w:t xml:space="preserve">Table </w:t>
      </w:r>
      <w:r w:rsidRPr="0018386D">
        <w:fldChar w:fldCharType="begin"/>
      </w:r>
      <w:r w:rsidRPr="0018386D">
        <w:instrText>SEQ Table \* ARABIC</w:instrText>
      </w:r>
      <w:r w:rsidRPr="0018386D">
        <w:fldChar w:fldCharType="separate"/>
      </w:r>
      <w:r w:rsidR="009A6CAA" w:rsidRPr="0018386D">
        <w:t>92</w:t>
      </w:r>
      <w:r w:rsidRPr="0018386D">
        <w:fldChar w:fldCharType="end"/>
      </w:r>
      <w:r w:rsidRPr="0018386D">
        <w:t>:</w:t>
      </w:r>
      <w:bookmarkEnd w:id="961"/>
      <w:r w:rsidRPr="0018386D">
        <w:tab/>
      </w:r>
      <w:r w:rsidR="003A7B65" w:rsidRPr="0018386D">
        <w:t xml:space="preserve">Examples of different categories of </w:t>
      </w:r>
      <w:r w:rsidR="00B41142" w:rsidRPr="0018386D">
        <w:t>f</w:t>
      </w:r>
      <w:r w:rsidR="003A7B65" w:rsidRPr="0018386D">
        <w:t>ertilisers</w:t>
      </w:r>
      <w:bookmarkEnd w:id="962"/>
      <w:bookmarkEnd w:id="963"/>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820"/>
        <w:gridCol w:w="3685"/>
      </w:tblGrid>
      <w:tr w:rsidR="003A7B65" w:rsidRPr="0018386D" w14:paraId="6C2EEE08" w14:textId="77777777" w:rsidTr="00752DF0">
        <w:tc>
          <w:tcPr>
            <w:tcW w:w="4820" w:type="dxa"/>
            <w:shd w:val="clear" w:color="auto" w:fill="1B556B" w:themeFill="text2"/>
          </w:tcPr>
          <w:p w14:paraId="758FDFA3" w14:textId="0CA01046" w:rsidR="003A7B65" w:rsidRPr="0018386D" w:rsidRDefault="003A7B65" w:rsidP="00DD3106">
            <w:pPr>
              <w:pStyle w:val="TableText"/>
              <w:keepNext/>
              <w:spacing w:before="40" w:after="40"/>
              <w:rPr>
                <w:rStyle w:val="BodyTextChar"/>
                <w:b/>
                <w:color w:val="FFFFFF" w:themeColor="background1"/>
                <w:szCs w:val="18"/>
              </w:rPr>
            </w:pPr>
            <w:r w:rsidRPr="0018386D">
              <w:rPr>
                <w:rStyle w:val="BodyTextChar"/>
                <w:b/>
                <w:color w:val="FFFFFF" w:themeColor="background1"/>
                <w:szCs w:val="18"/>
              </w:rPr>
              <w:t xml:space="preserve">Fertiliser </w:t>
            </w:r>
            <w:r w:rsidR="00B8427B" w:rsidRPr="0018386D">
              <w:rPr>
                <w:rStyle w:val="BodyTextChar"/>
                <w:b/>
                <w:color w:val="FFFFFF" w:themeColor="background1"/>
                <w:szCs w:val="18"/>
              </w:rPr>
              <w:t>t</w:t>
            </w:r>
            <w:r w:rsidRPr="0018386D">
              <w:rPr>
                <w:rStyle w:val="BodyTextChar"/>
                <w:b/>
                <w:color w:val="FFFFFF" w:themeColor="background1"/>
                <w:szCs w:val="18"/>
              </w:rPr>
              <w:t>ype</w:t>
            </w:r>
          </w:p>
        </w:tc>
        <w:tc>
          <w:tcPr>
            <w:tcW w:w="3685" w:type="dxa"/>
            <w:shd w:val="clear" w:color="auto" w:fill="1B556B" w:themeFill="text2"/>
          </w:tcPr>
          <w:p w14:paraId="2B836E65" w14:textId="77777777" w:rsidR="003A7B65" w:rsidRPr="0018386D" w:rsidRDefault="003A7B65" w:rsidP="00DD3106">
            <w:pPr>
              <w:pStyle w:val="TableText"/>
              <w:keepNext/>
              <w:spacing w:before="40" w:after="40"/>
              <w:rPr>
                <w:rStyle w:val="BodyTextChar"/>
                <w:b/>
                <w:color w:val="FFFFFF" w:themeColor="background1"/>
                <w:szCs w:val="18"/>
              </w:rPr>
            </w:pPr>
            <w:r w:rsidRPr="0018386D">
              <w:rPr>
                <w:rStyle w:val="BodyTextChar"/>
                <w:b/>
                <w:color w:val="FFFFFF" w:themeColor="background1"/>
                <w:szCs w:val="18"/>
              </w:rPr>
              <w:t>Example product</w:t>
            </w:r>
          </w:p>
        </w:tc>
      </w:tr>
      <w:tr w:rsidR="003A7B65" w:rsidRPr="0018386D" w14:paraId="20CD2BD5" w14:textId="77777777" w:rsidTr="00752DF0">
        <w:tc>
          <w:tcPr>
            <w:tcW w:w="4820" w:type="dxa"/>
          </w:tcPr>
          <w:p w14:paraId="5F6EA4D6" w14:textId="753D45DE" w:rsidR="003A7B65" w:rsidRPr="0018386D" w:rsidRDefault="003A7B65" w:rsidP="00DD3106">
            <w:pPr>
              <w:pStyle w:val="TableText"/>
              <w:spacing w:before="40" w:after="40"/>
              <w:rPr>
                <w:rStyle w:val="BodyTextChar"/>
                <w:szCs w:val="18"/>
              </w:rPr>
            </w:pPr>
            <w:r w:rsidRPr="0018386D">
              <w:rPr>
                <w:rStyle w:val="BodyTextChar"/>
                <w:szCs w:val="18"/>
              </w:rPr>
              <w:t xml:space="preserve">Non-urea nitrogen </w:t>
            </w:r>
          </w:p>
        </w:tc>
        <w:tc>
          <w:tcPr>
            <w:tcW w:w="3685" w:type="dxa"/>
          </w:tcPr>
          <w:p w14:paraId="32B6905E" w14:textId="00899163" w:rsidR="003A7B65" w:rsidRPr="0018386D" w:rsidRDefault="003A7B65" w:rsidP="00DD3106">
            <w:pPr>
              <w:pStyle w:val="TableText"/>
              <w:spacing w:before="40" w:after="40"/>
              <w:rPr>
                <w:rStyle w:val="BodyTextChar"/>
                <w:szCs w:val="18"/>
              </w:rPr>
            </w:pPr>
            <w:r w:rsidRPr="0018386D">
              <w:rPr>
                <w:rStyle w:val="BodyTextChar"/>
                <w:szCs w:val="18"/>
              </w:rPr>
              <w:t xml:space="preserve">Diammonium </w:t>
            </w:r>
            <w:r w:rsidR="00112014" w:rsidRPr="0018386D">
              <w:rPr>
                <w:rStyle w:val="BodyTextChar"/>
                <w:szCs w:val="18"/>
              </w:rPr>
              <w:t>p</w:t>
            </w:r>
            <w:r w:rsidRPr="0018386D">
              <w:rPr>
                <w:rStyle w:val="BodyTextChar"/>
                <w:szCs w:val="18"/>
              </w:rPr>
              <w:t>hosphate</w:t>
            </w:r>
          </w:p>
        </w:tc>
      </w:tr>
      <w:tr w:rsidR="003A7B65" w:rsidRPr="0018386D" w14:paraId="7683DCFF" w14:textId="77777777" w:rsidTr="00752DF0">
        <w:tc>
          <w:tcPr>
            <w:tcW w:w="4820" w:type="dxa"/>
          </w:tcPr>
          <w:p w14:paraId="7A17615E" w14:textId="3A84F694" w:rsidR="003A7B65" w:rsidRPr="0018386D" w:rsidRDefault="003A7B65" w:rsidP="00DD3106">
            <w:pPr>
              <w:pStyle w:val="TableText"/>
              <w:spacing w:before="40" w:after="40"/>
              <w:rPr>
                <w:rStyle w:val="BodyTextChar"/>
                <w:szCs w:val="18"/>
              </w:rPr>
            </w:pPr>
            <w:r w:rsidRPr="0018386D">
              <w:rPr>
                <w:rStyle w:val="BodyTextChar"/>
                <w:szCs w:val="18"/>
              </w:rPr>
              <w:t>Urea nitrogen not coated with urease inhibitor</w:t>
            </w:r>
          </w:p>
        </w:tc>
        <w:tc>
          <w:tcPr>
            <w:tcW w:w="3685" w:type="dxa"/>
          </w:tcPr>
          <w:p w14:paraId="6DFF4EED" w14:textId="68D9615E" w:rsidR="003A7B65" w:rsidRPr="0018386D" w:rsidRDefault="003A7B65" w:rsidP="00DD3106">
            <w:pPr>
              <w:pStyle w:val="TableText"/>
              <w:spacing w:before="40" w:after="40"/>
              <w:rPr>
                <w:rStyle w:val="BodyTextChar"/>
                <w:szCs w:val="18"/>
              </w:rPr>
            </w:pPr>
            <w:proofErr w:type="spellStart"/>
            <w:r w:rsidRPr="0018386D">
              <w:rPr>
                <w:rStyle w:val="BodyTextChar"/>
                <w:szCs w:val="18"/>
              </w:rPr>
              <w:t>Nrich</w:t>
            </w:r>
            <w:proofErr w:type="spellEnd"/>
            <w:r w:rsidRPr="0018386D">
              <w:rPr>
                <w:rStyle w:val="BodyTextChar"/>
                <w:szCs w:val="18"/>
              </w:rPr>
              <w:t xml:space="preserve"> </w:t>
            </w:r>
            <w:r w:rsidR="00A579B6" w:rsidRPr="0018386D">
              <w:rPr>
                <w:rStyle w:val="BodyTextChar"/>
                <w:szCs w:val="18"/>
              </w:rPr>
              <w:t>u</w:t>
            </w:r>
            <w:r w:rsidRPr="0018386D">
              <w:rPr>
                <w:rStyle w:val="BodyTextChar"/>
                <w:szCs w:val="18"/>
              </w:rPr>
              <w:t>rea</w:t>
            </w:r>
          </w:p>
        </w:tc>
      </w:tr>
      <w:tr w:rsidR="003A7B65" w:rsidRPr="0018386D" w14:paraId="17C8382B" w14:textId="77777777" w:rsidTr="00752DF0">
        <w:tc>
          <w:tcPr>
            <w:tcW w:w="4820" w:type="dxa"/>
          </w:tcPr>
          <w:p w14:paraId="3BC20910" w14:textId="484E722D" w:rsidR="003A7B65" w:rsidRPr="0018386D" w:rsidRDefault="003A7B65" w:rsidP="00DD3106">
            <w:pPr>
              <w:pStyle w:val="TableText"/>
              <w:spacing w:before="40" w:after="40"/>
              <w:rPr>
                <w:rStyle w:val="BodyTextChar"/>
                <w:szCs w:val="18"/>
              </w:rPr>
            </w:pPr>
            <w:r w:rsidRPr="0018386D">
              <w:rPr>
                <w:rStyle w:val="BodyTextChar"/>
                <w:szCs w:val="18"/>
              </w:rPr>
              <w:t>Urea nitrogen coated with urease inhibitor</w:t>
            </w:r>
          </w:p>
        </w:tc>
        <w:tc>
          <w:tcPr>
            <w:tcW w:w="3685" w:type="dxa"/>
          </w:tcPr>
          <w:p w14:paraId="1DE29058" w14:textId="25E1FFB3" w:rsidR="003A7B65" w:rsidRPr="0018386D" w:rsidRDefault="003A7B65" w:rsidP="00DD3106">
            <w:pPr>
              <w:pStyle w:val="TableText"/>
              <w:spacing w:before="40" w:after="40"/>
              <w:rPr>
                <w:rStyle w:val="BodyTextChar"/>
                <w:szCs w:val="18"/>
              </w:rPr>
            </w:pPr>
            <w:proofErr w:type="spellStart"/>
            <w:r w:rsidRPr="0018386D">
              <w:rPr>
                <w:rStyle w:val="BodyTextChar"/>
                <w:szCs w:val="18"/>
              </w:rPr>
              <w:t>Agrotain</w:t>
            </w:r>
            <w:proofErr w:type="spellEnd"/>
            <w:r w:rsidRPr="0018386D">
              <w:rPr>
                <w:rStyle w:val="BodyTextChar"/>
                <w:szCs w:val="18"/>
              </w:rPr>
              <w:t xml:space="preserve">, </w:t>
            </w:r>
            <w:proofErr w:type="spellStart"/>
            <w:r w:rsidRPr="0018386D">
              <w:rPr>
                <w:rStyle w:val="BodyTextChar"/>
                <w:szCs w:val="18"/>
              </w:rPr>
              <w:t>SustaiN</w:t>
            </w:r>
            <w:proofErr w:type="spellEnd"/>
            <w:r w:rsidR="00112014" w:rsidRPr="0018386D">
              <w:rPr>
                <w:rStyle w:val="BodyTextChar"/>
                <w:szCs w:val="18"/>
              </w:rPr>
              <w:t>,</w:t>
            </w:r>
            <w:r w:rsidR="0093331D" w:rsidRPr="0018386D">
              <w:rPr>
                <w:rStyle w:val="BodyTextChar"/>
                <w:szCs w:val="18"/>
              </w:rPr>
              <w:t xml:space="preserve"> N-Protect</w:t>
            </w:r>
          </w:p>
        </w:tc>
      </w:tr>
    </w:tbl>
    <w:p w14:paraId="2980A322" w14:textId="016578EF" w:rsidR="002608E9" w:rsidRPr="0018386D" w:rsidRDefault="002608E9" w:rsidP="00DD3106">
      <w:pPr>
        <w:pStyle w:val="Heading4"/>
        <w:numPr>
          <w:ilvl w:val="3"/>
          <w:numId w:val="8"/>
        </w:numPr>
        <w:spacing w:before="440"/>
        <w:ind w:left="1134" w:hanging="1134"/>
        <w:rPr>
          <w:rFonts w:eastAsia="Georgia" w:cs="Georgia"/>
          <w:color w:val="000000" w:themeColor="text1"/>
          <w:szCs w:val="24"/>
        </w:rPr>
      </w:pPr>
      <w:r w:rsidRPr="0018386D">
        <w:t>GHG inventory development - nitrogen</w:t>
      </w:r>
    </w:p>
    <w:p w14:paraId="3530A5FB" w14:textId="29D3A8EA" w:rsidR="004D78B6" w:rsidRPr="0018386D" w:rsidRDefault="003C70D4" w:rsidP="00DD3106">
      <w:pPr>
        <w:pStyle w:val="BodyText"/>
      </w:pPr>
      <w:r w:rsidRPr="0018386D">
        <w:rPr>
          <w:lang w:eastAsia="en-US"/>
        </w:rPr>
        <w:t xml:space="preserve">Organisations should collect </w:t>
      </w:r>
      <w:r w:rsidRPr="0018386D">
        <w:t>data</w:t>
      </w:r>
      <w:r w:rsidRPr="0018386D">
        <w:rPr>
          <w:lang w:eastAsia="en-US"/>
        </w:rPr>
        <w:t xml:space="preserve"> on quantity</w:t>
      </w:r>
      <w:r w:rsidR="00E91DAD" w:rsidRPr="0018386D">
        <w:rPr>
          <w:lang w:eastAsia="en-US"/>
        </w:rPr>
        <w:t xml:space="preserve"> of nitrogen</w:t>
      </w:r>
      <w:r w:rsidRPr="0018386D">
        <w:rPr>
          <w:lang w:eastAsia="en-US"/>
        </w:rPr>
        <w:t xml:space="preserve"> (in kg) of fertiliser used in the reporting period by type. </w:t>
      </w:r>
      <w:r w:rsidR="00E603E1" w:rsidRPr="0018386D">
        <w:t xml:space="preserve">Applying the equation </w:t>
      </w:r>
      <w:r w:rsidR="004D78B6" w:rsidRPr="0018386D">
        <w:t>E</w:t>
      </w:r>
      <w:r w:rsidR="00B37794" w:rsidRPr="0018386D">
        <w:t xml:space="preserve"> </w:t>
      </w:r>
      <w:r w:rsidR="004D78B6" w:rsidRPr="0018386D">
        <w:t>= Q x F</w:t>
      </w:r>
      <w:r w:rsidR="00E4791A" w:rsidRPr="0018386D">
        <w:t xml:space="preserve"> </w:t>
      </w:r>
      <w:r w:rsidR="004D78B6" w:rsidRPr="0018386D">
        <w:t>(</w:t>
      </w:r>
      <w:hyperlink w:anchor="_How_to_quantify" w:history="1">
        <w:r w:rsidR="00E4791A" w:rsidRPr="0018386D">
          <w:rPr>
            <w:rStyle w:val="Hyperlink"/>
          </w:rPr>
          <w:t>section 2</w:t>
        </w:r>
      </w:hyperlink>
      <w:r w:rsidR="004D78B6" w:rsidRPr="0018386D">
        <w:rPr>
          <w:rStyle w:val="Hyperlink"/>
          <w:color w:val="auto"/>
        </w:rPr>
        <w:t>)</w:t>
      </w:r>
      <w:r w:rsidR="00E603E1" w:rsidRPr="0018386D">
        <w:rPr>
          <w:i/>
        </w:rPr>
        <w:t>,</w:t>
      </w:r>
      <w:r w:rsidR="00E603E1" w:rsidRPr="0018386D">
        <w:t xml:space="preserve"> this means:</w:t>
      </w:r>
    </w:p>
    <w:p w14:paraId="6B99561A" w14:textId="77777777" w:rsidR="004D78B6" w:rsidRPr="0018386D" w:rsidRDefault="004D78B6"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 xml:space="preserve">-e per year </w:t>
      </w:r>
    </w:p>
    <w:p w14:paraId="3943EF1D" w14:textId="775A4EC3" w:rsidR="00E603E1" w:rsidRPr="0018386D" w:rsidRDefault="0025058F" w:rsidP="00DD3106">
      <w:pPr>
        <w:pStyle w:val="BodyText"/>
        <w:tabs>
          <w:tab w:val="left" w:pos="680"/>
          <w:tab w:val="left" w:pos="1134"/>
        </w:tabs>
        <w:contextualSpacing/>
      </w:pPr>
      <w:r w:rsidRPr="0018386D">
        <w:t>Q</w:t>
      </w:r>
      <w:r w:rsidRPr="0018386D">
        <w:tab/>
        <w:t>=</w:t>
      </w:r>
      <w:r w:rsidRPr="0018386D">
        <w:tab/>
      </w:r>
      <w:r w:rsidR="00E603E1" w:rsidRPr="0018386D">
        <w:t>type of fertiliser used</w:t>
      </w:r>
      <w:r w:rsidR="00E603E1" w:rsidRPr="0018386D" w:rsidDel="00E91DAD">
        <w:t xml:space="preserve"> (in kg)</w:t>
      </w:r>
    </w:p>
    <w:p w14:paraId="09AE7946" w14:textId="538AF394" w:rsidR="003A7B65" w:rsidRPr="0018386D" w:rsidRDefault="0025058F" w:rsidP="00DD3106">
      <w:pPr>
        <w:pStyle w:val="BodyText"/>
        <w:tabs>
          <w:tab w:val="left" w:pos="680"/>
          <w:tab w:val="left" w:pos="1134"/>
        </w:tabs>
        <w:spacing w:after="240"/>
        <w:contextualSpacing/>
      </w:pPr>
      <w:r w:rsidRPr="0018386D">
        <w:t>F</w:t>
      </w:r>
      <w:r w:rsidRPr="0018386D">
        <w:tab/>
        <w:t>=</w:t>
      </w:r>
      <w:r w:rsidRPr="0018386D">
        <w:tab/>
      </w:r>
      <w:r w:rsidR="00E603E1" w:rsidRPr="0018386D">
        <w:t>appropriate emission factors from</w:t>
      </w:r>
      <w:r w:rsidR="00DD3E39" w:rsidRPr="0018386D">
        <w:t xml:space="preserve"> </w:t>
      </w:r>
      <w:hyperlink w:anchor="table91" w:history="1">
        <w:r w:rsidR="00840156" w:rsidRPr="0018386D">
          <w:rPr>
            <w:rStyle w:val="Hyperlink"/>
          </w:rPr>
          <w:t xml:space="preserve">table </w:t>
        </w:r>
        <w:r w:rsidR="00EE24CD" w:rsidRPr="0018386D">
          <w:rPr>
            <w:rStyle w:val="Hyperlink"/>
          </w:rPr>
          <w:t>9</w:t>
        </w:r>
        <w:r w:rsidR="00CF5052" w:rsidRPr="0018386D">
          <w:rPr>
            <w:rStyle w:val="Hyperlink"/>
          </w:rPr>
          <w:t>1</w:t>
        </w:r>
      </w:hyperlink>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E45D6F" w:rsidRPr="0018386D" w14:paraId="21FBD8A5" w14:textId="77777777" w:rsidTr="00B56F79">
        <w:tc>
          <w:tcPr>
            <w:tcW w:w="8500" w:type="dxa"/>
            <w:tcBorders>
              <w:top w:val="single" w:sz="4" w:space="0" w:color="0F7B7D"/>
              <w:left w:val="single" w:sz="4" w:space="0" w:color="0F7B7D"/>
              <w:bottom w:val="nil"/>
              <w:right w:val="single" w:sz="4" w:space="0" w:color="0F7B7D"/>
            </w:tcBorders>
            <w:shd w:val="clear" w:color="auto" w:fill="0F7B7D"/>
            <w:vAlign w:val="center"/>
          </w:tcPr>
          <w:p w14:paraId="268A4813" w14:textId="68F1DC1D" w:rsidR="00E603E1" w:rsidRPr="0018386D" w:rsidDel="00D5390D" w:rsidRDefault="00B8427B" w:rsidP="00DD3106">
            <w:pPr>
              <w:pStyle w:val="Casestudyheading"/>
            </w:pPr>
            <w:r w:rsidRPr="0018386D">
              <w:t xml:space="preserve">FERTILISER USE: </w:t>
            </w:r>
            <w:r w:rsidR="00E603E1" w:rsidRPr="0018386D">
              <w:t>Example Calculation</w:t>
            </w:r>
          </w:p>
        </w:tc>
      </w:tr>
      <w:tr w:rsidR="00E45D6F" w:rsidRPr="0018386D" w14:paraId="7362E29B" w14:textId="77777777" w:rsidTr="00B56F79">
        <w:trPr>
          <w:trHeight w:val="61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55B30051" w14:textId="68BF6D56" w:rsidR="00E603E1" w:rsidRPr="0018386D" w:rsidRDefault="00E603E1" w:rsidP="00DD3106">
            <w:pPr>
              <w:pStyle w:val="Boxtext"/>
              <w:spacing w:after="80"/>
            </w:pPr>
            <w:r w:rsidRPr="0018386D">
              <w:t xml:space="preserve">An organisation uses 80 kg of dolomite and 50 kg of </w:t>
            </w:r>
            <w:r w:rsidR="0054694A" w:rsidRPr="0018386D">
              <w:t xml:space="preserve">nitrogen from </w:t>
            </w:r>
            <w:r w:rsidRPr="0018386D">
              <w:t>non-urea nitrogen fertiliser in the reporting year.</w:t>
            </w:r>
          </w:p>
          <w:p w14:paraId="4F1FFD1D" w14:textId="14AF458B" w:rsidR="00E603E1" w:rsidRPr="0018386D" w:rsidRDefault="00E603E1" w:rsidP="00DD3106">
            <w:pPr>
              <w:pStyle w:val="Boxtext"/>
              <w:tabs>
                <w:tab w:val="left" w:pos="2880"/>
                <w:tab w:val="left" w:pos="5134"/>
              </w:tabs>
              <w:spacing w:before="20" w:after="20"/>
              <w:ind w:left="850"/>
            </w:pPr>
            <w:r w:rsidRPr="0018386D">
              <w:t>CO</w:t>
            </w:r>
            <w:r w:rsidRPr="0018386D">
              <w:rPr>
                <w:vertAlign w:val="subscript"/>
              </w:rPr>
              <w:t>2</w:t>
            </w:r>
            <w:r w:rsidRPr="0018386D">
              <w:t xml:space="preserve"> emissions </w:t>
            </w:r>
            <w:r w:rsidRPr="0018386D">
              <w:tab/>
              <w:t xml:space="preserve">= (80 </w:t>
            </w:r>
            <w:r w:rsidRPr="0018386D">
              <w:rPr>
                <w:rFonts w:cs="Calibri"/>
              </w:rPr>
              <w:t>× 0.</w:t>
            </w:r>
            <w:r w:rsidR="00760321" w:rsidRPr="0018386D">
              <w:rPr>
                <w:rFonts w:cs="Calibri"/>
              </w:rPr>
              <w:t>477</w:t>
            </w:r>
            <w:r w:rsidRPr="0018386D">
              <w:rPr>
                <w:rFonts w:cs="Calibri"/>
              </w:rPr>
              <w:t>) + (50 × 0)</w:t>
            </w:r>
            <w:r w:rsidRPr="0018386D">
              <w:t xml:space="preserve"> </w:t>
            </w:r>
            <w:r w:rsidRPr="0018386D">
              <w:tab/>
            </w:r>
            <w:r w:rsidRPr="0018386D">
              <w:rPr>
                <w:rFonts w:cs="Calibri"/>
              </w:rPr>
              <w:t xml:space="preserve">= </w:t>
            </w:r>
            <w:r w:rsidR="006755D0" w:rsidRPr="0018386D">
              <w:rPr>
                <w:rFonts w:cs="Calibri"/>
              </w:rPr>
              <w:t>38.</w:t>
            </w:r>
            <w:r w:rsidR="002A2F96" w:rsidRPr="0018386D">
              <w:rPr>
                <w:rFonts w:cs="Calibri"/>
              </w:rPr>
              <w:t>16</w:t>
            </w:r>
            <w:r w:rsidRPr="0018386D">
              <w:rPr>
                <w:rFonts w:cs="Calibri"/>
              </w:rPr>
              <w:t xml:space="preserve"> </w:t>
            </w:r>
            <w:r w:rsidRPr="0018386D">
              <w:t>kg CO</w:t>
            </w:r>
            <w:r w:rsidRPr="0018386D">
              <w:rPr>
                <w:vertAlign w:val="subscript"/>
              </w:rPr>
              <w:t>2</w:t>
            </w:r>
            <w:r w:rsidRPr="0018386D">
              <w:t>-e</w:t>
            </w:r>
          </w:p>
          <w:p w14:paraId="193E2BA3" w14:textId="2C168E53" w:rsidR="00E603E1" w:rsidRPr="0018386D" w:rsidRDefault="00E603E1" w:rsidP="00DD3106">
            <w:pPr>
              <w:pStyle w:val="Boxtext"/>
              <w:tabs>
                <w:tab w:val="left" w:pos="2880"/>
                <w:tab w:val="left" w:pos="5134"/>
              </w:tabs>
              <w:spacing w:before="20" w:after="20"/>
              <w:ind w:left="850"/>
            </w:pPr>
            <w:r w:rsidRPr="0018386D">
              <w:t>CH</w:t>
            </w:r>
            <w:r w:rsidRPr="0018386D">
              <w:rPr>
                <w:vertAlign w:val="subscript"/>
              </w:rPr>
              <w:t>4</w:t>
            </w:r>
            <w:r w:rsidRPr="0018386D">
              <w:t xml:space="preserve"> emissions </w:t>
            </w:r>
            <w:r w:rsidRPr="0018386D">
              <w:tab/>
              <w:t xml:space="preserve">= (80 </w:t>
            </w:r>
            <w:r w:rsidRPr="0018386D">
              <w:rPr>
                <w:rFonts w:cs="Calibri"/>
              </w:rPr>
              <w:t>× 0</w:t>
            </w:r>
            <w:r w:rsidRPr="0018386D">
              <w:t xml:space="preserve">) + (50 </w:t>
            </w:r>
            <w:r w:rsidRPr="0018386D">
              <w:rPr>
                <w:rFonts w:cs="Calibri"/>
              </w:rPr>
              <w:t>× 0)</w:t>
            </w:r>
            <w:r w:rsidRPr="0018386D">
              <w:t xml:space="preserve"> </w:t>
            </w:r>
            <w:r w:rsidRPr="0018386D">
              <w:tab/>
              <w:t>= 0 kg CO</w:t>
            </w:r>
            <w:r w:rsidRPr="0018386D">
              <w:rPr>
                <w:vertAlign w:val="subscript"/>
              </w:rPr>
              <w:t>2</w:t>
            </w:r>
            <w:r w:rsidRPr="0018386D">
              <w:t xml:space="preserve">-e </w:t>
            </w:r>
          </w:p>
          <w:p w14:paraId="011CC77D" w14:textId="31B1F418" w:rsidR="00E603E1" w:rsidRPr="0018386D" w:rsidRDefault="00E603E1" w:rsidP="00DD3106">
            <w:pPr>
              <w:pStyle w:val="Boxtext"/>
              <w:tabs>
                <w:tab w:val="left" w:pos="2880"/>
                <w:tab w:val="left" w:pos="5134"/>
              </w:tabs>
              <w:spacing w:before="20" w:after="20"/>
              <w:ind w:left="850"/>
            </w:pPr>
            <w:r w:rsidRPr="0018386D">
              <w:t>N</w:t>
            </w:r>
            <w:r w:rsidRPr="0018386D">
              <w:rPr>
                <w:vertAlign w:val="subscript"/>
              </w:rPr>
              <w:t>2</w:t>
            </w:r>
            <w:r w:rsidRPr="0018386D">
              <w:t xml:space="preserve">O emissions </w:t>
            </w:r>
            <w:r w:rsidRPr="0018386D">
              <w:tab/>
              <w:t xml:space="preserve">= (80 </w:t>
            </w:r>
            <w:r w:rsidRPr="0018386D">
              <w:rPr>
                <w:rFonts w:cs="Calibri"/>
              </w:rPr>
              <w:t>× 0</w:t>
            </w:r>
            <w:r w:rsidRPr="0018386D">
              <w:t xml:space="preserve">) + (50 </w:t>
            </w:r>
            <w:r w:rsidRPr="0018386D">
              <w:rPr>
                <w:rFonts w:cs="Calibri"/>
              </w:rPr>
              <w:t>× 4</w:t>
            </w:r>
            <w:r w:rsidR="1933F671" w:rsidRPr="0018386D">
              <w:rPr>
                <w:rFonts w:cs="Calibri"/>
              </w:rPr>
              <w:t>.80</w:t>
            </w:r>
            <w:r w:rsidRPr="0018386D">
              <w:rPr>
                <w:rFonts w:cs="Calibri"/>
              </w:rPr>
              <w:t>)</w:t>
            </w:r>
            <w:r w:rsidRPr="0018386D">
              <w:t xml:space="preserve"> </w:t>
            </w:r>
            <w:r w:rsidRPr="0018386D">
              <w:tab/>
              <w:t>= 2</w:t>
            </w:r>
            <w:r w:rsidR="3CA36FB5" w:rsidRPr="0018386D">
              <w:t>4</w:t>
            </w:r>
            <w:r w:rsidRPr="0018386D">
              <w:t>0 kg CO</w:t>
            </w:r>
            <w:r w:rsidRPr="0018386D">
              <w:rPr>
                <w:vertAlign w:val="subscript"/>
              </w:rPr>
              <w:t>2</w:t>
            </w:r>
            <w:r w:rsidRPr="0018386D">
              <w:t>-e</w:t>
            </w:r>
          </w:p>
          <w:p w14:paraId="481DAD86" w14:textId="4E87D2B1" w:rsidR="00E603E1" w:rsidRPr="0018386D" w:rsidRDefault="00E603E1" w:rsidP="00DD3106">
            <w:pPr>
              <w:pStyle w:val="Boxtext"/>
              <w:tabs>
                <w:tab w:val="left" w:pos="2880"/>
                <w:tab w:val="left" w:pos="5134"/>
              </w:tabs>
              <w:spacing w:before="20" w:after="20"/>
              <w:ind w:left="850"/>
            </w:pPr>
            <w:r w:rsidRPr="0018386D">
              <w:t>Total CO</w:t>
            </w:r>
            <w:r w:rsidRPr="0018386D">
              <w:rPr>
                <w:vertAlign w:val="subscript"/>
              </w:rPr>
              <w:t>2</w:t>
            </w:r>
            <w:r w:rsidRPr="0018386D">
              <w:t xml:space="preserve">-e emissions </w:t>
            </w:r>
            <w:r w:rsidRPr="0018386D">
              <w:tab/>
              <w:t xml:space="preserve">= </w:t>
            </w:r>
            <w:r w:rsidR="78866909" w:rsidRPr="0018386D">
              <w:t>278</w:t>
            </w:r>
            <w:r w:rsidR="006755D0" w:rsidRPr="0018386D">
              <w:t>.</w:t>
            </w:r>
            <w:r w:rsidR="00A97357" w:rsidRPr="0018386D">
              <w:t>16</w:t>
            </w:r>
            <w:r w:rsidRPr="0018386D">
              <w:t xml:space="preserve"> kg CO</w:t>
            </w:r>
            <w:r w:rsidRPr="0018386D">
              <w:rPr>
                <w:vertAlign w:val="subscript"/>
              </w:rPr>
              <w:t>2</w:t>
            </w:r>
            <w:r w:rsidRPr="0018386D">
              <w:t>-e</w:t>
            </w:r>
          </w:p>
          <w:p w14:paraId="3596C07A" w14:textId="32CEB735" w:rsidR="00E603E1" w:rsidRPr="0018386D" w:rsidRDefault="00E603E1" w:rsidP="00DD3106">
            <w:pPr>
              <w:pStyle w:val="Boxtext"/>
              <w:spacing w:after="180"/>
            </w:pPr>
            <w:r w:rsidRPr="0018386D">
              <w:rPr>
                <w:sz w:val="18"/>
              </w:rPr>
              <w:t>Note</w:t>
            </w:r>
            <w:r w:rsidR="00B8427B" w:rsidRPr="0018386D">
              <w:rPr>
                <w:sz w:val="18"/>
              </w:rPr>
              <w:t>: N</w:t>
            </w:r>
            <w:r w:rsidRPr="0018386D">
              <w:rPr>
                <w:sz w:val="18"/>
              </w:rPr>
              <w:t>umbers may not add due to rounding</w:t>
            </w:r>
            <w:r w:rsidR="00A0044D" w:rsidRPr="0018386D">
              <w:rPr>
                <w:sz w:val="18"/>
              </w:rPr>
              <w:t>.</w:t>
            </w:r>
          </w:p>
        </w:tc>
      </w:tr>
    </w:tbl>
    <w:p w14:paraId="180FA930" w14:textId="4BAAB96D" w:rsidR="55E26066" w:rsidRPr="0018386D" w:rsidRDefault="55E26066" w:rsidP="0098224E">
      <w:pPr>
        <w:pStyle w:val="Heading5"/>
      </w:pPr>
      <w:r w:rsidRPr="0018386D">
        <w:t xml:space="preserve">Implied </w:t>
      </w:r>
      <w:r w:rsidR="69B87BDF" w:rsidRPr="0018386D">
        <w:t>emission factor derivation methodology</w:t>
      </w:r>
    </w:p>
    <w:p w14:paraId="0F622A7F" w14:textId="19431E4E" w:rsidR="003A7B65" w:rsidRPr="0018386D" w:rsidRDefault="00B732CC" w:rsidP="00DD3106">
      <w:pPr>
        <w:pStyle w:val="BodyText"/>
        <w:keepNext/>
      </w:pPr>
      <w:r w:rsidRPr="0018386D">
        <w:t>MPI</w:t>
      </w:r>
      <w:r w:rsidR="003A7B65" w:rsidRPr="0018386D">
        <w:t xml:space="preserve"> provided data on the quantified direct and indirect </w:t>
      </w:r>
      <w:r w:rsidRPr="0018386D">
        <w:t>GHG</w:t>
      </w:r>
      <w:r w:rsidR="003A7B65" w:rsidRPr="0018386D">
        <w:t xml:space="preserve"> emissions produced per tonne of </w:t>
      </w:r>
      <w:r w:rsidR="00536287" w:rsidRPr="0018386D">
        <w:t xml:space="preserve">nitrogen in </w:t>
      </w:r>
      <w:r w:rsidR="003A7B65" w:rsidRPr="0018386D">
        <w:t>fertiliser (</w:t>
      </w:r>
      <w:hyperlink w:anchor="table93" w:history="1">
        <w:r w:rsidR="00DD3E39" w:rsidRPr="0018386D">
          <w:rPr>
            <w:rStyle w:val="Hyperlink"/>
          </w:rPr>
          <w:t>table</w:t>
        </w:r>
        <w:r w:rsidR="00C0070C" w:rsidRPr="0018386D">
          <w:rPr>
            <w:rStyle w:val="Hyperlink"/>
          </w:rPr>
          <w:t>s</w:t>
        </w:r>
        <w:r w:rsidR="00DD3E39" w:rsidRPr="0018386D">
          <w:rPr>
            <w:rStyle w:val="Hyperlink"/>
          </w:rPr>
          <w:t xml:space="preserve"> </w:t>
        </w:r>
        <w:r w:rsidR="0005694B" w:rsidRPr="0018386D">
          <w:rPr>
            <w:rStyle w:val="Hyperlink"/>
          </w:rPr>
          <w:t>93</w:t>
        </w:r>
      </w:hyperlink>
      <w:r w:rsidR="00202A10" w:rsidRPr="0018386D">
        <w:t xml:space="preserve"> </w:t>
      </w:r>
      <w:r w:rsidR="003A7B65" w:rsidRPr="0018386D">
        <w:t>and</w:t>
      </w:r>
      <w:r w:rsidR="008326F4" w:rsidRPr="0018386D">
        <w:t xml:space="preserve"> </w:t>
      </w:r>
      <w:hyperlink w:anchor="table94" w:history="1">
        <w:r w:rsidR="0005694B" w:rsidRPr="0018386D">
          <w:rPr>
            <w:rStyle w:val="Hyperlink"/>
          </w:rPr>
          <w:t>94</w:t>
        </w:r>
        <w:r w:rsidR="00990C9B" w:rsidRPr="0018386D">
          <w:t>)</w:t>
        </w:r>
      </w:hyperlink>
      <w:r w:rsidR="003A7B65" w:rsidRPr="0018386D">
        <w:t>.</w:t>
      </w:r>
    </w:p>
    <w:p w14:paraId="4405099A" w14:textId="7C726E83" w:rsidR="003A7B65" w:rsidRPr="0018386D" w:rsidRDefault="00740ABC" w:rsidP="00DD3106">
      <w:pPr>
        <w:pStyle w:val="Tableheading"/>
      </w:pPr>
      <w:bookmarkStart w:id="964" w:name="_Toc140049033"/>
      <w:bookmarkStart w:id="965" w:name="table93"/>
      <w:r w:rsidRPr="0018386D">
        <w:t xml:space="preserve">Table </w:t>
      </w:r>
      <w:r w:rsidR="00C7627E">
        <w:fldChar w:fldCharType="begin"/>
      </w:r>
      <w:r w:rsidR="00C7627E">
        <w:instrText xml:space="preserve"> SEQ Table \* ARABIC </w:instrText>
      </w:r>
      <w:r w:rsidR="00C7627E">
        <w:fldChar w:fldCharType="separate"/>
      </w:r>
      <w:r w:rsidRPr="0018386D">
        <w:rPr>
          <w:noProof/>
        </w:rPr>
        <w:t>93</w:t>
      </w:r>
      <w:r w:rsidR="00C7627E">
        <w:rPr>
          <w:noProof/>
        </w:rPr>
        <w:fldChar w:fldCharType="end"/>
      </w:r>
      <w:r w:rsidR="00E15AFE" w:rsidRPr="0018386D">
        <w:t>:</w:t>
      </w:r>
      <w:r w:rsidR="005B0BFB" w:rsidRPr="0018386D">
        <w:tab/>
      </w:r>
      <w:r w:rsidR="003A7B65" w:rsidRPr="0018386D">
        <w:t xml:space="preserve">Nitrogen </w:t>
      </w:r>
      <w:r w:rsidR="00B732CC" w:rsidRPr="0018386D">
        <w:t>fertiliser</w:t>
      </w:r>
      <w:r w:rsidR="00724C42" w:rsidRPr="0018386D">
        <w:t xml:space="preserve"> </w:t>
      </w:r>
      <w:r w:rsidR="00EF3A8B" w:rsidRPr="0018386D">
        <w:t>emission factors</w:t>
      </w:r>
      <w:bookmarkEnd w:id="964"/>
    </w:p>
    <w:tbl>
      <w:tblPr>
        <w:tblStyle w:val="LightList-Accent11"/>
        <w:tblW w:w="8505" w:type="dxa"/>
        <w:tblInd w:w="20" w:type="dxa"/>
        <w:tblLook w:val="04A0" w:firstRow="1" w:lastRow="0" w:firstColumn="1" w:lastColumn="0" w:noHBand="0" w:noVBand="1"/>
      </w:tblPr>
      <w:tblGrid>
        <w:gridCol w:w="1916"/>
        <w:gridCol w:w="1647"/>
        <w:gridCol w:w="1647"/>
        <w:gridCol w:w="1647"/>
        <w:gridCol w:w="1648"/>
      </w:tblGrid>
      <w:tr w:rsidR="003A7B65" w:rsidRPr="0018386D" w14:paraId="5307486A" w14:textId="77777777" w:rsidTr="00F47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bottom w:val="single" w:sz="8" w:space="0" w:color="1C556C" w:themeColor="accent1"/>
            </w:tcBorders>
            <w:shd w:val="clear" w:color="auto" w:fill="1B556B" w:themeFill="text2"/>
            <w:vAlign w:val="bottom"/>
          </w:tcPr>
          <w:bookmarkEnd w:id="965"/>
          <w:p w14:paraId="104E2D05" w14:textId="77777777" w:rsidR="003A7B65" w:rsidRPr="0018386D" w:rsidRDefault="003A7B65" w:rsidP="00DD3106">
            <w:pPr>
              <w:pStyle w:val="TableText"/>
              <w:spacing w:before="40" w:after="40"/>
              <w:rPr>
                <w:szCs w:val="18"/>
              </w:rPr>
            </w:pPr>
            <w:r w:rsidRPr="0018386D">
              <w:rPr>
                <w:szCs w:val="18"/>
              </w:rPr>
              <w:t xml:space="preserve">Fertiliser type </w:t>
            </w:r>
          </w:p>
        </w:tc>
        <w:tc>
          <w:tcPr>
            <w:tcW w:w="1647" w:type="dxa"/>
            <w:shd w:val="clear" w:color="auto" w:fill="1B556B" w:themeFill="text2"/>
            <w:vAlign w:val="bottom"/>
          </w:tcPr>
          <w:p w14:paraId="0481F81D" w14:textId="265E0B91" w:rsidR="003A7B65" w:rsidRPr="0018386D" w:rsidRDefault="003A7B65"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18386D">
              <w:rPr>
                <w:szCs w:val="18"/>
              </w:rPr>
              <w:t>Direct emissions of N</w:t>
            </w:r>
            <w:r w:rsidRPr="0018386D">
              <w:rPr>
                <w:szCs w:val="18"/>
                <w:vertAlign w:val="subscript"/>
              </w:rPr>
              <w:t>2</w:t>
            </w:r>
            <w:r w:rsidRPr="0018386D">
              <w:rPr>
                <w:szCs w:val="18"/>
              </w:rPr>
              <w:t>O (</w:t>
            </w:r>
            <w:r w:rsidR="002A1B84" w:rsidRPr="0018386D">
              <w:rPr>
                <w:szCs w:val="18"/>
              </w:rPr>
              <w:t xml:space="preserve">kg </w:t>
            </w:r>
            <w:r w:rsidRPr="0018386D">
              <w:rPr>
                <w:szCs w:val="18"/>
              </w:rPr>
              <w:t>N</w:t>
            </w:r>
            <w:r w:rsidRPr="0018386D">
              <w:rPr>
                <w:szCs w:val="18"/>
                <w:vertAlign w:val="subscript"/>
              </w:rPr>
              <w:t>2</w:t>
            </w:r>
            <w:r w:rsidRPr="0018386D">
              <w:rPr>
                <w:szCs w:val="18"/>
              </w:rPr>
              <w:t>O/</w:t>
            </w:r>
            <w:r w:rsidR="002A1B84" w:rsidRPr="0018386D">
              <w:rPr>
                <w:szCs w:val="18"/>
              </w:rPr>
              <w:t xml:space="preserve">kg </w:t>
            </w:r>
            <w:r w:rsidRPr="0018386D">
              <w:rPr>
                <w:szCs w:val="18"/>
              </w:rPr>
              <w:t>of N</w:t>
            </w:r>
            <w:r w:rsidR="00536287" w:rsidRPr="0018386D">
              <w:rPr>
                <w:szCs w:val="18"/>
              </w:rPr>
              <w:t xml:space="preserve"> in</w:t>
            </w:r>
            <w:r w:rsidRPr="0018386D">
              <w:rPr>
                <w:szCs w:val="18"/>
              </w:rPr>
              <w:t xml:space="preserve"> fertiliser)</w:t>
            </w:r>
          </w:p>
        </w:tc>
        <w:tc>
          <w:tcPr>
            <w:tcW w:w="1647" w:type="dxa"/>
            <w:shd w:val="clear" w:color="auto" w:fill="1B556B" w:themeFill="text2"/>
            <w:vAlign w:val="bottom"/>
          </w:tcPr>
          <w:p w14:paraId="7DD9DC61" w14:textId="4F4C3A33" w:rsidR="003A7B65" w:rsidRPr="0018386D" w:rsidRDefault="003A7B65"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18386D">
              <w:rPr>
                <w:szCs w:val="18"/>
              </w:rPr>
              <w:t>Indirect emissions- volatilisation</w:t>
            </w:r>
            <w:r w:rsidR="00EA4BC4" w:rsidRPr="0018386D">
              <w:rPr>
                <w:szCs w:val="18"/>
              </w:rPr>
              <w:t xml:space="preserve"> </w:t>
            </w:r>
            <w:r w:rsidRPr="0018386D">
              <w:rPr>
                <w:szCs w:val="18"/>
              </w:rPr>
              <w:t>(</w:t>
            </w:r>
            <w:r w:rsidR="002A1B84" w:rsidRPr="0018386D">
              <w:rPr>
                <w:szCs w:val="18"/>
              </w:rPr>
              <w:t>kg</w:t>
            </w:r>
            <w:r w:rsidR="00BA316E" w:rsidRPr="0018386D">
              <w:rPr>
                <w:szCs w:val="18"/>
              </w:rPr>
              <w:t> </w:t>
            </w:r>
            <w:r w:rsidRPr="0018386D">
              <w:rPr>
                <w:szCs w:val="18"/>
              </w:rPr>
              <w:t>N</w:t>
            </w:r>
            <w:r w:rsidRPr="0018386D">
              <w:rPr>
                <w:szCs w:val="18"/>
                <w:vertAlign w:val="subscript"/>
              </w:rPr>
              <w:t>2</w:t>
            </w:r>
            <w:r w:rsidRPr="0018386D">
              <w:rPr>
                <w:szCs w:val="18"/>
              </w:rPr>
              <w:t>O/</w:t>
            </w:r>
            <w:r w:rsidR="002A1B84" w:rsidRPr="0018386D">
              <w:rPr>
                <w:szCs w:val="18"/>
              </w:rPr>
              <w:t xml:space="preserve">kg </w:t>
            </w:r>
            <w:r w:rsidRPr="0018386D">
              <w:rPr>
                <w:szCs w:val="18"/>
              </w:rPr>
              <w:t>of N</w:t>
            </w:r>
            <w:r w:rsidR="00536287" w:rsidRPr="0018386D">
              <w:rPr>
                <w:szCs w:val="18"/>
              </w:rPr>
              <w:t xml:space="preserve"> in</w:t>
            </w:r>
            <w:r w:rsidRPr="0018386D">
              <w:rPr>
                <w:szCs w:val="18"/>
              </w:rPr>
              <w:t xml:space="preserve"> fertiliser)</w:t>
            </w:r>
          </w:p>
        </w:tc>
        <w:tc>
          <w:tcPr>
            <w:tcW w:w="1647" w:type="dxa"/>
            <w:shd w:val="clear" w:color="auto" w:fill="1B556B" w:themeFill="text2"/>
            <w:vAlign w:val="bottom"/>
          </w:tcPr>
          <w:p w14:paraId="55E8820E" w14:textId="561A9E07" w:rsidR="003A7B65" w:rsidRPr="0018386D" w:rsidRDefault="003A7B65"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18386D">
              <w:rPr>
                <w:szCs w:val="18"/>
              </w:rPr>
              <w:t xml:space="preserve">Indirect emissions – leaching </w:t>
            </w:r>
            <w:r w:rsidR="00441D82" w:rsidRPr="0018386D">
              <w:rPr>
                <w:szCs w:val="18"/>
              </w:rPr>
              <w:br/>
            </w:r>
            <w:r w:rsidR="0066169C" w:rsidRPr="0018386D">
              <w:rPr>
                <w:szCs w:val="18"/>
              </w:rPr>
              <w:t>(</w:t>
            </w:r>
            <w:r w:rsidR="002A1B84" w:rsidRPr="0018386D">
              <w:rPr>
                <w:szCs w:val="18"/>
              </w:rPr>
              <w:t>kg</w:t>
            </w:r>
            <w:r w:rsidRPr="0018386D">
              <w:rPr>
                <w:szCs w:val="18"/>
              </w:rPr>
              <w:t xml:space="preserve"> N</w:t>
            </w:r>
            <w:r w:rsidRPr="0018386D">
              <w:rPr>
                <w:szCs w:val="18"/>
                <w:vertAlign w:val="subscript"/>
              </w:rPr>
              <w:t>2</w:t>
            </w:r>
            <w:r w:rsidRPr="0018386D">
              <w:rPr>
                <w:szCs w:val="18"/>
              </w:rPr>
              <w:t>O/</w:t>
            </w:r>
            <w:r w:rsidR="002A1B84" w:rsidRPr="0018386D">
              <w:rPr>
                <w:szCs w:val="18"/>
              </w:rPr>
              <w:t xml:space="preserve">kg </w:t>
            </w:r>
            <w:r w:rsidRPr="0018386D">
              <w:rPr>
                <w:szCs w:val="18"/>
              </w:rPr>
              <w:t>of N</w:t>
            </w:r>
            <w:r w:rsidR="00536287" w:rsidRPr="0018386D">
              <w:rPr>
                <w:szCs w:val="18"/>
              </w:rPr>
              <w:t xml:space="preserve"> in</w:t>
            </w:r>
            <w:r w:rsidRPr="0018386D">
              <w:rPr>
                <w:szCs w:val="18"/>
              </w:rPr>
              <w:t xml:space="preserve"> fertiliser)</w:t>
            </w:r>
          </w:p>
        </w:tc>
        <w:tc>
          <w:tcPr>
            <w:tcW w:w="1648" w:type="dxa"/>
            <w:tcBorders>
              <w:bottom w:val="single" w:sz="8" w:space="0" w:color="1C556C" w:themeColor="accent1"/>
            </w:tcBorders>
            <w:shd w:val="clear" w:color="auto" w:fill="1B556B" w:themeFill="text2"/>
            <w:vAlign w:val="bottom"/>
          </w:tcPr>
          <w:p w14:paraId="4348984B" w14:textId="601D10CE" w:rsidR="003A7B65" w:rsidRPr="0018386D" w:rsidRDefault="003A7B65" w:rsidP="00DD310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18386D">
              <w:rPr>
                <w:szCs w:val="18"/>
              </w:rPr>
              <w:t>CO</w:t>
            </w:r>
            <w:r w:rsidRPr="0018386D">
              <w:rPr>
                <w:szCs w:val="18"/>
                <w:vertAlign w:val="subscript"/>
              </w:rPr>
              <w:t>2</w:t>
            </w:r>
            <w:r w:rsidRPr="0018386D">
              <w:rPr>
                <w:szCs w:val="18"/>
              </w:rPr>
              <w:t xml:space="preserve"> emissions from urea (</w:t>
            </w:r>
            <w:r w:rsidR="00301F1E" w:rsidRPr="0018386D">
              <w:rPr>
                <w:szCs w:val="18"/>
              </w:rPr>
              <w:t>kg</w:t>
            </w:r>
            <w:r w:rsidRPr="0018386D">
              <w:rPr>
                <w:szCs w:val="18"/>
              </w:rPr>
              <w:t xml:space="preserve"> CO</w:t>
            </w:r>
            <w:r w:rsidRPr="0018386D">
              <w:rPr>
                <w:szCs w:val="18"/>
                <w:vertAlign w:val="subscript"/>
              </w:rPr>
              <w:t>2</w:t>
            </w:r>
            <w:r w:rsidRPr="0018386D">
              <w:rPr>
                <w:szCs w:val="18"/>
              </w:rPr>
              <w:t>/</w:t>
            </w:r>
            <w:r w:rsidR="00441D82" w:rsidRPr="0018386D">
              <w:rPr>
                <w:szCs w:val="18"/>
              </w:rPr>
              <w:t xml:space="preserve"> </w:t>
            </w:r>
            <w:r w:rsidR="002A1B84" w:rsidRPr="0018386D">
              <w:rPr>
                <w:szCs w:val="18"/>
              </w:rPr>
              <w:t xml:space="preserve">kg </w:t>
            </w:r>
            <w:r w:rsidRPr="0018386D">
              <w:rPr>
                <w:szCs w:val="18"/>
              </w:rPr>
              <w:t>of N</w:t>
            </w:r>
            <w:r w:rsidR="00536287" w:rsidRPr="0018386D">
              <w:rPr>
                <w:szCs w:val="18"/>
              </w:rPr>
              <w:t xml:space="preserve"> in</w:t>
            </w:r>
            <w:r w:rsidRPr="0018386D">
              <w:rPr>
                <w:szCs w:val="18"/>
              </w:rPr>
              <w:t xml:space="preserve"> fertiliser)</w:t>
            </w:r>
          </w:p>
        </w:tc>
      </w:tr>
      <w:tr w:rsidR="003A7B65" w:rsidRPr="0018386D" w14:paraId="0C02D3A7" w14:textId="77777777" w:rsidTr="00F47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left w:val="nil"/>
            </w:tcBorders>
          </w:tcPr>
          <w:p w14:paraId="5971FC2C" w14:textId="0AA9F2D5" w:rsidR="003A7B65" w:rsidRPr="0018386D" w:rsidRDefault="003A7B65" w:rsidP="00DD3106">
            <w:pPr>
              <w:pStyle w:val="TableText"/>
              <w:spacing w:before="40" w:after="40"/>
              <w:rPr>
                <w:b w:val="0"/>
                <w:szCs w:val="18"/>
              </w:rPr>
            </w:pPr>
            <w:r w:rsidRPr="0018386D">
              <w:rPr>
                <w:b w:val="0"/>
                <w:szCs w:val="18"/>
              </w:rPr>
              <w:t xml:space="preserve">Non-urea nitrogen </w:t>
            </w:r>
          </w:p>
        </w:tc>
        <w:tc>
          <w:tcPr>
            <w:tcW w:w="1647" w:type="dxa"/>
          </w:tcPr>
          <w:p w14:paraId="04E412E2"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0.0157</w:t>
            </w:r>
          </w:p>
        </w:tc>
        <w:tc>
          <w:tcPr>
            <w:tcW w:w="1647" w:type="dxa"/>
          </w:tcPr>
          <w:p w14:paraId="3CB514FC"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0.0016</w:t>
            </w:r>
          </w:p>
        </w:tc>
        <w:tc>
          <w:tcPr>
            <w:tcW w:w="1647" w:type="dxa"/>
          </w:tcPr>
          <w:p w14:paraId="09F2D9D2"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0.0008</w:t>
            </w:r>
          </w:p>
        </w:tc>
        <w:tc>
          <w:tcPr>
            <w:tcW w:w="1648" w:type="dxa"/>
            <w:tcBorders>
              <w:right w:val="nil"/>
            </w:tcBorders>
          </w:tcPr>
          <w:p w14:paraId="449B11B3"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n/a</w:t>
            </w:r>
          </w:p>
        </w:tc>
      </w:tr>
      <w:tr w:rsidR="003A7B65" w:rsidRPr="0018386D" w14:paraId="5B739E4A" w14:textId="77777777" w:rsidTr="00F471D5">
        <w:tc>
          <w:tcPr>
            <w:cnfStyle w:val="001000000000" w:firstRow="0" w:lastRow="0" w:firstColumn="1" w:lastColumn="0" w:oddVBand="0" w:evenVBand="0" w:oddHBand="0" w:evenHBand="0" w:firstRowFirstColumn="0" w:firstRowLastColumn="0" w:lastRowFirstColumn="0" w:lastRowLastColumn="0"/>
            <w:tcW w:w="1916" w:type="dxa"/>
            <w:tcBorders>
              <w:top w:val="single" w:sz="8" w:space="0" w:color="1C556C" w:themeColor="accent1"/>
              <w:left w:val="nil"/>
              <w:bottom w:val="single" w:sz="8" w:space="0" w:color="1C556C" w:themeColor="accent1"/>
            </w:tcBorders>
          </w:tcPr>
          <w:p w14:paraId="637E560D" w14:textId="0745B09E" w:rsidR="003A7B65" w:rsidRPr="0018386D" w:rsidRDefault="003A7B65" w:rsidP="00DD3106">
            <w:pPr>
              <w:pStyle w:val="TableText"/>
              <w:spacing w:before="40" w:after="40"/>
              <w:rPr>
                <w:b w:val="0"/>
                <w:szCs w:val="18"/>
              </w:rPr>
            </w:pPr>
            <w:r w:rsidRPr="0018386D">
              <w:rPr>
                <w:b w:val="0"/>
                <w:szCs w:val="18"/>
              </w:rPr>
              <w:t>Urea nitrogen not coated with urease inhibitor</w:t>
            </w:r>
          </w:p>
        </w:tc>
        <w:tc>
          <w:tcPr>
            <w:tcW w:w="1647" w:type="dxa"/>
          </w:tcPr>
          <w:p w14:paraId="00B82D42"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0.0093</w:t>
            </w:r>
          </w:p>
        </w:tc>
        <w:tc>
          <w:tcPr>
            <w:tcW w:w="1647" w:type="dxa"/>
          </w:tcPr>
          <w:p w14:paraId="34ACEC1C"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0.0016</w:t>
            </w:r>
          </w:p>
        </w:tc>
        <w:tc>
          <w:tcPr>
            <w:tcW w:w="1647" w:type="dxa"/>
          </w:tcPr>
          <w:p w14:paraId="68EAAB50"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0.0008</w:t>
            </w:r>
          </w:p>
        </w:tc>
        <w:tc>
          <w:tcPr>
            <w:tcW w:w="1648" w:type="dxa"/>
            <w:tcBorders>
              <w:top w:val="single" w:sz="8" w:space="0" w:color="1C556C" w:themeColor="accent1"/>
              <w:bottom w:val="single" w:sz="8" w:space="0" w:color="1C556C" w:themeColor="accent1"/>
              <w:right w:val="nil"/>
            </w:tcBorders>
          </w:tcPr>
          <w:p w14:paraId="0DBB09CC"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1.594</w:t>
            </w:r>
          </w:p>
        </w:tc>
      </w:tr>
      <w:tr w:rsidR="003A7B65" w:rsidRPr="0018386D" w14:paraId="74F4D983" w14:textId="77777777" w:rsidTr="00F47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left w:val="nil"/>
            </w:tcBorders>
          </w:tcPr>
          <w:p w14:paraId="7D8C6C26" w14:textId="149E0A86" w:rsidR="003A7B65" w:rsidRPr="0018386D" w:rsidRDefault="003A7B65" w:rsidP="00DD3106">
            <w:pPr>
              <w:pStyle w:val="TableText"/>
              <w:spacing w:before="40" w:after="40"/>
              <w:rPr>
                <w:b w:val="0"/>
                <w:szCs w:val="18"/>
              </w:rPr>
            </w:pPr>
            <w:r w:rsidRPr="0018386D">
              <w:rPr>
                <w:b w:val="0"/>
                <w:szCs w:val="18"/>
              </w:rPr>
              <w:t>Urea nitrogen coated with urease inhibitor</w:t>
            </w:r>
          </w:p>
        </w:tc>
        <w:tc>
          <w:tcPr>
            <w:tcW w:w="1647" w:type="dxa"/>
          </w:tcPr>
          <w:p w14:paraId="0F1DE3E5"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0.0093</w:t>
            </w:r>
          </w:p>
        </w:tc>
        <w:tc>
          <w:tcPr>
            <w:tcW w:w="1647" w:type="dxa"/>
          </w:tcPr>
          <w:p w14:paraId="08BC85DC"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0.0009</w:t>
            </w:r>
          </w:p>
        </w:tc>
        <w:tc>
          <w:tcPr>
            <w:tcW w:w="1647" w:type="dxa"/>
          </w:tcPr>
          <w:p w14:paraId="43680F34"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0.0008</w:t>
            </w:r>
          </w:p>
        </w:tc>
        <w:tc>
          <w:tcPr>
            <w:tcW w:w="1648" w:type="dxa"/>
            <w:tcBorders>
              <w:right w:val="nil"/>
            </w:tcBorders>
          </w:tcPr>
          <w:p w14:paraId="0A1C2645"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18386D">
              <w:rPr>
                <w:szCs w:val="18"/>
              </w:rPr>
              <w:t>1.594</w:t>
            </w:r>
          </w:p>
        </w:tc>
      </w:tr>
    </w:tbl>
    <w:p w14:paraId="7B475C8C" w14:textId="14B9ECEF" w:rsidR="00E36BB1" w:rsidRPr="0018386D" w:rsidRDefault="00E36BB1" w:rsidP="00DD3106">
      <w:pPr>
        <w:pStyle w:val="Note"/>
      </w:pPr>
      <w:r w:rsidRPr="0018386D">
        <w:rPr>
          <w:b/>
          <w:bCs/>
        </w:rPr>
        <w:t>Note:</w:t>
      </w:r>
      <w:r w:rsidRPr="0018386D">
        <w:t xml:space="preserve"> These numbers are rounded to three decimal places unless the number is significantly small.</w:t>
      </w:r>
      <w:r w:rsidR="004C3308" w:rsidRPr="0018386D">
        <w:t xml:space="preserve"> </w:t>
      </w:r>
      <w:r w:rsidR="60C6890C" w:rsidRPr="0018386D">
        <w:t xml:space="preserve">Based on 2021 </w:t>
      </w:r>
      <w:r w:rsidR="00F471D5" w:rsidRPr="0018386D">
        <w:t>g</w:t>
      </w:r>
      <w:r w:rsidR="60C6890C" w:rsidRPr="0018386D">
        <w:t>uide.</w:t>
      </w:r>
    </w:p>
    <w:p w14:paraId="4E3991AA" w14:textId="7E73B13D" w:rsidR="003A7B65" w:rsidRPr="0018386D" w:rsidRDefault="005B0BFB" w:rsidP="00DD3106">
      <w:pPr>
        <w:pStyle w:val="Tableheading"/>
      </w:pPr>
      <w:bookmarkStart w:id="966" w:name="_Toc111536706"/>
      <w:bookmarkStart w:id="967" w:name="_Toc140049034"/>
      <w:bookmarkStart w:id="968" w:name="table94"/>
      <w:r w:rsidRPr="0018386D">
        <w:t xml:space="preserve">Table </w:t>
      </w:r>
      <w:r w:rsidRPr="0018386D">
        <w:fldChar w:fldCharType="begin"/>
      </w:r>
      <w:r w:rsidRPr="0018386D">
        <w:instrText>SEQ Table \* ARABIC</w:instrText>
      </w:r>
      <w:r w:rsidRPr="0018386D">
        <w:fldChar w:fldCharType="separate"/>
      </w:r>
      <w:r w:rsidR="008D013D" w:rsidRPr="0018386D">
        <w:rPr>
          <w:noProof/>
        </w:rPr>
        <w:t>94</w:t>
      </w:r>
      <w:r w:rsidRPr="0018386D">
        <w:fldChar w:fldCharType="end"/>
      </w:r>
      <w:r w:rsidR="00E15AFE" w:rsidRPr="0018386D">
        <w:t>:</w:t>
      </w:r>
      <w:r w:rsidR="00E15AFE" w:rsidRPr="0018386D">
        <w:tab/>
      </w:r>
      <w:r w:rsidR="003A7B65" w:rsidRPr="0018386D">
        <w:t xml:space="preserve">Quantified emissions </w:t>
      </w:r>
      <w:r w:rsidR="00E75D5A" w:rsidRPr="0018386D">
        <w:t xml:space="preserve">factors </w:t>
      </w:r>
      <w:r w:rsidR="003A7B65" w:rsidRPr="0018386D">
        <w:t>from limestone and dolomite</w:t>
      </w:r>
      <w:bookmarkEnd w:id="966"/>
      <w:bookmarkEnd w:id="967"/>
    </w:p>
    <w:tbl>
      <w:tblPr>
        <w:tblW w:w="8520"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820"/>
        <w:gridCol w:w="992"/>
        <w:gridCol w:w="2708"/>
      </w:tblGrid>
      <w:tr w:rsidR="00594268" w:rsidRPr="0018386D" w14:paraId="5A521C24" w14:textId="77777777" w:rsidTr="00594268">
        <w:trPr>
          <w:divId w:val="613827801"/>
          <w:trHeight w:val="240"/>
        </w:trPr>
        <w:tc>
          <w:tcPr>
            <w:tcW w:w="4820" w:type="dxa"/>
            <w:shd w:val="clear" w:color="000000" w:fill="1B556B" w:themeFill="text2"/>
            <w:noWrap/>
            <w:vAlign w:val="bottom"/>
            <w:hideMark/>
          </w:tcPr>
          <w:p w14:paraId="54B47E60" w14:textId="7022AB55" w:rsidR="008E2ED2" w:rsidRPr="0018386D" w:rsidRDefault="008E2ED2" w:rsidP="00DD3106">
            <w:pPr>
              <w:pStyle w:val="TableTextbold"/>
              <w:spacing w:before="40" w:after="40"/>
              <w:rPr>
                <w:color w:val="FFFFFF" w:themeColor="background1"/>
              </w:rPr>
            </w:pPr>
            <w:bookmarkStart w:id="969" w:name="_1746366951"/>
            <w:bookmarkStart w:id="970" w:name="_1745997876"/>
            <w:bookmarkStart w:id="971" w:name="_1746254123"/>
            <w:bookmarkStart w:id="972" w:name="_1747051314"/>
            <w:bookmarkEnd w:id="968"/>
            <w:bookmarkEnd w:id="969"/>
            <w:bookmarkEnd w:id="970"/>
            <w:bookmarkEnd w:id="971"/>
            <w:bookmarkEnd w:id="972"/>
            <w:r w:rsidRPr="0018386D">
              <w:rPr>
                <w:color w:val="FFFFFF" w:themeColor="background1"/>
              </w:rPr>
              <w:t>Fertiliser type</w:t>
            </w:r>
          </w:p>
        </w:tc>
        <w:tc>
          <w:tcPr>
            <w:tcW w:w="992" w:type="dxa"/>
            <w:shd w:val="clear" w:color="000000" w:fill="1B556B" w:themeFill="text2"/>
            <w:noWrap/>
            <w:vAlign w:val="bottom"/>
            <w:hideMark/>
          </w:tcPr>
          <w:p w14:paraId="2B610D48" w14:textId="77777777" w:rsidR="008E2ED2" w:rsidRPr="0018386D" w:rsidRDefault="008E2ED2" w:rsidP="00DD3106">
            <w:pPr>
              <w:pStyle w:val="TableTextbold"/>
              <w:spacing w:before="40" w:after="40"/>
              <w:rPr>
                <w:color w:val="FFFFFF" w:themeColor="background1"/>
              </w:rPr>
            </w:pPr>
            <w:r w:rsidRPr="0018386D">
              <w:rPr>
                <w:color w:val="FFFFFF" w:themeColor="background1"/>
              </w:rPr>
              <w:t>Unit</w:t>
            </w:r>
          </w:p>
        </w:tc>
        <w:tc>
          <w:tcPr>
            <w:tcW w:w="2708" w:type="dxa"/>
            <w:shd w:val="clear" w:color="000000" w:fill="1B556B" w:themeFill="text2"/>
            <w:noWrap/>
            <w:vAlign w:val="bottom"/>
            <w:hideMark/>
          </w:tcPr>
          <w:p w14:paraId="454745EB" w14:textId="57CDF02B" w:rsidR="008E2ED2" w:rsidRPr="0018386D" w:rsidRDefault="008E2ED2" w:rsidP="00DD3106">
            <w:pPr>
              <w:pStyle w:val="TableTextbold"/>
              <w:spacing w:before="40" w:after="40"/>
              <w:rPr>
                <w:color w:val="FFFFFF" w:themeColor="background1"/>
              </w:rPr>
            </w:pPr>
            <w:r w:rsidRPr="0018386D">
              <w:rPr>
                <w:color w:val="FFFFFF" w:themeColor="background1"/>
              </w:rPr>
              <w:t>Emissions (kg CO₂-e /kg fertiliser)</w:t>
            </w:r>
          </w:p>
        </w:tc>
      </w:tr>
      <w:tr w:rsidR="00FB1B1C" w:rsidRPr="0018386D" w14:paraId="4201D1E5" w14:textId="77777777" w:rsidTr="00594268">
        <w:trPr>
          <w:divId w:val="613827801"/>
          <w:trHeight w:val="240"/>
        </w:trPr>
        <w:tc>
          <w:tcPr>
            <w:tcW w:w="4820" w:type="dxa"/>
            <w:shd w:val="clear" w:color="000000" w:fill="FFFFFF"/>
            <w:noWrap/>
            <w:hideMark/>
          </w:tcPr>
          <w:p w14:paraId="1B0E6DC4" w14:textId="77777777" w:rsidR="008E2ED2" w:rsidRPr="0018386D" w:rsidRDefault="008E2ED2" w:rsidP="00DD3106">
            <w:pPr>
              <w:pStyle w:val="TableText"/>
              <w:spacing w:before="40" w:after="40"/>
            </w:pPr>
            <w:r w:rsidRPr="0018386D">
              <w:t>Limestone</w:t>
            </w:r>
          </w:p>
        </w:tc>
        <w:tc>
          <w:tcPr>
            <w:tcW w:w="992" w:type="dxa"/>
            <w:shd w:val="clear" w:color="000000" w:fill="FFFFFF"/>
            <w:noWrap/>
            <w:hideMark/>
          </w:tcPr>
          <w:p w14:paraId="1395C622" w14:textId="77777777" w:rsidR="008E2ED2" w:rsidRPr="0018386D" w:rsidRDefault="008E2ED2" w:rsidP="00DD3106">
            <w:pPr>
              <w:pStyle w:val="TableText"/>
              <w:spacing w:before="40" w:after="40"/>
            </w:pPr>
            <w:r w:rsidRPr="0018386D">
              <w:t>kg</w:t>
            </w:r>
          </w:p>
        </w:tc>
        <w:tc>
          <w:tcPr>
            <w:tcW w:w="2708" w:type="dxa"/>
            <w:shd w:val="clear" w:color="000000" w:fill="D2DDE1"/>
            <w:noWrap/>
            <w:hideMark/>
          </w:tcPr>
          <w:p w14:paraId="73DEB63A" w14:textId="77777777" w:rsidR="008E2ED2" w:rsidRPr="0018386D" w:rsidRDefault="008E2ED2" w:rsidP="00DD3106">
            <w:pPr>
              <w:pStyle w:val="TableText"/>
              <w:spacing w:before="40" w:after="40"/>
            </w:pPr>
            <w:r w:rsidRPr="0018386D">
              <w:t>0.440</w:t>
            </w:r>
          </w:p>
        </w:tc>
      </w:tr>
      <w:tr w:rsidR="00FB1B1C" w:rsidRPr="0018386D" w14:paraId="4889C32B" w14:textId="77777777" w:rsidTr="00594268">
        <w:trPr>
          <w:divId w:val="613827801"/>
          <w:trHeight w:val="240"/>
        </w:trPr>
        <w:tc>
          <w:tcPr>
            <w:tcW w:w="4820" w:type="dxa"/>
            <w:shd w:val="clear" w:color="000000" w:fill="FFFFFF"/>
            <w:noWrap/>
            <w:hideMark/>
          </w:tcPr>
          <w:p w14:paraId="5ADE1DB9" w14:textId="77777777" w:rsidR="008E2ED2" w:rsidRPr="0018386D" w:rsidRDefault="008E2ED2" w:rsidP="00DD3106">
            <w:pPr>
              <w:pStyle w:val="TableText"/>
              <w:spacing w:before="40" w:after="40"/>
            </w:pPr>
            <w:r w:rsidRPr="0018386D">
              <w:t>Dolomite</w:t>
            </w:r>
          </w:p>
        </w:tc>
        <w:tc>
          <w:tcPr>
            <w:tcW w:w="992" w:type="dxa"/>
            <w:shd w:val="clear" w:color="000000" w:fill="FFFFFF"/>
            <w:noWrap/>
            <w:hideMark/>
          </w:tcPr>
          <w:p w14:paraId="162732C1" w14:textId="77777777" w:rsidR="008E2ED2" w:rsidRPr="0018386D" w:rsidRDefault="008E2ED2" w:rsidP="00DD3106">
            <w:pPr>
              <w:pStyle w:val="TableText"/>
              <w:spacing w:before="40" w:after="40"/>
            </w:pPr>
            <w:r w:rsidRPr="0018386D">
              <w:t>kg</w:t>
            </w:r>
          </w:p>
        </w:tc>
        <w:tc>
          <w:tcPr>
            <w:tcW w:w="2708" w:type="dxa"/>
            <w:shd w:val="clear" w:color="000000" w:fill="D2DDE1"/>
            <w:noWrap/>
            <w:hideMark/>
          </w:tcPr>
          <w:p w14:paraId="78D2C2D8" w14:textId="77777777" w:rsidR="008E2ED2" w:rsidRPr="0018386D" w:rsidRDefault="008E2ED2" w:rsidP="00DD3106">
            <w:pPr>
              <w:pStyle w:val="TableText"/>
              <w:spacing w:before="40" w:after="40"/>
            </w:pPr>
            <w:r w:rsidRPr="0018386D">
              <w:t>0.477</w:t>
            </w:r>
          </w:p>
        </w:tc>
      </w:tr>
    </w:tbl>
    <w:p w14:paraId="51F05B6F" w14:textId="0A91C462" w:rsidR="004A12C7" w:rsidRPr="0018386D" w:rsidRDefault="00E36BB1" w:rsidP="00DD3106">
      <w:r w:rsidRPr="0018386D">
        <w:rPr>
          <w:b/>
          <w:sz w:val="18"/>
          <w:szCs w:val="18"/>
        </w:rPr>
        <w:t>Note:</w:t>
      </w:r>
      <w:r w:rsidRPr="0018386D">
        <w:rPr>
          <w:sz w:val="18"/>
          <w:szCs w:val="18"/>
        </w:rPr>
        <w:t xml:space="preserve"> These numbers are rounded to three decimal places.</w:t>
      </w:r>
      <w:r w:rsidR="004C3308" w:rsidRPr="0018386D">
        <w:rPr>
          <w:sz w:val="18"/>
          <w:szCs w:val="18"/>
        </w:rPr>
        <w:t xml:space="preserve"> </w:t>
      </w:r>
      <w:r w:rsidR="1D015878" w:rsidRPr="0018386D">
        <w:rPr>
          <w:sz w:val="18"/>
          <w:szCs w:val="18"/>
        </w:rPr>
        <w:t xml:space="preserve">Based on 2021 </w:t>
      </w:r>
      <w:r w:rsidR="00F471D5" w:rsidRPr="0018386D">
        <w:rPr>
          <w:sz w:val="18"/>
          <w:szCs w:val="18"/>
        </w:rPr>
        <w:t>g</w:t>
      </w:r>
      <w:r w:rsidR="1D015878" w:rsidRPr="0018386D">
        <w:rPr>
          <w:sz w:val="18"/>
          <w:szCs w:val="18"/>
        </w:rPr>
        <w:t>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BE8" w:themeFill="accent3"/>
        <w:tblLook w:val="04A0" w:firstRow="1" w:lastRow="0" w:firstColumn="1" w:lastColumn="0" w:noHBand="0" w:noVBand="1"/>
      </w:tblPr>
      <w:tblGrid>
        <w:gridCol w:w="8495"/>
      </w:tblGrid>
      <w:tr w:rsidR="00AA094F" w:rsidRPr="0018386D" w14:paraId="39B11C8A" w14:textId="77777777" w:rsidTr="00805031">
        <w:tc>
          <w:tcPr>
            <w:tcW w:w="8495" w:type="dxa"/>
            <w:shd w:val="clear" w:color="auto" w:fill="0F7B7D"/>
          </w:tcPr>
          <w:p w14:paraId="05C38AD1" w14:textId="784EAD34" w:rsidR="00AA094F" w:rsidRPr="0018386D" w:rsidRDefault="3D90FDAC" w:rsidP="00DD3106">
            <w:pPr>
              <w:pStyle w:val="Casestudyheading"/>
            </w:pPr>
            <w:r w:rsidRPr="0018386D">
              <w:rPr>
                <w:sz w:val="22"/>
              </w:rPr>
              <w:t>Calculating</w:t>
            </w:r>
            <w:r w:rsidRPr="0018386D">
              <w:t xml:space="preserve"> fertiliser emission factors </w:t>
            </w:r>
          </w:p>
        </w:tc>
      </w:tr>
      <w:tr w:rsidR="00DE7D34" w:rsidRPr="0018386D" w14:paraId="1FCE5EB7" w14:textId="77777777" w:rsidTr="001A2308">
        <w:tc>
          <w:tcPr>
            <w:tcW w:w="8495" w:type="dxa"/>
            <w:shd w:val="clear" w:color="auto" w:fill="D5EBE8"/>
          </w:tcPr>
          <w:p w14:paraId="1DAA5249" w14:textId="77777777" w:rsidR="00AA094F" w:rsidRPr="0018386D" w:rsidRDefault="00AA094F" w:rsidP="00DD3106">
            <w:pPr>
              <w:pStyle w:val="Boxtext"/>
              <w:rPr>
                <w:color w:val="1B556B" w:themeColor="text2"/>
              </w:rPr>
            </w:pPr>
            <w:r w:rsidRPr="0018386D">
              <w:t xml:space="preserve">The methodology for calculating the emission factors for </w:t>
            </w:r>
            <w:r w:rsidRPr="0018386D">
              <w:rPr>
                <w:color w:val="1B556B" w:themeColor="text2"/>
              </w:rPr>
              <w:t>the fertiliser was as follows:</w:t>
            </w:r>
          </w:p>
          <w:p w14:paraId="553DFBE8" w14:textId="77777777" w:rsidR="00AA094F" w:rsidRPr="0018386D" w:rsidRDefault="00AA094F" w:rsidP="00DD3106">
            <w:pPr>
              <w:pStyle w:val="BodyText"/>
              <w:numPr>
                <w:ilvl w:val="0"/>
                <w:numId w:val="78"/>
              </w:numPr>
              <w:rPr>
                <w:color w:val="1B556B" w:themeColor="text2"/>
              </w:rPr>
            </w:pPr>
            <w:r w:rsidRPr="0018386D">
              <w:rPr>
                <w:color w:val="1B556B" w:themeColor="text2"/>
              </w:rPr>
              <w:t>Convert the data to kg (gas) per unit kg of fertiliser.</w:t>
            </w:r>
          </w:p>
          <w:p w14:paraId="6265D47A" w14:textId="77777777" w:rsidR="00AA094F" w:rsidRPr="0018386D" w:rsidRDefault="00AA094F" w:rsidP="00DD3106">
            <w:pPr>
              <w:pStyle w:val="BodyText"/>
              <w:numPr>
                <w:ilvl w:val="0"/>
                <w:numId w:val="78"/>
              </w:numPr>
              <w:rPr>
                <w:color w:val="1B556B" w:themeColor="text2"/>
              </w:rPr>
            </w:pPr>
            <w:r w:rsidRPr="0018386D">
              <w:rPr>
                <w:color w:val="1B556B" w:themeColor="text2"/>
              </w:rPr>
              <w:t>Sum emissions per component of the total emissions.</w:t>
            </w:r>
          </w:p>
          <w:p w14:paraId="766BC76C" w14:textId="7EDD3AAB" w:rsidR="00AA094F" w:rsidRPr="0018386D" w:rsidRDefault="00AA094F" w:rsidP="00DD3106">
            <w:pPr>
              <w:pStyle w:val="BodyText"/>
              <w:numPr>
                <w:ilvl w:val="0"/>
                <w:numId w:val="78"/>
              </w:numPr>
              <w:rPr>
                <w:color w:val="1B556B" w:themeColor="text2"/>
              </w:rPr>
            </w:pPr>
            <w:r w:rsidRPr="0018386D">
              <w:rPr>
                <w:rFonts w:eastAsia="Calibri"/>
                <w:color w:val="1B556B" w:themeColor="text2"/>
              </w:rPr>
              <w:t>Calculate total carbon dioxide equivalent by multiplying the total kg gas/kg of fertiliser by the IPCC AR5 100-year global warming potential of that gas.</w:t>
            </w:r>
          </w:p>
        </w:tc>
      </w:tr>
      <w:tr w:rsidR="00AA094F" w:rsidRPr="0018386D" w14:paraId="5BEFD096" w14:textId="77777777" w:rsidTr="001A2308">
        <w:tc>
          <w:tcPr>
            <w:tcW w:w="8495" w:type="dxa"/>
            <w:shd w:val="clear" w:color="auto" w:fill="D5EBE8"/>
          </w:tcPr>
          <w:p w14:paraId="7690218A" w14:textId="420B7CDD" w:rsidR="00AA094F" w:rsidRPr="0018386D" w:rsidRDefault="00AA094F" w:rsidP="00DD3106">
            <w:pPr>
              <w:pStyle w:val="Boxtext"/>
              <w:rPr>
                <w:color w:val="1B556B" w:themeColor="text2"/>
              </w:rPr>
            </w:pPr>
            <w:r w:rsidRPr="0018386D">
              <w:t>For</w:t>
            </w:r>
            <w:r w:rsidRPr="0018386D">
              <w:rPr>
                <w:color w:val="1B556B" w:themeColor="text2"/>
              </w:rPr>
              <w:t xml:space="preserve"> limestone, the emission factors in </w:t>
            </w:r>
            <w:hyperlink w:anchor="table94" w:history="1">
              <w:r w:rsidRPr="0018386D">
                <w:rPr>
                  <w:rStyle w:val="Hyperlink"/>
                </w:rPr>
                <w:t>table 94</w:t>
              </w:r>
            </w:hyperlink>
            <w:r w:rsidRPr="0018386D">
              <w:rPr>
                <w:color w:val="1B556B" w:themeColor="text2"/>
              </w:rPr>
              <w:t xml:space="preserve"> assume that the lime applied to soils is 100 per cent pure calcium carbonate; MPI applies a correction factor of 82 per cent to the volume of agricultural lime applied to soil prior to determining estimated emissions. This accounts for the impurities of the lime, as well as its moisture content. No correction factor is required for dolomite.</w:t>
            </w:r>
          </w:p>
          <w:p w14:paraId="05C5221A" w14:textId="26759C16" w:rsidR="00AA094F" w:rsidRPr="0018386D" w:rsidRDefault="00FC1E99" w:rsidP="00DD3106">
            <w:pPr>
              <w:pStyle w:val="Boxtext"/>
              <w:rPr>
                <w:color w:val="1B556B" w:themeColor="text2"/>
              </w:rPr>
            </w:pPr>
            <w:r w:rsidRPr="0018386D">
              <w:t>Non-urea nitroge</w:t>
            </w:r>
            <w:r w:rsidRPr="0018386D">
              <w:rPr>
                <w:color w:val="1B556B" w:themeColor="text2"/>
              </w:rPr>
              <w:t>n f</w:t>
            </w:r>
            <w:r w:rsidR="002C6CAD" w:rsidRPr="0018386D">
              <w:rPr>
                <w:color w:val="1B556B" w:themeColor="text2"/>
              </w:rPr>
              <w:t>ertiliser</w:t>
            </w:r>
            <w:r w:rsidRPr="0018386D">
              <w:rPr>
                <w:color w:val="1B556B" w:themeColor="text2"/>
              </w:rPr>
              <w:t xml:space="preserve"> (table 93)</w:t>
            </w:r>
            <w:r w:rsidR="002C6CAD" w:rsidRPr="0018386D">
              <w:rPr>
                <w:color w:val="1B556B" w:themeColor="text2"/>
              </w:rPr>
              <w:t xml:space="preserve"> emission factors </w:t>
            </w:r>
            <w:r w:rsidR="00984478" w:rsidRPr="0018386D">
              <w:rPr>
                <w:color w:val="1B556B" w:themeColor="text2"/>
              </w:rPr>
              <w:t xml:space="preserve">are calculated as follows: </w:t>
            </w:r>
          </w:p>
          <w:p w14:paraId="76B9F0BF" w14:textId="08F1B776" w:rsidR="00AA094F" w:rsidRPr="0018386D" w:rsidRDefault="00AA094F" w:rsidP="00DD3106">
            <w:pPr>
              <w:pStyle w:val="Boxtext"/>
              <w:rPr>
                <w:color w:val="1B556B" w:themeColor="text2"/>
              </w:rPr>
            </w:pPr>
            <w:r w:rsidRPr="0018386D">
              <w:t>Total emissions per gas</w:t>
            </w:r>
            <w:r w:rsidRPr="0018386D" w:rsidDel="00FC1E99">
              <w:rPr>
                <w:color w:val="1B556B" w:themeColor="text2"/>
              </w:rPr>
              <w:t>:</w:t>
            </w:r>
          </w:p>
          <w:p w14:paraId="4572010C" w14:textId="54757563" w:rsidR="00A115F7" w:rsidRPr="0018386D" w:rsidRDefault="00AA094F" w:rsidP="00DD3106">
            <w:pPr>
              <w:pStyle w:val="Bullet"/>
              <w:numPr>
                <w:ilvl w:val="0"/>
                <w:numId w:val="82"/>
              </w:numPr>
              <w:rPr>
                <w:color w:val="1B556B" w:themeColor="text2"/>
              </w:rPr>
            </w:pPr>
            <w:r w:rsidRPr="0018386D">
              <w:rPr>
                <w:color w:val="1B556B" w:themeColor="text2"/>
              </w:rPr>
              <w:t>N</w:t>
            </w:r>
            <w:r w:rsidRPr="0018386D">
              <w:rPr>
                <w:color w:val="1B556B" w:themeColor="text2"/>
                <w:vertAlign w:val="subscript"/>
              </w:rPr>
              <w:t>2</w:t>
            </w:r>
            <w:r w:rsidRPr="0018386D">
              <w:rPr>
                <w:color w:val="1B556B" w:themeColor="text2"/>
              </w:rPr>
              <w:t>O = 0.0008 + 0.0016 + 0.0157 = 0.0181 kg N</w:t>
            </w:r>
            <w:r w:rsidRPr="0018386D">
              <w:rPr>
                <w:color w:val="1B556B" w:themeColor="text2"/>
                <w:vertAlign w:val="subscript"/>
              </w:rPr>
              <w:t>2</w:t>
            </w:r>
            <w:r w:rsidRPr="0018386D">
              <w:rPr>
                <w:color w:val="1B556B" w:themeColor="text2"/>
              </w:rPr>
              <w:t>O/kg fertiliser</w:t>
            </w:r>
          </w:p>
          <w:p w14:paraId="54159B33" w14:textId="090E5FAE" w:rsidR="00AA094F" w:rsidRPr="0018386D" w:rsidRDefault="00AA094F" w:rsidP="00DD3106">
            <w:pPr>
              <w:pStyle w:val="Boxtext"/>
              <w:rPr>
                <w:color w:val="1B556B" w:themeColor="text2"/>
              </w:rPr>
            </w:pPr>
            <w:r w:rsidRPr="0018386D">
              <w:t>Total carbon dioxide equivalent =</w:t>
            </w:r>
            <w:r w:rsidRPr="0018386D">
              <w:rPr>
                <w:color w:val="1B556B" w:themeColor="text2"/>
              </w:rPr>
              <w:t xml:space="preserve"> 0.018 × 265 </w:t>
            </w:r>
            <w:r w:rsidR="00EE464D" w:rsidRPr="0018386D">
              <w:rPr>
                <w:color w:val="1B556B" w:themeColor="text2"/>
              </w:rPr>
              <w:t>(GWP)</w:t>
            </w:r>
            <w:r w:rsidRPr="0018386D">
              <w:rPr>
                <w:color w:val="1B556B" w:themeColor="text2"/>
              </w:rPr>
              <w:t xml:space="preserve"> = 4.80 kg CO</w:t>
            </w:r>
            <w:r w:rsidRPr="0018386D">
              <w:rPr>
                <w:color w:val="1B556B" w:themeColor="text2"/>
                <w:vertAlign w:val="subscript"/>
              </w:rPr>
              <w:t>2</w:t>
            </w:r>
            <w:r w:rsidRPr="0018386D">
              <w:rPr>
                <w:color w:val="1B556B" w:themeColor="text2"/>
              </w:rPr>
              <w:t>-e/kg fertiliser.</w:t>
            </w:r>
          </w:p>
        </w:tc>
      </w:tr>
    </w:tbl>
    <w:p w14:paraId="6C1FB310" w14:textId="2F1E745B" w:rsidR="00365B0A" w:rsidRPr="0018386D" w:rsidRDefault="00365B0A" w:rsidP="00DD3106">
      <w:pPr>
        <w:pStyle w:val="Heading4"/>
        <w:numPr>
          <w:ilvl w:val="3"/>
          <w:numId w:val="8"/>
        </w:numPr>
        <w:spacing w:before="440"/>
        <w:ind w:left="1134" w:hanging="1134"/>
        <w:rPr>
          <w:rFonts w:eastAsia="Georgia" w:cs="Georgia"/>
          <w:color w:val="000000" w:themeColor="text1"/>
          <w:szCs w:val="24"/>
        </w:rPr>
      </w:pPr>
      <w:r w:rsidRPr="0018386D">
        <w:t>GHG inventory development - lime</w:t>
      </w:r>
    </w:p>
    <w:p w14:paraId="213444FC" w14:textId="3B867D39" w:rsidR="00E8052F" w:rsidRPr="0018386D" w:rsidRDefault="00E8052F" w:rsidP="00DD3106">
      <w:pPr>
        <w:pStyle w:val="BodyText"/>
      </w:pPr>
      <w:r w:rsidRPr="0018386D">
        <w:rPr>
          <w:lang w:eastAsia="en-US"/>
        </w:rPr>
        <w:t xml:space="preserve">Organisations should collect data on quantity of </w:t>
      </w:r>
      <w:r w:rsidR="00A70D96" w:rsidRPr="0018386D">
        <w:rPr>
          <w:lang w:eastAsia="en-US"/>
        </w:rPr>
        <w:t>lime</w:t>
      </w:r>
      <w:r w:rsidRPr="0018386D">
        <w:rPr>
          <w:lang w:eastAsia="en-US"/>
        </w:rPr>
        <w:t xml:space="preserve"> (in kg) fertiliser used in the reporting period by type. </w:t>
      </w:r>
      <w:r w:rsidRPr="0018386D">
        <w:t>Applying the equation E</w:t>
      </w:r>
      <w:r w:rsidR="00B37794" w:rsidRPr="0018386D">
        <w:t xml:space="preserve"> </w:t>
      </w:r>
      <w:r w:rsidRPr="0018386D">
        <w:t>= Q x F (</w:t>
      </w:r>
      <w:hyperlink w:anchor="_How_to_quantify" w:history="1">
        <w:r w:rsidRPr="0018386D">
          <w:rPr>
            <w:rStyle w:val="Hyperlink"/>
          </w:rPr>
          <w:t>section 2</w:t>
        </w:r>
      </w:hyperlink>
      <w:r w:rsidRPr="0018386D">
        <w:rPr>
          <w:rStyle w:val="Hyperlink"/>
          <w:color w:val="auto"/>
        </w:rPr>
        <w:t>)</w:t>
      </w:r>
      <w:r w:rsidRPr="0018386D">
        <w:rPr>
          <w:i/>
        </w:rPr>
        <w:t>,</w:t>
      </w:r>
      <w:r w:rsidRPr="0018386D">
        <w:t xml:space="preserve"> this means:</w:t>
      </w:r>
    </w:p>
    <w:p w14:paraId="6D473908" w14:textId="77777777" w:rsidR="00E8052F" w:rsidRPr="0018386D" w:rsidRDefault="00E8052F" w:rsidP="00DD3106">
      <w:pPr>
        <w:pStyle w:val="BodyText"/>
        <w:tabs>
          <w:tab w:val="left" w:pos="680"/>
          <w:tab w:val="left" w:pos="1134"/>
        </w:tabs>
        <w:contextualSpacing/>
      </w:pPr>
      <w:r w:rsidRPr="0018386D">
        <w:t>E</w:t>
      </w:r>
      <w:r w:rsidRPr="0018386D">
        <w:tab/>
        <w:t>=</w:t>
      </w:r>
      <w:r w:rsidRPr="0018386D">
        <w:tab/>
        <w:t>emissions from the emissions source in kg CO</w:t>
      </w:r>
      <w:r w:rsidRPr="0018386D">
        <w:rPr>
          <w:vertAlign w:val="subscript"/>
        </w:rPr>
        <w:t>2</w:t>
      </w:r>
      <w:r w:rsidRPr="0018386D">
        <w:t xml:space="preserve">-e per year </w:t>
      </w:r>
    </w:p>
    <w:p w14:paraId="6063DEAA" w14:textId="77777777" w:rsidR="00E8052F" w:rsidRPr="0018386D" w:rsidRDefault="00E8052F" w:rsidP="00DD3106">
      <w:pPr>
        <w:pStyle w:val="BodyText"/>
        <w:tabs>
          <w:tab w:val="left" w:pos="680"/>
          <w:tab w:val="left" w:pos="1134"/>
        </w:tabs>
        <w:contextualSpacing/>
      </w:pPr>
      <w:r w:rsidRPr="0018386D">
        <w:t>Q</w:t>
      </w:r>
      <w:r w:rsidRPr="0018386D">
        <w:tab/>
        <w:t>=</w:t>
      </w:r>
      <w:r w:rsidRPr="0018386D">
        <w:tab/>
        <w:t>type of fertiliser used (in kg)</w:t>
      </w:r>
    </w:p>
    <w:p w14:paraId="5FA7C955" w14:textId="2682B7CD" w:rsidR="00E8052F" w:rsidRPr="0018386D" w:rsidRDefault="00E8052F" w:rsidP="00DD3106">
      <w:pPr>
        <w:pStyle w:val="BodyText"/>
        <w:tabs>
          <w:tab w:val="left" w:pos="680"/>
          <w:tab w:val="left" w:pos="1134"/>
        </w:tabs>
        <w:spacing w:after="240"/>
        <w:contextualSpacing/>
      </w:pPr>
      <w:r w:rsidRPr="0018386D">
        <w:t>F</w:t>
      </w:r>
      <w:r w:rsidRPr="0018386D">
        <w:tab/>
        <w:t>=</w:t>
      </w:r>
      <w:r w:rsidRPr="0018386D">
        <w:tab/>
        <w:t xml:space="preserve">appropriate emission factors from </w:t>
      </w:r>
      <w:hyperlink w:anchor="table94" w:history="1">
        <w:r w:rsidR="00756161" w:rsidRPr="0018386D">
          <w:rPr>
            <w:rStyle w:val="Hyperlink"/>
          </w:rPr>
          <w:t>table 94</w:t>
        </w:r>
      </w:hyperlink>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E45D6F" w:rsidRPr="0018386D" w:rsidDel="00D5390D" w14:paraId="34380CB8" w14:textId="77777777" w:rsidTr="00B56F79">
        <w:tc>
          <w:tcPr>
            <w:tcW w:w="8500" w:type="dxa"/>
            <w:tcBorders>
              <w:top w:val="single" w:sz="4" w:space="0" w:color="0F7B7D"/>
              <w:left w:val="single" w:sz="4" w:space="0" w:color="0F7B7D"/>
              <w:bottom w:val="nil"/>
              <w:right w:val="single" w:sz="4" w:space="0" w:color="0F7B7D"/>
            </w:tcBorders>
            <w:shd w:val="clear" w:color="auto" w:fill="0F7B7D"/>
            <w:vAlign w:val="center"/>
          </w:tcPr>
          <w:p w14:paraId="42E3B232" w14:textId="7E339A39" w:rsidR="00E8052F" w:rsidRPr="0018386D" w:rsidDel="00D5390D" w:rsidRDefault="00E8052F" w:rsidP="00DD3106">
            <w:pPr>
              <w:pStyle w:val="Casestudyheading"/>
            </w:pPr>
            <w:r w:rsidRPr="0018386D">
              <w:t>FERTILISER USE: Example Calculation</w:t>
            </w:r>
          </w:p>
        </w:tc>
      </w:tr>
      <w:tr w:rsidR="00E45D6F" w:rsidRPr="0018386D" w14:paraId="02683E7F" w14:textId="77777777" w:rsidTr="00B56F79">
        <w:trPr>
          <w:trHeight w:val="61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54CBF8A" w14:textId="77777777" w:rsidR="00E8052F" w:rsidRPr="0018386D" w:rsidRDefault="00E8052F" w:rsidP="00DD3106">
            <w:pPr>
              <w:pStyle w:val="Boxtext"/>
              <w:spacing w:after="80"/>
            </w:pPr>
            <w:r w:rsidRPr="0018386D">
              <w:t>An organisation uses 1,600 kg of lime fertiliser in the reporting year.</w:t>
            </w:r>
          </w:p>
          <w:p w14:paraId="4C5D0306" w14:textId="7FD1F1CF" w:rsidR="00E8052F" w:rsidRPr="0018386D" w:rsidRDefault="00E8052F" w:rsidP="00DD3106">
            <w:pPr>
              <w:pStyle w:val="Boxtext"/>
              <w:tabs>
                <w:tab w:val="left" w:pos="3008"/>
                <w:tab w:val="left" w:pos="5134"/>
              </w:tabs>
              <w:spacing w:before="20" w:after="20"/>
              <w:ind w:left="850"/>
            </w:pPr>
            <w:r w:rsidRPr="0018386D">
              <w:t>CO</w:t>
            </w:r>
            <w:r w:rsidRPr="0018386D">
              <w:rPr>
                <w:vertAlign w:val="subscript"/>
              </w:rPr>
              <w:t>2</w:t>
            </w:r>
            <w:r w:rsidRPr="0018386D">
              <w:t xml:space="preserve"> emissions </w:t>
            </w:r>
            <w:r w:rsidRPr="0018386D">
              <w:tab/>
              <w:t xml:space="preserve">= ((1,600 </w:t>
            </w:r>
            <w:r w:rsidRPr="0018386D">
              <w:rPr>
                <w:rFonts w:cs="Calibri"/>
              </w:rPr>
              <w:t>× 0.82) x 0.44)</w:t>
            </w:r>
            <w:r w:rsidRPr="0018386D">
              <w:t xml:space="preserve"> </w:t>
            </w:r>
            <w:r w:rsidRPr="0018386D">
              <w:tab/>
            </w:r>
            <w:r w:rsidRPr="0018386D">
              <w:rPr>
                <w:rFonts w:cs="Calibri"/>
              </w:rPr>
              <w:t>= 577.</w:t>
            </w:r>
            <w:r w:rsidR="00371428" w:rsidRPr="0018386D">
              <w:rPr>
                <w:rFonts w:cs="Calibri"/>
              </w:rPr>
              <w:t>28</w:t>
            </w:r>
            <w:r w:rsidRPr="0018386D">
              <w:rPr>
                <w:rFonts w:cs="Calibri"/>
              </w:rPr>
              <w:t xml:space="preserve"> </w:t>
            </w:r>
            <w:r w:rsidRPr="0018386D">
              <w:t>kg CO</w:t>
            </w:r>
            <w:r w:rsidRPr="0018386D">
              <w:rPr>
                <w:vertAlign w:val="subscript"/>
              </w:rPr>
              <w:t>2</w:t>
            </w:r>
            <w:r w:rsidRPr="0018386D">
              <w:t>-e</w:t>
            </w:r>
          </w:p>
          <w:p w14:paraId="2749DA9E" w14:textId="77777777" w:rsidR="00E8052F" w:rsidRPr="0018386D" w:rsidRDefault="00E8052F" w:rsidP="00DD3106">
            <w:pPr>
              <w:pStyle w:val="Boxtext"/>
              <w:tabs>
                <w:tab w:val="left" w:pos="3008"/>
                <w:tab w:val="left" w:pos="5134"/>
              </w:tabs>
              <w:spacing w:before="20" w:after="20"/>
              <w:ind w:left="850"/>
            </w:pPr>
            <w:r w:rsidRPr="0018386D">
              <w:t>CH</w:t>
            </w:r>
            <w:r w:rsidRPr="0018386D">
              <w:rPr>
                <w:vertAlign w:val="subscript"/>
              </w:rPr>
              <w:t>4</w:t>
            </w:r>
            <w:r w:rsidRPr="0018386D">
              <w:t xml:space="preserve"> emissions </w:t>
            </w:r>
            <w:r w:rsidRPr="0018386D">
              <w:tab/>
              <w:t xml:space="preserve">= (1,600 </w:t>
            </w:r>
            <w:r w:rsidRPr="0018386D">
              <w:rPr>
                <w:rFonts w:cs="Calibri"/>
              </w:rPr>
              <w:t>× 0</w:t>
            </w:r>
            <w:r w:rsidRPr="0018386D">
              <w:t xml:space="preserve">) </w:t>
            </w:r>
            <w:r w:rsidRPr="0018386D">
              <w:tab/>
              <w:t>= 0 kg CO</w:t>
            </w:r>
            <w:r w:rsidRPr="0018386D">
              <w:rPr>
                <w:vertAlign w:val="subscript"/>
              </w:rPr>
              <w:t>2</w:t>
            </w:r>
            <w:r w:rsidRPr="0018386D">
              <w:t xml:space="preserve">-e </w:t>
            </w:r>
          </w:p>
          <w:p w14:paraId="5754A648" w14:textId="77777777" w:rsidR="00E8052F" w:rsidRPr="0018386D" w:rsidRDefault="00E8052F" w:rsidP="00DD3106">
            <w:pPr>
              <w:pStyle w:val="Boxtext"/>
              <w:tabs>
                <w:tab w:val="left" w:pos="3008"/>
                <w:tab w:val="left" w:pos="5134"/>
              </w:tabs>
              <w:spacing w:before="20" w:after="20"/>
              <w:ind w:left="850"/>
            </w:pPr>
            <w:r w:rsidRPr="0018386D">
              <w:t>N</w:t>
            </w:r>
            <w:r w:rsidRPr="0018386D">
              <w:rPr>
                <w:vertAlign w:val="subscript"/>
              </w:rPr>
              <w:t>2</w:t>
            </w:r>
            <w:r w:rsidRPr="0018386D">
              <w:t xml:space="preserve">O emissions </w:t>
            </w:r>
            <w:r w:rsidRPr="0018386D">
              <w:tab/>
              <w:t xml:space="preserve">= (1,600 </w:t>
            </w:r>
            <w:r w:rsidRPr="0018386D">
              <w:rPr>
                <w:rFonts w:cs="Calibri"/>
              </w:rPr>
              <w:t>× 0</w:t>
            </w:r>
            <w:r w:rsidRPr="0018386D">
              <w:t xml:space="preserve">) </w:t>
            </w:r>
            <w:r w:rsidRPr="0018386D">
              <w:tab/>
              <w:t>= 0 kg CO</w:t>
            </w:r>
            <w:r w:rsidRPr="0018386D">
              <w:rPr>
                <w:vertAlign w:val="subscript"/>
              </w:rPr>
              <w:t>2</w:t>
            </w:r>
            <w:r w:rsidRPr="0018386D">
              <w:t>-e</w:t>
            </w:r>
          </w:p>
          <w:p w14:paraId="657BEB8D" w14:textId="34369733" w:rsidR="00E8052F" w:rsidRPr="0018386D" w:rsidRDefault="00E8052F" w:rsidP="00DD3106">
            <w:pPr>
              <w:pStyle w:val="Boxtext"/>
              <w:tabs>
                <w:tab w:val="left" w:pos="3008"/>
                <w:tab w:val="left" w:pos="5134"/>
              </w:tabs>
              <w:spacing w:before="20" w:after="20"/>
              <w:ind w:left="850"/>
            </w:pPr>
            <w:r w:rsidRPr="0018386D">
              <w:t>Total CO</w:t>
            </w:r>
            <w:r w:rsidRPr="0018386D">
              <w:rPr>
                <w:vertAlign w:val="subscript"/>
              </w:rPr>
              <w:t>2</w:t>
            </w:r>
            <w:r w:rsidRPr="0018386D">
              <w:t xml:space="preserve">-e emissions </w:t>
            </w:r>
            <w:r w:rsidRPr="0018386D">
              <w:tab/>
              <w:t>= 577.</w:t>
            </w:r>
            <w:r w:rsidR="00371428" w:rsidRPr="0018386D">
              <w:t>28</w:t>
            </w:r>
            <w:r w:rsidRPr="0018386D">
              <w:t xml:space="preserve"> kg CO</w:t>
            </w:r>
            <w:r w:rsidRPr="0018386D">
              <w:rPr>
                <w:vertAlign w:val="subscript"/>
              </w:rPr>
              <w:t>2</w:t>
            </w:r>
            <w:r w:rsidRPr="0018386D">
              <w:t>-e</w:t>
            </w:r>
          </w:p>
          <w:p w14:paraId="5E08606E" w14:textId="77777777" w:rsidR="00E8052F" w:rsidRPr="0018386D" w:rsidRDefault="00E8052F" w:rsidP="00DD3106">
            <w:pPr>
              <w:pStyle w:val="Boxtext"/>
              <w:spacing w:after="180"/>
            </w:pPr>
            <w:r w:rsidRPr="0018386D">
              <w:rPr>
                <w:sz w:val="18"/>
              </w:rPr>
              <w:t>Note: Numbers may not add due to rounding.</w:t>
            </w:r>
          </w:p>
        </w:tc>
      </w:tr>
    </w:tbl>
    <w:p w14:paraId="7D0022C1" w14:textId="77777777" w:rsidR="00014A89" w:rsidRPr="0018386D" w:rsidRDefault="00014A89" w:rsidP="00DD3106">
      <w:pPr>
        <w:pStyle w:val="Heading4"/>
        <w:numPr>
          <w:ilvl w:val="3"/>
          <w:numId w:val="8"/>
        </w:numPr>
        <w:spacing w:before="440"/>
        <w:ind w:left="1134" w:hanging="1134"/>
        <w:rPr>
          <w:rFonts w:eastAsia="Georgia" w:cs="Georgia"/>
          <w:color w:val="000000" w:themeColor="text1"/>
          <w:szCs w:val="24"/>
        </w:rPr>
      </w:pPr>
      <w:r w:rsidRPr="0018386D">
        <w:t xml:space="preserve">Assumptions, </w:t>
      </w:r>
      <w:proofErr w:type="gramStart"/>
      <w:r w:rsidRPr="0018386D">
        <w:t>limitations</w:t>
      </w:r>
      <w:proofErr w:type="gramEnd"/>
      <w:r w:rsidRPr="0018386D">
        <w:t xml:space="preserve"> and uncertainties</w:t>
      </w:r>
    </w:p>
    <w:p w14:paraId="2D220801" w14:textId="43908711" w:rsidR="003A7B65" w:rsidRPr="0018386D" w:rsidRDefault="00B732CC" w:rsidP="00DD3106">
      <w:pPr>
        <w:pStyle w:val="BodyText"/>
      </w:pPr>
      <w:r w:rsidRPr="0018386D">
        <w:t xml:space="preserve">MPI used the </w:t>
      </w:r>
      <w:r w:rsidR="003A7B65" w:rsidRPr="0018386D">
        <w:t xml:space="preserve">following parameters to calculate the emissions. </w:t>
      </w:r>
    </w:p>
    <w:p w14:paraId="0D99D913" w14:textId="674EBB42" w:rsidR="003A7B65" w:rsidRPr="0018386D" w:rsidRDefault="007F6E39" w:rsidP="00DD3106">
      <w:pPr>
        <w:pStyle w:val="Tableheading"/>
      </w:pPr>
      <w:bookmarkStart w:id="973" w:name="_Toc140049035"/>
      <w:r w:rsidRPr="0018386D">
        <w:t xml:space="preserve">Table </w:t>
      </w:r>
      <w:r w:rsidRPr="0018386D">
        <w:fldChar w:fldCharType="begin"/>
      </w:r>
      <w:r w:rsidRPr="0018386D">
        <w:instrText>SEQ Table \* ARABIC</w:instrText>
      </w:r>
      <w:r w:rsidRPr="0018386D">
        <w:fldChar w:fldCharType="separate"/>
      </w:r>
      <w:r w:rsidR="005B0953" w:rsidRPr="0018386D">
        <w:rPr>
          <w:noProof/>
        </w:rPr>
        <w:t>95</w:t>
      </w:r>
      <w:r w:rsidRPr="0018386D">
        <w:fldChar w:fldCharType="end"/>
      </w:r>
      <w:r w:rsidRPr="0018386D">
        <w:t>:</w:t>
      </w:r>
      <w:r w:rsidR="001E4D0B" w:rsidRPr="0018386D">
        <w:t xml:space="preserve"> </w:t>
      </w:r>
      <w:r w:rsidRPr="0018386D">
        <w:tab/>
      </w:r>
      <w:r w:rsidR="003A7B65" w:rsidRPr="0018386D">
        <w:t>Parameters for calculatin</w:t>
      </w:r>
      <w:r w:rsidR="007F19F9" w:rsidRPr="0018386D">
        <w:t>g</w:t>
      </w:r>
      <w:r w:rsidR="003A7B65" w:rsidRPr="0018386D">
        <w:t xml:space="preserve"> emissions from </w:t>
      </w:r>
      <w:proofErr w:type="gramStart"/>
      <w:r w:rsidR="003A7B65" w:rsidRPr="0018386D">
        <w:t>fertilisers</w:t>
      </w:r>
      <w:bookmarkEnd w:id="973"/>
      <w:proofErr w:type="gramEnd"/>
    </w:p>
    <w:tbl>
      <w:tblPr>
        <w:tblStyle w:val="LightList-Accent11"/>
        <w:tblW w:w="8505" w:type="dxa"/>
        <w:tblLook w:val="04A0" w:firstRow="1" w:lastRow="0" w:firstColumn="1" w:lastColumn="0" w:noHBand="0" w:noVBand="1"/>
      </w:tblPr>
      <w:tblGrid>
        <w:gridCol w:w="2735"/>
        <w:gridCol w:w="718"/>
        <w:gridCol w:w="5052"/>
      </w:tblGrid>
      <w:tr w:rsidR="003A7B65" w:rsidRPr="0018386D" w14:paraId="61820ADD" w14:textId="77777777" w:rsidTr="005F0E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35" w:type="dxa"/>
            <w:tcBorders>
              <w:bottom w:val="single" w:sz="8" w:space="0" w:color="1C556C" w:themeColor="accent1"/>
            </w:tcBorders>
            <w:shd w:val="clear" w:color="auto" w:fill="1B556B" w:themeFill="text2"/>
          </w:tcPr>
          <w:p w14:paraId="622955B0" w14:textId="77777777" w:rsidR="003A7B65" w:rsidRPr="0018386D" w:rsidRDefault="003A7B65" w:rsidP="00DD3106">
            <w:pPr>
              <w:pStyle w:val="TableText"/>
              <w:keepNext/>
              <w:spacing w:before="40" w:after="40"/>
              <w:rPr>
                <w:rFonts w:cs="Calibri"/>
                <w:szCs w:val="18"/>
              </w:rPr>
            </w:pPr>
            <w:r w:rsidRPr="0018386D">
              <w:rPr>
                <w:rFonts w:cs="Calibri"/>
                <w:szCs w:val="18"/>
              </w:rPr>
              <w:t xml:space="preserve">Parameter </w:t>
            </w:r>
          </w:p>
        </w:tc>
        <w:tc>
          <w:tcPr>
            <w:tcW w:w="0" w:type="auto"/>
            <w:shd w:val="clear" w:color="auto" w:fill="1B556B" w:themeFill="text2"/>
          </w:tcPr>
          <w:p w14:paraId="66C92C15" w14:textId="77777777" w:rsidR="003A7B65" w:rsidRPr="0018386D" w:rsidRDefault="003A7B65" w:rsidP="00DD3106">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Value</w:t>
            </w:r>
          </w:p>
        </w:tc>
        <w:tc>
          <w:tcPr>
            <w:tcW w:w="5052" w:type="dxa"/>
            <w:tcBorders>
              <w:bottom w:val="single" w:sz="8" w:space="0" w:color="1C556C" w:themeColor="accent1"/>
            </w:tcBorders>
            <w:shd w:val="clear" w:color="auto" w:fill="1B556B" w:themeFill="text2"/>
          </w:tcPr>
          <w:p w14:paraId="4EAD1817" w14:textId="77777777" w:rsidR="003A7B65" w:rsidRPr="0018386D" w:rsidRDefault="003A7B65" w:rsidP="00DD3106">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18386D">
              <w:rPr>
                <w:rFonts w:cs="Calibri"/>
                <w:szCs w:val="18"/>
              </w:rPr>
              <w:t>Source</w:t>
            </w:r>
          </w:p>
        </w:tc>
      </w:tr>
      <w:tr w:rsidR="003A7B65" w:rsidRPr="0018386D" w14:paraId="2854B95C" w14:textId="77777777" w:rsidTr="005F0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Borders>
              <w:left w:val="nil"/>
            </w:tcBorders>
          </w:tcPr>
          <w:p w14:paraId="54E79853" w14:textId="77777777" w:rsidR="003A7B65" w:rsidRPr="0018386D" w:rsidRDefault="003A7B65" w:rsidP="00DD3106">
            <w:pPr>
              <w:pStyle w:val="TableText"/>
              <w:spacing w:before="40" w:after="40"/>
              <w:rPr>
                <w:rFonts w:cs="Calibri"/>
                <w:b w:val="0"/>
                <w:szCs w:val="18"/>
              </w:rPr>
            </w:pPr>
            <w:r w:rsidRPr="0018386D">
              <w:rPr>
                <w:rFonts w:cs="Calibri"/>
                <w:b w:val="0"/>
                <w:szCs w:val="18"/>
              </w:rPr>
              <w:t>Direct emission factor non-</w:t>
            </w:r>
            <w:proofErr w:type="gramStart"/>
            <w:r w:rsidRPr="0018386D">
              <w:rPr>
                <w:rFonts w:cs="Calibri"/>
                <w:b w:val="0"/>
                <w:szCs w:val="18"/>
              </w:rPr>
              <w:t>urea-N</w:t>
            </w:r>
            <w:proofErr w:type="gramEnd"/>
          </w:p>
        </w:tc>
        <w:tc>
          <w:tcPr>
            <w:tcW w:w="0" w:type="auto"/>
          </w:tcPr>
          <w:p w14:paraId="53CB9266"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0.01</w:t>
            </w:r>
          </w:p>
        </w:tc>
        <w:tc>
          <w:tcPr>
            <w:tcW w:w="5052" w:type="dxa"/>
            <w:tcBorders>
              <w:right w:val="nil"/>
            </w:tcBorders>
          </w:tcPr>
          <w:p w14:paraId="43BC429F" w14:textId="77777777" w:rsidR="003A7B65" w:rsidRPr="0018386D" w:rsidRDefault="003A7B6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 xml:space="preserve">Based on </w:t>
            </w:r>
            <w:proofErr w:type="spellStart"/>
            <w:r w:rsidRPr="0018386D">
              <w:rPr>
                <w:rFonts w:cs="Calibri"/>
                <w:szCs w:val="18"/>
              </w:rPr>
              <w:t>Kelliher</w:t>
            </w:r>
            <w:proofErr w:type="spellEnd"/>
            <w:r w:rsidRPr="0018386D">
              <w:rPr>
                <w:rFonts w:cs="Calibri"/>
                <w:szCs w:val="18"/>
              </w:rPr>
              <w:t xml:space="preserve"> and de Klein, 2006</w:t>
            </w:r>
          </w:p>
        </w:tc>
      </w:tr>
      <w:tr w:rsidR="003A7B65" w:rsidRPr="0018386D" w14:paraId="70077BE0" w14:textId="77777777" w:rsidTr="005F0EC9">
        <w:tc>
          <w:tcPr>
            <w:cnfStyle w:val="001000000000" w:firstRow="0" w:lastRow="0" w:firstColumn="1" w:lastColumn="0" w:oddVBand="0" w:evenVBand="0" w:oddHBand="0" w:evenHBand="0" w:firstRowFirstColumn="0" w:firstRowLastColumn="0" w:lastRowFirstColumn="0" w:lastRowLastColumn="0"/>
            <w:tcW w:w="2735" w:type="dxa"/>
            <w:tcBorders>
              <w:top w:val="single" w:sz="8" w:space="0" w:color="1C556C" w:themeColor="accent1"/>
              <w:left w:val="nil"/>
              <w:bottom w:val="single" w:sz="8" w:space="0" w:color="1C556C" w:themeColor="accent1"/>
            </w:tcBorders>
          </w:tcPr>
          <w:p w14:paraId="5557D1F7" w14:textId="77777777" w:rsidR="003A7B65" w:rsidRPr="0018386D" w:rsidRDefault="003A7B65" w:rsidP="00DD3106">
            <w:pPr>
              <w:pStyle w:val="TableText"/>
              <w:spacing w:before="40" w:after="40"/>
              <w:rPr>
                <w:rFonts w:cs="Calibri"/>
                <w:b w:val="0"/>
                <w:szCs w:val="18"/>
              </w:rPr>
            </w:pPr>
            <w:r w:rsidRPr="0018386D">
              <w:rPr>
                <w:rFonts w:cs="Calibri"/>
                <w:b w:val="0"/>
                <w:szCs w:val="18"/>
              </w:rPr>
              <w:t xml:space="preserve">Direct emission </w:t>
            </w:r>
            <w:proofErr w:type="gramStart"/>
            <w:r w:rsidRPr="0018386D">
              <w:rPr>
                <w:rFonts w:cs="Calibri"/>
                <w:b w:val="0"/>
                <w:szCs w:val="18"/>
              </w:rPr>
              <w:t>urea-N</w:t>
            </w:r>
            <w:proofErr w:type="gramEnd"/>
          </w:p>
        </w:tc>
        <w:tc>
          <w:tcPr>
            <w:tcW w:w="0" w:type="auto"/>
          </w:tcPr>
          <w:p w14:paraId="251EDEE1"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0.0059</w:t>
            </w:r>
          </w:p>
        </w:tc>
        <w:tc>
          <w:tcPr>
            <w:tcW w:w="5052" w:type="dxa"/>
            <w:tcBorders>
              <w:top w:val="single" w:sz="8" w:space="0" w:color="1C556C" w:themeColor="accent1"/>
              <w:bottom w:val="single" w:sz="8" w:space="0" w:color="1C556C" w:themeColor="accent1"/>
              <w:right w:val="nil"/>
            </w:tcBorders>
          </w:tcPr>
          <w:p w14:paraId="2C5911AA" w14:textId="3FF20DE2" w:rsidR="003A7B65" w:rsidRPr="0018386D" w:rsidRDefault="003A7B65"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 xml:space="preserve">Based on van der </w:t>
            </w:r>
            <w:proofErr w:type="spellStart"/>
            <w:r w:rsidRPr="0018386D">
              <w:rPr>
                <w:rFonts w:cs="Calibri"/>
                <w:szCs w:val="18"/>
              </w:rPr>
              <w:t>Weerden</w:t>
            </w:r>
            <w:proofErr w:type="spellEnd"/>
            <w:r w:rsidRPr="0018386D">
              <w:rPr>
                <w:rFonts w:cs="Calibri"/>
                <w:szCs w:val="18"/>
              </w:rPr>
              <w:t xml:space="preserve"> et al</w:t>
            </w:r>
            <w:r w:rsidR="005D317D" w:rsidRPr="0018386D">
              <w:rPr>
                <w:rFonts w:cs="Calibri"/>
                <w:szCs w:val="18"/>
              </w:rPr>
              <w:t>.</w:t>
            </w:r>
            <w:r w:rsidR="007B32BD" w:rsidRPr="0018386D">
              <w:rPr>
                <w:rFonts w:cs="Calibri"/>
                <w:szCs w:val="18"/>
              </w:rPr>
              <w:t>,</w:t>
            </w:r>
            <w:r w:rsidRPr="0018386D">
              <w:rPr>
                <w:rFonts w:cs="Calibri"/>
                <w:szCs w:val="18"/>
              </w:rPr>
              <w:t xml:space="preserve"> 2016 </w:t>
            </w:r>
          </w:p>
        </w:tc>
      </w:tr>
      <w:tr w:rsidR="003A7B65" w:rsidRPr="0018386D" w14:paraId="1F834441" w14:textId="77777777" w:rsidTr="005F0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Borders>
              <w:left w:val="nil"/>
            </w:tcBorders>
          </w:tcPr>
          <w:p w14:paraId="6A282766" w14:textId="4201A790" w:rsidR="003A7B65" w:rsidRPr="0018386D" w:rsidRDefault="003A7B65" w:rsidP="00DD3106">
            <w:pPr>
              <w:pStyle w:val="TableText"/>
              <w:spacing w:before="40" w:after="40"/>
              <w:rPr>
                <w:rFonts w:cs="Calibri"/>
                <w:b w:val="0"/>
                <w:szCs w:val="18"/>
              </w:rPr>
            </w:pPr>
            <w:proofErr w:type="spellStart"/>
            <w:r w:rsidRPr="0018386D">
              <w:rPr>
                <w:rFonts w:cs="Calibri"/>
                <w:b w:val="0"/>
                <w:szCs w:val="18"/>
              </w:rPr>
              <w:t>Frac</w:t>
            </w:r>
            <w:r w:rsidRPr="0018386D">
              <w:rPr>
                <w:rFonts w:cs="Calibri"/>
                <w:b w:val="0"/>
                <w:szCs w:val="18"/>
                <w:vertAlign w:val="subscript"/>
              </w:rPr>
              <w:t>GAS</w:t>
            </w:r>
            <w:r w:rsidR="0074764A" w:rsidRPr="0018386D">
              <w:rPr>
                <w:rFonts w:cs="Calibri"/>
                <w:b w:val="0"/>
                <w:szCs w:val="18"/>
                <w:vertAlign w:val="subscript"/>
              </w:rPr>
              <w:t>E</w:t>
            </w:r>
            <w:proofErr w:type="spellEnd"/>
            <w:r w:rsidRPr="0018386D">
              <w:rPr>
                <w:rFonts w:cs="Calibri"/>
                <w:b w:val="0"/>
                <w:szCs w:val="18"/>
              </w:rPr>
              <w:t xml:space="preserve"> (UI)</w:t>
            </w:r>
          </w:p>
        </w:tc>
        <w:tc>
          <w:tcPr>
            <w:tcW w:w="0" w:type="auto"/>
          </w:tcPr>
          <w:p w14:paraId="217C6AF8"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0.055</w:t>
            </w:r>
          </w:p>
        </w:tc>
        <w:tc>
          <w:tcPr>
            <w:tcW w:w="5052" w:type="dxa"/>
            <w:tcBorders>
              <w:right w:val="nil"/>
            </w:tcBorders>
          </w:tcPr>
          <w:p w14:paraId="3D2069AF" w14:textId="31E3ED30" w:rsidR="003A7B65" w:rsidRPr="0018386D" w:rsidRDefault="003A7B6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Saggar</w:t>
            </w:r>
            <w:r w:rsidR="007B32BD" w:rsidRPr="0018386D">
              <w:rPr>
                <w:rFonts w:cs="Calibri"/>
                <w:szCs w:val="18"/>
              </w:rPr>
              <w:t xml:space="preserve">, </w:t>
            </w:r>
            <w:r w:rsidRPr="0018386D">
              <w:rPr>
                <w:rFonts w:cs="Calibri"/>
                <w:szCs w:val="18"/>
              </w:rPr>
              <w:t>2013</w:t>
            </w:r>
          </w:p>
        </w:tc>
      </w:tr>
      <w:tr w:rsidR="003A7B65" w:rsidRPr="0018386D" w14:paraId="6FACEF89" w14:textId="77777777" w:rsidTr="005F0EC9">
        <w:tc>
          <w:tcPr>
            <w:cnfStyle w:val="001000000000" w:firstRow="0" w:lastRow="0" w:firstColumn="1" w:lastColumn="0" w:oddVBand="0" w:evenVBand="0" w:oddHBand="0" w:evenHBand="0" w:firstRowFirstColumn="0" w:firstRowLastColumn="0" w:lastRowFirstColumn="0" w:lastRowLastColumn="0"/>
            <w:tcW w:w="2735" w:type="dxa"/>
            <w:tcBorders>
              <w:top w:val="single" w:sz="8" w:space="0" w:color="1C556C" w:themeColor="accent1"/>
              <w:left w:val="nil"/>
              <w:bottom w:val="single" w:sz="8" w:space="0" w:color="1C556C" w:themeColor="accent1"/>
            </w:tcBorders>
          </w:tcPr>
          <w:p w14:paraId="09DE37C0" w14:textId="54862178" w:rsidR="003A7B65" w:rsidRPr="0018386D" w:rsidRDefault="003A7B65" w:rsidP="00DD3106">
            <w:pPr>
              <w:pStyle w:val="TableText"/>
              <w:spacing w:before="40" w:after="40"/>
              <w:rPr>
                <w:rFonts w:cs="Calibri"/>
                <w:b w:val="0"/>
                <w:szCs w:val="18"/>
              </w:rPr>
            </w:pPr>
            <w:proofErr w:type="spellStart"/>
            <w:r w:rsidRPr="0018386D">
              <w:rPr>
                <w:rFonts w:cs="Calibri"/>
                <w:b w:val="0"/>
                <w:szCs w:val="18"/>
              </w:rPr>
              <w:t>Frac</w:t>
            </w:r>
            <w:r w:rsidRPr="0018386D">
              <w:rPr>
                <w:rFonts w:cs="Calibri"/>
                <w:b w:val="0"/>
                <w:szCs w:val="18"/>
                <w:vertAlign w:val="subscript"/>
              </w:rPr>
              <w:t>GAS</w:t>
            </w:r>
            <w:r w:rsidR="00EC6DA7" w:rsidRPr="0018386D">
              <w:rPr>
                <w:rFonts w:cs="Calibri"/>
                <w:b w:val="0"/>
                <w:szCs w:val="18"/>
                <w:vertAlign w:val="subscript"/>
              </w:rPr>
              <w:t>E</w:t>
            </w:r>
            <w:proofErr w:type="spellEnd"/>
            <w:r w:rsidRPr="0018386D">
              <w:rPr>
                <w:rFonts w:cs="Calibri"/>
                <w:b w:val="0"/>
                <w:szCs w:val="18"/>
              </w:rPr>
              <w:t xml:space="preserve"> (non-UI)</w:t>
            </w:r>
          </w:p>
        </w:tc>
        <w:tc>
          <w:tcPr>
            <w:tcW w:w="0" w:type="auto"/>
          </w:tcPr>
          <w:p w14:paraId="2D0D74D4"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w:t>
            </w:r>
          </w:p>
        </w:tc>
        <w:tc>
          <w:tcPr>
            <w:tcW w:w="5052" w:type="dxa"/>
            <w:tcBorders>
              <w:top w:val="single" w:sz="8" w:space="0" w:color="1C556C" w:themeColor="accent1"/>
              <w:bottom w:val="single" w:sz="8" w:space="0" w:color="1C556C" w:themeColor="accent1"/>
              <w:right w:val="nil"/>
            </w:tcBorders>
          </w:tcPr>
          <w:p w14:paraId="7847A5B4" w14:textId="3C3395B3" w:rsidR="003A7B65" w:rsidRPr="0018386D" w:rsidRDefault="003A7B65"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Sherlock et al</w:t>
            </w:r>
            <w:r w:rsidR="005D317D" w:rsidRPr="0018386D">
              <w:rPr>
                <w:rFonts w:cs="Calibri"/>
                <w:szCs w:val="18"/>
              </w:rPr>
              <w:t>.</w:t>
            </w:r>
            <w:r w:rsidR="007B32BD" w:rsidRPr="0018386D">
              <w:rPr>
                <w:rFonts w:cs="Calibri"/>
                <w:szCs w:val="18"/>
              </w:rPr>
              <w:t xml:space="preserve">, </w:t>
            </w:r>
            <w:r w:rsidRPr="0018386D">
              <w:rPr>
                <w:rFonts w:cs="Calibri"/>
                <w:szCs w:val="18"/>
              </w:rPr>
              <w:t>2008</w:t>
            </w:r>
          </w:p>
        </w:tc>
      </w:tr>
      <w:tr w:rsidR="003A7B65" w:rsidRPr="0018386D" w14:paraId="64ED3D3D" w14:textId="77777777" w:rsidTr="005F0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Borders>
              <w:left w:val="nil"/>
            </w:tcBorders>
          </w:tcPr>
          <w:p w14:paraId="586E526E" w14:textId="77777777" w:rsidR="003A7B65" w:rsidRPr="0018386D" w:rsidRDefault="003A7B65" w:rsidP="00DD3106">
            <w:pPr>
              <w:pStyle w:val="TableText"/>
              <w:spacing w:before="40" w:after="40"/>
              <w:rPr>
                <w:rFonts w:cs="Calibri"/>
                <w:b w:val="0"/>
                <w:szCs w:val="18"/>
              </w:rPr>
            </w:pPr>
            <w:r w:rsidRPr="0018386D">
              <w:rPr>
                <w:rFonts w:cs="Calibri"/>
                <w:b w:val="0"/>
                <w:szCs w:val="18"/>
              </w:rPr>
              <w:t>Volatilisation emission factor (EF4)</w:t>
            </w:r>
          </w:p>
        </w:tc>
        <w:tc>
          <w:tcPr>
            <w:tcW w:w="0" w:type="auto"/>
          </w:tcPr>
          <w:p w14:paraId="1B5D22F3"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0.01</w:t>
            </w:r>
          </w:p>
        </w:tc>
        <w:tc>
          <w:tcPr>
            <w:tcW w:w="5052" w:type="dxa"/>
            <w:tcBorders>
              <w:right w:val="nil"/>
            </w:tcBorders>
          </w:tcPr>
          <w:p w14:paraId="5F1287B6" w14:textId="77777777" w:rsidR="003A7B65" w:rsidRPr="0018386D" w:rsidRDefault="003A7B6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i/>
                <w:szCs w:val="18"/>
              </w:rPr>
              <w:t>2006 IPCC Guidelines for National Greenhouse Gas Inventories</w:t>
            </w:r>
            <w:r w:rsidRPr="0018386D">
              <w:rPr>
                <w:rFonts w:cs="Calibri"/>
                <w:szCs w:val="18"/>
              </w:rPr>
              <w:t>, Volume 4, table 11.3</w:t>
            </w:r>
          </w:p>
        </w:tc>
      </w:tr>
      <w:tr w:rsidR="006473BD" w:rsidRPr="0018386D" w14:paraId="14AD19A0" w14:textId="77777777" w:rsidTr="005F0EC9">
        <w:tc>
          <w:tcPr>
            <w:cnfStyle w:val="001000000000" w:firstRow="0" w:lastRow="0" w:firstColumn="1" w:lastColumn="0" w:oddVBand="0" w:evenVBand="0" w:oddHBand="0" w:evenHBand="0" w:firstRowFirstColumn="0" w:firstRowLastColumn="0" w:lastRowFirstColumn="0" w:lastRowLastColumn="0"/>
            <w:tcW w:w="2735" w:type="dxa"/>
            <w:tcBorders>
              <w:top w:val="single" w:sz="8" w:space="0" w:color="1C556C" w:themeColor="accent1"/>
              <w:left w:val="nil"/>
              <w:bottom w:val="single" w:sz="8" w:space="0" w:color="1C556C" w:themeColor="accent1"/>
            </w:tcBorders>
          </w:tcPr>
          <w:p w14:paraId="5504BD22" w14:textId="77777777" w:rsidR="002867CE" w:rsidRPr="0018386D" w:rsidRDefault="006473BD" w:rsidP="00DD3106">
            <w:pPr>
              <w:pStyle w:val="TableText"/>
              <w:spacing w:before="40" w:after="40"/>
              <w:rPr>
                <w:bCs w:val="0"/>
                <w:szCs w:val="18"/>
              </w:rPr>
            </w:pPr>
            <w:proofErr w:type="spellStart"/>
            <w:r w:rsidRPr="0018386D">
              <w:rPr>
                <w:rFonts w:cs="Calibri"/>
                <w:b w:val="0"/>
                <w:szCs w:val="18"/>
              </w:rPr>
              <w:t>F</w:t>
            </w:r>
            <w:r w:rsidRPr="0018386D">
              <w:rPr>
                <w:b w:val="0"/>
                <w:szCs w:val="18"/>
              </w:rPr>
              <w:t>rac</w:t>
            </w:r>
            <w:r w:rsidRPr="0018386D">
              <w:rPr>
                <w:b w:val="0"/>
                <w:szCs w:val="18"/>
                <w:vertAlign w:val="subscript"/>
              </w:rPr>
              <w:t>LEACH</w:t>
            </w:r>
            <w:proofErr w:type="spellEnd"/>
            <w:r w:rsidRPr="0018386D">
              <w:rPr>
                <w:b w:val="0"/>
                <w:szCs w:val="18"/>
              </w:rPr>
              <w:t xml:space="preserve"> (Grassland)</w:t>
            </w:r>
          </w:p>
          <w:p w14:paraId="413E26C9" w14:textId="1FD1F730" w:rsidR="006473BD" w:rsidRPr="0018386D" w:rsidRDefault="006473BD" w:rsidP="00DD3106">
            <w:pPr>
              <w:pStyle w:val="TableText"/>
              <w:spacing w:before="40" w:after="40"/>
              <w:rPr>
                <w:bCs w:val="0"/>
                <w:szCs w:val="18"/>
              </w:rPr>
            </w:pPr>
            <w:proofErr w:type="spellStart"/>
            <w:r w:rsidRPr="0018386D">
              <w:rPr>
                <w:b w:val="0"/>
                <w:szCs w:val="18"/>
              </w:rPr>
              <w:t>Frac</w:t>
            </w:r>
            <w:r w:rsidRPr="0018386D">
              <w:rPr>
                <w:b w:val="0"/>
                <w:szCs w:val="18"/>
                <w:vertAlign w:val="subscript"/>
              </w:rPr>
              <w:t>LEACH</w:t>
            </w:r>
            <w:proofErr w:type="spellEnd"/>
            <w:r w:rsidRPr="0018386D">
              <w:rPr>
                <w:b w:val="0"/>
                <w:szCs w:val="18"/>
              </w:rPr>
              <w:t xml:space="preserve"> (Cropland)</w:t>
            </w:r>
          </w:p>
          <w:p w14:paraId="7C532B1E" w14:textId="6EECB5B8" w:rsidR="006473BD" w:rsidRPr="0018386D" w:rsidRDefault="006473BD" w:rsidP="00DD3106">
            <w:pPr>
              <w:pStyle w:val="TableText"/>
              <w:spacing w:before="40" w:after="40"/>
              <w:rPr>
                <w:rFonts w:cs="Calibri"/>
                <w:b w:val="0"/>
                <w:szCs w:val="18"/>
              </w:rPr>
            </w:pPr>
            <w:proofErr w:type="spellStart"/>
            <w:r w:rsidRPr="0018386D">
              <w:rPr>
                <w:rFonts w:cs="Calibri"/>
                <w:b w:val="0"/>
                <w:szCs w:val="18"/>
              </w:rPr>
              <w:t>Frac</w:t>
            </w:r>
            <w:r w:rsidRPr="0018386D">
              <w:rPr>
                <w:rFonts w:cs="Calibri"/>
                <w:b w:val="0"/>
                <w:szCs w:val="18"/>
                <w:vertAlign w:val="subscript"/>
              </w:rPr>
              <w:t>LEACH</w:t>
            </w:r>
            <w:proofErr w:type="spellEnd"/>
            <w:r w:rsidRPr="0018386D">
              <w:rPr>
                <w:rFonts w:cs="Calibri"/>
                <w:b w:val="0"/>
                <w:szCs w:val="18"/>
              </w:rPr>
              <w:t xml:space="preserve"> (Synthetic N Fertiliser)</w:t>
            </w:r>
          </w:p>
        </w:tc>
        <w:tc>
          <w:tcPr>
            <w:tcW w:w="0" w:type="auto"/>
          </w:tcPr>
          <w:p w14:paraId="61612EF5" w14:textId="77777777" w:rsidR="002867CE" w:rsidRPr="0018386D" w:rsidRDefault="006473BD"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0.08</w:t>
            </w:r>
          </w:p>
          <w:p w14:paraId="38CA90C6" w14:textId="68535A3F" w:rsidR="006473BD" w:rsidRPr="0018386D" w:rsidRDefault="006473BD"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18386D">
              <w:rPr>
                <w:szCs w:val="18"/>
              </w:rPr>
              <w:t>0.10</w:t>
            </w:r>
          </w:p>
          <w:p w14:paraId="1DAA1590" w14:textId="629AA7CB" w:rsidR="006473BD" w:rsidRPr="0018386D" w:rsidRDefault="006473BD"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szCs w:val="18"/>
              </w:rPr>
              <w:t>0.082</w:t>
            </w:r>
          </w:p>
        </w:tc>
        <w:tc>
          <w:tcPr>
            <w:tcW w:w="5052" w:type="dxa"/>
            <w:tcBorders>
              <w:top w:val="single" w:sz="8" w:space="0" w:color="1C556C" w:themeColor="accent1"/>
              <w:bottom w:val="single" w:sz="8" w:space="0" w:color="1C556C" w:themeColor="accent1"/>
              <w:right w:val="nil"/>
            </w:tcBorders>
          </w:tcPr>
          <w:p w14:paraId="5EE9C626" w14:textId="372EE7AC" w:rsidR="002867CE" w:rsidRPr="0018386D" w:rsidRDefault="006473B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proofErr w:type="spellStart"/>
            <w:r w:rsidRPr="0018386D">
              <w:rPr>
                <w:rFonts w:cs="Calibri"/>
                <w:szCs w:val="18"/>
              </w:rPr>
              <w:t>Welten</w:t>
            </w:r>
            <w:proofErr w:type="spellEnd"/>
            <w:r w:rsidRPr="0018386D">
              <w:rPr>
                <w:rFonts w:cs="Calibri"/>
                <w:szCs w:val="18"/>
              </w:rPr>
              <w:t xml:space="preserve"> et al.</w:t>
            </w:r>
            <w:r w:rsidR="005D317D" w:rsidRPr="0018386D">
              <w:rPr>
                <w:rFonts w:cs="Calibri"/>
                <w:szCs w:val="18"/>
              </w:rPr>
              <w:t>,</w:t>
            </w:r>
            <w:r w:rsidRPr="0018386D">
              <w:rPr>
                <w:rFonts w:cs="Calibri"/>
                <w:szCs w:val="18"/>
              </w:rPr>
              <w:t xml:space="preserve"> 2021</w:t>
            </w:r>
          </w:p>
          <w:p w14:paraId="26FFA4A6" w14:textId="16A842F7" w:rsidR="006473BD" w:rsidRPr="0018386D" w:rsidRDefault="006473B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proofErr w:type="spellStart"/>
            <w:r w:rsidRPr="0018386D">
              <w:rPr>
                <w:rFonts w:cs="Calibri"/>
                <w:szCs w:val="18"/>
              </w:rPr>
              <w:t>Welten</w:t>
            </w:r>
            <w:proofErr w:type="spellEnd"/>
            <w:r w:rsidRPr="0018386D">
              <w:rPr>
                <w:rFonts w:cs="Calibri"/>
                <w:szCs w:val="18"/>
              </w:rPr>
              <w:t xml:space="preserve"> et al.</w:t>
            </w:r>
            <w:r w:rsidR="005D317D" w:rsidRPr="0018386D">
              <w:rPr>
                <w:rFonts w:cs="Calibri"/>
                <w:szCs w:val="18"/>
              </w:rPr>
              <w:t>,</w:t>
            </w:r>
            <w:r w:rsidRPr="0018386D">
              <w:rPr>
                <w:rFonts w:cs="Calibri"/>
                <w:szCs w:val="18"/>
              </w:rPr>
              <w:t xml:space="preserve"> 2021</w:t>
            </w:r>
          </w:p>
          <w:p w14:paraId="2109EBF0" w14:textId="42C20595" w:rsidR="006473BD" w:rsidRPr="0018386D" w:rsidRDefault="006473BD"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 xml:space="preserve">Calculated based </w:t>
            </w:r>
            <w:r w:rsidR="0070282F" w:rsidRPr="0018386D">
              <w:rPr>
                <w:rFonts w:cs="Calibri"/>
                <w:szCs w:val="18"/>
              </w:rPr>
              <w:t>on</w:t>
            </w:r>
            <w:r w:rsidRPr="0018386D">
              <w:rPr>
                <w:rFonts w:cs="Calibri"/>
                <w:szCs w:val="18"/>
              </w:rPr>
              <w:t xml:space="preserve"> </w:t>
            </w:r>
            <w:proofErr w:type="spellStart"/>
            <w:r w:rsidRPr="0018386D">
              <w:rPr>
                <w:rFonts w:cs="Calibri"/>
                <w:szCs w:val="18"/>
              </w:rPr>
              <w:t>Welten</w:t>
            </w:r>
            <w:proofErr w:type="spellEnd"/>
            <w:r w:rsidRPr="0018386D">
              <w:rPr>
                <w:rFonts w:cs="Calibri"/>
                <w:szCs w:val="18"/>
              </w:rPr>
              <w:t xml:space="preserve"> et al.</w:t>
            </w:r>
            <w:r w:rsidR="005D317D" w:rsidRPr="0018386D">
              <w:rPr>
                <w:rFonts w:cs="Calibri"/>
                <w:szCs w:val="18"/>
              </w:rPr>
              <w:t>,</w:t>
            </w:r>
            <w:r w:rsidRPr="0018386D">
              <w:rPr>
                <w:rFonts w:cs="Calibri"/>
                <w:szCs w:val="18"/>
              </w:rPr>
              <w:t xml:space="preserve"> 2021</w:t>
            </w:r>
          </w:p>
        </w:tc>
      </w:tr>
      <w:tr w:rsidR="003A7B65" w:rsidRPr="0018386D" w14:paraId="1E8FCA16" w14:textId="77777777" w:rsidTr="005F0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Borders>
              <w:left w:val="nil"/>
            </w:tcBorders>
          </w:tcPr>
          <w:p w14:paraId="4FBCD4E2" w14:textId="77777777" w:rsidR="003A7B65" w:rsidRPr="0018386D" w:rsidRDefault="003A7B65" w:rsidP="00DD3106">
            <w:pPr>
              <w:pStyle w:val="TableText"/>
              <w:spacing w:before="40" w:after="40"/>
              <w:rPr>
                <w:rFonts w:cs="Calibri"/>
                <w:b w:val="0"/>
                <w:szCs w:val="18"/>
              </w:rPr>
            </w:pPr>
            <w:r w:rsidRPr="0018386D">
              <w:rPr>
                <w:rFonts w:cs="Calibri"/>
                <w:b w:val="0"/>
                <w:szCs w:val="18"/>
              </w:rPr>
              <w:t>Leaching emission factor (EF5)</w:t>
            </w:r>
          </w:p>
        </w:tc>
        <w:tc>
          <w:tcPr>
            <w:tcW w:w="0" w:type="auto"/>
          </w:tcPr>
          <w:p w14:paraId="1A3FC010"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0.0075</w:t>
            </w:r>
          </w:p>
        </w:tc>
        <w:tc>
          <w:tcPr>
            <w:tcW w:w="5052" w:type="dxa"/>
            <w:tcBorders>
              <w:right w:val="nil"/>
            </w:tcBorders>
          </w:tcPr>
          <w:p w14:paraId="1AB7F71D" w14:textId="77777777" w:rsidR="003A7B65" w:rsidRPr="0018386D" w:rsidRDefault="003A7B6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i/>
                <w:szCs w:val="18"/>
              </w:rPr>
              <w:t>2006 IPCC Guidelines for National Greenhouse Gas Inventories</w:t>
            </w:r>
            <w:r w:rsidRPr="0018386D">
              <w:rPr>
                <w:rFonts w:cs="Calibri"/>
                <w:szCs w:val="18"/>
              </w:rPr>
              <w:t>, Volume 4, table 11.3</w:t>
            </w:r>
          </w:p>
        </w:tc>
      </w:tr>
      <w:tr w:rsidR="003A7B65" w:rsidRPr="0018386D" w14:paraId="266A7B47" w14:textId="77777777" w:rsidTr="005F0EC9">
        <w:tc>
          <w:tcPr>
            <w:cnfStyle w:val="001000000000" w:firstRow="0" w:lastRow="0" w:firstColumn="1" w:lastColumn="0" w:oddVBand="0" w:evenVBand="0" w:oddHBand="0" w:evenHBand="0" w:firstRowFirstColumn="0" w:firstRowLastColumn="0" w:lastRowFirstColumn="0" w:lastRowLastColumn="0"/>
            <w:tcW w:w="2735" w:type="dxa"/>
            <w:tcBorders>
              <w:top w:val="single" w:sz="8" w:space="0" w:color="1C556C" w:themeColor="accent1"/>
              <w:left w:val="nil"/>
              <w:bottom w:val="single" w:sz="8" w:space="0" w:color="1C556C" w:themeColor="accent1"/>
            </w:tcBorders>
          </w:tcPr>
          <w:p w14:paraId="0D486A76" w14:textId="3DD333B3" w:rsidR="003A7B65" w:rsidRPr="0018386D" w:rsidRDefault="00B732CC" w:rsidP="00DD3106">
            <w:pPr>
              <w:pStyle w:val="TableText"/>
              <w:spacing w:before="40" w:after="40"/>
              <w:rPr>
                <w:rFonts w:cs="Calibri"/>
                <w:b w:val="0"/>
                <w:szCs w:val="18"/>
              </w:rPr>
            </w:pPr>
            <w:r w:rsidRPr="0018386D">
              <w:rPr>
                <w:rFonts w:cs="Calibri"/>
                <w:b w:val="0"/>
                <w:szCs w:val="18"/>
              </w:rPr>
              <w:t xml:space="preserve">Urea </w:t>
            </w:r>
            <w:r w:rsidR="003A7B65" w:rsidRPr="0018386D">
              <w:rPr>
                <w:rFonts w:cs="Calibri"/>
                <w:b w:val="0"/>
                <w:szCs w:val="18"/>
              </w:rPr>
              <w:t>emission factor (CO</w:t>
            </w:r>
            <w:r w:rsidR="003A7B65" w:rsidRPr="0018386D">
              <w:rPr>
                <w:rFonts w:cs="Calibri"/>
                <w:b w:val="0"/>
                <w:szCs w:val="18"/>
                <w:vertAlign w:val="subscript"/>
              </w:rPr>
              <w:t>2</w:t>
            </w:r>
            <w:r w:rsidR="003A7B65" w:rsidRPr="0018386D">
              <w:rPr>
                <w:rFonts w:cs="Calibri"/>
                <w:b w:val="0"/>
                <w:szCs w:val="18"/>
              </w:rPr>
              <w:t xml:space="preserve"> component)</w:t>
            </w:r>
          </w:p>
        </w:tc>
        <w:tc>
          <w:tcPr>
            <w:tcW w:w="0" w:type="auto"/>
          </w:tcPr>
          <w:p w14:paraId="2E28FABF"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0.2</w:t>
            </w:r>
          </w:p>
        </w:tc>
        <w:tc>
          <w:tcPr>
            <w:tcW w:w="5052" w:type="dxa"/>
            <w:tcBorders>
              <w:top w:val="single" w:sz="8" w:space="0" w:color="1C556C" w:themeColor="accent1"/>
              <w:bottom w:val="single" w:sz="8" w:space="0" w:color="1C556C" w:themeColor="accent1"/>
              <w:right w:val="nil"/>
            </w:tcBorders>
          </w:tcPr>
          <w:p w14:paraId="75284EF8" w14:textId="77777777" w:rsidR="003A7B65" w:rsidRPr="0018386D" w:rsidRDefault="003A7B65"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i/>
                <w:szCs w:val="18"/>
              </w:rPr>
              <w:t>2006 IPCC Guidelines for National Greenhouse Gas Inventories</w:t>
            </w:r>
            <w:r w:rsidRPr="0018386D">
              <w:rPr>
                <w:rFonts w:cs="Calibri"/>
                <w:szCs w:val="18"/>
              </w:rPr>
              <w:t>, Volume 4, section 11.4.2</w:t>
            </w:r>
          </w:p>
        </w:tc>
      </w:tr>
      <w:tr w:rsidR="003A7B65" w:rsidRPr="0018386D" w14:paraId="6A4D4318" w14:textId="77777777" w:rsidTr="005F0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Borders>
              <w:left w:val="nil"/>
            </w:tcBorders>
          </w:tcPr>
          <w:p w14:paraId="5E081DF2" w14:textId="77777777" w:rsidR="003A7B65" w:rsidRPr="0018386D" w:rsidRDefault="003A7B65" w:rsidP="00DD3106">
            <w:pPr>
              <w:pStyle w:val="TableText"/>
              <w:spacing w:before="40" w:after="40"/>
              <w:rPr>
                <w:rFonts w:cs="Calibri"/>
                <w:b w:val="0"/>
                <w:szCs w:val="18"/>
              </w:rPr>
            </w:pPr>
            <w:r w:rsidRPr="0018386D">
              <w:rPr>
                <w:rFonts w:cs="Calibri"/>
                <w:b w:val="0"/>
                <w:szCs w:val="18"/>
              </w:rPr>
              <w:t>Emission factor for limestone</w:t>
            </w:r>
          </w:p>
        </w:tc>
        <w:tc>
          <w:tcPr>
            <w:tcW w:w="0" w:type="auto"/>
          </w:tcPr>
          <w:p w14:paraId="7871ADDE"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0.12</w:t>
            </w:r>
          </w:p>
        </w:tc>
        <w:tc>
          <w:tcPr>
            <w:tcW w:w="5052" w:type="dxa"/>
            <w:tcBorders>
              <w:right w:val="nil"/>
            </w:tcBorders>
          </w:tcPr>
          <w:p w14:paraId="3C281F80" w14:textId="77777777" w:rsidR="003A7B65" w:rsidRPr="0018386D" w:rsidRDefault="003A7B6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i/>
                <w:szCs w:val="18"/>
              </w:rPr>
              <w:t>2006 IPCC Guidelines for National Greenhouse Gas Inventories</w:t>
            </w:r>
            <w:r w:rsidRPr="0018386D">
              <w:rPr>
                <w:rFonts w:cs="Calibri"/>
                <w:szCs w:val="18"/>
              </w:rPr>
              <w:t>, Volume 4, section 11.4.2</w:t>
            </w:r>
          </w:p>
        </w:tc>
      </w:tr>
      <w:tr w:rsidR="003A7B65" w:rsidRPr="0018386D" w14:paraId="68024722" w14:textId="77777777" w:rsidTr="005F0EC9">
        <w:tc>
          <w:tcPr>
            <w:cnfStyle w:val="001000000000" w:firstRow="0" w:lastRow="0" w:firstColumn="1" w:lastColumn="0" w:oddVBand="0" w:evenVBand="0" w:oddHBand="0" w:evenHBand="0" w:firstRowFirstColumn="0" w:firstRowLastColumn="0" w:lastRowFirstColumn="0" w:lastRowLastColumn="0"/>
            <w:tcW w:w="2735" w:type="dxa"/>
            <w:tcBorders>
              <w:top w:val="single" w:sz="8" w:space="0" w:color="1C556C" w:themeColor="accent1"/>
              <w:left w:val="nil"/>
              <w:bottom w:val="single" w:sz="8" w:space="0" w:color="1C556C" w:themeColor="accent1"/>
            </w:tcBorders>
          </w:tcPr>
          <w:p w14:paraId="3113E881" w14:textId="77777777" w:rsidR="003A7B65" w:rsidRPr="0018386D" w:rsidRDefault="003A7B65" w:rsidP="00DD3106">
            <w:pPr>
              <w:pStyle w:val="TableText"/>
              <w:spacing w:before="40" w:after="40"/>
              <w:rPr>
                <w:rFonts w:cs="Calibri"/>
                <w:b w:val="0"/>
                <w:szCs w:val="18"/>
              </w:rPr>
            </w:pPr>
            <w:r w:rsidRPr="0018386D">
              <w:rPr>
                <w:rFonts w:cs="Calibri"/>
                <w:b w:val="0"/>
                <w:szCs w:val="18"/>
              </w:rPr>
              <w:t>Emission factor for dolomite</w:t>
            </w:r>
          </w:p>
        </w:tc>
        <w:tc>
          <w:tcPr>
            <w:tcW w:w="0" w:type="auto"/>
          </w:tcPr>
          <w:p w14:paraId="63CB6F35"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0.13</w:t>
            </w:r>
          </w:p>
        </w:tc>
        <w:tc>
          <w:tcPr>
            <w:tcW w:w="5052" w:type="dxa"/>
            <w:tcBorders>
              <w:top w:val="single" w:sz="8" w:space="0" w:color="1C556C" w:themeColor="accent1"/>
              <w:bottom w:val="single" w:sz="8" w:space="0" w:color="1C556C" w:themeColor="accent1"/>
              <w:right w:val="nil"/>
            </w:tcBorders>
          </w:tcPr>
          <w:p w14:paraId="0E763600" w14:textId="77777777" w:rsidR="003A7B65" w:rsidRPr="0018386D" w:rsidRDefault="003A7B65"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i/>
                <w:szCs w:val="18"/>
              </w:rPr>
              <w:t>2006 IPCC Guidelines for National Greenhouse Gas Inventories</w:t>
            </w:r>
            <w:r w:rsidRPr="0018386D">
              <w:rPr>
                <w:rFonts w:cs="Calibri"/>
                <w:szCs w:val="18"/>
              </w:rPr>
              <w:t>, Volume 4, section 11.4.2</w:t>
            </w:r>
          </w:p>
        </w:tc>
      </w:tr>
      <w:tr w:rsidR="003A7B65" w:rsidRPr="0018386D" w14:paraId="428CD087" w14:textId="77777777" w:rsidTr="005F0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Borders>
              <w:left w:val="nil"/>
            </w:tcBorders>
          </w:tcPr>
          <w:p w14:paraId="3A6FD8D7" w14:textId="77777777" w:rsidR="003A7B65" w:rsidRPr="0018386D" w:rsidRDefault="003A7B65" w:rsidP="00DD3106">
            <w:pPr>
              <w:pStyle w:val="TableText"/>
              <w:spacing w:before="40" w:after="40"/>
              <w:rPr>
                <w:rFonts w:cs="Calibri"/>
                <w:b w:val="0"/>
                <w:szCs w:val="18"/>
              </w:rPr>
            </w:pPr>
            <w:r w:rsidRPr="0018386D">
              <w:rPr>
                <w:rFonts w:cs="Calibri"/>
                <w:b w:val="0"/>
                <w:szCs w:val="18"/>
              </w:rPr>
              <w:t>N content of urea</w:t>
            </w:r>
          </w:p>
        </w:tc>
        <w:tc>
          <w:tcPr>
            <w:tcW w:w="0" w:type="auto"/>
          </w:tcPr>
          <w:p w14:paraId="6FDE82C0"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46%</w:t>
            </w:r>
          </w:p>
        </w:tc>
        <w:tc>
          <w:tcPr>
            <w:tcW w:w="5052" w:type="dxa"/>
            <w:tcBorders>
              <w:right w:val="nil"/>
            </w:tcBorders>
          </w:tcPr>
          <w:p w14:paraId="464AE700" w14:textId="77777777" w:rsidR="003A7B65" w:rsidRPr="0018386D" w:rsidRDefault="003A7B6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Agriculture inventory model</w:t>
            </w:r>
          </w:p>
        </w:tc>
      </w:tr>
      <w:tr w:rsidR="003A7B65" w:rsidRPr="0018386D" w14:paraId="50D6C0CA" w14:textId="77777777" w:rsidTr="005F0EC9">
        <w:tc>
          <w:tcPr>
            <w:cnfStyle w:val="001000000000" w:firstRow="0" w:lastRow="0" w:firstColumn="1" w:lastColumn="0" w:oddVBand="0" w:evenVBand="0" w:oddHBand="0" w:evenHBand="0" w:firstRowFirstColumn="0" w:firstRowLastColumn="0" w:lastRowFirstColumn="0" w:lastRowLastColumn="0"/>
            <w:tcW w:w="2735" w:type="dxa"/>
            <w:tcBorders>
              <w:top w:val="single" w:sz="8" w:space="0" w:color="1C556C" w:themeColor="accent1"/>
              <w:left w:val="nil"/>
              <w:bottom w:val="single" w:sz="8" w:space="0" w:color="1C556C" w:themeColor="accent1"/>
            </w:tcBorders>
          </w:tcPr>
          <w:p w14:paraId="2F28A99B" w14:textId="6A733B48" w:rsidR="003A7B65" w:rsidRPr="0018386D" w:rsidRDefault="00B732CC" w:rsidP="00DD3106">
            <w:pPr>
              <w:pStyle w:val="TableText"/>
              <w:spacing w:before="40" w:after="40"/>
              <w:rPr>
                <w:rFonts w:cs="Calibri"/>
                <w:b w:val="0"/>
                <w:szCs w:val="18"/>
              </w:rPr>
            </w:pPr>
            <w:r w:rsidRPr="0018386D">
              <w:rPr>
                <w:rFonts w:cs="Calibri"/>
                <w:b w:val="0"/>
                <w:szCs w:val="18"/>
              </w:rPr>
              <w:t xml:space="preserve">Molecular </w:t>
            </w:r>
            <w:r w:rsidR="003A7B65" w:rsidRPr="0018386D">
              <w:rPr>
                <w:rFonts w:cs="Calibri"/>
                <w:b w:val="0"/>
                <w:szCs w:val="18"/>
              </w:rPr>
              <w:t>conversion CO</w:t>
            </w:r>
            <w:r w:rsidR="003A7B65" w:rsidRPr="0018386D">
              <w:rPr>
                <w:rFonts w:cs="Calibri"/>
                <w:b w:val="0"/>
                <w:szCs w:val="18"/>
                <w:vertAlign w:val="subscript"/>
              </w:rPr>
              <w:t>2</w:t>
            </w:r>
          </w:p>
        </w:tc>
        <w:tc>
          <w:tcPr>
            <w:tcW w:w="0" w:type="auto"/>
          </w:tcPr>
          <w:p w14:paraId="45FF5BA0" w14:textId="77777777" w:rsidR="003A7B65" w:rsidRPr="0018386D" w:rsidRDefault="003A7B65"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3.667</w:t>
            </w:r>
          </w:p>
        </w:tc>
        <w:tc>
          <w:tcPr>
            <w:tcW w:w="5052" w:type="dxa"/>
            <w:tcBorders>
              <w:top w:val="single" w:sz="8" w:space="0" w:color="1C556C" w:themeColor="accent1"/>
              <w:bottom w:val="single" w:sz="8" w:space="0" w:color="1C556C" w:themeColor="accent1"/>
              <w:right w:val="nil"/>
            </w:tcBorders>
          </w:tcPr>
          <w:p w14:paraId="706AEB6E" w14:textId="77777777" w:rsidR="003A7B65" w:rsidRPr="0018386D" w:rsidRDefault="003A7B65"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3A7B65" w:rsidRPr="0018386D" w14:paraId="624F504D" w14:textId="77777777" w:rsidTr="005F0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Borders>
              <w:left w:val="nil"/>
            </w:tcBorders>
          </w:tcPr>
          <w:p w14:paraId="59AED987" w14:textId="61B63084" w:rsidR="003A7B65" w:rsidRPr="0018386D" w:rsidRDefault="00B732CC" w:rsidP="00DD3106">
            <w:pPr>
              <w:pStyle w:val="TableText"/>
              <w:spacing w:before="40" w:after="40"/>
              <w:rPr>
                <w:rFonts w:cs="Calibri"/>
                <w:b w:val="0"/>
                <w:szCs w:val="18"/>
              </w:rPr>
            </w:pPr>
            <w:r w:rsidRPr="0018386D">
              <w:rPr>
                <w:rFonts w:cs="Calibri"/>
                <w:b w:val="0"/>
                <w:szCs w:val="18"/>
              </w:rPr>
              <w:t xml:space="preserve">Molecular </w:t>
            </w:r>
            <w:r w:rsidR="003A7B65" w:rsidRPr="0018386D">
              <w:rPr>
                <w:rFonts w:cs="Calibri"/>
                <w:b w:val="0"/>
                <w:szCs w:val="18"/>
              </w:rPr>
              <w:t>conversion N</w:t>
            </w:r>
            <w:r w:rsidR="003A7B65" w:rsidRPr="0018386D">
              <w:rPr>
                <w:rFonts w:cs="Calibri"/>
                <w:b w:val="0"/>
                <w:szCs w:val="18"/>
                <w:vertAlign w:val="subscript"/>
              </w:rPr>
              <w:t>2</w:t>
            </w:r>
            <w:r w:rsidR="003A7B65" w:rsidRPr="0018386D">
              <w:rPr>
                <w:rFonts w:cs="Calibri"/>
                <w:b w:val="0"/>
                <w:szCs w:val="18"/>
              </w:rPr>
              <w:t>O</w:t>
            </w:r>
          </w:p>
        </w:tc>
        <w:tc>
          <w:tcPr>
            <w:tcW w:w="0" w:type="auto"/>
          </w:tcPr>
          <w:p w14:paraId="23DBE936" w14:textId="77777777" w:rsidR="003A7B65" w:rsidRPr="0018386D" w:rsidRDefault="003A7B65" w:rsidP="00DD310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18386D">
              <w:rPr>
                <w:rFonts w:cs="Calibri"/>
                <w:szCs w:val="18"/>
              </w:rPr>
              <w:t>1.571</w:t>
            </w:r>
          </w:p>
        </w:tc>
        <w:tc>
          <w:tcPr>
            <w:tcW w:w="5052" w:type="dxa"/>
            <w:tcBorders>
              <w:right w:val="nil"/>
            </w:tcBorders>
          </w:tcPr>
          <w:p w14:paraId="468E75F0" w14:textId="77777777" w:rsidR="003A7B65" w:rsidRPr="0018386D" w:rsidRDefault="003A7B65" w:rsidP="00DD310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p>
        </w:tc>
      </w:tr>
      <w:tr w:rsidR="003A7B65" w:rsidRPr="0018386D" w14:paraId="2103BDEE" w14:textId="77777777" w:rsidTr="005F0EC9">
        <w:tc>
          <w:tcPr>
            <w:cnfStyle w:val="001000000000" w:firstRow="0" w:lastRow="0" w:firstColumn="1" w:lastColumn="0" w:oddVBand="0" w:evenVBand="0" w:oddHBand="0" w:evenHBand="0" w:firstRowFirstColumn="0" w:firstRowLastColumn="0" w:lastRowFirstColumn="0" w:lastRowLastColumn="0"/>
            <w:tcW w:w="2735" w:type="dxa"/>
            <w:tcBorders>
              <w:top w:val="single" w:sz="8" w:space="0" w:color="1C556C" w:themeColor="accent1"/>
              <w:left w:val="nil"/>
            </w:tcBorders>
          </w:tcPr>
          <w:p w14:paraId="17C88B31" w14:textId="77777777" w:rsidR="003A7B65" w:rsidRPr="0018386D" w:rsidRDefault="003A7B65" w:rsidP="00DD3106">
            <w:pPr>
              <w:pStyle w:val="TableText"/>
              <w:spacing w:before="40" w:after="40"/>
              <w:rPr>
                <w:rFonts w:cs="Calibri"/>
                <w:b w:val="0"/>
                <w:szCs w:val="18"/>
              </w:rPr>
            </w:pPr>
            <w:r w:rsidRPr="0018386D">
              <w:rPr>
                <w:rFonts w:cs="Calibri"/>
                <w:b w:val="0"/>
                <w:szCs w:val="18"/>
              </w:rPr>
              <w:t>GWP100 N</w:t>
            </w:r>
            <w:r w:rsidRPr="0018386D">
              <w:rPr>
                <w:rFonts w:cs="Calibri"/>
                <w:b w:val="0"/>
                <w:szCs w:val="18"/>
                <w:vertAlign w:val="subscript"/>
              </w:rPr>
              <w:t>2</w:t>
            </w:r>
            <w:r w:rsidRPr="0018386D">
              <w:rPr>
                <w:rFonts w:cs="Calibri"/>
                <w:b w:val="0"/>
                <w:szCs w:val="18"/>
              </w:rPr>
              <w:t>O</w:t>
            </w:r>
          </w:p>
        </w:tc>
        <w:tc>
          <w:tcPr>
            <w:tcW w:w="0" w:type="auto"/>
          </w:tcPr>
          <w:p w14:paraId="03909BE4" w14:textId="546E76EC" w:rsidR="003A7B65" w:rsidRPr="0018386D" w:rsidRDefault="00CE5B64" w:rsidP="00DD310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265</w:t>
            </w:r>
          </w:p>
        </w:tc>
        <w:tc>
          <w:tcPr>
            <w:tcW w:w="5052" w:type="dxa"/>
            <w:tcBorders>
              <w:top w:val="single" w:sz="8" w:space="0" w:color="1C556C" w:themeColor="accent1"/>
              <w:right w:val="nil"/>
            </w:tcBorders>
          </w:tcPr>
          <w:p w14:paraId="5DB91912" w14:textId="0655F252" w:rsidR="003A7B65" w:rsidRPr="0018386D" w:rsidRDefault="00CE5B64" w:rsidP="00DD310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18386D">
              <w:rPr>
                <w:rFonts w:cs="Calibri"/>
                <w:szCs w:val="18"/>
              </w:rPr>
              <w:t xml:space="preserve">IPCC AR5 </w:t>
            </w:r>
          </w:p>
        </w:tc>
      </w:tr>
    </w:tbl>
    <w:p w14:paraId="279A06A4" w14:textId="4F5A907B" w:rsidR="003A7B65" w:rsidRPr="0018386D" w:rsidRDefault="00C7627E" w:rsidP="00DD3106">
      <w:pPr>
        <w:pStyle w:val="BodyText"/>
        <w:spacing w:before="240"/>
      </w:pPr>
      <w:hyperlink r:id="rId157" w:history="1">
        <w:r w:rsidR="074262A6" w:rsidRPr="0018386D">
          <w:rPr>
            <w:rStyle w:val="Hyperlink"/>
            <w:rFonts w:eastAsia="Calibri" w:cs="Calibri"/>
            <w:i/>
            <w:iCs/>
          </w:rPr>
          <w:t>New Zealand</w:t>
        </w:r>
        <w:r w:rsidR="0070282F" w:rsidRPr="0018386D">
          <w:rPr>
            <w:rStyle w:val="Hyperlink"/>
            <w:rFonts w:eastAsia="Calibri" w:cs="Calibri"/>
            <w:i/>
            <w:iCs/>
          </w:rPr>
          <w:t>’s</w:t>
        </w:r>
        <w:r w:rsidR="074262A6" w:rsidRPr="0018386D">
          <w:rPr>
            <w:rStyle w:val="Hyperlink"/>
            <w:rFonts w:eastAsia="Calibri" w:cs="Calibri"/>
            <w:i/>
            <w:iCs/>
          </w:rPr>
          <w:t xml:space="preserve"> Greenhouse Gas Inventory 1990</w:t>
        </w:r>
        <w:r w:rsidR="0070282F" w:rsidRPr="0018386D">
          <w:rPr>
            <w:rStyle w:val="Hyperlink"/>
            <w:rFonts w:eastAsia="Calibri" w:cs="Calibri"/>
            <w:i/>
            <w:iCs/>
          </w:rPr>
          <w:t>–</w:t>
        </w:r>
        <w:r w:rsidR="074262A6" w:rsidRPr="0018386D">
          <w:rPr>
            <w:rStyle w:val="Hyperlink"/>
            <w:rFonts w:eastAsia="Calibri" w:cs="Calibri"/>
            <w:i/>
            <w:iCs/>
          </w:rPr>
          <w:t>2021</w:t>
        </w:r>
      </w:hyperlink>
      <w:r w:rsidR="000C33DB" w:rsidRPr="0018386D">
        <w:rPr>
          <w:spacing w:val="2"/>
        </w:rPr>
        <w:t xml:space="preserve"> </w:t>
      </w:r>
      <w:r w:rsidR="003A7B65" w:rsidRPr="0018386D">
        <w:rPr>
          <w:spacing w:val="2"/>
        </w:rPr>
        <w:t>uses the IPCC (2006) Tier 1 methodology whe</w:t>
      </w:r>
      <w:r w:rsidR="00614A8E" w:rsidRPr="0018386D">
        <w:rPr>
          <w:spacing w:val="2"/>
        </w:rPr>
        <w:t>n</w:t>
      </w:r>
      <w:r w:rsidR="003A7B65" w:rsidRPr="0018386D">
        <w:rPr>
          <w:spacing w:val="2"/>
        </w:rPr>
        <w:t xml:space="preserve"> default emission factors are used, which assume conservatively that</w:t>
      </w:r>
      <w:r w:rsidR="00B338B9" w:rsidRPr="0018386D">
        <w:rPr>
          <w:spacing w:val="2"/>
        </w:rPr>
        <w:t> </w:t>
      </w:r>
      <w:r w:rsidR="003A7B65" w:rsidRPr="0018386D">
        <w:rPr>
          <w:spacing w:val="2"/>
        </w:rPr>
        <w:t>all</w:t>
      </w:r>
      <w:r w:rsidR="00B338B9" w:rsidRPr="0018386D">
        <w:rPr>
          <w:spacing w:val="2"/>
        </w:rPr>
        <w:t> </w:t>
      </w:r>
      <w:r w:rsidR="003A7B65" w:rsidRPr="0018386D">
        <w:rPr>
          <w:spacing w:val="2"/>
        </w:rPr>
        <w:t xml:space="preserve">carbon in the fertilisers </w:t>
      </w:r>
      <w:r w:rsidR="00295ECF" w:rsidRPr="0018386D">
        <w:rPr>
          <w:spacing w:val="2"/>
        </w:rPr>
        <w:t xml:space="preserve">is </w:t>
      </w:r>
      <w:r w:rsidR="003A7B65" w:rsidRPr="0018386D">
        <w:t>emitted</w:t>
      </w:r>
      <w:r w:rsidR="003A7B65" w:rsidRPr="0018386D">
        <w:rPr>
          <w:spacing w:val="2"/>
        </w:rPr>
        <w:t xml:space="preserve"> as </w:t>
      </w:r>
      <w:r w:rsidR="00303AA0" w:rsidRPr="0018386D">
        <w:rPr>
          <w:spacing w:val="2"/>
        </w:rPr>
        <w:t>carbon dioxide</w:t>
      </w:r>
      <w:r w:rsidR="003A7B65" w:rsidRPr="0018386D">
        <w:t xml:space="preserve"> into the atmosphere. </w:t>
      </w:r>
    </w:p>
    <w:p w14:paraId="65093123" w14:textId="36F274B8" w:rsidR="00BC3D9E" w:rsidRPr="0018386D" w:rsidRDefault="003A7B65" w:rsidP="00DD3106">
      <w:pPr>
        <w:pStyle w:val="BodyText"/>
      </w:pPr>
      <w:r w:rsidRPr="0018386D">
        <w:t xml:space="preserve">There is no country-specific methodology on </w:t>
      </w:r>
      <w:r w:rsidR="00303AA0" w:rsidRPr="0018386D">
        <w:t>carbon dioxide</w:t>
      </w:r>
      <w:r w:rsidRPr="0018386D">
        <w:t xml:space="preserve"> emissions from </w:t>
      </w:r>
      <w:r w:rsidR="00322289" w:rsidRPr="0018386D">
        <w:t xml:space="preserve">urea </w:t>
      </w:r>
      <w:r w:rsidRPr="0018386D">
        <w:t>application for New Zealand. Emissions associated with the application of urea are estimated using a Tier</w:t>
      </w:r>
      <w:r w:rsidR="00B338B9" w:rsidRPr="0018386D">
        <w:t> </w:t>
      </w:r>
      <w:r w:rsidRPr="0018386D">
        <w:t>1</w:t>
      </w:r>
      <w:r w:rsidR="00B338B9" w:rsidRPr="0018386D">
        <w:t> </w:t>
      </w:r>
      <w:r w:rsidRPr="0018386D">
        <w:t>methodology (equation 11.13; IPCC, 2006), using the default emission factor for carbon conversion of 0.20.</w:t>
      </w:r>
    </w:p>
    <w:p w14:paraId="56381678" w14:textId="77777777" w:rsidR="00471210" w:rsidRPr="0018386D" w:rsidRDefault="00471210" w:rsidP="00DD3106">
      <w:pPr>
        <w:pStyle w:val="BodyText"/>
      </w:pPr>
      <w:bookmarkStart w:id="974" w:name="_Agricultural_soils"/>
      <w:bookmarkStart w:id="975" w:name="_Appendix_A:_Derivation"/>
      <w:bookmarkStart w:id="976" w:name="_Appendix_A:_Derivation_1"/>
      <w:bookmarkStart w:id="977" w:name="_Ref532556239"/>
      <w:bookmarkStart w:id="978" w:name="_Ref532556440"/>
      <w:bookmarkStart w:id="979" w:name="_Ref532558515"/>
      <w:bookmarkStart w:id="980" w:name="_Toc532904974"/>
      <w:bookmarkStart w:id="981" w:name="_Toc600605"/>
      <w:bookmarkEnd w:id="974"/>
      <w:bookmarkEnd w:id="975"/>
      <w:bookmarkEnd w:id="976"/>
      <w:r w:rsidRPr="0018386D">
        <w:br w:type="page"/>
      </w:r>
    </w:p>
    <w:p w14:paraId="65093278" w14:textId="24045B87" w:rsidR="005E0080" w:rsidRPr="0018386D" w:rsidRDefault="005E0080" w:rsidP="00DD3106">
      <w:pPr>
        <w:pStyle w:val="Heading1"/>
      </w:pPr>
      <w:bookmarkStart w:id="982" w:name="_Appendix_A:_Derivation_2"/>
      <w:bookmarkStart w:id="983" w:name="_Toc140048936"/>
      <w:bookmarkEnd w:id="982"/>
      <w:r w:rsidRPr="0018386D">
        <w:t>Appendix A</w:t>
      </w:r>
      <w:r w:rsidR="00487827" w:rsidRPr="0018386D">
        <w:t>: Derivation of fuel emission</w:t>
      </w:r>
      <w:r w:rsidR="006E67E3" w:rsidRPr="0018386D">
        <w:t> </w:t>
      </w:r>
      <w:r w:rsidR="00487827" w:rsidRPr="0018386D">
        <w:t>factors</w:t>
      </w:r>
      <w:bookmarkEnd w:id="977"/>
      <w:bookmarkEnd w:id="978"/>
      <w:bookmarkEnd w:id="979"/>
      <w:bookmarkEnd w:id="980"/>
      <w:bookmarkEnd w:id="981"/>
      <w:bookmarkEnd w:id="983"/>
    </w:p>
    <w:p w14:paraId="6B5E1623" w14:textId="0A6F7B6F" w:rsidR="00487827" w:rsidRPr="0018386D" w:rsidRDefault="00487827" w:rsidP="00DD3106">
      <w:pPr>
        <w:pStyle w:val="Appendixheading2"/>
        <w:numPr>
          <w:ilvl w:val="1"/>
          <w:numId w:val="7"/>
        </w:numPr>
        <w:spacing w:before="240"/>
      </w:pPr>
      <w:bookmarkStart w:id="984" w:name="_Toc532904975"/>
      <w:bookmarkStart w:id="985" w:name="_Toc600606"/>
      <w:r w:rsidRPr="0018386D">
        <w:t>The importance of calorific value</w:t>
      </w:r>
      <w:bookmarkEnd w:id="984"/>
      <w:bookmarkEnd w:id="985"/>
    </w:p>
    <w:p w14:paraId="138432BB" w14:textId="2FDDE347" w:rsidR="00487827" w:rsidRPr="0018386D" w:rsidRDefault="00487827" w:rsidP="00DD3106">
      <w:pPr>
        <w:pStyle w:val="BodyText"/>
      </w:pPr>
      <w:bookmarkStart w:id="986" w:name="_Hlk532200380"/>
      <w:r w:rsidRPr="0018386D">
        <w:t>The energy content of fuels may vary within and between fuel types.</w:t>
      </w:r>
      <w:r w:rsidRPr="0018386D" w:rsidDel="00B75152">
        <w:t xml:space="preserve"> </w:t>
      </w:r>
      <w:r w:rsidRPr="0018386D">
        <w:t>Emission factors are therefore commonly expressed in terms of energy units (eg, tonnes CO</w:t>
      </w:r>
      <w:r w:rsidRPr="0018386D">
        <w:rPr>
          <w:vertAlign w:val="subscript"/>
        </w:rPr>
        <w:t>2</w:t>
      </w:r>
      <w:r w:rsidR="007217C0" w:rsidRPr="0018386D">
        <w:t>-e</w:t>
      </w:r>
      <w:r w:rsidRPr="0018386D">
        <w:t>/TJ) rather than mass or volume. This generally provides more accurate emissions estimates. Converting to emission factors expressed in terms of mass or volume (eg, kg CO</w:t>
      </w:r>
      <w:r w:rsidRPr="0018386D">
        <w:rPr>
          <w:vertAlign w:val="subscript"/>
        </w:rPr>
        <w:t>2</w:t>
      </w:r>
      <w:r w:rsidRPr="0018386D">
        <w:t>-e/litre) requires an assumption around which default calorific value should be used.</w:t>
      </w:r>
    </w:p>
    <w:p w14:paraId="519AE6B5" w14:textId="072273C1" w:rsidR="00487827" w:rsidRPr="0018386D" w:rsidRDefault="00487827" w:rsidP="00DD3106">
      <w:pPr>
        <w:pStyle w:val="BodyText"/>
      </w:pPr>
      <w:r w:rsidRPr="0018386D">
        <w:t>It is therefore useful to show how</w:t>
      </w:r>
      <w:r w:rsidR="00AB3F6F" w:rsidRPr="0018386D">
        <w:t xml:space="preserve"> we derived</w:t>
      </w:r>
      <w:r w:rsidRPr="0018386D">
        <w:t xml:space="preserve"> the per-activity unit (eg, kg CO</w:t>
      </w:r>
      <w:r w:rsidRPr="0018386D">
        <w:rPr>
          <w:vertAlign w:val="subscript"/>
        </w:rPr>
        <w:t>2</w:t>
      </w:r>
      <w:r w:rsidRPr="0018386D">
        <w:t xml:space="preserve">-e/litre) emission factors, and which calorific values </w:t>
      </w:r>
      <w:r w:rsidR="00AB3F6F" w:rsidRPr="0018386D">
        <w:t>we</w:t>
      </w:r>
      <w:r w:rsidRPr="0018386D">
        <w:t xml:space="preserve"> used. It is important to note that if you </w:t>
      </w:r>
      <w:r w:rsidR="007939D1" w:rsidRPr="0018386D">
        <w:t>can</w:t>
      </w:r>
      <w:r w:rsidRPr="0018386D">
        <w:t xml:space="preserve"> obtain fuel use information in energy </w:t>
      </w:r>
      <w:proofErr w:type="gramStart"/>
      <w:r w:rsidRPr="0018386D">
        <w:t>units, or</w:t>
      </w:r>
      <w:proofErr w:type="gramEnd"/>
      <w:r w:rsidRPr="0018386D">
        <w:t xml:space="preserve"> know the specific calorific value of the fuel you are using, you can calculate your emissions more accurately. </w:t>
      </w:r>
    </w:p>
    <w:p w14:paraId="3E917F20" w14:textId="7729AF26" w:rsidR="00487827" w:rsidRPr="0018386D" w:rsidRDefault="00487827" w:rsidP="00DD3106">
      <w:pPr>
        <w:pStyle w:val="BodyText"/>
      </w:pPr>
      <w:r w:rsidRPr="0018386D">
        <w:t xml:space="preserve">Note that </w:t>
      </w:r>
      <w:r w:rsidR="00AB3F6F" w:rsidRPr="0018386D">
        <w:t xml:space="preserve">we have used </w:t>
      </w:r>
      <w:r w:rsidRPr="0018386D">
        <w:t>gross calorific values.</w:t>
      </w:r>
      <w:bookmarkEnd w:id="986"/>
    </w:p>
    <w:p w14:paraId="085C9A7D" w14:textId="5F6DDBFE" w:rsidR="00487827" w:rsidRPr="0018386D" w:rsidRDefault="00303AA0" w:rsidP="00DD3106">
      <w:pPr>
        <w:pStyle w:val="Appendixheading2"/>
        <w:numPr>
          <w:ilvl w:val="1"/>
          <w:numId w:val="7"/>
        </w:numPr>
      </w:pPr>
      <w:bookmarkStart w:id="987" w:name="_Toc532904976"/>
      <w:bookmarkStart w:id="988" w:name="_Toc600607"/>
      <w:r w:rsidRPr="0018386D">
        <w:t>Methane</w:t>
      </w:r>
      <w:r w:rsidR="00487827" w:rsidRPr="0018386D">
        <w:t xml:space="preserve"> and </w:t>
      </w:r>
      <w:r w:rsidRPr="0018386D">
        <w:t>nitrous oxide</w:t>
      </w:r>
      <w:r w:rsidR="00487827" w:rsidRPr="0018386D">
        <w:t xml:space="preserve"> emission factors</w:t>
      </w:r>
      <w:r w:rsidR="00B338B9" w:rsidRPr="0018386D">
        <w:t> </w:t>
      </w:r>
      <w:r w:rsidR="00487827" w:rsidRPr="0018386D">
        <w:t>used</w:t>
      </w:r>
      <w:r w:rsidR="00F737F5" w:rsidRPr="0018386D">
        <w:t> </w:t>
      </w:r>
      <w:r w:rsidR="00487827" w:rsidRPr="0018386D">
        <w:t>in</w:t>
      </w:r>
      <w:r w:rsidR="00F737F5" w:rsidRPr="0018386D">
        <w:t> </w:t>
      </w:r>
      <w:r w:rsidR="00487827" w:rsidRPr="0018386D">
        <w:t>this</w:t>
      </w:r>
      <w:r w:rsidR="00797763" w:rsidRPr="0018386D">
        <w:t> </w:t>
      </w:r>
      <w:proofErr w:type="gramStart"/>
      <w:r w:rsidR="00487827" w:rsidRPr="0018386D">
        <w:t>guide</w:t>
      </w:r>
      <w:bookmarkEnd w:id="987"/>
      <w:bookmarkEnd w:id="988"/>
      <w:proofErr w:type="gramEnd"/>
    </w:p>
    <w:p w14:paraId="639F6C46" w14:textId="0AD62F45" w:rsidR="00487827" w:rsidRPr="0018386D" w:rsidRDefault="00487827" w:rsidP="00DD3106">
      <w:pPr>
        <w:pStyle w:val="BodyText"/>
      </w:pPr>
      <w:bookmarkStart w:id="989" w:name="_Hlk532200428"/>
      <w:r w:rsidRPr="0018386D">
        <w:t xml:space="preserve">Although </w:t>
      </w:r>
      <w:r w:rsidR="00303AA0" w:rsidRPr="0018386D">
        <w:t>carbon dioxide</w:t>
      </w:r>
      <w:r w:rsidRPr="0018386D">
        <w:t xml:space="preserve"> emissions remain constant regardless of how a fuel is combusted, </w:t>
      </w:r>
      <w:r w:rsidR="00303AA0" w:rsidRPr="0018386D">
        <w:t>methane</w:t>
      </w:r>
      <w:r w:rsidRPr="0018386D">
        <w:t xml:space="preserve"> and </w:t>
      </w:r>
      <w:r w:rsidR="00303AA0" w:rsidRPr="0018386D">
        <w:t>nitrous oxide</w:t>
      </w:r>
      <w:r w:rsidRPr="0018386D">
        <w:t xml:space="preserve"> emissions depend on the precise nature of the activity in which the fuel is being combusted. The emission factors for </w:t>
      </w:r>
      <w:r w:rsidR="00303AA0" w:rsidRPr="0018386D">
        <w:t>methane</w:t>
      </w:r>
      <w:r w:rsidRPr="0018386D">
        <w:t xml:space="preserve"> and </w:t>
      </w:r>
      <w:r w:rsidR="00303AA0" w:rsidRPr="0018386D">
        <w:t>nitrous oxide</w:t>
      </w:r>
      <w:r w:rsidRPr="0018386D">
        <w:t xml:space="preserve"> therefore vary depending on the combustion process.</w:t>
      </w:r>
      <w:r w:rsidR="00104D5C" w:rsidRPr="0018386D">
        <w:t xml:space="preserve"> </w:t>
      </w:r>
      <w:hyperlink w:anchor="tableA1" w:history="1">
        <w:r w:rsidR="00D1180C" w:rsidRPr="0018386D">
          <w:rPr>
            <w:rStyle w:val="Hyperlink"/>
          </w:rPr>
          <w:t>Table A1</w:t>
        </w:r>
      </w:hyperlink>
      <w:r w:rsidR="003E1E1E" w:rsidRPr="0018386D">
        <w:t xml:space="preserve"> </w:t>
      </w:r>
      <w:r w:rsidRPr="0018386D">
        <w:t xml:space="preserve">shows the default </w:t>
      </w:r>
      <w:r w:rsidR="00303AA0" w:rsidRPr="0018386D">
        <w:t>methane</w:t>
      </w:r>
      <w:r w:rsidRPr="0018386D">
        <w:t xml:space="preserve"> and </w:t>
      </w:r>
      <w:r w:rsidR="00303AA0" w:rsidRPr="0018386D">
        <w:t>nitrous oxide</w:t>
      </w:r>
      <w:r w:rsidRPr="0018386D">
        <w:t xml:space="preserve"> emission factors (expressed in energy units) used in this guide. </w:t>
      </w:r>
      <w:bookmarkStart w:id="990" w:name="_Hlk534892180"/>
      <w:r w:rsidRPr="0018386D">
        <w:t>The calculation</w:t>
      </w:r>
      <w:r w:rsidR="00D9313E" w:rsidRPr="0018386D">
        <w:t xml:space="preserve"> in </w:t>
      </w:r>
      <w:hyperlink w:anchor="_Emission_factor_derivation_1" w:history="1">
        <w:r w:rsidR="00D9313E" w:rsidRPr="0018386D">
          <w:rPr>
            <w:rStyle w:val="Hyperlink"/>
          </w:rPr>
          <w:t>section</w:t>
        </w:r>
        <w:r w:rsidR="00AA525F" w:rsidRPr="0018386D">
          <w:rPr>
            <w:rStyle w:val="Hyperlink"/>
          </w:rPr>
          <w:t xml:space="preserve"> 3.2.2</w:t>
        </w:r>
      </w:hyperlink>
      <w:r w:rsidRPr="0018386D" w:rsidDel="00D9313E">
        <w:rPr>
          <w:color w:val="32809C" w:themeColor="accent2"/>
        </w:rPr>
        <w:t xml:space="preserve"> </w:t>
      </w:r>
      <w:r w:rsidRPr="0018386D">
        <w:t>show</w:t>
      </w:r>
      <w:r w:rsidR="00D9313E" w:rsidRPr="0018386D">
        <w:t>s</w:t>
      </w:r>
      <w:r w:rsidRPr="0018386D">
        <w:t xml:space="preserve"> how </w:t>
      </w:r>
      <w:r w:rsidR="00AB3F6F" w:rsidRPr="0018386D">
        <w:t xml:space="preserve">we converted </w:t>
      </w:r>
      <w:r w:rsidRPr="0018386D">
        <w:t xml:space="preserve">these to </w:t>
      </w:r>
      <w:r w:rsidR="009019DE" w:rsidRPr="0018386D">
        <w:t xml:space="preserve">a </w:t>
      </w:r>
      <w:r w:rsidRPr="0018386D">
        <w:t>per activity unit (eg, kg CO</w:t>
      </w:r>
      <w:r w:rsidRPr="0018386D">
        <w:rPr>
          <w:vertAlign w:val="subscript"/>
        </w:rPr>
        <w:t>2</w:t>
      </w:r>
      <w:r w:rsidRPr="0018386D">
        <w:t xml:space="preserve">-e/kg) emission factors. </w:t>
      </w:r>
      <w:r w:rsidR="00AB3F6F" w:rsidRPr="0018386D">
        <w:t>MBIE provided all</w:t>
      </w:r>
      <w:r w:rsidRPr="0018386D">
        <w:t xml:space="preserve"> emission factors in</w:t>
      </w:r>
      <w:r w:rsidR="003E1E1E" w:rsidRPr="0018386D">
        <w:t xml:space="preserve"> </w:t>
      </w:r>
      <w:hyperlink w:anchor="table3" w:history="1">
        <w:r w:rsidR="00CA3D2B" w:rsidRPr="0018386D">
          <w:rPr>
            <w:rStyle w:val="Hyperlink"/>
          </w:rPr>
          <w:t>table 3</w:t>
        </w:r>
      </w:hyperlink>
      <w:r w:rsidRPr="0018386D">
        <w:t>.</w:t>
      </w:r>
    </w:p>
    <w:bookmarkEnd w:id="990"/>
    <w:p w14:paraId="7609A27A" w14:textId="755BA596" w:rsidR="00487827" w:rsidRPr="0018386D" w:rsidRDefault="00487827" w:rsidP="00DD3106">
      <w:pPr>
        <w:pStyle w:val="BodyText"/>
      </w:pPr>
      <w:r w:rsidRPr="0018386D">
        <w:t xml:space="preserve">Note that </w:t>
      </w:r>
      <w:r w:rsidR="00AB3F6F" w:rsidRPr="0018386D">
        <w:t xml:space="preserve">we have used </w:t>
      </w:r>
      <w:r w:rsidRPr="0018386D">
        <w:t>gross emission factors</w:t>
      </w:r>
      <w:bookmarkEnd w:id="989"/>
      <w:r w:rsidRPr="0018386D">
        <w:t>.</w:t>
      </w:r>
    </w:p>
    <w:p w14:paraId="6AAB157C" w14:textId="77777777" w:rsidR="00487827" w:rsidRPr="0018386D" w:rsidRDefault="00487827" w:rsidP="00DD3106">
      <w:pPr>
        <w:pStyle w:val="Appendixheading2"/>
        <w:numPr>
          <w:ilvl w:val="1"/>
          <w:numId w:val="7"/>
        </w:numPr>
      </w:pPr>
      <w:bookmarkStart w:id="991" w:name="_Toc532904977"/>
      <w:bookmarkStart w:id="992" w:name="_Toc600608"/>
      <w:r w:rsidRPr="0018386D">
        <w:t xml:space="preserve">Oxidation factors used in this </w:t>
      </w:r>
      <w:proofErr w:type="gramStart"/>
      <w:r w:rsidRPr="0018386D">
        <w:t>guide</w:t>
      </w:r>
      <w:bookmarkEnd w:id="991"/>
      <w:bookmarkEnd w:id="992"/>
      <w:proofErr w:type="gramEnd"/>
    </w:p>
    <w:p w14:paraId="65093279" w14:textId="63C1EBE3" w:rsidR="005E0080" w:rsidRPr="0018386D" w:rsidRDefault="00AB3F6F" w:rsidP="00DD3106">
      <w:pPr>
        <w:pStyle w:val="BodyText"/>
      </w:pPr>
      <w:bookmarkStart w:id="993" w:name="_Hlk532200452"/>
      <w:r w:rsidRPr="0018386D">
        <w:t>We sourced a</w:t>
      </w:r>
      <w:r w:rsidR="00487827" w:rsidRPr="0018386D">
        <w:t xml:space="preserve">ll oxidation factors from </w:t>
      </w:r>
      <w:r w:rsidR="00F44EA5" w:rsidRPr="0018386D">
        <w:t xml:space="preserve">MBIE and </w:t>
      </w:r>
      <w:r w:rsidR="00487827" w:rsidRPr="0018386D">
        <w:t xml:space="preserve">the </w:t>
      </w:r>
      <w:r w:rsidR="009305CB" w:rsidRPr="0018386D">
        <w:rPr>
          <w:i/>
        </w:rPr>
        <w:t>2006</w:t>
      </w:r>
      <w:r w:rsidR="009305CB" w:rsidRPr="0018386D">
        <w:t xml:space="preserve"> </w:t>
      </w:r>
      <w:r w:rsidR="00487827" w:rsidRPr="0018386D">
        <w:rPr>
          <w:i/>
        </w:rPr>
        <w:t>IPCC Guidelines for National Greenhouse Gas Inventories</w:t>
      </w:r>
      <w:r w:rsidR="00487827" w:rsidRPr="0018386D">
        <w:t xml:space="preserve">. Oxidation factors have only been applied to the </w:t>
      </w:r>
      <w:r w:rsidR="00303AA0" w:rsidRPr="0018386D">
        <w:t>carbon dioxide</w:t>
      </w:r>
      <w:r w:rsidR="00487827" w:rsidRPr="0018386D">
        <w:t xml:space="preserve"> emission factors</w:t>
      </w:r>
      <w:r w:rsidR="00B95088" w:rsidRPr="0018386D">
        <w:t xml:space="preserve"> </w:t>
      </w:r>
      <w:r w:rsidR="00487827" w:rsidRPr="0018386D">
        <w:t xml:space="preserve">and have not been applied to the </w:t>
      </w:r>
      <w:r w:rsidR="00303AA0" w:rsidRPr="0018386D">
        <w:t>methane</w:t>
      </w:r>
      <w:r w:rsidR="00487827" w:rsidRPr="0018386D">
        <w:t xml:space="preserve"> and </w:t>
      </w:r>
      <w:r w:rsidR="00303AA0" w:rsidRPr="0018386D">
        <w:t>nitrous oxide</w:t>
      </w:r>
      <w:r w:rsidR="00487827" w:rsidRPr="0018386D">
        <w:t xml:space="preserve"> emission factors. </w:t>
      </w:r>
      <w:bookmarkEnd w:id="993"/>
    </w:p>
    <w:p w14:paraId="7673A719" w14:textId="77777777" w:rsidR="0001645D" w:rsidRPr="0018386D" w:rsidRDefault="0001645D" w:rsidP="00DD3106">
      <w:pPr>
        <w:pStyle w:val="Appendixheading2"/>
        <w:numPr>
          <w:ilvl w:val="1"/>
          <w:numId w:val="7"/>
        </w:numPr>
      </w:pPr>
      <w:r w:rsidRPr="0018386D">
        <w:t>Sector classification</w:t>
      </w:r>
    </w:p>
    <w:p w14:paraId="4DDE5F7F" w14:textId="546A5D7F" w:rsidR="0001645D" w:rsidRPr="0018386D" w:rsidRDefault="0001645D" w:rsidP="00DD3106">
      <w:pPr>
        <w:pStyle w:val="BodyText"/>
      </w:pPr>
      <w:r w:rsidRPr="0018386D">
        <w:t xml:space="preserve">Emission factors for stationary fuels are provided for the </w:t>
      </w:r>
      <w:r w:rsidR="0070282F" w:rsidRPr="0018386D">
        <w:t>r</w:t>
      </w:r>
      <w:r w:rsidRPr="0018386D">
        <w:t xml:space="preserve">esidential, </w:t>
      </w:r>
      <w:proofErr w:type="gramStart"/>
      <w:r w:rsidR="0070282F" w:rsidRPr="0018386D">
        <w:t>c</w:t>
      </w:r>
      <w:r w:rsidRPr="0018386D">
        <w:t>ommercial</w:t>
      </w:r>
      <w:proofErr w:type="gramEnd"/>
      <w:r w:rsidRPr="0018386D">
        <w:t xml:space="preserve"> and </w:t>
      </w:r>
      <w:r w:rsidR="0070282F" w:rsidRPr="0018386D">
        <w:t>i</w:t>
      </w:r>
      <w:r w:rsidRPr="0018386D">
        <w:t>ndustrial sectors. Consumption statistics for these sectors are based on Australian and New Zealand Standard Industrial Classification (ANZSIC) codes</w:t>
      </w:r>
      <w:r w:rsidR="0070282F" w:rsidRPr="0018386D">
        <w:t>,</w:t>
      </w:r>
      <w:r w:rsidRPr="0018386D">
        <w:t xml:space="preserve"> with the mappings shown in table A1 used for industrial and commercial sectors.</w:t>
      </w:r>
    </w:p>
    <w:p w14:paraId="670256E3" w14:textId="77777777" w:rsidR="0001645D" w:rsidRPr="0018386D" w:rsidRDefault="0001645D" w:rsidP="00DD3106">
      <w:pPr>
        <w:pStyle w:val="Tableheading"/>
      </w:pPr>
      <w:bookmarkStart w:id="994" w:name="_Toc140049036"/>
      <w:bookmarkStart w:id="995" w:name="tableA1"/>
      <w:r w:rsidRPr="0018386D">
        <w:t>Table A</w:t>
      </w:r>
      <w:r w:rsidRPr="0018386D">
        <w:fldChar w:fldCharType="begin"/>
      </w:r>
      <w:r w:rsidRPr="0018386D">
        <w:instrText>SEQ Table_A. \* ARABIC</w:instrText>
      </w:r>
      <w:r w:rsidRPr="0018386D">
        <w:fldChar w:fldCharType="separate"/>
      </w:r>
      <w:r w:rsidRPr="0018386D">
        <w:t>1</w:t>
      </w:r>
      <w:r w:rsidRPr="0018386D">
        <w:fldChar w:fldCharType="end"/>
      </w:r>
      <w:r w:rsidRPr="0018386D">
        <w:t>:</w:t>
      </w:r>
      <w:r w:rsidRPr="0018386D">
        <w:tab/>
        <w:t xml:space="preserve">Mappings used for industrial and commercial </w:t>
      </w:r>
      <w:proofErr w:type="gramStart"/>
      <w:r w:rsidRPr="0018386D">
        <w:t>sectors</w:t>
      </w:r>
      <w:bookmarkEnd w:id="994"/>
      <w:proofErr w:type="gramEnd"/>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785"/>
        <w:gridCol w:w="2291"/>
      </w:tblGrid>
      <w:tr w:rsidR="0001645D" w:rsidRPr="0018386D" w14:paraId="3E1F9E5D" w14:textId="77777777" w:rsidTr="008C4FFE">
        <w:tc>
          <w:tcPr>
            <w:tcW w:w="2785" w:type="dxa"/>
            <w:shd w:val="clear" w:color="auto" w:fill="1B556B" w:themeFill="text2"/>
          </w:tcPr>
          <w:bookmarkEnd w:id="995"/>
          <w:p w14:paraId="5FCC34CE" w14:textId="77777777" w:rsidR="0001645D" w:rsidRPr="0018386D" w:rsidRDefault="0001645D" w:rsidP="00DD3106">
            <w:pPr>
              <w:pStyle w:val="TableText"/>
              <w:keepNext/>
              <w:spacing w:before="40" w:after="40"/>
              <w:rPr>
                <w:rFonts w:eastAsia="Times New Roman" w:cs="Calibri"/>
                <w:b/>
                <w:color w:val="FFFFFF" w:themeColor="background1"/>
              </w:rPr>
            </w:pPr>
            <w:r w:rsidRPr="0018386D">
              <w:rPr>
                <w:rFonts w:eastAsia="Times New Roman" w:cs="Calibri"/>
                <w:b/>
                <w:color w:val="FFFFFF" w:themeColor="background1"/>
              </w:rPr>
              <w:t>Sector</w:t>
            </w:r>
          </w:p>
        </w:tc>
        <w:tc>
          <w:tcPr>
            <w:tcW w:w="2291" w:type="dxa"/>
            <w:shd w:val="clear" w:color="auto" w:fill="1B556B" w:themeFill="text2"/>
          </w:tcPr>
          <w:p w14:paraId="3812A3B8" w14:textId="77777777" w:rsidR="0001645D" w:rsidRPr="0018386D" w:rsidRDefault="0001645D" w:rsidP="00DD3106">
            <w:pPr>
              <w:pStyle w:val="TableText"/>
              <w:keepNext/>
              <w:spacing w:before="40" w:after="40"/>
              <w:rPr>
                <w:rFonts w:eastAsia="Times New Roman" w:cs="Calibri"/>
                <w:b/>
                <w:color w:val="FFFFFF" w:themeColor="background1"/>
              </w:rPr>
            </w:pPr>
            <w:r w:rsidRPr="0018386D">
              <w:rPr>
                <w:rFonts w:eastAsia="Times New Roman" w:cs="Calibri"/>
                <w:b/>
                <w:color w:val="FFFFFF" w:themeColor="background1"/>
              </w:rPr>
              <w:t>ANZSIC codes</w:t>
            </w:r>
          </w:p>
        </w:tc>
      </w:tr>
      <w:tr w:rsidR="0001645D" w:rsidRPr="0018386D" w14:paraId="77BEE79E" w14:textId="77777777" w:rsidTr="008C4FFE">
        <w:tc>
          <w:tcPr>
            <w:tcW w:w="2785" w:type="dxa"/>
          </w:tcPr>
          <w:p w14:paraId="5E0B2B6D" w14:textId="649510C1" w:rsidR="0001645D" w:rsidRPr="0018386D" w:rsidRDefault="0001645D" w:rsidP="00DD3106">
            <w:pPr>
              <w:pStyle w:val="TableText"/>
              <w:spacing w:before="40" w:after="40"/>
            </w:pPr>
            <w:r w:rsidRPr="0018386D">
              <w:t xml:space="preserve">Agriculture, </w:t>
            </w:r>
            <w:proofErr w:type="gramStart"/>
            <w:r w:rsidR="0070282F" w:rsidRPr="0018386D">
              <w:t>f</w:t>
            </w:r>
            <w:r w:rsidRPr="0018386D">
              <w:t>orestry</w:t>
            </w:r>
            <w:proofErr w:type="gramEnd"/>
            <w:r w:rsidRPr="0018386D">
              <w:t xml:space="preserve"> and </w:t>
            </w:r>
            <w:r w:rsidR="0070282F" w:rsidRPr="0018386D">
              <w:t>f</w:t>
            </w:r>
            <w:r w:rsidRPr="0018386D">
              <w:t>ishing</w:t>
            </w:r>
          </w:p>
        </w:tc>
        <w:tc>
          <w:tcPr>
            <w:tcW w:w="2291" w:type="dxa"/>
          </w:tcPr>
          <w:p w14:paraId="6D8DE609" w14:textId="77777777" w:rsidR="0001645D" w:rsidRPr="0018386D" w:rsidRDefault="0001645D" w:rsidP="00DD3106">
            <w:pPr>
              <w:pStyle w:val="TableText"/>
              <w:spacing w:before="40" w:after="40"/>
            </w:pPr>
            <w:r w:rsidRPr="0018386D">
              <w:t>A</w:t>
            </w:r>
          </w:p>
        </w:tc>
      </w:tr>
      <w:tr w:rsidR="0001645D" w:rsidRPr="0018386D" w14:paraId="3B5B3335" w14:textId="77777777" w:rsidTr="008C4FFE">
        <w:tc>
          <w:tcPr>
            <w:tcW w:w="2785" w:type="dxa"/>
          </w:tcPr>
          <w:p w14:paraId="71C89E71" w14:textId="25F93AD6" w:rsidR="0001645D" w:rsidRPr="0018386D" w:rsidRDefault="0001645D" w:rsidP="00DD3106">
            <w:pPr>
              <w:pStyle w:val="TableText"/>
              <w:spacing w:before="40" w:after="40"/>
            </w:pPr>
            <w:r w:rsidRPr="0018386D">
              <w:t xml:space="preserve">Mineral and </w:t>
            </w:r>
            <w:r w:rsidR="0070282F" w:rsidRPr="0018386D">
              <w:t>p</w:t>
            </w:r>
            <w:r w:rsidRPr="0018386D">
              <w:t xml:space="preserve">etroleum </w:t>
            </w:r>
            <w:r w:rsidR="0070282F" w:rsidRPr="0018386D">
              <w:t>e</w:t>
            </w:r>
            <w:r w:rsidRPr="0018386D">
              <w:t>xtraction</w:t>
            </w:r>
          </w:p>
        </w:tc>
        <w:tc>
          <w:tcPr>
            <w:tcW w:w="2291" w:type="dxa"/>
          </w:tcPr>
          <w:p w14:paraId="3873539B" w14:textId="77777777" w:rsidR="0001645D" w:rsidRPr="0018386D" w:rsidRDefault="0001645D" w:rsidP="00DD3106">
            <w:pPr>
              <w:pStyle w:val="TableText"/>
              <w:spacing w:before="40" w:after="40"/>
            </w:pPr>
            <w:r w:rsidRPr="0018386D">
              <w:t>B</w:t>
            </w:r>
          </w:p>
        </w:tc>
      </w:tr>
      <w:tr w:rsidR="0001645D" w:rsidRPr="0018386D" w14:paraId="6FE3DDD9" w14:textId="77777777" w:rsidTr="008C4FFE">
        <w:tc>
          <w:tcPr>
            <w:tcW w:w="2785" w:type="dxa"/>
          </w:tcPr>
          <w:p w14:paraId="34C84030" w14:textId="6552E53A" w:rsidR="0001645D" w:rsidRPr="0018386D" w:rsidRDefault="0001645D" w:rsidP="00DD3106">
            <w:pPr>
              <w:pStyle w:val="TableText"/>
              <w:spacing w:before="40" w:after="40"/>
            </w:pPr>
            <w:r w:rsidRPr="0018386D">
              <w:t xml:space="preserve">Food </w:t>
            </w:r>
            <w:r w:rsidR="0070282F" w:rsidRPr="0018386D">
              <w:t>p</w:t>
            </w:r>
            <w:r w:rsidRPr="0018386D">
              <w:t>rocessing</w:t>
            </w:r>
          </w:p>
        </w:tc>
        <w:tc>
          <w:tcPr>
            <w:tcW w:w="2291" w:type="dxa"/>
          </w:tcPr>
          <w:p w14:paraId="0153334E" w14:textId="77777777" w:rsidR="0001645D" w:rsidRPr="0018386D" w:rsidRDefault="0001645D" w:rsidP="00DD3106">
            <w:pPr>
              <w:pStyle w:val="TableText"/>
              <w:spacing w:before="40" w:after="40"/>
            </w:pPr>
            <w:r w:rsidRPr="0018386D">
              <w:t>C11, C12</w:t>
            </w:r>
          </w:p>
        </w:tc>
      </w:tr>
      <w:tr w:rsidR="0001645D" w:rsidRPr="0018386D" w14:paraId="25AEAA8A" w14:textId="77777777" w:rsidTr="008C4FFE">
        <w:tc>
          <w:tcPr>
            <w:tcW w:w="2785" w:type="dxa"/>
          </w:tcPr>
          <w:p w14:paraId="13C2B59D" w14:textId="3830D8D5" w:rsidR="0001645D" w:rsidRPr="0018386D" w:rsidRDefault="0001645D" w:rsidP="00DD3106">
            <w:pPr>
              <w:pStyle w:val="TableText"/>
              <w:spacing w:before="40" w:after="40"/>
            </w:pPr>
            <w:r w:rsidRPr="0018386D">
              <w:t xml:space="preserve">Textiles and </w:t>
            </w:r>
            <w:r w:rsidR="0070282F" w:rsidRPr="0018386D">
              <w:t>l</w:t>
            </w:r>
            <w:r w:rsidRPr="0018386D">
              <w:t>eather</w:t>
            </w:r>
          </w:p>
        </w:tc>
        <w:tc>
          <w:tcPr>
            <w:tcW w:w="2291" w:type="dxa"/>
          </w:tcPr>
          <w:p w14:paraId="2FBDF6B8" w14:textId="77777777" w:rsidR="0001645D" w:rsidRPr="0018386D" w:rsidRDefault="0001645D" w:rsidP="00DD3106">
            <w:pPr>
              <w:pStyle w:val="TableText"/>
              <w:spacing w:before="40" w:after="40"/>
            </w:pPr>
            <w:r w:rsidRPr="0018386D">
              <w:t>C13</w:t>
            </w:r>
          </w:p>
        </w:tc>
      </w:tr>
      <w:tr w:rsidR="0001645D" w:rsidRPr="0018386D" w14:paraId="5C4A8208" w14:textId="77777777" w:rsidTr="008C4FFE">
        <w:tc>
          <w:tcPr>
            <w:tcW w:w="2785" w:type="dxa"/>
          </w:tcPr>
          <w:p w14:paraId="38D144BA" w14:textId="480ADD6B" w:rsidR="0001645D" w:rsidRPr="0018386D" w:rsidRDefault="0001645D" w:rsidP="00DD3106">
            <w:pPr>
              <w:pStyle w:val="TableText"/>
              <w:spacing w:before="40" w:after="40"/>
            </w:pPr>
            <w:r w:rsidRPr="0018386D">
              <w:t xml:space="preserve">Wood, </w:t>
            </w:r>
            <w:r w:rsidR="0070282F" w:rsidRPr="0018386D">
              <w:t>p</w:t>
            </w:r>
            <w:r w:rsidRPr="0018386D">
              <w:t xml:space="preserve">ulp, </w:t>
            </w:r>
            <w:proofErr w:type="gramStart"/>
            <w:r w:rsidR="0070282F" w:rsidRPr="0018386D">
              <w:t>p</w:t>
            </w:r>
            <w:r w:rsidRPr="0018386D">
              <w:t>aper</w:t>
            </w:r>
            <w:proofErr w:type="gramEnd"/>
            <w:r w:rsidRPr="0018386D">
              <w:t xml:space="preserve"> and </w:t>
            </w:r>
            <w:r w:rsidR="0070282F" w:rsidRPr="0018386D">
              <w:t>p</w:t>
            </w:r>
            <w:r w:rsidRPr="0018386D">
              <w:t>rinting</w:t>
            </w:r>
          </w:p>
        </w:tc>
        <w:tc>
          <w:tcPr>
            <w:tcW w:w="2291" w:type="dxa"/>
          </w:tcPr>
          <w:p w14:paraId="4F46702E" w14:textId="77777777" w:rsidR="0001645D" w:rsidRPr="0018386D" w:rsidRDefault="0001645D" w:rsidP="00DD3106">
            <w:pPr>
              <w:pStyle w:val="TableText"/>
              <w:spacing w:before="40" w:after="40"/>
            </w:pPr>
            <w:r w:rsidRPr="0018386D">
              <w:t>C14, C15, C16</w:t>
            </w:r>
          </w:p>
        </w:tc>
      </w:tr>
      <w:tr w:rsidR="0001645D" w:rsidRPr="0018386D" w14:paraId="5DB80112" w14:textId="77777777" w:rsidTr="008C4FFE">
        <w:tc>
          <w:tcPr>
            <w:tcW w:w="2785" w:type="dxa"/>
          </w:tcPr>
          <w:p w14:paraId="316B4745" w14:textId="77777777" w:rsidR="0001645D" w:rsidRPr="0018386D" w:rsidRDefault="0001645D" w:rsidP="00DD3106">
            <w:pPr>
              <w:pStyle w:val="TableText"/>
              <w:spacing w:before="40" w:after="40"/>
            </w:pPr>
            <w:r w:rsidRPr="0018386D">
              <w:t>Chemicals</w:t>
            </w:r>
          </w:p>
        </w:tc>
        <w:tc>
          <w:tcPr>
            <w:tcW w:w="2291" w:type="dxa"/>
          </w:tcPr>
          <w:p w14:paraId="7B99FE26" w14:textId="77777777" w:rsidR="0001645D" w:rsidRPr="0018386D" w:rsidRDefault="0001645D" w:rsidP="00DD3106">
            <w:pPr>
              <w:pStyle w:val="TableText"/>
              <w:spacing w:before="40" w:after="40"/>
            </w:pPr>
            <w:r w:rsidRPr="0018386D">
              <w:t>C17, C18, C19</w:t>
            </w:r>
          </w:p>
        </w:tc>
      </w:tr>
      <w:tr w:rsidR="0001645D" w:rsidRPr="0018386D" w14:paraId="753E8C52" w14:textId="77777777" w:rsidTr="008C4FFE">
        <w:tc>
          <w:tcPr>
            <w:tcW w:w="2785" w:type="dxa"/>
          </w:tcPr>
          <w:p w14:paraId="770E06BF" w14:textId="77777777" w:rsidR="0001645D" w:rsidRPr="0018386D" w:rsidRDefault="0001645D" w:rsidP="00DD3106">
            <w:pPr>
              <w:pStyle w:val="TableText"/>
              <w:spacing w:before="40" w:after="40"/>
            </w:pPr>
            <w:r w:rsidRPr="0018386D">
              <w:t>Non-metallic minerals</w:t>
            </w:r>
          </w:p>
        </w:tc>
        <w:tc>
          <w:tcPr>
            <w:tcW w:w="2291" w:type="dxa"/>
          </w:tcPr>
          <w:p w14:paraId="7025CD36" w14:textId="77777777" w:rsidR="0001645D" w:rsidRPr="0018386D" w:rsidRDefault="0001645D" w:rsidP="00DD3106">
            <w:pPr>
              <w:pStyle w:val="TableText"/>
              <w:spacing w:before="40" w:after="40"/>
            </w:pPr>
            <w:r w:rsidRPr="0018386D">
              <w:t>C20</w:t>
            </w:r>
          </w:p>
        </w:tc>
      </w:tr>
      <w:tr w:rsidR="0001645D" w:rsidRPr="0018386D" w14:paraId="5F069D5F" w14:textId="77777777" w:rsidTr="008C4FFE">
        <w:tc>
          <w:tcPr>
            <w:tcW w:w="2785" w:type="dxa"/>
          </w:tcPr>
          <w:p w14:paraId="7B9A21CB" w14:textId="63DD3380" w:rsidR="0001645D" w:rsidRPr="0018386D" w:rsidRDefault="0001645D" w:rsidP="00DD3106">
            <w:pPr>
              <w:pStyle w:val="TableText"/>
              <w:spacing w:before="40" w:after="40"/>
            </w:pPr>
            <w:r w:rsidRPr="0018386D">
              <w:t xml:space="preserve">Basic </w:t>
            </w:r>
            <w:r w:rsidR="0070282F" w:rsidRPr="0018386D">
              <w:t>m</w:t>
            </w:r>
            <w:r w:rsidRPr="0018386D">
              <w:t>etals</w:t>
            </w:r>
          </w:p>
        </w:tc>
        <w:tc>
          <w:tcPr>
            <w:tcW w:w="2291" w:type="dxa"/>
          </w:tcPr>
          <w:p w14:paraId="630F5A43" w14:textId="77777777" w:rsidR="0001645D" w:rsidRPr="0018386D" w:rsidRDefault="0001645D" w:rsidP="00DD3106">
            <w:pPr>
              <w:pStyle w:val="TableText"/>
              <w:spacing w:before="40" w:after="40"/>
            </w:pPr>
            <w:r w:rsidRPr="0018386D">
              <w:t>C21, C22</w:t>
            </w:r>
          </w:p>
        </w:tc>
      </w:tr>
      <w:tr w:rsidR="0001645D" w:rsidRPr="0018386D" w14:paraId="032A2DF8" w14:textId="77777777" w:rsidTr="008C4FFE">
        <w:tc>
          <w:tcPr>
            <w:tcW w:w="2785" w:type="dxa"/>
          </w:tcPr>
          <w:p w14:paraId="1BD027F8" w14:textId="7F264166" w:rsidR="0001645D" w:rsidRPr="0018386D" w:rsidRDefault="0001645D" w:rsidP="00DD3106">
            <w:pPr>
              <w:pStyle w:val="TableText"/>
              <w:spacing w:before="40" w:after="40"/>
            </w:pPr>
            <w:r w:rsidRPr="0018386D">
              <w:t>Mechanical/</w:t>
            </w:r>
            <w:r w:rsidR="0070282F" w:rsidRPr="0018386D">
              <w:t>e</w:t>
            </w:r>
            <w:r w:rsidRPr="0018386D">
              <w:t xml:space="preserve">lectrical </w:t>
            </w:r>
            <w:r w:rsidR="0070282F" w:rsidRPr="0018386D">
              <w:t>e</w:t>
            </w:r>
            <w:r w:rsidRPr="0018386D">
              <w:t>quipment</w:t>
            </w:r>
          </w:p>
        </w:tc>
        <w:tc>
          <w:tcPr>
            <w:tcW w:w="2291" w:type="dxa"/>
          </w:tcPr>
          <w:p w14:paraId="1B9A227F" w14:textId="77777777" w:rsidR="0001645D" w:rsidRPr="0018386D" w:rsidRDefault="0001645D" w:rsidP="00DD3106">
            <w:pPr>
              <w:pStyle w:val="TableText"/>
              <w:spacing w:before="40" w:after="40"/>
            </w:pPr>
            <w:r w:rsidRPr="0018386D">
              <w:t>C23, C24</w:t>
            </w:r>
          </w:p>
        </w:tc>
      </w:tr>
      <w:tr w:rsidR="0001645D" w:rsidRPr="0018386D" w14:paraId="232B3890" w14:textId="77777777" w:rsidTr="008C4FFE">
        <w:tc>
          <w:tcPr>
            <w:tcW w:w="2785" w:type="dxa"/>
          </w:tcPr>
          <w:p w14:paraId="04322FAE" w14:textId="77777777" w:rsidR="0001645D" w:rsidRPr="0018386D" w:rsidRDefault="0001645D" w:rsidP="00DD3106">
            <w:pPr>
              <w:pStyle w:val="TableText"/>
              <w:spacing w:before="40" w:after="40"/>
            </w:pPr>
            <w:r w:rsidRPr="0018386D">
              <w:t>Industry unallocated</w:t>
            </w:r>
          </w:p>
        </w:tc>
        <w:tc>
          <w:tcPr>
            <w:tcW w:w="2291" w:type="dxa"/>
          </w:tcPr>
          <w:p w14:paraId="145BDC9D" w14:textId="77777777" w:rsidR="0001645D" w:rsidRPr="0018386D" w:rsidRDefault="0001645D" w:rsidP="00DD3106">
            <w:pPr>
              <w:pStyle w:val="TableText"/>
              <w:spacing w:before="40" w:after="40"/>
            </w:pPr>
            <w:r w:rsidRPr="0018386D">
              <w:t>C25, D26, D27, D28, D29</w:t>
            </w:r>
          </w:p>
        </w:tc>
      </w:tr>
      <w:tr w:rsidR="0001645D" w:rsidRPr="0018386D" w14:paraId="764B1845" w14:textId="77777777" w:rsidTr="008C4FFE">
        <w:tc>
          <w:tcPr>
            <w:tcW w:w="2785" w:type="dxa"/>
          </w:tcPr>
          <w:p w14:paraId="4C25A61F" w14:textId="79A7DB3D" w:rsidR="0001645D" w:rsidRPr="0018386D" w:rsidRDefault="0001645D" w:rsidP="00DD3106">
            <w:pPr>
              <w:pStyle w:val="TableText"/>
              <w:spacing w:before="40" w:after="40"/>
            </w:pPr>
            <w:r w:rsidRPr="0018386D">
              <w:t xml:space="preserve">Building and </w:t>
            </w:r>
            <w:r w:rsidR="0070282F" w:rsidRPr="0018386D">
              <w:t>c</w:t>
            </w:r>
            <w:r w:rsidRPr="0018386D">
              <w:t>onstruction</w:t>
            </w:r>
          </w:p>
        </w:tc>
        <w:tc>
          <w:tcPr>
            <w:tcW w:w="2291" w:type="dxa"/>
          </w:tcPr>
          <w:p w14:paraId="5B62BF20" w14:textId="77777777" w:rsidR="0001645D" w:rsidRPr="0018386D" w:rsidRDefault="0001645D" w:rsidP="00DD3106">
            <w:pPr>
              <w:pStyle w:val="TableText"/>
              <w:spacing w:before="40" w:after="40"/>
            </w:pPr>
            <w:r w:rsidRPr="0018386D">
              <w:t>E</w:t>
            </w:r>
          </w:p>
        </w:tc>
      </w:tr>
      <w:tr w:rsidR="0001645D" w:rsidRPr="0018386D" w14:paraId="0A3F5895" w14:textId="77777777" w:rsidTr="008C4FFE">
        <w:tc>
          <w:tcPr>
            <w:tcW w:w="2785" w:type="dxa"/>
          </w:tcPr>
          <w:p w14:paraId="39EF139E" w14:textId="77777777" w:rsidR="0001645D" w:rsidRPr="0018386D" w:rsidRDefault="0001645D" w:rsidP="00DD3106">
            <w:pPr>
              <w:pStyle w:val="TableText"/>
              <w:spacing w:before="40" w:after="40"/>
            </w:pPr>
            <w:r w:rsidRPr="0018386D">
              <w:t>Commercial</w:t>
            </w:r>
          </w:p>
        </w:tc>
        <w:tc>
          <w:tcPr>
            <w:tcW w:w="2291" w:type="dxa"/>
          </w:tcPr>
          <w:p w14:paraId="23D05450" w14:textId="77777777" w:rsidR="0001645D" w:rsidRPr="0018386D" w:rsidRDefault="0001645D" w:rsidP="00DD3106">
            <w:pPr>
              <w:pStyle w:val="TableText"/>
              <w:spacing w:before="40" w:after="40"/>
            </w:pPr>
            <w:r w:rsidRPr="0018386D">
              <w:t>F-G, H, I, J, K-N, O, P, Q, R-S</w:t>
            </w:r>
          </w:p>
        </w:tc>
      </w:tr>
    </w:tbl>
    <w:p w14:paraId="3B360599" w14:textId="015F6C5A" w:rsidR="0001645D" w:rsidRPr="0018386D" w:rsidRDefault="0001645D" w:rsidP="00DD3106">
      <w:pPr>
        <w:pStyle w:val="Note"/>
      </w:pPr>
      <w:r w:rsidRPr="0018386D">
        <w:t xml:space="preserve">Table sourced from MBIE </w:t>
      </w:r>
      <w:hyperlink r:id="rId158" w:history="1">
        <w:r w:rsidRPr="0018386D">
          <w:rPr>
            <w:rStyle w:val="Hyperlink"/>
          </w:rPr>
          <w:t>Energy Statistics Sources and Methods, November 2021 v1.2</w:t>
        </w:r>
      </w:hyperlink>
    </w:p>
    <w:p w14:paraId="2281A4A3" w14:textId="62AB6A35" w:rsidR="0001645D" w:rsidRPr="0018386D" w:rsidRDefault="0070282F" w:rsidP="00DD3106">
      <w:pPr>
        <w:pStyle w:val="BodyText"/>
      </w:pPr>
      <w:r w:rsidRPr="0018386D">
        <w:t>For more</w:t>
      </w:r>
      <w:r w:rsidR="004C3308" w:rsidRPr="0018386D">
        <w:t xml:space="preserve"> </w:t>
      </w:r>
      <w:r w:rsidR="0001645D" w:rsidRPr="0018386D">
        <w:t>information on ANZSIC 2006</w:t>
      </w:r>
      <w:r w:rsidRPr="0018386D">
        <w:t>, see</w:t>
      </w:r>
      <w:r w:rsidR="0001645D" w:rsidRPr="0018386D">
        <w:t xml:space="preserve"> Stats NZ’s </w:t>
      </w:r>
      <w:proofErr w:type="spellStart"/>
      <w:r w:rsidR="0001645D" w:rsidRPr="0018386D">
        <w:t>Ariā</w:t>
      </w:r>
      <w:proofErr w:type="spellEnd"/>
      <w:r w:rsidR="0001645D" w:rsidRPr="0018386D">
        <w:t xml:space="preserve"> system: </w:t>
      </w:r>
      <w:hyperlink r:id="rId159" w:history="1">
        <w:r w:rsidR="0001645D" w:rsidRPr="0018386D">
          <w:rPr>
            <w:rStyle w:val="Hyperlink"/>
          </w:rPr>
          <w:t>www.aria.stats.govt.nz/aria/</w:t>
        </w:r>
      </w:hyperlink>
    </w:p>
    <w:p w14:paraId="4B40E33F" w14:textId="09C5D3D2" w:rsidR="007E190E" w:rsidRPr="0018386D" w:rsidRDefault="007E190E" w:rsidP="00DD3106">
      <w:pPr>
        <w:pStyle w:val="Appendixheading2"/>
        <w:numPr>
          <w:ilvl w:val="1"/>
          <w:numId w:val="7"/>
        </w:numPr>
      </w:pPr>
      <w:bookmarkStart w:id="996" w:name="_Toc532904978"/>
      <w:bookmarkStart w:id="997" w:name="_Toc600609"/>
      <w:r w:rsidRPr="0018386D">
        <w:t>Reference data</w:t>
      </w:r>
      <w:bookmarkEnd w:id="996"/>
      <w:bookmarkEnd w:id="997"/>
    </w:p>
    <w:p w14:paraId="135AB6F0" w14:textId="6487DDA4" w:rsidR="007E190E" w:rsidRPr="0018386D" w:rsidRDefault="006217CD" w:rsidP="00DD3106">
      <w:pPr>
        <w:pStyle w:val="Tableheading"/>
      </w:pPr>
      <w:bookmarkStart w:id="998" w:name="_Toc140049037"/>
      <w:r w:rsidRPr="0018386D">
        <w:t>Table A2:</w:t>
      </w:r>
      <w:r w:rsidRPr="0018386D">
        <w:tab/>
      </w:r>
      <w:r w:rsidR="007E190E" w:rsidRPr="0018386D">
        <w:t xml:space="preserve">Underlying data used to calculate fuel emission </w:t>
      </w:r>
      <w:proofErr w:type="gramStart"/>
      <w:r w:rsidR="007E190E" w:rsidRPr="0018386D">
        <w:t>factors</w:t>
      </w:r>
      <w:bookmarkEnd w:id="998"/>
      <w:proofErr w:type="gramEnd"/>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239"/>
        <w:gridCol w:w="1119"/>
        <w:gridCol w:w="699"/>
        <w:gridCol w:w="1398"/>
        <w:gridCol w:w="980"/>
        <w:gridCol w:w="980"/>
        <w:gridCol w:w="1090"/>
      </w:tblGrid>
      <w:tr w:rsidR="003B73AD" w:rsidRPr="0018386D" w14:paraId="61505809" w14:textId="77777777" w:rsidTr="00D84704">
        <w:trPr>
          <w:tblHeader/>
        </w:trPr>
        <w:tc>
          <w:tcPr>
            <w:tcW w:w="1316" w:type="pct"/>
            <w:shd w:val="clear" w:color="auto" w:fill="1B556B" w:themeFill="text2"/>
            <w:vAlign w:val="bottom"/>
            <w:hideMark/>
          </w:tcPr>
          <w:p w14:paraId="1A28E0DE" w14:textId="7D12B0CF" w:rsidR="007E190E" w:rsidRPr="0018386D" w:rsidRDefault="007E190E" w:rsidP="00DD3106">
            <w:pPr>
              <w:pStyle w:val="TableText"/>
              <w:keepNext/>
              <w:spacing w:before="40" w:after="40"/>
              <w:rPr>
                <w:rFonts w:eastAsia="Times New Roman" w:cs="Calibri"/>
                <w:b/>
                <w:color w:val="FFFFFF" w:themeColor="background1"/>
              </w:rPr>
            </w:pPr>
            <w:r w:rsidRPr="0018386D">
              <w:rPr>
                <w:rFonts w:eastAsia="Times New Roman" w:cs="Calibri"/>
                <w:b/>
                <w:color w:val="FFFFFF" w:themeColor="background1"/>
              </w:rPr>
              <w:t xml:space="preserve">Emission </w:t>
            </w:r>
            <w:r w:rsidR="0019789C" w:rsidRPr="0018386D">
              <w:rPr>
                <w:rFonts w:eastAsia="Times New Roman" w:cs="Calibri"/>
                <w:b/>
                <w:color w:val="FFFFFF" w:themeColor="background1"/>
              </w:rPr>
              <w:t>s</w:t>
            </w:r>
            <w:r w:rsidRPr="0018386D">
              <w:rPr>
                <w:rFonts w:eastAsia="Times New Roman" w:cs="Calibri"/>
                <w:b/>
                <w:color w:val="FFFFFF" w:themeColor="background1"/>
              </w:rPr>
              <w:t>ource</w:t>
            </w:r>
          </w:p>
        </w:tc>
        <w:tc>
          <w:tcPr>
            <w:tcW w:w="658" w:type="pct"/>
            <w:shd w:val="clear" w:color="auto" w:fill="1B556B" w:themeFill="text2"/>
            <w:vAlign w:val="bottom"/>
            <w:hideMark/>
          </w:tcPr>
          <w:p w14:paraId="2D4769A9" w14:textId="77777777" w:rsidR="007E190E" w:rsidRPr="0018386D" w:rsidRDefault="007E190E" w:rsidP="00DD3106">
            <w:pPr>
              <w:pStyle w:val="TableText"/>
              <w:keepNext/>
              <w:spacing w:before="40" w:after="40"/>
              <w:rPr>
                <w:rFonts w:eastAsia="Times New Roman" w:cs="Calibri"/>
                <w:b/>
                <w:color w:val="FFFFFF" w:themeColor="background1"/>
              </w:rPr>
            </w:pPr>
            <w:r w:rsidRPr="0018386D">
              <w:rPr>
                <w:rFonts w:eastAsia="Times New Roman" w:cs="Calibri"/>
                <w:b/>
                <w:color w:val="FFFFFF" w:themeColor="background1"/>
              </w:rPr>
              <w:t>User</w:t>
            </w:r>
          </w:p>
        </w:tc>
        <w:tc>
          <w:tcPr>
            <w:tcW w:w="411" w:type="pct"/>
            <w:shd w:val="clear" w:color="auto" w:fill="1B556B" w:themeFill="text2"/>
            <w:vAlign w:val="bottom"/>
            <w:hideMark/>
          </w:tcPr>
          <w:p w14:paraId="27AD3709" w14:textId="77777777" w:rsidR="007E190E" w:rsidRPr="0018386D" w:rsidRDefault="007E190E" w:rsidP="00DD3106">
            <w:pPr>
              <w:pStyle w:val="TableText"/>
              <w:keepNext/>
              <w:spacing w:before="40" w:after="40"/>
              <w:rPr>
                <w:rFonts w:eastAsia="Times New Roman" w:cs="Calibri"/>
                <w:b/>
                <w:color w:val="FFFFFF" w:themeColor="background1"/>
              </w:rPr>
            </w:pPr>
            <w:r w:rsidRPr="0018386D">
              <w:rPr>
                <w:rFonts w:eastAsia="Times New Roman" w:cs="Calibri"/>
                <w:b/>
                <w:color w:val="FFFFFF" w:themeColor="background1"/>
              </w:rPr>
              <w:t>Unit</w:t>
            </w:r>
          </w:p>
        </w:tc>
        <w:tc>
          <w:tcPr>
            <w:tcW w:w="822" w:type="pct"/>
            <w:shd w:val="clear" w:color="auto" w:fill="1B556B" w:themeFill="text2"/>
            <w:vAlign w:val="bottom"/>
            <w:hideMark/>
          </w:tcPr>
          <w:p w14:paraId="1B8C43AD" w14:textId="1155CEB9" w:rsidR="007E190E" w:rsidRPr="0018386D" w:rsidRDefault="007E190E" w:rsidP="00DD3106">
            <w:pPr>
              <w:pStyle w:val="TableText"/>
              <w:keepNext/>
              <w:spacing w:before="40" w:after="40"/>
              <w:jc w:val="right"/>
              <w:rPr>
                <w:rFonts w:eastAsia="Times New Roman" w:cs="Calibri"/>
                <w:b/>
                <w:color w:val="FFFFFF" w:themeColor="background1"/>
              </w:rPr>
            </w:pPr>
            <w:r w:rsidRPr="0018386D">
              <w:rPr>
                <w:rFonts w:eastAsia="Times New Roman" w:cs="Calibri"/>
                <w:b/>
                <w:color w:val="FFFFFF" w:themeColor="background1"/>
              </w:rPr>
              <w:t xml:space="preserve">Calorific </w:t>
            </w:r>
            <w:r w:rsidR="004A4F6C" w:rsidRPr="0018386D">
              <w:rPr>
                <w:rFonts w:eastAsia="Times New Roman" w:cs="Calibri"/>
                <w:b/>
                <w:color w:val="FFFFFF" w:themeColor="background1"/>
              </w:rPr>
              <w:t>value</w:t>
            </w:r>
            <w:r w:rsidR="00B956BF" w:rsidRPr="0018386D">
              <w:rPr>
                <w:rFonts w:eastAsia="Times New Roman" w:cs="Calibri"/>
                <w:b/>
                <w:color w:val="FFFFFF" w:themeColor="background1"/>
              </w:rPr>
              <w:t xml:space="preserve"> </w:t>
            </w:r>
            <w:r w:rsidRPr="0018386D">
              <w:rPr>
                <w:rFonts w:eastAsia="Times New Roman" w:cs="Calibri"/>
                <w:b/>
                <w:color w:val="FFFFFF" w:themeColor="background1"/>
              </w:rPr>
              <w:t>(MJ/unit)</w:t>
            </w:r>
          </w:p>
        </w:tc>
        <w:tc>
          <w:tcPr>
            <w:tcW w:w="576" w:type="pct"/>
            <w:shd w:val="clear" w:color="auto" w:fill="1B556B" w:themeFill="text2"/>
            <w:vAlign w:val="bottom"/>
            <w:hideMark/>
          </w:tcPr>
          <w:p w14:paraId="6F0CFD2A" w14:textId="44E07C07" w:rsidR="007E190E" w:rsidRPr="0018386D" w:rsidRDefault="007E190E" w:rsidP="00DD3106">
            <w:pPr>
              <w:pStyle w:val="TableText"/>
              <w:keepNext/>
              <w:spacing w:before="40" w:after="40"/>
              <w:jc w:val="right"/>
              <w:rPr>
                <w:rFonts w:eastAsia="Times New Roman" w:cs="Calibri"/>
                <w:b/>
                <w:color w:val="FFFFFF" w:themeColor="background1"/>
              </w:rPr>
            </w:pPr>
            <w:r w:rsidRPr="0018386D">
              <w:rPr>
                <w:rFonts w:eastAsia="Times New Roman" w:cs="Calibri"/>
                <w:b/>
                <w:color w:val="FFFFFF" w:themeColor="background1"/>
              </w:rPr>
              <w:t>t CO</w:t>
            </w:r>
            <w:r w:rsidRPr="0018386D">
              <w:rPr>
                <w:rFonts w:eastAsia="Times New Roman" w:cs="Calibri"/>
                <w:b/>
                <w:color w:val="FFFFFF" w:themeColor="background1"/>
                <w:vertAlign w:val="subscript"/>
              </w:rPr>
              <w:t>2</w:t>
            </w:r>
            <w:r w:rsidR="002425B7" w:rsidRPr="0018386D">
              <w:rPr>
                <w:rFonts w:eastAsia="Times New Roman" w:cs="Calibri"/>
                <w:b/>
                <w:color w:val="FFFFFF" w:themeColor="background1"/>
                <w:vertAlign w:val="subscript"/>
              </w:rPr>
              <w:t xml:space="preserve"> </w:t>
            </w:r>
            <w:r w:rsidRPr="0018386D">
              <w:rPr>
                <w:rFonts w:eastAsia="Times New Roman" w:cs="Calibri"/>
                <w:b/>
                <w:color w:val="FFFFFF" w:themeColor="background1"/>
              </w:rPr>
              <w:t>/</w:t>
            </w:r>
            <w:r w:rsidR="002425B7" w:rsidRPr="0018386D">
              <w:rPr>
                <w:rFonts w:eastAsia="Times New Roman" w:cs="Calibri"/>
                <w:b/>
                <w:color w:val="FFFFFF" w:themeColor="background1"/>
              </w:rPr>
              <w:t xml:space="preserve"> </w:t>
            </w:r>
            <w:r w:rsidRPr="0018386D">
              <w:rPr>
                <w:rFonts w:eastAsia="Times New Roman" w:cs="Calibri"/>
                <w:b/>
                <w:color w:val="FFFFFF" w:themeColor="background1"/>
              </w:rPr>
              <w:t>TJ</w:t>
            </w:r>
          </w:p>
        </w:tc>
        <w:tc>
          <w:tcPr>
            <w:tcW w:w="576" w:type="pct"/>
            <w:shd w:val="clear" w:color="auto" w:fill="1B556B" w:themeFill="text2"/>
            <w:vAlign w:val="bottom"/>
            <w:hideMark/>
          </w:tcPr>
          <w:p w14:paraId="605932BC" w14:textId="053B5390" w:rsidR="007E190E" w:rsidRPr="0018386D" w:rsidRDefault="002425B7" w:rsidP="00DD3106">
            <w:pPr>
              <w:pStyle w:val="TableText"/>
              <w:keepNext/>
              <w:spacing w:before="40" w:after="40"/>
              <w:jc w:val="right"/>
              <w:rPr>
                <w:rFonts w:eastAsia="Times New Roman" w:cs="Calibri"/>
                <w:b/>
                <w:color w:val="FFFFFF" w:themeColor="background1"/>
              </w:rPr>
            </w:pPr>
            <w:r w:rsidRPr="0018386D">
              <w:rPr>
                <w:rFonts w:eastAsia="Times New Roman" w:cs="Calibri"/>
                <w:b/>
                <w:color w:val="FFFFFF" w:themeColor="background1"/>
              </w:rPr>
              <w:t xml:space="preserve">t </w:t>
            </w:r>
            <w:r w:rsidR="00260D76" w:rsidRPr="0018386D">
              <w:rPr>
                <w:rFonts w:eastAsia="Times New Roman" w:cs="Calibri"/>
                <w:b/>
                <w:color w:val="FFFFFF" w:themeColor="background1"/>
              </w:rPr>
              <w:t>CH</w:t>
            </w:r>
            <w:r w:rsidR="00260D76" w:rsidRPr="0018386D">
              <w:rPr>
                <w:rFonts w:eastAsia="Times New Roman" w:cs="Calibri"/>
                <w:b/>
                <w:color w:val="FFFFFF" w:themeColor="background1"/>
                <w:vertAlign w:val="subscript"/>
              </w:rPr>
              <w:t>4</w:t>
            </w:r>
            <w:r w:rsidR="007E190E" w:rsidRPr="0018386D">
              <w:rPr>
                <w:rFonts w:eastAsia="Times New Roman" w:cs="Calibri"/>
                <w:b/>
                <w:color w:val="FFFFFF" w:themeColor="background1"/>
              </w:rPr>
              <w:t xml:space="preserve"> </w:t>
            </w:r>
            <w:r w:rsidRPr="0018386D">
              <w:rPr>
                <w:rFonts w:eastAsia="Times New Roman" w:cs="Calibri"/>
                <w:b/>
                <w:color w:val="FFFFFF" w:themeColor="background1"/>
              </w:rPr>
              <w:t>/ TJ</w:t>
            </w:r>
          </w:p>
        </w:tc>
        <w:tc>
          <w:tcPr>
            <w:tcW w:w="641" w:type="pct"/>
            <w:shd w:val="clear" w:color="auto" w:fill="1B556B" w:themeFill="text2"/>
            <w:vAlign w:val="bottom"/>
            <w:hideMark/>
          </w:tcPr>
          <w:p w14:paraId="58FC4783" w14:textId="48207690" w:rsidR="007E190E" w:rsidRPr="0018386D" w:rsidRDefault="002F31CE" w:rsidP="00DD3106">
            <w:pPr>
              <w:pStyle w:val="TableText"/>
              <w:keepNext/>
              <w:spacing w:before="40" w:after="40"/>
              <w:jc w:val="right"/>
              <w:rPr>
                <w:rFonts w:eastAsia="Times New Roman" w:cs="Calibri"/>
                <w:b/>
                <w:color w:val="FFFFFF" w:themeColor="background1"/>
              </w:rPr>
            </w:pPr>
            <w:r w:rsidRPr="0018386D">
              <w:rPr>
                <w:rFonts w:eastAsia="Times New Roman" w:cs="Calibri"/>
                <w:b/>
                <w:color w:val="FFFFFF" w:themeColor="background1"/>
              </w:rPr>
              <w:t>t</w:t>
            </w:r>
            <w:r w:rsidR="002425B7" w:rsidRPr="0018386D">
              <w:rPr>
                <w:rFonts w:eastAsia="Times New Roman" w:cs="Calibri"/>
                <w:b/>
                <w:color w:val="FFFFFF" w:themeColor="background1"/>
              </w:rPr>
              <w:t xml:space="preserve"> </w:t>
            </w:r>
            <w:r w:rsidR="007E190E" w:rsidRPr="0018386D">
              <w:rPr>
                <w:rFonts w:eastAsia="Times New Roman" w:cs="Calibri"/>
                <w:b/>
                <w:color w:val="FFFFFF" w:themeColor="background1"/>
              </w:rPr>
              <w:t>N</w:t>
            </w:r>
            <w:r w:rsidR="007E190E" w:rsidRPr="0018386D">
              <w:rPr>
                <w:rFonts w:eastAsia="Times New Roman" w:cs="Calibri"/>
                <w:b/>
                <w:color w:val="FFFFFF" w:themeColor="background1"/>
                <w:vertAlign w:val="subscript"/>
              </w:rPr>
              <w:t>2</w:t>
            </w:r>
            <w:r w:rsidR="007E190E" w:rsidRPr="0018386D">
              <w:rPr>
                <w:rFonts w:eastAsia="Times New Roman" w:cs="Calibri"/>
                <w:b/>
                <w:color w:val="FFFFFF" w:themeColor="background1"/>
              </w:rPr>
              <w:t xml:space="preserve">O </w:t>
            </w:r>
            <w:r w:rsidR="002425B7" w:rsidRPr="0018386D">
              <w:rPr>
                <w:rFonts w:eastAsia="Times New Roman" w:cs="Calibri"/>
                <w:b/>
                <w:color w:val="FFFFFF" w:themeColor="background1"/>
              </w:rPr>
              <w:t xml:space="preserve">/ </w:t>
            </w:r>
            <w:r w:rsidR="007E190E" w:rsidRPr="0018386D">
              <w:rPr>
                <w:rFonts w:eastAsia="Times New Roman" w:cs="Calibri"/>
                <w:b/>
                <w:color w:val="FFFFFF" w:themeColor="background1"/>
              </w:rPr>
              <w:t>TJ</w:t>
            </w:r>
          </w:p>
        </w:tc>
      </w:tr>
      <w:tr w:rsidR="007E190E" w:rsidRPr="0018386D" w14:paraId="6E90438B" w14:textId="77777777" w:rsidTr="00D84704">
        <w:tc>
          <w:tcPr>
            <w:tcW w:w="5000" w:type="pct"/>
            <w:gridSpan w:val="7"/>
            <w:shd w:val="clear" w:color="auto" w:fill="D2DDE1" w:themeFill="background2"/>
            <w:noWrap/>
            <w:hideMark/>
          </w:tcPr>
          <w:p w14:paraId="624E3D3D" w14:textId="3C915A3A" w:rsidR="007E190E" w:rsidRPr="0018386D" w:rsidRDefault="007E190E" w:rsidP="00DD3106">
            <w:pPr>
              <w:pStyle w:val="TableText"/>
              <w:spacing w:before="40" w:after="40"/>
              <w:rPr>
                <w:rFonts w:cs="Calibri"/>
                <w:b/>
              </w:rPr>
            </w:pPr>
            <w:r w:rsidRPr="0018386D">
              <w:rPr>
                <w:rFonts w:cs="Calibri"/>
                <w:b/>
              </w:rPr>
              <w:t xml:space="preserve">Stationary </w:t>
            </w:r>
            <w:r w:rsidR="004A4F6C" w:rsidRPr="0018386D">
              <w:rPr>
                <w:rFonts w:cs="Calibri"/>
                <w:b/>
              </w:rPr>
              <w:t>combustion</w:t>
            </w:r>
          </w:p>
        </w:tc>
      </w:tr>
      <w:tr w:rsidR="007C39A9" w:rsidRPr="0018386D" w14:paraId="63F20C8D" w14:textId="77777777" w:rsidTr="00D84704">
        <w:tc>
          <w:tcPr>
            <w:tcW w:w="1316" w:type="pct"/>
            <w:shd w:val="clear" w:color="auto" w:fill="auto"/>
            <w:noWrap/>
            <w:hideMark/>
          </w:tcPr>
          <w:p w14:paraId="2F7C2B66" w14:textId="52953313" w:rsidR="004E7DD7" w:rsidRPr="0018386D" w:rsidRDefault="004E7DD7" w:rsidP="00DD3106">
            <w:pPr>
              <w:pStyle w:val="TableText"/>
              <w:spacing w:before="40" w:after="40"/>
              <w:rPr>
                <w:rFonts w:eastAsia="Times New Roman" w:cs="Calibri"/>
              </w:rPr>
            </w:pPr>
            <w:r w:rsidRPr="0018386D">
              <w:rPr>
                <w:rFonts w:eastAsia="Times New Roman" w:cs="Calibri"/>
              </w:rPr>
              <w:t>Coal – bituminous</w:t>
            </w:r>
          </w:p>
        </w:tc>
        <w:tc>
          <w:tcPr>
            <w:tcW w:w="658" w:type="pct"/>
            <w:shd w:val="clear" w:color="auto" w:fill="auto"/>
            <w:noWrap/>
            <w:hideMark/>
          </w:tcPr>
          <w:p w14:paraId="4999C44B" w14:textId="51D26024" w:rsidR="004E7DD7" w:rsidRPr="0018386D" w:rsidRDefault="004E7DD7" w:rsidP="00DD3106">
            <w:pPr>
              <w:pStyle w:val="TableText"/>
              <w:spacing w:before="40" w:after="40"/>
              <w:rPr>
                <w:rFonts w:eastAsia="Times New Roman" w:cs="Calibri"/>
              </w:rPr>
            </w:pPr>
            <w:r w:rsidRPr="0018386D">
              <w:rPr>
                <w:rFonts w:eastAsia="Times New Roman" w:cs="Calibri"/>
              </w:rPr>
              <w:t>Residential</w:t>
            </w:r>
          </w:p>
        </w:tc>
        <w:tc>
          <w:tcPr>
            <w:tcW w:w="411" w:type="pct"/>
            <w:shd w:val="clear" w:color="auto" w:fill="auto"/>
            <w:noWrap/>
            <w:hideMark/>
          </w:tcPr>
          <w:p w14:paraId="2B0C3BBA" w14:textId="53CA3DC9"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0F5C172E" w14:textId="77C5B712" w:rsidR="004E7DD7" w:rsidRPr="0018386D" w:rsidRDefault="004E7DD7" w:rsidP="00DD3106">
            <w:pPr>
              <w:pStyle w:val="TableText"/>
              <w:spacing w:before="40" w:after="40"/>
              <w:jc w:val="right"/>
              <w:rPr>
                <w:rFonts w:eastAsia="Times New Roman" w:cs="Calibri"/>
              </w:rPr>
            </w:pPr>
            <w:r w:rsidRPr="0018386D">
              <w:rPr>
                <w:rFonts w:eastAsia="Times New Roman" w:cs="Calibri"/>
              </w:rPr>
              <w:t>29.59</w:t>
            </w:r>
          </w:p>
        </w:tc>
        <w:tc>
          <w:tcPr>
            <w:tcW w:w="576" w:type="pct"/>
            <w:shd w:val="clear" w:color="auto" w:fill="auto"/>
            <w:noWrap/>
            <w:vAlign w:val="bottom"/>
            <w:hideMark/>
          </w:tcPr>
          <w:p w14:paraId="5AF1F38F" w14:textId="50305D4E" w:rsidR="004E7DD7" w:rsidRPr="0018386D" w:rsidRDefault="004E7DD7" w:rsidP="00DD3106">
            <w:pPr>
              <w:pStyle w:val="TableText"/>
              <w:spacing w:before="40" w:after="40"/>
              <w:jc w:val="right"/>
              <w:rPr>
                <w:rFonts w:eastAsia="Times New Roman" w:cs="Calibri"/>
              </w:rPr>
            </w:pPr>
            <w:r w:rsidRPr="0018386D">
              <w:rPr>
                <w:rFonts w:eastAsia="Times New Roman" w:cs="Calibri"/>
              </w:rPr>
              <w:t>89.13</w:t>
            </w:r>
          </w:p>
        </w:tc>
        <w:tc>
          <w:tcPr>
            <w:tcW w:w="576" w:type="pct"/>
            <w:shd w:val="clear" w:color="auto" w:fill="auto"/>
            <w:noWrap/>
            <w:vAlign w:val="bottom"/>
            <w:hideMark/>
          </w:tcPr>
          <w:p w14:paraId="0F19A977" w14:textId="23F68436" w:rsidR="004E7DD7" w:rsidRPr="0018386D" w:rsidRDefault="004E7DD7" w:rsidP="00DD3106">
            <w:pPr>
              <w:pStyle w:val="TableText"/>
              <w:spacing w:before="40" w:after="40"/>
              <w:jc w:val="right"/>
              <w:rPr>
                <w:rFonts w:eastAsia="Times New Roman" w:cs="Calibri"/>
              </w:rPr>
            </w:pPr>
            <w:r w:rsidRPr="0018386D">
              <w:rPr>
                <w:rFonts w:eastAsia="Times New Roman" w:cs="Calibri"/>
              </w:rPr>
              <w:t>0.285</w:t>
            </w:r>
          </w:p>
        </w:tc>
        <w:tc>
          <w:tcPr>
            <w:tcW w:w="641" w:type="pct"/>
            <w:shd w:val="clear" w:color="auto" w:fill="auto"/>
            <w:noWrap/>
            <w:vAlign w:val="bottom"/>
            <w:hideMark/>
          </w:tcPr>
          <w:p w14:paraId="6686FF03" w14:textId="45310ECC" w:rsidR="004E7DD7" w:rsidRPr="0018386D" w:rsidRDefault="004E7DD7" w:rsidP="00DD3106">
            <w:pPr>
              <w:pStyle w:val="TableText"/>
              <w:spacing w:before="40" w:after="40"/>
              <w:jc w:val="right"/>
              <w:rPr>
                <w:rFonts w:eastAsia="Times New Roman" w:cs="Calibri"/>
              </w:rPr>
            </w:pPr>
            <w:r w:rsidRPr="0018386D">
              <w:rPr>
                <w:rFonts w:eastAsia="Times New Roman" w:cs="Calibri"/>
              </w:rPr>
              <w:t>0.001425</w:t>
            </w:r>
          </w:p>
        </w:tc>
      </w:tr>
      <w:tr w:rsidR="007C39A9" w:rsidRPr="0018386D" w14:paraId="02006007" w14:textId="77777777" w:rsidTr="00D84704">
        <w:tc>
          <w:tcPr>
            <w:tcW w:w="1316" w:type="pct"/>
            <w:shd w:val="clear" w:color="auto" w:fill="auto"/>
            <w:noWrap/>
            <w:hideMark/>
          </w:tcPr>
          <w:p w14:paraId="57D85DBB" w14:textId="68AD5935" w:rsidR="004E7DD7" w:rsidRPr="0018386D" w:rsidRDefault="004E7DD7" w:rsidP="00DD3106">
            <w:pPr>
              <w:pStyle w:val="TableText"/>
              <w:spacing w:before="40" w:after="40"/>
              <w:rPr>
                <w:rFonts w:eastAsia="Times New Roman" w:cs="Calibri"/>
              </w:rPr>
            </w:pPr>
            <w:r w:rsidRPr="0018386D">
              <w:rPr>
                <w:rFonts w:eastAsia="Times New Roman" w:cs="Calibri"/>
              </w:rPr>
              <w:t>Coal – sub-bituminous</w:t>
            </w:r>
          </w:p>
        </w:tc>
        <w:tc>
          <w:tcPr>
            <w:tcW w:w="658" w:type="pct"/>
            <w:shd w:val="clear" w:color="auto" w:fill="auto"/>
            <w:noWrap/>
            <w:hideMark/>
          </w:tcPr>
          <w:p w14:paraId="2290A6FA" w14:textId="1ABAFCF1" w:rsidR="004E7DD7" w:rsidRPr="0018386D" w:rsidRDefault="004E7DD7" w:rsidP="00DD3106">
            <w:pPr>
              <w:pStyle w:val="TableText"/>
              <w:spacing w:before="40" w:after="40"/>
              <w:rPr>
                <w:rFonts w:eastAsia="Times New Roman" w:cs="Calibri"/>
              </w:rPr>
            </w:pPr>
            <w:r w:rsidRPr="0018386D">
              <w:rPr>
                <w:rFonts w:eastAsia="Times New Roman" w:cs="Calibri"/>
              </w:rPr>
              <w:t>Residential</w:t>
            </w:r>
          </w:p>
        </w:tc>
        <w:tc>
          <w:tcPr>
            <w:tcW w:w="411" w:type="pct"/>
            <w:shd w:val="clear" w:color="auto" w:fill="auto"/>
            <w:noWrap/>
            <w:hideMark/>
          </w:tcPr>
          <w:p w14:paraId="226288B5" w14:textId="4C5D3128"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392350F6" w14:textId="0EDA797F" w:rsidR="004E7DD7" w:rsidRPr="0018386D" w:rsidRDefault="004E7DD7" w:rsidP="00DD3106">
            <w:pPr>
              <w:pStyle w:val="TableText"/>
              <w:spacing w:before="40" w:after="40"/>
              <w:jc w:val="right"/>
              <w:rPr>
                <w:rFonts w:eastAsia="Times New Roman" w:cs="Calibri"/>
              </w:rPr>
            </w:pPr>
            <w:r w:rsidRPr="0018386D">
              <w:rPr>
                <w:rFonts w:eastAsia="Times New Roman" w:cs="Calibri"/>
              </w:rPr>
              <w:t>21.64</w:t>
            </w:r>
          </w:p>
        </w:tc>
        <w:tc>
          <w:tcPr>
            <w:tcW w:w="576" w:type="pct"/>
            <w:shd w:val="clear" w:color="auto" w:fill="auto"/>
            <w:noWrap/>
            <w:vAlign w:val="bottom"/>
            <w:hideMark/>
          </w:tcPr>
          <w:p w14:paraId="1AE5B29B" w14:textId="68CC7760" w:rsidR="004E7DD7" w:rsidRPr="0018386D" w:rsidRDefault="004E7DD7" w:rsidP="00DD3106">
            <w:pPr>
              <w:pStyle w:val="TableText"/>
              <w:spacing w:before="40" w:after="40"/>
              <w:jc w:val="right"/>
              <w:rPr>
                <w:rFonts w:eastAsia="Times New Roman" w:cs="Calibri"/>
              </w:rPr>
            </w:pPr>
            <w:r w:rsidRPr="0018386D">
              <w:rPr>
                <w:rFonts w:eastAsia="Times New Roman" w:cs="Calibri"/>
              </w:rPr>
              <w:t>91.99</w:t>
            </w:r>
          </w:p>
        </w:tc>
        <w:tc>
          <w:tcPr>
            <w:tcW w:w="576" w:type="pct"/>
            <w:shd w:val="clear" w:color="auto" w:fill="auto"/>
            <w:noWrap/>
            <w:vAlign w:val="bottom"/>
            <w:hideMark/>
          </w:tcPr>
          <w:p w14:paraId="7901917D" w14:textId="07C351D7" w:rsidR="004E7DD7" w:rsidRPr="0018386D" w:rsidRDefault="004E7DD7" w:rsidP="00DD3106">
            <w:pPr>
              <w:pStyle w:val="TableText"/>
              <w:spacing w:before="40" w:after="40"/>
              <w:jc w:val="right"/>
              <w:rPr>
                <w:rFonts w:eastAsia="Times New Roman" w:cs="Calibri"/>
              </w:rPr>
            </w:pPr>
            <w:r w:rsidRPr="0018386D">
              <w:rPr>
                <w:rFonts w:eastAsia="Times New Roman" w:cs="Calibri"/>
              </w:rPr>
              <w:t>0.285</w:t>
            </w:r>
          </w:p>
        </w:tc>
        <w:tc>
          <w:tcPr>
            <w:tcW w:w="641" w:type="pct"/>
            <w:shd w:val="clear" w:color="auto" w:fill="auto"/>
            <w:noWrap/>
            <w:vAlign w:val="bottom"/>
            <w:hideMark/>
          </w:tcPr>
          <w:p w14:paraId="4C37568E" w14:textId="6166C7D0" w:rsidR="004E7DD7" w:rsidRPr="0018386D" w:rsidRDefault="004E7DD7" w:rsidP="00DD3106">
            <w:pPr>
              <w:pStyle w:val="TableText"/>
              <w:spacing w:before="40" w:after="40"/>
              <w:jc w:val="right"/>
              <w:rPr>
                <w:rFonts w:eastAsia="Times New Roman" w:cs="Calibri"/>
              </w:rPr>
            </w:pPr>
            <w:r w:rsidRPr="0018386D">
              <w:rPr>
                <w:rFonts w:eastAsia="Times New Roman" w:cs="Calibri"/>
              </w:rPr>
              <w:t>0.001425</w:t>
            </w:r>
          </w:p>
        </w:tc>
      </w:tr>
      <w:tr w:rsidR="007C39A9" w:rsidRPr="0018386D" w14:paraId="5966D5C9" w14:textId="77777777" w:rsidTr="00D84704">
        <w:tc>
          <w:tcPr>
            <w:tcW w:w="1316" w:type="pct"/>
            <w:shd w:val="clear" w:color="auto" w:fill="auto"/>
            <w:noWrap/>
            <w:hideMark/>
          </w:tcPr>
          <w:p w14:paraId="6370A93C" w14:textId="5AA2A0FB" w:rsidR="004E7DD7" w:rsidRPr="0018386D" w:rsidRDefault="004E7DD7" w:rsidP="00DD3106">
            <w:pPr>
              <w:pStyle w:val="TableText"/>
              <w:spacing w:before="40" w:after="40"/>
              <w:rPr>
                <w:rFonts w:eastAsia="Times New Roman" w:cs="Calibri"/>
              </w:rPr>
            </w:pPr>
            <w:r w:rsidRPr="0018386D">
              <w:rPr>
                <w:rFonts w:eastAsia="Times New Roman" w:cs="Calibri"/>
              </w:rPr>
              <w:t>Coal – lignite</w:t>
            </w:r>
          </w:p>
        </w:tc>
        <w:tc>
          <w:tcPr>
            <w:tcW w:w="658" w:type="pct"/>
            <w:shd w:val="clear" w:color="auto" w:fill="auto"/>
            <w:noWrap/>
            <w:hideMark/>
          </w:tcPr>
          <w:p w14:paraId="74194195" w14:textId="1404D10B" w:rsidR="004E7DD7" w:rsidRPr="0018386D" w:rsidRDefault="004E7DD7" w:rsidP="00DD3106">
            <w:pPr>
              <w:pStyle w:val="TableText"/>
              <w:spacing w:before="40" w:after="40"/>
              <w:rPr>
                <w:rFonts w:eastAsia="Times New Roman" w:cs="Calibri"/>
              </w:rPr>
            </w:pPr>
            <w:r w:rsidRPr="0018386D">
              <w:rPr>
                <w:rFonts w:eastAsia="Times New Roman" w:cs="Calibri"/>
              </w:rPr>
              <w:t>Residential</w:t>
            </w:r>
          </w:p>
        </w:tc>
        <w:tc>
          <w:tcPr>
            <w:tcW w:w="411" w:type="pct"/>
            <w:shd w:val="clear" w:color="auto" w:fill="auto"/>
            <w:noWrap/>
            <w:hideMark/>
          </w:tcPr>
          <w:p w14:paraId="07F5D95C" w14:textId="4869418E"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7DA04502" w14:textId="1809D641" w:rsidR="004E7DD7" w:rsidRPr="0018386D" w:rsidRDefault="004E7DD7" w:rsidP="00DD3106">
            <w:pPr>
              <w:pStyle w:val="TableText"/>
              <w:spacing w:before="40" w:after="40"/>
              <w:jc w:val="right"/>
              <w:rPr>
                <w:rFonts w:eastAsia="Times New Roman" w:cs="Calibri"/>
              </w:rPr>
            </w:pPr>
            <w:r w:rsidRPr="0018386D">
              <w:rPr>
                <w:rFonts w:eastAsia="Times New Roman" w:cs="Calibri"/>
              </w:rPr>
              <w:t>15.26</w:t>
            </w:r>
          </w:p>
        </w:tc>
        <w:tc>
          <w:tcPr>
            <w:tcW w:w="576" w:type="pct"/>
            <w:shd w:val="clear" w:color="auto" w:fill="auto"/>
            <w:noWrap/>
            <w:vAlign w:val="bottom"/>
            <w:hideMark/>
          </w:tcPr>
          <w:p w14:paraId="08844C79" w14:textId="12F0DFD3" w:rsidR="004E7DD7" w:rsidRPr="0018386D" w:rsidRDefault="004E7DD7" w:rsidP="00DD3106">
            <w:pPr>
              <w:pStyle w:val="TableText"/>
              <w:spacing w:before="40" w:after="40"/>
              <w:jc w:val="right"/>
              <w:rPr>
                <w:rFonts w:eastAsia="Times New Roman" w:cs="Calibri"/>
              </w:rPr>
            </w:pPr>
            <w:r w:rsidRPr="0018386D">
              <w:rPr>
                <w:rFonts w:eastAsia="Times New Roman" w:cs="Calibri"/>
              </w:rPr>
              <w:t>93.11</w:t>
            </w:r>
          </w:p>
        </w:tc>
        <w:tc>
          <w:tcPr>
            <w:tcW w:w="576" w:type="pct"/>
            <w:shd w:val="clear" w:color="auto" w:fill="auto"/>
            <w:noWrap/>
            <w:vAlign w:val="bottom"/>
            <w:hideMark/>
          </w:tcPr>
          <w:p w14:paraId="5676836A" w14:textId="24C8D143" w:rsidR="004E7DD7" w:rsidRPr="0018386D" w:rsidRDefault="004E7DD7" w:rsidP="00DD3106">
            <w:pPr>
              <w:pStyle w:val="TableText"/>
              <w:spacing w:before="40" w:after="40"/>
              <w:jc w:val="right"/>
              <w:rPr>
                <w:rFonts w:eastAsia="Times New Roman" w:cs="Calibri"/>
              </w:rPr>
            </w:pPr>
            <w:r w:rsidRPr="0018386D">
              <w:rPr>
                <w:rFonts w:eastAsia="Times New Roman" w:cs="Calibri"/>
              </w:rPr>
              <w:t>0.285</w:t>
            </w:r>
          </w:p>
        </w:tc>
        <w:tc>
          <w:tcPr>
            <w:tcW w:w="641" w:type="pct"/>
            <w:shd w:val="clear" w:color="auto" w:fill="auto"/>
            <w:noWrap/>
            <w:vAlign w:val="bottom"/>
            <w:hideMark/>
          </w:tcPr>
          <w:p w14:paraId="1B9C61F6" w14:textId="6A7DABA8" w:rsidR="004E7DD7" w:rsidRPr="0018386D" w:rsidRDefault="004E7DD7" w:rsidP="00DD3106">
            <w:pPr>
              <w:pStyle w:val="TableText"/>
              <w:spacing w:before="40" w:after="40"/>
              <w:jc w:val="right"/>
              <w:rPr>
                <w:rFonts w:eastAsia="Times New Roman" w:cs="Calibri"/>
              </w:rPr>
            </w:pPr>
            <w:r w:rsidRPr="0018386D">
              <w:rPr>
                <w:rFonts w:eastAsia="Times New Roman" w:cs="Calibri"/>
              </w:rPr>
              <w:t>0.001425</w:t>
            </w:r>
          </w:p>
        </w:tc>
      </w:tr>
      <w:tr w:rsidR="007C39A9" w:rsidRPr="0018386D" w14:paraId="33EF9FFD" w14:textId="77777777" w:rsidTr="00D84704">
        <w:tc>
          <w:tcPr>
            <w:tcW w:w="1316" w:type="pct"/>
            <w:vMerge w:val="restart"/>
            <w:shd w:val="clear" w:color="auto" w:fill="auto"/>
            <w:noWrap/>
            <w:hideMark/>
          </w:tcPr>
          <w:p w14:paraId="59245B6E" w14:textId="1AC33486" w:rsidR="004E7DD7" w:rsidRPr="0018386D" w:rsidRDefault="004E7DD7" w:rsidP="00DD3106">
            <w:pPr>
              <w:pStyle w:val="TableText"/>
              <w:keepNext/>
              <w:spacing w:before="40" w:after="40"/>
              <w:rPr>
                <w:rFonts w:eastAsia="Times New Roman" w:cs="Calibri"/>
              </w:rPr>
            </w:pPr>
            <w:r w:rsidRPr="0018386D">
              <w:rPr>
                <w:rFonts w:eastAsia="Times New Roman" w:cs="Calibri"/>
              </w:rPr>
              <w:t>Distributed natural gas</w:t>
            </w:r>
          </w:p>
        </w:tc>
        <w:tc>
          <w:tcPr>
            <w:tcW w:w="658" w:type="pct"/>
            <w:vMerge w:val="restart"/>
            <w:shd w:val="clear" w:color="auto" w:fill="auto"/>
            <w:noWrap/>
            <w:hideMark/>
          </w:tcPr>
          <w:p w14:paraId="62D47BE0" w14:textId="433EAA94"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0CA13651" w14:textId="0FF34D1B" w:rsidR="004E7DD7" w:rsidRPr="0018386D" w:rsidRDefault="004E7DD7" w:rsidP="00DD3106">
            <w:pPr>
              <w:pStyle w:val="TableText"/>
              <w:spacing w:before="40" w:after="40"/>
              <w:rPr>
                <w:rFonts w:eastAsia="Times New Roman" w:cs="Calibri"/>
              </w:rPr>
            </w:pPr>
            <w:r w:rsidRPr="0018386D">
              <w:rPr>
                <w:rFonts w:eastAsia="Times New Roman" w:cs="Calibri"/>
              </w:rPr>
              <w:t>kWh</w:t>
            </w:r>
          </w:p>
        </w:tc>
        <w:tc>
          <w:tcPr>
            <w:tcW w:w="822" w:type="pct"/>
            <w:shd w:val="clear" w:color="auto" w:fill="auto"/>
            <w:noWrap/>
            <w:hideMark/>
          </w:tcPr>
          <w:p w14:paraId="1FAD7128" w14:textId="040EA9B7" w:rsidR="004E7DD7" w:rsidRPr="0018386D" w:rsidRDefault="004E7DD7" w:rsidP="00DD3106">
            <w:pPr>
              <w:pStyle w:val="TableText"/>
              <w:spacing w:before="40" w:after="40"/>
              <w:jc w:val="right"/>
              <w:rPr>
                <w:rFonts w:eastAsia="Times New Roman" w:cs="Calibri"/>
              </w:rPr>
            </w:pPr>
            <w:r w:rsidRPr="0018386D">
              <w:rPr>
                <w:rFonts w:cs="Calibri"/>
                <w:color w:val="000000" w:themeColor="text1"/>
              </w:rPr>
              <w:t>n/a</w:t>
            </w:r>
          </w:p>
        </w:tc>
        <w:tc>
          <w:tcPr>
            <w:tcW w:w="576" w:type="pct"/>
            <w:shd w:val="clear" w:color="auto" w:fill="auto"/>
            <w:noWrap/>
            <w:vAlign w:val="bottom"/>
            <w:hideMark/>
          </w:tcPr>
          <w:p w14:paraId="5BDADA0E" w14:textId="05F444B3" w:rsidR="004E7DD7" w:rsidRPr="0018386D" w:rsidRDefault="004E7DD7" w:rsidP="00DD3106">
            <w:pPr>
              <w:pStyle w:val="TableText"/>
              <w:spacing w:before="40" w:after="40"/>
              <w:jc w:val="right"/>
              <w:rPr>
                <w:rFonts w:eastAsia="Times New Roman" w:cs="Calibri"/>
              </w:rPr>
            </w:pPr>
            <w:r w:rsidRPr="0018386D">
              <w:rPr>
                <w:rFonts w:eastAsia="Times New Roman" w:cs="Calibri"/>
              </w:rPr>
              <w:t>0.19</w:t>
            </w:r>
          </w:p>
        </w:tc>
        <w:tc>
          <w:tcPr>
            <w:tcW w:w="576" w:type="pct"/>
            <w:shd w:val="clear" w:color="auto" w:fill="auto"/>
            <w:noWrap/>
            <w:vAlign w:val="bottom"/>
            <w:hideMark/>
          </w:tcPr>
          <w:p w14:paraId="75EC32B5" w14:textId="4FAB21FF" w:rsidR="004E7DD7" w:rsidRPr="0018386D" w:rsidRDefault="004E7DD7" w:rsidP="00DD3106">
            <w:pPr>
              <w:pStyle w:val="TableText"/>
              <w:spacing w:before="40" w:after="40"/>
              <w:jc w:val="right"/>
              <w:rPr>
                <w:rFonts w:eastAsia="Times New Roman" w:cs="Calibri"/>
              </w:rPr>
            </w:pPr>
            <w:r w:rsidRPr="0018386D">
              <w:rPr>
                <w:rFonts w:eastAsia="Times New Roman" w:cs="Calibri"/>
              </w:rPr>
              <w:t>0.00002</w:t>
            </w:r>
          </w:p>
        </w:tc>
        <w:tc>
          <w:tcPr>
            <w:tcW w:w="641" w:type="pct"/>
            <w:shd w:val="clear" w:color="auto" w:fill="auto"/>
            <w:noWrap/>
            <w:vAlign w:val="bottom"/>
            <w:hideMark/>
          </w:tcPr>
          <w:p w14:paraId="016251FA" w14:textId="120E4D87" w:rsidR="004E7DD7" w:rsidRPr="0018386D" w:rsidRDefault="004E7DD7" w:rsidP="00DD3106">
            <w:pPr>
              <w:pStyle w:val="TableText"/>
              <w:spacing w:before="40" w:after="40"/>
              <w:jc w:val="right"/>
              <w:rPr>
                <w:rFonts w:eastAsia="Times New Roman" w:cs="Calibri"/>
              </w:rPr>
            </w:pPr>
            <w:r w:rsidRPr="0018386D">
              <w:rPr>
                <w:rFonts w:eastAsia="Times New Roman" w:cs="Calibri"/>
              </w:rPr>
              <w:t>0.00000</w:t>
            </w:r>
            <w:r w:rsidR="002C3787" w:rsidRPr="0018386D">
              <w:rPr>
                <w:rFonts w:eastAsia="Times New Roman" w:cs="Calibri"/>
              </w:rPr>
              <w:t>03</w:t>
            </w:r>
          </w:p>
        </w:tc>
      </w:tr>
      <w:tr w:rsidR="007C39A9" w:rsidRPr="0018386D" w14:paraId="6085F7CB" w14:textId="77777777" w:rsidTr="00D84704">
        <w:tc>
          <w:tcPr>
            <w:tcW w:w="1316" w:type="pct"/>
            <w:vMerge/>
            <w:hideMark/>
          </w:tcPr>
          <w:p w14:paraId="0AD98149" w14:textId="77777777" w:rsidR="004E7DD7" w:rsidRPr="0018386D" w:rsidRDefault="004E7DD7" w:rsidP="00DD3106">
            <w:pPr>
              <w:pStyle w:val="TableText"/>
              <w:spacing w:before="40" w:after="40"/>
              <w:rPr>
                <w:rFonts w:eastAsia="Times New Roman" w:cs="Calibri"/>
                <w:szCs w:val="18"/>
              </w:rPr>
            </w:pPr>
          </w:p>
        </w:tc>
        <w:tc>
          <w:tcPr>
            <w:tcW w:w="658" w:type="pct"/>
            <w:vMerge/>
            <w:hideMark/>
          </w:tcPr>
          <w:p w14:paraId="55417A5D" w14:textId="77777777" w:rsidR="004E7DD7" w:rsidRPr="0018386D" w:rsidRDefault="004E7DD7" w:rsidP="00DD3106">
            <w:pPr>
              <w:pStyle w:val="TableText"/>
              <w:spacing w:before="40" w:after="40"/>
              <w:rPr>
                <w:rFonts w:eastAsia="Times New Roman" w:cs="Calibri"/>
                <w:szCs w:val="18"/>
              </w:rPr>
            </w:pPr>
          </w:p>
        </w:tc>
        <w:tc>
          <w:tcPr>
            <w:tcW w:w="411" w:type="pct"/>
            <w:shd w:val="clear" w:color="auto" w:fill="auto"/>
            <w:noWrap/>
            <w:hideMark/>
          </w:tcPr>
          <w:p w14:paraId="4C0023C1" w14:textId="2C9BCF59" w:rsidR="004E7DD7" w:rsidRPr="0018386D" w:rsidRDefault="004E7DD7" w:rsidP="00DD3106">
            <w:pPr>
              <w:pStyle w:val="TableText"/>
              <w:spacing w:before="40" w:after="40"/>
              <w:rPr>
                <w:rFonts w:eastAsia="Times New Roman" w:cs="Calibri"/>
              </w:rPr>
            </w:pPr>
            <w:r w:rsidRPr="0018386D">
              <w:rPr>
                <w:rFonts w:eastAsia="Times New Roman" w:cs="Calibri"/>
              </w:rPr>
              <w:t>GJ</w:t>
            </w:r>
          </w:p>
        </w:tc>
        <w:tc>
          <w:tcPr>
            <w:tcW w:w="822" w:type="pct"/>
            <w:shd w:val="clear" w:color="auto" w:fill="auto"/>
            <w:noWrap/>
            <w:hideMark/>
          </w:tcPr>
          <w:p w14:paraId="3C687CBA" w14:textId="536F9CB8" w:rsidR="004E7DD7" w:rsidRPr="0018386D" w:rsidRDefault="004E7DD7" w:rsidP="00DD3106">
            <w:pPr>
              <w:pStyle w:val="TableText"/>
              <w:spacing w:before="40" w:after="40"/>
              <w:jc w:val="right"/>
              <w:rPr>
                <w:rFonts w:eastAsia="Times New Roman" w:cs="Calibri"/>
              </w:rPr>
            </w:pPr>
            <w:r w:rsidRPr="0018386D">
              <w:rPr>
                <w:rFonts w:cs="Calibri"/>
                <w:color w:val="000000" w:themeColor="text1"/>
              </w:rPr>
              <w:t>n/a</w:t>
            </w:r>
          </w:p>
        </w:tc>
        <w:tc>
          <w:tcPr>
            <w:tcW w:w="576" w:type="pct"/>
            <w:shd w:val="clear" w:color="auto" w:fill="auto"/>
            <w:noWrap/>
            <w:vAlign w:val="bottom"/>
            <w:hideMark/>
          </w:tcPr>
          <w:p w14:paraId="0F85CEB4" w14:textId="23DA0E3F" w:rsidR="004E7DD7" w:rsidRPr="0018386D" w:rsidRDefault="004E7DD7" w:rsidP="00DD3106">
            <w:pPr>
              <w:pStyle w:val="TableText"/>
              <w:spacing w:before="40" w:after="40"/>
              <w:jc w:val="right"/>
              <w:rPr>
                <w:rFonts w:eastAsia="Times New Roman" w:cs="Calibri"/>
              </w:rPr>
            </w:pPr>
            <w:r w:rsidRPr="0018386D">
              <w:rPr>
                <w:rFonts w:eastAsia="Times New Roman" w:cs="Calibri"/>
              </w:rPr>
              <w:t>53.61</w:t>
            </w:r>
          </w:p>
        </w:tc>
        <w:tc>
          <w:tcPr>
            <w:tcW w:w="576" w:type="pct"/>
            <w:shd w:val="clear" w:color="auto" w:fill="auto"/>
            <w:noWrap/>
            <w:vAlign w:val="bottom"/>
            <w:hideMark/>
          </w:tcPr>
          <w:p w14:paraId="1B578EC8" w14:textId="3CE7AE3F" w:rsidR="004E7DD7" w:rsidRPr="0018386D" w:rsidRDefault="004E7DD7" w:rsidP="00DD3106">
            <w:pPr>
              <w:pStyle w:val="TableText"/>
              <w:spacing w:before="40" w:after="40"/>
              <w:jc w:val="right"/>
              <w:rPr>
                <w:rFonts w:eastAsia="Times New Roman" w:cs="Calibri"/>
              </w:rPr>
            </w:pPr>
            <w:r w:rsidRPr="0018386D">
              <w:rPr>
                <w:rFonts w:eastAsia="Times New Roman" w:cs="Calibri"/>
              </w:rPr>
              <w:t>0.005</w:t>
            </w:r>
          </w:p>
        </w:tc>
        <w:tc>
          <w:tcPr>
            <w:tcW w:w="641" w:type="pct"/>
            <w:shd w:val="clear" w:color="auto" w:fill="auto"/>
            <w:noWrap/>
            <w:vAlign w:val="bottom"/>
            <w:hideMark/>
          </w:tcPr>
          <w:p w14:paraId="090D5BC3" w14:textId="7F614DD7" w:rsidR="004E7DD7" w:rsidRPr="0018386D" w:rsidRDefault="004E7DD7" w:rsidP="00DD3106">
            <w:pPr>
              <w:pStyle w:val="TableText"/>
              <w:spacing w:before="40" w:after="40"/>
              <w:jc w:val="right"/>
              <w:rPr>
                <w:rFonts w:eastAsia="Times New Roman" w:cs="Calibri"/>
              </w:rPr>
            </w:pPr>
            <w:r w:rsidRPr="0018386D">
              <w:rPr>
                <w:rFonts w:eastAsia="Times New Roman" w:cs="Calibri"/>
              </w:rPr>
              <w:t>0.00009</w:t>
            </w:r>
          </w:p>
        </w:tc>
      </w:tr>
      <w:tr w:rsidR="007C39A9" w:rsidRPr="0018386D" w14:paraId="6374F9F1" w14:textId="77777777" w:rsidTr="00D84704">
        <w:tc>
          <w:tcPr>
            <w:tcW w:w="1316" w:type="pct"/>
            <w:shd w:val="clear" w:color="auto" w:fill="auto"/>
            <w:noWrap/>
            <w:hideMark/>
          </w:tcPr>
          <w:p w14:paraId="0E800A2E" w14:textId="748A3AFE" w:rsidR="004E7DD7" w:rsidRPr="0018386D" w:rsidRDefault="004E7DD7" w:rsidP="00DD3106">
            <w:pPr>
              <w:pStyle w:val="TableText"/>
              <w:spacing w:before="40" w:after="40"/>
              <w:rPr>
                <w:rFonts w:eastAsia="Times New Roman" w:cs="Calibri"/>
              </w:rPr>
            </w:pPr>
            <w:r w:rsidRPr="0018386D">
              <w:rPr>
                <w:rFonts w:eastAsia="Times New Roman" w:cs="Calibri"/>
              </w:rPr>
              <w:t>Coal – bituminous</w:t>
            </w:r>
          </w:p>
        </w:tc>
        <w:tc>
          <w:tcPr>
            <w:tcW w:w="658" w:type="pct"/>
            <w:shd w:val="clear" w:color="auto" w:fill="auto"/>
            <w:noWrap/>
            <w:hideMark/>
          </w:tcPr>
          <w:p w14:paraId="61133B9C" w14:textId="6182B561"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39E2B2A7" w14:textId="1EBC6787"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48EC887C" w14:textId="6D320BAD" w:rsidR="004E7DD7" w:rsidRPr="0018386D" w:rsidRDefault="004E7DD7" w:rsidP="00DD3106">
            <w:pPr>
              <w:pStyle w:val="TableText"/>
              <w:spacing w:before="40" w:after="40"/>
              <w:jc w:val="right"/>
              <w:rPr>
                <w:rFonts w:eastAsia="Times New Roman" w:cs="Calibri"/>
              </w:rPr>
            </w:pPr>
            <w:r w:rsidRPr="0018386D">
              <w:rPr>
                <w:rFonts w:eastAsia="Times New Roman" w:cs="Calibri"/>
              </w:rPr>
              <w:t>29.59</w:t>
            </w:r>
          </w:p>
        </w:tc>
        <w:tc>
          <w:tcPr>
            <w:tcW w:w="576" w:type="pct"/>
            <w:shd w:val="clear" w:color="auto" w:fill="auto"/>
            <w:noWrap/>
            <w:vAlign w:val="bottom"/>
            <w:hideMark/>
          </w:tcPr>
          <w:p w14:paraId="353CD264" w14:textId="1E8071E0" w:rsidR="004E7DD7" w:rsidRPr="0018386D" w:rsidRDefault="004E7DD7" w:rsidP="00DD3106">
            <w:pPr>
              <w:pStyle w:val="TableText"/>
              <w:spacing w:before="40" w:after="40"/>
              <w:jc w:val="right"/>
              <w:rPr>
                <w:rFonts w:eastAsia="Times New Roman" w:cs="Calibri"/>
              </w:rPr>
            </w:pPr>
            <w:r w:rsidRPr="0018386D">
              <w:rPr>
                <w:rFonts w:eastAsia="Times New Roman" w:cs="Calibri"/>
              </w:rPr>
              <w:t>89.13</w:t>
            </w:r>
          </w:p>
        </w:tc>
        <w:tc>
          <w:tcPr>
            <w:tcW w:w="576" w:type="pct"/>
            <w:shd w:val="clear" w:color="auto" w:fill="auto"/>
            <w:noWrap/>
            <w:vAlign w:val="bottom"/>
            <w:hideMark/>
          </w:tcPr>
          <w:p w14:paraId="79601BE5" w14:textId="6F87BC49" w:rsidR="004E7DD7" w:rsidRPr="0018386D" w:rsidRDefault="004E7DD7" w:rsidP="00DD3106">
            <w:pPr>
              <w:pStyle w:val="TableText"/>
              <w:spacing w:before="40" w:after="40"/>
              <w:jc w:val="right"/>
              <w:rPr>
                <w:rFonts w:eastAsia="Times New Roman" w:cs="Calibri"/>
              </w:rPr>
            </w:pPr>
            <w:r w:rsidRPr="0018386D">
              <w:rPr>
                <w:rFonts w:eastAsia="Times New Roman" w:cs="Calibri"/>
              </w:rPr>
              <w:t>0.0095</w:t>
            </w:r>
          </w:p>
        </w:tc>
        <w:tc>
          <w:tcPr>
            <w:tcW w:w="641" w:type="pct"/>
            <w:shd w:val="clear" w:color="auto" w:fill="auto"/>
            <w:noWrap/>
            <w:vAlign w:val="bottom"/>
            <w:hideMark/>
          </w:tcPr>
          <w:p w14:paraId="771B0AA9" w14:textId="0A2D0A4D" w:rsidR="004E7DD7" w:rsidRPr="0018386D" w:rsidRDefault="004E7DD7" w:rsidP="00DD3106">
            <w:pPr>
              <w:pStyle w:val="TableText"/>
              <w:spacing w:before="40" w:after="40"/>
              <w:jc w:val="right"/>
              <w:rPr>
                <w:rFonts w:eastAsia="Times New Roman" w:cs="Calibri"/>
              </w:rPr>
            </w:pPr>
            <w:r w:rsidRPr="0018386D">
              <w:rPr>
                <w:rFonts w:eastAsia="Times New Roman" w:cs="Calibri"/>
              </w:rPr>
              <w:t>0.0014</w:t>
            </w:r>
          </w:p>
        </w:tc>
      </w:tr>
      <w:tr w:rsidR="007C39A9" w:rsidRPr="0018386D" w14:paraId="6D0C366A" w14:textId="77777777" w:rsidTr="00D84704">
        <w:tc>
          <w:tcPr>
            <w:tcW w:w="1316" w:type="pct"/>
            <w:shd w:val="clear" w:color="auto" w:fill="auto"/>
            <w:noWrap/>
            <w:hideMark/>
          </w:tcPr>
          <w:p w14:paraId="19A578D5" w14:textId="41C718C8" w:rsidR="004E7DD7" w:rsidRPr="0018386D" w:rsidRDefault="004E7DD7" w:rsidP="00DD3106">
            <w:pPr>
              <w:pStyle w:val="TableText"/>
              <w:spacing w:before="40" w:after="40"/>
              <w:rPr>
                <w:rFonts w:eastAsia="Times New Roman" w:cs="Calibri"/>
              </w:rPr>
            </w:pPr>
            <w:r w:rsidRPr="0018386D">
              <w:rPr>
                <w:rFonts w:eastAsia="Times New Roman" w:cs="Calibri"/>
              </w:rPr>
              <w:t>Coal – sub-bituminous</w:t>
            </w:r>
          </w:p>
        </w:tc>
        <w:tc>
          <w:tcPr>
            <w:tcW w:w="658" w:type="pct"/>
            <w:shd w:val="clear" w:color="auto" w:fill="auto"/>
            <w:noWrap/>
            <w:hideMark/>
          </w:tcPr>
          <w:p w14:paraId="7C193487" w14:textId="60CCA5D2"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6E01253D" w14:textId="44036A8D"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3CFE7B4A" w14:textId="03C1DEAE" w:rsidR="004E7DD7" w:rsidRPr="0018386D" w:rsidRDefault="004E7DD7" w:rsidP="00DD3106">
            <w:pPr>
              <w:pStyle w:val="TableText"/>
              <w:spacing w:before="40" w:after="40"/>
              <w:jc w:val="right"/>
              <w:rPr>
                <w:rFonts w:eastAsia="Times New Roman" w:cs="Calibri"/>
              </w:rPr>
            </w:pPr>
            <w:r w:rsidRPr="0018386D">
              <w:rPr>
                <w:rFonts w:eastAsia="Times New Roman" w:cs="Calibri"/>
              </w:rPr>
              <w:t>21.64</w:t>
            </w:r>
          </w:p>
        </w:tc>
        <w:tc>
          <w:tcPr>
            <w:tcW w:w="576" w:type="pct"/>
            <w:shd w:val="clear" w:color="auto" w:fill="auto"/>
            <w:noWrap/>
            <w:vAlign w:val="bottom"/>
            <w:hideMark/>
          </w:tcPr>
          <w:p w14:paraId="09CC8F8A" w14:textId="6CC78FC0" w:rsidR="004E7DD7" w:rsidRPr="0018386D" w:rsidRDefault="004E7DD7" w:rsidP="00DD3106">
            <w:pPr>
              <w:pStyle w:val="TableText"/>
              <w:spacing w:before="40" w:after="40"/>
              <w:jc w:val="right"/>
              <w:rPr>
                <w:rFonts w:eastAsia="Times New Roman" w:cs="Calibri"/>
              </w:rPr>
            </w:pPr>
            <w:r w:rsidRPr="0018386D">
              <w:rPr>
                <w:rFonts w:eastAsia="Times New Roman" w:cs="Calibri"/>
              </w:rPr>
              <w:t>91.99</w:t>
            </w:r>
          </w:p>
        </w:tc>
        <w:tc>
          <w:tcPr>
            <w:tcW w:w="576" w:type="pct"/>
            <w:shd w:val="clear" w:color="auto" w:fill="auto"/>
            <w:noWrap/>
            <w:vAlign w:val="bottom"/>
            <w:hideMark/>
          </w:tcPr>
          <w:p w14:paraId="07AB69D1" w14:textId="171E2596" w:rsidR="004E7DD7" w:rsidRPr="0018386D" w:rsidRDefault="004E7DD7" w:rsidP="00DD3106">
            <w:pPr>
              <w:pStyle w:val="TableText"/>
              <w:spacing w:before="40" w:after="40"/>
              <w:jc w:val="right"/>
              <w:rPr>
                <w:rFonts w:eastAsia="Times New Roman" w:cs="Calibri"/>
              </w:rPr>
            </w:pPr>
            <w:r w:rsidRPr="0018386D">
              <w:rPr>
                <w:rFonts w:eastAsia="Times New Roman" w:cs="Calibri"/>
              </w:rPr>
              <w:t>0.0095</w:t>
            </w:r>
          </w:p>
        </w:tc>
        <w:tc>
          <w:tcPr>
            <w:tcW w:w="641" w:type="pct"/>
            <w:shd w:val="clear" w:color="auto" w:fill="auto"/>
            <w:noWrap/>
            <w:vAlign w:val="bottom"/>
            <w:hideMark/>
          </w:tcPr>
          <w:p w14:paraId="560731BE" w14:textId="32EB3E89" w:rsidR="004E7DD7" w:rsidRPr="0018386D" w:rsidRDefault="004E7DD7" w:rsidP="00DD3106">
            <w:pPr>
              <w:pStyle w:val="TableText"/>
              <w:spacing w:before="40" w:after="40"/>
              <w:jc w:val="right"/>
              <w:rPr>
                <w:rFonts w:eastAsia="Times New Roman" w:cs="Calibri"/>
              </w:rPr>
            </w:pPr>
            <w:r w:rsidRPr="0018386D">
              <w:rPr>
                <w:rFonts w:eastAsia="Times New Roman" w:cs="Calibri"/>
              </w:rPr>
              <w:t>0.0014</w:t>
            </w:r>
          </w:p>
        </w:tc>
      </w:tr>
      <w:tr w:rsidR="007C39A9" w:rsidRPr="0018386D" w14:paraId="37FD87EB" w14:textId="77777777" w:rsidTr="00D84704">
        <w:tc>
          <w:tcPr>
            <w:tcW w:w="1316" w:type="pct"/>
            <w:shd w:val="clear" w:color="auto" w:fill="auto"/>
            <w:noWrap/>
            <w:hideMark/>
          </w:tcPr>
          <w:p w14:paraId="08906C09" w14:textId="5024CB62" w:rsidR="004E7DD7" w:rsidRPr="0018386D" w:rsidRDefault="004E7DD7" w:rsidP="00DD3106">
            <w:pPr>
              <w:pStyle w:val="TableText"/>
              <w:spacing w:before="40" w:after="40"/>
              <w:rPr>
                <w:rFonts w:eastAsia="Times New Roman" w:cs="Calibri"/>
              </w:rPr>
            </w:pPr>
            <w:r w:rsidRPr="0018386D">
              <w:rPr>
                <w:rFonts w:eastAsia="Times New Roman" w:cs="Calibri"/>
              </w:rPr>
              <w:t>Coal – lignite</w:t>
            </w:r>
          </w:p>
        </w:tc>
        <w:tc>
          <w:tcPr>
            <w:tcW w:w="658" w:type="pct"/>
            <w:shd w:val="clear" w:color="auto" w:fill="auto"/>
            <w:noWrap/>
            <w:hideMark/>
          </w:tcPr>
          <w:p w14:paraId="278D3B8F" w14:textId="178A1977"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7032AFD1" w14:textId="161DE5BD"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638FE115" w14:textId="5941D894" w:rsidR="004E7DD7" w:rsidRPr="0018386D" w:rsidRDefault="004E7DD7" w:rsidP="00DD3106">
            <w:pPr>
              <w:pStyle w:val="TableText"/>
              <w:spacing w:before="40" w:after="40"/>
              <w:jc w:val="right"/>
              <w:rPr>
                <w:rFonts w:eastAsia="Times New Roman" w:cs="Calibri"/>
              </w:rPr>
            </w:pPr>
            <w:r w:rsidRPr="0018386D">
              <w:rPr>
                <w:rFonts w:eastAsia="Times New Roman" w:cs="Calibri"/>
              </w:rPr>
              <w:t>15.26</w:t>
            </w:r>
          </w:p>
        </w:tc>
        <w:tc>
          <w:tcPr>
            <w:tcW w:w="576" w:type="pct"/>
            <w:shd w:val="clear" w:color="auto" w:fill="auto"/>
            <w:noWrap/>
            <w:vAlign w:val="bottom"/>
            <w:hideMark/>
          </w:tcPr>
          <w:p w14:paraId="21BABBB9" w14:textId="02C1B29B" w:rsidR="004E7DD7" w:rsidRPr="0018386D" w:rsidRDefault="004E7DD7" w:rsidP="00DD3106">
            <w:pPr>
              <w:pStyle w:val="TableText"/>
              <w:spacing w:before="40" w:after="40"/>
              <w:jc w:val="right"/>
              <w:rPr>
                <w:rFonts w:eastAsia="Times New Roman" w:cs="Calibri"/>
              </w:rPr>
            </w:pPr>
            <w:r w:rsidRPr="0018386D">
              <w:rPr>
                <w:rFonts w:eastAsia="Times New Roman" w:cs="Calibri"/>
              </w:rPr>
              <w:t>93.11</w:t>
            </w:r>
          </w:p>
        </w:tc>
        <w:tc>
          <w:tcPr>
            <w:tcW w:w="576" w:type="pct"/>
            <w:shd w:val="clear" w:color="auto" w:fill="auto"/>
            <w:noWrap/>
            <w:vAlign w:val="bottom"/>
            <w:hideMark/>
          </w:tcPr>
          <w:p w14:paraId="13C05A90" w14:textId="44DF0BF4" w:rsidR="004E7DD7" w:rsidRPr="0018386D" w:rsidRDefault="004E7DD7" w:rsidP="00DD3106">
            <w:pPr>
              <w:pStyle w:val="TableText"/>
              <w:spacing w:before="40" w:after="40"/>
              <w:jc w:val="right"/>
              <w:rPr>
                <w:rFonts w:eastAsia="Times New Roman" w:cs="Calibri"/>
              </w:rPr>
            </w:pPr>
            <w:r w:rsidRPr="0018386D">
              <w:rPr>
                <w:rFonts w:eastAsia="Times New Roman" w:cs="Calibri"/>
              </w:rPr>
              <w:t>0.0095</w:t>
            </w:r>
          </w:p>
        </w:tc>
        <w:tc>
          <w:tcPr>
            <w:tcW w:w="641" w:type="pct"/>
            <w:shd w:val="clear" w:color="auto" w:fill="auto"/>
            <w:noWrap/>
            <w:vAlign w:val="bottom"/>
            <w:hideMark/>
          </w:tcPr>
          <w:p w14:paraId="555EFC2F" w14:textId="43EB126B" w:rsidR="004E7DD7" w:rsidRPr="0018386D" w:rsidRDefault="004E7DD7" w:rsidP="00DD3106">
            <w:pPr>
              <w:pStyle w:val="TableText"/>
              <w:spacing w:before="40" w:after="40"/>
              <w:jc w:val="right"/>
              <w:rPr>
                <w:rFonts w:eastAsia="Times New Roman" w:cs="Calibri"/>
              </w:rPr>
            </w:pPr>
            <w:r w:rsidRPr="0018386D">
              <w:rPr>
                <w:rFonts w:eastAsia="Times New Roman" w:cs="Calibri"/>
              </w:rPr>
              <w:t>0.0014</w:t>
            </w:r>
          </w:p>
        </w:tc>
      </w:tr>
      <w:tr w:rsidR="007C39A9" w:rsidRPr="0018386D" w14:paraId="5462F318" w14:textId="77777777" w:rsidTr="00D84704">
        <w:tc>
          <w:tcPr>
            <w:tcW w:w="1316" w:type="pct"/>
            <w:shd w:val="clear" w:color="auto" w:fill="auto"/>
            <w:noWrap/>
            <w:hideMark/>
          </w:tcPr>
          <w:p w14:paraId="14540AFB" w14:textId="0B1EBE87" w:rsidR="004E7DD7" w:rsidRPr="0018386D" w:rsidRDefault="004E7DD7" w:rsidP="00DD3106">
            <w:pPr>
              <w:pStyle w:val="TableText"/>
              <w:spacing w:before="40" w:after="40"/>
              <w:rPr>
                <w:rFonts w:eastAsia="Times New Roman" w:cs="Calibri"/>
              </w:rPr>
            </w:pPr>
            <w:r w:rsidRPr="0018386D">
              <w:rPr>
                <w:rFonts w:eastAsia="Times New Roman" w:cs="Calibri"/>
              </w:rPr>
              <w:t>Diesel</w:t>
            </w:r>
          </w:p>
        </w:tc>
        <w:tc>
          <w:tcPr>
            <w:tcW w:w="658" w:type="pct"/>
            <w:shd w:val="clear" w:color="auto" w:fill="auto"/>
            <w:noWrap/>
            <w:hideMark/>
          </w:tcPr>
          <w:p w14:paraId="7735F308" w14:textId="08478A54"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6BB96E6B" w14:textId="7CB89042"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43CDEA18" w14:textId="52F431D5" w:rsidR="004E7DD7" w:rsidRPr="0018386D" w:rsidRDefault="004E7DD7" w:rsidP="00DD3106">
            <w:pPr>
              <w:pStyle w:val="TableText"/>
              <w:spacing w:before="40" w:after="40"/>
              <w:jc w:val="right"/>
              <w:rPr>
                <w:rFonts w:eastAsia="Times New Roman" w:cs="Calibri"/>
              </w:rPr>
            </w:pPr>
            <w:r w:rsidRPr="0018386D">
              <w:rPr>
                <w:rFonts w:eastAsia="Times New Roman" w:cs="Calibri"/>
              </w:rPr>
              <w:t>38.49</w:t>
            </w:r>
          </w:p>
        </w:tc>
        <w:tc>
          <w:tcPr>
            <w:tcW w:w="576" w:type="pct"/>
            <w:shd w:val="clear" w:color="auto" w:fill="auto"/>
            <w:noWrap/>
            <w:vAlign w:val="bottom"/>
            <w:hideMark/>
          </w:tcPr>
          <w:p w14:paraId="4D9A71DC" w14:textId="7D28949D" w:rsidR="004E7DD7" w:rsidRPr="0018386D" w:rsidRDefault="004E7DD7" w:rsidP="00DD3106">
            <w:pPr>
              <w:pStyle w:val="TableText"/>
              <w:spacing w:before="40" w:after="40"/>
              <w:jc w:val="right"/>
              <w:rPr>
                <w:rFonts w:eastAsia="Times New Roman" w:cs="Calibri"/>
              </w:rPr>
            </w:pPr>
            <w:r w:rsidRPr="0018386D">
              <w:rPr>
                <w:rFonts w:eastAsia="Times New Roman" w:cs="Calibri"/>
              </w:rPr>
              <w:t>69.45</w:t>
            </w:r>
          </w:p>
        </w:tc>
        <w:tc>
          <w:tcPr>
            <w:tcW w:w="576" w:type="pct"/>
            <w:shd w:val="clear" w:color="auto" w:fill="auto"/>
            <w:noWrap/>
            <w:vAlign w:val="bottom"/>
            <w:hideMark/>
          </w:tcPr>
          <w:p w14:paraId="390EE847" w14:textId="55FB10D7" w:rsidR="004E7DD7" w:rsidRPr="0018386D" w:rsidRDefault="004E7DD7" w:rsidP="00DD3106">
            <w:pPr>
              <w:pStyle w:val="TableText"/>
              <w:spacing w:before="40" w:after="40"/>
              <w:jc w:val="right"/>
              <w:rPr>
                <w:rFonts w:eastAsia="Times New Roman" w:cs="Calibri"/>
              </w:rPr>
            </w:pPr>
            <w:r w:rsidRPr="0018386D">
              <w:rPr>
                <w:rFonts w:eastAsia="Times New Roman" w:cs="Calibri"/>
              </w:rPr>
              <w:t>0.0095</w:t>
            </w:r>
          </w:p>
        </w:tc>
        <w:tc>
          <w:tcPr>
            <w:tcW w:w="641" w:type="pct"/>
            <w:shd w:val="clear" w:color="auto" w:fill="auto"/>
            <w:noWrap/>
            <w:vAlign w:val="bottom"/>
            <w:hideMark/>
          </w:tcPr>
          <w:p w14:paraId="0BF1C017" w14:textId="7A531812" w:rsidR="004E7DD7" w:rsidRPr="0018386D" w:rsidRDefault="004E7DD7" w:rsidP="00DD3106">
            <w:pPr>
              <w:pStyle w:val="TableText"/>
              <w:spacing w:before="40" w:after="40"/>
              <w:jc w:val="right"/>
              <w:rPr>
                <w:rFonts w:eastAsia="Times New Roman" w:cs="Calibri"/>
              </w:rPr>
            </w:pPr>
            <w:r w:rsidRPr="0018386D">
              <w:rPr>
                <w:rFonts w:eastAsia="Times New Roman" w:cs="Calibri"/>
              </w:rPr>
              <w:t>0.0006</w:t>
            </w:r>
          </w:p>
        </w:tc>
      </w:tr>
      <w:tr w:rsidR="007C39A9" w:rsidRPr="0018386D" w14:paraId="1A9D0F48" w14:textId="77777777" w:rsidTr="00D84704">
        <w:tc>
          <w:tcPr>
            <w:tcW w:w="1316" w:type="pct"/>
            <w:shd w:val="clear" w:color="auto" w:fill="auto"/>
            <w:noWrap/>
            <w:hideMark/>
          </w:tcPr>
          <w:p w14:paraId="7314B728" w14:textId="100DEF0C" w:rsidR="004E7DD7" w:rsidRPr="0018386D" w:rsidRDefault="004E7DD7" w:rsidP="00DD3106">
            <w:pPr>
              <w:pStyle w:val="TableText"/>
              <w:spacing w:before="40" w:after="40"/>
              <w:rPr>
                <w:rFonts w:eastAsia="Times New Roman" w:cs="Calibri"/>
              </w:rPr>
            </w:pPr>
            <w:r w:rsidRPr="0018386D">
              <w:rPr>
                <w:rFonts w:eastAsia="Times New Roman" w:cs="Calibri"/>
              </w:rPr>
              <w:t>LPG</w:t>
            </w:r>
          </w:p>
        </w:tc>
        <w:tc>
          <w:tcPr>
            <w:tcW w:w="658" w:type="pct"/>
            <w:shd w:val="clear" w:color="auto" w:fill="auto"/>
            <w:noWrap/>
            <w:hideMark/>
          </w:tcPr>
          <w:p w14:paraId="7CC378C2" w14:textId="4CB441A5"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71FC94CC" w14:textId="18DA3BE1"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01E54CBA" w14:textId="7C18DEE0" w:rsidR="004E7DD7" w:rsidRPr="0018386D" w:rsidRDefault="004E7DD7" w:rsidP="00DD3106">
            <w:pPr>
              <w:pStyle w:val="TableText"/>
              <w:spacing w:before="40" w:after="40"/>
              <w:jc w:val="right"/>
              <w:rPr>
                <w:rFonts w:eastAsia="Times New Roman" w:cs="Calibri"/>
              </w:rPr>
            </w:pPr>
            <w:r w:rsidRPr="0018386D">
              <w:rPr>
                <w:rFonts w:eastAsia="Times New Roman" w:cs="Calibri"/>
              </w:rPr>
              <w:t>50.00</w:t>
            </w:r>
          </w:p>
        </w:tc>
        <w:tc>
          <w:tcPr>
            <w:tcW w:w="576" w:type="pct"/>
            <w:shd w:val="clear" w:color="auto" w:fill="auto"/>
            <w:noWrap/>
            <w:vAlign w:val="bottom"/>
            <w:hideMark/>
          </w:tcPr>
          <w:p w14:paraId="54BD1D5D" w14:textId="0737EF7F" w:rsidR="004E7DD7" w:rsidRPr="0018386D" w:rsidRDefault="004E7DD7" w:rsidP="00DD3106">
            <w:pPr>
              <w:pStyle w:val="TableText"/>
              <w:spacing w:before="40" w:after="40"/>
              <w:jc w:val="right"/>
              <w:rPr>
                <w:rFonts w:eastAsia="Times New Roman" w:cs="Calibri"/>
              </w:rPr>
            </w:pPr>
            <w:r w:rsidRPr="0018386D">
              <w:rPr>
                <w:rFonts w:eastAsia="Times New Roman" w:cs="Calibri"/>
              </w:rPr>
              <w:t>59.27</w:t>
            </w:r>
          </w:p>
        </w:tc>
        <w:tc>
          <w:tcPr>
            <w:tcW w:w="576" w:type="pct"/>
            <w:shd w:val="clear" w:color="auto" w:fill="auto"/>
            <w:noWrap/>
            <w:vAlign w:val="bottom"/>
            <w:hideMark/>
          </w:tcPr>
          <w:p w14:paraId="761C4F8D" w14:textId="792EC7F3" w:rsidR="004E7DD7" w:rsidRPr="0018386D" w:rsidRDefault="004E7DD7" w:rsidP="00DD3106">
            <w:pPr>
              <w:pStyle w:val="TableText"/>
              <w:spacing w:before="40" w:after="40"/>
              <w:jc w:val="right"/>
              <w:rPr>
                <w:rFonts w:eastAsia="Times New Roman" w:cs="Calibri"/>
              </w:rPr>
            </w:pPr>
            <w:r w:rsidRPr="0018386D">
              <w:rPr>
                <w:rFonts w:eastAsia="Times New Roman" w:cs="Calibri"/>
              </w:rPr>
              <w:t>0.005</w:t>
            </w:r>
          </w:p>
        </w:tc>
        <w:tc>
          <w:tcPr>
            <w:tcW w:w="641" w:type="pct"/>
            <w:shd w:val="clear" w:color="auto" w:fill="auto"/>
            <w:noWrap/>
            <w:vAlign w:val="bottom"/>
            <w:hideMark/>
          </w:tcPr>
          <w:p w14:paraId="3724D21A" w14:textId="792C24BC" w:rsidR="004E7DD7" w:rsidRPr="0018386D" w:rsidRDefault="004E7DD7" w:rsidP="00DD3106">
            <w:pPr>
              <w:pStyle w:val="TableText"/>
              <w:spacing w:before="40" w:after="40"/>
              <w:jc w:val="right"/>
              <w:rPr>
                <w:rFonts w:eastAsia="Times New Roman" w:cs="Calibri"/>
              </w:rPr>
            </w:pPr>
            <w:r w:rsidRPr="0018386D">
              <w:rPr>
                <w:rFonts w:eastAsia="Times New Roman" w:cs="Calibri"/>
              </w:rPr>
              <w:t>0.0001</w:t>
            </w:r>
          </w:p>
        </w:tc>
      </w:tr>
      <w:tr w:rsidR="007C39A9" w:rsidRPr="0018386D" w14:paraId="590C0329" w14:textId="77777777" w:rsidTr="00D84704">
        <w:tc>
          <w:tcPr>
            <w:tcW w:w="1316" w:type="pct"/>
            <w:shd w:val="clear" w:color="auto" w:fill="auto"/>
            <w:noWrap/>
            <w:hideMark/>
          </w:tcPr>
          <w:p w14:paraId="165FFCD9" w14:textId="2C0FDDDE" w:rsidR="004E7DD7" w:rsidRPr="0018386D" w:rsidRDefault="004E7DD7" w:rsidP="00DD3106">
            <w:pPr>
              <w:pStyle w:val="TableText"/>
              <w:spacing w:before="40" w:after="40"/>
              <w:rPr>
                <w:rFonts w:eastAsia="Times New Roman" w:cs="Calibri"/>
              </w:rPr>
            </w:pPr>
            <w:r w:rsidRPr="0018386D">
              <w:rPr>
                <w:rFonts w:eastAsia="Times New Roman" w:cs="Calibri"/>
              </w:rPr>
              <w:t>Heavy fuel oil</w:t>
            </w:r>
          </w:p>
        </w:tc>
        <w:tc>
          <w:tcPr>
            <w:tcW w:w="658" w:type="pct"/>
            <w:shd w:val="clear" w:color="auto" w:fill="auto"/>
            <w:noWrap/>
            <w:hideMark/>
          </w:tcPr>
          <w:p w14:paraId="7B73D371" w14:textId="00FB45BD"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25838240" w14:textId="51933156"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41288FD1" w14:textId="07EB9CED" w:rsidR="004E7DD7" w:rsidRPr="0018386D" w:rsidRDefault="004E7DD7" w:rsidP="00DD3106">
            <w:pPr>
              <w:pStyle w:val="TableText"/>
              <w:spacing w:before="40" w:after="40"/>
              <w:jc w:val="right"/>
              <w:rPr>
                <w:rFonts w:eastAsia="Times New Roman" w:cs="Calibri"/>
              </w:rPr>
            </w:pPr>
            <w:r w:rsidRPr="0018386D">
              <w:rPr>
                <w:rFonts w:eastAsia="Times New Roman" w:cs="Calibri"/>
              </w:rPr>
              <w:t>40.74</w:t>
            </w:r>
          </w:p>
        </w:tc>
        <w:tc>
          <w:tcPr>
            <w:tcW w:w="576" w:type="pct"/>
            <w:shd w:val="clear" w:color="auto" w:fill="auto"/>
            <w:noWrap/>
            <w:vAlign w:val="bottom"/>
            <w:hideMark/>
          </w:tcPr>
          <w:p w14:paraId="4C22121A" w14:textId="74EFF601" w:rsidR="004E7DD7" w:rsidRPr="0018386D" w:rsidRDefault="004E7DD7" w:rsidP="00DD3106">
            <w:pPr>
              <w:pStyle w:val="TableText"/>
              <w:spacing w:before="40" w:after="40"/>
              <w:jc w:val="right"/>
              <w:rPr>
                <w:rFonts w:eastAsia="Times New Roman" w:cs="Calibri"/>
              </w:rPr>
            </w:pPr>
            <w:r w:rsidRPr="0018386D">
              <w:rPr>
                <w:rFonts w:eastAsia="Times New Roman" w:cs="Calibri"/>
              </w:rPr>
              <w:t>73.33</w:t>
            </w:r>
          </w:p>
        </w:tc>
        <w:tc>
          <w:tcPr>
            <w:tcW w:w="576" w:type="pct"/>
            <w:shd w:val="clear" w:color="auto" w:fill="auto"/>
            <w:noWrap/>
            <w:vAlign w:val="bottom"/>
            <w:hideMark/>
          </w:tcPr>
          <w:p w14:paraId="521D4CBB" w14:textId="4F40AA5F" w:rsidR="004E7DD7" w:rsidRPr="0018386D" w:rsidRDefault="004E7DD7" w:rsidP="00DD3106">
            <w:pPr>
              <w:pStyle w:val="TableText"/>
              <w:spacing w:before="40" w:after="40"/>
              <w:jc w:val="right"/>
              <w:rPr>
                <w:rFonts w:eastAsia="Times New Roman" w:cs="Calibri"/>
              </w:rPr>
            </w:pPr>
            <w:r w:rsidRPr="0018386D">
              <w:rPr>
                <w:rFonts w:eastAsia="Times New Roman" w:cs="Calibri"/>
              </w:rPr>
              <w:t>0.010</w:t>
            </w:r>
          </w:p>
        </w:tc>
        <w:tc>
          <w:tcPr>
            <w:tcW w:w="641" w:type="pct"/>
            <w:shd w:val="clear" w:color="auto" w:fill="auto"/>
            <w:noWrap/>
            <w:vAlign w:val="bottom"/>
            <w:hideMark/>
          </w:tcPr>
          <w:p w14:paraId="4915813E" w14:textId="45465456" w:rsidR="004E7DD7" w:rsidRPr="0018386D" w:rsidRDefault="004E7DD7" w:rsidP="00DD3106">
            <w:pPr>
              <w:pStyle w:val="TableText"/>
              <w:spacing w:before="40" w:after="40"/>
              <w:jc w:val="right"/>
              <w:rPr>
                <w:rFonts w:eastAsia="Times New Roman" w:cs="Calibri"/>
              </w:rPr>
            </w:pPr>
            <w:r w:rsidRPr="0018386D">
              <w:rPr>
                <w:rFonts w:eastAsia="Times New Roman" w:cs="Calibri"/>
              </w:rPr>
              <w:t>0.0006</w:t>
            </w:r>
          </w:p>
        </w:tc>
      </w:tr>
      <w:tr w:rsidR="007C39A9" w:rsidRPr="0018386D" w14:paraId="14CB8302" w14:textId="77777777" w:rsidTr="00D84704">
        <w:tc>
          <w:tcPr>
            <w:tcW w:w="1316" w:type="pct"/>
            <w:shd w:val="clear" w:color="auto" w:fill="auto"/>
            <w:noWrap/>
            <w:hideMark/>
          </w:tcPr>
          <w:p w14:paraId="3CE21B5B" w14:textId="3F5DAF33" w:rsidR="004E7DD7" w:rsidRPr="0018386D" w:rsidRDefault="004E7DD7" w:rsidP="00DD3106">
            <w:pPr>
              <w:pStyle w:val="TableText"/>
              <w:spacing w:before="40" w:after="40"/>
              <w:rPr>
                <w:rFonts w:eastAsia="Times New Roman" w:cs="Calibri"/>
              </w:rPr>
            </w:pPr>
            <w:r w:rsidRPr="0018386D">
              <w:rPr>
                <w:rFonts w:eastAsia="Times New Roman" w:cs="Calibri"/>
              </w:rPr>
              <w:t>Light fuel oil</w:t>
            </w:r>
          </w:p>
        </w:tc>
        <w:tc>
          <w:tcPr>
            <w:tcW w:w="658" w:type="pct"/>
            <w:shd w:val="clear" w:color="auto" w:fill="auto"/>
            <w:noWrap/>
            <w:hideMark/>
          </w:tcPr>
          <w:p w14:paraId="49403545" w14:textId="79EABED5" w:rsidR="004E7DD7" w:rsidRPr="0018386D" w:rsidRDefault="004E7DD7" w:rsidP="00DD3106">
            <w:pPr>
              <w:pStyle w:val="TableText"/>
              <w:spacing w:before="40" w:after="40"/>
              <w:rPr>
                <w:rFonts w:eastAsia="Times New Roman" w:cs="Calibri"/>
              </w:rPr>
            </w:pPr>
            <w:r w:rsidRPr="0018386D">
              <w:rPr>
                <w:rFonts w:eastAsia="Times New Roman" w:cs="Calibri"/>
              </w:rPr>
              <w:t>Commercial</w:t>
            </w:r>
          </w:p>
        </w:tc>
        <w:tc>
          <w:tcPr>
            <w:tcW w:w="411" w:type="pct"/>
            <w:shd w:val="clear" w:color="auto" w:fill="auto"/>
            <w:noWrap/>
            <w:hideMark/>
          </w:tcPr>
          <w:p w14:paraId="3F486F49" w14:textId="6D5944FB"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58E2077A" w14:textId="34BD7043" w:rsidR="004E7DD7" w:rsidRPr="0018386D" w:rsidRDefault="004E7DD7" w:rsidP="00DD3106">
            <w:pPr>
              <w:pStyle w:val="TableText"/>
              <w:spacing w:before="40" w:after="40"/>
              <w:jc w:val="right"/>
              <w:rPr>
                <w:rFonts w:eastAsia="Times New Roman" w:cs="Calibri"/>
              </w:rPr>
            </w:pPr>
            <w:r w:rsidRPr="0018386D">
              <w:rPr>
                <w:rFonts w:eastAsia="Times New Roman" w:cs="Calibri"/>
              </w:rPr>
              <w:t>40.45</w:t>
            </w:r>
          </w:p>
        </w:tc>
        <w:tc>
          <w:tcPr>
            <w:tcW w:w="576" w:type="pct"/>
            <w:shd w:val="clear" w:color="auto" w:fill="auto"/>
            <w:noWrap/>
            <w:vAlign w:val="bottom"/>
            <w:hideMark/>
          </w:tcPr>
          <w:p w14:paraId="7245C9DB" w14:textId="62888365" w:rsidR="004E7DD7" w:rsidRPr="0018386D" w:rsidRDefault="004E7DD7" w:rsidP="00DD3106">
            <w:pPr>
              <w:pStyle w:val="TableText"/>
              <w:spacing w:before="40" w:after="40"/>
              <w:jc w:val="right"/>
              <w:rPr>
                <w:rFonts w:eastAsia="Times New Roman" w:cs="Calibri"/>
              </w:rPr>
            </w:pPr>
            <w:r w:rsidRPr="0018386D">
              <w:rPr>
                <w:rFonts w:eastAsia="Times New Roman" w:cs="Calibri"/>
              </w:rPr>
              <w:t>73.02</w:t>
            </w:r>
          </w:p>
        </w:tc>
        <w:tc>
          <w:tcPr>
            <w:tcW w:w="576" w:type="pct"/>
            <w:shd w:val="clear" w:color="auto" w:fill="auto"/>
            <w:noWrap/>
            <w:vAlign w:val="bottom"/>
            <w:hideMark/>
          </w:tcPr>
          <w:p w14:paraId="7A5DBE08" w14:textId="3C14AB12" w:rsidR="004E7DD7" w:rsidRPr="0018386D" w:rsidRDefault="004E7DD7" w:rsidP="00DD3106">
            <w:pPr>
              <w:pStyle w:val="TableText"/>
              <w:spacing w:before="40" w:after="40"/>
              <w:jc w:val="right"/>
              <w:rPr>
                <w:rFonts w:eastAsia="Times New Roman" w:cs="Calibri"/>
              </w:rPr>
            </w:pPr>
            <w:r w:rsidRPr="0018386D">
              <w:rPr>
                <w:rFonts w:eastAsia="Times New Roman" w:cs="Calibri"/>
              </w:rPr>
              <w:t>0.010</w:t>
            </w:r>
          </w:p>
        </w:tc>
        <w:tc>
          <w:tcPr>
            <w:tcW w:w="641" w:type="pct"/>
            <w:shd w:val="clear" w:color="auto" w:fill="auto"/>
            <w:noWrap/>
            <w:vAlign w:val="bottom"/>
            <w:hideMark/>
          </w:tcPr>
          <w:p w14:paraId="79503343" w14:textId="3E4B04B8" w:rsidR="004E7DD7" w:rsidRPr="0018386D" w:rsidRDefault="004E7DD7" w:rsidP="00DD3106">
            <w:pPr>
              <w:pStyle w:val="TableText"/>
              <w:spacing w:before="40" w:after="40"/>
              <w:jc w:val="right"/>
              <w:rPr>
                <w:rFonts w:eastAsia="Times New Roman" w:cs="Calibri"/>
              </w:rPr>
            </w:pPr>
            <w:r w:rsidRPr="0018386D">
              <w:rPr>
                <w:rFonts w:eastAsia="Times New Roman" w:cs="Calibri"/>
              </w:rPr>
              <w:t>0.0006</w:t>
            </w:r>
          </w:p>
        </w:tc>
      </w:tr>
      <w:tr w:rsidR="007C39A9" w:rsidRPr="0018386D" w14:paraId="762466D2" w14:textId="77777777" w:rsidTr="00D84704">
        <w:tc>
          <w:tcPr>
            <w:tcW w:w="1316" w:type="pct"/>
            <w:vMerge w:val="restart"/>
            <w:shd w:val="clear" w:color="auto" w:fill="auto"/>
            <w:noWrap/>
            <w:hideMark/>
          </w:tcPr>
          <w:p w14:paraId="5E6DAC55" w14:textId="3D1D8940" w:rsidR="004E7DD7" w:rsidRPr="0018386D" w:rsidRDefault="004E7DD7" w:rsidP="00DD3106">
            <w:pPr>
              <w:pStyle w:val="TableText"/>
              <w:spacing w:before="40" w:after="40"/>
              <w:rPr>
                <w:rFonts w:eastAsia="Times New Roman" w:cs="Calibri"/>
              </w:rPr>
            </w:pPr>
            <w:r w:rsidRPr="0018386D">
              <w:rPr>
                <w:rFonts w:eastAsia="Times New Roman" w:cs="Calibri"/>
              </w:rPr>
              <w:t>Distributed natural gas</w:t>
            </w:r>
          </w:p>
        </w:tc>
        <w:tc>
          <w:tcPr>
            <w:tcW w:w="658" w:type="pct"/>
            <w:vMerge w:val="restart"/>
            <w:shd w:val="clear" w:color="auto" w:fill="auto"/>
            <w:noWrap/>
            <w:hideMark/>
          </w:tcPr>
          <w:p w14:paraId="30791318" w14:textId="47CEA7FA"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2FDE4DDF" w14:textId="7F71D8B8" w:rsidR="004E7DD7" w:rsidRPr="0018386D" w:rsidRDefault="004E7DD7" w:rsidP="00DD3106">
            <w:pPr>
              <w:pStyle w:val="TableText"/>
              <w:spacing w:before="40" w:after="40"/>
              <w:rPr>
                <w:rFonts w:eastAsia="Times New Roman" w:cs="Calibri"/>
              </w:rPr>
            </w:pPr>
            <w:r w:rsidRPr="0018386D">
              <w:rPr>
                <w:rFonts w:eastAsia="Times New Roman" w:cs="Calibri"/>
              </w:rPr>
              <w:t>kWh</w:t>
            </w:r>
          </w:p>
        </w:tc>
        <w:tc>
          <w:tcPr>
            <w:tcW w:w="822" w:type="pct"/>
            <w:shd w:val="clear" w:color="auto" w:fill="auto"/>
            <w:noWrap/>
            <w:hideMark/>
          </w:tcPr>
          <w:p w14:paraId="7E5E28CB" w14:textId="42A3E6AD" w:rsidR="004E7DD7" w:rsidRPr="0018386D" w:rsidRDefault="004E7DD7" w:rsidP="00DD3106">
            <w:pPr>
              <w:pStyle w:val="TableText"/>
              <w:spacing w:before="40" w:after="40"/>
              <w:jc w:val="right"/>
              <w:rPr>
                <w:rFonts w:eastAsia="Times New Roman" w:cs="Calibri"/>
              </w:rPr>
            </w:pPr>
            <w:r w:rsidRPr="0018386D">
              <w:rPr>
                <w:rFonts w:cs="Calibri"/>
                <w:color w:val="000000" w:themeColor="text1"/>
              </w:rPr>
              <w:t>n/a</w:t>
            </w:r>
          </w:p>
        </w:tc>
        <w:tc>
          <w:tcPr>
            <w:tcW w:w="576" w:type="pct"/>
            <w:shd w:val="clear" w:color="auto" w:fill="auto"/>
            <w:noWrap/>
            <w:vAlign w:val="bottom"/>
            <w:hideMark/>
          </w:tcPr>
          <w:p w14:paraId="7D4FEA34" w14:textId="27CE0DB9" w:rsidR="004E7DD7" w:rsidRPr="0018386D" w:rsidRDefault="004E7DD7" w:rsidP="00DD3106">
            <w:pPr>
              <w:pStyle w:val="TableText"/>
              <w:spacing w:before="40" w:after="40"/>
              <w:jc w:val="right"/>
              <w:rPr>
                <w:rFonts w:eastAsia="Times New Roman" w:cs="Calibri"/>
              </w:rPr>
            </w:pPr>
            <w:r w:rsidRPr="0018386D">
              <w:rPr>
                <w:rFonts w:eastAsia="Times New Roman" w:cs="Calibri"/>
              </w:rPr>
              <w:t>0.19</w:t>
            </w:r>
          </w:p>
        </w:tc>
        <w:tc>
          <w:tcPr>
            <w:tcW w:w="576" w:type="pct"/>
            <w:shd w:val="clear" w:color="auto" w:fill="auto"/>
            <w:noWrap/>
            <w:vAlign w:val="bottom"/>
            <w:hideMark/>
          </w:tcPr>
          <w:p w14:paraId="7DD8D3D5" w14:textId="7F2C337B" w:rsidR="004E7DD7" w:rsidRPr="0018386D" w:rsidRDefault="004E7DD7" w:rsidP="00DD3106">
            <w:pPr>
              <w:pStyle w:val="TableText"/>
              <w:spacing w:before="40" w:after="40"/>
              <w:jc w:val="right"/>
              <w:rPr>
                <w:rFonts w:eastAsia="Times New Roman" w:cs="Calibri"/>
              </w:rPr>
            </w:pPr>
            <w:r w:rsidRPr="0018386D">
              <w:rPr>
                <w:rFonts w:eastAsia="Times New Roman" w:cs="Calibri"/>
              </w:rPr>
              <w:t>0.0000</w:t>
            </w:r>
            <w:r w:rsidR="005B2BFC" w:rsidRPr="0018386D">
              <w:rPr>
                <w:rFonts w:eastAsia="Times New Roman" w:cs="Calibri"/>
              </w:rPr>
              <w:t>03</w:t>
            </w:r>
          </w:p>
        </w:tc>
        <w:tc>
          <w:tcPr>
            <w:tcW w:w="641" w:type="pct"/>
            <w:shd w:val="clear" w:color="auto" w:fill="auto"/>
            <w:noWrap/>
            <w:vAlign w:val="bottom"/>
            <w:hideMark/>
          </w:tcPr>
          <w:p w14:paraId="024397D5" w14:textId="210A8D3D" w:rsidR="004E7DD7" w:rsidRPr="0018386D" w:rsidRDefault="004E7DD7" w:rsidP="00DD3106">
            <w:pPr>
              <w:pStyle w:val="TableText"/>
              <w:spacing w:before="40" w:after="40"/>
              <w:jc w:val="right"/>
              <w:rPr>
                <w:rFonts w:eastAsia="Times New Roman" w:cs="Calibri"/>
              </w:rPr>
            </w:pPr>
            <w:r w:rsidRPr="0018386D">
              <w:rPr>
                <w:rFonts w:eastAsia="Times New Roman" w:cs="Calibri"/>
              </w:rPr>
              <w:t>0.0000003</w:t>
            </w:r>
          </w:p>
        </w:tc>
      </w:tr>
      <w:tr w:rsidR="007C39A9" w:rsidRPr="0018386D" w14:paraId="1520A0FD" w14:textId="77777777" w:rsidTr="00D84704">
        <w:tc>
          <w:tcPr>
            <w:tcW w:w="1316" w:type="pct"/>
            <w:vMerge/>
            <w:hideMark/>
          </w:tcPr>
          <w:p w14:paraId="6D897914" w14:textId="77777777" w:rsidR="004E7DD7" w:rsidRPr="0018386D" w:rsidRDefault="004E7DD7" w:rsidP="00DD3106">
            <w:pPr>
              <w:pStyle w:val="TableText"/>
              <w:spacing w:before="40" w:after="40"/>
              <w:rPr>
                <w:rFonts w:eastAsia="Times New Roman" w:cs="Calibri"/>
                <w:szCs w:val="18"/>
              </w:rPr>
            </w:pPr>
          </w:p>
        </w:tc>
        <w:tc>
          <w:tcPr>
            <w:tcW w:w="658" w:type="pct"/>
            <w:vMerge/>
            <w:hideMark/>
          </w:tcPr>
          <w:p w14:paraId="4DF6EFAC" w14:textId="77777777" w:rsidR="004E7DD7" w:rsidRPr="0018386D" w:rsidRDefault="004E7DD7" w:rsidP="00DD3106">
            <w:pPr>
              <w:pStyle w:val="TableText"/>
              <w:spacing w:before="40" w:after="40"/>
              <w:rPr>
                <w:rFonts w:eastAsia="Times New Roman" w:cs="Calibri"/>
                <w:szCs w:val="18"/>
              </w:rPr>
            </w:pPr>
          </w:p>
        </w:tc>
        <w:tc>
          <w:tcPr>
            <w:tcW w:w="411" w:type="pct"/>
            <w:shd w:val="clear" w:color="auto" w:fill="auto"/>
            <w:noWrap/>
            <w:hideMark/>
          </w:tcPr>
          <w:p w14:paraId="1555799F" w14:textId="1F4EA428" w:rsidR="004E7DD7" w:rsidRPr="0018386D" w:rsidRDefault="004E7DD7" w:rsidP="00DD3106">
            <w:pPr>
              <w:pStyle w:val="TableText"/>
              <w:spacing w:before="40" w:after="40"/>
              <w:rPr>
                <w:rFonts w:eastAsia="Times New Roman" w:cs="Calibri"/>
              </w:rPr>
            </w:pPr>
            <w:r w:rsidRPr="0018386D">
              <w:rPr>
                <w:rFonts w:eastAsia="Times New Roman" w:cs="Calibri"/>
              </w:rPr>
              <w:t>GJ</w:t>
            </w:r>
          </w:p>
        </w:tc>
        <w:tc>
          <w:tcPr>
            <w:tcW w:w="822" w:type="pct"/>
            <w:shd w:val="clear" w:color="auto" w:fill="auto"/>
            <w:noWrap/>
            <w:hideMark/>
          </w:tcPr>
          <w:p w14:paraId="0B277DF7" w14:textId="3780E79D" w:rsidR="004E7DD7" w:rsidRPr="0018386D" w:rsidRDefault="004E7DD7" w:rsidP="00DD3106">
            <w:pPr>
              <w:pStyle w:val="TableText"/>
              <w:spacing w:before="40" w:after="40"/>
              <w:jc w:val="right"/>
              <w:rPr>
                <w:rFonts w:eastAsia="Times New Roman" w:cs="Calibri"/>
              </w:rPr>
            </w:pPr>
            <w:r w:rsidRPr="0018386D">
              <w:rPr>
                <w:rFonts w:cs="Calibri"/>
                <w:color w:val="000000" w:themeColor="text1"/>
              </w:rPr>
              <w:t>n/a</w:t>
            </w:r>
          </w:p>
        </w:tc>
        <w:tc>
          <w:tcPr>
            <w:tcW w:w="576" w:type="pct"/>
            <w:shd w:val="clear" w:color="auto" w:fill="auto"/>
            <w:noWrap/>
            <w:vAlign w:val="bottom"/>
            <w:hideMark/>
          </w:tcPr>
          <w:p w14:paraId="05181EDD" w14:textId="5DBFE314" w:rsidR="004E7DD7" w:rsidRPr="0018386D" w:rsidRDefault="004E7DD7" w:rsidP="00DD3106">
            <w:pPr>
              <w:pStyle w:val="TableText"/>
              <w:spacing w:before="40" w:after="40"/>
              <w:jc w:val="right"/>
              <w:rPr>
                <w:rFonts w:eastAsia="Times New Roman" w:cs="Calibri"/>
              </w:rPr>
            </w:pPr>
            <w:r w:rsidRPr="0018386D">
              <w:rPr>
                <w:rFonts w:eastAsia="Times New Roman" w:cs="Calibri"/>
              </w:rPr>
              <w:t>53.61</w:t>
            </w:r>
          </w:p>
        </w:tc>
        <w:tc>
          <w:tcPr>
            <w:tcW w:w="576" w:type="pct"/>
            <w:shd w:val="clear" w:color="auto" w:fill="auto"/>
            <w:noWrap/>
            <w:vAlign w:val="bottom"/>
            <w:hideMark/>
          </w:tcPr>
          <w:p w14:paraId="0964A542" w14:textId="6E68608C" w:rsidR="004E7DD7" w:rsidRPr="0018386D" w:rsidRDefault="004E7DD7" w:rsidP="00DD3106">
            <w:pPr>
              <w:pStyle w:val="TableText"/>
              <w:spacing w:before="40" w:after="40"/>
              <w:jc w:val="right"/>
              <w:rPr>
                <w:rFonts w:eastAsia="Times New Roman" w:cs="Calibri"/>
              </w:rPr>
            </w:pPr>
            <w:r w:rsidRPr="0018386D">
              <w:rPr>
                <w:rFonts w:eastAsia="Times New Roman" w:cs="Calibri"/>
              </w:rPr>
              <w:t>0.00</w:t>
            </w:r>
            <w:r w:rsidR="00256541" w:rsidRPr="0018386D">
              <w:rPr>
                <w:rFonts w:eastAsia="Times New Roman" w:cs="Calibri"/>
              </w:rPr>
              <w:t>090</w:t>
            </w:r>
          </w:p>
        </w:tc>
        <w:tc>
          <w:tcPr>
            <w:tcW w:w="641" w:type="pct"/>
            <w:shd w:val="clear" w:color="auto" w:fill="auto"/>
            <w:noWrap/>
            <w:vAlign w:val="bottom"/>
            <w:hideMark/>
          </w:tcPr>
          <w:p w14:paraId="75248574" w14:textId="128087BA" w:rsidR="004E7DD7" w:rsidRPr="0018386D" w:rsidRDefault="004E7DD7" w:rsidP="00DD3106">
            <w:pPr>
              <w:pStyle w:val="TableText"/>
              <w:spacing w:before="40" w:after="40"/>
              <w:jc w:val="right"/>
              <w:rPr>
                <w:rFonts w:eastAsia="Times New Roman" w:cs="Calibri"/>
              </w:rPr>
            </w:pPr>
            <w:r w:rsidRPr="0018386D">
              <w:rPr>
                <w:rFonts w:eastAsia="Times New Roman" w:cs="Calibri"/>
              </w:rPr>
              <w:t>0.00009</w:t>
            </w:r>
          </w:p>
        </w:tc>
      </w:tr>
      <w:tr w:rsidR="007C39A9" w:rsidRPr="0018386D" w14:paraId="15C2FBE4" w14:textId="77777777" w:rsidTr="00D84704">
        <w:tc>
          <w:tcPr>
            <w:tcW w:w="1316" w:type="pct"/>
            <w:shd w:val="clear" w:color="auto" w:fill="auto"/>
            <w:noWrap/>
            <w:hideMark/>
          </w:tcPr>
          <w:p w14:paraId="1FCCC87A" w14:textId="2538413F" w:rsidR="004E7DD7" w:rsidRPr="0018386D" w:rsidRDefault="004E7DD7" w:rsidP="00DD3106">
            <w:pPr>
              <w:pStyle w:val="TableText"/>
              <w:spacing w:before="40" w:after="40"/>
              <w:rPr>
                <w:rFonts w:eastAsia="Times New Roman" w:cs="Calibri"/>
              </w:rPr>
            </w:pPr>
            <w:r w:rsidRPr="0018386D">
              <w:rPr>
                <w:rFonts w:eastAsia="Times New Roman" w:cs="Calibri"/>
              </w:rPr>
              <w:t>Coal – bituminous</w:t>
            </w:r>
          </w:p>
        </w:tc>
        <w:tc>
          <w:tcPr>
            <w:tcW w:w="658" w:type="pct"/>
            <w:shd w:val="clear" w:color="auto" w:fill="auto"/>
            <w:noWrap/>
            <w:hideMark/>
          </w:tcPr>
          <w:p w14:paraId="0E33BD80" w14:textId="7C2CF860"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71F98E6B" w14:textId="3EC543E4"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0DD9A48C" w14:textId="606D46CC" w:rsidR="004E7DD7" w:rsidRPr="0018386D" w:rsidRDefault="004E7DD7" w:rsidP="00DD3106">
            <w:pPr>
              <w:pStyle w:val="TableText"/>
              <w:spacing w:before="40" w:after="40"/>
              <w:jc w:val="right"/>
              <w:rPr>
                <w:rFonts w:eastAsia="Times New Roman" w:cs="Calibri"/>
              </w:rPr>
            </w:pPr>
            <w:r w:rsidRPr="0018386D">
              <w:rPr>
                <w:rFonts w:eastAsia="Times New Roman" w:cs="Calibri"/>
              </w:rPr>
              <w:t>29.59</w:t>
            </w:r>
          </w:p>
        </w:tc>
        <w:tc>
          <w:tcPr>
            <w:tcW w:w="576" w:type="pct"/>
            <w:shd w:val="clear" w:color="auto" w:fill="auto"/>
            <w:noWrap/>
            <w:vAlign w:val="bottom"/>
            <w:hideMark/>
          </w:tcPr>
          <w:p w14:paraId="718A4421" w14:textId="0A9A96B3" w:rsidR="004E7DD7" w:rsidRPr="0018386D" w:rsidRDefault="004E7DD7" w:rsidP="00DD3106">
            <w:pPr>
              <w:pStyle w:val="TableText"/>
              <w:spacing w:before="40" w:after="40"/>
              <w:jc w:val="right"/>
              <w:rPr>
                <w:rFonts w:eastAsia="Times New Roman" w:cs="Calibri"/>
              </w:rPr>
            </w:pPr>
            <w:r w:rsidRPr="0018386D">
              <w:rPr>
                <w:rFonts w:eastAsia="Times New Roman" w:cs="Calibri"/>
              </w:rPr>
              <w:t>89.13</w:t>
            </w:r>
          </w:p>
        </w:tc>
        <w:tc>
          <w:tcPr>
            <w:tcW w:w="576" w:type="pct"/>
            <w:shd w:val="clear" w:color="auto" w:fill="auto"/>
            <w:noWrap/>
            <w:vAlign w:val="bottom"/>
            <w:hideMark/>
          </w:tcPr>
          <w:p w14:paraId="6064ABCF" w14:textId="3588EE82" w:rsidR="004E7DD7" w:rsidRPr="0018386D" w:rsidRDefault="004E7DD7" w:rsidP="00DD3106">
            <w:pPr>
              <w:pStyle w:val="TableText"/>
              <w:spacing w:before="40" w:after="40"/>
              <w:jc w:val="right"/>
              <w:rPr>
                <w:rFonts w:eastAsia="Times New Roman" w:cs="Calibri"/>
              </w:rPr>
            </w:pPr>
            <w:r w:rsidRPr="0018386D">
              <w:rPr>
                <w:rFonts w:eastAsia="Times New Roman" w:cs="Calibri"/>
              </w:rPr>
              <w:t>0.0095</w:t>
            </w:r>
          </w:p>
        </w:tc>
        <w:tc>
          <w:tcPr>
            <w:tcW w:w="641" w:type="pct"/>
            <w:shd w:val="clear" w:color="auto" w:fill="auto"/>
            <w:noWrap/>
            <w:vAlign w:val="bottom"/>
            <w:hideMark/>
          </w:tcPr>
          <w:p w14:paraId="11200DED" w14:textId="74A23CF9" w:rsidR="004E7DD7" w:rsidRPr="0018386D" w:rsidRDefault="004E7DD7" w:rsidP="00DD3106">
            <w:pPr>
              <w:pStyle w:val="TableText"/>
              <w:spacing w:before="40" w:after="40"/>
              <w:jc w:val="right"/>
              <w:rPr>
                <w:rFonts w:eastAsia="Times New Roman" w:cs="Calibri"/>
              </w:rPr>
            </w:pPr>
            <w:r w:rsidRPr="0018386D">
              <w:rPr>
                <w:rFonts w:eastAsia="Times New Roman" w:cs="Calibri"/>
              </w:rPr>
              <w:t>0.001</w:t>
            </w:r>
          </w:p>
        </w:tc>
      </w:tr>
      <w:tr w:rsidR="007C39A9" w:rsidRPr="0018386D" w14:paraId="6786A458" w14:textId="77777777" w:rsidTr="00D84704">
        <w:tc>
          <w:tcPr>
            <w:tcW w:w="1316" w:type="pct"/>
            <w:shd w:val="clear" w:color="auto" w:fill="auto"/>
            <w:noWrap/>
            <w:hideMark/>
          </w:tcPr>
          <w:p w14:paraId="7446158B" w14:textId="12872ABC" w:rsidR="004E7DD7" w:rsidRPr="0018386D" w:rsidRDefault="004E7DD7" w:rsidP="00DD3106">
            <w:pPr>
              <w:pStyle w:val="TableText"/>
              <w:spacing w:before="40" w:after="40"/>
              <w:rPr>
                <w:rFonts w:eastAsia="Times New Roman" w:cs="Calibri"/>
              </w:rPr>
            </w:pPr>
            <w:r w:rsidRPr="0018386D">
              <w:rPr>
                <w:rFonts w:eastAsia="Times New Roman" w:cs="Calibri"/>
              </w:rPr>
              <w:t>Coal – sub-bituminous</w:t>
            </w:r>
          </w:p>
        </w:tc>
        <w:tc>
          <w:tcPr>
            <w:tcW w:w="658" w:type="pct"/>
            <w:shd w:val="clear" w:color="auto" w:fill="auto"/>
            <w:noWrap/>
            <w:hideMark/>
          </w:tcPr>
          <w:p w14:paraId="3FB56CC8" w14:textId="34AA2CD6"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2E1B1517" w14:textId="354CBE24"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6004E46D" w14:textId="781FA772" w:rsidR="004E7DD7" w:rsidRPr="0018386D" w:rsidRDefault="004E7DD7" w:rsidP="00DD3106">
            <w:pPr>
              <w:pStyle w:val="TableText"/>
              <w:spacing w:before="40" w:after="40"/>
              <w:jc w:val="right"/>
              <w:rPr>
                <w:rFonts w:eastAsia="Times New Roman" w:cs="Calibri"/>
              </w:rPr>
            </w:pPr>
            <w:r w:rsidRPr="0018386D">
              <w:rPr>
                <w:rFonts w:eastAsia="Times New Roman" w:cs="Calibri"/>
              </w:rPr>
              <w:t>21.64</w:t>
            </w:r>
          </w:p>
        </w:tc>
        <w:tc>
          <w:tcPr>
            <w:tcW w:w="576" w:type="pct"/>
            <w:shd w:val="clear" w:color="auto" w:fill="auto"/>
            <w:noWrap/>
            <w:vAlign w:val="bottom"/>
            <w:hideMark/>
          </w:tcPr>
          <w:p w14:paraId="36BC17F8" w14:textId="30BD6888" w:rsidR="004E7DD7" w:rsidRPr="0018386D" w:rsidRDefault="004E7DD7" w:rsidP="00DD3106">
            <w:pPr>
              <w:pStyle w:val="TableText"/>
              <w:spacing w:before="40" w:after="40"/>
              <w:jc w:val="right"/>
              <w:rPr>
                <w:rFonts w:eastAsia="Times New Roman" w:cs="Calibri"/>
              </w:rPr>
            </w:pPr>
            <w:r w:rsidRPr="0018386D">
              <w:rPr>
                <w:rFonts w:eastAsia="Times New Roman" w:cs="Calibri"/>
              </w:rPr>
              <w:t>91.99</w:t>
            </w:r>
          </w:p>
        </w:tc>
        <w:tc>
          <w:tcPr>
            <w:tcW w:w="576" w:type="pct"/>
            <w:shd w:val="clear" w:color="auto" w:fill="auto"/>
            <w:noWrap/>
            <w:vAlign w:val="bottom"/>
            <w:hideMark/>
          </w:tcPr>
          <w:p w14:paraId="68F04DEC" w14:textId="14CE7791" w:rsidR="004E7DD7" w:rsidRPr="0018386D" w:rsidRDefault="004E7DD7" w:rsidP="00DD3106">
            <w:pPr>
              <w:pStyle w:val="TableText"/>
              <w:spacing w:before="40" w:after="40"/>
              <w:jc w:val="right"/>
              <w:rPr>
                <w:rFonts w:eastAsia="Times New Roman" w:cs="Calibri"/>
              </w:rPr>
            </w:pPr>
            <w:r w:rsidRPr="0018386D">
              <w:rPr>
                <w:rFonts w:eastAsia="Times New Roman" w:cs="Calibri"/>
              </w:rPr>
              <w:t>0.0095</w:t>
            </w:r>
          </w:p>
        </w:tc>
        <w:tc>
          <w:tcPr>
            <w:tcW w:w="641" w:type="pct"/>
            <w:shd w:val="clear" w:color="auto" w:fill="auto"/>
            <w:noWrap/>
            <w:vAlign w:val="bottom"/>
            <w:hideMark/>
          </w:tcPr>
          <w:p w14:paraId="65EA45DA" w14:textId="1F609488" w:rsidR="004E7DD7" w:rsidRPr="0018386D" w:rsidRDefault="004E7DD7" w:rsidP="00DD3106">
            <w:pPr>
              <w:pStyle w:val="TableText"/>
              <w:spacing w:before="40" w:after="40"/>
              <w:jc w:val="right"/>
              <w:rPr>
                <w:rFonts w:eastAsia="Times New Roman" w:cs="Calibri"/>
              </w:rPr>
            </w:pPr>
            <w:r w:rsidRPr="0018386D">
              <w:rPr>
                <w:rFonts w:eastAsia="Times New Roman" w:cs="Calibri"/>
              </w:rPr>
              <w:t>0.001</w:t>
            </w:r>
          </w:p>
        </w:tc>
      </w:tr>
      <w:tr w:rsidR="007C39A9" w:rsidRPr="0018386D" w14:paraId="05B72B79" w14:textId="77777777" w:rsidTr="00D84704">
        <w:tc>
          <w:tcPr>
            <w:tcW w:w="1316" w:type="pct"/>
            <w:shd w:val="clear" w:color="auto" w:fill="auto"/>
            <w:noWrap/>
            <w:hideMark/>
          </w:tcPr>
          <w:p w14:paraId="335BB03E" w14:textId="3F5F3871" w:rsidR="004E7DD7" w:rsidRPr="0018386D" w:rsidRDefault="004E7DD7" w:rsidP="00DD3106">
            <w:pPr>
              <w:pStyle w:val="TableText"/>
              <w:spacing w:before="40" w:after="40"/>
              <w:rPr>
                <w:rFonts w:eastAsia="Times New Roman" w:cs="Calibri"/>
              </w:rPr>
            </w:pPr>
            <w:r w:rsidRPr="0018386D">
              <w:rPr>
                <w:rFonts w:eastAsia="Times New Roman" w:cs="Calibri"/>
              </w:rPr>
              <w:t>Coal – lignite</w:t>
            </w:r>
          </w:p>
        </w:tc>
        <w:tc>
          <w:tcPr>
            <w:tcW w:w="658" w:type="pct"/>
            <w:shd w:val="clear" w:color="auto" w:fill="auto"/>
            <w:noWrap/>
            <w:hideMark/>
          </w:tcPr>
          <w:p w14:paraId="5F85000E" w14:textId="34E8B23A"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0C600882" w14:textId="48D05DFD"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5B331A86" w14:textId="691EEFCC" w:rsidR="004E7DD7" w:rsidRPr="0018386D" w:rsidRDefault="004E7DD7" w:rsidP="00DD3106">
            <w:pPr>
              <w:pStyle w:val="TableText"/>
              <w:spacing w:before="40" w:after="40"/>
              <w:jc w:val="right"/>
              <w:rPr>
                <w:rFonts w:eastAsia="Times New Roman" w:cs="Calibri"/>
              </w:rPr>
            </w:pPr>
            <w:r w:rsidRPr="0018386D">
              <w:rPr>
                <w:rFonts w:eastAsia="Times New Roman" w:cs="Calibri"/>
              </w:rPr>
              <w:t>15.26</w:t>
            </w:r>
          </w:p>
        </w:tc>
        <w:tc>
          <w:tcPr>
            <w:tcW w:w="576" w:type="pct"/>
            <w:shd w:val="clear" w:color="auto" w:fill="auto"/>
            <w:noWrap/>
            <w:vAlign w:val="bottom"/>
            <w:hideMark/>
          </w:tcPr>
          <w:p w14:paraId="528D6277" w14:textId="223E80C5" w:rsidR="004E7DD7" w:rsidRPr="0018386D" w:rsidRDefault="004E7DD7" w:rsidP="00DD3106">
            <w:pPr>
              <w:pStyle w:val="TableText"/>
              <w:spacing w:before="40" w:after="40"/>
              <w:jc w:val="right"/>
              <w:rPr>
                <w:rFonts w:eastAsia="Times New Roman" w:cs="Calibri"/>
              </w:rPr>
            </w:pPr>
            <w:r w:rsidRPr="0018386D">
              <w:rPr>
                <w:rFonts w:eastAsia="Times New Roman" w:cs="Calibri"/>
              </w:rPr>
              <w:t>93.11</w:t>
            </w:r>
          </w:p>
        </w:tc>
        <w:tc>
          <w:tcPr>
            <w:tcW w:w="576" w:type="pct"/>
            <w:shd w:val="clear" w:color="auto" w:fill="auto"/>
            <w:noWrap/>
            <w:vAlign w:val="bottom"/>
            <w:hideMark/>
          </w:tcPr>
          <w:p w14:paraId="15075CA1" w14:textId="4A4D348A" w:rsidR="004E7DD7" w:rsidRPr="0018386D" w:rsidRDefault="004E7DD7" w:rsidP="00DD3106">
            <w:pPr>
              <w:pStyle w:val="TableText"/>
              <w:spacing w:before="40" w:after="40"/>
              <w:jc w:val="right"/>
              <w:rPr>
                <w:rFonts w:eastAsia="Times New Roman" w:cs="Calibri"/>
              </w:rPr>
            </w:pPr>
            <w:r w:rsidRPr="0018386D">
              <w:rPr>
                <w:rFonts w:eastAsia="Times New Roman" w:cs="Calibri"/>
              </w:rPr>
              <w:t>0.0095</w:t>
            </w:r>
          </w:p>
        </w:tc>
        <w:tc>
          <w:tcPr>
            <w:tcW w:w="641" w:type="pct"/>
            <w:shd w:val="clear" w:color="auto" w:fill="auto"/>
            <w:noWrap/>
            <w:vAlign w:val="bottom"/>
            <w:hideMark/>
          </w:tcPr>
          <w:p w14:paraId="56794775" w14:textId="148868D2" w:rsidR="004E7DD7" w:rsidRPr="0018386D" w:rsidRDefault="004E7DD7" w:rsidP="00DD3106">
            <w:pPr>
              <w:pStyle w:val="TableText"/>
              <w:spacing w:before="40" w:after="40"/>
              <w:jc w:val="right"/>
              <w:rPr>
                <w:rFonts w:eastAsia="Times New Roman" w:cs="Calibri"/>
              </w:rPr>
            </w:pPr>
            <w:r w:rsidRPr="0018386D">
              <w:rPr>
                <w:rFonts w:eastAsia="Times New Roman" w:cs="Calibri"/>
              </w:rPr>
              <w:t>0.001</w:t>
            </w:r>
          </w:p>
        </w:tc>
      </w:tr>
      <w:tr w:rsidR="007C39A9" w:rsidRPr="0018386D" w14:paraId="0D4C81B7" w14:textId="77777777" w:rsidTr="00D84704">
        <w:tc>
          <w:tcPr>
            <w:tcW w:w="1316" w:type="pct"/>
            <w:shd w:val="clear" w:color="auto" w:fill="auto"/>
            <w:noWrap/>
            <w:hideMark/>
          </w:tcPr>
          <w:p w14:paraId="5F0B7DDF" w14:textId="7348C595" w:rsidR="004E7DD7" w:rsidRPr="0018386D" w:rsidRDefault="004E7DD7" w:rsidP="00DD3106">
            <w:pPr>
              <w:pStyle w:val="TableText"/>
              <w:spacing w:before="40" w:after="40"/>
              <w:rPr>
                <w:rFonts w:eastAsia="Times New Roman" w:cs="Calibri"/>
              </w:rPr>
            </w:pPr>
            <w:r w:rsidRPr="0018386D">
              <w:rPr>
                <w:rFonts w:eastAsia="Times New Roman" w:cs="Calibri"/>
              </w:rPr>
              <w:t>Diesel</w:t>
            </w:r>
          </w:p>
        </w:tc>
        <w:tc>
          <w:tcPr>
            <w:tcW w:w="658" w:type="pct"/>
            <w:shd w:val="clear" w:color="auto" w:fill="auto"/>
            <w:noWrap/>
            <w:hideMark/>
          </w:tcPr>
          <w:p w14:paraId="56E8C7B3" w14:textId="6A62E902"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3B420940" w14:textId="4A5D4744"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6F69B350" w14:textId="5C27387A" w:rsidR="004E7DD7" w:rsidRPr="0018386D" w:rsidRDefault="004E7DD7" w:rsidP="00DD3106">
            <w:pPr>
              <w:pStyle w:val="TableText"/>
              <w:spacing w:before="40" w:after="40"/>
              <w:jc w:val="right"/>
              <w:rPr>
                <w:rFonts w:eastAsia="Times New Roman" w:cs="Calibri"/>
              </w:rPr>
            </w:pPr>
            <w:r w:rsidRPr="0018386D">
              <w:rPr>
                <w:rFonts w:eastAsia="Times New Roman" w:cs="Calibri"/>
              </w:rPr>
              <w:t>38.49</w:t>
            </w:r>
          </w:p>
        </w:tc>
        <w:tc>
          <w:tcPr>
            <w:tcW w:w="576" w:type="pct"/>
            <w:shd w:val="clear" w:color="auto" w:fill="auto"/>
            <w:noWrap/>
            <w:vAlign w:val="bottom"/>
            <w:hideMark/>
          </w:tcPr>
          <w:p w14:paraId="451106D0" w14:textId="67AE9282" w:rsidR="004E7DD7" w:rsidRPr="0018386D" w:rsidRDefault="004E7DD7" w:rsidP="00DD3106">
            <w:pPr>
              <w:pStyle w:val="TableText"/>
              <w:spacing w:before="40" w:after="40"/>
              <w:jc w:val="right"/>
              <w:rPr>
                <w:rFonts w:eastAsia="Times New Roman" w:cs="Calibri"/>
              </w:rPr>
            </w:pPr>
            <w:r w:rsidRPr="0018386D">
              <w:rPr>
                <w:rFonts w:eastAsia="Times New Roman" w:cs="Calibri"/>
              </w:rPr>
              <w:t>69.45</w:t>
            </w:r>
          </w:p>
        </w:tc>
        <w:tc>
          <w:tcPr>
            <w:tcW w:w="576" w:type="pct"/>
            <w:shd w:val="clear" w:color="auto" w:fill="auto"/>
            <w:noWrap/>
            <w:vAlign w:val="bottom"/>
            <w:hideMark/>
          </w:tcPr>
          <w:p w14:paraId="393F320E" w14:textId="16B357C1" w:rsidR="004E7DD7" w:rsidRPr="0018386D" w:rsidRDefault="004E7DD7" w:rsidP="00DD3106">
            <w:pPr>
              <w:pStyle w:val="TableText"/>
              <w:spacing w:before="40" w:after="40"/>
              <w:jc w:val="right"/>
              <w:rPr>
                <w:rFonts w:eastAsia="Times New Roman" w:cs="Calibri"/>
              </w:rPr>
            </w:pPr>
            <w:r w:rsidRPr="0018386D">
              <w:rPr>
                <w:rFonts w:eastAsia="Times New Roman" w:cs="Calibri"/>
              </w:rPr>
              <w:t>0.0029</w:t>
            </w:r>
          </w:p>
        </w:tc>
        <w:tc>
          <w:tcPr>
            <w:tcW w:w="641" w:type="pct"/>
            <w:shd w:val="clear" w:color="auto" w:fill="auto"/>
            <w:noWrap/>
            <w:vAlign w:val="bottom"/>
            <w:hideMark/>
          </w:tcPr>
          <w:p w14:paraId="48700A6B" w14:textId="4DC3580A" w:rsidR="004E7DD7" w:rsidRPr="0018386D" w:rsidRDefault="004E7DD7" w:rsidP="00DD3106">
            <w:pPr>
              <w:pStyle w:val="TableText"/>
              <w:spacing w:before="40" w:after="40"/>
              <w:jc w:val="right"/>
              <w:rPr>
                <w:rFonts w:eastAsia="Times New Roman" w:cs="Calibri"/>
              </w:rPr>
            </w:pPr>
            <w:r w:rsidRPr="0018386D">
              <w:rPr>
                <w:rFonts w:eastAsia="Times New Roman" w:cs="Calibri"/>
              </w:rPr>
              <w:t>0.0006</w:t>
            </w:r>
          </w:p>
        </w:tc>
      </w:tr>
      <w:tr w:rsidR="007C39A9" w:rsidRPr="0018386D" w14:paraId="39E8C2D8" w14:textId="77777777" w:rsidTr="00D84704">
        <w:tc>
          <w:tcPr>
            <w:tcW w:w="1316" w:type="pct"/>
            <w:shd w:val="clear" w:color="auto" w:fill="auto"/>
            <w:noWrap/>
            <w:hideMark/>
          </w:tcPr>
          <w:p w14:paraId="4B1910F6" w14:textId="7F1CDE0A" w:rsidR="004E7DD7" w:rsidRPr="0018386D" w:rsidRDefault="004E7DD7" w:rsidP="00DD3106">
            <w:pPr>
              <w:pStyle w:val="TableText"/>
              <w:spacing w:before="40" w:after="40"/>
              <w:rPr>
                <w:rFonts w:eastAsia="Times New Roman" w:cs="Calibri"/>
              </w:rPr>
            </w:pPr>
            <w:r w:rsidRPr="0018386D">
              <w:rPr>
                <w:rFonts w:eastAsia="Times New Roman" w:cs="Calibri"/>
              </w:rPr>
              <w:t>LPG</w:t>
            </w:r>
          </w:p>
        </w:tc>
        <w:tc>
          <w:tcPr>
            <w:tcW w:w="658" w:type="pct"/>
            <w:shd w:val="clear" w:color="auto" w:fill="auto"/>
            <w:noWrap/>
            <w:hideMark/>
          </w:tcPr>
          <w:p w14:paraId="1BAC9226" w14:textId="54EF9F18"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466F7B0B" w14:textId="1A6EE20C"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hideMark/>
          </w:tcPr>
          <w:p w14:paraId="3DD03A86" w14:textId="532E8D29" w:rsidR="004E7DD7" w:rsidRPr="0018386D" w:rsidRDefault="004E7DD7" w:rsidP="00DD3106">
            <w:pPr>
              <w:pStyle w:val="TableText"/>
              <w:spacing w:before="40" w:after="40"/>
              <w:jc w:val="right"/>
              <w:rPr>
                <w:rFonts w:eastAsia="Times New Roman" w:cs="Calibri"/>
              </w:rPr>
            </w:pPr>
            <w:r w:rsidRPr="0018386D">
              <w:rPr>
                <w:rFonts w:eastAsia="Times New Roman" w:cs="Calibri"/>
              </w:rPr>
              <w:t>50.00</w:t>
            </w:r>
          </w:p>
        </w:tc>
        <w:tc>
          <w:tcPr>
            <w:tcW w:w="576" w:type="pct"/>
            <w:shd w:val="clear" w:color="auto" w:fill="auto"/>
            <w:noWrap/>
            <w:vAlign w:val="bottom"/>
            <w:hideMark/>
          </w:tcPr>
          <w:p w14:paraId="7862053C" w14:textId="2F377E89" w:rsidR="004E7DD7" w:rsidRPr="0018386D" w:rsidRDefault="004E7DD7" w:rsidP="00DD3106">
            <w:pPr>
              <w:pStyle w:val="TableText"/>
              <w:spacing w:before="40" w:after="40"/>
              <w:jc w:val="right"/>
              <w:rPr>
                <w:rFonts w:eastAsia="Times New Roman" w:cs="Calibri"/>
              </w:rPr>
            </w:pPr>
            <w:r w:rsidRPr="0018386D">
              <w:rPr>
                <w:rFonts w:eastAsia="Times New Roman" w:cs="Calibri"/>
              </w:rPr>
              <w:t>59.27</w:t>
            </w:r>
          </w:p>
        </w:tc>
        <w:tc>
          <w:tcPr>
            <w:tcW w:w="576" w:type="pct"/>
            <w:shd w:val="clear" w:color="auto" w:fill="auto"/>
            <w:noWrap/>
            <w:vAlign w:val="bottom"/>
            <w:hideMark/>
          </w:tcPr>
          <w:p w14:paraId="636FD7D7" w14:textId="7A5244FB" w:rsidR="004E7DD7" w:rsidRPr="0018386D" w:rsidRDefault="004E7DD7" w:rsidP="00DD3106">
            <w:pPr>
              <w:pStyle w:val="TableText"/>
              <w:spacing w:before="40" w:after="40"/>
              <w:jc w:val="right"/>
              <w:rPr>
                <w:rFonts w:eastAsia="Times New Roman" w:cs="Calibri"/>
              </w:rPr>
            </w:pPr>
            <w:r w:rsidRPr="0018386D">
              <w:rPr>
                <w:rFonts w:eastAsia="Times New Roman" w:cs="Calibri"/>
              </w:rPr>
              <w:t>0.001</w:t>
            </w:r>
          </w:p>
        </w:tc>
        <w:tc>
          <w:tcPr>
            <w:tcW w:w="641" w:type="pct"/>
            <w:shd w:val="clear" w:color="auto" w:fill="auto"/>
            <w:noWrap/>
            <w:vAlign w:val="bottom"/>
            <w:hideMark/>
          </w:tcPr>
          <w:p w14:paraId="54B8357C" w14:textId="7F539A44" w:rsidR="004E7DD7" w:rsidRPr="0018386D" w:rsidRDefault="004E7DD7" w:rsidP="00DD3106">
            <w:pPr>
              <w:pStyle w:val="TableText"/>
              <w:spacing w:before="40" w:after="40"/>
              <w:jc w:val="right"/>
              <w:rPr>
                <w:rFonts w:eastAsia="Times New Roman" w:cs="Calibri"/>
              </w:rPr>
            </w:pPr>
            <w:r w:rsidRPr="0018386D">
              <w:rPr>
                <w:rFonts w:eastAsia="Times New Roman" w:cs="Calibri"/>
              </w:rPr>
              <w:t>0.0001</w:t>
            </w:r>
          </w:p>
        </w:tc>
      </w:tr>
      <w:tr w:rsidR="007C39A9" w:rsidRPr="0018386D" w14:paraId="64830509" w14:textId="77777777" w:rsidTr="00D84704">
        <w:tc>
          <w:tcPr>
            <w:tcW w:w="1316" w:type="pct"/>
            <w:shd w:val="clear" w:color="auto" w:fill="auto"/>
            <w:noWrap/>
            <w:hideMark/>
          </w:tcPr>
          <w:p w14:paraId="3187A86B" w14:textId="7C7EFFAD" w:rsidR="004E7DD7" w:rsidRPr="0018386D" w:rsidRDefault="004E7DD7" w:rsidP="00DD3106">
            <w:pPr>
              <w:pStyle w:val="TableText"/>
              <w:spacing w:before="40" w:after="40"/>
              <w:rPr>
                <w:rFonts w:eastAsia="Times New Roman" w:cs="Calibri"/>
              </w:rPr>
            </w:pPr>
            <w:r w:rsidRPr="0018386D">
              <w:rPr>
                <w:rFonts w:eastAsia="Times New Roman" w:cs="Calibri"/>
              </w:rPr>
              <w:t>Heavy fuel oil</w:t>
            </w:r>
          </w:p>
        </w:tc>
        <w:tc>
          <w:tcPr>
            <w:tcW w:w="658" w:type="pct"/>
            <w:shd w:val="clear" w:color="auto" w:fill="auto"/>
            <w:noWrap/>
            <w:hideMark/>
          </w:tcPr>
          <w:p w14:paraId="3C54E371" w14:textId="00ADC7D1"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1FA64656" w14:textId="5242596C"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48E51461" w14:textId="7EFE2A87" w:rsidR="004E7DD7" w:rsidRPr="0018386D" w:rsidRDefault="004E7DD7" w:rsidP="00DD3106">
            <w:pPr>
              <w:pStyle w:val="TableText"/>
              <w:spacing w:before="40" w:after="40"/>
              <w:jc w:val="right"/>
              <w:rPr>
                <w:rFonts w:eastAsia="Times New Roman" w:cs="Calibri"/>
              </w:rPr>
            </w:pPr>
            <w:r w:rsidRPr="0018386D">
              <w:rPr>
                <w:rFonts w:eastAsia="Times New Roman" w:cs="Calibri"/>
              </w:rPr>
              <w:t>40.74</w:t>
            </w:r>
          </w:p>
        </w:tc>
        <w:tc>
          <w:tcPr>
            <w:tcW w:w="576" w:type="pct"/>
            <w:shd w:val="clear" w:color="auto" w:fill="auto"/>
            <w:noWrap/>
            <w:vAlign w:val="bottom"/>
            <w:hideMark/>
          </w:tcPr>
          <w:p w14:paraId="174B9D7D" w14:textId="77B2784C" w:rsidR="004E7DD7" w:rsidRPr="0018386D" w:rsidRDefault="004E7DD7" w:rsidP="00DD3106">
            <w:pPr>
              <w:pStyle w:val="TableText"/>
              <w:spacing w:before="40" w:after="40"/>
              <w:jc w:val="right"/>
              <w:rPr>
                <w:rFonts w:eastAsia="Times New Roman" w:cs="Calibri"/>
              </w:rPr>
            </w:pPr>
            <w:r w:rsidRPr="0018386D">
              <w:rPr>
                <w:rFonts w:eastAsia="Times New Roman" w:cs="Calibri"/>
              </w:rPr>
              <w:t>73.33</w:t>
            </w:r>
          </w:p>
        </w:tc>
        <w:tc>
          <w:tcPr>
            <w:tcW w:w="576" w:type="pct"/>
            <w:shd w:val="clear" w:color="auto" w:fill="auto"/>
            <w:noWrap/>
            <w:vAlign w:val="bottom"/>
            <w:hideMark/>
          </w:tcPr>
          <w:p w14:paraId="4AE58C7E" w14:textId="271EDE3D" w:rsidR="004E7DD7" w:rsidRPr="0018386D" w:rsidRDefault="004E7DD7" w:rsidP="00DD3106">
            <w:pPr>
              <w:pStyle w:val="TableText"/>
              <w:spacing w:before="40" w:after="40"/>
              <w:jc w:val="right"/>
              <w:rPr>
                <w:rFonts w:eastAsia="Times New Roman" w:cs="Calibri"/>
              </w:rPr>
            </w:pPr>
            <w:r w:rsidRPr="0018386D">
              <w:rPr>
                <w:rFonts w:eastAsia="Times New Roman" w:cs="Calibri"/>
              </w:rPr>
              <w:t>0.003</w:t>
            </w:r>
          </w:p>
        </w:tc>
        <w:tc>
          <w:tcPr>
            <w:tcW w:w="641" w:type="pct"/>
            <w:shd w:val="clear" w:color="auto" w:fill="auto"/>
            <w:noWrap/>
            <w:vAlign w:val="bottom"/>
            <w:hideMark/>
          </w:tcPr>
          <w:p w14:paraId="634B8D92" w14:textId="5725B996" w:rsidR="004E7DD7" w:rsidRPr="0018386D" w:rsidRDefault="004E7DD7" w:rsidP="00DD3106">
            <w:pPr>
              <w:pStyle w:val="TableText"/>
              <w:spacing w:before="40" w:after="40"/>
              <w:jc w:val="right"/>
              <w:rPr>
                <w:rFonts w:eastAsia="Times New Roman" w:cs="Calibri"/>
              </w:rPr>
            </w:pPr>
            <w:r w:rsidRPr="0018386D">
              <w:rPr>
                <w:rFonts w:eastAsia="Times New Roman" w:cs="Calibri"/>
              </w:rPr>
              <w:t>0.0006</w:t>
            </w:r>
          </w:p>
        </w:tc>
      </w:tr>
      <w:tr w:rsidR="007C39A9" w:rsidRPr="0018386D" w14:paraId="7C1F63FF" w14:textId="77777777" w:rsidTr="00D84704">
        <w:tc>
          <w:tcPr>
            <w:tcW w:w="1316" w:type="pct"/>
            <w:shd w:val="clear" w:color="auto" w:fill="auto"/>
            <w:noWrap/>
            <w:hideMark/>
          </w:tcPr>
          <w:p w14:paraId="116512CC" w14:textId="05A83061" w:rsidR="004E7DD7" w:rsidRPr="0018386D" w:rsidRDefault="004E7DD7" w:rsidP="00DD3106">
            <w:pPr>
              <w:pStyle w:val="TableText"/>
              <w:spacing w:before="40" w:after="40"/>
              <w:rPr>
                <w:rFonts w:eastAsia="Times New Roman" w:cs="Calibri"/>
              </w:rPr>
            </w:pPr>
            <w:r w:rsidRPr="0018386D">
              <w:rPr>
                <w:rFonts w:eastAsia="Times New Roman" w:cs="Calibri"/>
              </w:rPr>
              <w:t>Light fuel oil</w:t>
            </w:r>
          </w:p>
        </w:tc>
        <w:tc>
          <w:tcPr>
            <w:tcW w:w="658" w:type="pct"/>
            <w:shd w:val="clear" w:color="auto" w:fill="auto"/>
            <w:noWrap/>
            <w:hideMark/>
          </w:tcPr>
          <w:p w14:paraId="6D8EDE7E" w14:textId="6A1F8969"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hideMark/>
          </w:tcPr>
          <w:p w14:paraId="1CFA856E" w14:textId="086B9B40"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51DD97F7" w14:textId="14BDF42C" w:rsidR="004E7DD7" w:rsidRPr="0018386D" w:rsidRDefault="004E7DD7" w:rsidP="00DD3106">
            <w:pPr>
              <w:pStyle w:val="TableText"/>
              <w:spacing w:before="40" w:after="40"/>
              <w:jc w:val="right"/>
              <w:rPr>
                <w:rFonts w:eastAsia="Times New Roman" w:cs="Calibri"/>
              </w:rPr>
            </w:pPr>
            <w:r w:rsidRPr="0018386D">
              <w:rPr>
                <w:rFonts w:eastAsia="Times New Roman" w:cs="Calibri"/>
              </w:rPr>
              <w:t>40.45</w:t>
            </w:r>
          </w:p>
        </w:tc>
        <w:tc>
          <w:tcPr>
            <w:tcW w:w="576" w:type="pct"/>
            <w:shd w:val="clear" w:color="auto" w:fill="auto"/>
            <w:noWrap/>
            <w:vAlign w:val="bottom"/>
            <w:hideMark/>
          </w:tcPr>
          <w:p w14:paraId="3D1BB1C0" w14:textId="564CF980" w:rsidR="004E7DD7" w:rsidRPr="0018386D" w:rsidRDefault="004E7DD7" w:rsidP="00DD3106">
            <w:pPr>
              <w:pStyle w:val="TableText"/>
              <w:spacing w:before="40" w:after="40"/>
              <w:jc w:val="right"/>
              <w:rPr>
                <w:rFonts w:eastAsia="Times New Roman" w:cs="Calibri"/>
              </w:rPr>
            </w:pPr>
            <w:r w:rsidRPr="0018386D">
              <w:rPr>
                <w:rFonts w:eastAsia="Times New Roman" w:cs="Calibri"/>
              </w:rPr>
              <w:t>73.02</w:t>
            </w:r>
          </w:p>
        </w:tc>
        <w:tc>
          <w:tcPr>
            <w:tcW w:w="576" w:type="pct"/>
            <w:shd w:val="clear" w:color="auto" w:fill="auto"/>
            <w:noWrap/>
            <w:vAlign w:val="bottom"/>
            <w:hideMark/>
          </w:tcPr>
          <w:p w14:paraId="6A7EF67A" w14:textId="59195BB1" w:rsidR="004E7DD7" w:rsidRPr="0018386D" w:rsidRDefault="004E7DD7" w:rsidP="00DD3106">
            <w:pPr>
              <w:pStyle w:val="TableText"/>
              <w:spacing w:before="40" w:after="40"/>
              <w:jc w:val="right"/>
              <w:rPr>
                <w:rFonts w:eastAsia="Times New Roman" w:cs="Calibri"/>
              </w:rPr>
            </w:pPr>
            <w:r w:rsidRPr="0018386D">
              <w:rPr>
                <w:rFonts w:eastAsia="Times New Roman" w:cs="Calibri"/>
              </w:rPr>
              <w:t>0.003</w:t>
            </w:r>
          </w:p>
        </w:tc>
        <w:tc>
          <w:tcPr>
            <w:tcW w:w="641" w:type="pct"/>
            <w:shd w:val="clear" w:color="auto" w:fill="auto"/>
            <w:noWrap/>
            <w:vAlign w:val="bottom"/>
            <w:hideMark/>
          </w:tcPr>
          <w:p w14:paraId="23C29D75" w14:textId="66C81AEF" w:rsidR="004E7DD7" w:rsidRPr="0018386D" w:rsidRDefault="004E7DD7" w:rsidP="00DD3106">
            <w:pPr>
              <w:pStyle w:val="TableText"/>
              <w:spacing w:before="40" w:after="40"/>
              <w:jc w:val="right"/>
              <w:rPr>
                <w:rFonts w:eastAsia="Times New Roman" w:cs="Calibri"/>
              </w:rPr>
            </w:pPr>
            <w:r w:rsidRPr="0018386D">
              <w:rPr>
                <w:rFonts w:eastAsia="Times New Roman" w:cs="Calibri"/>
              </w:rPr>
              <w:t>0.0006</w:t>
            </w:r>
          </w:p>
        </w:tc>
      </w:tr>
      <w:tr w:rsidR="004E7DD7" w:rsidRPr="0018386D" w14:paraId="147343B0" w14:textId="77777777" w:rsidTr="00D84704">
        <w:tc>
          <w:tcPr>
            <w:tcW w:w="5000" w:type="pct"/>
            <w:gridSpan w:val="7"/>
            <w:shd w:val="clear" w:color="auto" w:fill="D2DDE1" w:themeFill="background2"/>
            <w:noWrap/>
            <w:hideMark/>
          </w:tcPr>
          <w:p w14:paraId="5B4C2D50" w14:textId="09F3F0B5" w:rsidR="004E7DD7" w:rsidRPr="0018386D" w:rsidRDefault="004E7DD7" w:rsidP="00DD3106">
            <w:pPr>
              <w:pStyle w:val="TableText"/>
              <w:spacing w:before="40" w:after="40"/>
              <w:rPr>
                <w:rFonts w:cs="Calibri"/>
                <w:b/>
              </w:rPr>
            </w:pPr>
            <w:r w:rsidRPr="0018386D">
              <w:rPr>
                <w:rFonts w:cs="Calibri"/>
                <w:b/>
              </w:rPr>
              <w:t>Transport fuels</w:t>
            </w:r>
          </w:p>
        </w:tc>
      </w:tr>
      <w:tr w:rsidR="007C39A9" w:rsidRPr="0018386D" w14:paraId="3E4F1788" w14:textId="77777777" w:rsidTr="00D84704">
        <w:tc>
          <w:tcPr>
            <w:tcW w:w="1316" w:type="pct"/>
            <w:shd w:val="clear" w:color="auto" w:fill="auto"/>
            <w:noWrap/>
            <w:hideMark/>
          </w:tcPr>
          <w:p w14:paraId="24F86073" w14:textId="5CE6E576" w:rsidR="004E7DD7" w:rsidRPr="0018386D" w:rsidRDefault="004E7DD7" w:rsidP="00DD3106">
            <w:pPr>
              <w:pStyle w:val="TableText"/>
              <w:spacing w:before="40" w:after="40"/>
              <w:rPr>
                <w:rFonts w:eastAsia="Times New Roman" w:cs="Calibri"/>
              </w:rPr>
            </w:pPr>
            <w:r w:rsidRPr="0018386D">
              <w:rPr>
                <w:rFonts w:eastAsia="Times New Roman" w:cs="Calibri"/>
              </w:rPr>
              <w:t>Regular petrol</w:t>
            </w:r>
          </w:p>
        </w:tc>
        <w:tc>
          <w:tcPr>
            <w:tcW w:w="658" w:type="pct"/>
            <w:shd w:val="clear" w:color="auto" w:fill="auto"/>
            <w:noWrap/>
            <w:hideMark/>
          </w:tcPr>
          <w:p w14:paraId="6798E761" w14:textId="45BAED86"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6FF158A4" w14:textId="6B901D5A"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18E274B5" w14:textId="620C8235" w:rsidR="004E7DD7" w:rsidRPr="0018386D" w:rsidRDefault="004E7DD7" w:rsidP="00DD3106">
            <w:pPr>
              <w:pStyle w:val="TableText"/>
              <w:spacing w:before="40" w:after="40"/>
              <w:jc w:val="right"/>
              <w:rPr>
                <w:rFonts w:eastAsia="Times New Roman" w:cs="Calibri"/>
              </w:rPr>
            </w:pPr>
            <w:r w:rsidRPr="0018386D">
              <w:rPr>
                <w:rFonts w:eastAsia="Times New Roman" w:cs="Calibri"/>
              </w:rPr>
              <w:t>35.24</w:t>
            </w:r>
          </w:p>
        </w:tc>
        <w:tc>
          <w:tcPr>
            <w:tcW w:w="576" w:type="pct"/>
            <w:shd w:val="clear" w:color="auto" w:fill="auto"/>
            <w:noWrap/>
            <w:vAlign w:val="bottom"/>
            <w:hideMark/>
          </w:tcPr>
          <w:p w14:paraId="42A3F13C" w14:textId="14EC1BE0" w:rsidR="004E7DD7" w:rsidRPr="0018386D" w:rsidRDefault="004E7DD7" w:rsidP="00DD3106">
            <w:pPr>
              <w:pStyle w:val="TableText"/>
              <w:spacing w:before="40" w:after="40"/>
              <w:jc w:val="right"/>
              <w:rPr>
                <w:rFonts w:eastAsia="Times New Roman" w:cs="Calibri"/>
              </w:rPr>
            </w:pPr>
            <w:r w:rsidRPr="0018386D">
              <w:rPr>
                <w:rFonts w:eastAsia="Times New Roman" w:cs="Calibri"/>
              </w:rPr>
              <w:t>66.77</w:t>
            </w:r>
          </w:p>
        </w:tc>
        <w:tc>
          <w:tcPr>
            <w:tcW w:w="576" w:type="pct"/>
            <w:shd w:val="clear" w:color="auto" w:fill="auto"/>
            <w:noWrap/>
            <w:vAlign w:val="bottom"/>
            <w:hideMark/>
          </w:tcPr>
          <w:p w14:paraId="266A6E74" w14:textId="2834C29B" w:rsidR="004E7DD7" w:rsidRPr="0018386D" w:rsidRDefault="004E7DD7" w:rsidP="00DD3106">
            <w:pPr>
              <w:pStyle w:val="TableText"/>
              <w:spacing w:before="40" w:after="40"/>
              <w:jc w:val="right"/>
              <w:rPr>
                <w:rFonts w:eastAsia="Times New Roman" w:cs="Calibri"/>
              </w:rPr>
            </w:pPr>
            <w:r w:rsidRPr="0018386D">
              <w:rPr>
                <w:rFonts w:eastAsia="Times New Roman" w:cs="Calibri"/>
              </w:rPr>
              <w:t>0.03</w:t>
            </w:r>
          </w:p>
        </w:tc>
        <w:tc>
          <w:tcPr>
            <w:tcW w:w="641" w:type="pct"/>
            <w:shd w:val="clear" w:color="auto" w:fill="auto"/>
            <w:noWrap/>
            <w:vAlign w:val="bottom"/>
            <w:hideMark/>
          </w:tcPr>
          <w:p w14:paraId="5C1C21F2" w14:textId="13144D44" w:rsidR="004E7DD7" w:rsidRPr="0018386D" w:rsidRDefault="004E7DD7" w:rsidP="00DD3106">
            <w:pPr>
              <w:pStyle w:val="TableText"/>
              <w:spacing w:before="40" w:after="40"/>
              <w:jc w:val="right"/>
              <w:rPr>
                <w:rFonts w:eastAsia="Times New Roman" w:cs="Calibri"/>
              </w:rPr>
            </w:pPr>
            <w:r w:rsidRPr="0018386D">
              <w:rPr>
                <w:rFonts w:eastAsia="Times New Roman" w:cs="Calibri"/>
              </w:rPr>
              <w:t>0.008</w:t>
            </w:r>
          </w:p>
        </w:tc>
      </w:tr>
      <w:tr w:rsidR="007C39A9" w:rsidRPr="0018386D" w14:paraId="01A85C50" w14:textId="77777777" w:rsidTr="00D84704">
        <w:tc>
          <w:tcPr>
            <w:tcW w:w="1316" w:type="pct"/>
            <w:shd w:val="clear" w:color="auto" w:fill="auto"/>
            <w:noWrap/>
            <w:hideMark/>
          </w:tcPr>
          <w:p w14:paraId="7B469558" w14:textId="4575C352" w:rsidR="004E7DD7" w:rsidRPr="0018386D" w:rsidRDefault="004E7DD7" w:rsidP="00DD3106">
            <w:pPr>
              <w:pStyle w:val="TableText"/>
              <w:spacing w:before="40" w:after="40"/>
              <w:rPr>
                <w:rFonts w:eastAsia="Times New Roman" w:cs="Calibri"/>
              </w:rPr>
            </w:pPr>
            <w:r w:rsidRPr="0018386D">
              <w:rPr>
                <w:rFonts w:eastAsia="Times New Roman" w:cs="Calibri"/>
              </w:rPr>
              <w:t>Premium petrol</w:t>
            </w:r>
          </w:p>
        </w:tc>
        <w:tc>
          <w:tcPr>
            <w:tcW w:w="658" w:type="pct"/>
            <w:shd w:val="clear" w:color="auto" w:fill="auto"/>
            <w:noWrap/>
            <w:hideMark/>
          </w:tcPr>
          <w:p w14:paraId="5DDC421C" w14:textId="240B7980"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65E110CC" w14:textId="419D374A"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064E6025" w14:textId="40F61413" w:rsidR="004E7DD7" w:rsidRPr="0018386D" w:rsidRDefault="004E7DD7" w:rsidP="00DD3106">
            <w:pPr>
              <w:pStyle w:val="TableText"/>
              <w:spacing w:before="40" w:after="40"/>
              <w:jc w:val="right"/>
              <w:rPr>
                <w:rFonts w:eastAsia="Times New Roman" w:cs="Calibri"/>
              </w:rPr>
            </w:pPr>
            <w:r w:rsidRPr="0018386D">
              <w:rPr>
                <w:rFonts w:eastAsia="Times New Roman" w:cs="Calibri"/>
              </w:rPr>
              <w:t>35.18</w:t>
            </w:r>
          </w:p>
        </w:tc>
        <w:tc>
          <w:tcPr>
            <w:tcW w:w="576" w:type="pct"/>
            <w:shd w:val="clear" w:color="auto" w:fill="auto"/>
            <w:noWrap/>
            <w:vAlign w:val="bottom"/>
            <w:hideMark/>
          </w:tcPr>
          <w:p w14:paraId="07CB0C7D" w14:textId="3B6D037B" w:rsidR="004E7DD7" w:rsidRPr="0018386D" w:rsidRDefault="004E7DD7" w:rsidP="00DD3106">
            <w:pPr>
              <w:pStyle w:val="TableText"/>
              <w:spacing w:before="40" w:after="40"/>
              <w:jc w:val="right"/>
              <w:rPr>
                <w:rFonts w:eastAsia="Times New Roman" w:cs="Calibri"/>
              </w:rPr>
            </w:pPr>
            <w:r w:rsidRPr="0018386D">
              <w:rPr>
                <w:rFonts w:eastAsia="Times New Roman" w:cs="Calibri"/>
              </w:rPr>
              <w:t>66.95</w:t>
            </w:r>
          </w:p>
        </w:tc>
        <w:tc>
          <w:tcPr>
            <w:tcW w:w="576" w:type="pct"/>
            <w:shd w:val="clear" w:color="auto" w:fill="auto"/>
            <w:noWrap/>
            <w:vAlign w:val="bottom"/>
            <w:hideMark/>
          </w:tcPr>
          <w:p w14:paraId="13AACEDC" w14:textId="60F282D8" w:rsidR="004E7DD7" w:rsidRPr="0018386D" w:rsidRDefault="004E7DD7" w:rsidP="00DD3106">
            <w:pPr>
              <w:pStyle w:val="TableText"/>
              <w:spacing w:before="40" w:after="40"/>
              <w:jc w:val="right"/>
              <w:rPr>
                <w:rFonts w:eastAsia="Times New Roman" w:cs="Calibri"/>
              </w:rPr>
            </w:pPr>
            <w:r w:rsidRPr="0018386D">
              <w:rPr>
                <w:rFonts w:eastAsia="Times New Roman" w:cs="Calibri"/>
              </w:rPr>
              <w:t>0.03</w:t>
            </w:r>
          </w:p>
        </w:tc>
        <w:tc>
          <w:tcPr>
            <w:tcW w:w="641" w:type="pct"/>
            <w:shd w:val="clear" w:color="auto" w:fill="auto"/>
            <w:noWrap/>
            <w:vAlign w:val="bottom"/>
            <w:hideMark/>
          </w:tcPr>
          <w:p w14:paraId="1ACE9149" w14:textId="5B0C4645" w:rsidR="004E7DD7" w:rsidRPr="0018386D" w:rsidRDefault="004E7DD7" w:rsidP="00DD3106">
            <w:pPr>
              <w:pStyle w:val="TableText"/>
              <w:spacing w:before="40" w:after="40"/>
              <w:jc w:val="right"/>
              <w:rPr>
                <w:rFonts w:eastAsia="Times New Roman" w:cs="Calibri"/>
              </w:rPr>
            </w:pPr>
            <w:r w:rsidRPr="0018386D">
              <w:rPr>
                <w:rFonts w:eastAsia="Times New Roman" w:cs="Calibri"/>
              </w:rPr>
              <w:t>0.008</w:t>
            </w:r>
          </w:p>
        </w:tc>
      </w:tr>
      <w:tr w:rsidR="007C39A9" w:rsidRPr="0018386D" w14:paraId="5250F217" w14:textId="77777777" w:rsidTr="00D84704">
        <w:tc>
          <w:tcPr>
            <w:tcW w:w="1316" w:type="pct"/>
            <w:shd w:val="clear" w:color="auto" w:fill="auto"/>
            <w:noWrap/>
            <w:hideMark/>
          </w:tcPr>
          <w:p w14:paraId="32EA24C8" w14:textId="2C1B044A" w:rsidR="004E7DD7" w:rsidRPr="0018386D" w:rsidRDefault="004E7DD7" w:rsidP="00DD3106">
            <w:pPr>
              <w:pStyle w:val="TableText"/>
              <w:spacing w:before="40" w:after="40"/>
              <w:rPr>
                <w:rFonts w:eastAsia="Times New Roman" w:cs="Calibri"/>
              </w:rPr>
            </w:pPr>
            <w:r w:rsidRPr="0018386D">
              <w:rPr>
                <w:rFonts w:eastAsia="Times New Roman" w:cs="Calibri"/>
              </w:rPr>
              <w:t>Diesel</w:t>
            </w:r>
          </w:p>
        </w:tc>
        <w:tc>
          <w:tcPr>
            <w:tcW w:w="658" w:type="pct"/>
            <w:shd w:val="clear" w:color="auto" w:fill="auto"/>
            <w:noWrap/>
            <w:hideMark/>
          </w:tcPr>
          <w:p w14:paraId="5B91DD94" w14:textId="0BCAF6BE"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05EE62B4" w14:textId="3AD3C3E2"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254D4CCA" w14:textId="602B52B5" w:rsidR="004E7DD7" w:rsidRPr="0018386D" w:rsidRDefault="004E7DD7" w:rsidP="00DD3106">
            <w:pPr>
              <w:pStyle w:val="TableText"/>
              <w:spacing w:before="40" w:after="40"/>
              <w:jc w:val="right"/>
              <w:rPr>
                <w:rFonts w:eastAsia="Times New Roman" w:cs="Calibri"/>
              </w:rPr>
            </w:pPr>
            <w:r w:rsidRPr="0018386D">
              <w:rPr>
                <w:rFonts w:eastAsia="Times New Roman" w:cs="Calibri"/>
              </w:rPr>
              <w:t>38.49</w:t>
            </w:r>
          </w:p>
        </w:tc>
        <w:tc>
          <w:tcPr>
            <w:tcW w:w="576" w:type="pct"/>
            <w:shd w:val="clear" w:color="auto" w:fill="auto"/>
            <w:noWrap/>
            <w:vAlign w:val="bottom"/>
            <w:hideMark/>
          </w:tcPr>
          <w:p w14:paraId="21879A1B" w14:textId="7910DF77" w:rsidR="004E7DD7" w:rsidRPr="0018386D" w:rsidRDefault="004E7DD7" w:rsidP="00DD3106">
            <w:pPr>
              <w:pStyle w:val="TableText"/>
              <w:spacing w:before="40" w:after="40"/>
              <w:jc w:val="right"/>
              <w:rPr>
                <w:rFonts w:eastAsia="Times New Roman" w:cs="Calibri"/>
              </w:rPr>
            </w:pPr>
            <w:r w:rsidRPr="0018386D">
              <w:rPr>
                <w:rFonts w:eastAsia="Times New Roman" w:cs="Calibri"/>
              </w:rPr>
              <w:t>69.45</w:t>
            </w:r>
          </w:p>
        </w:tc>
        <w:tc>
          <w:tcPr>
            <w:tcW w:w="576" w:type="pct"/>
            <w:shd w:val="clear" w:color="auto" w:fill="auto"/>
            <w:noWrap/>
            <w:vAlign w:val="bottom"/>
            <w:hideMark/>
          </w:tcPr>
          <w:p w14:paraId="6A2FC48A" w14:textId="17390AF0" w:rsidR="004E7DD7" w:rsidRPr="0018386D" w:rsidRDefault="004E7DD7" w:rsidP="00DD3106">
            <w:pPr>
              <w:pStyle w:val="TableText"/>
              <w:spacing w:before="40" w:after="40"/>
              <w:jc w:val="right"/>
              <w:rPr>
                <w:rFonts w:eastAsia="Times New Roman" w:cs="Calibri"/>
              </w:rPr>
            </w:pPr>
            <w:r w:rsidRPr="0018386D">
              <w:rPr>
                <w:rFonts w:eastAsia="Times New Roman" w:cs="Calibri"/>
              </w:rPr>
              <w:t>0.0</w:t>
            </w:r>
            <w:r w:rsidR="006C595C" w:rsidRPr="0018386D">
              <w:rPr>
                <w:rFonts w:eastAsia="Times New Roman" w:cs="Calibri"/>
              </w:rPr>
              <w:t>0</w:t>
            </w:r>
            <w:r w:rsidR="00DA35CD" w:rsidRPr="0018386D">
              <w:rPr>
                <w:rFonts w:eastAsia="Times New Roman" w:cs="Calibri"/>
              </w:rPr>
              <w:t>4</w:t>
            </w:r>
          </w:p>
        </w:tc>
        <w:tc>
          <w:tcPr>
            <w:tcW w:w="641" w:type="pct"/>
            <w:shd w:val="clear" w:color="auto" w:fill="auto"/>
            <w:noWrap/>
            <w:vAlign w:val="bottom"/>
            <w:hideMark/>
          </w:tcPr>
          <w:p w14:paraId="4593CDF4" w14:textId="2DB55469" w:rsidR="004E7DD7" w:rsidRPr="0018386D" w:rsidRDefault="004E7DD7" w:rsidP="00DD3106">
            <w:pPr>
              <w:pStyle w:val="TableText"/>
              <w:spacing w:before="40" w:after="40"/>
              <w:jc w:val="right"/>
              <w:rPr>
                <w:rFonts w:eastAsia="Times New Roman" w:cs="Calibri"/>
              </w:rPr>
            </w:pPr>
            <w:r w:rsidRPr="0018386D">
              <w:rPr>
                <w:rFonts w:eastAsia="Times New Roman" w:cs="Calibri"/>
              </w:rPr>
              <w:t>0.00</w:t>
            </w:r>
            <w:r w:rsidR="00DA35CD" w:rsidRPr="0018386D">
              <w:rPr>
                <w:rFonts w:eastAsia="Times New Roman" w:cs="Calibri"/>
              </w:rPr>
              <w:t>4</w:t>
            </w:r>
          </w:p>
        </w:tc>
      </w:tr>
      <w:tr w:rsidR="007C39A9" w:rsidRPr="0018386D" w14:paraId="7C5FA75A" w14:textId="77777777" w:rsidTr="00D84704">
        <w:tc>
          <w:tcPr>
            <w:tcW w:w="1316" w:type="pct"/>
            <w:shd w:val="clear" w:color="auto" w:fill="auto"/>
            <w:noWrap/>
            <w:hideMark/>
          </w:tcPr>
          <w:p w14:paraId="06643E24" w14:textId="6DC2BE88" w:rsidR="004E7DD7" w:rsidRPr="0018386D" w:rsidRDefault="004E7DD7" w:rsidP="00DD3106">
            <w:pPr>
              <w:pStyle w:val="TableText"/>
              <w:spacing w:before="40" w:after="40"/>
              <w:rPr>
                <w:rFonts w:eastAsia="Times New Roman" w:cs="Calibri"/>
              </w:rPr>
            </w:pPr>
            <w:r w:rsidRPr="0018386D">
              <w:rPr>
                <w:rFonts w:eastAsia="Times New Roman" w:cs="Calibri"/>
              </w:rPr>
              <w:t>LPG</w:t>
            </w:r>
          </w:p>
        </w:tc>
        <w:tc>
          <w:tcPr>
            <w:tcW w:w="658" w:type="pct"/>
            <w:shd w:val="clear" w:color="auto" w:fill="auto"/>
            <w:noWrap/>
            <w:hideMark/>
          </w:tcPr>
          <w:p w14:paraId="4EB0A020" w14:textId="20B51EF9"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68FBDC8A" w14:textId="32CBC91B"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21489012" w14:textId="3D3424EB" w:rsidR="004E7DD7" w:rsidRPr="0018386D" w:rsidRDefault="004E7DD7" w:rsidP="00DD3106">
            <w:pPr>
              <w:pStyle w:val="TableText"/>
              <w:spacing w:before="40" w:after="40"/>
              <w:jc w:val="right"/>
              <w:rPr>
                <w:rFonts w:eastAsia="Times New Roman" w:cs="Calibri"/>
              </w:rPr>
            </w:pPr>
            <w:r w:rsidRPr="0018386D">
              <w:rPr>
                <w:rFonts w:eastAsia="Times New Roman" w:cs="Calibri"/>
              </w:rPr>
              <w:t>26.54</w:t>
            </w:r>
          </w:p>
        </w:tc>
        <w:tc>
          <w:tcPr>
            <w:tcW w:w="576" w:type="pct"/>
            <w:shd w:val="clear" w:color="auto" w:fill="auto"/>
            <w:noWrap/>
            <w:vAlign w:val="bottom"/>
            <w:hideMark/>
          </w:tcPr>
          <w:p w14:paraId="77CBD8A1" w14:textId="6D8218BD" w:rsidR="004E7DD7" w:rsidRPr="0018386D" w:rsidRDefault="004E7DD7" w:rsidP="00DD3106">
            <w:pPr>
              <w:pStyle w:val="TableText"/>
              <w:spacing w:before="40" w:after="40"/>
              <w:jc w:val="right"/>
              <w:rPr>
                <w:rFonts w:eastAsia="Times New Roman" w:cs="Calibri"/>
              </w:rPr>
            </w:pPr>
            <w:r w:rsidRPr="0018386D">
              <w:rPr>
                <w:rFonts w:eastAsia="Times New Roman" w:cs="Calibri"/>
              </w:rPr>
              <w:t>59.27</w:t>
            </w:r>
          </w:p>
        </w:tc>
        <w:tc>
          <w:tcPr>
            <w:tcW w:w="576" w:type="pct"/>
            <w:shd w:val="clear" w:color="auto" w:fill="auto"/>
            <w:noWrap/>
            <w:vAlign w:val="bottom"/>
            <w:hideMark/>
          </w:tcPr>
          <w:p w14:paraId="62428D60" w14:textId="7B5CDBF0" w:rsidR="004E7DD7" w:rsidRPr="0018386D" w:rsidRDefault="004E7DD7" w:rsidP="00DD3106">
            <w:pPr>
              <w:pStyle w:val="TableText"/>
              <w:spacing w:before="40" w:after="40"/>
              <w:jc w:val="right"/>
              <w:rPr>
                <w:rFonts w:eastAsia="Times New Roman" w:cs="Calibri"/>
              </w:rPr>
            </w:pPr>
            <w:r w:rsidRPr="0018386D">
              <w:rPr>
                <w:rFonts w:eastAsia="Times New Roman" w:cs="Calibri"/>
              </w:rPr>
              <w:t>0.06</w:t>
            </w:r>
          </w:p>
        </w:tc>
        <w:tc>
          <w:tcPr>
            <w:tcW w:w="641" w:type="pct"/>
            <w:shd w:val="clear" w:color="auto" w:fill="auto"/>
            <w:noWrap/>
            <w:vAlign w:val="bottom"/>
            <w:hideMark/>
          </w:tcPr>
          <w:p w14:paraId="2E368381" w14:textId="0DED2A40" w:rsidR="004E7DD7" w:rsidRPr="0018386D" w:rsidRDefault="004E7DD7" w:rsidP="00DD3106">
            <w:pPr>
              <w:pStyle w:val="TableText"/>
              <w:spacing w:before="40" w:after="40"/>
              <w:jc w:val="right"/>
              <w:rPr>
                <w:rFonts w:eastAsia="Times New Roman" w:cs="Calibri"/>
              </w:rPr>
            </w:pPr>
            <w:r w:rsidRPr="0018386D">
              <w:rPr>
                <w:rFonts w:eastAsia="Times New Roman" w:cs="Calibri"/>
              </w:rPr>
              <w:t>0.0002</w:t>
            </w:r>
          </w:p>
        </w:tc>
      </w:tr>
      <w:tr w:rsidR="007C39A9" w:rsidRPr="0018386D" w14:paraId="352D7192" w14:textId="77777777" w:rsidTr="00D84704">
        <w:tc>
          <w:tcPr>
            <w:tcW w:w="1316" w:type="pct"/>
            <w:shd w:val="clear" w:color="auto" w:fill="auto"/>
            <w:noWrap/>
            <w:hideMark/>
          </w:tcPr>
          <w:p w14:paraId="7CA43070" w14:textId="1ECEA93C" w:rsidR="004E7DD7" w:rsidRPr="0018386D" w:rsidRDefault="004E7DD7" w:rsidP="00DD3106">
            <w:pPr>
              <w:pStyle w:val="TableText"/>
              <w:spacing w:before="40" w:after="40"/>
              <w:rPr>
                <w:rFonts w:eastAsia="Times New Roman" w:cs="Calibri"/>
              </w:rPr>
            </w:pPr>
            <w:r w:rsidRPr="0018386D">
              <w:rPr>
                <w:rFonts w:eastAsia="Times New Roman" w:cs="Calibri"/>
              </w:rPr>
              <w:t>Heavy fuel oil</w:t>
            </w:r>
          </w:p>
        </w:tc>
        <w:tc>
          <w:tcPr>
            <w:tcW w:w="658" w:type="pct"/>
            <w:shd w:val="clear" w:color="auto" w:fill="auto"/>
            <w:noWrap/>
            <w:hideMark/>
          </w:tcPr>
          <w:p w14:paraId="41E3258F" w14:textId="080F0186"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4224B5F1" w14:textId="78F9CF2B"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1564B3F9" w14:textId="32FBEED7" w:rsidR="004E7DD7" w:rsidRPr="0018386D" w:rsidRDefault="004E7DD7" w:rsidP="00DD3106">
            <w:pPr>
              <w:pStyle w:val="TableText"/>
              <w:spacing w:before="40" w:after="40"/>
              <w:jc w:val="right"/>
              <w:rPr>
                <w:rFonts w:eastAsia="Times New Roman" w:cs="Calibri"/>
              </w:rPr>
            </w:pPr>
            <w:r w:rsidRPr="0018386D">
              <w:rPr>
                <w:rFonts w:eastAsia="Times New Roman" w:cs="Calibri"/>
              </w:rPr>
              <w:t>40.74</w:t>
            </w:r>
          </w:p>
        </w:tc>
        <w:tc>
          <w:tcPr>
            <w:tcW w:w="576" w:type="pct"/>
            <w:shd w:val="clear" w:color="auto" w:fill="auto"/>
            <w:noWrap/>
            <w:vAlign w:val="bottom"/>
            <w:hideMark/>
          </w:tcPr>
          <w:p w14:paraId="53590DA1" w14:textId="06068267" w:rsidR="004E7DD7" w:rsidRPr="0018386D" w:rsidRDefault="004E7DD7" w:rsidP="00DD3106">
            <w:pPr>
              <w:pStyle w:val="TableText"/>
              <w:spacing w:before="40" w:after="40"/>
              <w:jc w:val="right"/>
              <w:rPr>
                <w:rFonts w:eastAsia="Times New Roman" w:cs="Calibri"/>
              </w:rPr>
            </w:pPr>
            <w:r w:rsidRPr="0018386D">
              <w:rPr>
                <w:rFonts w:eastAsia="Times New Roman" w:cs="Calibri"/>
              </w:rPr>
              <w:t>73.33</w:t>
            </w:r>
          </w:p>
        </w:tc>
        <w:tc>
          <w:tcPr>
            <w:tcW w:w="576" w:type="pct"/>
            <w:shd w:val="clear" w:color="auto" w:fill="auto"/>
            <w:noWrap/>
            <w:vAlign w:val="bottom"/>
            <w:hideMark/>
          </w:tcPr>
          <w:p w14:paraId="1A6CBFD8" w14:textId="1CB0755D" w:rsidR="004E7DD7" w:rsidRPr="0018386D" w:rsidRDefault="004E7DD7" w:rsidP="00DD3106">
            <w:pPr>
              <w:pStyle w:val="TableText"/>
              <w:spacing w:before="40" w:after="40"/>
              <w:jc w:val="right"/>
              <w:rPr>
                <w:rFonts w:eastAsia="Times New Roman" w:cs="Calibri"/>
              </w:rPr>
            </w:pPr>
            <w:r w:rsidRPr="0018386D">
              <w:rPr>
                <w:rFonts w:eastAsia="Times New Roman" w:cs="Calibri"/>
              </w:rPr>
              <w:t>0.007</w:t>
            </w:r>
          </w:p>
        </w:tc>
        <w:tc>
          <w:tcPr>
            <w:tcW w:w="641" w:type="pct"/>
            <w:shd w:val="clear" w:color="auto" w:fill="auto"/>
            <w:noWrap/>
            <w:vAlign w:val="bottom"/>
            <w:hideMark/>
          </w:tcPr>
          <w:p w14:paraId="59087997" w14:textId="0224B605" w:rsidR="004E7DD7" w:rsidRPr="0018386D" w:rsidRDefault="004E7DD7" w:rsidP="00DD3106">
            <w:pPr>
              <w:pStyle w:val="TableText"/>
              <w:spacing w:before="40" w:after="40"/>
              <w:jc w:val="right"/>
              <w:rPr>
                <w:rFonts w:eastAsia="Times New Roman" w:cs="Calibri"/>
              </w:rPr>
            </w:pPr>
            <w:r w:rsidRPr="0018386D">
              <w:rPr>
                <w:rFonts w:eastAsia="Times New Roman" w:cs="Calibri"/>
              </w:rPr>
              <w:t>0.002</w:t>
            </w:r>
          </w:p>
        </w:tc>
      </w:tr>
      <w:tr w:rsidR="007C39A9" w:rsidRPr="0018386D" w14:paraId="68170E34" w14:textId="77777777" w:rsidTr="00D84704">
        <w:tc>
          <w:tcPr>
            <w:tcW w:w="1316" w:type="pct"/>
            <w:shd w:val="clear" w:color="auto" w:fill="auto"/>
            <w:noWrap/>
            <w:hideMark/>
          </w:tcPr>
          <w:p w14:paraId="2B6AAE1B" w14:textId="038541AC" w:rsidR="004E7DD7" w:rsidRPr="0018386D" w:rsidRDefault="004E7DD7" w:rsidP="00DD3106">
            <w:pPr>
              <w:pStyle w:val="TableText"/>
              <w:spacing w:before="40" w:after="40"/>
              <w:rPr>
                <w:rFonts w:eastAsia="Times New Roman" w:cs="Calibri"/>
              </w:rPr>
            </w:pPr>
            <w:r w:rsidRPr="0018386D">
              <w:rPr>
                <w:rFonts w:eastAsia="Times New Roman" w:cs="Calibri"/>
              </w:rPr>
              <w:t>Light fuel oil</w:t>
            </w:r>
          </w:p>
        </w:tc>
        <w:tc>
          <w:tcPr>
            <w:tcW w:w="658" w:type="pct"/>
            <w:shd w:val="clear" w:color="auto" w:fill="auto"/>
            <w:noWrap/>
            <w:hideMark/>
          </w:tcPr>
          <w:p w14:paraId="36A600E6" w14:textId="507CBB86"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197D4F26" w14:textId="2685C7B2"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7752253D" w14:textId="42C56A28" w:rsidR="004E7DD7" w:rsidRPr="0018386D" w:rsidRDefault="004E7DD7" w:rsidP="00DD3106">
            <w:pPr>
              <w:pStyle w:val="TableText"/>
              <w:spacing w:before="40" w:after="40"/>
              <w:jc w:val="right"/>
              <w:rPr>
                <w:rFonts w:eastAsia="Times New Roman" w:cs="Calibri"/>
              </w:rPr>
            </w:pPr>
            <w:r w:rsidRPr="0018386D">
              <w:rPr>
                <w:rFonts w:eastAsia="Times New Roman" w:cs="Calibri"/>
              </w:rPr>
              <w:t>40.45</w:t>
            </w:r>
          </w:p>
        </w:tc>
        <w:tc>
          <w:tcPr>
            <w:tcW w:w="576" w:type="pct"/>
            <w:shd w:val="clear" w:color="auto" w:fill="auto"/>
            <w:noWrap/>
            <w:vAlign w:val="bottom"/>
            <w:hideMark/>
          </w:tcPr>
          <w:p w14:paraId="256B9D75" w14:textId="2A8657F9" w:rsidR="004E7DD7" w:rsidRPr="0018386D" w:rsidRDefault="004E7DD7" w:rsidP="00DD3106">
            <w:pPr>
              <w:pStyle w:val="TableText"/>
              <w:spacing w:before="40" w:after="40"/>
              <w:jc w:val="right"/>
              <w:rPr>
                <w:rFonts w:eastAsia="Times New Roman" w:cs="Calibri"/>
              </w:rPr>
            </w:pPr>
            <w:r w:rsidRPr="0018386D">
              <w:rPr>
                <w:rFonts w:eastAsia="Times New Roman" w:cs="Calibri"/>
              </w:rPr>
              <w:t>73.02</w:t>
            </w:r>
          </w:p>
        </w:tc>
        <w:tc>
          <w:tcPr>
            <w:tcW w:w="576" w:type="pct"/>
            <w:shd w:val="clear" w:color="auto" w:fill="auto"/>
            <w:noWrap/>
            <w:vAlign w:val="bottom"/>
            <w:hideMark/>
          </w:tcPr>
          <w:p w14:paraId="2C845491" w14:textId="212DC5F4" w:rsidR="004E7DD7" w:rsidRPr="0018386D" w:rsidRDefault="004E7DD7" w:rsidP="00DD3106">
            <w:pPr>
              <w:pStyle w:val="TableText"/>
              <w:spacing w:before="40" w:after="40"/>
              <w:jc w:val="right"/>
              <w:rPr>
                <w:rFonts w:eastAsia="Times New Roman" w:cs="Calibri"/>
              </w:rPr>
            </w:pPr>
            <w:r w:rsidRPr="0018386D">
              <w:rPr>
                <w:rFonts w:eastAsia="Times New Roman" w:cs="Calibri"/>
              </w:rPr>
              <w:t>0.007</w:t>
            </w:r>
          </w:p>
        </w:tc>
        <w:tc>
          <w:tcPr>
            <w:tcW w:w="641" w:type="pct"/>
            <w:shd w:val="clear" w:color="auto" w:fill="auto"/>
            <w:noWrap/>
            <w:vAlign w:val="bottom"/>
            <w:hideMark/>
          </w:tcPr>
          <w:p w14:paraId="6BAD07F4" w14:textId="2354F930" w:rsidR="004E7DD7" w:rsidRPr="0018386D" w:rsidRDefault="004E7DD7" w:rsidP="00DD3106">
            <w:pPr>
              <w:pStyle w:val="TableText"/>
              <w:spacing w:before="40" w:after="40"/>
              <w:jc w:val="right"/>
              <w:rPr>
                <w:rFonts w:eastAsia="Times New Roman" w:cs="Calibri"/>
              </w:rPr>
            </w:pPr>
            <w:r w:rsidRPr="0018386D">
              <w:rPr>
                <w:rFonts w:eastAsia="Times New Roman" w:cs="Calibri"/>
              </w:rPr>
              <w:t>0.002</w:t>
            </w:r>
          </w:p>
        </w:tc>
      </w:tr>
      <w:tr w:rsidR="007C39A9" w:rsidRPr="0018386D" w14:paraId="332DD510" w14:textId="77777777" w:rsidTr="00D84704">
        <w:tc>
          <w:tcPr>
            <w:tcW w:w="1316" w:type="pct"/>
            <w:shd w:val="clear" w:color="auto" w:fill="auto"/>
            <w:noWrap/>
            <w:hideMark/>
          </w:tcPr>
          <w:p w14:paraId="5788D6C0" w14:textId="26B42D56" w:rsidR="004E7DD7" w:rsidRPr="0018386D" w:rsidRDefault="004E7DD7" w:rsidP="00DD3106">
            <w:pPr>
              <w:pStyle w:val="TableText"/>
              <w:spacing w:before="40" w:after="40"/>
              <w:rPr>
                <w:rFonts w:eastAsia="Times New Roman" w:cs="Calibri"/>
              </w:rPr>
            </w:pPr>
            <w:r w:rsidRPr="0018386D">
              <w:rPr>
                <w:rFonts w:eastAsia="Times New Roman" w:cs="Calibri"/>
              </w:rPr>
              <w:t>Jet kerosene / Jet A1</w:t>
            </w:r>
          </w:p>
        </w:tc>
        <w:tc>
          <w:tcPr>
            <w:tcW w:w="658" w:type="pct"/>
            <w:shd w:val="clear" w:color="auto" w:fill="auto"/>
            <w:noWrap/>
            <w:hideMark/>
          </w:tcPr>
          <w:p w14:paraId="37A3793D" w14:textId="3DACDD64"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156EEBCF" w14:textId="067FF328"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5B592516" w14:textId="7EE9C452" w:rsidR="004E7DD7" w:rsidRPr="0018386D" w:rsidRDefault="004E7DD7" w:rsidP="00DD3106">
            <w:pPr>
              <w:pStyle w:val="TableText"/>
              <w:spacing w:before="40" w:after="40"/>
              <w:jc w:val="right"/>
              <w:rPr>
                <w:rFonts w:eastAsia="Times New Roman" w:cs="Calibri"/>
              </w:rPr>
            </w:pPr>
            <w:r w:rsidRPr="0018386D">
              <w:rPr>
                <w:rFonts w:eastAsia="Times New Roman" w:cs="Calibri"/>
              </w:rPr>
              <w:t>37.19</w:t>
            </w:r>
          </w:p>
        </w:tc>
        <w:tc>
          <w:tcPr>
            <w:tcW w:w="576" w:type="pct"/>
            <w:shd w:val="clear" w:color="auto" w:fill="auto"/>
            <w:noWrap/>
            <w:vAlign w:val="bottom"/>
            <w:hideMark/>
          </w:tcPr>
          <w:p w14:paraId="05F0A260" w14:textId="691D67F6" w:rsidR="004E7DD7" w:rsidRPr="0018386D" w:rsidRDefault="004E7DD7" w:rsidP="00DD3106">
            <w:pPr>
              <w:pStyle w:val="TableText"/>
              <w:spacing w:before="40" w:after="40"/>
              <w:jc w:val="right"/>
              <w:rPr>
                <w:rFonts w:eastAsia="Times New Roman" w:cs="Calibri"/>
              </w:rPr>
            </w:pPr>
            <w:r w:rsidRPr="0018386D">
              <w:rPr>
                <w:rFonts w:eastAsia="Times New Roman" w:cs="Calibri"/>
              </w:rPr>
              <w:t>68.33</w:t>
            </w:r>
          </w:p>
        </w:tc>
        <w:tc>
          <w:tcPr>
            <w:tcW w:w="576" w:type="pct"/>
            <w:shd w:val="clear" w:color="auto" w:fill="auto"/>
            <w:noWrap/>
            <w:vAlign w:val="bottom"/>
            <w:hideMark/>
          </w:tcPr>
          <w:p w14:paraId="7B91E722" w14:textId="282A310B" w:rsidR="004E7DD7" w:rsidRPr="0018386D" w:rsidRDefault="004E7DD7" w:rsidP="00DD3106">
            <w:pPr>
              <w:pStyle w:val="TableText"/>
              <w:spacing w:before="40" w:after="40"/>
              <w:jc w:val="right"/>
              <w:rPr>
                <w:rFonts w:eastAsia="Times New Roman" w:cs="Calibri"/>
              </w:rPr>
            </w:pPr>
            <w:r w:rsidRPr="0018386D">
              <w:rPr>
                <w:rFonts w:eastAsia="Times New Roman" w:cs="Calibri"/>
              </w:rPr>
              <w:t>0.0005</w:t>
            </w:r>
          </w:p>
        </w:tc>
        <w:tc>
          <w:tcPr>
            <w:tcW w:w="641" w:type="pct"/>
            <w:shd w:val="clear" w:color="auto" w:fill="auto"/>
            <w:noWrap/>
            <w:vAlign w:val="bottom"/>
            <w:hideMark/>
          </w:tcPr>
          <w:p w14:paraId="275CEE47" w14:textId="75A84351" w:rsidR="004E7DD7" w:rsidRPr="0018386D" w:rsidRDefault="004E7DD7" w:rsidP="00DD3106">
            <w:pPr>
              <w:pStyle w:val="TableText"/>
              <w:spacing w:before="40" w:after="40"/>
              <w:jc w:val="right"/>
              <w:rPr>
                <w:rFonts w:eastAsia="Times New Roman" w:cs="Calibri"/>
              </w:rPr>
            </w:pPr>
            <w:r w:rsidRPr="0018386D">
              <w:rPr>
                <w:rFonts w:eastAsia="Times New Roman" w:cs="Calibri"/>
              </w:rPr>
              <w:t>0.002</w:t>
            </w:r>
          </w:p>
        </w:tc>
      </w:tr>
      <w:tr w:rsidR="007C39A9" w:rsidRPr="0018386D" w14:paraId="5966F6A4" w14:textId="77777777" w:rsidTr="00D84704">
        <w:tc>
          <w:tcPr>
            <w:tcW w:w="1316" w:type="pct"/>
            <w:shd w:val="clear" w:color="auto" w:fill="auto"/>
            <w:noWrap/>
            <w:hideMark/>
          </w:tcPr>
          <w:p w14:paraId="0053944B" w14:textId="03AE9A7D" w:rsidR="004E7DD7" w:rsidRPr="0018386D" w:rsidRDefault="004E7DD7" w:rsidP="00DD3106">
            <w:pPr>
              <w:pStyle w:val="TableText"/>
              <w:spacing w:before="40" w:after="40"/>
              <w:rPr>
                <w:rFonts w:eastAsia="Times New Roman" w:cs="Calibri"/>
              </w:rPr>
            </w:pPr>
            <w:r w:rsidRPr="0018386D">
              <w:rPr>
                <w:rFonts w:eastAsia="Times New Roman" w:cs="Calibri"/>
              </w:rPr>
              <w:t>Jet aviation gasoline</w:t>
            </w:r>
          </w:p>
        </w:tc>
        <w:tc>
          <w:tcPr>
            <w:tcW w:w="658" w:type="pct"/>
            <w:shd w:val="clear" w:color="auto" w:fill="auto"/>
            <w:noWrap/>
            <w:hideMark/>
          </w:tcPr>
          <w:p w14:paraId="216CADAE" w14:textId="4F1A6434" w:rsidR="004E7DD7" w:rsidRPr="0018386D" w:rsidRDefault="004E7DD7" w:rsidP="00DD3106">
            <w:pPr>
              <w:pStyle w:val="TableText"/>
              <w:spacing w:before="40" w:after="40"/>
              <w:rPr>
                <w:rFonts w:eastAsia="Times New Roman" w:cs="Calibri"/>
              </w:rPr>
            </w:pPr>
            <w:r w:rsidRPr="0018386D">
              <w:rPr>
                <w:rFonts w:eastAsia="Times New Roman" w:cs="Calibri"/>
              </w:rPr>
              <w:t>Mobile use</w:t>
            </w:r>
          </w:p>
        </w:tc>
        <w:tc>
          <w:tcPr>
            <w:tcW w:w="411" w:type="pct"/>
            <w:shd w:val="clear" w:color="auto" w:fill="auto"/>
            <w:noWrap/>
            <w:hideMark/>
          </w:tcPr>
          <w:p w14:paraId="614FBB09" w14:textId="383630F5"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4AC733CB" w14:textId="532B6FD6" w:rsidR="004E7DD7" w:rsidRPr="0018386D" w:rsidRDefault="004E7DD7" w:rsidP="00DD3106">
            <w:pPr>
              <w:pStyle w:val="TableText"/>
              <w:spacing w:before="40" w:after="40"/>
              <w:jc w:val="right"/>
              <w:rPr>
                <w:rFonts w:eastAsia="Times New Roman" w:cs="Calibri"/>
              </w:rPr>
            </w:pPr>
            <w:r w:rsidRPr="0018386D">
              <w:rPr>
                <w:rFonts w:eastAsia="Times New Roman" w:cs="Calibri"/>
              </w:rPr>
              <w:t>33.87</w:t>
            </w:r>
          </w:p>
        </w:tc>
        <w:tc>
          <w:tcPr>
            <w:tcW w:w="576" w:type="pct"/>
            <w:shd w:val="clear" w:color="auto" w:fill="auto"/>
            <w:noWrap/>
            <w:vAlign w:val="bottom"/>
            <w:hideMark/>
          </w:tcPr>
          <w:p w14:paraId="571ABF52" w14:textId="300B7EF4" w:rsidR="004E7DD7" w:rsidRPr="0018386D" w:rsidRDefault="004E7DD7" w:rsidP="00DD3106">
            <w:pPr>
              <w:pStyle w:val="TableText"/>
              <w:spacing w:before="40" w:after="40"/>
              <w:jc w:val="right"/>
              <w:rPr>
                <w:rFonts w:eastAsia="Times New Roman" w:cs="Calibri"/>
              </w:rPr>
            </w:pPr>
            <w:r w:rsidRPr="0018386D">
              <w:rPr>
                <w:rFonts w:eastAsia="Times New Roman" w:cs="Calibri"/>
              </w:rPr>
              <w:t>65.89</w:t>
            </w:r>
          </w:p>
        </w:tc>
        <w:tc>
          <w:tcPr>
            <w:tcW w:w="576" w:type="pct"/>
            <w:shd w:val="clear" w:color="auto" w:fill="auto"/>
            <w:noWrap/>
            <w:vAlign w:val="bottom"/>
            <w:hideMark/>
          </w:tcPr>
          <w:p w14:paraId="382A9F0E" w14:textId="446E56DC" w:rsidR="004E7DD7" w:rsidRPr="0018386D" w:rsidRDefault="004E7DD7" w:rsidP="00DD3106">
            <w:pPr>
              <w:pStyle w:val="TableText"/>
              <w:spacing w:before="40" w:after="40"/>
              <w:jc w:val="right"/>
              <w:rPr>
                <w:rFonts w:eastAsia="Times New Roman" w:cs="Calibri"/>
              </w:rPr>
            </w:pPr>
            <w:r w:rsidRPr="0018386D">
              <w:rPr>
                <w:rFonts w:eastAsia="Times New Roman" w:cs="Calibri"/>
              </w:rPr>
              <w:t>0.0005</w:t>
            </w:r>
          </w:p>
        </w:tc>
        <w:tc>
          <w:tcPr>
            <w:tcW w:w="641" w:type="pct"/>
            <w:shd w:val="clear" w:color="auto" w:fill="auto"/>
            <w:noWrap/>
            <w:vAlign w:val="bottom"/>
            <w:hideMark/>
          </w:tcPr>
          <w:p w14:paraId="5624B600" w14:textId="1FE0B570" w:rsidR="004E7DD7" w:rsidRPr="0018386D" w:rsidRDefault="004E7DD7" w:rsidP="00DD3106">
            <w:pPr>
              <w:pStyle w:val="TableText"/>
              <w:spacing w:before="40" w:after="40"/>
              <w:jc w:val="right"/>
              <w:rPr>
                <w:rFonts w:eastAsia="Times New Roman" w:cs="Calibri"/>
              </w:rPr>
            </w:pPr>
            <w:r w:rsidRPr="0018386D">
              <w:rPr>
                <w:rFonts w:eastAsia="Times New Roman" w:cs="Calibri"/>
              </w:rPr>
              <w:t>0.002</w:t>
            </w:r>
          </w:p>
        </w:tc>
      </w:tr>
      <w:tr w:rsidR="004E7DD7" w:rsidRPr="0018386D" w14:paraId="44A9416F" w14:textId="77777777" w:rsidTr="00D84704">
        <w:tc>
          <w:tcPr>
            <w:tcW w:w="5000" w:type="pct"/>
            <w:gridSpan w:val="7"/>
            <w:shd w:val="clear" w:color="auto" w:fill="D2DDE1" w:themeFill="background2"/>
            <w:noWrap/>
            <w:hideMark/>
          </w:tcPr>
          <w:p w14:paraId="5E10C6D8" w14:textId="127B5F85" w:rsidR="004E7DD7" w:rsidRPr="0018386D" w:rsidRDefault="004E7DD7" w:rsidP="00DD3106">
            <w:pPr>
              <w:pStyle w:val="TableText"/>
              <w:spacing w:before="40" w:after="40"/>
              <w:rPr>
                <w:rFonts w:eastAsia="Times New Roman" w:cs="Calibri"/>
                <w:b/>
              </w:rPr>
            </w:pPr>
            <w:r w:rsidRPr="0018386D">
              <w:rPr>
                <w:rFonts w:eastAsia="Times New Roman" w:cs="Calibri"/>
                <w:b/>
              </w:rPr>
              <w:t>Biofuels and biomass</w:t>
            </w:r>
          </w:p>
        </w:tc>
      </w:tr>
      <w:tr w:rsidR="007C39A9" w:rsidRPr="0018386D" w14:paraId="2A9276EC" w14:textId="77777777" w:rsidTr="00D84704">
        <w:tc>
          <w:tcPr>
            <w:tcW w:w="1316" w:type="pct"/>
            <w:shd w:val="clear" w:color="auto" w:fill="auto"/>
            <w:noWrap/>
            <w:hideMark/>
          </w:tcPr>
          <w:p w14:paraId="2C40078E" w14:textId="47CF6733" w:rsidR="004E7DD7" w:rsidRPr="0018386D" w:rsidRDefault="004E7DD7" w:rsidP="00DD3106">
            <w:pPr>
              <w:pStyle w:val="TableText"/>
              <w:spacing w:before="40" w:after="40"/>
              <w:rPr>
                <w:rFonts w:eastAsia="Times New Roman" w:cs="Calibri"/>
              </w:rPr>
            </w:pPr>
            <w:r w:rsidRPr="0018386D">
              <w:rPr>
                <w:rFonts w:eastAsia="Times New Roman" w:cs="Calibri"/>
              </w:rPr>
              <w:t>Biodiesel</w:t>
            </w:r>
          </w:p>
        </w:tc>
        <w:tc>
          <w:tcPr>
            <w:tcW w:w="658" w:type="pct"/>
            <w:shd w:val="clear" w:color="auto" w:fill="auto"/>
            <w:noWrap/>
            <w:hideMark/>
          </w:tcPr>
          <w:p w14:paraId="2F6EB053" w14:textId="59064B95" w:rsidR="004E7DD7" w:rsidRPr="0018386D" w:rsidRDefault="004E7DD7" w:rsidP="00DD3106">
            <w:pPr>
              <w:pStyle w:val="TableText"/>
              <w:spacing w:before="40" w:after="40"/>
              <w:rPr>
                <w:rFonts w:eastAsia="Times New Roman" w:cs="Calibri"/>
              </w:rPr>
            </w:pPr>
            <w:r w:rsidRPr="0018386D">
              <w:rPr>
                <w:rFonts w:eastAsia="Times New Roman" w:cs="Calibri"/>
              </w:rPr>
              <w:t>All uses</w:t>
            </w:r>
          </w:p>
        </w:tc>
        <w:tc>
          <w:tcPr>
            <w:tcW w:w="411" w:type="pct"/>
            <w:shd w:val="clear" w:color="auto" w:fill="auto"/>
            <w:noWrap/>
            <w:hideMark/>
          </w:tcPr>
          <w:p w14:paraId="446F1C8B" w14:textId="322A9E6B"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75A6E9C4" w14:textId="79EC842F" w:rsidR="004E7DD7" w:rsidRPr="0018386D" w:rsidRDefault="004E7DD7" w:rsidP="00DD3106">
            <w:pPr>
              <w:pStyle w:val="TableText"/>
              <w:spacing w:before="40" w:after="40"/>
              <w:jc w:val="right"/>
              <w:rPr>
                <w:rFonts w:eastAsia="Times New Roman" w:cs="Calibri"/>
              </w:rPr>
            </w:pPr>
            <w:r w:rsidRPr="0018386D">
              <w:rPr>
                <w:rFonts w:eastAsia="Times New Roman" w:cs="Calibri"/>
              </w:rPr>
              <w:t>23.6</w:t>
            </w:r>
          </w:p>
        </w:tc>
        <w:tc>
          <w:tcPr>
            <w:tcW w:w="576" w:type="pct"/>
            <w:shd w:val="clear" w:color="auto" w:fill="auto"/>
            <w:noWrap/>
            <w:vAlign w:val="bottom"/>
            <w:hideMark/>
          </w:tcPr>
          <w:p w14:paraId="1F630C46" w14:textId="0A9D5E36" w:rsidR="004E7DD7" w:rsidRPr="0018386D" w:rsidRDefault="004E7DD7" w:rsidP="00DD3106">
            <w:pPr>
              <w:pStyle w:val="TableText"/>
              <w:spacing w:before="40" w:after="40"/>
              <w:jc w:val="right"/>
              <w:rPr>
                <w:rFonts w:eastAsia="Times New Roman" w:cs="Calibri"/>
              </w:rPr>
            </w:pPr>
            <w:r w:rsidRPr="0018386D">
              <w:rPr>
                <w:rFonts w:eastAsia="Times New Roman" w:cs="Calibri"/>
              </w:rPr>
              <w:t>67.26</w:t>
            </w:r>
          </w:p>
        </w:tc>
        <w:tc>
          <w:tcPr>
            <w:tcW w:w="576" w:type="pct"/>
            <w:shd w:val="clear" w:color="auto" w:fill="auto"/>
            <w:noWrap/>
            <w:vAlign w:val="bottom"/>
            <w:hideMark/>
          </w:tcPr>
          <w:p w14:paraId="35DAADE0" w14:textId="5233ECE5" w:rsidR="004E7DD7" w:rsidRPr="0018386D" w:rsidRDefault="004E7DD7" w:rsidP="00DD3106">
            <w:pPr>
              <w:pStyle w:val="TableText"/>
              <w:spacing w:before="40" w:after="40"/>
              <w:jc w:val="right"/>
              <w:rPr>
                <w:rFonts w:eastAsia="Times New Roman" w:cs="Calibri"/>
              </w:rPr>
            </w:pPr>
            <w:r w:rsidRPr="0018386D">
              <w:rPr>
                <w:rFonts w:eastAsia="Times New Roman" w:cs="Calibri"/>
              </w:rPr>
              <w:t>0.018</w:t>
            </w:r>
          </w:p>
        </w:tc>
        <w:tc>
          <w:tcPr>
            <w:tcW w:w="641" w:type="pct"/>
            <w:shd w:val="clear" w:color="auto" w:fill="auto"/>
            <w:noWrap/>
            <w:vAlign w:val="bottom"/>
            <w:hideMark/>
          </w:tcPr>
          <w:p w14:paraId="214D390D" w14:textId="2D13FEA2" w:rsidR="004E7DD7" w:rsidRPr="0018386D" w:rsidRDefault="004E7DD7" w:rsidP="00DD3106">
            <w:pPr>
              <w:pStyle w:val="TableText"/>
              <w:spacing w:before="40" w:after="40"/>
              <w:jc w:val="right"/>
              <w:rPr>
                <w:rFonts w:eastAsia="Times New Roman" w:cs="Calibri"/>
              </w:rPr>
            </w:pPr>
            <w:r w:rsidRPr="0018386D">
              <w:rPr>
                <w:rFonts w:eastAsia="Times New Roman" w:cs="Calibri"/>
              </w:rPr>
              <w:t>0.0037</w:t>
            </w:r>
          </w:p>
        </w:tc>
      </w:tr>
      <w:tr w:rsidR="007C39A9" w:rsidRPr="0018386D" w14:paraId="490848B2" w14:textId="77777777" w:rsidTr="00D84704">
        <w:tc>
          <w:tcPr>
            <w:tcW w:w="1316" w:type="pct"/>
            <w:shd w:val="clear" w:color="auto" w:fill="auto"/>
            <w:noWrap/>
            <w:hideMark/>
          </w:tcPr>
          <w:p w14:paraId="4FE91559" w14:textId="63A034FD" w:rsidR="004E7DD7" w:rsidRPr="0018386D" w:rsidRDefault="004E7DD7" w:rsidP="00DD3106">
            <w:pPr>
              <w:pStyle w:val="TableText"/>
              <w:spacing w:before="40" w:after="40"/>
              <w:rPr>
                <w:rFonts w:eastAsia="Times New Roman" w:cs="Calibri"/>
              </w:rPr>
            </w:pPr>
            <w:r w:rsidRPr="0018386D">
              <w:rPr>
                <w:rFonts w:eastAsia="Times New Roman" w:cs="Calibri"/>
              </w:rPr>
              <w:t>Bioethanol</w:t>
            </w:r>
          </w:p>
        </w:tc>
        <w:tc>
          <w:tcPr>
            <w:tcW w:w="658" w:type="pct"/>
            <w:shd w:val="clear" w:color="auto" w:fill="auto"/>
            <w:noWrap/>
            <w:hideMark/>
          </w:tcPr>
          <w:p w14:paraId="3BE4DA76" w14:textId="52FDE84C" w:rsidR="004E7DD7" w:rsidRPr="0018386D" w:rsidRDefault="004E7DD7" w:rsidP="00DD3106">
            <w:pPr>
              <w:pStyle w:val="TableText"/>
              <w:spacing w:before="40" w:after="40"/>
              <w:rPr>
                <w:rFonts w:eastAsia="Times New Roman" w:cs="Calibri"/>
              </w:rPr>
            </w:pPr>
            <w:r w:rsidRPr="0018386D">
              <w:rPr>
                <w:rFonts w:eastAsia="Times New Roman" w:cs="Calibri"/>
              </w:rPr>
              <w:t>All uses</w:t>
            </w:r>
          </w:p>
        </w:tc>
        <w:tc>
          <w:tcPr>
            <w:tcW w:w="411" w:type="pct"/>
            <w:shd w:val="clear" w:color="auto" w:fill="auto"/>
            <w:noWrap/>
            <w:hideMark/>
          </w:tcPr>
          <w:p w14:paraId="559DC69E" w14:textId="4346CB4F" w:rsidR="004E7DD7" w:rsidRPr="0018386D" w:rsidRDefault="004E7DD7" w:rsidP="00DD3106">
            <w:pPr>
              <w:pStyle w:val="TableText"/>
              <w:spacing w:before="40" w:after="40"/>
              <w:rPr>
                <w:rFonts w:eastAsia="Times New Roman" w:cs="Calibri"/>
              </w:rPr>
            </w:pPr>
            <w:r w:rsidRPr="0018386D">
              <w:rPr>
                <w:rFonts w:eastAsia="Times New Roman" w:cs="Calibri"/>
              </w:rPr>
              <w:t>litre</w:t>
            </w:r>
          </w:p>
        </w:tc>
        <w:tc>
          <w:tcPr>
            <w:tcW w:w="822" w:type="pct"/>
            <w:shd w:val="clear" w:color="auto" w:fill="auto"/>
            <w:noWrap/>
            <w:vAlign w:val="bottom"/>
            <w:hideMark/>
          </w:tcPr>
          <w:p w14:paraId="20D98EDD" w14:textId="2937CC99" w:rsidR="004E7DD7" w:rsidRPr="0018386D" w:rsidRDefault="004E7DD7" w:rsidP="00DD3106">
            <w:pPr>
              <w:pStyle w:val="TableText"/>
              <w:spacing w:before="40" w:after="40"/>
              <w:jc w:val="right"/>
              <w:rPr>
                <w:rFonts w:eastAsia="Times New Roman" w:cs="Calibri"/>
              </w:rPr>
            </w:pPr>
            <w:r w:rsidRPr="0018386D">
              <w:rPr>
                <w:rFonts w:eastAsia="Times New Roman" w:cs="Calibri"/>
              </w:rPr>
              <w:t>36.42</w:t>
            </w:r>
          </w:p>
        </w:tc>
        <w:tc>
          <w:tcPr>
            <w:tcW w:w="576" w:type="pct"/>
            <w:shd w:val="clear" w:color="auto" w:fill="auto"/>
            <w:noWrap/>
            <w:vAlign w:val="bottom"/>
            <w:hideMark/>
          </w:tcPr>
          <w:p w14:paraId="554A8A9A" w14:textId="731C66D6" w:rsidR="004E7DD7" w:rsidRPr="0018386D" w:rsidRDefault="004E7DD7" w:rsidP="00DD3106">
            <w:pPr>
              <w:pStyle w:val="TableText"/>
              <w:spacing w:before="40" w:after="40"/>
              <w:jc w:val="right"/>
              <w:rPr>
                <w:rFonts w:eastAsia="Times New Roman" w:cs="Calibri"/>
              </w:rPr>
            </w:pPr>
            <w:r w:rsidRPr="0018386D">
              <w:rPr>
                <w:rFonts w:eastAsia="Times New Roman" w:cs="Calibri"/>
              </w:rPr>
              <w:t>64.20</w:t>
            </w:r>
          </w:p>
        </w:tc>
        <w:tc>
          <w:tcPr>
            <w:tcW w:w="576" w:type="pct"/>
            <w:shd w:val="clear" w:color="auto" w:fill="auto"/>
            <w:noWrap/>
            <w:vAlign w:val="bottom"/>
            <w:hideMark/>
          </w:tcPr>
          <w:p w14:paraId="27B41961" w14:textId="23A225B7" w:rsidR="004E7DD7" w:rsidRPr="0018386D" w:rsidRDefault="004E7DD7" w:rsidP="00DD3106">
            <w:pPr>
              <w:pStyle w:val="TableText"/>
              <w:spacing w:before="40" w:after="40"/>
              <w:jc w:val="right"/>
              <w:rPr>
                <w:rFonts w:eastAsia="Times New Roman" w:cs="Calibri"/>
              </w:rPr>
            </w:pPr>
            <w:r w:rsidRPr="0018386D">
              <w:rPr>
                <w:rFonts w:eastAsia="Times New Roman" w:cs="Calibri"/>
              </w:rPr>
              <w:t>0.018</w:t>
            </w:r>
          </w:p>
        </w:tc>
        <w:tc>
          <w:tcPr>
            <w:tcW w:w="641" w:type="pct"/>
            <w:shd w:val="clear" w:color="auto" w:fill="auto"/>
            <w:noWrap/>
            <w:vAlign w:val="bottom"/>
            <w:hideMark/>
          </w:tcPr>
          <w:p w14:paraId="433E5323" w14:textId="1E8DAEA1" w:rsidR="004E7DD7" w:rsidRPr="0018386D" w:rsidRDefault="004E7DD7" w:rsidP="00DD3106">
            <w:pPr>
              <w:pStyle w:val="TableText"/>
              <w:spacing w:before="40" w:after="40"/>
              <w:jc w:val="right"/>
              <w:rPr>
                <w:rFonts w:eastAsia="Times New Roman" w:cs="Calibri"/>
              </w:rPr>
            </w:pPr>
            <w:r w:rsidRPr="0018386D">
              <w:rPr>
                <w:rFonts w:eastAsia="Times New Roman" w:cs="Calibri"/>
              </w:rPr>
              <w:t>0.0076</w:t>
            </w:r>
          </w:p>
        </w:tc>
      </w:tr>
      <w:tr w:rsidR="007C39A9" w:rsidRPr="0018386D" w14:paraId="2D023E51" w14:textId="77777777" w:rsidTr="00D84704">
        <w:tc>
          <w:tcPr>
            <w:tcW w:w="1316" w:type="pct"/>
            <w:shd w:val="clear" w:color="auto" w:fill="auto"/>
            <w:noWrap/>
          </w:tcPr>
          <w:p w14:paraId="5DD9AC7B" w14:textId="5BF5C949" w:rsidR="004E7DD7" w:rsidRPr="0018386D" w:rsidRDefault="004E7DD7" w:rsidP="00DD3106">
            <w:pPr>
              <w:pStyle w:val="TableText"/>
              <w:spacing w:before="40" w:after="40"/>
              <w:rPr>
                <w:rFonts w:eastAsia="Times New Roman" w:cs="Calibri"/>
              </w:rPr>
            </w:pPr>
            <w:r w:rsidRPr="0018386D">
              <w:rPr>
                <w:rFonts w:eastAsia="Times New Roman" w:cs="Calibri"/>
              </w:rPr>
              <w:t>Wood</w:t>
            </w:r>
          </w:p>
        </w:tc>
        <w:tc>
          <w:tcPr>
            <w:tcW w:w="658" w:type="pct"/>
            <w:shd w:val="clear" w:color="auto" w:fill="auto"/>
            <w:noWrap/>
          </w:tcPr>
          <w:p w14:paraId="02BAC008" w14:textId="1D9051C6" w:rsidR="004E7DD7" w:rsidRPr="0018386D" w:rsidRDefault="004E7DD7" w:rsidP="00DD3106">
            <w:pPr>
              <w:pStyle w:val="TableText"/>
              <w:spacing w:before="40" w:after="40"/>
              <w:rPr>
                <w:rFonts w:eastAsia="Times New Roman" w:cs="Calibri"/>
              </w:rPr>
            </w:pPr>
            <w:r w:rsidRPr="0018386D">
              <w:rPr>
                <w:rFonts w:eastAsia="Times New Roman" w:cs="Calibri"/>
              </w:rPr>
              <w:t>Industry</w:t>
            </w:r>
          </w:p>
        </w:tc>
        <w:tc>
          <w:tcPr>
            <w:tcW w:w="411" w:type="pct"/>
            <w:shd w:val="clear" w:color="auto" w:fill="auto"/>
            <w:noWrap/>
          </w:tcPr>
          <w:p w14:paraId="5165A21C" w14:textId="7763A4AC"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tcPr>
          <w:p w14:paraId="4308F6A6" w14:textId="5F9E09F7" w:rsidR="004E7DD7" w:rsidRPr="0018386D" w:rsidRDefault="004E7DD7" w:rsidP="00DD3106">
            <w:pPr>
              <w:pStyle w:val="TableText"/>
              <w:spacing w:before="40" w:after="40"/>
              <w:jc w:val="right"/>
              <w:rPr>
                <w:rFonts w:eastAsia="Times New Roman" w:cs="Calibri"/>
              </w:rPr>
            </w:pPr>
            <w:r w:rsidRPr="0018386D">
              <w:rPr>
                <w:rFonts w:eastAsia="Times New Roman" w:cs="Calibri"/>
              </w:rPr>
              <w:t>9.63</w:t>
            </w:r>
          </w:p>
        </w:tc>
        <w:tc>
          <w:tcPr>
            <w:tcW w:w="576" w:type="pct"/>
            <w:shd w:val="clear" w:color="auto" w:fill="auto"/>
            <w:noWrap/>
            <w:vAlign w:val="bottom"/>
          </w:tcPr>
          <w:p w14:paraId="49EB0D0E" w14:textId="59972EE9" w:rsidR="004E7DD7" w:rsidRPr="0018386D" w:rsidRDefault="004E7DD7" w:rsidP="00DD3106">
            <w:pPr>
              <w:pStyle w:val="TableText"/>
              <w:spacing w:before="40" w:after="40"/>
              <w:jc w:val="right"/>
              <w:rPr>
                <w:rFonts w:eastAsia="Times New Roman" w:cs="Calibri"/>
              </w:rPr>
            </w:pPr>
            <w:r w:rsidRPr="0018386D">
              <w:rPr>
                <w:rFonts w:eastAsia="Times New Roman" w:cs="Calibri"/>
              </w:rPr>
              <w:t>89.47</w:t>
            </w:r>
          </w:p>
        </w:tc>
        <w:tc>
          <w:tcPr>
            <w:tcW w:w="576" w:type="pct"/>
            <w:shd w:val="clear" w:color="auto" w:fill="auto"/>
            <w:noWrap/>
            <w:vAlign w:val="bottom"/>
          </w:tcPr>
          <w:p w14:paraId="5960A841" w14:textId="3C712577" w:rsidR="004E7DD7" w:rsidRPr="0018386D" w:rsidRDefault="004E7DD7" w:rsidP="00DD3106">
            <w:pPr>
              <w:pStyle w:val="TableText"/>
              <w:spacing w:before="40" w:after="40"/>
              <w:jc w:val="right"/>
              <w:rPr>
                <w:rFonts w:eastAsia="Times New Roman" w:cs="Calibri"/>
              </w:rPr>
            </w:pPr>
            <w:r w:rsidRPr="0018386D">
              <w:rPr>
                <w:rFonts w:eastAsia="Times New Roman" w:cs="Calibri"/>
              </w:rPr>
              <w:t>0.02</w:t>
            </w:r>
          </w:p>
        </w:tc>
        <w:tc>
          <w:tcPr>
            <w:tcW w:w="641" w:type="pct"/>
            <w:shd w:val="clear" w:color="auto" w:fill="auto"/>
            <w:noWrap/>
            <w:vAlign w:val="bottom"/>
          </w:tcPr>
          <w:p w14:paraId="6C239B1B" w14:textId="706DBCC2" w:rsidR="004E7DD7" w:rsidRPr="0018386D" w:rsidRDefault="004E7DD7" w:rsidP="00DD3106">
            <w:pPr>
              <w:pStyle w:val="TableText"/>
              <w:spacing w:before="40" w:after="40"/>
              <w:jc w:val="right"/>
              <w:rPr>
                <w:rFonts w:eastAsia="Times New Roman" w:cs="Calibri"/>
              </w:rPr>
            </w:pPr>
            <w:r w:rsidRPr="0018386D">
              <w:rPr>
                <w:rFonts w:eastAsia="Times New Roman" w:cs="Calibri"/>
              </w:rPr>
              <w:t>0.003</w:t>
            </w:r>
          </w:p>
        </w:tc>
      </w:tr>
      <w:tr w:rsidR="007C39A9" w:rsidRPr="0018386D" w14:paraId="475FBCBE" w14:textId="77777777" w:rsidTr="00D84704">
        <w:tc>
          <w:tcPr>
            <w:tcW w:w="1316" w:type="pct"/>
            <w:shd w:val="clear" w:color="auto" w:fill="auto"/>
            <w:noWrap/>
          </w:tcPr>
          <w:p w14:paraId="4A1D654B" w14:textId="425895B1" w:rsidR="004E7DD7" w:rsidRPr="0018386D" w:rsidRDefault="004E7DD7" w:rsidP="00DD3106">
            <w:pPr>
              <w:pStyle w:val="TableText"/>
              <w:spacing w:before="40" w:after="40"/>
              <w:rPr>
                <w:rFonts w:eastAsia="Times New Roman" w:cs="Calibri"/>
              </w:rPr>
            </w:pPr>
            <w:r w:rsidRPr="0018386D">
              <w:rPr>
                <w:rFonts w:eastAsia="Times New Roman" w:cs="Calibri"/>
              </w:rPr>
              <w:t>Wood</w:t>
            </w:r>
          </w:p>
        </w:tc>
        <w:tc>
          <w:tcPr>
            <w:tcW w:w="658" w:type="pct"/>
            <w:shd w:val="clear" w:color="auto" w:fill="auto"/>
            <w:noWrap/>
          </w:tcPr>
          <w:p w14:paraId="64C3CD1A" w14:textId="769051E1" w:rsidR="004E7DD7" w:rsidRPr="0018386D" w:rsidRDefault="004E7DD7" w:rsidP="00DD3106">
            <w:pPr>
              <w:pStyle w:val="TableText"/>
              <w:spacing w:before="40" w:after="40"/>
              <w:rPr>
                <w:rFonts w:eastAsia="Times New Roman" w:cs="Calibri"/>
              </w:rPr>
            </w:pPr>
            <w:r w:rsidRPr="0018386D">
              <w:rPr>
                <w:rFonts w:eastAsia="Times New Roman" w:cs="Calibri"/>
              </w:rPr>
              <w:t xml:space="preserve">Residential </w:t>
            </w:r>
          </w:p>
        </w:tc>
        <w:tc>
          <w:tcPr>
            <w:tcW w:w="411" w:type="pct"/>
            <w:shd w:val="clear" w:color="auto" w:fill="auto"/>
            <w:noWrap/>
          </w:tcPr>
          <w:p w14:paraId="46A05D00" w14:textId="7C89E20E" w:rsidR="004E7DD7" w:rsidRPr="0018386D" w:rsidRDefault="004E7DD7" w:rsidP="00DD3106">
            <w:pPr>
              <w:pStyle w:val="TableText"/>
              <w:spacing w:before="40" w:after="40"/>
              <w:rPr>
                <w:rFonts w:eastAsia="Times New Roman" w:cs="Calibri"/>
              </w:rPr>
            </w:pPr>
            <w:r w:rsidRPr="0018386D">
              <w:rPr>
                <w:rFonts w:eastAsia="Times New Roman" w:cs="Calibri"/>
              </w:rPr>
              <w:t>kg</w:t>
            </w:r>
          </w:p>
        </w:tc>
        <w:tc>
          <w:tcPr>
            <w:tcW w:w="822" w:type="pct"/>
            <w:shd w:val="clear" w:color="auto" w:fill="auto"/>
            <w:noWrap/>
            <w:vAlign w:val="bottom"/>
          </w:tcPr>
          <w:p w14:paraId="111C9AD3" w14:textId="5F860E48" w:rsidR="004E7DD7" w:rsidRPr="0018386D" w:rsidRDefault="004E7DD7" w:rsidP="00DD3106">
            <w:pPr>
              <w:pStyle w:val="TableText"/>
              <w:spacing w:before="40" w:after="40"/>
              <w:jc w:val="right"/>
              <w:rPr>
                <w:rFonts w:eastAsia="Times New Roman" w:cs="Calibri"/>
              </w:rPr>
            </w:pPr>
            <w:r w:rsidRPr="0018386D">
              <w:rPr>
                <w:rFonts w:eastAsia="Times New Roman" w:cs="Calibri"/>
              </w:rPr>
              <w:t>9.63</w:t>
            </w:r>
          </w:p>
        </w:tc>
        <w:tc>
          <w:tcPr>
            <w:tcW w:w="576" w:type="pct"/>
            <w:shd w:val="clear" w:color="auto" w:fill="auto"/>
            <w:noWrap/>
            <w:vAlign w:val="bottom"/>
          </w:tcPr>
          <w:p w14:paraId="116C519E" w14:textId="608C520E" w:rsidR="004E7DD7" w:rsidRPr="0018386D" w:rsidRDefault="004E7DD7" w:rsidP="00DD3106">
            <w:pPr>
              <w:pStyle w:val="TableText"/>
              <w:spacing w:before="40" w:after="40"/>
              <w:jc w:val="right"/>
              <w:rPr>
                <w:rFonts w:eastAsia="Times New Roman" w:cs="Calibri"/>
              </w:rPr>
            </w:pPr>
            <w:r w:rsidRPr="0018386D">
              <w:rPr>
                <w:rFonts w:eastAsia="Times New Roman" w:cs="Calibri"/>
              </w:rPr>
              <w:t>89.47</w:t>
            </w:r>
          </w:p>
        </w:tc>
        <w:tc>
          <w:tcPr>
            <w:tcW w:w="576" w:type="pct"/>
            <w:shd w:val="clear" w:color="auto" w:fill="auto"/>
            <w:noWrap/>
            <w:vAlign w:val="bottom"/>
          </w:tcPr>
          <w:p w14:paraId="0383E063" w14:textId="5BB70AF0" w:rsidR="004E7DD7" w:rsidRPr="0018386D" w:rsidRDefault="004E7DD7" w:rsidP="00DD3106">
            <w:pPr>
              <w:pStyle w:val="TableText"/>
              <w:spacing w:before="40" w:after="40"/>
              <w:jc w:val="right"/>
              <w:rPr>
                <w:rFonts w:eastAsia="Times New Roman" w:cs="Calibri"/>
              </w:rPr>
            </w:pPr>
            <w:r w:rsidRPr="0018386D">
              <w:rPr>
                <w:rFonts w:eastAsia="Times New Roman" w:cs="Calibri"/>
              </w:rPr>
              <w:t>0.24</w:t>
            </w:r>
          </w:p>
        </w:tc>
        <w:tc>
          <w:tcPr>
            <w:tcW w:w="641" w:type="pct"/>
            <w:shd w:val="clear" w:color="auto" w:fill="auto"/>
            <w:noWrap/>
            <w:vAlign w:val="bottom"/>
          </w:tcPr>
          <w:p w14:paraId="7543DC1A" w14:textId="25383DF2" w:rsidR="004E7DD7" w:rsidRPr="0018386D" w:rsidRDefault="004E7DD7" w:rsidP="00DD3106">
            <w:pPr>
              <w:pStyle w:val="TableText"/>
              <w:spacing w:before="40" w:after="40"/>
              <w:jc w:val="right"/>
              <w:rPr>
                <w:rFonts w:eastAsia="Times New Roman" w:cs="Calibri"/>
              </w:rPr>
            </w:pPr>
            <w:r w:rsidRPr="0018386D">
              <w:rPr>
                <w:rFonts w:eastAsia="Times New Roman" w:cs="Calibri"/>
              </w:rPr>
              <w:t>0.003</w:t>
            </w:r>
          </w:p>
        </w:tc>
      </w:tr>
    </w:tbl>
    <w:p w14:paraId="079DC1CF" w14:textId="77777777" w:rsidR="000A7A91" w:rsidRPr="0018386D" w:rsidRDefault="00F13B1C" w:rsidP="00DD3106">
      <w:pPr>
        <w:pStyle w:val="Note"/>
      </w:pPr>
      <w:r w:rsidRPr="0018386D">
        <w:rPr>
          <w:b/>
        </w:rPr>
        <w:t>Note:</w:t>
      </w:r>
      <w:r w:rsidRPr="0018386D">
        <w:t xml:space="preserve"> It is not expected that many commercial or industrial users will burn wood in fireplaces, but this emission factor is included for completeness. It is the default residential emission factor. </w:t>
      </w:r>
    </w:p>
    <w:p w14:paraId="44D3BF6B" w14:textId="2DD65145" w:rsidR="0070282F" w:rsidRPr="0018386D" w:rsidRDefault="00F13B1C" w:rsidP="00DD3106">
      <w:pPr>
        <w:pStyle w:val="Note"/>
        <w:spacing w:before="0"/>
      </w:pPr>
      <w:r w:rsidRPr="0018386D">
        <w:rPr>
          <w:b/>
        </w:rPr>
        <w:t>Note</w:t>
      </w:r>
      <w:r w:rsidRPr="0018386D">
        <w:rPr>
          <w:b/>
          <w:vertAlign w:val="superscript"/>
        </w:rPr>
        <w:t>2</w:t>
      </w:r>
      <w:r w:rsidRPr="0018386D">
        <w:t xml:space="preserve">: The total of each gas contribution </w:t>
      </w:r>
      <w:r w:rsidR="0082155B" w:rsidRPr="0018386D">
        <w:t>is</w:t>
      </w:r>
      <w:r w:rsidRPr="0018386D">
        <w:t xml:space="preserve"> expressed in tonnes of gas (not CO</w:t>
      </w:r>
      <w:r w:rsidRPr="0018386D">
        <w:rPr>
          <w:vertAlign w:val="subscript"/>
        </w:rPr>
        <w:t>2</w:t>
      </w:r>
      <w:r w:rsidRPr="0018386D">
        <w:t>-e as presented elsewhere in this guidance).</w:t>
      </w:r>
    </w:p>
    <w:p w14:paraId="79D2E710" w14:textId="4500A9B3" w:rsidR="0070282F" w:rsidRPr="0018386D" w:rsidRDefault="00F13B1C" w:rsidP="00DD3106">
      <w:pPr>
        <w:pStyle w:val="Note"/>
        <w:spacing w:before="0"/>
      </w:pPr>
      <w:r w:rsidRPr="0018386D">
        <w:rPr>
          <w:b/>
        </w:rPr>
        <w:t>Note</w:t>
      </w:r>
      <w:r w:rsidRPr="0018386D">
        <w:rPr>
          <w:b/>
          <w:vertAlign w:val="superscript"/>
        </w:rPr>
        <w:t>3</w:t>
      </w:r>
      <w:r w:rsidRPr="0018386D">
        <w:t xml:space="preserve">: The solid and gaseous fuel calorific values remain unchanged from last year. Liquid fuel calorific values were updated using the MBIE energy statistics for oil, available at </w:t>
      </w:r>
      <w:hyperlink r:id="rId160" w:history="1">
        <w:r w:rsidRPr="0018386D">
          <w:rPr>
            <w:rStyle w:val="Hyperlink"/>
          </w:rPr>
          <w:t>www.mbie.govt.nz/building-and-energy/energy-and-natural-resources/energy-statistics-and-modelling/energy-statistics/oil-statistics/</w:t>
        </w:r>
      </w:hyperlink>
      <w:r w:rsidRPr="0018386D">
        <w:t xml:space="preserve">. </w:t>
      </w:r>
    </w:p>
    <w:p w14:paraId="608B0436" w14:textId="4918BAF5" w:rsidR="00F13B1C" w:rsidRPr="0018386D" w:rsidRDefault="00F13B1C" w:rsidP="00DD3106">
      <w:pPr>
        <w:pStyle w:val="Note"/>
        <w:spacing w:before="0"/>
      </w:pPr>
      <w:r w:rsidRPr="0018386D">
        <w:rPr>
          <w:b/>
        </w:rPr>
        <w:t>Note</w:t>
      </w:r>
      <w:r w:rsidRPr="0018386D">
        <w:rPr>
          <w:b/>
          <w:vertAlign w:val="superscript"/>
        </w:rPr>
        <w:t>4</w:t>
      </w:r>
      <w:r w:rsidRPr="0018386D">
        <w:t xml:space="preserve">: The gross GHG emission factors for fuels are taken from Annex 4 of </w:t>
      </w:r>
      <w:hyperlink r:id="rId161" w:history="1">
        <w:r w:rsidRPr="0018386D">
          <w:rPr>
            <w:rStyle w:val="Hyperlink"/>
            <w:rFonts w:eastAsia="Calibri" w:cs="Calibri"/>
            <w:i/>
            <w:iCs/>
          </w:rPr>
          <w:t>New Zealand’s Greenhouse Gas Inventory 1990</w:t>
        </w:r>
        <w:r w:rsidR="0070282F" w:rsidRPr="0018386D">
          <w:rPr>
            <w:rStyle w:val="Hyperlink"/>
            <w:rFonts w:eastAsia="Calibri" w:cs="Calibri"/>
            <w:i/>
            <w:iCs/>
          </w:rPr>
          <w:t>–</w:t>
        </w:r>
        <w:r w:rsidRPr="0018386D">
          <w:rPr>
            <w:rStyle w:val="Hyperlink"/>
            <w:rFonts w:eastAsia="Calibri" w:cs="Calibri"/>
            <w:i/>
            <w:iCs/>
          </w:rPr>
          <w:t>2021</w:t>
        </w:r>
      </w:hyperlink>
      <w:r w:rsidRPr="0018386D">
        <w:rPr>
          <w:rStyle w:val="Hyperlink"/>
          <w:rFonts w:eastAsia="Calibri" w:cs="Calibri"/>
        </w:rPr>
        <w:t>.</w:t>
      </w:r>
    </w:p>
    <w:p w14:paraId="48D9E2BE" w14:textId="0E68122A" w:rsidR="00487827" w:rsidRPr="0018386D" w:rsidRDefault="00487827" w:rsidP="00DD3106">
      <w:pPr>
        <w:pStyle w:val="BodyText"/>
      </w:pPr>
      <w:r w:rsidRPr="0018386D">
        <w:br w:type="page"/>
      </w:r>
    </w:p>
    <w:p w14:paraId="29061B23" w14:textId="263EF66D" w:rsidR="00487827" w:rsidRPr="0018386D" w:rsidRDefault="00487827" w:rsidP="00DD3106">
      <w:pPr>
        <w:pStyle w:val="Heading1"/>
        <w:spacing w:line="580" w:lineRule="atLeast"/>
      </w:pPr>
      <w:bookmarkStart w:id="999" w:name="_Appendix_B:_Alternative"/>
      <w:bookmarkStart w:id="1000" w:name="_Ref532563085"/>
      <w:bookmarkStart w:id="1001" w:name="_Ref532563823"/>
      <w:bookmarkStart w:id="1002" w:name="_Toc532904979"/>
      <w:bookmarkStart w:id="1003" w:name="_Toc600610"/>
      <w:bookmarkStart w:id="1004" w:name="_Toc140048937"/>
      <w:bookmarkEnd w:id="999"/>
      <w:r w:rsidRPr="0018386D">
        <w:t>Appendix B: Alternative method</w:t>
      </w:r>
      <w:r w:rsidR="00952102" w:rsidRPr="0018386D">
        <w:t>s</w:t>
      </w:r>
      <w:r w:rsidRPr="0018386D">
        <w:t xml:space="preserve"> of calculating </w:t>
      </w:r>
      <w:r w:rsidR="00144FAB" w:rsidRPr="0018386D">
        <w:t xml:space="preserve">emissions from </w:t>
      </w:r>
      <w:r w:rsidRPr="0018386D">
        <w:t>re</w:t>
      </w:r>
      <w:r w:rsidR="00426E1B" w:rsidRPr="0018386D">
        <w:t>f</w:t>
      </w:r>
      <w:r w:rsidRPr="0018386D">
        <w:t>rigerants</w:t>
      </w:r>
      <w:bookmarkEnd w:id="1000"/>
      <w:bookmarkEnd w:id="1001"/>
      <w:bookmarkEnd w:id="1002"/>
      <w:bookmarkEnd w:id="1003"/>
      <w:r w:rsidR="00077EC5" w:rsidRPr="0018386D">
        <w:t xml:space="preserve"> and</w:t>
      </w:r>
      <w:r w:rsidR="00D56F80" w:rsidRPr="0018386D">
        <w:t xml:space="preserve"> </w:t>
      </w:r>
      <w:r w:rsidR="00077EC5" w:rsidRPr="0018386D">
        <w:t>medical</w:t>
      </w:r>
      <w:r w:rsidR="00A9303E" w:rsidRPr="0018386D">
        <w:t> </w:t>
      </w:r>
      <w:proofErr w:type="gramStart"/>
      <w:r w:rsidR="00077EC5" w:rsidRPr="0018386D">
        <w:t>gases</w:t>
      </w:r>
      <w:bookmarkEnd w:id="1004"/>
      <w:proofErr w:type="gramEnd"/>
    </w:p>
    <w:p w14:paraId="62E0250F" w14:textId="7DEEC42A" w:rsidR="007E2924" w:rsidRPr="0018386D" w:rsidRDefault="007E2924" w:rsidP="00DD3106">
      <w:pPr>
        <w:pStyle w:val="BodyText"/>
        <w:spacing w:before="100" w:after="100"/>
      </w:pPr>
      <w:bookmarkStart w:id="1005" w:name="_Toc532904980"/>
      <w:r w:rsidRPr="0018386D">
        <w:t xml:space="preserve">This </w:t>
      </w:r>
      <w:r w:rsidR="0054738D" w:rsidRPr="0018386D">
        <w:t>a</w:t>
      </w:r>
      <w:r w:rsidRPr="0018386D">
        <w:t xml:space="preserve">ppendix outlines two screening methods </w:t>
      </w:r>
      <w:r w:rsidR="005B561F" w:rsidRPr="0018386D">
        <w:t xml:space="preserve">(Methods B and C) </w:t>
      </w:r>
      <w:r w:rsidRPr="0018386D">
        <w:t>to estimate emissions from refrigerant leakage whe</w:t>
      </w:r>
      <w:r w:rsidR="008362A2" w:rsidRPr="0018386D">
        <w:t>n</w:t>
      </w:r>
      <w:r w:rsidRPr="0018386D">
        <w:t xml:space="preserve"> top</w:t>
      </w:r>
      <w:r w:rsidR="008362A2" w:rsidRPr="0018386D">
        <w:t>-</w:t>
      </w:r>
      <w:r w:rsidRPr="0018386D">
        <w:t>up information is not available. Method C is the same as Method B except that it allows the use of default refrigerant quantities as well as default leakage rates.</w:t>
      </w:r>
      <w:r w:rsidR="004C3308" w:rsidRPr="0018386D">
        <w:t xml:space="preserve"> </w:t>
      </w:r>
    </w:p>
    <w:p w14:paraId="7A9CE746" w14:textId="2B2E3F40" w:rsidR="00952102" w:rsidRPr="0018386D" w:rsidRDefault="00952102" w:rsidP="00DD3106">
      <w:pPr>
        <w:pStyle w:val="Appendixheading2"/>
        <w:numPr>
          <w:ilvl w:val="1"/>
          <w:numId w:val="44"/>
        </w:numPr>
        <w:spacing w:before="240" w:after="240" w:line="420" w:lineRule="atLeast"/>
      </w:pPr>
      <w:bookmarkStart w:id="1006" w:name="_Toc600611"/>
      <w:r w:rsidRPr="0018386D">
        <w:t>Method B – Default annual leakage rate</w:t>
      </w:r>
      <w:bookmarkEnd w:id="1005"/>
      <w:bookmarkEnd w:id="1006"/>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D65D8" w:rsidRPr="0018386D" w14:paraId="3570F717" w14:textId="77777777" w:rsidTr="001E4F7B">
        <w:tc>
          <w:tcPr>
            <w:tcW w:w="0" w:type="auto"/>
            <w:shd w:val="clear" w:color="auto" w:fill="D2DDE1" w:themeFill="background2"/>
          </w:tcPr>
          <w:p w14:paraId="02814CEE" w14:textId="3FAEEEC6" w:rsidR="008D65D8" w:rsidRPr="0018386D" w:rsidRDefault="008D65D8" w:rsidP="00DD3106">
            <w:pPr>
              <w:pStyle w:val="Blueboxtext"/>
              <w:spacing w:before="180" w:after="180"/>
              <w:jc w:val="center"/>
              <w:rPr>
                <w:i/>
              </w:rPr>
            </w:pPr>
            <w:r w:rsidRPr="0018386D">
              <w:rPr>
                <w:i/>
              </w:rPr>
              <w:t>E = OE × GWP</w:t>
            </w:r>
          </w:p>
        </w:tc>
      </w:tr>
    </w:tbl>
    <w:p w14:paraId="617C9D41" w14:textId="77777777" w:rsidR="00952102" w:rsidRPr="0018386D" w:rsidRDefault="00952102" w:rsidP="00DD3106">
      <w:pPr>
        <w:pStyle w:val="BodyText"/>
        <w:spacing w:before="180" w:after="100"/>
      </w:pPr>
      <w:r w:rsidRPr="0018386D">
        <w:t>Where:</w:t>
      </w:r>
    </w:p>
    <w:p w14:paraId="04A9A40E" w14:textId="2EE80658" w:rsidR="00952102" w:rsidRPr="0018386D" w:rsidRDefault="00952102" w:rsidP="00DD3106">
      <w:pPr>
        <w:pStyle w:val="Bullet"/>
        <w:spacing w:after="60"/>
      </w:pPr>
      <w:r w:rsidRPr="0018386D">
        <w:t>E</w:t>
      </w:r>
      <w:r w:rsidR="004A4F6C" w:rsidRPr="0018386D">
        <w:t xml:space="preserve"> = </w:t>
      </w:r>
      <w:r w:rsidRPr="0018386D">
        <w:t>emissions from equipment in kg CO</w:t>
      </w:r>
      <w:r w:rsidRPr="0018386D">
        <w:rPr>
          <w:vertAlign w:val="subscript"/>
        </w:rPr>
        <w:t>2</w:t>
      </w:r>
      <w:r w:rsidRPr="0018386D">
        <w:t>-e</w:t>
      </w:r>
    </w:p>
    <w:p w14:paraId="7B074D9A" w14:textId="7D4EE48A" w:rsidR="00952102" w:rsidRPr="0018386D" w:rsidRDefault="00952102" w:rsidP="00DD3106">
      <w:pPr>
        <w:pStyle w:val="Bullet"/>
        <w:spacing w:after="60"/>
      </w:pPr>
      <w:r w:rsidRPr="0018386D">
        <w:t>OE</w:t>
      </w:r>
      <w:r w:rsidR="004A4F6C" w:rsidRPr="0018386D">
        <w:t xml:space="preserve"> </w:t>
      </w:r>
      <w:r w:rsidRPr="0018386D">
        <w:t>=</w:t>
      </w:r>
      <w:r w:rsidR="004A4F6C" w:rsidRPr="0018386D">
        <w:t xml:space="preserve"> </w:t>
      </w:r>
      <w:r w:rsidRPr="0018386D">
        <w:t>operation emissions, kg by gas type</w:t>
      </w:r>
    </w:p>
    <w:p w14:paraId="623906B4" w14:textId="2E64EE62" w:rsidR="00952102" w:rsidRPr="0018386D" w:rsidRDefault="00952102" w:rsidP="00DD3106">
      <w:pPr>
        <w:pStyle w:val="Bullet"/>
        <w:spacing w:after="240"/>
      </w:pPr>
      <w:r w:rsidRPr="0018386D">
        <w:t>GWP</w:t>
      </w:r>
      <w:r w:rsidR="004A4F6C" w:rsidRPr="0018386D">
        <w:t xml:space="preserve"> </w:t>
      </w:r>
      <w:r w:rsidRPr="0018386D">
        <w:t>=</w:t>
      </w:r>
      <w:r w:rsidR="004A4F6C" w:rsidRPr="0018386D">
        <w:t xml:space="preserve"> </w:t>
      </w:r>
      <w:r w:rsidRPr="0018386D">
        <w:t>the 100-year global warming potential of the refrigerant used in equipment (</w:t>
      </w:r>
      <w:hyperlink w:anchor="table7">
        <w:r w:rsidR="008D65D8" w:rsidRPr="0018386D">
          <w:rPr>
            <w:rStyle w:val="Hyperlink"/>
          </w:rPr>
          <w:t>t</w:t>
        </w:r>
        <w:r w:rsidR="004C3803" w:rsidRPr="0018386D">
          <w:rPr>
            <w:rStyle w:val="Hyperlink"/>
          </w:rPr>
          <w:t>able 7</w:t>
        </w:r>
      </w:hyperlink>
      <w:r w:rsidR="007217C0" w:rsidRPr="0018386D">
        <w:t>)</w:t>
      </w:r>
      <w:r w:rsidRPr="0018386D">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4C3803" w:rsidRPr="0018386D" w14:paraId="77C9444F" w14:textId="77777777" w:rsidTr="001E4F7B">
        <w:tc>
          <w:tcPr>
            <w:tcW w:w="0" w:type="auto"/>
            <w:shd w:val="clear" w:color="auto" w:fill="D2DDE1" w:themeFill="background2"/>
          </w:tcPr>
          <w:p w14:paraId="3E5C58D9" w14:textId="2A39F9A2" w:rsidR="004C3803" w:rsidRPr="0018386D" w:rsidRDefault="004C3803" w:rsidP="00DD3106">
            <w:pPr>
              <w:pStyle w:val="Blueboxtext"/>
              <w:spacing w:before="180" w:after="180"/>
              <w:jc w:val="center"/>
            </w:pPr>
            <w:r w:rsidRPr="0018386D">
              <w:rPr>
                <w:i/>
              </w:rPr>
              <w:t>OE = C × ALR</w:t>
            </w:r>
          </w:p>
        </w:tc>
      </w:tr>
    </w:tbl>
    <w:p w14:paraId="69CF8755" w14:textId="4B83391F" w:rsidR="007217C0" w:rsidRPr="0018386D" w:rsidRDefault="007217C0" w:rsidP="00DD3106">
      <w:pPr>
        <w:pStyle w:val="BodyText"/>
        <w:spacing w:before="180" w:after="80"/>
        <w:rPr>
          <w:rFonts w:eastAsia="Times New Roman"/>
          <w:lang w:eastAsia="en-US"/>
        </w:rPr>
      </w:pPr>
      <w:r w:rsidRPr="0018386D">
        <w:rPr>
          <w:rFonts w:eastAsia="Times New Roman"/>
          <w:lang w:eastAsia="en-US"/>
        </w:rPr>
        <w:t>Where:</w:t>
      </w:r>
    </w:p>
    <w:p w14:paraId="150A3AFD" w14:textId="4455D1DE" w:rsidR="00952102" w:rsidRPr="0018386D" w:rsidRDefault="00952102" w:rsidP="00DD3106">
      <w:pPr>
        <w:pStyle w:val="Bullet"/>
        <w:spacing w:after="60"/>
      </w:pPr>
      <w:r w:rsidRPr="0018386D">
        <w:t>C</w:t>
      </w:r>
      <w:r w:rsidR="004A4F6C" w:rsidRPr="0018386D">
        <w:t xml:space="preserve"> </w:t>
      </w:r>
      <w:r w:rsidRPr="0018386D">
        <w:t>=</w:t>
      </w:r>
      <w:r w:rsidR="004A4F6C" w:rsidRPr="0018386D">
        <w:t xml:space="preserve"> </w:t>
      </w:r>
      <w:r w:rsidRPr="0018386D">
        <w:t>original full refrigerant charge in equipment (kg)</w:t>
      </w:r>
    </w:p>
    <w:p w14:paraId="4485A5CC" w14:textId="4AF99D01" w:rsidR="00952102" w:rsidRPr="0018386D" w:rsidRDefault="00952102" w:rsidP="00DD3106">
      <w:pPr>
        <w:pStyle w:val="Bullet"/>
        <w:spacing w:after="100"/>
      </w:pPr>
      <w:r w:rsidRPr="0018386D">
        <w:t>ALR</w:t>
      </w:r>
      <w:r w:rsidR="004A4F6C" w:rsidRPr="0018386D">
        <w:t xml:space="preserve"> </w:t>
      </w:r>
      <w:r w:rsidRPr="0018386D">
        <w:t>=</w:t>
      </w:r>
      <w:r w:rsidR="004A4F6C" w:rsidRPr="0018386D">
        <w:t xml:space="preserve"> </w:t>
      </w:r>
      <w:r w:rsidRPr="0018386D">
        <w:t>the default annual leakage emission factor for equipment (%).</w:t>
      </w:r>
    </w:p>
    <w:p w14:paraId="56364B30" w14:textId="657E7BAC" w:rsidR="00952102" w:rsidRPr="0018386D" w:rsidRDefault="00952102" w:rsidP="00DD3106">
      <w:pPr>
        <w:pStyle w:val="BodyText"/>
        <w:spacing w:before="100" w:after="100"/>
      </w:pPr>
      <w:r w:rsidRPr="0018386D">
        <w:t>The type and quantity of HFC in the equipment will often be shown on the compliance plate. If not, this method requires service agents’ advice for refrigerant type and full refrigerant charge of each piece of equipment.</w:t>
      </w:r>
    </w:p>
    <w:p w14:paraId="5FDEF975" w14:textId="09DD0C98" w:rsidR="00DD78D0" w:rsidRPr="0018386D" w:rsidRDefault="00DD78D0" w:rsidP="00DD3106">
      <w:pPr>
        <w:pStyle w:val="Appendixheading2"/>
        <w:numPr>
          <w:ilvl w:val="1"/>
          <w:numId w:val="43"/>
        </w:numPr>
        <w:spacing w:before="240" w:after="240" w:line="420" w:lineRule="atLeast"/>
      </w:pPr>
      <w:bookmarkStart w:id="1007" w:name="_Toc532904981"/>
      <w:bookmarkStart w:id="1008" w:name="_Toc600612"/>
      <w:r w:rsidRPr="0018386D">
        <w:t xml:space="preserve">Method </w:t>
      </w:r>
      <w:r w:rsidR="00952102" w:rsidRPr="0018386D">
        <w:t>C</w:t>
      </w:r>
      <w:r w:rsidRPr="0018386D">
        <w:t xml:space="preserve"> – Default annual leakage rate</w:t>
      </w:r>
      <w:r w:rsidR="001E4F7B" w:rsidRPr="0018386D">
        <w:t> </w:t>
      </w:r>
      <w:r w:rsidRPr="0018386D">
        <w:t>and default</w:t>
      </w:r>
      <w:r w:rsidR="00AE2AD6" w:rsidRPr="0018386D">
        <w:t> </w:t>
      </w:r>
      <w:r w:rsidRPr="0018386D">
        <w:t>refrigerant charge</w:t>
      </w:r>
      <w:bookmarkEnd w:id="1007"/>
      <w:bookmarkEnd w:id="1008"/>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AE2AD6" w:rsidRPr="0018386D" w14:paraId="59717B18" w14:textId="77777777" w:rsidTr="001E4F7B">
        <w:tc>
          <w:tcPr>
            <w:tcW w:w="0" w:type="auto"/>
            <w:shd w:val="clear" w:color="auto" w:fill="D2DDE1" w:themeFill="background2"/>
          </w:tcPr>
          <w:p w14:paraId="652BB952" w14:textId="0422173A" w:rsidR="00AE2AD6" w:rsidRPr="0018386D" w:rsidRDefault="00AE2AD6" w:rsidP="00DD3106">
            <w:pPr>
              <w:pStyle w:val="Blueboxtext"/>
              <w:spacing w:before="180" w:after="180"/>
              <w:jc w:val="center"/>
            </w:pPr>
            <w:r w:rsidRPr="0018386D">
              <w:rPr>
                <w:i/>
              </w:rPr>
              <w:t>E = (IE + DE + (C x ALR)) x GWP</w:t>
            </w:r>
          </w:p>
        </w:tc>
      </w:tr>
    </w:tbl>
    <w:p w14:paraId="2217A255" w14:textId="55E9F0ED" w:rsidR="00DD78D0" w:rsidRPr="0018386D" w:rsidRDefault="00DD78D0" w:rsidP="00DD3106">
      <w:pPr>
        <w:pStyle w:val="BodyText"/>
        <w:spacing w:before="180" w:after="80"/>
      </w:pPr>
      <w:r w:rsidRPr="0018386D">
        <w:t>Where:</w:t>
      </w:r>
    </w:p>
    <w:p w14:paraId="7FBB65C6" w14:textId="0E1FAEC1" w:rsidR="00DD78D0" w:rsidRPr="0018386D" w:rsidRDefault="00DD78D0" w:rsidP="00DD3106">
      <w:pPr>
        <w:pStyle w:val="Bullet"/>
        <w:spacing w:after="60"/>
      </w:pPr>
      <w:r w:rsidRPr="0018386D">
        <w:t>E</w:t>
      </w:r>
      <w:r w:rsidR="008E5BC2" w:rsidRPr="0018386D">
        <w:t xml:space="preserve"> </w:t>
      </w:r>
      <w:r w:rsidRPr="0018386D">
        <w:t>=</w:t>
      </w:r>
      <w:r w:rsidR="008E5BC2" w:rsidRPr="0018386D">
        <w:t xml:space="preserve"> </w:t>
      </w:r>
      <w:r w:rsidRPr="0018386D">
        <w:t>emissions from equipment in kg CO</w:t>
      </w:r>
      <w:r w:rsidRPr="0018386D">
        <w:rPr>
          <w:vertAlign w:val="subscript"/>
        </w:rPr>
        <w:t>2</w:t>
      </w:r>
      <w:r w:rsidRPr="0018386D">
        <w:t>-e</w:t>
      </w:r>
    </w:p>
    <w:p w14:paraId="533C6765" w14:textId="57726CD1" w:rsidR="00DD78D0" w:rsidRPr="0018386D" w:rsidRDefault="00DD78D0" w:rsidP="00DD3106">
      <w:pPr>
        <w:pStyle w:val="Bullet"/>
        <w:spacing w:after="60"/>
      </w:pPr>
      <w:r w:rsidRPr="0018386D">
        <w:t>IE</w:t>
      </w:r>
      <w:r w:rsidR="008E5BC2" w:rsidRPr="0018386D">
        <w:t xml:space="preserve"> </w:t>
      </w:r>
      <w:r w:rsidRPr="0018386D">
        <w:t>=</w:t>
      </w:r>
      <w:r w:rsidR="008E5BC2" w:rsidRPr="0018386D">
        <w:t xml:space="preserve"> </w:t>
      </w:r>
      <w:r w:rsidRPr="0018386D">
        <w:t xml:space="preserve">installation emissions </w:t>
      </w:r>
    </w:p>
    <w:p w14:paraId="4F57814E" w14:textId="12896F4C" w:rsidR="00DD78D0" w:rsidRPr="0018386D" w:rsidRDefault="00DD78D0" w:rsidP="00DD3106">
      <w:pPr>
        <w:pStyle w:val="Bullet"/>
        <w:spacing w:after="60"/>
      </w:pPr>
      <w:r w:rsidRPr="0018386D">
        <w:t>C</w:t>
      </w:r>
      <w:r w:rsidR="008E5BC2" w:rsidRPr="0018386D">
        <w:t xml:space="preserve"> </w:t>
      </w:r>
      <w:r w:rsidRPr="0018386D">
        <w:t>=</w:t>
      </w:r>
      <w:r w:rsidR="008E5BC2" w:rsidRPr="0018386D">
        <w:t xml:space="preserve"> </w:t>
      </w:r>
      <w:r w:rsidRPr="0018386D">
        <w:t>default refrigerant charge in each piece of equipment (kg)</w:t>
      </w:r>
    </w:p>
    <w:p w14:paraId="6B087196" w14:textId="7AA47249" w:rsidR="00DD78D0" w:rsidRPr="0018386D" w:rsidRDefault="008E5BC2" w:rsidP="00DD3106">
      <w:pPr>
        <w:pStyle w:val="Bullet"/>
        <w:spacing w:after="60"/>
      </w:pPr>
      <w:r w:rsidRPr="0018386D">
        <w:t xml:space="preserve">ALR </w:t>
      </w:r>
      <w:r w:rsidR="00DD78D0" w:rsidRPr="0018386D">
        <w:t>=</w:t>
      </w:r>
      <w:r w:rsidRPr="0018386D">
        <w:t xml:space="preserve"> </w:t>
      </w:r>
      <w:r w:rsidR="00DD78D0" w:rsidRPr="0018386D">
        <w:t>default annual leakage emission factor for equipment (%)</w:t>
      </w:r>
    </w:p>
    <w:p w14:paraId="3DFA890B" w14:textId="39107C7F" w:rsidR="00DD78D0" w:rsidRPr="0018386D" w:rsidRDefault="00DD78D0" w:rsidP="00DD3106">
      <w:pPr>
        <w:pStyle w:val="Bullet"/>
        <w:spacing w:after="60"/>
      </w:pPr>
      <w:r w:rsidRPr="0018386D">
        <w:t>DE</w:t>
      </w:r>
      <w:r w:rsidR="008E5BC2" w:rsidRPr="0018386D">
        <w:t xml:space="preserve"> </w:t>
      </w:r>
      <w:r w:rsidRPr="0018386D">
        <w:t>=</w:t>
      </w:r>
      <w:r w:rsidR="008E5BC2" w:rsidRPr="0018386D">
        <w:t xml:space="preserve"> </w:t>
      </w:r>
      <w:r w:rsidRPr="0018386D">
        <w:t>disposal emissions (as per method B)</w:t>
      </w:r>
    </w:p>
    <w:p w14:paraId="4F684715" w14:textId="530C448C" w:rsidR="00DD78D0" w:rsidRPr="0018386D" w:rsidRDefault="00DD78D0" w:rsidP="00DD3106">
      <w:pPr>
        <w:pStyle w:val="Bullet"/>
        <w:spacing w:after="100"/>
      </w:pPr>
      <w:r w:rsidRPr="0018386D">
        <w:t>GWP</w:t>
      </w:r>
      <w:r w:rsidR="008E5BC2" w:rsidRPr="0018386D">
        <w:t xml:space="preserve"> </w:t>
      </w:r>
      <w:r w:rsidRPr="0018386D">
        <w:t>=</w:t>
      </w:r>
      <w:r w:rsidR="008E5BC2" w:rsidRPr="0018386D">
        <w:t xml:space="preserve"> </w:t>
      </w:r>
      <w:r w:rsidRPr="0018386D">
        <w:t>the 100-year global warming potential of the refrigerant used in equipment (</w:t>
      </w:r>
      <w:hyperlink w:anchor="table7">
        <w:r w:rsidR="00AE2AD6" w:rsidRPr="0018386D">
          <w:rPr>
            <w:rStyle w:val="Hyperlink"/>
          </w:rPr>
          <w:t>table 7</w:t>
        </w:r>
      </w:hyperlink>
      <w:r w:rsidRPr="0018386D">
        <w:t>)</w:t>
      </w:r>
      <w:r w:rsidR="00CD5198" w:rsidRPr="0018386D">
        <w:t>.</w:t>
      </w:r>
    </w:p>
    <w:bookmarkStart w:id="1009" w:name="_Ref532370134"/>
    <w:p w14:paraId="3E58EE92" w14:textId="18AE88A0" w:rsidR="007E2924" w:rsidRPr="0018386D" w:rsidRDefault="003C63BD" w:rsidP="00DD3106">
      <w:pPr>
        <w:pStyle w:val="BodyText"/>
      </w:pPr>
      <w:r w:rsidRPr="0018386D">
        <w:fldChar w:fldCharType="begin"/>
      </w:r>
      <w:r w:rsidRPr="0018386D">
        <w:instrText xml:space="preserve"> HYPERLINK  \l "tableB1" </w:instrText>
      </w:r>
      <w:r w:rsidRPr="0018386D">
        <w:fldChar w:fldCharType="separate"/>
      </w:r>
      <w:r w:rsidR="00AE2AD6" w:rsidRPr="0018386D">
        <w:rPr>
          <w:rStyle w:val="Hyperlink"/>
        </w:rPr>
        <w:t>Table B1</w:t>
      </w:r>
      <w:r w:rsidRPr="0018386D">
        <w:fldChar w:fldCharType="end"/>
      </w:r>
      <w:r w:rsidR="007E2924" w:rsidRPr="0018386D">
        <w:t xml:space="preserve"> contains default refrigerant charge amounts for the New Zealand refrigeration and air</w:t>
      </w:r>
      <w:r w:rsidR="00AE2AD6" w:rsidRPr="0018386D">
        <w:noBreakHyphen/>
      </w:r>
      <w:r w:rsidR="007E2924" w:rsidRPr="0018386D">
        <w:t>conditioning equipment stock.</w:t>
      </w:r>
    </w:p>
    <w:p w14:paraId="49FF1C40" w14:textId="621EBF58" w:rsidR="005F412E" w:rsidRPr="0018386D" w:rsidRDefault="005F412E" w:rsidP="00DD3106">
      <w:pPr>
        <w:pStyle w:val="Tableheading"/>
      </w:pPr>
      <w:bookmarkStart w:id="1010" w:name="_Ref532913886"/>
      <w:bookmarkStart w:id="1011" w:name="_Ref538337"/>
      <w:bookmarkStart w:id="1012" w:name="tableB1"/>
      <w:bookmarkStart w:id="1013" w:name="_Toc55216422"/>
      <w:bookmarkStart w:id="1014" w:name="_Toc111536710"/>
      <w:bookmarkStart w:id="1015" w:name="_Toc140049038"/>
      <w:r w:rsidRPr="0018386D">
        <w:t>Table</w:t>
      </w:r>
      <w:bookmarkEnd w:id="1009"/>
      <w:bookmarkEnd w:id="1010"/>
      <w:r w:rsidR="008E5BC2" w:rsidRPr="0018386D">
        <w:t xml:space="preserve"> B</w:t>
      </w:r>
      <w:r w:rsidRPr="0018386D">
        <w:fldChar w:fldCharType="begin"/>
      </w:r>
      <w:r w:rsidRPr="0018386D">
        <w:instrText>SEQ Table_B. \* ARABIC</w:instrText>
      </w:r>
      <w:r w:rsidRPr="0018386D">
        <w:fldChar w:fldCharType="separate"/>
      </w:r>
      <w:r w:rsidR="003E141C" w:rsidRPr="0018386D">
        <w:t>1</w:t>
      </w:r>
      <w:r w:rsidRPr="0018386D">
        <w:fldChar w:fldCharType="end"/>
      </w:r>
      <w:bookmarkEnd w:id="1011"/>
      <w:bookmarkEnd w:id="1012"/>
      <w:r w:rsidRPr="0018386D">
        <w:t>:</w:t>
      </w:r>
      <w:r w:rsidRPr="0018386D">
        <w:tab/>
        <w:t xml:space="preserve">Default </w:t>
      </w:r>
      <w:r w:rsidR="008362A2" w:rsidRPr="0018386D">
        <w:t>r</w:t>
      </w:r>
      <w:r w:rsidRPr="0018386D">
        <w:t>efrigerant charges for refrigeration and air</w:t>
      </w:r>
      <w:r w:rsidR="00CD5198" w:rsidRPr="0018386D">
        <w:t>-</w:t>
      </w:r>
      <w:r w:rsidRPr="0018386D">
        <w:t>conditioning equipment</w:t>
      </w:r>
      <w:bookmarkEnd w:id="1013"/>
      <w:bookmarkEnd w:id="1014"/>
      <w:bookmarkEnd w:id="1015"/>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979"/>
        <w:gridCol w:w="1131"/>
        <w:gridCol w:w="1412"/>
        <w:gridCol w:w="1414"/>
        <w:gridCol w:w="1325"/>
        <w:gridCol w:w="1244"/>
      </w:tblGrid>
      <w:tr w:rsidR="005F412E" w:rsidRPr="0018386D" w14:paraId="3EBCFDDD" w14:textId="77777777" w:rsidTr="00736AF4">
        <w:trPr>
          <w:cantSplit/>
          <w:tblHeader/>
        </w:trPr>
        <w:tc>
          <w:tcPr>
            <w:tcW w:w="1985" w:type="dxa"/>
            <w:shd w:val="clear" w:color="auto" w:fill="1B556B" w:themeFill="text2"/>
            <w:vAlign w:val="bottom"/>
            <w:hideMark/>
          </w:tcPr>
          <w:p w14:paraId="72805449" w14:textId="3FB89935" w:rsidR="005F412E" w:rsidRPr="0018386D" w:rsidRDefault="005F412E" w:rsidP="00DD3106">
            <w:pPr>
              <w:pStyle w:val="TableText"/>
              <w:spacing w:before="40" w:after="40"/>
              <w:rPr>
                <w:rFonts w:cs="Calibri"/>
                <w:b/>
                <w:color w:val="FFFFFF" w:themeColor="background1"/>
                <w:szCs w:val="18"/>
              </w:rPr>
            </w:pPr>
            <w:r w:rsidRPr="0018386D">
              <w:rPr>
                <w:rFonts w:cs="Calibri"/>
                <w:b/>
                <w:color w:val="FFFFFF" w:themeColor="background1"/>
                <w:szCs w:val="18"/>
              </w:rPr>
              <w:t>Refrigeration</w:t>
            </w:r>
            <w:r w:rsidR="007F56AD" w:rsidRPr="0018386D">
              <w:rPr>
                <w:rFonts w:cs="Calibri"/>
                <w:b/>
                <w:color w:val="FFFFFF" w:themeColor="background1"/>
                <w:szCs w:val="18"/>
              </w:rPr>
              <w:t xml:space="preserve"> </w:t>
            </w:r>
            <w:r w:rsidRPr="0018386D">
              <w:rPr>
                <w:rFonts w:cs="Calibri"/>
                <w:b/>
                <w:color w:val="FFFFFF" w:themeColor="background1"/>
                <w:szCs w:val="18"/>
              </w:rPr>
              <w:t>unit type</w:t>
            </w:r>
          </w:p>
        </w:tc>
        <w:tc>
          <w:tcPr>
            <w:tcW w:w="1134" w:type="dxa"/>
            <w:shd w:val="clear" w:color="auto" w:fill="1B556B" w:themeFill="text2"/>
            <w:vAlign w:val="bottom"/>
            <w:hideMark/>
          </w:tcPr>
          <w:p w14:paraId="402E6955" w14:textId="16B208BF" w:rsidR="005F412E" w:rsidRPr="0018386D" w:rsidRDefault="005F412E" w:rsidP="00DD3106">
            <w:pPr>
              <w:pStyle w:val="TableText"/>
              <w:spacing w:before="40" w:after="40"/>
              <w:jc w:val="right"/>
              <w:rPr>
                <w:rFonts w:cs="Calibri"/>
                <w:b/>
                <w:color w:val="FFFFFF" w:themeColor="background1"/>
                <w:lang w:eastAsia="en-GB"/>
              </w:rPr>
            </w:pPr>
            <w:r w:rsidRPr="0018386D">
              <w:rPr>
                <w:rFonts w:cs="Calibri"/>
                <w:b/>
                <w:color w:val="FFFFFF" w:themeColor="background1"/>
                <w:lang w:eastAsia="en-GB"/>
              </w:rPr>
              <w:t>Default</w:t>
            </w:r>
            <w:r w:rsidR="007F56AD" w:rsidRPr="0018386D">
              <w:rPr>
                <w:rFonts w:cs="Calibri"/>
                <w:b/>
                <w:color w:val="FFFFFF" w:themeColor="background1"/>
                <w:lang w:eastAsia="en-GB"/>
              </w:rPr>
              <w:t xml:space="preserve"> </w:t>
            </w:r>
            <w:r w:rsidRPr="0018386D">
              <w:rPr>
                <w:rFonts w:cs="Calibri"/>
                <w:b/>
                <w:color w:val="FFFFFF" w:themeColor="background1"/>
                <w:lang w:eastAsia="en-GB"/>
              </w:rPr>
              <w:t>refrigerant</w:t>
            </w:r>
            <w:r w:rsidR="007F56AD" w:rsidRPr="0018386D">
              <w:rPr>
                <w:rFonts w:cs="Calibri"/>
                <w:b/>
                <w:color w:val="FFFFFF" w:themeColor="background1"/>
                <w:lang w:eastAsia="en-GB"/>
              </w:rPr>
              <w:t xml:space="preserve"> </w:t>
            </w:r>
            <w:r w:rsidRPr="0018386D">
              <w:rPr>
                <w:rFonts w:cs="Calibri"/>
                <w:b/>
                <w:color w:val="FFFFFF" w:themeColor="background1"/>
                <w:lang w:eastAsia="en-GB"/>
              </w:rPr>
              <w:t>charge (kg)</w:t>
            </w:r>
          </w:p>
        </w:tc>
        <w:tc>
          <w:tcPr>
            <w:tcW w:w="1416" w:type="dxa"/>
            <w:shd w:val="clear" w:color="auto" w:fill="1B556B" w:themeFill="text2"/>
            <w:vAlign w:val="bottom"/>
            <w:hideMark/>
          </w:tcPr>
          <w:p w14:paraId="4F8BC29C" w14:textId="4D693E80" w:rsidR="005F412E" w:rsidRPr="0018386D" w:rsidRDefault="005F412E" w:rsidP="00DD3106">
            <w:pPr>
              <w:pStyle w:val="TableText"/>
              <w:spacing w:before="40" w:after="40"/>
              <w:jc w:val="right"/>
              <w:rPr>
                <w:rFonts w:cs="Calibri"/>
                <w:b/>
                <w:color w:val="FFFFFF" w:themeColor="background1"/>
                <w:lang w:eastAsia="en-GB"/>
              </w:rPr>
            </w:pPr>
            <w:r w:rsidRPr="0018386D">
              <w:rPr>
                <w:rFonts w:cs="Calibri"/>
                <w:b/>
                <w:color w:val="FFFFFF" w:themeColor="background1"/>
                <w:lang w:eastAsia="en-GB"/>
              </w:rPr>
              <w:t>Default leakage</w:t>
            </w:r>
            <w:r w:rsidR="007F56AD" w:rsidRPr="0018386D">
              <w:rPr>
                <w:rFonts w:cs="Calibri"/>
                <w:b/>
                <w:color w:val="FFFFFF" w:themeColor="background1"/>
                <w:lang w:eastAsia="en-GB"/>
              </w:rPr>
              <w:t xml:space="preserve"> </w:t>
            </w:r>
            <w:r w:rsidRPr="0018386D">
              <w:rPr>
                <w:rFonts w:cs="Calibri"/>
                <w:b/>
                <w:color w:val="FFFFFF" w:themeColor="background1"/>
                <w:lang w:eastAsia="en-GB"/>
              </w:rPr>
              <w:t>rate (operatin</w:t>
            </w:r>
            <w:r w:rsidR="007F56AD" w:rsidRPr="0018386D">
              <w:rPr>
                <w:rFonts w:cs="Calibri"/>
                <w:b/>
                <w:color w:val="FFFFFF" w:themeColor="background1"/>
                <w:lang w:eastAsia="en-GB"/>
              </w:rPr>
              <w:t>g</w:t>
            </w:r>
            <w:r w:rsidRPr="0018386D">
              <w:rPr>
                <w:rFonts w:cs="Calibri"/>
                <w:b/>
                <w:color w:val="FFFFFF" w:themeColor="background1"/>
                <w:lang w:eastAsia="en-GB"/>
              </w:rPr>
              <w:t>– ALR)</w:t>
            </w:r>
          </w:p>
        </w:tc>
        <w:tc>
          <w:tcPr>
            <w:tcW w:w="1418" w:type="dxa"/>
            <w:shd w:val="clear" w:color="auto" w:fill="1B556B" w:themeFill="text2"/>
            <w:vAlign w:val="bottom"/>
            <w:hideMark/>
          </w:tcPr>
          <w:p w14:paraId="3FB5C79E" w14:textId="77777777" w:rsidR="005F412E" w:rsidRPr="0018386D" w:rsidRDefault="005F412E" w:rsidP="00DD3106">
            <w:pPr>
              <w:pStyle w:val="TableText"/>
              <w:spacing w:before="40" w:after="40"/>
              <w:jc w:val="right"/>
              <w:rPr>
                <w:rFonts w:cs="Calibri"/>
                <w:b/>
                <w:color w:val="FFFFFF" w:themeColor="background1"/>
                <w:lang w:eastAsia="en-GB"/>
              </w:rPr>
            </w:pPr>
            <w:r w:rsidRPr="0018386D">
              <w:rPr>
                <w:rFonts w:cs="Calibri"/>
                <w:b/>
                <w:color w:val="FFFFFF" w:themeColor="background1"/>
                <w:lang w:eastAsia="en-GB"/>
              </w:rPr>
              <w:t>Default leakage rate (installation – AEF)</w:t>
            </w:r>
            <w:r w:rsidRPr="0018386D">
              <w:rPr>
                <w:rStyle w:val="FootnoteReference"/>
                <w:rFonts w:cs="Calibri"/>
                <w:b/>
                <w:color w:val="FFFFFF" w:themeColor="background1"/>
                <w:sz w:val="18"/>
                <w:szCs w:val="18"/>
              </w:rPr>
              <w:footnoteReference w:id="69"/>
            </w:r>
          </w:p>
        </w:tc>
        <w:tc>
          <w:tcPr>
            <w:tcW w:w="1329" w:type="dxa"/>
            <w:shd w:val="clear" w:color="auto" w:fill="1B556B" w:themeFill="text2"/>
            <w:vAlign w:val="bottom"/>
          </w:tcPr>
          <w:p w14:paraId="3BB7D649" w14:textId="037F4553" w:rsidR="005F412E" w:rsidRPr="0018386D" w:rsidRDefault="005F412E" w:rsidP="00DD3106">
            <w:pPr>
              <w:pStyle w:val="TableText"/>
              <w:spacing w:before="40" w:after="40"/>
              <w:rPr>
                <w:rFonts w:cs="Calibri"/>
                <w:b/>
                <w:color w:val="FFFFFF" w:themeColor="background1"/>
                <w:lang w:eastAsia="en-GB"/>
              </w:rPr>
            </w:pPr>
            <w:r w:rsidRPr="0018386D">
              <w:rPr>
                <w:rFonts w:cs="Calibri"/>
                <w:b/>
                <w:color w:val="FFFFFF" w:themeColor="background1"/>
                <w:lang w:eastAsia="en-GB"/>
              </w:rPr>
              <w:t xml:space="preserve">Method </w:t>
            </w:r>
            <w:r w:rsidR="001E4C5C" w:rsidRPr="0018386D">
              <w:rPr>
                <w:rFonts w:cs="Calibri"/>
                <w:b/>
                <w:color w:val="FFFFFF" w:themeColor="background1"/>
                <w:lang w:eastAsia="en-GB"/>
              </w:rPr>
              <w:t>B</w:t>
            </w:r>
          </w:p>
        </w:tc>
        <w:tc>
          <w:tcPr>
            <w:tcW w:w="1247" w:type="dxa"/>
            <w:shd w:val="clear" w:color="auto" w:fill="1B556B" w:themeFill="text2"/>
            <w:vAlign w:val="bottom"/>
          </w:tcPr>
          <w:p w14:paraId="16A478DA" w14:textId="449345F0" w:rsidR="005F412E" w:rsidRPr="0018386D" w:rsidRDefault="005F412E" w:rsidP="00DD3106">
            <w:pPr>
              <w:pStyle w:val="TableText"/>
              <w:spacing w:before="40" w:after="40"/>
              <w:rPr>
                <w:rFonts w:cs="Calibri"/>
                <w:b/>
                <w:color w:val="FFFFFF" w:themeColor="background1"/>
                <w:lang w:eastAsia="en-GB"/>
              </w:rPr>
            </w:pPr>
            <w:r w:rsidRPr="0018386D">
              <w:rPr>
                <w:rFonts w:cs="Calibri"/>
                <w:b/>
                <w:color w:val="FFFFFF" w:themeColor="background1"/>
                <w:lang w:eastAsia="en-GB"/>
              </w:rPr>
              <w:t xml:space="preserve">Method </w:t>
            </w:r>
            <w:r w:rsidR="001E4C5C" w:rsidRPr="0018386D">
              <w:rPr>
                <w:rFonts w:cs="Calibri"/>
                <w:b/>
                <w:color w:val="FFFFFF" w:themeColor="background1"/>
                <w:lang w:eastAsia="en-GB"/>
              </w:rPr>
              <w:t>C</w:t>
            </w:r>
          </w:p>
        </w:tc>
      </w:tr>
      <w:tr w:rsidR="005F412E" w:rsidRPr="0018386D" w14:paraId="5E112D80" w14:textId="77777777" w:rsidTr="00736AF4">
        <w:trPr>
          <w:cantSplit/>
        </w:trPr>
        <w:tc>
          <w:tcPr>
            <w:tcW w:w="1985" w:type="dxa"/>
            <w:hideMark/>
          </w:tcPr>
          <w:p w14:paraId="7363E9BD" w14:textId="09421A31" w:rsidR="005F412E" w:rsidRPr="0018386D" w:rsidRDefault="005F412E" w:rsidP="00DD3106">
            <w:pPr>
              <w:pStyle w:val="TableText"/>
              <w:spacing w:before="40" w:after="40"/>
              <w:rPr>
                <w:rFonts w:cs="Calibri"/>
                <w:szCs w:val="18"/>
                <w:lang w:eastAsia="en-US"/>
              </w:rPr>
            </w:pPr>
            <w:r w:rsidRPr="0018386D">
              <w:rPr>
                <w:rFonts w:cs="Calibri"/>
              </w:rPr>
              <w:t>Small refrigerator or freezer</w:t>
            </w:r>
            <w:r w:rsidR="00342DF3" w:rsidRPr="0018386D">
              <w:rPr>
                <w:rFonts w:cs="Calibri"/>
              </w:rPr>
              <w:t xml:space="preserve"> </w:t>
            </w:r>
            <w:r w:rsidRPr="0018386D">
              <w:rPr>
                <w:rFonts w:cs="Calibri"/>
              </w:rPr>
              <w:t>(&lt;150 litres</w:t>
            </w:r>
            <w:r w:rsidRPr="0018386D">
              <w:rPr>
                <w:rFonts w:cs="Calibri"/>
                <w:vertAlign w:val="superscript"/>
              </w:rPr>
              <w:footnoteReference w:id="70"/>
            </w:r>
            <w:r w:rsidRPr="0018386D">
              <w:rPr>
                <w:rFonts w:cs="Calibri"/>
              </w:rPr>
              <w:t>)</w:t>
            </w:r>
          </w:p>
        </w:tc>
        <w:tc>
          <w:tcPr>
            <w:tcW w:w="1134" w:type="dxa"/>
            <w:hideMark/>
          </w:tcPr>
          <w:p w14:paraId="5B0AEB6C"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0.07</w:t>
            </w:r>
          </w:p>
        </w:tc>
        <w:tc>
          <w:tcPr>
            <w:tcW w:w="1416" w:type="dxa"/>
            <w:hideMark/>
          </w:tcPr>
          <w:p w14:paraId="4CF68080"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3%</w:t>
            </w:r>
          </w:p>
        </w:tc>
        <w:tc>
          <w:tcPr>
            <w:tcW w:w="1418" w:type="dxa"/>
            <w:hideMark/>
          </w:tcPr>
          <w:p w14:paraId="27AC886A"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20FA2326"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Recommended</w:t>
            </w:r>
          </w:p>
        </w:tc>
        <w:tc>
          <w:tcPr>
            <w:tcW w:w="1247" w:type="dxa"/>
            <w:hideMark/>
          </w:tcPr>
          <w:p w14:paraId="37233E13"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r>
      <w:tr w:rsidR="005F412E" w:rsidRPr="0018386D" w14:paraId="33AD249A" w14:textId="77777777" w:rsidTr="00736AF4">
        <w:trPr>
          <w:cantSplit/>
        </w:trPr>
        <w:tc>
          <w:tcPr>
            <w:tcW w:w="1985" w:type="dxa"/>
            <w:hideMark/>
          </w:tcPr>
          <w:p w14:paraId="540B7618" w14:textId="63677AF9" w:rsidR="005F412E" w:rsidRPr="0018386D" w:rsidRDefault="005F412E" w:rsidP="00DD3106">
            <w:pPr>
              <w:pStyle w:val="TableText"/>
              <w:spacing w:before="40" w:after="40"/>
              <w:rPr>
                <w:rFonts w:cs="Calibri"/>
                <w:szCs w:val="18"/>
                <w:lang w:eastAsia="en-US"/>
              </w:rPr>
            </w:pPr>
            <w:r w:rsidRPr="0018386D">
              <w:rPr>
                <w:rFonts w:cs="Calibri"/>
                <w:szCs w:val="18"/>
              </w:rPr>
              <w:t>Medium refrigerator or freezer</w:t>
            </w:r>
            <w:r w:rsidR="00342DF3" w:rsidRPr="0018386D">
              <w:rPr>
                <w:rFonts w:cs="Calibri"/>
                <w:szCs w:val="18"/>
              </w:rPr>
              <w:t xml:space="preserve"> </w:t>
            </w:r>
            <w:r w:rsidRPr="0018386D">
              <w:rPr>
                <w:rFonts w:cs="Calibri"/>
                <w:szCs w:val="18"/>
              </w:rPr>
              <w:t>(150–300 litres)</w:t>
            </w:r>
          </w:p>
        </w:tc>
        <w:tc>
          <w:tcPr>
            <w:tcW w:w="1134" w:type="dxa"/>
            <w:hideMark/>
          </w:tcPr>
          <w:p w14:paraId="56BE5474"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0.11</w:t>
            </w:r>
          </w:p>
        </w:tc>
        <w:tc>
          <w:tcPr>
            <w:tcW w:w="1416" w:type="dxa"/>
            <w:hideMark/>
          </w:tcPr>
          <w:p w14:paraId="5EBAC8E5"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3%</w:t>
            </w:r>
          </w:p>
        </w:tc>
        <w:tc>
          <w:tcPr>
            <w:tcW w:w="1418" w:type="dxa"/>
            <w:hideMark/>
          </w:tcPr>
          <w:p w14:paraId="3EB9E27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7C31D0EF"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Recommended</w:t>
            </w:r>
          </w:p>
        </w:tc>
        <w:tc>
          <w:tcPr>
            <w:tcW w:w="1247" w:type="dxa"/>
            <w:hideMark/>
          </w:tcPr>
          <w:p w14:paraId="1E295BA2"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r>
      <w:tr w:rsidR="005F412E" w:rsidRPr="0018386D" w14:paraId="554CBD4E" w14:textId="77777777" w:rsidTr="00736AF4">
        <w:trPr>
          <w:cantSplit/>
        </w:trPr>
        <w:tc>
          <w:tcPr>
            <w:tcW w:w="1985" w:type="dxa"/>
            <w:hideMark/>
          </w:tcPr>
          <w:p w14:paraId="1461FE1E" w14:textId="665F9B76" w:rsidR="005F412E" w:rsidRPr="0018386D" w:rsidRDefault="005F412E" w:rsidP="00DD3106">
            <w:pPr>
              <w:pStyle w:val="TableText"/>
              <w:spacing w:before="40" w:after="40"/>
              <w:rPr>
                <w:rFonts w:cs="Calibri"/>
                <w:szCs w:val="18"/>
                <w:lang w:eastAsia="en-US"/>
              </w:rPr>
            </w:pPr>
            <w:r w:rsidRPr="0018386D">
              <w:rPr>
                <w:rFonts w:cs="Calibri"/>
                <w:szCs w:val="18"/>
              </w:rPr>
              <w:t>Large refrigerator or freezer</w:t>
            </w:r>
            <w:r w:rsidR="00342DF3" w:rsidRPr="0018386D">
              <w:rPr>
                <w:rFonts w:cs="Calibri"/>
                <w:szCs w:val="18"/>
              </w:rPr>
              <w:t xml:space="preserve"> </w:t>
            </w:r>
            <w:r w:rsidRPr="0018386D">
              <w:rPr>
                <w:rFonts w:cs="Calibri"/>
                <w:szCs w:val="18"/>
              </w:rPr>
              <w:t>(&gt;300 litres)</w:t>
            </w:r>
          </w:p>
        </w:tc>
        <w:tc>
          <w:tcPr>
            <w:tcW w:w="1134" w:type="dxa"/>
            <w:hideMark/>
          </w:tcPr>
          <w:p w14:paraId="0E5E7408"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0.15</w:t>
            </w:r>
          </w:p>
        </w:tc>
        <w:tc>
          <w:tcPr>
            <w:tcW w:w="1416" w:type="dxa"/>
            <w:hideMark/>
          </w:tcPr>
          <w:p w14:paraId="5896140C"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3%</w:t>
            </w:r>
          </w:p>
        </w:tc>
        <w:tc>
          <w:tcPr>
            <w:tcW w:w="1418" w:type="dxa"/>
            <w:hideMark/>
          </w:tcPr>
          <w:p w14:paraId="108BF298"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63E669B6"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Recommended</w:t>
            </w:r>
          </w:p>
        </w:tc>
        <w:tc>
          <w:tcPr>
            <w:tcW w:w="1247" w:type="dxa"/>
            <w:hideMark/>
          </w:tcPr>
          <w:p w14:paraId="197269AC"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r>
      <w:tr w:rsidR="005F412E" w:rsidRPr="0018386D" w14:paraId="2C58420E" w14:textId="77777777" w:rsidTr="00736AF4">
        <w:trPr>
          <w:cantSplit/>
        </w:trPr>
        <w:tc>
          <w:tcPr>
            <w:tcW w:w="1985" w:type="dxa"/>
            <w:hideMark/>
          </w:tcPr>
          <w:p w14:paraId="7C0740A9" w14:textId="2199F85E" w:rsidR="005F412E" w:rsidRPr="0018386D" w:rsidRDefault="005F412E" w:rsidP="00DD3106">
            <w:pPr>
              <w:pStyle w:val="TableText"/>
              <w:spacing w:before="40" w:after="40"/>
              <w:rPr>
                <w:rFonts w:cs="Calibri"/>
                <w:szCs w:val="18"/>
                <w:lang w:eastAsia="en-US"/>
              </w:rPr>
            </w:pPr>
            <w:r w:rsidRPr="0018386D">
              <w:rPr>
                <w:rFonts w:cs="Calibri"/>
                <w:szCs w:val="18"/>
              </w:rPr>
              <w:t xml:space="preserve">Small commercial stand-alone chiller </w:t>
            </w:r>
            <w:r w:rsidR="00134FDC" w:rsidRPr="0018386D">
              <w:rPr>
                <w:rFonts w:cs="Calibri"/>
                <w:szCs w:val="18"/>
              </w:rPr>
              <w:br/>
            </w:r>
            <w:r w:rsidRPr="0018386D">
              <w:rPr>
                <w:rFonts w:cs="Calibri"/>
                <w:szCs w:val="18"/>
              </w:rPr>
              <w:t>(&lt;300 litres)</w:t>
            </w:r>
          </w:p>
        </w:tc>
        <w:tc>
          <w:tcPr>
            <w:tcW w:w="1134" w:type="dxa"/>
            <w:hideMark/>
          </w:tcPr>
          <w:p w14:paraId="3D487FBE"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0.25</w:t>
            </w:r>
          </w:p>
        </w:tc>
        <w:tc>
          <w:tcPr>
            <w:tcW w:w="1416" w:type="dxa"/>
            <w:hideMark/>
          </w:tcPr>
          <w:p w14:paraId="215968AD"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8%</w:t>
            </w:r>
          </w:p>
        </w:tc>
        <w:tc>
          <w:tcPr>
            <w:tcW w:w="1418" w:type="dxa"/>
            <w:hideMark/>
          </w:tcPr>
          <w:p w14:paraId="7E1187B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019073A4"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1DB10D4F"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691E3D46" w14:textId="77777777" w:rsidTr="00736AF4">
        <w:trPr>
          <w:cantSplit/>
        </w:trPr>
        <w:tc>
          <w:tcPr>
            <w:tcW w:w="1985" w:type="dxa"/>
            <w:hideMark/>
          </w:tcPr>
          <w:p w14:paraId="50EAD476" w14:textId="59BF7936" w:rsidR="005F412E" w:rsidRPr="0018386D" w:rsidRDefault="005F412E" w:rsidP="00DD3106">
            <w:pPr>
              <w:pStyle w:val="TableText"/>
              <w:spacing w:before="40" w:after="40"/>
              <w:rPr>
                <w:rFonts w:cs="Calibri"/>
                <w:szCs w:val="18"/>
                <w:lang w:eastAsia="en-US"/>
              </w:rPr>
            </w:pPr>
            <w:r w:rsidRPr="0018386D">
              <w:rPr>
                <w:rFonts w:cs="Calibri"/>
                <w:szCs w:val="18"/>
              </w:rPr>
              <w:t>Medium commercial stand-alone chiller (300</w:t>
            </w:r>
            <w:r w:rsidR="00134FDC" w:rsidRPr="0018386D">
              <w:rPr>
                <w:rFonts w:cs="Calibri"/>
                <w:szCs w:val="18"/>
              </w:rPr>
              <w:t>–</w:t>
            </w:r>
            <w:r w:rsidRPr="0018386D">
              <w:rPr>
                <w:rFonts w:cs="Calibri"/>
                <w:szCs w:val="18"/>
              </w:rPr>
              <w:t>500 litres)</w:t>
            </w:r>
          </w:p>
        </w:tc>
        <w:tc>
          <w:tcPr>
            <w:tcW w:w="1134" w:type="dxa"/>
            <w:hideMark/>
          </w:tcPr>
          <w:p w14:paraId="5BE58BFE"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0.45</w:t>
            </w:r>
          </w:p>
        </w:tc>
        <w:tc>
          <w:tcPr>
            <w:tcW w:w="1416" w:type="dxa"/>
            <w:hideMark/>
          </w:tcPr>
          <w:p w14:paraId="10387E9F"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8%</w:t>
            </w:r>
          </w:p>
        </w:tc>
        <w:tc>
          <w:tcPr>
            <w:tcW w:w="1418" w:type="dxa"/>
            <w:hideMark/>
          </w:tcPr>
          <w:p w14:paraId="625E4A1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564D3443"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6ADADB5C"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3796C5E8" w14:textId="77777777" w:rsidTr="00736AF4">
        <w:trPr>
          <w:cantSplit/>
        </w:trPr>
        <w:tc>
          <w:tcPr>
            <w:tcW w:w="1985" w:type="dxa"/>
            <w:hideMark/>
          </w:tcPr>
          <w:p w14:paraId="48219327" w14:textId="1B170262" w:rsidR="005F412E" w:rsidRPr="0018386D" w:rsidRDefault="005F412E" w:rsidP="00DD3106">
            <w:pPr>
              <w:pStyle w:val="TableText"/>
              <w:spacing w:before="40" w:after="40"/>
              <w:rPr>
                <w:rFonts w:cs="Calibri"/>
                <w:szCs w:val="18"/>
                <w:lang w:eastAsia="en-US"/>
              </w:rPr>
            </w:pPr>
            <w:r w:rsidRPr="0018386D">
              <w:rPr>
                <w:rFonts w:cs="Calibri"/>
                <w:szCs w:val="18"/>
              </w:rPr>
              <w:t>Large commercial stand</w:t>
            </w:r>
            <w:r w:rsidR="0099477A" w:rsidRPr="0018386D">
              <w:rPr>
                <w:rFonts w:cs="Calibri"/>
                <w:szCs w:val="18"/>
              </w:rPr>
              <w:noBreakHyphen/>
            </w:r>
            <w:r w:rsidRPr="0018386D">
              <w:rPr>
                <w:rFonts w:cs="Calibri"/>
                <w:szCs w:val="18"/>
              </w:rPr>
              <w:t>alone chiller (&gt;500</w:t>
            </w:r>
            <w:r w:rsidR="0099477A" w:rsidRPr="0018386D">
              <w:rPr>
                <w:rFonts w:cs="Calibri"/>
                <w:szCs w:val="18"/>
              </w:rPr>
              <w:t> </w:t>
            </w:r>
            <w:r w:rsidRPr="0018386D">
              <w:rPr>
                <w:rFonts w:cs="Calibri"/>
                <w:szCs w:val="18"/>
              </w:rPr>
              <w:t>litres)</w:t>
            </w:r>
          </w:p>
        </w:tc>
        <w:tc>
          <w:tcPr>
            <w:tcW w:w="1134" w:type="dxa"/>
            <w:hideMark/>
          </w:tcPr>
          <w:p w14:paraId="4B170826"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0.65</w:t>
            </w:r>
          </w:p>
        </w:tc>
        <w:tc>
          <w:tcPr>
            <w:tcW w:w="1416" w:type="dxa"/>
            <w:hideMark/>
          </w:tcPr>
          <w:p w14:paraId="4DA0707F"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8%</w:t>
            </w:r>
          </w:p>
        </w:tc>
        <w:tc>
          <w:tcPr>
            <w:tcW w:w="1418" w:type="dxa"/>
            <w:hideMark/>
          </w:tcPr>
          <w:p w14:paraId="1F08980C"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27BDCB05"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37223D4F"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09FF4248" w14:textId="77777777" w:rsidTr="00736AF4">
        <w:trPr>
          <w:cantSplit/>
        </w:trPr>
        <w:tc>
          <w:tcPr>
            <w:tcW w:w="1985" w:type="dxa"/>
            <w:hideMark/>
          </w:tcPr>
          <w:p w14:paraId="2E3336B0" w14:textId="46D47C31" w:rsidR="005F412E" w:rsidRPr="0018386D" w:rsidRDefault="005F412E" w:rsidP="00DD3106">
            <w:pPr>
              <w:pStyle w:val="TableText"/>
              <w:spacing w:before="40" w:after="40"/>
              <w:rPr>
                <w:rFonts w:cs="Calibri"/>
                <w:szCs w:val="18"/>
                <w:lang w:eastAsia="en-US"/>
              </w:rPr>
            </w:pPr>
            <w:r w:rsidRPr="0018386D">
              <w:rPr>
                <w:rFonts w:cs="Calibri"/>
                <w:szCs w:val="18"/>
              </w:rPr>
              <w:t>Small commercial stand-alone freezer (&lt;300</w:t>
            </w:r>
            <w:r w:rsidR="0099477A" w:rsidRPr="0018386D">
              <w:rPr>
                <w:rFonts w:cs="Calibri"/>
                <w:szCs w:val="18"/>
              </w:rPr>
              <w:t> </w:t>
            </w:r>
            <w:r w:rsidRPr="0018386D">
              <w:rPr>
                <w:rFonts w:cs="Calibri"/>
                <w:szCs w:val="18"/>
              </w:rPr>
              <w:t>litres)</w:t>
            </w:r>
          </w:p>
        </w:tc>
        <w:tc>
          <w:tcPr>
            <w:tcW w:w="1134" w:type="dxa"/>
            <w:hideMark/>
          </w:tcPr>
          <w:p w14:paraId="7DC5DCDE"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0.2</w:t>
            </w:r>
          </w:p>
        </w:tc>
        <w:tc>
          <w:tcPr>
            <w:tcW w:w="1416" w:type="dxa"/>
            <w:hideMark/>
          </w:tcPr>
          <w:p w14:paraId="2AB7362C"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8%</w:t>
            </w:r>
          </w:p>
        </w:tc>
        <w:tc>
          <w:tcPr>
            <w:tcW w:w="1418" w:type="dxa"/>
            <w:hideMark/>
          </w:tcPr>
          <w:p w14:paraId="51A603D6"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68EDF804"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0C50920A"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39FAFCC9" w14:textId="77777777" w:rsidTr="00736AF4">
        <w:trPr>
          <w:cantSplit/>
        </w:trPr>
        <w:tc>
          <w:tcPr>
            <w:tcW w:w="1985" w:type="dxa"/>
            <w:hideMark/>
          </w:tcPr>
          <w:p w14:paraId="209E83EC" w14:textId="72C07BA0" w:rsidR="005F412E" w:rsidRPr="0018386D" w:rsidRDefault="005F412E" w:rsidP="00DD3106">
            <w:pPr>
              <w:pStyle w:val="TableText"/>
              <w:spacing w:before="40" w:after="40"/>
              <w:rPr>
                <w:rFonts w:cs="Calibri"/>
                <w:szCs w:val="18"/>
                <w:lang w:eastAsia="en-US"/>
              </w:rPr>
            </w:pPr>
            <w:r w:rsidRPr="0018386D">
              <w:rPr>
                <w:rFonts w:cs="Calibri"/>
                <w:szCs w:val="18"/>
              </w:rPr>
              <w:t>Medium commercial stand-alone freezer (300</w:t>
            </w:r>
            <w:r w:rsidR="0099477A" w:rsidRPr="0018386D">
              <w:rPr>
                <w:rFonts w:cs="Calibri"/>
                <w:szCs w:val="18"/>
              </w:rPr>
              <w:t>–</w:t>
            </w:r>
            <w:r w:rsidRPr="0018386D">
              <w:rPr>
                <w:rFonts w:cs="Calibri"/>
                <w:szCs w:val="18"/>
              </w:rPr>
              <w:t>500 litres)</w:t>
            </w:r>
          </w:p>
        </w:tc>
        <w:tc>
          <w:tcPr>
            <w:tcW w:w="1134" w:type="dxa"/>
            <w:hideMark/>
          </w:tcPr>
          <w:p w14:paraId="7C37BE50"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0.3</w:t>
            </w:r>
          </w:p>
        </w:tc>
        <w:tc>
          <w:tcPr>
            <w:tcW w:w="1416" w:type="dxa"/>
            <w:hideMark/>
          </w:tcPr>
          <w:p w14:paraId="018CEB24"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8%</w:t>
            </w:r>
          </w:p>
        </w:tc>
        <w:tc>
          <w:tcPr>
            <w:tcW w:w="1418" w:type="dxa"/>
            <w:hideMark/>
          </w:tcPr>
          <w:p w14:paraId="16258318"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38230058"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31D10008"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16EC4975" w14:textId="77777777" w:rsidTr="00736AF4">
        <w:trPr>
          <w:cantSplit/>
        </w:trPr>
        <w:tc>
          <w:tcPr>
            <w:tcW w:w="1985" w:type="dxa"/>
            <w:hideMark/>
          </w:tcPr>
          <w:p w14:paraId="6CC0889A" w14:textId="6AD0AD13" w:rsidR="005F412E" w:rsidRPr="0018386D" w:rsidRDefault="005F412E" w:rsidP="00DD3106">
            <w:pPr>
              <w:pStyle w:val="TableText"/>
              <w:spacing w:before="40" w:after="40"/>
              <w:rPr>
                <w:rFonts w:cs="Calibri"/>
                <w:szCs w:val="18"/>
                <w:lang w:eastAsia="en-US"/>
              </w:rPr>
            </w:pPr>
            <w:r w:rsidRPr="0018386D">
              <w:rPr>
                <w:rFonts w:cs="Calibri"/>
                <w:szCs w:val="18"/>
              </w:rPr>
              <w:t>Large commercial stand</w:t>
            </w:r>
            <w:r w:rsidR="0099477A" w:rsidRPr="0018386D">
              <w:rPr>
                <w:rFonts w:cs="Calibri"/>
                <w:szCs w:val="18"/>
              </w:rPr>
              <w:noBreakHyphen/>
            </w:r>
            <w:r w:rsidRPr="0018386D">
              <w:rPr>
                <w:rFonts w:cs="Calibri"/>
                <w:szCs w:val="18"/>
              </w:rPr>
              <w:t>alone freezer (&gt;500 litres)</w:t>
            </w:r>
          </w:p>
        </w:tc>
        <w:tc>
          <w:tcPr>
            <w:tcW w:w="1134" w:type="dxa"/>
            <w:hideMark/>
          </w:tcPr>
          <w:p w14:paraId="31457721"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0.45</w:t>
            </w:r>
          </w:p>
        </w:tc>
        <w:tc>
          <w:tcPr>
            <w:tcW w:w="1416" w:type="dxa"/>
            <w:hideMark/>
          </w:tcPr>
          <w:p w14:paraId="50F7F824"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8%</w:t>
            </w:r>
          </w:p>
        </w:tc>
        <w:tc>
          <w:tcPr>
            <w:tcW w:w="1418" w:type="dxa"/>
            <w:hideMark/>
          </w:tcPr>
          <w:p w14:paraId="53F75E09"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53DF5AC2"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3AA99600"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0A3E0BD7" w14:textId="77777777" w:rsidTr="00736AF4">
        <w:trPr>
          <w:cantSplit/>
        </w:trPr>
        <w:tc>
          <w:tcPr>
            <w:tcW w:w="1985" w:type="dxa"/>
            <w:hideMark/>
          </w:tcPr>
          <w:p w14:paraId="01CABD9D" w14:textId="77777777" w:rsidR="005F412E" w:rsidRPr="0018386D" w:rsidRDefault="005F412E" w:rsidP="00DD3106">
            <w:pPr>
              <w:pStyle w:val="TableText"/>
              <w:spacing w:before="40" w:after="40"/>
              <w:rPr>
                <w:rFonts w:cs="Calibri"/>
                <w:szCs w:val="18"/>
                <w:lang w:eastAsia="en-US"/>
              </w:rPr>
            </w:pPr>
            <w:r w:rsidRPr="0018386D">
              <w:rPr>
                <w:rFonts w:cs="Calibri"/>
                <w:szCs w:val="18"/>
              </w:rPr>
              <w:t>Water coolers</w:t>
            </w:r>
          </w:p>
        </w:tc>
        <w:tc>
          <w:tcPr>
            <w:tcW w:w="1134" w:type="dxa"/>
            <w:hideMark/>
          </w:tcPr>
          <w:p w14:paraId="59D8D4AD"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0.04</w:t>
            </w:r>
          </w:p>
        </w:tc>
        <w:tc>
          <w:tcPr>
            <w:tcW w:w="1416" w:type="dxa"/>
            <w:hideMark/>
          </w:tcPr>
          <w:p w14:paraId="6E63C3DE"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3%</w:t>
            </w:r>
          </w:p>
        </w:tc>
        <w:tc>
          <w:tcPr>
            <w:tcW w:w="1418" w:type="dxa"/>
            <w:hideMark/>
          </w:tcPr>
          <w:p w14:paraId="045E1663"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288D7576"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Recommended</w:t>
            </w:r>
          </w:p>
        </w:tc>
        <w:tc>
          <w:tcPr>
            <w:tcW w:w="1247" w:type="dxa"/>
            <w:hideMark/>
          </w:tcPr>
          <w:p w14:paraId="55DFEAC3"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r>
      <w:tr w:rsidR="005F412E" w:rsidRPr="0018386D" w14:paraId="752FDCC0" w14:textId="77777777" w:rsidTr="00736AF4">
        <w:trPr>
          <w:cantSplit/>
        </w:trPr>
        <w:tc>
          <w:tcPr>
            <w:tcW w:w="1985" w:type="dxa"/>
            <w:hideMark/>
          </w:tcPr>
          <w:p w14:paraId="0958F826" w14:textId="77777777" w:rsidR="005F412E" w:rsidRPr="0018386D" w:rsidRDefault="005F412E" w:rsidP="00DD3106">
            <w:pPr>
              <w:pStyle w:val="TableText"/>
              <w:spacing w:before="40" w:after="40"/>
              <w:rPr>
                <w:rFonts w:cs="Calibri"/>
                <w:szCs w:val="18"/>
                <w:lang w:eastAsia="en-US"/>
              </w:rPr>
            </w:pPr>
            <w:r w:rsidRPr="0018386D">
              <w:rPr>
                <w:rFonts w:cs="Calibri"/>
                <w:szCs w:val="18"/>
              </w:rPr>
              <w:t>Dehumidifiers</w:t>
            </w:r>
          </w:p>
        </w:tc>
        <w:tc>
          <w:tcPr>
            <w:tcW w:w="1134" w:type="dxa"/>
            <w:hideMark/>
          </w:tcPr>
          <w:p w14:paraId="35347065"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0.17</w:t>
            </w:r>
          </w:p>
        </w:tc>
        <w:tc>
          <w:tcPr>
            <w:tcW w:w="1416" w:type="dxa"/>
            <w:hideMark/>
          </w:tcPr>
          <w:p w14:paraId="37C89B13"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3%</w:t>
            </w:r>
          </w:p>
        </w:tc>
        <w:tc>
          <w:tcPr>
            <w:tcW w:w="1418" w:type="dxa"/>
            <w:hideMark/>
          </w:tcPr>
          <w:p w14:paraId="25F1ED3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4D260B21"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Recommended</w:t>
            </w:r>
          </w:p>
        </w:tc>
        <w:tc>
          <w:tcPr>
            <w:tcW w:w="1247" w:type="dxa"/>
            <w:hideMark/>
          </w:tcPr>
          <w:p w14:paraId="4785DB03"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r>
      <w:tr w:rsidR="005F412E" w:rsidRPr="0018386D" w14:paraId="52CE5AFD" w14:textId="77777777" w:rsidTr="00736AF4">
        <w:trPr>
          <w:cantSplit/>
        </w:trPr>
        <w:tc>
          <w:tcPr>
            <w:tcW w:w="1985" w:type="dxa"/>
            <w:hideMark/>
          </w:tcPr>
          <w:p w14:paraId="4834A9B6" w14:textId="77777777" w:rsidR="005F412E" w:rsidRPr="0018386D" w:rsidRDefault="005F412E" w:rsidP="00DD3106">
            <w:pPr>
              <w:pStyle w:val="TableText"/>
              <w:spacing w:before="40" w:after="40"/>
              <w:rPr>
                <w:rFonts w:cs="Calibri"/>
                <w:szCs w:val="18"/>
                <w:lang w:eastAsia="en-US"/>
              </w:rPr>
            </w:pPr>
            <w:r w:rsidRPr="0018386D">
              <w:rPr>
                <w:rFonts w:cs="Calibri"/>
                <w:szCs w:val="18"/>
              </w:rPr>
              <w:t>Small self-contained air conditioners (window mounted or through-the-wall)</w:t>
            </w:r>
          </w:p>
        </w:tc>
        <w:tc>
          <w:tcPr>
            <w:tcW w:w="1134" w:type="dxa"/>
            <w:hideMark/>
          </w:tcPr>
          <w:p w14:paraId="275F7D9D"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0.2 kg per kW cooling capacity</w:t>
            </w:r>
          </w:p>
        </w:tc>
        <w:tc>
          <w:tcPr>
            <w:tcW w:w="1416" w:type="dxa"/>
            <w:hideMark/>
          </w:tcPr>
          <w:p w14:paraId="1562C95A"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1%</w:t>
            </w:r>
          </w:p>
        </w:tc>
        <w:tc>
          <w:tcPr>
            <w:tcW w:w="1418" w:type="dxa"/>
            <w:hideMark/>
          </w:tcPr>
          <w:p w14:paraId="09D348F5"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0.5%</w:t>
            </w:r>
          </w:p>
        </w:tc>
        <w:tc>
          <w:tcPr>
            <w:tcW w:w="1329" w:type="dxa"/>
            <w:hideMark/>
          </w:tcPr>
          <w:p w14:paraId="09A28885"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3B5BFB8E"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52D0A781" w14:textId="77777777" w:rsidTr="00736AF4">
        <w:trPr>
          <w:cantSplit/>
        </w:trPr>
        <w:tc>
          <w:tcPr>
            <w:tcW w:w="1985" w:type="dxa"/>
            <w:hideMark/>
          </w:tcPr>
          <w:p w14:paraId="51858509" w14:textId="521B9476" w:rsidR="005F412E" w:rsidRPr="0018386D" w:rsidRDefault="005F412E" w:rsidP="00DD3106">
            <w:pPr>
              <w:pStyle w:val="TableText"/>
              <w:spacing w:before="40" w:after="40"/>
              <w:rPr>
                <w:rFonts w:cs="Calibri"/>
                <w:szCs w:val="18"/>
                <w:lang w:eastAsia="en-US"/>
              </w:rPr>
            </w:pPr>
            <w:r w:rsidRPr="0018386D">
              <w:rPr>
                <w:rFonts w:cs="Calibri"/>
                <w:szCs w:val="18"/>
              </w:rPr>
              <w:t>Non-ducted and ducted split commercial air conditioners</w:t>
            </w:r>
            <w:r w:rsidR="00A13B64" w:rsidRPr="0018386D">
              <w:rPr>
                <w:rFonts w:cs="Calibri"/>
                <w:szCs w:val="18"/>
              </w:rPr>
              <w:t xml:space="preserve"> </w:t>
            </w:r>
            <w:r w:rsidRPr="0018386D">
              <w:rPr>
                <w:rFonts w:cs="Calibri"/>
                <w:szCs w:val="18"/>
              </w:rPr>
              <w:t>(&lt;20 kW)</w:t>
            </w:r>
          </w:p>
        </w:tc>
        <w:tc>
          <w:tcPr>
            <w:tcW w:w="1134" w:type="dxa"/>
            <w:hideMark/>
          </w:tcPr>
          <w:p w14:paraId="0A4D7E0B"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0.25 kg per kW cooling capacity</w:t>
            </w:r>
          </w:p>
        </w:tc>
        <w:tc>
          <w:tcPr>
            <w:tcW w:w="1416" w:type="dxa"/>
            <w:hideMark/>
          </w:tcPr>
          <w:p w14:paraId="59E92251"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3%</w:t>
            </w:r>
          </w:p>
        </w:tc>
        <w:tc>
          <w:tcPr>
            <w:tcW w:w="1418" w:type="dxa"/>
            <w:hideMark/>
          </w:tcPr>
          <w:p w14:paraId="5FD671B6"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0.5%</w:t>
            </w:r>
          </w:p>
        </w:tc>
        <w:tc>
          <w:tcPr>
            <w:tcW w:w="1329" w:type="dxa"/>
            <w:hideMark/>
          </w:tcPr>
          <w:p w14:paraId="40D54FB9"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526048AB"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08D6C6CA" w14:textId="77777777" w:rsidTr="00736AF4">
        <w:trPr>
          <w:cantSplit/>
        </w:trPr>
        <w:tc>
          <w:tcPr>
            <w:tcW w:w="1985" w:type="dxa"/>
            <w:hideMark/>
          </w:tcPr>
          <w:p w14:paraId="29B6E278" w14:textId="405A0AE5" w:rsidR="005F412E" w:rsidRPr="0018386D" w:rsidRDefault="005F412E" w:rsidP="00DD3106">
            <w:pPr>
              <w:pStyle w:val="TableText"/>
              <w:spacing w:before="40" w:after="40"/>
              <w:rPr>
                <w:rFonts w:cs="Calibri"/>
                <w:szCs w:val="18"/>
                <w:lang w:eastAsia="en-US"/>
              </w:rPr>
            </w:pPr>
            <w:r w:rsidRPr="0018386D">
              <w:rPr>
                <w:rFonts w:cs="Calibri"/>
                <w:szCs w:val="18"/>
              </w:rPr>
              <w:t>Commercial air conditioning</w:t>
            </w:r>
            <w:r w:rsidR="00A13B64" w:rsidRPr="0018386D">
              <w:rPr>
                <w:rFonts w:cs="Calibri"/>
                <w:szCs w:val="18"/>
              </w:rPr>
              <w:t xml:space="preserve"> </w:t>
            </w:r>
            <w:r w:rsidRPr="0018386D">
              <w:rPr>
                <w:rFonts w:cs="Calibri"/>
                <w:szCs w:val="18"/>
              </w:rPr>
              <w:t>(&gt;20kW)</w:t>
            </w:r>
          </w:p>
        </w:tc>
        <w:tc>
          <w:tcPr>
            <w:tcW w:w="1134" w:type="dxa"/>
            <w:hideMark/>
          </w:tcPr>
          <w:p w14:paraId="681AF0EE"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Wide range</w:t>
            </w:r>
          </w:p>
        </w:tc>
        <w:tc>
          <w:tcPr>
            <w:tcW w:w="1416" w:type="dxa"/>
            <w:hideMark/>
          </w:tcPr>
          <w:p w14:paraId="6C99C468"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Wide range</w:t>
            </w:r>
          </w:p>
        </w:tc>
        <w:tc>
          <w:tcPr>
            <w:tcW w:w="1418" w:type="dxa"/>
            <w:hideMark/>
          </w:tcPr>
          <w:p w14:paraId="6210C3D6"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Wide range</w:t>
            </w:r>
          </w:p>
        </w:tc>
        <w:tc>
          <w:tcPr>
            <w:tcW w:w="1329" w:type="dxa"/>
            <w:hideMark/>
          </w:tcPr>
          <w:p w14:paraId="3835E4E6"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c>
          <w:tcPr>
            <w:tcW w:w="1247" w:type="dxa"/>
            <w:hideMark/>
          </w:tcPr>
          <w:p w14:paraId="069B2493"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r w:rsidR="005F412E" w:rsidRPr="0018386D" w14:paraId="1A900B36" w14:textId="77777777" w:rsidTr="00736AF4">
        <w:trPr>
          <w:cantSplit/>
        </w:trPr>
        <w:tc>
          <w:tcPr>
            <w:tcW w:w="1985" w:type="dxa"/>
            <w:hideMark/>
          </w:tcPr>
          <w:p w14:paraId="3294ED61" w14:textId="77777777" w:rsidR="005F412E" w:rsidRPr="0018386D" w:rsidRDefault="005F412E" w:rsidP="00DD3106">
            <w:pPr>
              <w:pStyle w:val="TableText"/>
              <w:spacing w:before="40" w:after="40"/>
              <w:rPr>
                <w:rFonts w:cs="Calibri"/>
                <w:szCs w:val="18"/>
                <w:lang w:eastAsia="en-US"/>
              </w:rPr>
            </w:pPr>
            <w:r w:rsidRPr="0018386D">
              <w:rPr>
                <w:rFonts w:cs="Calibri"/>
                <w:szCs w:val="18"/>
              </w:rPr>
              <w:t>Cars/vans</w:t>
            </w:r>
          </w:p>
        </w:tc>
        <w:tc>
          <w:tcPr>
            <w:tcW w:w="1134" w:type="dxa"/>
            <w:hideMark/>
          </w:tcPr>
          <w:p w14:paraId="16636C58"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0.7</w:t>
            </w:r>
          </w:p>
        </w:tc>
        <w:tc>
          <w:tcPr>
            <w:tcW w:w="1416" w:type="dxa"/>
            <w:hideMark/>
          </w:tcPr>
          <w:p w14:paraId="7F403818"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10%</w:t>
            </w:r>
          </w:p>
        </w:tc>
        <w:tc>
          <w:tcPr>
            <w:tcW w:w="1418" w:type="dxa"/>
            <w:hideMark/>
          </w:tcPr>
          <w:p w14:paraId="5DB4DF89"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7EF07D7B"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Recommended</w:t>
            </w:r>
          </w:p>
        </w:tc>
        <w:tc>
          <w:tcPr>
            <w:tcW w:w="1247" w:type="dxa"/>
            <w:hideMark/>
          </w:tcPr>
          <w:p w14:paraId="6B0ADB68"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r>
      <w:tr w:rsidR="005F412E" w:rsidRPr="0018386D" w14:paraId="7E7DACE2" w14:textId="77777777" w:rsidTr="00736AF4">
        <w:trPr>
          <w:cantSplit/>
        </w:trPr>
        <w:tc>
          <w:tcPr>
            <w:tcW w:w="1985" w:type="dxa"/>
            <w:hideMark/>
          </w:tcPr>
          <w:p w14:paraId="230AD5C9" w14:textId="77777777" w:rsidR="005F412E" w:rsidRPr="0018386D" w:rsidRDefault="005F412E" w:rsidP="00DD3106">
            <w:pPr>
              <w:pStyle w:val="TableText"/>
              <w:spacing w:before="40" w:after="40"/>
              <w:rPr>
                <w:rFonts w:cs="Calibri"/>
                <w:szCs w:val="18"/>
                <w:lang w:eastAsia="en-US"/>
              </w:rPr>
            </w:pPr>
            <w:r w:rsidRPr="0018386D">
              <w:rPr>
                <w:rFonts w:cs="Calibri"/>
                <w:szCs w:val="18"/>
              </w:rPr>
              <w:t>Trucks</w:t>
            </w:r>
          </w:p>
        </w:tc>
        <w:tc>
          <w:tcPr>
            <w:tcW w:w="1134" w:type="dxa"/>
            <w:hideMark/>
          </w:tcPr>
          <w:p w14:paraId="71B8383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1.2</w:t>
            </w:r>
          </w:p>
        </w:tc>
        <w:tc>
          <w:tcPr>
            <w:tcW w:w="1416" w:type="dxa"/>
            <w:hideMark/>
          </w:tcPr>
          <w:p w14:paraId="435178A9"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10%</w:t>
            </w:r>
          </w:p>
        </w:tc>
        <w:tc>
          <w:tcPr>
            <w:tcW w:w="1418" w:type="dxa"/>
            <w:hideMark/>
          </w:tcPr>
          <w:p w14:paraId="278ECDC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2C7911BA"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3BA9DC85"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584E0A20" w14:textId="77777777" w:rsidTr="00736AF4">
        <w:trPr>
          <w:cantSplit/>
        </w:trPr>
        <w:tc>
          <w:tcPr>
            <w:tcW w:w="1985" w:type="dxa"/>
            <w:hideMark/>
          </w:tcPr>
          <w:p w14:paraId="365E60C0" w14:textId="77777777" w:rsidR="005F412E" w:rsidRPr="0018386D" w:rsidRDefault="005F412E" w:rsidP="00DD3106">
            <w:pPr>
              <w:pStyle w:val="TableText"/>
              <w:spacing w:before="40" w:after="40"/>
              <w:rPr>
                <w:rFonts w:cs="Calibri"/>
                <w:szCs w:val="18"/>
                <w:lang w:eastAsia="en-US"/>
              </w:rPr>
            </w:pPr>
            <w:r w:rsidRPr="0018386D">
              <w:rPr>
                <w:rFonts w:cs="Calibri"/>
                <w:szCs w:val="18"/>
              </w:rPr>
              <w:t>Buses</w:t>
            </w:r>
          </w:p>
        </w:tc>
        <w:tc>
          <w:tcPr>
            <w:tcW w:w="1134" w:type="dxa"/>
            <w:hideMark/>
          </w:tcPr>
          <w:p w14:paraId="5DB268F6"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2.5 (but up to 10)</w:t>
            </w:r>
          </w:p>
        </w:tc>
        <w:tc>
          <w:tcPr>
            <w:tcW w:w="1416" w:type="dxa"/>
            <w:hideMark/>
          </w:tcPr>
          <w:p w14:paraId="20717C96"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10%</w:t>
            </w:r>
          </w:p>
        </w:tc>
        <w:tc>
          <w:tcPr>
            <w:tcW w:w="1418" w:type="dxa"/>
            <w:hideMark/>
          </w:tcPr>
          <w:p w14:paraId="3CC54A74"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 xml:space="preserve">n/a </w:t>
            </w:r>
          </w:p>
        </w:tc>
        <w:tc>
          <w:tcPr>
            <w:tcW w:w="1329" w:type="dxa"/>
            <w:hideMark/>
          </w:tcPr>
          <w:p w14:paraId="77C61450"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0506288B"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Screening method only</w:t>
            </w:r>
          </w:p>
        </w:tc>
      </w:tr>
      <w:tr w:rsidR="005F412E" w:rsidRPr="0018386D" w14:paraId="349D040D" w14:textId="77777777" w:rsidTr="00736AF4">
        <w:trPr>
          <w:cantSplit/>
        </w:trPr>
        <w:tc>
          <w:tcPr>
            <w:tcW w:w="1985" w:type="dxa"/>
            <w:hideMark/>
          </w:tcPr>
          <w:p w14:paraId="44E75F37" w14:textId="77777777" w:rsidR="005F412E" w:rsidRPr="0018386D" w:rsidRDefault="005F412E" w:rsidP="00DD3106">
            <w:pPr>
              <w:pStyle w:val="TableText"/>
              <w:spacing w:before="40" w:after="40"/>
              <w:rPr>
                <w:rFonts w:cs="Calibri"/>
                <w:szCs w:val="18"/>
                <w:lang w:eastAsia="en-US"/>
              </w:rPr>
            </w:pPr>
            <w:r w:rsidRPr="0018386D">
              <w:rPr>
                <w:rFonts w:cs="Calibri"/>
                <w:szCs w:val="18"/>
              </w:rPr>
              <w:t>Refrigerated truck trailer units</w:t>
            </w:r>
          </w:p>
        </w:tc>
        <w:tc>
          <w:tcPr>
            <w:tcW w:w="1134" w:type="dxa"/>
            <w:hideMark/>
          </w:tcPr>
          <w:p w14:paraId="7B3CA8E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10</w:t>
            </w:r>
          </w:p>
        </w:tc>
        <w:tc>
          <w:tcPr>
            <w:tcW w:w="1416" w:type="dxa"/>
            <w:hideMark/>
          </w:tcPr>
          <w:p w14:paraId="6128A3A5"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25%</w:t>
            </w:r>
          </w:p>
        </w:tc>
        <w:tc>
          <w:tcPr>
            <w:tcW w:w="1418" w:type="dxa"/>
            <w:hideMark/>
          </w:tcPr>
          <w:p w14:paraId="6F1AE959"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0.5%</w:t>
            </w:r>
          </w:p>
        </w:tc>
        <w:tc>
          <w:tcPr>
            <w:tcW w:w="1329" w:type="dxa"/>
            <w:hideMark/>
          </w:tcPr>
          <w:p w14:paraId="7676F78F"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4D042F72"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r w:rsidR="005F412E" w:rsidRPr="0018386D" w14:paraId="317BA1E5" w14:textId="77777777" w:rsidTr="00736AF4">
        <w:trPr>
          <w:cantSplit/>
        </w:trPr>
        <w:tc>
          <w:tcPr>
            <w:tcW w:w="1985" w:type="dxa"/>
            <w:hideMark/>
          </w:tcPr>
          <w:p w14:paraId="06B1462F" w14:textId="77777777" w:rsidR="005F412E" w:rsidRPr="0018386D" w:rsidRDefault="005F412E" w:rsidP="00DD3106">
            <w:pPr>
              <w:pStyle w:val="TableText"/>
              <w:spacing w:before="40" w:after="40"/>
              <w:rPr>
                <w:rFonts w:cs="Calibri"/>
                <w:szCs w:val="18"/>
                <w:lang w:eastAsia="en-US"/>
              </w:rPr>
            </w:pPr>
            <w:r w:rsidRPr="0018386D">
              <w:rPr>
                <w:rFonts w:cs="Calibri"/>
                <w:szCs w:val="18"/>
              </w:rPr>
              <w:t xml:space="preserve">Self-powered or ‘cab-over’ refrigerated trucks </w:t>
            </w:r>
          </w:p>
        </w:tc>
        <w:tc>
          <w:tcPr>
            <w:tcW w:w="1134" w:type="dxa"/>
            <w:hideMark/>
          </w:tcPr>
          <w:p w14:paraId="59DE3C49"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6</w:t>
            </w:r>
          </w:p>
        </w:tc>
        <w:tc>
          <w:tcPr>
            <w:tcW w:w="1416" w:type="dxa"/>
            <w:hideMark/>
          </w:tcPr>
          <w:p w14:paraId="3DBB93BD"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25%</w:t>
            </w:r>
          </w:p>
        </w:tc>
        <w:tc>
          <w:tcPr>
            <w:tcW w:w="1418" w:type="dxa"/>
            <w:hideMark/>
          </w:tcPr>
          <w:p w14:paraId="601F7D9E"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0.5%</w:t>
            </w:r>
          </w:p>
        </w:tc>
        <w:tc>
          <w:tcPr>
            <w:tcW w:w="1329" w:type="dxa"/>
            <w:hideMark/>
          </w:tcPr>
          <w:p w14:paraId="33230CF0"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62B4144C"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r w:rsidR="005F412E" w:rsidRPr="0018386D" w14:paraId="09D64711" w14:textId="77777777" w:rsidTr="00736AF4">
        <w:trPr>
          <w:cantSplit/>
        </w:trPr>
        <w:tc>
          <w:tcPr>
            <w:tcW w:w="1985" w:type="dxa"/>
            <w:hideMark/>
          </w:tcPr>
          <w:p w14:paraId="6EFE9273" w14:textId="77777777" w:rsidR="005F412E" w:rsidRPr="0018386D" w:rsidRDefault="005F412E" w:rsidP="00DD3106">
            <w:pPr>
              <w:pStyle w:val="TableText"/>
              <w:spacing w:before="40" w:after="40"/>
              <w:rPr>
                <w:rFonts w:cs="Calibri"/>
                <w:szCs w:val="18"/>
                <w:lang w:eastAsia="en-US"/>
              </w:rPr>
            </w:pPr>
            <w:r w:rsidRPr="0018386D">
              <w:rPr>
                <w:rFonts w:cs="Calibri"/>
                <w:szCs w:val="18"/>
              </w:rPr>
              <w:t>‘Off-engine’ or ‘direct drive’ refrigerated vans and trucks</w:t>
            </w:r>
          </w:p>
        </w:tc>
        <w:tc>
          <w:tcPr>
            <w:tcW w:w="1134" w:type="dxa"/>
            <w:hideMark/>
          </w:tcPr>
          <w:p w14:paraId="374531D3"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2.5</w:t>
            </w:r>
          </w:p>
        </w:tc>
        <w:tc>
          <w:tcPr>
            <w:tcW w:w="1416" w:type="dxa"/>
            <w:hideMark/>
          </w:tcPr>
          <w:p w14:paraId="749542CB"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25%</w:t>
            </w:r>
          </w:p>
        </w:tc>
        <w:tc>
          <w:tcPr>
            <w:tcW w:w="1418" w:type="dxa"/>
            <w:hideMark/>
          </w:tcPr>
          <w:p w14:paraId="1D30491A"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0.5%</w:t>
            </w:r>
          </w:p>
        </w:tc>
        <w:tc>
          <w:tcPr>
            <w:tcW w:w="1329" w:type="dxa"/>
            <w:hideMark/>
          </w:tcPr>
          <w:p w14:paraId="60713EE3"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73867F80"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r w:rsidR="005F412E" w:rsidRPr="0018386D" w14:paraId="521E423F" w14:textId="77777777" w:rsidTr="00736AF4">
        <w:trPr>
          <w:cantSplit/>
        </w:trPr>
        <w:tc>
          <w:tcPr>
            <w:tcW w:w="1985" w:type="dxa"/>
            <w:hideMark/>
          </w:tcPr>
          <w:p w14:paraId="7C710A80" w14:textId="77777777" w:rsidR="005F412E" w:rsidRPr="0018386D" w:rsidRDefault="005F412E" w:rsidP="00DD3106">
            <w:pPr>
              <w:pStyle w:val="TableText"/>
              <w:spacing w:before="40" w:after="40"/>
              <w:rPr>
                <w:rFonts w:cs="Calibri"/>
                <w:szCs w:val="18"/>
                <w:lang w:eastAsia="en-US"/>
              </w:rPr>
            </w:pPr>
            <w:r w:rsidRPr="0018386D">
              <w:rPr>
                <w:rFonts w:cs="Calibri"/>
                <w:szCs w:val="18"/>
              </w:rPr>
              <w:t>Three-phase refrigerated containers</w:t>
            </w:r>
          </w:p>
        </w:tc>
        <w:tc>
          <w:tcPr>
            <w:tcW w:w="1134" w:type="dxa"/>
            <w:hideMark/>
          </w:tcPr>
          <w:p w14:paraId="17ACBA9A"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5.5</w:t>
            </w:r>
          </w:p>
        </w:tc>
        <w:tc>
          <w:tcPr>
            <w:tcW w:w="1416" w:type="dxa"/>
            <w:hideMark/>
          </w:tcPr>
          <w:p w14:paraId="587F6136"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25%</w:t>
            </w:r>
          </w:p>
        </w:tc>
        <w:tc>
          <w:tcPr>
            <w:tcW w:w="1418" w:type="dxa"/>
            <w:hideMark/>
          </w:tcPr>
          <w:p w14:paraId="29C14875"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0.5%</w:t>
            </w:r>
          </w:p>
        </w:tc>
        <w:tc>
          <w:tcPr>
            <w:tcW w:w="1329" w:type="dxa"/>
            <w:hideMark/>
          </w:tcPr>
          <w:p w14:paraId="7705834C"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298AEFCD"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r w:rsidR="005F412E" w:rsidRPr="0018386D" w14:paraId="3DAAE47A" w14:textId="77777777" w:rsidTr="00736AF4">
        <w:trPr>
          <w:cantSplit/>
        </w:trPr>
        <w:tc>
          <w:tcPr>
            <w:tcW w:w="1985" w:type="dxa"/>
            <w:hideMark/>
          </w:tcPr>
          <w:p w14:paraId="6DE03C42" w14:textId="77777777" w:rsidR="005F412E" w:rsidRPr="0018386D" w:rsidRDefault="005F412E" w:rsidP="00DD3106">
            <w:pPr>
              <w:pStyle w:val="TableText"/>
              <w:spacing w:before="40" w:after="40"/>
              <w:rPr>
                <w:rFonts w:cs="Calibri"/>
                <w:szCs w:val="18"/>
                <w:lang w:eastAsia="en-US"/>
              </w:rPr>
            </w:pPr>
            <w:r w:rsidRPr="0018386D">
              <w:rPr>
                <w:rFonts w:cs="Calibri"/>
                <w:szCs w:val="18"/>
              </w:rPr>
              <w:t>Single-phase refrigerated containers</w:t>
            </w:r>
          </w:p>
        </w:tc>
        <w:tc>
          <w:tcPr>
            <w:tcW w:w="1134" w:type="dxa"/>
            <w:hideMark/>
          </w:tcPr>
          <w:p w14:paraId="4E7493DB"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3</w:t>
            </w:r>
          </w:p>
        </w:tc>
        <w:tc>
          <w:tcPr>
            <w:tcW w:w="1416" w:type="dxa"/>
            <w:hideMark/>
          </w:tcPr>
          <w:p w14:paraId="69591757"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25%</w:t>
            </w:r>
          </w:p>
        </w:tc>
        <w:tc>
          <w:tcPr>
            <w:tcW w:w="1418" w:type="dxa"/>
            <w:hideMark/>
          </w:tcPr>
          <w:p w14:paraId="19E15C32" w14:textId="77777777" w:rsidR="005F412E" w:rsidRPr="0018386D" w:rsidRDefault="005F412E" w:rsidP="00DD3106">
            <w:pPr>
              <w:pStyle w:val="TableText"/>
              <w:spacing w:before="40" w:after="40"/>
              <w:jc w:val="right"/>
              <w:rPr>
                <w:rFonts w:cs="Calibri"/>
                <w:szCs w:val="18"/>
                <w:lang w:eastAsia="en-GB"/>
              </w:rPr>
            </w:pPr>
            <w:r w:rsidRPr="0018386D">
              <w:rPr>
                <w:rFonts w:cs="Calibri"/>
                <w:szCs w:val="18"/>
                <w:lang w:eastAsia="en-GB"/>
              </w:rPr>
              <w:t>0.5%</w:t>
            </w:r>
          </w:p>
        </w:tc>
        <w:tc>
          <w:tcPr>
            <w:tcW w:w="1329" w:type="dxa"/>
            <w:hideMark/>
          </w:tcPr>
          <w:p w14:paraId="759A99BE"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Acceptable</w:t>
            </w:r>
          </w:p>
        </w:tc>
        <w:tc>
          <w:tcPr>
            <w:tcW w:w="1247" w:type="dxa"/>
            <w:hideMark/>
          </w:tcPr>
          <w:p w14:paraId="4708F4FA"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r w:rsidR="005F412E" w:rsidRPr="0018386D" w14:paraId="3AC23E9F" w14:textId="77777777" w:rsidTr="00FD7E6C">
        <w:trPr>
          <w:cantSplit/>
        </w:trPr>
        <w:tc>
          <w:tcPr>
            <w:tcW w:w="1985" w:type="dxa"/>
            <w:tcBorders>
              <w:bottom w:val="single" w:sz="4" w:space="0" w:color="1B556B" w:themeColor="text2"/>
            </w:tcBorders>
            <w:hideMark/>
          </w:tcPr>
          <w:p w14:paraId="600BE500" w14:textId="0CF60214" w:rsidR="005F412E" w:rsidRPr="0018386D" w:rsidRDefault="005F412E" w:rsidP="00DD3106">
            <w:pPr>
              <w:pStyle w:val="TableText"/>
              <w:spacing w:before="40" w:after="40"/>
              <w:rPr>
                <w:rFonts w:cs="Calibri"/>
                <w:szCs w:val="18"/>
                <w:lang w:eastAsia="en-US"/>
              </w:rPr>
            </w:pPr>
            <w:r w:rsidRPr="0018386D">
              <w:rPr>
                <w:rFonts w:cs="Calibri"/>
                <w:szCs w:val="18"/>
              </w:rPr>
              <w:t>Centralised commercial refrigeration eg, supermarkets</w:t>
            </w:r>
          </w:p>
        </w:tc>
        <w:tc>
          <w:tcPr>
            <w:tcW w:w="1134" w:type="dxa"/>
            <w:tcBorders>
              <w:bottom w:val="single" w:sz="4" w:space="0" w:color="1B556B" w:themeColor="text2"/>
            </w:tcBorders>
            <w:hideMark/>
          </w:tcPr>
          <w:p w14:paraId="435D122F"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Wide range</w:t>
            </w:r>
          </w:p>
        </w:tc>
        <w:tc>
          <w:tcPr>
            <w:tcW w:w="1416" w:type="dxa"/>
            <w:tcBorders>
              <w:bottom w:val="single" w:sz="4" w:space="0" w:color="1B556B" w:themeColor="text2"/>
            </w:tcBorders>
            <w:hideMark/>
          </w:tcPr>
          <w:p w14:paraId="648F5F1A"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Wide range</w:t>
            </w:r>
          </w:p>
        </w:tc>
        <w:tc>
          <w:tcPr>
            <w:tcW w:w="1418" w:type="dxa"/>
            <w:tcBorders>
              <w:bottom w:val="single" w:sz="4" w:space="0" w:color="1B556B" w:themeColor="text2"/>
            </w:tcBorders>
            <w:hideMark/>
          </w:tcPr>
          <w:p w14:paraId="6B4053F7"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Wide range</w:t>
            </w:r>
          </w:p>
        </w:tc>
        <w:tc>
          <w:tcPr>
            <w:tcW w:w="1329" w:type="dxa"/>
            <w:tcBorders>
              <w:bottom w:val="single" w:sz="4" w:space="0" w:color="1B556B" w:themeColor="text2"/>
            </w:tcBorders>
            <w:hideMark/>
          </w:tcPr>
          <w:p w14:paraId="1DE21DAC"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c>
          <w:tcPr>
            <w:tcW w:w="1247" w:type="dxa"/>
            <w:tcBorders>
              <w:bottom w:val="single" w:sz="4" w:space="0" w:color="1B556B" w:themeColor="text2"/>
            </w:tcBorders>
            <w:hideMark/>
          </w:tcPr>
          <w:p w14:paraId="06991B8A"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r w:rsidR="005F412E" w:rsidRPr="0018386D" w14:paraId="13DE729B" w14:textId="77777777" w:rsidTr="00736AF4">
        <w:trPr>
          <w:cantSplit/>
        </w:trPr>
        <w:tc>
          <w:tcPr>
            <w:tcW w:w="1985" w:type="dxa"/>
            <w:hideMark/>
          </w:tcPr>
          <w:p w14:paraId="48E92A29" w14:textId="77777777" w:rsidR="005F412E" w:rsidRPr="0018386D" w:rsidRDefault="005F412E" w:rsidP="00DD3106">
            <w:pPr>
              <w:pStyle w:val="TableText"/>
              <w:spacing w:before="40" w:after="40"/>
              <w:rPr>
                <w:rFonts w:cs="Calibri"/>
                <w:szCs w:val="18"/>
                <w:lang w:eastAsia="en-US"/>
              </w:rPr>
            </w:pPr>
            <w:r w:rsidRPr="0018386D">
              <w:rPr>
                <w:rFonts w:cs="Calibri"/>
                <w:szCs w:val="18"/>
              </w:rPr>
              <w:t>Industrial and commercial cool stores</w:t>
            </w:r>
          </w:p>
        </w:tc>
        <w:tc>
          <w:tcPr>
            <w:tcW w:w="1134" w:type="dxa"/>
            <w:hideMark/>
          </w:tcPr>
          <w:p w14:paraId="34033CEA"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Wide range</w:t>
            </w:r>
          </w:p>
        </w:tc>
        <w:tc>
          <w:tcPr>
            <w:tcW w:w="1416" w:type="dxa"/>
            <w:hideMark/>
          </w:tcPr>
          <w:p w14:paraId="7B44A490"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Wide range</w:t>
            </w:r>
          </w:p>
        </w:tc>
        <w:tc>
          <w:tcPr>
            <w:tcW w:w="1418" w:type="dxa"/>
            <w:hideMark/>
          </w:tcPr>
          <w:p w14:paraId="136A1410"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Wide range</w:t>
            </w:r>
          </w:p>
        </w:tc>
        <w:tc>
          <w:tcPr>
            <w:tcW w:w="1329" w:type="dxa"/>
            <w:hideMark/>
          </w:tcPr>
          <w:p w14:paraId="67906514"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c>
          <w:tcPr>
            <w:tcW w:w="1247" w:type="dxa"/>
            <w:hideMark/>
          </w:tcPr>
          <w:p w14:paraId="2982A41B" w14:textId="77777777" w:rsidR="005F412E" w:rsidRPr="0018386D" w:rsidRDefault="005F412E" w:rsidP="00DD3106">
            <w:pPr>
              <w:pStyle w:val="TableText"/>
              <w:spacing w:before="40" w:after="40"/>
              <w:rPr>
                <w:rFonts w:cs="Calibri"/>
                <w:szCs w:val="18"/>
                <w:lang w:eastAsia="en-GB"/>
              </w:rPr>
            </w:pPr>
            <w:r w:rsidRPr="0018386D">
              <w:rPr>
                <w:rFonts w:cs="Calibri"/>
                <w:szCs w:val="18"/>
                <w:lang w:eastAsia="en-GB"/>
              </w:rPr>
              <w:t>Unacceptable</w:t>
            </w:r>
          </w:p>
        </w:tc>
      </w:tr>
    </w:tbl>
    <w:p w14:paraId="377405D4" w14:textId="14BA6996" w:rsidR="005F412E" w:rsidRPr="0018386D" w:rsidRDefault="005F412E" w:rsidP="00DD3106">
      <w:pPr>
        <w:pStyle w:val="Tableheading"/>
        <w:spacing w:before="160"/>
      </w:pPr>
      <w:bookmarkStart w:id="1016" w:name="_Ref532370703"/>
      <w:bookmarkStart w:id="1017" w:name="_Ref609151"/>
      <w:bookmarkStart w:id="1018" w:name="tableb2"/>
      <w:bookmarkStart w:id="1019" w:name="_Toc55216423"/>
      <w:bookmarkStart w:id="1020" w:name="_Toc111536711"/>
      <w:bookmarkStart w:id="1021" w:name="_Toc140049039"/>
      <w:r w:rsidRPr="0018386D">
        <w:t>Table</w:t>
      </w:r>
      <w:bookmarkEnd w:id="1016"/>
      <w:r w:rsidR="00342DF3" w:rsidRPr="0018386D">
        <w:t xml:space="preserve"> B</w:t>
      </w:r>
      <w:r w:rsidRPr="0018386D">
        <w:fldChar w:fldCharType="begin"/>
      </w:r>
      <w:r w:rsidRPr="0018386D">
        <w:instrText>SEQ Table_B. \* ARABIC</w:instrText>
      </w:r>
      <w:r w:rsidRPr="0018386D">
        <w:fldChar w:fldCharType="separate"/>
      </w:r>
      <w:r w:rsidR="003E141C" w:rsidRPr="0018386D">
        <w:t>2</w:t>
      </w:r>
      <w:r w:rsidRPr="0018386D">
        <w:fldChar w:fldCharType="end"/>
      </w:r>
      <w:bookmarkEnd w:id="1017"/>
      <w:bookmarkEnd w:id="1018"/>
      <w:r w:rsidRPr="0018386D">
        <w:t>:</w:t>
      </w:r>
      <w:r w:rsidRPr="0018386D">
        <w:tab/>
        <w:t xml:space="preserve">Detailed 100-year </w:t>
      </w:r>
      <w:r w:rsidR="00F64130" w:rsidRPr="0018386D">
        <w:t>GWPs</w:t>
      </w:r>
      <w:r w:rsidRPr="0018386D">
        <w:t xml:space="preserve"> for various refrigerant mixtures</w:t>
      </w:r>
      <w:bookmarkEnd w:id="1019"/>
      <w:bookmarkEnd w:id="1020"/>
      <w:bookmarkEnd w:id="102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57" w:type="dxa"/>
          <w:right w:w="57" w:type="dxa"/>
        </w:tblCellMar>
        <w:tblLook w:val="04A0" w:firstRow="1" w:lastRow="0" w:firstColumn="1" w:lastColumn="0" w:noHBand="0" w:noVBand="1"/>
      </w:tblPr>
      <w:tblGrid>
        <w:gridCol w:w="1984"/>
        <w:gridCol w:w="626"/>
        <w:gridCol w:w="680"/>
        <w:gridCol w:w="793"/>
        <w:gridCol w:w="793"/>
        <w:gridCol w:w="793"/>
        <w:gridCol w:w="793"/>
        <w:gridCol w:w="793"/>
        <w:gridCol w:w="624"/>
        <w:gridCol w:w="626"/>
      </w:tblGrid>
      <w:tr w:rsidR="0060662E" w:rsidRPr="0018386D" w14:paraId="10191514" w14:textId="77777777" w:rsidTr="0060662E">
        <w:trPr>
          <w:cantSplit/>
          <w:tblHeader/>
        </w:trPr>
        <w:tc>
          <w:tcPr>
            <w:tcW w:w="1984" w:type="dxa"/>
            <w:shd w:val="clear" w:color="auto" w:fill="1B556B" w:themeFill="text2"/>
            <w:vAlign w:val="bottom"/>
            <w:hideMark/>
          </w:tcPr>
          <w:p w14:paraId="10D5A897"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Refrigerant type (trade name)</w:t>
            </w:r>
          </w:p>
        </w:tc>
        <w:tc>
          <w:tcPr>
            <w:tcW w:w="626" w:type="dxa"/>
            <w:shd w:val="clear" w:color="auto" w:fill="1B556B" w:themeFill="text2"/>
            <w:vAlign w:val="bottom"/>
            <w:hideMark/>
          </w:tcPr>
          <w:p w14:paraId="6FB16552"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HFC-23</w:t>
            </w:r>
          </w:p>
        </w:tc>
        <w:tc>
          <w:tcPr>
            <w:tcW w:w="680" w:type="dxa"/>
            <w:shd w:val="clear" w:color="auto" w:fill="1B556B" w:themeFill="text2"/>
            <w:vAlign w:val="bottom"/>
            <w:hideMark/>
          </w:tcPr>
          <w:p w14:paraId="0388EB09"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HFC-32</w:t>
            </w:r>
          </w:p>
        </w:tc>
        <w:tc>
          <w:tcPr>
            <w:tcW w:w="793" w:type="dxa"/>
            <w:shd w:val="clear" w:color="auto" w:fill="1B556B" w:themeFill="text2"/>
            <w:vAlign w:val="bottom"/>
            <w:hideMark/>
          </w:tcPr>
          <w:p w14:paraId="36AD6FA4"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HFC-125</w:t>
            </w:r>
          </w:p>
        </w:tc>
        <w:tc>
          <w:tcPr>
            <w:tcW w:w="793" w:type="dxa"/>
            <w:shd w:val="clear" w:color="auto" w:fill="1B556B" w:themeFill="text2"/>
            <w:vAlign w:val="bottom"/>
            <w:hideMark/>
          </w:tcPr>
          <w:p w14:paraId="36A0C956"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HFC-134a</w:t>
            </w:r>
          </w:p>
        </w:tc>
        <w:tc>
          <w:tcPr>
            <w:tcW w:w="793" w:type="dxa"/>
            <w:shd w:val="clear" w:color="auto" w:fill="1B556B" w:themeFill="text2"/>
            <w:vAlign w:val="bottom"/>
            <w:hideMark/>
          </w:tcPr>
          <w:p w14:paraId="5158AB27"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HFC-143a</w:t>
            </w:r>
          </w:p>
        </w:tc>
        <w:tc>
          <w:tcPr>
            <w:tcW w:w="793" w:type="dxa"/>
            <w:shd w:val="clear" w:color="auto" w:fill="1B556B" w:themeFill="text2"/>
            <w:vAlign w:val="bottom"/>
            <w:hideMark/>
          </w:tcPr>
          <w:p w14:paraId="51AAD8E0"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HFC-152a</w:t>
            </w:r>
          </w:p>
        </w:tc>
        <w:tc>
          <w:tcPr>
            <w:tcW w:w="793" w:type="dxa"/>
            <w:shd w:val="clear" w:color="auto" w:fill="1B556B" w:themeFill="text2"/>
            <w:vAlign w:val="bottom"/>
            <w:hideMark/>
          </w:tcPr>
          <w:p w14:paraId="224EDDD2"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PFC-218</w:t>
            </w:r>
          </w:p>
        </w:tc>
        <w:tc>
          <w:tcPr>
            <w:tcW w:w="624" w:type="dxa"/>
            <w:shd w:val="clear" w:color="auto" w:fill="1B556B" w:themeFill="text2"/>
            <w:vAlign w:val="bottom"/>
            <w:hideMark/>
          </w:tcPr>
          <w:p w14:paraId="46A08FF7"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Other*</w:t>
            </w:r>
          </w:p>
        </w:tc>
        <w:tc>
          <w:tcPr>
            <w:tcW w:w="626" w:type="dxa"/>
            <w:shd w:val="clear" w:color="auto" w:fill="1B556B" w:themeFill="text2"/>
            <w:vAlign w:val="bottom"/>
            <w:hideMark/>
          </w:tcPr>
          <w:p w14:paraId="18BFC5EF" w14:textId="77777777" w:rsidR="0060662E" w:rsidRPr="0018386D" w:rsidRDefault="0060662E" w:rsidP="00DD3106">
            <w:pPr>
              <w:pStyle w:val="TableText"/>
              <w:spacing w:before="40" w:after="40" w:line="220" w:lineRule="atLeast"/>
              <w:rPr>
                <w:rFonts w:cs="Calibri"/>
                <w:b/>
                <w:color w:val="FFFFFF" w:themeColor="background1"/>
                <w:sz w:val="17"/>
                <w:szCs w:val="17"/>
              </w:rPr>
            </w:pPr>
            <w:r w:rsidRPr="0018386D">
              <w:rPr>
                <w:rFonts w:cs="Calibri"/>
                <w:b/>
                <w:color w:val="FFFFFF" w:themeColor="background1"/>
                <w:sz w:val="17"/>
                <w:szCs w:val="17"/>
              </w:rPr>
              <w:t>Total GWP</w:t>
            </w:r>
          </w:p>
        </w:tc>
      </w:tr>
      <w:tr w:rsidR="0060662E" w:rsidRPr="0018386D" w14:paraId="054C1A88" w14:textId="77777777" w:rsidTr="0060662E">
        <w:trPr>
          <w:cantSplit/>
        </w:trPr>
        <w:tc>
          <w:tcPr>
            <w:tcW w:w="1984" w:type="dxa"/>
            <w:hideMark/>
          </w:tcPr>
          <w:p w14:paraId="2D4A5D09" w14:textId="77777777" w:rsidR="0060662E" w:rsidRPr="0018386D" w:rsidRDefault="0060662E" w:rsidP="00DD3106">
            <w:pPr>
              <w:pStyle w:val="TableText"/>
              <w:spacing w:before="40" w:after="40"/>
              <w:rPr>
                <w:rFonts w:cs="Calibri"/>
                <w:sz w:val="17"/>
                <w:szCs w:val="17"/>
              </w:rPr>
            </w:pPr>
            <w:r w:rsidRPr="0018386D">
              <w:rPr>
                <w:rFonts w:cs="Calibri"/>
                <w:sz w:val="17"/>
                <w:szCs w:val="17"/>
              </w:rPr>
              <w:t xml:space="preserve">GWP100 (IPCC Fifth Report, AR5) </w:t>
            </w:r>
          </w:p>
        </w:tc>
        <w:tc>
          <w:tcPr>
            <w:tcW w:w="626" w:type="dxa"/>
            <w:hideMark/>
          </w:tcPr>
          <w:p w14:paraId="18DFE1A9"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12,400</w:t>
            </w:r>
          </w:p>
        </w:tc>
        <w:tc>
          <w:tcPr>
            <w:tcW w:w="680" w:type="dxa"/>
            <w:hideMark/>
          </w:tcPr>
          <w:p w14:paraId="5FE0DD7E"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677</w:t>
            </w:r>
          </w:p>
        </w:tc>
        <w:tc>
          <w:tcPr>
            <w:tcW w:w="793" w:type="dxa"/>
            <w:hideMark/>
          </w:tcPr>
          <w:p w14:paraId="509E2774"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3,170</w:t>
            </w:r>
          </w:p>
        </w:tc>
        <w:tc>
          <w:tcPr>
            <w:tcW w:w="793" w:type="dxa"/>
            <w:hideMark/>
          </w:tcPr>
          <w:p w14:paraId="5E5C7092"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1,300</w:t>
            </w:r>
          </w:p>
        </w:tc>
        <w:tc>
          <w:tcPr>
            <w:tcW w:w="793" w:type="dxa"/>
            <w:hideMark/>
          </w:tcPr>
          <w:p w14:paraId="1B576C4E"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4,800</w:t>
            </w:r>
          </w:p>
        </w:tc>
        <w:tc>
          <w:tcPr>
            <w:tcW w:w="793" w:type="dxa"/>
            <w:hideMark/>
          </w:tcPr>
          <w:p w14:paraId="03E2A8F5"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138</w:t>
            </w:r>
          </w:p>
        </w:tc>
        <w:tc>
          <w:tcPr>
            <w:tcW w:w="793" w:type="dxa"/>
            <w:hideMark/>
          </w:tcPr>
          <w:p w14:paraId="29787075"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8,900</w:t>
            </w:r>
          </w:p>
        </w:tc>
        <w:tc>
          <w:tcPr>
            <w:tcW w:w="624" w:type="dxa"/>
            <w:hideMark/>
          </w:tcPr>
          <w:p w14:paraId="0C7F0DDA"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0</w:t>
            </w:r>
          </w:p>
        </w:tc>
        <w:tc>
          <w:tcPr>
            <w:tcW w:w="626" w:type="dxa"/>
          </w:tcPr>
          <w:p w14:paraId="01431367" w14:textId="77777777" w:rsidR="0060662E" w:rsidRPr="0018386D" w:rsidRDefault="0060662E" w:rsidP="00DD3106">
            <w:pPr>
              <w:pStyle w:val="TableText"/>
              <w:spacing w:before="40" w:after="40"/>
              <w:jc w:val="right"/>
              <w:rPr>
                <w:rFonts w:cs="Calibri"/>
                <w:sz w:val="17"/>
                <w:szCs w:val="17"/>
              </w:rPr>
            </w:pPr>
          </w:p>
        </w:tc>
      </w:tr>
      <w:tr w:rsidR="0060662E" w:rsidRPr="0018386D" w14:paraId="1AE4DBC9" w14:textId="77777777" w:rsidTr="0060662E">
        <w:trPr>
          <w:cantSplit/>
        </w:trPr>
        <w:tc>
          <w:tcPr>
            <w:tcW w:w="1984" w:type="dxa"/>
            <w:hideMark/>
          </w:tcPr>
          <w:p w14:paraId="53A28B27" w14:textId="77777777" w:rsidR="0060662E" w:rsidRPr="0018386D" w:rsidRDefault="0060662E" w:rsidP="00DD3106">
            <w:pPr>
              <w:pStyle w:val="TableText"/>
              <w:spacing w:before="40" w:after="40"/>
              <w:rPr>
                <w:rFonts w:cs="Calibri"/>
                <w:sz w:val="17"/>
                <w:szCs w:val="17"/>
              </w:rPr>
            </w:pPr>
            <w:r w:rsidRPr="0018386D">
              <w:rPr>
                <w:rFonts w:cs="Calibri"/>
                <w:sz w:val="17"/>
                <w:szCs w:val="17"/>
              </w:rPr>
              <w:t>R22 (HCFC-22)</w:t>
            </w:r>
          </w:p>
        </w:tc>
        <w:tc>
          <w:tcPr>
            <w:tcW w:w="626" w:type="dxa"/>
          </w:tcPr>
          <w:p w14:paraId="1DC141E7" w14:textId="77777777" w:rsidR="0060662E" w:rsidRPr="0018386D" w:rsidRDefault="0060662E" w:rsidP="00DD3106">
            <w:pPr>
              <w:pStyle w:val="TableText"/>
              <w:spacing w:before="40" w:after="40"/>
              <w:jc w:val="right"/>
              <w:rPr>
                <w:rFonts w:cs="Calibri"/>
                <w:sz w:val="17"/>
                <w:szCs w:val="17"/>
              </w:rPr>
            </w:pPr>
          </w:p>
        </w:tc>
        <w:tc>
          <w:tcPr>
            <w:tcW w:w="680" w:type="dxa"/>
          </w:tcPr>
          <w:p w14:paraId="1A09F045" w14:textId="77777777" w:rsidR="0060662E" w:rsidRPr="0018386D" w:rsidRDefault="0060662E" w:rsidP="00DD3106">
            <w:pPr>
              <w:pStyle w:val="TableText"/>
              <w:spacing w:before="40" w:after="40"/>
              <w:jc w:val="right"/>
              <w:rPr>
                <w:rFonts w:cs="Calibri"/>
                <w:sz w:val="17"/>
                <w:szCs w:val="17"/>
              </w:rPr>
            </w:pPr>
          </w:p>
        </w:tc>
        <w:tc>
          <w:tcPr>
            <w:tcW w:w="793" w:type="dxa"/>
          </w:tcPr>
          <w:p w14:paraId="0A534722" w14:textId="77777777" w:rsidR="0060662E" w:rsidRPr="0018386D" w:rsidRDefault="0060662E" w:rsidP="00DD3106">
            <w:pPr>
              <w:pStyle w:val="TableText"/>
              <w:spacing w:before="40" w:after="40"/>
              <w:jc w:val="right"/>
              <w:rPr>
                <w:rFonts w:cs="Calibri"/>
                <w:sz w:val="17"/>
                <w:szCs w:val="17"/>
              </w:rPr>
            </w:pPr>
          </w:p>
        </w:tc>
        <w:tc>
          <w:tcPr>
            <w:tcW w:w="793" w:type="dxa"/>
          </w:tcPr>
          <w:p w14:paraId="37DCA271" w14:textId="77777777" w:rsidR="0060662E" w:rsidRPr="0018386D" w:rsidRDefault="0060662E" w:rsidP="00DD3106">
            <w:pPr>
              <w:pStyle w:val="TableText"/>
              <w:spacing w:before="40" w:after="40"/>
              <w:jc w:val="right"/>
              <w:rPr>
                <w:rFonts w:cs="Calibri"/>
                <w:sz w:val="17"/>
                <w:szCs w:val="17"/>
              </w:rPr>
            </w:pPr>
          </w:p>
        </w:tc>
        <w:tc>
          <w:tcPr>
            <w:tcW w:w="793" w:type="dxa"/>
          </w:tcPr>
          <w:p w14:paraId="2650A0A5" w14:textId="77777777" w:rsidR="0060662E" w:rsidRPr="0018386D" w:rsidRDefault="0060662E" w:rsidP="00DD3106">
            <w:pPr>
              <w:pStyle w:val="TableText"/>
              <w:spacing w:before="40" w:after="40"/>
              <w:jc w:val="right"/>
              <w:rPr>
                <w:rFonts w:cs="Calibri"/>
                <w:sz w:val="17"/>
                <w:szCs w:val="17"/>
              </w:rPr>
            </w:pPr>
          </w:p>
        </w:tc>
        <w:tc>
          <w:tcPr>
            <w:tcW w:w="793" w:type="dxa"/>
          </w:tcPr>
          <w:p w14:paraId="7E2F9A60" w14:textId="77777777" w:rsidR="0060662E" w:rsidRPr="0018386D" w:rsidRDefault="0060662E" w:rsidP="00DD3106">
            <w:pPr>
              <w:pStyle w:val="TableText"/>
              <w:spacing w:before="40" w:after="40"/>
              <w:jc w:val="right"/>
              <w:rPr>
                <w:rFonts w:cs="Calibri"/>
                <w:sz w:val="17"/>
                <w:szCs w:val="17"/>
              </w:rPr>
            </w:pPr>
          </w:p>
        </w:tc>
        <w:tc>
          <w:tcPr>
            <w:tcW w:w="793" w:type="dxa"/>
          </w:tcPr>
          <w:p w14:paraId="03425D2C" w14:textId="77777777" w:rsidR="0060662E" w:rsidRPr="0018386D" w:rsidRDefault="0060662E" w:rsidP="00DD3106">
            <w:pPr>
              <w:pStyle w:val="TableText"/>
              <w:spacing w:before="40" w:after="40"/>
              <w:jc w:val="right"/>
              <w:rPr>
                <w:rFonts w:cs="Calibri"/>
                <w:sz w:val="17"/>
                <w:szCs w:val="17"/>
              </w:rPr>
            </w:pPr>
          </w:p>
        </w:tc>
        <w:tc>
          <w:tcPr>
            <w:tcW w:w="624" w:type="dxa"/>
            <w:hideMark/>
          </w:tcPr>
          <w:p w14:paraId="23FD240C"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100%</w:t>
            </w:r>
          </w:p>
        </w:tc>
        <w:tc>
          <w:tcPr>
            <w:tcW w:w="626" w:type="dxa"/>
            <w:hideMark/>
          </w:tcPr>
          <w:p w14:paraId="415CA9A4"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1,760</w:t>
            </w:r>
          </w:p>
        </w:tc>
      </w:tr>
      <w:tr w:rsidR="0060662E" w:rsidRPr="0018386D" w14:paraId="2200B562" w14:textId="77777777" w:rsidTr="0060662E">
        <w:trPr>
          <w:cantSplit/>
        </w:trPr>
        <w:tc>
          <w:tcPr>
            <w:tcW w:w="1984" w:type="dxa"/>
            <w:hideMark/>
          </w:tcPr>
          <w:p w14:paraId="58D07460" w14:textId="77777777" w:rsidR="0060662E" w:rsidRPr="0018386D" w:rsidRDefault="0060662E" w:rsidP="00DD3106">
            <w:pPr>
              <w:pStyle w:val="TableText"/>
              <w:spacing w:before="40" w:after="40"/>
              <w:rPr>
                <w:rFonts w:cs="Calibri"/>
                <w:sz w:val="17"/>
                <w:szCs w:val="17"/>
              </w:rPr>
            </w:pPr>
            <w:r w:rsidRPr="0018386D">
              <w:rPr>
                <w:rFonts w:cs="Calibri"/>
                <w:sz w:val="17"/>
                <w:szCs w:val="17"/>
              </w:rPr>
              <w:t>R23</w:t>
            </w:r>
          </w:p>
        </w:tc>
        <w:tc>
          <w:tcPr>
            <w:tcW w:w="626" w:type="dxa"/>
            <w:hideMark/>
          </w:tcPr>
          <w:p w14:paraId="500D7638"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100%</w:t>
            </w:r>
          </w:p>
        </w:tc>
        <w:tc>
          <w:tcPr>
            <w:tcW w:w="680" w:type="dxa"/>
          </w:tcPr>
          <w:p w14:paraId="2F7D190A" w14:textId="77777777" w:rsidR="0060662E" w:rsidRPr="0018386D" w:rsidRDefault="0060662E" w:rsidP="00DD3106">
            <w:pPr>
              <w:pStyle w:val="TableText"/>
              <w:spacing w:before="40" w:after="40"/>
              <w:jc w:val="right"/>
              <w:rPr>
                <w:rFonts w:cs="Calibri"/>
                <w:sz w:val="17"/>
                <w:szCs w:val="17"/>
              </w:rPr>
            </w:pPr>
          </w:p>
        </w:tc>
        <w:tc>
          <w:tcPr>
            <w:tcW w:w="793" w:type="dxa"/>
          </w:tcPr>
          <w:p w14:paraId="6D364E2D" w14:textId="77777777" w:rsidR="0060662E" w:rsidRPr="0018386D" w:rsidRDefault="0060662E" w:rsidP="00DD3106">
            <w:pPr>
              <w:pStyle w:val="TableText"/>
              <w:spacing w:before="40" w:after="40"/>
              <w:jc w:val="right"/>
              <w:rPr>
                <w:rFonts w:cs="Calibri"/>
                <w:sz w:val="17"/>
                <w:szCs w:val="17"/>
              </w:rPr>
            </w:pPr>
          </w:p>
        </w:tc>
        <w:tc>
          <w:tcPr>
            <w:tcW w:w="793" w:type="dxa"/>
          </w:tcPr>
          <w:p w14:paraId="5762015E" w14:textId="77777777" w:rsidR="0060662E" w:rsidRPr="0018386D" w:rsidRDefault="0060662E" w:rsidP="00DD3106">
            <w:pPr>
              <w:pStyle w:val="TableText"/>
              <w:spacing w:before="40" w:after="40"/>
              <w:jc w:val="right"/>
              <w:rPr>
                <w:rFonts w:cs="Calibri"/>
                <w:sz w:val="17"/>
                <w:szCs w:val="17"/>
              </w:rPr>
            </w:pPr>
          </w:p>
        </w:tc>
        <w:tc>
          <w:tcPr>
            <w:tcW w:w="793" w:type="dxa"/>
          </w:tcPr>
          <w:p w14:paraId="65DB5813" w14:textId="77777777" w:rsidR="0060662E" w:rsidRPr="0018386D" w:rsidRDefault="0060662E" w:rsidP="00DD3106">
            <w:pPr>
              <w:pStyle w:val="TableText"/>
              <w:spacing w:before="40" w:after="40"/>
              <w:jc w:val="right"/>
              <w:rPr>
                <w:rFonts w:cs="Calibri"/>
                <w:sz w:val="17"/>
                <w:szCs w:val="17"/>
              </w:rPr>
            </w:pPr>
          </w:p>
        </w:tc>
        <w:tc>
          <w:tcPr>
            <w:tcW w:w="793" w:type="dxa"/>
          </w:tcPr>
          <w:p w14:paraId="2ACEC472" w14:textId="77777777" w:rsidR="0060662E" w:rsidRPr="0018386D" w:rsidRDefault="0060662E" w:rsidP="00DD3106">
            <w:pPr>
              <w:pStyle w:val="TableText"/>
              <w:spacing w:before="40" w:after="40"/>
              <w:jc w:val="right"/>
              <w:rPr>
                <w:rFonts w:cs="Calibri"/>
                <w:sz w:val="17"/>
                <w:szCs w:val="17"/>
              </w:rPr>
            </w:pPr>
          </w:p>
        </w:tc>
        <w:tc>
          <w:tcPr>
            <w:tcW w:w="793" w:type="dxa"/>
          </w:tcPr>
          <w:p w14:paraId="59530056" w14:textId="77777777" w:rsidR="0060662E" w:rsidRPr="0018386D" w:rsidRDefault="0060662E" w:rsidP="00DD3106">
            <w:pPr>
              <w:pStyle w:val="TableText"/>
              <w:spacing w:before="40" w:after="40"/>
              <w:jc w:val="right"/>
              <w:rPr>
                <w:rFonts w:cs="Calibri"/>
                <w:sz w:val="17"/>
                <w:szCs w:val="17"/>
              </w:rPr>
            </w:pPr>
          </w:p>
        </w:tc>
        <w:tc>
          <w:tcPr>
            <w:tcW w:w="624" w:type="dxa"/>
          </w:tcPr>
          <w:p w14:paraId="6040C28D" w14:textId="77777777" w:rsidR="0060662E" w:rsidRPr="0018386D" w:rsidRDefault="0060662E" w:rsidP="00DD3106">
            <w:pPr>
              <w:pStyle w:val="TableText"/>
              <w:spacing w:before="40" w:after="40"/>
              <w:jc w:val="right"/>
              <w:rPr>
                <w:rFonts w:cs="Calibri"/>
                <w:sz w:val="17"/>
                <w:szCs w:val="17"/>
              </w:rPr>
            </w:pPr>
          </w:p>
        </w:tc>
        <w:tc>
          <w:tcPr>
            <w:tcW w:w="626" w:type="dxa"/>
            <w:hideMark/>
          </w:tcPr>
          <w:p w14:paraId="2F7476DC"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12,400</w:t>
            </w:r>
          </w:p>
        </w:tc>
      </w:tr>
      <w:tr w:rsidR="0060662E" w:rsidRPr="0018386D" w14:paraId="490E9C71" w14:textId="77777777" w:rsidTr="0060662E">
        <w:trPr>
          <w:cantSplit/>
        </w:trPr>
        <w:tc>
          <w:tcPr>
            <w:tcW w:w="1984" w:type="dxa"/>
            <w:hideMark/>
          </w:tcPr>
          <w:p w14:paraId="103B33D1" w14:textId="77777777" w:rsidR="0060662E" w:rsidRPr="0018386D" w:rsidRDefault="0060662E" w:rsidP="00DD3106">
            <w:pPr>
              <w:pStyle w:val="TableText"/>
              <w:spacing w:before="40" w:after="40"/>
              <w:rPr>
                <w:rFonts w:cs="Calibri"/>
                <w:sz w:val="17"/>
                <w:szCs w:val="17"/>
              </w:rPr>
            </w:pPr>
            <w:r w:rsidRPr="0018386D">
              <w:rPr>
                <w:rFonts w:cs="Calibri"/>
                <w:sz w:val="17"/>
                <w:szCs w:val="17"/>
              </w:rPr>
              <w:t>R134a</w:t>
            </w:r>
          </w:p>
        </w:tc>
        <w:tc>
          <w:tcPr>
            <w:tcW w:w="626" w:type="dxa"/>
          </w:tcPr>
          <w:p w14:paraId="4A3F89C7" w14:textId="77777777" w:rsidR="0060662E" w:rsidRPr="0018386D" w:rsidRDefault="0060662E" w:rsidP="00DD3106">
            <w:pPr>
              <w:pStyle w:val="TableText"/>
              <w:spacing w:before="40" w:after="40"/>
              <w:jc w:val="right"/>
              <w:rPr>
                <w:rFonts w:cs="Calibri"/>
                <w:sz w:val="17"/>
                <w:szCs w:val="17"/>
              </w:rPr>
            </w:pPr>
          </w:p>
        </w:tc>
        <w:tc>
          <w:tcPr>
            <w:tcW w:w="680" w:type="dxa"/>
          </w:tcPr>
          <w:p w14:paraId="0295819F" w14:textId="77777777" w:rsidR="0060662E" w:rsidRPr="0018386D" w:rsidRDefault="0060662E" w:rsidP="00DD3106">
            <w:pPr>
              <w:pStyle w:val="TableText"/>
              <w:spacing w:before="40" w:after="40"/>
              <w:jc w:val="right"/>
              <w:rPr>
                <w:rFonts w:cs="Calibri"/>
                <w:sz w:val="17"/>
                <w:szCs w:val="17"/>
              </w:rPr>
            </w:pPr>
          </w:p>
        </w:tc>
        <w:tc>
          <w:tcPr>
            <w:tcW w:w="793" w:type="dxa"/>
          </w:tcPr>
          <w:p w14:paraId="3C9A5A92"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08917A85"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100%</w:t>
            </w:r>
          </w:p>
        </w:tc>
        <w:tc>
          <w:tcPr>
            <w:tcW w:w="793" w:type="dxa"/>
          </w:tcPr>
          <w:p w14:paraId="501604E0" w14:textId="77777777" w:rsidR="0060662E" w:rsidRPr="0018386D" w:rsidRDefault="0060662E" w:rsidP="00DD3106">
            <w:pPr>
              <w:pStyle w:val="TableText"/>
              <w:spacing w:before="40" w:after="40"/>
              <w:jc w:val="right"/>
              <w:rPr>
                <w:rFonts w:cs="Calibri"/>
                <w:sz w:val="17"/>
                <w:szCs w:val="17"/>
              </w:rPr>
            </w:pPr>
          </w:p>
        </w:tc>
        <w:tc>
          <w:tcPr>
            <w:tcW w:w="793" w:type="dxa"/>
          </w:tcPr>
          <w:p w14:paraId="77C5E6EE" w14:textId="77777777" w:rsidR="0060662E" w:rsidRPr="0018386D" w:rsidRDefault="0060662E" w:rsidP="00DD3106">
            <w:pPr>
              <w:pStyle w:val="TableText"/>
              <w:spacing w:before="40" w:after="40"/>
              <w:jc w:val="right"/>
              <w:rPr>
                <w:rFonts w:cs="Calibri"/>
                <w:sz w:val="17"/>
                <w:szCs w:val="17"/>
              </w:rPr>
            </w:pPr>
          </w:p>
        </w:tc>
        <w:tc>
          <w:tcPr>
            <w:tcW w:w="793" w:type="dxa"/>
          </w:tcPr>
          <w:p w14:paraId="7E392554" w14:textId="77777777" w:rsidR="0060662E" w:rsidRPr="0018386D" w:rsidRDefault="0060662E" w:rsidP="00DD3106">
            <w:pPr>
              <w:pStyle w:val="TableText"/>
              <w:spacing w:before="40" w:after="40"/>
              <w:jc w:val="right"/>
              <w:rPr>
                <w:rFonts w:cs="Calibri"/>
                <w:sz w:val="17"/>
                <w:szCs w:val="17"/>
              </w:rPr>
            </w:pPr>
          </w:p>
        </w:tc>
        <w:tc>
          <w:tcPr>
            <w:tcW w:w="624" w:type="dxa"/>
          </w:tcPr>
          <w:p w14:paraId="715A04DE" w14:textId="77777777" w:rsidR="0060662E" w:rsidRPr="0018386D" w:rsidRDefault="0060662E" w:rsidP="00DD3106">
            <w:pPr>
              <w:pStyle w:val="TableText"/>
              <w:spacing w:before="40" w:after="40"/>
              <w:jc w:val="right"/>
              <w:rPr>
                <w:rFonts w:cs="Calibri"/>
                <w:sz w:val="17"/>
                <w:szCs w:val="17"/>
              </w:rPr>
            </w:pPr>
          </w:p>
        </w:tc>
        <w:tc>
          <w:tcPr>
            <w:tcW w:w="626" w:type="dxa"/>
            <w:hideMark/>
          </w:tcPr>
          <w:p w14:paraId="2579B482"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1,300</w:t>
            </w:r>
          </w:p>
        </w:tc>
      </w:tr>
      <w:tr w:rsidR="0060662E" w:rsidRPr="0018386D" w14:paraId="32194875" w14:textId="77777777" w:rsidTr="0060662E">
        <w:trPr>
          <w:cantSplit/>
        </w:trPr>
        <w:tc>
          <w:tcPr>
            <w:tcW w:w="1984" w:type="dxa"/>
            <w:hideMark/>
          </w:tcPr>
          <w:p w14:paraId="50948440" w14:textId="77777777" w:rsidR="0060662E" w:rsidRPr="0018386D" w:rsidRDefault="0060662E" w:rsidP="00DD3106">
            <w:pPr>
              <w:pStyle w:val="TableText"/>
              <w:spacing w:before="40" w:after="40"/>
              <w:rPr>
                <w:rFonts w:cs="Calibri"/>
                <w:sz w:val="17"/>
                <w:szCs w:val="17"/>
              </w:rPr>
            </w:pPr>
            <w:r w:rsidRPr="0018386D">
              <w:rPr>
                <w:rFonts w:cs="Calibri"/>
                <w:sz w:val="17"/>
                <w:szCs w:val="17"/>
              </w:rPr>
              <w:t>R403B: 5% R290, 56% R22, 39% R218</w:t>
            </w:r>
          </w:p>
        </w:tc>
        <w:tc>
          <w:tcPr>
            <w:tcW w:w="626" w:type="dxa"/>
          </w:tcPr>
          <w:p w14:paraId="6CA265FC" w14:textId="77777777" w:rsidR="0060662E" w:rsidRPr="0018386D" w:rsidRDefault="0060662E" w:rsidP="00DD3106">
            <w:pPr>
              <w:pStyle w:val="TableText"/>
              <w:spacing w:before="40" w:after="40"/>
              <w:jc w:val="right"/>
              <w:rPr>
                <w:rFonts w:cs="Calibri"/>
                <w:sz w:val="17"/>
                <w:szCs w:val="17"/>
              </w:rPr>
            </w:pPr>
          </w:p>
        </w:tc>
        <w:tc>
          <w:tcPr>
            <w:tcW w:w="680" w:type="dxa"/>
          </w:tcPr>
          <w:p w14:paraId="2D2F737A" w14:textId="77777777" w:rsidR="0060662E" w:rsidRPr="0018386D" w:rsidRDefault="0060662E" w:rsidP="00DD3106">
            <w:pPr>
              <w:pStyle w:val="TableText"/>
              <w:spacing w:before="40" w:after="40"/>
              <w:jc w:val="right"/>
              <w:rPr>
                <w:rFonts w:cs="Calibri"/>
                <w:sz w:val="17"/>
                <w:szCs w:val="17"/>
              </w:rPr>
            </w:pPr>
          </w:p>
        </w:tc>
        <w:tc>
          <w:tcPr>
            <w:tcW w:w="793" w:type="dxa"/>
          </w:tcPr>
          <w:p w14:paraId="106DDDC6" w14:textId="77777777" w:rsidR="0060662E" w:rsidRPr="0018386D" w:rsidRDefault="0060662E" w:rsidP="00DD3106">
            <w:pPr>
              <w:pStyle w:val="TableText"/>
              <w:spacing w:before="40" w:after="40"/>
              <w:jc w:val="right"/>
              <w:rPr>
                <w:rFonts w:cs="Calibri"/>
                <w:sz w:val="17"/>
                <w:szCs w:val="17"/>
              </w:rPr>
            </w:pPr>
          </w:p>
        </w:tc>
        <w:tc>
          <w:tcPr>
            <w:tcW w:w="793" w:type="dxa"/>
          </w:tcPr>
          <w:p w14:paraId="61E1AF39" w14:textId="77777777" w:rsidR="0060662E" w:rsidRPr="0018386D" w:rsidRDefault="0060662E" w:rsidP="00DD3106">
            <w:pPr>
              <w:pStyle w:val="TableText"/>
              <w:spacing w:before="40" w:after="40"/>
              <w:jc w:val="right"/>
              <w:rPr>
                <w:rFonts w:cs="Calibri"/>
                <w:sz w:val="17"/>
                <w:szCs w:val="17"/>
              </w:rPr>
            </w:pPr>
          </w:p>
        </w:tc>
        <w:tc>
          <w:tcPr>
            <w:tcW w:w="793" w:type="dxa"/>
          </w:tcPr>
          <w:p w14:paraId="2A0C03B0" w14:textId="77777777" w:rsidR="0060662E" w:rsidRPr="0018386D" w:rsidRDefault="0060662E" w:rsidP="00DD3106">
            <w:pPr>
              <w:pStyle w:val="TableText"/>
              <w:spacing w:before="40" w:after="40"/>
              <w:jc w:val="right"/>
              <w:rPr>
                <w:rFonts w:cs="Calibri"/>
                <w:sz w:val="17"/>
                <w:szCs w:val="17"/>
              </w:rPr>
            </w:pPr>
          </w:p>
        </w:tc>
        <w:tc>
          <w:tcPr>
            <w:tcW w:w="793" w:type="dxa"/>
          </w:tcPr>
          <w:p w14:paraId="29F63295"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64FF4815"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39%</w:t>
            </w:r>
          </w:p>
        </w:tc>
        <w:tc>
          <w:tcPr>
            <w:tcW w:w="624" w:type="dxa"/>
            <w:hideMark/>
          </w:tcPr>
          <w:p w14:paraId="307D322F"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61%</w:t>
            </w:r>
          </w:p>
        </w:tc>
        <w:tc>
          <w:tcPr>
            <w:tcW w:w="626" w:type="dxa"/>
            <w:hideMark/>
          </w:tcPr>
          <w:p w14:paraId="4DFB05C5" w14:textId="1B568270" w:rsidR="0060662E" w:rsidRPr="0018386D" w:rsidRDefault="0060662E" w:rsidP="00DD3106">
            <w:pPr>
              <w:pStyle w:val="TableText"/>
              <w:spacing w:before="40" w:after="40"/>
              <w:jc w:val="right"/>
              <w:rPr>
                <w:rFonts w:cs="Calibri"/>
                <w:sz w:val="17"/>
                <w:szCs w:val="17"/>
              </w:rPr>
            </w:pPr>
            <w:r w:rsidRPr="0018386D">
              <w:rPr>
                <w:rFonts w:cs="Calibri"/>
                <w:sz w:val="17"/>
                <w:szCs w:val="17"/>
              </w:rPr>
              <w:t>4,457</w:t>
            </w:r>
          </w:p>
        </w:tc>
      </w:tr>
      <w:tr w:rsidR="0060662E" w:rsidRPr="0018386D" w14:paraId="5B398421" w14:textId="77777777" w:rsidTr="0060662E">
        <w:trPr>
          <w:cantSplit/>
        </w:trPr>
        <w:tc>
          <w:tcPr>
            <w:tcW w:w="1984" w:type="dxa"/>
            <w:hideMark/>
          </w:tcPr>
          <w:p w14:paraId="0EFD8DF1" w14:textId="77777777" w:rsidR="0060662E" w:rsidRPr="0018386D" w:rsidRDefault="0060662E" w:rsidP="00DD3106">
            <w:pPr>
              <w:pStyle w:val="TableText"/>
              <w:spacing w:before="40" w:after="40"/>
              <w:rPr>
                <w:rFonts w:cs="Calibri"/>
                <w:sz w:val="17"/>
                <w:szCs w:val="17"/>
              </w:rPr>
            </w:pPr>
            <w:r w:rsidRPr="0018386D">
              <w:rPr>
                <w:rFonts w:cs="Calibri"/>
                <w:sz w:val="17"/>
                <w:szCs w:val="17"/>
              </w:rPr>
              <w:t>R404A: 44% R125, 52% R143a, 4% R134a</w:t>
            </w:r>
          </w:p>
        </w:tc>
        <w:tc>
          <w:tcPr>
            <w:tcW w:w="626" w:type="dxa"/>
          </w:tcPr>
          <w:p w14:paraId="303B1D6F" w14:textId="77777777" w:rsidR="0060662E" w:rsidRPr="0018386D" w:rsidRDefault="0060662E" w:rsidP="00DD3106">
            <w:pPr>
              <w:pStyle w:val="TableText"/>
              <w:spacing w:before="40" w:after="40"/>
              <w:jc w:val="right"/>
              <w:rPr>
                <w:rFonts w:cs="Calibri"/>
                <w:sz w:val="17"/>
                <w:szCs w:val="17"/>
              </w:rPr>
            </w:pPr>
          </w:p>
        </w:tc>
        <w:tc>
          <w:tcPr>
            <w:tcW w:w="680" w:type="dxa"/>
          </w:tcPr>
          <w:p w14:paraId="66E4FEB8"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7A0CB90C"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44%</w:t>
            </w:r>
          </w:p>
        </w:tc>
        <w:tc>
          <w:tcPr>
            <w:tcW w:w="793" w:type="dxa"/>
            <w:hideMark/>
          </w:tcPr>
          <w:p w14:paraId="55240A41"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4%</w:t>
            </w:r>
          </w:p>
        </w:tc>
        <w:tc>
          <w:tcPr>
            <w:tcW w:w="793" w:type="dxa"/>
            <w:hideMark/>
          </w:tcPr>
          <w:p w14:paraId="62AA340E"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52%</w:t>
            </w:r>
          </w:p>
        </w:tc>
        <w:tc>
          <w:tcPr>
            <w:tcW w:w="793" w:type="dxa"/>
          </w:tcPr>
          <w:p w14:paraId="369BF220" w14:textId="77777777" w:rsidR="0060662E" w:rsidRPr="0018386D" w:rsidRDefault="0060662E" w:rsidP="00DD3106">
            <w:pPr>
              <w:pStyle w:val="TableText"/>
              <w:spacing w:before="40" w:after="40"/>
              <w:jc w:val="right"/>
              <w:rPr>
                <w:rFonts w:cs="Calibri"/>
                <w:sz w:val="17"/>
                <w:szCs w:val="17"/>
              </w:rPr>
            </w:pPr>
          </w:p>
        </w:tc>
        <w:tc>
          <w:tcPr>
            <w:tcW w:w="793" w:type="dxa"/>
          </w:tcPr>
          <w:p w14:paraId="17A484D4" w14:textId="77777777" w:rsidR="0060662E" w:rsidRPr="0018386D" w:rsidRDefault="0060662E" w:rsidP="00DD3106">
            <w:pPr>
              <w:pStyle w:val="TableText"/>
              <w:spacing w:before="40" w:after="40"/>
              <w:jc w:val="right"/>
              <w:rPr>
                <w:rFonts w:cs="Calibri"/>
                <w:sz w:val="17"/>
                <w:szCs w:val="17"/>
              </w:rPr>
            </w:pPr>
          </w:p>
        </w:tc>
        <w:tc>
          <w:tcPr>
            <w:tcW w:w="624" w:type="dxa"/>
          </w:tcPr>
          <w:p w14:paraId="1D886C45" w14:textId="77777777" w:rsidR="0060662E" w:rsidRPr="0018386D" w:rsidRDefault="0060662E" w:rsidP="00DD3106">
            <w:pPr>
              <w:pStyle w:val="TableText"/>
              <w:spacing w:before="40" w:after="40"/>
              <w:jc w:val="right"/>
              <w:rPr>
                <w:rFonts w:cs="Calibri"/>
                <w:sz w:val="17"/>
                <w:szCs w:val="17"/>
              </w:rPr>
            </w:pPr>
          </w:p>
        </w:tc>
        <w:tc>
          <w:tcPr>
            <w:tcW w:w="626" w:type="dxa"/>
            <w:hideMark/>
          </w:tcPr>
          <w:p w14:paraId="15AE4FD6"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3,943</w:t>
            </w:r>
          </w:p>
        </w:tc>
      </w:tr>
      <w:tr w:rsidR="0060662E" w:rsidRPr="0018386D" w14:paraId="6FC1FCC2" w14:textId="77777777" w:rsidTr="0060662E">
        <w:trPr>
          <w:cantSplit/>
        </w:trPr>
        <w:tc>
          <w:tcPr>
            <w:tcW w:w="1984" w:type="dxa"/>
            <w:hideMark/>
          </w:tcPr>
          <w:p w14:paraId="488ED974" w14:textId="77777777" w:rsidR="0060662E" w:rsidRPr="0018386D" w:rsidRDefault="0060662E" w:rsidP="00DD3106">
            <w:pPr>
              <w:pStyle w:val="TableText"/>
              <w:spacing w:before="40" w:after="40"/>
              <w:rPr>
                <w:rFonts w:cs="Calibri"/>
                <w:sz w:val="17"/>
                <w:szCs w:val="17"/>
              </w:rPr>
            </w:pPr>
            <w:r w:rsidRPr="0018386D">
              <w:rPr>
                <w:rFonts w:cs="Calibri"/>
                <w:sz w:val="17"/>
                <w:szCs w:val="17"/>
              </w:rPr>
              <w:t>R407C: 23% R32, 25% R125, 52% R134a</w:t>
            </w:r>
          </w:p>
        </w:tc>
        <w:tc>
          <w:tcPr>
            <w:tcW w:w="626" w:type="dxa"/>
          </w:tcPr>
          <w:p w14:paraId="2B390D76" w14:textId="77777777" w:rsidR="0060662E" w:rsidRPr="0018386D" w:rsidRDefault="0060662E" w:rsidP="00DD3106">
            <w:pPr>
              <w:pStyle w:val="TableText"/>
              <w:spacing w:before="40" w:after="40"/>
              <w:jc w:val="right"/>
              <w:rPr>
                <w:rFonts w:cs="Calibri"/>
                <w:sz w:val="17"/>
                <w:szCs w:val="17"/>
              </w:rPr>
            </w:pPr>
          </w:p>
        </w:tc>
        <w:tc>
          <w:tcPr>
            <w:tcW w:w="680" w:type="dxa"/>
            <w:hideMark/>
          </w:tcPr>
          <w:p w14:paraId="46C624EF"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23%</w:t>
            </w:r>
          </w:p>
        </w:tc>
        <w:tc>
          <w:tcPr>
            <w:tcW w:w="793" w:type="dxa"/>
            <w:hideMark/>
          </w:tcPr>
          <w:p w14:paraId="3A83C016"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25%</w:t>
            </w:r>
          </w:p>
        </w:tc>
        <w:tc>
          <w:tcPr>
            <w:tcW w:w="793" w:type="dxa"/>
            <w:hideMark/>
          </w:tcPr>
          <w:p w14:paraId="6B6CEEF8"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52%</w:t>
            </w:r>
          </w:p>
        </w:tc>
        <w:tc>
          <w:tcPr>
            <w:tcW w:w="793" w:type="dxa"/>
          </w:tcPr>
          <w:p w14:paraId="4D189E46" w14:textId="77777777" w:rsidR="0060662E" w:rsidRPr="0018386D" w:rsidRDefault="0060662E" w:rsidP="00DD3106">
            <w:pPr>
              <w:pStyle w:val="TableText"/>
              <w:spacing w:before="40" w:after="40"/>
              <w:jc w:val="right"/>
              <w:rPr>
                <w:rFonts w:cs="Calibri"/>
                <w:sz w:val="17"/>
                <w:szCs w:val="17"/>
              </w:rPr>
            </w:pPr>
          </w:p>
        </w:tc>
        <w:tc>
          <w:tcPr>
            <w:tcW w:w="793" w:type="dxa"/>
          </w:tcPr>
          <w:p w14:paraId="447CB8C6" w14:textId="77777777" w:rsidR="0060662E" w:rsidRPr="0018386D" w:rsidRDefault="0060662E" w:rsidP="00DD3106">
            <w:pPr>
              <w:pStyle w:val="TableText"/>
              <w:spacing w:before="40" w:after="40"/>
              <w:jc w:val="right"/>
              <w:rPr>
                <w:rFonts w:cs="Calibri"/>
                <w:sz w:val="17"/>
                <w:szCs w:val="17"/>
              </w:rPr>
            </w:pPr>
          </w:p>
        </w:tc>
        <w:tc>
          <w:tcPr>
            <w:tcW w:w="793" w:type="dxa"/>
          </w:tcPr>
          <w:p w14:paraId="7FC9597F" w14:textId="77777777" w:rsidR="0060662E" w:rsidRPr="0018386D" w:rsidRDefault="0060662E" w:rsidP="00DD3106">
            <w:pPr>
              <w:pStyle w:val="TableText"/>
              <w:spacing w:before="40" w:after="40"/>
              <w:jc w:val="right"/>
              <w:rPr>
                <w:rFonts w:cs="Calibri"/>
                <w:sz w:val="17"/>
                <w:szCs w:val="17"/>
              </w:rPr>
            </w:pPr>
          </w:p>
        </w:tc>
        <w:tc>
          <w:tcPr>
            <w:tcW w:w="624" w:type="dxa"/>
          </w:tcPr>
          <w:p w14:paraId="6A7B479C" w14:textId="77777777" w:rsidR="0060662E" w:rsidRPr="0018386D" w:rsidRDefault="0060662E" w:rsidP="00DD3106">
            <w:pPr>
              <w:pStyle w:val="TableText"/>
              <w:spacing w:before="40" w:after="40"/>
              <w:jc w:val="right"/>
              <w:rPr>
                <w:rFonts w:cs="Calibri"/>
                <w:sz w:val="17"/>
                <w:szCs w:val="17"/>
              </w:rPr>
            </w:pPr>
          </w:p>
        </w:tc>
        <w:tc>
          <w:tcPr>
            <w:tcW w:w="626" w:type="dxa"/>
            <w:hideMark/>
          </w:tcPr>
          <w:p w14:paraId="167709DC"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1,624</w:t>
            </w:r>
          </w:p>
        </w:tc>
      </w:tr>
      <w:tr w:rsidR="0060662E" w:rsidRPr="0018386D" w14:paraId="130F29ED" w14:textId="77777777" w:rsidTr="0060662E">
        <w:trPr>
          <w:cantSplit/>
        </w:trPr>
        <w:tc>
          <w:tcPr>
            <w:tcW w:w="1984" w:type="dxa"/>
            <w:hideMark/>
          </w:tcPr>
          <w:p w14:paraId="000A9564" w14:textId="77777777" w:rsidR="0060662E" w:rsidRPr="0018386D" w:rsidRDefault="0060662E" w:rsidP="00DD3106">
            <w:pPr>
              <w:pStyle w:val="TableText"/>
              <w:spacing w:before="40" w:after="40"/>
              <w:rPr>
                <w:rFonts w:cs="Calibri"/>
                <w:sz w:val="17"/>
                <w:szCs w:val="17"/>
              </w:rPr>
            </w:pPr>
            <w:r w:rsidRPr="0018386D">
              <w:rPr>
                <w:rFonts w:cs="Calibri"/>
                <w:sz w:val="17"/>
                <w:szCs w:val="17"/>
              </w:rPr>
              <w:t>R408A: 7% R125, 46% 143a, 47% R22</w:t>
            </w:r>
          </w:p>
        </w:tc>
        <w:tc>
          <w:tcPr>
            <w:tcW w:w="626" w:type="dxa"/>
          </w:tcPr>
          <w:p w14:paraId="3111DAFF" w14:textId="77777777" w:rsidR="0060662E" w:rsidRPr="0018386D" w:rsidRDefault="0060662E" w:rsidP="00DD3106">
            <w:pPr>
              <w:pStyle w:val="TableText"/>
              <w:spacing w:before="40" w:after="40"/>
              <w:jc w:val="right"/>
              <w:rPr>
                <w:rFonts w:cs="Calibri"/>
                <w:sz w:val="17"/>
                <w:szCs w:val="17"/>
              </w:rPr>
            </w:pPr>
          </w:p>
        </w:tc>
        <w:tc>
          <w:tcPr>
            <w:tcW w:w="680" w:type="dxa"/>
          </w:tcPr>
          <w:p w14:paraId="150B2EEC"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6913E362"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7%</w:t>
            </w:r>
          </w:p>
        </w:tc>
        <w:tc>
          <w:tcPr>
            <w:tcW w:w="793" w:type="dxa"/>
          </w:tcPr>
          <w:p w14:paraId="3B0703AA"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17245B2A"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46%</w:t>
            </w:r>
          </w:p>
        </w:tc>
        <w:tc>
          <w:tcPr>
            <w:tcW w:w="793" w:type="dxa"/>
          </w:tcPr>
          <w:p w14:paraId="68CA1BE5" w14:textId="77777777" w:rsidR="0060662E" w:rsidRPr="0018386D" w:rsidRDefault="0060662E" w:rsidP="00DD3106">
            <w:pPr>
              <w:pStyle w:val="TableText"/>
              <w:spacing w:before="40" w:after="40"/>
              <w:jc w:val="right"/>
              <w:rPr>
                <w:rFonts w:cs="Calibri"/>
                <w:sz w:val="17"/>
                <w:szCs w:val="17"/>
              </w:rPr>
            </w:pPr>
          </w:p>
        </w:tc>
        <w:tc>
          <w:tcPr>
            <w:tcW w:w="793" w:type="dxa"/>
          </w:tcPr>
          <w:p w14:paraId="2C9CFE87" w14:textId="77777777" w:rsidR="0060662E" w:rsidRPr="0018386D" w:rsidRDefault="0060662E" w:rsidP="00DD3106">
            <w:pPr>
              <w:pStyle w:val="TableText"/>
              <w:spacing w:before="40" w:after="40"/>
              <w:jc w:val="right"/>
              <w:rPr>
                <w:rFonts w:cs="Calibri"/>
                <w:sz w:val="17"/>
                <w:szCs w:val="17"/>
              </w:rPr>
            </w:pPr>
          </w:p>
        </w:tc>
        <w:tc>
          <w:tcPr>
            <w:tcW w:w="624" w:type="dxa"/>
            <w:hideMark/>
          </w:tcPr>
          <w:p w14:paraId="1DDD4ED2"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47%</w:t>
            </w:r>
          </w:p>
        </w:tc>
        <w:tc>
          <w:tcPr>
            <w:tcW w:w="626" w:type="dxa"/>
            <w:hideMark/>
          </w:tcPr>
          <w:p w14:paraId="4E259698"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3,257</w:t>
            </w:r>
          </w:p>
        </w:tc>
      </w:tr>
      <w:tr w:rsidR="0060662E" w:rsidRPr="0018386D" w14:paraId="19F4CC86" w14:textId="77777777" w:rsidTr="0060662E">
        <w:trPr>
          <w:cantSplit/>
        </w:trPr>
        <w:tc>
          <w:tcPr>
            <w:tcW w:w="1984" w:type="dxa"/>
            <w:hideMark/>
          </w:tcPr>
          <w:p w14:paraId="47C8215E" w14:textId="77777777" w:rsidR="0060662E" w:rsidRPr="0018386D" w:rsidRDefault="0060662E" w:rsidP="00DD3106">
            <w:pPr>
              <w:pStyle w:val="TableText"/>
              <w:spacing w:before="40" w:after="40"/>
              <w:rPr>
                <w:rFonts w:cs="Calibri"/>
                <w:sz w:val="17"/>
                <w:szCs w:val="17"/>
              </w:rPr>
            </w:pPr>
            <w:r w:rsidRPr="0018386D">
              <w:rPr>
                <w:rFonts w:cs="Calibri"/>
                <w:sz w:val="17"/>
                <w:szCs w:val="17"/>
              </w:rPr>
              <w:t>R410A: 50% R32, 50% R125</w:t>
            </w:r>
          </w:p>
        </w:tc>
        <w:tc>
          <w:tcPr>
            <w:tcW w:w="626" w:type="dxa"/>
          </w:tcPr>
          <w:p w14:paraId="63B4FCCC" w14:textId="77777777" w:rsidR="0060662E" w:rsidRPr="0018386D" w:rsidRDefault="0060662E" w:rsidP="00DD3106">
            <w:pPr>
              <w:pStyle w:val="TableText"/>
              <w:spacing w:before="40" w:after="40"/>
              <w:jc w:val="right"/>
              <w:rPr>
                <w:rFonts w:cs="Calibri"/>
                <w:sz w:val="17"/>
                <w:szCs w:val="17"/>
              </w:rPr>
            </w:pPr>
          </w:p>
        </w:tc>
        <w:tc>
          <w:tcPr>
            <w:tcW w:w="680" w:type="dxa"/>
            <w:hideMark/>
          </w:tcPr>
          <w:p w14:paraId="3152FC4C"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50%</w:t>
            </w:r>
          </w:p>
        </w:tc>
        <w:tc>
          <w:tcPr>
            <w:tcW w:w="793" w:type="dxa"/>
            <w:hideMark/>
          </w:tcPr>
          <w:p w14:paraId="57A5AF72"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50%</w:t>
            </w:r>
          </w:p>
        </w:tc>
        <w:tc>
          <w:tcPr>
            <w:tcW w:w="793" w:type="dxa"/>
          </w:tcPr>
          <w:p w14:paraId="0A489F54" w14:textId="77777777" w:rsidR="0060662E" w:rsidRPr="0018386D" w:rsidRDefault="0060662E" w:rsidP="00DD3106">
            <w:pPr>
              <w:pStyle w:val="TableText"/>
              <w:spacing w:before="40" w:after="40"/>
              <w:jc w:val="right"/>
              <w:rPr>
                <w:rFonts w:cs="Calibri"/>
                <w:sz w:val="17"/>
                <w:szCs w:val="17"/>
              </w:rPr>
            </w:pPr>
          </w:p>
        </w:tc>
        <w:tc>
          <w:tcPr>
            <w:tcW w:w="793" w:type="dxa"/>
          </w:tcPr>
          <w:p w14:paraId="1F15171C" w14:textId="77777777" w:rsidR="0060662E" w:rsidRPr="0018386D" w:rsidRDefault="0060662E" w:rsidP="00DD3106">
            <w:pPr>
              <w:pStyle w:val="TableText"/>
              <w:spacing w:before="40" w:after="40"/>
              <w:jc w:val="right"/>
              <w:rPr>
                <w:rFonts w:cs="Calibri"/>
                <w:sz w:val="17"/>
                <w:szCs w:val="17"/>
              </w:rPr>
            </w:pPr>
          </w:p>
        </w:tc>
        <w:tc>
          <w:tcPr>
            <w:tcW w:w="793" w:type="dxa"/>
          </w:tcPr>
          <w:p w14:paraId="07244C7D" w14:textId="77777777" w:rsidR="0060662E" w:rsidRPr="0018386D" w:rsidRDefault="0060662E" w:rsidP="00DD3106">
            <w:pPr>
              <w:pStyle w:val="TableText"/>
              <w:spacing w:before="40" w:after="40"/>
              <w:jc w:val="right"/>
              <w:rPr>
                <w:rFonts w:cs="Calibri"/>
                <w:sz w:val="17"/>
                <w:szCs w:val="17"/>
              </w:rPr>
            </w:pPr>
          </w:p>
        </w:tc>
        <w:tc>
          <w:tcPr>
            <w:tcW w:w="793" w:type="dxa"/>
          </w:tcPr>
          <w:p w14:paraId="16971D8C" w14:textId="77777777" w:rsidR="0060662E" w:rsidRPr="0018386D" w:rsidRDefault="0060662E" w:rsidP="00DD3106">
            <w:pPr>
              <w:pStyle w:val="TableText"/>
              <w:spacing w:before="40" w:after="40"/>
              <w:jc w:val="right"/>
              <w:rPr>
                <w:rFonts w:cs="Calibri"/>
                <w:sz w:val="17"/>
                <w:szCs w:val="17"/>
              </w:rPr>
            </w:pPr>
          </w:p>
        </w:tc>
        <w:tc>
          <w:tcPr>
            <w:tcW w:w="624" w:type="dxa"/>
          </w:tcPr>
          <w:p w14:paraId="3E5537EF" w14:textId="77777777" w:rsidR="0060662E" w:rsidRPr="0018386D" w:rsidRDefault="0060662E" w:rsidP="00DD3106">
            <w:pPr>
              <w:pStyle w:val="TableText"/>
              <w:spacing w:before="40" w:after="40"/>
              <w:jc w:val="right"/>
              <w:rPr>
                <w:rFonts w:cs="Calibri"/>
                <w:sz w:val="17"/>
                <w:szCs w:val="17"/>
              </w:rPr>
            </w:pPr>
          </w:p>
        </w:tc>
        <w:tc>
          <w:tcPr>
            <w:tcW w:w="626" w:type="dxa"/>
            <w:hideMark/>
          </w:tcPr>
          <w:p w14:paraId="664FAEE1"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1,924</w:t>
            </w:r>
          </w:p>
        </w:tc>
      </w:tr>
      <w:tr w:rsidR="0060662E" w:rsidRPr="0018386D" w14:paraId="52D27F16" w14:textId="77777777" w:rsidTr="0060662E">
        <w:trPr>
          <w:cantSplit/>
        </w:trPr>
        <w:tc>
          <w:tcPr>
            <w:tcW w:w="1984" w:type="dxa"/>
            <w:hideMark/>
          </w:tcPr>
          <w:p w14:paraId="5F5701E6" w14:textId="77777777" w:rsidR="0060662E" w:rsidRPr="0018386D" w:rsidRDefault="0060662E" w:rsidP="00DD3106">
            <w:pPr>
              <w:pStyle w:val="TableText"/>
              <w:spacing w:before="40" w:after="40"/>
              <w:rPr>
                <w:rFonts w:cs="Calibri"/>
                <w:sz w:val="17"/>
                <w:szCs w:val="17"/>
              </w:rPr>
            </w:pPr>
            <w:r w:rsidRPr="0018386D">
              <w:rPr>
                <w:rFonts w:cs="Calibri"/>
                <w:sz w:val="17"/>
                <w:szCs w:val="17"/>
              </w:rPr>
              <w:t>R413A: 9% R218, 88% R134a, 3% R600a</w:t>
            </w:r>
          </w:p>
        </w:tc>
        <w:tc>
          <w:tcPr>
            <w:tcW w:w="626" w:type="dxa"/>
          </w:tcPr>
          <w:p w14:paraId="27F0D0DD" w14:textId="77777777" w:rsidR="0060662E" w:rsidRPr="0018386D" w:rsidRDefault="0060662E" w:rsidP="00DD3106">
            <w:pPr>
              <w:pStyle w:val="TableText"/>
              <w:spacing w:before="40" w:after="40"/>
              <w:jc w:val="right"/>
              <w:rPr>
                <w:rFonts w:cs="Calibri"/>
                <w:sz w:val="17"/>
                <w:szCs w:val="17"/>
              </w:rPr>
            </w:pPr>
          </w:p>
        </w:tc>
        <w:tc>
          <w:tcPr>
            <w:tcW w:w="680" w:type="dxa"/>
          </w:tcPr>
          <w:p w14:paraId="5C896EDF" w14:textId="77777777" w:rsidR="0060662E" w:rsidRPr="0018386D" w:rsidRDefault="0060662E" w:rsidP="00DD3106">
            <w:pPr>
              <w:pStyle w:val="TableText"/>
              <w:spacing w:before="40" w:after="40"/>
              <w:jc w:val="right"/>
              <w:rPr>
                <w:rFonts w:cs="Calibri"/>
                <w:sz w:val="17"/>
                <w:szCs w:val="17"/>
              </w:rPr>
            </w:pPr>
          </w:p>
        </w:tc>
        <w:tc>
          <w:tcPr>
            <w:tcW w:w="793" w:type="dxa"/>
          </w:tcPr>
          <w:p w14:paraId="1F6F50E2"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0C7EA8D9"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88%</w:t>
            </w:r>
          </w:p>
        </w:tc>
        <w:tc>
          <w:tcPr>
            <w:tcW w:w="793" w:type="dxa"/>
          </w:tcPr>
          <w:p w14:paraId="72204FE4" w14:textId="77777777" w:rsidR="0060662E" w:rsidRPr="0018386D" w:rsidRDefault="0060662E" w:rsidP="00DD3106">
            <w:pPr>
              <w:pStyle w:val="TableText"/>
              <w:spacing w:before="40" w:after="40"/>
              <w:jc w:val="right"/>
              <w:rPr>
                <w:rFonts w:cs="Calibri"/>
                <w:sz w:val="17"/>
                <w:szCs w:val="17"/>
              </w:rPr>
            </w:pPr>
          </w:p>
        </w:tc>
        <w:tc>
          <w:tcPr>
            <w:tcW w:w="793" w:type="dxa"/>
          </w:tcPr>
          <w:p w14:paraId="5CA5CD78"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5FC8674F"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9%</w:t>
            </w:r>
          </w:p>
        </w:tc>
        <w:tc>
          <w:tcPr>
            <w:tcW w:w="624" w:type="dxa"/>
            <w:hideMark/>
          </w:tcPr>
          <w:p w14:paraId="26301F10"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w:t>
            </w:r>
          </w:p>
        </w:tc>
        <w:tc>
          <w:tcPr>
            <w:tcW w:w="626" w:type="dxa"/>
            <w:hideMark/>
          </w:tcPr>
          <w:p w14:paraId="1F2468BB" w14:textId="00452CFF" w:rsidR="0060662E" w:rsidRPr="0018386D" w:rsidRDefault="0060662E" w:rsidP="00DD3106">
            <w:pPr>
              <w:pStyle w:val="TableText"/>
              <w:spacing w:before="40" w:after="40"/>
              <w:jc w:val="right"/>
              <w:rPr>
                <w:rFonts w:cs="Calibri"/>
                <w:sz w:val="17"/>
                <w:szCs w:val="17"/>
              </w:rPr>
            </w:pPr>
            <w:r w:rsidRPr="0018386D">
              <w:rPr>
                <w:rFonts w:cs="Calibri"/>
                <w:sz w:val="17"/>
                <w:szCs w:val="17"/>
              </w:rPr>
              <w:t>1,945</w:t>
            </w:r>
          </w:p>
        </w:tc>
      </w:tr>
      <w:tr w:rsidR="0060662E" w:rsidRPr="0018386D" w14:paraId="3255D529" w14:textId="77777777" w:rsidTr="0060662E">
        <w:trPr>
          <w:cantSplit/>
        </w:trPr>
        <w:tc>
          <w:tcPr>
            <w:tcW w:w="1984" w:type="dxa"/>
            <w:hideMark/>
          </w:tcPr>
          <w:p w14:paraId="70624ED3" w14:textId="77777777" w:rsidR="0060662E" w:rsidRPr="0018386D" w:rsidRDefault="0060662E" w:rsidP="00DD3106">
            <w:pPr>
              <w:pStyle w:val="TableText"/>
              <w:spacing w:before="40" w:after="40"/>
              <w:rPr>
                <w:rFonts w:cs="Calibri"/>
                <w:sz w:val="17"/>
                <w:szCs w:val="17"/>
              </w:rPr>
            </w:pPr>
            <w:r w:rsidRPr="0018386D">
              <w:rPr>
                <w:rFonts w:cs="Calibri"/>
                <w:sz w:val="17"/>
                <w:szCs w:val="17"/>
              </w:rPr>
              <w:t>R416A: 59% R134a, 39.5% R124,1.5% R600a</w:t>
            </w:r>
          </w:p>
        </w:tc>
        <w:tc>
          <w:tcPr>
            <w:tcW w:w="626" w:type="dxa"/>
          </w:tcPr>
          <w:p w14:paraId="0676DAB5" w14:textId="77777777" w:rsidR="0060662E" w:rsidRPr="0018386D" w:rsidRDefault="0060662E" w:rsidP="00DD3106">
            <w:pPr>
              <w:pStyle w:val="TableText"/>
              <w:spacing w:before="40" w:after="40"/>
              <w:jc w:val="right"/>
              <w:rPr>
                <w:rFonts w:cs="Calibri"/>
                <w:sz w:val="17"/>
                <w:szCs w:val="17"/>
              </w:rPr>
            </w:pPr>
          </w:p>
        </w:tc>
        <w:tc>
          <w:tcPr>
            <w:tcW w:w="680" w:type="dxa"/>
          </w:tcPr>
          <w:p w14:paraId="18B11485" w14:textId="77777777" w:rsidR="0060662E" w:rsidRPr="0018386D" w:rsidRDefault="0060662E" w:rsidP="00DD3106">
            <w:pPr>
              <w:pStyle w:val="TableText"/>
              <w:spacing w:before="40" w:after="40"/>
              <w:jc w:val="right"/>
              <w:rPr>
                <w:rFonts w:cs="Calibri"/>
                <w:sz w:val="17"/>
                <w:szCs w:val="17"/>
              </w:rPr>
            </w:pPr>
          </w:p>
        </w:tc>
        <w:tc>
          <w:tcPr>
            <w:tcW w:w="793" w:type="dxa"/>
          </w:tcPr>
          <w:p w14:paraId="5C6CDFB9"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57CF98E4"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59%</w:t>
            </w:r>
          </w:p>
        </w:tc>
        <w:tc>
          <w:tcPr>
            <w:tcW w:w="793" w:type="dxa"/>
          </w:tcPr>
          <w:p w14:paraId="5229571E" w14:textId="77777777" w:rsidR="0060662E" w:rsidRPr="0018386D" w:rsidRDefault="0060662E" w:rsidP="00DD3106">
            <w:pPr>
              <w:pStyle w:val="TableText"/>
              <w:spacing w:before="40" w:after="40"/>
              <w:jc w:val="right"/>
              <w:rPr>
                <w:rFonts w:cs="Calibri"/>
                <w:sz w:val="17"/>
                <w:szCs w:val="17"/>
              </w:rPr>
            </w:pPr>
          </w:p>
        </w:tc>
        <w:tc>
          <w:tcPr>
            <w:tcW w:w="793" w:type="dxa"/>
          </w:tcPr>
          <w:p w14:paraId="16FFF025" w14:textId="77777777" w:rsidR="0060662E" w:rsidRPr="0018386D" w:rsidRDefault="0060662E" w:rsidP="00DD3106">
            <w:pPr>
              <w:pStyle w:val="TableText"/>
              <w:spacing w:before="40" w:after="40"/>
              <w:jc w:val="right"/>
              <w:rPr>
                <w:rFonts w:cs="Calibri"/>
                <w:sz w:val="17"/>
                <w:szCs w:val="17"/>
              </w:rPr>
            </w:pPr>
          </w:p>
        </w:tc>
        <w:tc>
          <w:tcPr>
            <w:tcW w:w="793" w:type="dxa"/>
          </w:tcPr>
          <w:p w14:paraId="73AC7189" w14:textId="77777777" w:rsidR="0060662E" w:rsidRPr="0018386D" w:rsidRDefault="0060662E" w:rsidP="00DD3106">
            <w:pPr>
              <w:pStyle w:val="TableText"/>
              <w:spacing w:before="40" w:after="40"/>
              <w:jc w:val="right"/>
              <w:rPr>
                <w:rFonts w:cs="Calibri"/>
                <w:sz w:val="17"/>
                <w:szCs w:val="17"/>
              </w:rPr>
            </w:pPr>
          </w:p>
        </w:tc>
        <w:tc>
          <w:tcPr>
            <w:tcW w:w="624" w:type="dxa"/>
            <w:hideMark/>
          </w:tcPr>
          <w:p w14:paraId="398C9A84"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41%</w:t>
            </w:r>
          </w:p>
        </w:tc>
        <w:tc>
          <w:tcPr>
            <w:tcW w:w="626" w:type="dxa"/>
            <w:hideMark/>
          </w:tcPr>
          <w:p w14:paraId="62109CA2" w14:textId="67DE5794" w:rsidR="0060662E" w:rsidRPr="0018386D" w:rsidRDefault="0060662E" w:rsidP="00DD3106">
            <w:pPr>
              <w:pStyle w:val="TableText"/>
              <w:spacing w:before="40" w:after="40"/>
              <w:jc w:val="right"/>
              <w:rPr>
                <w:rFonts w:cs="Calibri"/>
                <w:sz w:val="17"/>
                <w:szCs w:val="17"/>
              </w:rPr>
            </w:pPr>
            <w:r w:rsidRPr="0018386D">
              <w:rPr>
                <w:rFonts w:cs="Calibri"/>
                <w:sz w:val="17"/>
                <w:szCs w:val="17"/>
              </w:rPr>
              <w:t>975</w:t>
            </w:r>
          </w:p>
        </w:tc>
      </w:tr>
      <w:tr w:rsidR="0060662E" w:rsidRPr="0018386D" w14:paraId="2B684F86" w14:textId="77777777" w:rsidTr="0060662E">
        <w:trPr>
          <w:cantSplit/>
        </w:trPr>
        <w:tc>
          <w:tcPr>
            <w:tcW w:w="1984" w:type="dxa"/>
            <w:hideMark/>
          </w:tcPr>
          <w:p w14:paraId="21DF455C" w14:textId="77777777" w:rsidR="0060662E" w:rsidRPr="0018386D" w:rsidRDefault="0060662E" w:rsidP="00DD3106">
            <w:pPr>
              <w:pStyle w:val="TableText"/>
              <w:spacing w:before="40" w:after="40"/>
              <w:rPr>
                <w:rFonts w:cs="Calibri"/>
                <w:sz w:val="17"/>
                <w:szCs w:val="17"/>
              </w:rPr>
            </w:pPr>
            <w:r w:rsidRPr="0018386D">
              <w:rPr>
                <w:rFonts w:cs="Calibri"/>
                <w:sz w:val="17"/>
                <w:szCs w:val="17"/>
              </w:rPr>
              <w:t>R417A: 46.6% R125 50% R134a 3.4% R600a</w:t>
            </w:r>
          </w:p>
        </w:tc>
        <w:tc>
          <w:tcPr>
            <w:tcW w:w="626" w:type="dxa"/>
          </w:tcPr>
          <w:p w14:paraId="0D74AE7F" w14:textId="77777777" w:rsidR="0060662E" w:rsidRPr="0018386D" w:rsidRDefault="0060662E" w:rsidP="00DD3106">
            <w:pPr>
              <w:pStyle w:val="TableText"/>
              <w:spacing w:before="40" w:after="40"/>
              <w:jc w:val="right"/>
              <w:rPr>
                <w:rFonts w:cs="Calibri"/>
                <w:sz w:val="17"/>
                <w:szCs w:val="17"/>
              </w:rPr>
            </w:pPr>
          </w:p>
        </w:tc>
        <w:tc>
          <w:tcPr>
            <w:tcW w:w="680" w:type="dxa"/>
          </w:tcPr>
          <w:p w14:paraId="5056E9F8"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315AB2E6"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46.6%</w:t>
            </w:r>
          </w:p>
        </w:tc>
        <w:tc>
          <w:tcPr>
            <w:tcW w:w="793" w:type="dxa"/>
            <w:hideMark/>
          </w:tcPr>
          <w:p w14:paraId="7F8DF94B"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50%</w:t>
            </w:r>
          </w:p>
        </w:tc>
        <w:tc>
          <w:tcPr>
            <w:tcW w:w="793" w:type="dxa"/>
          </w:tcPr>
          <w:p w14:paraId="04A1A6FD" w14:textId="77777777" w:rsidR="0060662E" w:rsidRPr="0018386D" w:rsidRDefault="0060662E" w:rsidP="00DD3106">
            <w:pPr>
              <w:pStyle w:val="TableText"/>
              <w:spacing w:before="40" w:after="40"/>
              <w:jc w:val="right"/>
              <w:rPr>
                <w:rFonts w:cs="Calibri"/>
                <w:sz w:val="17"/>
                <w:szCs w:val="17"/>
              </w:rPr>
            </w:pPr>
          </w:p>
        </w:tc>
        <w:tc>
          <w:tcPr>
            <w:tcW w:w="793" w:type="dxa"/>
          </w:tcPr>
          <w:p w14:paraId="488FEB63" w14:textId="77777777" w:rsidR="0060662E" w:rsidRPr="0018386D" w:rsidRDefault="0060662E" w:rsidP="00DD3106">
            <w:pPr>
              <w:pStyle w:val="TableText"/>
              <w:spacing w:before="40" w:after="40"/>
              <w:jc w:val="right"/>
              <w:rPr>
                <w:rFonts w:cs="Calibri"/>
                <w:sz w:val="17"/>
                <w:szCs w:val="17"/>
              </w:rPr>
            </w:pPr>
          </w:p>
        </w:tc>
        <w:tc>
          <w:tcPr>
            <w:tcW w:w="793" w:type="dxa"/>
          </w:tcPr>
          <w:p w14:paraId="544606A3" w14:textId="77777777" w:rsidR="0060662E" w:rsidRPr="0018386D" w:rsidRDefault="0060662E" w:rsidP="00DD3106">
            <w:pPr>
              <w:pStyle w:val="TableText"/>
              <w:spacing w:before="40" w:after="40"/>
              <w:jc w:val="right"/>
              <w:rPr>
                <w:rFonts w:cs="Calibri"/>
                <w:sz w:val="17"/>
                <w:szCs w:val="17"/>
              </w:rPr>
            </w:pPr>
          </w:p>
        </w:tc>
        <w:tc>
          <w:tcPr>
            <w:tcW w:w="624" w:type="dxa"/>
            <w:hideMark/>
          </w:tcPr>
          <w:p w14:paraId="1D79749B"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3.4%</w:t>
            </w:r>
          </w:p>
        </w:tc>
        <w:tc>
          <w:tcPr>
            <w:tcW w:w="626" w:type="dxa"/>
            <w:hideMark/>
          </w:tcPr>
          <w:p w14:paraId="577B2C88" w14:textId="163AB2F8" w:rsidR="0060662E" w:rsidRPr="0018386D" w:rsidRDefault="0060662E" w:rsidP="00DD3106">
            <w:pPr>
              <w:pStyle w:val="TableText"/>
              <w:spacing w:before="40" w:after="40"/>
              <w:jc w:val="right"/>
              <w:rPr>
                <w:rFonts w:cs="Calibri"/>
                <w:sz w:val="17"/>
                <w:szCs w:val="17"/>
              </w:rPr>
            </w:pPr>
            <w:r w:rsidRPr="0018386D">
              <w:rPr>
                <w:rFonts w:cs="Calibri"/>
                <w:sz w:val="17"/>
                <w:szCs w:val="17"/>
              </w:rPr>
              <w:t>2,127</w:t>
            </w:r>
          </w:p>
        </w:tc>
      </w:tr>
      <w:tr w:rsidR="0060662E" w:rsidRPr="0018386D" w14:paraId="0A6A7754" w14:textId="77777777" w:rsidTr="0060662E">
        <w:trPr>
          <w:cantSplit/>
        </w:trPr>
        <w:tc>
          <w:tcPr>
            <w:tcW w:w="1984" w:type="dxa"/>
            <w:hideMark/>
          </w:tcPr>
          <w:p w14:paraId="5BBF93A8" w14:textId="77777777" w:rsidR="0060662E" w:rsidRPr="0018386D" w:rsidRDefault="0060662E" w:rsidP="00DD3106">
            <w:pPr>
              <w:pStyle w:val="TableText"/>
              <w:spacing w:before="40" w:after="40"/>
              <w:rPr>
                <w:rFonts w:cs="Calibri"/>
                <w:sz w:val="17"/>
                <w:szCs w:val="17"/>
              </w:rPr>
            </w:pPr>
            <w:r w:rsidRPr="0018386D">
              <w:rPr>
                <w:rFonts w:cs="Calibri"/>
                <w:sz w:val="17"/>
                <w:szCs w:val="17"/>
              </w:rPr>
              <w:t>R422A: 85.1% R125, 11.5% R134a, 3.4% R600a</w:t>
            </w:r>
          </w:p>
        </w:tc>
        <w:tc>
          <w:tcPr>
            <w:tcW w:w="626" w:type="dxa"/>
          </w:tcPr>
          <w:p w14:paraId="5F9074E9" w14:textId="77777777" w:rsidR="0060662E" w:rsidRPr="0018386D" w:rsidRDefault="0060662E" w:rsidP="00DD3106">
            <w:pPr>
              <w:pStyle w:val="TableText"/>
              <w:spacing w:before="40" w:after="40"/>
              <w:jc w:val="right"/>
              <w:rPr>
                <w:rFonts w:cs="Calibri"/>
                <w:sz w:val="17"/>
                <w:szCs w:val="17"/>
              </w:rPr>
            </w:pPr>
          </w:p>
        </w:tc>
        <w:tc>
          <w:tcPr>
            <w:tcW w:w="680" w:type="dxa"/>
          </w:tcPr>
          <w:p w14:paraId="43E20987"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519455AF"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85.1%</w:t>
            </w:r>
          </w:p>
        </w:tc>
        <w:tc>
          <w:tcPr>
            <w:tcW w:w="793" w:type="dxa"/>
            <w:hideMark/>
          </w:tcPr>
          <w:p w14:paraId="42A80C04"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11.5%</w:t>
            </w:r>
          </w:p>
        </w:tc>
        <w:tc>
          <w:tcPr>
            <w:tcW w:w="793" w:type="dxa"/>
          </w:tcPr>
          <w:p w14:paraId="43E1CF71" w14:textId="77777777" w:rsidR="0060662E" w:rsidRPr="0018386D" w:rsidRDefault="0060662E" w:rsidP="00DD3106">
            <w:pPr>
              <w:pStyle w:val="TableText"/>
              <w:spacing w:before="40" w:after="40"/>
              <w:jc w:val="right"/>
              <w:rPr>
                <w:rFonts w:cs="Calibri"/>
                <w:sz w:val="17"/>
                <w:szCs w:val="17"/>
              </w:rPr>
            </w:pPr>
          </w:p>
        </w:tc>
        <w:tc>
          <w:tcPr>
            <w:tcW w:w="793" w:type="dxa"/>
          </w:tcPr>
          <w:p w14:paraId="48E001A9" w14:textId="77777777" w:rsidR="0060662E" w:rsidRPr="0018386D" w:rsidRDefault="0060662E" w:rsidP="00DD3106">
            <w:pPr>
              <w:pStyle w:val="TableText"/>
              <w:spacing w:before="40" w:after="40"/>
              <w:jc w:val="right"/>
              <w:rPr>
                <w:rFonts w:cs="Calibri"/>
                <w:sz w:val="17"/>
                <w:szCs w:val="17"/>
              </w:rPr>
            </w:pPr>
          </w:p>
        </w:tc>
        <w:tc>
          <w:tcPr>
            <w:tcW w:w="793" w:type="dxa"/>
          </w:tcPr>
          <w:p w14:paraId="54AC818A" w14:textId="77777777" w:rsidR="0060662E" w:rsidRPr="0018386D" w:rsidRDefault="0060662E" w:rsidP="00DD3106">
            <w:pPr>
              <w:pStyle w:val="TableText"/>
              <w:spacing w:before="40" w:after="40"/>
              <w:jc w:val="right"/>
              <w:rPr>
                <w:rFonts w:cs="Calibri"/>
                <w:sz w:val="17"/>
                <w:szCs w:val="17"/>
              </w:rPr>
            </w:pPr>
          </w:p>
        </w:tc>
        <w:tc>
          <w:tcPr>
            <w:tcW w:w="624" w:type="dxa"/>
            <w:hideMark/>
          </w:tcPr>
          <w:p w14:paraId="78F28078"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3.4%</w:t>
            </w:r>
          </w:p>
        </w:tc>
        <w:tc>
          <w:tcPr>
            <w:tcW w:w="626" w:type="dxa"/>
            <w:hideMark/>
          </w:tcPr>
          <w:p w14:paraId="0A3766AB" w14:textId="7CCFA7D7" w:rsidR="0060662E" w:rsidRPr="0018386D" w:rsidRDefault="0060662E" w:rsidP="00DD3106">
            <w:pPr>
              <w:pStyle w:val="TableText"/>
              <w:spacing w:before="40" w:after="40"/>
              <w:jc w:val="right"/>
              <w:rPr>
                <w:rFonts w:cs="Calibri"/>
                <w:sz w:val="17"/>
                <w:szCs w:val="17"/>
              </w:rPr>
            </w:pPr>
            <w:r w:rsidRPr="0018386D">
              <w:rPr>
                <w:rFonts w:cs="Calibri"/>
                <w:sz w:val="17"/>
                <w:szCs w:val="17"/>
              </w:rPr>
              <w:t>2,847</w:t>
            </w:r>
          </w:p>
        </w:tc>
      </w:tr>
      <w:tr w:rsidR="0060662E" w:rsidRPr="0018386D" w14:paraId="3E13E872" w14:textId="77777777" w:rsidTr="0060662E">
        <w:trPr>
          <w:cantSplit/>
        </w:trPr>
        <w:tc>
          <w:tcPr>
            <w:tcW w:w="1984" w:type="dxa"/>
            <w:hideMark/>
          </w:tcPr>
          <w:p w14:paraId="317096C0" w14:textId="77777777" w:rsidR="0060662E" w:rsidRPr="0018386D" w:rsidRDefault="0060662E" w:rsidP="00DD3106">
            <w:pPr>
              <w:pStyle w:val="TableText"/>
              <w:spacing w:before="40" w:after="40"/>
              <w:rPr>
                <w:rFonts w:cs="Calibri"/>
                <w:sz w:val="17"/>
                <w:szCs w:val="17"/>
              </w:rPr>
            </w:pPr>
            <w:r w:rsidRPr="0018386D">
              <w:rPr>
                <w:rFonts w:cs="Calibri"/>
                <w:sz w:val="17"/>
                <w:szCs w:val="17"/>
              </w:rPr>
              <w:t>R507A: 50% R125, 50% R143a</w:t>
            </w:r>
          </w:p>
        </w:tc>
        <w:tc>
          <w:tcPr>
            <w:tcW w:w="626" w:type="dxa"/>
          </w:tcPr>
          <w:p w14:paraId="4754174C" w14:textId="77777777" w:rsidR="0060662E" w:rsidRPr="0018386D" w:rsidRDefault="0060662E" w:rsidP="00DD3106">
            <w:pPr>
              <w:pStyle w:val="TableText"/>
              <w:spacing w:before="40" w:after="40"/>
              <w:jc w:val="right"/>
              <w:rPr>
                <w:rFonts w:cs="Calibri"/>
                <w:sz w:val="17"/>
                <w:szCs w:val="17"/>
              </w:rPr>
            </w:pPr>
          </w:p>
        </w:tc>
        <w:tc>
          <w:tcPr>
            <w:tcW w:w="680" w:type="dxa"/>
          </w:tcPr>
          <w:p w14:paraId="000E8665"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4846849E"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50%</w:t>
            </w:r>
          </w:p>
        </w:tc>
        <w:tc>
          <w:tcPr>
            <w:tcW w:w="793" w:type="dxa"/>
          </w:tcPr>
          <w:p w14:paraId="545A7684" w14:textId="77777777" w:rsidR="0060662E" w:rsidRPr="0018386D" w:rsidRDefault="0060662E" w:rsidP="00DD3106">
            <w:pPr>
              <w:pStyle w:val="TableText"/>
              <w:spacing w:before="40" w:after="40"/>
              <w:jc w:val="right"/>
              <w:rPr>
                <w:rFonts w:cs="Calibri"/>
                <w:sz w:val="17"/>
                <w:szCs w:val="17"/>
              </w:rPr>
            </w:pPr>
          </w:p>
        </w:tc>
        <w:tc>
          <w:tcPr>
            <w:tcW w:w="793" w:type="dxa"/>
            <w:hideMark/>
          </w:tcPr>
          <w:p w14:paraId="2D819A9E"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50%</w:t>
            </w:r>
          </w:p>
        </w:tc>
        <w:tc>
          <w:tcPr>
            <w:tcW w:w="793" w:type="dxa"/>
          </w:tcPr>
          <w:p w14:paraId="6015721E" w14:textId="77777777" w:rsidR="0060662E" w:rsidRPr="0018386D" w:rsidRDefault="0060662E" w:rsidP="00DD3106">
            <w:pPr>
              <w:pStyle w:val="TableText"/>
              <w:spacing w:before="40" w:after="40"/>
              <w:jc w:val="right"/>
              <w:rPr>
                <w:rFonts w:cs="Calibri"/>
                <w:sz w:val="17"/>
                <w:szCs w:val="17"/>
              </w:rPr>
            </w:pPr>
          </w:p>
        </w:tc>
        <w:tc>
          <w:tcPr>
            <w:tcW w:w="793" w:type="dxa"/>
          </w:tcPr>
          <w:p w14:paraId="31C7D71F" w14:textId="77777777" w:rsidR="0060662E" w:rsidRPr="0018386D" w:rsidRDefault="0060662E" w:rsidP="00DD3106">
            <w:pPr>
              <w:pStyle w:val="TableText"/>
              <w:spacing w:before="40" w:after="40"/>
              <w:jc w:val="right"/>
              <w:rPr>
                <w:rFonts w:cs="Calibri"/>
                <w:sz w:val="17"/>
                <w:szCs w:val="17"/>
              </w:rPr>
            </w:pPr>
          </w:p>
        </w:tc>
        <w:tc>
          <w:tcPr>
            <w:tcW w:w="624" w:type="dxa"/>
          </w:tcPr>
          <w:p w14:paraId="5A947B27" w14:textId="77777777" w:rsidR="0060662E" w:rsidRPr="0018386D" w:rsidRDefault="0060662E" w:rsidP="00DD3106">
            <w:pPr>
              <w:pStyle w:val="TableText"/>
              <w:spacing w:before="40" w:after="40"/>
              <w:jc w:val="right"/>
              <w:rPr>
                <w:rFonts w:cs="Calibri"/>
                <w:sz w:val="17"/>
                <w:szCs w:val="17"/>
              </w:rPr>
            </w:pPr>
          </w:p>
        </w:tc>
        <w:tc>
          <w:tcPr>
            <w:tcW w:w="626" w:type="dxa"/>
            <w:hideMark/>
          </w:tcPr>
          <w:p w14:paraId="0D457E88" w14:textId="77777777" w:rsidR="0060662E" w:rsidRPr="0018386D" w:rsidRDefault="0060662E" w:rsidP="00DD3106">
            <w:pPr>
              <w:pStyle w:val="TableText"/>
              <w:spacing w:before="40" w:after="40"/>
              <w:jc w:val="right"/>
              <w:rPr>
                <w:rFonts w:cs="Calibri"/>
                <w:sz w:val="17"/>
                <w:szCs w:val="17"/>
              </w:rPr>
            </w:pPr>
            <w:r w:rsidRPr="0018386D">
              <w:rPr>
                <w:rFonts w:cs="Calibri"/>
                <w:sz w:val="17"/>
                <w:szCs w:val="17"/>
              </w:rPr>
              <w:t>3,985</w:t>
            </w:r>
          </w:p>
        </w:tc>
      </w:tr>
    </w:tbl>
    <w:p w14:paraId="7A729487" w14:textId="26DFD144" w:rsidR="0060662E" w:rsidRPr="0018386D" w:rsidRDefault="0060662E" w:rsidP="00DD3106">
      <w:pPr>
        <w:pStyle w:val="Note"/>
        <w:rPr>
          <w:rFonts w:asciiTheme="minorHAnsi" w:hAnsiTheme="minorHAnsi" w:cstheme="minorHAnsi"/>
        </w:rPr>
      </w:pPr>
      <w:r w:rsidRPr="0018386D">
        <w:rPr>
          <w:rStyle w:val="cf01"/>
          <w:rFonts w:asciiTheme="minorHAnsi" w:hAnsiTheme="minorHAnsi" w:cstheme="minorHAnsi"/>
          <w:b w:val="0"/>
          <w:bCs w:val="0"/>
        </w:rPr>
        <w:t xml:space="preserve">Note: </w:t>
      </w:r>
      <w:r w:rsidRPr="0018386D">
        <w:rPr>
          <w:rStyle w:val="cf11"/>
          <w:rFonts w:asciiTheme="minorHAnsi" w:hAnsiTheme="minorHAnsi" w:cstheme="minorHAnsi"/>
        </w:rPr>
        <w:t>values might differ from those reported in Table 7 due to rounding.</w:t>
      </w:r>
    </w:p>
    <w:p w14:paraId="5DAA11BD" w14:textId="77777777" w:rsidR="005A11A1" w:rsidRPr="0018386D" w:rsidRDefault="005A11A1" w:rsidP="00DD3106">
      <w:pPr>
        <w:pStyle w:val="BodyText"/>
        <w:spacing w:before="100" w:after="100"/>
      </w:pPr>
    </w:p>
    <w:p w14:paraId="607764E3" w14:textId="57EBF6FD" w:rsidR="005A11A1" w:rsidRPr="0018386D" w:rsidRDefault="005A11A1" w:rsidP="00DD3106">
      <w:pPr>
        <w:pStyle w:val="Appendixheading2"/>
        <w:numPr>
          <w:ilvl w:val="1"/>
          <w:numId w:val="43"/>
        </w:numPr>
        <w:spacing w:before="240" w:after="240" w:line="420" w:lineRule="atLeast"/>
      </w:pPr>
      <w:r w:rsidRPr="0018386D">
        <w:t>Assumptions</w:t>
      </w:r>
    </w:p>
    <w:p w14:paraId="7E89B8F6" w14:textId="40ACBD10" w:rsidR="005E7053" w:rsidRPr="0018386D" w:rsidRDefault="005E7053" w:rsidP="00DD3106">
      <w:pPr>
        <w:pStyle w:val="BodyText"/>
        <w:rPr>
          <w:rFonts w:ascii="Times New Roman" w:eastAsia="Times New Roman" w:hAnsi="Times New Roman"/>
          <w:i/>
        </w:rPr>
      </w:pPr>
      <w:r w:rsidRPr="0018386D">
        <w:t>The default factors in methods B and C for operating refrigerant equipment are derived from</w:t>
      </w:r>
      <w:r w:rsidR="000236C0" w:rsidRPr="0018386D">
        <w:t> </w:t>
      </w:r>
      <w:r w:rsidRPr="0018386D">
        <w:t>a</w:t>
      </w:r>
      <w:r w:rsidR="000236C0" w:rsidRPr="0018386D">
        <w:t> </w:t>
      </w:r>
      <w:r w:rsidRPr="0018386D">
        <w:t xml:space="preserve">report by CRL Energy Ltd to the Ministry for the Environment on the </w:t>
      </w:r>
      <w:r w:rsidRPr="0018386D">
        <w:rPr>
          <w:i/>
        </w:rPr>
        <w:t>Assessment of HFC</w:t>
      </w:r>
      <w:r w:rsidR="000236C0" w:rsidRPr="0018386D">
        <w:rPr>
          <w:i/>
        </w:rPr>
        <w:t> </w:t>
      </w:r>
      <w:r w:rsidRPr="0018386D">
        <w:rPr>
          <w:i/>
        </w:rPr>
        <w:t xml:space="preserve">Emission Factors for GHG Reporting Guidelines </w:t>
      </w:r>
      <w:r w:rsidRPr="0018386D">
        <w:t>(2008). These are based on data for New</w:t>
      </w:r>
      <w:r w:rsidR="000236C0" w:rsidRPr="0018386D">
        <w:t> </w:t>
      </w:r>
      <w:r w:rsidRPr="0018386D">
        <w:t>Zealand refrigeration and air-conditioning equipment stock.</w:t>
      </w:r>
    </w:p>
    <w:p w14:paraId="0489AAB5" w14:textId="48EC2523" w:rsidR="005E7053" w:rsidRPr="0018386D" w:rsidRDefault="005E7053" w:rsidP="00DD3106">
      <w:pPr>
        <w:pStyle w:val="BodyText"/>
      </w:pPr>
      <w:r w:rsidRPr="0018386D">
        <w:t>In the absence of consistent information for New Zealand, the default assumption for the assembly emissions rate is the rounded-off IPCC 2006 mid-range value. This will not apply to many ‘pre-charged’ units as these are sealed to prevent leakage.</w:t>
      </w:r>
    </w:p>
    <w:p w14:paraId="3066A69D" w14:textId="26599445" w:rsidR="005E7053" w:rsidRPr="0018386D" w:rsidRDefault="005E7053" w:rsidP="00DD3106">
      <w:pPr>
        <w:pStyle w:val="BodyText"/>
      </w:pPr>
      <w:r w:rsidRPr="0018386D">
        <w:t>For simplicity, the default operating emission factor does not take account of the variability associated with equipment age.</w:t>
      </w:r>
    </w:p>
    <w:p w14:paraId="6A0DAC19" w14:textId="251FFF99" w:rsidR="00D825BF" w:rsidRPr="0018386D" w:rsidRDefault="00D825BF" w:rsidP="00DD3106">
      <w:pPr>
        <w:pStyle w:val="BodyText"/>
      </w:pPr>
      <w:bookmarkStart w:id="1022" w:name="_Ref532845287"/>
      <w:bookmarkStart w:id="1023" w:name="_Toc532904982"/>
      <w:bookmarkStart w:id="1024" w:name="_Toc600613"/>
      <w:r w:rsidRPr="0018386D">
        <w:br w:type="page"/>
      </w:r>
    </w:p>
    <w:p w14:paraId="58C04301" w14:textId="561B22AA" w:rsidR="00F67ADF" w:rsidRPr="0018386D" w:rsidRDefault="00487827" w:rsidP="00DD3106">
      <w:pPr>
        <w:pStyle w:val="Heading1"/>
      </w:pPr>
      <w:bookmarkStart w:id="1025" w:name="_Appendix_C:_Landfills"/>
      <w:bookmarkStart w:id="1026" w:name="_Toc140048938"/>
      <w:bookmarkEnd w:id="1025"/>
      <w:r w:rsidRPr="0018386D">
        <w:t>Appendix C: L</w:t>
      </w:r>
      <w:r w:rsidR="00F67ADF" w:rsidRPr="0018386D">
        <w:t>andfills with and without landfill gas recovery</w:t>
      </w:r>
      <w:bookmarkEnd w:id="1022"/>
      <w:bookmarkEnd w:id="1023"/>
      <w:bookmarkEnd w:id="1024"/>
      <w:bookmarkEnd w:id="1026"/>
    </w:p>
    <w:p w14:paraId="69CC4A56" w14:textId="4A0B46B0" w:rsidR="00A36942" w:rsidRPr="0018386D" w:rsidRDefault="00BE7E60" w:rsidP="00DD3106">
      <w:pPr>
        <w:pStyle w:val="BodyText"/>
      </w:pPr>
      <w:r w:rsidRPr="0018386D">
        <w:t>Table C1</w:t>
      </w:r>
      <w:r w:rsidR="00A36942" w:rsidRPr="0018386D">
        <w:t xml:space="preserve"> lists the </w:t>
      </w:r>
      <w:r w:rsidR="00DC52E3" w:rsidRPr="0018386D">
        <w:t xml:space="preserve">active </w:t>
      </w:r>
      <w:r w:rsidR="00A36942" w:rsidRPr="0018386D">
        <w:t>landfills in New Zealand with landfill gas recovery (LFGR)</w:t>
      </w:r>
      <w:r w:rsidR="00DC52E3" w:rsidRPr="0018386D">
        <w:t xml:space="preserve"> in 2021</w:t>
      </w:r>
      <w:r w:rsidR="00A36942" w:rsidRPr="0018386D">
        <w:t>.</w:t>
      </w:r>
      <w:r w:rsidR="001C3664" w:rsidRPr="0018386D">
        <w:t xml:space="preserve"> </w:t>
      </w:r>
      <w:r w:rsidR="00DC52E3" w:rsidRPr="0018386D">
        <w:rPr>
          <w:rFonts w:cs="Calibri"/>
          <w:shd w:val="clear" w:color="auto" w:fill="FFFFFF"/>
        </w:rPr>
        <w:t xml:space="preserve">Users should use emission factors </w:t>
      </w:r>
      <w:r w:rsidR="00DC52E3" w:rsidRPr="0018386D">
        <w:rPr>
          <w:rFonts w:cs="Calibri"/>
          <w:i/>
          <w:shd w:val="clear" w:color="auto" w:fill="FFFFFF"/>
        </w:rPr>
        <w:t>without</w:t>
      </w:r>
      <w:r w:rsidR="00DC52E3" w:rsidRPr="0018386D">
        <w:rPr>
          <w:rFonts w:cs="Calibri"/>
          <w:shd w:val="clear" w:color="auto" w:fill="FFFFFF"/>
        </w:rPr>
        <w:t xml:space="preserve"> gas capture if the landfill is not listed in the table.</w:t>
      </w:r>
      <w:r w:rsidR="001C3664" w:rsidRPr="0018386D">
        <w:rPr>
          <w:rFonts w:cs="Calibri"/>
          <w:u w:val="single"/>
          <w:shd w:val="clear" w:color="auto" w:fill="FFFFFF"/>
        </w:rPr>
        <w:t xml:space="preserve"> </w:t>
      </w:r>
    </w:p>
    <w:p w14:paraId="6F6FFB53" w14:textId="2DA3B929" w:rsidR="00952102" w:rsidRPr="0018386D" w:rsidRDefault="00952102" w:rsidP="00DD3106">
      <w:pPr>
        <w:pStyle w:val="Tableheading"/>
      </w:pPr>
      <w:bookmarkStart w:id="1027" w:name="_Ref532908584"/>
      <w:bookmarkStart w:id="1028" w:name="_Ref548526"/>
      <w:bookmarkStart w:id="1029" w:name="tableC1"/>
      <w:bookmarkStart w:id="1030" w:name="_Toc55216425"/>
      <w:bookmarkStart w:id="1031" w:name="_Toc111536713"/>
      <w:bookmarkStart w:id="1032" w:name="_Toc140049040"/>
      <w:r w:rsidRPr="0018386D">
        <w:t>Table</w:t>
      </w:r>
      <w:bookmarkEnd w:id="1027"/>
      <w:r w:rsidR="00E80D1C" w:rsidRPr="0018386D">
        <w:t xml:space="preserve"> C</w:t>
      </w:r>
      <w:r w:rsidRPr="0018386D">
        <w:fldChar w:fldCharType="begin"/>
      </w:r>
      <w:r w:rsidRPr="0018386D">
        <w:instrText>SEQ Table_C. \* ARABIC</w:instrText>
      </w:r>
      <w:r w:rsidRPr="0018386D">
        <w:fldChar w:fldCharType="separate"/>
      </w:r>
      <w:r w:rsidR="003E141C" w:rsidRPr="0018386D">
        <w:t>1</w:t>
      </w:r>
      <w:r w:rsidRPr="0018386D">
        <w:fldChar w:fldCharType="end"/>
      </w:r>
      <w:bookmarkEnd w:id="1028"/>
      <w:bookmarkEnd w:id="1029"/>
      <w:r w:rsidR="00D232C1" w:rsidRPr="0018386D">
        <w:t>:</w:t>
      </w:r>
      <w:r w:rsidR="00D232C1" w:rsidRPr="0018386D">
        <w:tab/>
      </w:r>
      <w:r w:rsidRPr="0018386D">
        <w:t xml:space="preserve">Landfills with </w:t>
      </w:r>
      <w:r w:rsidR="00ED78E0" w:rsidRPr="0018386D">
        <w:t>landfill gas recovery</w:t>
      </w:r>
      <w:bookmarkEnd w:id="1030"/>
      <w:bookmarkEnd w:id="1031"/>
      <w:bookmarkEnd w:id="1032"/>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544"/>
        <w:gridCol w:w="3964"/>
        <w:gridCol w:w="997"/>
      </w:tblGrid>
      <w:tr w:rsidR="00F67ADF" w:rsidRPr="0018386D" w14:paraId="25FEFCA0" w14:textId="77777777" w:rsidTr="00BB6E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bottom w:val="single" w:sz="8" w:space="0" w:color="1C556C" w:themeColor="accent1"/>
            </w:tcBorders>
            <w:shd w:val="clear" w:color="auto" w:fill="1B556B" w:themeFill="text2"/>
            <w:hideMark/>
          </w:tcPr>
          <w:p w14:paraId="0A6A6203" w14:textId="6E56592D" w:rsidR="00F67ADF" w:rsidRPr="0018386D" w:rsidRDefault="006F76B3" w:rsidP="00DD3106">
            <w:pPr>
              <w:pStyle w:val="TableText"/>
              <w:spacing w:before="50" w:after="50"/>
            </w:pPr>
            <w:r w:rsidRPr="0018386D">
              <w:t>Name</w:t>
            </w:r>
          </w:p>
        </w:tc>
        <w:tc>
          <w:tcPr>
            <w:tcW w:w="3964" w:type="dxa"/>
            <w:shd w:val="clear" w:color="auto" w:fill="1B556B" w:themeFill="text2"/>
            <w:hideMark/>
          </w:tcPr>
          <w:p w14:paraId="2E3EB7BA" w14:textId="77777777" w:rsidR="00F67ADF" w:rsidRPr="0018386D" w:rsidRDefault="00F67ADF" w:rsidP="00DD3106">
            <w:pPr>
              <w:pStyle w:val="TableText"/>
              <w:spacing w:before="50" w:after="50"/>
              <w:cnfStyle w:val="100000000000" w:firstRow="1" w:lastRow="0" w:firstColumn="0" w:lastColumn="0" w:oddVBand="0" w:evenVBand="0" w:oddHBand="0" w:evenHBand="0" w:firstRowFirstColumn="0" w:firstRowLastColumn="0" w:lastRowFirstColumn="0" w:lastRowLastColumn="0"/>
            </w:pPr>
            <w:r w:rsidRPr="0018386D">
              <w:t>Operator</w:t>
            </w:r>
          </w:p>
        </w:tc>
        <w:tc>
          <w:tcPr>
            <w:tcW w:w="997" w:type="dxa"/>
            <w:tcBorders>
              <w:bottom w:val="single" w:sz="8" w:space="0" w:color="1C556C" w:themeColor="accent1"/>
            </w:tcBorders>
            <w:shd w:val="clear" w:color="auto" w:fill="1B556B" w:themeFill="text2"/>
            <w:hideMark/>
          </w:tcPr>
          <w:p w14:paraId="371B1B9C" w14:textId="615965A8" w:rsidR="00F67ADF" w:rsidRPr="0018386D" w:rsidRDefault="00F67ADF" w:rsidP="00DD3106">
            <w:pPr>
              <w:pStyle w:val="TableText"/>
              <w:spacing w:before="50" w:after="50"/>
              <w:cnfStyle w:val="100000000000" w:firstRow="1" w:lastRow="0" w:firstColumn="0" w:lastColumn="0" w:oddVBand="0" w:evenVBand="0" w:oddHBand="0" w:evenHBand="0" w:firstRowFirstColumn="0" w:firstRowLastColumn="0" w:lastRowFirstColumn="0" w:lastRowLastColumn="0"/>
            </w:pPr>
            <w:r w:rsidRPr="0018386D">
              <w:t xml:space="preserve">LFGR </w:t>
            </w:r>
          </w:p>
        </w:tc>
      </w:tr>
      <w:tr w:rsidR="00F67ADF" w:rsidRPr="0018386D" w14:paraId="082E142F"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422E4E82" w14:textId="15EE7984" w:rsidR="00F67ADF" w:rsidRPr="0018386D" w:rsidRDefault="00A36942" w:rsidP="00DD3106">
            <w:pPr>
              <w:pStyle w:val="TableText"/>
              <w:spacing w:before="50" w:after="50"/>
              <w:rPr>
                <w:b w:val="0"/>
                <w:bCs w:val="0"/>
              </w:rPr>
            </w:pPr>
            <w:r w:rsidRPr="0018386D">
              <w:rPr>
                <w:b w:val="0"/>
                <w:bCs w:val="0"/>
              </w:rPr>
              <w:t xml:space="preserve">AB Lime </w:t>
            </w:r>
            <w:r w:rsidR="00C964F5" w:rsidRPr="0018386D">
              <w:rPr>
                <w:b w:val="0"/>
                <w:bCs w:val="0"/>
              </w:rPr>
              <w:t>Ltd</w:t>
            </w:r>
            <w:r w:rsidR="00CA48E9" w:rsidRPr="0018386D">
              <w:rPr>
                <w:b w:val="0"/>
                <w:bCs w:val="0"/>
              </w:rPr>
              <w:t xml:space="preserve"> (Winton)</w:t>
            </w:r>
          </w:p>
        </w:tc>
        <w:tc>
          <w:tcPr>
            <w:tcW w:w="3964" w:type="dxa"/>
            <w:shd w:val="clear" w:color="auto" w:fill="auto"/>
            <w:noWrap/>
          </w:tcPr>
          <w:p w14:paraId="0586968A" w14:textId="7637F606"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pPr>
            <w:r w:rsidRPr="0018386D">
              <w:t xml:space="preserve">AB Lime </w:t>
            </w:r>
            <w:r w:rsidR="00C964F5" w:rsidRPr="0018386D">
              <w:t>Ltd</w:t>
            </w:r>
          </w:p>
        </w:tc>
        <w:tc>
          <w:tcPr>
            <w:tcW w:w="997" w:type="dxa"/>
            <w:tcBorders>
              <w:right w:val="nil"/>
            </w:tcBorders>
            <w:shd w:val="clear" w:color="auto" w:fill="auto"/>
            <w:noWrap/>
          </w:tcPr>
          <w:p w14:paraId="1749E049" w14:textId="25DE074D" w:rsidR="00F67ADF" w:rsidRPr="0018386D" w:rsidRDefault="001B22DB" w:rsidP="00DD3106">
            <w:pPr>
              <w:pStyle w:val="TableText"/>
              <w:spacing w:before="50" w:after="50"/>
              <w:cnfStyle w:val="000000100000" w:firstRow="0" w:lastRow="0" w:firstColumn="0" w:lastColumn="0" w:oddVBand="0" w:evenVBand="0" w:oddHBand="1" w:evenHBand="0" w:firstRowFirstColumn="0" w:firstRowLastColumn="0" w:lastRowFirstColumn="0" w:lastRowLastColumn="0"/>
            </w:pPr>
            <w:r w:rsidRPr="0018386D">
              <w:t>Yes</w:t>
            </w:r>
          </w:p>
        </w:tc>
      </w:tr>
      <w:tr w:rsidR="00F67ADF" w:rsidRPr="0018386D" w14:paraId="01C9971D"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35C5C9C3" w14:textId="58C75E91" w:rsidR="00F67ADF" w:rsidRPr="0018386D" w:rsidRDefault="00A36942" w:rsidP="00DD3106">
            <w:pPr>
              <w:pStyle w:val="TableText"/>
              <w:spacing w:before="50" w:after="50"/>
              <w:rPr>
                <w:b w:val="0"/>
                <w:bCs w:val="0"/>
              </w:rPr>
            </w:pPr>
            <w:r w:rsidRPr="0018386D">
              <w:rPr>
                <w:b w:val="0"/>
                <w:bCs w:val="0"/>
              </w:rPr>
              <w:t>Bonny Glenn (Rangitikei District)</w:t>
            </w:r>
          </w:p>
        </w:tc>
        <w:tc>
          <w:tcPr>
            <w:tcW w:w="3964" w:type="dxa"/>
            <w:shd w:val="clear" w:color="auto" w:fill="auto"/>
            <w:noWrap/>
          </w:tcPr>
          <w:p w14:paraId="7FDA0DB6" w14:textId="403A6F11"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pPr>
            <w:r w:rsidRPr="0018386D">
              <w:t xml:space="preserve">Midwest Disposal </w:t>
            </w:r>
            <w:r w:rsidR="00C964F5" w:rsidRPr="0018386D">
              <w:t>Ltd</w:t>
            </w:r>
          </w:p>
        </w:tc>
        <w:tc>
          <w:tcPr>
            <w:tcW w:w="997" w:type="dxa"/>
            <w:tcBorders>
              <w:top w:val="single" w:sz="8" w:space="0" w:color="1C556C" w:themeColor="accent1"/>
              <w:bottom w:val="single" w:sz="8" w:space="0" w:color="1C556C" w:themeColor="accent1"/>
              <w:right w:val="nil"/>
            </w:tcBorders>
            <w:shd w:val="clear" w:color="auto" w:fill="auto"/>
            <w:noWrap/>
          </w:tcPr>
          <w:p w14:paraId="6B4CF115" w14:textId="10D16542" w:rsidR="00F67ADF" w:rsidRPr="0018386D" w:rsidRDefault="001B22DB" w:rsidP="00DD3106">
            <w:pPr>
              <w:pStyle w:val="TableText"/>
              <w:spacing w:before="50" w:after="50"/>
              <w:cnfStyle w:val="000000000000" w:firstRow="0" w:lastRow="0" w:firstColumn="0" w:lastColumn="0" w:oddVBand="0" w:evenVBand="0" w:oddHBand="0" w:evenHBand="0" w:firstRowFirstColumn="0" w:firstRowLastColumn="0" w:lastRowFirstColumn="0" w:lastRowLastColumn="0"/>
            </w:pPr>
            <w:r w:rsidRPr="0018386D">
              <w:t>Yes</w:t>
            </w:r>
          </w:p>
        </w:tc>
      </w:tr>
      <w:tr w:rsidR="00F67ADF" w:rsidRPr="0018386D" w14:paraId="17381DCA"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0A42BD76" w14:textId="7C21C54A" w:rsidR="00F67ADF" w:rsidRPr="0018386D" w:rsidRDefault="00A36942" w:rsidP="00DD3106">
            <w:pPr>
              <w:pStyle w:val="TableText"/>
              <w:spacing w:before="50" w:after="50"/>
              <w:rPr>
                <w:rFonts w:cs="Calibri"/>
                <w:b w:val="0"/>
                <w:szCs w:val="18"/>
              </w:rPr>
            </w:pPr>
            <w:r w:rsidRPr="0018386D">
              <w:rPr>
                <w:rFonts w:cs="Calibri"/>
                <w:b w:val="0"/>
                <w:szCs w:val="18"/>
              </w:rPr>
              <w:t>Green Island</w:t>
            </w:r>
            <w:r w:rsidR="00F67ADF" w:rsidRPr="0018386D">
              <w:rPr>
                <w:rFonts w:cs="Calibri"/>
                <w:b w:val="0"/>
                <w:szCs w:val="18"/>
              </w:rPr>
              <w:t xml:space="preserve"> Landfill</w:t>
            </w:r>
          </w:p>
        </w:tc>
        <w:tc>
          <w:tcPr>
            <w:tcW w:w="3964" w:type="dxa"/>
            <w:shd w:val="clear" w:color="auto" w:fill="auto"/>
            <w:noWrap/>
          </w:tcPr>
          <w:p w14:paraId="3D6B1B3A" w14:textId="369AA47D"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Dunedin City Council</w:t>
            </w:r>
          </w:p>
        </w:tc>
        <w:tc>
          <w:tcPr>
            <w:tcW w:w="997" w:type="dxa"/>
            <w:tcBorders>
              <w:right w:val="nil"/>
            </w:tcBorders>
            <w:shd w:val="clear" w:color="auto" w:fill="auto"/>
            <w:noWrap/>
          </w:tcPr>
          <w:p w14:paraId="51006539" w14:textId="222DAABC" w:rsidR="00F67ADF" w:rsidRPr="0018386D" w:rsidRDefault="007C55A6"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44152F3B"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59337752" w14:textId="099F5897" w:rsidR="00F67ADF" w:rsidRPr="0018386D" w:rsidRDefault="00A36942" w:rsidP="00DD3106">
            <w:pPr>
              <w:pStyle w:val="TableText"/>
              <w:spacing w:before="50" w:after="50"/>
              <w:rPr>
                <w:rFonts w:cs="Calibri"/>
                <w:b w:val="0"/>
                <w:szCs w:val="18"/>
              </w:rPr>
            </w:pPr>
            <w:r w:rsidRPr="0018386D">
              <w:rPr>
                <w:rFonts w:cs="Calibri"/>
                <w:b w:val="0"/>
                <w:szCs w:val="18"/>
              </w:rPr>
              <w:t>Hampton Downs Landfill</w:t>
            </w:r>
          </w:p>
        </w:tc>
        <w:tc>
          <w:tcPr>
            <w:tcW w:w="3964" w:type="dxa"/>
            <w:shd w:val="clear" w:color="auto" w:fill="auto"/>
            <w:noWrap/>
          </w:tcPr>
          <w:p w14:paraId="267573E9" w14:textId="396F8DE3"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proofErr w:type="spellStart"/>
            <w:r w:rsidRPr="0018386D">
              <w:rPr>
                <w:rFonts w:cs="Calibri"/>
                <w:bCs/>
                <w:szCs w:val="18"/>
              </w:rPr>
              <w:t>EnviroWaste</w:t>
            </w:r>
            <w:proofErr w:type="spellEnd"/>
            <w:r w:rsidRPr="0018386D">
              <w:rPr>
                <w:rFonts w:cs="Calibri"/>
                <w:bCs/>
                <w:szCs w:val="18"/>
              </w:rPr>
              <w:t xml:space="preserve"> Services Ltd</w:t>
            </w:r>
          </w:p>
        </w:tc>
        <w:tc>
          <w:tcPr>
            <w:tcW w:w="997" w:type="dxa"/>
            <w:tcBorders>
              <w:top w:val="single" w:sz="8" w:space="0" w:color="1C556C" w:themeColor="accent1"/>
              <w:bottom w:val="single" w:sz="8" w:space="0" w:color="1C556C" w:themeColor="accent1"/>
              <w:right w:val="nil"/>
            </w:tcBorders>
            <w:shd w:val="clear" w:color="auto" w:fill="auto"/>
            <w:noWrap/>
          </w:tcPr>
          <w:p w14:paraId="02EC7370" w14:textId="59718556" w:rsidR="00F67ADF" w:rsidRPr="0018386D" w:rsidRDefault="007C55A6"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299C90A9"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6042796D" w14:textId="7C8639E4" w:rsidR="00F67ADF" w:rsidRPr="0018386D" w:rsidRDefault="00A36942" w:rsidP="00DD3106">
            <w:pPr>
              <w:pStyle w:val="TableText"/>
              <w:spacing w:before="50" w:after="50"/>
              <w:rPr>
                <w:rFonts w:cs="Calibri"/>
                <w:b w:val="0"/>
                <w:szCs w:val="18"/>
              </w:rPr>
            </w:pPr>
            <w:r w:rsidRPr="0018386D">
              <w:rPr>
                <w:rFonts w:cs="Calibri"/>
                <w:b w:val="0"/>
                <w:szCs w:val="18"/>
              </w:rPr>
              <w:t>Kate Valley</w:t>
            </w:r>
            <w:r w:rsidR="00D45BED" w:rsidRPr="0018386D">
              <w:rPr>
                <w:rFonts w:cs="Calibri"/>
                <w:b w:val="0"/>
                <w:szCs w:val="18"/>
              </w:rPr>
              <w:t xml:space="preserve"> (Amberley)</w:t>
            </w:r>
          </w:p>
        </w:tc>
        <w:tc>
          <w:tcPr>
            <w:tcW w:w="3964" w:type="dxa"/>
            <w:shd w:val="clear" w:color="auto" w:fill="auto"/>
            <w:noWrap/>
          </w:tcPr>
          <w:p w14:paraId="71392748" w14:textId="08814E8C"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Canterbury Waste Services Ltd</w:t>
            </w:r>
          </w:p>
        </w:tc>
        <w:tc>
          <w:tcPr>
            <w:tcW w:w="997" w:type="dxa"/>
            <w:tcBorders>
              <w:right w:val="nil"/>
            </w:tcBorders>
            <w:shd w:val="clear" w:color="auto" w:fill="auto"/>
            <w:noWrap/>
          </w:tcPr>
          <w:p w14:paraId="38A4E972" w14:textId="4C76D004" w:rsidR="00F67ADF" w:rsidRPr="0018386D" w:rsidRDefault="007C55A6"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1B49FCED"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7666597D" w14:textId="4DF275A5" w:rsidR="00F67ADF" w:rsidRPr="0018386D" w:rsidRDefault="00A36942" w:rsidP="00DD3106">
            <w:pPr>
              <w:pStyle w:val="TableText"/>
              <w:spacing w:before="50" w:after="50"/>
              <w:rPr>
                <w:rFonts w:cs="Calibri"/>
                <w:b w:val="0"/>
                <w:szCs w:val="18"/>
              </w:rPr>
            </w:pPr>
            <w:r w:rsidRPr="0018386D">
              <w:rPr>
                <w:rFonts w:cs="Calibri"/>
                <w:b w:val="0"/>
                <w:szCs w:val="18"/>
              </w:rPr>
              <w:t>Levin</w:t>
            </w:r>
            <w:r w:rsidR="00F67ADF" w:rsidRPr="0018386D">
              <w:rPr>
                <w:rFonts w:cs="Calibri"/>
                <w:b w:val="0"/>
                <w:szCs w:val="18"/>
              </w:rPr>
              <w:t xml:space="preserve"> Landfill</w:t>
            </w:r>
          </w:p>
        </w:tc>
        <w:tc>
          <w:tcPr>
            <w:tcW w:w="3964" w:type="dxa"/>
            <w:shd w:val="clear" w:color="auto" w:fill="auto"/>
            <w:noWrap/>
          </w:tcPr>
          <w:p w14:paraId="4F841628" w14:textId="6998141B"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Horowhenua</w:t>
            </w:r>
            <w:r w:rsidR="00F67ADF" w:rsidRPr="0018386D">
              <w:rPr>
                <w:rFonts w:cs="Calibri"/>
                <w:bCs/>
                <w:szCs w:val="18"/>
              </w:rPr>
              <w:t xml:space="preserve"> District Council</w:t>
            </w:r>
          </w:p>
        </w:tc>
        <w:tc>
          <w:tcPr>
            <w:tcW w:w="997" w:type="dxa"/>
            <w:tcBorders>
              <w:top w:val="single" w:sz="8" w:space="0" w:color="1C556C" w:themeColor="accent1"/>
              <w:bottom w:val="single" w:sz="8" w:space="0" w:color="1C556C" w:themeColor="accent1"/>
              <w:right w:val="nil"/>
            </w:tcBorders>
            <w:shd w:val="clear" w:color="auto" w:fill="auto"/>
            <w:noWrap/>
          </w:tcPr>
          <w:p w14:paraId="1952DF37" w14:textId="30598979" w:rsidR="00F67ADF" w:rsidRPr="0018386D" w:rsidRDefault="007C55A6"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572F1160"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0078CF91" w14:textId="7105025B" w:rsidR="00F67ADF" w:rsidRPr="0018386D" w:rsidRDefault="00A36942" w:rsidP="00DD3106">
            <w:pPr>
              <w:pStyle w:val="TableText"/>
              <w:spacing w:before="50" w:after="50"/>
              <w:rPr>
                <w:rFonts w:cs="Calibri"/>
                <w:b w:val="0"/>
                <w:szCs w:val="18"/>
              </w:rPr>
            </w:pPr>
            <w:r w:rsidRPr="0018386D">
              <w:rPr>
                <w:rFonts w:cs="Calibri"/>
                <w:b w:val="0"/>
                <w:szCs w:val="18"/>
              </w:rPr>
              <w:t>Marlborough Regional Council (</w:t>
            </w:r>
            <w:proofErr w:type="spellStart"/>
            <w:r w:rsidRPr="0018386D">
              <w:rPr>
                <w:rFonts w:cs="Calibri"/>
                <w:b w:val="0"/>
                <w:szCs w:val="18"/>
              </w:rPr>
              <w:t>Bluegums</w:t>
            </w:r>
            <w:proofErr w:type="spellEnd"/>
            <w:r w:rsidRPr="0018386D">
              <w:rPr>
                <w:rFonts w:cs="Calibri"/>
                <w:b w:val="0"/>
                <w:szCs w:val="18"/>
              </w:rPr>
              <w:t>)</w:t>
            </w:r>
          </w:p>
        </w:tc>
        <w:tc>
          <w:tcPr>
            <w:tcW w:w="3964" w:type="dxa"/>
            <w:shd w:val="clear" w:color="auto" w:fill="auto"/>
            <w:noWrap/>
          </w:tcPr>
          <w:p w14:paraId="35BF9B62" w14:textId="198B11AF"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Marlborough District Council</w:t>
            </w:r>
          </w:p>
        </w:tc>
        <w:tc>
          <w:tcPr>
            <w:tcW w:w="997" w:type="dxa"/>
            <w:tcBorders>
              <w:right w:val="nil"/>
            </w:tcBorders>
            <w:shd w:val="clear" w:color="auto" w:fill="auto"/>
            <w:noWrap/>
          </w:tcPr>
          <w:p w14:paraId="12B8D0CD" w14:textId="1BD2058D" w:rsidR="00F67ADF" w:rsidRPr="0018386D" w:rsidRDefault="007C55A6"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2F3FD280"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093ABAF6" w14:textId="2938D7B5" w:rsidR="00F67ADF" w:rsidRPr="0018386D" w:rsidRDefault="00A36942" w:rsidP="00DD3106">
            <w:pPr>
              <w:pStyle w:val="TableText"/>
              <w:spacing w:before="50" w:after="50"/>
              <w:rPr>
                <w:rFonts w:cs="Calibri"/>
                <w:b w:val="0"/>
                <w:szCs w:val="18"/>
              </w:rPr>
            </w:pPr>
            <w:proofErr w:type="spellStart"/>
            <w:r w:rsidRPr="0018386D">
              <w:rPr>
                <w:rFonts w:cs="Calibri"/>
                <w:b w:val="0"/>
                <w:szCs w:val="18"/>
              </w:rPr>
              <w:t>Omarunui</w:t>
            </w:r>
            <w:proofErr w:type="spellEnd"/>
            <w:r w:rsidR="00F67ADF" w:rsidRPr="0018386D">
              <w:rPr>
                <w:rFonts w:cs="Calibri"/>
                <w:b w:val="0"/>
                <w:szCs w:val="18"/>
              </w:rPr>
              <w:t xml:space="preserve"> Landfill</w:t>
            </w:r>
          </w:p>
        </w:tc>
        <w:tc>
          <w:tcPr>
            <w:tcW w:w="3964" w:type="dxa"/>
            <w:shd w:val="clear" w:color="auto" w:fill="auto"/>
            <w:noWrap/>
          </w:tcPr>
          <w:p w14:paraId="2D232431" w14:textId="2DC173FE"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Hastings</w:t>
            </w:r>
            <w:r w:rsidR="00F67ADF" w:rsidRPr="0018386D">
              <w:rPr>
                <w:rFonts w:cs="Calibri"/>
                <w:bCs/>
                <w:szCs w:val="18"/>
              </w:rPr>
              <w:t xml:space="preserve"> District Council</w:t>
            </w:r>
          </w:p>
        </w:tc>
        <w:tc>
          <w:tcPr>
            <w:tcW w:w="997" w:type="dxa"/>
            <w:tcBorders>
              <w:top w:val="single" w:sz="8" w:space="0" w:color="1C556C" w:themeColor="accent1"/>
              <w:bottom w:val="single" w:sz="8" w:space="0" w:color="1C556C" w:themeColor="accent1"/>
              <w:right w:val="nil"/>
            </w:tcBorders>
            <w:shd w:val="clear" w:color="auto" w:fill="auto"/>
            <w:noWrap/>
          </w:tcPr>
          <w:p w14:paraId="383047D0" w14:textId="562B6EE5" w:rsidR="00F67ADF" w:rsidRPr="0018386D" w:rsidRDefault="007C55A6"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03399278"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6DAC656F" w14:textId="167698E8" w:rsidR="00F67ADF" w:rsidRPr="0018386D" w:rsidRDefault="00A36942" w:rsidP="00DD3106">
            <w:pPr>
              <w:pStyle w:val="TableText"/>
              <w:spacing w:before="50" w:after="50"/>
              <w:rPr>
                <w:rFonts w:cs="Calibri"/>
                <w:b w:val="0"/>
                <w:szCs w:val="18"/>
              </w:rPr>
            </w:pPr>
            <w:r w:rsidRPr="0018386D">
              <w:rPr>
                <w:rFonts w:cs="Calibri"/>
                <w:b w:val="0"/>
                <w:szCs w:val="18"/>
              </w:rPr>
              <w:t>Redruth</w:t>
            </w:r>
            <w:r w:rsidR="00F67ADF" w:rsidRPr="0018386D">
              <w:rPr>
                <w:rFonts w:cs="Calibri"/>
                <w:b w:val="0"/>
                <w:szCs w:val="18"/>
              </w:rPr>
              <w:t xml:space="preserve"> Landfill</w:t>
            </w:r>
          </w:p>
        </w:tc>
        <w:tc>
          <w:tcPr>
            <w:tcW w:w="3964" w:type="dxa"/>
            <w:shd w:val="clear" w:color="auto" w:fill="auto"/>
            <w:noWrap/>
          </w:tcPr>
          <w:p w14:paraId="09BC48AA" w14:textId="5ED4AAE3"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Timaru District Council</w:t>
            </w:r>
          </w:p>
        </w:tc>
        <w:tc>
          <w:tcPr>
            <w:tcW w:w="997" w:type="dxa"/>
            <w:tcBorders>
              <w:right w:val="nil"/>
            </w:tcBorders>
            <w:shd w:val="clear" w:color="auto" w:fill="auto"/>
            <w:noWrap/>
          </w:tcPr>
          <w:p w14:paraId="173C669F" w14:textId="3F8A28F2" w:rsidR="00F67ADF" w:rsidRPr="0018386D" w:rsidRDefault="007C55A6"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79B6084A"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52B4BB9E" w14:textId="3C71E34D" w:rsidR="00F67ADF" w:rsidRPr="0018386D" w:rsidRDefault="00A36942" w:rsidP="00DD3106">
            <w:pPr>
              <w:pStyle w:val="TableText"/>
              <w:spacing w:before="50" w:after="50"/>
              <w:rPr>
                <w:rFonts w:cs="Calibri"/>
                <w:b w:val="0"/>
                <w:szCs w:val="18"/>
              </w:rPr>
            </w:pPr>
            <w:proofErr w:type="spellStart"/>
            <w:r w:rsidRPr="0018386D">
              <w:rPr>
                <w:rFonts w:cs="Calibri"/>
                <w:b w:val="0"/>
                <w:szCs w:val="18"/>
              </w:rPr>
              <w:t>Redvale</w:t>
            </w:r>
            <w:proofErr w:type="spellEnd"/>
            <w:r w:rsidR="00F67ADF" w:rsidRPr="0018386D">
              <w:rPr>
                <w:rFonts w:cs="Calibri"/>
                <w:b w:val="0"/>
                <w:szCs w:val="18"/>
              </w:rPr>
              <w:t xml:space="preserve"> Landfill</w:t>
            </w:r>
          </w:p>
        </w:tc>
        <w:tc>
          <w:tcPr>
            <w:tcW w:w="3964" w:type="dxa"/>
            <w:shd w:val="clear" w:color="auto" w:fill="auto"/>
            <w:noWrap/>
          </w:tcPr>
          <w:p w14:paraId="7A8E74D0" w14:textId="7829DD35"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Transpacific waste management</w:t>
            </w:r>
          </w:p>
        </w:tc>
        <w:tc>
          <w:tcPr>
            <w:tcW w:w="997" w:type="dxa"/>
            <w:tcBorders>
              <w:top w:val="single" w:sz="8" w:space="0" w:color="1C556C" w:themeColor="accent1"/>
              <w:bottom w:val="single" w:sz="8" w:space="0" w:color="1C556C" w:themeColor="accent1"/>
              <w:right w:val="nil"/>
            </w:tcBorders>
            <w:shd w:val="clear" w:color="auto" w:fill="auto"/>
            <w:noWrap/>
          </w:tcPr>
          <w:p w14:paraId="46244D4B" w14:textId="0BFD4B31" w:rsidR="00F67ADF" w:rsidRPr="0018386D" w:rsidRDefault="007C55A6"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55B27D90"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72C5581F" w14:textId="5B7E8C50" w:rsidR="00F67ADF" w:rsidRPr="0018386D" w:rsidRDefault="00A36942" w:rsidP="00DD3106">
            <w:pPr>
              <w:pStyle w:val="TableText"/>
              <w:spacing w:before="50" w:after="50"/>
              <w:rPr>
                <w:rFonts w:cs="Calibri"/>
                <w:b w:val="0"/>
                <w:szCs w:val="18"/>
              </w:rPr>
            </w:pPr>
            <w:r w:rsidRPr="0018386D">
              <w:rPr>
                <w:rFonts w:cs="Calibri"/>
                <w:b w:val="0"/>
                <w:szCs w:val="18"/>
              </w:rPr>
              <w:t>Silverstream</w:t>
            </w:r>
            <w:r w:rsidR="00F67ADF" w:rsidRPr="0018386D">
              <w:rPr>
                <w:rFonts w:cs="Calibri"/>
                <w:b w:val="0"/>
                <w:szCs w:val="18"/>
              </w:rPr>
              <w:t xml:space="preserve"> Landfill</w:t>
            </w:r>
          </w:p>
        </w:tc>
        <w:tc>
          <w:tcPr>
            <w:tcW w:w="3964" w:type="dxa"/>
            <w:shd w:val="clear" w:color="auto" w:fill="auto"/>
            <w:noWrap/>
          </w:tcPr>
          <w:p w14:paraId="17D28C29" w14:textId="20D9C5B6"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Hutt City Council</w:t>
            </w:r>
          </w:p>
        </w:tc>
        <w:tc>
          <w:tcPr>
            <w:tcW w:w="997" w:type="dxa"/>
            <w:tcBorders>
              <w:right w:val="nil"/>
            </w:tcBorders>
            <w:shd w:val="clear" w:color="auto" w:fill="auto"/>
            <w:noWrap/>
          </w:tcPr>
          <w:p w14:paraId="0357ADC8" w14:textId="2D30754D" w:rsidR="00F67ADF" w:rsidRPr="0018386D" w:rsidRDefault="007C55A6"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326EB530"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3B87E816" w14:textId="763961CC" w:rsidR="00F67ADF" w:rsidRPr="0018386D" w:rsidRDefault="00A36942" w:rsidP="00DD3106">
            <w:pPr>
              <w:pStyle w:val="TableText"/>
              <w:spacing w:before="50" w:after="50"/>
              <w:rPr>
                <w:rFonts w:cs="Calibri"/>
                <w:b w:val="0"/>
                <w:szCs w:val="18"/>
              </w:rPr>
            </w:pPr>
            <w:r w:rsidRPr="0018386D">
              <w:rPr>
                <w:rFonts w:cs="Calibri"/>
                <w:b w:val="0"/>
                <w:szCs w:val="18"/>
              </w:rPr>
              <w:t>Southern Landfill</w:t>
            </w:r>
          </w:p>
        </w:tc>
        <w:tc>
          <w:tcPr>
            <w:tcW w:w="3964" w:type="dxa"/>
            <w:shd w:val="clear" w:color="auto" w:fill="auto"/>
            <w:noWrap/>
          </w:tcPr>
          <w:p w14:paraId="67DF679C" w14:textId="1269D502"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Wellington City Council</w:t>
            </w:r>
          </w:p>
        </w:tc>
        <w:tc>
          <w:tcPr>
            <w:tcW w:w="997" w:type="dxa"/>
            <w:tcBorders>
              <w:top w:val="single" w:sz="8" w:space="0" w:color="1C556C" w:themeColor="accent1"/>
              <w:bottom w:val="single" w:sz="8" w:space="0" w:color="1C556C" w:themeColor="accent1"/>
              <w:right w:val="nil"/>
            </w:tcBorders>
            <w:shd w:val="clear" w:color="auto" w:fill="auto"/>
            <w:noWrap/>
          </w:tcPr>
          <w:p w14:paraId="0096C0CA" w14:textId="632E897D" w:rsidR="00F67ADF" w:rsidRPr="0018386D" w:rsidRDefault="007C55A6"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5D079382"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5C29C7EE" w14:textId="6290B23F" w:rsidR="00F67ADF" w:rsidRPr="0018386D" w:rsidRDefault="00A36942" w:rsidP="00DD3106">
            <w:pPr>
              <w:pStyle w:val="TableText"/>
              <w:spacing w:before="50" w:after="50"/>
              <w:rPr>
                <w:rFonts w:cs="Calibri"/>
                <w:b w:val="0"/>
                <w:szCs w:val="18"/>
              </w:rPr>
            </w:pPr>
            <w:r w:rsidRPr="0018386D">
              <w:rPr>
                <w:rFonts w:cs="Calibri"/>
                <w:b w:val="0"/>
                <w:szCs w:val="18"/>
              </w:rPr>
              <w:t>Spicer Landfill</w:t>
            </w:r>
          </w:p>
        </w:tc>
        <w:tc>
          <w:tcPr>
            <w:tcW w:w="3964" w:type="dxa"/>
            <w:shd w:val="clear" w:color="auto" w:fill="auto"/>
            <w:noWrap/>
          </w:tcPr>
          <w:p w14:paraId="49E7E478" w14:textId="64130176"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Porirua City Council</w:t>
            </w:r>
          </w:p>
        </w:tc>
        <w:tc>
          <w:tcPr>
            <w:tcW w:w="997" w:type="dxa"/>
            <w:tcBorders>
              <w:right w:val="nil"/>
            </w:tcBorders>
            <w:shd w:val="clear" w:color="auto" w:fill="auto"/>
            <w:noWrap/>
          </w:tcPr>
          <w:p w14:paraId="60349A12" w14:textId="4B4D368C" w:rsidR="00F67ADF" w:rsidRPr="0018386D" w:rsidRDefault="007C55A6"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47713A6A"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45AEE46C" w14:textId="65D26765" w:rsidR="00F67ADF" w:rsidRPr="0018386D" w:rsidRDefault="00A36942" w:rsidP="00DD3106">
            <w:pPr>
              <w:pStyle w:val="TableText"/>
              <w:spacing w:before="50" w:after="50"/>
              <w:rPr>
                <w:rFonts w:cs="Calibri"/>
                <w:b w:val="0"/>
                <w:szCs w:val="18"/>
              </w:rPr>
            </w:pPr>
            <w:proofErr w:type="spellStart"/>
            <w:r w:rsidRPr="0018386D">
              <w:rPr>
                <w:rFonts w:cs="Calibri"/>
                <w:b w:val="0"/>
                <w:szCs w:val="18"/>
              </w:rPr>
              <w:t>Tirohia</w:t>
            </w:r>
            <w:proofErr w:type="spellEnd"/>
            <w:r w:rsidR="00F67ADF" w:rsidRPr="0018386D">
              <w:rPr>
                <w:rFonts w:cs="Calibri"/>
                <w:b w:val="0"/>
                <w:szCs w:val="18"/>
              </w:rPr>
              <w:t xml:space="preserve"> Landfill</w:t>
            </w:r>
            <w:r w:rsidR="00D45BED" w:rsidRPr="0018386D">
              <w:rPr>
                <w:rFonts w:cs="Calibri"/>
                <w:b w:val="0"/>
                <w:szCs w:val="18"/>
              </w:rPr>
              <w:t xml:space="preserve"> (Paeroa)</w:t>
            </w:r>
          </w:p>
        </w:tc>
        <w:tc>
          <w:tcPr>
            <w:tcW w:w="3964" w:type="dxa"/>
            <w:shd w:val="clear" w:color="auto" w:fill="auto"/>
            <w:noWrap/>
          </w:tcPr>
          <w:p w14:paraId="617DDB46" w14:textId="48291759"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 xml:space="preserve">HG Leach &amp; Co. </w:t>
            </w:r>
            <w:r w:rsidR="00C964F5" w:rsidRPr="0018386D">
              <w:rPr>
                <w:rFonts w:cs="Calibri"/>
                <w:bCs/>
                <w:szCs w:val="18"/>
              </w:rPr>
              <w:t>Ltd</w:t>
            </w:r>
          </w:p>
        </w:tc>
        <w:tc>
          <w:tcPr>
            <w:tcW w:w="997" w:type="dxa"/>
            <w:tcBorders>
              <w:top w:val="single" w:sz="8" w:space="0" w:color="1C556C" w:themeColor="accent1"/>
              <w:bottom w:val="single" w:sz="8" w:space="0" w:color="1C556C" w:themeColor="accent1"/>
              <w:right w:val="nil"/>
            </w:tcBorders>
            <w:shd w:val="clear" w:color="auto" w:fill="auto"/>
            <w:noWrap/>
          </w:tcPr>
          <w:p w14:paraId="3451F6AE" w14:textId="3AC5991E" w:rsidR="00F67ADF" w:rsidRPr="0018386D" w:rsidRDefault="007C55A6"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7D93A87B"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3B83F6CF" w14:textId="50C76176" w:rsidR="00F67ADF" w:rsidRPr="0018386D" w:rsidRDefault="00A36942" w:rsidP="00DD3106">
            <w:pPr>
              <w:pStyle w:val="TableText"/>
              <w:spacing w:before="50" w:after="50"/>
              <w:rPr>
                <w:rFonts w:cs="Calibri"/>
                <w:b w:val="0"/>
                <w:szCs w:val="18"/>
              </w:rPr>
            </w:pPr>
            <w:r w:rsidRPr="0018386D">
              <w:rPr>
                <w:rFonts w:cs="Calibri"/>
                <w:b w:val="0"/>
                <w:szCs w:val="18"/>
              </w:rPr>
              <w:t>Victoria Flats</w:t>
            </w:r>
            <w:r w:rsidR="00F67ADF" w:rsidRPr="0018386D">
              <w:rPr>
                <w:rFonts w:cs="Calibri"/>
                <w:b w:val="0"/>
                <w:szCs w:val="18"/>
              </w:rPr>
              <w:t xml:space="preserve"> Landfill</w:t>
            </w:r>
            <w:r w:rsidR="00D45BED" w:rsidRPr="0018386D">
              <w:rPr>
                <w:rFonts w:cs="Calibri"/>
                <w:b w:val="0"/>
                <w:szCs w:val="18"/>
              </w:rPr>
              <w:t xml:space="preserve"> (Queenstown/</w:t>
            </w:r>
            <w:r w:rsidR="006E0AED" w:rsidRPr="0018386D">
              <w:rPr>
                <w:rFonts w:cs="Calibri"/>
                <w:b w:val="0"/>
                <w:szCs w:val="18"/>
              </w:rPr>
              <w:t xml:space="preserve"> </w:t>
            </w:r>
            <w:r w:rsidR="00D45BED" w:rsidRPr="0018386D">
              <w:rPr>
                <w:rFonts w:cs="Calibri"/>
                <w:b w:val="0"/>
                <w:szCs w:val="18"/>
              </w:rPr>
              <w:t>Cromwell)</w:t>
            </w:r>
          </w:p>
        </w:tc>
        <w:tc>
          <w:tcPr>
            <w:tcW w:w="3964" w:type="dxa"/>
            <w:shd w:val="clear" w:color="auto" w:fill="auto"/>
            <w:noWrap/>
          </w:tcPr>
          <w:p w14:paraId="50A04A3A" w14:textId="45476CA2"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 xml:space="preserve">Scope Resources </w:t>
            </w:r>
            <w:r w:rsidR="00C964F5" w:rsidRPr="0018386D">
              <w:rPr>
                <w:rFonts w:cs="Calibri"/>
                <w:bCs/>
                <w:szCs w:val="18"/>
              </w:rPr>
              <w:t>Ltd</w:t>
            </w:r>
          </w:p>
        </w:tc>
        <w:tc>
          <w:tcPr>
            <w:tcW w:w="997" w:type="dxa"/>
            <w:tcBorders>
              <w:right w:val="nil"/>
            </w:tcBorders>
            <w:shd w:val="clear" w:color="auto" w:fill="auto"/>
            <w:noWrap/>
          </w:tcPr>
          <w:p w14:paraId="304C638B" w14:textId="7E24A7CD" w:rsidR="00F67ADF" w:rsidRPr="0018386D" w:rsidRDefault="00F67ADF"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 xml:space="preserve">No </w:t>
            </w:r>
          </w:p>
        </w:tc>
      </w:tr>
      <w:tr w:rsidR="00DC52E3" w:rsidRPr="0018386D" w14:paraId="7AB68CD0"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bottom w:val="single" w:sz="8" w:space="0" w:color="1C556C" w:themeColor="accent1"/>
            </w:tcBorders>
            <w:shd w:val="clear" w:color="auto" w:fill="auto"/>
            <w:noWrap/>
          </w:tcPr>
          <w:p w14:paraId="79E3B375" w14:textId="029665E7" w:rsidR="00DC52E3" w:rsidRPr="0018386D" w:rsidDel="00DC52E3" w:rsidRDefault="00DC52E3" w:rsidP="00DD3106">
            <w:pPr>
              <w:pStyle w:val="TableText"/>
              <w:spacing w:before="50" w:after="50"/>
              <w:rPr>
                <w:rFonts w:cs="Calibri"/>
                <w:b w:val="0"/>
                <w:szCs w:val="18"/>
              </w:rPr>
            </w:pPr>
            <w:r w:rsidRPr="0018386D">
              <w:rPr>
                <w:rFonts w:cs="Calibri"/>
                <w:b w:val="0"/>
                <w:szCs w:val="18"/>
              </w:rPr>
              <w:t>Whangarei Resort</w:t>
            </w:r>
            <w:r w:rsidRPr="0018386D">
              <w:rPr>
                <w:rFonts w:cs="Calibri"/>
                <w:b w:val="0"/>
                <w:bCs w:val="0"/>
                <w:szCs w:val="18"/>
              </w:rPr>
              <w:t> </w:t>
            </w:r>
          </w:p>
        </w:tc>
        <w:tc>
          <w:tcPr>
            <w:tcW w:w="3964" w:type="dxa"/>
            <w:shd w:val="clear" w:color="auto" w:fill="auto"/>
            <w:noWrap/>
          </w:tcPr>
          <w:p w14:paraId="2F687B2D" w14:textId="6B4981C3" w:rsidR="00DC52E3" w:rsidRPr="0018386D" w:rsidDel="00DC52E3" w:rsidRDefault="00DC52E3"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szCs w:val="18"/>
              </w:rPr>
              <w:t>Northland Regional Landfill Ltd. Partnership </w:t>
            </w:r>
          </w:p>
        </w:tc>
        <w:tc>
          <w:tcPr>
            <w:tcW w:w="997" w:type="dxa"/>
            <w:tcBorders>
              <w:top w:val="single" w:sz="8" w:space="0" w:color="1C556C" w:themeColor="accent1"/>
              <w:bottom w:val="single" w:sz="8" w:space="0" w:color="1C556C" w:themeColor="accent1"/>
              <w:right w:val="nil"/>
            </w:tcBorders>
            <w:shd w:val="clear" w:color="auto" w:fill="auto"/>
            <w:noWrap/>
          </w:tcPr>
          <w:p w14:paraId="564A47EF" w14:textId="7E040A93" w:rsidR="00DC52E3" w:rsidRPr="0018386D" w:rsidDel="00DC52E3" w:rsidRDefault="00DC52E3"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szCs w:val="18"/>
              </w:rPr>
              <w:t>Yes </w:t>
            </w:r>
          </w:p>
        </w:tc>
      </w:tr>
      <w:tr w:rsidR="00F67ADF" w:rsidRPr="0018386D" w14:paraId="60C8D6DA" w14:textId="77777777" w:rsidTr="00BB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auto"/>
            <w:noWrap/>
          </w:tcPr>
          <w:p w14:paraId="37F53E9D" w14:textId="520EA1C1" w:rsidR="00F67ADF" w:rsidRPr="0018386D" w:rsidRDefault="00A36942" w:rsidP="00DD3106">
            <w:pPr>
              <w:pStyle w:val="TableText"/>
              <w:spacing w:before="50" w:after="50"/>
              <w:rPr>
                <w:rFonts w:cs="Calibri"/>
                <w:b w:val="0"/>
                <w:szCs w:val="18"/>
              </w:rPr>
            </w:pPr>
            <w:r w:rsidRPr="0018386D">
              <w:rPr>
                <w:rFonts w:cs="Calibri"/>
                <w:b w:val="0"/>
                <w:szCs w:val="18"/>
              </w:rPr>
              <w:t xml:space="preserve">Whitford Landfill </w:t>
            </w:r>
            <w:r w:rsidR="007C55A6" w:rsidRPr="0018386D">
              <w:rPr>
                <w:rFonts w:cs="Calibri"/>
                <w:b w:val="0"/>
                <w:szCs w:val="18"/>
              </w:rPr>
              <w:t xml:space="preserve">– </w:t>
            </w:r>
            <w:r w:rsidRPr="0018386D">
              <w:rPr>
                <w:rFonts w:cs="Calibri"/>
                <w:b w:val="0"/>
                <w:szCs w:val="18"/>
              </w:rPr>
              <w:t>Waste Disposal Services</w:t>
            </w:r>
          </w:p>
        </w:tc>
        <w:tc>
          <w:tcPr>
            <w:tcW w:w="3964" w:type="dxa"/>
            <w:shd w:val="clear" w:color="auto" w:fill="auto"/>
            <w:noWrap/>
          </w:tcPr>
          <w:p w14:paraId="566FDD35" w14:textId="2DC23A6C" w:rsidR="00F67ADF" w:rsidRPr="0018386D" w:rsidRDefault="00A36942"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Transpacific waste management</w:t>
            </w:r>
          </w:p>
        </w:tc>
        <w:tc>
          <w:tcPr>
            <w:tcW w:w="997" w:type="dxa"/>
            <w:tcBorders>
              <w:right w:val="nil"/>
            </w:tcBorders>
            <w:shd w:val="clear" w:color="auto" w:fill="auto"/>
            <w:noWrap/>
          </w:tcPr>
          <w:p w14:paraId="1C8621BB" w14:textId="2D52F14E" w:rsidR="00F67ADF" w:rsidRPr="0018386D" w:rsidRDefault="007C55A6" w:rsidP="00DD3106">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18386D">
              <w:rPr>
                <w:rFonts w:cs="Calibri"/>
                <w:bCs/>
                <w:szCs w:val="18"/>
              </w:rPr>
              <w:t>Yes</w:t>
            </w:r>
          </w:p>
        </w:tc>
      </w:tr>
      <w:tr w:rsidR="00F67ADF" w:rsidRPr="0018386D" w14:paraId="7541C031" w14:textId="77777777" w:rsidTr="00BB6E8E">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1C556C" w:themeColor="accent1"/>
              <w:left w:val="nil"/>
            </w:tcBorders>
            <w:shd w:val="clear" w:color="auto" w:fill="auto"/>
            <w:noWrap/>
          </w:tcPr>
          <w:p w14:paraId="13E753D2" w14:textId="5901DF14" w:rsidR="00F67ADF" w:rsidRPr="0018386D" w:rsidRDefault="00A36942" w:rsidP="00DD3106">
            <w:pPr>
              <w:pStyle w:val="TableText"/>
              <w:spacing w:before="50" w:after="50"/>
              <w:rPr>
                <w:rFonts w:cs="Calibri"/>
                <w:b w:val="0"/>
                <w:szCs w:val="18"/>
              </w:rPr>
            </w:pPr>
            <w:r w:rsidRPr="0018386D">
              <w:rPr>
                <w:rFonts w:cs="Calibri"/>
                <w:b w:val="0"/>
                <w:szCs w:val="18"/>
              </w:rPr>
              <w:t>York Valley</w:t>
            </w:r>
            <w:r w:rsidR="00F67ADF" w:rsidRPr="0018386D">
              <w:rPr>
                <w:rFonts w:cs="Calibri"/>
                <w:b w:val="0"/>
                <w:szCs w:val="18"/>
              </w:rPr>
              <w:t xml:space="preserve"> Landfill</w:t>
            </w:r>
          </w:p>
        </w:tc>
        <w:tc>
          <w:tcPr>
            <w:tcW w:w="3964" w:type="dxa"/>
            <w:shd w:val="clear" w:color="auto" w:fill="auto"/>
            <w:noWrap/>
          </w:tcPr>
          <w:p w14:paraId="2C8764F9" w14:textId="37D7E180" w:rsidR="00F67ADF" w:rsidRPr="0018386D" w:rsidRDefault="00A36942"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Nelson City Council</w:t>
            </w:r>
          </w:p>
        </w:tc>
        <w:tc>
          <w:tcPr>
            <w:tcW w:w="997" w:type="dxa"/>
            <w:tcBorders>
              <w:top w:val="single" w:sz="8" w:space="0" w:color="1C556C" w:themeColor="accent1"/>
              <w:right w:val="nil"/>
            </w:tcBorders>
            <w:shd w:val="clear" w:color="auto" w:fill="auto"/>
            <w:noWrap/>
          </w:tcPr>
          <w:p w14:paraId="61397B72" w14:textId="1D365E24" w:rsidR="00F67ADF" w:rsidRPr="0018386D" w:rsidRDefault="007C55A6" w:rsidP="00DD3106">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18386D">
              <w:rPr>
                <w:rFonts w:cs="Calibri"/>
                <w:bCs/>
                <w:szCs w:val="18"/>
              </w:rPr>
              <w:t>Yes</w:t>
            </w:r>
          </w:p>
        </w:tc>
      </w:tr>
    </w:tbl>
    <w:p w14:paraId="375AFC7D" w14:textId="335A2D93" w:rsidR="00A36942" w:rsidRPr="0018386D" w:rsidRDefault="00A36942" w:rsidP="00DD3106">
      <w:pPr>
        <w:pStyle w:val="Note"/>
        <w:rPr>
          <w:rFonts w:cs="Calibri"/>
          <w:szCs w:val="18"/>
          <w:shd w:val="clear" w:color="auto" w:fill="FFFFFF"/>
        </w:rPr>
      </w:pPr>
      <w:r w:rsidRPr="0018386D">
        <w:t>Source:</w:t>
      </w:r>
      <w:r w:rsidR="004C3308" w:rsidRPr="0018386D">
        <w:t xml:space="preserve"> </w:t>
      </w:r>
      <w:proofErr w:type="spellStart"/>
      <w:r w:rsidR="00DC52E3" w:rsidRPr="0018386D">
        <w:rPr>
          <w:rFonts w:cs="Calibri"/>
          <w:szCs w:val="18"/>
          <w:shd w:val="clear" w:color="auto" w:fill="FFFFFF"/>
        </w:rPr>
        <w:t>Toitu</w:t>
      </w:r>
      <w:proofErr w:type="spellEnd"/>
      <w:r w:rsidR="00DC52E3" w:rsidRPr="0018386D">
        <w:rPr>
          <w:rFonts w:cs="Calibri"/>
          <w:szCs w:val="18"/>
          <w:shd w:val="clear" w:color="auto" w:fill="FFFFFF"/>
        </w:rPr>
        <w:t>, Ministry for the Environment</w:t>
      </w:r>
    </w:p>
    <w:p w14:paraId="12F411B3" w14:textId="09374BA4" w:rsidR="00DC52E3" w:rsidRPr="0018386D" w:rsidRDefault="00DC52E3" w:rsidP="00DD3106">
      <w:pPr>
        <w:pStyle w:val="BodyText"/>
      </w:pPr>
      <w:r w:rsidRPr="0018386D">
        <w:rPr>
          <w:shd w:val="clear" w:color="auto" w:fill="FFFFFF"/>
        </w:rPr>
        <w:t xml:space="preserve">We invite users to contribute </w:t>
      </w:r>
      <w:r w:rsidR="0070282F" w:rsidRPr="0018386D">
        <w:rPr>
          <w:shd w:val="clear" w:color="auto" w:fill="FFFFFF"/>
        </w:rPr>
        <w:t>to</w:t>
      </w:r>
      <w:r w:rsidRPr="0018386D">
        <w:rPr>
          <w:shd w:val="clear" w:color="auto" w:fill="FFFFFF"/>
        </w:rPr>
        <w:t xml:space="preserve"> the improvement of this table by indicating if </w:t>
      </w:r>
      <w:r w:rsidR="0070282F" w:rsidRPr="0018386D">
        <w:rPr>
          <w:shd w:val="clear" w:color="auto" w:fill="FFFFFF"/>
        </w:rPr>
        <w:t xml:space="preserve">it should include </w:t>
      </w:r>
      <w:r w:rsidRPr="0018386D">
        <w:rPr>
          <w:shd w:val="clear" w:color="auto" w:fill="FFFFFF"/>
        </w:rPr>
        <w:t xml:space="preserve">any other known active landfill with gas recovery. Please email </w:t>
      </w:r>
      <w:hyperlink r:id="rId162" w:tgtFrame="_blank" w:history="1">
        <w:r w:rsidRPr="0018386D">
          <w:rPr>
            <w:rStyle w:val="Hyperlink"/>
          </w:rPr>
          <w:t>Emissions-guide@mfe.govt.nz</w:t>
        </w:r>
      </w:hyperlink>
      <w:r w:rsidRPr="0018386D">
        <w:rPr>
          <w:color w:val="1C586C"/>
          <w:shd w:val="clear" w:color="auto" w:fill="FFFFFF"/>
        </w:rPr>
        <w:t> </w:t>
      </w:r>
    </w:p>
    <w:p w14:paraId="07877E92" w14:textId="1E959080" w:rsidR="003B2D15" w:rsidRPr="0018386D" w:rsidRDefault="00A36942" w:rsidP="00DD3106">
      <w:pPr>
        <w:pStyle w:val="BodyText"/>
      </w:pPr>
      <w:bookmarkStart w:id="1033" w:name="_Ref532552915"/>
      <w:bookmarkStart w:id="1034" w:name="_Ref532553701"/>
      <w:bookmarkStart w:id="1035" w:name="_Toc532904983"/>
      <w:r w:rsidRPr="0018386D">
        <w:br w:type="page"/>
      </w:r>
    </w:p>
    <w:p w14:paraId="1AF36C8F" w14:textId="6D37B7C6" w:rsidR="00B95890" w:rsidRPr="0018386D" w:rsidRDefault="00B95890" w:rsidP="00DD3106">
      <w:pPr>
        <w:pStyle w:val="Heading1"/>
      </w:pPr>
      <w:bookmarkStart w:id="1036" w:name="_A__"/>
      <w:bookmarkStart w:id="1037" w:name="_Toc140048939"/>
      <w:bookmarkEnd w:id="1036"/>
      <w:r w:rsidRPr="0018386D">
        <w:t xml:space="preserve">Appendix D: </w:t>
      </w:r>
      <w:r w:rsidR="00A36717" w:rsidRPr="0018386D">
        <w:t>Spend</w:t>
      </w:r>
      <w:r w:rsidR="00E025A5" w:rsidRPr="0018386D">
        <w:t>-</w:t>
      </w:r>
      <w:r w:rsidRPr="0018386D">
        <w:t xml:space="preserve">based </w:t>
      </w:r>
      <w:r w:rsidR="00D66967" w:rsidRPr="0018386D">
        <w:t xml:space="preserve">emission </w:t>
      </w:r>
      <w:proofErr w:type="gramStart"/>
      <w:r w:rsidR="00D66967" w:rsidRPr="0018386D">
        <w:t>factors</w:t>
      </w:r>
      <w:bookmarkEnd w:id="1037"/>
      <w:proofErr w:type="gramEnd"/>
    </w:p>
    <w:p w14:paraId="77B4DC93" w14:textId="2F64B0FE" w:rsidR="00AB4B67" w:rsidRPr="0018386D" w:rsidRDefault="00822004" w:rsidP="00DD3106">
      <w:pPr>
        <w:pStyle w:val="BodyText"/>
      </w:pPr>
      <w:r w:rsidRPr="0018386D">
        <w:t xml:space="preserve">Auckland Council </w:t>
      </w:r>
      <w:r w:rsidR="00121264" w:rsidRPr="0018386D">
        <w:t>has</w:t>
      </w:r>
      <w:r w:rsidRPr="0018386D">
        <w:t xml:space="preserve"> </w:t>
      </w:r>
      <w:r w:rsidR="00B85029" w:rsidRPr="0018386D">
        <w:t>published emission factors</w:t>
      </w:r>
      <w:r w:rsidR="000258D8" w:rsidRPr="0018386D">
        <w:t xml:space="preserve"> </w:t>
      </w:r>
      <w:r w:rsidR="003B02F6" w:rsidRPr="0018386D">
        <w:t>using</w:t>
      </w:r>
      <w:r w:rsidR="00B95890" w:rsidRPr="0018386D">
        <w:t xml:space="preserve"> a </w:t>
      </w:r>
      <w:r w:rsidR="00A36717" w:rsidRPr="0018386D">
        <w:t>spend</w:t>
      </w:r>
      <w:r w:rsidR="00B95890" w:rsidRPr="0018386D">
        <w:t>-based emissions accounting approach</w:t>
      </w:r>
      <w:r w:rsidR="005B1AC4" w:rsidRPr="0018386D">
        <w:t>.</w:t>
      </w:r>
      <w:r w:rsidR="00B95890" w:rsidRPr="0018386D">
        <w:t xml:space="preserve"> </w:t>
      </w:r>
      <w:r w:rsidR="007F57DD" w:rsidRPr="0018386D">
        <w:t>Using</w:t>
      </w:r>
      <w:r w:rsidR="00B95890" w:rsidRPr="0018386D">
        <w:t xml:space="preserve"> data from Stats</w:t>
      </w:r>
      <w:r w:rsidR="00382A86" w:rsidRPr="0018386D">
        <w:t xml:space="preserve"> </w:t>
      </w:r>
      <w:r w:rsidR="00B95890" w:rsidRPr="0018386D">
        <w:t>NZ</w:t>
      </w:r>
      <w:r w:rsidR="006033F3" w:rsidRPr="0018386D">
        <w:t xml:space="preserve"> </w:t>
      </w:r>
      <w:proofErr w:type="spellStart"/>
      <w:r w:rsidR="006033F3" w:rsidRPr="0018386D">
        <w:t>Tatauranga</w:t>
      </w:r>
      <w:proofErr w:type="spellEnd"/>
      <w:r w:rsidR="006033F3" w:rsidRPr="0018386D">
        <w:t xml:space="preserve"> Aotearoa</w:t>
      </w:r>
      <w:r w:rsidR="00B95890" w:rsidRPr="0018386D">
        <w:t>, emission intensities are calculated for 199 commodity types</w:t>
      </w:r>
      <w:r w:rsidR="007F57DD" w:rsidRPr="0018386D">
        <w:t>. These</w:t>
      </w:r>
      <w:r w:rsidR="00B95890" w:rsidRPr="0018386D">
        <w:t xml:space="preserve"> can be linked to an organi</w:t>
      </w:r>
      <w:r w:rsidR="00736D1B" w:rsidRPr="0018386D">
        <w:t>s</w:t>
      </w:r>
      <w:r w:rsidR="00B95890" w:rsidRPr="0018386D">
        <w:t>ation's expenditure on goods and services</w:t>
      </w:r>
      <w:r w:rsidR="00B20AFC" w:rsidRPr="0018386D">
        <w:t>.</w:t>
      </w:r>
      <w:r w:rsidR="00B95890" w:rsidRPr="0018386D">
        <w:t xml:space="preserve"> </w:t>
      </w:r>
      <w:r w:rsidR="26A3D5E8" w:rsidRPr="0018386D">
        <w:t>It is assumed that goods and services purchased from outside of New Zealand generate the same quantities of emissions per dollar of expenditure as equivalent goods and</w:t>
      </w:r>
      <w:r w:rsidR="0009060C" w:rsidRPr="0018386D">
        <w:t> </w:t>
      </w:r>
      <w:r w:rsidR="26A3D5E8" w:rsidRPr="0018386D">
        <w:t>services produced in New Zealand.</w:t>
      </w:r>
    </w:p>
    <w:p w14:paraId="18197FCA" w14:textId="4F029D1F" w:rsidR="00AB4B67" w:rsidRPr="0018386D" w:rsidRDefault="007F57DD" w:rsidP="00DD3106">
      <w:pPr>
        <w:pStyle w:val="BodyText"/>
      </w:pPr>
      <w:r w:rsidRPr="0018386D">
        <w:t>In terms of consumption, s</w:t>
      </w:r>
      <w:r w:rsidR="00A36717" w:rsidRPr="0018386D">
        <w:t>pend-</w:t>
      </w:r>
      <w:r w:rsidR="00E626AD" w:rsidRPr="0018386D">
        <w:t>based emissions accounting focuses on calculating the emissions ‘embodied’ in the goods and services people consume. In other words, all emissions released directly and indirectly throughout the industrial supply chain that generated each good or service.</w:t>
      </w:r>
    </w:p>
    <w:p w14:paraId="4DAA30CE" w14:textId="1C144F5D" w:rsidR="00F37776" w:rsidRPr="0018386D" w:rsidRDefault="00460D80" w:rsidP="00DD3106">
      <w:pPr>
        <w:pStyle w:val="BodyText"/>
      </w:pPr>
      <w:r w:rsidRPr="0018386D">
        <w:t>O</w:t>
      </w:r>
      <w:r w:rsidR="00D952AD" w:rsidRPr="0018386D">
        <w:t>rgani</w:t>
      </w:r>
      <w:r w:rsidR="00BE2F94" w:rsidRPr="0018386D">
        <w:t>s</w:t>
      </w:r>
      <w:r w:rsidR="00D952AD" w:rsidRPr="0018386D">
        <w:t xml:space="preserve">ations completing a GHG inventory </w:t>
      </w:r>
      <w:r w:rsidR="00807DFF" w:rsidRPr="0018386D">
        <w:t>may find</w:t>
      </w:r>
      <w:r w:rsidR="00D952AD" w:rsidRPr="0018386D">
        <w:t xml:space="preserve"> this dataset</w:t>
      </w:r>
      <w:r w:rsidR="00807DFF" w:rsidRPr="0018386D">
        <w:t xml:space="preserve"> useful</w:t>
      </w:r>
      <w:r w:rsidR="00874D08" w:rsidRPr="0018386D">
        <w:t xml:space="preserve"> </w:t>
      </w:r>
      <w:r w:rsidR="00D952AD" w:rsidRPr="0018386D">
        <w:t xml:space="preserve">for </w:t>
      </w:r>
      <w:r w:rsidR="0088AD3D" w:rsidRPr="0018386D">
        <w:t xml:space="preserve">estimating </w:t>
      </w:r>
      <w:r w:rsidR="00D952AD" w:rsidRPr="0018386D">
        <w:t>Scope 3 emissions</w:t>
      </w:r>
      <w:r w:rsidR="00874D08" w:rsidRPr="0018386D">
        <w:t>,</w:t>
      </w:r>
      <w:r w:rsidR="00AC7FB2" w:rsidRPr="0018386D">
        <w:t xml:space="preserve"> </w:t>
      </w:r>
      <w:r w:rsidR="00D952AD" w:rsidRPr="0018386D">
        <w:t xml:space="preserve">which may be difficult to </w:t>
      </w:r>
      <w:r w:rsidR="0928777A" w:rsidRPr="0018386D">
        <w:t>do in the absence of activity or supplier specific data.</w:t>
      </w:r>
      <w:r w:rsidR="004C3308" w:rsidRPr="0018386D">
        <w:t xml:space="preserve"> </w:t>
      </w:r>
      <w:r w:rsidR="00B95890" w:rsidRPr="0018386D">
        <w:t xml:space="preserve">The generated emission intensities and datasets have potential applications beyond </w:t>
      </w:r>
      <w:r w:rsidR="00393127" w:rsidRPr="0018386D">
        <w:t xml:space="preserve">GHG </w:t>
      </w:r>
      <w:r w:rsidR="00B95890" w:rsidRPr="0018386D">
        <w:t xml:space="preserve">inventory management, such as </w:t>
      </w:r>
      <w:r w:rsidR="008B14A5" w:rsidRPr="0018386D">
        <w:t>assess</w:t>
      </w:r>
      <w:r w:rsidR="005123FC" w:rsidRPr="0018386D">
        <w:t>ing</w:t>
      </w:r>
      <w:r w:rsidR="008B14A5" w:rsidRPr="0018386D">
        <w:t xml:space="preserve"> </w:t>
      </w:r>
      <w:r w:rsidR="004827F7" w:rsidRPr="0018386D">
        <w:t>organisations</w:t>
      </w:r>
      <w:r w:rsidR="00A36717" w:rsidRPr="0018386D">
        <w:t>’</w:t>
      </w:r>
      <w:r w:rsidR="008B14A5" w:rsidRPr="0018386D">
        <w:t xml:space="preserve"> consumption patterns </w:t>
      </w:r>
      <w:r w:rsidR="005123FC" w:rsidRPr="0018386D">
        <w:t>to</w:t>
      </w:r>
      <w:r w:rsidR="008B14A5" w:rsidRPr="0018386D">
        <w:t xml:space="preserve"> identify potential opportunities to reduce GHG </w:t>
      </w:r>
      <w:proofErr w:type="gramStart"/>
      <w:r w:rsidR="008B14A5" w:rsidRPr="0018386D">
        <w:t>emissions</w:t>
      </w:r>
      <w:r w:rsidR="00202F90" w:rsidRPr="0018386D">
        <w:t>,</w:t>
      </w:r>
      <w:r w:rsidR="00D27CEC" w:rsidRPr="0018386D">
        <w:t xml:space="preserve"> or</w:t>
      </w:r>
      <w:proofErr w:type="gramEnd"/>
      <w:r w:rsidR="00D27CEC" w:rsidRPr="0018386D">
        <w:t xml:space="preserve"> </w:t>
      </w:r>
      <w:r w:rsidR="00B95890" w:rsidRPr="0018386D">
        <w:t>analy</w:t>
      </w:r>
      <w:r w:rsidR="00651FF3" w:rsidRPr="0018386D">
        <w:t>s</w:t>
      </w:r>
      <w:r w:rsidR="00B95890" w:rsidRPr="0018386D">
        <w:t>ing the impact of different development trajectories</w:t>
      </w:r>
      <w:r w:rsidR="00D27CEC" w:rsidRPr="0018386D">
        <w:t>.</w:t>
      </w:r>
    </w:p>
    <w:p w14:paraId="49B83958" w14:textId="5A084FE0" w:rsidR="00A67870" w:rsidRPr="0018386D" w:rsidRDefault="00A541F0" w:rsidP="00DD3106">
      <w:pPr>
        <w:pStyle w:val="BodyText"/>
      </w:pPr>
      <w:r w:rsidRPr="0018386D">
        <w:t xml:space="preserve">Note </w:t>
      </w:r>
      <w:r w:rsidR="00CF7613" w:rsidRPr="0018386D">
        <w:t>these emission factors</w:t>
      </w:r>
      <w:r w:rsidRPr="0018386D">
        <w:t xml:space="preserve"> will only give you an estimation of your supply chain emissions</w:t>
      </w:r>
      <w:r w:rsidR="00202F90" w:rsidRPr="0018386D">
        <w:t>.</w:t>
      </w:r>
      <w:r w:rsidRPr="0018386D">
        <w:t xml:space="preserve"> </w:t>
      </w:r>
      <w:r w:rsidR="00202F90" w:rsidRPr="0018386D">
        <w:t>W</w:t>
      </w:r>
      <w:r w:rsidRPr="0018386D">
        <w:t>e recommend using th</w:t>
      </w:r>
      <w:r w:rsidR="000C7836" w:rsidRPr="0018386D">
        <w:t>ese</w:t>
      </w:r>
      <w:r w:rsidRPr="0018386D">
        <w:t xml:space="preserve"> factor</w:t>
      </w:r>
      <w:r w:rsidR="0070057D" w:rsidRPr="0018386D">
        <w:t>s</w:t>
      </w:r>
      <w:r w:rsidRPr="0018386D">
        <w:t xml:space="preserve"> only if better quality activity data isn't available.</w:t>
      </w:r>
      <w:r w:rsidR="0F8F0DDE" w:rsidRPr="0018386D">
        <w:t xml:space="preserve"> These emissions factors do not relate to specific products and to ensure an accurate measure of emissions </w:t>
      </w:r>
      <w:r w:rsidR="66360CEF" w:rsidRPr="0018386D">
        <w:t xml:space="preserve">and reflect choices between different products </w:t>
      </w:r>
      <w:r w:rsidR="0F8F0DDE" w:rsidRPr="0018386D">
        <w:t>supplier specific data is required.</w:t>
      </w:r>
    </w:p>
    <w:p w14:paraId="628B5914" w14:textId="45B481B4" w:rsidR="00095D47" w:rsidRPr="0018386D" w:rsidRDefault="009344C5" w:rsidP="00DD3106">
      <w:pPr>
        <w:pStyle w:val="BodyText"/>
      </w:pPr>
      <w:r w:rsidRPr="0018386D">
        <w:t xml:space="preserve">Access the </w:t>
      </w:r>
      <w:r w:rsidR="00E15798" w:rsidRPr="0018386D">
        <w:t>Auckland Council</w:t>
      </w:r>
      <w:r w:rsidRPr="0018386D">
        <w:t xml:space="preserve"> </w:t>
      </w:r>
      <w:r w:rsidRPr="0018386D">
        <w:rPr>
          <w:i/>
          <w:iCs/>
        </w:rPr>
        <w:t>Consumption Emissions Modelling</w:t>
      </w:r>
      <w:r w:rsidRPr="0018386D">
        <w:t xml:space="preserve"> report here: </w:t>
      </w:r>
      <w:hyperlink r:id="rId163" w:history="1">
        <w:r w:rsidRPr="0018386D">
          <w:rPr>
            <w:rStyle w:val="Hyperlink"/>
          </w:rPr>
          <w:t>https://www.knowledgeauckland.org.nz/publications/consumption-emissions-modelling/</w:t>
        </w:r>
      </w:hyperlink>
      <w:r w:rsidRPr="0018386D">
        <w:t xml:space="preserve">. </w:t>
      </w:r>
    </w:p>
    <w:p w14:paraId="01C69E36" w14:textId="77777777" w:rsidR="004611F7" w:rsidRPr="0018386D" w:rsidRDefault="004611F7" w:rsidP="00DD3106">
      <w:pPr>
        <w:pStyle w:val="BodyText"/>
      </w:pPr>
      <w:bookmarkStart w:id="1038" w:name="_Glossary"/>
      <w:bookmarkStart w:id="1039" w:name="_Ref535567662"/>
      <w:bookmarkStart w:id="1040" w:name="_Toc600614"/>
      <w:bookmarkEnd w:id="1038"/>
      <w:r w:rsidRPr="0018386D">
        <w:br w:type="page"/>
      </w:r>
    </w:p>
    <w:p w14:paraId="5108F10F" w14:textId="0BC9AF15" w:rsidR="00F7680D" w:rsidRPr="0018386D" w:rsidRDefault="00F7680D" w:rsidP="00DD3106">
      <w:pPr>
        <w:pStyle w:val="Heading1"/>
      </w:pPr>
      <w:bookmarkStart w:id="1041" w:name="_Glossary_1"/>
      <w:bookmarkStart w:id="1042" w:name="_Toc140048940"/>
      <w:bookmarkEnd w:id="1041"/>
      <w:r w:rsidRPr="0018386D">
        <w:t>Glossary</w:t>
      </w:r>
      <w:bookmarkEnd w:id="1033"/>
      <w:bookmarkEnd w:id="1034"/>
      <w:bookmarkEnd w:id="1035"/>
      <w:bookmarkEnd w:id="1039"/>
      <w:bookmarkEnd w:id="1040"/>
      <w:bookmarkEnd w:id="1042"/>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7"/>
        <w:gridCol w:w="5528"/>
      </w:tblGrid>
      <w:tr w:rsidR="009F740E" w:rsidRPr="0018386D" w14:paraId="7A91ADF7" w14:textId="77777777" w:rsidTr="00462B36">
        <w:tc>
          <w:tcPr>
            <w:tcW w:w="2977" w:type="dxa"/>
            <w:shd w:val="clear" w:color="auto" w:fill="auto"/>
          </w:tcPr>
          <w:p w14:paraId="663A9D14" w14:textId="4EC0298D" w:rsidR="009F740E" w:rsidRPr="0018386D" w:rsidRDefault="009F740E" w:rsidP="00DD3106">
            <w:pPr>
              <w:pStyle w:val="TableText"/>
              <w:jc w:val="left"/>
              <w:rPr>
                <w:b/>
                <w:bCs/>
              </w:rPr>
            </w:pPr>
            <w:r w:rsidRPr="0018386D">
              <w:rPr>
                <w:b/>
                <w:bCs/>
              </w:rPr>
              <w:t>AR4</w:t>
            </w:r>
          </w:p>
        </w:tc>
        <w:tc>
          <w:tcPr>
            <w:tcW w:w="5528" w:type="dxa"/>
          </w:tcPr>
          <w:p w14:paraId="71A8FA27" w14:textId="59016B4E" w:rsidR="009F740E" w:rsidRPr="0018386D" w:rsidRDefault="00E74794" w:rsidP="00DD3106">
            <w:pPr>
              <w:pStyle w:val="TableText"/>
              <w:jc w:val="left"/>
            </w:pPr>
            <w:r w:rsidRPr="0018386D">
              <w:rPr>
                <w:rFonts w:eastAsia="Times New Roman"/>
              </w:rPr>
              <w:t>The IPCC Fourth Assessment Report</w:t>
            </w:r>
          </w:p>
        </w:tc>
      </w:tr>
      <w:tr w:rsidR="009F740E" w:rsidRPr="0018386D" w14:paraId="63730F16" w14:textId="77777777" w:rsidTr="00462B36">
        <w:tc>
          <w:tcPr>
            <w:tcW w:w="2977" w:type="dxa"/>
            <w:shd w:val="clear" w:color="auto" w:fill="auto"/>
          </w:tcPr>
          <w:p w14:paraId="66E13EA5" w14:textId="6E4D98D0" w:rsidR="009F740E" w:rsidRPr="0018386D" w:rsidRDefault="009F740E" w:rsidP="00DD3106">
            <w:pPr>
              <w:pStyle w:val="TableText"/>
              <w:jc w:val="left"/>
              <w:rPr>
                <w:b/>
                <w:bCs/>
              </w:rPr>
            </w:pPr>
            <w:r w:rsidRPr="0018386D">
              <w:rPr>
                <w:b/>
                <w:bCs/>
              </w:rPr>
              <w:t>AR5</w:t>
            </w:r>
          </w:p>
        </w:tc>
        <w:tc>
          <w:tcPr>
            <w:tcW w:w="5528" w:type="dxa"/>
          </w:tcPr>
          <w:p w14:paraId="6A2D35BA" w14:textId="517CB523" w:rsidR="009F740E" w:rsidRPr="0018386D" w:rsidRDefault="00E74794" w:rsidP="00DD3106">
            <w:pPr>
              <w:pStyle w:val="TableText"/>
              <w:jc w:val="left"/>
            </w:pPr>
            <w:r w:rsidRPr="0018386D">
              <w:rPr>
                <w:rFonts w:eastAsia="Times New Roman"/>
              </w:rPr>
              <w:t>The IPCC Fifth Assessment Report</w:t>
            </w:r>
          </w:p>
        </w:tc>
      </w:tr>
      <w:tr w:rsidR="003A0F0C" w:rsidRPr="0018386D" w14:paraId="5160F13E" w14:textId="77777777" w:rsidTr="00462B36">
        <w:tc>
          <w:tcPr>
            <w:tcW w:w="2977" w:type="dxa"/>
            <w:shd w:val="clear" w:color="auto" w:fill="auto"/>
          </w:tcPr>
          <w:p w14:paraId="57CD9B47" w14:textId="281DAD6F" w:rsidR="003A0F0C" w:rsidRPr="0018386D" w:rsidRDefault="003A0F0C" w:rsidP="00DD3106">
            <w:pPr>
              <w:pStyle w:val="TableText"/>
              <w:jc w:val="left"/>
              <w:rPr>
                <w:b/>
                <w:bCs/>
              </w:rPr>
            </w:pPr>
            <w:r w:rsidRPr="0018386D">
              <w:rPr>
                <w:b/>
                <w:bCs/>
              </w:rPr>
              <w:t>Activity data</w:t>
            </w:r>
          </w:p>
        </w:tc>
        <w:tc>
          <w:tcPr>
            <w:tcW w:w="5528" w:type="dxa"/>
          </w:tcPr>
          <w:p w14:paraId="05CAD52E" w14:textId="791AA346" w:rsidR="003A0F0C" w:rsidRPr="0018386D" w:rsidRDefault="003A0F0C" w:rsidP="00DD3106">
            <w:pPr>
              <w:pStyle w:val="TableText"/>
              <w:jc w:val="left"/>
            </w:pPr>
            <w:r w:rsidRPr="0018386D">
              <w:t xml:space="preserve">Data on the magnitude of human activity resulting in emissions or removals taking place during a given period </w:t>
            </w:r>
          </w:p>
        </w:tc>
      </w:tr>
      <w:tr w:rsidR="00F7680D" w:rsidRPr="0018386D" w14:paraId="2921096B" w14:textId="77777777" w:rsidTr="00462B36">
        <w:tc>
          <w:tcPr>
            <w:tcW w:w="2977" w:type="dxa"/>
            <w:shd w:val="clear" w:color="auto" w:fill="auto"/>
          </w:tcPr>
          <w:p w14:paraId="5F14AF94" w14:textId="77777777" w:rsidR="00F7680D" w:rsidRPr="0018386D" w:rsidRDefault="00F7680D" w:rsidP="00DD3106">
            <w:pPr>
              <w:pStyle w:val="TableText"/>
              <w:jc w:val="left"/>
              <w:rPr>
                <w:rFonts w:eastAsia="Calibri"/>
                <w:b/>
                <w:bCs/>
              </w:rPr>
            </w:pPr>
            <w:r w:rsidRPr="0018386D">
              <w:rPr>
                <w:b/>
                <w:bCs/>
              </w:rPr>
              <w:t>Base year</w:t>
            </w:r>
          </w:p>
        </w:tc>
        <w:tc>
          <w:tcPr>
            <w:tcW w:w="5528" w:type="dxa"/>
          </w:tcPr>
          <w:p w14:paraId="37A0A685" w14:textId="77777777" w:rsidR="00F7680D" w:rsidRPr="0018386D" w:rsidRDefault="00F7680D" w:rsidP="00DD3106">
            <w:pPr>
              <w:pStyle w:val="TableText"/>
              <w:jc w:val="left"/>
            </w:pPr>
            <w:r w:rsidRPr="0018386D">
              <w:t>The first year in the reporting series</w:t>
            </w:r>
          </w:p>
        </w:tc>
      </w:tr>
      <w:tr w:rsidR="00F7680D" w:rsidRPr="0018386D" w14:paraId="6F6CA7FC" w14:textId="77777777" w:rsidTr="00462B36">
        <w:tc>
          <w:tcPr>
            <w:tcW w:w="2977" w:type="dxa"/>
            <w:shd w:val="clear" w:color="auto" w:fill="auto"/>
          </w:tcPr>
          <w:p w14:paraId="73732430" w14:textId="77777777" w:rsidR="00F7680D" w:rsidRPr="0018386D" w:rsidRDefault="00F7680D" w:rsidP="00DD3106">
            <w:pPr>
              <w:pStyle w:val="TableText"/>
              <w:jc w:val="left"/>
              <w:rPr>
                <w:b/>
                <w:bCs/>
              </w:rPr>
            </w:pPr>
            <w:r w:rsidRPr="0018386D">
              <w:rPr>
                <w:b/>
                <w:bCs/>
              </w:rPr>
              <w:t>BEV</w:t>
            </w:r>
          </w:p>
        </w:tc>
        <w:tc>
          <w:tcPr>
            <w:tcW w:w="5528" w:type="dxa"/>
          </w:tcPr>
          <w:p w14:paraId="234028DF" w14:textId="77777777" w:rsidR="00F7680D" w:rsidRPr="0018386D" w:rsidRDefault="00F7680D" w:rsidP="00DD3106">
            <w:pPr>
              <w:pStyle w:val="TableText"/>
              <w:jc w:val="left"/>
            </w:pPr>
            <w:r w:rsidRPr="0018386D">
              <w:t>Battery electric vehicle</w:t>
            </w:r>
          </w:p>
        </w:tc>
      </w:tr>
      <w:tr w:rsidR="00F7680D" w:rsidRPr="0018386D" w14:paraId="3C6127D7" w14:textId="77777777" w:rsidTr="00462B36">
        <w:tc>
          <w:tcPr>
            <w:tcW w:w="2977" w:type="dxa"/>
            <w:shd w:val="clear" w:color="auto" w:fill="auto"/>
          </w:tcPr>
          <w:p w14:paraId="3675587F" w14:textId="77777777" w:rsidR="00F7680D" w:rsidRPr="0018386D" w:rsidRDefault="00F7680D" w:rsidP="00DD3106">
            <w:pPr>
              <w:pStyle w:val="TableText"/>
              <w:jc w:val="left"/>
              <w:rPr>
                <w:b/>
                <w:bCs/>
              </w:rPr>
            </w:pPr>
            <w:r w:rsidRPr="0018386D">
              <w:rPr>
                <w:b/>
                <w:bCs/>
              </w:rPr>
              <w:t>Biodiesel</w:t>
            </w:r>
          </w:p>
        </w:tc>
        <w:tc>
          <w:tcPr>
            <w:tcW w:w="5528" w:type="dxa"/>
          </w:tcPr>
          <w:p w14:paraId="4ED0D3FB" w14:textId="0C8F746E" w:rsidR="00F7680D" w:rsidRPr="0018386D" w:rsidRDefault="00F7680D" w:rsidP="00DD3106">
            <w:pPr>
              <w:pStyle w:val="TableText"/>
              <w:jc w:val="left"/>
            </w:pPr>
            <w:r w:rsidRPr="0018386D">
              <w:t>A type of biofuel</w:t>
            </w:r>
            <w:r w:rsidR="00FD24B9" w:rsidRPr="0018386D">
              <w:t xml:space="preserve"> </w:t>
            </w:r>
            <w:proofErr w:type="gramStart"/>
            <w:r w:rsidR="00FD24B9" w:rsidRPr="0018386D">
              <w:t>similar to</w:t>
            </w:r>
            <w:proofErr w:type="gramEnd"/>
            <w:r w:rsidR="00FD24B9" w:rsidRPr="0018386D">
              <w:t xml:space="preserve"> diesel</w:t>
            </w:r>
            <w:r w:rsidR="00A407D8" w:rsidRPr="0018386D">
              <w:t xml:space="preserve"> that is made from natural elements such as plants, vegetables and reusable materials</w:t>
            </w:r>
            <w:r w:rsidR="00FD24B9" w:rsidRPr="0018386D">
              <w:t xml:space="preserve"> </w:t>
            </w:r>
          </w:p>
        </w:tc>
      </w:tr>
      <w:tr w:rsidR="00F7680D" w:rsidRPr="0018386D" w14:paraId="1A868C48" w14:textId="77777777" w:rsidTr="00462B36">
        <w:tc>
          <w:tcPr>
            <w:tcW w:w="2977" w:type="dxa"/>
            <w:shd w:val="clear" w:color="auto" w:fill="auto"/>
          </w:tcPr>
          <w:p w14:paraId="76422CE8" w14:textId="77777777" w:rsidR="00F7680D" w:rsidRPr="0018386D" w:rsidRDefault="00F7680D" w:rsidP="00DD3106">
            <w:pPr>
              <w:pStyle w:val="TableText"/>
              <w:jc w:val="left"/>
              <w:rPr>
                <w:b/>
                <w:bCs/>
              </w:rPr>
            </w:pPr>
            <w:r w:rsidRPr="0018386D">
              <w:rPr>
                <w:b/>
                <w:bCs/>
              </w:rPr>
              <w:t>Bioethanol</w:t>
            </w:r>
          </w:p>
        </w:tc>
        <w:tc>
          <w:tcPr>
            <w:tcW w:w="5528" w:type="dxa"/>
          </w:tcPr>
          <w:p w14:paraId="63C1BD43" w14:textId="206B9E10" w:rsidR="00F7680D" w:rsidRPr="0018386D" w:rsidRDefault="003A0F0C" w:rsidP="00DD3106">
            <w:pPr>
              <w:pStyle w:val="TableText"/>
              <w:jc w:val="left"/>
            </w:pPr>
            <w:r w:rsidRPr="0018386D">
              <w:t xml:space="preserve">A type of biofuel </w:t>
            </w:r>
            <w:proofErr w:type="gramStart"/>
            <w:r w:rsidRPr="0018386D">
              <w:t>similar to</w:t>
            </w:r>
            <w:proofErr w:type="gramEnd"/>
            <w:r w:rsidRPr="0018386D">
              <w:t xml:space="preserve"> ethanol that is made from natural elements such as plants, vegetables and reusable materials</w:t>
            </w:r>
          </w:p>
        </w:tc>
      </w:tr>
      <w:tr w:rsidR="00F7680D" w:rsidRPr="0018386D" w14:paraId="56702B10" w14:textId="77777777" w:rsidTr="00462B36">
        <w:tc>
          <w:tcPr>
            <w:tcW w:w="2977" w:type="dxa"/>
            <w:shd w:val="clear" w:color="auto" w:fill="auto"/>
          </w:tcPr>
          <w:p w14:paraId="36C070F0" w14:textId="77777777" w:rsidR="00F7680D" w:rsidRPr="0018386D" w:rsidRDefault="00F7680D" w:rsidP="00DD3106">
            <w:pPr>
              <w:pStyle w:val="TableText"/>
              <w:jc w:val="left"/>
              <w:rPr>
                <w:b/>
                <w:bCs/>
              </w:rPr>
            </w:pPr>
            <w:r w:rsidRPr="0018386D">
              <w:rPr>
                <w:b/>
                <w:bCs/>
              </w:rPr>
              <w:t>Biofuels</w:t>
            </w:r>
          </w:p>
        </w:tc>
        <w:tc>
          <w:tcPr>
            <w:tcW w:w="5528" w:type="dxa"/>
          </w:tcPr>
          <w:p w14:paraId="0FB9654E" w14:textId="42F36F0F" w:rsidR="00F7680D" w:rsidRPr="0018386D" w:rsidRDefault="003A0F0C" w:rsidP="00DD3106">
            <w:pPr>
              <w:pStyle w:val="TableText"/>
              <w:jc w:val="left"/>
            </w:pPr>
            <w:r w:rsidRPr="0018386D">
              <w:t>Any fuel derived from biomass</w:t>
            </w:r>
          </w:p>
        </w:tc>
      </w:tr>
      <w:tr w:rsidR="00C92EF7" w:rsidRPr="0018386D" w14:paraId="61CCED57" w14:textId="77777777" w:rsidTr="00462B36">
        <w:tc>
          <w:tcPr>
            <w:tcW w:w="2977" w:type="dxa"/>
            <w:shd w:val="clear" w:color="auto" w:fill="auto"/>
          </w:tcPr>
          <w:p w14:paraId="382BE161" w14:textId="77777777" w:rsidR="00C92EF7" w:rsidRPr="0018386D" w:rsidRDefault="00C92EF7" w:rsidP="00DD3106">
            <w:pPr>
              <w:pStyle w:val="TableText"/>
              <w:jc w:val="left"/>
              <w:rPr>
                <w:b/>
                <w:bCs/>
              </w:rPr>
            </w:pPr>
            <w:r w:rsidRPr="0018386D">
              <w:rPr>
                <w:b/>
                <w:bCs/>
              </w:rPr>
              <w:t>Biologically sequestered carbon</w:t>
            </w:r>
          </w:p>
        </w:tc>
        <w:tc>
          <w:tcPr>
            <w:tcW w:w="5528" w:type="dxa"/>
          </w:tcPr>
          <w:p w14:paraId="06721644" w14:textId="77777777" w:rsidR="00C92EF7" w:rsidRPr="0018386D" w:rsidRDefault="00C92EF7" w:rsidP="00DD3106">
            <w:pPr>
              <w:pStyle w:val="TableText"/>
              <w:jc w:val="left"/>
            </w:pPr>
            <w:r w:rsidRPr="0018386D">
              <w:t>The removal of carbon dioxide from the atmosphere and captured by plants and micro-organisms</w:t>
            </w:r>
          </w:p>
        </w:tc>
      </w:tr>
      <w:tr w:rsidR="007F19F9" w:rsidRPr="0018386D" w14:paraId="0ED69538" w14:textId="77777777" w:rsidTr="00462B36">
        <w:tc>
          <w:tcPr>
            <w:tcW w:w="2977" w:type="dxa"/>
            <w:shd w:val="clear" w:color="auto" w:fill="auto"/>
          </w:tcPr>
          <w:p w14:paraId="0EC32B84" w14:textId="0BD01245" w:rsidR="007F19F9" w:rsidRPr="0018386D" w:rsidRDefault="007F19F9" w:rsidP="00DD3106">
            <w:pPr>
              <w:pStyle w:val="TableText"/>
              <w:jc w:val="left"/>
              <w:rPr>
                <w:b/>
                <w:bCs/>
              </w:rPr>
            </w:pPr>
            <w:r w:rsidRPr="0018386D">
              <w:rPr>
                <w:rFonts w:eastAsia="Times New Roman"/>
                <w:b/>
                <w:bCs/>
              </w:rPr>
              <w:t>BOD</w:t>
            </w:r>
          </w:p>
        </w:tc>
        <w:tc>
          <w:tcPr>
            <w:tcW w:w="5528" w:type="dxa"/>
          </w:tcPr>
          <w:p w14:paraId="70693301" w14:textId="497FBC4C" w:rsidR="007F19F9" w:rsidRPr="0018386D" w:rsidRDefault="007F19F9" w:rsidP="00DD3106">
            <w:pPr>
              <w:pStyle w:val="TableText"/>
              <w:jc w:val="left"/>
            </w:pPr>
            <w:r w:rsidRPr="0018386D">
              <w:rPr>
                <w:rFonts w:eastAsia="Times New Roman"/>
              </w:rPr>
              <w:t>Biological oxygen demand, the amount of dissolved oxygen needed</w:t>
            </w:r>
            <w:r w:rsidR="003033FC" w:rsidRPr="0018386D">
              <w:rPr>
                <w:rFonts w:eastAsia="Times New Roman"/>
              </w:rPr>
              <w:t> </w:t>
            </w:r>
            <w:r w:rsidRPr="0018386D">
              <w:rPr>
                <w:rFonts w:eastAsia="Times New Roman"/>
              </w:rPr>
              <w:t>by micro-organisms to break down biological organic matter in water</w:t>
            </w:r>
          </w:p>
        </w:tc>
      </w:tr>
      <w:tr w:rsidR="003A468C" w:rsidRPr="0018386D" w14:paraId="437C4F69" w14:textId="77777777" w:rsidTr="00462B36">
        <w:tc>
          <w:tcPr>
            <w:tcW w:w="2977" w:type="dxa"/>
            <w:shd w:val="clear" w:color="auto" w:fill="auto"/>
          </w:tcPr>
          <w:p w14:paraId="5B27A39A" w14:textId="3AFC1D51" w:rsidR="003A468C" w:rsidRPr="0018386D" w:rsidRDefault="003A468C" w:rsidP="00DD3106">
            <w:pPr>
              <w:pStyle w:val="TableText"/>
              <w:jc w:val="left"/>
              <w:rPr>
                <w:rFonts w:eastAsia="Times New Roman"/>
                <w:b/>
                <w:bCs/>
              </w:rPr>
            </w:pPr>
            <w:r w:rsidRPr="0018386D">
              <w:rPr>
                <w:rFonts w:eastAsia="Times New Roman"/>
                <w:b/>
                <w:bCs/>
              </w:rPr>
              <w:t>BRANZ</w:t>
            </w:r>
          </w:p>
        </w:tc>
        <w:tc>
          <w:tcPr>
            <w:tcW w:w="5528" w:type="dxa"/>
          </w:tcPr>
          <w:p w14:paraId="1ABC43A8" w14:textId="1223A4B0" w:rsidR="003A468C" w:rsidRPr="0018386D" w:rsidRDefault="003A468C" w:rsidP="00DD3106">
            <w:pPr>
              <w:pStyle w:val="TableText"/>
              <w:jc w:val="left"/>
              <w:rPr>
                <w:rFonts w:eastAsia="Times New Roman"/>
              </w:rPr>
            </w:pPr>
            <w:r w:rsidRPr="0018386D">
              <w:t>Building Research Association of New Zealand</w:t>
            </w:r>
          </w:p>
        </w:tc>
      </w:tr>
      <w:tr w:rsidR="007F19F9" w:rsidRPr="0018386D" w14:paraId="22903A16" w14:textId="77777777" w:rsidTr="00462B36">
        <w:tc>
          <w:tcPr>
            <w:tcW w:w="2977" w:type="dxa"/>
            <w:shd w:val="clear" w:color="auto" w:fill="auto"/>
          </w:tcPr>
          <w:p w14:paraId="580A00D5" w14:textId="77777777" w:rsidR="007F19F9" w:rsidRPr="0018386D" w:rsidRDefault="007F19F9" w:rsidP="00DD3106">
            <w:pPr>
              <w:pStyle w:val="TableText"/>
              <w:jc w:val="left"/>
              <w:rPr>
                <w:b/>
                <w:bCs/>
              </w:rPr>
            </w:pPr>
            <w:r w:rsidRPr="0018386D">
              <w:rPr>
                <w:b/>
                <w:bCs/>
              </w:rPr>
              <w:t>Carbon sink</w:t>
            </w:r>
          </w:p>
        </w:tc>
        <w:tc>
          <w:tcPr>
            <w:tcW w:w="5528" w:type="dxa"/>
          </w:tcPr>
          <w:p w14:paraId="12CECCB7" w14:textId="1F662ABB" w:rsidR="007F19F9" w:rsidRPr="0018386D" w:rsidRDefault="007F19F9" w:rsidP="00DD3106">
            <w:pPr>
              <w:pStyle w:val="TableText"/>
              <w:jc w:val="left"/>
            </w:pPr>
            <w:r w:rsidRPr="0018386D">
              <w:t xml:space="preserve">A natural or artificial </w:t>
            </w:r>
            <w:r w:rsidR="00CA2CF7" w:rsidRPr="0018386D">
              <w:t>process</w:t>
            </w:r>
            <w:r w:rsidR="0085498A" w:rsidRPr="0018386D">
              <w:t xml:space="preserve"> </w:t>
            </w:r>
            <w:r w:rsidRPr="0018386D">
              <w:t xml:space="preserve">that </w:t>
            </w:r>
            <w:r w:rsidR="00CA2CF7" w:rsidRPr="0018386D">
              <w:t xml:space="preserve">removes </w:t>
            </w:r>
            <w:r w:rsidRPr="0018386D">
              <w:t>carbon from the atmosphere</w:t>
            </w:r>
          </w:p>
        </w:tc>
      </w:tr>
      <w:tr w:rsidR="00AD348A" w:rsidRPr="0018386D" w14:paraId="6E67D670" w14:textId="77777777" w:rsidTr="00462B36">
        <w:tc>
          <w:tcPr>
            <w:tcW w:w="2977" w:type="dxa"/>
            <w:shd w:val="clear" w:color="auto" w:fill="auto"/>
          </w:tcPr>
          <w:p w14:paraId="408CBA90" w14:textId="0185A474" w:rsidR="00AD348A" w:rsidRPr="0018386D" w:rsidRDefault="00AD348A" w:rsidP="00DD3106">
            <w:pPr>
              <w:pStyle w:val="TableText"/>
              <w:jc w:val="left"/>
              <w:rPr>
                <w:b/>
                <w:bCs/>
              </w:rPr>
            </w:pPr>
            <w:r w:rsidRPr="0018386D">
              <w:rPr>
                <w:b/>
                <w:bCs/>
              </w:rPr>
              <w:t>CH</w:t>
            </w:r>
            <w:r w:rsidRPr="0018386D">
              <w:rPr>
                <w:b/>
                <w:bCs/>
                <w:vertAlign w:val="subscript"/>
              </w:rPr>
              <w:t>4</w:t>
            </w:r>
          </w:p>
        </w:tc>
        <w:tc>
          <w:tcPr>
            <w:tcW w:w="5528" w:type="dxa"/>
          </w:tcPr>
          <w:p w14:paraId="71DE0B63" w14:textId="04B99E89" w:rsidR="00AD348A" w:rsidRPr="0018386D" w:rsidRDefault="00AD348A" w:rsidP="00DD3106">
            <w:pPr>
              <w:pStyle w:val="TableText"/>
              <w:jc w:val="left"/>
            </w:pPr>
            <w:r w:rsidRPr="0018386D">
              <w:t>Methane</w:t>
            </w:r>
          </w:p>
        </w:tc>
      </w:tr>
      <w:tr w:rsidR="003B2D15" w:rsidRPr="0018386D" w14:paraId="4C88CFE6" w14:textId="77777777" w:rsidTr="00462B36">
        <w:tc>
          <w:tcPr>
            <w:tcW w:w="2977" w:type="dxa"/>
            <w:shd w:val="clear" w:color="auto" w:fill="auto"/>
          </w:tcPr>
          <w:p w14:paraId="7C191925" w14:textId="0A295D9E" w:rsidR="003B2D15" w:rsidRPr="0018386D" w:rsidRDefault="003B2D15" w:rsidP="00DD3106">
            <w:pPr>
              <w:pStyle w:val="TableText"/>
              <w:jc w:val="left"/>
              <w:rPr>
                <w:b/>
                <w:bCs/>
              </w:rPr>
            </w:pPr>
            <w:r w:rsidRPr="0018386D">
              <w:rPr>
                <w:b/>
                <w:bCs/>
              </w:rPr>
              <w:t>CFCs</w:t>
            </w:r>
          </w:p>
        </w:tc>
        <w:tc>
          <w:tcPr>
            <w:tcW w:w="5528" w:type="dxa"/>
          </w:tcPr>
          <w:p w14:paraId="69E68BA9" w14:textId="6FA0551D" w:rsidR="003B2D15" w:rsidRPr="0018386D" w:rsidRDefault="003B2D15" w:rsidP="00DD3106">
            <w:pPr>
              <w:pStyle w:val="TableText"/>
              <w:jc w:val="left"/>
            </w:pPr>
            <w:r w:rsidRPr="0018386D">
              <w:t>Chlorofluorocarbons</w:t>
            </w:r>
          </w:p>
        </w:tc>
      </w:tr>
      <w:tr w:rsidR="002160A8" w:rsidRPr="0018386D" w14:paraId="4FB3A38D" w14:textId="77777777" w:rsidTr="00462B36">
        <w:tc>
          <w:tcPr>
            <w:tcW w:w="2977" w:type="dxa"/>
            <w:shd w:val="clear" w:color="auto" w:fill="auto"/>
          </w:tcPr>
          <w:p w14:paraId="3D875430" w14:textId="2C0631F8" w:rsidR="002160A8" w:rsidRPr="0018386D" w:rsidRDefault="002160A8" w:rsidP="00DD3106">
            <w:pPr>
              <w:pStyle w:val="TableText"/>
              <w:jc w:val="left"/>
              <w:rPr>
                <w:b/>
                <w:bCs/>
              </w:rPr>
            </w:pPr>
            <w:r w:rsidRPr="0018386D">
              <w:rPr>
                <w:b/>
                <w:bCs/>
              </w:rPr>
              <w:t>CO</w:t>
            </w:r>
            <w:r w:rsidRPr="0018386D">
              <w:rPr>
                <w:b/>
                <w:bCs/>
                <w:vertAlign w:val="subscript"/>
              </w:rPr>
              <w:t>2</w:t>
            </w:r>
          </w:p>
        </w:tc>
        <w:tc>
          <w:tcPr>
            <w:tcW w:w="5528" w:type="dxa"/>
          </w:tcPr>
          <w:p w14:paraId="0BB59221" w14:textId="3652445F" w:rsidR="002160A8" w:rsidRPr="0018386D" w:rsidRDefault="002160A8" w:rsidP="00DD3106">
            <w:pPr>
              <w:pStyle w:val="TableText"/>
              <w:jc w:val="left"/>
            </w:pPr>
            <w:r w:rsidRPr="0018386D">
              <w:t>Carbon dioxide</w:t>
            </w:r>
          </w:p>
        </w:tc>
      </w:tr>
      <w:tr w:rsidR="007F19F9" w:rsidRPr="0018386D" w14:paraId="4650FA51" w14:textId="77777777" w:rsidTr="00462B36">
        <w:tc>
          <w:tcPr>
            <w:tcW w:w="2977" w:type="dxa"/>
            <w:shd w:val="clear" w:color="auto" w:fill="auto"/>
          </w:tcPr>
          <w:p w14:paraId="12111AE9" w14:textId="3A08630F" w:rsidR="007F19F9" w:rsidRPr="0018386D" w:rsidRDefault="007F19F9" w:rsidP="00DD3106">
            <w:pPr>
              <w:pStyle w:val="TableText"/>
              <w:jc w:val="left"/>
              <w:rPr>
                <w:b/>
                <w:bCs/>
              </w:rPr>
            </w:pPr>
            <w:r w:rsidRPr="0018386D">
              <w:rPr>
                <w:b/>
                <w:bCs/>
              </w:rPr>
              <w:t>CO</w:t>
            </w:r>
            <w:r w:rsidRPr="0018386D">
              <w:rPr>
                <w:b/>
                <w:bCs/>
                <w:vertAlign w:val="subscript"/>
              </w:rPr>
              <w:t>2</w:t>
            </w:r>
            <w:r w:rsidRPr="0018386D">
              <w:rPr>
                <w:b/>
                <w:bCs/>
              </w:rPr>
              <w:t>-e</w:t>
            </w:r>
          </w:p>
        </w:tc>
        <w:tc>
          <w:tcPr>
            <w:tcW w:w="5528" w:type="dxa"/>
          </w:tcPr>
          <w:p w14:paraId="354229F9" w14:textId="2A7ABB73" w:rsidR="007F19F9" w:rsidRPr="0018386D" w:rsidRDefault="007F19F9" w:rsidP="00DD3106">
            <w:pPr>
              <w:pStyle w:val="TableText"/>
              <w:jc w:val="left"/>
            </w:pPr>
            <w:r w:rsidRPr="0018386D">
              <w:t>Carbon dioxide equivalent</w:t>
            </w:r>
          </w:p>
        </w:tc>
      </w:tr>
      <w:tr w:rsidR="007F19F9" w:rsidRPr="0018386D" w14:paraId="19E22F50" w14:textId="77777777" w:rsidTr="00462B36">
        <w:tc>
          <w:tcPr>
            <w:tcW w:w="2977" w:type="dxa"/>
            <w:shd w:val="clear" w:color="auto" w:fill="auto"/>
          </w:tcPr>
          <w:p w14:paraId="2B9FCC7E" w14:textId="77777777" w:rsidR="007F19F9" w:rsidRPr="0018386D" w:rsidRDefault="007F19F9" w:rsidP="00DD3106">
            <w:pPr>
              <w:pStyle w:val="TableText"/>
              <w:jc w:val="left"/>
              <w:rPr>
                <w:b/>
                <w:bCs/>
              </w:rPr>
            </w:pPr>
            <w:r w:rsidRPr="0018386D">
              <w:rPr>
                <w:b/>
                <w:bCs/>
              </w:rPr>
              <w:t>COD</w:t>
            </w:r>
          </w:p>
        </w:tc>
        <w:tc>
          <w:tcPr>
            <w:tcW w:w="5528" w:type="dxa"/>
          </w:tcPr>
          <w:p w14:paraId="2C74DA29" w14:textId="0BDD7FFF" w:rsidR="007F19F9" w:rsidRPr="0018386D" w:rsidRDefault="007F19F9" w:rsidP="00DD3106">
            <w:pPr>
              <w:pStyle w:val="TableText"/>
              <w:jc w:val="left"/>
            </w:pPr>
            <w:r w:rsidRPr="0018386D">
              <w:t>Chemical oxygen demand</w:t>
            </w:r>
          </w:p>
        </w:tc>
      </w:tr>
      <w:tr w:rsidR="001E5FF4" w:rsidRPr="0018386D" w14:paraId="426652FC" w14:textId="77777777" w:rsidTr="00462B36">
        <w:tc>
          <w:tcPr>
            <w:tcW w:w="2977" w:type="dxa"/>
            <w:shd w:val="clear" w:color="auto" w:fill="auto"/>
          </w:tcPr>
          <w:p w14:paraId="6035866A" w14:textId="2C13BC4E" w:rsidR="001E5FF4" w:rsidRPr="0018386D" w:rsidRDefault="001E5FF4" w:rsidP="00DD3106">
            <w:pPr>
              <w:pStyle w:val="TableText"/>
              <w:jc w:val="left"/>
              <w:rPr>
                <w:b/>
                <w:bCs/>
              </w:rPr>
            </w:pPr>
            <w:r w:rsidRPr="0018386D">
              <w:rPr>
                <w:b/>
                <w:bCs/>
              </w:rPr>
              <w:t>CHSB</w:t>
            </w:r>
          </w:p>
        </w:tc>
        <w:tc>
          <w:tcPr>
            <w:tcW w:w="5528" w:type="dxa"/>
          </w:tcPr>
          <w:p w14:paraId="007277B0" w14:textId="22C15D1C" w:rsidR="001E5FF4" w:rsidRPr="0018386D" w:rsidRDefault="001E5FF4" w:rsidP="00DD3106">
            <w:pPr>
              <w:pStyle w:val="TableText"/>
              <w:jc w:val="left"/>
            </w:pPr>
            <w:r w:rsidRPr="0018386D">
              <w:t>The Cornell Hotel Sustainability Benchmarking Index Tool</w:t>
            </w:r>
          </w:p>
        </w:tc>
      </w:tr>
      <w:tr w:rsidR="007F19F9" w:rsidRPr="0018386D" w14:paraId="49F51B6B" w14:textId="77777777" w:rsidTr="00462B36">
        <w:tc>
          <w:tcPr>
            <w:tcW w:w="2977" w:type="dxa"/>
            <w:shd w:val="clear" w:color="auto" w:fill="auto"/>
          </w:tcPr>
          <w:p w14:paraId="153DD06E" w14:textId="77777777" w:rsidR="007F19F9" w:rsidRPr="0018386D" w:rsidRDefault="007F19F9" w:rsidP="00DD3106">
            <w:pPr>
              <w:pStyle w:val="TableText"/>
              <w:jc w:val="left"/>
              <w:rPr>
                <w:b/>
                <w:bCs/>
                <w:i/>
              </w:rPr>
            </w:pPr>
            <w:r w:rsidRPr="0018386D">
              <w:rPr>
                <w:b/>
                <w:bCs/>
                <w:i/>
              </w:rPr>
              <w:t>De minimis</w:t>
            </w:r>
          </w:p>
        </w:tc>
        <w:tc>
          <w:tcPr>
            <w:tcW w:w="5528" w:type="dxa"/>
          </w:tcPr>
          <w:p w14:paraId="7F71C08F" w14:textId="1E18C70A" w:rsidR="007F19F9" w:rsidRPr="0018386D" w:rsidRDefault="007E43BE" w:rsidP="00DD3106">
            <w:pPr>
              <w:pStyle w:val="TableText"/>
              <w:jc w:val="left"/>
            </w:pPr>
            <w:r w:rsidRPr="0018386D">
              <w:t>A permissible quantity of emissions that a company can leave out of its inventory, based on an</w:t>
            </w:r>
            <w:r w:rsidR="007F19F9" w:rsidRPr="0018386D">
              <w:t xml:space="preserve"> insignificant</w:t>
            </w:r>
            <w:r w:rsidR="007F19F9" w:rsidRPr="0018386D" w:rsidDel="0019482A">
              <w:t xml:space="preserve"> </w:t>
            </w:r>
            <w:r w:rsidR="007F19F9" w:rsidRPr="0018386D">
              <w:t xml:space="preserve">GHG </w:t>
            </w:r>
            <w:r w:rsidR="0019482A" w:rsidRPr="0018386D">
              <w:t xml:space="preserve">contribution, </w:t>
            </w:r>
            <w:r w:rsidR="007F19F9" w:rsidRPr="0018386D">
              <w:t>usually &lt;1</w:t>
            </w:r>
            <w:r w:rsidR="00703485" w:rsidRPr="0018386D">
              <w:t> </w:t>
            </w:r>
            <w:r w:rsidR="001E54E9" w:rsidRPr="0018386D">
              <w:t>per cent</w:t>
            </w:r>
            <w:r w:rsidR="007F19F9" w:rsidRPr="0018386D">
              <w:t xml:space="preserve"> of an organisation’s total inventory for an individual emissions source.</w:t>
            </w:r>
            <w:r w:rsidR="0019482A" w:rsidRPr="0018386D">
              <w:t xml:space="preserve"> The threshold </w:t>
            </w:r>
            <w:r w:rsidR="004A04F3" w:rsidRPr="0018386D">
              <w:t>is</w:t>
            </w:r>
            <w:r w:rsidR="004C3308" w:rsidRPr="0018386D">
              <w:t xml:space="preserve"> </w:t>
            </w:r>
            <w:r w:rsidRPr="0018386D">
              <w:t xml:space="preserve">defined by the </w:t>
            </w:r>
            <w:r w:rsidR="004A04F3" w:rsidRPr="0018386D">
              <w:t>organisation.</w:t>
            </w:r>
          </w:p>
        </w:tc>
      </w:tr>
      <w:tr w:rsidR="007F19F9" w:rsidRPr="0018386D" w14:paraId="4DE8E45B" w14:textId="77777777" w:rsidTr="00462B36">
        <w:tc>
          <w:tcPr>
            <w:tcW w:w="2977" w:type="dxa"/>
            <w:shd w:val="clear" w:color="auto" w:fill="auto"/>
          </w:tcPr>
          <w:p w14:paraId="08A3FF53" w14:textId="632C481F" w:rsidR="007F19F9" w:rsidRPr="0018386D" w:rsidRDefault="007F19F9" w:rsidP="00DD3106">
            <w:pPr>
              <w:pStyle w:val="TableText"/>
              <w:jc w:val="left"/>
              <w:rPr>
                <w:b/>
                <w:bCs/>
              </w:rPr>
            </w:pPr>
            <w:r w:rsidRPr="0018386D">
              <w:rPr>
                <w:b/>
                <w:bCs/>
              </w:rPr>
              <w:t>Deforestation</w:t>
            </w:r>
          </w:p>
        </w:tc>
        <w:tc>
          <w:tcPr>
            <w:tcW w:w="5528" w:type="dxa"/>
          </w:tcPr>
          <w:p w14:paraId="1686D6BE" w14:textId="11747DD0" w:rsidR="007F19F9" w:rsidRPr="0018386D" w:rsidRDefault="007F19F9" w:rsidP="00DD3106">
            <w:pPr>
              <w:pStyle w:val="TableText"/>
              <w:jc w:val="left"/>
            </w:pPr>
            <w:r w:rsidRPr="0018386D">
              <w:t xml:space="preserve">The clearing </w:t>
            </w:r>
            <w:r w:rsidR="007567BB" w:rsidRPr="0018386D">
              <w:t>of forest land that is then converted to a non-forest land use</w:t>
            </w:r>
          </w:p>
        </w:tc>
      </w:tr>
      <w:tr w:rsidR="00264E7F" w:rsidRPr="0018386D" w14:paraId="08871F57" w14:textId="77777777" w:rsidTr="00462B36">
        <w:tc>
          <w:tcPr>
            <w:tcW w:w="2977" w:type="dxa"/>
            <w:shd w:val="clear" w:color="auto" w:fill="auto"/>
          </w:tcPr>
          <w:p w14:paraId="638332AD" w14:textId="6E71675A" w:rsidR="00264E7F" w:rsidRPr="0018386D" w:rsidRDefault="00264E7F" w:rsidP="00DD3106">
            <w:pPr>
              <w:pStyle w:val="TableText"/>
              <w:jc w:val="left"/>
              <w:rPr>
                <w:b/>
                <w:bCs/>
              </w:rPr>
            </w:pPr>
            <w:r w:rsidRPr="0018386D">
              <w:rPr>
                <w:b/>
                <w:bCs/>
              </w:rPr>
              <w:t>EECA</w:t>
            </w:r>
          </w:p>
        </w:tc>
        <w:tc>
          <w:tcPr>
            <w:tcW w:w="5528" w:type="dxa"/>
          </w:tcPr>
          <w:p w14:paraId="3B3C048B" w14:textId="5553E534" w:rsidR="00264E7F" w:rsidRPr="0018386D" w:rsidRDefault="00264E7F" w:rsidP="00DD3106">
            <w:pPr>
              <w:pStyle w:val="TableText"/>
              <w:jc w:val="left"/>
            </w:pPr>
            <w:r w:rsidRPr="0018386D">
              <w:t>Energy Efficiency and Conservation Authority</w:t>
            </w:r>
          </w:p>
        </w:tc>
      </w:tr>
      <w:tr w:rsidR="007F19F9" w:rsidRPr="0018386D" w14:paraId="67EAB18F" w14:textId="77777777" w:rsidTr="00462B36">
        <w:tc>
          <w:tcPr>
            <w:tcW w:w="2977" w:type="dxa"/>
            <w:shd w:val="clear" w:color="auto" w:fill="auto"/>
          </w:tcPr>
          <w:p w14:paraId="5B29C03F" w14:textId="77777777" w:rsidR="007F19F9" w:rsidRPr="0018386D" w:rsidRDefault="007F19F9" w:rsidP="00DD3106">
            <w:pPr>
              <w:pStyle w:val="TableText"/>
              <w:jc w:val="left"/>
              <w:rPr>
                <w:b/>
                <w:bCs/>
              </w:rPr>
            </w:pPr>
            <w:r w:rsidRPr="0018386D">
              <w:rPr>
                <w:b/>
                <w:bCs/>
              </w:rPr>
              <w:t>Emission factor</w:t>
            </w:r>
          </w:p>
        </w:tc>
        <w:tc>
          <w:tcPr>
            <w:tcW w:w="5528" w:type="dxa"/>
          </w:tcPr>
          <w:p w14:paraId="6BC10BB3" w14:textId="6A132FDF" w:rsidR="007F19F9" w:rsidRPr="0018386D" w:rsidRDefault="0085498A" w:rsidP="00DD3106">
            <w:pPr>
              <w:pStyle w:val="TableText"/>
              <w:jc w:val="left"/>
            </w:pPr>
            <w:r w:rsidRPr="0018386D">
              <w:t>A coefficient that quantifies the emissions or removals of a gas per unit activity</w:t>
            </w:r>
          </w:p>
        </w:tc>
      </w:tr>
      <w:tr w:rsidR="007F19F9" w:rsidRPr="0018386D" w14:paraId="2CF0403D" w14:textId="77777777" w:rsidTr="00462B36">
        <w:tc>
          <w:tcPr>
            <w:tcW w:w="2977" w:type="dxa"/>
            <w:shd w:val="clear" w:color="auto" w:fill="auto"/>
          </w:tcPr>
          <w:p w14:paraId="31AAAB91" w14:textId="77777777" w:rsidR="007F19F9" w:rsidRPr="0018386D" w:rsidRDefault="007F19F9" w:rsidP="00DD3106">
            <w:pPr>
              <w:pStyle w:val="TableText"/>
              <w:jc w:val="left"/>
              <w:rPr>
                <w:b/>
                <w:bCs/>
              </w:rPr>
            </w:pPr>
            <w:r w:rsidRPr="0018386D">
              <w:rPr>
                <w:b/>
                <w:bCs/>
              </w:rPr>
              <w:t>Enteric fermentation</w:t>
            </w:r>
          </w:p>
        </w:tc>
        <w:tc>
          <w:tcPr>
            <w:tcW w:w="5528" w:type="dxa"/>
          </w:tcPr>
          <w:p w14:paraId="7B84B3BC" w14:textId="3B9B687C" w:rsidR="007F19F9" w:rsidRPr="0018386D" w:rsidRDefault="007F19F9" w:rsidP="00DD3106">
            <w:pPr>
              <w:pStyle w:val="TableText"/>
              <w:jc w:val="left"/>
            </w:pPr>
            <w:r w:rsidRPr="0018386D">
              <w:t>The process by which ruminant animals digest feed and produce methane</w:t>
            </w:r>
          </w:p>
        </w:tc>
      </w:tr>
      <w:tr w:rsidR="007567BB" w:rsidRPr="0018386D" w14:paraId="0B31845D" w14:textId="77777777" w:rsidTr="00462B36">
        <w:tc>
          <w:tcPr>
            <w:tcW w:w="2977" w:type="dxa"/>
            <w:shd w:val="clear" w:color="auto" w:fill="auto"/>
          </w:tcPr>
          <w:p w14:paraId="1EBD5D3E" w14:textId="70783FFA" w:rsidR="007567BB" w:rsidRPr="0018386D" w:rsidRDefault="007567BB" w:rsidP="00DD3106">
            <w:pPr>
              <w:pStyle w:val="TableText"/>
              <w:jc w:val="left"/>
              <w:rPr>
                <w:b/>
                <w:bCs/>
              </w:rPr>
            </w:pPr>
            <w:r w:rsidRPr="0018386D">
              <w:rPr>
                <w:b/>
                <w:bCs/>
              </w:rPr>
              <w:t>Forest land</w:t>
            </w:r>
          </w:p>
        </w:tc>
        <w:tc>
          <w:tcPr>
            <w:tcW w:w="5528" w:type="dxa"/>
          </w:tcPr>
          <w:p w14:paraId="61AED515" w14:textId="756BE0C5" w:rsidR="007567BB" w:rsidRPr="0018386D" w:rsidRDefault="00F739D9" w:rsidP="00DD3106">
            <w:pPr>
              <w:pStyle w:val="TableText"/>
              <w:jc w:val="left"/>
            </w:pPr>
            <w:r w:rsidRPr="0018386D">
              <w:t>Land containing tree</w:t>
            </w:r>
            <w:r w:rsidR="007567BB" w:rsidRPr="0018386D">
              <w:t xml:space="preserve"> species that will reach a height of at least 5</w:t>
            </w:r>
            <w:r w:rsidR="003033FC" w:rsidRPr="0018386D">
              <w:t> </w:t>
            </w:r>
            <w:r w:rsidR="007567BB" w:rsidRPr="0018386D">
              <w:t>meters, with a canopy cover of at least 30% and be of at least 1</w:t>
            </w:r>
            <w:r w:rsidR="003033FC" w:rsidRPr="0018386D">
              <w:t> </w:t>
            </w:r>
            <w:r w:rsidR="007567BB" w:rsidRPr="0018386D">
              <w:t>hectare in size</w:t>
            </w:r>
          </w:p>
        </w:tc>
      </w:tr>
      <w:tr w:rsidR="00BD5274" w:rsidRPr="0018386D" w14:paraId="51B452A9" w14:textId="77777777" w:rsidTr="00462B36">
        <w:tc>
          <w:tcPr>
            <w:tcW w:w="2977" w:type="dxa"/>
            <w:shd w:val="clear" w:color="auto" w:fill="auto"/>
          </w:tcPr>
          <w:p w14:paraId="53030F3C" w14:textId="7847D76C" w:rsidR="00BD5274" w:rsidRPr="0018386D" w:rsidRDefault="00BD5274" w:rsidP="00DD3106">
            <w:pPr>
              <w:pStyle w:val="TableText"/>
              <w:jc w:val="left"/>
              <w:rPr>
                <w:b/>
                <w:bCs/>
              </w:rPr>
            </w:pPr>
            <w:r w:rsidRPr="0018386D">
              <w:rPr>
                <w:rFonts w:eastAsia="Times New Roman"/>
                <w:b/>
                <w:bCs/>
              </w:rPr>
              <w:t>Fugitive emissions</w:t>
            </w:r>
          </w:p>
        </w:tc>
        <w:tc>
          <w:tcPr>
            <w:tcW w:w="5528" w:type="dxa"/>
          </w:tcPr>
          <w:p w14:paraId="376C52E1" w14:textId="77203E72" w:rsidR="00BD5274" w:rsidRPr="0018386D" w:rsidRDefault="00BD5274" w:rsidP="00DD3106">
            <w:pPr>
              <w:pStyle w:val="TableText"/>
              <w:jc w:val="left"/>
            </w:pPr>
            <w:r w:rsidRPr="0018386D">
              <w:rPr>
                <w:rFonts w:eastAsia="Times New Roman"/>
              </w:rPr>
              <w:t>The emission of gases from pressurised equipment due to leaks or unintended releases of gases, usually from industrial activities</w:t>
            </w:r>
          </w:p>
        </w:tc>
      </w:tr>
      <w:tr w:rsidR="00BD5274" w:rsidRPr="0018386D" w14:paraId="708DE975" w14:textId="77777777" w:rsidTr="00462B36">
        <w:tc>
          <w:tcPr>
            <w:tcW w:w="2977" w:type="dxa"/>
            <w:shd w:val="clear" w:color="auto" w:fill="auto"/>
          </w:tcPr>
          <w:p w14:paraId="17DD3144" w14:textId="77777777" w:rsidR="00BD5274" w:rsidRPr="0018386D" w:rsidRDefault="00BD5274" w:rsidP="00DD3106">
            <w:pPr>
              <w:pStyle w:val="TableText"/>
              <w:jc w:val="left"/>
              <w:rPr>
                <w:b/>
                <w:bCs/>
              </w:rPr>
            </w:pPr>
            <w:r w:rsidRPr="0018386D">
              <w:rPr>
                <w:b/>
                <w:bCs/>
              </w:rPr>
              <w:t>GHG</w:t>
            </w:r>
          </w:p>
        </w:tc>
        <w:tc>
          <w:tcPr>
            <w:tcW w:w="5528" w:type="dxa"/>
          </w:tcPr>
          <w:p w14:paraId="1BB7ADA9" w14:textId="77777777" w:rsidR="00BD5274" w:rsidRPr="0018386D" w:rsidRDefault="00BD5274" w:rsidP="00DD3106">
            <w:pPr>
              <w:pStyle w:val="TableText"/>
              <w:jc w:val="left"/>
            </w:pPr>
            <w:r w:rsidRPr="0018386D">
              <w:t>Greenhouse gas</w:t>
            </w:r>
          </w:p>
        </w:tc>
      </w:tr>
      <w:tr w:rsidR="00C92EF7" w:rsidRPr="0018386D" w14:paraId="4F6C32FE" w14:textId="77777777" w:rsidTr="00462B36">
        <w:tc>
          <w:tcPr>
            <w:tcW w:w="2977" w:type="dxa"/>
            <w:shd w:val="clear" w:color="auto" w:fill="auto"/>
          </w:tcPr>
          <w:p w14:paraId="29F8BCE4" w14:textId="77777777" w:rsidR="00C92EF7" w:rsidRPr="0018386D" w:rsidRDefault="00C92EF7" w:rsidP="00DD3106">
            <w:pPr>
              <w:pStyle w:val="TableText"/>
              <w:jc w:val="left"/>
              <w:rPr>
                <w:b/>
                <w:bCs/>
              </w:rPr>
            </w:pPr>
            <w:r w:rsidRPr="0018386D">
              <w:rPr>
                <w:b/>
                <w:bCs/>
              </w:rPr>
              <w:t>GHG inventory</w:t>
            </w:r>
          </w:p>
        </w:tc>
        <w:tc>
          <w:tcPr>
            <w:tcW w:w="5528" w:type="dxa"/>
          </w:tcPr>
          <w:p w14:paraId="467346B4" w14:textId="77777777" w:rsidR="00C92EF7" w:rsidRPr="0018386D" w:rsidRDefault="00C92EF7" w:rsidP="00DD3106">
            <w:pPr>
              <w:pStyle w:val="TableText"/>
              <w:jc w:val="left"/>
            </w:pPr>
            <w:r w:rsidRPr="0018386D">
              <w:t xml:space="preserve">A quantification of an organisation’s greenhouse gas sources, sinks, </w:t>
            </w:r>
            <w:proofErr w:type="gramStart"/>
            <w:r w:rsidRPr="0018386D">
              <w:t>emissions</w:t>
            </w:r>
            <w:proofErr w:type="gramEnd"/>
            <w:r w:rsidRPr="0018386D">
              <w:t xml:space="preserve"> and removals </w:t>
            </w:r>
          </w:p>
        </w:tc>
      </w:tr>
      <w:tr w:rsidR="00BD5274" w:rsidRPr="0018386D" w14:paraId="7ED3ACA6" w14:textId="77777777" w:rsidTr="00462B36">
        <w:tc>
          <w:tcPr>
            <w:tcW w:w="2977" w:type="dxa"/>
            <w:shd w:val="clear" w:color="auto" w:fill="auto"/>
          </w:tcPr>
          <w:p w14:paraId="0F422F22" w14:textId="77777777" w:rsidR="00BD5274" w:rsidRPr="0018386D" w:rsidRDefault="00BD5274" w:rsidP="00DD3106">
            <w:pPr>
              <w:pStyle w:val="TableText"/>
              <w:jc w:val="left"/>
              <w:rPr>
                <w:b/>
                <w:bCs/>
              </w:rPr>
            </w:pPr>
            <w:r w:rsidRPr="0018386D">
              <w:rPr>
                <w:b/>
                <w:bCs/>
              </w:rPr>
              <w:t>GHG Protocol</w:t>
            </w:r>
          </w:p>
        </w:tc>
        <w:tc>
          <w:tcPr>
            <w:tcW w:w="5528" w:type="dxa"/>
          </w:tcPr>
          <w:p w14:paraId="7916E81E" w14:textId="32A96330" w:rsidR="00BD5274" w:rsidRPr="0018386D" w:rsidRDefault="00BD5274" w:rsidP="00DD3106">
            <w:pPr>
              <w:pStyle w:val="TableText"/>
              <w:jc w:val="left"/>
            </w:pPr>
            <w:r w:rsidRPr="0018386D">
              <w:t xml:space="preserve">The </w:t>
            </w:r>
            <w:r w:rsidRPr="0018386D">
              <w:rPr>
                <w:i/>
              </w:rPr>
              <w:t xml:space="preserve">Greenhouse Gas Protocol Accounting and Reporting Standard </w:t>
            </w:r>
            <w:r w:rsidRPr="0018386D">
              <w:t xml:space="preserve">provides guidance for organisations preparing a GHG inventory </w:t>
            </w:r>
          </w:p>
        </w:tc>
      </w:tr>
      <w:tr w:rsidR="00C92EF7" w:rsidRPr="0018386D" w14:paraId="24FAB9CE" w14:textId="77777777" w:rsidTr="00462B36">
        <w:tc>
          <w:tcPr>
            <w:tcW w:w="2977" w:type="dxa"/>
            <w:shd w:val="clear" w:color="auto" w:fill="auto"/>
          </w:tcPr>
          <w:p w14:paraId="1E5C5006" w14:textId="77777777" w:rsidR="00C92EF7" w:rsidRPr="0018386D" w:rsidRDefault="00C92EF7" w:rsidP="00DD3106">
            <w:pPr>
              <w:pStyle w:val="TableText"/>
              <w:jc w:val="left"/>
              <w:rPr>
                <w:b/>
                <w:bCs/>
              </w:rPr>
            </w:pPr>
            <w:r w:rsidRPr="0018386D">
              <w:rPr>
                <w:b/>
                <w:bCs/>
              </w:rPr>
              <w:t>GHG report</w:t>
            </w:r>
          </w:p>
        </w:tc>
        <w:tc>
          <w:tcPr>
            <w:tcW w:w="5528" w:type="dxa"/>
          </w:tcPr>
          <w:p w14:paraId="5676C1EE" w14:textId="77777777" w:rsidR="00C92EF7" w:rsidRPr="0018386D" w:rsidRDefault="00C92EF7" w:rsidP="00DD3106">
            <w:pPr>
              <w:pStyle w:val="TableText"/>
              <w:jc w:val="left"/>
            </w:pPr>
            <w:r w:rsidRPr="0018386D">
              <w:t>A standalone report to communicate an organisation’s GHG-related information to intended users</w:t>
            </w:r>
          </w:p>
        </w:tc>
      </w:tr>
      <w:tr w:rsidR="00BD5274" w:rsidRPr="0018386D" w14:paraId="4014E808" w14:textId="77777777" w:rsidTr="00462B36">
        <w:tc>
          <w:tcPr>
            <w:tcW w:w="2977" w:type="dxa"/>
            <w:shd w:val="clear" w:color="auto" w:fill="auto"/>
          </w:tcPr>
          <w:p w14:paraId="602083D1" w14:textId="12BED606" w:rsidR="00BD5274" w:rsidRPr="0018386D" w:rsidRDefault="00BD5274" w:rsidP="00DD3106">
            <w:pPr>
              <w:pStyle w:val="TableText"/>
              <w:jc w:val="left"/>
              <w:rPr>
                <w:b/>
                <w:bCs/>
              </w:rPr>
            </w:pPr>
            <w:r w:rsidRPr="0018386D">
              <w:rPr>
                <w:rFonts w:eastAsia="Times New Roman"/>
                <w:b/>
                <w:bCs/>
              </w:rPr>
              <w:t>GJ</w:t>
            </w:r>
          </w:p>
        </w:tc>
        <w:tc>
          <w:tcPr>
            <w:tcW w:w="5528" w:type="dxa"/>
          </w:tcPr>
          <w:p w14:paraId="5A6DC469" w14:textId="3E255C4D" w:rsidR="00BD5274" w:rsidRPr="0018386D" w:rsidRDefault="00BD5274" w:rsidP="00DD3106">
            <w:pPr>
              <w:pStyle w:val="TableText"/>
              <w:jc w:val="left"/>
            </w:pPr>
            <w:r w:rsidRPr="0018386D">
              <w:rPr>
                <w:rFonts w:eastAsia="Times New Roman"/>
              </w:rPr>
              <w:t>Gigajoule (unit of measure, one billion joules)</w:t>
            </w:r>
          </w:p>
        </w:tc>
      </w:tr>
      <w:tr w:rsidR="00BD5274" w:rsidRPr="0018386D" w14:paraId="669F8B2E" w14:textId="77777777" w:rsidTr="00462B36">
        <w:tc>
          <w:tcPr>
            <w:tcW w:w="2977" w:type="dxa"/>
            <w:shd w:val="clear" w:color="auto" w:fill="auto"/>
          </w:tcPr>
          <w:p w14:paraId="19934FEC" w14:textId="77777777" w:rsidR="00BD5274" w:rsidRPr="0018386D" w:rsidRDefault="00BD5274" w:rsidP="00DD3106">
            <w:pPr>
              <w:pStyle w:val="TableText"/>
              <w:jc w:val="left"/>
              <w:rPr>
                <w:b/>
                <w:bCs/>
              </w:rPr>
            </w:pPr>
            <w:r w:rsidRPr="0018386D">
              <w:rPr>
                <w:b/>
                <w:bCs/>
              </w:rPr>
              <w:t>Grazing off</w:t>
            </w:r>
          </w:p>
        </w:tc>
        <w:tc>
          <w:tcPr>
            <w:tcW w:w="5528" w:type="dxa"/>
          </w:tcPr>
          <w:p w14:paraId="436DCEB3" w14:textId="77777777" w:rsidR="00BD5274" w:rsidRPr="0018386D" w:rsidRDefault="00BD5274" w:rsidP="00DD3106">
            <w:pPr>
              <w:pStyle w:val="TableText"/>
              <w:jc w:val="left"/>
            </w:pPr>
            <w:r w:rsidRPr="0018386D">
              <w:t>Cattle feeding on paddock not owned by their farmer</w:t>
            </w:r>
          </w:p>
        </w:tc>
      </w:tr>
      <w:tr w:rsidR="00BD5274" w:rsidRPr="0018386D" w14:paraId="28990072" w14:textId="77777777" w:rsidTr="00462B36">
        <w:tc>
          <w:tcPr>
            <w:tcW w:w="2977" w:type="dxa"/>
            <w:shd w:val="clear" w:color="auto" w:fill="auto"/>
          </w:tcPr>
          <w:p w14:paraId="11AB61F8" w14:textId="77777777" w:rsidR="00BD5274" w:rsidRPr="0018386D" w:rsidRDefault="00BD5274" w:rsidP="00DD3106">
            <w:pPr>
              <w:pStyle w:val="TableText"/>
              <w:jc w:val="left"/>
              <w:rPr>
                <w:b/>
                <w:bCs/>
              </w:rPr>
            </w:pPr>
            <w:r w:rsidRPr="0018386D">
              <w:rPr>
                <w:b/>
                <w:bCs/>
              </w:rPr>
              <w:t>GWP</w:t>
            </w:r>
          </w:p>
        </w:tc>
        <w:tc>
          <w:tcPr>
            <w:tcW w:w="5528" w:type="dxa"/>
          </w:tcPr>
          <w:p w14:paraId="76DA1D0A" w14:textId="3C93692A" w:rsidR="00BD5274" w:rsidRPr="0018386D" w:rsidRDefault="00BD5274" w:rsidP="00DD3106">
            <w:pPr>
              <w:pStyle w:val="TableText"/>
              <w:jc w:val="left"/>
            </w:pPr>
            <w:r w:rsidRPr="0018386D">
              <w:t>Global warming potential, a factor describing the radiative forcing impact of one mass-based unit of a given GHG relative to an equivalent unit of carbon dioxide over a given period (typically 100</w:t>
            </w:r>
            <w:r w:rsidR="003033FC" w:rsidRPr="0018386D">
              <w:t> </w:t>
            </w:r>
            <w:r w:rsidRPr="0018386D">
              <w:t>years)</w:t>
            </w:r>
          </w:p>
        </w:tc>
      </w:tr>
      <w:tr w:rsidR="003B2D15" w:rsidRPr="0018386D" w14:paraId="41FB02F9" w14:textId="77777777" w:rsidTr="00462B36">
        <w:tc>
          <w:tcPr>
            <w:tcW w:w="2977" w:type="dxa"/>
            <w:shd w:val="clear" w:color="auto" w:fill="auto"/>
          </w:tcPr>
          <w:p w14:paraId="50F9FDC9" w14:textId="7828F033" w:rsidR="003B2D15" w:rsidRPr="0018386D" w:rsidRDefault="003B2D15" w:rsidP="00DD3106">
            <w:pPr>
              <w:pStyle w:val="TableText"/>
              <w:jc w:val="left"/>
              <w:rPr>
                <w:b/>
                <w:bCs/>
              </w:rPr>
            </w:pPr>
            <w:r w:rsidRPr="0018386D">
              <w:rPr>
                <w:b/>
                <w:bCs/>
              </w:rPr>
              <w:t>HBFCs</w:t>
            </w:r>
          </w:p>
        </w:tc>
        <w:tc>
          <w:tcPr>
            <w:tcW w:w="5528" w:type="dxa"/>
          </w:tcPr>
          <w:p w14:paraId="2189E3F5" w14:textId="6167B616" w:rsidR="003B2D15" w:rsidRPr="0018386D" w:rsidRDefault="003B2D15" w:rsidP="00DD3106">
            <w:pPr>
              <w:pStyle w:val="TableText"/>
              <w:jc w:val="left"/>
            </w:pPr>
            <w:proofErr w:type="spellStart"/>
            <w:r w:rsidRPr="0018386D">
              <w:t>Hydrobromofluorocarbons</w:t>
            </w:r>
            <w:proofErr w:type="spellEnd"/>
          </w:p>
        </w:tc>
      </w:tr>
      <w:tr w:rsidR="003B2D15" w:rsidRPr="0018386D" w14:paraId="5730AAFD" w14:textId="77777777" w:rsidTr="00462B36">
        <w:tc>
          <w:tcPr>
            <w:tcW w:w="2977" w:type="dxa"/>
            <w:shd w:val="clear" w:color="auto" w:fill="auto"/>
          </w:tcPr>
          <w:p w14:paraId="7185BF31" w14:textId="0B93EC55" w:rsidR="003B2D15" w:rsidRPr="0018386D" w:rsidRDefault="003B2D15" w:rsidP="00DD3106">
            <w:pPr>
              <w:pStyle w:val="TableText"/>
              <w:jc w:val="left"/>
              <w:rPr>
                <w:b/>
                <w:bCs/>
              </w:rPr>
            </w:pPr>
            <w:r w:rsidRPr="0018386D">
              <w:rPr>
                <w:b/>
                <w:bCs/>
              </w:rPr>
              <w:t>HCFCs</w:t>
            </w:r>
          </w:p>
        </w:tc>
        <w:tc>
          <w:tcPr>
            <w:tcW w:w="5528" w:type="dxa"/>
          </w:tcPr>
          <w:p w14:paraId="3304B8C2" w14:textId="2B5B6EE3" w:rsidR="003B2D15" w:rsidRPr="0018386D" w:rsidRDefault="003B2D15" w:rsidP="00DD3106">
            <w:pPr>
              <w:pStyle w:val="TableText"/>
              <w:jc w:val="left"/>
            </w:pPr>
            <w:r w:rsidRPr="0018386D">
              <w:t>Hydrochlorofluorocarbons</w:t>
            </w:r>
          </w:p>
        </w:tc>
      </w:tr>
      <w:tr w:rsidR="00BD5274" w:rsidRPr="0018386D" w14:paraId="61FB7A7C" w14:textId="77777777" w:rsidTr="00462B36">
        <w:tc>
          <w:tcPr>
            <w:tcW w:w="2977" w:type="dxa"/>
            <w:shd w:val="clear" w:color="auto" w:fill="auto"/>
          </w:tcPr>
          <w:p w14:paraId="290FFEDF" w14:textId="1C5BB2C3" w:rsidR="00BD5274" w:rsidRPr="0018386D" w:rsidRDefault="00BD5274" w:rsidP="00DD3106">
            <w:pPr>
              <w:pStyle w:val="TableText"/>
              <w:jc w:val="left"/>
              <w:rPr>
                <w:b/>
                <w:bCs/>
              </w:rPr>
            </w:pPr>
            <w:r w:rsidRPr="0018386D">
              <w:rPr>
                <w:b/>
                <w:bCs/>
              </w:rPr>
              <w:t>HFC</w:t>
            </w:r>
          </w:p>
        </w:tc>
        <w:tc>
          <w:tcPr>
            <w:tcW w:w="5528" w:type="dxa"/>
          </w:tcPr>
          <w:p w14:paraId="65B1684F" w14:textId="3AA4BCF9" w:rsidR="00BD5274" w:rsidRPr="0018386D" w:rsidRDefault="00E44932" w:rsidP="00DD3106">
            <w:pPr>
              <w:pStyle w:val="TableText"/>
              <w:jc w:val="left"/>
            </w:pPr>
            <w:r w:rsidRPr="0018386D">
              <w:t>Hydrofluorocarbon</w:t>
            </w:r>
            <w:r w:rsidR="00BD5274" w:rsidRPr="0018386D">
              <w:t>, an alternative refrigerant gas that minimises damage to the ozone hole</w:t>
            </w:r>
          </w:p>
        </w:tc>
      </w:tr>
      <w:tr w:rsidR="001E5FF4" w:rsidRPr="0018386D" w14:paraId="305A574E" w14:textId="77777777" w:rsidTr="00462B36">
        <w:tc>
          <w:tcPr>
            <w:tcW w:w="2977" w:type="dxa"/>
            <w:shd w:val="clear" w:color="auto" w:fill="auto"/>
          </w:tcPr>
          <w:p w14:paraId="711465E5" w14:textId="76B413CC" w:rsidR="001E5FF4" w:rsidRPr="0018386D" w:rsidRDefault="001E5FF4" w:rsidP="00DD3106">
            <w:pPr>
              <w:pStyle w:val="TableText"/>
              <w:jc w:val="left"/>
              <w:rPr>
                <w:b/>
                <w:bCs/>
              </w:rPr>
            </w:pPr>
            <w:r w:rsidRPr="0018386D">
              <w:rPr>
                <w:b/>
                <w:bCs/>
              </w:rPr>
              <w:t>IATA</w:t>
            </w:r>
          </w:p>
        </w:tc>
        <w:tc>
          <w:tcPr>
            <w:tcW w:w="5528" w:type="dxa"/>
          </w:tcPr>
          <w:p w14:paraId="3695EAB8" w14:textId="53D16766" w:rsidR="001E5FF4" w:rsidRPr="0018386D" w:rsidRDefault="001E5FF4" w:rsidP="00DD3106">
            <w:pPr>
              <w:pStyle w:val="TableText"/>
              <w:jc w:val="left"/>
            </w:pPr>
            <w:r w:rsidRPr="0018386D">
              <w:t>International Air Transport Association</w:t>
            </w:r>
          </w:p>
        </w:tc>
      </w:tr>
      <w:tr w:rsidR="0059494E" w:rsidRPr="0018386D" w14:paraId="3E4C301D" w14:textId="77777777" w:rsidTr="00462B36">
        <w:tc>
          <w:tcPr>
            <w:tcW w:w="2977" w:type="dxa"/>
            <w:shd w:val="clear" w:color="auto" w:fill="auto"/>
          </w:tcPr>
          <w:p w14:paraId="2B649EBA" w14:textId="1808AFF9" w:rsidR="0059494E" w:rsidRPr="0018386D" w:rsidRDefault="0059494E" w:rsidP="00DD3106">
            <w:pPr>
              <w:pStyle w:val="TableText"/>
              <w:jc w:val="left"/>
              <w:rPr>
                <w:b/>
                <w:bCs/>
              </w:rPr>
            </w:pPr>
            <w:r w:rsidRPr="0018386D">
              <w:rPr>
                <w:b/>
                <w:bCs/>
              </w:rPr>
              <w:t>ICAO</w:t>
            </w:r>
          </w:p>
        </w:tc>
        <w:tc>
          <w:tcPr>
            <w:tcW w:w="5528" w:type="dxa"/>
          </w:tcPr>
          <w:p w14:paraId="4E2A0D47" w14:textId="618C6CA3" w:rsidR="0059494E" w:rsidRPr="0018386D" w:rsidRDefault="0059494E" w:rsidP="00DD3106">
            <w:pPr>
              <w:pStyle w:val="TableText"/>
              <w:jc w:val="left"/>
            </w:pPr>
            <w:r w:rsidRPr="0018386D">
              <w:t>International Civil Aviation Organisation</w:t>
            </w:r>
          </w:p>
        </w:tc>
      </w:tr>
      <w:tr w:rsidR="00BD5274" w:rsidRPr="0018386D" w14:paraId="7D56EAF5" w14:textId="77777777" w:rsidTr="00462B36">
        <w:tc>
          <w:tcPr>
            <w:tcW w:w="2977" w:type="dxa"/>
            <w:shd w:val="clear" w:color="auto" w:fill="auto"/>
          </w:tcPr>
          <w:p w14:paraId="10B2D9FA" w14:textId="77777777" w:rsidR="00BD5274" w:rsidRPr="0018386D" w:rsidRDefault="00BD5274" w:rsidP="00DD3106">
            <w:pPr>
              <w:pStyle w:val="TableText"/>
              <w:jc w:val="left"/>
              <w:rPr>
                <w:b/>
                <w:bCs/>
              </w:rPr>
            </w:pPr>
            <w:r w:rsidRPr="0018386D">
              <w:rPr>
                <w:b/>
                <w:bCs/>
              </w:rPr>
              <w:t>Inert</w:t>
            </w:r>
          </w:p>
        </w:tc>
        <w:tc>
          <w:tcPr>
            <w:tcW w:w="5528" w:type="dxa"/>
          </w:tcPr>
          <w:p w14:paraId="38610704" w14:textId="680676D4" w:rsidR="00BD5274" w:rsidRPr="0018386D" w:rsidRDefault="00BD5274" w:rsidP="00DD3106">
            <w:pPr>
              <w:pStyle w:val="TableText"/>
              <w:jc w:val="left"/>
            </w:pPr>
            <w:r w:rsidRPr="0018386D">
              <w:t>Chemically inactive (eg, plastic waste)</w:t>
            </w:r>
          </w:p>
        </w:tc>
      </w:tr>
      <w:tr w:rsidR="00F64130" w:rsidRPr="0018386D" w14:paraId="22FD4617" w14:textId="77777777" w:rsidTr="00462B36">
        <w:tc>
          <w:tcPr>
            <w:tcW w:w="2977" w:type="dxa"/>
            <w:shd w:val="clear" w:color="auto" w:fill="auto"/>
          </w:tcPr>
          <w:p w14:paraId="10EA93D0" w14:textId="0860B77E" w:rsidR="00F64130" w:rsidRPr="0018386D" w:rsidRDefault="00F64130" w:rsidP="00DD3106">
            <w:pPr>
              <w:pStyle w:val="TableText"/>
              <w:jc w:val="left"/>
              <w:rPr>
                <w:b/>
                <w:bCs/>
              </w:rPr>
            </w:pPr>
            <w:r w:rsidRPr="0018386D">
              <w:rPr>
                <w:b/>
                <w:bCs/>
              </w:rPr>
              <w:t>IPCC</w:t>
            </w:r>
          </w:p>
        </w:tc>
        <w:tc>
          <w:tcPr>
            <w:tcW w:w="5528" w:type="dxa"/>
          </w:tcPr>
          <w:p w14:paraId="123554A7" w14:textId="46A02254" w:rsidR="00F64130" w:rsidRPr="0018386D" w:rsidRDefault="00F64130" w:rsidP="00DD3106">
            <w:pPr>
              <w:pStyle w:val="TableText"/>
              <w:jc w:val="left"/>
            </w:pPr>
            <w:r w:rsidRPr="0018386D">
              <w:rPr>
                <w:rFonts w:eastAsia="Times New Roman"/>
              </w:rPr>
              <w:t>Intergovernmental Panel on Climate Change</w:t>
            </w:r>
          </w:p>
        </w:tc>
      </w:tr>
      <w:tr w:rsidR="00BD5274" w:rsidRPr="0018386D" w14:paraId="6DFC25B8" w14:textId="77777777" w:rsidTr="00462B36">
        <w:tc>
          <w:tcPr>
            <w:tcW w:w="2977" w:type="dxa"/>
            <w:shd w:val="clear" w:color="auto" w:fill="auto"/>
          </w:tcPr>
          <w:p w14:paraId="3D7109BA" w14:textId="37644ECF" w:rsidR="00BD5274" w:rsidRPr="0018386D" w:rsidRDefault="00BD5274" w:rsidP="00DD3106">
            <w:pPr>
              <w:pStyle w:val="TableText"/>
              <w:jc w:val="left"/>
              <w:rPr>
                <w:b/>
                <w:bCs/>
              </w:rPr>
            </w:pPr>
            <w:r w:rsidRPr="0018386D">
              <w:rPr>
                <w:b/>
                <w:bCs/>
              </w:rPr>
              <w:t xml:space="preserve">ISO 14064-1:2018 </w:t>
            </w:r>
          </w:p>
        </w:tc>
        <w:tc>
          <w:tcPr>
            <w:tcW w:w="5528" w:type="dxa"/>
          </w:tcPr>
          <w:p w14:paraId="348F0694" w14:textId="0A445B55" w:rsidR="00BD5274" w:rsidRPr="0018386D" w:rsidRDefault="00BD5274" w:rsidP="00DD3106">
            <w:pPr>
              <w:pStyle w:val="TableText"/>
              <w:jc w:val="left"/>
            </w:pPr>
            <w:r w:rsidRPr="0018386D">
              <w:t xml:space="preserve">International Organization for Standardisation standard on greenhouse gases </w:t>
            </w:r>
            <w:r w:rsidR="00690A38" w:rsidRPr="0018386D">
              <w:t xml:space="preserve">– </w:t>
            </w:r>
            <w:r w:rsidRPr="0018386D">
              <w:t>Part 1: Specification with guidance at the organisation level for quantification and reporting greenhouse gas emissions and removals</w:t>
            </w:r>
          </w:p>
        </w:tc>
      </w:tr>
      <w:tr w:rsidR="00BD5274" w:rsidRPr="0018386D" w14:paraId="3D8FB475" w14:textId="77777777" w:rsidTr="00462B36">
        <w:tc>
          <w:tcPr>
            <w:tcW w:w="2977" w:type="dxa"/>
            <w:shd w:val="clear" w:color="auto" w:fill="auto"/>
          </w:tcPr>
          <w:p w14:paraId="7D3FE865" w14:textId="0B0935DB" w:rsidR="00BD5274" w:rsidRPr="0018386D" w:rsidRDefault="006755D0" w:rsidP="00DD3106">
            <w:pPr>
              <w:pStyle w:val="TableText"/>
              <w:jc w:val="left"/>
              <w:rPr>
                <w:b/>
                <w:bCs/>
              </w:rPr>
            </w:pPr>
            <w:r w:rsidRPr="0018386D">
              <w:rPr>
                <w:b/>
                <w:bCs/>
              </w:rPr>
              <w:t>k</w:t>
            </w:r>
            <w:r w:rsidR="00BD5274" w:rsidRPr="0018386D">
              <w:rPr>
                <w:b/>
                <w:bCs/>
              </w:rPr>
              <w:t>t</w:t>
            </w:r>
          </w:p>
        </w:tc>
        <w:tc>
          <w:tcPr>
            <w:tcW w:w="5528" w:type="dxa"/>
          </w:tcPr>
          <w:p w14:paraId="17C361E8" w14:textId="77777777" w:rsidR="00BD5274" w:rsidRPr="0018386D" w:rsidRDefault="00BD5274" w:rsidP="00DD3106">
            <w:pPr>
              <w:pStyle w:val="TableText"/>
              <w:jc w:val="left"/>
            </w:pPr>
            <w:proofErr w:type="spellStart"/>
            <w:r w:rsidRPr="0018386D">
              <w:t>Kilotonne</w:t>
            </w:r>
            <w:proofErr w:type="spellEnd"/>
            <w:r w:rsidRPr="0018386D">
              <w:t xml:space="preserve"> (unit of measure, one thousand tonnes)</w:t>
            </w:r>
          </w:p>
        </w:tc>
      </w:tr>
      <w:tr w:rsidR="00BD5274" w:rsidRPr="0018386D" w14:paraId="55E81294" w14:textId="77777777" w:rsidTr="00462B36">
        <w:tc>
          <w:tcPr>
            <w:tcW w:w="2977" w:type="dxa"/>
            <w:shd w:val="clear" w:color="auto" w:fill="auto"/>
          </w:tcPr>
          <w:p w14:paraId="4D0AC8AA" w14:textId="77777777" w:rsidR="00BD5274" w:rsidRPr="0018386D" w:rsidRDefault="00BD5274" w:rsidP="00DD3106">
            <w:pPr>
              <w:pStyle w:val="TableText"/>
              <w:jc w:val="left"/>
              <w:rPr>
                <w:b/>
                <w:bCs/>
              </w:rPr>
            </w:pPr>
            <w:r w:rsidRPr="0018386D">
              <w:rPr>
                <w:b/>
                <w:bCs/>
              </w:rPr>
              <w:t>LULUCF</w:t>
            </w:r>
          </w:p>
        </w:tc>
        <w:tc>
          <w:tcPr>
            <w:tcW w:w="5528" w:type="dxa"/>
          </w:tcPr>
          <w:p w14:paraId="31C10BA2" w14:textId="5A2EF8B8" w:rsidR="00BD5274" w:rsidRPr="0018386D" w:rsidRDefault="00BD5274" w:rsidP="00DD3106">
            <w:pPr>
              <w:pStyle w:val="TableText"/>
              <w:jc w:val="left"/>
            </w:pPr>
            <w:r w:rsidRPr="0018386D">
              <w:t xml:space="preserve">Land use, </w:t>
            </w:r>
            <w:r w:rsidR="00BD685C" w:rsidRPr="0018386D">
              <w:t xml:space="preserve">land-use </w:t>
            </w:r>
            <w:proofErr w:type="gramStart"/>
            <w:r w:rsidR="00BD685C" w:rsidRPr="0018386D">
              <w:t>change</w:t>
            </w:r>
            <w:proofErr w:type="gramEnd"/>
            <w:r w:rsidRPr="0018386D">
              <w:t xml:space="preserve"> and forestry</w:t>
            </w:r>
          </w:p>
        </w:tc>
      </w:tr>
      <w:tr w:rsidR="00BD5274" w:rsidRPr="0018386D" w14:paraId="06304E94" w14:textId="77777777" w:rsidTr="00462B36">
        <w:tc>
          <w:tcPr>
            <w:tcW w:w="2977" w:type="dxa"/>
            <w:shd w:val="clear" w:color="auto" w:fill="auto"/>
          </w:tcPr>
          <w:p w14:paraId="431D919B" w14:textId="77777777" w:rsidR="00BD5274" w:rsidRPr="0018386D" w:rsidRDefault="00BD5274" w:rsidP="00DD3106">
            <w:pPr>
              <w:pStyle w:val="TableText"/>
              <w:jc w:val="left"/>
              <w:rPr>
                <w:b/>
                <w:bCs/>
              </w:rPr>
            </w:pPr>
            <w:r w:rsidRPr="0018386D">
              <w:rPr>
                <w:b/>
                <w:bCs/>
              </w:rPr>
              <w:t>Materiality</w:t>
            </w:r>
          </w:p>
        </w:tc>
        <w:tc>
          <w:tcPr>
            <w:tcW w:w="5528" w:type="dxa"/>
          </w:tcPr>
          <w:p w14:paraId="6067B8FB" w14:textId="77777777" w:rsidR="00BD5274" w:rsidRPr="0018386D" w:rsidRDefault="00BD5274" w:rsidP="00DD3106">
            <w:pPr>
              <w:pStyle w:val="TableText"/>
              <w:jc w:val="left"/>
            </w:pPr>
            <w:r w:rsidRPr="0018386D">
              <w:t>To be considered as having significance to an organisation</w:t>
            </w:r>
          </w:p>
        </w:tc>
      </w:tr>
      <w:tr w:rsidR="00BD5274" w:rsidRPr="0018386D" w14:paraId="3D9C9C07" w14:textId="77777777" w:rsidTr="00462B36">
        <w:tc>
          <w:tcPr>
            <w:tcW w:w="2977" w:type="dxa"/>
            <w:shd w:val="clear" w:color="auto" w:fill="auto"/>
          </w:tcPr>
          <w:p w14:paraId="7DA80FC6" w14:textId="404AC354" w:rsidR="00BD5274" w:rsidRPr="0018386D" w:rsidRDefault="00BD5274" w:rsidP="00DD3106">
            <w:pPr>
              <w:pStyle w:val="TableText"/>
              <w:jc w:val="left"/>
              <w:rPr>
                <w:b/>
                <w:bCs/>
              </w:rPr>
            </w:pPr>
            <w:r w:rsidRPr="0018386D">
              <w:rPr>
                <w:b/>
                <w:bCs/>
              </w:rPr>
              <w:t>Mature indigenous forest</w:t>
            </w:r>
          </w:p>
        </w:tc>
        <w:tc>
          <w:tcPr>
            <w:tcW w:w="5528" w:type="dxa"/>
          </w:tcPr>
          <w:p w14:paraId="33722906" w14:textId="00A376D7" w:rsidR="00BD5274" w:rsidRPr="0018386D" w:rsidRDefault="007567BB" w:rsidP="00DD3106">
            <w:pPr>
              <w:pStyle w:val="TableText"/>
              <w:jc w:val="left"/>
            </w:pPr>
            <w:r w:rsidRPr="0018386D">
              <w:t>A forest comprising predominantly native species, where there are</w:t>
            </w:r>
            <w:r w:rsidR="003033FC" w:rsidRPr="0018386D">
              <w:t> </w:t>
            </w:r>
            <w:r w:rsidRPr="0018386D">
              <w:t xml:space="preserve">no clearly visible indications of human </w:t>
            </w:r>
            <w:proofErr w:type="gramStart"/>
            <w:r w:rsidRPr="0018386D">
              <w:t>activities</w:t>
            </w:r>
            <w:proofErr w:type="gramEnd"/>
            <w:r w:rsidRPr="0018386D">
              <w:t xml:space="preserve"> and the ecological processes are not significantly disturbed. The forest will contain large trees with multi-layered canopies and be considered a </w:t>
            </w:r>
            <w:r w:rsidR="00F739D9" w:rsidRPr="0018386D">
              <w:t>climax</w:t>
            </w:r>
            <w:r w:rsidRPr="0018386D">
              <w:t xml:space="preserve"> community</w:t>
            </w:r>
          </w:p>
        </w:tc>
      </w:tr>
      <w:tr w:rsidR="00BD5274" w:rsidRPr="0018386D" w14:paraId="09039581" w14:textId="77777777" w:rsidTr="00462B36">
        <w:tc>
          <w:tcPr>
            <w:tcW w:w="2977" w:type="dxa"/>
            <w:shd w:val="clear" w:color="auto" w:fill="auto"/>
          </w:tcPr>
          <w:p w14:paraId="06432BA2" w14:textId="77777777" w:rsidR="00BD5274" w:rsidRPr="0018386D" w:rsidRDefault="00BD5274" w:rsidP="00DD3106">
            <w:pPr>
              <w:pStyle w:val="TableText"/>
              <w:jc w:val="left"/>
              <w:rPr>
                <w:b/>
                <w:bCs/>
              </w:rPr>
            </w:pPr>
            <w:r w:rsidRPr="0018386D">
              <w:rPr>
                <w:b/>
                <w:bCs/>
              </w:rPr>
              <w:t>MBIE</w:t>
            </w:r>
          </w:p>
        </w:tc>
        <w:tc>
          <w:tcPr>
            <w:tcW w:w="5528" w:type="dxa"/>
          </w:tcPr>
          <w:p w14:paraId="59ED8B3D" w14:textId="77777777" w:rsidR="00BD5274" w:rsidRPr="0018386D" w:rsidRDefault="00BD5274" w:rsidP="00DD3106">
            <w:pPr>
              <w:pStyle w:val="TableText"/>
              <w:jc w:val="left"/>
            </w:pPr>
            <w:r w:rsidRPr="0018386D">
              <w:t>Ministry of Business, Innovation and Employment</w:t>
            </w:r>
          </w:p>
        </w:tc>
      </w:tr>
      <w:tr w:rsidR="00BD5274" w:rsidRPr="0018386D" w14:paraId="7A611EE7" w14:textId="77777777" w:rsidTr="00462B36">
        <w:tc>
          <w:tcPr>
            <w:tcW w:w="2977" w:type="dxa"/>
            <w:shd w:val="clear" w:color="auto" w:fill="auto"/>
          </w:tcPr>
          <w:p w14:paraId="698B3061" w14:textId="77777777" w:rsidR="00BD5274" w:rsidRPr="0018386D" w:rsidRDefault="00BD5274" w:rsidP="00DD3106">
            <w:pPr>
              <w:pStyle w:val="TableText"/>
              <w:jc w:val="left"/>
              <w:rPr>
                <w:b/>
                <w:bCs/>
              </w:rPr>
            </w:pPr>
            <w:r w:rsidRPr="0018386D">
              <w:rPr>
                <w:b/>
                <w:bCs/>
              </w:rPr>
              <w:t>MfE</w:t>
            </w:r>
          </w:p>
        </w:tc>
        <w:tc>
          <w:tcPr>
            <w:tcW w:w="5528" w:type="dxa"/>
          </w:tcPr>
          <w:p w14:paraId="1BCBF420" w14:textId="32DD2FF8" w:rsidR="00BD5274" w:rsidRPr="0018386D" w:rsidRDefault="00BD5274" w:rsidP="00DD3106">
            <w:pPr>
              <w:pStyle w:val="TableText"/>
              <w:jc w:val="left"/>
            </w:pPr>
            <w:r w:rsidRPr="0018386D">
              <w:t>Ministry for the Environment</w:t>
            </w:r>
          </w:p>
        </w:tc>
      </w:tr>
      <w:tr w:rsidR="00C92EF7" w:rsidRPr="0018386D" w14:paraId="1697D396" w14:textId="77777777" w:rsidTr="00462B36">
        <w:tc>
          <w:tcPr>
            <w:tcW w:w="2977" w:type="dxa"/>
            <w:shd w:val="clear" w:color="auto" w:fill="auto"/>
          </w:tcPr>
          <w:p w14:paraId="4C5D2555" w14:textId="77777777" w:rsidR="00C92EF7" w:rsidRPr="0018386D" w:rsidRDefault="00C92EF7" w:rsidP="00DD3106">
            <w:pPr>
              <w:pStyle w:val="TableText"/>
              <w:jc w:val="left"/>
              <w:rPr>
                <w:b/>
                <w:bCs/>
              </w:rPr>
            </w:pPr>
            <w:proofErr w:type="spellStart"/>
            <w:r w:rsidRPr="0018386D">
              <w:rPr>
                <w:b/>
                <w:bCs/>
              </w:rPr>
              <w:t>MoT</w:t>
            </w:r>
            <w:proofErr w:type="spellEnd"/>
          </w:p>
        </w:tc>
        <w:tc>
          <w:tcPr>
            <w:tcW w:w="5528" w:type="dxa"/>
          </w:tcPr>
          <w:p w14:paraId="2C6E17E7" w14:textId="586D9CB4" w:rsidR="00C92EF7" w:rsidRPr="0018386D" w:rsidRDefault="00216269" w:rsidP="00DD3106">
            <w:pPr>
              <w:pStyle w:val="TableText"/>
              <w:jc w:val="left"/>
            </w:pPr>
            <w:r w:rsidRPr="0018386D">
              <w:rPr>
                <w:rFonts w:eastAsia="Times New Roman"/>
              </w:rPr>
              <w:t xml:space="preserve">Te Manatū Waka </w:t>
            </w:r>
            <w:r w:rsidR="00C92EF7" w:rsidRPr="0018386D">
              <w:t>Ministry of Transport</w:t>
            </w:r>
          </w:p>
        </w:tc>
      </w:tr>
      <w:tr w:rsidR="00BD5274" w:rsidRPr="0018386D" w14:paraId="0B416F93" w14:textId="77777777" w:rsidTr="00462B36">
        <w:tc>
          <w:tcPr>
            <w:tcW w:w="2977" w:type="dxa"/>
            <w:shd w:val="clear" w:color="auto" w:fill="auto"/>
          </w:tcPr>
          <w:p w14:paraId="7AEB755B" w14:textId="77777777" w:rsidR="00BD5274" w:rsidRPr="0018386D" w:rsidRDefault="00BD5274" w:rsidP="00DD3106">
            <w:pPr>
              <w:pStyle w:val="TableText"/>
              <w:jc w:val="left"/>
              <w:rPr>
                <w:b/>
                <w:bCs/>
              </w:rPr>
            </w:pPr>
            <w:r w:rsidRPr="0018386D">
              <w:rPr>
                <w:b/>
                <w:bCs/>
              </w:rPr>
              <w:t>MPI</w:t>
            </w:r>
          </w:p>
        </w:tc>
        <w:tc>
          <w:tcPr>
            <w:tcW w:w="5528" w:type="dxa"/>
          </w:tcPr>
          <w:p w14:paraId="36022490" w14:textId="77777777" w:rsidR="00BD5274" w:rsidRPr="0018386D" w:rsidRDefault="00BD5274" w:rsidP="00DD3106">
            <w:pPr>
              <w:pStyle w:val="TableText"/>
              <w:jc w:val="left"/>
            </w:pPr>
            <w:r w:rsidRPr="0018386D">
              <w:t>Ministry of Primary Industries</w:t>
            </w:r>
          </w:p>
        </w:tc>
      </w:tr>
      <w:tr w:rsidR="00BD5274" w:rsidRPr="0018386D" w14:paraId="752147BF" w14:textId="77777777" w:rsidTr="00462B36">
        <w:tc>
          <w:tcPr>
            <w:tcW w:w="2977" w:type="dxa"/>
            <w:shd w:val="clear" w:color="auto" w:fill="auto"/>
          </w:tcPr>
          <w:p w14:paraId="40BC9E07" w14:textId="77777777" w:rsidR="00BD5274" w:rsidRPr="0018386D" w:rsidRDefault="00BD5274" w:rsidP="00DD3106">
            <w:pPr>
              <w:pStyle w:val="TableText"/>
              <w:jc w:val="left"/>
              <w:rPr>
                <w:b/>
                <w:bCs/>
              </w:rPr>
            </w:pPr>
            <w:r w:rsidRPr="0018386D">
              <w:rPr>
                <w:b/>
                <w:bCs/>
              </w:rPr>
              <w:t>Municipal landfill</w:t>
            </w:r>
          </w:p>
        </w:tc>
        <w:tc>
          <w:tcPr>
            <w:tcW w:w="5528" w:type="dxa"/>
          </w:tcPr>
          <w:p w14:paraId="1F074651" w14:textId="77777777" w:rsidR="00BD5274" w:rsidRPr="0018386D" w:rsidRDefault="00BD5274" w:rsidP="00DD3106">
            <w:pPr>
              <w:pStyle w:val="TableText"/>
              <w:jc w:val="left"/>
            </w:pPr>
            <w:r w:rsidRPr="0018386D">
              <w:t>Landfill that accepts household waste as well as other wastes</w:t>
            </w:r>
          </w:p>
        </w:tc>
      </w:tr>
      <w:tr w:rsidR="00F6648C" w:rsidRPr="0018386D" w14:paraId="3457002B" w14:textId="77777777" w:rsidTr="00462B36">
        <w:tc>
          <w:tcPr>
            <w:tcW w:w="2977" w:type="dxa"/>
            <w:shd w:val="clear" w:color="auto" w:fill="auto"/>
          </w:tcPr>
          <w:p w14:paraId="592BB52E" w14:textId="0EAD275E" w:rsidR="00F6648C" w:rsidRPr="0018386D" w:rsidRDefault="00F6648C" w:rsidP="00DD3106">
            <w:pPr>
              <w:pStyle w:val="TableText"/>
              <w:jc w:val="left"/>
              <w:rPr>
                <w:b/>
                <w:bCs/>
              </w:rPr>
            </w:pPr>
            <w:r w:rsidRPr="0018386D">
              <w:rPr>
                <w:b/>
                <w:bCs/>
              </w:rPr>
              <w:t>NDC</w:t>
            </w:r>
          </w:p>
        </w:tc>
        <w:tc>
          <w:tcPr>
            <w:tcW w:w="5528" w:type="dxa"/>
          </w:tcPr>
          <w:p w14:paraId="7CD28C22" w14:textId="0EC04637" w:rsidR="00F6648C" w:rsidRPr="0018386D" w:rsidRDefault="00F6648C" w:rsidP="00DD3106">
            <w:pPr>
              <w:pStyle w:val="TableText"/>
              <w:jc w:val="left"/>
            </w:pPr>
            <w:r w:rsidRPr="0018386D">
              <w:t>Nationally determined contributions</w:t>
            </w:r>
            <w:r w:rsidR="000B6A8D" w:rsidRPr="0018386D">
              <w:t xml:space="preserve"> under the Paris Agreement</w:t>
            </w:r>
          </w:p>
        </w:tc>
      </w:tr>
      <w:tr w:rsidR="00AD348A" w:rsidRPr="0018386D" w14:paraId="55FE4D9A" w14:textId="77777777" w:rsidTr="00462B36">
        <w:tc>
          <w:tcPr>
            <w:tcW w:w="2977" w:type="dxa"/>
            <w:shd w:val="clear" w:color="auto" w:fill="auto"/>
          </w:tcPr>
          <w:p w14:paraId="5074C6C3" w14:textId="3771C5FF" w:rsidR="00AD348A" w:rsidRPr="0018386D" w:rsidRDefault="00AD348A" w:rsidP="00DD3106">
            <w:pPr>
              <w:pStyle w:val="TableText"/>
              <w:jc w:val="left"/>
              <w:rPr>
                <w:b/>
                <w:bCs/>
              </w:rPr>
            </w:pPr>
            <w:r w:rsidRPr="0018386D">
              <w:rPr>
                <w:b/>
                <w:bCs/>
              </w:rPr>
              <w:t>NF</w:t>
            </w:r>
            <w:r w:rsidRPr="0018386D">
              <w:rPr>
                <w:b/>
                <w:bCs/>
                <w:vertAlign w:val="subscript"/>
              </w:rPr>
              <w:t>3</w:t>
            </w:r>
          </w:p>
        </w:tc>
        <w:tc>
          <w:tcPr>
            <w:tcW w:w="5528" w:type="dxa"/>
          </w:tcPr>
          <w:p w14:paraId="2AFA0E2B" w14:textId="2F45AA58" w:rsidR="00AD348A" w:rsidRPr="0018386D" w:rsidRDefault="00AD348A" w:rsidP="00DD3106">
            <w:pPr>
              <w:pStyle w:val="TableText"/>
              <w:jc w:val="left"/>
            </w:pPr>
            <w:r w:rsidRPr="0018386D">
              <w:rPr>
                <w:rFonts w:eastAsia="Times New Roman"/>
                <w:shd w:val="clear" w:color="auto" w:fill="FFFFFF"/>
              </w:rPr>
              <w:t>Nitrogen trifluoride</w:t>
            </w:r>
          </w:p>
        </w:tc>
      </w:tr>
      <w:tr w:rsidR="00AD348A" w:rsidRPr="0018386D" w14:paraId="323D1AA6" w14:textId="77777777" w:rsidTr="00462B36">
        <w:tc>
          <w:tcPr>
            <w:tcW w:w="2977" w:type="dxa"/>
            <w:shd w:val="clear" w:color="auto" w:fill="auto"/>
          </w:tcPr>
          <w:p w14:paraId="76E5122A" w14:textId="54CDDE67" w:rsidR="00AD348A" w:rsidRPr="0018386D" w:rsidRDefault="00AD348A" w:rsidP="00DD3106">
            <w:pPr>
              <w:pStyle w:val="TableText"/>
              <w:jc w:val="left"/>
              <w:rPr>
                <w:b/>
                <w:bCs/>
              </w:rPr>
            </w:pPr>
            <w:r w:rsidRPr="0018386D">
              <w:rPr>
                <w:b/>
                <w:bCs/>
              </w:rPr>
              <w:t>N</w:t>
            </w:r>
            <w:r w:rsidRPr="0018386D">
              <w:rPr>
                <w:b/>
                <w:bCs/>
                <w:vertAlign w:val="subscript"/>
              </w:rPr>
              <w:t>2</w:t>
            </w:r>
            <w:r w:rsidRPr="0018386D">
              <w:rPr>
                <w:b/>
                <w:bCs/>
              </w:rPr>
              <w:t>O</w:t>
            </w:r>
          </w:p>
        </w:tc>
        <w:tc>
          <w:tcPr>
            <w:tcW w:w="5528" w:type="dxa"/>
          </w:tcPr>
          <w:p w14:paraId="4CF6C700" w14:textId="592A85A9" w:rsidR="00AD348A" w:rsidRPr="0018386D" w:rsidRDefault="00AD348A" w:rsidP="00DD3106">
            <w:pPr>
              <w:pStyle w:val="TableText"/>
              <w:jc w:val="left"/>
            </w:pPr>
            <w:r w:rsidRPr="0018386D">
              <w:rPr>
                <w:rFonts w:eastAsia="Times New Roman"/>
              </w:rPr>
              <w:t>Nitrous oxide</w:t>
            </w:r>
          </w:p>
        </w:tc>
      </w:tr>
      <w:tr w:rsidR="002160A8" w:rsidRPr="0018386D" w14:paraId="3D90AB52" w14:textId="77777777" w:rsidTr="00462B36">
        <w:tc>
          <w:tcPr>
            <w:tcW w:w="2977" w:type="dxa"/>
            <w:shd w:val="clear" w:color="auto" w:fill="auto"/>
          </w:tcPr>
          <w:p w14:paraId="7A74EC94" w14:textId="2796C052" w:rsidR="002160A8" w:rsidRPr="0018386D" w:rsidRDefault="002160A8" w:rsidP="00DD3106">
            <w:pPr>
              <w:pStyle w:val="TableText"/>
              <w:jc w:val="left"/>
              <w:rPr>
                <w:b/>
                <w:bCs/>
              </w:rPr>
            </w:pPr>
            <w:r w:rsidRPr="0018386D">
              <w:rPr>
                <w:b/>
                <w:bCs/>
              </w:rPr>
              <w:t>NZ ETS</w:t>
            </w:r>
          </w:p>
        </w:tc>
        <w:tc>
          <w:tcPr>
            <w:tcW w:w="5528" w:type="dxa"/>
          </w:tcPr>
          <w:p w14:paraId="72A4F67A" w14:textId="37AAEC5D" w:rsidR="002160A8" w:rsidRPr="0018386D" w:rsidRDefault="002160A8" w:rsidP="00DD3106">
            <w:pPr>
              <w:pStyle w:val="TableText"/>
              <w:jc w:val="left"/>
            </w:pPr>
            <w:r w:rsidRPr="0018386D">
              <w:rPr>
                <w:rFonts w:eastAsia="Times New Roman"/>
                <w:spacing w:val="-2"/>
              </w:rPr>
              <w:t>New Zealand Emissions Trading Scheme</w:t>
            </w:r>
          </w:p>
        </w:tc>
      </w:tr>
      <w:tr w:rsidR="00264E7F" w:rsidRPr="0018386D" w14:paraId="2FE03413" w14:textId="77777777" w:rsidTr="00462B36">
        <w:tc>
          <w:tcPr>
            <w:tcW w:w="2977" w:type="dxa"/>
            <w:shd w:val="clear" w:color="auto" w:fill="auto"/>
          </w:tcPr>
          <w:p w14:paraId="12FD7CBF" w14:textId="75DD995E" w:rsidR="00264E7F" w:rsidRPr="0018386D" w:rsidRDefault="00264E7F" w:rsidP="00DD3106">
            <w:pPr>
              <w:pStyle w:val="TableText"/>
              <w:jc w:val="left"/>
              <w:rPr>
                <w:b/>
                <w:bCs/>
              </w:rPr>
            </w:pPr>
            <w:r w:rsidRPr="0018386D">
              <w:rPr>
                <w:b/>
                <w:bCs/>
              </w:rPr>
              <w:t>NZTA</w:t>
            </w:r>
          </w:p>
        </w:tc>
        <w:tc>
          <w:tcPr>
            <w:tcW w:w="5528" w:type="dxa"/>
          </w:tcPr>
          <w:p w14:paraId="21A7727F" w14:textId="75B11BEE" w:rsidR="00264E7F" w:rsidRPr="0018386D" w:rsidRDefault="00264E7F" w:rsidP="00DD3106">
            <w:pPr>
              <w:pStyle w:val="TableText"/>
              <w:jc w:val="left"/>
            </w:pPr>
            <w:r w:rsidRPr="0018386D">
              <w:t>Waka Kotahi New Zealand Transport Agency</w:t>
            </w:r>
          </w:p>
        </w:tc>
      </w:tr>
      <w:tr w:rsidR="003B2D15" w:rsidRPr="0018386D" w14:paraId="779346EA" w14:textId="77777777" w:rsidTr="00462B36">
        <w:tc>
          <w:tcPr>
            <w:tcW w:w="2977" w:type="dxa"/>
            <w:shd w:val="clear" w:color="auto" w:fill="auto"/>
          </w:tcPr>
          <w:p w14:paraId="2E290A1C" w14:textId="404E759F" w:rsidR="003B2D15" w:rsidRPr="0018386D" w:rsidRDefault="003B2D15" w:rsidP="00DD3106">
            <w:pPr>
              <w:pStyle w:val="TableText"/>
              <w:jc w:val="left"/>
              <w:rPr>
                <w:b/>
                <w:bCs/>
              </w:rPr>
            </w:pPr>
            <w:r w:rsidRPr="0018386D">
              <w:rPr>
                <w:b/>
                <w:bCs/>
              </w:rPr>
              <w:t>ODS</w:t>
            </w:r>
          </w:p>
        </w:tc>
        <w:tc>
          <w:tcPr>
            <w:tcW w:w="5528" w:type="dxa"/>
          </w:tcPr>
          <w:p w14:paraId="7775A6F7" w14:textId="63CB7B9E" w:rsidR="003B2D15" w:rsidRPr="0018386D" w:rsidRDefault="003B2D15" w:rsidP="00DD3106">
            <w:pPr>
              <w:pStyle w:val="TableText"/>
              <w:jc w:val="left"/>
            </w:pPr>
            <w:r w:rsidRPr="0018386D">
              <w:t>Ozone-depleting substances</w:t>
            </w:r>
          </w:p>
        </w:tc>
      </w:tr>
      <w:tr w:rsidR="00BD5274" w:rsidRPr="0018386D" w14:paraId="4925F8AC" w14:textId="77777777" w:rsidTr="00462B36">
        <w:tc>
          <w:tcPr>
            <w:tcW w:w="2977" w:type="dxa"/>
            <w:shd w:val="clear" w:color="auto" w:fill="auto"/>
          </w:tcPr>
          <w:p w14:paraId="5776784F" w14:textId="77777777" w:rsidR="00BD5274" w:rsidRPr="0018386D" w:rsidRDefault="00BD5274" w:rsidP="00DD3106">
            <w:pPr>
              <w:pStyle w:val="TableText"/>
              <w:jc w:val="left"/>
              <w:rPr>
                <w:b/>
                <w:bCs/>
              </w:rPr>
            </w:pPr>
            <w:r w:rsidRPr="0018386D">
              <w:rPr>
                <w:b/>
                <w:bCs/>
              </w:rPr>
              <w:t>Organisational boundary</w:t>
            </w:r>
          </w:p>
        </w:tc>
        <w:tc>
          <w:tcPr>
            <w:tcW w:w="5528" w:type="dxa"/>
          </w:tcPr>
          <w:p w14:paraId="76F2514D" w14:textId="4373A3AB" w:rsidR="00BD5274" w:rsidRPr="0018386D" w:rsidRDefault="00BD5274" w:rsidP="00DD3106">
            <w:pPr>
              <w:pStyle w:val="TableText"/>
              <w:jc w:val="left"/>
            </w:pPr>
            <w:r w:rsidRPr="0018386D">
              <w:t>The boundary of the organisation as it applies to measurement of GHG emissions. This typically aligns with legal and/or organisational structure; a financial boundary must be drawn within this too</w:t>
            </w:r>
          </w:p>
        </w:tc>
      </w:tr>
      <w:tr w:rsidR="00BD5274" w:rsidRPr="0018386D" w14:paraId="55C301A2" w14:textId="77777777" w:rsidTr="00462B36">
        <w:tc>
          <w:tcPr>
            <w:tcW w:w="2977" w:type="dxa"/>
            <w:shd w:val="clear" w:color="auto" w:fill="auto"/>
          </w:tcPr>
          <w:p w14:paraId="5AC35904" w14:textId="5C213C0B" w:rsidR="00BD5274" w:rsidRPr="0018386D" w:rsidRDefault="00BD5274" w:rsidP="00DD3106">
            <w:pPr>
              <w:pStyle w:val="TableText"/>
              <w:jc w:val="left"/>
              <w:rPr>
                <w:b/>
                <w:bCs/>
              </w:rPr>
            </w:pPr>
            <w:proofErr w:type="spellStart"/>
            <w:r w:rsidRPr="0018386D">
              <w:rPr>
                <w:b/>
                <w:bCs/>
              </w:rPr>
              <w:t>O</w:t>
            </w:r>
            <w:r w:rsidR="00CB0A44" w:rsidRPr="0018386D">
              <w:rPr>
                <w:b/>
                <w:bCs/>
              </w:rPr>
              <w:t>verseerFM</w:t>
            </w:r>
            <w:proofErr w:type="spellEnd"/>
          </w:p>
        </w:tc>
        <w:tc>
          <w:tcPr>
            <w:tcW w:w="5528" w:type="dxa"/>
          </w:tcPr>
          <w:p w14:paraId="133AE72A" w14:textId="42932909" w:rsidR="00BD5274" w:rsidRPr="0018386D" w:rsidRDefault="00BD5274" w:rsidP="00DD3106">
            <w:pPr>
              <w:pStyle w:val="TableText"/>
              <w:jc w:val="left"/>
            </w:pPr>
            <w:r w:rsidRPr="0018386D">
              <w:t>A New Zealand software platform that enables farmers and growers to estimate and improve nutrient use on farms</w:t>
            </w:r>
          </w:p>
        </w:tc>
      </w:tr>
      <w:tr w:rsidR="00DD2F7C" w:rsidRPr="0018386D" w14:paraId="443C65DC" w14:textId="77777777" w:rsidTr="00462B36">
        <w:tc>
          <w:tcPr>
            <w:tcW w:w="2977" w:type="dxa"/>
            <w:shd w:val="clear" w:color="auto" w:fill="auto"/>
          </w:tcPr>
          <w:p w14:paraId="128A174F" w14:textId="57C12EED" w:rsidR="00DD2F7C" w:rsidRPr="0018386D" w:rsidRDefault="00DD2F7C" w:rsidP="00DD3106">
            <w:pPr>
              <w:pStyle w:val="TableText"/>
              <w:jc w:val="left"/>
              <w:rPr>
                <w:b/>
                <w:bCs/>
              </w:rPr>
            </w:pPr>
            <w:r w:rsidRPr="0018386D">
              <w:rPr>
                <w:b/>
                <w:bCs/>
              </w:rPr>
              <w:t>PFC</w:t>
            </w:r>
          </w:p>
        </w:tc>
        <w:tc>
          <w:tcPr>
            <w:tcW w:w="5528" w:type="dxa"/>
          </w:tcPr>
          <w:p w14:paraId="56ACF4E9" w14:textId="6DB5558F" w:rsidR="00DD2F7C" w:rsidRPr="0018386D" w:rsidRDefault="00070FD4" w:rsidP="00DD3106">
            <w:pPr>
              <w:pStyle w:val="TableText"/>
              <w:jc w:val="left"/>
            </w:pPr>
            <w:r w:rsidRPr="0018386D">
              <w:t>Perfluorocarbon</w:t>
            </w:r>
          </w:p>
        </w:tc>
      </w:tr>
      <w:tr w:rsidR="00BD5274" w:rsidRPr="0018386D" w14:paraId="5BA29CF4" w14:textId="77777777" w:rsidTr="00462B36">
        <w:tc>
          <w:tcPr>
            <w:tcW w:w="2977" w:type="dxa"/>
            <w:shd w:val="clear" w:color="auto" w:fill="auto"/>
          </w:tcPr>
          <w:p w14:paraId="352299B7" w14:textId="77777777" w:rsidR="00BD5274" w:rsidRPr="0018386D" w:rsidRDefault="00BD5274" w:rsidP="00DD3106">
            <w:pPr>
              <w:pStyle w:val="TableText"/>
              <w:jc w:val="left"/>
              <w:rPr>
                <w:b/>
                <w:bCs/>
              </w:rPr>
            </w:pPr>
            <w:r w:rsidRPr="0018386D">
              <w:rPr>
                <w:b/>
                <w:bCs/>
              </w:rPr>
              <w:t>PHEV</w:t>
            </w:r>
          </w:p>
        </w:tc>
        <w:tc>
          <w:tcPr>
            <w:tcW w:w="5528" w:type="dxa"/>
          </w:tcPr>
          <w:p w14:paraId="0B6FD09C" w14:textId="6353B77B" w:rsidR="00BD5274" w:rsidRPr="0018386D" w:rsidRDefault="00BD5274" w:rsidP="00DD3106">
            <w:pPr>
              <w:pStyle w:val="TableText"/>
              <w:jc w:val="left"/>
            </w:pPr>
            <w:r w:rsidRPr="0018386D">
              <w:t>Plug-in hybrid electric vehicle</w:t>
            </w:r>
          </w:p>
        </w:tc>
      </w:tr>
      <w:tr w:rsidR="00BD5274" w:rsidRPr="0018386D" w14:paraId="5D7789F5" w14:textId="77777777" w:rsidTr="00462B36">
        <w:tc>
          <w:tcPr>
            <w:tcW w:w="2977" w:type="dxa"/>
            <w:shd w:val="clear" w:color="auto" w:fill="auto"/>
          </w:tcPr>
          <w:p w14:paraId="37DCFB7B" w14:textId="651934CD" w:rsidR="00BD5274" w:rsidRPr="0018386D" w:rsidRDefault="00470B91" w:rsidP="00DD3106">
            <w:pPr>
              <w:pStyle w:val="TableText"/>
              <w:jc w:val="left"/>
              <w:rPr>
                <w:b/>
                <w:bCs/>
              </w:rPr>
            </w:pPr>
            <w:proofErr w:type="spellStart"/>
            <w:r w:rsidRPr="0018386D">
              <w:rPr>
                <w:b/>
                <w:bCs/>
              </w:rPr>
              <w:t>pk</w:t>
            </w:r>
            <w:r w:rsidR="00BD5274" w:rsidRPr="0018386D">
              <w:rPr>
                <w:b/>
                <w:bCs/>
              </w:rPr>
              <w:t>m</w:t>
            </w:r>
            <w:proofErr w:type="spellEnd"/>
          </w:p>
        </w:tc>
        <w:tc>
          <w:tcPr>
            <w:tcW w:w="5528" w:type="dxa"/>
          </w:tcPr>
          <w:p w14:paraId="33A85FFF" w14:textId="1E7998E6" w:rsidR="00BD5274" w:rsidRPr="0018386D" w:rsidRDefault="00BD5274" w:rsidP="00DD3106">
            <w:pPr>
              <w:pStyle w:val="TableText"/>
              <w:jc w:val="left"/>
            </w:pPr>
            <w:r w:rsidRPr="0018386D">
              <w:t>Passenger-kilometre (unit of measure for transport)</w:t>
            </w:r>
          </w:p>
        </w:tc>
      </w:tr>
      <w:tr w:rsidR="00BD5274" w:rsidRPr="0018386D" w14:paraId="074C0CE1" w14:textId="77777777" w:rsidTr="00462B36">
        <w:tc>
          <w:tcPr>
            <w:tcW w:w="2977" w:type="dxa"/>
            <w:shd w:val="clear" w:color="auto" w:fill="auto"/>
          </w:tcPr>
          <w:p w14:paraId="086C23E5" w14:textId="77777777" w:rsidR="00BD5274" w:rsidRPr="0018386D" w:rsidRDefault="00BD5274" w:rsidP="00DD3106">
            <w:pPr>
              <w:pStyle w:val="TableText"/>
              <w:jc w:val="left"/>
              <w:rPr>
                <w:b/>
                <w:bCs/>
              </w:rPr>
            </w:pPr>
            <w:r w:rsidRPr="0018386D">
              <w:rPr>
                <w:b/>
                <w:bCs/>
              </w:rPr>
              <w:t>Radiative forcing</w:t>
            </w:r>
          </w:p>
        </w:tc>
        <w:tc>
          <w:tcPr>
            <w:tcW w:w="5528" w:type="dxa"/>
          </w:tcPr>
          <w:p w14:paraId="37A9C735" w14:textId="38267F2F" w:rsidR="00BD5274" w:rsidRPr="0018386D" w:rsidRDefault="00BD5274" w:rsidP="00DD3106">
            <w:pPr>
              <w:pStyle w:val="TableText"/>
              <w:jc w:val="left"/>
            </w:pPr>
            <w:r w:rsidRPr="0018386D">
              <w:t>The difference between solar energy absorbed by the Earth and that radiated back to space. Human activity has impacts which alter radiative forcing</w:t>
            </w:r>
          </w:p>
        </w:tc>
      </w:tr>
      <w:tr w:rsidR="00BD5274" w:rsidRPr="0018386D" w14:paraId="2C09E121" w14:textId="77777777" w:rsidTr="00462B36">
        <w:tc>
          <w:tcPr>
            <w:tcW w:w="2977" w:type="dxa"/>
            <w:shd w:val="clear" w:color="auto" w:fill="auto"/>
          </w:tcPr>
          <w:p w14:paraId="0B96D84D" w14:textId="77777777" w:rsidR="00BD5274" w:rsidRPr="0018386D" w:rsidRDefault="00BD5274" w:rsidP="00DD3106">
            <w:pPr>
              <w:pStyle w:val="TableText"/>
              <w:jc w:val="left"/>
              <w:rPr>
                <w:b/>
                <w:bCs/>
              </w:rPr>
            </w:pPr>
            <w:r w:rsidRPr="0018386D">
              <w:rPr>
                <w:b/>
                <w:bCs/>
              </w:rPr>
              <w:t>Refrigerants</w:t>
            </w:r>
          </w:p>
        </w:tc>
        <w:tc>
          <w:tcPr>
            <w:tcW w:w="5528" w:type="dxa"/>
          </w:tcPr>
          <w:p w14:paraId="34F4BD2B" w14:textId="77777777" w:rsidR="00BD5274" w:rsidRPr="0018386D" w:rsidRDefault="00BD5274" w:rsidP="00DD3106">
            <w:pPr>
              <w:pStyle w:val="TableText"/>
              <w:jc w:val="left"/>
            </w:pPr>
            <w:r w:rsidRPr="0018386D">
              <w:t>A substance or mixture used in a heat pump and refrigeration cycle</w:t>
            </w:r>
          </w:p>
        </w:tc>
      </w:tr>
      <w:tr w:rsidR="00BD5274" w:rsidRPr="0018386D" w14:paraId="2296A4A9" w14:textId="77777777" w:rsidTr="00462B36">
        <w:tc>
          <w:tcPr>
            <w:tcW w:w="2977" w:type="dxa"/>
            <w:shd w:val="clear" w:color="auto" w:fill="auto"/>
          </w:tcPr>
          <w:p w14:paraId="7DDB898D" w14:textId="1A7D7381" w:rsidR="00BD5274" w:rsidRPr="0018386D" w:rsidRDefault="00BD5274" w:rsidP="00DD3106">
            <w:pPr>
              <w:pStyle w:val="TableText"/>
              <w:jc w:val="left"/>
              <w:rPr>
                <w:b/>
                <w:bCs/>
              </w:rPr>
            </w:pPr>
            <w:r w:rsidRPr="0018386D">
              <w:rPr>
                <w:b/>
                <w:bCs/>
              </w:rPr>
              <w:t>Removals</w:t>
            </w:r>
          </w:p>
        </w:tc>
        <w:tc>
          <w:tcPr>
            <w:tcW w:w="5528" w:type="dxa"/>
          </w:tcPr>
          <w:p w14:paraId="6A38DD82" w14:textId="59C4DF99" w:rsidR="00BD5274" w:rsidRPr="0018386D" w:rsidRDefault="00BD5274" w:rsidP="00DD3106">
            <w:pPr>
              <w:pStyle w:val="TableText"/>
              <w:jc w:val="left"/>
            </w:pPr>
            <w:r w:rsidRPr="0018386D">
              <w:t>Withdrawal of a GHG from the atmosphere by GHG sinks</w:t>
            </w:r>
          </w:p>
        </w:tc>
      </w:tr>
      <w:tr w:rsidR="00C92EF7" w:rsidRPr="0018386D" w14:paraId="2A7052AF" w14:textId="77777777" w:rsidTr="00462B36">
        <w:tc>
          <w:tcPr>
            <w:tcW w:w="2977" w:type="dxa"/>
            <w:shd w:val="clear" w:color="auto" w:fill="auto"/>
          </w:tcPr>
          <w:p w14:paraId="3A577E98" w14:textId="77777777" w:rsidR="00C92EF7" w:rsidRPr="0018386D" w:rsidRDefault="00C92EF7" w:rsidP="00DD3106">
            <w:pPr>
              <w:pStyle w:val="TableText"/>
              <w:jc w:val="left"/>
              <w:rPr>
                <w:b/>
                <w:bCs/>
              </w:rPr>
            </w:pPr>
            <w:r w:rsidRPr="0018386D">
              <w:rPr>
                <w:b/>
                <w:bCs/>
              </w:rPr>
              <w:t>Reporting boundary</w:t>
            </w:r>
          </w:p>
        </w:tc>
        <w:tc>
          <w:tcPr>
            <w:tcW w:w="5528" w:type="dxa"/>
          </w:tcPr>
          <w:p w14:paraId="49A06C87" w14:textId="0AA0A701" w:rsidR="00C92EF7" w:rsidRPr="0018386D" w:rsidRDefault="00C92EF7" w:rsidP="00DD3106">
            <w:pPr>
              <w:pStyle w:val="TableText"/>
              <w:jc w:val="left"/>
            </w:pPr>
            <w:r w:rsidRPr="0018386D">
              <w:t>The emission sources included within an organisation’s operations, including direct and indirect emission sources. It includes choosing which indirect emission sources to report</w:t>
            </w:r>
          </w:p>
        </w:tc>
      </w:tr>
      <w:tr w:rsidR="00BD5274" w:rsidRPr="0018386D" w14:paraId="2BB45D98" w14:textId="77777777" w:rsidTr="00462B36">
        <w:tc>
          <w:tcPr>
            <w:tcW w:w="2977" w:type="dxa"/>
            <w:shd w:val="clear" w:color="auto" w:fill="auto"/>
          </w:tcPr>
          <w:p w14:paraId="120E85E9" w14:textId="77777777" w:rsidR="00BD5274" w:rsidRPr="0018386D" w:rsidRDefault="00BD5274" w:rsidP="00DD3106">
            <w:pPr>
              <w:pStyle w:val="TableText"/>
              <w:jc w:val="left"/>
              <w:rPr>
                <w:b/>
                <w:bCs/>
              </w:rPr>
            </w:pPr>
            <w:r w:rsidRPr="0018386D">
              <w:rPr>
                <w:b/>
                <w:bCs/>
              </w:rPr>
              <w:t>Reticulated gas</w:t>
            </w:r>
          </w:p>
        </w:tc>
        <w:tc>
          <w:tcPr>
            <w:tcW w:w="5528" w:type="dxa"/>
          </w:tcPr>
          <w:p w14:paraId="5233E3BB" w14:textId="559E2266" w:rsidR="00BD5274" w:rsidRPr="0018386D" w:rsidRDefault="00BD5274" w:rsidP="00DD3106">
            <w:pPr>
              <w:pStyle w:val="TableText"/>
              <w:jc w:val="left"/>
            </w:pPr>
            <w:r w:rsidRPr="0018386D">
              <w:t>A piped gas system to deliver a gas such as LPG or natural gas to a</w:t>
            </w:r>
            <w:r w:rsidR="006F53F2" w:rsidRPr="0018386D">
              <w:t> </w:t>
            </w:r>
            <w:r w:rsidRPr="0018386D">
              <w:t>consumer</w:t>
            </w:r>
          </w:p>
        </w:tc>
      </w:tr>
      <w:tr w:rsidR="00BD5274" w:rsidRPr="0018386D" w14:paraId="0DD01FEC" w14:textId="77777777" w:rsidTr="00462B36">
        <w:tc>
          <w:tcPr>
            <w:tcW w:w="2977" w:type="dxa"/>
            <w:shd w:val="clear" w:color="auto" w:fill="auto"/>
          </w:tcPr>
          <w:p w14:paraId="41774FD5" w14:textId="77777777" w:rsidR="00BD5274" w:rsidRPr="0018386D" w:rsidRDefault="00BD5274" w:rsidP="00DD3106">
            <w:pPr>
              <w:pStyle w:val="TableText"/>
              <w:jc w:val="left"/>
              <w:rPr>
                <w:b/>
                <w:bCs/>
              </w:rPr>
            </w:pPr>
            <w:r w:rsidRPr="0018386D">
              <w:rPr>
                <w:b/>
                <w:bCs/>
              </w:rPr>
              <w:t>Scope</w:t>
            </w:r>
          </w:p>
        </w:tc>
        <w:tc>
          <w:tcPr>
            <w:tcW w:w="5528" w:type="dxa"/>
          </w:tcPr>
          <w:p w14:paraId="193E8063" w14:textId="25CAA47F" w:rsidR="00BD5274" w:rsidRPr="0018386D" w:rsidRDefault="00BD5274" w:rsidP="00DD3106">
            <w:pPr>
              <w:pStyle w:val="TableText"/>
              <w:jc w:val="left"/>
            </w:pPr>
            <w:r w:rsidRPr="0018386D">
              <w:t>Emission sources are categorised by Scope to manage risks and impacts of double counting. There are three scopes in greenhouse gas reporting: Scope 1 (direct emissions), Scope 2 (energy indirect emissions) and Scope 3 (other indirect emissions)</w:t>
            </w:r>
          </w:p>
        </w:tc>
      </w:tr>
      <w:tr w:rsidR="00AD348A" w:rsidRPr="0018386D" w14:paraId="707FEC28" w14:textId="77777777" w:rsidTr="00462B36">
        <w:tc>
          <w:tcPr>
            <w:tcW w:w="2977" w:type="dxa"/>
            <w:shd w:val="clear" w:color="auto" w:fill="auto"/>
          </w:tcPr>
          <w:p w14:paraId="512564FC" w14:textId="13E7EF8B" w:rsidR="00AD348A" w:rsidRPr="0018386D" w:rsidRDefault="00AD348A" w:rsidP="00DD3106">
            <w:pPr>
              <w:pStyle w:val="TableText"/>
              <w:jc w:val="left"/>
              <w:rPr>
                <w:b/>
                <w:bCs/>
              </w:rPr>
            </w:pPr>
            <w:r w:rsidRPr="0018386D">
              <w:rPr>
                <w:b/>
                <w:bCs/>
              </w:rPr>
              <w:t>SF</w:t>
            </w:r>
            <w:r w:rsidRPr="0018386D">
              <w:rPr>
                <w:b/>
                <w:bCs/>
                <w:vertAlign w:val="subscript"/>
              </w:rPr>
              <w:t>6</w:t>
            </w:r>
          </w:p>
        </w:tc>
        <w:tc>
          <w:tcPr>
            <w:tcW w:w="5528" w:type="dxa"/>
          </w:tcPr>
          <w:p w14:paraId="22A008D7" w14:textId="26866EF1" w:rsidR="00AD348A" w:rsidRPr="0018386D" w:rsidRDefault="00AD348A" w:rsidP="00DD3106">
            <w:pPr>
              <w:pStyle w:val="TableText"/>
              <w:jc w:val="left"/>
            </w:pPr>
            <w:r w:rsidRPr="0018386D">
              <w:rPr>
                <w:rFonts w:eastAsia="Times New Roman"/>
                <w:shd w:val="clear" w:color="auto" w:fill="FFFFFF"/>
              </w:rPr>
              <w:t>Sulphur hexafluoride</w:t>
            </w:r>
          </w:p>
        </w:tc>
      </w:tr>
      <w:tr w:rsidR="00BD5274" w:rsidRPr="0018386D" w14:paraId="142EAFA4" w14:textId="77777777" w:rsidTr="00462B36">
        <w:tc>
          <w:tcPr>
            <w:tcW w:w="2977" w:type="dxa"/>
            <w:shd w:val="clear" w:color="auto" w:fill="auto"/>
          </w:tcPr>
          <w:p w14:paraId="04655EEE" w14:textId="77777777" w:rsidR="00BD5274" w:rsidRPr="0018386D" w:rsidRDefault="00BD5274" w:rsidP="00DD3106">
            <w:pPr>
              <w:pStyle w:val="TableText"/>
              <w:jc w:val="left"/>
              <w:rPr>
                <w:b/>
                <w:bCs/>
              </w:rPr>
            </w:pPr>
            <w:r w:rsidRPr="0018386D">
              <w:rPr>
                <w:b/>
                <w:bCs/>
              </w:rPr>
              <w:t>Stationary combustion fuel</w:t>
            </w:r>
          </w:p>
        </w:tc>
        <w:tc>
          <w:tcPr>
            <w:tcW w:w="5528" w:type="dxa"/>
          </w:tcPr>
          <w:p w14:paraId="3FF77ACC" w14:textId="274CC788" w:rsidR="00BD5274" w:rsidRPr="0018386D" w:rsidRDefault="00BD5274" w:rsidP="00DD3106">
            <w:pPr>
              <w:pStyle w:val="TableText"/>
              <w:jc w:val="left"/>
            </w:pPr>
            <w:r w:rsidRPr="0018386D">
              <w:t>Fuel used in an unmoving engine eg, a power plant or boiler</w:t>
            </w:r>
          </w:p>
        </w:tc>
      </w:tr>
      <w:tr w:rsidR="00831325" w:rsidRPr="0018386D" w14:paraId="16631A27" w14:textId="77777777" w:rsidTr="00462B36">
        <w:tc>
          <w:tcPr>
            <w:tcW w:w="2977" w:type="dxa"/>
            <w:shd w:val="clear" w:color="auto" w:fill="auto"/>
          </w:tcPr>
          <w:p w14:paraId="220D48B2" w14:textId="4E843005" w:rsidR="00831325" w:rsidRPr="0018386D" w:rsidRDefault="00831325" w:rsidP="00DD3106">
            <w:pPr>
              <w:pStyle w:val="TableText"/>
              <w:jc w:val="left"/>
              <w:rPr>
                <w:b/>
                <w:bCs/>
              </w:rPr>
            </w:pPr>
            <w:r w:rsidRPr="0018386D">
              <w:rPr>
                <w:b/>
                <w:bCs/>
              </w:rPr>
              <w:t>TFCD</w:t>
            </w:r>
          </w:p>
        </w:tc>
        <w:tc>
          <w:tcPr>
            <w:tcW w:w="5528" w:type="dxa"/>
          </w:tcPr>
          <w:p w14:paraId="72AA9D57" w14:textId="6C89FE1E" w:rsidR="00831325" w:rsidRPr="0018386D" w:rsidRDefault="00831325" w:rsidP="00DD3106">
            <w:pPr>
              <w:pStyle w:val="TableText"/>
              <w:jc w:val="left"/>
            </w:pPr>
            <w:r w:rsidRPr="0018386D">
              <w:t>Task Force on Climate-related Financial Disclosures</w:t>
            </w:r>
          </w:p>
        </w:tc>
      </w:tr>
      <w:tr w:rsidR="00BD5274" w:rsidRPr="0018386D" w14:paraId="55198DFC" w14:textId="77777777" w:rsidTr="00462B36">
        <w:tc>
          <w:tcPr>
            <w:tcW w:w="2977" w:type="dxa"/>
            <w:shd w:val="clear" w:color="auto" w:fill="auto"/>
          </w:tcPr>
          <w:p w14:paraId="4CCFA2F6" w14:textId="7BE252FA" w:rsidR="00BD5274" w:rsidRPr="0018386D" w:rsidRDefault="00470B91" w:rsidP="00DD3106">
            <w:pPr>
              <w:pStyle w:val="TableText"/>
              <w:jc w:val="left"/>
              <w:rPr>
                <w:b/>
                <w:bCs/>
              </w:rPr>
            </w:pPr>
            <w:proofErr w:type="spellStart"/>
            <w:r w:rsidRPr="0018386D">
              <w:rPr>
                <w:b/>
                <w:bCs/>
              </w:rPr>
              <w:t>tk</w:t>
            </w:r>
            <w:r w:rsidR="00BD5274" w:rsidRPr="0018386D">
              <w:rPr>
                <w:b/>
                <w:bCs/>
              </w:rPr>
              <w:t>m</w:t>
            </w:r>
            <w:proofErr w:type="spellEnd"/>
          </w:p>
        </w:tc>
        <w:tc>
          <w:tcPr>
            <w:tcW w:w="5528" w:type="dxa"/>
          </w:tcPr>
          <w:p w14:paraId="54AB9254" w14:textId="14E17C8A" w:rsidR="00BD5274" w:rsidRPr="0018386D" w:rsidRDefault="00BD5274" w:rsidP="00DD3106">
            <w:pPr>
              <w:pStyle w:val="TableText"/>
              <w:jc w:val="left"/>
            </w:pPr>
            <w:r w:rsidRPr="0018386D">
              <w:t>Tonne-kilometre (unit of measure for freight)</w:t>
            </w:r>
          </w:p>
        </w:tc>
      </w:tr>
      <w:tr w:rsidR="00030396" w:rsidRPr="0018386D" w14:paraId="40C1BBA6" w14:textId="77777777" w:rsidTr="00462B36">
        <w:tc>
          <w:tcPr>
            <w:tcW w:w="2977" w:type="dxa"/>
            <w:shd w:val="clear" w:color="auto" w:fill="auto"/>
          </w:tcPr>
          <w:p w14:paraId="24007BE0" w14:textId="0837A7BA" w:rsidR="00030396" w:rsidRPr="0018386D" w:rsidRDefault="00030396" w:rsidP="00DD3106">
            <w:pPr>
              <w:pStyle w:val="TableText"/>
              <w:jc w:val="left"/>
              <w:rPr>
                <w:b/>
                <w:bCs/>
              </w:rPr>
            </w:pPr>
            <w:r w:rsidRPr="0018386D">
              <w:rPr>
                <w:b/>
                <w:bCs/>
              </w:rPr>
              <w:t>Unique emission factor</w:t>
            </w:r>
          </w:p>
        </w:tc>
        <w:tc>
          <w:tcPr>
            <w:tcW w:w="5528" w:type="dxa"/>
          </w:tcPr>
          <w:p w14:paraId="419D0B27" w14:textId="77DE4FA4" w:rsidR="00030396" w:rsidRPr="0018386D" w:rsidRDefault="00030396" w:rsidP="00DD3106">
            <w:pPr>
              <w:pStyle w:val="TableText"/>
              <w:jc w:val="left"/>
            </w:pPr>
            <w:r w:rsidRPr="0018386D">
              <w:t>A value given to an activity based on how emissions intensive it is. Experienced professionals must verify a unique emission factor. See</w:t>
            </w:r>
            <w:r w:rsidR="00AE136E" w:rsidRPr="0018386D">
              <w:t> </w:t>
            </w:r>
            <w:r w:rsidRPr="0018386D">
              <w:t>Climate Change (Unique Emission Factors) Regulations 2009 for</w:t>
            </w:r>
            <w:r w:rsidR="00AE136E" w:rsidRPr="0018386D">
              <w:t> </w:t>
            </w:r>
            <w:r w:rsidRPr="0018386D">
              <w:t>further information</w:t>
            </w:r>
          </w:p>
        </w:tc>
      </w:tr>
      <w:tr w:rsidR="00030396" w:rsidRPr="00703485" w14:paraId="22A800D7" w14:textId="77777777" w:rsidTr="00462B36">
        <w:tc>
          <w:tcPr>
            <w:tcW w:w="2977" w:type="dxa"/>
            <w:shd w:val="clear" w:color="auto" w:fill="auto"/>
          </w:tcPr>
          <w:p w14:paraId="108CECA5" w14:textId="21A3C3A5" w:rsidR="00030396" w:rsidRPr="0018386D" w:rsidRDefault="00030396" w:rsidP="00DD3106">
            <w:pPr>
              <w:pStyle w:val="TableText"/>
              <w:jc w:val="left"/>
              <w:rPr>
                <w:b/>
                <w:bCs/>
              </w:rPr>
            </w:pPr>
            <w:r w:rsidRPr="0018386D">
              <w:rPr>
                <w:b/>
                <w:bCs/>
              </w:rPr>
              <w:t>Uplift factor</w:t>
            </w:r>
          </w:p>
        </w:tc>
        <w:tc>
          <w:tcPr>
            <w:tcW w:w="5528" w:type="dxa"/>
          </w:tcPr>
          <w:p w14:paraId="095F28AC" w14:textId="22955DF8" w:rsidR="00030396" w:rsidRPr="00703485" w:rsidRDefault="00030396" w:rsidP="00DD3106">
            <w:pPr>
              <w:pStyle w:val="TableText"/>
              <w:jc w:val="left"/>
            </w:pPr>
            <w:r w:rsidRPr="0018386D">
              <w:t xml:space="preserve">Applied to </w:t>
            </w:r>
            <w:proofErr w:type="gramStart"/>
            <w:r w:rsidRPr="0018386D">
              <w:t>take into account</w:t>
            </w:r>
            <w:proofErr w:type="gramEnd"/>
            <w:r w:rsidRPr="0018386D">
              <w:t xml:space="preserve"> the combined ‘real-world’ effects on fuel consumption (such as non-direct flight paths)</w:t>
            </w:r>
          </w:p>
        </w:tc>
      </w:tr>
    </w:tbl>
    <w:p w14:paraId="32EA30D0" w14:textId="071B0298" w:rsidR="00F7680D" w:rsidRPr="00703485" w:rsidRDefault="00F7680D" w:rsidP="00DD3106">
      <w:pPr>
        <w:pStyle w:val="BodyText"/>
      </w:pPr>
    </w:p>
    <w:sectPr w:rsidR="00F7680D" w:rsidRPr="00703485" w:rsidSect="00055FC0">
      <w:footerReference w:type="even" r:id="rId164"/>
      <w:footerReference w:type="default" r:id="rId165"/>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C4F7" w14:textId="77777777" w:rsidR="00E86A75" w:rsidRDefault="00E86A75" w:rsidP="0080531E">
      <w:r>
        <w:separator/>
      </w:r>
    </w:p>
    <w:p w14:paraId="38621CBC" w14:textId="77777777" w:rsidR="00E86A75" w:rsidRDefault="00E86A75"/>
  </w:endnote>
  <w:endnote w:type="continuationSeparator" w:id="0">
    <w:p w14:paraId="26B6C438" w14:textId="77777777" w:rsidR="00E86A75" w:rsidRDefault="00E86A75" w:rsidP="0080531E">
      <w:r>
        <w:continuationSeparator/>
      </w:r>
    </w:p>
    <w:p w14:paraId="4C9251AA" w14:textId="77777777" w:rsidR="00E86A75" w:rsidRDefault="00E86A75"/>
  </w:endnote>
  <w:endnote w:type="continuationNotice" w:id="1">
    <w:p w14:paraId="3BCE623B" w14:textId="77777777" w:rsidR="00E86A75" w:rsidRDefault="00E86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8C9D" w14:textId="46D2D23A" w:rsidR="002503BD" w:rsidRDefault="00C2618C" w:rsidP="00C2618C">
    <w:pPr>
      <w:pStyle w:val="Footerodd"/>
    </w:pPr>
    <w:r>
      <w:tab/>
    </w:r>
    <w:r w:rsidRPr="00CC7ED7">
      <w:rPr>
        <w:rFonts w:eastAsia="Calibri" w:cs="Calibri"/>
        <w:color w:val="000000" w:themeColor="text1"/>
      </w:rPr>
      <w:t>Measuring emissions: A guide for organisations: 2023 detailed guide</w:t>
    </w:r>
    <w:r>
      <w:t xml:space="preserve"> </w:t>
    </w:r>
    <w:r>
      <w:tab/>
    </w:r>
    <w:r w:rsidR="002503BD">
      <w:fldChar w:fldCharType="begin"/>
    </w:r>
    <w:r w:rsidR="002503BD">
      <w:instrText xml:space="preserve"> PAGE   \* MERGEFORMAT </w:instrText>
    </w:r>
    <w:r w:rsidR="002503BD">
      <w:fldChar w:fldCharType="separate"/>
    </w:r>
    <w:r w:rsidR="002503BD">
      <w:rPr>
        <w:noProof/>
      </w:rPr>
      <w:t>1</w:t>
    </w:r>
    <w:r w:rsidR="002503B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C1BD" w14:textId="77777777" w:rsidR="005016C2" w:rsidRDefault="005016C2" w:rsidP="00C2618C">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C2618C">
      <w:rPr>
        <w:noProof/>
      </w:rPr>
      <w:t xml:space="preserve">Measuring emissions: A guide for organisations: 2023 </w:t>
    </w:r>
    <w:r w:rsidRPr="00472FA1">
      <w:t xml:space="preserve">detailed </w:t>
    </w:r>
    <w:proofErr w:type="gramStart"/>
    <w:r w:rsidRPr="00472FA1">
      <w:t>guide</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0CDF" w14:textId="77777777" w:rsidR="005016C2" w:rsidRDefault="005016C2" w:rsidP="00C2618C">
    <w:pPr>
      <w:pStyle w:val="Footerodd"/>
    </w:pPr>
    <w:r>
      <w:tab/>
    </w:r>
    <w:r w:rsidRPr="00CC7ED7">
      <w:rPr>
        <w:rFonts w:eastAsia="Calibri" w:cs="Calibri"/>
        <w:color w:val="000000" w:themeColor="text1"/>
      </w:rPr>
      <w:t xml:space="preserve">Measuring emissions: A guide for organisations: 2023 </w:t>
    </w:r>
    <w:r w:rsidRPr="00472FA1">
      <w:rPr>
        <w:rFonts w:eastAsia="Calibri" w:cs="Calibri"/>
        <w:color w:val="000000" w:themeColor="text1"/>
      </w:rPr>
      <w:t>detailed guide</w:t>
    </w:r>
    <w:r>
      <w:t xml:space="preserve"> </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B282" w14:textId="77777777" w:rsidR="00E86A75" w:rsidRPr="000F4F0C" w:rsidRDefault="00E86A75" w:rsidP="000F4F0C">
      <w:pPr>
        <w:spacing w:after="80" w:line="240" w:lineRule="auto"/>
      </w:pPr>
      <w:r>
        <w:separator/>
      </w:r>
    </w:p>
  </w:footnote>
  <w:footnote w:type="continuationSeparator" w:id="0">
    <w:p w14:paraId="011B4428" w14:textId="77777777" w:rsidR="00E86A75" w:rsidRDefault="00E86A75" w:rsidP="0080531E">
      <w:r>
        <w:continuationSeparator/>
      </w:r>
    </w:p>
    <w:p w14:paraId="0E127213" w14:textId="77777777" w:rsidR="00E86A75" w:rsidRDefault="00E86A75"/>
  </w:footnote>
  <w:footnote w:type="continuationNotice" w:id="1">
    <w:p w14:paraId="775CC257" w14:textId="77777777" w:rsidR="00E86A75" w:rsidRDefault="00E86A75"/>
  </w:footnote>
  <w:footnote w:id="2">
    <w:p w14:paraId="529506E6" w14:textId="0A511338" w:rsidR="004532D7" w:rsidRDefault="004532D7" w:rsidP="004532D7">
      <w:pPr>
        <w:pStyle w:val="FootnoteText"/>
      </w:pPr>
      <w:r>
        <w:rPr>
          <w:rStyle w:val="FootnoteReference"/>
        </w:rPr>
        <w:footnoteRef/>
      </w:r>
      <w:r>
        <w:t xml:space="preserve"> </w:t>
      </w:r>
      <w:r>
        <w:tab/>
      </w:r>
      <w:hyperlink r:id="rId1" w:history="1">
        <w:r w:rsidRPr="00676D6E">
          <w:rPr>
            <w:rStyle w:val="Hyperlink"/>
          </w:rPr>
          <w:t>https://environment.govt.nz/publications/cngp-measuring-and-reporting-ghg-emissions/</w:t>
        </w:r>
      </w:hyperlink>
      <w:r w:rsidR="00E3722A" w:rsidRPr="00E3722A">
        <w:rPr>
          <w:rStyle w:val="Hyperlink"/>
          <w:color w:val="auto"/>
        </w:rPr>
        <w:t>.</w:t>
      </w:r>
      <w:r>
        <w:t xml:space="preserve"> </w:t>
      </w:r>
    </w:p>
  </w:footnote>
  <w:footnote w:id="3">
    <w:p w14:paraId="3A36822B" w14:textId="476EC629" w:rsidR="004532D7" w:rsidRDefault="004532D7" w:rsidP="001F3124">
      <w:pPr>
        <w:pStyle w:val="FootnoteText"/>
      </w:pPr>
      <w:r>
        <w:rPr>
          <w:rStyle w:val="FootnoteReference"/>
        </w:rPr>
        <w:footnoteRef/>
      </w:r>
      <w:r>
        <w:t xml:space="preserve"> </w:t>
      </w:r>
      <w:r>
        <w:tab/>
        <w:t xml:space="preserve">Carbon Neural Government </w:t>
      </w:r>
      <w:r w:rsidRPr="001F3124">
        <w:t>Programme</w:t>
      </w:r>
      <w:r>
        <w:t xml:space="preserve"> accessed via: </w:t>
      </w:r>
      <w:hyperlink r:id="rId2" w:history="1">
        <w:r w:rsidRPr="00BB3C6E">
          <w:rPr>
            <w:rStyle w:val="Hyperlink"/>
          </w:rPr>
          <w:t>https://environment.govt.nz/what-government-is-doing/key-initiatives/carbon-neutral-government-programme/</w:t>
        </w:r>
      </w:hyperlink>
      <w:r w:rsidR="00E3722A">
        <w:t>.</w:t>
      </w:r>
    </w:p>
  </w:footnote>
  <w:footnote w:id="4">
    <w:p w14:paraId="440B1DC0" w14:textId="0E62CF54" w:rsidR="007F4695" w:rsidRDefault="007F4695">
      <w:pPr>
        <w:pStyle w:val="FootnoteText"/>
      </w:pPr>
      <w:r>
        <w:rPr>
          <w:rStyle w:val="FootnoteReference"/>
        </w:rPr>
        <w:footnoteRef/>
      </w:r>
      <w:r>
        <w:t xml:space="preserve"> </w:t>
      </w:r>
      <w:r w:rsidR="00CF7698">
        <w:tab/>
      </w:r>
      <w:hyperlink r:id="rId3" w:anchor="LCI" w:history="1">
        <w:r w:rsidR="00CF7698" w:rsidRPr="00676D6E">
          <w:rPr>
            <w:rStyle w:val="Hyperlink"/>
          </w:rPr>
          <w:t>https://lcanz.org.nz/lca-guidance/lca-resources/#LCI</w:t>
        </w:r>
      </w:hyperlink>
      <w:r w:rsidR="00EA1D8C">
        <w:t>.</w:t>
      </w:r>
    </w:p>
  </w:footnote>
  <w:footnote w:id="5">
    <w:p w14:paraId="05344A00" w14:textId="74BEBA38" w:rsidR="00F5320E" w:rsidRDefault="00F5320E" w:rsidP="00DA3958">
      <w:pPr>
        <w:pStyle w:val="FootnoteText"/>
      </w:pPr>
      <w:r>
        <w:rPr>
          <w:rStyle w:val="FootnoteReference"/>
        </w:rPr>
        <w:footnoteRef/>
      </w:r>
      <w:r>
        <w:t xml:space="preserve"> </w:t>
      </w:r>
      <w:r>
        <w:tab/>
      </w:r>
      <w:r w:rsidRPr="00554A4F">
        <w:t xml:space="preserve">The </w:t>
      </w:r>
      <w:r w:rsidRPr="00A94C3E">
        <w:rPr>
          <w:iCs/>
        </w:rPr>
        <w:t>GHG Protocol</w:t>
      </w:r>
      <w:r w:rsidRPr="00554A4F">
        <w:t xml:space="preserve"> </w:t>
      </w:r>
      <w:r>
        <w:t xml:space="preserve">added </w:t>
      </w:r>
      <w:r w:rsidRPr="003200EF">
        <w:rPr>
          <w:rFonts w:eastAsia="Times New Roman" w:cs="Calibri"/>
          <w:spacing w:val="2"/>
          <w:shd w:val="clear" w:color="auto" w:fill="FFFFFF"/>
        </w:rPr>
        <w:t>nitrogen trifluoride</w:t>
      </w:r>
      <w:r>
        <w:rPr>
          <w:rFonts w:eastAsia="Times New Roman" w:cs="Calibri"/>
          <w:sz w:val="18"/>
          <w:szCs w:val="18"/>
          <w:shd w:val="clear" w:color="auto" w:fill="FFFFFF"/>
          <w:vertAlign w:val="subscript"/>
        </w:rPr>
        <w:t xml:space="preserve"> </w:t>
      </w:r>
      <w:r w:rsidRPr="00554A4F">
        <w:t>in 2013 as a require</w:t>
      </w:r>
      <w:r>
        <w:t xml:space="preserve">ment and </w:t>
      </w:r>
      <w:r w:rsidRPr="004E286A">
        <w:rPr>
          <w:iCs/>
        </w:rPr>
        <w:t>ISO 14064-1</w:t>
      </w:r>
      <w:r w:rsidRPr="005C37BE">
        <w:t xml:space="preserve"> </w:t>
      </w:r>
      <w:r>
        <w:t>included</w:t>
      </w:r>
      <w:r w:rsidRPr="005C37BE">
        <w:t xml:space="preserve"> </w:t>
      </w:r>
      <w:r w:rsidRPr="003200EF">
        <w:rPr>
          <w:rFonts w:eastAsia="Times New Roman" w:cs="Calibri"/>
          <w:spacing w:val="2"/>
          <w:shd w:val="clear" w:color="auto" w:fill="FFFFFF"/>
        </w:rPr>
        <w:t>nitrogen trifluoride</w:t>
      </w:r>
      <w:r w:rsidRPr="005C37BE">
        <w:t xml:space="preserve"> in </w:t>
      </w:r>
      <w:r w:rsidRPr="00DF382A">
        <w:t>2018</w:t>
      </w:r>
      <w:r w:rsidRPr="00554A4F">
        <w:rPr>
          <w:i/>
        </w:rPr>
        <w:t>.</w:t>
      </w:r>
      <w:r w:rsidRPr="00554A4F">
        <w:t xml:space="preserve"> This is </w:t>
      </w:r>
      <w:r w:rsidRPr="00DA3958">
        <w:t>consistent</w:t>
      </w:r>
      <w:r w:rsidRPr="00554A4F">
        <w:t xml:space="preserve"> with </w:t>
      </w:r>
      <w:hyperlink r:id="rId4" w:history="1">
        <w:r w:rsidRPr="00D44E0E">
          <w:rPr>
            <w:rStyle w:val="Hyperlink"/>
            <w:i/>
            <w:iCs/>
          </w:rPr>
          <w:t>New Zealand’s Greenhouse Gas Inventory 1990</w:t>
        </w:r>
        <w:r w:rsidR="00DA3958">
          <w:rPr>
            <w:rStyle w:val="Hyperlink"/>
            <w:i/>
            <w:iCs/>
          </w:rPr>
          <w:t>–</w:t>
        </w:r>
        <w:r w:rsidRPr="00D44E0E">
          <w:rPr>
            <w:rStyle w:val="Hyperlink"/>
            <w:i/>
            <w:iCs/>
          </w:rPr>
          <w:t>2021</w:t>
        </w:r>
      </w:hyperlink>
      <w:r>
        <w:t>.</w:t>
      </w:r>
    </w:p>
  </w:footnote>
  <w:footnote w:id="6">
    <w:p w14:paraId="5218F059" w14:textId="10480C2C" w:rsidR="00DB5335" w:rsidRDefault="00DB5335" w:rsidP="00485E98">
      <w:pPr>
        <w:pStyle w:val="FootnoteText"/>
      </w:pPr>
      <w:r>
        <w:rPr>
          <w:rStyle w:val="FootnoteReference"/>
        </w:rPr>
        <w:footnoteRef/>
      </w:r>
      <w:r>
        <w:t xml:space="preserve"> </w:t>
      </w:r>
      <w:r>
        <w:tab/>
        <w:t xml:space="preserve">UNFCCC, What </w:t>
      </w:r>
      <w:r w:rsidRPr="00485E98">
        <w:t>is</w:t>
      </w:r>
      <w:r>
        <w:t xml:space="preserve"> the Kyoto Protocol accessed via: </w:t>
      </w:r>
      <w:hyperlink r:id="rId5" w:history="1">
        <w:r w:rsidRPr="00791D53">
          <w:rPr>
            <w:rStyle w:val="Hyperlink"/>
          </w:rPr>
          <w:t>https://unfccc.int/kyoto_protocol</w:t>
        </w:r>
      </w:hyperlink>
      <w:r w:rsidR="005C3D6A">
        <w:t>.</w:t>
      </w:r>
    </w:p>
  </w:footnote>
  <w:footnote w:id="7">
    <w:p w14:paraId="2759D854" w14:textId="7EF4785A" w:rsidR="00DB5335" w:rsidRDefault="00DB5335" w:rsidP="00485E98">
      <w:pPr>
        <w:pStyle w:val="FootnoteText"/>
      </w:pPr>
      <w:r>
        <w:rPr>
          <w:rStyle w:val="FootnoteReference"/>
        </w:rPr>
        <w:footnoteRef/>
      </w:r>
      <w:r>
        <w:t xml:space="preserve"> </w:t>
      </w:r>
      <w:r>
        <w:tab/>
        <w:t xml:space="preserve">UNDP, Montreal Protocol, </w:t>
      </w:r>
      <w:r w:rsidRPr="00485E98">
        <w:t>accessed</w:t>
      </w:r>
      <w:r>
        <w:t xml:space="preserve"> via: </w:t>
      </w:r>
      <w:hyperlink r:id="rId6" w:history="1">
        <w:r w:rsidR="00485E98" w:rsidRPr="00110FF9">
          <w:rPr>
            <w:rStyle w:val="Hyperlink"/>
          </w:rPr>
          <w:t>www.unep.org/ozonaction/who-we-are/about-montreal-protocol</w:t>
        </w:r>
      </w:hyperlink>
      <w:r w:rsidR="005C3D6A">
        <w:t>.</w:t>
      </w:r>
    </w:p>
  </w:footnote>
  <w:footnote w:id="8">
    <w:p w14:paraId="4DC86B27" w14:textId="17FBE7AB" w:rsidR="00DB5335" w:rsidRDefault="00DB5335" w:rsidP="00E80E1E">
      <w:pPr>
        <w:pStyle w:val="FootnoteText"/>
        <w:spacing w:after="40" w:line="220" w:lineRule="atLeast"/>
      </w:pPr>
      <w:r w:rsidRPr="000E4186">
        <w:rPr>
          <w:rStyle w:val="FootnoteReference"/>
        </w:rPr>
        <w:footnoteRef/>
      </w:r>
      <w:r w:rsidRPr="000E4186">
        <w:t xml:space="preserve"> </w:t>
      </w:r>
      <w:r>
        <w:tab/>
      </w:r>
      <w:r w:rsidRPr="00554A4F">
        <w:t xml:space="preserve">Published by the International </w:t>
      </w:r>
      <w:r w:rsidRPr="00285D36">
        <w:t>Organization for Standardization</w:t>
      </w:r>
      <w:r w:rsidRPr="00554A4F">
        <w:t xml:space="preserve">. This standard is closely based on </w:t>
      </w:r>
      <w:r>
        <w:t>the</w:t>
      </w:r>
      <w:r>
        <w:rPr>
          <w:i/>
        </w:rPr>
        <w:t xml:space="preserve"> </w:t>
      </w:r>
      <w:r w:rsidRPr="00A94C3E">
        <w:rPr>
          <w:iCs/>
        </w:rPr>
        <w:t>GHG Protocol</w:t>
      </w:r>
      <w:r w:rsidRPr="00554A4F">
        <w:t>.</w:t>
      </w:r>
    </w:p>
  </w:footnote>
  <w:footnote w:id="9">
    <w:p w14:paraId="1CC385B2" w14:textId="62B0E4CF" w:rsidR="00DB5335" w:rsidRDefault="00DB5335" w:rsidP="00E80E1E">
      <w:pPr>
        <w:pStyle w:val="FootnoteText"/>
        <w:spacing w:after="40" w:line="220" w:lineRule="atLeast"/>
      </w:pPr>
      <w:r w:rsidRPr="000E4186">
        <w:rPr>
          <w:rStyle w:val="FootnoteReference"/>
        </w:rPr>
        <w:footnoteRef/>
      </w:r>
      <w:r w:rsidRPr="000E4186">
        <w:t xml:space="preserve"> </w:t>
      </w:r>
      <w:r>
        <w:tab/>
      </w:r>
      <w:r w:rsidRPr="00554A4F">
        <w:t>Developed jointly by the World Resources Institute (WRI) and the World Business Council for Sustainable Development (WBCSD).</w:t>
      </w:r>
    </w:p>
  </w:footnote>
  <w:footnote w:id="10">
    <w:p w14:paraId="18D202A3" w14:textId="07A6EC38" w:rsidR="00DB5335" w:rsidRPr="005A3F16" w:rsidRDefault="00DB5335" w:rsidP="00DA6BFB">
      <w:pPr>
        <w:pStyle w:val="FootnoteText"/>
      </w:pPr>
      <w:r w:rsidRPr="00D306AC">
        <w:rPr>
          <w:rStyle w:val="FootnoteReference"/>
        </w:rPr>
        <w:footnoteRef/>
      </w:r>
      <w:r w:rsidRPr="005A3F16">
        <w:t xml:space="preserve"> </w:t>
      </w:r>
      <w:r w:rsidRPr="005A3F16">
        <w:tab/>
        <w:t>See</w:t>
      </w:r>
      <w:r w:rsidR="00711795" w:rsidRPr="005A3F16">
        <w:t xml:space="preserve"> </w:t>
      </w:r>
      <w:hyperlink w:anchor="_Glossary" w:history="1">
        <w:r w:rsidR="00BE7E60" w:rsidRPr="005A3F16">
          <w:t>Glossary</w:t>
        </w:r>
      </w:hyperlink>
      <w:r w:rsidRPr="005A3F16">
        <w:rPr>
          <w:color w:val="32809C" w:themeColor="accent2"/>
        </w:rPr>
        <w:t xml:space="preserve"> </w:t>
      </w:r>
      <w:r w:rsidRPr="005A3F16">
        <w:t>for definitions.</w:t>
      </w:r>
    </w:p>
  </w:footnote>
  <w:footnote w:id="11">
    <w:p w14:paraId="14FF697B" w14:textId="29C0D3E5" w:rsidR="00DB5335" w:rsidRDefault="00DB5335" w:rsidP="00D306AC">
      <w:pPr>
        <w:pStyle w:val="FootnoteText"/>
      </w:pPr>
      <w:r w:rsidRPr="00D306AC">
        <w:rPr>
          <w:rStyle w:val="FootnoteReference"/>
        </w:rPr>
        <w:footnoteRef/>
      </w:r>
      <w:r w:rsidRPr="005A3F16">
        <w:t xml:space="preserve"> </w:t>
      </w:r>
      <w:r w:rsidRPr="005A3F16">
        <w:tab/>
        <w:t>See</w:t>
      </w:r>
      <w:r w:rsidR="003A65BD" w:rsidRPr="005A3F16">
        <w:t xml:space="preserve"> </w:t>
      </w:r>
      <w:hyperlink w:anchor="_Glossary" w:history="1">
        <w:r w:rsidR="00BE7E60" w:rsidRPr="005A3F16">
          <w:t>Glossary</w:t>
        </w:r>
      </w:hyperlink>
      <w:r w:rsidRPr="005A3F16">
        <w:rPr>
          <w:color w:val="32809C" w:themeColor="accent2"/>
        </w:rPr>
        <w:t xml:space="preserve"> </w:t>
      </w:r>
      <w:r w:rsidRPr="005A3F16">
        <w:t>for definition.</w:t>
      </w:r>
    </w:p>
  </w:footnote>
  <w:footnote w:id="12">
    <w:p w14:paraId="5EB5517F" w14:textId="77777777" w:rsidR="0070085B" w:rsidRPr="00D306AC" w:rsidRDefault="0070085B" w:rsidP="00D306AC">
      <w:pPr>
        <w:pStyle w:val="FootnoteText"/>
      </w:pPr>
      <w:r w:rsidRPr="00D306AC">
        <w:rPr>
          <w:rStyle w:val="FootnoteReference"/>
        </w:rPr>
        <w:footnoteRef/>
      </w:r>
      <w:r w:rsidRPr="005A3F16">
        <w:t xml:space="preserve"> </w:t>
      </w:r>
      <w:r w:rsidRPr="005A3F16">
        <w:tab/>
        <w:t xml:space="preserve">See </w:t>
      </w:r>
      <w:hyperlink w:anchor="_Glossary" w:history="1">
        <w:r w:rsidRPr="005A3F16">
          <w:t>Glossary</w:t>
        </w:r>
      </w:hyperlink>
      <w:r w:rsidRPr="005A3F16">
        <w:rPr>
          <w:color w:val="32809C" w:themeColor="accent2"/>
        </w:rPr>
        <w:t xml:space="preserve"> </w:t>
      </w:r>
      <w:r w:rsidRPr="005A3F16">
        <w:t xml:space="preserve">for </w:t>
      </w:r>
      <w:r w:rsidRPr="00D306AC">
        <w:t>definition</w:t>
      </w:r>
      <w:r w:rsidRPr="005A3F16">
        <w:t>.</w:t>
      </w:r>
    </w:p>
  </w:footnote>
  <w:footnote w:id="13">
    <w:p w14:paraId="673FDAF7" w14:textId="54911391" w:rsidR="00DB5335" w:rsidRDefault="00DB5335" w:rsidP="00AB3A38">
      <w:pPr>
        <w:pStyle w:val="FootnoteText"/>
      </w:pPr>
      <w:r>
        <w:rPr>
          <w:rStyle w:val="FootnoteReference"/>
        </w:rPr>
        <w:footnoteRef/>
      </w:r>
      <w:r>
        <w:t xml:space="preserve"> </w:t>
      </w:r>
      <w:r>
        <w:tab/>
      </w:r>
      <w:r w:rsidR="00D22417">
        <w:t>T</w:t>
      </w:r>
      <w:r>
        <w:t xml:space="preserve">he emission factors in the example calculations within this document, the </w:t>
      </w:r>
      <w:hyperlink r:id="rId7" w:history="1">
        <w:r w:rsidRPr="001774BF">
          <w:rPr>
            <w:rStyle w:val="Hyperlink"/>
          </w:rPr>
          <w:t xml:space="preserve">Emission </w:t>
        </w:r>
        <w:r w:rsidR="00227185" w:rsidRPr="001774BF">
          <w:rPr>
            <w:rStyle w:val="Hyperlink"/>
          </w:rPr>
          <w:t>f</w:t>
        </w:r>
        <w:r w:rsidRPr="001774BF">
          <w:rPr>
            <w:rStyle w:val="Hyperlink"/>
          </w:rPr>
          <w:t xml:space="preserve">actors </w:t>
        </w:r>
        <w:r w:rsidR="00227185" w:rsidRPr="001774BF">
          <w:rPr>
            <w:rStyle w:val="Hyperlink"/>
          </w:rPr>
          <w:t>s</w:t>
        </w:r>
        <w:r w:rsidRPr="001774BF">
          <w:rPr>
            <w:rStyle w:val="Hyperlink"/>
          </w:rPr>
          <w:t>ummary</w:t>
        </w:r>
      </w:hyperlink>
      <w:r>
        <w:t xml:space="preserve"> and the </w:t>
      </w:r>
      <w:hyperlink r:id="rId8" w:history="1">
        <w:r w:rsidRPr="007D49B5">
          <w:rPr>
            <w:rStyle w:val="Hyperlink"/>
          </w:rPr>
          <w:t xml:space="preserve">Emission </w:t>
        </w:r>
        <w:r w:rsidR="006956FA" w:rsidRPr="007D49B5">
          <w:rPr>
            <w:rStyle w:val="Hyperlink"/>
          </w:rPr>
          <w:t>f</w:t>
        </w:r>
        <w:r w:rsidRPr="007D49B5">
          <w:rPr>
            <w:rStyle w:val="Hyperlink"/>
          </w:rPr>
          <w:t xml:space="preserve">actors </w:t>
        </w:r>
        <w:r w:rsidR="006956FA" w:rsidRPr="007D49B5">
          <w:rPr>
            <w:rStyle w:val="Hyperlink"/>
          </w:rPr>
          <w:t>w</w:t>
        </w:r>
        <w:r w:rsidRPr="007D49B5">
          <w:rPr>
            <w:rStyle w:val="Hyperlink"/>
          </w:rPr>
          <w:t>orkbook</w:t>
        </w:r>
      </w:hyperlink>
      <w:r>
        <w:t xml:space="preserve"> are rounded. In the </w:t>
      </w:r>
      <w:hyperlink r:id="rId9" w:history="1">
        <w:r w:rsidRPr="00E43B26">
          <w:rPr>
            <w:rStyle w:val="Hyperlink"/>
          </w:rPr>
          <w:t xml:space="preserve">Interactive </w:t>
        </w:r>
        <w:r w:rsidR="00BC56F5" w:rsidRPr="00E43B26">
          <w:rPr>
            <w:rStyle w:val="Hyperlink"/>
          </w:rPr>
          <w:t>w</w:t>
        </w:r>
        <w:r w:rsidRPr="00E43B26">
          <w:rPr>
            <w:rStyle w:val="Hyperlink"/>
          </w:rPr>
          <w:t>orkbook</w:t>
        </w:r>
      </w:hyperlink>
      <w:r>
        <w:t xml:space="preserve"> they are not. For this reason, you may notice small discrepancies between the answers in the example calculations and the answers provided in the Interactive </w:t>
      </w:r>
      <w:r w:rsidR="00BC56F5">
        <w:t>w</w:t>
      </w:r>
      <w:r>
        <w:t>orkbook.</w:t>
      </w:r>
    </w:p>
  </w:footnote>
  <w:footnote w:id="14">
    <w:p w14:paraId="028D7549" w14:textId="09F3BF44" w:rsidR="00DB5335" w:rsidRPr="002537CD" w:rsidRDefault="00DB5335" w:rsidP="00AB3A38">
      <w:pPr>
        <w:pStyle w:val="FootnoteText"/>
      </w:pPr>
      <w:r w:rsidRPr="002537CD">
        <w:rPr>
          <w:rStyle w:val="FootnoteReference"/>
        </w:rPr>
        <w:footnoteRef/>
      </w:r>
      <w:r>
        <w:tab/>
        <w:t>For example, the methane and</w:t>
      </w:r>
      <w:r>
        <w:rPr>
          <w:sz w:val="14"/>
          <w:szCs w:val="14"/>
        </w:rPr>
        <w:t xml:space="preserve"> </w:t>
      </w:r>
      <w:r>
        <w:t>nitrous oxide emission facto</w:t>
      </w:r>
      <w:r w:rsidRPr="009653AF">
        <w:t xml:space="preserve">rs for diesel used for industrial heating are </w:t>
      </w:r>
      <w:r w:rsidRPr="00AB3A38">
        <w:t>different</w:t>
      </w:r>
      <w:r w:rsidRPr="009653AF">
        <w:t xml:space="preserve"> </w:t>
      </w:r>
      <w:r>
        <w:t>from</w:t>
      </w:r>
      <w:r w:rsidRPr="009653AF">
        <w:t xml:space="preserve"> the </w:t>
      </w:r>
      <w:r w:rsidRPr="00AB3A38">
        <w:t>methane</w:t>
      </w:r>
      <w:r w:rsidRPr="009653AF">
        <w:t xml:space="preserve"> and </w:t>
      </w:r>
      <w:r>
        <w:t>nitrous oxide</w:t>
      </w:r>
      <w:r w:rsidRPr="009653AF">
        <w:t xml:space="preserve"> emission factors for diesel used</w:t>
      </w:r>
      <w:r>
        <w:t xml:space="preserve"> in vehicles.</w:t>
      </w:r>
    </w:p>
  </w:footnote>
  <w:footnote w:id="15">
    <w:p w14:paraId="4679B319" w14:textId="54FEFA47" w:rsidR="00DB5335" w:rsidRDefault="00DB5335">
      <w:pPr>
        <w:pStyle w:val="FootnoteText"/>
      </w:pPr>
      <w:r>
        <w:rPr>
          <w:rStyle w:val="FootnoteReference"/>
        </w:rPr>
        <w:footnoteRef/>
      </w:r>
      <w:r>
        <w:t xml:space="preserve"> </w:t>
      </w:r>
      <w:r>
        <w:tab/>
      </w:r>
      <w:hyperlink r:id="rId10" w:history="1">
        <w:r w:rsidR="0074782A" w:rsidRPr="000A57D6">
          <w:rPr>
            <w:rStyle w:val="Hyperlink"/>
            <w:i/>
          </w:rPr>
          <w:t>2006 IPCC Guidelines for National Greenhouse Gas Inventories</w:t>
        </w:r>
      </w:hyperlink>
      <w:r w:rsidR="0074782A">
        <w:t>, Volume 2, Chapter 2.</w:t>
      </w:r>
    </w:p>
  </w:footnote>
  <w:footnote w:id="16">
    <w:p w14:paraId="5262FBBA" w14:textId="4F2C729F" w:rsidR="002E4FF6" w:rsidRDefault="002E4FF6">
      <w:pPr>
        <w:pStyle w:val="FootnoteText"/>
      </w:pPr>
      <w:r>
        <w:rPr>
          <w:rStyle w:val="FootnoteReference"/>
        </w:rPr>
        <w:footnoteRef/>
      </w:r>
      <w:r>
        <w:t xml:space="preserve"> </w:t>
      </w:r>
      <w:r w:rsidRPr="002E4FF6">
        <w:rPr>
          <w:rFonts w:ascii="Segoe UI" w:eastAsiaTheme="minorHAnsi" w:hAnsi="Segoe UI" w:cs="Segoe UI"/>
          <w:sz w:val="18"/>
          <w:szCs w:val="18"/>
          <w:lang w:val="en-US" w:eastAsia="en-US"/>
        </w:rPr>
        <w:t>An independent assurer or verifier is an organisation or person that has not assisted in the calculation of the emission inventory in any way and does not provide a tool for the calculation of these emissions</w:t>
      </w:r>
      <w:r>
        <w:rPr>
          <w:rFonts w:ascii="Segoe UI" w:eastAsiaTheme="minorHAnsi" w:hAnsi="Segoe UI" w:cs="Segoe UI"/>
          <w:sz w:val="18"/>
          <w:szCs w:val="18"/>
          <w:lang w:val="en-US" w:eastAsia="en-US"/>
        </w:rPr>
        <w:t>.</w:t>
      </w:r>
    </w:p>
  </w:footnote>
  <w:footnote w:id="17">
    <w:p w14:paraId="0BB8519D" w14:textId="1308794C" w:rsidR="00DB5335" w:rsidRDefault="00DB5335" w:rsidP="008B0B1F">
      <w:pPr>
        <w:pStyle w:val="FootnoteText"/>
      </w:pPr>
      <w:r>
        <w:rPr>
          <w:rStyle w:val="FootnoteReference"/>
        </w:rPr>
        <w:footnoteRef/>
      </w:r>
      <w:r>
        <w:t xml:space="preserve"> </w:t>
      </w:r>
      <w:r>
        <w:tab/>
        <w:t xml:space="preserve">ANZSIC – </w:t>
      </w:r>
      <w:r w:rsidRPr="008B0B1F">
        <w:t>Australian</w:t>
      </w:r>
      <w:r>
        <w:t xml:space="preserve"> and New Zealand Standard Industrial Classification.</w:t>
      </w:r>
    </w:p>
  </w:footnote>
  <w:footnote w:id="18">
    <w:p w14:paraId="5B727A66" w14:textId="4F30A74C" w:rsidR="009918B3" w:rsidRDefault="009918B3">
      <w:pPr>
        <w:pStyle w:val="FootnoteText"/>
      </w:pPr>
      <w:r w:rsidRPr="00E96DAE">
        <w:rPr>
          <w:rStyle w:val="FootnoteReference"/>
        </w:rPr>
        <w:footnoteRef/>
      </w:r>
      <w:r w:rsidRPr="00E96DAE">
        <w:t xml:space="preserve"> </w:t>
      </w:r>
      <w:r w:rsidR="00DF7511">
        <w:tab/>
      </w:r>
      <w:hyperlink r:id="rId11" w:history="1">
        <w:r w:rsidRPr="00334454">
          <w:rPr>
            <w:rStyle w:val="Hyperlink"/>
          </w:rPr>
          <w:t xml:space="preserve">Climate </w:t>
        </w:r>
        <w:r w:rsidRPr="00806DE4">
          <w:rPr>
            <w:rStyle w:val="Hyperlink"/>
          </w:rPr>
          <w:t>Change</w:t>
        </w:r>
        <w:r w:rsidRPr="00334454">
          <w:rPr>
            <w:rStyle w:val="Hyperlink"/>
          </w:rPr>
          <w:t xml:space="preserve"> (Liquid Fossil Fuels) Regulations 2008 (SR 2008/356) (as at </w:t>
        </w:r>
        <w:r w:rsidR="004A1C4D" w:rsidRPr="00334454">
          <w:rPr>
            <w:rStyle w:val="Hyperlink"/>
          </w:rPr>
          <w:t>16 May 2023</w:t>
        </w:r>
        <w:r w:rsidRPr="00334454">
          <w:rPr>
            <w:rStyle w:val="Hyperlink"/>
          </w:rPr>
          <w:t>) Schedule Emissions factors for tonnes of carbon dioxide equivalent greenhouse gases per kilolitre</w:t>
        </w:r>
      </w:hyperlink>
      <w:r w:rsidR="00334454">
        <w:t xml:space="preserve"> </w:t>
      </w:r>
      <w:r w:rsidRPr="00334454">
        <w:t xml:space="preserve"> – New Zealand Legislation</w:t>
      </w:r>
      <w:r w:rsidR="00DD3B8D">
        <w:rPr>
          <w:rStyle w:val="Hyperlink"/>
          <w:color w:val="auto"/>
        </w:rPr>
        <w:t>.</w:t>
      </w:r>
    </w:p>
  </w:footnote>
  <w:footnote w:id="19">
    <w:p w14:paraId="325543F4" w14:textId="0ECC37D4" w:rsidR="00DB5335" w:rsidRPr="00E3038E" w:rsidRDefault="00DB5335" w:rsidP="00BD438D">
      <w:pPr>
        <w:pStyle w:val="FootnoteText"/>
        <w:rPr>
          <w:szCs w:val="19"/>
        </w:rPr>
      </w:pPr>
      <w:r w:rsidRPr="00E3038E">
        <w:rPr>
          <w:rStyle w:val="FootnoteReference"/>
          <w:sz w:val="19"/>
          <w:szCs w:val="19"/>
        </w:rPr>
        <w:footnoteRef/>
      </w:r>
      <w:r w:rsidRPr="00E3038E">
        <w:rPr>
          <w:szCs w:val="19"/>
        </w:rPr>
        <w:t xml:space="preserve"> </w:t>
      </w:r>
      <w:r w:rsidRPr="00E3038E">
        <w:rPr>
          <w:szCs w:val="19"/>
        </w:rPr>
        <w:tab/>
      </w:r>
      <w:r w:rsidRPr="00E3038E">
        <w:rPr>
          <w:i/>
          <w:szCs w:val="19"/>
        </w:rPr>
        <w:t>2006 Guidelines for Greenhouse Gas Inventories</w:t>
      </w:r>
      <w:r w:rsidRPr="00E3038E">
        <w:rPr>
          <w:szCs w:val="19"/>
        </w:rPr>
        <w:t xml:space="preserve">, Volume 2, Energy, accessed via: </w:t>
      </w:r>
      <w:r>
        <w:rPr>
          <w:szCs w:val="19"/>
        </w:rPr>
        <w:br/>
      </w:r>
      <w:hyperlink r:id="rId12" w:history="1">
        <w:r w:rsidR="004037D4" w:rsidRPr="00676D6E">
          <w:rPr>
            <w:rStyle w:val="Hyperlink"/>
            <w:szCs w:val="19"/>
          </w:rPr>
          <w:t>www.ipcc-nggip.iges.or.jp/public/2006gl/vol2.html</w:t>
        </w:r>
      </w:hyperlink>
      <w:r w:rsidR="00952FA0">
        <w:rPr>
          <w:szCs w:val="19"/>
        </w:rPr>
        <w:t>.</w:t>
      </w:r>
    </w:p>
  </w:footnote>
  <w:footnote w:id="20">
    <w:p w14:paraId="5CA59159" w14:textId="1725993E" w:rsidR="00DB5335" w:rsidRDefault="00DB5335" w:rsidP="00315701">
      <w:pPr>
        <w:pStyle w:val="FootnoteText"/>
      </w:pPr>
      <w:r w:rsidRPr="00E3038E">
        <w:rPr>
          <w:rStyle w:val="FootnoteReference"/>
          <w:sz w:val="19"/>
          <w:szCs w:val="19"/>
        </w:rPr>
        <w:footnoteRef/>
      </w:r>
      <w:r w:rsidRPr="00E3038E">
        <w:t xml:space="preserve"> </w:t>
      </w:r>
      <w:r w:rsidRPr="00E3038E">
        <w:tab/>
        <w:t xml:space="preserve">The GHG Protocol guidance on this </w:t>
      </w:r>
      <w:r w:rsidRPr="00315701">
        <w:t>is</w:t>
      </w:r>
      <w:r w:rsidRPr="00E3038E">
        <w:t xml:space="preserve"> accessed via: </w:t>
      </w:r>
      <w:hyperlink r:id="rId13" w:history="1">
        <w:r w:rsidRPr="00E3038E">
          <w:rPr>
            <w:rStyle w:val="Hyperlink"/>
            <w:szCs w:val="19"/>
          </w:rPr>
          <w:t>https://ghgprotocol.org/sites/default/files/Stationary_Combustion_Guidance_final_1.pdf</w:t>
        </w:r>
      </w:hyperlink>
      <w:r w:rsidR="00952FA0">
        <w:t>.</w:t>
      </w:r>
    </w:p>
  </w:footnote>
  <w:footnote w:id="21">
    <w:p w14:paraId="3906CEE9" w14:textId="04021FC0" w:rsidR="001E0CF1" w:rsidRDefault="001E0CF1">
      <w:pPr>
        <w:pStyle w:val="FootnoteText"/>
      </w:pPr>
      <w:r>
        <w:rPr>
          <w:rStyle w:val="FootnoteReference"/>
        </w:rPr>
        <w:footnoteRef/>
      </w:r>
      <w:r>
        <w:t xml:space="preserve"> </w:t>
      </w:r>
      <w:r>
        <w:tab/>
      </w:r>
      <w:r w:rsidRPr="001E0CF1">
        <w:t xml:space="preserve">Refrigerant blends are sourced from ASHRAE: </w:t>
      </w:r>
      <w:hyperlink r:id="rId14" w:history="1">
        <w:r w:rsidRPr="002C5419">
          <w:rPr>
            <w:rStyle w:val="Hyperlink"/>
          </w:rPr>
          <w:t>www.ashrae.org/technical-resources/standards-and-guidelines/ashrae-refrigerant-designations</w:t>
        </w:r>
      </w:hyperlink>
      <w:r>
        <w:t xml:space="preserve"> </w:t>
      </w:r>
    </w:p>
  </w:footnote>
  <w:footnote w:id="22">
    <w:p w14:paraId="25B047B3" w14:textId="6C9699BF" w:rsidR="006A6473" w:rsidRDefault="006A6473" w:rsidP="00036DAE">
      <w:pPr>
        <w:pStyle w:val="FootnoteText"/>
      </w:pPr>
      <w:r>
        <w:rPr>
          <w:rStyle w:val="FootnoteReference"/>
        </w:rPr>
        <w:footnoteRef/>
      </w:r>
      <w:r>
        <w:t xml:space="preserve"> </w:t>
      </w:r>
      <w:r w:rsidR="00036DAE">
        <w:tab/>
      </w:r>
      <w:hyperlink r:id="rId15" w:history="1">
        <w:r w:rsidR="00235949" w:rsidRPr="002C5419">
          <w:rPr>
            <w:rStyle w:val="Hyperlink"/>
          </w:rPr>
          <w:t>https://www.mbie.govt.nz/building-and-energy/energy-and-natural-resources/energy-statistics-and-modelling/energy-statistics/</w:t>
        </w:r>
      </w:hyperlink>
      <w:r w:rsidR="00D400E5">
        <w:t>.</w:t>
      </w:r>
    </w:p>
  </w:footnote>
  <w:footnote w:id="23">
    <w:p w14:paraId="1EBDEA6C" w14:textId="4D927D1B" w:rsidR="00DB5335" w:rsidRPr="004532D7" w:rsidRDefault="00DB5335">
      <w:pPr>
        <w:pStyle w:val="FootnoteText"/>
        <w:rPr>
          <w:lang w:val="it-IT"/>
        </w:rPr>
      </w:pPr>
      <w:r>
        <w:rPr>
          <w:rStyle w:val="FootnoteReference"/>
        </w:rPr>
        <w:footnoteRef/>
      </w:r>
      <w:r w:rsidRPr="004532D7">
        <w:rPr>
          <w:lang w:val="it-IT"/>
        </w:rPr>
        <w:t xml:space="preserve"> </w:t>
      </w:r>
      <w:r w:rsidRPr="004532D7">
        <w:rPr>
          <w:lang w:val="it-IT"/>
        </w:rPr>
        <w:tab/>
        <w:t xml:space="preserve">GHG Protocol Scope 2 Guidance, accessed via: </w:t>
      </w:r>
      <w:hyperlink r:id="rId16" w:history="1">
        <w:r w:rsidRPr="004532D7">
          <w:rPr>
            <w:rStyle w:val="Hyperlink"/>
            <w:lang w:val="it-IT"/>
          </w:rPr>
          <w:t>https://ghgprotocol.org/sites/default/files/standards/Scope%202%20Guidance_Final_Sept26.pdf</w:t>
        </w:r>
      </w:hyperlink>
      <w:r w:rsidR="00D400E5">
        <w:rPr>
          <w:lang w:val="it-IT"/>
        </w:rPr>
        <w:t>.</w:t>
      </w:r>
    </w:p>
  </w:footnote>
  <w:footnote w:id="24">
    <w:p w14:paraId="3CB40CED" w14:textId="58B6BC7F" w:rsidR="00B67A3D" w:rsidRPr="00071D92" w:rsidRDefault="00B67A3D" w:rsidP="00071D92">
      <w:pPr>
        <w:pStyle w:val="FootnoteText"/>
      </w:pPr>
      <w:r w:rsidRPr="00071D92">
        <w:rPr>
          <w:sz w:val="22"/>
          <w:vertAlign w:val="superscript"/>
        </w:rPr>
        <w:footnoteRef/>
      </w:r>
      <w:r w:rsidRPr="00071D92">
        <w:t xml:space="preserve"> </w:t>
      </w:r>
      <w:r w:rsidR="00071D92" w:rsidRPr="00071D92">
        <w:tab/>
      </w:r>
      <w:hyperlink r:id="rId17" w:history="1">
        <w:r w:rsidR="0067308E" w:rsidRPr="002C5419">
          <w:rPr>
            <w:rStyle w:val="Hyperlink"/>
          </w:rPr>
          <w:t>https://www.mbie.govt.nz/building-and-energy/energy-and-natural-resources/energy-statistics-and-modelling/energy-statistics/</w:t>
        </w:r>
      </w:hyperlink>
      <w:r w:rsidR="0085183D">
        <w:t>.</w:t>
      </w:r>
    </w:p>
  </w:footnote>
  <w:footnote w:id="25">
    <w:p w14:paraId="65093311" w14:textId="29301CC4" w:rsidR="00DB5335" w:rsidRDefault="00DB5335" w:rsidP="00593E6A">
      <w:pPr>
        <w:pStyle w:val="FootnoteText"/>
      </w:pPr>
      <w:r>
        <w:rPr>
          <w:rStyle w:val="FootnoteReference"/>
        </w:rPr>
        <w:footnoteRef/>
      </w:r>
      <w:r>
        <w:t xml:space="preserve"> </w:t>
      </w:r>
      <w:r>
        <w:tab/>
        <w:t xml:space="preserve">Motor Vehicle Register: </w:t>
      </w:r>
      <w:hyperlink r:id="rId18" w:history="1">
        <w:r w:rsidR="00DB5E9C" w:rsidRPr="00BB3C6E">
          <w:rPr>
            <w:rStyle w:val="Hyperlink"/>
          </w:rPr>
          <w:t>https://www.nzta.g</w:t>
        </w:r>
        <w:bookmarkStart w:id="426" w:name="_Hlt135403194"/>
        <w:r w:rsidR="00DB5E9C" w:rsidRPr="00BB3C6E">
          <w:rPr>
            <w:rStyle w:val="Hyperlink"/>
          </w:rPr>
          <w:t>o</w:t>
        </w:r>
        <w:bookmarkEnd w:id="426"/>
        <w:r w:rsidR="00DB5E9C" w:rsidRPr="00BB3C6E">
          <w:rPr>
            <w:rStyle w:val="Hyperlink"/>
          </w:rPr>
          <w:t>vt.nz/vehicles/how-the-motor-vehicle-register-affects-you/motor-vehicle-registrations-dashboard-and-open-data/</w:t>
        </w:r>
      </w:hyperlink>
      <w:r w:rsidR="00F80E5E">
        <w:t>.</w:t>
      </w:r>
    </w:p>
  </w:footnote>
  <w:footnote w:id="26">
    <w:p w14:paraId="5DFEB836" w14:textId="3DD41B3D" w:rsidR="00DB5335" w:rsidRDefault="00DB5335" w:rsidP="007351FA">
      <w:pPr>
        <w:pStyle w:val="FootnoteText"/>
      </w:pPr>
      <w:r>
        <w:rPr>
          <w:rStyle w:val="FootnoteReference"/>
        </w:rPr>
        <w:footnoteRef/>
      </w:r>
      <w:r>
        <w:t xml:space="preserve"> </w:t>
      </w:r>
      <w:r>
        <w:tab/>
        <w:t xml:space="preserve">New Zealand Transport Agency: </w:t>
      </w:r>
      <w:hyperlink r:id="rId19" w:history="1">
        <w:r w:rsidR="001658D5" w:rsidRPr="001658D5">
          <w:rPr>
            <w:rStyle w:val="Hyperlink"/>
          </w:rPr>
          <w:t>https://www.transport.govt.nz/assets/Uploads/Data/NZVehicleFleet.xlsx</w:t>
        </w:r>
      </w:hyperlink>
      <w:r w:rsidR="00F80E5E">
        <w:t>.</w:t>
      </w:r>
    </w:p>
  </w:footnote>
  <w:footnote w:id="27">
    <w:p w14:paraId="1427AAA2" w14:textId="111A74A3" w:rsidR="00A80F40" w:rsidRDefault="00A80F40" w:rsidP="00365500">
      <w:pPr>
        <w:pStyle w:val="FootnoteText"/>
      </w:pPr>
      <w:r>
        <w:rPr>
          <w:rStyle w:val="FootnoteReference"/>
        </w:rPr>
        <w:footnoteRef/>
      </w:r>
      <w:r>
        <w:t xml:space="preserve"> </w:t>
      </w:r>
      <w:r w:rsidR="00365500">
        <w:tab/>
      </w:r>
      <w:r>
        <w:t xml:space="preserve">As per </w:t>
      </w:r>
      <w:r w:rsidRPr="00365500">
        <w:t>communications</w:t>
      </w:r>
      <w:r>
        <w:t xml:space="preserve"> with TaxiCharge 2 February 2023</w:t>
      </w:r>
      <w:r w:rsidR="00F80E5E">
        <w:t>.</w:t>
      </w:r>
    </w:p>
  </w:footnote>
  <w:footnote w:id="28">
    <w:p w14:paraId="65093315" w14:textId="584D09A8" w:rsidR="00DB5335" w:rsidRDefault="00DB5335" w:rsidP="00700349">
      <w:pPr>
        <w:pStyle w:val="FootnoteText"/>
      </w:pPr>
      <w:r>
        <w:rPr>
          <w:rStyle w:val="FootnoteReference"/>
        </w:rPr>
        <w:footnoteRef/>
      </w:r>
      <w:r>
        <w:t xml:space="preserve"> </w:t>
      </w:r>
      <w:r>
        <w:tab/>
      </w:r>
      <w:r w:rsidR="009D4006" w:rsidRPr="00703485">
        <w:t xml:space="preserve">Te Manatū Waka </w:t>
      </w:r>
      <w:r>
        <w:t xml:space="preserve">Ministry of Transport: </w:t>
      </w:r>
      <w:hyperlink r:id="rId20" w:history="1">
        <w:r w:rsidR="001658D5" w:rsidRPr="00BB3C6E">
          <w:rPr>
            <w:rStyle w:val="Hyperlink"/>
          </w:rPr>
          <w:t>https://www.transport.govt.nz/assets/Uploads/Data/NZVehicleFleet.xlsx</w:t>
        </w:r>
      </w:hyperlink>
      <w:r w:rsidR="00FF4A5A">
        <w:t>.</w:t>
      </w:r>
    </w:p>
  </w:footnote>
  <w:footnote w:id="29">
    <w:p w14:paraId="1376F2ED" w14:textId="689CE152" w:rsidR="00D91257" w:rsidRDefault="00D91257" w:rsidP="00D91257">
      <w:pPr>
        <w:pStyle w:val="FootnoteText"/>
      </w:pPr>
      <w:r>
        <w:rPr>
          <w:rStyle w:val="FootnoteReference"/>
        </w:rPr>
        <w:footnoteRef/>
      </w:r>
      <w:r>
        <w:t xml:space="preserve"> </w:t>
      </w:r>
      <w:r>
        <w:tab/>
      </w:r>
      <w:r w:rsidR="009D4006" w:rsidRPr="00703485">
        <w:t xml:space="preserve">Te Manatū Waka </w:t>
      </w:r>
      <w:r>
        <w:t xml:space="preserve">Ministry of Transport: </w:t>
      </w:r>
      <w:hyperlink r:id="rId21" w:history="1">
        <w:r w:rsidRPr="00BB3C6E">
          <w:rPr>
            <w:rStyle w:val="Hyperlink"/>
          </w:rPr>
          <w:t>https://www.transport.govt.nz/assets/Uploads/Data/NZVehicleFleet.xlsx</w:t>
        </w:r>
      </w:hyperlink>
      <w:r w:rsidR="00FF4A5A">
        <w:t>.</w:t>
      </w:r>
    </w:p>
  </w:footnote>
  <w:footnote w:id="30">
    <w:p w14:paraId="6F620E5D" w14:textId="61513BBC" w:rsidR="00DB5335" w:rsidRDefault="00DB5335">
      <w:pPr>
        <w:pStyle w:val="FootnoteText"/>
      </w:pPr>
      <w:r>
        <w:rPr>
          <w:rStyle w:val="FootnoteReference"/>
        </w:rPr>
        <w:footnoteRef/>
      </w:r>
      <w:r>
        <w:t xml:space="preserve"> </w:t>
      </w:r>
      <w:r>
        <w:tab/>
        <w:t xml:space="preserve">GHG Protocol Technical Guidance for Calculating Scope 3 Emissions: </w:t>
      </w:r>
      <w:hyperlink r:id="rId22" w:history="1">
        <w:r w:rsidRPr="00791D53">
          <w:rPr>
            <w:rStyle w:val="Hyperlink"/>
          </w:rPr>
          <w:t>https://ghgprotocol.org/sites/default/files/standards_supporting/Chapter6.pdf</w:t>
        </w:r>
      </w:hyperlink>
      <w:r w:rsidR="00FF4A5A">
        <w:t>.</w:t>
      </w:r>
    </w:p>
  </w:footnote>
  <w:footnote w:id="31">
    <w:p w14:paraId="20AD6734" w14:textId="032B35DE" w:rsidR="00DB5335" w:rsidRDefault="00DB5335" w:rsidP="00260B7E">
      <w:pPr>
        <w:pStyle w:val="FootnoteText"/>
      </w:pPr>
      <w:r>
        <w:rPr>
          <w:rStyle w:val="FootnoteReference"/>
        </w:rPr>
        <w:footnoteRef/>
      </w:r>
      <w:r>
        <w:t xml:space="preserve"> </w:t>
      </w:r>
      <w:r>
        <w:tab/>
        <w:t xml:space="preserve">NZTA Passenger data, accessed September 2020, online at: </w:t>
      </w:r>
      <w:hyperlink r:id="rId23" w:history="1">
        <w:r w:rsidRPr="00791D53">
          <w:rPr>
            <w:rStyle w:val="Hyperlink"/>
          </w:rPr>
          <w:t>www.nzta.govt.nz/assets/userfiles/transport-data/PTPerformance.xlsx</w:t>
        </w:r>
      </w:hyperlink>
      <w:r w:rsidR="00FF4A5A">
        <w:t>.</w:t>
      </w:r>
    </w:p>
  </w:footnote>
  <w:footnote w:id="32">
    <w:p w14:paraId="3191F71D" w14:textId="02EC4576" w:rsidR="0090343A" w:rsidRDefault="0090343A" w:rsidP="0090343A">
      <w:pPr>
        <w:pStyle w:val="FootnoteText"/>
      </w:pPr>
      <w:r>
        <w:rPr>
          <w:rStyle w:val="FootnoteReference"/>
        </w:rPr>
        <w:footnoteRef/>
      </w:r>
      <w:r>
        <w:t xml:space="preserve"> </w:t>
      </w:r>
      <w:r>
        <w:tab/>
      </w:r>
      <w:r w:rsidRPr="00766F65">
        <w:t>R Sausen et al</w:t>
      </w:r>
      <w:r w:rsidR="00B45324">
        <w:t>.</w:t>
      </w:r>
      <w:r w:rsidRPr="00766F65">
        <w:t xml:space="preserve"> (2005). Aviation radiative forcing in 2000: An update on IPCC (1999) </w:t>
      </w:r>
      <w:r w:rsidRPr="00CF5F2D">
        <w:rPr>
          <w:i/>
          <w:iCs/>
        </w:rPr>
        <w:t>Meteorologische Zeitschrift</w:t>
      </w:r>
      <w:r w:rsidRPr="00766F65">
        <w:t xml:space="preserve"> 14: 555-561, available at:</w:t>
      </w:r>
      <w:r w:rsidR="00163CF7" w:rsidRPr="00163CF7">
        <w:t xml:space="preserve"> </w:t>
      </w:r>
      <w:hyperlink r:id="rId24" w:history="1">
        <w:r w:rsidR="00FF1DBD" w:rsidRPr="00FF1DBD">
          <w:rPr>
            <w:rStyle w:val="Hyperlink"/>
          </w:rPr>
          <w:t>https://core.ac.uk/download/pdf/357569099.pdf</w:t>
        </w:r>
      </w:hyperlink>
    </w:p>
  </w:footnote>
  <w:footnote w:id="33">
    <w:p w14:paraId="47C1F0D2" w14:textId="6D1B630E" w:rsidR="0090343A" w:rsidRDefault="0090343A" w:rsidP="0090343A">
      <w:pPr>
        <w:pStyle w:val="FootnoteText"/>
      </w:pPr>
      <w:r>
        <w:rPr>
          <w:rStyle w:val="FootnoteReference"/>
        </w:rPr>
        <w:footnoteRef/>
      </w:r>
      <w:r>
        <w:t xml:space="preserve"> </w:t>
      </w:r>
      <w:r>
        <w:tab/>
      </w:r>
      <w:r w:rsidRPr="00766F65">
        <w:t xml:space="preserve">CCC (2009). Meeting the UK Aviation </w:t>
      </w:r>
      <w:r>
        <w:t>T</w:t>
      </w:r>
      <w:r w:rsidRPr="00766F65">
        <w:t xml:space="preserve">arget – </w:t>
      </w:r>
      <w:r>
        <w:t>O</w:t>
      </w:r>
      <w:r w:rsidRPr="00766F65">
        <w:t xml:space="preserve">ptions for </w:t>
      </w:r>
      <w:r>
        <w:t>R</w:t>
      </w:r>
      <w:r w:rsidRPr="00766F65">
        <w:t xml:space="preserve">educing </w:t>
      </w:r>
      <w:r>
        <w:t>E</w:t>
      </w:r>
      <w:r w:rsidRPr="00766F65">
        <w:t>missions to 2050</w:t>
      </w:r>
      <w:r>
        <w:t xml:space="preserve">: </w:t>
      </w:r>
      <w:hyperlink r:id="rId25" w:history="1">
        <w:r w:rsidRPr="00535E8F">
          <w:rPr>
            <w:rStyle w:val="Hyperlink"/>
          </w:rPr>
          <w:t>www.theccc.org.uk/publication/meeting-the-uk-aviation-target-options-for-reducing-emissions-to-2050/</w:t>
        </w:r>
      </w:hyperlink>
      <w:r w:rsidR="00B85D27">
        <w:t>.</w:t>
      </w:r>
    </w:p>
  </w:footnote>
  <w:footnote w:id="34">
    <w:p w14:paraId="65093318" w14:textId="1EFDC3AD" w:rsidR="00DB5335" w:rsidRDefault="00DB5335" w:rsidP="009B64D6">
      <w:pPr>
        <w:pStyle w:val="FootnoteText"/>
        <w:tabs>
          <w:tab w:val="left" w:pos="284"/>
        </w:tabs>
      </w:pPr>
      <w:r>
        <w:rPr>
          <w:rStyle w:val="FootnoteReference"/>
        </w:rPr>
        <w:footnoteRef/>
      </w:r>
      <w:r w:rsidR="4E404D07">
        <w:t xml:space="preserve"> </w:t>
      </w:r>
      <w:r>
        <w:tab/>
      </w:r>
      <w:hyperlink r:id="rId26" w:history="1">
        <w:r w:rsidR="4E404D07" w:rsidRPr="4E404D07">
          <w:rPr>
            <w:rStyle w:val="Hyperlink"/>
          </w:rPr>
          <w:t>Kerosene (ils.co.nz)</w:t>
        </w:r>
      </w:hyperlink>
      <w:r w:rsidR="00B85D27" w:rsidRPr="00B85D27">
        <w:rPr>
          <w:rStyle w:val="Hyperlink"/>
          <w:color w:val="auto"/>
        </w:rPr>
        <w:t>.</w:t>
      </w:r>
    </w:p>
  </w:footnote>
  <w:footnote w:id="35">
    <w:p w14:paraId="559F4313" w14:textId="2B0F6882" w:rsidR="00A06C5B" w:rsidRDefault="00A06C5B" w:rsidP="00A06C5B">
      <w:pPr>
        <w:pStyle w:val="FootnoteText"/>
      </w:pPr>
      <w:r>
        <w:rPr>
          <w:rStyle w:val="FootnoteReference"/>
        </w:rPr>
        <w:footnoteRef/>
      </w:r>
      <w:r>
        <w:t xml:space="preserve"> </w:t>
      </w:r>
      <w:r>
        <w:tab/>
        <w:t xml:space="preserve">International Civil Aviation Organisation Calculator, accessed via: </w:t>
      </w:r>
      <w:hyperlink r:id="rId27" w:history="1">
        <w:r w:rsidRPr="000B447B">
          <w:rPr>
            <w:rStyle w:val="Hyperlink"/>
          </w:rPr>
          <w:t>www.icao.int/environmental-protection/CarbonOffset/Pages/default.aspx</w:t>
        </w:r>
      </w:hyperlink>
      <w:r w:rsidR="00B85D27">
        <w:t>.</w:t>
      </w:r>
    </w:p>
  </w:footnote>
  <w:footnote w:id="36">
    <w:p w14:paraId="608A959E" w14:textId="4311C5AC" w:rsidR="00191856" w:rsidRDefault="00191856" w:rsidP="00191856">
      <w:pPr>
        <w:pStyle w:val="FootnoteText"/>
      </w:pPr>
      <w:r>
        <w:rPr>
          <w:rStyle w:val="FootnoteReference"/>
        </w:rPr>
        <w:footnoteRef/>
      </w:r>
      <w:r>
        <w:t xml:space="preserve"> </w:t>
      </w:r>
      <w:r w:rsidR="00953BE9">
        <w:tab/>
      </w:r>
      <w:hyperlink r:id="rId28" w:history="1">
        <w:r w:rsidR="003A6D7A" w:rsidRPr="00D86FEC">
          <w:rPr>
            <w:rStyle w:val="Hyperlink"/>
          </w:rPr>
          <w:t>www.aviation.govt.nz/aircraft/aircraft-registration/aircraft-register-search/</w:t>
        </w:r>
      </w:hyperlink>
      <w:r w:rsidR="00B85D27">
        <w:t>.</w:t>
      </w:r>
    </w:p>
  </w:footnote>
  <w:footnote w:id="37">
    <w:p w14:paraId="0E0A6109" w14:textId="74F4819A" w:rsidR="00D16880" w:rsidRDefault="00D16880">
      <w:pPr>
        <w:pStyle w:val="FootnoteText"/>
      </w:pPr>
      <w:r>
        <w:rPr>
          <w:rStyle w:val="FootnoteReference"/>
        </w:rPr>
        <w:footnoteRef/>
      </w:r>
      <w:r>
        <w:t xml:space="preserve"> </w:t>
      </w:r>
      <w:r w:rsidR="0088438D">
        <w:tab/>
        <w:t xml:space="preserve">Access the CHSB Index via: </w:t>
      </w:r>
      <w:hyperlink r:id="rId29" w:history="1">
        <w:r w:rsidR="0088438D">
          <w:rPr>
            <w:rStyle w:val="Hyperlink"/>
          </w:rPr>
          <w:t>Hotel Sustainability Benchmarking Index 2021: Carbon, Energy, and Water (cornell.edu)</w:t>
        </w:r>
      </w:hyperlink>
      <w:r w:rsidR="0088438D">
        <w:t>.</w:t>
      </w:r>
    </w:p>
  </w:footnote>
  <w:footnote w:id="38">
    <w:p w14:paraId="39FB0D26" w14:textId="6C92005D" w:rsidR="00DB5335" w:rsidRDefault="00DB5335" w:rsidP="006D5744">
      <w:pPr>
        <w:pStyle w:val="FootnoteText"/>
        <w:spacing w:after="0"/>
      </w:pPr>
      <w:r>
        <w:rPr>
          <w:rStyle w:val="FootnoteReference"/>
        </w:rPr>
        <w:footnoteRef/>
      </w:r>
      <w:r>
        <w:t xml:space="preserve"> </w:t>
      </w:r>
      <w:r>
        <w:tab/>
        <w:t xml:space="preserve">Access the CHSB </w:t>
      </w:r>
      <w:r w:rsidR="0006594A">
        <w:t>Index</w:t>
      </w:r>
      <w:r>
        <w:t xml:space="preserve"> via: </w:t>
      </w:r>
      <w:hyperlink r:id="rId30" w:history="1">
        <w:r w:rsidR="008545A8">
          <w:rPr>
            <w:rStyle w:val="Hyperlink"/>
          </w:rPr>
          <w:t>Hotel Sustainability Benchmarking Index 2021: Carbon, Energy, and Water (cornell.edu)</w:t>
        </w:r>
      </w:hyperlink>
      <w:r w:rsidR="00B11474">
        <w:t>.</w:t>
      </w:r>
    </w:p>
  </w:footnote>
  <w:footnote w:id="39">
    <w:p w14:paraId="3DBC2E11" w14:textId="65E21206" w:rsidR="00B36DA6" w:rsidRDefault="00B36DA6">
      <w:pPr>
        <w:pStyle w:val="FootnoteText"/>
      </w:pPr>
      <w:r>
        <w:rPr>
          <w:rStyle w:val="FootnoteReference"/>
        </w:rPr>
        <w:footnoteRef/>
      </w:r>
      <w:r>
        <w:t xml:space="preserve"> </w:t>
      </w:r>
      <w:r w:rsidR="00B92E81">
        <w:tab/>
      </w:r>
      <w:r w:rsidR="00B84FE0" w:rsidRPr="0083579E">
        <w:rPr>
          <w:rFonts w:cs="Calibri"/>
          <w:szCs w:val="19"/>
          <w:shd w:val="clear" w:color="auto" w:fill="FFFFFF"/>
        </w:rPr>
        <w:t>UK BEIS 202</w:t>
      </w:r>
      <w:r w:rsidR="00236253">
        <w:rPr>
          <w:rFonts w:cs="Calibri"/>
          <w:szCs w:val="19"/>
          <w:shd w:val="clear" w:color="auto" w:fill="FFFFFF"/>
        </w:rPr>
        <w:t>2</w:t>
      </w:r>
      <w:r w:rsidR="00B84FE0" w:rsidRPr="0083579E">
        <w:rPr>
          <w:rFonts w:cs="Calibri"/>
          <w:szCs w:val="19"/>
          <w:shd w:val="clear" w:color="auto" w:fill="FFFFFF"/>
        </w:rPr>
        <w:t xml:space="preserve"> Guidance, accessed via:</w:t>
      </w:r>
      <w:r w:rsidR="00B92E81">
        <w:rPr>
          <w:rFonts w:cs="Calibri"/>
          <w:szCs w:val="19"/>
          <w:shd w:val="clear" w:color="auto" w:fill="FFFFFF"/>
        </w:rPr>
        <w:t xml:space="preserve"> </w:t>
      </w:r>
      <w:hyperlink r:id="rId31" w:history="1">
        <w:r w:rsidR="001C049A">
          <w:rPr>
            <w:rStyle w:val="Hyperlink"/>
            <w:rFonts w:cs="Calibri"/>
            <w:szCs w:val="19"/>
            <w:shd w:val="clear" w:color="auto" w:fill="FFFFFF"/>
          </w:rPr>
          <w:t>https://assets.publishing.service.gov.uk/government/uploads/system/uploads/attachment_data/file/1083857/2022-ghg-cf-me</w:t>
        </w:r>
        <w:bookmarkStart w:id="653" w:name="_Hlt135135691"/>
        <w:bookmarkStart w:id="654" w:name="_Hlt135135692"/>
        <w:r w:rsidR="001C049A">
          <w:rPr>
            <w:rStyle w:val="Hyperlink"/>
            <w:rFonts w:cs="Calibri"/>
            <w:szCs w:val="19"/>
            <w:shd w:val="clear" w:color="auto" w:fill="FFFFFF"/>
          </w:rPr>
          <w:t>t</w:t>
        </w:r>
        <w:bookmarkEnd w:id="653"/>
        <w:bookmarkEnd w:id="654"/>
        <w:r w:rsidR="001C049A">
          <w:rPr>
            <w:rStyle w:val="Hyperlink"/>
            <w:rFonts w:cs="Calibri"/>
            <w:szCs w:val="19"/>
            <w:shd w:val="clear" w:color="auto" w:fill="FFFFFF"/>
          </w:rPr>
          <w:t>hodology-paper.pdf</w:t>
        </w:r>
      </w:hyperlink>
      <w:r w:rsidR="00817EA0">
        <w:rPr>
          <w:rFonts w:cs="Calibri"/>
          <w:szCs w:val="19"/>
          <w:shd w:val="clear" w:color="auto" w:fill="FFFFFF"/>
        </w:rPr>
        <w:t>.</w:t>
      </w:r>
    </w:p>
  </w:footnote>
  <w:footnote w:id="40">
    <w:p w14:paraId="679BC032" w14:textId="49E64EC4" w:rsidR="00DB5335" w:rsidRPr="006F3043" w:rsidRDefault="00DB5335" w:rsidP="004B22C1">
      <w:pPr>
        <w:pStyle w:val="FootnoteText"/>
      </w:pPr>
      <w:r>
        <w:rPr>
          <w:rStyle w:val="FootnoteReference"/>
        </w:rPr>
        <w:footnoteRef/>
      </w:r>
      <w:r>
        <w:t xml:space="preserve"> </w:t>
      </w:r>
      <w:r>
        <w:tab/>
      </w:r>
      <w:r w:rsidR="00E256D9">
        <w:t>Te Manatū Waka Ministry of Transport</w:t>
      </w:r>
      <w:r w:rsidR="004C3308">
        <w:t xml:space="preserve"> </w:t>
      </w:r>
      <w:hyperlink r:id="rId32" w:tgtFrame="_blank" w:history="1">
        <w:r w:rsidR="006F3043" w:rsidRPr="00196097">
          <w:rPr>
            <w:rStyle w:val="Hyperlink"/>
            <w:rFonts w:cs="Calibri"/>
            <w:szCs w:val="19"/>
            <w:bdr w:val="none" w:sz="0" w:space="0" w:color="auto" w:frame="1"/>
          </w:rPr>
          <w:t>https://www.transport.govt.nz/assets/Uploads/Data/NZVehicleFleet.xlsx</w:t>
        </w:r>
      </w:hyperlink>
      <w:r w:rsidR="00817EA0">
        <w:t>.</w:t>
      </w:r>
    </w:p>
  </w:footnote>
  <w:footnote w:id="41">
    <w:p w14:paraId="5D2919CD" w14:textId="6BAD1B13" w:rsidR="00DB5335" w:rsidRDefault="00DB5335" w:rsidP="004B22C1">
      <w:pPr>
        <w:pStyle w:val="FootnoteText"/>
      </w:pPr>
      <w:r w:rsidRPr="006F3043">
        <w:rPr>
          <w:rStyle w:val="FootnoteReference"/>
        </w:rPr>
        <w:footnoteRef/>
      </w:r>
      <w:r w:rsidRPr="006F3043">
        <w:t xml:space="preserve"> </w:t>
      </w:r>
      <w:r w:rsidRPr="006F3043">
        <w:tab/>
      </w:r>
      <w:r w:rsidR="0082568A">
        <w:t>Te Manatū Waka Ministry of Transport</w:t>
      </w:r>
      <w:r w:rsidRPr="006F3043">
        <w:t xml:space="preserve"> RD025 Average vehicle fleet age</w:t>
      </w:r>
      <w:r w:rsidR="00A42624">
        <w:t xml:space="preserve"> </w:t>
      </w:r>
      <w:hyperlink r:id="rId33" w:anchor="element-413" w:tgtFrame="_blank" w:history="1">
        <w:r w:rsidR="00FB0C37" w:rsidRPr="00196097">
          <w:rPr>
            <w:rStyle w:val="Hyperlink"/>
            <w:bdr w:val="none" w:sz="0" w:space="0" w:color="auto" w:frame="1"/>
          </w:rPr>
          <w:t>https://www.transport.govt.nz/statistics-and-insights/fleet-statistics/sheet/vehicle-age#element-413</w:t>
        </w:r>
      </w:hyperlink>
      <w:r w:rsidR="00817EA0" w:rsidRPr="00817EA0">
        <w:rPr>
          <w:rFonts w:cs="Calibri"/>
          <w:szCs w:val="19"/>
          <w:shd w:val="clear" w:color="auto" w:fill="FFFFFF"/>
        </w:rPr>
        <w:t>.</w:t>
      </w:r>
    </w:p>
  </w:footnote>
  <w:footnote w:id="42">
    <w:p w14:paraId="5A116550" w14:textId="0BB01ACB" w:rsidR="00A6357E" w:rsidRDefault="00FC5CDA" w:rsidP="00A6357E">
      <w:pPr>
        <w:pStyle w:val="FootnoteText"/>
      </w:pPr>
      <w:r>
        <w:rPr>
          <w:rStyle w:val="FootnoteReference"/>
        </w:rPr>
        <w:footnoteRef/>
      </w:r>
      <w:r w:rsidR="004C3308">
        <w:tab/>
      </w:r>
      <w:r w:rsidR="007D4431" w:rsidRPr="007D4431">
        <w:t>Waka Kotahi NZ Transport Agency</w:t>
      </w:r>
      <w:r w:rsidR="00DB0D85">
        <w:t xml:space="preserve"> </w:t>
      </w:r>
      <w:hyperlink r:id="rId34" w:history="1">
        <w:r w:rsidR="00A6357E" w:rsidRPr="00510DEB">
          <w:rPr>
            <w:rStyle w:val="Hyperlink"/>
          </w:rPr>
          <w:t>www.nzta.govt.nz/vehicles/how-the-motor-vehicle-register-affects-you</w:t>
        </w:r>
      </w:hyperlink>
      <w:r w:rsidR="00817EA0" w:rsidRPr="00817EA0">
        <w:rPr>
          <w:rStyle w:val="Hyperlink"/>
          <w:color w:val="auto"/>
        </w:rPr>
        <w:t>.</w:t>
      </w:r>
    </w:p>
  </w:footnote>
  <w:footnote w:id="43">
    <w:p w14:paraId="06935005" w14:textId="7050B917" w:rsidR="00DB5335" w:rsidRDefault="00DB5335" w:rsidP="001D1AC9">
      <w:pPr>
        <w:pStyle w:val="FootnoteText"/>
        <w:spacing w:after="40"/>
      </w:pPr>
      <w:r>
        <w:rPr>
          <w:rStyle w:val="FootnoteReference"/>
        </w:rPr>
        <w:footnoteRef/>
      </w:r>
      <w:r>
        <w:t xml:space="preserve"> </w:t>
      </w:r>
      <w:r w:rsidRPr="006357CE">
        <w:tab/>
      </w:r>
      <w:r w:rsidR="000D5695">
        <w:t xml:space="preserve">Te Manatū Waka </w:t>
      </w:r>
      <w:r>
        <w:t xml:space="preserve">Ministry of Transport: </w:t>
      </w:r>
      <w:hyperlink r:id="rId35" w:history="1">
        <w:r w:rsidR="00FB0C37" w:rsidRPr="004D33ED">
          <w:rPr>
            <w:rStyle w:val="Hyperlink"/>
            <w:rFonts w:cs="Calibri"/>
            <w:szCs w:val="19"/>
            <w:bdr w:val="none" w:sz="0" w:space="0" w:color="auto" w:frame="1"/>
          </w:rPr>
          <w:t>https://www.knowledgehub.transport.govt.nz/assets/TKH-Uploads/TKC-2019/Real-world-fuel-economy-of-heavy-trucks.pdf</w:t>
        </w:r>
      </w:hyperlink>
      <w:r w:rsidR="00817EA0" w:rsidRPr="00817EA0">
        <w:rPr>
          <w:rStyle w:val="Hyperlink"/>
          <w:rFonts w:cs="Calibri"/>
          <w:color w:val="auto"/>
          <w:szCs w:val="19"/>
          <w:bdr w:val="none" w:sz="0" w:space="0" w:color="auto" w:frame="1"/>
        </w:rPr>
        <w:t>.</w:t>
      </w:r>
    </w:p>
  </w:footnote>
  <w:footnote w:id="44">
    <w:p w14:paraId="3F891DF1" w14:textId="41098494" w:rsidR="00AE2534" w:rsidRDefault="00AE2534" w:rsidP="00AE2534">
      <w:pPr>
        <w:pStyle w:val="FootnoteText"/>
        <w:spacing w:after="40" w:line="220" w:lineRule="atLeast"/>
      </w:pPr>
      <w:r>
        <w:rPr>
          <w:rStyle w:val="FootnoteReference"/>
        </w:rPr>
        <w:footnoteRef/>
      </w:r>
      <w:r>
        <w:t xml:space="preserve"> </w:t>
      </w:r>
      <w:r>
        <w:tab/>
      </w:r>
      <w:r w:rsidRPr="00766F65">
        <w:t xml:space="preserve">R Sausen et al (2005). Aviation radiative forcing in 2000: An update on IPCC (1999) Meteorologische Zeitschrift 14: 555-561, available at: </w:t>
      </w:r>
      <w:hyperlink r:id="rId36" w:history="1">
        <w:r w:rsidR="00FF1DBD" w:rsidRPr="00FF1DBD">
          <w:rPr>
            <w:rStyle w:val="Hyperlink"/>
          </w:rPr>
          <w:t>https://core.ac.uk/download/pdf/357569099.pdf</w:t>
        </w:r>
      </w:hyperlink>
      <w:r w:rsidR="008075CD">
        <w:t xml:space="preserve"> </w:t>
      </w:r>
      <w:r w:rsidR="00817EA0">
        <w:t>.</w:t>
      </w:r>
    </w:p>
  </w:footnote>
  <w:footnote w:id="45">
    <w:p w14:paraId="0A4E7A19" w14:textId="1E92EB47" w:rsidR="00AE2534" w:rsidRPr="004E485B" w:rsidRDefault="00AE2534" w:rsidP="00AE2534">
      <w:pPr>
        <w:pStyle w:val="FootnoteText"/>
        <w:spacing w:after="40" w:line="220" w:lineRule="atLeast"/>
      </w:pPr>
      <w:r>
        <w:rPr>
          <w:rStyle w:val="FootnoteReference"/>
        </w:rPr>
        <w:footnoteRef/>
      </w:r>
      <w:r>
        <w:t xml:space="preserve"> </w:t>
      </w:r>
      <w:r>
        <w:tab/>
      </w:r>
      <w:r w:rsidRPr="00766F65">
        <w:t xml:space="preserve">CCC (2009). Meeting the UK Aviation </w:t>
      </w:r>
      <w:r>
        <w:t>T</w:t>
      </w:r>
      <w:r w:rsidRPr="00766F65">
        <w:t xml:space="preserve">arget – </w:t>
      </w:r>
      <w:r>
        <w:t>O</w:t>
      </w:r>
      <w:r w:rsidRPr="00766F65">
        <w:t xml:space="preserve">ptions for </w:t>
      </w:r>
      <w:r>
        <w:t>R</w:t>
      </w:r>
      <w:r w:rsidRPr="00766F65">
        <w:t xml:space="preserve">educing </w:t>
      </w:r>
      <w:r>
        <w:t>E</w:t>
      </w:r>
      <w:r w:rsidRPr="00766F65">
        <w:t>missions to 2050</w:t>
      </w:r>
      <w:r>
        <w:t xml:space="preserve">: </w:t>
      </w:r>
      <w:hyperlink r:id="rId37" w:history="1">
        <w:r w:rsidRPr="00535E8F">
          <w:rPr>
            <w:rStyle w:val="Hyperlink"/>
          </w:rPr>
          <w:t>www.theccc.org.uk/publication/meeting-the-uk-aviation-target-options-for-reducing-emissions-to-2050/</w:t>
        </w:r>
      </w:hyperlink>
      <w:r w:rsidR="00817EA0">
        <w:t>.</w:t>
      </w:r>
    </w:p>
  </w:footnote>
  <w:footnote w:id="46">
    <w:p w14:paraId="514FE8F1" w14:textId="2797E3A9" w:rsidR="00DB5335" w:rsidRDefault="00DB5335" w:rsidP="004C1F5A">
      <w:pPr>
        <w:pStyle w:val="FootnoteText"/>
        <w:spacing w:after="40" w:line="220" w:lineRule="atLeast"/>
      </w:pPr>
      <w:r>
        <w:rPr>
          <w:rStyle w:val="FootnoteReference"/>
        </w:rPr>
        <w:footnoteRef/>
      </w:r>
      <w:r>
        <w:t xml:space="preserve"> </w:t>
      </w:r>
      <w:r>
        <w:tab/>
      </w:r>
      <w:hyperlink r:id="rId38" w:history="1">
        <w:r w:rsidR="005E31F8" w:rsidRPr="004D33ED">
          <w:rPr>
            <w:rStyle w:val="Hyperlink"/>
          </w:rPr>
          <w:t>https://www.knowledgehub.transport.govt.nz/assets/TKH-Uploads/TKC-2019/Real-world-fuel-economy-of-heavy-trucks.pdf</w:t>
        </w:r>
      </w:hyperlink>
      <w:r w:rsidR="00817EA0" w:rsidRPr="00817EA0">
        <w:rPr>
          <w:rStyle w:val="Hyperlink"/>
          <w:color w:val="auto"/>
        </w:rPr>
        <w:t>.</w:t>
      </w:r>
    </w:p>
  </w:footnote>
  <w:footnote w:id="47">
    <w:p w14:paraId="3DBBAFCD" w14:textId="5D7A13D2" w:rsidR="00DB5335" w:rsidRDefault="00DB5335" w:rsidP="00D12F07">
      <w:pPr>
        <w:pStyle w:val="FootnoteText"/>
        <w:spacing w:after="40"/>
      </w:pPr>
      <w:r>
        <w:rPr>
          <w:rStyle w:val="FootnoteReference"/>
        </w:rPr>
        <w:footnoteRef/>
      </w:r>
      <w:r>
        <w:t xml:space="preserve"> </w:t>
      </w:r>
      <w:r>
        <w:tab/>
      </w:r>
      <w:r w:rsidR="009D4006" w:rsidRPr="00703485">
        <w:t xml:space="preserve">Te Manatū Waka </w:t>
      </w:r>
      <w:r>
        <w:t xml:space="preserve">Ministry of Transport: </w:t>
      </w:r>
      <w:hyperlink r:id="rId39" w:history="1">
        <w:r w:rsidR="004766C3" w:rsidRPr="004D33ED">
          <w:rPr>
            <w:rStyle w:val="Hyperlink"/>
          </w:rPr>
          <w:t>https://www.knowledgehub.transport.govt.nz/assets/TKH-Uploads/TKC-2019/Real-world-fuel-economy-of-heavy-trucks.pdf</w:t>
        </w:r>
      </w:hyperlink>
      <w:r w:rsidR="00817EA0">
        <w:t>.</w:t>
      </w:r>
    </w:p>
  </w:footnote>
  <w:footnote w:id="48">
    <w:p w14:paraId="65093322" w14:textId="32680E42" w:rsidR="00DB5335" w:rsidRDefault="00DB5335" w:rsidP="00D12F07">
      <w:pPr>
        <w:pStyle w:val="FootnoteText"/>
        <w:spacing w:after="40"/>
      </w:pPr>
      <w:r>
        <w:rPr>
          <w:rStyle w:val="FootnoteReference"/>
        </w:rPr>
        <w:footnoteRef/>
      </w:r>
      <w:r>
        <w:t xml:space="preserve"> </w:t>
      </w:r>
      <w:r>
        <w:tab/>
        <w:t xml:space="preserve">Freight Information Gathering System, accessed via: </w:t>
      </w:r>
      <w:hyperlink r:id="rId40" w:history="1">
        <w:r w:rsidR="000D0FE2" w:rsidRPr="004D33ED">
          <w:rPr>
            <w:rStyle w:val="Hyperlink"/>
            <w:rFonts w:cs="Calibri"/>
            <w:szCs w:val="19"/>
            <w:bdr w:val="none" w:sz="0" w:space="0" w:color="auto" w:frame="1"/>
          </w:rPr>
          <w:t>https://www.transport.govt.nz/statistics-and-insights/freight-and-logistics/</w:t>
        </w:r>
      </w:hyperlink>
      <w:r w:rsidR="00817EA0" w:rsidRPr="00817EA0">
        <w:rPr>
          <w:rStyle w:val="Hyperlink"/>
          <w:rFonts w:cs="Calibri"/>
          <w:color w:val="auto"/>
          <w:szCs w:val="19"/>
          <w:bdr w:val="none" w:sz="0" w:space="0" w:color="auto" w:frame="1"/>
        </w:rPr>
        <w:t>.</w:t>
      </w:r>
    </w:p>
  </w:footnote>
  <w:footnote w:id="49">
    <w:p w14:paraId="65093323" w14:textId="1CE58356" w:rsidR="00DB5335" w:rsidRDefault="00DB5335" w:rsidP="00563F6F">
      <w:pPr>
        <w:pStyle w:val="FootnoteText"/>
      </w:pPr>
      <w:r>
        <w:rPr>
          <w:rStyle w:val="FootnoteReference"/>
        </w:rPr>
        <w:footnoteRef/>
      </w:r>
      <w:r>
        <w:t xml:space="preserve"> </w:t>
      </w:r>
      <w:r>
        <w:tab/>
        <w:t xml:space="preserve">Freight Information Gathering System, overseas ships, accessed via: </w:t>
      </w:r>
      <w:hyperlink r:id="rId41" w:history="1">
        <w:r w:rsidR="00B005E4" w:rsidRPr="004D33ED">
          <w:rPr>
            <w:rStyle w:val="Hyperlink"/>
            <w:rFonts w:cs="Calibri"/>
            <w:szCs w:val="19"/>
            <w:bdr w:val="none" w:sz="0" w:space="0" w:color="auto" w:frame="1"/>
          </w:rPr>
          <w:t>https://www.transport.govt.nz/statistics-and-insights/freight-and-logistics/</w:t>
        </w:r>
      </w:hyperlink>
      <w:r w:rsidR="00817EA0" w:rsidRPr="00817EA0">
        <w:rPr>
          <w:rStyle w:val="Hyperlink"/>
          <w:rFonts w:cs="Calibri"/>
          <w:color w:val="auto"/>
          <w:szCs w:val="19"/>
          <w:bdr w:val="none" w:sz="0" w:space="0" w:color="auto" w:frame="1"/>
        </w:rPr>
        <w:t>.</w:t>
      </w:r>
    </w:p>
  </w:footnote>
  <w:footnote w:id="50">
    <w:p w14:paraId="65093324" w14:textId="4F19FF0C" w:rsidR="00DB5335" w:rsidRDefault="00DB5335" w:rsidP="009274E6">
      <w:pPr>
        <w:pStyle w:val="FootnoteText"/>
      </w:pPr>
      <w:r>
        <w:rPr>
          <w:rStyle w:val="FootnoteReference"/>
        </w:rPr>
        <w:footnoteRef/>
      </w:r>
      <w:r>
        <w:t xml:space="preserve"> </w:t>
      </w:r>
      <w:r>
        <w:tab/>
        <w:t>UK BEIS 202</w:t>
      </w:r>
      <w:r w:rsidR="00D7014E">
        <w:t>2</w:t>
      </w:r>
      <w:r>
        <w:t xml:space="preserve"> Guidance, accessed via: </w:t>
      </w:r>
      <w:hyperlink r:id="rId42" w:history="1">
        <w:r w:rsidR="00662B12">
          <w:rPr>
            <w:rStyle w:val="Hyperlink"/>
          </w:rPr>
          <w:t>https://assets.publishing.service.gov.uk/government/uploads/system/uploads/attachment_data/file/1083857/2022-ghg-cf-methodology-paper.pdf</w:t>
        </w:r>
      </w:hyperlink>
      <w:r w:rsidR="00817EA0">
        <w:t>.</w:t>
      </w:r>
    </w:p>
  </w:footnote>
  <w:footnote w:id="51">
    <w:p w14:paraId="36F07D22" w14:textId="5B57CCD3" w:rsidR="009C623F" w:rsidRDefault="009C623F">
      <w:pPr>
        <w:pStyle w:val="FootnoteText"/>
      </w:pPr>
      <w:r>
        <w:rPr>
          <w:rStyle w:val="FootnoteReference"/>
        </w:rPr>
        <w:footnoteRef/>
      </w:r>
      <w:r>
        <w:t xml:space="preserve"> </w:t>
      </w:r>
      <w:r w:rsidR="007A4CA0">
        <w:tab/>
      </w:r>
      <w:hyperlink r:id="rId43" w:history="1">
        <w:r>
          <w:rPr>
            <w:rStyle w:val="Hyperlink"/>
          </w:rPr>
          <w:t>Carbon accounting guidelines for wastewater treatment: CH4 and N2O | Water New Zealand (waternz.org.nz)</w:t>
        </w:r>
      </w:hyperlink>
      <w:r w:rsidR="00817EA0" w:rsidRPr="00817EA0">
        <w:rPr>
          <w:rStyle w:val="Hyperlink"/>
          <w:color w:val="auto"/>
        </w:rPr>
        <w:t>.</w:t>
      </w:r>
    </w:p>
  </w:footnote>
  <w:footnote w:id="52">
    <w:p w14:paraId="221ACAEC" w14:textId="7F099FBD" w:rsidR="001D7618" w:rsidRDefault="001D7618">
      <w:pPr>
        <w:pStyle w:val="FootnoteText"/>
      </w:pPr>
      <w:r>
        <w:rPr>
          <w:rStyle w:val="FootnoteReference"/>
        </w:rPr>
        <w:footnoteRef/>
      </w:r>
      <w:r>
        <w:t xml:space="preserve"> </w:t>
      </w:r>
      <w:r w:rsidR="007A4CA0">
        <w:tab/>
      </w:r>
      <w:r w:rsidR="00817EA0" w:rsidRPr="00F272E7">
        <w:t>I</w:t>
      </w:r>
      <w:r w:rsidR="0079404A" w:rsidRPr="00F272E7">
        <w:t>bid</w:t>
      </w:r>
      <w:r w:rsidR="00817EA0">
        <w:t>.</w:t>
      </w:r>
    </w:p>
  </w:footnote>
  <w:footnote w:id="53">
    <w:p w14:paraId="4C4DEBCD" w14:textId="7813CD0F" w:rsidR="00084B3D" w:rsidRDefault="00084B3D">
      <w:pPr>
        <w:pStyle w:val="FootnoteText"/>
      </w:pPr>
      <w:r>
        <w:rPr>
          <w:rStyle w:val="FootnoteReference"/>
        </w:rPr>
        <w:footnoteRef/>
      </w:r>
      <w:r>
        <w:t xml:space="preserve"> </w:t>
      </w:r>
      <w:r w:rsidR="00431484">
        <w:tab/>
      </w:r>
      <w:r w:rsidRPr="1239E686">
        <w:rPr>
          <w:rFonts w:eastAsia="Calibri" w:cs="Calibri"/>
          <w:color w:val="000000" w:themeColor="text1"/>
        </w:rPr>
        <w:t>Water N</w:t>
      </w:r>
      <w:r w:rsidR="000446EC">
        <w:rPr>
          <w:rFonts w:eastAsia="Calibri" w:cs="Calibri"/>
          <w:color w:val="000000" w:themeColor="text1"/>
        </w:rPr>
        <w:t xml:space="preserve">ew </w:t>
      </w:r>
      <w:r w:rsidRPr="1239E686">
        <w:rPr>
          <w:rFonts w:eastAsia="Calibri" w:cs="Calibri"/>
          <w:color w:val="000000" w:themeColor="text1"/>
        </w:rPr>
        <w:t>Z</w:t>
      </w:r>
      <w:r w:rsidR="000446EC">
        <w:rPr>
          <w:rFonts w:eastAsia="Calibri" w:cs="Calibri"/>
          <w:color w:val="000000" w:themeColor="text1"/>
        </w:rPr>
        <w:t>ealand</w:t>
      </w:r>
      <w:r w:rsidRPr="1239E686">
        <w:rPr>
          <w:rFonts w:eastAsia="Calibri" w:cs="Calibri"/>
          <w:color w:val="000000" w:themeColor="text1"/>
        </w:rPr>
        <w:t xml:space="preserve"> </w:t>
      </w:r>
      <w:r>
        <w:rPr>
          <w:rFonts w:eastAsia="Calibri" w:cs="Calibri"/>
          <w:color w:val="000000" w:themeColor="text1"/>
        </w:rPr>
        <w:t xml:space="preserve">2020/21 </w:t>
      </w:r>
      <w:r w:rsidRPr="1239E686">
        <w:rPr>
          <w:rFonts w:eastAsia="Calibri" w:cs="Calibri"/>
          <w:color w:val="000000" w:themeColor="text1"/>
        </w:rPr>
        <w:t>National Performance Review</w:t>
      </w:r>
      <w:r w:rsidRPr="00084B3D">
        <w:t xml:space="preserve"> </w:t>
      </w:r>
      <w:r>
        <w:t xml:space="preserve">from </w:t>
      </w:r>
      <w:hyperlink r:id="rId44" w:history="1">
        <w:r w:rsidRPr="00817EA0">
          <w:rPr>
            <w:rStyle w:val="Hyperlink"/>
          </w:rPr>
          <w:t>https://www.waternz.org.nz/Attachment?Action=Download&amp;Attachment_id=5573</w:t>
        </w:r>
      </w:hyperlink>
      <w:r w:rsidR="00817EA0">
        <w:t>.</w:t>
      </w:r>
    </w:p>
  </w:footnote>
  <w:footnote w:id="54">
    <w:p w14:paraId="329A5E33" w14:textId="3ED6A5A6" w:rsidR="00DB5335" w:rsidRDefault="00DB5335" w:rsidP="00D64687">
      <w:pPr>
        <w:pStyle w:val="FootnoteText"/>
        <w:spacing w:after="40"/>
      </w:pPr>
      <w:r>
        <w:rPr>
          <w:rStyle w:val="FootnoteReference"/>
        </w:rPr>
        <w:footnoteRef/>
      </w:r>
      <w:r>
        <w:t xml:space="preserve"> </w:t>
      </w:r>
      <w:r>
        <w:tab/>
        <w:t>Water</w:t>
      </w:r>
      <w:r w:rsidR="000446EC">
        <w:t xml:space="preserve"> </w:t>
      </w:r>
      <w:r>
        <w:t>N</w:t>
      </w:r>
      <w:r w:rsidR="000446EC">
        <w:t xml:space="preserve">ew </w:t>
      </w:r>
      <w:r>
        <w:t>Z</w:t>
      </w:r>
      <w:r w:rsidR="000446EC">
        <w:t>ealand</w:t>
      </w:r>
      <w:r>
        <w:t xml:space="preserve"> report </w:t>
      </w:r>
      <w:hyperlink r:id="rId45" w:history="1">
        <w:r w:rsidRPr="00535E8F">
          <w:rPr>
            <w:rStyle w:val="Hyperlink"/>
          </w:rPr>
          <w:t>www.waternz.org.nz/Attachment?Action=Download&amp;Attachment_id=3142</w:t>
        </w:r>
      </w:hyperlink>
      <w:r w:rsidR="00817EA0">
        <w:t>.</w:t>
      </w:r>
    </w:p>
  </w:footnote>
  <w:footnote w:id="55">
    <w:p w14:paraId="671C9933" w14:textId="714C9996" w:rsidR="00DB5335" w:rsidRDefault="00DB5335" w:rsidP="00D64687">
      <w:pPr>
        <w:pStyle w:val="FootnoteText"/>
        <w:spacing w:after="40"/>
      </w:pPr>
      <w:r>
        <w:rPr>
          <w:rStyle w:val="FootnoteReference"/>
        </w:rPr>
        <w:footnoteRef/>
      </w:r>
      <w:r>
        <w:t xml:space="preserve"> </w:t>
      </w:r>
      <w:r>
        <w:tab/>
        <w:t>Ministry for the Environment’s WWTP database</w:t>
      </w:r>
      <w:r w:rsidR="00817EA0">
        <w:t>.</w:t>
      </w:r>
    </w:p>
  </w:footnote>
  <w:footnote w:id="56">
    <w:p w14:paraId="08E0C821" w14:textId="72162559" w:rsidR="004A0766" w:rsidRDefault="004A0766" w:rsidP="009A68E4">
      <w:pPr>
        <w:pStyle w:val="FootnoteText"/>
      </w:pPr>
      <w:r>
        <w:rPr>
          <w:rStyle w:val="FootnoteReference"/>
        </w:rPr>
        <w:footnoteRef/>
      </w:r>
      <w:r>
        <w:t xml:space="preserve"> </w:t>
      </w:r>
      <w:hyperlink r:id="rId46" w:history="1">
        <w:r w:rsidR="009A68E4">
          <w:rPr>
            <w:rStyle w:val="Hyperlink"/>
          </w:rPr>
          <w:t>Carbon accounting guidelines for wastewater treatment: CH4 and N2O | Water New Zealand (waternz.org.nz)</w:t>
        </w:r>
      </w:hyperlink>
      <w:r w:rsidR="00817EA0" w:rsidRPr="00817EA0">
        <w:rPr>
          <w:rStyle w:val="Hyperlink"/>
          <w:color w:val="auto"/>
        </w:rPr>
        <w:t>.</w:t>
      </w:r>
    </w:p>
  </w:footnote>
  <w:footnote w:id="57">
    <w:p w14:paraId="008173E8" w14:textId="7CFAC5BB" w:rsidR="00DB5335" w:rsidRDefault="00DB5335" w:rsidP="00E949FF">
      <w:pPr>
        <w:pStyle w:val="FootnoteText"/>
        <w:spacing w:after="40"/>
      </w:pPr>
      <w:r>
        <w:rPr>
          <w:rStyle w:val="FootnoteReference"/>
        </w:rPr>
        <w:footnoteRef/>
      </w:r>
      <w:r>
        <w:t xml:space="preserve"> </w:t>
      </w:r>
      <w:r>
        <w:tab/>
      </w:r>
      <w:r w:rsidRPr="006E6F0E">
        <w:rPr>
          <w:i/>
        </w:rPr>
        <w:t>National Greenhouse Gas Inventory from Wastewater Treatment and Discharge</w:t>
      </w:r>
      <w:r>
        <w:rPr>
          <w:i/>
        </w:rPr>
        <w:t>,</w:t>
      </w:r>
      <w:r w:rsidRPr="00301DBD">
        <w:t xml:space="preserve"> </w:t>
      </w:r>
      <w:r>
        <w:t>p</w:t>
      </w:r>
      <w:r w:rsidRPr="00301DBD">
        <w:t xml:space="preserve">repared for Ministry for the Environment </w:t>
      </w:r>
      <w:r>
        <w:t>b</w:t>
      </w:r>
      <w:r w:rsidRPr="00301DBD">
        <w:t>y Beca Infrastructure Ltd</w:t>
      </w:r>
      <w:r>
        <w:t>,</w:t>
      </w:r>
      <w:r w:rsidRPr="00301DBD">
        <w:t xml:space="preserve"> August 2007</w:t>
      </w:r>
      <w:r w:rsidR="001A61DF">
        <w:t>.</w:t>
      </w:r>
    </w:p>
  </w:footnote>
  <w:footnote w:id="58">
    <w:p w14:paraId="568EB398" w14:textId="0D404FBD" w:rsidR="008A6135" w:rsidRPr="003B73AD" w:rsidRDefault="008A6135" w:rsidP="003B73AD">
      <w:pPr>
        <w:pStyle w:val="FootnoteText"/>
      </w:pPr>
      <w:r w:rsidRPr="008B044F">
        <w:rPr>
          <w:rStyle w:val="FootnoteReference"/>
        </w:rPr>
        <w:footnoteRef/>
      </w:r>
      <w:r w:rsidR="003B73AD">
        <w:tab/>
      </w:r>
      <w:r w:rsidR="00A27187" w:rsidRPr="00A94C3E">
        <w:rPr>
          <w:rFonts w:cs="Calibri"/>
          <w:szCs w:val="19"/>
          <w:shd w:val="clear" w:color="auto" w:fill="FFFFFF"/>
        </w:rPr>
        <w:t xml:space="preserve">Cardno, (2015), Greenhouse Gas Emissions from Industrial Wastewater Treatment – Inventory Basis Review. </w:t>
      </w:r>
      <w:r w:rsidR="00A27187" w:rsidRPr="003B73AD">
        <w:t>Accessed</w:t>
      </w:r>
      <w:r w:rsidR="00A27187" w:rsidRPr="00A94C3E">
        <w:rPr>
          <w:rFonts w:cs="Calibri"/>
          <w:szCs w:val="19"/>
          <w:shd w:val="clear" w:color="auto" w:fill="FFFFFF"/>
        </w:rPr>
        <w:t xml:space="preserve"> via:</w:t>
      </w:r>
      <w:r w:rsidR="003B73AD">
        <w:rPr>
          <w:rFonts w:cs="Calibri"/>
          <w:szCs w:val="19"/>
          <w:shd w:val="clear" w:color="auto" w:fill="FFFFFF"/>
        </w:rPr>
        <w:t xml:space="preserve"> </w:t>
      </w:r>
      <w:hyperlink r:id="rId47" w:history="1">
        <w:r w:rsidR="003B73AD" w:rsidRPr="00110FF9">
          <w:rPr>
            <w:rStyle w:val="Hyperlink"/>
          </w:rPr>
          <w:t>https://environment.govt.nz/publications/greenhouse-gas-emissions-from-industrial-wastewater-treatment-inventory-basis-review/</w:t>
        </w:r>
      </w:hyperlink>
      <w:r w:rsidR="00817EA0" w:rsidRPr="00817EA0">
        <w:rPr>
          <w:rStyle w:val="Hyperlink"/>
          <w:color w:val="auto"/>
        </w:rPr>
        <w:t>.</w:t>
      </w:r>
    </w:p>
  </w:footnote>
  <w:footnote w:id="59">
    <w:p w14:paraId="20237497" w14:textId="4C90CCD2" w:rsidR="00DB5335" w:rsidRPr="004532D7" w:rsidRDefault="00DB5335" w:rsidP="004B224A">
      <w:pPr>
        <w:pStyle w:val="FootnoteText"/>
        <w:spacing w:after="40" w:line="200" w:lineRule="atLeast"/>
        <w:rPr>
          <w:lang w:val="it-IT"/>
        </w:rPr>
      </w:pPr>
      <w:r>
        <w:rPr>
          <w:rStyle w:val="FootnoteReference"/>
        </w:rPr>
        <w:footnoteRef/>
      </w:r>
      <w:r w:rsidRPr="004532D7">
        <w:rPr>
          <w:lang w:val="it-IT"/>
        </w:rPr>
        <w:t xml:space="preserve"> </w:t>
      </w:r>
      <w:r w:rsidRPr="004532D7">
        <w:rPr>
          <w:lang w:val="it-IT"/>
        </w:rPr>
        <w:tab/>
        <w:t xml:space="preserve">BRANZ Ltd, </w:t>
      </w:r>
      <w:hyperlink r:id="rId48" w:history="1">
        <w:r w:rsidRPr="004532D7">
          <w:rPr>
            <w:rStyle w:val="Hyperlink"/>
            <w:lang w:val="it-IT"/>
          </w:rPr>
          <w:t>www.branz.co.nz</w:t>
        </w:r>
      </w:hyperlink>
      <w:r w:rsidR="00817EA0">
        <w:rPr>
          <w:lang w:val="it-IT"/>
        </w:rPr>
        <w:t>.</w:t>
      </w:r>
    </w:p>
  </w:footnote>
  <w:footnote w:id="60">
    <w:p w14:paraId="64A95AA1" w14:textId="1DDBEBD9" w:rsidR="00092DFD" w:rsidRDefault="00092DFD" w:rsidP="00092DFD">
      <w:pPr>
        <w:pStyle w:val="FootnoteText"/>
        <w:spacing w:after="40" w:line="200" w:lineRule="atLeast"/>
      </w:pPr>
      <w:r>
        <w:rPr>
          <w:rStyle w:val="FootnoteReference"/>
        </w:rPr>
        <w:footnoteRef/>
      </w:r>
      <w:r>
        <w:t xml:space="preserve"> </w:t>
      </w:r>
      <w:r>
        <w:tab/>
        <w:t>BRANZ CO</w:t>
      </w:r>
      <w:r w:rsidRPr="0078780D">
        <w:rPr>
          <w:vertAlign w:val="subscript"/>
        </w:rPr>
        <w:t>2</w:t>
      </w:r>
      <w:r>
        <w:t xml:space="preserve">NSTRUCT, </w:t>
      </w:r>
      <w:hyperlink r:id="rId49" w:history="1">
        <w:r w:rsidR="00312E56" w:rsidRPr="00BB3C6E">
          <w:rPr>
            <w:rStyle w:val="Hyperlink"/>
          </w:rPr>
          <w:t>www.branz.co.nz/co2nstruct\</w:t>
        </w:r>
      </w:hyperlink>
      <w:r w:rsidR="00817EA0">
        <w:t>.</w:t>
      </w:r>
    </w:p>
  </w:footnote>
  <w:footnote w:id="61">
    <w:p w14:paraId="22F46FCA" w14:textId="03BA5DC8" w:rsidR="00021386" w:rsidRDefault="00021386">
      <w:pPr>
        <w:pStyle w:val="FootnoteText"/>
      </w:pPr>
      <w:r>
        <w:rPr>
          <w:rStyle w:val="FootnoteReference"/>
        </w:rPr>
        <w:footnoteRef/>
      </w:r>
      <w:r w:rsidR="00D01071">
        <w:tab/>
      </w:r>
      <w:hyperlink r:id="rId50" w:history="1">
        <w:r w:rsidR="00D01071" w:rsidRPr="00C46B31">
          <w:rPr>
            <w:rStyle w:val="Hyperlink"/>
          </w:rPr>
          <w:t>https://epd-australasia.com/</w:t>
        </w:r>
      </w:hyperlink>
      <w:r w:rsidR="00817EA0">
        <w:t>.</w:t>
      </w:r>
    </w:p>
  </w:footnote>
  <w:footnote w:id="62">
    <w:p w14:paraId="1D581691" w14:textId="07DEFC44" w:rsidR="00DB5335" w:rsidRDefault="00DB5335" w:rsidP="00427631">
      <w:pPr>
        <w:pStyle w:val="FootnoteText"/>
      </w:pPr>
      <w:r>
        <w:rPr>
          <w:rStyle w:val="FootnoteReference"/>
        </w:rPr>
        <w:footnoteRef/>
      </w:r>
      <w:r>
        <w:t xml:space="preserve"> </w:t>
      </w:r>
      <w:r>
        <w:tab/>
      </w:r>
      <w:hyperlink r:id="rId51" w:history="1">
        <w:r w:rsidRPr="00535E8F">
          <w:rPr>
            <w:rStyle w:val="Hyperlink"/>
          </w:rPr>
          <w:t>www.ipcc-nggip.iges.or.jp/public/2006gl/pdf/5_Volume5/V5_3_Ch3_SWDS.pdf</w:t>
        </w:r>
      </w:hyperlink>
      <w:r w:rsidR="00817EA0" w:rsidRPr="00817EA0">
        <w:rPr>
          <w:rStyle w:val="Hyperlink"/>
          <w:color w:val="auto"/>
        </w:rPr>
        <w:t>.</w:t>
      </w:r>
    </w:p>
  </w:footnote>
  <w:footnote w:id="63">
    <w:p w14:paraId="3466007C" w14:textId="565B9B89" w:rsidR="00F829FF" w:rsidRDefault="00F829FF">
      <w:pPr>
        <w:pStyle w:val="FootnoteText"/>
      </w:pPr>
      <w:r>
        <w:rPr>
          <w:rStyle w:val="FootnoteReference"/>
        </w:rPr>
        <w:footnoteRef/>
      </w:r>
      <w:r>
        <w:t xml:space="preserve"> </w:t>
      </w:r>
      <w:r w:rsidR="00E27A32">
        <w:tab/>
      </w:r>
      <w:r w:rsidR="00B12D52">
        <w:t xml:space="preserve">IPCC 2006, vol.5, table 3.1 </w:t>
      </w:r>
      <w:hyperlink r:id="rId52" w:history="1">
        <w:r w:rsidR="00E27A32" w:rsidRPr="00C46B31">
          <w:rPr>
            <w:rStyle w:val="Hyperlink"/>
          </w:rPr>
          <w:t>www.ipcc-nggip.iges.or.jp/public/2006gl/pdf/5_Volume5/V5_3_Ch3_SWDS.pdf</w:t>
        </w:r>
      </w:hyperlink>
      <w:r w:rsidR="00817EA0">
        <w:t>.</w:t>
      </w:r>
    </w:p>
  </w:footnote>
  <w:footnote w:id="64">
    <w:p w14:paraId="0F662267" w14:textId="7DB2560C" w:rsidR="00FD4045" w:rsidRDefault="00FD4045" w:rsidP="00FD4045">
      <w:pPr>
        <w:pStyle w:val="FootnoteText"/>
      </w:pPr>
      <w:r>
        <w:rPr>
          <w:rStyle w:val="FootnoteReference"/>
        </w:rPr>
        <w:footnoteRef/>
      </w:r>
      <w:r>
        <w:t xml:space="preserve"> </w:t>
      </w:r>
      <w:r>
        <w:tab/>
        <w:t xml:space="preserve">LUCAS </w:t>
      </w:r>
      <w:r w:rsidRPr="00344FB2">
        <w:t>Land</w:t>
      </w:r>
      <w:r>
        <w:t xml:space="preserve"> Use Map (</w:t>
      </w:r>
      <w:hyperlink r:id="rId53" w:history="1">
        <w:r>
          <w:rPr>
            <w:rStyle w:val="Hyperlink"/>
          </w:rPr>
          <w:t>MfE Data Service</w:t>
        </w:r>
      </w:hyperlink>
      <w:r>
        <w:t>)</w:t>
      </w:r>
      <w:r w:rsidR="00817EA0">
        <w:t>.</w:t>
      </w:r>
      <w:r>
        <w:t xml:space="preserve"> </w:t>
      </w:r>
      <w:r>
        <w:tab/>
      </w:r>
    </w:p>
  </w:footnote>
  <w:footnote w:id="65">
    <w:p w14:paraId="5C4273D3" w14:textId="126404DA" w:rsidR="00FD4045" w:rsidRDefault="00FD4045" w:rsidP="00FD4045">
      <w:pPr>
        <w:pStyle w:val="FootnoteText"/>
      </w:pPr>
      <w:r>
        <w:rPr>
          <w:rStyle w:val="FootnoteReference"/>
        </w:rPr>
        <w:footnoteRef/>
      </w:r>
      <w:r>
        <w:t xml:space="preserve"> </w:t>
      </w:r>
      <w:r>
        <w:tab/>
        <w:t xml:space="preserve">The New Zealand Land Cover Database. </w:t>
      </w:r>
      <w:hyperlink r:id="rId54" w:history="1">
        <w:r>
          <w:rPr>
            <w:rStyle w:val="Hyperlink"/>
          </w:rPr>
          <w:t>LCDB v4.1 (Deprecated) - Land Cover Database version 4.1, Mainland New Zealand - Informatics Team | New Zealand | Environment and Land GIS | LRIS Portal (scinfo.org.nz)</w:t>
        </w:r>
      </w:hyperlink>
      <w:r w:rsidR="00817EA0" w:rsidRPr="00007B11">
        <w:rPr>
          <w:rStyle w:val="Hyperlink"/>
          <w:color w:val="auto"/>
        </w:rPr>
        <w:t>.</w:t>
      </w:r>
    </w:p>
  </w:footnote>
  <w:footnote w:id="66">
    <w:p w14:paraId="20B14F9A" w14:textId="027065C3" w:rsidR="00957974" w:rsidRDefault="00957974" w:rsidP="008B3F1D">
      <w:pPr>
        <w:pStyle w:val="FootnoteText"/>
        <w:spacing w:after="40"/>
      </w:pPr>
      <w:r>
        <w:rPr>
          <w:rStyle w:val="FootnoteReference"/>
        </w:rPr>
        <w:footnoteRef/>
      </w:r>
      <w:r>
        <w:t xml:space="preserve"> </w:t>
      </w:r>
      <w:r w:rsidR="008B3F1D">
        <w:tab/>
      </w:r>
      <w:r w:rsidR="00E95D8B">
        <w:rPr>
          <w:rFonts w:cs="Calibri"/>
          <w:color w:val="000000"/>
          <w:sz w:val="20"/>
          <w:szCs w:val="20"/>
          <w:shd w:val="clear" w:color="auto" w:fill="FFFFFF"/>
        </w:rPr>
        <w:t xml:space="preserve">Wakelin SJ, Paul THS, West T, Dowling, LJ. Unpublished. </w:t>
      </w:r>
      <w:r w:rsidR="00E95D8B" w:rsidRPr="00ED2310">
        <w:rPr>
          <w:rFonts w:cs="Calibri"/>
          <w:color w:val="000000"/>
          <w:sz w:val="20"/>
          <w:szCs w:val="20"/>
          <w:shd w:val="clear" w:color="auto" w:fill="FFFFFF"/>
          <w:lang w:val="en-AU"/>
        </w:rPr>
        <w:t>Reporting New Zealand’s Nationally Determined Contribution under the Paris Agreement using Averaging Accounting for Post-1989 forests</w:t>
      </w:r>
      <w:r w:rsidR="00E95D8B">
        <w:rPr>
          <w:rFonts w:cs="Calibri"/>
          <w:color w:val="000000"/>
          <w:sz w:val="20"/>
          <w:szCs w:val="20"/>
          <w:shd w:val="clear" w:color="auto" w:fill="FFFFFF"/>
          <w:lang w:val="en-AU"/>
        </w:rPr>
        <w:t xml:space="preserve">. </w:t>
      </w:r>
      <w:r w:rsidR="00E95D8B">
        <w:rPr>
          <w:rFonts w:cs="Calibri"/>
          <w:color w:val="000000"/>
          <w:sz w:val="20"/>
          <w:szCs w:val="20"/>
          <w:shd w:val="clear" w:color="auto" w:fill="FFFFFF"/>
        </w:rPr>
        <w:t>Contract report prepared for the Ministry for the Environment by New Zealand Forest Research Institute Ltd (trading as Scion) in 2021.</w:t>
      </w:r>
    </w:p>
  </w:footnote>
  <w:footnote w:id="67">
    <w:p w14:paraId="57350843" w14:textId="415671D0" w:rsidR="006C7786" w:rsidRDefault="006C7786" w:rsidP="006C7786">
      <w:pPr>
        <w:pStyle w:val="FootnoteText"/>
      </w:pPr>
      <w:r>
        <w:rPr>
          <w:rStyle w:val="FootnoteReference"/>
        </w:rPr>
        <w:footnoteRef/>
      </w:r>
      <w:r>
        <w:t xml:space="preserve"> </w:t>
      </w:r>
      <w:r>
        <w:tab/>
        <w:t xml:space="preserve">See Volume 4, Chapter 10 of </w:t>
      </w:r>
      <w:r w:rsidRPr="009706E4">
        <w:rPr>
          <w:i/>
        </w:rPr>
        <w:t>2006 IPCC Guidelines for National Greenhouse Gas Inventories</w:t>
      </w:r>
      <w:r>
        <w:t xml:space="preserve">: </w:t>
      </w:r>
      <w:hyperlink r:id="rId55" w:history="1">
        <w:r w:rsidRPr="00D45100">
          <w:rPr>
            <w:rStyle w:val="Hyperlink"/>
          </w:rPr>
          <w:t>www.ipcc-nggip.iges.or.jp/public/2006gl/pdf/4_Volume4/V4_10_Ch10_Livestock.pdf</w:t>
        </w:r>
      </w:hyperlink>
      <w:r>
        <w:t>.</w:t>
      </w:r>
    </w:p>
  </w:footnote>
  <w:footnote w:id="68">
    <w:p w14:paraId="40E2FAEB" w14:textId="5CEC3D56" w:rsidR="00D30E2B" w:rsidRDefault="00D30E2B" w:rsidP="00D30E2B">
      <w:pPr>
        <w:pStyle w:val="FootnoteText"/>
      </w:pPr>
      <w:r>
        <w:rPr>
          <w:rStyle w:val="FootnoteReference"/>
        </w:rPr>
        <w:footnoteRef/>
      </w:r>
      <w:r>
        <w:tab/>
      </w:r>
      <w:r w:rsidR="00640D53">
        <w:t>Ibid.</w:t>
      </w:r>
    </w:p>
  </w:footnote>
  <w:footnote w:id="69">
    <w:p w14:paraId="57DF7322" w14:textId="555F7DAE" w:rsidR="00DB5335" w:rsidRDefault="00DB5335" w:rsidP="005F412E">
      <w:pPr>
        <w:pStyle w:val="FootnoteText"/>
      </w:pPr>
      <w:r>
        <w:rPr>
          <w:rStyle w:val="FootnoteReference"/>
        </w:rPr>
        <w:footnoteRef/>
      </w:r>
      <w:r>
        <w:tab/>
        <w:t>In the absence of consistent information for New Zealand, the default assumption for the assembly (installation) emissions rate is the rounded-off IPCC 2006 mid-range value. It is not applicable (relevant) for many pre-charged units.</w:t>
      </w:r>
    </w:p>
  </w:footnote>
  <w:footnote w:id="70">
    <w:p w14:paraId="3250BC7D" w14:textId="4BE80ECD" w:rsidR="00DB5335" w:rsidRDefault="00DB5335" w:rsidP="005F412E">
      <w:pPr>
        <w:pStyle w:val="FootnoteText"/>
      </w:pPr>
      <w:r>
        <w:rPr>
          <w:rStyle w:val="FootnoteReference"/>
        </w:rPr>
        <w:footnoteRef/>
      </w:r>
      <w:r>
        <w:tab/>
        <w:t>Internal dimensions up to 100x50x30cm for 150 litres; 150x50x40cm for 300 litres; 200x50x50cm for 500 litres.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B69D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56D0F"/>
    <w:multiLevelType w:val="multilevel"/>
    <w:tmpl w:val="446A12E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B55DBF"/>
    <w:multiLevelType w:val="hybridMultilevel"/>
    <w:tmpl w:val="419ED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F211D9"/>
    <w:multiLevelType w:val="hybridMultilevel"/>
    <w:tmpl w:val="022C9204"/>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A27184"/>
    <w:multiLevelType w:val="hybridMultilevel"/>
    <w:tmpl w:val="49CEB7B2"/>
    <w:lvl w:ilvl="0" w:tplc="C240A06E">
      <w:start w:val="1"/>
      <w:numFmt w:val="bullet"/>
      <w:pStyle w:val="Blue-box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15:restartNumberingAfterBreak="0">
    <w:nsid w:val="08E43FB6"/>
    <w:multiLevelType w:val="multilevel"/>
    <w:tmpl w:val="DF4C2BBE"/>
    <w:lvl w:ilvl="0">
      <w:start w:val="1"/>
      <w:numFmt w:val="decimal"/>
      <w:lvlText w:val="5.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7" w15:restartNumberingAfterBreak="0">
    <w:nsid w:val="0B0F5F0E"/>
    <w:multiLevelType w:val="hybridMultilevel"/>
    <w:tmpl w:val="990A8F54"/>
    <w:lvl w:ilvl="0" w:tplc="ED2AF846">
      <w:start w:val="1"/>
      <w:numFmt w:val="bullet"/>
      <w:pStyle w:val="Greenbullet-casestudytables"/>
      <w:lvlText w:val=""/>
      <w:lvlJc w:val="left"/>
      <w:pPr>
        <w:ind w:left="680" w:hanging="396"/>
      </w:pPr>
      <w:rPr>
        <w:rFonts w:ascii="Symbol" w:hAnsi="Symbol" w:hint="default"/>
        <w:color w:val="0F7B7D"/>
        <w:sz w:val="18"/>
        <w:szCs w:val="18"/>
      </w:rPr>
    </w:lvl>
    <w:lvl w:ilvl="1" w:tplc="52FCEA50">
      <w:start w:val="1"/>
      <w:numFmt w:val="bullet"/>
      <w:lvlText w:val="o"/>
      <w:lvlJc w:val="left"/>
      <w:pPr>
        <w:ind w:left="1724" w:hanging="360"/>
      </w:pPr>
      <w:rPr>
        <w:rFonts w:ascii="Courier New" w:hAnsi="Courier New" w:cs="Courier New" w:hint="default"/>
      </w:rPr>
    </w:lvl>
    <w:lvl w:ilvl="2" w:tplc="A44EE6BE">
      <w:start w:val="1"/>
      <w:numFmt w:val="bullet"/>
      <w:lvlText w:val=""/>
      <w:lvlJc w:val="left"/>
      <w:pPr>
        <w:ind w:left="2444" w:hanging="360"/>
      </w:pPr>
      <w:rPr>
        <w:rFonts w:ascii="Wingdings" w:hAnsi="Wingdings" w:hint="default"/>
      </w:rPr>
    </w:lvl>
    <w:lvl w:ilvl="3" w:tplc="8D103BD4">
      <w:start w:val="1"/>
      <w:numFmt w:val="bullet"/>
      <w:lvlText w:val=""/>
      <w:lvlJc w:val="left"/>
      <w:pPr>
        <w:ind w:left="3164" w:hanging="360"/>
      </w:pPr>
      <w:rPr>
        <w:rFonts w:ascii="Symbol" w:hAnsi="Symbol" w:hint="default"/>
      </w:rPr>
    </w:lvl>
    <w:lvl w:ilvl="4" w:tplc="937C63B4">
      <w:start w:val="1"/>
      <w:numFmt w:val="bullet"/>
      <w:lvlText w:val="o"/>
      <w:lvlJc w:val="left"/>
      <w:pPr>
        <w:ind w:left="3884" w:hanging="360"/>
      </w:pPr>
      <w:rPr>
        <w:rFonts w:ascii="Courier New" w:hAnsi="Courier New" w:cs="Courier New" w:hint="default"/>
      </w:rPr>
    </w:lvl>
    <w:lvl w:ilvl="5" w:tplc="4B267772">
      <w:start w:val="1"/>
      <w:numFmt w:val="bullet"/>
      <w:lvlText w:val=""/>
      <w:lvlJc w:val="left"/>
      <w:pPr>
        <w:ind w:left="4604" w:hanging="360"/>
      </w:pPr>
      <w:rPr>
        <w:rFonts w:ascii="Wingdings" w:hAnsi="Wingdings" w:hint="default"/>
      </w:rPr>
    </w:lvl>
    <w:lvl w:ilvl="6" w:tplc="EAB483D4">
      <w:start w:val="1"/>
      <w:numFmt w:val="bullet"/>
      <w:lvlText w:val=""/>
      <w:lvlJc w:val="left"/>
      <w:pPr>
        <w:ind w:left="5324" w:hanging="360"/>
      </w:pPr>
      <w:rPr>
        <w:rFonts w:ascii="Symbol" w:hAnsi="Symbol" w:hint="default"/>
      </w:rPr>
    </w:lvl>
    <w:lvl w:ilvl="7" w:tplc="EFD666CE">
      <w:start w:val="1"/>
      <w:numFmt w:val="bullet"/>
      <w:lvlText w:val="o"/>
      <w:lvlJc w:val="left"/>
      <w:pPr>
        <w:ind w:left="6044" w:hanging="360"/>
      </w:pPr>
      <w:rPr>
        <w:rFonts w:ascii="Courier New" w:hAnsi="Courier New" w:cs="Courier New" w:hint="default"/>
      </w:rPr>
    </w:lvl>
    <w:lvl w:ilvl="8" w:tplc="786AE744">
      <w:start w:val="1"/>
      <w:numFmt w:val="bullet"/>
      <w:lvlText w:val=""/>
      <w:lvlJc w:val="left"/>
      <w:pPr>
        <w:ind w:left="6764" w:hanging="360"/>
      </w:pPr>
      <w:rPr>
        <w:rFonts w:ascii="Wingdings" w:hAnsi="Wingdings" w:hint="default"/>
      </w:rPr>
    </w:lvl>
  </w:abstractNum>
  <w:abstractNum w:abstractNumId="8" w15:restartNumberingAfterBreak="0">
    <w:nsid w:val="0B6014AD"/>
    <w:multiLevelType w:val="hybridMultilevel"/>
    <w:tmpl w:val="E82C7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D5E09B9"/>
    <w:multiLevelType w:val="multilevel"/>
    <w:tmpl w:val="34B0B0F0"/>
    <w:lvl w:ilvl="0">
      <w:start w:val="1"/>
      <w:numFmt w:val="decimal"/>
      <w:lvlText w:val="6.2.%1"/>
      <w:lvlJc w:val="left"/>
      <w:pPr>
        <w:ind w:left="851" w:hanging="851"/>
      </w:pPr>
      <w:rPr>
        <w:rFonts w:hint="default"/>
        <w:lang w:val="en-U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D691F5B"/>
    <w:multiLevelType w:val="hybridMultilevel"/>
    <w:tmpl w:val="4FFA8842"/>
    <w:lvl w:ilvl="0" w:tplc="DDB62174">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E3254EE"/>
    <w:multiLevelType w:val="hybridMultilevel"/>
    <w:tmpl w:val="A7D413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2475AFB"/>
    <w:multiLevelType w:val="hybridMultilevel"/>
    <w:tmpl w:val="37D8A8F8"/>
    <w:lvl w:ilvl="0" w:tplc="A230BC16">
      <w:start w:val="1"/>
      <w:numFmt w:val="bullet"/>
      <w:lvlText w:val=""/>
      <w:lvlJc w:val="left"/>
      <w:pPr>
        <w:ind w:left="1440" w:hanging="360"/>
      </w:pPr>
      <w:rPr>
        <w:rFonts w:ascii="Symbol" w:hAnsi="Symbol"/>
      </w:rPr>
    </w:lvl>
    <w:lvl w:ilvl="1" w:tplc="14820D98">
      <w:start w:val="1"/>
      <w:numFmt w:val="bullet"/>
      <w:lvlText w:val=""/>
      <w:lvlJc w:val="left"/>
      <w:pPr>
        <w:ind w:left="1440" w:hanging="360"/>
      </w:pPr>
      <w:rPr>
        <w:rFonts w:ascii="Symbol" w:hAnsi="Symbol"/>
      </w:rPr>
    </w:lvl>
    <w:lvl w:ilvl="2" w:tplc="E036325C">
      <w:start w:val="1"/>
      <w:numFmt w:val="bullet"/>
      <w:lvlText w:val=""/>
      <w:lvlJc w:val="left"/>
      <w:pPr>
        <w:ind w:left="1440" w:hanging="360"/>
      </w:pPr>
      <w:rPr>
        <w:rFonts w:ascii="Symbol" w:hAnsi="Symbol"/>
      </w:rPr>
    </w:lvl>
    <w:lvl w:ilvl="3" w:tplc="4D5C2734">
      <w:start w:val="1"/>
      <w:numFmt w:val="bullet"/>
      <w:lvlText w:val=""/>
      <w:lvlJc w:val="left"/>
      <w:pPr>
        <w:ind w:left="1440" w:hanging="360"/>
      </w:pPr>
      <w:rPr>
        <w:rFonts w:ascii="Symbol" w:hAnsi="Symbol"/>
      </w:rPr>
    </w:lvl>
    <w:lvl w:ilvl="4" w:tplc="5F907434">
      <w:start w:val="1"/>
      <w:numFmt w:val="bullet"/>
      <w:lvlText w:val=""/>
      <w:lvlJc w:val="left"/>
      <w:pPr>
        <w:ind w:left="1440" w:hanging="360"/>
      </w:pPr>
      <w:rPr>
        <w:rFonts w:ascii="Symbol" w:hAnsi="Symbol"/>
      </w:rPr>
    </w:lvl>
    <w:lvl w:ilvl="5" w:tplc="93DAA29A">
      <w:start w:val="1"/>
      <w:numFmt w:val="bullet"/>
      <w:lvlText w:val=""/>
      <w:lvlJc w:val="left"/>
      <w:pPr>
        <w:ind w:left="1440" w:hanging="360"/>
      </w:pPr>
      <w:rPr>
        <w:rFonts w:ascii="Symbol" w:hAnsi="Symbol"/>
      </w:rPr>
    </w:lvl>
    <w:lvl w:ilvl="6" w:tplc="93E2B04C">
      <w:start w:val="1"/>
      <w:numFmt w:val="bullet"/>
      <w:lvlText w:val=""/>
      <w:lvlJc w:val="left"/>
      <w:pPr>
        <w:ind w:left="1440" w:hanging="360"/>
      </w:pPr>
      <w:rPr>
        <w:rFonts w:ascii="Symbol" w:hAnsi="Symbol"/>
      </w:rPr>
    </w:lvl>
    <w:lvl w:ilvl="7" w:tplc="ED1618C4">
      <w:start w:val="1"/>
      <w:numFmt w:val="bullet"/>
      <w:lvlText w:val=""/>
      <w:lvlJc w:val="left"/>
      <w:pPr>
        <w:ind w:left="1440" w:hanging="360"/>
      </w:pPr>
      <w:rPr>
        <w:rFonts w:ascii="Symbol" w:hAnsi="Symbol"/>
      </w:rPr>
    </w:lvl>
    <w:lvl w:ilvl="8" w:tplc="6A1AC252">
      <w:start w:val="1"/>
      <w:numFmt w:val="bullet"/>
      <w:lvlText w:val=""/>
      <w:lvlJc w:val="left"/>
      <w:pPr>
        <w:ind w:left="1440" w:hanging="360"/>
      </w:pPr>
      <w:rPr>
        <w:rFonts w:ascii="Symbol" w:hAnsi="Symbol"/>
      </w:rPr>
    </w:lvl>
  </w:abstractNum>
  <w:abstractNum w:abstractNumId="13" w15:restartNumberingAfterBreak="0">
    <w:nsid w:val="145C9CFD"/>
    <w:multiLevelType w:val="hybridMultilevel"/>
    <w:tmpl w:val="FFFFFFFF"/>
    <w:lvl w:ilvl="0" w:tplc="931ADBDA">
      <w:start w:val="1"/>
      <w:numFmt w:val="bullet"/>
      <w:lvlText w:val=""/>
      <w:lvlJc w:val="left"/>
      <w:pPr>
        <w:ind w:left="720" w:hanging="360"/>
      </w:pPr>
      <w:rPr>
        <w:rFonts w:ascii="Symbol" w:hAnsi="Symbol" w:hint="default"/>
      </w:rPr>
    </w:lvl>
    <w:lvl w:ilvl="1" w:tplc="FEB62676">
      <w:start w:val="1"/>
      <w:numFmt w:val="bullet"/>
      <w:lvlText w:val="o"/>
      <w:lvlJc w:val="left"/>
      <w:pPr>
        <w:ind w:left="1440" w:hanging="360"/>
      </w:pPr>
      <w:rPr>
        <w:rFonts w:ascii="Courier New" w:hAnsi="Courier New" w:hint="default"/>
      </w:rPr>
    </w:lvl>
    <w:lvl w:ilvl="2" w:tplc="DE40B7E6">
      <w:start w:val="1"/>
      <w:numFmt w:val="bullet"/>
      <w:lvlText w:val=""/>
      <w:lvlJc w:val="left"/>
      <w:pPr>
        <w:ind w:left="2160" w:hanging="360"/>
      </w:pPr>
      <w:rPr>
        <w:rFonts w:ascii="Wingdings" w:hAnsi="Wingdings" w:hint="default"/>
      </w:rPr>
    </w:lvl>
    <w:lvl w:ilvl="3" w:tplc="79BA3378">
      <w:start w:val="1"/>
      <w:numFmt w:val="bullet"/>
      <w:lvlText w:val=""/>
      <w:lvlJc w:val="left"/>
      <w:pPr>
        <w:ind w:left="2880" w:hanging="360"/>
      </w:pPr>
      <w:rPr>
        <w:rFonts w:ascii="Symbol" w:hAnsi="Symbol" w:hint="default"/>
      </w:rPr>
    </w:lvl>
    <w:lvl w:ilvl="4" w:tplc="E23E19A4">
      <w:start w:val="1"/>
      <w:numFmt w:val="bullet"/>
      <w:lvlText w:val="o"/>
      <w:lvlJc w:val="left"/>
      <w:pPr>
        <w:ind w:left="3600" w:hanging="360"/>
      </w:pPr>
      <w:rPr>
        <w:rFonts w:ascii="Courier New" w:hAnsi="Courier New" w:hint="default"/>
      </w:rPr>
    </w:lvl>
    <w:lvl w:ilvl="5" w:tplc="EB244506">
      <w:start w:val="1"/>
      <w:numFmt w:val="bullet"/>
      <w:lvlText w:val=""/>
      <w:lvlJc w:val="left"/>
      <w:pPr>
        <w:ind w:left="4320" w:hanging="360"/>
      </w:pPr>
      <w:rPr>
        <w:rFonts w:ascii="Wingdings" w:hAnsi="Wingdings" w:hint="default"/>
      </w:rPr>
    </w:lvl>
    <w:lvl w:ilvl="6" w:tplc="777062D6">
      <w:start w:val="1"/>
      <w:numFmt w:val="bullet"/>
      <w:lvlText w:val=""/>
      <w:lvlJc w:val="left"/>
      <w:pPr>
        <w:ind w:left="5040" w:hanging="360"/>
      </w:pPr>
      <w:rPr>
        <w:rFonts w:ascii="Symbol" w:hAnsi="Symbol" w:hint="default"/>
      </w:rPr>
    </w:lvl>
    <w:lvl w:ilvl="7" w:tplc="31C6DA04">
      <w:start w:val="1"/>
      <w:numFmt w:val="bullet"/>
      <w:lvlText w:val="o"/>
      <w:lvlJc w:val="left"/>
      <w:pPr>
        <w:ind w:left="5760" w:hanging="360"/>
      </w:pPr>
      <w:rPr>
        <w:rFonts w:ascii="Courier New" w:hAnsi="Courier New" w:hint="default"/>
      </w:rPr>
    </w:lvl>
    <w:lvl w:ilvl="8" w:tplc="6082D854">
      <w:start w:val="1"/>
      <w:numFmt w:val="bullet"/>
      <w:lvlText w:val=""/>
      <w:lvlJc w:val="left"/>
      <w:pPr>
        <w:ind w:left="6480" w:hanging="360"/>
      </w:pPr>
      <w:rPr>
        <w:rFonts w:ascii="Wingdings" w:hAnsi="Wingdings" w:hint="default"/>
      </w:rPr>
    </w:lvl>
  </w:abstractNum>
  <w:abstractNum w:abstractNumId="14" w15:restartNumberingAfterBreak="0">
    <w:nsid w:val="15CB36DF"/>
    <w:multiLevelType w:val="hybridMultilevel"/>
    <w:tmpl w:val="3E3A853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7449D54"/>
    <w:multiLevelType w:val="multilevel"/>
    <w:tmpl w:val="FB90700E"/>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594A26"/>
    <w:multiLevelType w:val="hybridMultilevel"/>
    <w:tmpl w:val="9EA6B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93B137D"/>
    <w:multiLevelType w:val="multilevel"/>
    <w:tmpl w:val="F7EEEC92"/>
    <w:lvl w:ilvl="0">
      <w:start w:val="1"/>
      <w:numFmt w:val="upperLetter"/>
      <w:lvlText w:val="%1."/>
      <w:lvlJc w:val="left"/>
      <w:pPr>
        <w:ind w:left="432" w:hanging="432"/>
      </w:pPr>
      <w:rPr>
        <w:rFonts w:hint="default"/>
      </w:rPr>
    </w:lvl>
    <w:lvl w:ilvl="1">
      <w:start w:val="1"/>
      <w:numFmt w:val="decimal"/>
      <w:lvlText w:val="A%2"/>
      <w:lvlJc w:val="left"/>
      <w:pPr>
        <w:ind w:left="851" w:hanging="851"/>
      </w:pPr>
      <w:rPr>
        <w:rFonts w:hint="default"/>
      </w:rPr>
    </w:lvl>
    <w:lvl w:ilvl="2">
      <w:numFmt w:val="decimal"/>
      <w:lvlText w:val="%2"/>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ascii="Calibri" w:hAnsi="Calibri" w:hint="default"/>
        <w:b/>
        <w:bCs/>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cene3d>
          <w14:camera w14:prst="orthographicFront"/>
          <w14:lightRig w14:rig="threePt" w14:dir="t">
            <w14:rot w14:lat="0" w14:lon="0" w14:rev="0"/>
          </w14:lightRig>
        </w14:scene3d>
      </w:rPr>
    </w:lvl>
  </w:abstractNum>
  <w:abstractNum w:abstractNumId="18" w15:restartNumberingAfterBreak="0">
    <w:nsid w:val="19574AA2"/>
    <w:multiLevelType w:val="multilevel"/>
    <w:tmpl w:val="CBDA13CE"/>
    <w:lvl w:ilvl="0">
      <w:start w:val="1"/>
      <w:numFmt w:val="decimal"/>
      <w:lvlText w:val=""/>
      <w:lvlJc w:val="left"/>
    </w:lvl>
    <w:lvl w:ilvl="1">
      <w:numFmt w:val="decimal"/>
      <w:lvlText w:val=""/>
      <w:lvlJc w:val="left"/>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none"/>
      <w:lvlText w:val=""/>
      <w:lvlJc w:val="left"/>
      <w:pPr>
        <w:tabs>
          <w:tab w:val="num" w:pos="360"/>
        </w:tabs>
      </w:pPr>
    </w:lvl>
    <w:lvl w:ilvl="7">
      <w:numFmt w:val="decimal"/>
      <w:lvlText w:val=""/>
      <w:lvlJc w:val="left"/>
    </w:lvl>
    <w:lvl w:ilvl="8">
      <w:numFmt w:val="decimal"/>
      <w:lvlText w:val=""/>
      <w:lvlJc w:val="left"/>
    </w:lvl>
  </w:abstractNum>
  <w:abstractNum w:abstractNumId="19" w15:restartNumberingAfterBreak="0">
    <w:nsid w:val="1A7A7250"/>
    <w:multiLevelType w:val="multilevel"/>
    <w:tmpl w:val="D07CD9A2"/>
    <w:styleLink w:val="Style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964" w:hanging="964"/>
      </w:pPr>
      <w:rPr>
        <w:rFonts w:ascii="Georgia" w:hAnsi="Georgia" w:hint="default"/>
        <w:sz w:val="28"/>
        <w:szCs w:val="28"/>
      </w:rPr>
    </w:lvl>
    <w:lvl w:ilvl="3">
      <w:start w:val="1"/>
      <w:numFmt w:val="decimal"/>
      <w:lvlText w:val="%1.%2.%3.%4."/>
      <w:lvlJc w:val="left"/>
      <w:pPr>
        <w:ind w:left="964" w:hanging="9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C6E3565"/>
    <w:multiLevelType w:val="hybridMultilevel"/>
    <w:tmpl w:val="223E0406"/>
    <w:lvl w:ilvl="0" w:tplc="9698C204">
      <w:start w:val="1"/>
      <w:numFmt w:val="decimal"/>
      <w:lvlText w:val=""/>
      <w:lvlJc w:val="left"/>
      <w:pPr>
        <w:ind w:left="720" w:hanging="360"/>
      </w:pPr>
    </w:lvl>
    <w:lvl w:ilvl="1" w:tplc="BFF21726">
      <w:start w:val="1"/>
      <w:numFmt w:val="lowerLetter"/>
      <w:lvlText w:val="%2."/>
      <w:lvlJc w:val="left"/>
      <w:pPr>
        <w:ind w:left="1440" w:hanging="360"/>
      </w:pPr>
    </w:lvl>
    <w:lvl w:ilvl="2" w:tplc="952642F2">
      <w:start w:val="1"/>
      <w:numFmt w:val="lowerRoman"/>
      <w:lvlText w:val="%3."/>
      <w:lvlJc w:val="right"/>
      <w:pPr>
        <w:ind w:left="2160" w:hanging="180"/>
      </w:pPr>
    </w:lvl>
    <w:lvl w:ilvl="3" w:tplc="C1126C12">
      <w:start w:val="1"/>
      <w:numFmt w:val="decimal"/>
      <w:lvlText w:val="%4."/>
      <w:lvlJc w:val="left"/>
      <w:pPr>
        <w:ind w:left="2880" w:hanging="360"/>
      </w:pPr>
    </w:lvl>
    <w:lvl w:ilvl="4" w:tplc="634CF4B8">
      <w:start w:val="1"/>
      <w:numFmt w:val="lowerLetter"/>
      <w:lvlText w:val="%5."/>
      <w:lvlJc w:val="left"/>
      <w:pPr>
        <w:ind w:left="3600" w:hanging="360"/>
      </w:pPr>
    </w:lvl>
    <w:lvl w:ilvl="5" w:tplc="EA08EE06">
      <w:start w:val="1"/>
      <w:numFmt w:val="lowerRoman"/>
      <w:lvlText w:val="%6."/>
      <w:lvlJc w:val="right"/>
      <w:pPr>
        <w:ind w:left="4320" w:hanging="180"/>
      </w:pPr>
    </w:lvl>
    <w:lvl w:ilvl="6" w:tplc="F28A41CA">
      <w:start w:val="1"/>
      <w:numFmt w:val="decimal"/>
      <w:lvlText w:val="%7."/>
      <w:lvlJc w:val="left"/>
      <w:pPr>
        <w:ind w:left="5040" w:hanging="360"/>
      </w:pPr>
    </w:lvl>
    <w:lvl w:ilvl="7" w:tplc="40CAE294">
      <w:start w:val="1"/>
      <w:numFmt w:val="lowerLetter"/>
      <w:lvlText w:val="%8."/>
      <w:lvlJc w:val="left"/>
      <w:pPr>
        <w:ind w:left="5760" w:hanging="360"/>
      </w:pPr>
    </w:lvl>
    <w:lvl w:ilvl="8" w:tplc="09C2C412">
      <w:start w:val="1"/>
      <w:numFmt w:val="lowerRoman"/>
      <w:lvlText w:val="%9."/>
      <w:lvlJc w:val="right"/>
      <w:pPr>
        <w:ind w:left="6480" w:hanging="180"/>
      </w:pPr>
    </w:lvl>
  </w:abstractNum>
  <w:abstractNum w:abstractNumId="21" w15:restartNumberingAfterBreak="0">
    <w:nsid w:val="1D9930E5"/>
    <w:multiLevelType w:val="multilevel"/>
    <w:tmpl w:val="61B83F4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BE3F8B"/>
    <w:multiLevelType w:val="hybridMultilevel"/>
    <w:tmpl w:val="DDC466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DDE11C9"/>
    <w:multiLevelType w:val="multilevel"/>
    <w:tmpl w:val="4926BD7C"/>
    <w:lvl w:ilvl="0">
      <w:start w:val="1"/>
      <w:numFmt w:val="upperLetter"/>
      <w:lvlText w:val="%1."/>
      <w:lvlJc w:val="left"/>
      <w:pPr>
        <w:ind w:left="432" w:hanging="432"/>
      </w:pPr>
      <w:rPr>
        <w:rFonts w:hint="default"/>
      </w:rPr>
    </w:lvl>
    <w:lvl w:ilvl="1">
      <w:start w:val="1"/>
      <w:numFmt w:val="decimal"/>
      <w:lvlRestart w:val="0"/>
      <w:lvlText w:val="B%2"/>
      <w:lvlJc w:val="left"/>
      <w:pPr>
        <w:ind w:left="851" w:hanging="851"/>
      </w:pPr>
      <w:rPr>
        <w:rFonts w:hint="default"/>
      </w:rPr>
    </w:lvl>
    <w:lvl w:ilvl="2">
      <w:numFmt w:val="decimal"/>
      <w:lvlRestart w:val="0"/>
      <w:lvlText w:val="%3B%2"/>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ascii="Calibri" w:hAnsi="Calibri" w:hint="default"/>
        <w:b/>
        <w:bCs/>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abstractNum>
  <w:abstractNum w:abstractNumId="24" w15:restartNumberingAfterBreak="0">
    <w:nsid w:val="1DE816F7"/>
    <w:multiLevelType w:val="hybridMultilevel"/>
    <w:tmpl w:val="826CE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7" w15:restartNumberingAfterBreak="0">
    <w:nsid w:val="209120E5"/>
    <w:multiLevelType w:val="hybridMultilevel"/>
    <w:tmpl w:val="308488C0"/>
    <w:styleLink w:val="Style2"/>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8" w15:restartNumberingAfterBreak="0">
    <w:nsid w:val="22747061"/>
    <w:multiLevelType w:val="hybridMultilevel"/>
    <w:tmpl w:val="05002C36"/>
    <w:styleLink w:val="Style1"/>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9" w15:restartNumberingAfterBreak="0">
    <w:nsid w:val="235B0F37"/>
    <w:multiLevelType w:val="hybridMultilevel"/>
    <w:tmpl w:val="B21EA7E0"/>
    <w:lvl w:ilvl="0" w:tplc="CB029160">
      <w:start w:val="1"/>
      <w:numFmt w:val="bullet"/>
      <w:lvlText w:val=""/>
      <w:lvlJc w:val="left"/>
      <w:pPr>
        <w:ind w:left="1560" w:hanging="360"/>
      </w:pPr>
      <w:rPr>
        <w:rFonts w:ascii="Symbol" w:hAnsi="Symbol"/>
      </w:rPr>
    </w:lvl>
    <w:lvl w:ilvl="1" w:tplc="90580AE2">
      <w:start w:val="1"/>
      <w:numFmt w:val="bullet"/>
      <w:lvlText w:val=""/>
      <w:lvlJc w:val="left"/>
      <w:pPr>
        <w:ind w:left="1560" w:hanging="360"/>
      </w:pPr>
      <w:rPr>
        <w:rFonts w:ascii="Symbol" w:hAnsi="Symbol"/>
      </w:rPr>
    </w:lvl>
    <w:lvl w:ilvl="2" w:tplc="F5E88384">
      <w:start w:val="1"/>
      <w:numFmt w:val="bullet"/>
      <w:lvlText w:val=""/>
      <w:lvlJc w:val="left"/>
      <w:pPr>
        <w:ind w:left="1560" w:hanging="360"/>
      </w:pPr>
      <w:rPr>
        <w:rFonts w:ascii="Symbol" w:hAnsi="Symbol"/>
      </w:rPr>
    </w:lvl>
    <w:lvl w:ilvl="3" w:tplc="013234B6">
      <w:start w:val="1"/>
      <w:numFmt w:val="bullet"/>
      <w:lvlText w:val=""/>
      <w:lvlJc w:val="left"/>
      <w:pPr>
        <w:ind w:left="1560" w:hanging="360"/>
      </w:pPr>
      <w:rPr>
        <w:rFonts w:ascii="Symbol" w:hAnsi="Symbol"/>
      </w:rPr>
    </w:lvl>
    <w:lvl w:ilvl="4" w:tplc="A086C6E0">
      <w:start w:val="1"/>
      <w:numFmt w:val="bullet"/>
      <w:lvlText w:val=""/>
      <w:lvlJc w:val="left"/>
      <w:pPr>
        <w:ind w:left="1560" w:hanging="360"/>
      </w:pPr>
      <w:rPr>
        <w:rFonts w:ascii="Symbol" w:hAnsi="Symbol"/>
      </w:rPr>
    </w:lvl>
    <w:lvl w:ilvl="5" w:tplc="FBF0F084">
      <w:start w:val="1"/>
      <w:numFmt w:val="bullet"/>
      <w:lvlText w:val=""/>
      <w:lvlJc w:val="left"/>
      <w:pPr>
        <w:ind w:left="1560" w:hanging="360"/>
      </w:pPr>
      <w:rPr>
        <w:rFonts w:ascii="Symbol" w:hAnsi="Symbol"/>
      </w:rPr>
    </w:lvl>
    <w:lvl w:ilvl="6" w:tplc="BFEEB85A">
      <w:start w:val="1"/>
      <w:numFmt w:val="bullet"/>
      <w:lvlText w:val=""/>
      <w:lvlJc w:val="left"/>
      <w:pPr>
        <w:ind w:left="1560" w:hanging="360"/>
      </w:pPr>
      <w:rPr>
        <w:rFonts w:ascii="Symbol" w:hAnsi="Symbol"/>
      </w:rPr>
    </w:lvl>
    <w:lvl w:ilvl="7" w:tplc="E6F4ABDE">
      <w:start w:val="1"/>
      <w:numFmt w:val="bullet"/>
      <w:lvlText w:val=""/>
      <w:lvlJc w:val="left"/>
      <w:pPr>
        <w:ind w:left="1560" w:hanging="360"/>
      </w:pPr>
      <w:rPr>
        <w:rFonts w:ascii="Symbol" w:hAnsi="Symbol"/>
      </w:rPr>
    </w:lvl>
    <w:lvl w:ilvl="8" w:tplc="E1A4CF42">
      <w:start w:val="1"/>
      <w:numFmt w:val="bullet"/>
      <w:lvlText w:val=""/>
      <w:lvlJc w:val="left"/>
      <w:pPr>
        <w:ind w:left="1560" w:hanging="360"/>
      </w:pPr>
      <w:rPr>
        <w:rFonts w:ascii="Symbol" w:hAnsi="Symbol"/>
      </w:rPr>
    </w:lvl>
  </w:abstractNum>
  <w:abstractNum w:abstractNumId="30" w15:restartNumberingAfterBreak="0">
    <w:nsid w:val="28A27D9F"/>
    <w:multiLevelType w:val="hybridMultilevel"/>
    <w:tmpl w:val="298056C8"/>
    <w:lvl w:ilvl="0" w:tplc="BC84888A">
      <w:start w:val="1"/>
      <w:numFmt w:val="decimal"/>
      <w:lvlText w:val="%1."/>
      <w:lvlJc w:val="left"/>
      <w:pPr>
        <w:ind w:left="1920" w:hanging="360"/>
      </w:pPr>
    </w:lvl>
    <w:lvl w:ilvl="1" w:tplc="90F80136">
      <w:start w:val="1"/>
      <w:numFmt w:val="decimal"/>
      <w:lvlText w:val="%2."/>
      <w:lvlJc w:val="left"/>
      <w:pPr>
        <w:ind w:left="1920" w:hanging="360"/>
      </w:pPr>
    </w:lvl>
    <w:lvl w:ilvl="2" w:tplc="D966B360">
      <w:start w:val="1"/>
      <w:numFmt w:val="decimal"/>
      <w:lvlText w:val="%3."/>
      <w:lvlJc w:val="left"/>
      <w:pPr>
        <w:ind w:left="1920" w:hanging="360"/>
      </w:pPr>
    </w:lvl>
    <w:lvl w:ilvl="3" w:tplc="14E03952">
      <w:start w:val="1"/>
      <w:numFmt w:val="decimal"/>
      <w:lvlText w:val="%4."/>
      <w:lvlJc w:val="left"/>
      <w:pPr>
        <w:ind w:left="1920" w:hanging="360"/>
      </w:pPr>
    </w:lvl>
    <w:lvl w:ilvl="4" w:tplc="6F78D3AC">
      <w:start w:val="1"/>
      <w:numFmt w:val="decimal"/>
      <w:lvlText w:val="%5."/>
      <w:lvlJc w:val="left"/>
      <w:pPr>
        <w:ind w:left="1920" w:hanging="360"/>
      </w:pPr>
    </w:lvl>
    <w:lvl w:ilvl="5" w:tplc="091AA318">
      <w:start w:val="1"/>
      <w:numFmt w:val="decimal"/>
      <w:lvlText w:val="%6."/>
      <w:lvlJc w:val="left"/>
      <w:pPr>
        <w:ind w:left="1920" w:hanging="360"/>
      </w:pPr>
    </w:lvl>
    <w:lvl w:ilvl="6" w:tplc="68389BB0">
      <w:start w:val="1"/>
      <w:numFmt w:val="decimal"/>
      <w:lvlText w:val="%7."/>
      <w:lvlJc w:val="left"/>
      <w:pPr>
        <w:ind w:left="1920" w:hanging="360"/>
      </w:pPr>
    </w:lvl>
    <w:lvl w:ilvl="7" w:tplc="2B2A5D2A">
      <w:start w:val="1"/>
      <w:numFmt w:val="decimal"/>
      <w:lvlText w:val="%8."/>
      <w:lvlJc w:val="left"/>
      <w:pPr>
        <w:ind w:left="1920" w:hanging="360"/>
      </w:pPr>
    </w:lvl>
    <w:lvl w:ilvl="8" w:tplc="94146560">
      <w:start w:val="1"/>
      <w:numFmt w:val="decimal"/>
      <w:lvlText w:val="%9."/>
      <w:lvlJc w:val="left"/>
      <w:pPr>
        <w:ind w:left="1920" w:hanging="360"/>
      </w:pPr>
    </w:lvl>
  </w:abstractNum>
  <w:abstractNum w:abstractNumId="31" w15:restartNumberingAfterBreak="0">
    <w:nsid w:val="29DC235C"/>
    <w:multiLevelType w:val="hybridMultilevel"/>
    <w:tmpl w:val="9C5270AE"/>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AF24923"/>
    <w:multiLevelType w:val="hybridMultilevel"/>
    <w:tmpl w:val="176AA9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D1A6BE2"/>
    <w:multiLevelType w:val="multilevel"/>
    <w:tmpl w:val="A3043D84"/>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4" w15:restartNumberingAfterBreak="0">
    <w:nsid w:val="32C14B48"/>
    <w:multiLevelType w:val="multilevel"/>
    <w:tmpl w:val="D1A2D9B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35" w15:restartNumberingAfterBreak="0">
    <w:nsid w:val="33FE4482"/>
    <w:multiLevelType w:val="hybridMultilevel"/>
    <w:tmpl w:val="FFFFFFFF"/>
    <w:lvl w:ilvl="0" w:tplc="589AA48E">
      <w:start w:val="1"/>
      <w:numFmt w:val="bullet"/>
      <w:lvlText w:val=""/>
      <w:lvlJc w:val="left"/>
      <w:pPr>
        <w:ind w:left="720" w:hanging="360"/>
      </w:pPr>
      <w:rPr>
        <w:rFonts w:ascii="Symbol" w:hAnsi="Symbol" w:hint="default"/>
      </w:rPr>
    </w:lvl>
    <w:lvl w:ilvl="1" w:tplc="76D2F6DA">
      <w:start w:val="1"/>
      <w:numFmt w:val="bullet"/>
      <w:lvlText w:val="o"/>
      <w:lvlJc w:val="left"/>
      <w:pPr>
        <w:ind w:left="1440" w:hanging="360"/>
      </w:pPr>
      <w:rPr>
        <w:rFonts w:ascii="Courier New" w:hAnsi="Courier New" w:hint="default"/>
      </w:rPr>
    </w:lvl>
    <w:lvl w:ilvl="2" w:tplc="AF303A6A">
      <w:start w:val="1"/>
      <w:numFmt w:val="bullet"/>
      <w:lvlText w:val=""/>
      <w:lvlJc w:val="left"/>
      <w:pPr>
        <w:ind w:left="2160" w:hanging="360"/>
      </w:pPr>
      <w:rPr>
        <w:rFonts w:ascii="Wingdings" w:hAnsi="Wingdings" w:hint="default"/>
      </w:rPr>
    </w:lvl>
    <w:lvl w:ilvl="3" w:tplc="4EC41666">
      <w:start w:val="1"/>
      <w:numFmt w:val="bullet"/>
      <w:lvlText w:val=""/>
      <w:lvlJc w:val="left"/>
      <w:pPr>
        <w:ind w:left="2880" w:hanging="360"/>
      </w:pPr>
      <w:rPr>
        <w:rFonts w:ascii="Symbol" w:hAnsi="Symbol" w:hint="default"/>
      </w:rPr>
    </w:lvl>
    <w:lvl w:ilvl="4" w:tplc="BF4AEC32">
      <w:start w:val="1"/>
      <w:numFmt w:val="bullet"/>
      <w:lvlText w:val="o"/>
      <w:lvlJc w:val="left"/>
      <w:pPr>
        <w:ind w:left="3600" w:hanging="360"/>
      </w:pPr>
      <w:rPr>
        <w:rFonts w:ascii="Courier New" w:hAnsi="Courier New" w:hint="default"/>
      </w:rPr>
    </w:lvl>
    <w:lvl w:ilvl="5" w:tplc="E9B20538">
      <w:start w:val="1"/>
      <w:numFmt w:val="bullet"/>
      <w:lvlText w:val=""/>
      <w:lvlJc w:val="left"/>
      <w:pPr>
        <w:ind w:left="4320" w:hanging="360"/>
      </w:pPr>
      <w:rPr>
        <w:rFonts w:ascii="Wingdings" w:hAnsi="Wingdings" w:hint="default"/>
      </w:rPr>
    </w:lvl>
    <w:lvl w:ilvl="6" w:tplc="803E2F9C">
      <w:start w:val="1"/>
      <w:numFmt w:val="bullet"/>
      <w:lvlText w:val=""/>
      <w:lvlJc w:val="left"/>
      <w:pPr>
        <w:ind w:left="5040" w:hanging="360"/>
      </w:pPr>
      <w:rPr>
        <w:rFonts w:ascii="Symbol" w:hAnsi="Symbol" w:hint="default"/>
      </w:rPr>
    </w:lvl>
    <w:lvl w:ilvl="7" w:tplc="F3220BB8">
      <w:start w:val="1"/>
      <w:numFmt w:val="bullet"/>
      <w:lvlText w:val="o"/>
      <w:lvlJc w:val="left"/>
      <w:pPr>
        <w:ind w:left="5760" w:hanging="360"/>
      </w:pPr>
      <w:rPr>
        <w:rFonts w:ascii="Courier New" w:hAnsi="Courier New" w:hint="default"/>
      </w:rPr>
    </w:lvl>
    <w:lvl w:ilvl="8" w:tplc="D9B0E58A">
      <w:start w:val="1"/>
      <w:numFmt w:val="bullet"/>
      <w:lvlText w:val=""/>
      <w:lvlJc w:val="left"/>
      <w:pPr>
        <w:ind w:left="6480" w:hanging="360"/>
      </w:pPr>
      <w:rPr>
        <w:rFonts w:ascii="Wingdings" w:hAnsi="Wingdings" w:hint="default"/>
      </w:rPr>
    </w:lvl>
  </w:abstractNum>
  <w:abstractNum w:abstractNumId="36" w15:restartNumberingAfterBreak="0">
    <w:nsid w:val="345C5D42"/>
    <w:multiLevelType w:val="hybridMultilevel"/>
    <w:tmpl w:val="D9DEA0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364B09DA"/>
    <w:multiLevelType w:val="hybridMultilevel"/>
    <w:tmpl w:val="2F10DD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98E45DD"/>
    <w:multiLevelType w:val="hybridMultilevel"/>
    <w:tmpl w:val="E84079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9D71A88"/>
    <w:multiLevelType w:val="multilevel"/>
    <w:tmpl w:val="A3043D84"/>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40" w15:restartNumberingAfterBreak="0">
    <w:nsid w:val="3BA976B5"/>
    <w:multiLevelType w:val="multilevel"/>
    <w:tmpl w:val="446A12E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2F1D8C9"/>
    <w:multiLevelType w:val="hybridMultilevel"/>
    <w:tmpl w:val="FFFFFFFF"/>
    <w:lvl w:ilvl="0" w:tplc="7E724F1E">
      <w:start w:val="1"/>
      <w:numFmt w:val="bullet"/>
      <w:lvlText w:val=""/>
      <w:lvlJc w:val="left"/>
      <w:pPr>
        <w:ind w:left="720" w:hanging="360"/>
      </w:pPr>
      <w:rPr>
        <w:rFonts w:ascii="Symbol" w:hAnsi="Symbol" w:hint="default"/>
      </w:rPr>
    </w:lvl>
    <w:lvl w:ilvl="1" w:tplc="BFCC7AF8">
      <w:start w:val="1"/>
      <w:numFmt w:val="bullet"/>
      <w:lvlText w:val="o"/>
      <w:lvlJc w:val="left"/>
      <w:pPr>
        <w:ind w:left="1440" w:hanging="360"/>
      </w:pPr>
      <w:rPr>
        <w:rFonts w:ascii="Courier New" w:hAnsi="Courier New" w:hint="default"/>
      </w:rPr>
    </w:lvl>
    <w:lvl w:ilvl="2" w:tplc="054C9F0C">
      <w:start w:val="1"/>
      <w:numFmt w:val="bullet"/>
      <w:lvlText w:val=""/>
      <w:lvlJc w:val="left"/>
      <w:pPr>
        <w:ind w:left="2160" w:hanging="360"/>
      </w:pPr>
      <w:rPr>
        <w:rFonts w:ascii="Wingdings" w:hAnsi="Wingdings" w:hint="default"/>
      </w:rPr>
    </w:lvl>
    <w:lvl w:ilvl="3" w:tplc="00CA8BA4">
      <w:start w:val="1"/>
      <w:numFmt w:val="bullet"/>
      <w:lvlText w:val=""/>
      <w:lvlJc w:val="left"/>
      <w:pPr>
        <w:ind w:left="2880" w:hanging="360"/>
      </w:pPr>
      <w:rPr>
        <w:rFonts w:ascii="Symbol" w:hAnsi="Symbol" w:hint="default"/>
      </w:rPr>
    </w:lvl>
    <w:lvl w:ilvl="4" w:tplc="791223E8">
      <w:start w:val="1"/>
      <w:numFmt w:val="bullet"/>
      <w:lvlText w:val="o"/>
      <w:lvlJc w:val="left"/>
      <w:pPr>
        <w:ind w:left="3600" w:hanging="360"/>
      </w:pPr>
      <w:rPr>
        <w:rFonts w:ascii="Courier New" w:hAnsi="Courier New" w:hint="default"/>
      </w:rPr>
    </w:lvl>
    <w:lvl w:ilvl="5" w:tplc="E31E96CC">
      <w:start w:val="1"/>
      <w:numFmt w:val="bullet"/>
      <w:lvlText w:val=""/>
      <w:lvlJc w:val="left"/>
      <w:pPr>
        <w:ind w:left="4320" w:hanging="360"/>
      </w:pPr>
      <w:rPr>
        <w:rFonts w:ascii="Wingdings" w:hAnsi="Wingdings" w:hint="default"/>
      </w:rPr>
    </w:lvl>
    <w:lvl w:ilvl="6" w:tplc="78028538">
      <w:start w:val="1"/>
      <w:numFmt w:val="bullet"/>
      <w:lvlText w:val=""/>
      <w:lvlJc w:val="left"/>
      <w:pPr>
        <w:ind w:left="5040" w:hanging="360"/>
      </w:pPr>
      <w:rPr>
        <w:rFonts w:ascii="Symbol" w:hAnsi="Symbol" w:hint="default"/>
      </w:rPr>
    </w:lvl>
    <w:lvl w:ilvl="7" w:tplc="5CA0DC7A">
      <w:start w:val="1"/>
      <w:numFmt w:val="bullet"/>
      <w:lvlText w:val="o"/>
      <w:lvlJc w:val="left"/>
      <w:pPr>
        <w:ind w:left="5760" w:hanging="360"/>
      </w:pPr>
      <w:rPr>
        <w:rFonts w:ascii="Courier New" w:hAnsi="Courier New" w:hint="default"/>
      </w:rPr>
    </w:lvl>
    <w:lvl w:ilvl="8" w:tplc="C46E3C90">
      <w:start w:val="1"/>
      <w:numFmt w:val="bullet"/>
      <w:lvlText w:val=""/>
      <w:lvlJc w:val="left"/>
      <w:pPr>
        <w:ind w:left="6480" w:hanging="360"/>
      </w:pPr>
      <w:rPr>
        <w:rFonts w:ascii="Wingdings" w:hAnsi="Wingdings" w:hint="default"/>
      </w:rPr>
    </w:lvl>
  </w:abstractNum>
  <w:abstractNum w:abstractNumId="4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6" w15:restartNumberingAfterBreak="0">
    <w:nsid w:val="4DED3CC2"/>
    <w:multiLevelType w:val="hybridMultilevel"/>
    <w:tmpl w:val="3514A4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EAAE1D6"/>
    <w:multiLevelType w:val="hybridMultilevel"/>
    <w:tmpl w:val="FFFFFFFF"/>
    <w:lvl w:ilvl="0" w:tplc="58006DA2">
      <w:start w:val="1"/>
      <w:numFmt w:val="bullet"/>
      <w:lvlText w:val=""/>
      <w:lvlJc w:val="left"/>
      <w:pPr>
        <w:ind w:left="720" w:hanging="360"/>
      </w:pPr>
      <w:rPr>
        <w:rFonts w:ascii="Symbol" w:hAnsi="Symbol" w:hint="default"/>
      </w:rPr>
    </w:lvl>
    <w:lvl w:ilvl="1" w:tplc="4FF267A6">
      <w:start w:val="1"/>
      <w:numFmt w:val="bullet"/>
      <w:lvlText w:val="o"/>
      <w:lvlJc w:val="left"/>
      <w:pPr>
        <w:ind w:left="1440" w:hanging="360"/>
      </w:pPr>
      <w:rPr>
        <w:rFonts w:ascii="Courier New" w:hAnsi="Courier New" w:hint="default"/>
      </w:rPr>
    </w:lvl>
    <w:lvl w:ilvl="2" w:tplc="D638AD9A">
      <w:start w:val="1"/>
      <w:numFmt w:val="bullet"/>
      <w:lvlText w:val=""/>
      <w:lvlJc w:val="left"/>
      <w:pPr>
        <w:ind w:left="2160" w:hanging="360"/>
      </w:pPr>
      <w:rPr>
        <w:rFonts w:ascii="Wingdings" w:hAnsi="Wingdings" w:hint="default"/>
      </w:rPr>
    </w:lvl>
    <w:lvl w:ilvl="3" w:tplc="6966C542">
      <w:start w:val="1"/>
      <w:numFmt w:val="bullet"/>
      <w:lvlText w:val=""/>
      <w:lvlJc w:val="left"/>
      <w:pPr>
        <w:ind w:left="2880" w:hanging="360"/>
      </w:pPr>
      <w:rPr>
        <w:rFonts w:ascii="Symbol" w:hAnsi="Symbol" w:hint="default"/>
      </w:rPr>
    </w:lvl>
    <w:lvl w:ilvl="4" w:tplc="207A5C28">
      <w:start w:val="1"/>
      <w:numFmt w:val="bullet"/>
      <w:lvlText w:val="o"/>
      <w:lvlJc w:val="left"/>
      <w:pPr>
        <w:ind w:left="3600" w:hanging="360"/>
      </w:pPr>
      <w:rPr>
        <w:rFonts w:ascii="Courier New" w:hAnsi="Courier New" w:hint="default"/>
      </w:rPr>
    </w:lvl>
    <w:lvl w:ilvl="5" w:tplc="D5C0BB0C">
      <w:start w:val="1"/>
      <w:numFmt w:val="bullet"/>
      <w:lvlText w:val=""/>
      <w:lvlJc w:val="left"/>
      <w:pPr>
        <w:ind w:left="4320" w:hanging="360"/>
      </w:pPr>
      <w:rPr>
        <w:rFonts w:ascii="Wingdings" w:hAnsi="Wingdings" w:hint="default"/>
      </w:rPr>
    </w:lvl>
    <w:lvl w:ilvl="6" w:tplc="4DA63C8E">
      <w:start w:val="1"/>
      <w:numFmt w:val="bullet"/>
      <w:lvlText w:val=""/>
      <w:lvlJc w:val="left"/>
      <w:pPr>
        <w:ind w:left="5040" w:hanging="360"/>
      </w:pPr>
      <w:rPr>
        <w:rFonts w:ascii="Symbol" w:hAnsi="Symbol" w:hint="default"/>
      </w:rPr>
    </w:lvl>
    <w:lvl w:ilvl="7" w:tplc="64BA97E6">
      <w:start w:val="1"/>
      <w:numFmt w:val="bullet"/>
      <w:lvlText w:val="o"/>
      <w:lvlJc w:val="left"/>
      <w:pPr>
        <w:ind w:left="5760" w:hanging="360"/>
      </w:pPr>
      <w:rPr>
        <w:rFonts w:ascii="Courier New" w:hAnsi="Courier New" w:hint="default"/>
      </w:rPr>
    </w:lvl>
    <w:lvl w:ilvl="8" w:tplc="E11CAE1C">
      <w:start w:val="1"/>
      <w:numFmt w:val="bullet"/>
      <w:lvlText w:val=""/>
      <w:lvlJc w:val="left"/>
      <w:pPr>
        <w:ind w:left="6480" w:hanging="360"/>
      </w:pPr>
      <w:rPr>
        <w:rFonts w:ascii="Wingdings" w:hAnsi="Wingdings" w:hint="default"/>
      </w:rPr>
    </w:lvl>
  </w:abstractNum>
  <w:abstractNum w:abstractNumId="48" w15:restartNumberingAfterBreak="0">
    <w:nsid w:val="50E05FC6"/>
    <w:multiLevelType w:val="hybridMultilevel"/>
    <w:tmpl w:val="ED6606F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9" w15:restartNumberingAfterBreak="0">
    <w:nsid w:val="52292F77"/>
    <w:multiLevelType w:val="hybridMultilevel"/>
    <w:tmpl w:val="4852CA4C"/>
    <w:lvl w:ilvl="0" w:tplc="5C78BC98">
      <w:start w:val="1"/>
      <w:numFmt w:val="decimal"/>
      <w:lvlText w:val="%1."/>
      <w:lvlJc w:val="left"/>
      <w:pPr>
        <w:ind w:left="1920" w:hanging="360"/>
      </w:pPr>
    </w:lvl>
    <w:lvl w:ilvl="1" w:tplc="B02C09DA">
      <w:start w:val="1"/>
      <w:numFmt w:val="decimal"/>
      <w:lvlText w:val="%2."/>
      <w:lvlJc w:val="left"/>
      <w:pPr>
        <w:ind w:left="1920" w:hanging="360"/>
      </w:pPr>
    </w:lvl>
    <w:lvl w:ilvl="2" w:tplc="640E04B0">
      <w:start w:val="1"/>
      <w:numFmt w:val="decimal"/>
      <w:lvlText w:val="%3."/>
      <w:lvlJc w:val="left"/>
      <w:pPr>
        <w:ind w:left="1920" w:hanging="360"/>
      </w:pPr>
    </w:lvl>
    <w:lvl w:ilvl="3" w:tplc="47887A22">
      <w:start w:val="1"/>
      <w:numFmt w:val="decimal"/>
      <w:lvlText w:val="%4."/>
      <w:lvlJc w:val="left"/>
      <w:pPr>
        <w:ind w:left="1920" w:hanging="360"/>
      </w:pPr>
    </w:lvl>
    <w:lvl w:ilvl="4" w:tplc="E5487D8C">
      <w:start w:val="1"/>
      <w:numFmt w:val="decimal"/>
      <w:lvlText w:val="%5."/>
      <w:lvlJc w:val="left"/>
      <w:pPr>
        <w:ind w:left="1920" w:hanging="360"/>
      </w:pPr>
    </w:lvl>
    <w:lvl w:ilvl="5" w:tplc="03AC14D4">
      <w:start w:val="1"/>
      <w:numFmt w:val="decimal"/>
      <w:lvlText w:val="%6."/>
      <w:lvlJc w:val="left"/>
      <w:pPr>
        <w:ind w:left="1920" w:hanging="360"/>
      </w:pPr>
    </w:lvl>
    <w:lvl w:ilvl="6" w:tplc="4A0875E4">
      <w:start w:val="1"/>
      <w:numFmt w:val="decimal"/>
      <w:lvlText w:val="%7."/>
      <w:lvlJc w:val="left"/>
      <w:pPr>
        <w:ind w:left="1920" w:hanging="360"/>
      </w:pPr>
    </w:lvl>
    <w:lvl w:ilvl="7" w:tplc="438CD9FC">
      <w:start w:val="1"/>
      <w:numFmt w:val="decimal"/>
      <w:lvlText w:val="%8."/>
      <w:lvlJc w:val="left"/>
      <w:pPr>
        <w:ind w:left="1920" w:hanging="360"/>
      </w:pPr>
    </w:lvl>
    <w:lvl w:ilvl="8" w:tplc="1CCE8E04">
      <w:start w:val="1"/>
      <w:numFmt w:val="decimal"/>
      <w:lvlText w:val="%9."/>
      <w:lvlJc w:val="left"/>
      <w:pPr>
        <w:ind w:left="1920" w:hanging="360"/>
      </w:pPr>
    </w:lvl>
  </w:abstractNum>
  <w:abstractNum w:abstractNumId="50" w15:restartNumberingAfterBreak="0">
    <w:nsid w:val="524D1D57"/>
    <w:multiLevelType w:val="hybridMultilevel"/>
    <w:tmpl w:val="9BF0B5CC"/>
    <w:lvl w:ilvl="0" w:tplc="CE564622">
      <w:start w:val="1"/>
      <w:numFmt w:val="bullet"/>
      <w:lvlText w:val="-"/>
      <w:lvlJc w:val="left"/>
      <w:pPr>
        <w:ind w:left="720" w:hanging="360"/>
      </w:pPr>
      <w:rPr>
        <w:rFonts w:ascii="Calibri" w:hAnsi="Calibri" w:hint="default"/>
      </w:rPr>
    </w:lvl>
    <w:lvl w:ilvl="1" w:tplc="D3C47FEC">
      <w:start w:val="1"/>
      <w:numFmt w:val="bullet"/>
      <w:lvlText w:val="o"/>
      <w:lvlJc w:val="left"/>
      <w:pPr>
        <w:ind w:left="1440" w:hanging="360"/>
      </w:pPr>
      <w:rPr>
        <w:rFonts w:ascii="Courier New" w:hAnsi="Courier New" w:hint="default"/>
      </w:rPr>
    </w:lvl>
    <w:lvl w:ilvl="2" w:tplc="EE329D90">
      <w:start w:val="1"/>
      <w:numFmt w:val="bullet"/>
      <w:lvlText w:val=""/>
      <w:lvlJc w:val="left"/>
      <w:pPr>
        <w:ind w:left="2160" w:hanging="360"/>
      </w:pPr>
      <w:rPr>
        <w:rFonts w:ascii="Wingdings" w:hAnsi="Wingdings" w:hint="default"/>
      </w:rPr>
    </w:lvl>
    <w:lvl w:ilvl="3" w:tplc="3C3C1DE4">
      <w:start w:val="1"/>
      <w:numFmt w:val="bullet"/>
      <w:lvlText w:val=""/>
      <w:lvlJc w:val="left"/>
      <w:pPr>
        <w:ind w:left="2880" w:hanging="360"/>
      </w:pPr>
      <w:rPr>
        <w:rFonts w:ascii="Symbol" w:hAnsi="Symbol" w:hint="default"/>
      </w:rPr>
    </w:lvl>
    <w:lvl w:ilvl="4" w:tplc="2428621A">
      <w:start w:val="1"/>
      <w:numFmt w:val="bullet"/>
      <w:lvlText w:val="o"/>
      <w:lvlJc w:val="left"/>
      <w:pPr>
        <w:ind w:left="3600" w:hanging="360"/>
      </w:pPr>
      <w:rPr>
        <w:rFonts w:ascii="Courier New" w:hAnsi="Courier New" w:hint="default"/>
      </w:rPr>
    </w:lvl>
    <w:lvl w:ilvl="5" w:tplc="D7D213F6">
      <w:start w:val="1"/>
      <w:numFmt w:val="bullet"/>
      <w:lvlText w:val=""/>
      <w:lvlJc w:val="left"/>
      <w:pPr>
        <w:ind w:left="4320" w:hanging="360"/>
      </w:pPr>
      <w:rPr>
        <w:rFonts w:ascii="Wingdings" w:hAnsi="Wingdings" w:hint="default"/>
      </w:rPr>
    </w:lvl>
    <w:lvl w:ilvl="6" w:tplc="46B62F1C">
      <w:start w:val="1"/>
      <w:numFmt w:val="bullet"/>
      <w:lvlText w:val=""/>
      <w:lvlJc w:val="left"/>
      <w:pPr>
        <w:ind w:left="5040" w:hanging="360"/>
      </w:pPr>
      <w:rPr>
        <w:rFonts w:ascii="Symbol" w:hAnsi="Symbol" w:hint="default"/>
      </w:rPr>
    </w:lvl>
    <w:lvl w:ilvl="7" w:tplc="A75E3DC4">
      <w:start w:val="1"/>
      <w:numFmt w:val="bullet"/>
      <w:lvlText w:val="o"/>
      <w:lvlJc w:val="left"/>
      <w:pPr>
        <w:ind w:left="5760" w:hanging="360"/>
      </w:pPr>
      <w:rPr>
        <w:rFonts w:ascii="Courier New" w:hAnsi="Courier New" w:hint="default"/>
      </w:rPr>
    </w:lvl>
    <w:lvl w:ilvl="8" w:tplc="F886C9EA">
      <w:start w:val="1"/>
      <w:numFmt w:val="bullet"/>
      <w:lvlText w:val=""/>
      <w:lvlJc w:val="left"/>
      <w:pPr>
        <w:ind w:left="6480" w:hanging="360"/>
      </w:pPr>
      <w:rPr>
        <w:rFonts w:ascii="Wingdings" w:hAnsi="Wingdings" w:hint="default"/>
      </w:rPr>
    </w:lvl>
  </w:abstractNum>
  <w:abstractNum w:abstractNumId="51" w15:restartNumberingAfterBreak="0">
    <w:nsid w:val="53535234"/>
    <w:multiLevelType w:val="singleLevel"/>
    <w:tmpl w:val="A9A6D6CE"/>
    <w:lvl w:ilvl="0">
      <w:start w:val="1"/>
      <w:numFmt w:val="bullet"/>
      <w:pStyle w:val="Boxbullet"/>
      <w:lvlText w:val=""/>
      <w:lvlJc w:val="left"/>
      <w:pPr>
        <w:ind w:left="644" w:hanging="360"/>
      </w:pPr>
      <w:rPr>
        <w:rFonts w:ascii="Symbol" w:hAnsi="Symbol" w:hint="default"/>
        <w:color w:val="1B556B"/>
        <w:sz w:val="16"/>
      </w:rPr>
    </w:lvl>
  </w:abstractNum>
  <w:abstractNum w:abstractNumId="52" w15:restartNumberingAfterBreak="0">
    <w:nsid w:val="53610DC3"/>
    <w:multiLevelType w:val="hybridMultilevel"/>
    <w:tmpl w:val="74A8F5CC"/>
    <w:lvl w:ilvl="0" w:tplc="5E34503A">
      <w:start w:val="1"/>
      <w:numFmt w:val="bullet"/>
      <w:lvlText w:val=""/>
      <w:lvlJc w:val="left"/>
      <w:pPr>
        <w:ind w:left="720" w:hanging="360"/>
      </w:pPr>
      <w:rPr>
        <w:rFonts w:ascii="Symbol" w:hAnsi="Symbol" w:hint="default"/>
      </w:rPr>
    </w:lvl>
    <w:lvl w:ilvl="1" w:tplc="38B27ADC">
      <w:start w:val="1"/>
      <w:numFmt w:val="bullet"/>
      <w:lvlText w:val="o"/>
      <w:lvlJc w:val="left"/>
      <w:pPr>
        <w:ind w:left="1440" w:hanging="360"/>
      </w:pPr>
      <w:rPr>
        <w:rFonts w:ascii="Courier New" w:hAnsi="Courier New" w:hint="default"/>
      </w:rPr>
    </w:lvl>
    <w:lvl w:ilvl="2" w:tplc="E95E5EC2">
      <w:start w:val="1"/>
      <w:numFmt w:val="bullet"/>
      <w:lvlText w:val=""/>
      <w:lvlJc w:val="left"/>
      <w:pPr>
        <w:ind w:left="2160" w:hanging="360"/>
      </w:pPr>
      <w:rPr>
        <w:rFonts w:ascii="Wingdings" w:hAnsi="Wingdings" w:hint="default"/>
      </w:rPr>
    </w:lvl>
    <w:lvl w:ilvl="3" w:tplc="A48C1B16">
      <w:start w:val="1"/>
      <w:numFmt w:val="bullet"/>
      <w:lvlText w:val=""/>
      <w:lvlJc w:val="left"/>
      <w:pPr>
        <w:ind w:left="2880" w:hanging="360"/>
      </w:pPr>
      <w:rPr>
        <w:rFonts w:ascii="Symbol" w:hAnsi="Symbol" w:hint="default"/>
      </w:rPr>
    </w:lvl>
    <w:lvl w:ilvl="4" w:tplc="9DCAB596">
      <w:start w:val="1"/>
      <w:numFmt w:val="bullet"/>
      <w:lvlText w:val="o"/>
      <w:lvlJc w:val="left"/>
      <w:pPr>
        <w:ind w:left="3600" w:hanging="360"/>
      </w:pPr>
      <w:rPr>
        <w:rFonts w:ascii="Courier New" w:hAnsi="Courier New" w:hint="default"/>
      </w:rPr>
    </w:lvl>
    <w:lvl w:ilvl="5" w:tplc="F11A2DF2">
      <w:start w:val="1"/>
      <w:numFmt w:val="bullet"/>
      <w:lvlText w:val=""/>
      <w:lvlJc w:val="left"/>
      <w:pPr>
        <w:ind w:left="4320" w:hanging="360"/>
      </w:pPr>
      <w:rPr>
        <w:rFonts w:ascii="Wingdings" w:hAnsi="Wingdings" w:hint="default"/>
      </w:rPr>
    </w:lvl>
    <w:lvl w:ilvl="6" w:tplc="044C47FE">
      <w:start w:val="1"/>
      <w:numFmt w:val="bullet"/>
      <w:lvlText w:val=""/>
      <w:lvlJc w:val="left"/>
      <w:pPr>
        <w:ind w:left="5040" w:hanging="360"/>
      </w:pPr>
      <w:rPr>
        <w:rFonts w:ascii="Symbol" w:hAnsi="Symbol" w:hint="default"/>
      </w:rPr>
    </w:lvl>
    <w:lvl w:ilvl="7" w:tplc="6F382346">
      <w:start w:val="1"/>
      <w:numFmt w:val="bullet"/>
      <w:lvlText w:val="o"/>
      <w:lvlJc w:val="left"/>
      <w:pPr>
        <w:ind w:left="5760" w:hanging="360"/>
      </w:pPr>
      <w:rPr>
        <w:rFonts w:ascii="Courier New" w:hAnsi="Courier New" w:hint="default"/>
      </w:rPr>
    </w:lvl>
    <w:lvl w:ilvl="8" w:tplc="BDD89454">
      <w:start w:val="1"/>
      <w:numFmt w:val="bullet"/>
      <w:lvlText w:val=""/>
      <w:lvlJc w:val="left"/>
      <w:pPr>
        <w:ind w:left="6480" w:hanging="360"/>
      </w:pPr>
      <w:rPr>
        <w:rFonts w:ascii="Wingdings" w:hAnsi="Wingdings" w:hint="default"/>
      </w:rPr>
    </w:lvl>
  </w:abstractNum>
  <w:abstractNum w:abstractNumId="53" w15:restartNumberingAfterBreak="0">
    <w:nsid w:val="54A15D52"/>
    <w:multiLevelType w:val="hybridMultilevel"/>
    <w:tmpl w:val="B0AAE020"/>
    <w:lvl w:ilvl="0" w:tplc="14090001">
      <w:start w:val="1"/>
      <w:numFmt w:val="bullet"/>
      <w:lvlText w:val=""/>
      <w:lvlJc w:val="left"/>
      <w:pPr>
        <w:ind w:left="1316" w:hanging="360"/>
      </w:pPr>
      <w:rPr>
        <w:rFonts w:ascii="Symbol" w:hAnsi="Symbol" w:hint="default"/>
      </w:rPr>
    </w:lvl>
    <w:lvl w:ilvl="1" w:tplc="14090003" w:tentative="1">
      <w:start w:val="1"/>
      <w:numFmt w:val="bullet"/>
      <w:lvlText w:val="o"/>
      <w:lvlJc w:val="left"/>
      <w:pPr>
        <w:ind w:left="2036" w:hanging="360"/>
      </w:pPr>
      <w:rPr>
        <w:rFonts w:ascii="Courier New" w:hAnsi="Courier New" w:cs="Courier New" w:hint="default"/>
      </w:rPr>
    </w:lvl>
    <w:lvl w:ilvl="2" w:tplc="14090005" w:tentative="1">
      <w:start w:val="1"/>
      <w:numFmt w:val="bullet"/>
      <w:lvlText w:val=""/>
      <w:lvlJc w:val="left"/>
      <w:pPr>
        <w:ind w:left="2756" w:hanging="360"/>
      </w:pPr>
      <w:rPr>
        <w:rFonts w:ascii="Wingdings" w:hAnsi="Wingdings" w:hint="default"/>
      </w:rPr>
    </w:lvl>
    <w:lvl w:ilvl="3" w:tplc="14090001" w:tentative="1">
      <w:start w:val="1"/>
      <w:numFmt w:val="bullet"/>
      <w:lvlText w:val=""/>
      <w:lvlJc w:val="left"/>
      <w:pPr>
        <w:ind w:left="3476" w:hanging="360"/>
      </w:pPr>
      <w:rPr>
        <w:rFonts w:ascii="Symbol" w:hAnsi="Symbol" w:hint="default"/>
      </w:rPr>
    </w:lvl>
    <w:lvl w:ilvl="4" w:tplc="14090003" w:tentative="1">
      <w:start w:val="1"/>
      <w:numFmt w:val="bullet"/>
      <w:lvlText w:val="o"/>
      <w:lvlJc w:val="left"/>
      <w:pPr>
        <w:ind w:left="4196" w:hanging="360"/>
      </w:pPr>
      <w:rPr>
        <w:rFonts w:ascii="Courier New" w:hAnsi="Courier New" w:cs="Courier New" w:hint="default"/>
      </w:rPr>
    </w:lvl>
    <w:lvl w:ilvl="5" w:tplc="14090005" w:tentative="1">
      <w:start w:val="1"/>
      <w:numFmt w:val="bullet"/>
      <w:lvlText w:val=""/>
      <w:lvlJc w:val="left"/>
      <w:pPr>
        <w:ind w:left="4916" w:hanging="360"/>
      </w:pPr>
      <w:rPr>
        <w:rFonts w:ascii="Wingdings" w:hAnsi="Wingdings" w:hint="default"/>
      </w:rPr>
    </w:lvl>
    <w:lvl w:ilvl="6" w:tplc="14090001" w:tentative="1">
      <w:start w:val="1"/>
      <w:numFmt w:val="bullet"/>
      <w:lvlText w:val=""/>
      <w:lvlJc w:val="left"/>
      <w:pPr>
        <w:ind w:left="5636" w:hanging="360"/>
      </w:pPr>
      <w:rPr>
        <w:rFonts w:ascii="Symbol" w:hAnsi="Symbol" w:hint="default"/>
      </w:rPr>
    </w:lvl>
    <w:lvl w:ilvl="7" w:tplc="14090003" w:tentative="1">
      <w:start w:val="1"/>
      <w:numFmt w:val="bullet"/>
      <w:lvlText w:val="o"/>
      <w:lvlJc w:val="left"/>
      <w:pPr>
        <w:ind w:left="6356" w:hanging="360"/>
      </w:pPr>
      <w:rPr>
        <w:rFonts w:ascii="Courier New" w:hAnsi="Courier New" w:cs="Courier New" w:hint="default"/>
      </w:rPr>
    </w:lvl>
    <w:lvl w:ilvl="8" w:tplc="14090005" w:tentative="1">
      <w:start w:val="1"/>
      <w:numFmt w:val="bullet"/>
      <w:lvlText w:val=""/>
      <w:lvlJc w:val="left"/>
      <w:pPr>
        <w:ind w:left="7076" w:hanging="360"/>
      </w:pPr>
      <w:rPr>
        <w:rFonts w:ascii="Wingdings" w:hAnsi="Wingdings" w:hint="default"/>
      </w:rPr>
    </w:lvl>
  </w:abstractNum>
  <w:abstractNum w:abstractNumId="54" w15:restartNumberingAfterBreak="0">
    <w:nsid w:val="569E41CC"/>
    <w:multiLevelType w:val="hybridMultilevel"/>
    <w:tmpl w:val="4DFE7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9519C78"/>
    <w:multiLevelType w:val="hybridMultilevel"/>
    <w:tmpl w:val="FFFFFFFF"/>
    <w:lvl w:ilvl="0" w:tplc="D18A4670">
      <w:start w:val="1"/>
      <w:numFmt w:val="bullet"/>
      <w:lvlText w:val=""/>
      <w:lvlJc w:val="left"/>
      <w:pPr>
        <w:ind w:left="720" w:hanging="360"/>
      </w:pPr>
      <w:rPr>
        <w:rFonts w:ascii="Symbol" w:hAnsi="Symbol" w:hint="default"/>
      </w:rPr>
    </w:lvl>
    <w:lvl w:ilvl="1" w:tplc="A0FA1E04">
      <w:start w:val="1"/>
      <w:numFmt w:val="bullet"/>
      <w:lvlText w:val="o"/>
      <w:lvlJc w:val="left"/>
      <w:pPr>
        <w:ind w:left="1440" w:hanging="360"/>
      </w:pPr>
      <w:rPr>
        <w:rFonts w:ascii="Courier New" w:hAnsi="Courier New" w:hint="default"/>
      </w:rPr>
    </w:lvl>
    <w:lvl w:ilvl="2" w:tplc="F03A741E">
      <w:start w:val="1"/>
      <w:numFmt w:val="bullet"/>
      <w:lvlText w:val=""/>
      <w:lvlJc w:val="left"/>
      <w:pPr>
        <w:ind w:left="2160" w:hanging="360"/>
      </w:pPr>
      <w:rPr>
        <w:rFonts w:ascii="Wingdings" w:hAnsi="Wingdings" w:hint="default"/>
      </w:rPr>
    </w:lvl>
    <w:lvl w:ilvl="3" w:tplc="0C9062C8">
      <w:start w:val="1"/>
      <w:numFmt w:val="bullet"/>
      <w:lvlText w:val=""/>
      <w:lvlJc w:val="left"/>
      <w:pPr>
        <w:ind w:left="2880" w:hanging="360"/>
      </w:pPr>
      <w:rPr>
        <w:rFonts w:ascii="Symbol" w:hAnsi="Symbol" w:hint="default"/>
      </w:rPr>
    </w:lvl>
    <w:lvl w:ilvl="4" w:tplc="FD5C4B62">
      <w:start w:val="1"/>
      <w:numFmt w:val="bullet"/>
      <w:lvlText w:val="o"/>
      <w:lvlJc w:val="left"/>
      <w:pPr>
        <w:ind w:left="3600" w:hanging="360"/>
      </w:pPr>
      <w:rPr>
        <w:rFonts w:ascii="Courier New" w:hAnsi="Courier New" w:hint="default"/>
      </w:rPr>
    </w:lvl>
    <w:lvl w:ilvl="5" w:tplc="72602904">
      <w:start w:val="1"/>
      <w:numFmt w:val="bullet"/>
      <w:lvlText w:val=""/>
      <w:lvlJc w:val="left"/>
      <w:pPr>
        <w:ind w:left="4320" w:hanging="360"/>
      </w:pPr>
      <w:rPr>
        <w:rFonts w:ascii="Wingdings" w:hAnsi="Wingdings" w:hint="default"/>
      </w:rPr>
    </w:lvl>
    <w:lvl w:ilvl="6" w:tplc="D422AB26">
      <w:start w:val="1"/>
      <w:numFmt w:val="bullet"/>
      <w:lvlText w:val=""/>
      <w:lvlJc w:val="left"/>
      <w:pPr>
        <w:ind w:left="5040" w:hanging="360"/>
      </w:pPr>
      <w:rPr>
        <w:rFonts w:ascii="Symbol" w:hAnsi="Symbol" w:hint="default"/>
      </w:rPr>
    </w:lvl>
    <w:lvl w:ilvl="7" w:tplc="71E262E8">
      <w:start w:val="1"/>
      <w:numFmt w:val="bullet"/>
      <w:lvlText w:val="o"/>
      <w:lvlJc w:val="left"/>
      <w:pPr>
        <w:ind w:left="5760" w:hanging="360"/>
      </w:pPr>
      <w:rPr>
        <w:rFonts w:ascii="Courier New" w:hAnsi="Courier New" w:hint="default"/>
      </w:rPr>
    </w:lvl>
    <w:lvl w:ilvl="8" w:tplc="E74C0B1E">
      <w:start w:val="1"/>
      <w:numFmt w:val="bullet"/>
      <w:lvlText w:val=""/>
      <w:lvlJc w:val="left"/>
      <w:pPr>
        <w:ind w:left="6480" w:hanging="360"/>
      </w:pPr>
      <w:rPr>
        <w:rFonts w:ascii="Wingdings" w:hAnsi="Wingdings" w:hint="default"/>
      </w:rPr>
    </w:lvl>
  </w:abstractNum>
  <w:abstractNum w:abstractNumId="56" w15:restartNumberingAfterBreak="0">
    <w:nsid w:val="5BC679FF"/>
    <w:multiLevelType w:val="hybridMultilevel"/>
    <w:tmpl w:val="21425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CA7AF3B"/>
    <w:multiLevelType w:val="hybridMultilevel"/>
    <w:tmpl w:val="FFFFFFFF"/>
    <w:lvl w:ilvl="0" w:tplc="0D6A144E">
      <w:start w:val="1"/>
      <w:numFmt w:val="bullet"/>
      <w:lvlText w:val=""/>
      <w:lvlJc w:val="left"/>
      <w:pPr>
        <w:ind w:left="720" w:hanging="360"/>
      </w:pPr>
      <w:rPr>
        <w:rFonts w:ascii="Wingdings" w:hAnsi="Wingdings" w:hint="default"/>
      </w:rPr>
    </w:lvl>
    <w:lvl w:ilvl="1" w:tplc="4FD61D54">
      <w:start w:val="1"/>
      <w:numFmt w:val="bullet"/>
      <w:lvlText w:val="o"/>
      <w:lvlJc w:val="left"/>
      <w:pPr>
        <w:ind w:left="1440" w:hanging="360"/>
      </w:pPr>
      <w:rPr>
        <w:rFonts w:ascii="Courier New" w:hAnsi="Courier New" w:hint="default"/>
      </w:rPr>
    </w:lvl>
    <w:lvl w:ilvl="2" w:tplc="855EFCC8">
      <w:start w:val="1"/>
      <w:numFmt w:val="bullet"/>
      <w:lvlText w:val=""/>
      <w:lvlJc w:val="left"/>
      <w:pPr>
        <w:ind w:left="2160" w:hanging="360"/>
      </w:pPr>
      <w:rPr>
        <w:rFonts w:ascii="Wingdings" w:hAnsi="Wingdings" w:hint="default"/>
      </w:rPr>
    </w:lvl>
    <w:lvl w:ilvl="3" w:tplc="0BBA2D46">
      <w:start w:val="1"/>
      <w:numFmt w:val="bullet"/>
      <w:lvlText w:val=""/>
      <w:lvlJc w:val="left"/>
      <w:pPr>
        <w:ind w:left="2880" w:hanging="360"/>
      </w:pPr>
      <w:rPr>
        <w:rFonts w:ascii="Symbol" w:hAnsi="Symbol" w:hint="default"/>
      </w:rPr>
    </w:lvl>
    <w:lvl w:ilvl="4" w:tplc="308CF8AA">
      <w:start w:val="1"/>
      <w:numFmt w:val="bullet"/>
      <w:lvlText w:val="o"/>
      <w:lvlJc w:val="left"/>
      <w:pPr>
        <w:ind w:left="3600" w:hanging="360"/>
      </w:pPr>
      <w:rPr>
        <w:rFonts w:ascii="Courier New" w:hAnsi="Courier New" w:hint="default"/>
      </w:rPr>
    </w:lvl>
    <w:lvl w:ilvl="5" w:tplc="5BA64CE6">
      <w:start w:val="1"/>
      <w:numFmt w:val="bullet"/>
      <w:lvlText w:val=""/>
      <w:lvlJc w:val="left"/>
      <w:pPr>
        <w:ind w:left="4320" w:hanging="360"/>
      </w:pPr>
      <w:rPr>
        <w:rFonts w:ascii="Wingdings" w:hAnsi="Wingdings" w:hint="default"/>
      </w:rPr>
    </w:lvl>
    <w:lvl w:ilvl="6" w:tplc="923A4390">
      <w:start w:val="1"/>
      <w:numFmt w:val="bullet"/>
      <w:lvlText w:val=""/>
      <w:lvlJc w:val="left"/>
      <w:pPr>
        <w:ind w:left="5040" w:hanging="360"/>
      </w:pPr>
      <w:rPr>
        <w:rFonts w:ascii="Symbol" w:hAnsi="Symbol" w:hint="default"/>
      </w:rPr>
    </w:lvl>
    <w:lvl w:ilvl="7" w:tplc="50820ABA">
      <w:start w:val="1"/>
      <w:numFmt w:val="bullet"/>
      <w:lvlText w:val="o"/>
      <w:lvlJc w:val="left"/>
      <w:pPr>
        <w:ind w:left="5760" w:hanging="360"/>
      </w:pPr>
      <w:rPr>
        <w:rFonts w:ascii="Courier New" w:hAnsi="Courier New" w:hint="default"/>
      </w:rPr>
    </w:lvl>
    <w:lvl w:ilvl="8" w:tplc="07385346">
      <w:start w:val="1"/>
      <w:numFmt w:val="bullet"/>
      <w:lvlText w:val=""/>
      <w:lvlJc w:val="left"/>
      <w:pPr>
        <w:ind w:left="6480" w:hanging="360"/>
      </w:pPr>
      <w:rPr>
        <w:rFonts w:ascii="Wingdings" w:hAnsi="Wingdings" w:hint="default"/>
      </w:rPr>
    </w:lvl>
  </w:abstractNum>
  <w:abstractNum w:abstractNumId="58" w15:restartNumberingAfterBreak="0">
    <w:nsid w:val="5D3C139C"/>
    <w:multiLevelType w:val="multilevel"/>
    <w:tmpl w:val="8C38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B1C5CDA"/>
    <w:multiLevelType w:val="hybridMultilevel"/>
    <w:tmpl w:val="AB845E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C4616D1"/>
    <w:multiLevelType w:val="hybridMultilevel"/>
    <w:tmpl w:val="F48A0A7C"/>
    <w:lvl w:ilvl="0" w:tplc="B30A2602">
      <w:start w:val="1"/>
      <w:numFmt w:val="decimal"/>
      <w:lvlText w:val="%1."/>
      <w:lvlJc w:val="left"/>
      <w:pPr>
        <w:ind w:left="1920" w:hanging="360"/>
      </w:pPr>
    </w:lvl>
    <w:lvl w:ilvl="1" w:tplc="7676F154">
      <w:start w:val="1"/>
      <w:numFmt w:val="decimal"/>
      <w:lvlText w:val="%2."/>
      <w:lvlJc w:val="left"/>
      <w:pPr>
        <w:ind w:left="1920" w:hanging="360"/>
      </w:pPr>
    </w:lvl>
    <w:lvl w:ilvl="2" w:tplc="B5B67F30">
      <w:start w:val="1"/>
      <w:numFmt w:val="decimal"/>
      <w:lvlText w:val="%3."/>
      <w:lvlJc w:val="left"/>
      <w:pPr>
        <w:ind w:left="1920" w:hanging="360"/>
      </w:pPr>
    </w:lvl>
    <w:lvl w:ilvl="3" w:tplc="B8483A68">
      <w:start w:val="1"/>
      <w:numFmt w:val="decimal"/>
      <w:lvlText w:val="%4."/>
      <w:lvlJc w:val="left"/>
      <w:pPr>
        <w:ind w:left="1920" w:hanging="360"/>
      </w:pPr>
    </w:lvl>
    <w:lvl w:ilvl="4" w:tplc="F6FEFA32">
      <w:start w:val="1"/>
      <w:numFmt w:val="decimal"/>
      <w:lvlText w:val="%5."/>
      <w:lvlJc w:val="left"/>
      <w:pPr>
        <w:ind w:left="1920" w:hanging="360"/>
      </w:pPr>
    </w:lvl>
    <w:lvl w:ilvl="5" w:tplc="0952CD0E">
      <w:start w:val="1"/>
      <w:numFmt w:val="decimal"/>
      <w:lvlText w:val="%6."/>
      <w:lvlJc w:val="left"/>
      <w:pPr>
        <w:ind w:left="1920" w:hanging="360"/>
      </w:pPr>
    </w:lvl>
    <w:lvl w:ilvl="6" w:tplc="0A026F04">
      <w:start w:val="1"/>
      <w:numFmt w:val="decimal"/>
      <w:lvlText w:val="%7."/>
      <w:lvlJc w:val="left"/>
      <w:pPr>
        <w:ind w:left="1920" w:hanging="360"/>
      </w:pPr>
    </w:lvl>
    <w:lvl w:ilvl="7" w:tplc="4D646C74">
      <w:start w:val="1"/>
      <w:numFmt w:val="decimal"/>
      <w:lvlText w:val="%8."/>
      <w:lvlJc w:val="left"/>
      <w:pPr>
        <w:ind w:left="1920" w:hanging="360"/>
      </w:pPr>
    </w:lvl>
    <w:lvl w:ilvl="8" w:tplc="3F169EA6">
      <w:start w:val="1"/>
      <w:numFmt w:val="decimal"/>
      <w:lvlText w:val="%9."/>
      <w:lvlJc w:val="left"/>
      <w:pPr>
        <w:ind w:left="1920" w:hanging="360"/>
      </w:pPr>
    </w:lvl>
  </w:abstractNum>
  <w:abstractNum w:abstractNumId="61" w15:restartNumberingAfterBreak="0">
    <w:nsid w:val="6E044E1E"/>
    <w:multiLevelType w:val="hybridMultilevel"/>
    <w:tmpl w:val="12D6E0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FAF6D87"/>
    <w:multiLevelType w:val="hybridMultilevel"/>
    <w:tmpl w:val="D8A85766"/>
    <w:lvl w:ilvl="0" w:tplc="490EFAB0">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3" w15:restartNumberingAfterBreak="0">
    <w:nsid w:val="6FCB13B0"/>
    <w:multiLevelType w:val="hybridMultilevel"/>
    <w:tmpl w:val="46B4C580"/>
    <w:lvl w:ilvl="0" w:tplc="535C6468">
      <w:numFmt w:val="decimal"/>
      <w:pStyle w:val="Greensub-bullet-casestudytables"/>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4" w15:restartNumberingAfterBreak="0">
    <w:nsid w:val="7110366C"/>
    <w:multiLevelType w:val="hybridMultilevel"/>
    <w:tmpl w:val="AC7E06FC"/>
    <w:lvl w:ilvl="0" w:tplc="2ABA6934">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5" w15:restartNumberingAfterBreak="0">
    <w:nsid w:val="72B133A1"/>
    <w:multiLevelType w:val="hybridMultilevel"/>
    <w:tmpl w:val="8D6AAF28"/>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74C9024E"/>
    <w:multiLevelType w:val="hybridMultilevel"/>
    <w:tmpl w:val="980EF90A"/>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8AC337"/>
    <w:multiLevelType w:val="hybridMultilevel"/>
    <w:tmpl w:val="FFFFFFFF"/>
    <w:lvl w:ilvl="0" w:tplc="85BE32E8">
      <w:start w:val="1"/>
      <w:numFmt w:val="bullet"/>
      <w:lvlText w:val=""/>
      <w:lvlJc w:val="left"/>
      <w:pPr>
        <w:ind w:left="720" w:hanging="360"/>
      </w:pPr>
      <w:rPr>
        <w:rFonts w:ascii="Symbol" w:hAnsi="Symbol" w:hint="default"/>
      </w:rPr>
    </w:lvl>
    <w:lvl w:ilvl="1" w:tplc="4A18D108">
      <w:start w:val="1"/>
      <w:numFmt w:val="bullet"/>
      <w:lvlText w:val="o"/>
      <w:lvlJc w:val="left"/>
      <w:pPr>
        <w:ind w:left="1440" w:hanging="360"/>
      </w:pPr>
      <w:rPr>
        <w:rFonts w:ascii="Courier New" w:hAnsi="Courier New" w:hint="default"/>
      </w:rPr>
    </w:lvl>
    <w:lvl w:ilvl="2" w:tplc="B692AB0A">
      <w:start w:val="1"/>
      <w:numFmt w:val="bullet"/>
      <w:lvlText w:val=""/>
      <w:lvlJc w:val="left"/>
      <w:pPr>
        <w:ind w:left="2160" w:hanging="360"/>
      </w:pPr>
      <w:rPr>
        <w:rFonts w:ascii="Wingdings" w:hAnsi="Wingdings" w:hint="default"/>
      </w:rPr>
    </w:lvl>
    <w:lvl w:ilvl="3" w:tplc="2D9C28CA">
      <w:start w:val="1"/>
      <w:numFmt w:val="bullet"/>
      <w:lvlText w:val=""/>
      <w:lvlJc w:val="left"/>
      <w:pPr>
        <w:ind w:left="2880" w:hanging="360"/>
      </w:pPr>
      <w:rPr>
        <w:rFonts w:ascii="Symbol" w:hAnsi="Symbol" w:hint="default"/>
      </w:rPr>
    </w:lvl>
    <w:lvl w:ilvl="4" w:tplc="35EC2492">
      <w:start w:val="1"/>
      <w:numFmt w:val="bullet"/>
      <w:lvlText w:val="o"/>
      <w:lvlJc w:val="left"/>
      <w:pPr>
        <w:ind w:left="3600" w:hanging="360"/>
      </w:pPr>
      <w:rPr>
        <w:rFonts w:ascii="Courier New" w:hAnsi="Courier New" w:hint="default"/>
      </w:rPr>
    </w:lvl>
    <w:lvl w:ilvl="5" w:tplc="6800667A">
      <w:start w:val="1"/>
      <w:numFmt w:val="bullet"/>
      <w:lvlText w:val=""/>
      <w:lvlJc w:val="left"/>
      <w:pPr>
        <w:ind w:left="4320" w:hanging="360"/>
      </w:pPr>
      <w:rPr>
        <w:rFonts w:ascii="Wingdings" w:hAnsi="Wingdings" w:hint="default"/>
      </w:rPr>
    </w:lvl>
    <w:lvl w:ilvl="6" w:tplc="B3A65B64">
      <w:start w:val="1"/>
      <w:numFmt w:val="bullet"/>
      <w:lvlText w:val=""/>
      <w:lvlJc w:val="left"/>
      <w:pPr>
        <w:ind w:left="5040" w:hanging="360"/>
      </w:pPr>
      <w:rPr>
        <w:rFonts w:ascii="Symbol" w:hAnsi="Symbol" w:hint="default"/>
      </w:rPr>
    </w:lvl>
    <w:lvl w:ilvl="7" w:tplc="677A297C">
      <w:start w:val="1"/>
      <w:numFmt w:val="bullet"/>
      <w:lvlText w:val="o"/>
      <w:lvlJc w:val="left"/>
      <w:pPr>
        <w:ind w:left="5760" w:hanging="360"/>
      </w:pPr>
      <w:rPr>
        <w:rFonts w:ascii="Courier New" w:hAnsi="Courier New" w:hint="default"/>
      </w:rPr>
    </w:lvl>
    <w:lvl w:ilvl="8" w:tplc="EF649774">
      <w:start w:val="1"/>
      <w:numFmt w:val="bullet"/>
      <w:lvlText w:val=""/>
      <w:lvlJc w:val="left"/>
      <w:pPr>
        <w:ind w:left="6480" w:hanging="360"/>
      </w:pPr>
      <w:rPr>
        <w:rFonts w:ascii="Wingdings" w:hAnsi="Wingdings" w:hint="default"/>
      </w:rPr>
    </w:lvl>
  </w:abstractNum>
  <w:abstractNum w:abstractNumId="69" w15:restartNumberingAfterBreak="0">
    <w:nsid w:val="77D62C74"/>
    <w:multiLevelType w:val="multilevel"/>
    <w:tmpl w:val="AC6E7C4E"/>
    <w:lvl w:ilvl="0">
      <w:start w:val="1"/>
      <w:numFmt w:val="bullet"/>
      <w:lvlText w:val=""/>
      <w:lvlJc w:val="left"/>
      <w:rPr>
        <w:rFonts w:ascii="Symbol" w:hAnsi="Symbol"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AB37A3B"/>
    <w:multiLevelType w:val="hybridMultilevel"/>
    <w:tmpl w:val="14125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7B0C5842"/>
    <w:multiLevelType w:val="hybridMultilevel"/>
    <w:tmpl w:val="46FEEEA0"/>
    <w:lvl w:ilvl="0" w:tplc="0BA063D4">
      <w:start w:val="1"/>
      <w:numFmt w:val="decimal"/>
      <w:lvlText w:val="%1)"/>
      <w:lvlJc w:val="left"/>
      <w:pPr>
        <w:ind w:left="1440" w:hanging="360"/>
      </w:pPr>
    </w:lvl>
    <w:lvl w:ilvl="1" w:tplc="50FC24AC">
      <w:start w:val="1"/>
      <w:numFmt w:val="decimal"/>
      <w:lvlText w:val="%2)"/>
      <w:lvlJc w:val="left"/>
      <w:pPr>
        <w:ind w:left="1440" w:hanging="360"/>
      </w:pPr>
    </w:lvl>
    <w:lvl w:ilvl="2" w:tplc="533C8C6E">
      <w:start w:val="1"/>
      <w:numFmt w:val="decimal"/>
      <w:lvlText w:val="%3)"/>
      <w:lvlJc w:val="left"/>
      <w:pPr>
        <w:ind w:left="1440" w:hanging="360"/>
      </w:pPr>
    </w:lvl>
    <w:lvl w:ilvl="3" w:tplc="FA08CABE">
      <w:start w:val="1"/>
      <w:numFmt w:val="decimal"/>
      <w:lvlText w:val="%4)"/>
      <w:lvlJc w:val="left"/>
      <w:pPr>
        <w:ind w:left="1440" w:hanging="360"/>
      </w:pPr>
    </w:lvl>
    <w:lvl w:ilvl="4" w:tplc="70F4B79C">
      <w:start w:val="1"/>
      <w:numFmt w:val="decimal"/>
      <w:lvlText w:val="%5)"/>
      <w:lvlJc w:val="left"/>
      <w:pPr>
        <w:ind w:left="1440" w:hanging="360"/>
      </w:pPr>
    </w:lvl>
    <w:lvl w:ilvl="5" w:tplc="529A4156">
      <w:start w:val="1"/>
      <w:numFmt w:val="decimal"/>
      <w:lvlText w:val="%6)"/>
      <w:lvlJc w:val="left"/>
      <w:pPr>
        <w:ind w:left="1440" w:hanging="360"/>
      </w:pPr>
    </w:lvl>
    <w:lvl w:ilvl="6" w:tplc="F28CA42C">
      <w:start w:val="1"/>
      <w:numFmt w:val="decimal"/>
      <w:lvlText w:val="%7)"/>
      <w:lvlJc w:val="left"/>
      <w:pPr>
        <w:ind w:left="1440" w:hanging="360"/>
      </w:pPr>
    </w:lvl>
    <w:lvl w:ilvl="7" w:tplc="C27491EA">
      <w:start w:val="1"/>
      <w:numFmt w:val="decimal"/>
      <w:lvlText w:val="%8)"/>
      <w:lvlJc w:val="left"/>
      <w:pPr>
        <w:ind w:left="1440" w:hanging="360"/>
      </w:pPr>
    </w:lvl>
    <w:lvl w:ilvl="8" w:tplc="2142644E">
      <w:start w:val="1"/>
      <w:numFmt w:val="decimal"/>
      <w:lvlText w:val="%9)"/>
      <w:lvlJc w:val="left"/>
      <w:pPr>
        <w:ind w:left="1440" w:hanging="360"/>
      </w:pPr>
    </w:lvl>
  </w:abstractNum>
  <w:abstractNum w:abstractNumId="72" w15:restartNumberingAfterBreak="0">
    <w:nsid w:val="7BBDAFFC"/>
    <w:multiLevelType w:val="hybridMultilevel"/>
    <w:tmpl w:val="FFFFFFFF"/>
    <w:lvl w:ilvl="0" w:tplc="3BE8853A">
      <w:start w:val="1"/>
      <w:numFmt w:val="bullet"/>
      <w:lvlText w:val=""/>
      <w:lvlJc w:val="left"/>
      <w:pPr>
        <w:ind w:left="720" w:hanging="360"/>
      </w:pPr>
      <w:rPr>
        <w:rFonts w:ascii="Symbol" w:hAnsi="Symbol" w:hint="default"/>
      </w:rPr>
    </w:lvl>
    <w:lvl w:ilvl="1" w:tplc="66066482">
      <w:start w:val="1"/>
      <w:numFmt w:val="bullet"/>
      <w:lvlText w:val="o"/>
      <w:lvlJc w:val="left"/>
      <w:pPr>
        <w:ind w:left="1440" w:hanging="360"/>
      </w:pPr>
      <w:rPr>
        <w:rFonts w:ascii="Courier New" w:hAnsi="Courier New" w:hint="default"/>
      </w:rPr>
    </w:lvl>
    <w:lvl w:ilvl="2" w:tplc="60589A3E">
      <w:start w:val="1"/>
      <w:numFmt w:val="bullet"/>
      <w:lvlText w:val=""/>
      <w:lvlJc w:val="left"/>
      <w:pPr>
        <w:ind w:left="2160" w:hanging="360"/>
      </w:pPr>
      <w:rPr>
        <w:rFonts w:ascii="Wingdings" w:hAnsi="Wingdings" w:hint="default"/>
      </w:rPr>
    </w:lvl>
    <w:lvl w:ilvl="3" w:tplc="DC042E20">
      <w:start w:val="1"/>
      <w:numFmt w:val="bullet"/>
      <w:lvlText w:val=""/>
      <w:lvlJc w:val="left"/>
      <w:pPr>
        <w:ind w:left="2880" w:hanging="360"/>
      </w:pPr>
      <w:rPr>
        <w:rFonts w:ascii="Symbol" w:hAnsi="Symbol" w:hint="default"/>
      </w:rPr>
    </w:lvl>
    <w:lvl w:ilvl="4" w:tplc="E66A2A44">
      <w:start w:val="1"/>
      <w:numFmt w:val="bullet"/>
      <w:lvlText w:val="o"/>
      <w:lvlJc w:val="left"/>
      <w:pPr>
        <w:ind w:left="3600" w:hanging="360"/>
      </w:pPr>
      <w:rPr>
        <w:rFonts w:ascii="Courier New" w:hAnsi="Courier New" w:hint="default"/>
      </w:rPr>
    </w:lvl>
    <w:lvl w:ilvl="5" w:tplc="FD6CDD28">
      <w:start w:val="1"/>
      <w:numFmt w:val="bullet"/>
      <w:lvlText w:val=""/>
      <w:lvlJc w:val="left"/>
      <w:pPr>
        <w:ind w:left="4320" w:hanging="360"/>
      </w:pPr>
      <w:rPr>
        <w:rFonts w:ascii="Wingdings" w:hAnsi="Wingdings" w:hint="default"/>
      </w:rPr>
    </w:lvl>
    <w:lvl w:ilvl="6" w:tplc="FBCC8F18">
      <w:start w:val="1"/>
      <w:numFmt w:val="bullet"/>
      <w:lvlText w:val=""/>
      <w:lvlJc w:val="left"/>
      <w:pPr>
        <w:ind w:left="5040" w:hanging="360"/>
      </w:pPr>
      <w:rPr>
        <w:rFonts w:ascii="Symbol" w:hAnsi="Symbol" w:hint="default"/>
      </w:rPr>
    </w:lvl>
    <w:lvl w:ilvl="7" w:tplc="1610A4E4">
      <w:start w:val="1"/>
      <w:numFmt w:val="bullet"/>
      <w:lvlText w:val="o"/>
      <w:lvlJc w:val="left"/>
      <w:pPr>
        <w:ind w:left="5760" w:hanging="360"/>
      </w:pPr>
      <w:rPr>
        <w:rFonts w:ascii="Courier New" w:hAnsi="Courier New" w:hint="default"/>
      </w:rPr>
    </w:lvl>
    <w:lvl w:ilvl="8" w:tplc="3E74493C">
      <w:start w:val="1"/>
      <w:numFmt w:val="bullet"/>
      <w:lvlText w:val=""/>
      <w:lvlJc w:val="left"/>
      <w:pPr>
        <w:ind w:left="6480" w:hanging="360"/>
      </w:pPr>
      <w:rPr>
        <w:rFonts w:ascii="Wingdings" w:hAnsi="Wingdings" w:hint="default"/>
      </w:rPr>
    </w:lvl>
  </w:abstractNum>
  <w:abstractNum w:abstractNumId="73" w15:restartNumberingAfterBreak="0">
    <w:nsid w:val="7C0B79B3"/>
    <w:multiLevelType w:val="hybridMultilevel"/>
    <w:tmpl w:val="5436369A"/>
    <w:lvl w:ilvl="0" w:tplc="14090003">
      <w:start w:val="1"/>
      <w:numFmt w:val="bullet"/>
      <w:lvlText w:val="o"/>
      <w:lvlJc w:val="left"/>
      <w:pPr>
        <w:ind w:left="1429" w:hanging="360"/>
      </w:pPr>
      <w:rPr>
        <w:rFonts w:ascii="Courier New" w:hAnsi="Courier New" w:cs="Courier New"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74" w15:restartNumberingAfterBreak="0">
    <w:nsid w:val="7CD84E2E"/>
    <w:multiLevelType w:val="hybridMultilevel"/>
    <w:tmpl w:val="E6BEC698"/>
    <w:lvl w:ilvl="0" w:tplc="DDB62174">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90969023">
    <w:abstractNumId w:val="20"/>
  </w:num>
  <w:num w:numId="2" w16cid:durableId="1426684315">
    <w:abstractNumId w:val="34"/>
  </w:num>
  <w:num w:numId="3" w16cid:durableId="1617329938">
    <w:abstractNumId w:val="7"/>
  </w:num>
  <w:num w:numId="4" w16cid:durableId="1270235133">
    <w:abstractNumId w:val="63"/>
  </w:num>
  <w:num w:numId="5" w16cid:durableId="1294364012">
    <w:abstractNumId w:val="28"/>
  </w:num>
  <w:num w:numId="6" w16cid:durableId="346949026">
    <w:abstractNumId w:val="27"/>
  </w:num>
  <w:num w:numId="7" w16cid:durableId="544832826">
    <w:abstractNumId w:val="17"/>
  </w:num>
  <w:num w:numId="8" w16cid:durableId="1405882489">
    <w:abstractNumId w:val="19"/>
  </w:num>
  <w:num w:numId="9" w16cid:durableId="2130125067">
    <w:abstractNumId w:val="0"/>
  </w:num>
  <w:num w:numId="10" w16cid:durableId="1242642780">
    <w:abstractNumId w:val="4"/>
  </w:num>
  <w:num w:numId="11" w16cid:durableId="113406322">
    <w:abstractNumId w:val="21"/>
  </w:num>
  <w:num w:numId="12" w16cid:durableId="1817793405">
    <w:abstractNumId w:val="5"/>
  </w:num>
  <w:num w:numId="13" w16cid:durableId="1009603005">
    <w:abstractNumId w:val="9"/>
  </w:num>
  <w:num w:numId="14" w16cid:durableId="2122341009">
    <w:abstractNumId w:val="18"/>
  </w:num>
  <w:num w:numId="15" w16cid:durableId="1033848017">
    <w:abstractNumId w:val="62"/>
  </w:num>
  <w:num w:numId="16" w16cid:durableId="153642351">
    <w:abstractNumId w:val="64"/>
  </w:num>
  <w:num w:numId="17" w16cid:durableId="1025835366">
    <w:abstractNumId w:val="6"/>
  </w:num>
  <w:num w:numId="18" w16cid:durableId="1757362259">
    <w:abstractNumId w:val="33"/>
  </w:num>
  <w:num w:numId="19" w16cid:durableId="1660645518">
    <w:abstractNumId w:val="65"/>
  </w:num>
  <w:num w:numId="20" w16cid:durableId="1177185102">
    <w:abstractNumId w:val="46"/>
  </w:num>
  <w:num w:numId="21" w16cid:durableId="937374741">
    <w:abstractNumId w:val="31"/>
  </w:num>
  <w:num w:numId="22" w16cid:durableId="641664788">
    <w:abstractNumId w:val="66"/>
  </w:num>
  <w:num w:numId="23" w16cid:durableId="1145464392">
    <w:abstractNumId w:val="14"/>
  </w:num>
  <w:num w:numId="24" w16cid:durableId="751396874">
    <w:abstractNumId w:val="22"/>
  </w:num>
  <w:num w:numId="25" w16cid:durableId="694693684">
    <w:abstractNumId w:val="1"/>
  </w:num>
  <w:num w:numId="26" w16cid:durableId="429161965">
    <w:abstractNumId w:val="40"/>
  </w:num>
  <w:num w:numId="27" w16cid:durableId="1315798033">
    <w:abstractNumId w:val="69"/>
  </w:num>
  <w:num w:numId="28" w16cid:durableId="1591621191">
    <w:abstractNumId w:val="3"/>
  </w:num>
  <w:num w:numId="29" w16cid:durableId="522595418">
    <w:abstractNumId w:val="52"/>
  </w:num>
  <w:num w:numId="30" w16cid:durableId="683362051">
    <w:abstractNumId w:val="57"/>
  </w:num>
  <w:num w:numId="31" w16cid:durableId="1029650053">
    <w:abstractNumId w:val="68"/>
  </w:num>
  <w:num w:numId="32" w16cid:durableId="1255165391">
    <w:abstractNumId w:val="72"/>
  </w:num>
  <w:num w:numId="33" w16cid:durableId="519860075">
    <w:abstractNumId w:val="55"/>
  </w:num>
  <w:num w:numId="34" w16cid:durableId="851842258">
    <w:abstractNumId w:val="43"/>
  </w:num>
  <w:num w:numId="35" w16cid:durableId="1980377000">
    <w:abstractNumId w:val="47"/>
  </w:num>
  <w:num w:numId="36" w16cid:durableId="608046070">
    <w:abstractNumId w:val="15"/>
  </w:num>
  <w:num w:numId="37" w16cid:durableId="15935804">
    <w:abstractNumId w:val="13"/>
  </w:num>
  <w:num w:numId="38" w16cid:durableId="574055188">
    <w:abstractNumId w:val="2"/>
  </w:num>
  <w:num w:numId="39" w16cid:durableId="1079594578">
    <w:abstractNumId w:val="59"/>
  </w:num>
  <w:num w:numId="40" w16cid:durableId="584730663">
    <w:abstractNumId w:val="54"/>
  </w:num>
  <w:num w:numId="41" w16cid:durableId="1281453091">
    <w:abstractNumId w:val="38"/>
  </w:num>
  <w:num w:numId="42" w16cid:durableId="1509514993">
    <w:abstractNumId w:val="56"/>
  </w:num>
  <w:num w:numId="43" w16cid:durableId="526258986">
    <w:abstractNumId w:val="23"/>
  </w:num>
  <w:num w:numId="44" w16cid:durableId="1354965420">
    <w:abstractNumId w:val="23"/>
  </w:num>
  <w:num w:numId="45" w16cid:durableId="388264349">
    <w:abstractNumId w:val="23"/>
    <w:lvlOverride w:ilvl="0">
      <w:lvl w:ilvl="0">
        <w:start w:val="1"/>
        <w:numFmt w:val="upperLetter"/>
        <w:lvlText w:val="%1."/>
        <w:lvlJc w:val="left"/>
        <w:pPr>
          <w:ind w:left="432" w:hanging="432"/>
        </w:pPr>
        <w:rPr>
          <w:rFonts w:hint="default"/>
        </w:rPr>
      </w:lvl>
    </w:lvlOverride>
    <w:lvlOverride w:ilvl="1">
      <w:lvl w:ilvl="1">
        <w:start w:val="1"/>
        <w:numFmt w:val="decimal"/>
        <w:lvlRestart w:val="0"/>
        <w:lvlText w:val="B%2"/>
        <w:lvlJc w:val="left"/>
        <w:pPr>
          <w:tabs>
            <w:tab w:val="num" w:pos="360"/>
          </w:tabs>
          <w:ind w:left="0" w:firstLine="288"/>
        </w:pPr>
        <w:rPr>
          <w:rFonts w:hint="default"/>
        </w:rPr>
      </w:lvl>
    </w:lvlOverride>
    <w:lvlOverride w:ilvl="2">
      <w:lvl w:ilvl="2">
        <w:numFmt w:val="none"/>
        <w:lvlRestart w:val="0"/>
        <w:lvlText w:val="B3"/>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ascii="Calibri" w:hAnsi="Calibri" w:hint="default"/>
          <w:b/>
          <w:bCs/>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Override>
  </w:num>
  <w:num w:numId="46" w16cid:durableId="709575378">
    <w:abstractNumId w:val="8"/>
  </w:num>
  <w:num w:numId="47" w16cid:durableId="481311276">
    <w:abstractNumId w:val="37"/>
  </w:num>
  <w:num w:numId="48" w16cid:durableId="1115756554">
    <w:abstractNumId w:val="53"/>
  </w:num>
  <w:num w:numId="49" w16cid:durableId="1456410232">
    <w:abstractNumId w:val="48"/>
  </w:num>
  <w:num w:numId="50" w16cid:durableId="320619286">
    <w:abstractNumId w:val="58"/>
  </w:num>
  <w:num w:numId="51" w16cid:durableId="2115202835">
    <w:abstractNumId w:val="73"/>
  </w:num>
  <w:num w:numId="52" w16cid:durableId="1457986605">
    <w:abstractNumId w:val="50"/>
  </w:num>
  <w:num w:numId="53" w16cid:durableId="751195238">
    <w:abstractNumId w:val="16"/>
  </w:num>
  <w:num w:numId="54" w16cid:durableId="74058095">
    <w:abstractNumId w:val="24"/>
  </w:num>
  <w:num w:numId="55" w16cid:durableId="1197229969">
    <w:abstractNumId w:val="71"/>
  </w:num>
  <w:num w:numId="56" w16cid:durableId="442265491">
    <w:abstractNumId w:val="12"/>
  </w:num>
  <w:num w:numId="57" w16cid:durableId="1844542147">
    <w:abstractNumId w:val="35"/>
  </w:num>
  <w:num w:numId="58" w16cid:durableId="1354647788">
    <w:abstractNumId w:val="51"/>
  </w:num>
  <w:num w:numId="59" w16cid:durableId="1419673580">
    <w:abstractNumId w:val="25"/>
  </w:num>
  <w:num w:numId="60" w16cid:durableId="1473332536">
    <w:abstractNumId w:val="41"/>
  </w:num>
  <w:num w:numId="61" w16cid:durableId="926184107">
    <w:abstractNumId w:val="33"/>
  </w:num>
  <w:num w:numId="62" w16cid:durableId="1541819182">
    <w:abstractNumId w:val="42"/>
  </w:num>
  <w:num w:numId="63" w16cid:durableId="1486363342">
    <w:abstractNumId w:val="26"/>
  </w:num>
  <w:num w:numId="64" w16cid:durableId="2020620862">
    <w:abstractNumId w:val="45"/>
  </w:num>
  <w:num w:numId="65" w16cid:durableId="214392021">
    <w:abstractNumId w:val="44"/>
  </w:num>
  <w:num w:numId="66" w16cid:durableId="437408096">
    <w:abstractNumId w:val="67"/>
  </w:num>
  <w:num w:numId="67" w16cid:durableId="5260636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856524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04593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84706610">
    <w:abstractNumId w:val="60"/>
  </w:num>
  <w:num w:numId="71" w16cid:durableId="1762795269">
    <w:abstractNumId w:val="49"/>
  </w:num>
  <w:num w:numId="72" w16cid:durableId="1271937135">
    <w:abstractNumId w:val="30"/>
  </w:num>
  <w:num w:numId="73" w16cid:durableId="1030759472">
    <w:abstractNumId w:val="29"/>
  </w:num>
  <w:num w:numId="74" w16cid:durableId="455830051">
    <w:abstractNumId w:val="11"/>
  </w:num>
  <w:num w:numId="75" w16cid:durableId="1838305355">
    <w:abstractNumId w:val="36"/>
  </w:num>
  <w:num w:numId="76" w16cid:durableId="1989287749">
    <w:abstractNumId w:val="32"/>
  </w:num>
  <w:num w:numId="77" w16cid:durableId="724792506">
    <w:abstractNumId w:val="19"/>
  </w:num>
  <w:num w:numId="78" w16cid:durableId="2001888652">
    <w:abstractNumId w:val="61"/>
  </w:num>
  <w:num w:numId="79" w16cid:durableId="877595367">
    <w:abstractNumId w:val="39"/>
  </w:num>
  <w:num w:numId="80" w16cid:durableId="60250447">
    <w:abstractNumId w:val="10"/>
  </w:num>
  <w:num w:numId="81" w16cid:durableId="2039307823">
    <w:abstractNumId w:val="74"/>
  </w:num>
  <w:num w:numId="82" w16cid:durableId="161940035">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PersonalInformation/>
  <w:removeDateAndTime/>
  <w:activeWritingStyle w:appName="MSWord" w:lang="en-US" w:vendorID="64" w:dllVersion="0" w:nlCheck="1" w:checkStyle="0"/>
  <w:activeWritingStyle w:appName="MSWord" w:lang="en-NZ" w:vendorID="64" w:dllVersion="0" w:nlCheck="1" w:checkStyle="0"/>
  <w:activeWritingStyle w:appName="MSWord" w:lang="en-AU" w:vendorID="64" w:dllVersion="0" w:nlCheck="1" w:checkStyle="0"/>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F9"/>
    <w:rsid w:val="0000009A"/>
    <w:rsid w:val="00000285"/>
    <w:rsid w:val="000002CC"/>
    <w:rsid w:val="00000370"/>
    <w:rsid w:val="00000455"/>
    <w:rsid w:val="00000792"/>
    <w:rsid w:val="000008EB"/>
    <w:rsid w:val="00000F04"/>
    <w:rsid w:val="000013C2"/>
    <w:rsid w:val="000013E1"/>
    <w:rsid w:val="000017AB"/>
    <w:rsid w:val="00001A21"/>
    <w:rsid w:val="00001C42"/>
    <w:rsid w:val="00001D32"/>
    <w:rsid w:val="00001F0E"/>
    <w:rsid w:val="00001FF6"/>
    <w:rsid w:val="0000242B"/>
    <w:rsid w:val="000025D9"/>
    <w:rsid w:val="00002606"/>
    <w:rsid w:val="0000272E"/>
    <w:rsid w:val="00002731"/>
    <w:rsid w:val="00002769"/>
    <w:rsid w:val="000027D5"/>
    <w:rsid w:val="00002A21"/>
    <w:rsid w:val="00002AD5"/>
    <w:rsid w:val="00002AE3"/>
    <w:rsid w:val="00002BBC"/>
    <w:rsid w:val="00002C36"/>
    <w:rsid w:val="00002D6D"/>
    <w:rsid w:val="000030F5"/>
    <w:rsid w:val="000033E7"/>
    <w:rsid w:val="0000349E"/>
    <w:rsid w:val="00003521"/>
    <w:rsid w:val="00003576"/>
    <w:rsid w:val="00003601"/>
    <w:rsid w:val="00003A3F"/>
    <w:rsid w:val="00003C4F"/>
    <w:rsid w:val="00003DE6"/>
    <w:rsid w:val="00004007"/>
    <w:rsid w:val="000040F4"/>
    <w:rsid w:val="000041EF"/>
    <w:rsid w:val="0000429D"/>
    <w:rsid w:val="0000465B"/>
    <w:rsid w:val="00004788"/>
    <w:rsid w:val="000048AB"/>
    <w:rsid w:val="0000494F"/>
    <w:rsid w:val="00004C2B"/>
    <w:rsid w:val="00004DF2"/>
    <w:rsid w:val="00004E0A"/>
    <w:rsid w:val="00004FB7"/>
    <w:rsid w:val="00004FD3"/>
    <w:rsid w:val="00005241"/>
    <w:rsid w:val="000052B3"/>
    <w:rsid w:val="00005376"/>
    <w:rsid w:val="000053C4"/>
    <w:rsid w:val="00005441"/>
    <w:rsid w:val="00005464"/>
    <w:rsid w:val="000054CC"/>
    <w:rsid w:val="0000579E"/>
    <w:rsid w:val="000057F8"/>
    <w:rsid w:val="000058B3"/>
    <w:rsid w:val="00005A93"/>
    <w:rsid w:val="00005B08"/>
    <w:rsid w:val="00005BED"/>
    <w:rsid w:val="00006056"/>
    <w:rsid w:val="000061E0"/>
    <w:rsid w:val="0000678C"/>
    <w:rsid w:val="000068F3"/>
    <w:rsid w:val="00006A09"/>
    <w:rsid w:val="00006BAA"/>
    <w:rsid w:val="00006D1E"/>
    <w:rsid w:val="00006DF5"/>
    <w:rsid w:val="00006F95"/>
    <w:rsid w:val="00006FFA"/>
    <w:rsid w:val="00007000"/>
    <w:rsid w:val="00007023"/>
    <w:rsid w:val="00007078"/>
    <w:rsid w:val="0000707D"/>
    <w:rsid w:val="0000709F"/>
    <w:rsid w:val="000071D6"/>
    <w:rsid w:val="000073CE"/>
    <w:rsid w:val="000074E6"/>
    <w:rsid w:val="00007570"/>
    <w:rsid w:val="000075DD"/>
    <w:rsid w:val="000078BB"/>
    <w:rsid w:val="000079D9"/>
    <w:rsid w:val="00007A5E"/>
    <w:rsid w:val="00007B11"/>
    <w:rsid w:val="00007F2D"/>
    <w:rsid w:val="00007FAC"/>
    <w:rsid w:val="00009F3C"/>
    <w:rsid w:val="00010151"/>
    <w:rsid w:val="0001023B"/>
    <w:rsid w:val="000102D5"/>
    <w:rsid w:val="0001040C"/>
    <w:rsid w:val="0001040D"/>
    <w:rsid w:val="000105C2"/>
    <w:rsid w:val="00010640"/>
    <w:rsid w:val="00010738"/>
    <w:rsid w:val="000107AD"/>
    <w:rsid w:val="00010A9C"/>
    <w:rsid w:val="00010ABA"/>
    <w:rsid w:val="00010AF7"/>
    <w:rsid w:val="00010B00"/>
    <w:rsid w:val="00010B40"/>
    <w:rsid w:val="00010DA9"/>
    <w:rsid w:val="00010DE0"/>
    <w:rsid w:val="00010E15"/>
    <w:rsid w:val="00010E26"/>
    <w:rsid w:val="00010E54"/>
    <w:rsid w:val="00010F57"/>
    <w:rsid w:val="0001100C"/>
    <w:rsid w:val="0001103A"/>
    <w:rsid w:val="00011188"/>
    <w:rsid w:val="0001133D"/>
    <w:rsid w:val="00011447"/>
    <w:rsid w:val="0001168D"/>
    <w:rsid w:val="000117B6"/>
    <w:rsid w:val="000117E3"/>
    <w:rsid w:val="00011A9D"/>
    <w:rsid w:val="00011BAF"/>
    <w:rsid w:val="00011CA6"/>
    <w:rsid w:val="00011DE9"/>
    <w:rsid w:val="00011E25"/>
    <w:rsid w:val="00011E6F"/>
    <w:rsid w:val="000122C8"/>
    <w:rsid w:val="000123A1"/>
    <w:rsid w:val="000123EE"/>
    <w:rsid w:val="00012555"/>
    <w:rsid w:val="0001256E"/>
    <w:rsid w:val="000127EB"/>
    <w:rsid w:val="00012840"/>
    <w:rsid w:val="00012A1F"/>
    <w:rsid w:val="00012AA7"/>
    <w:rsid w:val="00012B27"/>
    <w:rsid w:val="00012FB1"/>
    <w:rsid w:val="00013055"/>
    <w:rsid w:val="0001307B"/>
    <w:rsid w:val="000131B5"/>
    <w:rsid w:val="000134C9"/>
    <w:rsid w:val="00013522"/>
    <w:rsid w:val="0001377B"/>
    <w:rsid w:val="0001380B"/>
    <w:rsid w:val="000138B5"/>
    <w:rsid w:val="00013968"/>
    <w:rsid w:val="00013B45"/>
    <w:rsid w:val="00013C80"/>
    <w:rsid w:val="00013D1E"/>
    <w:rsid w:val="00013EC8"/>
    <w:rsid w:val="00014236"/>
    <w:rsid w:val="00014317"/>
    <w:rsid w:val="00014417"/>
    <w:rsid w:val="0001462F"/>
    <w:rsid w:val="000147A4"/>
    <w:rsid w:val="000147C6"/>
    <w:rsid w:val="000148F4"/>
    <w:rsid w:val="000148F6"/>
    <w:rsid w:val="00014A89"/>
    <w:rsid w:val="00014B2B"/>
    <w:rsid w:val="00014C69"/>
    <w:rsid w:val="00014DA9"/>
    <w:rsid w:val="00014DAE"/>
    <w:rsid w:val="00014E52"/>
    <w:rsid w:val="0001505B"/>
    <w:rsid w:val="00015217"/>
    <w:rsid w:val="0001538B"/>
    <w:rsid w:val="00015411"/>
    <w:rsid w:val="00015686"/>
    <w:rsid w:val="00015760"/>
    <w:rsid w:val="0001591A"/>
    <w:rsid w:val="000159D2"/>
    <w:rsid w:val="00015B56"/>
    <w:rsid w:val="00015FC5"/>
    <w:rsid w:val="0001607F"/>
    <w:rsid w:val="000161D1"/>
    <w:rsid w:val="0001625C"/>
    <w:rsid w:val="00016264"/>
    <w:rsid w:val="0001632C"/>
    <w:rsid w:val="0001637F"/>
    <w:rsid w:val="0001645D"/>
    <w:rsid w:val="0001647A"/>
    <w:rsid w:val="000166E1"/>
    <w:rsid w:val="00016814"/>
    <w:rsid w:val="00016993"/>
    <w:rsid w:val="00016A11"/>
    <w:rsid w:val="00016B9A"/>
    <w:rsid w:val="00016CA6"/>
    <w:rsid w:val="00016CAB"/>
    <w:rsid w:val="00016CF3"/>
    <w:rsid w:val="00016E20"/>
    <w:rsid w:val="00016E5B"/>
    <w:rsid w:val="00017123"/>
    <w:rsid w:val="00017490"/>
    <w:rsid w:val="0001749B"/>
    <w:rsid w:val="000174BD"/>
    <w:rsid w:val="000174CA"/>
    <w:rsid w:val="000179C1"/>
    <w:rsid w:val="000179C7"/>
    <w:rsid w:val="00017A0D"/>
    <w:rsid w:val="00017D4E"/>
    <w:rsid w:val="00017D75"/>
    <w:rsid w:val="00017D9F"/>
    <w:rsid w:val="00017DB6"/>
    <w:rsid w:val="00017E66"/>
    <w:rsid w:val="00017EB3"/>
    <w:rsid w:val="00017F05"/>
    <w:rsid w:val="00017FE5"/>
    <w:rsid w:val="00020494"/>
    <w:rsid w:val="0002061B"/>
    <w:rsid w:val="00020745"/>
    <w:rsid w:val="00020870"/>
    <w:rsid w:val="00020AAC"/>
    <w:rsid w:val="00020B99"/>
    <w:rsid w:val="00020CB4"/>
    <w:rsid w:val="00020CD0"/>
    <w:rsid w:val="00020EAD"/>
    <w:rsid w:val="00021386"/>
    <w:rsid w:val="000213AE"/>
    <w:rsid w:val="000213FF"/>
    <w:rsid w:val="000215EE"/>
    <w:rsid w:val="00021903"/>
    <w:rsid w:val="00021910"/>
    <w:rsid w:val="00021C0A"/>
    <w:rsid w:val="00021E40"/>
    <w:rsid w:val="00021F0B"/>
    <w:rsid w:val="000220E3"/>
    <w:rsid w:val="00022184"/>
    <w:rsid w:val="00022425"/>
    <w:rsid w:val="000224F2"/>
    <w:rsid w:val="00022590"/>
    <w:rsid w:val="00022AC6"/>
    <w:rsid w:val="00022C57"/>
    <w:rsid w:val="00022CCF"/>
    <w:rsid w:val="00022D6A"/>
    <w:rsid w:val="00022E8D"/>
    <w:rsid w:val="00022EE3"/>
    <w:rsid w:val="00023018"/>
    <w:rsid w:val="0002325D"/>
    <w:rsid w:val="0002348A"/>
    <w:rsid w:val="000234F2"/>
    <w:rsid w:val="00023637"/>
    <w:rsid w:val="000236C0"/>
    <w:rsid w:val="0002378E"/>
    <w:rsid w:val="00023BB0"/>
    <w:rsid w:val="00023BB7"/>
    <w:rsid w:val="00023CDB"/>
    <w:rsid w:val="00023DCA"/>
    <w:rsid w:val="00023E66"/>
    <w:rsid w:val="00023FB3"/>
    <w:rsid w:val="000240DC"/>
    <w:rsid w:val="00024117"/>
    <w:rsid w:val="00024321"/>
    <w:rsid w:val="00024506"/>
    <w:rsid w:val="00024517"/>
    <w:rsid w:val="00024670"/>
    <w:rsid w:val="0002469D"/>
    <w:rsid w:val="00024708"/>
    <w:rsid w:val="00024803"/>
    <w:rsid w:val="00024870"/>
    <w:rsid w:val="00024927"/>
    <w:rsid w:val="00024B44"/>
    <w:rsid w:val="00024E59"/>
    <w:rsid w:val="00024E78"/>
    <w:rsid w:val="00024ECF"/>
    <w:rsid w:val="00024EE7"/>
    <w:rsid w:val="00024FBB"/>
    <w:rsid w:val="00025004"/>
    <w:rsid w:val="000250ED"/>
    <w:rsid w:val="00025207"/>
    <w:rsid w:val="000254A6"/>
    <w:rsid w:val="00025570"/>
    <w:rsid w:val="000255EF"/>
    <w:rsid w:val="0002576B"/>
    <w:rsid w:val="000258BB"/>
    <w:rsid w:val="000258D8"/>
    <w:rsid w:val="00025906"/>
    <w:rsid w:val="000259D9"/>
    <w:rsid w:val="00025B27"/>
    <w:rsid w:val="00025B4B"/>
    <w:rsid w:val="00025CAF"/>
    <w:rsid w:val="00025DD3"/>
    <w:rsid w:val="00025DE3"/>
    <w:rsid w:val="00025E04"/>
    <w:rsid w:val="00025F7D"/>
    <w:rsid w:val="00025F96"/>
    <w:rsid w:val="00025FA8"/>
    <w:rsid w:val="00025FAB"/>
    <w:rsid w:val="00025FB3"/>
    <w:rsid w:val="00026055"/>
    <w:rsid w:val="00026195"/>
    <w:rsid w:val="00026269"/>
    <w:rsid w:val="00026518"/>
    <w:rsid w:val="00026604"/>
    <w:rsid w:val="00026747"/>
    <w:rsid w:val="00026839"/>
    <w:rsid w:val="000269A5"/>
    <w:rsid w:val="00026AEA"/>
    <w:rsid w:val="00026B39"/>
    <w:rsid w:val="00026BDA"/>
    <w:rsid w:val="00026E4E"/>
    <w:rsid w:val="00026E89"/>
    <w:rsid w:val="00026EC6"/>
    <w:rsid w:val="00026EF8"/>
    <w:rsid w:val="00026F12"/>
    <w:rsid w:val="00026FE8"/>
    <w:rsid w:val="00027187"/>
    <w:rsid w:val="00027463"/>
    <w:rsid w:val="00027555"/>
    <w:rsid w:val="000275A3"/>
    <w:rsid w:val="00027790"/>
    <w:rsid w:val="000277A5"/>
    <w:rsid w:val="000279A2"/>
    <w:rsid w:val="00027CC9"/>
    <w:rsid w:val="00027CD8"/>
    <w:rsid w:val="00027DAA"/>
    <w:rsid w:val="00027DC3"/>
    <w:rsid w:val="00030170"/>
    <w:rsid w:val="0003021B"/>
    <w:rsid w:val="0003035F"/>
    <w:rsid w:val="00030396"/>
    <w:rsid w:val="00030558"/>
    <w:rsid w:val="00030699"/>
    <w:rsid w:val="000306F0"/>
    <w:rsid w:val="00030725"/>
    <w:rsid w:val="000307AB"/>
    <w:rsid w:val="000307EC"/>
    <w:rsid w:val="000307F5"/>
    <w:rsid w:val="000307FF"/>
    <w:rsid w:val="0003097B"/>
    <w:rsid w:val="00030DB8"/>
    <w:rsid w:val="00030DE3"/>
    <w:rsid w:val="00030E2A"/>
    <w:rsid w:val="00030F85"/>
    <w:rsid w:val="00031020"/>
    <w:rsid w:val="000311EB"/>
    <w:rsid w:val="00031219"/>
    <w:rsid w:val="000312DE"/>
    <w:rsid w:val="00031383"/>
    <w:rsid w:val="000315EE"/>
    <w:rsid w:val="000317A9"/>
    <w:rsid w:val="0003187B"/>
    <w:rsid w:val="00031A83"/>
    <w:rsid w:val="00031BFF"/>
    <w:rsid w:val="00031C0B"/>
    <w:rsid w:val="00031CCF"/>
    <w:rsid w:val="00031DF7"/>
    <w:rsid w:val="00031EBA"/>
    <w:rsid w:val="00031ED1"/>
    <w:rsid w:val="00031FF2"/>
    <w:rsid w:val="0003213A"/>
    <w:rsid w:val="0003231F"/>
    <w:rsid w:val="000329E0"/>
    <w:rsid w:val="000329F1"/>
    <w:rsid w:val="00032A81"/>
    <w:rsid w:val="00032E8B"/>
    <w:rsid w:val="00032F08"/>
    <w:rsid w:val="00032F1E"/>
    <w:rsid w:val="00032F2D"/>
    <w:rsid w:val="00032FA0"/>
    <w:rsid w:val="00033013"/>
    <w:rsid w:val="000330D3"/>
    <w:rsid w:val="0003312F"/>
    <w:rsid w:val="0003313D"/>
    <w:rsid w:val="000331DB"/>
    <w:rsid w:val="000333A4"/>
    <w:rsid w:val="00033729"/>
    <w:rsid w:val="00033A7E"/>
    <w:rsid w:val="00033A7F"/>
    <w:rsid w:val="00033A88"/>
    <w:rsid w:val="00033B23"/>
    <w:rsid w:val="00033BCF"/>
    <w:rsid w:val="00033C80"/>
    <w:rsid w:val="00033CC3"/>
    <w:rsid w:val="00033E0A"/>
    <w:rsid w:val="00033E38"/>
    <w:rsid w:val="00033EDF"/>
    <w:rsid w:val="00033F41"/>
    <w:rsid w:val="0003409C"/>
    <w:rsid w:val="000340D8"/>
    <w:rsid w:val="00034256"/>
    <w:rsid w:val="0003427D"/>
    <w:rsid w:val="00034838"/>
    <w:rsid w:val="00034A8D"/>
    <w:rsid w:val="00034B75"/>
    <w:rsid w:val="00034D51"/>
    <w:rsid w:val="00034DD1"/>
    <w:rsid w:val="00034DFA"/>
    <w:rsid w:val="00034E71"/>
    <w:rsid w:val="00034E78"/>
    <w:rsid w:val="00034E7C"/>
    <w:rsid w:val="00034F73"/>
    <w:rsid w:val="00034FA6"/>
    <w:rsid w:val="000352A2"/>
    <w:rsid w:val="00035652"/>
    <w:rsid w:val="000356F9"/>
    <w:rsid w:val="000357ED"/>
    <w:rsid w:val="00035826"/>
    <w:rsid w:val="00035828"/>
    <w:rsid w:val="00035A51"/>
    <w:rsid w:val="00035C47"/>
    <w:rsid w:val="00035E0F"/>
    <w:rsid w:val="00035E15"/>
    <w:rsid w:val="00035E77"/>
    <w:rsid w:val="00035F53"/>
    <w:rsid w:val="000363CC"/>
    <w:rsid w:val="0003640E"/>
    <w:rsid w:val="00036564"/>
    <w:rsid w:val="00036627"/>
    <w:rsid w:val="000367BF"/>
    <w:rsid w:val="0003688A"/>
    <w:rsid w:val="000368B5"/>
    <w:rsid w:val="000368FC"/>
    <w:rsid w:val="00036924"/>
    <w:rsid w:val="00036A7F"/>
    <w:rsid w:val="00036AAE"/>
    <w:rsid w:val="00036AD3"/>
    <w:rsid w:val="00036B2B"/>
    <w:rsid w:val="00036B3E"/>
    <w:rsid w:val="00036DA3"/>
    <w:rsid w:val="00036DAE"/>
    <w:rsid w:val="00036EB4"/>
    <w:rsid w:val="00037454"/>
    <w:rsid w:val="0003769C"/>
    <w:rsid w:val="000377F3"/>
    <w:rsid w:val="000378AE"/>
    <w:rsid w:val="000379A5"/>
    <w:rsid w:val="000379BF"/>
    <w:rsid w:val="00037BEC"/>
    <w:rsid w:val="00037C35"/>
    <w:rsid w:val="00037C54"/>
    <w:rsid w:val="00037D0F"/>
    <w:rsid w:val="00037DAB"/>
    <w:rsid w:val="00037FA4"/>
    <w:rsid w:val="000400D9"/>
    <w:rsid w:val="00040137"/>
    <w:rsid w:val="0004022F"/>
    <w:rsid w:val="0004028C"/>
    <w:rsid w:val="0004035C"/>
    <w:rsid w:val="00040399"/>
    <w:rsid w:val="000404EE"/>
    <w:rsid w:val="000404F3"/>
    <w:rsid w:val="000406F9"/>
    <w:rsid w:val="00040860"/>
    <w:rsid w:val="000408EE"/>
    <w:rsid w:val="00040A0E"/>
    <w:rsid w:val="00040CED"/>
    <w:rsid w:val="00040D82"/>
    <w:rsid w:val="00040EA1"/>
    <w:rsid w:val="00040EA3"/>
    <w:rsid w:val="00040F33"/>
    <w:rsid w:val="0004106E"/>
    <w:rsid w:val="00041122"/>
    <w:rsid w:val="000411AC"/>
    <w:rsid w:val="00041274"/>
    <w:rsid w:val="000412C0"/>
    <w:rsid w:val="00041430"/>
    <w:rsid w:val="000416C1"/>
    <w:rsid w:val="0004170D"/>
    <w:rsid w:val="0004171F"/>
    <w:rsid w:val="00041737"/>
    <w:rsid w:val="00041747"/>
    <w:rsid w:val="00041930"/>
    <w:rsid w:val="000419BC"/>
    <w:rsid w:val="00041ADA"/>
    <w:rsid w:val="00041D58"/>
    <w:rsid w:val="0004205F"/>
    <w:rsid w:val="00042098"/>
    <w:rsid w:val="000420A4"/>
    <w:rsid w:val="00042321"/>
    <w:rsid w:val="000423C6"/>
    <w:rsid w:val="000426D8"/>
    <w:rsid w:val="00042797"/>
    <w:rsid w:val="00042816"/>
    <w:rsid w:val="00042964"/>
    <w:rsid w:val="00042A28"/>
    <w:rsid w:val="00042AAC"/>
    <w:rsid w:val="00042B3B"/>
    <w:rsid w:val="00042C4D"/>
    <w:rsid w:val="00042EDB"/>
    <w:rsid w:val="00043177"/>
    <w:rsid w:val="000431D1"/>
    <w:rsid w:val="000431FD"/>
    <w:rsid w:val="000434EC"/>
    <w:rsid w:val="0004372F"/>
    <w:rsid w:val="000437CB"/>
    <w:rsid w:val="00043836"/>
    <w:rsid w:val="00043848"/>
    <w:rsid w:val="00043912"/>
    <w:rsid w:val="00043A03"/>
    <w:rsid w:val="00043B9E"/>
    <w:rsid w:val="00043D1F"/>
    <w:rsid w:val="00043DF1"/>
    <w:rsid w:val="000442EC"/>
    <w:rsid w:val="00044320"/>
    <w:rsid w:val="000443A2"/>
    <w:rsid w:val="0004440C"/>
    <w:rsid w:val="000446EC"/>
    <w:rsid w:val="000447AE"/>
    <w:rsid w:val="000448DB"/>
    <w:rsid w:val="00044956"/>
    <w:rsid w:val="00044A18"/>
    <w:rsid w:val="00044A50"/>
    <w:rsid w:val="00044C65"/>
    <w:rsid w:val="00044CE6"/>
    <w:rsid w:val="00044D90"/>
    <w:rsid w:val="00044F20"/>
    <w:rsid w:val="00044FA4"/>
    <w:rsid w:val="0004500A"/>
    <w:rsid w:val="0004516E"/>
    <w:rsid w:val="0004520E"/>
    <w:rsid w:val="00045251"/>
    <w:rsid w:val="000453A0"/>
    <w:rsid w:val="000453A1"/>
    <w:rsid w:val="000453E6"/>
    <w:rsid w:val="000453EC"/>
    <w:rsid w:val="00045453"/>
    <w:rsid w:val="000454BF"/>
    <w:rsid w:val="00045537"/>
    <w:rsid w:val="000455AD"/>
    <w:rsid w:val="00045728"/>
    <w:rsid w:val="000457C3"/>
    <w:rsid w:val="000458C7"/>
    <w:rsid w:val="000458DA"/>
    <w:rsid w:val="00045991"/>
    <w:rsid w:val="000459D5"/>
    <w:rsid w:val="000459DC"/>
    <w:rsid w:val="00045B33"/>
    <w:rsid w:val="00045C66"/>
    <w:rsid w:val="00045DB8"/>
    <w:rsid w:val="00045E5C"/>
    <w:rsid w:val="00046002"/>
    <w:rsid w:val="00046288"/>
    <w:rsid w:val="0004649C"/>
    <w:rsid w:val="00046509"/>
    <w:rsid w:val="0004691C"/>
    <w:rsid w:val="00046993"/>
    <w:rsid w:val="00046AC8"/>
    <w:rsid w:val="00046B90"/>
    <w:rsid w:val="00046BC0"/>
    <w:rsid w:val="00046CCE"/>
    <w:rsid w:val="00046D95"/>
    <w:rsid w:val="00046DFA"/>
    <w:rsid w:val="00046F28"/>
    <w:rsid w:val="000471B8"/>
    <w:rsid w:val="0004723A"/>
    <w:rsid w:val="0004726F"/>
    <w:rsid w:val="00047298"/>
    <w:rsid w:val="000472CF"/>
    <w:rsid w:val="000472E0"/>
    <w:rsid w:val="0004731B"/>
    <w:rsid w:val="000476A0"/>
    <w:rsid w:val="000476EB"/>
    <w:rsid w:val="000477C9"/>
    <w:rsid w:val="000477E9"/>
    <w:rsid w:val="00047847"/>
    <w:rsid w:val="00047941"/>
    <w:rsid w:val="00047A4B"/>
    <w:rsid w:val="00047A5F"/>
    <w:rsid w:val="00047BDB"/>
    <w:rsid w:val="00047E12"/>
    <w:rsid w:val="00047EBF"/>
    <w:rsid w:val="00047EEA"/>
    <w:rsid w:val="00047FC0"/>
    <w:rsid w:val="00050067"/>
    <w:rsid w:val="0005038E"/>
    <w:rsid w:val="0005063A"/>
    <w:rsid w:val="00050785"/>
    <w:rsid w:val="00050806"/>
    <w:rsid w:val="000508F9"/>
    <w:rsid w:val="00050A22"/>
    <w:rsid w:val="00050C31"/>
    <w:rsid w:val="00050D36"/>
    <w:rsid w:val="00050D7B"/>
    <w:rsid w:val="00050E27"/>
    <w:rsid w:val="00050F5E"/>
    <w:rsid w:val="00051163"/>
    <w:rsid w:val="0005144F"/>
    <w:rsid w:val="0005145A"/>
    <w:rsid w:val="0005165E"/>
    <w:rsid w:val="00051747"/>
    <w:rsid w:val="000517A0"/>
    <w:rsid w:val="00051856"/>
    <w:rsid w:val="00051996"/>
    <w:rsid w:val="00051A18"/>
    <w:rsid w:val="00051A63"/>
    <w:rsid w:val="00051AA7"/>
    <w:rsid w:val="00051AF1"/>
    <w:rsid w:val="00051B87"/>
    <w:rsid w:val="00051C06"/>
    <w:rsid w:val="00051C9C"/>
    <w:rsid w:val="00051D42"/>
    <w:rsid w:val="00052113"/>
    <w:rsid w:val="000521D7"/>
    <w:rsid w:val="000522F5"/>
    <w:rsid w:val="0005251A"/>
    <w:rsid w:val="00052695"/>
    <w:rsid w:val="0005286E"/>
    <w:rsid w:val="000529D3"/>
    <w:rsid w:val="00052A51"/>
    <w:rsid w:val="00052CFB"/>
    <w:rsid w:val="00052DE0"/>
    <w:rsid w:val="00052F73"/>
    <w:rsid w:val="00053074"/>
    <w:rsid w:val="0005319C"/>
    <w:rsid w:val="000532BD"/>
    <w:rsid w:val="00053474"/>
    <w:rsid w:val="000534B9"/>
    <w:rsid w:val="000537E8"/>
    <w:rsid w:val="00053813"/>
    <w:rsid w:val="000538A1"/>
    <w:rsid w:val="00053977"/>
    <w:rsid w:val="00053C88"/>
    <w:rsid w:val="00053CEE"/>
    <w:rsid w:val="00053EEA"/>
    <w:rsid w:val="00053F7F"/>
    <w:rsid w:val="00054326"/>
    <w:rsid w:val="0005447D"/>
    <w:rsid w:val="000544EE"/>
    <w:rsid w:val="00054539"/>
    <w:rsid w:val="000545BF"/>
    <w:rsid w:val="000547BD"/>
    <w:rsid w:val="000547CB"/>
    <w:rsid w:val="0005493F"/>
    <w:rsid w:val="00054981"/>
    <w:rsid w:val="00054BBF"/>
    <w:rsid w:val="00054D44"/>
    <w:rsid w:val="00054F74"/>
    <w:rsid w:val="00054FC3"/>
    <w:rsid w:val="0005506C"/>
    <w:rsid w:val="000550B9"/>
    <w:rsid w:val="00055182"/>
    <w:rsid w:val="00055375"/>
    <w:rsid w:val="000553FB"/>
    <w:rsid w:val="00055401"/>
    <w:rsid w:val="00055692"/>
    <w:rsid w:val="00055785"/>
    <w:rsid w:val="000558A5"/>
    <w:rsid w:val="00055A0C"/>
    <w:rsid w:val="00055A3C"/>
    <w:rsid w:val="00055EE9"/>
    <w:rsid w:val="00055FC0"/>
    <w:rsid w:val="00056107"/>
    <w:rsid w:val="00056128"/>
    <w:rsid w:val="0005616E"/>
    <w:rsid w:val="00056319"/>
    <w:rsid w:val="000563B0"/>
    <w:rsid w:val="000564D0"/>
    <w:rsid w:val="000564E7"/>
    <w:rsid w:val="00056598"/>
    <w:rsid w:val="00056745"/>
    <w:rsid w:val="00056770"/>
    <w:rsid w:val="0005694B"/>
    <w:rsid w:val="00056A92"/>
    <w:rsid w:val="00056BED"/>
    <w:rsid w:val="00056C56"/>
    <w:rsid w:val="00057127"/>
    <w:rsid w:val="00057265"/>
    <w:rsid w:val="00057386"/>
    <w:rsid w:val="0005738C"/>
    <w:rsid w:val="00057426"/>
    <w:rsid w:val="00057494"/>
    <w:rsid w:val="00057544"/>
    <w:rsid w:val="00057546"/>
    <w:rsid w:val="00057557"/>
    <w:rsid w:val="000575E6"/>
    <w:rsid w:val="000576D1"/>
    <w:rsid w:val="00057709"/>
    <w:rsid w:val="0005784B"/>
    <w:rsid w:val="000579B2"/>
    <w:rsid w:val="00057AB0"/>
    <w:rsid w:val="00057AD8"/>
    <w:rsid w:val="00057BA7"/>
    <w:rsid w:val="00057CF9"/>
    <w:rsid w:val="00057DE4"/>
    <w:rsid w:val="00057EB2"/>
    <w:rsid w:val="00057EEF"/>
    <w:rsid w:val="00060035"/>
    <w:rsid w:val="0006004B"/>
    <w:rsid w:val="0006049D"/>
    <w:rsid w:val="000606C1"/>
    <w:rsid w:val="0006072C"/>
    <w:rsid w:val="00060744"/>
    <w:rsid w:val="000609B0"/>
    <w:rsid w:val="00060A6A"/>
    <w:rsid w:val="00060B14"/>
    <w:rsid w:val="00060CB0"/>
    <w:rsid w:val="00060CBC"/>
    <w:rsid w:val="00060D3D"/>
    <w:rsid w:val="00060DB5"/>
    <w:rsid w:val="000610BE"/>
    <w:rsid w:val="00061197"/>
    <w:rsid w:val="000611E9"/>
    <w:rsid w:val="00061272"/>
    <w:rsid w:val="000613ED"/>
    <w:rsid w:val="00061458"/>
    <w:rsid w:val="000614AE"/>
    <w:rsid w:val="000615C3"/>
    <w:rsid w:val="000615C7"/>
    <w:rsid w:val="0006163C"/>
    <w:rsid w:val="000616C4"/>
    <w:rsid w:val="000619A6"/>
    <w:rsid w:val="000619B9"/>
    <w:rsid w:val="000619CB"/>
    <w:rsid w:val="000619D3"/>
    <w:rsid w:val="00061BCE"/>
    <w:rsid w:val="00061D63"/>
    <w:rsid w:val="00061E95"/>
    <w:rsid w:val="00061EF5"/>
    <w:rsid w:val="000620F0"/>
    <w:rsid w:val="0006224E"/>
    <w:rsid w:val="00062286"/>
    <w:rsid w:val="00062387"/>
    <w:rsid w:val="000626AE"/>
    <w:rsid w:val="00062709"/>
    <w:rsid w:val="0006289F"/>
    <w:rsid w:val="000628AB"/>
    <w:rsid w:val="00062A8D"/>
    <w:rsid w:val="00062B63"/>
    <w:rsid w:val="00062BF8"/>
    <w:rsid w:val="00062CC5"/>
    <w:rsid w:val="00062CD3"/>
    <w:rsid w:val="00062ECD"/>
    <w:rsid w:val="00062FB9"/>
    <w:rsid w:val="0006334A"/>
    <w:rsid w:val="0006357C"/>
    <w:rsid w:val="0006366D"/>
    <w:rsid w:val="000637D8"/>
    <w:rsid w:val="0006386E"/>
    <w:rsid w:val="0006398F"/>
    <w:rsid w:val="000639C6"/>
    <w:rsid w:val="000639E2"/>
    <w:rsid w:val="00063A08"/>
    <w:rsid w:val="00063E3F"/>
    <w:rsid w:val="00063EDC"/>
    <w:rsid w:val="00063F61"/>
    <w:rsid w:val="00063F64"/>
    <w:rsid w:val="00064006"/>
    <w:rsid w:val="000640BE"/>
    <w:rsid w:val="000640CE"/>
    <w:rsid w:val="000640F0"/>
    <w:rsid w:val="00064179"/>
    <w:rsid w:val="00064276"/>
    <w:rsid w:val="0006434D"/>
    <w:rsid w:val="000643A1"/>
    <w:rsid w:val="00064558"/>
    <w:rsid w:val="000645F8"/>
    <w:rsid w:val="00064628"/>
    <w:rsid w:val="00064650"/>
    <w:rsid w:val="00064679"/>
    <w:rsid w:val="00064778"/>
    <w:rsid w:val="000647AE"/>
    <w:rsid w:val="00064834"/>
    <w:rsid w:val="0006493F"/>
    <w:rsid w:val="00064A13"/>
    <w:rsid w:val="00064AF4"/>
    <w:rsid w:val="00064DB1"/>
    <w:rsid w:val="00064E46"/>
    <w:rsid w:val="00064F8B"/>
    <w:rsid w:val="0006509C"/>
    <w:rsid w:val="0006532B"/>
    <w:rsid w:val="000653A1"/>
    <w:rsid w:val="0006547B"/>
    <w:rsid w:val="00065607"/>
    <w:rsid w:val="000657EA"/>
    <w:rsid w:val="0006587A"/>
    <w:rsid w:val="0006594A"/>
    <w:rsid w:val="00065998"/>
    <w:rsid w:val="00065A66"/>
    <w:rsid w:val="00065B9A"/>
    <w:rsid w:val="00065BA3"/>
    <w:rsid w:val="00065BF4"/>
    <w:rsid w:val="00065C9B"/>
    <w:rsid w:val="00065D3B"/>
    <w:rsid w:val="00065D9A"/>
    <w:rsid w:val="00065FCF"/>
    <w:rsid w:val="00066018"/>
    <w:rsid w:val="0006602F"/>
    <w:rsid w:val="00066188"/>
    <w:rsid w:val="00066503"/>
    <w:rsid w:val="000665CF"/>
    <w:rsid w:val="00066698"/>
    <w:rsid w:val="000667E9"/>
    <w:rsid w:val="000668B7"/>
    <w:rsid w:val="00066A7E"/>
    <w:rsid w:val="00066BDE"/>
    <w:rsid w:val="00066C61"/>
    <w:rsid w:val="00066D08"/>
    <w:rsid w:val="00066DAD"/>
    <w:rsid w:val="00066E71"/>
    <w:rsid w:val="00066F4B"/>
    <w:rsid w:val="00067128"/>
    <w:rsid w:val="00067404"/>
    <w:rsid w:val="00067518"/>
    <w:rsid w:val="000675B4"/>
    <w:rsid w:val="000675CD"/>
    <w:rsid w:val="000677DB"/>
    <w:rsid w:val="00067832"/>
    <w:rsid w:val="00067872"/>
    <w:rsid w:val="000678AC"/>
    <w:rsid w:val="00067A9A"/>
    <w:rsid w:val="00067AA0"/>
    <w:rsid w:val="00067EF4"/>
    <w:rsid w:val="00067F04"/>
    <w:rsid w:val="0007009C"/>
    <w:rsid w:val="000700AC"/>
    <w:rsid w:val="0007010D"/>
    <w:rsid w:val="00070364"/>
    <w:rsid w:val="000703B2"/>
    <w:rsid w:val="00070471"/>
    <w:rsid w:val="000705C1"/>
    <w:rsid w:val="0007062C"/>
    <w:rsid w:val="000706B0"/>
    <w:rsid w:val="00070700"/>
    <w:rsid w:val="00070840"/>
    <w:rsid w:val="000708DE"/>
    <w:rsid w:val="00070A60"/>
    <w:rsid w:val="00070B15"/>
    <w:rsid w:val="00070CE9"/>
    <w:rsid w:val="00070D8A"/>
    <w:rsid w:val="00070FBF"/>
    <w:rsid w:val="00070FD4"/>
    <w:rsid w:val="000711EE"/>
    <w:rsid w:val="0007127E"/>
    <w:rsid w:val="000714DC"/>
    <w:rsid w:val="00071667"/>
    <w:rsid w:val="000717A2"/>
    <w:rsid w:val="0007180E"/>
    <w:rsid w:val="00071AE4"/>
    <w:rsid w:val="00071C4B"/>
    <w:rsid w:val="00071CB5"/>
    <w:rsid w:val="00071CCB"/>
    <w:rsid w:val="00071D03"/>
    <w:rsid w:val="00071D92"/>
    <w:rsid w:val="00071E68"/>
    <w:rsid w:val="00071F1D"/>
    <w:rsid w:val="00071F23"/>
    <w:rsid w:val="00072159"/>
    <w:rsid w:val="0007224E"/>
    <w:rsid w:val="00072299"/>
    <w:rsid w:val="0007232B"/>
    <w:rsid w:val="0007247B"/>
    <w:rsid w:val="000724D9"/>
    <w:rsid w:val="00072514"/>
    <w:rsid w:val="0007257D"/>
    <w:rsid w:val="000726C6"/>
    <w:rsid w:val="000727A7"/>
    <w:rsid w:val="000727B3"/>
    <w:rsid w:val="00072A2D"/>
    <w:rsid w:val="00072B98"/>
    <w:rsid w:val="00072C8C"/>
    <w:rsid w:val="00072F71"/>
    <w:rsid w:val="0007331A"/>
    <w:rsid w:val="000733CF"/>
    <w:rsid w:val="0007353C"/>
    <w:rsid w:val="000735A2"/>
    <w:rsid w:val="00073642"/>
    <w:rsid w:val="00073719"/>
    <w:rsid w:val="00073795"/>
    <w:rsid w:val="000737BE"/>
    <w:rsid w:val="000737C0"/>
    <w:rsid w:val="000737D3"/>
    <w:rsid w:val="000738C8"/>
    <w:rsid w:val="00073ABF"/>
    <w:rsid w:val="00073B7F"/>
    <w:rsid w:val="00073D69"/>
    <w:rsid w:val="00073DC6"/>
    <w:rsid w:val="00073EC0"/>
    <w:rsid w:val="00073FF1"/>
    <w:rsid w:val="000743F2"/>
    <w:rsid w:val="00074499"/>
    <w:rsid w:val="00074647"/>
    <w:rsid w:val="00074838"/>
    <w:rsid w:val="000748A4"/>
    <w:rsid w:val="00074960"/>
    <w:rsid w:val="00074978"/>
    <w:rsid w:val="00074B30"/>
    <w:rsid w:val="00074BF6"/>
    <w:rsid w:val="00074C23"/>
    <w:rsid w:val="00074D0A"/>
    <w:rsid w:val="00074E02"/>
    <w:rsid w:val="00074E3D"/>
    <w:rsid w:val="00074E71"/>
    <w:rsid w:val="00075073"/>
    <w:rsid w:val="000750A5"/>
    <w:rsid w:val="000750BF"/>
    <w:rsid w:val="0007517E"/>
    <w:rsid w:val="000751EA"/>
    <w:rsid w:val="000751EB"/>
    <w:rsid w:val="0007528A"/>
    <w:rsid w:val="00075454"/>
    <w:rsid w:val="000754FD"/>
    <w:rsid w:val="00075804"/>
    <w:rsid w:val="00075947"/>
    <w:rsid w:val="000759F3"/>
    <w:rsid w:val="00075ABE"/>
    <w:rsid w:val="00075BCD"/>
    <w:rsid w:val="00075CF4"/>
    <w:rsid w:val="00075F15"/>
    <w:rsid w:val="00075FCF"/>
    <w:rsid w:val="00075FE1"/>
    <w:rsid w:val="00076161"/>
    <w:rsid w:val="000761F2"/>
    <w:rsid w:val="000763C1"/>
    <w:rsid w:val="00076667"/>
    <w:rsid w:val="00076833"/>
    <w:rsid w:val="00076D80"/>
    <w:rsid w:val="00076E78"/>
    <w:rsid w:val="00077040"/>
    <w:rsid w:val="000771AE"/>
    <w:rsid w:val="000771B9"/>
    <w:rsid w:val="000771CC"/>
    <w:rsid w:val="000773F5"/>
    <w:rsid w:val="000773FC"/>
    <w:rsid w:val="0007746B"/>
    <w:rsid w:val="00077473"/>
    <w:rsid w:val="00077481"/>
    <w:rsid w:val="000774AE"/>
    <w:rsid w:val="00077540"/>
    <w:rsid w:val="000776F9"/>
    <w:rsid w:val="000778D9"/>
    <w:rsid w:val="00077A0C"/>
    <w:rsid w:val="00077AD3"/>
    <w:rsid w:val="00077B69"/>
    <w:rsid w:val="00077EA5"/>
    <w:rsid w:val="00077EC5"/>
    <w:rsid w:val="00077EE0"/>
    <w:rsid w:val="00080175"/>
    <w:rsid w:val="000802F9"/>
    <w:rsid w:val="000803A6"/>
    <w:rsid w:val="0008044A"/>
    <w:rsid w:val="000805DF"/>
    <w:rsid w:val="0008073D"/>
    <w:rsid w:val="00080750"/>
    <w:rsid w:val="00080995"/>
    <w:rsid w:val="000809A9"/>
    <w:rsid w:val="00080C18"/>
    <w:rsid w:val="00080E17"/>
    <w:rsid w:val="000811BE"/>
    <w:rsid w:val="000813F8"/>
    <w:rsid w:val="0008145A"/>
    <w:rsid w:val="0008149D"/>
    <w:rsid w:val="00081516"/>
    <w:rsid w:val="00081567"/>
    <w:rsid w:val="00081569"/>
    <w:rsid w:val="0008162D"/>
    <w:rsid w:val="00081696"/>
    <w:rsid w:val="00081732"/>
    <w:rsid w:val="000818E4"/>
    <w:rsid w:val="000819F3"/>
    <w:rsid w:val="00081A00"/>
    <w:rsid w:val="00081CFD"/>
    <w:rsid w:val="00081E52"/>
    <w:rsid w:val="00081FFC"/>
    <w:rsid w:val="0008214A"/>
    <w:rsid w:val="0008218A"/>
    <w:rsid w:val="000821F1"/>
    <w:rsid w:val="00082263"/>
    <w:rsid w:val="000823C4"/>
    <w:rsid w:val="0008241C"/>
    <w:rsid w:val="00082429"/>
    <w:rsid w:val="0008267A"/>
    <w:rsid w:val="00082799"/>
    <w:rsid w:val="00082C64"/>
    <w:rsid w:val="00082DB5"/>
    <w:rsid w:val="00082DFF"/>
    <w:rsid w:val="00082FEC"/>
    <w:rsid w:val="00083130"/>
    <w:rsid w:val="000831C8"/>
    <w:rsid w:val="00083527"/>
    <w:rsid w:val="0008364D"/>
    <w:rsid w:val="000836FA"/>
    <w:rsid w:val="000836FE"/>
    <w:rsid w:val="00083754"/>
    <w:rsid w:val="00083837"/>
    <w:rsid w:val="000838AD"/>
    <w:rsid w:val="000838D5"/>
    <w:rsid w:val="00083950"/>
    <w:rsid w:val="000839A5"/>
    <w:rsid w:val="000839BA"/>
    <w:rsid w:val="000839EE"/>
    <w:rsid w:val="00083A6D"/>
    <w:rsid w:val="00083AD4"/>
    <w:rsid w:val="00083B91"/>
    <w:rsid w:val="00083C16"/>
    <w:rsid w:val="00083C84"/>
    <w:rsid w:val="00083DC3"/>
    <w:rsid w:val="00083DCD"/>
    <w:rsid w:val="00083E94"/>
    <w:rsid w:val="00083F5E"/>
    <w:rsid w:val="00083F65"/>
    <w:rsid w:val="000842B3"/>
    <w:rsid w:val="0008436D"/>
    <w:rsid w:val="0008439C"/>
    <w:rsid w:val="000844EB"/>
    <w:rsid w:val="00084506"/>
    <w:rsid w:val="0008489A"/>
    <w:rsid w:val="000848EB"/>
    <w:rsid w:val="00084998"/>
    <w:rsid w:val="000849BC"/>
    <w:rsid w:val="00084B3D"/>
    <w:rsid w:val="00084D2A"/>
    <w:rsid w:val="00084D83"/>
    <w:rsid w:val="00084DCD"/>
    <w:rsid w:val="00084EE6"/>
    <w:rsid w:val="00084FDB"/>
    <w:rsid w:val="0008505C"/>
    <w:rsid w:val="0008527E"/>
    <w:rsid w:val="0008545C"/>
    <w:rsid w:val="00085534"/>
    <w:rsid w:val="00085607"/>
    <w:rsid w:val="00085619"/>
    <w:rsid w:val="00085656"/>
    <w:rsid w:val="000856B0"/>
    <w:rsid w:val="00085792"/>
    <w:rsid w:val="00085BD0"/>
    <w:rsid w:val="00085C25"/>
    <w:rsid w:val="00085C46"/>
    <w:rsid w:val="00085CE5"/>
    <w:rsid w:val="00085D66"/>
    <w:rsid w:val="00085E2B"/>
    <w:rsid w:val="00086045"/>
    <w:rsid w:val="00086158"/>
    <w:rsid w:val="00086286"/>
    <w:rsid w:val="000864C5"/>
    <w:rsid w:val="00086579"/>
    <w:rsid w:val="00086601"/>
    <w:rsid w:val="00086662"/>
    <w:rsid w:val="00086701"/>
    <w:rsid w:val="0008674F"/>
    <w:rsid w:val="0008686A"/>
    <w:rsid w:val="00086874"/>
    <w:rsid w:val="00086BA7"/>
    <w:rsid w:val="00086BDA"/>
    <w:rsid w:val="00086EC1"/>
    <w:rsid w:val="00087166"/>
    <w:rsid w:val="00087175"/>
    <w:rsid w:val="000871D4"/>
    <w:rsid w:val="000872CF"/>
    <w:rsid w:val="000874AC"/>
    <w:rsid w:val="0008762A"/>
    <w:rsid w:val="00087931"/>
    <w:rsid w:val="000879A6"/>
    <w:rsid w:val="000879FD"/>
    <w:rsid w:val="00087A5F"/>
    <w:rsid w:val="00087AF5"/>
    <w:rsid w:val="00087CB9"/>
    <w:rsid w:val="00087D20"/>
    <w:rsid w:val="00087D35"/>
    <w:rsid w:val="00087D95"/>
    <w:rsid w:val="00090176"/>
    <w:rsid w:val="00090495"/>
    <w:rsid w:val="0009060C"/>
    <w:rsid w:val="0009064F"/>
    <w:rsid w:val="0009075B"/>
    <w:rsid w:val="00090811"/>
    <w:rsid w:val="00090843"/>
    <w:rsid w:val="0009098B"/>
    <w:rsid w:val="00090A7E"/>
    <w:rsid w:val="00090A85"/>
    <w:rsid w:val="00090ADF"/>
    <w:rsid w:val="00090C62"/>
    <w:rsid w:val="00090CBE"/>
    <w:rsid w:val="00090D92"/>
    <w:rsid w:val="000910D1"/>
    <w:rsid w:val="000912C4"/>
    <w:rsid w:val="000912D4"/>
    <w:rsid w:val="0009131B"/>
    <w:rsid w:val="0009133A"/>
    <w:rsid w:val="00091567"/>
    <w:rsid w:val="00091611"/>
    <w:rsid w:val="000916FB"/>
    <w:rsid w:val="0009173C"/>
    <w:rsid w:val="00091796"/>
    <w:rsid w:val="00091934"/>
    <w:rsid w:val="00091A8B"/>
    <w:rsid w:val="00091B70"/>
    <w:rsid w:val="00091BA2"/>
    <w:rsid w:val="00091CB0"/>
    <w:rsid w:val="00091CF4"/>
    <w:rsid w:val="00091D8F"/>
    <w:rsid w:val="00092077"/>
    <w:rsid w:val="00092139"/>
    <w:rsid w:val="00092566"/>
    <w:rsid w:val="00092585"/>
    <w:rsid w:val="0009288B"/>
    <w:rsid w:val="000929AE"/>
    <w:rsid w:val="00092A07"/>
    <w:rsid w:val="00092C34"/>
    <w:rsid w:val="00092C4F"/>
    <w:rsid w:val="00092C68"/>
    <w:rsid w:val="00092DF2"/>
    <w:rsid w:val="00092DFD"/>
    <w:rsid w:val="000930B5"/>
    <w:rsid w:val="000935B3"/>
    <w:rsid w:val="000935F3"/>
    <w:rsid w:val="000936E7"/>
    <w:rsid w:val="00093999"/>
    <w:rsid w:val="000939EE"/>
    <w:rsid w:val="00093B09"/>
    <w:rsid w:val="00093B5C"/>
    <w:rsid w:val="00093C42"/>
    <w:rsid w:val="00094081"/>
    <w:rsid w:val="000940BC"/>
    <w:rsid w:val="00094141"/>
    <w:rsid w:val="000941D3"/>
    <w:rsid w:val="000941EF"/>
    <w:rsid w:val="000942F1"/>
    <w:rsid w:val="00094344"/>
    <w:rsid w:val="00094457"/>
    <w:rsid w:val="000944E9"/>
    <w:rsid w:val="00094791"/>
    <w:rsid w:val="000948CF"/>
    <w:rsid w:val="000948EE"/>
    <w:rsid w:val="000949A1"/>
    <w:rsid w:val="000949C2"/>
    <w:rsid w:val="00094ADF"/>
    <w:rsid w:val="00094C3A"/>
    <w:rsid w:val="00094E91"/>
    <w:rsid w:val="00094F50"/>
    <w:rsid w:val="0009500E"/>
    <w:rsid w:val="00095317"/>
    <w:rsid w:val="000953A9"/>
    <w:rsid w:val="000953C6"/>
    <w:rsid w:val="000953D3"/>
    <w:rsid w:val="000953F4"/>
    <w:rsid w:val="00095757"/>
    <w:rsid w:val="000957CF"/>
    <w:rsid w:val="000957D7"/>
    <w:rsid w:val="00095899"/>
    <w:rsid w:val="000958CD"/>
    <w:rsid w:val="0009590C"/>
    <w:rsid w:val="000959E7"/>
    <w:rsid w:val="00095D47"/>
    <w:rsid w:val="00095E53"/>
    <w:rsid w:val="00095E7D"/>
    <w:rsid w:val="00095EBC"/>
    <w:rsid w:val="00095FAF"/>
    <w:rsid w:val="000960CD"/>
    <w:rsid w:val="00096113"/>
    <w:rsid w:val="00096140"/>
    <w:rsid w:val="0009622B"/>
    <w:rsid w:val="000963D7"/>
    <w:rsid w:val="00096450"/>
    <w:rsid w:val="0009645C"/>
    <w:rsid w:val="000964DE"/>
    <w:rsid w:val="00096664"/>
    <w:rsid w:val="000966CA"/>
    <w:rsid w:val="00096903"/>
    <w:rsid w:val="00096922"/>
    <w:rsid w:val="00096953"/>
    <w:rsid w:val="000969D9"/>
    <w:rsid w:val="00096AC6"/>
    <w:rsid w:val="00096DA8"/>
    <w:rsid w:val="00096E5E"/>
    <w:rsid w:val="00097137"/>
    <w:rsid w:val="00097173"/>
    <w:rsid w:val="00097186"/>
    <w:rsid w:val="00097278"/>
    <w:rsid w:val="000972AB"/>
    <w:rsid w:val="000973EA"/>
    <w:rsid w:val="00097405"/>
    <w:rsid w:val="0009773E"/>
    <w:rsid w:val="00097916"/>
    <w:rsid w:val="00097B40"/>
    <w:rsid w:val="00097C72"/>
    <w:rsid w:val="00097CD8"/>
    <w:rsid w:val="00097D0E"/>
    <w:rsid w:val="00097E20"/>
    <w:rsid w:val="00097EBD"/>
    <w:rsid w:val="000A026B"/>
    <w:rsid w:val="000A0425"/>
    <w:rsid w:val="000A04BA"/>
    <w:rsid w:val="000A059B"/>
    <w:rsid w:val="000A065C"/>
    <w:rsid w:val="000A0B38"/>
    <w:rsid w:val="000A0CCB"/>
    <w:rsid w:val="000A1112"/>
    <w:rsid w:val="000A122E"/>
    <w:rsid w:val="000A1262"/>
    <w:rsid w:val="000A129D"/>
    <w:rsid w:val="000A1611"/>
    <w:rsid w:val="000A16A3"/>
    <w:rsid w:val="000A17DA"/>
    <w:rsid w:val="000A17EA"/>
    <w:rsid w:val="000A18C1"/>
    <w:rsid w:val="000A1954"/>
    <w:rsid w:val="000A196F"/>
    <w:rsid w:val="000A1AA2"/>
    <w:rsid w:val="000A1B4E"/>
    <w:rsid w:val="000A1B5F"/>
    <w:rsid w:val="000A1C01"/>
    <w:rsid w:val="000A1C7A"/>
    <w:rsid w:val="000A1D56"/>
    <w:rsid w:val="000A1E1A"/>
    <w:rsid w:val="000A1F95"/>
    <w:rsid w:val="000A2116"/>
    <w:rsid w:val="000A22F3"/>
    <w:rsid w:val="000A2345"/>
    <w:rsid w:val="000A2394"/>
    <w:rsid w:val="000A242F"/>
    <w:rsid w:val="000A244E"/>
    <w:rsid w:val="000A26B7"/>
    <w:rsid w:val="000A2765"/>
    <w:rsid w:val="000A276C"/>
    <w:rsid w:val="000A27DF"/>
    <w:rsid w:val="000A2917"/>
    <w:rsid w:val="000A2933"/>
    <w:rsid w:val="000A2A40"/>
    <w:rsid w:val="000A2B2A"/>
    <w:rsid w:val="000A2E8F"/>
    <w:rsid w:val="000A2EB2"/>
    <w:rsid w:val="000A2F06"/>
    <w:rsid w:val="000A2FDA"/>
    <w:rsid w:val="000A31C1"/>
    <w:rsid w:val="000A32C5"/>
    <w:rsid w:val="000A32FA"/>
    <w:rsid w:val="000A33CE"/>
    <w:rsid w:val="000A3411"/>
    <w:rsid w:val="000A34CA"/>
    <w:rsid w:val="000A3587"/>
    <w:rsid w:val="000A362D"/>
    <w:rsid w:val="000A36CF"/>
    <w:rsid w:val="000A3924"/>
    <w:rsid w:val="000A3A42"/>
    <w:rsid w:val="000A3AE6"/>
    <w:rsid w:val="000A3C32"/>
    <w:rsid w:val="000A3CB8"/>
    <w:rsid w:val="000A3F1C"/>
    <w:rsid w:val="000A426F"/>
    <w:rsid w:val="000A4559"/>
    <w:rsid w:val="000A45FD"/>
    <w:rsid w:val="000A4712"/>
    <w:rsid w:val="000A4717"/>
    <w:rsid w:val="000A477B"/>
    <w:rsid w:val="000A47A7"/>
    <w:rsid w:val="000A4C33"/>
    <w:rsid w:val="000A4D01"/>
    <w:rsid w:val="000A4E28"/>
    <w:rsid w:val="000A4FD8"/>
    <w:rsid w:val="000A5195"/>
    <w:rsid w:val="000A52AE"/>
    <w:rsid w:val="000A53C0"/>
    <w:rsid w:val="000A558D"/>
    <w:rsid w:val="000A5611"/>
    <w:rsid w:val="000A563C"/>
    <w:rsid w:val="000A5671"/>
    <w:rsid w:val="000A56D0"/>
    <w:rsid w:val="000A59C5"/>
    <w:rsid w:val="000A5AF3"/>
    <w:rsid w:val="000A5BD3"/>
    <w:rsid w:val="000A5C91"/>
    <w:rsid w:val="000A5DEA"/>
    <w:rsid w:val="000A5E68"/>
    <w:rsid w:val="000A5EBD"/>
    <w:rsid w:val="000A5ED6"/>
    <w:rsid w:val="000A60B0"/>
    <w:rsid w:val="000A6129"/>
    <w:rsid w:val="000A6284"/>
    <w:rsid w:val="000A6315"/>
    <w:rsid w:val="000A6369"/>
    <w:rsid w:val="000A63E1"/>
    <w:rsid w:val="000A646C"/>
    <w:rsid w:val="000A6669"/>
    <w:rsid w:val="000A668A"/>
    <w:rsid w:val="000A6802"/>
    <w:rsid w:val="000A6B0D"/>
    <w:rsid w:val="000A6C99"/>
    <w:rsid w:val="000A6E73"/>
    <w:rsid w:val="000A6EB0"/>
    <w:rsid w:val="000A6F64"/>
    <w:rsid w:val="000A6F99"/>
    <w:rsid w:val="000A7048"/>
    <w:rsid w:val="000A727A"/>
    <w:rsid w:val="000A73D6"/>
    <w:rsid w:val="000A73E3"/>
    <w:rsid w:val="000A7658"/>
    <w:rsid w:val="000A7714"/>
    <w:rsid w:val="000A78AF"/>
    <w:rsid w:val="000A7A91"/>
    <w:rsid w:val="000A7AE3"/>
    <w:rsid w:val="000A7C99"/>
    <w:rsid w:val="000A7F0F"/>
    <w:rsid w:val="000A7F4C"/>
    <w:rsid w:val="000B0053"/>
    <w:rsid w:val="000B02BC"/>
    <w:rsid w:val="000B043F"/>
    <w:rsid w:val="000B0498"/>
    <w:rsid w:val="000B095C"/>
    <w:rsid w:val="000B0A93"/>
    <w:rsid w:val="000B0B0B"/>
    <w:rsid w:val="000B0EA2"/>
    <w:rsid w:val="000B0F36"/>
    <w:rsid w:val="000B1548"/>
    <w:rsid w:val="000B17E8"/>
    <w:rsid w:val="000B184A"/>
    <w:rsid w:val="000B18B0"/>
    <w:rsid w:val="000B1942"/>
    <w:rsid w:val="000B1A0E"/>
    <w:rsid w:val="000B1A76"/>
    <w:rsid w:val="000B1B47"/>
    <w:rsid w:val="000B1BED"/>
    <w:rsid w:val="000B1CA0"/>
    <w:rsid w:val="000B1F5F"/>
    <w:rsid w:val="000B21B1"/>
    <w:rsid w:val="000B2240"/>
    <w:rsid w:val="000B22C0"/>
    <w:rsid w:val="000B232A"/>
    <w:rsid w:val="000B2391"/>
    <w:rsid w:val="000B2477"/>
    <w:rsid w:val="000B25F9"/>
    <w:rsid w:val="000B2600"/>
    <w:rsid w:val="000B2665"/>
    <w:rsid w:val="000B26F2"/>
    <w:rsid w:val="000B2880"/>
    <w:rsid w:val="000B2A49"/>
    <w:rsid w:val="000B2B63"/>
    <w:rsid w:val="000B2D6E"/>
    <w:rsid w:val="000B2EAB"/>
    <w:rsid w:val="000B2FBB"/>
    <w:rsid w:val="000B3210"/>
    <w:rsid w:val="000B3368"/>
    <w:rsid w:val="000B336D"/>
    <w:rsid w:val="000B36F9"/>
    <w:rsid w:val="000B3CA3"/>
    <w:rsid w:val="000B401A"/>
    <w:rsid w:val="000B4074"/>
    <w:rsid w:val="000B4220"/>
    <w:rsid w:val="000B43E7"/>
    <w:rsid w:val="000B447B"/>
    <w:rsid w:val="000B44D4"/>
    <w:rsid w:val="000B458B"/>
    <w:rsid w:val="000B4732"/>
    <w:rsid w:val="000B481D"/>
    <w:rsid w:val="000B48CD"/>
    <w:rsid w:val="000B49EE"/>
    <w:rsid w:val="000B4A11"/>
    <w:rsid w:val="000B4B2E"/>
    <w:rsid w:val="000B4BCD"/>
    <w:rsid w:val="000B4C21"/>
    <w:rsid w:val="000B4CED"/>
    <w:rsid w:val="000B4D16"/>
    <w:rsid w:val="000B4E70"/>
    <w:rsid w:val="000B4F36"/>
    <w:rsid w:val="000B4FD3"/>
    <w:rsid w:val="000B5022"/>
    <w:rsid w:val="000B53CD"/>
    <w:rsid w:val="000B53FF"/>
    <w:rsid w:val="000B54CC"/>
    <w:rsid w:val="000B564C"/>
    <w:rsid w:val="000B56D6"/>
    <w:rsid w:val="000B57C4"/>
    <w:rsid w:val="000B57F5"/>
    <w:rsid w:val="000B5A3D"/>
    <w:rsid w:val="000B5AFF"/>
    <w:rsid w:val="000B5B1B"/>
    <w:rsid w:val="000B5EA9"/>
    <w:rsid w:val="000B5EE9"/>
    <w:rsid w:val="000B61A8"/>
    <w:rsid w:val="000B6296"/>
    <w:rsid w:val="000B6423"/>
    <w:rsid w:val="000B66DC"/>
    <w:rsid w:val="000B6786"/>
    <w:rsid w:val="000B68B1"/>
    <w:rsid w:val="000B68D1"/>
    <w:rsid w:val="000B69A9"/>
    <w:rsid w:val="000B6A8D"/>
    <w:rsid w:val="000B6B2D"/>
    <w:rsid w:val="000B6D1F"/>
    <w:rsid w:val="000B6F53"/>
    <w:rsid w:val="000B7011"/>
    <w:rsid w:val="000B70C1"/>
    <w:rsid w:val="000B70E9"/>
    <w:rsid w:val="000B7294"/>
    <w:rsid w:val="000B72F3"/>
    <w:rsid w:val="000B74A9"/>
    <w:rsid w:val="000B74EC"/>
    <w:rsid w:val="000B759A"/>
    <w:rsid w:val="000B75B8"/>
    <w:rsid w:val="000B7684"/>
    <w:rsid w:val="000B77D6"/>
    <w:rsid w:val="000B7D63"/>
    <w:rsid w:val="000C02EE"/>
    <w:rsid w:val="000C02F1"/>
    <w:rsid w:val="000C03D1"/>
    <w:rsid w:val="000C056F"/>
    <w:rsid w:val="000C062F"/>
    <w:rsid w:val="000C0690"/>
    <w:rsid w:val="000C07B4"/>
    <w:rsid w:val="000C08EA"/>
    <w:rsid w:val="000C0913"/>
    <w:rsid w:val="000C09E8"/>
    <w:rsid w:val="000C0AC7"/>
    <w:rsid w:val="000C0AF0"/>
    <w:rsid w:val="000C0E6A"/>
    <w:rsid w:val="000C0EAC"/>
    <w:rsid w:val="000C10C4"/>
    <w:rsid w:val="000C10FE"/>
    <w:rsid w:val="000C121F"/>
    <w:rsid w:val="000C1225"/>
    <w:rsid w:val="000C12CA"/>
    <w:rsid w:val="000C15EB"/>
    <w:rsid w:val="000C177F"/>
    <w:rsid w:val="000C17E7"/>
    <w:rsid w:val="000C1ADC"/>
    <w:rsid w:val="000C1B5E"/>
    <w:rsid w:val="000C1D0A"/>
    <w:rsid w:val="000C1D2D"/>
    <w:rsid w:val="000C1F83"/>
    <w:rsid w:val="000C1FD9"/>
    <w:rsid w:val="000C20A4"/>
    <w:rsid w:val="000C20E8"/>
    <w:rsid w:val="000C23AF"/>
    <w:rsid w:val="000C2460"/>
    <w:rsid w:val="000C246C"/>
    <w:rsid w:val="000C24B7"/>
    <w:rsid w:val="000C2773"/>
    <w:rsid w:val="000C2964"/>
    <w:rsid w:val="000C2F5B"/>
    <w:rsid w:val="000C3270"/>
    <w:rsid w:val="000C33DB"/>
    <w:rsid w:val="000C3482"/>
    <w:rsid w:val="000C34CD"/>
    <w:rsid w:val="000C3595"/>
    <w:rsid w:val="000C383E"/>
    <w:rsid w:val="000C3AE5"/>
    <w:rsid w:val="000C3CD5"/>
    <w:rsid w:val="000C3D13"/>
    <w:rsid w:val="000C3EA1"/>
    <w:rsid w:val="000C3EF0"/>
    <w:rsid w:val="000C3F6B"/>
    <w:rsid w:val="000C3F92"/>
    <w:rsid w:val="000C3F98"/>
    <w:rsid w:val="000C410B"/>
    <w:rsid w:val="000C4161"/>
    <w:rsid w:val="000C4568"/>
    <w:rsid w:val="000C4896"/>
    <w:rsid w:val="000C493F"/>
    <w:rsid w:val="000C49CD"/>
    <w:rsid w:val="000C4D6C"/>
    <w:rsid w:val="000C4E04"/>
    <w:rsid w:val="000C52D5"/>
    <w:rsid w:val="000C531D"/>
    <w:rsid w:val="000C5350"/>
    <w:rsid w:val="000C538A"/>
    <w:rsid w:val="000C53DF"/>
    <w:rsid w:val="000C54AF"/>
    <w:rsid w:val="000C5679"/>
    <w:rsid w:val="000C56B7"/>
    <w:rsid w:val="000C56BA"/>
    <w:rsid w:val="000C577E"/>
    <w:rsid w:val="000C5A40"/>
    <w:rsid w:val="000C5EAC"/>
    <w:rsid w:val="000C606D"/>
    <w:rsid w:val="000C617C"/>
    <w:rsid w:val="000C623D"/>
    <w:rsid w:val="000C6470"/>
    <w:rsid w:val="000C6733"/>
    <w:rsid w:val="000C698C"/>
    <w:rsid w:val="000C6A2C"/>
    <w:rsid w:val="000C6AFB"/>
    <w:rsid w:val="000C6AFC"/>
    <w:rsid w:val="000C6D83"/>
    <w:rsid w:val="000C6F2B"/>
    <w:rsid w:val="000C7046"/>
    <w:rsid w:val="000C713C"/>
    <w:rsid w:val="000C73C9"/>
    <w:rsid w:val="000C75E6"/>
    <w:rsid w:val="000C762A"/>
    <w:rsid w:val="000C77A0"/>
    <w:rsid w:val="000C7836"/>
    <w:rsid w:val="000C7852"/>
    <w:rsid w:val="000C78B8"/>
    <w:rsid w:val="000C78E6"/>
    <w:rsid w:val="000C79AA"/>
    <w:rsid w:val="000C7B59"/>
    <w:rsid w:val="000C7C17"/>
    <w:rsid w:val="000C7D0A"/>
    <w:rsid w:val="000C7D19"/>
    <w:rsid w:val="000C7D98"/>
    <w:rsid w:val="000D04BA"/>
    <w:rsid w:val="000D0970"/>
    <w:rsid w:val="000D0A64"/>
    <w:rsid w:val="000D0B52"/>
    <w:rsid w:val="000D0B6E"/>
    <w:rsid w:val="000D0C2E"/>
    <w:rsid w:val="000D0D1C"/>
    <w:rsid w:val="000D0D65"/>
    <w:rsid w:val="000D0ED3"/>
    <w:rsid w:val="000D0F94"/>
    <w:rsid w:val="000D0FE2"/>
    <w:rsid w:val="000D1098"/>
    <w:rsid w:val="000D11C2"/>
    <w:rsid w:val="000D1291"/>
    <w:rsid w:val="000D12E0"/>
    <w:rsid w:val="000D155C"/>
    <w:rsid w:val="000D1578"/>
    <w:rsid w:val="000D15AD"/>
    <w:rsid w:val="000D15CE"/>
    <w:rsid w:val="000D1748"/>
    <w:rsid w:val="000D17F3"/>
    <w:rsid w:val="000D1944"/>
    <w:rsid w:val="000D1989"/>
    <w:rsid w:val="000D19A5"/>
    <w:rsid w:val="000D1B2D"/>
    <w:rsid w:val="000D1C20"/>
    <w:rsid w:val="000D1DBE"/>
    <w:rsid w:val="000D1DD9"/>
    <w:rsid w:val="000D1F64"/>
    <w:rsid w:val="000D1F67"/>
    <w:rsid w:val="000D1FCA"/>
    <w:rsid w:val="000D2172"/>
    <w:rsid w:val="000D2184"/>
    <w:rsid w:val="000D21CA"/>
    <w:rsid w:val="000D251F"/>
    <w:rsid w:val="000D2599"/>
    <w:rsid w:val="000D26A3"/>
    <w:rsid w:val="000D273F"/>
    <w:rsid w:val="000D293C"/>
    <w:rsid w:val="000D293E"/>
    <w:rsid w:val="000D2A24"/>
    <w:rsid w:val="000D2B91"/>
    <w:rsid w:val="000D2BC1"/>
    <w:rsid w:val="000D2C4A"/>
    <w:rsid w:val="000D2C5C"/>
    <w:rsid w:val="000D2C73"/>
    <w:rsid w:val="000D2CC0"/>
    <w:rsid w:val="000D2E69"/>
    <w:rsid w:val="000D2F76"/>
    <w:rsid w:val="000D30FA"/>
    <w:rsid w:val="000D337B"/>
    <w:rsid w:val="000D34FF"/>
    <w:rsid w:val="000D3610"/>
    <w:rsid w:val="000D3678"/>
    <w:rsid w:val="000D3702"/>
    <w:rsid w:val="000D3735"/>
    <w:rsid w:val="000D385A"/>
    <w:rsid w:val="000D38C2"/>
    <w:rsid w:val="000D399C"/>
    <w:rsid w:val="000D3B71"/>
    <w:rsid w:val="000D3CA7"/>
    <w:rsid w:val="000D3D02"/>
    <w:rsid w:val="000D3F0D"/>
    <w:rsid w:val="000D3F45"/>
    <w:rsid w:val="000D3F82"/>
    <w:rsid w:val="000D3FEC"/>
    <w:rsid w:val="000D41D9"/>
    <w:rsid w:val="000D41F3"/>
    <w:rsid w:val="000D4504"/>
    <w:rsid w:val="000D47DA"/>
    <w:rsid w:val="000D4C87"/>
    <w:rsid w:val="000D4F10"/>
    <w:rsid w:val="000D52B9"/>
    <w:rsid w:val="000D562C"/>
    <w:rsid w:val="000D565E"/>
    <w:rsid w:val="000D5695"/>
    <w:rsid w:val="000D5714"/>
    <w:rsid w:val="000D5728"/>
    <w:rsid w:val="000D57C2"/>
    <w:rsid w:val="000D5870"/>
    <w:rsid w:val="000D59D9"/>
    <w:rsid w:val="000D5B16"/>
    <w:rsid w:val="000D5B8F"/>
    <w:rsid w:val="000D5CEF"/>
    <w:rsid w:val="000D5D25"/>
    <w:rsid w:val="000D5E60"/>
    <w:rsid w:val="000D5FD6"/>
    <w:rsid w:val="000D603E"/>
    <w:rsid w:val="000D61BD"/>
    <w:rsid w:val="000D6201"/>
    <w:rsid w:val="000D62DD"/>
    <w:rsid w:val="000D6391"/>
    <w:rsid w:val="000D647C"/>
    <w:rsid w:val="000D6488"/>
    <w:rsid w:val="000D659E"/>
    <w:rsid w:val="000D674C"/>
    <w:rsid w:val="000D6817"/>
    <w:rsid w:val="000D6CFA"/>
    <w:rsid w:val="000D6E97"/>
    <w:rsid w:val="000D6FE1"/>
    <w:rsid w:val="000D7088"/>
    <w:rsid w:val="000D724B"/>
    <w:rsid w:val="000D745F"/>
    <w:rsid w:val="000D7461"/>
    <w:rsid w:val="000D746D"/>
    <w:rsid w:val="000D747C"/>
    <w:rsid w:val="000D7585"/>
    <w:rsid w:val="000D770B"/>
    <w:rsid w:val="000D788E"/>
    <w:rsid w:val="000D7BC8"/>
    <w:rsid w:val="000D7D83"/>
    <w:rsid w:val="000D7EE4"/>
    <w:rsid w:val="000D7F15"/>
    <w:rsid w:val="000D7FFD"/>
    <w:rsid w:val="000DF3B2"/>
    <w:rsid w:val="000E0159"/>
    <w:rsid w:val="000E01C9"/>
    <w:rsid w:val="000E024F"/>
    <w:rsid w:val="000E02EA"/>
    <w:rsid w:val="000E02F4"/>
    <w:rsid w:val="000E046C"/>
    <w:rsid w:val="000E0486"/>
    <w:rsid w:val="000E070E"/>
    <w:rsid w:val="000E0830"/>
    <w:rsid w:val="000E0957"/>
    <w:rsid w:val="000E09B6"/>
    <w:rsid w:val="000E09DC"/>
    <w:rsid w:val="000E0CD9"/>
    <w:rsid w:val="000E0E24"/>
    <w:rsid w:val="000E0F40"/>
    <w:rsid w:val="000E0F6A"/>
    <w:rsid w:val="000E0FCF"/>
    <w:rsid w:val="000E11D2"/>
    <w:rsid w:val="000E12B0"/>
    <w:rsid w:val="000E137D"/>
    <w:rsid w:val="000E1535"/>
    <w:rsid w:val="000E173E"/>
    <w:rsid w:val="000E1752"/>
    <w:rsid w:val="000E1A20"/>
    <w:rsid w:val="000E1AB9"/>
    <w:rsid w:val="000E1AD6"/>
    <w:rsid w:val="000E1B6F"/>
    <w:rsid w:val="000E1BB1"/>
    <w:rsid w:val="000E1BC8"/>
    <w:rsid w:val="000E1CDE"/>
    <w:rsid w:val="000E1CF8"/>
    <w:rsid w:val="000E1CFC"/>
    <w:rsid w:val="000E1D28"/>
    <w:rsid w:val="000E1D32"/>
    <w:rsid w:val="000E1D86"/>
    <w:rsid w:val="000E1F17"/>
    <w:rsid w:val="000E1F19"/>
    <w:rsid w:val="000E20A4"/>
    <w:rsid w:val="000E24FB"/>
    <w:rsid w:val="000E2517"/>
    <w:rsid w:val="000E2617"/>
    <w:rsid w:val="000E26D8"/>
    <w:rsid w:val="000E2802"/>
    <w:rsid w:val="000E28C6"/>
    <w:rsid w:val="000E290B"/>
    <w:rsid w:val="000E2953"/>
    <w:rsid w:val="000E2B6B"/>
    <w:rsid w:val="000E2B94"/>
    <w:rsid w:val="000E2D68"/>
    <w:rsid w:val="000E3156"/>
    <w:rsid w:val="000E3193"/>
    <w:rsid w:val="000E3225"/>
    <w:rsid w:val="000E344D"/>
    <w:rsid w:val="000E346C"/>
    <w:rsid w:val="000E35B6"/>
    <w:rsid w:val="000E35FC"/>
    <w:rsid w:val="000E3611"/>
    <w:rsid w:val="000E3643"/>
    <w:rsid w:val="000E3729"/>
    <w:rsid w:val="000E3751"/>
    <w:rsid w:val="000E3906"/>
    <w:rsid w:val="000E3BB8"/>
    <w:rsid w:val="000E3C9C"/>
    <w:rsid w:val="000E3D9B"/>
    <w:rsid w:val="000E3DFD"/>
    <w:rsid w:val="000E3FCC"/>
    <w:rsid w:val="000E4044"/>
    <w:rsid w:val="000E405C"/>
    <w:rsid w:val="000E4222"/>
    <w:rsid w:val="000E4261"/>
    <w:rsid w:val="000E4420"/>
    <w:rsid w:val="000E4433"/>
    <w:rsid w:val="000E44C0"/>
    <w:rsid w:val="000E4645"/>
    <w:rsid w:val="000E4697"/>
    <w:rsid w:val="000E4749"/>
    <w:rsid w:val="000E4936"/>
    <w:rsid w:val="000E495B"/>
    <w:rsid w:val="000E496A"/>
    <w:rsid w:val="000E49AF"/>
    <w:rsid w:val="000E4B0C"/>
    <w:rsid w:val="000E4B9D"/>
    <w:rsid w:val="000E4BD8"/>
    <w:rsid w:val="000E4BFA"/>
    <w:rsid w:val="000E4CE0"/>
    <w:rsid w:val="000E4DD8"/>
    <w:rsid w:val="000E4E1E"/>
    <w:rsid w:val="000E4E22"/>
    <w:rsid w:val="000E5125"/>
    <w:rsid w:val="000E5137"/>
    <w:rsid w:val="000E5246"/>
    <w:rsid w:val="000E5438"/>
    <w:rsid w:val="000E5585"/>
    <w:rsid w:val="000E56E3"/>
    <w:rsid w:val="000E5700"/>
    <w:rsid w:val="000E5793"/>
    <w:rsid w:val="000E57F6"/>
    <w:rsid w:val="000E58C5"/>
    <w:rsid w:val="000E5C91"/>
    <w:rsid w:val="000E5D64"/>
    <w:rsid w:val="000E6018"/>
    <w:rsid w:val="000E60E0"/>
    <w:rsid w:val="000E6203"/>
    <w:rsid w:val="000E624A"/>
    <w:rsid w:val="000E64CB"/>
    <w:rsid w:val="000E651F"/>
    <w:rsid w:val="000E654F"/>
    <w:rsid w:val="000E6814"/>
    <w:rsid w:val="000E69C2"/>
    <w:rsid w:val="000E6B4D"/>
    <w:rsid w:val="000E6EAA"/>
    <w:rsid w:val="000E7007"/>
    <w:rsid w:val="000E70FE"/>
    <w:rsid w:val="000E722C"/>
    <w:rsid w:val="000E7262"/>
    <w:rsid w:val="000E730A"/>
    <w:rsid w:val="000E74BC"/>
    <w:rsid w:val="000E755B"/>
    <w:rsid w:val="000E7774"/>
    <w:rsid w:val="000E786F"/>
    <w:rsid w:val="000E792C"/>
    <w:rsid w:val="000E79A0"/>
    <w:rsid w:val="000E7A72"/>
    <w:rsid w:val="000E7B61"/>
    <w:rsid w:val="000E7DA7"/>
    <w:rsid w:val="000E7F95"/>
    <w:rsid w:val="000E7FA0"/>
    <w:rsid w:val="000F00BA"/>
    <w:rsid w:val="000F02CA"/>
    <w:rsid w:val="000F02F8"/>
    <w:rsid w:val="000F0409"/>
    <w:rsid w:val="000F048E"/>
    <w:rsid w:val="000F049F"/>
    <w:rsid w:val="000F0601"/>
    <w:rsid w:val="000F060D"/>
    <w:rsid w:val="000F0642"/>
    <w:rsid w:val="000F07A0"/>
    <w:rsid w:val="000F07FA"/>
    <w:rsid w:val="000F08D8"/>
    <w:rsid w:val="000F092F"/>
    <w:rsid w:val="000F0AE2"/>
    <w:rsid w:val="000F0B05"/>
    <w:rsid w:val="000F0B5E"/>
    <w:rsid w:val="000F0B7B"/>
    <w:rsid w:val="000F0BC5"/>
    <w:rsid w:val="000F0C85"/>
    <w:rsid w:val="000F0DE4"/>
    <w:rsid w:val="000F0E62"/>
    <w:rsid w:val="000F106F"/>
    <w:rsid w:val="000F1112"/>
    <w:rsid w:val="000F149F"/>
    <w:rsid w:val="000F153A"/>
    <w:rsid w:val="000F17E5"/>
    <w:rsid w:val="000F1894"/>
    <w:rsid w:val="000F1911"/>
    <w:rsid w:val="000F196B"/>
    <w:rsid w:val="000F1A88"/>
    <w:rsid w:val="000F1B16"/>
    <w:rsid w:val="000F1D43"/>
    <w:rsid w:val="000F1D45"/>
    <w:rsid w:val="000F1DC6"/>
    <w:rsid w:val="000F1FFF"/>
    <w:rsid w:val="000F200F"/>
    <w:rsid w:val="000F205A"/>
    <w:rsid w:val="000F20AA"/>
    <w:rsid w:val="000F20D1"/>
    <w:rsid w:val="000F2212"/>
    <w:rsid w:val="000F226B"/>
    <w:rsid w:val="000F23FA"/>
    <w:rsid w:val="000F25F3"/>
    <w:rsid w:val="000F2651"/>
    <w:rsid w:val="000F2699"/>
    <w:rsid w:val="000F26CB"/>
    <w:rsid w:val="000F26D0"/>
    <w:rsid w:val="000F2821"/>
    <w:rsid w:val="000F28E3"/>
    <w:rsid w:val="000F290A"/>
    <w:rsid w:val="000F293F"/>
    <w:rsid w:val="000F2A40"/>
    <w:rsid w:val="000F2D79"/>
    <w:rsid w:val="000F2F06"/>
    <w:rsid w:val="000F2F27"/>
    <w:rsid w:val="000F2F4A"/>
    <w:rsid w:val="000F2F71"/>
    <w:rsid w:val="000F30DF"/>
    <w:rsid w:val="000F31D1"/>
    <w:rsid w:val="000F320C"/>
    <w:rsid w:val="000F3322"/>
    <w:rsid w:val="000F3343"/>
    <w:rsid w:val="000F348D"/>
    <w:rsid w:val="000F3620"/>
    <w:rsid w:val="000F366F"/>
    <w:rsid w:val="000F369A"/>
    <w:rsid w:val="000F36CC"/>
    <w:rsid w:val="000F36CD"/>
    <w:rsid w:val="000F372E"/>
    <w:rsid w:val="000F3B61"/>
    <w:rsid w:val="000F3C63"/>
    <w:rsid w:val="000F3EE1"/>
    <w:rsid w:val="000F3FCA"/>
    <w:rsid w:val="000F406E"/>
    <w:rsid w:val="000F4166"/>
    <w:rsid w:val="000F4202"/>
    <w:rsid w:val="000F428D"/>
    <w:rsid w:val="000F4328"/>
    <w:rsid w:val="000F442C"/>
    <w:rsid w:val="000F4463"/>
    <w:rsid w:val="000F47F6"/>
    <w:rsid w:val="000F4BCE"/>
    <w:rsid w:val="000F4C85"/>
    <w:rsid w:val="000F4E5D"/>
    <w:rsid w:val="000F4F0C"/>
    <w:rsid w:val="000F4FC5"/>
    <w:rsid w:val="000F522D"/>
    <w:rsid w:val="000F5285"/>
    <w:rsid w:val="000F52E0"/>
    <w:rsid w:val="000F53A9"/>
    <w:rsid w:val="000F53B3"/>
    <w:rsid w:val="000F53F6"/>
    <w:rsid w:val="000F53FA"/>
    <w:rsid w:val="000F5514"/>
    <w:rsid w:val="000F5599"/>
    <w:rsid w:val="000F56F1"/>
    <w:rsid w:val="000F580A"/>
    <w:rsid w:val="000F58F8"/>
    <w:rsid w:val="000F59BC"/>
    <w:rsid w:val="000F5B73"/>
    <w:rsid w:val="000F5C09"/>
    <w:rsid w:val="000F5EE4"/>
    <w:rsid w:val="000F605D"/>
    <w:rsid w:val="000F623F"/>
    <w:rsid w:val="000F62A1"/>
    <w:rsid w:val="000F6464"/>
    <w:rsid w:val="000F651D"/>
    <w:rsid w:val="000F65AB"/>
    <w:rsid w:val="000F6628"/>
    <w:rsid w:val="000F67DB"/>
    <w:rsid w:val="000F682F"/>
    <w:rsid w:val="000F689C"/>
    <w:rsid w:val="000F68F1"/>
    <w:rsid w:val="000F6A3A"/>
    <w:rsid w:val="000F6BC6"/>
    <w:rsid w:val="000F6C25"/>
    <w:rsid w:val="000F6D5A"/>
    <w:rsid w:val="000F6DE6"/>
    <w:rsid w:val="000F7118"/>
    <w:rsid w:val="000F71FD"/>
    <w:rsid w:val="000F7208"/>
    <w:rsid w:val="000F75BE"/>
    <w:rsid w:val="000F76EB"/>
    <w:rsid w:val="000F7811"/>
    <w:rsid w:val="000F78AE"/>
    <w:rsid w:val="000F7C4F"/>
    <w:rsid w:val="000F7CCF"/>
    <w:rsid w:val="000F7E25"/>
    <w:rsid w:val="000F7FF9"/>
    <w:rsid w:val="0010026A"/>
    <w:rsid w:val="0010043A"/>
    <w:rsid w:val="0010046C"/>
    <w:rsid w:val="00100470"/>
    <w:rsid w:val="0010067A"/>
    <w:rsid w:val="001006B9"/>
    <w:rsid w:val="001007CA"/>
    <w:rsid w:val="001007EE"/>
    <w:rsid w:val="00100F76"/>
    <w:rsid w:val="0010109C"/>
    <w:rsid w:val="00101157"/>
    <w:rsid w:val="00101478"/>
    <w:rsid w:val="0010148E"/>
    <w:rsid w:val="001014D8"/>
    <w:rsid w:val="001014EC"/>
    <w:rsid w:val="0010151E"/>
    <w:rsid w:val="001015A9"/>
    <w:rsid w:val="00101633"/>
    <w:rsid w:val="00101DAB"/>
    <w:rsid w:val="00101DED"/>
    <w:rsid w:val="00101FB7"/>
    <w:rsid w:val="0010210D"/>
    <w:rsid w:val="001021C3"/>
    <w:rsid w:val="001024BB"/>
    <w:rsid w:val="00102533"/>
    <w:rsid w:val="0010253C"/>
    <w:rsid w:val="00102740"/>
    <w:rsid w:val="0010277D"/>
    <w:rsid w:val="00102A8C"/>
    <w:rsid w:val="00102B10"/>
    <w:rsid w:val="00102B9C"/>
    <w:rsid w:val="00102BD1"/>
    <w:rsid w:val="00103039"/>
    <w:rsid w:val="00103096"/>
    <w:rsid w:val="001031B2"/>
    <w:rsid w:val="00103337"/>
    <w:rsid w:val="00103589"/>
    <w:rsid w:val="001036FF"/>
    <w:rsid w:val="00103762"/>
    <w:rsid w:val="001037AC"/>
    <w:rsid w:val="00103872"/>
    <w:rsid w:val="00103875"/>
    <w:rsid w:val="001038A8"/>
    <w:rsid w:val="00103932"/>
    <w:rsid w:val="00103981"/>
    <w:rsid w:val="001039DC"/>
    <w:rsid w:val="00103E6D"/>
    <w:rsid w:val="00103F32"/>
    <w:rsid w:val="00104193"/>
    <w:rsid w:val="0010421C"/>
    <w:rsid w:val="001042FE"/>
    <w:rsid w:val="001043CC"/>
    <w:rsid w:val="001043F3"/>
    <w:rsid w:val="00104452"/>
    <w:rsid w:val="00104482"/>
    <w:rsid w:val="0010474B"/>
    <w:rsid w:val="0010484C"/>
    <w:rsid w:val="0010486A"/>
    <w:rsid w:val="001049A5"/>
    <w:rsid w:val="001049CA"/>
    <w:rsid w:val="001049EE"/>
    <w:rsid w:val="00104A91"/>
    <w:rsid w:val="00104B6D"/>
    <w:rsid w:val="00104C37"/>
    <w:rsid w:val="00104D5C"/>
    <w:rsid w:val="00104E2C"/>
    <w:rsid w:val="00105020"/>
    <w:rsid w:val="0010522B"/>
    <w:rsid w:val="0010561C"/>
    <w:rsid w:val="001057C0"/>
    <w:rsid w:val="00105AC1"/>
    <w:rsid w:val="00105C0F"/>
    <w:rsid w:val="00105D19"/>
    <w:rsid w:val="00105D42"/>
    <w:rsid w:val="00105D48"/>
    <w:rsid w:val="00105E39"/>
    <w:rsid w:val="00105E6E"/>
    <w:rsid w:val="00105E7D"/>
    <w:rsid w:val="00105F59"/>
    <w:rsid w:val="00106229"/>
    <w:rsid w:val="001062DE"/>
    <w:rsid w:val="001062EF"/>
    <w:rsid w:val="0010646C"/>
    <w:rsid w:val="0010653E"/>
    <w:rsid w:val="00106561"/>
    <w:rsid w:val="0010672E"/>
    <w:rsid w:val="00106916"/>
    <w:rsid w:val="00106952"/>
    <w:rsid w:val="00106BAB"/>
    <w:rsid w:val="00106C73"/>
    <w:rsid w:val="00106D63"/>
    <w:rsid w:val="00106EFE"/>
    <w:rsid w:val="00107052"/>
    <w:rsid w:val="00107407"/>
    <w:rsid w:val="001074DE"/>
    <w:rsid w:val="00107517"/>
    <w:rsid w:val="001075F3"/>
    <w:rsid w:val="001077FC"/>
    <w:rsid w:val="0010780D"/>
    <w:rsid w:val="001078E1"/>
    <w:rsid w:val="00107A01"/>
    <w:rsid w:val="00107A9C"/>
    <w:rsid w:val="00107B05"/>
    <w:rsid w:val="00107C23"/>
    <w:rsid w:val="00110213"/>
    <w:rsid w:val="00110214"/>
    <w:rsid w:val="0011022C"/>
    <w:rsid w:val="00110307"/>
    <w:rsid w:val="00110356"/>
    <w:rsid w:val="00110456"/>
    <w:rsid w:val="0011046F"/>
    <w:rsid w:val="0011071E"/>
    <w:rsid w:val="00110731"/>
    <w:rsid w:val="001107C4"/>
    <w:rsid w:val="00110816"/>
    <w:rsid w:val="001108AA"/>
    <w:rsid w:val="00110BBF"/>
    <w:rsid w:val="00110C7F"/>
    <w:rsid w:val="00110E1B"/>
    <w:rsid w:val="00110ED7"/>
    <w:rsid w:val="00110EE2"/>
    <w:rsid w:val="00111201"/>
    <w:rsid w:val="001112AE"/>
    <w:rsid w:val="0011130A"/>
    <w:rsid w:val="001113EA"/>
    <w:rsid w:val="0011150B"/>
    <w:rsid w:val="001116FD"/>
    <w:rsid w:val="001117B8"/>
    <w:rsid w:val="0011196C"/>
    <w:rsid w:val="00111A88"/>
    <w:rsid w:val="00111B3E"/>
    <w:rsid w:val="00111BEE"/>
    <w:rsid w:val="00111C46"/>
    <w:rsid w:val="00111F30"/>
    <w:rsid w:val="00111FC7"/>
    <w:rsid w:val="00112014"/>
    <w:rsid w:val="00112132"/>
    <w:rsid w:val="00112164"/>
    <w:rsid w:val="001121C4"/>
    <w:rsid w:val="0011221A"/>
    <w:rsid w:val="001123DB"/>
    <w:rsid w:val="001126EE"/>
    <w:rsid w:val="00112861"/>
    <w:rsid w:val="001129B1"/>
    <w:rsid w:val="00112A76"/>
    <w:rsid w:val="00112C8B"/>
    <w:rsid w:val="00113283"/>
    <w:rsid w:val="0011333C"/>
    <w:rsid w:val="0011338F"/>
    <w:rsid w:val="001135F3"/>
    <w:rsid w:val="00113687"/>
    <w:rsid w:val="00113725"/>
    <w:rsid w:val="00113757"/>
    <w:rsid w:val="001137AE"/>
    <w:rsid w:val="00113994"/>
    <w:rsid w:val="00113ACC"/>
    <w:rsid w:val="00113B20"/>
    <w:rsid w:val="00113B56"/>
    <w:rsid w:val="00113CB4"/>
    <w:rsid w:val="00113D21"/>
    <w:rsid w:val="00113E82"/>
    <w:rsid w:val="00113F48"/>
    <w:rsid w:val="00113FCF"/>
    <w:rsid w:val="001140B8"/>
    <w:rsid w:val="001140F2"/>
    <w:rsid w:val="001141A1"/>
    <w:rsid w:val="001141D7"/>
    <w:rsid w:val="00114479"/>
    <w:rsid w:val="0011449A"/>
    <w:rsid w:val="00114772"/>
    <w:rsid w:val="001147B3"/>
    <w:rsid w:val="001148AD"/>
    <w:rsid w:val="001148C7"/>
    <w:rsid w:val="001148F7"/>
    <w:rsid w:val="00114968"/>
    <w:rsid w:val="001149B2"/>
    <w:rsid w:val="00114B42"/>
    <w:rsid w:val="00114C2D"/>
    <w:rsid w:val="00114CDD"/>
    <w:rsid w:val="00114E15"/>
    <w:rsid w:val="00114E3D"/>
    <w:rsid w:val="00114F4F"/>
    <w:rsid w:val="00114F65"/>
    <w:rsid w:val="00115125"/>
    <w:rsid w:val="001152F2"/>
    <w:rsid w:val="001152F5"/>
    <w:rsid w:val="00115359"/>
    <w:rsid w:val="001154E4"/>
    <w:rsid w:val="00115533"/>
    <w:rsid w:val="00115638"/>
    <w:rsid w:val="001156C9"/>
    <w:rsid w:val="001156FD"/>
    <w:rsid w:val="001157D7"/>
    <w:rsid w:val="00115AD6"/>
    <w:rsid w:val="00115B9F"/>
    <w:rsid w:val="00115C27"/>
    <w:rsid w:val="00115C38"/>
    <w:rsid w:val="00115C4D"/>
    <w:rsid w:val="00115D57"/>
    <w:rsid w:val="001160A8"/>
    <w:rsid w:val="00116380"/>
    <w:rsid w:val="00116382"/>
    <w:rsid w:val="00116484"/>
    <w:rsid w:val="001167B6"/>
    <w:rsid w:val="001167F5"/>
    <w:rsid w:val="001168C5"/>
    <w:rsid w:val="00116ACF"/>
    <w:rsid w:val="00116AE1"/>
    <w:rsid w:val="00116D5C"/>
    <w:rsid w:val="00116E12"/>
    <w:rsid w:val="00116F85"/>
    <w:rsid w:val="0011709B"/>
    <w:rsid w:val="0011716B"/>
    <w:rsid w:val="001172B2"/>
    <w:rsid w:val="00117AB1"/>
    <w:rsid w:val="00117B8E"/>
    <w:rsid w:val="00117D4B"/>
    <w:rsid w:val="00117F9B"/>
    <w:rsid w:val="001201AE"/>
    <w:rsid w:val="001201DB"/>
    <w:rsid w:val="001202A3"/>
    <w:rsid w:val="001202C7"/>
    <w:rsid w:val="0012041A"/>
    <w:rsid w:val="00120643"/>
    <w:rsid w:val="00120751"/>
    <w:rsid w:val="001207D0"/>
    <w:rsid w:val="00120861"/>
    <w:rsid w:val="00120962"/>
    <w:rsid w:val="00120C04"/>
    <w:rsid w:val="0012103C"/>
    <w:rsid w:val="00121211"/>
    <w:rsid w:val="00121263"/>
    <w:rsid w:val="00121264"/>
    <w:rsid w:val="0012127C"/>
    <w:rsid w:val="0012139E"/>
    <w:rsid w:val="001213B5"/>
    <w:rsid w:val="00121628"/>
    <w:rsid w:val="0012167D"/>
    <w:rsid w:val="00121747"/>
    <w:rsid w:val="00121795"/>
    <w:rsid w:val="00121854"/>
    <w:rsid w:val="001218DC"/>
    <w:rsid w:val="00121EBB"/>
    <w:rsid w:val="001220C3"/>
    <w:rsid w:val="00122189"/>
    <w:rsid w:val="00122280"/>
    <w:rsid w:val="00122392"/>
    <w:rsid w:val="001224A0"/>
    <w:rsid w:val="0012266E"/>
    <w:rsid w:val="001227C9"/>
    <w:rsid w:val="00122917"/>
    <w:rsid w:val="0012291B"/>
    <w:rsid w:val="00122A7F"/>
    <w:rsid w:val="00122C0A"/>
    <w:rsid w:val="00122D42"/>
    <w:rsid w:val="00122D7F"/>
    <w:rsid w:val="00122E6E"/>
    <w:rsid w:val="00123052"/>
    <w:rsid w:val="00123117"/>
    <w:rsid w:val="00123345"/>
    <w:rsid w:val="001233C5"/>
    <w:rsid w:val="00123836"/>
    <w:rsid w:val="00123B02"/>
    <w:rsid w:val="00123C46"/>
    <w:rsid w:val="00123CA2"/>
    <w:rsid w:val="00123D68"/>
    <w:rsid w:val="00123D95"/>
    <w:rsid w:val="00123E24"/>
    <w:rsid w:val="00123F8E"/>
    <w:rsid w:val="001241DF"/>
    <w:rsid w:val="0012422D"/>
    <w:rsid w:val="00124374"/>
    <w:rsid w:val="001243ED"/>
    <w:rsid w:val="0012445D"/>
    <w:rsid w:val="0012448C"/>
    <w:rsid w:val="00124526"/>
    <w:rsid w:val="001246AD"/>
    <w:rsid w:val="0012470B"/>
    <w:rsid w:val="00124714"/>
    <w:rsid w:val="00124741"/>
    <w:rsid w:val="00124790"/>
    <w:rsid w:val="00124856"/>
    <w:rsid w:val="00124A1F"/>
    <w:rsid w:val="00124B1B"/>
    <w:rsid w:val="00124E50"/>
    <w:rsid w:val="001250EC"/>
    <w:rsid w:val="00125152"/>
    <w:rsid w:val="001254A1"/>
    <w:rsid w:val="00125618"/>
    <w:rsid w:val="001258A0"/>
    <w:rsid w:val="001259FE"/>
    <w:rsid w:val="00125C2D"/>
    <w:rsid w:val="00125C75"/>
    <w:rsid w:val="00125C7E"/>
    <w:rsid w:val="00125CE5"/>
    <w:rsid w:val="00125D64"/>
    <w:rsid w:val="00125FC7"/>
    <w:rsid w:val="0012604F"/>
    <w:rsid w:val="0012608E"/>
    <w:rsid w:val="001261E1"/>
    <w:rsid w:val="0012639F"/>
    <w:rsid w:val="00126419"/>
    <w:rsid w:val="00126671"/>
    <w:rsid w:val="001268F8"/>
    <w:rsid w:val="0012692B"/>
    <w:rsid w:val="001269E8"/>
    <w:rsid w:val="00126CD7"/>
    <w:rsid w:val="00126D4C"/>
    <w:rsid w:val="00127085"/>
    <w:rsid w:val="0012711E"/>
    <w:rsid w:val="001271DA"/>
    <w:rsid w:val="0012722B"/>
    <w:rsid w:val="00127345"/>
    <w:rsid w:val="00127492"/>
    <w:rsid w:val="00127715"/>
    <w:rsid w:val="0012772A"/>
    <w:rsid w:val="001278A4"/>
    <w:rsid w:val="001278AA"/>
    <w:rsid w:val="00127945"/>
    <w:rsid w:val="00127AAD"/>
    <w:rsid w:val="00127AB6"/>
    <w:rsid w:val="00127C72"/>
    <w:rsid w:val="00127D94"/>
    <w:rsid w:val="00127E11"/>
    <w:rsid w:val="00127E90"/>
    <w:rsid w:val="00130103"/>
    <w:rsid w:val="001302C1"/>
    <w:rsid w:val="001304FD"/>
    <w:rsid w:val="0013053D"/>
    <w:rsid w:val="00130596"/>
    <w:rsid w:val="001305EE"/>
    <w:rsid w:val="0013066F"/>
    <w:rsid w:val="001306D3"/>
    <w:rsid w:val="0013071D"/>
    <w:rsid w:val="00130749"/>
    <w:rsid w:val="00130800"/>
    <w:rsid w:val="00130808"/>
    <w:rsid w:val="00130980"/>
    <w:rsid w:val="00130BB6"/>
    <w:rsid w:val="00130BDC"/>
    <w:rsid w:val="00130DD3"/>
    <w:rsid w:val="00130DE8"/>
    <w:rsid w:val="00130E51"/>
    <w:rsid w:val="00130F30"/>
    <w:rsid w:val="001310BF"/>
    <w:rsid w:val="001310D5"/>
    <w:rsid w:val="00131332"/>
    <w:rsid w:val="001313D9"/>
    <w:rsid w:val="00131448"/>
    <w:rsid w:val="00131504"/>
    <w:rsid w:val="00131579"/>
    <w:rsid w:val="0013174E"/>
    <w:rsid w:val="0013185C"/>
    <w:rsid w:val="001319E9"/>
    <w:rsid w:val="00131C6F"/>
    <w:rsid w:val="00131F7E"/>
    <w:rsid w:val="00131FFD"/>
    <w:rsid w:val="00132073"/>
    <w:rsid w:val="001320EE"/>
    <w:rsid w:val="00132168"/>
    <w:rsid w:val="00132218"/>
    <w:rsid w:val="00132262"/>
    <w:rsid w:val="0013247F"/>
    <w:rsid w:val="00132A73"/>
    <w:rsid w:val="00132BEE"/>
    <w:rsid w:val="00132CB7"/>
    <w:rsid w:val="00132D1A"/>
    <w:rsid w:val="00132D61"/>
    <w:rsid w:val="00132F8D"/>
    <w:rsid w:val="0013303E"/>
    <w:rsid w:val="00133074"/>
    <w:rsid w:val="00133093"/>
    <w:rsid w:val="0013319E"/>
    <w:rsid w:val="001332D9"/>
    <w:rsid w:val="00133436"/>
    <w:rsid w:val="001336B2"/>
    <w:rsid w:val="0013377B"/>
    <w:rsid w:val="0013390B"/>
    <w:rsid w:val="001339BB"/>
    <w:rsid w:val="001339E4"/>
    <w:rsid w:val="00133AEE"/>
    <w:rsid w:val="00133D9F"/>
    <w:rsid w:val="00133DB9"/>
    <w:rsid w:val="00133DBC"/>
    <w:rsid w:val="00133E73"/>
    <w:rsid w:val="00133E9F"/>
    <w:rsid w:val="00133FA0"/>
    <w:rsid w:val="00133FDB"/>
    <w:rsid w:val="00134086"/>
    <w:rsid w:val="001340A5"/>
    <w:rsid w:val="001340B9"/>
    <w:rsid w:val="0013422C"/>
    <w:rsid w:val="001342ED"/>
    <w:rsid w:val="0013443C"/>
    <w:rsid w:val="001347C6"/>
    <w:rsid w:val="001347D9"/>
    <w:rsid w:val="00134A2F"/>
    <w:rsid w:val="00134A3A"/>
    <w:rsid w:val="00134C34"/>
    <w:rsid w:val="00134DEA"/>
    <w:rsid w:val="00134F4A"/>
    <w:rsid w:val="00134FA8"/>
    <w:rsid w:val="00134FDC"/>
    <w:rsid w:val="00135095"/>
    <w:rsid w:val="001351B0"/>
    <w:rsid w:val="00135309"/>
    <w:rsid w:val="001353E7"/>
    <w:rsid w:val="00135466"/>
    <w:rsid w:val="00135483"/>
    <w:rsid w:val="00135668"/>
    <w:rsid w:val="001358E5"/>
    <w:rsid w:val="00135AA4"/>
    <w:rsid w:val="00135AB8"/>
    <w:rsid w:val="00135E10"/>
    <w:rsid w:val="00135E4E"/>
    <w:rsid w:val="00135F5A"/>
    <w:rsid w:val="00135F9A"/>
    <w:rsid w:val="00135FEA"/>
    <w:rsid w:val="00136246"/>
    <w:rsid w:val="001363A3"/>
    <w:rsid w:val="00136498"/>
    <w:rsid w:val="001364D4"/>
    <w:rsid w:val="0013661E"/>
    <w:rsid w:val="00136669"/>
    <w:rsid w:val="001366A5"/>
    <w:rsid w:val="001369F0"/>
    <w:rsid w:val="00136A59"/>
    <w:rsid w:val="00136CF1"/>
    <w:rsid w:val="00136DAB"/>
    <w:rsid w:val="00136DD7"/>
    <w:rsid w:val="00136F20"/>
    <w:rsid w:val="001371C8"/>
    <w:rsid w:val="001372ED"/>
    <w:rsid w:val="001374B9"/>
    <w:rsid w:val="0013765F"/>
    <w:rsid w:val="00137A48"/>
    <w:rsid w:val="00137A9C"/>
    <w:rsid w:val="00137CD3"/>
    <w:rsid w:val="00137DEE"/>
    <w:rsid w:val="00137ED6"/>
    <w:rsid w:val="00137F1C"/>
    <w:rsid w:val="001401B3"/>
    <w:rsid w:val="0014090F"/>
    <w:rsid w:val="001409D4"/>
    <w:rsid w:val="00140A4E"/>
    <w:rsid w:val="00140A7F"/>
    <w:rsid w:val="00140B88"/>
    <w:rsid w:val="00140CAD"/>
    <w:rsid w:val="00140D45"/>
    <w:rsid w:val="00140D4C"/>
    <w:rsid w:val="00140D8B"/>
    <w:rsid w:val="00140DC3"/>
    <w:rsid w:val="00140F99"/>
    <w:rsid w:val="00140F9B"/>
    <w:rsid w:val="0014137F"/>
    <w:rsid w:val="001413FD"/>
    <w:rsid w:val="001417B9"/>
    <w:rsid w:val="00141ADF"/>
    <w:rsid w:val="00141B6F"/>
    <w:rsid w:val="00141C76"/>
    <w:rsid w:val="00141C93"/>
    <w:rsid w:val="00141DB5"/>
    <w:rsid w:val="00141F63"/>
    <w:rsid w:val="0014215F"/>
    <w:rsid w:val="0014233A"/>
    <w:rsid w:val="00142655"/>
    <w:rsid w:val="0014274A"/>
    <w:rsid w:val="00142908"/>
    <w:rsid w:val="0014291B"/>
    <w:rsid w:val="0014296B"/>
    <w:rsid w:val="0014299F"/>
    <w:rsid w:val="001429F9"/>
    <w:rsid w:val="00142A59"/>
    <w:rsid w:val="00142AB5"/>
    <w:rsid w:val="00142B01"/>
    <w:rsid w:val="00142B4C"/>
    <w:rsid w:val="00142B50"/>
    <w:rsid w:val="00142BC4"/>
    <w:rsid w:val="00142C76"/>
    <w:rsid w:val="00142F64"/>
    <w:rsid w:val="00143159"/>
    <w:rsid w:val="001431E5"/>
    <w:rsid w:val="00143291"/>
    <w:rsid w:val="0014348C"/>
    <w:rsid w:val="0014359B"/>
    <w:rsid w:val="001436CC"/>
    <w:rsid w:val="0014378B"/>
    <w:rsid w:val="00143832"/>
    <w:rsid w:val="00143866"/>
    <w:rsid w:val="00143873"/>
    <w:rsid w:val="001439E9"/>
    <w:rsid w:val="00143AA7"/>
    <w:rsid w:val="00143AC3"/>
    <w:rsid w:val="00143C13"/>
    <w:rsid w:val="00143C55"/>
    <w:rsid w:val="00143F2D"/>
    <w:rsid w:val="00144091"/>
    <w:rsid w:val="0014429D"/>
    <w:rsid w:val="001443BB"/>
    <w:rsid w:val="0014458C"/>
    <w:rsid w:val="00144685"/>
    <w:rsid w:val="0014474E"/>
    <w:rsid w:val="00144C11"/>
    <w:rsid w:val="00144C6F"/>
    <w:rsid w:val="00144FA4"/>
    <w:rsid w:val="00144FAB"/>
    <w:rsid w:val="00145046"/>
    <w:rsid w:val="00145089"/>
    <w:rsid w:val="0014514E"/>
    <w:rsid w:val="001451E7"/>
    <w:rsid w:val="001454EF"/>
    <w:rsid w:val="001456B9"/>
    <w:rsid w:val="00145920"/>
    <w:rsid w:val="00145AB2"/>
    <w:rsid w:val="00145AF8"/>
    <w:rsid w:val="00145B52"/>
    <w:rsid w:val="00145BA1"/>
    <w:rsid w:val="00145D37"/>
    <w:rsid w:val="00145D95"/>
    <w:rsid w:val="00145EF9"/>
    <w:rsid w:val="0014605E"/>
    <w:rsid w:val="001460AD"/>
    <w:rsid w:val="001460D8"/>
    <w:rsid w:val="0014621E"/>
    <w:rsid w:val="00146294"/>
    <w:rsid w:val="001462E3"/>
    <w:rsid w:val="0014632B"/>
    <w:rsid w:val="001464A6"/>
    <w:rsid w:val="00146507"/>
    <w:rsid w:val="001465A6"/>
    <w:rsid w:val="00146736"/>
    <w:rsid w:val="00146AB7"/>
    <w:rsid w:val="00146CA4"/>
    <w:rsid w:val="00146D63"/>
    <w:rsid w:val="00146DA8"/>
    <w:rsid w:val="00146DD2"/>
    <w:rsid w:val="00147094"/>
    <w:rsid w:val="00147165"/>
    <w:rsid w:val="0014720C"/>
    <w:rsid w:val="0014721E"/>
    <w:rsid w:val="001472A7"/>
    <w:rsid w:val="001472C2"/>
    <w:rsid w:val="001473D1"/>
    <w:rsid w:val="00147458"/>
    <w:rsid w:val="001475B2"/>
    <w:rsid w:val="00147741"/>
    <w:rsid w:val="00147794"/>
    <w:rsid w:val="001478B2"/>
    <w:rsid w:val="00147A7B"/>
    <w:rsid w:val="00147E21"/>
    <w:rsid w:val="0015007B"/>
    <w:rsid w:val="001500F6"/>
    <w:rsid w:val="00150377"/>
    <w:rsid w:val="00150416"/>
    <w:rsid w:val="0015058F"/>
    <w:rsid w:val="001505FE"/>
    <w:rsid w:val="00150845"/>
    <w:rsid w:val="0015092E"/>
    <w:rsid w:val="00150968"/>
    <w:rsid w:val="00150AC4"/>
    <w:rsid w:val="00150BA8"/>
    <w:rsid w:val="00150BB1"/>
    <w:rsid w:val="00150BBF"/>
    <w:rsid w:val="00150BC6"/>
    <w:rsid w:val="00150BEF"/>
    <w:rsid w:val="00150CB8"/>
    <w:rsid w:val="00150D19"/>
    <w:rsid w:val="0015149B"/>
    <w:rsid w:val="00151524"/>
    <w:rsid w:val="001516B3"/>
    <w:rsid w:val="001516F8"/>
    <w:rsid w:val="001516FB"/>
    <w:rsid w:val="00151739"/>
    <w:rsid w:val="0015181B"/>
    <w:rsid w:val="001518A7"/>
    <w:rsid w:val="001519FC"/>
    <w:rsid w:val="00151A9F"/>
    <w:rsid w:val="00151AEA"/>
    <w:rsid w:val="00151CA3"/>
    <w:rsid w:val="00151D27"/>
    <w:rsid w:val="00151EC3"/>
    <w:rsid w:val="00151F7F"/>
    <w:rsid w:val="00151FEC"/>
    <w:rsid w:val="00151FEF"/>
    <w:rsid w:val="00152095"/>
    <w:rsid w:val="00152152"/>
    <w:rsid w:val="00152174"/>
    <w:rsid w:val="00152437"/>
    <w:rsid w:val="00152469"/>
    <w:rsid w:val="00152682"/>
    <w:rsid w:val="00152799"/>
    <w:rsid w:val="001527DA"/>
    <w:rsid w:val="001527E2"/>
    <w:rsid w:val="001528F4"/>
    <w:rsid w:val="00152911"/>
    <w:rsid w:val="001529EE"/>
    <w:rsid w:val="00152B87"/>
    <w:rsid w:val="00152BAA"/>
    <w:rsid w:val="00152C53"/>
    <w:rsid w:val="00152C8F"/>
    <w:rsid w:val="00152E0F"/>
    <w:rsid w:val="00152F00"/>
    <w:rsid w:val="00152FF3"/>
    <w:rsid w:val="001530A8"/>
    <w:rsid w:val="00153139"/>
    <w:rsid w:val="00153169"/>
    <w:rsid w:val="0015319C"/>
    <w:rsid w:val="00153305"/>
    <w:rsid w:val="00153424"/>
    <w:rsid w:val="001534EC"/>
    <w:rsid w:val="00153912"/>
    <w:rsid w:val="00153A96"/>
    <w:rsid w:val="00153D1C"/>
    <w:rsid w:val="00153D76"/>
    <w:rsid w:val="00153E0E"/>
    <w:rsid w:val="00153E17"/>
    <w:rsid w:val="00154396"/>
    <w:rsid w:val="001543DF"/>
    <w:rsid w:val="001543E2"/>
    <w:rsid w:val="00154438"/>
    <w:rsid w:val="00154664"/>
    <w:rsid w:val="00154697"/>
    <w:rsid w:val="0015496A"/>
    <w:rsid w:val="00154A47"/>
    <w:rsid w:val="00154B80"/>
    <w:rsid w:val="00154CA5"/>
    <w:rsid w:val="00154D08"/>
    <w:rsid w:val="00154FDB"/>
    <w:rsid w:val="001550D5"/>
    <w:rsid w:val="0015514F"/>
    <w:rsid w:val="0015527F"/>
    <w:rsid w:val="0015528D"/>
    <w:rsid w:val="001552B7"/>
    <w:rsid w:val="00155373"/>
    <w:rsid w:val="00155385"/>
    <w:rsid w:val="00155454"/>
    <w:rsid w:val="00155554"/>
    <w:rsid w:val="00155606"/>
    <w:rsid w:val="00155731"/>
    <w:rsid w:val="00155801"/>
    <w:rsid w:val="001558BC"/>
    <w:rsid w:val="001559B2"/>
    <w:rsid w:val="00155A07"/>
    <w:rsid w:val="00155A10"/>
    <w:rsid w:val="00155B07"/>
    <w:rsid w:val="00155B3C"/>
    <w:rsid w:val="00155B43"/>
    <w:rsid w:val="00155BC8"/>
    <w:rsid w:val="00155C8F"/>
    <w:rsid w:val="00155E0C"/>
    <w:rsid w:val="00155E82"/>
    <w:rsid w:val="00155ED2"/>
    <w:rsid w:val="00155EF4"/>
    <w:rsid w:val="00156070"/>
    <w:rsid w:val="001565A2"/>
    <w:rsid w:val="00156673"/>
    <w:rsid w:val="001566D6"/>
    <w:rsid w:val="001567C3"/>
    <w:rsid w:val="001569F5"/>
    <w:rsid w:val="00156A12"/>
    <w:rsid w:val="00156B5B"/>
    <w:rsid w:val="00156BA0"/>
    <w:rsid w:val="001572B3"/>
    <w:rsid w:val="001572C4"/>
    <w:rsid w:val="001572ED"/>
    <w:rsid w:val="001573F0"/>
    <w:rsid w:val="001575FA"/>
    <w:rsid w:val="00157739"/>
    <w:rsid w:val="001579AA"/>
    <w:rsid w:val="00157B1A"/>
    <w:rsid w:val="00157B3F"/>
    <w:rsid w:val="00157B43"/>
    <w:rsid w:val="00157B5D"/>
    <w:rsid w:val="00157BEB"/>
    <w:rsid w:val="00157D13"/>
    <w:rsid w:val="00157D27"/>
    <w:rsid w:val="00157D44"/>
    <w:rsid w:val="00157DD5"/>
    <w:rsid w:val="00157F8A"/>
    <w:rsid w:val="00160348"/>
    <w:rsid w:val="00160552"/>
    <w:rsid w:val="001605CC"/>
    <w:rsid w:val="001605D1"/>
    <w:rsid w:val="001607C6"/>
    <w:rsid w:val="001607EF"/>
    <w:rsid w:val="00160B14"/>
    <w:rsid w:val="00160B85"/>
    <w:rsid w:val="00160B8B"/>
    <w:rsid w:val="00160BDA"/>
    <w:rsid w:val="00160C3D"/>
    <w:rsid w:val="00160E2F"/>
    <w:rsid w:val="00161151"/>
    <w:rsid w:val="00161163"/>
    <w:rsid w:val="001611F9"/>
    <w:rsid w:val="00161497"/>
    <w:rsid w:val="001614BB"/>
    <w:rsid w:val="001614CF"/>
    <w:rsid w:val="00161726"/>
    <w:rsid w:val="00161749"/>
    <w:rsid w:val="00161A2F"/>
    <w:rsid w:val="00161B24"/>
    <w:rsid w:val="00161C39"/>
    <w:rsid w:val="00161C41"/>
    <w:rsid w:val="00161DD5"/>
    <w:rsid w:val="00161E9B"/>
    <w:rsid w:val="00161F22"/>
    <w:rsid w:val="001620E7"/>
    <w:rsid w:val="0016223F"/>
    <w:rsid w:val="001622AC"/>
    <w:rsid w:val="001622CF"/>
    <w:rsid w:val="0016233F"/>
    <w:rsid w:val="00162373"/>
    <w:rsid w:val="00162508"/>
    <w:rsid w:val="001627DF"/>
    <w:rsid w:val="00162860"/>
    <w:rsid w:val="001629BF"/>
    <w:rsid w:val="001629E0"/>
    <w:rsid w:val="00162B17"/>
    <w:rsid w:val="00162D32"/>
    <w:rsid w:val="00162D71"/>
    <w:rsid w:val="00162E52"/>
    <w:rsid w:val="00162E54"/>
    <w:rsid w:val="00162E88"/>
    <w:rsid w:val="00162E96"/>
    <w:rsid w:val="00162F4C"/>
    <w:rsid w:val="00162FCD"/>
    <w:rsid w:val="00163157"/>
    <w:rsid w:val="00163182"/>
    <w:rsid w:val="001633A4"/>
    <w:rsid w:val="001634D6"/>
    <w:rsid w:val="0016375D"/>
    <w:rsid w:val="0016377A"/>
    <w:rsid w:val="00163815"/>
    <w:rsid w:val="00163B08"/>
    <w:rsid w:val="00163CB0"/>
    <w:rsid w:val="00163CF7"/>
    <w:rsid w:val="00163D0B"/>
    <w:rsid w:val="00163F41"/>
    <w:rsid w:val="00163F53"/>
    <w:rsid w:val="001642EC"/>
    <w:rsid w:val="001643A0"/>
    <w:rsid w:val="0016444C"/>
    <w:rsid w:val="00164566"/>
    <w:rsid w:val="00164625"/>
    <w:rsid w:val="001648BA"/>
    <w:rsid w:val="001648DD"/>
    <w:rsid w:val="00164C57"/>
    <w:rsid w:val="00164E55"/>
    <w:rsid w:val="00164F26"/>
    <w:rsid w:val="00164F2F"/>
    <w:rsid w:val="00164F75"/>
    <w:rsid w:val="001650A6"/>
    <w:rsid w:val="00165438"/>
    <w:rsid w:val="00165592"/>
    <w:rsid w:val="00165667"/>
    <w:rsid w:val="00165705"/>
    <w:rsid w:val="0016572A"/>
    <w:rsid w:val="001658D5"/>
    <w:rsid w:val="00165975"/>
    <w:rsid w:val="00165B8D"/>
    <w:rsid w:val="00165BC4"/>
    <w:rsid w:val="00165C37"/>
    <w:rsid w:val="00165F1D"/>
    <w:rsid w:val="00166389"/>
    <w:rsid w:val="0016638E"/>
    <w:rsid w:val="001663FF"/>
    <w:rsid w:val="0016685D"/>
    <w:rsid w:val="00166895"/>
    <w:rsid w:val="00166A5B"/>
    <w:rsid w:val="00166B02"/>
    <w:rsid w:val="00166E03"/>
    <w:rsid w:val="00166EF2"/>
    <w:rsid w:val="00166FFF"/>
    <w:rsid w:val="00167091"/>
    <w:rsid w:val="001670BB"/>
    <w:rsid w:val="0016715D"/>
    <w:rsid w:val="001671E7"/>
    <w:rsid w:val="001672E6"/>
    <w:rsid w:val="0016732E"/>
    <w:rsid w:val="0016736E"/>
    <w:rsid w:val="00167394"/>
    <w:rsid w:val="001673B9"/>
    <w:rsid w:val="00167621"/>
    <w:rsid w:val="0016782E"/>
    <w:rsid w:val="00167945"/>
    <w:rsid w:val="00167A21"/>
    <w:rsid w:val="00167A97"/>
    <w:rsid w:val="00167BD4"/>
    <w:rsid w:val="00167C39"/>
    <w:rsid w:val="00167C4A"/>
    <w:rsid w:val="00167E06"/>
    <w:rsid w:val="00167E44"/>
    <w:rsid w:val="00167E4C"/>
    <w:rsid w:val="0017025B"/>
    <w:rsid w:val="0017052A"/>
    <w:rsid w:val="0017052E"/>
    <w:rsid w:val="0017057A"/>
    <w:rsid w:val="0017060C"/>
    <w:rsid w:val="00170AA0"/>
    <w:rsid w:val="00170BFB"/>
    <w:rsid w:val="00170D13"/>
    <w:rsid w:val="00170DAF"/>
    <w:rsid w:val="00170EE1"/>
    <w:rsid w:val="00170F7D"/>
    <w:rsid w:val="00170FE4"/>
    <w:rsid w:val="0017102E"/>
    <w:rsid w:val="001710A5"/>
    <w:rsid w:val="001712B3"/>
    <w:rsid w:val="00171449"/>
    <w:rsid w:val="0017199C"/>
    <w:rsid w:val="00171A82"/>
    <w:rsid w:val="00171C7E"/>
    <w:rsid w:val="00171D0A"/>
    <w:rsid w:val="00171E23"/>
    <w:rsid w:val="00171ECB"/>
    <w:rsid w:val="00171F22"/>
    <w:rsid w:val="00171F35"/>
    <w:rsid w:val="00171FA2"/>
    <w:rsid w:val="00172169"/>
    <w:rsid w:val="0017230D"/>
    <w:rsid w:val="0017235D"/>
    <w:rsid w:val="00172552"/>
    <w:rsid w:val="00172576"/>
    <w:rsid w:val="001725F6"/>
    <w:rsid w:val="00172637"/>
    <w:rsid w:val="00172873"/>
    <w:rsid w:val="00172968"/>
    <w:rsid w:val="00172CF7"/>
    <w:rsid w:val="00172DD2"/>
    <w:rsid w:val="00172F02"/>
    <w:rsid w:val="00173107"/>
    <w:rsid w:val="0017319E"/>
    <w:rsid w:val="00173331"/>
    <w:rsid w:val="0017337D"/>
    <w:rsid w:val="001734AA"/>
    <w:rsid w:val="001735A4"/>
    <w:rsid w:val="0017368E"/>
    <w:rsid w:val="001737B6"/>
    <w:rsid w:val="001737BC"/>
    <w:rsid w:val="001737FD"/>
    <w:rsid w:val="0017388E"/>
    <w:rsid w:val="00173A1F"/>
    <w:rsid w:val="00173BC3"/>
    <w:rsid w:val="00173C1B"/>
    <w:rsid w:val="00173D03"/>
    <w:rsid w:val="00173D6F"/>
    <w:rsid w:val="00173E48"/>
    <w:rsid w:val="00173FD4"/>
    <w:rsid w:val="00174090"/>
    <w:rsid w:val="00174128"/>
    <w:rsid w:val="00174132"/>
    <w:rsid w:val="00174545"/>
    <w:rsid w:val="0017480F"/>
    <w:rsid w:val="00174812"/>
    <w:rsid w:val="0017498E"/>
    <w:rsid w:val="001749AE"/>
    <w:rsid w:val="00174C3B"/>
    <w:rsid w:val="00174DCD"/>
    <w:rsid w:val="00174E10"/>
    <w:rsid w:val="00174E60"/>
    <w:rsid w:val="00174F9B"/>
    <w:rsid w:val="00175007"/>
    <w:rsid w:val="001752E0"/>
    <w:rsid w:val="0017544E"/>
    <w:rsid w:val="00175487"/>
    <w:rsid w:val="001755B2"/>
    <w:rsid w:val="0017562F"/>
    <w:rsid w:val="0017571B"/>
    <w:rsid w:val="00175742"/>
    <w:rsid w:val="00175824"/>
    <w:rsid w:val="001758B6"/>
    <w:rsid w:val="00175AB1"/>
    <w:rsid w:val="00175B5C"/>
    <w:rsid w:val="00175B5E"/>
    <w:rsid w:val="00175C34"/>
    <w:rsid w:val="00175CF0"/>
    <w:rsid w:val="00175DC9"/>
    <w:rsid w:val="00175E99"/>
    <w:rsid w:val="00175F9A"/>
    <w:rsid w:val="00176021"/>
    <w:rsid w:val="0017606D"/>
    <w:rsid w:val="001760E6"/>
    <w:rsid w:val="00176139"/>
    <w:rsid w:val="001761B7"/>
    <w:rsid w:val="001761E9"/>
    <w:rsid w:val="00176350"/>
    <w:rsid w:val="001763A1"/>
    <w:rsid w:val="001764D1"/>
    <w:rsid w:val="001765E2"/>
    <w:rsid w:val="0017660C"/>
    <w:rsid w:val="00176629"/>
    <w:rsid w:val="0017674E"/>
    <w:rsid w:val="00176857"/>
    <w:rsid w:val="00176B55"/>
    <w:rsid w:val="00176C8E"/>
    <w:rsid w:val="00176D80"/>
    <w:rsid w:val="00176E94"/>
    <w:rsid w:val="00176E98"/>
    <w:rsid w:val="00177037"/>
    <w:rsid w:val="00177138"/>
    <w:rsid w:val="00177271"/>
    <w:rsid w:val="001772B0"/>
    <w:rsid w:val="0017738B"/>
    <w:rsid w:val="001774BF"/>
    <w:rsid w:val="001775FC"/>
    <w:rsid w:val="00177707"/>
    <w:rsid w:val="0017792E"/>
    <w:rsid w:val="00177996"/>
    <w:rsid w:val="00177E83"/>
    <w:rsid w:val="00177EDB"/>
    <w:rsid w:val="0017DA75"/>
    <w:rsid w:val="001801B9"/>
    <w:rsid w:val="001803FE"/>
    <w:rsid w:val="0018044E"/>
    <w:rsid w:val="0018047F"/>
    <w:rsid w:val="00180758"/>
    <w:rsid w:val="001807DA"/>
    <w:rsid w:val="00180B14"/>
    <w:rsid w:val="00180B3F"/>
    <w:rsid w:val="00180BBB"/>
    <w:rsid w:val="00180C05"/>
    <w:rsid w:val="00180C7A"/>
    <w:rsid w:val="00180C83"/>
    <w:rsid w:val="00180CE5"/>
    <w:rsid w:val="00181039"/>
    <w:rsid w:val="0018147D"/>
    <w:rsid w:val="001815B3"/>
    <w:rsid w:val="0018175B"/>
    <w:rsid w:val="001817DC"/>
    <w:rsid w:val="001819BD"/>
    <w:rsid w:val="00181AB5"/>
    <w:rsid w:val="00181B5A"/>
    <w:rsid w:val="00181C12"/>
    <w:rsid w:val="001820A3"/>
    <w:rsid w:val="001823E0"/>
    <w:rsid w:val="001826EE"/>
    <w:rsid w:val="0018272D"/>
    <w:rsid w:val="001827B3"/>
    <w:rsid w:val="00182933"/>
    <w:rsid w:val="00182994"/>
    <w:rsid w:val="00182A0D"/>
    <w:rsid w:val="00182BD3"/>
    <w:rsid w:val="00182BF0"/>
    <w:rsid w:val="00182BF2"/>
    <w:rsid w:val="00182C25"/>
    <w:rsid w:val="00182C7C"/>
    <w:rsid w:val="00182DD8"/>
    <w:rsid w:val="00182F19"/>
    <w:rsid w:val="0018309F"/>
    <w:rsid w:val="001831B6"/>
    <w:rsid w:val="0018327D"/>
    <w:rsid w:val="001832C4"/>
    <w:rsid w:val="001832C9"/>
    <w:rsid w:val="0018332A"/>
    <w:rsid w:val="0018333F"/>
    <w:rsid w:val="001833EA"/>
    <w:rsid w:val="001835D5"/>
    <w:rsid w:val="001835EF"/>
    <w:rsid w:val="00183680"/>
    <w:rsid w:val="0018372C"/>
    <w:rsid w:val="0018386D"/>
    <w:rsid w:val="00183885"/>
    <w:rsid w:val="00183931"/>
    <w:rsid w:val="00183977"/>
    <w:rsid w:val="00183D51"/>
    <w:rsid w:val="00183D80"/>
    <w:rsid w:val="00183EFB"/>
    <w:rsid w:val="00184067"/>
    <w:rsid w:val="001842C8"/>
    <w:rsid w:val="001843E5"/>
    <w:rsid w:val="00184437"/>
    <w:rsid w:val="001844D8"/>
    <w:rsid w:val="00184503"/>
    <w:rsid w:val="0018454A"/>
    <w:rsid w:val="00184647"/>
    <w:rsid w:val="00184684"/>
    <w:rsid w:val="0018472A"/>
    <w:rsid w:val="001847AE"/>
    <w:rsid w:val="001847EB"/>
    <w:rsid w:val="0018485F"/>
    <w:rsid w:val="001848B6"/>
    <w:rsid w:val="001848BC"/>
    <w:rsid w:val="001849B4"/>
    <w:rsid w:val="00184B56"/>
    <w:rsid w:val="00184C07"/>
    <w:rsid w:val="00184CE6"/>
    <w:rsid w:val="00184DB2"/>
    <w:rsid w:val="00184E12"/>
    <w:rsid w:val="00184F89"/>
    <w:rsid w:val="00185044"/>
    <w:rsid w:val="001850DB"/>
    <w:rsid w:val="001850E4"/>
    <w:rsid w:val="001850FC"/>
    <w:rsid w:val="00185124"/>
    <w:rsid w:val="00185365"/>
    <w:rsid w:val="001854C1"/>
    <w:rsid w:val="001854F4"/>
    <w:rsid w:val="001855AE"/>
    <w:rsid w:val="00185972"/>
    <w:rsid w:val="0018599C"/>
    <w:rsid w:val="001859D0"/>
    <w:rsid w:val="00185A86"/>
    <w:rsid w:val="00185B48"/>
    <w:rsid w:val="00185D3C"/>
    <w:rsid w:val="00185E11"/>
    <w:rsid w:val="00185FD7"/>
    <w:rsid w:val="0018603A"/>
    <w:rsid w:val="001865EB"/>
    <w:rsid w:val="001865FC"/>
    <w:rsid w:val="0018663B"/>
    <w:rsid w:val="00186733"/>
    <w:rsid w:val="001867CA"/>
    <w:rsid w:val="001869EE"/>
    <w:rsid w:val="00186B2B"/>
    <w:rsid w:val="00186BB3"/>
    <w:rsid w:val="00186C02"/>
    <w:rsid w:val="00186CA2"/>
    <w:rsid w:val="00186D00"/>
    <w:rsid w:val="00186D92"/>
    <w:rsid w:val="00186F27"/>
    <w:rsid w:val="001870BB"/>
    <w:rsid w:val="00187246"/>
    <w:rsid w:val="001872A1"/>
    <w:rsid w:val="001873EA"/>
    <w:rsid w:val="0018741D"/>
    <w:rsid w:val="0018743A"/>
    <w:rsid w:val="00187454"/>
    <w:rsid w:val="00187482"/>
    <w:rsid w:val="0018752C"/>
    <w:rsid w:val="0018753F"/>
    <w:rsid w:val="00187634"/>
    <w:rsid w:val="00187714"/>
    <w:rsid w:val="00187757"/>
    <w:rsid w:val="001877A1"/>
    <w:rsid w:val="001877E7"/>
    <w:rsid w:val="00187A10"/>
    <w:rsid w:val="00187BA5"/>
    <w:rsid w:val="00187BAF"/>
    <w:rsid w:val="00187E17"/>
    <w:rsid w:val="00187EBC"/>
    <w:rsid w:val="00187FAE"/>
    <w:rsid w:val="0019004E"/>
    <w:rsid w:val="001900A3"/>
    <w:rsid w:val="001900DE"/>
    <w:rsid w:val="001900F6"/>
    <w:rsid w:val="0019014E"/>
    <w:rsid w:val="0019020C"/>
    <w:rsid w:val="00190363"/>
    <w:rsid w:val="00190378"/>
    <w:rsid w:val="001905C6"/>
    <w:rsid w:val="00190683"/>
    <w:rsid w:val="0019083E"/>
    <w:rsid w:val="00190845"/>
    <w:rsid w:val="001909B9"/>
    <w:rsid w:val="00190A57"/>
    <w:rsid w:val="00190B3F"/>
    <w:rsid w:val="00190BCB"/>
    <w:rsid w:val="00190C3A"/>
    <w:rsid w:val="00190D21"/>
    <w:rsid w:val="00190DBC"/>
    <w:rsid w:val="00190E66"/>
    <w:rsid w:val="00190F3C"/>
    <w:rsid w:val="00190FFC"/>
    <w:rsid w:val="0019122C"/>
    <w:rsid w:val="0019141A"/>
    <w:rsid w:val="00191452"/>
    <w:rsid w:val="001916C5"/>
    <w:rsid w:val="001917BF"/>
    <w:rsid w:val="001917F7"/>
    <w:rsid w:val="00191856"/>
    <w:rsid w:val="001918C8"/>
    <w:rsid w:val="00191908"/>
    <w:rsid w:val="0019190F"/>
    <w:rsid w:val="001919D9"/>
    <w:rsid w:val="00191A66"/>
    <w:rsid w:val="00191A8E"/>
    <w:rsid w:val="00191B7A"/>
    <w:rsid w:val="00191C57"/>
    <w:rsid w:val="00191CB4"/>
    <w:rsid w:val="00191D3A"/>
    <w:rsid w:val="00191F2F"/>
    <w:rsid w:val="0019221E"/>
    <w:rsid w:val="001922EE"/>
    <w:rsid w:val="00192445"/>
    <w:rsid w:val="0019248A"/>
    <w:rsid w:val="0019257E"/>
    <w:rsid w:val="001925E6"/>
    <w:rsid w:val="00192732"/>
    <w:rsid w:val="00192A4D"/>
    <w:rsid w:val="00192AE4"/>
    <w:rsid w:val="00192AFF"/>
    <w:rsid w:val="00192DF3"/>
    <w:rsid w:val="0019301F"/>
    <w:rsid w:val="00193056"/>
    <w:rsid w:val="00193057"/>
    <w:rsid w:val="00193098"/>
    <w:rsid w:val="00193205"/>
    <w:rsid w:val="0019326C"/>
    <w:rsid w:val="00193274"/>
    <w:rsid w:val="00193286"/>
    <w:rsid w:val="0019346B"/>
    <w:rsid w:val="00193496"/>
    <w:rsid w:val="001937B8"/>
    <w:rsid w:val="001939A9"/>
    <w:rsid w:val="00193AB4"/>
    <w:rsid w:val="00193BA1"/>
    <w:rsid w:val="00193BE0"/>
    <w:rsid w:val="00193BE6"/>
    <w:rsid w:val="00193EDE"/>
    <w:rsid w:val="001942C7"/>
    <w:rsid w:val="0019433D"/>
    <w:rsid w:val="00194444"/>
    <w:rsid w:val="00194463"/>
    <w:rsid w:val="001944A0"/>
    <w:rsid w:val="001945D1"/>
    <w:rsid w:val="0019482A"/>
    <w:rsid w:val="00194ADD"/>
    <w:rsid w:val="00194BB7"/>
    <w:rsid w:val="00194C14"/>
    <w:rsid w:val="00194CC5"/>
    <w:rsid w:val="00194EED"/>
    <w:rsid w:val="00194FBD"/>
    <w:rsid w:val="00195109"/>
    <w:rsid w:val="001951B2"/>
    <w:rsid w:val="001951DF"/>
    <w:rsid w:val="0019549E"/>
    <w:rsid w:val="001955E6"/>
    <w:rsid w:val="0019565D"/>
    <w:rsid w:val="001956BC"/>
    <w:rsid w:val="001958B0"/>
    <w:rsid w:val="00195954"/>
    <w:rsid w:val="00195982"/>
    <w:rsid w:val="00195A2A"/>
    <w:rsid w:val="00195A4F"/>
    <w:rsid w:val="00195B05"/>
    <w:rsid w:val="00195F17"/>
    <w:rsid w:val="00196097"/>
    <w:rsid w:val="00196314"/>
    <w:rsid w:val="00196322"/>
    <w:rsid w:val="001963E2"/>
    <w:rsid w:val="0019663C"/>
    <w:rsid w:val="0019669B"/>
    <w:rsid w:val="001966D7"/>
    <w:rsid w:val="00196755"/>
    <w:rsid w:val="00196857"/>
    <w:rsid w:val="00196B8B"/>
    <w:rsid w:val="00196F1B"/>
    <w:rsid w:val="00196FD0"/>
    <w:rsid w:val="00197060"/>
    <w:rsid w:val="00197564"/>
    <w:rsid w:val="001976C2"/>
    <w:rsid w:val="001976E4"/>
    <w:rsid w:val="001976F1"/>
    <w:rsid w:val="001976F6"/>
    <w:rsid w:val="00197869"/>
    <w:rsid w:val="0019789C"/>
    <w:rsid w:val="00197AC7"/>
    <w:rsid w:val="00197ADC"/>
    <w:rsid w:val="00197CFF"/>
    <w:rsid w:val="00197EC2"/>
    <w:rsid w:val="00197ECE"/>
    <w:rsid w:val="00197EEF"/>
    <w:rsid w:val="00197EF7"/>
    <w:rsid w:val="00197F5A"/>
    <w:rsid w:val="00197FCE"/>
    <w:rsid w:val="00197FE8"/>
    <w:rsid w:val="001A00D8"/>
    <w:rsid w:val="001A01FC"/>
    <w:rsid w:val="001A021C"/>
    <w:rsid w:val="001A030A"/>
    <w:rsid w:val="001A034B"/>
    <w:rsid w:val="001A037F"/>
    <w:rsid w:val="001A047C"/>
    <w:rsid w:val="001A0487"/>
    <w:rsid w:val="001A049F"/>
    <w:rsid w:val="001A0618"/>
    <w:rsid w:val="001A0632"/>
    <w:rsid w:val="001A06EC"/>
    <w:rsid w:val="001A089C"/>
    <w:rsid w:val="001A08B6"/>
    <w:rsid w:val="001A0A14"/>
    <w:rsid w:val="001A0D0E"/>
    <w:rsid w:val="001A0E20"/>
    <w:rsid w:val="001A110B"/>
    <w:rsid w:val="001A1495"/>
    <w:rsid w:val="001A14FC"/>
    <w:rsid w:val="001A1BB1"/>
    <w:rsid w:val="001A1BF6"/>
    <w:rsid w:val="001A1CED"/>
    <w:rsid w:val="001A1D20"/>
    <w:rsid w:val="001A1D75"/>
    <w:rsid w:val="001A1DA1"/>
    <w:rsid w:val="001A1F39"/>
    <w:rsid w:val="001A2019"/>
    <w:rsid w:val="001A2308"/>
    <w:rsid w:val="001A2441"/>
    <w:rsid w:val="001A26F2"/>
    <w:rsid w:val="001A279B"/>
    <w:rsid w:val="001A2A92"/>
    <w:rsid w:val="001A2ACF"/>
    <w:rsid w:val="001A2B58"/>
    <w:rsid w:val="001A2D9B"/>
    <w:rsid w:val="001A2DC3"/>
    <w:rsid w:val="001A2E87"/>
    <w:rsid w:val="001A30E9"/>
    <w:rsid w:val="001A313B"/>
    <w:rsid w:val="001A31EC"/>
    <w:rsid w:val="001A3319"/>
    <w:rsid w:val="001A358A"/>
    <w:rsid w:val="001A3869"/>
    <w:rsid w:val="001A38C2"/>
    <w:rsid w:val="001A392D"/>
    <w:rsid w:val="001A3AD9"/>
    <w:rsid w:val="001A3DF9"/>
    <w:rsid w:val="001A40F5"/>
    <w:rsid w:val="001A4185"/>
    <w:rsid w:val="001A4284"/>
    <w:rsid w:val="001A4478"/>
    <w:rsid w:val="001A4480"/>
    <w:rsid w:val="001A46CD"/>
    <w:rsid w:val="001A46DA"/>
    <w:rsid w:val="001A47DB"/>
    <w:rsid w:val="001A4891"/>
    <w:rsid w:val="001A4D12"/>
    <w:rsid w:val="001A4F8B"/>
    <w:rsid w:val="001A4FCF"/>
    <w:rsid w:val="001A4FED"/>
    <w:rsid w:val="001A521E"/>
    <w:rsid w:val="001A5300"/>
    <w:rsid w:val="001A54B6"/>
    <w:rsid w:val="001A54D8"/>
    <w:rsid w:val="001A553E"/>
    <w:rsid w:val="001A55F3"/>
    <w:rsid w:val="001A55FD"/>
    <w:rsid w:val="001A59A1"/>
    <w:rsid w:val="001A5C19"/>
    <w:rsid w:val="001A5CB3"/>
    <w:rsid w:val="001A5CEA"/>
    <w:rsid w:val="001A5E20"/>
    <w:rsid w:val="001A5FE2"/>
    <w:rsid w:val="001A6066"/>
    <w:rsid w:val="001A60F2"/>
    <w:rsid w:val="001A61DF"/>
    <w:rsid w:val="001A6378"/>
    <w:rsid w:val="001A6521"/>
    <w:rsid w:val="001A65C8"/>
    <w:rsid w:val="001A65FE"/>
    <w:rsid w:val="001A6677"/>
    <w:rsid w:val="001A693C"/>
    <w:rsid w:val="001A69D1"/>
    <w:rsid w:val="001A6D54"/>
    <w:rsid w:val="001A6E80"/>
    <w:rsid w:val="001A6ED1"/>
    <w:rsid w:val="001A732E"/>
    <w:rsid w:val="001A740E"/>
    <w:rsid w:val="001A749D"/>
    <w:rsid w:val="001A751C"/>
    <w:rsid w:val="001A77AA"/>
    <w:rsid w:val="001A7813"/>
    <w:rsid w:val="001A7A90"/>
    <w:rsid w:val="001A7D2F"/>
    <w:rsid w:val="001A7D3D"/>
    <w:rsid w:val="001A7E8F"/>
    <w:rsid w:val="001A7F30"/>
    <w:rsid w:val="001B00FB"/>
    <w:rsid w:val="001B02A1"/>
    <w:rsid w:val="001B034A"/>
    <w:rsid w:val="001B0378"/>
    <w:rsid w:val="001B0624"/>
    <w:rsid w:val="001B0683"/>
    <w:rsid w:val="001B06CE"/>
    <w:rsid w:val="001B06E2"/>
    <w:rsid w:val="001B07BC"/>
    <w:rsid w:val="001B081D"/>
    <w:rsid w:val="001B09A4"/>
    <w:rsid w:val="001B09FF"/>
    <w:rsid w:val="001B0E08"/>
    <w:rsid w:val="001B0E9D"/>
    <w:rsid w:val="001B0FCC"/>
    <w:rsid w:val="001B103A"/>
    <w:rsid w:val="001B103D"/>
    <w:rsid w:val="001B1156"/>
    <w:rsid w:val="001B13B5"/>
    <w:rsid w:val="001B14AD"/>
    <w:rsid w:val="001B1513"/>
    <w:rsid w:val="001B15FE"/>
    <w:rsid w:val="001B16CA"/>
    <w:rsid w:val="001B1767"/>
    <w:rsid w:val="001B1815"/>
    <w:rsid w:val="001B1882"/>
    <w:rsid w:val="001B1B0C"/>
    <w:rsid w:val="001B1E60"/>
    <w:rsid w:val="001B213E"/>
    <w:rsid w:val="001B22DB"/>
    <w:rsid w:val="001B2453"/>
    <w:rsid w:val="001B2533"/>
    <w:rsid w:val="001B2552"/>
    <w:rsid w:val="001B2697"/>
    <w:rsid w:val="001B2720"/>
    <w:rsid w:val="001B2906"/>
    <w:rsid w:val="001B2976"/>
    <w:rsid w:val="001B2BEC"/>
    <w:rsid w:val="001B2FA5"/>
    <w:rsid w:val="001B302B"/>
    <w:rsid w:val="001B3080"/>
    <w:rsid w:val="001B3212"/>
    <w:rsid w:val="001B331A"/>
    <w:rsid w:val="001B3340"/>
    <w:rsid w:val="001B3382"/>
    <w:rsid w:val="001B33B5"/>
    <w:rsid w:val="001B397F"/>
    <w:rsid w:val="001B39D9"/>
    <w:rsid w:val="001B3D48"/>
    <w:rsid w:val="001B4063"/>
    <w:rsid w:val="001B4181"/>
    <w:rsid w:val="001B4257"/>
    <w:rsid w:val="001B42D9"/>
    <w:rsid w:val="001B4390"/>
    <w:rsid w:val="001B4521"/>
    <w:rsid w:val="001B452D"/>
    <w:rsid w:val="001B45B8"/>
    <w:rsid w:val="001B4636"/>
    <w:rsid w:val="001B4638"/>
    <w:rsid w:val="001B4A1A"/>
    <w:rsid w:val="001B4AD7"/>
    <w:rsid w:val="001B4C8C"/>
    <w:rsid w:val="001B4CF1"/>
    <w:rsid w:val="001B4E3C"/>
    <w:rsid w:val="001B4EB5"/>
    <w:rsid w:val="001B50A2"/>
    <w:rsid w:val="001B524E"/>
    <w:rsid w:val="001B52AD"/>
    <w:rsid w:val="001B5504"/>
    <w:rsid w:val="001B56F1"/>
    <w:rsid w:val="001B57A8"/>
    <w:rsid w:val="001B596E"/>
    <w:rsid w:val="001B5AF9"/>
    <w:rsid w:val="001B5F91"/>
    <w:rsid w:val="001B609C"/>
    <w:rsid w:val="001B6100"/>
    <w:rsid w:val="001B616F"/>
    <w:rsid w:val="001B6193"/>
    <w:rsid w:val="001B61BF"/>
    <w:rsid w:val="001B6294"/>
    <w:rsid w:val="001B640F"/>
    <w:rsid w:val="001B6600"/>
    <w:rsid w:val="001B6642"/>
    <w:rsid w:val="001B66A0"/>
    <w:rsid w:val="001B66B5"/>
    <w:rsid w:val="001B68AF"/>
    <w:rsid w:val="001B68DF"/>
    <w:rsid w:val="001B6961"/>
    <w:rsid w:val="001B6A47"/>
    <w:rsid w:val="001B6A9E"/>
    <w:rsid w:val="001B6B9B"/>
    <w:rsid w:val="001B6C27"/>
    <w:rsid w:val="001B6D0A"/>
    <w:rsid w:val="001B6E99"/>
    <w:rsid w:val="001B6EA2"/>
    <w:rsid w:val="001B6F9C"/>
    <w:rsid w:val="001B7144"/>
    <w:rsid w:val="001B7174"/>
    <w:rsid w:val="001B7199"/>
    <w:rsid w:val="001B72EF"/>
    <w:rsid w:val="001B759C"/>
    <w:rsid w:val="001B770A"/>
    <w:rsid w:val="001B794A"/>
    <w:rsid w:val="001B7973"/>
    <w:rsid w:val="001B7B08"/>
    <w:rsid w:val="001B7B3F"/>
    <w:rsid w:val="001B7E91"/>
    <w:rsid w:val="001B7F93"/>
    <w:rsid w:val="001B7FF1"/>
    <w:rsid w:val="001C0211"/>
    <w:rsid w:val="001C02C7"/>
    <w:rsid w:val="001C02D6"/>
    <w:rsid w:val="001C049A"/>
    <w:rsid w:val="001C0552"/>
    <w:rsid w:val="001C059E"/>
    <w:rsid w:val="001C072F"/>
    <w:rsid w:val="001C0788"/>
    <w:rsid w:val="001C07BA"/>
    <w:rsid w:val="001C0905"/>
    <w:rsid w:val="001C09CF"/>
    <w:rsid w:val="001C09F7"/>
    <w:rsid w:val="001C09FE"/>
    <w:rsid w:val="001C0CF7"/>
    <w:rsid w:val="001C0D90"/>
    <w:rsid w:val="001C0E56"/>
    <w:rsid w:val="001C0EDF"/>
    <w:rsid w:val="001C10AA"/>
    <w:rsid w:val="001C12D1"/>
    <w:rsid w:val="001C13C1"/>
    <w:rsid w:val="001C13F9"/>
    <w:rsid w:val="001C147E"/>
    <w:rsid w:val="001C1496"/>
    <w:rsid w:val="001C151B"/>
    <w:rsid w:val="001C15D7"/>
    <w:rsid w:val="001C15EF"/>
    <w:rsid w:val="001C16AF"/>
    <w:rsid w:val="001C18ED"/>
    <w:rsid w:val="001C19E5"/>
    <w:rsid w:val="001C1AC2"/>
    <w:rsid w:val="001C1B8A"/>
    <w:rsid w:val="001C1D3E"/>
    <w:rsid w:val="001C1E89"/>
    <w:rsid w:val="001C1EF4"/>
    <w:rsid w:val="001C1FE3"/>
    <w:rsid w:val="001C209A"/>
    <w:rsid w:val="001C20FD"/>
    <w:rsid w:val="001C24AA"/>
    <w:rsid w:val="001C27D5"/>
    <w:rsid w:val="001C293C"/>
    <w:rsid w:val="001C2963"/>
    <w:rsid w:val="001C296C"/>
    <w:rsid w:val="001C297D"/>
    <w:rsid w:val="001C2BD3"/>
    <w:rsid w:val="001C2C5A"/>
    <w:rsid w:val="001C2E5D"/>
    <w:rsid w:val="001C2E85"/>
    <w:rsid w:val="001C2F3E"/>
    <w:rsid w:val="001C32E3"/>
    <w:rsid w:val="001C3308"/>
    <w:rsid w:val="001C33D9"/>
    <w:rsid w:val="001C34F7"/>
    <w:rsid w:val="001C34FD"/>
    <w:rsid w:val="001C3664"/>
    <w:rsid w:val="001C3800"/>
    <w:rsid w:val="001C39DA"/>
    <w:rsid w:val="001C39E9"/>
    <w:rsid w:val="001C3AA6"/>
    <w:rsid w:val="001C3B38"/>
    <w:rsid w:val="001C3C7B"/>
    <w:rsid w:val="001C3E64"/>
    <w:rsid w:val="001C3EA8"/>
    <w:rsid w:val="001C3FC2"/>
    <w:rsid w:val="001C4008"/>
    <w:rsid w:val="001C4223"/>
    <w:rsid w:val="001C4341"/>
    <w:rsid w:val="001C4439"/>
    <w:rsid w:val="001C4460"/>
    <w:rsid w:val="001C44EA"/>
    <w:rsid w:val="001C477F"/>
    <w:rsid w:val="001C4941"/>
    <w:rsid w:val="001C4E65"/>
    <w:rsid w:val="001C4EB7"/>
    <w:rsid w:val="001C4F13"/>
    <w:rsid w:val="001C4F48"/>
    <w:rsid w:val="001C51C8"/>
    <w:rsid w:val="001C524C"/>
    <w:rsid w:val="001C52F3"/>
    <w:rsid w:val="001C532F"/>
    <w:rsid w:val="001C54E9"/>
    <w:rsid w:val="001C5567"/>
    <w:rsid w:val="001C559F"/>
    <w:rsid w:val="001C5B0A"/>
    <w:rsid w:val="001C5E01"/>
    <w:rsid w:val="001C5E5F"/>
    <w:rsid w:val="001C5EDB"/>
    <w:rsid w:val="001C5F16"/>
    <w:rsid w:val="001C6122"/>
    <w:rsid w:val="001C6125"/>
    <w:rsid w:val="001C614D"/>
    <w:rsid w:val="001C6281"/>
    <w:rsid w:val="001C6352"/>
    <w:rsid w:val="001C6445"/>
    <w:rsid w:val="001C64B1"/>
    <w:rsid w:val="001C64D0"/>
    <w:rsid w:val="001C6587"/>
    <w:rsid w:val="001C685D"/>
    <w:rsid w:val="001C69BE"/>
    <w:rsid w:val="001C6A1A"/>
    <w:rsid w:val="001C6ACF"/>
    <w:rsid w:val="001C6BB6"/>
    <w:rsid w:val="001C6DB5"/>
    <w:rsid w:val="001C6DE1"/>
    <w:rsid w:val="001C6E49"/>
    <w:rsid w:val="001C70B2"/>
    <w:rsid w:val="001C7191"/>
    <w:rsid w:val="001C71AC"/>
    <w:rsid w:val="001C726B"/>
    <w:rsid w:val="001C72A7"/>
    <w:rsid w:val="001C7316"/>
    <w:rsid w:val="001C7362"/>
    <w:rsid w:val="001C747A"/>
    <w:rsid w:val="001C7489"/>
    <w:rsid w:val="001C74BC"/>
    <w:rsid w:val="001C75B4"/>
    <w:rsid w:val="001C78A3"/>
    <w:rsid w:val="001C7923"/>
    <w:rsid w:val="001C7B5B"/>
    <w:rsid w:val="001C7BC8"/>
    <w:rsid w:val="001C7C73"/>
    <w:rsid w:val="001C7C78"/>
    <w:rsid w:val="001C7C7E"/>
    <w:rsid w:val="001C7D10"/>
    <w:rsid w:val="001C7E44"/>
    <w:rsid w:val="001C7E5C"/>
    <w:rsid w:val="001C7F11"/>
    <w:rsid w:val="001CED67"/>
    <w:rsid w:val="001D00CC"/>
    <w:rsid w:val="001D0494"/>
    <w:rsid w:val="001D079B"/>
    <w:rsid w:val="001D07B7"/>
    <w:rsid w:val="001D090D"/>
    <w:rsid w:val="001D0B0B"/>
    <w:rsid w:val="001D0B1B"/>
    <w:rsid w:val="001D0EFE"/>
    <w:rsid w:val="001D1022"/>
    <w:rsid w:val="001D168F"/>
    <w:rsid w:val="001D1719"/>
    <w:rsid w:val="001D171B"/>
    <w:rsid w:val="001D1732"/>
    <w:rsid w:val="001D1A0C"/>
    <w:rsid w:val="001D1A41"/>
    <w:rsid w:val="001D1AC9"/>
    <w:rsid w:val="001D1BA1"/>
    <w:rsid w:val="001D1CD6"/>
    <w:rsid w:val="001D1CDB"/>
    <w:rsid w:val="001D1D96"/>
    <w:rsid w:val="001D1DE3"/>
    <w:rsid w:val="001D1E2E"/>
    <w:rsid w:val="001D1E65"/>
    <w:rsid w:val="001D1E73"/>
    <w:rsid w:val="001D1F74"/>
    <w:rsid w:val="001D2121"/>
    <w:rsid w:val="001D2203"/>
    <w:rsid w:val="001D24C4"/>
    <w:rsid w:val="001D255C"/>
    <w:rsid w:val="001D25B4"/>
    <w:rsid w:val="001D2629"/>
    <w:rsid w:val="001D292F"/>
    <w:rsid w:val="001D29D7"/>
    <w:rsid w:val="001D2AD4"/>
    <w:rsid w:val="001D2C1C"/>
    <w:rsid w:val="001D2D63"/>
    <w:rsid w:val="001D2DE2"/>
    <w:rsid w:val="001D2DEF"/>
    <w:rsid w:val="001D2F30"/>
    <w:rsid w:val="001D2F36"/>
    <w:rsid w:val="001D30BB"/>
    <w:rsid w:val="001D3138"/>
    <w:rsid w:val="001D33C8"/>
    <w:rsid w:val="001D35D8"/>
    <w:rsid w:val="001D369A"/>
    <w:rsid w:val="001D36CD"/>
    <w:rsid w:val="001D39A3"/>
    <w:rsid w:val="001D39E0"/>
    <w:rsid w:val="001D3C05"/>
    <w:rsid w:val="001D3E15"/>
    <w:rsid w:val="001D3ECA"/>
    <w:rsid w:val="001D4010"/>
    <w:rsid w:val="001D42B8"/>
    <w:rsid w:val="001D4338"/>
    <w:rsid w:val="001D4363"/>
    <w:rsid w:val="001D441D"/>
    <w:rsid w:val="001D488C"/>
    <w:rsid w:val="001D48BD"/>
    <w:rsid w:val="001D4983"/>
    <w:rsid w:val="001D4A3A"/>
    <w:rsid w:val="001D4CDF"/>
    <w:rsid w:val="001D4D02"/>
    <w:rsid w:val="001D4E38"/>
    <w:rsid w:val="001D4F03"/>
    <w:rsid w:val="001D4F64"/>
    <w:rsid w:val="001D4F88"/>
    <w:rsid w:val="001D50D9"/>
    <w:rsid w:val="001D529D"/>
    <w:rsid w:val="001D52CB"/>
    <w:rsid w:val="001D5344"/>
    <w:rsid w:val="001D5676"/>
    <w:rsid w:val="001D5683"/>
    <w:rsid w:val="001D578D"/>
    <w:rsid w:val="001D5818"/>
    <w:rsid w:val="001D5C15"/>
    <w:rsid w:val="001D5C82"/>
    <w:rsid w:val="001D5F2B"/>
    <w:rsid w:val="001D5FE8"/>
    <w:rsid w:val="001D62E7"/>
    <w:rsid w:val="001D64EC"/>
    <w:rsid w:val="001D653A"/>
    <w:rsid w:val="001D6549"/>
    <w:rsid w:val="001D6557"/>
    <w:rsid w:val="001D668B"/>
    <w:rsid w:val="001D6B1C"/>
    <w:rsid w:val="001D6B89"/>
    <w:rsid w:val="001D6B95"/>
    <w:rsid w:val="001D6D8E"/>
    <w:rsid w:val="001D704D"/>
    <w:rsid w:val="001D7201"/>
    <w:rsid w:val="001D72EC"/>
    <w:rsid w:val="001D75A7"/>
    <w:rsid w:val="001D7618"/>
    <w:rsid w:val="001D774E"/>
    <w:rsid w:val="001D7799"/>
    <w:rsid w:val="001D7AA5"/>
    <w:rsid w:val="001D7BCF"/>
    <w:rsid w:val="001D7DEE"/>
    <w:rsid w:val="001D7DF0"/>
    <w:rsid w:val="001D7E97"/>
    <w:rsid w:val="001D7EAA"/>
    <w:rsid w:val="001D7EFA"/>
    <w:rsid w:val="001D7F74"/>
    <w:rsid w:val="001E02CB"/>
    <w:rsid w:val="001E036E"/>
    <w:rsid w:val="001E03B4"/>
    <w:rsid w:val="001E049B"/>
    <w:rsid w:val="001E0847"/>
    <w:rsid w:val="001E087B"/>
    <w:rsid w:val="001E08B5"/>
    <w:rsid w:val="001E0AE7"/>
    <w:rsid w:val="001E0B6F"/>
    <w:rsid w:val="001E0C30"/>
    <w:rsid w:val="001E0CF1"/>
    <w:rsid w:val="001E0DA2"/>
    <w:rsid w:val="001E0E7A"/>
    <w:rsid w:val="001E1013"/>
    <w:rsid w:val="001E1225"/>
    <w:rsid w:val="001E1334"/>
    <w:rsid w:val="001E1414"/>
    <w:rsid w:val="001E14AF"/>
    <w:rsid w:val="001E14FD"/>
    <w:rsid w:val="001E15AA"/>
    <w:rsid w:val="001E15DC"/>
    <w:rsid w:val="001E16B5"/>
    <w:rsid w:val="001E1701"/>
    <w:rsid w:val="001E174D"/>
    <w:rsid w:val="001E178E"/>
    <w:rsid w:val="001E180F"/>
    <w:rsid w:val="001E1C26"/>
    <w:rsid w:val="001E1C64"/>
    <w:rsid w:val="001E1CEC"/>
    <w:rsid w:val="001E1F2B"/>
    <w:rsid w:val="001E1FF2"/>
    <w:rsid w:val="001E2027"/>
    <w:rsid w:val="001E2334"/>
    <w:rsid w:val="001E26F3"/>
    <w:rsid w:val="001E2985"/>
    <w:rsid w:val="001E2BFC"/>
    <w:rsid w:val="001E2C00"/>
    <w:rsid w:val="001E2ECB"/>
    <w:rsid w:val="001E2F0E"/>
    <w:rsid w:val="001E2F50"/>
    <w:rsid w:val="001E315D"/>
    <w:rsid w:val="001E31A6"/>
    <w:rsid w:val="001E325B"/>
    <w:rsid w:val="001E363A"/>
    <w:rsid w:val="001E363C"/>
    <w:rsid w:val="001E37AB"/>
    <w:rsid w:val="001E38CA"/>
    <w:rsid w:val="001E3A8F"/>
    <w:rsid w:val="001E3CB4"/>
    <w:rsid w:val="001E3CD9"/>
    <w:rsid w:val="001E3EDB"/>
    <w:rsid w:val="001E3F75"/>
    <w:rsid w:val="001E3FFF"/>
    <w:rsid w:val="001E41A4"/>
    <w:rsid w:val="001E42A2"/>
    <w:rsid w:val="001E46F4"/>
    <w:rsid w:val="001E4717"/>
    <w:rsid w:val="001E4759"/>
    <w:rsid w:val="001E4B64"/>
    <w:rsid w:val="001E4B90"/>
    <w:rsid w:val="001E4C48"/>
    <w:rsid w:val="001E4C5C"/>
    <w:rsid w:val="001E4C5F"/>
    <w:rsid w:val="001E4CF7"/>
    <w:rsid w:val="001E4D0B"/>
    <w:rsid w:val="001E4DA6"/>
    <w:rsid w:val="001E4F7B"/>
    <w:rsid w:val="001E511D"/>
    <w:rsid w:val="001E52A4"/>
    <w:rsid w:val="001E54E9"/>
    <w:rsid w:val="001E552A"/>
    <w:rsid w:val="001E55C3"/>
    <w:rsid w:val="001E57B9"/>
    <w:rsid w:val="001E59EC"/>
    <w:rsid w:val="001E5AF4"/>
    <w:rsid w:val="001E5CC3"/>
    <w:rsid w:val="001E5DE0"/>
    <w:rsid w:val="001E5FAB"/>
    <w:rsid w:val="001E5FF4"/>
    <w:rsid w:val="001E6196"/>
    <w:rsid w:val="001E6237"/>
    <w:rsid w:val="001E6479"/>
    <w:rsid w:val="001E64E4"/>
    <w:rsid w:val="001E6537"/>
    <w:rsid w:val="001E65DC"/>
    <w:rsid w:val="001E65F3"/>
    <w:rsid w:val="001E6903"/>
    <w:rsid w:val="001E692B"/>
    <w:rsid w:val="001E6B26"/>
    <w:rsid w:val="001E6B27"/>
    <w:rsid w:val="001E6D36"/>
    <w:rsid w:val="001E6E8D"/>
    <w:rsid w:val="001E6FC6"/>
    <w:rsid w:val="001E7050"/>
    <w:rsid w:val="001E72B7"/>
    <w:rsid w:val="001E7358"/>
    <w:rsid w:val="001E7492"/>
    <w:rsid w:val="001E74D0"/>
    <w:rsid w:val="001E75B0"/>
    <w:rsid w:val="001E78B0"/>
    <w:rsid w:val="001E78E2"/>
    <w:rsid w:val="001E7B11"/>
    <w:rsid w:val="001E7B56"/>
    <w:rsid w:val="001E7DB9"/>
    <w:rsid w:val="001E7E47"/>
    <w:rsid w:val="001E7EDA"/>
    <w:rsid w:val="001E7EE4"/>
    <w:rsid w:val="001E7F76"/>
    <w:rsid w:val="001E7F89"/>
    <w:rsid w:val="001F00A8"/>
    <w:rsid w:val="001F04C5"/>
    <w:rsid w:val="001F0561"/>
    <w:rsid w:val="001F05B6"/>
    <w:rsid w:val="001F0827"/>
    <w:rsid w:val="001F088C"/>
    <w:rsid w:val="001F0AAC"/>
    <w:rsid w:val="001F0ACA"/>
    <w:rsid w:val="001F0BD8"/>
    <w:rsid w:val="001F0BDE"/>
    <w:rsid w:val="001F0C3E"/>
    <w:rsid w:val="001F0DB3"/>
    <w:rsid w:val="001F0EF0"/>
    <w:rsid w:val="001F0F4A"/>
    <w:rsid w:val="001F0F60"/>
    <w:rsid w:val="001F0FAF"/>
    <w:rsid w:val="001F0FDD"/>
    <w:rsid w:val="001F119C"/>
    <w:rsid w:val="001F12CC"/>
    <w:rsid w:val="001F12E6"/>
    <w:rsid w:val="001F139F"/>
    <w:rsid w:val="001F14E3"/>
    <w:rsid w:val="001F1611"/>
    <w:rsid w:val="001F16E2"/>
    <w:rsid w:val="001F17F0"/>
    <w:rsid w:val="001F1869"/>
    <w:rsid w:val="001F1C42"/>
    <w:rsid w:val="001F1E7C"/>
    <w:rsid w:val="001F1F8A"/>
    <w:rsid w:val="001F20F8"/>
    <w:rsid w:val="001F219F"/>
    <w:rsid w:val="001F238C"/>
    <w:rsid w:val="001F2525"/>
    <w:rsid w:val="001F256D"/>
    <w:rsid w:val="001F2638"/>
    <w:rsid w:val="001F2805"/>
    <w:rsid w:val="001F2A7B"/>
    <w:rsid w:val="001F2AAA"/>
    <w:rsid w:val="001F2B66"/>
    <w:rsid w:val="001F2D92"/>
    <w:rsid w:val="001F2E54"/>
    <w:rsid w:val="001F2E79"/>
    <w:rsid w:val="001F2F07"/>
    <w:rsid w:val="001F2F53"/>
    <w:rsid w:val="001F2FD5"/>
    <w:rsid w:val="001F3123"/>
    <w:rsid w:val="001F3124"/>
    <w:rsid w:val="001F3217"/>
    <w:rsid w:val="001F344E"/>
    <w:rsid w:val="001F34E6"/>
    <w:rsid w:val="001F3523"/>
    <w:rsid w:val="001F353F"/>
    <w:rsid w:val="001F3692"/>
    <w:rsid w:val="001F376D"/>
    <w:rsid w:val="001F3A6E"/>
    <w:rsid w:val="001F3BCC"/>
    <w:rsid w:val="001F3CAB"/>
    <w:rsid w:val="001F3F60"/>
    <w:rsid w:val="001F3F9D"/>
    <w:rsid w:val="001F40CE"/>
    <w:rsid w:val="001F418C"/>
    <w:rsid w:val="001F427B"/>
    <w:rsid w:val="001F42A3"/>
    <w:rsid w:val="001F4345"/>
    <w:rsid w:val="001F4613"/>
    <w:rsid w:val="001F48DD"/>
    <w:rsid w:val="001F49EB"/>
    <w:rsid w:val="001F4AB4"/>
    <w:rsid w:val="001F4B2D"/>
    <w:rsid w:val="001F4CA2"/>
    <w:rsid w:val="001F4F1E"/>
    <w:rsid w:val="001F4F40"/>
    <w:rsid w:val="001F503D"/>
    <w:rsid w:val="001F50E0"/>
    <w:rsid w:val="001F50E2"/>
    <w:rsid w:val="001F5242"/>
    <w:rsid w:val="001F52FC"/>
    <w:rsid w:val="001F5855"/>
    <w:rsid w:val="001F594C"/>
    <w:rsid w:val="001F59B3"/>
    <w:rsid w:val="001F5C05"/>
    <w:rsid w:val="001F648C"/>
    <w:rsid w:val="001F64C9"/>
    <w:rsid w:val="001F6541"/>
    <w:rsid w:val="001F6550"/>
    <w:rsid w:val="001F667D"/>
    <w:rsid w:val="001F6802"/>
    <w:rsid w:val="001F69B7"/>
    <w:rsid w:val="001F69FC"/>
    <w:rsid w:val="001F6B96"/>
    <w:rsid w:val="001F6D62"/>
    <w:rsid w:val="001F6FCF"/>
    <w:rsid w:val="001F7332"/>
    <w:rsid w:val="001F7336"/>
    <w:rsid w:val="001F7675"/>
    <w:rsid w:val="001F788C"/>
    <w:rsid w:val="001F793A"/>
    <w:rsid w:val="001F7DBB"/>
    <w:rsid w:val="001F7E5E"/>
    <w:rsid w:val="001F7EF5"/>
    <w:rsid w:val="00200134"/>
    <w:rsid w:val="00200195"/>
    <w:rsid w:val="00200203"/>
    <w:rsid w:val="00200214"/>
    <w:rsid w:val="0020034E"/>
    <w:rsid w:val="0020059A"/>
    <w:rsid w:val="0020064F"/>
    <w:rsid w:val="002007A3"/>
    <w:rsid w:val="002008AC"/>
    <w:rsid w:val="00200A82"/>
    <w:rsid w:val="00200ACD"/>
    <w:rsid w:val="00200ACF"/>
    <w:rsid w:val="00200BDC"/>
    <w:rsid w:val="00200C20"/>
    <w:rsid w:val="00200C85"/>
    <w:rsid w:val="00200DCC"/>
    <w:rsid w:val="00200FAE"/>
    <w:rsid w:val="0020102D"/>
    <w:rsid w:val="002010E2"/>
    <w:rsid w:val="002011A6"/>
    <w:rsid w:val="002013FC"/>
    <w:rsid w:val="00201442"/>
    <w:rsid w:val="00201495"/>
    <w:rsid w:val="00201569"/>
    <w:rsid w:val="00201729"/>
    <w:rsid w:val="002019A7"/>
    <w:rsid w:val="00201AC8"/>
    <w:rsid w:val="00201B73"/>
    <w:rsid w:val="00201C1F"/>
    <w:rsid w:val="00201D2E"/>
    <w:rsid w:val="00202031"/>
    <w:rsid w:val="002022DE"/>
    <w:rsid w:val="002022E4"/>
    <w:rsid w:val="00202348"/>
    <w:rsid w:val="0020242D"/>
    <w:rsid w:val="00202517"/>
    <w:rsid w:val="002026A8"/>
    <w:rsid w:val="00202819"/>
    <w:rsid w:val="0020294E"/>
    <w:rsid w:val="002029F5"/>
    <w:rsid w:val="00202A10"/>
    <w:rsid w:val="00202ADB"/>
    <w:rsid w:val="00202BB7"/>
    <w:rsid w:val="00202BFC"/>
    <w:rsid w:val="00202C73"/>
    <w:rsid w:val="00202EA0"/>
    <w:rsid w:val="00202F49"/>
    <w:rsid w:val="00202F90"/>
    <w:rsid w:val="00202FDD"/>
    <w:rsid w:val="00203332"/>
    <w:rsid w:val="00203333"/>
    <w:rsid w:val="0020340F"/>
    <w:rsid w:val="00203498"/>
    <w:rsid w:val="002034FD"/>
    <w:rsid w:val="00203567"/>
    <w:rsid w:val="00203668"/>
    <w:rsid w:val="00203734"/>
    <w:rsid w:val="00203885"/>
    <w:rsid w:val="00203AB3"/>
    <w:rsid w:val="00203B1A"/>
    <w:rsid w:val="00203B4F"/>
    <w:rsid w:val="00203B98"/>
    <w:rsid w:val="00203BA9"/>
    <w:rsid w:val="00203CE9"/>
    <w:rsid w:val="00203FCE"/>
    <w:rsid w:val="002040B7"/>
    <w:rsid w:val="002042A8"/>
    <w:rsid w:val="00204334"/>
    <w:rsid w:val="0020435B"/>
    <w:rsid w:val="00204533"/>
    <w:rsid w:val="002046D6"/>
    <w:rsid w:val="0020477B"/>
    <w:rsid w:val="002048D4"/>
    <w:rsid w:val="002049B4"/>
    <w:rsid w:val="00204AFB"/>
    <w:rsid w:val="00204C52"/>
    <w:rsid w:val="00204F2D"/>
    <w:rsid w:val="00204FA9"/>
    <w:rsid w:val="00204FB4"/>
    <w:rsid w:val="00205392"/>
    <w:rsid w:val="00205566"/>
    <w:rsid w:val="002055AF"/>
    <w:rsid w:val="002055EA"/>
    <w:rsid w:val="00205602"/>
    <w:rsid w:val="0020560A"/>
    <w:rsid w:val="0020580A"/>
    <w:rsid w:val="00205820"/>
    <w:rsid w:val="0020582D"/>
    <w:rsid w:val="00205C66"/>
    <w:rsid w:val="00205D52"/>
    <w:rsid w:val="00206186"/>
    <w:rsid w:val="002061D6"/>
    <w:rsid w:val="00206240"/>
    <w:rsid w:val="00206330"/>
    <w:rsid w:val="00206337"/>
    <w:rsid w:val="0020635A"/>
    <w:rsid w:val="002063AA"/>
    <w:rsid w:val="002063AE"/>
    <w:rsid w:val="002065D4"/>
    <w:rsid w:val="00206808"/>
    <w:rsid w:val="00206911"/>
    <w:rsid w:val="00206922"/>
    <w:rsid w:val="00206E30"/>
    <w:rsid w:val="00206FEC"/>
    <w:rsid w:val="0020717D"/>
    <w:rsid w:val="002071B4"/>
    <w:rsid w:val="0020720F"/>
    <w:rsid w:val="00207214"/>
    <w:rsid w:val="00207269"/>
    <w:rsid w:val="00207425"/>
    <w:rsid w:val="00207A1E"/>
    <w:rsid w:val="00207B1B"/>
    <w:rsid w:val="00207B6B"/>
    <w:rsid w:val="00207C85"/>
    <w:rsid w:val="00207E5C"/>
    <w:rsid w:val="00207EBD"/>
    <w:rsid w:val="00207F95"/>
    <w:rsid w:val="0021011F"/>
    <w:rsid w:val="00210155"/>
    <w:rsid w:val="00210477"/>
    <w:rsid w:val="002104C8"/>
    <w:rsid w:val="00210549"/>
    <w:rsid w:val="00210696"/>
    <w:rsid w:val="0021069E"/>
    <w:rsid w:val="00210804"/>
    <w:rsid w:val="0021088F"/>
    <w:rsid w:val="002108FD"/>
    <w:rsid w:val="0021098D"/>
    <w:rsid w:val="00210BBD"/>
    <w:rsid w:val="00210C3A"/>
    <w:rsid w:val="00210CE2"/>
    <w:rsid w:val="00210D5D"/>
    <w:rsid w:val="00211065"/>
    <w:rsid w:val="00211357"/>
    <w:rsid w:val="002113FE"/>
    <w:rsid w:val="0021160A"/>
    <w:rsid w:val="00211698"/>
    <w:rsid w:val="00211737"/>
    <w:rsid w:val="00211782"/>
    <w:rsid w:val="0021181B"/>
    <w:rsid w:val="00211AC7"/>
    <w:rsid w:val="00211AF7"/>
    <w:rsid w:val="00211C27"/>
    <w:rsid w:val="00211C68"/>
    <w:rsid w:val="00211E01"/>
    <w:rsid w:val="0021230F"/>
    <w:rsid w:val="00212370"/>
    <w:rsid w:val="002125B0"/>
    <w:rsid w:val="002126A3"/>
    <w:rsid w:val="002126E7"/>
    <w:rsid w:val="0021282C"/>
    <w:rsid w:val="002128EF"/>
    <w:rsid w:val="00212A82"/>
    <w:rsid w:val="00212ADA"/>
    <w:rsid w:val="00212D87"/>
    <w:rsid w:val="00212F5C"/>
    <w:rsid w:val="0021315E"/>
    <w:rsid w:val="00213225"/>
    <w:rsid w:val="00213461"/>
    <w:rsid w:val="00213490"/>
    <w:rsid w:val="00213538"/>
    <w:rsid w:val="002135D3"/>
    <w:rsid w:val="0021360C"/>
    <w:rsid w:val="002138AB"/>
    <w:rsid w:val="00213983"/>
    <w:rsid w:val="00213C66"/>
    <w:rsid w:val="00213D2D"/>
    <w:rsid w:val="00213D7D"/>
    <w:rsid w:val="00213E67"/>
    <w:rsid w:val="00213E7D"/>
    <w:rsid w:val="0021413F"/>
    <w:rsid w:val="0021415C"/>
    <w:rsid w:val="002141CB"/>
    <w:rsid w:val="002143A3"/>
    <w:rsid w:val="00214487"/>
    <w:rsid w:val="0021449A"/>
    <w:rsid w:val="002144A5"/>
    <w:rsid w:val="0021450A"/>
    <w:rsid w:val="002148C4"/>
    <w:rsid w:val="002149FC"/>
    <w:rsid w:val="00214D3C"/>
    <w:rsid w:val="00214D79"/>
    <w:rsid w:val="00214EA2"/>
    <w:rsid w:val="00215056"/>
    <w:rsid w:val="002152AB"/>
    <w:rsid w:val="002153CA"/>
    <w:rsid w:val="002154B1"/>
    <w:rsid w:val="0021590B"/>
    <w:rsid w:val="00215A70"/>
    <w:rsid w:val="00215B4D"/>
    <w:rsid w:val="00215C17"/>
    <w:rsid w:val="00215C85"/>
    <w:rsid w:val="00215DB4"/>
    <w:rsid w:val="00215E3C"/>
    <w:rsid w:val="002160A8"/>
    <w:rsid w:val="002160FA"/>
    <w:rsid w:val="00216230"/>
    <w:rsid w:val="00216269"/>
    <w:rsid w:val="00216416"/>
    <w:rsid w:val="00216605"/>
    <w:rsid w:val="00216613"/>
    <w:rsid w:val="002166DD"/>
    <w:rsid w:val="002167D9"/>
    <w:rsid w:val="002168A2"/>
    <w:rsid w:val="002169B1"/>
    <w:rsid w:val="00216A1E"/>
    <w:rsid w:val="00216B45"/>
    <w:rsid w:val="00216C72"/>
    <w:rsid w:val="00216D15"/>
    <w:rsid w:val="00216EB6"/>
    <w:rsid w:val="00216FEC"/>
    <w:rsid w:val="00216FFA"/>
    <w:rsid w:val="002170FD"/>
    <w:rsid w:val="0021713E"/>
    <w:rsid w:val="0021720B"/>
    <w:rsid w:val="002172F6"/>
    <w:rsid w:val="002172F7"/>
    <w:rsid w:val="00217335"/>
    <w:rsid w:val="0021735E"/>
    <w:rsid w:val="002177EC"/>
    <w:rsid w:val="00217867"/>
    <w:rsid w:val="00217980"/>
    <w:rsid w:val="00217A8F"/>
    <w:rsid w:val="00217B81"/>
    <w:rsid w:val="00217BBC"/>
    <w:rsid w:val="00217E8F"/>
    <w:rsid w:val="00217ECB"/>
    <w:rsid w:val="002193A3"/>
    <w:rsid w:val="00220181"/>
    <w:rsid w:val="00220351"/>
    <w:rsid w:val="00220446"/>
    <w:rsid w:val="002205E4"/>
    <w:rsid w:val="0022062D"/>
    <w:rsid w:val="0022083B"/>
    <w:rsid w:val="00220886"/>
    <w:rsid w:val="002208DB"/>
    <w:rsid w:val="00220A1D"/>
    <w:rsid w:val="00220A8A"/>
    <w:rsid w:val="00220B8C"/>
    <w:rsid w:val="00220D45"/>
    <w:rsid w:val="00220D67"/>
    <w:rsid w:val="00220E9B"/>
    <w:rsid w:val="0022105E"/>
    <w:rsid w:val="002212EB"/>
    <w:rsid w:val="00221330"/>
    <w:rsid w:val="0022151D"/>
    <w:rsid w:val="002215CA"/>
    <w:rsid w:val="002215E3"/>
    <w:rsid w:val="002215F8"/>
    <w:rsid w:val="002215FA"/>
    <w:rsid w:val="002216A6"/>
    <w:rsid w:val="00221710"/>
    <w:rsid w:val="0022174C"/>
    <w:rsid w:val="002219AE"/>
    <w:rsid w:val="00221AC6"/>
    <w:rsid w:val="00221D27"/>
    <w:rsid w:val="00221DE2"/>
    <w:rsid w:val="00221F51"/>
    <w:rsid w:val="00221F80"/>
    <w:rsid w:val="00221FAD"/>
    <w:rsid w:val="0022200C"/>
    <w:rsid w:val="00222062"/>
    <w:rsid w:val="0022226A"/>
    <w:rsid w:val="002222D9"/>
    <w:rsid w:val="00222403"/>
    <w:rsid w:val="00222515"/>
    <w:rsid w:val="00222546"/>
    <w:rsid w:val="002225C9"/>
    <w:rsid w:val="002225DD"/>
    <w:rsid w:val="0022268E"/>
    <w:rsid w:val="0022273A"/>
    <w:rsid w:val="0022296C"/>
    <w:rsid w:val="00222C63"/>
    <w:rsid w:val="00222D28"/>
    <w:rsid w:val="00222D4F"/>
    <w:rsid w:val="00222D62"/>
    <w:rsid w:val="00223037"/>
    <w:rsid w:val="002230C6"/>
    <w:rsid w:val="002234D0"/>
    <w:rsid w:val="0022366F"/>
    <w:rsid w:val="0022386B"/>
    <w:rsid w:val="00223BF5"/>
    <w:rsid w:val="00223C5D"/>
    <w:rsid w:val="00223CF3"/>
    <w:rsid w:val="00223CF4"/>
    <w:rsid w:val="00223DEA"/>
    <w:rsid w:val="00223E13"/>
    <w:rsid w:val="00223F7A"/>
    <w:rsid w:val="00224040"/>
    <w:rsid w:val="002240F1"/>
    <w:rsid w:val="0022416C"/>
    <w:rsid w:val="00224220"/>
    <w:rsid w:val="0022427F"/>
    <w:rsid w:val="002242BB"/>
    <w:rsid w:val="002242FD"/>
    <w:rsid w:val="00224398"/>
    <w:rsid w:val="00224514"/>
    <w:rsid w:val="0022458F"/>
    <w:rsid w:val="0022465E"/>
    <w:rsid w:val="0022487C"/>
    <w:rsid w:val="00224883"/>
    <w:rsid w:val="00224A81"/>
    <w:rsid w:val="00224B52"/>
    <w:rsid w:val="00224CC7"/>
    <w:rsid w:val="00224DA8"/>
    <w:rsid w:val="00224DEE"/>
    <w:rsid w:val="00224E91"/>
    <w:rsid w:val="00224F71"/>
    <w:rsid w:val="00225309"/>
    <w:rsid w:val="002255B4"/>
    <w:rsid w:val="00225A14"/>
    <w:rsid w:val="00225AAF"/>
    <w:rsid w:val="00225B4C"/>
    <w:rsid w:val="00225E1E"/>
    <w:rsid w:val="00225F1C"/>
    <w:rsid w:val="00225F36"/>
    <w:rsid w:val="00226129"/>
    <w:rsid w:val="0022614D"/>
    <w:rsid w:val="0022630F"/>
    <w:rsid w:val="00226613"/>
    <w:rsid w:val="00226687"/>
    <w:rsid w:val="0022670A"/>
    <w:rsid w:val="002267A3"/>
    <w:rsid w:val="002267ED"/>
    <w:rsid w:val="00226970"/>
    <w:rsid w:val="00226A32"/>
    <w:rsid w:val="00226AA2"/>
    <w:rsid w:val="00226AC0"/>
    <w:rsid w:val="00226C4D"/>
    <w:rsid w:val="00226D3F"/>
    <w:rsid w:val="00226D48"/>
    <w:rsid w:val="00226FA7"/>
    <w:rsid w:val="00227185"/>
    <w:rsid w:val="00227218"/>
    <w:rsid w:val="002272C9"/>
    <w:rsid w:val="002274BB"/>
    <w:rsid w:val="0022752E"/>
    <w:rsid w:val="002275A7"/>
    <w:rsid w:val="0022770A"/>
    <w:rsid w:val="00227823"/>
    <w:rsid w:val="00227ABF"/>
    <w:rsid w:val="00227BEE"/>
    <w:rsid w:val="00227C8F"/>
    <w:rsid w:val="00227EBF"/>
    <w:rsid w:val="00227FB4"/>
    <w:rsid w:val="00230050"/>
    <w:rsid w:val="0023014D"/>
    <w:rsid w:val="00230256"/>
    <w:rsid w:val="0023045E"/>
    <w:rsid w:val="0023057E"/>
    <w:rsid w:val="002305C2"/>
    <w:rsid w:val="00230687"/>
    <w:rsid w:val="002306F7"/>
    <w:rsid w:val="00230792"/>
    <w:rsid w:val="002307D2"/>
    <w:rsid w:val="00230AAC"/>
    <w:rsid w:val="00230CB0"/>
    <w:rsid w:val="00230F3F"/>
    <w:rsid w:val="00230F46"/>
    <w:rsid w:val="00231179"/>
    <w:rsid w:val="002311AE"/>
    <w:rsid w:val="002312BC"/>
    <w:rsid w:val="002312FE"/>
    <w:rsid w:val="00231301"/>
    <w:rsid w:val="00231342"/>
    <w:rsid w:val="002313CB"/>
    <w:rsid w:val="0023145F"/>
    <w:rsid w:val="0023149E"/>
    <w:rsid w:val="002315C4"/>
    <w:rsid w:val="00231663"/>
    <w:rsid w:val="002316F6"/>
    <w:rsid w:val="0023181A"/>
    <w:rsid w:val="00231F21"/>
    <w:rsid w:val="00231FA4"/>
    <w:rsid w:val="002321FB"/>
    <w:rsid w:val="00232270"/>
    <w:rsid w:val="002324F2"/>
    <w:rsid w:val="0023262C"/>
    <w:rsid w:val="00232890"/>
    <w:rsid w:val="00232C91"/>
    <w:rsid w:val="00232DB1"/>
    <w:rsid w:val="00232ED9"/>
    <w:rsid w:val="00232FDF"/>
    <w:rsid w:val="002330AC"/>
    <w:rsid w:val="00233116"/>
    <w:rsid w:val="0023313C"/>
    <w:rsid w:val="0023357C"/>
    <w:rsid w:val="002335DA"/>
    <w:rsid w:val="00233657"/>
    <w:rsid w:val="002337E5"/>
    <w:rsid w:val="00233828"/>
    <w:rsid w:val="0023382F"/>
    <w:rsid w:val="00233925"/>
    <w:rsid w:val="00233B41"/>
    <w:rsid w:val="00233BBD"/>
    <w:rsid w:val="00233BE1"/>
    <w:rsid w:val="00233C06"/>
    <w:rsid w:val="00233C7F"/>
    <w:rsid w:val="00233F24"/>
    <w:rsid w:val="0023424C"/>
    <w:rsid w:val="00234258"/>
    <w:rsid w:val="00234296"/>
    <w:rsid w:val="00234444"/>
    <w:rsid w:val="0023477A"/>
    <w:rsid w:val="00234793"/>
    <w:rsid w:val="002347CE"/>
    <w:rsid w:val="002348F6"/>
    <w:rsid w:val="002349E2"/>
    <w:rsid w:val="00234A2C"/>
    <w:rsid w:val="00234B1E"/>
    <w:rsid w:val="00234BBB"/>
    <w:rsid w:val="00234C5F"/>
    <w:rsid w:val="00234DCF"/>
    <w:rsid w:val="00234F10"/>
    <w:rsid w:val="00234F92"/>
    <w:rsid w:val="00235154"/>
    <w:rsid w:val="00235165"/>
    <w:rsid w:val="0023516B"/>
    <w:rsid w:val="00235269"/>
    <w:rsid w:val="002352C4"/>
    <w:rsid w:val="0023533B"/>
    <w:rsid w:val="002353FD"/>
    <w:rsid w:val="0023545B"/>
    <w:rsid w:val="00235618"/>
    <w:rsid w:val="00235659"/>
    <w:rsid w:val="002356F4"/>
    <w:rsid w:val="00235772"/>
    <w:rsid w:val="0023581C"/>
    <w:rsid w:val="00235869"/>
    <w:rsid w:val="0023588F"/>
    <w:rsid w:val="002358FE"/>
    <w:rsid w:val="00235949"/>
    <w:rsid w:val="00235AA6"/>
    <w:rsid w:val="00235BA8"/>
    <w:rsid w:val="00235D09"/>
    <w:rsid w:val="00235DDE"/>
    <w:rsid w:val="00235F02"/>
    <w:rsid w:val="002360F3"/>
    <w:rsid w:val="0023610B"/>
    <w:rsid w:val="00236253"/>
    <w:rsid w:val="0023633C"/>
    <w:rsid w:val="0023637B"/>
    <w:rsid w:val="0023638B"/>
    <w:rsid w:val="00236685"/>
    <w:rsid w:val="002366CF"/>
    <w:rsid w:val="002368BA"/>
    <w:rsid w:val="002368CF"/>
    <w:rsid w:val="002368EA"/>
    <w:rsid w:val="00236BFD"/>
    <w:rsid w:val="00236C6B"/>
    <w:rsid w:val="00236C98"/>
    <w:rsid w:val="00236D28"/>
    <w:rsid w:val="00236D38"/>
    <w:rsid w:val="00236D42"/>
    <w:rsid w:val="00236DEC"/>
    <w:rsid w:val="00236DFE"/>
    <w:rsid w:val="00236EF5"/>
    <w:rsid w:val="0023717B"/>
    <w:rsid w:val="00237208"/>
    <w:rsid w:val="0023724D"/>
    <w:rsid w:val="002372E0"/>
    <w:rsid w:val="00237315"/>
    <w:rsid w:val="00237441"/>
    <w:rsid w:val="002375CD"/>
    <w:rsid w:val="0023768E"/>
    <w:rsid w:val="00237869"/>
    <w:rsid w:val="0023794C"/>
    <w:rsid w:val="002379EE"/>
    <w:rsid w:val="00237C0B"/>
    <w:rsid w:val="00237C32"/>
    <w:rsid w:val="00237CE0"/>
    <w:rsid w:val="00237D5A"/>
    <w:rsid w:val="00237E58"/>
    <w:rsid w:val="00237E97"/>
    <w:rsid w:val="00237FE4"/>
    <w:rsid w:val="0024012B"/>
    <w:rsid w:val="002401E0"/>
    <w:rsid w:val="002405BE"/>
    <w:rsid w:val="00240656"/>
    <w:rsid w:val="00240691"/>
    <w:rsid w:val="002406D1"/>
    <w:rsid w:val="002406E8"/>
    <w:rsid w:val="002406EC"/>
    <w:rsid w:val="002407CF"/>
    <w:rsid w:val="00240AC0"/>
    <w:rsid w:val="00240B95"/>
    <w:rsid w:val="00240B9D"/>
    <w:rsid w:val="00240E47"/>
    <w:rsid w:val="00240EAE"/>
    <w:rsid w:val="00240ED7"/>
    <w:rsid w:val="00240FEF"/>
    <w:rsid w:val="002410E6"/>
    <w:rsid w:val="002414F5"/>
    <w:rsid w:val="00241610"/>
    <w:rsid w:val="00241661"/>
    <w:rsid w:val="0024172D"/>
    <w:rsid w:val="00241967"/>
    <w:rsid w:val="00241976"/>
    <w:rsid w:val="00241ACA"/>
    <w:rsid w:val="00241AE5"/>
    <w:rsid w:val="00241AED"/>
    <w:rsid w:val="00241C8C"/>
    <w:rsid w:val="00241D31"/>
    <w:rsid w:val="00241E75"/>
    <w:rsid w:val="002420BA"/>
    <w:rsid w:val="00242141"/>
    <w:rsid w:val="0024216F"/>
    <w:rsid w:val="002422A5"/>
    <w:rsid w:val="002423CA"/>
    <w:rsid w:val="0024252F"/>
    <w:rsid w:val="00242531"/>
    <w:rsid w:val="002425B7"/>
    <w:rsid w:val="00242681"/>
    <w:rsid w:val="002427AE"/>
    <w:rsid w:val="00242917"/>
    <w:rsid w:val="00242B5D"/>
    <w:rsid w:val="00242B5E"/>
    <w:rsid w:val="00242B9F"/>
    <w:rsid w:val="00242BCC"/>
    <w:rsid w:val="00242BFD"/>
    <w:rsid w:val="00242E39"/>
    <w:rsid w:val="00242EDA"/>
    <w:rsid w:val="00242F06"/>
    <w:rsid w:val="00242F9F"/>
    <w:rsid w:val="00243078"/>
    <w:rsid w:val="00243182"/>
    <w:rsid w:val="00243188"/>
    <w:rsid w:val="002431A9"/>
    <w:rsid w:val="002433F9"/>
    <w:rsid w:val="0024349C"/>
    <w:rsid w:val="00243581"/>
    <w:rsid w:val="002437C6"/>
    <w:rsid w:val="002438F6"/>
    <w:rsid w:val="00243928"/>
    <w:rsid w:val="00243946"/>
    <w:rsid w:val="00243A63"/>
    <w:rsid w:val="00243B4D"/>
    <w:rsid w:val="00243BC5"/>
    <w:rsid w:val="00243C7D"/>
    <w:rsid w:val="00243DDB"/>
    <w:rsid w:val="00243E7F"/>
    <w:rsid w:val="00243E9A"/>
    <w:rsid w:val="00243EBD"/>
    <w:rsid w:val="00243EC7"/>
    <w:rsid w:val="00243EEB"/>
    <w:rsid w:val="00243FA4"/>
    <w:rsid w:val="00244067"/>
    <w:rsid w:val="00244166"/>
    <w:rsid w:val="0024423B"/>
    <w:rsid w:val="00244332"/>
    <w:rsid w:val="00244371"/>
    <w:rsid w:val="0024447C"/>
    <w:rsid w:val="00244900"/>
    <w:rsid w:val="00244A26"/>
    <w:rsid w:val="00244AF8"/>
    <w:rsid w:val="00244AFC"/>
    <w:rsid w:val="00244B9F"/>
    <w:rsid w:val="00244BC5"/>
    <w:rsid w:val="00244C2C"/>
    <w:rsid w:val="00244CCA"/>
    <w:rsid w:val="00244D0F"/>
    <w:rsid w:val="00244E68"/>
    <w:rsid w:val="00244F58"/>
    <w:rsid w:val="00245069"/>
    <w:rsid w:val="00245251"/>
    <w:rsid w:val="002452C4"/>
    <w:rsid w:val="0024530D"/>
    <w:rsid w:val="00245317"/>
    <w:rsid w:val="0024568D"/>
    <w:rsid w:val="002456C5"/>
    <w:rsid w:val="00245719"/>
    <w:rsid w:val="00245ABE"/>
    <w:rsid w:val="00245C0B"/>
    <w:rsid w:val="00245E6E"/>
    <w:rsid w:val="0024603D"/>
    <w:rsid w:val="0024608C"/>
    <w:rsid w:val="0024610B"/>
    <w:rsid w:val="002462DD"/>
    <w:rsid w:val="00246512"/>
    <w:rsid w:val="002465B7"/>
    <w:rsid w:val="00246609"/>
    <w:rsid w:val="002466CF"/>
    <w:rsid w:val="002466E6"/>
    <w:rsid w:val="00246820"/>
    <w:rsid w:val="002468C8"/>
    <w:rsid w:val="002468CE"/>
    <w:rsid w:val="002468D7"/>
    <w:rsid w:val="00246965"/>
    <w:rsid w:val="00246A55"/>
    <w:rsid w:val="00246A96"/>
    <w:rsid w:val="00246B28"/>
    <w:rsid w:val="00246B74"/>
    <w:rsid w:val="00246C63"/>
    <w:rsid w:val="00246D24"/>
    <w:rsid w:val="00246DCD"/>
    <w:rsid w:val="00246EAE"/>
    <w:rsid w:val="00246EAF"/>
    <w:rsid w:val="00246F92"/>
    <w:rsid w:val="00247116"/>
    <w:rsid w:val="00247184"/>
    <w:rsid w:val="002471E5"/>
    <w:rsid w:val="00247299"/>
    <w:rsid w:val="002473B9"/>
    <w:rsid w:val="002473E8"/>
    <w:rsid w:val="002479DB"/>
    <w:rsid w:val="00247C97"/>
    <w:rsid w:val="0025001E"/>
    <w:rsid w:val="002500EF"/>
    <w:rsid w:val="0025016C"/>
    <w:rsid w:val="002501C5"/>
    <w:rsid w:val="0025027A"/>
    <w:rsid w:val="002503BD"/>
    <w:rsid w:val="002504AB"/>
    <w:rsid w:val="002504B2"/>
    <w:rsid w:val="0025050F"/>
    <w:rsid w:val="0025058F"/>
    <w:rsid w:val="00250649"/>
    <w:rsid w:val="002506C7"/>
    <w:rsid w:val="00250813"/>
    <w:rsid w:val="00250870"/>
    <w:rsid w:val="00250898"/>
    <w:rsid w:val="002508F2"/>
    <w:rsid w:val="00250964"/>
    <w:rsid w:val="0025099B"/>
    <w:rsid w:val="00250AE8"/>
    <w:rsid w:val="00250D19"/>
    <w:rsid w:val="00250D7A"/>
    <w:rsid w:val="00250E4C"/>
    <w:rsid w:val="00250F1A"/>
    <w:rsid w:val="0025121F"/>
    <w:rsid w:val="0025144E"/>
    <w:rsid w:val="00251568"/>
    <w:rsid w:val="0025157E"/>
    <w:rsid w:val="002517A8"/>
    <w:rsid w:val="002517F9"/>
    <w:rsid w:val="00251A37"/>
    <w:rsid w:val="00251CFA"/>
    <w:rsid w:val="00251EEE"/>
    <w:rsid w:val="00252087"/>
    <w:rsid w:val="0025209D"/>
    <w:rsid w:val="00252384"/>
    <w:rsid w:val="002524E2"/>
    <w:rsid w:val="0025283E"/>
    <w:rsid w:val="002528D2"/>
    <w:rsid w:val="0025295D"/>
    <w:rsid w:val="002529DA"/>
    <w:rsid w:val="00252AF6"/>
    <w:rsid w:val="00252BC1"/>
    <w:rsid w:val="00252C09"/>
    <w:rsid w:val="00253047"/>
    <w:rsid w:val="002530CF"/>
    <w:rsid w:val="00253111"/>
    <w:rsid w:val="00253177"/>
    <w:rsid w:val="002532FC"/>
    <w:rsid w:val="00253615"/>
    <w:rsid w:val="00253690"/>
    <w:rsid w:val="00253856"/>
    <w:rsid w:val="002538B8"/>
    <w:rsid w:val="002538F9"/>
    <w:rsid w:val="0025396F"/>
    <w:rsid w:val="00253A55"/>
    <w:rsid w:val="00253A6E"/>
    <w:rsid w:val="00253B24"/>
    <w:rsid w:val="00253BA8"/>
    <w:rsid w:val="00253FA5"/>
    <w:rsid w:val="00254013"/>
    <w:rsid w:val="002540D3"/>
    <w:rsid w:val="0025418F"/>
    <w:rsid w:val="00254319"/>
    <w:rsid w:val="0025453A"/>
    <w:rsid w:val="002545F8"/>
    <w:rsid w:val="00254855"/>
    <w:rsid w:val="002548A9"/>
    <w:rsid w:val="00254B21"/>
    <w:rsid w:val="00254CC8"/>
    <w:rsid w:val="00254D5C"/>
    <w:rsid w:val="00254E22"/>
    <w:rsid w:val="00254E95"/>
    <w:rsid w:val="00255089"/>
    <w:rsid w:val="00255325"/>
    <w:rsid w:val="00255370"/>
    <w:rsid w:val="0025539F"/>
    <w:rsid w:val="002554AC"/>
    <w:rsid w:val="0025560F"/>
    <w:rsid w:val="0025577E"/>
    <w:rsid w:val="00255881"/>
    <w:rsid w:val="00255B1B"/>
    <w:rsid w:val="00255BFD"/>
    <w:rsid w:val="00255C6C"/>
    <w:rsid w:val="00255CF6"/>
    <w:rsid w:val="002560A3"/>
    <w:rsid w:val="00256224"/>
    <w:rsid w:val="00256388"/>
    <w:rsid w:val="00256541"/>
    <w:rsid w:val="002565CF"/>
    <w:rsid w:val="0025686B"/>
    <w:rsid w:val="002569DB"/>
    <w:rsid w:val="002569F6"/>
    <w:rsid w:val="00256C58"/>
    <w:rsid w:val="00256CCB"/>
    <w:rsid w:val="00256E0E"/>
    <w:rsid w:val="00256E44"/>
    <w:rsid w:val="00256E81"/>
    <w:rsid w:val="00256EEF"/>
    <w:rsid w:val="00257068"/>
    <w:rsid w:val="0025728C"/>
    <w:rsid w:val="002573B9"/>
    <w:rsid w:val="002573C2"/>
    <w:rsid w:val="00257412"/>
    <w:rsid w:val="002575AC"/>
    <w:rsid w:val="002575F8"/>
    <w:rsid w:val="0025778A"/>
    <w:rsid w:val="002579BC"/>
    <w:rsid w:val="00257A6C"/>
    <w:rsid w:val="00257D69"/>
    <w:rsid w:val="00257EFD"/>
    <w:rsid w:val="00257F2A"/>
    <w:rsid w:val="0026000C"/>
    <w:rsid w:val="0026004F"/>
    <w:rsid w:val="00260072"/>
    <w:rsid w:val="0026027B"/>
    <w:rsid w:val="00260306"/>
    <w:rsid w:val="00260318"/>
    <w:rsid w:val="0026045E"/>
    <w:rsid w:val="00260564"/>
    <w:rsid w:val="002608CF"/>
    <w:rsid w:val="002608E9"/>
    <w:rsid w:val="00260919"/>
    <w:rsid w:val="00260AEE"/>
    <w:rsid w:val="00260B7E"/>
    <w:rsid w:val="00260CF0"/>
    <w:rsid w:val="00260D76"/>
    <w:rsid w:val="00260DCA"/>
    <w:rsid w:val="00261225"/>
    <w:rsid w:val="002612FD"/>
    <w:rsid w:val="00261314"/>
    <w:rsid w:val="0026131F"/>
    <w:rsid w:val="00261381"/>
    <w:rsid w:val="002613AC"/>
    <w:rsid w:val="002613DC"/>
    <w:rsid w:val="00261408"/>
    <w:rsid w:val="00261426"/>
    <w:rsid w:val="00261640"/>
    <w:rsid w:val="00261740"/>
    <w:rsid w:val="00261755"/>
    <w:rsid w:val="0026193B"/>
    <w:rsid w:val="00261A11"/>
    <w:rsid w:val="00261A20"/>
    <w:rsid w:val="00261AAA"/>
    <w:rsid w:val="00261BB2"/>
    <w:rsid w:val="00261D3D"/>
    <w:rsid w:val="00261F5C"/>
    <w:rsid w:val="00262097"/>
    <w:rsid w:val="0026210F"/>
    <w:rsid w:val="002621AD"/>
    <w:rsid w:val="002621E3"/>
    <w:rsid w:val="00262200"/>
    <w:rsid w:val="0026228B"/>
    <w:rsid w:val="00262349"/>
    <w:rsid w:val="00262350"/>
    <w:rsid w:val="0026272F"/>
    <w:rsid w:val="00262C32"/>
    <w:rsid w:val="00262D20"/>
    <w:rsid w:val="00262DD2"/>
    <w:rsid w:val="00263129"/>
    <w:rsid w:val="0026324D"/>
    <w:rsid w:val="0026327F"/>
    <w:rsid w:val="0026344D"/>
    <w:rsid w:val="002634AB"/>
    <w:rsid w:val="002636C1"/>
    <w:rsid w:val="002636FA"/>
    <w:rsid w:val="002638D8"/>
    <w:rsid w:val="002638E0"/>
    <w:rsid w:val="00263A4E"/>
    <w:rsid w:val="00263C19"/>
    <w:rsid w:val="00263D93"/>
    <w:rsid w:val="00263E74"/>
    <w:rsid w:val="00263E9F"/>
    <w:rsid w:val="00263F25"/>
    <w:rsid w:val="00263F5B"/>
    <w:rsid w:val="00263F7B"/>
    <w:rsid w:val="00264084"/>
    <w:rsid w:val="00264251"/>
    <w:rsid w:val="00264308"/>
    <w:rsid w:val="00264517"/>
    <w:rsid w:val="002646EB"/>
    <w:rsid w:val="00264913"/>
    <w:rsid w:val="00264D9F"/>
    <w:rsid w:val="00264DB7"/>
    <w:rsid w:val="00264E7F"/>
    <w:rsid w:val="00264EAB"/>
    <w:rsid w:val="00264EE0"/>
    <w:rsid w:val="00264F03"/>
    <w:rsid w:val="00264F8F"/>
    <w:rsid w:val="00265054"/>
    <w:rsid w:val="002650B6"/>
    <w:rsid w:val="00265155"/>
    <w:rsid w:val="002653F0"/>
    <w:rsid w:val="00265539"/>
    <w:rsid w:val="002655AE"/>
    <w:rsid w:val="002656F4"/>
    <w:rsid w:val="002657BD"/>
    <w:rsid w:val="0026582E"/>
    <w:rsid w:val="0026591F"/>
    <w:rsid w:val="00265946"/>
    <w:rsid w:val="002659ED"/>
    <w:rsid w:val="00265A65"/>
    <w:rsid w:val="00265AB5"/>
    <w:rsid w:val="00265B60"/>
    <w:rsid w:val="00265B99"/>
    <w:rsid w:val="00265E3B"/>
    <w:rsid w:val="002660F0"/>
    <w:rsid w:val="00266141"/>
    <w:rsid w:val="00266435"/>
    <w:rsid w:val="0026644B"/>
    <w:rsid w:val="002664F4"/>
    <w:rsid w:val="0026657A"/>
    <w:rsid w:val="00266648"/>
    <w:rsid w:val="00266785"/>
    <w:rsid w:val="00266ECF"/>
    <w:rsid w:val="0026709F"/>
    <w:rsid w:val="00267165"/>
    <w:rsid w:val="0026735D"/>
    <w:rsid w:val="0026754D"/>
    <w:rsid w:val="002675B6"/>
    <w:rsid w:val="00267A99"/>
    <w:rsid w:val="00267CC7"/>
    <w:rsid w:val="00267D8A"/>
    <w:rsid w:val="00267DEB"/>
    <w:rsid w:val="00267E8F"/>
    <w:rsid w:val="002700F7"/>
    <w:rsid w:val="00270271"/>
    <w:rsid w:val="00270321"/>
    <w:rsid w:val="00270553"/>
    <w:rsid w:val="00270A43"/>
    <w:rsid w:val="00270D81"/>
    <w:rsid w:val="00270DCE"/>
    <w:rsid w:val="00270E86"/>
    <w:rsid w:val="00270E8F"/>
    <w:rsid w:val="00270EE1"/>
    <w:rsid w:val="00271054"/>
    <w:rsid w:val="002713B6"/>
    <w:rsid w:val="002713FB"/>
    <w:rsid w:val="002714F1"/>
    <w:rsid w:val="002715F3"/>
    <w:rsid w:val="00271C24"/>
    <w:rsid w:val="00271E9F"/>
    <w:rsid w:val="00272174"/>
    <w:rsid w:val="002721A6"/>
    <w:rsid w:val="0027224A"/>
    <w:rsid w:val="002722E0"/>
    <w:rsid w:val="00272455"/>
    <w:rsid w:val="002725A3"/>
    <w:rsid w:val="00272768"/>
    <w:rsid w:val="002727A2"/>
    <w:rsid w:val="002728F7"/>
    <w:rsid w:val="00272985"/>
    <w:rsid w:val="00272A7D"/>
    <w:rsid w:val="00272C5B"/>
    <w:rsid w:val="00272E91"/>
    <w:rsid w:val="00272EF0"/>
    <w:rsid w:val="00272F4B"/>
    <w:rsid w:val="00272F5E"/>
    <w:rsid w:val="00272F9E"/>
    <w:rsid w:val="002730EC"/>
    <w:rsid w:val="00273100"/>
    <w:rsid w:val="002732B2"/>
    <w:rsid w:val="002735AB"/>
    <w:rsid w:val="002735C9"/>
    <w:rsid w:val="002735CC"/>
    <w:rsid w:val="0027365A"/>
    <w:rsid w:val="002739A6"/>
    <w:rsid w:val="00273AC3"/>
    <w:rsid w:val="00273B9C"/>
    <w:rsid w:val="00273C82"/>
    <w:rsid w:val="00273D58"/>
    <w:rsid w:val="00273E9E"/>
    <w:rsid w:val="00273ECD"/>
    <w:rsid w:val="00273FD7"/>
    <w:rsid w:val="002740F1"/>
    <w:rsid w:val="0027420E"/>
    <w:rsid w:val="00274398"/>
    <w:rsid w:val="00274504"/>
    <w:rsid w:val="00274588"/>
    <w:rsid w:val="00274625"/>
    <w:rsid w:val="002746F5"/>
    <w:rsid w:val="00274732"/>
    <w:rsid w:val="002747FA"/>
    <w:rsid w:val="00274839"/>
    <w:rsid w:val="002749F4"/>
    <w:rsid w:val="00274A47"/>
    <w:rsid w:val="00274A67"/>
    <w:rsid w:val="00274AA2"/>
    <w:rsid w:val="00274B66"/>
    <w:rsid w:val="00274FEE"/>
    <w:rsid w:val="002751D8"/>
    <w:rsid w:val="002753A1"/>
    <w:rsid w:val="002753B5"/>
    <w:rsid w:val="0027552B"/>
    <w:rsid w:val="00275546"/>
    <w:rsid w:val="0027556C"/>
    <w:rsid w:val="0027558E"/>
    <w:rsid w:val="002755E9"/>
    <w:rsid w:val="002755F1"/>
    <w:rsid w:val="00275655"/>
    <w:rsid w:val="002756EF"/>
    <w:rsid w:val="00275708"/>
    <w:rsid w:val="00275719"/>
    <w:rsid w:val="0027580B"/>
    <w:rsid w:val="00275BA3"/>
    <w:rsid w:val="00275D58"/>
    <w:rsid w:val="00275DBE"/>
    <w:rsid w:val="00275F35"/>
    <w:rsid w:val="002761C7"/>
    <w:rsid w:val="0027634B"/>
    <w:rsid w:val="0027658F"/>
    <w:rsid w:val="002765AD"/>
    <w:rsid w:val="0027669B"/>
    <w:rsid w:val="002768C5"/>
    <w:rsid w:val="002768CF"/>
    <w:rsid w:val="00276910"/>
    <w:rsid w:val="00276C5B"/>
    <w:rsid w:val="00276D31"/>
    <w:rsid w:val="00276E16"/>
    <w:rsid w:val="00276F82"/>
    <w:rsid w:val="002771BA"/>
    <w:rsid w:val="002772C4"/>
    <w:rsid w:val="002772D8"/>
    <w:rsid w:val="0027730A"/>
    <w:rsid w:val="0027730E"/>
    <w:rsid w:val="002773E6"/>
    <w:rsid w:val="0027740C"/>
    <w:rsid w:val="00277434"/>
    <w:rsid w:val="00277B5C"/>
    <w:rsid w:val="00277DA2"/>
    <w:rsid w:val="0027D75D"/>
    <w:rsid w:val="00280047"/>
    <w:rsid w:val="00280159"/>
    <w:rsid w:val="002801C8"/>
    <w:rsid w:val="00280278"/>
    <w:rsid w:val="002805DF"/>
    <w:rsid w:val="0028092D"/>
    <w:rsid w:val="00280B33"/>
    <w:rsid w:val="00280BC0"/>
    <w:rsid w:val="00280C24"/>
    <w:rsid w:val="00280FC0"/>
    <w:rsid w:val="0028131B"/>
    <w:rsid w:val="00281556"/>
    <w:rsid w:val="00281579"/>
    <w:rsid w:val="0028157C"/>
    <w:rsid w:val="002815D9"/>
    <w:rsid w:val="002816BF"/>
    <w:rsid w:val="00281776"/>
    <w:rsid w:val="0028179F"/>
    <w:rsid w:val="002817D4"/>
    <w:rsid w:val="002818AC"/>
    <w:rsid w:val="00281963"/>
    <w:rsid w:val="00281A69"/>
    <w:rsid w:val="00281B53"/>
    <w:rsid w:val="00281E2A"/>
    <w:rsid w:val="00281F59"/>
    <w:rsid w:val="00281F9D"/>
    <w:rsid w:val="00282143"/>
    <w:rsid w:val="002821E4"/>
    <w:rsid w:val="002821EF"/>
    <w:rsid w:val="00282317"/>
    <w:rsid w:val="00282384"/>
    <w:rsid w:val="002823B7"/>
    <w:rsid w:val="0028249B"/>
    <w:rsid w:val="0028255F"/>
    <w:rsid w:val="002825DE"/>
    <w:rsid w:val="002827AE"/>
    <w:rsid w:val="0028285E"/>
    <w:rsid w:val="00282982"/>
    <w:rsid w:val="00282C61"/>
    <w:rsid w:val="00282D25"/>
    <w:rsid w:val="00282DDD"/>
    <w:rsid w:val="00282DF9"/>
    <w:rsid w:val="00282F99"/>
    <w:rsid w:val="00283797"/>
    <w:rsid w:val="002838DD"/>
    <w:rsid w:val="00283948"/>
    <w:rsid w:val="002839E5"/>
    <w:rsid w:val="00283A44"/>
    <w:rsid w:val="00283AE3"/>
    <w:rsid w:val="00283BB3"/>
    <w:rsid w:val="00283C36"/>
    <w:rsid w:val="00283C69"/>
    <w:rsid w:val="00283CDA"/>
    <w:rsid w:val="00283DFF"/>
    <w:rsid w:val="00283EFC"/>
    <w:rsid w:val="00283F75"/>
    <w:rsid w:val="00284238"/>
    <w:rsid w:val="00284265"/>
    <w:rsid w:val="00284343"/>
    <w:rsid w:val="00284391"/>
    <w:rsid w:val="002843F6"/>
    <w:rsid w:val="002845AC"/>
    <w:rsid w:val="002845C6"/>
    <w:rsid w:val="0028466C"/>
    <w:rsid w:val="002847D5"/>
    <w:rsid w:val="002849AB"/>
    <w:rsid w:val="002849B6"/>
    <w:rsid w:val="00284AD2"/>
    <w:rsid w:val="00284B14"/>
    <w:rsid w:val="00284C8C"/>
    <w:rsid w:val="00284EC1"/>
    <w:rsid w:val="0028508B"/>
    <w:rsid w:val="002850BF"/>
    <w:rsid w:val="002851C0"/>
    <w:rsid w:val="002851D2"/>
    <w:rsid w:val="0028529F"/>
    <w:rsid w:val="002853E0"/>
    <w:rsid w:val="002855F6"/>
    <w:rsid w:val="00285687"/>
    <w:rsid w:val="0028579E"/>
    <w:rsid w:val="00285894"/>
    <w:rsid w:val="00285B28"/>
    <w:rsid w:val="00285C3D"/>
    <w:rsid w:val="00285C86"/>
    <w:rsid w:val="00285CBA"/>
    <w:rsid w:val="00285D36"/>
    <w:rsid w:val="00285D57"/>
    <w:rsid w:val="00285E23"/>
    <w:rsid w:val="00285F81"/>
    <w:rsid w:val="00286031"/>
    <w:rsid w:val="002860F6"/>
    <w:rsid w:val="00286134"/>
    <w:rsid w:val="0028613E"/>
    <w:rsid w:val="002861FF"/>
    <w:rsid w:val="0028629F"/>
    <w:rsid w:val="0028642C"/>
    <w:rsid w:val="002864B3"/>
    <w:rsid w:val="00286522"/>
    <w:rsid w:val="00286766"/>
    <w:rsid w:val="002867CE"/>
    <w:rsid w:val="002867F5"/>
    <w:rsid w:val="002869FC"/>
    <w:rsid w:val="00286A45"/>
    <w:rsid w:val="00286B09"/>
    <w:rsid w:val="00286BB7"/>
    <w:rsid w:val="00286C77"/>
    <w:rsid w:val="00286E03"/>
    <w:rsid w:val="00287649"/>
    <w:rsid w:val="0028770D"/>
    <w:rsid w:val="00287878"/>
    <w:rsid w:val="00287884"/>
    <w:rsid w:val="00287BA2"/>
    <w:rsid w:val="00287C5A"/>
    <w:rsid w:val="00287DAB"/>
    <w:rsid w:val="00287E80"/>
    <w:rsid w:val="00287EBC"/>
    <w:rsid w:val="00287EBF"/>
    <w:rsid w:val="00287F58"/>
    <w:rsid w:val="00287F78"/>
    <w:rsid w:val="00287FB6"/>
    <w:rsid w:val="002900C5"/>
    <w:rsid w:val="0029010C"/>
    <w:rsid w:val="002901E0"/>
    <w:rsid w:val="002905DA"/>
    <w:rsid w:val="002906E6"/>
    <w:rsid w:val="0029075B"/>
    <w:rsid w:val="0029097F"/>
    <w:rsid w:val="00290BB1"/>
    <w:rsid w:val="00290F36"/>
    <w:rsid w:val="0029123C"/>
    <w:rsid w:val="002912C6"/>
    <w:rsid w:val="002912DD"/>
    <w:rsid w:val="00291372"/>
    <w:rsid w:val="002913CC"/>
    <w:rsid w:val="00291418"/>
    <w:rsid w:val="002914E8"/>
    <w:rsid w:val="002915EE"/>
    <w:rsid w:val="002917F4"/>
    <w:rsid w:val="00291800"/>
    <w:rsid w:val="0029187E"/>
    <w:rsid w:val="0029190C"/>
    <w:rsid w:val="00291969"/>
    <w:rsid w:val="00291A7F"/>
    <w:rsid w:val="00291B31"/>
    <w:rsid w:val="00291B75"/>
    <w:rsid w:val="00291BC1"/>
    <w:rsid w:val="00291C65"/>
    <w:rsid w:val="00291D16"/>
    <w:rsid w:val="00291F56"/>
    <w:rsid w:val="00291F59"/>
    <w:rsid w:val="00292390"/>
    <w:rsid w:val="00292AA4"/>
    <w:rsid w:val="00292B82"/>
    <w:rsid w:val="00292F35"/>
    <w:rsid w:val="00292F81"/>
    <w:rsid w:val="00293063"/>
    <w:rsid w:val="002931F6"/>
    <w:rsid w:val="002933CA"/>
    <w:rsid w:val="002933FD"/>
    <w:rsid w:val="002935B8"/>
    <w:rsid w:val="00293624"/>
    <w:rsid w:val="002936E7"/>
    <w:rsid w:val="002937D2"/>
    <w:rsid w:val="00293949"/>
    <w:rsid w:val="002939F7"/>
    <w:rsid w:val="00293A8F"/>
    <w:rsid w:val="00293B7F"/>
    <w:rsid w:val="00293D22"/>
    <w:rsid w:val="00293DDB"/>
    <w:rsid w:val="00293F8B"/>
    <w:rsid w:val="002940EF"/>
    <w:rsid w:val="002940FD"/>
    <w:rsid w:val="00294166"/>
    <w:rsid w:val="0029422C"/>
    <w:rsid w:val="00294270"/>
    <w:rsid w:val="00294275"/>
    <w:rsid w:val="00294335"/>
    <w:rsid w:val="0029436A"/>
    <w:rsid w:val="00294403"/>
    <w:rsid w:val="002944B5"/>
    <w:rsid w:val="002944FA"/>
    <w:rsid w:val="00294651"/>
    <w:rsid w:val="002948AE"/>
    <w:rsid w:val="00294B37"/>
    <w:rsid w:val="00294C21"/>
    <w:rsid w:val="00294C71"/>
    <w:rsid w:val="00294DA6"/>
    <w:rsid w:val="00294E6B"/>
    <w:rsid w:val="00294EFD"/>
    <w:rsid w:val="00294FE7"/>
    <w:rsid w:val="00294FEB"/>
    <w:rsid w:val="0029503D"/>
    <w:rsid w:val="0029508C"/>
    <w:rsid w:val="00295155"/>
    <w:rsid w:val="002953FF"/>
    <w:rsid w:val="002954A0"/>
    <w:rsid w:val="00295647"/>
    <w:rsid w:val="00295692"/>
    <w:rsid w:val="002956DC"/>
    <w:rsid w:val="002956F5"/>
    <w:rsid w:val="002957B5"/>
    <w:rsid w:val="002958C7"/>
    <w:rsid w:val="00295CE6"/>
    <w:rsid w:val="00295D51"/>
    <w:rsid w:val="00295ECF"/>
    <w:rsid w:val="0029605E"/>
    <w:rsid w:val="00296203"/>
    <w:rsid w:val="00296428"/>
    <w:rsid w:val="0029643D"/>
    <w:rsid w:val="0029674D"/>
    <w:rsid w:val="00296952"/>
    <w:rsid w:val="00296A5B"/>
    <w:rsid w:val="00296B40"/>
    <w:rsid w:val="00296B4C"/>
    <w:rsid w:val="00296D8F"/>
    <w:rsid w:val="00296E1A"/>
    <w:rsid w:val="0029706A"/>
    <w:rsid w:val="0029717F"/>
    <w:rsid w:val="002971FD"/>
    <w:rsid w:val="00297207"/>
    <w:rsid w:val="00297236"/>
    <w:rsid w:val="002972EE"/>
    <w:rsid w:val="002973AE"/>
    <w:rsid w:val="002973F4"/>
    <w:rsid w:val="00297454"/>
    <w:rsid w:val="002976F4"/>
    <w:rsid w:val="002978CB"/>
    <w:rsid w:val="00297945"/>
    <w:rsid w:val="00297A52"/>
    <w:rsid w:val="00297A88"/>
    <w:rsid w:val="00297B72"/>
    <w:rsid w:val="00297B98"/>
    <w:rsid w:val="00297BAE"/>
    <w:rsid w:val="00297C4B"/>
    <w:rsid w:val="00297CD6"/>
    <w:rsid w:val="00297D53"/>
    <w:rsid w:val="00297DE0"/>
    <w:rsid w:val="00297E4B"/>
    <w:rsid w:val="00297E82"/>
    <w:rsid w:val="00297E95"/>
    <w:rsid w:val="00297F01"/>
    <w:rsid w:val="00297F99"/>
    <w:rsid w:val="00297FBE"/>
    <w:rsid w:val="00297FCC"/>
    <w:rsid w:val="002A00B0"/>
    <w:rsid w:val="002A0526"/>
    <w:rsid w:val="002A052D"/>
    <w:rsid w:val="002A0696"/>
    <w:rsid w:val="002A06DC"/>
    <w:rsid w:val="002A06F9"/>
    <w:rsid w:val="002A07F1"/>
    <w:rsid w:val="002A099C"/>
    <w:rsid w:val="002A0AC2"/>
    <w:rsid w:val="002A0AEC"/>
    <w:rsid w:val="002A0D72"/>
    <w:rsid w:val="002A0DF8"/>
    <w:rsid w:val="002A0F28"/>
    <w:rsid w:val="002A11F3"/>
    <w:rsid w:val="002A123E"/>
    <w:rsid w:val="002A14BF"/>
    <w:rsid w:val="002A1556"/>
    <w:rsid w:val="002A161E"/>
    <w:rsid w:val="002A1928"/>
    <w:rsid w:val="002A196E"/>
    <w:rsid w:val="002A198C"/>
    <w:rsid w:val="002A19B8"/>
    <w:rsid w:val="002A1A19"/>
    <w:rsid w:val="002A1B3E"/>
    <w:rsid w:val="002A1B51"/>
    <w:rsid w:val="002A1B59"/>
    <w:rsid w:val="002A1B84"/>
    <w:rsid w:val="002A1D81"/>
    <w:rsid w:val="002A1F06"/>
    <w:rsid w:val="002A1F1F"/>
    <w:rsid w:val="002A1F23"/>
    <w:rsid w:val="002A204F"/>
    <w:rsid w:val="002A21B5"/>
    <w:rsid w:val="002A2354"/>
    <w:rsid w:val="002A2374"/>
    <w:rsid w:val="002A25CF"/>
    <w:rsid w:val="002A2627"/>
    <w:rsid w:val="002A2631"/>
    <w:rsid w:val="002A2895"/>
    <w:rsid w:val="002A2906"/>
    <w:rsid w:val="002A2A0C"/>
    <w:rsid w:val="002A2BB6"/>
    <w:rsid w:val="002A2C0A"/>
    <w:rsid w:val="002A2DAB"/>
    <w:rsid w:val="002A2E7A"/>
    <w:rsid w:val="002A2EFD"/>
    <w:rsid w:val="002A2F96"/>
    <w:rsid w:val="002A30E0"/>
    <w:rsid w:val="002A310C"/>
    <w:rsid w:val="002A3521"/>
    <w:rsid w:val="002A3599"/>
    <w:rsid w:val="002A35C5"/>
    <w:rsid w:val="002A36D5"/>
    <w:rsid w:val="002A3753"/>
    <w:rsid w:val="002A3763"/>
    <w:rsid w:val="002A37E1"/>
    <w:rsid w:val="002A38AF"/>
    <w:rsid w:val="002A38E5"/>
    <w:rsid w:val="002A3920"/>
    <w:rsid w:val="002A3A16"/>
    <w:rsid w:val="002A3A8A"/>
    <w:rsid w:val="002A3A90"/>
    <w:rsid w:val="002A3B61"/>
    <w:rsid w:val="002A3BC2"/>
    <w:rsid w:val="002A3D6C"/>
    <w:rsid w:val="002A3E78"/>
    <w:rsid w:val="002A402A"/>
    <w:rsid w:val="002A40DE"/>
    <w:rsid w:val="002A4140"/>
    <w:rsid w:val="002A415A"/>
    <w:rsid w:val="002A4224"/>
    <w:rsid w:val="002A42EF"/>
    <w:rsid w:val="002A4525"/>
    <w:rsid w:val="002A45AA"/>
    <w:rsid w:val="002A48A7"/>
    <w:rsid w:val="002A48B7"/>
    <w:rsid w:val="002A48F2"/>
    <w:rsid w:val="002A499E"/>
    <w:rsid w:val="002A4B0B"/>
    <w:rsid w:val="002A4B6F"/>
    <w:rsid w:val="002A4C55"/>
    <w:rsid w:val="002A4CA9"/>
    <w:rsid w:val="002A4DA4"/>
    <w:rsid w:val="002A4FFF"/>
    <w:rsid w:val="002A5092"/>
    <w:rsid w:val="002A533C"/>
    <w:rsid w:val="002A543F"/>
    <w:rsid w:val="002A5503"/>
    <w:rsid w:val="002A5564"/>
    <w:rsid w:val="002A5613"/>
    <w:rsid w:val="002A56E1"/>
    <w:rsid w:val="002A579F"/>
    <w:rsid w:val="002A59BD"/>
    <w:rsid w:val="002A59C9"/>
    <w:rsid w:val="002A5A51"/>
    <w:rsid w:val="002A5C09"/>
    <w:rsid w:val="002A5C0B"/>
    <w:rsid w:val="002A5CA9"/>
    <w:rsid w:val="002A5E8C"/>
    <w:rsid w:val="002A5F1A"/>
    <w:rsid w:val="002A603C"/>
    <w:rsid w:val="002A6556"/>
    <w:rsid w:val="002A66EB"/>
    <w:rsid w:val="002A67C5"/>
    <w:rsid w:val="002A6897"/>
    <w:rsid w:val="002A6A15"/>
    <w:rsid w:val="002A6A7D"/>
    <w:rsid w:val="002A6A7E"/>
    <w:rsid w:val="002A6AD0"/>
    <w:rsid w:val="002A6C95"/>
    <w:rsid w:val="002A6CC4"/>
    <w:rsid w:val="002A6EAD"/>
    <w:rsid w:val="002A6F02"/>
    <w:rsid w:val="002A6FE6"/>
    <w:rsid w:val="002A71F9"/>
    <w:rsid w:val="002A745A"/>
    <w:rsid w:val="002A75CA"/>
    <w:rsid w:val="002A75EA"/>
    <w:rsid w:val="002A7729"/>
    <w:rsid w:val="002A7753"/>
    <w:rsid w:val="002A7889"/>
    <w:rsid w:val="002A7994"/>
    <w:rsid w:val="002A799A"/>
    <w:rsid w:val="002A7A5F"/>
    <w:rsid w:val="002A7A97"/>
    <w:rsid w:val="002A7B7B"/>
    <w:rsid w:val="002A7BEC"/>
    <w:rsid w:val="002A7C29"/>
    <w:rsid w:val="002A7FED"/>
    <w:rsid w:val="002B0196"/>
    <w:rsid w:val="002B0234"/>
    <w:rsid w:val="002B0427"/>
    <w:rsid w:val="002B04FA"/>
    <w:rsid w:val="002B0783"/>
    <w:rsid w:val="002B08F8"/>
    <w:rsid w:val="002B097D"/>
    <w:rsid w:val="002B0AD2"/>
    <w:rsid w:val="002B0B28"/>
    <w:rsid w:val="002B0CC7"/>
    <w:rsid w:val="002B0E25"/>
    <w:rsid w:val="002B0FD9"/>
    <w:rsid w:val="002B1121"/>
    <w:rsid w:val="002B1136"/>
    <w:rsid w:val="002B11B2"/>
    <w:rsid w:val="002B123B"/>
    <w:rsid w:val="002B1497"/>
    <w:rsid w:val="002B17AF"/>
    <w:rsid w:val="002B18A5"/>
    <w:rsid w:val="002B18F7"/>
    <w:rsid w:val="002B1B84"/>
    <w:rsid w:val="002B2007"/>
    <w:rsid w:val="002B210F"/>
    <w:rsid w:val="002B2290"/>
    <w:rsid w:val="002B2307"/>
    <w:rsid w:val="002B2372"/>
    <w:rsid w:val="002B2385"/>
    <w:rsid w:val="002B2817"/>
    <w:rsid w:val="002B2840"/>
    <w:rsid w:val="002B2882"/>
    <w:rsid w:val="002B2AEB"/>
    <w:rsid w:val="002B2D52"/>
    <w:rsid w:val="002B2DEB"/>
    <w:rsid w:val="002B2F5B"/>
    <w:rsid w:val="002B30A3"/>
    <w:rsid w:val="002B3182"/>
    <w:rsid w:val="002B3247"/>
    <w:rsid w:val="002B3528"/>
    <w:rsid w:val="002B362D"/>
    <w:rsid w:val="002B3645"/>
    <w:rsid w:val="002B3836"/>
    <w:rsid w:val="002B3933"/>
    <w:rsid w:val="002B399F"/>
    <w:rsid w:val="002B3D06"/>
    <w:rsid w:val="002B3D7B"/>
    <w:rsid w:val="002B3EC8"/>
    <w:rsid w:val="002B3ED7"/>
    <w:rsid w:val="002B439D"/>
    <w:rsid w:val="002B4569"/>
    <w:rsid w:val="002B4778"/>
    <w:rsid w:val="002B4822"/>
    <w:rsid w:val="002B498D"/>
    <w:rsid w:val="002B49AB"/>
    <w:rsid w:val="002B49F1"/>
    <w:rsid w:val="002B4AE9"/>
    <w:rsid w:val="002B4B46"/>
    <w:rsid w:val="002B4BA1"/>
    <w:rsid w:val="002B4C9D"/>
    <w:rsid w:val="002B4D7E"/>
    <w:rsid w:val="002B4EA1"/>
    <w:rsid w:val="002B4F50"/>
    <w:rsid w:val="002B5012"/>
    <w:rsid w:val="002B51E8"/>
    <w:rsid w:val="002B532F"/>
    <w:rsid w:val="002B5370"/>
    <w:rsid w:val="002B5430"/>
    <w:rsid w:val="002B58B7"/>
    <w:rsid w:val="002B5DE1"/>
    <w:rsid w:val="002B5DE4"/>
    <w:rsid w:val="002B5E9F"/>
    <w:rsid w:val="002B5F39"/>
    <w:rsid w:val="002B5FE4"/>
    <w:rsid w:val="002B603B"/>
    <w:rsid w:val="002B6057"/>
    <w:rsid w:val="002B6487"/>
    <w:rsid w:val="002B655E"/>
    <w:rsid w:val="002B681D"/>
    <w:rsid w:val="002B687C"/>
    <w:rsid w:val="002B696B"/>
    <w:rsid w:val="002B6B3A"/>
    <w:rsid w:val="002B6DC1"/>
    <w:rsid w:val="002B6E0F"/>
    <w:rsid w:val="002B7081"/>
    <w:rsid w:val="002B7098"/>
    <w:rsid w:val="002B73AC"/>
    <w:rsid w:val="002B75B2"/>
    <w:rsid w:val="002B793B"/>
    <w:rsid w:val="002B79B7"/>
    <w:rsid w:val="002B79CB"/>
    <w:rsid w:val="002B7A55"/>
    <w:rsid w:val="002B7B99"/>
    <w:rsid w:val="002B7D42"/>
    <w:rsid w:val="002B7D7D"/>
    <w:rsid w:val="002B7ED1"/>
    <w:rsid w:val="002B7EDC"/>
    <w:rsid w:val="002B7F3C"/>
    <w:rsid w:val="002B7FB0"/>
    <w:rsid w:val="002C03A2"/>
    <w:rsid w:val="002C04A6"/>
    <w:rsid w:val="002C0614"/>
    <w:rsid w:val="002C080E"/>
    <w:rsid w:val="002C086D"/>
    <w:rsid w:val="002C08E7"/>
    <w:rsid w:val="002C0ABE"/>
    <w:rsid w:val="002C0DF1"/>
    <w:rsid w:val="002C1057"/>
    <w:rsid w:val="002C1077"/>
    <w:rsid w:val="002C1160"/>
    <w:rsid w:val="002C132D"/>
    <w:rsid w:val="002C1391"/>
    <w:rsid w:val="002C141D"/>
    <w:rsid w:val="002C148C"/>
    <w:rsid w:val="002C1551"/>
    <w:rsid w:val="002C17F3"/>
    <w:rsid w:val="002C182C"/>
    <w:rsid w:val="002C1830"/>
    <w:rsid w:val="002C19C0"/>
    <w:rsid w:val="002C1A72"/>
    <w:rsid w:val="002C1B20"/>
    <w:rsid w:val="002C1B54"/>
    <w:rsid w:val="002C1C15"/>
    <w:rsid w:val="002C1C20"/>
    <w:rsid w:val="002C1E26"/>
    <w:rsid w:val="002C1F77"/>
    <w:rsid w:val="002C209F"/>
    <w:rsid w:val="002C2203"/>
    <w:rsid w:val="002C229A"/>
    <w:rsid w:val="002C22FE"/>
    <w:rsid w:val="002C2316"/>
    <w:rsid w:val="002C234E"/>
    <w:rsid w:val="002C245B"/>
    <w:rsid w:val="002C2483"/>
    <w:rsid w:val="002C2485"/>
    <w:rsid w:val="002C25DA"/>
    <w:rsid w:val="002C25E0"/>
    <w:rsid w:val="002C264F"/>
    <w:rsid w:val="002C26F5"/>
    <w:rsid w:val="002C277E"/>
    <w:rsid w:val="002C2871"/>
    <w:rsid w:val="002C2A16"/>
    <w:rsid w:val="002C2A2D"/>
    <w:rsid w:val="002C2B0E"/>
    <w:rsid w:val="002C2C10"/>
    <w:rsid w:val="002C2CEA"/>
    <w:rsid w:val="002C2D1D"/>
    <w:rsid w:val="002C2D2A"/>
    <w:rsid w:val="002C2DFA"/>
    <w:rsid w:val="002C2F9B"/>
    <w:rsid w:val="002C30D1"/>
    <w:rsid w:val="002C3113"/>
    <w:rsid w:val="002C317D"/>
    <w:rsid w:val="002C3264"/>
    <w:rsid w:val="002C3304"/>
    <w:rsid w:val="002C337F"/>
    <w:rsid w:val="002C3435"/>
    <w:rsid w:val="002C3502"/>
    <w:rsid w:val="002C3592"/>
    <w:rsid w:val="002C36A7"/>
    <w:rsid w:val="002C36C0"/>
    <w:rsid w:val="002C3787"/>
    <w:rsid w:val="002C3928"/>
    <w:rsid w:val="002C3A8E"/>
    <w:rsid w:val="002C3B33"/>
    <w:rsid w:val="002C3CA1"/>
    <w:rsid w:val="002C3F18"/>
    <w:rsid w:val="002C3F9B"/>
    <w:rsid w:val="002C3FB6"/>
    <w:rsid w:val="002C4156"/>
    <w:rsid w:val="002C4219"/>
    <w:rsid w:val="002C4331"/>
    <w:rsid w:val="002C435E"/>
    <w:rsid w:val="002C43BB"/>
    <w:rsid w:val="002C43C7"/>
    <w:rsid w:val="002C44AB"/>
    <w:rsid w:val="002C456A"/>
    <w:rsid w:val="002C4617"/>
    <w:rsid w:val="002C462F"/>
    <w:rsid w:val="002C4999"/>
    <w:rsid w:val="002C4AF0"/>
    <w:rsid w:val="002C4D6F"/>
    <w:rsid w:val="002C4E85"/>
    <w:rsid w:val="002C4FE7"/>
    <w:rsid w:val="002C509B"/>
    <w:rsid w:val="002C50A3"/>
    <w:rsid w:val="002C5138"/>
    <w:rsid w:val="002C528B"/>
    <w:rsid w:val="002C52FC"/>
    <w:rsid w:val="002C531E"/>
    <w:rsid w:val="002C5595"/>
    <w:rsid w:val="002C58EA"/>
    <w:rsid w:val="002C5C03"/>
    <w:rsid w:val="002C5D75"/>
    <w:rsid w:val="002C5E39"/>
    <w:rsid w:val="002C5FA2"/>
    <w:rsid w:val="002C6027"/>
    <w:rsid w:val="002C6107"/>
    <w:rsid w:val="002C623C"/>
    <w:rsid w:val="002C642D"/>
    <w:rsid w:val="002C64BA"/>
    <w:rsid w:val="002C6615"/>
    <w:rsid w:val="002C6649"/>
    <w:rsid w:val="002C66F6"/>
    <w:rsid w:val="002C675D"/>
    <w:rsid w:val="002C678D"/>
    <w:rsid w:val="002C67F7"/>
    <w:rsid w:val="002C695C"/>
    <w:rsid w:val="002C697E"/>
    <w:rsid w:val="002C69FE"/>
    <w:rsid w:val="002C6A25"/>
    <w:rsid w:val="002C6A59"/>
    <w:rsid w:val="002C6AC3"/>
    <w:rsid w:val="002C6B1A"/>
    <w:rsid w:val="002C6CAD"/>
    <w:rsid w:val="002C6CD5"/>
    <w:rsid w:val="002C7317"/>
    <w:rsid w:val="002C736D"/>
    <w:rsid w:val="002C7959"/>
    <w:rsid w:val="002C7A02"/>
    <w:rsid w:val="002C7A2F"/>
    <w:rsid w:val="002C7A87"/>
    <w:rsid w:val="002C7BD4"/>
    <w:rsid w:val="002D0107"/>
    <w:rsid w:val="002D0187"/>
    <w:rsid w:val="002D01A0"/>
    <w:rsid w:val="002D02A8"/>
    <w:rsid w:val="002D0558"/>
    <w:rsid w:val="002D057C"/>
    <w:rsid w:val="002D058B"/>
    <w:rsid w:val="002D062E"/>
    <w:rsid w:val="002D06F3"/>
    <w:rsid w:val="002D078B"/>
    <w:rsid w:val="002D094B"/>
    <w:rsid w:val="002D0AAE"/>
    <w:rsid w:val="002D0ACC"/>
    <w:rsid w:val="002D0C1F"/>
    <w:rsid w:val="002D0D43"/>
    <w:rsid w:val="002D0DE1"/>
    <w:rsid w:val="002D0E07"/>
    <w:rsid w:val="002D0E78"/>
    <w:rsid w:val="002D0EF1"/>
    <w:rsid w:val="002D0F9F"/>
    <w:rsid w:val="002D0FB1"/>
    <w:rsid w:val="002D111B"/>
    <w:rsid w:val="002D12F9"/>
    <w:rsid w:val="002D1442"/>
    <w:rsid w:val="002D152D"/>
    <w:rsid w:val="002D1548"/>
    <w:rsid w:val="002D158F"/>
    <w:rsid w:val="002D15C2"/>
    <w:rsid w:val="002D17C1"/>
    <w:rsid w:val="002D18C5"/>
    <w:rsid w:val="002D19D8"/>
    <w:rsid w:val="002D1A95"/>
    <w:rsid w:val="002D1B8A"/>
    <w:rsid w:val="002D1C12"/>
    <w:rsid w:val="002D1D66"/>
    <w:rsid w:val="002D1F13"/>
    <w:rsid w:val="002D1F90"/>
    <w:rsid w:val="002D225C"/>
    <w:rsid w:val="002D23B9"/>
    <w:rsid w:val="002D258A"/>
    <w:rsid w:val="002D2692"/>
    <w:rsid w:val="002D2842"/>
    <w:rsid w:val="002D28F5"/>
    <w:rsid w:val="002D290E"/>
    <w:rsid w:val="002D2AD0"/>
    <w:rsid w:val="002D2AD5"/>
    <w:rsid w:val="002D2AF4"/>
    <w:rsid w:val="002D2AF8"/>
    <w:rsid w:val="002D2B10"/>
    <w:rsid w:val="002D2FC7"/>
    <w:rsid w:val="002D30BA"/>
    <w:rsid w:val="002D30C0"/>
    <w:rsid w:val="002D30CC"/>
    <w:rsid w:val="002D31CF"/>
    <w:rsid w:val="002D3321"/>
    <w:rsid w:val="002D33D6"/>
    <w:rsid w:val="002D3669"/>
    <w:rsid w:val="002D378A"/>
    <w:rsid w:val="002D379A"/>
    <w:rsid w:val="002D382E"/>
    <w:rsid w:val="002D386A"/>
    <w:rsid w:val="002D38B2"/>
    <w:rsid w:val="002D3908"/>
    <w:rsid w:val="002D3919"/>
    <w:rsid w:val="002D3E92"/>
    <w:rsid w:val="002D4089"/>
    <w:rsid w:val="002D40F0"/>
    <w:rsid w:val="002D4100"/>
    <w:rsid w:val="002D418B"/>
    <w:rsid w:val="002D44A3"/>
    <w:rsid w:val="002D4506"/>
    <w:rsid w:val="002D477F"/>
    <w:rsid w:val="002D484B"/>
    <w:rsid w:val="002D4853"/>
    <w:rsid w:val="002D4870"/>
    <w:rsid w:val="002D4938"/>
    <w:rsid w:val="002D4D09"/>
    <w:rsid w:val="002D4F37"/>
    <w:rsid w:val="002D4F48"/>
    <w:rsid w:val="002D4F55"/>
    <w:rsid w:val="002D50FF"/>
    <w:rsid w:val="002D5100"/>
    <w:rsid w:val="002D519B"/>
    <w:rsid w:val="002D5387"/>
    <w:rsid w:val="002D54E6"/>
    <w:rsid w:val="002D55C1"/>
    <w:rsid w:val="002D5740"/>
    <w:rsid w:val="002D5819"/>
    <w:rsid w:val="002D5C24"/>
    <w:rsid w:val="002D5C25"/>
    <w:rsid w:val="002D5CDA"/>
    <w:rsid w:val="002D5E59"/>
    <w:rsid w:val="002D5F01"/>
    <w:rsid w:val="002D60D0"/>
    <w:rsid w:val="002D621E"/>
    <w:rsid w:val="002D6488"/>
    <w:rsid w:val="002D66CD"/>
    <w:rsid w:val="002D66DA"/>
    <w:rsid w:val="002D677C"/>
    <w:rsid w:val="002D6844"/>
    <w:rsid w:val="002D6932"/>
    <w:rsid w:val="002D6B12"/>
    <w:rsid w:val="002D6BE9"/>
    <w:rsid w:val="002D6CAD"/>
    <w:rsid w:val="002D6D13"/>
    <w:rsid w:val="002D6D7B"/>
    <w:rsid w:val="002D6EE8"/>
    <w:rsid w:val="002D7027"/>
    <w:rsid w:val="002D70DC"/>
    <w:rsid w:val="002D724A"/>
    <w:rsid w:val="002D7453"/>
    <w:rsid w:val="002D745C"/>
    <w:rsid w:val="002D7518"/>
    <w:rsid w:val="002D758B"/>
    <w:rsid w:val="002D75D1"/>
    <w:rsid w:val="002D7632"/>
    <w:rsid w:val="002D77AE"/>
    <w:rsid w:val="002D77FA"/>
    <w:rsid w:val="002D78B0"/>
    <w:rsid w:val="002D79BC"/>
    <w:rsid w:val="002D7AD6"/>
    <w:rsid w:val="002D7D5D"/>
    <w:rsid w:val="002D7E58"/>
    <w:rsid w:val="002D7E76"/>
    <w:rsid w:val="002D7F93"/>
    <w:rsid w:val="002D7FB9"/>
    <w:rsid w:val="002E0018"/>
    <w:rsid w:val="002E00B2"/>
    <w:rsid w:val="002E04D1"/>
    <w:rsid w:val="002E056B"/>
    <w:rsid w:val="002E05E1"/>
    <w:rsid w:val="002E0AC0"/>
    <w:rsid w:val="002E0B69"/>
    <w:rsid w:val="002E0D31"/>
    <w:rsid w:val="002E0D8E"/>
    <w:rsid w:val="002E0EFA"/>
    <w:rsid w:val="002E0F63"/>
    <w:rsid w:val="002E1073"/>
    <w:rsid w:val="002E1293"/>
    <w:rsid w:val="002E12EC"/>
    <w:rsid w:val="002E12F3"/>
    <w:rsid w:val="002E146D"/>
    <w:rsid w:val="002E153D"/>
    <w:rsid w:val="002E1702"/>
    <w:rsid w:val="002E1747"/>
    <w:rsid w:val="002E1884"/>
    <w:rsid w:val="002E18F7"/>
    <w:rsid w:val="002E1909"/>
    <w:rsid w:val="002E1A9B"/>
    <w:rsid w:val="002E1B50"/>
    <w:rsid w:val="002E219D"/>
    <w:rsid w:val="002E2358"/>
    <w:rsid w:val="002E23FB"/>
    <w:rsid w:val="002E272B"/>
    <w:rsid w:val="002E27BA"/>
    <w:rsid w:val="002E29C5"/>
    <w:rsid w:val="002E29F8"/>
    <w:rsid w:val="002E2A58"/>
    <w:rsid w:val="002E2B37"/>
    <w:rsid w:val="002E2C52"/>
    <w:rsid w:val="002E2F28"/>
    <w:rsid w:val="002E2FF9"/>
    <w:rsid w:val="002E3132"/>
    <w:rsid w:val="002E3250"/>
    <w:rsid w:val="002E332D"/>
    <w:rsid w:val="002E3331"/>
    <w:rsid w:val="002E342B"/>
    <w:rsid w:val="002E34EB"/>
    <w:rsid w:val="002E35B4"/>
    <w:rsid w:val="002E377E"/>
    <w:rsid w:val="002E3AA7"/>
    <w:rsid w:val="002E3B53"/>
    <w:rsid w:val="002E3B81"/>
    <w:rsid w:val="002E3D08"/>
    <w:rsid w:val="002E3D9D"/>
    <w:rsid w:val="002E3E1D"/>
    <w:rsid w:val="002E3EEA"/>
    <w:rsid w:val="002E491F"/>
    <w:rsid w:val="002E495A"/>
    <w:rsid w:val="002E4B4A"/>
    <w:rsid w:val="002E4CDE"/>
    <w:rsid w:val="002E4D08"/>
    <w:rsid w:val="002E4DA5"/>
    <w:rsid w:val="002E4F1A"/>
    <w:rsid w:val="002E4FA8"/>
    <w:rsid w:val="002E4FB2"/>
    <w:rsid w:val="002E4FF6"/>
    <w:rsid w:val="002E5037"/>
    <w:rsid w:val="002E5191"/>
    <w:rsid w:val="002E52B8"/>
    <w:rsid w:val="002E5375"/>
    <w:rsid w:val="002E55E0"/>
    <w:rsid w:val="002E5730"/>
    <w:rsid w:val="002E5772"/>
    <w:rsid w:val="002E57E3"/>
    <w:rsid w:val="002E5A21"/>
    <w:rsid w:val="002E5B6D"/>
    <w:rsid w:val="002E5C67"/>
    <w:rsid w:val="002E5CF6"/>
    <w:rsid w:val="002E5D40"/>
    <w:rsid w:val="002E5DBF"/>
    <w:rsid w:val="002E5E01"/>
    <w:rsid w:val="002E5E06"/>
    <w:rsid w:val="002E5EC5"/>
    <w:rsid w:val="002E5F0F"/>
    <w:rsid w:val="002E602A"/>
    <w:rsid w:val="002E60F5"/>
    <w:rsid w:val="002E61E3"/>
    <w:rsid w:val="002E6246"/>
    <w:rsid w:val="002E6320"/>
    <w:rsid w:val="002E63E9"/>
    <w:rsid w:val="002E64A9"/>
    <w:rsid w:val="002E6536"/>
    <w:rsid w:val="002E668B"/>
    <w:rsid w:val="002E6747"/>
    <w:rsid w:val="002E677D"/>
    <w:rsid w:val="002E68E4"/>
    <w:rsid w:val="002E69A9"/>
    <w:rsid w:val="002E69F5"/>
    <w:rsid w:val="002E6A51"/>
    <w:rsid w:val="002E6AE3"/>
    <w:rsid w:val="002E6CAA"/>
    <w:rsid w:val="002E6E38"/>
    <w:rsid w:val="002E6FAB"/>
    <w:rsid w:val="002E7063"/>
    <w:rsid w:val="002E713F"/>
    <w:rsid w:val="002E7282"/>
    <w:rsid w:val="002E72D6"/>
    <w:rsid w:val="002E73B3"/>
    <w:rsid w:val="002E73EC"/>
    <w:rsid w:val="002E7485"/>
    <w:rsid w:val="002E757F"/>
    <w:rsid w:val="002E7647"/>
    <w:rsid w:val="002E770A"/>
    <w:rsid w:val="002E7715"/>
    <w:rsid w:val="002E77A2"/>
    <w:rsid w:val="002E795E"/>
    <w:rsid w:val="002E79FB"/>
    <w:rsid w:val="002E79FF"/>
    <w:rsid w:val="002E7B4E"/>
    <w:rsid w:val="002E7B65"/>
    <w:rsid w:val="002E7E8F"/>
    <w:rsid w:val="002F0020"/>
    <w:rsid w:val="002F0224"/>
    <w:rsid w:val="002F023D"/>
    <w:rsid w:val="002F02B6"/>
    <w:rsid w:val="002F045D"/>
    <w:rsid w:val="002F0634"/>
    <w:rsid w:val="002F0C96"/>
    <w:rsid w:val="002F0CAE"/>
    <w:rsid w:val="002F0DBF"/>
    <w:rsid w:val="002F10EC"/>
    <w:rsid w:val="002F1136"/>
    <w:rsid w:val="002F1187"/>
    <w:rsid w:val="002F1199"/>
    <w:rsid w:val="002F1231"/>
    <w:rsid w:val="002F1521"/>
    <w:rsid w:val="002F15BD"/>
    <w:rsid w:val="002F15EE"/>
    <w:rsid w:val="002F16A5"/>
    <w:rsid w:val="002F1A70"/>
    <w:rsid w:val="002F1B23"/>
    <w:rsid w:val="002F1BE7"/>
    <w:rsid w:val="002F1DFB"/>
    <w:rsid w:val="002F1F03"/>
    <w:rsid w:val="002F23E1"/>
    <w:rsid w:val="002F25F0"/>
    <w:rsid w:val="002F26A5"/>
    <w:rsid w:val="002F26E5"/>
    <w:rsid w:val="002F2739"/>
    <w:rsid w:val="002F2797"/>
    <w:rsid w:val="002F2932"/>
    <w:rsid w:val="002F29EB"/>
    <w:rsid w:val="002F2A73"/>
    <w:rsid w:val="002F2AB6"/>
    <w:rsid w:val="002F2C31"/>
    <w:rsid w:val="002F2C73"/>
    <w:rsid w:val="002F2E13"/>
    <w:rsid w:val="002F3187"/>
    <w:rsid w:val="002F31CC"/>
    <w:rsid w:val="002F31CE"/>
    <w:rsid w:val="002F3241"/>
    <w:rsid w:val="002F3411"/>
    <w:rsid w:val="002F341C"/>
    <w:rsid w:val="002F355E"/>
    <w:rsid w:val="002F3573"/>
    <w:rsid w:val="002F3632"/>
    <w:rsid w:val="002F3AFB"/>
    <w:rsid w:val="002F3B00"/>
    <w:rsid w:val="002F3C27"/>
    <w:rsid w:val="002F3C2B"/>
    <w:rsid w:val="002F3C41"/>
    <w:rsid w:val="002F3CD4"/>
    <w:rsid w:val="002F3D2A"/>
    <w:rsid w:val="002F4514"/>
    <w:rsid w:val="002F453B"/>
    <w:rsid w:val="002F45CD"/>
    <w:rsid w:val="002F473C"/>
    <w:rsid w:val="002F484C"/>
    <w:rsid w:val="002F4944"/>
    <w:rsid w:val="002F4A8F"/>
    <w:rsid w:val="002F4C8E"/>
    <w:rsid w:val="002F4EA7"/>
    <w:rsid w:val="002F4EB2"/>
    <w:rsid w:val="002F4FC6"/>
    <w:rsid w:val="002F5076"/>
    <w:rsid w:val="002F514A"/>
    <w:rsid w:val="002F519B"/>
    <w:rsid w:val="002F5316"/>
    <w:rsid w:val="002F55C0"/>
    <w:rsid w:val="002F5839"/>
    <w:rsid w:val="002F5857"/>
    <w:rsid w:val="002F5990"/>
    <w:rsid w:val="002F5AE7"/>
    <w:rsid w:val="002F5B35"/>
    <w:rsid w:val="002F5C5A"/>
    <w:rsid w:val="002F5C77"/>
    <w:rsid w:val="002F5D64"/>
    <w:rsid w:val="002F5EE0"/>
    <w:rsid w:val="002F636B"/>
    <w:rsid w:val="002F6376"/>
    <w:rsid w:val="002F64D9"/>
    <w:rsid w:val="002F651D"/>
    <w:rsid w:val="002F65AC"/>
    <w:rsid w:val="002F6630"/>
    <w:rsid w:val="002F6648"/>
    <w:rsid w:val="002F6948"/>
    <w:rsid w:val="002F6A28"/>
    <w:rsid w:val="002F6D7F"/>
    <w:rsid w:val="002F6E44"/>
    <w:rsid w:val="002F703D"/>
    <w:rsid w:val="002F71BF"/>
    <w:rsid w:val="002F74FD"/>
    <w:rsid w:val="002F776E"/>
    <w:rsid w:val="002F77EC"/>
    <w:rsid w:val="002F787B"/>
    <w:rsid w:val="002F7974"/>
    <w:rsid w:val="002F7A78"/>
    <w:rsid w:val="002F7BBD"/>
    <w:rsid w:val="002F7CB3"/>
    <w:rsid w:val="002F7D01"/>
    <w:rsid w:val="002F7E6D"/>
    <w:rsid w:val="00300042"/>
    <w:rsid w:val="0030005C"/>
    <w:rsid w:val="00300323"/>
    <w:rsid w:val="00300369"/>
    <w:rsid w:val="0030038B"/>
    <w:rsid w:val="003004F8"/>
    <w:rsid w:val="003005A0"/>
    <w:rsid w:val="0030081A"/>
    <w:rsid w:val="0030085E"/>
    <w:rsid w:val="003008D9"/>
    <w:rsid w:val="00300C52"/>
    <w:rsid w:val="00300C64"/>
    <w:rsid w:val="00300E3E"/>
    <w:rsid w:val="00300ECC"/>
    <w:rsid w:val="00300EFF"/>
    <w:rsid w:val="00300F80"/>
    <w:rsid w:val="00300FF8"/>
    <w:rsid w:val="00301064"/>
    <w:rsid w:val="003014A1"/>
    <w:rsid w:val="003014D9"/>
    <w:rsid w:val="00301510"/>
    <w:rsid w:val="003016C6"/>
    <w:rsid w:val="0030173E"/>
    <w:rsid w:val="0030183F"/>
    <w:rsid w:val="00301928"/>
    <w:rsid w:val="00301AA0"/>
    <w:rsid w:val="00301C5B"/>
    <w:rsid w:val="00301CB7"/>
    <w:rsid w:val="00301D0A"/>
    <w:rsid w:val="00301D13"/>
    <w:rsid w:val="00301E90"/>
    <w:rsid w:val="00301F1E"/>
    <w:rsid w:val="003021C1"/>
    <w:rsid w:val="003021E9"/>
    <w:rsid w:val="0030239B"/>
    <w:rsid w:val="003024E4"/>
    <w:rsid w:val="00302598"/>
    <w:rsid w:val="003025A1"/>
    <w:rsid w:val="003026E4"/>
    <w:rsid w:val="003027B8"/>
    <w:rsid w:val="00302809"/>
    <w:rsid w:val="003028AF"/>
    <w:rsid w:val="0030293F"/>
    <w:rsid w:val="00302947"/>
    <w:rsid w:val="0030296B"/>
    <w:rsid w:val="00302A2E"/>
    <w:rsid w:val="00302C50"/>
    <w:rsid w:val="00302CF7"/>
    <w:rsid w:val="00302D38"/>
    <w:rsid w:val="00302EFF"/>
    <w:rsid w:val="00302F1E"/>
    <w:rsid w:val="00303196"/>
    <w:rsid w:val="003031C2"/>
    <w:rsid w:val="00303297"/>
    <w:rsid w:val="00303338"/>
    <w:rsid w:val="0030338D"/>
    <w:rsid w:val="003033FC"/>
    <w:rsid w:val="003034BF"/>
    <w:rsid w:val="003035B4"/>
    <w:rsid w:val="00303601"/>
    <w:rsid w:val="00303667"/>
    <w:rsid w:val="00303690"/>
    <w:rsid w:val="00303861"/>
    <w:rsid w:val="00303893"/>
    <w:rsid w:val="00303894"/>
    <w:rsid w:val="00303AA0"/>
    <w:rsid w:val="00303B10"/>
    <w:rsid w:val="00303CBB"/>
    <w:rsid w:val="00303DF3"/>
    <w:rsid w:val="00303E3E"/>
    <w:rsid w:val="00303E86"/>
    <w:rsid w:val="00303F8C"/>
    <w:rsid w:val="00303FD0"/>
    <w:rsid w:val="00304200"/>
    <w:rsid w:val="0030424E"/>
    <w:rsid w:val="00304811"/>
    <w:rsid w:val="00304879"/>
    <w:rsid w:val="00304B3D"/>
    <w:rsid w:val="00304B58"/>
    <w:rsid w:val="00304B89"/>
    <w:rsid w:val="00304EEB"/>
    <w:rsid w:val="00304FFF"/>
    <w:rsid w:val="0030504A"/>
    <w:rsid w:val="0030513F"/>
    <w:rsid w:val="003052F3"/>
    <w:rsid w:val="0030533F"/>
    <w:rsid w:val="00305557"/>
    <w:rsid w:val="003055FD"/>
    <w:rsid w:val="0030561F"/>
    <w:rsid w:val="0030570E"/>
    <w:rsid w:val="00305766"/>
    <w:rsid w:val="00305CA3"/>
    <w:rsid w:val="00305CC7"/>
    <w:rsid w:val="00305DB5"/>
    <w:rsid w:val="00305E35"/>
    <w:rsid w:val="0030628F"/>
    <w:rsid w:val="0030646E"/>
    <w:rsid w:val="003064D5"/>
    <w:rsid w:val="00306679"/>
    <w:rsid w:val="00306688"/>
    <w:rsid w:val="003066D4"/>
    <w:rsid w:val="00306737"/>
    <w:rsid w:val="00306758"/>
    <w:rsid w:val="003068E0"/>
    <w:rsid w:val="0030699D"/>
    <w:rsid w:val="003069BD"/>
    <w:rsid w:val="003069F0"/>
    <w:rsid w:val="00306B3A"/>
    <w:rsid w:val="00306DE5"/>
    <w:rsid w:val="00306E5C"/>
    <w:rsid w:val="00306F84"/>
    <w:rsid w:val="0030707D"/>
    <w:rsid w:val="003071CE"/>
    <w:rsid w:val="003072FD"/>
    <w:rsid w:val="00307779"/>
    <w:rsid w:val="003077E8"/>
    <w:rsid w:val="0030786D"/>
    <w:rsid w:val="00307899"/>
    <w:rsid w:val="00307910"/>
    <w:rsid w:val="003079FA"/>
    <w:rsid w:val="00307B03"/>
    <w:rsid w:val="00307B6E"/>
    <w:rsid w:val="00307B7F"/>
    <w:rsid w:val="00307C19"/>
    <w:rsid w:val="00307D69"/>
    <w:rsid w:val="00307FAB"/>
    <w:rsid w:val="00310183"/>
    <w:rsid w:val="0031028E"/>
    <w:rsid w:val="003102AF"/>
    <w:rsid w:val="00310389"/>
    <w:rsid w:val="003104B6"/>
    <w:rsid w:val="003104DB"/>
    <w:rsid w:val="0031054A"/>
    <w:rsid w:val="00310592"/>
    <w:rsid w:val="00310732"/>
    <w:rsid w:val="00310775"/>
    <w:rsid w:val="00310880"/>
    <w:rsid w:val="003108BA"/>
    <w:rsid w:val="0031090C"/>
    <w:rsid w:val="00310AB0"/>
    <w:rsid w:val="00310B25"/>
    <w:rsid w:val="00310BC9"/>
    <w:rsid w:val="00310C83"/>
    <w:rsid w:val="00310D0E"/>
    <w:rsid w:val="00310FC8"/>
    <w:rsid w:val="0031104C"/>
    <w:rsid w:val="003111A4"/>
    <w:rsid w:val="00311239"/>
    <w:rsid w:val="0031136F"/>
    <w:rsid w:val="00311651"/>
    <w:rsid w:val="0031174B"/>
    <w:rsid w:val="00311762"/>
    <w:rsid w:val="00311953"/>
    <w:rsid w:val="00311BCD"/>
    <w:rsid w:val="00311C33"/>
    <w:rsid w:val="00311D1C"/>
    <w:rsid w:val="00311E39"/>
    <w:rsid w:val="00311E98"/>
    <w:rsid w:val="00311F10"/>
    <w:rsid w:val="00311FB1"/>
    <w:rsid w:val="00312215"/>
    <w:rsid w:val="003122A6"/>
    <w:rsid w:val="003122C5"/>
    <w:rsid w:val="003122C9"/>
    <w:rsid w:val="0031249C"/>
    <w:rsid w:val="003125A2"/>
    <w:rsid w:val="003125C3"/>
    <w:rsid w:val="00312637"/>
    <w:rsid w:val="0031269F"/>
    <w:rsid w:val="003126A5"/>
    <w:rsid w:val="003127F9"/>
    <w:rsid w:val="00312896"/>
    <w:rsid w:val="00312CB8"/>
    <w:rsid w:val="00312E04"/>
    <w:rsid w:val="00312E27"/>
    <w:rsid w:val="00312E56"/>
    <w:rsid w:val="00312E92"/>
    <w:rsid w:val="00312E9D"/>
    <w:rsid w:val="00312F08"/>
    <w:rsid w:val="00312F13"/>
    <w:rsid w:val="00312FAC"/>
    <w:rsid w:val="00312FB6"/>
    <w:rsid w:val="00313233"/>
    <w:rsid w:val="003134AE"/>
    <w:rsid w:val="003135EC"/>
    <w:rsid w:val="00313B89"/>
    <w:rsid w:val="00313C9A"/>
    <w:rsid w:val="00313DA9"/>
    <w:rsid w:val="00313EAC"/>
    <w:rsid w:val="00313F5A"/>
    <w:rsid w:val="003142F4"/>
    <w:rsid w:val="00314503"/>
    <w:rsid w:val="0031452B"/>
    <w:rsid w:val="0031454E"/>
    <w:rsid w:val="003146B0"/>
    <w:rsid w:val="003147F3"/>
    <w:rsid w:val="003148B6"/>
    <w:rsid w:val="003149EA"/>
    <w:rsid w:val="00314BCE"/>
    <w:rsid w:val="00314D41"/>
    <w:rsid w:val="00314DDF"/>
    <w:rsid w:val="003150DF"/>
    <w:rsid w:val="003150EF"/>
    <w:rsid w:val="003151B4"/>
    <w:rsid w:val="003151F1"/>
    <w:rsid w:val="00315321"/>
    <w:rsid w:val="003155A5"/>
    <w:rsid w:val="00315701"/>
    <w:rsid w:val="00315A59"/>
    <w:rsid w:val="00315BFB"/>
    <w:rsid w:val="00315D20"/>
    <w:rsid w:val="00315E9D"/>
    <w:rsid w:val="00315F4D"/>
    <w:rsid w:val="00315F5E"/>
    <w:rsid w:val="0031611F"/>
    <w:rsid w:val="003162E3"/>
    <w:rsid w:val="0031633A"/>
    <w:rsid w:val="00316486"/>
    <w:rsid w:val="003164BA"/>
    <w:rsid w:val="00316503"/>
    <w:rsid w:val="00316737"/>
    <w:rsid w:val="003167B6"/>
    <w:rsid w:val="003167D0"/>
    <w:rsid w:val="00316A90"/>
    <w:rsid w:val="00316BA0"/>
    <w:rsid w:val="00316C86"/>
    <w:rsid w:val="00316CD1"/>
    <w:rsid w:val="00316DE1"/>
    <w:rsid w:val="00316FDB"/>
    <w:rsid w:val="0031709E"/>
    <w:rsid w:val="0031727E"/>
    <w:rsid w:val="003172AB"/>
    <w:rsid w:val="003172E9"/>
    <w:rsid w:val="003172FD"/>
    <w:rsid w:val="00317615"/>
    <w:rsid w:val="00317643"/>
    <w:rsid w:val="0031774A"/>
    <w:rsid w:val="003178A0"/>
    <w:rsid w:val="00317A33"/>
    <w:rsid w:val="00317A8D"/>
    <w:rsid w:val="00317A99"/>
    <w:rsid w:val="00317AC4"/>
    <w:rsid w:val="00317B8A"/>
    <w:rsid w:val="00317CD9"/>
    <w:rsid w:val="00317ED4"/>
    <w:rsid w:val="00317EF1"/>
    <w:rsid w:val="00317F0E"/>
    <w:rsid w:val="003200EF"/>
    <w:rsid w:val="0032025B"/>
    <w:rsid w:val="0032030E"/>
    <w:rsid w:val="00320339"/>
    <w:rsid w:val="003203AF"/>
    <w:rsid w:val="00320463"/>
    <w:rsid w:val="00320487"/>
    <w:rsid w:val="00320596"/>
    <w:rsid w:val="003206F2"/>
    <w:rsid w:val="00320B43"/>
    <w:rsid w:val="00320B72"/>
    <w:rsid w:val="00320C50"/>
    <w:rsid w:val="0032100B"/>
    <w:rsid w:val="003211CF"/>
    <w:rsid w:val="00321214"/>
    <w:rsid w:val="00321271"/>
    <w:rsid w:val="003212B2"/>
    <w:rsid w:val="00321308"/>
    <w:rsid w:val="0032135B"/>
    <w:rsid w:val="003213D5"/>
    <w:rsid w:val="003214AE"/>
    <w:rsid w:val="003218A8"/>
    <w:rsid w:val="003218FA"/>
    <w:rsid w:val="00321918"/>
    <w:rsid w:val="0032197B"/>
    <w:rsid w:val="00321BFF"/>
    <w:rsid w:val="00321D7F"/>
    <w:rsid w:val="00321EA8"/>
    <w:rsid w:val="00321ED6"/>
    <w:rsid w:val="00321F67"/>
    <w:rsid w:val="00322062"/>
    <w:rsid w:val="00322151"/>
    <w:rsid w:val="00322168"/>
    <w:rsid w:val="00322289"/>
    <w:rsid w:val="003222F8"/>
    <w:rsid w:val="00322588"/>
    <w:rsid w:val="0032278F"/>
    <w:rsid w:val="003228B5"/>
    <w:rsid w:val="003228BB"/>
    <w:rsid w:val="00322AF7"/>
    <w:rsid w:val="00322B0C"/>
    <w:rsid w:val="00322CBC"/>
    <w:rsid w:val="00323068"/>
    <w:rsid w:val="003230DB"/>
    <w:rsid w:val="0032318A"/>
    <w:rsid w:val="00323362"/>
    <w:rsid w:val="003233C8"/>
    <w:rsid w:val="00323737"/>
    <w:rsid w:val="00323889"/>
    <w:rsid w:val="00323AD6"/>
    <w:rsid w:val="00323BDB"/>
    <w:rsid w:val="00323E27"/>
    <w:rsid w:val="00323F27"/>
    <w:rsid w:val="003240AB"/>
    <w:rsid w:val="0032419E"/>
    <w:rsid w:val="00324268"/>
    <w:rsid w:val="003242EF"/>
    <w:rsid w:val="003243A8"/>
    <w:rsid w:val="0032450A"/>
    <w:rsid w:val="003246BF"/>
    <w:rsid w:val="00324796"/>
    <w:rsid w:val="00324801"/>
    <w:rsid w:val="00324890"/>
    <w:rsid w:val="00324A71"/>
    <w:rsid w:val="00324BA6"/>
    <w:rsid w:val="00324C20"/>
    <w:rsid w:val="00324C4E"/>
    <w:rsid w:val="00324E31"/>
    <w:rsid w:val="00325100"/>
    <w:rsid w:val="00325101"/>
    <w:rsid w:val="00325339"/>
    <w:rsid w:val="00325392"/>
    <w:rsid w:val="003255AA"/>
    <w:rsid w:val="003257FB"/>
    <w:rsid w:val="00325846"/>
    <w:rsid w:val="0032592C"/>
    <w:rsid w:val="00325A74"/>
    <w:rsid w:val="00325B03"/>
    <w:rsid w:val="00325CD7"/>
    <w:rsid w:val="00325D3E"/>
    <w:rsid w:val="00325D63"/>
    <w:rsid w:val="00325DC4"/>
    <w:rsid w:val="00325DE5"/>
    <w:rsid w:val="00325E86"/>
    <w:rsid w:val="00325F12"/>
    <w:rsid w:val="00325F60"/>
    <w:rsid w:val="003260DB"/>
    <w:rsid w:val="003260E2"/>
    <w:rsid w:val="003262C8"/>
    <w:rsid w:val="003262EA"/>
    <w:rsid w:val="0032658A"/>
    <w:rsid w:val="00326765"/>
    <w:rsid w:val="003268E6"/>
    <w:rsid w:val="0032696B"/>
    <w:rsid w:val="00326B91"/>
    <w:rsid w:val="00326BF1"/>
    <w:rsid w:val="00326E2B"/>
    <w:rsid w:val="0032720B"/>
    <w:rsid w:val="0032727F"/>
    <w:rsid w:val="0032730F"/>
    <w:rsid w:val="003273CF"/>
    <w:rsid w:val="003275A4"/>
    <w:rsid w:val="0032782A"/>
    <w:rsid w:val="00327A86"/>
    <w:rsid w:val="00327B41"/>
    <w:rsid w:val="00327C38"/>
    <w:rsid w:val="00327C7D"/>
    <w:rsid w:val="00327CB5"/>
    <w:rsid w:val="00327E39"/>
    <w:rsid w:val="00327F9E"/>
    <w:rsid w:val="0033010E"/>
    <w:rsid w:val="00330460"/>
    <w:rsid w:val="0033048C"/>
    <w:rsid w:val="00330536"/>
    <w:rsid w:val="0033058C"/>
    <w:rsid w:val="003308CC"/>
    <w:rsid w:val="00330914"/>
    <w:rsid w:val="00330B3B"/>
    <w:rsid w:val="00330BBA"/>
    <w:rsid w:val="00330D19"/>
    <w:rsid w:val="00330EAD"/>
    <w:rsid w:val="00330EEB"/>
    <w:rsid w:val="00330F64"/>
    <w:rsid w:val="00330FF6"/>
    <w:rsid w:val="00331066"/>
    <w:rsid w:val="003310DE"/>
    <w:rsid w:val="00331195"/>
    <w:rsid w:val="003314B6"/>
    <w:rsid w:val="0033164C"/>
    <w:rsid w:val="003316C3"/>
    <w:rsid w:val="00331799"/>
    <w:rsid w:val="003318C9"/>
    <w:rsid w:val="003319D3"/>
    <w:rsid w:val="00331A20"/>
    <w:rsid w:val="00331A4C"/>
    <w:rsid w:val="00331C00"/>
    <w:rsid w:val="00331C3B"/>
    <w:rsid w:val="00331C44"/>
    <w:rsid w:val="00331D13"/>
    <w:rsid w:val="00331D4C"/>
    <w:rsid w:val="00331DC5"/>
    <w:rsid w:val="00331E21"/>
    <w:rsid w:val="00331E65"/>
    <w:rsid w:val="00332044"/>
    <w:rsid w:val="0033216F"/>
    <w:rsid w:val="00332185"/>
    <w:rsid w:val="00332300"/>
    <w:rsid w:val="00332373"/>
    <w:rsid w:val="0033245A"/>
    <w:rsid w:val="00332770"/>
    <w:rsid w:val="0033288A"/>
    <w:rsid w:val="00332906"/>
    <w:rsid w:val="0033295B"/>
    <w:rsid w:val="00332A54"/>
    <w:rsid w:val="00332C33"/>
    <w:rsid w:val="00332DCB"/>
    <w:rsid w:val="00332DD8"/>
    <w:rsid w:val="00332E5F"/>
    <w:rsid w:val="00332E92"/>
    <w:rsid w:val="00332F7E"/>
    <w:rsid w:val="003330E4"/>
    <w:rsid w:val="00333107"/>
    <w:rsid w:val="00333180"/>
    <w:rsid w:val="003331D8"/>
    <w:rsid w:val="0033343B"/>
    <w:rsid w:val="0033393C"/>
    <w:rsid w:val="00333972"/>
    <w:rsid w:val="003339E6"/>
    <w:rsid w:val="00333BF3"/>
    <w:rsid w:val="00333BF6"/>
    <w:rsid w:val="00333C39"/>
    <w:rsid w:val="00333C73"/>
    <w:rsid w:val="00333C83"/>
    <w:rsid w:val="00333CFA"/>
    <w:rsid w:val="00333D75"/>
    <w:rsid w:val="0033405B"/>
    <w:rsid w:val="00334454"/>
    <w:rsid w:val="0033471C"/>
    <w:rsid w:val="00334853"/>
    <w:rsid w:val="003348FB"/>
    <w:rsid w:val="003349F0"/>
    <w:rsid w:val="00334A4C"/>
    <w:rsid w:val="00334BAF"/>
    <w:rsid w:val="00334CF0"/>
    <w:rsid w:val="00334DBE"/>
    <w:rsid w:val="00334E2D"/>
    <w:rsid w:val="0033505C"/>
    <w:rsid w:val="00335166"/>
    <w:rsid w:val="0033540C"/>
    <w:rsid w:val="00335561"/>
    <w:rsid w:val="00335610"/>
    <w:rsid w:val="003357EE"/>
    <w:rsid w:val="00335852"/>
    <w:rsid w:val="003358A7"/>
    <w:rsid w:val="00335AEC"/>
    <w:rsid w:val="00335BD8"/>
    <w:rsid w:val="00335D7A"/>
    <w:rsid w:val="00335DA2"/>
    <w:rsid w:val="00335EC0"/>
    <w:rsid w:val="00335F5F"/>
    <w:rsid w:val="003360EE"/>
    <w:rsid w:val="00336175"/>
    <w:rsid w:val="003361DF"/>
    <w:rsid w:val="00336247"/>
    <w:rsid w:val="003362D8"/>
    <w:rsid w:val="0033643B"/>
    <w:rsid w:val="00336474"/>
    <w:rsid w:val="00336615"/>
    <w:rsid w:val="003366BF"/>
    <w:rsid w:val="0033678F"/>
    <w:rsid w:val="0033689C"/>
    <w:rsid w:val="00336CBB"/>
    <w:rsid w:val="00336DE8"/>
    <w:rsid w:val="003370BA"/>
    <w:rsid w:val="003371F2"/>
    <w:rsid w:val="00337319"/>
    <w:rsid w:val="00337359"/>
    <w:rsid w:val="00337368"/>
    <w:rsid w:val="00337406"/>
    <w:rsid w:val="0033749B"/>
    <w:rsid w:val="00337558"/>
    <w:rsid w:val="003375B8"/>
    <w:rsid w:val="003375FA"/>
    <w:rsid w:val="00337742"/>
    <w:rsid w:val="003377D7"/>
    <w:rsid w:val="00337B4D"/>
    <w:rsid w:val="00337B74"/>
    <w:rsid w:val="00337B78"/>
    <w:rsid w:val="00337C2E"/>
    <w:rsid w:val="00337F41"/>
    <w:rsid w:val="003403B6"/>
    <w:rsid w:val="00340647"/>
    <w:rsid w:val="003407A9"/>
    <w:rsid w:val="003409BF"/>
    <w:rsid w:val="00340A8E"/>
    <w:rsid w:val="00340BA3"/>
    <w:rsid w:val="00340BAF"/>
    <w:rsid w:val="00340C2B"/>
    <w:rsid w:val="00340C33"/>
    <w:rsid w:val="00340C48"/>
    <w:rsid w:val="00340CA7"/>
    <w:rsid w:val="00340DD3"/>
    <w:rsid w:val="00340E13"/>
    <w:rsid w:val="00340E5D"/>
    <w:rsid w:val="00340F9A"/>
    <w:rsid w:val="00341018"/>
    <w:rsid w:val="0034128A"/>
    <w:rsid w:val="003412B6"/>
    <w:rsid w:val="003417E9"/>
    <w:rsid w:val="00341A8C"/>
    <w:rsid w:val="00341AAB"/>
    <w:rsid w:val="00341CF1"/>
    <w:rsid w:val="00341EB6"/>
    <w:rsid w:val="00342017"/>
    <w:rsid w:val="00342073"/>
    <w:rsid w:val="003420D9"/>
    <w:rsid w:val="0034218A"/>
    <w:rsid w:val="003421F1"/>
    <w:rsid w:val="003423E0"/>
    <w:rsid w:val="00342467"/>
    <w:rsid w:val="0034246C"/>
    <w:rsid w:val="003424A4"/>
    <w:rsid w:val="00342590"/>
    <w:rsid w:val="00342A6F"/>
    <w:rsid w:val="00342D5D"/>
    <w:rsid w:val="00342DA6"/>
    <w:rsid w:val="00342DF3"/>
    <w:rsid w:val="0034301A"/>
    <w:rsid w:val="0034320A"/>
    <w:rsid w:val="00343219"/>
    <w:rsid w:val="003432EB"/>
    <w:rsid w:val="00343329"/>
    <w:rsid w:val="0034347C"/>
    <w:rsid w:val="003438E6"/>
    <w:rsid w:val="0034395B"/>
    <w:rsid w:val="00343AEE"/>
    <w:rsid w:val="00343C3D"/>
    <w:rsid w:val="00343C43"/>
    <w:rsid w:val="00343C76"/>
    <w:rsid w:val="00343D76"/>
    <w:rsid w:val="00343F6F"/>
    <w:rsid w:val="00343F9B"/>
    <w:rsid w:val="0034411F"/>
    <w:rsid w:val="00344147"/>
    <w:rsid w:val="00344632"/>
    <w:rsid w:val="00344735"/>
    <w:rsid w:val="00344785"/>
    <w:rsid w:val="003449B6"/>
    <w:rsid w:val="00344AE5"/>
    <w:rsid w:val="00344DFD"/>
    <w:rsid w:val="00344FB2"/>
    <w:rsid w:val="00344FD1"/>
    <w:rsid w:val="00345149"/>
    <w:rsid w:val="003451D3"/>
    <w:rsid w:val="003452F0"/>
    <w:rsid w:val="003453C8"/>
    <w:rsid w:val="00345472"/>
    <w:rsid w:val="0034552B"/>
    <w:rsid w:val="0034566A"/>
    <w:rsid w:val="00345722"/>
    <w:rsid w:val="003458DD"/>
    <w:rsid w:val="00345923"/>
    <w:rsid w:val="00345AE0"/>
    <w:rsid w:val="00345D58"/>
    <w:rsid w:val="00345D97"/>
    <w:rsid w:val="00345D9A"/>
    <w:rsid w:val="00345EFC"/>
    <w:rsid w:val="00345F14"/>
    <w:rsid w:val="00345FB1"/>
    <w:rsid w:val="00345FC9"/>
    <w:rsid w:val="0034616F"/>
    <w:rsid w:val="003462B4"/>
    <w:rsid w:val="003463F8"/>
    <w:rsid w:val="003464AC"/>
    <w:rsid w:val="00346617"/>
    <w:rsid w:val="00346631"/>
    <w:rsid w:val="0034665A"/>
    <w:rsid w:val="00346854"/>
    <w:rsid w:val="00346902"/>
    <w:rsid w:val="00346AAD"/>
    <w:rsid w:val="00346D96"/>
    <w:rsid w:val="00346E81"/>
    <w:rsid w:val="0034711B"/>
    <w:rsid w:val="003472DE"/>
    <w:rsid w:val="0034736A"/>
    <w:rsid w:val="00347390"/>
    <w:rsid w:val="0034747C"/>
    <w:rsid w:val="00347599"/>
    <w:rsid w:val="003475A4"/>
    <w:rsid w:val="00347740"/>
    <w:rsid w:val="003477BD"/>
    <w:rsid w:val="0034788A"/>
    <w:rsid w:val="00347937"/>
    <w:rsid w:val="003479C1"/>
    <w:rsid w:val="00347B6C"/>
    <w:rsid w:val="00347B6D"/>
    <w:rsid w:val="00347E1C"/>
    <w:rsid w:val="00347E58"/>
    <w:rsid w:val="0034BE84"/>
    <w:rsid w:val="0034FF71"/>
    <w:rsid w:val="00350050"/>
    <w:rsid w:val="003500AB"/>
    <w:rsid w:val="003500C5"/>
    <w:rsid w:val="00350108"/>
    <w:rsid w:val="00350116"/>
    <w:rsid w:val="003502CC"/>
    <w:rsid w:val="003504AA"/>
    <w:rsid w:val="003504EA"/>
    <w:rsid w:val="00350595"/>
    <w:rsid w:val="00350653"/>
    <w:rsid w:val="0035070A"/>
    <w:rsid w:val="00350881"/>
    <w:rsid w:val="00350A87"/>
    <w:rsid w:val="00350D95"/>
    <w:rsid w:val="00350DC4"/>
    <w:rsid w:val="0035105B"/>
    <w:rsid w:val="003512BC"/>
    <w:rsid w:val="0035140B"/>
    <w:rsid w:val="003514C9"/>
    <w:rsid w:val="0035151C"/>
    <w:rsid w:val="00351560"/>
    <w:rsid w:val="00351603"/>
    <w:rsid w:val="00351750"/>
    <w:rsid w:val="003518F0"/>
    <w:rsid w:val="00351A5F"/>
    <w:rsid w:val="00351EEB"/>
    <w:rsid w:val="0035204F"/>
    <w:rsid w:val="0035205F"/>
    <w:rsid w:val="0035212D"/>
    <w:rsid w:val="0035222B"/>
    <w:rsid w:val="00352254"/>
    <w:rsid w:val="003522A3"/>
    <w:rsid w:val="0035261D"/>
    <w:rsid w:val="003526AD"/>
    <w:rsid w:val="003526C4"/>
    <w:rsid w:val="0035282A"/>
    <w:rsid w:val="00352930"/>
    <w:rsid w:val="00352E86"/>
    <w:rsid w:val="00352FA6"/>
    <w:rsid w:val="00353087"/>
    <w:rsid w:val="00353375"/>
    <w:rsid w:val="003537C7"/>
    <w:rsid w:val="003537D9"/>
    <w:rsid w:val="0035386C"/>
    <w:rsid w:val="0035388A"/>
    <w:rsid w:val="00353929"/>
    <w:rsid w:val="0035399C"/>
    <w:rsid w:val="00353AC4"/>
    <w:rsid w:val="00353C59"/>
    <w:rsid w:val="00353DAC"/>
    <w:rsid w:val="00353DBB"/>
    <w:rsid w:val="00353F9E"/>
    <w:rsid w:val="00353FCB"/>
    <w:rsid w:val="003540D1"/>
    <w:rsid w:val="003540DD"/>
    <w:rsid w:val="00354325"/>
    <w:rsid w:val="00354351"/>
    <w:rsid w:val="0035451A"/>
    <w:rsid w:val="003545BF"/>
    <w:rsid w:val="003547F1"/>
    <w:rsid w:val="003547F9"/>
    <w:rsid w:val="00354AF2"/>
    <w:rsid w:val="00354BC8"/>
    <w:rsid w:val="00354C4B"/>
    <w:rsid w:val="00354CDE"/>
    <w:rsid w:val="00354DF7"/>
    <w:rsid w:val="0035527A"/>
    <w:rsid w:val="003552D5"/>
    <w:rsid w:val="0035544D"/>
    <w:rsid w:val="003554FA"/>
    <w:rsid w:val="003557F8"/>
    <w:rsid w:val="0035586A"/>
    <w:rsid w:val="00355945"/>
    <w:rsid w:val="00355B16"/>
    <w:rsid w:val="00355CE6"/>
    <w:rsid w:val="00355D00"/>
    <w:rsid w:val="00355EAB"/>
    <w:rsid w:val="00356026"/>
    <w:rsid w:val="0035605D"/>
    <w:rsid w:val="003560A5"/>
    <w:rsid w:val="0035611A"/>
    <w:rsid w:val="003562A4"/>
    <w:rsid w:val="003566A0"/>
    <w:rsid w:val="0035689B"/>
    <w:rsid w:val="00356B34"/>
    <w:rsid w:val="00356B87"/>
    <w:rsid w:val="00356C3D"/>
    <w:rsid w:val="00356C52"/>
    <w:rsid w:val="00356C8D"/>
    <w:rsid w:val="00356D86"/>
    <w:rsid w:val="00356E59"/>
    <w:rsid w:val="00356EB0"/>
    <w:rsid w:val="00356F23"/>
    <w:rsid w:val="00356F53"/>
    <w:rsid w:val="00356F6E"/>
    <w:rsid w:val="00357012"/>
    <w:rsid w:val="0035738D"/>
    <w:rsid w:val="003574F2"/>
    <w:rsid w:val="0035777C"/>
    <w:rsid w:val="00357926"/>
    <w:rsid w:val="003579E3"/>
    <w:rsid w:val="00357A3E"/>
    <w:rsid w:val="00357CF0"/>
    <w:rsid w:val="00357F0D"/>
    <w:rsid w:val="00360326"/>
    <w:rsid w:val="0036098F"/>
    <w:rsid w:val="0036099B"/>
    <w:rsid w:val="003609F8"/>
    <w:rsid w:val="00360B19"/>
    <w:rsid w:val="00360B75"/>
    <w:rsid w:val="00360B96"/>
    <w:rsid w:val="00360E64"/>
    <w:rsid w:val="00361002"/>
    <w:rsid w:val="00361052"/>
    <w:rsid w:val="003610F1"/>
    <w:rsid w:val="0036126E"/>
    <w:rsid w:val="00361290"/>
    <w:rsid w:val="00361328"/>
    <w:rsid w:val="0036151C"/>
    <w:rsid w:val="00361627"/>
    <w:rsid w:val="00361650"/>
    <w:rsid w:val="00361666"/>
    <w:rsid w:val="0036182C"/>
    <w:rsid w:val="00361903"/>
    <w:rsid w:val="00361A03"/>
    <w:rsid w:val="00361A21"/>
    <w:rsid w:val="00361A9B"/>
    <w:rsid w:val="00361DB1"/>
    <w:rsid w:val="00361E1D"/>
    <w:rsid w:val="00361ECE"/>
    <w:rsid w:val="00361F50"/>
    <w:rsid w:val="00362727"/>
    <w:rsid w:val="00362782"/>
    <w:rsid w:val="00362CCF"/>
    <w:rsid w:val="00362F1E"/>
    <w:rsid w:val="0036319C"/>
    <w:rsid w:val="003631DB"/>
    <w:rsid w:val="003632DA"/>
    <w:rsid w:val="003634E1"/>
    <w:rsid w:val="003635C3"/>
    <w:rsid w:val="0036364D"/>
    <w:rsid w:val="003637EE"/>
    <w:rsid w:val="003638CA"/>
    <w:rsid w:val="00363A59"/>
    <w:rsid w:val="00363AD4"/>
    <w:rsid w:val="00363BB1"/>
    <w:rsid w:val="00363C97"/>
    <w:rsid w:val="00363D81"/>
    <w:rsid w:val="00363E8D"/>
    <w:rsid w:val="00363EF8"/>
    <w:rsid w:val="00363FD0"/>
    <w:rsid w:val="003640C5"/>
    <w:rsid w:val="003644B6"/>
    <w:rsid w:val="003644E5"/>
    <w:rsid w:val="00364524"/>
    <w:rsid w:val="0036454D"/>
    <w:rsid w:val="003646A2"/>
    <w:rsid w:val="003646C8"/>
    <w:rsid w:val="003647D6"/>
    <w:rsid w:val="00364892"/>
    <w:rsid w:val="00364DA9"/>
    <w:rsid w:val="00364E5C"/>
    <w:rsid w:val="00364E9F"/>
    <w:rsid w:val="00364F29"/>
    <w:rsid w:val="00364F8A"/>
    <w:rsid w:val="0036513A"/>
    <w:rsid w:val="00365237"/>
    <w:rsid w:val="00365442"/>
    <w:rsid w:val="00365500"/>
    <w:rsid w:val="0036559C"/>
    <w:rsid w:val="0036564F"/>
    <w:rsid w:val="00365684"/>
    <w:rsid w:val="00365793"/>
    <w:rsid w:val="0036587E"/>
    <w:rsid w:val="00365A5A"/>
    <w:rsid w:val="00365AB1"/>
    <w:rsid w:val="00365B0A"/>
    <w:rsid w:val="00365E41"/>
    <w:rsid w:val="00365F67"/>
    <w:rsid w:val="00365FE7"/>
    <w:rsid w:val="00365FFE"/>
    <w:rsid w:val="00366054"/>
    <w:rsid w:val="00366055"/>
    <w:rsid w:val="003660CD"/>
    <w:rsid w:val="00366243"/>
    <w:rsid w:val="003662F6"/>
    <w:rsid w:val="003663EA"/>
    <w:rsid w:val="003666A9"/>
    <w:rsid w:val="003666AC"/>
    <w:rsid w:val="003666D2"/>
    <w:rsid w:val="00366B08"/>
    <w:rsid w:val="00366E50"/>
    <w:rsid w:val="0036708B"/>
    <w:rsid w:val="003671D8"/>
    <w:rsid w:val="003672F2"/>
    <w:rsid w:val="0036732A"/>
    <w:rsid w:val="00367434"/>
    <w:rsid w:val="00367496"/>
    <w:rsid w:val="003674CE"/>
    <w:rsid w:val="003678BE"/>
    <w:rsid w:val="00367C07"/>
    <w:rsid w:val="00367C42"/>
    <w:rsid w:val="00367D7D"/>
    <w:rsid w:val="00367E5F"/>
    <w:rsid w:val="0036E401"/>
    <w:rsid w:val="0037000E"/>
    <w:rsid w:val="003700F8"/>
    <w:rsid w:val="003701DF"/>
    <w:rsid w:val="00370206"/>
    <w:rsid w:val="00370212"/>
    <w:rsid w:val="0037036D"/>
    <w:rsid w:val="00370856"/>
    <w:rsid w:val="00370949"/>
    <w:rsid w:val="00370982"/>
    <w:rsid w:val="00370BD2"/>
    <w:rsid w:val="00370DB6"/>
    <w:rsid w:val="00370DF6"/>
    <w:rsid w:val="00370E0F"/>
    <w:rsid w:val="00370E64"/>
    <w:rsid w:val="0037112C"/>
    <w:rsid w:val="00371428"/>
    <w:rsid w:val="0037144A"/>
    <w:rsid w:val="003715B8"/>
    <w:rsid w:val="003715F2"/>
    <w:rsid w:val="003716E8"/>
    <w:rsid w:val="00371807"/>
    <w:rsid w:val="00371813"/>
    <w:rsid w:val="00371C2F"/>
    <w:rsid w:val="00371C35"/>
    <w:rsid w:val="00371C4A"/>
    <w:rsid w:val="00371CBC"/>
    <w:rsid w:val="00371F16"/>
    <w:rsid w:val="00371F47"/>
    <w:rsid w:val="003720F8"/>
    <w:rsid w:val="003721D1"/>
    <w:rsid w:val="003721EC"/>
    <w:rsid w:val="003722DA"/>
    <w:rsid w:val="00372317"/>
    <w:rsid w:val="0037243B"/>
    <w:rsid w:val="0037251C"/>
    <w:rsid w:val="00372624"/>
    <w:rsid w:val="0037272C"/>
    <w:rsid w:val="0037279E"/>
    <w:rsid w:val="00372951"/>
    <w:rsid w:val="00372B9A"/>
    <w:rsid w:val="00372BF1"/>
    <w:rsid w:val="00372D12"/>
    <w:rsid w:val="00372E4C"/>
    <w:rsid w:val="00372F43"/>
    <w:rsid w:val="003731BF"/>
    <w:rsid w:val="00373367"/>
    <w:rsid w:val="00373604"/>
    <w:rsid w:val="003738A1"/>
    <w:rsid w:val="00373B8E"/>
    <w:rsid w:val="00373B9F"/>
    <w:rsid w:val="00373CB7"/>
    <w:rsid w:val="00373CFF"/>
    <w:rsid w:val="00373F98"/>
    <w:rsid w:val="00374107"/>
    <w:rsid w:val="0037418F"/>
    <w:rsid w:val="00374193"/>
    <w:rsid w:val="00374204"/>
    <w:rsid w:val="00374225"/>
    <w:rsid w:val="003742BA"/>
    <w:rsid w:val="00374547"/>
    <w:rsid w:val="0037463F"/>
    <w:rsid w:val="003746E7"/>
    <w:rsid w:val="0037476A"/>
    <w:rsid w:val="003747B7"/>
    <w:rsid w:val="00374835"/>
    <w:rsid w:val="003748A9"/>
    <w:rsid w:val="00374C18"/>
    <w:rsid w:val="00374C57"/>
    <w:rsid w:val="00374F19"/>
    <w:rsid w:val="00374F1D"/>
    <w:rsid w:val="00374F54"/>
    <w:rsid w:val="00375287"/>
    <w:rsid w:val="00375332"/>
    <w:rsid w:val="00375791"/>
    <w:rsid w:val="003757F7"/>
    <w:rsid w:val="00375808"/>
    <w:rsid w:val="00375826"/>
    <w:rsid w:val="0037585B"/>
    <w:rsid w:val="003758A8"/>
    <w:rsid w:val="003758C0"/>
    <w:rsid w:val="00375969"/>
    <w:rsid w:val="00375994"/>
    <w:rsid w:val="00375B79"/>
    <w:rsid w:val="00375C59"/>
    <w:rsid w:val="00375CE1"/>
    <w:rsid w:val="00375D1B"/>
    <w:rsid w:val="00375E05"/>
    <w:rsid w:val="00375E45"/>
    <w:rsid w:val="0037602E"/>
    <w:rsid w:val="003760C2"/>
    <w:rsid w:val="00376155"/>
    <w:rsid w:val="00376181"/>
    <w:rsid w:val="00376338"/>
    <w:rsid w:val="00376457"/>
    <w:rsid w:val="003764C1"/>
    <w:rsid w:val="003766BC"/>
    <w:rsid w:val="003768AA"/>
    <w:rsid w:val="003769D8"/>
    <w:rsid w:val="00376A5F"/>
    <w:rsid w:val="00376BB7"/>
    <w:rsid w:val="00376BC6"/>
    <w:rsid w:val="00376C5F"/>
    <w:rsid w:val="00376D2C"/>
    <w:rsid w:val="00376D62"/>
    <w:rsid w:val="00376EEE"/>
    <w:rsid w:val="00376F30"/>
    <w:rsid w:val="00376F35"/>
    <w:rsid w:val="003770B2"/>
    <w:rsid w:val="003770EB"/>
    <w:rsid w:val="00377436"/>
    <w:rsid w:val="0037743C"/>
    <w:rsid w:val="0037764A"/>
    <w:rsid w:val="003777BD"/>
    <w:rsid w:val="0037783D"/>
    <w:rsid w:val="00377A0B"/>
    <w:rsid w:val="00377A20"/>
    <w:rsid w:val="00377B31"/>
    <w:rsid w:val="00377B70"/>
    <w:rsid w:val="00377BA1"/>
    <w:rsid w:val="00377CE3"/>
    <w:rsid w:val="00377E2A"/>
    <w:rsid w:val="00377FF0"/>
    <w:rsid w:val="0037BAA8"/>
    <w:rsid w:val="00380096"/>
    <w:rsid w:val="0038016E"/>
    <w:rsid w:val="003802BA"/>
    <w:rsid w:val="00380616"/>
    <w:rsid w:val="00380752"/>
    <w:rsid w:val="00380814"/>
    <w:rsid w:val="00380A33"/>
    <w:rsid w:val="00380A49"/>
    <w:rsid w:val="00380E29"/>
    <w:rsid w:val="00380E58"/>
    <w:rsid w:val="00380E86"/>
    <w:rsid w:val="00380F1A"/>
    <w:rsid w:val="00380F2E"/>
    <w:rsid w:val="00380F5D"/>
    <w:rsid w:val="00380F8E"/>
    <w:rsid w:val="00381022"/>
    <w:rsid w:val="0038137B"/>
    <w:rsid w:val="003813BB"/>
    <w:rsid w:val="003814B8"/>
    <w:rsid w:val="003816D7"/>
    <w:rsid w:val="00381864"/>
    <w:rsid w:val="003818D3"/>
    <w:rsid w:val="003818F7"/>
    <w:rsid w:val="00381ABE"/>
    <w:rsid w:val="00381BA6"/>
    <w:rsid w:val="00381C5F"/>
    <w:rsid w:val="00381D07"/>
    <w:rsid w:val="00381E0B"/>
    <w:rsid w:val="00381F0A"/>
    <w:rsid w:val="003820DF"/>
    <w:rsid w:val="003822DE"/>
    <w:rsid w:val="00382387"/>
    <w:rsid w:val="003823C8"/>
    <w:rsid w:val="00382403"/>
    <w:rsid w:val="0038268A"/>
    <w:rsid w:val="003826DE"/>
    <w:rsid w:val="003827B9"/>
    <w:rsid w:val="0038283A"/>
    <w:rsid w:val="003828D8"/>
    <w:rsid w:val="00382909"/>
    <w:rsid w:val="00382990"/>
    <w:rsid w:val="00382A86"/>
    <w:rsid w:val="00382D3F"/>
    <w:rsid w:val="00382EE1"/>
    <w:rsid w:val="00382FF9"/>
    <w:rsid w:val="003831C7"/>
    <w:rsid w:val="003837D3"/>
    <w:rsid w:val="00383A23"/>
    <w:rsid w:val="00383B3A"/>
    <w:rsid w:val="00383B98"/>
    <w:rsid w:val="0038414E"/>
    <w:rsid w:val="00384258"/>
    <w:rsid w:val="00384469"/>
    <w:rsid w:val="003845F9"/>
    <w:rsid w:val="003847C3"/>
    <w:rsid w:val="003848AB"/>
    <w:rsid w:val="003849B9"/>
    <w:rsid w:val="00384B47"/>
    <w:rsid w:val="00384F5B"/>
    <w:rsid w:val="00385131"/>
    <w:rsid w:val="00385254"/>
    <w:rsid w:val="003853E5"/>
    <w:rsid w:val="003853F5"/>
    <w:rsid w:val="0038563E"/>
    <w:rsid w:val="003856A2"/>
    <w:rsid w:val="00385707"/>
    <w:rsid w:val="00385772"/>
    <w:rsid w:val="003857A4"/>
    <w:rsid w:val="00385840"/>
    <w:rsid w:val="00385874"/>
    <w:rsid w:val="003858BC"/>
    <w:rsid w:val="00385983"/>
    <w:rsid w:val="00385A13"/>
    <w:rsid w:val="00385CAC"/>
    <w:rsid w:val="00385DB0"/>
    <w:rsid w:val="00385EF8"/>
    <w:rsid w:val="00385F4E"/>
    <w:rsid w:val="00385FF1"/>
    <w:rsid w:val="0038620B"/>
    <w:rsid w:val="00386260"/>
    <w:rsid w:val="003862E5"/>
    <w:rsid w:val="00386319"/>
    <w:rsid w:val="003863A3"/>
    <w:rsid w:val="003864E4"/>
    <w:rsid w:val="0038663F"/>
    <w:rsid w:val="00386BD8"/>
    <w:rsid w:val="00386F86"/>
    <w:rsid w:val="003873A9"/>
    <w:rsid w:val="003873D8"/>
    <w:rsid w:val="003873EF"/>
    <w:rsid w:val="003874B4"/>
    <w:rsid w:val="0038751A"/>
    <w:rsid w:val="00387610"/>
    <w:rsid w:val="00387613"/>
    <w:rsid w:val="00387647"/>
    <w:rsid w:val="003876A7"/>
    <w:rsid w:val="00387737"/>
    <w:rsid w:val="0038790B"/>
    <w:rsid w:val="0038791A"/>
    <w:rsid w:val="00387959"/>
    <w:rsid w:val="003879B0"/>
    <w:rsid w:val="003879E3"/>
    <w:rsid w:val="00387C2B"/>
    <w:rsid w:val="00390056"/>
    <w:rsid w:val="00390477"/>
    <w:rsid w:val="0039055A"/>
    <w:rsid w:val="0039055C"/>
    <w:rsid w:val="00390565"/>
    <w:rsid w:val="003906B3"/>
    <w:rsid w:val="003906F1"/>
    <w:rsid w:val="00390718"/>
    <w:rsid w:val="0039072C"/>
    <w:rsid w:val="00390767"/>
    <w:rsid w:val="0039083E"/>
    <w:rsid w:val="00390883"/>
    <w:rsid w:val="00390888"/>
    <w:rsid w:val="003908B0"/>
    <w:rsid w:val="00390908"/>
    <w:rsid w:val="00390BCA"/>
    <w:rsid w:val="00390BDD"/>
    <w:rsid w:val="00390C29"/>
    <w:rsid w:val="00390CB1"/>
    <w:rsid w:val="00390D9E"/>
    <w:rsid w:val="00390E22"/>
    <w:rsid w:val="00390E52"/>
    <w:rsid w:val="00390EF4"/>
    <w:rsid w:val="00390F27"/>
    <w:rsid w:val="00390FAA"/>
    <w:rsid w:val="00390FD9"/>
    <w:rsid w:val="0039103A"/>
    <w:rsid w:val="0039118F"/>
    <w:rsid w:val="003912F3"/>
    <w:rsid w:val="00391470"/>
    <w:rsid w:val="0039166E"/>
    <w:rsid w:val="003917C1"/>
    <w:rsid w:val="0039194C"/>
    <w:rsid w:val="00391C2A"/>
    <w:rsid w:val="00391CF9"/>
    <w:rsid w:val="00391ECD"/>
    <w:rsid w:val="00391F2A"/>
    <w:rsid w:val="00391FED"/>
    <w:rsid w:val="003920C4"/>
    <w:rsid w:val="00392184"/>
    <w:rsid w:val="0039227B"/>
    <w:rsid w:val="003922CE"/>
    <w:rsid w:val="00392334"/>
    <w:rsid w:val="003923DD"/>
    <w:rsid w:val="00392635"/>
    <w:rsid w:val="00392652"/>
    <w:rsid w:val="0039265E"/>
    <w:rsid w:val="003927EF"/>
    <w:rsid w:val="003929D3"/>
    <w:rsid w:val="00392A47"/>
    <w:rsid w:val="00392A63"/>
    <w:rsid w:val="00392B41"/>
    <w:rsid w:val="00392C80"/>
    <w:rsid w:val="00392DF8"/>
    <w:rsid w:val="00392E5F"/>
    <w:rsid w:val="0039303B"/>
    <w:rsid w:val="00393127"/>
    <w:rsid w:val="0039318E"/>
    <w:rsid w:val="0039356F"/>
    <w:rsid w:val="003935C3"/>
    <w:rsid w:val="00393620"/>
    <w:rsid w:val="003937AF"/>
    <w:rsid w:val="003937F5"/>
    <w:rsid w:val="00393819"/>
    <w:rsid w:val="003938D6"/>
    <w:rsid w:val="00393B13"/>
    <w:rsid w:val="00393CDF"/>
    <w:rsid w:val="00393DD0"/>
    <w:rsid w:val="00393E5D"/>
    <w:rsid w:val="00393E9B"/>
    <w:rsid w:val="0039456F"/>
    <w:rsid w:val="003945C8"/>
    <w:rsid w:val="003945D1"/>
    <w:rsid w:val="00394610"/>
    <w:rsid w:val="003947C4"/>
    <w:rsid w:val="0039480D"/>
    <w:rsid w:val="0039481D"/>
    <w:rsid w:val="0039493B"/>
    <w:rsid w:val="00394A47"/>
    <w:rsid w:val="00394B0B"/>
    <w:rsid w:val="00394C49"/>
    <w:rsid w:val="00394DAA"/>
    <w:rsid w:val="00394EEA"/>
    <w:rsid w:val="00394F5A"/>
    <w:rsid w:val="003950D8"/>
    <w:rsid w:val="00395446"/>
    <w:rsid w:val="0039551C"/>
    <w:rsid w:val="003955C6"/>
    <w:rsid w:val="00395794"/>
    <w:rsid w:val="003957C5"/>
    <w:rsid w:val="003958D3"/>
    <w:rsid w:val="00395A90"/>
    <w:rsid w:val="00395B28"/>
    <w:rsid w:val="00395C95"/>
    <w:rsid w:val="00395E43"/>
    <w:rsid w:val="00395FA6"/>
    <w:rsid w:val="00396187"/>
    <w:rsid w:val="003963D9"/>
    <w:rsid w:val="003964AF"/>
    <w:rsid w:val="003964CE"/>
    <w:rsid w:val="00396700"/>
    <w:rsid w:val="00396722"/>
    <w:rsid w:val="00396725"/>
    <w:rsid w:val="00396781"/>
    <w:rsid w:val="00396804"/>
    <w:rsid w:val="00396816"/>
    <w:rsid w:val="00396857"/>
    <w:rsid w:val="0039688D"/>
    <w:rsid w:val="00396AAE"/>
    <w:rsid w:val="00397094"/>
    <w:rsid w:val="0039727F"/>
    <w:rsid w:val="00397292"/>
    <w:rsid w:val="0039734E"/>
    <w:rsid w:val="003975B5"/>
    <w:rsid w:val="003975F3"/>
    <w:rsid w:val="00397854"/>
    <w:rsid w:val="0039787F"/>
    <w:rsid w:val="00397A05"/>
    <w:rsid w:val="00397A28"/>
    <w:rsid w:val="00397C82"/>
    <w:rsid w:val="00397D1B"/>
    <w:rsid w:val="00397E4F"/>
    <w:rsid w:val="00397E94"/>
    <w:rsid w:val="00397EBE"/>
    <w:rsid w:val="00397F05"/>
    <w:rsid w:val="00397F72"/>
    <w:rsid w:val="003A0011"/>
    <w:rsid w:val="003A004F"/>
    <w:rsid w:val="003A00A4"/>
    <w:rsid w:val="003A0238"/>
    <w:rsid w:val="003A0442"/>
    <w:rsid w:val="003A050C"/>
    <w:rsid w:val="003A0820"/>
    <w:rsid w:val="003A0878"/>
    <w:rsid w:val="003A0899"/>
    <w:rsid w:val="003A091C"/>
    <w:rsid w:val="003A0BDE"/>
    <w:rsid w:val="003A0CB3"/>
    <w:rsid w:val="003A0DCF"/>
    <w:rsid w:val="003A0DDC"/>
    <w:rsid w:val="003A0F0C"/>
    <w:rsid w:val="003A0F63"/>
    <w:rsid w:val="003A101E"/>
    <w:rsid w:val="003A1092"/>
    <w:rsid w:val="003A10D3"/>
    <w:rsid w:val="003A1512"/>
    <w:rsid w:val="003A1796"/>
    <w:rsid w:val="003A1B49"/>
    <w:rsid w:val="003A1C5D"/>
    <w:rsid w:val="003A1C85"/>
    <w:rsid w:val="003A1CF2"/>
    <w:rsid w:val="003A1E7C"/>
    <w:rsid w:val="003A1EB7"/>
    <w:rsid w:val="003A1F32"/>
    <w:rsid w:val="003A1FE8"/>
    <w:rsid w:val="003A2094"/>
    <w:rsid w:val="003A2129"/>
    <w:rsid w:val="003A234A"/>
    <w:rsid w:val="003A23F3"/>
    <w:rsid w:val="003A2413"/>
    <w:rsid w:val="003A2619"/>
    <w:rsid w:val="003A27A0"/>
    <w:rsid w:val="003A28A3"/>
    <w:rsid w:val="003A299A"/>
    <w:rsid w:val="003A2B4A"/>
    <w:rsid w:val="003A2C6F"/>
    <w:rsid w:val="003A2D82"/>
    <w:rsid w:val="003A2DD3"/>
    <w:rsid w:val="003A2F75"/>
    <w:rsid w:val="003A337C"/>
    <w:rsid w:val="003A3596"/>
    <w:rsid w:val="003A35A5"/>
    <w:rsid w:val="003A3611"/>
    <w:rsid w:val="003A36D1"/>
    <w:rsid w:val="003A36DA"/>
    <w:rsid w:val="003A36FF"/>
    <w:rsid w:val="003A38F1"/>
    <w:rsid w:val="003A3ADC"/>
    <w:rsid w:val="003A3BF6"/>
    <w:rsid w:val="003A3C05"/>
    <w:rsid w:val="003A3D1B"/>
    <w:rsid w:val="003A3DD8"/>
    <w:rsid w:val="003A3E05"/>
    <w:rsid w:val="003A3E86"/>
    <w:rsid w:val="003A3ECC"/>
    <w:rsid w:val="003A3EE1"/>
    <w:rsid w:val="003A3EED"/>
    <w:rsid w:val="003A3F39"/>
    <w:rsid w:val="003A4162"/>
    <w:rsid w:val="003A426F"/>
    <w:rsid w:val="003A4296"/>
    <w:rsid w:val="003A4310"/>
    <w:rsid w:val="003A4391"/>
    <w:rsid w:val="003A43B3"/>
    <w:rsid w:val="003A4549"/>
    <w:rsid w:val="003A468C"/>
    <w:rsid w:val="003A49B3"/>
    <w:rsid w:val="003A4A1C"/>
    <w:rsid w:val="003A4AC7"/>
    <w:rsid w:val="003A4B5D"/>
    <w:rsid w:val="003A4E73"/>
    <w:rsid w:val="003A4EB1"/>
    <w:rsid w:val="003A4ED0"/>
    <w:rsid w:val="003A5025"/>
    <w:rsid w:val="003A52E2"/>
    <w:rsid w:val="003A535C"/>
    <w:rsid w:val="003A54DF"/>
    <w:rsid w:val="003A5553"/>
    <w:rsid w:val="003A55B4"/>
    <w:rsid w:val="003A565E"/>
    <w:rsid w:val="003A567A"/>
    <w:rsid w:val="003A578C"/>
    <w:rsid w:val="003A58A5"/>
    <w:rsid w:val="003A5964"/>
    <w:rsid w:val="003A59BA"/>
    <w:rsid w:val="003A5A17"/>
    <w:rsid w:val="003A5AFE"/>
    <w:rsid w:val="003A5B2D"/>
    <w:rsid w:val="003A5B93"/>
    <w:rsid w:val="003A5BB6"/>
    <w:rsid w:val="003A5C01"/>
    <w:rsid w:val="003A6190"/>
    <w:rsid w:val="003A61B6"/>
    <w:rsid w:val="003A623F"/>
    <w:rsid w:val="003A6516"/>
    <w:rsid w:val="003A65BD"/>
    <w:rsid w:val="003A65C5"/>
    <w:rsid w:val="003A66CB"/>
    <w:rsid w:val="003A674E"/>
    <w:rsid w:val="003A67A1"/>
    <w:rsid w:val="003A68B7"/>
    <w:rsid w:val="003A69AD"/>
    <w:rsid w:val="003A6A16"/>
    <w:rsid w:val="003A6AE4"/>
    <w:rsid w:val="003A6C3B"/>
    <w:rsid w:val="003A6C58"/>
    <w:rsid w:val="003A6CC6"/>
    <w:rsid w:val="003A6CE1"/>
    <w:rsid w:val="003A6D7A"/>
    <w:rsid w:val="003A6E88"/>
    <w:rsid w:val="003A6EFD"/>
    <w:rsid w:val="003A7132"/>
    <w:rsid w:val="003A71AD"/>
    <w:rsid w:val="003A7244"/>
    <w:rsid w:val="003A7347"/>
    <w:rsid w:val="003A7671"/>
    <w:rsid w:val="003A7770"/>
    <w:rsid w:val="003A780C"/>
    <w:rsid w:val="003A7853"/>
    <w:rsid w:val="003A78B7"/>
    <w:rsid w:val="003A78BF"/>
    <w:rsid w:val="003A79A5"/>
    <w:rsid w:val="003A7A36"/>
    <w:rsid w:val="003A7ABF"/>
    <w:rsid w:val="003A7AF5"/>
    <w:rsid w:val="003A7B48"/>
    <w:rsid w:val="003A7B65"/>
    <w:rsid w:val="003A7C07"/>
    <w:rsid w:val="003A7D1D"/>
    <w:rsid w:val="003A7F5F"/>
    <w:rsid w:val="003A7F62"/>
    <w:rsid w:val="003B0075"/>
    <w:rsid w:val="003B00CC"/>
    <w:rsid w:val="003B013D"/>
    <w:rsid w:val="003B01B4"/>
    <w:rsid w:val="003B02D6"/>
    <w:rsid w:val="003B02F6"/>
    <w:rsid w:val="003B036D"/>
    <w:rsid w:val="003B0498"/>
    <w:rsid w:val="003B04A2"/>
    <w:rsid w:val="003B0889"/>
    <w:rsid w:val="003B08C6"/>
    <w:rsid w:val="003B09C6"/>
    <w:rsid w:val="003B09E9"/>
    <w:rsid w:val="003B0E7F"/>
    <w:rsid w:val="003B108D"/>
    <w:rsid w:val="003B115D"/>
    <w:rsid w:val="003B11DF"/>
    <w:rsid w:val="003B1276"/>
    <w:rsid w:val="003B1366"/>
    <w:rsid w:val="003B13FD"/>
    <w:rsid w:val="003B153D"/>
    <w:rsid w:val="003B1671"/>
    <w:rsid w:val="003B1688"/>
    <w:rsid w:val="003B17F2"/>
    <w:rsid w:val="003B1ACE"/>
    <w:rsid w:val="003B1FA4"/>
    <w:rsid w:val="003B1FE6"/>
    <w:rsid w:val="003B20D4"/>
    <w:rsid w:val="003B20F4"/>
    <w:rsid w:val="003B21C9"/>
    <w:rsid w:val="003B2351"/>
    <w:rsid w:val="003B236D"/>
    <w:rsid w:val="003B23C5"/>
    <w:rsid w:val="003B2493"/>
    <w:rsid w:val="003B26DB"/>
    <w:rsid w:val="003B27A7"/>
    <w:rsid w:val="003B2A9F"/>
    <w:rsid w:val="003B2B9A"/>
    <w:rsid w:val="003B2BCB"/>
    <w:rsid w:val="003B2D15"/>
    <w:rsid w:val="003B2FC3"/>
    <w:rsid w:val="003B3075"/>
    <w:rsid w:val="003B3106"/>
    <w:rsid w:val="003B3126"/>
    <w:rsid w:val="003B313E"/>
    <w:rsid w:val="003B3518"/>
    <w:rsid w:val="003B35E0"/>
    <w:rsid w:val="003B3974"/>
    <w:rsid w:val="003B39E0"/>
    <w:rsid w:val="003B3A16"/>
    <w:rsid w:val="003B3B83"/>
    <w:rsid w:val="003B3B9A"/>
    <w:rsid w:val="003B3DAB"/>
    <w:rsid w:val="003B404D"/>
    <w:rsid w:val="003B4269"/>
    <w:rsid w:val="003B426F"/>
    <w:rsid w:val="003B4303"/>
    <w:rsid w:val="003B4436"/>
    <w:rsid w:val="003B4514"/>
    <w:rsid w:val="003B4583"/>
    <w:rsid w:val="003B46D8"/>
    <w:rsid w:val="003B47A4"/>
    <w:rsid w:val="003B4ADF"/>
    <w:rsid w:val="003B4B34"/>
    <w:rsid w:val="003B4BE8"/>
    <w:rsid w:val="003B4CDA"/>
    <w:rsid w:val="003B4F2D"/>
    <w:rsid w:val="003B4F8B"/>
    <w:rsid w:val="003B500F"/>
    <w:rsid w:val="003B50B9"/>
    <w:rsid w:val="003B5127"/>
    <w:rsid w:val="003B516F"/>
    <w:rsid w:val="003B51B5"/>
    <w:rsid w:val="003B51F1"/>
    <w:rsid w:val="003B5406"/>
    <w:rsid w:val="003B5469"/>
    <w:rsid w:val="003B5854"/>
    <w:rsid w:val="003B5906"/>
    <w:rsid w:val="003B5B04"/>
    <w:rsid w:val="003B5B5B"/>
    <w:rsid w:val="003B5BD9"/>
    <w:rsid w:val="003B5BE6"/>
    <w:rsid w:val="003B5C02"/>
    <w:rsid w:val="003B5CEB"/>
    <w:rsid w:val="003B5D52"/>
    <w:rsid w:val="003B5D5A"/>
    <w:rsid w:val="003B5E00"/>
    <w:rsid w:val="003B5F4A"/>
    <w:rsid w:val="003B5F6D"/>
    <w:rsid w:val="003B624D"/>
    <w:rsid w:val="003B6370"/>
    <w:rsid w:val="003B63CD"/>
    <w:rsid w:val="003B6489"/>
    <w:rsid w:val="003B64A3"/>
    <w:rsid w:val="003B6616"/>
    <w:rsid w:val="003B66CE"/>
    <w:rsid w:val="003B6BC2"/>
    <w:rsid w:val="003B6C4C"/>
    <w:rsid w:val="003B6D1C"/>
    <w:rsid w:val="003B6DB8"/>
    <w:rsid w:val="003B6FAB"/>
    <w:rsid w:val="003B7039"/>
    <w:rsid w:val="003B7105"/>
    <w:rsid w:val="003B72B3"/>
    <w:rsid w:val="003B72B9"/>
    <w:rsid w:val="003B735E"/>
    <w:rsid w:val="003B73AD"/>
    <w:rsid w:val="003B74E1"/>
    <w:rsid w:val="003B7584"/>
    <w:rsid w:val="003B7848"/>
    <w:rsid w:val="003B7AE8"/>
    <w:rsid w:val="003B7CC0"/>
    <w:rsid w:val="003C0310"/>
    <w:rsid w:val="003C062E"/>
    <w:rsid w:val="003C063B"/>
    <w:rsid w:val="003C06E9"/>
    <w:rsid w:val="003C075B"/>
    <w:rsid w:val="003C07CB"/>
    <w:rsid w:val="003C07FB"/>
    <w:rsid w:val="003C0887"/>
    <w:rsid w:val="003C08AF"/>
    <w:rsid w:val="003C0AE2"/>
    <w:rsid w:val="003C0E0B"/>
    <w:rsid w:val="003C0FA1"/>
    <w:rsid w:val="003C1046"/>
    <w:rsid w:val="003C1348"/>
    <w:rsid w:val="003C1713"/>
    <w:rsid w:val="003C1789"/>
    <w:rsid w:val="003C1856"/>
    <w:rsid w:val="003C1A96"/>
    <w:rsid w:val="003C1AFC"/>
    <w:rsid w:val="003C1BE3"/>
    <w:rsid w:val="003C1D7E"/>
    <w:rsid w:val="003C1E68"/>
    <w:rsid w:val="003C1ED8"/>
    <w:rsid w:val="003C209C"/>
    <w:rsid w:val="003C20FC"/>
    <w:rsid w:val="003C2113"/>
    <w:rsid w:val="003C2194"/>
    <w:rsid w:val="003C225C"/>
    <w:rsid w:val="003C2315"/>
    <w:rsid w:val="003C23F7"/>
    <w:rsid w:val="003C25A3"/>
    <w:rsid w:val="003C2708"/>
    <w:rsid w:val="003C2744"/>
    <w:rsid w:val="003C2B28"/>
    <w:rsid w:val="003C2B98"/>
    <w:rsid w:val="003C2B9D"/>
    <w:rsid w:val="003C2BB3"/>
    <w:rsid w:val="003C2CBD"/>
    <w:rsid w:val="003C2DDF"/>
    <w:rsid w:val="003C2E50"/>
    <w:rsid w:val="003C2EDD"/>
    <w:rsid w:val="003C3038"/>
    <w:rsid w:val="003C3220"/>
    <w:rsid w:val="003C38C7"/>
    <w:rsid w:val="003C3A14"/>
    <w:rsid w:val="003C3A47"/>
    <w:rsid w:val="003C3A79"/>
    <w:rsid w:val="003C3EB8"/>
    <w:rsid w:val="003C3F61"/>
    <w:rsid w:val="003C400F"/>
    <w:rsid w:val="003C4353"/>
    <w:rsid w:val="003C4390"/>
    <w:rsid w:val="003C4544"/>
    <w:rsid w:val="003C4662"/>
    <w:rsid w:val="003C46C8"/>
    <w:rsid w:val="003C48F2"/>
    <w:rsid w:val="003C4B5A"/>
    <w:rsid w:val="003C5177"/>
    <w:rsid w:val="003C5214"/>
    <w:rsid w:val="003C523E"/>
    <w:rsid w:val="003C5295"/>
    <w:rsid w:val="003C529B"/>
    <w:rsid w:val="003C52B0"/>
    <w:rsid w:val="003C55CB"/>
    <w:rsid w:val="003C56C1"/>
    <w:rsid w:val="003C57B9"/>
    <w:rsid w:val="003C580A"/>
    <w:rsid w:val="003C5861"/>
    <w:rsid w:val="003C58CB"/>
    <w:rsid w:val="003C5911"/>
    <w:rsid w:val="003C5A80"/>
    <w:rsid w:val="003C5AF1"/>
    <w:rsid w:val="003C5CDB"/>
    <w:rsid w:val="003C5CEF"/>
    <w:rsid w:val="003C5D9D"/>
    <w:rsid w:val="003C5DDA"/>
    <w:rsid w:val="003C5E0D"/>
    <w:rsid w:val="003C5E92"/>
    <w:rsid w:val="003C5E9A"/>
    <w:rsid w:val="003C5EDC"/>
    <w:rsid w:val="003C60F3"/>
    <w:rsid w:val="003C638C"/>
    <w:rsid w:val="003C63BD"/>
    <w:rsid w:val="003C6423"/>
    <w:rsid w:val="003C6452"/>
    <w:rsid w:val="003C6465"/>
    <w:rsid w:val="003C6526"/>
    <w:rsid w:val="003C6564"/>
    <w:rsid w:val="003C65E4"/>
    <w:rsid w:val="003C671A"/>
    <w:rsid w:val="003C6AA8"/>
    <w:rsid w:val="003C6BE0"/>
    <w:rsid w:val="003C6F47"/>
    <w:rsid w:val="003C70D4"/>
    <w:rsid w:val="003C724A"/>
    <w:rsid w:val="003C7341"/>
    <w:rsid w:val="003C7443"/>
    <w:rsid w:val="003C757D"/>
    <w:rsid w:val="003C7580"/>
    <w:rsid w:val="003C759A"/>
    <w:rsid w:val="003C76F3"/>
    <w:rsid w:val="003C7712"/>
    <w:rsid w:val="003C7831"/>
    <w:rsid w:val="003C784F"/>
    <w:rsid w:val="003C7862"/>
    <w:rsid w:val="003C786D"/>
    <w:rsid w:val="003C78D1"/>
    <w:rsid w:val="003C7A55"/>
    <w:rsid w:val="003C7ABC"/>
    <w:rsid w:val="003C7BD0"/>
    <w:rsid w:val="003C7BFF"/>
    <w:rsid w:val="003C7D67"/>
    <w:rsid w:val="003C7D8D"/>
    <w:rsid w:val="003C7EA5"/>
    <w:rsid w:val="003C7ECD"/>
    <w:rsid w:val="003C7EEA"/>
    <w:rsid w:val="003D0079"/>
    <w:rsid w:val="003D007D"/>
    <w:rsid w:val="003D01A1"/>
    <w:rsid w:val="003D02BA"/>
    <w:rsid w:val="003D03BD"/>
    <w:rsid w:val="003D04D6"/>
    <w:rsid w:val="003D04F6"/>
    <w:rsid w:val="003D0761"/>
    <w:rsid w:val="003D07DA"/>
    <w:rsid w:val="003D08B9"/>
    <w:rsid w:val="003D0B05"/>
    <w:rsid w:val="003D0E36"/>
    <w:rsid w:val="003D0F78"/>
    <w:rsid w:val="003D102D"/>
    <w:rsid w:val="003D10DA"/>
    <w:rsid w:val="003D1238"/>
    <w:rsid w:val="003D1317"/>
    <w:rsid w:val="003D153C"/>
    <w:rsid w:val="003D15E5"/>
    <w:rsid w:val="003D1674"/>
    <w:rsid w:val="003D16F9"/>
    <w:rsid w:val="003D1819"/>
    <w:rsid w:val="003D18CC"/>
    <w:rsid w:val="003D18E6"/>
    <w:rsid w:val="003D1A58"/>
    <w:rsid w:val="003D1A9F"/>
    <w:rsid w:val="003D1AE4"/>
    <w:rsid w:val="003D1B64"/>
    <w:rsid w:val="003D1D2C"/>
    <w:rsid w:val="003D1D33"/>
    <w:rsid w:val="003D1F40"/>
    <w:rsid w:val="003D2324"/>
    <w:rsid w:val="003D2396"/>
    <w:rsid w:val="003D23C8"/>
    <w:rsid w:val="003D2607"/>
    <w:rsid w:val="003D2780"/>
    <w:rsid w:val="003D2879"/>
    <w:rsid w:val="003D28D2"/>
    <w:rsid w:val="003D2A11"/>
    <w:rsid w:val="003D2B22"/>
    <w:rsid w:val="003D2B8E"/>
    <w:rsid w:val="003D2CCD"/>
    <w:rsid w:val="003D3007"/>
    <w:rsid w:val="003D3209"/>
    <w:rsid w:val="003D3259"/>
    <w:rsid w:val="003D33C3"/>
    <w:rsid w:val="003D3583"/>
    <w:rsid w:val="003D3729"/>
    <w:rsid w:val="003D3864"/>
    <w:rsid w:val="003D391E"/>
    <w:rsid w:val="003D3966"/>
    <w:rsid w:val="003D3A76"/>
    <w:rsid w:val="003D3B6F"/>
    <w:rsid w:val="003D3B9E"/>
    <w:rsid w:val="003D3E2F"/>
    <w:rsid w:val="003D3E74"/>
    <w:rsid w:val="003D409D"/>
    <w:rsid w:val="003D40E8"/>
    <w:rsid w:val="003D414E"/>
    <w:rsid w:val="003D43BB"/>
    <w:rsid w:val="003D4439"/>
    <w:rsid w:val="003D44B9"/>
    <w:rsid w:val="003D455E"/>
    <w:rsid w:val="003D45D1"/>
    <w:rsid w:val="003D45F1"/>
    <w:rsid w:val="003D466F"/>
    <w:rsid w:val="003D47AF"/>
    <w:rsid w:val="003D4C58"/>
    <w:rsid w:val="003D4DBB"/>
    <w:rsid w:val="003D4E6A"/>
    <w:rsid w:val="003D5438"/>
    <w:rsid w:val="003D55FD"/>
    <w:rsid w:val="003D5744"/>
    <w:rsid w:val="003D5785"/>
    <w:rsid w:val="003D598C"/>
    <w:rsid w:val="003D5A2D"/>
    <w:rsid w:val="003D5A9D"/>
    <w:rsid w:val="003D5C85"/>
    <w:rsid w:val="003D5CB9"/>
    <w:rsid w:val="003D5D81"/>
    <w:rsid w:val="003D5EAE"/>
    <w:rsid w:val="003D5F02"/>
    <w:rsid w:val="003D5F5B"/>
    <w:rsid w:val="003D6060"/>
    <w:rsid w:val="003D61A1"/>
    <w:rsid w:val="003D62C0"/>
    <w:rsid w:val="003D62F3"/>
    <w:rsid w:val="003D63A7"/>
    <w:rsid w:val="003D63F1"/>
    <w:rsid w:val="003D65F6"/>
    <w:rsid w:val="003D67CE"/>
    <w:rsid w:val="003D6911"/>
    <w:rsid w:val="003D6A2A"/>
    <w:rsid w:val="003D6B38"/>
    <w:rsid w:val="003D6E3C"/>
    <w:rsid w:val="003D6E84"/>
    <w:rsid w:val="003D74AB"/>
    <w:rsid w:val="003D74CC"/>
    <w:rsid w:val="003D7518"/>
    <w:rsid w:val="003D7A26"/>
    <w:rsid w:val="003D7A92"/>
    <w:rsid w:val="003D7C99"/>
    <w:rsid w:val="003D7CAE"/>
    <w:rsid w:val="003D7D31"/>
    <w:rsid w:val="003D7DEB"/>
    <w:rsid w:val="003D7E4B"/>
    <w:rsid w:val="003E0035"/>
    <w:rsid w:val="003E0077"/>
    <w:rsid w:val="003E0307"/>
    <w:rsid w:val="003E035F"/>
    <w:rsid w:val="003E0571"/>
    <w:rsid w:val="003E0585"/>
    <w:rsid w:val="003E08E9"/>
    <w:rsid w:val="003E0B62"/>
    <w:rsid w:val="003E0C14"/>
    <w:rsid w:val="003E0D1D"/>
    <w:rsid w:val="003E0D6F"/>
    <w:rsid w:val="003E0FAE"/>
    <w:rsid w:val="003E0FF3"/>
    <w:rsid w:val="003E0FFD"/>
    <w:rsid w:val="003E11D9"/>
    <w:rsid w:val="003E1288"/>
    <w:rsid w:val="003E141C"/>
    <w:rsid w:val="003E1468"/>
    <w:rsid w:val="003E1591"/>
    <w:rsid w:val="003E168C"/>
    <w:rsid w:val="003E1714"/>
    <w:rsid w:val="003E17EC"/>
    <w:rsid w:val="003E1836"/>
    <w:rsid w:val="003E1ACF"/>
    <w:rsid w:val="003E1B13"/>
    <w:rsid w:val="003E1E1E"/>
    <w:rsid w:val="003E1ED3"/>
    <w:rsid w:val="003E216C"/>
    <w:rsid w:val="003E2177"/>
    <w:rsid w:val="003E2354"/>
    <w:rsid w:val="003E236E"/>
    <w:rsid w:val="003E23B0"/>
    <w:rsid w:val="003E23CD"/>
    <w:rsid w:val="003E2441"/>
    <w:rsid w:val="003E2577"/>
    <w:rsid w:val="003E259D"/>
    <w:rsid w:val="003E25AC"/>
    <w:rsid w:val="003E262E"/>
    <w:rsid w:val="003E26BA"/>
    <w:rsid w:val="003E273D"/>
    <w:rsid w:val="003E2906"/>
    <w:rsid w:val="003E2913"/>
    <w:rsid w:val="003E2969"/>
    <w:rsid w:val="003E2BB8"/>
    <w:rsid w:val="003E2BC5"/>
    <w:rsid w:val="003E2C1A"/>
    <w:rsid w:val="003E307A"/>
    <w:rsid w:val="003E330F"/>
    <w:rsid w:val="003E3314"/>
    <w:rsid w:val="003E333E"/>
    <w:rsid w:val="003E33FA"/>
    <w:rsid w:val="003E3478"/>
    <w:rsid w:val="003E38BD"/>
    <w:rsid w:val="003E39E7"/>
    <w:rsid w:val="003E3C02"/>
    <w:rsid w:val="003E3E96"/>
    <w:rsid w:val="003E3F3B"/>
    <w:rsid w:val="003E3FA8"/>
    <w:rsid w:val="003E4005"/>
    <w:rsid w:val="003E420B"/>
    <w:rsid w:val="003E4241"/>
    <w:rsid w:val="003E44D1"/>
    <w:rsid w:val="003E4724"/>
    <w:rsid w:val="003E4839"/>
    <w:rsid w:val="003E48FA"/>
    <w:rsid w:val="003E4907"/>
    <w:rsid w:val="003E4AD1"/>
    <w:rsid w:val="003E4B02"/>
    <w:rsid w:val="003E4C67"/>
    <w:rsid w:val="003E4D68"/>
    <w:rsid w:val="003E4E74"/>
    <w:rsid w:val="003E4EEA"/>
    <w:rsid w:val="003E4FAB"/>
    <w:rsid w:val="003E4FD7"/>
    <w:rsid w:val="003E4FFA"/>
    <w:rsid w:val="003E50F7"/>
    <w:rsid w:val="003E538C"/>
    <w:rsid w:val="003E540A"/>
    <w:rsid w:val="003E549B"/>
    <w:rsid w:val="003E54D5"/>
    <w:rsid w:val="003E57A5"/>
    <w:rsid w:val="003E5943"/>
    <w:rsid w:val="003E59CE"/>
    <w:rsid w:val="003E5D95"/>
    <w:rsid w:val="003E5E43"/>
    <w:rsid w:val="003E5EA1"/>
    <w:rsid w:val="003E5F7D"/>
    <w:rsid w:val="003E600E"/>
    <w:rsid w:val="003E612B"/>
    <w:rsid w:val="003E623D"/>
    <w:rsid w:val="003E64C8"/>
    <w:rsid w:val="003E64EF"/>
    <w:rsid w:val="003E6520"/>
    <w:rsid w:val="003E6536"/>
    <w:rsid w:val="003E6689"/>
    <w:rsid w:val="003E6711"/>
    <w:rsid w:val="003E67AD"/>
    <w:rsid w:val="003E67E7"/>
    <w:rsid w:val="003E6827"/>
    <w:rsid w:val="003E6859"/>
    <w:rsid w:val="003E6866"/>
    <w:rsid w:val="003E687F"/>
    <w:rsid w:val="003E6A9D"/>
    <w:rsid w:val="003E6AA3"/>
    <w:rsid w:val="003E6B3C"/>
    <w:rsid w:val="003E6B95"/>
    <w:rsid w:val="003E6D9D"/>
    <w:rsid w:val="003E6FF9"/>
    <w:rsid w:val="003E70A2"/>
    <w:rsid w:val="003E70DC"/>
    <w:rsid w:val="003E70FF"/>
    <w:rsid w:val="003E7124"/>
    <w:rsid w:val="003E732F"/>
    <w:rsid w:val="003E73AA"/>
    <w:rsid w:val="003E743D"/>
    <w:rsid w:val="003E753A"/>
    <w:rsid w:val="003E7734"/>
    <w:rsid w:val="003E7781"/>
    <w:rsid w:val="003E7AEC"/>
    <w:rsid w:val="003E7C11"/>
    <w:rsid w:val="003E7D09"/>
    <w:rsid w:val="003E7E7D"/>
    <w:rsid w:val="003E7F1B"/>
    <w:rsid w:val="003E7F6B"/>
    <w:rsid w:val="003F01E4"/>
    <w:rsid w:val="003F04D1"/>
    <w:rsid w:val="003F0557"/>
    <w:rsid w:val="003F06E3"/>
    <w:rsid w:val="003F06F1"/>
    <w:rsid w:val="003F07A7"/>
    <w:rsid w:val="003F087F"/>
    <w:rsid w:val="003F08DD"/>
    <w:rsid w:val="003F091D"/>
    <w:rsid w:val="003F0A1A"/>
    <w:rsid w:val="003F0B41"/>
    <w:rsid w:val="003F0C58"/>
    <w:rsid w:val="003F0ED7"/>
    <w:rsid w:val="003F102D"/>
    <w:rsid w:val="003F124E"/>
    <w:rsid w:val="003F1313"/>
    <w:rsid w:val="003F1347"/>
    <w:rsid w:val="003F1354"/>
    <w:rsid w:val="003F151E"/>
    <w:rsid w:val="003F195D"/>
    <w:rsid w:val="003F1AA7"/>
    <w:rsid w:val="003F1B60"/>
    <w:rsid w:val="003F1C2C"/>
    <w:rsid w:val="003F1DFC"/>
    <w:rsid w:val="003F1E39"/>
    <w:rsid w:val="003F1E62"/>
    <w:rsid w:val="003F1FC9"/>
    <w:rsid w:val="003F205D"/>
    <w:rsid w:val="003F2100"/>
    <w:rsid w:val="003F2226"/>
    <w:rsid w:val="003F222C"/>
    <w:rsid w:val="003F229D"/>
    <w:rsid w:val="003F25F0"/>
    <w:rsid w:val="003F2874"/>
    <w:rsid w:val="003F29C9"/>
    <w:rsid w:val="003F2B24"/>
    <w:rsid w:val="003F2C5E"/>
    <w:rsid w:val="003F2C79"/>
    <w:rsid w:val="003F2D5B"/>
    <w:rsid w:val="003F2D7C"/>
    <w:rsid w:val="003F2E57"/>
    <w:rsid w:val="003F30E0"/>
    <w:rsid w:val="003F31A8"/>
    <w:rsid w:val="003F3207"/>
    <w:rsid w:val="003F3259"/>
    <w:rsid w:val="003F32A6"/>
    <w:rsid w:val="003F32EB"/>
    <w:rsid w:val="003F334E"/>
    <w:rsid w:val="003F3354"/>
    <w:rsid w:val="003F3642"/>
    <w:rsid w:val="003F3C1E"/>
    <w:rsid w:val="003F3E83"/>
    <w:rsid w:val="003F412A"/>
    <w:rsid w:val="003F429A"/>
    <w:rsid w:val="003F4403"/>
    <w:rsid w:val="003F447A"/>
    <w:rsid w:val="003F44C1"/>
    <w:rsid w:val="003F49E5"/>
    <w:rsid w:val="003F4C67"/>
    <w:rsid w:val="003F4D03"/>
    <w:rsid w:val="003F4E0F"/>
    <w:rsid w:val="003F4F4A"/>
    <w:rsid w:val="003F4F4E"/>
    <w:rsid w:val="003F4F97"/>
    <w:rsid w:val="003F4FC8"/>
    <w:rsid w:val="003F501E"/>
    <w:rsid w:val="003F5337"/>
    <w:rsid w:val="003F5388"/>
    <w:rsid w:val="003F5450"/>
    <w:rsid w:val="003F55BB"/>
    <w:rsid w:val="003F5666"/>
    <w:rsid w:val="003F57B3"/>
    <w:rsid w:val="003F57EF"/>
    <w:rsid w:val="003F589C"/>
    <w:rsid w:val="003F59BF"/>
    <w:rsid w:val="003F5AD2"/>
    <w:rsid w:val="003F5CA4"/>
    <w:rsid w:val="003F5D3B"/>
    <w:rsid w:val="003F5DFC"/>
    <w:rsid w:val="003F5FAE"/>
    <w:rsid w:val="003F60F9"/>
    <w:rsid w:val="003F65E6"/>
    <w:rsid w:val="003F6601"/>
    <w:rsid w:val="003F6797"/>
    <w:rsid w:val="003F67D5"/>
    <w:rsid w:val="003F6828"/>
    <w:rsid w:val="003F68A2"/>
    <w:rsid w:val="003F6AAC"/>
    <w:rsid w:val="003F6B53"/>
    <w:rsid w:val="003F6B80"/>
    <w:rsid w:val="003F6CCD"/>
    <w:rsid w:val="003F6D50"/>
    <w:rsid w:val="003F6DFB"/>
    <w:rsid w:val="003F7006"/>
    <w:rsid w:val="003F7237"/>
    <w:rsid w:val="003F74A4"/>
    <w:rsid w:val="003F74EF"/>
    <w:rsid w:val="003F7507"/>
    <w:rsid w:val="003F7554"/>
    <w:rsid w:val="003F77FC"/>
    <w:rsid w:val="003F7AE8"/>
    <w:rsid w:val="003F7C72"/>
    <w:rsid w:val="003F7CA3"/>
    <w:rsid w:val="003F7D10"/>
    <w:rsid w:val="003F7EC1"/>
    <w:rsid w:val="00400060"/>
    <w:rsid w:val="0040006A"/>
    <w:rsid w:val="004000FC"/>
    <w:rsid w:val="0040021A"/>
    <w:rsid w:val="0040041D"/>
    <w:rsid w:val="00400683"/>
    <w:rsid w:val="004006E5"/>
    <w:rsid w:val="00400785"/>
    <w:rsid w:val="00400801"/>
    <w:rsid w:val="00400A0E"/>
    <w:rsid w:val="00400AF3"/>
    <w:rsid w:val="00400BCB"/>
    <w:rsid w:val="00400C82"/>
    <w:rsid w:val="00400D3C"/>
    <w:rsid w:val="00400D72"/>
    <w:rsid w:val="00400E30"/>
    <w:rsid w:val="00400FE6"/>
    <w:rsid w:val="00401000"/>
    <w:rsid w:val="004011EB"/>
    <w:rsid w:val="0040138C"/>
    <w:rsid w:val="00401559"/>
    <w:rsid w:val="004015C7"/>
    <w:rsid w:val="004016C6"/>
    <w:rsid w:val="0040179A"/>
    <w:rsid w:val="004017E4"/>
    <w:rsid w:val="00401856"/>
    <w:rsid w:val="004018A0"/>
    <w:rsid w:val="00401A99"/>
    <w:rsid w:val="00401ABF"/>
    <w:rsid w:val="00401AC7"/>
    <w:rsid w:val="00401B53"/>
    <w:rsid w:val="00401CEA"/>
    <w:rsid w:val="00401D9B"/>
    <w:rsid w:val="00401DCB"/>
    <w:rsid w:val="00401E16"/>
    <w:rsid w:val="00401F13"/>
    <w:rsid w:val="00401F5B"/>
    <w:rsid w:val="004021A1"/>
    <w:rsid w:val="004021AF"/>
    <w:rsid w:val="00402318"/>
    <w:rsid w:val="004024D0"/>
    <w:rsid w:val="004025F8"/>
    <w:rsid w:val="004026D8"/>
    <w:rsid w:val="004028A2"/>
    <w:rsid w:val="004028D0"/>
    <w:rsid w:val="00402E2C"/>
    <w:rsid w:val="00402FEB"/>
    <w:rsid w:val="00403009"/>
    <w:rsid w:val="0040317D"/>
    <w:rsid w:val="00403344"/>
    <w:rsid w:val="004033BA"/>
    <w:rsid w:val="00403696"/>
    <w:rsid w:val="0040376F"/>
    <w:rsid w:val="004037D4"/>
    <w:rsid w:val="004038DD"/>
    <w:rsid w:val="00403B96"/>
    <w:rsid w:val="00403C7E"/>
    <w:rsid w:val="00403C82"/>
    <w:rsid w:val="00403DE1"/>
    <w:rsid w:val="00403E75"/>
    <w:rsid w:val="0040415A"/>
    <w:rsid w:val="004043F8"/>
    <w:rsid w:val="004043F9"/>
    <w:rsid w:val="00404412"/>
    <w:rsid w:val="0040445E"/>
    <w:rsid w:val="00404486"/>
    <w:rsid w:val="004044D7"/>
    <w:rsid w:val="0040457E"/>
    <w:rsid w:val="00404715"/>
    <w:rsid w:val="00404900"/>
    <w:rsid w:val="0040493F"/>
    <w:rsid w:val="00404A97"/>
    <w:rsid w:val="00404AB5"/>
    <w:rsid w:val="00404B8E"/>
    <w:rsid w:val="00404C14"/>
    <w:rsid w:val="00404C44"/>
    <w:rsid w:val="00404D09"/>
    <w:rsid w:val="00404D45"/>
    <w:rsid w:val="00404DE9"/>
    <w:rsid w:val="00404E6E"/>
    <w:rsid w:val="00404E85"/>
    <w:rsid w:val="00404EE8"/>
    <w:rsid w:val="00404F8C"/>
    <w:rsid w:val="0040502D"/>
    <w:rsid w:val="0040510D"/>
    <w:rsid w:val="0040512D"/>
    <w:rsid w:val="00405261"/>
    <w:rsid w:val="004054A2"/>
    <w:rsid w:val="00405606"/>
    <w:rsid w:val="0040564C"/>
    <w:rsid w:val="004057EE"/>
    <w:rsid w:val="0040580D"/>
    <w:rsid w:val="004058D3"/>
    <w:rsid w:val="0040596D"/>
    <w:rsid w:val="0040599F"/>
    <w:rsid w:val="00405AE9"/>
    <w:rsid w:val="00405B35"/>
    <w:rsid w:val="00405D2D"/>
    <w:rsid w:val="00405DC3"/>
    <w:rsid w:val="00406004"/>
    <w:rsid w:val="0040602F"/>
    <w:rsid w:val="0040612C"/>
    <w:rsid w:val="004063E7"/>
    <w:rsid w:val="00406476"/>
    <w:rsid w:val="004064C6"/>
    <w:rsid w:val="00406548"/>
    <w:rsid w:val="004065F3"/>
    <w:rsid w:val="00406AFB"/>
    <w:rsid w:val="004070D6"/>
    <w:rsid w:val="004070F5"/>
    <w:rsid w:val="00407206"/>
    <w:rsid w:val="0040723F"/>
    <w:rsid w:val="00407290"/>
    <w:rsid w:val="00407382"/>
    <w:rsid w:val="004073CF"/>
    <w:rsid w:val="004073D5"/>
    <w:rsid w:val="004073D8"/>
    <w:rsid w:val="004073EF"/>
    <w:rsid w:val="0040746E"/>
    <w:rsid w:val="004078C1"/>
    <w:rsid w:val="0040791B"/>
    <w:rsid w:val="00407930"/>
    <w:rsid w:val="00407985"/>
    <w:rsid w:val="00407CE7"/>
    <w:rsid w:val="0041003D"/>
    <w:rsid w:val="004100C9"/>
    <w:rsid w:val="004103D2"/>
    <w:rsid w:val="004107B6"/>
    <w:rsid w:val="0041086B"/>
    <w:rsid w:val="00410B8C"/>
    <w:rsid w:val="00410C41"/>
    <w:rsid w:val="00410F2A"/>
    <w:rsid w:val="00410FA0"/>
    <w:rsid w:val="00410FBD"/>
    <w:rsid w:val="0041106E"/>
    <w:rsid w:val="00411115"/>
    <w:rsid w:val="0041137D"/>
    <w:rsid w:val="0041137E"/>
    <w:rsid w:val="004116DD"/>
    <w:rsid w:val="00411754"/>
    <w:rsid w:val="004118DD"/>
    <w:rsid w:val="00411958"/>
    <w:rsid w:val="00411B2A"/>
    <w:rsid w:val="00411BA1"/>
    <w:rsid w:val="00411C04"/>
    <w:rsid w:val="00411D83"/>
    <w:rsid w:val="00411E70"/>
    <w:rsid w:val="00411F52"/>
    <w:rsid w:val="00411F8E"/>
    <w:rsid w:val="00412047"/>
    <w:rsid w:val="004120EB"/>
    <w:rsid w:val="0041212A"/>
    <w:rsid w:val="004121EF"/>
    <w:rsid w:val="004121FF"/>
    <w:rsid w:val="0041272E"/>
    <w:rsid w:val="004128C3"/>
    <w:rsid w:val="00412973"/>
    <w:rsid w:val="00412A25"/>
    <w:rsid w:val="00412CD6"/>
    <w:rsid w:val="00412CE8"/>
    <w:rsid w:val="00412CF9"/>
    <w:rsid w:val="00412D42"/>
    <w:rsid w:val="00412DA4"/>
    <w:rsid w:val="00412EB6"/>
    <w:rsid w:val="00412EE7"/>
    <w:rsid w:val="00412F3D"/>
    <w:rsid w:val="00412F4F"/>
    <w:rsid w:val="00412F65"/>
    <w:rsid w:val="00413089"/>
    <w:rsid w:val="004130B8"/>
    <w:rsid w:val="00413164"/>
    <w:rsid w:val="00413276"/>
    <w:rsid w:val="00413294"/>
    <w:rsid w:val="004132ED"/>
    <w:rsid w:val="0041351F"/>
    <w:rsid w:val="0041361A"/>
    <w:rsid w:val="004137C8"/>
    <w:rsid w:val="00413B73"/>
    <w:rsid w:val="00413BB4"/>
    <w:rsid w:val="00413BE1"/>
    <w:rsid w:val="00413BF9"/>
    <w:rsid w:val="00413C25"/>
    <w:rsid w:val="00413DDA"/>
    <w:rsid w:val="004140CD"/>
    <w:rsid w:val="004141CD"/>
    <w:rsid w:val="0041425D"/>
    <w:rsid w:val="0041467D"/>
    <w:rsid w:val="004146BE"/>
    <w:rsid w:val="00414703"/>
    <w:rsid w:val="0041480A"/>
    <w:rsid w:val="00414F5A"/>
    <w:rsid w:val="004151B5"/>
    <w:rsid w:val="00415291"/>
    <w:rsid w:val="004152E0"/>
    <w:rsid w:val="004152E9"/>
    <w:rsid w:val="0041535C"/>
    <w:rsid w:val="0041551F"/>
    <w:rsid w:val="0041552D"/>
    <w:rsid w:val="00415531"/>
    <w:rsid w:val="0041555B"/>
    <w:rsid w:val="004155B7"/>
    <w:rsid w:val="0041564C"/>
    <w:rsid w:val="00415675"/>
    <w:rsid w:val="00415689"/>
    <w:rsid w:val="0041582A"/>
    <w:rsid w:val="00415CDD"/>
    <w:rsid w:val="00415D0D"/>
    <w:rsid w:val="00415D63"/>
    <w:rsid w:val="00415F7E"/>
    <w:rsid w:val="00416097"/>
    <w:rsid w:val="00416167"/>
    <w:rsid w:val="004161C2"/>
    <w:rsid w:val="00416330"/>
    <w:rsid w:val="00416418"/>
    <w:rsid w:val="00416555"/>
    <w:rsid w:val="0041687A"/>
    <w:rsid w:val="004168C8"/>
    <w:rsid w:val="004168E5"/>
    <w:rsid w:val="00416964"/>
    <w:rsid w:val="0041697B"/>
    <w:rsid w:val="00416EF9"/>
    <w:rsid w:val="00416F74"/>
    <w:rsid w:val="00417196"/>
    <w:rsid w:val="0041735B"/>
    <w:rsid w:val="0041735E"/>
    <w:rsid w:val="004174B2"/>
    <w:rsid w:val="0041768C"/>
    <w:rsid w:val="004176C7"/>
    <w:rsid w:val="004176D4"/>
    <w:rsid w:val="00417711"/>
    <w:rsid w:val="00417877"/>
    <w:rsid w:val="004178AB"/>
    <w:rsid w:val="00417A8A"/>
    <w:rsid w:val="00417C4E"/>
    <w:rsid w:val="00417D9F"/>
    <w:rsid w:val="00420229"/>
    <w:rsid w:val="00420253"/>
    <w:rsid w:val="004205DE"/>
    <w:rsid w:val="00420B61"/>
    <w:rsid w:val="00420C63"/>
    <w:rsid w:val="00420DBA"/>
    <w:rsid w:val="00420EC2"/>
    <w:rsid w:val="00421106"/>
    <w:rsid w:val="00421183"/>
    <w:rsid w:val="00421225"/>
    <w:rsid w:val="00421311"/>
    <w:rsid w:val="0042143F"/>
    <w:rsid w:val="0042145B"/>
    <w:rsid w:val="004214CB"/>
    <w:rsid w:val="0042163B"/>
    <w:rsid w:val="00421642"/>
    <w:rsid w:val="004217F7"/>
    <w:rsid w:val="0042183C"/>
    <w:rsid w:val="00421C73"/>
    <w:rsid w:val="00422227"/>
    <w:rsid w:val="0042228D"/>
    <w:rsid w:val="004222A0"/>
    <w:rsid w:val="00422336"/>
    <w:rsid w:val="004223BF"/>
    <w:rsid w:val="00422423"/>
    <w:rsid w:val="004228DA"/>
    <w:rsid w:val="00422BDE"/>
    <w:rsid w:val="00422E13"/>
    <w:rsid w:val="00422F0C"/>
    <w:rsid w:val="0042309F"/>
    <w:rsid w:val="00423341"/>
    <w:rsid w:val="0042346D"/>
    <w:rsid w:val="0042350F"/>
    <w:rsid w:val="00423599"/>
    <w:rsid w:val="00423637"/>
    <w:rsid w:val="0042384C"/>
    <w:rsid w:val="00423893"/>
    <w:rsid w:val="00423B47"/>
    <w:rsid w:val="00423BC9"/>
    <w:rsid w:val="00423D19"/>
    <w:rsid w:val="00423F03"/>
    <w:rsid w:val="00423FB3"/>
    <w:rsid w:val="00423FB5"/>
    <w:rsid w:val="00424227"/>
    <w:rsid w:val="00424241"/>
    <w:rsid w:val="004242B5"/>
    <w:rsid w:val="004243EA"/>
    <w:rsid w:val="00424458"/>
    <w:rsid w:val="00424889"/>
    <w:rsid w:val="00424A60"/>
    <w:rsid w:val="00424BE5"/>
    <w:rsid w:val="00424EC1"/>
    <w:rsid w:val="00424EF8"/>
    <w:rsid w:val="00424FB8"/>
    <w:rsid w:val="004250BC"/>
    <w:rsid w:val="0042512C"/>
    <w:rsid w:val="004252F3"/>
    <w:rsid w:val="004255B4"/>
    <w:rsid w:val="0042593F"/>
    <w:rsid w:val="00425A6B"/>
    <w:rsid w:val="00425A7E"/>
    <w:rsid w:val="00425AE8"/>
    <w:rsid w:val="00425AF4"/>
    <w:rsid w:val="00425B24"/>
    <w:rsid w:val="00425B86"/>
    <w:rsid w:val="00425F7C"/>
    <w:rsid w:val="004260A8"/>
    <w:rsid w:val="004261D0"/>
    <w:rsid w:val="004262C1"/>
    <w:rsid w:val="00426477"/>
    <w:rsid w:val="004265A6"/>
    <w:rsid w:val="00426651"/>
    <w:rsid w:val="0042673C"/>
    <w:rsid w:val="0042675D"/>
    <w:rsid w:val="00426766"/>
    <w:rsid w:val="004267D0"/>
    <w:rsid w:val="0042689A"/>
    <w:rsid w:val="004268A8"/>
    <w:rsid w:val="004269CC"/>
    <w:rsid w:val="00426E1B"/>
    <w:rsid w:val="00426ED0"/>
    <w:rsid w:val="00427090"/>
    <w:rsid w:val="004270E8"/>
    <w:rsid w:val="00427631"/>
    <w:rsid w:val="00427662"/>
    <w:rsid w:val="0042775A"/>
    <w:rsid w:val="004277A8"/>
    <w:rsid w:val="004277B5"/>
    <w:rsid w:val="0042793E"/>
    <w:rsid w:val="00427952"/>
    <w:rsid w:val="004279CA"/>
    <w:rsid w:val="00427A23"/>
    <w:rsid w:val="00427A82"/>
    <w:rsid w:val="00427B99"/>
    <w:rsid w:val="00427C06"/>
    <w:rsid w:val="00427C5E"/>
    <w:rsid w:val="00427DD5"/>
    <w:rsid w:val="00427EA2"/>
    <w:rsid w:val="00430115"/>
    <w:rsid w:val="00430372"/>
    <w:rsid w:val="00430590"/>
    <w:rsid w:val="0043094D"/>
    <w:rsid w:val="004309AE"/>
    <w:rsid w:val="004309E3"/>
    <w:rsid w:val="00430A44"/>
    <w:rsid w:val="00430A4B"/>
    <w:rsid w:val="004311BF"/>
    <w:rsid w:val="00431484"/>
    <w:rsid w:val="004314A1"/>
    <w:rsid w:val="004316BD"/>
    <w:rsid w:val="00431942"/>
    <w:rsid w:val="00431A37"/>
    <w:rsid w:val="00431A62"/>
    <w:rsid w:val="00431A96"/>
    <w:rsid w:val="00431C1B"/>
    <w:rsid w:val="00431C46"/>
    <w:rsid w:val="00431CFD"/>
    <w:rsid w:val="00431D98"/>
    <w:rsid w:val="00431DC2"/>
    <w:rsid w:val="00431E85"/>
    <w:rsid w:val="0043206D"/>
    <w:rsid w:val="0043207F"/>
    <w:rsid w:val="004320AB"/>
    <w:rsid w:val="004320D5"/>
    <w:rsid w:val="0043251F"/>
    <w:rsid w:val="004327A3"/>
    <w:rsid w:val="004327E6"/>
    <w:rsid w:val="00432918"/>
    <w:rsid w:val="004329DC"/>
    <w:rsid w:val="00432AC6"/>
    <w:rsid w:val="00432B74"/>
    <w:rsid w:val="00432B91"/>
    <w:rsid w:val="00432ECB"/>
    <w:rsid w:val="00432F9B"/>
    <w:rsid w:val="0043304A"/>
    <w:rsid w:val="00433067"/>
    <w:rsid w:val="004331E4"/>
    <w:rsid w:val="0043323A"/>
    <w:rsid w:val="004333C3"/>
    <w:rsid w:val="004334D9"/>
    <w:rsid w:val="0043359C"/>
    <w:rsid w:val="004335D2"/>
    <w:rsid w:val="0043385D"/>
    <w:rsid w:val="00433C64"/>
    <w:rsid w:val="00433E9C"/>
    <w:rsid w:val="00433F9F"/>
    <w:rsid w:val="00434028"/>
    <w:rsid w:val="004340A7"/>
    <w:rsid w:val="004340BE"/>
    <w:rsid w:val="004341B5"/>
    <w:rsid w:val="00434227"/>
    <w:rsid w:val="00434321"/>
    <w:rsid w:val="00434469"/>
    <w:rsid w:val="00434477"/>
    <w:rsid w:val="004344F5"/>
    <w:rsid w:val="004345B7"/>
    <w:rsid w:val="00434636"/>
    <w:rsid w:val="0043467B"/>
    <w:rsid w:val="0043476A"/>
    <w:rsid w:val="0043487E"/>
    <w:rsid w:val="004348AD"/>
    <w:rsid w:val="004348C0"/>
    <w:rsid w:val="004348DE"/>
    <w:rsid w:val="00434993"/>
    <w:rsid w:val="004349D1"/>
    <w:rsid w:val="00434A1A"/>
    <w:rsid w:val="00434A8C"/>
    <w:rsid w:val="00434BC9"/>
    <w:rsid w:val="00434C5E"/>
    <w:rsid w:val="00434D8A"/>
    <w:rsid w:val="00434DCE"/>
    <w:rsid w:val="00435511"/>
    <w:rsid w:val="0043564C"/>
    <w:rsid w:val="0043566E"/>
    <w:rsid w:val="00435676"/>
    <w:rsid w:val="0043567E"/>
    <w:rsid w:val="00435765"/>
    <w:rsid w:val="004357F0"/>
    <w:rsid w:val="004358F1"/>
    <w:rsid w:val="004359E0"/>
    <w:rsid w:val="00435A7E"/>
    <w:rsid w:val="00435A8B"/>
    <w:rsid w:val="00435BAA"/>
    <w:rsid w:val="00435C4F"/>
    <w:rsid w:val="00435C69"/>
    <w:rsid w:val="00435E09"/>
    <w:rsid w:val="00435E17"/>
    <w:rsid w:val="00435E23"/>
    <w:rsid w:val="00435EC5"/>
    <w:rsid w:val="00436047"/>
    <w:rsid w:val="004360B6"/>
    <w:rsid w:val="004361D7"/>
    <w:rsid w:val="00436291"/>
    <w:rsid w:val="004362E5"/>
    <w:rsid w:val="00436356"/>
    <w:rsid w:val="004363AD"/>
    <w:rsid w:val="004365AA"/>
    <w:rsid w:val="00436634"/>
    <w:rsid w:val="004366E7"/>
    <w:rsid w:val="004367CD"/>
    <w:rsid w:val="00436C6A"/>
    <w:rsid w:val="00436D2E"/>
    <w:rsid w:val="00436D85"/>
    <w:rsid w:val="00436E0C"/>
    <w:rsid w:val="00436E45"/>
    <w:rsid w:val="00436E93"/>
    <w:rsid w:val="00437105"/>
    <w:rsid w:val="00437127"/>
    <w:rsid w:val="00437179"/>
    <w:rsid w:val="00437409"/>
    <w:rsid w:val="00437959"/>
    <w:rsid w:val="00437A6E"/>
    <w:rsid w:val="00437CE0"/>
    <w:rsid w:val="00437D25"/>
    <w:rsid w:val="0043959F"/>
    <w:rsid w:val="00440067"/>
    <w:rsid w:val="00440287"/>
    <w:rsid w:val="00440722"/>
    <w:rsid w:val="00440746"/>
    <w:rsid w:val="00440A92"/>
    <w:rsid w:val="00440B13"/>
    <w:rsid w:val="00440B21"/>
    <w:rsid w:val="00440C4C"/>
    <w:rsid w:val="00440CE5"/>
    <w:rsid w:val="00440CEE"/>
    <w:rsid w:val="00440D25"/>
    <w:rsid w:val="00440EAE"/>
    <w:rsid w:val="004411AD"/>
    <w:rsid w:val="004411E6"/>
    <w:rsid w:val="00441350"/>
    <w:rsid w:val="004414B7"/>
    <w:rsid w:val="0044158B"/>
    <w:rsid w:val="004415B0"/>
    <w:rsid w:val="00441778"/>
    <w:rsid w:val="004418C6"/>
    <w:rsid w:val="00441A02"/>
    <w:rsid w:val="00441A14"/>
    <w:rsid w:val="00441AA5"/>
    <w:rsid w:val="00441C14"/>
    <w:rsid w:val="00441CFE"/>
    <w:rsid w:val="00441D82"/>
    <w:rsid w:val="00441F58"/>
    <w:rsid w:val="00441FC1"/>
    <w:rsid w:val="00442006"/>
    <w:rsid w:val="004420A6"/>
    <w:rsid w:val="004421FF"/>
    <w:rsid w:val="0044249E"/>
    <w:rsid w:val="004425D9"/>
    <w:rsid w:val="0044287F"/>
    <w:rsid w:val="00442AB5"/>
    <w:rsid w:val="00442ABF"/>
    <w:rsid w:val="00442C8E"/>
    <w:rsid w:val="00442CE7"/>
    <w:rsid w:val="00442D3E"/>
    <w:rsid w:val="00442DEE"/>
    <w:rsid w:val="00442EC5"/>
    <w:rsid w:val="00442FEE"/>
    <w:rsid w:val="00443033"/>
    <w:rsid w:val="004430C5"/>
    <w:rsid w:val="00443244"/>
    <w:rsid w:val="00443343"/>
    <w:rsid w:val="00443390"/>
    <w:rsid w:val="004436FE"/>
    <w:rsid w:val="00443858"/>
    <w:rsid w:val="004438C3"/>
    <w:rsid w:val="00443971"/>
    <w:rsid w:val="00443979"/>
    <w:rsid w:val="004439A1"/>
    <w:rsid w:val="004439AE"/>
    <w:rsid w:val="00443A6C"/>
    <w:rsid w:val="00443C6D"/>
    <w:rsid w:val="00443DD1"/>
    <w:rsid w:val="00443E28"/>
    <w:rsid w:val="00444228"/>
    <w:rsid w:val="004442E7"/>
    <w:rsid w:val="0044467E"/>
    <w:rsid w:val="004449A7"/>
    <w:rsid w:val="00444AF6"/>
    <w:rsid w:val="00444D28"/>
    <w:rsid w:val="00444EDD"/>
    <w:rsid w:val="00444F7B"/>
    <w:rsid w:val="00444FF4"/>
    <w:rsid w:val="00445170"/>
    <w:rsid w:val="0044519D"/>
    <w:rsid w:val="0044520A"/>
    <w:rsid w:val="00445248"/>
    <w:rsid w:val="00445326"/>
    <w:rsid w:val="004454AC"/>
    <w:rsid w:val="00445544"/>
    <w:rsid w:val="00445629"/>
    <w:rsid w:val="00445772"/>
    <w:rsid w:val="00445857"/>
    <w:rsid w:val="0044589A"/>
    <w:rsid w:val="004459B2"/>
    <w:rsid w:val="00445A97"/>
    <w:rsid w:val="00445AC7"/>
    <w:rsid w:val="00445B21"/>
    <w:rsid w:val="00445C0B"/>
    <w:rsid w:val="00445D9D"/>
    <w:rsid w:val="00445FE1"/>
    <w:rsid w:val="00446083"/>
    <w:rsid w:val="00446115"/>
    <w:rsid w:val="00446195"/>
    <w:rsid w:val="0044620F"/>
    <w:rsid w:val="00446212"/>
    <w:rsid w:val="00446309"/>
    <w:rsid w:val="0044637D"/>
    <w:rsid w:val="00446438"/>
    <w:rsid w:val="00446453"/>
    <w:rsid w:val="00446537"/>
    <w:rsid w:val="00446558"/>
    <w:rsid w:val="00446571"/>
    <w:rsid w:val="00446A52"/>
    <w:rsid w:val="00446C13"/>
    <w:rsid w:val="00446D3C"/>
    <w:rsid w:val="00446E22"/>
    <w:rsid w:val="00446FBB"/>
    <w:rsid w:val="00446FCB"/>
    <w:rsid w:val="0044720C"/>
    <w:rsid w:val="0044753D"/>
    <w:rsid w:val="004475CA"/>
    <w:rsid w:val="004475FD"/>
    <w:rsid w:val="0044773F"/>
    <w:rsid w:val="00447854"/>
    <w:rsid w:val="00447A04"/>
    <w:rsid w:val="00447A3B"/>
    <w:rsid w:val="00447CD0"/>
    <w:rsid w:val="00447D5E"/>
    <w:rsid w:val="00447E98"/>
    <w:rsid w:val="00447F31"/>
    <w:rsid w:val="00447FC2"/>
    <w:rsid w:val="00450135"/>
    <w:rsid w:val="004501F5"/>
    <w:rsid w:val="0045024B"/>
    <w:rsid w:val="00450297"/>
    <w:rsid w:val="004502F4"/>
    <w:rsid w:val="004503B5"/>
    <w:rsid w:val="004504DA"/>
    <w:rsid w:val="004505E2"/>
    <w:rsid w:val="004505EC"/>
    <w:rsid w:val="004506F4"/>
    <w:rsid w:val="004509D1"/>
    <w:rsid w:val="00450A42"/>
    <w:rsid w:val="00450C53"/>
    <w:rsid w:val="00450C6F"/>
    <w:rsid w:val="00450E96"/>
    <w:rsid w:val="00450FB4"/>
    <w:rsid w:val="00451062"/>
    <w:rsid w:val="004513A5"/>
    <w:rsid w:val="00451535"/>
    <w:rsid w:val="00451627"/>
    <w:rsid w:val="0045165F"/>
    <w:rsid w:val="0045169C"/>
    <w:rsid w:val="00451A3E"/>
    <w:rsid w:val="00451AF5"/>
    <w:rsid w:val="00451D25"/>
    <w:rsid w:val="00451D50"/>
    <w:rsid w:val="0045202B"/>
    <w:rsid w:val="004520F1"/>
    <w:rsid w:val="00452230"/>
    <w:rsid w:val="0045254B"/>
    <w:rsid w:val="004528C6"/>
    <w:rsid w:val="004529B7"/>
    <w:rsid w:val="00452A2B"/>
    <w:rsid w:val="00452A47"/>
    <w:rsid w:val="00452C40"/>
    <w:rsid w:val="00452D5B"/>
    <w:rsid w:val="00452E71"/>
    <w:rsid w:val="00452EC4"/>
    <w:rsid w:val="004531E0"/>
    <w:rsid w:val="004532D7"/>
    <w:rsid w:val="00453329"/>
    <w:rsid w:val="00453340"/>
    <w:rsid w:val="0045344C"/>
    <w:rsid w:val="00453677"/>
    <w:rsid w:val="0045372C"/>
    <w:rsid w:val="00453775"/>
    <w:rsid w:val="004537EF"/>
    <w:rsid w:val="00453890"/>
    <w:rsid w:val="004539BA"/>
    <w:rsid w:val="004539BE"/>
    <w:rsid w:val="00453C79"/>
    <w:rsid w:val="00453CC2"/>
    <w:rsid w:val="00453F9A"/>
    <w:rsid w:val="00454225"/>
    <w:rsid w:val="0045435A"/>
    <w:rsid w:val="0045437C"/>
    <w:rsid w:val="00454380"/>
    <w:rsid w:val="00454480"/>
    <w:rsid w:val="00454519"/>
    <w:rsid w:val="0045470C"/>
    <w:rsid w:val="004549A9"/>
    <w:rsid w:val="00454B5D"/>
    <w:rsid w:val="00454C8F"/>
    <w:rsid w:val="00455101"/>
    <w:rsid w:val="00455158"/>
    <w:rsid w:val="0045521C"/>
    <w:rsid w:val="00455253"/>
    <w:rsid w:val="004552C8"/>
    <w:rsid w:val="0045536C"/>
    <w:rsid w:val="00455370"/>
    <w:rsid w:val="0045540F"/>
    <w:rsid w:val="00455485"/>
    <w:rsid w:val="004556D0"/>
    <w:rsid w:val="004558FB"/>
    <w:rsid w:val="00455A07"/>
    <w:rsid w:val="00455AEB"/>
    <w:rsid w:val="00455B9A"/>
    <w:rsid w:val="00455CD6"/>
    <w:rsid w:val="00455D71"/>
    <w:rsid w:val="00455EE1"/>
    <w:rsid w:val="00455FA8"/>
    <w:rsid w:val="0045603C"/>
    <w:rsid w:val="00456053"/>
    <w:rsid w:val="00456068"/>
    <w:rsid w:val="00456073"/>
    <w:rsid w:val="00456096"/>
    <w:rsid w:val="004560AC"/>
    <w:rsid w:val="0045616E"/>
    <w:rsid w:val="00456175"/>
    <w:rsid w:val="00456181"/>
    <w:rsid w:val="00456186"/>
    <w:rsid w:val="00456328"/>
    <w:rsid w:val="004563D8"/>
    <w:rsid w:val="00456840"/>
    <w:rsid w:val="00456896"/>
    <w:rsid w:val="004568AB"/>
    <w:rsid w:val="0045690D"/>
    <w:rsid w:val="004569B8"/>
    <w:rsid w:val="00456ADA"/>
    <w:rsid w:val="00456B0D"/>
    <w:rsid w:val="00456B5F"/>
    <w:rsid w:val="00456B91"/>
    <w:rsid w:val="00456BCD"/>
    <w:rsid w:val="00456CE9"/>
    <w:rsid w:val="00456D02"/>
    <w:rsid w:val="00456EBC"/>
    <w:rsid w:val="00456F3F"/>
    <w:rsid w:val="004571DF"/>
    <w:rsid w:val="00457464"/>
    <w:rsid w:val="00457677"/>
    <w:rsid w:val="0045770D"/>
    <w:rsid w:val="00457797"/>
    <w:rsid w:val="0045779E"/>
    <w:rsid w:val="0045790F"/>
    <w:rsid w:val="00457A19"/>
    <w:rsid w:val="00457A1C"/>
    <w:rsid w:val="00457C8A"/>
    <w:rsid w:val="00457D37"/>
    <w:rsid w:val="00457D63"/>
    <w:rsid w:val="00457DC6"/>
    <w:rsid w:val="00457E21"/>
    <w:rsid w:val="00457F61"/>
    <w:rsid w:val="0045A150"/>
    <w:rsid w:val="0046007E"/>
    <w:rsid w:val="00460235"/>
    <w:rsid w:val="0046024B"/>
    <w:rsid w:val="004602C0"/>
    <w:rsid w:val="00460504"/>
    <w:rsid w:val="00460579"/>
    <w:rsid w:val="004606E9"/>
    <w:rsid w:val="00460757"/>
    <w:rsid w:val="0046081E"/>
    <w:rsid w:val="00460D68"/>
    <w:rsid w:val="00460D80"/>
    <w:rsid w:val="00460E36"/>
    <w:rsid w:val="00460F8D"/>
    <w:rsid w:val="00461012"/>
    <w:rsid w:val="00461105"/>
    <w:rsid w:val="00461155"/>
    <w:rsid w:val="0046115D"/>
    <w:rsid w:val="004611A1"/>
    <w:rsid w:val="004611E2"/>
    <w:rsid w:val="004611F7"/>
    <w:rsid w:val="00461359"/>
    <w:rsid w:val="0046162E"/>
    <w:rsid w:val="00461650"/>
    <w:rsid w:val="004619D8"/>
    <w:rsid w:val="00461A8D"/>
    <w:rsid w:val="00461B03"/>
    <w:rsid w:val="00461BA7"/>
    <w:rsid w:val="00461C23"/>
    <w:rsid w:val="00461DAD"/>
    <w:rsid w:val="00461FCD"/>
    <w:rsid w:val="00462004"/>
    <w:rsid w:val="004620ED"/>
    <w:rsid w:val="0046218C"/>
    <w:rsid w:val="00462194"/>
    <w:rsid w:val="004623D4"/>
    <w:rsid w:val="004625C3"/>
    <w:rsid w:val="00462635"/>
    <w:rsid w:val="00462647"/>
    <w:rsid w:val="00462651"/>
    <w:rsid w:val="00462678"/>
    <w:rsid w:val="0046298F"/>
    <w:rsid w:val="00462AE6"/>
    <w:rsid w:val="00462AFA"/>
    <w:rsid w:val="00462B36"/>
    <w:rsid w:val="00462D7D"/>
    <w:rsid w:val="004630C4"/>
    <w:rsid w:val="00463345"/>
    <w:rsid w:val="004633A4"/>
    <w:rsid w:val="0046357C"/>
    <w:rsid w:val="004635BC"/>
    <w:rsid w:val="004635F5"/>
    <w:rsid w:val="00463762"/>
    <w:rsid w:val="004637A0"/>
    <w:rsid w:val="00463834"/>
    <w:rsid w:val="00463944"/>
    <w:rsid w:val="00463951"/>
    <w:rsid w:val="00463ACB"/>
    <w:rsid w:val="00463B7A"/>
    <w:rsid w:val="00463DF9"/>
    <w:rsid w:val="00463F5C"/>
    <w:rsid w:val="0046409F"/>
    <w:rsid w:val="004642B4"/>
    <w:rsid w:val="004642EA"/>
    <w:rsid w:val="004643B0"/>
    <w:rsid w:val="0046447A"/>
    <w:rsid w:val="00464676"/>
    <w:rsid w:val="00464BA2"/>
    <w:rsid w:val="00464E96"/>
    <w:rsid w:val="00464F3A"/>
    <w:rsid w:val="0046512A"/>
    <w:rsid w:val="00465234"/>
    <w:rsid w:val="00465569"/>
    <w:rsid w:val="00465668"/>
    <w:rsid w:val="004658C8"/>
    <w:rsid w:val="004658FC"/>
    <w:rsid w:val="00465939"/>
    <w:rsid w:val="00465B24"/>
    <w:rsid w:val="00465D52"/>
    <w:rsid w:val="0046644B"/>
    <w:rsid w:val="0046666C"/>
    <w:rsid w:val="00466675"/>
    <w:rsid w:val="00466841"/>
    <w:rsid w:val="00466858"/>
    <w:rsid w:val="004668D7"/>
    <w:rsid w:val="00466A1D"/>
    <w:rsid w:val="00466D0A"/>
    <w:rsid w:val="00466D0F"/>
    <w:rsid w:val="00466E21"/>
    <w:rsid w:val="00466F06"/>
    <w:rsid w:val="004671A5"/>
    <w:rsid w:val="00467354"/>
    <w:rsid w:val="00467544"/>
    <w:rsid w:val="004675D0"/>
    <w:rsid w:val="004675FD"/>
    <w:rsid w:val="0046766A"/>
    <w:rsid w:val="004676BA"/>
    <w:rsid w:val="0046784C"/>
    <w:rsid w:val="00467E18"/>
    <w:rsid w:val="00467ECB"/>
    <w:rsid w:val="00470015"/>
    <w:rsid w:val="00470054"/>
    <w:rsid w:val="004702C7"/>
    <w:rsid w:val="004702C8"/>
    <w:rsid w:val="0047055B"/>
    <w:rsid w:val="00470569"/>
    <w:rsid w:val="00470616"/>
    <w:rsid w:val="00470B91"/>
    <w:rsid w:val="004710C3"/>
    <w:rsid w:val="004711DE"/>
    <w:rsid w:val="00471210"/>
    <w:rsid w:val="00471459"/>
    <w:rsid w:val="00471589"/>
    <w:rsid w:val="00471690"/>
    <w:rsid w:val="00471842"/>
    <w:rsid w:val="00471D78"/>
    <w:rsid w:val="00471ECE"/>
    <w:rsid w:val="00471F81"/>
    <w:rsid w:val="0047216D"/>
    <w:rsid w:val="00472274"/>
    <w:rsid w:val="004722D4"/>
    <w:rsid w:val="00472336"/>
    <w:rsid w:val="004723FC"/>
    <w:rsid w:val="0047263C"/>
    <w:rsid w:val="0047264D"/>
    <w:rsid w:val="00472766"/>
    <w:rsid w:val="004727BA"/>
    <w:rsid w:val="004727BE"/>
    <w:rsid w:val="00472839"/>
    <w:rsid w:val="0047284F"/>
    <w:rsid w:val="0047298E"/>
    <w:rsid w:val="00472A2B"/>
    <w:rsid w:val="00472C67"/>
    <w:rsid w:val="00472C6A"/>
    <w:rsid w:val="00472D0D"/>
    <w:rsid w:val="00472D9C"/>
    <w:rsid w:val="00472DDF"/>
    <w:rsid w:val="00472E55"/>
    <w:rsid w:val="00472E68"/>
    <w:rsid w:val="00472FA1"/>
    <w:rsid w:val="004730D5"/>
    <w:rsid w:val="0047315F"/>
    <w:rsid w:val="004732E2"/>
    <w:rsid w:val="00473334"/>
    <w:rsid w:val="00473687"/>
    <w:rsid w:val="004738A2"/>
    <w:rsid w:val="00473B0A"/>
    <w:rsid w:val="00473B60"/>
    <w:rsid w:val="00473BBB"/>
    <w:rsid w:val="00473D7F"/>
    <w:rsid w:val="00473E9A"/>
    <w:rsid w:val="00474168"/>
    <w:rsid w:val="00474292"/>
    <w:rsid w:val="004742D6"/>
    <w:rsid w:val="00474407"/>
    <w:rsid w:val="00474AA3"/>
    <w:rsid w:val="00474AFB"/>
    <w:rsid w:val="00474B7A"/>
    <w:rsid w:val="00474BDB"/>
    <w:rsid w:val="00474CAD"/>
    <w:rsid w:val="00474CBC"/>
    <w:rsid w:val="00474EA7"/>
    <w:rsid w:val="00474EDC"/>
    <w:rsid w:val="00475003"/>
    <w:rsid w:val="00475045"/>
    <w:rsid w:val="004750BD"/>
    <w:rsid w:val="00475163"/>
    <w:rsid w:val="004751AD"/>
    <w:rsid w:val="00475614"/>
    <w:rsid w:val="00475758"/>
    <w:rsid w:val="00475833"/>
    <w:rsid w:val="004758B4"/>
    <w:rsid w:val="004759D5"/>
    <w:rsid w:val="00475AD2"/>
    <w:rsid w:val="00475AFF"/>
    <w:rsid w:val="00475D30"/>
    <w:rsid w:val="00476053"/>
    <w:rsid w:val="004760A4"/>
    <w:rsid w:val="0047617A"/>
    <w:rsid w:val="00476264"/>
    <w:rsid w:val="004762B9"/>
    <w:rsid w:val="00476406"/>
    <w:rsid w:val="0047659C"/>
    <w:rsid w:val="004765EE"/>
    <w:rsid w:val="004765F4"/>
    <w:rsid w:val="004766C3"/>
    <w:rsid w:val="0047678E"/>
    <w:rsid w:val="00476B4D"/>
    <w:rsid w:val="00476CBC"/>
    <w:rsid w:val="00476D75"/>
    <w:rsid w:val="00476DEB"/>
    <w:rsid w:val="00476E5D"/>
    <w:rsid w:val="00476E6C"/>
    <w:rsid w:val="00476E8C"/>
    <w:rsid w:val="00476FE9"/>
    <w:rsid w:val="00477117"/>
    <w:rsid w:val="004771B8"/>
    <w:rsid w:val="0047726B"/>
    <w:rsid w:val="00477282"/>
    <w:rsid w:val="004772C8"/>
    <w:rsid w:val="00477437"/>
    <w:rsid w:val="00477443"/>
    <w:rsid w:val="00477461"/>
    <w:rsid w:val="0047751C"/>
    <w:rsid w:val="0047754F"/>
    <w:rsid w:val="004776F4"/>
    <w:rsid w:val="0047779A"/>
    <w:rsid w:val="004777BE"/>
    <w:rsid w:val="00477887"/>
    <w:rsid w:val="00477947"/>
    <w:rsid w:val="004779E2"/>
    <w:rsid w:val="00477A54"/>
    <w:rsid w:val="00477B0D"/>
    <w:rsid w:val="00477C3C"/>
    <w:rsid w:val="00477CFF"/>
    <w:rsid w:val="00477E92"/>
    <w:rsid w:val="00477F0C"/>
    <w:rsid w:val="004801EE"/>
    <w:rsid w:val="004802D7"/>
    <w:rsid w:val="00480307"/>
    <w:rsid w:val="0048040F"/>
    <w:rsid w:val="0048071E"/>
    <w:rsid w:val="004809EC"/>
    <w:rsid w:val="00480A20"/>
    <w:rsid w:val="00480A32"/>
    <w:rsid w:val="00480A68"/>
    <w:rsid w:val="00480ABD"/>
    <w:rsid w:val="00480CCA"/>
    <w:rsid w:val="00480D86"/>
    <w:rsid w:val="00480FA1"/>
    <w:rsid w:val="00480FE9"/>
    <w:rsid w:val="004811DE"/>
    <w:rsid w:val="004811E5"/>
    <w:rsid w:val="0048121F"/>
    <w:rsid w:val="004813E1"/>
    <w:rsid w:val="0048140F"/>
    <w:rsid w:val="004814F9"/>
    <w:rsid w:val="00481510"/>
    <w:rsid w:val="004816B4"/>
    <w:rsid w:val="00481A9D"/>
    <w:rsid w:val="00481CF0"/>
    <w:rsid w:val="00481F61"/>
    <w:rsid w:val="00481FD7"/>
    <w:rsid w:val="00482025"/>
    <w:rsid w:val="00482154"/>
    <w:rsid w:val="004821B4"/>
    <w:rsid w:val="004822D1"/>
    <w:rsid w:val="004823FE"/>
    <w:rsid w:val="0048269B"/>
    <w:rsid w:val="004827F7"/>
    <w:rsid w:val="0048283F"/>
    <w:rsid w:val="00482917"/>
    <w:rsid w:val="00482DE5"/>
    <w:rsid w:val="00482EA1"/>
    <w:rsid w:val="00482F17"/>
    <w:rsid w:val="00483266"/>
    <w:rsid w:val="0048327D"/>
    <w:rsid w:val="004832CE"/>
    <w:rsid w:val="00483438"/>
    <w:rsid w:val="00483442"/>
    <w:rsid w:val="0048352E"/>
    <w:rsid w:val="0048363D"/>
    <w:rsid w:val="004836A9"/>
    <w:rsid w:val="0048371A"/>
    <w:rsid w:val="004837A7"/>
    <w:rsid w:val="0048385F"/>
    <w:rsid w:val="004838A5"/>
    <w:rsid w:val="00483969"/>
    <w:rsid w:val="00483B0F"/>
    <w:rsid w:val="00483B23"/>
    <w:rsid w:val="00483B4D"/>
    <w:rsid w:val="00483B6A"/>
    <w:rsid w:val="004840D7"/>
    <w:rsid w:val="004842D4"/>
    <w:rsid w:val="00484356"/>
    <w:rsid w:val="0048440F"/>
    <w:rsid w:val="00484655"/>
    <w:rsid w:val="004846F4"/>
    <w:rsid w:val="0048483E"/>
    <w:rsid w:val="004848E1"/>
    <w:rsid w:val="004849B4"/>
    <w:rsid w:val="00484BB6"/>
    <w:rsid w:val="00484C90"/>
    <w:rsid w:val="00484C9B"/>
    <w:rsid w:val="00484E6C"/>
    <w:rsid w:val="00484F14"/>
    <w:rsid w:val="00484FEB"/>
    <w:rsid w:val="00485127"/>
    <w:rsid w:val="0048514B"/>
    <w:rsid w:val="004853C1"/>
    <w:rsid w:val="0048567C"/>
    <w:rsid w:val="0048571C"/>
    <w:rsid w:val="00485797"/>
    <w:rsid w:val="004859CA"/>
    <w:rsid w:val="00485AA6"/>
    <w:rsid w:val="00485B8F"/>
    <w:rsid w:val="00485C26"/>
    <w:rsid w:val="00485DCE"/>
    <w:rsid w:val="00485DFA"/>
    <w:rsid w:val="00485E98"/>
    <w:rsid w:val="00485EC0"/>
    <w:rsid w:val="00486301"/>
    <w:rsid w:val="004863A6"/>
    <w:rsid w:val="004863BF"/>
    <w:rsid w:val="0048659E"/>
    <w:rsid w:val="004868E7"/>
    <w:rsid w:val="00486FE0"/>
    <w:rsid w:val="004870DA"/>
    <w:rsid w:val="00487103"/>
    <w:rsid w:val="004871BA"/>
    <w:rsid w:val="004871D0"/>
    <w:rsid w:val="004875E1"/>
    <w:rsid w:val="00487827"/>
    <w:rsid w:val="004878E7"/>
    <w:rsid w:val="00487B2D"/>
    <w:rsid w:val="00487B37"/>
    <w:rsid w:val="00487D0C"/>
    <w:rsid w:val="00487E5C"/>
    <w:rsid w:val="00490091"/>
    <w:rsid w:val="004901CA"/>
    <w:rsid w:val="0049026A"/>
    <w:rsid w:val="00490636"/>
    <w:rsid w:val="004909CF"/>
    <w:rsid w:val="00490A08"/>
    <w:rsid w:val="00490A21"/>
    <w:rsid w:val="00490AB5"/>
    <w:rsid w:val="00490AD1"/>
    <w:rsid w:val="00490B33"/>
    <w:rsid w:val="00490B40"/>
    <w:rsid w:val="00490DC2"/>
    <w:rsid w:val="00490DC4"/>
    <w:rsid w:val="00490DCB"/>
    <w:rsid w:val="00490F37"/>
    <w:rsid w:val="00490FF0"/>
    <w:rsid w:val="004910FE"/>
    <w:rsid w:val="0049113E"/>
    <w:rsid w:val="0049115E"/>
    <w:rsid w:val="00491198"/>
    <w:rsid w:val="004911B5"/>
    <w:rsid w:val="004911B6"/>
    <w:rsid w:val="00491366"/>
    <w:rsid w:val="00491433"/>
    <w:rsid w:val="00491443"/>
    <w:rsid w:val="004914A4"/>
    <w:rsid w:val="004914D0"/>
    <w:rsid w:val="004917E0"/>
    <w:rsid w:val="004917ED"/>
    <w:rsid w:val="004917F1"/>
    <w:rsid w:val="00491968"/>
    <w:rsid w:val="00491BF6"/>
    <w:rsid w:val="00491C79"/>
    <w:rsid w:val="00491DF6"/>
    <w:rsid w:val="00491E7B"/>
    <w:rsid w:val="00491FED"/>
    <w:rsid w:val="00492053"/>
    <w:rsid w:val="0049207C"/>
    <w:rsid w:val="00492324"/>
    <w:rsid w:val="0049234A"/>
    <w:rsid w:val="00492545"/>
    <w:rsid w:val="00492563"/>
    <w:rsid w:val="00492704"/>
    <w:rsid w:val="004927A2"/>
    <w:rsid w:val="0049287C"/>
    <w:rsid w:val="00492EC0"/>
    <w:rsid w:val="00492F82"/>
    <w:rsid w:val="004931BA"/>
    <w:rsid w:val="00493305"/>
    <w:rsid w:val="00493316"/>
    <w:rsid w:val="00493539"/>
    <w:rsid w:val="004935B0"/>
    <w:rsid w:val="004935DC"/>
    <w:rsid w:val="004936D7"/>
    <w:rsid w:val="004938DE"/>
    <w:rsid w:val="00493951"/>
    <w:rsid w:val="004939D4"/>
    <w:rsid w:val="004939F9"/>
    <w:rsid w:val="00493DCE"/>
    <w:rsid w:val="00493E2D"/>
    <w:rsid w:val="00493E90"/>
    <w:rsid w:val="00494351"/>
    <w:rsid w:val="004943B7"/>
    <w:rsid w:val="004943C2"/>
    <w:rsid w:val="00494524"/>
    <w:rsid w:val="00494587"/>
    <w:rsid w:val="0049478A"/>
    <w:rsid w:val="00494890"/>
    <w:rsid w:val="00494918"/>
    <w:rsid w:val="00494A0B"/>
    <w:rsid w:val="00494A26"/>
    <w:rsid w:val="00494B5B"/>
    <w:rsid w:val="00494C65"/>
    <w:rsid w:val="00494DB7"/>
    <w:rsid w:val="00494E0A"/>
    <w:rsid w:val="00494F0C"/>
    <w:rsid w:val="0049504C"/>
    <w:rsid w:val="0049520C"/>
    <w:rsid w:val="0049534C"/>
    <w:rsid w:val="00495366"/>
    <w:rsid w:val="0049541E"/>
    <w:rsid w:val="004954BE"/>
    <w:rsid w:val="00495557"/>
    <w:rsid w:val="00495948"/>
    <w:rsid w:val="00495987"/>
    <w:rsid w:val="0049598A"/>
    <w:rsid w:val="00495E76"/>
    <w:rsid w:val="0049618D"/>
    <w:rsid w:val="0049631A"/>
    <w:rsid w:val="004963B8"/>
    <w:rsid w:val="0049642F"/>
    <w:rsid w:val="004965EF"/>
    <w:rsid w:val="00496727"/>
    <w:rsid w:val="0049684C"/>
    <w:rsid w:val="004968B9"/>
    <w:rsid w:val="0049691F"/>
    <w:rsid w:val="004969DD"/>
    <w:rsid w:val="00496B68"/>
    <w:rsid w:val="00496BC9"/>
    <w:rsid w:val="00496C12"/>
    <w:rsid w:val="00496F16"/>
    <w:rsid w:val="00496FED"/>
    <w:rsid w:val="00497110"/>
    <w:rsid w:val="0049719D"/>
    <w:rsid w:val="004974DC"/>
    <w:rsid w:val="00497615"/>
    <w:rsid w:val="00497839"/>
    <w:rsid w:val="00497855"/>
    <w:rsid w:val="00497966"/>
    <w:rsid w:val="00497D3B"/>
    <w:rsid w:val="00497E11"/>
    <w:rsid w:val="00497FCD"/>
    <w:rsid w:val="004A0003"/>
    <w:rsid w:val="004A006F"/>
    <w:rsid w:val="004A00D7"/>
    <w:rsid w:val="004A00EE"/>
    <w:rsid w:val="004A00F0"/>
    <w:rsid w:val="004A00FC"/>
    <w:rsid w:val="004A0144"/>
    <w:rsid w:val="004A0159"/>
    <w:rsid w:val="004A0475"/>
    <w:rsid w:val="004A04F3"/>
    <w:rsid w:val="004A0660"/>
    <w:rsid w:val="004A0766"/>
    <w:rsid w:val="004A07E4"/>
    <w:rsid w:val="004A080A"/>
    <w:rsid w:val="004A0821"/>
    <w:rsid w:val="004A088E"/>
    <w:rsid w:val="004A0914"/>
    <w:rsid w:val="004A0AC9"/>
    <w:rsid w:val="004A0B90"/>
    <w:rsid w:val="004A0D1E"/>
    <w:rsid w:val="004A0E66"/>
    <w:rsid w:val="004A0E9F"/>
    <w:rsid w:val="004A0EA2"/>
    <w:rsid w:val="004A0EEC"/>
    <w:rsid w:val="004A10DE"/>
    <w:rsid w:val="004A12C7"/>
    <w:rsid w:val="004A130F"/>
    <w:rsid w:val="004A1337"/>
    <w:rsid w:val="004A13F6"/>
    <w:rsid w:val="004A1431"/>
    <w:rsid w:val="004A144B"/>
    <w:rsid w:val="004A14F4"/>
    <w:rsid w:val="004A1621"/>
    <w:rsid w:val="004A17EF"/>
    <w:rsid w:val="004A1A43"/>
    <w:rsid w:val="004A1AA3"/>
    <w:rsid w:val="004A1B80"/>
    <w:rsid w:val="004A1BDA"/>
    <w:rsid w:val="004A1C4D"/>
    <w:rsid w:val="004A1E34"/>
    <w:rsid w:val="004A1E92"/>
    <w:rsid w:val="004A20FA"/>
    <w:rsid w:val="004A2100"/>
    <w:rsid w:val="004A225B"/>
    <w:rsid w:val="004A2263"/>
    <w:rsid w:val="004A22DA"/>
    <w:rsid w:val="004A2473"/>
    <w:rsid w:val="004A267F"/>
    <w:rsid w:val="004A26F8"/>
    <w:rsid w:val="004A2700"/>
    <w:rsid w:val="004A270A"/>
    <w:rsid w:val="004A275B"/>
    <w:rsid w:val="004A27A4"/>
    <w:rsid w:val="004A287C"/>
    <w:rsid w:val="004A2B51"/>
    <w:rsid w:val="004A2DAD"/>
    <w:rsid w:val="004A2DB8"/>
    <w:rsid w:val="004A2F0D"/>
    <w:rsid w:val="004A2F20"/>
    <w:rsid w:val="004A2FE3"/>
    <w:rsid w:val="004A321A"/>
    <w:rsid w:val="004A3385"/>
    <w:rsid w:val="004A33BA"/>
    <w:rsid w:val="004A35E2"/>
    <w:rsid w:val="004A36C8"/>
    <w:rsid w:val="004A3721"/>
    <w:rsid w:val="004A3742"/>
    <w:rsid w:val="004A3762"/>
    <w:rsid w:val="004A37B8"/>
    <w:rsid w:val="004A38C5"/>
    <w:rsid w:val="004A3D30"/>
    <w:rsid w:val="004A3D39"/>
    <w:rsid w:val="004A3D94"/>
    <w:rsid w:val="004A3E48"/>
    <w:rsid w:val="004A3EB4"/>
    <w:rsid w:val="004A3EBF"/>
    <w:rsid w:val="004A3EC3"/>
    <w:rsid w:val="004A3ED3"/>
    <w:rsid w:val="004A3F9A"/>
    <w:rsid w:val="004A4272"/>
    <w:rsid w:val="004A4273"/>
    <w:rsid w:val="004A42A9"/>
    <w:rsid w:val="004A42F7"/>
    <w:rsid w:val="004A4388"/>
    <w:rsid w:val="004A43D5"/>
    <w:rsid w:val="004A45C7"/>
    <w:rsid w:val="004A461A"/>
    <w:rsid w:val="004A4683"/>
    <w:rsid w:val="004A4704"/>
    <w:rsid w:val="004A47BC"/>
    <w:rsid w:val="004A4AC6"/>
    <w:rsid w:val="004A4AFC"/>
    <w:rsid w:val="004A4B94"/>
    <w:rsid w:val="004A4D77"/>
    <w:rsid w:val="004A4F6C"/>
    <w:rsid w:val="004A4F72"/>
    <w:rsid w:val="004A4FC2"/>
    <w:rsid w:val="004A528F"/>
    <w:rsid w:val="004A5707"/>
    <w:rsid w:val="004A57CE"/>
    <w:rsid w:val="004A58D9"/>
    <w:rsid w:val="004A5BA8"/>
    <w:rsid w:val="004A5D23"/>
    <w:rsid w:val="004A5E36"/>
    <w:rsid w:val="004A5EBC"/>
    <w:rsid w:val="004A60BD"/>
    <w:rsid w:val="004A60CE"/>
    <w:rsid w:val="004A611E"/>
    <w:rsid w:val="004A62D6"/>
    <w:rsid w:val="004A6334"/>
    <w:rsid w:val="004A63F4"/>
    <w:rsid w:val="004A6494"/>
    <w:rsid w:val="004A6650"/>
    <w:rsid w:val="004A676D"/>
    <w:rsid w:val="004A69DE"/>
    <w:rsid w:val="004A6B41"/>
    <w:rsid w:val="004A6C3A"/>
    <w:rsid w:val="004A6C70"/>
    <w:rsid w:val="004A6F09"/>
    <w:rsid w:val="004A6FEC"/>
    <w:rsid w:val="004A7008"/>
    <w:rsid w:val="004A718C"/>
    <w:rsid w:val="004A7258"/>
    <w:rsid w:val="004A7289"/>
    <w:rsid w:val="004A74D4"/>
    <w:rsid w:val="004A76A3"/>
    <w:rsid w:val="004A76C9"/>
    <w:rsid w:val="004A7847"/>
    <w:rsid w:val="004A7B4C"/>
    <w:rsid w:val="004A7BFA"/>
    <w:rsid w:val="004A7D15"/>
    <w:rsid w:val="004A7D2F"/>
    <w:rsid w:val="004B0046"/>
    <w:rsid w:val="004B00B5"/>
    <w:rsid w:val="004B01F6"/>
    <w:rsid w:val="004B0261"/>
    <w:rsid w:val="004B031E"/>
    <w:rsid w:val="004B04AE"/>
    <w:rsid w:val="004B0537"/>
    <w:rsid w:val="004B0594"/>
    <w:rsid w:val="004B06E5"/>
    <w:rsid w:val="004B084C"/>
    <w:rsid w:val="004B08EA"/>
    <w:rsid w:val="004B0B4F"/>
    <w:rsid w:val="004B0CE7"/>
    <w:rsid w:val="004B10F0"/>
    <w:rsid w:val="004B1199"/>
    <w:rsid w:val="004B1486"/>
    <w:rsid w:val="004B148B"/>
    <w:rsid w:val="004B15D8"/>
    <w:rsid w:val="004B16A2"/>
    <w:rsid w:val="004B16C4"/>
    <w:rsid w:val="004B17C5"/>
    <w:rsid w:val="004B1867"/>
    <w:rsid w:val="004B1890"/>
    <w:rsid w:val="004B19AE"/>
    <w:rsid w:val="004B1B04"/>
    <w:rsid w:val="004B1B4C"/>
    <w:rsid w:val="004B224A"/>
    <w:rsid w:val="004B22C1"/>
    <w:rsid w:val="004B238E"/>
    <w:rsid w:val="004B23BB"/>
    <w:rsid w:val="004B24D5"/>
    <w:rsid w:val="004B24EE"/>
    <w:rsid w:val="004B24F2"/>
    <w:rsid w:val="004B283B"/>
    <w:rsid w:val="004B2A27"/>
    <w:rsid w:val="004B2A64"/>
    <w:rsid w:val="004B2B2D"/>
    <w:rsid w:val="004B2D59"/>
    <w:rsid w:val="004B2F83"/>
    <w:rsid w:val="004B2FBA"/>
    <w:rsid w:val="004B300C"/>
    <w:rsid w:val="004B31A2"/>
    <w:rsid w:val="004B3422"/>
    <w:rsid w:val="004B345F"/>
    <w:rsid w:val="004B36CC"/>
    <w:rsid w:val="004B3913"/>
    <w:rsid w:val="004B3932"/>
    <w:rsid w:val="004B3A05"/>
    <w:rsid w:val="004B3BF9"/>
    <w:rsid w:val="004B3D2C"/>
    <w:rsid w:val="004B3F4D"/>
    <w:rsid w:val="004B41DA"/>
    <w:rsid w:val="004B42D0"/>
    <w:rsid w:val="004B45AB"/>
    <w:rsid w:val="004B470D"/>
    <w:rsid w:val="004B4764"/>
    <w:rsid w:val="004B483C"/>
    <w:rsid w:val="004B4846"/>
    <w:rsid w:val="004B496E"/>
    <w:rsid w:val="004B49E3"/>
    <w:rsid w:val="004B4B01"/>
    <w:rsid w:val="004B4C19"/>
    <w:rsid w:val="004B4CAD"/>
    <w:rsid w:val="004B4D2C"/>
    <w:rsid w:val="004B4FB5"/>
    <w:rsid w:val="004B5003"/>
    <w:rsid w:val="004B50D8"/>
    <w:rsid w:val="004B5322"/>
    <w:rsid w:val="004B5394"/>
    <w:rsid w:val="004B591E"/>
    <w:rsid w:val="004B59D1"/>
    <w:rsid w:val="004B5A36"/>
    <w:rsid w:val="004B5AD3"/>
    <w:rsid w:val="004B5BDD"/>
    <w:rsid w:val="004B5C44"/>
    <w:rsid w:val="004B5C77"/>
    <w:rsid w:val="004B5D10"/>
    <w:rsid w:val="004B5D1C"/>
    <w:rsid w:val="004B5EF9"/>
    <w:rsid w:val="004B6064"/>
    <w:rsid w:val="004B60E1"/>
    <w:rsid w:val="004B61F4"/>
    <w:rsid w:val="004B620D"/>
    <w:rsid w:val="004B64A7"/>
    <w:rsid w:val="004B64BE"/>
    <w:rsid w:val="004B6650"/>
    <w:rsid w:val="004B66B2"/>
    <w:rsid w:val="004B67DA"/>
    <w:rsid w:val="004B6888"/>
    <w:rsid w:val="004B6AB3"/>
    <w:rsid w:val="004B6ABE"/>
    <w:rsid w:val="004B6C20"/>
    <w:rsid w:val="004B6DB2"/>
    <w:rsid w:val="004B6E9E"/>
    <w:rsid w:val="004B6EA1"/>
    <w:rsid w:val="004B6F05"/>
    <w:rsid w:val="004B6F83"/>
    <w:rsid w:val="004B6FEA"/>
    <w:rsid w:val="004B708B"/>
    <w:rsid w:val="004B720F"/>
    <w:rsid w:val="004B72B4"/>
    <w:rsid w:val="004B744B"/>
    <w:rsid w:val="004B7458"/>
    <w:rsid w:val="004B7563"/>
    <w:rsid w:val="004B7840"/>
    <w:rsid w:val="004B79F2"/>
    <w:rsid w:val="004B79F3"/>
    <w:rsid w:val="004B7A55"/>
    <w:rsid w:val="004B7C29"/>
    <w:rsid w:val="004B7CB7"/>
    <w:rsid w:val="004B7EAA"/>
    <w:rsid w:val="004B7F96"/>
    <w:rsid w:val="004B7FE7"/>
    <w:rsid w:val="004C0046"/>
    <w:rsid w:val="004C00A8"/>
    <w:rsid w:val="004C01BD"/>
    <w:rsid w:val="004C039C"/>
    <w:rsid w:val="004C03AB"/>
    <w:rsid w:val="004C04C5"/>
    <w:rsid w:val="004C06E5"/>
    <w:rsid w:val="004C08A7"/>
    <w:rsid w:val="004C08AE"/>
    <w:rsid w:val="004C08D5"/>
    <w:rsid w:val="004C0902"/>
    <w:rsid w:val="004C09B1"/>
    <w:rsid w:val="004C0B13"/>
    <w:rsid w:val="004C0CB5"/>
    <w:rsid w:val="004C0D06"/>
    <w:rsid w:val="004C0D3A"/>
    <w:rsid w:val="004C0D51"/>
    <w:rsid w:val="004C0E8D"/>
    <w:rsid w:val="004C1014"/>
    <w:rsid w:val="004C1033"/>
    <w:rsid w:val="004C11CC"/>
    <w:rsid w:val="004C1420"/>
    <w:rsid w:val="004C1499"/>
    <w:rsid w:val="004C1527"/>
    <w:rsid w:val="004C1570"/>
    <w:rsid w:val="004C1799"/>
    <w:rsid w:val="004C1849"/>
    <w:rsid w:val="004C19B2"/>
    <w:rsid w:val="004C1B7D"/>
    <w:rsid w:val="004C1D60"/>
    <w:rsid w:val="004C1DC1"/>
    <w:rsid w:val="004C1E3C"/>
    <w:rsid w:val="004C1EF8"/>
    <w:rsid w:val="004C1EFD"/>
    <w:rsid w:val="004C1F26"/>
    <w:rsid w:val="004C1F5A"/>
    <w:rsid w:val="004C24FD"/>
    <w:rsid w:val="004C25BF"/>
    <w:rsid w:val="004C25CD"/>
    <w:rsid w:val="004C25F0"/>
    <w:rsid w:val="004C265E"/>
    <w:rsid w:val="004C26DD"/>
    <w:rsid w:val="004C27A9"/>
    <w:rsid w:val="004C280D"/>
    <w:rsid w:val="004C290F"/>
    <w:rsid w:val="004C29CA"/>
    <w:rsid w:val="004C29F4"/>
    <w:rsid w:val="004C2A6D"/>
    <w:rsid w:val="004C2AC3"/>
    <w:rsid w:val="004C2B5D"/>
    <w:rsid w:val="004C2B77"/>
    <w:rsid w:val="004C2C17"/>
    <w:rsid w:val="004C2CC8"/>
    <w:rsid w:val="004C2D68"/>
    <w:rsid w:val="004C2E97"/>
    <w:rsid w:val="004C2F56"/>
    <w:rsid w:val="004C3093"/>
    <w:rsid w:val="004C3097"/>
    <w:rsid w:val="004C31F8"/>
    <w:rsid w:val="004C3308"/>
    <w:rsid w:val="004C339D"/>
    <w:rsid w:val="004C33D9"/>
    <w:rsid w:val="004C33E8"/>
    <w:rsid w:val="004C35F3"/>
    <w:rsid w:val="004C3735"/>
    <w:rsid w:val="004C3803"/>
    <w:rsid w:val="004C3833"/>
    <w:rsid w:val="004C3966"/>
    <w:rsid w:val="004C3A43"/>
    <w:rsid w:val="004C3B08"/>
    <w:rsid w:val="004C3B43"/>
    <w:rsid w:val="004C3BA8"/>
    <w:rsid w:val="004C3BEF"/>
    <w:rsid w:val="004C3D12"/>
    <w:rsid w:val="004C3E01"/>
    <w:rsid w:val="004C3E10"/>
    <w:rsid w:val="004C3F69"/>
    <w:rsid w:val="004C3FD6"/>
    <w:rsid w:val="004C3FF4"/>
    <w:rsid w:val="004C41B7"/>
    <w:rsid w:val="004C4254"/>
    <w:rsid w:val="004C427C"/>
    <w:rsid w:val="004C4307"/>
    <w:rsid w:val="004C4309"/>
    <w:rsid w:val="004C4413"/>
    <w:rsid w:val="004C44B6"/>
    <w:rsid w:val="004C4629"/>
    <w:rsid w:val="004C4715"/>
    <w:rsid w:val="004C47E8"/>
    <w:rsid w:val="004C490F"/>
    <w:rsid w:val="004C4942"/>
    <w:rsid w:val="004C49E3"/>
    <w:rsid w:val="004C4BA7"/>
    <w:rsid w:val="004C4BD6"/>
    <w:rsid w:val="004C4D1D"/>
    <w:rsid w:val="004C4E52"/>
    <w:rsid w:val="004C4E8A"/>
    <w:rsid w:val="004C508E"/>
    <w:rsid w:val="004C50C2"/>
    <w:rsid w:val="004C514A"/>
    <w:rsid w:val="004C5423"/>
    <w:rsid w:val="004C54D8"/>
    <w:rsid w:val="004C5693"/>
    <w:rsid w:val="004C57ED"/>
    <w:rsid w:val="004C59EE"/>
    <w:rsid w:val="004C5DD9"/>
    <w:rsid w:val="004C5FD3"/>
    <w:rsid w:val="004C6278"/>
    <w:rsid w:val="004C62AE"/>
    <w:rsid w:val="004C6483"/>
    <w:rsid w:val="004C64D0"/>
    <w:rsid w:val="004C654B"/>
    <w:rsid w:val="004C6550"/>
    <w:rsid w:val="004C6572"/>
    <w:rsid w:val="004C67B0"/>
    <w:rsid w:val="004C6900"/>
    <w:rsid w:val="004C69E8"/>
    <w:rsid w:val="004C6A81"/>
    <w:rsid w:val="004C6A82"/>
    <w:rsid w:val="004C6AAC"/>
    <w:rsid w:val="004C6D4F"/>
    <w:rsid w:val="004C6DD2"/>
    <w:rsid w:val="004C6F21"/>
    <w:rsid w:val="004C7043"/>
    <w:rsid w:val="004C721D"/>
    <w:rsid w:val="004C745F"/>
    <w:rsid w:val="004C7541"/>
    <w:rsid w:val="004C763E"/>
    <w:rsid w:val="004C7836"/>
    <w:rsid w:val="004C78DA"/>
    <w:rsid w:val="004C79B1"/>
    <w:rsid w:val="004C79E7"/>
    <w:rsid w:val="004C7AFF"/>
    <w:rsid w:val="004C7CA6"/>
    <w:rsid w:val="004C7CB0"/>
    <w:rsid w:val="004C7D13"/>
    <w:rsid w:val="004C7E64"/>
    <w:rsid w:val="004C7FFE"/>
    <w:rsid w:val="004D01E4"/>
    <w:rsid w:val="004D030C"/>
    <w:rsid w:val="004D042D"/>
    <w:rsid w:val="004D0448"/>
    <w:rsid w:val="004D045A"/>
    <w:rsid w:val="004D0463"/>
    <w:rsid w:val="004D0505"/>
    <w:rsid w:val="004D05A0"/>
    <w:rsid w:val="004D05FD"/>
    <w:rsid w:val="004D0628"/>
    <w:rsid w:val="004D082F"/>
    <w:rsid w:val="004D0873"/>
    <w:rsid w:val="004D090A"/>
    <w:rsid w:val="004D0994"/>
    <w:rsid w:val="004D0A95"/>
    <w:rsid w:val="004D0BCE"/>
    <w:rsid w:val="004D0CE5"/>
    <w:rsid w:val="004D0DC4"/>
    <w:rsid w:val="004D0FA8"/>
    <w:rsid w:val="004D105B"/>
    <w:rsid w:val="004D1152"/>
    <w:rsid w:val="004D144A"/>
    <w:rsid w:val="004D150E"/>
    <w:rsid w:val="004D173D"/>
    <w:rsid w:val="004D1A6E"/>
    <w:rsid w:val="004D1BE3"/>
    <w:rsid w:val="004D1C41"/>
    <w:rsid w:val="004D1C7D"/>
    <w:rsid w:val="004D1D11"/>
    <w:rsid w:val="004D1E71"/>
    <w:rsid w:val="004D213A"/>
    <w:rsid w:val="004D217A"/>
    <w:rsid w:val="004D24E7"/>
    <w:rsid w:val="004D2627"/>
    <w:rsid w:val="004D2698"/>
    <w:rsid w:val="004D27AE"/>
    <w:rsid w:val="004D2838"/>
    <w:rsid w:val="004D2ABE"/>
    <w:rsid w:val="004D2B7A"/>
    <w:rsid w:val="004D2CDF"/>
    <w:rsid w:val="004D2F2E"/>
    <w:rsid w:val="004D2F77"/>
    <w:rsid w:val="004D334D"/>
    <w:rsid w:val="004D33CE"/>
    <w:rsid w:val="004D3588"/>
    <w:rsid w:val="004D3666"/>
    <w:rsid w:val="004D36BA"/>
    <w:rsid w:val="004D37C5"/>
    <w:rsid w:val="004D389E"/>
    <w:rsid w:val="004D38AD"/>
    <w:rsid w:val="004D3BF2"/>
    <w:rsid w:val="004D3BFC"/>
    <w:rsid w:val="004D3DD4"/>
    <w:rsid w:val="004D40E1"/>
    <w:rsid w:val="004D4330"/>
    <w:rsid w:val="004D4540"/>
    <w:rsid w:val="004D470B"/>
    <w:rsid w:val="004D47EC"/>
    <w:rsid w:val="004D4854"/>
    <w:rsid w:val="004D495A"/>
    <w:rsid w:val="004D49ED"/>
    <w:rsid w:val="004D4AAE"/>
    <w:rsid w:val="004D4B07"/>
    <w:rsid w:val="004D4B2B"/>
    <w:rsid w:val="004D4B31"/>
    <w:rsid w:val="004D4B51"/>
    <w:rsid w:val="004D4C1C"/>
    <w:rsid w:val="004D4EB8"/>
    <w:rsid w:val="004D4F15"/>
    <w:rsid w:val="004D4F83"/>
    <w:rsid w:val="004D4FC3"/>
    <w:rsid w:val="004D5048"/>
    <w:rsid w:val="004D566D"/>
    <w:rsid w:val="004D56FB"/>
    <w:rsid w:val="004D5864"/>
    <w:rsid w:val="004D58CB"/>
    <w:rsid w:val="004D5962"/>
    <w:rsid w:val="004D5F7E"/>
    <w:rsid w:val="004D6042"/>
    <w:rsid w:val="004D6129"/>
    <w:rsid w:val="004D635B"/>
    <w:rsid w:val="004D6465"/>
    <w:rsid w:val="004D65D4"/>
    <w:rsid w:val="004D66FC"/>
    <w:rsid w:val="004D6AF7"/>
    <w:rsid w:val="004D6AFD"/>
    <w:rsid w:val="004D6C16"/>
    <w:rsid w:val="004D6C6B"/>
    <w:rsid w:val="004D6D7E"/>
    <w:rsid w:val="004D6DE0"/>
    <w:rsid w:val="004D6E7D"/>
    <w:rsid w:val="004D6E89"/>
    <w:rsid w:val="004D6F22"/>
    <w:rsid w:val="004D7006"/>
    <w:rsid w:val="004D7188"/>
    <w:rsid w:val="004D71B0"/>
    <w:rsid w:val="004D772E"/>
    <w:rsid w:val="004D78B6"/>
    <w:rsid w:val="004D78C7"/>
    <w:rsid w:val="004D7932"/>
    <w:rsid w:val="004D7A50"/>
    <w:rsid w:val="004D7B84"/>
    <w:rsid w:val="004D7BA0"/>
    <w:rsid w:val="004D7C86"/>
    <w:rsid w:val="004D7CD6"/>
    <w:rsid w:val="004E009C"/>
    <w:rsid w:val="004E00AA"/>
    <w:rsid w:val="004E00F0"/>
    <w:rsid w:val="004E0136"/>
    <w:rsid w:val="004E0197"/>
    <w:rsid w:val="004E04B0"/>
    <w:rsid w:val="004E0648"/>
    <w:rsid w:val="004E07A2"/>
    <w:rsid w:val="004E0B09"/>
    <w:rsid w:val="004E0B20"/>
    <w:rsid w:val="004E0C29"/>
    <w:rsid w:val="004E0C30"/>
    <w:rsid w:val="004E0EE9"/>
    <w:rsid w:val="004E1122"/>
    <w:rsid w:val="004E1222"/>
    <w:rsid w:val="004E122F"/>
    <w:rsid w:val="004E1409"/>
    <w:rsid w:val="004E1735"/>
    <w:rsid w:val="004E183E"/>
    <w:rsid w:val="004E1A87"/>
    <w:rsid w:val="004E1B42"/>
    <w:rsid w:val="004E1BB0"/>
    <w:rsid w:val="004E1BCD"/>
    <w:rsid w:val="004E1C85"/>
    <w:rsid w:val="004E1DCA"/>
    <w:rsid w:val="004E2443"/>
    <w:rsid w:val="004E251C"/>
    <w:rsid w:val="004E2841"/>
    <w:rsid w:val="004E286A"/>
    <w:rsid w:val="004E2941"/>
    <w:rsid w:val="004E3030"/>
    <w:rsid w:val="004E31C9"/>
    <w:rsid w:val="004E3282"/>
    <w:rsid w:val="004E3311"/>
    <w:rsid w:val="004E33CE"/>
    <w:rsid w:val="004E368A"/>
    <w:rsid w:val="004E383C"/>
    <w:rsid w:val="004E38AC"/>
    <w:rsid w:val="004E38EC"/>
    <w:rsid w:val="004E3933"/>
    <w:rsid w:val="004E399D"/>
    <w:rsid w:val="004E39C4"/>
    <w:rsid w:val="004E3A53"/>
    <w:rsid w:val="004E3C06"/>
    <w:rsid w:val="004E3E5E"/>
    <w:rsid w:val="004E3EF0"/>
    <w:rsid w:val="004E40AF"/>
    <w:rsid w:val="004E41BE"/>
    <w:rsid w:val="004E4203"/>
    <w:rsid w:val="004E447C"/>
    <w:rsid w:val="004E44E8"/>
    <w:rsid w:val="004E4549"/>
    <w:rsid w:val="004E4576"/>
    <w:rsid w:val="004E458A"/>
    <w:rsid w:val="004E45F0"/>
    <w:rsid w:val="004E4701"/>
    <w:rsid w:val="004E485B"/>
    <w:rsid w:val="004E48D4"/>
    <w:rsid w:val="004E4AC8"/>
    <w:rsid w:val="004E4C22"/>
    <w:rsid w:val="004E4C83"/>
    <w:rsid w:val="004E4CBB"/>
    <w:rsid w:val="004E4D2C"/>
    <w:rsid w:val="004E4D39"/>
    <w:rsid w:val="004E4D53"/>
    <w:rsid w:val="004E4D84"/>
    <w:rsid w:val="004E4DFD"/>
    <w:rsid w:val="004E4EBC"/>
    <w:rsid w:val="004E4ECC"/>
    <w:rsid w:val="004E5019"/>
    <w:rsid w:val="004E5104"/>
    <w:rsid w:val="004E51A6"/>
    <w:rsid w:val="004E53B9"/>
    <w:rsid w:val="004E5426"/>
    <w:rsid w:val="004E542C"/>
    <w:rsid w:val="004E5486"/>
    <w:rsid w:val="004E551A"/>
    <w:rsid w:val="004E55D3"/>
    <w:rsid w:val="004E5690"/>
    <w:rsid w:val="004E594C"/>
    <w:rsid w:val="004E5969"/>
    <w:rsid w:val="004E5A50"/>
    <w:rsid w:val="004E5A8E"/>
    <w:rsid w:val="004E5B06"/>
    <w:rsid w:val="004E5C1F"/>
    <w:rsid w:val="004E5C4A"/>
    <w:rsid w:val="004E5E68"/>
    <w:rsid w:val="004E5F56"/>
    <w:rsid w:val="004E5F97"/>
    <w:rsid w:val="004E5FA8"/>
    <w:rsid w:val="004E60E0"/>
    <w:rsid w:val="004E610A"/>
    <w:rsid w:val="004E6188"/>
    <w:rsid w:val="004E6298"/>
    <w:rsid w:val="004E6350"/>
    <w:rsid w:val="004E6396"/>
    <w:rsid w:val="004E641C"/>
    <w:rsid w:val="004E6466"/>
    <w:rsid w:val="004E6595"/>
    <w:rsid w:val="004E66C4"/>
    <w:rsid w:val="004E684C"/>
    <w:rsid w:val="004E69C5"/>
    <w:rsid w:val="004E6A03"/>
    <w:rsid w:val="004E6FF1"/>
    <w:rsid w:val="004E726B"/>
    <w:rsid w:val="004E74CD"/>
    <w:rsid w:val="004E7637"/>
    <w:rsid w:val="004E76C1"/>
    <w:rsid w:val="004E76DB"/>
    <w:rsid w:val="004E78E3"/>
    <w:rsid w:val="004E7C09"/>
    <w:rsid w:val="004E7DD7"/>
    <w:rsid w:val="004E7E8D"/>
    <w:rsid w:val="004E7EEF"/>
    <w:rsid w:val="004EC39C"/>
    <w:rsid w:val="004F0094"/>
    <w:rsid w:val="004F0159"/>
    <w:rsid w:val="004F0298"/>
    <w:rsid w:val="004F04E6"/>
    <w:rsid w:val="004F0505"/>
    <w:rsid w:val="004F05AB"/>
    <w:rsid w:val="004F0760"/>
    <w:rsid w:val="004F0788"/>
    <w:rsid w:val="004F0846"/>
    <w:rsid w:val="004F0BE4"/>
    <w:rsid w:val="004F0CF0"/>
    <w:rsid w:val="004F0D78"/>
    <w:rsid w:val="004F0E43"/>
    <w:rsid w:val="004F0F32"/>
    <w:rsid w:val="004F0F6F"/>
    <w:rsid w:val="004F11A1"/>
    <w:rsid w:val="004F12F7"/>
    <w:rsid w:val="004F1811"/>
    <w:rsid w:val="004F18D2"/>
    <w:rsid w:val="004F19A8"/>
    <w:rsid w:val="004F1A2E"/>
    <w:rsid w:val="004F1B8E"/>
    <w:rsid w:val="004F1CC3"/>
    <w:rsid w:val="004F1CD7"/>
    <w:rsid w:val="004F1F90"/>
    <w:rsid w:val="004F1FCA"/>
    <w:rsid w:val="004F20DD"/>
    <w:rsid w:val="004F226C"/>
    <w:rsid w:val="004F2401"/>
    <w:rsid w:val="004F24AE"/>
    <w:rsid w:val="004F25F1"/>
    <w:rsid w:val="004F26EC"/>
    <w:rsid w:val="004F2782"/>
    <w:rsid w:val="004F285B"/>
    <w:rsid w:val="004F2903"/>
    <w:rsid w:val="004F2927"/>
    <w:rsid w:val="004F2938"/>
    <w:rsid w:val="004F293B"/>
    <w:rsid w:val="004F2955"/>
    <w:rsid w:val="004F2A44"/>
    <w:rsid w:val="004F2CF2"/>
    <w:rsid w:val="004F2D67"/>
    <w:rsid w:val="004F2DAD"/>
    <w:rsid w:val="004F2DED"/>
    <w:rsid w:val="004F2FF3"/>
    <w:rsid w:val="004F3068"/>
    <w:rsid w:val="004F31EF"/>
    <w:rsid w:val="004F3423"/>
    <w:rsid w:val="004F34F7"/>
    <w:rsid w:val="004F360A"/>
    <w:rsid w:val="004F3731"/>
    <w:rsid w:val="004F3747"/>
    <w:rsid w:val="004F3819"/>
    <w:rsid w:val="004F3953"/>
    <w:rsid w:val="004F399E"/>
    <w:rsid w:val="004F39B0"/>
    <w:rsid w:val="004F3B9E"/>
    <w:rsid w:val="004F3CD5"/>
    <w:rsid w:val="004F3E87"/>
    <w:rsid w:val="004F3F09"/>
    <w:rsid w:val="004F4293"/>
    <w:rsid w:val="004F4334"/>
    <w:rsid w:val="004F4596"/>
    <w:rsid w:val="004F4961"/>
    <w:rsid w:val="004F4A81"/>
    <w:rsid w:val="004F4BBD"/>
    <w:rsid w:val="004F4BCC"/>
    <w:rsid w:val="004F4C4C"/>
    <w:rsid w:val="004F4CFF"/>
    <w:rsid w:val="004F4E23"/>
    <w:rsid w:val="004F4F7E"/>
    <w:rsid w:val="004F4F86"/>
    <w:rsid w:val="004F5053"/>
    <w:rsid w:val="004F5226"/>
    <w:rsid w:val="004F5363"/>
    <w:rsid w:val="004F55D6"/>
    <w:rsid w:val="004F565A"/>
    <w:rsid w:val="004F567D"/>
    <w:rsid w:val="004F571B"/>
    <w:rsid w:val="004F590D"/>
    <w:rsid w:val="004F5989"/>
    <w:rsid w:val="004F5C9E"/>
    <w:rsid w:val="004F5E8D"/>
    <w:rsid w:val="004F5EBA"/>
    <w:rsid w:val="004F5EC4"/>
    <w:rsid w:val="004F605D"/>
    <w:rsid w:val="004F6139"/>
    <w:rsid w:val="004F6172"/>
    <w:rsid w:val="004F61EE"/>
    <w:rsid w:val="004F6290"/>
    <w:rsid w:val="004F63CC"/>
    <w:rsid w:val="004F64EB"/>
    <w:rsid w:val="004F6622"/>
    <w:rsid w:val="004F6807"/>
    <w:rsid w:val="004F6AE6"/>
    <w:rsid w:val="004F6B11"/>
    <w:rsid w:val="004F6C26"/>
    <w:rsid w:val="004F6C3D"/>
    <w:rsid w:val="004F6CCC"/>
    <w:rsid w:val="004F6E0F"/>
    <w:rsid w:val="004F6EE9"/>
    <w:rsid w:val="004F701A"/>
    <w:rsid w:val="004F727E"/>
    <w:rsid w:val="004F73C1"/>
    <w:rsid w:val="004F7505"/>
    <w:rsid w:val="004F7530"/>
    <w:rsid w:val="004F75E9"/>
    <w:rsid w:val="004F75EA"/>
    <w:rsid w:val="004F7881"/>
    <w:rsid w:val="004F7A74"/>
    <w:rsid w:val="004F7ED0"/>
    <w:rsid w:val="00500237"/>
    <w:rsid w:val="00500250"/>
    <w:rsid w:val="00500264"/>
    <w:rsid w:val="005004AB"/>
    <w:rsid w:val="005005BA"/>
    <w:rsid w:val="0050060A"/>
    <w:rsid w:val="00500723"/>
    <w:rsid w:val="00500824"/>
    <w:rsid w:val="005008B7"/>
    <w:rsid w:val="00500AB3"/>
    <w:rsid w:val="00500BFF"/>
    <w:rsid w:val="00500CFC"/>
    <w:rsid w:val="00500DAB"/>
    <w:rsid w:val="00500DF4"/>
    <w:rsid w:val="005010FC"/>
    <w:rsid w:val="00501144"/>
    <w:rsid w:val="00501322"/>
    <w:rsid w:val="005013EF"/>
    <w:rsid w:val="00501400"/>
    <w:rsid w:val="00501612"/>
    <w:rsid w:val="005016C2"/>
    <w:rsid w:val="0050174F"/>
    <w:rsid w:val="005019E0"/>
    <w:rsid w:val="00501B67"/>
    <w:rsid w:val="00501DAF"/>
    <w:rsid w:val="00501DDB"/>
    <w:rsid w:val="00501FCB"/>
    <w:rsid w:val="00502067"/>
    <w:rsid w:val="0050211F"/>
    <w:rsid w:val="005022E7"/>
    <w:rsid w:val="00502454"/>
    <w:rsid w:val="00502605"/>
    <w:rsid w:val="005026B4"/>
    <w:rsid w:val="0050275C"/>
    <w:rsid w:val="00502A93"/>
    <w:rsid w:val="00502EBA"/>
    <w:rsid w:val="00503078"/>
    <w:rsid w:val="00503507"/>
    <w:rsid w:val="005037F9"/>
    <w:rsid w:val="00503861"/>
    <w:rsid w:val="005038C8"/>
    <w:rsid w:val="00503A30"/>
    <w:rsid w:val="00503C5C"/>
    <w:rsid w:val="00503CAB"/>
    <w:rsid w:val="00503D48"/>
    <w:rsid w:val="00504077"/>
    <w:rsid w:val="00504554"/>
    <w:rsid w:val="00504B00"/>
    <w:rsid w:val="00504B0F"/>
    <w:rsid w:val="00504B6A"/>
    <w:rsid w:val="00504B95"/>
    <w:rsid w:val="00504BBD"/>
    <w:rsid w:val="00504E98"/>
    <w:rsid w:val="0050524C"/>
    <w:rsid w:val="005052ED"/>
    <w:rsid w:val="005053DE"/>
    <w:rsid w:val="0050558D"/>
    <w:rsid w:val="005055E1"/>
    <w:rsid w:val="0050563F"/>
    <w:rsid w:val="0050565A"/>
    <w:rsid w:val="005056DB"/>
    <w:rsid w:val="005056EF"/>
    <w:rsid w:val="005057BD"/>
    <w:rsid w:val="0050591D"/>
    <w:rsid w:val="00505A74"/>
    <w:rsid w:val="00505BA2"/>
    <w:rsid w:val="00505BA4"/>
    <w:rsid w:val="00505CA1"/>
    <w:rsid w:val="00505CCB"/>
    <w:rsid w:val="00505D97"/>
    <w:rsid w:val="00505DCF"/>
    <w:rsid w:val="00505E3D"/>
    <w:rsid w:val="00505F35"/>
    <w:rsid w:val="0050600A"/>
    <w:rsid w:val="00506083"/>
    <w:rsid w:val="0050644C"/>
    <w:rsid w:val="005064E6"/>
    <w:rsid w:val="00506521"/>
    <w:rsid w:val="00506680"/>
    <w:rsid w:val="005068D6"/>
    <w:rsid w:val="005068FA"/>
    <w:rsid w:val="00506B86"/>
    <w:rsid w:val="00506DDD"/>
    <w:rsid w:val="00506E6C"/>
    <w:rsid w:val="00506E8A"/>
    <w:rsid w:val="00506EEC"/>
    <w:rsid w:val="00506F34"/>
    <w:rsid w:val="00506FD4"/>
    <w:rsid w:val="00507047"/>
    <w:rsid w:val="005070D0"/>
    <w:rsid w:val="005073C9"/>
    <w:rsid w:val="00507499"/>
    <w:rsid w:val="005074C1"/>
    <w:rsid w:val="0050754F"/>
    <w:rsid w:val="00507792"/>
    <w:rsid w:val="00507BCD"/>
    <w:rsid w:val="00507D1C"/>
    <w:rsid w:val="00507D6F"/>
    <w:rsid w:val="00507D95"/>
    <w:rsid w:val="00507FF9"/>
    <w:rsid w:val="0051007A"/>
    <w:rsid w:val="0051019D"/>
    <w:rsid w:val="005102BA"/>
    <w:rsid w:val="005104B0"/>
    <w:rsid w:val="00510558"/>
    <w:rsid w:val="0051066A"/>
    <w:rsid w:val="005107FF"/>
    <w:rsid w:val="005108AF"/>
    <w:rsid w:val="005109EB"/>
    <w:rsid w:val="00510AD1"/>
    <w:rsid w:val="00510AF9"/>
    <w:rsid w:val="00510C97"/>
    <w:rsid w:val="00510CA6"/>
    <w:rsid w:val="00510CBC"/>
    <w:rsid w:val="00510D3B"/>
    <w:rsid w:val="00510DE2"/>
    <w:rsid w:val="00510E75"/>
    <w:rsid w:val="0051102D"/>
    <w:rsid w:val="005110BB"/>
    <w:rsid w:val="005112A5"/>
    <w:rsid w:val="0051156E"/>
    <w:rsid w:val="00511630"/>
    <w:rsid w:val="005116A5"/>
    <w:rsid w:val="005119F0"/>
    <w:rsid w:val="00511A23"/>
    <w:rsid w:val="00511BE6"/>
    <w:rsid w:val="00511DD7"/>
    <w:rsid w:val="00511F48"/>
    <w:rsid w:val="00511FE5"/>
    <w:rsid w:val="005121F3"/>
    <w:rsid w:val="00512236"/>
    <w:rsid w:val="005123FC"/>
    <w:rsid w:val="00512448"/>
    <w:rsid w:val="0051253A"/>
    <w:rsid w:val="005125F5"/>
    <w:rsid w:val="005125F9"/>
    <w:rsid w:val="00512606"/>
    <w:rsid w:val="0051266C"/>
    <w:rsid w:val="00512682"/>
    <w:rsid w:val="00512BA7"/>
    <w:rsid w:val="00512DBE"/>
    <w:rsid w:val="00512F10"/>
    <w:rsid w:val="005130CD"/>
    <w:rsid w:val="005131FD"/>
    <w:rsid w:val="0051351F"/>
    <w:rsid w:val="00513558"/>
    <w:rsid w:val="00513990"/>
    <w:rsid w:val="005139B1"/>
    <w:rsid w:val="00513A8C"/>
    <w:rsid w:val="00513B72"/>
    <w:rsid w:val="00513E5A"/>
    <w:rsid w:val="00513EEF"/>
    <w:rsid w:val="00513EF3"/>
    <w:rsid w:val="00513FAF"/>
    <w:rsid w:val="00513FB5"/>
    <w:rsid w:val="0051410F"/>
    <w:rsid w:val="0051413B"/>
    <w:rsid w:val="005141A3"/>
    <w:rsid w:val="00514398"/>
    <w:rsid w:val="00514544"/>
    <w:rsid w:val="00514754"/>
    <w:rsid w:val="005147D8"/>
    <w:rsid w:val="00514CDA"/>
    <w:rsid w:val="00514D8B"/>
    <w:rsid w:val="00514EFE"/>
    <w:rsid w:val="005150A9"/>
    <w:rsid w:val="0051518A"/>
    <w:rsid w:val="00515214"/>
    <w:rsid w:val="00515277"/>
    <w:rsid w:val="00515317"/>
    <w:rsid w:val="00515690"/>
    <w:rsid w:val="00515884"/>
    <w:rsid w:val="005158C2"/>
    <w:rsid w:val="005158C6"/>
    <w:rsid w:val="005158F8"/>
    <w:rsid w:val="005159C5"/>
    <w:rsid w:val="00515B32"/>
    <w:rsid w:val="00515B77"/>
    <w:rsid w:val="00515BA0"/>
    <w:rsid w:val="00515BD2"/>
    <w:rsid w:val="00515D64"/>
    <w:rsid w:val="00515E4A"/>
    <w:rsid w:val="00516021"/>
    <w:rsid w:val="0051608E"/>
    <w:rsid w:val="00516249"/>
    <w:rsid w:val="00516258"/>
    <w:rsid w:val="005163D6"/>
    <w:rsid w:val="005164BC"/>
    <w:rsid w:val="005164D7"/>
    <w:rsid w:val="005165A2"/>
    <w:rsid w:val="00516689"/>
    <w:rsid w:val="00516694"/>
    <w:rsid w:val="00516763"/>
    <w:rsid w:val="005168D8"/>
    <w:rsid w:val="005169DE"/>
    <w:rsid w:val="00516A2A"/>
    <w:rsid w:val="00516C00"/>
    <w:rsid w:val="00516DD6"/>
    <w:rsid w:val="00516F29"/>
    <w:rsid w:val="0051709A"/>
    <w:rsid w:val="005170B1"/>
    <w:rsid w:val="005170D9"/>
    <w:rsid w:val="0051723D"/>
    <w:rsid w:val="005174CE"/>
    <w:rsid w:val="0051754D"/>
    <w:rsid w:val="005177DD"/>
    <w:rsid w:val="00517824"/>
    <w:rsid w:val="0051785D"/>
    <w:rsid w:val="0051788D"/>
    <w:rsid w:val="00517913"/>
    <w:rsid w:val="00517B94"/>
    <w:rsid w:val="00517BC6"/>
    <w:rsid w:val="00517C20"/>
    <w:rsid w:val="00517D0B"/>
    <w:rsid w:val="00517D7F"/>
    <w:rsid w:val="0052005F"/>
    <w:rsid w:val="005200AA"/>
    <w:rsid w:val="005200E1"/>
    <w:rsid w:val="00520200"/>
    <w:rsid w:val="00520210"/>
    <w:rsid w:val="00520279"/>
    <w:rsid w:val="00520408"/>
    <w:rsid w:val="0052041F"/>
    <w:rsid w:val="005204DA"/>
    <w:rsid w:val="005205FF"/>
    <w:rsid w:val="005206E2"/>
    <w:rsid w:val="005206FB"/>
    <w:rsid w:val="0052084E"/>
    <w:rsid w:val="00520896"/>
    <w:rsid w:val="00520901"/>
    <w:rsid w:val="00520E2D"/>
    <w:rsid w:val="00520E86"/>
    <w:rsid w:val="00520EEE"/>
    <w:rsid w:val="00520F04"/>
    <w:rsid w:val="00520F08"/>
    <w:rsid w:val="00521227"/>
    <w:rsid w:val="0052131A"/>
    <w:rsid w:val="00521668"/>
    <w:rsid w:val="00521717"/>
    <w:rsid w:val="0052179E"/>
    <w:rsid w:val="005218BF"/>
    <w:rsid w:val="005218C6"/>
    <w:rsid w:val="005218D6"/>
    <w:rsid w:val="00521E55"/>
    <w:rsid w:val="00521F10"/>
    <w:rsid w:val="0052217B"/>
    <w:rsid w:val="005221FB"/>
    <w:rsid w:val="005224B2"/>
    <w:rsid w:val="0052255F"/>
    <w:rsid w:val="005225A3"/>
    <w:rsid w:val="005225BC"/>
    <w:rsid w:val="00522745"/>
    <w:rsid w:val="00522788"/>
    <w:rsid w:val="005227F2"/>
    <w:rsid w:val="0052283C"/>
    <w:rsid w:val="005228A0"/>
    <w:rsid w:val="0052297F"/>
    <w:rsid w:val="00522AB7"/>
    <w:rsid w:val="00522B0E"/>
    <w:rsid w:val="00522B90"/>
    <w:rsid w:val="00522EBC"/>
    <w:rsid w:val="00522EE3"/>
    <w:rsid w:val="00522F37"/>
    <w:rsid w:val="0052300D"/>
    <w:rsid w:val="0052303D"/>
    <w:rsid w:val="0052306E"/>
    <w:rsid w:val="00523070"/>
    <w:rsid w:val="005230D9"/>
    <w:rsid w:val="00523134"/>
    <w:rsid w:val="005236A4"/>
    <w:rsid w:val="005236E1"/>
    <w:rsid w:val="00523938"/>
    <w:rsid w:val="0052393D"/>
    <w:rsid w:val="00523B23"/>
    <w:rsid w:val="00523BBA"/>
    <w:rsid w:val="00523D6D"/>
    <w:rsid w:val="00523DFA"/>
    <w:rsid w:val="00523E29"/>
    <w:rsid w:val="00523E52"/>
    <w:rsid w:val="00523F16"/>
    <w:rsid w:val="00524049"/>
    <w:rsid w:val="00524166"/>
    <w:rsid w:val="00524168"/>
    <w:rsid w:val="005242FC"/>
    <w:rsid w:val="00524355"/>
    <w:rsid w:val="0052453B"/>
    <w:rsid w:val="0052457F"/>
    <w:rsid w:val="005245A3"/>
    <w:rsid w:val="005245C7"/>
    <w:rsid w:val="005247A1"/>
    <w:rsid w:val="005247E2"/>
    <w:rsid w:val="005247E7"/>
    <w:rsid w:val="00524990"/>
    <w:rsid w:val="005249CA"/>
    <w:rsid w:val="00524A58"/>
    <w:rsid w:val="00524BD1"/>
    <w:rsid w:val="00524D1D"/>
    <w:rsid w:val="005250A7"/>
    <w:rsid w:val="005253C7"/>
    <w:rsid w:val="005253C8"/>
    <w:rsid w:val="005254BC"/>
    <w:rsid w:val="0052550C"/>
    <w:rsid w:val="00525592"/>
    <w:rsid w:val="005256FC"/>
    <w:rsid w:val="0052580B"/>
    <w:rsid w:val="005258A1"/>
    <w:rsid w:val="00525C6F"/>
    <w:rsid w:val="00525CAA"/>
    <w:rsid w:val="00525D54"/>
    <w:rsid w:val="00525DEC"/>
    <w:rsid w:val="005261C3"/>
    <w:rsid w:val="0052633A"/>
    <w:rsid w:val="005264A4"/>
    <w:rsid w:val="005266BB"/>
    <w:rsid w:val="0052690E"/>
    <w:rsid w:val="005269CA"/>
    <w:rsid w:val="00526C27"/>
    <w:rsid w:val="00526CC7"/>
    <w:rsid w:val="00526D8D"/>
    <w:rsid w:val="00526DFF"/>
    <w:rsid w:val="00526EC0"/>
    <w:rsid w:val="00526F22"/>
    <w:rsid w:val="00526F2E"/>
    <w:rsid w:val="00526F5B"/>
    <w:rsid w:val="00527160"/>
    <w:rsid w:val="00527473"/>
    <w:rsid w:val="005274FB"/>
    <w:rsid w:val="00527637"/>
    <w:rsid w:val="0052796B"/>
    <w:rsid w:val="00527A48"/>
    <w:rsid w:val="00527A8A"/>
    <w:rsid w:val="00527B1F"/>
    <w:rsid w:val="00527B5B"/>
    <w:rsid w:val="00527C91"/>
    <w:rsid w:val="00527CD3"/>
    <w:rsid w:val="00527D2D"/>
    <w:rsid w:val="00527E5F"/>
    <w:rsid w:val="00527E9A"/>
    <w:rsid w:val="00527EF9"/>
    <w:rsid w:val="0052D7AD"/>
    <w:rsid w:val="005300C4"/>
    <w:rsid w:val="00530107"/>
    <w:rsid w:val="00530144"/>
    <w:rsid w:val="00530290"/>
    <w:rsid w:val="005305CF"/>
    <w:rsid w:val="005305FF"/>
    <w:rsid w:val="0053060E"/>
    <w:rsid w:val="00530698"/>
    <w:rsid w:val="005306D4"/>
    <w:rsid w:val="00530951"/>
    <w:rsid w:val="00530B9B"/>
    <w:rsid w:val="00530C2E"/>
    <w:rsid w:val="00530C75"/>
    <w:rsid w:val="00530C9B"/>
    <w:rsid w:val="00530F9B"/>
    <w:rsid w:val="00531003"/>
    <w:rsid w:val="00531162"/>
    <w:rsid w:val="00531389"/>
    <w:rsid w:val="00531549"/>
    <w:rsid w:val="00531AFC"/>
    <w:rsid w:val="00531C90"/>
    <w:rsid w:val="00532156"/>
    <w:rsid w:val="00532268"/>
    <w:rsid w:val="00532319"/>
    <w:rsid w:val="00532334"/>
    <w:rsid w:val="005324AF"/>
    <w:rsid w:val="005325B3"/>
    <w:rsid w:val="00532665"/>
    <w:rsid w:val="00532728"/>
    <w:rsid w:val="00532982"/>
    <w:rsid w:val="00532DB4"/>
    <w:rsid w:val="00532E81"/>
    <w:rsid w:val="00532EE4"/>
    <w:rsid w:val="00533043"/>
    <w:rsid w:val="005331E2"/>
    <w:rsid w:val="005332A3"/>
    <w:rsid w:val="0053346F"/>
    <w:rsid w:val="0053366B"/>
    <w:rsid w:val="005336E1"/>
    <w:rsid w:val="0053371B"/>
    <w:rsid w:val="0053377B"/>
    <w:rsid w:val="00533ACF"/>
    <w:rsid w:val="00533C04"/>
    <w:rsid w:val="00533F5B"/>
    <w:rsid w:val="00533F91"/>
    <w:rsid w:val="0053402C"/>
    <w:rsid w:val="00534037"/>
    <w:rsid w:val="00534090"/>
    <w:rsid w:val="005342C6"/>
    <w:rsid w:val="00534350"/>
    <w:rsid w:val="005345D8"/>
    <w:rsid w:val="00534758"/>
    <w:rsid w:val="005347FC"/>
    <w:rsid w:val="00534837"/>
    <w:rsid w:val="00534883"/>
    <w:rsid w:val="00534ABA"/>
    <w:rsid w:val="00534B96"/>
    <w:rsid w:val="00534BE0"/>
    <w:rsid w:val="00534D2B"/>
    <w:rsid w:val="00534F33"/>
    <w:rsid w:val="00534FB1"/>
    <w:rsid w:val="00535035"/>
    <w:rsid w:val="00535381"/>
    <w:rsid w:val="005354C4"/>
    <w:rsid w:val="00535CEB"/>
    <w:rsid w:val="00535F0B"/>
    <w:rsid w:val="00535FAD"/>
    <w:rsid w:val="00535FC7"/>
    <w:rsid w:val="00535FFF"/>
    <w:rsid w:val="00536078"/>
    <w:rsid w:val="0053612F"/>
    <w:rsid w:val="0053616F"/>
    <w:rsid w:val="00536278"/>
    <w:rsid w:val="00536287"/>
    <w:rsid w:val="005363C7"/>
    <w:rsid w:val="005365AA"/>
    <w:rsid w:val="00536606"/>
    <w:rsid w:val="005368AD"/>
    <w:rsid w:val="0053696B"/>
    <w:rsid w:val="00536CA6"/>
    <w:rsid w:val="00536F41"/>
    <w:rsid w:val="005370AD"/>
    <w:rsid w:val="005370BC"/>
    <w:rsid w:val="00537229"/>
    <w:rsid w:val="00537260"/>
    <w:rsid w:val="00537369"/>
    <w:rsid w:val="0053763E"/>
    <w:rsid w:val="00537705"/>
    <w:rsid w:val="00537B35"/>
    <w:rsid w:val="00537B52"/>
    <w:rsid w:val="00537D0C"/>
    <w:rsid w:val="00537DE7"/>
    <w:rsid w:val="00537E33"/>
    <w:rsid w:val="00537EC4"/>
    <w:rsid w:val="00537FCF"/>
    <w:rsid w:val="00537FE4"/>
    <w:rsid w:val="00540129"/>
    <w:rsid w:val="00540272"/>
    <w:rsid w:val="0054027D"/>
    <w:rsid w:val="005402C3"/>
    <w:rsid w:val="00540578"/>
    <w:rsid w:val="0054062F"/>
    <w:rsid w:val="00540840"/>
    <w:rsid w:val="00540A53"/>
    <w:rsid w:val="00540A63"/>
    <w:rsid w:val="00540BD6"/>
    <w:rsid w:val="00540BE5"/>
    <w:rsid w:val="00540CF1"/>
    <w:rsid w:val="00540E8C"/>
    <w:rsid w:val="00540EE3"/>
    <w:rsid w:val="00540EF9"/>
    <w:rsid w:val="00540FC6"/>
    <w:rsid w:val="00540FF7"/>
    <w:rsid w:val="0054101D"/>
    <w:rsid w:val="00541040"/>
    <w:rsid w:val="0054105F"/>
    <w:rsid w:val="0054112E"/>
    <w:rsid w:val="00541222"/>
    <w:rsid w:val="00541275"/>
    <w:rsid w:val="00541431"/>
    <w:rsid w:val="0054147A"/>
    <w:rsid w:val="0054148F"/>
    <w:rsid w:val="00541504"/>
    <w:rsid w:val="005415F8"/>
    <w:rsid w:val="00541904"/>
    <w:rsid w:val="00541949"/>
    <w:rsid w:val="00541A8D"/>
    <w:rsid w:val="00541A96"/>
    <w:rsid w:val="00541BF5"/>
    <w:rsid w:val="00541C39"/>
    <w:rsid w:val="00541EA0"/>
    <w:rsid w:val="005420A1"/>
    <w:rsid w:val="0054210E"/>
    <w:rsid w:val="00542171"/>
    <w:rsid w:val="005422AA"/>
    <w:rsid w:val="00542663"/>
    <w:rsid w:val="0054282E"/>
    <w:rsid w:val="00542902"/>
    <w:rsid w:val="00542C35"/>
    <w:rsid w:val="00542CCF"/>
    <w:rsid w:val="00542F26"/>
    <w:rsid w:val="00543112"/>
    <w:rsid w:val="005432EB"/>
    <w:rsid w:val="00543372"/>
    <w:rsid w:val="0054368C"/>
    <w:rsid w:val="005436B8"/>
    <w:rsid w:val="005437A4"/>
    <w:rsid w:val="005438BC"/>
    <w:rsid w:val="00543C9C"/>
    <w:rsid w:val="00543DC9"/>
    <w:rsid w:val="00543DF7"/>
    <w:rsid w:val="0054437C"/>
    <w:rsid w:val="00544486"/>
    <w:rsid w:val="0054475C"/>
    <w:rsid w:val="00544775"/>
    <w:rsid w:val="0054495E"/>
    <w:rsid w:val="00544AB6"/>
    <w:rsid w:val="00544B67"/>
    <w:rsid w:val="00544C4A"/>
    <w:rsid w:val="00544D19"/>
    <w:rsid w:val="00544D49"/>
    <w:rsid w:val="00544DA0"/>
    <w:rsid w:val="00544E46"/>
    <w:rsid w:val="00544E6F"/>
    <w:rsid w:val="00544F16"/>
    <w:rsid w:val="00544FB9"/>
    <w:rsid w:val="00545293"/>
    <w:rsid w:val="005454BD"/>
    <w:rsid w:val="0054567F"/>
    <w:rsid w:val="0054578C"/>
    <w:rsid w:val="005457E4"/>
    <w:rsid w:val="00545832"/>
    <w:rsid w:val="00545920"/>
    <w:rsid w:val="00545B2C"/>
    <w:rsid w:val="00545D1B"/>
    <w:rsid w:val="00545D80"/>
    <w:rsid w:val="00546050"/>
    <w:rsid w:val="005462A4"/>
    <w:rsid w:val="005463E6"/>
    <w:rsid w:val="0054645D"/>
    <w:rsid w:val="005464BF"/>
    <w:rsid w:val="00546731"/>
    <w:rsid w:val="00546832"/>
    <w:rsid w:val="005468CC"/>
    <w:rsid w:val="005468F3"/>
    <w:rsid w:val="0054694A"/>
    <w:rsid w:val="00546981"/>
    <w:rsid w:val="00546AF7"/>
    <w:rsid w:val="00546BA7"/>
    <w:rsid w:val="00546C05"/>
    <w:rsid w:val="00546C49"/>
    <w:rsid w:val="00546D3C"/>
    <w:rsid w:val="00546DD5"/>
    <w:rsid w:val="00546E5C"/>
    <w:rsid w:val="00546F2A"/>
    <w:rsid w:val="00546FC5"/>
    <w:rsid w:val="00547187"/>
    <w:rsid w:val="00547307"/>
    <w:rsid w:val="0054738D"/>
    <w:rsid w:val="005473C2"/>
    <w:rsid w:val="00547420"/>
    <w:rsid w:val="005475C8"/>
    <w:rsid w:val="005477D5"/>
    <w:rsid w:val="005477F3"/>
    <w:rsid w:val="005478C6"/>
    <w:rsid w:val="00547AEF"/>
    <w:rsid w:val="00547BB8"/>
    <w:rsid w:val="00547D47"/>
    <w:rsid w:val="00547E06"/>
    <w:rsid w:val="00547E2F"/>
    <w:rsid w:val="0055010B"/>
    <w:rsid w:val="0055051F"/>
    <w:rsid w:val="005505F2"/>
    <w:rsid w:val="00550678"/>
    <w:rsid w:val="00550746"/>
    <w:rsid w:val="0055078B"/>
    <w:rsid w:val="0055081C"/>
    <w:rsid w:val="00550B0B"/>
    <w:rsid w:val="00550B74"/>
    <w:rsid w:val="00550D59"/>
    <w:rsid w:val="0055102D"/>
    <w:rsid w:val="0055110D"/>
    <w:rsid w:val="00551401"/>
    <w:rsid w:val="005518A1"/>
    <w:rsid w:val="0055190E"/>
    <w:rsid w:val="00551A10"/>
    <w:rsid w:val="00551D23"/>
    <w:rsid w:val="00551DAE"/>
    <w:rsid w:val="00551F81"/>
    <w:rsid w:val="0055210F"/>
    <w:rsid w:val="00552306"/>
    <w:rsid w:val="0055274F"/>
    <w:rsid w:val="00552776"/>
    <w:rsid w:val="005528D0"/>
    <w:rsid w:val="005528E0"/>
    <w:rsid w:val="00552953"/>
    <w:rsid w:val="0055295D"/>
    <w:rsid w:val="0055299F"/>
    <w:rsid w:val="00552CB8"/>
    <w:rsid w:val="00552CD7"/>
    <w:rsid w:val="00552E44"/>
    <w:rsid w:val="005530F4"/>
    <w:rsid w:val="005531E5"/>
    <w:rsid w:val="0055329E"/>
    <w:rsid w:val="00553333"/>
    <w:rsid w:val="005533BE"/>
    <w:rsid w:val="0055345E"/>
    <w:rsid w:val="00553680"/>
    <w:rsid w:val="005536B0"/>
    <w:rsid w:val="00553999"/>
    <w:rsid w:val="00553AA5"/>
    <w:rsid w:val="00553AC2"/>
    <w:rsid w:val="00553DBF"/>
    <w:rsid w:val="00553EE2"/>
    <w:rsid w:val="005541C9"/>
    <w:rsid w:val="005544FA"/>
    <w:rsid w:val="005545F5"/>
    <w:rsid w:val="0055467D"/>
    <w:rsid w:val="0055486C"/>
    <w:rsid w:val="00554965"/>
    <w:rsid w:val="00554B30"/>
    <w:rsid w:val="00554E25"/>
    <w:rsid w:val="00554E37"/>
    <w:rsid w:val="00554FFB"/>
    <w:rsid w:val="00555040"/>
    <w:rsid w:val="005551C3"/>
    <w:rsid w:val="00555417"/>
    <w:rsid w:val="00555729"/>
    <w:rsid w:val="00555742"/>
    <w:rsid w:val="00555821"/>
    <w:rsid w:val="0055584B"/>
    <w:rsid w:val="005559D1"/>
    <w:rsid w:val="00555ACB"/>
    <w:rsid w:val="00555B3B"/>
    <w:rsid w:val="00555B52"/>
    <w:rsid w:val="00555C93"/>
    <w:rsid w:val="00555D49"/>
    <w:rsid w:val="005560C8"/>
    <w:rsid w:val="005562BC"/>
    <w:rsid w:val="00556362"/>
    <w:rsid w:val="005565A3"/>
    <w:rsid w:val="005565DC"/>
    <w:rsid w:val="00556695"/>
    <w:rsid w:val="005568A4"/>
    <w:rsid w:val="005568DE"/>
    <w:rsid w:val="00556B03"/>
    <w:rsid w:val="00556DEC"/>
    <w:rsid w:val="00556FA6"/>
    <w:rsid w:val="0055712B"/>
    <w:rsid w:val="00557143"/>
    <w:rsid w:val="005575AB"/>
    <w:rsid w:val="005575B8"/>
    <w:rsid w:val="00557716"/>
    <w:rsid w:val="00557821"/>
    <w:rsid w:val="00557908"/>
    <w:rsid w:val="00557A9A"/>
    <w:rsid w:val="00557C50"/>
    <w:rsid w:val="00557D1B"/>
    <w:rsid w:val="00557D4A"/>
    <w:rsid w:val="00557F50"/>
    <w:rsid w:val="00560128"/>
    <w:rsid w:val="00560204"/>
    <w:rsid w:val="00560432"/>
    <w:rsid w:val="00560692"/>
    <w:rsid w:val="005606B6"/>
    <w:rsid w:val="005608D6"/>
    <w:rsid w:val="00560904"/>
    <w:rsid w:val="0056097C"/>
    <w:rsid w:val="00560990"/>
    <w:rsid w:val="00560A45"/>
    <w:rsid w:val="00560B70"/>
    <w:rsid w:val="00560E80"/>
    <w:rsid w:val="00560F19"/>
    <w:rsid w:val="00561002"/>
    <w:rsid w:val="00561200"/>
    <w:rsid w:val="00561359"/>
    <w:rsid w:val="00561675"/>
    <w:rsid w:val="00561B0C"/>
    <w:rsid w:val="00561B1B"/>
    <w:rsid w:val="00561C4C"/>
    <w:rsid w:val="00561DBA"/>
    <w:rsid w:val="00561E50"/>
    <w:rsid w:val="00561E6B"/>
    <w:rsid w:val="00561F35"/>
    <w:rsid w:val="00562089"/>
    <w:rsid w:val="0056216A"/>
    <w:rsid w:val="005621D2"/>
    <w:rsid w:val="005621E0"/>
    <w:rsid w:val="00562402"/>
    <w:rsid w:val="005625B5"/>
    <w:rsid w:val="005628B9"/>
    <w:rsid w:val="0056290A"/>
    <w:rsid w:val="0056294F"/>
    <w:rsid w:val="00562A00"/>
    <w:rsid w:val="00562A2D"/>
    <w:rsid w:val="00562ADC"/>
    <w:rsid w:val="00562AEF"/>
    <w:rsid w:val="00562B41"/>
    <w:rsid w:val="00562B5F"/>
    <w:rsid w:val="00562BED"/>
    <w:rsid w:val="00562C5C"/>
    <w:rsid w:val="00562D90"/>
    <w:rsid w:val="00562F56"/>
    <w:rsid w:val="00562F8E"/>
    <w:rsid w:val="0056334C"/>
    <w:rsid w:val="00563393"/>
    <w:rsid w:val="005636C3"/>
    <w:rsid w:val="00563A23"/>
    <w:rsid w:val="00563A5A"/>
    <w:rsid w:val="00563C61"/>
    <w:rsid w:val="00563C6D"/>
    <w:rsid w:val="00563C85"/>
    <w:rsid w:val="00563CB1"/>
    <w:rsid w:val="00563D92"/>
    <w:rsid w:val="00563ECB"/>
    <w:rsid w:val="00563F47"/>
    <w:rsid w:val="00563F6F"/>
    <w:rsid w:val="0056405A"/>
    <w:rsid w:val="005640BB"/>
    <w:rsid w:val="00564255"/>
    <w:rsid w:val="00564258"/>
    <w:rsid w:val="0056425B"/>
    <w:rsid w:val="0056425D"/>
    <w:rsid w:val="00564318"/>
    <w:rsid w:val="005643DB"/>
    <w:rsid w:val="005645AF"/>
    <w:rsid w:val="005645C3"/>
    <w:rsid w:val="005645D7"/>
    <w:rsid w:val="005646B8"/>
    <w:rsid w:val="00564769"/>
    <w:rsid w:val="005647E4"/>
    <w:rsid w:val="00564A33"/>
    <w:rsid w:val="00564C03"/>
    <w:rsid w:val="00564C0D"/>
    <w:rsid w:val="00564C23"/>
    <w:rsid w:val="00564E22"/>
    <w:rsid w:val="00564F3A"/>
    <w:rsid w:val="00564FF2"/>
    <w:rsid w:val="0056500F"/>
    <w:rsid w:val="0056517A"/>
    <w:rsid w:val="005651CB"/>
    <w:rsid w:val="005653AF"/>
    <w:rsid w:val="00565406"/>
    <w:rsid w:val="005654EC"/>
    <w:rsid w:val="00565570"/>
    <w:rsid w:val="005655E0"/>
    <w:rsid w:val="005657DD"/>
    <w:rsid w:val="00565826"/>
    <w:rsid w:val="0056586D"/>
    <w:rsid w:val="0056591B"/>
    <w:rsid w:val="00565A97"/>
    <w:rsid w:val="00565B29"/>
    <w:rsid w:val="00565B50"/>
    <w:rsid w:val="00565B96"/>
    <w:rsid w:val="00565BBA"/>
    <w:rsid w:val="00565D23"/>
    <w:rsid w:val="00565D5B"/>
    <w:rsid w:val="00565DE0"/>
    <w:rsid w:val="00565E70"/>
    <w:rsid w:val="00565F1A"/>
    <w:rsid w:val="00565F3E"/>
    <w:rsid w:val="0056603F"/>
    <w:rsid w:val="00566143"/>
    <w:rsid w:val="005662EB"/>
    <w:rsid w:val="00566385"/>
    <w:rsid w:val="005663BA"/>
    <w:rsid w:val="005663E5"/>
    <w:rsid w:val="005664CC"/>
    <w:rsid w:val="0056656A"/>
    <w:rsid w:val="0056664B"/>
    <w:rsid w:val="0056678F"/>
    <w:rsid w:val="0056679D"/>
    <w:rsid w:val="00566815"/>
    <w:rsid w:val="00566B6B"/>
    <w:rsid w:val="00566ED7"/>
    <w:rsid w:val="00566F51"/>
    <w:rsid w:val="00566FB0"/>
    <w:rsid w:val="005670B3"/>
    <w:rsid w:val="00567109"/>
    <w:rsid w:val="005674A0"/>
    <w:rsid w:val="00567545"/>
    <w:rsid w:val="00567582"/>
    <w:rsid w:val="00567588"/>
    <w:rsid w:val="00567615"/>
    <w:rsid w:val="00567666"/>
    <w:rsid w:val="0056774C"/>
    <w:rsid w:val="00567783"/>
    <w:rsid w:val="00567883"/>
    <w:rsid w:val="005678A4"/>
    <w:rsid w:val="005678D7"/>
    <w:rsid w:val="00567992"/>
    <w:rsid w:val="00567A34"/>
    <w:rsid w:val="00567C3C"/>
    <w:rsid w:val="00567F08"/>
    <w:rsid w:val="00567FE1"/>
    <w:rsid w:val="00570020"/>
    <w:rsid w:val="00570056"/>
    <w:rsid w:val="00570126"/>
    <w:rsid w:val="0057014C"/>
    <w:rsid w:val="005702F8"/>
    <w:rsid w:val="005703E7"/>
    <w:rsid w:val="005703F0"/>
    <w:rsid w:val="00570557"/>
    <w:rsid w:val="005705A1"/>
    <w:rsid w:val="00570A1A"/>
    <w:rsid w:val="00570B5C"/>
    <w:rsid w:val="00570C53"/>
    <w:rsid w:val="00570DD9"/>
    <w:rsid w:val="00570DDC"/>
    <w:rsid w:val="00570EE8"/>
    <w:rsid w:val="005710A4"/>
    <w:rsid w:val="00571113"/>
    <w:rsid w:val="0057111E"/>
    <w:rsid w:val="0057117A"/>
    <w:rsid w:val="00571231"/>
    <w:rsid w:val="00571238"/>
    <w:rsid w:val="0057133D"/>
    <w:rsid w:val="005714EA"/>
    <w:rsid w:val="00571767"/>
    <w:rsid w:val="005717B0"/>
    <w:rsid w:val="00571827"/>
    <w:rsid w:val="005718C3"/>
    <w:rsid w:val="005719A6"/>
    <w:rsid w:val="00571DD0"/>
    <w:rsid w:val="00571E44"/>
    <w:rsid w:val="00571F46"/>
    <w:rsid w:val="00572028"/>
    <w:rsid w:val="0057210A"/>
    <w:rsid w:val="0057211B"/>
    <w:rsid w:val="005721CB"/>
    <w:rsid w:val="005721FA"/>
    <w:rsid w:val="0057240F"/>
    <w:rsid w:val="00572748"/>
    <w:rsid w:val="0057277C"/>
    <w:rsid w:val="00572863"/>
    <w:rsid w:val="00572864"/>
    <w:rsid w:val="005728D5"/>
    <w:rsid w:val="005729C2"/>
    <w:rsid w:val="00572D0B"/>
    <w:rsid w:val="00572DE9"/>
    <w:rsid w:val="00572E87"/>
    <w:rsid w:val="0057316A"/>
    <w:rsid w:val="0057359C"/>
    <w:rsid w:val="0057375A"/>
    <w:rsid w:val="00573933"/>
    <w:rsid w:val="0057395A"/>
    <w:rsid w:val="00573BD5"/>
    <w:rsid w:val="00573E61"/>
    <w:rsid w:val="00573E64"/>
    <w:rsid w:val="00573E8B"/>
    <w:rsid w:val="00573ED0"/>
    <w:rsid w:val="00573EDF"/>
    <w:rsid w:val="00573EEB"/>
    <w:rsid w:val="00573F88"/>
    <w:rsid w:val="0057403E"/>
    <w:rsid w:val="0057411B"/>
    <w:rsid w:val="0057425F"/>
    <w:rsid w:val="0057432E"/>
    <w:rsid w:val="00574362"/>
    <w:rsid w:val="00574525"/>
    <w:rsid w:val="00574560"/>
    <w:rsid w:val="0057456F"/>
    <w:rsid w:val="00574677"/>
    <w:rsid w:val="005746CB"/>
    <w:rsid w:val="005746FB"/>
    <w:rsid w:val="00574778"/>
    <w:rsid w:val="00574850"/>
    <w:rsid w:val="0057498F"/>
    <w:rsid w:val="00574A22"/>
    <w:rsid w:val="00574B06"/>
    <w:rsid w:val="00574DE9"/>
    <w:rsid w:val="00574EC4"/>
    <w:rsid w:val="00574EC8"/>
    <w:rsid w:val="00575094"/>
    <w:rsid w:val="005750DB"/>
    <w:rsid w:val="005752E8"/>
    <w:rsid w:val="00575356"/>
    <w:rsid w:val="005758C7"/>
    <w:rsid w:val="00575972"/>
    <w:rsid w:val="00575C76"/>
    <w:rsid w:val="00575DF4"/>
    <w:rsid w:val="00575E49"/>
    <w:rsid w:val="00575E53"/>
    <w:rsid w:val="00575E69"/>
    <w:rsid w:val="00575E74"/>
    <w:rsid w:val="00575FBF"/>
    <w:rsid w:val="00576048"/>
    <w:rsid w:val="005760AF"/>
    <w:rsid w:val="005762B2"/>
    <w:rsid w:val="00576420"/>
    <w:rsid w:val="00576515"/>
    <w:rsid w:val="00576686"/>
    <w:rsid w:val="005766D4"/>
    <w:rsid w:val="00576797"/>
    <w:rsid w:val="005767CF"/>
    <w:rsid w:val="00576978"/>
    <w:rsid w:val="005769E5"/>
    <w:rsid w:val="00576B21"/>
    <w:rsid w:val="00576F3B"/>
    <w:rsid w:val="0057705B"/>
    <w:rsid w:val="0057709E"/>
    <w:rsid w:val="00577295"/>
    <w:rsid w:val="005772A2"/>
    <w:rsid w:val="005772C8"/>
    <w:rsid w:val="00577372"/>
    <w:rsid w:val="005773D3"/>
    <w:rsid w:val="0057750A"/>
    <w:rsid w:val="0057765D"/>
    <w:rsid w:val="0057768F"/>
    <w:rsid w:val="0057779A"/>
    <w:rsid w:val="005777DF"/>
    <w:rsid w:val="005777F3"/>
    <w:rsid w:val="005777FC"/>
    <w:rsid w:val="005778CE"/>
    <w:rsid w:val="005779F1"/>
    <w:rsid w:val="00577AE5"/>
    <w:rsid w:val="00577BF1"/>
    <w:rsid w:val="00577C66"/>
    <w:rsid w:val="00577CFD"/>
    <w:rsid w:val="0058003A"/>
    <w:rsid w:val="00580137"/>
    <w:rsid w:val="005801C1"/>
    <w:rsid w:val="00580238"/>
    <w:rsid w:val="0058042A"/>
    <w:rsid w:val="005805BF"/>
    <w:rsid w:val="0058068A"/>
    <w:rsid w:val="0058082A"/>
    <w:rsid w:val="005808EB"/>
    <w:rsid w:val="0058099C"/>
    <w:rsid w:val="00580ABB"/>
    <w:rsid w:val="00580D37"/>
    <w:rsid w:val="00580DF9"/>
    <w:rsid w:val="00581004"/>
    <w:rsid w:val="005810FF"/>
    <w:rsid w:val="0058137A"/>
    <w:rsid w:val="005817AE"/>
    <w:rsid w:val="00581A60"/>
    <w:rsid w:val="00581A75"/>
    <w:rsid w:val="00581B2E"/>
    <w:rsid w:val="00581B7A"/>
    <w:rsid w:val="00581F26"/>
    <w:rsid w:val="00581FA0"/>
    <w:rsid w:val="00581FFC"/>
    <w:rsid w:val="00582054"/>
    <w:rsid w:val="005823D0"/>
    <w:rsid w:val="0058257B"/>
    <w:rsid w:val="00582584"/>
    <w:rsid w:val="00582640"/>
    <w:rsid w:val="005826B0"/>
    <w:rsid w:val="0058280C"/>
    <w:rsid w:val="005829AF"/>
    <w:rsid w:val="00582AE7"/>
    <w:rsid w:val="00582B4B"/>
    <w:rsid w:val="00582B90"/>
    <w:rsid w:val="00582D94"/>
    <w:rsid w:val="00583140"/>
    <w:rsid w:val="005831A7"/>
    <w:rsid w:val="00583246"/>
    <w:rsid w:val="00583321"/>
    <w:rsid w:val="0058341E"/>
    <w:rsid w:val="00583648"/>
    <w:rsid w:val="00583907"/>
    <w:rsid w:val="005839CA"/>
    <w:rsid w:val="00583A97"/>
    <w:rsid w:val="00583B99"/>
    <w:rsid w:val="00583BB1"/>
    <w:rsid w:val="00583BDB"/>
    <w:rsid w:val="00583D99"/>
    <w:rsid w:val="00583FA2"/>
    <w:rsid w:val="00583FDB"/>
    <w:rsid w:val="00584154"/>
    <w:rsid w:val="00584381"/>
    <w:rsid w:val="00584578"/>
    <w:rsid w:val="00584651"/>
    <w:rsid w:val="00584848"/>
    <w:rsid w:val="00584883"/>
    <w:rsid w:val="00584934"/>
    <w:rsid w:val="00584992"/>
    <w:rsid w:val="00584AF4"/>
    <w:rsid w:val="00584C32"/>
    <w:rsid w:val="00584CA7"/>
    <w:rsid w:val="00584DAB"/>
    <w:rsid w:val="00584E4D"/>
    <w:rsid w:val="00584F3A"/>
    <w:rsid w:val="00585260"/>
    <w:rsid w:val="005853AB"/>
    <w:rsid w:val="00585748"/>
    <w:rsid w:val="0058581F"/>
    <w:rsid w:val="00585910"/>
    <w:rsid w:val="005859C5"/>
    <w:rsid w:val="00585C64"/>
    <w:rsid w:val="00585C79"/>
    <w:rsid w:val="00585CFA"/>
    <w:rsid w:val="00585EDF"/>
    <w:rsid w:val="00585F27"/>
    <w:rsid w:val="00585F3B"/>
    <w:rsid w:val="00586144"/>
    <w:rsid w:val="00586299"/>
    <w:rsid w:val="00586337"/>
    <w:rsid w:val="00586369"/>
    <w:rsid w:val="0058666C"/>
    <w:rsid w:val="0058676A"/>
    <w:rsid w:val="00586837"/>
    <w:rsid w:val="00586ADE"/>
    <w:rsid w:val="00586AF8"/>
    <w:rsid w:val="00586B8B"/>
    <w:rsid w:val="00586BFD"/>
    <w:rsid w:val="00586C36"/>
    <w:rsid w:val="00586EC1"/>
    <w:rsid w:val="00586F6A"/>
    <w:rsid w:val="00586FDA"/>
    <w:rsid w:val="00587075"/>
    <w:rsid w:val="005870B0"/>
    <w:rsid w:val="005870E3"/>
    <w:rsid w:val="00587275"/>
    <w:rsid w:val="00587303"/>
    <w:rsid w:val="0058732C"/>
    <w:rsid w:val="0058749E"/>
    <w:rsid w:val="005874D2"/>
    <w:rsid w:val="00587785"/>
    <w:rsid w:val="0058788D"/>
    <w:rsid w:val="00587B90"/>
    <w:rsid w:val="00587C56"/>
    <w:rsid w:val="00587C68"/>
    <w:rsid w:val="00587D75"/>
    <w:rsid w:val="00587D87"/>
    <w:rsid w:val="00587E29"/>
    <w:rsid w:val="00587E33"/>
    <w:rsid w:val="00587EA6"/>
    <w:rsid w:val="00587FE6"/>
    <w:rsid w:val="00590203"/>
    <w:rsid w:val="0059023A"/>
    <w:rsid w:val="0059024E"/>
    <w:rsid w:val="00590288"/>
    <w:rsid w:val="00590456"/>
    <w:rsid w:val="00590492"/>
    <w:rsid w:val="005904C2"/>
    <w:rsid w:val="005906F0"/>
    <w:rsid w:val="00590817"/>
    <w:rsid w:val="00590B41"/>
    <w:rsid w:val="00590C03"/>
    <w:rsid w:val="00590EE9"/>
    <w:rsid w:val="005911DE"/>
    <w:rsid w:val="00591219"/>
    <w:rsid w:val="00591365"/>
    <w:rsid w:val="0059153F"/>
    <w:rsid w:val="00591698"/>
    <w:rsid w:val="005917BF"/>
    <w:rsid w:val="005917F1"/>
    <w:rsid w:val="00591914"/>
    <w:rsid w:val="005919A6"/>
    <w:rsid w:val="00591A43"/>
    <w:rsid w:val="00591A98"/>
    <w:rsid w:val="00591AB3"/>
    <w:rsid w:val="00591DA9"/>
    <w:rsid w:val="00591E0B"/>
    <w:rsid w:val="00591E4D"/>
    <w:rsid w:val="005920FD"/>
    <w:rsid w:val="005923AE"/>
    <w:rsid w:val="00592485"/>
    <w:rsid w:val="00592633"/>
    <w:rsid w:val="0059269D"/>
    <w:rsid w:val="0059284D"/>
    <w:rsid w:val="005928A9"/>
    <w:rsid w:val="0059292B"/>
    <w:rsid w:val="0059293C"/>
    <w:rsid w:val="00592A02"/>
    <w:rsid w:val="00592A6A"/>
    <w:rsid w:val="00592DEA"/>
    <w:rsid w:val="00593168"/>
    <w:rsid w:val="005932C5"/>
    <w:rsid w:val="00593629"/>
    <w:rsid w:val="00593870"/>
    <w:rsid w:val="005938A0"/>
    <w:rsid w:val="00593AEF"/>
    <w:rsid w:val="00593B87"/>
    <w:rsid w:val="00593C1C"/>
    <w:rsid w:val="00593C6A"/>
    <w:rsid w:val="00593E6A"/>
    <w:rsid w:val="00593E94"/>
    <w:rsid w:val="0059405F"/>
    <w:rsid w:val="00594068"/>
    <w:rsid w:val="005940CC"/>
    <w:rsid w:val="00594143"/>
    <w:rsid w:val="00594193"/>
    <w:rsid w:val="005941C1"/>
    <w:rsid w:val="00594268"/>
    <w:rsid w:val="005942A2"/>
    <w:rsid w:val="00594414"/>
    <w:rsid w:val="00594543"/>
    <w:rsid w:val="00594564"/>
    <w:rsid w:val="005945E2"/>
    <w:rsid w:val="00594612"/>
    <w:rsid w:val="00594617"/>
    <w:rsid w:val="0059494E"/>
    <w:rsid w:val="0059498E"/>
    <w:rsid w:val="00594CA9"/>
    <w:rsid w:val="00594DBC"/>
    <w:rsid w:val="00594E7D"/>
    <w:rsid w:val="0059518F"/>
    <w:rsid w:val="005952FE"/>
    <w:rsid w:val="005954DB"/>
    <w:rsid w:val="00595719"/>
    <w:rsid w:val="00595873"/>
    <w:rsid w:val="005958F5"/>
    <w:rsid w:val="00595A98"/>
    <w:rsid w:val="00595A9D"/>
    <w:rsid w:val="00595B66"/>
    <w:rsid w:val="00595C37"/>
    <w:rsid w:val="00595CDD"/>
    <w:rsid w:val="00595F0A"/>
    <w:rsid w:val="00596178"/>
    <w:rsid w:val="00596420"/>
    <w:rsid w:val="005964BB"/>
    <w:rsid w:val="005964EF"/>
    <w:rsid w:val="0059660B"/>
    <w:rsid w:val="005966B6"/>
    <w:rsid w:val="005967A4"/>
    <w:rsid w:val="005967D9"/>
    <w:rsid w:val="005969CE"/>
    <w:rsid w:val="00596A5A"/>
    <w:rsid w:val="00596A70"/>
    <w:rsid w:val="00596BBE"/>
    <w:rsid w:val="00596BD3"/>
    <w:rsid w:val="00596BE7"/>
    <w:rsid w:val="00596BFA"/>
    <w:rsid w:val="00596C3E"/>
    <w:rsid w:val="00596CF2"/>
    <w:rsid w:val="00596ECA"/>
    <w:rsid w:val="0059722E"/>
    <w:rsid w:val="005973B5"/>
    <w:rsid w:val="00597489"/>
    <w:rsid w:val="005975A3"/>
    <w:rsid w:val="005976A2"/>
    <w:rsid w:val="005977AE"/>
    <w:rsid w:val="005977DD"/>
    <w:rsid w:val="00597ACB"/>
    <w:rsid w:val="005983D9"/>
    <w:rsid w:val="005A027B"/>
    <w:rsid w:val="005A030A"/>
    <w:rsid w:val="005A0343"/>
    <w:rsid w:val="005A03BF"/>
    <w:rsid w:val="005A03DA"/>
    <w:rsid w:val="005A0458"/>
    <w:rsid w:val="005A04BD"/>
    <w:rsid w:val="005A054A"/>
    <w:rsid w:val="005A06AA"/>
    <w:rsid w:val="005A082B"/>
    <w:rsid w:val="005A0893"/>
    <w:rsid w:val="005A089A"/>
    <w:rsid w:val="005A089D"/>
    <w:rsid w:val="005A09B7"/>
    <w:rsid w:val="005A0A3F"/>
    <w:rsid w:val="005A0B2E"/>
    <w:rsid w:val="005A0F9A"/>
    <w:rsid w:val="005A114F"/>
    <w:rsid w:val="005A11A1"/>
    <w:rsid w:val="005A122E"/>
    <w:rsid w:val="005A1387"/>
    <w:rsid w:val="005A13AB"/>
    <w:rsid w:val="005A13F8"/>
    <w:rsid w:val="005A1428"/>
    <w:rsid w:val="005A147F"/>
    <w:rsid w:val="005A14B3"/>
    <w:rsid w:val="005A1749"/>
    <w:rsid w:val="005A17E6"/>
    <w:rsid w:val="005A1811"/>
    <w:rsid w:val="005A1930"/>
    <w:rsid w:val="005A1956"/>
    <w:rsid w:val="005A1976"/>
    <w:rsid w:val="005A197B"/>
    <w:rsid w:val="005A1B60"/>
    <w:rsid w:val="005A1B63"/>
    <w:rsid w:val="005A1BCC"/>
    <w:rsid w:val="005A1C8F"/>
    <w:rsid w:val="005A1D3F"/>
    <w:rsid w:val="005A1F49"/>
    <w:rsid w:val="005A216C"/>
    <w:rsid w:val="005A21DE"/>
    <w:rsid w:val="005A2249"/>
    <w:rsid w:val="005A2364"/>
    <w:rsid w:val="005A2480"/>
    <w:rsid w:val="005A2527"/>
    <w:rsid w:val="005A2878"/>
    <w:rsid w:val="005A2922"/>
    <w:rsid w:val="005A2B2C"/>
    <w:rsid w:val="005A2D6B"/>
    <w:rsid w:val="005A311D"/>
    <w:rsid w:val="005A3252"/>
    <w:rsid w:val="005A32CC"/>
    <w:rsid w:val="005A339B"/>
    <w:rsid w:val="005A33F7"/>
    <w:rsid w:val="005A35B7"/>
    <w:rsid w:val="005A3603"/>
    <w:rsid w:val="005A3628"/>
    <w:rsid w:val="005A3901"/>
    <w:rsid w:val="005A392D"/>
    <w:rsid w:val="005A394D"/>
    <w:rsid w:val="005A39A7"/>
    <w:rsid w:val="005A3A49"/>
    <w:rsid w:val="005A3EAC"/>
    <w:rsid w:val="005A3F16"/>
    <w:rsid w:val="005A40CF"/>
    <w:rsid w:val="005A4110"/>
    <w:rsid w:val="005A4813"/>
    <w:rsid w:val="005A4982"/>
    <w:rsid w:val="005A4A51"/>
    <w:rsid w:val="005A4A9C"/>
    <w:rsid w:val="005A4BAE"/>
    <w:rsid w:val="005A4BEC"/>
    <w:rsid w:val="005A4C74"/>
    <w:rsid w:val="005A4C8C"/>
    <w:rsid w:val="005A4CF0"/>
    <w:rsid w:val="005A4D13"/>
    <w:rsid w:val="005A4D39"/>
    <w:rsid w:val="005A4F39"/>
    <w:rsid w:val="005A5325"/>
    <w:rsid w:val="005A5353"/>
    <w:rsid w:val="005A552C"/>
    <w:rsid w:val="005A5551"/>
    <w:rsid w:val="005A55B9"/>
    <w:rsid w:val="005A5737"/>
    <w:rsid w:val="005A574D"/>
    <w:rsid w:val="005A5863"/>
    <w:rsid w:val="005A5B5C"/>
    <w:rsid w:val="005A5BE7"/>
    <w:rsid w:val="005A5FC6"/>
    <w:rsid w:val="005A5FF1"/>
    <w:rsid w:val="005A5FF7"/>
    <w:rsid w:val="005A6129"/>
    <w:rsid w:val="005A616C"/>
    <w:rsid w:val="005A6288"/>
    <w:rsid w:val="005A635A"/>
    <w:rsid w:val="005A63CC"/>
    <w:rsid w:val="005A6451"/>
    <w:rsid w:val="005A64D3"/>
    <w:rsid w:val="005A6504"/>
    <w:rsid w:val="005A65C4"/>
    <w:rsid w:val="005A6779"/>
    <w:rsid w:val="005A67DE"/>
    <w:rsid w:val="005A6888"/>
    <w:rsid w:val="005A6B2B"/>
    <w:rsid w:val="005A6C67"/>
    <w:rsid w:val="005A6DC3"/>
    <w:rsid w:val="005A6E93"/>
    <w:rsid w:val="005A7071"/>
    <w:rsid w:val="005A707A"/>
    <w:rsid w:val="005A727D"/>
    <w:rsid w:val="005A72A9"/>
    <w:rsid w:val="005A7340"/>
    <w:rsid w:val="005A7432"/>
    <w:rsid w:val="005A7577"/>
    <w:rsid w:val="005A7A5E"/>
    <w:rsid w:val="005A7BFC"/>
    <w:rsid w:val="005A7E28"/>
    <w:rsid w:val="005A7F93"/>
    <w:rsid w:val="005B02EA"/>
    <w:rsid w:val="005B0647"/>
    <w:rsid w:val="005B07EA"/>
    <w:rsid w:val="005B081D"/>
    <w:rsid w:val="005B085F"/>
    <w:rsid w:val="005B0953"/>
    <w:rsid w:val="005B0A0D"/>
    <w:rsid w:val="005B0A44"/>
    <w:rsid w:val="005B0B20"/>
    <w:rsid w:val="005B0BBF"/>
    <w:rsid w:val="005B0BD6"/>
    <w:rsid w:val="005B0BFB"/>
    <w:rsid w:val="005B0D0A"/>
    <w:rsid w:val="005B0D43"/>
    <w:rsid w:val="005B0E0A"/>
    <w:rsid w:val="005B0EFB"/>
    <w:rsid w:val="005B0F3E"/>
    <w:rsid w:val="005B1060"/>
    <w:rsid w:val="005B1223"/>
    <w:rsid w:val="005B123B"/>
    <w:rsid w:val="005B12B9"/>
    <w:rsid w:val="005B13A2"/>
    <w:rsid w:val="005B1754"/>
    <w:rsid w:val="005B176A"/>
    <w:rsid w:val="005B17C1"/>
    <w:rsid w:val="005B184D"/>
    <w:rsid w:val="005B19B8"/>
    <w:rsid w:val="005B1AC4"/>
    <w:rsid w:val="005B1AFB"/>
    <w:rsid w:val="005B1C92"/>
    <w:rsid w:val="005B1CB9"/>
    <w:rsid w:val="005B217D"/>
    <w:rsid w:val="005B219E"/>
    <w:rsid w:val="005B23FD"/>
    <w:rsid w:val="005B2628"/>
    <w:rsid w:val="005B29F6"/>
    <w:rsid w:val="005B2BED"/>
    <w:rsid w:val="005B2BFC"/>
    <w:rsid w:val="005B2D23"/>
    <w:rsid w:val="005B2EC6"/>
    <w:rsid w:val="005B30D1"/>
    <w:rsid w:val="005B3201"/>
    <w:rsid w:val="005B3371"/>
    <w:rsid w:val="005B337A"/>
    <w:rsid w:val="005B337C"/>
    <w:rsid w:val="005B33E0"/>
    <w:rsid w:val="005B33E1"/>
    <w:rsid w:val="005B35FE"/>
    <w:rsid w:val="005B3737"/>
    <w:rsid w:val="005B380D"/>
    <w:rsid w:val="005B3A42"/>
    <w:rsid w:val="005B3E44"/>
    <w:rsid w:val="005B3FFB"/>
    <w:rsid w:val="005B404A"/>
    <w:rsid w:val="005B4183"/>
    <w:rsid w:val="005B4262"/>
    <w:rsid w:val="005B43C0"/>
    <w:rsid w:val="005B43CC"/>
    <w:rsid w:val="005B4475"/>
    <w:rsid w:val="005B4652"/>
    <w:rsid w:val="005B4945"/>
    <w:rsid w:val="005B4AB2"/>
    <w:rsid w:val="005B4B3B"/>
    <w:rsid w:val="005B4D78"/>
    <w:rsid w:val="005B4EDB"/>
    <w:rsid w:val="005B4FB8"/>
    <w:rsid w:val="005B503B"/>
    <w:rsid w:val="005B5053"/>
    <w:rsid w:val="005B5152"/>
    <w:rsid w:val="005B528C"/>
    <w:rsid w:val="005B52C0"/>
    <w:rsid w:val="005B5366"/>
    <w:rsid w:val="005B5472"/>
    <w:rsid w:val="005B54ED"/>
    <w:rsid w:val="005B561F"/>
    <w:rsid w:val="005B56D6"/>
    <w:rsid w:val="005B58CF"/>
    <w:rsid w:val="005B5948"/>
    <w:rsid w:val="005B5A9E"/>
    <w:rsid w:val="005B5BDB"/>
    <w:rsid w:val="005B5D40"/>
    <w:rsid w:val="005B5DBF"/>
    <w:rsid w:val="005B5EFC"/>
    <w:rsid w:val="005B5F8F"/>
    <w:rsid w:val="005B606A"/>
    <w:rsid w:val="005B62F1"/>
    <w:rsid w:val="005B6390"/>
    <w:rsid w:val="005B6412"/>
    <w:rsid w:val="005B668A"/>
    <w:rsid w:val="005B6698"/>
    <w:rsid w:val="005B68A7"/>
    <w:rsid w:val="005B6A1A"/>
    <w:rsid w:val="005B6A65"/>
    <w:rsid w:val="005B6AC3"/>
    <w:rsid w:val="005B6EAF"/>
    <w:rsid w:val="005B6EBD"/>
    <w:rsid w:val="005B6EBE"/>
    <w:rsid w:val="005B6FC7"/>
    <w:rsid w:val="005B7097"/>
    <w:rsid w:val="005B7133"/>
    <w:rsid w:val="005B71CB"/>
    <w:rsid w:val="005B7401"/>
    <w:rsid w:val="005B74D6"/>
    <w:rsid w:val="005B7514"/>
    <w:rsid w:val="005B759A"/>
    <w:rsid w:val="005B774D"/>
    <w:rsid w:val="005B7CB4"/>
    <w:rsid w:val="005B7F31"/>
    <w:rsid w:val="005B7F5F"/>
    <w:rsid w:val="005C01CE"/>
    <w:rsid w:val="005C055E"/>
    <w:rsid w:val="005C084C"/>
    <w:rsid w:val="005C0887"/>
    <w:rsid w:val="005C0AD0"/>
    <w:rsid w:val="005C0C81"/>
    <w:rsid w:val="005C0CAC"/>
    <w:rsid w:val="005C0D7A"/>
    <w:rsid w:val="005C0E64"/>
    <w:rsid w:val="005C0FA1"/>
    <w:rsid w:val="005C11B1"/>
    <w:rsid w:val="005C11BF"/>
    <w:rsid w:val="005C1338"/>
    <w:rsid w:val="005C139B"/>
    <w:rsid w:val="005C1535"/>
    <w:rsid w:val="005C1615"/>
    <w:rsid w:val="005C1777"/>
    <w:rsid w:val="005C17AE"/>
    <w:rsid w:val="005C17D4"/>
    <w:rsid w:val="005C184D"/>
    <w:rsid w:val="005C187F"/>
    <w:rsid w:val="005C1A6C"/>
    <w:rsid w:val="005C1B0F"/>
    <w:rsid w:val="005C1B9E"/>
    <w:rsid w:val="005C1BD3"/>
    <w:rsid w:val="005C1CC8"/>
    <w:rsid w:val="005C1D98"/>
    <w:rsid w:val="005C1DA5"/>
    <w:rsid w:val="005C1DC4"/>
    <w:rsid w:val="005C1DF3"/>
    <w:rsid w:val="005C1ED2"/>
    <w:rsid w:val="005C1FB7"/>
    <w:rsid w:val="005C21D8"/>
    <w:rsid w:val="005C2317"/>
    <w:rsid w:val="005C2423"/>
    <w:rsid w:val="005C2559"/>
    <w:rsid w:val="005C2615"/>
    <w:rsid w:val="005C2718"/>
    <w:rsid w:val="005C2818"/>
    <w:rsid w:val="005C2873"/>
    <w:rsid w:val="005C2A8A"/>
    <w:rsid w:val="005C2B02"/>
    <w:rsid w:val="005C2E03"/>
    <w:rsid w:val="005C2FBE"/>
    <w:rsid w:val="005C31E3"/>
    <w:rsid w:val="005C323D"/>
    <w:rsid w:val="005C32E4"/>
    <w:rsid w:val="005C3367"/>
    <w:rsid w:val="005C33BA"/>
    <w:rsid w:val="005C341F"/>
    <w:rsid w:val="005C3447"/>
    <w:rsid w:val="005C34FC"/>
    <w:rsid w:val="005C36A5"/>
    <w:rsid w:val="005C37D1"/>
    <w:rsid w:val="005C37FB"/>
    <w:rsid w:val="005C382D"/>
    <w:rsid w:val="005C3A43"/>
    <w:rsid w:val="005C3A8B"/>
    <w:rsid w:val="005C3B2F"/>
    <w:rsid w:val="005C3B5C"/>
    <w:rsid w:val="005C3C7F"/>
    <w:rsid w:val="005C3D6A"/>
    <w:rsid w:val="005C3ED0"/>
    <w:rsid w:val="005C418B"/>
    <w:rsid w:val="005C4301"/>
    <w:rsid w:val="005C43CE"/>
    <w:rsid w:val="005C444E"/>
    <w:rsid w:val="005C4497"/>
    <w:rsid w:val="005C46B6"/>
    <w:rsid w:val="005C488F"/>
    <w:rsid w:val="005C4D0B"/>
    <w:rsid w:val="005C5143"/>
    <w:rsid w:val="005C51DE"/>
    <w:rsid w:val="005C520D"/>
    <w:rsid w:val="005C5485"/>
    <w:rsid w:val="005C559F"/>
    <w:rsid w:val="005C5639"/>
    <w:rsid w:val="005C56B0"/>
    <w:rsid w:val="005C5742"/>
    <w:rsid w:val="005C58C2"/>
    <w:rsid w:val="005C58D7"/>
    <w:rsid w:val="005C5D13"/>
    <w:rsid w:val="005C5E72"/>
    <w:rsid w:val="005C5FC2"/>
    <w:rsid w:val="005C6164"/>
    <w:rsid w:val="005C626D"/>
    <w:rsid w:val="005C626F"/>
    <w:rsid w:val="005C62DF"/>
    <w:rsid w:val="005C6344"/>
    <w:rsid w:val="005C6648"/>
    <w:rsid w:val="005C67F8"/>
    <w:rsid w:val="005C6D94"/>
    <w:rsid w:val="005C6DDF"/>
    <w:rsid w:val="005C6ED1"/>
    <w:rsid w:val="005C72EB"/>
    <w:rsid w:val="005C7330"/>
    <w:rsid w:val="005C7348"/>
    <w:rsid w:val="005C73CD"/>
    <w:rsid w:val="005C743C"/>
    <w:rsid w:val="005C7472"/>
    <w:rsid w:val="005C760E"/>
    <w:rsid w:val="005C766C"/>
    <w:rsid w:val="005C7A08"/>
    <w:rsid w:val="005C7E9E"/>
    <w:rsid w:val="005C7F4A"/>
    <w:rsid w:val="005D0087"/>
    <w:rsid w:val="005D0430"/>
    <w:rsid w:val="005D054F"/>
    <w:rsid w:val="005D07E0"/>
    <w:rsid w:val="005D082B"/>
    <w:rsid w:val="005D0858"/>
    <w:rsid w:val="005D09D7"/>
    <w:rsid w:val="005D0A83"/>
    <w:rsid w:val="005D0B33"/>
    <w:rsid w:val="005D0B37"/>
    <w:rsid w:val="005D0CE0"/>
    <w:rsid w:val="005D0D29"/>
    <w:rsid w:val="005D0D5E"/>
    <w:rsid w:val="005D10A5"/>
    <w:rsid w:val="005D10D4"/>
    <w:rsid w:val="005D119C"/>
    <w:rsid w:val="005D1726"/>
    <w:rsid w:val="005D18C9"/>
    <w:rsid w:val="005D18EF"/>
    <w:rsid w:val="005D190A"/>
    <w:rsid w:val="005D1926"/>
    <w:rsid w:val="005D1955"/>
    <w:rsid w:val="005D1B72"/>
    <w:rsid w:val="005D1DFD"/>
    <w:rsid w:val="005D1E41"/>
    <w:rsid w:val="005D20D9"/>
    <w:rsid w:val="005D2155"/>
    <w:rsid w:val="005D2355"/>
    <w:rsid w:val="005D2471"/>
    <w:rsid w:val="005D24D7"/>
    <w:rsid w:val="005D25A3"/>
    <w:rsid w:val="005D2720"/>
    <w:rsid w:val="005D2779"/>
    <w:rsid w:val="005D28B6"/>
    <w:rsid w:val="005D28C2"/>
    <w:rsid w:val="005D2A4B"/>
    <w:rsid w:val="005D2C96"/>
    <w:rsid w:val="005D2D80"/>
    <w:rsid w:val="005D2EB4"/>
    <w:rsid w:val="005D2F23"/>
    <w:rsid w:val="005D2FF9"/>
    <w:rsid w:val="005D317D"/>
    <w:rsid w:val="005D3218"/>
    <w:rsid w:val="005D322F"/>
    <w:rsid w:val="005D3242"/>
    <w:rsid w:val="005D328D"/>
    <w:rsid w:val="005D32B4"/>
    <w:rsid w:val="005D3347"/>
    <w:rsid w:val="005D36A0"/>
    <w:rsid w:val="005D36CA"/>
    <w:rsid w:val="005D371A"/>
    <w:rsid w:val="005D375B"/>
    <w:rsid w:val="005D3790"/>
    <w:rsid w:val="005D37D7"/>
    <w:rsid w:val="005D37E0"/>
    <w:rsid w:val="005D398F"/>
    <w:rsid w:val="005D3A18"/>
    <w:rsid w:val="005D3A6D"/>
    <w:rsid w:val="005D3A83"/>
    <w:rsid w:val="005D3A8A"/>
    <w:rsid w:val="005D3C36"/>
    <w:rsid w:val="005D3D4D"/>
    <w:rsid w:val="005D3DAA"/>
    <w:rsid w:val="005D4017"/>
    <w:rsid w:val="005D4172"/>
    <w:rsid w:val="005D44A7"/>
    <w:rsid w:val="005D46B2"/>
    <w:rsid w:val="005D4802"/>
    <w:rsid w:val="005D4804"/>
    <w:rsid w:val="005D480D"/>
    <w:rsid w:val="005D4890"/>
    <w:rsid w:val="005D4AB3"/>
    <w:rsid w:val="005D4D8B"/>
    <w:rsid w:val="005D4DAE"/>
    <w:rsid w:val="005D4E38"/>
    <w:rsid w:val="005D4F33"/>
    <w:rsid w:val="005D4F9D"/>
    <w:rsid w:val="005D5131"/>
    <w:rsid w:val="005D5186"/>
    <w:rsid w:val="005D52EB"/>
    <w:rsid w:val="005D53A7"/>
    <w:rsid w:val="005D54A3"/>
    <w:rsid w:val="005D5631"/>
    <w:rsid w:val="005D5791"/>
    <w:rsid w:val="005D5C33"/>
    <w:rsid w:val="005D5C74"/>
    <w:rsid w:val="005D5D91"/>
    <w:rsid w:val="005D5DB0"/>
    <w:rsid w:val="005D5F3B"/>
    <w:rsid w:val="005D60D1"/>
    <w:rsid w:val="005D610C"/>
    <w:rsid w:val="005D6174"/>
    <w:rsid w:val="005D61CF"/>
    <w:rsid w:val="005D6498"/>
    <w:rsid w:val="005D657F"/>
    <w:rsid w:val="005D665A"/>
    <w:rsid w:val="005D68FC"/>
    <w:rsid w:val="005D6AC0"/>
    <w:rsid w:val="005D6B80"/>
    <w:rsid w:val="005D6C31"/>
    <w:rsid w:val="005D6C51"/>
    <w:rsid w:val="005D6D48"/>
    <w:rsid w:val="005D6DA8"/>
    <w:rsid w:val="005D6ED2"/>
    <w:rsid w:val="005D6F42"/>
    <w:rsid w:val="005D6F64"/>
    <w:rsid w:val="005D70DD"/>
    <w:rsid w:val="005D71B9"/>
    <w:rsid w:val="005D71E5"/>
    <w:rsid w:val="005D7280"/>
    <w:rsid w:val="005D73D9"/>
    <w:rsid w:val="005D74AE"/>
    <w:rsid w:val="005D74E7"/>
    <w:rsid w:val="005D7801"/>
    <w:rsid w:val="005D7827"/>
    <w:rsid w:val="005D78A9"/>
    <w:rsid w:val="005D7948"/>
    <w:rsid w:val="005D7AFD"/>
    <w:rsid w:val="005D7B47"/>
    <w:rsid w:val="005D7B8A"/>
    <w:rsid w:val="005D7C7A"/>
    <w:rsid w:val="005D7F7B"/>
    <w:rsid w:val="005D7F95"/>
    <w:rsid w:val="005E0077"/>
    <w:rsid w:val="005E0080"/>
    <w:rsid w:val="005E00AD"/>
    <w:rsid w:val="005E01EA"/>
    <w:rsid w:val="005E0442"/>
    <w:rsid w:val="005E052E"/>
    <w:rsid w:val="005E05E7"/>
    <w:rsid w:val="005E089C"/>
    <w:rsid w:val="005E0964"/>
    <w:rsid w:val="005E0A79"/>
    <w:rsid w:val="005E0A86"/>
    <w:rsid w:val="005E0AF4"/>
    <w:rsid w:val="005E0C4E"/>
    <w:rsid w:val="005E0D32"/>
    <w:rsid w:val="005E0E4B"/>
    <w:rsid w:val="005E135F"/>
    <w:rsid w:val="005E1384"/>
    <w:rsid w:val="005E139D"/>
    <w:rsid w:val="005E14DD"/>
    <w:rsid w:val="005E1586"/>
    <w:rsid w:val="005E15E5"/>
    <w:rsid w:val="005E16FB"/>
    <w:rsid w:val="005E1876"/>
    <w:rsid w:val="005E18A8"/>
    <w:rsid w:val="005E197E"/>
    <w:rsid w:val="005E19A2"/>
    <w:rsid w:val="005E1B31"/>
    <w:rsid w:val="005E1B6D"/>
    <w:rsid w:val="005E1C6E"/>
    <w:rsid w:val="005E1D97"/>
    <w:rsid w:val="005E1FA8"/>
    <w:rsid w:val="005E1FC4"/>
    <w:rsid w:val="005E2078"/>
    <w:rsid w:val="005E20D4"/>
    <w:rsid w:val="005E24EB"/>
    <w:rsid w:val="005E2556"/>
    <w:rsid w:val="005E2658"/>
    <w:rsid w:val="005E2BB5"/>
    <w:rsid w:val="005E2CBC"/>
    <w:rsid w:val="005E2CC2"/>
    <w:rsid w:val="005E2F17"/>
    <w:rsid w:val="005E2F9D"/>
    <w:rsid w:val="005E3115"/>
    <w:rsid w:val="005E3199"/>
    <w:rsid w:val="005E31CF"/>
    <w:rsid w:val="005E31F8"/>
    <w:rsid w:val="005E320F"/>
    <w:rsid w:val="005E3304"/>
    <w:rsid w:val="005E34FE"/>
    <w:rsid w:val="005E352A"/>
    <w:rsid w:val="005E35F4"/>
    <w:rsid w:val="005E37F0"/>
    <w:rsid w:val="005E3BCD"/>
    <w:rsid w:val="005E3CF2"/>
    <w:rsid w:val="005E3D7D"/>
    <w:rsid w:val="005E3DD1"/>
    <w:rsid w:val="005E3E9B"/>
    <w:rsid w:val="005E43C2"/>
    <w:rsid w:val="005E43FB"/>
    <w:rsid w:val="005E4465"/>
    <w:rsid w:val="005E4A87"/>
    <w:rsid w:val="005E4DA5"/>
    <w:rsid w:val="005E4EE8"/>
    <w:rsid w:val="005E503E"/>
    <w:rsid w:val="005E5221"/>
    <w:rsid w:val="005E52B3"/>
    <w:rsid w:val="005E54CD"/>
    <w:rsid w:val="005E550A"/>
    <w:rsid w:val="005E5539"/>
    <w:rsid w:val="005E5649"/>
    <w:rsid w:val="005E59C7"/>
    <w:rsid w:val="005E5D96"/>
    <w:rsid w:val="005E5E7B"/>
    <w:rsid w:val="005E6095"/>
    <w:rsid w:val="005E6153"/>
    <w:rsid w:val="005E6207"/>
    <w:rsid w:val="005E654C"/>
    <w:rsid w:val="005E66BF"/>
    <w:rsid w:val="005E685E"/>
    <w:rsid w:val="005E6A3F"/>
    <w:rsid w:val="005E6AC4"/>
    <w:rsid w:val="005E6DB8"/>
    <w:rsid w:val="005E7053"/>
    <w:rsid w:val="005E71EA"/>
    <w:rsid w:val="005E7228"/>
    <w:rsid w:val="005E7284"/>
    <w:rsid w:val="005E72BA"/>
    <w:rsid w:val="005E72E3"/>
    <w:rsid w:val="005E756A"/>
    <w:rsid w:val="005E7601"/>
    <w:rsid w:val="005E761B"/>
    <w:rsid w:val="005E783E"/>
    <w:rsid w:val="005E7B1E"/>
    <w:rsid w:val="005E7B22"/>
    <w:rsid w:val="005E7B6C"/>
    <w:rsid w:val="005E7BAC"/>
    <w:rsid w:val="005E7E6B"/>
    <w:rsid w:val="005E7FCC"/>
    <w:rsid w:val="005E7FE1"/>
    <w:rsid w:val="005F00B3"/>
    <w:rsid w:val="005F018D"/>
    <w:rsid w:val="005F0300"/>
    <w:rsid w:val="005F03ED"/>
    <w:rsid w:val="005F0429"/>
    <w:rsid w:val="005F061A"/>
    <w:rsid w:val="005F076B"/>
    <w:rsid w:val="005F07A7"/>
    <w:rsid w:val="005F093A"/>
    <w:rsid w:val="005F0BD5"/>
    <w:rsid w:val="005F0CF3"/>
    <w:rsid w:val="005F0DB3"/>
    <w:rsid w:val="005F0E5C"/>
    <w:rsid w:val="005F0EC9"/>
    <w:rsid w:val="005F0F00"/>
    <w:rsid w:val="005F110B"/>
    <w:rsid w:val="005F1236"/>
    <w:rsid w:val="005F134E"/>
    <w:rsid w:val="005F1365"/>
    <w:rsid w:val="005F1527"/>
    <w:rsid w:val="005F1632"/>
    <w:rsid w:val="005F18CA"/>
    <w:rsid w:val="005F1952"/>
    <w:rsid w:val="005F1A9E"/>
    <w:rsid w:val="005F1B24"/>
    <w:rsid w:val="005F1C5B"/>
    <w:rsid w:val="005F1D24"/>
    <w:rsid w:val="005F20CD"/>
    <w:rsid w:val="005F229E"/>
    <w:rsid w:val="005F2335"/>
    <w:rsid w:val="005F267A"/>
    <w:rsid w:val="005F2709"/>
    <w:rsid w:val="005F279F"/>
    <w:rsid w:val="005F2A43"/>
    <w:rsid w:val="005F2B17"/>
    <w:rsid w:val="005F2BA1"/>
    <w:rsid w:val="005F2BEC"/>
    <w:rsid w:val="005F2C1F"/>
    <w:rsid w:val="005F2DDF"/>
    <w:rsid w:val="005F2E44"/>
    <w:rsid w:val="005F2F7E"/>
    <w:rsid w:val="005F3010"/>
    <w:rsid w:val="005F30B3"/>
    <w:rsid w:val="005F30FF"/>
    <w:rsid w:val="005F31A0"/>
    <w:rsid w:val="005F32A0"/>
    <w:rsid w:val="005F32F7"/>
    <w:rsid w:val="005F332D"/>
    <w:rsid w:val="005F33D5"/>
    <w:rsid w:val="005F35DB"/>
    <w:rsid w:val="005F3690"/>
    <w:rsid w:val="005F374D"/>
    <w:rsid w:val="005F374E"/>
    <w:rsid w:val="005F37A9"/>
    <w:rsid w:val="005F396C"/>
    <w:rsid w:val="005F3986"/>
    <w:rsid w:val="005F3D60"/>
    <w:rsid w:val="005F412E"/>
    <w:rsid w:val="005F4138"/>
    <w:rsid w:val="005F4161"/>
    <w:rsid w:val="005F42EF"/>
    <w:rsid w:val="005F4357"/>
    <w:rsid w:val="005F4465"/>
    <w:rsid w:val="005F4611"/>
    <w:rsid w:val="005F46F1"/>
    <w:rsid w:val="005F4781"/>
    <w:rsid w:val="005F4959"/>
    <w:rsid w:val="005F4C1F"/>
    <w:rsid w:val="005F4C57"/>
    <w:rsid w:val="005F4D3D"/>
    <w:rsid w:val="005F4D6B"/>
    <w:rsid w:val="005F4E01"/>
    <w:rsid w:val="005F4E7D"/>
    <w:rsid w:val="005F5054"/>
    <w:rsid w:val="005F50D1"/>
    <w:rsid w:val="005F5215"/>
    <w:rsid w:val="005F525D"/>
    <w:rsid w:val="005F52C1"/>
    <w:rsid w:val="005F5420"/>
    <w:rsid w:val="005F5478"/>
    <w:rsid w:val="005F548D"/>
    <w:rsid w:val="005F5675"/>
    <w:rsid w:val="005F5954"/>
    <w:rsid w:val="005F5C0E"/>
    <w:rsid w:val="005F5CBF"/>
    <w:rsid w:val="005F5F93"/>
    <w:rsid w:val="005F602A"/>
    <w:rsid w:val="005F611A"/>
    <w:rsid w:val="005F619E"/>
    <w:rsid w:val="005F61F2"/>
    <w:rsid w:val="005F6436"/>
    <w:rsid w:val="005F6502"/>
    <w:rsid w:val="005F6555"/>
    <w:rsid w:val="005F6629"/>
    <w:rsid w:val="005F6717"/>
    <w:rsid w:val="005F6774"/>
    <w:rsid w:val="005F68DB"/>
    <w:rsid w:val="005F693F"/>
    <w:rsid w:val="005F6998"/>
    <w:rsid w:val="005F6A33"/>
    <w:rsid w:val="005F6C65"/>
    <w:rsid w:val="005F6CF3"/>
    <w:rsid w:val="005F6D0F"/>
    <w:rsid w:val="005F7036"/>
    <w:rsid w:val="005F7148"/>
    <w:rsid w:val="005F7340"/>
    <w:rsid w:val="005F73A4"/>
    <w:rsid w:val="005F73A8"/>
    <w:rsid w:val="005F744D"/>
    <w:rsid w:val="005F7544"/>
    <w:rsid w:val="005F755D"/>
    <w:rsid w:val="005F7575"/>
    <w:rsid w:val="005F7581"/>
    <w:rsid w:val="005F76DB"/>
    <w:rsid w:val="005F7786"/>
    <w:rsid w:val="005F787F"/>
    <w:rsid w:val="005F7949"/>
    <w:rsid w:val="005F79AA"/>
    <w:rsid w:val="005F7A4A"/>
    <w:rsid w:val="00600319"/>
    <w:rsid w:val="0060044B"/>
    <w:rsid w:val="0060048C"/>
    <w:rsid w:val="00600579"/>
    <w:rsid w:val="006005CD"/>
    <w:rsid w:val="006006C3"/>
    <w:rsid w:val="006007F6"/>
    <w:rsid w:val="00600801"/>
    <w:rsid w:val="0060095E"/>
    <w:rsid w:val="00600C22"/>
    <w:rsid w:val="00600D70"/>
    <w:rsid w:val="00600DEE"/>
    <w:rsid w:val="00600E5B"/>
    <w:rsid w:val="00600E97"/>
    <w:rsid w:val="00600FBF"/>
    <w:rsid w:val="0060100F"/>
    <w:rsid w:val="00601149"/>
    <w:rsid w:val="006013D7"/>
    <w:rsid w:val="006014DB"/>
    <w:rsid w:val="00601587"/>
    <w:rsid w:val="00601BE9"/>
    <w:rsid w:val="00601C30"/>
    <w:rsid w:val="00601E2B"/>
    <w:rsid w:val="00601F99"/>
    <w:rsid w:val="00602079"/>
    <w:rsid w:val="0060216A"/>
    <w:rsid w:val="0060227D"/>
    <w:rsid w:val="006022F3"/>
    <w:rsid w:val="00602302"/>
    <w:rsid w:val="00602329"/>
    <w:rsid w:val="00602535"/>
    <w:rsid w:val="00602579"/>
    <w:rsid w:val="00602592"/>
    <w:rsid w:val="006025DA"/>
    <w:rsid w:val="0060260C"/>
    <w:rsid w:val="00602612"/>
    <w:rsid w:val="00602872"/>
    <w:rsid w:val="00602BA4"/>
    <w:rsid w:val="00602C00"/>
    <w:rsid w:val="00602DA2"/>
    <w:rsid w:val="00602DAF"/>
    <w:rsid w:val="00602E2E"/>
    <w:rsid w:val="00602EE1"/>
    <w:rsid w:val="00602FF4"/>
    <w:rsid w:val="0060311E"/>
    <w:rsid w:val="00603228"/>
    <w:rsid w:val="00603347"/>
    <w:rsid w:val="006033F3"/>
    <w:rsid w:val="006035E7"/>
    <w:rsid w:val="006036A7"/>
    <w:rsid w:val="00603705"/>
    <w:rsid w:val="006039B7"/>
    <w:rsid w:val="00603AF6"/>
    <w:rsid w:val="00603B88"/>
    <w:rsid w:val="00603D60"/>
    <w:rsid w:val="00604209"/>
    <w:rsid w:val="00604474"/>
    <w:rsid w:val="00604532"/>
    <w:rsid w:val="00604632"/>
    <w:rsid w:val="00604657"/>
    <w:rsid w:val="00604695"/>
    <w:rsid w:val="00604729"/>
    <w:rsid w:val="006048F1"/>
    <w:rsid w:val="00604953"/>
    <w:rsid w:val="0060497B"/>
    <w:rsid w:val="006049FA"/>
    <w:rsid w:val="00604ACD"/>
    <w:rsid w:val="00604C15"/>
    <w:rsid w:val="00604CFD"/>
    <w:rsid w:val="00604DC2"/>
    <w:rsid w:val="00605014"/>
    <w:rsid w:val="006051EF"/>
    <w:rsid w:val="006051F6"/>
    <w:rsid w:val="0060546C"/>
    <w:rsid w:val="00605506"/>
    <w:rsid w:val="00605707"/>
    <w:rsid w:val="00605786"/>
    <w:rsid w:val="00605B00"/>
    <w:rsid w:val="00605B57"/>
    <w:rsid w:val="00605CDF"/>
    <w:rsid w:val="006060A7"/>
    <w:rsid w:val="006060C4"/>
    <w:rsid w:val="006060FF"/>
    <w:rsid w:val="006061A0"/>
    <w:rsid w:val="006062E4"/>
    <w:rsid w:val="0060650F"/>
    <w:rsid w:val="006065DF"/>
    <w:rsid w:val="0060662E"/>
    <w:rsid w:val="0060680F"/>
    <w:rsid w:val="00606B33"/>
    <w:rsid w:val="00606D8B"/>
    <w:rsid w:val="00606F7A"/>
    <w:rsid w:val="00606F88"/>
    <w:rsid w:val="00607101"/>
    <w:rsid w:val="0060726C"/>
    <w:rsid w:val="006072A4"/>
    <w:rsid w:val="00607347"/>
    <w:rsid w:val="0060751C"/>
    <w:rsid w:val="00607523"/>
    <w:rsid w:val="0060775C"/>
    <w:rsid w:val="006077F3"/>
    <w:rsid w:val="00607842"/>
    <w:rsid w:val="00607B73"/>
    <w:rsid w:val="00607C35"/>
    <w:rsid w:val="00607D76"/>
    <w:rsid w:val="00607F92"/>
    <w:rsid w:val="00610052"/>
    <w:rsid w:val="006100F7"/>
    <w:rsid w:val="006101E4"/>
    <w:rsid w:val="006104E1"/>
    <w:rsid w:val="00610811"/>
    <w:rsid w:val="00610892"/>
    <w:rsid w:val="0061092C"/>
    <w:rsid w:val="00610BF9"/>
    <w:rsid w:val="00610D49"/>
    <w:rsid w:val="00610E50"/>
    <w:rsid w:val="00610FF0"/>
    <w:rsid w:val="00611035"/>
    <w:rsid w:val="00611143"/>
    <w:rsid w:val="00611386"/>
    <w:rsid w:val="00611777"/>
    <w:rsid w:val="00611804"/>
    <w:rsid w:val="0061189F"/>
    <w:rsid w:val="00611A3B"/>
    <w:rsid w:val="00611ADB"/>
    <w:rsid w:val="00611BAE"/>
    <w:rsid w:val="00611BED"/>
    <w:rsid w:val="00611EBC"/>
    <w:rsid w:val="00611FDA"/>
    <w:rsid w:val="0061200C"/>
    <w:rsid w:val="00612015"/>
    <w:rsid w:val="006120B4"/>
    <w:rsid w:val="00612106"/>
    <w:rsid w:val="00612119"/>
    <w:rsid w:val="0061218A"/>
    <w:rsid w:val="0061219B"/>
    <w:rsid w:val="00612200"/>
    <w:rsid w:val="00612201"/>
    <w:rsid w:val="0061228C"/>
    <w:rsid w:val="006122C7"/>
    <w:rsid w:val="00612446"/>
    <w:rsid w:val="0061254A"/>
    <w:rsid w:val="00612576"/>
    <w:rsid w:val="006125D0"/>
    <w:rsid w:val="0061289B"/>
    <w:rsid w:val="0061293A"/>
    <w:rsid w:val="006129BC"/>
    <w:rsid w:val="00612B28"/>
    <w:rsid w:val="00612B8D"/>
    <w:rsid w:val="00612CDA"/>
    <w:rsid w:val="00612D05"/>
    <w:rsid w:val="00612D97"/>
    <w:rsid w:val="00613166"/>
    <w:rsid w:val="0061345C"/>
    <w:rsid w:val="00613464"/>
    <w:rsid w:val="0061362C"/>
    <w:rsid w:val="00613766"/>
    <w:rsid w:val="00613AE5"/>
    <w:rsid w:val="00613D34"/>
    <w:rsid w:val="00613F79"/>
    <w:rsid w:val="00613FB6"/>
    <w:rsid w:val="00613FF3"/>
    <w:rsid w:val="006140C6"/>
    <w:rsid w:val="00614134"/>
    <w:rsid w:val="00614136"/>
    <w:rsid w:val="0061415B"/>
    <w:rsid w:val="00614185"/>
    <w:rsid w:val="006141C1"/>
    <w:rsid w:val="00614241"/>
    <w:rsid w:val="0061428D"/>
    <w:rsid w:val="006142C6"/>
    <w:rsid w:val="0061432D"/>
    <w:rsid w:val="0061436A"/>
    <w:rsid w:val="006144E7"/>
    <w:rsid w:val="006145D3"/>
    <w:rsid w:val="00614615"/>
    <w:rsid w:val="0061489E"/>
    <w:rsid w:val="00614A8E"/>
    <w:rsid w:val="00614B75"/>
    <w:rsid w:val="00614BA5"/>
    <w:rsid w:val="00614BB6"/>
    <w:rsid w:val="00614C67"/>
    <w:rsid w:val="00614F9D"/>
    <w:rsid w:val="0061504C"/>
    <w:rsid w:val="006150C4"/>
    <w:rsid w:val="006151BD"/>
    <w:rsid w:val="00615348"/>
    <w:rsid w:val="006153DD"/>
    <w:rsid w:val="00615411"/>
    <w:rsid w:val="00615796"/>
    <w:rsid w:val="0061584A"/>
    <w:rsid w:val="0061599B"/>
    <w:rsid w:val="0061599E"/>
    <w:rsid w:val="006159A8"/>
    <w:rsid w:val="00615A41"/>
    <w:rsid w:val="00615AAD"/>
    <w:rsid w:val="00615AC7"/>
    <w:rsid w:val="00615AFA"/>
    <w:rsid w:val="00615BC5"/>
    <w:rsid w:val="00615D81"/>
    <w:rsid w:val="006160A3"/>
    <w:rsid w:val="006160B7"/>
    <w:rsid w:val="0061621F"/>
    <w:rsid w:val="00616232"/>
    <w:rsid w:val="006162E6"/>
    <w:rsid w:val="00616447"/>
    <w:rsid w:val="006167BD"/>
    <w:rsid w:val="0061683B"/>
    <w:rsid w:val="00616C56"/>
    <w:rsid w:val="00616C5A"/>
    <w:rsid w:val="00616D3E"/>
    <w:rsid w:val="00616E14"/>
    <w:rsid w:val="006171A5"/>
    <w:rsid w:val="00617404"/>
    <w:rsid w:val="0061751C"/>
    <w:rsid w:val="0061783B"/>
    <w:rsid w:val="006179DB"/>
    <w:rsid w:val="00617BC5"/>
    <w:rsid w:val="00617C4A"/>
    <w:rsid w:val="00617CA3"/>
    <w:rsid w:val="00617ECF"/>
    <w:rsid w:val="00620143"/>
    <w:rsid w:val="00620160"/>
    <w:rsid w:val="0062019D"/>
    <w:rsid w:val="006202B1"/>
    <w:rsid w:val="00620309"/>
    <w:rsid w:val="00620456"/>
    <w:rsid w:val="00620494"/>
    <w:rsid w:val="00620955"/>
    <w:rsid w:val="00620BE6"/>
    <w:rsid w:val="00620C8C"/>
    <w:rsid w:val="00620F31"/>
    <w:rsid w:val="00620F7D"/>
    <w:rsid w:val="006212AD"/>
    <w:rsid w:val="006212BA"/>
    <w:rsid w:val="00621571"/>
    <w:rsid w:val="0062159D"/>
    <w:rsid w:val="006215C1"/>
    <w:rsid w:val="0062163B"/>
    <w:rsid w:val="00621680"/>
    <w:rsid w:val="00621691"/>
    <w:rsid w:val="006217CD"/>
    <w:rsid w:val="0062182F"/>
    <w:rsid w:val="00621AF8"/>
    <w:rsid w:val="00621D07"/>
    <w:rsid w:val="00621D38"/>
    <w:rsid w:val="00621EA5"/>
    <w:rsid w:val="00621EC5"/>
    <w:rsid w:val="00621F4E"/>
    <w:rsid w:val="006221A9"/>
    <w:rsid w:val="006222C0"/>
    <w:rsid w:val="00622359"/>
    <w:rsid w:val="006223E0"/>
    <w:rsid w:val="006224D0"/>
    <w:rsid w:val="006228D0"/>
    <w:rsid w:val="00622BCE"/>
    <w:rsid w:val="00622E29"/>
    <w:rsid w:val="00622E8B"/>
    <w:rsid w:val="0062304E"/>
    <w:rsid w:val="0062319D"/>
    <w:rsid w:val="006235A2"/>
    <w:rsid w:val="00623643"/>
    <w:rsid w:val="00623708"/>
    <w:rsid w:val="00623771"/>
    <w:rsid w:val="00623930"/>
    <w:rsid w:val="006239EC"/>
    <w:rsid w:val="00623B48"/>
    <w:rsid w:val="00623B79"/>
    <w:rsid w:val="00623BB5"/>
    <w:rsid w:val="00623BE8"/>
    <w:rsid w:val="00623BEE"/>
    <w:rsid w:val="00623D92"/>
    <w:rsid w:val="00623EC8"/>
    <w:rsid w:val="00623ED7"/>
    <w:rsid w:val="00623FCA"/>
    <w:rsid w:val="00624018"/>
    <w:rsid w:val="006240C4"/>
    <w:rsid w:val="00624291"/>
    <w:rsid w:val="00624544"/>
    <w:rsid w:val="00624B01"/>
    <w:rsid w:val="00624B85"/>
    <w:rsid w:val="00624BF3"/>
    <w:rsid w:val="00624D62"/>
    <w:rsid w:val="00624E91"/>
    <w:rsid w:val="0062508E"/>
    <w:rsid w:val="006251C0"/>
    <w:rsid w:val="0062529A"/>
    <w:rsid w:val="006252F6"/>
    <w:rsid w:val="00625304"/>
    <w:rsid w:val="006254D4"/>
    <w:rsid w:val="006254EA"/>
    <w:rsid w:val="00625571"/>
    <w:rsid w:val="00625790"/>
    <w:rsid w:val="0062581B"/>
    <w:rsid w:val="00625907"/>
    <w:rsid w:val="00625B16"/>
    <w:rsid w:val="006260EB"/>
    <w:rsid w:val="006261B5"/>
    <w:rsid w:val="006261F4"/>
    <w:rsid w:val="006264C0"/>
    <w:rsid w:val="006264E4"/>
    <w:rsid w:val="006266E2"/>
    <w:rsid w:val="0062679F"/>
    <w:rsid w:val="006268BF"/>
    <w:rsid w:val="0062690F"/>
    <w:rsid w:val="00626961"/>
    <w:rsid w:val="0062699D"/>
    <w:rsid w:val="00626E66"/>
    <w:rsid w:val="00626FE1"/>
    <w:rsid w:val="00626FF0"/>
    <w:rsid w:val="00627059"/>
    <w:rsid w:val="0062711A"/>
    <w:rsid w:val="0062711C"/>
    <w:rsid w:val="00627131"/>
    <w:rsid w:val="00627326"/>
    <w:rsid w:val="00627350"/>
    <w:rsid w:val="006277F2"/>
    <w:rsid w:val="0062781C"/>
    <w:rsid w:val="00627919"/>
    <w:rsid w:val="00627B99"/>
    <w:rsid w:val="00627BC3"/>
    <w:rsid w:val="00627E49"/>
    <w:rsid w:val="00627F71"/>
    <w:rsid w:val="0063020B"/>
    <w:rsid w:val="00630383"/>
    <w:rsid w:val="0063066E"/>
    <w:rsid w:val="006306EB"/>
    <w:rsid w:val="0063070D"/>
    <w:rsid w:val="00630885"/>
    <w:rsid w:val="006308D8"/>
    <w:rsid w:val="006309F8"/>
    <w:rsid w:val="00630E75"/>
    <w:rsid w:val="00631226"/>
    <w:rsid w:val="006312B9"/>
    <w:rsid w:val="0063138E"/>
    <w:rsid w:val="006313DC"/>
    <w:rsid w:val="006314EC"/>
    <w:rsid w:val="00631606"/>
    <w:rsid w:val="0063164E"/>
    <w:rsid w:val="006316C3"/>
    <w:rsid w:val="0063191D"/>
    <w:rsid w:val="00631A05"/>
    <w:rsid w:val="00631A6F"/>
    <w:rsid w:val="00631A77"/>
    <w:rsid w:val="00631AAA"/>
    <w:rsid w:val="00631AC1"/>
    <w:rsid w:val="00631B88"/>
    <w:rsid w:val="00631D03"/>
    <w:rsid w:val="00631D23"/>
    <w:rsid w:val="00631E96"/>
    <w:rsid w:val="00631F8D"/>
    <w:rsid w:val="00632090"/>
    <w:rsid w:val="006320A2"/>
    <w:rsid w:val="00632172"/>
    <w:rsid w:val="00632180"/>
    <w:rsid w:val="006321AB"/>
    <w:rsid w:val="006321F8"/>
    <w:rsid w:val="00632416"/>
    <w:rsid w:val="006324CD"/>
    <w:rsid w:val="006324F8"/>
    <w:rsid w:val="00632508"/>
    <w:rsid w:val="00632524"/>
    <w:rsid w:val="00632614"/>
    <w:rsid w:val="00632679"/>
    <w:rsid w:val="00632F67"/>
    <w:rsid w:val="00632FC7"/>
    <w:rsid w:val="00633488"/>
    <w:rsid w:val="00633581"/>
    <w:rsid w:val="0063366A"/>
    <w:rsid w:val="006338A0"/>
    <w:rsid w:val="00633900"/>
    <w:rsid w:val="00633926"/>
    <w:rsid w:val="00633962"/>
    <w:rsid w:val="006339AF"/>
    <w:rsid w:val="00633C47"/>
    <w:rsid w:val="00633F70"/>
    <w:rsid w:val="006340A7"/>
    <w:rsid w:val="00634104"/>
    <w:rsid w:val="00634365"/>
    <w:rsid w:val="0063443F"/>
    <w:rsid w:val="00634563"/>
    <w:rsid w:val="00634621"/>
    <w:rsid w:val="00634642"/>
    <w:rsid w:val="006348F7"/>
    <w:rsid w:val="006349AB"/>
    <w:rsid w:val="00634CF8"/>
    <w:rsid w:val="00634D7E"/>
    <w:rsid w:val="00634F5F"/>
    <w:rsid w:val="00634FA2"/>
    <w:rsid w:val="00634FE5"/>
    <w:rsid w:val="0063512D"/>
    <w:rsid w:val="00635153"/>
    <w:rsid w:val="00635506"/>
    <w:rsid w:val="006357CE"/>
    <w:rsid w:val="006357FF"/>
    <w:rsid w:val="006358FB"/>
    <w:rsid w:val="006359B3"/>
    <w:rsid w:val="00635AA2"/>
    <w:rsid w:val="00635AE2"/>
    <w:rsid w:val="00635B25"/>
    <w:rsid w:val="00635B4B"/>
    <w:rsid w:val="00635C66"/>
    <w:rsid w:val="00635E1E"/>
    <w:rsid w:val="00635F81"/>
    <w:rsid w:val="00636043"/>
    <w:rsid w:val="00636077"/>
    <w:rsid w:val="006361FF"/>
    <w:rsid w:val="0063647F"/>
    <w:rsid w:val="0063677C"/>
    <w:rsid w:val="00636920"/>
    <w:rsid w:val="00636972"/>
    <w:rsid w:val="00636B22"/>
    <w:rsid w:val="00636B47"/>
    <w:rsid w:val="00636B69"/>
    <w:rsid w:val="00636BC2"/>
    <w:rsid w:val="00636CA6"/>
    <w:rsid w:val="00636E98"/>
    <w:rsid w:val="00636EB2"/>
    <w:rsid w:val="00636F76"/>
    <w:rsid w:val="006370D5"/>
    <w:rsid w:val="00637156"/>
    <w:rsid w:val="00637275"/>
    <w:rsid w:val="00637445"/>
    <w:rsid w:val="00637474"/>
    <w:rsid w:val="00637883"/>
    <w:rsid w:val="00637904"/>
    <w:rsid w:val="00637AFC"/>
    <w:rsid w:val="00637C54"/>
    <w:rsid w:val="00637F15"/>
    <w:rsid w:val="00640092"/>
    <w:rsid w:val="00640181"/>
    <w:rsid w:val="0064023D"/>
    <w:rsid w:val="006404D1"/>
    <w:rsid w:val="0064060C"/>
    <w:rsid w:val="006406C0"/>
    <w:rsid w:val="00640777"/>
    <w:rsid w:val="0064099C"/>
    <w:rsid w:val="00640A6D"/>
    <w:rsid w:val="00640AAB"/>
    <w:rsid w:val="00640C77"/>
    <w:rsid w:val="00640D53"/>
    <w:rsid w:val="00640E02"/>
    <w:rsid w:val="00640F16"/>
    <w:rsid w:val="00640F43"/>
    <w:rsid w:val="00640FB4"/>
    <w:rsid w:val="00641036"/>
    <w:rsid w:val="0064118C"/>
    <w:rsid w:val="0064122C"/>
    <w:rsid w:val="006412CA"/>
    <w:rsid w:val="00641342"/>
    <w:rsid w:val="0064137B"/>
    <w:rsid w:val="0064146F"/>
    <w:rsid w:val="00641478"/>
    <w:rsid w:val="0064161A"/>
    <w:rsid w:val="00641A29"/>
    <w:rsid w:val="00641B5D"/>
    <w:rsid w:val="006420DA"/>
    <w:rsid w:val="00642589"/>
    <w:rsid w:val="00642628"/>
    <w:rsid w:val="00642872"/>
    <w:rsid w:val="00642933"/>
    <w:rsid w:val="00642974"/>
    <w:rsid w:val="006429CE"/>
    <w:rsid w:val="00642A0A"/>
    <w:rsid w:val="00642B31"/>
    <w:rsid w:val="00642C33"/>
    <w:rsid w:val="00642D21"/>
    <w:rsid w:val="006430F6"/>
    <w:rsid w:val="00643168"/>
    <w:rsid w:val="00643338"/>
    <w:rsid w:val="00643500"/>
    <w:rsid w:val="00643506"/>
    <w:rsid w:val="00643743"/>
    <w:rsid w:val="00643AB5"/>
    <w:rsid w:val="00643AC1"/>
    <w:rsid w:val="00643B6D"/>
    <w:rsid w:val="00643B77"/>
    <w:rsid w:val="00643BDB"/>
    <w:rsid w:val="00643C30"/>
    <w:rsid w:val="00643CB0"/>
    <w:rsid w:val="00643CE9"/>
    <w:rsid w:val="00643D62"/>
    <w:rsid w:val="00643F92"/>
    <w:rsid w:val="00643F9A"/>
    <w:rsid w:val="00643FEF"/>
    <w:rsid w:val="00643FF1"/>
    <w:rsid w:val="00644496"/>
    <w:rsid w:val="0064468C"/>
    <w:rsid w:val="00644A5E"/>
    <w:rsid w:val="00644A6C"/>
    <w:rsid w:val="00644B46"/>
    <w:rsid w:val="00644BDD"/>
    <w:rsid w:val="00644D5F"/>
    <w:rsid w:val="00644D69"/>
    <w:rsid w:val="00644DDE"/>
    <w:rsid w:val="00644FCB"/>
    <w:rsid w:val="00645176"/>
    <w:rsid w:val="0064523A"/>
    <w:rsid w:val="0064523E"/>
    <w:rsid w:val="006452A7"/>
    <w:rsid w:val="0064535E"/>
    <w:rsid w:val="00645420"/>
    <w:rsid w:val="006457A8"/>
    <w:rsid w:val="0064585D"/>
    <w:rsid w:val="00645A2D"/>
    <w:rsid w:val="00645A74"/>
    <w:rsid w:val="00645BA5"/>
    <w:rsid w:val="00645D01"/>
    <w:rsid w:val="00645DAB"/>
    <w:rsid w:val="00645EA0"/>
    <w:rsid w:val="00645F76"/>
    <w:rsid w:val="00646018"/>
    <w:rsid w:val="00646217"/>
    <w:rsid w:val="00646396"/>
    <w:rsid w:val="00646561"/>
    <w:rsid w:val="0064686B"/>
    <w:rsid w:val="006468EE"/>
    <w:rsid w:val="006469CF"/>
    <w:rsid w:val="00646BFA"/>
    <w:rsid w:val="00646DE1"/>
    <w:rsid w:val="00646EB0"/>
    <w:rsid w:val="00646FA0"/>
    <w:rsid w:val="0064714D"/>
    <w:rsid w:val="00647235"/>
    <w:rsid w:val="0064727D"/>
    <w:rsid w:val="0064733E"/>
    <w:rsid w:val="006473BD"/>
    <w:rsid w:val="00647442"/>
    <w:rsid w:val="00647613"/>
    <w:rsid w:val="00647694"/>
    <w:rsid w:val="0064776D"/>
    <w:rsid w:val="006478C9"/>
    <w:rsid w:val="00647963"/>
    <w:rsid w:val="00647A85"/>
    <w:rsid w:val="00647B21"/>
    <w:rsid w:val="00647B32"/>
    <w:rsid w:val="00647B9E"/>
    <w:rsid w:val="00647C18"/>
    <w:rsid w:val="00647C27"/>
    <w:rsid w:val="00647D15"/>
    <w:rsid w:val="00647D63"/>
    <w:rsid w:val="006501DC"/>
    <w:rsid w:val="006504A4"/>
    <w:rsid w:val="00650528"/>
    <w:rsid w:val="00650655"/>
    <w:rsid w:val="0065097D"/>
    <w:rsid w:val="00650A27"/>
    <w:rsid w:val="00650A5A"/>
    <w:rsid w:val="00650B82"/>
    <w:rsid w:val="00650D23"/>
    <w:rsid w:val="00650F2A"/>
    <w:rsid w:val="006510E0"/>
    <w:rsid w:val="00651173"/>
    <w:rsid w:val="006512A9"/>
    <w:rsid w:val="00651353"/>
    <w:rsid w:val="0065138F"/>
    <w:rsid w:val="006515DA"/>
    <w:rsid w:val="006516DA"/>
    <w:rsid w:val="006517D9"/>
    <w:rsid w:val="0065181F"/>
    <w:rsid w:val="006518B2"/>
    <w:rsid w:val="006518BF"/>
    <w:rsid w:val="006519E6"/>
    <w:rsid w:val="00651A8C"/>
    <w:rsid w:val="00651B19"/>
    <w:rsid w:val="00651CDE"/>
    <w:rsid w:val="00651DB5"/>
    <w:rsid w:val="00651EC5"/>
    <w:rsid w:val="00651FF3"/>
    <w:rsid w:val="006521A2"/>
    <w:rsid w:val="006521DF"/>
    <w:rsid w:val="006522E0"/>
    <w:rsid w:val="00652326"/>
    <w:rsid w:val="00652333"/>
    <w:rsid w:val="006523A5"/>
    <w:rsid w:val="006527F9"/>
    <w:rsid w:val="00652809"/>
    <w:rsid w:val="006528CB"/>
    <w:rsid w:val="006528F6"/>
    <w:rsid w:val="00652907"/>
    <w:rsid w:val="00652C17"/>
    <w:rsid w:val="00652E06"/>
    <w:rsid w:val="00652E86"/>
    <w:rsid w:val="00652F14"/>
    <w:rsid w:val="00652F30"/>
    <w:rsid w:val="00653197"/>
    <w:rsid w:val="006531DC"/>
    <w:rsid w:val="00653217"/>
    <w:rsid w:val="0065325E"/>
    <w:rsid w:val="0065336E"/>
    <w:rsid w:val="00653387"/>
    <w:rsid w:val="006533AF"/>
    <w:rsid w:val="0065355E"/>
    <w:rsid w:val="0065362C"/>
    <w:rsid w:val="00653A0C"/>
    <w:rsid w:val="00653C1D"/>
    <w:rsid w:val="00653FC4"/>
    <w:rsid w:val="006540A0"/>
    <w:rsid w:val="0065422C"/>
    <w:rsid w:val="006544A8"/>
    <w:rsid w:val="006544BA"/>
    <w:rsid w:val="00654A60"/>
    <w:rsid w:val="00654A7C"/>
    <w:rsid w:val="00654B57"/>
    <w:rsid w:val="00654BAE"/>
    <w:rsid w:val="00654E92"/>
    <w:rsid w:val="00654EA7"/>
    <w:rsid w:val="00654F75"/>
    <w:rsid w:val="00654F91"/>
    <w:rsid w:val="00655011"/>
    <w:rsid w:val="006550FD"/>
    <w:rsid w:val="0065525C"/>
    <w:rsid w:val="006552DD"/>
    <w:rsid w:val="00655361"/>
    <w:rsid w:val="0065536E"/>
    <w:rsid w:val="00655527"/>
    <w:rsid w:val="006556D3"/>
    <w:rsid w:val="0065585E"/>
    <w:rsid w:val="0065587D"/>
    <w:rsid w:val="00655908"/>
    <w:rsid w:val="0065592A"/>
    <w:rsid w:val="00655A3D"/>
    <w:rsid w:val="00655A7F"/>
    <w:rsid w:val="00655D15"/>
    <w:rsid w:val="00655E24"/>
    <w:rsid w:val="00655E9F"/>
    <w:rsid w:val="00655ED7"/>
    <w:rsid w:val="00656253"/>
    <w:rsid w:val="006562AB"/>
    <w:rsid w:val="0065664F"/>
    <w:rsid w:val="00656723"/>
    <w:rsid w:val="00656787"/>
    <w:rsid w:val="00656799"/>
    <w:rsid w:val="006568B7"/>
    <w:rsid w:val="00656B77"/>
    <w:rsid w:val="00656E72"/>
    <w:rsid w:val="0065737B"/>
    <w:rsid w:val="00657418"/>
    <w:rsid w:val="00657567"/>
    <w:rsid w:val="00657764"/>
    <w:rsid w:val="0065785C"/>
    <w:rsid w:val="006578A1"/>
    <w:rsid w:val="006579BB"/>
    <w:rsid w:val="00657A32"/>
    <w:rsid w:val="00657A50"/>
    <w:rsid w:val="00657C5F"/>
    <w:rsid w:val="00657C86"/>
    <w:rsid w:val="00657D2D"/>
    <w:rsid w:val="00657E28"/>
    <w:rsid w:val="00657FCA"/>
    <w:rsid w:val="0066009F"/>
    <w:rsid w:val="0066030B"/>
    <w:rsid w:val="00660314"/>
    <w:rsid w:val="00660321"/>
    <w:rsid w:val="00660354"/>
    <w:rsid w:val="006604B1"/>
    <w:rsid w:val="006604FF"/>
    <w:rsid w:val="006605BA"/>
    <w:rsid w:val="006605CD"/>
    <w:rsid w:val="006605F8"/>
    <w:rsid w:val="00660774"/>
    <w:rsid w:val="0066091F"/>
    <w:rsid w:val="00660C60"/>
    <w:rsid w:val="00660C73"/>
    <w:rsid w:val="00660D89"/>
    <w:rsid w:val="00660DEE"/>
    <w:rsid w:val="00660F9F"/>
    <w:rsid w:val="0066103F"/>
    <w:rsid w:val="0066105C"/>
    <w:rsid w:val="00661067"/>
    <w:rsid w:val="00661113"/>
    <w:rsid w:val="006612CE"/>
    <w:rsid w:val="0066137B"/>
    <w:rsid w:val="0066149E"/>
    <w:rsid w:val="006614A0"/>
    <w:rsid w:val="006614B7"/>
    <w:rsid w:val="0066169B"/>
    <w:rsid w:val="0066169C"/>
    <w:rsid w:val="0066174E"/>
    <w:rsid w:val="006619FF"/>
    <w:rsid w:val="00661B20"/>
    <w:rsid w:val="00661B7E"/>
    <w:rsid w:val="00661B96"/>
    <w:rsid w:val="00661BBB"/>
    <w:rsid w:val="00661C4D"/>
    <w:rsid w:val="00661CB1"/>
    <w:rsid w:val="00661E57"/>
    <w:rsid w:val="00661EA7"/>
    <w:rsid w:val="00661F6D"/>
    <w:rsid w:val="00662070"/>
    <w:rsid w:val="006623A6"/>
    <w:rsid w:val="00662759"/>
    <w:rsid w:val="0066291E"/>
    <w:rsid w:val="006629D8"/>
    <w:rsid w:val="006629E4"/>
    <w:rsid w:val="00662A21"/>
    <w:rsid w:val="00662B0D"/>
    <w:rsid w:val="00662B12"/>
    <w:rsid w:val="00662B4D"/>
    <w:rsid w:val="00662BF3"/>
    <w:rsid w:val="00662D3E"/>
    <w:rsid w:val="00662FBE"/>
    <w:rsid w:val="006632D8"/>
    <w:rsid w:val="006634CD"/>
    <w:rsid w:val="006634DD"/>
    <w:rsid w:val="006635F7"/>
    <w:rsid w:val="00663756"/>
    <w:rsid w:val="00663783"/>
    <w:rsid w:val="00663794"/>
    <w:rsid w:val="0066399E"/>
    <w:rsid w:val="00663B7E"/>
    <w:rsid w:val="00663BFE"/>
    <w:rsid w:val="00663C75"/>
    <w:rsid w:val="00663D3A"/>
    <w:rsid w:val="00663D58"/>
    <w:rsid w:val="00663E47"/>
    <w:rsid w:val="00663EF1"/>
    <w:rsid w:val="00663F19"/>
    <w:rsid w:val="00664158"/>
    <w:rsid w:val="006641C7"/>
    <w:rsid w:val="006642BD"/>
    <w:rsid w:val="00664483"/>
    <w:rsid w:val="006644A7"/>
    <w:rsid w:val="006644D0"/>
    <w:rsid w:val="006647B9"/>
    <w:rsid w:val="0066481B"/>
    <w:rsid w:val="00664A0B"/>
    <w:rsid w:val="00664A5F"/>
    <w:rsid w:val="00664B26"/>
    <w:rsid w:val="00664BDE"/>
    <w:rsid w:val="00664C76"/>
    <w:rsid w:val="00664E23"/>
    <w:rsid w:val="00664E56"/>
    <w:rsid w:val="00665048"/>
    <w:rsid w:val="00665275"/>
    <w:rsid w:val="006653DE"/>
    <w:rsid w:val="006654A1"/>
    <w:rsid w:val="006655A7"/>
    <w:rsid w:val="0066565B"/>
    <w:rsid w:val="0066586F"/>
    <w:rsid w:val="006659FD"/>
    <w:rsid w:val="00665C44"/>
    <w:rsid w:val="00665CF9"/>
    <w:rsid w:val="00665CFA"/>
    <w:rsid w:val="006661B6"/>
    <w:rsid w:val="006661B7"/>
    <w:rsid w:val="006661CE"/>
    <w:rsid w:val="00666213"/>
    <w:rsid w:val="00666284"/>
    <w:rsid w:val="00666414"/>
    <w:rsid w:val="006665C5"/>
    <w:rsid w:val="006667F3"/>
    <w:rsid w:val="006668FC"/>
    <w:rsid w:val="00666AC5"/>
    <w:rsid w:val="00666B01"/>
    <w:rsid w:val="00666BDB"/>
    <w:rsid w:val="00666BEE"/>
    <w:rsid w:val="00666D27"/>
    <w:rsid w:val="00666FC8"/>
    <w:rsid w:val="00667157"/>
    <w:rsid w:val="006671C2"/>
    <w:rsid w:val="00667220"/>
    <w:rsid w:val="00667240"/>
    <w:rsid w:val="00667362"/>
    <w:rsid w:val="00667453"/>
    <w:rsid w:val="00667849"/>
    <w:rsid w:val="0066788E"/>
    <w:rsid w:val="006679ED"/>
    <w:rsid w:val="00667A4C"/>
    <w:rsid w:val="00667ACF"/>
    <w:rsid w:val="00667AEA"/>
    <w:rsid w:val="00667C06"/>
    <w:rsid w:val="00667DD4"/>
    <w:rsid w:val="00670005"/>
    <w:rsid w:val="00670011"/>
    <w:rsid w:val="006702C7"/>
    <w:rsid w:val="0067030B"/>
    <w:rsid w:val="0067040B"/>
    <w:rsid w:val="006704FA"/>
    <w:rsid w:val="0067053E"/>
    <w:rsid w:val="0067056F"/>
    <w:rsid w:val="00670617"/>
    <w:rsid w:val="00670687"/>
    <w:rsid w:val="006707D5"/>
    <w:rsid w:val="006707EC"/>
    <w:rsid w:val="00670C8D"/>
    <w:rsid w:val="00670D66"/>
    <w:rsid w:val="00670DC5"/>
    <w:rsid w:val="00670E63"/>
    <w:rsid w:val="00670F44"/>
    <w:rsid w:val="006710A1"/>
    <w:rsid w:val="006710FC"/>
    <w:rsid w:val="006711A9"/>
    <w:rsid w:val="00671500"/>
    <w:rsid w:val="00671652"/>
    <w:rsid w:val="0067165D"/>
    <w:rsid w:val="0067173F"/>
    <w:rsid w:val="00671A3B"/>
    <w:rsid w:val="00671C16"/>
    <w:rsid w:val="00671D6D"/>
    <w:rsid w:val="00671DEE"/>
    <w:rsid w:val="00671FAA"/>
    <w:rsid w:val="00672058"/>
    <w:rsid w:val="00672072"/>
    <w:rsid w:val="006720CD"/>
    <w:rsid w:val="006722F7"/>
    <w:rsid w:val="006723BF"/>
    <w:rsid w:val="006723DE"/>
    <w:rsid w:val="006726F1"/>
    <w:rsid w:val="00672752"/>
    <w:rsid w:val="00672B61"/>
    <w:rsid w:val="00672B63"/>
    <w:rsid w:val="00672C79"/>
    <w:rsid w:val="00672DD4"/>
    <w:rsid w:val="00672FA1"/>
    <w:rsid w:val="0067308E"/>
    <w:rsid w:val="006731DB"/>
    <w:rsid w:val="006733C4"/>
    <w:rsid w:val="0067347C"/>
    <w:rsid w:val="00673652"/>
    <w:rsid w:val="00673727"/>
    <w:rsid w:val="0067373A"/>
    <w:rsid w:val="00673B3E"/>
    <w:rsid w:val="00673C6C"/>
    <w:rsid w:val="00673F6E"/>
    <w:rsid w:val="00674193"/>
    <w:rsid w:val="006742AF"/>
    <w:rsid w:val="00674514"/>
    <w:rsid w:val="006746A6"/>
    <w:rsid w:val="00674747"/>
    <w:rsid w:val="006747C5"/>
    <w:rsid w:val="00674810"/>
    <w:rsid w:val="00674A8E"/>
    <w:rsid w:val="00674C5B"/>
    <w:rsid w:val="00674D0D"/>
    <w:rsid w:val="00674DCF"/>
    <w:rsid w:val="006752B8"/>
    <w:rsid w:val="0067548E"/>
    <w:rsid w:val="006755D0"/>
    <w:rsid w:val="00675644"/>
    <w:rsid w:val="006756FE"/>
    <w:rsid w:val="00675890"/>
    <w:rsid w:val="00675B1F"/>
    <w:rsid w:val="00675B86"/>
    <w:rsid w:val="00675DA5"/>
    <w:rsid w:val="00676144"/>
    <w:rsid w:val="006761BE"/>
    <w:rsid w:val="006765DF"/>
    <w:rsid w:val="0067693A"/>
    <w:rsid w:val="006769B8"/>
    <w:rsid w:val="00676A11"/>
    <w:rsid w:val="00676D73"/>
    <w:rsid w:val="00676EAA"/>
    <w:rsid w:val="00676FB9"/>
    <w:rsid w:val="0067703F"/>
    <w:rsid w:val="006770EE"/>
    <w:rsid w:val="0067718E"/>
    <w:rsid w:val="006774E6"/>
    <w:rsid w:val="00677799"/>
    <w:rsid w:val="006777B9"/>
    <w:rsid w:val="00677809"/>
    <w:rsid w:val="00677853"/>
    <w:rsid w:val="00677866"/>
    <w:rsid w:val="006778B6"/>
    <w:rsid w:val="006778BA"/>
    <w:rsid w:val="00677958"/>
    <w:rsid w:val="006779B8"/>
    <w:rsid w:val="00677B0D"/>
    <w:rsid w:val="00677B2A"/>
    <w:rsid w:val="00677E05"/>
    <w:rsid w:val="00677E08"/>
    <w:rsid w:val="006800AE"/>
    <w:rsid w:val="00680482"/>
    <w:rsid w:val="00680540"/>
    <w:rsid w:val="00680734"/>
    <w:rsid w:val="0068073F"/>
    <w:rsid w:val="0068080E"/>
    <w:rsid w:val="006808DC"/>
    <w:rsid w:val="00680ADC"/>
    <w:rsid w:val="00680C07"/>
    <w:rsid w:val="00680C29"/>
    <w:rsid w:val="00680CAD"/>
    <w:rsid w:val="00680E48"/>
    <w:rsid w:val="00680EAB"/>
    <w:rsid w:val="00681097"/>
    <w:rsid w:val="006810C7"/>
    <w:rsid w:val="00681277"/>
    <w:rsid w:val="00681323"/>
    <w:rsid w:val="006814D0"/>
    <w:rsid w:val="006814F3"/>
    <w:rsid w:val="0068157D"/>
    <w:rsid w:val="00681596"/>
    <w:rsid w:val="00681622"/>
    <w:rsid w:val="006816B6"/>
    <w:rsid w:val="006817D6"/>
    <w:rsid w:val="006817F6"/>
    <w:rsid w:val="00681860"/>
    <w:rsid w:val="0068197B"/>
    <w:rsid w:val="00681EAE"/>
    <w:rsid w:val="006820EB"/>
    <w:rsid w:val="00682128"/>
    <w:rsid w:val="0068220C"/>
    <w:rsid w:val="006823DB"/>
    <w:rsid w:val="0068250D"/>
    <w:rsid w:val="00682529"/>
    <w:rsid w:val="00682667"/>
    <w:rsid w:val="0068266B"/>
    <w:rsid w:val="0068278A"/>
    <w:rsid w:val="006828FC"/>
    <w:rsid w:val="00682926"/>
    <w:rsid w:val="00682A95"/>
    <w:rsid w:val="00682AB1"/>
    <w:rsid w:val="00682AF7"/>
    <w:rsid w:val="00682C9A"/>
    <w:rsid w:val="00682DD9"/>
    <w:rsid w:val="00682E2E"/>
    <w:rsid w:val="00682E9F"/>
    <w:rsid w:val="00682ECA"/>
    <w:rsid w:val="00682F1B"/>
    <w:rsid w:val="00683252"/>
    <w:rsid w:val="00683438"/>
    <w:rsid w:val="0068343A"/>
    <w:rsid w:val="00683441"/>
    <w:rsid w:val="00683472"/>
    <w:rsid w:val="006834D4"/>
    <w:rsid w:val="00683635"/>
    <w:rsid w:val="006838BD"/>
    <w:rsid w:val="00683AEC"/>
    <w:rsid w:val="00683B78"/>
    <w:rsid w:val="00683D00"/>
    <w:rsid w:val="00683D2E"/>
    <w:rsid w:val="00683E04"/>
    <w:rsid w:val="00683E65"/>
    <w:rsid w:val="00683F0E"/>
    <w:rsid w:val="00683F97"/>
    <w:rsid w:val="00684056"/>
    <w:rsid w:val="0068413D"/>
    <w:rsid w:val="006841D0"/>
    <w:rsid w:val="006842A8"/>
    <w:rsid w:val="00684375"/>
    <w:rsid w:val="006844BA"/>
    <w:rsid w:val="006845A2"/>
    <w:rsid w:val="0068489C"/>
    <w:rsid w:val="00684A0E"/>
    <w:rsid w:val="00684A51"/>
    <w:rsid w:val="00684BF8"/>
    <w:rsid w:val="00684D9B"/>
    <w:rsid w:val="00684E51"/>
    <w:rsid w:val="00684ED3"/>
    <w:rsid w:val="006850FB"/>
    <w:rsid w:val="00685160"/>
    <w:rsid w:val="0068533B"/>
    <w:rsid w:val="006855BC"/>
    <w:rsid w:val="00685717"/>
    <w:rsid w:val="0068573B"/>
    <w:rsid w:val="006858A7"/>
    <w:rsid w:val="006858AA"/>
    <w:rsid w:val="00685BCF"/>
    <w:rsid w:val="00685D9D"/>
    <w:rsid w:val="00685EC6"/>
    <w:rsid w:val="00685F06"/>
    <w:rsid w:val="006860DC"/>
    <w:rsid w:val="00686371"/>
    <w:rsid w:val="006868DD"/>
    <w:rsid w:val="00686C7D"/>
    <w:rsid w:val="00686D70"/>
    <w:rsid w:val="00686F2A"/>
    <w:rsid w:val="00686F7E"/>
    <w:rsid w:val="00687049"/>
    <w:rsid w:val="00687071"/>
    <w:rsid w:val="006870C5"/>
    <w:rsid w:val="006871D0"/>
    <w:rsid w:val="00687239"/>
    <w:rsid w:val="0068739B"/>
    <w:rsid w:val="006873E9"/>
    <w:rsid w:val="00687423"/>
    <w:rsid w:val="00687498"/>
    <w:rsid w:val="006874BF"/>
    <w:rsid w:val="006874F1"/>
    <w:rsid w:val="0068751F"/>
    <w:rsid w:val="0068760A"/>
    <w:rsid w:val="006876D3"/>
    <w:rsid w:val="00687768"/>
    <w:rsid w:val="00687786"/>
    <w:rsid w:val="00687859"/>
    <w:rsid w:val="006878C9"/>
    <w:rsid w:val="00687A95"/>
    <w:rsid w:val="00687ADA"/>
    <w:rsid w:val="00687B66"/>
    <w:rsid w:val="00687C97"/>
    <w:rsid w:val="00687E9F"/>
    <w:rsid w:val="006900D1"/>
    <w:rsid w:val="006901CB"/>
    <w:rsid w:val="006901F6"/>
    <w:rsid w:val="00690297"/>
    <w:rsid w:val="006902D4"/>
    <w:rsid w:val="00690321"/>
    <w:rsid w:val="006905D3"/>
    <w:rsid w:val="0069064D"/>
    <w:rsid w:val="006906D7"/>
    <w:rsid w:val="006907A0"/>
    <w:rsid w:val="0069081C"/>
    <w:rsid w:val="00690A38"/>
    <w:rsid w:val="00690AD5"/>
    <w:rsid w:val="00690B21"/>
    <w:rsid w:val="00690D31"/>
    <w:rsid w:val="00690DB7"/>
    <w:rsid w:val="00690F6F"/>
    <w:rsid w:val="00690F76"/>
    <w:rsid w:val="00690FD1"/>
    <w:rsid w:val="00691026"/>
    <w:rsid w:val="0069115A"/>
    <w:rsid w:val="00691177"/>
    <w:rsid w:val="00691231"/>
    <w:rsid w:val="006912F1"/>
    <w:rsid w:val="00691347"/>
    <w:rsid w:val="00691387"/>
    <w:rsid w:val="006913A2"/>
    <w:rsid w:val="0069144C"/>
    <w:rsid w:val="00691555"/>
    <w:rsid w:val="006915A0"/>
    <w:rsid w:val="006915A7"/>
    <w:rsid w:val="0069175A"/>
    <w:rsid w:val="00691885"/>
    <w:rsid w:val="006919EA"/>
    <w:rsid w:val="00691E68"/>
    <w:rsid w:val="00691F06"/>
    <w:rsid w:val="00691FFB"/>
    <w:rsid w:val="00692096"/>
    <w:rsid w:val="006921AB"/>
    <w:rsid w:val="0069228B"/>
    <w:rsid w:val="00692504"/>
    <w:rsid w:val="006925A8"/>
    <w:rsid w:val="006927F1"/>
    <w:rsid w:val="006927F2"/>
    <w:rsid w:val="00692B2C"/>
    <w:rsid w:val="00692C54"/>
    <w:rsid w:val="00692C98"/>
    <w:rsid w:val="00692EA0"/>
    <w:rsid w:val="00692F68"/>
    <w:rsid w:val="006931E1"/>
    <w:rsid w:val="006932DE"/>
    <w:rsid w:val="00693525"/>
    <w:rsid w:val="00693562"/>
    <w:rsid w:val="006935C4"/>
    <w:rsid w:val="006935CC"/>
    <w:rsid w:val="0069373E"/>
    <w:rsid w:val="006938E3"/>
    <w:rsid w:val="00693989"/>
    <w:rsid w:val="00693F20"/>
    <w:rsid w:val="00693F89"/>
    <w:rsid w:val="00693FF2"/>
    <w:rsid w:val="00694310"/>
    <w:rsid w:val="006944A1"/>
    <w:rsid w:val="006945ED"/>
    <w:rsid w:val="00694700"/>
    <w:rsid w:val="0069473F"/>
    <w:rsid w:val="006947CB"/>
    <w:rsid w:val="00694803"/>
    <w:rsid w:val="00694A14"/>
    <w:rsid w:val="00694B3F"/>
    <w:rsid w:val="00694CE8"/>
    <w:rsid w:val="00694D73"/>
    <w:rsid w:val="00695174"/>
    <w:rsid w:val="00695414"/>
    <w:rsid w:val="00695550"/>
    <w:rsid w:val="00695576"/>
    <w:rsid w:val="0069569E"/>
    <w:rsid w:val="006956C6"/>
    <w:rsid w:val="006956FA"/>
    <w:rsid w:val="00695790"/>
    <w:rsid w:val="00695C3C"/>
    <w:rsid w:val="00695D7E"/>
    <w:rsid w:val="00695DFE"/>
    <w:rsid w:val="00695DFF"/>
    <w:rsid w:val="00695ED0"/>
    <w:rsid w:val="006960D7"/>
    <w:rsid w:val="0069631B"/>
    <w:rsid w:val="006963B9"/>
    <w:rsid w:val="006963E8"/>
    <w:rsid w:val="006963F7"/>
    <w:rsid w:val="0069652C"/>
    <w:rsid w:val="0069652F"/>
    <w:rsid w:val="006965C2"/>
    <w:rsid w:val="006965FA"/>
    <w:rsid w:val="006968AF"/>
    <w:rsid w:val="00696B9B"/>
    <w:rsid w:val="00696D21"/>
    <w:rsid w:val="00696E94"/>
    <w:rsid w:val="00696EE3"/>
    <w:rsid w:val="00696F1C"/>
    <w:rsid w:val="0069715D"/>
    <w:rsid w:val="00697392"/>
    <w:rsid w:val="006973E5"/>
    <w:rsid w:val="006975D3"/>
    <w:rsid w:val="00697664"/>
    <w:rsid w:val="00697681"/>
    <w:rsid w:val="0069770C"/>
    <w:rsid w:val="006977A2"/>
    <w:rsid w:val="00697D61"/>
    <w:rsid w:val="006A00FD"/>
    <w:rsid w:val="006A0186"/>
    <w:rsid w:val="006A0216"/>
    <w:rsid w:val="006A022A"/>
    <w:rsid w:val="006A02D6"/>
    <w:rsid w:val="006A0576"/>
    <w:rsid w:val="006A08F2"/>
    <w:rsid w:val="006A095F"/>
    <w:rsid w:val="006A0A5F"/>
    <w:rsid w:val="006A0AA8"/>
    <w:rsid w:val="006A0B1D"/>
    <w:rsid w:val="006A0B43"/>
    <w:rsid w:val="006A0B52"/>
    <w:rsid w:val="006A0E68"/>
    <w:rsid w:val="006A0E82"/>
    <w:rsid w:val="006A105D"/>
    <w:rsid w:val="006A10A3"/>
    <w:rsid w:val="006A1194"/>
    <w:rsid w:val="006A1365"/>
    <w:rsid w:val="006A13F3"/>
    <w:rsid w:val="006A1442"/>
    <w:rsid w:val="006A151A"/>
    <w:rsid w:val="006A159F"/>
    <w:rsid w:val="006A15CD"/>
    <w:rsid w:val="006A16CB"/>
    <w:rsid w:val="006A1830"/>
    <w:rsid w:val="006A1A10"/>
    <w:rsid w:val="006A1A2C"/>
    <w:rsid w:val="006A1AE4"/>
    <w:rsid w:val="006A1AE7"/>
    <w:rsid w:val="006A1BA5"/>
    <w:rsid w:val="006A1E62"/>
    <w:rsid w:val="006A1EB0"/>
    <w:rsid w:val="006A1F24"/>
    <w:rsid w:val="006A1FCE"/>
    <w:rsid w:val="006A21FE"/>
    <w:rsid w:val="006A282D"/>
    <w:rsid w:val="006A2870"/>
    <w:rsid w:val="006A2967"/>
    <w:rsid w:val="006A29DA"/>
    <w:rsid w:val="006A2A12"/>
    <w:rsid w:val="006A2B36"/>
    <w:rsid w:val="006A2E9C"/>
    <w:rsid w:val="006A2F3C"/>
    <w:rsid w:val="006A30E3"/>
    <w:rsid w:val="006A336A"/>
    <w:rsid w:val="006A34DF"/>
    <w:rsid w:val="006A3522"/>
    <w:rsid w:val="006A35E0"/>
    <w:rsid w:val="006A377F"/>
    <w:rsid w:val="006A384A"/>
    <w:rsid w:val="006A3875"/>
    <w:rsid w:val="006A38AE"/>
    <w:rsid w:val="006A3A3C"/>
    <w:rsid w:val="006A3ACF"/>
    <w:rsid w:val="006A3C63"/>
    <w:rsid w:val="006A3D40"/>
    <w:rsid w:val="006A3D99"/>
    <w:rsid w:val="006A3EDC"/>
    <w:rsid w:val="006A4088"/>
    <w:rsid w:val="006A4167"/>
    <w:rsid w:val="006A4310"/>
    <w:rsid w:val="006A432D"/>
    <w:rsid w:val="006A4462"/>
    <w:rsid w:val="006A448B"/>
    <w:rsid w:val="006A4578"/>
    <w:rsid w:val="006A47D1"/>
    <w:rsid w:val="006A4955"/>
    <w:rsid w:val="006A4A48"/>
    <w:rsid w:val="006A4D6F"/>
    <w:rsid w:val="006A4D88"/>
    <w:rsid w:val="006A4E52"/>
    <w:rsid w:val="006A4EC3"/>
    <w:rsid w:val="006A52A3"/>
    <w:rsid w:val="006A5323"/>
    <w:rsid w:val="006A53C9"/>
    <w:rsid w:val="006A561D"/>
    <w:rsid w:val="006A564D"/>
    <w:rsid w:val="006A5857"/>
    <w:rsid w:val="006A59E4"/>
    <w:rsid w:val="006A5A0C"/>
    <w:rsid w:val="006A5AC3"/>
    <w:rsid w:val="006A5BA0"/>
    <w:rsid w:val="006A5BB1"/>
    <w:rsid w:val="006A5F88"/>
    <w:rsid w:val="006A6473"/>
    <w:rsid w:val="006A649F"/>
    <w:rsid w:val="006A66CA"/>
    <w:rsid w:val="006A6841"/>
    <w:rsid w:val="006A68C6"/>
    <w:rsid w:val="006A6B77"/>
    <w:rsid w:val="006A6C0D"/>
    <w:rsid w:val="006A6C8B"/>
    <w:rsid w:val="006A6E2B"/>
    <w:rsid w:val="006A6E43"/>
    <w:rsid w:val="006A6E80"/>
    <w:rsid w:val="006A6EA8"/>
    <w:rsid w:val="006A6FC7"/>
    <w:rsid w:val="006A6FD0"/>
    <w:rsid w:val="006A7146"/>
    <w:rsid w:val="006A7415"/>
    <w:rsid w:val="006A7472"/>
    <w:rsid w:val="006A74E1"/>
    <w:rsid w:val="006A75EF"/>
    <w:rsid w:val="006A762F"/>
    <w:rsid w:val="006A778D"/>
    <w:rsid w:val="006A7877"/>
    <w:rsid w:val="006A789E"/>
    <w:rsid w:val="006A790B"/>
    <w:rsid w:val="006A7CC6"/>
    <w:rsid w:val="006A7CF5"/>
    <w:rsid w:val="006A7D95"/>
    <w:rsid w:val="006B0084"/>
    <w:rsid w:val="006B02E2"/>
    <w:rsid w:val="006B04DD"/>
    <w:rsid w:val="006B061A"/>
    <w:rsid w:val="006B0791"/>
    <w:rsid w:val="006B0AF3"/>
    <w:rsid w:val="006B0CCC"/>
    <w:rsid w:val="006B0CE8"/>
    <w:rsid w:val="006B1082"/>
    <w:rsid w:val="006B114F"/>
    <w:rsid w:val="006B11AC"/>
    <w:rsid w:val="006B11FF"/>
    <w:rsid w:val="006B120D"/>
    <w:rsid w:val="006B12FF"/>
    <w:rsid w:val="006B13C1"/>
    <w:rsid w:val="006B153C"/>
    <w:rsid w:val="006B1587"/>
    <w:rsid w:val="006B158D"/>
    <w:rsid w:val="006B166A"/>
    <w:rsid w:val="006B172A"/>
    <w:rsid w:val="006B1766"/>
    <w:rsid w:val="006B17BC"/>
    <w:rsid w:val="006B1885"/>
    <w:rsid w:val="006B1954"/>
    <w:rsid w:val="006B1A4B"/>
    <w:rsid w:val="006B1BD3"/>
    <w:rsid w:val="006B1C47"/>
    <w:rsid w:val="006B1C81"/>
    <w:rsid w:val="006B1D74"/>
    <w:rsid w:val="006B1DA2"/>
    <w:rsid w:val="006B1DB6"/>
    <w:rsid w:val="006B226F"/>
    <w:rsid w:val="006B2276"/>
    <w:rsid w:val="006B240D"/>
    <w:rsid w:val="006B2513"/>
    <w:rsid w:val="006B2660"/>
    <w:rsid w:val="006B273E"/>
    <w:rsid w:val="006B27EE"/>
    <w:rsid w:val="006B2A94"/>
    <w:rsid w:val="006B2B2C"/>
    <w:rsid w:val="006B2BE4"/>
    <w:rsid w:val="006B2CC7"/>
    <w:rsid w:val="006B2D18"/>
    <w:rsid w:val="006B2D55"/>
    <w:rsid w:val="006B2D65"/>
    <w:rsid w:val="006B328B"/>
    <w:rsid w:val="006B33C2"/>
    <w:rsid w:val="006B33FA"/>
    <w:rsid w:val="006B3724"/>
    <w:rsid w:val="006B378B"/>
    <w:rsid w:val="006B3818"/>
    <w:rsid w:val="006B39AD"/>
    <w:rsid w:val="006B39C0"/>
    <w:rsid w:val="006B3AE4"/>
    <w:rsid w:val="006B3AF9"/>
    <w:rsid w:val="006B3D7F"/>
    <w:rsid w:val="006B3E93"/>
    <w:rsid w:val="006B403D"/>
    <w:rsid w:val="006B417E"/>
    <w:rsid w:val="006B4263"/>
    <w:rsid w:val="006B42A1"/>
    <w:rsid w:val="006B4375"/>
    <w:rsid w:val="006B43EA"/>
    <w:rsid w:val="006B44C5"/>
    <w:rsid w:val="006B46D3"/>
    <w:rsid w:val="006B4929"/>
    <w:rsid w:val="006B4CF7"/>
    <w:rsid w:val="006B4D49"/>
    <w:rsid w:val="006B4D5F"/>
    <w:rsid w:val="006B4D60"/>
    <w:rsid w:val="006B4F01"/>
    <w:rsid w:val="006B5024"/>
    <w:rsid w:val="006B50C8"/>
    <w:rsid w:val="006B50EE"/>
    <w:rsid w:val="006B510A"/>
    <w:rsid w:val="006B51C3"/>
    <w:rsid w:val="006B5299"/>
    <w:rsid w:val="006B5301"/>
    <w:rsid w:val="006B53AF"/>
    <w:rsid w:val="006B5524"/>
    <w:rsid w:val="006B555F"/>
    <w:rsid w:val="006B566A"/>
    <w:rsid w:val="006B577D"/>
    <w:rsid w:val="006B59B0"/>
    <w:rsid w:val="006B5CCB"/>
    <w:rsid w:val="006B6242"/>
    <w:rsid w:val="006B62DB"/>
    <w:rsid w:val="006B6331"/>
    <w:rsid w:val="006B63A2"/>
    <w:rsid w:val="006B64AA"/>
    <w:rsid w:val="006B66A5"/>
    <w:rsid w:val="006B6862"/>
    <w:rsid w:val="006B686D"/>
    <w:rsid w:val="006B6910"/>
    <w:rsid w:val="006B6BE8"/>
    <w:rsid w:val="006B6C7C"/>
    <w:rsid w:val="006B6DC1"/>
    <w:rsid w:val="006B6E05"/>
    <w:rsid w:val="006B6E53"/>
    <w:rsid w:val="006B6EA4"/>
    <w:rsid w:val="006B6FD0"/>
    <w:rsid w:val="006B717C"/>
    <w:rsid w:val="006B7361"/>
    <w:rsid w:val="006B7605"/>
    <w:rsid w:val="006B77B6"/>
    <w:rsid w:val="006B77BB"/>
    <w:rsid w:val="006B7B92"/>
    <w:rsid w:val="006B7EF6"/>
    <w:rsid w:val="006B7F52"/>
    <w:rsid w:val="006B7F59"/>
    <w:rsid w:val="006B7F8F"/>
    <w:rsid w:val="006B7FC5"/>
    <w:rsid w:val="006C0332"/>
    <w:rsid w:val="006C045E"/>
    <w:rsid w:val="006C0531"/>
    <w:rsid w:val="006C055E"/>
    <w:rsid w:val="006C0594"/>
    <w:rsid w:val="006C07C9"/>
    <w:rsid w:val="006C07FA"/>
    <w:rsid w:val="006C08D2"/>
    <w:rsid w:val="006C08D3"/>
    <w:rsid w:val="006C0981"/>
    <w:rsid w:val="006C0987"/>
    <w:rsid w:val="006C0B00"/>
    <w:rsid w:val="006C0CC6"/>
    <w:rsid w:val="006C0D13"/>
    <w:rsid w:val="006C0DB9"/>
    <w:rsid w:val="006C0E4A"/>
    <w:rsid w:val="006C1060"/>
    <w:rsid w:val="006C11D1"/>
    <w:rsid w:val="006C1482"/>
    <w:rsid w:val="006C1529"/>
    <w:rsid w:val="006C1837"/>
    <w:rsid w:val="006C187F"/>
    <w:rsid w:val="006C189D"/>
    <w:rsid w:val="006C18BE"/>
    <w:rsid w:val="006C19BC"/>
    <w:rsid w:val="006C19D5"/>
    <w:rsid w:val="006C1B44"/>
    <w:rsid w:val="006C1B6E"/>
    <w:rsid w:val="006C1C23"/>
    <w:rsid w:val="006C1CF8"/>
    <w:rsid w:val="006C1D76"/>
    <w:rsid w:val="006C1E14"/>
    <w:rsid w:val="006C1E3B"/>
    <w:rsid w:val="006C1F77"/>
    <w:rsid w:val="006C2112"/>
    <w:rsid w:val="006C2133"/>
    <w:rsid w:val="006C2165"/>
    <w:rsid w:val="006C21A2"/>
    <w:rsid w:val="006C2211"/>
    <w:rsid w:val="006C2280"/>
    <w:rsid w:val="006C2312"/>
    <w:rsid w:val="006C2400"/>
    <w:rsid w:val="006C2431"/>
    <w:rsid w:val="006C2474"/>
    <w:rsid w:val="006C24CF"/>
    <w:rsid w:val="006C260D"/>
    <w:rsid w:val="006C27C6"/>
    <w:rsid w:val="006C2837"/>
    <w:rsid w:val="006C28EB"/>
    <w:rsid w:val="006C2983"/>
    <w:rsid w:val="006C2997"/>
    <w:rsid w:val="006C2A80"/>
    <w:rsid w:val="006C2C90"/>
    <w:rsid w:val="006C2F7E"/>
    <w:rsid w:val="006C3031"/>
    <w:rsid w:val="006C35FF"/>
    <w:rsid w:val="006C3607"/>
    <w:rsid w:val="006C377D"/>
    <w:rsid w:val="006C389B"/>
    <w:rsid w:val="006C3990"/>
    <w:rsid w:val="006C3A5B"/>
    <w:rsid w:val="006C3BAC"/>
    <w:rsid w:val="006C3D61"/>
    <w:rsid w:val="006C3DEA"/>
    <w:rsid w:val="006C3E01"/>
    <w:rsid w:val="006C3ED2"/>
    <w:rsid w:val="006C4168"/>
    <w:rsid w:val="006C4233"/>
    <w:rsid w:val="006C42A9"/>
    <w:rsid w:val="006C42E7"/>
    <w:rsid w:val="006C4422"/>
    <w:rsid w:val="006C4446"/>
    <w:rsid w:val="006C44D9"/>
    <w:rsid w:val="006C46DE"/>
    <w:rsid w:val="006C4744"/>
    <w:rsid w:val="006C4A7A"/>
    <w:rsid w:val="006C4AF6"/>
    <w:rsid w:val="006C4BEC"/>
    <w:rsid w:val="006C4DA8"/>
    <w:rsid w:val="006C4DFE"/>
    <w:rsid w:val="006C4E60"/>
    <w:rsid w:val="006C4F15"/>
    <w:rsid w:val="006C5408"/>
    <w:rsid w:val="006C57A2"/>
    <w:rsid w:val="006C5874"/>
    <w:rsid w:val="006C595C"/>
    <w:rsid w:val="006C59F4"/>
    <w:rsid w:val="006C5B56"/>
    <w:rsid w:val="006C5C53"/>
    <w:rsid w:val="006C5C98"/>
    <w:rsid w:val="006C5CCA"/>
    <w:rsid w:val="006C5E43"/>
    <w:rsid w:val="006C5E79"/>
    <w:rsid w:val="006C5EA2"/>
    <w:rsid w:val="006C605A"/>
    <w:rsid w:val="006C6112"/>
    <w:rsid w:val="006C615C"/>
    <w:rsid w:val="006C625F"/>
    <w:rsid w:val="006C636E"/>
    <w:rsid w:val="006C65AC"/>
    <w:rsid w:val="006C68C4"/>
    <w:rsid w:val="006C6911"/>
    <w:rsid w:val="006C6967"/>
    <w:rsid w:val="006C6BBA"/>
    <w:rsid w:val="006C6E45"/>
    <w:rsid w:val="006C6EDF"/>
    <w:rsid w:val="006C6F7A"/>
    <w:rsid w:val="006C73D4"/>
    <w:rsid w:val="006C7446"/>
    <w:rsid w:val="006C746A"/>
    <w:rsid w:val="006C748C"/>
    <w:rsid w:val="006C75AB"/>
    <w:rsid w:val="006C7786"/>
    <w:rsid w:val="006C78A6"/>
    <w:rsid w:val="006C7A1E"/>
    <w:rsid w:val="006C7A20"/>
    <w:rsid w:val="006C7AB4"/>
    <w:rsid w:val="006C7B7D"/>
    <w:rsid w:val="006C7C9E"/>
    <w:rsid w:val="006C7D92"/>
    <w:rsid w:val="006C7ED5"/>
    <w:rsid w:val="006C7EF2"/>
    <w:rsid w:val="006D0001"/>
    <w:rsid w:val="006D006B"/>
    <w:rsid w:val="006D00A0"/>
    <w:rsid w:val="006D0191"/>
    <w:rsid w:val="006D0204"/>
    <w:rsid w:val="006D0362"/>
    <w:rsid w:val="006D03BB"/>
    <w:rsid w:val="006D0560"/>
    <w:rsid w:val="006D0832"/>
    <w:rsid w:val="006D087D"/>
    <w:rsid w:val="006D0977"/>
    <w:rsid w:val="006D0A98"/>
    <w:rsid w:val="006D0CBE"/>
    <w:rsid w:val="006D0CCA"/>
    <w:rsid w:val="006D0D30"/>
    <w:rsid w:val="006D103D"/>
    <w:rsid w:val="006D105C"/>
    <w:rsid w:val="006D1597"/>
    <w:rsid w:val="006D15A7"/>
    <w:rsid w:val="006D17BF"/>
    <w:rsid w:val="006D17D4"/>
    <w:rsid w:val="006D187B"/>
    <w:rsid w:val="006D1A1F"/>
    <w:rsid w:val="006D1D6C"/>
    <w:rsid w:val="006D2135"/>
    <w:rsid w:val="006D214C"/>
    <w:rsid w:val="006D2191"/>
    <w:rsid w:val="006D239C"/>
    <w:rsid w:val="006D29E4"/>
    <w:rsid w:val="006D2A16"/>
    <w:rsid w:val="006D2A37"/>
    <w:rsid w:val="006D2B3C"/>
    <w:rsid w:val="006D2CE8"/>
    <w:rsid w:val="006D2D0A"/>
    <w:rsid w:val="006D2E70"/>
    <w:rsid w:val="006D2F19"/>
    <w:rsid w:val="006D30E7"/>
    <w:rsid w:val="006D319A"/>
    <w:rsid w:val="006D3216"/>
    <w:rsid w:val="006D32D2"/>
    <w:rsid w:val="006D38A6"/>
    <w:rsid w:val="006D3961"/>
    <w:rsid w:val="006D399F"/>
    <w:rsid w:val="006D3A25"/>
    <w:rsid w:val="006D3AAC"/>
    <w:rsid w:val="006D3AD3"/>
    <w:rsid w:val="006D3AE8"/>
    <w:rsid w:val="006D3AF6"/>
    <w:rsid w:val="006D3C66"/>
    <w:rsid w:val="006D3C7B"/>
    <w:rsid w:val="006D3EF5"/>
    <w:rsid w:val="006D3F39"/>
    <w:rsid w:val="006D3F84"/>
    <w:rsid w:val="006D4368"/>
    <w:rsid w:val="006D445E"/>
    <w:rsid w:val="006D45F0"/>
    <w:rsid w:val="006D463A"/>
    <w:rsid w:val="006D48E7"/>
    <w:rsid w:val="006D4947"/>
    <w:rsid w:val="006D49E8"/>
    <w:rsid w:val="006D4C1B"/>
    <w:rsid w:val="006D4D1D"/>
    <w:rsid w:val="006D4D78"/>
    <w:rsid w:val="006D4F98"/>
    <w:rsid w:val="006D5074"/>
    <w:rsid w:val="006D5252"/>
    <w:rsid w:val="006D52C2"/>
    <w:rsid w:val="006D52F5"/>
    <w:rsid w:val="006D55AE"/>
    <w:rsid w:val="006D5600"/>
    <w:rsid w:val="006D5673"/>
    <w:rsid w:val="006D5744"/>
    <w:rsid w:val="006D5C32"/>
    <w:rsid w:val="006D5CF1"/>
    <w:rsid w:val="006D5F16"/>
    <w:rsid w:val="006D620E"/>
    <w:rsid w:val="006D63AD"/>
    <w:rsid w:val="006D65DF"/>
    <w:rsid w:val="006D65FD"/>
    <w:rsid w:val="006D6764"/>
    <w:rsid w:val="006D67D9"/>
    <w:rsid w:val="006D6853"/>
    <w:rsid w:val="006D6916"/>
    <w:rsid w:val="006D692D"/>
    <w:rsid w:val="006D6A8E"/>
    <w:rsid w:val="006D6A9B"/>
    <w:rsid w:val="006D6ADB"/>
    <w:rsid w:val="006D6C7B"/>
    <w:rsid w:val="006D6C93"/>
    <w:rsid w:val="006D6C9C"/>
    <w:rsid w:val="006D7097"/>
    <w:rsid w:val="006D73AF"/>
    <w:rsid w:val="006D7573"/>
    <w:rsid w:val="006D77E4"/>
    <w:rsid w:val="006D784E"/>
    <w:rsid w:val="006D7857"/>
    <w:rsid w:val="006D78FA"/>
    <w:rsid w:val="006D79C1"/>
    <w:rsid w:val="006D7A5E"/>
    <w:rsid w:val="006D7B76"/>
    <w:rsid w:val="006D7BE3"/>
    <w:rsid w:val="006D7E34"/>
    <w:rsid w:val="006E024D"/>
    <w:rsid w:val="006E027C"/>
    <w:rsid w:val="006E0340"/>
    <w:rsid w:val="006E0422"/>
    <w:rsid w:val="006E06F9"/>
    <w:rsid w:val="006E07A9"/>
    <w:rsid w:val="006E0921"/>
    <w:rsid w:val="006E0AED"/>
    <w:rsid w:val="006E0D8D"/>
    <w:rsid w:val="006E0D91"/>
    <w:rsid w:val="006E0DB2"/>
    <w:rsid w:val="006E0FE7"/>
    <w:rsid w:val="006E1140"/>
    <w:rsid w:val="006E1519"/>
    <w:rsid w:val="006E154D"/>
    <w:rsid w:val="006E16F4"/>
    <w:rsid w:val="006E1706"/>
    <w:rsid w:val="006E1721"/>
    <w:rsid w:val="006E187B"/>
    <w:rsid w:val="006E1B33"/>
    <w:rsid w:val="006E1CF2"/>
    <w:rsid w:val="006E1F81"/>
    <w:rsid w:val="006E1FA8"/>
    <w:rsid w:val="006E2055"/>
    <w:rsid w:val="006E22F8"/>
    <w:rsid w:val="006E24FE"/>
    <w:rsid w:val="006E2669"/>
    <w:rsid w:val="006E28F8"/>
    <w:rsid w:val="006E29B9"/>
    <w:rsid w:val="006E2A25"/>
    <w:rsid w:val="006E2B02"/>
    <w:rsid w:val="006E2C42"/>
    <w:rsid w:val="006E2C5D"/>
    <w:rsid w:val="006E2D22"/>
    <w:rsid w:val="006E2E41"/>
    <w:rsid w:val="006E2F84"/>
    <w:rsid w:val="006E327D"/>
    <w:rsid w:val="006E32B4"/>
    <w:rsid w:val="006E3386"/>
    <w:rsid w:val="006E33BA"/>
    <w:rsid w:val="006E3513"/>
    <w:rsid w:val="006E35ED"/>
    <w:rsid w:val="006E36A8"/>
    <w:rsid w:val="006E3888"/>
    <w:rsid w:val="006E39B1"/>
    <w:rsid w:val="006E39F5"/>
    <w:rsid w:val="006E3A01"/>
    <w:rsid w:val="006E3AA1"/>
    <w:rsid w:val="006E3BC2"/>
    <w:rsid w:val="006E3C19"/>
    <w:rsid w:val="006E3C5F"/>
    <w:rsid w:val="006E3CB2"/>
    <w:rsid w:val="006E3DA8"/>
    <w:rsid w:val="006E4055"/>
    <w:rsid w:val="006E40CE"/>
    <w:rsid w:val="006E4256"/>
    <w:rsid w:val="006E431A"/>
    <w:rsid w:val="006E4380"/>
    <w:rsid w:val="006E4651"/>
    <w:rsid w:val="006E4778"/>
    <w:rsid w:val="006E47B2"/>
    <w:rsid w:val="006E4954"/>
    <w:rsid w:val="006E4A1F"/>
    <w:rsid w:val="006E4C8F"/>
    <w:rsid w:val="006E4D2E"/>
    <w:rsid w:val="006E4DE6"/>
    <w:rsid w:val="006E4F08"/>
    <w:rsid w:val="006E5022"/>
    <w:rsid w:val="006E5228"/>
    <w:rsid w:val="006E52A7"/>
    <w:rsid w:val="006E5309"/>
    <w:rsid w:val="006E55A0"/>
    <w:rsid w:val="006E5CC4"/>
    <w:rsid w:val="006E5D70"/>
    <w:rsid w:val="006E5DAA"/>
    <w:rsid w:val="006E5F08"/>
    <w:rsid w:val="006E5FF6"/>
    <w:rsid w:val="006E60C4"/>
    <w:rsid w:val="006E61E6"/>
    <w:rsid w:val="006E6325"/>
    <w:rsid w:val="006E633B"/>
    <w:rsid w:val="006E63B0"/>
    <w:rsid w:val="006E64DF"/>
    <w:rsid w:val="006E66CE"/>
    <w:rsid w:val="006E67E3"/>
    <w:rsid w:val="006E68E0"/>
    <w:rsid w:val="006E6B8E"/>
    <w:rsid w:val="006E6C49"/>
    <w:rsid w:val="006E6D05"/>
    <w:rsid w:val="006E6E89"/>
    <w:rsid w:val="006E6ED0"/>
    <w:rsid w:val="006E6F0E"/>
    <w:rsid w:val="006E7006"/>
    <w:rsid w:val="006E7080"/>
    <w:rsid w:val="006E715C"/>
    <w:rsid w:val="006E7238"/>
    <w:rsid w:val="006E7265"/>
    <w:rsid w:val="006E7376"/>
    <w:rsid w:val="006E73A1"/>
    <w:rsid w:val="006E744A"/>
    <w:rsid w:val="006E752F"/>
    <w:rsid w:val="006E76B0"/>
    <w:rsid w:val="006E76BB"/>
    <w:rsid w:val="006E7866"/>
    <w:rsid w:val="006E7A4B"/>
    <w:rsid w:val="006E7DAE"/>
    <w:rsid w:val="006E7DCF"/>
    <w:rsid w:val="006E7F61"/>
    <w:rsid w:val="006F007E"/>
    <w:rsid w:val="006F00E7"/>
    <w:rsid w:val="006F0204"/>
    <w:rsid w:val="006F042F"/>
    <w:rsid w:val="006F0432"/>
    <w:rsid w:val="006F065F"/>
    <w:rsid w:val="006F07A0"/>
    <w:rsid w:val="006F08E8"/>
    <w:rsid w:val="006F0903"/>
    <w:rsid w:val="006F0AE1"/>
    <w:rsid w:val="006F0BBC"/>
    <w:rsid w:val="006F0CE2"/>
    <w:rsid w:val="006F0D42"/>
    <w:rsid w:val="006F0DCD"/>
    <w:rsid w:val="006F0F6E"/>
    <w:rsid w:val="006F0FE4"/>
    <w:rsid w:val="006F1051"/>
    <w:rsid w:val="006F108F"/>
    <w:rsid w:val="006F1206"/>
    <w:rsid w:val="006F12C5"/>
    <w:rsid w:val="006F13C2"/>
    <w:rsid w:val="006F13FE"/>
    <w:rsid w:val="006F1404"/>
    <w:rsid w:val="006F1532"/>
    <w:rsid w:val="006F16D3"/>
    <w:rsid w:val="006F172D"/>
    <w:rsid w:val="006F1785"/>
    <w:rsid w:val="006F1916"/>
    <w:rsid w:val="006F1A5A"/>
    <w:rsid w:val="006F1B22"/>
    <w:rsid w:val="006F1BA4"/>
    <w:rsid w:val="006F1C4F"/>
    <w:rsid w:val="006F205D"/>
    <w:rsid w:val="006F2139"/>
    <w:rsid w:val="006F21AF"/>
    <w:rsid w:val="006F2259"/>
    <w:rsid w:val="006F22AB"/>
    <w:rsid w:val="006F23E1"/>
    <w:rsid w:val="006F25D4"/>
    <w:rsid w:val="006F2821"/>
    <w:rsid w:val="006F29AB"/>
    <w:rsid w:val="006F2A1B"/>
    <w:rsid w:val="006F2B84"/>
    <w:rsid w:val="006F2EB3"/>
    <w:rsid w:val="006F2F8F"/>
    <w:rsid w:val="006F2FDA"/>
    <w:rsid w:val="006F2FE5"/>
    <w:rsid w:val="006F3016"/>
    <w:rsid w:val="006F3043"/>
    <w:rsid w:val="006F3234"/>
    <w:rsid w:val="006F3460"/>
    <w:rsid w:val="006F34BC"/>
    <w:rsid w:val="006F34D0"/>
    <w:rsid w:val="006F34F6"/>
    <w:rsid w:val="006F34FE"/>
    <w:rsid w:val="006F3615"/>
    <w:rsid w:val="006F3B4C"/>
    <w:rsid w:val="006F3CFF"/>
    <w:rsid w:val="006F3D99"/>
    <w:rsid w:val="006F3E36"/>
    <w:rsid w:val="006F3F71"/>
    <w:rsid w:val="006F3F9C"/>
    <w:rsid w:val="006F3FA3"/>
    <w:rsid w:val="006F4111"/>
    <w:rsid w:val="006F4226"/>
    <w:rsid w:val="006F42DF"/>
    <w:rsid w:val="006F44B2"/>
    <w:rsid w:val="006F44DE"/>
    <w:rsid w:val="006F4806"/>
    <w:rsid w:val="006F4893"/>
    <w:rsid w:val="006F48BA"/>
    <w:rsid w:val="006F4A1C"/>
    <w:rsid w:val="006F4A88"/>
    <w:rsid w:val="006F4AF9"/>
    <w:rsid w:val="006F4CD8"/>
    <w:rsid w:val="006F4D5D"/>
    <w:rsid w:val="006F508B"/>
    <w:rsid w:val="006F519C"/>
    <w:rsid w:val="006F52CF"/>
    <w:rsid w:val="006F53B9"/>
    <w:rsid w:val="006F53F2"/>
    <w:rsid w:val="006F54EB"/>
    <w:rsid w:val="006F591F"/>
    <w:rsid w:val="006F5A1E"/>
    <w:rsid w:val="006F5B1F"/>
    <w:rsid w:val="006F5BCE"/>
    <w:rsid w:val="006F5C14"/>
    <w:rsid w:val="006F5C43"/>
    <w:rsid w:val="006F5C72"/>
    <w:rsid w:val="006F5CC1"/>
    <w:rsid w:val="006F5E5B"/>
    <w:rsid w:val="006F5E67"/>
    <w:rsid w:val="006F5F2F"/>
    <w:rsid w:val="006F60E5"/>
    <w:rsid w:val="006F613F"/>
    <w:rsid w:val="006F61A0"/>
    <w:rsid w:val="006F66A0"/>
    <w:rsid w:val="006F67A5"/>
    <w:rsid w:val="006F6A29"/>
    <w:rsid w:val="006F6FF4"/>
    <w:rsid w:val="006F707B"/>
    <w:rsid w:val="006F71E3"/>
    <w:rsid w:val="006F72E0"/>
    <w:rsid w:val="006F762D"/>
    <w:rsid w:val="006F763E"/>
    <w:rsid w:val="006F7688"/>
    <w:rsid w:val="006F76B3"/>
    <w:rsid w:val="006F7880"/>
    <w:rsid w:val="006F78AF"/>
    <w:rsid w:val="006F7997"/>
    <w:rsid w:val="006F7A37"/>
    <w:rsid w:val="006F7AD3"/>
    <w:rsid w:val="006F7AF9"/>
    <w:rsid w:val="006F7BC6"/>
    <w:rsid w:val="006F7D0E"/>
    <w:rsid w:val="006F7DAB"/>
    <w:rsid w:val="006F7EA1"/>
    <w:rsid w:val="007000A2"/>
    <w:rsid w:val="007001A9"/>
    <w:rsid w:val="00700208"/>
    <w:rsid w:val="007002E0"/>
    <w:rsid w:val="00700349"/>
    <w:rsid w:val="00700492"/>
    <w:rsid w:val="00700515"/>
    <w:rsid w:val="00700541"/>
    <w:rsid w:val="0070057D"/>
    <w:rsid w:val="00700770"/>
    <w:rsid w:val="00700805"/>
    <w:rsid w:val="0070085B"/>
    <w:rsid w:val="00700882"/>
    <w:rsid w:val="0070098A"/>
    <w:rsid w:val="007009C7"/>
    <w:rsid w:val="00700A08"/>
    <w:rsid w:val="00700A50"/>
    <w:rsid w:val="00700B48"/>
    <w:rsid w:val="00700B72"/>
    <w:rsid w:val="00700C8D"/>
    <w:rsid w:val="00700F1B"/>
    <w:rsid w:val="00701094"/>
    <w:rsid w:val="00701203"/>
    <w:rsid w:val="00701306"/>
    <w:rsid w:val="0070133E"/>
    <w:rsid w:val="00701440"/>
    <w:rsid w:val="0070167E"/>
    <w:rsid w:val="00701A9A"/>
    <w:rsid w:val="00701AB7"/>
    <w:rsid w:val="00701BB4"/>
    <w:rsid w:val="00701CB4"/>
    <w:rsid w:val="00701E1B"/>
    <w:rsid w:val="00702216"/>
    <w:rsid w:val="007025BB"/>
    <w:rsid w:val="007026DB"/>
    <w:rsid w:val="0070282F"/>
    <w:rsid w:val="007028B5"/>
    <w:rsid w:val="007029AE"/>
    <w:rsid w:val="00702AE5"/>
    <w:rsid w:val="00702B1F"/>
    <w:rsid w:val="00702B31"/>
    <w:rsid w:val="00702CD4"/>
    <w:rsid w:val="00702ED0"/>
    <w:rsid w:val="00703085"/>
    <w:rsid w:val="0070328A"/>
    <w:rsid w:val="007033EA"/>
    <w:rsid w:val="0070342C"/>
    <w:rsid w:val="0070347E"/>
    <w:rsid w:val="00703482"/>
    <w:rsid w:val="00703485"/>
    <w:rsid w:val="0070349F"/>
    <w:rsid w:val="00703529"/>
    <w:rsid w:val="007037EA"/>
    <w:rsid w:val="00703A7A"/>
    <w:rsid w:val="00703C09"/>
    <w:rsid w:val="00703E55"/>
    <w:rsid w:val="00703F1F"/>
    <w:rsid w:val="00703F8B"/>
    <w:rsid w:val="007040E1"/>
    <w:rsid w:val="00704179"/>
    <w:rsid w:val="00704250"/>
    <w:rsid w:val="0070434A"/>
    <w:rsid w:val="00704476"/>
    <w:rsid w:val="0070449D"/>
    <w:rsid w:val="007045DE"/>
    <w:rsid w:val="00704602"/>
    <w:rsid w:val="007046BD"/>
    <w:rsid w:val="007048C4"/>
    <w:rsid w:val="00704A56"/>
    <w:rsid w:val="00704AD1"/>
    <w:rsid w:val="00704B4C"/>
    <w:rsid w:val="00704BBF"/>
    <w:rsid w:val="00704CC4"/>
    <w:rsid w:val="00704D32"/>
    <w:rsid w:val="00704E4F"/>
    <w:rsid w:val="0070529B"/>
    <w:rsid w:val="007052A6"/>
    <w:rsid w:val="00705345"/>
    <w:rsid w:val="007053E4"/>
    <w:rsid w:val="007055BF"/>
    <w:rsid w:val="00705662"/>
    <w:rsid w:val="007056C3"/>
    <w:rsid w:val="00705862"/>
    <w:rsid w:val="007058BF"/>
    <w:rsid w:val="00705AC2"/>
    <w:rsid w:val="00705B0E"/>
    <w:rsid w:val="00705B8D"/>
    <w:rsid w:val="00705BA2"/>
    <w:rsid w:val="00705C73"/>
    <w:rsid w:val="00705CCB"/>
    <w:rsid w:val="00705E71"/>
    <w:rsid w:val="00705E7C"/>
    <w:rsid w:val="00705E91"/>
    <w:rsid w:val="00705F22"/>
    <w:rsid w:val="0070624D"/>
    <w:rsid w:val="00706332"/>
    <w:rsid w:val="0070638D"/>
    <w:rsid w:val="0070662F"/>
    <w:rsid w:val="00706654"/>
    <w:rsid w:val="007067A4"/>
    <w:rsid w:val="00706831"/>
    <w:rsid w:val="00706A7F"/>
    <w:rsid w:val="00706AC9"/>
    <w:rsid w:val="00706B47"/>
    <w:rsid w:val="00706DBF"/>
    <w:rsid w:val="00706DE2"/>
    <w:rsid w:val="0070705A"/>
    <w:rsid w:val="00707117"/>
    <w:rsid w:val="0070711E"/>
    <w:rsid w:val="007071A6"/>
    <w:rsid w:val="00707429"/>
    <w:rsid w:val="0070753E"/>
    <w:rsid w:val="007075E6"/>
    <w:rsid w:val="00707752"/>
    <w:rsid w:val="00707883"/>
    <w:rsid w:val="00707A59"/>
    <w:rsid w:val="00707B18"/>
    <w:rsid w:val="00707BD8"/>
    <w:rsid w:val="00707D85"/>
    <w:rsid w:val="00710011"/>
    <w:rsid w:val="00710045"/>
    <w:rsid w:val="007103C0"/>
    <w:rsid w:val="007103EC"/>
    <w:rsid w:val="0071046B"/>
    <w:rsid w:val="0071048B"/>
    <w:rsid w:val="00710786"/>
    <w:rsid w:val="00710A25"/>
    <w:rsid w:val="00710AC6"/>
    <w:rsid w:val="00710C1D"/>
    <w:rsid w:val="00710D47"/>
    <w:rsid w:val="00710D87"/>
    <w:rsid w:val="00710E9C"/>
    <w:rsid w:val="00710EC2"/>
    <w:rsid w:val="00710F1C"/>
    <w:rsid w:val="007110A3"/>
    <w:rsid w:val="00711108"/>
    <w:rsid w:val="00711213"/>
    <w:rsid w:val="0071129B"/>
    <w:rsid w:val="0071129E"/>
    <w:rsid w:val="007112A1"/>
    <w:rsid w:val="00711335"/>
    <w:rsid w:val="00711358"/>
    <w:rsid w:val="0071140D"/>
    <w:rsid w:val="0071143F"/>
    <w:rsid w:val="00711550"/>
    <w:rsid w:val="00711795"/>
    <w:rsid w:val="007117E9"/>
    <w:rsid w:val="00711996"/>
    <w:rsid w:val="00711B3B"/>
    <w:rsid w:val="00711BA3"/>
    <w:rsid w:val="00711BB1"/>
    <w:rsid w:val="00711BC4"/>
    <w:rsid w:val="00711BDC"/>
    <w:rsid w:val="00711C9D"/>
    <w:rsid w:val="00711CEA"/>
    <w:rsid w:val="00711F8E"/>
    <w:rsid w:val="0071220B"/>
    <w:rsid w:val="007125B0"/>
    <w:rsid w:val="00712654"/>
    <w:rsid w:val="00712B71"/>
    <w:rsid w:val="00712C09"/>
    <w:rsid w:val="00712D6C"/>
    <w:rsid w:val="00712D9B"/>
    <w:rsid w:val="00712E55"/>
    <w:rsid w:val="00712F77"/>
    <w:rsid w:val="00713023"/>
    <w:rsid w:val="0071322C"/>
    <w:rsid w:val="00713291"/>
    <w:rsid w:val="0071345D"/>
    <w:rsid w:val="007134A3"/>
    <w:rsid w:val="0071351B"/>
    <w:rsid w:val="007135A8"/>
    <w:rsid w:val="0071362E"/>
    <w:rsid w:val="00713730"/>
    <w:rsid w:val="00713779"/>
    <w:rsid w:val="007137C4"/>
    <w:rsid w:val="007137D3"/>
    <w:rsid w:val="00713989"/>
    <w:rsid w:val="00713AEC"/>
    <w:rsid w:val="00713B16"/>
    <w:rsid w:val="00713DCF"/>
    <w:rsid w:val="00713F5E"/>
    <w:rsid w:val="00713F82"/>
    <w:rsid w:val="00714004"/>
    <w:rsid w:val="0071411E"/>
    <w:rsid w:val="007141E6"/>
    <w:rsid w:val="00714386"/>
    <w:rsid w:val="00714418"/>
    <w:rsid w:val="0071458E"/>
    <w:rsid w:val="007145C9"/>
    <w:rsid w:val="00714631"/>
    <w:rsid w:val="00714965"/>
    <w:rsid w:val="00714B6E"/>
    <w:rsid w:val="00714BC5"/>
    <w:rsid w:val="00714CED"/>
    <w:rsid w:val="00714E65"/>
    <w:rsid w:val="00714FEF"/>
    <w:rsid w:val="00715036"/>
    <w:rsid w:val="0071512F"/>
    <w:rsid w:val="00715288"/>
    <w:rsid w:val="00715299"/>
    <w:rsid w:val="007154D4"/>
    <w:rsid w:val="007158D7"/>
    <w:rsid w:val="00715A31"/>
    <w:rsid w:val="00715AD5"/>
    <w:rsid w:val="00715B89"/>
    <w:rsid w:val="00715C71"/>
    <w:rsid w:val="00715C97"/>
    <w:rsid w:val="00715CFA"/>
    <w:rsid w:val="00715E51"/>
    <w:rsid w:val="00715FD3"/>
    <w:rsid w:val="00716124"/>
    <w:rsid w:val="0071623C"/>
    <w:rsid w:val="007162CE"/>
    <w:rsid w:val="0071639C"/>
    <w:rsid w:val="00716550"/>
    <w:rsid w:val="007166EA"/>
    <w:rsid w:val="0071674C"/>
    <w:rsid w:val="007167DF"/>
    <w:rsid w:val="007168BF"/>
    <w:rsid w:val="007169AC"/>
    <w:rsid w:val="007169DD"/>
    <w:rsid w:val="00716A5C"/>
    <w:rsid w:val="00716E89"/>
    <w:rsid w:val="007170FA"/>
    <w:rsid w:val="00717159"/>
    <w:rsid w:val="007171BF"/>
    <w:rsid w:val="00717227"/>
    <w:rsid w:val="00717243"/>
    <w:rsid w:val="00717271"/>
    <w:rsid w:val="00717280"/>
    <w:rsid w:val="00717380"/>
    <w:rsid w:val="0071751C"/>
    <w:rsid w:val="00717657"/>
    <w:rsid w:val="00717679"/>
    <w:rsid w:val="007176CE"/>
    <w:rsid w:val="0071772D"/>
    <w:rsid w:val="00717A9B"/>
    <w:rsid w:val="00717B67"/>
    <w:rsid w:val="00717BC3"/>
    <w:rsid w:val="00717D04"/>
    <w:rsid w:val="00717EA6"/>
    <w:rsid w:val="00717FDD"/>
    <w:rsid w:val="00720123"/>
    <w:rsid w:val="0072034D"/>
    <w:rsid w:val="007203B7"/>
    <w:rsid w:val="007203BA"/>
    <w:rsid w:val="007204C1"/>
    <w:rsid w:val="00720699"/>
    <w:rsid w:val="007206A2"/>
    <w:rsid w:val="00720883"/>
    <w:rsid w:val="007208DF"/>
    <w:rsid w:val="00720966"/>
    <w:rsid w:val="00720B38"/>
    <w:rsid w:val="00720BFD"/>
    <w:rsid w:val="00720CA7"/>
    <w:rsid w:val="00720D2A"/>
    <w:rsid w:val="00720D8F"/>
    <w:rsid w:val="00720E99"/>
    <w:rsid w:val="00720EDE"/>
    <w:rsid w:val="00720F5A"/>
    <w:rsid w:val="00721042"/>
    <w:rsid w:val="0072112B"/>
    <w:rsid w:val="007211A7"/>
    <w:rsid w:val="007213E3"/>
    <w:rsid w:val="0072147B"/>
    <w:rsid w:val="007215EE"/>
    <w:rsid w:val="0072163B"/>
    <w:rsid w:val="00721674"/>
    <w:rsid w:val="007217C0"/>
    <w:rsid w:val="0072181E"/>
    <w:rsid w:val="00721890"/>
    <w:rsid w:val="007218B1"/>
    <w:rsid w:val="007219F5"/>
    <w:rsid w:val="00721BA7"/>
    <w:rsid w:val="00721BEA"/>
    <w:rsid w:val="00721C48"/>
    <w:rsid w:val="00721C64"/>
    <w:rsid w:val="00721F5D"/>
    <w:rsid w:val="00721F8D"/>
    <w:rsid w:val="007220AE"/>
    <w:rsid w:val="00722120"/>
    <w:rsid w:val="00722123"/>
    <w:rsid w:val="0072215D"/>
    <w:rsid w:val="0072220D"/>
    <w:rsid w:val="00722267"/>
    <w:rsid w:val="00722432"/>
    <w:rsid w:val="00722452"/>
    <w:rsid w:val="00722501"/>
    <w:rsid w:val="00722660"/>
    <w:rsid w:val="00722777"/>
    <w:rsid w:val="0072285E"/>
    <w:rsid w:val="00722899"/>
    <w:rsid w:val="007228FF"/>
    <w:rsid w:val="00722B17"/>
    <w:rsid w:val="00722BB8"/>
    <w:rsid w:val="00722BD6"/>
    <w:rsid w:val="00722C62"/>
    <w:rsid w:val="00722D10"/>
    <w:rsid w:val="00722D4C"/>
    <w:rsid w:val="00722DA8"/>
    <w:rsid w:val="00722ED2"/>
    <w:rsid w:val="00723046"/>
    <w:rsid w:val="007230DD"/>
    <w:rsid w:val="00723151"/>
    <w:rsid w:val="00723195"/>
    <w:rsid w:val="007231BD"/>
    <w:rsid w:val="0072321F"/>
    <w:rsid w:val="00723295"/>
    <w:rsid w:val="00723301"/>
    <w:rsid w:val="007238E2"/>
    <w:rsid w:val="00723945"/>
    <w:rsid w:val="007239B4"/>
    <w:rsid w:val="00723B2D"/>
    <w:rsid w:val="00723B54"/>
    <w:rsid w:val="00723F4F"/>
    <w:rsid w:val="00723F9D"/>
    <w:rsid w:val="00724173"/>
    <w:rsid w:val="0072419D"/>
    <w:rsid w:val="00724236"/>
    <w:rsid w:val="0072430D"/>
    <w:rsid w:val="00724446"/>
    <w:rsid w:val="007244C4"/>
    <w:rsid w:val="00724584"/>
    <w:rsid w:val="00724945"/>
    <w:rsid w:val="007249C5"/>
    <w:rsid w:val="00724AA1"/>
    <w:rsid w:val="00724B59"/>
    <w:rsid w:val="00724B8E"/>
    <w:rsid w:val="00724C42"/>
    <w:rsid w:val="00724CC0"/>
    <w:rsid w:val="00724CFF"/>
    <w:rsid w:val="00724D03"/>
    <w:rsid w:val="00724D10"/>
    <w:rsid w:val="00724D39"/>
    <w:rsid w:val="00724DDA"/>
    <w:rsid w:val="00724FA6"/>
    <w:rsid w:val="00725092"/>
    <w:rsid w:val="007250C9"/>
    <w:rsid w:val="0072518E"/>
    <w:rsid w:val="007251F5"/>
    <w:rsid w:val="007252A1"/>
    <w:rsid w:val="007252C8"/>
    <w:rsid w:val="007252E3"/>
    <w:rsid w:val="00725431"/>
    <w:rsid w:val="007255FA"/>
    <w:rsid w:val="0072565C"/>
    <w:rsid w:val="007256F0"/>
    <w:rsid w:val="00725771"/>
    <w:rsid w:val="007259AF"/>
    <w:rsid w:val="00725A06"/>
    <w:rsid w:val="00725A19"/>
    <w:rsid w:val="00725C03"/>
    <w:rsid w:val="00725DD5"/>
    <w:rsid w:val="00725FFB"/>
    <w:rsid w:val="007262CA"/>
    <w:rsid w:val="007262DD"/>
    <w:rsid w:val="00726356"/>
    <w:rsid w:val="0072647A"/>
    <w:rsid w:val="007264E9"/>
    <w:rsid w:val="007265A4"/>
    <w:rsid w:val="007268C7"/>
    <w:rsid w:val="00726930"/>
    <w:rsid w:val="00726AAB"/>
    <w:rsid w:val="00726B08"/>
    <w:rsid w:val="00726B16"/>
    <w:rsid w:val="00726C11"/>
    <w:rsid w:val="00726FDA"/>
    <w:rsid w:val="00727077"/>
    <w:rsid w:val="0072707A"/>
    <w:rsid w:val="0072744B"/>
    <w:rsid w:val="0072759C"/>
    <w:rsid w:val="0072760D"/>
    <w:rsid w:val="00727880"/>
    <w:rsid w:val="0072792E"/>
    <w:rsid w:val="00727BEF"/>
    <w:rsid w:val="00727E50"/>
    <w:rsid w:val="0073029E"/>
    <w:rsid w:val="00730305"/>
    <w:rsid w:val="00730575"/>
    <w:rsid w:val="0073061B"/>
    <w:rsid w:val="0073069C"/>
    <w:rsid w:val="007308F5"/>
    <w:rsid w:val="007308FD"/>
    <w:rsid w:val="0073095C"/>
    <w:rsid w:val="00730C9D"/>
    <w:rsid w:val="00730C9F"/>
    <w:rsid w:val="00730D20"/>
    <w:rsid w:val="00730DE5"/>
    <w:rsid w:val="00730DF4"/>
    <w:rsid w:val="00730E91"/>
    <w:rsid w:val="00730EA6"/>
    <w:rsid w:val="00730F6F"/>
    <w:rsid w:val="00730FF9"/>
    <w:rsid w:val="0073149E"/>
    <w:rsid w:val="0073169F"/>
    <w:rsid w:val="0073185C"/>
    <w:rsid w:val="0073193A"/>
    <w:rsid w:val="00731A3A"/>
    <w:rsid w:val="00731ADB"/>
    <w:rsid w:val="00731B26"/>
    <w:rsid w:val="00731C15"/>
    <w:rsid w:val="00732045"/>
    <w:rsid w:val="00732065"/>
    <w:rsid w:val="007322A0"/>
    <w:rsid w:val="0073233E"/>
    <w:rsid w:val="00732391"/>
    <w:rsid w:val="007323C3"/>
    <w:rsid w:val="0073244C"/>
    <w:rsid w:val="007324C7"/>
    <w:rsid w:val="00732576"/>
    <w:rsid w:val="0073264B"/>
    <w:rsid w:val="00732750"/>
    <w:rsid w:val="00732B07"/>
    <w:rsid w:val="00732C07"/>
    <w:rsid w:val="00732C1A"/>
    <w:rsid w:val="00732CA1"/>
    <w:rsid w:val="00732DDE"/>
    <w:rsid w:val="00732E55"/>
    <w:rsid w:val="00733367"/>
    <w:rsid w:val="007336DE"/>
    <w:rsid w:val="00733749"/>
    <w:rsid w:val="0073379A"/>
    <w:rsid w:val="007337F3"/>
    <w:rsid w:val="00733AE4"/>
    <w:rsid w:val="00733B8A"/>
    <w:rsid w:val="00733CDC"/>
    <w:rsid w:val="00733E02"/>
    <w:rsid w:val="00733E0E"/>
    <w:rsid w:val="0073425F"/>
    <w:rsid w:val="00734345"/>
    <w:rsid w:val="0073444E"/>
    <w:rsid w:val="007345F1"/>
    <w:rsid w:val="0073492B"/>
    <w:rsid w:val="00734B73"/>
    <w:rsid w:val="00734B9A"/>
    <w:rsid w:val="00734BB9"/>
    <w:rsid w:val="00734E0C"/>
    <w:rsid w:val="00734EC9"/>
    <w:rsid w:val="00734F71"/>
    <w:rsid w:val="00734F89"/>
    <w:rsid w:val="0073502D"/>
    <w:rsid w:val="00735122"/>
    <w:rsid w:val="00735185"/>
    <w:rsid w:val="007351CA"/>
    <w:rsid w:val="007351FA"/>
    <w:rsid w:val="00735289"/>
    <w:rsid w:val="007353A9"/>
    <w:rsid w:val="00735569"/>
    <w:rsid w:val="007355D4"/>
    <w:rsid w:val="0073567F"/>
    <w:rsid w:val="00735695"/>
    <w:rsid w:val="007356D3"/>
    <w:rsid w:val="00735752"/>
    <w:rsid w:val="007357AF"/>
    <w:rsid w:val="007359CD"/>
    <w:rsid w:val="00735D51"/>
    <w:rsid w:val="00735DB0"/>
    <w:rsid w:val="00735E30"/>
    <w:rsid w:val="00735E99"/>
    <w:rsid w:val="00735F77"/>
    <w:rsid w:val="007360CB"/>
    <w:rsid w:val="00736216"/>
    <w:rsid w:val="0073634B"/>
    <w:rsid w:val="00736362"/>
    <w:rsid w:val="0073638E"/>
    <w:rsid w:val="007363BE"/>
    <w:rsid w:val="007364C3"/>
    <w:rsid w:val="00736588"/>
    <w:rsid w:val="007365D2"/>
    <w:rsid w:val="00736643"/>
    <w:rsid w:val="0073681D"/>
    <w:rsid w:val="0073689E"/>
    <w:rsid w:val="007368A0"/>
    <w:rsid w:val="00736967"/>
    <w:rsid w:val="0073696C"/>
    <w:rsid w:val="007369BB"/>
    <w:rsid w:val="00736AF4"/>
    <w:rsid w:val="00736D02"/>
    <w:rsid w:val="00736D1B"/>
    <w:rsid w:val="00736FDA"/>
    <w:rsid w:val="00736FEA"/>
    <w:rsid w:val="0073712A"/>
    <w:rsid w:val="00737260"/>
    <w:rsid w:val="00737312"/>
    <w:rsid w:val="007373AD"/>
    <w:rsid w:val="00737566"/>
    <w:rsid w:val="00737925"/>
    <w:rsid w:val="00737CBB"/>
    <w:rsid w:val="00737D16"/>
    <w:rsid w:val="00737EC9"/>
    <w:rsid w:val="00740198"/>
    <w:rsid w:val="00740246"/>
    <w:rsid w:val="00740344"/>
    <w:rsid w:val="007404CA"/>
    <w:rsid w:val="007404CB"/>
    <w:rsid w:val="00740873"/>
    <w:rsid w:val="007409A1"/>
    <w:rsid w:val="00740ABC"/>
    <w:rsid w:val="00740D07"/>
    <w:rsid w:val="00740DE7"/>
    <w:rsid w:val="00740E22"/>
    <w:rsid w:val="00740F01"/>
    <w:rsid w:val="00741225"/>
    <w:rsid w:val="007412BE"/>
    <w:rsid w:val="007413AD"/>
    <w:rsid w:val="00741501"/>
    <w:rsid w:val="00741514"/>
    <w:rsid w:val="00741570"/>
    <w:rsid w:val="00741750"/>
    <w:rsid w:val="007417ED"/>
    <w:rsid w:val="00741835"/>
    <w:rsid w:val="0074189B"/>
    <w:rsid w:val="00741B60"/>
    <w:rsid w:val="00741BA2"/>
    <w:rsid w:val="00741CF4"/>
    <w:rsid w:val="00741D62"/>
    <w:rsid w:val="00741D89"/>
    <w:rsid w:val="00741DCC"/>
    <w:rsid w:val="00741DD0"/>
    <w:rsid w:val="00741DE2"/>
    <w:rsid w:val="007421A1"/>
    <w:rsid w:val="00742364"/>
    <w:rsid w:val="00742405"/>
    <w:rsid w:val="007426E0"/>
    <w:rsid w:val="00742702"/>
    <w:rsid w:val="007427FE"/>
    <w:rsid w:val="00742882"/>
    <w:rsid w:val="00742C0E"/>
    <w:rsid w:val="00742C51"/>
    <w:rsid w:val="00742C62"/>
    <w:rsid w:val="00742CBB"/>
    <w:rsid w:val="00742D8A"/>
    <w:rsid w:val="00742FDE"/>
    <w:rsid w:val="0074302B"/>
    <w:rsid w:val="0074302C"/>
    <w:rsid w:val="007433A5"/>
    <w:rsid w:val="00743445"/>
    <w:rsid w:val="0074368A"/>
    <w:rsid w:val="007436DE"/>
    <w:rsid w:val="007436E9"/>
    <w:rsid w:val="007437D9"/>
    <w:rsid w:val="00743864"/>
    <w:rsid w:val="007438C8"/>
    <w:rsid w:val="0074390D"/>
    <w:rsid w:val="007439C8"/>
    <w:rsid w:val="00743C53"/>
    <w:rsid w:val="00743CD9"/>
    <w:rsid w:val="00743D91"/>
    <w:rsid w:val="00743EA0"/>
    <w:rsid w:val="00744102"/>
    <w:rsid w:val="00744231"/>
    <w:rsid w:val="007442EB"/>
    <w:rsid w:val="007442FB"/>
    <w:rsid w:val="007444C2"/>
    <w:rsid w:val="00744618"/>
    <w:rsid w:val="00744638"/>
    <w:rsid w:val="00744772"/>
    <w:rsid w:val="007448DF"/>
    <w:rsid w:val="007448E9"/>
    <w:rsid w:val="00744992"/>
    <w:rsid w:val="00744A59"/>
    <w:rsid w:val="00744DF5"/>
    <w:rsid w:val="00744EF8"/>
    <w:rsid w:val="00744FAA"/>
    <w:rsid w:val="00745106"/>
    <w:rsid w:val="00745149"/>
    <w:rsid w:val="00745230"/>
    <w:rsid w:val="00745290"/>
    <w:rsid w:val="007453EE"/>
    <w:rsid w:val="007454DA"/>
    <w:rsid w:val="00745565"/>
    <w:rsid w:val="007455CE"/>
    <w:rsid w:val="007455DC"/>
    <w:rsid w:val="007458DA"/>
    <w:rsid w:val="0074593C"/>
    <w:rsid w:val="00745A80"/>
    <w:rsid w:val="00745D98"/>
    <w:rsid w:val="00745E01"/>
    <w:rsid w:val="00745EAB"/>
    <w:rsid w:val="00745EC2"/>
    <w:rsid w:val="00746096"/>
    <w:rsid w:val="00746141"/>
    <w:rsid w:val="00746252"/>
    <w:rsid w:val="007463B2"/>
    <w:rsid w:val="007463C9"/>
    <w:rsid w:val="0074658F"/>
    <w:rsid w:val="0074666B"/>
    <w:rsid w:val="007466B3"/>
    <w:rsid w:val="007467D2"/>
    <w:rsid w:val="007468D6"/>
    <w:rsid w:val="007469E7"/>
    <w:rsid w:val="00746A08"/>
    <w:rsid w:val="00746B01"/>
    <w:rsid w:val="00746BFF"/>
    <w:rsid w:val="00746CDD"/>
    <w:rsid w:val="00746EEA"/>
    <w:rsid w:val="007471DA"/>
    <w:rsid w:val="007473B1"/>
    <w:rsid w:val="007473E1"/>
    <w:rsid w:val="0074748F"/>
    <w:rsid w:val="00747516"/>
    <w:rsid w:val="0074752C"/>
    <w:rsid w:val="0074760A"/>
    <w:rsid w:val="0074764A"/>
    <w:rsid w:val="0074770F"/>
    <w:rsid w:val="00747738"/>
    <w:rsid w:val="0074774A"/>
    <w:rsid w:val="00747784"/>
    <w:rsid w:val="0074782A"/>
    <w:rsid w:val="00747897"/>
    <w:rsid w:val="00747B8D"/>
    <w:rsid w:val="00747D24"/>
    <w:rsid w:val="00747E47"/>
    <w:rsid w:val="00747E74"/>
    <w:rsid w:val="00747FA4"/>
    <w:rsid w:val="00750009"/>
    <w:rsid w:val="00750080"/>
    <w:rsid w:val="007500B9"/>
    <w:rsid w:val="00750192"/>
    <w:rsid w:val="00750336"/>
    <w:rsid w:val="0075039A"/>
    <w:rsid w:val="007504E1"/>
    <w:rsid w:val="00750544"/>
    <w:rsid w:val="007505EE"/>
    <w:rsid w:val="00750804"/>
    <w:rsid w:val="00750999"/>
    <w:rsid w:val="007509AB"/>
    <w:rsid w:val="00750C33"/>
    <w:rsid w:val="00750CDF"/>
    <w:rsid w:val="00750D48"/>
    <w:rsid w:val="00750FB2"/>
    <w:rsid w:val="0075104B"/>
    <w:rsid w:val="00751104"/>
    <w:rsid w:val="007512DF"/>
    <w:rsid w:val="0075133D"/>
    <w:rsid w:val="00751470"/>
    <w:rsid w:val="007515BD"/>
    <w:rsid w:val="0075166B"/>
    <w:rsid w:val="00751689"/>
    <w:rsid w:val="00751910"/>
    <w:rsid w:val="00751943"/>
    <w:rsid w:val="00751A23"/>
    <w:rsid w:val="00751C25"/>
    <w:rsid w:val="00751C66"/>
    <w:rsid w:val="00751C9D"/>
    <w:rsid w:val="00751D99"/>
    <w:rsid w:val="00751DA7"/>
    <w:rsid w:val="00751EDE"/>
    <w:rsid w:val="00751FF0"/>
    <w:rsid w:val="00752319"/>
    <w:rsid w:val="007524AA"/>
    <w:rsid w:val="00752504"/>
    <w:rsid w:val="0075250E"/>
    <w:rsid w:val="0075254A"/>
    <w:rsid w:val="0075269F"/>
    <w:rsid w:val="00752839"/>
    <w:rsid w:val="007529A1"/>
    <w:rsid w:val="007529D7"/>
    <w:rsid w:val="00752A02"/>
    <w:rsid w:val="00752DF0"/>
    <w:rsid w:val="00753056"/>
    <w:rsid w:val="00753099"/>
    <w:rsid w:val="0075318F"/>
    <w:rsid w:val="0075325C"/>
    <w:rsid w:val="00753356"/>
    <w:rsid w:val="007534E3"/>
    <w:rsid w:val="00753500"/>
    <w:rsid w:val="007535A9"/>
    <w:rsid w:val="0075370C"/>
    <w:rsid w:val="00753744"/>
    <w:rsid w:val="00753842"/>
    <w:rsid w:val="007539E1"/>
    <w:rsid w:val="00753A29"/>
    <w:rsid w:val="00753A93"/>
    <w:rsid w:val="00753B7B"/>
    <w:rsid w:val="00753C2E"/>
    <w:rsid w:val="00753DF5"/>
    <w:rsid w:val="00753E67"/>
    <w:rsid w:val="00753F21"/>
    <w:rsid w:val="00753FB3"/>
    <w:rsid w:val="00754166"/>
    <w:rsid w:val="00754180"/>
    <w:rsid w:val="00754279"/>
    <w:rsid w:val="007545CE"/>
    <w:rsid w:val="00754656"/>
    <w:rsid w:val="0075469D"/>
    <w:rsid w:val="007547BB"/>
    <w:rsid w:val="00754872"/>
    <w:rsid w:val="007548BF"/>
    <w:rsid w:val="00754921"/>
    <w:rsid w:val="00754A44"/>
    <w:rsid w:val="00754CC9"/>
    <w:rsid w:val="00755069"/>
    <w:rsid w:val="007551B3"/>
    <w:rsid w:val="00755329"/>
    <w:rsid w:val="0075540B"/>
    <w:rsid w:val="00755412"/>
    <w:rsid w:val="00755663"/>
    <w:rsid w:val="00755685"/>
    <w:rsid w:val="0075595B"/>
    <w:rsid w:val="007559CE"/>
    <w:rsid w:val="00755A0A"/>
    <w:rsid w:val="00755AA1"/>
    <w:rsid w:val="00755B4B"/>
    <w:rsid w:val="00755B6F"/>
    <w:rsid w:val="00755BA8"/>
    <w:rsid w:val="00755C3E"/>
    <w:rsid w:val="00755D19"/>
    <w:rsid w:val="00755D7D"/>
    <w:rsid w:val="00755D94"/>
    <w:rsid w:val="007560F2"/>
    <w:rsid w:val="00756161"/>
    <w:rsid w:val="00756386"/>
    <w:rsid w:val="00756603"/>
    <w:rsid w:val="007567BB"/>
    <w:rsid w:val="007568E2"/>
    <w:rsid w:val="00756B7B"/>
    <w:rsid w:val="00756D5B"/>
    <w:rsid w:val="00756E4F"/>
    <w:rsid w:val="00757097"/>
    <w:rsid w:val="00757232"/>
    <w:rsid w:val="00757391"/>
    <w:rsid w:val="00757510"/>
    <w:rsid w:val="0075756B"/>
    <w:rsid w:val="007575C0"/>
    <w:rsid w:val="00757604"/>
    <w:rsid w:val="00757774"/>
    <w:rsid w:val="0075782C"/>
    <w:rsid w:val="00757B22"/>
    <w:rsid w:val="00757D16"/>
    <w:rsid w:val="00757D2F"/>
    <w:rsid w:val="00757D99"/>
    <w:rsid w:val="00757E6A"/>
    <w:rsid w:val="00757E8D"/>
    <w:rsid w:val="00757ECF"/>
    <w:rsid w:val="00757F29"/>
    <w:rsid w:val="0076000E"/>
    <w:rsid w:val="00760321"/>
    <w:rsid w:val="0076053D"/>
    <w:rsid w:val="00760642"/>
    <w:rsid w:val="0076069F"/>
    <w:rsid w:val="007607B3"/>
    <w:rsid w:val="007607CB"/>
    <w:rsid w:val="00760874"/>
    <w:rsid w:val="007608AC"/>
    <w:rsid w:val="00760A77"/>
    <w:rsid w:val="00760ACD"/>
    <w:rsid w:val="00760B11"/>
    <w:rsid w:val="00760C00"/>
    <w:rsid w:val="00760CDF"/>
    <w:rsid w:val="00760EB8"/>
    <w:rsid w:val="00760FD6"/>
    <w:rsid w:val="007610E9"/>
    <w:rsid w:val="007611B8"/>
    <w:rsid w:val="00761383"/>
    <w:rsid w:val="007614DC"/>
    <w:rsid w:val="00761728"/>
    <w:rsid w:val="007617CD"/>
    <w:rsid w:val="0076190F"/>
    <w:rsid w:val="00761B10"/>
    <w:rsid w:val="00761B6C"/>
    <w:rsid w:val="00761C6C"/>
    <w:rsid w:val="00761C7C"/>
    <w:rsid w:val="00762192"/>
    <w:rsid w:val="0076219C"/>
    <w:rsid w:val="00762241"/>
    <w:rsid w:val="007622E4"/>
    <w:rsid w:val="0076244E"/>
    <w:rsid w:val="007624D2"/>
    <w:rsid w:val="00762545"/>
    <w:rsid w:val="0076256F"/>
    <w:rsid w:val="00762861"/>
    <w:rsid w:val="00762876"/>
    <w:rsid w:val="007628C6"/>
    <w:rsid w:val="007629A7"/>
    <w:rsid w:val="00762B72"/>
    <w:rsid w:val="00762BD0"/>
    <w:rsid w:val="00762CE1"/>
    <w:rsid w:val="00762E03"/>
    <w:rsid w:val="0076307D"/>
    <w:rsid w:val="007630EA"/>
    <w:rsid w:val="00763378"/>
    <w:rsid w:val="007634D9"/>
    <w:rsid w:val="007634F4"/>
    <w:rsid w:val="00763519"/>
    <w:rsid w:val="007635A9"/>
    <w:rsid w:val="007635E3"/>
    <w:rsid w:val="00763619"/>
    <w:rsid w:val="007637D9"/>
    <w:rsid w:val="007638ED"/>
    <w:rsid w:val="00763CCB"/>
    <w:rsid w:val="00763D1B"/>
    <w:rsid w:val="0076425F"/>
    <w:rsid w:val="007642B4"/>
    <w:rsid w:val="00764547"/>
    <w:rsid w:val="00764588"/>
    <w:rsid w:val="007645A0"/>
    <w:rsid w:val="0076476F"/>
    <w:rsid w:val="0076477C"/>
    <w:rsid w:val="0076488B"/>
    <w:rsid w:val="007649F1"/>
    <w:rsid w:val="00764B34"/>
    <w:rsid w:val="00764C45"/>
    <w:rsid w:val="00764C86"/>
    <w:rsid w:val="00764CC5"/>
    <w:rsid w:val="00764EC2"/>
    <w:rsid w:val="0076505F"/>
    <w:rsid w:val="00765080"/>
    <w:rsid w:val="0076509D"/>
    <w:rsid w:val="00765147"/>
    <w:rsid w:val="0076540B"/>
    <w:rsid w:val="00765411"/>
    <w:rsid w:val="007654D4"/>
    <w:rsid w:val="007658EE"/>
    <w:rsid w:val="00765999"/>
    <w:rsid w:val="007659F6"/>
    <w:rsid w:val="00765B58"/>
    <w:rsid w:val="00765C83"/>
    <w:rsid w:val="00765E09"/>
    <w:rsid w:val="00765EF1"/>
    <w:rsid w:val="00765FC8"/>
    <w:rsid w:val="00765FE4"/>
    <w:rsid w:val="0076605B"/>
    <w:rsid w:val="00766086"/>
    <w:rsid w:val="007660A8"/>
    <w:rsid w:val="007661F3"/>
    <w:rsid w:val="00766277"/>
    <w:rsid w:val="0076656A"/>
    <w:rsid w:val="00766701"/>
    <w:rsid w:val="00766783"/>
    <w:rsid w:val="00766793"/>
    <w:rsid w:val="007667E1"/>
    <w:rsid w:val="00766911"/>
    <w:rsid w:val="00766A36"/>
    <w:rsid w:val="00766C7C"/>
    <w:rsid w:val="00766D38"/>
    <w:rsid w:val="00766DA1"/>
    <w:rsid w:val="00766F65"/>
    <w:rsid w:val="00767158"/>
    <w:rsid w:val="00767473"/>
    <w:rsid w:val="007674A5"/>
    <w:rsid w:val="00767793"/>
    <w:rsid w:val="00767796"/>
    <w:rsid w:val="007679D8"/>
    <w:rsid w:val="00767CDC"/>
    <w:rsid w:val="00767DAF"/>
    <w:rsid w:val="00767E4D"/>
    <w:rsid w:val="00767EE9"/>
    <w:rsid w:val="007700E4"/>
    <w:rsid w:val="007700EC"/>
    <w:rsid w:val="00770230"/>
    <w:rsid w:val="0077036E"/>
    <w:rsid w:val="007703B2"/>
    <w:rsid w:val="00770717"/>
    <w:rsid w:val="00770727"/>
    <w:rsid w:val="00770803"/>
    <w:rsid w:val="007709B7"/>
    <w:rsid w:val="00770A83"/>
    <w:rsid w:val="00770B8C"/>
    <w:rsid w:val="00770DAF"/>
    <w:rsid w:val="00770E5E"/>
    <w:rsid w:val="00770E6A"/>
    <w:rsid w:val="00770E91"/>
    <w:rsid w:val="007710F9"/>
    <w:rsid w:val="00771262"/>
    <w:rsid w:val="007712D3"/>
    <w:rsid w:val="00771319"/>
    <w:rsid w:val="007713E8"/>
    <w:rsid w:val="0077155D"/>
    <w:rsid w:val="0077159E"/>
    <w:rsid w:val="007715CF"/>
    <w:rsid w:val="007716CC"/>
    <w:rsid w:val="00771794"/>
    <w:rsid w:val="0077180E"/>
    <w:rsid w:val="00771BE0"/>
    <w:rsid w:val="00771C34"/>
    <w:rsid w:val="00771CCF"/>
    <w:rsid w:val="00771E24"/>
    <w:rsid w:val="00771E97"/>
    <w:rsid w:val="00771F7D"/>
    <w:rsid w:val="00771FEB"/>
    <w:rsid w:val="007720F5"/>
    <w:rsid w:val="00772128"/>
    <w:rsid w:val="00772244"/>
    <w:rsid w:val="00772450"/>
    <w:rsid w:val="00772461"/>
    <w:rsid w:val="00772527"/>
    <w:rsid w:val="007727C2"/>
    <w:rsid w:val="007728DC"/>
    <w:rsid w:val="007729FB"/>
    <w:rsid w:val="00772AA0"/>
    <w:rsid w:val="00772BD2"/>
    <w:rsid w:val="00772BEE"/>
    <w:rsid w:val="00772C3E"/>
    <w:rsid w:val="00772C50"/>
    <w:rsid w:val="00772F4B"/>
    <w:rsid w:val="00772FBE"/>
    <w:rsid w:val="00773126"/>
    <w:rsid w:val="0077365E"/>
    <w:rsid w:val="007736B2"/>
    <w:rsid w:val="007736E8"/>
    <w:rsid w:val="00773735"/>
    <w:rsid w:val="007737A0"/>
    <w:rsid w:val="0077407A"/>
    <w:rsid w:val="007743E2"/>
    <w:rsid w:val="007744A9"/>
    <w:rsid w:val="007745C8"/>
    <w:rsid w:val="007746C7"/>
    <w:rsid w:val="007746DA"/>
    <w:rsid w:val="00774773"/>
    <w:rsid w:val="007747F7"/>
    <w:rsid w:val="00774924"/>
    <w:rsid w:val="007749E1"/>
    <w:rsid w:val="00774A08"/>
    <w:rsid w:val="00774ACE"/>
    <w:rsid w:val="00774E9A"/>
    <w:rsid w:val="00774F6F"/>
    <w:rsid w:val="007750AA"/>
    <w:rsid w:val="007752E0"/>
    <w:rsid w:val="00775389"/>
    <w:rsid w:val="007755A7"/>
    <w:rsid w:val="007755EA"/>
    <w:rsid w:val="007756B9"/>
    <w:rsid w:val="00775758"/>
    <w:rsid w:val="00775823"/>
    <w:rsid w:val="0077583E"/>
    <w:rsid w:val="007758DA"/>
    <w:rsid w:val="00775A07"/>
    <w:rsid w:val="00775AB8"/>
    <w:rsid w:val="00775C00"/>
    <w:rsid w:val="00775C2E"/>
    <w:rsid w:val="00775C7F"/>
    <w:rsid w:val="00775C98"/>
    <w:rsid w:val="00775CCD"/>
    <w:rsid w:val="00775F57"/>
    <w:rsid w:val="00776584"/>
    <w:rsid w:val="007766E6"/>
    <w:rsid w:val="00776871"/>
    <w:rsid w:val="007769EF"/>
    <w:rsid w:val="00776BA1"/>
    <w:rsid w:val="00776D02"/>
    <w:rsid w:val="00776D4F"/>
    <w:rsid w:val="00776DDC"/>
    <w:rsid w:val="00776E45"/>
    <w:rsid w:val="00776EAA"/>
    <w:rsid w:val="00776EFB"/>
    <w:rsid w:val="00776F2B"/>
    <w:rsid w:val="00776F57"/>
    <w:rsid w:val="007770E6"/>
    <w:rsid w:val="007770F9"/>
    <w:rsid w:val="00777179"/>
    <w:rsid w:val="00777526"/>
    <w:rsid w:val="00777608"/>
    <w:rsid w:val="007776CF"/>
    <w:rsid w:val="007777DE"/>
    <w:rsid w:val="00777945"/>
    <w:rsid w:val="007779FE"/>
    <w:rsid w:val="00777C61"/>
    <w:rsid w:val="00777D40"/>
    <w:rsid w:val="00777DBE"/>
    <w:rsid w:val="00777DF1"/>
    <w:rsid w:val="00780039"/>
    <w:rsid w:val="007800D1"/>
    <w:rsid w:val="007803A9"/>
    <w:rsid w:val="007803C1"/>
    <w:rsid w:val="007805FB"/>
    <w:rsid w:val="0078070A"/>
    <w:rsid w:val="007807F1"/>
    <w:rsid w:val="00780903"/>
    <w:rsid w:val="00780A73"/>
    <w:rsid w:val="00780B8D"/>
    <w:rsid w:val="00780B8E"/>
    <w:rsid w:val="00780BF7"/>
    <w:rsid w:val="00780C91"/>
    <w:rsid w:val="00780FF1"/>
    <w:rsid w:val="00780FFC"/>
    <w:rsid w:val="00781612"/>
    <w:rsid w:val="00781649"/>
    <w:rsid w:val="00781989"/>
    <w:rsid w:val="00781B3F"/>
    <w:rsid w:val="00781E23"/>
    <w:rsid w:val="00781E60"/>
    <w:rsid w:val="00781F96"/>
    <w:rsid w:val="00782203"/>
    <w:rsid w:val="00782216"/>
    <w:rsid w:val="0078223B"/>
    <w:rsid w:val="00782308"/>
    <w:rsid w:val="00782346"/>
    <w:rsid w:val="007823D6"/>
    <w:rsid w:val="00782400"/>
    <w:rsid w:val="007824F5"/>
    <w:rsid w:val="0078254E"/>
    <w:rsid w:val="007825C6"/>
    <w:rsid w:val="00782628"/>
    <w:rsid w:val="007826AB"/>
    <w:rsid w:val="00782803"/>
    <w:rsid w:val="00782971"/>
    <w:rsid w:val="007829BE"/>
    <w:rsid w:val="00782A93"/>
    <w:rsid w:val="00782DD8"/>
    <w:rsid w:val="00782F10"/>
    <w:rsid w:val="007830C2"/>
    <w:rsid w:val="0078339C"/>
    <w:rsid w:val="00783423"/>
    <w:rsid w:val="0078355C"/>
    <w:rsid w:val="00783762"/>
    <w:rsid w:val="00783924"/>
    <w:rsid w:val="00783A5B"/>
    <w:rsid w:val="00783A76"/>
    <w:rsid w:val="00783ADD"/>
    <w:rsid w:val="00783C59"/>
    <w:rsid w:val="00783CE1"/>
    <w:rsid w:val="00783DAB"/>
    <w:rsid w:val="00783F47"/>
    <w:rsid w:val="007840E2"/>
    <w:rsid w:val="007841B5"/>
    <w:rsid w:val="00784286"/>
    <w:rsid w:val="00784391"/>
    <w:rsid w:val="00784450"/>
    <w:rsid w:val="00784589"/>
    <w:rsid w:val="00784614"/>
    <w:rsid w:val="00784677"/>
    <w:rsid w:val="00784782"/>
    <w:rsid w:val="007849D3"/>
    <w:rsid w:val="00784A6E"/>
    <w:rsid w:val="00784F04"/>
    <w:rsid w:val="00784F60"/>
    <w:rsid w:val="0078529B"/>
    <w:rsid w:val="00785331"/>
    <w:rsid w:val="007853C6"/>
    <w:rsid w:val="00785575"/>
    <w:rsid w:val="0078569F"/>
    <w:rsid w:val="00785803"/>
    <w:rsid w:val="00785BA2"/>
    <w:rsid w:val="00785BD3"/>
    <w:rsid w:val="00785C4B"/>
    <w:rsid w:val="00785D21"/>
    <w:rsid w:val="00785E9C"/>
    <w:rsid w:val="00785EB4"/>
    <w:rsid w:val="0078607F"/>
    <w:rsid w:val="0078609A"/>
    <w:rsid w:val="007862C7"/>
    <w:rsid w:val="007865F0"/>
    <w:rsid w:val="007866F1"/>
    <w:rsid w:val="00786780"/>
    <w:rsid w:val="007867C5"/>
    <w:rsid w:val="00786861"/>
    <w:rsid w:val="0078694E"/>
    <w:rsid w:val="00786B16"/>
    <w:rsid w:val="00786DDC"/>
    <w:rsid w:val="00786EDF"/>
    <w:rsid w:val="00786F85"/>
    <w:rsid w:val="00786FB7"/>
    <w:rsid w:val="00786FD1"/>
    <w:rsid w:val="0078731A"/>
    <w:rsid w:val="0078743B"/>
    <w:rsid w:val="00787487"/>
    <w:rsid w:val="007874CB"/>
    <w:rsid w:val="00787551"/>
    <w:rsid w:val="00787589"/>
    <w:rsid w:val="0078780D"/>
    <w:rsid w:val="0078785B"/>
    <w:rsid w:val="007878FB"/>
    <w:rsid w:val="0078798C"/>
    <w:rsid w:val="00787BC2"/>
    <w:rsid w:val="007900AD"/>
    <w:rsid w:val="00790101"/>
    <w:rsid w:val="007901E7"/>
    <w:rsid w:val="007903CB"/>
    <w:rsid w:val="00790654"/>
    <w:rsid w:val="007906F1"/>
    <w:rsid w:val="0079092A"/>
    <w:rsid w:val="00790BF8"/>
    <w:rsid w:val="00790E2F"/>
    <w:rsid w:val="00790EDA"/>
    <w:rsid w:val="00791132"/>
    <w:rsid w:val="0079116D"/>
    <w:rsid w:val="00791306"/>
    <w:rsid w:val="0079132C"/>
    <w:rsid w:val="00791349"/>
    <w:rsid w:val="007914B8"/>
    <w:rsid w:val="0079164B"/>
    <w:rsid w:val="007917E1"/>
    <w:rsid w:val="00791AC5"/>
    <w:rsid w:val="00791B07"/>
    <w:rsid w:val="00791CB5"/>
    <w:rsid w:val="00791D85"/>
    <w:rsid w:val="00791DAF"/>
    <w:rsid w:val="0079218B"/>
    <w:rsid w:val="0079219A"/>
    <w:rsid w:val="007921E2"/>
    <w:rsid w:val="00792256"/>
    <w:rsid w:val="00792442"/>
    <w:rsid w:val="007924CA"/>
    <w:rsid w:val="0079251C"/>
    <w:rsid w:val="00792950"/>
    <w:rsid w:val="007929C7"/>
    <w:rsid w:val="007929F8"/>
    <w:rsid w:val="00792A2A"/>
    <w:rsid w:val="00792A9C"/>
    <w:rsid w:val="007930FC"/>
    <w:rsid w:val="0079315E"/>
    <w:rsid w:val="0079329E"/>
    <w:rsid w:val="0079395C"/>
    <w:rsid w:val="007939D1"/>
    <w:rsid w:val="00793CC6"/>
    <w:rsid w:val="00793DA5"/>
    <w:rsid w:val="00793FF9"/>
    <w:rsid w:val="00794028"/>
    <w:rsid w:val="0079404A"/>
    <w:rsid w:val="00794280"/>
    <w:rsid w:val="00794288"/>
    <w:rsid w:val="00794350"/>
    <w:rsid w:val="007944E2"/>
    <w:rsid w:val="00794507"/>
    <w:rsid w:val="007945D1"/>
    <w:rsid w:val="007947D9"/>
    <w:rsid w:val="007948A3"/>
    <w:rsid w:val="007948AB"/>
    <w:rsid w:val="0079497A"/>
    <w:rsid w:val="00794B55"/>
    <w:rsid w:val="00794B74"/>
    <w:rsid w:val="00794B9C"/>
    <w:rsid w:val="00794C91"/>
    <w:rsid w:val="00794CBF"/>
    <w:rsid w:val="00794E09"/>
    <w:rsid w:val="00794EA3"/>
    <w:rsid w:val="00795035"/>
    <w:rsid w:val="007950C0"/>
    <w:rsid w:val="007951F9"/>
    <w:rsid w:val="00795245"/>
    <w:rsid w:val="0079531E"/>
    <w:rsid w:val="00795365"/>
    <w:rsid w:val="007954C8"/>
    <w:rsid w:val="007954CE"/>
    <w:rsid w:val="0079567E"/>
    <w:rsid w:val="00795B15"/>
    <w:rsid w:val="00795BC2"/>
    <w:rsid w:val="00795CE0"/>
    <w:rsid w:val="00795F09"/>
    <w:rsid w:val="00795F4B"/>
    <w:rsid w:val="00796022"/>
    <w:rsid w:val="007961D5"/>
    <w:rsid w:val="00796381"/>
    <w:rsid w:val="00796639"/>
    <w:rsid w:val="007966F5"/>
    <w:rsid w:val="007969CF"/>
    <w:rsid w:val="00796A6F"/>
    <w:rsid w:val="00796B64"/>
    <w:rsid w:val="00796B84"/>
    <w:rsid w:val="00796B9A"/>
    <w:rsid w:val="00796C5D"/>
    <w:rsid w:val="00796FFA"/>
    <w:rsid w:val="007970F5"/>
    <w:rsid w:val="0079717E"/>
    <w:rsid w:val="007971E9"/>
    <w:rsid w:val="00797419"/>
    <w:rsid w:val="00797519"/>
    <w:rsid w:val="0079752E"/>
    <w:rsid w:val="00797763"/>
    <w:rsid w:val="00797837"/>
    <w:rsid w:val="007979D9"/>
    <w:rsid w:val="00797A54"/>
    <w:rsid w:val="00797AD7"/>
    <w:rsid w:val="00797B06"/>
    <w:rsid w:val="00797B7A"/>
    <w:rsid w:val="00797B88"/>
    <w:rsid w:val="00797B9C"/>
    <w:rsid w:val="00797BB9"/>
    <w:rsid w:val="00797FB1"/>
    <w:rsid w:val="007A0028"/>
    <w:rsid w:val="007A00EA"/>
    <w:rsid w:val="007A0483"/>
    <w:rsid w:val="007A05FD"/>
    <w:rsid w:val="007A0680"/>
    <w:rsid w:val="007A0683"/>
    <w:rsid w:val="007A0785"/>
    <w:rsid w:val="007A07ED"/>
    <w:rsid w:val="007A0821"/>
    <w:rsid w:val="007A0895"/>
    <w:rsid w:val="007A0899"/>
    <w:rsid w:val="007A0985"/>
    <w:rsid w:val="007A09E3"/>
    <w:rsid w:val="007A0B21"/>
    <w:rsid w:val="007A0B4F"/>
    <w:rsid w:val="007A0E40"/>
    <w:rsid w:val="007A0E48"/>
    <w:rsid w:val="007A1065"/>
    <w:rsid w:val="007A1093"/>
    <w:rsid w:val="007A1477"/>
    <w:rsid w:val="007A163F"/>
    <w:rsid w:val="007A1743"/>
    <w:rsid w:val="007A198F"/>
    <w:rsid w:val="007A1D86"/>
    <w:rsid w:val="007A1F2A"/>
    <w:rsid w:val="007A1F62"/>
    <w:rsid w:val="007A208A"/>
    <w:rsid w:val="007A20C1"/>
    <w:rsid w:val="007A2295"/>
    <w:rsid w:val="007A23A6"/>
    <w:rsid w:val="007A23B2"/>
    <w:rsid w:val="007A25A0"/>
    <w:rsid w:val="007A26A2"/>
    <w:rsid w:val="007A272B"/>
    <w:rsid w:val="007A2844"/>
    <w:rsid w:val="007A2A97"/>
    <w:rsid w:val="007A2BD7"/>
    <w:rsid w:val="007A2C58"/>
    <w:rsid w:val="007A2C8E"/>
    <w:rsid w:val="007A2CDC"/>
    <w:rsid w:val="007A2DD4"/>
    <w:rsid w:val="007A2F8A"/>
    <w:rsid w:val="007A3183"/>
    <w:rsid w:val="007A3270"/>
    <w:rsid w:val="007A34BB"/>
    <w:rsid w:val="007A35D1"/>
    <w:rsid w:val="007A3654"/>
    <w:rsid w:val="007A371B"/>
    <w:rsid w:val="007A3735"/>
    <w:rsid w:val="007A3803"/>
    <w:rsid w:val="007A3832"/>
    <w:rsid w:val="007A3A0F"/>
    <w:rsid w:val="007A3A57"/>
    <w:rsid w:val="007A3B10"/>
    <w:rsid w:val="007A3C52"/>
    <w:rsid w:val="007A3D2D"/>
    <w:rsid w:val="007A3D9A"/>
    <w:rsid w:val="007A3E60"/>
    <w:rsid w:val="007A3F2E"/>
    <w:rsid w:val="007A407D"/>
    <w:rsid w:val="007A40BD"/>
    <w:rsid w:val="007A4132"/>
    <w:rsid w:val="007A423F"/>
    <w:rsid w:val="007A43FD"/>
    <w:rsid w:val="007A464F"/>
    <w:rsid w:val="007A4734"/>
    <w:rsid w:val="007A473A"/>
    <w:rsid w:val="007A4CA0"/>
    <w:rsid w:val="007A4DA4"/>
    <w:rsid w:val="007A4EAB"/>
    <w:rsid w:val="007A5025"/>
    <w:rsid w:val="007A516B"/>
    <w:rsid w:val="007A52BB"/>
    <w:rsid w:val="007A52E1"/>
    <w:rsid w:val="007A53EB"/>
    <w:rsid w:val="007A54ED"/>
    <w:rsid w:val="007A5755"/>
    <w:rsid w:val="007A5909"/>
    <w:rsid w:val="007A5AE9"/>
    <w:rsid w:val="007A5B3E"/>
    <w:rsid w:val="007A5C06"/>
    <w:rsid w:val="007A5CF8"/>
    <w:rsid w:val="007A5D73"/>
    <w:rsid w:val="007A5E84"/>
    <w:rsid w:val="007A5EC1"/>
    <w:rsid w:val="007A60A7"/>
    <w:rsid w:val="007A6196"/>
    <w:rsid w:val="007A639C"/>
    <w:rsid w:val="007A63D5"/>
    <w:rsid w:val="007A66B4"/>
    <w:rsid w:val="007A670B"/>
    <w:rsid w:val="007A689A"/>
    <w:rsid w:val="007A68AC"/>
    <w:rsid w:val="007A68EA"/>
    <w:rsid w:val="007A68EB"/>
    <w:rsid w:val="007A6979"/>
    <w:rsid w:val="007A6A4E"/>
    <w:rsid w:val="007A6A78"/>
    <w:rsid w:val="007A6B7D"/>
    <w:rsid w:val="007A6CE1"/>
    <w:rsid w:val="007A6E8E"/>
    <w:rsid w:val="007A6F24"/>
    <w:rsid w:val="007A7206"/>
    <w:rsid w:val="007A73A0"/>
    <w:rsid w:val="007A744D"/>
    <w:rsid w:val="007A7497"/>
    <w:rsid w:val="007A7515"/>
    <w:rsid w:val="007A759D"/>
    <w:rsid w:val="007A7629"/>
    <w:rsid w:val="007A7763"/>
    <w:rsid w:val="007A7779"/>
    <w:rsid w:val="007A7ADC"/>
    <w:rsid w:val="007A7C91"/>
    <w:rsid w:val="007A7D01"/>
    <w:rsid w:val="007A7DD0"/>
    <w:rsid w:val="007A7F6D"/>
    <w:rsid w:val="007B003C"/>
    <w:rsid w:val="007B0431"/>
    <w:rsid w:val="007B06C9"/>
    <w:rsid w:val="007B06DC"/>
    <w:rsid w:val="007B0868"/>
    <w:rsid w:val="007B1027"/>
    <w:rsid w:val="007B107B"/>
    <w:rsid w:val="007B119B"/>
    <w:rsid w:val="007B1270"/>
    <w:rsid w:val="007B1274"/>
    <w:rsid w:val="007B12E5"/>
    <w:rsid w:val="007B139F"/>
    <w:rsid w:val="007B13D4"/>
    <w:rsid w:val="007B15BD"/>
    <w:rsid w:val="007B163E"/>
    <w:rsid w:val="007B1691"/>
    <w:rsid w:val="007B174F"/>
    <w:rsid w:val="007B1863"/>
    <w:rsid w:val="007B1B34"/>
    <w:rsid w:val="007B1B81"/>
    <w:rsid w:val="007B1E14"/>
    <w:rsid w:val="007B1F45"/>
    <w:rsid w:val="007B2073"/>
    <w:rsid w:val="007B2207"/>
    <w:rsid w:val="007B22E0"/>
    <w:rsid w:val="007B2424"/>
    <w:rsid w:val="007B2617"/>
    <w:rsid w:val="007B2666"/>
    <w:rsid w:val="007B271B"/>
    <w:rsid w:val="007B28CA"/>
    <w:rsid w:val="007B2948"/>
    <w:rsid w:val="007B2A15"/>
    <w:rsid w:val="007B2ADD"/>
    <w:rsid w:val="007B2C43"/>
    <w:rsid w:val="007B2CCA"/>
    <w:rsid w:val="007B2ED2"/>
    <w:rsid w:val="007B2EE2"/>
    <w:rsid w:val="007B30AC"/>
    <w:rsid w:val="007B3244"/>
    <w:rsid w:val="007B32BD"/>
    <w:rsid w:val="007B33A7"/>
    <w:rsid w:val="007B33D4"/>
    <w:rsid w:val="007B342B"/>
    <w:rsid w:val="007B358D"/>
    <w:rsid w:val="007B36D2"/>
    <w:rsid w:val="007B3778"/>
    <w:rsid w:val="007B3949"/>
    <w:rsid w:val="007B3B3E"/>
    <w:rsid w:val="007B3C01"/>
    <w:rsid w:val="007B3D78"/>
    <w:rsid w:val="007B3EBE"/>
    <w:rsid w:val="007B4024"/>
    <w:rsid w:val="007B4238"/>
    <w:rsid w:val="007B4296"/>
    <w:rsid w:val="007B457B"/>
    <w:rsid w:val="007B46D5"/>
    <w:rsid w:val="007B48F9"/>
    <w:rsid w:val="007B4A91"/>
    <w:rsid w:val="007B4C12"/>
    <w:rsid w:val="007B4C6E"/>
    <w:rsid w:val="007B4D4B"/>
    <w:rsid w:val="007B4DBE"/>
    <w:rsid w:val="007B4DFC"/>
    <w:rsid w:val="007B5005"/>
    <w:rsid w:val="007B5359"/>
    <w:rsid w:val="007B5401"/>
    <w:rsid w:val="007B549D"/>
    <w:rsid w:val="007B5892"/>
    <w:rsid w:val="007B58FC"/>
    <w:rsid w:val="007B597C"/>
    <w:rsid w:val="007B5AA3"/>
    <w:rsid w:val="007B5C36"/>
    <w:rsid w:val="007B5C59"/>
    <w:rsid w:val="007B5C62"/>
    <w:rsid w:val="007B5C79"/>
    <w:rsid w:val="007B5C7B"/>
    <w:rsid w:val="007B5C9E"/>
    <w:rsid w:val="007B5D0F"/>
    <w:rsid w:val="007B5D71"/>
    <w:rsid w:val="007B5FB4"/>
    <w:rsid w:val="007B6074"/>
    <w:rsid w:val="007B63EF"/>
    <w:rsid w:val="007B647A"/>
    <w:rsid w:val="007B6650"/>
    <w:rsid w:val="007B6985"/>
    <w:rsid w:val="007B6A28"/>
    <w:rsid w:val="007B6B2B"/>
    <w:rsid w:val="007B6B94"/>
    <w:rsid w:val="007B6C08"/>
    <w:rsid w:val="007B6C0C"/>
    <w:rsid w:val="007B6EF4"/>
    <w:rsid w:val="007B6F07"/>
    <w:rsid w:val="007B700C"/>
    <w:rsid w:val="007B709D"/>
    <w:rsid w:val="007B71B9"/>
    <w:rsid w:val="007B7200"/>
    <w:rsid w:val="007B72FA"/>
    <w:rsid w:val="007B7446"/>
    <w:rsid w:val="007B7536"/>
    <w:rsid w:val="007B7660"/>
    <w:rsid w:val="007B7949"/>
    <w:rsid w:val="007B7AB4"/>
    <w:rsid w:val="007B7D30"/>
    <w:rsid w:val="007B7D63"/>
    <w:rsid w:val="007B7D9F"/>
    <w:rsid w:val="007B7F85"/>
    <w:rsid w:val="007C0124"/>
    <w:rsid w:val="007C0168"/>
    <w:rsid w:val="007C02A7"/>
    <w:rsid w:val="007C02D6"/>
    <w:rsid w:val="007C0600"/>
    <w:rsid w:val="007C061C"/>
    <w:rsid w:val="007C073A"/>
    <w:rsid w:val="007C077A"/>
    <w:rsid w:val="007C078B"/>
    <w:rsid w:val="007C0928"/>
    <w:rsid w:val="007C09B6"/>
    <w:rsid w:val="007C0D78"/>
    <w:rsid w:val="007C0E14"/>
    <w:rsid w:val="007C0E54"/>
    <w:rsid w:val="007C0EC1"/>
    <w:rsid w:val="007C0FA9"/>
    <w:rsid w:val="007C11A9"/>
    <w:rsid w:val="007C13A1"/>
    <w:rsid w:val="007C13D9"/>
    <w:rsid w:val="007C13EC"/>
    <w:rsid w:val="007C1750"/>
    <w:rsid w:val="007C1751"/>
    <w:rsid w:val="007C193A"/>
    <w:rsid w:val="007C194C"/>
    <w:rsid w:val="007C1E94"/>
    <w:rsid w:val="007C1FF2"/>
    <w:rsid w:val="007C21A0"/>
    <w:rsid w:val="007C2320"/>
    <w:rsid w:val="007C23BF"/>
    <w:rsid w:val="007C2413"/>
    <w:rsid w:val="007C241D"/>
    <w:rsid w:val="007C25AE"/>
    <w:rsid w:val="007C2675"/>
    <w:rsid w:val="007C2688"/>
    <w:rsid w:val="007C281C"/>
    <w:rsid w:val="007C28CE"/>
    <w:rsid w:val="007C29E0"/>
    <w:rsid w:val="007C2B90"/>
    <w:rsid w:val="007C2CE1"/>
    <w:rsid w:val="007C2D0B"/>
    <w:rsid w:val="007C2F1A"/>
    <w:rsid w:val="007C30DD"/>
    <w:rsid w:val="007C3152"/>
    <w:rsid w:val="007C3260"/>
    <w:rsid w:val="007C333B"/>
    <w:rsid w:val="007C33FC"/>
    <w:rsid w:val="007C343E"/>
    <w:rsid w:val="007C358A"/>
    <w:rsid w:val="007C3914"/>
    <w:rsid w:val="007C39A9"/>
    <w:rsid w:val="007C3AB0"/>
    <w:rsid w:val="007C3B86"/>
    <w:rsid w:val="007C3BE8"/>
    <w:rsid w:val="007C3BF2"/>
    <w:rsid w:val="007C3BFC"/>
    <w:rsid w:val="007C3C29"/>
    <w:rsid w:val="007C3CEA"/>
    <w:rsid w:val="007C3D15"/>
    <w:rsid w:val="007C3D8D"/>
    <w:rsid w:val="007C3D92"/>
    <w:rsid w:val="007C3E64"/>
    <w:rsid w:val="007C3E6B"/>
    <w:rsid w:val="007C3E98"/>
    <w:rsid w:val="007C3EBB"/>
    <w:rsid w:val="007C422C"/>
    <w:rsid w:val="007C42DD"/>
    <w:rsid w:val="007C440F"/>
    <w:rsid w:val="007C45F4"/>
    <w:rsid w:val="007C472C"/>
    <w:rsid w:val="007C48D7"/>
    <w:rsid w:val="007C4B34"/>
    <w:rsid w:val="007C4D95"/>
    <w:rsid w:val="007C4DDB"/>
    <w:rsid w:val="007C4E4D"/>
    <w:rsid w:val="007C4EC5"/>
    <w:rsid w:val="007C4EF9"/>
    <w:rsid w:val="007C4F4D"/>
    <w:rsid w:val="007C4F70"/>
    <w:rsid w:val="007C4FA4"/>
    <w:rsid w:val="007C5077"/>
    <w:rsid w:val="007C5079"/>
    <w:rsid w:val="007C530D"/>
    <w:rsid w:val="007C53C4"/>
    <w:rsid w:val="007C543E"/>
    <w:rsid w:val="007C55A6"/>
    <w:rsid w:val="007C56F4"/>
    <w:rsid w:val="007C59A1"/>
    <w:rsid w:val="007C5A47"/>
    <w:rsid w:val="007C5A8F"/>
    <w:rsid w:val="007C5B38"/>
    <w:rsid w:val="007C5DA9"/>
    <w:rsid w:val="007C5E2B"/>
    <w:rsid w:val="007C5F5E"/>
    <w:rsid w:val="007C617C"/>
    <w:rsid w:val="007C6232"/>
    <w:rsid w:val="007C7182"/>
    <w:rsid w:val="007C7287"/>
    <w:rsid w:val="007C72B2"/>
    <w:rsid w:val="007C7459"/>
    <w:rsid w:val="007C76E8"/>
    <w:rsid w:val="007C77E3"/>
    <w:rsid w:val="007C791C"/>
    <w:rsid w:val="007C7B87"/>
    <w:rsid w:val="007C7CE1"/>
    <w:rsid w:val="007C7D7B"/>
    <w:rsid w:val="007C7E11"/>
    <w:rsid w:val="007C7EBD"/>
    <w:rsid w:val="007C7F63"/>
    <w:rsid w:val="007C7FF4"/>
    <w:rsid w:val="007D0127"/>
    <w:rsid w:val="007D01E6"/>
    <w:rsid w:val="007D035E"/>
    <w:rsid w:val="007D0396"/>
    <w:rsid w:val="007D03A4"/>
    <w:rsid w:val="007D03F9"/>
    <w:rsid w:val="007D0518"/>
    <w:rsid w:val="007D0644"/>
    <w:rsid w:val="007D06C1"/>
    <w:rsid w:val="007D06CC"/>
    <w:rsid w:val="007D06F3"/>
    <w:rsid w:val="007D071C"/>
    <w:rsid w:val="007D0ACC"/>
    <w:rsid w:val="007D0B02"/>
    <w:rsid w:val="007D1101"/>
    <w:rsid w:val="007D111D"/>
    <w:rsid w:val="007D11DE"/>
    <w:rsid w:val="007D1212"/>
    <w:rsid w:val="007D123C"/>
    <w:rsid w:val="007D1299"/>
    <w:rsid w:val="007D133D"/>
    <w:rsid w:val="007D1801"/>
    <w:rsid w:val="007D1895"/>
    <w:rsid w:val="007D1A63"/>
    <w:rsid w:val="007D1A75"/>
    <w:rsid w:val="007D1B3A"/>
    <w:rsid w:val="007D1DA6"/>
    <w:rsid w:val="007D1FE0"/>
    <w:rsid w:val="007D202E"/>
    <w:rsid w:val="007D20BB"/>
    <w:rsid w:val="007D224B"/>
    <w:rsid w:val="007D2299"/>
    <w:rsid w:val="007D22A6"/>
    <w:rsid w:val="007D2379"/>
    <w:rsid w:val="007D260B"/>
    <w:rsid w:val="007D261A"/>
    <w:rsid w:val="007D261E"/>
    <w:rsid w:val="007D2656"/>
    <w:rsid w:val="007D299B"/>
    <w:rsid w:val="007D29B2"/>
    <w:rsid w:val="007D29CD"/>
    <w:rsid w:val="007D2A2D"/>
    <w:rsid w:val="007D2D78"/>
    <w:rsid w:val="007D2D95"/>
    <w:rsid w:val="007D2F61"/>
    <w:rsid w:val="007D3004"/>
    <w:rsid w:val="007D31E4"/>
    <w:rsid w:val="007D3235"/>
    <w:rsid w:val="007D33DB"/>
    <w:rsid w:val="007D34FD"/>
    <w:rsid w:val="007D3771"/>
    <w:rsid w:val="007D37F7"/>
    <w:rsid w:val="007D37F8"/>
    <w:rsid w:val="007D3988"/>
    <w:rsid w:val="007D3B2E"/>
    <w:rsid w:val="007D3C76"/>
    <w:rsid w:val="007D3D05"/>
    <w:rsid w:val="007D3D0E"/>
    <w:rsid w:val="007D3D33"/>
    <w:rsid w:val="007D3D68"/>
    <w:rsid w:val="007D3DD4"/>
    <w:rsid w:val="007D3E2F"/>
    <w:rsid w:val="007D3E6B"/>
    <w:rsid w:val="007D41C2"/>
    <w:rsid w:val="007D428C"/>
    <w:rsid w:val="007D4299"/>
    <w:rsid w:val="007D4431"/>
    <w:rsid w:val="007D4521"/>
    <w:rsid w:val="007D453D"/>
    <w:rsid w:val="007D4691"/>
    <w:rsid w:val="007D475D"/>
    <w:rsid w:val="007D475E"/>
    <w:rsid w:val="007D47B3"/>
    <w:rsid w:val="007D49B5"/>
    <w:rsid w:val="007D49E6"/>
    <w:rsid w:val="007D4EAF"/>
    <w:rsid w:val="007D4EF2"/>
    <w:rsid w:val="007D4F02"/>
    <w:rsid w:val="007D4FC9"/>
    <w:rsid w:val="007D5049"/>
    <w:rsid w:val="007D515A"/>
    <w:rsid w:val="007D5234"/>
    <w:rsid w:val="007D52C6"/>
    <w:rsid w:val="007D539A"/>
    <w:rsid w:val="007D548F"/>
    <w:rsid w:val="007D54A2"/>
    <w:rsid w:val="007D54A5"/>
    <w:rsid w:val="007D559B"/>
    <w:rsid w:val="007D55A4"/>
    <w:rsid w:val="007D55B8"/>
    <w:rsid w:val="007D5782"/>
    <w:rsid w:val="007D57CD"/>
    <w:rsid w:val="007D5853"/>
    <w:rsid w:val="007D58B0"/>
    <w:rsid w:val="007D5975"/>
    <w:rsid w:val="007D59D1"/>
    <w:rsid w:val="007D5AB0"/>
    <w:rsid w:val="007D5C7C"/>
    <w:rsid w:val="007D5CF8"/>
    <w:rsid w:val="007D5DE4"/>
    <w:rsid w:val="007D5E27"/>
    <w:rsid w:val="007D5F49"/>
    <w:rsid w:val="007D632B"/>
    <w:rsid w:val="007D664E"/>
    <w:rsid w:val="007D66F9"/>
    <w:rsid w:val="007D674C"/>
    <w:rsid w:val="007D685D"/>
    <w:rsid w:val="007D696D"/>
    <w:rsid w:val="007D6B7B"/>
    <w:rsid w:val="007D6CF1"/>
    <w:rsid w:val="007D6DA6"/>
    <w:rsid w:val="007D6FBC"/>
    <w:rsid w:val="007D7131"/>
    <w:rsid w:val="007D714A"/>
    <w:rsid w:val="007D71A7"/>
    <w:rsid w:val="007D71E2"/>
    <w:rsid w:val="007D7410"/>
    <w:rsid w:val="007D74DD"/>
    <w:rsid w:val="007D7755"/>
    <w:rsid w:val="007D7822"/>
    <w:rsid w:val="007D7BAA"/>
    <w:rsid w:val="007D7BEC"/>
    <w:rsid w:val="007D7BF2"/>
    <w:rsid w:val="007D7CE3"/>
    <w:rsid w:val="007D7DBC"/>
    <w:rsid w:val="007D7F16"/>
    <w:rsid w:val="007D7F65"/>
    <w:rsid w:val="007E00F7"/>
    <w:rsid w:val="007E03BB"/>
    <w:rsid w:val="007E03DD"/>
    <w:rsid w:val="007E03F4"/>
    <w:rsid w:val="007E051A"/>
    <w:rsid w:val="007E0798"/>
    <w:rsid w:val="007E083C"/>
    <w:rsid w:val="007E0A5C"/>
    <w:rsid w:val="007E1346"/>
    <w:rsid w:val="007E13A7"/>
    <w:rsid w:val="007E1411"/>
    <w:rsid w:val="007E1460"/>
    <w:rsid w:val="007E16B0"/>
    <w:rsid w:val="007E190E"/>
    <w:rsid w:val="007E1B72"/>
    <w:rsid w:val="007E1BC1"/>
    <w:rsid w:val="007E1BEE"/>
    <w:rsid w:val="007E1CF0"/>
    <w:rsid w:val="007E1D1F"/>
    <w:rsid w:val="007E1D52"/>
    <w:rsid w:val="007E21BF"/>
    <w:rsid w:val="007E2520"/>
    <w:rsid w:val="007E25D4"/>
    <w:rsid w:val="007E26BC"/>
    <w:rsid w:val="007E2733"/>
    <w:rsid w:val="007E2817"/>
    <w:rsid w:val="007E289B"/>
    <w:rsid w:val="007E2924"/>
    <w:rsid w:val="007E2BB3"/>
    <w:rsid w:val="007E2C25"/>
    <w:rsid w:val="007E31D3"/>
    <w:rsid w:val="007E33B6"/>
    <w:rsid w:val="007E3408"/>
    <w:rsid w:val="007E3460"/>
    <w:rsid w:val="007E3A12"/>
    <w:rsid w:val="007E3A18"/>
    <w:rsid w:val="007E3AEB"/>
    <w:rsid w:val="007E3B28"/>
    <w:rsid w:val="007E3E7D"/>
    <w:rsid w:val="007E3EA4"/>
    <w:rsid w:val="007E3EB7"/>
    <w:rsid w:val="007E3EE3"/>
    <w:rsid w:val="007E401C"/>
    <w:rsid w:val="007E402B"/>
    <w:rsid w:val="007E40CF"/>
    <w:rsid w:val="007E428D"/>
    <w:rsid w:val="007E434C"/>
    <w:rsid w:val="007E436A"/>
    <w:rsid w:val="007E4375"/>
    <w:rsid w:val="007E43BE"/>
    <w:rsid w:val="007E43EC"/>
    <w:rsid w:val="007E45C4"/>
    <w:rsid w:val="007E4979"/>
    <w:rsid w:val="007E4B53"/>
    <w:rsid w:val="007E507C"/>
    <w:rsid w:val="007E5173"/>
    <w:rsid w:val="007E5196"/>
    <w:rsid w:val="007E52C8"/>
    <w:rsid w:val="007E54AB"/>
    <w:rsid w:val="007E5517"/>
    <w:rsid w:val="007E56A1"/>
    <w:rsid w:val="007E56AB"/>
    <w:rsid w:val="007E5739"/>
    <w:rsid w:val="007E5765"/>
    <w:rsid w:val="007E57DE"/>
    <w:rsid w:val="007E5902"/>
    <w:rsid w:val="007E5DDA"/>
    <w:rsid w:val="007E6093"/>
    <w:rsid w:val="007E609A"/>
    <w:rsid w:val="007E624D"/>
    <w:rsid w:val="007E6591"/>
    <w:rsid w:val="007E6649"/>
    <w:rsid w:val="007E668C"/>
    <w:rsid w:val="007E6719"/>
    <w:rsid w:val="007E6737"/>
    <w:rsid w:val="007E6801"/>
    <w:rsid w:val="007E687F"/>
    <w:rsid w:val="007E68ED"/>
    <w:rsid w:val="007E69ED"/>
    <w:rsid w:val="007E6AB9"/>
    <w:rsid w:val="007E6B46"/>
    <w:rsid w:val="007E6B6B"/>
    <w:rsid w:val="007E6C9E"/>
    <w:rsid w:val="007E6E0C"/>
    <w:rsid w:val="007E6EF8"/>
    <w:rsid w:val="007E6F8A"/>
    <w:rsid w:val="007E6FE0"/>
    <w:rsid w:val="007E6FF3"/>
    <w:rsid w:val="007E71D4"/>
    <w:rsid w:val="007E71EC"/>
    <w:rsid w:val="007E71ED"/>
    <w:rsid w:val="007E72CE"/>
    <w:rsid w:val="007E72E5"/>
    <w:rsid w:val="007E7513"/>
    <w:rsid w:val="007E7690"/>
    <w:rsid w:val="007E76DF"/>
    <w:rsid w:val="007E77AB"/>
    <w:rsid w:val="007E77E2"/>
    <w:rsid w:val="007E78D2"/>
    <w:rsid w:val="007E7AFF"/>
    <w:rsid w:val="007E7B2D"/>
    <w:rsid w:val="007E7DA8"/>
    <w:rsid w:val="007F0047"/>
    <w:rsid w:val="007F009B"/>
    <w:rsid w:val="007F00C2"/>
    <w:rsid w:val="007F00D9"/>
    <w:rsid w:val="007F0106"/>
    <w:rsid w:val="007F01FC"/>
    <w:rsid w:val="007F0221"/>
    <w:rsid w:val="007F02D4"/>
    <w:rsid w:val="007F034B"/>
    <w:rsid w:val="007F03B1"/>
    <w:rsid w:val="007F0450"/>
    <w:rsid w:val="007F04EB"/>
    <w:rsid w:val="007F0557"/>
    <w:rsid w:val="007F0604"/>
    <w:rsid w:val="007F069E"/>
    <w:rsid w:val="007F07B9"/>
    <w:rsid w:val="007F07CA"/>
    <w:rsid w:val="007F0872"/>
    <w:rsid w:val="007F0928"/>
    <w:rsid w:val="007F0B1E"/>
    <w:rsid w:val="007F0DE8"/>
    <w:rsid w:val="007F118E"/>
    <w:rsid w:val="007F12B4"/>
    <w:rsid w:val="007F15CE"/>
    <w:rsid w:val="007F164F"/>
    <w:rsid w:val="007F1695"/>
    <w:rsid w:val="007F1711"/>
    <w:rsid w:val="007F1866"/>
    <w:rsid w:val="007F18BC"/>
    <w:rsid w:val="007F19F9"/>
    <w:rsid w:val="007F1A63"/>
    <w:rsid w:val="007F1BC8"/>
    <w:rsid w:val="007F1C41"/>
    <w:rsid w:val="007F1D35"/>
    <w:rsid w:val="007F1E88"/>
    <w:rsid w:val="007F1F7E"/>
    <w:rsid w:val="007F227D"/>
    <w:rsid w:val="007F24A3"/>
    <w:rsid w:val="007F26AE"/>
    <w:rsid w:val="007F2743"/>
    <w:rsid w:val="007F2C0E"/>
    <w:rsid w:val="007F2CB3"/>
    <w:rsid w:val="007F2CD7"/>
    <w:rsid w:val="007F2D09"/>
    <w:rsid w:val="007F2E98"/>
    <w:rsid w:val="007F30B4"/>
    <w:rsid w:val="007F30C1"/>
    <w:rsid w:val="007F314B"/>
    <w:rsid w:val="007F3201"/>
    <w:rsid w:val="007F340D"/>
    <w:rsid w:val="007F34F2"/>
    <w:rsid w:val="007F3568"/>
    <w:rsid w:val="007F3855"/>
    <w:rsid w:val="007F3A89"/>
    <w:rsid w:val="007F3B1B"/>
    <w:rsid w:val="007F3D1E"/>
    <w:rsid w:val="007F3D3E"/>
    <w:rsid w:val="007F3F19"/>
    <w:rsid w:val="007F406F"/>
    <w:rsid w:val="007F415F"/>
    <w:rsid w:val="007F422D"/>
    <w:rsid w:val="007F4244"/>
    <w:rsid w:val="007F4293"/>
    <w:rsid w:val="007F42D2"/>
    <w:rsid w:val="007F44CE"/>
    <w:rsid w:val="007F4695"/>
    <w:rsid w:val="007F484D"/>
    <w:rsid w:val="007F492B"/>
    <w:rsid w:val="007F4A3E"/>
    <w:rsid w:val="007F4C5A"/>
    <w:rsid w:val="007F4DBA"/>
    <w:rsid w:val="007F4DDF"/>
    <w:rsid w:val="007F4E21"/>
    <w:rsid w:val="007F5064"/>
    <w:rsid w:val="007F519C"/>
    <w:rsid w:val="007F534D"/>
    <w:rsid w:val="007F536C"/>
    <w:rsid w:val="007F54A2"/>
    <w:rsid w:val="007F54BB"/>
    <w:rsid w:val="007F54FE"/>
    <w:rsid w:val="007F5535"/>
    <w:rsid w:val="007F5659"/>
    <w:rsid w:val="007F56AD"/>
    <w:rsid w:val="007F5788"/>
    <w:rsid w:val="007F579A"/>
    <w:rsid w:val="007F57DD"/>
    <w:rsid w:val="007F5A96"/>
    <w:rsid w:val="007F5AFD"/>
    <w:rsid w:val="007F5C30"/>
    <w:rsid w:val="007F5D32"/>
    <w:rsid w:val="007F5D56"/>
    <w:rsid w:val="007F5E40"/>
    <w:rsid w:val="007F5E9B"/>
    <w:rsid w:val="007F5F12"/>
    <w:rsid w:val="007F5F36"/>
    <w:rsid w:val="007F5FC8"/>
    <w:rsid w:val="007F619C"/>
    <w:rsid w:val="007F6238"/>
    <w:rsid w:val="007F6394"/>
    <w:rsid w:val="007F64CC"/>
    <w:rsid w:val="007F64F2"/>
    <w:rsid w:val="007F660C"/>
    <w:rsid w:val="007F698A"/>
    <w:rsid w:val="007F6B63"/>
    <w:rsid w:val="007F6E39"/>
    <w:rsid w:val="007F6E77"/>
    <w:rsid w:val="007F6E98"/>
    <w:rsid w:val="007F6F5C"/>
    <w:rsid w:val="007F7257"/>
    <w:rsid w:val="007F7292"/>
    <w:rsid w:val="007F72DC"/>
    <w:rsid w:val="007F7580"/>
    <w:rsid w:val="007F767D"/>
    <w:rsid w:val="007F7755"/>
    <w:rsid w:val="007F78F8"/>
    <w:rsid w:val="007F7933"/>
    <w:rsid w:val="007F7936"/>
    <w:rsid w:val="007F7940"/>
    <w:rsid w:val="007F795F"/>
    <w:rsid w:val="007F7B27"/>
    <w:rsid w:val="007F7B29"/>
    <w:rsid w:val="007F7B80"/>
    <w:rsid w:val="007F7F93"/>
    <w:rsid w:val="007F7FE2"/>
    <w:rsid w:val="0080017F"/>
    <w:rsid w:val="008004EF"/>
    <w:rsid w:val="008005C5"/>
    <w:rsid w:val="0080069C"/>
    <w:rsid w:val="008006FD"/>
    <w:rsid w:val="00800A86"/>
    <w:rsid w:val="00800CE9"/>
    <w:rsid w:val="00800D5F"/>
    <w:rsid w:val="00800F2A"/>
    <w:rsid w:val="00800F8B"/>
    <w:rsid w:val="00800F97"/>
    <w:rsid w:val="008011BA"/>
    <w:rsid w:val="0080123F"/>
    <w:rsid w:val="008012F1"/>
    <w:rsid w:val="008013A0"/>
    <w:rsid w:val="008013C7"/>
    <w:rsid w:val="0080148D"/>
    <w:rsid w:val="0080156B"/>
    <w:rsid w:val="008016C3"/>
    <w:rsid w:val="00801784"/>
    <w:rsid w:val="0080184F"/>
    <w:rsid w:val="008018D4"/>
    <w:rsid w:val="0080192E"/>
    <w:rsid w:val="008019F6"/>
    <w:rsid w:val="00801A3A"/>
    <w:rsid w:val="00801A92"/>
    <w:rsid w:val="00801AE9"/>
    <w:rsid w:val="00801C3B"/>
    <w:rsid w:val="00801E0E"/>
    <w:rsid w:val="00802014"/>
    <w:rsid w:val="00802028"/>
    <w:rsid w:val="00802109"/>
    <w:rsid w:val="0080258E"/>
    <w:rsid w:val="0080261C"/>
    <w:rsid w:val="00802660"/>
    <w:rsid w:val="008027A0"/>
    <w:rsid w:val="008027AD"/>
    <w:rsid w:val="0080286D"/>
    <w:rsid w:val="00802A1D"/>
    <w:rsid w:val="00802C12"/>
    <w:rsid w:val="008030C0"/>
    <w:rsid w:val="00803206"/>
    <w:rsid w:val="0080333D"/>
    <w:rsid w:val="00803492"/>
    <w:rsid w:val="008037F3"/>
    <w:rsid w:val="0080387F"/>
    <w:rsid w:val="0080390F"/>
    <w:rsid w:val="00803A4F"/>
    <w:rsid w:val="00803C97"/>
    <w:rsid w:val="00803D6F"/>
    <w:rsid w:val="00803E42"/>
    <w:rsid w:val="00803E70"/>
    <w:rsid w:val="00804087"/>
    <w:rsid w:val="00804114"/>
    <w:rsid w:val="00804241"/>
    <w:rsid w:val="0080429B"/>
    <w:rsid w:val="008043E1"/>
    <w:rsid w:val="00804634"/>
    <w:rsid w:val="008047E8"/>
    <w:rsid w:val="00804992"/>
    <w:rsid w:val="00804AB1"/>
    <w:rsid w:val="00804BA8"/>
    <w:rsid w:val="00805031"/>
    <w:rsid w:val="00805154"/>
    <w:rsid w:val="0080531C"/>
    <w:rsid w:val="0080531E"/>
    <w:rsid w:val="0080531F"/>
    <w:rsid w:val="008053F8"/>
    <w:rsid w:val="008054BE"/>
    <w:rsid w:val="00805729"/>
    <w:rsid w:val="008058F4"/>
    <w:rsid w:val="00805935"/>
    <w:rsid w:val="00805A80"/>
    <w:rsid w:val="00805AF8"/>
    <w:rsid w:val="00805C3D"/>
    <w:rsid w:val="00805CDB"/>
    <w:rsid w:val="00805D2F"/>
    <w:rsid w:val="00805E79"/>
    <w:rsid w:val="00805F4F"/>
    <w:rsid w:val="00806097"/>
    <w:rsid w:val="008062E6"/>
    <w:rsid w:val="00806324"/>
    <w:rsid w:val="008065FE"/>
    <w:rsid w:val="0080660E"/>
    <w:rsid w:val="008066DB"/>
    <w:rsid w:val="00806938"/>
    <w:rsid w:val="00806A62"/>
    <w:rsid w:val="00806BDE"/>
    <w:rsid w:val="00806D31"/>
    <w:rsid w:val="00806DE4"/>
    <w:rsid w:val="00806F1D"/>
    <w:rsid w:val="0080705F"/>
    <w:rsid w:val="008070BA"/>
    <w:rsid w:val="008070FE"/>
    <w:rsid w:val="0080710F"/>
    <w:rsid w:val="0080732F"/>
    <w:rsid w:val="0080742C"/>
    <w:rsid w:val="008074FD"/>
    <w:rsid w:val="00807595"/>
    <w:rsid w:val="008075CD"/>
    <w:rsid w:val="0080767C"/>
    <w:rsid w:val="008076B6"/>
    <w:rsid w:val="008077C9"/>
    <w:rsid w:val="008077ED"/>
    <w:rsid w:val="008078ED"/>
    <w:rsid w:val="008079C2"/>
    <w:rsid w:val="00807AB8"/>
    <w:rsid w:val="00807B04"/>
    <w:rsid w:val="00807B64"/>
    <w:rsid w:val="00807B6F"/>
    <w:rsid w:val="00807C60"/>
    <w:rsid w:val="00807CBC"/>
    <w:rsid w:val="00807D69"/>
    <w:rsid w:val="00807DFF"/>
    <w:rsid w:val="00807E30"/>
    <w:rsid w:val="00807E93"/>
    <w:rsid w:val="00807F91"/>
    <w:rsid w:val="0080F6A8"/>
    <w:rsid w:val="0081006E"/>
    <w:rsid w:val="00810102"/>
    <w:rsid w:val="0081014F"/>
    <w:rsid w:val="00810172"/>
    <w:rsid w:val="00810230"/>
    <w:rsid w:val="008104F7"/>
    <w:rsid w:val="0081074D"/>
    <w:rsid w:val="00810762"/>
    <w:rsid w:val="00810858"/>
    <w:rsid w:val="00810A24"/>
    <w:rsid w:val="00810CDB"/>
    <w:rsid w:val="00810EFF"/>
    <w:rsid w:val="0081129F"/>
    <w:rsid w:val="00811314"/>
    <w:rsid w:val="008114A1"/>
    <w:rsid w:val="00811509"/>
    <w:rsid w:val="00811673"/>
    <w:rsid w:val="00811702"/>
    <w:rsid w:val="0081170B"/>
    <w:rsid w:val="00811A39"/>
    <w:rsid w:val="00811A49"/>
    <w:rsid w:val="00811C28"/>
    <w:rsid w:val="00811FF7"/>
    <w:rsid w:val="00812319"/>
    <w:rsid w:val="008123E0"/>
    <w:rsid w:val="008123E6"/>
    <w:rsid w:val="00812439"/>
    <w:rsid w:val="008124BD"/>
    <w:rsid w:val="008125C0"/>
    <w:rsid w:val="008125CF"/>
    <w:rsid w:val="00812804"/>
    <w:rsid w:val="00812859"/>
    <w:rsid w:val="008128C0"/>
    <w:rsid w:val="0081291B"/>
    <w:rsid w:val="00812B49"/>
    <w:rsid w:val="00812B62"/>
    <w:rsid w:val="00812D02"/>
    <w:rsid w:val="00812D62"/>
    <w:rsid w:val="00812FBF"/>
    <w:rsid w:val="00813022"/>
    <w:rsid w:val="00813075"/>
    <w:rsid w:val="008132CB"/>
    <w:rsid w:val="00813458"/>
    <w:rsid w:val="00813465"/>
    <w:rsid w:val="008135C2"/>
    <w:rsid w:val="00813622"/>
    <w:rsid w:val="00813659"/>
    <w:rsid w:val="00813674"/>
    <w:rsid w:val="0081372F"/>
    <w:rsid w:val="008137DC"/>
    <w:rsid w:val="008138B5"/>
    <w:rsid w:val="00813942"/>
    <w:rsid w:val="008139C8"/>
    <w:rsid w:val="00813C8F"/>
    <w:rsid w:val="00813DCF"/>
    <w:rsid w:val="00813FAB"/>
    <w:rsid w:val="00813FB2"/>
    <w:rsid w:val="008140BD"/>
    <w:rsid w:val="00814349"/>
    <w:rsid w:val="0081442D"/>
    <w:rsid w:val="00814762"/>
    <w:rsid w:val="008147F4"/>
    <w:rsid w:val="0081488C"/>
    <w:rsid w:val="008148EF"/>
    <w:rsid w:val="0081492A"/>
    <w:rsid w:val="0081498C"/>
    <w:rsid w:val="00814AE1"/>
    <w:rsid w:val="00814C22"/>
    <w:rsid w:val="00814F6A"/>
    <w:rsid w:val="008154F7"/>
    <w:rsid w:val="008154FB"/>
    <w:rsid w:val="0081566C"/>
    <w:rsid w:val="00815775"/>
    <w:rsid w:val="008159D7"/>
    <w:rsid w:val="00815A43"/>
    <w:rsid w:val="00815D31"/>
    <w:rsid w:val="0081601F"/>
    <w:rsid w:val="00816064"/>
    <w:rsid w:val="00816148"/>
    <w:rsid w:val="008162C6"/>
    <w:rsid w:val="008164D1"/>
    <w:rsid w:val="008165EF"/>
    <w:rsid w:val="0081662B"/>
    <w:rsid w:val="008167E1"/>
    <w:rsid w:val="00816809"/>
    <w:rsid w:val="00816A2E"/>
    <w:rsid w:val="00816A46"/>
    <w:rsid w:val="00816ABF"/>
    <w:rsid w:val="00816CC2"/>
    <w:rsid w:val="00816CFF"/>
    <w:rsid w:val="00816F7F"/>
    <w:rsid w:val="00817126"/>
    <w:rsid w:val="008173AF"/>
    <w:rsid w:val="008174B2"/>
    <w:rsid w:val="008174F9"/>
    <w:rsid w:val="0081763D"/>
    <w:rsid w:val="008177A8"/>
    <w:rsid w:val="00817B5C"/>
    <w:rsid w:val="00817C3D"/>
    <w:rsid w:val="00817C89"/>
    <w:rsid w:val="00817CFF"/>
    <w:rsid w:val="00817D03"/>
    <w:rsid w:val="00817D30"/>
    <w:rsid w:val="00817E7E"/>
    <w:rsid w:val="00817EA0"/>
    <w:rsid w:val="00817F94"/>
    <w:rsid w:val="0082000D"/>
    <w:rsid w:val="008202A6"/>
    <w:rsid w:val="0082037E"/>
    <w:rsid w:val="00820429"/>
    <w:rsid w:val="0082047F"/>
    <w:rsid w:val="008204B3"/>
    <w:rsid w:val="00820563"/>
    <w:rsid w:val="008205FB"/>
    <w:rsid w:val="00820644"/>
    <w:rsid w:val="00820645"/>
    <w:rsid w:val="00820716"/>
    <w:rsid w:val="008207F8"/>
    <w:rsid w:val="008208D7"/>
    <w:rsid w:val="00820945"/>
    <w:rsid w:val="0082095E"/>
    <w:rsid w:val="00820AC3"/>
    <w:rsid w:val="00820AE7"/>
    <w:rsid w:val="00820C9C"/>
    <w:rsid w:val="00820E01"/>
    <w:rsid w:val="00820E4B"/>
    <w:rsid w:val="00820EC8"/>
    <w:rsid w:val="00820F55"/>
    <w:rsid w:val="0082114A"/>
    <w:rsid w:val="00821207"/>
    <w:rsid w:val="0082147B"/>
    <w:rsid w:val="0082155B"/>
    <w:rsid w:val="0082156E"/>
    <w:rsid w:val="00821572"/>
    <w:rsid w:val="008215C2"/>
    <w:rsid w:val="00821655"/>
    <w:rsid w:val="00821806"/>
    <w:rsid w:val="008218B9"/>
    <w:rsid w:val="00821A5B"/>
    <w:rsid w:val="00821A6E"/>
    <w:rsid w:val="00821B3F"/>
    <w:rsid w:val="00821D52"/>
    <w:rsid w:val="00821DAC"/>
    <w:rsid w:val="00821DC4"/>
    <w:rsid w:val="00822004"/>
    <w:rsid w:val="008220A9"/>
    <w:rsid w:val="008220BD"/>
    <w:rsid w:val="00822267"/>
    <w:rsid w:val="00822297"/>
    <w:rsid w:val="00822310"/>
    <w:rsid w:val="00822377"/>
    <w:rsid w:val="008224AA"/>
    <w:rsid w:val="0082258F"/>
    <w:rsid w:val="0082269C"/>
    <w:rsid w:val="008226D5"/>
    <w:rsid w:val="00822943"/>
    <w:rsid w:val="00822A51"/>
    <w:rsid w:val="00822B94"/>
    <w:rsid w:val="00822BA4"/>
    <w:rsid w:val="00822E03"/>
    <w:rsid w:val="00822EE3"/>
    <w:rsid w:val="00822F1C"/>
    <w:rsid w:val="00823076"/>
    <w:rsid w:val="008231D0"/>
    <w:rsid w:val="008233A9"/>
    <w:rsid w:val="008233B7"/>
    <w:rsid w:val="0082354E"/>
    <w:rsid w:val="00823566"/>
    <w:rsid w:val="0082360E"/>
    <w:rsid w:val="0082361E"/>
    <w:rsid w:val="0082362A"/>
    <w:rsid w:val="0082372F"/>
    <w:rsid w:val="00823752"/>
    <w:rsid w:val="00823794"/>
    <w:rsid w:val="008237F4"/>
    <w:rsid w:val="00823B5F"/>
    <w:rsid w:val="00823C1E"/>
    <w:rsid w:val="00823C43"/>
    <w:rsid w:val="00823F67"/>
    <w:rsid w:val="00824022"/>
    <w:rsid w:val="0082418D"/>
    <w:rsid w:val="00824214"/>
    <w:rsid w:val="0082460A"/>
    <w:rsid w:val="0082483A"/>
    <w:rsid w:val="008248F1"/>
    <w:rsid w:val="00824A7B"/>
    <w:rsid w:val="00824A81"/>
    <w:rsid w:val="00824A8C"/>
    <w:rsid w:val="00824CB9"/>
    <w:rsid w:val="0082551D"/>
    <w:rsid w:val="00825664"/>
    <w:rsid w:val="0082568A"/>
    <w:rsid w:val="008257B8"/>
    <w:rsid w:val="00825A2B"/>
    <w:rsid w:val="00825C8C"/>
    <w:rsid w:val="00825CCE"/>
    <w:rsid w:val="00825DEB"/>
    <w:rsid w:val="00825FC2"/>
    <w:rsid w:val="00826007"/>
    <w:rsid w:val="008260ED"/>
    <w:rsid w:val="0082624D"/>
    <w:rsid w:val="008263ED"/>
    <w:rsid w:val="0082653C"/>
    <w:rsid w:val="00826588"/>
    <w:rsid w:val="008265D4"/>
    <w:rsid w:val="008266E7"/>
    <w:rsid w:val="0082671D"/>
    <w:rsid w:val="00826928"/>
    <w:rsid w:val="0082692C"/>
    <w:rsid w:val="0082699D"/>
    <w:rsid w:val="00826B6F"/>
    <w:rsid w:val="00826D0A"/>
    <w:rsid w:val="00826E6B"/>
    <w:rsid w:val="00826E95"/>
    <w:rsid w:val="00826F0E"/>
    <w:rsid w:val="00826FF8"/>
    <w:rsid w:val="00827014"/>
    <w:rsid w:val="0082714B"/>
    <w:rsid w:val="008273CA"/>
    <w:rsid w:val="0082759A"/>
    <w:rsid w:val="008275FD"/>
    <w:rsid w:val="008277DF"/>
    <w:rsid w:val="008278EA"/>
    <w:rsid w:val="008279C5"/>
    <w:rsid w:val="00827A81"/>
    <w:rsid w:val="00827D71"/>
    <w:rsid w:val="0083017F"/>
    <w:rsid w:val="00830579"/>
    <w:rsid w:val="008306A9"/>
    <w:rsid w:val="0083075B"/>
    <w:rsid w:val="008309AE"/>
    <w:rsid w:val="008309BA"/>
    <w:rsid w:val="00830AFD"/>
    <w:rsid w:val="00830B11"/>
    <w:rsid w:val="00830BA1"/>
    <w:rsid w:val="00830C4C"/>
    <w:rsid w:val="00830CD5"/>
    <w:rsid w:val="00830EB2"/>
    <w:rsid w:val="00830FAA"/>
    <w:rsid w:val="0083108A"/>
    <w:rsid w:val="00831325"/>
    <w:rsid w:val="0083137D"/>
    <w:rsid w:val="008313D3"/>
    <w:rsid w:val="008313DC"/>
    <w:rsid w:val="00831403"/>
    <w:rsid w:val="0083146C"/>
    <w:rsid w:val="00831652"/>
    <w:rsid w:val="008317AD"/>
    <w:rsid w:val="00831A1E"/>
    <w:rsid w:val="00831A92"/>
    <w:rsid w:val="00831AE8"/>
    <w:rsid w:val="00831AEC"/>
    <w:rsid w:val="00831E29"/>
    <w:rsid w:val="0083202E"/>
    <w:rsid w:val="00832196"/>
    <w:rsid w:val="00832276"/>
    <w:rsid w:val="0083229C"/>
    <w:rsid w:val="00832369"/>
    <w:rsid w:val="008326F4"/>
    <w:rsid w:val="00832900"/>
    <w:rsid w:val="008329F3"/>
    <w:rsid w:val="00832ADF"/>
    <w:rsid w:val="00832BEE"/>
    <w:rsid w:val="00832C7C"/>
    <w:rsid w:val="00832CD0"/>
    <w:rsid w:val="00832FBE"/>
    <w:rsid w:val="00832FCE"/>
    <w:rsid w:val="0083304F"/>
    <w:rsid w:val="008331BA"/>
    <w:rsid w:val="008332BD"/>
    <w:rsid w:val="0083344A"/>
    <w:rsid w:val="0083348B"/>
    <w:rsid w:val="008334C9"/>
    <w:rsid w:val="00833698"/>
    <w:rsid w:val="0083392C"/>
    <w:rsid w:val="0083394C"/>
    <w:rsid w:val="00833A19"/>
    <w:rsid w:val="00833B73"/>
    <w:rsid w:val="00833C19"/>
    <w:rsid w:val="00833C8A"/>
    <w:rsid w:val="00833F84"/>
    <w:rsid w:val="00833F9F"/>
    <w:rsid w:val="00834122"/>
    <w:rsid w:val="008342B9"/>
    <w:rsid w:val="008343D1"/>
    <w:rsid w:val="0083442A"/>
    <w:rsid w:val="00834448"/>
    <w:rsid w:val="0083463F"/>
    <w:rsid w:val="00834880"/>
    <w:rsid w:val="008348BE"/>
    <w:rsid w:val="00834A9F"/>
    <w:rsid w:val="00834C37"/>
    <w:rsid w:val="00834DBB"/>
    <w:rsid w:val="008350C6"/>
    <w:rsid w:val="008350F4"/>
    <w:rsid w:val="0083510B"/>
    <w:rsid w:val="0083519F"/>
    <w:rsid w:val="008352C5"/>
    <w:rsid w:val="008353ED"/>
    <w:rsid w:val="00835508"/>
    <w:rsid w:val="008355D9"/>
    <w:rsid w:val="008355E0"/>
    <w:rsid w:val="0083567E"/>
    <w:rsid w:val="0083579E"/>
    <w:rsid w:val="00835842"/>
    <w:rsid w:val="00835875"/>
    <w:rsid w:val="008358A6"/>
    <w:rsid w:val="008359FB"/>
    <w:rsid w:val="00835B2A"/>
    <w:rsid w:val="00835BE3"/>
    <w:rsid w:val="00835C56"/>
    <w:rsid w:val="00835D00"/>
    <w:rsid w:val="00835D4C"/>
    <w:rsid w:val="00835D99"/>
    <w:rsid w:val="00835DEB"/>
    <w:rsid w:val="00835E23"/>
    <w:rsid w:val="00835E88"/>
    <w:rsid w:val="00836027"/>
    <w:rsid w:val="008360C2"/>
    <w:rsid w:val="008360FC"/>
    <w:rsid w:val="00836167"/>
    <w:rsid w:val="008361D6"/>
    <w:rsid w:val="00836287"/>
    <w:rsid w:val="008362A2"/>
    <w:rsid w:val="008363B9"/>
    <w:rsid w:val="0083643E"/>
    <w:rsid w:val="00836555"/>
    <w:rsid w:val="008366F3"/>
    <w:rsid w:val="0083673C"/>
    <w:rsid w:val="008367A0"/>
    <w:rsid w:val="00836845"/>
    <w:rsid w:val="008369F5"/>
    <w:rsid w:val="00836B9E"/>
    <w:rsid w:val="00836BF6"/>
    <w:rsid w:val="00836CF0"/>
    <w:rsid w:val="00836D5A"/>
    <w:rsid w:val="00836E81"/>
    <w:rsid w:val="00836F47"/>
    <w:rsid w:val="00836FD5"/>
    <w:rsid w:val="00836FFF"/>
    <w:rsid w:val="0083716D"/>
    <w:rsid w:val="008373F3"/>
    <w:rsid w:val="00837516"/>
    <w:rsid w:val="008377C1"/>
    <w:rsid w:val="00837858"/>
    <w:rsid w:val="00837AE8"/>
    <w:rsid w:val="00837BE8"/>
    <w:rsid w:val="00837C60"/>
    <w:rsid w:val="00837C90"/>
    <w:rsid w:val="00837EA8"/>
    <w:rsid w:val="00837EB1"/>
    <w:rsid w:val="0084007B"/>
    <w:rsid w:val="00840096"/>
    <w:rsid w:val="00840156"/>
    <w:rsid w:val="00840159"/>
    <w:rsid w:val="008403D3"/>
    <w:rsid w:val="0084042B"/>
    <w:rsid w:val="008404EC"/>
    <w:rsid w:val="00840502"/>
    <w:rsid w:val="008408E6"/>
    <w:rsid w:val="0084092B"/>
    <w:rsid w:val="008409B2"/>
    <w:rsid w:val="008409BB"/>
    <w:rsid w:val="00840A31"/>
    <w:rsid w:val="00840ACC"/>
    <w:rsid w:val="00840B89"/>
    <w:rsid w:val="00840CB1"/>
    <w:rsid w:val="00841062"/>
    <w:rsid w:val="00841109"/>
    <w:rsid w:val="0084122A"/>
    <w:rsid w:val="008412EA"/>
    <w:rsid w:val="0084139A"/>
    <w:rsid w:val="008417A2"/>
    <w:rsid w:val="0084184A"/>
    <w:rsid w:val="008419E9"/>
    <w:rsid w:val="00841BBF"/>
    <w:rsid w:val="00841CCE"/>
    <w:rsid w:val="00841D7E"/>
    <w:rsid w:val="008420A2"/>
    <w:rsid w:val="00842135"/>
    <w:rsid w:val="008421CB"/>
    <w:rsid w:val="008421D4"/>
    <w:rsid w:val="008422DE"/>
    <w:rsid w:val="00842396"/>
    <w:rsid w:val="008423AE"/>
    <w:rsid w:val="008423F2"/>
    <w:rsid w:val="00842448"/>
    <w:rsid w:val="00842654"/>
    <w:rsid w:val="00842734"/>
    <w:rsid w:val="008427DC"/>
    <w:rsid w:val="0084298B"/>
    <w:rsid w:val="0084299E"/>
    <w:rsid w:val="00842A30"/>
    <w:rsid w:val="00842B45"/>
    <w:rsid w:val="00842B87"/>
    <w:rsid w:val="00842B8A"/>
    <w:rsid w:val="00842BAC"/>
    <w:rsid w:val="00842E09"/>
    <w:rsid w:val="00842E28"/>
    <w:rsid w:val="00842E37"/>
    <w:rsid w:val="00842E55"/>
    <w:rsid w:val="00842E6A"/>
    <w:rsid w:val="00842EA2"/>
    <w:rsid w:val="00842ED3"/>
    <w:rsid w:val="00842EE8"/>
    <w:rsid w:val="00842F71"/>
    <w:rsid w:val="00842FD4"/>
    <w:rsid w:val="008430DB"/>
    <w:rsid w:val="00843179"/>
    <w:rsid w:val="0084329E"/>
    <w:rsid w:val="0084345D"/>
    <w:rsid w:val="00843607"/>
    <w:rsid w:val="008436E5"/>
    <w:rsid w:val="008437BB"/>
    <w:rsid w:val="0084386A"/>
    <w:rsid w:val="00843929"/>
    <w:rsid w:val="00843AAE"/>
    <w:rsid w:val="00843B56"/>
    <w:rsid w:val="00843BCC"/>
    <w:rsid w:val="00843BF4"/>
    <w:rsid w:val="00843E0E"/>
    <w:rsid w:val="00843ED0"/>
    <w:rsid w:val="00844222"/>
    <w:rsid w:val="008442AA"/>
    <w:rsid w:val="008442EA"/>
    <w:rsid w:val="00844409"/>
    <w:rsid w:val="00844589"/>
    <w:rsid w:val="00844669"/>
    <w:rsid w:val="00844719"/>
    <w:rsid w:val="0084472A"/>
    <w:rsid w:val="00844794"/>
    <w:rsid w:val="008449D9"/>
    <w:rsid w:val="00844A90"/>
    <w:rsid w:val="00844CB4"/>
    <w:rsid w:val="00844D0C"/>
    <w:rsid w:val="00844D7E"/>
    <w:rsid w:val="00844F4F"/>
    <w:rsid w:val="00844F86"/>
    <w:rsid w:val="00844FE7"/>
    <w:rsid w:val="008450AD"/>
    <w:rsid w:val="00845114"/>
    <w:rsid w:val="00845546"/>
    <w:rsid w:val="0084555C"/>
    <w:rsid w:val="00845724"/>
    <w:rsid w:val="00845759"/>
    <w:rsid w:val="00845765"/>
    <w:rsid w:val="008458B1"/>
    <w:rsid w:val="008458C4"/>
    <w:rsid w:val="008458CE"/>
    <w:rsid w:val="0084592D"/>
    <w:rsid w:val="00845969"/>
    <w:rsid w:val="00845A7D"/>
    <w:rsid w:val="00845A9B"/>
    <w:rsid w:val="00845DB4"/>
    <w:rsid w:val="00845ECD"/>
    <w:rsid w:val="00845F37"/>
    <w:rsid w:val="00845F68"/>
    <w:rsid w:val="00845FF5"/>
    <w:rsid w:val="00846001"/>
    <w:rsid w:val="00846055"/>
    <w:rsid w:val="0084615D"/>
    <w:rsid w:val="008463D0"/>
    <w:rsid w:val="0084642A"/>
    <w:rsid w:val="0084644D"/>
    <w:rsid w:val="0084657D"/>
    <w:rsid w:val="008465B9"/>
    <w:rsid w:val="008465C4"/>
    <w:rsid w:val="008465DD"/>
    <w:rsid w:val="00846652"/>
    <w:rsid w:val="00846710"/>
    <w:rsid w:val="00846944"/>
    <w:rsid w:val="00846B25"/>
    <w:rsid w:val="00846DAD"/>
    <w:rsid w:val="00846DC1"/>
    <w:rsid w:val="00846DF6"/>
    <w:rsid w:val="00846E12"/>
    <w:rsid w:val="0084746A"/>
    <w:rsid w:val="008474B8"/>
    <w:rsid w:val="0084755B"/>
    <w:rsid w:val="008475C6"/>
    <w:rsid w:val="00847681"/>
    <w:rsid w:val="008476BB"/>
    <w:rsid w:val="00847769"/>
    <w:rsid w:val="00847827"/>
    <w:rsid w:val="00847849"/>
    <w:rsid w:val="008478ED"/>
    <w:rsid w:val="00847933"/>
    <w:rsid w:val="00847C31"/>
    <w:rsid w:val="00847C61"/>
    <w:rsid w:val="00847EA8"/>
    <w:rsid w:val="00847EAF"/>
    <w:rsid w:val="00850CCB"/>
    <w:rsid w:val="00850DB1"/>
    <w:rsid w:val="00850EE4"/>
    <w:rsid w:val="00850F0C"/>
    <w:rsid w:val="0085107D"/>
    <w:rsid w:val="0085119F"/>
    <w:rsid w:val="008513DD"/>
    <w:rsid w:val="008514D4"/>
    <w:rsid w:val="0085165E"/>
    <w:rsid w:val="008516EF"/>
    <w:rsid w:val="00851728"/>
    <w:rsid w:val="0085183D"/>
    <w:rsid w:val="008518AD"/>
    <w:rsid w:val="008518D2"/>
    <w:rsid w:val="00851AD8"/>
    <w:rsid w:val="00851C79"/>
    <w:rsid w:val="00851DFF"/>
    <w:rsid w:val="00851E36"/>
    <w:rsid w:val="00851FD7"/>
    <w:rsid w:val="00852075"/>
    <w:rsid w:val="00852154"/>
    <w:rsid w:val="0085223A"/>
    <w:rsid w:val="0085229F"/>
    <w:rsid w:val="008522E7"/>
    <w:rsid w:val="008523DB"/>
    <w:rsid w:val="00852530"/>
    <w:rsid w:val="0085254B"/>
    <w:rsid w:val="00852691"/>
    <w:rsid w:val="008526DB"/>
    <w:rsid w:val="00852831"/>
    <w:rsid w:val="00852903"/>
    <w:rsid w:val="0085294B"/>
    <w:rsid w:val="00852C54"/>
    <w:rsid w:val="00852D06"/>
    <w:rsid w:val="00853084"/>
    <w:rsid w:val="00853142"/>
    <w:rsid w:val="0085342E"/>
    <w:rsid w:val="0085343A"/>
    <w:rsid w:val="0085349D"/>
    <w:rsid w:val="0085354F"/>
    <w:rsid w:val="008536C8"/>
    <w:rsid w:val="0085383F"/>
    <w:rsid w:val="0085397D"/>
    <w:rsid w:val="00853C49"/>
    <w:rsid w:val="00853F02"/>
    <w:rsid w:val="008540A6"/>
    <w:rsid w:val="00854221"/>
    <w:rsid w:val="0085425C"/>
    <w:rsid w:val="008543BB"/>
    <w:rsid w:val="008543D6"/>
    <w:rsid w:val="00854420"/>
    <w:rsid w:val="00854432"/>
    <w:rsid w:val="00854481"/>
    <w:rsid w:val="00854572"/>
    <w:rsid w:val="008545A8"/>
    <w:rsid w:val="008545D0"/>
    <w:rsid w:val="008545E6"/>
    <w:rsid w:val="00854787"/>
    <w:rsid w:val="00854916"/>
    <w:rsid w:val="0085498A"/>
    <w:rsid w:val="00854D6C"/>
    <w:rsid w:val="00855037"/>
    <w:rsid w:val="008551B5"/>
    <w:rsid w:val="0085523F"/>
    <w:rsid w:val="00855259"/>
    <w:rsid w:val="00855443"/>
    <w:rsid w:val="00855459"/>
    <w:rsid w:val="0085551A"/>
    <w:rsid w:val="008555F9"/>
    <w:rsid w:val="0085578D"/>
    <w:rsid w:val="008558A3"/>
    <w:rsid w:val="00855C22"/>
    <w:rsid w:val="00855D73"/>
    <w:rsid w:val="00855F98"/>
    <w:rsid w:val="00856247"/>
    <w:rsid w:val="008564AF"/>
    <w:rsid w:val="008564B6"/>
    <w:rsid w:val="008568E0"/>
    <w:rsid w:val="00856A89"/>
    <w:rsid w:val="00856B9C"/>
    <w:rsid w:val="00856DC3"/>
    <w:rsid w:val="0085713A"/>
    <w:rsid w:val="00857591"/>
    <w:rsid w:val="00857602"/>
    <w:rsid w:val="0085761F"/>
    <w:rsid w:val="008578FB"/>
    <w:rsid w:val="0085793A"/>
    <w:rsid w:val="00857AA8"/>
    <w:rsid w:val="00857B9F"/>
    <w:rsid w:val="00857E88"/>
    <w:rsid w:val="00857F60"/>
    <w:rsid w:val="0086009C"/>
    <w:rsid w:val="0086026B"/>
    <w:rsid w:val="008602A0"/>
    <w:rsid w:val="00860412"/>
    <w:rsid w:val="00860792"/>
    <w:rsid w:val="008608D1"/>
    <w:rsid w:val="00860931"/>
    <w:rsid w:val="00860A4C"/>
    <w:rsid w:val="00860B8F"/>
    <w:rsid w:val="00860BE1"/>
    <w:rsid w:val="00860C1C"/>
    <w:rsid w:val="00860D24"/>
    <w:rsid w:val="00860DD8"/>
    <w:rsid w:val="00860F28"/>
    <w:rsid w:val="00861054"/>
    <w:rsid w:val="00861086"/>
    <w:rsid w:val="008610CF"/>
    <w:rsid w:val="008612DB"/>
    <w:rsid w:val="0086140D"/>
    <w:rsid w:val="00861428"/>
    <w:rsid w:val="008614B4"/>
    <w:rsid w:val="0086166D"/>
    <w:rsid w:val="0086176D"/>
    <w:rsid w:val="00861886"/>
    <w:rsid w:val="00861B57"/>
    <w:rsid w:val="00861B7F"/>
    <w:rsid w:val="00861BFF"/>
    <w:rsid w:val="00861C29"/>
    <w:rsid w:val="00861CA0"/>
    <w:rsid w:val="00861CC1"/>
    <w:rsid w:val="00861CC8"/>
    <w:rsid w:val="00861E4D"/>
    <w:rsid w:val="00861EA8"/>
    <w:rsid w:val="0086216C"/>
    <w:rsid w:val="008621D7"/>
    <w:rsid w:val="0086241E"/>
    <w:rsid w:val="008624C3"/>
    <w:rsid w:val="0086276E"/>
    <w:rsid w:val="00862793"/>
    <w:rsid w:val="0086282B"/>
    <w:rsid w:val="00862874"/>
    <w:rsid w:val="0086289F"/>
    <w:rsid w:val="008629B3"/>
    <w:rsid w:val="00862AC4"/>
    <w:rsid w:val="00862C34"/>
    <w:rsid w:val="00862CF3"/>
    <w:rsid w:val="00862FE9"/>
    <w:rsid w:val="0086322A"/>
    <w:rsid w:val="00863304"/>
    <w:rsid w:val="00863372"/>
    <w:rsid w:val="008633AC"/>
    <w:rsid w:val="00863401"/>
    <w:rsid w:val="008634E3"/>
    <w:rsid w:val="00863576"/>
    <w:rsid w:val="0086361C"/>
    <w:rsid w:val="008636E1"/>
    <w:rsid w:val="0086376E"/>
    <w:rsid w:val="008637E7"/>
    <w:rsid w:val="00863C85"/>
    <w:rsid w:val="00863CAB"/>
    <w:rsid w:val="00863DDF"/>
    <w:rsid w:val="00863EA4"/>
    <w:rsid w:val="00863FE1"/>
    <w:rsid w:val="00863FFE"/>
    <w:rsid w:val="00864224"/>
    <w:rsid w:val="00864268"/>
    <w:rsid w:val="00864328"/>
    <w:rsid w:val="0086459A"/>
    <w:rsid w:val="00864627"/>
    <w:rsid w:val="00864635"/>
    <w:rsid w:val="00864678"/>
    <w:rsid w:val="0086469C"/>
    <w:rsid w:val="008646FC"/>
    <w:rsid w:val="00864825"/>
    <w:rsid w:val="0086498D"/>
    <w:rsid w:val="00864B09"/>
    <w:rsid w:val="00864BB6"/>
    <w:rsid w:val="00864BD3"/>
    <w:rsid w:val="00864C1A"/>
    <w:rsid w:val="00864EAC"/>
    <w:rsid w:val="00865074"/>
    <w:rsid w:val="00865217"/>
    <w:rsid w:val="00865326"/>
    <w:rsid w:val="008653AC"/>
    <w:rsid w:val="008653B7"/>
    <w:rsid w:val="00865667"/>
    <w:rsid w:val="008656B4"/>
    <w:rsid w:val="008657E5"/>
    <w:rsid w:val="008658AA"/>
    <w:rsid w:val="008658C8"/>
    <w:rsid w:val="00865925"/>
    <w:rsid w:val="008659C5"/>
    <w:rsid w:val="00865B39"/>
    <w:rsid w:val="00865CBD"/>
    <w:rsid w:val="00865D64"/>
    <w:rsid w:val="00865E74"/>
    <w:rsid w:val="00865EF7"/>
    <w:rsid w:val="00866048"/>
    <w:rsid w:val="008660E0"/>
    <w:rsid w:val="008662F6"/>
    <w:rsid w:val="00866464"/>
    <w:rsid w:val="0086659E"/>
    <w:rsid w:val="00866743"/>
    <w:rsid w:val="00866768"/>
    <w:rsid w:val="008668EE"/>
    <w:rsid w:val="00866BEA"/>
    <w:rsid w:val="00866E37"/>
    <w:rsid w:val="00866F9E"/>
    <w:rsid w:val="00867074"/>
    <w:rsid w:val="0086712C"/>
    <w:rsid w:val="008672E2"/>
    <w:rsid w:val="008672E6"/>
    <w:rsid w:val="0086744A"/>
    <w:rsid w:val="008675DE"/>
    <w:rsid w:val="00867713"/>
    <w:rsid w:val="0086776A"/>
    <w:rsid w:val="00867893"/>
    <w:rsid w:val="0086793D"/>
    <w:rsid w:val="00867A6C"/>
    <w:rsid w:val="00867A95"/>
    <w:rsid w:val="00867AB9"/>
    <w:rsid w:val="00867B19"/>
    <w:rsid w:val="00867B1C"/>
    <w:rsid w:val="00867BC8"/>
    <w:rsid w:val="00867C13"/>
    <w:rsid w:val="00867C53"/>
    <w:rsid w:val="00867E99"/>
    <w:rsid w:val="00867F64"/>
    <w:rsid w:val="00870080"/>
    <w:rsid w:val="0087021E"/>
    <w:rsid w:val="008704A5"/>
    <w:rsid w:val="008705F2"/>
    <w:rsid w:val="008707A9"/>
    <w:rsid w:val="00870A55"/>
    <w:rsid w:val="00870D91"/>
    <w:rsid w:val="00870E52"/>
    <w:rsid w:val="00870F38"/>
    <w:rsid w:val="008710C5"/>
    <w:rsid w:val="00871284"/>
    <w:rsid w:val="00871313"/>
    <w:rsid w:val="00871357"/>
    <w:rsid w:val="00871382"/>
    <w:rsid w:val="008713D6"/>
    <w:rsid w:val="0087144C"/>
    <w:rsid w:val="00871510"/>
    <w:rsid w:val="00871643"/>
    <w:rsid w:val="00871657"/>
    <w:rsid w:val="0087181A"/>
    <w:rsid w:val="00871CFD"/>
    <w:rsid w:val="00871EB1"/>
    <w:rsid w:val="00872009"/>
    <w:rsid w:val="0087204E"/>
    <w:rsid w:val="0087219B"/>
    <w:rsid w:val="008722DD"/>
    <w:rsid w:val="008722E7"/>
    <w:rsid w:val="0087252B"/>
    <w:rsid w:val="008725DD"/>
    <w:rsid w:val="0087281D"/>
    <w:rsid w:val="00872869"/>
    <w:rsid w:val="0087295A"/>
    <w:rsid w:val="008729C3"/>
    <w:rsid w:val="00872C1C"/>
    <w:rsid w:val="00872C3B"/>
    <w:rsid w:val="00872D62"/>
    <w:rsid w:val="00872DFC"/>
    <w:rsid w:val="00872E19"/>
    <w:rsid w:val="00872EEB"/>
    <w:rsid w:val="008730B5"/>
    <w:rsid w:val="00873131"/>
    <w:rsid w:val="008732D8"/>
    <w:rsid w:val="00873377"/>
    <w:rsid w:val="008733D8"/>
    <w:rsid w:val="00873401"/>
    <w:rsid w:val="00873577"/>
    <w:rsid w:val="00873693"/>
    <w:rsid w:val="00873905"/>
    <w:rsid w:val="00873CCE"/>
    <w:rsid w:val="00873D0A"/>
    <w:rsid w:val="0087409F"/>
    <w:rsid w:val="0087415F"/>
    <w:rsid w:val="0087424B"/>
    <w:rsid w:val="008744A2"/>
    <w:rsid w:val="00874582"/>
    <w:rsid w:val="00874631"/>
    <w:rsid w:val="00874651"/>
    <w:rsid w:val="0087475C"/>
    <w:rsid w:val="0087485B"/>
    <w:rsid w:val="00874995"/>
    <w:rsid w:val="00874AAC"/>
    <w:rsid w:val="00874BC0"/>
    <w:rsid w:val="00874C5F"/>
    <w:rsid w:val="00874D08"/>
    <w:rsid w:val="00874D58"/>
    <w:rsid w:val="00874D74"/>
    <w:rsid w:val="00874ED8"/>
    <w:rsid w:val="00874F1B"/>
    <w:rsid w:val="00874FBF"/>
    <w:rsid w:val="008750D2"/>
    <w:rsid w:val="0087520F"/>
    <w:rsid w:val="00875268"/>
    <w:rsid w:val="008752F1"/>
    <w:rsid w:val="00875338"/>
    <w:rsid w:val="00875397"/>
    <w:rsid w:val="008753BA"/>
    <w:rsid w:val="0087554C"/>
    <w:rsid w:val="00875552"/>
    <w:rsid w:val="0087561C"/>
    <w:rsid w:val="00875722"/>
    <w:rsid w:val="00875944"/>
    <w:rsid w:val="00875AB5"/>
    <w:rsid w:val="00875C91"/>
    <w:rsid w:val="00875D0B"/>
    <w:rsid w:val="00875DFA"/>
    <w:rsid w:val="00875F85"/>
    <w:rsid w:val="008760C6"/>
    <w:rsid w:val="008763AE"/>
    <w:rsid w:val="00876836"/>
    <w:rsid w:val="0087683A"/>
    <w:rsid w:val="00876AE0"/>
    <w:rsid w:val="00876C6B"/>
    <w:rsid w:val="00876DC9"/>
    <w:rsid w:val="00876F89"/>
    <w:rsid w:val="00876FD4"/>
    <w:rsid w:val="00877017"/>
    <w:rsid w:val="008770EA"/>
    <w:rsid w:val="00877125"/>
    <w:rsid w:val="00877169"/>
    <w:rsid w:val="0087726C"/>
    <w:rsid w:val="008773B6"/>
    <w:rsid w:val="0087746A"/>
    <w:rsid w:val="00877564"/>
    <w:rsid w:val="0087778C"/>
    <w:rsid w:val="008777C2"/>
    <w:rsid w:val="00877A08"/>
    <w:rsid w:val="00877BF3"/>
    <w:rsid w:val="00877C12"/>
    <w:rsid w:val="00877E71"/>
    <w:rsid w:val="0088010B"/>
    <w:rsid w:val="008806FE"/>
    <w:rsid w:val="008807FF"/>
    <w:rsid w:val="00880A92"/>
    <w:rsid w:val="00880C65"/>
    <w:rsid w:val="00880C97"/>
    <w:rsid w:val="00880E62"/>
    <w:rsid w:val="00881130"/>
    <w:rsid w:val="00881511"/>
    <w:rsid w:val="008817BD"/>
    <w:rsid w:val="008818AC"/>
    <w:rsid w:val="00881A2A"/>
    <w:rsid w:val="00881A93"/>
    <w:rsid w:val="00881B05"/>
    <w:rsid w:val="00881EAB"/>
    <w:rsid w:val="00881F7B"/>
    <w:rsid w:val="0088228F"/>
    <w:rsid w:val="0088231B"/>
    <w:rsid w:val="008823A5"/>
    <w:rsid w:val="00882448"/>
    <w:rsid w:val="008824F7"/>
    <w:rsid w:val="0088255D"/>
    <w:rsid w:val="00882587"/>
    <w:rsid w:val="00882710"/>
    <w:rsid w:val="008828B7"/>
    <w:rsid w:val="008829C5"/>
    <w:rsid w:val="00882B2F"/>
    <w:rsid w:val="00882BB5"/>
    <w:rsid w:val="00882E57"/>
    <w:rsid w:val="00882F1D"/>
    <w:rsid w:val="00882FCE"/>
    <w:rsid w:val="008831D9"/>
    <w:rsid w:val="00883351"/>
    <w:rsid w:val="008834A4"/>
    <w:rsid w:val="00883649"/>
    <w:rsid w:val="0088393A"/>
    <w:rsid w:val="00883948"/>
    <w:rsid w:val="0088394C"/>
    <w:rsid w:val="008839B2"/>
    <w:rsid w:val="00883A1A"/>
    <w:rsid w:val="00883A4D"/>
    <w:rsid w:val="00883A61"/>
    <w:rsid w:val="00883ABD"/>
    <w:rsid w:val="00883B21"/>
    <w:rsid w:val="00883BEC"/>
    <w:rsid w:val="00883F8F"/>
    <w:rsid w:val="0088412A"/>
    <w:rsid w:val="0088419C"/>
    <w:rsid w:val="00884235"/>
    <w:rsid w:val="0088438D"/>
    <w:rsid w:val="00884504"/>
    <w:rsid w:val="00884552"/>
    <w:rsid w:val="008845CE"/>
    <w:rsid w:val="00884BF8"/>
    <w:rsid w:val="00884D66"/>
    <w:rsid w:val="00884EE0"/>
    <w:rsid w:val="00884EFF"/>
    <w:rsid w:val="00884F52"/>
    <w:rsid w:val="0088503A"/>
    <w:rsid w:val="00885098"/>
    <w:rsid w:val="00885285"/>
    <w:rsid w:val="008852FB"/>
    <w:rsid w:val="00885319"/>
    <w:rsid w:val="00885449"/>
    <w:rsid w:val="00885467"/>
    <w:rsid w:val="0088560D"/>
    <w:rsid w:val="00885626"/>
    <w:rsid w:val="00885781"/>
    <w:rsid w:val="0088581E"/>
    <w:rsid w:val="0088584C"/>
    <w:rsid w:val="008858C5"/>
    <w:rsid w:val="008858E9"/>
    <w:rsid w:val="00885985"/>
    <w:rsid w:val="008859A9"/>
    <w:rsid w:val="00885B51"/>
    <w:rsid w:val="00885CA7"/>
    <w:rsid w:val="00885E19"/>
    <w:rsid w:val="00886024"/>
    <w:rsid w:val="008860EE"/>
    <w:rsid w:val="0088620A"/>
    <w:rsid w:val="00886406"/>
    <w:rsid w:val="00886438"/>
    <w:rsid w:val="00886502"/>
    <w:rsid w:val="0088656C"/>
    <w:rsid w:val="0088664E"/>
    <w:rsid w:val="00886699"/>
    <w:rsid w:val="008866FD"/>
    <w:rsid w:val="00886716"/>
    <w:rsid w:val="0088684A"/>
    <w:rsid w:val="00886AD9"/>
    <w:rsid w:val="00886DCC"/>
    <w:rsid w:val="00886ECA"/>
    <w:rsid w:val="00886F6C"/>
    <w:rsid w:val="0088709A"/>
    <w:rsid w:val="008870D0"/>
    <w:rsid w:val="00887135"/>
    <w:rsid w:val="0088729C"/>
    <w:rsid w:val="008872BA"/>
    <w:rsid w:val="0088730C"/>
    <w:rsid w:val="0088736F"/>
    <w:rsid w:val="008873CC"/>
    <w:rsid w:val="00887509"/>
    <w:rsid w:val="00887625"/>
    <w:rsid w:val="008876BF"/>
    <w:rsid w:val="00887720"/>
    <w:rsid w:val="008877AF"/>
    <w:rsid w:val="008877CF"/>
    <w:rsid w:val="00887813"/>
    <w:rsid w:val="00887858"/>
    <w:rsid w:val="0088797B"/>
    <w:rsid w:val="00887BFD"/>
    <w:rsid w:val="00887C27"/>
    <w:rsid w:val="00887C78"/>
    <w:rsid w:val="00887CEE"/>
    <w:rsid w:val="00887D6D"/>
    <w:rsid w:val="00887EB2"/>
    <w:rsid w:val="00887FD1"/>
    <w:rsid w:val="0088AD3D"/>
    <w:rsid w:val="0089001F"/>
    <w:rsid w:val="008902FC"/>
    <w:rsid w:val="00890622"/>
    <w:rsid w:val="00890754"/>
    <w:rsid w:val="00890AC5"/>
    <w:rsid w:val="00890AD7"/>
    <w:rsid w:val="00890B30"/>
    <w:rsid w:val="00890D04"/>
    <w:rsid w:val="00890FA6"/>
    <w:rsid w:val="008911AA"/>
    <w:rsid w:val="00891610"/>
    <w:rsid w:val="0089174E"/>
    <w:rsid w:val="0089199F"/>
    <w:rsid w:val="00891C0E"/>
    <w:rsid w:val="00891C32"/>
    <w:rsid w:val="00891C60"/>
    <w:rsid w:val="00891D6F"/>
    <w:rsid w:val="00891D7F"/>
    <w:rsid w:val="00891E12"/>
    <w:rsid w:val="0089201A"/>
    <w:rsid w:val="00892265"/>
    <w:rsid w:val="0089233E"/>
    <w:rsid w:val="008923B8"/>
    <w:rsid w:val="0089274B"/>
    <w:rsid w:val="00892807"/>
    <w:rsid w:val="00892A7B"/>
    <w:rsid w:val="00892CA9"/>
    <w:rsid w:val="00892CEB"/>
    <w:rsid w:val="00892DF6"/>
    <w:rsid w:val="00892F27"/>
    <w:rsid w:val="00892FAD"/>
    <w:rsid w:val="008930E5"/>
    <w:rsid w:val="0089318B"/>
    <w:rsid w:val="0089324E"/>
    <w:rsid w:val="008932D2"/>
    <w:rsid w:val="0089330E"/>
    <w:rsid w:val="008933D9"/>
    <w:rsid w:val="00893405"/>
    <w:rsid w:val="008934EA"/>
    <w:rsid w:val="008934F7"/>
    <w:rsid w:val="00893625"/>
    <w:rsid w:val="0089368F"/>
    <w:rsid w:val="008938A9"/>
    <w:rsid w:val="00893A8E"/>
    <w:rsid w:val="00893B38"/>
    <w:rsid w:val="00893C14"/>
    <w:rsid w:val="00893C39"/>
    <w:rsid w:val="00893CC4"/>
    <w:rsid w:val="00893D34"/>
    <w:rsid w:val="00893DF1"/>
    <w:rsid w:val="00893E12"/>
    <w:rsid w:val="00893E27"/>
    <w:rsid w:val="00893E73"/>
    <w:rsid w:val="00894051"/>
    <w:rsid w:val="00894290"/>
    <w:rsid w:val="00894386"/>
    <w:rsid w:val="008945F7"/>
    <w:rsid w:val="0089463D"/>
    <w:rsid w:val="008946F5"/>
    <w:rsid w:val="00894792"/>
    <w:rsid w:val="00894981"/>
    <w:rsid w:val="008949E5"/>
    <w:rsid w:val="00894A33"/>
    <w:rsid w:val="00894C26"/>
    <w:rsid w:val="00894D9A"/>
    <w:rsid w:val="00894EE5"/>
    <w:rsid w:val="00894EE6"/>
    <w:rsid w:val="00895163"/>
    <w:rsid w:val="0089554F"/>
    <w:rsid w:val="00895594"/>
    <w:rsid w:val="008955E6"/>
    <w:rsid w:val="008956B7"/>
    <w:rsid w:val="008957B0"/>
    <w:rsid w:val="0089593B"/>
    <w:rsid w:val="008959E6"/>
    <w:rsid w:val="008959E7"/>
    <w:rsid w:val="00895B5F"/>
    <w:rsid w:val="00895B7C"/>
    <w:rsid w:val="00895B9E"/>
    <w:rsid w:val="00895BA7"/>
    <w:rsid w:val="00895C08"/>
    <w:rsid w:val="00895CA4"/>
    <w:rsid w:val="00895CDB"/>
    <w:rsid w:val="00895CF1"/>
    <w:rsid w:val="00895CF5"/>
    <w:rsid w:val="00895DD6"/>
    <w:rsid w:val="00895E36"/>
    <w:rsid w:val="00895ED2"/>
    <w:rsid w:val="0089600B"/>
    <w:rsid w:val="0089602A"/>
    <w:rsid w:val="00896106"/>
    <w:rsid w:val="00896110"/>
    <w:rsid w:val="00896136"/>
    <w:rsid w:val="00896179"/>
    <w:rsid w:val="00896195"/>
    <w:rsid w:val="008962DD"/>
    <w:rsid w:val="0089637C"/>
    <w:rsid w:val="008963B9"/>
    <w:rsid w:val="008963BD"/>
    <w:rsid w:val="008964CE"/>
    <w:rsid w:val="00896576"/>
    <w:rsid w:val="008966C6"/>
    <w:rsid w:val="00896712"/>
    <w:rsid w:val="00896870"/>
    <w:rsid w:val="008968CA"/>
    <w:rsid w:val="008969BD"/>
    <w:rsid w:val="008969F5"/>
    <w:rsid w:val="00896B22"/>
    <w:rsid w:val="00896C2B"/>
    <w:rsid w:val="00896D36"/>
    <w:rsid w:val="00896F19"/>
    <w:rsid w:val="00897233"/>
    <w:rsid w:val="00897326"/>
    <w:rsid w:val="0089733F"/>
    <w:rsid w:val="0089750C"/>
    <w:rsid w:val="00897518"/>
    <w:rsid w:val="008977EA"/>
    <w:rsid w:val="00897886"/>
    <w:rsid w:val="008978E7"/>
    <w:rsid w:val="00897965"/>
    <w:rsid w:val="008979A9"/>
    <w:rsid w:val="00897A63"/>
    <w:rsid w:val="00897AD6"/>
    <w:rsid w:val="00897CE8"/>
    <w:rsid w:val="00897DD4"/>
    <w:rsid w:val="00897E22"/>
    <w:rsid w:val="00897E8A"/>
    <w:rsid w:val="00897EA0"/>
    <w:rsid w:val="00897F4E"/>
    <w:rsid w:val="00897F63"/>
    <w:rsid w:val="008A00C8"/>
    <w:rsid w:val="008A018C"/>
    <w:rsid w:val="008A0212"/>
    <w:rsid w:val="008A027F"/>
    <w:rsid w:val="008A0690"/>
    <w:rsid w:val="008A06BE"/>
    <w:rsid w:val="008A077E"/>
    <w:rsid w:val="008A09C6"/>
    <w:rsid w:val="008A0B43"/>
    <w:rsid w:val="008A0BC0"/>
    <w:rsid w:val="008A0F13"/>
    <w:rsid w:val="008A0F52"/>
    <w:rsid w:val="008A0F73"/>
    <w:rsid w:val="008A1073"/>
    <w:rsid w:val="008A1327"/>
    <w:rsid w:val="008A13BD"/>
    <w:rsid w:val="008A1555"/>
    <w:rsid w:val="008A1562"/>
    <w:rsid w:val="008A1596"/>
    <w:rsid w:val="008A163E"/>
    <w:rsid w:val="008A166B"/>
    <w:rsid w:val="008A1770"/>
    <w:rsid w:val="008A17FD"/>
    <w:rsid w:val="008A197E"/>
    <w:rsid w:val="008A1A01"/>
    <w:rsid w:val="008A1A87"/>
    <w:rsid w:val="008A1ADE"/>
    <w:rsid w:val="008A1B3A"/>
    <w:rsid w:val="008A1D1C"/>
    <w:rsid w:val="008A1DB4"/>
    <w:rsid w:val="008A1EDF"/>
    <w:rsid w:val="008A1EF8"/>
    <w:rsid w:val="008A1FD5"/>
    <w:rsid w:val="008A205D"/>
    <w:rsid w:val="008A23F8"/>
    <w:rsid w:val="008A2693"/>
    <w:rsid w:val="008A2695"/>
    <w:rsid w:val="008A2743"/>
    <w:rsid w:val="008A2795"/>
    <w:rsid w:val="008A28E1"/>
    <w:rsid w:val="008A2A9F"/>
    <w:rsid w:val="008A2BF0"/>
    <w:rsid w:val="008A2C36"/>
    <w:rsid w:val="008A2DC9"/>
    <w:rsid w:val="008A2DE9"/>
    <w:rsid w:val="008A2F8E"/>
    <w:rsid w:val="008A2FF1"/>
    <w:rsid w:val="008A3279"/>
    <w:rsid w:val="008A32D4"/>
    <w:rsid w:val="008A32FC"/>
    <w:rsid w:val="008A33D1"/>
    <w:rsid w:val="008A344A"/>
    <w:rsid w:val="008A34C8"/>
    <w:rsid w:val="008A367F"/>
    <w:rsid w:val="008A3718"/>
    <w:rsid w:val="008A3769"/>
    <w:rsid w:val="008A37AF"/>
    <w:rsid w:val="008A3A39"/>
    <w:rsid w:val="008A3B78"/>
    <w:rsid w:val="008A3CD1"/>
    <w:rsid w:val="008A3D5B"/>
    <w:rsid w:val="008A3D5E"/>
    <w:rsid w:val="008A3D62"/>
    <w:rsid w:val="008A3E50"/>
    <w:rsid w:val="008A3FF0"/>
    <w:rsid w:val="008A4050"/>
    <w:rsid w:val="008A41E8"/>
    <w:rsid w:val="008A42F4"/>
    <w:rsid w:val="008A440B"/>
    <w:rsid w:val="008A444F"/>
    <w:rsid w:val="008A448D"/>
    <w:rsid w:val="008A44EE"/>
    <w:rsid w:val="008A45A7"/>
    <w:rsid w:val="008A45D1"/>
    <w:rsid w:val="008A45DF"/>
    <w:rsid w:val="008A4734"/>
    <w:rsid w:val="008A496E"/>
    <w:rsid w:val="008A4A55"/>
    <w:rsid w:val="008A4A6B"/>
    <w:rsid w:val="008A4CE6"/>
    <w:rsid w:val="008A4D0B"/>
    <w:rsid w:val="008A4F34"/>
    <w:rsid w:val="008A506F"/>
    <w:rsid w:val="008A50D7"/>
    <w:rsid w:val="008A526B"/>
    <w:rsid w:val="008A528A"/>
    <w:rsid w:val="008A5298"/>
    <w:rsid w:val="008A5328"/>
    <w:rsid w:val="008A535A"/>
    <w:rsid w:val="008A53FE"/>
    <w:rsid w:val="008A56FB"/>
    <w:rsid w:val="008A5704"/>
    <w:rsid w:val="008A574B"/>
    <w:rsid w:val="008A57AF"/>
    <w:rsid w:val="008A586D"/>
    <w:rsid w:val="008A5918"/>
    <w:rsid w:val="008A5BB8"/>
    <w:rsid w:val="008A5CDE"/>
    <w:rsid w:val="008A5D5F"/>
    <w:rsid w:val="008A5F62"/>
    <w:rsid w:val="008A60C4"/>
    <w:rsid w:val="008A6135"/>
    <w:rsid w:val="008A624D"/>
    <w:rsid w:val="008A626F"/>
    <w:rsid w:val="008A635C"/>
    <w:rsid w:val="008A640C"/>
    <w:rsid w:val="008A66F5"/>
    <w:rsid w:val="008A6706"/>
    <w:rsid w:val="008A6738"/>
    <w:rsid w:val="008A685B"/>
    <w:rsid w:val="008A6C64"/>
    <w:rsid w:val="008A6D76"/>
    <w:rsid w:val="008A6E0A"/>
    <w:rsid w:val="008A6E2C"/>
    <w:rsid w:val="008A6EE2"/>
    <w:rsid w:val="008A6F02"/>
    <w:rsid w:val="008A720F"/>
    <w:rsid w:val="008A7212"/>
    <w:rsid w:val="008A728D"/>
    <w:rsid w:val="008A7440"/>
    <w:rsid w:val="008A74B8"/>
    <w:rsid w:val="008A74BE"/>
    <w:rsid w:val="008A758D"/>
    <w:rsid w:val="008A7598"/>
    <w:rsid w:val="008A7629"/>
    <w:rsid w:val="008A78B7"/>
    <w:rsid w:val="008A7A62"/>
    <w:rsid w:val="008A7B86"/>
    <w:rsid w:val="008A7BF5"/>
    <w:rsid w:val="008A7C72"/>
    <w:rsid w:val="008A7E4B"/>
    <w:rsid w:val="008A7EC7"/>
    <w:rsid w:val="008A7F01"/>
    <w:rsid w:val="008B00C1"/>
    <w:rsid w:val="008B010E"/>
    <w:rsid w:val="008B02BE"/>
    <w:rsid w:val="008B033F"/>
    <w:rsid w:val="008B03B4"/>
    <w:rsid w:val="008B044F"/>
    <w:rsid w:val="008B048A"/>
    <w:rsid w:val="008B04F2"/>
    <w:rsid w:val="008B06A8"/>
    <w:rsid w:val="008B0928"/>
    <w:rsid w:val="008B0AE5"/>
    <w:rsid w:val="008B0B1F"/>
    <w:rsid w:val="008B0B2E"/>
    <w:rsid w:val="008B0CCB"/>
    <w:rsid w:val="008B0D0E"/>
    <w:rsid w:val="008B0DFC"/>
    <w:rsid w:val="008B0F31"/>
    <w:rsid w:val="008B0F35"/>
    <w:rsid w:val="008B0F77"/>
    <w:rsid w:val="008B0FFA"/>
    <w:rsid w:val="008B10A2"/>
    <w:rsid w:val="008B12BB"/>
    <w:rsid w:val="008B13F7"/>
    <w:rsid w:val="008B13FE"/>
    <w:rsid w:val="008B1411"/>
    <w:rsid w:val="008B14A5"/>
    <w:rsid w:val="008B151F"/>
    <w:rsid w:val="008B173C"/>
    <w:rsid w:val="008B17A2"/>
    <w:rsid w:val="008B1887"/>
    <w:rsid w:val="008B18C9"/>
    <w:rsid w:val="008B1ACB"/>
    <w:rsid w:val="008B1AE5"/>
    <w:rsid w:val="008B1B27"/>
    <w:rsid w:val="008B1B6B"/>
    <w:rsid w:val="008B1BED"/>
    <w:rsid w:val="008B1ED2"/>
    <w:rsid w:val="008B1F6C"/>
    <w:rsid w:val="008B1FF8"/>
    <w:rsid w:val="008B229F"/>
    <w:rsid w:val="008B230D"/>
    <w:rsid w:val="008B25F2"/>
    <w:rsid w:val="008B2643"/>
    <w:rsid w:val="008B279A"/>
    <w:rsid w:val="008B2A4E"/>
    <w:rsid w:val="008B2AF1"/>
    <w:rsid w:val="008B2CD8"/>
    <w:rsid w:val="008B2D4A"/>
    <w:rsid w:val="008B2D5D"/>
    <w:rsid w:val="008B2DC0"/>
    <w:rsid w:val="008B2DE0"/>
    <w:rsid w:val="008B2DF4"/>
    <w:rsid w:val="008B2E83"/>
    <w:rsid w:val="008B2EA9"/>
    <w:rsid w:val="008B2FAE"/>
    <w:rsid w:val="008B3317"/>
    <w:rsid w:val="008B335C"/>
    <w:rsid w:val="008B33A3"/>
    <w:rsid w:val="008B3438"/>
    <w:rsid w:val="008B37BD"/>
    <w:rsid w:val="008B37C6"/>
    <w:rsid w:val="008B37F0"/>
    <w:rsid w:val="008B38B3"/>
    <w:rsid w:val="008B3986"/>
    <w:rsid w:val="008B3A2D"/>
    <w:rsid w:val="008B3A39"/>
    <w:rsid w:val="008B3C3B"/>
    <w:rsid w:val="008B3C6E"/>
    <w:rsid w:val="008B3D88"/>
    <w:rsid w:val="008B3D97"/>
    <w:rsid w:val="008B3E2E"/>
    <w:rsid w:val="008B3F1D"/>
    <w:rsid w:val="008B4017"/>
    <w:rsid w:val="008B4037"/>
    <w:rsid w:val="008B414B"/>
    <w:rsid w:val="008B4333"/>
    <w:rsid w:val="008B4487"/>
    <w:rsid w:val="008B4498"/>
    <w:rsid w:val="008B44A1"/>
    <w:rsid w:val="008B45EB"/>
    <w:rsid w:val="008B4663"/>
    <w:rsid w:val="008B47D7"/>
    <w:rsid w:val="008B49E9"/>
    <w:rsid w:val="008B4B3B"/>
    <w:rsid w:val="008B4BE9"/>
    <w:rsid w:val="008B4E0E"/>
    <w:rsid w:val="008B4EC1"/>
    <w:rsid w:val="008B4F8C"/>
    <w:rsid w:val="008B4FB9"/>
    <w:rsid w:val="008B5081"/>
    <w:rsid w:val="008B510C"/>
    <w:rsid w:val="008B514B"/>
    <w:rsid w:val="008B5178"/>
    <w:rsid w:val="008B51B4"/>
    <w:rsid w:val="008B5365"/>
    <w:rsid w:val="008B54EA"/>
    <w:rsid w:val="008B55CE"/>
    <w:rsid w:val="008B5648"/>
    <w:rsid w:val="008B56EC"/>
    <w:rsid w:val="008B5715"/>
    <w:rsid w:val="008B5A00"/>
    <w:rsid w:val="008B5A2D"/>
    <w:rsid w:val="008B5BC2"/>
    <w:rsid w:val="008B5D1B"/>
    <w:rsid w:val="008B5F65"/>
    <w:rsid w:val="008B60BB"/>
    <w:rsid w:val="008B62EB"/>
    <w:rsid w:val="008B6336"/>
    <w:rsid w:val="008B6705"/>
    <w:rsid w:val="008B6732"/>
    <w:rsid w:val="008B68EC"/>
    <w:rsid w:val="008B6A2F"/>
    <w:rsid w:val="008B6AEB"/>
    <w:rsid w:val="008B6B20"/>
    <w:rsid w:val="008B6B5F"/>
    <w:rsid w:val="008B6D58"/>
    <w:rsid w:val="008B711A"/>
    <w:rsid w:val="008B711E"/>
    <w:rsid w:val="008B7229"/>
    <w:rsid w:val="008B72B0"/>
    <w:rsid w:val="008B7307"/>
    <w:rsid w:val="008B7338"/>
    <w:rsid w:val="008B7343"/>
    <w:rsid w:val="008B76BD"/>
    <w:rsid w:val="008B77D6"/>
    <w:rsid w:val="008B7838"/>
    <w:rsid w:val="008B78A2"/>
    <w:rsid w:val="008B78DC"/>
    <w:rsid w:val="008B78E0"/>
    <w:rsid w:val="008B7905"/>
    <w:rsid w:val="008C0013"/>
    <w:rsid w:val="008C01E6"/>
    <w:rsid w:val="008C0397"/>
    <w:rsid w:val="008C03FE"/>
    <w:rsid w:val="008C042F"/>
    <w:rsid w:val="008C057B"/>
    <w:rsid w:val="008C06A1"/>
    <w:rsid w:val="008C06C8"/>
    <w:rsid w:val="008C06F9"/>
    <w:rsid w:val="008C0712"/>
    <w:rsid w:val="008C096B"/>
    <w:rsid w:val="008C0A71"/>
    <w:rsid w:val="008C0AD2"/>
    <w:rsid w:val="008C0B87"/>
    <w:rsid w:val="008C0CAC"/>
    <w:rsid w:val="008C0D24"/>
    <w:rsid w:val="008C1001"/>
    <w:rsid w:val="008C12EA"/>
    <w:rsid w:val="008C13B4"/>
    <w:rsid w:val="008C1557"/>
    <w:rsid w:val="008C15AA"/>
    <w:rsid w:val="008C1796"/>
    <w:rsid w:val="008C17A8"/>
    <w:rsid w:val="008C17F0"/>
    <w:rsid w:val="008C1806"/>
    <w:rsid w:val="008C1816"/>
    <w:rsid w:val="008C1987"/>
    <w:rsid w:val="008C1A1B"/>
    <w:rsid w:val="008C1B8C"/>
    <w:rsid w:val="008C1BAB"/>
    <w:rsid w:val="008C1BDF"/>
    <w:rsid w:val="008C1BFC"/>
    <w:rsid w:val="008C1DAF"/>
    <w:rsid w:val="008C1FC8"/>
    <w:rsid w:val="008C201B"/>
    <w:rsid w:val="008C21B6"/>
    <w:rsid w:val="008C2306"/>
    <w:rsid w:val="008C2418"/>
    <w:rsid w:val="008C24EC"/>
    <w:rsid w:val="008C250A"/>
    <w:rsid w:val="008C2542"/>
    <w:rsid w:val="008C26D1"/>
    <w:rsid w:val="008C2715"/>
    <w:rsid w:val="008C278C"/>
    <w:rsid w:val="008C295B"/>
    <w:rsid w:val="008C2961"/>
    <w:rsid w:val="008C2A1D"/>
    <w:rsid w:val="008C2ADF"/>
    <w:rsid w:val="008C2B7F"/>
    <w:rsid w:val="008C2C8B"/>
    <w:rsid w:val="008C2C93"/>
    <w:rsid w:val="008C2DB9"/>
    <w:rsid w:val="008C3092"/>
    <w:rsid w:val="008C311E"/>
    <w:rsid w:val="008C3257"/>
    <w:rsid w:val="008C354F"/>
    <w:rsid w:val="008C36AC"/>
    <w:rsid w:val="008C38C8"/>
    <w:rsid w:val="008C3947"/>
    <w:rsid w:val="008C3C95"/>
    <w:rsid w:val="008C4321"/>
    <w:rsid w:val="008C433F"/>
    <w:rsid w:val="008C43D9"/>
    <w:rsid w:val="008C455C"/>
    <w:rsid w:val="008C460E"/>
    <w:rsid w:val="008C4755"/>
    <w:rsid w:val="008C4953"/>
    <w:rsid w:val="008C4A27"/>
    <w:rsid w:val="008C4A4C"/>
    <w:rsid w:val="008C4B72"/>
    <w:rsid w:val="008C4CB5"/>
    <w:rsid w:val="008C4DB5"/>
    <w:rsid w:val="008C4DD5"/>
    <w:rsid w:val="008C4E44"/>
    <w:rsid w:val="008C4FB4"/>
    <w:rsid w:val="008C4FD3"/>
    <w:rsid w:val="008C4FEE"/>
    <w:rsid w:val="008C4FFE"/>
    <w:rsid w:val="008C5047"/>
    <w:rsid w:val="008C54A3"/>
    <w:rsid w:val="008C593A"/>
    <w:rsid w:val="008C5A3C"/>
    <w:rsid w:val="008C5B2D"/>
    <w:rsid w:val="008C5B91"/>
    <w:rsid w:val="008C5DEC"/>
    <w:rsid w:val="008C6166"/>
    <w:rsid w:val="008C6255"/>
    <w:rsid w:val="008C646B"/>
    <w:rsid w:val="008C6703"/>
    <w:rsid w:val="008C6788"/>
    <w:rsid w:val="008C680B"/>
    <w:rsid w:val="008C684B"/>
    <w:rsid w:val="008C6952"/>
    <w:rsid w:val="008C69EF"/>
    <w:rsid w:val="008C6ABD"/>
    <w:rsid w:val="008C6B35"/>
    <w:rsid w:val="008C6D5B"/>
    <w:rsid w:val="008C6E8C"/>
    <w:rsid w:val="008C6E9C"/>
    <w:rsid w:val="008C6ED5"/>
    <w:rsid w:val="008C6F18"/>
    <w:rsid w:val="008C6FCD"/>
    <w:rsid w:val="008C703C"/>
    <w:rsid w:val="008C70CA"/>
    <w:rsid w:val="008C70EE"/>
    <w:rsid w:val="008C71DD"/>
    <w:rsid w:val="008C7321"/>
    <w:rsid w:val="008C74EA"/>
    <w:rsid w:val="008C75DB"/>
    <w:rsid w:val="008C764E"/>
    <w:rsid w:val="008C7685"/>
    <w:rsid w:val="008C7808"/>
    <w:rsid w:val="008C7988"/>
    <w:rsid w:val="008C7A06"/>
    <w:rsid w:val="008C7A9C"/>
    <w:rsid w:val="008C7AD7"/>
    <w:rsid w:val="008C7EA1"/>
    <w:rsid w:val="008D000D"/>
    <w:rsid w:val="008D007A"/>
    <w:rsid w:val="008D013D"/>
    <w:rsid w:val="008D014E"/>
    <w:rsid w:val="008D0284"/>
    <w:rsid w:val="008D05A7"/>
    <w:rsid w:val="008D07DE"/>
    <w:rsid w:val="008D0831"/>
    <w:rsid w:val="008D0861"/>
    <w:rsid w:val="008D093C"/>
    <w:rsid w:val="008D0971"/>
    <w:rsid w:val="008D0BC5"/>
    <w:rsid w:val="008D0E40"/>
    <w:rsid w:val="008D0F8F"/>
    <w:rsid w:val="008D1310"/>
    <w:rsid w:val="008D13EB"/>
    <w:rsid w:val="008D146E"/>
    <w:rsid w:val="008D153C"/>
    <w:rsid w:val="008D15BD"/>
    <w:rsid w:val="008D15C0"/>
    <w:rsid w:val="008D16B4"/>
    <w:rsid w:val="008D16C7"/>
    <w:rsid w:val="008D19E1"/>
    <w:rsid w:val="008D1A00"/>
    <w:rsid w:val="008D1A3D"/>
    <w:rsid w:val="008D1B42"/>
    <w:rsid w:val="008D1B5E"/>
    <w:rsid w:val="008D1DC0"/>
    <w:rsid w:val="008D1E23"/>
    <w:rsid w:val="008D1E7F"/>
    <w:rsid w:val="008D2319"/>
    <w:rsid w:val="008D2367"/>
    <w:rsid w:val="008D23D5"/>
    <w:rsid w:val="008D247A"/>
    <w:rsid w:val="008D24F4"/>
    <w:rsid w:val="008D2581"/>
    <w:rsid w:val="008D260D"/>
    <w:rsid w:val="008D26EF"/>
    <w:rsid w:val="008D2752"/>
    <w:rsid w:val="008D2B29"/>
    <w:rsid w:val="008D2E6C"/>
    <w:rsid w:val="008D2E99"/>
    <w:rsid w:val="008D2FEC"/>
    <w:rsid w:val="008D304E"/>
    <w:rsid w:val="008D3188"/>
    <w:rsid w:val="008D3253"/>
    <w:rsid w:val="008D335A"/>
    <w:rsid w:val="008D336E"/>
    <w:rsid w:val="008D3470"/>
    <w:rsid w:val="008D34E6"/>
    <w:rsid w:val="008D35C2"/>
    <w:rsid w:val="008D3756"/>
    <w:rsid w:val="008D3822"/>
    <w:rsid w:val="008D3B00"/>
    <w:rsid w:val="008D3BC6"/>
    <w:rsid w:val="008D3BDB"/>
    <w:rsid w:val="008D3E30"/>
    <w:rsid w:val="008D3E70"/>
    <w:rsid w:val="008D3E7B"/>
    <w:rsid w:val="008D427A"/>
    <w:rsid w:val="008D430D"/>
    <w:rsid w:val="008D4688"/>
    <w:rsid w:val="008D489E"/>
    <w:rsid w:val="008D49C2"/>
    <w:rsid w:val="008D4A26"/>
    <w:rsid w:val="008D4C19"/>
    <w:rsid w:val="008D4DD5"/>
    <w:rsid w:val="008D4EFB"/>
    <w:rsid w:val="008D5022"/>
    <w:rsid w:val="008D50C0"/>
    <w:rsid w:val="008D50FA"/>
    <w:rsid w:val="008D518F"/>
    <w:rsid w:val="008D5438"/>
    <w:rsid w:val="008D5657"/>
    <w:rsid w:val="008D5744"/>
    <w:rsid w:val="008D5798"/>
    <w:rsid w:val="008D5B83"/>
    <w:rsid w:val="008D5B9C"/>
    <w:rsid w:val="008D5C82"/>
    <w:rsid w:val="008D5CD1"/>
    <w:rsid w:val="008D5D85"/>
    <w:rsid w:val="008D62C0"/>
    <w:rsid w:val="008D6341"/>
    <w:rsid w:val="008D6410"/>
    <w:rsid w:val="008D6490"/>
    <w:rsid w:val="008D65D8"/>
    <w:rsid w:val="008D6651"/>
    <w:rsid w:val="008D6675"/>
    <w:rsid w:val="008D6752"/>
    <w:rsid w:val="008D6996"/>
    <w:rsid w:val="008D69E7"/>
    <w:rsid w:val="008D6B1B"/>
    <w:rsid w:val="008D6E4C"/>
    <w:rsid w:val="008D6FA1"/>
    <w:rsid w:val="008D6FC1"/>
    <w:rsid w:val="008D6FF9"/>
    <w:rsid w:val="008D7143"/>
    <w:rsid w:val="008D72E5"/>
    <w:rsid w:val="008D732F"/>
    <w:rsid w:val="008D7376"/>
    <w:rsid w:val="008D75EE"/>
    <w:rsid w:val="008D7707"/>
    <w:rsid w:val="008D773A"/>
    <w:rsid w:val="008D7900"/>
    <w:rsid w:val="008D7973"/>
    <w:rsid w:val="008D7AEC"/>
    <w:rsid w:val="008D7C26"/>
    <w:rsid w:val="008D7CDD"/>
    <w:rsid w:val="008D7D2B"/>
    <w:rsid w:val="008D7DDF"/>
    <w:rsid w:val="008E0140"/>
    <w:rsid w:val="008E0474"/>
    <w:rsid w:val="008E0688"/>
    <w:rsid w:val="008E06CA"/>
    <w:rsid w:val="008E0828"/>
    <w:rsid w:val="008E09E1"/>
    <w:rsid w:val="008E0B0B"/>
    <w:rsid w:val="008E0BB2"/>
    <w:rsid w:val="008E0BEF"/>
    <w:rsid w:val="008E0C45"/>
    <w:rsid w:val="008E0D0A"/>
    <w:rsid w:val="008E0F79"/>
    <w:rsid w:val="008E1462"/>
    <w:rsid w:val="008E14AC"/>
    <w:rsid w:val="008E1509"/>
    <w:rsid w:val="008E170D"/>
    <w:rsid w:val="008E1781"/>
    <w:rsid w:val="008E1C20"/>
    <w:rsid w:val="008E1C9F"/>
    <w:rsid w:val="008E1CDF"/>
    <w:rsid w:val="008E1DAB"/>
    <w:rsid w:val="008E1E69"/>
    <w:rsid w:val="008E1E71"/>
    <w:rsid w:val="008E1EB4"/>
    <w:rsid w:val="008E2038"/>
    <w:rsid w:val="008E2146"/>
    <w:rsid w:val="008E218A"/>
    <w:rsid w:val="008E266D"/>
    <w:rsid w:val="008E2725"/>
    <w:rsid w:val="008E298F"/>
    <w:rsid w:val="008E299E"/>
    <w:rsid w:val="008E2AC4"/>
    <w:rsid w:val="008E2D9F"/>
    <w:rsid w:val="008E2ED2"/>
    <w:rsid w:val="008E2ED7"/>
    <w:rsid w:val="008E2F0C"/>
    <w:rsid w:val="008E2FDD"/>
    <w:rsid w:val="008E3008"/>
    <w:rsid w:val="008E3024"/>
    <w:rsid w:val="008E30C4"/>
    <w:rsid w:val="008E30D0"/>
    <w:rsid w:val="008E3254"/>
    <w:rsid w:val="008E3274"/>
    <w:rsid w:val="008E3334"/>
    <w:rsid w:val="008E3440"/>
    <w:rsid w:val="008E3476"/>
    <w:rsid w:val="008E3562"/>
    <w:rsid w:val="008E35BC"/>
    <w:rsid w:val="008E3BE2"/>
    <w:rsid w:val="008E3D0C"/>
    <w:rsid w:val="008E3D73"/>
    <w:rsid w:val="008E3D77"/>
    <w:rsid w:val="008E3D93"/>
    <w:rsid w:val="008E3E23"/>
    <w:rsid w:val="008E3F40"/>
    <w:rsid w:val="008E401F"/>
    <w:rsid w:val="008E40A4"/>
    <w:rsid w:val="008E42E6"/>
    <w:rsid w:val="008E449D"/>
    <w:rsid w:val="008E4574"/>
    <w:rsid w:val="008E4725"/>
    <w:rsid w:val="008E479E"/>
    <w:rsid w:val="008E47C5"/>
    <w:rsid w:val="008E4A5D"/>
    <w:rsid w:val="008E4BD8"/>
    <w:rsid w:val="008E4C81"/>
    <w:rsid w:val="008E4CC7"/>
    <w:rsid w:val="008E508F"/>
    <w:rsid w:val="008E50CE"/>
    <w:rsid w:val="008E53AB"/>
    <w:rsid w:val="008E547B"/>
    <w:rsid w:val="008E54BE"/>
    <w:rsid w:val="008E58F1"/>
    <w:rsid w:val="008E5930"/>
    <w:rsid w:val="008E5A3C"/>
    <w:rsid w:val="008E5A43"/>
    <w:rsid w:val="008E5B68"/>
    <w:rsid w:val="008E5BC0"/>
    <w:rsid w:val="008E5BC2"/>
    <w:rsid w:val="008E5C66"/>
    <w:rsid w:val="008E5DF8"/>
    <w:rsid w:val="008E5E6A"/>
    <w:rsid w:val="008E5F90"/>
    <w:rsid w:val="008E5FF5"/>
    <w:rsid w:val="008E6032"/>
    <w:rsid w:val="008E61A0"/>
    <w:rsid w:val="008E6391"/>
    <w:rsid w:val="008E64E0"/>
    <w:rsid w:val="008E66A7"/>
    <w:rsid w:val="008E67D6"/>
    <w:rsid w:val="008E6933"/>
    <w:rsid w:val="008E6A7D"/>
    <w:rsid w:val="008E6B89"/>
    <w:rsid w:val="008E6B8D"/>
    <w:rsid w:val="008E6BC7"/>
    <w:rsid w:val="008E6C56"/>
    <w:rsid w:val="008E6CAD"/>
    <w:rsid w:val="008E6CD9"/>
    <w:rsid w:val="008E6D2C"/>
    <w:rsid w:val="008E70BE"/>
    <w:rsid w:val="008E713C"/>
    <w:rsid w:val="008E71BB"/>
    <w:rsid w:val="008E7205"/>
    <w:rsid w:val="008E7286"/>
    <w:rsid w:val="008E73BA"/>
    <w:rsid w:val="008E749B"/>
    <w:rsid w:val="008E74FE"/>
    <w:rsid w:val="008E7616"/>
    <w:rsid w:val="008E761B"/>
    <w:rsid w:val="008E7645"/>
    <w:rsid w:val="008E7780"/>
    <w:rsid w:val="008E7902"/>
    <w:rsid w:val="008E7B01"/>
    <w:rsid w:val="008E7C4E"/>
    <w:rsid w:val="008E7ED4"/>
    <w:rsid w:val="008F0250"/>
    <w:rsid w:val="008F033A"/>
    <w:rsid w:val="008F04C3"/>
    <w:rsid w:val="008F05B9"/>
    <w:rsid w:val="008F05D2"/>
    <w:rsid w:val="008F067C"/>
    <w:rsid w:val="008F0704"/>
    <w:rsid w:val="008F0A9A"/>
    <w:rsid w:val="008F0AD6"/>
    <w:rsid w:val="008F0E8B"/>
    <w:rsid w:val="008F0F7A"/>
    <w:rsid w:val="008F10E6"/>
    <w:rsid w:val="008F1181"/>
    <w:rsid w:val="008F1182"/>
    <w:rsid w:val="008F11C0"/>
    <w:rsid w:val="008F11F4"/>
    <w:rsid w:val="008F12CE"/>
    <w:rsid w:val="008F13DC"/>
    <w:rsid w:val="008F1435"/>
    <w:rsid w:val="008F14BE"/>
    <w:rsid w:val="008F172D"/>
    <w:rsid w:val="008F1884"/>
    <w:rsid w:val="008F193D"/>
    <w:rsid w:val="008F1952"/>
    <w:rsid w:val="008F1A7C"/>
    <w:rsid w:val="008F1A96"/>
    <w:rsid w:val="008F1D8C"/>
    <w:rsid w:val="008F1DD1"/>
    <w:rsid w:val="008F1EA9"/>
    <w:rsid w:val="008F1EC6"/>
    <w:rsid w:val="008F1FA3"/>
    <w:rsid w:val="008F200F"/>
    <w:rsid w:val="008F2012"/>
    <w:rsid w:val="008F226F"/>
    <w:rsid w:val="008F228E"/>
    <w:rsid w:val="008F23F8"/>
    <w:rsid w:val="008F2454"/>
    <w:rsid w:val="008F254D"/>
    <w:rsid w:val="008F2637"/>
    <w:rsid w:val="008F2975"/>
    <w:rsid w:val="008F2AC7"/>
    <w:rsid w:val="008F2CDB"/>
    <w:rsid w:val="008F30EB"/>
    <w:rsid w:val="008F310B"/>
    <w:rsid w:val="008F31F9"/>
    <w:rsid w:val="008F322B"/>
    <w:rsid w:val="008F33AC"/>
    <w:rsid w:val="008F33E0"/>
    <w:rsid w:val="008F34CB"/>
    <w:rsid w:val="008F3519"/>
    <w:rsid w:val="008F36E9"/>
    <w:rsid w:val="008F3771"/>
    <w:rsid w:val="008F39BF"/>
    <w:rsid w:val="008F3AD3"/>
    <w:rsid w:val="008F3C5E"/>
    <w:rsid w:val="008F3CA7"/>
    <w:rsid w:val="008F3D39"/>
    <w:rsid w:val="008F4367"/>
    <w:rsid w:val="008F43BF"/>
    <w:rsid w:val="008F443F"/>
    <w:rsid w:val="008F44D1"/>
    <w:rsid w:val="008F44D9"/>
    <w:rsid w:val="008F46CE"/>
    <w:rsid w:val="008F46F9"/>
    <w:rsid w:val="008F4775"/>
    <w:rsid w:val="008F4945"/>
    <w:rsid w:val="008F4A66"/>
    <w:rsid w:val="008F4C6B"/>
    <w:rsid w:val="008F4DA3"/>
    <w:rsid w:val="008F4F24"/>
    <w:rsid w:val="008F4F56"/>
    <w:rsid w:val="008F4FE3"/>
    <w:rsid w:val="008F50D2"/>
    <w:rsid w:val="008F50E0"/>
    <w:rsid w:val="008F5103"/>
    <w:rsid w:val="008F5432"/>
    <w:rsid w:val="008F54DD"/>
    <w:rsid w:val="008F562D"/>
    <w:rsid w:val="008F565A"/>
    <w:rsid w:val="008F5724"/>
    <w:rsid w:val="008F57DD"/>
    <w:rsid w:val="008F581D"/>
    <w:rsid w:val="008F5A0D"/>
    <w:rsid w:val="008F5A57"/>
    <w:rsid w:val="008F5BBB"/>
    <w:rsid w:val="008F5C3D"/>
    <w:rsid w:val="008F5C81"/>
    <w:rsid w:val="008F5DE5"/>
    <w:rsid w:val="008F5E42"/>
    <w:rsid w:val="008F5ECA"/>
    <w:rsid w:val="008F609E"/>
    <w:rsid w:val="008F610E"/>
    <w:rsid w:val="008F61C1"/>
    <w:rsid w:val="008F63B1"/>
    <w:rsid w:val="008F64DB"/>
    <w:rsid w:val="008F65AB"/>
    <w:rsid w:val="008F6647"/>
    <w:rsid w:val="008F6973"/>
    <w:rsid w:val="008F6BDB"/>
    <w:rsid w:val="008F6CEE"/>
    <w:rsid w:val="008F6E6A"/>
    <w:rsid w:val="008F6F10"/>
    <w:rsid w:val="008F7119"/>
    <w:rsid w:val="008F716B"/>
    <w:rsid w:val="008F71A5"/>
    <w:rsid w:val="008F71CE"/>
    <w:rsid w:val="008F7328"/>
    <w:rsid w:val="008F758A"/>
    <w:rsid w:val="008F7859"/>
    <w:rsid w:val="008F7AA7"/>
    <w:rsid w:val="008F7AFE"/>
    <w:rsid w:val="008F7CC6"/>
    <w:rsid w:val="008F7CF5"/>
    <w:rsid w:val="008FD845"/>
    <w:rsid w:val="0090003E"/>
    <w:rsid w:val="0090036F"/>
    <w:rsid w:val="0090047A"/>
    <w:rsid w:val="009005C2"/>
    <w:rsid w:val="0090091F"/>
    <w:rsid w:val="00900947"/>
    <w:rsid w:val="00900B5C"/>
    <w:rsid w:val="00900B75"/>
    <w:rsid w:val="00900EB8"/>
    <w:rsid w:val="00900EFD"/>
    <w:rsid w:val="00900FBA"/>
    <w:rsid w:val="00901107"/>
    <w:rsid w:val="00901208"/>
    <w:rsid w:val="009013DC"/>
    <w:rsid w:val="009014C5"/>
    <w:rsid w:val="0090151C"/>
    <w:rsid w:val="009016C7"/>
    <w:rsid w:val="009016CB"/>
    <w:rsid w:val="009017A6"/>
    <w:rsid w:val="009017E2"/>
    <w:rsid w:val="009019DE"/>
    <w:rsid w:val="00901A4B"/>
    <w:rsid w:val="00901A4D"/>
    <w:rsid w:val="00901A96"/>
    <w:rsid w:val="00901B9C"/>
    <w:rsid w:val="00901C7E"/>
    <w:rsid w:val="00901EAA"/>
    <w:rsid w:val="00901ED9"/>
    <w:rsid w:val="00901F31"/>
    <w:rsid w:val="0090229A"/>
    <w:rsid w:val="00902347"/>
    <w:rsid w:val="0090236D"/>
    <w:rsid w:val="009023C6"/>
    <w:rsid w:val="009024F6"/>
    <w:rsid w:val="00902639"/>
    <w:rsid w:val="00902C47"/>
    <w:rsid w:val="00902E00"/>
    <w:rsid w:val="00902E5B"/>
    <w:rsid w:val="00903286"/>
    <w:rsid w:val="009033A7"/>
    <w:rsid w:val="0090343A"/>
    <w:rsid w:val="009034AD"/>
    <w:rsid w:val="00903574"/>
    <w:rsid w:val="0090372F"/>
    <w:rsid w:val="0090392F"/>
    <w:rsid w:val="00903A78"/>
    <w:rsid w:val="00903A9C"/>
    <w:rsid w:val="00903C5E"/>
    <w:rsid w:val="00903C78"/>
    <w:rsid w:val="00903FAD"/>
    <w:rsid w:val="00903FD9"/>
    <w:rsid w:val="00904391"/>
    <w:rsid w:val="009045DF"/>
    <w:rsid w:val="0090480C"/>
    <w:rsid w:val="00904872"/>
    <w:rsid w:val="00904B17"/>
    <w:rsid w:val="00904CF5"/>
    <w:rsid w:val="00904E09"/>
    <w:rsid w:val="00904E57"/>
    <w:rsid w:val="00904ECC"/>
    <w:rsid w:val="0090501A"/>
    <w:rsid w:val="00905090"/>
    <w:rsid w:val="009050A4"/>
    <w:rsid w:val="009050B2"/>
    <w:rsid w:val="009051C3"/>
    <w:rsid w:val="00905259"/>
    <w:rsid w:val="009053D1"/>
    <w:rsid w:val="009053E4"/>
    <w:rsid w:val="0090556C"/>
    <w:rsid w:val="00905633"/>
    <w:rsid w:val="009057FB"/>
    <w:rsid w:val="00905A73"/>
    <w:rsid w:val="00905BEF"/>
    <w:rsid w:val="00905CAB"/>
    <w:rsid w:val="00905EAE"/>
    <w:rsid w:val="0090609A"/>
    <w:rsid w:val="009060C4"/>
    <w:rsid w:val="009060D3"/>
    <w:rsid w:val="009063D0"/>
    <w:rsid w:val="009065F8"/>
    <w:rsid w:val="0090662A"/>
    <w:rsid w:val="009067C0"/>
    <w:rsid w:val="009067D4"/>
    <w:rsid w:val="009069A7"/>
    <w:rsid w:val="00906C91"/>
    <w:rsid w:val="00906C95"/>
    <w:rsid w:val="00906DC1"/>
    <w:rsid w:val="00906E37"/>
    <w:rsid w:val="00906F8F"/>
    <w:rsid w:val="0090728A"/>
    <w:rsid w:val="0090730B"/>
    <w:rsid w:val="00907392"/>
    <w:rsid w:val="00907656"/>
    <w:rsid w:val="009076C9"/>
    <w:rsid w:val="00907718"/>
    <w:rsid w:val="00907A60"/>
    <w:rsid w:val="00907A70"/>
    <w:rsid w:val="00907BF8"/>
    <w:rsid w:val="00907DEC"/>
    <w:rsid w:val="00907E47"/>
    <w:rsid w:val="00907FE9"/>
    <w:rsid w:val="00910306"/>
    <w:rsid w:val="0091032A"/>
    <w:rsid w:val="009103F9"/>
    <w:rsid w:val="00910442"/>
    <w:rsid w:val="0091094A"/>
    <w:rsid w:val="00910A99"/>
    <w:rsid w:val="00910D35"/>
    <w:rsid w:val="00910D83"/>
    <w:rsid w:val="00910E6B"/>
    <w:rsid w:val="00910FB3"/>
    <w:rsid w:val="009110A0"/>
    <w:rsid w:val="00911212"/>
    <w:rsid w:val="00911276"/>
    <w:rsid w:val="0091134D"/>
    <w:rsid w:val="009113A0"/>
    <w:rsid w:val="009113FE"/>
    <w:rsid w:val="00911426"/>
    <w:rsid w:val="009115EF"/>
    <w:rsid w:val="00911616"/>
    <w:rsid w:val="00911636"/>
    <w:rsid w:val="009116DD"/>
    <w:rsid w:val="0091172B"/>
    <w:rsid w:val="00911792"/>
    <w:rsid w:val="0091185E"/>
    <w:rsid w:val="00911ED2"/>
    <w:rsid w:val="00911F61"/>
    <w:rsid w:val="00911FA3"/>
    <w:rsid w:val="0091206D"/>
    <w:rsid w:val="0091220A"/>
    <w:rsid w:val="00912468"/>
    <w:rsid w:val="0091260C"/>
    <w:rsid w:val="0091264E"/>
    <w:rsid w:val="0091279C"/>
    <w:rsid w:val="0091281B"/>
    <w:rsid w:val="00912BAF"/>
    <w:rsid w:val="00912CEA"/>
    <w:rsid w:val="00912D1C"/>
    <w:rsid w:val="00912D2E"/>
    <w:rsid w:val="00912E3F"/>
    <w:rsid w:val="00913019"/>
    <w:rsid w:val="00913133"/>
    <w:rsid w:val="0091321A"/>
    <w:rsid w:val="009132A9"/>
    <w:rsid w:val="009132CF"/>
    <w:rsid w:val="009132F7"/>
    <w:rsid w:val="00913357"/>
    <w:rsid w:val="009134D3"/>
    <w:rsid w:val="009138D6"/>
    <w:rsid w:val="00913A1C"/>
    <w:rsid w:val="00913C0E"/>
    <w:rsid w:val="00913CB3"/>
    <w:rsid w:val="00913D40"/>
    <w:rsid w:val="00913E06"/>
    <w:rsid w:val="00913F1E"/>
    <w:rsid w:val="00913F38"/>
    <w:rsid w:val="00913F7D"/>
    <w:rsid w:val="00913FB2"/>
    <w:rsid w:val="0091400A"/>
    <w:rsid w:val="009140C4"/>
    <w:rsid w:val="00914101"/>
    <w:rsid w:val="00914376"/>
    <w:rsid w:val="009144A9"/>
    <w:rsid w:val="009144D4"/>
    <w:rsid w:val="009144F6"/>
    <w:rsid w:val="0091468B"/>
    <w:rsid w:val="00914707"/>
    <w:rsid w:val="00914819"/>
    <w:rsid w:val="009149FC"/>
    <w:rsid w:val="00914A35"/>
    <w:rsid w:val="00914AB7"/>
    <w:rsid w:val="00914EE1"/>
    <w:rsid w:val="00914F40"/>
    <w:rsid w:val="00915132"/>
    <w:rsid w:val="0091526F"/>
    <w:rsid w:val="009153D2"/>
    <w:rsid w:val="0091548E"/>
    <w:rsid w:val="00915529"/>
    <w:rsid w:val="009155CF"/>
    <w:rsid w:val="0091562C"/>
    <w:rsid w:val="0091562E"/>
    <w:rsid w:val="00915906"/>
    <w:rsid w:val="00915A0C"/>
    <w:rsid w:val="00915D7B"/>
    <w:rsid w:val="0091605A"/>
    <w:rsid w:val="0091621E"/>
    <w:rsid w:val="00916286"/>
    <w:rsid w:val="009164C5"/>
    <w:rsid w:val="0091657C"/>
    <w:rsid w:val="00916595"/>
    <w:rsid w:val="00916596"/>
    <w:rsid w:val="00916896"/>
    <w:rsid w:val="009168D9"/>
    <w:rsid w:val="009169F9"/>
    <w:rsid w:val="00916ACC"/>
    <w:rsid w:val="00916B13"/>
    <w:rsid w:val="00916BA8"/>
    <w:rsid w:val="00916BCE"/>
    <w:rsid w:val="00916C47"/>
    <w:rsid w:val="00916CF3"/>
    <w:rsid w:val="00916D2B"/>
    <w:rsid w:val="0091700A"/>
    <w:rsid w:val="009170A3"/>
    <w:rsid w:val="009171AD"/>
    <w:rsid w:val="0091722A"/>
    <w:rsid w:val="00917262"/>
    <w:rsid w:val="00917263"/>
    <w:rsid w:val="0091737C"/>
    <w:rsid w:val="00917569"/>
    <w:rsid w:val="00917653"/>
    <w:rsid w:val="00917832"/>
    <w:rsid w:val="0091788C"/>
    <w:rsid w:val="00917898"/>
    <w:rsid w:val="00917A5B"/>
    <w:rsid w:val="00917D40"/>
    <w:rsid w:val="00917EA0"/>
    <w:rsid w:val="00917FF8"/>
    <w:rsid w:val="00920052"/>
    <w:rsid w:val="00920120"/>
    <w:rsid w:val="00920174"/>
    <w:rsid w:val="0092022B"/>
    <w:rsid w:val="009203F5"/>
    <w:rsid w:val="00920469"/>
    <w:rsid w:val="009204C7"/>
    <w:rsid w:val="009204EB"/>
    <w:rsid w:val="009206B4"/>
    <w:rsid w:val="00920759"/>
    <w:rsid w:val="0092084E"/>
    <w:rsid w:val="0092085F"/>
    <w:rsid w:val="00920930"/>
    <w:rsid w:val="00920C22"/>
    <w:rsid w:val="00920FA0"/>
    <w:rsid w:val="00921103"/>
    <w:rsid w:val="00921108"/>
    <w:rsid w:val="00921197"/>
    <w:rsid w:val="009211F5"/>
    <w:rsid w:val="0092123F"/>
    <w:rsid w:val="00921466"/>
    <w:rsid w:val="00921653"/>
    <w:rsid w:val="0092165A"/>
    <w:rsid w:val="0092173E"/>
    <w:rsid w:val="009217E4"/>
    <w:rsid w:val="009219D2"/>
    <w:rsid w:val="00921A4E"/>
    <w:rsid w:val="00921E37"/>
    <w:rsid w:val="00921F7A"/>
    <w:rsid w:val="00922030"/>
    <w:rsid w:val="0092205C"/>
    <w:rsid w:val="009220A1"/>
    <w:rsid w:val="00922242"/>
    <w:rsid w:val="00922511"/>
    <w:rsid w:val="00922710"/>
    <w:rsid w:val="00922798"/>
    <w:rsid w:val="009227A5"/>
    <w:rsid w:val="00922823"/>
    <w:rsid w:val="00922830"/>
    <w:rsid w:val="00922893"/>
    <w:rsid w:val="009229D3"/>
    <w:rsid w:val="00922A1B"/>
    <w:rsid w:val="00922C11"/>
    <w:rsid w:val="00922E91"/>
    <w:rsid w:val="00922F07"/>
    <w:rsid w:val="0092331E"/>
    <w:rsid w:val="00923463"/>
    <w:rsid w:val="009234B9"/>
    <w:rsid w:val="00923531"/>
    <w:rsid w:val="0092367B"/>
    <w:rsid w:val="009237C3"/>
    <w:rsid w:val="0092394F"/>
    <w:rsid w:val="009239DC"/>
    <w:rsid w:val="00923C60"/>
    <w:rsid w:val="0092444B"/>
    <w:rsid w:val="00924573"/>
    <w:rsid w:val="0092469A"/>
    <w:rsid w:val="009247B9"/>
    <w:rsid w:val="00924992"/>
    <w:rsid w:val="00924B9F"/>
    <w:rsid w:val="00924DD3"/>
    <w:rsid w:val="00924E36"/>
    <w:rsid w:val="009250CB"/>
    <w:rsid w:val="009251B2"/>
    <w:rsid w:val="00925238"/>
    <w:rsid w:val="009256B1"/>
    <w:rsid w:val="0092578C"/>
    <w:rsid w:val="009257A9"/>
    <w:rsid w:val="009257DC"/>
    <w:rsid w:val="00925802"/>
    <w:rsid w:val="0092593F"/>
    <w:rsid w:val="00925AC4"/>
    <w:rsid w:val="00925ACF"/>
    <w:rsid w:val="00925BA2"/>
    <w:rsid w:val="00925C1D"/>
    <w:rsid w:val="00925D92"/>
    <w:rsid w:val="00925DB2"/>
    <w:rsid w:val="00925E68"/>
    <w:rsid w:val="00925EA5"/>
    <w:rsid w:val="00925EDC"/>
    <w:rsid w:val="0092615D"/>
    <w:rsid w:val="00926249"/>
    <w:rsid w:val="009264E1"/>
    <w:rsid w:val="00926546"/>
    <w:rsid w:val="0092655F"/>
    <w:rsid w:val="009265A1"/>
    <w:rsid w:val="00926688"/>
    <w:rsid w:val="009271D6"/>
    <w:rsid w:val="009272CA"/>
    <w:rsid w:val="009273F4"/>
    <w:rsid w:val="00927430"/>
    <w:rsid w:val="009274C4"/>
    <w:rsid w:val="009274E6"/>
    <w:rsid w:val="00927630"/>
    <w:rsid w:val="00927640"/>
    <w:rsid w:val="00927683"/>
    <w:rsid w:val="00927700"/>
    <w:rsid w:val="00927734"/>
    <w:rsid w:val="00927740"/>
    <w:rsid w:val="00927774"/>
    <w:rsid w:val="0092789E"/>
    <w:rsid w:val="009278DE"/>
    <w:rsid w:val="009278E4"/>
    <w:rsid w:val="00927932"/>
    <w:rsid w:val="00927995"/>
    <w:rsid w:val="009279AC"/>
    <w:rsid w:val="009279B7"/>
    <w:rsid w:val="009279C4"/>
    <w:rsid w:val="00927A4C"/>
    <w:rsid w:val="00927A67"/>
    <w:rsid w:val="00927BF6"/>
    <w:rsid w:val="00927C68"/>
    <w:rsid w:val="00927D52"/>
    <w:rsid w:val="0093001F"/>
    <w:rsid w:val="00930168"/>
    <w:rsid w:val="0093036E"/>
    <w:rsid w:val="00930398"/>
    <w:rsid w:val="00930410"/>
    <w:rsid w:val="009305CB"/>
    <w:rsid w:val="009308BF"/>
    <w:rsid w:val="00930968"/>
    <w:rsid w:val="0093096F"/>
    <w:rsid w:val="00930C0F"/>
    <w:rsid w:val="00930C1F"/>
    <w:rsid w:val="00930E1D"/>
    <w:rsid w:val="00930F4B"/>
    <w:rsid w:val="009311CA"/>
    <w:rsid w:val="00931224"/>
    <w:rsid w:val="009312EC"/>
    <w:rsid w:val="00931480"/>
    <w:rsid w:val="0093157D"/>
    <w:rsid w:val="009315D2"/>
    <w:rsid w:val="00931789"/>
    <w:rsid w:val="0093198A"/>
    <w:rsid w:val="00931A2E"/>
    <w:rsid w:val="00931A51"/>
    <w:rsid w:val="00931A6A"/>
    <w:rsid w:val="00931E2C"/>
    <w:rsid w:val="00932018"/>
    <w:rsid w:val="00932249"/>
    <w:rsid w:val="009322B7"/>
    <w:rsid w:val="009324C0"/>
    <w:rsid w:val="009325E5"/>
    <w:rsid w:val="009327F5"/>
    <w:rsid w:val="00932952"/>
    <w:rsid w:val="00932A4D"/>
    <w:rsid w:val="00932B10"/>
    <w:rsid w:val="00932C1C"/>
    <w:rsid w:val="00932C39"/>
    <w:rsid w:val="00932D42"/>
    <w:rsid w:val="00932F29"/>
    <w:rsid w:val="00932F38"/>
    <w:rsid w:val="00933186"/>
    <w:rsid w:val="0093331D"/>
    <w:rsid w:val="0093335B"/>
    <w:rsid w:val="009333D3"/>
    <w:rsid w:val="009336F6"/>
    <w:rsid w:val="00933885"/>
    <w:rsid w:val="0093388A"/>
    <w:rsid w:val="009339B6"/>
    <w:rsid w:val="00933A4C"/>
    <w:rsid w:val="00933B19"/>
    <w:rsid w:val="00933B4C"/>
    <w:rsid w:val="00933C10"/>
    <w:rsid w:val="00933DC4"/>
    <w:rsid w:val="00933DD3"/>
    <w:rsid w:val="00933FA3"/>
    <w:rsid w:val="0093408E"/>
    <w:rsid w:val="0093431B"/>
    <w:rsid w:val="009343E3"/>
    <w:rsid w:val="009344C5"/>
    <w:rsid w:val="009346D6"/>
    <w:rsid w:val="00934743"/>
    <w:rsid w:val="009347EE"/>
    <w:rsid w:val="00934870"/>
    <w:rsid w:val="0093487E"/>
    <w:rsid w:val="009348D0"/>
    <w:rsid w:val="00934A8B"/>
    <w:rsid w:val="00934C99"/>
    <w:rsid w:val="00934E7A"/>
    <w:rsid w:val="00934ED1"/>
    <w:rsid w:val="00934FFE"/>
    <w:rsid w:val="0093509F"/>
    <w:rsid w:val="009351C6"/>
    <w:rsid w:val="009352F3"/>
    <w:rsid w:val="009355DD"/>
    <w:rsid w:val="009355FF"/>
    <w:rsid w:val="00935E95"/>
    <w:rsid w:val="00935EDE"/>
    <w:rsid w:val="009361AD"/>
    <w:rsid w:val="00936251"/>
    <w:rsid w:val="0093625B"/>
    <w:rsid w:val="00936405"/>
    <w:rsid w:val="0093657E"/>
    <w:rsid w:val="00936589"/>
    <w:rsid w:val="00936634"/>
    <w:rsid w:val="00936698"/>
    <w:rsid w:val="00936904"/>
    <w:rsid w:val="00936939"/>
    <w:rsid w:val="00936A5E"/>
    <w:rsid w:val="00936B64"/>
    <w:rsid w:val="00936B9A"/>
    <w:rsid w:val="00936C54"/>
    <w:rsid w:val="00936D52"/>
    <w:rsid w:val="00936EBF"/>
    <w:rsid w:val="009371F1"/>
    <w:rsid w:val="00937403"/>
    <w:rsid w:val="00937428"/>
    <w:rsid w:val="0093762D"/>
    <w:rsid w:val="009379C4"/>
    <w:rsid w:val="00937A93"/>
    <w:rsid w:val="00937AFF"/>
    <w:rsid w:val="00937B35"/>
    <w:rsid w:val="00937BEE"/>
    <w:rsid w:val="00937C3E"/>
    <w:rsid w:val="00937F15"/>
    <w:rsid w:val="00940115"/>
    <w:rsid w:val="0094019A"/>
    <w:rsid w:val="009401C1"/>
    <w:rsid w:val="0094041A"/>
    <w:rsid w:val="00940588"/>
    <w:rsid w:val="009405C4"/>
    <w:rsid w:val="009405E3"/>
    <w:rsid w:val="009405E9"/>
    <w:rsid w:val="009405EF"/>
    <w:rsid w:val="0094063A"/>
    <w:rsid w:val="00940643"/>
    <w:rsid w:val="009407E4"/>
    <w:rsid w:val="00940A24"/>
    <w:rsid w:val="00940C43"/>
    <w:rsid w:val="00940C55"/>
    <w:rsid w:val="00940D32"/>
    <w:rsid w:val="00940F19"/>
    <w:rsid w:val="00940F77"/>
    <w:rsid w:val="00941134"/>
    <w:rsid w:val="00941299"/>
    <w:rsid w:val="009412EC"/>
    <w:rsid w:val="009413DB"/>
    <w:rsid w:val="00941464"/>
    <w:rsid w:val="0094178E"/>
    <w:rsid w:val="00941818"/>
    <w:rsid w:val="00941841"/>
    <w:rsid w:val="00941898"/>
    <w:rsid w:val="0094190D"/>
    <w:rsid w:val="00941965"/>
    <w:rsid w:val="00942180"/>
    <w:rsid w:val="00942295"/>
    <w:rsid w:val="00942354"/>
    <w:rsid w:val="0094245D"/>
    <w:rsid w:val="009424E3"/>
    <w:rsid w:val="0094252F"/>
    <w:rsid w:val="00942681"/>
    <w:rsid w:val="0094280F"/>
    <w:rsid w:val="00942899"/>
    <w:rsid w:val="00942910"/>
    <w:rsid w:val="00942B24"/>
    <w:rsid w:val="00942CD5"/>
    <w:rsid w:val="00942E12"/>
    <w:rsid w:val="00942E78"/>
    <w:rsid w:val="00942E9A"/>
    <w:rsid w:val="00942ED3"/>
    <w:rsid w:val="0094316F"/>
    <w:rsid w:val="00943181"/>
    <w:rsid w:val="0094327C"/>
    <w:rsid w:val="009432AF"/>
    <w:rsid w:val="0094334B"/>
    <w:rsid w:val="009433ED"/>
    <w:rsid w:val="00943402"/>
    <w:rsid w:val="009435DB"/>
    <w:rsid w:val="00943921"/>
    <w:rsid w:val="00943A7E"/>
    <w:rsid w:val="00943C11"/>
    <w:rsid w:val="00943D7B"/>
    <w:rsid w:val="00943E42"/>
    <w:rsid w:val="00943E5D"/>
    <w:rsid w:val="00943E74"/>
    <w:rsid w:val="00943E94"/>
    <w:rsid w:val="009440C4"/>
    <w:rsid w:val="0094416F"/>
    <w:rsid w:val="009441EF"/>
    <w:rsid w:val="00944343"/>
    <w:rsid w:val="00944381"/>
    <w:rsid w:val="009443A5"/>
    <w:rsid w:val="0094451E"/>
    <w:rsid w:val="0094465A"/>
    <w:rsid w:val="00944728"/>
    <w:rsid w:val="00944746"/>
    <w:rsid w:val="0094478C"/>
    <w:rsid w:val="0094480B"/>
    <w:rsid w:val="0094481B"/>
    <w:rsid w:val="00944931"/>
    <w:rsid w:val="00944BE6"/>
    <w:rsid w:val="00944E81"/>
    <w:rsid w:val="009450C0"/>
    <w:rsid w:val="009452EA"/>
    <w:rsid w:val="009453E8"/>
    <w:rsid w:val="00945409"/>
    <w:rsid w:val="0094548F"/>
    <w:rsid w:val="00945664"/>
    <w:rsid w:val="00945689"/>
    <w:rsid w:val="00945974"/>
    <w:rsid w:val="00945AD1"/>
    <w:rsid w:val="00945C67"/>
    <w:rsid w:val="00945CAF"/>
    <w:rsid w:val="00945DFB"/>
    <w:rsid w:val="00945E0F"/>
    <w:rsid w:val="00945EBC"/>
    <w:rsid w:val="009464AD"/>
    <w:rsid w:val="00946742"/>
    <w:rsid w:val="00946935"/>
    <w:rsid w:val="00946ACF"/>
    <w:rsid w:val="00946AD4"/>
    <w:rsid w:val="00946B6F"/>
    <w:rsid w:val="00946BFE"/>
    <w:rsid w:val="00946C89"/>
    <w:rsid w:val="00946CB3"/>
    <w:rsid w:val="00946D19"/>
    <w:rsid w:val="00946DB7"/>
    <w:rsid w:val="00946ECB"/>
    <w:rsid w:val="00947268"/>
    <w:rsid w:val="009472F7"/>
    <w:rsid w:val="009473AF"/>
    <w:rsid w:val="009473BE"/>
    <w:rsid w:val="009474DE"/>
    <w:rsid w:val="00947504"/>
    <w:rsid w:val="0094750E"/>
    <w:rsid w:val="00947587"/>
    <w:rsid w:val="009476A3"/>
    <w:rsid w:val="00947C26"/>
    <w:rsid w:val="00947C94"/>
    <w:rsid w:val="00947CF5"/>
    <w:rsid w:val="00947D9F"/>
    <w:rsid w:val="00947F30"/>
    <w:rsid w:val="00947F6D"/>
    <w:rsid w:val="00947FB5"/>
    <w:rsid w:val="009502F7"/>
    <w:rsid w:val="00950436"/>
    <w:rsid w:val="00950798"/>
    <w:rsid w:val="009507C8"/>
    <w:rsid w:val="00950A70"/>
    <w:rsid w:val="00950C0B"/>
    <w:rsid w:val="009510BD"/>
    <w:rsid w:val="0095115E"/>
    <w:rsid w:val="0095118A"/>
    <w:rsid w:val="009512F1"/>
    <w:rsid w:val="009513D7"/>
    <w:rsid w:val="00951469"/>
    <w:rsid w:val="00951561"/>
    <w:rsid w:val="009515D0"/>
    <w:rsid w:val="0095169C"/>
    <w:rsid w:val="009516ED"/>
    <w:rsid w:val="009518BF"/>
    <w:rsid w:val="009519B3"/>
    <w:rsid w:val="00951D5C"/>
    <w:rsid w:val="00951E8A"/>
    <w:rsid w:val="00952049"/>
    <w:rsid w:val="009520B9"/>
    <w:rsid w:val="00952102"/>
    <w:rsid w:val="0095215F"/>
    <w:rsid w:val="00952180"/>
    <w:rsid w:val="0095233B"/>
    <w:rsid w:val="00952347"/>
    <w:rsid w:val="00952468"/>
    <w:rsid w:val="00952696"/>
    <w:rsid w:val="009526D7"/>
    <w:rsid w:val="00952938"/>
    <w:rsid w:val="009529E4"/>
    <w:rsid w:val="00952AD6"/>
    <w:rsid w:val="00952B5E"/>
    <w:rsid w:val="00952B79"/>
    <w:rsid w:val="00952B82"/>
    <w:rsid w:val="00952C19"/>
    <w:rsid w:val="00952FA0"/>
    <w:rsid w:val="00953011"/>
    <w:rsid w:val="0095310A"/>
    <w:rsid w:val="009533A2"/>
    <w:rsid w:val="009533B5"/>
    <w:rsid w:val="00953411"/>
    <w:rsid w:val="0095367F"/>
    <w:rsid w:val="00953889"/>
    <w:rsid w:val="00953BA0"/>
    <w:rsid w:val="00953BE2"/>
    <w:rsid w:val="00953BE9"/>
    <w:rsid w:val="00953C84"/>
    <w:rsid w:val="00953D54"/>
    <w:rsid w:val="00953E22"/>
    <w:rsid w:val="00953E7D"/>
    <w:rsid w:val="00953E84"/>
    <w:rsid w:val="00953EF9"/>
    <w:rsid w:val="00953EFA"/>
    <w:rsid w:val="00954110"/>
    <w:rsid w:val="0095415A"/>
    <w:rsid w:val="009544A1"/>
    <w:rsid w:val="00954512"/>
    <w:rsid w:val="00954617"/>
    <w:rsid w:val="00954767"/>
    <w:rsid w:val="00954845"/>
    <w:rsid w:val="0095487A"/>
    <w:rsid w:val="009548FB"/>
    <w:rsid w:val="00954A21"/>
    <w:rsid w:val="00954A9E"/>
    <w:rsid w:val="00954B9C"/>
    <w:rsid w:val="00954D18"/>
    <w:rsid w:val="00954E48"/>
    <w:rsid w:val="009550E4"/>
    <w:rsid w:val="00955171"/>
    <w:rsid w:val="00955243"/>
    <w:rsid w:val="00955244"/>
    <w:rsid w:val="009552C3"/>
    <w:rsid w:val="0095538B"/>
    <w:rsid w:val="009553A4"/>
    <w:rsid w:val="009553D6"/>
    <w:rsid w:val="00955691"/>
    <w:rsid w:val="00955696"/>
    <w:rsid w:val="009558CF"/>
    <w:rsid w:val="00955D0B"/>
    <w:rsid w:val="00955E03"/>
    <w:rsid w:val="00955F59"/>
    <w:rsid w:val="00955F84"/>
    <w:rsid w:val="00955FB8"/>
    <w:rsid w:val="00956207"/>
    <w:rsid w:val="00956387"/>
    <w:rsid w:val="00956464"/>
    <w:rsid w:val="009564D3"/>
    <w:rsid w:val="00956575"/>
    <w:rsid w:val="009565E4"/>
    <w:rsid w:val="009565F7"/>
    <w:rsid w:val="00956637"/>
    <w:rsid w:val="00956A3E"/>
    <w:rsid w:val="00956A70"/>
    <w:rsid w:val="00956BDC"/>
    <w:rsid w:val="00956E28"/>
    <w:rsid w:val="00956E9F"/>
    <w:rsid w:val="00957078"/>
    <w:rsid w:val="0095747D"/>
    <w:rsid w:val="00957626"/>
    <w:rsid w:val="00957649"/>
    <w:rsid w:val="00957935"/>
    <w:rsid w:val="00957974"/>
    <w:rsid w:val="00957AEA"/>
    <w:rsid w:val="00957AF7"/>
    <w:rsid w:val="00957C4C"/>
    <w:rsid w:val="00957E7E"/>
    <w:rsid w:val="00957F30"/>
    <w:rsid w:val="00957F8F"/>
    <w:rsid w:val="00957FCE"/>
    <w:rsid w:val="0095C11B"/>
    <w:rsid w:val="009600FF"/>
    <w:rsid w:val="009601A5"/>
    <w:rsid w:val="0096025E"/>
    <w:rsid w:val="00960266"/>
    <w:rsid w:val="009604E6"/>
    <w:rsid w:val="00960655"/>
    <w:rsid w:val="009607F1"/>
    <w:rsid w:val="00960ACA"/>
    <w:rsid w:val="00960B5F"/>
    <w:rsid w:val="00960C4F"/>
    <w:rsid w:val="00961067"/>
    <w:rsid w:val="009610A5"/>
    <w:rsid w:val="009610FA"/>
    <w:rsid w:val="00961178"/>
    <w:rsid w:val="009612C1"/>
    <w:rsid w:val="009612D3"/>
    <w:rsid w:val="0096132C"/>
    <w:rsid w:val="00961836"/>
    <w:rsid w:val="00961858"/>
    <w:rsid w:val="009619FD"/>
    <w:rsid w:val="00961B4E"/>
    <w:rsid w:val="00961B6F"/>
    <w:rsid w:val="00961E6F"/>
    <w:rsid w:val="00961E95"/>
    <w:rsid w:val="00961F30"/>
    <w:rsid w:val="00962036"/>
    <w:rsid w:val="00962079"/>
    <w:rsid w:val="0096217C"/>
    <w:rsid w:val="009621BC"/>
    <w:rsid w:val="009622B3"/>
    <w:rsid w:val="009623D2"/>
    <w:rsid w:val="00962441"/>
    <w:rsid w:val="0096267E"/>
    <w:rsid w:val="00962840"/>
    <w:rsid w:val="0096286B"/>
    <w:rsid w:val="0096293F"/>
    <w:rsid w:val="00962990"/>
    <w:rsid w:val="00962BB5"/>
    <w:rsid w:val="00962BCF"/>
    <w:rsid w:val="00962DD7"/>
    <w:rsid w:val="00962ED3"/>
    <w:rsid w:val="00963277"/>
    <w:rsid w:val="0096337E"/>
    <w:rsid w:val="0096338D"/>
    <w:rsid w:val="00963395"/>
    <w:rsid w:val="0096352D"/>
    <w:rsid w:val="009636FE"/>
    <w:rsid w:val="009637DC"/>
    <w:rsid w:val="009638EF"/>
    <w:rsid w:val="00963933"/>
    <w:rsid w:val="00963959"/>
    <w:rsid w:val="00963C10"/>
    <w:rsid w:val="00963D14"/>
    <w:rsid w:val="00963D21"/>
    <w:rsid w:val="00963D71"/>
    <w:rsid w:val="00963DB3"/>
    <w:rsid w:val="009642E8"/>
    <w:rsid w:val="00964340"/>
    <w:rsid w:val="009645CA"/>
    <w:rsid w:val="009646AF"/>
    <w:rsid w:val="0096498E"/>
    <w:rsid w:val="009649BB"/>
    <w:rsid w:val="00964B29"/>
    <w:rsid w:val="00964B53"/>
    <w:rsid w:val="00964C06"/>
    <w:rsid w:val="00964C3F"/>
    <w:rsid w:val="00964C6C"/>
    <w:rsid w:val="00964D57"/>
    <w:rsid w:val="00964F3B"/>
    <w:rsid w:val="00964FB1"/>
    <w:rsid w:val="00965176"/>
    <w:rsid w:val="00965219"/>
    <w:rsid w:val="00965240"/>
    <w:rsid w:val="0096536D"/>
    <w:rsid w:val="00965463"/>
    <w:rsid w:val="00965475"/>
    <w:rsid w:val="009655C6"/>
    <w:rsid w:val="009657E3"/>
    <w:rsid w:val="00965847"/>
    <w:rsid w:val="0096588F"/>
    <w:rsid w:val="009658A1"/>
    <w:rsid w:val="00965A3E"/>
    <w:rsid w:val="00965C09"/>
    <w:rsid w:val="00965C48"/>
    <w:rsid w:val="00965FBA"/>
    <w:rsid w:val="00966183"/>
    <w:rsid w:val="00966220"/>
    <w:rsid w:val="009662C1"/>
    <w:rsid w:val="00966370"/>
    <w:rsid w:val="009663F3"/>
    <w:rsid w:val="00966485"/>
    <w:rsid w:val="0096662E"/>
    <w:rsid w:val="00966664"/>
    <w:rsid w:val="009668EF"/>
    <w:rsid w:val="0096690A"/>
    <w:rsid w:val="00966BBC"/>
    <w:rsid w:val="00966C06"/>
    <w:rsid w:val="00966D9D"/>
    <w:rsid w:val="00966E4A"/>
    <w:rsid w:val="00967041"/>
    <w:rsid w:val="009670BB"/>
    <w:rsid w:val="0096719E"/>
    <w:rsid w:val="009671CF"/>
    <w:rsid w:val="009672DB"/>
    <w:rsid w:val="00967412"/>
    <w:rsid w:val="009674A9"/>
    <w:rsid w:val="009674EC"/>
    <w:rsid w:val="009675E8"/>
    <w:rsid w:val="00967610"/>
    <w:rsid w:val="00967830"/>
    <w:rsid w:val="0096785F"/>
    <w:rsid w:val="0096789E"/>
    <w:rsid w:val="00967A1D"/>
    <w:rsid w:val="00967C22"/>
    <w:rsid w:val="00967D43"/>
    <w:rsid w:val="00967D98"/>
    <w:rsid w:val="0097000B"/>
    <w:rsid w:val="00970049"/>
    <w:rsid w:val="009701BA"/>
    <w:rsid w:val="0097043E"/>
    <w:rsid w:val="0097049C"/>
    <w:rsid w:val="00970648"/>
    <w:rsid w:val="009706D7"/>
    <w:rsid w:val="009706E4"/>
    <w:rsid w:val="00970721"/>
    <w:rsid w:val="0097078D"/>
    <w:rsid w:val="00970799"/>
    <w:rsid w:val="00970918"/>
    <w:rsid w:val="00970923"/>
    <w:rsid w:val="0097099E"/>
    <w:rsid w:val="00970D8D"/>
    <w:rsid w:val="00970DF5"/>
    <w:rsid w:val="00970E78"/>
    <w:rsid w:val="00970F12"/>
    <w:rsid w:val="00970F56"/>
    <w:rsid w:val="009710BA"/>
    <w:rsid w:val="00971113"/>
    <w:rsid w:val="00971114"/>
    <w:rsid w:val="0097129E"/>
    <w:rsid w:val="009713F3"/>
    <w:rsid w:val="0097153E"/>
    <w:rsid w:val="009715E6"/>
    <w:rsid w:val="009715FA"/>
    <w:rsid w:val="0097161A"/>
    <w:rsid w:val="00971761"/>
    <w:rsid w:val="00971806"/>
    <w:rsid w:val="009718C2"/>
    <w:rsid w:val="00971A06"/>
    <w:rsid w:val="00971A50"/>
    <w:rsid w:val="00971B48"/>
    <w:rsid w:val="00971C18"/>
    <w:rsid w:val="00971EDB"/>
    <w:rsid w:val="009720C6"/>
    <w:rsid w:val="0097216F"/>
    <w:rsid w:val="00972326"/>
    <w:rsid w:val="0097243B"/>
    <w:rsid w:val="00972536"/>
    <w:rsid w:val="0097255A"/>
    <w:rsid w:val="00972689"/>
    <w:rsid w:val="009726D3"/>
    <w:rsid w:val="0097272E"/>
    <w:rsid w:val="0097280B"/>
    <w:rsid w:val="0097283D"/>
    <w:rsid w:val="00972887"/>
    <w:rsid w:val="009729E4"/>
    <w:rsid w:val="00972C3B"/>
    <w:rsid w:val="00972DB5"/>
    <w:rsid w:val="00972DF9"/>
    <w:rsid w:val="00973057"/>
    <w:rsid w:val="00973070"/>
    <w:rsid w:val="009730EA"/>
    <w:rsid w:val="00973492"/>
    <w:rsid w:val="0097356D"/>
    <w:rsid w:val="0097357C"/>
    <w:rsid w:val="009735A3"/>
    <w:rsid w:val="009735C2"/>
    <w:rsid w:val="00973889"/>
    <w:rsid w:val="0097399D"/>
    <w:rsid w:val="00973F16"/>
    <w:rsid w:val="00973F3C"/>
    <w:rsid w:val="00974004"/>
    <w:rsid w:val="00974318"/>
    <w:rsid w:val="0097440D"/>
    <w:rsid w:val="00974698"/>
    <w:rsid w:val="00974AD2"/>
    <w:rsid w:val="00974D1B"/>
    <w:rsid w:val="00974D50"/>
    <w:rsid w:val="00974EBA"/>
    <w:rsid w:val="00974F3C"/>
    <w:rsid w:val="00975086"/>
    <w:rsid w:val="0097516F"/>
    <w:rsid w:val="00975178"/>
    <w:rsid w:val="009751AF"/>
    <w:rsid w:val="009752BE"/>
    <w:rsid w:val="00975326"/>
    <w:rsid w:val="0097541D"/>
    <w:rsid w:val="00975446"/>
    <w:rsid w:val="009755CB"/>
    <w:rsid w:val="00975A43"/>
    <w:rsid w:val="00975A88"/>
    <w:rsid w:val="00975A8D"/>
    <w:rsid w:val="00975AF2"/>
    <w:rsid w:val="00975BB5"/>
    <w:rsid w:val="00975BF4"/>
    <w:rsid w:val="00975C45"/>
    <w:rsid w:val="00975DEA"/>
    <w:rsid w:val="0097610A"/>
    <w:rsid w:val="009761FC"/>
    <w:rsid w:val="009762BD"/>
    <w:rsid w:val="00976411"/>
    <w:rsid w:val="009765B1"/>
    <w:rsid w:val="009766C9"/>
    <w:rsid w:val="0097678D"/>
    <w:rsid w:val="009767B6"/>
    <w:rsid w:val="009767D4"/>
    <w:rsid w:val="0097680E"/>
    <w:rsid w:val="0097695A"/>
    <w:rsid w:val="00976AB2"/>
    <w:rsid w:val="00976B78"/>
    <w:rsid w:val="00976B9D"/>
    <w:rsid w:val="00976DFD"/>
    <w:rsid w:val="00977273"/>
    <w:rsid w:val="00977477"/>
    <w:rsid w:val="009774C8"/>
    <w:rsid w:val="00977583"/>
    <w:rsid w:val="0097766E"/>
    <w:rsid w:val="00977724"/>
    <w:rsid w:val="00977782"/>
    <w:rsid w:val="009777F3"/>
    <w:rsid w:val="00977818"/>
    <w:rsid w:val="00977A05"/>
    <w:rsid w:val="00977B06"/>
    <w:rsid w:val="00977C3F"/>
    <w:rsid w:val="00977CDF"/>
    <w:rsid w:val="0098002E"/>
    <w:rsid w:val="009801DB"/>
    <w:rsid w:val="009801EF"/>
    <w:rsid w:val="0098023F"/>
    <w:rsid w:val="0098024D"/>
    <w:rsid w:val="0098029B"/>
    <w:rsid w:val="00980355"/>
    <w:rsid w:val="0098043F"/>
    <w:rsid w:val="00980750"/>
    <w:rsid w:val="00980757"/>
    <w:rsid w:val="00980780"/>
    <w:rsid w:val="009807E3"/>
    <w:rsid w:val="00980958"/>
    <w:rsid w:val="00980B02"/>
    <w:rsid w:val="00980D2C"/>
    <w:rsid w:val="00980D55"/>
    <w:rsid w:val="00980E54"/>
    <w:rsid w:val="00980EF6"/>
    <w:rsid w:val="00981038"/>
    <w:rsid w:val="0098106E"/>
    <w:rsid w:val="00981354"/>
    <w:rsid w:val="009813B8"/>
    <w:rsid w:val="00981511"/>
    <w:rsid w:val="00981608"/>
    <w:rsid w:val="009817EE"/>
    <w:rsid w:val="009818A9"/>
    <w:rsid w:val="00981967"/>
    <w:rsid w:val="00981D1C"/>
    <w:rsid w:val="00981E1C"/>
    <w:rsid w:val="00981E1E"/>
    <w:rsid w:val="00981E3F"/>
    <w:rsid w:val="00982118"/>
    <w:rsid w:val="009821D4"/>
    <w:rsid w:val="009821F0"/>
    <w:rsid w:val="0098224E"/>
    <w:rsid w:val="00982475"/>
    <w:rsid w:val="009829D4"/>
    <w:rsid w:val="00982BDD"/>
    <w:rsid w:val="00982C62"/>
    <w:rsid w:val="00982C91"/>
    <w:rsid w:val="00982D1C"/>
    <w:rsid w:val="00982ED9"/>
    <w:rsid w:val="00982EE3"/>
    <w:rsid w:val="00982F76"/>
    <w:rsid w:val="00982FA3"/>
    <w:rsid w:val="00982FF5"/>
    <w:rsid w:val="009830D1"/>
    <w:rsid w:val="00983540"/>
    <w:rsid w:val="00983691"/>
    <w:rsid w:val="009836F4"/>
    <w:rsid w:val="0098370A"/>
    <w:rsid w:val="009837B7"/>
    <w:rsid w:val="00983949"/>
    <w:rsid w:val="009839BB"/>
    <w:rsid w:val="009839F7"/>
    <w:rsid w:val="00983A78"/>
    <w:rsid w:val="00983AF6"/>
    <w:rsid w:val="00983BEC"/>
    <w:rsid w:val="00984079"/>
    <w:rsid w:val="0098409A"/>
    <w:rsid w:val="009840FD"/>
    <w:rsid w:val="0098419F"/>
    <w:rsid w:val="00984304"/>
    <w:rsid w:val="009843B3"/>
    <w:rsid w:val="00984478"/>
    <w:rsid w:val="009846C4"/>
    <w:rsid w:val="00984701"/>
    <w:rsid w:val="00984733"/>
    <w:rsid w:val="00984847"/>
    <w:rsid w:val="00984A97"/>
    <w:rsid w:val="00984AF9"/>
    <w:rsid w:val="00984BEC"/>
    <w:rsid w:val="00984C0F"/>
    <w:rsid w:val="00984E32"/>
    <w:rsid w:val="009850E3"/>
    <w:rsid w:val="00985312"/>
    <w:rsid w:val="009855C6"/>
    <w:rsid w:val="0098582E"/>
    <w:rsid w:val="0098583D"/>
    <w:rsid w:val="0098591E"/>
    <w:rsid w:val="00985B02"/>
    <w:rsid w:val="00985B7B"/>
    <w:rsid w:val="00985C99"/>
    <w:rsid w:val="00985DCE"/>
    <w:rsid w:val="00985EB8"/>
    <w:rsid w:val="00985FB3"/>
    <w:rsid w:val="0098614F"/>
    <w:rsid w:val="00986258"/>
    <w:rsid w:val="0098629A"/>
    <w:rsid w:val="009862CE"/>
    <w:rsid w:val="0098641D"/>
    <w:rsid w:val="0098642B"/>
    <w:rsid w:val="00986523"/>
    <w:rsid w:val="00986566"/>
    <w:rsid w:val="0098662E"/>
    <w:rsid w:val="0098668E"/>
    <w:rsid w:val="00986763"/>
    <w:rsid w:val="00986A70"/>
    <w:rsid w:val="00986AE2"/>
    <w:rsid w:val="00986BF1"/>
    <w:rsid w:val="00986CC1"/>
    <w:rsid w:val="00986D5A"/>
    <w:rsid w:val="00986DF1"/>
    <w:rsid w:val="00986F33"/>
    <w:rsid w:val="00986F4E"/>
    <w:rsid w:val="009870B4"/>
    <w:rsid w:val="00987191"/>
    <w:rsid w:val="00987228"/>
    <w:rsid w:val="009872CE"/>
    <w:rsid w:val="0098736F"/>
    <w:rsid w:val="00987657"/>
    <w:rsid w:val="009876C1"/>
    <w:rsid w:val="00987769"/>
    <w:rsid w:val="009878FD"/>
    <w:rsid w:val="009879CC"/>
    <w:rsid w:val="00987A5A"/>
    <w:rsid w:val="00987CB0"/>
    <w:rsid w:val="00987CB4"/>
    <w:rsid w:val="00987D13"/>
    <w:rsid w:val="00987D30"/>
    <w:rsid w:val="00990047"/>
    <w:rsid w:val="00990131"/>
    <w:rsid w:val="00990177"/>
    <w:rsid w:val="009901D9"/>
    <w:rsid w:val="009903B6"/>
    <w:rsid w:val="00990550"/>
    <w:rsid w:val="0099097E"/>
    <w:rsid w:val="00990AF9"/>
    <w:rsid w:val="00990B5A"/>
    <w:rsid w:val="00990BA2"/>
    <w:rsid w:val="00990C9B"/>
    <w:rsid w:val="00990DA2"/>
    <w:rsid w:val="00990DCB"/>
    <w:rsid w:val="00990E67"/>
    <w:rsid w:val="0099113F"/>
    <w:rsid w:val="00991148"/>
    <w:rsid w:val="009911A2"/>
    <w:rsid w:val="0099133E"/>
    <w:rsid w:val="00991355"/>
    <w:rsid w:val="009913CE"/>
    <w:rsid w:val="00991498"/>
    <w:rsid w:val="009916B1"/>
    <w:rsid w:val="009916CB"/>
    <w:rsid w:val="0099184D"/>
    <w:rsid w:val="009918B3"/>
    <w:rsid w:val="009918F7"/>
    <w:rsid w:val="00991AA7"/>
    <w:rsid w:val="00991B3E"/>
    <w:rsid w:val="00991B88"/>
    <w:rsid w:val="00991CEA"/>
    <w:rsid w:val="00991D31"/>
    <w:rsid w:val="00992115"/>
    <w:rsid w:val="00992174"/>
    <w:rsid w:val="00992189"/>
    <w:rsid w:val="009921FC"/>
    <w:rsid w:val="00992243"/>
    <w:rsid w:val="00992298"/>
    <w:rsid w:val="00992314"/>
    <w:rsid w:val="00992413"/>
    <w:rsid w:val="00992464"/>
    <w:rsid w:val="00992495"/>
    <w:rsid w:val="00992683"/>
    <w:rsid w:val="00992689"/>
    <w:rsid w:val="0099272B"/>
    <w:rsid w:val="009928DD"/>
    <w:rsid w:val="009929DF"/>
    <w:rsid w:val="00992A0E"/>
    <w:rsid w:val="00992A3E"/>
    <w:rsid w:val="00992AC8"/>
    <w:rsid w:val="00992AC9"/>
    <w:rsid w:val="00992C72"/>
    <w:rsid w:val="00992DB5"/>
    <w:rsid w:val="00992DE4"/>
    <w:rsid w:val="00992F0B"/>
    <w:rsid w:val="00992F4E"/>
    <w:rsid w:val="0099328D"/>
    <w:rsid w:val="009933B8"/>
    <w:rsid w:val="009934F6"/>
    <w:rsid w:val="009936D4"/>
    <w:rsid w:val="00993831"/>
    <w:rsid w:val="0099399E"/>
    <w:rsid w:val="009939B8"/>
    <w:rsid w:val="00993B81"/>
    <w:rsid w:val="00993BB4"/>
    <w:rsid w:val="00993CBF"/>
    <w:rsid w:val="00993F22"/>
    <w:rsid w:val="00993FD4"/>
    <w:rsid w:val="00994064"/>
    <w:rsid w:val="0099413C"/>
    <w:rsid w:val="00994207"/>
    <w:rsid w:val="00994230"/>
    <w:rsid w:val="00994490"/>
    <w:rsid w:val="00994499"/>
    <w:rsid w:val="0099464B"/>
    <w:rsid w:val="0099477A"/>
    <w:rsid w:val="0099479E"/>
    <w:rsid w:val="00994C40"/>
    <w:rsid w:val="00994ECB"/>
    <w:rsid w:val="00994FFB"/>
    <w:rsid w:val="0099502A"/>
    <w:rsid w:val="009951D8"/>
    <w:rsid w:val="009951D9"/>
    <w:rsid w:val="0099524D"/>
    <w:rsid w:val="009952FB"/>
    <w:rsid w:val="00995355"/>
    <w:rsid w:val="009953F5"/>
    <w:rsid w:val="009953FD"/>
    <w:rsid w:val="009955BF"/>
    <w:rsid w:val="00995720"/>
    <w:rsid w:val="009957EC"/>
    <w:rsid w:val="0099586F"/>
    <w:rsid w:val="00995B61"/>
    <w:rsid w:val="00995B79"/>
    <w:rsid w:val="00995E35"/>
    <w:rsid w:val="009960E4"/>
    <w:rsid w:val="009961C8"/>
    <w:rsid w:val="009961D5"/>
    <w:rsid w:val="0099658B"/>
    <w:rsid w:val="009965E5"/>
    <w:rsid w:val="00996695"/>
    <w:rsid w:val="00996864"/>
    <w:rsid w:val="009969E6"/>
    <w:rsid w:val="00996B23"/>
    <w:rsid w:val="00996DB7"/>
    <w:rsid w:val="00996EB4"/>
    <w:rsid w:val="00996FC7"/>
    <w:rsid w:val="0099703F"/>
    <w:rsid w:val="0099719E"/>
    <w:rsid w:val="0099719F"/>
    <w:rsid w:val="00997314"/>
    <w:rsid w:val="009974E9"/>
    <w:rsid w:val="009976CF"/>
    <w:rsid w:val="009976DE"/>
    <w:rsid w:val="00997D8F"/>
    <w:rsid w:val="00997E02"/>
    <w:rsid w:val="009A0009"/>
    <w:rsid w:val="009A0169"/>
    <w:rsid w:val="009A01FB"/>
    <w:rsid w:val="009A0227"/>
    <w:rsid w:val="009A037B"/>
    <w:rsid w:val="009A0528"/>
    <w:rsid w:val="009A0583"/>
    <w:rsid w:val="009A07AD"/>
    <w:rsid w:val="009A07E4"/>
    <w:rsid w:val="009A086B"/>
    <w:rsid w:val="009A08A7"/>
    <w:rsid w:val="009A0913"/>
    <w:rsid w:val="009A0915"/>
    <w:rsid w:val="009A0989"/>
    <w:rsid w:val="009A0A73"/>
    <w:rsid w:val="009A0CFB"/>
    <w:rsid w:val="009A0E53"/>
    <w:rsid w:val="009A102C"/>
    <w:rsid w:val="009A10F2"/>
    <w:rsid w:val="009A1185"/>
    <w:rsid w:val="009A11D6"/>
    <w:rsid w:val="009A124A"/>
    <w:rsid w:val="009A137E"/>
    <w:rsid w:val="009A1526"/>
    <w:rsid w:val="009A1585"/>
    <w:rsid w:val="009A177F"/>
    <w:rsid w:val="009A1B56"/>
    <w:rsid w:val="009A1C86"/>
    <w:rsid w:val="009A1D15"/>
    <w:rsid w:val="009A1EF5"/>
    <w:rsid w:val="009A2291"/>
    <w:rsid w:val="009A241A"/>
    <w:rsid w:val="009A24F6"/>
    <w:rsid w:val="009A270B"/>
    <w:rsid w:val="009A2920"/>
    <w:rsid w:val="009A2A76"/>
    <w:rsid w:val="009A2B26"/>
    <w:rsid w:val="009A2C0A"/>
    <w:rsid w:val="009A2CC7"/>
    <w:rsid w:val="009A2D06"/>
    <w:rsid w:val="009A2D67"/>
    <w:rsid w:val="009A2DBC"/>
    <w:rsid w:val="009A2E54"/>
    <w:rsid w:val="009A2FC4"/>
    <w:rsid w:val="009A30EE"/>
    <w:rsid w:val="009A32BE"/>
    <w:rsid w:val="009A3324"/>
    <w:rsid w:val="009A34CC"/>
    <w:rsid w:val="009A35C4"/>
    <w:rsid w:val="009A35E5"/>
    <w:rsid w:val="009A35F7"/>
    <w:rsid w:val="009A361D"/>
    <w:rsid w:val="009A3636"/>
    <w:rsid w:val="009A3796"/>
    <w:rsid w:val="009A3A4E"/>
    <w:rsid w:val="009A3A5E"/>
    <w:rsid w:val="009A3B6D"/>
    <w:rsid w:val="009A3C93"/>
    <w:rsid w:val="009A3D33"/>
    <w:rsid w:val="009A3F03"/>
    <w:rsid w:val="009A3FD0"/>
    <w:rsid w:val="009A46A7"/>
    <w:rsid w:val="009A47FC"/>
    <w:rsid w:val="009A4960"/>
    <w:rsid w:val="009A4A3B"/>
    <w:rsid w:val="009A4E7C"/>
    <w:rsid w:val="009A5027"/>
    <w:rsid w:val="009A5156"/>
    <w:rsid w:val="009A51C7"/>
    <w:rsid w:val="009A5350"/>
    <w:rsid w:val="009A569B"/>
    <w:rsid w:val="009A575E"/>
    <w:rsid w:val="009A59EC"/>
    <w:rsid w:val="009A5B1F"/>
    <w:rsid w:val="009A5B40"/>
    <w:rsid w:val="009A5C24"/>
    <w:rsid w:val="009A5C56"/>
    <w:rsid w:val="009A5CA8"/>
    <w:rsid w:val="009A5DEC"/>
    <w:rsid w:val="009A633F"/>
    <w:rsid w:val="009A6554"/>
    <w:rsid w:val="009A65B8"/>
    <w:rsid w:val="009A65E6"/>
    <w:rsid w:val="009A66F7"/>
    <w:rsid w:val="009A6701"/>
    <w:rsid w:val="009A6823"/>
    <w:rsid w:val="009A6839"/>
    <w:rsid w:val="009A68E4"/>
    <w:rsid w:val="009A6CA2"/>
    <w:rsid w:val="009A6CAA"/>
    <w:rsid w:val="009A6D9E"/>
    <w:rsid w:val="009A6DAE"/>
    <w:rsid w:val="009A6ED0"/>
    <w:rsid w:val="009A6F31"/>
    <w:rsid w:val="009A6FDA"/>
    <w:rsid w:val="009A706A"/>
    <w:rsid w:val="009A70B2"/>
    <w:rsid w:val="009A71AB"/>
    <w:rsid w:val="009A71B3"/>
    <w:rsid w:val="009A7279"/>
    <w:rsid w:val="009A74C8"/>
    <w:rsid w:val="009A7567"/>
    <w:rsid w:val="009A7678"/>
    <w:rsid w:val="009A7745"/>
    <w:rsid w:val="009A77F0"/>
    <w:rsid w:val="009A7A7D"/>
    <w:rsid w:val="009A7AF7"/>
    <w:rsid w:val="009A7B65"/>
    <w:rsid w:val="009A7C3D"/>
    <w:rsid w:val="009A7CA7"/>
    <w:rsid w:val="009A7CB8"/>
    <w:rsid w:val="009A7D9A"/>
    <w:rsid w:val="009A7F08"/>
    <w:rsid w:val="009B0014"/>
    <w:rsid w:val="009B00A1"/>
    <w:rsid w:val="009B0156"/>
    <w:rsid w:val="009B0164"/>
    <w:rsid w:val="009B0278"/>
    <w:rsid w:val="009B0295"/>
    <w:rsid w:val="009B059B"/>
    <w:rsid w:val="009B05BA"/>
    <w:rsid w:val="009B0634"/>
    <w:rsid w:val="009B0653"/>
    <w:rsid w:val="009B06F8"/>
    <w:rsid w:val="009B076F"/>
    <w:rsid w:val="009B081A"/>
    <w:rsid w:val="009B0872"/>
    <w:rsid w:val="009B0CF1"/>
    <w:rsid w:val="009B0D6F"/>
    <w:rsid w:val="009B0D8C"/>
    <w:rsid w:val="009B1018"/>
    <w:rsid w:val="009B118E"/>
    <w:rsid w:val="009B1238"/>
    <w:rsid w:val="009B130B"/>
    <w:rsid w:val="009B13F5"/>
    <w:rsid w:val="009B1538"/>
    <w:rsid w:val="009B187D"/>
    <w:rsid w:val="009B192F"/>
    <w:rsid w:val="009B1964"/>
    <w:rsid w:val="009B1B0E"/>
    <w:rsid w:val="009B1B63"/>
    <w:rsid w:val="009B1BAE"/>
    <w:rsid w:val="009B1F54"/>
    <w:rsid w:val="009B1FF5"/>
    <w:rsid w:val="009B2253"/>
    <w:rsid w:val="009B2596"/>
    <w:rsid w:val="009B263D"/>
    <w:rsid w:val="009B2648"/>
    <w:rsid w:val="009B2671"/>
    <w:rsid w:val="009B27BD"/>
    <w:rsid w:val="009B2935"/>
    <w:rsid w:val="009B2C78"/>
    <w:rsid w:val="009B2CED"/>
    <w:rsid w:val="009B2EE6"/>
    <w:rsid w:val="009B2F5D"/>
    <w:rsid w:val="009B3706"/>
    <w:rsid w:val="009B3723"/>
    <w:rsid w:val="009B3DCD"/>
    <w:rsid w:val="009B4138"/>
    <w:rsid w:val="009B421B"/>
    <w:rsid w:val="009B4222"/>
    <w:rsid w:val="009B42B6"/>
    <w:rsid w:val="009B42CC"/>
    <w:rsid w:val="009B4303"/>
    <w:rsid w:val="009B43D6"/>
    <w:rsid w:val="009B461A"/>
    <w:rsid w:val="009B46F0"/>
    <w:rsid w:val="009B47F3"/>
    <w:rsid w:val="009B4830"/>
    <w:rsid w:val="009B4863"/>
    <w:rsid w:val="009B48C6"/>
    <w:rsid w:val="009B48FA"/>
    <w:rsid w:val="009B4AE2"/>
    <w:rsid w:val="009B4DBF"/>
    <w:rsid w:val="009B5039"/>
    <w:rsid w:val="009B5081"/>
    <w:rsid w:val="009B5151"/>
    <w:rsid w:val="009B5282"/>
    <w:rsid w:val="009B52DE"/>
    <w:rsid w:val="009B52F5"/>
    <w:rsid w:val="009B55F0"/>
    <w:rsid w:val="009B5746"/>
    <w:rsid w:val="009B587B"/>
    <w:rsid w:val="009B5B36"/>
    <w:rsid w:val="009B5CA6"/>
    <w:rsid w:val="009B5CEE"/>
    <w:rsid w:val="009B5F98"/>
    <w:rsid w:val="009B600F"/>
    <w:rsid w:val="009B624F"/>
    <w:rsid w:val="009B62C1"/>
    <w:rsid w:val="009B64D6"/>
    <w:rsid w:val="009B6591"/>
    <w:rsid w:val="009B659E"/>
    <w:rsid w:val="009B65F0"/>
    <w:rsid w:val="009B677A"/>
    <w:rsid w:val="009B68A2"/>
    <w:rsid w:val="009B690F"/>
    <w:rsid w:val="009B6985"/>
    <w:rsid w:val="009B69B3"/>
    <w:rsid w:val="009B6C1F"/>
    <w:rsid w:val="009B6CC7"/>
    <w:rsid w:val="009B6D7D"/>
    <w:rsid w:val="009B6F3B"/>
    <w:rsid w:val="009B7011"/>
    <w:rsid w:val="009B705C"/>
    <w:rsid w:val="009B70A6"/>
    <w:rsid w:val="009B71E4"/>
    <w:rsid w:val="009B7525"/>
    <w:rsid w:val="009B771A"/>
    <w:rsid w:val="009B7812"/>
    <w:rsid w:val="009B7837"/>
    <w:rsid w:val="009B790B"/>
    <w:rsid w:val="009B7ABB"/>
    <w:rsid w:val="009B7AF2"/>
    <w:rsid w:val="009B7C14"/>
    <w:rsid w:val="009B7E1B"/>
    <w:rsid w:val="009B7E6E"/>
    <w:rsid w:val="009C028C"/>
    <w:rsid w:val="009C0427"/>
    <w:rsid w:val="009C04D7"/>
    <w:rsid w:val="009C04EE"/>
    <w:rsid w:val="009C0720"/>
    <w:rsid w:val="009C07ED"/>
    <w:rsid w:val="009C0887"/>
    <w:rsid w:val="009C08B6"/>
    <w:rsid w:val="009C0CD4"/>
    <w:rsid w:val="009C0E18"/>
    <w:rsid w:val="009C0EC0"/>
    <w:rsid w:val="009C0F4A"/>
    <w:rsid w:val="009C0F63"/>
    <w:rsid w:val="009C1006"/>
    <w:rsid w:val="009C103E"/>
    <w:rsid w:val="009C1076"/>
    <w:rsid w:val="009C1117"/>
    <w:rsid w:val="009C1377"/>
    <w:rsid w:val="009C1407"/>
    <w:rsid w:val="009C15E7"/>
    <w:rsid w:val="009C17C8"/>
    <w:rsid w:val="009C180B"/>
    <w:rsid w:val="009C1BC0"/>
    <w:rsid w:val="009C1C23"/>
    <w:rsid w:val="009C2697"/>
    <w:rsid w:val="009C28B2"/>
    <w:rsid w:val="009C2C3B"/>
    <w:rsid w:val="009C2CAF"/>
    <w:rsid w:val="009C2D99"/>
    <w:rsid w:val="009C2EF2"/>
    <w:rsid w:val="009C2FE6"/>
    <w:rsid w:val="009C3206"/>
    <w:rsid w:val="009C3443"/>
    <w:rsid w:val="009C385B"/>
    <w:rsid w:val="009C38A4"/>
    <w:rsid w:val="009C3CEA"/>
    <w:rsid w:val="009C3E28"/>
    <w:rsid w:val="009C3E3C"/>
    <w:rsid w:val="009C42C6"/>
    <w:rsid w:val="009C4353"/>
    <w:rsid w:val="009C43C1"/>
    <w:rsid w:val="009C4532"/>
    <w:rsid w:val="009C4835"/>
    <w:rsid w:val="009C4925"/>
    <w:rsid w:val="009C49C2"/>
    <w:rsid w:val="009C4C73"/>
    <w:rsid w:val="009C4D76"/>
    <w:rsid w:val="009C4DF4"/>
    <w:rsid w:val="009C4E2D"/>
    <w:rsid w:val="009C4EAD"/>
    <w:rsid w:val="009C5133"/>
    <w:rsid w:val="009C521C"/>
    <w:rsid w:val="009C5344"/>
    <w:rsid w:val="009C5382"/>
    <w:rsid w:val="009C5419"/>
    <w:rsid w:val="009C5686"/>
    <w:rsid w:val="009C58D3"/>
    <w:rsid w:val="009C58E8"/>
    <w:rsid w:val="009C5B7E"/>
    <w:rsid w:val="009C5E0A"/>
    <w:rsid w:val="009C5E33"/>
    <w:rsid w:val="009C5FE4"/>
    <w:rsid w:val="009C60E0"/>
    <w:rsid w:val="009C6127"/>
    <w:rsid w:val="009C61D5"/>
    <w:rsid w:val="009C623F"/>
    <w:rsid w:val="009C62C0"/>
    <w:rsid w:val="009C6381"/>
    <w:rsid w:val="009C63F5"/>
    <w:rsid w:val="009C6626"/>
    <w:rsid w:val="009C665D"/>
    <w:rsid w:val="009C669C"/>
    <w:rsid w:val="009C6A88"/>
    <w:rsid w:val="009C6AC2"/>
    <w:rsid w:val="009C6ACD"/>
    <w:rsid w:val="009C6AFF"/>
    <w:rsid w:val="009C6B62"/>
    <w:rsid w:val="009C6BB1"/>
    <w:rsid w:val="009C6BD2"/>
    <w:rsid w:val="009C6F08"/>
    <w:rsid w:val="009C6F41"/>
    <w:rsid w:val="009C6F57"/>
    <w:rsid w:val="009C6FD1"/>
    <w:rsid w:val="009C727A"/>
    <w:rsid w:val="009C73BF"/>
    <w:rsid w:val="009C7458"/>
    <w:rsid w:val="009C7516"/>
    <w:rsid w:val="009C765D"/>
    <w:rsid w:val="009C784B"/>
    <w:rsid w:val="009C792E"/>
    <w:rsid w:val="009C7A44"/>
    <w:rsid w:val="009C7ADA"/>
    <w:rsid w:val="009C7B98"/>
    <w:rsid w:val="009C7B9C"/>
    <w:rsid w:val="009C7C38"/>
    <w:rsid w:val="009C7F3D"/>
    <w:rsid w:val="009D000A"/>
    <w:rsid w:val="009D00CA"/>
    <w:rsid w:val="009D0306"/>
    <w:rsid w:val="009D0B35"/>
    <w:rsid w:val="009D0BA5"/>
    <w:rsid w:val="009D0CA1"/>
    <w:rsid w:val="009D0E04"/>
    <w:rsid w:val="009D11E7"/>
    <w:rsid w:val="009D134C"/>
    <w:rsid w:val="009D1367"/>
    <w:rsid w:val="009D1401"/>
    <w:rsid w:val="009D15AE"/>
    <w:rsid w:val="009D15B5"/>
    <w:rsid w:val="009D1669"/>
    <w:rsid w:val="009D1786"/>
    <w:rsid w:val="009D1997"/>
    <w:rsid w:val="009D1A1B"/>
    <w:rsid w:val="009D1A2D"/>
    <w:rsid w:val="009D1A86"/>
    <w:rsid w:val="009D1B6C"/>
    <w:rsid w:val="009D1D9A"/>
    <w:rsid w:val="009D1DD5"/>
    <w:rsid w:val="009D1E12"/>
    <w:rsid w:val="009D1F25"/>
    <w:rsid w:val="009D1FE3"/>
    <w:rsid w:val="009D2093"/>
    <w:rsid w:val="009D212B"/>
    <w:rsid w:val="009D223A"/>
    <w:rsid w:val="009D234A"/>
    <w:rsid w:val="009D23E8"/>
    <w:rsid w:val="009D27C3"/>
    <w:rsid w:val="009D2923"/>
    <w:rsid w:val="009D297A"/>
    <w:rsid w:val="009D2CAC"/>
    <w:rsid w:val="009D2DA9"/>
    <w:rsid w:val="009D2E93"/>
    <w:rsid w:val="009D2EA9"/>
    <w:rsid w:val="009D3038"/>
    <w:rsid w:val="009D3057"/>
    <w:rsid w:val="009D314D"/>
    <w:rsid w:val="009D3178"/>
    <w:rsid w:val="009D34C0"/>
    <w:rsid w:val="009D35FB"/>
    <w:rsid w:val="009D361F"/>
    <w:rsid w:val="009D3730"/>
    <w:rsid w:val="009D38DA"/>
    <w:rsid w:val="009D3922"/>
    <w:rsid w:val="009D39A3"/>
    <w:rsid w:val="009D3A02"/>
    <w:rsid w:val="009D3B45"/>
    <w:rsid w:val="009D3B71"/>
    <w:rsid w:val="009D3BC4"/>
    <w:rsid w:val="009D3C50"/>
    <w:rsid w:val="009D3CB5"/>
    <w:rsid w:val="009D3D12"/>
    <w:rsid w:val="009D3E3A"/>
    <w:rsid w:val="009D3ECF"/>
    <w:rsid w:val="009D3F20"/>
    <w:rsid w:val="009D4006"/>
    <w:rsid w:val="009D401E"/>
    <w:rsid w:val="009D4074"/>
    <w:rsid w:val="009D408F"/>
    <w:rsid w:val="009D40F2"/>
    <w:rsid w:val="009D4111"/>
    <w:rsid w:val="009D4385"/>
    <w:rsid w:val="009D44F3"/>
    <w:rsid w:val="009D458F"/>
    <w:rsid w:val="009D4611"/>
    <w:rsid w:val="009D4644"/>
    <w:rsid w:val="009D4698"/>
    <w:rsid w:val="009D46CB"/>
    <w:rsid w:val="009D4711"/>
    <w:rsid w:val="009D4811"/>
    <w:rsid w:val="009D4A9C"/>
    <w:rsid w:val="009D4AB4"/>
    <w:rsid w:val="009D4B8E"/>
    <w:rsid w:val="009D4BBE"/>
    <w:rsid w:val="009D4D7F"/>
    <w:rsid w:val="009D4E16"/>
    <w:rsid w:val="009D4E8A"/>
    <w:rsid w:val="009D508A"/>
    <w:rsid w:val="009D50BB"/>
    <w:rsid w:val="009D50EF"/>
    <w:rsid w:val="009D50F2"/>
    <w:rsid w:val="009D5109"/>
    <w:rsid w:val="009D5170"/>
    <w:rsid w:val="009D51C9"/>
    <w:rsid w:val="009D535D"/>
    <w:rsid w:val="009D55C1"/>
    <w:rsid w:val="009D5630"/>
    <w:rsid w:val="009D5698"/>
    <w:rsid w:val="009D56BB"/>
    <w:rsid w:val="009D56EF"/>
    <w:rsid w:val="009D5893"/>
    <w:rsid w:val="009D58E5"/>
    <w:rsid w:val="009D5951"/>
    <w:rsid w:val="009D59FB"/>
    <w:rsid w:val="009D5AD8"/>
    <w:rsid w:val="009D5B5C"/>
    <w:rsid w:val="009D5EFE"/>
    <w:rsid w:val="009D6059"/>
    <w:rsid w:val="009D6167"/>
    <w:rsid w:val="009D61E1"/>
    <w:rsid w:val="009D62A7"/>
    <w:rsid w:val="009D6307"/>
    <w:rsid w:val="009D6620"/>
    <w:rsid w:val="009D665B"/>
    <w:rsid w:val="009D6677"/>
    <w:rsid w:val="009D672B"/>
    <w:rsid w:val="009D693C"/>
    <w:rsid w:val="009D69AD"/>
    <w:rsid w:val="009D6B8F"/>
    <w:rsid w:val="009D6C54"/>
    <w:rsid w:val="009D6CAA"/>
    <w:rsid w:val="009D6E17"/>
    <w:rsid w:val="009D6E1F"/>
    <w:rsid w:val="009D7106"/>
    <w:rsid w:val="009D7167"/>
    <w:rsid w:val="009D72B0"/>
    <w:rsid w:val="009D741A"/>
    <w:rsid w:val="009D7433"/>
    <w:rsid w:val="009D7462"/>
    <w:rsid w:val="009D7505"/>
    <w:rsid w:val="009D76F4"/>
    <w:rsid w:val="009D7754"/>
    <w:rsid w:val="009D77CE"/>
    <w:rsid w:val="009D7B69"/>
    <w:rsid w:val="009D7C00"/>
    <w:rsid w:val="009D7C3B"/>
    <w:rsid w:val="009D7CA5"/>
    <w:rsid w:val="009D7DE3"/>
    <w:rsid w:val="009D7E28"/>
    <w:rsid w:val="009D7E4A"/>
    <w:rsid w:val="009D7E65"/>
    <w:rsid w:val="009E004A"/>
    <w:rsid w:val="009E00EB"/>
    <w:rsid w:val="009E021E"/>
    <w:rsid w:val="009E02F6"/>
    <w:rsid w:val="009E0472"/>
    <w:rsid w:val="009E05A1"/>
    <w:rsid w:val="009E066B"/>
    <w:rsid w:val="009E08F1"/>
    <w:rsid w:val="009E09DB"/>
    <w:rsid w:val="009E0CD2"/>
    <w:rsid w:val="009E0DA9"/>
    <w:rsid w:val="009E101F"/>
    <w:rsid w:val="009E1098"/>
    <w:rsid w:val="009E10FE"/>
    <w:rsid w:val="009E138F"/>
    <w:rsid w:val="009E1395"/>
    <w:rsid w:val="009E1486"/>
    <w:rsid w:val="009E1515"/>
    <w:rsid w:val="009E15F3"/>
    <w:rsid w:val="009E1640"/>
    <w:rsid w:val="009E1914"/>
    <w:rsid w:val="009E193A"/>
    <w:rsid w:val="009E1A9C"/>
    <w:rsid w:val="009E1A9E"/>
    <w:rsid w:val="009E1C8B"/>
    <w:rsid w:val="009E1CFF"/>
    <w:rsid w:val="009E1DCF"/>
    <w:rsid w:val="009E1EF9"/>
    <w:rsid w:val="009E1FEE"/>
    <w:rsid w:val="009E1FFB"/>
    <w:rsid w:val="009E2080"/>
    <w:rsid w:val="009E2201"/>
    <w:rsid w:val="009E232C"/>
    <w:rsid w:val="009E23B0"/>
    <w:rsid w:val="009E23EA"/>
    <w:rsid w:val="009E25ED"/>
    <w:rsid w:val="009E275B"/>
    <w:rsid w:val="009E2812"/>
    <w:rsid w:val="009E28E5"/>
    <w:rsid w:val="009E295D"/>
    <w:rsid w:val="009E2A9F"/>
    <w:rsid w:val="009E2AE7"/>
    <w:rsid w:val="009E2B73"/>
    <w:rsid w:val="009E2BB4"/>
    <w:rsid w:val="009E2C5D"/>
    <w:rsid w:val="009E2C7E"/>
    <w:rsid w:val="009E2D24"/>
    <w:rsid w:val="009E2DAF"/>
    <w:rsid w:val="009E2DD9"/>
    <w:rsid w:val="009E2E0C"/>
    <w:rsid w:val="009E2E77"/>
    <w:rsid w:val="009E2EA0"/>
    <w:rsid w:val="009E305F"/>
    <w:rsid w:val="009E3161"/>
    <w:rsid w:val="009E3274"/>
    <w:rsid w:val="009E354C"/>
    <w:rsid w:val="009E36FF"/>
    <w:rsid w:val="009E37D3"/>
    <w:rsid w:val="009E3811"/>
    <w:rsid w:val="009E394B"/>
    <w:rsid w:val="009E39C5"/>
    <w:rsid w:val="009E3B08"/>
    <w:rsid w:val="009E3CBD"/>
    <w:rsid w:val="009E3E1B"/>
    <w:rsid w:val="009E3E3F"/>
    <w:rsid w:val="009E3E49"/>
    <w:rsid w:val="009E3F51"/>
    <w:rsid w:val="009E41DD"/>
    <w:rsid w:val="009E4252"/>
    <w:rsid w:val="009E457F"/>
    <w:rsid w:val="009E45C2"/>
    <w:rsid w:val="009E46F5"/>
    <w:rsid w:val="009E47F3"/>
    <w:rsid w:val="009E47FF"/>
    <w:rsid w:val="009E4BE8"/>
    <w:rsid w:val="009E4C73"/>
    <w:rsid w:val="009E4CA0"/>
    <w:rsid w:val="009E4CA8"/>
    <w:rsid w:val="009E5028"/>
    <w:rsid w:val="009E50F5"/>
    <w:rsid w:val="009E50FB"/>
    <w:rsid w:val="009E5280"/>
    <w:rsid w:val="009E5386"/>
    <w:rsid w:val="009E53EB"/>
    <w:rsid w:val="009E54BE"/>
    <w:rsid w:val="009E5706"/>
    <w:rsid w:val="009E5828"/>
    <w:rsid w:val="009E58C1"/>
    <w:rsid w:val="009E58C2"/>
    <w:rsid w:val="009E5AE8"/>
    <w:rsid w:val="009E5BAA"/>
    <w:rsid w:val="009E5CE1"/>
    <w:rsid w:val="009E5DD1"/>
    <w:rsid w:val="009E5FEE"/>
    <w:rsid w:val="009E6037"/>
    <w:rsid w:val="009E60AD"/>
    <w:rsid w:val="009E628E"/>
    <w:rsid w:val="009E62F5"/>
    <w:rsid w:val="009E630F"/>
    <w:rsid w:val="009E650C"/>
    <w:rsid w:val="009E6571"/>
    <w:rsid w:val="009E65F6"/>
    <w:rsid w:val="009E67AD"/>
    <w:rsid w:val="009E68C8"/>
    <w:rsid w:val="009E6A1F"/>
    <w:rsid w:val="009E6A35"/>
    <w:rsid w:val="009E6A77"/>
    <w:rsid w:val="009E6AB5"/>
    <w:rsid w:val="009E6B01"/>
    <w:rsid w:val="009E6DAB"/>
    <w:rsid w:val="009E6DBC"/>
    <w:rsid w:val="009E6E85"/>
    <w:rsid w:val="009E6EC4"/>
    <w:rsid w:val="009E6F4B"/>
    <w:rsid w:val="009E703C"/>
    <w:rsid w:val="009E71FB"/>
    <w:rsid w:val="009E74EC"/>
    <w:rsid w:val="009E7656"/>
    <w:rsid w:val="009E76A6"/>
    <w:rsid w:val="009E7814"/>
    <w:rsid w:val="009E7880"/>
    <w:rsid w:val="009E7A6A"/>
    <w:rsid w:val="009E7C0A"/>
    <w:rsid w:val="009E7C7A"/>
    <w:rsid w:val="009E7E4C"/>
    <w:rsid w:val="009E7F77"/>
    <w:rsid w:val="009F018F"/>
    <w:rsid w:val="009F01FF"/>
    <w:rsid w:val="009F035B"/>
    <w:rsid w:val="009F063F"/>
    <w:rsid w:val="009F06F7"/>
    <w:rsid w:val="009F0748"/>
    <w:rsid w:val="009F0763"/>
    <w:rsid w:val="009F08F5"/>
    <w:rsid w:val="009F094B"/>
    <w:rsid w:val="009F0956"/>
    <w:rsid w:val="009F0AA9"/>
    <w:rsid w:val="009F0B78"/>
    <w:rsid w:val="009F0E2F"/>
    <w:rsid w:val="009F0EE5"/>
    <w:rsid w:val="009F10EE"/>
    <w:rsid w:val="009F1264"/>
    <w:rsid w:val="009F126B"/>
    <w:rsid w:val="009F129D"/>
    <w:rsid w:val="009F139F"/>
    <w:rsid w:val="009F141C"/>
    <w:rsid w:val="009F1426"/>
    <w:rsid w:val="009F14AE"/>
    <w:rsid w:val="009F168A"/>
    <w:rsid w:val="009F16EA"/>
    <w:rsid w:val="009F19DA"/>
    <w:rsid w:val="009F1BE7"/>
    <w:rsid w:val="009F1C58"/>
    <w:rsid w:val="009F1DC5"/>
    <w:rsid w:val="009F1E6E"/>
    <w:rsid w:val="009F1E82"/>
    <w:rsid w:val="009F1FFA"/>
    <w:rsid w:val="009F2009"/>
    <w:rsid w:val="009F2122"/>
    <w:rsid w:val="009F212A"/>
    <w:rsid w:val="009F2253"/>
    <w:rsid w:val="009F245B"/>
    <w:rsid w:val="009F25E6"/>
    <w:rsid w:val="009F26D7"/>
    <w:rsid w:val="009F2808"/>
    <w:rsid w:val="009F2948"/>
    <w:rsid w:val="009F2A61"/>
    <w:rsid w:val="009F2B63"/>
    <w:rsid w:val="009F2BE8"/>
    <w:rsid w:val="009F2BEF"/>
    <w:rsid w:val="009F2CAE"/>
    <w:rsid w:val="009F2E16"/>
    <w:rsid w:val="009F2E25"/>
    <w:rsid w:val="009F2F09"/>
    <w:rsid w:val="009F2F12"/>
    <w:rsid w:val="009F3020"/>
    <w:rsid w:val="009F37A0"/>
    <w:rsid w:val="009F387A"/>
    <w:rsid w:val="009F3958"/>
    <w:rsid w:val="009F39A7"/>
    <w:rsid w:val="009F3B86"/>
    <w:rsid w:val="009F3DCF"/>
    <w:rsid w:val="009F3F2C"/>
    <w:rsid w:val="009F4023"/>
    <w:rsid w:val="009F40B7"/>
    <w:rsid w:val="009F4102"/>
    <w:rsid w:val="009F4188"/>
    <w:rsid w:val="009F4302"/>
    <w:rsid w:val="009F4305"/>
    <w:rsid w:val="009F4386"/>
    <w:rsid w:val="009F4393"/>
    <w:rsid w:val="009F43A8"/>
    <w:rsid w:val="009F450D"/>
    <w:rsid w:val="009F473C"/>
    <w:rsid w:val="009F4A4F"/>
    <w:rsid w:val="009F4B56"/>
    <w:rsid w:val="009F4BE9"/>
    <w:rsid w:val="009F4C11"/>
    <w:rsid w:val="009F4C97"/>
    <w:rsid w:val="009F4D27"/>
    <w:rsid w:val="009F4D94"/>
    <w:rsid w:val="009F52DC"/>
    <w:rsid w:val="009F5340"/>
    <w:rsid w:val="009F56EC"/>
    <w:rsid w:val="009F58E8"/>
    <w:rsid w:val="009F5A11"/>
    <w:rsid w:val="009F5ADD"/>
    <w:rsid w:val="009F5C07"/>
    <w:rsid w:val="009F5C13"/>
    <w:rsid w:val="009F5E7E"/>
    <w:rsid w:val="009F5F57"/>
    <w:rsid w:val="009F6107"/>
    <w:rsid w:val="009F62D3"/>
    <w:rsid w:val="009F64C6"/>
    <w:rsid w:val="009F6855"/>
    <w:rsid w:val="009F68E4"/>
    <w:rsid w:val="009F6B37"/>
    <w:rsid w:val="009F6E5A"/>
    <w:rsid w:val="009F7252"/>
    <w:rsid w:val="009F72F6"/>
    <w:rsid w:val="009F739F"/>
    <w:rsid w:val="009F73B6"/>
    <w:rsid w:val="009F740E"/>
    <w:rsid w:val="009F74D0"/>
    <w:rsid w:val="009F77AB"/>
    <w:rsid w:val="009F787B"/>
    <w:rsid w:val="009F7A68"/>
    <w:rsid w:val="009F7B26"/>
    <w:rsid w:val="009F7B82"/>
    <w:rsid w:val="009F7BE6"/>
    <w:rsid w:val="009F7D1E"/>
    <w:rsid w:val="009F7D56"/>
    <w:rsid w:val="009F7DDE"/>
    <w:rsid w:val="009F7FFC"/>
    <w:rsid w:val="00A00112"/>
    <w:rsid w:val="00A0014F"/>
    <w:rsid w:val="00A0018C"/>
    <w:rsid w:val="00A003DA"/>
    <w:rsid w:val="00A0044D"/>
    <w:rsid w:val="00A00587"/>
    <w:rsid w:val="00A008B5"/>
    <w:rsid w:val="00A00A52"/>
    <w:rsid w:val="00A00A95"/>
    <w:rsid w:val="00A00AB9"/>
    <w:rsid w:val="00A00AD5"/>
    <w:rsid w:val="00A00B8A"/>
    <w:rsid w:val="00A01167"/>
    <w:rsid w:val="00A01251"/>
    <w:rsid w:val="00A013C5"/>
    <w:rsid w:val="00A01421"/>
    <w:rsid w:val="00A014F6"/>
    <w:rsid w:val="00A017B4"/>
    <w:rsid w:val="00A01868"/>
    <w:rsid w:val="00A01870"/>
    <w:rsid w:val="00A01AA0"/>
    <w:rsid w:val="00A01C30"/>
    <w:rsid w:val="00A01C53"/>
    <w:rsid w:val="00A01D03"/>
    <w:rsid w:val="00A01D38"/>
    <w:rsid w:val="00A01F9D"/>
    <w:rsid w:val="00A01FA8"/>
    <w:rsid w:val="00A0212C"/>
    <w:rsid w:val="00A0216A"/>
    <w:rsid w:val="00A021E0"/>
    <w:rsid w:val="00A02414"/>
    <w:rsid w:val="00A02453"/>
    <w:rsid w:val="00A024D1"/>
    <w:rsid w:val="00A025B9"/>
    <w:rsid w:val="00A02670"/>
    <w:rsid w:val="00A02737"/>
    <w:rsid w:val="00A02E8C"/>
    <w:rsid w:val="00A02F37"/>
    <w:rsid w:val="00A0344C"/>
    <w:rsid w:val="00A03486"/>
    <w:rsid w:val="00A03494"/>
    <w:rsid w:val="00A03519"/>
    <w:rsid w:val="00A0355C"/>
    <w:rsid w:val="00A035B3"/>
    <w:rsid w:val="00A03680"/>
    <w:rsid w:val="00A03881"/>
    <w:rsid w:val="00A039E6"/>
    <w:rsid w:val="00A039F3"/>
    <w:rsid w:val="00A03A13"/>
    <w:rsid w:val="00A0401F"/>
    <w:rsid w:val="00A04023"/>
    <w:rsid w:val="00A040CD"/>
    <w:rsid w:val="00A040D7"/>
    <w:rsid w:val="00A04429"/>
    <w:rsid w:val="00A04578"/>
    <w:rsid w:val="00A045E1"/>
    <w:rsid w:val="00A047C3"/>
    <w:rsid w:val="00A0489A"/>
    <w:rsid w:val="00A048F9"/>
    <w:rsid w:val="00A0496D"/>
    <w:rsid w:val="00A04A75"/>
    <w:rsid w:val="00A04D11"/>
    <w:rsid w:val="00A04DDB"/>
    <w:rsid w:val="00A04FAF"/>
    <w:rsid w:val="00A0512D"/>
    <w:rsid w:val="00A0512E"/>
    <w:rsid w:val="00A0561D"/>
    <w:rsid w:val="00A0565D"/>
    <w:rsid w:val="00A056DB"/>
    <w:rsid w:val="00A059D7"/>
    <w:rsid w:val="00A05AB3"/>
    <w:rsid w:val="00A05D31"/>
    <w:rsid w:val="00A05F1E"/>
    <w:rsid w:val="00A06013"/>
    <w:rsid w:val="00A06057"/>
    <w:rsid w:val="00A06072"/>
    <w:rsid w:val="00A060EB"/>
    <w:rsid w:val="00A06171"/>
    <w:rsid w:val="00A0628E"/>
    <w:rsid w:val="00A0631F"/>
    <w:rsid w:val="00A06446"/>
    <w:rsid w:val="00A064CA"/>
    <w:rsid w:val="00A06599"/>
    <w:rsid w:val="00A06669"/>
    <w:rsid w:val="00A06697"/>
    <w:rsid w:val="00A06A1C"/>
    <w:rsid w:val="00A06BA1"/>
    <w:rsid w:val="00A06C40"/>
    <w:rsid w:val="00A06C5B"/>
    <w:rsid w:val="00A06CCB"/>
    <w:rsid w:val="00A06CD1"/>
    <w:rsid w:val="00A06E45"/>
    <w:rsid w:val="00A06E61"/>
    <w:rsid w:val="00A06EA0"/>
    <w:rsid w:val="00A07586"/>
    <w:rsid w:val="00A075A9"/>
    <w:rsid w:val="00A0762D"/>
    <w:rsid w:val="00A0773E"/>
    <w:rsid w:val="00A0775E"/>
    <w:rsid w:val="00A0777A"/>
    <w:rsid w:val="00A078EC"/>
    <w:rsid w:val="00A07FD1"/>
    <w:rsid w:val="00A101F4"/>
    <w:rsid w:val="00A10204"/>
    <w:rsid w:val="00A103A3"/>
    <w:rsid w:val="00A10586"/>
    <w:rsid w:val="00A106BD"/>
    <w:rsid w:val="00A106C9"/>
    <w:rsid w:val="00A10832"/>
    <w:rsid w:val="00A10A48"/>
    <w:rsid w:val="00A10DCE"/>
    <w:rsid w:val="00A10E70"/>
    <w:rsid w:val="00A110DA"/>
    <w:rsid w:val="00A111FA"/>
    <w:rsid w:val="00A112BA"/>
    <w:rsid w:val="00A1132B"/>
    <w:rsid w:val="00A115F7"/>
    <w:rsid w:val="00A11603"/>
    <w:rsid w:val="00A1177F"/>
    <w:rsid w:val="00A117D9"/>
    <w:rsid w:val="00A11930"/>
    <w:rsid w:val="00A11B45"/>
    <w:rsid w:val="00A11B54"/>
    <w:rsid w:val="00A11C44"/>
    <w:rsid w:val="00A11CDC"/>
    <w:rsid w:val="00A11E92"/>
    <w:rsid w:val="00A11F25"/>
    <w:rsid w:val="00A11F99"/>
    <w:rsid w:val="00A12287"/>
    <w:rsid w:val="00A1238C"/>
    <w:rsid w:val="00A12431"/>
    <w:rsid w:val="00A12506"/>
    <w:rsid w:val="00A1263D"/>
    <w:rsid w:val="00A12687"/>
    <w:rsid w:val="00A126E5"/>
    <w:rsid w:val="00A12780"/>
    <w:rsid w:val="00A12978"/>
    <w:rsid w:val="00A12991"/>
    <w:rsid w:val="00A12AF2"/>
    <w:rsid w:val="00A12D8A"/>
    <w:rsid w:val="00A12E6C"/>
    <w:rsid w:val="00A13211"/>
    <w:rsid w:val="00A132B4"/>
    <w:rsid w:val="00A13318"/>
    <w:rsid w:val="00A13467"/>
    <w:rsid w:val="00A1355E"/>
    <w:rsid w:val="00A136D0"/>
    <w:rsid w:val="00A136D9"/>
    <w:rsid w:val="00A13785"/>
    <w:rsid w:val="00A1388C"/>
    <w:rsid w:val="00A13913"/>
    <w:rsid w:val="00A13B22"/>
    <w:rsid w:val="00A13B64"/>
    <w:rsid w:val="00A13C4B"/>
    <w:rsid w:val="00A13D1A"/>
    <w:rsid w:val="00A13EC9"/>
    <w:rsid w:val="00A13FB6"/>
    <w:rsid w:val="00A1426B"/>
    <w:rsid w:val="00A1426E"/>
    <w:rsid w:val="00A1439A"/>
    <w:rsid w:val="00A1443D"/>
    <w:rsid w:val="00A1472B"/>
    <w:rsid w:val="00A14774"/>
    <w:rsid w:val="00A147B0"/>
    <w:rsid w:val="00A147C1"/>
    <w:rsid w:val="00A147FC"/>
    <w:rsid w:val="00A14937"/>
    <w:rsid w:val="00A14DC2"/>
    <w:rsid w:val="00A14DD6"/>
    <w:rsid w:val="00A14F47"/>
    <w:rsid w:val="00A151BE"/>
    <w:rsid w:val="00A151BF"/>
    <w:rsid w:val="00A1530E"/>
    <w:rsid w:val="00A15683"/>
    <w:rsid w:val="00A158E4"/>
    <w:rsid w:val="00A15992"/>
    <w:rsid w:val="00A1599D"/>
    <w:rsid w:val="00A15D28"/>
    <w:rsid w:val="00A15D5E"/>
    <w:rsid w:val="00A15DF0"/>
    <w:rsid w:val="00A15E10"/>
    <w:rsid w:val="00A15ECB"/>
    <w:rsid w:val="00A15EFF"/>
    <w:rsid w:val="00A160BD"/>
    <w:rsid w:val="00A160CA"/>
    <w:rsid w:val="00A161F8"/>
    <w:rsid w:val="00A16381"/>
    <w:rsid w:val="00A1643C"/>
    <w:rsid w:val="00A1654B"/>
    <w:rsid w:val="00A165AC"/>
    <w:rsid w:val="00A16811"/>
    <w:rsid w:val="00A169FA"/>
    <w:rsid w:val="00A16B14"/>
    <w:rsid w:val="00A16B2B"/>
    <w:rsid w:val="00A16D42"/>
    <w:rsid w:val="00A16D9B"/>
    <w:rsid w:val="00A170B9"/>
    <w:rsid w:val="00A17249"/>
    <w:rsid w:val="00A17338"/>
    <w:rsid w:val="00A1741F"/>
    <w:rsid w:val="00A1743D"/>
    <w:rsid w:val="00A1753E"/>
    <w:rsid w:val="00A17603"/>
    <w:rsid w:val="00A1766A"/>
    <w:rsid w:val="00A177A7"/>
    <w:rsid w:val="00A17839"/>
    <w:rsid w:val="00A1785F"/>
    <w:rsid w:val="00A17967"/>
    <w:rsid w:val="00A179DC"/>
    <w:rsid w:val="00A17E19"/>
    <w:rsid w:val="00A17E90"/>
    <w:rsid w:val="00A20001"/>
    <w:rsid w:val="00A20018"/>
    <w:rsid w:val="00A200CF"/>
    <w:rsid w:val="00A200F4"/>
    <w:rsid w:val="00A20109"/>
    <w:rsid w:val="00A20234"/>
    <w:rsid w:val="00A2031A"/>
    <w:rsid w:val="00A204F7"/>
    <w:rsid w:val="00A205E5"/>
    <w:rsid w:val="00A206C9"/>
    <w:rsid w:val="00A2082A"/>
    <w:rsid w:val="00A20912"/>
    <w:rsid w:val="00A209D9"/>
    <w:rsid w:val="00A20C27"/>
    <w:rsid w:val="00A20CF1"/>
    <w:rsid w:val="00A20E7D"/>
    <w:rsid w:val="00A20FAA"/>
    <w:rsid w:val="00A2120B"/>
    <w:rsid w:val="00A2121E"/>
    <w:rsid w:val="00A21314"/>
    <w:rsid w:val="00A214B1"/>
    <w:rsid w:val="00A216BC"/>
    <w:rsid w:val="00A216CA"/>
    <w:rsid w:val="00A21C76"/>
    <w:rsid w:val="00A21CF8"/>
    <w:rsid w:val="00A21DE4"/>
    <w:rsid w:val="00A21ED1"/>
    <w:rsid w:val="00A220DC"/>
    <w:rsid w:val="00A2260A"/>
    <w:rsid w:val="00A2265F"/>
    <w:rsid w:val="00A2278B"/>
    <w:rsid w:val="00A22844"/>
    <w:rsid w:val="00A228F3"/>
    <w:rsid w:val="00A22A88"/>
    <w:rsid w:val="00A22A90"/>
    <w:rsid w:val="00A22B74"/>
    <w:rsid w:val="00A22BB6"/>
    <w:rsid w:val="00A230EE"/>
    <w:rsid w:val="00A231C2"/>
    <w:rsid w:val="00A2330A"/>
    <w:rsid w:val="00A233F3"/>
    <w:rsid w:val="00A235E0"/>
    <w:rsid w:val="00A23883"/>
    <w:rsid w:val="00A23931"/>
    <w:rsid w:val="00A23FB3"/>
    <w:rsid w:val="00A23FD6"/>
    <w:rsid w:val="00A242E4"/>
    <w:rsid w:val="00A2431F"/>
    <w:rsid w:val="00A243C9"/>
    <w:rsid w:val="00A2448F"/>
    <w:rsid w:val="00A24558"/>
    <w:rsid w:val="00A2469B"/>
    <w:rsid w:val="00A247DA"/>
    <w:rsid w:val="00A248CB"/>
    <w:rsid w:val="00A24D29"/>
    <w:rsid w:val="00A24EBB"/>
    <w:rsid w:val="00A24F93"/>
    <w:rsid w:val="00A25145"/>
    <w:rsid w:val="00A251DF"/>
    <w:rsid w:val="00A25203"/>
    <w:rsid w:val="00A252AB"/>
    <w:rsid w:val="00A25317"/>
    <w:rsid w:val="00A2553B"/>
    <w:rsid w:val="00A25631"/>
    <w:rsid w:val="00A25706"/>
    <w:rsid w:val="00A25863"/>
    <w:rsid w:val="00A25887"/>
    <w:rsid w:val="00A25CC2"/>
    <w:rsid w:val="00A25CEF"/>
    <w:rsid w:val="00A25D84"/>
    <w:rsid w:val="00A25E8D"/>
    <w:rsid w:val="00A25EE5"/>
    <w:rsid w:val="00A25F2B"/>
    <w:rsid w:val="00A26029"/>
    <w:rsid w:val="00A26261"/>
    <w:rsid w:val="00A262D8"/>
    <w:rsid w:val="00A262E4"/>
    <w:rsid w:val="00A265B4"/>
    <w:rsid w:val="00A265C9"/>
    <w:rsid w:val="00A2667B"/>
    <w:rsid w:val="00A2689D"/>
    <w:rsid w:val="00A268EA"/>
    <w:rsid w:val="00A26926"/>
    <w:rsid w:val="00A269C6"/>
    <w:rsid w:val="00A269DC"/>
    <w:rsid w:val="00A26C98"/>
    <w:rsid w:val="00A26D21"/>
    <w:rsid w:val="00A26DA8"/>
    <w:rsid w:val="00A26ECC"/>
    <w:rsid w:val="00A27187"/>
    <w:rsid w:val="00A271EA"/>
    <w:rsid w:val="00A27228"/>
    <w:rsid w:val="00A27326"/>
    <w:rsid w:val="00A27510"/>
    <w:rsid w:val="00A2755C"/>
    <w:rsid w:val="00A27578"/>
    <w:rsid w:val="00A27672"/>
    <w:rsid w:val="00A27757"/>
    <w:rsid w:val="00A27761"/>
    <w:rsid w:val="00A27801"/>
    <w:rsid w:val="00A279D0"/>
    <w:rsid w:val="00A27A17"/>
    <w:rsid w:val="00A27A99"/>
    <w:rsid w:val="00A27B95"/>
    <w:rsid w:val="00A27CBF"/>
    <w:rsid w:val="00A27D8D"/>
    <w:rsid w:val="00A27DCA"/>
    <w:rsid w:val="00A27E9A"/>
    <w:rsid w:val="00A27F72"/>
    <w:rsid w:val="00A30069"/>
    <w:rsid w:val="00A30079"/>
    <w:rsid w:val="00A30128"/>
    <w:rsid w:val="00A302B6"/>
    <w:rsid w:val="00A30347"/>
    <w:rsid w:val="00A30562"/>
    <w:rsid w:val="00A30681"/>
    <w:rsid w:val="00A30692"/>
    <w:rsid w:val="00A30725"/>
    <w:rsid w:val="00A307AB"/>
    <w:rsid w:val="00A3094E"/>
    <w:rsid w:val="00A30950"/>
    <w:rsid w:val="00A312AD"/>
    <w:rsid w:val="00A31957"/>
    <w:rsid w:val="00A31C77"/>
    <w:rsid w:val="00A31CAA"/>
    <w:rsid w:val="00A31CE0"/>
    <w:rsid w:val="00A31DDC"/>
    <w:rsid w:val="00A31F61"/>
    <w:rsid w:val="00A31FA0"/>
    <w:rsid w:val="00A31FA9"/>
    <w:rsid w:val="00A31FCA"/>
    <w:rsid w:val="00A3238B"/>
    <w:rsid w:val="00A325F6"/>
    <w:rsid w:val="00A327C6"/>
    <w:rsid w:val="00A3288A"/>
    <w:rsid w:val="00A328A8"/>
    <w:rsid w:val="00A328BF"/>
    <w:rsid w:val="00A329BF"/>
    <w:rsid w:val="00A32AEA"/>
    <w:rsid w:val="00A32C48"/>
    <w:rsid w:val="00A32DBF"/>
    <w:rsid w:val="00A32DE5"/>
    <w:rsid w:val="00A32EC3"/>
    <w:rsid w:val="00A331D8"/>
    <w:rsid w:val="00A3339A"/>
    <w:rsid w:val="00A333BF"/>
    <w:rsid w:val="00A33411"/>
    <w:rsid w:val="00A33441"/>
    <w:rsid w:val="00A334F7"/>
    <w:rsid w:val="00A3359F"/>
    <w:rsid w:val="00A33825"/>
    <w:rsid w:val="00A3398F"/>
    <w:rsid w:val="00A33A55"/>
    <w:rsid w:val="00A33B4F"/>
    <w:rsid w:val="00A33C27"/>
    <w:rsid w:val="00A33C69"/>
    <w:rsid w:val="00A33D14"/>
    <w:rsid w:val="00A33DF1"/>
    <w:rsid w:val="00A3409D"/>
    <w:rsid w:val="00A34144"/>
    <w:rsid w:val="00A3426B"/>
    <w:rsid w:val="00A3429F"/>
    <w:rsid w:val="00A343AF"/>
    <w:rsid w:val="00A34721"/>
    <w:rsid w:val="00A3472F"/>
    <w:rsid w:val="00A3474F"/>
    <w:rsid w:val="00A347FC"/>
    <w:rsid w:val="00A34830"/>
    <w:rsid w:val="00A3501D"/>
    <w:rsid w:val="00A3509B"/>
    <w:rsid w:val="00A35121"/>
    <w:rsid w:val="00A351FD"/>
    <w:rsid w:val="00A352BF"/>
    <w:rsid w:val="00A3531F"/>
    <w:rsid w:val="00A35366"/>
    <w:rsid w:val="00A354D3"/>
    <w:rsid w:val="00A35583"/>
    <w:rsid w:val="00A35594"/>
    <w:rsid w:val="00A355CD"/>
    <w:rsid w:val="00A35707"/>
    <w:rsid w:val="00A3582B"/>
    <w:rsid w:val="00A359E7"/>
    <w:rsid w:val="00A35AE9"/>
    <w:rsid w:val="00A35DE5"/>
    <w:rsid w:val="00A35E3A"/>
    <w:rsid w:val="00A35EF2"/>
    <w:rsid w:val="00A35FFB"/>
    <w:rsid w:val="00A360AE"/>
    <w:rsid w:val="00A3622E"/>
    <w:rsid w:val="00A36287"/>
    <w:rsid w:val="00A363EF"/>
    <w:rsid w:val="00A36403"/>
    <w:rsid w:val="00A3644D"/>
    <w:rsid w:val="00A3644F"/>
    <w:rsid w:val="00A36493"/>
    <w:rsid w:val="00A364B1"/>
    <w:rsid w:val="00A36506"/>
    <w:rsid w:val="00A36717"/>
    <w:rsid w:val="00A36775"/>
    <w:rsid w:val="00A36831"/>
    <w:rsid w:val="00A36942"/>
    <w:rsid w:val="00A369EE"/>
    <w:rsid w:val="00A36C08"/>
    <w:rsid w:val="00A36C0E"/>
    <w:rsid w:val="00A36D93"/>
    <w:rsid w:val="00A36D9D"/>
    <w:rsid w:val="00A36DFE"/>
    <w:rsid w:val="00A370FD"/>
    <w:rsid w:val="00A3712D"/>
    <w:rsid w:val="00A3723A"/>
    <w:rsid w:val="00A37323"/>
    <w:rsid w:val="00A37435"/>
    <w:rsid w:val="00A3758A"/>
    <w:rsid w:val="00A375A7"/>
    <w:rsid w:val="00A376AB"/>
    <w:rsid w:val="00A37769"/>
    <w:rsid w:val="00A377D0"/>
    <w:rsid w:val="00A3782B"/>
    <w:rsid w:val="00A3798C"/>
    <w:rsid w:val="00A379D9"/>
    <w:rsid w:val="00A37DD9"/>
    <w:rsid w:val="00A37FE9"/>
    <w:rsid w:val="00A37FF9"/>
    <w:rsid w:val="00A400BC"/>
    <w:rsid w:val="00A403E2"/>
    <w:rsid w:val="00A40574"/>
    <w:rsid w:val="00A407D8"/>
    <w:rsid w:val="00A40869"/>
    <w:rsid w:val="00A40A98"/>
    <w:rsid w:val="00A40ABC"/>
    <w:rsid w:val="00A40B57"/>
    <w:rsid w:val="00A40CFE"/>
    <w:rsid w:val="00A40D4E"/>
    <w:rsid w:val="00A40DD0"/>
    <w:rsid w:val="00A40ED7"/>
    <w:rsid w:val="00A40F83"/>
    <w:rsid w:val="00A40F9B"/>
    <w:rsid w:val="00A40FA2"/>
    <w:rsid w:val="00A412B4"/>
    <w:rsid w:val="00A412BA"/>
    <w:rsid w:val="00A41329"/>
    <w:rsid w:val="00A41416"/>
    <w:rsid w:val="00A414D2"/>
    <w:rsid w:val="00A4163C"/>
    <w:rsid w:val="00A41873"/>
    <w:rsid w:val="00A41878"/>
    <w:rsid w:val="00A4188D"/>
    <w:rsid w:val="00A418DB"/>
    <w:rsid w:val="00A41935"/>
    <w:rsid w:val="00A41979"/>
    <w:rsid w:val="00A41B3A"/>
    <w:rsid w:val="00A41BA6"/>
    <w:rsid w:val="00A41EE0"/>
    <w:rsid w:val="00A4200D"/>
    <w:rsid w:val="00A420FE"/>
    <w:rsid w:val="00A423B2"/>
    <w:rsid w:val="00A424BF"/>
    <w:rsid w:val="00A4258E"/>
    <w:rsid w:val="00A42624"/>
    <w:rsid w:val="00A42812"/>
    <w:rsid w:val="00A429BC"/>
    <w:rsid w:val="00A429BD"/>
    <w:rsid w:val="00A42BD0"/>
    <w:rsid w:val="00A43006"/>
    <w:rsid w:val="00A43167"/>
    <w:rsid w:val="00A431A3"/>
    <w:rsid w:val="00A43252"/>
    <w:rsid w:val="00A432D1"/>
    <w:rsid w:val="00A4339E"/>
    <w:rsid w:val="00A43484"/>
    <w:rsid w:val="00A43517"/>
    <w:rsid w:val="00A43716"/>
    <w:rsid w:val="00A4399F"/>
    <w:rsid w:val="00A439E1"/>
    <w:rsid w:val="00A43B47"/>
    <w:rsid w:val="00A43BA9"/>
    <w:rsid w:val="00A43BBD"/>
    <w:rsid w:val="00A43C22"/>
    <w:rsid w:val="00A43E30"/>
    <w:rsid w:val="00A43F86"/>
    <w:rsid w:val="00A43FB7"/>
    <w:rsid w:val="00A4403A"/>
    <w:rsid w:val="00A44047"/>
    <w:rsid w:val="00A44051"/>
    <w:rsid w:val="00A440C9"/>
    <w:rsid w:val="00A442A2"/>
    <w:rsid w:val="00A442C5"/>
    <w:rsid w:val="00A44456"/>
    <w:rsid w:val="00A445F4"/>
    <w:rsid w:val="00A44667"/>
    <w:rsid w:val="00A44712"/>
    <w:rsid w:val="00A44737"/>
    <w:rsid w:val="00A44757"/>
    <w:rsid w:val="00A44884"/>
    <w:rsid w:val="00A44969"/>
    <w:rsid w:val="00A449DE"/>
    <w:rsid w:val="00A44AF5"/>
    <w:rsid w:val="00A44AFD"/>
    <w:rsid w:val="00A44B0C"/>
    <w:rsid w:val="00A44B65"/>
    <w:rsid w:val="00A44B8B"/>
    <w:rsid w:val="00A44BB4"/>
    <w:rsid w:val="00A44DF4"/>
    <w:rsid w:val="00A44EFA"/>
    <w:rsid w:val="00A45085"/>
    <w:rsid w:val="00A450AF"/>
    <w:rsid w:val="00A453CD"/>
    <w:rsid w:val="00A45447"/>
    <w:rsid w:val="00A45458"/>
    <w:rsid w:val="00A4548C"/>
    <w:rsid w:val="00A45560"/>
    <w:rsid w:val="00A4577C"/>
    <w:rsid w:val="00A457A6"/>
    <w:rsid w:val="00A45A01"/>
    <w:rsid w:val="00A45A36"/>
    <w:rsid w:val="00A45AD5"/>
    <w:rsid w:val="00A45DC7"/>
    <w:rsid w:val="00A45EC4"/>
    <w:rsid w:val="00A4625E"/>
    <w:rsid w:val="00A464B4"/>
    <w:rsid w:val="00A4664A"/>
    <w:rsid w:val="00A46726"/>
    <w:rsid w:val="00A4679E"/>
    <w:rsid w:val="00A46950"/>
    <w:rsid w:val="00A469F8"/>
    <w:rsid w:val="00A46A44"/>
    <w:rsid w:val="00A46A97"/>
    <w:rsid w:val="00A46AFD"/>
    <w:rsid w:val="00A46BC1"/>
    <w:rsid w:val="00A47029"/>
    <w:rsid w:val="00A47060"/>
    <w:rsid w:val="00A4707C"/>
    <w:rsid w:val="00A47191"/>
    <w:rsid w:val="00A47212"/>
    <w:rsid w:val="00A4744C"/>
    <w:rsid w:val="00A474CF"/>
    <w:rsid w:val="00A474EA"/>
    <w:rsid w:val="00A47666"/>
    <w:rsid w:val="00A476C9"/>
    <w:rsid w:val="00A47813"/>
    <w:rsid w:val="00A47CE6"/>
    <w:rsid w:val="00A47D7F"/>
    <w:rsid w:val="00A5008E"/>
    <w:rsid w:val="00A501B2"/>
    <w:rsid w:val="00A5034A"/>
    <w:rsid w:val="00A5060A"/>
    <w:rsid w:val="00A50853"/>
    <w:rsid w:val="00A5097D"/>
    <w:rsid w:val="00A50A30"/>
    <w:rsid w:val="00A50C68"/>
    <w:rsid w:val="00A50EE3"/>
    <w:rsid w:val="00A50F2A"/>
    <w:rsid w:val="00A50FFA"/>
    <w:rsid w:val="00A51205"/>
    <w:rsid w:val="00A514E8"/>
    <w:rsid w:val="00A51563"/>
    <w:rsid w:val="00A516E8"/>
    <w:rsid w:val="00A518E1"/>
    <w:rsid w:val="00A5197F"/>
    <w:rsid w:val="00A519D9"/>
    <w:rsid w:val="00A51AFD"/>
    <w:rsid w:val="00A51B93"/>
    <w:rsid w:val="00A51BB0"/>
    <w:rsid w:val="00A51BB9"/>
    <w:rsid w:val="00A51DCC"/>
    <w:rsid w:val="00A51E0F"/>
    <w:rsid w:val="00A51E77"/>
    <w:rsid w:val="00A51F1F"/>
    <w:rsid w:val="00A51FB7"/>
    <w:rsid w:val="00A52075"/>
    <w:rsid w:val="00A5217E"/>
    <w:rsid w:val="00A521D7"/>
    <w:rsid w:val="00A52261"/>
    <w:rsid w:val="00A522B1"/>
    <w:rsid w:val="00A52301"/>
    <w:rsid w:val="00A52478"/>
    <w:rsid w:val="00A524C9"/>
    <w:rsid w:val="00A5253F"/>
    <w:rsid w:val="00A52764"/>
    <w:rsid w:val="00A527AC"/>
    <w:rsid w:val="00A52892"/>
    <w:rsid w:val="00A529EF"/>
    <w:rsid w:val="00A52B19"/>
    <w:rsid w:val="00A52BF2"/>
    <w:rsid w:val="00A52BFC"/>
    <w:rsid w:val="00A52D3C"/>
    <w:rsid w:val="00A52EAA"/>
    <w:rsid w:val="00A52F39"/>
    <w:rsid w:val="00A52F4B"/>
    <w:rsid w:val="00A52F78"/>
    <w:rsid w:val="00A52FDD"/>
    <w:rsid w:val="00A53165"/>
    <w:rsid w:val="00A53386"/>
    <w:rsid w:val="00A53423"/>
    <w:rsid w:val="00A534C1"/>
    <w:rsid w:val="00A534DF"/>
    <w:rsid w:val="00A5369D"/>
    <w:rsid w:val="00A5370D"/>
    <w:rsid w:val="00A53751"/>
    <w:rsid w:val="00A5377E"/>
    <w:rsid w:val="00A53904"/>
    <w:rsid w:val="00A539D1"/>
    <w:rsid w:val="00A53A71"/>
    <w:rsid w:val="00A53A83"/>
    <w:rsid w:val="00A53B4A"/>
    <w:rsid w:val="00A53C4E"/>
    <w:rsid w:val="00A53CBC"/>
    <w:rsid w:val="00A53D2A"/>
    <w:rsid w:val="00A54133"/>
    <w:rsid w:val="00A541F0"/>
    <w:rsid w:val="00A5422A"/>
    <w:rsid w:val="00A54327"/>
    <w:rsid w:val="00A54349"/>
    <w:rsid w:val="00A5447E"/>
    <w:rsid w:val="00A546CE"/>
    <w:rsid w:val="00A54742"/>
    <w:rsid w:val="00A5498B"/>
    <w:rsid w:val="00A54B91"/>
    <w:rsid w:val="00A54BB1"/>
    <w:rsid w:val="00A54C03"/>
    <w:rsid w:val="00A54D81"/>
    <w:rsid w:val="00A54DAE"/>
    <w:rsid w:val="00A54E1F"/>
    <w:rsid w:val="00A54EA0"/>
    <w:rsid w:val="00A5500D"/>
    <w:rsid w:val="00A55084"/>
    <w:rsid w:val="00A55149"/>
    <w:rsid w:val="00A55280"/>
    <w:rsid w:val="00A55289"/>
    <w:rsid w:val="00A555D9"/>
    <w:rsid w:val="00A55754"/>
    <w:rsid w:val="00A55D1B"/>
    <w:rsid w:val="00A55DDE"/>
    <w:rsid w:val="00A55DFC"/>
    <w:rsid w:val="00A56037"/>
    <w:rsid w:val="00A561FD"/>
    <w:rsid w:val="00A56438"/>
    <w:rsid w:val="00A5644D"/>
    <w:rsid w:val="00A56732"/>
    <w:rsid w:val="00A5673F"/>
    <w:rsid w:val="00A568F6"/>
    <w:rsid w:val="00A56CC5"/>
    <w:rsid w:val="00A56D3B"/>
    <w:rsid w:val="00A56E3D"/>
    <w:rsid w:val="00A57262"/>
    <w:rsid w:val="00A57330"/>
    <w:rsid w:val="00A573C9"/>
    <w:rsid w:val="00A573D4"/>
    <w:rsid w:val="00A57450"/>
    <w:rsid w:val="00A57479"/>
    <w:rsid w:val="00A5769C"/>
    <w:rsid w:val="00A579B6"/>
    <w:rsid w:val="00A579E7"/>
    <w:rsid w:val="00A57A04"/>
    <w:rsid w:val="00A57C08"/>
    <w:rsid w:val="00A600D9"/>
    <w:rsid w:val="00A600EE"/>
    <w:rsid w:val="00A60102"/>
    <w:rsid w:val="00A60118"/>
    <w:rsid w:val="00A6026A"/>
    <w:rsid w:val="00A6029F"/>
    <w:rsid w:val="00A6038B"/>
    <w:rsid w:val="00A604CD"/>
    <w:rsid w:val="00A60612"/>
    <w:rsid w:val="00A606A5"/>
    <w:rsid w:val="00A606C0"/>
    <w:rsid w:val="00A6073F"/>
    <w:rsid w:val="00A6084E"/>
    <w:rsid w:val="00A60B6F"/>
    <w:rsid w:val="00A60BCC"/>
    <w:rsid w:val="00A60CD9"/>
    <w:rsid w:val="00A60D1E"/>
    <w:rsid w:val="00A60F1D"/>
    <w:rsid w:val="00A60F57"/>
    <w:rsid w:val="00A60FC3"/>
    <w:rsid w:val="00A6114F"/>
    <w:rsid w:val="00A6117B"/>
    <w:rsid w:val="00A61208"/>
    <w:rsid w:val="00A614E8"/>
    <w:rsid w:val="00A61556"/>
    <w:rsid w:val="00A618B3"/>
    <w:rsid w:val="00A6199E"/>
    <w:rsid w:val="00A61A23"/>
    <w:rsid w:val="00A61B78"/>
    <w:rsid w:val="00A61D50"/>
    <w:rsid w:val="00A61DA7"/>
    <w:rsid w:val="00A61E02"/>
    <w:rsid w:val="00A621D9"/>
    <w:rsid w:val="00A621E1"/>
    <w:rsid w:val="00A623B2"/>
    <w:rsid w:val="00A625ED"/>
    <w:rsid w:val="00A6270B"/>
    <w:rsid w:val="00A629A1"/>
    <w:rsid w:val="00A62AC2"/>
    <w:rsid w:val="00A62BEE"/>
    <w:rsid w:val="00A62D3C"/>
    <w:rsid w:val="00A62EA4"/>
    <w:rsid w:val="00A62EE5"/>
    <w:rsid w:val="00A62F06"/>
    <w:rsid w:val="00A6357E"/>
    <w:rsid w:val="00A6375F"/>
    <w:rsid w:val="00A637A0"/>
    <w:rsid w:val="00A637D4"/>
    <w:rsid w:val="00A63BEC"/>
    <w:rsid w:val="00A63C4F"/>
    <w:rsid w:val="00A63D20"/>
    <w:rsid w:val="00A63E66"/>
    <w:rsid w:val="00A63EAC"/>
    <w:rsid w:val="00A63ECD"/>
    <w:rsid w:val="00A64033"/>
    <w:rsid w:val="00A64093"/>
    <w:rsid w:val="00A640EB"/>
    <w:rsid w:val="00A64680"/>
    <w:rsid w:val="00A64815"/>
    <w:rsid w:val="00A64918"/>
    <w:rsid w:val="00A64A53"/>
    <w:rsid w:val="00A64DB0"/>
    <w:rsid w:val="00A65043"/>
    <w:rsid w:val="00A653F6"/>
    <w:rsid w:val="00A65439"/>
    <w:rsid w:val="00A655B4"/>
    <w:rsid w:val="00A6565E"/>
    <w:rsid w:val="00A6578F"/>
    <w:rsid w:val="00A657E5"/>
    <w:rsid w:val="00A65888"/>
    <w:rsid w:val="00A658D8"/>
    <w:rsid w:val="00A65DE1"/>
    <w:rsid w:val="00A65E0B"/>
    <w:rsid w:val="00A65EF1"/>
    <w:rsid w:val="00A65FF0"/>
    <w:rsid w:val="00A66010"/>
    <w:rsid w:val="00A6620D"/>
    <w:rsid w:val="00A66230"/>
    <w:rsid w:val="00A662E4"/>
    <w:rsid w:val="00A66505"/>
    <w:rsid w:val="00A66B50"/>
    <w:rsid w:val="00A66C2D"/>
    <w:rsid w:val="00A66DF9"/>
    <w:rsid w:val="00A67090"/>
    <w:rsid w:val="00A67103"/>
    <w:rsid w:val="00A6727D"/>
    <w:rsid w:val="00A6742F"/>
    <w:rsid w:val="00A67512"/>
    <w:rsid w:val="00A6756B"/>
    <w:rsid w:val="00A6758F"/>
    <w:rsid w:val="00A6762B"/>
    <w:rsid w:val="00A67673"/>
    <w:rsid w:val="00A67870"/>
    <w:rsid w:val="00A67874"/>
    <w:rsid w:val="00A67936"/>
    <w:rsid w:val="00A67995"/>
    <w:rsid w:val="00A67A6B"/>
    <w:rsid w:val="00A67A9F"/>
    <w:rsid w:val="00A67B68"/>
    <w:rsid w:val="00A67D20"/>
    <w:rsid w:val="00A67D40"/>
    <w:rsid w:val="00A67E72"/>
    <w:rsid w:val="00A700F0"/>
    <w:rsid w:val="00A702A4"/>
    <w:rsid w:val="00A7034B"/>
    <w:rsid w:val="00A70378"/>
    <w:rsid w:val="00A704E4"/>
    <w:rsid w:val="00A707BF"/>
    <w:rsid w:val="00A707E3"/>
    <w:rsid w:val="00A70948"/>
    <w:rsid w:val="00A70C74"/>
    <w:rsid w:val="00A70D96"/>
    <w:rsid w:val="00A70DD6"/>
    <w:rsid w:val="00A70E2B"/>
    <w:rsid w:val="00A71017"/>
    <w:rsid w:val="00A7107C"/>
    <w:rsid w:val="00A710AA"/>
    <w:rsid w:val="00A7118B"/>
    <w:rsid w:val="00A711FE"/>
    <w:rsid w:val="00A71304"/>
    <w:rsid w:val="00A7136A"/>
    <w:rsid w:val="00A714EF"/>
    <w:rsid w:val="00A71648"/>
    <w:rsid w:val="00A71957"/>
    <w:rsid w:val="00A71A66"/>
    <w:rsid w:val="00A71C44"/>
    <w:rsid w:val="00A71CDF"/>
    <w:rsid w:val="00A71D40"/>
    <w:rsid w:val="00A71EB9"/>
    <w:rsid w:val="00A72082"/>
    <w:rsid w:val="00A72171"/>
    <w:rsid w:val="00A7226E"/>
    <w:rsid w:val="00A72296"/>
    <w:rsid w:val="00A72387"/>
    <w:rsid w:val="00A72718"/>
    <w:rsid w:val="00A72764"/>
    <w:rsid w:val="00A727FA"/>
    <w:rsid w:val="00A72922"/>
    <w:rsid w:val="00A7294D"/>
    <w:rsid w:val="00A72BED"/>
    <w:rsid w:val="00A72CE8"/>
    <w:rsid w:val="00A7304E"/>
    <w:rsid w:val="00A7305E"/>
    <w:rsid w:val="00A7305F"/>
    <w:rsid w:val="00A731E0"/>
    <w:rsid w:val="00A732EE"/>
    <w:rsid w:val="00A732FA"/>
    <w:rsid w:val="00A73471"/>
    <w:rsid w:val="00A734B3"/>
    <w:rsid w:val="00A73675"/>
    <w:rsid w:val="00A736D5"/>
    <w:rsid w:val="00A73746"/>
    <w:rsid w:val="00A7388E"/>
    <w:rsid w:val="00A73976"/>
    <w:rsid w:val="00A739A5"/>
    <w:rsid w:val="00A73B34"/>
    <w:rsid w:val="00A73C77"/>
    <w:rsid w:val="00A73E64"/>
    <w:rsid w:val="00A73E6D"/>
    <w:rsid w:val="00A73EFD"/>
    <w:rsid w:val="00A73F43"/>
    <w:rsid w:val="00A73FBC"/>
    <w:rsid w:val="00A7406C"/>
    <w:rsid w:val="00A740C1"/>
    <w:rsid w:val="00A74225"/>
    <w:rsid w:val="00A742C0"/>
    <w:rsid w:val="00A74315"/>
    <w:rsid w:val="00A743C7"/>
    <w:rsid w:val="00A744F1"/>
    <w:rsid w:val="00A7452A"/>
    <w:rsid w:val="00A74544"/>
    <w:rsid w:val="00A74548"/>
    <w:rsid w:val="00A7456F"/>
    <w:rsid w:val="00A74A8C"/>
    <w:rsid w:val="00A74C6E"/>
    <w:rsid w:val="00A74DF2"/>
    <w:rsid w:val="00A74E06"/>
    <w:rsid w:val="00A74E4D"/>
    <w:rsid w:val="00A74EB8"/>
    <w:rsid w:val="00A7570F"/>
    <w:rsid w:val="00A7592E"/>
    <w:rsid w:val="00A75B54"/>
    <w:rsid w:val="00A76260"/>
    <w:rsid w:val="00A762C0"/>
    <w:rsid w:val="00A76345"/>
    <w:rsid w:val="00A76462"/>
    <w:rsid w:val="00A764DB"/>
    <w:rsid w:val="00A76702"/>
    <w:rsid w:val="00A76819"/>
    <w:rsid w:val="00A76903"/>
    <w:rsid w:val="00A7691E"/>
    <w:rsid w:val="00A769F8"/>
    <w:rsid w:val="00A76B1F"/>
    <w:rsid w:val="00A76C1F"/>
    <w:rsid w:val="00A76C4F"/>
    <w:rsid w:val="00A76C53"/>
    <w:rsid w:val="00A76ECA"/>
    <w:rsid w:val="00A771E0"/>
    <w:rsid w:val="00A7720D"/>
    <w:rsid w:val="00A77449"/>
    <w:rsid w:val="00A77556"/>
    <w:rsid w:val="00A7759C"/>
    <w:rsid w:val="00A77609"/>
    <w:rsid w:val="00A777EF"/>
    <w:rsid w:val="00A77B76"/>
    <w:rsid w:val="00A77C87"/>
    <w:rsid w:val="00A77DE7"/>
    <w:rsid w:val="00A77EEE"/>
    <w:rsid w:val="00A80277"/>
    <w:rsid w:val="00A8033F"/>
    <w:rsid w:val="00A8037F"/>
    <w:rsid w:val="00A803CD"/>
    <w:rsid w:val="00A803FC"/>
    <w:rsid w:val="00A80417"/>
    <w:rsid w:val="00A8071A"/>
    <w:rsid w:val="00A808B7"/>
    <w:rsid w:val="00A80972"/>
    <w:rsid w:val="00A80B02"/>
    <w:rsid w:val="00A80D93"/>
    <w:rsid w:val="00A80DD9"/>
    <w:rsid w:val="00A80DE5"/>
    <w:rsid w:val="00A80DFB"/>
    <w:rsid w:val="00A80F40"/>
    <w:rsid w:val="00A80F48"/>
    <w:rsid w:val="00A80FB1"/>
    <w:rsid w:val="00A80FB4"/>
    <w:rsid w:val="00A80FCA"/>
    <w:rsid w:val="00A81162"/>
    <w:rsid w:val="00A81433"/>
    <w:rsid w:val="00A81528"/>
    <w:rsid w:val="00A8152F"/>
    <w:rsid w:val="00A815B9"/>
    <w:rsid w:val="00A8194E"/>
    <w:rsid w:val="00A81ADE"/>
    <w:rsid w:val="00A81B19"/>
    <w:rsid w:val="00A81C22"/>
    <w:rsid w:val="00A81CBC"/>
    <w:rsid w:val="00A81DD6"/>
    <w:rsid w:val="00A81DEA"/>
    <w:rsid w:val="00A82095"/>
    <w:rsid w:val="00A820C4"/>
    <w:rsid w:val="00A822E3"/>
    <w:rsid w:val="00A82305"/>
    <w:rsid w:val="00A823B5"/>
    <w:rsid w:val="00A82506"/>
    <w:rsid w:val="00A82690"/>
    <w:rsid w:val="00A82A9A"/>
    <w:rsid w:val="00A82ADE"/>
    <w:rsid w:val="00A82B22"/>
    <w:rsid w:val="00A82BA3"/>
    <w:rsid w:val="00A82F1D"/>
    <w:rsid w:val="00A830A3"/>
    <w:rsid w:val="00A831C6"/>
    <w:rsid w:val="00A833BD"/>
    <w:rsid w:val="00A8357F"/>
    <w:rsid w:val="00A835C5"/>
    <w:rsid w:val="00A8360E"/>
    <w:rsid w:val="00A83699"/>
    <w:rsid w:val="00A83797"/>
    <w:rsid w:val="00A837CE"/>
    <w:rsid w:val="00A838CC"/>
    <w:rsid w:val="00A83903"/>
    <w:rsid w:val="00A83A86"/>
    <w:rsid w:val="00A83AF1"/>
    <w:rsid w:val="00A83D48"/>
    <w:rsid w:val="00A83DB5"/>
    <w:rsid w:val="00A83FBA"/>
    <w:rsid w:val="00A84140"/>
    <w:rsid w:val="00A841F6"/>
    <w:rsid w:val="00A8431E"/>
    <w:rsid w:val="00A84330"/>
    <w:rsid w:val="00A843A0"/>
    <w:rsid w:val="00A843FB"/>
    <w:rsid w:val="00A84636"/>
    <w:rsid w:val="00A8495F"/>
    <w:rsid w:val="00A84B05"/>
    <w:rsid w:val="00A84FE1"/>
    <w:rsid w:val="00A85080"/>
    <w:rsid w:val="00A850C8"/>
    <w:rsid w:val="00A851EB"/>
    <w:rsid w:val="00A8523F"/>
    <w:rsid w:val="00A85363"/>
    <w:rsid w:val="00A8536C"/>
    <w:rsid w:val="00A858A8"/>
    <w:rsid w:val="00A85917"/>
    <w:rsid w:val="00A85994"/>
    <w:rsid w:val="00A859DC"/>
    <w:rsid w:val="00A85B39"/>
    <w:rsid w:val="00A85ED2"/>
    <w:rsid w:val="00A85EF3"/>
    <w:rsid w:val="00A85F2E"/>
    <w:rsid w:val="00A85F64"/>
    <w:rsid w:val="00A85F6B"/>
    <w:rsid w:val="00A8629D"/>
    <w:rsid w:val="00A862D1"/>
    <w:rsid w:val="00A863CE"/>
    <w:rsid w:val="00A86406"/>
    <w:rsid w:val="00A8651A"/>
    <w:rsid w:val="00A86603"/>
    <w:rsid w:val="00A86654"/>
    <w:rsid w:val="00A8674C"/>
    <w:rsid w:val="00A86778"/>
    <w:rsid w:val="00A86853"/>
    <w:rsid w:val="00A86A50"/>
    <w:rsid w:val="00A86AB7"/>
    <w:rsid w:val="00A86AF7"/>
    <w:rsid w:val="00A86B75"/>
    <w:rsid w:val="00A86CB1"/>
    <w:rsid w:val="00A86E75"/>
    <w:rsid w:val="00A86E83"/>
    <w:rsid w:val="00A86F33"/>
    <w:rsid w:val="00A86F50"/>
    <w:rsid w:val="00A86FFC"/>
    <w:rsid w:val="00A87323"/>
    <w:rsid w:val="00A87561"/>
    <w:rsid w:val="00A87B9A"/>
    <w:rsid w:val="00A87C1A"/>
    <w:rsid w:val="00A87C64"/>
    <w:rsid w:val="00A87CF5"/>
    <w:rsid w:val="00A87D01"/>
    <w:rsid w:val="00A87E2B"/>
    <w:rsid w:val="00A901D6"/>
    <w:rsid w:val="00A901FC"/>
    <w:rsid w:val="00A903F8"/>
    <w:rsid w:val="00A904A8"/>
    <w:rsid w:val="00A9055C"/>
    <w:rsid w:val="00A9065F"/>
    <w:rsid w:val="00A90664"/>
    <w:rsid w:val="00A907A8"/>
    <w:rsid w:val="00A90876"/>
    <w:rsid w:val="00A90884"/>
    <w:rsid w:val="00A90918"/>
    <w:rsid w:val="00A90A6D"/>
    <w:rsid w:val="00A90AF4"/>
    <w:rsid w:val="00A90B0E"/>
    <w:rsid w:val="00A90BE8"/>
    <w:rsid w:val="00A90D22"/>
    <w:rsid w:val="00A90EF5"/>
    <w:rsid w:val="00A90F26"/>
    <w:rsid w:val="00A91026"/>
    <w:rsid w:val="00A9111E"/>
    <w:rsid w:val="00A9153F"/>
    <w:rsid w:val="00A91554"/>
    <w:rsid w:val="00A915FC"/>
    <w:rsid w:val="00A9167D"/>
    <w:rsid w:val="00A91716"/>
    <w:rsid w:val="00A917DB"/>
    <w:rsid w:val="00A918F2"/>
    <w:rsid w:val="00A91902"/>
    <w:rsid w:val="00A91A8C"/>
    <w:rsid w:val="00A91AA1"/>
    <w:rsid w:val="00A91B55"/>
    <w:rsid w:val="00A91BDC"/>
    <w:rsid w:val="00A91C8C"/>
    <w:rsid w:val="00A91EEF"/>
    <w:rsid w:val="00A91F0D"/>
    <w:rsid w:val="00A9207A"/>
    <w:rsid w:val="00A92085"/>
    <w:rsid w:val="00A9211C"/>
    <w:rsid w:val="00A92160"/>
    <w:rsid w:val="00A922AA"/>
    <w:rsid w:val="00A92318"/>
    <w:rsid w:val="00A9235A"/>
    <w:rsid w:val="00A92384"/>
    <w:rsid w:val="00A923FA"/>
    <w:rsid w:val="00A9264D"/>
    <w:rsid w:val="00A92666"/>
    <w:rsid w:val="00A926FD"/>
    <w:rsid w:val="00A9270C"/>
    <w:rsid w:val="00A92961"/>
    <w:rsid w:val="00A92A64"/>
    <w:rsid w:val="00A92CD3"/>
    <w:rsid w:val="00A92CF8"/>
    <w:rsid w:val="00A92D68"/>
    <w:rsid w:val="00A92EAA"/>
    <w:rsid w:val="00A92F2D"/>
    <w:rsid w:val="00A92F5D"/>
    <w:rsid w:val="00A92FF7"/>
    <w:rsid w:val="00A93014"/>
    <w:rsid w:val="00A9303E"/>
    <w:rsid w:val="00A93069"/>
    <w:rsid w:val="00A93132"/>
    <w:rsid w:val="00A931A5"/>
    <w:rsid w:val="00A933AB"/>
    <w:rsid w:val="00A933B0"/>
    <w:rsid w:val="00A93594"/>
    <w:rsid w:val="00A93924"/>
    <w:rsid w:val="00A93ADF"/>
    <w:rsid w:val="00A93B07"/>
    <w:rsid w:val="00A93DC2"/>
    <w:rsid w:val="00A93F78"/>
    <w:rsid w:val="00A942FD"/>
    <w:rsid w:val="00A94353"/>
    <w:rsid w:val="00A94357"/>
    <w:rsid w:val="00A9447C"/>
    <w:rsid w:val="00A944A1"/>
    <w:rsid w:val="00A944E8"/>
    <w:rsid w:val="00A9468F"/>
    <w:rsid w:val="00A946A5"/>
    <w:rsid w:val="00A9474D"/>
    <w:rsid w:val="00A948AA"/>
    <w:rsid w:val="00A9498D"/>
    <w:rsid w:val="00A94A5B"/>
    <w:rsid w:val="00A94AFB"/>
    <w:rsid w:val="00A94B88"/>
    <w:rsid w:val="00A94C3E"/>
    <w:rsid w:val="00A94F02"/>
    <w:rsid w:val="00A94FBB"/>
    <w:rsid w:val="00A94FCA"/>
    <w:rsid w:val="00A95098"/>
    <w:rsid w:val="00A9512E"/>
    <w:rsid w:val="00A951CB"/>
    <w:rsid w:val="00A95335"/>
    <w:rsid w:val="00A953BC"/>
    <w:rsid w:val="00A953DC"/>
    <w:rsid w:val="00A9566B"/>
    <w:rsid w:val="00A95732"/>
    <w:rsid w:val="00A958A6"/>
    <w:rsid w:val="00A959E4"/>
    <w:rsid w:val="00A95A99"/>
    <w:rsid w:val="00A95BC3"/>
    <w:rsid w:val="00A95BF5"/>
    <w:rsid w:val="00A95EF1"/>
    <w:rsid w:val="00A95F19"/>
    <w:rsid w:val="00A96003"/>
    <w:rsid w:val="00A9604E"/>
    <w:rsid w:val="00A963F0"/>
    <w:rsid w:val="00A9640A"/>
    <w:rsid w:val="00A96430"/>
    <w:rsid w:val="00A9657F"/>
    <w:rsid w:val="00A965AF"/>
    <w:rsid w:val="00A96814"/>
    <w:rsid w:val="00A96830"/>
    <w:rsid w:val="00A968BB"/>
    <w:rsid w:val="00A968EA"/>
    <w:rsid w:val="00A96ACC"/>
    <w:rsid w:val="00A96B23"/>
    <w:rsid w:val="00A96BD6"/>
    <w:rsid w:val="00A96D4A"/>
    <w:rsid w:val="00A96E58"/>
    <w:rsid w:val="00A97298"/>
    <w:rsid w:val="00A97328"/>
    <w:rsid w:val="00A97357"/>
    <w:rsid w:val="00A9759D"/>
    <w:rsid w:val="00A97625"/>
    <w:rsid w:val="00A97692"/>
    <w:rsid w:val="00A9779E"/>
    <w:rsid w:val="00A977D7"/>
    <w:rsid w:val="00A9797D"/>
    <w:rsid w:val="00A979FB"/>
    <w:rsid w:val="00A97A38"/>
    <w:rsid w:val="00A97E30"/>
    <w:rsid w:val="00A97FD4"/>
    <w:rsid w:val="00AA015F"/>
    <w:rsid w:val="00AA020B"/>
    <w:rsid w:val="00AA04C5"/>
    <w:rsid w:val="00AA06D3"/>
    <w:rsid w:val="00AA06D6"/>
    <w:rsid w:val="00AA094F"/>
    <w:rsid w:val="00AA0B9C"/>
    <w:rsid w:val="00AA0C3A"/>
    <w:rsid w:val="00AA0CF5"/>
    <w:rsid w:val="00AA0EDE"/>
    <w:rsid w:val="00AA0F9E"/>
    <w:rsid w:val="00AA1077"/>
    <w:rsid w:val="00AA108F"/>
    <w:rsid w:val="00AA1342"/>
    <w:rsid w:val="00AA15CF"/>
    <w:rsid w:val="00AA1633"/>
    <w:rsid w:val="00AA1723"/>
    <w:rsid w:val="00AA190D"/>
    <w:rsid w:val="00AA1932"/>
    <w:rsid w:val="00AA1CEC"/>
    <w:rsid w:val="00AA1F23"/>
    <w:rsid w:val="00AA1F59"/>
    <w:rsid w:val="00AA1FDD"/>
    <w:rsid w:val="00AA1FFA"/>
    <w:rsid w:val="00AA2166"/>
    <w:rsid w:val="00AA218B"/>
    <w:rsid w:val="00AA2266"/>
    <w:rsid w:val="00AA22C3"/>
    <w:rsid w:val="00AA230D"/>
    <w:rsid w:val="00AA2391"/>
    <w:rsid w:val="00AA2397"/>
    <w:rsid w:val="00AA2791"/>
    <w:rsid w:val="00AA29CE"/>
    <w:rsid w:val="00AA2B01"/>
    <w:rsid w:val="00AA2D33"/>
    <w:rsid w:val="00AA2D5B"/>
    <w:rsid w:val="00AA2ED3"/>
    <w:rsid w:val="00AA2F82"/>
    <w:rsid w:val="00AA32EE"/>
    <w:rsid w:val="00AA3334"/>
    <w:rsid w:val="00AA347D"/>
    <w:rsid w:val="00AA35B7"/>
    <w:rsid w:val="00AA35C2"/>
    <w:rsid w:val="00AA36DB"/>
    <w:rsid w:val="00AA37F3"/>
    <w:rsid w:val="00AA3883"/>
    <w:rsid w:val="00AA39CA"/>
    <w:rsid w:val="00AA3A09"/>
    <w:rsid w:val="00AA3AE3"/>
    <w:rsid w:val="00AA3C2A"/>
    <w:rsid w:val="00AA3CF1"/>
    <w:rsid w:val="00AA3E76"/>
    <w:rsid w:val="00AA3F1F"/>
    <w:rsid w:val="00AA4111"/>
    <w:rsid w:val="00AA411A"/>
    <w:rsid w:val="00AA454C"/>
    <w:rsid w:val="00AA46B0"/>
    <w:rsid w:val="00AA483D"/>
    <w:rsid w:val="00AA4941"/>
    <w:rsid w:val="00AA498E"/>
    <w:rsid w:val="00AA49E9"/>
    <w:rsid w:val="00AA4B4B"/>
    <w:rsid w:val="00AA4F96"/>
    <w:rsid w:val="00AA50C1"/>
    <w:rsid w:val="00AA513F"/>
    <w:rsid w:val="00AA525F"/>
    <w:rsid w:val="00AA52D2"/>
    <w:rsid w:val="00AA52E3"/>
    <w:rsid w:val="00AA5475"/>
    <w:rsid w:val="00AA561E"/>
    <w:rsid w:val="00AA577F"/>
    <w:rsid w:val="00AA5876"/>
    <w:rsid w:val="00AA59A0"/>
    <w:rsid w:val="00AA59B7"/>
    <w:rsid w:val="00AA5C1D"/>
    <w:rsid w:val="00AA5DF2"/>
    <w:rsid w:val="00AA5E3E"/>
    <w:rsid w:val="00AA61C6"/>
    <w:rsid w:val="00AA6213"/>
    <w:rsid w:val="00AA656E"/>
    <w:rsid w:val="00AA67E0"/>
    <w:rsid w:val="00AA6812"/>
    <w:rsid w:val="00AA681C"/>
    <w:rsid w:val="00AA68F7"/>
    <w:rsid w:val="00AA6A8A"/>
    <w:rsid w:val="00AA6B81"/>
    <w:rsid w:val="00AA6DD8"/>
    <w:rsid w:val="00AA6FA3"/>
    <w:rsid w:val="00AA70BB"/>
    <w:rsid w:val="00AA7577"/>
    <w:rsid w:val="00AA757C"/>
    <w:rsid w:val="00AA767F"/>
    <w:rsid w:val="00AA76C9"/>
    <w:rsid w:val="00AA7A0E"/>
    <w:rsid w:val="00AA7B14"/>
    <w:rsid w:val="00AA7C4A"/>
    <w:rsid w:val="00AA7D70"/>
    <w:rsid w:val="00AA7DCD"/>
    <w:rsid w:val="00AA7F10"/>
    <w:rsid w:val="00AB0391"/>
    <w:rsid w:val="00AB039F"/>
    <w:rsid w:val="00AB03C8"/>
    <w:rsid w:val="00AB03D5"/>
    <w:rsid w:val="00AB0499"/>
    <w:rsid w:val="00AB04E1"/>
    <w:rsid w:val="00AB0931"/>
    <w:rsid w:val="00AB096D"/>
    <w:rsid w:val="00AB09E1"/>
    <w:rsid w:val="00AB0C25"/>
    <w:rsid w:val="00AB0C4A"/>
    <w:rsid w:val="00AB0C7F"/>
    <w:rsid w:val="00AB0DF0"/>
    <w:rsid w:val="00AB0E36"/>
    <w:rsid w:val="00AB0F58"/>
    <w:rsid w:val="00AB0FA4"/>
    <w:rsid w:val="00AB126B"/>
    <w:rsid w:val="00AB1338"/>
    <w:rsid w:val="00AB1508"/>
    <w:rsid w:val="00AB160F"/>
    <w:rsid w:val="00AB199A"/>
    <w:rsid w:val="00AB19B5"/>
    <w:rsid w:val="00AB1A45"/>
    <w:rsid w:val="00AB1B67"/>
    <w:rsid w:val="00AB1B72"/>
    <w:rsid w:val="00AB1CF9"/>
    <w:rsid w:val="00AB1E76"/>
    <w:rsid w:val="00AB2151"/>
    <w:rsid w:val="00AB2281"/>
    <w:rsid w:val="00AB23EA"/>
    <w:rsid w:val="00AB2425"/>
    <w:rsid w:val="00AB26E1"/>
    <w:rsid w:val="00AB2709"/>
    <w:rsid w:val="00AB2747"/>
    <w:rsid w:val="00AB2814"/>
    <w:rsid w:val="00AB2971"/>
    <w:rsid w:val="00AB2AF5"/>
    <w:rsid w:val="00AB2C59"/>
    <w:rsid w:val="00AB2C8A"/>
    <w:rsid w:val="00AB2CF6"/>
    <w:rsid w:val="00AB314F"/>
    <w:rsid w:val="00AB3177"/>
    <w:rsid w:val="00AB31E3"/>
    <w:rsid w:val="00AB31F6"/>
    <w:rsid w:val="00AB345D"/>
    <w:rsid w:val="00AB3548"/>
    <w:rsid w:val="00AB3559"/>
    <w:rsid w:val="00AB35DC"/>
    <w:rsid w:val="00AB38AA"/>
    <w:rsid w:val="00AB3A38"/>
    <w:rsid w:val="00AB3D76"/>
    <w:rsid w:val="00AB3E57"/>
    <w:rsid w:val="00AB3F2B"/>
    <w:rsid w:val="00AB3F4F"/>
    <w:rsid w:val="00AB3F6F"/>
    <w:rsid w:val="00AB41FB"/>
    <w:rsid w:val="00AB427D"/>
    <w:rsid w:val="00AB42A2"/>
    <w:rsid w:val="00AB42B6"/>
    <w:rsid w:val="00AB431F"/>
    <w:rsid w:val="00AB4453"/>
    <w:rsid w:val="00AB448D"/>
    <w:rsid w:val="00AB4599"/>
    <w:rsid w:val="00AB459F"/>
    <w:rsid w:val="00AB45C3"/>
    <w:rsid w:val="00AB461E"/>
    <w:rsid w:val="00AB465B"/>
    <w:rsid w:val="00AB4783"/>
    <w:rsid w:val="00AB47C9"/>
    <w:rsid w:val="00AB4B03"/>
    <w:rsid w:val="00AB4B40"/>
    <w:rsid w:val="00AB4B50"/>
    <w:rsid w:val="00AB4B67"/>
    <w:rsid w:val="00AB4D67"/>
    <w:rsid w:val="00AB4E03"/>
    <w:rsid w:val="00AB4E1C"/>
    <w:rsid w:val="00AB4EE9"/>
    <w:rsid w:val="00AB5414"/>
    <w:rsid w:val="00AB545D"/>
    <w:rsid w:val="00AB54D7"/>
    <w:rsid w:val="00AB5621"/>
    <w:rsid w:val="00AB5669"/>
    <w:rsid w:val="00AB56BF"/>
    <w:rsid w:val="00AB575A"/>
    <w:rsid w:val="00AB57D3"/>
    <w:rsid w:val="00AB595E"/>
    <w:rsid w:val="00AB5964"/>
    <w:rsid w:val="00AB5B08"/>
    <w:rsid w:val="00AB5C22"/>
    <w:rsid w:val="00AB5D5D"/>
    <w:rsid w:val="00AB5D63"/>
    <w:rsid w:val="00AB60AC"/>
    <w:rsid w:val="00AB60F8"/>
    <w:rsid w:val="00AB61A5"/>
    <w:rsid w:val="00AB61A9"/>
    <w:rsid w:val="00AB61F3"/>
    <w:rsid w:val="00AB61FF"/>
    <w:rsid w:val="00AB647B"/>
    <w:rsid w:val="00AB6589"/>
    <w:rsid w:val="00AB6702"/>
    <w:rsid w:val="00AB67FC"/>
    <w:rsid w:val="00AB6886"/>
    <w:rsid w:val="00AB6A0A"/>
    <w:rsid w:val="00AB6AE4"/>
    <w:rsid w:val="00AB6E00"/>
    <w:rsid w:val="00AB6F37"/>
    <w:rsid w:val="00AB7045"/>
    <w:rsid w:val="00AB7113"/>
    <w:rsid w:val="00AB729E"/>
    <w:rsid w:val="00AB72CA"/>
    <w:rsid w:val="00AB737A"/>
    <w:rsid w:val="00AB7385"/>
    <w:rsid w:val="00AB7549"/>
    <w:rsid w:val="00AB769E"/>
    <w:rsid w:val="00AB78C1"/>
    <w:rsid w:val="00AB7A73"/>
    <w:rsid w:val="00AB7C46"/>
    <w:rsid w:val="00AB7CE4"/>
    <w:rsid w:val="00AB7D55"/>
    <w:rsid w:val="00AB7F4F"/>
    <w:rsid w:val="00ABAE5F"/>
    <w:rsid w:val="00AC016D"/>
    <w:rsid w:val="00AC032B"/>
    <w:rsid w:val="00AC039C"/>
    <w:rsid w:val="00AC03FA"/>
    <w:rsid w:val="00AC0422"/>
    <w:rsid w:val="00AC046E"/>
    <w:rsid w:val="00AC0681"/>
    <w:rsid w:val="00AC07A1"/>
    <w:rsid w:val="00AC0A42"/>
    <w:rsid w:val="00AC0BBB"/>
    <w:rsid w:val="00AC0C52"/>
    <w:rsid w:val="00AC0D8C"/>
    <w:rsid w:val="00AC0F0C"/>
    <w:rsid w:val="00AC0F68"/>
    <w:rsid w:val="00AC113B"/>
    <w:rsid w:val="00AC11AB"/>
    <w:rsid w:val="00AC1501"/>
    <w:rsid w:val="00AC154B"/>
    <w:rsid w:val="00AC1574"/>
    <w:rsid w:val="00AC164E"/>
    <w:rsid w:val="00AC1790"/>
    <w:rsid w:val="00AC18B4"/>
    <w:rsid w:val="00AC1B72"/>
    <w:rsid w:val="00AC1CE6"/>
    <w:rsid w:val="00AC2079"/>
    <w:rsid w:val="00AC214C"/>
    <w:rsid w:val="00AC21DF"/>
    <w:rsid w:val="00AC22FB"/>
    <w:rsid w:val="00AC2481"/>
    <w:rsid w:val="00AC2653"/>
    <w:rsid w:val="00AC26FE"/>
    <w:rsid w:val="00AC2876"/>
    <w:rsid w:val="00AC295D"/>
    <w:rsid w:val="00AC29CA"/>
    <w:rsid w:val="00AC2EED"/>
    <w:rsid w:val="00AC2F56"/>
    <w:rsid w:val="00AC2FB1"/>
    <w:rsid w:val="00AC31E4"/>
    <w:rsid w:val="00AC3245"/>
    <w:rsid w:val="00AC333C"/>
    <w:rsid w:val="00AC3363"/>
    <w:rsid w:val="00AC350D"/>
    <w:rsid w:val="00AC3565"/>
    <w:rsid w:val="00AC3568"/>
    <w:rsid w:val="00AC359A"/>
    <w:rsid w:val="00AC36BC"/>
    <w:rsid w:val="00AC3826"/>
    <w:rsid w:val="00AC39A2"/>
    <w:rsid w:val="00AC3ACF"/>
    <w:rsid w:val="00AC3B4D"/>
    <w:rsid w:val="00AC3CF2"/>
    <w:rsid w:val="00AC3D0F"/>
    <w:rsid w:val="00AC3D5E"/>
    <w:rsid w:val="00AC41BE"/>
    <w:rsid w:val="00AC41F0"/>
    <w:rsid w:val="00AC4250"/>
    <w:rsid w:val="00AC4534"/>
    <w:rsid w:val="00AC47D1"/>
    <w:rsid w:val="00AC47EC"/>
    <w:rsid w:val="00AC4902"/>
    <w:rsid w:val="00AC4C17"/>
    <w:rsid w:val="00AC4E5D"/>
    <w:rsid w:val="00AC4F12"/>
    <w:rsid w:val="00AC4F2C"/>
    <w:rsid w:val="00AC4F2E"/>
    <w:rsid w:val="00AC4F57"/>
    <w:rsid w:val="00AC5039"/>
    <w:rsid w:val="00AC5061"/>
    <w:rsid w:val="00AC516F"/>
    <w:rsid w:val="00AC54D7"/>
    <w:rsid w:val="00AC5847"/>
    <w:rsid w:val="00AC589B"/>
    <w:rsid w:val="00AC58C6"/>
    <w:rsid w:val="00AC5B5E"/>
    <w:rsid w:val="00AC5CEF"/>
    <w:rsid w:val="00AC5E01"/>
    <w:rsid w:val="00AC5ECF"/>
    <w:rsid w:val="00AC5F09"/>
    <w:rsid w:val="00AC5F23"/>
    <w:rsid w:val="00AC5F2B"/>
    <w:rsid w:val="00AC61ED"/>
    <w:rsid w:val="00AC622F"/>
    <w:rsid w:val="00AC6551"/>
    <w:rsid w:val="00AC668B"/>
    <w:rsid w:val="00AC6745"/>
    <w:rsid w:val="00AC67C8"/>
    <w:rsid w:val="00AC697B"/>
    <w:rsid w:val="00AC6A38"/>
    <w:rsid w:val="00AC6B31"/>
    <w:rsid w:val="00AC6B4E"/>
    <w:rsid w:val="00AC6C53"/>
    <w:rsid w:val="00AC6D96"/>
    <w:rsid w:val="00AC6DA9"/>
    <w:rsid w:val="00AC6E85"/>
    <w:rsid w:val="00AC6EA7"/>
    <w:rsid w:val="00AC7016"/>
    <w:rsid w:val="00AC71B8"/>
    <w:rsid w:val="00AC71CE"/>
    <w:rsid w:val="00AC7284"/>
    <w:rsid w:val="00AC728F"/>
    <w:rsid w:val="00AC72B0"/>
    <w:rsid w:val="00AC742F"/>
    <w:rsid w:val="00AC74ED"/>
    <w:rsid w:val="00AC761A"/>
    <w:rsid w:val="00AC7B1F"/>
    <w:rsid w:val="00AC7B27"/>
    <w:rsid w:val="00AC7CE6"/>
    <w:rsid w:val="00AC7FB2"/>
    <w:rsid w:val="00AD0049"/>
    <w:rsid w:val="00AD0193"/>
    <w:rsid w:val="00AD0212"/>
    <w:rsid w:val="00AD02C4"/>
    <w:rsid w:val="00AD0358"/>
    <w:rsid w:val="00AD04A3"/>
    <w:rsid w:val="00AD0544"/>
    <w:rsid w:val="00AD054F"/>
    <w:rsid w:val="00AD05A7"/>
    <w:rsid w:val="00AD0763"/>
    <w:rsid w:val="00AD0828"/>
    <w:rsid w:val="00AD088A"/>
    <w:rsid w:val="00AD08E6"/>
    <w:rsid w:val="00AD0B13"/>
    <w:rsid w:val="00AD0B6E"/>
    <w:rsid w:val="00AD0E69"/>
    <w:rsid w:val="00AD0F27"/>
    <w:rsid w:val="00AD103D"/>
    <w:rsid w:val="00AD104F"/>
    <w:rsid w:val="00AD113B"/>
    <w:rsid w:val="00AD1220"/>
    <w:rsid w:val="00AD1332"/>
    <w:rsid w:val="00AD1344"/>
    <w:rsid w:val="00AD1386"/>
    <w:rsid w:val="00AD159C"/>
    <w:rsid w:val="00AD15A1"/>
    <w:rsid w:val="00AD1628"/>
    <w:rsid w:val="00AD16AE"/>
    <w:rsid w:val="00AD17FA"/>
    <w:rsid w:val="00AD1876"/>
    <w:rsid w:val="00AD19EC"/>
    <w:rsid w:val="00AD1B23"/>
    <w:rsid w:val="00AD1BB2"/>
    <w:rsid w:val="00AD1FDC"/>
    <w:rsid w:val="00AD2172"/>
    <w:rsid w:val="00AD217C"/>
    <w:rsid w:val="00AD2717"/>
    <w:rsid w:val="00AD277B"/>
    <w:rsid w:val="00AD27BC"/>
    <w:rsid w:val="00AD28B7"/>
    <w:rsid w:val="00AD2966"/>
    <w:rsid w:val="00AD2A35"/>
    <w:rsid w:val="00AD2AC9"/>
    <w:rsid w:val="00AD2B9E"/>
    <w:rsid w:val="00AD2C5C"/>
    <w:rsid w:val="00AD319A"/>
    <w:rsid w:val="00AD319E"/>
    <w:rsid w:val="00AD31AD"/>
    <w:rsid w:val="00AD3226"/>
    <w:rsid w:val="00AD340E"/>
    <w:rsid w:val="00AD348A"/>
    <w:rsid w:val="00AD3637"/>
    <w:rsid w:val="00AD36B9"/>
    <w:rsid w:val="00AD38CA"/>
    <w:rsid w:val="00AD3961"/>
    <w:rsid w:val="00AD39DA"/>
    <w:rsid w:val="00AD3A24"/>
    <w:rsid w:val="00AD3ACE"/>
    <w:rsid w:val="00AD3B8E"/>
    <w:rsid w:val="00AD3C89"/>
    <w:rsid w:val="00AD3CE0"/>
    <w:rsid w:val="00AD3DC4"/>
    <w:rsid w:val="00AD3E41"/>
    <w:rsid w:val="00AD3EE7"/>
    <w:rsid w:val="00AD40BB"/>
    <w:rsid w:val="00AD4304"/>
    <w:rsid w:val="00AD444A"/>
    <w:rsid w:val="00AD4650"/>
    <w:rsid w:val="00AD4981"/>
    <w:rsid w:val="00AD49F3"/>
    <w:rsid w:val="00AD4B64"/>
    <w:rsid w:val="00AD4BD5"/>
    <w:rsid w:val="00AD4F9B"/>
    <w:rsid w:val="00AD4FF4"/>
    <w:rsid w:val="00AD508D"/>
    <w:rsid w:val="00AD52BD"/>
    <w:rsid w:val="00AD531D"/>
    <w:rsid w:val="00AD5399"/>
    <w:rsid w:val="00AD5526"/>
    <w:rsid w:val="00AD5552"/>
    <w:rsid w:val="00AD55F4"/>
    <w:rsid w:val="00AD5854"/>
    <w:rsid w:val="00AD585E"/>
    <w:rsid w:val="00AD58A1"/>
    <w:rsid w:val="00AD59AA"/>
    <w:rsid w:val="00AD5A28"/>
    <w:rsid w:val="00AD5BCB"/>
    <w:rsid w:val="00AD5C9E"/>
    <w:rsid w:val="00AD5CB8"/>
    <w:rsid w:val="00AD5D2B"/>
    <w:rsid w:val="00AD5DCB"/>
    <w:rsid w:val="00AD600C"/>
    <w:rsid w:val="00AD608A"/>
    <w:rsid w:val="00AD60C3"/>
    <w:rsid w:val="00AD62C9"/>
    <w:rsid w:val="00AD63D6"/>
    <w:rsid w:val="00AD63EC"/>
    <w:rsid w:val="00AD6690"/>
    <w:rsid w:val="00AD67BD"/>
    <w:rsid w:val="00AD67D2"/>
    <w:rsid w:val="00AD6AF3"/>
    <w:rsid w:val="00AD6CD5"/>
    <w:rsid w:val="00AD6E28"/>
    <w:rsid w:val="00AD707C"/>
    <w:rsid w:val="00AD7127"/>
    <w:rsid w:val="00AD71D1"/>
    <w:rsid w:val="00AD71E5"/>
    <w:rsid w:val="00AD733B"/>
    <w:rsid w:val="00AD7559"/>
    <w:rsid w:val="00AD7569"/>
    <w:rsid w:val="00AD78D8"/>
    <w:rsid w:val="00AD7A06"/>
    <w:rsid w:val="00AD7CA7"/>
    <w:rsid w:val="00AD7DB8"/>
    <w:rsid w:val="00AD7FF7"/>
    <w:rsid w:val="00AE0040"/>
    <w:rsid w:val="00AE021E"/>
    <w:rsid w:val="00AE029C"/>
    <w:rsid w:val="00AE04A0"/>
    <w:rsid w:val="00AE04FF"/>
    <w:rsid w:val="00AE064E"/>
    <w:rsid w:val="00AE0666"/>
    <w:rsid w:val="00AE067A"/>
    <w:rsid w:val="00AE089C"/>
    <w:rsid w:val="00AE09F9"/>
    <w:rsid w:val="00AE0B53"/>
    <w:rsid w:val="00AE0B98"/>
    <w:rsid w:val="00AE0E73"/>
    <w:rsid w:val="00AE101B"/>
    <w:rsid w:val="00AE136E"/>
    <w:rsid w:val="00AE144B"/>
    <w:rsid w:val="00AE155E"/>
    <w:rsid w:val="00AE1595"/>
    <w:rsid w:val="00AE184D"/>
    <w:rsid w:val="00AE1892"/>
    <w:rsid w:val="00AE18BD"/>
    <w:rsid w:val="00AE191E"/>
    <w:rsid w:val="00AE1963"/>
    <w:rsid w:val="00AE1B07"/>
    <w:rsid w:val="00AE1BC4"/>
    <w:rsid w:val="00AE1C03"/>
    <w:rsid w:val="00AE1C6A"/>
    <w:rsid w:val="00AE1C84"/>
    <w:rsid w:val="00AE1DFE"/>
    <w:rsid w:val="00AE1EDD"/>
    <w:rsid w:val="00AE1EFF"/>
    <w:rsid w:val="00AE1F8D"/>
    <w:rsid w:val="00AE1FA5"/>
    <w:rsid w:val="00AE2122"/>
    <w:rsid w:val="00AE23B5"/>
    <w:rsid w:val="00AE23E3"/>
    <w:rsid w:val="00AE241D"/>
    <w:rsid w:val="00AE2508"/>
    <w:rsid w:val="00AE2534"/>
    <w:rsid w:val="00AE25FC"/>
    <w:rsid w:val="00AE2AD6"/>
    <w:rsid w:val="00AE2ADE"/>
    <w:rsid w:val="00AE2B0C"/>
    <w:rsid w:val="00AE2CC2"/>
    <w:rsid w:val="00AE2F65"/>
    <w:rsid w:val="00AE317E"/>
    <w:rsid w:val="00AE31D5"/>
    <w:rsid w:val="00AE32D6"/>
    <w:rsid w:val="00AE34F1"/>
    <w:rsid w:val="00AE3561"/>
    <w:rsid w:val="00AE35A5"/>
    <w:rsid w:val="00AE3639"/>
    <w:rsid w:val="00AE368E"/>
    <w:rsid w:val="00AE368F"/>
    <w:rsid w:val="00AE38CC"/>
    <w:rsid w:val="00AE3F62"/>
    <w:rsid w:val="00AE4047"/>
    <w:rsid w:val="00AE40B9"/>
    <w:rsid w:val="00AE4181"/>
    <w:rsid w:val="00AE420A"/>
    <w:rsid w:val="00AE446A"/>
    <w:rsid w:val="00AE453C"/>
    <w:rsid w:val="00AE45C4"/>
    <w:rsid w:val="00AE45C8"/>
    <w:rsid w:val="00AE4811"/>
    <w:rsid w:val="00AE4CF5"/>
    <w:rsid w:val="00AE4D89"/>
    <w:rsid w:val="00AE4DD2"/>
    <w:rsid w:val="00AE4E2A"/>
    <w:rsid w:val="00AE4EC4"/>
    <w:rsid w:val="00AE50D1"/>
    <w:rsid w:val="00AE529D"/>
    <w:rsid w:val="00AE52EB"/>
    <w:rsid w:val="00AE533D"/>
    <w:rsid w:val="00AE5344"/>
    <w:rsid w:val="00AE5398"/>
    <w:rsid w:val="00AE53D2"/>
    <w:rsid w:val="00AE540A"/>
    <w:rsid w:val="00AE555B"/>
    <w:rsid w:val="00AE58DE"/>
    <w:rsid w:val="00AE5938"/>
    <w:rsid w:val="00AE594B"/>
    <w:rsid w:val="00AE5AA3"/>
    <w:rsid w:val="00AE5C01"/>
    <w:rsid w:val="00AE5C43"/>
    <w:rsid w:val="00AE5CF9"/>
    <w:rsid w:val="00AE5DB6"/>
    <w:rsid w:val="00AE5DF1"/>
    <w:rsid w:val="00AE5F70"/>
    <w:rsid w:val="00AE62A1"/>
    <w:rsid w:val="00AE645A"/>
    <w:rsid w:val="00AE654B"/>
    <w:rsid w:val="00AE66A5"/>
    <w:rsid w:val="00AE67B7"/>
    <w:rsid w:val="00AE6866"/>
    <w:rsid w:val="00AE6C3C"/>
    <w:rsid w:val="00AE6CA3"/>
    <w:rsid w:val="00AE702E"/>
    <w:rsid w:val="00AE7065"/>
    <w:rsid w:val="00AE718C"/>
    <w:rsid w:val="00AE72BB"/>
    <w:rsid w:val="00AE72E8"/>
    <w:rsid w:val="00AE73E0"/>
    <w:rsid w:val="00AE7400"/>
    <w:rsid w:val="00AE7403"/>
    <w:rsid w:val="00AE7647"/>
    <w:rsid w:val="00AE7778"/>
    <w:rsid w:val="00AE7888"/>
    <w:rsid w:val="00AE790A"/>
    <w:rsid w:val="00AE7CF8"/>
    <w:rsid w:val="00AE7D40"/>
    <w:rsid w:val="00AE7D60"/>
    <w:rsid w:val="00AE7D70"/>
    <w:rsid w:val="00AF00F4"/>
    <w:rsid w:val="00AF01C2"/>
    <w:rsid w:val="00AF01C6"/>
    <w:rsid w:val="00AF01F5"/>
    <w:rsid w:val="00AF02BA"/>
    <w:rsid w:val="00AF02BF"/>
    <w:rsid w:val="00AF0328"/>
    <w:rsid w:val="00AF03C0"/>
    <w:rsid w:val="00AF0438"/>
    <w:rsid w:val="00AF049B"/>
    <w:rsid w:val="00AF0550"/>
    <w:rsid w:val="00AF07B5"/>
    <w:rsid w:val="00AF0910"/>
    <w:rsid w:val="00AF095C"/>
    <w:rsid w:val="00AF0986"/>
    <w:rsid w:val="00AF0B7B"/>
    <w:rsid w:val="00AF0C2E"/>
    <w:rsid w:val="00AF0EF3"/>
    <w:rsid w:val="00AF0F71"/>
    <w:rsid w:val="00AF0FF1"/>
    <w:rsid w:val="00AF10F2"/>
    <w:rsid w:val="00AF129F"/>
    <w:rsid w:val="00AF158F"/>
    <w:rsid w:val="00AF1591"/>
    <w:rsid w:val="00AF162E"/>
    <w:rsid w:val="00AF1631"/>
    <w:rsid w:val="00AF166F"/>
    <w:rsid w:val="00AF17B8"/>
    <w:rsid w:val="00AF1981"/>
    <w:rsid w:val="00AF1B70"/>
    <w:rsid w:val="00AF1C03"/>
    <w:rsid w:val="00AF1DE3"/>
    <w:rsid w:val="00AF1F58"/>
    <w:rsid w:val="00AF1F85"/>
    <w:rsid w:val="00AF21B8"/>
    <w:rsid w:val="00AF227C"/>
    <w:rsid w:val="00AF24A3"/>
    <w:rsid w:val="00AF2578"/>
    <w:rsid w:val="00AF25D5"/>
    <w:rsid w:val="00AF26E6"/>
    <w:rsid w:val="00AF27AF"/>
    <w:rsid w:val="00AF2926"/>
    <w:rsid w:val="00AF2A56"/>
    <w:rsid w:val="00AF2B7A"/>
    <w:rsid w:val="00AF2BE5"/>
    <w:rsid w:val="00AF2D63"/>
    <w:rsid w:val="00AF2D71"/>
    <w:rsid w:val="00AF2EFF"/>
    <w:rsid w:val="00AF3001"/>
    <w:rsid w:val="00AF333A"/>
    <w:rsid w:val="00AF3498"/>
    <w:rsid w:val="00AF35E9"/>
    <w:rsid w:val="00AF365D"/>
    <w:rsid w:val="00AF39AC"/>
    <w:rsid w:val="00AF39AF"/>
    <w:rsid w:val="00AF3A20"/>
    <w:rsid w:val="00AF3AAE"/>
    <w:rsid w:val="00AF3D7A"/>
    <w:rsid w:val="00AF3E3B"/>
    <w:rsid w:val="00AF3E5A"/>
    <w:rsid w:val="00AF3F2E"/>
    <w:rsid w:val="00AF415B"/>
    <w:rsid w:val="00AF41B8"/>
    <w:rsid w:val="00AF4315"/>
    <w:rsid w:val="00AF434E"/>
    <w:rsid w:val="00AF4389"/>
    <w:rsid w:val="00AF4491"/>
    <w:rsid w:val="00AF4594"/>
    <w:rsid w:val="00AF46FE"/>
    <w:rsid w:val="00AF4757"/>
    <w:rsid w:val="00AF4837"/>
    <w:rsid w:val="00AF486F"/>
    <w:rsid w:val="00AF49A0"/>
    <w:rsid w:val="00AF4AB7"/>
    <w:rsid w:val="00AF4E84"/>
    <w:rsid w:val="00AF508C"/>
    <w:rsid w:val="00AF5173"/>
    <w:rsid w:val="00AF5186"/>
    <w:rsid w:val="00AF51E9"/>
    <w:rsid w:val="00AF5239"/>
    <w:rsid w:val="00AF5264"/>
    <w:rsid w:val="00AF52EA"/>
    <w:rsid w:val="00AF548B"/>
    <w:rsid w:val="00AF55E0"/>
    <w:rsid w:val="00AF55F0"/>
    <w:rsid w:val="00AF5666"/>
    <w:rsid w:val="00AF56EC"/>
    <w:rsid w:val="00AF57FA"/>
    <w:rsid w:val="00AF580B"/>
    <w:rsid w:val="00AF5870"/>
    <w:rsid w:val="00AF5AEB"/>
    <w:rsid w:val="00AF5BAC"/>
    <w:rsid w:val="00AF5C41"/>
    <w:rsid w:val="00AF5CCE"/>
    <w:rsid w:val="00AF5E05"/>
    <w:rsid w:val="00AF6087"/>
    <w:rsid w:val="00AF60A1"/>
    <w:rsid w:val="00AF63BF"/>
    <w:rsid w:val="00AF6619"/>
    <w:rsid w:val="00AF6669"/>
    <w:rsid w:val="00AF67C0"/>
    <w:rsid w:val="00AF69EA"/>
    <w:rsid w:val="00AF6BD2"/>
    <w:rsid w:val="00AF6C39"/>
    <w:rsid w:val="00AF6C8F"/>
    <w:rsid w:val="00AF6CBA"/>
    <w:rsid w:val="00AF6CD7"/>
    <w:rsid w:val="00AF6CFD"/>
    <w:rsid w:val="00AF6DDA"/>
    <w:rsid w:val="00AF7060"/>
    <w:rsid w:val="00AF72BD"/>
    <w:rsid w:val="00AF72D9"/>
    <w:rsid w:val="00AF76F2"/>
    <w:rsid w:val="00AF774A"/>
    <w:rsid w:val="00AF7834"/>
    <w:rsid w:val="00AF796F"/>
    <w:rsid w:val="00AF7DC1"/>
    <w:rsid w:val="00B000AE"/>
    <w:rsid w:val="00B0014E"/>
    <w:rsid w:val="00B001F1"/>
    <w:rsid w:val="00B0040B"/>
    <w:rsid w:val="00B00577"/>
    <w:rsid w:val="00B005E4"/>
    <w:rsid w:val="00B006E6"/>
    <w:rsid w:val="00B006F8"/>
    <w:rsid w:val="00B00830"/>
    <w:rsid w:val="00B008B6"/>
    <w:rsid w:val="00B008F2"/>
    <w:rsid w:val="00B009F9"/>
    <w:rsid w:val="00B00AB5"/>
    <w:rsid w:val="00B00CBA"/>
    <w:rsid w:val="00B00CC0"/>
    <w:rsid w:val="00B00DE6"/>
    <w:rsid w:val="00B00DFD"/>
    <w:rsid w:val="00B00F20"/>
    <w:rsid w:val="00B00F5C"/>
    <w:rsid w:val="00B010C0"/>
    <w:rsid w:val="00B010D8"/>
    <w:rsid w:val="00B010E5"/>
    <w:rsid w:val="00B01300"/>
    <w:rsid w:val="00B01313"/>
    <w:rsid w:val="00B01394"/>
    <w:rsid w:val="00B01482"/>
    <w:rsid w:val="00B01589"/>
    <w:rsid w:val="00B015A6"/>
    <w:rsid w:val="00B019C1"/>
    <w:rsid w:val="00B01B93"/>
    <w:rsid w:val="00B01CEB"/>
    <w:rsid w:val="00B01F35"/>
    <w:rsid w:val="00B01F3F"/>
    <w:rsid w:val="00B01FCF"/>
    <w:rsid w:val="00B0214A"/>
    <w:rsid w:val="00B022BE"/>
    <w:rsid w:val="00B022D6"/>
    <w:rsid w:val="00B0236E"/>
    <w:rsid w:val="00B02506"/>
    <w:rsid w:val="00B0260F"/>
    <w:rsid w:val="00B0279C"/>
    <w:rsid w:val="00B0279E"/>
    <w:rsid w:val="00B02821"/>
    <w:rsid w:val="00B0284C"/>
    <w:rsid w:val="00B029EC"/>
    <w:rsid w:val="00B02ACE"/>
    <w:rsid w:val="00B02F46"/>
    <w:rsid w:val="00B032E1"/>
    <w:rsid w:val="00B03776"/>
    <w:rsid w:val="00B0380A"/>
    <w:rsid w:val="00B03913"/>
    <w:rsid w:val="00B03956"/>
    <w:rsid w:val="00B03D8C"/>
    <w:rsid w:val="00B03E3E"/>
    <w:rsid w:val="00B03E7E"/>
    <w:rsid w:val="00B03EBF"/>
    <w:rsid w:val="00B040C7"/>
    <w:rsid w:val="00B040FE"/>
    <w:rsid w:val="00B041D9"/>
    <w:rsid w:val="00B04202"/>
    <w:rsid w:val="00B04291"/>
    <w:rsid w:val="00B04346"/>
    <w:rsid w:val="00B046B9"/>
    <w:rsid w:val="00B0485C"/>
    <w:rsid w:val="00B04CEA"/>
    <w:rsid w:val="00B04D69"/>
    <w:rsid w:val="00B05250"/>
    <w:rsid w:val="00B0551E"/>
    <w:rsid w:val="00B05551"/>
    <w:rsid w:val="00B05607"/>
    <w:rsid w:val="00B05622"/>
    <w:rsid w:val="00B056C1"/>
    <w:rsid w:val="00B05829"/>
    <w:rsid w:val="00B05A08"/>
    <w:rsid w:val="00B05AD2"/>
    <w:rsid w:val="00B05D6A"/>
    <w:rsid w:val="00B05D9E"/>
    <w:rsid w:val="00B05F14"/>
    <w:rsid w:val="00B06311"/>
    <w:rsid w:val="00B063D1"/>
    <w:rsid w:val="00B0651E"/>
    <w:rsid w:val="00B06737"/>
    <w:rsid w:val="00B06855"/>
    <w:rsid w:val="00B06872"/>
    <w:rsid w:val="00B06ABF"/>
    <w:rsid w:val="00B06C6F"/>
    <w:rsid w:val="00B06CEA"/>
    <w:rsid w:val="00B07090"/>
    <w:rsid w:val="00B07092"/>
    <w:rsid w:val="00B07104"/>
    <w:rsid w:val="00B07253"/>
    <w:rsid w:val="00B077F5"/>
    <w:rsid w:val="00B0784C"/>
    <w:rsid w:val="00B07939"/>
    <w:rsid w:val="00B0793E"/>
    <w:rsid w:val="00B07AAE"/>
    <w:rsid w:val="00B07CDA"/>
    <w:rsid w:val="00B07CE9"/>
    <w:rsid w:val="00B07D21"/>
    <w:rsid w:val="00B07D90"/>
    <w:rsid w:val="00B07E14"/>
    <w:rsid w:val="00B07E55"/>
    <w:rsid w:val="00B07F9E"/>
    <w:rsid w:val="00B10147"/>
    <w:rsid w:val="00B101D5"/>
    <w:rsid w:val="00B101FC"/>
    <w:rsid w:val="00B1038E"/>
    <w:rsid w:val="00B10617"/>
    <w:rsid w:val="00B10633"/>
    <w:rsid w:val="00B10716"/>
    <w:rsid w:val="00B108C7"/>
    <w:rsid w:val="00B109C3"/>
    <w:rsid w:val="00B10B08"/>
    <w:rsid w:val="00B10B92"/>
    <w:rsid w:val="00B10D99"/>
    <w:rsid w:val="00B11032"/>
    <w:rsid w:val="00B1107D"/>
    <w:rsid w:val="00B110FA"/>
    <w:rsid w:val="00B113E0"/>
    <w:rsid w:val="00B11474"/>
    <w:rsid w:val="00B117D4"/>
    <w:rsid w:val="00B1182D"/>
    <w:rsid w:val="00B11878"/>
    <w:rsid w:val="00B11894"/>
    <w:rsid w:val="00B11992"/>
    <w:rsid w:val="00B11A78"/>
    <w:rsid w:val="00B11CAB"/>
    <w:rsid w:val="00B11CFB"/>
    <w:rsid w:val="00B11E22"/>
    <w:rsid w:val="00B11EC2"/>
    <w:rsid w:val="00B11EDC"/>
    <w:rsid w:val="00B11F54"/>
    <w:rsid w:val="00B1205D"/>
    <w:rsid w:val="00B12111"/>
    <w:rsid w:val="00B1212B"/>
    <w:rsid w:val="00B1229F"/>
    <w:rsid w:val="00B128E4"/>
    <w:rsid w:val="00B128E6"/>
    <w:rsid w:val="00B12A83"/>
    <w:rsid w:val="00B12AB6"/>
    <w:rsid w:val="00B12C1F"/>
    <w:rsid w:val="00B12C9A"/>
    <w:rsid w:val="00B12CD8"/>
    <w:rsid w:val="00B12D52"/>
    <w:rsid w:val="00B12E3E"/>
    <w:rsid w:val="00B12E43"/>
    <w:rsid w:val="00B12EDC"/>
    <w:rsid w:val="00B130F3"/>
    <w:rsid w:val="00B131A0"/>
    <w:rsid w:val="00B131BD"/>
    <w:rsid w:val="00B1331C"/>
    <w:rsid w:val="00B1364C"/>
    <w:rsid w:val="00B1376C"/>
    <w:rsid w:val="00B13926"/>
    <w:rsid w:val="00B139FC"/>
    <w:rsid w:val="00B13C65"/>
    <w:rsid w:val="00B13D40"/>
    <w:rsid w:val="00B13E18"/>
    <w:rsid w:val="00B13F40"/>
    <w:rsid w:val="00B140C3"/>
    <w:rsid w:val="00B140FE"/>
    <w:rsid w:val="00B14109"/>
    <w:rsid w:val="00B14126"/>
    <w:rsid w:val="00B141F5"/>
    <w:rsid w:val="00B14214"/>
    <w:rsid w:val="00B14261"/>
    <w:rsid w:val="00B14378"/>
    <w:rsid w:val="00B14410"/>
    <w:rsid w:val="00B1455B"/>
    <w:rsid w:val="00B14608"/>
    <w:rsid w:val="00B147CF"/>
    <w:rsid w:val="00B1486D"/>
    <w:rsid w:val="00B1498D"/>
    <w:rsid w:val="00B149B1"/>
    <w:rsid w:val="00B149B2"/>
    <w:rsid w:val="00B14B46"/>
    <w:rsid w:val="00B14D33"/>
    <w:rsid w:val="00B14E7B"/>
    <w:rsid w:val="00B15002"/>
    <w:rsid w:val="00B150D6"/>
    <w:rsid w:val="00B15373"/>
    <w:rsid w:val="00B15399"/>
    <w:rsid w:val="00B153C8"/>
    <w:rsid w:val="00B1544E"/>
    <w:rsid w:val="00B154CD"/>
    <w:rsid w:val="00B15639"/>
    <w:rsid w:val="00B1567B"/>
    <w:rsid w:val="00B156BC"/>
    <w:rsid w:val="00B1572A"/>
    <w:rsid w:val="00B157C7"/>
    <w:rsid w:val="00B158AE"/>
    <w:rsid w:val="00B15A9F"/>
    <w:rsid w:val="00B15D15"/>
    <w:rsid w:val="00B15D28"/>
    <w:rsid w:val="00B15D77"/>
    <w:rsid w:val="00B15E00"/>
    <w:rsid w:val="00B15E42"/>
    <w:rsid w:val="00B15EEE"/>
    <w:rsid w:val="00B15F11"/>
    <w:rsid w:val="00B15FA2"/>
    <w:rsid w:val="00B15FA3"/>
    <w:rsid w:val="00B16089"/>
    <w:rsid w:val="00B160E0"/>
    <w:rsid w:val="00B16149"/>
    <w:rsid w:val="00B16198"/>
    <w:rsid w:val="00B16222"/>
    <w:rsid w:val="00B162A2"/>
    <w:rsid w:val="00B16321"/>
    <w:rsid w:val="00B163CA"/>
    <w:rsid w:val="00B16433"/>
    <w:rsid w:val="00B1671F"/>
    <w:rsid w:val="00B16A2C"/>
    <w:rsid w:val="00B16FB6"/>
    <w:rsid w:val="00B17022"/>
    <w:rsid w:val="00B17167"/>
    <w:rsid w:val="00B1743E"/>
    <w:rsid w:val="00B17676"/>
    <w:rsid w:val="00B176C6"/>
    <w:rsid w:val="00B176F2"/>
    <w:rsid w:val="00B17ABF"/>
    <w:rsid w:val="00B17B20"/>
    <w:rsid w:val="00B17EA3"/>
    <w:rsid w:val="00B20193"/>
    <w:rsid w:val="00B2026B"/>
    <w:rsid w:val="00B205BC"/>
    <w:rsid w:val="00B205D5"/>
    <w:rsid w:val="00B20657"/>
    <w:rsid w:val="00B2086F"/>
    <w:rsid w:val="00B20A34"/>
    <w:rsid w:val="00B20AE9"/>
    <w:rsid w:val="00B20AFC"/>
    <w:rsid w:val="00B20C46"/>
    <w:rsid w:val="00B20C50"/>
    <w:rsid w:val="00B20D7D"/>
    <w:rsid w:val="00B20E2A"/>
    <w:rsid w:val="00B20F69"/>
    <w:rsid w:val="00B210B7"/>
    <w:rsid w:val="00B2113F"/>
    <w:rsid w:val="00B211E4"/>
    <w:rsid w:val="00B21200"/>
    <w:rsid w:val="00B21223"/>
    <w:rsid w:val="00B213DF"/>
    <w:rsid w:val="00B215C7"/>
    <w:rsid w:val="00B21673"/>
    <w:rsid w:val="00B216D8"/>
    <w:rsid w:val="00B21736"/>
    <w:rsid w:val="00B217A7"/>
    <w:rsid w:val="00B218B1"/>
    <w:rsid w:val="00B21A33"/>
    <w:rsid w:val="00B21AFC"/>
    <w:rsid w:val="00B21D24"/>
    <w:rsid w:val="00B21D78"/>
    <w:rsid w:val="00B21DBD"/>
    <w:rsid w:val="00B21DE4"/>
    <w:rsid w:val="00B21E81"/>
    <w:rsid w:val="00B21EC4"/>
    <w:rsid w:val="00B22151"/>
    <w:rsid w:val="00B22202"/>
    <w:rsid w:val="00B2237E"/>
    <w:rsid w:val="00B224AA"/>
    <w:rsid w:val="00B227B1"/>
    <w:rsid w:val="00B227C8"/>
    <w:rsid w:val="00B22998"/>
    <w:rsid w:val="00B229A5"/>
    <w:rsid w:val="00B229C5"/>
    <w:rsid w:val="00B229FE"/>
    <w:rsid w:val="00B22B6C"/>
    <w:rsid w:val="00B22B9D"/>
    <w:rsid w:val="00B22DEB"/>
    <w:rsid w:val="00B22E82"/>
    <w:rsid w:val="00B22EAF"/>
    <w:rsid w:val="00B22FE9"/>
    <w:rsid w:val="00B2302B"/>
    <w:rsid w:val="00B23090"/>
    <w:rsid w:val="00B23101"/>
    <w:rsid w:val="00B232F2"/>
    <w:rsid w:val="00B2359E"/>
    <w:rsid w:val="00B2392B"/>
    <w:rsid w:val="00B23954"/>
    <w:rsid w:val="00B23B0F"/>
    <w:rsid w:val="00B23BC0"/>
    <w:rsid w:val="00B23C81"/>
    <w:rsid w:val="00B23FF4"/>
    <w:rsid w:val="00B24117"/>
    <w:rsid w:val="00B241DB"/>
    <w:rsid w:val="00B2423B"/>
    <w:rsid w:val="00B24363"/>
    <w:rsid w:val="00B244E7"/>
    <w:rsid w:val="00B2456E"/>
    <w:rsid w:val="00B24667"/>
    <w:rsid w:val="00B24683"/>
    <w:rsid w:val="00B2474D"/>
    <w:rsid w:val="00B24853"/>
    <w:rsid w:val="00B24912"/>
    <w:rsid w:val="00B24979"/>
    <w:rsid w:val="00B249BA"/>
    <w:rsid w:val="00B24AB5"/>
    <w:rsid w:val="00B24ABE"/>
    <w:rsid w:val="00B24B71"/>
    <w:rsid w:val="00B24B87"/>
    <w:rsid w:val="00B24D0E"/>
    <w:rsid w:val="00B24D48"/>
    <w:rsid w:val="00B24D7D"/>
    <w:rsid w:val="00B24F7A"/>
    <w:rsid w:val="00B250A5"/>
    <w:rsid w:val="00B250CF"/>
    <w:rsid w:val="00B2526B"/>
    <w:rsid w:val="00B252F1"/>
    <w:rsid w:val="00B25512"/>
    <w:rsid w:val="00B2554A"/>
    <w:rsid w:val="00B25651"/>
    <w:rsid w:val="00B25692"/>
    <w:rsid w:val="00B2569A"/>
    <w:rsid w:val="00B25848"/>
    <w:rsid w:val="00B25850"/>
    <w:rsid w:val="00B25AC7"/>
    <w:rsid w:val="00B25DA0"/>
    <w:rsid w:val="00B25EAC"/>
    <w:rsid w:val="00B25ED0"/>
    <w:rsid w:val="00B260F0"/>
    <w:rsid w:val="00B262F0"/>
    <w:rsid w:val="00B265A0"/>
    <w:rsid w:val="00B26669"/>
    <w:rsid w:val="00B266FD"/>
    <w:rsid w:val="00B2686F"/>
    <w:rsid w:val="00B26937"/>
    <w:rsid w:val="00B269CC"/>
    <w:rsid w:val="00B26B9A"/>
    <w:rsid w:val="00B26BC2"/>
    <w:rsid w:val="00B26BFA"/>
    <w:rsid w:val="00B26EAA"/>
    <w:rsid w:val="00B26F41"/>
    <w:rsid w:val="00B26F93"/>
    <w:rsid w:val="00B26FA4"/>
    <w:rsid w:val="00B26FB9"/>
    <w:rsid w:val="00B26FF8"/>
    <w:rsid w:val="00B271C2"/>
    <w:rsid w:val="00B27238"/>
    <w:rsid w:val="00B27265"/>
    <w:rsid w:val="00B27415"/>
    <w:rsid w:val="00B275E2"/>
    <w:rsid w:val="00B276B8"/>
    <w:rsid w:val="00B27730"/>
    <w:rsid w:val="00B2780E"/>
    <w:rsid w:val="00B2787C"/>
    <w:rsid w:val="00B27A68"/>
    <w:rsid w:val="00B27B11"/>
    <w:rsid w:val="00B27C12"/>
    <w:rsid w:val="00B27F85"/>
    <w:rsid w:val="00B27FA8"/>
    <w:rsid w:val="00B30005"/>
    <w:rsid w:val="00B30243"/>
    <w:rsid w:val="00B303F0"/>
    <w:rsid w:val="00B30401"/>
    <w:rsid w:val="00B30421"/>
    <w:rsid w:val="00B30581"/>
    <w:rsid w:val="00B305A0"/>
    <w:rsid w:val="00B307D8"/>
    <w:rsid w:val="00B3091C"/>
    <w:rsid w:val="00B30C48"/>
    <w:rsid w:val="00B30CB9"/>
    <w:rsid w:val="00B30DB4"/>
    <w:rsid w:val="00B30DC8"/>
    <w:rsid w:val="00B30E8F"/>
    <w:rsid w:val="00B3100D"/>
    <w:rsid w:val="00B31577"/>
    <w:rsid w:val="00B315BB"/>
    <w:rsid w:val="00B315E8"/>
    <w:rsid w:val="00B31758"/>
    <w:rsid w:val="00B31820"/>
    <w:rsid w:val="00B31977"/>
    <w:rsid w:val="00B31A19"/>
    <w:rsid w:val="00B31E4D"/>
    <w:rsid w:val="00B320FF"/>
    <w:rsid w:val="00B32255"/>
    <w:rsid w:val="00B32320"/>
    <w:rsid w:val="00B3235A"/>
    <w:rsid w:val="00B32541"/>
    <w:rsid w:val="00B325BA"/>
    <w:rsid w:val="00B328C1"/>
    <w:rsid w:val="00B32A15"/>
    <w:rsid w:val="00B32CD2"/>
    <w:rsid w:val="00B32E30"/>
    <w:rsid w:val="00B32E9A"/>
    <w:rsid w:val="00B32FCC"/>
    <w:rsid w:val="00B33232"/>
    <w:rsid w:val="00B332D6"/>
    <w:rsid w:val="00B33370"/>
    <w:rsid w:val="00B333FE"/>
    <w:rsid w:val="00B33692"/>
    <w:rsid w:val="00B33828"/>
    <w:rsid w:val="00B3382B"/>
    <w:rsid w:val="00B338AC"/>
    <w:rsid w:val="00B338B9"/>
    <w:rsid w:val="00B34345"/>
    <w:rsid w:val="00B343DF"/>
    <w:rsid w:val="00B344FF"/>
    <w:rsid w:val="00B3456A"/>
    <w:rsid w:val="00B346BE"/>
    <w:rsid w:val="00B347C2"/>
    <w:rsid w:val="00B347FD"/>
    <w:rsid w:val="00B34871"/>
    <w:rsid w:val="00B34A4A"/>
    <w:rsid w:val="00B34BB5"/>
    <w:rsid w:val="00B34BBA"/>
    <w:rsid w:val="00B34C33"/>
    <w:rsid w:val="00B34DA0"/>
    <w:rsid w:val="00B34FEA"/>
    <w:rsid w:val="00B35094"/>
    <w:rsid w:val="00B350F0"/>
    <w:rsid w:val="00B35179"/>
    <w:rsid w:val="00B3527E"/>
    <w:rsid w:val="00B355EB"/>
    <w:rsid w:val="00B356EC"/>
    <w:rsid w:val="00B35717"/>
    <w:rsid w:val="00B357AC"/>
    <w:rsid w:val="00B35992"/>
    <w:rsid w:val="00B35A6F"/>
    <w:rsid w:val="00B35B44"/>
    <w:rsid w:val="00B35E4B"/>
    <w:rsid w:val="00B35FCC"/>
    <w:rsid w:val="00B36153"/>
    <w:rsid w:val="00B36244"/>
    <w:rsid w:val="00B3648E"/>
    <w:rsid w:val="00B364C3"/>
    <w:rsid w:val="00B36518"/>
    <w:rsid w:val="00B366E6"/>
    <w:rsid w:val="00B3681D"/>
    <w:rsid w:val="00B368CA"/>
    <w:rsid w:val="00B3693C"/>
    <w:rsid w:val="00B369B5"/>
    <w:rsid w:val="00B36B85"/>
    <w:rsid w:val="00B36C35"/>
    <w:rsid w:val="00B36C9F"/>
    <w:rsid w:val="00B36DA0"/>
    <w:rsid w:val="00B36DA6"/>
    <w:rsid w:val="00B36DD7"/>
    <w:rsid w:val="00B36F12"/>
    <w:rsid w:val="00B36F96"/>
    <w:rsid w:val="00B371C3"/>
    <w:rsid w:val="00B3761B"/>
    <w:rsid w:val="00B37794"/>
    <w:rsid w:val="00B37811"/>
    <w:rsid w:val="00B378CC"/>
    <w:rsid w:val="00B37CB2"/>
    <w:rsid w:val="00B37DD6"/>
    <w:rsid w:val="00B400CC"/>
    <w:rsid w:val="00B40141"/>
    <w:rsid w:val="00B4041D"/>
    <w:rsid w:val="00B405B1"/>
    <w:rsid w:val="00B4068E"/>
    <w:rsid w:val="00B407A5"/>
    <w:rsid w:val="00B40925"/>
    <w:rsid w:val="00B40B33"/>
    <w:rsid w:val="00B40E46"/>
    <w:rsid w:val="00B410DF"/>
    <w:rsid w:val="00B41142"/>
    <w:rsid w:val="00B411BE"/>
    <w:rsid w:val="00B41246"/>
    <w:rsid w:val="00B41400"/>
    <w:rsid w:val="00B4153C"/>
    <w:rsid w:val="00B41615"/>
    <w:rsid w:val="00B41681"/>
    <w:rsid w:val="00B416BB"/>
    <w:rsid w:val="00B417ED"/>
    <w:rsid w:val="00B41C18"/>
    <w:rsid w:val="00B41DF3"/>
    <w:rsid w:val="00B41DF7"/>
    <w:rsid w:val="00B41E33"/>
    <w:rsid w:val="00B41F9D"/>
    <w:rsid w:val="00B41FD8"/>
    <w:rsid w:val="00B420DF"/>
    <w:rsid w:val="00B42293"/>
    <w:rsid w:val="00B4230D"/>
    <w:rsid w:val="00B42527"/>
    <w:rsid w:val="00B428E2"/>
    <w:rsid w:val="00B42A2C"/>
    <w:rsid w:val="00B42A5C"/>
    <w:rsid w:val="00B42A98"/>
    <w:rsid w:val="00B42AD1"/>
    <w:rsid w:val="00B42AE9"/>
    <w:rsid w:val="00B42C64"/>
    <w:rsid w:val="00B42EFD"/>
    <w:rsid w:val="00B42F87"/>
    <w:rsid w:val="00B42F98"/>
    <w:rsid w:val="00B43042"/>
    <w:rsid w:val="00B4327D"/>
    <w:rsid w:val="00B43474"/>
    <w:rsid w:val="00B43573"/>
    <w:rsid w:val="00B43656"/>
    <w:rsid w:val="00B43763"/>
    <w:rsid w:val="00B4386B"/>
    <w:rsid w:val="00B43895"/>
    <w:rsid w:val="00B43B86"/>
    <w:rsid w:val="00B43DFD"/>
    <w:rsid w:val="00B43F5E"/>
    <w:rsid w:val="00B43F85"/>
    <w:rsid w:val="00B43FDB"/>
    <w:rsid w:val="00B4412F"/>
    <w:rsid w:val="00B442E6"/>
    <w:rsid w:val="00B443D2"/>
    <w:rsid w:val="00B4447B"/>
    <w:rsid w:val="00B445C1"/>
    <w:rsid w:val="00B44814"/>
    <w:rsid w:val="00B448EF"/>
    <w:rsid w:val="00B44A17"/>
    <w:rsid w:val="00B44B58"/>
    <w:rsid w:val="00B44BB3"/>
    <w:rsid w:val="00B44C6E"/>
    <w:rsid w:val="00B44CA7"/>
    <w:rsid w:val="00B44D08"/>
    <w:rsid w:val="00B44F8F"/>
    <w:rsid w:val="00B4512D"/>
    <w:rsid w:val="00B45324"/>
    <w:rsid w:val="00B454AF"/>
    <w:rsid w:val="00B456AC"/>
    <w:rsid w:val="00B456ED"/>
    <w:rsid w:val="00B45CF0"/>
    <w:rsid w:val="00B45DB8"/>
    <w:rsid w:val="00B45DE6"/>
    <w:rsid w:val="00B45E08"/>
    <w:rsid w:val="00B45E3A"/>
    <w:rsid w:val="00B46191"/>
    <w:rsid w:val="00B46256"/>
    <w:rsid w:val="00B4659A"/>
    <w:rsid w:val="00B46667"/>
    <w:rsid w:val="00B4666C"/>
    <w:rsid w:val="00B46895"/>
    <w:rsid w:val="00B4690F"/>
    <w:rsid w:val="00B469C0"/>
    <w:rsid w:val="00B46A96"/>
    <w:rsid w:val="00B46DC0"/>
    <w:rsid w:val="00B46EAD"/>
    <w:rsid w:val="00B471BE"/>
    <w:rsid w:val="00B472D0"/>
    <w:rsid w:val="00B472E6"/>
    <w:rsid w:val="00B47438"/>
    <w:rsid w:val="00B4747E"/>
    <w:rsid w:val="00B47493"/>
    <w:rsid w:val="00B474C8"/>
    <w:rsid w:val="00B474DF"/>
    <w:rsid w:val="00B47620"/>
    <w:rsid w:val="00B47718"/>
    <w:rsid w:val="00B47915"/>
    <w:rsid w:val="00B4797A"/>
    <w:rsid w:val="00B479AF"/>
    <w:rsid w:val="00B47B0E"/>
    <w:rsid w:val="00B47D05"/>
    <w:rsid w:val="00B47E38"/>
    <w:rsid w:val="00B47F11"/>
    <w:rsid w:val="00B47F68"/>
    <w:rsid w:val="00B47FB0"/>
    <w:rsid w:val="00B502AF"/>
    <w:rsid w:val="00B50318"/>
    <w:rsid w:val="00B503B9"/>
    <w:rsid w:val="00B50404"/>
    <w:rsid w:val="00B5044B"/>
    <w:rsid w:val="00B5061D"/>
    <w:rsid w:val="00B506FD"/>
    <w:rsid w:val="00B509E8"/>
    <w:rsid w:val="00B50A17"/>
    <w:rsid w:val="00B50A79"/>
    <w:rsid w:val="00B50DD6"/>
    <w:rsid w:val="00B50E18"/>
    <w:rsid w:val="00B51146"/>
    <w:rsid w:val="00B513A9"/>
    <w:rsid w:val="00B51568"/>
    <w:rsid w:val="00B51610"/>
    <w:rsid w:val="00B5167B"/>
    <w:rsid w:val="00B516C1"/>
    <w:rsid w:val="00B5194E"/>
    <w:rsid w:val="00B51DD3"/>
    <w:rsid w:val="00B51E37"/>
    <w:rsid w:val="00B51FB1"/>
    <w:rsid w:val="00B51FBA"/>
    <w:rsid w:val="00B520E3"/>
    <w:rsid w:val="00B52336"/>
    <w:rsid w:val="00B52454"/>
    <w:rsid w:val="00B52459"/>
    <w:rsid w:val="00B524BB"/>
    <w:rsid w:val="00B5255F"/>
    <w:rsid w:val="00B52752"/>
    <w:rsid w:val="00B52C46"/>
    <w:rsid w:val="00B52E3C"/>
    <w:rsid w:val="00B52F3B"/>
    <w:rsid w:val="00B52F89"/>
    <w:rsid w:val="00B52FE8"/>
    <w:rsid w:val="00B53013"/>
    <w:rsid w:val="00B53014"/>
    <w:rsid w:val="00B53197"/>
    <w:rsid w:val="00B531D1"/>
    <w:rsid w:val="00B531D9"/>
    <w:rsid w:val="00B5320A"/>
    <w:rsid w:val="00B53377"/>
    <w:rsid w:val="00B533A0"/>
    <w:rsid w:val="00B533AA"/>
    <w:rsid w:val="00B534A0"/>
    <w:rsid w:val="00B534E1"/>
    <w:rsid w:val="00B53537"/>
    <w:rsid w:val="00B53556"/>
    <w:rsid w:val="00B53640"/>
    <w:rsid w:val="00B536F7"/>
    <w:rsid w:val="00B5383B"/>
    <w:rsid w:val="00B5388C"/>
    <w:rsid w:val="00B5394F"/>
    <w:rsid w:val="00B53978"/>
    <w:rsid w:val="00B53BB1"/>
    <w:rsid w:val="00B53CC1"/>
    <w:rsid w:val="00B53D41"/>
    <w:rsid w:val="00B53D4C"/>
    <w:rsid w:val="00B53E17"/>
    <w:rsid w:val="00B54152"/>
    <w:rsid w:val="00B545AD"/>
    <w:rsid w:val="00B546EB"/>
    <w:rsid w:val="00B547F8"/>
    <w:rsid w:val="00B54802"/>
    <w:rsid w:val="00B5484D"/>
    <w:rsid w:val="00B5485A"/>
    <w:rsid w:val="00B5485D"/>
    <w:rsid w:val="00B549BF"/>
    <w:rsid w:val="00B54E54"/>
    <w:rsid w:val="00B54FF5"/>
    <w:rsid w:val="00B552BC"/>
    <w:rsid w:val="00B552CF"/>
    <w:rsid w:val="00B55419"/>
    <w:rsid w:val="00B5555E"/>
    <w:rsid w:val="00B55693"/>
    <w:rsid w:val="00B556AA"/>
    <w:rsid w:val="00B556FE"/>
    <w:rsid w:val="00B5575D"/>
    <w:rsid w:val="00B55985"/>
    <w:rsid w:val="00B559FB"/>
    <w:rsid w:val="00B55C29"/>
    <w:rsid w:val="00B55C34"/>
    <w:rsid w:val="00B55C43"/>
    <w:rsid w:val="00B55CBD"/>
    <w:rsid w:val="00B55CBE"/>
    <w:rsid w:val="00B55CED"/>
    <w:rsid w:val="00B55D57"/>
    <w:rsid w:val="00B55D7B"/>
    <w:rsid w:val="00B55E46"/>
    <w:rsid w:val="00B55EFB"/>
    <w:rsid w:val="00B55F80"/>
    <w:rsid w:val="00B55FEC"/>
    <w:rsid w:val="00B56046"/>
    <w:rsid w:val="00B560B6"/>
    <w:rsid w:val="00B56199"/>
    <w:rsid w:val="00B5621E"/>
    <w:rsid w:val="00B5622A"/>
    <w:rsid w:val="00B56480"/>
    <w:rsid w:val="00B565A0"/>
    <w:rsid w:val="00B565B9"/>
    <w:rsid w:val="00B565D6"/>
    <w:rsid w:val="00B566E7"/>
    <w:rsid w:val="00B56833"/>
    <w:rsid w:val="00B56A80"/>
    <w:rsid w:val="00B56AC6"/>
    <w:rsid w:val="00B56B50"/>
    <w:rsid w:val="00B56B6E"/>
    <w:rsid w:val="00B56B95"/>
    <w:rsid w:val="00B56D9B"/>
    <w:rsid w:val="00B56E16"/>
    <w:rsid w:val="00B56E2D"/>
    <w:rsid w:val="00B56E5A"/>
    <w:rsid w:val="00B56E71"/>
    <w:rsid w:val="00B56F79"/>
    <w:rsid w:val="00B57216"/>
    <w:rsid w:val="00B57318"/>
    <w:rsid w:val="00B575FE"/>
    <w:rsid w:val="00B5761E"/>
    <w:rsid w:val="00B576A4"/>
    <w:rsid w:val="00B57998"/>
    <w:rsid w:val="00B57AA7"/>
    <w:rsid w:val="00B57BA8"/>
    <w:rsid w:val="00B57BAE"/>
    <w:rsid w:val="00B57BB8"/>
    <w:rsid w:val="00B57CD0"/>
    <w:rsid w:val="00B57DA9"/>
    <w:rsid w:val="00B57F12"/>
    <w:rsid w:val="00B60012"/>
    <w:rsid w:val="00B60177"/>
    <w:rsid w:val="00B601AF"/>
    <w:rsid w:val="00B601E5"/>
    <w:rsid w:val="00B603B4"/>
    <w:rsid w:val="00B60471"/>
    <w:rsid w:val="00B60500"/>
    <w:rsid w:val="00B60606"/>
    <w:rsid w:val="00B6061A"/>
    <w:rsid w:val="00B60639"/>
    <w:rsid w:val="00B60842"/>
    <w:rsid w:val="00B60A64"/>
    <w:rsid w:val="00B60A73"/>
    <w:rsid w:val="00B60F91"/>
    <w:rsid w:val="00B61006"/>
    <w:rsid w:val="00B6117D"/>
    <w:rsid w:val="00B61193"/>
    <w:rsid w:val="00B61212"/>
    <w:rsid w:val="00B6129E"/>
    <w:rsid w:val="00B612B9"/>
    <w:rsid w:val="00B6136E"/>
    <w:rsid w:val="00B617EA"/>
    <w:rsid w:val="00B61934"/>
    <w:rsid w:val="00B6194A"/>
    <w:rsid w:val="00B61B4F"/>
    <w:rsid w:val="00B61B75"/>
    <w:rsid w:val="00B61D50"/>
    <w:rsid w:val="00B61DE8"/>
    <w:rsid w:val="00B61E23"/>
    <w:rsid w:val="00B61EF5"/>
    <w:rsid w:val="00B61F65"/>
    <w:rsid w:val="00B61F82"/>
    <w:rsid w:val="00B620B2"/>
    <w:rsid w:val="00B620DE"/>
    <w:rsid w:val="00B62165"/>
    <w:rsid w:val="00B62276"/>
    <w:rsid w:val="00B62664"/>
    <w:rsid w:val="00B628EB"/>
    <w:rsid w:val="00B62AA9"/>
    <w:rsid w:val="00B62B90"/>
    <w:rsid w:val="00B62C61"/>
    <w:rsid w:val="00B62D0E"/>
    <w:rsid w:val="00B62ECA"/>
    <w:rsid w:val="00B6308E"/>
    <w:rsid w:val="00B6308F"/>
    <w:rsid w:val="00B6330B"/>
    <w:rsid w:val="00B63497"/>
    <w:rsid w:val="00B6362B"/>
    <w:rsid w:val="00B63700"/>
    <w:rsid w:val="00B6382E"/>
    <w:rsid w:val="00B63A4E"/>
    <w:rsid w:val="00B63AD0"/>
    <w:rsid w:val="00B63ADC"/>
    <w:rsid w:val="00B63AFD"/>
    <w:rsid w:val="00B63D58"/>
    <w:rsid w:val="00B6400F"/>
    <w:rsid w:val="00B6405E"/>
    <w:rsid w:val="00B640F8"/>
    <w:rsid w:val="00B64175"/>
    <w:rsid w:val="00B641DD"/>
    <w:rsid w:val="00B64252"/>
    <w:rsid w:val="00B642E2"/>
    <w:rsid w:val="00B64418"/>
    <w:rsid w:val="00B644F6"/>
    <w:rsid w:val="00B64520"/>
    <w:rsid w:val="00B64630"/>
    <w:rsid w:val="00B646A1"/>
    <w:rsid w:val="00B6475E"/>
    <w:rsid w:val="00B648C5"/>
    <w:rsid w:val="00B648D1"/>
    <w:rsid w:val="00B64AEE"/>
    <w:rsid w:val="00B64D76"/>
    <w:rsid w:val="00B64E8A"/>
    <w:rsid w:val="00B64F41"/>
    <w:rsid w:val="00B64F4F"/>
    <w:rsid w:val="00B65426"/>
    <w:rsid w:val="00B65491"/>
    <w:rsid w:val="00B65588"/>
    <w:rsid w:val="00B65660"/>
    <w:rsid w:val="00B658D1"/>
    <w:rsid w:val="00B65948"/>
    <w:rsid w:val="00B6595F"/>
    <w:rsid w:val="00B65A82"/>
    <w:rsid w:val="00B65AD2"/>
    <w:rsid w:val="00B65B65"/>
    <w:rsid w:val="00B65C73"/>
    <w:rsid w:val="00B65CF1"/>
    <w:rsid w:val="00B65EB1"/>
    <w:rsid w:val="00B65F39"/>
    <w:rsid w:val="00B65F57"/>
    <w:rsid w:val="00B65FAC"/>
    <w:rsid w:val="00B66031"/>
    <w:rsid w:val="00B66064"/>
    <w:rsid w:val="00B66084"/>
    <w:rsid w:val="00B662D7"/>
    <w:rsid w:val="00B663E3"/>
    <w:rsid w:val="00B66410"/>
    <w:rsid w:val="00B66792"/>
    <w:rsid w:val="00B668F8"/>
    <w:rsid w:val="00B6691A"/>
    <w:rsid w:val="00B6691B"/>
    <w:rsid w:val="00B66988"/>
    <w:rsid w:val="00B66995"/>
    <w:rsid w:val="00B66AA0"/>
    <w:rsid w:val="00B66AB6"/>
    <w:rsid w:val="00B66C46"/>
    <w:rsid w:val="00B66C6D"/>
    <w:rsid w:val="00B66D53"/>
    <w:rsid w:val="00B66E28"/>
    <w:rsid w:val="00B66E8D"/>
    <w:rsid w:val="00B67074"/>
    <w:rsid w:val="00B6712C"/>
    <w:rsid w:val="00B671A1"/>
    <w:rsid w:val="00B6727F"/>
    <w:rsid w:val="00B67426"/>
    <w:rsid w:val="00B675A6"/>
    <w:rsid w:val="00B675BE"/>
    <w:rsid w:val="00B675CB"/>
    <w:rsid w:val="00B67875"/>
    <w:rsid w:val="00B6794D"/>
    <w:rsid w:val="00B679E2"/>
    <w:rsid w:val="00B67A3D"/>
    <w:rsid w:val="00B67AB4"/>
    <w:rsid w:val="00B67B55"/>
    <w:rsid w:val="00B67B97"/>
    <w:rsid w:val="00B67BE5"/>
    <w:rsid w:val="00B67C0A"/>
    <w:rsid w:val="00B67C6C"/>
    <w:rsid w:val="00B67D7F"/>
    <w:rsid w:val="00B67E67"/>
    <w:rsid w:val="00B67E83"/>
    <w:rsid w:val="00B70034"/>
    <w:rsid w:val="00B700D4"/>
    <w:rsid w:val="00B702C2"/>
    <w:rsid w:val="00B703C0"/>
    <w:rsid w:val="00B704F2"/>
    <w:rsid w:val="00B70715"/>
    <w:rsid w:val="00B70C61"/>
    <w:rsid w:val="00B70D70"/>
    <w:rsid w:val="00B70DC3"/>
    <w:rsid w:val="00B70E5A"/>
    <w:rsid w:val="00B70E71"/>
    <w:rsid w:val="00B70E8A"/>
    <w:rsid w:val="00B70E8D"/>
    <w:rsid w:val="00B70EEE"/>
    <w:rsid w:val="00B71048"/>
    <w:rsid w:val="00B710E3"/>
    <w:rsid w:val="00B71928"/>
    <w:rsid w:val="00B719D5"/>
    <w:rsid w:val="00B71CFA"/>
    <w:rsid w:val="00B71DD0"/>
    <w:rsid w:val="00B71F22"/>
    <w:rsid w:val="00B71FC3"/>
    <w:rsid w:val="00B7207F"/>
    <w:rsid w:val="00B720F4"/>
    <w:rsid w:val="00B7220D"/>
    <w:rsid w:val="00B722B2"/>
    <w:rsid w:val="00B724E1"/>
    <w:rsid w:val="00B724E9"/>
    <w:rsid w:val="00B7250E"/>
    <w:rsid w:val="00B7258E"/>
    <w:rsid w:val="00B725E3"/>
    <w:rsid w:val="00B72652"/>
    <w:rsid w:val="00B7271D"/>
    <w:rsid w:val="00B72785"/>
    <w:rsid w:val="00B727C0"/>
    <w:rsid w:val="00B7286B"/>
    <w:rsid w:val="00B7295A"/>
    <w:rsid w:val="00B72AD4"/>
    <w:rsid w:val="00B72B73"/>
    <w:rsid w:val="00B72BDE"/>
    <w:rsid w:val="00B72CC7"/>
    <w:rsid w:val="00B72ED0"/>
    <w:rsid w:val="00B72EF0"/>
    <w:rsid w:val="00B731E9"/>
    <w:rsid w:val="00B732CC"/>
    <w:rsid w:val="00B7353B"/>
    <w:rsid w:val="00B7403E"/>
    <w:rsid w:val="00B741EB"/>
    <w:rsid w:val="00B74202"/>
    <w:rsid w:val="00B74449"/>
    <w:rsid w:val="00B7451A"/>
    <w:rsid w:val="00B7465C"/>
    <w:rsid w:val="00B747C8"/>
    <w:rsid w:val="00B7496E"/>
    <w:rsid w:val="00B749B6"/>
    <w:rsid w:val="00B74D19"/>
    <w:rsid w:val="00B74F56"/>
    <w:rsid w:val="00B75022"/>
    <w:rsid w:val="00B7509A"/>
    <w:rsid w:val="00B750BE"/>
    <w:rsid w:val="00B75152"/>
    <w:rsid w:val="00B75203"/>
    <w:rsid w:val="00B752D0"/>
    <w:rsid w:val="00B752EF"/>
    <w:rsid w:val="00B7551A"/>
    <w:rsid w:val="00B75615"/>
    <w:rsid w:val="00B7561C"/>
    <w:rsid w:val="00B7563C"/>
    <w:rsid w:val="00B75660"/>
    <w:rsid w:val="00B75682"/>
    <w:rsid w:val="00B756AD"/>
    <w:rsid w:val="00B757C1"/>
    <w:rsid w:val="00B75A14"/>
    <w:rsid w:val="00B75A3E"/>
    <w:rsid w:val="00B7613E"/>
    <w:rsid w:val="00B7616B"/>
    <w:rsid w:val="00B7633F"/>
    <w:rsid w:val="00B763F4"/>
    <w:rsid w:val="00B766C1"/>
    <w:rsid w:val="00B7679B"/>
    <w:rsid w:val="00B767C2"/>
    <w:rsid w:val="00B767CE"/>
    <w:rsid w:val="00B76966"/>
    <w:rsid w:val="00B769A4"/>
    <w:rsid w:val="00B76A05"/>
    <w:rsid w:val="00B76A50"/>
    <w:rsid w:val="00B76B96"/>
    <w:rsid w:val="00B76C3D"/>
    <w:rsid w:val="00B76CF2"/>
    <w:rsid w:val="00B76EFB"/>
    <w:rsid w:val="00B76FA1"/>
    <w:rsid w:val="00B77129"/>
    <w:rsid w:val="00B7720E"/>
    <w:rsid w:val="00B773AF"/>
    <w:rsid w:val="00B77528"/>
    <w:rsid w:val="00B775AA"/>
    <w:rsid w:val="00B77658"/>
    <w:rsid w:val="00B777F6"/>
    <w:rsid w:val="00B7786A"/>
    <w:rsid w:val="00B77897"/>
    <w:rsid w:val="00B779C5"/>
    <w:rsid w:val="00B77A5D"/>
    <w:rsid w:val="00B77A9E"/>
    <w:rsid w:val="00B77B9F"/>
    <w:rsid w:val="00B77C37"/>
    <w:rsid w:val="00B77E4F"/>
    <w:rsid w:val="00B77E82"/>
    <w:rsid w:val="00B8007D"/>
    <w:rsid w:val="00B800EC"/>
    <w:rsid w:val="00B8011F"/>
    <w:rsid w:val="00B803A3"/>
    <w:rsid w:val="00B807BF"/>
    <w:rsid w:val="00B809B1"/>
    <w:rsid w:val="00B809C1"/>
    <w:rsid w:val="00B80A47"/>
    <w:rsid w:val="00B80C5B"/>
    <w:rsid w:val="00B80E38"/>
    <w:rsid w:val="00B80F9E"/>
    <w:rsid w:val="00B80FCF"/>
    <w:rsid w:val="00B81222"/>
    <w:rsid w:val="00B8122D"/>
    <w:rsid w:val="00B8128A"/>
    <w:rsid w:val="00B8139F"/>
    <w:rsid w:val="00B814E4"/>
    <w:rsid w:val="00B815FE"/>
    <w:rsid w:val="00B8166F"/>
    <w:rsid w:val="00B817C0"/>
    <w:rsid w:val="00B817F3"/>
    <w:rsid w:val="00B81B6A"/>
    <w:rsid w:val="00B81B6C"/>
    <w:rsid w:val="00B81B8F"/>
    <w:rsid w:val="00B81BDF"/>
    <w:rsid w:val="00B81C1D"/>
    <w:rsid w:val="00B81C43"/>
    <w:rsid w:val="00B81C9F"/>
    <w:rsid w:val="00B8209A"/>
    <w:rsid w:val="00B821B2"/>
    <w:rsid w:val="00B821D7"/>
    <w:rsid w:val="00B821F0"/>
    <w:rsid w:val="00B822ED"/>
    <w:rsid w:val="00B8234D"/>
    <w:rsid w:val="00B8235F"/>
    <w:rsid w:val="00B824CD"/>
    <w:rsid w:val="00B824EB"/>
    <w:rsid w:val="00B8253A"/>
    <w:rsid w:val="00B82543"/>
    <w:rsid w:val="00B82613"/>
    <w:rsid w:val="00B82891"/>
    <w:rsid w:val="00B828E4"/>
    <w:rsid w:val="00B82998"/>
    <w:rsid w:val="00B82AD6"/>
    <w:rsid w:val="00B82B00"/>
    <w:rsid w:val="00B82BA6"/>
    <w:rsid w:val="00B82C8F"/>
    <w:rsid w:val="00B82E29"/>
    <w:rsid w:val="00B82F59"/>
    <w:rsid w:val="00B83169"/>
    <w:rsid w:val="00B83270"/>
    <w:rsid w:val="00B832A4"/>
    <w:rsid w:val="00B833EE"/>
    <w:rsid w:val="00B834B0"/>
    <w:rsid w:val="00B83709"/>
    <w:rsid w:val="00B837F6"/>
    <w:rsid w:val="00B83917"/>
    <w:rsid w:val="00B83A90"/>
    <w:rsid w:val="00B83DAE"/>
    <w:rsid w:val="00B83EFF"/>
    <w:rsid w:val="00B841EB"/>
    <w:rsid w:val="00B841F0"/>
    <w:rsid w:val="00B8427B"/>
    <w:rsid w:val="00B8446C"/>
    <w:rsid w:val="00B8451A"/>
    <w:rsid w:val="00B845C8"/>
    <w:rsid w:val="00B8484D"/>
    <w:rsid w:val="00B848D3"/>
    <w:rsid w:val="00B8490D"/>
    <w:rsid w:val="00B8490F"/>
    <w:rsid w:val="00B84B42"/>
    <w:rsid w:val="00B84E0C"/>
    <w:rsid w:val="00B84EBA"/>
    <w:rsid w:val="00B84F4A"/>
    <w:rsid w:val="00B84F69"/>
    <w:rsid w:val="00B84FB4"/>
    <w:rsid w:val="00B84FE0"/>
    <w:rsid w:val="00B84FFE"/>
    <w:rsid w:val="00B85029"/>
    <w:rsid w:val="00B8518C"/>
    <w:rsid w:val="00B859D4"/>
    <w:rsid w:val="00B85B0A"/>
    <w:rsid w:val="00B85B52"/>
    <w:rsid w:val="00B85D27"/>
    <w:rsid w:val="00B85F86"/>
    <w:rsid w:val="00B86024"/>
    <w:rsid w:val="00B86194"/>
    <w:rsid w:val="00B86222"/>
    <w:rsid w:val="00B862FC"/>
    <w:rsid w:val="00B863B6"/>
    <w:rsid w:val="00B864AF"/>
    <w:rsid w:val="00B864C7"/>
    <w:rsid w:val="00B86739"/>
    <w:rsid w:val="00B86812"/>
    <w:rsid w:val="00B869A6"/>
    <w:rsid w:val="00B86B6B"/>
    <w:rsid w:val="00B86C16"/>
    <w:rsid w:val="00B86D62"/>
    <w:rsid w:val="00B86FAD"/>
    <w:rsid w:val="00B871AF"/>
    <w:rsid w:val="00B87269"/>
    <w:rsid w:val="00B87472"/>
    <w:rsid w:val="00B8756E"/>
    <w:rsid w:val="00B875D1"/>
    <w:rsid w:val="00B8776F"/>
    <w:rsid w:val="00B8783D"/>
    <w:rsid w:val="00B87986"/>
    <w:rsid w:val="00B8798E"/>
    <w:rsid w:val="00B87D2F"/>
    <w:rsid w:val="00B87DF9"/>
    <w:rsid w:val="00B900D0"/>
    <w:rsid w:val="00B9017D"/>
    <w:rsid w:val="00B901A6"/>
    <w:rsid w:val="00B9023B"/>
    <w:rsid w:val="00B905F9"/>
    <w:rsid w:val="00B906CE"/>
    <w:rsid w:val="00B906FE"/>
    <w:rsid w:val="00B90B13"/>
    <w:rsid w:val="00B90BBA"/>
    <w:rsid w:val="00B90BF1"/>
    <w:rsid w:val="00B90CE9"/>
    <w:rsid w:val="00B90DBD"/>
    <w:rsid w:val="00B90E6B"/>
    <w:rsid w:val="00B90E97"/>
    <w:rsid w:val="00B90F0B"/>
    <w:rsid w:val="00B9133C"/>
    <w:rsid w:val="00B914D2"/>
    <w:rsid w:val="00B917D5"/>
    <w:rsid w:val="00B9185A"/>
    <w:rsid w:val="00B91951"/>
    <w:rsid w:val="00B91966"/>
    <w:rsid w:val="00B919F0"/>
    <w:rsid w:val="00B91A58"/>
    <w:rsid w:val="00B91B59"/>
    <w:rsid w:val="00B91CD7"/>
    <w:rsid w:val="00B91D75"/>
    <w:rsid w:val="00B91D9C"/>
    <w:rsid w:val="00B91E00"/>
    <w:rsid w:val="00B91E59"/>
    <w:rsid w:val="00B91EAD"/>
    <w:rsid w:val="00B91FBD"/>
    <w:rsid w:val="00B920B9"/>
    <w:rsid w:val="00B921B8"/>
    <w:rsid w:val="00B92393"/>
    <w:rsid w:val="00B92612"/>
    <w:rsid w:val="00B926CF"/>
    <w:rsid w:val="00B928AF"/>
    <w:rsid w:val="00B928C0"/>
    <w:rsid w:val="00B9290A"/>
    <w:rsid w:val="00B92924"/>
    <w:rsid w:val="00B9295F"/>
    <w:rsid w:val="00B92A71"/>
    <w:rsid w:val="00B92C09"/>
    <w:rsid w:val="00B92C15"/>
    <w:rsid w:val="00B92C8E"/>
    <w:rsid w:val="00B92E33"/>
    <w:rsid w:val="00B92E81"/>
    <w:rsid w:val="00B92EC7"/>
    <w:rsid w:val="00B92EF3"/>
    <w:rsid w:val="00B92F89"/>
    <w:rsid w:val="00B930D2"/>
    <w:rsid w:val="00B930EB"/>
    <w:rsid w:val="00B930FB"/>
    <w:rsid w:val="00B93232"/>
    <w:rsid w:val="00B93287"/>
    <w:rsid w:val="00B9331D"/>
    <w:rsid w:val="00B935F0"/>
    <w:rsid w:val="00B937CD"/>
    <w:rsid w:val="00B938BC"/>
    <w:rsid w:val="00B93997"/>
    <w:rsid w:val="00B939E0"/>
    <w:rsid w:val="00B93C98"/>
    <w:rsid w:val="00B93E50"/>
    <w:rsid w:val="00B941B1"/>
    <w:rsid w:val="00B94218"/>
    <w:rsid w:val="00B945C4"/>
    <w:rsid w:val="00B9463F"/>
    <w:rsid w:val="00B94C64"/>
    <w:rsid w:val="00B95088"/>
    <w:rsid w:val="00B950A8"/>
    <w:rsid w:val="00B950FA"/>
    <w:rsid w:val="00B9531E"/>
    <w:rsid w:val="00B9538F"/>
    <w:rsid w:val="00B9543E"/>
    <w:rsid w:val="00B9548F"/>
    <w:rsid w:val="00B95544"/>
    <w:rsid w:val="00B956BF"/>
    <w:rsid w:val="00B95890"/>
    <w:rsid w:val="00B9592C"/>
    <w:rsid w:val="00B95A84"/>
    <w:rsid w:val="00B95B0D"/>
    <w:rsid w:val="00B95D98"/>
    <w:rsid w:val="00B96256"/>
    <w:rsid w:val="00B96332"/>
    <w:rsid w:val="00B96472"/>
    <w:rsid w:val="00B96488"/>
    <w:rsid w:val="00B964C8"/>
    <w:rsid w:val="00B9653D"/>
    <w:rsid w:val="00B96968"/>
    <w:rsid w:val="00B96D98"/>
    <w:rsid w:val="00B96E17"/>
    <w:rsid w:val="00B96ED0"/>
    <w:rsid w:val="00B97118"/>
    <w:rsid w:val="00B97174"/>
    <w:rsid w:val="00B97182"/>
    <w:rsid w:val="00B97392"/>
    <w:rsid w:val="00B97394"/>
    <w:rsid w:val="00B973A2"/>
    <w:rsid w:val="00B974FF"/>
    <w:rsid w:val="00B976AD"/>
    <w:rsid w:val="00B976BB"/>
    <w:rsid w:val="00B977EC"/>
    <w:rsid w:val="00B97956"/>
    <w:rsid w:val="00B979F7"/>
    <w:rsid w:val="00B97AA5"/>
    <w:rsid w:val="00B97AAE"/>
    <w:rsid w:val="00B97BF8"/>
    <w:rsid w:val="00B97D32"/>
    <w:rsid w:val="00B97D33"/>
    <w:rsid w:val="00B97E4D"/>
    <w:rsid w:val="00B97EBA"/>
    <w:rsid w:val="00BA01A0"/>
    <w:rsid w:val="00BA01A7"/>
    <w:rsid w:val="00BA0224"/>
    <w:rsid w:val="00BA0355"/>
    <w:rsid w:val="00BA05B7"/>
    <w:rsid w:val="00BA05C8"/>
    <w:rsid w:val="00BA05ED"/>
    <w:rsid w:val="00BA06F6"/>
    <w:rsid w:val="00BA07A5"/>
    <w:rsid w:val="00BA084A"/>
    <w:rsid w:val="00BA0951"/>
    <w:rsid w:val="00BA09A4"/>
    <w:rsid w:val="00BA09AA"/>
    <w:rsid w:val="00BA0AD5"/>
    <w:rsid w:val="00BA0B97"/>
    <w:rsid w:val="00BA0C39"/>
    <w:rsid w:val="00BA0C49"/>
    <w:rsid w:val="00BA0CA0"/>
    <w:rsid w:val="00BA0D75"/>
    <w:rsid w:val="00BA0DF7"/>
    <w:rsid w:val="00BA0E3C"/>
    <w:rsid w:val="00BA0F91"/>
    <w:rsid w:val="00BA1116"/>
    <w:rsid w:val="00BA1160"/>
    <w:rsid w:val="00BA13B8"/>
    <w:rsid w:val="00BA18DA"/>
    <w:rsid w:val="00BA1A93"/>
    <w:rsid w:val="00BA1CC5"/>
    <w:rsid w:val="00BA1D01"/>
    <w:rsid w:val="00BA1D42"/>
    <w:rsid w:val="00BA1D6D"/>
    <w:rsid w:val="00BA1DBF"/>
    <w:rsid w:val="00BA1F74"/>
    <w:rsid w:val="00BA1FE7"/>
    <w:rsid w:val="00BA20EA"/>
    <w:rsid w:val="00BA21FE"/>
    <w:rsid w:val="00BA222C"/>
    <w:rsid w:val="00BA2317"/>
    <w:rsid w:val="00BA258F"/>
    <w:rsid w:val="00BA2674"/>
    <w:rsid w:val="00BA2ADC"/>
    <w:rsid w:val="00BA2B1D"/>
    <w:rsid w:val="00BA2B63"/>
    <w:rsid w:val="00BA2B82"/>
    <w:rsid w:val="00BA2E16"/>
    <w:rsid w:val="00BA2E4A"/>
    <w:rsid w:val="00BA2F9F"/>
    <w:rsid w:val="00BA3089"/>
    <w:rsid w:val="00BA312F"/>
    <w:rsid w:val="00BA316E"/>
    <w:rsid w:val="00BA31FD"/>
    <w:rsid w:val="00BA3273"/>
    <w:rsid w:val="00BA34E5"/>
    <w:rsid w:val="00BA350D"/>
    <w:rsid w:val="00BA37B5"/>
    <w:rsid w:val="00BA398E"/>
    <w:rsid w:val="00BA3AE4"/>
    <w:rsid w:val="00BA3C0D"/>
    <w:rsid w:val="00BA3D14"/>
    <w:rsid w:val="00BA3FD1"/>
    <w:rsid w:val="00BA4023"/>
    <w:rsid w:val="00BA413B"/>
    <w:rsid w:val="00BA413D"/>
    <w:rsid w:val="00BA41FF"/>
    <w:rsid w:val="00BA435A"/>
    <w:rsid w:val="00BA447E"/>
    <w:rsid w:val="00BA4505"/>
    <w:rsid w:val="00BA4858"/>
    <w:rsid w:val="00BA487B"/>
    <w:rsid w:val="00BA49E2"/>
    <w:rsid w:val="00BA4A98"/>
    <w:rsid w:val="00BA4FDA"/>
    <w:rsid w:val="00BA5017"/>
    <w:rsid w:val="00BA5023"/>
    <w:rsid w:val="00BA5166"/>
    <w:rsid w:val="00BA52B6"/>
    <w:rsid w:val="00BA534A"/>
    <w:rsid w:val="00BA53CA"/>
    <w:rsid w:val="00BA54BA"/>
    <w:rsid w:val="00BA55A1"/>
    <w:rsid w:val="00BA55CB"/>
    <w:rsid w:val="00BA5603"/>
    <w:rsid w:val="00BA5607"/>
    <w:rsid w:val="00BA5618"/>
    <w:rsid w:val="00BA562D"/>
    <w:rsid w:val="00BA5692"/>
    <w:rsid w:val="00BA56D9"/>
    <w:rsid w:val="00BA5846"/>
    <w:rsid w:val="00BA5AF9"/>
    <w:rsid w:val="00BA5B51"/>
    <w:rsid w:val="00BA5C94"/>
    <w:rsid w:val="00BA5E6D"/>
    <w:rsid w:val="00BA60D0"/>
    <w:rsid w:val="00BA6194"/>
    <w:rsid w:val="00BA64A4"/>
    <w:rsid w:val="00BA672E"/>
    <w:rsid w:val="00BA6759"/>
    <w:rsid w:val="00BA6795"/>
    <w:rsid w:val="00BA6997"/>
    <w:rsid w:val="00BA6AB8"/>
    <w:rsid w:val="00BA6B09"/>
    <w:rsid w:val="00BA6B4C"/>
    <w:rsid w:val="00BA6F2C"/>
    <w:rsid w:val="00BA716B"/>
    <w:rsid w:val="00BA71F3"/>
    <w:rsid w:val="00BA754E"/>
    <w:rsid w:val="00BA797F"/>
    <w:rsid w:val="00BA79D8"/>
    <w:rsid w:val="00BA7B97"/>
    <w:rsid w:val="00BA7D3D"/>
    <w:rsid w:val="00BA7DD3"/>
    <w:rsid w:val="00BA7E14"/>
    <w:rsid w:val="00BA7E6C"/>
    <w:rsid w:val="00BA7EB5"/>
    <w:rsid w:val="00BA7EEE"/>
    <w:rsid w:val="00BA7F77"/>
    <w:rsid w:val="00BA7FEE"/>
    <w:rsid w:val="00BB0020"/>
    <w:rsid w:val="00BB0433"/>
    <w:rsid w:val="00BB0482"/>
    <w:rsid w:val="00BB0615"/>
    <w:rsid w:val="00BB073C"/>
    <w:rsid w:val="00BB0937"/>
    <w:rsid w:val="00BB0A5E"/>
    <w:rsid w:val="00BB0AEC"/>
    <w:rsid w:val="00BB0CB2"/>
    <w:rsid w:val="00BB0CC3"/>
    <w:rsid w:val="00BB0D1D"/>
    <w:rsid w:val="00BB0DC9"/>
    <w:rsid w:val="00BB0DF8"/>
    <w:rsid w:val="00BB0E3A"/>
    <w:rsid w:val="00BB0FF5"/>
    <w:rsid w:val="00BB10AB"/>
    <w:rsid w:val="00BB10E4"/>
    <w:rsid w:val="00BB1148"/>
    <w:rsid w:val="00BB138C"/>
    <w:rsid w:val="00BB14F4"/>
    <w:rsid w:val="00BB14FA"/>
    <w:rsid w:val="00BB1922"/>
    <w:rsid w:val="00BB1BA6"/>
    <w:rsid w:val="00BB1C42"/>
    <w:rsid w:val="00BB1D02"/>
    <w:rsid w:val="00BB1F0C"/>
    <w:rsid w:val="00BB1F38"/>
    <w:rsid w:val="00BB2008"/>
    <w:rsid w:val="00BB203C"/>
    <w:rsid w:val="00BB2166"/>
    <w:rsid w:val="00BB21D1"/>
    <w:rsid w:val="00BB222B"/>
    <w:rsid w:val="00BB2251"/>
    <w:rsid w:val="00BB2292"/>
    <w:rsid w:val="00BB23FA"/>
    <w:rsid w:val="00BB25AD"/>
    <w:rsid w:val="00BB2734"/>
    <w:rsid w:val="00BB2793"/>
    <w:rsid w:val="00BB2872"/>
    <w:rsid w:val="00BB29DF"/>
    <w:rsid w:val="00BB29E8"/>
    <w:rsid w:val="00BB2A62"/>
    <w:rsid w:val="00BB2AEE"/>
    <w:rsid w:val="00BB2C27"/>
    <w:rsid w:val="00BB2CFC"/>
    <w:rsid w:val="00BB302F"/>
    <w:rsid w:val="00BB303C"/>
    <w:rsid w:val="00BB34DC"/>
    <w:rsid w:val="00BB3566"/>
    <w:rsid w:val="00BB35D0"/>
    <w:rsid w:val="00BB3809"/>
    <w:rsid w:val="00BB3AC4"/>
    <w:rsid w:val="00BB3B1F"/>
    <w:rsid w:val="00BB3CA9"/>
    <w:rsid w:val="00BB3CFC"/>
    <w:rsid w:val="00BB3E70"/>
    <w:rsid w:val="00BB3EA2"/>
    <w:rsid w:val="00BB3FE2"/>
    <w:rsid w:val="00BB4022"/>
    <w:rsid w:val="00BB418F"/>
    <w:rsid w:val="00BB420A"/>
    <w:rsid w:val="00BB436A"/>
    <w:rsid w:val="00BB471F"/>
    <w:rsid w:val="00BB48C0"/>
    <w:rsid w:val="00BB4923"/>
    <w:rsid w:val="00BB4999"/>
    <w:rsid w:val="00BB4A21"/>
    <w:rsid w:val="00BB4B87"/>
    <w:rsid w:val="00BB4BCD"/>
    <w:rsid w:val="00BB4D4E"/>
    <w:rsid w:val="00BB4D51"/>
    <w:rsid w:val="00BB4F1B"/>
    <w:rsid w:val="00BB502F"/>
    <w:rsid w:val="00BB5096"/>
    <w:rsid w:val="00BB566A"/>
    <w:rsid w:val="00BB56C7"/>
    <w:rsid w:val="00BB5B62"/>
    <w:rsid w:val="00BB5C93"/>
    <w:rsid w:val="00BB5DAB"/>
    <w:rsid w:val="00BB5E32"/>
    <w:rsid w:val="00BB5F72"/>
    <w:rsid w:val="00BB6005"/>
    <w:rsid w:val="00BB60FD"/>
    <w:rsid w:val="00BB61C7"/>
    <w:rsid w:val="00BB6206"/>
    <w:rsid w:val="00BB621C"/>
    <w:rsid w:val="00BB6390"/>
    <w:rsid w:val="00BB63F7"/>
    <w:rsid w:val="00BB64C3"/>
    <w:rsid w:val="00BB6502"/>
    <w:rsid w:val="00BB658F"/>
    <w:rsid w:val="00BB68AF"/>
    <w:rsid w:val="00BB68B2"/>
    <w:rsid w:val="00BB68CD"/>
    <w:rsid w:val="00BB6BCD"/>
    <w:rsid w:val="00BB6C0B"/>
    <w:rsid w:val="00BB6E3E"/>
    <w:rsid w:val="00BB6E8E"/>
    <w:rsid w:val="00BB6FC2"/>
    <w:rsid w:val="00BB70F9"/>
    <w:rsid w:val="00BB72D3"/>
    <w:rsid w:val="00BB736D"/>
    <w:rsid w:val="00BB7481"/>
    <w:rsid w:val="00BB7696"/>
    <w:rsid w:val="00BB7725"/>
    <w:rsid w:val="00BB7B0C"/>
    <w:rsid w:val="00BB7BEE"/>
    <w:rsid w:val="00BB7C9B"/>
    <w:rsid w:val="00BB7CD6"/>
    <w:rsid w:val="00BB7DC1"/>
    <w:rsid w:val="00BB7E04"/>
    <w:rsid w:val="00BB7E2A"/>
    <w:rsid w:val="00BB7E8B"/>
    <w:rsid w:val="00BC05F0"/>
    <w:rsid w:val="00BC0837"/>
    <w:rsid w:val="00BC0958"/>
    <w:rsid w:val="00BC0C60"/>
    <w:rsid w:val="00BC0E4A"/>
    <w:rsid w:val="00BC0EE0"/>
    <w:rsid w:val="00BC0F87"/>
    <w:rsid w:val="00BC126B"/>
    <w:rsid w:val="00BC12B4"/>
    <w:rsid w:val="00BC13D1"/>
    <w:rsid w:val="00BC1527"/>
    <w:rsid w:val="00BC176F"/>
    <w:rsid w:val="00BC190B"/>
    <w:rsid w:val="00BC191F"/>
    <w:rsid w:val="00BC196E"/>
    <w:rsid w:val="00BC19C5"/>
    <w:rsid w:val="00BC19CF"/>
    <w:rsid w:val="00BC1A8F"/>
    <w:rsid w:val="00BC1AAD"/>
    <w:rsid w:val="00BC1ACB"/>
    <w:rsid w:val="00BC1BBC"/>
    <w:rsid w:val="00BC1C4F"/>
    <w:rsid w:val="00BC1D16"/>
    <w:rsid w:val="00BC1E26"/>
    <w:rsid w:val="00BC1E54"/>
    <w:rsid w:val="00BC2003"/>
    <w:rsid w:val="00BC201B"/>
    <w:rsid w:val="00BC21C7"/>
    <w:rsid w:val="00BC2306"/>
    <w:rsid w:val="00BC2378"/>
    <w:rsid w:val="00BC237C"/>
    <w:rsid w:val="00BC249E"/>
    <w:rsid w:val="00BC24E5"/>
    <w:rsid w:val="00BC2530"/>
    <w:rsid w:val="00BC25DA"/>
    <w:rsid w:val="00BC2605"/>
    <w:rsid w:val="00BC2867"/>
    <w:rsid w:val="00BC2A4B"/>
    <w:rsid w:val="00BC2EEA"/>
    <w:rsid w:val="00BC2F31"/>
    <w:rsid w:val="00BC30D1"/>
    <w:rsid w:val="00BC31CD"/>
    <w:rsid w:val="00BC33AE"/>
    <w:rsid w:val="00BC34FB"/>
    <w:rsid w:val="00BC3563"/>
    <w:rsid w:val="00BC3853"/>
    <w:rsid w:val="00BC3C82"/>
    <w:rsid w:val="00BC3C98"/>
    <w:rsid w:val="00BC3CD8"/>
    <w:rsid w:val="00BC3D9E"/>
    <w:rsid w:val="00BC3DA0"/>
    <w:rsid w:val="00BC3E6A"/>
    <w:rsid w:val="00BC3F0C"/>
    <w:rsid w:val="00BC4036"/>
    <w:rsid w:val="00BC403E"/>
    <w:rsid w:val="00BC40AD"/>
    <w:rsid w:val="00BC414D"/>
    <w:rsid w:val="00BC41A6"/>
    <w:rsid w:val="00BC42F9"/>
    <w:rsid w:val="00BC4510"/>
    <w:rsid w:val="00BC45FE"/>
    <w:rsid w:val="00BC465E"/>
    <w:rsid w:val="00BC46A4"/>
    <w:rsid w:val="00BC49FD"/>
    <w:rsid w:val="00BC4A4A"/>
    <w:rsid w:val="00BC4AED"/>
    <w:rsid w:val="00BC4B19"/>
    <w:rsid w:val="00BC4C5D"/>
    <w:rsid w:val="00BC4D37"/>
    <w:rsid w:val="00BC4F0A"/>
    <w:rsid w:val="00BC4F8C"/>
    <w:rsid w:val="00BC509F"/>
    <w:rsid w:val="00BC51D2"/>
    <w:rsid w:val="00BC51E6"/>
    <w:rsid w:val="00BC5347"/>
    <w:rsid w:val="00BC53DC"/>
    <w:rsid w:val="00BC545F"/>
    <w:rsid w:val="00BC555F"/>
    <w:rsid w:val="00BC556C"/>
    <w:rsid w:val="00BC55B4"/>
    <w:rsid w:val="00BC568D"/>
    <w:rsid w:val="00BC56F5"/>
    <w:rsid w:val="00BC570D"/>
    <w:rsid w:val="00BC5865"/>
    <w:rsid w:val="00BC5AB8"/>
    <w:rsid w:val="00BC5EC3"/>
    <w:rsid w:val="00BC602D"/>
    <w:rsid w:val="00BC6148"/>
    <w:rsid w:val="00BC64BE"/>
    <w:rsid w:val="00BC65F9"/>
    <w:rsid w:val="00BC6622"/>
    <w:rsid w:val="00BC6767"/>
    <w:rsid w:val="00BC67FA"/>
    <w:rsid w:val="00BC6881"/>
    <w:rsid w:val="00BC6AB0"/>
    <w:rsid w:val="00BC6B57"/>
    <w:rsid w:val="00BC6D6F"/>
    <w:rsid w:val="00BC6D7C"/>
    <w:rsid w:val="00BC6DDF"/>
    <w:rsid w:val="00BC7155"/>
    <w:rsid w:val="00BC7202"/>
    <w:rsid w:val="00BC727F"/>
    <w:rsid w:val="00BC72E2"/>
    <w:rsid w:val="00BC7322"/>
    <w:rsid w:val="00BC7365"/>
    <w:rsid w:val="00BC747A"/>
    <w:rsid w:val="00BC7550"/>
    <w:rsid w:val="00BC76F9"/>
    <w:rsid w:val="00BC7720"/>
    <w:rsid w:val="00BC7784"/>
    <w:rsid w:val="00BC782C"/>
    <w:rsid w:val="00BC786F"/>
    <w:rsid w:val="00BC7DA0"/>
    <w:rsid w:val="00BC7EBA"/>
    <w:rsid w:val="00BC7FD6"/>
    <w:rsid w:val="00BC7FF6"/>
    <w:rsid w:val="00BD0192"/>
    <w:rsid w:val="00BD03A6"/>
    <w:rsid w:val="00BD085D"/>
    <w:rsid w:val="00BD08C7"/>
    <w:rsid w:val="00BD0B13"/>
    <w:rsid w:val="00BD0B38"/>
    <w:rsid w:val="00BD0B72"/>
    <w:rsid w:val="00BD0D98"/>
    <w:rsid w:val="00BD0EED"/>
    <w:rsid w:val="00BD0F5B"/>
    <w:rsid w:val="00BD0FD5"/>
    <w:rsid w:val="00BD1184"/>
    <w:rsid w:val="00BD1248"/>
    <w:rsid w:val="00BD1281"/>
    <w:rsid w:val="00BD1304"/>
    <w:rsid w:val="00BD15A4"/>
    <w:rsid w:val="00BD1651"/>
    <w:rsid w:val="00BD16F8"/>
    <w:rsid w:val="00BD17C5"/>
    <w:rsid w:val="00BD180F"/>
    <w:rsid w:val="00BD19B4"/>
    <w:rsid w:val="00BD1AFB"/>
    <w:rsid w:val="00BD1C97"/>
    <w:rsid w:val="00BD1DF2"/>
    <w:rsid w:val="00BD24D8"/>
    <w:rsid w:val="00BD2668"/>
    <w:rsid w:val="00BD26FF"/>
    <w:rsid w:val="00BD275E"/>
    <w:rsid w:val="00BD299F"/>
    <w:rsid w:val="00BD29CC"/>
    <w:rsid w:val="00BD2E0D"/>
    <w:rsid w:val="00BD2E19"/>
    <w:rsid w:val="00BD2E63"/>
    <w:rsid w:val="00BD2ECB"/>
    <w:rsid w:val="00BD3316"/>
    <w:rsid w:val="00BD3421"/>
    <w:rsid w:val="00BD3610"/>
    <w:rsid w:val="00BD3924"/>
    <w:rsid w:val="00BD3959"/>
    <w:rsid w:val="00BD39DF"/>
    <w:rsid w:val="00BD3A2E"/>
    <w:rsid w:val="00BD3A5C"/>
    <w:rsid w:val="00BD3AB7"/>
    <w:rsid w:val="00BD3C30"/>
    <w:rsid w:val="00BD3D29"/>
    <w:rsid w:val="00BD3D6C"/>
    <w:rsid w:val="00BD3D9E"/>
    <w:rsid w:val="00BD3EDF"/>
    <w:rsid w:val="00BD3EE0"/>
    <w:rsid w:val="00BD3FA1"/>
    <w:rsid w:val="00BD41BD"/>
    <w:rsid w:val="00BD438D"/>
    <w:rsid w:val="00BD450F"/>
    <w:rsid w:val="00BD4512"/>
    <w:rsid w:val="00BD4557"/>
    <w:rsid w:val="00BD4592"/>
    <w:rsid w:val="00BD4631"/>
    <w:rsid w:val="00BD4E53"/>
    <w:rsid w:val="00BD4E86"/>
    <w:rsid w:val="00BD4F43"/>
    <w:rsid w:val="00BD5274"/>
    <w:rsid w:val="00BD52AA"/>
    <w:rsid w:val="00BD56BF"/>
    <w:rsid w:val="00BD56D1"/>
    <w:rsid w:val="00BD56E5"/>
    <w:rsid w:val="00BD5C95"/>
    <w:rsid w:val="00BD5E3F"/>
    <w:rsid w:val="00BD5F1B"/>
    <w:rsid w:val="00BD5F56"/>
    <w:rsid w:val="00BD5FB1"/>
    <w:rsid w:val="00BD5FCB"/>
    <w:rsid w:val="00BD6279"/>
    <w:rsid w:val="00BD6300"/>
    <w:rsid w:val="00BD637E"/>
    <w:rsid w:val="00BD640E"/>
    <w:rsid w:val="00BD641B"/>
    <w:rsid w:val="00BD6487"/>
    <w:rsid w:val="00BD65AB"/>
    <w:rsid w:val="00BD65CE"/>
    <w:rsid w:val="00BD6688"/>
    <w:rsid w:val="00BD669E"/>
    <w:rsid w:val="00BD6826"/>
    <w:rsid w:val="00BD684A"/>
    <w:rsid w:val="00BD685C"/>
    <w:rsid w:val="00BD68B9"/>
    <w:rsid w:val="00BD6913"/>
    <w:rsid w:val="00BD6983"/>
    <w:rsid w:val="00BD6C47"/>
    <w:rsid w:val="00BD7202"/>
    <w:rsid w:val="00BD72FC"/>
    <w:rsid w:val="00BD7424"/>
    <w:rsid w:val="00BD7647"/>
    <w:rsid w:val="00BD76C2"/>
    <w:rsid w:val="00BD783B"/>
    <w:rsid w:val="00BD78B8"/>
    <w:rsid w:val="00BD796A"/>
    <w:rsid w:val="00BD79CA"/>
    <w:rsid w:val="00BD79EE"/>
    <w:rsid w:val="00BD7AB4"/>
    <w:rsid w:val="00BD7B3A"/>
    <w:rsid w:val="00BD7B77"/>
    <w:rsid w:val="00BD7E36"/>
    <w:rsid w:val="00BD7E51"/>
    <w:rsid w:val="00BD7E83"/>
    <w:rsid w:val="00BD7EF9"/>
    <w:rsid w:val="00BD7F73"/>
    <w:rsid w:val="00BDABDD"/>
    <w:rsid w:val="00BE0025"/>
    <w:rsid w:val="00BE0173"/>
    <w:rsid w:val="00BE0292"/>
    <w:rsid w:val="00BE02F8"/>
    <w:rsid w:val="00BE037A"/>
    <w:rsid w:val="00BE03CE"/>
    <w:rsid w:val="00BE061E"/>
    <w:rsid w:val="00BE0662"/>
    <w:rsid w:val="00BE0A1D"/>
    <w:rsid w:val="00BE0A2A"/>
    <w:rsid w:val="00BE0A3F"/>
    <w:rsid w:val="00BE0B84"/>
    <w:rsid w:val="00BE0BD4"/>
    <w:rsid w:val="00BE0CF7"/>
    <w:rsid w:val="00BE0D31"/>
    <w:rsid w:val="00BE0F52"/>
    <w:rsid w:val="00BE1061"/>
    <w:rsid w:val="00BE1257"/>
    <w:rsid w:val="00BE1321"/>
    <w:rsid w:val="00BE1494"/>
    <w:rsid w:val="00BE1615"/>
    <w:rsid w:val="00BE16C6"/>
    <w:rsid w:val="00BE1798"/>
    <w:rsid w:val="00BE1DDC"/>
    <w:rsid w:val="00BE21BE"/>
    <w:rsid w:val="00BE22CA"/>
    <w:rsid w:val="00BE260A"/>
    <w:rsid w:val="00BE2763"/>
    <w:rsid w:val="00BE2893"/>
    <w:rsid w:val="00BE2B06"/>
    <w:rsid w:val="00BE2B10"/>
    <w:rsid w:val="00BE2CE0"/>
    <w:rsid w:val="00BE2D6F"/>
    <w:rsid w:val="00BE2EB4"/>
    <w:rsid w:val="00BE2F5A"/>
    <w:rsid w:val="00BE2F94"/>
    <w:rsid w:val="00BE2FC8"/>
    <w:rsid w:val="00BE30DD"/>
    <w:rsid w:val="00BE3333"/>
    <w:rsid w:val="00BE33FE"/>
    <w:rsid w:val="00BE340A"/>
    <w:rsid w:val="00BE34C4"/>
    <w:rsid w:val="00BE357E"/>
    <w:rsid w:val="00BE368A"/>
    <w:rsid w:val="00BE3744"/>
    <w:rsid w:val="00BE3789"/>
    <w:rsid w:val="00BE37D3"/>
    <w:rsid w:val="00BE3A54"/>
    <w:rsid w:val="00BE3A63"/>
    <w:rsid w:val="00BE3A88"/>
    <w:rsid w:val="00BE3B96"/>
    <w:rsid w:val="00BE3C36"/>
    <w:rsid w:val="00BE3F1C"/>
    <w:rsid w:val="00BE4072"/>
    <w:rsid w:val="00BE4144"/>
    <w:rsid w:val="00BE415B"/>
    <w:rsid w:val="00BE4191"/>
    <w:rsid w:val="00BE4358"/>
    <w:rsid w:val="00BE4379"/>
    <w:rsid w:val="00BE46C9"/>
    <w:rsid w:val="00BE49E9"/>
    <w:rsid w:val="00BE4AB6"/>
    <w:rsid w:val="00BE4B9E"/>
    <w:rsid w:val="00BE4C47"/>
    <w:rsid w:val="00BE4FC4"/>
    <w:rsid w:val="00BE5027"/>
    <w:rsid w:val="00BE522A"/>
    <w:rsid w:val="00BE534D"/>
    <w:rsid w:val="00BE5359"/>
    <w:rsid w:val="00BE5377"/>
    <w:rsid w:val="00BE555D"/>
    <w:rsid w:val="00BE55FA"/>
    <w:rsid w:val="00BE57B5"/>
    <w:rsid w:val="00BE584C"/>
    <w:rsid w:val="00BE5901"/>
    <w:rsid w:val="00BE5B3D"/>
    <w:rsid w:val="00BE5E53"/>
    <w:rsid w:val="00BE5EC8"/>
    <w:rsid w:val="00BE5FA1"/>
    <w:rsid w:val="00BE6068"/>
    <w:rsid w:val="00BE6087"/>
    <w:rsid w:val="00BE61F9"/>
    <w:rsid w:val="00BE64EE"/>
    <w:rsid w:val="00BE6574"/>
    <w:rsid w:val="00BE65D9"/>
    <w:rsid w:val="00BE68D8"/>
    <w:rsid w:val="00BE6914"/>
    <w:rsid w:val="00BE69A8"/>
    <w:rsid w:val="00BE69ED"/>
    <w:rsid w:val="00BE6C79"/>
    <w:rsid w:val="00BE7042"/>
    <w:rsid w:val="00BE71A7"/>
    <w:rsid w:val="00BE71DF"/>
    <w:rsid w:val="00BE721C"/>
    <w:rsid w:val="00BE7220"/>
    <w:rsid w:val="00BE73D9"/>
    <w:rsid w:val="00BE765C"/>
    <w:rsid w:val="00BE799E"/>
    <w:rsid w:val="00BE7A7C"/>
    <w:rsid w:val="00BE7C13"/>
    <w:rsid w:val="00BE7CAA"/>
    <w:rsid w:val="00BE7CF1"/>
    <w:rsid w:val="00BE7D2E"/>
    <w:rsid w:val="00BE7E60"/>
    <w:rsid w:val="00BE7F3C"/>
    <w:rsid w:val="00BF0403"/>
    <w:rsid w:val="00BF04EB"/>
    <w:rsid w:val="00BF053C"/>
    <w:rsid w:val="00BF0728"/>
    <w:rsid w:val="00BF074F"/>
    <w:rsid w:val="00BF0866"/>
    <w:rsid w:val="00BF0A0B"/>
    <w:rsid w:val="00BF0A13"/>
    <w:rsid w:val="00BF0A44"/>
    <w:rsid w:val="00BF0CCA"/>
    <w:rsid w:val="00BF0CEC"/>
    <w:rsid w:val="00BF0E4D"/>
    <w:rsid w:val="00BF0EDC"/>
    <w:rsid w:val="00BF1451"/>
    <w:rsid w:val="00BF1537"/>
    <w:rsid w:val="00BF16FA"/>
    <w:rsid w:val="00BF1860"/>
    <w:rsid w:val="00BF190D"/>
    <w:rsid w:val="00BF1A44"/>
    <w:rsid w:val="00BF1A8C"/>
    <w:rsid w:val="00BF1AB4"/>
    <w:rsid w:val="00BF1C3F"/>
    <w:rsid w:val="00BF1E0C"/>
    <w:rsid w:val="00BF1EDF"/>
    <w:rsid w:val="00BF1F12"/>
    <w:rsid w:val="00BF1FA7"/>
    <w:rsid w:val="00BF1FE0"/>
    <w:rsid w:val="00BF208B"/>
    <w:rsid w:val="00BF21BE"/>
    <w:rsid w:val="00BF21FD"/>
    <w:rsid w:val="00BF22DB"/>
    <w:rsid w:val="00BF23C5"/>
    <w:rsid w:val="00BF2467"/>
    <w:rsid w:val="00BF2495"/>
    <w:rsid w:val="00BF2634"/>
    <w:rsid w:val="00BF27EB"/>
    <w:rsid w:val="00BF2874"/>
    <w:rsid w:val="00BF319F"/>
    <w:rsid w:val="00BF33B5"/>
    <w:rsid w:val="00BF340E"/>
    <w:rsid w:val="00BF353D"/>
    <w:rsid w:val="00BF3581"/>
    <w:rsid w:val="00BF362F"/>
    <w:rsid w:val="00BF38EF"/>
    <w:rsid w:val="00BF3923"/>
    <w:rsid w:val="00BF392E"/>
    <w:rsid w:val="00BF3975"/>
    <w:rsid w:val="00BF39BD"/>
    <w:rsid w:val="00BF3B5F"/>
    <w:rsid w:val="00BF3D25"/>
    <w:rsid w:val="00BF3E70"/>
    <w:rsid w:val="00BF3EAD"/>
    <w:rsid w:val="00BF4165"/>
    <w:rsid w:val="00BF41E6"/>
    <w:rsid w:val="00BF4371"/>
    <w:rsid w:val="00BF4380"/>
    <w:rsid w:val="00BF4415"/>
    <w:rsid w:val="00BF4471"/>
    <w:rsid w:val="00BF4604"/>
    <w:rsid w:val="00BF4823"/>
    <w:rsid w:val="00BF4832"/>
    <w:rsid w:val="00BF4915"/>
    <w:rsid w:val="00BF4C81"/>
    <w:rsid w:val="00BF4D3D"/>
    <w:rsid w:val="00BF4D52"/>
    <w:rsid w:val="00BF4D6E"/>
    <w:rsid w:val="00BF4E3A"/>
    <w:rsid w:val="00BF4F98"/>
    <w:rsid w:val="00BF51F4"/>
    <w:rsid w:val="00BF553B"/>
    <w:rsid w:val="00BF5747"/>
    <w:rsid w:val="00BF58F9"/>
    <w:rsid w:val="00BF5965"/>
    <w:rsid w:val="00BF5B8C"/>
    <w:rsid w:val="00BF5C81"/>
    <w:rsid w:val="00BF5D73"/>
    <w:rsid w:val="00BF5E13"/>
    <w:rsid w:val="00BF5F39"/>
    <w:rsid w:val="00BF5F9C"/>
    <w:rsid w:val="00BF6016"/>
    <w:rsid w:val="00BF624D"/>
    <w:rsid w:val="00BF62A0"/>
    <w:rsid w:val="00BF66B7"/>
    <w:rsid w:val="00BF6817"/>
    <w:rsid w:val="00BF6A68"/>
    <w:rsid w:val="00BF6AEA"/>
    <w:rsid w:val="00BF6C10"/>
    <w:rsid w:val="00BF6CEE"/>
    <w:rsid w:val="00BF6D59"/>
    <w:rsid w:val="00BF6DA7"/>
    <w:rsid w:val="00BF7152"/>
    <w:rsid w:val="00BF71B1"/>
    <w:rsid w:val="00BF7219"/>
    <w:rsid w:val="00BF7321"/>
    <w:rsid w:val="00BF732E"/>
    <w:rsid w:val="00BF73F0"/>
    <w:rsid w:val="00BF75B1"/>
    <w:rsid w:val="00BF75C9"/>
    <w:rsid w:val="00BF75EE"/>
    <w:rsid w:val="00BF76B9"/>
    <w:rsid w:val="00BF77D3"/>
    <w:rsid w:val="00BF7803"/>
    <w:rsid w:val="00BF7856"/>
    <w:rsid w:val="00BF788A"/>
    <w:rsid w:val="00BF7992"/>
    <w:rsid w:val="00BF7A3F"/>
    <w:rsid w:val="00BF7BD3"/>
    <w:rsid w:val="00BF7E1F"/>
    <w:rsid w:val="00BF7E94"/>
    <w:rsid w:val="00BF7F60"/>
    <w:rsid w:val="00C0004A"/>
    <w:rsid w:val="00C001C1"/>
    <w:rsid w:val="00C0024E"/>
    <w:rsid w:val="00C00352"/>
    <w:rsid w:val="00C004B3"/>
    <w:rsid w:val="00C004C7"/>
    <w:rsid w:val="00C0054A"/>
    <w:rsid w:val="00C0066A"/>
    <w:rsid w:val="00C0070C"/>
    <w:rsid w:val="00C007A3"/>
    <w:rsid w:val="00C007CE"/>
    <w:rsid w:val="00C0087E"/>
    <w:rsid w:val="00C0088A"/>
    <w:rsid w:val="00C00903"/>
    <w:rsid w:val="00C0091F"/>
    <w:rsid w:val="00C009C2"/>
    <w:rsid w:val="00C00A0D"/>
    <w:rsid w:val="00C00A22"/>
    <w:rsid w:val="00C00AAC"/>
    <w:rsid w:val="00C00F18"/>
    <w:rsid w:val="00C00F4D"/>
    <w:rsid w:val="00C0100D"/>
    <w:rsid w:val="00C011B2"/>
    <w:rsid w:val="00C0176B"/>
    <w:rsid w:val="00C01BA6"/>
    <w:rsid w:val="00C01C18"/>
    <w:rsid w:val="00C01CFC"/>
    <w:rsid w:val="00C01CFE"/>
    <w:rsid w:val="00C01D39"/>
    <w:rsid w:val="00C01D4E"/>
    <w:rsid w:val="00C01D95"/>
    <w:rsid w:val="00C01F2C"/>
    <w:rsid w:val="00C0200C"/>
    <w:rsid w:val="00C020A8"/>
    <w:rsid w:val="00C020BD"/>
    <w:rsid w:val="00C02198"/>
    <w:rsid w:val="00C02274"/>
    <w:rsid w:val="00C024C7"/>
    <w:rsid w:val="00C02599"/>
    <w:rsid w:val="00C0277D"/>
    <w:rsid w:val="00C0285E"/>
    <w:rsid w:val="00C02A09"/>
    <w:rsid w:val="00C02B38"/>
    <w:rsid w:val="00C02E9D"/>
    <w:rsid w:val="00C02F27"/>
    <w:rsid w:val="00C030EC"/>
    <w:rsid w:val="00C034A4"/>
    <w:rsid w:val="00C034F7"/>
    <w:rsid w:val="00C03581"/>
    <w:rsid w:val="00C03703"/>
    <w:rsid w:val="00C03709"/>
    <w:rsid w:val="00C03B53"/>
    <w:rsid w:val="00C03BFA"/>
    <w:rsid w:val="00C03DB1"/>
    <w:rsid w:val="00C03DD0"/>
    <w:rsid w:val="00C03DE1"/>
    <w:rsid w:val="00C03EFF"/>
    <w:rsid w:val="00C0403A"/>
    <w:rsid w:val="00C04092"/>
    <w:rsid w:val="00C040DE"/>
    <w:rsid w:val="00C04258"/>
    <w:rsid w:val="00C0425B"/>
    <w:rsid w:val="00C04273"/>
    <w:rsid w:val="00C0432D"/>
    <w:rsid w:val="00C04445"/>
    <w:rsid w:val="00C044E1"/>
    <w:rsid w:val="00C04673"/>
    <w:rsid w:val="00C04705"/>
    <w:rsid w:val="00C04A7F"/>
    <w:rsid w:val="00C04BEB"/>
    <w:rsid w:val="00C04D18"/>
    <w:rsid w:val="00C04E2B"/>
    <w:rsid w:val="00C04F05"/>
    <w:rsid w:val="00C04F24"/>
    <w:rsid w:val="00C04FA9"/>
    <w:rsid w:val="00C051AA"/>
    <w:rsid w:val="00C05438"/>
    <w:rsid w:val="00C054AD"/>
    <w:rsid w:val="00C055B9"/>
    <w:rsid w:val="00C055E4"/>
    <w:rsid w:val="00C057AA"/>
    <w:rsid w:val="00C05955"/>
    <w:rsid w:val="00C05AEE"/>
    <w:rsid w:val="00C05B5F"/>
    <w:rsid w:val="00C05BA7"/>
    <w:rsid w:val="00C05BF9"/>
    <w:rsid w:val="00C05DCD"/>
    <w:rsid w:val="00C05E73"/>
    <w:rsid w:val="00C05EA0"/>
    <w:rsid w:val="00C060A0"/>
    <w:rsid w:val="00C062A5"/>
    <w:rsid w:val="00C06690"/>
    <w:rsid w:val="00C066A9"/>
    <w:rsid w:val="00C0670B"/>
    <w:rsid w:val="00C06A66"/>
    <w:rsid w:val="00C06B62"/>
    <w:rsid w:val="00C06C8E"/>
    <w:rsid w:val="00C06CE3"/>
    <w:rsid w:val="00C06CE5"/>
    <w:rsid w:val="00C07187"/>
    <w:rsid w:val="00C072A8"/>
    <w:rsid w:val="00C07388"/>
    <w:rsid w:val="00C074AB"/>
    <w:rsid w:val="00C0754E"/>
    <w:rsid w:val="00C075C9"/>
    <w:rsid w:val="00C076A5"/>
    <w:rsid w:val="00C0775A"/>
    <w:rsid w:val="00C07764"/>
    <w:rsid w:val="00C07C5F"/>
    <w:rsid w:val="00C07CB1"/>
    <w:rsid w:val="00C07FAD"/>
    <w:rsid w:val="00C10277"/>
    <w:rsid w:val="00C10665"/>
    <w:rsid w:val="00C106C4"/>
    <w:rsid w:val="00C107FC"/>
    <w:rsid w:val="00C108E1"/>
    <w:rsid w:val="00C10B50"/>
    <w:rsid w:val="00C10B87"/>
    <w:rsid w:val="00C10CF0"/>
    <w:rsid w:val="00C10DC7"/>
    <w:rsid w:val="00C111EA"/>
    <w:rsid w:val="00C112CE"/>
    <w:rsid w:val="00C11554"/>
    <w:rsid w:val="00C11590"/>
    <w:rsid w:val="00C117D1"/>
    <w:rsid w:val="00C117DB"/>
    <w:rsid w:val="00C117FD"/>
    <w:rsid w:val="00C118AF"/>
    <w:rsid w:val="00C119AD"/>
    <w:rsid w:val="00C11A65"/>
    <w:rsid w:val="00C11CC3"/>
    <w:rsid w:val="00C11DA9"/>
    <w:rsid w:val="00C11FE3"/>
    <w:rsid w:val="00C1205E"/>
    <w:rsid w:val="00C12075"/>
    <w:rsid w:val="00C12113"/>
    <w:rsid w:val="00C121EA"/>
    <w:rsid w:val="00C1224C"/>
    <w:rsid w:val="00C1228D"/>
    <w:rsid w:val="00C12319"/>
    <w:rsid w:val="00C1231D"/>
    <w:rsid w:val="00C124EE"/>
    <w:rsid w:val="00C1261C"/>
    <w:rsid w:val="00C12669"/>
    <w:rsid w:val="00C126D6"/>
    <w:rsid w:val="00C12878"/>
    <w:rsid w:val="00C128AF"/>
    <w:rsid w:val="00C128C4"/>
    <w:rsid w:val="00C129AC"/>
    <w:rsid w:val="00C12C7A"/>
    <w:rsid w:val="00C12CCF"/>
    <w:rsid w:val="00C12D68"/>
    <w:rsid w:val="00C12DFA"/>
    <w:rsid w:val="00C12ECB"/>
    <w:rsid w:val="00C12F04"/>
    <w:rsid w:val="00C12F55"/>
    <w:rsid w:val="00C13108"/>
    <w:rsid w:val="00C13174"/>
    <w:rsid w:val="00C1338C"/>
    <w:rsid w:val="00C137A1"/>
    <w:rsid w:val="00C1399A"/>
    <w:rsid w:val="00C13A8D"/>
    <w:rsid w:val="00C13C52"/>
    <w:rsid w:val="00C13E7D"/>
    <w:rsid w:val="00C13F69"/>
    <w:rsid w:val="00C13FED"/>
    <w:rsid w:val="00C13FF2"/>
    <w:rsid w:val="00C14020"/>
    <w:rsid w:val="00C1406C"/>
    <w:rsid w:val="00C140C1"/>
    <w:rsid w:val="00C14142"/>
    <w:rsid w:val="00C1431D"/>
    <w:rsid w:val="00C143E5"/>
    <w:rsid w:val="00C14436"/>
    <w:rsid w:val="00C14A9F"/>
    <w:rsid w:val="00C14B08"/>
    <w:rsid w:val="00C14E7D"/>
    <w:rsid w:val="00C14F03"/>
    <w:rsid w:val="00C14FB1"/>
    <w:rsid w:val="00C14FCB"/>
    <w:rsid w:val="00C1509A"/>
    <w:rsid w:val="00C150B4"/>
    <w:rsid w:val="00C1511B"/>
    <w:rsid w:val="00C153A1"/>
    <w:rsid w:val="00C153EE"/>
    <w:rsid w:val="00C15536"/>
    <w:rsid w:val="00C15692"/>
    <w:rsid w:val="00C156D8"/>
    <w:rsid w:val="00C15722"/>
    <w:rsid w:val="00C1583F"/>
    <w:rsid w:val="00C158F8"/>
    <w:rsid w:val="00C159CB"/>
    <w:rsid w:val="00C15AB6"/>
    <w:rsid w:val="00C15C43"/>
    <w:rsid w:val="00C15C91"/>
    <w:rsid w:val="00C15E9D"/>
    <w:rsid w:val="00C15FBA"/>
    <w:rsid w:val="00C165AA"/>
    <w:rsid w:val="00C16897"/>
    <w:rsid w:val="00C168CA"/>
    <w:rsid w:val="00C16A03"/>
    <w:rsid w:val="00C16A05"/>
    <w:rsid w:val="00C16C27"/>
    <w:rsid w:val="00C16D0F"/>
    <w:rsid w:val="00C16D3D"/>
    <w:rsid w:val="00C16F3E"/>
    <w:rsid w:val="00C17278"/>
    <w:rsid w:val="00C1737D"/>
    <w:rsid w:val="00C173E1"/>
    <w:rsid w:val="00C17470"/>
    <w:rsid w:val="00C1757B"/>
    <w:rsid w:val="00C175C1"/>
    <w:rsid w:val="00C175CB"/>
    <w:rsid w:val="00C1767E"/>
    <w:rsid w:val="00C1778F"/>
    <w:rsid w:val="00C1793F"/>
    <w:rsid w:val="00C179B6"/>
    <w:rsid w:val="00C17B04"/>
    <w:rsid w:val="00C17CEB"/>
    <w:rsid w:val="00C17ED0"/>
    <w:rsid w:val="00C20025"/>
    <w:rsid w:val="00C200C9"/>
    <w:rsid w:val="00C201E0"/>
    <w:rsid w:val="00C2021D"/>
    <w:rsid w:val="00C20246"/>
    <w:rsid w:val="00C2026D"/>
    <w:rsid w:val="00C2032D"/>
    <w:rsid w:val="00C20508"/>
    <w:rsid w:val="00C2052C"/>
    <w:rsid w:val="00C20822"/>
    <w:rsid w:val="00C208DA"/>
    <w:rsid w:val="00C20A73"/>
    <w:rsid w:val="00C20E3C"/>
    <w:rsid w:val="00C20EF8"/>
    <w:rsid w:val="00C20F24"/>
    <w:rsid w:val="00C20FDA"/>
    <w:rsid w:val="00C211CE"/>
    <w:rsid w:val="00C21474"/>
    <w:rsid w:val="00C21613"/>
    <w:rsid w:val="00C21981"/>
    <w:rsid w:val="00C21BB6"/>
    <w:rsid w:val="00C21C8A"/>
    <w:rsid w:val="00C21D8E"/>
    <w:rsid w:val="00C21E23"/>
    <w:rsid w:val="00C21E53"/>
    <w:rsid w:val="00C21F02"/>
    <w:rsid w:val="00C2219E"/>
    <w:rsid w:val="00C2220B"/>
    <w:rsid w:val="00C222A5"/>
    <w:rsid w:val="00C222DF"/>
    <w:rsid w:val="00C224D4"/>
    <w:rsid w:val="00C22525"/>
    <w:rsid w:val="00C2252B"/>
    <w:rsid w:val="00C22686"/>
    <w:rsid w:val="00C2281D"/>
    <w:rsid w:val="00C22C28"/>
    <w:rsid w:val="00C22E1B"/>
    <w:rsid w:val="00C22F14"/>
    <w:rsid w:val="00C22F84"/>
    <w:rsid w:val="00C23025"/>
    <w:rsid w:val="00C23133"/>
    <w:rsid w:val="00C23163"/>
    <w:rsid w:val="00C232E3"/>
    <w:rsid w:val="00C232F5"/>
    <w:rsid w:val="00C2345B"/>
    <w:rsid w:val="00C23563"/>
    <w:rsid w:val="00C23B23"/>
    <w:rsid w:val="00C23B41"/>
    <w:rsid w:val="00C23BCC"/>
    <w:rsid w:val="00C23BDA"/>
    <w:rsid w:val="00C23DBB"/>
    <w:rsid w:val="00C23F2D"/>
    <w:rsid w:val="00C23F60"/>
    <w:rsid w:val="00C23FE1"/>
    <w:rsid w:val="00C2405C"/>
    <w:rsid w:val="00C240D7"/>
    <w:rsid w:val="00C2410D"/>
    <w:rsid w:val="00C24207"/>
    <w:rsid w:val="00C242AA"/>
    <w:rsid w:val="00C242CC"/>
    <w:rsid w:val="00C2465A"/>
    <w:rsid w:val="00C246CB"/>
    <w:rsid w:val="00C2482E"/>
    <w:rsid w:val="00C249CB"/>
    <w:rsid w:val="00C24ABF"/>
    <w:rsid w:val="00C24B73"/>
    <w:rsid w:val="00C24BAF"/>
    <w:rsid w:val="00C24C8A"/>
    <w:rsid w:val="00C24CCA"/>
    <w:rsid w:val="00C24DB6"/>
    <w:rsid w:val="00C24EF1"/>
    <w:rsid w:val="00C24F54"/>
    <w:rsid w:val="00C24FCA"/>
    <w:rsid w:val="00C2550D"/>
    <w:rsid w:val="00C2557A"/>
    <w:rsid w:val="00C259B7"/>
    <w:rsid w:val="00C25B7F"/>
    <w:rsid w:val="00C25BFC"/>
    <w:rsid w:val="00C25D64"/>
    <w:rsid w:val="00C25EC6"/>
    <w:rsid w:val="00C25F8B"/>
    <w:rsid w:val="00C26059"/>
    <w:rsid w:val="00C2618C"/>
    <w:rsid w:val="00C261CE"/>
    <w:rsid w:val="00C26561"/>
    <w:rsid w:val="00C265C0"/>
    <w:rsid w:val="00C266E1"/>
    <w:rsid w:val="00C2679E"/>
    <w:rsid w:val="00C267C4"/>
    <w:rsid w:val="00C26A9D"/>
    <w:rsid w:val="00C26B20"/>
    <w:rsid w:val="00C26B9E"/>
    <w:rsid w:val="00C26BB4"/>
    <w:rsid w:val="00C26C26"/>
    <w:rsid w:val="00C26CAA"/>
    <w:rsid w:val="00C26D86"/>
    <w:rsid w:val="00C26E0C"/>
    <w:rsid w:val="00C26FA7"/>
    <w:rsid w:val="00C270AE"/>
    <w:rsid w:val="00C270D4"/>
    <w:rsid w:val="00C2720C"/>
    <w:rsid w:val="00C272EF"/>
    <w:rsid w:val="00C272F3"/>
    <w:rsid w:val="00C2732B"/>
    <w:rsid w:val="00C273F2"/>
    <w:rsid w:val="00C274DE"/>
    <w:rsid w:val="00C2753F"/>
    <w:rsid w:val="00C27544"/>
    <w:rsid w:val="00C27670"/>
    <w:rsid w:val="00C27671"/>
    <w:rsid w:val="00C276A8"/>
    <w:rsid w:val="00C276CD"/>
    <w:rsid w:val="00C27722"/>
    <w:rsid w:val="00C2774D"/>
    <w:rsid w:val="00C278FE"/>
    <w:rsid w:val="00C27944"/>
    <w:rsid w:val="00C27975"/>
    <w:rsid w:val="00C27B2D"/>
    <w:rsid w:val="00C27CBF"/>
    <w:rsid w:val="00C27DC0"/>
    <w:rsid w:val="00C27DC5"/>
    <w:rsid w:val="00C27E04"/>
    <w:rsid w:val="00C27EDB"/>
    <w:rsid w:val="00C300BC"/>
    <w:rsid w:val="00C300C0"/>
    <w:rsid w:val="00C30229"/>
    <w:rsid w:val="00C302B4"/>
    <w:rsid w:val="00C30341"/>
    <w:rsid w:val="00C3066B"/>
    <w:rsid w:val="00C3078B"/>
    <w:rsid w:val="00C307C1"/>
    <w:rsid w:val="00C3082B"/>
    <w:rsid w:val="00C30B7B"/>
    <w:rsid w:val="00C30CA3"/>
    <w:rsid w:val="00C30CF3"/>
    <w:rsid w:val="00C30DE7"/>
    <w:rsid w:val="00C30DFC"/>
    <w:rsid w:val="00C30E75"/>
    <w:rsid w:val="00C30ED0"/>
    <w:rsid w:val="00C30F8B"/>
    <w:rsid w:val="00C31206"/>
    <w:rsid w:val="00C3125D"/>
    <w:rsid w:val="00C3132D"/>
    <w:rsid w:val="00C3141A"/>
    <w:rsid w:val="00C3145A"/>
    <w:rsid w:val="00C3147E"/>
    <w:rsid w:val="00C315CE"/>
    <w:rsid w:val="00C315EA"/>
    <w:rsid w:val="00C316BB"/>
    <w:rsid w:val="00C316E2"/>
    <w:rsid w:val="00C317B4"/>
    <w:rsid w:val="00C3189B"/>
    <w:rsid w:val="00C318CD"/>
    <w:rsid w:val="00C318F7"/>
    <w:rsid w:val="00C319D2"/>
    <w:rsid w:val="00C31C23"/>
    <w:rsid w:val="00C31CBC"/>
    <w:rsid w:val="00C31D0D"/>
    <w:rsid w:val="00C31D9E"/>
    <w:rsid w:val="00C31DBA"/>
    <w:rsid w:val="00C31F68"/>
    <w:rsid w:val="00C31F85"/>
    <w:rsid w:val="00C320D1"/>
    <w:rsid w:val="00C32255"/>
    <w:rsid w:val="00C322D0"/>
    <w:rsid w:val="00C32412"/>
    <w:rsid w:val="00C32534"/>
    <w:rsid w:val="00C326EE"/>
    <w:rsid w:val="00C32951"/>
    <w:rsid w:val="00C32A0F"/>
    <w:rsid w:val="00C32A25"/>
    <w:rsid w:val="00C32BD9"/>
    <w:rsid w:val="00C32C02"/>
    <w:rsid w:val="00C32C6E"/>
    <w:rsid w:val="00C32CD4"/>
    <w:rsid w:val="00C32D13"/>
    <w:rsid w:val="00C32DFD"/>
    <w:rsid w:val="00C32DFF"/>
    <w:rsid w:val="00C32E11"/>
    <w:rsid w:val="00C330AF"/>
    <w:rsid w:val="00C33235"/>
    <w:rsid w:val="00C33650"/>
    <w:rsid w:val="00C33677"/>
    <w:rsid w:val="00C336D0"/>
    <w:rsid w:val="00C3370E"/>
    <w:rsid w:val="00C33A63"/>
    <w:rsid w:val="00C33B9E"/>
    <w:rsid w:val="00C33C75"/>
    <w:rsid w:val="00C33D62"/>
    <w:rsid w:val="00C33DAF"/>
    <w:rsid w:val="00C33E5B"/>
    <w:rsid w:val="00C34010"/>
    <w:rsid w:val="00C3410F"/>
    <w:rsid w:val="00C3412D"/>
    <w:rsid w:val="00C34137"/>
    <w:rsid w:val="00C34181"/>
    <w:rsid w:val="00C342A3"/>
    <w:rsid w:val="00C342B1"/>
    <w:rsid w:val="00C34341"/>
    <w:rsid w:val="00C34348"/>
    <w:rsid w:val="00C3445E"/>
    <w:rsid w:val="00C34534"/>
    <w:rsid w:val="00C3476B"/>
    <w:rsid w:val="00C3486F"/>
    <w:rsid w:val="00C348A8"/>
    <w:rsid w:val="00C34E38"/>
    <w:rsid w:val="00C34F18"/>
    <w:rsid w:val="00C35069"/>
    <w:rsid w:val="00C35240"/>
    <w:rsid w:val="00C3532B"/>
    <w:rsid w:val="00C35337"/>
    <w:rsid w:val="00C353B8"/>
    <w:rsid w:val="00C35692"/>
    <w:rsid w:val="00C356C8"/>
    <w:rsid w:val="00C356DA"/>
    <w:rsid w:val="00C356EA"/>
    <w:rsid w:val="00C35736"/>
    <w:rsid w:val="00C3580F"/>
    <w:rsid w:val="00C358C7"/>
    <w:rsid w:val="00C35AE7"/>
    <w:rsid w:val="00C35AF9"/>
    <w:rsid w:val="00C35C1B"/>
    <w:rsid w:val="00C35C8E"/>
    <w:rsid w:val="00C35D18"/>
    <w:rsid w:val="00C35D94"/>
    <w:rsid w:val="00C35E14"/>
    <w:rsid w:val="00C35EFB"/>
    <w:rsid w:val="00C36345"/>
    <w:rsid w:val="00C364D1"/>
    <w:rsid w:val="00C36638"/>
    <w:rsid w:val="00C367A4"/>
    <w:rsid w:val="00C367EF"/>
    <w:rsid w:val="00C3680B"/>
    <w:rsid w:val="00C368B3"/>
    <w:rsid w:val="00C36A26"/>
    <w:rsid w:val="00C36CF0"/>
    <w:rsid w:val="00C36E59"/>
    <w:rsid w:val="00C36EF2"/>
    <w:rsid w:val="00C36F07"/>
    <w:rsid w:val="00C36F3B"/>
    <w:rsid w:val="00C3717E"/>
    <w:rsid w:val="00C37214"/>
    <w:rsid w:val="00C372E8"/>
    <w:rsid w:val="00C3734B"/>
    <w:rsid w:val="00C376BB"/>
    <w:rsid w:val="00C37873"/>
    <w:rsid w:val="00C37A38"/>
    <w:rsid w:val="00C37AEA"/>
    <w:rsid w:val="00C37CA4"/>
    <w:rsid w:val="00C37CC7"/>
    <w:rsid w:val="00C37D5D"/>
    <w:rsid w:val="00C37FC3"/>
    <w:rsid w:val="00C4003A"/>
    <w:rsid w:val="00C400EA"/>
    <w:rsid w:val="00C4012F"/>
    <w:rsid w:val="00C4017B"/>
    <w:rsid w:val="00C40267"/>
    <w:rsid w:val="00C4026B"/>
    <w:rsid w:val="00C40360"/>
    <w:rsid w:val="00C404DB"/>
    <w:rsid w:val="00C4057D"/>
    <w:rsid w:val="00C40761"/>
    <w:rsid w:val="00C40782"/>
    <w:rsid w:val="00C407B5"/>
    <w:rsid w:val="00C40951"/>
    <w:rsid w:val="00C40979"/>
    <w:rsid w:val="00C40997"/>
    <w:rsid w:val="00C409DC"/>
    <w:rsid w:val="00C40A96"/>
    <w:rsid w:val="00C40AF2"/>
    <w:rsid w:val="00C40B1B"/>
    <w:rsid w:val="00C40E88"/>
    <w:rsid w:val="00C412A5"/>
    <w:rsid w:val="00C413B3"/>
    <w:rsid w:val="00C416A3"/>
    <w:rsid w:val="00C41785"/>
    <w:rsid w:val="00C41850"/>
    <w:rsid w:val="00C4185F"/>
    <w:rsid w:val="00C4190F"/>
    <w:rsid w:val="00C41A5C"/>
    <w:rsid w:val="00C41BC7"/>
    <w:rsid w:val="00C41E9C"/>
    <w:rsid w:val="00C41EAB"/>
    <w:rsid w:val="00C41FC1"/>
    <w:rsid w:val="00C42080"/>
    <w:rsid w:val="00C420A1"/>
    <w:rsid w:val="00C421BC"/>
    <w:rsid w:val="00C422E6"/>
    <w:rsid w:val="00C423AC"/>
    <w:rsid w:val="00C4264B"/>
    <w:rsid w:val="00C42BAA"/>
    <w:rsid w:val="00C42E6C"/>
    <w:rsid w:val="00C431AC"/>
    <w:rsid w:val="00C433B5"/>
    <w:rsid w:val="00C434C2"/>
    <w:rsid w:val="00C436BC"/>
    <w:rsid w:val="00C4377A"/>
    <w:rsid w:val="00C437E7"/>
    <w:rsid w:val="00C43940"/>
    <w:rsid w:val="00C439CD"/>
    <w:rsid w:val="00C43A1A"/>
    <w:rsid w:val="00C43ABC"/>
    <w:rsid w:val="00C43AD3"/>
    <w:rsid w:val="00C43AE2"/>
    <w:rsid w:val="00C43D6C"/>
    <w:rsid w:val="00C43DBA"/>
    <w:rsid w:val="00C43FA2"/>
    <w:rsid w:val="00C43FD4"/>
    <w:rsid w:val="00C4425A"/>
    <w:rsid w:val="00C44342"/>
    <w:rsid w:val="00C445B6"/>
    <w:rsid w:val="00C445F9"/>
    <w:rsid w:val="00C44640"/>
    <w:rsid w:val="00C44694"/>
    <w:rsid w:val="00C446AC"/>
    <w:rsid w:val="00C44744"/>
    <w:rsid w:val="00C4474F"/>
    <w:rsid w:val="00C4478D"/>
    <w:rsid w:val="00C447D4"/>
    <w:rsid w:val="00C44ECA"/>
    <w:rsid w:val="00C45053"/>
    <w:rsid w:val="00C450B5"/>
    <w:rsid w:val="00C45561"/>
    <w:rsid w:val="00C457C1"/>
    <w:rsid w:val="00C459D4"/>
    <w:rsid w:val="00C45F28"/>
    <w:rsid w:val="00C45F6F"/>
    <w:rsid w:val="00C45F80"/>
    <w:rsid w:val="00C461C7"/>
    <w:rsid w:val="00C4626D"/>
    <w:rsid w:val="00C462C2"/>
    <w:rsid w:val="00C46589"/>
    <w:rsid w:val="00C46625"/>
    <w:rsid w:val="00C46870"/>
    <w:rsid w:val="00C469A6"/>
    <w:rsid w:val="00C46B69"/>
    <w:rsid w:val="00C46C0F"/>
    <w:rsid w:val="00C46DD7"/>
    <w:rsid w:val="00C46E06"/>
    <w:rsid w:val="00C46E95"/>
    <w:rsid w:val="00C47545"/>
    <w:rsid w:val="00C47593"/>
    <w:rsid w:val="00C476B0"/>
    <w:rsid w:val="00C476B5"/>
    <w:rsid w:val="00C479F1"/>
    <w:rsid w:val="00C47A55"/>
    <w:rsid w:val="00C47B75"/>
    <w:rsid w:val="00C47D70"/>
    <w:rsid w:val="00C47D96"/>
    <w:rsid w:val="00C47E02"/>
    <w:rsid w:val="00C47EA3"/>
    <w:rsid w:val="00C47EF8"/>
    <w:rsid w:val="00C47F96"/>
    <w:rsid w:val="00C50142"/>
    <w:rsid w:val="00C5040E"/>
    <w:rsid w:val="00C5044B"/>
    <w:rsid w:val="00C504BE"/>
    <w:rsid w:val="00C505AB"/>
    <w:rsid w:val="00C506BD"/>
    <w:rsid w:val="00C506D6"/>
    <w:rsid w:val="00C5078F"/>
    <w:rsid w:val="00C50875"/>
    <w:rsid w:val="00C508A2"/>
    <w:rsid w:val="00C50C43"/>
    <w:rsid w:val="00C50D42"/>
    <w:rsid w:val="00C50D7D"/>
    <w:rsid w:val="00C50DC9"/>
    <w:rsid w:val="00C50E55"/>
    <w:rsid w:val="00C50F82"/>
    <w:rsid w:val="00C51426"/>
    <w:rsid w:val="00C51473"/>
    <w:rsid w:val="00C51622"/>
    <w:rsid w:val="00C51751"/>
    <w:rsid w:val="00C517F8"/>
    <w:rsid w:val="00C51A13"/>
    <w:rsid w:val="00C51C50"/>
    <w:rsid w:val="00C51C52"/>
    <w:rsid w:val="00C51D19"/>
    <w:rsid w:val="00C51FB3"/>
    <w:rsid w:val="00C520B4"/>
    <w:rsid w:val="00C5220C"/>
    <w:rsid w:val="00C5223C"/>
    <w:rsid w:val="00C52309"/>
    <w:rsid w:val="00C52311"/>
    <w:rsid w:val="00C52370"/>
    <w:rsid w:val="00C523EE"/>
    <w:rsid w:val="00C52432"/>
    <w:rsid w:val="00C5282C"/>
    <w:rsid w:val="00C5288C"/>
    <w:rsid w:val="00C528C5"/>
    <w:rsid w:val="00C5296B"/>
    <w:rsid w:val="00C52A35"/>
    <w:rsid w:val="00C52AD4"/>
    <w:rsid w:val="00C52B2F"/>
    <w:rsid w:val="00C52B8E"/>
    <w:rsid w:val="00C52E38"/>
    <w:rsid w:val="00C53076"/>
    <w:rsid w:val="00C53213"/>
    <w:rsid w:val="00C53655"/>
    <w:rsid w:val="00C537AE"/>
    <w:rsid w:val="00C53917"/>
    <w:rsid w:val="00C53B59"/>
    <w:rsid w:val="00C53E82"/>
    <w:rsid w:val="00C541DE"/>
    <w:rsid w:val="00C542DE"/>
    <w:rsid w:val="00C543EC"/>
    <w:rsid w:val="00C5469E"/>
    <w:rsid w:val="00C547C9"/>
    <w:rsid w:val="00C54957"/>
    <w:rsid w:val="00C5496C"/>
    <w:rsid w:val="00C54C11"/>
    <w:rsid w:val="00C54C67"/>
    <w:rsid w:val="00C54E65"/>
    <w:rsid w:val="00C5505C"/>
    <w:rsid w:val="00C5512D"/>
    <w:rsid w:val="00C5519C"/>
    <w:rsid w:val="00C55452"/>
    <w:rsid w:val="00C554F2"/>
    <w:rsid w:val="00C556F7"/>
    <w:rsid w:val="00C5577C"/>
    <w:rsid w:val="00C557A0"/>
    <w:rsid w:val="00C557E6"/>
    <w:rsid w:val="00C559FD"/>
    <w:rsid w:val="00C55AFA"/>
    <w:rsid w:val="00C55B3D"/>
    <w:rsid w:val="00C562BA"/>
    <w:rsid w:val="00C562E1"/>
    <w:rsid w:val="00C56324"/>
    <w:rsid w:val="00C56508"/>
    <w:rsid w:val="00C5653B"/>
    <w:rsid w:val="00C56593"/>
    <w:rsid w:val="00C565A3"/>
    <w:rsid w:val="00C567DD"/>
    <w:rsid w:val="00C56A86"/>
    <w:rsid w:val="00C56B4C"/>
    <w:rsid w:val="00C56B50"/>
    <w:rsid w:val="00C56B73"/>
    <w:rsid w:val="00C56B8D"/>
    <w:rsid w:val="00C56BAF"/>
    <w:rsid w:val="00C56C05"/>
    <w:rsid w:val="00C56DA5"/>
    <w:rsid w:val="00C56E10"/>
    <w:rsid w:val="00C56E20"/>
    <w:rsid w:val="00C56EEB"/>
    <w:rsid w:val="00C56EFF"/>
    <w:rsid w:val="00C56F3C"/>
    <w:rsid w:val="00C56FCC"/>
    <w:rsid w:val="00C57282"/>
    <w:rsid w:val="00C5728F"/>
    <w:rsid w:val="00C5737D"/>
    <w:rsid w:val="00C57514"/>
    <w:rsid w:val="00C5751C"/>
    <w:rsid w:val="00C576EA"/>
    <w:rsid w:val="00C57724"/>
    <w:rsid w:val="00C577F6"/>
    <w:rsid w:val="00C577F7"/>
    <w:rsid w:val="00C57A38"/>
    <w:rsid w:val="00C57A76"/>
    <w:rsid w:val="00C57E59"/>
    <w:rsid w:val="00C57EA4"/>
    <w:rsid w:val="00C57F2D"/>
    <w:rsid w:val="00C57F65"/>
    <w:rsid w:val="00C6006C"/>
    <w:rsid w:val="00C601E0"/>
    <w:rsid w:val="00C60244"/>
    <w:rsid w:val="00C60311"/>
    <w:rsid w:val="00C603F8"/>
    <w:rsid w:val="00C60475"/>
    <w:rsid w:val="00C60667"/>
    <w:rsid w:val="00C6068F"/>
    <w:rsid w:val="00C60838"/>
    <w:rsid w:val="00C6090C"/>
    <w:rsid w:val="00C60A69"/>
    <w:rsid w:val="00C60AE0"/>
    <w:rsid w:val="00C60B85"/>
    <w:rsid w:val="00C60CA6"/>
    <w:rsid w:val="00C60F21"/>
    <w:rsid w:val="00C60FC3"/>
    <w:rsid w:val="00C610F6"/>
    <w:rsid w:val="00C611FC"/>
    <w:rsid w:val="00C61315"/>
    <w:rsid w:val="00C61390"/>
    <w:rsid w:val="00C613A1"/>
    <w:rsid w:val="00C613E0"/>
    <w:rsid w:val="00C61433"/>
    <w:rsid w:val="00C61463"/>
    <w:rsid w:val="00C614AA"/>
    <w:rsid w:val="00C6153D"/>
    <w:rsid w:val="00C615F9"/>
    <w:rsid w:val="00C616AB"/>
    <w:rsid w:val="00C61773"/>
    <w:rsid w:val="00C619EB"/>
    <w:rsid w:val="00C61A32"/>
    <w:rsid w:val="00C61AB9"/>
    <w:rsid w:val="00C61C55"/>
    <w:rsid w:val="00C61DC3"/>
    <w:rsid w:val="00C61E5E"/>
    <w:rsid w:val="00C61F84"/>
    <w:rsid w:val="00C62083"/>
    <w:rsid w:val="00C6220C"/>
    <w:rsid w:val="00C6226C"/>
    <w:rsid w:val="00C6232B"/>
    <w:rsid w:val="00C6246D"/>
    <w:rsid w:val="00C626BE"/>
    <w:rsid w:val="00C627DB"/>
    <w:rsid w:val="00C62925"/>
    <w:rsid w:val="00C62DBB"/>
    <w:rsid w:val="00C62EB2"/>
    <w:rsid w:val="00C62F72"/>
    <w:rsid w:val="00C62FB9"/>
    <w:rsid w:val="00C62FF7"/>
    <w:rsid w:val="00C63102"/>
    <w:rsid w:val="00C63135"/>
    <w:rsid w:val="00C6317C"/>
    <w:rsid w:val="00C6331A"/>
    <w:rsid w:val="00C633D4"/>
    <w:rsid w:val="00C63433"/>
    <w:rsid w:val="00C635DB"/>
    <w:rsid w:val="00C637B7"/>
    <w:rsid w:val="00C637DC"/>
    <w:rsid w:val="00C638ED"/>
    <w:rsid w:val="00C63B05"/>
    <w:rsid w:val="00C63C93"/>
    <w:rsid w:val="00C63CA6"/>
    <w:rsid w:val="00C63E76"/>
    <w:rsid w:val="00C63EE8"/>
    <w:rsid w:val="00C63F30"/>
    <w:rsid w:val="00C640D1"/>
    <w:rsid w:val="00C6410A"/>
    <w:rsid w:val="00C6416D"/>
    <w:rsid w:val="00C64305"/>
    <w:rsid w:val="00C6432E"/>
    <w:rsid w:val="00C64334"/>
    <w:rsid w:val="00C644CC"/>
    <w:rsid w:val="00C644F2"/>
    <w:rsid w:val="00C64512"/>
    <w:rsid w:val="00C645B2"/>
    <w:rsid w:val="00C646C8"/>
    <w:rsid w:val="00C64708"/>
    <w:rsid w:val="00C647B6"/>
    <w:rsid w:val="00C648BD"/>
    <w:rsid w:val="00C649A7"/>
    <w:rsid w:val="00C64B07"/>
    <w:rsid w:val="00C64EB2"/>
    <w:rsid w:val="00C6500D"/>
    <w:rsid w:val="00C6503C"/>
    <w:rsid w:val="00C65045"/>
    <w:rsid w:val="00C6514B"/>
    <w:rsid w:val="00C65162"/>
    <w:rsid w:val="00C651C1"/>
    <w:rsid w:val="00C651F1"/>
    <w:rsid w:val="00C6530A"/>
    <w:rsid w:val="00C653EE"/>
    <w:rsid w:val="00C65626"/>
    <w:rsid w:val="00C65718"/>
    <w:rsid w:val="00C65862"/>
    <w:rsid w:val="00C65867"/>
    <w:rsid w:val="00C658C1"/>
    <w:rsid w:val="00C65915"/>
    <w:rsid w:val="00C659B6"/>
    <w:rsid w:val="00C659E8"/>
    <w:rsid w:val="00C65A5A"/>
    <w:rsid w:val="00C65B42"/>
    <w:rsid w:val="00C65C81"/>
    <w:rsid w:val="00C65E1E"/>
    <w:rsid w:val="00C65F35"/>
    <w:rsid w:val="00C65F68"/>
    <w:rsid w:val="00C65FE1"/>
    <w:rsid w:val="00C6618E"/>
    <w:rsid w:val="00C66247"/>
    <w:rsid w:val="00C66548"/>
    <w:rsid w:val="00C66720"/>
    <w:rsid w:val="00C66740"/>
    <w:rsid w:val="00C66772"/>
    <w:rsid w:val="00C668EB"/>
    <w:rsid w:val="00C6698A"/>
    <w:rsid w:val="00C66A2E"/>
    <w:rsid w:val="00C66C43"/>
    <w:rsid w:val="00C66C7C"/>
    <w:rsid w:val="00C66D2B"/>
    <w:rsid w:val="00C66DF9"/>
    <w:rsid w:val="00C66E0B"/>
    <w:rsid w:val="00C66E6D"/>
    <w:rsid w:val="00C670DF"/>
    <w:rsid w:val="00C67469"/>
    <w:rsid w:val="00C67580"/>
    <w:rsid w:val="00C67661"/>
    <w:rsid w:val="00C6781C"/>
    <w:rsid w:val="00C678D9"/>
    <w:rsid w:val="00C67913"/>
    <w:rsid w:val="00C67917"/>
    <w:rsid w:val="00C67940"/>
    <w:rsid w:val="00C67ABC"/>
    <w:rsid w:val="00C67C1B"/>
    <w:rsid w:val="00C67C26"/>
    <w:rsid w:val="00C67EA1"/>
    <w:rsid w:val="00C67EA6"/>
    <w:rsid w:val="00C67F97"/>
    <w:rsid w:val="00C67FCD"/>
    <w:rsid w:val="00C703E9"/>
    <w:rsid w:val="00C70428"/>
    <w:rsid w:val="00C70445"/>
    <w:rsid w:val="00C70476"/>
    <w:rsid w:val="00C704A3"/>
    <w:rsid w:val="00C704EE"/>
    <w:rsid w:val="00C707BC"/>
    <w:rsid w:val="00C70849"/>
    <w:rsid w:val="00C708B2"/>
    <w:rsid w:val="00C70985"/>
    <w:rsid w:val="00C70A09"/>
    <w:rsid w:val="00C70AEE"/>
    <w:rsid w:val="00C70C8A"/>
    <w:rsid w:val="00C70E2E"/>
    <w:rsid w:val="00C70F7E"/>
    <w:rsid w:val="00C71304"/>
    <w:rsid w:val="00C7141F"/>
    <w:rsid w:val="00C71429"/>
    <w:rsid w:val="00C71614"/>
    <w:rsid w:val="00C716BC"/>
    <w:rsid w:val="00C71712"/>
    <w:rsid w:val="00C717D8"/>
    <w:rsid w:val="00C71853"/>
    <w:rsid w:val="00C7190B"/>
    <w:rsid w:val="00C71AB9"/>
    <w:rsid w:val="00C71D15"/>
    <w:rsid w:val="00C71DBC"/>
    <w:rsid w:val="00C7234D"/>
    <w:rsid w:val="00C72359"/>
    <w:rsid w:val="00C7244E"/>
    <w:rsid w:val="00C724CC"/>
    <w:rsid w:val="00C7250D"/>
    <w:rsid w:val="00C7269D"/>
    <w:rsid w:val="00C726C9"/>
    <w:rsid w:val="00C72791"/>
    <w:rsid w:val="00C72801"/>
    <w:rsid w:val="00C72877"/>
    <w:rsid w:val="00C72986"/>
    <w:rsid w:val="00C72B0B"/>
    <w:rsid w:val="00C72C0A"/>
    <w:rsid w:val="00C72C32"/>
    <w:rsid w:val="00C72E1F"/>
    <w:rsid w:val="00C72EBB"/>
    <w:rsid w:val="00C731FC"/>
    <w:rsid w:val="00C735BF"/>
    <w:rsid w:val="00C7384F"/>
    <w:rsid w:val="00C738BA"/>
    <w:rsid w:val="00C738C1"/>
    <w:rsid w:val="00C739AB"/>
    <w:rsid w:val="00C73A64"/>
    <w:rsid w:val="00C73D60"/>
    <w:rsid w:val="00C73E4B"/>
    <w:rsid w:val="00C73E67"/>
    <w:rsid w:val="00C73EE5"/>
    <w:rsid w:val="00C73FAD"/>
    <w:rsid w:val="00C74637"/>
    <w:rsid w:val="00C74770"/>
    <w:rsid w:val="00C74AE1"/>
    <w:rsid w:val="00C74B73"/>
    <w:rsid w:val="00C74BCC"/>
    <w:rsid w:val="00C74DBF"/>
    <w:rsid w:val="00C74E5F"/>
    <w:rsid w:val="00C74EAA"/>
    <w:rsid w:val="00C74F9A"/>
    <w:rsid w:val="00C75076"/>
    <w:rsid w:val="00C7511A"/>
    <w:rsid w:val="00C7511C"/>
    <w:rsid w:val="00C7527F"/>
    <w:rsid w:val="00C7570F"/>
    <w:rsid w:val="00C757B8"/>
    <w:rsid w:val="00C758E9"/>
    <w:rsid w:val="00C75911"/>
    <w:rsid w:val="00C75A3C"/>
    <w:rsid w:val="00C75DA8"/>
    <w:rsid w:val="00C75E12"/>
    <w:rsid w:val="00C75E1D"/>
    <w:rsid w:val="00C75EB6"/>
    <w:rsid w:val="00C76189"/>
    <w:rsid w:val="00C761BE"/>
    <w:rsid w:val="00C7626B"/>
    <w:rsid w:val="00C7627E"/>
    <w:rsid w:val="00C763EC"/>
    <w:rsid w:val="00C765AB"/>
    <w:rsid w:val="00C76687"/>
    <w:rsid w:val="00C76724"/>
    <w:rsid w:val="00C767C6"/>
    <w:rsid w:val="00C76906"/>
    <w:rsid w:val="00C76A24"/>
    <w:rsid w:val="00C76AB7"/>
    <w:rsid w:val="00C76AC0"/>
    <w:rsid w:val="00C76B7C"/>
    <w:rsid w:val="00C76CAE"/>
    <w:rsid w:val="00C76CC7"/>
    <w:rsid w:val="00C76F81"/>
    <w:rsid w:val="00C7713C"/>
    <w:rsid w:val="00C77158"/>
    <w:rsid w:val="00C773E9"/>
    <w:rsid w:val="00C77522"/>
    <w:rsid w:val="00C77663"/>
    <w:rsid w:val="00C776A4"/>
    <w:rsid w:val="00C776EA"/>
    <w:rsid w:val="00C77A3D"/>
    <w:rsid w:val="00C77F75"/>
    <w:rsid w:val="00C77F92"/>
    <w:rsid w:val="00C800BE"/>
    <w:rsid w:val="00C800DD"/>
    <w:rsid w:val="00C803E3"/>
    <w:rsid w:val="00C80640"/>
    <w:rsid w:val="00C80697"/>
    <w:rsid w:val="00C80891"/>
    <w:rsid w:val="00C80920"/>
    <w:rsid w:val="00C80A50"/>
    <w:rsid w:val="00C80B03"/>
    <w:rsid w:val="00C80CDF"/>
    <w:rsid w:val="00C80D5D"/>
    <w:rsid w:val="00C81192"/>
    <w:rsid w:val="00C811A4"/>
    <w:rsid w:val="00C814FA"/>
    <w:rsid w:val="00C8176A"/>
    <w:rsid w:val="00C818FE"/>
    <w:rsid w:val="00C81BC6"/>
    <w:rsid w:val="00C81D7E"/>
    <w:rsid w:val="00C81DA8"/>
    <w:rsid w:val="00C81DBF"/>
    <w:rsid w:val="00C81E3A"/>
    <w:rsid w:val="00C81F96"/>
    <w:rsid w:val="00C82148"/>
    <w:rsid w:val="00C82348"/>
    <w:rsid w:val="00C8243F"/>
    <w:rsid w:val="00C82675"/>
    <w:rsid w:val="00C827A8"/>
    <w:rsid w:val="00C82809"/>
    <w:rsid w:val="00C8289B"/>
    <w:rsid w:val="00C82A1B"/>
    <w:rsid w:val="00C82B2C"/>
    <w:rsid w:val="00C82D54"/>
    <w:rsid w:val="00C82F3B"/>
    <w:rsid w:val="00C82F56"/>
    <w:rsid w:val="00C82F7F"/>
    <w:rsid w:val="00C82FF8"/>
    <w:rsid w:val="00C83094"/>
    <w:rsid w:val="00C830AC"/>
    <w:rsid w:val="00C83131"/>
    <w:rsid w:val="00C8318B"/>
    <w:rsid w:val="00C83251"/>
    <w:rsid w:val="00C837C4"/>
    <w:rsid w:val="00C83829"/>
    <w:rsid w:val="00C83883"/>
    <w:rsid w:val="00C838D7"/>
    <w:rsid w:val="00C83928"/>
    <w:rsid w:val="00C83AE3"/>
    <w:rsid w:val="00C83BBF"/>
    <w:rsid w:val="00C83EDB"/>
    <w:rsid w:val="00C83EDD"/>
    <w:rsid w:val="00C841D4"/>
    <w:rsid w:val="00C843BB"/>
    <w:rsid w:val="00C84794"/>
    <w:rsid w:val="00C847E7"/>
    <w:rsid w:val="00C84A8D"/>
    <w:rsid w:val="00C84BF1"/>
    <w:rsid w:val="00C84CA2"/>
    <w:rsid w:val="00C84D48"/>
    <w:rsid w:val="00C84D4B"/>
    <w:rsid w:val="00C84DD9"/>
    <w:rsid w:val="00C85022"/>
    <w:rsid w:val="00C850D5"/>
    <w:rsid w:val="00C85557"/>
    <w:rsid w:val="00C855D9"/>
    <w:rsid w:val="00C8567F"/>
    <w:rsid w:val="00C856E4"/>
    <w:rsid w:val="00C85759"/>
    <w:rsid w:val="00C858BF"/>
    <w:rsid w:val="00C85A1D"/>
    <w:rsid w:val="00C85A36"/>
    <w:rsid w:val="00C85AA7"/>
    <w:rsid w:val="00C85CD1"/>
    <w:rsid w:val="00C85DDF"/>
    <w:rsid w:val="00C85E19"/>
    <w:rsid w:val="00C85E32"/>
    <w:rsid w:val="00C8665C"/>
    <w:rsid w:val="00C86727"/>
    <w:rsid w:val="00C86926"/>
    <w:rsid w:val="00C869CF"/>
    <w:rsid w:val="00C86B49"/>
    <w:rsid w:val="00C86C56"/>
    <w:rsid w:val="00C86C75"/>
    <w:rsid w:val="00C86D2F"/>
    <w:rsid w:val="00C86D6F"/>
    <w:rsid w:val="00C86D9A"/>
    <w:rsid w:val="00C86DB0"/>
    <w:rsid w:val="00C86DED"/>
    <w:rsid w:val="00C86F19"/>
    <w:rsid w:val="00C87034"/>
    <w:rsid w:val="00C870B7"/>
    <w:rsid w:val="00C8714D"/>
    <w:rsid w:val="00C87288"/>
    <w:rsid w:val="00C87419"/>
    <w:rsid w:val="00C875C4"/>
    <w:rsid w:val="00C87602"/>
    <w:rsid w:val="00C8773E"/>
    <w:rsid w:val="00C87838"/>
    <w:rsid w:val="00C878E7"/>
    <w:rsid w:val="00C87AE4"/>
    <w:rsid w:val="00C87E22"/>
    <w:rsid w:val="00C87FF9"/>
    <w:rsid w:val="00C9007A"/>
    <w:rsid w:val="00C9037D"/>
    <w:rsid w:val="00C904BD"/>
    <w:rsid w:val="00C90601"/>
    <w:rsid w:val="00C90692"/>
    <w:rsid w:val="00C906AC"/>
    <w:rsid w:val="00C90707"/>
    <w:rsid w:val="00C90735"/>
    <w:rsid w:val="00C90774"/>
    <w:rsid w:val="00C90850"/>
    <w:rsid w:val="00C9092A"/>
    <w:rsid w:val="00C90D16"/>
    <w:rsid w:val="00C90DA4"/>
    <w:rsid w:val="00C90E7E"/>
    <w:rsid w:val="00C90F68"/>
    <w:rsid w:val="00C91021"/>
    <w:rsid w:val="00C9109B"/>
    <w:rsid w:val="00C9116A"/>
    <w:rsid w:val="00C9128F"/>
    <w:rsid w:val="00C912FE"/>
    <w:rsid w:val="00C91462"/>
    <w:rsid w:val="00C9168F"/>
    <w:rsid w:val="00C916D3"/>
    <w:rsid w:val="00C917D8"/>
    <w:rsid w:val="00C91834"/>
    <w:rsid w:val="00C91C1A"/>
    <w:rsid w:val="00C91D05"/>
    <w:rsid w:val="00C91E09"/>
    <w:rsid w:val="00C91F73"/>
    <w:rsid w:val="00C92498"/>
    <w:rsid w:val="00C924C9"/>
    <w:rsid w:val="00C9253C"/>
    <w:rsid w:val="00C925AD"/>
    <w:rsid w:val="00C9265D"/>
    <w:rsid w:val="00C92824"/>
    <w:rsid w:val="00C9286F"/>
    <w:rsid w:val="00C92877"/>
    <w:rsid w:val="00C928F2"/>
    <w:rsid w:val="00C92A36"/>
    <w:rsid w:val="00C92B10"/>
    <w:rsid w:val="00C92E9A"/>
    <w:rsid w:val="00C92EF7"/>
    <w:rsid w:val="00C930D8"/>
    <w:rsid w:val="00C93259"/>
    <w:rsid w:val="00C9328F"/>
    <w:rsid w:val="00C93340"/>
    <w:rsid w:val="00C933AD"/>
    <w:rsid w:val="00C933F6"/>
    <w:rsid w:val="00C9351A"/>
    <w:rsid w:val="00C935B8"/>
    <w:rsid w:val="00C935F2"/>
    <w:rsid w:val="00C93617"/>
    <w:rsid w:val="00C93720"/>
    <w:rsid w:val="00C93763"/>
    <w:rsid w:val="00C9378A"/>
    <w:rsid w:val="00C937BA"/>
    <w:rsid w:val="00C9389B"/>
    <w:rsid w:val="00C93A15"/>
    <w:rsid w:val="00C93A79"/>
    <w:rsid w:val="00C93C3E"/>
    <w:rsid w:val="00C93EFD"/>
    <w:rsid w:val="00C93F19"/>
    <w:rsid w:val="00C93FA7"/>
    <w:rsid w:val="00C94277"/>
    <w:rsid w:val="00C942B7"/>
    <w:rsid w:val="00C94595"/>
    <w:rsid w:val="00C9459C"/>
    <w:rsid w:val="00C94701"/>
    <w:rsid w:val="00C9489F"/>
    <w:rsid w:val="00C9491A"/>
    <w:rsid w:val="00C949AB"/>
    <w:rsid w:val="00C949FC"/>
    <w:rsid w:val="00C94A96"/>
    <w:rsid w:val="00C94D4E"/>
    <w:rsid w:val="00C94E10"/>
    <w:rsid w:val="00C94E32"/>
    <w:rsid w:val="00C94EFD"/>
    <w:rsid w:val="00C952C8"/>
    <w:rsid w:val="00C952CE"/>
    <w:rsid w:val="00C954E2"/>
    <w:rsid w:val="00C9557C"/>
    <w:rsid w:val="00C95750"/>
    <w:rsid w:val="00C957F2"/>
    <w:rsid w:val="00C959D8"/>
    <w:rsid w:val="00C95B5C"/>
    <w:rsid w:val="00C95C4A"/>
    <w:rsid w:val="00C95DAB"/>
    <w:rsid w:val="00C95E40"/>
    <w:rsid w:val="00C95E7E"/>
    <w:rsid w:val="00C95FC7"/>
    <w:rsid w:val="00C960CF"/>
    <w:rsid w:val="00C9618C"/>
    <w:rsid w:val="00C9619A"/>
    <w:rsid w:val="00C964F5"/>
    <w:rsid w:val="00C96568"/>
    <w:rsid w:val="00C9659C"/>
    <w:rsid w:val="00C96639"/>
    <w:rsid w:val="00C96672"/>
    <w:rsid w:val="00C96678"/>
    <w:rsid w:val="00C9676F"/>
    <w:rsid w:val="00C96772"/>
    <w:rsid w:val="00C96844"/>
    <w:rsid w:val="00C9695E"/>
    <w:rsid w:val="00C96964"/>
    <w:rsid w:val="00C96CF8"/>
    <w:rsid w:val="00C96CFA"/>
    <w:rsid w:val="00C96E5A"/>
    <w:rsid w:val="00C96EB5"/>
    <w:rsid w:val="00C96F00"/>
    <w:rsid w:val="00C970E5"/>
    <w:rsid w:val="00C9736A"/>
    <w:rsid w:val="00C9750C"/>
    <w:rsid w:val="00C97596"/>
    <w:rsid w:val="00C976D3"/>
    <w:rsid w:val="00C97874"/>
    <w:rsid w:val="00C97882"/>
    <w:rsid w:val="00C97AAD"/>
    <w:rsid w:val="00C97BE4"/>
    <w:rsid w:val="00C97C65"/>
    <w:rsid w:val="00C97E31"/>
    <w:rsid w:val="00C97EAB"/>
    <w:rsid w:val="00CA0098"/>
    <w:rsid w:val="00CA0129"/>
    <w:rsid w:val="00CA0246"/>
    <w:rsid w:val="00CA0257"/>
    <w:rsid w:val="00CA05BB"/>
    <w:rsid w:val="00CA082F"/>
    <w:rsid w:val="00CA0917"/>
    <w:rsid w:val="00CA09CD"/>
    <w:rsid w:val="00CA0A7D"/>
    <w:rsid w:val="00CA0B8A"/>
    <w:rsid w:val="00CA0BC4"/>
    <w:rsid w:val="00CA0DC9"/>
    <w:rsid w:val="00CA0EB6"/>
    <w:rsid w:val="00CA0FAA"/>
    <w:rsid w:val="00CA102B"/>
    <w:rsid w:val="00CA10AB"/>
    <w:rsid w:val="00CA11F4"/>
    <w:rsid w:val="00CA12A9"/>
    <w:rsid w:val="00CA14CF"/>
    <w:rsid w:val="00CA1539"/>
    <w:rsid w:val="00CA194B"/>
    <w:rsid w:val="00CA19B7"/>
    <w:rsid w:val="00CA1B76"/>
    <w:rsid w:val="00CA1DCD"/>
    <w:rsid w:val="00CA1DD8"/>
    <w:rsid w:val="00CA1E3C"/>
    <w:rsid w:val="00CA1E67"/>
    <w:rsid w:val="00CA1EEB"/>
    <w:rsid w:val="00CA206C"/>
    <w:rsid w:val="00CA20FA"/>
    <w:rsid w:val="00CA2190"/>
    <w:rsid w:val="00CA2277"/>
    <w:rsid w:val="00CA2382"/>
    <w:rsid w:val="00CA2532"/>
    <w:rsid w:val="00CA2785"/>
    <w:rsid w:val="00CA2796"/>
    <w:rsid w:val="00CA279C"/>
    <w:rsid w:val="00CA27CF"/>
    <w:rsid w:val="00CA283D"/>
    <w:rsid w:val="00CA294A"/>
    <w:rsid w:val="00CA2951"/>
    <w:rsid w:val="00CA29D1"/>
    <w:rsid w:val="00CA29FD"/>
    <w:rsid w:val="00CA2A3D"/>
    <w:rsid w:val="00CA2B9E"/>
    <w:rsid w:val="00CA2C46"/>
    <w:rsid w:val="00CA2CF7"/>
    <w:rsid w:val="00CA2DD6"/>
    <w:rsid w:val="00CA2E6F"/>
    <w:rsid w:val="00CA2ECA"/>
    <w:rsid w:val="00CA2EE9"/>
    <w:rsid w:val="00CA2F7E"/>
    <w:rsid w:val="00CA31AF"/>
    <w:rsid w:val="00CA3247"/>
    <w:rsid w:val="00CA32AE"/>
    <w:rsid w:val="00CA32BD"/>
    <w:rsid w:val="00CA350B"/>
    <w:rsid w:val="00CA35D2"/>
    <w:rsid w:val="00CA3678"/>
    <w:rsid w:val="00CA36E7"/>
    <w:rsid w:val="00CA371D"/>
    <w:rsid w:val="00CA3752"/>
    <w:rsid w:val="00CA37CD"/>
    <w:rsid w:val="00CA391E"/>
    <w:rsid w:val="00CA3999"/>
    <w:rsid w:val="00CA39C0"/>
    <w:rsid w:val="00CA3D2B"/>
    <w:rsid w:val="00CA3E24"/>
    <w:rsid w:val="00CA3FE2"/>
    <w:rsid w:val="00CA407C"/>
    <w:rsid w:val="00CA40DC"/>
    <w:rsid w:val="00CA4562"/>
    <w:rsid w:val="00CA462B"/>
    <w:rsid w:val="00CA4780"/>
    <w:rsid w:val="00CA48E9"/>
    <w:rsid w:val="00CA4A9E"/>
    <w:rsid w:val="00CA4B21"/>
    <w:rsid w:val="00CA4CB6"/>
    <w:rsid w:val="00CA4CCA"/>
    <w:rsid w:val="00CA4D30"/>
    <w:rsid w:val="00CA4E06"/>
    <w:rsid w:val="00CA4E52"/>
    <w:rsid w:val="00CA507D"/>
    <w:rsid w:val="00CA50FC"/>
    <w:rsid w:val="00CA52D7"/>
    <w:rsid w:val="00CA53E6"/>
    <w:rsid w:val="00CA5423"/>
    <w:rsid w:val="00CA54F3"/>
    <w:rsid w:val="00CA54FA"/>
    <w:rsid w:val="00CA5549"/>
    <w:rsid w:val="00CA5594"/>
    <w:rsid w:val="00CA5661"/>
    <w:rsid w:val="00CA5747"/>
    <w:rsid w:val="00CA577B"/>
    <w:rsid w:val="00CA5AD3"/>
    <w:rsid w:val="00CA5B79"/>
    <w:rsid w:val="00CA6057"/>
    <w:rsid w:val="00CA6107"/>
    <w:rsid w:val="00CA624F"/>
    <w:rsid w:val="00CA62DD"/>
    <w:rsid w:val="00CA63CC"/>
    <w:rsid w:val="00CA640E"/>
    <w:rsid w:val="00CA655F"/>
    <w:rsid w:val="00CA65D2"/>
    <w:rsid w:val="00CA6614"/>
    <w:rsid w:val="00CA66FB"/>
    <w:rsid w:val="00CA676A"/>
    <w:rsid w:val="00CA69BA"/>
    <w:rsid w:val="00CA6C56"/>
    <w:rsid w:val="00CA6D6A"/>
    <w:rsid w:val="00CA6EFD"/>
    <w:rsid w:val="00CA6F12"/>
    <w:rsid w:val="00CA6F44"/>
    <w:rsid w:val="00CA7056"/>
    <w:rsid w:val="00CA7082"/>
    <w:rsid w:val="00CA70C3"/>
    <w:rsid w:val="00CA7221"/>
    <w:rsid w:val="00CA733A"/>
    <w:rsid w:val="00CA756D"/>
    <w:rsid w:val="00CA757D"/>
    <w:rsid w:val="00CA75E2"/>
    <w:rsid w:val="00CA76D1"/>
    <w:rsid w:val="00CA7760"/>
    <w:rsid w:val="00CA7859"/>
    <w:rsid w:val="00CA794F"/>
    <w:rsid w:val="00CA798D"/>
    <w:rsid w:val="00CA7B9B"/>
    <w:rsid w:val="00CA7BCE"/>
    <w:rsid w:val="00CA7C59"/>
    <w:rsid w:val="00CA7D14"/>
    <w:rsid w:val="00CA7DE6"/>
    <w:rsid w:val="00CA7E8E"/>
    <w:rsid w:val="00CA7ED4"/>
    <w:rsid w:val="00CA7FD8"/>
    <w:rsid w:val="00CB0032"/>
    <w:rsid w:val="00CB01C1"/>
    <w:rsid w:val="00CB02D4"/>
    <w:rsid w:val="00CB0339"/>
    <w:rsid w:val="00CB0383"/>
    <w:rsid w:val="00CB03BE"/>
    <w:rsid w:val="00CB03EF"/>
    <w:rsid w:val="00CB051C"/>
    <w:rsid w:val="00CB0951"/>
    <w:rsid w:val="00CB09B6"/>
    <w:rsid w:val="00CB0A44"/>
    <w:rsid w:val="00CB0CAA"/>
    <w:rsid w:val="00CB0EA7"/>
    <w:rsid w:val="00CB0F88"/>
    <w:rsid w:val="00CB10A4"/>
    <w:rsid w:val="00CB110E"/>
    <w:rsid w:val="00CB11F8"/>
    <w:rsid w:val="00CB11FC"/>
    <w:rsid w:val="00CB1269"/>
    <w:rsid w:val="00CB13FF"/>
    <w:rsid w:val="00CB165C"/>
    <w:rsid w:val="00CB16D7"/>
    <w:rsid w:val="00CB16F2"/>
    <w:rsid w:val="00CB1911"/>
    <w:rsid w:val="00CB1AE4"/>
    <w:rsid w:val="00CB1B2A"/>
    <w:rsid w:val="00CB1B5A"/>
    <w:rsid w:val="00CB1B7C"/>
    <w:rsid w:val="00CB1B98"/>
    <w:rsid w:val="00CB1D31"/>
    <w:rsid w:val="00CB1D85"/>
    <w:rsid w:val="00CB1DD7"/>
    <w:rsid w:val="00CB1DF4"/>
    <w:rsid w:val="00CB1E5D"/>
    <w:rsid w:val="00CB1FF3"/>
    <w:rsid w:val="00CB2111"/>
    <w:rsid w:val="00CB216C"/>
    <w:rsid w:val="00CB225B"/>
    <w:rsid w:val="00CB23D9"/>
    <w:rsid w:val="00CB2427"/>
    <w:rsid w:val="00CB244F"/>
    <w:rsid w:val="00CB257A"/>
    <w:rsid w:val="00CB267B"/>
    <w:rsid w:val="00CB27E6"/>
    <w:rsid w:val="00CB2A50"/>
    <w:rsid w:val="00CB2A9C"/>
    <w:rsid w:val="00CB2B34"/>
    <w:rsid w:val="00CB2C5E"/>
    <w:rsid w:val="00CB2D31"/>
    <w:rsid w:val="00CB2EF5"/>
    <w:rsid w:val="00CB2F76"/>
    <w:rsid w:val="00CB3057"/>
    <w:rsid w:val="00CB31B8"/>
    <w:rsid w:val="00CB31BE"/>
    <w:rsid w:val="00CB3328"/>
    <w:rsid w:val="00CB3341"/>
    <w:rsid w:val="00CB33E4"/>
    <w:rsid w:val="00CB349B"/>
    <w:rsid w:val="00CB3513"/>
    <w:rsid w:val="00CB3567"/>
    <w:rsid w:val="00CB364B"/>
    <w:rsid w:val="00CB37A6"/>
    <w:rsid w:val="00CB3867"/>
    <w:rsid w:val="00CB3994"/>
    <w:rsid w:val="00CB3A9A"/>
    <w:rsid w:val="00CB3D24"/>
    <w:rsid w:val="00CB3EA2"/>
    <w:rsid w:val="00CB3EBA"/>
    <w:rsid w:val="00CB406C"/>
    <w:rsid w:val="00CB415F"/>
    <w:rsid w:val="00CB41EE"/>
    <w:rsid w:val="00CB4230"/>
    <w:rsid w:val="00CB42B6"/>
    <w:rsid w:val="00CB431B"/>
    <w:rsid w:val="00CB43BA"/>
    <w:rsid w:val="00CB454E"/>
    <w:rsid w:val="00CB45D3"/>
    <w:rsid w:val="00CB47AA"/>
    <w:rsid w:val="00CB487A"/>
    <w:rsid w:val="00CB489B"/>
    <w:rsid w:val="00CB4A77"/>
    <w:rsid w:val="00CB4AE7"/>
    <w:rsid w:val="00CB4BB6"/>
    <w:rsid w:val="00CB4C26"/>
    <w:rsid w:val="00CB4CE9"/>
    <w:rsid w:val="00CB4EA5"/>
    <w:rsid w:val="00CB4F91"/>
    <w:rsid w:val="00CB50BA"/>
    <w:rsid w:val="00CB5191"/>
    <w:rsid w:val="00CB557F"/>
    <w:rsid w:val="00CB56C9"/>
    <w:rsid w:val="00CB592B"/>
    <w:rsid w:val="00CB5A7C"/>
    <w:rsid w:val="00CB5BAC"/>
    <w:rsid w:val="00CB5C5F"/>
    <w:rsid w:val="00CB5D2F"/>
    <w:rsid w:val="00CB5E01"/>
    <w:rsid w:val="00CB5EA0"/>
    <w:rsid w:val="00CB5FC9"/>
    <w:rsid w:val="00CB5FDE"/>
    <w:rsid w:val="00CB600E"/>
    <w:rsid w:val="00CB65B8"/>
    <w:rsid w:val="00CB671D"/>
    <w:rsid w:val="00CB68F6"/>
    <w:rsid w:val="00CB6930"/>
    <w:rsid w:val="00CB6B05"/>
    <w:rsid w:val="00CB6B09"/>
    <w:rsid w:val="00CB6C33"/>
    <w:rsid w:val="00CB6C6B"/>
    <w:rsid w:val="00CB6CDF"/>
    <w:rsid w:val="00CB6D2B"/>
    <w:rsid w:val="00CB6DCD"/>
    <w:rsid w:val="00CB6EC3"/>
    <w:rsid w:val="00CB7264"/>
    <w:rsid w:val="00CB730F"/>
    <w:rsid w:val="00CB7340"/>
    <w:rsid w:val="00CB737C"/>
    <w:rsid w:val="00CB73C0"/>
    <w:rsid w:val="00CB743D"/>
    <w:rsid w:val="00CB7586"/>
    <w:rsid w:val="00CB761C"/>
    <w:rsid w:val="00CB76B5"/>
    <w:rsid w:val="00CB76DC"/>
    <w:rsid w:val="00CB77BD"/>
    <w:rsid w:val="00CB7866"/>
    <w:rsid w:val="00CB78D5"/>
    <w:rsid w:val="00CB7AD6"/>
    <w:rsid w:val="00CB7D55"/>
    <w:rsid w:val="00CB7EA3"/>
    <w:rsid w:val="00CB7F60"/>
    <w:rsid w:val="00CC0359"/>
    <w:rsid w:val="00CC0495"/>
    <w:rsid w:val="00CC0611"/>
    <w:rsid w:val="00CC08BC"/>
    <w:rsid w:val="00CC0A12"/>
    <w:rsid w:val="00CC0AA9"/>
    <w:rsid w:val="00CC0AD0"/>
    <w:rsid w:val="00CC0B43"/>
    <w:rsid w:val="00CC0BE1"/>
    <w:rsid w:val="00CC0E8F"/>
    <w:rsid w:val="00CC0ED0"/>
    <w:rsid w:val="00CC0EE8"/>
    <w:rsid w:val="00CC10BB"/>
    <w:rsid w:val="00CC110F"/>
    <w:rsid w:val="00CC1122"/>
    <w:rsid w:val="00CC11B8"/>
    <w:rsid w:val="00CC1592"/>
    <w:rsid w:val="00CC19B7"/>
    <w:rsid w:val="00CC1AF9"/>
    <w:rsid w:val="00CC1C48"/>
    <w:rsid w:val="00CC1DED"/>
    <w:rsid w:val="00CC1E09"/>
    <w:rsid w:val="00CC1FB7"/>
    <w:rsid w:val="00CC1FF3"/>
    <w:rsid w:val="00CC20E0"/>
    <w:rsid w:val="00CC23C6"/>
    <w:rsid w:val="00CC244B"/>
    <w:rsid w:val="00CC24FF"/>
    <w:rsid w:val="00CC2816"/>
    <w:rsid w:val="00CC2818"/>
    <w:rsid w:val="00CC284D"/>
    <w:rsid w:val="00CC28DB"/>
    <w:rsid w:val="00CC2B6F"/>
    <w:rsid w:val="00CC2D3B"/>
    <w:rsid w:val="00CC2EFB"/>
    <w:rsid w:val="00CC2F7A"/>
    <w:rsid w:val="00CC2FCE"/>
    <w:rsid w:val="00CC3150"/>
    <w:rsid w:val="00CC3233"/>
    <w:rsid w:val="00CC3295"/>
    <w:rsid w:val="00CC3634"/>
    <w:rsid w:val="00CC36C9"/>
    <w:rsid w:val="00CC383E"/>
    <w:rsid w:val="00CC38D3"/>
    <w:rsid w:val="00CC3919"/>
    <w:rsid w:val="00CC3A70"/>
    <w:rsid w:val="00CC3C6D"/>
    <w:rsid w:val="00CC3D25"/>
    <w:rsid w:val="00CC3ED0"/>
    <w:rsid w:val="00CC4033"/>
    <w:rsid w:val="00CC40B8"/>
    <w:rsid w:val="00CC4294"/>
    <w:rsid w:val="00CC4440"/>
    <w:rsid w:val="00CC464E"/>
    <w:rsid w:val="00CC46E6"/>
    <w:rsid w:val="00CC4836"/>
    <w:rsid w:val="00CC490D"/>
    <w:rsid w:val="00CC4A0E"/>
    <w:rsid w:val="00CC4BAE"/>
    <w:rsid w:val="00CC4DD9"/>
    <w:rsid w:val="00CC4DDA"/>
    <w:rsid w:val="00CC4E86"/>
    <w:rsid w:val="00CC5053"/>
    <w:rsid w:val="00CC51A8"/>
    <w:rsid w:val="00CC52F6"/>
    <w:rsid w:val="00CC53C8"/>
    <w:rsid w:val="00CC5444"/>
    <w:rsid w:val="00CC5631"/>
    <w:rsid w:val="00CC5743"/>
    <w:rsid w:val="00CC577A"/>
    <w:rsid w:val="00CC57A8"/>
    <w:rsid w:val="00CC58AE"/>
    <w:rsid w:val="00CC5A7A"/>
    <w:rsid w:val="00CC5ADF"/>
    <w:rsid w:val="00CC5AFB"/>
    <w:rsid w:val="00CC5B26"/>
    <w:rsid w:val="00CC5E73"/>
    <w:rsid w:val="00CC60C0"/>
    <w:rsid w:val="00CC60CA"/>
    <w:rsid w:val="00CC60D6"/>
    <w:rsid w:val="00CC6239"/>
    <w:rsid w:val="00CC62A6"/>
    <w:rsid w:val="00CC6578"/>
    <w:rsid w:val="00CC65A4"/>
    <w:rsid w:val="00CC65E2"/>
    <w:rsid w:val="00CC6684"/>
    <w:rsid w:val="00CC676C"/>
    <w:rsid w:val="00CC68F7"/>
    <w:rsid w:val="00CC6948"/>
    <w:rsid w:val="00CC6963"/>
    <w:rsid w:val="00CC6B00"/>
    <w:rsid w:val="00CC6B42"/>
    <w:rsid w:val="00CC6B4B"/>
    <w:rsid w:val="00CC6C87"/>
    <w:rsid w:val="00CC7004"/>
    <w:rsid w:val="00CC7519"/>
    <w:rsid w:val="00CC77AF"/>
    <w:rsid w:val="00CC7A11"/>
    <w:rsid w:val="00CC7A37"/>
    <w:rsid w:val="00CC7A6C"/>
    <w:rsid w:val="00CC7AE7"/>
    <w:rsid w:val="00CC7ED7"/>
    <w:rsid w:val="00CD0011"/>
    <w:rsid w:val="00CD0068"/>
    <w:rsid w:val="00CD00D8"/>
    <w:rsid w:val="00CD04A8"/>
    <w:rsid w:val="00CD051B"/>
    <w:rsid w:val="00CD05BA"/>
    <w:rsid w:val="00CD05BB"/>
    <w:rsid w:val="00CD05E0"/>
    <w:rsid w:val="00CD067C"/>
    <w:rsid w:val="00CD06BC"/>
    <w:rsid w:val="00CD0727"/>
    <w:rsid w:val="00CD07BC"/>
    <w:rsid w:val="00CD08D0"/>
    <w:rsid w:val="00CD094F"/>
    <w:rsid w:val="00CD097D"/>
    <w:rsid w:val="00CD09B9"/>
    <w:rsid w:val="00CD0E73"/>
    <w:rsid w:val="00CD12FD"/>
    <w:rsid w:val="00CD1482"/>
    <w:rsid w:val="00CD16AF"/>
    <w:rsid w:val="00CD198A"/>
    <w:rsid w:val="00CD19CA"/>
    <w:rsid w:val="00CD1A29"/>
    <w:rsid w:val="00CD1B90"/>
    <w:rsid w:val="00CD1DB1"/>
    <w:rsid w:val="00CD1EFA"/>
    <w:rsid w:val="00CD1F87"/>
    <w:rsid w:val="00CD1FA6"/>
    <w:rsid w:val="00CD2006"/>
    <w:rsid w:val="00CD2110"/>
    <w:rsid w:val="00CD22B5"/>
    <w:rsid w:val="00CD22F4"/>
    <w:rsid w:val="00CD24BA"/>
    <w:rsid w:val="00CD251B"/>
    <w:rsid w:val="00CD2531"/>
    <w:rsid w:val="00CD2586"/>
    <w:rsid w:val="00CD25E1"/>
    <w:rsid w:val="00CD2634"/>
    <w:rsid w:val="00CD271C"/>
    <w:rsid w:val="00CD29C9"/>
    <w:rsid w:val="00CD2A2C"/>
    <w:rsid w:val="00CD2B39"/>
    <w:rsid w:val="00CD2B5B"/>
    <w:rsid w:val="00CD2CA1"/>
    <w:rsid w:val="00CD2F6B"/>
    <w:rsid w:val="00CD2FDD"/>
    <w:rsid w:val="00CD30CD"/>
    <w:rsid w:val="00CD317C"/>
    <w:rsid w:val="00CD3298"/>
    <w:rsid w:val="00CD34DF"/>
    <w:rsid w:val="00CD35B2"/>
    <w:rsid w:val="00CD35D8"/>
    <w:rsid w:val="00CD364E"/>
    <w:rsid w:val="00CD367C"/>
    <w:rsid w:val="00CD39A9"/>
    <w:rsid w:val="00CD3B6E"/>
    <w:rsid w:val="00CD3BCB"/>
    <w:rsid w:val="00CD3C1A"/>
    <w:rsid w:val="00CD3C6A"/>
    <w:rsid w:val="00CD3D9A"/>
    <w:rsid w:val="00CD3E9C"/>
    <w:rsid w:val="00CD3F6C"/>
    <w:rsid w:val="00CD3FA0"/>
    <w:rsid w:val="00CD4042"/>
    <w:rsid w:val="00CD4063"/>
    <w:rsid w:val="00CD4108"/>
    <w:rsid w:val="00CD41B7"/>
    <w:rsid w:val="00CD42C8"/>
    <w:rsid w:val="00CD454A"/>
    <w:rsid w:val="00CD458C"/>
    <w:rsid w:val="00CD47DD"/>
    <w:rsid w:val="00CD490B"/>
    <w:rsid w:val="00CD4996"/>
    <w:rsid w:val="00CD49D2"/>
    <w:rsid w:val="00CD4DEC"/>
    <w:rsid w:val="00CD4E0E"/>
    <w:rsid w:val="00CD4F54"/>
    <w:rsid w:val="00CD4FBA"/>
    <w:rsid w:val="00CD4FFE"/>
    <w:rsid w:val="00CD5125"/>
    <w:rsid w:val="00CD5198"/>
    <w:rsid w:val="00CD52BC"/>
    <w:rsid w:val="00CD5654"/>
    <w:rsid w:val="00CD56C6"/>
    <w:rsid w:val="00CD57FA"/>
    <w:rsid w:val="00CD59D5"/>
    <w:rsid w:val="00CD5A6E"/>
    <w:rsid w:val="00CD5B46"/>
    <w:rsid w:val="00CD5C35"/>
    <w:rsid w:val="00CD5CEC"/>
    <w:rsid w:val="00CD5D0D"/>
    <w:rsid w:val="00CD5E7D"/>
    <w:rsid w:val="00CD5FA7"/>
    <w:rsid w:val="00CD606E"/>
    <w:rsid w:val="00CD616F"/>
    <w:rsid w:val="00CD6230"/>
    <w:rsid w:val="00CD624A"/>
    <w:rsid w:val="00CD62CC"/>
    <w:rsid w:val="00CD6353"/>
    <w:rsid w:val="00CD647B"/>
    <w:rsid w:val="00CD64C7"/>
    <w:rsid w:val="00CD67FA"/>
    <w:rsid w:val="00CD6829"/>
    <w:rsid w:val="00CD6A2D"/>
    <w:rsid w:val="00CD6A33"/>
    <w:rsid w:val="00CD6A92"/>
    <w:rsid w:val="00CD6B88"/>
    <w:rsid w:val="00CD6C36"/>
    <w:rsid w:val="00CD6D64"/>
    <w:rsid w:val="00CD6D95"/>
    <w:rsid w:val="00CD6F49"/>
    <w:rsid w:val="00CD70C1"/>
    <w:rsid w:val="00CD711F"/>
    <w:rsid w:val="00CD71AC"/>
    <w:rsid w:val="00CD72CE"/>
    <w:rsid w:val="00CD7306"/>
    <w:rsid w:val="00CD73A4"/>
    <w:rsid w:val="00CD74A7"/>
    <w:rsid w:val="00CD74FC"/>
    <w:rsid w:val="00CD754F"/>
    <w:rsid w:val="00CD7747"/>
    <w:rsid w:val="00CD7748"/>
    <w:rsid w:val="00CD775D"/>
    <w:rsid w:val="00CD79B0"/>
    <w:rsid w:val="00CD79B2"/>
    <w:rsid w:val="00CD7AD8"/>
    <w:rsid w:val="00CD7C29"/>
    <w:rsid w:val="00CD7CE0"/>
    <w:rsid w:val="00CD7DF5"/>
    <w:rsid w:val="00CD7F67"/>
    <w:rsid w:val="00CE012A"/>
    <w:rsid w:val="00CE0272"/>
    <w:rsid w:val="00CE0296"/>
    <w:rsid w:val="00CE0473"/>
    <w:rsid w:val="00CE052F"/>
    <w:rsid w:val="00CE0532"/>
    <w:rsid w:val="00CE05D4"/>
    <w:rsid w:val="00CE067B"/>
    <w:rsid w:val="00CE06D3"/>
    <w:rsid w:val="00CE0768"/>
    <w:rsid w:val="00CE076C"/>
    <w:rsid w:val="00CE07C1"/>
    <w:rsid w:val="00CE08BD"/>
    <w:rsid w:val="00CE0A6F"/>
    <w:rsid w:val="00CE0B94"/>
    <w:rsid w:val="00CE1161"/>
    <w:rsid w:val="00CE1191"/>
    <w:rsid w:val="00CE126F"/>
    <w:rsid w:val="00CE1272"/>
    <w:rsid w:val="00CE14D9"/>
    <w:rsid w:val="00CE14DC"/>
    <w:rsid w:val="00CE1510"/>
    <w:rsid w:val="00CE157C"/>
    <w:rsid w:val="00CE1602"/>
    <w:rsid w:val="00CE1779"/>
    <w:rsid w:val="00CE180F"/>
    <w:rsid w:val="00CE1894"/>
    <w:rsid w:val="00CE1AF6"/>
    <w:rsid w:val="00CE20A8"/>
    <w:rsid w:val="00CE20E7"/>
    <w:rsid w:val="00CE2298"/>
    <w:rsid w:val="00CE23FD"/>
    <w:rsid w:val="00CE2439"/>
    <w:rsid w:val="00CE24BA"/>
    <w:rsid w:val="00CE25D1"/>
    <w:rsid w:val="00CE271A"/>
    <w:rsid w:val="00CE29FD"/>
    <w:rsid w:val="00CE2A57"/>
    <w:rsid w:val="00CE3064"/>
    <w:rsid w:val="00CE31B1"/>
    <w:rsid w:val="00CE31EE"/>
    <w:rsid w:val="00CE3241"/>
    <w:rsid w:val="00CE3305"/>
    <w:rsid w:val="00CE338E"/>
    <w:rsid w:val="00CE346E"/>
    <w:rsid w:val="00CE349F"/>
    <w:rsid w:val="00CE35D9"/>
    <w:rsid w:val="00CE3755"/>
    <w:rsid w:val="00CE39E4"/>
    <w:rsid w:val="00CE3B84"/>
    <w:rsid w:val="00CE3EEA"/>
    <w:rsid w:val="00CE3FE5"/>
    <w:rsid w:val="00CE40F1"/>
    <w:rsid w:val="00CE4159"/>
    <w:rsid w:val="00CE4282"/>
    <w:rsid w:val="00CE468B"/>
    <w:rsid w:val="00CE47A8"/>
    <w:rsid w:val="00CE47D2"/>
    <w:rsid w:val="00CE4B4A"/>
    <w:rsid w:val="00CE4C74"/>
    <w:rsid w:val="00CE4CBE"/>
    <w:rsid w:val="00CE4CD8"/>
    <w:rsid w:val="00CE4DAA"/>
    <w:rsid w:val="00CE4E03"/>
    <w:rsid w:val="00CE4E7C"/>
    <w:rsid w:val="00CE50AD"/>
    <w:rsid w:val="00CE525E"/>
    <w:rsid w:val="00CE52E5"/>
    <w:rsid w:val="00CE5352"/>
    <w:rsid w:val="00CE5391"/>
    <w:rsid w:val="00CE54BB"/>
    <w:rsid w:val="00CE54E1"/>
    <w:rsid w:val="00CE55B6"/>
    <w:rsid w:val="00CE5856"/>
    <w:rsid w:val="00CE59AC"/>
    <w:rsid w:val="00CE5A87"/>
    <w:rsid w:val="00CE5ABA"/>
    <w:rsid w:val="00CE5B64"/>
    <w:rsid w:val="00CE5BDE"/>
    <w:rsid w:val="00CE5BF0"/>
    <w:rsid w:val="00CE60A3"/>
    <w:rsid w:val="00CE619C"/>
    <w:rsid w:val="00CE626E"/>
    <w:rsid w:val="00CE633F"/>
    <w:rsid w:val="00CE64DF"/>
    <w:rsid w:val="00CE6860"/>
    <w:rsid w:val="00CE68CA"/>
    <w:rsid w:val="00CE69C2"/>
    <w:rsid w:val="00CE69DF"/>
    <w:rsid w:val="00CE6A6D"/>
    <w:rsid w:val="00CE6E81"/>
    <w:rsid w:val="00CE7035"/>
    <w:rsid w:val="00CE7042"/>
    <w:rsid w:val="00CE7082"/>
    <w:rsid w:val="00CE7095"/>
    <w:rsid w:val="00CE71C1"/>
    <w:rsid w:val="00CE73EE"/>
    <w:rsid w:val="00CE774C"/>
    <w:rsid w:val="00CE77B3"/>
    <w:rsid w:val="00CE78FE"/>
    <w:rsid w:val="00CE7921"/>
    <w:rsid w:val="00CE79B3"/>
    <w:rsid w:val="00CE79F0"/>
    <w:rsid w:val="00CE7ACB"/>
    <w:rsid w:val="00CE7B88"/>
    <w:rsid w:val="00CE7CE4"/>
    <w:rsid w:val="00CE7D5E"/>
    <w:rsid w:val="00CF012E"/>
    <w:rsid w:val="00CF01F7"/>
    <w:rsid w:val="00CF0249"/>
    <w:rsid w:val="00CF035E"/>
    <w:rsid w:val="00CF03A8"/>
    <w:rsid w:val="00CF03BD"/>
    <w:rsid w:val="00CF03CF"/>
    <w:rsid w:val="00CF04D4"/>
    <w:rsid w:val="00CF04E4"/>
    <w:rsid w:val="00CF0560"/>
    <w:rsid w:val="00CF0668"/>
    <w:rsid w:val="00CF07D9"/>
    <w:rsid w:val="00CF07E0"/>
    <w:rsid w:val="00CF085F"/>
    <w:rsid w:val="00CF0A7E"/>
    <w:rsid w:val="00CF0B4C"/>
    <w:rsid w:val="00CF0D08"/>
    <w:rsid w:val="00CF0D55"/>
    <w:rsid w:val="00CF0E25"/>
    <w:rsid w:val="00CF1234"/>
    <w:rsid w:val="00CF127A"/>
    <w:rsid w:val="00CF1680"/>
    <w:rsid w:val="00CF1871"/>
    <w:rsid w:val="00CF1A4F"/>
    <w:rsid w:val="00CF1B0F"/>
    <w:rsid w:val="00CF1B7F"/>
    <w:rsid w:val="00CF1BD7"/>
    <w:rsid w:val="00CF1C45"/>
    <w:rsid w:val="00CF1CDB"/>
    <w:rsid w:val="00CF1D0D"/>
    <w:rsid w:val="00CF1E64"/>
    <w:rsid w:val="00CF1E90"/>
    <w:rsid w:val="00CF2159"/>
    <w:rsid w:val="00CF21A5"/>
    <w:rsid w:val="00CF22BB"/>
    <w:rsid w:val="00CF2371"/>
    <w:rsid w:val="00CF23CB"/>
    <w:rsid w:val="00CF23E3"/>
    <w:rsid w:val="00CF250C"/>
    <w:rsid w:val="00CF2518"/>
    <w:rsid w:val="00CF2623"/>
    <w:rsid w:val="00CF2694"/>
    <w:rsid w:val="00CF26AC"/>
    <w:rsid w:val="00CF29E7"/>
    <w:rsid w:val="00CF2A82"/>
    <w:rsid w:val="00CF2B0A"/>
    <w:rsid w:val="00CF2DDE"/>
    <w:rsid w:val="00CF2E51"/>
    <w:rsid w:val="00CF323D"/>
    <w:rsid w:val="00CF332C"/>
    <w:rsid w:val="00CF3363"/>
    <w:rsid w:val="00CF3399"/>
    <w:rsid w:val="00CF344A"/>
    <w:rsid w:val="00CF34FF"/>
    <w:rsid w:val="00CF356A"/>
    <w:rsid w:val="00CF3584"/>
    <w:rsid w:val="00CF363E"/>
    <w:rsid w:val="00CF384B"/>
    <w:rsid w:val="00CF3895"/>
    <w:rsid w:val="00CF3928"/>
    <w:rsid w:val="00CF39A0"/>
    <w:rsid w:val="00CF3BDD"/>
    <w:rsid w:val="00CF3D12"/>
    <w:rsid w:val="00CF3D1C"/>
    <w:rsid w:val="00CF3E21"/>
    <w:rsid w:val="00CF3E9A"/>
    <w:rsid w:val="00CF42CA"/>
    <w:rsid w:val="00CF4404"/>
    <w:rsid w:val="00CF444D"/>
    <w:rsid w:val="00CF455C"/>
    <w:rsid w:val="00CF46A5"/>
    <w:rsid w:val="00CF4713"/>
    <w:rsid w:val="00CF475D"/>
    <w:rsid w:val="00CF4773"/>
    <w:rsid w:val="00CF4B12"/>
    <w:rsid w:val="00CF4B56"/>
    <w:rsid w:val="00CF4BF4"/>
    <w:rsid w:val="00CF4BF6"/>
    <w:rsid w:val="00CF4D6B"/>
    <w:rsid w:val="00CF4DB6"/>
    <w:rsid w:val="00CF4F3E"/>
    <w:rsid w:val="00CF4FE3"/>
    <w:rsid w:val="00CF5052"/>
    <w:rsid w:val="00CF517B"/>
    <w:rsid w:val="00CF51C9"/>
    <w:rsid w:val="00CF571D"/>
    <w:rsid w:val="00CF58A4"/>
    <w:rsid w:val="00CF58FE"/>
    <w:rsid w:val="00CF5A99"/>
    <w:rsid w:val="00CF5DB1"/>
    <w:rsid w:val="00CF5EBE"/>
    <w:rsid w:val="00CF5F2D"/>
    <w:rsid w:val="00CF61C9"/>
    <w:rsid w:val="00CF6497"/>
    <w:rsid w:val="00CF66FC"/>
    <w:rsid w:val="00CF678E"/>
    <w:rsid w:val="00CF67A8"/>
    <w:rsid w:val="00CF6A47"/>
    <w:rsid w:val="00CF6ECD"/>
    <w:rsid w:val="00CF6FE8"/>
    <w:rsid w:val="00CF70E3"/>
    <w:rsid w:val="00CF721D"/>
    <w:rsid w:val="00CF7330"/>
    <w:rsid w:val="00CF740B"/>
    <w:rsid w:val="00CF7452"/>
    <w:rsid w:val="00CF7520"/>
    <w:rsid w:val="00CF7613"/>
    <w:rsid w:val="00CF7698"/>
    <w:rsid w:val="00CF773C"/>
    <w:rsid w:val="00CF783B"/>
    <w:rsid w:val="00CF79A0"/>
    <w:rsid w:val="00CF7A10"/>
    <w:rsid w:val="00CF7AB8"/>
    <w:rsid w:val="00CF7BAF"/>
    <w:rsid w:val="00CF7D97"/>
    <w:rsid w:val="00CF7ECF"/>
    <w:rsid w:val="00CF7EEC"/>
    <w:rsid w:val="00CF7F84"/>
    <w:rsid w:val="00D000B1"/>
    <w:rsid w:val="00D0019E"/>
    <w:rsid w:val="00D001C2"/>
    <w:rsid w:val="00D00328"/>
    <w:rsid w:val="00D004CF"/>
    <w:rsid w:val="00D00543"/>
    <w:rsid w:val="00D005C5"/>
    <w:rsid w:val="00D00706"/>
    <w:rsid w:val="00D00779"/>
    <w:rsid w:val="00D008F5"/>
    <w:rsid w:val="00D009D8"/>
    <w:rsid w:val="00D00A95"/>
    <w:rsid w:val="00D00BAE"/>
    <w:rsid w:val="00D00BC8"/>
    <w:rsid w:val="00D00D1E"/>
    <w:rsid w:val="00D00DB8"/>
    <w:rsid w:val="00D00EA4"/>
    <w:rsid w:val="00D00F94"/>
    <w:rsid w:val="00D0103C"/>
    <w:rsid w:val="00D01071"/>
    <w:rsid w:val="00D012E1"/>
    <w:rsid w:val="00D01318"/>
    <w:rsid w:val="00D013EC"/>
    <w:rsid w:val="00D01501"/>
    <w:rsid w:val="00D015DE"/>
    <w:rsid w:val="00D01665"/>
    <w:rsid w:val="00D016F2"/>
    <w:rsid w:val="00D0170E"/>
    <w:rsid w:val="00D0177C"/>
    <w:rsid w:val="00D01876"/>
    <w:rsid w:val="00D018DE"/>
    <w:rsid w:val="00D01914"/>
    <w:rsid w:val="00D0191C"/>
    <w:rsid w:val="00D01A66"/>
    <w:rsid w:val="00D01BEC"/>
    <w:rsid w:val="00D01C99"/>
    <w:rsid w:val="00D01D1E"/>
    <w:rsid w:val="00D01D3F"/>
    <w:rsid w:val="00D01EC4"/>
    <w:rsid w:val="00D01FF1"/>
    <w:rsid w:val="00D0218C"/>
    <w:rsid w:val="00D023B9"/>
    <w:rsid w:val="00D02436"/>
    <w:rsid w:val="00D02580"/>
    <w:rsid w:val="00D02646"/>
    <w:rsid w:val="00D026BD"/>
    <w:rsid w:val="00D0276A"/>
    <w:rsid w:val="00D027F6"/>
    <w:rsid w:val="00D02930"/>
    <w:rsid w:val="00D02A49"/>
    <w:rsid w:val="00D02CA6"/>
    <w:rsid w:val="00D02CB2"/>
    <w:rsid w:val="00D02D70"/>
    <w:rsid w:val="00D02E15"/>
    <w:rsid w:val="00D02EF4"/>
    <w:rsid w:val="00D030CD"/>
    <w:rsid w:val="00D03100"/>
    <w:rsid w:val="00D0338F"/>
    <w:rsid w:val="00D03401"/>
    <w:rsid w:val="00D03483"/>
    <w:rsid w:val="00D0348C"/>
    <w:rsid w:val="00D0363E"/>
    <w:rsid w:val="00D03785"/>
    <w:rsid w:val="00D038F9"/>
    <w:rsid w:val="00D03A0E"/>
    <w:rsid w:val="00D03AC9"/>
    <w:rsid w:val="00D03BF7"/>
    <w:rsid w:val="00D03C61"/>
    <w:rsid w:val="00D03D87"/>
    <w:rsid w:val="00D03F1E"/>
    <w:rsid w:val="00D03F3F"/>
    <w:rsid w:val="00D0407A"/>
    <w:rsid w:val="00D0410C"/>
    <w:rsid w:val="00D0428E"/>
    <w:rsid w:val="00D04389"/>
    <w:rsid w:val="00D04426"/>
    <w:rsid w:val="00D04545"/>
    <w:rsid w:val="00D0482F"/>
    <w:rsid w:val="00D04869"/>
    <w:rsid w:val="00D04A33"/>
    <w:rsid w:val="00D04B61"/>
    <w:rsid w:val="00D04DC6"/>
    <w:rsid w:val="00D04E15"/>
    <w:rsid w:val="00D04EC2"/>
    <w:rsid w:val="00D05059"/>
    <w:rsid w:val="00D0508B"/>
    <w:rsid w:val="00D0514D"/>
    <w:rsid w:val="00D052B0"/>
    <w:rsid w:val="00D0535B"/>
    <w:rsid w:val="00D0535D"/>
    <w:rsid w:val="00D05557"/>
    <w:rsid w:val="00D0586D"/>
    <w:rsid w:val="00D05892"/>
    <w:rsid w:val="00D058E3"/>
    <w:rsid w:val="00D05AF1"/>
    <w:rsid w:val="00D05DC6"/>
    <w:rsid w:val="00D05DE3"/>
    <w:rsid w:val="00D05EAC"/>
    <w:rsid w:val="00D05EC2"/>
    <w:rsid w:val="00D060B7"/>
    <w:rsid w:val="00D060F4"/>
    <w:rsid w:val="00D06686"/>
    <w:rsid w:val="00D06824"/>
    <w:rsid w:val="00D068A8"/>
    <w:rsid w:val="00D06BF2"/>
    <w:rsid w:val="00D06C03"/>
    <w:rsid w:val="00D06C46"/>
    <w:rsid w:val="00D06CE6"/>
    <w:rsid w:val="00D06D0D"/>
    <w:rsid w:val="00D06D1A"/>
    <w:rsid w:val="00D06E7D"/>
    <w:rsid w:val="00D07305"/>
    <w:rsid w:val="00D073E8"/>
    <w:rsid w:val="00D07477"/>
    <w:rsid w:val="00D077FB"/>
    <w:rsid w:val="00D078BC"/>
    <w:rsid w:val="00D079A9"/>
    <w:rsid w:val="00D07B8F"/>
    <w:rsid w:val="00D07CCD"/>
    <w:rsid w:val="00D07E36"/>
    <w:rsid w:val="00D07F78"/>
    <w:rsid w:val="00D100B5"/>
    <w:rsid w:val="00D10237"/>
    <w:rsid w:val="00D1028B"/>
    <w:rsid w:val="00D10316"/>
    <w:rsid w:val="00D1037A"/>
    <w:rsid w:val="00D10530"/>
    <w:rsid w:val="00D10545"/>
    <w:rsid w:val="00D10BAA"/>
    <w:rsid w:val="00D10BC0"/>
    <w:rsid w:val="00D10C13"/>
    <w:rsid w:val="00D10D09"/>
    <w:rsid w:val="00D10D4F"/>
    <w:rsid w:val="00D1111D"/>
    <w:rsid w:val="00D1128D"/>
    <w:rsid w:val="00D112B5"/>
    <w:rsid w:val="00D11306"/>
    <w:rsid w:val="00D1163E"/>
    <w:rsid w:val="00D116AF"/>
    <w:rsid w:val="00D11799"/>
    <w:rsid w:val="00D1180C"/>
    <w:rsid w:val="00D11881"/>
    <w:rsid w:val="00D11990"/>
    <w:rsid w:val="00D11C6C"/>
    <w:rsid w:val="00D11D61"/>
    <w:rsid w:val="00D11DDD"/>
    <w:rsid w:val="00D11ED6"/>
    <w:rsid w:val="00D11F0A"/>
    <w:rsid w:val="00D122B1"/>
    <w:rsid w:val="00D12362"/>
    <w:rsid w:val="00D124FB"/>
    <w:rsid w:val="00D12644"/>
    <w:rsid w:val="00D129B5"/>
    <w:rsid w:val="00D12A25"/>
    <w:rsid w:val="00D12A4F"/>
    <w:rsid w:val="00D12A9F"/>
    <w:rsid w:val="00D12B8C"/>
    <w:rsid w:val="00D12ED1"/>
    <w:rsid w:val="00D12F07"/>
    <w:rsid w:val="00D12FB4"/>
    <w:rsid w:val="00D130B7"/>
    <w:rsid w:val="00D13153"/>
    <w:rsid w:val="00D13403"/>
    <w:rsid w:val="00D134EB"/>
    <w:rsid w:val="00D13570"/>
    <w:rsid w:val="00D1365E"/>
    <w:rsid w:val="00D1376E"/>
    <w:rsid w:val="00D13B39"/>
    <w:rsid w:val="00D13BAC"/>
    <w:rsid w:val="00D13E26"/>
    <w:rsid w:val="00D13E81"/>
    <w:rsid w:val="00D13E98"/>
    <w:rsid w:val="00D13EB5"/>
    <w:rsid w:val="00D14049"/>
    <w:rsid w:val="00D141A5"/>
    <w:rsid w:val="00D14302"/>
    <w:rsid w:val="00D14453"/>
    <w:rsid w:val="00D1484D"/>
    <w:rsid w:val="00D148F0"/>
    <w:rsid w:val="00D1491D"/>
    <w:rsid w:val="00D149D5"/>
    <w:rsid w:val="00D14B2A"/>
    <w:rsid w:val="00D14BF4"/>
    <w:rsid w:val="00D14C15"/>
    <w:rsid w:val="00D14CA5"/>
    <w:rsid w:val="00D14DAD"/>
    <w:rsid w:val="00D14F17"/>
    <w:rsid w:val="00D14FEA"/>
    <w:rsid w:val="00D15043"/>
    <w:rsid w:val="00D15058"/>
    <w:rsid w:val="00D15443"/>
    <w:rsid w:val="00D15448"/>
    <w:rsid w:val="00D157B7"/>
    <w:rsid w:val="00D15931"/>
    <w:rsid w:val="00D15AB9"/>
    <w:rsid w:val="00D15B59"/>
    <w:rsid w:val="00D15CB3"/>
    <w:rsid w:val="00D15D16"/>
    <w:rsid w:val="00D15D26"/>
    <w:rsid w:val="00D15DE7"/>
    <w:rsid w:val="00D15F2E"/>
    <w:rsid w:val="00D15F51"/>
    <w:rsid w:val="00D15FCF"/>
    <w:rsid w:val="00D16083"/>
    <w:rsid w:val="00D163A0"/>
    <w:rsid w:val="00D1682C"/>
    <w:rsid w:val="00D16880"/>
    <w:rsid w:val="00D1692B"/>
    <w:rsid w:val="00D16A6F"/>
    <w:rsid w:val="00D16A93"/>
    <w:rsid w:val="00D16C11"/>
    <w:rsid w:val="00D16C62"/>
    <w:rsid w:val="00D16ED5"/>
    <w:rsid w:val="00D16F8E"/>
    <w:rsid w:val="00D1705B"/>
    <w:rsid w:val="00D175A4"/>
    <w:rsid w:val="00D175C6"/>
    <w:rsid w:val="00D17705"/>
    <w:rsid w:val="00D1793E"/>
    <w:rsid w:val="00D1796C"/>
    <w:rsid w:val="00D17D9D"/>
    <w:rsid w:val="00D17DBF"/>
    <w:rsid w:val="00D20282"/>
    <w:rsid w:val="00D202B1"/>
    <w:rsid w:val="00D20332"/>
    <w:rsid w:val="00D20543"/>
    <w:rsid w:val="00D20662"/>
    <w:rsid w:val="00D2073F"/>
    <w:rsid w:val="00D2089F"/>
    <w:rsid w:val="00D208A9"/>
    <w:rsid w:val="00D208E2"/>
    <w:rsid w:val="00D20A86"/>
    <w:rsid w:val="00D20D0C"/>
    <w:rsid w:val="00D20D66"/>
    <w:rsid w:val="00D20DA0"/>
    <w:rsid w:val="00D20DCA"/>
    <w:rsid w:val="00D20E53"/>
    <w:rsid w:val="00D21039"/>
    <w:rsid w:val="00D21145"/>
    <w:rsid w:val="00D21195"/>
    <w:rsid w:val="00D2123B"/>
    <w:rsid w:val="00D21291"/>
    <w:rsid w:val="00D21330"/>
    <w:rsid w:val="00D2137A"/>
    <w:rsid w:val="00D213DC"/>
    <w:rsid w:val="00D21582"/>
    <w:rsid w:val="00D215A1"/>
    <w:rsid w:val="00D21771"/>
    <w:rsid w:val="00D219F7"/>
    <w:rsid w:val="00D21C8A"/>
    <w:rsid w:val="00D2201E"/>
    <w:rsid w:val="00D22368"/>
    <w:rsid w:val="00D223D7"/>
    <w:rsid w:val="00D22417"/>
    <w:rsid w:val="00D2257A"/>
    <w:rsid w:val="00D2268E"/>
    <w:rsid w:val="00D228A4"/>
    <w:rsid w:val="00D2297E"/>
    <w:rsid w:val="00D22B2A"/>
    <w:rsid w:val="00D22BB7"/>
    <w:rsid w:val="00D22C5E"/>
    <w:rsid w:val="00D22DE5"/>
    <w:rsid w:val="00D22E1E"/>
    <w:rsid w:val="00D22F8A"/>
    <w:rsid w:val="00D230CD"/>
    <w:rsid w:val="00D230D8"/>
    <w:rsid w:val="00D23111"/>
    <w:rsid w:val="00D23142"/>
    <w:rsid w:val="00D2320F"/>
    <w:rsid w:val="00D23261"/>
    <w:rsid w:val="00D232C1"/>
    <w:rsid w:val="00D2339A"/>
    <w:rsid w:val="00D233BD"/>
    <w:rsid w:val="00D233D7"/>
    <w:rsid w:val="00D236F6"/>
    <w:rsid w:val="00D23905"/>
    <w:rsid w:val="00D23AAF"/>
    <w:rsid w:val="00D23CBB"/>
    <w:rsid w:val="00D23ED8"/>
    <w:rsid w:val="00D23EE9"/>
    <w:rsid w:val="00D23F81"/>
    <w:rsid w:val="00D24054"/>
    <w:rsid w:val="00D24111"/>
    <w:rsid w:val="00D241E7"/>
    <w:rsid w:val="00D242F8"/>
    <w:rsid w:val="00D24536"/>
    <w:rsid w:val="00D247CD"/>
    <w:rsid w:val="00D248D7"/>
    <w:rsid w:val="00D24A22"/>
    <w:rsid w:val="00D24BBC"/>
    <w:rsid w:val="00D24E28"/>
    <w:rsid w:val="00D24F80"/>
    <w:rsid w:val="00D24FDE"/>
    <w:rsid w:val="00D2528E"/>
    <w:rsid w:val="00D2535F"/>
    <w:rsid w:val="00D255CC"/>
    <w:rsid w:val="00D2564B"/>
    <w:rsid w:val="00D257A8"/>
    <w:rsid w:val="00D25806"/>
    <w:rsid w:val="00D25B11"/>
    <w:rsid w:val="00D25E9D"/>
    <w:rsid w:val="00D25F1C"/>
    <w:rsid w:val="00D2607F"/>
    <w:rsid w:val="00D26141"/>
    <w:rsid w:val="00D261B1"/>
    <w:rsid w:val="00D262E3"/>
    <w:rsid w:val="00D26396"/>
    <w:rsid w:val="00D26629"/>
    <w:rsid w:val="00D2676D"/>
    <w:rsid w:val="00D269D8"/>
    <w:rsid w:val="00D26B71"/>
    <w:rsid w:val="00D26DCB"/>
    <w:rsid w:val="00D26DE6"/>
    <w:rsid w:val="00D26E38"/>
    <w:rsid w:val="00D26E9F"/>
    <w:rsid w:val="00D26EC9"/>
    <w:rsid w:val="00D26EE7"/>
    <w:rsid w:val="00D26F08"/>
    <w:rsid w:val="00D27363"/>
    <w:rsid w:val="00D273B5"/>
    <w:rsid w:val="00D274EC"/>
    <w:rsid w:val="00D2755C"/>
    <w:rsid w:val="00D276AF"/>
    <w:rsid w:val="00D27853"/>
    <w:rsid w:val="00D27AF4"/>
    <w:rsid w:val="00D27BFA"/>
    <w:rsid w:val="00D27CEC"/>
    <w:rsid w:val="00D27CFD"/>
    <w:rsid w:val="00D27E2B"/>
    <w:rsid w:val="00D27FDF"/>
    <w:rsid w:val="00D3040D"/>
    <w:rsid w:val="00D30443"/>
    <w:rsid w:val="00D304A0"/>
    <w:rsid w:val="00D305EA"/>
    <w:rsid w:val="00D3066F"/>
    <w:rsid w:val="00D306AC"/>
    <w:rsid w:val="00D30718"/>
    <w:rsid w:val="00D307FE"/>
    <w:rsid w:val="00D3081F"/>
    <w:rsid w:val="00D30850"/>
    <w:rsid w:val="00D309A3"/>
    <w:rsid w:val="00D30B97"/>
    <w:rsid w:val="00D30E2B"/>
    <w:rsid w:val="00D30FA8"/>
    <w:rsid w:val="00D311E8"/>
    <w:rsid w:val="00D31278"/>
    <w:rsid w:val="00D31282"/>
    <w:rsid w:val="00D315C8"/>
    <w:rsid w:val="00D315EC"/>
    <w:rsid w:val="00D31696"/>
    <w:rsid w:val="00D31805"/>
    <w:rsid w:val="00D3196D"/>
    <w:rsid w:val="00D31A94"/>
    <w:rsid w:val="00D31C7D"/>
    <w:rsid w:val="00D31E83"/>
    <w:rsid w:val="00D31FB9"/>
    <w:rsid w:val="00D322FB"/>
    <w:rsid w:val="00D3239C"/>
    <w:rsid w:val="00D3246C"/>
    <w:rsid w:val="00D32475"/>
    <w:rsid w:val="00D3260F"/>
    <w:rsid w:val="00D32686"/>
    <w:rsid w:val="00D32797"/>
    <w:rsid w:val="00D3284C"/>
    <w:rsid w:val="00D32BF6"/>
    <w:rsid w:val="00D32C63"/>
    <w:rsid w:val="00D32C8F"/>
    <w:rsid w:val="00D32D86"/>
    <w:rsid w:val="00D32DD4"/>
    <w:rsid w:val="00D32E75"/>
    <w:rsid w:val="00D32EAB"/>
    <w:rsid w:val="00D32EF4"/>
    <w:rsid w:val="00D33238"/>
    <w:rsid w:val="00D3333B"/>
    <w:rsid w:val="00D33406"/>
    <w:rsid w:val="00D33412"/>
    <w:rsid w:val="00D33425"/>
    <w:rsid w:val="00D3366D"/>
    <w:rsid w:val="00D336C7"/>
    <w:rsid w:val="00D3388D"/>
    <w:rsid w:val="00D338EB"/>
    <w:rsid w:val="00D339A5"/>
    <w:rsid w:val="00D33AC2"/>
    <w:rsid w:val="00D33BB5"/>
    <w:rsid w:val="00D33CBE"/>
    <w:rsid w:val="00D33CC1"/>
    <w:rsid w:val="00D33E7A"/>
    <w:rsid w:val="00D33F81"/>
    <w:rsid w:val="00D340BA"/>
    <w:rsid w:val="00D34298"/>
    <w:rsid w:val="00D34301"/>
    <w:rsid w:val="00D34302"/>
    <w:rsid w:val="00D343D0"/>
    <w:rsid w:val="00D344E5"/>
    <w:rsid w:val="00D34565"/>
    <w:rsid w:val="00D34567"/>
    <w:rsid w:val="00D34668"/>
    <w:rsid w:val="00D34686"/>
    <w:rsid w:val="00D34850"/>
    <w:rsid w:val="00D3486A"/>
    <w:rsid w:val="00D349A5"/>
    <w:rsid w:val="00D34AB8"/>
    <w:rsid w:val="00D34AB9"/>
    <w:rsid w:val="00D34AC3"/>
    <w:rsid w:val="00D34BD8"/>
    <w:rsid w:val="00D34C23"/>
    <w:rsid w:val="00D34C82"/>
    <w:rsid w:val="00D34F0E"/>
    <w:rsid w:val="00D34FFC"/>
    <w:rsid w:val="00D35060"/>
    <w:rsid w:val="00D3519D"/>
    <w:rsid w:val="00D35337"/>
    <w:rsid w:val="00D35350"/>
    <w:rsid w:val="00D3541D"/>
    <w:rsid w:val="00D354FB"/>
    <w:rsid w:val="00D35554"/>
    <w:rsid w:val="00D3556B"/>
    <w:rsid w:val="00D35677"/>
    <w:rsid w:val="00D35818"/>
    <w:rsid w:val="00D35937"/>
    <w:rsid w:val="00D35B6D"/>
    <w:rsid w:val="00D35BBD"/>
    <w:rsid w:val="00D35C04"/>
    <w:rsid w:val="00D35E23"/>
    <w:rsid w:val="00D35E49"/>
    <w:rsid w:val="00D36029"/>
    <w:rsid w:val="00D36249"/>
    <w:rsid w:val="00D364C9"/>
    <w:rsid w:val="00D36555"/>
    <w:rsid w:val="00D36568"/>
    <w:rsid w:val="00D36748"/>
    <w:rsid w:val="00D369D4"/>
    <w:rsid w:val="00D36A4F"/>
    <w:rsid w:val="00D36AD7"/>
    <w:rsid w:val="00D36BE3"/>
    <w:rsid w:val="00D36C85"/>
    <w:rsid w:val="00D36CD0"/>
    <w:rsid w:val="00D36D6C"/>
    <w:rsid w:val="00D36EF4"/>
    <w:rsid w:val="00D36F00"/>
    <w:rsid w:val="00D36FCC"/>
    <w:rsid w:val="00D3701C"/>
    <w:rsid w:val="00D3726F"/>
    <w:rsid w:val="00D3729B"/>
    <w:rsid w:val="00D373BC"/>
    <w:rsid w:val="00D373E9"/>
    <w:rsid w:val="00D374A5"/>
    <w:rsid w:val="00D374F8"/>
    <w:rsid w:val="00D3757A"/>
    <w:rsid w:val="00D375EC"/>
    <w:rsid w:val="00D37853"/>
    <w:rsid w:val="00D37C61"/>
    <w:rsid w:val="00D37CB6"/>
    <w:rsid w:val="00D37DA6"/>
    <w:rsid w:val="00D37E73"/>
    <w:rsid w:val="00D4001F"/>
    <w:rsid w:val="00D400AC"/>
    <w:rsid w:val="00D400E5"/>
    <w:rsid w:val="00D40134"/>
    <w:rsid w:val="00D401FD"/>
    <w:rsid w:val="00D40331"/>
    <w:rsid w:val="00D403FF"/>
    <w:rsid w:val="00D404C4"/>
    <w:rsid w:val="00D4062E"/>
    <w:rsid w:val="00D406B9"/>
    <w:rsid w:val="00D40726"/>
    <w:rsid w:val="00D40914"/>
    <w:rsid w:val="00D4092C"/>
    <w:rsid w:val="00D40B5C"/>
    <w:rsid w:val="00D40CE9"/>
    <w:rsid w:val="00D410AF"/>
    <w:rsid w:val="00D411B3"/>
    <w:rsid w:val="00D411C0"/>
    <w:rsid w:val="00D41331"/>
    <w:rsid w:val="00D41529"/>
    <w:rsid w:val="00D416DC"/>
    <w:rsid w:val="00D4182F"/>
    <w:rsid w:val="00D419D5"/>
    <w:rsid w:val="00D419E8"/>
    <w:rsid w:val="00D41A83"/>
    <w:rsid w:val="00D41A92"/>
    <w:rsid w:val="00D41C75"/>
    <w:rsid w:val="00D41CF8"/>
    <w:rsid w:val="00D41D2E"/>
    <w:rsid w:val="00D41DEE"/>
    <w:rsid w:val="00D41E48"/>
    <w:rsid w:val="00D42115"/>
    <w:rsid w:val="00D42184"/>
    <w:rsid w:val="00D421DA"/>
    <w:rsid w:val="00D422A2"/>
    <w:rsid w:val="00D4233A"/>
    <w:rsid w:val="00D4253C"/>
    <w:rsid w:val="00D42553"/>
    <w:rsid w:val="00D4259C"/>
    <w:rsid w:val="00D42856"/>
    <w:rsid w:val="00D428AB"/>
    <w:rsid w:val="00D4294B"/>
    <w:rsid w:val="00D429A6"/>
    <w:rsid w:val="00D42A04"/>
    <w:rsid w:val="00D42C6E"/>
    <w:rsid w:val="00D42D17"/>
    <w:rsid w:val="00D42DC9"/>
    <w:rsid w:val="00D42E3B"/>
    <w:rsid w:val="00D42EFD"/>
    <w:rsid w:val="00D42FC3"/>
    <w:rsid w:val="00D42FD6"/>
    <w:rsid w:val="00D43039"/>
    <w:rsid w:val="00D43280"/>
    <w:rsid w:val="00D432EE"/>
    <w:rsid w:val="00D43591"/>
    <w:rsid w:val="00D437C6"/>
    <w:rsid w:val="00D437EA"/>
    <w:rsid w:val="00D44067"/>
    <w:rsid w:val="00D443AE"/>
    <w:rsid w:val="00D443DA"/>
    <w:rsid w:val="00D44491"/>
    <w:rsid w:val="00D44550"/>
    <w:rsid w:val="00D445B5"/>
    <w:rsid w:val="00D446E9"/>
    <w:rsid w:val="00D447D8"/>
    <w:rsid w:val="00D4480B"/>
    <w:rsid w:val="00D448E7"/>
    <w:rsid w:val="00D449EE"/>
    <w:rsid w:val="00D44A8C"/>
    <w:rsid w:val="00D44BD1"/>
    <w:rsid w:val="00D44E0E"/>
    <w:rsid w:val="00D44F84"/>
    <w:rsid w:val="00D4500D"/>
    <w:rsid w:val="00D451C6"/>
    <w:rsid w:val="00D45692"/>
    <w:rsid w:val="00D457D1"/>
    <w:rsid w:val="00D458AA"/>
    <w:rsid w:val="00D459EE"/>
    <w:rsid w:val="00D45BED"/>
    <w:rsid w:val="00D45C6B"/>
    <w:rsid w:val="00D45D91"/>
    <w:rsid w:val="00D45DD5"/>
    <w:rsid w:val="00D45E07"/>
    <w:rsid w:val="00D45E27"/>
    <w:rsid w:val="00D45F24"/>
    <w:rsid w:val="00D45F2E"/>
    <w:rsid w:val="00D4612C"/>
    <w:rsid w:val="00D4618D"/>
    <w:rsid w:val="00D46260"/>
    <w:rsid w:val="00D462C7"/>
    <w:rsid w:val="00D46338"/>
    <w:rsid w:val="00D46341"/>
    <w:rsid w:val="00D4634F"/>
    <w:rsid w:val="00D46392"/>
    <w:rsid w:val="00D466E1"/>
    <w:rsid w:val="00D469AC"/>
    <w:rsid w:val="00D469E7"/>
    <w:rsid w:val="00D46BA2"/>
    <w:rsid w:val="00D46C4D"/>
    <w:rsid w:val="00D46DA3"/>
    <w:rsid w:val="00D46F0D"/>
    <w:rsid w:val="00D46F37"/>
    <w:rsid w:val="00D47234"/>
    <w:rsid w:val="00D4723A"/>
    <w:rsid w:val="00D47281"/>
    <w:rsid w:val="00D47293"/>
    <w:rsid w:val="00D47581"/>
    <w:rsid w:val="00D475AA"/>
    <w:rsid w:val="00D47600"/>
    <w:rsid w:val="00D4766C"/>
    <w:rsid w:val="00D4767A"/>
    <w:rsid w:val="00D4778A"/>
    <w:rsid w:val="00D477F6"/>
    <w:rsid w:val="00D47835"/>
    <w:rsid w:val="00D47882"/>
    <w:rsid w:val="00D47A20"/>
    <w:rsid w:val="00D47B0D"/>
    <w:rsid w:val="00D47BBA"/>
    <w:rsid w:val="00D47BE4"/>
    <w:rsid w:val="00D47EA4"/>
    <w:rsid w:val="00D50108"/>
    <w:rsid w:val="00D501D4"/>
    <w:rsid w:val="00D501DD"/>
    <w:rsid w:val="00D50295"/>
    <w:rsid w:val="00D502F0"/>
    <w:rsid w:val="00D502FC"/>
    <w:rsid w:val="00D50617"/>
    <w:rsid w:val="00D5069A"/>
    <w:rsid w:val="00D5071D"/>
    <w:rsid w:val="00D50782"/>
    <w:rsid w:val="00D50919"/>
    <w:rsid w:val="00D50A7E"/>
    <w:rsid w:val="00D50AFF"/>
    <w:rsid w:val="00D50D65"/>
    <w:rsid w:val="00D50E43"/>
    <w:rsid w:val="00D50FD9"/>
    <w:rsid w:val="00D511CA"/>
    <w:rsid w:val="00D51469"/>
    <w:rsid w:val="00D5148D"/>
    <w:rsid w:val="00D5167E"/>
    <w:rsid w:val="00D51A37"/>
    <w:rsid w:val="00D51BD5"/>
    <w:rsid w:val="00D51D26"/>
    <w:rsid w:val="00D51E98"/>
    <w:rsid w:val="00D51FAA"/>
    <w:rsid w:val="00D520AD"/>
    <w:rsid w:val="00D5219A"/>
    <w:rsid w:val="00D5238D"/>
    <w:rsid w:val="00D52580"/>
    <w:rsid w:val="00D525E6"/>
    <w:rsid w:val="00D525F1"/>
    <w:rsid w:val="00D52700"/>
    <w:rsid w:val="00D52714"/>
    <w:rsid w:val="00D5279C"/>
    <w:rsid w:val="00D52803"/>
    <w:rsid w:val="00D52AFF"/>
    <w:rsid w:val="00D52B45"/>
    <w:rsid w:val="00D52B98"/>
    <w:rsid w:val="00D52CD3"/>
    <w:rsid w:val="00D52ECC"/>
    <w:rsid w:val="00D53008"/>
    <w:rsid w:val="00D530EB"/>
    <w:rsid w:val="00D53115"/>
    <w:rsid w:val="00D53238"/>
    <w:rsid w:val="00D5327A"/>
    <w:rsid w:val="00D53393"/>
    <w:rsid w:val="00D535B6"/>
    <w:rsid w:val="00D5363E"/>
    <w:rsid w:val="00D53802"/>
    <w:rsid w:val="00D539F6"/>
    <w:rsid w:val="00D53A76"/>
    <w:rsid w:val="00D53CFF"/>
    <w:rsid w:val="00D53E14"/>
    <w:rsid w:val="00D54170"/>
    <w:rsid w:val="00D5423B"/>
    <w:rsid w:val="00D54322"/>
    <w:rsid w:val="00D54440"/>
    <w:rsid w:val="00D5452D"/>
    <w:rsid w:val="00D54C0A"/>
    <w:rsid w:val="00D54C6C"/>
    <w:rsid w:val="00D54DBA"/>
    <w:rsid w:val="00D54EBB"/>
    <w:rsid w:val="00D54EF6"/>
    <w:rsid w:val="00D55043"/>
    <w:rsid w:val="00D55089"/>
    <w:rsid w:val="00D551BE"/>
    <w:rsid w:val="00D55235"/>
    <w:rsid w:val="00D556C1"/>
    <w:rsid w:val="00D55797"/>
    <w:rsid w:val="00D55A65"/>
    <w:rsid w:val="00D55AF0"/>
    <w:rsid w:val="00D55C31"/>
    <w:rsid w:val="00D55D75"/>
    <w:rsid w:val="00D55D78"/>
    <w:rsid w:val="00D55E35"/>
    <w:rsid w:val="00D55E6D"/>
    <w:rsid w:val="00D55EAA"/>
    <w:rsid w:val="00D55F10"/>
    <w:rsid w:val="00D562F1"/>
    <w:rsid w:val="00D563A8"/>
    <w:rsid w:val="00D5649A"/>
    <w:rsid w:val="00D56506"/>
    <w:rsid w:val="00D565DB"/>
    <w:rsid w:val="00D567B8"/>
    <w:rsid w:val="00D567E6"/>
    <w:rsid w:val="00D5684F"/>
    <w:rsid w:val="00D5693C"/>
    <w:rsid w:val="00D56A30"/>
    <w:rsid w:val="00D56B05"/>
    <w:rsid w:val="00D56F50"/>
    <w:rsid w:val="00D56F80"/>
    <w:rsid w:val="00D56FB2"/>
    <w:rsid w:val="00D57158"/>
    <w:rsid w:val="00D571C2"/>
    <w:rsid w:val="00D57265"/>
    <w:rsid w:val="00D572B2"/>
    <w:rsid w:val="00D57569"/>
    <w:rsid w:val="00D575B0"/>
    <w:rsid w:val="00D57662"/>
    <w:rsid w:val="00D576F9"/>
    <w:rsid w:val="00D577D5"/>
    <w:rsid w:val="00D57939"/>
    <w:rsid w:val="00D57B8A"/>
    <w:rsid w:val="00D57CE6"/>
    <w:rsid w:val="00D57DFD"/>
    <w:rsid w:val="00D57E2E"/>
    <w:rsid w:val="00D57E9B"/>
    <w:rsid w:val="00D57F53"/>
    <w:rsid w:val="00D57F6F"/>
    <w:rsid w:val="00D600F9"/>
    <w:rsid w:val="00D601FF"/>
    <w:rsid w:val="00D6044C"/>
    <w:rsid w:val="00D6048B"/>
    <w:rsid w:val="00D604B4"/>
    <w:rsid w:val="00D604E0"/>
    <w:rsid w:val="00D605CF"/>
    <w:rsid w:val="00D606E1"/>
    <w:rsid w:val="00D608EE"/>
    <w:rsid w:val="00D609B8"/>
    <w:rsid w:val="00D60BDE"/>
    <w:rsid w:val="00D60C29"/>
    <w:rsid w:val="00D60CAB"/>
    <w:rsid w:val="00D60DD4"/>
    <w:rsid w:val="00D610FD"/>
    <w:rsid w:val="00D61101"/>
    <w:rsid w:val="00D6115D"/>
    <w:rsid w:val="00D61165"/>
    <w:rsid w:val="00D612AF"/>
    <w:rsid w:val="00D6131C"/>
    <w:rsid w:val="00D613D8"/>
    <w:rsid w:val="00D613FF"/>
    <w:rsid w:val="00D61455"/>
    <w:rsid w:val="00D6168D"/>
    <w:rsid w:val="00D616CA"/>
    <w:rsid w:val="00D61811"/>
    <w:rsid w:val="00D61822"/>
    <w:rsid w:val="00D6183A"/>
    <w:rsid w:val="00D619B2"/>
    <w:rsid w:val="00D619F3"/>
    <w:rsid w:val="00D61B13"/>
    <w:rsid w:val="00D61B53"/>
    <w:rsid w:val="00D61C1F"/>
    <w:rsid w:val="00D61C59"/>
    <w:rsid w:val="00D61CBE"/>
    <w:rsid w:val="00D61CEF"/>
    <w:rsid w:val="00D61EDE"/>
    <w:rsid w:val="00D61EE8"/>
    <w:rsid w:val="00D61FAB"/>
    <w:rsid w:val="00D6202A"/>
    <w:rsid w:val="00D62076"/>
    <w:rsid w:val="00D62294"/>
    <w:rsid w:val="00D62416"/>
    <w:rsid w:val="00D62537"/>
    <w:rsid w:val="00D6268E"/>
    <w:rsid w:val="00D628DA"/>
    <w:rsid w:val="00D62905"/>
    <w:rsid w:val="00D62A5B"/>
    <w:rsid w:val="00D62B43"/>
    <w:rsid w:val="00D62B4B"/>
    <w:rsid w:val="00D62B52"/>
    <w:rsid w:val="00D62D2E"/>
    <w:rsid w:val="00D62D47"/>
    <w:rsid w:val="00D62E74"/>
    <w:rsid w:val="00D62EAB"/>
    <w:rsid w:val="00D62EB0"/>
    <w:rsid w:val="00D62ECD"/>
    <w:rsid w:val="00D62F11"/>
    <w:rsid w:val="00D62F7F"/>
    <w:rsid w:val="00D630BB"/>
    <w:rsid w:val="00D6311E"/>
    <w:rsid w:val="00D6324A"/>
    <w:rsid w:val="00D63496"/>
    <w:rsid w:val="00D635B6"/>
    <w:rsid w:val="00D636D2"/>
    <w:rsid w:val="00D63748"/>
    <w:rsid w:val="00D6375D"/>
    <w:rsid w:val="00D637BC"/>
    <w:rsid w:val="00D6386F"/>
    <w:rsid w:val="00D638BA"/>
    <w:rsid w:val="00D639F0"/>
    <w:rsid w:val="00D63B34"/>
    <w:rsid w:val="00D63BD9"/>
    <w:rsid w:val="00D63C1B"/>
    <w:rsid w:val="00D63C96"/>
    <w:rsid w:val="00D63D76"/>
    <w:rsid w:val="00D63ECD"/>
    <w:rsid w:val="00D63F4E"/>
    <w:rsid w:val="00D6442E"/>
    <w:rsid w:val="00D644AE"/>
    <w:rsid w:val="00D6453B"/>
    <w:rsid w:val="00D645D0"/>
    <w:rsid w:val="00D6465A"/>
    <w:rsid w:val="00D6465C"/>
    <w:rsid w:val="00D64687"/>
    <w:rsid w:val="00D646F5"/>
    <w:rsid w:val="00D647D0"/>
    <w:rsid w:val="00D6486B"/>
    <w:rsid w:val="00D64B07"/>
    <w:rsid w:val="00D64BFF"/>
    <w:rsid w:val="00D64C89"/>
    <w:rsid w:val="00D64D0C"/>
    <w:rsid w:val="00D64DE1"/>
    <w:rsid w:val="00D64E3F"/>
    <w:rsid w:val="00D64F61"/>
    <w:rsid w:val="00D64FC1"/>
    <w:rsid w:val="00D65119"/>
    <w:rsid w:val="00D65129"/>
    <w:rsid w:val="00D6520E"/>
    <w:rsid w:val="00D653D0"/>
    <w:rsid w:val="00D65515"/>
    <w:rsid w:val="00D655F9"/>
    <w:rsid w:val="00D658C2"/>
    <w:rsid w:val="00D65B61"/>
    <w:rsid w:val="00D65C15"/>
    <w:rsid w:val="00D65C25"/>
    <w:rsid w:val="00D65C5B"/>
    <w:rsid w:val="00D65CF2"/>
    <w:rsid w:val="00D65D4B"/>
    <w:rsid w:val="00D65E1A"/>
    <w:rsid w:val="00D65F94"/>
    <w:rsid w:val="00D6605D"/>
    <w:rsid w:val="00D661D5"/>
    <w:rsid w:val="00D66230"/>
    <w:rsid w:val="00D66421"/>
    <w:rsid w:val="00D664D7"/>
    <w:rsid w:val="00D6658F"/>
    <w:rsid w:val="00D6680D"/>
    <w:rsid w:val="00D6688B"/>
    <w:rsid w:val="00D6692A"/>
    <w:rsid w:val="00D66967"/>
    <w:rsid w:val="00D669A6"/>
    <w:rsid w:val="00D66B0D"/>
    <w:rsid w:val="00D66BE8"/>
    <w:rsid w:val="00D66C11"/>
    <w:rsid w:val="00D66C5B"/>
    <w:rsid w:val="00D66E37"/>
    <w:rsid w:val="00D66E3A"/>
    <w:rsid w:val="00D66E55"/>
    <w:rsid w:val="00D66E93"/>
    <w:rsid w:val="00D66EB9"/>
    <w:rsid w:val="00D66F54"/>
    <w:rsid w:val="00D66F74"/>
    <w:rsid w:val="00D66FF7"/>
    <w:rsid w:val="00D671CC"/>
    <w:rsid w:val="00D672DE"/>
    <w:rsid w:val="00D672E7"/>
    <w:rsid w:val="00D67448"/>
    <w:rsid w:val="00D674E9"/>
    <w:rsid w:val="00D6755D"/>
    <w:rsid w:val="00D6799A"/>
    <w:rsid w:val="00D67A71"/>
    <w:rsid w:val="00D67E58"/>
    <w:rsid w:val="00D7009C"/>
    <w:rsid w:val="00D7014E"/>
    <w:rsid w:val="00D70280"/>
    <w:rsid w:val="00D70375"/>
    <w:rsid w:val="00D7043B"/>
    <w:rsid w:val="00D70559"/>
    <w:rsid w:val="00D707C5"/>
    <w:rsid w:val="00D707D9"/>
    <w:rsid w:val="00D708F1"/>
    <w:rsid w:val="00D70967"/>
    <w:rsid w:val="00D7098C"/>
    <w:rsid w:val="00D70CCF"/>
    <w:rsid w:val="00D70DAB"/>
    <w:rsid w:val="00D70E5B"/>
    <w:rsid w:val="00D70F17"/>
    <w:rsid w:val="00D70FD8"/>
    <w:rsid w:val="00D711CD"/>
    <w:rsid w:val="00D712DA"/>
    <w:rsid w:val="00D71422"/>
    <w:rsid w:val="00D7142F"/>
    <w:rsid w:val="00D715A2"/>
    <w:rsid w:val="00D715F9"/>
    <w:rsid w:val="00D716C0"/>
    <w:rsid w:val="00D716E9"/>
    <w:rsid w:val="00D719EF"/>
    <w:rsid w:val="00D71A62"/>
    <w:rsid w:val="00D71B90"/>
    <w:rsid w:val="00D71BAC"/>
    <w:rsid w:val="00D71BF2"/>
    <w:rsid w:val="00D71C39"/>
    <w:rsid w:val="00D71E15"/>
    <w:rsid w:val="00D71FD7"/>
    <w:rsid w:val="00D72057"/>
    <w:rsid w:val="00D72245"/>
    <w:rsid w:val="00D722E0"/>
    <w:rsid w:val="00D72327"/>
    <w:rsid w:val="00D723A7"/>
    <w:rsid w:val="00D7248D"/>
    <w:rsid w:val="00D7265B"/>
    <w:rsid w:val="00D72667"/>
    <w:rsid w:val="00D7274C"/>
    <w:rsid w:val="00D727E0"/>
    <w:rsid w:val="00D7290C"/>
    <w:rsid w:val="00D7292F"/>
    <w:rsid w:val="00D72AB2"/>
    <w:rsid w:val="00D72B87"/>
    <w:rsid w:val="00D72BEE"/>
    <w:rsid w:val="00D72C72"/>
    <w:rsid w:val="00D72DB9"/>
    <w:rsid w:val="00D72EEC"/>
    <w:rsid w:val="00D72EFE"/>
    <w:rsid w:val="00D72F0A"/>
    <w:rsid w:val="00D730C6"/>
    <w:rsid w:val="00D731A5"/>
    <w:rsid w:val="00D73247"/>
    <w:rsid w:val="00D73295"/>
    <w:rsid w:val="00D7368B"/>
    <w:rsid w:val="00D737FC"/>
    <w:rsid w:val="00D7383B"/>
    <w:rsid w:val="00D739B9"/>
    <w:rsid w:val="00D73B85"/>
    <w:rsid w:val="00D73E06"/>
    <w:rsid w:val="00D73EC7"/>
    <w:rsid w:val="00D73EE3"/>
    <w:rsid w:val="00D74160"/>
    <w:rsid w:val="00D74190"/>
    <w:rsid w:val="00D7441D"/>
    <w:rsid w:val="00D74471"/>
    <w:rsid w:val="00D745C8"/>
    <w:rsid w:val="00D748DB"/>
    <w:rsid w:val="00D74B00"/>
    <w:rsid w:val="00D74BA2"/>
    <w:rsid w:val="00D74C29"/>
    <w:rsid w:val="00D75347"/>
    <w:rsid w:val="00D75350"/>
    <w:rsid w:val="00D7550A"/>
    <w:rsid w:val="00D757FF"/>
    <w:rsid w:val="00D75B40"/>
    <w:rsid w:val="00D75B61"/>
    <w:rsid w:val="00D75D22"/>
    <w:rsid w:val="00D75D6F"/>
    <w:rsid w:val="00D75DA5"/>
    <w:rsid w:val="00D75FC2"/>
    <w:rsid w:val="00D7606D"/>
    <w:rsid w:val="00D7619E"/>
    <w:rsid w:val="00D7636F"/>
    <w:rsid w:val="00D765CE"/>
    <w:rsid w:val="00D7676A"/>
    <w:rsid w:val="00D767FF"/>
    <w:rsid w:val="00D76899"/>
    <w:rsid w:val="00D76975"/>
    <w:rsid w:val="00D76A68"/>
    <w:rsid w:val="00D76AD1"/>
    <w:rsid w:val="00D76C3A"/>
    <w:rsid w:val="00D76C58"/>
    <w:rsid w:val="00D76C88"/>
    <w:rsid w:val="00D76CB6"/>
    <w:rsid w:val="00D76CF2"/>
    <w:rsid w:val="00D76D15"/>
    <w:rsid w:val="00D76E7C"/>
    <w:rsid w:val="00D77024"/>
    <w:rsid w:val="00D770B8"/>
    <w:rsid w:val="00D770EB"/>
    <w:rsid w:val="00D7730C"/>
    <w:rsid w:val="00D774EF"/>
    <w:rsid w:val="00D775D9"/>
    <w:rsid w:val="00D776E4"/>
    <w:rsid w:val="00D77847"/>
    <w:rsid w:val="00D77A3B"/>
    <w:rsid w:val="00D77B86"/>
    <w:rsid w:val="00D77CDB"/>
    <w:rsid w:val="00D77CF9"/>
    <w:rsid w:val="00D77CFD"/>
    <w:rsid w:val="00D77D50"/>
    <w:rsid w:val="00D77DD7"/>
    <w:rsid w:val="00D80260"/>
    <w:rsid w:val="00D80439"/>
    <w:rsid w:val="00D80A3A"/>
    <w:rsid w:val="00D80B40"/>
    <w:rsid w:val="00D80E5E"/>
    <w:rsid w:val="00D8102E"/>
    <w:rsid w:val="00D810FD"/>
    <w:rsid w:val="00D814EA"/>
    <w:rsid w:val="00D8155B"/>
    <w:rsid w:val="00D815A0"/>
    <w:rsid w:val="00D815D2"/>
    <w:rsid w:val="00D81608"/>
    <w:rsid w:val="00D8166F"/>
    <w:rsid w:val="00D8174C"/>
    <w:rsid w:val="00D8175E"/>
    <w:rsid w:val="00D818AE"/>
    <w:rsid w:val="00D81963"/>
    <w:rsid w:val="00D81B37"/>
    <w:rsid w:val="00D81DDC"/>
    <w:rsid w:val="00D81E79"/>
    <w:rsid w:val="00D81F1B"/>
    <w:rsid w:val="00D81F2A"/>
    <w:rsid w:val="00D81F7C"/>
    <w:rsid w:val="00D8204E"/>
    <w:rsid w:val="00D82073"/>
    <w:rsid w:val="00D82136"/>
    <w:rsid w:val="00D825A5"/>
    <w:rsid w:val="00D825B7"/>
    <w:rsid w:val="00D825BF"/>
    <w:rsid w:val="00D825D9"/>
    <w:rsid w:val="00D82878"/>
    <w:rsid w:val="00D828FD"/>
    <w:rsid w:val="00D8290E"/>
    <w:rsid w:val="00D8290F"/>
    <w:rsid w:val="00D82AD1"/>
    <w:rsid w:val="00D82B80"/>
    <w:rsid w:val="00D82B85"/>
    <w:rsid w:val="00D82E6E"/>
    <w:rsid w:val="00D83040"/>
    <w:rsid w:val="00D83073"/>
    <w:rsid w:val="00D830ED"/>
    <w:rsid w:val="00D83183"/>
    <w:rsid w:val="00D83219"/>
    <w:rsid w:val="00D8323B"/>
    <w:rsid w:val="00D833B4"/>
    <w:rsid w:val="00D83456"/>
    <w:rsid w:val="00D83489"/>
    <w:rsid w:val="00D83490"/>
    <w:rsid w:val="00D834B1"/>
    <w:rsid w:val="00D83609"/>
    <w:rsid w:val="00D837C7"/>
    <w:rsid w:val="00D837FF"/>
    <w:rsid w:val="00D839B8"/>
    <w:rsid w:val="00D83AEF"/>
    <w:rsid w:val="00D83D13"/>
    <w:rsid w:val="00D83EF7"/>
    <w:rsid w:val="00D83FA3"/>
    <w:rsid w:val="00D84059"/>
    <w:rsid w:val="00D84068"/>
    <w:rsid w:val="00D841AC"/>
    <w:rsid w:val="00D843FB"/>
    <w:rsid w:val="00D84506"/>
    <w:rsid w:val="00D84587"/>
    <w:rsid w:val="00D84704"/>
    <w:rsid w:val="00D849CA"/>
    <w:rsid w:val="00D84B2D"/>
    <w:rsid w:val="00D84DB0"/>
    <w:rsid w:val="00D84E20"/>
    <w:rsid w:val="00D85014"/>
    <w:rsid w:val="00D851C8"/>
    <w:rsid w:val="00D85262"/>
    <w:rsid w:val="00D85378"/>
    <w:rsid w:val="00D853C8"/>
    <w:rsid w:val="00D8540C"/>
    <w:rsid w:val="00D855E9"/>
    <w:rsid w:val="00D8568F"/>
    <w:rsid w:val="00D8578E"/>
    <w:rsid w:val="00D857C2"/>
    <w:rsid w:val="00D8589D"/>
    <w:rsid w:val="00D85A38"/>
    <w:rsid w:val="00D85A81"/>
    <w:rsid w:val="00D85ADA"/>
    <w:rsid w:val="00D85C74"/>
    <w:rsid w:val="00D85CC1"/>
    <w:rsid w:val="00D85F06"/>
    <w:rsid w:val="00D85F6D"/>
    <w:rsid w:val="00D86015"/>
    <w:rsid w:val="00D8619A"/>
    <w:rsid w:val="00D86466"/>
    <w:rsid w:val="00D86618"/>
    <w:rsid w:val="00D86685"/>
    <w:rsid w:val="00D867E0"/>
    <w:rsid w:val="00D868BD"/>
    <w:rsid w:val="00D86A37"/>
    <w:rsid w:val="00D86BF8"/>
    <w:rsid w:val="00D86FE8"/>
    <w:rsid w:val="00D87000"/>
    <w:rsid w:val="00D87028"/>
    <w:rsid w:val="00D870E8"/>
    <w:rsid w:val="00D871A1"/>
    <w:rsid w:val="00D87230"/>
    <w:rsid w:val="00D87423"/>
    <w:rsid w:val="00D87452"/>
    <w:rsid w:val="00D87485"/>
    <w:rsid w:val="00D87669"/>
    <w:rsid w:val="00D87827"/>
    <w:rsid w:val="00D8785E"/>
    <w:rsid w:val="00D8796A"/>
    <w:rsid w:val="00D87BA1"/>
    <w:rsid w:val="00D87F86"/>
    <w:rsid w:val="00D9008D"/>
    <w:rsid w:val="00D900D3"/>
    <w:rsid w:val="00D90120"/>
    <w:rsid w:val="00D90148"/>
    <w:rsid w:val="00D901C7"/>
    <w:rsid w:val="00D9066B"/>
    <w:rsid w:val="00D907BD"/>
    <w:rsid w:val="00D907CB"/>
    <w:rsid w:val="00D907EB"/>
    <w:rsid w:val="00D9081B"/>
    <w:rsid w:val="00D90C01"/>
    <w:rsid w:val="00D90E30"/>
    <w:rsid w:val="00D90F7B"/>
    <w:rsid w:val="00D911B1"/>
    <w:rsid w:val="00D9120E"/>
    <w:rsid w:val="00D91257"/>
    <w:rsid w:val="00D914D8"/>
    <w:rsid w:val="00D9159A"/>
    <w:rsid w:val="00D915D3"/>
    <w:rsid w:val="00D91704"/>
    <w:rsid w:val="00D9177C"/>
    <w:rsid w:val="00D91850"/>
    <w:rsid w:val="00D918F2"/>
    <w:rsid w:val="00D918F8"/>
    <w:rsid w:val="00D91B39"/>
    <w:rsid w:val="00D91BF2"/>
    <w:rsid w:val="00D91E1F"/>
    <w:rsid w:val="00D91F14"/>
    <w:rsid w:val="00D91FBE"/>
    <w:rsid w:val="00D920DC"/>
    <w:rsid w:val="00D92478"/>
    <w:rsid w:val="00D924A8"/>
    <w:rsid w:val="00D926F2"/>
    <w:rsid w:val="00D928A3"/>
    <w:rsid w:val="00D9291A"/>
    <w:rsid w:val="00D92A51"/>
    <w:rsid w:val="00D92A71"/>
    <w:rsid w:val="00D92B28"/>
    <w:rsid w:val="00D92CEE"/>
    <w:rsid w:val="00D92E57"/>
    <w:rsid w:val="00D92E86"/>
    <w:rsid w:val="00D92EAB"/>
    <w:rsid w:val="00D92FFC"/>
    <w:rsid w:val="00D93073"/>
    <w:rsid w:val="00D9307B"/>
    <w:rsid w:val="00D93096"/>
    <w:rsid w:val="00D930F7"/>
    <w:rsid w:val="00D9313E"/>
    <w:rsid w:val="00D93513"/>
    <w:rsid w:val="00D93528"/>
    <w:rsid w:val="00D93BB8"/>
    <w:rsid w:val="00D93C1C"/>
    <w:rsid w:val="00D93F8E"/>
    <w:rsid w:val="00D93FFA"/>
    <w:rsid w:val="00D94026"/>
    <w:rsid w:val="00D94120"/>
    <w:rsid w:val="00D9414F"/>
    <w:rsid w:val="00D94218"/>
    <w:rsid w:val="00D94272"/>
    <w:rsid w:val="00D94393"/>
    <w:rsid w:val="00D94395"/>
    <w:rsid w:val="00D944D6"/>
    <w:rsid w:val="00D944EC"/>
    <w:rsid w:val="00D9457D"/>
    <w:rsid w:val="00D94621"/>
    <w:rsid w:val="00D94705"/>
    <w:rsid w:val="00D947BC"/>
    <w:rsid w:val="00D94A1D"/>
    <w:rsid w:val="00D94B0C"/>
    <w:rsid w:val="00D94C06"/>
    <w:rsid w:val="00D94D20"/>
    <w:rsid w:val="00D95065"/>
    <w:rsid w:val="00D95185"/>
    <w:rsid w:val="00D951DD"/>
    <w:rsid w:val="00D952AD"/>
    <w:rsid w:val="00D952C2"/>
    <w:rsid w:val="00D952ED"/>
    <w:rsid w:val="00D95371"/>
    <w:rsid w:val="00D955B6"/>
    <w:rsid w:val="00D95602"/>
    <w:rsid w:val="00D956CF"/>
    <w:rsid w:val="00D9577D"/>
    <w:rsid w:val="00D95782"/>
    <w:rsid w:val="00D9578F"/>
    <w:rsid w:val="00D957FA"/>
    <w:rsid w:val="00D9596A"/>
    <w:rsid w:val="00D95A15"/>
    <w:rsid w:val="00D95ADF"/>
    <w:rsid w:val="00D95C4B"/>
    <w:rsid w:val="00D95E75"/>
    <w:rsid w:val="00D95F4D"/>
    <w:rsid w:val="00D95FF6"/>
    <w:rsid w:val="00D960C3"/>
    <w:rsid w:val="00D9613F"/>
    <w:rsid w:val="00D96189"/>
    <w:rsid w:val="00D96201"/>
    <w:rsid w:val="00D962A4"/>
    <w:rsid w:val="00D964C4"/>
    <w:rsid w:val="00D964D5"/>
    <w:rsid w:val="00D9664C"/>
    <w:rsid w:val="00D966A2"/>
    <w:rsid w:val="00D967CC"/>
    <w:rsid w:val="00D967FF"/>
    <w:rsid w:val="00D96960"/>
    <w:rsid w:val="00D96C43"/>
    <w:rsid w:val="00D96C4C"/>
    <w:rsid w:val="00D96D6A"/>
    <w:rsid w:val="00D97073"/>
    <w:rsid w:val="00D97084"/>
    <w:rsid w:val="00D970E5"/>
    <w:rsid w:val="00D9726B"/>
    <w:rsid w:val="00D97394"/>
    <w:rsid w:val="00D973FB"/>
    <w:rsid w:val="00D97404"/>
    <w:rsid w:val="00D974C2"/>
    <w:rsid w:val="00D975A3"/>
    <w:rsid w:val="00D9764D"/>
    <w:rsid w:val="00D97922"/>
    <w:rsid w:val="00D979D0"/>
    <w:rsid w:val="00D97ABC"/>
    <w:rsid w:val="00D97BB9"/>
    <w:rsid w:val="00D97D22"/>
    <w:rsid w:val="00D97D3C"/>
    <w:rsid w:val="00DA01BD"/>
    <w:rsid w:val="00DA043D"/>
    <w:rsid w:val="00DA04FE"/>
    <w:rsid w:val="00DA0542"/>
    <w:rsid w:val="00DA05F7"/>
    <w:rsid w:val="00DA0718"/>
    <w:rsid w:val="00DA08CA"/>
    <w:rsid w:val="00DA08FD"/>
    <w:rsid w:val="00DA0A93"/>
    <w:rsid w:val="00DA0D85"/>
    <w:rsid w:val="00DA0F37"/>
    <w:rsid w:val="00DA0FEE"/>
    <w:rsid w:val="00DA101A"/>
    <w:rsid w:val="00DA122C"/>
    <w:rsid w:val="00DA13B2"/>
    <w:rsid w:val="00DA188F"/>
    <w:rsid w:val="00DA1AC4"/>
    <w:rsid w:val="00DA1AC8"/>
    <w:rsid w:val="00DA1BB5"/>
    <w:rsid w:val="00DA1BB8"/>
    <w:rsid w:val="00DA1BDF"/>
    <w:rsid w:val="00DA1C5D"/>
    <w:rsid w:val="00DA1C94"/>
    <w:rsid w:val="00DA1D3F"/>
    <w:rsid w:val="00DA1F8B"/>
    <w:rsid w:val="00DA20B5"/>
    <w:rsid w:val="00DA220E"/>
    <w:rsid w:val="00DA226A"/>
    <w:rsid w:val="00DA2698"/>
    <w:rsid w:val="00DA2958"/>
    <w:rsid w:val="00DA2C84"/>
    <w:rsid w:val="00DA2D28"/>
    <w:rsid w:val="00DA2EA9"/>
    <w:rsid w:val="00DA2FB8"/>
    <w:rsid w:val="00DA2FD5"/>
    <w:rsid w:val="00DA3181"/>
    <w:rsid w:val="00DA328B"/>
    <w:rsid w:val="00DA3339"/>
    <w:rsid w:val="00DA35CD"/>
    <w:rsid w:val="00DA3623"/>
    <w:rsid w:val="00DA3754"/>
    <w:rsid w:val="00DA3862"/>
    <w:rsid w:val="00DA3958"/>
    <w:rsid w:val="00DA3A11"/>
    <w:rsid w:val="00DA3B43"/>
    <w:rsid w:val="00DA3C02"/>
    <w:rsid w:val="00DA3DEF"/>
    <w:rsid w:val="00DA3F25"/>
    <w:rsid w:val="00DA4306"/>
    <w:rsid w:val="00DA451E"/>
    <w:rsid w:val="00DA45A4"/>
    <w:rsid w:val="00DA45E7"/>
    <w:rsid w:val="00DA4673"/>
    <w:rsid w:val="00DA4683"/>
    <w:rsid w:val="00DA469F"/>
    <w:rsid w:val="00DA46BB"/>
    <w:rsid w:val="00DA4838"/>
    <w:rsid w:val="00DA48F1"/>
    <w:rsid w:val="00DA4989"/>
    <w:rsid w:val="00DA4CA3"/>
    <w:rsid w:val="00DA4EBA"/>
    <w:rsid w:val="00DA4F00"/>
    <w:rsid w:val="00DA4F3A"/>
    <w:rsid w:val="00DA518D"/>
    <w:rsid w:val="00DA5289"/>
    <w:rsid w:val="00DA546C"/>
    <w:rsid w:val="00DA5493"/>
    <w:rsid w:val="00DA5523"/>
    <w:rsid w:val="00DA562C"/>
    <w:rsid w:val="00DA5635"/>
    <w:rsid w:val="00DA5641"/>
    <w:rsid w:val="00DA5660"/>
    <w:rsid w:val="00DA5667"/>
    <w:rsid w:val="00DA56B1"/>
    <w:rsid w:val="00DA5721"/>
    <w:rsid w:val="00DA5741"/>
    <w:rsid w:val="00DA5A13"/>
    <w:rsid w:val="00DA5CA9"/>
    <w:rsid w:val="00DA5EC8"/>
    <w:rsid w:val="00DA5ECB"/>
    <w:rsid w:val="00DA6173"/>
    <w:rsid w:val="00DA61D6"/>
    <w:rsid w:val="00DA627E"/>
    <w:rsid w:val="00DA6335"/>
    <w:rsid w:val="00DA63E5"/>
    <w:rsid w:val="00DA6761"/>
    <w:rsid w:val="00DA6764"/>
    <w:rsid w:val="00DA679C"/>
    <w:rsid w:val="00DA690E"/>
    <w:rsid w:val="00DA6962"/>
    <w:rsid w:val="00DA6974"/>
    <w:rsid w:val="00DA6A47"/>
    <w:rsid w:val="00DA6A57"/>
    <w:rsid w:val="00DA6BFB"/>
    <w:rsid w:val="00DA6CBA"/>
    <w:rsid w:val="00DA6CBF"/>
    <w:rsid w:val="00DA6DEB"/>
    <w:rsid w:val="00DA6E7B"/>
    <w:rsid w:val="00DA6F20"/>
    <w:rsid w:val="00DA6F21"/>
    <w:rsid w:val="00DA708B"/>
    <w:rsid w:val="00DA7183"/>
    <w:rsid w:val="00DA721F"/>
    <w:rsid w:val="00DA727E"/>
    <w:rsid w:val="00DA72AD"/>
    <w:rsid w:val="00DA7330"/>
    <w:rsid w:val="00DA73B3"/>
    <w:rsid w:val="00DA73E1"/>
    <w:rsid w:val="00DA7477"/>
    <w:rsid w:val="00DA74F2"/>
    <w:rsid w:val="00DA7573"/>
    <w:rsid w:val="00DA7ACF"/>
    <w:rsid w:val="00DA7BD4"/>
    <w:rsid w:val="00DA7DED"/>
    <w:rsid w:val="00DAC1BF"/>
    <w:rsid w:val="00DB00AA"/>
    <w:rsid w:val="00DB00C2"/>
    <w:rsid w:val="00DB0183"/>
    <w:rsid w:val="00DB0191"/>
    <w:rsid w:val="00DB019D"/>
    <w:rsid w:val="00DB0228"/>
    <w:rsid w:val="00DB02C5"/>
    <w:rsid w:val="00DB02D1"/>
    <w:rsid w:val="00DB031E"/>
    <w:rsid w:val="00DB0359"/>
    <w:rsid w:val="00DB0697"/>
    <w:rsid w:val="00DB06D0"/>
    <w:rsid w:val="00DB09CA"/>
    <w:rsid w:val="00DB0B65"/>
    <w:rsid w:val="00DB0C39"/>
    <w:rsid w:val="00DB0CB6"/>
    <w:rsid w:val="00DB0D4E"/>
    <w:rsid w:val="00DB0D85"/>
    <w:rsid w:val="00DB0D95"/>
    <w:rsid w:val="00DB0EF6"/>
    <w:rsid w:val="00DB0F8A"/>
    <w:rsid w:val="00DB114C"/>
    <w:rsid w:val="00DB12C6"/>
    <w:rsid w:val="00DB1306"/>
    <w:rsid w:val="00DB1423"/>
    <w:rsid w:val="00DB152B"/>
    <w:rsid w:val="00DB16A3"/>
    <w:rsid w:val="00DB173E"/>
    <w:rsid w:val="00DB1A92"/>
    <w:rsid w:val="00DB1CB1"/>
    <w:rsid w:val="00DB1F11"/>
    <w:rsid w:val="00DB1F29"/>
    <w:rsid w:val="00DB2050"/>
    <w:rsid w:val="00DB20EB"/>
    <w:rsid w:val="00DB2257"/>
    <w:rsid w:val="00DB232E"/>
    <w:rsid w:val="00DB2477"/>
    <w:rsid w:val="00DB249A"/>
    <w:rsid w:val="00DB24F7"/>
    <w:rsid w:val="00DB262F"/>
    <w:rsid w:val="00DB26A6"/>
    <w:rsid w:val="00DB26A8"/>
    <w:rsid w:val="00DB2709"/>
    <w:rsid w:val="00DB27CF"/>
    <w:rsid w:val="00DB27F1"/>
    <w:rsid w:val="00DB29E6"/>
    <w:rsid w:val="00DB2AE8"/>
    <w:rsid w:val="00DB2EB2"/>
    <w:rsid w:val="00DB2F83"/>
    <w:rsid w:val="00DB324C"/>
    <w:rsid w:val="00DB32F4"/>
    <w:rsid w:val="00DB33AC"/>
    <w:rsid w:val="00DB33D7"/>
    <w:rsid w:val="00DB3753"/>
    <w:rsid w:val="00DB37EE"/>
    <w:rsid w:val="00DB383D"/>
    <w:rsid w:val="00DB389D"/>
    <w:rsid w:val="00DB3BD2"/>
    <w:rsid w:val="00DB3EFB"/>
    <w:rsid w:val="00DB3FD3"/>
    <w:rsid w:val="00DB40BB"/>
    <w:rsid w:val="00DB4555"/>
    <w:rsid w:val="00DB4616"/>
    <w:rsid w:val="00DB474E"/>
    <w:rsid w:val="00DB499C"/>
    <w:rsid w:val="00DB4A1C"/>
    <w:rsid w:val="00DB4A7A"/>
    <w:rsid w:val="00DB4F6D"/>
    <w:rsid w:val="00DB5164"/>
    <w:rsid w:val="00DB5335"/>
    <w:rsid w:val="00DB53B1"/>
    <w:rsid w:val="00DB5464"/>
    <w:rsid w:val="00DB5480"/>
    <w:rsid w:val="00DB54EF"/>
    <w:rsid w:val="00DB5532"/>
    <w:rsid w:val="00DB5562"/>
    <w:rsid w:val="00DB5575"/>
    <w:rsid w:val="00DB5643"/>
    <w:rsid w:val="00DB5774"/>
    <w:rsid w:val="00DB5867"/>
    <w:rsid w:val="00DB58C7"/>
    <w:rsid w:val="00DB5904"/>
    <w:rsid w:val="00DB5967"/>
    <w:rsid w:val="00DB5968"/>
    <w:rsid w:val="00DB5BCD"/>
    <w:rsid w:val="00DB5BCF"/>
    <w:rsid w:val="00DB5CCC"/>
    <w:rsid w:val="00DB5D26"/>
    <w:rsid w:val="00DB5E9C"/>
    <w:rsid w:val="00DB5F0A"/>
    <w:rsid w:val="00DB5F2A"/>
    <w:rsid w:val="00DB60F7"/>
    <w:rsid w:val="00DB61CE"/>
    <w:rsid w:val="00DB640A"/>
    <w:rsid w:val="00DB6416"/>
    <w:rsid w:val="00DB6594"/>
    <w:rsid w:val="00DB68A5"/>
    <w:rsid w:val="00DB6AAE"/>
    <w:rsid w:val="00DB6F45"/>
    <w:rsid w:val="00DB6F63"/>
    <w:rsid w:val="00DB6F94"/>
    <w:rsid w:val="00DB6FB4"/>
    <w:rsid w:val="00DB71D1"/>
    <w:rsid w:val="00DB72B7"/>
    <w:rsid w:val="00DB72B8"/>
    <w:rsid w:val="00DB735E"/>
    <w:rsid w:val="00DB7488"/>
    <w:rsid w:val="00DB7546"/>
    <w:rsid w:val="00DB7865"/>
    <w:rsid w:val="00DB7B13"/>
    <w:rsid w:val="00DB7B96"/>
    <w:rsid w:val="00DB7C4F"/>
    <w:rsid w:val="00DB7CAB"/>
    <w:rsid w:val="00DB7EEA"/>
    <w:rsid w:val="00DB7F15"/>
    <w:rsid w:val="00DC011F"/>
    <w:rsid w:val="00DC01EA"/>
    <w:rsid w:val="00DC039C"/>
    <w:rsid w:val="00DC0572"/>
    <w:rsid w:val="00DC0624"/>
    <w:rsid w:val="00DC06D2"/>
    <w:rsid w:val="00DC0858"/>
    <w:rsid w:val="00DC08B7"/>
    <w:rsid w:val="00DC0A6D"/>
    <w:rsid w:val="00DC0AD2"/>
    <w:rsid w:val="00DC0BD3"/>
    <w:rsid w:val="00DC0CC0"/>
    <w:rsid w:val="00DC0D69"/>
    <w:rsid w:val="00DC0FC3"/>
    <w:rsid w:val="00DC1038"/>
    <w:rsid w:val="00DC1249"/>
    <w:rsid w:val="00DC1382"/>
    <w:rsid w:val="00DC14CA"/>
    <w:rsid w:val="00DC15CC"/>
    <w:rsid w:val="00DC1620"/>
    <w:rsid w:val="00DC1882"/>
    <w:rsid w:val="00DC1A58"/>
    <w:rsid w:val="00DC1AC0"/>
    <w:rsid w:val="00DC1B84"/>
    <w:rsid w:val="00DC1CDD"/>
    <w:rsid w:val="00DC1D8E"/>
    <w:rsid w:val="00DC1DEB"/>
    <w:rsid w:val="00DC1E55"/>
    <w:rsid w:val="00DC1E57"/>
    <w:rsid w:val="00DC1E63"/>
    <w:rsid w:val="00DC2005"/>
    <w:rsid w:val="00DC20C3"/>
    <w:rsid w:val="00DC2138"/>
    <w:rsid w:val="00DC218B"/>
    <w:rsid w:val="00DC227A"/>
    <w:rsid w:val="00DC2360"/>
    <w:rsid w:val="00DC23D7"/>
    <w:rsid w:val="00DC24CC"/>
    <w:rsid w:val="00DC252D"/>
    <w:rsid w:val="00DC2621"/>
    <w:rsid w:val="00DC26E4"/>
    <w:rsid w:val="00DC2715"/>
    <w:rsid w:val="00DC275D"/>
    <w:rsid w:val="00DC2806"/>
    <w:rsid w:val="00DC28E7"/>
    <w:rsid w:val="00DC2B0E"/>
    <w:rsid w:val="00DC2BAE"/>
    <w:rsid w:val="00DC2CEE"/>
    <w:rsid w:val="00DC2FC8"/>
    <w:rsid w:val="00DC31CC"/>
    <w:rsid w:val="00DC3257"/>
    <w:rsid w:val="00DC3279"/>
    <w:rsid w:val="00DC34D3"/>
    <w:rsid w:val="00DC34E1"/>
    <w:rsid w:val="00DC3763"/>
    <w:rsid w:val="00DC386F"/>
    <w:rsid w:val="00DC396C"/>
    <w:rsid w:val="00DC3A8C"/>
    <w:rsid w:val="00DC3B6F"/>
    <w:rsid w:val="00DC3BD1"/>
    <w:rsid w:val="00DC3BF1"/>
    <w:rsid w:val="00DC3D64"/>
    <w:rsid w:val="00DC3F9E"/>
    <w:rsid w:val="00DC4070"/>
    <w:rsid w:val="00DC423E"/>
    <w:rsid w:val="00DC42B7"/>
    <w:rsid w:val="00DC438D"/>
    <w:rsid w:val="00DC48C8"/>
    <w:rsid w:val="00DC4A4D"/>
    <w:rsid w:val="00DC4D1D"/>
    <w:rsid w:val="00DC4D87"/>
    <w:rsid w:val="00DC4F06"/>
    <w:rsid w:val="00DC4F3F"/>
    <w:rsid w:val="00DC4FC1"/>
    <w:rsid w:val="00DC506A"/>
    <w:rsid w:val="00DC511F"/>
    <w:rsid w:val="00DC51E3"/>
    <w:rsid w:val="00DC5255"/>
    <w:rsid w:val="00DC52E3"/>
    <w:rsid w:val="00DC532C"/>
    <w:rsid w:val="00DC534F"/>
    <w:rsid w:val="00DC54EB"/>
    <w:rsid w:val="00DC564D"/>
    <w:rsid w:val="00DC580A"/>
    <w:rsid w:val="00DC58FF"/>
    <w:rsid w:val="00DC5916"/>
    <w:rsid w:val="00DC59B7"/>
    <w:rsid w:val="00DC5A63"/>
    <w:rsid w:val="00DC5B50"/>
    <w:rsid w:val="00DC5D49"/>
    <w:rsid w:val="00DC5DB0"/>
    <w:rsid w:val="00DC5E3B"/>
    <w:rsid w:val="00DC60E4"/>
    <w:rsid w:val="00DC6124"/>
    <w:rsid w:val="00DC6146"/>
    <w:rsid w:val="00DC615A"/>
    <w:rsid w:val="00DC619F"/>
    <w:rsid w:val="00DC6241"/>
    <w:rsid w:val="00DC62D4"/>
    <w:rsid w:val="00DC6360"/>
    <w:rsid w:val="00DC6679"/>
    <w:rsid w:val="00DC66BC"/>
    <w:rsid w:val="00DC66D9"/>
    <w:rsid w:val="00DC67B3"/>
    <w:rsid w:val="00DC67DB"/>
    <w:rsid w:val="00DC6920"/>
    <w:rsid w:val="00DC69D4"/>
    <w:rsid w:val="00DC6B81"/>
    <w:rsid w:val="00DC6BAE"/>
    <w:rsid w:val="00DC6C40"/>
    <w:rsid w:val="00DC6DFE"/>
    <w:rsid w:val="00DC6F19"/>
    <w:rsid w:val="00DC6FE8"/>
    <w:rsid w:val="00DC7072"/>
    <w:rsid w:val="00DC70A8"/>
    <w:rsid w:val="00DC7224"/>
    <w:rsid w:val="00DC727F"/>
    <w:rsid w:val="00DC72A8"/>
    <w:rsid w:val="00DC7398"/>
    <w:rsid w:val="00DC7471"/>
    <w:rsid w:val="00DC7490"/>
    <w:rsid w:val="00DC755C"/>
    <w:rsid w:val="00DC762F"/>
    <w:rsid w:val="00DC7B55"/>
    <w:rsid w:val="00DC7CD3"/>
    <w:rsid w:val="00DC7DAA"/>
    <w:rsid w:val="00DC7E78"/>
    <w:rsid w:val="00DCE289"/>
    <w:rsid w:val="00DD0057"/>
    <w:rsid w:val="00DD00FB"/>
    <w:rsid w:val="00DD0278"/>
    <w:rsid w:val="00DD02BC"/>
    <w:rsid w:val="00DD02D0"/>
    <w:rsid w:val="00DD042F"/>
    <w:rsid w:val="00DD0493"/>
    <w:rsid w:val="00DD05CC"/>
    <w:rsid w:val="00DD05DD"/>
    <w:rsid w:val="00DD06FF"/>
    <w:rsid w:val="00DD0924"/>
    <w:rsid w:val="00DD0BFF"/>
    <w:rsid w:val="00DD0CBF"/>
    <w:rsid w:val="00DD0D0E"/>
    <w:rsid w:val="00DD0D1C"/>
    <w:rsid w:val="00DD0E0C"/>
    <w:rsid w:val="00DD0E66"/>
    <w:rsid w:val="00DD0FE2"/>
    <w:rsid w:val="00DD1071"/>
    <w:rsid w:val="00DD115F"/>
    <w:rsid w:val="00DD1259"/>
    <w:rsid w:val="00DD12FD"/>
    <w:rsid w:val="00DD13D2"/>
    <w:rsid w:val="00DD1576"/>
    <w:rsid w:val="00DD1898"/>
    <w:rsid w:val="00DD197B"/>
    <w:rsid w:val="00DD1D9B"/>
    <w:rsid w:val="00DD2068"/>
    <w:rsid w:val="00DD21E0"/>
    <w:rsid w:val="00DD23CD"/>
    <w:rsid w:val="00DD249E"/>
    <w:rsid w:val="00DD24DB"/>
    <w:rsid w:val="00DD2671"/>
    <w:rsid w:val="00DD2676"/>
    <w:rsid w:val="00DD268E"/>
    <w:rsid w:val="00DD27FF"/>
    <w:rsid w:val="00DD2893"/>
    <w:rsid w:val="00DD28EE"/>
    <w:rsid w:val="00DD2A92"/>
    <w:rsid w:val="00DD2B5A"/>
    <w:rsid w:val="00DD2D5C"/>
    <w:rsid w:val="00DD2F36"/>
    <w:rsid w:val="00DD2F7C"/>
    <w:rsid w:val="00DD30A5"/>
    <w:rsid w:val="00DD3106"/>
    <w:rsid w:val="00DD3263"/>
    <w:rsid w:val="00DD32A4"/>
    <w:rsid w:val="00DD347C"/>
    <w:rsid w:val="00DD349F"/>
    <w:rsid w:val="00DD34A5"/>
    <w:rsid w:val="00DD37E5"/>
    <w:rsid w:val="00DD38DD"/>
    <w:rsid w:val="00DD3993"/>
    <w:rsid w:val="00DD3A5E"/>
    <w:rsid w:val="00DD3B8D"/>
    <w:rsid w:val="00DD3D43"/>
    <w:rsid w:val="00DD3E39"/>
    <w:rsid w:val="00DD3EC3"/>
    <w:rsid w:val="00DD4025"/>
    <w:rsid w:val="00DD405F"/>
    <w:rsid w:val="00DD407C"/>
    <w:rsid w:val="00DD46C8"/>
    <w:rsid w:val="00DD4717"/>
    <w:rsid w:val="00DD4776"/>
    <w:rsid w:val="00DD47CE"/>
    <w:rsid w:val="00DD494A"/>
    <w:rsid w:val="00DD4B68"/>
    <w:rsid w:val="00DD4C97"/>
    <w:rsid w:val="00DD4E1E"/>
    <w:rsid w:val="00DD4F74"/>
    <w:rsid w:val="00DD500E"/>
    <w:rsid w:val="00DD531F"/>
    <w:rsid w:val="00DD5393"/>
    <w:rsid w:val="00DD540D"/>
    <w:rsid w:val="00DD5482"/>
    <w:rsid w:val="00DD556C"/>
    <w:rsid w:val="00DD56B3"/>
    <w:rsid w:val="00DD5737"/>
    <w:rsid w:val="00DD5738"/>
    <w:rsid w:val="00DD57C0"/>
    <w:rsid w:val="00DD5841"/>
    <w:rsid w:val="00DD5CFF"/>
    <w:rsid w:val="00DD5E81"/>
    <w:rsid w:val="00DD5FFB"/>
    <w:rsid w:val="00DD62E1"/>
    <w:rsid w:val="00DD6397"/>
    <w:rsid w:val="00DD63E6"/>
    <w:rsid w:val="00DD64C3"/>
    <w:rsid w:val="00DD64D4"/>
    <w:rsid w:val="00DD6823"/>
    <w:rsid w:val="00DD69A0"/>
    <w:rsid w:val="00DD6A52"/>
    <w:rsid w:val="00DD6AD0"/>
    <w:rsid w:val="00DD6C46"/>
    <w:rsid w:val="00DD6C7A"/>
    <w:rsid w:val="00DD6DCA"/>
    <w:rsid w:val="00DD6DEF"/>
    <w:rsid w:val="00DD6F14"/>
    <w:rsid w:val="00DD6F44"/>
    <w:rsid w:val="00DD7195"/>
    <w:rsid w:val="00DD71B9"/>
    <w:rsid w:val="00DD7263"/>
    <w:rsid w:val="00DD75FF"/>
    <w:rsid w:val="00DD7624"/>
    <w:rsid w:val="00DD7657"/>
    <w:rsid w:val="00DD78D0"/>
    <w:rsid w:val="00DD790E"/>
    <w:rsid w:val="00DD79B3"/>
    <w:rsid w:val="00DD7A2B"/>
    <w:rsid w:val="00DD7BD6"/>
    <w:rsid w:val="00DD7C25"/>
    <w:rsid w:val="00DD7CCA"/>
    <w:rsid w:val="00DD7F03"/>
    <w:rsid w:val="00DE0740"/>
    <w:rsid w:val="00DE07E5"/>
    <w:rsid w:val="00DE09E7"/>
    <w:rsid w:val="00DE0B19"/>
    <w:rsid w:val="00DE0BDE"/>
    <w:rsid w:val="00DE0C4E"/>
    <w:rsid w:val="00DE0F6C"/>
    <w:rsid w:val="00DE10CF"/>
    <w:rsid w:val="00DE1128"/>
    <w:rsid w:val="00DE1131"/>
    <w:rsid w:val="00DE1182"/>
    <w:rsid w:val="00DE1270"/>
    <w:rsid w:val="00DE12A2"/>
    <w:rsid w:val="00DE12E2"/>
    <w:rsid w:val="00DE1E1E"/>
    <w:rsid w:val="00DE1F55"/>
    <w:rsid w:val="00DE1F61"/>
    <w:rsid w:val="00DE223E"/>
    <w:rsid w:val="00DE226F"/>
    <w:rsid w:val="00DE2403"/>
    <w:rsid w:val="00DE2570"/>
    <w:rsid w:val="00DE258E"/>
    <w:rsid w:val="00DE28D5"/>
    <w:rsid w:val="00DE2A2D"/>
    <w:rsid w:val="00DE2A4C"/>
    <w:rsid w:val="00DE2AAC"/>
    <w:rsid w:val="00DE2BB6"/>
    <w:rsid w:val="00DE2D33"/>
    <w:rsid w:val="00DE326B"/>
    <w:rsid w:val="00DE34BF"/>
    <w:rsid w:val="00DE34EB"/>
    <w:rsid w:val="00DE3535"/>
    <w:rsid w:val="00DE3550"/>
    <w:rsid w:val="00DE3592"/>
    <w:rsid w:val="00DE37D2"/>
    <w:rsid w:val="00DE3A7E"/>
    <w:rsid w:val="00DE3B39"/>
    <w:rsid w:val="00DE3B76"/>
    <w:rsid w:val="00DE3B85"/>
    <w:rsid w:val="00DE3C5C"/>
    <w:rsid w:val="00DE3CC1"/>
    <w:rsid w:val="00DE3D00"/>
    <w:rsid w:val="00DE3D39"/>
    <w:rsid w:val="00DE3E2D"/>
    <w:rsid w:val="00DE3E78"/>
    <w:rsid w:val="00DE41F8"/>
    <w:rsid w:val="00DE422D"/>
    <w:rsid w:val="00DE42C0"/>
    <w:rsid w:val="00DE4319"/>
    <w:rsid w:val="00DE434C"/>
    <w:rsid w:val="00DE4397"/>
    <w:rsid w:val="00DE4707"/>
    <w:rsid w:val="00DE4927"/>
    <w:rsid w:val="00DE4966"/>
    <w:rsid w:val="00DE4B2A"/>
    <w:rsid w:val="00DE4B9D"/>
    <w:rsid w:val="00DE4BED"/>
    <w:rsid w:val="00DE4C78"/>
    <w:rsid w:val="00DE4E5C"/>
    <w:rsid w:val="00DE4EF0"/>
    <w:rsid w:val="00DE5085"/>
    <w:rsid w:val="00DE50EA"/>
    <w:rsid w:val="00DE529E"/>
    <w:rsid w:val="00DE545C"/>
    <w:rsid w:val="00DE55DC"/>
    <w:rsid w:val="00DE57B1"/>
    <w:rsid w:val="00DE57CF"/>
    <w:rsid w:val="00DE5846"/>
    <w:rsid w:val="00DE58B3"/>
    <w:rsid w:val="00DE592B"/>
    <w:rsid w:val="00DE5A1F"/>
    <w:rsid w:val="00DE5A28"/>
    <w:rsid w:val="00DE5AD6"/>
    <w:rsid w:val="00DE5ADC"/>
    <w:rsid w:val="00DE5C88"/>
    <w:rsid w:val="00DE5C9F"/>
    <w:rsid w:val="00DE5D27"/>
    <w:rsid w:val="00DE5DBC"/>
    <w:rsid w:val="00DE5F58"/>
    <w:rsid w:val="00DE602E"/>
    <w:rsid w:val="00DE6137"/>
    <w:rsid w:val="00DE61AB"/>
    <w:rsid w:val="00DE61D5"/>
    <w:rsid w:val="00DE63DA"/>
    <w:rsid w:val="00DE65DF"/>
    <w:rsid w:val="00DE676D"/>
    <w:rsid w:val="00DE67EE"/>
    <w:rsid w:val="00DE68D3"/>
    <w:rsid w:val="00DE6CFD"/>
    <w:rsid w:val="00DE6E68"/>
    <w:rsid w:val="00DE6EDB"/>
    <w:rsid w:val="00DE712C"/>
    <w:rsid w:val="00DE7166"/>
    <w:rsid w:val="00DE71FC"/>
    <w:rsid w:val="00DE72C7"/>
    <w:rsid w:val="00DE734E"/>
    <w:rsid w:val="00DE75BD"/>
    <w:rsid w:val="00DE7726"/>
    <w:rsid w:val="00DE7749"/>
    <w:rsid w:val="00DE7887"/>
    <w:rsid w:val="00DE78E6"/>
    <w:rsid w:val="00DE7A35"/>
    <w:rsid w:val="00DE7A4E"/>
    <w:rsid w:val="00DE7B39"/>
    <w:rsid w:val="00DE7BF8"/>
    <w:rsid w:val="00DE7C98"/>
    <w:rsid w:val="00DE7D34"/>
    <w:rsid w:val="00DE7DCE"/>
    <w:rsid w:val="00DE7F11"/>
    <w:rsid w:val="00DE7FE4"/>
    <w:rsid w:val="00DF0262"/>
    <w:rsid w:val="00DF04B5"/>
    <w:rsid w:val="00DF09C3"/>
    <w:rsid w:val="00DF0BDD"/>
    <w:rsid w:val="00DF0CA3"/>
    <w:rsid w:val="00DF0D3C"/>
    <w:rsid w:val="00DF0D77"/>
    <w:rsid w:val="00DF0DC3"/>
    <w:rsid w:val="00DF0E1B"/>
    <w:rsid w:val="00DF129C"/>
    <w:rsid w:val="00DF1402"/>
    <w:rsid w:val="00DF14A4"/>
    <w:rsid w:val="00DF14F0"/>
    <w:rsid w:val="00DF14F9"/>
    <w:rsid w:val="00DF158D"/>
    <w:rsid w:val="00DF15AC"/>
    <w:rsid w:val="00DF15C8"/>
    <w:rsid w:val="00DF163D"/>
    <w:rsid w:val="00DF16BB"/>
    <w:rsid w:val="00DF16EF"/>
    <w:rsid w:val="00DF1938"/>
    <w:rsid w:val="00DF1951"/>
    <w:rsid w:val="00DF1A64"/>
    <w:rsid w:val="00DF1C2D"/>
    <w:rsid w:val="00DF1C59"/>
    <w:rsid w:val="00DF1D08"/>
    <w:rsid w:val="00DF1F97"/>
    <w:rsid w:val="00DF1FAE"/>
    <w:rsid w:val="00DF203E"/>
    <w:rsid w:val="00DF2119"/>
    <w:rsid w:val="00DF211F"/>
    <w:rsid w:val="00DF2715"/>
    <w:rsid w:val="00DF27F4"/>
    <w:rsid w:val="00DF294A"/>
    <w:rsid w:val="00DF2AD9"/>
    <w:rsid w:val="00DF2DDC"/>
    <w:rsid w:val="00DF2E82"/>
    <w:rsid w:val="00DF2FC6"/>
    <w:rsid w:val="00DF3026"/>
    <w:rsid w:val="00DF3091"/>
    <w:rsid w:val="00DF30D5"/>
    <w:rsid w:val="00DF3245"/>
    <w:rsid w:val="00DF345D"/>
    <w:rsid w:val="00DF3539"/>
    <w:rsid w:val="00DF357B"/>
    <w:rsid w:val="00DF361E"/>
    <w:rsid w:val="00DF36B7"/>
    <w:rsid w:val="00DF37D4"/>
    <w:rsid w:val="00DF38A2"/>
    <w:rsid w:val="00DF3A04"/>
    <w:rsid w:val="00DF3B40"/>
    <w:rsid w:val="00DF3CB0"/>
    <w:rsid w:val="00DF3E68"/>
    <w:rsid w:val="00DF4218"/>
    <w:rsid w:val="00DF4299"/>
    <w:rsid w:val="00DF448C"/>
    <w:rsid w:val="00DF44A9"/>
    <w:rsid w:val="00DF44CD"/>
    <w:rsid w:val="00DF4685"/>
    <w:rsid w:val="00DF4809"/>
    <w:rsid w:val="00DF4817"/>
    <w:rsid w:val="00DF49ED"/>
    <w:rsid w:val="00DF4B5B"/>
    <w:rsid w:val="00DF4DF9"/>
    <w:rsid w:val="00DF4F7C"/>
    <w:rsid w:val="00DF504E"/>
    <w:rsid w:val="00DF5099"/>
    <w:rsid w:val="00DF53AA"/>
    <w:rsid w:val="00DF54D0"/>
    <w:rsid w:val="00DF5575"/>
    <w:rsid w:val="00DF55A8"/>
    <w:rsid w:val="00DF55E2"/>
    <w:rsid w:val="00DF5647"/>
    <w:rsid w:val="00DF56C9"/>
    <w:rsid w:val="00DF570C"/>
    <w:rsid w:val="00DF57DE"/>
    <w:rsid w:val="00DF580C"/>
    <w:rsid w:val="00DF5AD6"/>
    <w:rsid w:val="00DF5C1A"/>
    <w:rsid w:val="00DF5C38"/>
    <w:rsid w:val="00DF5E37"/>
    <w:rsid w:val="00DF5E7A"/>
    <w:rsid w:val="00DF5F06"/>
    <w:rsid w:val="00DF5F9E"/>
    <w:rsid w:val="00DF618F"/>
    <w:rsid w:val="00DF631F"/>
    <w:rsid w:val="00DF6334"/>
    <w:rsid w:val="00DF65DF"/>
    <w:rsid w:val="00DF6665"/>
    <w:rsid w:val="00DF68A7"/>
    <w:rsid w:val="00DF6A86"/>
    <w:rsid w:val="00DF6B30"/>
    <w:rsid w:val="00DF6BCB"/>
    <w:rsid w:val="00DF6D45"/>
    <w:rsid w:val="00DF6D65"/>
    <w:rsid w:val="00DF6F94"/>
    <w:rsid w:val="00DF7014"/>
    <w:rsid w:val="00DF7042"/>
    <w:rsid w:val="00DF7205"/>
    <w:rsid w:val="00DF72BD"/>
    <w:rsid w:val="00DF72C7"/>
    <w:rsid w:val="00DF7511"/>
    <w:rsid w:val="00DF78FD"/>
    <w:rsid w:val="00DF7C2B"/>
    <w:rsid w:val="00DF7D04"/>
    <w:rsid w:val="00DF7EFE"/>
    <w:rsid w:val="00E004F0"/>
    <w:rsid w:val="00E004FF"/>
    <w:rsid w:val="00E006C4"/>
    <w:rsid w:val="00E00742"/>
    <w:rsid w:val="00E008FC"/>
    <w:rsid w:val="00E00CF5"/>
    <w:rsid w:val="00E00DF8"/>
    <w:rsid w:val="00E00E11"/>
    <w:rsid w:val="00E00E15"/>
    <w:rsid w:val="00E00F63"/>
    <w:rsid w:val="00E0103B"/>
    <w:rsid w:val="00E0115D"/>
    <w:rsid w:val="00E0116B"/>
    <w:rsid w:val="00E011D0"/>
    <w:rsid w:val="00E01210"/>
    <w:rsid w:val="00E01485"/>
    <w:rsid w:val="00E015FD"/>
    <w:rsid w:val="00E01901"/>
    <w:rsid w:val="00E01A6A"/>
    <w:rsid w:val="00E01A72"/>
    <w:rsid w:val="00E01B37"/>
    <w:rsid w:val="00E01B62"/>
    <w:rsid w:val="00E01B6A"/>
    <w:rsid w:val="00E01BA1"/>
    <w:rsid w:val="00E01BC9"/>
    <w:rsid w:val="00E01D50"/>
    <w:rsid w:val="00E02026"/>
    <w:rsid w:val="00E02207"/>
    <w:rsid w:val="00E02301"/>
    <w:rsid w:val="00E02368"/>
    <w:rsid w:val="00E0256D"/>
    <w:rsid w:val="00E025A5"/>
    <w:rsid w:val="00E02664"/>
    <w:rsid w:val="00E02748"/>
    <w:rsid w:val="00E0280F"/>
    <w:rsid w:val="00E02B38"/>
    <w:rsid w:val="00E02B5D"/>
    <w:rsid w:val="00E02C4D"/>
    <w:rsid w:val="00E02CB3"/>
    <w:rsid w:val="00E02CE6"/>
    <w:rsid w:val="00E02E2A"/>
    <w:rsid w:val="00E02E7B"/>
    <w:rsid w:val="00E0300D"/>
    <w:rsid w:val="00E03059"/>
    <w:rsid w:val="00E0309D"/>
    <w:rsid w:val="00E030D5"/>
    <w:rsid w:val="00E0318A"/>
    <w:rsid w:val="00E031A5"/>
    <w:rsid w:val="00E033B1"/>
    <w:rsid w:val="00E0341B"/>
    <w:rsid w:val="00E0348F"/>
    <w:rsid w:val="00E034D8"/>
    <w:rsid w:val="00E03577"/>
    <w:rsid w:val="00E035A6"/>
    <w:rsid w:val="00E038F5"/>
    <w:rsid w:val="00E03933"/>
    <w:rsid w:val="00E03BC3"/>
    <w:rsid w:val="00E03D67"/>
    <w:rsid w:val="00E03DCC"/>
    <w:rsid w:val="00E040F5"/>
    <w:rsid w:val="00E0413A"/>
    <w:rsid w:val="00E04154"/>
    <w:rsid w:val="00E04226"/>
    <w:rsid w:val="00E0423B"/>
    <w:rsid w:val="00E04312"/>
    <w:rsid w:val="00E044BE"/>
    <w:rsid w:val="00E04510"/>
    <w:rsid w:val="00E045F9"/>
    <w:rsid w:val="00E04618"/>
    <w:rsid w:val="00E04784"/>
    <w:rsid w:val="00E04888"/>
    <w:rsid w:val="00E04A80"/>
    <w:rsid w:val="00E04ACE"/>
    <w:rsid w:val="00E04E7A"/>
    <w:rsid w:val="00E04F26"/>
    <w:rsid w:val="00E04FE1"/>
    <w:rsid w:val="00E0501D"/>
    <w:rsid w:val="00E05318"/>
    <w:rsid w:val="00E05569"/>
    <w:rsid w:val="00E0557D"/>
    <w:rsid w:val="00E0565C"/>
    <w:rsid w:val="00E056CA"/>
    <w:rsid w:val="00E058D5"/>
    <w:rsid w:val="00E05905"/>
    <w:rsid w:val="00E05938"/>
    <w:rsid w:val="00E05A6C"/>
    <w:rsid w:val="00E05AC1"/>
    <w:rsid w:val="00E05C3C"/>
    <w:rsid w:val="00E05C53"/>
    <w:rsid w:val="00E05CE8"/>
    <w:rsid w:val="00E05EB4"/>
    <w:rsid w:val="00E05EEB"/>
    <w:rsid w:val="00E05F4A"/>
    <w:rsid w:val="00E05F59"/>
    <w:rsid w:val="00E060C2"/>
    <w:rsid w:val="00E062A3"/>
    <w:rsid w:val="00E064CA"/>
    <w:rsid w:val="00E0655D"/>
    <w:rsid w:val="00E06776"/>
    <w:rsid w:val="00E069E5"/>
    <w:rsid w:val="00E06CCC"/>
    <w:rsid w:val="00E06EAA"/>
    <w:rsid w:val="00E06EB2"/>
    <w:rsid w:val="00E06F14"/>
    <w:rsid w:val="00E06F5A"/>
    <w:rsid w:val="00E070DA"/>
    <w:rsid w:val="00E07164"/>
    <w:rsid w:val="00E07219"/>
    <w:rsid w:val="00E0760E"/>
    <w:rsid w:val="00E07805"/>
    <w:rsid w:val="00E078CD"/>
    <w:rsid w:val="00E079B7"/>
    <w:rsid w:val="00E07DB3"/>
    <w:rsid w:val="00E07E9D"/>
    <w:rsid w:val="00E07FB7"/>
    <w:rsid w:val="00E0957B"/>
    <w:rsid w:val="00E1001A"/>
    <w:rsid w:val="00E1024A"/>
    <w:rsid w:val="00E1025D"/>
    <w:rsid w:val="00E103C2"/>
    <w:rsid w:val="00E104CB"/>
    <w:rsid w:val="00E104F1"/>
    <w:rsid w:val="00E10769"/>
    <w:rsid w:val="00E10808"/>
    <w:rsid w:val="00E10894"/>
    <w:rsid w:val="00E109D1"/>
    <w:rsid w:val="00E10A14"/>
    <w:rsid w:val="00E10AE0"/>
    <w:rsid w:val="00E10B17"/>
    <w:rsid w:val="00E10B26"/>
    <w:rsid w:val="00E10B67"/>
    <w:rsid w:val="00E10CDB"/>
    <w:rsid w:val="00E10E59"/>
    <w:rsid w:val="00E1117B"/>
    <w:rsid w:val="00E11449"/>
    <w:rsid w:val="00E11716"/>
    <w:rsid w:val="00E11B6F"/>
    <w:rsid w:val="00E11BA7"/>
    <w:rsid w:val="00E11BF6"/>
    <w:rsid w:val="00E11C2C"/>
    <w:rsid w:val="00E11E09"/>
    <w:rsid w:val="00E11E4E"/>
    <w:rsid w:val="00E11E80"/>
    <w:rsid w:val="00E11EDD"/>
    <w:rsid w:val="00E11F9D"/>
    <w:rsid w:val="00E122D5"/>
    <w:rsid w:val="00E1232F"/>
    <w:rsid w:val="00E12451"/>
    <w:rsid w:val="00E125A7"/>
    <w:rsid w:val="00E1270D"/>
    <w:rsid w:val="00E1271D"/>
    <w:rsid w:val="00E12742"/>
    <w:rsid w:val="00E12AB9"/>
    <w:rsid w:val="00E12B67"/>
    <w:rsid w:val="00E12C6A"/>
    <w:rsid w:val="00E12D34"/>
    <w:rsid w:val="00E12D65"/>
    <w:rsid w:val="00E12E2E"/>
    <w:rsid w:val="00E12E3D"/>
    <w:rsid w:val="00E12ED9"/>
    <w:rsid w:val="00E12F79"/>
    <w:rsid w:val="00E12F7A"/>
    <w:rsid w:val="00E13059"/>
    <w:rsid w:val="00E13147"/>
    <w:rsid w:val="00E1331D"/>
    <w:rsid w:val="00E13492"/>
    <w:rsid w:val="00E134A2"/>
    <w:rsid w:val="00E13524"/>
    <w:rsid w:val="00E135B0"/>
    <w:rsid w:val="00E135B6"/>
    <w:rsid w:val="00E137D1"/>
    <w:rsid w:val="00E1387C"/>
    <w:rsid w:val="00E138BC"/>
    <w:rsid w:val="00E13AA4"/>
    <w:rsid w:val="00E13C06"/>
    <w:rsid w:val="00E13CD7"/>
    <w:rsid w:val="00E13DD5"/>
    <w:rsid w:val="00E13E5C"/>
    <w:rsid w:val="00E13F75"/>
    <w:rsid w:val="00E14111"/>
    <w:rsid w:val="00E14180"/>
    <w:rsid w:val="00E141CC"/>
    <w:rsid w:val="00E141D3"/>
    <w:rsid w:val="00E1431F"/>
    <w:rsid w:val="00E14342"/>
    <w:rsid w:val="00E14382"/>
    <w:rsid w:val="00E14404"/>
    <w:rsid w:val="00E145B2"/>
    <w:rsid w:val="00E14882"/>
    <w:rsid w:val="00E14941"/>
    <w:rsid w:val="00E1496A"/>
    <w:rsid w:val="00E14998"/>
    <w:rsid w:val="00E1499B"/>
    <w:rsid w:val="00E14BC6"/>
    <w:rsid w:val="00E14C1B"/>
    <w:rsid w:val="00E14C88"/>
    <w:rsid w:val="00E14F13"/>
    <w:rsid w:val="00E1522B"/>
    <w:rsid w:val="00E1526B"/>
    <w:rsid w:val="00E1529D"/>
    <w:rsid w:val="00E1534B"/>
    <w:rsid w:val="00E153CD"/>
    <w:rsid w:val="00E15408"/>
    <w:rsid w:val="00E154B4"/>
    <w:rsid w:val="00E15703"/>
    <w:rsid w:val="00E15743"/>
    <w:rsid w:val="00E15798"/>
    <w:rsid w:val="00E158AA"/>
    <w:rsid w:val="00E158BF"/>
    <w:rsid w:val="00E15918"/>
    <w:rsid w:val="00E15AB4"/>
    <w:rsid w:val="00E15AFE"/>
    <w:rsid w:val="00E15C52"/>
    <w:rsid w:val="00E15E6A"/>
    <w:rsid w:val="00E15E7B"/>
    <w:rsid w:val="00E15EDA"/>
    <w:rsid w:val="00E15F0B"/>
    <w:rsid w:val="00E15F7A"/>
    <w:rsid w:val="00E15FC2"/>
    <w:rsid w:val="00E160E8"/>
    <w:rsid w:val="00E16199"/>
    <w:rsid w:val="00E161AF"/>
    <w:rsid w:val="00E161E7"/>
    <w:rsid w:val="00E16311"/>
    <w:rsid w:val="00E165F0"/>
    <w:rsid w:val="00E16734"/>
    <w:rsid w:val="00E16A30"/>
    <w:rsid w:val="00E16B70"/>
    <w:rsid w:val="00E16F10"/>
    <w:rsid w:val="00E16F5E"/>
    <w:rsid w:val="00E16FEB"/>
    <w:rsid w:val="00E1702C"/>
    <w:rsid w:val="00E1714E"/>
    <w:rsid w:val="00E17319"/>
    <w:rsid w:val="00E17507"/>
    <w:rsid w:val="00E1750F"/>
    <w:rsid w:val="00E17533"/>
    <w:rsid w:val="00E17619"/>
    <w:rsid w:val="00E179F3"/>
    <w:rsid w:val="00E17AE6"/>
    <w:rsid w:val="00E17B0E"/>
    <w:rsid w:val="00E17CCF"/>
    <w:rsid w:val="00E17E0F"/>
    <w:rsid w:val="00E17E39"/>
    <w:rsid w:val="00E17ECF"/>
    <w:rsid w:val="00E17F76"/>
    <w:rsid w:val="00E20399"/>
    <w:rsid w:val="00E203D7"/>
    <w:rsid w:val="00E204FD"/>
    <w:rsid w:val="00E20666"/>
    <w:rsid w:val="00E206F0"/>
    <w:rsid w:val="00E20736"/>
    <w:rsid w:val="00E20896"/>
    <w:rsid w:val="00E208D4"/>
    <w:rsid w:val="00E20CC5"/>
    <w:rsid w:val="00E20D1E"/>
    <w:rsid w:val="00E2105B"/>
    <w:rsid w:val="00E21162"/>
    <w:rsid w:val="00E212A1"/>
    <w:rsid w:val="00E21363"/>
    <w:rsid w:val="00E21526"/>
    <w:rsid w:val="00E2170E"/>
    <w:rsid w:val="00E21755"/>
    <w:rsid w:val="00E2188A"/>
    <w:rsid w:val="00E21A02"/>
    <w:rsid w:val="00E21A38"/>
    <w:rsid w:val="00E21ACA"/>
    <w:rsid w:val="00E21AF8"/>
    <w:rsid w:val="00E21BA6"/>
    <w:rsid w:val="00E21C3C"/>
    <w:rsid w:val="00E21C60"/>
    <w:rsid w:val="00E21EA3"/>
    <w:rsid w:val="00E21F8B"/>
    <w:rsid w:val="00E2219E"/>
    <w:rsid w:val="00E221E1"/>
    <w:rsid w:val="00E22327"/>
    <w:rsid w:val="00E22417"/>
    <w:rsid w:val="00E22439"/>
    <w:rsid w:val="00E22590"/>
    <w:rsid w:val="00E2282C"/>
    <w:rsid w:val="00E22859"/>
    <w:rsid w:val="00E228A6"/>
    <w:rsid w:val="00E228D5"/>
    <w:rsid w:val="00E22904"/>
    <w:rsid w:val="00E22A0E"/>
    <w:rsid w:val="00E22A26"/>
    <w:rsid w:val="00E22B24"/>
    <w:rsid w:val="00E22B80"/>
    <w:rsid w:val="00E22BA7"/>
    <w:rsid w:val="00E22BDC"/>
    <w:rsid w:val="00E22C0E"/>
    <w:rsid w:val="00E22C80"/>
    <w:rsid w:val="00E22CFA"/>
    <w:rsid w:val="00E22CFF"/>
    <w:rsid w:val="00E22D35"/>
    <w:rsid w:val="00E22E89"/>
    <w:rsid w:val="00E22FD3"/>
    <w:rsid w:val="00E231CD"/>
    <w:rsid w:val="00E231E1"/>
    <w:rsid w:val="00E23295"/>
    <w:rsid w:val="00E23617"/>
    <w:rsid w:val="00E23651"/>
    <w:rsid w:val="00E23814"/>
    <w:rsid w:val="00E23888"/>
    <w:rsid w:val="00E2389A"/>
    <w:rsid w:val="00E238B5"/>
    <w:rsid w:val="00E23B4C"/>
    <w:rsid w:val="00E23B9C"/>
    <w:rsid w:val="00E23CE3"/>
    <w:rsid w:val="00E23CF7"/>
    <w:rsid w:val="00E23DCD"/>
    <w:rsid w:val="00E23E76"/>
    <w:rsid w:val="00E23EFD"/>
    <w:rsid w:val="00E2410C"/>
    <w:rsid w:val="00E243F9"/>
    <w:rsid w:val="00E24520"/>
    <w:rsid w:val="00E24537"/>
    <w:rsid w:val="00E2459B"/>
    <w:rsid w:val="00E2484E"/>
    <w:rsid w:val="00E249DB"/>
    <w:rsid w:val="00E24A7B"/>
    <w:rsid w:val="00E24D66"/>
    <w:rsid w:val="00E24E4A"/>
    <w:rsid w:val="00E24EA1"/>
    <w:rsid w:val="00E25027"/>
    <w:rsid w:val="00E25029"/>
    <w:rsid w:val="00E251C1"/>
    <w:rsid w:val="00E253A3"/>
    <w:rsid w:val="00E25402"/>
    <w:rsid w:val="00E25424"/>
    <w:rsid w:val="00E254CC"/>
    <w:rsid w:val="00E256D6"/>
    <w:rsid w:val="00E256D9"/>
    <w:rsid w:val="00E257AB"/>
    <w:rsid w:val="00E259B0"/>
    <w:rsid w:val="00E259BE"/>
    <w:rsid w:val="00E25A3C"/>
    <w:rsid w:val="00E25AB6"/>
    <w:rsid w:val="00E25AF8"/>
    <w:rsid w:val="00E25C4E"/>
    <w:rsid w:val="00E25F84"/>
    <w:rsid w:val="00E261E0"/>
    <w:rsid w:val="00E26368"/>
    <w:rsid w:val="00E263DD"/>
    <w:rsid w:val="00E263EA"/>
    <w:rsid w:val="00E26423"/>
    <w:rsid w:val="00E265E9"/>
    <w:rsid w:val="00E2660C"/>
    <w:rsid w:val="00E266A8"/>
    <w:rsid w:val="00E2681F"/>
    <w:rsid w:val="00E26878"/>
    <w:rsid w:val="00E26941"/>
    <w:rsid w:val="00E26AEC"/>
    <w:rsid w:val="00E26BBC"/>
    <w:rsid w:val="00E26CB7"/>
    <w:rsid w:val="00E26CFB"/>
    <w:rsid w:val="00E270C9"/>
    <w:rsid w:val="00E270DF"/>
    <w:rsid w:val="00E270E9"/>
    <w:rsid w:val="00E27303"/>
    <w:rsid w:val="00E2757B"/>
    <w:rsid w:val="00E27616"/>
    <w:rsid w:val="00E276BA"/>
    <w:rsid w:val="00E2792D"/>
    <w:rsid w:val="00E27A32"/>
    <w:rsid w:val="00E27DBC"/>
    <w:rsid w:val="00E27DCD"/>
    <w:rsid w:val="00E27E15"/>
    <w:rsid w:val="00E27E92"/>
    <w:rsid w:val="00E27FFD"/>
    <w:rsid w:val="00E30045"/>
    <w:rsid w:val="00E3008D"/>
    <w:rsid w:val="00E301DC"/>
    <w:rsid w:val="00E302A5"/>
    <w:rsid w:val="00E3038E"/>
    <w:rsid w:val="00E303A4"/>
    <w:rsid w:val="00E30828"/>
    <w:rsid w:val="00E309F4"/>
    <w:rsid w:val="00E30B37"/>
    <w:rsid w:val="00E30BC9"/>
    <w:rsid w:val="00E30DA8"/>
    <w:rsid w:val="00E30FD9"/>
    <w:rsid w:val="00E3109C"/>
    <w:rsid w:val="00E310B2"/>
    <w:rsid w:val="00E311D1"/>
    <w:rsid w:val="00E31219"/>
    <w:rsid w:val="00E31235"/>
    <w:rsid w:val="00E31367"/>
    <w:rsid w:val="00E314C7"/>
    <w:rsid w:val="00E316B4"/>
    <w:rsid w:val="00E317DF"/>
    <w:rsid w:val="00E31846"/>
    <w:rsid w:val="00E318A5"/>
    <w:rsid w:val="00E3199B"/>
    <w:rsid w:val="00E31A03"/>
    <w:rsid w:val="00E31A08"/>
    <w:rsid w:val="00E31AC6"/>
    <w:rsid w:val="00E31ADC"/>
    <w:rsid w:val="00E31BDE"/>
    <w:rsid w:val="00E31C2D"/>
    <w:rsid w:val="00E31D33"/>
    <w:rsid w:val="00E31DE8"/>
    <w:rsid w:val="00E31F04"/>
    <w:rsid w:val="00E3231A"/>
    <w:rsid w:val="00E32330"/>
    <w:rsid w:val="00E3233B"/>
    <w:rsid w:val="00E32432"/>
    <w:rsid w:val="00E324A7"/>
    <w:rsid w:val="00E326AF"/>
    <w:rsid w:val="00E326CA"/>
    <w:rsid w:val="00E32878"/>
    <w:rsid w:val="00E32B53"/>
    <w:rsid w:val="00E32D08"/>
    <w:rsid w:val="00E32DF7"/>
    <w:rsid w:val="00E32E89"/>
    <w:rsid w:val="00E32E94"/>
    <w:rsid w:val="00E3310D"/>
    <w:rsid w:val="00E332C5"/>
    <w:rsid w:val="00E33329"/>
    <w:rsid w:val="00E33428"/>
    <w:rsid w:val="00E3344E"/>
    <w:rsid w:val="00E3356B"/>
    <w:rsid w:val="00E33633"/>
    <w:rsid w:val="00E3370F"/>
    <w:rsid w:val="00E3388D"/>
    <w:rsid w:val="00E339E4"/>
    <w:rsid w:val="00E33A7D"/>
    <w:rsid w:val="00E33AAC"/>
    <w:rsid w:val="00E33AE3"/>
    <w:rsid w:val="00E33B1E"/>
    <w:rsid w:val="00E33B69"/>
    <w:rsid w:val="00E33E29"/>
    <w:rsid w:val="00E34277"/>
    <w:rsid w:val="00E3445B"/>
    <w:rsid w:val="00E3451A"/>
    <w:rsid w:val="00E34522"/>
    <w:rsid w:val="00E3498E"/>
    <w:rsid w:val="00E34A3B"/>
    <w:rsid w:val="00E34E8E"/>
    <w:rsid w:val="00E35104"/>
    <w:rsid w:val="00E35194"/>
    <w:rsid w:val="00E352A9"/>
    <w:rsid w:val="00E35371"/>
    <w:rsid w:val="00E354CA"/>
    <w:rsid w:val="00E35583"/>
    <w:rsid w:val="00E358AA"/>
    <w:rsid w:val="00E35CB3"/>
    <w:rsid w:val="00E35D91"/>
    <w:rsid w:val="00E35E14"/>
    <w:rsid w:val="00E35E25"/>
    <w:rsid w:val="00E35EF3"/>
    <w:rsid w:val="00E3604C"/>
    <w:rsid w:val="00E360C9"/>
    <w:rsid w:val="00E361AF"/>
    <w:rsid w:val="00E3621B"/>
    <w:rsid w:val="00E362B7"/>
    <w:rsid w:val="00E36362"/>
    <w:rsid w:val="00E3636E"/>
    <w:rsid w:val="00E36378"/>
    <w:rsid w:val="00E36563"/>
    <w:rsid w:val="00E36633"/>
    <w:rsid w:val="00E36718"/>
    <w:rsid w:val="00E36805"/>
    <w:rsid w:val="00E36854"/>
    <w:rsid w:val="00E36932"/>
    <w:rsid w:val="00E36A89"/>
    <w:rsid w:val="00E36BB1"/>
    <w:rsid w:val="00E36C7B"/>
    <w:rsid w:val="00E36CA9"/>
    <w:rsid w:val="00E36CAF"/>
    <w:rsid w:val="00E36D8B"/>
    <w:rsid w:val="00E36E3F"/>
    <w:rsid w:val="00E36F43"/>
    <w:rsid w:val="00E37092"/>
    <w:rsid w:val="00E3722A"/>
    <w:rsid w:val="00E3723F"/>
    <w:rsid w:val="00E37445"/>
    <w:rsid w:val="00E3744D"/>
    <w:rsid w:val="00E374AF"/>
    <w:rsid w:val="00E375B2"/>
    <w:rsid w:val="00E376C3"/>
    <w:rsid w:val="00E377C7"/>
    <w:rsid w:val="00E37804"/>
    <w:rsid w:val="00E378B1"/>
    <w:rsid w:val="00E37AD3"/>
    <w:rsid w:val="00E37CD5"/>
    <w:rsid w:val="00E37E7A"/>
    <w:rsid w:val="00E37F0C"/>
    <w:rsid w:val="00E37F44"/>
    <w:rsid w:val="00E40147"/>
    <w:rsid w:val="00E40237"/>
    <w:rsid w:val="00E402A9"/>
    <w:rsid w:val="00E40335"/>
    <w:rsid w:val="00E40391"/>
    <w:rsid w:val="00E4044E"/>
    <w:rsid w:val="00E40487"/>
    <w:rsid w:val="00E405E4"/>
    <w:rsid w:val="00E406EF"/>
    <w:rsid w:val="00E40764"/>
    <w:rsid w:val="00E40771"/>
    <w:rsid w:val="00E407B1"/>
    <w:rsid w:val="00E40ADF"/>
    <w:rsid w:val="00E40C33"/>
    <w:rsid w:val="00E40C79"/>
    <w:rsid w:val="00E40D42"/>
    <w:rsid w:val="00E40E14"/>
    <w:rsid w:val="00E41219"/>
    <w:rsid w:val="00E41450"/>
    <w:rsid w:val="00E4148B"/>
    <w:rsid w:val="00E4151C"/>
    <w:rsid w:val="00E41599"/>
    <w:rsid w:val="00E41611"/>
    <w:rsid w:val="00E416A5"/>
    <w:rsid w:val="00E418E3"/>
    <w:rsid w:val="00E41B81"/>
    <w:rsid w:val="00E41CE5"/>
    <w:rsid w:val="00E41FC9"/>
    <w:rsid w:val="00E42063"/>
    <w:rsid w:val="00E421F3"/>
    <w:rsid w:val="00E42279"/>
    <w:rsid w:val="00E423DE"/>
    <w:rsid w:val="00E424AB"/>
    <w:rsid w:val="00E424B6"/>
    <w:rsid w:val="00E424C4"/>
    <w:rsid w:val="00E4261E"/>
    <w:rsid w:val="00E426D8"/>
    <w:rsid w:val="00E427A5"/>
    <w:rsid w:val="00E42951"/>
    <w:rsid w:val="00E42A37"/>
    <w:rsid w:val="00E42AD4"/>
    <w:rsid w:val="00E42AE7"/>
    <w:rsid w:val="00E42C00"/>
    <w:rsid w:val="00E42DF8"/>
    <w:rsid w:val="00E42E6C"/>
    <w:rsid w:val="00E42F07"/>
    <w:rsid w:val="00E42F64"/>
    <w:rsid w:val="00E433ED"/>
    <w:rsid w:val="00E4370F"/>
    <w:rsid w:val="00E43976"/>
    <w:rsid w:val="00E43A59"/>
    <w:rsid w:val="00E43B26"/>
    <w:rsid w:val="00E43C79"/>
    <w:rsid w:val="00E43D2C"/>
    <w:rsid w:val="00E43F00"/>
    <w:rsid w:val="00E44091"/>
    <w:rsid w:val="00E440F6"/>
    <w:rsid w:val="00E441D8"/>
    <w:rsid w:val="00E44206"/>
    <w:rsid w:val="00E4441D"/>
    <w:rsid w:val="00E44563"/>
    <w:rsid w:val="00E44611"/>
    <w:rsid w:val="00E446B6"/>
    <w:rsid w:val="00E44710"/>
    <w:rsid w:val="00E4471B"/>
    <w:rsid w:val="00E448C7"/>
    <w:rsid w:val="00E44932"/>
    <w:rsid w:val="00E44BA8"/>
    <w:rsid w:val="00E44BCA"/>
    <w:rsid w:val="00E44E24"/>
    <w:rsid w:val="00E44E90"/>
    <w:rsid w:val="00E44FDE"/>
    <w:rsid w:val="00E45056"/>
    <w:rsid w:val="00E451F1"/>
    <w:rsid w:val="00E453AB"/>
    <w:rsid w:val="00E453C8"/>
    <w:rsid w:val="00E456BE"/>
    <w:rsid w:val="00E456F7"/>
    <w:rsid w:val="00E457F3"/>
    <w:rsid w:val="00E45B8C"/>
    <w:rsid w:val="00E45BE9"/>
    <w:rsid w:val="00E45C96"/>
    <w:rsid w:val="00E45CDF"/>
    <w:rsid w:val="00E45D0B"/>
    <w:rsid w:val="00E45D6F"/>
    <w:rsid w:val="00E45E13"/>
    <w:rsid w:val="00E45E3F"/>
    <w:rsid w:val="00E461AC"/>
    <w:rsid w:val="00E462C5"/>
    <w:rsid w:val="00E462E6"/>
    <w:rsid w:val="00E4635C"/>
    <w:rsid w:val="00E4636B"/>
    <w:rsid w:val="00E463A0"/>
    <w:rsid w:val="00E46519"/>
    <w:rsid w:val="00E4653A"/>
    <w:rsid w:val="00E466D6"/>
    <w:rsid w:val="00E467A4"/>
    <w:rsid w:val="00E467BF"/>
    <w:rsid w:val="00E468A6"/>
    <w:rsid w:val="00E46A0A"/>
    <w:rsid w:val="00E46BD3"/>
    <w:rsid w:val="00E46C08"/>
    <w:rsid w:val="00E46C88"/>
    <w:rsid w:val="00E46DBF"/>
    <w:rsid w:val="00E46E42"/>
    <w:rsid w:val="00E46E9C"/>
    <w:rsid w:val="00E47049"/>
    <w:rsid w:val="00E47069"/>
    <w:rsid w:val="00E47289"/>
    <w:rsid w:val="00E4778A"/>
    <w:rsid w:val="00E4779D"/>
    <w:rsid w:val="00E477FF"/>
    <w:rsid w:val="00E47839"/>
    <w:rsid w:val="00E4791A"/>
    <w:rsid w:val="00E47928"/>
    <w:rsid w:val="00E47A9A"/>
    <w:rsid w:val="00E47AF8"/>
    <w:rsid w:val="00E47BB6"/>
    <w:rsid w:val="00E47C07"/>
    <w:rsid w:val="00E47D79"/>
    <w:rsid w:val="00E47E84"/>
    <w:rsid w:val="00E47EBA"/>
    <w:rsid w:val="00E47F3C"/>
    <w:rsid w:val="00E50234"/>
    <w:rsid w:val="00E5029C"/>
    <w:rsid w:val="00E504C3"/>
    <w:rsid w:val="00E50612"/>
    <w:rsid w:val="00E50651"/>
    <w:rsid w:val="00E506DF"/>
    <w:rsid w:val="00E5079E"/>
    <w:rsid w:val="00E50844"/>
    <w:rsid w:val="00E50B76"/>
    <w:rsid w:val="00E50C11"/>
    <w:rsid w:val="00E50CA0"/>
    <w:rsid w:val="00E50F2B"/>
    <w:rsid w:val="00E50FC4"/>
    <w:rsid w:val="00E5103E"/>
    <w:rsid w:val="00E511BE"/>
    <w:rsid w:val="00E51340"/>
    <w:rsid w:val="00E5149E"/>
    <w:rsid w:val="00E514B8"/>
    <w:rsid w:val="00E5154C"/>
    <w:rsid w:val="00E515AF"/>
    <w:rsid w:val="00E515FB"/>
    <w:rsid w:val="00E517F9"/>
    <w:rsid w:val="00E5185D"/>
    <w:rsid w:val="00E519B4"/>
    <w:rsid w:val="00E51CDE"/>
    <w:rsid w:val="00E51E49"/>
    <w:rsid w:val="00E51FDD"/>
    <w:rsid w:val="00E52038"/>
    <w:rsid w:val="00E5210B"/>
    <w:rsid w:val="00E52306"/>
    <w:rsid w:val="00E5235F"/>
    <w:rsid w:val="00E5238C"/>
    <w:rsid w:val="00E52424"/>
    <w:rsid w:val="00E5253B"/>
    <w:rsid w:val="00E527F0"/>
    <w:rsid w:val="00E528C9"/>
    <w:rsid w:val="00E528EA"/>
    <w:rsid w:val="00E52941"/>
    <w:rsid w:val="00E52991"/>
    <w:rsid w:val="00E529F2"/>
    <w:rsid w:val="00E52C1F"/>
    <w:rsid w:val="00E52D43"/>
    <w:rsid w:val="00E52D86"/>
    <w:rsid w:val="00E52FEA"/>
    <w:rsid w:val="00E53327"/>
    <w:rsid w:val="00E533FB"/>
    <w:rsid w:val="00E5349B"/>
    <w:rsid w:val="00E53542"/>
    <w:rsid w:val="00E535D0"/>
    <w:rsid w:val="00E53631"/>
    <w:rsid w:val="00E53722"/>
    <w:rsid w:val="00E5388F"/>
    <w:rsid w:val="00E53955"/>
    <w:rsid w:val="00E53A06"/>
    <w:rsid w:val="00E53B65"/>
    <w:rsid w:val="00E53D15"/>
    <w:rsid w:val="00E53D77"/>
    <w:rsid w:val="00E53EE0"/>
    <w:rsid w:val="00E53FA2"/>
    <w:rsid w:val="00E54161"/>
    <w:rsid w:val="00E541A6"/>
    <w:rsid w:val="00E54239"/>
    <w:rsid w:val="00E5423D"/>
    <w:rsid w:val="00E54272"/>
    <w:rsid w:val="00E542BC"/>
    <w:rsid w:val="00E54336"/>
    <w:rsid w:val="00E5451D"/>
    <w:rsid w:val="00E54521"/>
    <w:rsid w:val="00E54543"/>
    <w:rsid w:val="00E54596"/>
    <w:rsid w:val="00E54617"/>
    <w:rsid w:val="00E546E7"/>
    <w:rsid w:val="00E5484B"/>
    <w:rsid w:val="00E54B54"/>
    <w:rsid w:val="00E54BEB"/>
    <w:rsid w:val="00E54C07"/>
    <w:rsid w:val="00E54CC2"/>
    <w:rsid w:val="00E54DB4"/>
    <w:rsid w:val="00E55008"/>
    <w:rsid w:val="00E551A0"/>
    <w:rsid w:val="00E55237"/>
    <w:rsid w:val="00E55343"/>
    <w:rsid w:val="00E553BA"/>
    <w:rsid w:val="00E5562F"/>
    <w:rsid w:val="00E5567B"/>
    <w:rsid w:val="00E55821"/>
    <w:rsid w:val="00E55BFA"/>
    <w:rsid w:val="00E55D98"/>
    <w:rsid w:val="00E55E22"/>
    <w:rsid w:val="00E55EA6"/>
    <w:rsid w:val="00E56023"/>
    <w:rsid w:val="00E560C2"/>
    <w:rsid w:val="00E560F5"/>
    <w:rsid w:val="00E56A4E"/>
    <w:rsid w:val="00E56A8F"/>
    <w:rsid w:val="00E56AEB"/>
    <w:rsid w:val="00E56AF9"/>
    <w:rsid w:val="00E56B73"/>
    <w:rsid w:val="00E56D6E"/>
    <w:rsid w:val="00E56FEF"/>
    <w:rsid w:val="00E5700A"/>
    <w:rsid w:val="00E57059"/>
    <w:rsid w:val="00E57289"/>
    <w:rsid w:val="00E57301"/>
    <w:rsid w:val="00E573BE"/>
    <w:rsid w:val="00E57439"/>
    <w:rsid w:val="00E577F9"/>
    <w:rsid w:val="00E5787A"/>
    <w:rsid w:val="00E57AE3"/>
    <w:rsid w:val="00E57D63"/>
    <w:rsid w:val="00E57DD8"/>
    <w:rsid w:val="00E57E8A"/>
    <w:rsid w:val="00E57EA8"/>
    <w:rsid w:val="00E57FA3"/>
    <w:rsid w:val="00E57FA4"/>
    <w:rsid w:val="00E57FB5"/>
    <w:rsid w:val="00E6000F"/>
    <w:rsid w:val="00E60195"/>
    <w:rsid w:val="00E603E1"/>
    <w:rsid w:val="00E6044B"/>
    <w:rsid w:val="00E605C4"/>
    <w:rsid w:val="00E60758"/>
    <w:rsid w:val="00E60829"/>
    <w:rsid w:val="00E60A99"/>
    <w:rsid w:val="00E60B63"/>
    <w:rsid w:val="00E60BA4"/>
    <w:rsid w:val="00E60C34"/>
    <w:rsid w:val="00E60D0F"/>
    <w:rsid w:val="00E60F14"/>
    <w:rsid w:val="00E60F39"/>
    <w:rsid w:val="00E6104A"/>
    <w:rsid w:val="00E613E3"/>
    <w:rsid w:val="00E61426"/>
    <w:rsid w:val="00E61463"/>
    <w:rsid w:val="00E6157A"/>
    <w:rsid w:val="00E61700"/>
    <w:rsid w:val="00E61B23"/>
    <w:rsid w:val="00E61BB8"/>
    <w:rsid w:val="00E61DD9"/>
    <w:rsid w:val="00E61EC1"/>
    <w:rsid w:val="00E61F74"/>
    <w:rsid w:val="00E620AB"/>
    <w:rsid w:val="00E620C7"/>
    <w:rsid w:val="00E623EB"/>
    <w:rsid w:val="00E623FF"/>
    <w:rsid w:val="00E625BE"/>
    <w:rsid w:val="00E626AD"/>
    <w:rsid w:val="00E627FC"/>
    <w:rsid w:val="00E6284B"/>
    <w:rsid w:val="00E62931"/>
    <w:rsid w:val="00E629A0"/>
    <w:rsid w:val="00E62C5D"/>
    <w:rsid w:val="00E62D07"/>
    <w:rsid w:val="00E62DF6"/>
    <w:rsid w:val="00E62E6D"/>
    <w:rsid w:val="00E62F00"/>
    <w:rsid w:val="00E62FEB"/>
    <w:rsid w:val="00E630B8"/>
    <w:rsid w:val="00E631BB"/>
    <w:rsid w:val="00E633AD"/>
    <w:rsid w:val="00E63462"/>
    <w:rsid w:val="00E6396C"/>
    <w:rsid w:val="00E63A22"/>
    <w:rsid w:val="00E63A85"/>
    <w:rsid w:val="00E63B62"/>
    <w:rsid w:val="00E63B8F"/>
    <w:rsid w:val="00E63CAE"/>
    <w:rsid w:val="00E63E3B"/>
    <w:rsid w:val="00E63E40"/>
    <w:rsid w:val="00E64203"/>
    <w:rsid w:val="00E6423E"/>
    <w:rsid w:val="00E644D1"/>
    <w:rsid w:val="00E645F8"/>
    <w:rsid w:val="00E646B5"/>
    <w:rsid w:val="00E6486E"/>
    <w:rsid w:val="00E648C2"/>
    <w:rsid w:val="00E648E8"/>
    <w:rsid w:val="00E64BDE"/>
    <w:rsid w:val="00E6501B"/>
    <w:rsid w:val="00E651B0"/>
    <w:rsid w:val="00E6530B"/>
    <w:rsid w:val="00E65427"/>
    <w:rsid w:val="00E6543F"/>
    <w:rsid w:val="00E655CC"/>
    <w:rsid w:val="00E65670"/>
    <w:rsid w:val="00E656BD"/>
    <w:rsid w:val="00E656C9"/>
    <w:rsid w:val="00E658BB"/>
    <w:rsid w:val="00E6597C"/>
    <w:rsid w:val="00E65ABF"/>
    <w:rsid w:val="00E65ADF"/>
    <w:rsid w:val="00E65C02"/>
    <w:rsid w:val="00E65ECD"/>
    <w:rsid w:val="00E660D9"/>
    <w:rsid w:val="00E661C0"/>
    <w:rsid w:val="00E66365"/>
    <w:rsid w:val="00E663F5"/>
    <w:rsid w:val="00E66428"/>
    <w:rsid w:val="00E667E8"/>
    <w:rsid w:val="00E667FF"/>
    <w:rsid w:val="00E6699C"/>
    <w:rsid w:val="00E66AA2"/>
    <w:rsid w:val="00E66B76"/>
    <w:rsid w:val="00E66D58"/>
    <w:rsid w:val="00E66E0D"/>
    <w:rsid w:val="00E66E97"/>
    <w:rsid w:val="00E6700E"/>
    <w:rsid w:val="00E670E2"/>
    <w:rsid w:val="00E6717A"/>
    <w:rsid w:val="00E672F1"/>
    <w:rsid w:val="00E672FF"/>
    <w:rsid w:val="00E6730C"/>
    <w:rsid w:val="00E67420"/>
    <w:rsid w:val="00E674BD"/>
    <w:rsid w:val="00E6754B"/>
    <w:rsid w:val="00E675F8"/>
    <w:rsid w:val="00E6762A"/>
    <w:rsid w:val="00E677BA"/>
    <w:rsid w:val="00E67913"/>
    <w:rsid w:val="00E67AE8"/>
    <w:rsid w:val="00E67AE9"/>
    <w:rsid w:val="00E67BA7"/>
    <w:rsid w:val="00E67BB0"/>
    <w:rsid w:val="00E70271"/>
    <w:rsid w:val="00E70453"/>
    <w:rsid w:val="00E7051C"/>
    <w:rsid w:val="00E7062E"/>
    <w:rsid w:val="00E706AB"/>
    <w:rsid w:val="00E707BB"/>
    <w:rsid w:val="00E707CB"/>
    <w:rsid w:val="00E70826"/>
    <w:rsid w:val="00E7097F"/>
    <w:rsid w:val="00E70A3C"/>
    <w:rsid w:val="00E70AD6"/>
    <w:rsid w:val="00E70B44"/>
    <w:rsid w:val="00E70BD6"/>
    <w:rsid w:val="00E70C14"/>
    <w:rsid w:val="00E70C77"/>
    <w:rsid w:val="00E70CCA"/>
    <w:rsid w:val="00E70D47"/>
    <w:rsid w:val="00E710CE"/>
    <w:rsid w:val="00E711D9"/>
    <w:rsid w:val="00E712BF"/>
    <w:rsid w:val="00E712C6"/>
    <w:rsid w:val="00E71305"/>
    <w:rsid w:val="00E713F2"/>
    <w:rsid w:val="00E7141B"/>
    <w:rsid w:val="00E7142D"/>
    <w:rsid w:val="00E7145D"/>
    <w:rsid w:val="00E715B0"/>
    <w:rsid w:val="00E7162A"/>
    <w:rsid w:val="00E71674"/>
    <w:rsid w:val="00E71772"/>
    <w:rsid w:val="00E71782"/>
    <w:rsid w:val="00E71965"/>
    <w:rsid w:val="00E71AAC"/>
    <w:rsid w:val="00E71CFA"/>
    <w:rsid w:val="00E72063"/>
    <w:rsid w:val="00E72370"/>
    <w:rsid w:val="00E72383"/>
    <w:rsid w:val="00E724D2"/>
    <w:rsid w:val="00E725AA"/>
    <w:rsid w:val="00E725B2"/>
    <w:rsid w:val="00E72600"/>
    <w:rsid w:val="00E7275B"/>
    <w:rsid w:val="00E727F9"/>
    <w:rsid w:val="00E729C7"/>
    <w:rsid w:val="00E72C15"/>
    <w:rsid w:val="00E72D68"/>
    <w:rsid w:val="00E72D9F"/>
    <w:rsid w:val="00E72DD6"/>
    <w:rsid w:val="00E72DFF"/>
    <w:rsid w:val="00E73018"/>
    <w:rsid w:val="00E732A7"/>
    <w:rsid w:val="00E7363E"/>
    <w:rsid w:val="00E73867"/>
    <w:rsid w:val="00E738BA"/>
    <w:rsid w:val="00E739F2"/>
    <w:rsid w:val="00E73A80"/>
    <w:rsid w:val="00E73C41"/>
    <w:rsid w:val="00E73E16"/>
    <w:rsid w:val="00E74037"/>
    <w:rsid w:val="00E74268"/>
    <w:rsid w:val="00E745BA"/>
    <w:rsid w:val="00E74703"/>
    <w:rsid w:val="00E74794"/>
    <w:rsid w:val="00E74933"/>
    <w:rsid w:val="00E749F3"/>
    <w:rsid w:val="00E74A26"/>
    <w:rsid w:val="00E74E14"/>
    <w:rsid w:val="00E74EDC"/>
    <w:rsid w:val="00E75004"/>
    <w:rsid w:val="00E75200"/>
    <w:rsid w:val="00E752E4"/>
    <w:rsid w:val="00E75512"/>
    <w:rsid w:val="00E7560A"/>
    <w:rsid w:val="00E75664"/>
    <w:rsid w:val="00E75737"/>
    <w:rsid w:val="00E7576C"/>
    <w:rsid w:val="00E75782"/>
    <w:rsid w:val="00E75875"/>
    <w:rsid w:val="00E75886"/>
    <w:rsid w:val="00E7594B"/>
    <w:rsid w:val="00E759C9"/>
    <w:rsid w:val="00E75B4F"/>
    <w:rsid w:val="00E75D5A"/>
    <w:rsid w:val="00E75D6E"/>
    <w:rsid w:val="00E76007"/>
    <w:rsid w:val="00E76181"/>
    <w:rsid w:val="00E76866"/>
    <w:rsid w:val="00E768AB"/>
    <w:rsid w:val="00E768E1"/>
    <w:rsid w:val="00E76A51"/>
    <w:rsid w:val="00E76E9A"/>
    <w:rsid w:val="00E76EEB"/>
    <w:rsid w:val="00E7703B"/>
    <w:rsid w:val="00E770A9"/>
    <w:rsid w:val="00E770E4"/>
    <w:rsid w:val="00E770F2"/>
    <w:rsid w:val="00E7726E"/>
    <w:rsid w:val="00E772DB"/>
    <w:rsid w:val="00E774BF"/>
    <w:rsid w:val="00E77B1F"/>
    <w:rsid w:val="00E77BF2"/>
    <w:rsid w:val="00E77C04"/>
    <w:rsid w:val="00E77D41"/>
    <w:rsid w:val="00E77E33"/>
    <w:rsid w:val="00E77E85"/>
    <w:rsid w:val="00E77EAC"/>
    <w:rsid w:val="00E77FED"/>
    <w:rsid w:val="00E8008E"/>
    <w:rsid w:val="00E800CF"/>
    <w:rsid w:val="00E8021B"/>
    <w:rsid w:val="00E80319"/>
    <w:rsid w:val="00E8034B"/>
    <w:rsid w:val="00E803DC"/>
    <w:rsid w:val="00E8050E"/>
    <w:rsid w:val="00E8052F"/>
    <w:rsid w:val="00E80833"/>
    <w:rsid w:val="00E80D1C"/>
    <w:rsid w:val="00E80DB4"/>
    <w:rsid w:val="00E80E1E"/>
    <w:rsid w:val="00E80E5C"/>
    <w:rsid w:val="00E80F2F"/>
    <w:rsid w:val="00E80FB8"/>
    <w:rsid w:val="00E81069"/>
    <w:rsid w:val="00E812B5"/>
    <w:rsid w:val="00E812FF"/>
    <w:rsid w:val="00E8135A"/>
    <w:rsid w:val="00E813CC"/>
    <w:rsid w:val="00E813F5"/>
    <w:rsid w:val="00E8153B"/>
    <w:rsid w:val="00E817AD"/>
    <w:rsid w:val="00E817EF"/>
    <w:rsid w:val="00E8184F"/>
    <w:rsid w:val="00E81939"/>
    <w:rsid w:val="00E81A16"/>
    <w:rsid w:val="00E81B34"/>
    <w:rsid w:val="00E81CDB"/>
    <w:rsid w:val="00E81D16"/>
    <w:rsid w:val="00E81D44"/>
    <w:rsid w:val="00E81E49"/>
    <w:rsid w:val="00E824D8"/>
    <w:rsid w:val="00E82849"/>
    <w:rsid w:val="00E828D5"/>
    <w:rsid w:val="00E829B3"/>
    <w:rsid w:val="00E829FA"/>
    <w:rsid w:val="00E82A42"/>
    <w:rsid w:val="00E82ADB"/>
    <w:rsid w:val="00E82D81"/>
    <w:rsid w:val="00E82FDD"/>
    <w:rsid w:val="00E8310F"/>
    <w:rsid w:val="00E83122"/>
    <w:rsid w:val="00E831FE"/>
    <w:rsid w:val="00E83259"/>
    <w:rsid w:val="00E83276"/>
    <w:rsid w:val="00E834C0"/>
    <w:rsid w:val="00E835AF"/>
    <w:rsid w:val="00E835BD"/>
    <w:rsid w:val="00E83650"/>
    <w:rsid w:val="00E83743"/>
    <w:rsid w:val="00E8378E"/>
    <w:rsid w:val="00E83953"/>
    <w:rsid w:val="00E839BE"/>
    <w:rsid w:val="00E839F1"/>
    <w:rsid w:val="00E83B6E"/>
    <w:rsid w:val="00E83CAC"/>
    <w:rsid w:val="00E83DD9"/>
    <w:rsid w:val="00E83F33"/>
    <w:rsid w:val="00E83FCB"/>
    <w:rsid w:val="00E84181"/>
    <w:rsid w:val="00E848B6"/>
    <w:rsid w:val="00E848CC"/>
    <w:rsid w:val="00E84B04"/>
    <w:rsid w:val="00E84C89"/>
    <w:rsid w:val="00E84C8F"/>
    <w:rsid w:val="00E84E9F"/>
    <w:rsid w:val="00E84EA8"/>
    <w:rsid w:val="00E84EC4"/>
    <w:rsid w:val="00E8509F"/>
    <w:rsid w:val="00E8529E"/>
    <w:rsid w:val="00E854DA"/>
    <w:rsid w:val="00E85664"/>
    <w:rsid w:val="00E8589C"/>
    <w:rsid w:val="00E85E56"/>
    <w:rsid w:val="00E860DD"/>
    <w:rsid w:val="00E8610A"/>
    <w:rsid w:val="00E861F7"/>
    <w:rsid w:val="00E862A5"/>
    <w:rsid w:val="00E864A1"/>
    <w:rsid w:val="00E86677"/>
    <w:rsid w:val="00E86918"/>
    <w:rsid w:val="00E86A75"/>
    <w:rsid w:val="00E86CF0"/>
    <w:rsid w:val="00E8710F"/>
    <w:rsid w:val="00E8713D"/>
    <w:rsid w:val="00E8715A"/>
    <w:rsid w:val="00E871B8"/>
    <w:rsid w:val="00E87279"/>
    <w:rsid w:val="00E872D8"/>
    <w:rsid w:val="00E87395"/>
    <w:rsid w:val="00E87AC1"/>
    <w:rsid w:val="00E87ACF"/>
    <w:rsid w:val="00E87B62"/>
    <w:rsid w:val="00E87EC6"/>
    <w:rsid w:val="00E87F22"/>
    <w:rsid w:val="00E87FC8"/>
    <w:rsid w:val="00E9019A"/>
    <w:rsid w:val="00E90252"/>
    <w:rsid w:val="00E902BB"/>
    <w:rsid w:val="00E90329"/>
    <w:rsid w:val="00E906B9"/>
    <w:rsid w:val="00E90751"/>
    <w:rsid w:val="00E90BA6"/>
    <w:rsid w:val="00E90E9D"/>
    <w:rsid w:val="00E910D5"/>
    <w:rsid w:val="00E9139B"/>
    <w:rsid w:val="00E914C1"/>
    <w:rsid w:val="00E9150E"/>
    <w:rsid w:val="00E91547"/>
    <w:rsid w:val="00E9175E"/>
    <w:rsid w:val="00E9178B"/>
    <w:rsid w:val="00E91966"/>
    <w:rsid w:val="00E9196D"/>
    <w:rsid w:val="00E91DAD"/>
    <w:rsid w:val="00E91DFE"/>
    <w:rsid w:val="00E91F8E"/>
    <w:rsid w:val="00E922C4"/>
    <w:rsid w:val="00E924C6"/>
    <w:rsid w:val="00E92596"/>
    <w:rsid w:val="00E9293D"/>
    <w:rsid w:val="00E92995"/>
    <w:rsid w:val="00E929BD"/>
    <w:rsid w:val="00E92A82"/>
    <w:rsid w:val="00E92A97"/>
    <w:rsid w:val="00E92C59"/>
    <w:rsid w:val="00E92C6E"/>
    <w:rsid w:val="00E92CD9"/>
    <w:rsid w:val="00E92F3E"/>
    <w:rsid w:val="00E92F8B"/>
    <w:rsid w:val="00E9302D"/>
    <w:rsid w:val="00E93241"/>
    <w:rsid w:val="00E932D7"/>
    <w:rsid w:val="00E933DE"/>
    <w:rsid w:val="00E9364C"/>
    <w:rsid w:val="00E93662"/>
    <w:rsid w:val="00E93A48"/>
    <w:rsid w:val="00E93B57"/>
    <w:rsid w:val="00E93C25"/>
    <w:rsid w:val="00E93C77"/>
    <w:rsid w:val="00E94165"/>
    <w:rsid w:val="00E941FC"/>
    <w:rsid w:val="00E9424A"/>
    <w:rsid w:val="00E942B6"/>
    <w:rsid w:val="00E943AE"/>
    <w:rsid w:val="00E944A2"/>
    <w:rsid w:val="00E944CA"/>
    <w:rsid w:val="00E9458F"/>
    <w:rsid w:val="00E94594"/>
    <w:rsid w:val="00E9473B"/>
    <w:rsid w:val="00E94782"/>
    <w:rsid w:val="00E947B0"/>
    <w:rsid w:val="00E947E2"/>
    <w:rsid w:val="00E949FF"/>
    <w:rsid w:val="00E94A54"/>
    <w:rsid w:val="00E94EB4"/>
    <w:rsid w:val="00E94F21"/>
    <w:rsid w:val="00E95329"/>
    <w:rsid w:val="00E953F4"/>
    <w:rsid w:val="00E9576A"/>
    <w:rsid w:val="00E9599C"/>
    <w:rsid w:val="00E95D43"/>
    <w:rsid w:val="00E95D76"/>
    <w:rsid w:val="00E95D82"/>
    <w:rsid w:val="00E95D8B"/>
    <w:rsid w:val="00E95EB1"/>
    <w:rsid w:val="00E95F21"/>
    <w:rsid w:val="00E961D2"/>
    <w:rsid w:val="00E9625E"/>
    <w:rsid w:val="00E96273"/>
    <w:rsid w:val="00E962A1"/>
    <w:rsid w:val="00E9635B"/>
    <w:rsid w:val="00E96486"/>
    <w:rsid w:val="00E964B5"/>
    <w:rsid w:val="00E965C2"/>
    <w:rsid w:val="00E967C2"/>
    <w:rsid w:val="00E96801"/>
    <w:rsid w:val="00E96A59"/>
    <w:rsid w:val="00E96BD9"/>
    <w:rsid w:val="00E96BF9"/>
    <w:rsid w:val="00E96DAE"/>
    <w:rsid w:val="00E96E97"/>
    <w:rsid w:val="00E96ED3"/>
    <w:rsid w:val="00E96EFE"/>
    <w:rsid w:val="00E96F5B"/>
    <w:rsid w:val="00E970AA"/>
    <w:rsid w:val="00E971D5"/>
    <w:rsid w:val="00E9758F"/>
    <w:rsid w:val="00E9782B"/>
    <w:rsid w:val="00E97BB7"/>
    <w:rsid w:val="00E97CAA"/>
    <w:rsid w:val="00E97D2C"/>
    <w:rsid w:val="00E97D49"/>
    <w:rsid w:val="00E97DA9"/>
    <w:rsid w:val="00E97E0D"/>
    <w:rsid w:val="00E97E92"/>
    <w:rsid w:val="00EA0155"/>
    <w:rsid w:val="00EA0251"/>
    <w:rsid w:val="00EA0363"/>
    <w:rsid w:val="00EA039A"/>
    <w:rsid w:val="00EA04C2"/>
    <w:rsid w:val="00EA0502"/>
    <w:rsid w:val="00EA05C3"/>
    <w:rsid w:val="00EA0A1C"/>
    <w:rsid w:val="00EA0C30"/>
    <w:rsid w:val="00EA0E08"/>
    <w:rsid w:val="00EA1065"/>
    <w:rsid w:val="00EA1079"/>
    <w:rsid w:val="00EA130A"/>
    <w:rsid w:val="00EA1434"/>
    <w:rsid w:val="00EA144F"/>
    <w:rsid w:val="00EA16E5"/>
    <w:rsid w:val="00EA1786"/>
    <w:rsid w:val="00EA1D8C"/>
    <w:rsid w:val="00EA1DD9"/>
    <w:rsid w:val="00EA1F3E"/>
    <w:rsid w:val="00EA208B"/>
    <w:rsid w:val="00EA2246"/>
    <w:rsid w:val="00EA2333"/>
    <w:rsid w:val="00EA23D5"/>
    <w:rsid w:val="00EA25E0"/>
    <w:rsid w:val="00EA26B3"/>
    <w:rsid w:val="00EA290C"/>
    <w:rsid w:val="00EA2A0C"/>
    <w:rsid w:val="00EA2A59"/>
    <w:rsid w:val="00EA2A7E"/>
    <w:rsid w:val="00EA2E81"/>
    <w:rsid w:val="00EA2FFE"/>
    <w:rsid w:val="00EA304D"/>
    <w:rsid w:val="00EA31CF"/>
    <w:rsid w:val="00EA3248"/>
    <w:rsid w:val="00EA32DE"/>
    <w:rsid w:val="00EA3415"/>
    <w:rsid w:val="00EA3428"/>
    <w:rsid w:val="00EA36B5"/>
    <w:rsid w:val="00EA385F"/>
    <w:rsid w:val="00EA3951"/>
    <w:rsid w:val="00EA3978"/>
    <w:rsid w:val="00EA3B62"/>
    <w:rsid w:val="00EA3C3E"/>
    <w:rsid w:val="00EA3E10"/>
    <w:rsid w:val="00EA3E4C"/>
    <w:rsid w:val="00EA4018"/>
    <w:rsid w:val="00EA421B"/>
    <w:rsid w:val="00EA42E6"/>
    <w:rsid w:val="00EA4307"/>
    <w:rsid w:val="00EA431F"/>
    <w:rsid w:val="00EA44F3"/>
    <w:rsid w:val="00EA45E5"/>
    <w:rsid w:val="00EA4680"/>
    <w:rsid w:val="00EA4694"/>
    <w:rsid w:val="00EA48D3"/>
    <w:rsid w:val="00EA49C4"/>
    <w:rsid w:val="00EA4BC1"/>
    <w:rsid w:val="00EA4BC4"/>
    <w:rsid w:val="00EA4EE7"/>
    <w:rsid w:val="00EA53F5"/>
    <w:rsid w:val="00EA546B"/>
    <w:rsid w:val="00EA56BD"/>
    <w:rsid w:val="00EA56FC"/>
    <w:rsid w:val="00EA57C5"/>
    <w:rsid w:val="00EA594C"/>
    <w:rsid w:val="00EA5A56"/>
    <w:rsid w:val="00EA5BBF"/>
    <w:rsid w:val="00EA5CEA"/>
    <w:rsid w:val="00EA5CF2"/>
    <w:rsid w:val="00EA5D7E"/>
    <w:rsid w:val="00EA5E03"/>
    <w:rsid w:val="00EA5F31"/>
    <w:rsid w:val="00EA5F92"/>
    <w:rsid w:val="00EA6021"/>
    <w:rsid w:val="00EA60B5"/>
    <w:rsid w:val="00EA61D4"/>
    <w:rsid w:val="00EA63BE"/>
    <w:rsid w:val="00EA64B4"/>
    <w:rsid w:val="00EA65B1"/>
    <w:rsid w:val="00EA65F1"/>
    <w:rsid w:val="00EA664B"/>
    <w:rsid w:val="00EA6665"/>
    <w:rsid w:val="00EA667E"/>
    <w:rsid w:val="00EA6699"/>
    <w:rsid w:val="00EA671D"/>
    <w:rsid w:val="00EA672B"/>
    <w:rsid w:val="00EA6935"/>
    <w:rsid w:val="00EA6967"/>
    <w:rsid w:val="00EA6B71"/>
    <w:rsid w:val="00EA6F44"/>
    <w:rsid w:val="00EA716F"/>
    <w:rsid w:val="00EA7268"/>
    <w:rsid w:val="00EA737E"/>
    <w:rsid w:val="00EA743B"/>
    <w:rsid w:val="00EA7613"/>
    <w:rsid w:val="00EA793B"/>
    <w:rsid w:val="00EA7A7E"/>
    <w:rsid w:val="00EA7E56"/>
    <w:rsid w:val="00EA7EF4"/>
    <w:rsid w:val="00EB001E"/>
    <w:rsid w:val="00EB0129"/>
    <w:rsid w:val="00EB0260"/>
    <w:rsid w:val="00EB0580"/>
    <w:rsid w:val="00EB05B1"/>
    <w:rsid w:val="00EB05D5"/>
    <w:rsid w:val="00EB05DA"/>
    <w:rsid w:val="00EB05EC"/>
    <w:rsid w:val="00EB0619"/>
    <w:rsid w:val="00EB0650"/>
    <w:rsid w:val="00EB06BA"/>
    <w:rsid w:val="00EB0A32"/>
    <w:rsid w:val="00EB0C7B"/>
    <w:rsid w:val="00EB0F1A"/>
    <w:rsid w:val="00EB1474"/>
    <w:rsid w:val="00EB1575"/>
    <w:rsid w:val="00EB15F0"/>
    <w:rsid w:val="00EB15F7"/>
    <w:rsid w:val="00EB1625"/>
    <w:rsid w:val="00EB1724"/>
    <w:rsid w:val="00EB178B"/>
    <w:rsid w:val="00EB17C7"/>
    <w:rsid w:val="00EB1816"/>
    <w:rsid w:val="00EB18E2"/>
    <w:rsid w:val="00EB190F"/>
    <w:rsid w:val="00EB192F"/>
    <w:rsid w:val="00EB19DE"/>
    <w:rsid w:val="00EB1A9D"/>
    <w:rsid w:val="00EB1C21"/>
    <w:rsid w:val="00EB1C23"/>
    <w:rsid w:val="00EB1CE9"/>
    <w:rsid w:val="00EB1D1B"/>
    <w:rsid w:val="00EB1E0F"/>
    <w:rsid w:val="00EB1F82"/>
    <w:rsid w:val="00EB1F84"/>
    <w:rsid w:val="00EB20C1"/>
    <w:rsid w:val="00EB218C"/>
    <w:rsid w:val="00EB235B"/>
    <w:rsid w:val="00EB2472"/>
    <w:rsid w:val="00EB24EB"/>
    <w:rsid w:val="00EB2630"/>
    <w:rsid w:val="00EB273E"/>
    <w:rsid w:val="00EB27DA"/>
    <w:rsid w:val="00EB2A50"/>
    <w:rsid w:val="00EB2C33"/>
    <w:rsid w:val="00EB2D6D"/>
    <w:rsid w:val="00EB2E94"/>
    <w:rsid w:val="00EB2F19"/>
    <w:rsid w:val="00EB305A"/>
    <w:rsid w:val="00EB3127"/>
    <w:rsid w:val="00EB31A3"/>
    <w:rsid w:val="00EB325B"/>
    <w:rsid w:val="00EB334F"/>
    <w:rsid w:val="00EB359B"/>
    <w:rsid w:val="00EB3755"/>
    <w:rsid w:val="00EB38A5"/>
    <w:rsid w:val="00EB3B07"/>
    <w:rsid w:val="00EB3C68"/>
    <w:rsid w:val="00EB3DFC"/>
    <w:rsid w:val="00EB3E22"/>
    <w:rsid w:val="00EB4132"/>
    <w:rsid w:val="00EB416F"/>
    <w:rsid w:val="00EB4226"/>
    <w:rsid w:val="00EB4236"/>
    <w:rsid w:val="00EB4389"/>
    <w:rsid w:val="00EB4430"/>
    <w:rsid w:val="00EB4480"/>
    <w:rsid w:val="00EB4507"/>
    <w:rsid w:val="00EB4538"/>
    <w:rsid w:val="00EB46DD"/>
    <w:rsid w:val="00EB4725"/>
    <w:rsid w:val="00EB488C"/>
    <w:rsid w:val="00EB4906"/>
    <w:rsid w:val="00EB4942"/>
    <w:rsid w:val="00EB4ADF"/>
    <w:rsid w:val="00EB4E37"/>
    <w:rsid w:val="00EB4EFE"/>
    <w:rsid w:val="00EB4F2E"/>
    <w:rsid w:val="00EB4FEA"/>
    <w:rsid w:val="00EB5167"/>
    <w:rsid w:val="00EB531A"/>
    <w:rsid w:val="00EB532E"/>
    <w:rsid w:val="00EB542E"/>
    <w:rsid w:val="00EB55A7"/>
    <w:rsid w:val="00EB55D8"/>
    <w:rsid w:val="00EB560C"/>
    <w:rsid w:val="00EB5644"/>
    <w:rsid w:val="00EB564A"/>
    <w:rsid w:val="00EB56A2"/>
    <w:rsid w:val="00EB56B4"/>
    <w:rsid w:val="00EB590A"/>
    <w:rsid w:val="00EB5A53"/>
    <w:rsid w:val="00EB5AF8"/>
    <w:rsid w:val="00EB5D55"/>
    <w:rsid w:val="00EB5E39"/>
    <w:rsid w:val="00EB5E43"/>
    <w:rsid w:val="00EB601E"/>
    <w:rsid w:val="00EB606A"/>
    <w:rsid w:val="00EB6086"/>
    <w:rsid w:val="00EB6401"/>
    <w:rsid w:val="00EB6476"/>
    <w:rsid w:val="00EB64B9"/>
    <w:rsid w:val="00EB64C2"/>
    <w:rsid w:val="00EB657F"/>
    <w:rsid w:val="00EB65CA"/>
    <w:rsid w:val="00EB66F8"/>
    <w:rsid w:val="00EB682C"/>
    <w:rsid w:val="00EB693B"/>
    <w:rsid w:val="00EB6994"/>
    <w:rsid w:val="00EB6BBB"/>
    <w:rsid w:val="00EB6BCF"/>
    <w:rsid w:val="00EB6BEE"/>
    <w:rsid w:val="00EB6BFF"/>
    <w:rsid w:val="00EB6C18"/>
    <w:rsid w:val="00EB6D07"/>
    <w:rsid w:val="00EB6D3D"/>
    <w:rsid w:val="00EB6D3E"/>
    <w:rsid w:val="00EB6E3E"/>
    <w:rsid w:val="00EB6EF1"/>
    <w:rsid w:val="00EB7153"/>
    <w:rsid w:val="00EB7277"/>
    <w:rsid w:val="00EB736F"/>
    <w:rsid w:val="00EB737C"/>
    <w:rsid w:val="00EB7B51"/>
    <w:rsid w:val="00EB7BA9"/>
    <w:rsid w:val="00EB7C1E"/>
    <w:rsid w:val="00EB7D75"/>
    <w:rsid w:val="00EB7DBC"/>
    <w:rsid w:val="00EB7E0F"/>
    <w:rsid w:val="00EB7E8B"/>
    <w:rsid w:val="00EC00BB"/>
    <w:rsid w:val="00EC022E"/>
    <w:rsid w:val="00EC0249"/>
    <w:rsid w:val="00EC046C"/>
    <w:rsid w:val="00EC06FF"/>
    <w:rsid w:val="00EC0B20"/>
    <w:rsid w:val="00EC0C19"/>
    <w:rsid w:val="00EC0CAB"/>
    <w:rsid w:val="00EC0CEC"/>
    <w:rsid w:val="00EC0DAF"/>
    <w:rsid w:val="00EC0E0D"/>
    <w:rsid w:val="00EC0EE7"/>
    <w:rsid w:val="00EC0F71"/>
    <w:rsid w:val="00EC0FF5"/>
    <w:rsid w:val="00EC11D6"/>
    <w:rsid w:val="00EC1205"/>
    <w:rsid w:val="00EC122D"/>
    <w:rsid w:val="00EC12C9"/>
    <w:rsid w:val="00EC136B"/>
    <w:rsid w:val="00EC1458"/>
    <w:rsid w:val="00EC15AF"/>
    <w:rsid w:val="00EC1B28"/>
    <w:rsid w:val="00EC1B53"/>
    <w:rsid w:val="00EC1C16"/>
    <w:rsid w:val="00EC1C3A"/>
    <w:rsid w:val="00EC1D12"/>
    <w:rsid w:val="00EC1D35"/>
    <w:rsid w:val="00EC1D56"/>
    <w:rsid w:val="00EC1EA1"/>
    <w:rsid w:val="00EC1EEC"/>
    <w:rsid w:val="00EC1F51"/>
    <w:rsid w:val="00EC2066"/>
    <w:rsid w:val="00EC20C6"/>
    <w:rsid w:val="00EC22E1"/>
    <w:rsid w:val="00EC22F6"/>
    <w:rsid w:val="00EC2327"/>
    <w:rsid w:val="00EC2459"/>
    <w:rsid w:val="00EC24C5"/>
    <w:rsid w:val="00EC267A"/>
    <w:rsid w:val="00EC2881"/>
    <w:rsid w:val="00EC2892"/>
    <w:rsid w:val="00EC2A02"/>
    <w:rsid w:val="00EC2B1D"/>
    <w:rsid w:val="00EC2B7E"/>
    <w:rsid w:val="00EC2B85"/>
    <w:rsid w:val="00EC2D38"/>
    <w:rsid w:val="00EC2DA4"/>
    <w:rsid w:val="00EC3173"/>
    <w:rsid w:val="00EC3183"/>
    <w:rsid w:val="00EC31A0"/>
    <w:rsid w:val="00EC32D2"/>
    <w:rsid w:val="00EC335A"/>
    <w:rsid w:val="00EC341C"/>
    <w:rsid w:val="00EC35FC"/>
    <w:rsid w:val="00EC3609"/>
    <w:rsid w:val="00EC3674"/>
    <w:rsid w:val="00EC36A1"/>
    <w:rsid w:val="00EC3940"/>
    <w:rsid w:val="00EC3A37"/>
    <w:rsid w:val="00EC3BDF"/>
    <w:rsid w:val="00EC3D86"/>
    <w:rsid w:val="00EC40C2"/>
    <w:rsid w:val="00EC4127"/>
    <w:rsid w:val="00EC4181"/>
    <w:rsid w:val="00EC4229"/>
    <w:rsid w:val="00EC4233"/>
    <w:rsid w:val="00EC44EA"/>
    <w:rsid w:val="00EC4544"/>
    <w:rsid w:val="00EC464E"/>
    <w:rsid w:val="00EC4754"/>
    <w:rsid w:val="00EC4806"/>
    <w:rsid w:val="00EC49AF"/>
    <w:rsid w:val="00EC49EA"/>
    <w:rsid w:val="00EC4A85"/>
    <w:rsid w:val="00EC4AF9"/>
    <w:rsid w:val="00EC4DB2"/>
    <w:rsid w:val="00EC5384"/>
    <w:rsid w:val="00EC53CB"/>
    <w:rsid w:val="00EC5635"/>
    <w:rsid w:val="00EC5731"/>
    <w:rsid w:val="00EC57B2"/>
    <w:rsid w:val="00EC58AC"/>
    <w:rsid w:val="00EC58F4"/>
    <w:rsid w:val="00EC595D"/>
    <w:rsid w:val="00EC5A82"/>
    <w:rsid w:val="00EC5B60"/>
    <w:rsid w:val="00EC5CAE"/>
    <w:rsid w:val="00EC5D7E"/>
    <w:rsid w:val="00EC5D90"/>
    <w:rsid w:val="00EC5E10"/>
    <w:rsid w:val="00EC5F1F"/>
    <w:rsid w:val="00EC60E6"/>
    <w:rsid w:val="00EC60EE"/>
    <w:rsid w:val="00EC6127"/>
    <w:rsid w:val="00EC650B"/>
    <w:rsid w:val="00EC6721"/>
    <w:rsid w:val="00EC672E"/>
    <w:rsid w:val="00EC69CA"/>
    <w:rsid w:val="00EC69E3"/>
    <w:rsid w:val="00EC6AE4"/>
    <w:rsid w:val="00EC6BAB"/>
    <w:rsid w:val="00EC6DA7"/>
    <w:rsid w:val="00EC6DED"/>
    <w:rsid w:val="00EC6EA6"/>
    <w:rsid w:val="00EC6FBF"/>
    <w:rsid w:val="00EC711D"/>
    <w:rsid w:val="00EC7175"/>
    <w:rsid w:val="00EC7227"/>
    <w:rsid w:val="00EC7250"/>
    <w:rsid w:val="00EC726C"/>
    <w:rsid w:val="00EC73A7"/>
    <w:rsid w:val="00EC73FE"/>
    <w:rsid w:val="00EC7458"/>
    <w:rsid w:val="00EC76CE"/>
    <w:rsid w:val="00EC76ED"/>
    <w:rsid w:val="00EC7808"/>
    <w:rsid w:val="00EC7810"/>
    <w:rsid w:val="00EC7858"/>
    <w:rsid w:val="00EC7859"/>
    <w:rsid w:val="00EC787B"/>
    <w:rsid w:val="00EC7A3E"/>
    <w:rsid w:val="00EC7A99"/>
    <w:rsid w:val="00EC7BB1"/>
    <w:rsid w:val="00EC7BFA"/>
    <w:rsid w:val="00EC7C00"/>
    <w:rsid w:val="00EC7C0C"/>
    <w:rsid w:val="00EC7D27"/>
    <w:rsid w:val="00EC7EBC"/>
    <w:rsid w:val="00ED0086"/>
    <w:rsid w:val="00ED00D8"/>
    <w:rsid w:val="00ED042E"/>
    <w:rsid w:val="00ED046F"/>
    <w:rsid w:val="00ED053F"/>
    <w:rsid w:val="00ED09DC"/>
    <w:rsid w:val="00ED0A46"/>
    <w:rsid w:val="00ED0B3D"/>
    <w:rsid w:val="00ED0B85"/>
    <w:rsid w:val="00ED0E8C"/>
    <w:rsid w:val="00ED0EAF"/>
    <w:rsid w:val="00ED0FD5"/>
    <w:rsid w:val="00ED1295"/>
    <w:rsid w:val="00ED131B"/>
    <w:rsid w:val="00ED1355"/>
    <w:rsid w:val="00ED135B"/>
    <w:rsid w:val="00ED138D"/>
    <w:rsid w:val="00ED13A0"/>
    <w:rsid w:val="00ED1576"/>
    <w:rsid w:val="00ED1773"/>
    <w:rsid w:val="00ED1810"/>
    <w:rsid w:val="00ED187B"/>
    <w:rsid w:val="00ED1AC8"/>
    <w:rsid w:val="00ED1CE3"/>
    <w:rsid w:val="00ED1D6C"/>
    <w:rsid w:val="00ED1F8A"/>
    <w:rsid w:val="00ED1FF5"/>
    <w:rsid w:val="00ED2190"/>
    <w:rsid w:val="00ED2310"/>
    <w:rsid w:val="00ED248D"/>
    <w:rsid w:val="00ED26A1"/>
    <w:rsid w:val="00ED2725"/>
    <w:rsid w:val="00ED2745"/>
    <w:rsid w:val="00ED2790"/>
    <w:rsid w:val="00ED28A5"/>
    <w:rsid w:val="00ED2A6D"/>
    <w:rsid w:val="00ED2AC6"/>
    <w:rsid w:val="00ED2B15"/>
    <w:rsid w:val="00ED2E62"/>
    <w:rsid w:val="00ED2EA1"/>
    <w:rsid w:val="00ED31C5"/>
    <w:rsid w:val="00ED31DD"/>
    <w:rsid w:val="00ED32CF"/>
    <w:rsid w:val="00ED34D1"/>
    <w:rsid w:val="00ED35FA"/>
    <w:rsid w:val="00ED367A"/>
    <w:rsid w:val="00ED367F"/>
    <w:rsid w:val="00ED395F"/>
    <w:rsid w:val="00ED39AD"/>
    <w:rsid w:val="00ED3ADD"/>
    <w:rsid w:val="00ED3B0C"/>
    <w:rsid w:val="00ED3B59"/>
    <w:rsid w:val="00ED3CB3"/>
    <w:rsid w:val="00ED3F1A"/>
    <w:rsid w:val="00ED3F75"/>
    <w:rsid w:val="00ED404B"/>
    <w:rsid w:val="00ED4195"/>
    <w:rsid w:val="00ED4206"/>
    <w:rsid w:val="00ED42B2"/>
    <w:rsid w:val="00ED4314"/>
    <w:rsid w:val="00ED4411"/>
    <w:rsid w:val="00ED4527"/>
    <w:rsid w:val="00ED45A1"/>
    <w:rsid w:val="00ED4669"/>
    <w:rsid w:val="00ED4A2D"/>
    <w:rsid w:val="00ED4A6E"/>
    <w:rsid w:val="00ED4A8E"/>
    <w:rsid w:val="00ED4B8D"/>
    <w:rsid w:val="00ED4C88"/>
    <w:rsid w:val="00ED4CD2"/>
    <w:rsid w:val="00ED5050"/>
    <w:rsid w:val="00ED519D"/>
    <w:rsid w:val="00ED51D6"/>
    <w:rsid w:val="00ED5300"/>
    <w:rsid w:val="00ED55A3"/>
    <w:rsid w:val="00ED576B"/>
    <w:rsid w:val="00ED5803"/>
    <w:rsid w:val="00ED58A2"/>
    <w:rsid w:val="00ED58C3"/>
    <w:rsid w:val="00ED5936"/>
    <w:rsid w:val="00ED59A7"/>
    <w:rsid w:val="00ED5AE0"/>
    <w:rsid w:val="00ED5C71"/>
    <w:rsid w:val="00ED5CA9"/>
    <w:rsid w:val="00ED5ED7"/>
    <w:rsid w:val="00ED5EEE"/>
    <w:rsid w:val="00ED5F59"/>
    <w:rsid w:val="00ED6070"/>
    <w:rsid w:val="00ED6096"/>
    <w:rsid w:val="00ED612A"/>
    <w:rsid w:val="00ED6273"/>
    <w:rsid w:val="00ED663C"/>
    <w:rsid w:val="00ED667C"/>
    <w:rsid w:val="00ED6691"/>
    <w:rsid w:val="00ED6955"/>
    <w:rsid w:val="00ED6985"/>
    <w:rsid w:val="00ED6A19"/>
    <w:rsid w:val="00ED6B08"/>
    <w:rsid w:val="00ED6DB6"/>
    <w:rsid w:val="00ED6FAB"/>
    <w:rsid w:val="00ED6FC4"/>
    <w:rsid w:val="00ED709E"/>
    <w:rsid w:val="00ED70FE"/>
    <w:rsid w:val="00ED74D6"/>
    <w:rsid w:val="00ED7624"/>
    <w:rsid w:val="00ED7742"/>
    <w:rsid w:val="00ED7801"/>
    <w:rsid w:val="00ED783A"/>
    <w:rsid w:val="00ED7887"/>
    <w:rsid w:val="00ED78B3"/>
    <w:rsid w:val="00ED78E0"/>
    <w:rsid w:val="00ED7966"/>
    <w:rsid w:val="00ED79CE"/>
    <w:rsid w:val="00ED7B22"/>
    <w:rsid w:val="00ED7B25"/>
    <w:rsid w:val="00ED7BE0"/>
    <w:rsid w:val="00ED7C9D"/>
    <w:rsid w:val="00ED7D72"/>
    <w:rsid w:val="00EE01CC"/>
    <w:rsid w:val="00EE021F"/>
    <w:rsid w:val="00EE0293"/>
    <w:rsid w:val="00EE045E"/>
    <w:rsid w:val="00EE046D"/>
    <w:rsid w:val="00EE04EE"/>
    <w:rsid w:val="00EE063C"/>
    <w:rsid w:val="00EE0972"/>
    <w:rsid w:val="00EE0BA8"/>
    <w:rsid w:val="00EE0DF2"/>
    <w:rsid w:val="00EE113A"/>
    <w:rsid w:val="00EE12E2"/>
    <w:rsid w:val="00EE1395"/>
    <w:rsid w:val="00EE14F3"/>
    <w:rsid w:val="00EE1760"/>
    <w:rsid w:val="00EE1B46"/>
    <w:rsid w:val="00EE1BC2"/>
    <w:rsid w:val="00EE1DF1"/>
    <w:rsid w:val="00EE21D3"/>
    <w:rsid w:val="00EE2215"/>
    <w:rsid w:val="00EE22EE"/>
    <w:rsid w:val="00EE23CA"/>
    <w:rsid w:val="00EE23F1"/>
    <w:rsid w:val="00EE2422"/>
    <w:rsid w:val="00EE24CD"/>
    <w:rsid w:val="00EE287D"/>
    <w:rsid w:val="00EE288F"/>
    <w:rsid w:val="00EE2AA0"/>
    <w:rsid w:val="00EE2CE8"/>
    <w:rsid w:val="00EE32C5"/>
    <w:rsid w:val="00EE358C"/>
    <w:rsid w:val="00EE3AFA"/>
    <w:rsid w:val="00EE3B32"/>
    <w:rsid w:val="00EE3C1C"/>
    <w:rsid w:val="00EE3C23"/>
    <w:rsid w:val="00EE3CFF"/>
    <w:rsid w:val="00EE3DE6"/>
    <w:rsid w:val="00EE3F39"/>
    <w:rsid w:val="00EE3F75"/>
    <w:rsid w:val="00EE401A"/>
    <w:rsid w:val="00EE40A1"/>
    <w:rsid w:val="00EE4135"/>
    <w:rsid w:val="00EE414C"/>
    <w:rsid w:val="00EE42E9"/>
    <w:rsid w:val="00EE43CB"/>
    <w:rsid w:val="00EE4440"/>
    <w:rsid w:val="00EE44A1"/>
    <w:rsid w:val="00EE44FE"/>
    <w:rsid w:val="00EE464D"/>
    <w:rsid w:val="00EE4B46"/>
    <w:rsid w:val="00EE4B97"/>
    <w:rsid w:val="00EE4CE3"/>
    <w:rsid w:val="00EE4D7D"/>
    <w:rsid w:val="00EE4E60"/>
    <w:rsid w:val="00EE532D"/>
    <w:rsid w:val="00EE5406"/>
    <w:rsid w:val="00EE5686"/>
    <w:rsid w:val="00EE56F0"/>
    <w:rsid w:val="00EE5995"/>
    <w:rsid w:val="00EE5C07"/>
    <w:rsid w:val="00EE5C3A"/>
    <w:rsid w:val="00EE5C71"/>
    <w:rsid w:val="00EE5D20"/>
    <w:rsid w:val="00EE5EA8"/>
    <w:rsid w:val="00EE5ED9"/>
    <w:rsid w:val="00EE5EF8"/>
    <w:rsid w:val="00EE5F63"/>
    <w:rsid w:val="00EE5F77"/>
    <w:rsid w:val="00EE608C"/>
    <w:rsid w:val="00EE623D"/>
    <w:rsid w:val="00EE6351"/>
    <w:rsid w:val="00EE64ED"/>
    <w:rsid w:val="00EE6708"/>
    <w:rsid w:val="00EE681F"/>
    <w:rsid w:val="00EE689B"/>
    <w:rsid w:val="00EE6964"/>
    <w:rsid w:val="00EE69C0"/>
    <w:rsid w:val="00EE6A1D"/>
    <w:rsid w:val="00EE6D09"/>
    <w:rsid w:val="00EE6D18"/>
    <w:rsid w:val="00EE6E42"/>
    <w:rsid w:val="00EE6EB6"/>
    <w:rsid w:val="00EE7010"/>
    <w:rsid w:val="00EE7029"/>
    <w:rsid w:val="00EE71CD"/>
    <w:rsid w:val="00EE75FF"/>
    <w:rsid w:val="00EE7682"/>
    <w:rsid w:val="00EE775D"/>
    <w:rsid w:val="00EE77E3"/>
    <w:rsid w:val="00EE7A33"/>
    <w:rsid w:val="00EE7B02"/>
    <w:rsid w:val="00EE7B24"/>
    <w:rsid w:val="00EE7CE6"/>
    <w:rsid w:val="00EE7D9A"/>
    <w:rsid w:val="00EE7E7A"/>
    <w:rsid w:val="00EF0070"/>
    <w:rsid w:val="00EF00B1"/>
    <w:rsid w:val="00EF02AD"/>
    <w:rsid w:val="00EF02BF"/>
    <w:rsid w:val="00EF02FC"/>
    <w:rsid w:val="00EF03B6"/>
    <w:rsid w:val="00EF0557"/>
    <w:rsid w:val="00EF0713"/>
    <w:rsid w:val="00EF08F0"/>
    <w:rsid w:val="00EF0D1A"/>
    <w:rsid w:val="00EF0E69"/>
    <w:rsid w:val="00EF105A"/>
    <w:rsid w:val="00EF1094"/>
    <w:rsid w:val="00EF10EE"/>
    <w:rsid w:val="00EF1230"/>
    <w:rsid w:val="00EF12C3"/>
    <w:rsid w:val="00EF12C6"/>
    <w:rsid w:val="00EF138C"/>
    <w:rsid w:val="00EF150A"/>
    <w:rsid w:val="00EF18ED"/>
    <w:rsid w:val="00EF1B21"/>
    <w:rsid w:val="00EF1F17"/>
    <w:rsid w:val="00EF1F2F"/>
    <w:rsid w:val="00EF221F"/>
    <w:rsid w:val="00EF223B"/>
    <w:rsid w:val="00EF224D"/>
    <w:rsid w:val="00EF22FA"/>
    <w:rsid w:val="00EF23BF"/>
    <w:rsid w:val="00EF23E8"/>
    <w:rsid w:val="00EF2439"/>
    <w:rsid w:val="00EF2453"/>
    <w:rsid w:val="00EF2548"/>
    <w:rsid w:val="00EF2633"/>
    <w:rsid w:val="00EF285A"/>
    <w:rsid w:val="00EF2882"/>
    <w:rsid w:val="00EF2957"/>
    <w:rsid w:val="00EF29DE"/>
    <w:rsid w:val="00EF2ABB"/>
    <w:rsid w:val="00EF2C2D"/>
    <w:rsid w:val="00EF2D71"/>
    <w:rsid w:val="00EF2EB8"/>
    <w:rsid w:val="00EF2F40"/>
    <w:rsid w:val="00EF3186"/>
    <w:rsid w:val="00EF319A"/>
    <w:rsid w:val="00EF35AD"/>
    <w:rsid w:val="00EF35DC"/>
    <w:rsid w:val="00EF36A6"/>
    <w:rsid w:val="00EF382E"/>
    <w:rsid w:val="00EF3833"/>
    <w:rsid w:val="00EF3867"/>
    <w:rsid w:val="00EF3978"/>
    <w:rsid w:val="00EF3A8B"/>
    <w:rsid w:val="00EF3AAC"/>
    <w:rsid w:val="00EF3B5E"/>
    <w:rsid w:val="00EF3C4C"/>
    <w:rsid w:val="00EF3C8B"/>
    <w:rsid w:val="00EF3E06"/>
    <w:rsid w:val="00EF3EA4"/>
    <w:rsid w:val="00EF4122"/>
    <w:rsid w:val="00EF4165"/>
    <w:rsid w:val="00EF41E4"/>
    <w:rsid w:val="00EF42A4"/>
    <w:rsid w:val="00EF4409"/>
    <w:rsid w:val="00EF489C"/>
    <w:rsid w:val="00EF4AB0"/>
    <w:rsid w:val="00EF4D25"/>
    <w:rsid w:val="00EF4D42"/>
    <w:rsid w:val="00EF4E75"/>
    <w:rsid w:val="00EF4F54"/>
    <w:rsid w:val="00EF4FD1"/>
    <w:rsid w:val="00EF5063"/>
    <w:rsid w:val="00EF50D7"/>
    <w:rsid w:val="00EF515F"/>
    <w:rsid w:val="00EF5318"/>
    <w:rsid w:val="00EF53EC"/>
    <w:rsid w:val="00EF545B"/>
    <w:rsid w:val="00EF550C"/>
    <w:rsid w:val="00EF56C7"/>
    <w:rsid w:val="00EF5889"/>
    <w:rsid w:val="00EF58BA"/>
    <w:rsid w:val="00EF598E"/>
    <w:rsid w:val="00EF5AA1"/>
    <w:rsid w:val="00EF5AD7"/>
    <w:rsid w:val="00EF5B58"/>
    <w:rsid w:val="00EF5CA0"/>
    <w:rsid w:val="00EF5D98"/>
    <w:rsid w:val="00EF5E3C"/>
    <w:rsid w:val="00EF6067"/>
    <w:rsid w:val="00EF6110"/>
    <w:rsid w:val="00EF616E"/>
    <w:rsid w:val="00EF62C2"/>
    <w:rsid w:val="00EF63D7"/>
    <w:rsid w:val="00EF6548"/>
    <w:rsid w:val="00EF656B"/>
    <w:rsid w:val="00EF656C"/>
    <w:rsid w:val="00EF6581"/>
    <w:rsid w:val="00EF6603"/>
    <w:rsid w:val="00EF665F"/>
    <w:rsid w:val="00EF67B7"/>
    <w:rsid w:val="00EF6CAC"/>
    <w:rsid w:val="00EF6CBD"/>
    <w:rsid w:val="00EF6D9A"/>
    <w:rsid w:val="00EF6DDC"/>
    <w:rsid w:val="00EF708A"/>
    <w:rsid w:val="00EF7267"/>
    <w:rsid w:val="00EF72C3"/>
    <w:rsid w:val="00EF75D5"/>
    <w:rsid w:val="00EF77A1"/>
    <w:rsid w:val="00EF7842"/>
    <w:rsid w:val="00EF794D"/>
    <w:rsid w:val="00EF79CE"/>
    <w:rsid w:val="00EF7A2E"/>
    <w:rsid w:val="00EF7A4B"/>
    <w:rsid w:val="00EF7C04"/>
    <w:rsid w:val="00EF7F4B"/>
    <w:rsid w:val="00EF7F5C"/>
    <w:rsid w:val="00F00152"/>
    <w:rsid w:val="00F0029C"/>
    <w:rsid w:val="00F00352"/>
    <w:rsid w:val="00F003CF"/>
    <w:rsid w:val="00F00404"/>
    <w:rsid w:val="00F0045B"/>
    <w:rsid w:val="00F004A2"/>
    <w:rsid w:val="00F004D6"/>
    <w:rsid w:val="00F005B6"/>
    <w:rsid w:val="00F00648"/>
    <w:rsid w:val="00F00660"/>
    <w:rsid w:val="00F0086C"/>
    <w:rsid w:val="00F008D0"/>
    <w:rsid w:val="00F00A96"/>
    <w:rsid w:val="00F00B1B"/>
    <w:rsid w:val="00F00D39"/>
    <w:rsid w:val="00F00E1A"/>
    <w:rsid w:val="00F00E1B"/>
    <w:rsid w:val="00F00E37"/>
    <w:rsid w:val="00F00E87"/>
    <w:rsid w:val="00F01029"/>
    <w:rsid w:val="00F0106B"/>
    <w:rsid w:val="00F0109C"/>
    <w:rsid w:val="00F010EE"/>
    <w:rsid w:val="00F012CC"/>
    <w:rsid w:val="00F01383"/>
    <w:rsid w:val="00F014C7"/>
    <w:rsid w:val="00F01548"/>
    <w:rsid w:val="00F01599"/>
    <w:rsid w:val="00F0167D"/>
    <w:rsid w:val="00F0177A"/>
    <w:rsid w:val="00F017A6"/>
    <w:rsid w:val="00F017FE"/>
    <w:rsid w:val="00F0191D"/>
    <w:rsid w:val="00F019D5"/>
    <w:rsid w:val="00F01E05"/>
    <w:rsid w:val="00F01E87"/>
    <w:rsid w:val="00F01F4F"/>
    <w:rsid w:val="00F02122"/>
    <w:rsid w:val="00F02386"/>
    <w:rsid w:val="00F0242C"/>
    <w:rsid w:val="00F02474"/>
    <w:rsid w:val="00F024D7"/>
    <w:rsid w:val="00F02500"/>
    <w:rsid w:val="00F0253C"/>
    <w:rsid w:val="00F02561"/>
    <w:rsid w:val="00F02635"/>
    <w:rsid w:val="00F026F0"/>
    <w:rsid w:val="00F0287A"/>
    <w:rsid w:val="00F02934"/>
    <w:rsid w:val="00F02AB2"/>
    <w:rsid w:val="00F02B49"/>
    <w:rsid w:val="00F02B86"/>
    <w:rsid w:val="00F02C7E"/>
    <w:rsid w:val="00F02D4D"/>
    <w:rsid w:val="00F02E03"/>
    <w:rsid w:val="00F02EAD"/>
    <w:rsid w:val="00F030D1"/>
    <w:rsid w:val="00F032BE"/>
    <w:rsid w:val="00F032E2"/>
    <w:rsid w:val="00F0335A"/>
    <w:rsid w:val="00F03424"/>
    <w:rsid w:val="00F037E3"/>
    <w:rsid w:val="00F0391C"/>
    <w:rsid w:val="00F03A95"/>
    <w:rsid w:val="00F03ABB"/>
    <w:rsid w:val="00F03ABF"/>
    <w:rsid w:val="00F03C3B"/>
    <w:rsid w:val="00F03FA0"/>
    <w:rsid w:val="00F03FF2"/>
    <w:rsid w:val="00F04148"/>
    <w:rsid w:val="00F0421C"/>
    <w:rsid w:val="00F0457C"/>
    <w:rsid w:val="00F045C3"/>
    <w:rsid w:val="00F04AF1"/>
    <w:rsid w:val="00F04CC7"/>
    <w:rsid w:val="00F04F9E"/>
    <w:rsid w:val="00F04FBA"/>
    <w:rsid w:val="00F051AA"/>
    <w:rsid w:val="00F05585"/>
    <w:rsid w:val="00F058D0"/>
    <w:rsid w:val="00F059FD"/>
    <w:rsid w:val="00F05A4A"/>
    <w:rsid w:val="00F05BA1"/>
    <w:rsid w:val="00F05C9C"/>
    <w:rsid w:val="00F05D33"/>
    <w:rsid w:val="00F06063"/>
    <w:rsid w:val="00F060BC"/>
    <w:rsid w:val="00F060C1"/>
    <w:rsid w:val="00F061BA"/>
    <w:rsid w:val="00F064F1"/>
    <w:rsid w:val="00F065D4"/>
    <w:rsid w:val="00F066DD"/>
    <w:rsid w:val="00F066FA"/>
    <w:rsid w:val="00F06776"/>
    <w:rsid w:val="00F0679A"/>
    <w:rsid w:val="00F067F3"/>
    <w:rsid w:val="00F06967"/>
    <w:rsid w:val="00F06A47"/>
    <w:rsid w:val="00F06E17"/>
    <w:rsid w:val="00F06EB0"/>
    <w:rsid w:val="00F06F2E"/>
    <w:rsid w:val="00F06F4F"/>
    <w:rsid w:val="00F070D5"/>
    <w:rsid w:val="00F0717F"/>
    <w:rsid w:val="00F072E8"/>
    <w:rsid w:val="00F0747A"/>
    <w:rsid w:val="00F07715"/>
    <w:rsid w:val="00F077DA"/>
    <w:rsid w:val="00F07849"/>
    <w:rsid w:val="00F07882"/>
    <w:rsid w:val="00F07883"/>
    <w:rsid w:val="00F07910"/>
    <w:rsid w:val="00F07BA6"/>
    <w:rsid w:val="00F07BEA"/>
    <w:rsid w:val="00F07C68"/>
    <w:rsid w:val="00F07C99"/>
    <w:rsid w:val="00F07D92"/>
    <w:rsid w:val="00F07DF4"/>
    <w:rsid w:val="00F07E34"/>
    <w:rsid w:val="00F07E77"/>
    <w:rsid w:val="00F07ED8"/>
    <w:rsid w:val="00F07FE0"/>
    <w:rsid w:val="00F1009D"/>
    <w:rsid w:val="00F100BE"/>
    <w:rsid w:val="00F10111"/>
    <w:rsid w:val="00F10177"/>
    <w:rsid w:val="00F102D8"/>
    <w:rsid w:val="00F1030C"/>
    <w:rsid w:val="00F103C2"/>
    <w:rsid w:val="00F1075D"/>
    <w:rsid w:val="00F10774"/>
    <w:rsid w:val="00F108C7"/>
    <w:rsid w:val="00F10A2F"/>
    <w:rsid w:val="00F10B9D"/>
    <w:rsid w:val="00F10C3F"/>
    <w:rsid w:val="00F10C52"/>
    <w:rsid w:val="00F10D83"/>
    <w:rsid w:val="00F11029"/>
    <w:rsid w:val="00F11039"/>
    <w:rsid w:val="00F11065"/>
    <w:rsid w:val="00F112EA"/>
    <w:rsid w:val="00F112FB"/>
    <w:rsid w:val="00F11361"/>
    <w:rsid w:val="00F11455"/>
    <w:rsid w:val="00F114FB"/>
    <w:rsid w:val="00F1168C"/>
    <w:rsid w:val="00F1179A"/>
    <w:rsid w:val="00F11933"/>
    <w:rsid w:val="00F11960"/>
    <w:rsid w:val="00F1196B"/>
    <w:rsid w:val="00F11A6A"/>
    <w:rsid w:val="00F11ABF"/>
    <w:rsid w:val="00F11B9D"/>
    <w:rsid w:val="00F11E9E"/>
    <w:rsid w:val="00F11FFB"/>
    <w:rsid w:val="00F120F8"/>
    <w:rsid w:val="00F12141"/>
    <w:rsid w:val="00F12228"/>
    <w:rsid w:val="00F1239B"/>
    <w:rsid w:val="00F124C4"/>
    <w:rsid w:val="00F12511"/>
    <w:rsid w:val="00F12542"/>
    <w:rsid w:val="00F125CA"/>
    <w:rsid w:val="00F1265B"/>
    <w:rsid w:val="00F126A7"/>
    <w:rsid w:val="00F126BD"/>
    <w:rsid w:val="00F1279A"/>
    <w:rsid w:val="00F127FD"/>
    <w:rsid w:val="00F12858"/>
    <w:rsid w:val="00F12868"/>
    <w:rsid w:val="00F12B7E"/>
    <w:rsid w:val="00F12BD7"/>
    <w:rsid w:val="00F12FAA"/>
    <w:rsid w:val="00F131C1"/>
    <w:rsid w:val="00F1336A"/>
    <w:rsid w:val="00F133F8"/>
    <w:rsid w:val="00F13433"/>
    <w:rsid w:val="00F134FC"/>
    <w:rsid w:val="00F1350E"/>
    <w:rsid w:val="00F13521"/>
    <w:rsid w:val="00F13B1C"/>
    <w:rsid w:val="00F13BEC"/>
    <w:rsid w:val="00F13CAC"/>
    <w:rsid w:val="00F13FE7"/>
    <w:rsid w:val="00F13FF8"/>
    <w:rsid w:val="00F1401F"/>
    <w:rsid w:val="00F1423F"/>
    <w:rsid w:val="00F14419"/>
    <w:rsid w:val="00F144A0"/>
    <w:rsid w:val="00F14504"/>
    <w:rsid w:val="00F1450A"/>
    <w:rsid w:val="00F1470E"/>
    <w:rsid w:val="00F14753"/>
    <w:rsid w:val="00F147A5"/>
    <w:rsid w:val="00F148B4"/>
    <w:rsid w:val="00F14952"/>
    <w:rsid w:val="00F14AA7"/>
    <w:rsid w:val="00F14C39"/>
    <w:rsid w:val="00F14D2C"/>
    <w:rsid w:val="00F14E0E"/>
    <w:rsid w:val="00F150CB"/>
    <w:rsid w:val="00F15194"/>
    <w:rsid w:val="00F15256"/>
    <w:rsid w:val="00F15380"/>
    <w:rsid w:val="00F153C3"/>
    <w:rsid w:val="00F15450"/>
    <w:rsid w:val="00F15823"/>
    <w:rsid w:val="00F1586B"/>
    <w:rsid w:val="00F15884"/>
    <w:rsid w:val="00F158B2"/>
    <w:rsid w:val="00F15917"/>
    <w:rsid w:val="00F15B8E"/>
    <w:rsid w:val="00F15C57"/>
    <w:rsid w:val="00F15CBD"/>
    <w:rsid w:val="00F15CCC"/>
    <w:rsid w:val="00F15F62"/>
    <w:rsid w:val="00F15F97"/>
    <w:rsid w:val="00F15FB9"/>
    <w:rsid w:val="00F15FEE"/>
    <w:rsid w:val="00F16362"/>
    <w:rsid w:val="00F165C9"/>
    <w:rsid w:val="00F16608"/>
    <w:rsid w:val="00F16665"/>
    <w:rsid w:val="00F166AA"/>
    <w:rsid w:val="00F1671C"/>
    <w:rsid w:val="00F167A0"/>
    <w:rsid w:val="00F167BF"/>
    <w:rsid w:val="00F168F4"/>
    <w:rsid w:val="00F16AEE"/>
    <w:rsid w:val="00F16DF8"/>
    <w:rsid w:val="00F16FB0"/>
    <w:rsid w:val="00F1733B"/>
    <w:rsid w:val="00F173B1"/>
    <w:rsid w:val="00F173E9"/>
    <w:rsid w:val="00F17474"/>
    <w:rsid w:val="00F17540"/>
    <w:rsid w:val="00F176FF"/>
    <w:rsid w:val="00F1790C"/>
    <w:rsid w:val="00F179CE"/>
    <w:rsid w:val="00F17CF2"/>
    <w:rsid w:val="00F17F66"/>
    <w:rsid w:val="00F2009F"/>
    <w:rsid w:val="00F20130"/>
    <w:rsid w:val="00F201CC"/>
    <w:rsid w:val="00F202C0"/>
    <w:rsid w:val="00F20487"/>
    <w:rsid w:val="00F204C0"/>
    <w:rsid w:val="00F204FD"/>
    <w:rsid w:val="00F20545"/>
    <w:rsid w:val="00F20904"/>
    <w:rsid w:val="00F20B9D"/>
    <w:rsid w:val="00F20C4E"/>
    <w:rsid w:val="00F20C7A"/>
    <w:rsid w:val="00F20C80"/>
    <w:rsid w:val="00F20DA1"/>
    <w:rsid w:val="00F20DDA"/>
    <w:rsid w:val="00F20E3C"/>
    <w:rsid w:val="00F20F65"/>
    <w:rsid w:val="00F2106D"/>
    <w:rsid w:val="00F21309"/>
    <w:rsid w:val="00F2167D"/>
    <w:rsid w:val="00F218D4"/>
    <w:rsid w:val="00F21A2D"/>
    <w:rsid w:val="00F21B60"/>
    <w:rsid w:val="00F21BAF"/>
    <w:rsid w:val="00F21CAA"/>
    <w:rsid w:val="00F21DC0"/>
    <w:rsid w:val="00F220FD"/>
    <w:rsid w:val="00F2215D"/>
    <w:rsid w:val="00F221AA"/>
    <w:rsid w:val="00F22210"/>
    <w:rsid w:val="00F2228F"/>
    <w:rsid w:val="00F22337"/>
    <w:rsid w:val="00F22514"/>
    <w:rsid w:val="00F22549"/>
    <w:rsid w:val="00F225C7"/>
    <w:rsid w:val="00F228E8"/>
    <w:rsid w:val="00F22A6C"/>
    <w:rsid w:val="00F22C18"/>
    <w:rsid w:val="00F22D4F"/>
    <w:rsid w:val="00F22D65"/>
    <w:rsid w:val="00F22DB9"/>
    <w:rsid w:val="00F22ECB"/>
    <w:rsid w:val="00F230F3"/>
    <w:rsid w:val="00F23175"/>
    <w:rsid w:val="00F23298"/>
    <w:rsid w:val="00F23341"/>
    <w:rsid w:val="00F233A9"/>
    <w:rsid w:val="00F23524"/>
    <w:rsid w:val="00F23535"/>
    <w:rsid w:val="00F235CF"/>
    <w:rsid w:val="00F235E8"/>
    <w:rsid w:val="00F2372D"/>
    <w:rsid w:val="00F2373A"/>
    <w:rsid w:val="00F23927"/>
    <w:rsid w:val="00F23C29"/>
    <w:rsid w:val="00F23D2B"/>
    <w:rsid w:val="00F23FB0"/>
    <w:rsid w:val="00F24195"/>
    <w:rsid w:val="00F2462B"/>
    <w:rsid w:val="00F2480A"/>
    <w:rsid w:val="00F24891"/>
    <w:rsid w:val="00F24ABD"/>
    <w:rsid w:val="00F24AC0"/>
    <w:rsid w:val="00F24B9F"/>
    <w:rsid w:val="00F24CA6"/>
    <w:rsid w:val="00F24D14"/>
    <w:rsid w:val="00F24EBC"/>
    <w:rsid w:val="00F25396"/>
    <w:rsid w:val="00F253C2"/>
    <w:rsid w:val="00F254A3"/>
    <w:rsid w:val="00F25631"/>
    <w:rsid w:val="00F2567B"/>
    <w:rsid w:val="00F256AE"/>
    <w:rsid w:val="00F25773"/>
    <w:rsid w:val="00F257FA"/>
    <w:rsid w:val="00F258CC"/>
    <w:rsid w:val="00F259CD"/>
    <w:rsid w:val="00F25C4D"/>
    <w:rsid w:val="00F25C6E"/>
    <w:rsid w:val="00F25DC1"/>
    <w:rsid w:val="00F26004"/>
    <w:rsid w:val="00F26721"/>
    <w:rsid w:val="00F2678D"/>
    <w:rsid w:val="00F26947"/>
    <w:rsid w:val="00F26ACA"/>
    <w:rsid w:val="00F26B01"/>
    <w:rsid w:val="00F26BAB"/>
    <w:rsid w:val="00F26EFD"/>
    <w:rsid w:val="00F26F7A"/>
    <w:rsid w:val="00F270CE"/>
    <w:rsid w:val="00F270E8"/>
    <w:rsid w:val="00F27133"/>
    <w:rsid w:val="00F2725D"/>
    <w:rsid w:val="00F27274"/>
    <w:rsid w:val="00F272BC"/>
    <w:rsid w:val="00F272C7"/>
    <w:rsid w:val="00F272E7"/>
    <w:rsid w:val="00F2749C"/>
    <w:rsid w:val="00F27658"/>
    <w:rsid w:val="00F27659"/>
    <w:rsid w:val="00F2770C"/>
    <w:rsid w:val="00F27730"/>
    <w:rsid w:val="00F2775E"/>
    <w:rsid w:val="00F2780D"/>
    <w:rsid w:val="00F2788E"/>
    <w:rsid w:val="00F27987"/>
    <w:rsid w:val="00F27A38"/>
    <w:rsid w:val="00F27A89"/>
    <w:rsid w:val="00F27ADE"/>
    <w:rsid w:val="00F27D89"/>
    <w:rsid w:val="00F27E46"/>
    <w:rsid w:val="00F27EB4"/>
    <w:rsid w:val="00F27EBF"/>
    <w:rsid w:val="00F27EF5"/>
    <w:rsid w:val="00F27FDB"/>
    <w:rsid w:val="00F30125"/>
    <w:rsid w:val="00F30127"/>
    <w:rsid w:val="00F30251"/>
    <w:rsid w:val="00F30257"/>
    <w:rsid w:val="00F303CA"/>
    <w:rsid w:val="00F303E4"/>
    <w:rsid w:val="00F304BE"/>
    <w:rsid w:val="00F305CC"/>
    <w:rsid w:val="00F30656"/>
    <w:rsid w:val="00F307CD"/>
    <w:rsid w:val="00F30986"/>
    <w:rsid w:val="00F30A1F"/>
    <w:rsid w:val="00F30AC6"/>
    <w:rsid w:val="00F30AD8"/>
    <w:rsid w:val="00F30D4B"/>
    <w:rsid w:val="00F30E2E"/>
    <w:rsid w:val="00F3109A"/>
    <w:rsid w:val="00F310F3"/>
    <w:rsid w:val="00F310F7"/>
    <w:rsid w:val="00F315D8"/>
    <w:rsid w:val="00F31620"/>
    <w:rsid w:val="00F31667"/>
    <w:rsid w:val="00F31743"/>
    <w:rsid w:val="00F3179A"/>
    <w:rsid w:val="00F317F0"/>
    <w:rsid w:val="00F318A5"/>
    <w:rsid w:val="00F31999"/>
    <w:rsid w:val="00F31A79"/>
    <w:rsid w:val="00F31B19"/>
    <w:rsid w:val="00F31B68"/>
    <w:rsid w:val="00F31D1B"/>
    <w:rsid w:val="00F31D54"/>
    <w:rsid w:val="00F31E73"/>
    <w:rsid w:val="00F32070"/>
    <w:rsid w:val="00F32124"/>
    <w:rsid w:val="00F32357"/>
    <w:rsid w:val="00F3258B"/>
    <w:rsid w:val="00F32976"/>
    <w:rsid w:val="00F329BC"/>
    <w:rsid w:val="00F32A59"/>
    <w:rsid w:val="00F32C5F"/>
    <w:rsid w:val="00F32C70"/>
    <w:rsid w:val="00F32CA0"/>
    <w:rsid w:val="00F32CFC"/>
    <w:rsid w:val="00F32D9C"/>
    <w:rsid w:val="00F32F4B"/>
    <w:rsid w:val="00F32FD3"/>
    <w:rsid w:val="00F331D6"/>
    <w:rsid w:val="00F3321B"/>
    <w:rsid w:val="00F332A4"/>
    <w:rsid w:val="00F332D6"/>
    <w:rsid w:val="00F33557"/>
    <w:rsid w:val="00F335F3"/>
    <w:rsid w:val="00F33A69"/>
    <w:rsid w:val="00F33AE5"/>
    <w:rsid w:val="00F33B5A"/>
    <w:rsid w:val="00F33C05"/>
    <w:rsid w:val="00F33D08"/>
    <w:rsid w:val="00F33DCA"/>
    <w:rsid w:val="00F341D7"/>
    <w:rsid w:val="00F3434B"/>
    <w:rsid w:val="00F34536"/>
    <w:rsid w:val="00F34711"/>
    <w:rsid w:val="00F34A02"/>
    <w:rsid w:val="00F34A45"/>
    <w:rsid w:val="00F34C31"/>
    <w:rsid w:val="00F34C33"/>
    <w:rsid w:val="00F34C3E"/>
    <w:rsid w:val="00F34C8E"/>
    <w:rsid w:val="00F34E02"/>
    <w:rsid w:val="00F34F5F"/>
    <w:rsid w:val="00F34FBD"/>
    <w:rsid w:val="00F35197"/>
    <w:rsid w:val="00F351D8"/>
    <w:rsid w:val="00F35227"/>
    <w:rsid w:val="00F35229"/>
    <w:rsid w:val="00F35485"/>
    <w:rsid w:val="00F3549E"/>
    <w:rsid w:val="00F3584B"/>
    <w:rsid w:val="00F3596F"/>
    <w:rsid w:val="00F35A30"/>
    <w:rsid w:val="00F35B0A"/>
    <w:rsid w:val="00F35C0D"/>
    <w:rsid w:val="00F35D56"/>
    <w:rsid w:val="00F35D7F"/>
    <w:rsid w:val="00F35DD8"/>
    <w:rsid w:val="00F35E39"/>
    <w:rsid w:val="00F35EF0"/>
    <w:rsid w:val="00F3627C"/>
    <w:rsid w:val="00F3636B"/>
    <w:rsid w:val="00F36465"/>
    <w:rsid w:val="00F365A7"/>
    <w:rsid w:val="00F36690"/>
    <w:rsid w:val="00F36750"/>
    <w:rsid w:val="00F3681C"/>
    <w:rsid w:val="00F368EC"/>
    <w:rsid w:val="00F36993"/>
    <w:rsid w:val="00F36BB3"/>
    <w:rsid w:val="00F36C6C"/>
    <w:rsid w:val="00F36E62"/>
    <w:rsid w:val="00F36F0C"/>
    <w:rsid w:val="00F3704F"/>
    <w:rsid w:val="00F370A8"/>
    <w:rsid w:val="00F372C9"/>
    <w:rsid w:val="00F37492"/>
    <w:rsid w:val="00F3769D"/>
    <w:rsid w:val="00F37776"/>
    <w:rsid w:val="00F377BC"/>
    <w:rsid w:val="00F37AA7"/>
    <w:rsid w:val="00F37B08"/>
    <w:rsid w:val="00F37B2E"/>
    <w:rsid w:val="00F37EA9"/>
    <w:rsid w:val="00F37EE1"/>
    <w:rsid w:val="00F400C9"/>
    <w:rsid w:val="00F40186"/>
    <w:rsid w:val="00F401FD"/>
    <w:rsid w:val="00F402A9"/>
    <w:rsid w:val="00F4032F"/>
    <w:rsid w:val="00F403A6"/>
    <w:rsid w:val="00F404F4"/>
    <w:rsid w:val="00F40580"/>
    <w:rsid w:val="00F406A2"/>
    <w:rsid w:val="00F40722"/>
    <w:rsid w:val="00F40859"/>
    <w:rsid w:val="00F409BD"/>
    <w:rsid w:val="00F40BFD"/>
    <w:rsid w:val="00F40CFE"/>
    <w:rsid w:val="00F40E7E"/>
    <w:rsid w:val="00F40F6F"/>
    <w:rsid w:val="00F41030"/>
    <w:rsid w:val="00F4143E"/>
    <w:rsid w:val="00F4155A"/>
    <w:rsid w:val="00F415F9"/>
    <w:rsid w:val="00F41CC5"/>
    <w:rsid w:val="00F41D25"/>
    <w:rsid w:val="00F41DB8"/>
    <w:rsid w:val="00F41DC4"/>
    <w:rsid w:val="00F41DE1"/>
    <w:rsid w:val="00F41E7B"/>
    <w:rsid w:val="00F42018"/>
    <w:rsid w:val="00F42133"/>
    <w:rsid w:val="00F4214D"/>
    <w:rsid w:val="00F4228A"/>
    <w:rsid w:val="00F423C2"/>
    <w:rsid w:val="00F424ED"/>
    <w:rsid w:val="00F42840"/>
    <w:rsid w:val="00F429FF"/>
    <w:rsid w:val="00F42A80"/>
    <w:rsid w:val="00F42AFF"/>
    <w:rsid w:val="00F42E3C"/>
    <w:rsid w:val="00F42E80"/>
    <w:rsid w:val="00F42EDF"/>
    <w:rsid w:val="00F42EEE"/>
    <w:rsid w:val="00F43248"/>
    <w:rsid w:val="00F43354"/>
    <w:rsid w:val="00F4338B"/>
    <w:rsid w:val="00F433F8"/>
    <w:rsid w:val="00F433FE"/>
    <w:rsid w:val="00F434B0"/>
    <w:rsid w:val="00F434F6"/>
    <w:rsid w:val="00F435D9"/>
    <w:rsid w:val="00F43627"/>
    <w:rsid w:val="00F43781"/>
    <w:rsid w:val="00F437BA"/>
    <w:rsid w:val="00F43996"/>
    <w:rsid w:val="00F439B3"/>
    <w:rsid w:val="00F43A11"/>
    <w:rsid w:val="00F43AAB"/>
    <w:rsid w:val="00F43B5A"/>
    <w:rsid w:val="00F43C0E"/>
    <w:rsid w:val="00F43C44"/>
    <w:rsid w:val="00F43CBF"/>
    <w:rsid w:val="00F43CE1"/>
    <w:rsid w:val="00F43D96"/>
    <w:rsid w:val="00F43FDF"/>
    <w:rsid w:val="00F44140"/>
    <w:rsid w:val="00F441FE"/>
    <w:rsid w:val="00F442EB"/>
    <w:rsid w:val="00F44619"/>
    <w:rsid w:val="00F4463C"/>
    <w:rsid w:val="00F446D1"/>
    <w:rsid w:val="00F4470C"/>
    <w:rsid w:val="00F447A4"/>
    <w:rsid w:val="00F448E7"/>
    <w:rsid w:val="00F449CF"/>
    <w:rsid w:val="00F44C79"/>
    <w:rsid w:val="00F44CF6"/>
    <w:rsid w:val="00F44EA5"/>
    <w:rsid w:val="00F45003"/>
    <w:rsid w:val="00F4512E"/>
    <w:rsid w:val="00F452A6"/>
    <w:rsid w:val="00F455A7"/>
    <w:rsid w:val="00F457E2"/>
    <w:rsid w:val="00F458C2"/>
    <w:rsid w:val="00F45DF8"/>
    <w:rsid w:val="00F45E05"/>
    <w:rsid w:val="00F46139"/>
    <w:rsid w:val="00F462F1"/>
    <w:rsid w:val="00F463F8"/>
    <w:rsid w:val="00F46507"/>
    <w:rsid w:val="00F465EF"/>
    <w:rsid w:val="00F46688"/>
    <w:rsid w:val="00F466C4"/>
    <w:rsid w:val="00F4692E"/>
    <w:rsid w:val="00F46B64"/>
    <w:rsid w:val="00F46BC0"/>
    <w:rsid w:val="00F46C23"/>
    <w:rsid w:val="00F46EB2"/>
    <w:rsid w:val="00F4712F"/>
    <w:rsid w:val="00F471D5"/>
    <w:rsid w:val="00F473A5"/>
    <w:rsid w:val="00F473EB"/>
    <w:rsid w:val="00F473F3"/>
    <w:rsid w:val="00F47473"/>
    <w:rsid w:val="00F4749F"/>
    <w:rsid w:val="00F474B8"/>
    <w:rsid w:val="00F474E1"/>
    <w:rsid w:val="00F4752E"/>
    <w:rsid w:val="00F4755F"/>
    <w:rsid w:val="00F478CA"/>
    <w:rsid w:val="00F47BFC"/>
    <w:rsid w:val="00F47C02"/>
    <w:rsid w:val="00F47C3A"/>
    <w:rsid w:val="00F47CC3"/>
    <w:rsid w:val="00F47CE2"/>
    <w:rsid w:val="00F47D3C"/>
    <w:rsid w:val="00F47EA0"/>
    <w:rsid w:val="00F49467"/>
    <w:rsid w:val="00F5015B"/>
    <w:rsid w:val="00F5018E"/>
    <w:rsid w:val="00F501F3"/>
    <w:rsid w:val="00F5023E"/>
    <w:rsid w:val="00F5075A"/>
    <w:rsid w:val="00F507BF"/>
    <w:rsid w:val="00F50A98"/>
    <w:rsid w:val="00F50B05"/>
    <w:rsid w:val="00F50BAF"/>
    <w:rsid w:val="00F50DF6"/>
    <w:rsid w:val="00F50DFB"/>
    <w:rsid w:val="00F50E5F"/>
    <w:rsid w:val="00F50EE7"/>
    <w:rsid w:val="00F51050"/>
    <w:rsid w:val="00F512ED"/>
    <w:rsid w:val="00F51460"/>
    <w:rsid w:val="00F5160F"/>
    <w:rsid w:val="00F51667"/>
    <w:rsid w:val="00F518C5"/>
    <w:rsid w:val="00F518E5"/>
    <w:rsid w:val="00F5193F"/>
    <w:rsid w:val="00F51ABC"/>
    <w:rsid w:val="00F51AF9"/>
    <w:rsid w:val="00F51D75"/>
    <w:rsid w:val="00F51D80"/>
    <w:rsid w:val="00F51EB9"/>
    <w:rsid w:val="00F51EC2"/>
    <w:rsid w:val="00F51F19"/>
    <w:rsid w:val="00F51FED"/>
    <w:rsid w:val="00F520E9"/>
    <w:rsid w:val="00F5211A"/>
    <w:rsid w:val="00F521DC"/>
    <w:rsid w:val="00F52273"/>
    <w:rsid w:val="00F523E0"/>
    <w:rsid w:val="00F524D2"/>
    <w:rsid w:val="00F526EE"/>
    <w:rsid w:val="00F527A8"/>
    <w:rsid w:val="00F527EC"/>
    <w:rsid w:val="00F5281A"/>
    <w:rsid w:val="00F528DA"/>
    <w:rsid w:val="00F52BB8"/>
    <w:rsid w:val="00F52BC7"/>
    <w:rsid w:val="00F52E7C"/>
    <w:rsid w:val="00F53009"/>
    <w:rsid w:val="00F53199"/>
    <w:rsid w:val="00F5320E"/>
    <w:rsid w:val="00F53251"/>
    <w:rsid w:val="00F53389"/>
    <w:rsid w:val="00F53704"/>
    <w:rsid w:val="00F53A1D"/>
    <w:rsid w:val="00F54030"/>
    <w:rsid w:val="00F5405B"/>
    <w:rsid w:val="00F5411D"/>
    <w:rsid w:val="00F5412A"/>
    <w:rsid w:val="00F5413A"/>
    <w:rsid w:val="00F541A1"/>
    <w:rsid w:val="00F541E5"/>
    <w:rsid w:val="00F542B2"/>
    <w:rsid w:val="00F54594"/>
    <w:rsid w:val="00F546FE"/>
    <w:rsid w:val="00F54865"/>
    <w:rsid w:val="00F54AEA"/>
    <w:rsid w:val="00F54B09"/>
    <w:rsid w:val="00F54BEA"/>
    <w:rsid w:val="00F54CC2"/>
    <w:rsid w:val="00F54D65"/>
    <w:rsid w:val="00F54D82"/>
    <w:rsid w:val="00F54DE4"/>
    <w:rsid w:val="00F54E6A"/>
    <w:rsid w:val="00F54E8A"/>
    <w:rsid w:val="00F54F09"/>
    <w:rsid w:val="00F54F1E"/>
    <w:rsid w:val="00F550A6"/>
    <w:rsid w:val="00F554FD"/>
    <w:rsid w:val="00F55656"/>
    <w:rsid w:val="00F5568B"/>
    <w:rsid w:val="00F55693"/>
    <w:rsid w:val="00F556F7"/>
    <w:rsid w:val="00F55802"/>
    <w:rsid w:val="00F559A8"/>
    <w:rsid w:val="00F55C21"/>
    <w:rsid w:val="00F55D6C"/>
    <w:rsid w:val="00F55DB1"/>
    <w:rsid w:val="00F55E5F"/>
    <w:rsid w:val="00F55E8B"/>
    <w:rsid w:val="00F55F6D"/>
    <w:rsid w:val="00F55F91"/>
    <w:rsid w:val="00F5600E"/>
    <w:rsid w:val="00F561E5"/>
    <w:rsid w:val="00F563B3"/>
    <w:rsid w:val="00F5652E"/>
    <w:rsid w:val="00F56575"/>
    <w:rsid w:val="00F5665D"/>
    <w:rsid w:val="00F56770"/>
    <w:rsid w:val="00F568F8"/>
    <w:rsid w:val="00F56975"/>
    <w:rsid w:val="00F569A1"/>
    <w:rsid w:val="00F569B1"/>
    <w:rsid w:val="00F56A0A"/>
    <w:rsid w:val="00F56BEC"/>
    <w:rsid w:val="00F56C4F"/>
    <w:rsid w:val="00F56CA7"/>
    <w:rsid w:val="00F56E45"/>
    <w:rsid w:val="00F56E6B"/>
    <w:rsid w:val="00F56EB4"/>
    <w:rsid w:val="00F56FB0"/>
    <w:rsid w:val="00F57106"/>
    <w:rsid w:val="00F5716F"/>
    <w:rsid w:val="00F57192"/>
    <w:rsid w:val="00F5729E"/>
    <w:rsid w:val="00F5736B"/>
    <w:rsid w:val="00F573AF"/>
    <w:rsid w:val="00F573C1"/>
    <w:rsid w:val="00F57410"/>
    <w:rsid w:val="00F5741B"/>
    <w:rsid w:val="00F574CC"/>
    <w:rsid w:val="00F57553"/>
    <w:rsid w:val="00F57684"/>
    <w:rsid w:val="00F576FD"/>
    <w:rsid w:val="00F57880"/>
    <w:rsid w:val="00F57943"/>
    <w:rsid w:val="00F579E9"/>
    <w:rsid w:val="00F579FF"/>
    <w:rsid w:val="00F57AB0"/>
    <w:rsid w:val="00F57B40"/>
    <w:rsid w:val="00F57D6A"/>
    <w:rsid w:val="00F57DE1"/>
    <w:rsid w:val="00F601D8"/>
    <w:rsid w:val="00F6062D"/>
    <w:rsid w:val="00F606A7"/>
    <w:rsid w:val="00F606C8"/>
    <w:rsid w:val="00F608AB"/>
    <w:rsid w:val="00F60990"/>
    <w:rsid w:val="00F6099A"/>
    <w:rsid w:val="00F60B69"/>
    <w:rsid w:val="00F60BE7"/>
    <w:rsid w:val="00F60DCF"/>
    <w:rsid w:val="00F6102F"/>
    <w:rsid w:val="00F61267"/>
    <w:rsid w:val="00F612CD"/>
    <w:rsid w:val="00F6159C"/>
    <w:rsid w:val="00F616EB"/>
    <w:rsid w:val="00F61714"/>
    <w:rsid w:val="00F619E7"/>
    <w:rsid w:val="00F61A9C"/>
    <w:rsid w:val="00F61B34"/>
    <w:rsid w:val="00F61D51"/>
    <w:rsid w:val="00F61E29"/>
    <w:rsid w:val="00F61E74"/>
    <w:rsid w:val="00F61F7D"/>
    <w:rsid w:val="00F62079"/>
    <w:rsid w:val="00F62197"/>
    <w:rsid w:val="00F621CF"/>
    <w:rsid w:val="00F6238F"/>
    <w:rsid w:val="00F6244B"/>
    <w:rsid w:val="00F62A1A"/>
    <w:rsid w:val="00F62A22"/>
    <w:rsid w:val="00F62A99"/>
    <w:rsid w:val="00F62AC3"/>
    <w:rsid w:val="00F62AE6"/>
    <w:rsid w:val="00F62BCD"/>
    <w:rsid w:val="00F62BEF"/>
    <w:rsid w:val="00F62C77"/>
    <w:rsid w:val="00F62CCA"/>
    <w:rsid w:val="00F62CD3"/>
    <w:rsid w:val="00F62F5A"/>
    <w:rsid w:val="00F63105"/>
    <w:rsid w:val="00F6310E"/>
    <w:rsid w:val="00F632AE"/>
    <w:rsid w:val="00F6354E"/>
    <w:rsid w:val="00F635CD"/>
    <w:rsid w:val="00F6372F"/>
    <w:rsid w:val="00F638B4"/>
    <w:rsid w:val="00F638C2"/>
    <w:rsid w:val="00F638C5"/>
    <w:rsid w:val="00F6398C"/>
    <w:rsid w:val="00F6399C"/>
    <w:rsid w:val="00F63B5A"/>
    <w:rsid w:val="00F63C4C"/>
    <w:rsid w:val="00F63CA5"/>
    <w:rsid w:val="00F63CD0"/>
    <w:rsid w:val="00F63CD3"/>
    <w:rsid w:val="00F63E59"/>
    <w:rsid w:val="00F63F81"/>
    <w:rsid w:val="00F64130"/>
    <w:rsid w:val="00F64379"/>
    <w:rsid w:val="00F6443B"/>
    <w:rsid w:val="00F64449"/>
    <w:rsid w:val="00F64471"/>
    <w:rsid w:val="00F6476B"/>
    <w:rsid w:val="00F6480B"/>
    <w:rsid w:val="00F64A44"/>
    <w:rsid w:val="00F64BE0"/>
    <w:rsid w:val="00F64E48"/>
    <w:rsid w:val="00F64F4F"/>
    <w:rsid w:val="00F650C3"/>
    <w:rsid w:val="00F6560F"/>
    <w:rsid w:val="00F657E0"/>
    <w:rsid w:val="00F658F6"/>
    <w:rsid w:val="00F65B54"/>
    <w:rsid w:val="00F65B5E"/>
    <w:rsid w:val="00F65B68"/>
    <w:rsid w:val="00F65C70"/>
    <w:rsid w:val="00F65DC8"/>
    <w:rsid w:val="00F65FCE"/>
    <w:rsid w:val="00F66055"/>
    <w:rsid w:val="00F660D2"/>
    <w:rsid w:val="00F66139"/>
    <w:rsid w:val="00F661B7"/>
    <w:rsid w:val="00F6625E"/>
    <w:rsid w:val="00F6648C"/>
    <w:rsid w:val="00F6652E"/>
    <w:rsid w:val="00F66581"/>
    <w:rsid w:val="00F665DF"/>
    <w:rsid w:val="00F666D7"/>
    <w:rsid w:val="00F667EA"/>
    <w:rsid w:val="00F66846"/>
    <w:rsid w:val="00F66929"/>
    <w:rsid w:val="00F669E2"/>
    <w:rsid w:val="00F66A08"/>
    <w:rsid w:val="00F66AB9"/>
    <w:rsid w:val="00F66B9F"/>
    <w:rsid w:val="00F66BC6"/>
    <w:rsid w:val="00F66C92"/>
    <w:rsid w:val="00F66CA0"/>
    <w:rsid w:val="00F6707B"/>
    <w:rsid w:val="00F671A1"/>
    <w:rsid w:val="00F671C2"/>
    <w:rsid w:val="00F67221"/>
    <w:rsid w:val="00F67376"/>
    <w:rsid w:val="00F6744A"/>
    <w:rsid w:val="00F674E3"/>
    <w:rsid w:val="00F6759C"/>
    <w:rsid w:val="00F676B1"/>
    <w:rsid w:val="00F6772A"/>
    <w:rsid w:val="00F67846"/>
    <w:rsid w:val="00F67899"/>
    <w:rsid w:val="00F679EE"/>
    <w:rsid w:val="00F67ADF"/>
    <w:rsid w:val="00F67B42"/>
    <w:rsid w:val="00F67C42"/>
    <w:rsid w:val="00F67F79"/>
    <w:rsid w:val="00F67F95"/>
    <w:rsid w:val="00F67F9F"/>
    <w:rsid w:val="00F70216"/>
    <w:rsid w:val="00F702D5"/>
    <w:rsid w:val="00F702FD"/>
    <w:rsid w:val="00F70315"/>
    <w:rsid w:val="00F7047F"/>
    <w:rsid w:val="00F70481"/>
    <w:rsid w:val="00F7092B"/>
    <w:rsid w:val="00F70937"/>
    <w:rsid w:val="00F70A03"/>
    <w:rsid w:val="00F70A27"/>
    <w:rsid w:val="00F70A29"/>
    <w:rsid w:val="00F70A62"/>
    <w:rsid w:val="00F70B72"/>
    <w:rsid w:val="00F70BA6"/>
    <w:rsid w:val="00F70DEF"/>
    <w:rsid w:val="00F70E9D"/>
    <w:rsid w:val="00F70EA3"/>
    <w:rsid w:val="00F70F87"/>
    <w:rsid w:val="00F710B4"/>
    <w:rsid w:val="00F712BE"/>
    <w:rsid w:val="00F712EB"/>
    <w:rsid w:val="00F71338"/>
    <w:rsid w:val="00F71398"/>
    <w:rsid w:val="00F713BD"/>
    <w:rsid w:val="00F71515"/>
    <w:rsid w:val="00F71586"/>
    <w:rsid w:val="00F716C6"/>
    <w:rsid w:val="00F7178D"/>
    <w:rsid w:val="00F71855"/>
    <w:rsid w:val="00F718C3"/>
    <w:rsid w:val="00F718ED"/>
    <w:rsid w:val="00F71A08"/>
    <w:rsid w:val="00F71A7E"/>
    <w:rsid w:val="00F71E77"/>
    <w:rsid w:val="00F71F04"/>
    <w:rsid w:val="00F71F6F"/>
    <w:rsid w:val="00F72005"/>
    <w:rsid w:val="00F722CB"/>
    <w:rsid w:val="00F72301"/>
    <w:rsid w:val="00F72311"/>
    <w:rsid w:val="00F723CE"/>
    <w:rsid w:val="00F72451"/>
    <w:rsid w:val="00F724EC"/>
    <w:rsid w:val="00F72500"/>
    <w:rsid w:val="00F72657"/>
    <w:rsid w:val="00F7278D"/>
    <w:rsid w:val="00F728FB"/>
    <w:rsid w:val="00F7290E"/>
    <w:rsid w:val="00F7294C"/>
    <w:rsid w:val="00F72B61"/>
    <w:rsid w:val="00F72C0A"/>
    <w:rsid w:val="00F72C5F"/>
    <w:rsid w:val="00F72DE0"/>
    <w:rsid w:val="00F72E5B"/>
    <w:rsid w:val="00F72E8A"/>
    <w:rsid w:val="00F7328F"/>
    <w:rsid w:val="00F7331D"/>
    <w:rsid w:val="00F733C3"/>
    <w:rsid w:val="00F73549"/>
    <w:rsid w:val="00F73627"/>
    <w:rsid w:val="00F73710"/>
    <w:rsid w:val="00F737B8"/>
    <w:rsid w:val="00F737F5"/>
    <w:rsid w:val="00F73846"/>
    <w:rsid w:val="00F73858"/>
    <w:rsid w:val="00F73944"/>
    <w:rsid w:val="00F739D9"/>
    <w:rsid w:val="00F73A3A"/>
    <w:rsid w:val="00F73CDB"/>
    <w:rsid w:val="00F73FFA"/>
    <w:rsid w:val="00F7440C"/>
    <w:rsid w:val="00F74530"/>
    <w:rsid w:val="00F745AB"/>
    <w:rsid w:val="00F745B1"/>
    <w:rsid w:val="00F7480A"/>
    <w:rsid w:val="00F7491C"/>
    <w:rsid w:val="00F74A76"/>
    <w:rsid w:val="00F74AD7"/>
    <w:rsid w:val="00F74B5F"/>
    <w:rsid w:val="00F74F87"/>
    <w:rsid w:val="00F7505C"/>
    <w:rsid w:val="00F75347"/>
    <w:rsid w:val="00F7539A"/>
    <w:rsid w:val="00F756F7"/>
    <w:rsid w:val="00F75782"/>
    <w:rsid w:val="00F75BAC"/>
    <w:rsid w:val="00F75C63"/>
    <w:rsid w:val="00F75D9A"/>
    <w:rsid w:val="00F75DEA"/>
    <w:rsid w:val="00F7661A"/>
    <w:rsid w:val="00F7680D"/>
    <w:rsid w:val="00F76936"/>
    <w:rsid w:val="00F76A04"/>
    <w:rsid w:val="00F76D3C"/>
    <w:rsid w:val="00F76EF8"/>
    <w:rsid w:val="00F76F05"/>
    <w:rsid w:val="00F7715B"/>
    <w:rsid w:val="00F7715D"/>
    <w:rsid w:val="00F77272"/>
    <w:rsid w:val="00F772B6"/>
    <w:rsid w:val="00F775F4"/>
    <w:rsid w:val="00F77864"/>
    <w:rsid w:val="00F77C06"/>
    <w:rsid w:val="00F77D2F"/>
    <w:rsid w:val="00F77E5D"/>
    <w:rsid w:val="00F77F07"/>
    <w:rsid w:val="00F77F74"/>
    <w:rsid w:val="00F77F97"/>
    <w:rsid w:val="00F8000C"/>
    <w:rsid w:val="00F800F4"/>
    <w:rsid w:val="00F802D6"/>
    <w:rsid w:val="00F8038E"/>
    <w:rsid w:val="00F803A5"/>
    <w:rsid w:val="00F807D4"/>
    <w:rsid w:val="00F80C1D"/>
    <w:rsid w:val="00F80DBB"/>
    <w:rsid w:val="00F80DDA"/>
    <w:rsid w:val="00F80E5E"/>
    <w:rsid w:val="00F80EF7"/>
    <w:rsid w:val="00F8109F"/>
    <w:rsid w:val="00F81130"/>
    <w:rsid w:val="00F81458"/>
    <w:rsid w:val="00F814CC"/>
    <w:rsid w:val="00F81551"/>
    <w:rsid w:val="00F8159D"/>
    <w:rsid w:val="00F817B5"/>
    <w:rsid w:val="00F818CC"/>
    <w:rsid w:val="00F818D2"/>
    <w:rsid w:val="00F818DF"/>
    <w:rsid w:val="00F818F7"/>
    <w:rsid w:val="00F8193E"/>
    <w:rsid w:val="00F81AA1"/>
    <w:rsid w:val="00F81C63"/>
    <w:rsid w:val="00F81DD6"/>
    <w:rsid w:val="00F81EAC"/>
    <w:rsid w:val="00F81F72"/>
    <w:rsid w:val="00F82062"/>
    <w:rsid w:val="00F820B1"/>
    <w:rsid w:val="00F8213A"/>
    <w:rsid w:val="00F82208"/>
    <w:rsid w:val="00F823CF"/>
    <w:rsid w:val="00F823D2"/>
    <w:rsid w:val="00F82448"/>
    <w:rsid w:val="00F824B9"/>
    <w:rsid w:val="00F827CC"/>
    <w:rsid w:val="00F829FF"/>
    <w:rsid w:val="00F82AA2"/>
    <w:rsid w:val="00F82CD2"/>
    <w:rsid w:val="00F82EFE"/>
    <w:rsid w:val="00F82F29"/>
    <w:rsid w:val="00F8325D"/>
    <w:rsid w:val="00F832A9"/>
    <w:rsid w:val="00F832B0"/>
    <w:rsid w:val="00F83305"/>
    <w:rsid w:val="00F83307"/>
    <w:rsid w:val="00F833A5"/>
    <w:rsid w:val="00F83485"/>
    <w:rsid w:val="00F837F3"/>
    <w:rsid w:val="00F83830"/>
    <w:rsid w:val="00F838B7"/>
    <w:rsid w:val="00F83AF2"/>
    <w:rsid w:val="00F83B1E"/>
    <w:rsid w:val="00F83DA4"/>
    <w:rsid w:val="00F83DD6"/>
    <w:rsid w:val="00F83F2A"/>
    <w:rsid w:val="00F83FFA"/>
    <w:rsid w:val="00F842ED"/>
    <w:rsid w:val="00F844D3"/>
    <w:rsid w:val="00F84629"/>
    <w:rsid w:val="00F847E0"/>
    <w:rsid w:val="00F84829"/>
    <w:rsid w:val="00F848D9"/>
    <w:rsid w:val="00F84918"/>
    <w:rsid w:val="00F84B66"/>
    <w:rsid w:val="00F84B71"/>
    <w:rsid w:val="00F84BE5"/>
    <w:rsid w:val="00F84C9B"/>
    <w:rsid w:val="00F84DE9"/>
    <w:rsid w:val="00F84E24"/>
    <w:rsid w:val="00F84EC8"/>
    <w:rsid w:val="00F84F0E"/>
    <w:rsid w:val="00F84F93"/>
    <w:rsid w:val="00F84FEE"/>
    <w:rsid w:val="00F8507E"/>
    <w:rsid w:val="00F85105"/>
    <w:rsid w:val="00F8519E"/>
    <w:rsid w:val="00F8526B"/>
    <w:rsid w:val="00F85347"/>
    <w:rsid w:val="00F8550E"/>
    <w:rsid w:val="00F85581"/>
    <w:rsid w:val="00F855A9"/>
    <w:rsid w:val="00F855BE"/>
    <w:rsid w:val="00F85804"/>
    <w:rsid w:val="00F85BC1"/>
    <w:rsid w:val="00F85C43"/>
    <w:rsid w:val="00F85FF5"/>
    <w:rsid w:val="00F86083"/>
    <w:rsid w:val="00F861F5"/>
    <w:rsid w:val="00F8641D"/>
    <w:rsid w:val="00F865E7"/>
    <w:rsid w:val="00F86682"/>
    <w:rsid w:val="00F867FE"/>
    <w:rsid w:val="00F86889"/>
    <w:rsid w:val="00F86935"/>
    <w:rsid w:val="00F86BB4"/>
    <w:rsid w:val="00F86C82"/>
    <w:rsid w:val="00F86CDC"/>
    <w:rsid w:val="00F86D20"/>
    <w:rsid w:val="00F86D39"/>
    <w:rsid w:val="00F86D42"/>
    <w:rsid w:val="00F86E56"/>
    <w:rsid w:val="00F870F5"/>
    <w:rsid w:val="00F87186"/>
    <w:rsid w:val="00F8734B"/>
    <w:rsid w:val="00F873F7"/>
    <w:rsid w:val="00F87466"/>
    <w:rsid w:val="00F874C7"/>
    <w:rsid w:val="00F874E9"/>
    <w:rsid w:val="00F875FB"/>
    <w:rsid w:val="00F877AF"/>
    <w:rsid w:val="00F87812"/>
    <w:rsid w:val="00F8791D"/>
    <w:rsid w:val="00F87B2B"/>
    <w:rsid w:val="00F87BF0"/>
    <w:rsid w:val="00F87DBC"/>
    <w:rsid w:val="00F9009D"/>
    <w:rsid w:val="00F902D2"/>
    <w:rsid w:val="00F90341"/>
    <w:rsid w:val="00F9076C"/>
    <w:rsid w:val="00F90787"/>
    <w:rsid w:val="00F908D5"/>
    <w:rsid w:val="00F908DB"/>
    <w:rsid w:val="00F909AD"/>
    <w:rsid w:val="00F90A3F"/>
    <w:rsid w:val="00F90B12"/>
    <w:rsid w:val="00F90CBD"/>
    <w:rsid w:val="00F90F9D"/>
    <w:rsid w:val="00F9109E"/>
    <w:rsid w:val="00F910F8"/>
    <w:rsid w:val="00F911CF"/>
    <w:rsid w:val="00F912EF"/>
    <w:rsid w:val="00F9177E"/>
    <w:rsid w:val="00F91954"/>
    <w:rsid w:val="00F919E2"/>
    <w:rsid w:val="00F91C0F"/>
    <w:rsid w:val="00F91C75"/>
    <w:rsid w:val="00F91DC5"/>
    <w:rsid w:val="00F91DD2"/>
    <w:rsid w:val="00F91E4F"/>
    <w:rsid w:val="00F91EEE"/>
    <w:rsid w:val="00F91FDF"/>
    <w:rsid w:val="00F921B3"/>
    <w:rsid w:val="00F92211"/>
    <w:rsid w:val="00F92240"/>
    <w:rsid w:val="00F92380"/>
    <w:rsid w:val="00F9245A"/>
    <w:rsid w:val="00F92686"/>
    <w:rsid w:val="00F9272F"/>
    <w:rsid w:val="00F929C6"/>
    <w:rsid w:val="00F92AA1"/>
    <w:rsid w:val="00F92CD6"/>
    <w:rsid w:val="00F92DC6"/>
    <w:rsid w:val="00F92F7A"/>
    <w:rsid w:val="00F92FDC"/>
    <w:rsid w:val="00F931D2"/>
    <w:rsid w:val="00F93274"/>
    <w:rsid w:val="00F9340F"/>
    <w:rsid w:val="00F93431"/>
    <w:rsid w:val="00F935AD"/>
    <w:rsid w:val="00F93720"/>
    <w:rsid w:val="00F93841"/>
    <w:rsid w:val="00F9391E"/>
    <w:rsid w:val="00F93A4A"/>
    <w:rsid w:val="00F93A55"/>
    <w:rsid w:val="00F93A97"/>
    <w:rsid w:val="00F93C8B"/>
    <w:rsid w:val="00F93CDE"/>
    <w:rsid w:val="00F93D27"/>
    <w:rsid w:val="00F93E59"/>
    <w:rsid w:val="00F93F93"/>
    <w:rsid w:val="00F940ED"/>
    <w:rsid w:val="00F941F6"/>
    <w:rsid w:val="00F9421E"/>
    <w:rsid w:val="00F9436E"/>
    <w:rsid w:val="00F943C3"/>
    <w:rsid w:val="00F944F0"/>
    <w:rsid w:val="00F945DA"/>
    <w:rsid w:val="00F946D3"/>
    <w:rsid w:val="00F949ED"/>
    <w:rsid w:val="00F94BBE"/>
    <w:rsid w:val="00F94C4E"/>
    <w:rsid w:val="00F94C8B"/>
    <w:rsid w:val="00F94F19"/>
    <w:rsid w:val="00F94F43"/>
    <w:rsid w:val="00F94FD5"/>
    <w:rsid w:val="00F95069"/>
    <w:rsid w:val="00F950B0"/>
    <w:rsid w:val="00F951EB"/>
    <w:rsid w:val="00F95278"/>
    <w:rsid w:val="00F9542D"/>
    <w:rsid w:val="00F95436"/>
    <w:rsid w:val="00F95564"/>
    <w:rsid w:val="00F95580"/>
    <w:rsid w:val="00F95620"/>
    <w:rsid w:val="00F9564B"/>
    <w:rsid w:val="00F95681"/>
    <w:rsid w:val="00F957A2"/>
    <w:rsid w:val="00F959D7"/>
    <w:rsid w:val="00F959FA"/>
    <w:rsid w:val="00F95A37"/>
    <w:rsid w:val="00F95ACB"/>
    <w:rsid w:val="00F95AEB"/>
    <w:rsid w:val="00F95C0B"/>
    <w:rsid w:val="00F95C32"/>
    <w:rsid w:val="00F95DD6"/>
    <w:rsid w:val="00F95E3C"/>
    <w:rsid w:val="00F95F2F"/>
    <w:rsid w:val="00F96370"/>
    <w:rsid w:val="00F9641B"/>
    <w:rsid w:val="00F9659B"/>
    <w:rsid w:val="00F96733"/>
    <w:rsid w:val="00F96765"/>
    <w:rsid w:val="00F96872"/>
    <w:rsid w:val="00F96A27"/>
    <w:rsid w:val="00F96D99"/>
    <w:rsid w:val="00F97027"/>
    <w:rsid w:val="00F9719A"/>
    <w:rsid w:val="00F9728D"/>
    <w:rsid w:val="00F972A5"/>
    <w:rsid w:val="00F973BC"/>
    <w:rsid w:val="00F977ED"/>
    <w:rsid w:val="00F978B8"/>
    <w:rsid w:val="00F97940"/>
    <w:rsid w:val="00F979D6"/>
    <w:rsid w:val="00F979FB"/>
    <w:rsid w:val="00F97AA4"/>
    <w:rsid w:val="00F97BA3"/>
    <w:rsid w:val="00F97BEF"/>
    <w:rsid w:val="00F97D13"/>
    <w:rsid w:val="00F97DA9"/>
    <w:rsid w:val="00F97DBC"/>
    <w:rsid w:val="00F97E0F"/>
    <w:rsid w:val="00F97EA2"/>
    <w:rsid w:val="00F97F0D"/>
    <w:rsid w:val="00F97F6E"/>
    <w:rsid w:val="00F97FFE"/>
    <w:rsid w:val="00FA014F"/>
    <w:rsid w:val="00FA02B0"/>
    <w:rsid w:val="00FA03B4"/>
    <w:rsid w:val="00FA04F5"/>
    <w:rsid w:val="00FA0595"/>
    <w:rsid w:val="00FA06B4"/>
    <w:rsid w:val="00FA0720"/>
    <w:rsid w:val="00FA0800"/>
    <w:rsid w:val="00FA09D1"/>
    <w:rsid w:val="00FA0B0A"/>
    <w:rsid w:val="00FA0B5C"/>
    <w:rsid w:val="00FA0BAB"/>
    <w:rsid w:val="00FA0C22"/>
    <w:rsid w:val="00FA0C7B"/>
    <w:rsid w:val="00FA107B"/>
    <w:rsid w:val="00FA121C"/>
    <w:rsid w:val="00FA125F"/>
    <w:rsid w:val="00FA12BD"/>
    <w:rsid w:val="00FA1309"/>
    <w:rsid w:val="00FA13F0"/>
    <w:rsid w:val="00FA1407"/>
    <w:rsid w:val="00FA14BE"/>
    <w:rsid w:val="00FA1A28"/>
    <w:rsid w:val="00FA1A68"/>
    <w:rsid w:val="00FA1B1A"/>
    <w:rsid w:val="00FA1C6C"/>
    <w:rsid w:val="00FA1DDB"/>
    <w:rsid w:val="00FA21C9"/>
    <w:rsid w:val="00FA22A6"/>
    <w:rsid w:val="00FA2349"/>
    <w:rsid w:val="00FA2611"/>
    <w:rsid w:val="00FA2670"/>
    <w:rsid w:val="00FA2747"/>
    <w:rsid w:val="00FA2A33"/>
    <w:rsid w:val="00FA2B43"/>
    <w:rsid w:val="00FA2C8F"/>
    <w:rsid w:val="00FA2CF7"/>
    <w:rsid w:val="00FA2D80"/>
    <w:rsid w:val="00FA2E88"/>
    <w:rsid w:val="00FA32F4"/>
    <w:rsid w:val="00FA33D0"/>
    <w:rsid w:val="00FA3410"/>
    <w:rsid w:val="00FA3431"/>
    <w:rsid w:val="00FA3476"/>
    <w:rsid w:val="00FA3528"/>
    <w:rsid w:val="00FA360B"/>
    <w:rsid w:val="00FA3860"/>
    <w:rsid w:val="00FA3A50"/>
    <w:rsid w:val="00FA3B62"/>
    <w:rsid w:val="00FA3BA3"/>
    <w:rsid w:val="00FA3BD3"/>
    <w:rsid w:val="00FA3C98"/>
    <w:rsid w:val="00FA3D0C"/>
    <w:rsid w:val="00FA3DC5"/>
    <w:rsid w:val="00FA3F93"/>
    <w:rsid w:val="00FA3FC2"/>
    <w:rsid w:val="00FA3FC8"/>
    <w:rsid w:val="00FA41BC"/>
    <w:rsid w:val="00FA41CB"/>
    <w:rsid w:val="00FA4439"/>
    <w:rsid w:val="00FA445C"/>
    <w:rsid w:val="00FA446D"/>
    <w:rsid w:val="00FA4512"/>
    <w:rsid w:val="00FA45E8"/>
    <w:rsid w:val="00FA45ED"/>
    <w:rsid w:val="00FA4686"/>
    <w:rsid w:val="00FA4763"/>
    <w:rsid w:val="00FA4830"/>
    <w:rsid w:val="00FA492A"/>
    <w:rsid w:val="00FA4AAE"/>
    <w:rsid w:val="00FA4BB2"/>
    <w:rsid w:val="00FA4BEB"/>
    <w:rsid w:val="00FA4D37"/>
    <w:rsid w:val="00FA4E16"/>
    <w:rsid w:val="00FA4E33"/>
    <w:rsid w:val="00FA4F1C"/>
    <w:rsid w:val="00FA4FB6"/>
    <w:rsid w:val="00FA5032"/>
    <w:rsid w:val="00FA50FE"/>
    <w:rsid w:val="00FA519E"/>
    <w:rsid w:val="00FA52D2"/>
    <w:rsid w:val="00FA5382"/>
    <w:rsid w:val="00FA5517"/>
    <w:rsid w:val="00FA5666"/>
    <w:rsid w:val="00FA56CD"/>
    <w:rsid w:val="00FA5910"/>
    <w:rsid w:val="00FA59A5"/>
    <w:rsid w:val="00FA5A7A"/>
    <w:rsid w:val="00FA5C3F"/>
    <w:rsid w:val="00FA5CBB"/>
    <w:rsid w:val="00FA5E64"/>
    <w:rsid w:val="00FA5EAC"/>
    <w:rsid w:val="00FA5EE7"/>
    <w:rsid w:val="00FA5F60"/>
    <w:rsid w:val="00FA6131"/>
    <w:rsid w:val="00FA617F"/>
    <w:rsid w:val="00FA6715"/>
    <w:rsid w:val="00FA673D"/>
    <w:rsid w:val="00FA67A7"/>
    <w:rsid w:val="00FA6980"/>
    <w:rsid w:val="00FA6AD6"/>
    <w:rsid w:val="00FA6CDF"/>
    <w:rsid w:val="00FA6DAC"/>
    <w:rsid w:val="00FA71FC"/>
    <w:rsid w:val="00FA7301"/>
    <w:rsid w:val="00FA7482"/>
    <w:rsid w:val="00FA749D"/>
    <w:rsid w:val="00FA74F7"/>
    <w:rsid w:val="00FA7671"/>
    <w:rsid w:val="00FA77A3"/>
    <w:rsid w:val="00FA7816"/>
    <w:rsid w:val="00FA7850"/>
    <w:rsid w:val="00FA78CB"/>
    <w:rsid w:val="00FA7908"/>
    <w:rsid w:val="00FA79FF"/>
    <w:rsid w:val="00FA7AA6"/>
    <w:rsid w:val="00FA7BB5"/>
    <w:rsid w:val="00FA7C70"/>
    <w:rsid w:val="00FA7C85"/>
    <w:rsid w:val="00FA7D04"/>
    <w:rsid w:val="00FA7DA9"/>
    <w:rsid w:val="00FB003E"/>
    <w:rsid w:val="00FB0086"/>
    <w:rsid w:val="00FB0089"/>
    <w:rsid w:val="00FB0171"/>
    <w:rsid w:val="00FB03DC"/>
    <w:rsid w:val="00FB048E"/>
    <w:rsid w:val="00FB058F"/>
    <w:rsid w:val="00FB07AC"/>
    <w:rsid w:val="00FB0824"/>
    <w:rsid w:val="00FB08E3"/>
    <w:rsid w:val="00FB0993"/>
    <w:rsid w:val="00FB0C37"/>
    <w:rsid w:val="00FB0DEB"/>
    <w:rsid w:val="00FB0E6A"/>
    <w:rsid w:val="00FB0FF1"/>
    <w:rsid w:val="00FB0FFD"/>
    <w:rsid w:val="00FB10E4"/>
    <w:rsid w:val="00FB1191"/>
    <w:rsid w:val="00FB12D8"/>
    <w:rsid w:val="00FB12E4"/>
    <w:rsid w:val="00FB1355"/>
    <w:rsid w:val="00FB13E9"/>
    <w:rsid w:val="00FB145F"/>
    <w:rsid w:val="00FB14D0"/>
    <w:rsid w:val="00FB1596"/>
    <w:rsid w:val="00FB176A"/>
    <w:rsid w:val="00FB17F1"/>
    <w:rsid w:val="00FB1801"/>
    <w:rsid w:val="00FB1827"/>
    <w:rsid w:val="00FB1846"/>
    <w:rsid w:val="00FB1877"/>
    <w:rsid w:val="00FB197E"/>
    <w:rsid w:val="00FB1AED"/>
    <w:rsid w:val="00FB1B1C"/>
    <w:rsid w:val="00FB1CDC"/>
    <w:rsid w:val="00FB20DD"/>
    <w:rsid w:val="00FB214A"/>
    <w:rsid w:val="00FB2279"/>
    <w:rsid w:val="00FB2280"/>
    <w:rsid w:val="00FB238A"/>
    <w:rsid w:val="00FB23A4"/>
    <w:rsid w:val="00FB2446"/>
    <w:rsid w:val="00FB26F2"/>
    <w:rsid w:val="00FB2A2F"/>
    <w:rsid w:val="00FB2AF6"/>
    <w:rsid w:val="00FB2B17"/>
    <w:rsid w:val="00FB2C5C"/>
    <w:rsid w:val="00FB2C81"/>
    <w:rsid w:val="00FB2DC2"/>
    <w:rsid w:val="00FB2E07"/>
    <w:rsid w:val="00FB2E54"/>
    <w:rsid w:val="00FB2E5D"/>
    <w:rsid w:val="00FB3196"/>
    <w:rsid w:val="00FB3372"/>
    <w:rsid w:val="00FB338C"/>
    <w:rsid w:val="00FB36A4"/>
    <w:rsid w:val="00FB3A5F"/>
    <w:rsid w:val="00FB3A75"/>
    <w:rsid w:val="00FB3B31"/>
    <w:rsid w:val="00FB3B51"/>
    <w:rsid w:val="00FB3BC4"/>
    <w:rsid w:val="00FB3C9D"/>
    <w:rsid w:val="00FB3DDE"/>
    <w:rsid w:val="00FB3F9C"/>
    <w:rsid w:val="00FB3FDE"/>
    <w:rsid w:val="00FB4338"/>
    <w:rsid w:val="00FB43AF"/>
    <w:rsid w:val="00FB44FA"/>
    <w:rsid w:val="00FB4676"/>
    <w:rsid w:val="00FB48D1"/>
    <w:rsid w:val="00FB491C"/>
    <w:rsid w:val="00FB4AD6"/>
    <w:rsid w:val="00FB4DB8"/>
    <w:rsid w:val="00FB4DBD"/>
    <w:rsid w:val="00FB5029"/>
    <w:rsid w:val="00FB5167"/>
    <w:rsid w:val="00FB51DA"/>
    <w:rsid w:val="00FB5314"/>
    <w:rsid w:val="00FB537B"/>
    <w:rsid w:val="00FB5552"/>
    <w:rsid w:val="00FB561C"/>
    <w:rsid w:val="00FB56E9"/>
    <w:rsid w:val="00FB5739"/>
    <w:rsid w:val="00FB5789"/>
    <w:rsid w:val="00FB58D6"/>
    <w:rsid w:val="00FB5BB9"/>
    <w:rsid w:val="00FB5C26"/>
    <w:rsid w:val="00FB5DD0"/>
    <w:rsid w:val="00FB5DE1"/>
    <w:rsid w:val="00FB5F3A"/>
    <w:rsid w:val="00FB5F56"/>
    <w:rsid w:val="00FB5FC4"/>
    <w:rsid w:val="00FB60AC"/>
    <w:rsid w:val="00FB6111"/>
    <w:rsid w:val="00FB6265"/>
    <w:rsid w:val="00FB67E0"/>
    <w:rsid w:val="00FB6A29"/>
    <w:rsid w:val="00FB6AA9"/>
    <w:rsid w:val="00FB6AD4"/>
    <w:rsid w:val="00FB6C62"/>
    <w:rsid w:val="00FB6E17"/>
    <w:rsid w:val="00FB6E40"/>
    <w:rsid w:val="00FB6FCB"/>
    <w:rsid w:val="00FB6FFC"/>
    <w:rsid w:val="00FB71D7"/>
    <w:rsid w:val="00FB7328"/>
    <w:rsid w:val="00FB7369"/>
    <w:rsid w:val="00FB73D7"/>
    <w:rsid w:val="00FB77DB"/>
    <w:rsid w:val="00FB7A41"/>
    <w:rsid w:val="00FB7B5D"/>
    <w:rsid w:val="00FB7C25"/>
    <w:rsid w:val="00FB7E25"/>
    <w:rsid w:val="00FB7F22"/>
    <w:rsid w:val="00FC002A"/>
    <w:rsid w:val="00FC00F3"/>
    <w:rsid w:val="00FC0165"/>
    <w:rsid w:val="00FC02D1"/>
    <w:rsid w:val="00FC044F"/>
    <w:rsid w:val="00FC04F1"/>
    <w:rsid w:val="00FC0753"/>
    <w:rsid w:val="00FC087E"/>
    <w:rsid w:val="00FC0955"/>
    <w:rsid w:val="00FC0A33"/>
    <w:rsid w:val="00FC0B1E"/>
    <w:rsid w:val="00FC0B90"/>
    <w:rsid w:val="00FC0CEB"/>
    <w:rsid w:val="00FC0DB1"/>
    <w:rsid w:val="00FC0EC4"/>
    <w:rsid w:val="00FC0F31"/>
    <w:rsid w:val="00FC0F53"/>
    <w:rsid w:val="00FC1149"/>
    <w:rsid w:val="00FC11A4"/>
    <w:rsid w:val="00FC11C4"/>
    <w:rsid w:val="00FC1416"/>
    <w:rsid w:val="00FC14B2"/>
    <w:rsid w:val="00FC17CA"/>
    <w:rsid w:val="00FC1823"/>
    <w:rsid w:val="00FC1B07"/>
    <w:rsid w:val="00FC1B31"/>
    <w:rsid w:val="00FC1B3D"/>
    <w:rsid w:val="00FC1C59"/>
    <w:rsid w:val="00FC1CAA"/>
    <w:rsid w:val="00FC1E48"/>
    <w:rsid w:val="00FC1E6E"/>
    <w:rsid w:val="00FC1E99"/>
    <w:rsid w:val="00FC1F36"/>
    <w:rsid w:val="00FC1FE8"/>
    <w:rsid w:val="00FC2000"/>
    <w:rsid w:val="00FC20CD"/>
    <w:rsid w:val="00FC2198"/>
    <w:rsid w:val="00FC234A"/>
    <w:rsid w:val="00FC237B"/>
    <w:rsid w:val="00FC25DB"/>
    <w:rsid w:val="00FC26A4"/>
    <w:rsid w:val="00FC27A6"/>
    <w:rsid w:val="00FC27B9"/>
    <w:rsid w:val="00FC27C5"/>
    <w:rsid w:val="00FC2846"/>
    <w:rsid w:val="00FC286C"/>
    <w:rsid w:val="00FC287D"/>
    <w:rsid w:val="00FC297D"/>
    <w:rsid w:val="00FC2A02"/>
    <w:rsid w:val="00FC2A07"/>
    <w:rsid w:val="00FC2A70"/>
    <w:rsid w:val="00FC2A84"/>
    <w:rsid w:val="00FC2C93"/>
    <w:rsid w:val="00FC2CB4"/>
    <w:rsid w:val="00FC2F04"/>
    <w:rsid w:val="00FC2F0B"/>
    <w:rsid w:val="00FC2F97"/>
    <w:rsid w:val="00FC2F9B"/>
    <w:rsid w:val="00FC325A"/>
    <w:rsid w:val="00FC32E1"/>
    <w:rsid w:val="00FC334F"/>
    <w:rsid w:val="00FC33ED"/>
    <w:rsid w:val="00FC3428"/>
    <w:rsid w:val="00FC34A6"/>
    <w:rsid w:val="00FC34F7"/>
    <w:rsid w:val="00FC39A3"/>
    <w:rsid w:val="00FC3A78"/>
    <w:rsid w:val="00FC3A8A"/>
    <w:rsid w:val="00FC3BE5"/>
    <w:rsid w:val="00FC3E61"/>
    <w:rsid w:val="00FC3E86"/>
    <w:rsid w:val="00FC3FD4"/>
    <w:rsid w:val="00FC4007"/>
    <w:rsid w:val="00FC43AD"/>
    <w:rsid w:val="00FC4705"/>
    <w:rsid w:val="00FC4C77"/>
    <w:rsid w:val="00FC4D58"/>
    <w:rsid w:val="00FC4D88"/>
    <w:rsid w:val="00FC4E5A"/>
    <w:rsid w:val="00FC4EC8"/>
    <w:rsid w:val="00FC50A7"/>
    <w:rsid w:val="00FC5129"/>
    <w:rsid w:val="00FC539C"/>
    <w:rsid w:val="00FC547C"/>
    <w:rsid w:val="00FC56B2"/>
    <w:rsid w:val="00FC5779"/>
    <w:rsid w:val="00FC5876"/>
    <w:rsid w:val="00FC5CDA"/>
    <w:rsid w:val="00FC5CF9"/>
    <w:rsid w:val="00FC5D31"/>
    <w:rsid w:val="00FC5DEB"/>
    <w:rsid w:val="00FC5E12"/>
    <w:rsid w:val="00FC5ED0"/>
    <w:rsid w:val="00FC6224"/>
    <w:rsid w:val="00FC628F"/>
    <w:rsid w:val="00FC62F5"/>
    <w:rsid w:val="00FC6666"/>
    <w:rsid w:val="00FC6A7D"/>
    <w:rsid w:val="00FC6B16"/>
    <w:rsid w:val="00FC72A1"/>
    <w:rsid w:val="00FC731E"/>
    <w:rsid w:val="00FC7535"/>
    <w:rsid w:val="00FC7769"/>
    <w:rsid w:val="00FC77E5"/>
    <w:rsid w:val="00FC7800"/>
    <w:rsid w:val="00FC7827"/>
    <w:rsid w:val="00FC7928"/>
    <w:rsid w:val="00FC7CFD"/>
    <w:rsid w:val="00FC7DC7"/>
    <w:rsid w:val="00FC7DEB"/>
    <w:rsid w:val="00FC7F2E"/>
    <w:rsid w:val="00FC7FBF"/>
    <w:rsid w:val="00FD0036"/>
    <w:rsid w:val="00FD0163"/>
    <w:rsid w:val="00FD019A"/>
    <w:rsid w:val="00FD0205"/>
    <w:rsid w:val="00FD020F"/>
    <w:rsid w:val="00FD035A"/>
    <w:rsid w:val="00FD0393"/>
    <w:rsid w:val="00FD03E1"/>
    <w:rsid w:val="00FD04D1"/>
    <w:rsid w:val="00FD051F"/>
    <w:rsid w:val="00FD06E4"/>
    <w:rsid w:val="00FD0858"/>
    <w:rsid w:val="00FD0890"/>
    <w:rsid w:val="00FD0983"/>
    <w:rsid w:val="00FD0F28"/>
    <w:rsid w:val="00FD0F67"/>
    <w:rsid w:val="00FD0FEF"/>
    <w:rsid w:val="00FD1051"/>
    <w:rsid w:val="00FD10E2"/>
    <w:rsid w:val="00FD116D"/>
    <w:rsid w:val="00FD11D3"/>
    <w:rsid w:val="00FD1328"/>
    <w:rsid w:val="00FD1587"/>
    <w:rsid w:val="00FD1929"/>
    <w:rsid w:val="00FD19B8"/>
    <w:rsid w:val="00FD19F1"/>
    <w:rsid w:val="00FD1A34"/>
    <w:rsid w:val="00FD1A7E"/>
    <w:rsid w:val="00FD1BB8"/>
    <w:rsid w:val="00FD1E30"/>
    <w:rsid w:val="00FD1E7C"/>
    <w:rsid w:val="00FD1F66"/>
    <w:rsid w:val="00FD1F6D"/>
    <w:rsid w:val="00FD24B9"/>
    <w:rsid w:val="00FD24D1"/>
    <w:rsid w:val="00FD26CE"/>
    <w:rsid w:val="00FD27AD"/>
    <w:rsid w:val="00FD2845"/>
    <w:rsid w:val="00FD2860"/>
    <w:rsid w:val="00FD28C4"/>
    <w:rsid w:val="00FD29A4"/>
    <w:rsid w:val="00FD2AFD"/>
    <w:rsid w:val="00FD2CC3"/>
    <w:rsid w:val="00FD2FDF"/>
    <w:rsid w:val="00FD3199"/>
    <w:rsid w:val="00FD31BF"/>
    <w:rsid w:val="00FD3221"/>
    <w:rsid w:val="00FD32F5"/>
    <w:rsid w:val="00FD3355"/>
    <w:rsid w:val="00FD3521"/>
    <w:rsid w:val="00FD35D3"/>
    <w:rsid w:val="00FD364D"/>
    <w:rsid w:val="00FD3808"/>
    <w:rsid w:val="00FD3894"/>
    <w:rsid w:val="00FD3CC7"/>
    <w:rsid w:val="00FD3DE7"/>
    <w:rsid w:val="00FD3EE6"/>
    <w:rsid w:val="00FD3F64"/>
    <w:rsid w:val="00FD402A"/>
    <w:rsid w:val="00FD4045"/>
    <w:rsid w:val="00FD410B"/>
    <w:rsid w:val="00FD4148"/>
    <w:rsid w:val="00FD422F"/>
    <w:rsid w:val="00FD42DE"/>
    <w:rsid w:val="00FD42FD"/>
    <w:rsid w:val="00FD4384"/>
    <w:rsid w:val="00FD43D1"/>
    <w:rsid w:val="00FD4504"/>
    <w:rsid w:val="00FD4542"/>
    <w:rsid w:val="00FD46D4"/>
    <w:rsid w:val="00FD473C"/>
    <w:rsid w:val="00FD475D"/>
    <w:rsid w:val="00FD4ADE"/>
    <w:rsid w:val="00FD4D5B"/>
    <w:rsid w:val="00FD51E4"/>
    <w:rsid w:val="00FD53B2"/>
    <w:rsid w:val="00FD54DA"/>
    <w:rsid w:val="00FD54F9"/>
    <w:rsid w:val="00FD55D8"/>
    <w:rsid w:val="00FD58AC"/>
    <w:rsid w:val="00FD58C2"/>
    <w:rsid w:val="00FD5A09"/>
    <w:rsid w:val="00FD5D97"/>
    <w:rsid w:val="00FD5E4D"/>
    <w:rsid w:val="00FD6178"/>
    <w:rsid w:val="00FD6191"/>
    <w:rsid w:val="00FD62FE"/>
    <w:rsid w:val="00FD6370"/>
    <w:rsid w:val="00FD6453"/>
    <w:rsid w:val="00FD64BA"/>
    <w:rsid w:val="00FD6696"/>
    <w:rsid w:val="00FD67FD"/>
    <w:rsid w:val="00FD68BF"/>
    <w:rsid w:val="00FD6A4E"/>
    <w:rsid w:val="00FD6E11"/>
    <w:rsid w:val="00FD713E"/>
    <w:rsid w:val="00FD745C"/>
    <w:rsid w:val="00FD76D5"/>
    <w:rsid w:val="00FD772F"/>
    <w:rsid w:val="00FD7898"/>
    <w:rsid w:val="00FD79C7"/>
    <w:rsid w:val="00FD7AC7"/>
    <w:rsid w:val="00FD7CB2"/>
    <w:rsid w:val="00FD7D46"/>
    <w:rsid w:val="00FD7D67"/>
    <w:rsid w:val="00FD7D8B"/>
    <w:rsid w:val="00FD7E6C"/>
    <w:rsid w:val="00FD7EE8"/>
    <w:rsid w:val="00FD7FD6"/>
    <w:rsid w:val="00FE012C"/>
    <w:rsid w:val="00FE0382"/>
    <w:rsid w:val="00FE0448"/>
    <w:rsid w:val="00FE05F3"/>
    <w:rsid w:val="00FE08ED"/>
    <w:rsid w:val="00FE09B9"/>
    <w:rsid w:val="00FE0AB5"/>
    <w:rsid w:val="00FE0AF2"/>
    <w:rsid w:val="00FE0E5E"/>
    <w:rsid w:val="00FE0EF6"/>
    <w:rsid w:val="00FE0F40"/>
    <w:rsid w:val="00FE0F48"/>
    <w:rsid w:val="00FE0F98"/>
    <w:rsid w:val="00FE10C2"/>
    <w:rsid w:val="00FE11B7"/>
    <w:rsid w:val="00FE1308"/>
    <w:rsid w:val="00FE13F4"/>
    <w:rsid w:val="00FE1481"/>
    <w:rsid w:val="00FE1499"/>
    <w:rsid w:val="00FE1525"/>
    <w:rsid w:val="00FE173B"/>
    <w:rsid w:val="00FE1B03"/>
    <w:rsid w:val="00FE1C47"/>
    <w:rsid w:val="00FE1C76"/>
    <w:rsid w:val="00FE1D42"/>
    <w:rsid w:val="00FE1E0B"/>
    <w:rsid w:val="00FE1E62"/>
    <w:rsid w:val="00FE1FC7"/>
    <w:rsid w:val="00FE2012"/>
    <w:rsid w:val="00FE20DE"/>
    <w:rsid w:val="00FE21B7"/>
    <w:rsid w:val="00FE21B9"/>
    <w:rsid w:val="00FE22DD"/>
    <w:rsid w:val="00FE2349"/>
    <w:rsid w:val="00FE245E"/>
    <w:rsid w:val="00FE25C9"/>
    <w:rsid w:val="00FE25CC"/>
    <w:rsid w:val="00FE276A"/>
    <w:rsid w:val="00FE2857"/>
    <w:rsid w:val="00FE2A90"/>
    <w:rsid w:val="00FE2AF6"/>
    <w:rsid w:val="00FE2CFB"/>
    <w:rsid w:val="00FE2D37"/>
    <w:rsid w:val="00FE2E37"/>
    <w:rsid w:val="00FE2EDF"/>
    <w:rsid w:val="00FE3171"/>
    <w:rsid w:val="00FE3216"/>
    <w:rsid w:val="00FE33C2"/>
    <w:rsid w:val="00FE3467"/>
    <w:rsid w:val="00FE355D"/>
    <w:rsid w:val="00FE36EC"/>
    <w:rsid w:val="00FE37DB"/>
    <w:rsid w:val="00FE38E3"/>
    <w:rsid w:val="00FE3A4D"/>
    <w:rsid w:val="00FE3B60"/>
    <w:rsid w:val="00FE3FE4"/>
    <w:rsid w:val="00FE4007"/>
    <w:rsid w:val="00FE4421"/>
    <w:rsid w:val="00FE446B"/>
    <w:rsid w:val="00FE4496"/>
    <w:rsid w:val="00FE4795"/>
    <w:rsid w:val="00FE486D"/>
    <w:rsid w:val="00FE49C9"/>
    <w:rsid w:val="00FE4A60"/>
    <w:rsid w:val="00FE4CAB"/>
    <w:rsid w:val="00FE4F24"/>
    <w:rsid w:val="00FE50B6"/>
    <w:rsid w:val="00FE50CE"/>
    <w:rsid w:val="00FE531C"/>
    <w:rsid w:val="00FE5410"/>
    <w:rsid w:val="00FE54E0"/>
    <w:rsid w:val="00FE55DD"/>
    <w:rsid w:val="00FE55F0"/>
    <w:rsid w:val="00FE56A1"/>
    <w:rsid w:val="00FE5A16"/>
    <w:rsid w:val="00FE5B8E"/>
    <w:rsid w:val="00FE5E41"/>
    <w:rsid w:val="00FE5E9C"/>
    <w:rsid w:val="00FE5FC1"/>
    <w:rsid w:val="00FE600D"/>
    <w:rsid w:val="00FE6014"/>
    <w:rsid w:val="00FE61DD"/>
    <w:rsid w:val="00FE624E"/>
    <w:rsid w:val="00FE6331"/>
    <w:rsid w:val="00FE641C"/>
    <w:rsid w:val="00FE6560"/>
    <w:rsid w:val="00FE6631"/>
    <w:rsid w:val="00FE6725"/>
    <w:rsid w:val="00FE672A"/>
    <w:rsid w:val="00FE6751"/>
    <w:rsid w:val="00FE685B"/>
    <w:rsid w:val="00FE68BB"/>
    <w:rsid w:val="00FE6974"/>
    <w:rsid w:val="00FE69C4"/>
    <w:rsid w:val="00FE6B5E"/>
    <w:rsid w:val="00FE6BA3"/>
    <w:rsid w:val="00FE6BFE"/>
    <w:rsid w:val="00FE6C12"/>
    <w:rsid w:val="00FE6DDA"/>
    <w:rsid w:val="00FE6F1C"/>
    <w:rsid w:val="00FE7049"/>
    <w:rsid w:val="00FE70D5"/>
    <w:rsid w:val="00FE7468"/>
    <w:rsid w:val="00FE774C"/>
    <w:rsid w:val="00FE77BE"/>
    <w:rsid w:val="00FE785C"/>
    <w:rsid w:val="00FE7894"/>
    <w:rsid w:val="00FE7C4F"/>
    <w:rsid w:val="00FF01FA"/>
    <w:rsid w:val="00FF02C2"/>
    <w:rsid w:val="00FF0409"/>
    <w:rsid w:val="00FF0566"/>
    <w:rsid w:val="00FF05AE"/>
    <w:rsid w:val="00FF087C"/>
    <w:rsid w:val="00FF0945"/>
    <w:rsid w:val="00FF09EF"/>
    <w:rsid w:val="00FF0A2B"/>
    <w:rsid w:val="00FF0A61"/>
    <w:rsid w:val="00FF0B63"/>
    <w:rsid w:val="00FF0B9C"/>
    <w:rsid w:val="00FF0C76"/>
    <w:rsid w:val="00FF0CFE"/>
    <w:rsid w:val="00FF0FE4"/>
    <w:rsid w:val="00FF1037"/>
    <w:rsid w:val="00FF1088"/>
    <w:rsid w:val="00FF12C2"/>
    <w:rsid w:val="00FF1354"/>
    <w:rsid w:val="00FF14AD"/>
    <w:rsid w:val="00FF158D"/>
    <w:rsid w:val="00FF164D"/>
    <w:rsid w:val="00FF16AF"/>
    <w:rsid w:val="00FF16B2"/>
    <w:rsid w:val="00FF16C6"/>
    <w:rsid w:val="00FF17C0"/>
    <w:rsid w:val="00FF1961"/>
    <w:rsid w:val="00FF1A6C"/>
    <w:rsid w:val="00FF1B94"/>
    <w:rsid w:val="00FF1B99"/>
    <w:rsid w:val="00FF1BC9"/>
    <w:rsid w:val="00FF1DBD"/>
    <w:rsid w:val="00FF2012"/>
    <w:rsid w:val="00FF2112"/>
    <w:rsid w:val="00FF21B5"/>
    <w:rsid w:val="00FF21C3"/>
    <w:rsid w:val="00FF21EF"/>
    <w:rsid w:val="00FF223E"/>
    <w:rsid w:val="00FF262F"/>
    <w:rsid w:val="00FF273A"/>
    <w:rsid w:val="00FF2741"/>
    <w:rsid w:val="00FF28D8"/>
    <w:rsid w:val="00FF29A6"/>
    <w:rsid w:val="00FF29D2"/>
    <w:rsid w:val="00FF2A11"/>
    <w:rsid w:val="00FF2AA0"/>
    <w:rsid w:val="00FF2B27"/>
    <w:rsid w:val="00FF2F34"/>
    <w:rsid w:val="00FF2F6E"/>
    <w:rsid w:val="00FF31DC"/>
    <w:rsid w:val="00FF31FA"/>
    <w:rsid w:val="00FF3469"/>
    <w:rsid w:val="00FF3592"/>
    <w:rsid w:val="00FF36F7"/>
    <w:rsid w:val="00FF3BE4"/>
    <w:rsid w:val="00FF3E14"/>
    <w:rsid w:val="00FF3E80"/>
    <w:rsid w:val="00FF3F6C"/>
    <w:rsid w:val="00FF4092"/>
    <w:rsid w:val="00FF40BD"/>
    <w:rsid w:val="00FF420A"/>
    <w:rsid w:val="00FF4603"/>
    <w:rsid w:val="00FF4654"/>
    <w:rsid w:val="00FF46C2"/>
    <w:rsid w:val="00FF470C"/>
    <w:rsid w:val="00FF4A5A"/>
    <w:rsid w:val="00FF4B07"/>
    <w:rsid w:val="00FF4BF1"/>
    <w:rsid w:val="00FF4BFC"/>
    <w:rsid w:val="00FF4C11"/>
    <w:rsid w:val="00FF4CC9"/>
    <w:rsid w:val="00FF513E"/>
    <w:rsid w:val="00FF5204"/>
    <w:rsid w:val="00FF5284"/>
    <w:rsid w:val="00FF5347"/>
    <w:rsid w:val="00FF56B9"/>
    <w:rsid w:val="00FF579B"/>
    <w:rsid w:val="00FF57A2"/>
    <w:rsid w:val="00FF57E8"/>
    <w:rsid w:val="00FF5878"/>
    <w:rsid w:val="00FF58C0"/>
    <w:rsid w:val="00FF5948"/>
    <w:rsid w:val="00FF59DB"/>
    <w:rsid w:val="00FF5A55"/>
    <w:rsid w:val="00FF5AC4"/>
    <w:rsid w:val="00FF5E0E"/>
    <w:rsid w:val="00FF5E11"/>
    <w:rsid w:val="00FF5E19"/>
    <w:rsid w:val="00FF5E57"/>
    <w:rsid w:val="00FF5E5D"/>
    <w:rsid w:val="00FF5E6A"/>
    <w:rsid w:val="00FF5E93"/>
    <w:rsid w:val="00FF5F83"/>
    <w:rsid w:val="00FF61B9"/>
    <w:rsid w:val="00FF650C"/>
    <w:rsid w:val="00FF666F"/>
    <w:rsid w:val="00FF66CA"/>
    <w:rsid w:val="00FF6B71"/>
    <w:rsid w:val="00FF6BA9"/>
    <w:rsid w:val="00FF6DD2"/>
    <w:rsid w:val="00FF6E07"/>
    <w:rsid w:val="00FF6EDF"/>
    <w:rsid w:val="00FF6EEA"/>
    <w:rsid w:val="00FF70CE"/>
    <w:rsid w:val="00FF73E1"/>
    <w:rsid w:val="00FF7563"/>
    <w:rsid w:val="00FF77DF"/>
    <w:rsid w:val="00FF78E6"/>
    <w:rsid w:val="00FF79AC"/>
    <w:rsid w:val="00FF79FF"/>
    <w:rsid w:val="00FF7ABB"/>
    <w:rsid w:val="00FF7B12"/>
    <w:rsid w:val="00FF7B99"/>
    <w:rsid w:val="00FF7CEB"/>
    <w:rsid w:val="00FF7F72"/>
    <w:rsid w:val="00FF7F89"/>
    <w:rsid w:val="01020BEC"/>
    <w:rsid w:val="0107C37D"/>
    <w:rsid w:val="010888AE"/>
    <w:rsid w:val="010ABAF0"/>
    <w:rsid w:val="010BCD39"/>
    <w:rsid w:val="010CB694"/>
    <w:rsid w:val="010E0EE9"/>
    <w:rsid w:val="01109509"/>
    <w:rsid w:val="0118C374"/>
    <w:rsid w:val="011BD9D4"/>
    <w:rsid w:val="011BFFD2"/>
    <w:rsid w:val="0120154C"/>
    <w:rsid w:val="0122E83F"/>
    <w:rsid w:val="012824B0"/>
    <w:rsid w:val="012E37F8"/>
    <w:rsid w:val="0132D6E9"/>
    <w:rsid w:val="01358438"/>
    <w:rsid w:val="013A5EF3"/>
    <w:rsid w:val="013A9B2B"/>
    <w:rsid w:val="013CF5D5"/>
    <w:rsid w:val="014357F4"/>
    <w:rsid w:val="0144269D"/>
    <w:rsid w:val="01447916"/>
    <w:rsid w:val="01461FAE"/>
    <w:rsid w:val="01472902"/>
    <w:rsid w:val="01476230"/>
    <w:rsid w:val="014DF577"/>
    <w:rsid w:val="01562573"/>
    <w:rsid w:val="015B381F"/>
    <w:rsid w:val="01661196"/>
    <w:rsid w:val="01673BA8"/>
    <w:rsid w:val="016C7A9C"/>
    <w:rsid w:val="016CEA6B"/>
    <w:rsid w:val="016DA55E"/>
    <w:rsid w:val="016FD3C5"/>
    <w:rsid w:val="01731230"/>
    <w:rsid w:val="01790481"/>
    <w:rsid w:val="017975A4"/>
    <w:rsid w:val="017ED8C2"/>
    <w:rsid w:val="017FBB70"/>
    <w:rsid w:val="01834887"/>
    <w:rsid w:val="018674CE"/>
    <w:rsid w:val="01872BDE"/>
    <w:rsid w:val="018786F3"/>
    <w:rsid w:val="018C9A4C"/>
    <w:rsid w:val="018FCC50"/>
    <w:rsid w:val="01940517"/>
    <w:rsid w:val="019662FC"/>
    <w:rsid w:val="01A2F585"/>
    <w:rsid w:val="01A75B17"/>
    <w:rsid w:val="01A824DB"/>
    <w:rsid w:val="01B22C9D"/>
    <w:rsid w:val="01B641C0"/>
    <w:rsid w:val="01BF1D67"/>
    <w:rsid w:val="01C03357"/>
    <w:rsid w:val="01C0796C"/>
    <w:rsid w:val="01CC8C88"/>
    <w:rsid w:val="01CC8F5E"/>
    <w:rsid w:val="01D166A1"/>
    <w:rsid w:val="01D76B64"/>
    <w:rsid w:val="01D84A70"/>
    <w:rsid w:val="01D93016"/>
    <w:rsid w:val="01E355EB"/>
    <w:rsid w:val="01E90FFA"/>
    <w:rsid w:val="01E9E098"/>
    <w:rsid w:val="01EC199A"/>
    <w:rsid w:val="01EC89E3"/>
    <w:rsid w:val="01ED1417"/>
    <w:rsid w:val="01F636EE"/>
    <w:rsid w:val="01F6D364"/>
    <w:rsid w:val="01F77BE6"/>
    <w:rsid w:val="01F84CF8"/>
    <w:rsid w:val="01FD38D9"/>
    <w:rsid w:val="01FF9842"/>
    <w:rsid w:val="0202BD2B"/>
    <w:rsid w:val="020E4F65"/>
    <w:rsid w:val="020F8655"/>
    <w:rsid w:val="021B70C9"/>
    <w:rsid w:val="0220D87D"/>
    <w:rsid w:val="022D65CD"/>
    <w:rsid w:val="022D8751"/>
    <w:rsid w:val="022DF913"/>
    <w:rsid w:val="023170F6"/>
    <w:rsid w:val="02354E89"/>
    <w:rsid w:val="0235E7C6"/>
    <w:rsid w:val="023D2519"/>
    <w:rsid w:val="023EE258"/>
    <w:rsid w:val="02512704"/>
    <w:rsid w:val="0253E6D0"/>
    <w:rsid w:val="02566073"/>
    <w:rsid w:val="025D948A"/>
    <w:rsid w:val="025E3653"/>
    <w:rsid w:val="0260F3BF"/>
    <w:rsid w:val="026C0937"/>
    <w:rsid w:val="0273023D"/>
    <w:rsid w:val="02824643"/>
    <w:rsid w:val="0282D40E"/>
    <w:rsid w:val="0287BE81"/>
    <w:rsid w:val="02954E43"/>
    <w:rsid w:val="0296DA31"/>
    <w:rsid w:val="02987A1A"/>
    <w:rsid w:val="029D7630"/>
    <w:rsid w:val="02A17254"/>
    <w:rsid w:val="02A618F9"/>
    <w:rsid w:val="02ABE311"/>
    <w:rsid w:val="02B089A8"/>
    <w:rsid w:val="02B2991F"/>
    <w:rsid w:val="02B78C56"/>
    <w:rsid w:val="02BA50BE"/>
    <w:rsid w:val="02BA9A90"/>
    <w:rsid w:val="02BDEE70"/>
    <w:rsid w:val="02C15D45"/>
    <w:rsid w:val="02C32357"/>
    <w:rsid w:val="02CB8D17"/>
    <w:rsid w:val="02CF00AD"/>
    <w:rsid w:val="02D0D43D"/>
    <w:rsid w:val="02DAAD9D"/>
    <w:rsid w:val="02DAE95E"/>
    <w:rsid w:val="02E62BAF"/>
    <w:rsid w:val="02E9144A"/>
    <w:rsid w:val="02F76EE2"/>
    <w:rsid w:val="02F83CB2"/>
    <w:rsid w:val="02FB1F44"/>
    <w:rsid w:val="03019715"/>
    <w:rsid w:val="0302ED8E"/>
    <w:rsid w:val="030378F7"/>
    <w:rsid w:val="030C6733"/>
    <w:rsid w:val="030F2E8A"/>
    <w:rsid w:val="031039BA"/>
    <w:rsid w:val="03116CB1"/>
    <w:rsid w:val="03133701"/>
    <w:rsid w:val="03159256"/>
    <w:rsid w:val="0318F859"/>
    <w:rsid w:val="0324220E"/>
    <w:rsid w:val="032896F9"/>
    <w:rsid w:val="033E6838"/>
    <w:rsid w:val="033EFB59"/>
    <w:rsid w:val="0342724D"/>
    <w:rsid w:val="03606FBA"/>
    <w:rsid w:val="03617890"/>
    <w:rsid w:val="0364F738"/>
    <w:rsid w:val="0366974B"/>
    <w:rsid w:val="036820F7"/>
    <w:rsid w:val="0370A52C"/>
    <w:rsid w:val="0374CFA8"/>
    <w:rsid w:val="03751846"/>
    <w:rsid w:val="03837FE2"/>
    <w:rsid w:val="03851491"/>
    <w:rsid w:val="0386AB9E"/>
    <w:rsid w:val="03891449"/>
    <w:rsid w:val="038CD93F"/>
    <w:rsid w:val="038FF234"/>
    <w:rsid w:val="03901F10"/>
    <w:rsid w:val="03919826"/>
    <w:rsid w:val="0395CB3A"/>
    <w:rsid w:val="0397064C"/>
    <w:rsid w:val="03993ED3"/>
    <w:rsid w:val="039C1521"/>
    <w:rsid w:val="03A27DFC"/>
    <w:rsid w:val="03AB6269"/>
    <w:rsid w:val="03AEA6C5"/>
    <w:rsid w:val="03B184A0"/>
    <w:rsid w:val="03BEB05D"/>
    <w:rsid w:val="03C4A7BB"/>
    <w:rsid w:val="03C6B65F"/>
    <w:rsid w:val="03CBF00E"/>
    <w:rsid w:val="03CCBCFD"/>
    <w:rsid w:val="03D042DF"/>
    <w:rsid w:val="03D16B8A"/>
    <w:rsid w:val="03DC793E"/>
    <w:rsid w:val="03DD7B33"/>
    <w:rsid w:val="03E18781"/>
    <w:rsid w:val="03E240F2"/>
    <w:rsid w:val="03E52FE8"/>
    <w:rsid w:val="03ED6BD1"/>
    <w:rsid w:val="03EFDADA"/>
    <w:rsid w:val="03F295E3"/>
    <w:rsid w:val="03F4202E"/>
    <w:rsid w:val="03F82055"/>
    <w:rsid w:val="03F978AC"/>
    <w:rsid w:val="03FB1A51"/>
    <w:rsid w:val="03FCF01A"/>
    <w:rsid w:val="03FF9E76"/>
    <w:rsid w:val="04084634"/>
    <w:rsid w:val="04109220"/>
    <w:rsid w:val="04131BE9"/>
    <w:rsid w:val="04133D75"/>
    <w:rsid w:val="0413AD3A"/>
    <w:rsid w:val="041AE340"/>
    <w:rsid w:val="041AF329"/>
    <w:rsid w:val="042690C1"/>
    <w:rsid w:val="0426A7AA"/>
    <w:rsid w:val="0426DB8F"/>
    <w:rsid w:val="0428B08B"/>
    <w:rsid w:val="042A2ADF"/>
    <w:rsid w:val="042D2C04"/>
    <w:rsid w:val="042FA090"/>
    <w:rsid w:val="043795CA"/>
    <w:rsid w:val="0440C774"/>
    <w:rsid w:val="04443A57"/>
    <w:rsid w:val="04475AAB"/>
    <w:rsid w:val="045132A4"/>
    <w:rsid w:val="04565AAA"/>
    <w:rsid w:val="045FC572"/>
    <w:rsid w:val="046FCBA5"/>
    <w:rsid w:val="04707149"/>
    <w:rsid w:val="047605E9"/>
    <w:rsid w:val="0476CC7B"/>
    <w:rsid w:val="047B3B8B"/>
    <w:rsid w:val="047BC955"/>
    <w:rsid w:val="048346E0"/>
    <w:rsid w:val="04867CB1"/>
    <w:rsid w:val="048B8952"/>
    <w:rsid w:val="048CFBA7"/>
    <w:rsid w:val="0494F1D7"/>
    <w:rsid w:val="049D22F5"/>
    <w:rsid w:val="04A22DA8"/>
    <w:rsid w:val="04A4D78F"/>
    <w:rsid w:val="04A54793"/>
    <w:rsid w:val="04AD609E"/>
    <w:rsid w:val="04AEF888"/>
    <w:rsid w:val="04B4E00D"/>
    <w:rsid w:val="04B53618"/>
    <w:rsid w:val="04B72541"/>
    <w:rsid w:val="04C275CF"/>
    <w:rsid w:val="04C2A705"/>
    <w:rsid w:val="04C307CF"/>
    <w:rsid w:val="04C4B603"/>
    <w:rsid w:val="04D53ACC"/>
    <w:rsid w:val="04D6D68F"/>
    <w:rsid w:val="04DA38DC"/>
    <w:rsid w:val="04DFC146"/>
    <w:rsid w:val="04E2212E"/>
    <w:rsid w:val="04E24133"/>
    <w:rsid w:val="04E90A14"/>
    <w:rsid w:val="04EB2BA1"/>
    <w:rsid w:val="04F2342A"/>
    <w:rsid w:val="04FE7A66"/>
    <w:rsid w:val="04FF98B8"/>
    <w:rsid w:val="05057BB1"/>
    <w:rsid w:val="05098CD6"/>
    <w:rsid w:val="050F3D42"/>
    <w:rsid w:val="050F57E8"/>
    <w:rsid w:val="051632C9"/>
    <w:rsid w:val="051D48C1"/>
    <w:rsid w:val="051D92DD"/>
    <w:rsid w:val="051F37B8"/>
    <w:rsid w:val="052B9655"/>
    <w:rsid w:val="053A5EF4"/>
    <w:rsid w:val="05403687"/>
    <w:rsid w:val="05410B14"/>
    <w:rsid w:val="054192E6"/>
    <w:rsid w:val="0546ED0D"/>
    <w:rsid w:val="05473153"/>
    <w:rsid w:val="05499A4E"/>
    <w:rsid w:val="05518CE0"/>
    <w:rsid w:val="05534826"/>
    <w:rsid w:val="055658A5"/>
    <w:rsid w:val="0557C29B"/>
    <w:rsid w:val="05580346"/>
    <w:rsid w:val="055A9401"/>
    <w:rsid w:val="055FFCE8"/>
    <w:rsid w:val="0560E800"/>
    <w:rsid w:val="05610972"/>
    <w:rsid w:val="0564DE39"/>
    <w:rsid w:val="056FD8C5"/>
    <w:rsid w:val="056FE0CB"/>
    <w:rsid w:val="056FF6A0"/>
    <w:rsid w:val="0573F98F"/>
    <w:rsid w:val="057645A1"/>
    <w:rsid w:val="05841CB1"/>
    <w:rsid w:val="05854F18"/>
    <w:rsid w:val="058B8792"/>
    <w:rsid w:val="0599868A"/>
    <w:rsid w:val="059AB0B4"/>
    <w:rsid w:val="05A0AC4F"/>
    <w:rsid w:val="05A1FB7B"/>
    <w:rsid w:val="05A566EF"/>
    <w:rsid w:val="05A5D12E"/>
    <w:rsid w:val="05AA0379"/>
    <w:rsid w:val="05AE1B18"/>
    <w:rsid w:val="05B10D19"/>
    <w:rsid w:val="05B1C776"/>
    <w:rsid w:val="05B1FD10"/>
    <w:rsid w:val="05B957FB"/>
    <w:rsid w:val="05BB38F9"/>
    <w:rsid w:val="05D49178"/>
    <w:rsid w:val="05DB8649"/>
    <w:rsid w:val="05DFC268"/>
    <w:rsid w:val="05E6B465"/>
    <w:rsid w:val="05F7168B"/>
    <w:rsid w:val="05FB0777"/>
    <w:rsid w:val="05FC5400"/>
    <w:rsid w:val="060742E2"/>
    <w:rsid w:val="0610F7CE"/>
    <w:rsid w:val="0615266F"/>
    <w:rsid w:val="061C83A7"/>
    <w:rsid w:val="06218643"/>
    <w:rsid w:val="0626D452"/>
    <w:rsid w:val="062733FD"/>
    <w:rsid w:val="062AE4EF"/>
    <w:rsid w:val="0630439C"/>
    <w:rsid w:val="06312C8C"/>
    <w:rsid w:val="063FD516"/>
    <w:rsid w:val="06403EBC"/>
    <w:rsid w:val="0644FA2B"/>
    <w:rsid w:val="064CA2DD"/>
    <w:rsid w:val="06513570"/>
    <w:rsid w:val="0651D69B"/>
    <w:rsid w:val="0652D27F"/>
    <w:rsid w:val="06569215"/>
    <w:rsid w:val="065DC377"/>
    <w:rsid w:val="0664092F"/>
    <w:rsid w:val="06655208"/>
    <w:rsid w:val="06707E7B"/>
    <w:rsid w:val="0674BA34"/>
    <w:rsid w:val="067ADAF4"/>
    <w:rsid w:val="0684B752"/>
    <w:rsid w:val="06855B14"/>
    <w:rsid w:val="06890756"/>
    <w:rsid w:val="0689B3AE"/>
    <w:rsid w:val="068DD3A0"/>
    <w:rsid w:val="06901AEF"/>
    <w:rsid w:val="0694EAD5"/>
    <w:rsid w:val="06990110"/>
    <w:rsid w:val="069B8B10"/>
    <w:rsid w:val="06A17158"/>
    <w:rsid w:val="06A58A69"/>
    <w:rsid w:val="06ABA8AA"/>
    <w:rsid w:val="06B5FF41"/>
    <w:rsid w:val="06BC71B9"/>
    <w:rsid w:val="06BFFB06"/>
    <w:rsid w:val="06C815E9"/>
    <w:rsid w:val="06CBE163"/>
    <w:rsid w:val="06D40BAA"/>
    <w:rsid w:val="06D51257"/>
    <w:rsid w:val="06D54850"/>
    <w:rsid w:val="06D6D30B"/>
    <w:rsid w:val="06D8CD70"/>
    <w:rsid w:val="06DD3EF4"/>
    <w:rsid w:val="06E56AAF"/>
    <w:rsid w:val="06E67ADE"/>
    <w:rsid w:val="06E9485C"/>
    <w:rsid w:val="06EAF1E2"/>
    <w:rsid w:val="06EBCBF2"/>
    <w:rsid w:val="06EEB5F3"/>
    <w:rsid w:val="06EEE670"/>
    <w:rsid w:val="06F27E34"/>
    <w:rsid w:val="06F31FF0"/>
    <w:rsid w:val="06F5825D"/>
    <w:rsid w:val="06F874CA"/>
    <w:rsid w:val="06FE2EB9"/>
    <w:rsid w:val="07026305"/>
    <w:rsid w:val="070CBE74"/>
    <w:rsid w:val="070F7A93"/>
    <w:rsid w:val="07147EC1"/>
    <w:rsid w:val="0717818A"/>
    <w:rsid w:val="071DC9CC"/>
    <w:rsid w:val="0725CE17"/>
    <w:rsid w:val="073155A7"/>
    <w:rsid w:val="0731FE88"/>
    <w:rsid w:val="0732E7D0"/>
    <w:rsid w:val="073680CA"/>
    <w:rsid w:val="07397136"/>
    <w:rsid w:val="07397470"/>
    <w:rsid w:val="074262A6"/>
    <w:rsid w:val="07467DB9"/>
    <w:rsid w:val="074A8D7C"/>
    <w:rsid w:val="0750B298"/>
    <w:rsid w:val="07556133"/>
    <w:rsid w:val="075983E6"/>
    <w:rsid w:val="075BC8AF"/>
    <w:rsid w:val="075EF7C0"/>
    <w:rsid w:val="075F4732"/>
    <w:rsid w:val="075F955F"/>
    <w:rsid w:val="07627A27"/>
    <w:rsid w:val="076D228A"/>
    <w:rsid w:val="077F3F69"/>
    <w:rsid w:val="07808E5F"/>
    <w:rsid w:val="078133ED"/>
    <w:rsid w:val="0786F05D"/>
    <w:rsid w:val="0787349C"/>
    <w:rsid w:val="078BD1CF"/>
    <w:rsid w:val="078C6916"/>
    <w:rsid w:val="07990DC7"/>
    <w:rsid w:val="079B5F9C"/>
    <w:rsid w:val="07A07682"/>
    <w:rsid w:val="07AA7A88"/>
    <w:rsid w:val="07B984AF"/>
    <w:rsid w:val="07BBA4AB"/>
    <w:rsid w:val="07BDBBD1"/>
    <w:rsid w:val="07BE341F"/>
    <w:rsid w:val="07BEBAF9"/>
    <w:rsid w:val="07BEF283"/>
    <w:rsid w:val="07BFA177"/>
    <w:rsid w:val="07C041C1"/>
    <w:rsid w:val="07C3ABF6"/>
    <w:rsid w:val="07CABC7E"/>
    <w:rsid w:val="07CBBA33"/>
    <w:rsid w:val="07CCF52D"/>
    <w:rsid w:val="07D0297F"/>
    <w:rsid w:val="07D20407"/>
    <w:rsid w:val="07D5347B"/>
    <w:rsid w:val="07DBFC88"/>
    <w:rsid w:val="07E0D9B7"/>
    <w:rsid w:val="07E11A21"/>
    <w:rsid w:val="07EC7289"/>
    <w:rsid w:val="07EC7F9D"/>
    <w:rsid w:val="07ECD99E"/>
    <w:rsid w:val="07EF6AFA"/>
    <w:rsid w:val="07F1A74C"/>
    <w:rsid w:val="07F69684"/>
    <w:rsid w:val="07F7B66E"/>
    <w:rsid w:val="07F84FC0"/>
    <w:rsid w:val="07F8C819"/>
    <w:rsid w:val="0803347A"/>
    <w:rsid w:val="0809480E"/>
    <w:rsid w:val="0816C6BC"/>
    <w:rsid w:val="08183C79"/>
    <w:rsid w:val="081C6637"/>
    <w:rsid w:val="081D5B5C"/>
    <w:rsid w:val="081F90D9"/>
    <w:rsid w:val="08249152"/>
    <w:rsid w:val="08285E92"/>
    <w:rsid w:val="082E5DC0"/>
    <w:rsid w:val="082F0418"/>
    <w:rsid w:val="083499F6"/>
    <w:rsid w:val="0835B1E0"/>
    <w:rsid w:val="08378A7F"/>
    <w:rsid w:val="083C0CCA"/>
    <w:rsid w:val="083C1E6C"/>
    <w:rsid w:val="083D7F13"/>
    <w:rsid w:val="083FBD54"/>
    <w:rsid w:val="084C2913"/>
    <w:rsid w:val="084D7F11"/>
    <w:rsid w:val="0852426B"/>
    <w:rsid w:val="0852B404"/>
    <w:rsid w:val="08553624"/>
    <w:rsid w:val="0855484A"/>
    <w:rsid w:val="08592169"/>
    <w:rsid w:val="08615FFE"/>
    <w:rsid w:val="0869849E"/>
    <w:rsid w:val="086ABD3D"/>
    <w:rsid w:val="086DBF32"/>
    <w:rsid w:val="086F48D2"/>
    <w:rsid w:val="087E8D18"/>
    <w:rsid w:val="087F0B63"/>
    <w:rsid w:val="088C57FA"/>
    <w:rsid w:val="0892F2ED"/>
    <w:rsid w:val="0896344A"/>
    <w:rsid w:val="08963E59"/>
    <w:rsid w:val="08979FEB"/>
    <w:rsid w:val="08980C36"/>
    <w:rsid w:val="0899313A"/>
    <w:rsid w:val="08A28804"/>
    <w:rsid w:val="08A297E2"/>
    <w:rsid w:val="08A7286C"/>
    <w:rsid w:val="08AA0787"/>
    <w:rsid w:val="08AD94DE"/>
    <w:rsid w:val="08AE6430"/>
    <w:rsid w:val="08AF362D"/>
    <w:rsid w:val="08B2B410"/>
    <w:rsid w:val="08B3CAB0"/>
    <w:rsid w:val="08B747FA"/>
    <w:rsid w:val="08BA561F"/>
    <w:rsid w:val="08BC3CA4"/>
    <w:rsid w:val="08C70AEF"/>
    <w:rsid w:val="08C7CD72"/>
    <w:rsid w:val="08D342FB"/>
    <w:rsid w:val="08D811AB"/>
    <w:rsid w:val="08D8C156"/>
    <w:rsid w:val="08DA1493"/>
    <w:rsid w:val="08DB8FF0"/>
    <w:rsid w:val="08DB9E0A"/>
    <w:rsid w:val="08E165AF"/>
    <w:rsid w:val="08E60599"/>
    <w:rsid w:val="08E78A67"/>
    <w:rsid w:val="08EA0CD3"/>
    <w:rsid w:val="08EA2E80"/>
    <w:rsid w:val="08EC2106"/>
    <w:rsid w:val="08EC68CD"/>
    <w:rsid w:val="08EDA7C2"/>
    <w:rsid w:val="08EDDB52"/>
    <w:rsid w:val="08EDF462"/>
    <w:rsid w:val="08F386F8"/>
    <w:rsid w:val="08F4382B"/>
    <w:rsid w:val="08F84494"/>
    <w:rsid w:val="08FBDF85"/>
    <w:rsid w:val="0900BD79"/>
    <w:rsid w:val="09042834"/>
    <w:rsid w:val="0905A3ED"/>
    <w:rsid w:val="0905C125"/>
    <w:rsid w:val="0908489C"/>
    <w:rsid w:val="09092FBE"/>
    <w:rsid w:val="091A3509"/>
    <w:rsid w:val="09200523"/>
    <w:rsid w:val="092590A7"/>
    <w:rsid w:val="0925A3C3"/>
    <w:rsid w:val="0928777A"/>
    <w:rsid w:val="0931509D"/>
    <w:rsid w:val="09359711"/>
    <w:rsid w:val="09385D8B"/>
    <w:rsid w:val="093CDA4F"/>
    <w:rsid w:val="094083FC"/>
    <w:rsid w:val="0940C165"/>
    <w:rsid w:val="0945FA43"/>
    <w:rsid w:val="0946BE7E"/>
    <w:rsid w:val="09472EE4"/>
    <w:rsid w:val="094EF275"/>
    <w:rsid w:val="09570E34"/>
    <w:rsid w:val="095D5F82"/>
    <w:rsid w:val="096B821E"/>
    <w:rsid w:val="096D1A96"/>
    <w:rsid w:val="09735ED9"/>
    <w:rsid w:val="0976D6A0"/>
    <w:rsid w:val="0979F0D6"/>
    <w:rsid w:val="097A7302"/>
    <w:rsid w:val="097FFD26"/>
    <w:rsid w:val="098D423E"/>
    <w:rsid w:val="099188EA"/>
    <w:rsid w:val="09944863"/>
    <w:rsid w:val="09960C16"/>
    <w:rsid w:val="09966319"/>
    <w:rsid w:val="0997C245"/>
    <w:rsid w:val="099F66F4"/>
    <w:rsid w:val="09A282F8"/>
    <w:rsid w:val="09A33970"/>
    <w:rsid w:val="09A52BD9"/>
    <w:rsid w:val="09A5D66B"/>
    <w:rsid w:val="09A8003A"/>
    <w:rsid w:val="09AE20E9"/>
    <w:rsid w:val="09AFC050"/>
    <w:rsid w:val="09B84390"/>
    <w:rsid w:val="09B9C831"/>
    <w:rsid w:val="09BA7F5A"/>
    <w:rsid w:val="09BAEA7C"/>
    <w:rsid w:val="09BBDBE6"/>
    <w:rsid w:val="09BFC4A8"/>
    <w:rsid w:val="09C4C1AB"/>
    <w:rsid w:val="09C5A927"/>
    <w:rsid w:val="09C885D7"/>
    <w:rsid w:val="09CC01E9"/>
    <w:rsid w:val="09CC1D6B"/>
    <w:rsid w:val="09D072F6"/>
    <w:rsid w:val="09D5F898"/>
    <w:rsid w:val="09D81A3A"/>
    <w:rsid w:val="09E331B3"/>
    <w:rsid w:val="09E48E20"/>
    <w:rsid w:val="09E4F4CE"/>
    <w:rsid w:val="09EA7A74"/>
    <w:rsid w:val="09EBAAF5"/>
    <w:rsid w:val="09EFAE42"/>
    <w:rsid w:val="09EFE8D7"/>
    <w:rsid w:val="09F46D76"/>
    <w:rsid w:val="09F79BC8"/>
    <w:rsid w:val="09FF5DB5"/>
    <w:rsid w:val="0A0063CD"/>
    <w:rsid w:val="0A0EAF8A"/>
    <w:rsid w:val="0A0F2F33"/>
    <w:rsid w:val="0A107D69"/>
    <w:rsid w:val="0A10AEEF"/>
    <w:rsid w:val="0A1380CA"/>
    <w:rsid w:val="0A17FEA8"/>
    <w:rsid w:val="0A1BFBA7"/>
    <w:rsid w:val="0A1C0339"/>
    <w:rsid w:val="0A207C9E"/>
    <w:rsid w:val="0A24B610"/>
    <w:rsid w:val="0A25B7BF"/>
    <w:rsid w:val="0A269B8F"/>
    <w:rsid w:val="0A2C9ABC"/>
    <w:rsid w:val="0A2E4901"/>
    <w:rsid w:val="0A2EA234"/>
    <w:rsid w:val="0A351D09"/>
    <w:rsid w:val="0A37BE76"/>
    <w:rsid w:val="0A3855A8"/>
    <w:rsid w:val="0A3B7763"/>
    <w:rsid w:val="0A48D303"/>
    <w:rsid w:val="0A506FCD"/>
    <w:rsid w:val="0A534191"/>
    <w:rsid w:val="0A5B8569"/>
    <w:rsid w:val="0A60C178"/>
    <w:rsid w:val="0A6A3EA9"/>
    <w:rsid w:val="0A6A48FB"/>
    <w:rsid w:val="0A6C103C"/>
    <w:rsid w:val="0A6CE83B"/>
    <w:rsid w:val="0A71CD87"/>
    <w:rsid w:val="0A7551C2"/>
    <w:rsid w:val="0A7D2F4E"/>
    <w:rsid w:val="0A7DD6F0"/>
    <w:rsid w:val="0A81CBAE"/>
    <w:rsid w:val="0A84EB38"/>
    <w:rsid w:val="0A85CD35"/>
    <w:rsid w:val="0A891D74"/>
    <w:rsid w:val="0A95435D"/>
    <w:rsid w:val="0A96F5BE"/>
    <w:rsid w:val="0A98CD1E"/>
    <w:rsid w:val="0A98F7EE"/>
    <w:rsid w:val="0A992163"/>
    <w:rsid w:val="0A9D4D85"/>
    <w:rsid w:val="0AA139A3"/>
    <w:rsid w:val="0AA1F200"/>
    <w:rsid w:val="0AA46053"/>
    <w:rsid w:val="0AA758D4"/>
    <w:rsid w:val="0AA90744"/>
    <w:rsid w:val="0AB0B3AE"/>
    <w:rsid w:val="0AB26CF7"/>
    <w:rsid w:val="0AB80256"/>
    <w:rsid w:val="0AC2B54B"/>
    <w:rsid w:val="0ACD3B22"/>
    <w:rsid w:val="0AD39AED"/>
    <w:rsid w:val="0AD66BB3"/>
    <w:rsid w:val="0AD71F78"/>
    <w:rsid w:val="0AD836EE"/>
    <w:rsid w:val="0AD9A9EC"/>
    <w:rsid w:val="0ADE8310"/>
    <w:rsid w:val="0AE3BFCB"/>
    <w:rsid w:val="0AE64C6F"/>
    <w:rsid w:val="0AE98751"/>
    <w:rsid w:val="0AEA05AF"/>
    <w:rsid w:val="0AED0C47"/>
    <w:rsid w:val="0AF1DF53"/>
    <w:rsid w:val="0AF38C49"/>
    <w:rsid w:val="0AF4306C"/>
    <w:rsid w:val="0AF60D55"/>
    <w:rsid w:val="0AF72CA4"/>
    <w:rsid w:val="0AFA5DCD"/>
    <w:rsid w:val="0AFA8733"/>
    <w:rsid w:val="0AFCFD0C"/>
    <w:rsid w:val="0AFDD5A2"/>
    <w:rsid w:val="0B00AB6A"/>
    <w:rsid w:val="0B0CBDA9"/>
    <w:rsid w:val="0B0DE2DA"/>
    <w:rsid w:val="0B0DF5B2"/>
    <w:rsid w:val="0B0F34E8"/>
    <w:rsid w:val="0B1D855A"/>
    <w:rsid w:val="0B1EABDA"/>
    <w:rsid w:val="0B267DFC"/>
    <w:rsid w:val="0B269C2E"/>
    <w:rsid w:val="0B270076"/>
    <w:rsid w:val="0B27C516"/>
    <w:rsid w:val="0B2ADD8B"/>
    <w:rsid w:val="0B30FE4E"/>
    <w:rsid w:val="0B355577"/>
    <w:rsid w:val="0B3854C6"/>
    <w:rsid w:val="0B395445"/>
    <w:rsid w:val="0B3E6E2F"/>
    <w:rsid w:val="0B3ED660"/>
    <w:rsid w:val="0B44E6D0"/>
    <w:rsid w:val="0B4ADEA6"/>
    <w:rsid w:val="0B4CDFAF"/>
    <w:rsid w:val="0B512ECF"/>
    <w:rsid w:val="0B519805"/>
    <w:rsid w:val="0B52ACE0"/>
    <w:rsid w:val="0B579670"/>
    <w:rsid w:val="0B60C6AE"/>
    <w:rsid w:val="0B68049C"/>
    <w:rsid w:val="0B695723"/>
    <w:rsid w:val="0B6BD1BE"/>
    <w:rsid w:val="0B6D1D2E"/>
    <w:rsid w:val="0B732CE8"/>
    <w:rsid w:val="0B73DF21"/>
    <w:rsid w:val="0B7600CC"/>
    <w:rsid w:val="0B7C6BFC"/>
    <w:rsid w:val="0B81FF51"/>
    <w:rsid w:val="0B86139F"/>
    <w:rsid w:val="0B8DF49A"/>
    <w:rsid w:val="0B90C22B"/>
    <w:rsid w:val="0B94C7A1"/>
    <w:rsid w:val="0BA36E28"/>
    <w:rsid w:val="0BB3BBEF"/>
    <w:rsid w:val="0BB5DA03"/>
    <w:rsid w:val="0BB87E7C"/>
    <w:rsid w:val="0BBA1549"/>
    <w:rsid w:val="0BC0639E"/>
    <w:rsid w:val="0BC14949"/>
    <w:rsid w:val="0BC28CF1"/>
    <w:rsid w:val="0BCBD91E"/>
    <w:rsid w:val="0BCE6EFF"/>
    <w:rsid w:val="0BD8EE82"/>
    <w:rsid w:val="0BDA99B5"/>
    <w:rsid w:val="0BDC0B85"/>
    <w:rsid w:val="0BE2F1CA"/>
    <w:rsid w:val="0BE4C2C7"/>
    <w:rsid w:val="0BE54A6F"/>
    <w:rsid w:val="0BE81331"/>
    <w:rsid w:val="0BE8AEE2"/>
    <w:rsid w:val="0BE98C69"/>
    <w:rsid w:val="0BEEBEED"/>
    <w:rsid w:val="0BF1D3ED"/>
    <w:rsid w:val="0BF2BA2E"/>
    <w:rsid w:val="0BF4F530"/>
    <w:rsid w:val="0BF58462"/>
    <w:rsid w:val="0BF86B20"/>
    <w:rsid w:val="0BF970A2"/>
    <w:rsid w:val="0BFE8FAB"/>
    <w:rsid w:val="0C04723D"/>
    <w:rsid w:val="0C05B5A6"/>
    <w:rsid w:val="0C0D67D7"/>
    <w:rsid w:val="0C0E4EFC"/>
    <w:rsid w:val="0C0E72A3"/>
    <w:rsid w:val="0C1A896B"/>
    <w:rsid w:val="0C1AB2F1"/>
    <w:rsid w:val="0C1DA35D"/>
    <w:rsid w:val="0C29B1A7"/>
    <w:rsid w:val="0C3104D0"/>
    <w:rsid w:val="0C339D35"/>
    <w:rsid w:val="0C33A2AB"/>
    <w:rsid w:val="0C3B7997"/>
    <w:rsid w:val="0C3F1E07"/>
    <w:rsid w:val="0C4426AA"/>
    <w:rsid w:val="0C4E1F08"/>
    <w:rsid w:val="0C522336"/>
    <w:rsid w:val="0C5515B4"/>
    <w:rsid w:val="0C55D603"/>
    <w:rsid w:val="0C5688EE"/>
    <w:rsid w:val="0C572D18"/>
    <w:rsid w:val="0C5A1C46"/>
    <w:rsid w:val="0C5C4A22"/>
    <w:rsid w:val="0C5CE26E"/>
    <w:rsid w:val="0C733FCE"/>
    <w:rsid w:val="0C81F6E3"/>
    <w:rsid w:val="0C859212"/>
    <w:rsid w:val="0C86504E"/>
    <w:rsid w:val="0C8A4EF4"/>
    <w:rsid w:val="0C8F20BD"/>
    <w:rsid w:val="0C922726"/>
    <w:rsid w:val="0C9232BE"/>
    <w:rsid w:val="0C93A598"/>
    <w:rsid w:val="0CA526E1"/>
    <w:rsid w:val="0CA79FE7"/>
    <w:rsid w:val="0CB43BAF"/>
    <w:rsid w:val="0CBCC5B3"/>
    <w:rsid w:val="0CBE689C"/>
    <w:rsid w:val="0CC31493"/>
    <w:rsid w:val="0CCB6B8D"/>
    <w:rsid w:val="0CCE1E00"/>
    <w:rsid w:val="0CD0E6C5"/>
    <w:rsid w:val="0CD242B4"/>
    <w:rsid w:val="0CD31431"/>
    <w:rsid w:val="0CD37126"/>
    <w:rsid w:val="0CD39E3C"/>
    <w:rsid w:val="0CD438F7"/>
    <w:rsid w:val="0CDA08B4"/>
    <w:rsid w:val="0CDAF320"/>
    <w:rsid w:val="0CDECF84"/>
    <w:rsid w:val="0CE23117"/>
    <w:rsid w:val="0CFBE157"/>
    <w:rsid w:val="0D035D15"/>
    <w:rsid w:val="0D03D4FD"/>
    <w:rsid w:val="0D0A17B3"/>
    <w:rsid w:val="0D0DE9E2"/>
    <w:rsid w:val="0D0F4014"/>
    <w:rsid w:val="0D159304"/>
    <w:rsid w:val="0D18720D"/>
    <w:rsid w:val="0D1A45F1"/>
    <w:rsid w:val="0D1D1DBE"/>
    <w:rsid w:val="0D214D6E"/>
    <w:rsid w:val="0D33B9D2"/>
    <w:rsid w:val="0D3691E9"/>
    <w:rsid w:val="0D397F14"/>
    <w:rsid w:val="0D544A14"/>
    <w:rsid w:val="0D561A08"/>
    <w:rsid w:val="0D5F0BEF"/>
    <w:rsid w:val="0D744C19"/>
    <w:rsid w:val="0D748345"/>
    <w:rsid w:val="0D74C673"/>
    <w:rsid w:val="0D76FC41"/>
    <w:rsid w:val="0D789089"/>
    <w:rsid w:val="0D7A1B99"/>
    <w:rsid w:val="0D7A953F"/>
    <w:rsid w:val="0D7EF350"/>
    <w:rsid w:val="0D86F142"/>
    <w:rsid w:val="0D99C218"/>
    <w:rsid w:val="0D9A65BB"/>
    <w:rsid w:val="0D9C0263"/>
    <w:rsid w:val="0D9E9CDA"/>
    <w:rsid w:val="0DA26A1F"/>
    <w:rsid w:val="0DA85E3E"/>
    <w:rsid w:val="0DA9B0E0"/>
    <w:rsid w:val="0DA9F094"/>
    <w:rsid w:val="0DAD7D7E"/>
    <w:rsid w:val="0DB0F6B0"/>
    <w:rsid w:val="0DB17709"/>
    <w:rsid w:val="0DB67F6F"/>
    <w:rsid w:val="0DB97E8A"/>
    <w:rsid w:val="0DBA2AFD"/>
    <w:rsid w:val="0DBA98A2"/>
    <w:rsid w:val="0DBABF5C"/>
    <w:rsid w:val="0DC0DCBD"/>
    <w:rsid w:val="0DCB03D4"/>
    <w:rsid w:val="0DCF432A"/>
    <w:rsid w:val="0DD16085"/>
    <w:rsid w:val="0DD448A9"/>
    <w:rsid w:val="0DD4D1BA"/>
    <w:rsid w:val="0DD5F5E0"/>
    <w:rsid w:val="0DDBF0BF"/>
    <w:rsid w:val="0DDF565D"/>
    <w:rsid w:val="0DDFE719"/>
    <w:rsid w:val="0DE8DDE8"/>
    <w:rsid w:val="0DEB0AB9"/>
    <w:rsid w:val="0DEDA61F"/>
    <w:rsid w:val="0DF06A34"/>
    <w:rsid w:val="0E00A15A"/>
    <w:rsid w:val="0E03B72F"/>
    <w:rsid w:val="0E05FA12"/>
    <w:rsid w:val="0E073775"/>
    <w:rsid w:val="0E14F6AC"/>
    <w:rsid w:val="0E15CE02"/>
    <w:rsid w:val="0E1B33CB"/>
    <w:rsid w:val="0E225C68"/>
    <w:rsid w:val="0E240C5A"/>
    <w:rsid w:val="0E24364B"/>
    <w:rsid w:val="0E2C4510"/>
    <w:rsid w:val="0E31DE14"/>
    <w:rsid w:val="0E34B7AE"/>
    <w:rsid w:val="0E385D69"/>
    <w:rsid w:val="0E3C74BB"/>
    <w:rsid w:val="0E3E7069"/>
    <w:rsid w:val="0E3EB4E8"/>
    <w:rsid w:val="0E49CE04"/>
    <w:rsid w:val="0E508F82"/>
    <w:rsid w:val="0E53AD09"/>
    <w:rsid w:val="0E5508D4"/>
    <w:rsid w:val="0E558CB5"/>
    <w:rsid w:val="0E593CE7"/>
    <w:rsid w:val="0E6C2C9A"/>
    <w:rsid w:val="0E736044"/>
    <w:rsid w:val="0E7E98A9"/>
    <w:rsid w:val="0E7F8296"/>
    <w:rsid w:val="0E88B3CD"/>
    <w:rsid w:val="0E8A854C"/>
    <w:rsid w:val="0E941F7B"/>
    <w:rsid w:val="0E9597E4"/>
    <w:rsid w:val="0E9CF2EA"/>
    <w:rsid w:val="0E9D00E8"/>
    <w:rsid w:val="0E9E7B7C"/>
    <w:rsid w:val="0EA08FA2"/>
    <w:rsid w:val="0EA44E95"/>
    <w:rsid w:val="0EA5DF4E"/>
    <w:rsid w:val="0EA9439B"/>
    <w:rsid w:val="0EA952F9"/>
    <w:rsid w:val="0EAE0423"/>
    <w:rsid w:val="0EB43BB3"/>
    <w:rsid w:val="0EB9AD5E"/>
    <w:rsid w:val="0EBB3903"/>
    <w:rsid w:val="0EC7581C"/>
    <w:rsid w:val="0ECA5A0C"/>
    <w:rsid w:val="0ECF7384"/>
    <w:rsid w:val="0EDD79BD"/>
    <w:rsid w:val="0EDF9B8F"/>
    <w:rsid w:val="0EDFA57B"/>
    <w:rsid w:val="0EE1B2EF"/>
    <w:rsid w:val="0EEC2143"/>
    <w:rsid w:val="0EEF0A22"/>
    <w:rsid w:val="0EF5BECA"/>
    <w:rsid w:val="0EFC0455"/>
    <w:rsid w:val="0EFD5FED"/>
    <w:rsid w:val="0EFE6241"/>
    <w:rsid w:val="0F00610C"/>
    <w:rsid w:val="0F04166F"/>
    <w:rsid w:val="0F089E42"/>
    <w:rsid w:val="0F090BAD"/>
    <w:rsid w:val="0F0D739B"/>
    <w:rsid w:val="0F0DD435"/>
    <w:rsid w:val="0F16EE66"/>
    <w:rsid w:val="0F1A85A0"/>
    <w:rsid w:val="0F1E7B54"/>
    <w:rsid w:val="0F23B512"/>
    <w:rsid w:val="0F2A54F0"/>
    <w:rsid w:val="0F35D56B"/>
    <w:rsid w:val="0F3CA37F"/>
    <w:rsid w:val="0F3E0B96"/>
    <w:rsid w:val="0F403C7F"/>
    <w:rsid w:val="0F41A7EE"/>
    <w:rsid w:val="0F41FD10"/>
    <w:rsid w:val="0F455225"/>
    <w:rsid w:val="0F46A694"/>
    <w:rsid w:val="0F46D4BA"/>
    <w:rsid w:val="0F476E89"/>
    <w:rsid w:val="0F48CB40"/>
    <w:rsid w:val="0F4D4508"/>
    <w:rsid w:val="0F4E4E35"/>
    <w:rsid w:val="0F50E49C"/>
    <w:rsid w:val="0F50E93E"/>
    <w:rsid w:val="0F52881F"/>
    <w:rsid w:val="0F541DD2"/>
    <w:rsid w:val="0F5D2A02"/>
    <w:rsid w:val="0F61A933"/>
    <w:rsid w:val="0F64534D"/>
    <w:rsid w:val="0F6A590A"/>
    <w:rsid w:val="0F72EEA2"/>
    <w:rsid w:val="0F7FA87D"/>
    <w:rsid w:val="0F846AD0"/>
    <w:rsid w:val="0F8F0DDE"/>
    <w:rsid w:val="0F92C66C"/>
    <w:rsid w:val="0F96728C"/>
    <w:rsid w:val="0FA32B1B"/>
    <w:rsid w:val="0FA356F3"/>
    <w:rsid w:val="0FA8AFCD"/>
    <w:rsid w:val="0FAAA428"/>
    <w:rsid w:val="0FAB9226"/>
    <w:rsid w:val="0FB48AF6"/>
    <w:rsid w:val="0FB58129"/>
    <w:rsid w:val="0FB774DF"/>
    <w:rsid w:val="0FB95246"/>
    <w:rsid w:val="0FB97BC6"/>
    <w:rsid w:val="0FB9D0B7"/>
    <w:rsid w:val="0FBDBAEF"/>
    <w:rsid w:val="0FC06693"/>
    <w:rsid w:val="0FCD7AB6"/>
    <w:rsid w:val="0FD5A6D7"/>
    <w:rsid w:val="0FD6495E"/>
    <w:rsid w:val="0FE2C285"/>
    <w:rsid w:val="0FE6EDE5"/>
    <w:rsid w:val="0FE9782E"/>
    <w:rsid w:val="0FEAE91C"/>
    <w:rsid w:val="0FFEFA0F"/>
    <w:rsid w:val="0FFFBBAA"/>
    <w:rsid w:val="1002248C"/>
    <w:rsid w:val="100ABDCF"/>
    <w:rsid w:val="100BE544"/>
    <w:rsid w:val="100C9F1D"/>
    <w:rsid w:val="100DAEA8"/>
    <w:rsid w:val="100F7DDF"/>
    <w:rsid w:val="1014BAA6"/>
    <w:rsid w:val="10190A05"/>
    <w:rsid w:val="101B85DF"/>
    <w:rsid w:val="10276E60"/>
    <w:rsid w:val="1033C252"/>
    <w:rsid w:val="103BDBF7"/>
    <w:rsid w:val="1048ED7A"/>
    <w:rsid w:val="104AE997"/>
    <w:rsid w:val="104C0436"/>
    <w:rsid w:val="10526421"/>
    <w:rsid w:val="105C8A63"/>
    <w:rsid w:val="105E4904"/>
    <w:rsid w:val="1062EBC9"/>
    <w:rsid w:val="10655601"/>
    <w:rsid w:val="106EA521"/>
    <w:rsid w:val="1070BE94"/>
    <w:rsid w:val="1072DD6C"/>
    <w:rsid w:val="1074A442"/>
    <w:rsid w:val="10760E5D"/>
    <w:rsid w:val="107CFFFC"/>
    <w:rsid w:val="107E1B0C"/>
    <w:rsid w:val="108199DB"/>
    <w:rsid w:val="1083FE03"/>
    <w:rsid w:val="108780F8"/>
    <w:rsid w:val="1087CA3E"/>
    <w:rsid w:val="108EFBE1"/>
    <w:rsid w:val="1097E3F0"/>
    <w:rsid w:val="1098CF87"/>
    <w:rsid w:val="109BF2A3"/>
    <w:rsid w:val="109EFCBD"/>
    <w:rsid w:val="10A25141"/>
    <w:rsid w:val="10A94761"/>
    <w:rsid w:val="10ACCA10"/>
    <w:rsid w:val="10AFAE3D"/>
    <w:rsid w:val="10AFE3A5"/>
    <w:rsid w:val="10B182EC"/>
    <w:rsid w:val="10B49B38"/>
    <w:rsid w:val="10B9AE5F"/>
    <w:rsid w:val="10BAFC6C"/>
    <w:rsid w:val="10C1E93E"/>
    <w:rsid w:val="10C29A3C"/>
    <w:rsid w:val="10C699A4"/>
    <w:rsid w:val="10CBABC3"/>
    <w:rsid w:val="10CD64D7"/>
    <w:rsid w:val="10CDDFD7"/>
    <w:rsid w:val="10DE3406"/>
    <w:rsid w:val="10EB6FBC"/>
    <w:rsid w:val="10EEDA87"/>
    <w:rsid w:val="10F58417"/>
    <w:rsid w:val="10FFB202"/>
    <w:rsid w:val="110145F1"/>
    <w:rsid w:val="110149D3"/>
    <w:rsid w:val="1102B2BC"/>
    <w:rsid w:val="1103082F"/>
    <w:rsid w:val="1104E64E"/>
    <w:rsid w:val="110AD98A"/>
    <w:rsid w:val="110D26FF"/>
    <w:rsid w:val="11159A68"/>
    <w:rsid w:val="111965D8"/>
    <w:rsid w:val="111FCE07"/>
    <w:rsid w:val="11206192"/>
    <w:rsid w:val="1121E213"/>
    <w:rsid w:val="1127EA12"/>
    <w:rsid w:val="112932DD"/>
    <w:rsid w:val="112A2D56"/>
    <w:rsid w:val="112EBCE9"/>
    <w:rsid w:val="112EFA91"/>
    <w:rsid w:val="11349E01"/>
    <w:rsid w:val="1134B3A5"/>
    <w:rsid w:val="113EAF16"/>
    <w:rsid w:val="11466416"/>
    <w:rsid w:val="114A0A00"/>
    <w:rsid w:val="114F28D5"/>
    <w:rsid w:val="115FF61E"/>
    <w:rsid w:val="1161CC3E"/>
    <w:rsid w:val="1164BB2E"/>
    <w:rsid w:val="1169A37F"/>
    <w:rsid w:val="116EDA4F"/>
    <w:rsid w:val="11712DBF"/>
    <w:rsid w:val="11770032"/>
    <w:rsid w:val="117C7E9F"/>
    <w:rsid w:val="117FE752"/>
    <w:rsid w:val="11801909"/>
    <w:rsid w:val="1180A07E"/>
    <w:rsid w:val="1181556C"/>
    <w:rsid w:val="1181E763"/>
    <w:rsid w:val="118595EE"/>
    <w:rsid w:val="1187A940"/>
    <w:rsid w:val="11890083"/>
    <w:rsid w:val="118ED33F"/>
    <w:rsid w:val="119555FC"/>
    <w:rsid w:val="1196BC5E"/>
    <w:rsid w:val="1197ACCF"/>
    <w:rsid w:val="119A0449"/>
    <w:rsid w:val="119A1343"/>
    <w:rsid w:val="11A52788"/>
    <w:rsid w:val="11A8F9FB"/>
    <w:rsid w:val="11B9405D"/>
    <w:rsid w:val="11C7CA9E"/>
    <w:rsid w:val="11C9C8A0"/>
    <w:rsid w:val="11CEB506"/>
    <w:rsid w:val="11D0DA34"/>
    <w:rsid w:val="11D34FDA"/>
    <w:rsid w:val="11D76A64"/>
    <w:rsid w:val="11DD28E5"/>
    <w:rsid w:val="11E33ECB"/>
    <w:rsid w:val="11E6BCB4"/>
    <w:rsid w:val="11ED7DB7"/>
    <w:rsid w:val="11EF3958"/>
    <w:rsid w:val="11F04A19"/>
    <w:rsid w:val="11F6BEC0"/>
    <w:rsid w:val="11FA6459"/>
    <w:rsid w:val="12007DE6"/>
    <w:rsid w:val="1203BEE8"/>
    <w:rsid w:val="1205D9E8"/>
    <w:rsid w:val="1212414C"/>
    <w:rsid w:val="12152292"/>
    <w:rsid w:val="121EBECB"/>
    <w:rsid w:val="12253C0E"/>
    <w:rsid w:val="1227162A"/>
    <w:rsid w:val="1227EC01"/>
    <w:rsid w:val="1239E686"/>
    <w:rsid w:val="1244D08D"/>
    <w:rsid w:val="1246E6EF"/>
    <w:rsid w:val="1251BF39"/>
    <w:rsid w:val="1256075D"/>
    <w:rsid w:val="12570166"/>
    <w:rsid w:val="1264EB4C"/>
    <w:rsid w:val="126CB81B"/>
    <w:rsid w:val="1273DF75"/>
    <w:rsid w:val="127A2ADC"/>
    <w:rsid w:val="127B5BD0"/>
    <w:rsid w:val="127C47EF"/>
    <w:rsid w:val="12815790"/>
    <w:rsid w:val="1281CC01"/>
    <w:rsid w:val="12844DA1"/>
    <w:rsid w:val="12855BD0"/>
    <w:rsid w:val="12944684"/>
    <w:rsid w:val="129A3290"/>
    <w:rsid w:val="12AF855C"/>
    <w:rsid w:val="12B61487"/>
    <w:rsid w:val="12B66F4B"/>
    <w:rsid w:val="12B6CE00"/>
    <w:rsid w:val="12BA8A7B"/>
    <w:rsid w:val="12BD4635"/>
    <w:rsid w:val="12C0F963"/>
    <w:rsid w:val="12C128A3"/>
    <w:rsid w:val="12CB7A1E"/>
    <w:rsid w:val="12CFFD4A"/>
    <w:rsid w:val="12D58572"/>
    <w:rsid w:val="12D620A8"/>
    <w:rsid w:val="12D6F910"/>
    <w:rsid w:val="12DFBBCB"/>
    <w:rsid w:val="12E2F843"/>
    <w:rsid w:val="12E911AA"/>
    <w:rsid w:val="12EB7292"/>
    <w:rsid w:val="12EBB6AD"/>
    <w:rsid w:val="12F8145D"/>
    <w:rsid w:val="12F874F3"/>
    <w:rsid w:val="12F98C08"/>
    <w:rsid w:val="12FC841E"/>
    <w:rsid w:val="12FFCB86"/>
    <w:rsid w:val="13013AE6"/>
    <w:rsid w:val="13014395"/>
    <w:rsid w:val="1301FE1E"/>
    <w:rsid w:val="1303B4E5"/>
    <w:rsid w:val="130516F6"/>
    <w:rsid w:val="13097FFB"/>
    <w:rsid w:val="13183B9E"/>
    <w:rsid w:val="131A2902"/>
    <w:rsid w:val="131DD8E6"/>
    <w:rsid w:val="131E92DA"/>
    <w:rsid w:val="1320E1DD"/>
    <w:rsid w:val="1327F667"/>
    <w:rsid w:val="132C8D09"/>
    <w:rsid w:val="132EBD16"/>
    <w:rsid w:val="132F1875"/>
    <w:rsid w:val="133056B2"/>
    <w:rsid w:val="1337D0DD"/>
    <w:rsid w:val="133B6F6D"/>
    <w:rsid w:val="13489AC1"/>
    <w:rsid w:val="134D0CFF"/>
    <w:rsid w:val="134F0E59"/>
    <w:rsid w:val="13505B06"/>
    <w:rsid w:val="13547143"/>
    <w:rsid w:val="135959FE"/>
    <w:rsid w:val="1361FDF7"/>
    <w:rsid w:val="1363B1FA"/>
    <w:rsid w:val="1364EBD6"/>
    <w:rsid w:val="136836B6"/>
    <w:rsid w:val="136959A9"/>
    <w:rsid w:val="136D2B6A"/>
    <w:rsid w:val="137584F9"/>
    <w:rsid w:val="13760C35"/>
    <w:rsid w:val="137E2695"/>
    <w:rsid w:val="137F6518"/>
    <w:rsid w:val="1383B31B"/>
    <w:rsid w:val="1384AB28"/>
    <w:rsid w:val="1387F20D"/>
    <w:rsid w:val="138F44DA"/>
    <w:rsid w:val="1391BC64"/>
    <w:rsid w:val="139C45AA"/>
    <w:rsid w:val="13A0C39D"/>
    <w:rsid w:val="13A450DA"/>
    <w:rsid w:val="13AFD1B7"/>
    <w:rsid w:val="13B0ABCD"/>
    <w:rsid w:val="13B57742"/>
    <w:rsid w:val="13B88AFB"/>
    <w:rsid w:val="13B8A729"/>
    <w:rsid w:val="13C6379C"/>
    <w:rsid w:val="13C768FB"/>
    <w:rsid w:val="13CA97B7"/>
    <w:rsid w:val="13CE8FDB"/>
    <w:rsid w:val="13CF5E32"/>
    <w:rsid w:val="13DE81D4"/>
    <w:rsid w:val="13DE9613"/>
    <w:rsid w:val="13ED003D"/>
    <w:rsid w:val="13EFB756"/>
    <w:rsid w:val="13F0B589"/>
    <w:rsid w:val="13F251E5"/>
    <w:rsid w:val="13F4068C"/>
    <w:rsid w:val="13F4BAAF"/>
    <w:rsid w:val="13FCDCAA"/>
    <w:rsid w:val="1402A7BB"/>
    <w:rsid w:val="140DA987"/>
    <w:rsid w:val="141C3C71"/>
    <w:rsid w:val="141E4F05"/>
    <w:rsid w:val="14225B27"/>
    <w:rsid w:val="142B471B"/>
    <w:rsid w:val="142B4CC3"/>
    <w:rsid w:val="142EAC06"/>
    <w:rsid w:val="142FA0B4"/>
    <w:rsid w:val="143113FC"/>
    <w:rsid w:val="143BB295"/>
    <w:rsid w:val="143DE07E"/>
    <w:rsid w:val="144BCA7A"/>
    <w:rsid w:val="144DC288"/>
    <w:rsid w:val="1452B03A"/>
    <w:rsid w:val="1453667F"/>
    <w:rsid w:val="14541F0B"/>
    <w:rsid w:val="145CED1C"/>
    <w:rsid w:val="1466FE57"/>
    <w:rsid w:val="14679B27"/>
    <w:rsid w:val="146B3249"/>
    <w:rsid w:val="146D8DC9"/>
    <w:rsid w:val="146DE6CF"/>
    <w:rsid w:val="146E957C"/>
    <w:rsid w:val="146FEDA1"/>
    <w:rsid w:val="14760722"/>
    <w:rsid w:val="147B1018"/>
    <w:rsid w:val="14851327"/>
    <w:rsid w:val="1489975D"/>
    <w:rsid w:val="148CBBF3"/>
    <w:rsid w:val="149204F4"/>
    <w:rsid w:val="149AB01A"/>
    <w:rsid w:val="149C6B66"/>
    <w:rsid w:val="14A71B3A"/>
    <w:rsid w:val="14AA5C0B"/>
    <w:rsid w:val="14ABD43F"/>
    <w:rsid w:val="14AC4D25"/>
    <w:rsid w:val="14AF2BC8"/>
    <w:rsid w:val="14B81C1E"/>
    <w:rsid w:val="14B8E302"/>
    <w:rsid w:val="14BA63C7"/>
    <w:rsid w:val="14C7E4DB"/>
    <w:rsid w:val="14CEFA7D"/>
    <w:rsid w:val="14CF2705"/>
    <w:rsid w:val="14D0559A"/>
    <w:rsid w:val="14D09888"/>
    <w:rsid w:val="14D4BF99"/>
    <w:rsid w:val="14E086FB"/>
    <w:rsid w:val="14E20832"/>
    <w:rsid w:val="14E5760A"/>
    <w:rsid w:val="14EE0D48"/>
    <w:rsid w:val="14F99DEE"/>
    <w:rsid w:val="14FAB012"/>
    <w:rsid w:val="14FAB11F"/>
    <w:rsid w:val="14FE1E6E"/>
    <w:rsid w:val="14FF91D1"/>
    <w:rsid w:val="15030D8D"/>
    <w:rsid w:val="1504B208"/>
    <w:rsid w:val="150A6295"/>
    <w:rsid w:val="150CDA55"/>
    <w:rsid w:val="150D1816"/>
    <w:rsid w:val="1514A3E5"/>
    <w:rsid w:val="15152E66"/>
    <w:rsid w:val="15259209"/>
    <w:rsid w:val="152C0A96"/>
    <w:rsid w:val="152CD7A7"/>
    <w:rsid w:val="152D843F"/>
    <w:rsid w:val="153A0F15"/>
    <w:rsid w:val="153E92CE"/>
    <w:rsid w:val="15402D2E"/>
    <w:rsid w:val="154B6850"/>
    <w:rsid w:val="15501601"/>
    <w:rsid w:val="15551055"/>
    <w:rsid w:val="155E2FB6"/>
    <w:rsid w:val="1568BB05"/>
    <w:rsid w:val="1568E13F"/>
    <w:rsid w:val="156AB3EC"/>
    <w:rsid w:val="156D19C6"/>
    <w:rsid w:val="157592FD"/>
    <w:rsid w:val="157A48B4"/>
    <w:rsid w:val="1580CDA8"/>
    <w:rsid w:val="1580D08E"/>
    <w:rsid w:val="15833B27"/>
    <w:rsid w:val="15837C43"/>
    <w:rsid w:val="15885246"/>
    <w:rsid w:val="158BCC34"/>
    <w:rsid w:val="158D5C37"/>
    <w:rsid w:val="158D5F57"/>
    <w:rsid w:val="158F9136"/>
    <w:rsid w:val="159BF71C"/>
    <w:rsid w:val="159D7D74"/>
    <w:rsid w:val="15A4044A"/>
    <w:rsid w:val="15A9E873"/>
    <w:rsid w:val="15AA0A7C"/>
    <w:rsid w:val="15AAE6D7"/>
    <w:rsid w:val="15AC3979"/>
    <w:rsid w:val="15ACF3FF"/>
    <w:rsid w:val="15B15EA7"/>
    <w:rsid w:val="15B880B6"/>
    <w:rsid w:val="15C98EF6"/>
    <w:rsid w:val="15CD43CC"/>
    <w:rsid w:val="15CF598A"/>
    <w:rsid w:val="15D1B8A0"/>
    <w:rsid w:val="15D2F423"/>
    <w:rsid w:val="15E0C8CC"/>
    <w:rsid w:val="15E40691"/>
    <w:rsid w:val="15E8C2BD"/>
    <w:rsid w:val="15EB027D"/>
    <w:rsid w:val="15EB5574"/>
    <w:rsid w:val="15EC6575"/>
    <w:rsid w:val="15ED8A0D"/>
    <w:rsid w:val="15EE4DC8"/>
    <w:rsid w:val="15EF924A"/>
    <w:rsid w:val="15F73CBB"/>
    <w:rsid w:val="15FAAA94"/>
    <w:rsid w:val="15FBF9ED"/>
    <w:rsid w:val="160E8B98"/>
    <w:rsid w:val="16143427"/>
    <w:rsid w:val="1614CF46"/>
    <w:rsid w:val="16151A2C"/>
    <w:rsid w:val="1615E011"/>
    <w:rsid w:val="16165911"/>
    <w:rsid w:val="16171182"/>
    <w:rsid w:val="16179045"/>
    <w:rsid w:val="161BE2BB"/>
    <w:rsid w:val="1627AFA4"/>
    <w:rsid w:val="16283FD7"/>
    <w:rsid w:val="16288C54"/>
    <w:rsid w:val="162D4865"/>
    <w:rsid w:val="1631B857"/>
    <w:rsid w:val="163EB113"/>
    <w:rsid w:val="163EC492"/>
    <w:rsid w:val="1640EB2B"/>
    <w:rsid w:val="16422F96"/>
    <w:rsid w:val="16429144"/>
    <w:rsid w:val="1642EED0"/>
    <w:rsid w:val="1645FA41"/>
    <w:rsid w:val="164922B1"/>
    <w:rsid w:val="165ACB86"/>
    <w:rsid w:val="165E4C97"/>
    <w:rsid w:val="1669812C"/>
    <w:rsid w:val="166A5EB7"/>
    <w:rsid w:val="16719D75"/>
    <w:rsid w:val="16721CCA"/>
    <w:rsid w:val="1676004C"/>
    <w:rsid w:val="167C88B6"/>
    <w:rsid w:val="167FC685"/>
    <w:rsid w:val="1684A644"/>
    <w:rsid w:val="168B41CB"/>
    <w:rsid w:val="168B86A1"/>
    <w:rsid w:val="168F895B"/>
    <w:rsid w:val="1692D6C8"/>
    <w:rsid w:val="16989316"/>
    <w:rsid w:val="169B3F3F"/>
    <w:rsid w:val="169DF5D5"/>
    <w:rsid w:val="169FC3D8"/>
    <w:rsid w:val="16A01910"/>
    <w:rsid w:val="16A11640"/>
    <w:rsid w:val="16A572C4"/>
    <w:rsid w:val="16AAF411"/>
    <w:rsid w:val="16AF9C6A"/>
    <w:rsid w:val="16B06532"/>
    <w:rsid w:val="16B2481C"/>
    <w:rsid w:val="16B2BC57"/>
    <w:rsid w:val="16B4395D"/>
    <w:rsid w:val="16B537A7"/>
    <w:rsid w:val="16B8DEB9"/>
    <w:rsid w:val="16BBAE33"/>
    <w:rsid w:val="16C74F7F"/>
    <w:rsid w:val="16C84B18"/>
    <w:rsid w:val="16CCE1D1"/>
    <w:rsid w:val="16CD2D92"/>
    <w:rsid w:val="16D14FBD"/>
    <w:rsid w:val="16D1F379"/>
    <w:rsid w:val="16D23277"/>
    <w:rsid w:val="16D3C3AE"/>
    <w:rsid w:val="16D67507"/>
    <w:rsid w:val="16D81B53"/>
    <w:rsid w:val="16DCAD38"/>
    <w:rsid w:val="16DDA23B"/>
    <w:rsid w:val="16E5CBB8"/>
    <w:rsid w:val="16E820B0"/>
    <w:rsid w:val="16E86005"/>
    <w:rsid w:val="16E88D21"/>
    <w:rsid w:val="16EAF901"/>
    <w:rsid w:val="16F1CE9F"/>
    <w:rsid w:val="16F2DC18"/>
    <w:rsid w:val="16F8F5AB"/>
    <w:rsid w:val="16FB6741"/>
    <w:rsid w:val="16FC0716"/>
    <w:rsid w:val="1703E161"/>
    <w:rsid w:val="17105799"/>
    <w:rsid w:val="171B34FF"/>
    <w:rsid w:val="171F5A95"/>
    <w:rsid w:val="171FD018"/>
    <w:rsid w:val="17266CFC"/>
    <w:rsid w:val="172E4713"/>
    <w:rsid w:val="172E8FCA"/>
    <w:rsid w:val="173575DF"/>
    <w:rsid w:val="173F7FBF"/>
    <w:rsid w:val="17414C02"/>
    <w:rsid w:val="1746A6A7"/>
    <w:rsid w:val="174A03BF"/>
    <w:rsid w:val="174A339F"/>
    <w:rsid w:val="174CB619"/>
    <w:rsid w:val="174E045A"/>
    <w:rsid w:val="175A3606"/>
    <w:rsid w:val="175A89C2"/>
    <w:rsid w:val="1760EC27"/>
    <w:rsid w:val="17635701"/>
    <w:rsid w:val="176609EC"/>
    <w:rsid w:val="176D93B7"/>
    <w:rsid w:val="176DDD38"/>
    <w:rsid w:val="176F2A5E"/>
    <w:rsid w:val="17756B15"/>
    <w:rsid w:val="1775A4FA"/>
    <w:rsid w:val="177920A6"/>
    <w:rsid w:val="1779D756"/>
    <w:rsid w:val="177A0581"/>
    <w:rsid w:val="177B16D4"/>
    <w:rsid w:val="177D4C03"/>
    <w:rsid w:val="177EA5ED"/>
    <w:rsid w:val="177F0269"/>
    <w:rsid w:val="17807B9F"/>
    <w:rsid w:val="178E0A74"/>
    <w:rsid w:val="178E63F9"/>
    <w:rsid w:val="1796A901"/>
    <w:rsid w:val="179C58B0"/>
    <w:rsid w:val="17A78AC1"/>
    <w:rsid w:val="17AF96BB"/>
    <w:rsid w:val="17B38C0F"/>
    <w:rsid w:val="17B3D180"/>
    <w:rsid w:val="17B3E2D9"/>
    <w:rsid w:val="17B53D8B"/>
    <w:rsid w:val="17BAC667"/>
    <w:rsid w:val="17BBAB0C"/>
    <w:rsid w:val="17BD357C"/>
    <w:rsid w:val="17BECE4C"/>
    <w:rsid w:val="17C60F9C"/>
    <w:rsid w:val="17CDBBFC"/>
    <w:rsid w:val="17D6768A"/>
    <w:rsid w:val="17DA9D4F"/>
    <w:rsid w:val="17E2D279"/>
    <w:rsid w:val="17E5C938"/>
    <w:rsid w:val="17EB2B60"/>
    <w:rsid w:val="17F332C4"/>
    <w:rsid w:val="17F5F4FA"/>
    <w:rsid w:val="18033CE2"/>
    <w:rsid w:val="1803DF3A"/>
    <w:rsid w:val="1804AF70"/>
    <w:rsid w:val="1804B36E"/>
    <w:rsid w:val="18055BED"/>
    <w:rsid w:val="180FCD98"/>
    <w:rsid w:val="18162357"/>
    <w:rsid w:val="18185917"/>
    <w:rsid w:val="1818CA88"/>
    <w:rsid w:val="1818DE98"/>
    <w:rsid w:val="18316F0A"/>
    <w:rsid w:val="183A372E"/>
    <w:rsid w:val="183C23C4"/>
    <w:rsid w:val="184001E3"/>
    <w:rsid w:val="1841C713"/>
    <w:rsid w:val="184B8AA9"/>
    <w:rsid w:val="184C48D9"/>
    <w:rsid w:val="1852A190"/>
    <w:rsid w:val="185533E9"/>
    <w:rsid w:val="18580F64"/>
    <w:rsid w:val="18643166"/>
    <w:rsid w:val="1867183C"/>
    <w:rsid w:val="18678A68"/>
    <w:rsid w:val="18692F1A"/>
    <w:rsid w:val="186EBAD7"/>
    <w:rsid w:val="18749FD2"/>
    <w:rsid w:val="18757261"/>
    <w:rsid w:val="18859506"/>
    <w:rsid w:val="18868372"/>
    <w:rsid w:val="1890442C"/>
    <w:rsid w:val="1896F0D0"/>
    <w:rsid w:val="1897C5DD"/>
    <w:rsid w:val="189EE48E"/>
    <w:rsid w:val="18A1C93C"/>
    <w:rsid w:val="18A486A0"/>
    <w:rsid w:val="18A52A0A"/>
    <w:rsid w:val="18B0A7BF"/>
    <w:rsid w:val="18B24836"/>
    <w:rsid w:val="18B5CA16"/>
    <w:rsid w:val="18B62CB8"/>
    <w:rsid w:val="18B775C5"/>
    <w:rsid w:val="18C22C0A"/>
    <w:rsid w:val="18C6A58D"/>
    <w:rsid w:val="18C9F6AE"/>
    <w:rsid w:val="18D152EC"/>
    <w:rsid w:val="18D55C65"/>
    <w:rsid w:val="18EB70FC"/>
    <w:rsid w:val="18F39A67"/>
    <w:rsid w:val="18F5E42B"/>
    <w:rsid w:val="19007C26"/>
    <w:rsid w:val="19069E09"/>
    <w:rsid w:val="1908B040"/>
    <w:rsid w:val="1908B297"/>
    <w:rsid w:val="19145046"/>
    <w:rsid w:val="19168DD1"/>
    <w:rsid w:val="1916921C"/>
    <w:rsid w:val="191D6DA4"/>
    <w:rsid w:val="191D6F27"/>
    <w:rsid w:val="1926BAA0"/>
    <w:rsid w:val="192F8E2D"/>
    <w:rsid w:val="1933F671"/>
    <w:rsid w:val="19404104"/>
    <w:rsid w:val="19404383"/>
    <w:rsid w:val="19408487"/>
    <w:rsid w:val="1949011C"/>
    <w:rsid w:val="194CD4E2"/>
    <w:rsid w:val="194DC5BD"/>
    <w:rsid w:val="19571FB6"/>
    <w:rsid w:val="19697D78"/>
    <w:rsid w:val="19749515"/>
    <w:rsid w:val="197ADA26"/>
    <w:rsid w:val="197E7FDB"/>
    <w:rsid w:val="1982F138"/>
    <w:rsid w:val="198448F1"/>
    <w:rsid w:val="1989A078"/>
    <w:rsid w:val="198B1C02"/>
    <w:rsid w:val="198B5CBF"/>
    <w:rsid w:val="198CA471"/>
    <w:rsid w:val="19924780"/>
    <w:rsid w:val="1996741A"/>
    <w:rsid w:val="199DDF00"/>
    <w:rsid w:val="199F81C9"/>
    <w:rsid w:val="19A389C6"/>
    <w:rsid w:val="19A8D77F"/>
    <w:rsid w:val="19B3837D"/>
    <w:rsid w:val="19B8B058"/>
    <w:rsid w:val="19C91A22"/>
    <w:rsid w:val="19C93FC9"/>
    <w:rsid w:val="19CC4A99"/>
    <w:rsid w:val="19CF8AB4"/>
    <w:rsid w:val="19D1475E"/>
    <w:rsid w:val="19DA2737"/>
    <w:rsid w:val="19E34D4A"/>
    <w:rsid w:val="19E84CA0"/>
    <w:rsid w:val="19EAC59A"/>
    <w:rsid w:val="19F3455E"/>
    <w:rsid w:val="19F828B0"/>
    <w:rsid w:val="19F854CB"/>
    <w:rsid w:val="19F8608B"/>
    <w:rsid w:val="19F8EAD4"/>
    <w:rsid w:val="19FD8C91"/>
    <w:rsid w:val="1A0232EE"/>
    <w:rsid w:val="1A152954"/>
    <w:rsid w:val="1A16F3AD"/>
    <w:rsid w:val="1A181296"/>
    <w:rsid w:val="1A1B4416"/>
    <w:rsid w:val="1A2206F3"/>
    <w:rsid w:val="1A2A112C"/>
    <w:rsid w:val="1A33257D"/>
    <w:rsid w:val="1A33F1F9"/>
    <w:rsid w:val="1A35FD23"/>
    <w:rsid w:val="1A3B96C6"/>
    <w:rsid w:val="1A40DDA3"/>
    <w:rsid w:val="1A410BB3"/>
    <w:rsid w:val="1A410DB3"/>
    <w:rsid w:val="1A49B28C"/>
    <w:rsid w:val="1A4B6595"/>
    <w:rsid w:val="1A4BEF82"/>
    <w:rsid w:val="1A54CC7E"/>
    <w:rsid w:val="1A5534A7"/>
    <w:rsid w:val="1A57E4C6"/>
    <w:rsid w:val="1A5CDEC9"/>
    <w:rsid w:val="1A60FFF4"/>
    <w:rsid w:val="1A6A485A"/>
    <w:rsid w:val="1A6A4ED4"/>
    <w:rsid w:val="1A732D24"/>
    <w:rsid w:val="1A7503E9"/>
    <w:rsid w:val="1A81A2C1"/>
    <w:rsid w:val="1A827A29"/>
    <w:rsid w:val="1A8C1FBF"/>
    <w:rsid w:val="1A934625"/>
    <w:rsid w:val="1A9C814A"/>
    <w:rsid w:val="1AA8E770"/>
    <w:rsid w:val="1AA986C5"/>
    <w:rsid w:val="1AA9A0EF"/>
    <w:rsid w:val="1AB6D6F8"/>
    <w:rsid w:val="1AB6F7D1"/>
    <w:rsid w:val="1AC49B9C"/>
    <w:rsid w:val="1AD11FE1"/>
    <w:rsid w:val="1ADEE17A"/>
    <w:rsid w:val="1AE99829"/>
    <w:rsid w:val="1AF27FCC"/>
    <w:rsid w:val="1AF289EF"/>
    <w:rsid w:val="1AF93931"/>
    <w:rsid w:val="1B00A3D9"/>
    <w:rsid w:val="1B09A40D"/>
    <w:rsid w:val="1B09D5E0"/>
    <w:rsid w:val="1B0A573C"/>
    <w:rsid w:val="1B0F1724"/>
    <w:rsid w:val="1B13AA67"/>
    <w:rsid w:val="1B1EE569"/>
    <w:rsid w:val="1B2984A3"/>
    <w:rsid w:val="1B2F7975"/>
    <w:rsid w:val="1B3001C6"/>
    <w:rsid w:val="1B314A85"/>
    <w:rsid w:val="1B31827F"/>
    <w:rsid w:val="1B32EAA2"/>
    <w:rsid w:val="1B3BBA48"/>
    <w:rsid w:val="1B3BCA19"/>
    <w:rsid w:val="1B418B4F"/>
    <w:rsid w:val="1B468586"/>
    <w:rsid w:val="1B4D0EDD"/>
    <w:rsid w:val="1B4DD126"/>
    <w:rsid w:val="1B540033"/>
    <w:rsid w:val="1B542AA2"/>
    <w:rsid w:val="1B56997A"/>
    <w:rsid w:val="1B5E0006"/>
    <w:rsid w:val="1B5E47AA"/>
    <w:rsid w:val="1B6E0EA4"/>
    <w:rsid w:val="1B6F3A1B"/>
    <w:rsid w:val="1B723712"/>
    <w:rsid w:val="1B72F091"/>
    <w:rsid w:val="1B73A81C"/>
    <w:rsid w:val="1B766B7D"/>
    <w:rsid w:val="1B7A222D"/>
    <w:rsid w:val="1B7DB633"/>
    <w:rsid w:val="1B87F7B9"/>
    <w:rsid w:val="1B8871E0"/>
    <w:rsid w:val="1B8D575D"/>
    <w:rsid w:val="1B8E7FE1"/>
    <w:rsid w:val="1B9AB93A"/>
    <w:rsid w:val="1BA6BC6F"/>
    <w:rsid w:val="1BA7B448"/>
    <w:rsid w:val="1BAA2A49"/>
    <w:rsid w:val="1BB38237"/>
    <w:rsid w:val="1BBABC60"/>
    <w:rsid w:val="1BBBED5A"/>
    <w:rsid w:val="1BC1AF5E"/>
    <w:rsid w:val="1BC2B04D"/>
    <w:rsid w:val="1BC326C7"/>
    <w:rsid w:val="1BC3FBD3"/>
    <w:rsid w:val="1BC97191"/>
    <w:rsid w:val="1BCA65EC"/>
    <w:rsid w:val="1BD20776"/>
    <w:rsid w:val="1BD4F2BB"/>
    <w:rsid w:val="1BD688CF"/>
    <w:rsid w:val="1BEF01B1"/>
    <w:rsid w:val="1BFD1E73"/>
    <w:rsid w:val="1BFFA044"/>
    <w:rsid w:val="1C065A2D"/>
    <w:rsid w:val="1C07CD3B"/>
    <w:rsid w:val="1C089E90"/>
    <w:rsid w:val="1C0AABE5"/>
    <w:rsid w:val="1C1B5609"/>
    <w:rsid w:val="1C1E6B32"/>
    <w:rsid w:val="1C213537"/>
    <w:rsid w:val="1C22A0CF"/>
    <w:rsid w:val="1C2679EA"/>
    <w:rsid w:val="1C282AA2"/>
    <w:rsid w:val="1C2B4DCC"/>
    <w:rsid w:val="1C3B4AE8"/>
    <w:rsid w:val="1C476143"/>
    <w:rsid w:val="1C4AEB5B"/>
    <w:rsid w:val="1C4F8124"/>
    <w:rsid w:val="1C51ECDA"/>
    <w:rsid w:val="1C524181"/>
    <w:rsid w:val="1C5878FD"/>
    <w:rsid w:val="1C687470"/>
    <w:rsid w:val="1C68EDCE"/>
    <w:rsid w:val="1C6B3650"/>
    <w:rsid w:val="1C71F49D"/>
    <w:rsid w:val="1C75EA4F"/>
    <w:rsid w:val="1C76C656"/>
    <w:rsid w:val="1C7C8C24"/>
    <w:rsid w:val="1C8524F7"/>
    <w:rsid w:val="1C87E756"/>
    <w:rsid w:val="1C905602"/>
    <w:rsid w:val="1C9153D9"/>
    <w:rsid w:val="1CA6405D"/>
    <w:rsid w:val="1CA6773A"/>
    <w:rsid w:val="1CA9BCE0"/>
    <w:rsid w:val="1CABB82B"/>
    <w:rsid w:val="1CAC883B"/>
    <w:rsid w:val="1CB22AD9"/>
    <w:rsid w:val="1CB4953C"/>
    <w:rsid w:val="1CB70A98"/>
    <w:rsid w:val="1CB74BF8"/>
    <w:rsid w:val="1CBCC1E1"/>
    <w:rsid w:val="1CBD54A9"/>
    <w:rsid w:val="1CC0A4AB"/>
    <w:rsid w:val="1CC3EEA0"/>
    <w:rsid w:val="1CC6ABFB"/>
    <w:rsid w:val="1CCE28F7"/>
    <w:rsid w:val="1CD053CE"/>
    <w:rsid w:val="1CD2764D"/>
    <w:rsid w:val="1CD2A089"/>
    <w:rsid w:val="1CDE4307"/>
    <w:rsid w:val="1CDE7D60"/>
    <w:rsid w:val="1CDF3924"/>
    <w:rsid w:val="1CDF3D57"/>
    <w:rsid w:val="1CE4653C"/>
    <w:rsid w:val="1CEA9F6E"/>
    <w:rsid w:val="1CF80607"/>
    <w:rsid w:val="1D015878"/>
    <w:rsid w:val="1D0511A5"/>
    <w:rsid w:val="1D06875C"/>
    <w:rsid w:val="1D102526"/>
    <w:rsid w:val="1D13B99B"/>
    <w:rsid w:val="1D16002D"/>
    <w:rsid w:val="1D2BF2E9"/>
    <w:rsid w:val="1D2C4810"/>
    <w:rsid w:val="1D3780DA"/>
    <w:rsid w:val="1D3DDCFA"/>
    <w:rsid w:val="1D43C41D"/>
    <w:rsid w:val="1D505B75"/>
    <w:rsid w:val="1D53B77B"/>
    <w:rsid w:val="1D54332E"/>
    <w:rsid w:val="1D56F0F2"/>
    <w:rsid w:val="1D57A318"/>
    <w:rsid w:val="1D59E3E5"/>
    <w:rsid w:val="1D5F3BDC"/>
    <w:rsid w:val="1D608503"/>
    <w:rsid w:val="1D6AE870"/>
    <w:rsid w:val="1D6C9B10"/>
    <w:rsid w:val="1D6DBD25"/>
    <w:rsid w:val="1D6FA26B"/>
    <w:rsid w:val="1D748D44"/>
    <w:rsid w:val="1D762CE6"/>
    <w:rsid w:val="1D7A8541"/>
    <w:rsid w:val="1D8090A9"/>
    <w:rsid w:val="1D82F7B9"/>
    <w:rsid w:val="1D8322E4"/>
    <w:rsid w:val="1D8468FF"/>
    <w:rsid w:val="1D86347F"/>
    <w:rsid w:val="1D88D0CC"/>
    <w:rsid w:val="1D8A9AF0"/>
    <w:rsid w:val="1D8E4446"/>
    <w:rsid w:val="1D935B4E"/>
    <w:rsid w:val="1D9D6DFE"/>
    <w:rsid w:val="1DA1B2D7"/>
    <w:rsid w:val="1DA28D12"/>
    <w:rsid w:val="1DA5A8E4"/>
    <w:rsid w:val="1DA84DF1"/>
    <w:rsid w:val="1DA9EB6F"/>
    <w:rsid w:val="1DAF7359"/>
    <w:rsid w:val="1DB2C466"/>
    <w:rsid w:val="1DB73FB9"/>
    <w:rsid w:val="1DBB8562"/>
    <w:rsid w:val="1DC0A6B5"/>
    <w:rsid w:val="1DC52847"/>
    <w:rsid w:val="1DCF3C10"/>
    <w:rsid w:val="1DCFB0BE"/>
    <w:rsid w:val="1DD20DE0"/>
    <w:rsid w:val="1DD68BD2"/>
    <w:rsid w:val="1DD80FD7"/>
    <w:rsid w:val="1DDC6307"/>
    <w:rsid w:val="1DE18A8C"/>
    <w:rsid w:val="1DE5FBE2"/>
    <w:rsid w:val="1DEB6642"/>
    <w:rsid w:val="1DEDFD4E"/>
    <w:rsid w:val="1DEFF9F7"/>
    <w:rsid w:val="1DF05FFE"/>
    <w:rsid w:val="1DF11EA6"/>
    <w:rsid w:val="1DF3FD61"/>
    <w:rsid w:val="1DF4A6ED"/>
    <w:rsid w:val="1DF69B77"/>
    <w:rsid w:val="1DF7482D"/>
    <w:rsid w:val="1DFCC060"/>
    <w:rsid w:val="1DFEB15C"/>
    <w:rsid w:val="1E0B9B31"/>
    <w:rsid w:val="1E0D8AC3"/>
    <w:rsid w:val="1E1AEC74"/>
    <w:rsid w:val="1E1FFAEA"/>
    <w:rsid w:val="1E2000B4"/>
    <w:rsid w:val="1E204740"/>
    <w:rsid w:val="1E22A65F"/>
    <w:rsid w:val="1E271E27"/>
    <w:rsid w:val="1E29EF27"/>
    <w:rsid w:val="1E2A40D9"/>
    <w:rsid w:val="1E2B97E5"/>
    <w:rsid w:val="1E2D30E9"/>
    <w:rsid w:val="1E312774"/>
    <w:rsid w:val="1E3193FE"/>
    <w:rsid w:val="1E33EF8D"/>
    <w:rsid w:val="1E371717"/>
    <w:rsid w:val="1E3849D7"/>
    <w:rsid w:val="1E3B945D"/>
    <w:rsid w:val="1E3ECE8D"/>
    <w:rsid w:val="1E3F00F1"/>
    <w:rsid w:val="1E418D88"/>
    <w:rsid w:val="1E447D34"/>
    <w:rsid w:val="1E449EE5"/>
    <w:rsid w:val="1E4B9198"/>
    <w:rsid w:val="1E4C7B1F"/>
    <w:rsid w:val="1E4CF758"/>
    <w:rsid w:val="1E515A2D"/>
    <w:rsid w:val="1E54592E"/>
    <w:rsid w:val="1E61FED2"/>
    <w:rsid w:val="1E6615DB"/>
    <w:rsid w:val="1E6CA28D"/>
    <w:rsid w:val="1E6CC7F1"/>
    <w:rsid w:val="1E7005D5"/>
    <w:rsid w:val="1E7E49EC"/>
    <w:rsid w:val="1E7EA605"/>
    <w:rsid w:val="1E80BD2D"/>
    <w:rsid w:val="1E8C8E0D"/>
    <w:rsid w:val="1E8D1FDD"/>
    <w:rsid w:val="1E8FB538"/>
    <w:rsid w:val="1E90F4A7"/>
    <w:rsid w:val="1E942D5A"/>
    <w:rsid w:val="1E97FC93"/>
    <w:rsid w:val="1E9CAB83"/>
    <w:rsid w:val="1E9E6D9A"/>
    <w:rsid w:val="1E9FE8BC"/>
    <w:rsid w:val="1EA47178"/>
    <w:rsid w:val="1EAA556E"/>
    <w:rsid w:val="1EAE0C71"/>
    <w:rsid w:val="1EB3CC1C"/>
    <w:rsid w:val="1EB5D192"/>
    <w:rsid w:val="1EB5E717"/>
    <w:rsid w:val="1EC1A03A"/>
    <w:rsid w:val="1EC9A1EC"/>
    <w:rsid w:val="1ED24CD8"/>
    <w:rsid w:val="1ED6434F"/>
    <w:rsid w:val="1ED73EF1"/>
    <w:rsid w:val="1EE25091"/>
    <w:rsid w:val="1EE4EDC6"/>
    <w:rsid w:val="1EE67AE0"/>
    <w:rsid w:val="1EE75636"/>
    <w:rsid w:val="1EECEC60"/>
    <w:rsid w:val="1EF13B51"/>
    <w:rsid w:val="1EF99C1A"/>
    <w:rsid w:val="1EFD3C88"/>
    <w:rsid w:val="1EFF3DD0"/>
    <w:rsid w:val="1F008319"/>
    <w:rsid w:val="1F0733CA"/>
    <w:rsid w:val="1F0ACE33"/>
    <w:rsid w:val="1F0AEC19"/>
    <w:rsid w:val="1F135061"/>
    <w:rsid w:val="1F17309D"/>
    <w:rsid w:val="1F1B2AB9"/>
    <w:rsid w:val="1F1E9646"/>
    <w:rsid w:val="1F27D2E0"/>
    <w:rsid w:val="1F2CC50A"/>
    <w:rsid w:val="1F3665B1"/>
    <w:rsid w:val="1F36C819"/>
    <w:rsid w:val="1F3EDCCB"/>
    <w:rsid w:val="1F40EED0"/>
    <w:rsid w:val="1F42D847"/>
    <w:rsid w:val="1F44E702"/>
    <w:rsid w:val="1F451FE0"/>
    <w:rsid w:val="1F48D7CB"/>
    <w:rsid w:val="1F4FFB43"/>
    <w:rsid w:val="1F51F190"/>
    <w:rsid w:val="1F52F6CB"/>
    <w:rsid w:val="1F7718FE"/>
    <w:rsid w:val="1F7A912C"/>
    <w:rsid w:val="1F7E8DE2"/>
    <w:rsid w:val="1F7E90FF"/>
    <w:rsid w:val="1F827A6A"/>
    <w:rsid w:val="1F833C42"/>
    <w:rsid w:val="1F888EF3"/>
    <w:rsid w:val="1F8A330B"/>
    <w:rsid w:val="1F8E9716"/>
    <w:rsid w:val="1F92FE3D"/>
    <w:rsid w:val="1F961926"/>
    <w:rsid w:val="1F9E5994"/>
    <w:rsid w:val="1F9EA6B9"/>
    <w:rsid w:val="1FB0F94D"/>
    <w:rsid w:val="1FB32CFD"/>
    <w:rsid w:val="1FB9E888"/>
    <w:rsid w:val="1FBCFED9"/>
    <w:rsid w:val="1FBD6914"/>
    <w:rsid w:val="1FC1DC84"/>
    <w:rsid w:val="1FC968C5"/>
    <w:rsid w:val="1FCB6836"/>
    <w:rsid w:val="1FCD1ED5"/>
    <w:rsid w:val="1FCFBD6D"/>
    <w:rsid w:val="1FD377AC"/>
    <w:rsid w:val="1FD3A270"/>
    <w:rsid w:val="1FD7514D"/>
    <w:rsid w:val="1FE37164"/>
    <w:rsid w:val="1FE41766"/>
    <w:rsid w:val="1FEA7517"/>
    <w:rsid w:val="1FEF4079"/>
    <w:rsid w:val="1FF5A93C"/>
    <w:rsid w:val="1FFCE998"/>
    <w:rsid w:val="200427DF"/>
    <w:rsid w:val="200A8153"/>
    <w:rsid w:val="200A815C"/>
    <w:rsid w:val="200C9C60"/>
    <w:rsid w:val="200CE0A8"/>
    <w:rsid w:val="2012DE40"/>
    <w:rsid w:val="2019993A"/>
    <w:rsid w:val="201C342B"/>
    <w:rsid w:val="202180EF"/>
    <w:rsid w:val="20267C57"/>
    <w:rsid w:val="202ADAF7"/>
    <w:rsid w:val="20340CE5"/>
    <w:rsid w:val="203C7778"/>
    <w:rsid w:val="203EB179"/>
    <w:rsid w:val="203FE0D5"/>
    <w:rsid w:val="20413501"/>
    <w:rsid w:val="20450A8D"/>
    <w:rsid w:val="2045878F"/>
    <w:rsid w:val="2049B7C0"/>
    <w:rsid w:val="204ADCA8"/>
    <w:rsid w:val="204C7898"/>
    <w:rsid w:val="20501162"/>
    <w:rsid w:val="2050D33A"/>
    <w:rsid w:val="2056D7DE"/>
    <w:rsid w:val="2059EA68"/>
    <w:rsid w:val="205B638B"/>
    <w:rsid w:val="2064E0F1"/>
    <w:rsid w:val="207C5060"/>
    <w:rsid w:val="207DC59F"/>
    <w:rsid w:val="207F64E8"/>
    <w:rsid w:val="20819ABC"/>
    <w:rsid w:val="20859A49"/>
    <w:rsid w:val="20866815"/>
    <w:rsid w:val="2090CB4C"/>
    <w:rsid w:val="20932DF2"/>
    <w:rsid w:val="20955C00"/>
    <w:rsid w:val="2096EB1E"/>
    <w:rsid w:val="209B05A4"/>
    <w:rsid w:val="209B7D39"/>
    <w:rsid w:val="209F1B7C"/>
    <w:rsid w:val="20A01D92"/>
    <w:rsid w:val="20A6E9C0"/>
    <w:rsid w:val="20A99C71"/>
    <w:rsid w:val="20A9C410"/>
    <w:rsid w:val="20B16FA1"/>
    <w:rsid w:val="20B68A06"/>
    <w:rsid w:val="20B6F321"/>
    <w:rsid w:val="20B926E9"/>
    <w:rsid w:val="20BA08BD"/>
    <w:rsid w:val="20BCEB4E"/>
    <w:rsid w:val="20BE73A7"/>
    <w:rsid w:val="20BF9C05"/>
    <w:rsid w:val="20C2DEA5"/>
    <w:rsid w:val="20C7432F"/>
    <w:rsid w:val="20C7A030"/>
    <w:rsid w:val="20C97B55"/>
    <w:rsid w:val="20C9E014"/>
    <w:rsid w:val="20CB7744"/>
    <w:rsid w:val="20CBE6C1"/>
    <w:rsid w:val="20D222C8"/>
    <w:rsid w:val="20D33042"/>
    <w:rsid w:val="20D35270"/>
    <w:rsid w:val="20D85962"/>
    <w:rsid w:val="20DBED4A"/>
    <w:rsid w:val="20DE4C58"/>
    <w:rsid w:val="20E0E134"/>
    <w:rsid w:val="20E2F3FD"/>
    <w:rsid w:val="20E5C637"/>
    <w:rsid w:val="20EA369D"/>
    <w:rsid w:val="20FB1CAF"/>
    <w:rsid w:val="20FD9535"/>
    <w:rsid w:val="2102E708"/>
    <w:rsid w:val="21063025"/>
    <w:rsid w:val="210CEBD7"/>
    <w:rsid w:val="210FD341"/>
    <w:rsid w:val="21131023"/>
    <w:rsid w:val="21176F0A"/>
    <w:rsid w:val="211DF962"/>
    <w:rsid w:val="211FF03E"/>
    <w:rsid w:val="2136CAD7"/>
    <w:rsid w:val="213B9C92"/>
    <w:rsid w:val="21445456"/>
    <w:rsid w:val="214BB7ED"/>
    <w:rsid w:val="2150A1E5"/>
    <w:rsid w:val="2151DA73"/>
    <w:rsid w:val="2157C784"/>
    <w:rsid w:val="21589264"/>
    <w:rsid w:val="215C8929"/>
    <w:rsid w:val="21695ED3"/>
    <w:rsid w:val="216B227D"/>
    <w:rsid w:val="2172B19C"/>
    <w:rsid w:val="217771FA"/>
    <w:rsid w:val="217987BC"/>
    <w:rsid w:val="217B0806"/>
    <w:rsid w:val="217CE7B8"/>
    <w:rsid w:val="217D4A23"/>
    <w:rsid w:val="2188DDE1"/>
    <w:rsid w:val="218B3A7E"/>
    <w:rsid w:val="21976335"/>
    <w:rsid w:val="21988507"/>
    <w:rsid w:val="2198FE58"/>
    <w:rsid w:val="21A25CAB"/>
    <w:rsid w:val="21A285E8"/>
    <w:rsid w:val="21A5129C"/>
    <w:rsid w:val="21A51F17"/>
    <w:rsid w:val="21A64339"/>
    <w:rsid w:val="21AA4400"/>
    <w:rsid w:val="21AA4D61"/>
    <w:rsid w:val="21AAA713"/>
    <w:rsid w:val="21AE4870"/>
    <w:rsid w:val="21AF93C1"/>
    <w:rsid w:val="21B8816A"/>
    <w:rsid w:val="21BAFFB6"/>
    <w:rsid w:val="21C17E8B"/>
    <w:rsid w:val="21C2A0C1"/>
    <w:rsid w:val="21C7369B"/>
    <w:rsid w:val="21C9DB87"/>
    <w:rsid w:val="21CBA1E9"/>
    <w:rsid w:val="21CC048E"/>
    <w:rsid w:val="21CD7E18"/>
    <w:rsid w:val="21CE2C68"/>
    <w:rsid w:val="21D83CB1"/>
    <w:rsid w:val="21DD9468"/>
    <w:rsid w:val="21E0E410"/>
    <w:rsid w:val="21E8F865"/>
    <w:rsid w:val="21F07E34"/>
    <w:rsid w:val="21F35BD1"/>
    <w:rsid w:val="21F49FFA"/>
    <w:rsid w:val="21F6E33B"/>
    <w:rsid w:val="21FA3D12"/>
    <w:rsid w:val="21FED55E"/>
    <w:rsid w:val="22077762"/>
    <w:rsid w:val="220A5669"/>
    <w:rsid w:val="221877F7"/>
    <w:rsid w:val="22187FC8"/>
    <w:rsid w:val="2221730C"/>
    <w:rsid w:val="22226950"/>
    <w:rsid w:val="22227556"/>
    <w:rsid w:val="22238D91"/>
    <w:rsid w:val="2224658F"/>
    <w:rsid w:val="2225256E"/>
    <w:rsid w:val="2226DFE9"/>
    <w:rsid w:val="223FEFD2"/>
    <w:rsid w:val="2241B778"/>
    <w:rsid w:val="224B9A0C"/>
    <w:rsid w:val="224C747E"/>
    <w:rsid w:val="2253159C"/>
    <w:rsid w:val="2254EB99"/>
    <w:rsid w:val="22550D16"/>
    <w:rsid w:val="2260C3DD"/>
    <w:rsid w:val="226593C3"/>
    <w:rsid w:val="2268721E"/>
    <w:rsid w:val="2269CACE"/>
    <w:rsid w:val="226C0657"/>
    <w:rsid w:val="226F959C"/>
    <w:rsid w:val="22753A3D"/>
    <w:rsid w:val="2278695D"/>
    <w:rsid w:val="227D6D3F"/>
    <w:rsid w:val="227F05C4"/>
    <w:rsid w:val="227F0A98"/>
    <w:rsid w:val="2280DE8E"/>
    <w:rsid w:val="22822D6B"/>
    <w:rsid w:val="2284FA6E"/>
    <w:rsid w:val="22897327"/>
    <w:rsid w:val="22935537"/>
    <w:rsid w:val="229598F5"/>
    <w:rsid w:val="2298D4EB"/>
    <w:rsid w:val="22992C64"/>
    <w:rsid w:val="229D0D39"/>
    <w:rsid w:val="22A21C82"/>
    <w:rsid w:val="22A89A24"/>
    <w:rsid w:val="22AACFFB"/>
    <w:rsid w:val="22AE7F5B"/>
    <w:rsid w:val="22B5A14E"/>
    <w:rsid w:val="22CDB9E8"/>
    <w:rsid w:val="22CF2B7E"/>
    <w:rsid w:val="22D04A4D"/>
    <w:rsid w:val="22DAF852"/>
    <w:rsid w:val="22DB30C5"/>
    <w:rsid w:val="22E1C106"/>
    <w:rsid w:val="22EB7896"/>
    <w:rsid w:val="22EF353C"/>
    <w:rsid w:val="22FF3D4E"/>
    <w:rsid w:val="22FF8CB3"/>
    <w:rsid w:val="2309B4B9"/>
    <w:rsid w:val="230B0E43"/>
    <w:rsid w:val="230DD65C"/>
    <w:rsid w:val="230F3375"/>
    <w:rsid w:val="23105402"/>
    <w:rsid w:val="231BC2C0"/>
    <w:rsid w:val="23212BBD"/>
    <w:rsid w:val="232E96F5"/>
    <w:rsid w:val="233091AD"/>
    <w:rsid w:val="233B85C9"/>
    <w:rsid w:val="23404519"/>
    <w:rsid w:val="234A1BE5"/>
    <w:rsid w:val="234A8FA1"/>
    <w:rsid w:val="2353F2E5"/>
    <w:rsid w:val="235A7807"/>
    <w:rsid w:val="2361E2C4"/>
    <w:rsid w:val="236B2594"/>
    <w:rsid w:val="237120C8"/>
    <w:rsid w:val="2371D17C"/>
    <w:rsid w:val="2373724E"/>
    <w:rsid w:val="237412BD"/>
    <w:rsid w:val="237986C5"/>
    <w:rsid w:val="23808F7D"/>
    <w:rsid w:val="2380A939"/>
    <w:rsid w:val="238568CF"/>
    <w:rsid w:val="238D05A9"/>
    <w:rsid w:val="238D8322"/>
    <w:rsid w:val="238DAD15"/>
    <w:rsid w:val="23929CB3"/>
    <w:rsid w:val="2394D090"/>
    <w:rsid w:val="23979DBF"/>
    <w:rsid w:val="239F4229"/>
    <w:rsid w:val="23A2F06D"/>
    <w:rsid w:val="23A39F22"/>
    <w:rsid w:val="23A4582B"/>
    <w:rsid w:val="23A8B1A7"/>
    <w:rsid w:val="23AC375A"/>
    <w:rsid w:val="23B1C8EE"/>
    <w:rsid w:val="23BD2244"/>
    <w:rsid w:val="23C0C468"/>
    <w:rsid w:val="23CD3F59"/>
    <w:rsid w:val="23CE43D3"/>
    <w:rsid w:val="23D00CC1"/>
    <w:rsid w:val="23D1548C"/>
    <w:rsid w:val="23D56CD8"/>
    <w:rsid w:val="23D86526"/>
    <w:rsid w:val="23D86784"/>
    <w:rsid w:val="23D8742F"/>
    <w:rsid w:val="23D9E2AA"/>
    <w:rsid w:val="23DC088D"/>
    <w:rsid w:val="23E5687E"/>
    <w:rsid w:val="23F6D1C7"/>
    <w:rsid w:val="23F75ABA"/>
    <w:rsid w:val="23F94140"/>
    <w:rsid w:val="24018E4F"/>
    <w:rsid w:val="240AFF7F"/>
    <w:rsid w:val="24110F25"/>
    <w:rsid w:val="241470E2"/>
    <w:rsid w:val="24153C69"/>
    <w:rsid w:val="241A9461"/>
    <w:rsid w:val="242667EE"/>
    <w:rsid w:val="24272D8E"/>
    <w:rsid w:val="24298BBC"/>
    <w:rsid w:val="242A9654"/>
    <w:rsid w:val="242C2CAC"/>
    <w:rsid w:val="242C5A27"/>
    <w:rsid w:val="2434ADC6"/>
    <w:rsid w:val="24397A40"/>
    <w:rsid w:val="24458C74"/>
    <w:rsid w:val="244C344D"/>
    <w:rsid w:val="2455EB12"/>
    <w:rsid w:val="2456AE85"/>
    <w:rsid w:val="2456BD8D"/>
    <w:rsid w:val="245D2387"/>
    <w:rsid w:val="2460BCA4"/>
    <w:rsid w:val="24639ADC"/>
    <w:rsid w:val="246515B1"/>
    <w:rsid w:val="2467BA1A"/>
    <w:rsid w:val="2478712A"/>
    <w:rsid w:val="247AD579"/>
    <w:rsid w:val="247E5E1B"/>
    <w:rsid w:val="248926A1"/>
    <w:rsid w:val="24897888"/>
    <w:rsid w:val="24979DAC"/>
    <w:rsid w:val="24A13B5E"/>
    <w:rsid w:val="24AD2FFF"/>
    <w:rsid w:val="24BAF341"/>
    <w:rsid w:val="24C03532"/>
    <w:rsid w:val="24CCE176"/>
    <w:rsid w:val="24CE8A9C"/>
    <w:rsid w:val="24D1818E"/>
    <w:rsid w:val="24D9659A"/>
    <w:rsid w:val="24DED8D6"/>
    <w:rsid w:val="24E97BAD"/>
    <w:rsid w:val="24EC0762"/>
    <w:rsid w:val="24F9B24E"/>
    <w:rsid w:val="24FA6EC7"/>
    <w:rsid w:val="24FC7988"/>
    <w:rsid w:val="24FE3989"/>
    <w:rsid w:val="24FF794F"/>
    <w:rsid w:val="25074242"/>
    <w:rsid w:val="25128E41"/>
    <w:rsid w:val="25204928"/>
    <w:rsid w:val="25207858"/>
    <w:rsid w:val="2520CBC8"/>
    <w:rsid w:val="252DC70E"/>
    <w:rsid w:val="25322662"/>
    <w:rsid w:val="25352CEE"/>
    <w:rsid w:val="2536F294"/>
    <w:rsid w:val="253962EF"/>
    <w:rsid w:val="253C9D24"/>
    <w:rsid w:val="253DDD7D"/>
    <w:rsid w:val="253FE294"/>
    <w:rsid w:val="25430328"/>
    <w:rsid w:val="2547B66B"/>
    <w:rsid w:val="254B8889"/>
    <w:rsid w:val="254CD4DC"/>
    <w:rsid w:val="254DE983"/>
    <w:rsid w:val="2552610C"/>
    <w:rsid w:val="2552DCF6"/>
    <w:rsid w:val="255DE705"/>
    <w:rsid w:val="2566C750"/>
    <w:rsid w:val="2568F7D8"/>
    <w:rsid w:val="257071AD"/>
    <w:rsid w:val="25715D20"/>
    <w:rsid w:val="25739B78"/>
    <w:rsid w:val="257D415D"/>
    <w:rsid w:val="258088F6"/>
    <w:rsid w:val="25818262"/>
    <w:rsid w:val="2581B605"/>
    <w:rsid w:val="25860FD8"/>
    <w:rsid w:val="2587F492"/>
    <w:rsid w:val="25891DDC"/>
    <w:rsid w:val="25949512"/>
    <w:rsid w:val="259BD357"/>
    <w:rsid w:val="25A106DE"/>
    <w:rsid w:val="25A3D9A2"/>
    <w:rsid w:val="25A48BED"/>
    <w:rsid w:val="25A9A93C"/>
    <w:rsid w:val="25AA6B9C"/>
    <w:rsid w:val="25AB7AE1"/>
    <w:rsid w:val="25AEDAB8"/>
    <w:rsid w:val="25B4DAD1"/>
    <w:rsid w:val="25BAB961"/>
    <w:rsid w:val="25C41647"/>
    <w:rsid w:val="25C64AD0"/>
    <w:rsid w:val="25C781A0"/>
    <w:rsid w:val="25CDB9B2"/>
    <w:rsid w:val="25DBF318"/>
    <w:rsid w:val="25E5723B"/>
    <w:rsid w:val="25E71CBB"/>
    <w:rsid w:val="25E882BD"/>
    <w:rsid w:val="25EBB497"/>
    <w:rsid w:val="25EEC6D2"/>
    <w:rsid w:val="25F4BA2F"/>
    <w:rsid w:val="25FB7FD9"/>
    <w:rsid w:val="26006E69"/>
    <w:rsid w:val="26010172"/>
    <w:rsid w:val="2602932D"/>
    <w:rsid w:val="2606C079"/>
    <w:rsid w:val="26078583"/>
    <w:rsid w:val="26080276"/>
    <w:rsid w:val="2608B65C"/>
    <w:rsid w:val="2610AB90"/>
    <w:rsid w:val="2613237C"/>
    <w:rsid w:val="261B8EFB"/>
    <w:rsid w:val="2623271B"/>
    <w:rsid w:val="2624FEE9"/>
    <w:rsid w:val="26258A1F"/>
    <w:rsid w:val="26270208"/>
    <w:rsid w:val="26298864"/>
    <w:rsid w:val="262AD342"/>
    <w:rsid w:val="262D8036"/>
    <w:rsid w:val="262E032D"/>
    <w:rsid w:val="2630D849"/>
    <w:rsid w:val="26350781"/>
    <w:rsid w:val="263A3DE0"/>
    <w:rsid w:val="263DB633"/>
    <w:rsid w:val="26409400"/>
    <w:rsid w:val="2641268F"/>
    <w:rsid w:val="264166FB"/>
    <w:rsid w:val="2643DB60"/>
    <w:rsid w:val="264B1BB6"/>
    <w:rsid w:val="26524231"/>
    <w:rsid w:val="26537921"/>
    <w:rsid w:val="265E58B9"/>
    <w:rsid w:val="26636815"/>
    <w:rsid w:val="2666BF7E"/>
    <w:rsid w:val="26673EE1"/>
    <w:rsid w:val="266752A7"/>
    <w:rsid w:val="2667FE8B"/>
    <w:rsid w:val="267488AE"/>
    <w:rsid w:val="267883CB"/>
    <w:rsid w:val="26792260"/>
    <w:rsid w:val="267CC515"/>
    <w:rsid w:val="267EF6E8"/>
    <w:rsid w:val="26804B0C"/>
    <w:rsid w:val="268330DE"/>
    <w:rsid w:val="2687571B"/>
    <w:rsid w:val="2693E999"/>
    <w:rsid w:val="2697B82D"/>
    <w:rsid w:val="269A742B"/>
    <w:rsid w:val="269CB23E"/>
    <w:rsid w:val="269CE652"/>
    <w:rsid w:val="26A02C23"/>
    <w:rsid w:val="26A3A9C1"/>
    <w:rsid w:val="26A3D5E8"/>
    <w:rsid w:val="26A8B7E8"/>
    <w:rsid w:val="26AF9370"/>
    <w:rsid w:val="26B0830D"/>
    <w:rsid w:val="26BDCE4F"/>
    <w:rsid w:val="26C20452"/>
    <w:rsid w:val="26C29A56"/>
    <w:rsid w:val="26C601A5"/>
    <w:rsid w:val="26C7A7FC"/>
    <w:rsid w:val="26C86A07"/>
    <w:rsid w:val="26D0D0A3"/>
    <w:rsid w:val="26D1DD34"/>
    <w:rsid w:val="26D3EBB9"/>
    <w:rsid w:val="26D652E8"/>
    <w:rsid w:val="26D6FD65"/>
    <w:rsid w:val="26D85DC5"/>
    <w:rsid w:val="26D9BE88"/>
    <w:rsid w:val="26DC5E78"/>
    <w:rsid w:val="26DD7120"/>
    <w:rsid w:val="26E19868"/>
    <w:rsid w:val="26E3C45C"/>
    <w:rsid w:val="26E44080"/>
    <w:rsid w:val="26E721A0"/>
    <w:rsid w:val="26E8C144"/>
    <w:rsid w:val="26E9403B"/>
    <w:rsid w:val="26EE12FD"/>
    <w:rsid w:val="26EEE1A4"/>
    <w:rsid w:val="26F4326C"/>
    <w:rsid w:val="26F5B85A"/>
    <w:rsid w:val="26F76BB6"/>
    <w:rsid w:val="26FAD188"/>
    <w:rsid w:val="26FBABE8"/>
    <w:rsid w:val="26FCA55C"/>
    <w:rsid w:val="27078662"/>
    <w:rsid w:val="270A94E2"/>
    <w:rsid w:val="270B83FC"/>
    <w:rsid w:val="271111CF"/>
    <w:rsid w:val="272A40F3"/>
    <w:rsid w:val="272DCC89"/>
    <w:rsid w:val="27309363"/>
    <w:rsid w:val="27340462"/>
    <w:rsid w:val="27408B94"/>
    <w:rsid w:val="27420996"/>
    <w:rsid w:val="274440BB"/>
    <w:rsid w:val="274F6078"/>
    <w:rsid w:val="275737CB"/>
    <w:rsid w:val="275F049B"/>
    <w:rsid w:val="2765422C"/>
    <w:rsid w:val="276A9407"/>
    <w:rsid w:val="276D3E23"/>
    <w:rsid w:val="276D820B"/>
    <w:rsid w:val="27787DB2"/>
    <w:rsid w:val="278573B8"/>
    <w:rsid w:val="278802AE"/>
    <w:rsid w:val="278A4A8D"/>
    <w:rsid w:val="278EC522"/>
    <w:rsid w:val="2790B34E"/>
    <w:rsid w:val="2792CDD4"/>
    <w:rsid w:val="279BA141"/>
    <w:rsid w:val="27A12B0B"/>
    <w:rsid w:val="27A43050"/>
    <w:rsid w:val="27AF1658"/>
    <w:rsid w:val="27AF6B69"/>
    <w:rsid w:val="27B521C9"/>
    <w:rsid w:val="27B80E74"/>
    <w:rsid w:val="27BAFF2B"/>
    <w:rsid w:val="27BBFAF8"/>
    <w:rsid w:val="27C2D269"/>
    <w:rsid w:val="27C44E1D"/>
    <w:rsid w:val="27C58EB1"/>
    <w:rsid w:val="27C62782"/>
    <w:rsid w:val="27C7838C"/>
    <w:rsid w:val="27CC15C8"/>
    <w:rsid w:val="27CCC49A"/>
    <w:rsid w:val="27D45CB5"/>
    <w:rsid w:val="27D8978A"/>
    <w:rsid w:val="27E335F4"/>
    <w:rsid w:val="27E36A20"/>
    <w:rsid w:val="27E3F738"/>
    <w:rsid w:val="27E960E9"/>
    <w:rsid w:val="27EE010B"/>
    <w:rsid w:val="27F08D0B"/>
    <w:rsid w:val="27F6E1EE"/>
    <w:rsid w:val="27F9B553"/>
    <w:rsid w:val="27FAFA81"/>
    <w:rsid w:val="27FD0443"/>
    <w:rsid w:val="27FFE08F"/>
    <w:rsid w:val="280565A9"/>
    <w:rsid w:val="28059CFA"/>
    <w:rsid w:val="280CDAED"/>
    <w:rsid w:val="280FC605"/>
    <w:rsid w:val="2810E6B8"/>
    <w:rsid w:val="2811219F"/>
    <w:rsid w:val="2819708C"/>
    <w:rsid w:val="281E4DE5"/>
    <w:rsid w:val="281EB4F2"/>
    <w:rsid w:val="28222496"/>
    <w:rsid w:val="2826D304"/>
    <w:rsid w:val="283267BA"/>
    <w:rsid w:val="2836268F"/>
    <w:rsid w:val="28385DFA"/>
    <w:rsid w:val="2838B244"/>
    <w:rsid w:val="283940AF"/>
    <w:rsid w:val="2840F382"/>
    <w:rsid w:val="2848E1E7"/>
    <w:rsid w:val="284C3949"/>
    <w:rsid w:val="284DBFED"/>
    <w:rsid w:val="284E9B9B"/>
    <w:rsid w:val="285053D7"/>
    <w:rsid w:val="2857FA0A"/>
    <w:rsid w:val="285DCCD0"/>
    <w:rsid w:val="28625B9E"/>
    <w:rsid w:val="2863BE9E"/>
    <w:rsid w:val="2863BEF8"/>
    <w:rsid w:val="2864B225"/>
    <w:rsid w:val="28670B66"/>
    <w:rsid w:val="286D98DE"/>
    <w:rsid w:val="286F5C38"/>
    <w:rsid w:val="286FDEB2"/>
    <w:rsid w:val="28743568"/>
    <w:rsid w:val="28770D7D"/>
    <w:rsid w:val="2877B68B"/>
    <w:rsid w:val="28785AB4"/>
    <w:rsid w:val="287A54E5"/>
    <w:rsid w:val="287AD3EA"/>
    <w:rsid w:val="287B1C86"/>
    <w:rsid w:val="287D5694"/>
    <w:rsid w:val="2883B448"/>
    <w:rsid w:val="28849C51"/>
    <w:rsid w:val="28896334"/>
    <w:rsid w:val="288BB5CC"/>
    <w:rsid w:val="289529AD"/>
    <w:rsid w:val="28985D1C"/>
    <w:rsid w:val="28A01C3F"/>
    <w:rsid w:val="28A0498F"/>
    <w:rsid w:val="28A4F469"/>
    <w:rsid w:val="28A51AF2"/>
    <w:rsid w:val="28A7167C"/>
    <w:rsid w:val="28AF8794"/>
    <w:rsid w:val="28B860BE"/>
    <w:rsid w:val="28C26FCB"/>
    <w:rsid w:val="28C668B4"/>
    <w:rsid w:val="28C8D84A"/>
    <w:rsid w:val="28CEC14F"/>
    <w:rsid w:val="28D2D1C6"/>
    <w:rsid w:val="28D72E1A"/>
    <w:rsid w:val="28D96B54"/>
    <w:rsid w:val="28E0E794"/>
    <w:rsid w:val="28E2B63F"/>
    <w:rsid w:val="28E36443"/>
    <w:rsid w:val="28E7F676"/>
    <w:rsid w:val="28E96830"/>
    <w:rsid w:val="28EC2C3A"/>
    <w:rsid w:val="28EFD0E5"/>
    <w:rsid w:val="28F122CA"/>
    <w:rsid w:val="28F27C7B"/>
    <w:rsid w:val="28F6F123"/>
    <w:rsid w:val="28FEF9CB"/>
    <w:rsid w:val="29008912"/>
    <w:rsid w:val="2902E07F"/>
    <w:rsid w:val="29048380"/>
    <w:rsid w:val="2904F50E"/>
    <w:rsid w:val="29076B6F"/>
    <w:rsid w:val="2908E01C"/>
    <w:rsid w:val="290CC6C5"/>
    <w:rsid w:val="2918B1E7"/>
    <w:rsid w:val="2922B12D"/>
    <w:rsid w:val="2923B033"/>
    <w:rsid w:val="292631B8"/>
    <w:rsid w:val="292D64FC"/>
    <w:rsid w:val="293C86F1"/>
    <w:rsid w:val="293E1840"/>
    <w:rsid w:val="29487950"/>
    <w:rsid w:val="294A9BCF"/>
    <w:rsid w:val="294FE406"/>
    <w:rsid w:val="2950DC5C"/>
    <w:rsid w:val="296149F8"/>
    <w:rsid w:val="296806D0"/>
    <w:rsid w:val="296889BF"/>
    <w:rsid w:val="29705C4A"/>
    <w:rsid w:val="297447A0"/>
    <w:rsid w:val="2976A863"/>
    <w:rsid w:val="29778F65"/>
    <w:rsid w:val="297C843D"/>
    <w:rsid w:val="29866E7A"/>
    <w:rsid w:val="298B86AF"/>
    <w:rsid w:val="2990FC03"/>
    <w:rsid w:val="29911591"/>
    <w:rsid w:val="29930769"/>
    <w:rsid w:val="2995DCDA"/>
    <w:rsid w:val="299715A3"/>
    <w:rsid w:val="29A003C7"/>
    <w:rsid w:val="29A4B352"/>
    <w:rsid w:val="29A78DE3"/>
    <w:rsid w:val="29AA3F21"/>
    <w:rsid w:val="29B5405B"/>
    <w:rsid w:val="29B645D6"/>
    <w:rsid w:val="29BB5B5C"/>
    <w:rsid w:val="29BFD6B1"/>
    <w:rsid w:val="29C1B2AF"/>
    <w:rsid w:val="29CCA475"/>
    <w:rsid w:val="29CCBF07"/>
    <w:rsid w:val="29CF1065"/>
    <w:rsid w:val="29D2EBFF"/>
    <w:rsid w:val="29D473A7"/>
    <w:rsid w:val="29D6451E"/>
    <w:rsid w:val="29DC4360"/>
    <w:rsid w:val="29DD7D60"/>
    <w:rsid w:val="29DF04F3"/>
    <w:rsid w:val="29E11CA5"/>
    <w:rsid w:val="29E31A89"/>
    <w:rsid w:val="29E47DA9"/>
    <w:rsid w:val="29F0BEE6"/>
    <w:rsid w:val="2A01A4DD"/>
    <w:rsid w:val="2A065B2B"/>
    <w:rsid w:val="2A087B58"/>
    <w:rsid w:val="2A0B293E"/>
    <w:rsid w:val="2A10AC13"/>
    <w:rsid w:val="2A1301AF"/>
    <w:rsid w:val="2A160531"/>
    <w:rsid w:val="2A1BED27"/>
    <w:rsid w:val="2A1E0C8A"/>
    <w:rsid w:val="2A2045FF"/>
    <w:rsid w:val="2A2923BF"/>
    <w:rsid w:val="2A2D0D8D"/>
    <w:rsid w:val="2A2DDB59"/>
    <w:rsid w:val="2A2FE8C8"/>
    <w:rsid w:val="2A360579"/>
    <w:rsid w:val="2A366B9E"/>
    <w:rsid w:val="2A3C814C"/>
    <w:rsid w:val="2A3D8A79"/>
    <w:rsid w:val="2A51A12A"/>
    <w:rsid w:val="2A57A32C"/>
    <w:rsid w:val="2A67F485"/>
    <w:rsid w:val="2A6B7081"/>
    <w:rsid w:val="2A6DE9A6"/>
    <w:rsid w:val="2A706F7F"/>
    <w:rsid w:val="2A75CC53"/>
    <w:rsid w:val="2A807815"/>
    <w:rsid w:val="2A83B657"/>
    <w:rsid w:val="2A858E53"/>
    <w:rsid w:val="2A8648AD"/>
    <w:rsid w:val="2A8EC8A2"/>
    <w:rsid w:val="2AA779E4"/>
    <w:rsid w:val="2AAB27C4"/>
    <w:rsid w:val="2AAB3EFB"/>
    <w:rsid w:val="2AAEC993"/>
    <w:rsid w:val="2AB1632E"/>
    <w:rsid w:val="2AB23C9E"/>
    <w:rsid w:val="2ABC5BD7"/>
    <w:rsid w:val="2ABCDB57"/>
    <w:rsid w:val="2ABE93B2"/>
    <w:rsid w:val="2AC7D9C8"/>
    <w:rsid w:val="2AC8369A"/>
    <w:rsid w:val="2ACA74B6"/>
    <w:rsid w:val="2ACB3DD9"/>
    <w:rsid w:val="2AD1E006"/>
    <w:rsid w:val="2AD7EA91"/>
    <w:rsid w:val="2AD99793"/>
    <w:rsid w:val="2ADFC90B"/>
    <w:rsid w:val="2AE1A0FF"/>
    <w:rsid w:val="2AE570A3"/>
    <w:rsid w:val="2AE96FD2"/>
    <w:rsid w:val="2AF8A315"/>
    <w:rsid w:val="2AFC98DE"/>
    <w:rsid w:val="2B0668A1"/>
    <w:rsid w:val="2B0EFFDF"/>
    <w:rsid w:val="2B0FA61F"/>
    <w:rsid w:val="2B11BB48"/>
    <w:rsid w:val="2B18F1D6"/>
    <w:rsid w:val="2B1E8FDD"/>
    <w:rsid w:val="2B1FD2DA"/>
    <w:rsid w:val="2B21C733"/>
    <w:rsid w:val="2B2596D7"/>
    <w:rsid w:val="2B30F183"/>
    <w:rsid w:val="2B3317C8"/>
    <w:rsid w:val="2B33B4F5"/>
    <w:rsid w:val="2B385407"/>
    <w:rsid w:val="2B385AE3"/>
    <w:rsid w:val="2B448383"/>
    <w:rsid w:val="2B53B3BA"/>
    <w:rsid w:val="2B56516E"/>
    <w:rsid w:val="2B5C9013"/>
    <w:rsid w:val="2B5CEBA8"/>
    <w:rsid w:val="2B69886D"/>
    <w:rsid w:val="2B6B144D"/>
    <w:rsid w:val="2B7239F4"/>
    <w:rsid w:val="2B72A8EC"/>
    <w:rsid w:val="2B74920C"/>
    <w:rsid w:val="2B75A63E"/>
    <w:rsid w:val="2B763DB0"/>
    <w:rsid w:val="2B76E8A4"/>
    <w:rsid w:val="2B81633C"/>
    <w:rsid w:val="2B851DA9"/>
    <w:rsid w:val="2B8EF31C"/>
    <w:rsid w:val="2B9061D4"/>
    <w:rsid w:val="2B90FE14"/>
    <w:rsid w:val="2B972F85"/>
    <w:rsid w:val="2B986C3A"/>
    <w:rsid w:val="2B9981F1"/>
    <w:rsid w:val="2B9B851E"/>
    <w:rsid w:val="2B9C33C7"/>
    <w:rsid w:val="2B9DE062"/>
    <w:rsid w:val="2BAA0D6B"/>
    <w:rsid w:val="2BB2382E"/>
    <w:rsid w:val="2BB23A13"/>
    <w:rsid w:val="2BB7AC8E"/>
    <w:rsid w:val="2BBF6493"/>
    <w:rsid w:val="2BC53029"/>
    <w:rsid w:val="2BCA1584"/>
    <w:rsid w:val="2BCAE0B7"/>
    <w:rsid w:val="2BCD2A94"/>
    <w:rsid w:val="2BCE1E22"/>
    <w:rsid w:val="2BD1C7EB"/>
    <w:rsid w:val="2BDC4EE8"/>
    <w:rsid w:val="2BE19236"/>
    <w:rsid w:val="2BE2803E"/>
    <w:rsid w:val="2BE3EAE0"/>
    <w:rsid w:val="2BF32BF4"/>
    <w:rsid w:val="2BF3C568"/>
    <w:rsid w:val="2BF68E1E"/>
    <w:rsid w:val="2BF6A31E"/>
    <w:rsid w:val="2BFDABF5"/>
    <w:rsid w:val="2C011135"/>
    <w:rsid w:val="2C096080"/>
    <w:rsid w:val="2C0AB642"/>
    <w:rsid w:val="2C0C5015"/>
    <w:rsid w:val="2C0EE86B"/>
    <w:rsid w:val="2C0F4353"/>
    <w:rsid w:val="2C12549F"/>
    <w:rsid w:val="2C161EDF"/>
    <w:rsid w:val="2C1EFB09"/>
    <w:rsid w:val="2C1EFB78"/>
    <w:rsid w:val="2C1F52B9"/>
    <w:rsid w:val="2C2A6499"/>
    <w:rsid w:val="2C30467E"/>
    <w:rsid w:val="2C32EC76"/>
    <w:rsid w:val="2C33545E"/>
    <w:rsid w:val="2C37825D"/>
    <w:rsid w:val="2C3BE37A"/>
    <w:rsid w:val="2C3C11C7"/>
    <w:rsid w:val="2C49B270"/>
    <w:rsid w:val="2C4AEF50"/>
    <w:rsid w:val="2C500C70"/>
    <w:rsid w:val="2C52DFFD"/>
    <w:rsid w:val="2C5C13E1"/>
    <w:rsid w:val="2C5CEBD8"/>
    <w:rsid w:val="2C639BD1"/>
    <w:rsid w:val="2C6424DA"/>
    <w:rsid w:val="2C69BFA8"/>
    <w:rsid w:val="2C6C304D"/>
    <w:rsid w:val="2C6CDEA2"/>
    <w:rsid w:val="2C709A2A"/>
    <w:rsid w:val="2C718239"/>
    <w:rsid w:val="2C7587D0"/>
    <w:rsid w:val="2C77C712"/>
    <w:rsid w:val="2C7A9A94"/>
    <w:rsid w:val="2C7D944C"/>
    <w:rsid w:val="2C8251F9"/>
    <w:rsid w:val="2C837F30"/>
    <w:rsid w:val="2C83CE02"/>
    <w:rsid w:val="2C84AE47"/>
    <w:rsid w:val="2C873905"/>
    <w:rsid w:val="2C8BAE68"/>
    <w:rsid w:val="2C8C6797"/>
    <w:rsid w:val="2C8CB82F"/>
    <w:rsid w:val="2C91D109"/>
    <w:rsid w:val="2C9CE7C1"/>
    <w:rsid w:val="2CA23B90"/>
    <w:rsid w:val="2CA96B4F"/>
    <w:rsid w:val="2CAB1B96"/>
    <w:rsid w:val="2CB27E46"/>
    <w:rsid w:val="2CBF4D08"/>
    <w:rsid w:val="2CC1CACB"/>
    <w:rsid w:val="2CC39C83"/>
    <w:rsid w:val="2CC88907"/>
    <w:rsid w:val="2CCC2746"/>
    <w:rsid w:val="2CCC583C"/>
    <w:rsid w:val="2CCD5E2C"/>
    <w:rsid w:val="2CCEFFE7"/>
    <w:rsid w:val="2CD74907"/>
    <w:rsid w:val="2CD926D2"/>
    <w:rsid w:val="2CE174C7"/>
    <w:rsid w:val="2CE3B195"/>
    <w:rsid w:val="2CE750D2"/>
    <w:rsid w:val="2CE9C0C8"/>
    <w:rsid w:val="2CEB7A96"/>
    <w:rsid w:val="2CEEED92"/>
    <w:rsid w:val="2CF01170"/>
    <w:rsid w:val="2CF186E6"/>
    <w:rsid w:val="2CF32AC4"/>
    <w:rsid w:val="2CF4F419"/>
    <w:rsid w:val="2CF642E5"/>
    <w:rsid w:val="2CFD31AD"/>
    <w:rsid w:val="2CFF6D01"/>
    <w:rsid w:val="2D0253FF"/>
    <w:rsid w:val="2D049D48"/>
    <w:rsid w:val="2D04AB47"/>
    <w:rsid w:val="2D063852"/>
    <w:rsid w:val="2D13175E"/>
    <w:rsid w:val="2D1827D3"/>
    <w:rsid w:val="2D19D964"/>
    <w:rsid w:val="2D275D3D"/>
    <w:rsid w:val="2D2A10FB"/>
    <w:rsid w:val="2D2AC70F"/>
    <w:rsid w:val="2D2E46DB"/>
    <w:rsid w:val="2D2F7DB2"/>
    <w:rsid w:val="2D31C410"/>
    <w:rsid w:val="2D31FB0B"/>
    <w:rsid w:val="2D33BF77"/>
    <w:rsid w:val="2D36F200"/>
    <w:rsid w:val="2D3A35FA"/>
    <w:rsid w:val="2D3BF123"/>
    <w:rsid w:val="2D3D35E5"/>
    <w:rsid w:val="2D4B4819"/>
    <w:rsid w:val="2D4ED69C"/>
    <w:rsid w:val="2D537724"/>
    <w:rsid w:val="2D5C419A"/>
    <w:rsid w:val="2D5E0211"/>
    <w:rsid w:val="2D660ECF"/>
    <w:rsid w:val="2D71295F"/>
    <w:rsid w:val="2D71A3B6"/>
    <w:rsid w:val="2D7E42FF"/>
    <w:rsid w:val="2D82D0EC"/>
    <w:rsid w:val="2D8D741B"/>
    <w:rsid w:val="2D9082F4"/>
    <w:rsid w:val="2D92747E"/>
    <w:rsid w:val="2D93B4AE"/>
    <w:rsid w:val="2DA284F2"/>
    <w:rsid w:val="2DA338DD"/>
    <w:rsid w:val="2DA89798"/>
    <w:rsid w:val="2DAC8922"/>
    <w:rsid w:val="2DB06027"/>
    <w:rsid w:val="2DBB955D"/>
    <w:rsid w:val="2DBFE7C1"/>
    <w:rsid w:val="2DC56526"/>
    <w:rsid w:val="2DC5AE68"/>
    <w:rsid w:val="2DC65038"/>
    <w:rsid w:val="2DC9D6F3"/>
    <w:rsid w:val="2DCF43D4"/>
    <w:rsid w:val="2DD0A000"/>
    <w:rsid w:val="2DE0392B"/>
    <w:rsid w:val="2DE26A98"/>
    <w:rsid w:val="2DE85EDD"/>
    <w:rsid w:val="2DEAD71D"/>
    <w:rsid w:val="2DEE4620"/>
    <w:rsid w:val="2DEF001D"/>
    <w:rsid w:val="2DF307B3"/>
    <w:rsid w:val="2DF87DF9"/>
    <w:rsid w:val="2DFF2981"/>
    <w:rsid w:val="2E029E12"/>
    <w:rsid w:val="2E040227"/>
    <w:rsid w:val="2E065A9C"/>
    <w:rsid w:val="2E069C20"/>
    <w:rsid w:val="2E08C86D"/>
    <w:rsid w:val="2E091F90"/>
    <w:rsid w:val="2E1051CF"/>
    <w:rsid w:val="2E189C88"/>
    <w:rsid w:val="2E257968"/>
    <w:rsid w:val="2E277863"/>
    <w:rsid w:val="2E2952AE"/>
    <w:rsid w:val="2E2A3A90"/>
    <w:rsid w:val="2E2A8FCD"/>
    <w:rsid w:val="2E2F423C"/>
    <w:rsid w:val="2E396D06"/>
    <w:rsid w:val="2E397589"/>
    <w:rsid w:val="2E3E93A3"/>
    <w:rsid w:val="2E40761A"/>
    <w:rsid w:val="2E4665EF"/>
    <w:rsid w:val="2E471F33"/>
    <w:rsid w:val="2E4A3FCF"/>
    <w:rsid w:val="2E509CF6"/>
    <w:rsid w:val="2E552419"/>
    <w:rsid w:val="2E56EDA0"/>
    <w:rsid w:val="2E57E90A"/>
    <w:rsid w:val="2E5BB0D4"/>
    <w:rsid w:val="2E60A8CA"/>
    <w:rsid w:val="2E676FB5"/>
    <w:rsid w:val="2E6C2724"/>
    <w:rsid w:val="2E726991"/>
    <w:rsid w:val="2E738946"/>
    <w:rsid w:val="2E7D9176"/>
    <w:rsid w:val="2E8166D1"/>
    <w:rsid w:val="2E90B946"/>
    <w:rsid w:val="2EA6BB4C"/>
    <w:rsid w:val="2EAB7895"/>
    <w:rsid w:val="2EB8E72C"/>
    <w:rsid w:val="2EB90A4C"/>
    <w:rsid w:val="2EBA0934"/>
    <w:rsid w:val="2EC6783A"/>
    <w:rsid w:val="2ECA1C09"/>
    <w:rsid w:val="2ED4E96E"/>
    <w:rsid w:val="2EDB28B1"/>
    <w:rsid w:val="2EE27858"/>
    <w:rsid w:val="2EE44DE9"/>
    <w:rsid w:val="2EE4AFB5"/>
    <w:rsid w:val="2EEAF0E3"/>
    <w:rsid w:val="2EEF045B"/>
    <w:rsid w:val="2EF78544"/>
    <w:rsid w:val="2EFCE6FA"/>
    <w:rsid w:val="2EFD973E"/>
    <w:rsid w:val="2F00CA81"/>
    <w:rsid w:val="2F0218C8"/>
    <w:rsid w:val="2F044352"/>
    <w:rsid w:val="2F183718"/>
    <w:rsid w:val="2F185950"/>
    <w:rsid w:val="2F1A7C2A"/>
    <w:rsid w:val="2F23B6ED"/>
    <w:rsid w:val="2F255EA7"/>
    <w:rsid w:val="2F2895C3"/>
    <w:rsid w:val="2F297B12"/>
    <w:rsid w:val="2F2AE430"/>
    <w:rsid w:val="2F2D816B"/>
    <w:rsid w:val="2F34A004"/>
    <w:rsid w:val="2F37F09D"/>
    <w:rsid w:val="2F3E3679"/>
    <w:rsid w:val="2F42E72C"/>
    <w:rsid w:val="2F48CDDE"/>
    <w:rsid w:val="2F4BB114"/>
    <w:rsid w:val="2F4E25C0"/>
    <w:rsid w:val="2F57DFBE"/>
    <w:rsid w:val="2F5E4AC7"/>
    <w:rsid w:val="2F5EE8FB"/>
    <w:rsid w:val="2F62848C"/>
    <w:rsid w:val="2F63EC5F"/>
    <w:rsid w:val="2F64AA45"/>
    <w:rsid w:val="2F66075A"/>
    <w:rsid w:val="2F669417"/>
    <w:rsid w:val="2F6B05B7"/>
    <w:rsid w:val="2F6CFD7C"/>
    <w:rsid w:val="2F6FCE79"/>
    <w:rsid w:val="2F72E3D7"/>
    <w:rsid w:val="2F739884"/>
    <w:rsid w:val="2F764795"/>
    <w:rsid w:val="2F77984C"/>
    <w:rsid w:val="2F7D4053"/>
    <w:rsid w:val="2F7EB405"/>
    <w:rsid w:val="2F913E94"/>
    <w:rsid w:val="2F9386BE"/>
    <w:rsid w:val="2F941A3B"/>
    <w:rsid w:val="2F9556BD"/>
    <w:rsid w:val="2F999BF5"/>
    <w:rsid w:val="2F9B5BB6"/>
    <w:rsid w:val="2F9D042D"/>
    <w:rsid w:val="2FA31CCE"/>
    <w:rsid w:val="2FAA23D3"/>
    <w:rsid w:val="2FAD2ABC"/>
    <w:rsid w:val="2FADC81E"/>
    <w:rsid w:val="2FB28D32"/>
    <w:rsid w:val="2FB2C86A"/>
    <w:rsid w:val="2FB2E33D"/>
    <w:rsid w:val="2FB6BD91"/>
    <w:rsid w:val="2FB96203"/>
    <w:rsid w:val="2FBAC89E"/>
    <w:rsid w:val="2FBE970E"/>
    <w:rsid w:val="2FC1F19D"/>
    <w:rsid w:val="2FC5A1BB"/>
    <w:rsid w:val="2FCC2371"/>
    <w:rsid w:val="2FD0A42F"/>
    <w:rsid w:val="2FD1CE9A"/>
    <w:rsid w:val="2FD2D7A1"/>
    <w:rsid w:val="2FD6E03E"/>
    <w:rsid w:val="2FDBA7CE"/>
    <w:rsid w:val="2FDC609C"/>
    <w:rsid w:val="2FE45241"/>
    <w:rsid w:val="2FEDF522"/>
    <w:rsid w:val="2FEF0DBB"/>
    <w:rsid w:val="2FF25559"/>
    <w:rsid w:val="2FF2EE0D"/>
    <w:rsid w:val="2FF65792"/>
    <w:rsid w:val="3005AEB3"/>
    <w:rsid w:val="3008875C"/>
    <w:rsid w:val="300A187D"/>
    <w:rsid w:val="300D1576"/>
    <w:rsid w:val="300E1892"/>
    <w:rsid w:val="300EA3E3"/>
    <w:rsid w:val="301044B5"/>
    <w:rsid w:val="301514BB"/>
    <w:rsid w:val="3017C407"/>
    <w:rsid w:val="301CA085"/>
    <w:rsid w:val="301CACA3"/>
    <w:rsid w:val="3020F784"/>
    <w:rsid w:val="302C7F96"/>
    <w:rsid w:val="302D55C9"/>
    <w:rsid w:val="3032A085"/>
    <w:rsid w:val="30353FE8"/>
    <w:rsid w:val="3044561E"/>
    <w:rsid w:val="30455CDF"/>
    <w:rsid w:val="3045ED55"/>
    <w:rsid w:val="304B9416"/>
    <w:rsid w:val="304BFABA"/>
    <w:rsid w:val="304F6281"/>
    <w:rsid w:val="3053BDDA"/>
    <w:rsid w:val="30558687"/>
    <w:rsid w:val="3057148D"/>
    <w:rsid w:val="306917F1"/>
    <w:rsid w:val="306A13BA"/>
    <w:rsid w:val="306BA7A3"/>
    <w:rsid w:val="30702317"/>
    <w:rsid w:val="3072E9BF"/>
    <w:rsid w:val="3074789A"/>
    <w:rsid w:val="3078AF5A"/>
    <w:rsid w:val="308410C2"/>
    <w:rsid w:val="309A58E6"/>
    <w:rsid w:val="309CA21A"/>
    <w:rsid w:val="309E45EA"/>
    <w:rsid w:val="309EA286"/>
    <w:rsid w:val="30A2CF47"/>
    <w:rsid w:val="30AAD117"/>
    <w:rsid w:val="30AD45B1"/>
    <w:rsid w:val="30AF980E"/>
    <w:rsid w:val="30B303E2"/>
    <w:rsid w:val="30B6C502"/>
    <w:rsid w:val="30B75340"/>
    <w:rsid w:val="30BC5B82"/>
    <w:rsid w:val="30BCA801"/>
    <w:rsid w:val="30BD13BA"/>
    <w:rsid w:val="30C05828"/>
    <w:rsid w:val="30C5D667"/>
    <w:rsid w:val="30D3991B"/>
    <w:rsid w:val="30DB0F7C"/>
    <w:rsid w:val="30DEB351"/>
    <w:rsid w:val="30E25524"/>
    <w:rsid w:val="30E65DCD"/>
    <w:rsid w:val="30E74A92"/>
    <w:rsid w:val="30EC7D0A"/>
    <w:rsid w:val="30ED70CF"/>
    <w:rsid w:val="30F07380"/>
    <w:rsid w:val="30FA44F2"/>
    <w:rsid w:val="30FD44BB"/>
    <w:rsid w:val="31081ED9"/>
    <w:rsid w:val="310A277C"/>
    <w:rsid w:val="310B1BB9"/>
    <w:rsid w:val="3112475B"/>
    <w:rsid w:val="311277CE"/>
    <w:rsid w:val="3113007B"/>
    <w:rsid w:val="311ACAA4"/>
    <w:rsid w:val="31204226"/>
    <w:rsid w:val="3120B71C"/>
    <w:rsid w:val="312BE6BC"/>
    <w:rsid w:val="312E911D"/>
    <w:rsid w:val="312F1FD8"/>
    <w:rsid w:val="31301DC9"/>
    <w:rsid w:val="313526C9"/>
    <w:rsid w:val="3136F3C3"/>
    <w:rsid w:val="3139B76A"/>
    <w:rsid w:val="313F63B7"/>
    <w:rsid w:val="3146F224"/>
    <w:rsid w:val="31503993"/>
    <w:rsid w:val="3153977C"/>
    <w:rsid w:val="3157F832"/>
    <w:rsid w:val="315F8D19"/>
    <w:rsid w:val="31618146"/>
    <w:rsid w:val="3167EEC4"/>
    <w:rsid w:val="316D63FF"/>
    <w:rsid w:val="3172B75B"/>
    <w:rsid w:val="31741C8E"/>
    <w:rsid w:val="317437BF"/>
    <w:rsid w:val="31774D89"/>
    <w:rsid w:val="317EC3C4"/>
    <w:rsid w:val="317F5F3E"/>
    <w:rsid w:val="31806789"/>
    <w:rsid w:val="3180F3FF"/>
    <w:rsid w:val="31819645"/>
    <w:rsid w:val="31834145"/>
    <w:rsid w:val="318AB3C2"/>
    <w:rsid w:val="318FFA9B"/>
    <w:rsid w:val="31941981"/>
    <w:rsid w:val="3194282F"/>
    <w:rsid w:val="319455D2"/>
    <w:rsid w:val="319A564F"/>
    <w:rsid w:val="31A2BE4D"/>
    <w:rsid w:val="31A2E12E"/>
    <w:rsid w:val="31AB7B38"/>
    <w:rsid w:val="31AC0FFC"/>
    <w:rsid w:val="31B01C16"/>
    <w:rsid w:val="31BA761F"/>
    <w:rsid w:val="31BABD31"/>
    <w:rsid w:val="31C8AA3F"/>
    <w:rsid w:val="31C944F0"/>
    <w:rsid w:val="31CCB0A6"/>
    <w:rsid w:val="31CCEE3F"/>
    <w:rsid w:val="31CE0F16"/>
    <w:rsid w:val="31D3A640"/>
    <w:rsid w:val="31D499CC"/>
    <w:rsid w:val="31D78F35"/>
    <w:rsid w:val="31DAA820"/>
    <w:rsid w:val="31DCA472"/>
    <w:rsid w:val="31DD09E9"/>
    <w:rsid w:val="31E438F9"/>
    <w:rsid w:val="31E6E63E"/>
    <w:rsid w:val="31E72A7F"/>
    <w:rsid w:val="31E89A8B"/>
    <w:rsid w:val="31EAAB7A"/>
    <w:rsid w:val="31EE2BFE"/>
    <w:rsid w:val="31F406CF"/>
    <w:rsid w:val="31F6D934"/>
    <w:rsid w:val="31F8EC76"/>
    <w:rsid w:val="31FC386F"/>
    <w:rsid w:val="32098144"/>
    <w:rsid w:val="320B6141"/>
    <w:rsid w:val="3215FCC6"/>
    <w:rsid w:val="321A43E2"/>
    <w:rsid w:val="321BCF4C"/>
    <w:rsid w:val="321FF9CE"/>
    <w:rsid w:val="322BB866"/>
    <w:rsid w:val="322D15BB"/>
    <w:rsid w:val="322DE9F8"/>
    <w:rsid w:val="32346A43"/>
    <w:rsid w:val="323AC8F8"/>
    <w:rsid w:val="323F56FB"/>
    <w:rsid w:val="3240779A"/>
    <w:rsid w:val="3246B4A8"/>
    <w:rsid w:val="3246D110"/>
    <w:rsid w:val="324BEB66"/>
    <w:rsid w:val="324C4A91"/>
    <w:rsid w:val="324F7D49"/>
    <w:rsid w:val="32517D94"/>
    <w:rsid w:val="325285A8"/>
    <w:rsid w:val="32593915"/>
    <w:rsid w:val="325BB3C5"/>
    <w:rsid w:val="32662126"/>
    <w:rsid w:val="3268BEB2"/>
    <w:rsid w:val="326D6656"/>
    <w:rsid w:val="3276EB4E"/>
    <w:rsid w:val="32772365"/>
    <w:rsid w:val="32802D17"/>
    <w:rsid w:val="32832628"/>
    <w:rsid w:val="328F647E"/>
    <w:rsid w:val="32945CC3"/>
    <w:rsid w:val="3297345C"/>
    <w:rsid w:val="329BA732"/>
    <w:rsid w:val="32A098C8"/>
    <w:rsid w:val="32A41EFB"/>
    <w:rsid w:val="32A570D2"/>
    <w:rsid w:val="32B03198"/>
    <w:rsid w:val="32B8EBEF"/>
    <w:rsid w:val="32BDEF0E"/>
    <w:rsid w:val="32C02E20"/>
    <w:rsid w:val="32C8B576"/>
    <w:rsid w:val="32CC5CA5"/>
    <w:rsid w:val="32D27C71"/>
    <w:rsid w:val="32D5F6DD"/>
    <w:rsid w:val="32DC4D3C"/>
    <w:rsid w:val="32E06E75"/>
    <w:rsid w:val="32E1A4B3"/>
    <w:rsid w:val="32E2177D"/>
    <w:rsid w:val="32E26E97"/>
    <w:rsid w:val="32EC70DC"/>
    <w:rsid w:val="32EE048C"/>
    <w:rsid w:val="32EF1F3A"/>
    <w:rsid w:val="32FCC3D1"/>
    <w:rsid w:val="331239ED"/>
    <w:rsid w:val="33131D02"/>
    <w:rsid w:val="33145DC2"/>
    <w:rsid w:val="33152B3D"/>
    <w:rsid w:val="3319BF65"/>
    <w:rsid w:val="331DA7D4"/>
    <w:rsid w:val="331E96D8"/>
    <w:rsid w:val="332113BD"/>
    <w:rsid w:val="3329B6CC"/>
    <w:rsid w:val="332D3A52"/>
    <w:rsid w:val="3345A5B7"/>
    <w:rsid w:val="334626FF"/>
    <w:rsid w:val="33463603"/>
    <w:rsid w:val="33468A8B"/>
    <w:rsid w:val="33485268"/>
    <w:rsid w:val="3353A2B1"/>
    <w:rsid w:val="335AC770"/>
    <w:rsid w:val="336FA3A6"/>
    <w:rsid w:val="337C9991"/>
    <w:rsid w:val="3384173D"/>
    <w:rsid w:val="33865351"/>
    <w:rsid w:val="338E2B2F"/>
    <w:rsid w:val="3391A9D7"/>
    <w:rsid w:val="3394993C"/>
    <w:rsid w:val="3397DEC9"/>
    <w:rsid w:val="339D49C7"/>
    <w:rsid w:val="339F54DC"/>
    <w:rsid w:val="33A34006"/>
    <w:rsid w:val="33A7E795"/>
    <w:rsid w:val="33AC75DA"/>
    <w:rsid w:val="33ADC5C1"/>
    <w:rsid w:val="33B4595B"/>
    <w:rsid w:val="33B52EE3"/>
    <w:rsid w:val="33B84190"/>
    <w:rsid w:val="33BA3FAB"/>
    <w:rsid w:val="33BD209A"/>
    <w:rsid w:val="33BE7848"/>
    <w:rsid w:val="33C220B4"/>
    <w:rsid w:val="33C398EF"/>
    <w:rsid w:val="33CC4F5C"/>
    <w:rsid w:val="33D0DD96"/>
    <w:rsid w:val="33D21FF4"/>
    <w:rsid w:val="33DAA02E"/>
    <w:rsid w:val="33DC7D2E"/>
    <w:rsid w:val="33E4F00F"/>
    <w:rsid w:val="33F2376B"/>
    <w:rsid w:val="33F4B47C"/>
    <w:rsid w:val="33FCED5C"/>
    <w:rsid w:val="3400D11D"/>
    <w:rsid w:val="3401E1BD"/>
    <w:rsid w:val="3406771E"/>
    <w:rsid w:val="34095F21"/>
    <w:rsid w:val="340E36C9"/>
    <w:rsid w:val="34120510"/>
    <w:rsid w:val="341265C1"/>
    <w:rsid w:val="3414BBC1"/>
    <w:rsid w:val="341F494A"/>
    <w:rsid w:val="34227FA7"/>
    <w:rsid w:val="34254D70"/>
    <w:rsid w:val="3427DC05"/>
    <w:rsid w:val="3428D0B9"/>
    <w:rsid w:val="3428FDEE"/>
    <w:rsid w:val="342A4A7E"/>
    <w:rsid w:val="3433D251"/>
    <w:rsid w:val="343FB48E"/>
    <w:rsid w:val="3440BF23"/>
    <w:rsid w:val="3442C097"/>
    <w:rsid w:val="344AAC74"/>
    <w:rsid w:val="3452C969"/>
    <w:rsid w:val="34563559"/>
    <w:rsid w:val="345CC3C8"/>
    <w:rsid w:val="346088CC"/>
    <w:rsid w:val="3464B027"/>
    <w:rsid w:val="34651AC3"/>
    <w:rsid w:val="3466CDB5"/>
    <w:rsid w:val="346EA4BF"/>
    <w:rsid w:val="346F6AC6"/>
    <w:rsid w:val="3476E48C"/>
    <w:rsid w:val="347BF410"/>
    <w:rsid w:val="347DD8F8"/>
    <w:rsid w:val="347F5B1E"/>
    <w:rsid w:val="3481D4A9"/>
    <w:rsid w:val="3484FD78"/>
    <w:rsid w:val="3489E9D0"/>
    <w:rsid w:val="348D4C73"/>
    <w:rsid w:val="3493821C"/>
    <w:rsid w:val="34A11F94"/>
    <w:rsid w:val="34A56038"/>
    <w:rsid w:val="34A6F9C1"/>
    <w:rsid w:val="34ABA676"/>
    <w:rsid w:val="34ADDB95"/>
    <w:rsid w:val="34B20346"/>
    <w:rsid w:val="34B434D1"/>
    <w:rsid w:val="34BFE6BF"/>
    <w:rsid w:val="34C62E3F"/>
    <w:rsid w:val="34C6C03C"/>
    <w:rsid w:val="34CF6D81"/>
    <w:rsid w:val="34D1E1B8"/>
    <w:rsid w:val="34D893E8"/>
    <w:rsid w:val="34DB0EA8"/>
    <w:rsid w:val="34DBCC7A"/>
    <w:rsid w:val="34E4EBD7"/>
    <w:rsid w:val="34E8B979"/>
    <w:rsid w:val="34F1E55C"/>
    <w:rsid w:val="34F45EC0"/>
    <w:rsid w:val="34FAEE59"/>
    <w:rsid w:val="34FB7F56"/>
    <w:rsid w:val="350A9744"/>
    <w:rsid w:val="350B93E1"/>
    <w:rsid w:val="350BFEA1"/>
    <w:rsid w:val="350FDBA9"/>
    <w:rsid w:val="351281F7"/>
    <w:rsid w:val="35133F06"/>
    <w:rsid w:val="351DF382"/>
    <w:rsid w:val="351FCFA6"/>
    <w:rsid w:val="35262CA6"/>
    <w:rsid w:val="352A3389"/>
    <w:rsid w:val="352B2AC9"/>
    <w:rsid w:val="3533B3AF"/>
    <w:rsid w:val="35392452"/>
    <w:rsid w:val="3539AE50"/>
    <w:rsid w:val="353A589D"/>
    <w:rsid w:val="353B81A1"/>
    <w:rsid w:val="353EE642"/>
    <w:rsid w:val="35420E28"/>
    <w:rsid w:val="354497A6"/>
    <w:rsid w:val="35460CBF"/>
    <w:rsid w:val="3549F2CA"/>
    <w:rsid w:val="354CFB0C"/>
    <w:rsid w:val="354F9FE9"/>
    <w:rsid w:val="3550886B"/>
    <w:rsid w:val="35518747"/>
    <w:rsid w:val="3552478F"/>
    <w:rsid w:val="3559F610"/>
    <w:rsid w:val="3567830E"/>
    <w:rsid w:val="35690FFC"/>
    <w:rsid w:val="356F218C"/>
    <w:rsid w:val="35704F34"/>
    <w:rsid w:val="357CED20"/>
    <w:rsid w:val="358820D2"/>
    <w:rsid w:val="358F35B2"/>
    <w:rsid w:val="358F9F6C"/>
    <w:rsid w:val="359053F2"/>
    <w:rsid w:val="35972C1C"/>
    <w:rsid w:val="35A0B9B4"/>
    <w:rsid w:val="35B3E1AB"/>
    <w:rsid w:val="35B42FA3"/>
    <w:rsid w:val="35BA5AC9"/>
    <w:rsid w:val="35BD9C9D"/>
    <w:rsid w:val="35C8D224"/>
    <w:rsid w:val="35C9B396"/>
    <w:rsid w:val="35CAB8B5"/>
    <w:rsid w:val="35CC55C3"/>
    <w:rsid w:val="35D4D759"/>
    <w:rsid w:val="35E256D4"/>
    <w:rsid w:val="35E349CA"/>
    <w:rsid w:val="35E3B3E5"/>
    <w:rsid w:val="35E58B60"/>
    <w:rsid w:val="35E72DBA"/>
    <w:rsid w:val="35E8A246"/>
    <w:rsid w:val="35EEA0A4"/>
    <w:rsid w:val="35FB2A8D"/>
    <w:rsid w:val="35FD054C"/>
    <w:rsid w:val="3605849A"/>
    <w:rsid w:val="36098B37"/>
    <w:rsid w:val="360BE814"/>
    <w:rsid w:val="360CD0A4"/>
    <w:rsid w:val="36158102"/>
    <w:rsid w:val="361674FF"/>
    <w:rsid w:val="361B5D8C"/>
    <w:rsid w:val="361C2184"/>
    <w:rsid w:val="361E580F"/>
    <w:rsid w:val="36225AB1"/>
    <w:rsid w:val="3623F082"/>
    <w:rsid w:val="36270092"/>
    <w:rsid w:val="362D9BF8"/>
    <w:rsid w:val="3632365A"/>
    <w:rsid w:val="3634BC92"/>
    <w:rsid w:val="3637CF0F"/>
    <w:rsid w:val="363C2276"/>
    <w:rsid w:val="363E4932"/>
    <w:rsid w:val="36400F19"/>
    <w:rsid w:val="364603AF"/>
    <w:rsid w:val="3647D4E4"/>
    <w:rsid w:val="3649551F"/>
    <w:rsid w:val="364C44CA"/>
    <w:rsid w:val="364D5045"/>
    <w:rsid w:val="364FC186"/>
    <w:rsid w:val="36576990"/>
    <w:rsid w:val="3659F21B"/>
    <w:rsid w:val="365A2930"/>
    <w:rsid w:val="365D2ED4"/>
    <w:rsid w:val="366159F8"/>
    <w:rsid w:val="3684B784"/>
    <w:rsid w:val="3686D25B"/>
    <w:rsid w:val="3689477E"/>
    <w:rsid w:val="368D3841"/>
    <w:rsid w:val="36943771"/>
    <w:rsid w:val="36965198"/>
    <w:rsid w:val="36A58A30"/>
    <w:rsid w:val="36AC0339"/>
    <w:rsid w:val="36B4A23F"/>
    <w:rsid w:val="36BFBCD5"/>
    <w:rsid w:val="36BFFB9D"/>
    <w:rsid w:val="36C2FB09"/>
    <w:rsid w:val="36C46EEF"/>
    <w:rsid w:val="36D57227"/>
    <w:rsid w:val="36D9105F"/>
    <w:rsid w:val="36DBD5BD"/>
    <w:rsid w:val="36E8805A"/>
    <w:rsid w:val="36F0BF20"/>
    <w:rsid w:val="36F28051"/>
    <w:rsid w:val="36F99047"/>
    <w:rsid w:val="36FEAF8D"/>
    <w:rsid w:val="3702F53E"/>
    <w:rsid w:val="3704F45E"/>
    <w:rsid w:val="37066413"/>
    <w:rsid w:val="370848C2"/>
    <w:rsid w:val="3709E49C"/>
    <w:rsid w:val="370D0168"/>
    <w:rsid w:val="370E3F3D"/>
    <w:rsid w:val="37133F7D"/>
    <w:rsid w:val="3715FE99"/>
    <w:rsid w:val="3716B920"/>
    <w:rsid w:val="371BAD44"/>
    <w:rsid w:val="371C4769"/>
    <w:rsid w:val="371EAE7B"/>
    <w:rsid w:val="3726F5C0"/>
    <w:rsid w:val="373016AF"/>
    <w:rsid w:val="3730D39D"/>
    <w:rsid w:val="3731562C"/>
    <w:rsid w:val="373DED29"/>
    <w:rsid w:val="37423BA0"/>
    <w:rsid w:val="37481543"/>
    <w:rsid w:val="375560A9"/>
    <w:rsid w:val="375EEE48"/>
    <w:rsid w:val="3775C0DB"/>
    <w:rsid w:val="377DF909"/>
    <w:rsid w:val="378EF981"/>
    <w:rsid w:val="37917004"/>
    <w:rsid w:val="37933C1F"/>
    <w:rsid w:val="379C0A90"/>
    <w:rsid w:val="379FDD73"/>
    <w:rsid w:val="37A4825C"/>
    <w:rsid w:val="37A5B791"/>
    <w:rsid w:val="37A7F1B3"/>
    <w:rsid w:val="37A961D3"/>
    <w:rsid w:val="37A9F346"/>
    <w:rsid w:val="37AB18FC"/>
    <w:rsid w:val="37B14AC9"/>
    <w:rsid w:val="37B1FF9E"/>
    <w:rsid w:val="37B2EE1A"/>
    <w:rsid w:val="37B58F2C"/>
    <w:rsid w:val="37B6B238"/>
    <w:rsid w:val="37B6B80B"/>
    <w:rsid w:val="37B6BD95"/>
    <w:rsid w:val="37B8C263"/>
    <w:rsid w:val="37D284B9"/>
    <w:rsid w:val="37D842D5"/>
    <w:rsid w:val="37DB1C7C"/>
    <w:rsid w:val="37E73997"/>
    <w:rsid w:val="37EBDB50"/>
    <w:rsid w:val="37EC0F75"/>
    <w:rsid w:val="37FE0F57"/>
    <w:rsid w:val="37FFF73A"/>
    <w:rsid w:val="3801DAE4"/>
    <w:rsid w:val="380387F5"/>
    <w:rsid w:val="3805E4B0"/>
    <w:rsid w:val="3807903E"/>
    <w:rsid w:val="380AF997"/>
    <w:rsid w:val="380B4A59"/>
    <w:rsid w:val="381415B0"/>
    <w:rsid w:val="38193A3A"/>
    <w:rsid w:val="38276043"/>
    <w:rsid w:val="382EDD2F"/>
    <w:rsid w:val="382FB897"/>
    <w:rsid w:val="383088EC"/>
    <w:rsid w:val="3831560C"/>
    <w:rsid w:val="3834164E"/>
    <w:rsid w:val="3838BBDE"/>
    <w:rsid w:val="383BA8F1"/>
    <w:rsid w:val="3841C438"/>
    <w:rsid w:val="384B8DF0"/>
    <w:rsid w:val="384BBF8A"/>
    <w:rsid w:val="384CA926"/>
    <w:rsid w:val="384E2182"/>
    <w:rsid w:val="3854EE27"/>
    <w:rsid w:val="3858FDE0"/>
    <w:rsid w:val="385C15ED"/>
    <w:rsid w:val="3861A024"/>
    <w:rsid w:val="3863EF2B"/>
    <w:rsid w:val="386A6872"/>
    <w:rsid w:val="386BDD1E"/>
    <w:rsid w:val="38723DC5"/>
    <w:rsid w:val="38739D03"/>
    <w:rsid w:val="387C6DC9"/>
    <w:rsid w:val="387CB456"/>
    <w:rsid w:val="388438ED"/>
    <w:rsid w:val="3884FE07"/>
    <w:rsid w:val="38865EA1"/>
    <w:rsid w:val="388BB2B3"/>
    <w:rsid w:val="388C9E95"/>
    <w:rsid w:val="388F6470"/>
    <w:rsid w:val="38A2BC58"/>
    <w:rsid w:val="38B0731B"/>
    <w:rsid w:val="38B19DBA"/>
    <w:rsid w:val="38B1DA57"/>
    <w:rsid w:val="38B401D1"/>
    <w:rsid w:val="38B4A8B3"/>
    <w:rsid w:val="38BA1F4C"/>
    <w:rsid w:val="38BD60FE"/>
    <w:rsid w:val="38C2537B"/>
    <w:rsid w:val="38CD6812"/>
    <w:rsid w:val="38CF75AD"/>
    <w:rsid w:val="38D3630E"/>
    <w:rsid w:val="38D5F3DB"/>
    <w:rsid w:val="38D669BF"/>
    <w:rsid w:val="38DEAF9E"/>
    <w:rsid w:val="38E57B4C"/>
    <w:rsid w:val="38F07970"/>
    <w:rsid w:val="38FB8A03"/>
    <w:rsid w:val="38FBA9CC"/>
    <w:rsid w:val="39051A57"/>
    <w:rsid w:val="3907D8FB"/>
    <w:rsid w:val="3910970D"/>
    <w:rsid w:val="39150FEB"/>
    <w:rsid w:val="39167716"/>
    <w:rsid w:val="39183167"/>
    <w:rsid w:val="392415D3"/>
    <w:rsid w:val="392AD7FD"/>
    <w:rsid w:val="392DD98D"/>
    <w:rsid w:val="39331CD8"/>
    <w:rsid w:val="39406B8B"/>
    <w:rsid w:val="39465237"/>
    <w:rsid w:val="3947060C"/>
    <w:rsid w:val="394808C9"/>
    <w:rsid w:val="39493119"/>
    <w:rsid w:val="394AF0B4"/>
    <w:rsid w:val="39502938"/>
    <w:rsid w:val="3954535B"/>
    <w:rsid w:val="39549667"/>
    <w:rsid w:val="395A8F81"/>
    <w:rsid w:val="39604000"/>
    <w:rsid w:val="3965ED65"/>
    <w:rsid w:val="39684AB4"/>
    <w:rsid w:val="3969F98E"/>
    <w:rsid w:val="396EA55F"/>
    <w:rsid w:val="3976E597"/>
    <w:rsid w:val="397973AE"/>
    <w:rsid w:val="397AF632"/>
    <w:rsid w:val="397CED33"/>
    <w:rsid w:val="3980C3B1"/>
    <w:rsid w:val="39821B2B"/>
    <w:rsid w:val="398E5C5B"/>
    <w:rsid w:val="398FE3B0"/>
    <w:rsid w:val="39915C4B"/>
    <w:rsid w:val="399AC01A"/>
    <w:rsid w:val="399B6028"/>
    <w:rsid w:val="39A241C1"/>
    <w:rsid w:val="39A3C5DC"/>
    <w:rsid w:val="39A3C6EF"/>
    <w:rsid w:val="39A468F1"/>
    <w:rsid w:val="39AA67A3"/>
    <w:rsid w:val="39ABEBAF"/>
    <w:rsid w:val="39AF40E6"/>
    <w:rsid w:val="39BAC7B7"/>
    <w:rsid w:val="39BF4117"/>
    <w:rsid w:val="39CD6CA6"/>
    <w:rsid w:val="39D052C7"/>
    <w:rsid w:val="39D6C97D"/>
    <w:rsid w:val="39D72878"/>
    <w:rsid w:val="39DC0060"/>
    <w:rsid w:val="39E052BB"/>
    <w:rsid w:val="39E283A3"/>
    <w:rsid w:val="39E53BD4"/>
    <w:rsid w:val="39E66540"/>
    <w:rsid w:val="39EC8AEF"/>
    <w:rsid w:val="39EEE424"/>
    <w:rsid w:val="39FB2438"/>
    <w:rsid w:val="39FC6BA4"/>
    <w:rsid w:val="3A02BB7E"/>
    <w:rsid w:val="3A097BA2"/>
    <w:rsid w:val="3A0DE95D"/>
    <w:rsid w:val="3A139C55"/>
    <w:rsid w:val="3A18A8C0"/>
    <w:rsid w:val="3A18E66D"/>
    <w:rsid w:val="3A1B2E83"/>
    <w:rsid w:val="3A2841A8"/>
    <w:rsid w:val="3A28FDDF"/>
    <w:rsid w:val="3A2CD77F"/>
    <w:rsid w:val="3A369E5D"/>
    <w:rsid w:val="3A38FA40"/>
    <w:rsid w:val="3A3ED80E"/>
    <w:rsid w:val="3A5016B8"/>
    <w:rsid w:val="3A597F48"/>
    <w:rsid w:val="3A5D0428"/>
    <w:rsid w:val="3A5EF5C5"/>
    <w:rsid w:val="3A5FAEDD"/>
    <w:rsid w:val="3A6676C4"/>
    <w:rsid w:val="3A6A6395"/>
    <w:rsid w:val="3A7176F0"/>
    <w:rsid w:val="3A73D98D"/>
    <w:rsid w:val="3A7D1990"/>
    <w:rsid w:val="3A843727"/>
    <w:rsid w:val="3A882C12"/>
    <w:rsid w:val="3A8ABBBC"/>
    <w:rsid w:val="3A8B95C0"/>
    <w:rsid w:val="3A8C1EFB"/>
    <w:rsid w:val="3A8DB844"/>
    <w:rsid w:val="3A8F498E"/>
    <w:rsid w:val="3A932222"/>
    <w:rsid w:val="3A95BE69"/>
    <w:rsid w:val="3A95F6A2"/>
    <w:rsid w:val="3A96264F"/>
    <w:rsid w:val="3AB5FAB7"/>
    <w:rsid w:val="3AB93F02"/>
    <w:rsid w:val="3ABCE1BD"/>
    <w:rsid w:val="3AC3C8AC"/>
    <w:rsid w:val="3ACCBD1B"/>
    <w:rsid w:val="3ACD6240"/>
    <w:rsid w:val="3AD1A5F1"/>
    <w:rsid w:val="3AD5C73A"/>
    <w:rsid w:val="3ADCF0AF"/>
    <w:rsid w:val="3AE147A5"/>
    <w:rsid w:val="3B074BD3"/>
    <w:rsid w:val="3B0B3E20"/>
    <w:rsid w:val="3B0BACE3"/>
    <w:rsid w:val="3B0FF4BA"/>
    <w:rsid w:val="3B1621FE"/>
    <w:rsid w:val="3B1AC7E5"/>
    <w:rsid w:val="3B1AD9B5"/>
    <w:rsid w:val="3B1B6D72"/>
    <w:rsid w:val="3B1C5A5C"/>
    <w:rsid w:val="3B28F0B0"/>
    <w:rsid w:val="3B2956FC"/>
    <w:rsid w:val="3B2D6CCE"/>
    <w:rsid w:val="3B2EC9CD"/>
    <w:rsid w:val="3B309996"/>
    <w:rsid w:val="3B322200"/>
    <w:rsid w:val="3B3838FC"/>
    <w:rsid w:val="3B3C94E1"/>
    <w:rsid w:val="3B3F3D40"/>
    <w:rsid w:val="3B41DACC"/>
    <w:rsid w:val="3B4455FC"/>
    <w:rsid w:val="3B47BA37"/>
    <w:rsid w:val="3B534E87"/>
    <w:rsid w:val="3B566CA6"/>
    <w:rsid w:val="3B56C144"/>
    <w:rsid w:val="3B5755C9"/>
    <w:rsid w:val="3B5C1D4F"/>
    <w:rsid w:val="3B5C604C"/>
    <w:rsid w:val="3B5F4133"/>
    <w:rsid w:val="3B6B0441"/>
    <w:rsid w:val="3B7055AF"/>
    <w:rsid w:val="3B724CC4"/>
    <w:rsid w:val="3B72DDDB"/>
    <w:rsid w:val="3B7D325E"/>
    <w:rsid w:val="3B7DA8C1"/>
    <w:rsid w:val="3B81C700"/>
    <w:rsid w:val="3B8219DA"/>
    <w:rsid w:val="3B8E387C"/>
    <w:rsid w:val="3B8E5558"/>
    <w:rsid w:val="3B916E85"/>
    <w:rsid w:val="3B93087E"/>
    <w:rsid w:val="3B9374F5"/>
    <w:rsid w:val="3B966136"/>
    <w:rsid w:val="3B9F4908"/>
    <w:rsid w:val="3BA665A5"/>
    <w:rsid w:val="3BAA0A9D"/>
    <w:rsid w:val="3BAAA097"/>
    <w:rsid w:val="3BAE0937"/>
    <w:rsid w:val="3BB3C207"/>
    <w:rsid w:val="3BB91F92"/>
    <w:rsid w:val="3BC57E84"/>
    <w:rsid w:val="3BC87B62"/>
    <w:rsid w:val="3BD3A9F4"/>
    <w:rsid w:val="3BD86B25"/>
    <w:rsid w:val="3BDB4457"/>
    <w:rsid w:val="3BE162A1"/>
    <w:rsid w:val="3BE31D7E"/>
    <w:rsid w:val="3BE5F20F"/>
    <w:rsid w:val="3BEC7D4E"/>
    <w:rsid w:val="3BEFC592"/>
    <w:rsid w:val="3BFDC6F7"/>
    <w:rsid w:val="3BFF86D9"/>
    <w:rsid w:val="3C0A220B"/>
    <w:rsid w:val="3C0FC1E6"/>
    <w:rsid w:val="3C134958"/>
    <w:rsid w:val="3C13DD25"/>
    <w:rsid w:val="3C14C470"/>
    <w:rsid w:val="3C1F4D37"/>
    <w:rsid w:val="3C204DFC"/>
    <w:rsid w:val="3C214BDD"/>
    <w:rsid w:val="3C2284AF"/>
    <w:rsid w:val="3C2538AA"/>
    <w:rsid w:val="3C25A671"/>
    <w:rsid w:val="3C3EF16F"/>
    <w:rsid w:val="3C47DB06"/>
    <w:rsid w:val="3C52E12A"/>
    <w:rsid w:val="3C555650"/>
    <w:rsid w:val="3C5B3288"/>
    <w:rsid w:val="3C5CC949"/>
    <w:rsid w:val="3C5E2CFE"/>
    <w:rsid w:val="3C5FBE75"/>
    <w:rsid w:val="3C610A98"/>
    <w:rsid w:val="3C6113AF"/>
    <w:rsid w:val="3C63BCFF"/>
    <w:rsid w:val="3C6CB933"/>
    <w:rsid w:val="3C7408E0"/>
    <w:rsid w:val="3C826F2C"/>
    <w:rsid w:val="3C84C30E"/>
    <w:rsid w:val="3C84C732"/>
    <w:rsid w:val="3C98B99C"/>
    <w:rsid w:val="3C990792"/>
    <w:rsid w:val="3C9E16A2"/>
    <w:rsid w:val="3C9E175B"/>
    <w:rsid w:val="3CA215F8"/>
    <w:rsid w:val="3CA36FB5"/>
    <w:rsid w:val="3CA3AA92"/>
    <w:rsid w:val="3CAACF36"/>
    <w:rsid w:val="3CB11CCF"/>
    <w:rsid w:val="3CB643D6"/>
    <w:rsid w:val="3CB7F4E1"/>
    <w:rsid w:val="3CB82F41"/>
    <w:rsid w:val="3CC3E06B"/>
    <w:rsid w:val="3CC8DA5E"/>
    <w:rsid w:val="3CCBCD0F"/>
    <w:rsid w:val="3CCF2C4C"/>
    <w:rsid w:val="3CD314B5"/>
    <w:rsid w:val="3CD47D0D"/>
    <w:rsid w:val="3CD54172"/>
    <w:rsid w:val="3CDA7B0E"/>
    <w:rsid w:val="3CE0D566"/>
    <w:rsid w:val="3CEA463F"/>
    <w:rsid w:val="3CF22634"/>
    <w:rsid w:val="3CF86AF7"/>
    <w:rsid w:val="3CFA7B19"/>
    <w:rsid w:val="3CFFEA56"/>
    <w:rsid w:val="3D029778"/>
    <w:rsid w:val="3D03FBDA"/>
    <w:rsid w:val="3D088784"/>
    <w:rsid w:val="3D0E8924"/>
    <w:rsid w:val="3D17F3EB"/>
    <w:rsid w:val="3D1B6DCF"/>
    <w:rsid w:val="3D1F1D43"/>
    <w:rsid w:val="3D221563"/>
    <w:rsid w:val="3D2BC488"/>
    <w:rsid w:val="3D3258CC"/>
    <w:rsid w:val="3D390694"/>
    <w:rsid w:val="3D39F6D3"/>
    <w:rsid w:val="3D3B8C3A"/>
    <w:rsid w:val="3D430690"/>
    <w:rsid w:val="3D4670F8"/>
    <w:rsid w:val="3D47ED43"/>
    <w:rsid w:val="3D4919F7"/>
    <w:rsid w:val="3D4C0747"/>
    <w:rsid w:val="3D5145ED"/>
    <w:rsid w:val="3D518227"/>
    <w:rsid w:val="3D55D7C5"/>
    <w:rsid w:val="3D587077"/>
    <w:rsid w:val="3D5CB1C6"/>
    <w:rsid w:val="3D5EAA19"/>
    <w:rsid w:val="3D61F04E"/>
    <w:rsid w:val="3D622F1D"/>
    <w:rsid w:val="3D64A43A"/>
    <w:rsid w:val="3D67AA00"/>
    <w:rsid w:val="3D76FC8D"/>
    <w:rsid w:val="3D78843B"/>
    <w:rsid w:val="3D826E65"/>
    <w:rsid w:val="3D860E4D"/>
    <w:rsid w:val="3D8B03B3"/>
    <w:rsid w:val="3D90FDAC"/>
    <w:rsid w:val="3DA4D9A8"/>
    <w:rsid w:val="3DA80772"/>
    <w:rsid w:val="3DADDA0C"/>
    <w:rsid w:val="3DAE7CD0"/>
    <w:rsid w:val="3DB31C54"/>
    <w:rsid w:val="3DC0DE68"/>
    <w:rsid w:val="3DC1AFBA"/>
    <w:rsid w:val="3DC4903F"/>
    <w:rsid w:val="3DC5E185"/>
    <w:rsid w:val="3DC6762B"/>
    <w:rsid w:val="3DC73F73"/>
    <w:rsid w:val="3DC7A884"/>
    <w:rsid w:val="3DCF66DE"/>
    <w:rsid w:val="3DD91BB6"/>
    <w:rsid w:val="3DE65E22"/>
    <w:rsid w:val="3DE69A2B"/>
    <w:rsid w:val="3DEC0F87"/>
    <w:rsid w:val="3DEDFF4B"/>
    <w:rsid w:val="3DF4CB87"/>
    <w:rsid w:val="3DF5D83A"/>
    <w:rsid w:val="3DFDEFFF"/>
    <w:rsid w:val="3E087140"/>
    <w:rsid w:val="3E0DC79D"/>
    <w:rsid w:val="3E0F81B3"/>
    <w:rsid w:val="3E0F8436"/>
    <w:rsid w:val="3E15D633"/>
    <w:rsid w:val="3E1D3EE4"/>
    <w:rsid w:val="3E1DF7B9"/>
    <w:rsid w:val="3E202A3F"/>
    <w:rsid w:val="3E20696D"/>
    <w:rsid w:val="3E2331FA"/>
    <w:rsid w:val="3E2BE2BD"/>
    <w:rsid w:val="3E304CFD"/>
    <w:rsid w:val="3E358299"/>
    <w:rsid w:val="3E3C9C80"/>
    <w:rsid w:val="3E3E6ABC"/>
    <w:rsid w:val="3E420FF3"/>
    <w:rsid w:val="3E4328E1"/>
    <w:rsid w:val="3E47B739"/>
    <w:rsid w:val="3E4C2BD4"/>
    <w:rsid w:val="3E500D68"/>
    <w:rsid w:val="3E502C48"/>
    <w:rsid w:val="3E535A55"/>
    <w:rsid w:val="3E5935F3"/>
    <w:rsid w:val="3E596FC9"/>
    <w:rsid w:val="3E5BFBCC"/>
    <w:rsid w:val="3E68A28F"/>
    <w:rsid w:val="3E69C4CF"/>
    <w:rsid w:val="3E6AAE0A"/>
    <w:rsid w:val="3E6B0768"/>
    <w:rsid w:val="3E6B5636"/>
    <w:rsid w:val="3E72BE5A"/>
    <w:rsid w:val="3E72DB16"/>
    <w:rsid w:val="3E7383E5"/>
    <w:rsid w:val="3E761B57"/>
    <w:rsid w:val="3E768FC5"/>
    <w:rsid w:val="3E7D28C0"/>
    <w:rsid w:val="3E7DA354"/>
    <w:rsid w:val="3E7DC518"/>
    <w:rsid w:val="3E882904"/>
    <w:rsid w:val="3E899B13"/>
    <w:rsid w:val="3E8AF596"/>
    <w:rsid w:val="3E8E86D1"/>
    <w:rsid w:val="3E901F09"/>
    <w:rsid w:val="3E91783F"/>
    <w:rsid w:val="3E95721F"/>
    <w:rsid w:val="3E9C9FEB"/>
    <w:rsid w:val="3E9F9323"/>
    <w:rsid w:val="3EA0F5B4"/>
    <w:rsid w:val="3EA63604"/>
    <w:rsid w:val="3EA6993C"/>
    <w:rsid w:val="3EA86DBD"/>
    <w:rsid w:val="3EABD32C"/>
    <w:rsid w:val="3EAEA8B0"/>
    <w:rsid w:val="3EB0CFFC"/>
    <w:rsid w:val="3EB9C529"/>
    <w:rsid w:val="3EC0AE40"/>
    <w:rsid w:val="3EC4480A"/>
    <w:rsid w:val="3EC4BE95"/>
    <w:rsid w:val="3EC67DFB"/>
    <w:rsid w:val="3EC83688"/>
    <w:rsid w:val="3EC97E8C"/>
    <w:rsid w:val="3ED24AF2"/>
    <w:rsid w:val="3EDA14FA"/>
    <w:rsid w:val="3EDF1F2B"/>
    <w:rsid w:val="3EDFAAAF"/>
    <w:rsid w:val="3EE4F938"/>
    <w:rsid w:val="3EE5441D"/>
    <w:rsid w:val="3EE56E4F"/>
    <w:rsid w:val="3EE6720A"/>
    <w:rsid w:val="3EE8DA41"/>
    <w:rsid w:val="3EF01F05"/>
    <w:rsid w:val="3EF026A8"/>
    <w:rsid w:val="3EF5CAF9"/>
    <w:rsid w:val="3EF6A24F"/>
    <w:rsid w:val="3EFC11BB"/>
    <w:rsid w:val="3F012AEF"/>
    <w:rsid w:val="3F04758F"/>
    <w:rsid w:val="3F06A95D"/>
    <w:rsid w:val="3F0786FB"/>
    <w:rsid w:val="3F113BED"/>
    <w:rsid w:val="3F17B470"/>
    <w:rsid w:val="3F1BFA2F"/>
    <w:rsid w:val="3F1F439B"/>
    <w:rsid w:val="3F1FF48D"/>
    <w:rsid w:val="3F222FE4"/>
    <w:rsid w:val="3F2BAC2A"/>
    <w:rsid w:val="3F2E7313"/>
    <w:rsid w:val="3F342FCC"/>
    <w:rsid w:val="3F431867"/>
    <w:rsid w:val="3F492F61"/>
    <w:rsid w:val="3F4A8250"/>
    <w:rsid w:val="3F4E85A9"/>
    <w:rsid w:val="3F50CC8D"/>
    <w:rsid w:val="3F53045E"/>
    <w:rsid w:val="3F53946A"/>
    <w:rsid w:val="3F58A0A5"/>
    <w:rsid w:val="3F597642"/>
    <w:rsid w:val="3F63CC2C"/>
    <w:rsid w:val="3F6452B7"/>
    <w:rsid w:val="3F64F498"/>
    <w:rsid w:val="3F6D7B8B"/>
    <w:rsid w:val="3F71ED96"/>
    <w:rsid w:val="3F731930"/>
    <w:rsid w:val="3F74B440"/>
    <w:rsid w:val="3F7525FC"/>
    <w:rsid w:val="3F7FB7C6"/>
    <w:rsid w:val="3F82BEA9"/>
    <w:rsid w:val="3F8606D7"/>
    <w:rsid w:val="3F897587"/>
    <w:rsid w:val="3F8A364B"/>
    <w:rsid w:val="3F9161EF"/>
    <w:rsid w:val="3F967A11"/>
    <w:rsid w:val="3F9CA52D"/>
    <w:rsid w:val="3FA09C12"/>
    <w:rsid w:val="3FB8BB00"/>
    <w:rsid w:val="3FC2A17A"/>
    <w:rsid w:val="3FC52F18"/>
    <w:rsid w:val="3FC94D74"/>
    <w:rsid w:val="3FC9D931"/>
    <w:rsid w:val="3FCFA5DB"/>
    <w:rsid w:val="3FCFB7B0"/>
    <w:rsid w:val="3FD221DE"/>
    <w:rsid w:val="3FD5C6E7"/>
    <w:rsid w:val="3FE67C3A"/>
    <w:rsid w:val="3FE8A5DB"/>
    <w:rsid w:val="3FEC613E"/>
    <w:rsid w:val="3FEDED31"/>
    <w:rsid w:val="3FF9B1DD"/>
    <w:rsid w:val="3FFACAAF"/>
    <w:rsid w:val="3FFB31A6"/>
    <w:rsid w:val="3FFDF613"/>
    <w:rsid w:val="40015369"/>
    <w:rsid w:val="40045B7A"/>
    <w:rsid w:val="400DAB49"/>
    <w:rsid w:val="4014898A"/>
    <w:rsid w:val="40153AED"/>
    <w:rsid w:val="4016E227"/>
    <w:rsid w:val="401AA4A6"/>
    <w:rsid w:val="401CBB71"/>
    <w:rsid w:val="40233EBB"/>
    <w:rsid w:val="4024F4DB"/>
    <w:rsid w:val="40261F29"/>
    <w:rsid w:val="4026B884"/>
    <w:rsid w:val="40325C35"/>
    <w:rsid w:val="4032E59A"/>
    <w:rsid w:val="4034BF25"/>
    <w:rsid w:val="403A30EA"/>
    <w:rsid w:val="403A625F"/>
    <w:rsid w:val="403B5FA3"/>
    <w:rsid w:val="4043663F"/>
    <w:rsid w:val="404E3201"/>
    <w:rsid w:val="40509272"/>
    <w:rsid w:val="4056C5DA"/>
    <w:rsid w:val="4057C9D9"/>
    <w:rsid w:val="405FB9C5"/>
    <w:rsid w:val="405FFCA3"/>
    <w:rsid w:val="4061A362"/>
    <w:rsid w:val="406473E6"/>
    <w:rsid w:val="4073B8C7"/>
    <w:rsid w:val="4073F65E"/>
    <w:rsid w:val="4083553D"/>
    <w:rsid w:val="40880F0E"/>
    <w:rsid w:val="40898574"/>
    <w:rsid w:val="409CA1DE"/>
    <w:rsid w:val="409DF54A"/>
    <w:rsid w:val="40A09FF1"/>
    <w:rsid w:val="40A1FD1B"/>
    <w:rsid w:val="40ABE2F8"/>
    <w:rsid w:val="40B14B2F"/>
    <w:rsid w:val="40B29DA8"/>
    <w:rsid w:val="40B4C616"/>
    <w:rsid w:val="40B6FD73"/>
    <w:rsid w:val="40B834EC"/>
    <w:rsid w:val="40B9F766"/>
    <w:rsid w:val="40C07F67"/>
    <w:rsid w:val="40C5C558"/>
    <w:rsid w:val="40C5F519"/>
    <w:rsid w:val="40C85A19"/>
    <w:rsid w:val="40CCE531"/>
    <w:rsid w:val="40CF8930"/>
    <w:rsid w:val="40D173C4"/>
    <w:rsid w:val="40D4C7A8"/>
    <w:rsid w:val="40D95933"/>
    <w:rsid w:val="40DCCCDB"/>
    <w:rsid w:val="40E055C1"/>
    <w:rsid w:val="40E494B7"/>
    <w:rsid w:val="40E98F82"/>
    <w:rsid w:val="40EF1FBF"/>
    <w:rsid w:val="40F7A78E"/>
    <w:rsid w:val="40FB81E6"/>
    <w:rsid w:val="410148A4"/>
    <w:rsid w:val="4102209B"/>
    <w:rsid w:val="4104D2CD"/>
    <w:rsid w:val="4105A047"/>
    <w:rsid w:val="41071ADD"/>
    <w:rsid w:val="410D8E5C"/>
    <w:rsid w:val="412257A9"/>
    <w:rsid w:val="4126346E"/>
    <w:rsid w:val="41272EEF"/>
    <w:rsid w:val="412A3E0A"/>
    <w:rsid w:val="4131D892"/>
    <w:rsid w:val="413A155D"/>
    <w:rsid w:val="413A2278"/>
    <w:rsid w:val="413A2F1C"/>
    <w:rsid w:val="413C7330"/>
    <w:rsid w:val="413C8217"/>
    <w:rsid w:val="4147F3A0"/>
    <w:rsid w:val="414F2EA6"/>
    <w:rsid w:val="414F7202"/>
    <w:rsid w:val="4151CECA"/>
    <w:rsid w:val="41592BA4"/>
    <w:rsid w:val="415AB7DD"/>
    <w:rsid w:val="415E617E"/>
    <w:rsid w:val="41602E4B"/>
    <w:rsid w:val="4163BB63"/>
    <w:rsid w:val="417BEDAF"/>
    <w:rsid w:val="4180E4D8"/>
    <w:rsid w:val="418810B5"/>
    <w:rsid w:val="418A92DD"/>
    <w:rsid w:val="418DB12E"/>
    <w:rsid w:val="41936CF5"/>
    <w:rsid w:val="41948C60"/>
    <w:rsid w:val="4195314B"/>
    <w:rsid w:val="4195BBC2"/>
    <w:rsid w:val="4195F76E"/>
    <w:rsid w:val="419C0054"/>
    <w:rsid w:val="41A5A6D1"/>
    <w:rsid w:val="41A703D8"/>
    <w:rsid w:val="41AF1A6B"/>
    <w:rsid w:val="41B4ED28"/>
    <w:rsid w:val="41BBA5FD"/>
    <w:rsid w:val="41BCDF00"/>
    <w:rsid w:val="41BD4726"/>
    <w:rsid w:val="41BF18A9"/>
    <w:rsid w:val="41C15429"/>
    <w:rsid w:val="41C332EB"/>
    <w:rsid w:val="41C3D180"/>
    <w:rsid w:val="41C6D0B7"/>
    <w:rsid w:val="41D1725B"/>
    <w:rsid w:val="41D25995"/>
    <w:rsid w:val="41D8E481"/>
    <w:rsid w:val="41DA4671"/>
    <w:rsid w:val="41E4B65D"/>
    <w:rsid w:val="41E7BCFF"/>
    <w:rsid w:val="41E8953F"/>
    <w:rsid w:val="41EB90C9"/>
    <w:rsid w:val="41EBD79C"/>
    <w:rsid w:val="41EC033C"/>
    <w:rsid w:val="41EC5C05"/>
    <w:rsid w:val="41F24B23"/>
    <w:rsid w:val="41F30B42"/>
    <w:rsid w:val="41F39C66"/>
    <w:rsid w:val="41F9890F"/>
    <w:rsid w:val="41FA49F0"/>
    <w:rsid w:val="41FC8C1E"/>
    <w:rsid w:val="420ED528"/>
    <w:rsid w:val="421035AB"/>
    <w:rsid w:val="42204534"/>
    <w:rsid w:val="4223C6A2"/>
    <w:rsid w:val="42266110"/>
    <w:rsid w:val="422BFA7C"/>
    <w:rsid w:val="4230C1EB"/>
    <w:rsid w:val="4233ABB3"/>
    <w:rsid w:val="4233CE05"/>
    <w:rsid w:val="4235DF75"/>
    <w:rsid w:val="423BF8FD"/>
    <w:rsid w:val="42455958"/>
    <w:rsid w:val="4246B8DE"/>
    <w:rsid w:val="42474645"/>
    <w:rsid w:val="42512F94"/>
    <w:rsid w:val="4259E6CE"/>
    <w:rsid w:val="425E40EB"/>
    <w:rsid w:val="426388BB"/>
    <w:rsid w:val="4265790D"/>
    <w:rsid w:val="42657BA2"/>
    <w:rsid w:val="4266F408"/>
    <w:rsid w:val="426967C4"/>
    <w:rsid w:val="426D99A8"/>
    <w:rsid w:val="426DD39A"/>
    <w:rsid w:val="4274CF96"/>
    <w:rsid w:val="427619AB"/>
    <w:rsid w:val="427982FA"/>
    <w:rsid w:val="42891596"/>
    <w:rsid w:val="428CD896"/>
    <w:rsid w:val="429377EF"/>
    <w:rsid w:val="42937B70"/>
    <w:rsid w:val="429636AD"/>
    <w:rsid w:val="4297218F"/>
    <w:rsid w:val="429DDFF1"/>
    <w:rsid w:val="429E59F7"/>
    <w:rsid w:val="42A30636"/>
    <w:rsid w:val="42A5146A"/>
    <w:rsid w:val="42AB9996"/>
    <w:rsid w:val="42AD0302"/>
    <w:rsid w:val="42AE401D"/>
    <w:rsid w:val="42B2F2A1"/>
    <w:rsid w:val="42B99147"/>
    <w:rsid w:val="42BC1B7E"/>
    <w:rsid w:val="42C83072"/>
    <w:rsid w:val="42C987A5"/>
    <w:rsid w:val="42C9B4EB"/>
    <w:rsid w:val="42CCD683"/>
    <w:rsid w:val="42DA2B6A"/>
    <w:rsid w:val="42E10826"/>
    <w:rsid w:val="42E218DF"/>
    <w:rsid w:val="42E344F9"/>
    <w:rsid w:val="430893E0"/>
    <w:rsid w:val="430D2F8F"/>
    <w:rsid w:val="4312C86F"/>
    <w:rsid w:val="4319E1C3"/>
    <w:rsid w:val="431E1C38"/>
    <w:rsid w:val="431F57D3"/>
    <w:rsid w:val="432621F9"/>
    <w:rsid w:val="432783A6"/>
    <w:rsid w:val="432AB55E"/>
    <w:rsid w:val="43300C14"/>
    <w:rsid w:val="43304B75"/>
    <w:rsid w:val="4337D30F"/>
    <w:rsid w:val="434DF8D8"/>
    <w:rsid w:val="43515426"/>
    <w:rsid w:val="4358D76A"/>
    <w:rsid w:val="4359EB1B"/>
    <w:rsid w:val="435AB307"/>
    <w:rsid w:val="435CEBCB"/>
    <w:rsid w:val="435F7C10"/>
    <w:rsid w:val="4368DF97"/>
    <w:rsid w:val="436A15EB"/>
    <w:rsid w:val="43794555"/>
    <w:rsid w:val="437BC74B"/>
    <w:rsid w:val="437E32DB"/>
    <w:rsid w:val="437F1C06"/>
    <w:rsid w:val="43803EE0"/>
    <w:rsid w:val="4381C460"/>
    <w:rsid w:val="438BF642"/>
    <w:rsid w:val="43944160"/>
    <w:rsid w:val="439D3A94"/>
    <w:rsid w:val="439D9EC3"/>
    <w:rsid w:val="43A5EFE8"/>
    <w:rsid w:val="43A97DBF"/>
    <w:rsid w:val="43B40E9D"/>
    <w:rsid w:val="43B55144"/>
    <w:rsid w:val="43B8DF72"/>
    <w:rsid w:val="43BA8ABA"/>
    <w:rsid w:val="43BDFB3E"/>
    <w:rsid w:val="43C7324C"/>
    <w:rsid w:val="43C76E80"/>
    <w:rsid w:val="43D6F5E3"/>
    <w:rsid w:val="43E1F16E"/>
    <w:rsid w:val="43E6D66C"/>
    <w:rsid w:val="43F191CA"/>
    <w:rsid w:val="43F86FA7"/>
    <w:rsid w:val="44047CAF"/>
    <w:rsid w:val="4406B1B6"/>
    <w:rsid w:val="440C3BB6"/>
    <w:rsid w:val="440D9F55"/>
    <w:rsid w:val="4412F5B8"/>
    <w:rsid w:val="4417C3BB"/>
    <w:rsid w:val="441A50D1"/>
    <w:rsid w:val="442846AF"/>
    <w:rsid w:val="442990C6"/>
    <w:rsid w:val="442BA66F"/>
    <w:rsid w:val="442F5669"/>
    <w:rsid w:val="443B8C28"/>
    <w:rsid w:val="443C036D"/>
    <w:rsid w:val="44405750"/>
    <w:rsid w:val="44411E5E"/>
    <w:rsid w:val="44435AFC"/>
    <w:rsid w:val="44459180"/>
    <w:rsid w:val="4447F593"/>
    <w:rsid w:val="445208A0"/>
    <w:rsid w:val="4452EEDF"/>
    <w:rsid w:val="44588080"/>
    <w:rsid w:val="445B6E39"/>
    <w:rsid w:val="4463F72F"/>
    <w:rsid w:val="44689257"/>
    <w:rsid w:val="446BBB7B"/>
    <w:rsid w:val="446F093F"/>
    <w:rsid w:val="447B2322"/>
    <w:rsid w:val="4482F161"/>
    <w:rsid w:val="44871895"/>
    <w:rsid w:val="448746A4"/>
    <w:rsid w:val="44877474"/>
    <w:rsid w:val="44914C7B"/>
    <w:rsid w:val="4491ACF6"/>
    <w:rsid w:val="44938548"/>
    <w:rsid w:val="4499CD57"/>
    <w:rsid w:val="449ABD23"/>
    <w:rsid w:val="44A0D63C"/>
    <w:rsid w:val="44A5391F"/>
    <w:rsid w:val="44A66723"/>
    <w:rsid w:val="44B37852"/>
    <w:rsid w:val="44B4EC6F"/>
    <w:rsid w:val="44B80864"/>
    <w:rsid w:val="44BC9893"/>
    <w:rsid w:val="44BCD43B"/>
    <w:rsid w:val="44C52832"/>
    <w:rsid w:val="44CA3D79"/>
    <w:rsid w:val="44CADD9C"/>
    <w:rsid w:val="44CD676D"/>
    <w:rsid w:val="44D0F29E"/>
    <w:rsid w:val="44D12312"/>
    <w:rsid w:val="44D37387"/>
    <w:rsid w:val="44D6A127"/>
    <w:rsid w:val="44E3F4AD"/>
    <w:rsid w:val="44E44AD7"/>
    <w:rsid w:val="44E7D4B9"/>
    <w:rsid w:val="44EF2E7D"/>
    <w:rsid w:val="44FAC94B"/>
    <w:rsid w:val="44FE8B4F"/>
    <w:rsid w:val="4503AFD3"/>
    <w:rsid w:val="45055E55"/>
    <w:rsid w:val="450ADAA7"/>
    <w:rsid w:val="450C4D77"/>
    <w:rsid w:val="451127F7"/>
    <w:rsid w:val="451606B6"/>
    <w:rsid w:val="4516672C"/>
    <w:rsid w:val="451936F5"/>
    <w:rsid w:val="451C0F41"/>
    <w:rsid w:val="45252623"/>
    <w:rsid w:val="45279C8E"/>
    <w:rsid w:val="452908E5"/>
    <w:rsid w:val="452B7E44"/>
    <w:rsid w:val="452BAFA3"/>
    <w:rsid w:val="4536D5D0"/>
    <w:rsid w:val="45377602"/>
    <w:rsid w:val="453A43B9"/>
    <w:rsid w:val="453F5DF1"/>
    <w:rsid w:val="454A4A54"/>
    <w:rsid w:val="4551E1D4"/>
    <w:rsid w:val="455AFF1C"/>
    <w:rsid w:val="45623DC1"/>
    <w:rsid w:val="456376EC"/>
    <w:rsid w:val="4567E780"/>
    <w:rsid w:val="4567FDA0"/>
    <w:rsid w:val="456B340B"/>
    <w:rsid w:val="456C396B"/>
    <w:rsid w:val="456D3F07"/>
    <w:rsid w:val="45715D24"/>
    <w:rsid w:val="4571CA80"/>
    <w:rsid w:val="45768B26"/>
    <w:rsid w:val="4578E1CC"/>
    <w:rsid w:val="4579DABA"/>
    <w:rsid w:val="457A067B"/>
    <w:rsid w:val="457A829A"/>
    <w:rsid w:val="457BFEAC"/>
    <w:rsid w:val="457D8148"/>
    <w:rsid w:val="458B31E0"/>
    <w:rsid w:val="458FA9BA"/>
    <w:rsid w:val="4593877D"/>
    <w:rsid w:val="459C0192"/>
    <w:rsid w:val="459D1AE8"/>
    <w:rsid w:val="459D7DE0"/>
    <w:rsid w:val="459DADAC"/>
    <w:rsid w:val="45A44012"/>
    <w:rsid w:val="45A5F635"/>
    <w:rsid w:val="45A70B5C"/>
    <w:rsid w:val="45AF6176"/>
    <w:rsid w:val="45B1B694"/>
    <w:rsid w:val="45B967AB"/>
    <w:rsid w:val="45BE507F"/>
    <w:rsid w:val="45C0ED8D"/>
    <w:rsid w:val="45C4B769"/>
    <w:rsid w:val="45C79CAF"/>
    <w:rsid w:val="45C8D344"/>
    <w:rsid w:val="45D5CEDD"/>
    <w:rsid w:val="45DA5337"/>
    <w:rsid w:val="45DD7D5A"/>
    <w:rsid w:val="45DDA83D"/>
    <w:rsid w:val="45E3758B"/>
    <w:rsid w:val="45E572ED"/>
    <w:rsid w:val="45E59203"/>
    <w:rsid w:val="45F09D26"/>
    <w:rsid w:val="45F23ACE"/>
    <w:rsid w:val="45FAB229"/>
    <w:rsid w:val="45FB6626"/>
    <w:rsid w:val="45FCDD96"/>
    <w:rsid w:val="4601E7E2"/>
    <w:rsid w:val="46030222"/>
    <w:rsid w:val="460D1D58"/>
    <w:rsid w:val="46104828"/>
    <w:rsid w:val="461B281B"/>
    <w:rsid w:val="4620EBEF"/>
    <w:rsid w:val="4621DFFE"/>
    <w:rsid w:val="4631154D"/>
    <w:rsid w:val="46349CBE"/>
    <w:rsid w:val="4644352A"/>
    <w:rsid w:val="4645A03C"/>
    <w:rsid w:val="4645BF12"/>
    <w:rsid w:val="464B832D"/>
    <w:rsid w:val="4652C86E"/>
    <w:rsid w:val="465B3C3C"/>
    <w:rsid w:val="466A62EC"/>
    <w:rsid w:val="466F7177"/>
    <w:rsid w:val="4677C894"/>
    <w:rsid w:val="4684F7AF"/>
    <w:rsid w:val="468C070A"/>
    <w:rsid w:val="46937095"/>
    <w:rsid w:val="46937317"/>
    <w:rsid w:val="46968BB1"/>
    <w:rsid w:val="46998452"/>
    <w:rsid w:val="469EB840"/>
    <w:rsid w:val="46A1FDCA"/>
    <w:rsid w:val="46A3FE8D"/>
    <w:rsid w:val="46A4B8AD"/>
    <w:rsid w:val="46A596E1"/>
    <w:rsid w:val="46A5B1DB"/>
    <w:rsid w:val="46AC247F"/>
    <w:rsid w:val="46B51FAE"/>
    <w:rsid w:val="46B5A962"/>
    <w:rsid w:val="46B80823"/>
    <w:rsid w:val="46C8ECA1"/>
    <w:rsid w:val="46CA9401"/>
    <w:rsid w:val="46D22A45"/>
    <w:rsid w:val="46D2C6E1"/>
    <w:rsid w:val="46D4D78B"/>
    <w:rsid w:val="46D67FAF"/>
    <w:rsid w:val="46D8FE29"/>
    <w:rsid w:val="46E8EA1A"/>
    <w:rsid w:val="47000D37"/>
    <w:rsid w:val="47017826"/>
    <w:rsid w:val="470E9951"/>
    <w:rsid w:val="4712B330"/>
    <w:rsid w:val="4713F3BC"/>
    <w:rsid w:val="4722C6C9"/>
    <w:rsid w:val="47262552"/>
    <w:rsid w:val="4727B2F1"/>
    <w:rsid w:val="472B5934"/>
    <w:rsid w:val="472D82AB"/>
    <w:rsid w:val="47317226"/>
    <w:rsid w:val="4734F912"/>
    <w:rsid w:val="473A0638"/>
    <w:rsid w:val="47417F4D"/>
    <w:rsid w:val="4741EF7F"/>
    <w:rsid w:val="4742C9D7"/>
    <w:rsid w:val="4744C9EF"/>
    <w:rsid w:val="47493107"/>
    <w:rsid w:val="47523159"/>
    <w:rsid w:val="4752BB6D"/>
    <w:rsid w:val="4755097A"/>
    <w:rsid w:val="4759A7A8"/>
    <w:rsid w:val="475B897F"/>
    <w:rsid w:val="4760D130"/>
    <w:rsid w:val="4766047A"/>
    <w:rsid w:val="4769A470"/>
    <w:rsid w:val="476D5D02"/>
    <w:rsid w:val="47704DDE"/>
    <w:rsid w:val="47733F5F"/>
    <w:rsid w:val="4777BADF"/>
    <w:rsid w:val="477A47A0"/>
    <w:rsid w:val="477AB111"/>
    <w:rsid w:val="47894C82"/>
    <w:rsid w:val="479232FA"/>
    <w:rsid w:val="4797C89E"/>
    <w:rsid w:val="4799D4D7"/>
    <w:rsid w:val="47AC4FDC"/>
    <w:rsid w:val="47B039A2"/>
    <w:rsid w:val="47B03B7F"/>
    <w:rsid w:val="47B10522"/>
    <w:rsid w:val="47BC4230"/>
    <w:rsid w:val="47BDE829"/>
    <w:rsid w:val="47C589B5"/>
    <w:rsid w:val="47CADD8B"/>
    <w:rsid w:val="47CD8C1C"/>
    <w:rsid w:val="47D763FB"/>
    <w:rsid w:val="47DAB0F7"/>
    <w:rsid w:val="47DC1450"/>
    <w:rsid w:val="47E0A0B2"/>
    <w:rsid w:val="47E5DA7F"/>
    <w:rsid w:val="47E659B4"/>
    <w:rsid w:val="47E6EA14"/>
    <w:rsid w:val="47EE3139"/>
    <w:rsid w:val="47F2642F"/>
    <w:rsid w:val="47F5AA54"/>
    <w:rsid w:val="47F9A4A9"/>
    <w:rsid w:val="47FE6926"/>
    <w:rsid w:val="4805EDC5"/>
    <w:rsid w:val="480608D3"/>
    <w:rsid w:val="480A023F"/>
    <w:rsid w:val="4810A916"/>
    <w:rsid w:val="481154AA"/>
    <w:rsid w:val="48120EB3"/>
    <w:rsid w:val="48164B9E"/>
    <w:rsid w:val="4818A494"/>
    <w:rsid w:val="481D139E"/>
    <w:rsid w:val="481E368F"/>
    <w:rsid w:val="481F51B9"/>
    <w:rsid w:val="4822948F"/>
    <w:rsid w:val="482539C0"/>
    <w:rsid w:val="4825AD73"/>
    <w:rsid w:val="48317B27"/>
    <w:rsid w:val="48335739"/>
    <w:rsid w:val="4833C833"/>
    <w:rsid w:val="4835948B"/>
    <w:rsid w:val="483596AB"/>
    <w:rsid w:val="48362191"/>
    <w:rsid w:val="48387E2C"/>
    <w:rsid w:val="4839BCF9"/>
    <w:rsid w:val="483BDEA9"/>
    <w:rsid w:val="48426AE0"/>
    <w:rsid w:val="48451A3E"/>
    <w:rsid w:val="484A792C"/>
    <w:rsid w:val="484ACE04"/>
    <w:rsid w:val="484C2F2D"/>
    <w:rsid w:val="484E0E6F"/>
    <w:rsid w:val="484F1A29"/>
    <w:rsid w:val="484F51F6"/>
    <w:rsid w:val="4853E041"/>
    <w:rsid w:val="4855FEBC"/>
    <w:rsid w:val="4859F823"/>
    <w:rsid w:val="485E414F"/>
    <w:rsid w:val="485FEE79"/>
    <w:rsid w:val="4865B0D9"/>
    <w:rsid w:val="48673BA0"/>
    <w:rsid w:val="48692D62"/>
    <w:rsid w:val="486CD860"/>
    <w:rsid w:val="486DA9A6"/>
    <w:rsid w:val="486EB217"/>
    <w:rsid w:val="4874D3C6"/>
    <w:rsid w:val="487A05EE"/>
    <w:rsid w:val="487B974B"/>
    <w:rsid w:val="48804ADE"/>
    <w:rsid w:val="488258D9"/>
    <w:rsid w:val="48869E0E"/>
    <w:rsid w:val="4889B483"/>
    <w:rsid w:val="4891E4E1"/>
    <w:rsid w:val="4897D971"/>
    <w:rsid w:val="48A23942"/>
    <w:rsid w:val="48A5E635"/>
    <w:rsid w:val="48A698EC"/>
    <w:rsid w:val="48A70501"/>
    <w:rsid w:val="48AA2159"/>
    <w:rsid w:val="48AC4494"/>
    <w:rsid w:val="48ACD337"/>
    <w:rsid w:val="48AF4B8D"/>
    <w:rsid w:val="48AF99CC"/>
    <w:rsid w:val="48B170AF"/>
    <w:rsid w:val="48B31DAC"/>
    <w:rsid w:val="48B3D731"/>
    <w:rsid w:val="48B931F7"/>
    <w:rsid w:val="48BACBF3"/>
    <w:rsid w:val="48BB9270"/>
    <w:rsid w:val="48BCE4E5"/>
    <w:rsid w:val="48C4FC1B"/>
    <w:rsid w:val="48C80B68"/>
    <w:rsid w:val="48CDDFE9"/>
    <w:rsid w:val="48D0F410"/>
    <w:rsid w:val="48D1A34F"/>
    <w:rsid w:val="48D5B44A"/>
    <w:rsid w:val="48D79988"/>
    <w:rsid w:val="48DF9EB2"/>
    <w:rsid w:val="48DFCD45"/>
    <w:rsid w:val="48E044C0"/>
    <w:rsid w:val="48E22BA2"/>
    <w:rsid w:val="48F480C0"/>
    <w:rsid w:val="48F82543"/>
    <w:rsid w:val="48FE3119"/>
    <w:rsid w:val="49008AE5"/>
    <w:rsid w:val="49093F7B"/>
    <w:rsid w:val="4910D5B6"/>
    <w:rsid w:val="49126CA0"/>
    <w:rsid w:val="49179989"/>
    <w:rsid w:val="4918CED2"/>
    <w:rsid w:val="491AB0D8"/>
    <w:rsid w:val="491DA73D"/>
    <w:rsid w:val="492C402A"/>
    <w:rsid w:val="492E4A99"/>
    <w:rsid w:val="4934499D"/>
    <w:rsid w:val="49359BAE"/>
    <w:rsid w:val="49389140"/>
    <w:rsid w:val="49456C45"/>
    <w:rsid w:val="4947988C"/>
    <w:rsid w:val="494E6DD0"/>
    <w:rsid w:val="4951520C"/>
    <w:rsid w:val="4959215B"/>
    <w:rsid w:val="495DA1AE"/>
    <w:rsid w:val="496039E6"/>
    <w:rsid w:val="496A4020"/>
    <w:rsid w:val="49712EBF"/>
    <w:rsid w:val="49716999"/>
    <w:rsid w:val="4978F566"/>
    <w:rsid w:val="49833695"/>
    <w:rsid w:val="49847D88"/>
    <w:rsid w:val="49859C28"/>
    <w:rsid w:val="49899B95"/>
    <w:rsid w:val="498ADE9B"/>
    <w:rsid w:val="498B176A"/>
    <w:rsid w:val="49902AED"/>
    <w:rsid w:val="4994F681"/>
    <w:rsid w:val="49960CBE"/>
    <w:rsid w:val="4999C693"/>
    <w:rsid w:val="499DF426"/>
    <w:rsid w:val="49A4E737"/>
    <w:rsid w:val="49A7C73F"/>
    <w:rsid w:val="49A9E225"/>
    <w:rsid w:val="49AA2831"/>
    <w:rsid w:val="49AC7822"/>
    <w:rsid w:val="49B32ED5"/>
    <w:rsid w:val="49B58FF8"/>
    <w:rsid w:val="49B78EE8"/>
    <w:rsid w:val="49B9CAD0"/>
    <w:rsid w:val="49BD3340"/>
    <w:rsid w:val="49C6E399"/>
    <w:rsid w:val="49CAD5EF"/>
    <w:rsid w:val="49CC665A"/>
    <w:rsid w:val="49D2F88B"/>
    <w:rsid w:val="49D993CE"/>
    <w:rsid w:val="49E2DFB6"/>
    <w:rsid w:val="49E46ABD"/>
    <w:rsid w:val="49E9D4C5"/>
    <w:rsid w:val="49EB347F"/>
    <w:rsid w:val="49ED2DF7"/>
    <w:rsid w:val="49F3F269"/>
    <w:rsid w:val="49F4976E"/>
    <w:rsid w:val="4A051E7D"/>
    <w:rsid w:val="4A0818DD"/>
    <w:rsid w:val="4A0ABD0A"/>
    <w:rsid w:val="4A0B392A"/>
    <w:rsid w:val="4A0E2F78"/>
    <w:rsid w:val="4A0F3E2B"/>
    <w:rsid w:val="4A1616B5"/>
    <w:rsid w:val="4A1A7D70"/>
    <w:rsid w:val="4A1B5A1C"/>
    <w:rsid w:val="4A1F9EA0"/>
    <w:rsid w:val="4A2584FD"/>
    <w:rsid w:val="4A377648"/>
    <w:rsid w:val="4A37B069"/>
    <w:rsid w:val="4A384D33"/>
    <w:rsid w:val="4A3FE440"/>
    <w:rsid w:val="4A4337AA"/>
    <w:rsid w:val="4A472BA1"/>
    <w:rsid w:val="4A4D96BE"/>
    <w:rsid w:val="4A4F6F1E"/>
    <w:rsid w:val="4A50B686"/>
    <w:rsid w:val="4A53B3C8"/>
    <w:rsid w:val="4A58B057"/>
    <w:rsid w:val="4A5AC3F6"/>
    <w:rsid w:val="4A64ACF0"/>
    <w:rsid w:val="4A67FD63"/>
    <w:rsid w:val="4A71C41C"/>
    <w:rsid w:val="4A72ED43"/>
    <w:rsid w:val="4A749C04"/>
    <w:rsid w:val="4A77E526"/>
    <w:rsid w:val="4A78A07E"/>
    <w:rsid w:val="4A7BAEFC"/>
    <w:rsid w:val="4A7E2C0B"/>
    <w:rsid w:val="4A845CC8"/>
    <w:rsid w:val="4A876B58"/>
    <w:rsid w:val="4A8A08DB"/>
    <w:rsid w:val="4A8C7D15"/>
    <w:rsid w:val="4A8DC3C1"/>
    <w:rsid w:val="4A92A5DD"/>
    <w:rsid w:val="4A9C5B12"/>
    <w:rsid w:val="4AB185F6"/>
    <w:rsid w:val="4AB3CF81"/>
    <w:rsid w:val="4AB656C4"/>
    <w:rsid w:val="4AB875FF"/>
    <w:rsid w:val="4ABA10BC"/>
    <w:rsid w:val="4ABD784F"/>
    <w:rsid w:val="4ABFD1B9"/>
    <w:rsid w:val="4ACC1E5F"/>
    <w:rsid w:val="4ACC26F9"/>
    <w:rsid w:val="4ACFE50C"/>
    <w:rsid w:val="4AD80672"/>
    <w:rsid w:val="4ADB0E8C"/>
    <w:rsid w:val="4ADCA584"/>
    <w:rsid w:val="4ADE1064"/>
    <w:rsid w:val="4ADFADC5"/>
    <w:rsid w:val="4AE62947"/>
    <w:rsid w:val="4AEA4C24"/>
    <w:rsid w:val="4AEBD7D1"/>
    <w:rsid w:val="4AF1ACB4"/>
    <w:rsid w:val="4AF50278"/>
    <w:rsid w:val="4AFAE745"/>
    <w:rsid w:val="4B0E9887"/>
    <w:rsid w:val="4B1AF4C8"/>
    <w:rsid w:val="4B1D75B0"/>
    <w:rsid w:val="4B21291E"/>
    <w:rsid w:val="4B21D3D5"/>
    <w:rsid w:val="4B262AF7"/>
    <w:rsid w:val="4B2B11F5"/>
    <w:rsid w:val="4B2C66DD"/>
    <w:rsid w:val="4B2E8561"/>
    <w:rsid w:val="4B3CD6A0"/>
    <w:rsid w:val="4B41A069"/>
    <w:rsid w:val="4B45215D"/>
    <w:rsid w:val="4B474C69"/>
    <w:rsid w:val="4B47C6B1"/>
    <w:rsid w:val="4B5452E2"/>
    <w:rsid w:val="4B59EC63"/>
    <w:rsid w:val="4B5CBE76"/>
    <w:rsid w:val="4B6BEA57"/>
    <w:rsid w:val="4B718F6C"/>
    <w:rsid w:val="4B7499FF"/>
    <w:rsid w:val="4B74DD67"/>
    <w:rsid w:val="4B771922"/>
    <w:rsid w:val="4B7872FA"/>
    <w:rsid w:val="4B795963"/>
    <w:rsid w:val="4B8725B8"/>
    <w:rsid w:val="4B8B50C5"/>
    <w:rsid w:val="4B912124"/>
    <w:rsid w:val="4B920047"/>
    <w:rsid w:val="4BA432C7"/>
    <w:rsid w:val="4BA914AE"/>
    <w:rsid w:val="4BABE73E"/>
    <w:rsid w:val="4BAC993E"/>
    <w:rsid w:val="4BAED981"/>
    <w:rsid w:val="4BB1DE1A"/>
    <w:rsid w:val="4BC08D05"/>
    <w:rsid w:val="4BD95A43"/>
    <w:rsid w:val="4BDA1858"/>
    <w:rsid w:val="4BE2EA25"/>
    <w:rsid w:val="4BE388E5"/>
    <w:rsid w:val="4BEE9AE0"/>
    <w:rsid w:val="4BF04628"/>
    <w:rsid w:val="4BF27324"/>
    <w:rsid w:val="4BF5E7FE"/>
    <w:rsid w:val="4BF79B3A"/>
    <w:rsid w:val="4BF84600"/>
    <w:rsid w:val="4C05B743"/>
    <w:rsid w:val="4C074239"/>
    <w:rsid w:val="4C11EE48"/>
    <w:rsid w:val="4C12E9F3"/>
    <w:rsid w:val="4C141757"/>
    <w:rsid w:val="4C222ECB"/>
    <w:rsid w:val="4C23576F"/>
    <w:rsid w:val="4C30A0B6"/>
    <w:rsid w:val="4C3755C5"/>
    <w:rsid w:val="4C3AB5CD"/>
    <w:rsid w:val="4C4973C8"/>
    <w:rsid w:val="4C4A503F"/>
    <w:rsid w:val="4C4C0951"/>
    <w:rsid w:val="4C4D678B"/>
    <w:rsid w:val="4C506B78"/>
    <w:rsid w:val="4C56A630"/>
    <w:rsid w:val="4C5842C5"/>
    <w:rsid w:val="4C5C5A57"/>
    <w:rsid w:val="4C61F28D"/>
    <w:rsid w:val="4C64EA8E"/>
    <w:rsid w:val="4C65E42F"/>
    <w:rsid w:val="4C698F32"/>
    <w:rsid w:val="4C71FBB8"/>
    <w:rsid w:val="4C7320B3"/>
    <w:rsid w:val="4C7375E9"/>
    <w:rsid w:val="4C7474A8"/>
    <w:rsid w:val="4C78508A"/>
    <w:rsid w:val="4C85F1F8"/>
    <w:rsid w:val="4C87179A"/>
    <w:rsid w:val="4C88A7A3"/>
    <w:rsid w:val="4C8A176A"/>
    <w:rsid w:val="4C8A4C20"/>
    <w:rsid w:val="4C945247"/>
    <w:rsid w:val="4C949087"/>
    <w:rsid w:val="4C98DD4D"/>
    <w:rsid w:val="4CA04234"/>
    <w:rsid w:val="4CAD959D"/>
    <w:rsid w:val="4CAE526F"/>
    <w:rsid w:val="4CB8A190"/>
    <w:rsid w:val="4CBBDB2B"/>
    <w:rsid w:val="4CC19D4F"/>
    <w:rsid w:val="4CD657CB"/>
    <w:rsid w:val="4CD980A8"/>
    <w:rsid w:val="4CDD3C47"/>
    <w:rsid w:val="4CE67FB9"/>
    <w:rsid w:val="4CE9B20A"/>
    <w:rsid w:val="4CEB7317"/>
    <w:rsid w:val="4CED2D41"/>
    <w:rsid w:val="4CED512B"/>
    <w:rsid w:val="4CF350EA"/>
    <w:rsid w:val="4CF82BDE"/>
    <w:rsid w:val="4CF84BA9"/>
    <w:rsid w:val="4CFBF6FC"/>
    <w:rsid w:val="4D0217A4"/>
    <w:rsid w:val="4D0D103C"/>
    <w:rsid w:val="4D0EE1BD"/>
    <w:rsid w:val="4D1391C2"/>
    <w:rsid w:val="4D1723B7"/>
    <w:rsid w:val="4D19CED7"/>
    <w:rsid w:val="4D25AF15"/>
    <w:rsid w:val="4D277E4F"/>
    <w:rsid w:val="4D2BCD9E"/>
    <w:rsid w:val="4D2C632D"/>
    <w:rsid w:val="4D2E0C97"/>
    <w:rsid w:val="4D353F0C"/>
    <w:rsid w:val="4D38C2E8"/>
    <w:rsid w:val="4D4340E9"/>
    <w:rsid w:val="4D482DD7"/>
    <w:rsid w:val="4D487094"/>
    <w:rsid w:val="4D4B0155"/>
    <w:rsid w:val="4D4E0D80"/>
    <w:rsid w:val="4D53BBF8"/>
    <w:rsid w:val="4D54534B"/>
    <w:rsid w:val="4D55B4B3"/>
    <w:rsid w:val="4D5F4A71"/>
    <w:rsid w:val="4D67AF15"/>
    <w:rsid w:val="4D6F9051"/>
    <w:rsid w:val="4D7263B1"/>
    <w:rsid w:val="4D73E450"/>
    <w:rsid w:val="4D75DBFA"/>
    <w:rsid w:val="4D76D14E"/>
    <w:rsid w:val="4D803029"/>
    <w:rsid w:val="4D80FE10"/>
    <w:rsid w:val="4D850351"/>
    <w:rsid w:val="4D86BFE0"/>
    <w:rsid w:val="4D8DB503"/>
    <w:rsid w:val="4D8DDE6D"/>
    <w:rsid w:val="4D8FF3D4"/>
    <w:rsid w:val="4D903CBC"/>
    <w:rsid w:val="4D919917"/>
    <w:rsid w:val="4D96AACA"/>
    <w:rsid w:val="4D974B6D"/>
    <w:rsid w:val="4D9784A5"/>
    <w:rsid w:val="4DA24306"/>
    <w:rsid w:val="4DA3DE24"/>
    <w:rsid w:val="4DA6EECF"/>
    <w:rsid w:val="4DA9D182"/>
    <w:rsid w:val="4DB9B68B"/>
    <w:rsid w:val="4DBF525B"/>
    <w:rsid w:val="4DC4A6DA"/>
    <w:rsid w:val="4DC7E3D8"/>
    <w:rsid w:val="4DCE4F47"/>
    <w:rsid w:val="4DDA6E5E"/>
    <w:rsid w:val="4DE33352"/>
    <w:rsid w:val="4DECA18C"/>
    <w:rsid w:val="4DF1172E"/>
    <w:rsid w:val="4DF1D1E7"/>
    <w:rsid w:val="4DF64FDF"/>
    <w:rsid w:val="4DFA0E1C"/>
    <w:rsid w:val="4DFAFC49"/>
    <w:rsid w:val="4DFB0735"/>
    <w:rsid w:val="4E0DC102"/>
    <w:rsid w:val="4E106052"/>
    <w:rsid w:val="4E180D14"/>
    <w:rsid w:val="4E1A7706"/>
    <w:rsid w:val="4E1CDD42"/>
    <w:rsid w:val="4E20D1EE"/>
    <w:rsid w:val="4E217E5D"/>
    <w:rsid w:val="4E2B95F9"/>
    <w:rsid w:val="4E3060E8"/>
    <w:rsid w:val="4E32E345"/>
    <w:rsid w:val="4E3E7B75"/>
    <w:rsid w:val="4E404D07"/>
    <w:rsid w:val="4E40AF9E"/>
    <w:rsid w:val="4E4A8E24"/>
    <w:rsid w:val="4E4E7180"/>
    <w:rsid w:val="4E505EFF"/>
    <w:rsid w:val="4E53851B"/>
    <w:rsid w:val="4E6525E7"/>
    <w:rsid w:val="4E66A255"/>
    <w:rsid w:val="4E6A4629"/>
    <w:rsid w:val="4E6BDDF9"/>
    <w:rsid w:val="4E6F76C9"/>
    <w:rsid w:val="4E7621FF"/>
    <w:rsid w:val="4E7AF757"/>
    <w:rsid w:val="4E84320A"/>
    <w:rsid w:val="4E845273"/>
    <w:rsid w:val="4E92B7FD"/>
    <w:rsid w:val="4E97C0E1"/>
    <w:rsid w:val="4EA4BF1D"/>
    <w:rsid w:val="4EA608F8"/>
    <w:rsid w:val="4EA6648B"/>
    <w:rsid w:val="4EA71CE9"/>
    <w:rsid w:val="4EAAB21E"/>
    <w:rsid w:val="4EB10A0C"/>
    <w:rsid w:val="4EB12215"/>
    <w:rsid w:val="4EB1F73C"/>
    <w:rsid w:val="4EB578D0"/>
    <w:rsid w:val="4EB6ACF7"/>
    <w:rsid w:val="4EBEA2CA"/>
    <w:rsid w:val="4EC283EE"/>
    <w:rsid w:val="4EC3BF77"/>
    <w:rsid w:val="4ECE7E26"/>
    <w:rsid w:val="4ED06ABF"/>
    <w:rsid w:val="4ED1D8E4"/>
    <w:rsid w:val="4ED281B3"/>
    <w:rsid w:val="4ED8978A"/>
    <w:rsid w:val="4EDA7CB7"/>
    <w:rsid w:val="4EE0927C"/>
    <w:rsid w:val="4EE6A616"/>
    <w:rsid w:val="4EE7ABA4"/>
    <w:rsid w:val="4EE87F0A"/>
    <w:rsid w:val="4EEA41A0"/>
    <w:rsid w:val="4EF13EB2"/>
    <w:rsid w:val="4EFB9EA6"/>
    <w:rsid w:val="4EFE1B80"/>
    <w:rsid w:val="4F066318"/>
    <w:rsid w:val="4F086B6C"/>
    <w:rsid w:val="4F0E30B4"/>
    <w:rsid w:val="4F110631"/>
    <w:rsid w:val="4F15B370"/>
    <w:rsid w:val="4F1E1031"/>
    <w:rsid w:val="4F22DB22"/>
    <w:rsid w:val="4F261C19"/>
    <w:rsid w:val="4F2683C1"/>
    <w:rsid w:val="4F284B03"/>
    <w:rsid w:val="4F298D4C"/>
    <w:rsid w:val="4F2E81A6"/>
    <w:rsid w:val="4F2ECC96"/>
    <w:rsid w:val="4F323CC2"/>
    <w:rsid w:val="4F350AD8"/>
    <w:rsid w:val="4F392F1F"/>
    <w:rsid w:val="4F5BB679"/>
    <w:rsid w:val="4F5F6DC9"/>
    <w:rsid w:val="4F607909"/>
    <w:rsid w:val="4F64CD90"/>
    <w:rsid w:val="4F64E8E5"/>
    <w:rsid w:val="4F657355"/>
    <w:rsid w:val="4F67718E"/>
    <w:rsid w:val="4F6A59ED"/>
    <w:rsid w:val="4F6E2A49"/>
    <w:rsid w:val="4F6F8AC3"/>
    <w:rsid w:val="4F72BA5B"/>
    <w:rsid w:val="4F7926B1"/>
    <w:rsid w:val="4F827F3E"/>
    <w:rsid w:val="4F83E22E"/>
    <w:rsid w:val="4F845839"/>
    <w:rsid w:val="4F85C78B"/>
    <w:rsid w:val="4F888F07"/>
    <w:rsid w:val="4F948748"/>
    <w:rsid w:val="4F94C2BA"/>
    <w:rsid w:val="4F99D71C"/>
    <w:rsid w:val="4F9C83CA"/>
    <w:rsid w:val="4F9ECFDB"/>
    <w:rsid w:val="4FA02622"/>
    <w:rsid w:val="4FA148FB"/>
    <w:rsid w:val="4FA2BA42"/>
    <w:rsid w:val="4FA398B0"/>
    <w:rsid w:val="4FA5E446"/>
    <w:rsid w:val="4FA7DA0D"/>
    <w:rsid w:val="4FAF175E"/>
    <w:rsid w:val="4FBC1DA6"/>
    <w:rsid w:val="4FBDC391"/>
    <w:rsid w:val="4FBE503D"/>
    <w:rsid w:val="4FBF015C"/>
    <w:rsid w:val="4FC56F67"/>
    <w:rsid w:val="4FD3E9DF"/>
    <w:rsid w:val="4FD4532B"/>
    <w:rsid w:val="4FD4F5C5"/>
    <w:rsid w:val="4FE7019E"/>
    <w:rsid w:val="4FE925F1"/>
    <w:rsid w:val="4FEECF30"/>
    <w:rsid w:val="4FF18D62"/>
    <w:rsid w:val="4FF1E94F"/>
    <w:rsid w:val="4FF69556"/>
    <w:rsid w:val="4FFB0F9D"/>
    <w:rsid w:val="4FFB2241"/>
    <w:rsid w:val="4FFB8A33"/>
    <w:rsid w:val="500392F5"/>
    <w:rsid w:val="500BCD09"/>
    <w:rsid w:val="500DFA64"/>
    <w:rsid w:val="501064BF"/>
    <w:rsid w:val="50172C78"/>
    <w:rsid w:val="501ED89C"/>
    <w:rsid w:val="502AF1AC"/>
    <w:rsid w:val="502CB135"/>
    <w:rsid w:val="5030DD80"/>
    <w:rsid w:val="5037AF3D"/>
    <w:rsid w:val="5038895E"/>
    <w:rsid w:val="503921BD"/>
    <w:rsid w:val="5043F523"/>
    <w:rsid w:val="504592E6"/>
    <w:rsid w:val="5053DD76"/>
    <w:rsid w:val="505C040E"/>
    <w:rsid w:val="505FFF23"/>
    <w:rsid w:val="50603713"/>
    <w:rsid w:val="5066BE99"/>
    <w:rsid w:val="506BE419"/>
    <w:rsid w:val="506C5C75"/>
    <w:rsid w:val="506D0CC3"/>
    <w:rsid w:val="506EFBF8"/>
    <w:rsid w:val="50708F12"/>
    <w:rsid w:val="5072DE2F"/>
    <w:rsid w:val="5073F3F1"/>
    <w:rsid w:val="507CEFB9"/>
    <w:rsid w:val="507D9922"/>
    <w:rsid w:val="508059BE"/>
    <w:rsid w:val="5081CAAE"/>
    <w:rsid w:val="5086E0EF"/>
    <w:rsid w:val="50879086"/>
    <w:rsid w:val="508CD41D"/>
    <w:rsid w:val="508EF06F"/>
    <w:rsid w:val="508F5F9E"/>
    <w:rsid w:val="50919988"/>
    <w:rsid w:val="50952DF6"/>
    <w:rsid w:val="5097CA89"/>
    <w:rsid w:val="509EDB77"/>
    <w:rsid w:val="50A4625A"/>
    <w:rsid w:val="50A54879"/>
    <w:rsid w:val="50BA0C84"/>
    <w:rsid w:val="50BB17AD"/>
    <w:rsid w:val="50CC2519"/>
    <w:rsid w:val="50CD8DF8"/>
    <w:rsid w:val="50D21466"/>
    <w:rsid w:val="50D48B26"/>
    <w:rsid w:val="50DB39B7"/>
    <w:rsid w:val="50DBE87D"/>
    <w:rsid w:val="50E25D68"/>
    <w:rsid w:val="50E9201B"/>
    <w:rsid w:val="50F09EC4"/>
    <w:rsid w:val="50F89DE7"/>
    <w:rsid w:val="50FB1F6B"/>
    <w:rsid w:val="50FC292F"/>
    <w:rsid w:val="51021B09"/>
    <w:rsid w:val="51039DA3"/>
    <w:rsid w:val="5109B1BD"/>
    <w:rsid w:val="510B9F81"/>
    <w:rsid w:val="510C4D94"/>
    <w:rsid w:val="511004A1"/>
    <w:rsid w:val="5111090F"/>
    <w:rsid w:val="5111BA3B"/>
    <w:rsid w:val="5113F3A6"/>
    <w:rsid w:val="51161B82"/>
    <w:rsid w:val="5126016A"/>
    <w:rsid w:val="5127FBCC"/>
    <w:rsid w:val="512816EB"/>
    <w:rsid w:val="512A229E"/>
    <w:rsid w:val="512D12BA"/>
    <w:rsid w:val="5134B44F"/>
    <w:rsid w:val="51380F6F"/>
    <w:rsid w:val="514615B8"/>
    <w:rsid w:val="51482193"/>
    <w:rsid w:val="51502D05"/>
    <w:rsid w:val="5151F62F"/>
    <w:rsid w:val="515283E5"/>
    <w:rsid w:val="515517C2"/>
    <w:rsid w:val="515C13E4"/>
    <w:rsid w:val="515D403B"/>
    <w:rsid w:val="515DB2DF"/>
    <w:rsid w:val="515E2008"/>
    <w:rsid w:val="516287D7"/>
    <w:rsid w:val="517AEF5F"/>
    <w:rsid w:val="517D13DC"/>
    <w:rsid w:val="51801B79"/>
    <w:rsid w:val="518672D9"/>
    <w:rsid w:val="518B65A1"/>
    <w:rsid w:val="518C29BA"/>
    <w:rsid w:val="5190993D"/>
    <w:rsid w:val="51911267"/>
    <w:rsid w:val="51964053"/>
    <w:rsid w:val="519AEE20"/>
    <w:rsid w:val="519D0253"/>
    <w:rsid w:val="519D9007"/>
    <w:rsid w:val="51A42EFE"/>
    <w:rsid w:val="51A5C58A"/>
    <w:rsid w:val="51A81B34"/>
    <w:rsid w:val="51ADD239"/>
    <w:rsid w:val="51BB30E8"/>
    <w:rsid w:val="51BCD40F"/>
    <w:rsid w:val="51C27107"/>
    <w:rsid w:val="51CB1582"/>
    <w:rsid w:val="51CB371F"/>
    <w:rsid w:val="51D02D6E"/>
    <w:rsid w:val="51D48AB1"/>
    <w:rsid w:val="51D5F91A"/>
    <w:rsid w:val="51D6E53C"/>
    <w:rsid w:val="51D6FEC9"/>
    <w:rsid w:val="51D771C8"/>
    <w:rsid w:val="51DD637E"/>
    <w:rsid w:val="51E443AE"/>
    <w:rsid w:val="51E5CCB8"/>
    <w:rsid w:val="51E89EAE"/>
    <w:rsid w:val="51E8ED31"/>
    <w:rsid w:val="51EBABBB"/>
    <w:rsid w:val="51F6D1CB"/>
    <w:rsid w:val="51FC2505"/>
    <w:rsid w:val="5205C51F"/>
    <w:rsid w:val="520B1361"/>
    <w:rsid w:val="520E64B9"/>
    <w:rsid w:val="520F9C5B"/>
    <w:rsid w:val="5212379E"/>
    <w:rsid w:val="52133D53"/>
    <w:rsid w:val="5222B6E4"/>
    <w:rsid w:val="5225C846"/>
    <w:rsid w:val="5236F025"/>
    <w:rsid w:val="5238F317"/>
    <w:rsid w:val="523BC0D1"/>
    <w:rsid w:val="523CE08C"/>
    <w:rsid w:val="523DBFC2"/>
    <w:rsid w:val="523E45B9"/>
    <w:rsid w:val="523E8A18"/>
    <w:rsid w:val="523F7EAB"/>
    <w:rsid w:val="5247A051"/>
    <w:rsid w:val="524CDDB9"/>
    <w:rsid w:val="525D0DF0"/>
    <w:rsid w:val="526106DF"/>
    <w:rsid w:val="526366C9"/>
    <w:rsid w:val="5268FE2C"/>
    <w:rsid w:val="526B047C"/>
    <w:rsid w:val="526B1BFE"/>
    <w:rsid w:val="52731CE0"/>
    <w:rsid w:val="5274CF45"/>
    <w:rsid w:val="527F3B17"/>
    <w:rsid w:val="5285C3D4"/>
    <w:rsid w:val="528C0AF1"/>
    <w:rsid w:val="528E1E79"/>
    <w:rsid w:val="528FE65A"/>
    <w:rsid w:val="52918DF3"/>
    <w:rsid w:val="529B9F1F"/>
    <w:rsid w:val="529E4FAA"/>
    <w:rsid w:val="52A13A44"/>
    <w:rsid w:val="52A9DA06"/>
    <w:rsid w:val="52AD2A05"/>
    <w:rsid w:val="52B0EDE3"/>
    <w:rsid w:val="52B15784"/>
    <w:rsid w:val="52B6F459"/>
    <w:rsid w:val="52BC9406"/>
    <w:rsid w:val="52BD012C"/>
    <w:rsid w:val="52BF749E"/>
    <w:rsid w:val="52C3E23E"/>
    <w:rsid w:val="52C8539C"/>
    <w:rsid w:val="52D81353"/>
    <w:rsid w:val="52DBF830"/>
    <w:rsid w:val="52E0A8DE"/>
    <w:rsid w:val="52E1C12E"/>
    <w:rsid w:val="52E24734"/>
    <w:rsid w:val="52EA0585"/>
    <w:rsid w:val="52EB3157"/>
    <w:rsid w:val="52EDFD32"/>
    <w:rsid w:val="52F2C6ED"/>
    <w:rsid w:val="52FED644"/>
    <w:rsid w:val="5307D6CF"/>
    <w:rsid w:val="530A35BB"/>
    <w:rsid w:val="5311D4AD"/>
    <w:rsid w:val="5313D549"/>
    <w:rsid w:val="53156F28"/>
    <w:rsid w:val="531FB3D0"/>
    <w:rsid w:val="532333C1"/>
    <w:rsid w:val="53254EEC"/>
    <w:rsid w:val="532A114B"/>
    <w:rsid w:val="532A3DAB"/>
    <w:rsid w:val="532C1E83"/>
    <w:rsid w:val="53326DFE"/>
    <w:rsid w:val="5333BC3F"/>
    <w:rsid w:val="5335E4EB"/>
    <w:rsid w:val="5345ED36"/>
    <w:rsid w:val="5347DCE0"/>
    <w:rsid w:val="535111A4"/>
    <w:rsid w:val="53536FA6"/>
    <w:rsid w:val="53551568"/>
    <w:rsid w:val="535B362E"/>
    <w:rsid w:val="535BB68F"/>
    <w:rsid w:val="5366C642"/>
    <w:rsid w:val="5368EDA8"/>
    <w:rsid w:val="537A4F56"/>
    <w:rsid w:val="5380EB98"/>
    <w:rsid w:val="5381A5BA"/>
    <w:rsid w:val="5381E64D"/>
    <w:rsid w:val="53835E33"/>
    <w:rsid w:val="5386CF21"/>
    <w:rsid w:val="5387D06F"/>
    <w:rsid w:val="5391BC7E"/>
    <w:rsid w:val="5393FB41"/>
    <w:rsid w:val="53A32858"/>
    <w:rsid w:val="53A65F3E"/>
    <w:rsid w:val="53AC5396"/>
    <w:rsid w:val="53AF8E86"/>
    <w:rsid w:val="53AFDB36"/>
    <w:rsid w:val="53B16B76"/>
    <w:rsid w:val="53B7BF0A"/>
    <w:rsid w:val="53B89F0B"/>
    <w:rsid w:val="53BC3432"/>
    <w:rsid w:val="53C404CB"/>
    <w:rsid w:val="53C78F0F"/>
    <w:rsid w:val="53C80D3E"/>
    <w:rsid w:val="53C90CA5"/>
    <w:rsid w:val="53CCF95A"/>
    <w:rsid w:val="53D823A0"/>
    <w:rsid w:val="53DA154C"/>
    <w:rsid w:val="53DC725E"/>
    <w:rsid w:val="53DCDB5F"/>
    <w:rsid w:val="53E448CB"/>
    <w:rsid w:val="53E44BD0"/>
    <w:rsid w:val="53EA90CB"/>
    <w:rsid w:val="53EB2E7E"/>
    <w:rsid w:val="53EEF48D"/>
    <w:rsid w:val="53F9A2DE"/>
    <w:rsid w:val="53FE1E36"/>
    <w:rsid w:val="54002D11"/>
    <w:rsid w:val="54008938"/>
    <w:rsid w:val="540776EC"/>
    <w:rsid w:val="540896A8"/>
    <w:rsid w:val="540EF334"/>
    <w:rsid w:val="5416803B"/>
    <w:rsid w:val="5428102C"/>
    <w:rsid w:val="54298230"/>
    <w:rsid w:val="542CE4A9"/>
    <w:rsid w:val="542D8378"/>
    <w:rsid w:val="5432E2D9"/>
    <w:rsid w:val="5437E51F"/>
    <w:rsid w:val="54458F91"/>
    <w:rsid w:val="544BA8EA"/>
    <w:rsid w:val="54636A3F"/>
    <w:rsid w:val="5468D924"/>
    <w:rsid w:val="547023A4"/>
    <w:rsid w:val="5470FD40"/>
    <w:rsid w:val="5473E3B4"/>
    <w:rsid w:val="54746AB8"/>
    <w:rsid w:val="54751CA9"/>
    <w:rsid w:val="54777715"/>
    <w:rsid w:val="547905E6"/>
    <w:rsid w:val="547C40C9"/>
    <w:rsid w:val="548667F3"/>
    <w:rsid w:val="548C8794"/>
    <w:rsid w:val="5490997D"/>
    <w:rsid w:val="54977F01"/>
    <w:rsid w:val="549B6DFC"/>
    <w:rsid w:val="549E7B0B"/>
    <w:rsid w:val="54A05CC2"/>
    <w:rsid w:val="54A21E33"/>
    <w:rsid w:val="54A3B80F"/>
    <w:rsid w:val="54A5D8BB"/>
    <w:rsid w:val="54B13A60"/>
    <w:rsid w:val="54B460BF"/>
    <w:rsid w:val="54B46970"/>
    <w:rsid w:val="54C63623"/>
    <w:rsid w:val="54C65282"/>
    <w:rsid w:val="54C67C49"/>
    <w:rsid w:val="54C8C7B8"/>
    <w:rsid w:val="54C9015C"/>
    <w:rsid w:val="54D2464D"/>
    <w:rsid w:val="54D69D88"/>
    <w:rsid w:val="54DDE781"/>
    <w:rsid w:val="54E0C693"/>
    <w:rsid w:val="54E411AA"/>
    <w:rsid w:val="54EE2417"/>
    <w:rsid w:val="54FE9FBD"/>
    <w:rsid w:val="550051A3"/>
    <w:rsid w:val="55028EEA"/>
    <w:rsid w:val="55040B50"/>
    <w:rsid w:val="5505876A"/>
    <w:rsid w:val="5505B151"/>
    <w:rsid w:val="5505DDA3"/>
    <w:rsid w:val="5518F4C2"/>
    <w:rsid w:val="5519CD8D"/>
    <w:rsid w:val="551EB04B"/>
    <w:rsid w:val="551F03F4"/>
    <w:rsid w:val="5526071D"/>
    <w:rsid w:val="5526625D"/>
    <w:rsid w:val="552961BF"/>
    <w:rsid w:val="552EC188"/>
    <w:rsid w:val="553A219E"/>
    <w:rsid w:val="553EB572"/>
    <w:rsid w:val="55412FA8"/>
    <w:rsid w:val="55443DE4"/>
    <w:rsid w:val="5544FE86"/>
    <w:rsid w:val="5547A431"/>
    <w:rsid w:val="554A3CCA"/>
    <w:rsid w:val="554D9157"/>
    <w:rsid w:val="554EBE27"/>
    <w:rsid w:val="554F59EE"/>
    <w:rsid w:val="55527087"/>
    <w:rsid w:val="5552D81E"/>
    <w:rsid w:val="5558919A"/>
    <w:rsid w:val="5560ED0A"/>
    <w:rsid w:val="55613208"/>
    <w:rsid w:val="55644104"/>
    <w:rsid w:val="5568BD4E"/>
    <w:rsid w:val="55697042"/>
    <w:rsid w:val="55711388"/>
    <w:rsid w:val="5576AEEF"/>
    <w:rsid w:val="557C59E4"/>
    <w:rsid w:val="558096EE"/>
    <w:rsid w:val="5587453F"/>
    <w:rsid w:val="558A91E3"/>
    <w:rsid w:val="559460BA"/>
    <w:rsid w:val="559B078B"/>
    <w:rsid w:val="559F5D89"/>
    <w:rsid w:val="55A266E1"/>
    <w:rsid w:val="55B6E577"/>
    <w:rsid w:val="55BFA4C7"/>
    <w:rsid w:val="55C19519"/>
    <w:rsid w:val="55C381D6"/>
    <w:rsid w:val="55D7753B"/>
    <w:rsid w:val="55DA01B7"/>
    <w:rsid w:val="55E26066"/>
    <w:rsid w:val="55E9F3F9"/>
    <w:rsid w:val="55F1C415"/>
    <w:rsid w:val="55F387AF"/>
    <w:rsid w:val="55F71DED"/>
    <w:rsid w:val="55FAADAF"/>
    <w:rsid w:val="55FCCFEB"/>
    <w:rsid w:val="5604C08C"/>
    <w:rsid w:val="560A4CB6"/>
    <w:rsid w:val="5612893F"/>
    <w:rsid w:val="5612B5CA"/>
    <w:rsid w:val="561BD23A"/>
    <w:rsid w:val="561CAEF3"/>
    <w:rsid w:val="5633EE09"/>
    <w:rsid w:val="563A5FE6"/>
    <w:rsid w:val="563C2D23"/>
    <w:rsid w:val="563FEA82"/>
    <w:rsid w:val="5640FC9B"/>
    <w:rsid w:val="564B9805"/>
    <w:rsid w:val="564C5E9D"/>
    <w:rsid w:val="5650C468"/>
    <w:rsid w:val="5654AE9C"/>
    <w:rsid w:val="5658F7EE"/>
    <w:rsid w:val="565EE870"/>
    <w:rsid w:val="56645062"/>
    <w:rsid w:val="5664FBEA"/>
    <w:rsid w:val="5669E905"/>
    <w:rsid w:val="566C6266"/>
    <w:rsid w:val="56709F9E"/>
    <w:rsid w:val="5673AE89"/>
    <w:rsid w:val="56784059"/>
    <w:rsid w:val="567E7D77"/>
    <w:rsid w:val="567F537B"/>
    <w:rsid w:val="5680F244"/>
    <w:rsid w:val="5683A31A"/>
    <w:rsid w:val="56917292"/>
    <w:rsid w:val="56933880"/>
    <w:rsid w:val="569B80E3"/>
    <w:rsid w:val="569FA6CC"/>
    <w:rsid w:val="56A3B7B1"/>
    <w:rsid w:val="56A436BD"/>
    <w:rsid w:val="56A72351"/>
    <w:rsid w:val="56A9D224"/>
    <w:rsid w:val="56AAD824"/>
    <w:rsid w:val="56ADF505"/>
    <w:rsid w:val="56B60922"/>
    <w:rsid w:val="56BC86C0"/>
    <w:rsid w:val="56BD3BBC"/>
    <w:rsid w:val="56BE0A0B"/>
    <w:rsid w:val="56C1DA9E"/>
    <w:rsid w:val="56C279E1"/>
    <w:rsid w:val="56C49B72"/>
    <w:rsid w:val="56CE036C"/>
    <w:rsid w:val="56D0B8D6"/>
    <w:rsid w:val="56D35958"/>
    <w:rsid w:val="56D61DC3"/>
    <w:rsid w:val="56D770FF"/>
    <w:rsid w:val="56E17572"/>
    <w:rsid w:val="56E9FF78"/>
    <w:rsid w:val="56ED74BA"/>
    <w:rsid w:val="56EFE9C3"/>
    <w:rsid w:val="56F6177A"/>
    <w:rsid w:val="56FA9227"/>
    <w:rsid w:val="56FCAF9E"/>
    <w:rsid w:val="56FEA6FB"/>
    <w:rsid w:val="57013EA0"/>
    <w:rsid w:val="570925DE"/>
    <w:rsid w:val="570F62AB"/>
    <w:rsid w:val="572434C6"/>
    <w:rsid w:val="57294E71"/>
    <w:rsid w:val="572AEAAE"/>
    <w:rsid w:val="572D3457"/>
    <w:rsid w:val="57321CDE"/>
    <w:rsid w:val="5738284E"/>
    <w:rsid w:val="573BD12E"/>
    <w:rsid w:val="573E37BD"/>
    <w:rsid w:val="573FCC90"/>
    <w:rsid w:val="5750D507"/>
    <w:rsid w:val="5767D244"/>
    <w:rsid w:val="5768F652"/>
    <w:rsid w:val="577AB967"/>
    <w:rsid w:val="577E6AFF"/>
    <w:rsid w:val="5780E2D3"/>
    <w:rsid w:val="57818B10"/>
    <w:rsid w:val="5781C328"/>
    <w:rsid w:val="5783941E"/>
    <w:rsid w:val="5792A433"/>
    <w:rsid w:val="57941D1E"/>
    <w:rsid w:val="579A499F"/>
    <w:rsid w:val="57A2052E"/>
    <w:rsid w:val="57A3675A"/>
    <w:rsid w:val="57A58027"/>
    <w:rsid w:val="57A9A780"/>
    <w:rsid w:val="57AD0B7B"/>
    <w:rsid w:val="57AD0D20"/>
    <w:rsid w:val="57B36364"/>
    <w:rsid w:val="57B3E95D"/>
    <w:rsid w:val="57B57D7A"/>
    <w:rsid w:val="57BA3D4B"/>
    <w:rsid w:val="57BC4BC7"/>
    <w:rsid w:val="57BE040C"/>
    <w:rsid w:val="57CFA640"/>
    <w:rsid w:val="57CFCA86"/>
    <w:rsid w:val="57D2317D"/>
    <w:rsid w:val="57D2C089"/>
    <w:rsid w:val="57D48143"/>
    <w:rsid w:val="57D4C929"/>
    <w:rsid w:val="57D9BE90"/>
    <w:rsid w:val="57DF5AB4"/>
    <w:rsid w:val="57E2100B"/>
    <w:rsid w:val="57E2F5C3"/>
    <w:rsid w:val="57F2C67D"/>
    <w:rsid w:val="57F7CADF"/>
    <w:rsid w:val="57F8ADB8"/>
    <w:rsid w:val="57F932D1"/>
    <w:rsid w:val="57F972A0"/>
    <w:rsid w:val="57F9C640"/>
    <w:rsid w:val="57FFBA46"/>
    <w:rsid w:val="57FFCF95"/>
    <w:rsid w:val="58006A33"/>
    <w:rsid w:val="58012333"/>
    <w:rsid w:val="58023D15"/>
    <w:rsid w:val="58180233"/>
    <w:rsid w:val="5818B451"/>
    <w:rsid w:val="581FBDC4"/>
    <w:rsid w:val="5824B594"/>
    <w:rsid w:val="5826A3C7"/>
    <w:rsid w:val="582DB7B7"/>
    <w:rsid w:val="5831E150"/>
    <w:rsid w:val="583386B0"/>
    <w:rsid w:val="58405FD6"/>
    <w:rsid w:val="584491FF"/>
    <w:rsid w:val="584A5E2B"/>
    <w:rsid w:val="584B2978"/>
    <w:rsid w:val="584B5943"/>
    <w:rsid w:val="584C13A9"/>
    <w:rsid w:val="584F32F1"/>
    <w:rsid w:val="5854C8C1"/>
    <w:rsid w:val="58581ED7"/>
    <w:rsid w:val="5864CCB4"/>
    <w:rsid w:val="586EBFDF"/>
    <w:rsid w:val="5872DE0F"/>
    <w:rsid w:val="5876B31C"/>
    <w:rsid w:val="587C02CC"/>
    <w:rsid w:val="58892DA3"/>
    <w:rsid w:val="58935015"/>
    <w:rsid w:val="58950988"/>
    <w:rsid w:val="58995C51"/>
    <w:rsid w:val="589C9940"/>
    <w:rsid w:val="589D08C0"/>
    <w:rsid w:val="589D84CB"/>
    <w:rsid w:val="589FE4D3"/>
    <w:rsid w:val="58ADEA13"/>
    <w:rsid w:val="58B612A6"/>
    <w:rsid w:val="58B9E51B"/>
    <w:rsid w:val="58BC954F"/>
    <w:rsid w:val="58BD02AD"/>
    <w:rsid w:val="58BD05FC"/>
    <w:rsid w:val="58BDFF15"/>
    <w:rsid w:val="58C0B0B2"/>
    <w:rsid w:val="58CBAB3D"/>
    <w:rsid w:val="58CF0911"/>
    <w:rsid w:val="58D274BE"/>
    <w:rsid w:val="58D3FA5B"/>
    <w:rsid w:val="58D8B310"/>
    <w:rsid w:val="58DFD646"/>
    <w:rsid w:val="58E17393"/>
    <w:rsid w:val="58E41742"/>
    <w:rsid w:val="58E50757"/>
    <w:rsid w:val="58E67957"/>
    <w:rsid w:val="58E71B67"/>
    <w:rsid w:val="58E87277"/>
    <w:rsid w:val="58EDDD15"/>
    <w:rsid w:val="58EF20F8"/>
    <w:rsid w:val="58F4613E"/>
    <w:rsid w:val="58F84B6C"/>
    <w:rsid w:val="59070FD8"/>
    <w:rsid w:val="5909662B"/>
    <w:rsid w:val="590A2A05"/>
    <w:rsid w:val="590F2D8B"/>
    <w:rsid w:val="59103C1E"/>
    <w:rsid w:val="5911E13B"/>
    <w:rsid w:val="59197CF9"/>
    <w:rsid w:val="591AF049"/>
    <w:rsid w:val="59264B2E"/>
    <w:rsid w:val="592C280D"/>
    <w:rsid w:val="592C4546"/>
    <w:rsid w:val="5936B056"/>
    <w:rsid w:val="593F08AB"/>
    <w:rsid w:val="59446E63"/>
    <w:rsid w:val="594F55CE"/>
    <w:rsid w:val="595538FE"/>
    <w:rsid w:val="59580B35"/>
    <w:rsid w:val="595EEBBF"/>
    <w:rsid w:val="5962D0C1"/>
    <w:rsid w:val="596B6602"/>
    <w:rsid w:val="596F7291"/>
    <w:rsid w:val="597008BE"/>
    <w:rsid w:val="5976F3BB"/>
    <w:rsid w:val="59780A0B"/>
    <w:rsid w:val="597BDBF1"/>
    <w:rsid w:val="597FC561"/>
    <w:rsid w:val="59892496"/>
    <w:rsid w:val="598E6301"/>
    <w:rsid w:val="59999DDE"/>
    <w:rsid w:val="59A6A59A"/>
    <w:rsid w:val="59A92CDF"/>
    <w:rsid w:val="59BA9F55"/>
    <w:rsid w:val="59BB0607"/>
    <w:rsid w:val="59BCCF81"/>
    <w:rsid w:val="59C226A3"/>
    <w:rsid w:val="59C8429E"/>
    <w:rsid w:val="59CA82F9"/>
    <w:rsid w:val="59CD72BB"/>
    <w:rsid w:val="59D2F264"/>
    <w:rsid w:val="59D9C73E"/>
    <w:rsid w:val="59E3DA2E"/>
    <w:rsid w:val="59E4198C"/>
    <w:rsid w:val="59E6D242"/>
    <w:rsid w:val="59EA3BBF"/>
    <w:rsid w:val="59EB4CAF"/>
    <w:rsid w:val="59F57EFE"/>
    <w:rsid w:val="59F71322"/>
    <w:rsid w:val="59F72B1E"/>
    <w:rsid w:val="59FACCDF"/>
    <w:rsid w:val="59FC7538"/>
    <w:rsid w:val="5A07D833"/>
    <w:rsid w:val="5A10B2D7"/>
    <w:rsid w:val="5A1471EB"/>
    <w:rsid w:val="5A156D4C"/>
    <w:rsid w:val="5A1670FD"/>
    <w:rsid w:val="5A1684F9"/>
    <w:rsid w:val="5A1A7918"/>
    <w:rsid w:val="5A1D94A9"/>
    <w:rsid w:val="5A1D9E7D"/>
    <w:rsid w:val="5A23B542"/>
    <w:rsid w:val="5A2E1CBE"/>
    <w:rsid w:val="5A395B86"/>
    <w:rsid w:val="5A3C8C5A"/>
    <w:rsid w:val="5A44812F"/>
    <w:rsid w:val="5A4A40AD"/>
    <w:rsid w:val="5A4CA7BD"/>
    <w:rsid w:val="5A4D631F"/>
    <w:rsid w:val="5A4D8A53"/>
    <w:rsid w:val="5A502EB6"/>
    <w:rsid w:val="5A5663DC"/>
    <w:rsid w:val="5A5A8FB7"/>
    <w:rsid w:val="5A5D3D43"/>
    <w:rsid w:val="5A736EBA"/>
    <w:rsid w:val="5A9251DD"/>
    <w:rsid w:val="5AA58176"/>
    <w:rsid w:val="5AADB19C"/>
    <w:rsid w:val="5AB09B11"/>
    <w:rsid w:val="5AB25F9F"/>
    <w:rsid w:val="5AB26DA2"/>
    <w:rsid w:val="5AB9E2DE"/>
    <w:rsid w:val="5ABF1750"/>
    <w:rsid w:val="5ACF96E7"/>
    <w:rsid w:val="5AD189F1"/>
    <w:rsid w:val="5AD9FAAB"/>
    <w:rsid w:val="5ADD6EFF"/>
    <w:rsid w:val="5ADE8383"/>
    <w:rsid w:val="5AE03EC4"/>
    <w:rsid w:val="5AE2D938"/>
    <w:rsid w:val="5AE40422"/>
    <w:rsid w:val="5AEBD9F1"/>
    <w:rsid w:val="5AEC3B87"/>
    <w:rsid w:val="5AECEF0A"/>
    <w:rsid w:val="5AED2809"/>
    <w:rsid w:val="5AEEB80F"/>
    <w:rsid w:val="5AF1035C"/>
    <w:rsid w:val="5AF6D25C"/>
    <w:rsid w:val="5AF71AFF"/>
    <w:rsid w:val="5AFB84AA"/>
    <w:rsid w:val="5B006C46"/>
    <w:rsid w:val="5B07598E"/>
    <w:rsid w:val="5B07E85B"/>
    <w:rsid w:val="5B0920C2"/>
    <w:rsid w:val="5B0E6C9E"/>
    <w:rsid w:val="5B172973"/>
    <w:rsid w:val="5B18722A"/>
    <w:rsid w:val="5B1B19E0"/>
    <w:rsid w:val="5B254C59"/>
    <w:rsid w:val="5B25CDD6"/>
    <w:rsid w:val="5B2E6BBA"/>
    <w:rsid w:val="5B323F58"/>
    <w:rsid w:val="5B3435E1"/>
    <w:rsid w:val="5B349BF6"/>
    <w:rsid w:val="5B34FE89"/>
    <w:rsid w:val="5B3570A7"/>
    <w:rsid w:val="5B3652C4"/>
    <w:rsid w:val="5B3C6EC8"/>
    <w:rsid w:val="5B4CFAC2"/>
    <w:rsid w:val="5B4FBE50"/>
    <w:rsid w:val="5B501D11"/>
    <w:rsid w:val="5B511D1D"/>
    <w:rsid w:val="5B535D2E"/>
    <w:rsid w:val="5B5364ED"/>
    <w:rsid w:val="5B53A1F0"/>
    <w:rsid w:val="5B5A0C95"/>
    <w:rsid w:val="5B5AAA97"/>
    <w:rsid w:val="5B71DB0F"/>
    <w:rsid w:val="5B755E50"/>
    <w:rsid w:val="5B761BF8"/>
    <w:rsid w:val="5B832BF0"/>
    <w:rsid w:val="5B852B6F"/>
    <w:rsid w:val="5B861353"/>
    <w:rsid w:val="5B92BD47"/>
    <w:rsid w:val="5B9B2E31"/>
    <w:rsid w:val="5BA102DC"/>
    <w:rsid w:val="5BA1FE90"/>
    <w:rsid w:val="5BA4FB22"/>
    <w:rsid w:val="5BA50FAD"/>
    <w:rsid w:val="5BA52D4E"/>
    <w:rsid w:val="5BA6A846"/>
    <w:rsid w:val="5BA9A4DE"/>
    <w:rsid w:val="5BAB7650"/>
    <w:rsid w:val="5BB45696"/>
    <w:rsid w:val="5BB773DA"/>
    <w:rsid w:val="5BC183EE"/>
    <w:rsid w:val="5BC2CE0A"/>
    <w:rsid w:val="5BC6913F"/>
    <w:rsid w:val="5BCD76C0"/>
    <w:rsid w:val="5BCD98D4"/>
    <w:rsid w:val="5BCE054F"/>
    <w:rsid w:val="5BCE138D"/>
    <w:rsid w:val="5BCFA0A5"/>
    <w:rsid w:val="5BCFD09E"/>
    <w:rsid w:val="5BD046AB"/>
    <w:rsid w:val="5BD14208"/>
    <w:rsid w:val="5BD3297B"/>
    <w:rsid w:val="5BD61FBA"/>
    <w:rsid w:val="5BD73B44"/>
    <w:rsid w:val="5BDD54CD"/>
    <w:rsid w:val="5BDEABF1"/>
    <w:rsid w:val="5BE404B4"/>
    <w:rsid w:val="5BE56C61"/>
    <w:rsid w:val="5BE6B3CA"/>
    <w:rsid w:val="5BE99A4F"/>
    <w:rsid w:val="5BF11C01"/>
    <w:rsid w:val="5BF31C21"/>
    <w:rsid w:val="5BF67458"/>
    <w:rsid w:val="5BF6807A"/>
    <w:rsid w:val="5BF8B10E"/>
    <w:rsid w:val="5BFBA2CC"/>
    <w:rsid w:val="5BFF4251"/>
    <w:rsid w:val="5C045424"/>
    <w:rsid w:val="5C04CDBE"/>
    <w:rsid w:val="5C075AFC"/>
    <w:rsid w:val="5C079F11"/>
    <w:rsid w:val="5C08C6FE"/>
    <w:rsid w:val="5C0A23BE"/>
    <w:rsid w:val="5C17B442"/>
    <w:rsid w:val="5C216398"/>
    <w:rsid w:val="5C237CA8"/>
    <w:rsid w:val="5C280D68"/>
    <w:rsid w:val="5C2A02B1"/>
    <w:rsid w:val="5C2B0E03"/>
    <w:rsid w:val="5C2CD4F5"/>
    <w:rsid w:val="5C308B6B"/>
    <w:rsid w:val="5C30D2C1"/>
    <w:rsid w:val="5C325F01"/>
    <w:rsid w:val="5C3497CE"/>
    <w:rsid w:val="5C37DEA5"/>
    <w:rsid w:val="5C396375"/>
    <w:rsid w:val="5C47D9E9"/>
    <w:rsid w:val="5C486AAD"/>
    <w:rsid w:val="5C489489"/>
    <w:rsid w:val="5C49DC80"/>
    <w:rsid w:val="5C5077D4"/>
    <w:rsid w:val="5C5BD34D"/>
    <w:rsid w:val="5C60067E"/>
    <w:rsid w:val="5C618DC4"/>
    <w:rsid w:val="5C660E9B"/>
    <w:rsid w:val="5C69D466"/>
    <w:rsid w:val="5C69EF55"/>
    <w:rsid w:val="5C6A8086"/>
    <w:rsid w:val="5C6CA1B0"/>
    <w:rsid w:val="5C6D10E5"/>
    <w:rsid w:val="5C7295F0"/>
    <w:rsid w:val="5C74BBC5"/>
    <w:rsid w:val="5C75ACE4"/>
    <w:rsid w:val="5C7B4D8A"/>
    <w:rsid w:val="5C81447E"/>
    <w:rsid w:val="5C84B168"/>
    <w:rsid w:val="5C886757"/>
    <w:rsid w:val="5C889F65"/>
    <w:rsid w:val="5C8BE8BD"/>
    <w:rsid w:val="5CA1ADAC"/>
    <w:rsid w:val="5CA211F3"/>
    <w:rsid w:val="5CA678C7"/>
    <w:rsid w:val="5CA8458E"/>
    <w:rsid w:val="5CB09F74"/>
    <w:rsid w:val="5CB79A05"/>
    <w:rsid w:val="5CBB9611"/>
    <w:rsid w:val="5CBD3DE4"/>
    <w:rsid w:val="5CBF8E52"/>
    <w:rsid w:val="5CD2804E"/>
    <w:rsid w:val="5CD4BE12"/>
    <w:rsid w:val="5CD770D3"/>
    <w:rsid w:val="5CDB80D9"/>
    <w:rsid w:val="5CDD7319"/>
    <w:rsid w:val="5CE586A3"/>
    <w:rsid w:val="5CE6D3A4"/>
    <w:rsid w:val="5CE77646"/>
    <w:rsid w:val="5CF130EC"/>
    <w:rsid w:val="5CF293A8"/>
    <w:rsid w:val="5CF36A16"/>
    <w:rsid w:val="5CF50256"/>
    <w:rsid w:val="5D00B906"/>
    <w:rsid w:val="5D019AE7"/>
    <w:rsid w:val="5D06012C"/>
    <w:rsid w:val="5D06A928"/>
    <w:rsid w:val="5D15576C"/>
    <w:rsid w:val="5D18401E"/>
    <w:rsid w:val="5D1B9EBA"/>
    <w:rsid w:val="5D2752D1"/>
    <w:rsid w:val="5D290782"/>
    <w:rsid w:val="5D2FA73B"/>
    <w:rsid w:val="5D311CCE"/>
    <w:rsid w:val="5D3A33BA"/>
    <w:rsid w:val="5D419637"/>
    <w:rsid w:val="5D450446"/>
    <w:rsid w:val="5D4C76FD"/>
    <w:rsid w:val="5D4E312F"/>
    <w:rsid w:val="5D513921"/>
    <w:rsid w:val="5D51C5EE"/>
    <w:rsid w:val="5D51DFC8"/>
    <w:rsid w:val="5D522B90"/>
    <w:rsid w:val="5D5B6F20"/>
    <w:rsid w:val="5D63741B"/>
    <w:rsid w:val="5D64EADF"/>
    <w:rsid w:val="5D6F532E"/>
    <w:rsid w:val="5D79BCD2"/>
    <w:rsid w:val="5D7BEDCA"/>
    <w:rsid w:val="5D7D5B4C"/>
    <w:rsid w:val="5D8830F0"/>
    <w:rsid w:val="5D8D66CB"/>
    <w:rsid w:val="5D8EAC06"/>
    <w:rsid w:val="5D98D6B5"/>
    <w:rsid w:val="5D9AE6F3"/>
    <w:rsid w:val="5DA4B0B6"/>
    <w:rsid w:val="5DB1D87D"/>
    <w:rsid w:val="5DB2D135"/>
    <w:rsid w:val="5DB63455"/>
    <w:rsid w:val="5DB96E76"/>
    <w:rsid w:val="5DBCFFDD"/>
    <w:rsid w:val="5DC16E29"/>
    <w:rsid w:val="5DC2BD5D"/>
    <w:rsid w:val="5DC4BFE0"/>
    <w:rsid w:val="5DC785A1"/>
    <w:rsid w:val="5DCDF6EE"/>
    <w:rsid w:val="5DCE31A4"/>
    <w:rsid w:val="5DCEA07F"/>
    <w:rsid w:val="5DCEF59F"/>
    <w:rsid w:val="5DCF70D2"/>
    <w:rsid w:val="5DCFA2CA"/>
    <w:rsid w:val="5DD8E5DD"/>
    <w:rsid w:val="5DD9437D"/>
    <w:rsid w:val="5DDBA69E"/>
    <w:rsid w:val="5DDCDB90"/>
    <w:rsid w:val="5DDE389C"/>
    <w:rsid w:val="5DE4D1C2"/>
    <w:rsid w:val="5DE84655"/>
    <w:rsid w:val="5DEE63A3"/>
    <w:rsid w:val="5DF4BADB"/>
    <w:rsid w:val="5E0661B3"/>
    <w:rsid w:val="5E0BABB7"/>
    <w:rsid w:val="5E0CABB6"/>
    <w:rsid w:val="5E0E2AC7"/>
    <w:rsid w:val="5E0F3048"/>
    <w:rsid w:val="5E126618"/>
    <w:rsid w:val="5E134D3E"/>
    <w:rsid w:val="5E155FD2"/>
    <w:rsid w:val="5E15AA6C"/>
    <w:rsid w:val="5E17817B"/>
    <w:rsid w:val="5E19FA75"/>
    <w:rsid w:val="5E1A80EA"/>
    <w:rsid w:val="5E1A855F"/>
    <w:rsid w:val="5E1DAAA6"/>
    <w:rsid w:val="5E29755F"/>
    <w:rsid w:val="5E2ABA93"/>
    <w:rsid w:val="5E2E2264"/>
    <w:rsid w:val="5E31C26B"/>
    <w:rsid w:val="5E36C4E3"/>
    <w:rsid w:val="5E3BA03C"/>
    <w:rsid w:val="5E41D984"/>
    <w:rsid w:val="5E49FF09"/>
    <w:rsid w:val="5E4A1B98"/>
    <w:rsid w:val="5E4BE8B9"/>
    <w:rsid w:val="5E50113D"/>
    <w:rsid w:val="5E544C0C"/>
    <w:rsid w:val="5E567552"/>
    <w:rsid w:val="5E57D7F1"/>
    <w:rsid w:val="5E58358B"/>
    <w:rsid w:val="5E594582"/>
    <w:rsid w:val="5E5A798C"/>
    <w:rsid w:val="5E5C11DF"/>
    <w:rsid w:val="5E5CF93A"/>
    <w:rsid w:val="5E5DB0AD"/>
    <w:rsid w:val="5E6045F0"/>
    <w:rsid w:val="5E623CB7"/>
    <w:rsid w:val="5E63EC0C"/>
    <w:rsid w:val="5E64A72D"/>
    <w:rsid w:val="5E690463"/>
    <w:rsid w:val="5E6DF386"/>
    <w:rsid w:val="5E75E2E9"/>
    <w:rsid w:val="5E791070"/>
    <w:rsid w:val="5E7EDED5"/>
    <w:rsid w:val="5E7EF356"/>
    <w:rsid w:val="5E80D4B0"/>
    <w:rsid w:val="5E8695BF"/>
    <w:rsid w:val="5E8ADD1E"/>
    <w:rsid w:val="5E8FF796"/>
    <w:rsid w:val="5E9313BF"/>
    <w:rsid w:val="5E97C2FA"/>
    <w:rsid w:val="5EA3E2CB"/>
    <w:rsid w:val="5EA8F8FF"/>
    <w:rsid w:val="5EB6E29F"/>
    <w:rsid w:val="5EBAD3B7"/>
    <w:rsid w:val="5EBC4A4F"/>
    <w:rsid w:val="5EBC735A"/>
    <w:rsid w:val="5EC11DC7"/>
    <w:rsid w:val="5ECAA6A6"/>
    <w:rsid w:val="5ECBE5EC"/>
    <w:rsid w:val="5ED79509"/>
    <w:rsid w:val="5ED9A430"/>
    <w:rsid w:val="5EDCCC4E"/>
    <w:rsid w:val="5EE153F4"/>
    <w:rsid w:val="5EE258E3"/>
    <w:rsid w:val="5EE5612D"/>
    <w:rsid w:val="5EE58EB0"/>
    <w:rsid w:val="5EEC2BE3"/>
    <w:rsid w:val="5EEC8D43"/>
    <w:rsid w:val="5EEDA1BE"/>
    <w:rsid w:val="5EEEB881"/>
    <w:rsid w:val="5EEFBAA0"/>
    <w:rsid w:val="5EF23DAE"/>
    <w:rsid w:val="5EFB48EC"/>
    <w:rsid w:val="5EFCAEB7"/>
    <w:rsid w:val="5F0109C9"/>
    <w:rsid w:val="5F027A3C"/>
    <w:rsid w:val="5F0533EE"/>
    <w:rsid w:val="5F05BE38"/>
    <w:rsid w:val="5F065161"/>
    <w:rsid w:val="5F091B40"/>
    <w:rsid w:val="5F09B0E5"/>
    <w:rsid w:val="5F0A6AE4"/>
    <w:rsid w:val="5F144623"/>
    <w:rsid w:val="5F165CB8"/>
    <w:rsid w:val="5F1ACBD1"/>
    <w:rsid w:val="5F1E0F00"/>
    <w:rsid w:val="5F1E33BA"/>
    <w:rsid w:val="5F241B72"/>
    <w:rsid w:val="5F2457D8"/>
    <w:rsid w:val="5F262BAF"/>
    <w:rsid w:val="5F27DF15"/>
    <w:rsid w:val="5F30B982"/>
    <w:rsid w:val="5F356E16"/>
    <w:rsid w:val="5F3B2AA1"/>
    <w:rsid w:val="5F3BDFB6"/>
    <w:rsid w:val="5F3CCF82"/>
    <w:rsid w:val="5F40A191"/>
    <w:rsid w:val="5F42243C"/>
    <w:rsid w:val="5F44430B"/>
    <w:rsid w:val="5F486CCF"/>
    <w:rsid w:val="5F4F1A4E"/>
    <w:rsid w:val="5F4FD4FC"/>
    <w:rsid w:val="5F573B19"/>
    <w:rsid w:val="5F58A6FC"/>
    <w:rsid w:val="5F5907C8"/>
    <w:rsid w:val="5F5B122E"/>
    <w:rsid w:val="5F5DD53F"/>
    <w:rsid w:val="5F5EE3AB"/>
    <w:rsid w:val="5F63A612"/>
    <w:rsid w:val="5F64C4B1"/>
    <w:rsid w:val="5F6DB31A"/>
    <w:rsid w:val="5F748D22"/>
    <w:rsid w:val="5F79DE9A"/>
    <w:rsid w:val="5F7B5001"/>
    <w:rsid w:val="5F882D0A"/>
    <w:rsid w:val="5F8E356E"/>
    <w:rsid w:val="5F8E5AFB"/>
    <w:rsid w:val="5F91FCF8"/>
    <w:rsid w:val="5F93CF1A"/>
    <w:rsid w:val="5F974500"/>
    <w:rsid w:val="5F9AB63F"/>
    <w:rsid w:val="5F9B1197"/>
    <w:rsid w:val="5FA18497"/>
    <w:rsid w:val="5FA53EF7"/>
    <w:rsid w:val="5FA7FE81"/>
    <w:rsid w:val="5FAB17CD"/>
    <w:rsid w:val="5FAF2CDC"/>
    <w:rsid w:val="5FB99C13"/>
    <w:rsid w:val="5FC1007A"/>
    <w:rsid w:val="5FDC7DBC"/>
    <w:rsid w:val="5FDDDD55"/>
    <w:rsid w:val="5FF0421A"/>
    <w:rsid w:val="5FF44E17"/>
    <w:rsid w:val="5FFB5990"/>
    <w:rsid w:val="600489A5"/>
    <w:rsid w:val="60069F71"/>
    <w:rsid w:val="6009C3E7"/>
    <w:rsid w:val="600B423D"/>
    <w:rsid w:val="600BE76C"/>
    <w:rsid w:val="600F8A6D"/>
    <w:rsid w:val="601DC2D4"/>
    <w:rsid w:val="601FE855"/>
    <w:rsid w:val="60229103"/>
    <w:rsid w:val="602E8845"/>
    <w:rsid w:val="602FFC9A"/>
    <w:rsid w:val="60364F12"/>
    <w:rsid w:val="6037DA6C"/>
    <w:rsid w:val="603FA788"/>
    <w:rsid w:val="6041CCA8"/>
    <w:rsid w:val="6042C921"/>
    <w:rsid w:val="60457B03"/>
    <w:rsid w:val="60478263"/>
    <w:rsid w:val="60558BF1"/>
    <w:rsid w:val="60571908"/>
    <w:rsid w:val="60573E90"/>
    <w:rsid w:val="605843BB"/>
    <w:rsid w:val="60599F6B"/>
    <w:rsid w:val="60607052"/>
    <w:rsid w:val="606233F8"/>
    <w:rsid w:val="60635C75"/>
    <w:rsid w:val="60655229"/>
    <w:rsid w:val="606A3095"/>
    <w:rsid w:val="606B79A3"/>
    <w:rsid w:val="606D39E5"/>
    <w:rsid w:val="607146DA"/>
    <w:rsid w:val="60741214"/>
    <w:rsid w:val="6074DCB7"/>
    <w:rsid w:val="607E5A8E"/>
    <w:rsid w:val="60874E85"/>
    <w:rsid w:val="60896C55"/>
    <w:rsid w:val="6089CB4A"/>
    <w:rsid w:val="6095F025"/>
    <w:rsid w:val="6099C26E"/>
    <w:rsid w:val="609CBE20"/>
    <w:rsid w:val="60A50B64"/>
    <w:rsid w:val="60ABB471"/>
    <w:rsid w:val="60C6890C"/>
    <w:rsid w:val="60C6E457"/>
    <w:rsid w:val="60C944FD"/>
    <w:rsid w:val="60CCB3E3"/>
    <w:rsid w:val="60CE7ED3"/>
    <w:rsid w:val="60CE9A8C"/>
    <w:rsid w:val="60D005D9"/>
    <w:rsid w:val="60D22AF6"/>
    <w:rsid w:val="60D838CD"/>
    <w:rsid w:val="60D94240"/>
    <w:rsid w:val="60DCE234"/>
    <w:rsid w:val="60DDF718"/>
    <w:rsid w:val="60DF3D76"/>
    <w:rsid w:val="60EAA074"/>
    <w:rsid w:val="60EC0C22"/>
    <w:rsid w:val="60EFA2F0"/>
    <w:rsid w:val="60F04542"/>
    <w:rsid w:val="60FD755A"/>
    <w:rsid w:val="6101BA34"/>
    <w:rsid w:val="6104C4E0"/>
    <w:rsid w:val="6108F6AE"/>
    <w:rsid w:val="610A37D0"/>
    <w:rsid w:val="610F86F0"/>
    <w:rsid w:val="6116F90B"/>
    <w:rsid w:val="611B5E07"/>
    <w:rsid w:val="612472CB"/>
    <w:rsid w:val="6126EF48"/>
    <w:rsid w:val="61276C82"/>
    <w:rsid w:val="612D95F7"/>
    <w:rsid w:val="612E68A0"/>
    <w:rsid w:val="6136762A"/>
    <w:rsid w:val="61395F82"/>
    <w:rsid w:val="613F732D"/>
    <w:rsid w:val="61489441"/>
    <w:rsid w:val="614C3FE1"/>
    <w:rsid w:val="615CF81D"/>
    <w:rsid w:val="61625540"/>
    <w:rsid w:val="61638467"/>
    <w:rsid w:val="61652A2F"/>
    <w:rsid w:val="6167839D"/>
    <w:rsid w:val="6169AB7B"/>
    <w:rsid w:val="6170FFD4"/>
    <w:rsid w:val="6171A5ED"/>
    <w:rsid w:val="6173C466"/>
    <w:rsid w:val="61799312"/>
    <w:rsid w:val="617C370E"/>
    <w:rsid w:val="617C9D11"/>
    <w:rsid w:val="618167CC"/>
    <w:rsid w:val="6186B357"/>
    <w:rsid w:val="6186F9CD"/>
    <w:rsid w:val="618A40E2"/>
    <w:rsid w:val="618D13C6"/>
    <w:rsid w:val="6191D07D"/>
    <w:rsid w:val="6191E60A"/>
    <w:rsid w:val="61939809"/>
    <w:rsid w:val="61950B66"/>
    <w:rsid w:val="619AB9AC"/>
    <w:rsid w:val="619E394D"/>
    <w:rsid w:val="619E942F"/>
    <w:rsid w:val="61A8D7DB"/>
    <w:rsid w:val="61A9F25F"/>
    <w:rsid w:val="61AB565B"/>
    <w:rsid w:val="61AD9701"/>
    <w:rsid w:val="61B1089E"/>
    <w:rsid w:val="61B92FE8"/>
    <w:rsid w:val="61BD4322"/>
    <w:rsid w:val="61CC7233"/>
    <w:rsid w:val="61D04208"/>
    <w:rsid w:val="61D487A8"/>
    <w:rsid w:val="61DB197A"/>
    <w:rsid w:val="61DD84F8"/>
    <w:rsid w:val="61EBFEBD"/>
    <w:rsid w:val="61ED33CC"/>
    <w:rsid w:val="61EEF724"/>
    <w:rsid w:val="61F43073"/>
    <w:rsid w:val="61F68C5F"/>
    <w:rsid w:val="61F7E30F"/>
    <w:rsid w:val="61F9E9BE"/>
    <w:rsid w:val="6202C712"/>
    <w:rsid w:val="6213823F"/>
    <w:rsid w:val="621963C4"/>
    <w:rsid w:val="621C27FE"/>
    <w:rsid w:val="621FA12C"/>
    <w:rsid w:val="6222D473"/>
    <w:rsid w:val="6227C1B7"/>
    <w:rsid w:val="6236535A"/>
    <w:rsid w:val="6237183D"/>
    <w:rsid w:val="623A991F"/>
    <w:rsid w:val="623AF0EB"/>
    <w:rsid w:val="623B4497"/>
    <w:rsid w:val="624C03F7"/>
    <w:rsid w:val="6251868C"/>
    <w:rsid w:val="6253CDD2"/>
    <w:rsid w:val="6259107D"/>
    <w:rsid w:val="6263F7F4"/>
    <w:rsid w:val="62642DE1"/>
    <w:rsid w:val="6265D39A"/>
    <w:rsid w:val="6269B4AA"/>
    <w:rsid w:val="626D47D1"/>
    <w:rsid w:val="626ED255"/>
    <w:rsid w:val="6274DFFC"/>
    <w:rsid w:val="62756850"/>
    <w:rsid w:val="62762B8F"/>
    <w:rsid w:val="62790761"/>
    <w:rsid w:val="627A034A"/>
    <w:rsid w:val="627BCE2B"/>
    <w:rsid w:val="62838814"/>
    <w:rsid w:val="628683D2"/>
    <w:rsid w:val="6288AAF1"/>
    <w:rsid w:val="628E7A02"/>
    <w:rsid w:val="629941F5"/>
    <w:rsid w:val="62A0CDF9"/>
    <w:rsid w:val="62A97555"/>
    <w:rsid w:val="62AAC48A"/>
    <w:rsid w:val="62AD4010"/>
    <w:rsid w:val="62AEA99B"/>
    <w:rsid w:val="62BB27C6"/>
    <w:rsid w:val="62C96280"/>
    <w:rsid w:val="62CEBA41"/>
    <w:rsid w:val="62DDA82D"/>
    <w:rsid w:val="62DFDF50"/>
    <w:rsid w:val="62E55FC0"/>
    <w:rsid w:val="62E96D1A"/>
    <w:rsid w:val="62E9A4B9"/>
    <w:rsid w:val="62E9AAEC"/>
    <w:rsid w:val="62EAF9E8"/>
    <w:rsid w:val="62EC89B5"/>
    <w:rsid w:val="62ECCF74"/>
    <w:rsid w:val="62F0B711"/>
    <w:rsid w:val="62F5EB4E"/>
    <w:rsid w:val="62F5F9AC"/>
    <w:rsid w:val="62F9FDBC"/>
    <w:rsid w:val="62FCB723"/>
    <w:rsid w:val="630122BA"/>
    <w:rsid w:val="63033DEC"/>
    <w:rsid w:val="63065541"/>
    <w:rsid w:val="6308259A"/>
    <w:rsid w:val="630F77BC"/>
    <w:rsid w:val="63117297"/>
    <w:rsid w:val="63121F19"/>
    <w:rsid w:val="63154AA7"/>
    <w:rsid w:val="63227990"/>
    <w:rsid w:val="6322BE26"/>
    <w:rsid w:val="6325EF96"/>
    <w:rsid w:val="6332DA9E"/>
    <w:rsid w:val="6338CD47"/>
    <w:rsid w:val="633A73E4"/>
    <w:rsid w:val="633C53F5"/>
    <w:rsid w:val="633D27F8"/>
    <w:rsid w:val="633EDC0C"/>
    <w:rsid w:val="633FEBA4"/>
    <w:rsid w:val="63420440"/>
    <w:rsid w:val="634966A3"/>
    <w:rsid w:val="634971CE"/>
    <w:rsid w:val="634BA9A2"/>
    <w:rsid w:val="634F88B5"/>
    <w:rsid w:val="63501709"/>
    <w:rsid w:val="63510B90"/>
    <w:rsid w:val="635F0461"/>
    <w:rsid w:val="6367BE4E"/>
    <w:rsid w:val="636AC808"/>
    <w:rsid w:val="636C6A37"/>
    <w:rsid w:val="63714AD0"/>
    <w:rsid w:val="63794FE7"/>
    <w:rsid w:val="637C2C5C"/>
    <w:rsid w:val="637D42DF"/>
    <w:rsid w:val="637E2C8F"/>
    <w:rsid w:val="63861347"/>
    <w:rsid w:val="638CCC31"/>
    <w:rsid w:val="638D2982"/>
    <w:rsid w:val="63941422"/>
    <w:rsid w:val="63950F73"/>
    <w:rsid w:val="63986A72"/>
    <w:rsid w:val="6398E434"/>
    <w:rsid w:val="639DAF07"/>
    <w:rsid w:val="639EE110"/>
    <w:rsid w:val="63A00463"/>
    <w:rsid w:val="63AA3731"/>
    <w:rsid w:val="63AB8139"/>
    <w:rsid w:val="63B229BA"/>
    <w:rsid w:val="63CFC90F"/>
    <w:rsid w:val="63D529BA"/>
    <w:rsid w:val="63DB5FFE"/>
    <w:rsid w:val="63E46638"/>
    <w:rsid w:val="63E62306"/>
    <w:rsid w:val="63E67A19"/>
    <w:rsid w:val="63EAFF44"/>
    <w:rsid w:val="63EDB1E8"/>
    <w:rsid w:val="63EF54F8"/>
    <w:rsid w:val="63F1D1B5"/>
    <w:rsid w:val="63F32D2B"/>
    <w:rsid w:val="63F56401"/>
    <w:rsid w:val="63FCD800"/>
    <w:rsid w:val="6402AF29"/>
    <w:rsid w:val="641D1680"/>
    <w:rsid w:val="641E5E23"/>
    <w:rsid w:val="642D6924"/>
    <w:rsid w:val="642E8351"/>
    <w:rsid w:val="6437A697"/>
    <w:rsid w:val="643A111D"/>
    <w:rsid w:val="643C9B92"/>
    <w:rsid w:val="64442A58"/>
    <w:rsid w:val="6445603A"/>
    <w:rsid w:val="6447B7B7"/>
    <w:rsid w:val="644A1547"/>
    <w:rsid w:val="644C07B1"/>
    <w:rsid w:val="6456D8AC"/>
    <w:rsid w:val="6458CC4F"/>
    <w:rsid w:val="646257D6"/>
    <w:rsid w:val="64699421"/>
    <w:rsid w:val="646A65F9"/>
    <w:rsid w:val="646B7D17"/>
    <w:rsid w:val="646CFBF7"/>
    <w:rsid w:val="646D4B7E"/>
    <w:rsid w:val="647B3AF1"/>
    <w:rsid w:val="64850CBC"/>
    <w:rsid w:val="64A26635"/>
    <w:rsid w:val="64A3C918"/>
    <w:rsid w:val="64A8A738"/>
    <w:rsid w:val="64A8C6C3"/>
    <w:rsid w:val="64B99ADC"/>
    <w:rsid w:val="64BC7558"/>
    <w:rsid w:val="64C1625C"/>
    <w:rsid w:val="64C26174"/>
    <w:rsid w:val="64C4AF84"/>
    <w:rsid w:val="64C8A01E"/>
    <w:rsid w:val="64CED592"/>
    <w:rsid w:val="64D2293E"/>
    <w:rsid w:val="64DBC454"/>
    <w:rsid w:val="64DD350A"/>
    <w:rsid w:val="64E304F0"/>
    <w:rsid w:val="64E5F61A"/>
    <w:rsid w:val="64E6AD4B"/>
    <w:rsid w:val="64F23D4A"/>
    <w:rsid w:val="64F634B0"/>
    <w:rsid w:val="64FA0C01"/>
    <w:rsid w:val="65013226"/>
    <w:rsid w:val="650673E9"/>
    <w:rsid w:val="650BC10B"/>
    <w:rsid w:val="650E0CDB"/>
    <w:rsid w:val="6514EB9C"/>
    <w:rsid w:val="6520BB78"/>
    <w:rsid w:val="6520BE76"/>
    <w:rsid w:val="6522CFC0"/>
    <w:rsid w:val="6524A4F6"/>
    <w:rsid w:val="652649D8"/>
    <w:rsid w:val="6529326A"/>
    <w:rsid w:val="652A4267"/>
    <w:rsid w:val="652D9D5D"/>
    <w:rsid w:val="652F05C0"/>
    <w:rsid w:val="652F9F24"/>
    <w:rsid w:val="6532D0C1"/>
    <w:rsid w:val="65397838"/>
    <w:rsid w:val="65471868"/>
    <w:rsid w:val="654A8D72"/>
    <w:rsid w:val="65555989"/>
    <w:rsid w:val="65574E9E"/>
    <w:rsid w:val="65589D00"/>
    <w:rsid w:val="655AFF7E"/>
    <w:rsid w:val="656059EC"/>
    <w:rsid w:val="656336BD"/>
    <w:rsid w:val="656731B6"/>
    <w:rsid w:val="65680A0B"/>
    <w:rsid w:val="656FD776"/>
    <w:rsid w:val="6571FB16"/>
    <w:rsid w:val="657250D3"/>
    <w:rsid w:val="65736C04"/>
    <w:rsid w:val="657A3E59"/>
    <w:rsid w:val="65850701"/>
    <w:rsid w:val="6586B5CE"/>
    <w:rsid w:val="658F3C20"/>
    <w:rsid w:val="6595F9D1"/>
    <w:rsid w:val="6598BABE"/>
    <w:rsid w:val="65995543"/>
    <w:rsid w:val="659E943A"/>
    <w:rsid w:val="659F0CD2"/>
    <w:rsid w:val="65A04A4B"/>
    <w:rsid w:val="65A04CEB"/>
    <w:rsid w:val="65A0D718"/>
    <w:rsid w:val="65AD0808"/>
    <w:rsid w:val="65B6ED26"/>
    <w:rsid w:val="65BB1B68"/>
    <w:rsid w:val="65C5240A"/>
    <w:rsid w:val="65C6E680"/>
    <w:rsid w:val="65CDC8FF"/>
    <w:rsid w:val="65D0384A"/>
    <w:rsid w:val="65D47E0C"/>
    <w:rsid w:val="65E338F3"/>
    <w:rsid w:val="65ECD61A"/>
    <w:rsid w:val="65F4F3F7"/>
    <w:rsid w:val="65F5BAC9"/>
    <w:rsid w:val="65FA563F"/>
    <w:rsid w:val="66012189"/>
    <w:rsid w:val="6610087E"/>
    <w:rsid w:val="6615CD16"/>
    <w:rsid w:val="661E606E"/>
    <w:rsid w:val="661E8D15"/>
    <w:rsid w:val="661F7087"/>
    <w:rsid w:val="6622F16B"/>
    <w:rsid w:val="66230C6C"/>
    <w:rsid w:val="66254A32"/>
    <w:rsid w:val="662ADEF1"/>
    <w:rsid w:val="662D82B7"/>
    <w:rsid w:val="662E9C3F"/>
    <w:rsid w:val="6635C5CA"/>
    <w:rsid w:val="66360CEF"/>
    <w:rsid w:val="66380A3F"/>
    <w:rsid w:val="6639AF3D"/>
    <w:rsid w:val="663B980F"/>
    <w:rsid w:val="663C2D90"/>
    <w:rsid w:val="663CF4F3"/>
    <w:rsid w:val="6643621C"/>
    <w:rsid w:val="664588E0"/>
    <w:rsid w:val="66491C79"/>
    <w:rsid w:val="6649C714"/>
    <w:rsid w:val="664DD242"/>
    <w:rsid w:val="66537B7E"/>
    <w:rsid w:val="66584B88"/>
    <w:rsid w:val="6658BAF2"/>
    <w:rsid w:val="6659841D"/>
    <w:rsid w:val="665B2092"/>
    <w:rsid w:val="6660A080"/>
    <w:rsid w:val="6665518A"/>
    <w:rsid w:val="6669D6DC"/>
    <w:rsid w:val="6670DD8B"/>
    <w:rsid w:val="66737367"/>
    <w:rsid w:val="6683957B"/>
    <w:rsid w:val="66861E06"/>
    <w:rsid w:val="668F18E5"/>
    <w:rsid w:val="669E8F2B"/>
    <w:rsid w:val="66B63707"/>
    <w:rsid w:val="66B6A2EA"/>
    <w:rsid w:val="66BF78FB"/>
    <w:rsid w:val="66CDD02F"/>
    <w:rsid w:val="66DFBB2B"/>
    <w:rsid w:val="66DFC856"/>
    <w:rsid w:val="66E3A0AD"/>
    <w:rsid w:val="66F604C1"/>
    <w:rsid w:val="6702C3DD"/>
    <w:rsid w:val="6703015D"/>
    <w:rsid w:val="6705DFA3"/>
    <w:rsid w:val="6708F95C"/>
    <w:rsid w:val="6712008A"/>
    <w:rsid w:val="671217FB"/>
    <w:rsid w:val="6715E126"/>
    <w:rsid w:val="67185F87"/>
    <w:rsid w:val="6718FA56"/>
    <w:rsid w:val="671A8814"/>
    <w:rsid w:val="671DA7DC"/>
    <w:rsid w:val="671E052A"/>
    <w:rsid w:val="671F4BAF"/>
    <w:rsid w:val="672835B5"/>
    <w:rsid w:val="6728FCA6"/>
    <w:rsid w:val="67297275"/>
    <w:rsid w:val="672A1DBF"/>
    <w:rsid w:val="67307180"/>
    <w:rsid w:val="67352A90"/>
    <w:rsid w:val="6736EFF7"/>
    <w:rsid w:val="673778DC"/>
    <w:rsid w:val="673BD85B"/>
    <w:rsid w:val="673D38D5"/>
    <w:rsid w:val="673F3B68"/>
    <w:rsid w:val="6740141E"/>
    <w:rsid w:val="6748D869"/>
    <w:rsid w:val="674A4191"/>
    <w:rsid w:val="674CC028"/>
    <w:rsid w:val="6750FC6A"/>
    <w:rsid w:val="67526974"/>
    <w:rsid w:val="67662073"/>
    <w:rsid w:val="676BD7FD"/>
    <w:rsid w:val="676CBF1C"/>
    <w:rsid w:val="676D2A81"/>
    <w:rsid w:val="67708810"/>
    <w:rsid w:val="677E4C22"/>
    <w:rsid w:val="677FAAC7"/>
    <w:rsid w:val="6780CF6A"/>
    <w:rsid w:val="67812050"/>
    <w:rsid w:val="6786F088"/>
    <w:rsid w:val="678FA63A"/>
    <w:rsid w:val="679096FE"/>
    <w:rsid w:val="67951C9C"/>
    <w:rsid w:val="679DF1D1"/>
    <w:rsid w:val="67A26E2C"/>
    <w:rsid w:val="67A396C4"/>
    <w:rsid w:val="67A6AB1B"/>
    <w:rsid w:val="67A6E362"/>
    <w:rsid w:val="67A95484"/>
    <w:rsid w:val="67AA79E3"/>
    <w:rsid w:val="67AAADA1"/>
    <w:rsid w:val="67AC37E4"/>
    <w:rsid w:val="67ACE023"/>
    <w:rsid w:val="67AF9899"/>
    <w:rsid w:val="67B222A1"/>
    <w:rsid w:val="67B70646"/>
    <w:rsid w:val="67BE5935"/>
    <w:rsid w:val="67C360D9"/>
    <w:rsid w:val="67C3DBB9"/>
    <w:rsid w:val="67C54BAC"/>
    <w:rsid w:val="67C6AF52"/>
    <w:rsid w:val="67C8B452"/>
    <w:rsid w:val="67C98146"/>
    <w:rsid w:val="67CB0C17"/>
    <w:rsid w:val="67CDB4AF"/>
    <w:rsid w:val="67D948FB"/>
    <w:rsid w:val="67DC6CDE"/>
    <w:rsid w:val="67E2B9C1"/>
    <w:rsid w:val="67E5C954"/>
    <w:rsid w:val="67E7D976"/>
    <w:rsid w:val="67ED6AA2"/>
    <w:rsid w:val="67F081EE"/>
    <w:rsid w:val="67F5EFA0"/>
    <w:rsid w:val="67F7847D"/>
    <w:rsid w:val="67F95F09"/>
    <w:rsid w:val="67FC6A0A"/>
    <w:rsid w:val="67FF46B3"/>
    <w:rsid w:val="680336EE"/>
    <w:rsid w:val="680526C7"/>
    <w:rsid w:val="68128333"/>
    <w:rsid w:val="681640B0"/>
    <w:rsid w:val="68216BC0"/>
    <w:rsid w:val="6828408C"/>
    <w:rsid w:val="682C7872"/>
    <w:rsid w:val="682D49AF"/>
    <w:rsid w:val="682EB85E"/>
    <w:rsid w:val="682F709A"/>
    <w:rsid w:val="6835F955"/>
    <w:rsid w:val="68438718"/>
    <w:rsid w:val="68439F0F"/>
    <w:rsid w:val="6847F9CE"/>
    <w:rsid w:val="685A3070"/>
    <w:rsid w:val="68622792"/>
    <w:rsid w:val="6865CBED"/>
    <w:rsid w:val="68751A50"/>
    <w:rsid w:val="6876695F"/>
    <w:rsid w:val="687F101F"/>
    <w:rsid w:val="68810A75"/>
    <w:rsid w:val="6890F5D1"/>
    <w:rsid w:val="6898F48A"/>
    <w:rsid w:val="689DA0B3"/>
    <w:rsid w:val="68A5A95A"/>
    <w:rsid w:val="68A94953"/>
    <w:rsid w:val="68AAD3AF"/>
    <w:rsid w:val="68AF11BD"/>
    <w:rsid w:val="68BD23D8"/>
    <w:rsid w:val="68C57EB0"/>
    <w:rsid w:val="68C632FB"/>
    <w:rsid w:val="68C78F7F"/>
    <w:rsid w:val="68D61623"/>
    <w:rsid w:val="68D75E9E"/>
    <w:rsid w:val="68DFF3DF"/>
    <w:rsid w:val="68E1F2EF"/>
    <w:rsid w:val="68E2A6A3"/>
    <w:rsid w:val="68E8CC17"/>
    <w:rsid w:val="68E93384"/>
    <w:rsid w:val="68F4E760"/>
    <w:rsid w:val="68F77F97"/>
    <w:rsid w:val="6901223C"/>
    <w:rsid w:val="69067800"/>
    <w:rsid w:val="69068E1A"/>
    <w:rsid w:val="6906A4D8"/>
    <w:rsid w:val="6908D175"/>
    <w:rsid w:val="690955FB"/>
    <w:rsid w:val="690F3E67"/>
    <w:rsid w:val="6910126C"/>
    <w:rsid w:val="69113291"/>
    <w:rsid w:val="69161391"/>
    <w:rsid w:val="691978B6"/>
    <w:rsid w:val="691D56CF"/>
    <w:rsid w:val="692065CC"/>
    <w:rsid w:val="6928F1EC"/>
    <w:rsid w:val="69298983"/>
    <w:rsid w:val="692F2178"/>
    <w:rsid w:val="6935B86A"/>
    <w:rsid w:val="6938B16D"/>
    <w:rsid w:val="6945671B"/>
    <w:rsid w:val="6946FDC5"/>
    <w:rsid w:val="694BFB1C"/>
    <w:rsid w:val="694D00F5"/>
    <w:rsid w:val="694E50EF"/>
    <w:rsid w:val="69550D2A"/>
    <w:rsid w:val="695B2C82"/>
    <w:rsid w:val="6961C088"/>
    <w:rsid w:val="6966042C"/>
    <w:rsid w:val="696E5473"/>
    <w:rsid w:val="6978E1D4"/>
    <w:rsid w:val="697E566E"/>
    <w:rsid w:val="69823473"/>
    <w:rsid w:val="69833047"/>
    <w:rsid w:val="69856422"/>
    <w:rsid w:val="69892CFE"/>
    <w:rsid w:val="698DA9E5"/>
    <w:rsid w:val="6992A756"/>
    <w:rsid w:val="6997E6C6"/>
    <w:rsid w:val="69A6E9DD"/>
    <w:rsid w:val="69ACD9DC"/>
    <w:rsid w:val="69AD5F6C"/>
    <w:rsid w:val="69AFC3C5"/>
    <w:rsid w:val="69B53740"/>
    <w:rsid w:val="69B5B7DA"/>
    <w:rsid w:val="69B7520B"/>
    <w:rsid w:val="69B7A131"/>
    <w:rsid w:val="69B87BDF"/>
    <w:rsid w:val="69BDEE93"/>
    <w:rsid w:val="69C02D80"/>
    <w:rsid w:val="69C21EF6"/>
    <w:rsid w:val="69C2FC4C"/>
    <w:rsid w:val="69C366AD"/>
    <w:rsid w:val="69C42A78"/>
    <w:rsid w:val="69C6329C"/>
    <w:rsid w:val="69D064DE"/>
    <w:rsid w:val="69D49215"/>
    <w:rsid w:val="69D67607"/>
    <w:rsid w:val="69D68BE6"/>
    <w:rsid w:val="69DE2D84"/>
    <w:rsid w:val="69E8CD7C"/>
    <w:rsid w:val="69E9EAF5"/>
    <w:rsid w:val="69EB4D89"/>
    <w:rsid w:val="69EF8F37"/>
    <w:rsid w:val="69F34FC7"/>
    <w:rsid w:val="69FFDF2F"/>
    <w:rsid w:val="6A00392D"/>
    <w:rsid w:val="6A0458A0"/>
    <w:rsid w:val="6A06B9C1"/>
    <w:rsid w:val="6A089F18"/>
    <w:rsid w:val="6A0A1AB1"/>
    <w:rsid w:val="6A0D8273"/>
    <w:rsid w:val="6A0EC1D7"/>
    <w:rsid w:val="6A0FA862"/>
    <w:rsid w:val="6A126F3D"/>
    <w:rsid w:val="6A1D8399"/>
    <w:rsid w:val="6A22FF72"/>
    <w:rsid w:val="6A273399"/>
    <w:rsid w:val="6A2F1216"/>
    <w:rsid w:val="6A45B147"/>
    <w:rsid w:val="6A461497"/>
    <w:rsid w:val="6A4B447A"/>
    <w:rsid w:val="6A4D3100"/>
    <w:rsid w:val="6A4DAF7C"/>
    <w:rsid w:val="6A4E7EB1"/>
    <w:rsid w:val="6A54C6D1"/>
    <w:rsid w:val="6A5D02ED"/>
    <w:rsid w:val="6A62F88B"/>
    <w:rsid w:val="6A638900"/>
    <w:rsid w:val="6A677D7D"/>
    <w:rsid w:val="6A6ACBD2"/>
    <w:rsid w:val="6A6DA8F5"/>
    <w:rsid w:val="6A733D35"/>
    <w:rsid w:val="6A76DE62"/>
    <w:rsid w:val="6A866BB9"/>
    <w:rsid w:val="6A877670"/>
    <w:rsid w:val="6A884A70"/>
    <w:rsid w:val="6A8E791B"/>
    <w:rsid w:val="6A9258A2"/>
    <w:rsid w:val="6A92C202"/>
    <w:rsid w:val="6AA4A508"/>
    <w:rsid w:val="6AA83FB5"/>
    <w:rsid w:val="6AA8CFCB"/>
    <w:rsid w:val="6AA8DE13"/>
    <w:rsid w:val="6AA90DBA"/>
    <w:rsid w:val="6AB25588"/>
    <w:rsid w:val="6AB276D2"/>
    <w:rsid w:val="6AB44A79"/>
    <w:rsid w:val="6AB5A08D"/>
    <w:rsid w:val="6AB6BBB9"/>
    <w:rsid w:val="6ABB8A84"/>
    <w:rsid w:val="6ABD9340"/>
    <w:rsid w:val="6AC4359F"/>
    <w:rsid w:val="6AC7CC47"/>
    <w:rsid w:val="6AC80C65"/>
    <w:rsid w:val="6ACDDA71"/>
    <w:rsid w:val="6AD11327"/>
    <w:rsid w:val="6AD5ED44"/>
    <w:rsid w:val="6AE14388"/>
    <w:rsid w:val="6AEACFE6"/>
    <w:rsid w:val="6AEC4BE8"/>
    <w:rsid w:val="6AF054C6"/>
    <w:rsid w:val="6AFE2D05"/>
    <w:rsid w:val="6B021063"/>
    <w:rsid w:val="6B0DA2C1"/>
    <w:rsid w:val="6B13F73F"/>
    <w:rsid w:val="6B14302C"/>
    <w:rsid w:val="6B170D63"/>
    <w:rsid w:val="6B1B4BE1"/>
    <w:rsid w:val="6B1F1EA1"/>
    <w:rsid w:val="6B39AEAD"/>
    <w:rsid w:val="6B39EE1C"/>
    <w:rsid w:val="6B3BD0B8"/>
    <w:rsid w:val="6B3F77F9"/>
    <w:rsid w:val="6B3F8508"/>
    <w:rsid w:val="6B450CD8"/>
    <w:rsid w:val="6B45718A"/>
    <w:rsid w:val="6B48AA3D"/>
    <w:rsid w:val="6B493208"/>
    <w:rsid w:val="6B4DBC6E"/>
    <w:rsid w:val="6B56A23B"/>
    <w:rsid w:val="6B576E40"/>
    <w:rsid w:val="6B5BB931"/>
    <w:rsid w:val="6B5D8E6B"/>
    <w:rsid w:val="6B5FBB48"/>
    <w:rsid w:val="6B6291B5"/>
    <w:rsid w:val="6B63DD50"/>
    <w:rsid w:val="6B64D66F"/>
    <w:rsid w:val="6B69A6FD"/>
    <w:rsid w:val="6B6C44C3"/>
    <w:rsid w:val="6B6DF073"/>
    <w:rsid w:val="6B74C3D0"/>
    <w:rsid w:val="6B74EE97"/>
    <w:rsid w:val="6B771630"/>
    <w:rsid w:val="6B7A49B1"/>
    <w:rsid w:val="6B858800"/>
    <w:rsid w:val="6B867A42"/>
    <w:rsid w:val="6B87A947"/>
    <w:rsid w:val="6B8A7CAC"/>
    <w:rsid w:val="6B8CFD88"/>
    <w:rsid w:val="6BA1B756"/>
    <w:rsid w:val="6BA7CF66"/>
    <w:rsid w:val="6BAB6E40"/>
    <w:rsid w:val="6BAD1AE9"/>
    <w:rsid w:val="6BB02A5B"/>
    <w:rsid w:val="6BB232FD"/>
    <w:rsid w:val="6BB50C21"/>
    <w:rsid w:val="6BC2C096"/>
    <w:rsid w:val="6BC37362"/>
    <w:rsid w:val="6BC74795"/>
    <w:rsid w:val="6BD65E61"/>
    <w:rsid w:val="6BDE099E"/>
    <w:rsid w:val="6BE0F30A"/>
    <w:rsid w:val="6BE3258D"/>
    <w:rsid w:val="6BE3FE98"/>
    <w:rsid w:val="6BE4B0E8"/>
    <w:rsid w:val="6BF0F8A8"/>
    <w:rsid w:val="6BF85B11"/>
    <w:rsid w:val="6C009ED5"/>
    <w:rsid w:val="6C018FCD"/>
    <w:rsid w:val="6C032CC2"/>
    <w:rsid w:val="6C06B9A7"/>
    <w:rsid w:val="6C0F3CB0"/>
    <w:rsid w:val="6C0FA2D8"/>
    <w:rsid w:val="6C126D62"/>
    <w:rsid w:val="6C15F917"/>
    <w:rsid w:val="6C1BE76D"/>
    <w:rsid w:val="6C1EE29B"/>
    <w:rsid w:val="6C218B56"/>
    <w:rsid w:val="6C2A9029"/>
    <w:rsid w:val="6C2BDF25"/>
    <w:rsid w:val="6C2CC80E"/>
    <w:rsid w:val="6C2F2924"/>
    <w:rsid w:val="6C35E77B"/>
    <w:rsid w:val="6C3AC605"/>
    <w:rsid w:val="6C3D4C27"/>
    <w:rsid w:val="6C3D60D2"/>
    <w:rsid w:val="6C3E82B3"/>
    <w:rsid w:val="6C3F1A06"/>
    <w:rsid w:val="6C407569"/>
    <w:rsid w:val="6C408B0B"/>
    <w:rsid w:val="6C41F601"/>
    <w:rsid w:val="6C504C72"/>
    <w:rsid w:val="6C514D63"/>
    <w:rsid w:val="6C5A7FC3"/>
    <w:rsid w:val="6C5DBDF6"/>
    <w:rsid w:val="6C5E8175"/>
    <w:rsid w:val="6C6760E4"/>
    <w:rsid w:val="6C67BF16"/>
    <w:rsid w:val="6C6C35B9"/>
    <w:rsid w:val="6C7BC525"/>
    <w:rsid w:val="6C7EC73E"/>
    <w:rsid w:val="6C807F4A"/>
    <w:rsid w:val="6C82D10B"/>
    <w:rsid w:val="6C8D6B70"/>
    <w:rsid w:val="6C8D6F1E"/>
    <w:rsid w:val="6C969BAF"/>
    <w:rsid w:val="6C986B12"/>
    <w:rsid w:val="6C9C920C"/>
    <w:rsid w:val="6CA3AF82"/>
    <w:rsid w:val="6CA9EA82"/>
    <w:rsid w:val="6CAD8327"/>
    <w:rsid w:val="6CB06AA8"/>
    <w:rsid w:val="6CB0B09A"/>
    <w:rsid w:val="6CB0CA2A"/>
    <w:rsid w:val="6CB3D758"/>
    <w:rsid w:val="6CB79AF5"/>
    <w:rsid w:val="6CB973B2"/>
    <w:rsid w:val="6CBBCD9A"/>
    <w:rsid w:val="6CBF999F"/>
    <w:rsid w:val="6CC261B4"/>
    <w:rsid w:val="6CCC928C"/>
    <w:rsid w:val="6CCED729"/>
    <w:rsid w:val="6CCF59F6"/>
    <w:rsid w:val="6CDAE993"/>
    <w:rsid w:val="6CDCBE0F"/>
    <w:rsid w:val="6CE096D2"/>
    <w:rsid w:val="6CE74028"/>
    <w:rsid w:val="6CED067F"/>
    <w:rsid w:val="6CEF8ABF"/>
    <w:rsid w:val="6CF044D3"/>
    <w:rsid w:val="6CF4B18A"/>
    <w:rsid w:val="6CF6CA76"/>
    <w:rsid w:val="6CF80815"/>
    <w:rsid w:val="6CFE766E"/>
    <w:rsid w:val="6CFE88EB"/>
    <w:rsid w:val="6D022AAC"/>
    <w:rsid w:val="6D0B2EBC"/>
    <w:rsid w:val="6D0D347F"/>
    <w:rsid w:val="6D0D7E13"/>
    <w:rsid w:val="6D0D806B"/>
    <w:rsid w:val="6D14DA97"/>
    <w:rsid w:val="6D15A96F"/>
    <w:rsid w:val="6D18F034"/>
    <w:rsid w:val="6D1CF14B"/>
    <w:rsid w:val="6D236A48"/>
    <w:rsid w:val="6D274C43"/>
    <w:rsid w:val="6D2A2CF6"/>
    <w:rsid w:val="6D2DA689"/>
    <w:rsid w:val="6D32EAE8"/>
    <w:rsid w:val="6D377DFB"/>
    <w:rsid w:val="6D3B2960"/>
    <w:rsid w:val="6D3BAC49"/>
    <w:rsid w:val="6D3FEF07"/>
    <w:rsid w:val="6D4A87F5"/>
    <w:rsid w:val="6D4F447A"/>
    <w:rsid w:val="6D51D196"/>
    <w:rsid w:val="6D52B6F7"/>
    <w:rsid w:val="6D5756EA"/>
    <w:rsid w:val="6D60DCF7"/>
    <w:rsid w:val="6D6F8FC0"/>
    <w:rsid w:val="6D745DE2"/>
    <w:rsid w:val="6D7729ED"/>
    <w:rsid w:val="6D7B002D"/>
    <w:rsid w:val="6D7DF1C8"/>
    <w:rsid w:val="6D7E1701"/>
    <w:rsid w:val="6D7E55EB"/>
    <w:rsid w:val="6D7E7BDB"/>
    <w:rsid w:val="6D7EBA0E"/>
    <w:rsid w:val="6D818ACF"/>
    <w:rsid w:val="6D838E79"/>
    <w:rsid w:val="6D881702"/>
    <w:rsid w:val="6D8BEDD8"/>
    <w:rsid w:val="6D90F052"/>
    <w:rsid w:val="6D940A11"/>
    <w:rsid w:val="6D943FD5"/>
    <w:rsid w:val="6D947970"/>
    <w:rsid w:val="6D988A6C"/>
    <w:rsid w:val="6D9CDD38"/>
    <w:rsid w:val="6DA14E6F"/>
    <w:rsid w:val="6DA1CAE7"/>
    <w:rsid w:val="6DA6AF32"/>
    <w:rsid w:val="6DAB04B2"/>
    <w:rsid w:val="6DB1436A"/>
    <w:rsid w:val="6DB23639"/>
    <w:rsid w:val="6DB33C55"/>
    <w:rsid w:val="6DB89585"/>
    <w:rsid w:val="6DC25573"/>
    <w:rsid w:val="6DC47EF5"/>
    <w:rsid w:val="6DD029CB"/>
    <w:rsid w:val="6DD1CF7A"/>
    <w:rsid w:val="6DD2729D"/>
    <w:rsid w:val="6DD446C1"/>
    <w:rsid w:val="6DD5590E"/>
    <w:rsid w:val="6DD6404D"/>
    <w:rsid w:val="6DD84F86"/>
    <w:rsid w:val="6DDB1D37"/>
    <w:rsid w:val="6DE3B035"/>
    <w:rsid w:val="6DE581C3"/>
    <w:rsid w:val="6DE71278"/>
    <w:rsid w:val="6DE8F1A0"/>
    <w:rsid w:val="6DEA5195"/>
    <w:rsid w:val="6DEC79B5"/>
    <w:rsid w:val="6DF5A23E"/>
    <w:rsid w:val="6DF8368C"/>
    <w:rsid w:val="6DF937EE"/>
    <w:rsid w:val="6DFBAAE5"/>
    <w:rsid w:val="6E00959E"/>
    <w:rsid w:val="6E0A336F"/>
    <w:rsid w:val="6E0CE383"/>
    <w:rsid w:val="6E0FB257"/>
    <w:rsid w:val="6E0FEAE8"/>
    <w:rsid w:val="6E12FBDD"/>
    <w:rsid w:val="6E142EEB"/>
    <w:rsid w:val="6E1489E4"/>
    <w:rsid w:val="6E196852"/>
    <w:rsid w:val="6E1E700E"/>
    <w:rsid w:val="6E20C897"/>
    <w:rsid w:val="6E2E8D20"/>
    <w:rsid w:val="6E307DD8"/>
    <w:rsid w:val="6E31B0BE"/>
    <w:rsid w:val="6E4C24BB"/>
    <w:rsid w:val="6E4D737C"/>
    <w:rsid w:val="6E4E54A4"/>
    <w:rsid w:val="6E535262"/>
    <w:rsid w:val="6E5C2B35"/>
    <w:rsid w:val="6E5CC3FE"/>
    <w:rsid w:val="6E5F0A9E"/>
    <w:rsid w:val="6E668993"/>
    <w:rsid w:val="6E7091DA"/>
    <w:rsid w:val="6E732E6A"/>
    <w:rsid w:val="6E770D58"/>
    <w:rsid w:val="6E7777A9"/>
    <w:rsid w:val="6E7A1DE7"/>
    <w:rsid w:val="6E7B02E7"/>
    <w:rsid w:val="6E7EC4B0"/>
    <w:rsid w:val="6E7FC427"/>
    <w:rsid w:val="6E8154AC"/>
    <w:rsid w:val="6E8D57AF"/>
    <w:rsid w:val="6E8E883D"/>
    <w:rsid w:val="6E8F3C3F"/>
    <w:rsid w:val="6E95EAB2"/>
    <w:rsid w:val="6E9B3C93"/>
    <w:rsid w:val="6E9B54BE"/>
    <w:rsid w:val="6EAD5CDB"/>
    <w:rsid w:val="6EB4F180"/>
    <w:rsid w:val="6EBB71DD"/>
    <w:rsid w:val="6EBBC420"/>
    <w:rsid w:val="6EBE7A7A"/>
    <w:rsid w:val="6EBF313E"/>
    <w:rsid w:val="6ED74A22"/>
    <w:rsid w:val="6EE1A12D"/>
    <w:rsid w:val="6EE1EBE9"/>
    <w:rsid w:val="6EE2DE73"/>
    <w:rsid w:val="6EEADF39"/>
    <w:rsid w:val="6EEC1F77"/>
    <w:rsid w:val="6EF65BDC"/>
    <w:rsid w:val="6EFA8E2D"/>
    <w:rsid w:val="6EFC6DBB"/>
    <w:rsid w:val="6F056642"/>
    <w:rsid w:val="6F0FFCEE"/>
    <w:rsid w:val="6F19A712"/>
    <w:rsid w:val="6F1E06E0"/>
    <w:rsid w:val="6F21209F"/>
    <w:rsid w:val="6F2A3340"/>
    <w:rsid w:val="6F2E06D4"/>
    <w:rsid w:val="6F321D8A"/>
    <w:rsid w:val="6F33A86F"/>
    <w:rsid w:val="6F359B12"/>
    <w:rsid w:val="6F381B43"/>
    <w:rsid w:val="6F385CE8"/>
    <w:rsid w:val="6F3F8AEA"/>
    <w:rsid w:val="6F4198B1"/>
    <w:rsid w:val="6F41E610"/>
    <w:rsid w:val="6F4C77D4"/>
    <w:rsid w:val="6F4F4C59"/>
    <w:rsid w:val="6F53D5E2"/>
    <w:rsid w:val="6F66169C"/>
    <w:rsid w:val="6F6AE8A8"/>
    <w:rsid w:val="6F719FD8"/>
    <w:rsid w:val="6F73719D"/>
    <w:rsid w:val="6F74376A"/>
    <w:rsid w:val="6F75D864"/>
    <w:rsid w:val="6F785557"/>
    <w:rsid w:val="6F802A51"/>
    <w:rsid w:val="6F850677"/>
    <w:rsid w:val="6F9075DB"/>
    <w:rsid w:val="6F908B92"/>
    <w:rsid w:val="6F91F879"/>
    <w:rsid w:val="6F94B355"/>
    <w:rsid w:val="6F9A964F"/>
    <w:rsid w:val="6F9D8393"/>
    <w:rsid w:val="6FA0DBB9"/>
    <w:rsid w:val="6FBF17AC"/>
    <w:rsid w:val="6FC239F3"/>
    <w:rsid w:val="6FC47770"/>
    <w:rsid w:val="6FCA959F"/>
    <w:rsid w:val="6FD4D267"/>
    <w:rsid w:val="6FD56254"/>
    <w:rsid w:val="6FE4C786"/>
    <w:rsid w:val="6FE57513"/>
    <w:rsid w:val="6FE73E06"/>
    <w:rsid w:val="6FE84AB3"/>
    <w:rsid w:val="6FF337EE"/>
    <w:rsid w:val="6FF37239"/>
    <w:rsid w:val="6FF717E9"/>
    <w:rsid w:val="6FF74333"/>
    <w:rsid w:val="6FF77F13"/>
    <w:rsid w:val="6FF8B8B7"/>
    <w:rsid w:val="6FFB74E8"/>
    <w:rsid w:val="6FFFBDDD"/>
    <w:rsid w:val="6FFFC1DC"/>
    <w:rsid w:val="7009F2AC"/>
    <w:rsid w:val="70147AC4"/>
    <w:rsid w:val="7017E08F"/>
    <w:rsid w:val="70184623"/>
    <w:rsid w:val="701BD038"/>
    <w:rsid w:val="701E3F70"/>
    <w:rsid w:val="70236FBF"/>
    <w:rsid w:val="7023EFBD"/>
    <w:rsid w:val="7026DBC9"/>
    <w:rsid w:val="702C81CB"/>
    <w:rsid w:val="702E7F6B"/>
    <w:rsid w:val="702F6564"/>
    <w:rsid w:val="70327D58"/>
    <w:rsid w:val="70332AC3"/>
    <w:rsid w:val="70340425"/>
    <w:rsid w:val="703D4EAD"/>
    <w:rsid w:val="70426DC2"/>
    <w:rsid w:val="70449AD2"/>
    <w:rsid w:val="704D9A77"/>
    <w:rsid w:val="70551A4D"/>
    <w:rsid w:val="706CD115"/>
    <w:rsid w:val="706E28CE"/>
    <w:rsid w:val="706F1F93"/>
    <w:rsid w:val="7071D46C"/>
    <w:rsid w:val="7072DCEA"/>
    <w:rsid w:val="7075BD63"/>
    <w:rsid w:val="707813D7"/>
    <w:rsid w:val="707AD688"/>
    <w:rsid w:val="707DEAF2"/>
    <w:rsid w:val="708AB32E"/>
    <w:rsid w:val="708D33BC"/>
    <w:rsid w:val="708E0EA4"/>
    <w:rsid w:val="7090D7C3"/>
    <w:rsid w:val="7090DABD"/>
    <w:rsid w:val="709277DF"/>
    <w:rsid w:val="7099FB25"/>
    <w:rsid w:val="70A3B347"/>
    <w:rsid w:val="70A44C0E"/>
    <w:rsid w:val="70A4E8BE"/>
    <w:rsid w:val="70A87BD4"/>
    <w:rsid w:val="70ABC267"/>
    <w:rsid w:val="70AE2003"/>
    <w:rsid w:val="70B2DA6E"/>
    <w:rsid w:val="70B64F1E"/>
    <w:rsid w:val="70BAEEF5"/>
    <w:rsid w:val="70BB98F7"/>
    <w:rsid w:val="70BE107C"/>
    <w:rsid w:val="70BEECEF"/>
    <w:rsid w:val="70BFB421"/>
    <w:rsid w:val="70C1B3F4"/>
    <w:rsid w:val="70C1EF1F"/>
    <w:rsid w:val="70D5506D"/>
    <w:rsid w:val="70D7E089"/>
    <w:rsid w:val="70E1213C"/>
    <w:rsid w:val="70E43240"/>
    <w:rsid w:val="70E5B078"/>
    <w:rsid w:val="70E6CD90"/>
    <w:rsid w:val="70F92196"/>
    <w:rsid w:val="70FB8015"/>
    <w:rsid w:val="70FB9352"/>
    <w:rsid w:val="70FB9435"/>
    <w:rsid w:val="70FF3FE9"/>
    <w:rsid w:val="7102BA61"/>
    <w:rsid w:val="7102EB14"/>
    <w:rsid w:val="71050892"/>
    <w:rsid w:val="7106FD37"/>
    <w:rsid w:val="710BC396"/>
    <w:rsid w:val="71117263"/>
    <w:rsid w:val="711B9DC6"/>
    <w:rsid w:val="711C514A"/>
    <w:rsid w:val="711FD305"/>
    <w:rsid w:val="71208185"/>
    <w:rsid w:val="7121CFB9"/>
    <w:rsid w:val="7122AD03"/>
    <w:rsid w:val="7128C354"/>
    <w:rsid w:val="7128FE93"/>
    <w:rsid w:val="71319F94"/>
    <w:rsid w:val="71323309"/>
    <w:rsid w:val="713846B5"/>
    <w:rsid w:val="713A38EF"/>
    <w:rsid w:val="713DDA52"/>
    <w:rsid w:val="713ECBA7"/>
    <w:rsid w:val="7140A6D2"/>
    <w:rsid w:val="7144BD4E"/>
    <w:rsid w:val="714F3648"/>
    <w:rsid w:val="715BE710"/>
    <w:rsid w:val="715C1CD0"/>
    <w:rsid w:val="71617FD2"/>
    <w:rsid w:val="716671EE"/>
    <w:rsid w:val="7166EBFC"/>
    <w:rsid w:val="71686730"/>
    <w:rsid w:val="716CCA82"/>
    <w:rsid w:val="716D6842"/>
    <w:rsid w:val="716E3D91"/>
    <w:rsid w:val="71780979"/>
    <w:rsid w:val="71785C98"/>
    <w:rsid w:val="71785FF1"/>
    <w:rsid w:val="7178E432"/>
    <w:rsid w:val="717C7289"/>
    <w:rsid w:val="71836746"/>
    <w:rsid w:val="7187D488"/>
    <w:rsid w:val="7188248A"/>
    <w:rsid w:val="7189E877"/>
    <w:rsid w:val="718EB115"/>
    <w:rsid w:val="7199E9A7"/>
    <w:rsid w:val="71A4242E"/>
    <w:rsid w:val="71A45779"/>
    <w:rsid w:val="71ACB789"/>
    <w:rsid w:val="71B6BB82"/>
    <w:rsid w:val="71B742CF"/>
    <w:rsid w:val="71B82E16"/>
    <w:rsid w:val="71B8DDD4"/>
    <w:rsid w:val="71B9270F"/>
    <w:rsid w:val="71BEFCE3"/>
    <w:rsid w:val="71C4C592"/>
    <w:rsid w:val="71CBF360"/>
    <w:rsid w:val="71D59BCF"/>
    <w:rsid w:val="71D609FD"/>
    <w:rsid w:val="71D624C2"/>
    <w:rsid w:val="71D8E052"/>
    <w:rsid w:val="71DA968A"/>
    <w:rsid w:val="71E7519A"/>
    <w:rsid w:val="71E8D294"/>
    <w:rsid w:val="71EC8E6C"/>
    <w:rsid w:val="71F19E06"/>
    <w:rsid w:val="71F200A8"/>
    <w:rsid w:val="71F3C47A"/>
    <w:rsid w:val="71F8096D"/>
    <w:rsid w:val="71FB4104"/>
    <w:rsid w:val="71FC299C"/>
    <w:rsid w:val="72098860"/>
    <w:rsid w:val="720D7845"/>
    <w:rsid w:val="721310CB"/>
    <w:rsid w:val="7216102B"/>
    <w:rsid w:val="72205370"/>
    <w:rsid w:val="722168BB"/>
    <w:rsid w:val="7222E4A0"/>
    <w:rsid w:val="72231B5C"/>
    <w:rsid w:val="72273DFA"/>
    <w:rsid w:val="723B0BB5"/>
    <w:rsid w:val="723B566E"/>
    <w:rsid w:val="7247DB0B"/>
    <w:rsid w:val="724BA4A3"/>
    <w:rsid w:val="724E36B7"/>
    <w:rsid w:val="724F1385"/>
    <w:rsid w:val="72502776"/>
    <w:rsid w:val="725843AB"/>
    <w:rsid w:val="725AE98E"/>
    <w:rsid w:val="725BB5BE"/>
    <w:rsid w:val="725D27CF"/>
    <w:rsid w:val="725FF7CB"/>
    <w:rsid w:val="7267747A"/>
    <w:rsid w:val="72686D00"/>
    <w:rsid w:val="726A35F1"/>
    <w:rsid w:val="726C5205"/>
    <w:rsid w:val="72791F6E"/>
    <w:rsid w:val="727B1404"/>
    <w:rsid w:val="727D0400"/>
    <w:rsid w:val="727E7FD2"/>
    <w:rsid w:val="72812293"/>
    <w:rsid w:val="728184AC"/>
    <w:rsid w:val="72831A07"/>
    <w:rsid w:val="7283DF82"/>
    <w:rsid w:val="72857D3D"/>
    <w:rsid w:val="72931572"/>
    <w:rsid w:val="72959C2E"/>
    <w:rsid w:val="72969B73"/>
    <w:rsid w:val="72983159"/>
    <w:rsid w:val="72A3AEBC"/>
    <w:rsid w:val="72A811B5"/>
    <w:rsid w:val="72AD8CB6"/>
    <w:rsid w:val="72B34519"/>
    <w:rsid w:val="72BA7013"/>
    <w:rsid w:val="72BC046A"/>
    <w:rsid w:val="72BCA739"/>
    <w:rsid w:val="72BFB7DF"/>
    <w:rsid w:val="72C010ED"/>
    <w:rsid w:val="72C1A883"/>
    <w:rsid w:val="72C4E828"/>
    <w:rsid w:val="72D051B3"/>
    <w:rsid w:val="72D07D81"/>
    <w:rsid w:val="72D3C9D3"/>
    <w:rsid w:val="72D67F2B"/>
    <w:rsid w:val="72D93B86"/>
    <w:rsid w:val="72DA4C4F"/>
    <w:rsid w:val="72DBD62F"/>
    <w:rsid w:val="72E152C0"/>
    <w:rsid w:val="72E1AAF5"/>
    <w:rsid w:val="72E1F2F1"/>
    <w:rsid w:val="72E48836"/>
    <w:rsid w:val="72E9B7BF"/>
    <w:rsid w:val="72F51DF5"/>
    <w:rsid w:val="72FA4197"/>
    <w:rsid w:val="72FA6FA6"/>
    <w:rsid w:val="72FD0866"/>
    <w:rsid w:val="7300DBA9"/>
    <w:rsid w:val="73082D4A"/>
    <w:rsid w:val="730B002B"/>
    <w:rsid w:val="73105EDF"/>
    <w:rsid w:val="7314B349"/>
    <w:rsid w:val="7318246D"/>
    <w:rsid w:val="73189787"/>
    <w:rsid w:val="731989C1"/>
    <w:rsid w:val="7319DB93"/>
    <w:rsid w:val="731D594C"/>
    <w:rsid w:val="732218AF"/>
    <w:rsid w:val="73239168"/>
    <w:rsid w:val="7326C779"/>
    <w:rsid w:val="732D9798"/>
    <w:rsid w:val="733265BE"/>
    <w:rsid w:val="733A19E7"/>
    <w:rsid w:val="733A8E9B"/>
    <w:rsid w:val="733B9500"/>
    <w:rsid w:val="73450AEA"/>
    <w:rsid w:val="734A4B62"/>
    <w:rsid w:val="734FD856"/>
    <w:rsid w:val="735123B0"/>
    <w:rsid w:val="73512B3D"/>
    <w:rsid w:val="735293F0"/>
    <w:rsid w:val="735B02B6"/>
    <w:rsid w:val="735BFE62"/>
    <w:rsid w:val="7364C0AF"/>
    <w:rsid w:val="7365E5A8"/>
    <w:rsid w:val="7376C0BB"/>
    <w:rsid w:val="737A3B59"/>
    <w:rsid w:val="737DF7DF"/>
    <w:rsid w:val="7382D9EE"/>
    <w:rsid w:val="738469EF"/>
    <w:rsid w:val="738DD61D"/>
    <w:rsid w:val="738F46D0"/>
    <w:rsid w:val="73915686"/>
    <w:rsid w:val="7391C99C"/>
    <w:rsid w:val="73A9A4BE"/>
    <w:rsid w:val="73AA6013"/>
    <w:rsid w:val="73AEF260"/>
    <w:rsid w:val="73B1A230"/>
    <w:rsid w:val="73B2B888"/>
    <w:rsid w:val="73BB8461"/>
    <w:rsid w:val="73BDE655"/>
    <w:rsid w:val="73BE49AD"/>
    <w:rsid w:val="73C3AD61"/>
    <w:rsid w:val="73C50D0B"/>
    <w:rsid w:val="73C887C4"/>
    <w:rsid w:val="73CBDC27"/>
    <w:rsid w:val="73D20CE5"/>
    <w:rsid w:val="73D87290"/>
    <w:rsid w:val="73D8B855"/>
    <w:rsid w:val="73DDB12C"/>
    <w:rsid w:val="73DEE113"/>
    <w:rsid w:val="73E17624"/>
    <w:rsid w:val="73EAB35B"/>
    <w:rsid w:val="73F64CF6"/>
    <w:rsid w:val="73F65A13"/>
    <w:rsid w:val="73FFAE93"/>
    <w:rsid w:val="7400C86D"/>
    <w:rsid w:val="74019251"/>
    <w:rsid w:val="74050288"/>
    <w:rsid w:val="740AEFAB"/>
    <w:rsid w:val="7410E11B"/>
    <w:rsid w:val="741290DC"/>
    <w:rsid w:val="7415C7F5"/>
    <w:rsid w:val="74195446"/>
    <w:rsid w:val="7421D8A7"/>
    <w:rsid w:val="7426F669"/>
    <w:rsid w:val="742A45F1"/>
    <w:rsid w:val="742AD2A3"/>
    <w:rsid w:val="742B6216"/>
    <w:rsid w:val="742D083A"/>
    <w:rsid w:val="743188E9"/>
    <w:rsid w:val="74383D27"/>
    <w:rsid w:val="743CDF44"/>
    <w:rsid w:val="744043DA"/>
    <w:rsid w:val="744A1622"/>
    <w:rsid w:val="744A3A79"/>
    <w:rsid w:val="744C5B2C"/>
    <w:rsid w:val="745329C2"/>
    <w:rsid w:val="7453EBBE"/>
    <w:rsid w:val="7455FE85"/>
    <w:rsid w:val="74564B09"/>
    <w:rsid w:val="7458779A"/>
    <w:rsid w:val="7468C95D"/>
    <w:rsid w:val="746A5A3F"/>
    <w:rsid w:val="746AB823"/>
    <w:rsid w:val="74813FFE"/>
    <w:rsid w:val="7482DA5B"/>
    <w:rsid w:val="7482F709"/>
    <w:rsid w:val="74838549"/>
    <w:rsid w:val="74866ED4"/>
    <w:rsid w:val="748CB0DE"/>
    <w:rsid w:val="748D2EA6"/>
    <w:rsid w:val="748DE518"/>
    <w:rsid w:val="74913537"/>
    <w:rsid w:val="749ADDB6"/>
    <w:rsid w:val="749E7FC7"/>
    <w:rsid w:val="749E930B"/>
    <w:rsid w:val="74A140E3"/>
    <w:rsid w:val="74A3EE67"/>
    <w:rsid w:val="74A5E2BF"/>
    <w:rsid w:val="74A78113"/>
    <w:rsid w:val="74A8DDE7"/>
    <w:rsid w:val="74B0C10E"/>
    <w:rsid w:val="74B340A1"/>
    <w:rsid w:val="74B69B4B"/>
    <w:rsid w:val="74B8342F"/>
    <w:rsid w:val="74B94B34"/>
    <w:rsid w:val="74C66BB5"/>
    <w:rsid w:val="74C6FB2F"/>
    <w:rsid w:val="74CA1F8C"/>
    <w:rsid w:val="74CE7AC9"/>
    <w:rsid w:val="74CFD1FC"/>
    <w:rsid w:val="74D1044F"/>
    <w:rsid w:val="74DB7EF8"/>
    <w:rsid w:val="74E40975"/>
    <w:rsid w:val="74EE6F66"/>
    <w:rsid w:val="74EFD78E"/>
    <w:rsid w:val="74F07F9A"/>
    <w:rsid w:val="74F442BB"/>
    <w:rsid w:val="74F79F37"/>
    <w:rsid w:val="74F9CC45"/>
    <w:rsid w:val="74F9CFD2"/>
    <w:rsid w:val="74FD759A"/>
    <w:rsid w:val="74FF4D2C"/>
    <w:rsid w:val="75084BFB"/>
    <w:rsid w:val="75127E5E"/>
    <w:rsid w:val="751829DC"/>
    <w:rsid w:val="75194143"/>
    <w:rsid w:val="75201D0B"/>
    <w:rsid w:val="7529EFAA"/>
    <w:rsid w:val="752A4A39"/>
    <w:rsid w:val="752BCFEA"/>
    <w:rsid w:val="753104F1"/>
    <w:rsid w:val="75352B40"/>
    <w:rsid w:val="75377D01"/>
    <w:rsid w:val="75392448"/>
    <w:rsid w:val="7539C00E"/>
    <w:rsid w:val="75448CE6"/>
    <w:rsid w:val="7544E542"/>
    <w:rsid w:val="7548761F"/>
    <w:rsid w:val="754E70FD"/>
    <w:rsid w:val="754F0B61"/>
    <w:rsid w:val="754FA53A"/>
    <w:rsid w:val="7551DDD8"/>
    <w:rsid w:val="75538550"/>
    <w:rsid w:val="7557CFF4"/>
    <w:rsid w:val="755F16D7"/>
    <w:rsid w:val="756575DA"/>
    <w:rsid w:val="756EAC7F"/>
    <w:rsid w:val="7570C698"/>
    <w:rsid w:val="757228A2"/>
    <w:rsid w:val="75768E70"/>
    <w:rsid w:val="757E34E3"/>
    <w:rsid w:val="757F61E7"/>
    <w:rsid w:val="757F9A67"/>
    <w:rsid w:val="757FB332"/>
    <w:rsid w:val="757FCCF0"/>
    <w:rsid w:val="75842AEF"/>
    <w:rsid w:val="75910DF4"/>
    <w:rsid w:val="75920C72"/>
    <w:rsid w:val="7593C177"/>
    <w:rsid w:val="75984FDC"/>
    <w:rsid w:val="75990331"/>
    <w:rsid w:val="75A1E9F9"/>
    <w:rsid w:val="75A5D5A8"/>
    <w:rsid w:val="75A7E4DB"/>
    <w:rsid w:val="75A8F67B"/>
    <w:rsid w:val="75AB1A84"/>
    <w:rsid w:val="75AC2F70"/>
    <w:rsid w:val="75AD88AE"/>
    <w:rsid w:val="75B25A03"/>
    <w:rsid w:val="75C2ACA0"/>
    <w:rsid w:val="75CAC809"/>
    <w:rsid w:val="75D0AF45"/>
    <w:rsid w:val="75D12FFC"/>
    <w:rsid w:val="75D13E7A"/>
    <w:rsid w:val="75D5AAE6"/>
    <w:rsid w:val="75E1B387"/>
    <w:rsid w:val="75E37DCF"/>
    <w:rsid w:val="75E3949F"/>
    <w:rsid w:val="75F06B00"/>
    <w:rsid w:val="75F0797B"/>
    <w:rsid w:val="75F28BAA"/>
    <w:rsid w:val="75F4394F"/>
    <w:rsid w:val="75FA9731"/>
    <w:rsid w:val="75FF3417"/>
    <w:rsid w:val="760433E9"/>
    <w:rsid w:val="760E3B2A"/>
    <w:rsid w:val="760E85B5"/>
    <w:rsid w:val="7612B56A"/>
    <w:rsid w:val="761E22F5"/>
    <w:rsid w:val="76249B70"/>
    <w:rsid w:val="7624AA90"/>
    <w:rsid w:val="7626E8DA"/>
    <w:rsid w:val="7626E982"/>
    <w:rsid w:val="762954C6"/>
    <w:rsid w:val="762C489C"/>
    <w:rsid w:val="763406EB"/>
    <w:rsid w:val="7634969D"/>
    <w:rsid w:val="76375426"/>
    <w:rsid w:val="763BB68E"/>
    <w:rsid w:val="763DF4E4"/>
    <w:rsid w:val="764B12A6"/>
    <w:rsid w:val="7651FF79"/>
    <w:rsid w:val="7656D417"/>
    <w:rsid w:val="76576D0B"/>
    <w:rsid w:val="76595D09"/>
    <w:rsid w:val="76649B3C"/>
    <w:rsid w:val="7668DD45"/>
    <w:rsid w:val="766B51CE"/>
    <w:rsid w:val="766C8A4C"/>
    <w:rsid w:val="766D34C9"/>
    <w:rsid w:val="7675183F"/>
    <w:rsid w:val="76771F75"/>
    <w:rsid w:val="7677E0A6"/>
    <w:rsid w:val="76790A5E"/>
    <w:rsid w:val="767C709B"/>
    <w:rsid w:val="768318BA"/>
    <w:rsid w:val="768B4401"/>
    <w:rsid w:val="76900A5F"/>
    <w:rsid w:val="76916DCF"/>
    <w:rsid w:val="769979FA"/>
    <w:rsid w:val="769A09B9"/>
    <w:rsid w:val="76A11BC1"/>
    <w:rsid w:val="76A322E9"/>
    <w:rsid w:val="76ABCE2A"/>
    <w:rsid w:val="76B30C02"/>
    <w:rsid w:val="76B5F06A"/>
    <w:rsid w:val="76B8698B"/>
    <w:rsid w:val="76BC955F"/>
    <w:rsid w:val="76C9936A"/>
    <w:rsid w:val="76CB5A10"/>
    <w:rsid w:val="76CE4EB5"/>
    <w:rsid w:val="76CED4F8"/>
    <w:rsid w:val="76CF5819"/>
    <w:rsid w:val="76D22B27"/>
    <w:rsid w:val="76D94DDF"/>
    <w:rsid w:val="76E4C978"/>
    <w:rsid w:val="76E816AE"/>
    <w:rsid w:val="76EF1B07"/>
    <w:rsid w:val="76F1B309"/>
    <w:rsid w:val="76F6333D"/>
    <w:rsid w:val="76FC630C"/>
    <w:rsid w:val="770A470E"/>
    <w:rsid w:val="7711996B"/>
    <w:rsid w:val="771540E9"/>
    <w:rsid w:val="771A0AD0"/>
    <w:rsid w:val="771D54F0"/>
    <w:rsid w:val="7726FA76"/>
    <w:rsid w:val="772A70BF"/>
    <w:rsid w:val="772C33A4"/>
    <w:rsid w:val="77331139"/>
    <w:rsid w:val="7752A50A"/>
    <w:rsid w:val="7754CCDF"/>
    <w:rsid w:val="775B1AE2"/>
    <w:rsid w:val="775C7186"/>
    <w:rsid w:val="776415A4"/>
    <w:rsid w:val="776A75E7"/>
    <w:rsid w:val="776BB667"/>
    <w:rsid w:val="776D866B"/>
    <w:rsid w:val="776FFA83"/>
    <w:rsid w:val="77700748"/>
    <w:rsid w:val="7775803E"/>
    <w:rsid w:val="7777B40D"/>
    <w:rsid w:val="777FAA9F"/>
    <w:rsid w:val="778994F7"/>
    <w:rsid w:val="7789A768"/>
    <w:rsid w:val="778BC86A"/>
    <w:rsid w:val="7797828E"/>
    <w:rsid w:val="7798CFA6"/>
    <w:rsid w:val="779F48FD"/>
    <w:rsid w:val="77A1BC61"/>
    <w:rsid w:val="77A26D6E"/>
    <w:rsid w:val="77ABBDFB"/>
    <w:rsid w:val="77AD1A69"/>
    <w:rsid w:val="77AFBA04"/>
    <w:rsid w:val="77B08B5E"/>
    <w:rsid w:val="77B41D02"/>
    <w:rsid w:val="77B955A6"/>
    <w:rsid w:val="77BF2E00"/>
    <w:rsid w:val="77C4B669"/>
    <w:rsid w:val="77C7EDEC"/>
    <w:rsid w:val="77C8C1C1"/>
    <w:rsid w:val="77CBEA74"/>
    <w:rsid w:val="77D19A0C"/>
    <w:rsid w:val="77D4177D"/>
    <w:rsid w:val="77D45446"/>
    <w:rsid w:val="77D7D87A"/>
    <w:rsid w:val="77DE3017"/>
    <w:rsid w:val="77E2E14B"/>
    <w:rsid w:val="77E2E67B"/>
    <w:rsid w:val="77EDA4BD"/>
    <w:rsid w:val="77EDC2C5"/>
    <w:rsid w:val="77F376C4"/>
    <w:rsid w:val="77F495F4"/>
    <w:rsid w:val="78035199"/>
    <w:rsid w:val="780488FF"/>
    <w:rsid w:val="780778CD"/>
    <w:rsid w:val="7807F411"/>
    <w:rsid w:val="78086575"/>
    <w:rsid w:val="780CC7DF"/>
    <w:rsid w:val="781ADAEB"/>
    <w:rsid w:val="781F13AA"/>
    <w:rsid w:val="782072A4"/>
    <w:rsid w:val="782172F0"/>
    <w:rsid w:val="7821F136"/>
    <w:rsid w:val="78289539"/>
    <w:rsid w:val="78354978"/>
    <w:rsid w:val="78392785"/>
    <w:rsid w:val="783D4DD0"/>
    <w:rsid w:val="783D53A5"/>
    <w:rsid w:val="78415D78"/>
    <w:rsid w:val="784440B1"/>
    <w:rsid w:val="7845B071"/>
    <w:rsid w:val="784AB7F4"/>
    <w:rsid w:val="7852A617"/>
    <w:rsid w:val="7856E4FB"/>
    <w:rsid w:val="7858412F"/>
    <w:rsid w:val="78586A08"/>
    <w:rsid w:val="785C0DB5"/>
    <w:rsid w:val="7861A539"/>
    <w:rsid w:val="78675756"/>
    <w:rsid w:val="78699A3E"/>
    <w:rsid w:val="7877CA0F"/>
    <w:rsid w:val="7878E895"/>
    <w:rsid w:val="787A8539"/>
    <w:rsid w:val="787D6929"/>
    <w:rsid w:val="78847B6E"/>
    <w:rsid w:val="7885989A"/>
    <w:rsid w:val="78866909"/>
    <w:rsid w:val="788EE29B"/>
    <w:rsid w:val="788F06D4"/>
    <w:rsid w:val="78916B37"/>
    <w:rsid w:val="789621FB"/>
    <w:rsid w:val="78A9194F"/>
    <w:rsid w:val="78AF984F"/>
    <w:rsid w:val="78B2D38B"/>
    <w:rsid w:val="78B484FC"/>
    <w:rsid w:val="78B89987"/>
    <w:rsid w:val="78BE27DD"/>
    <w:rsid w:val="78C623EC"/>
    <w:rsid w:val="78C8876D"/>
    <w:rsid w:val="78CD5E89"/>
    <w:rsid w:val="78D1A5E5"/>
    <w:rsid w:val="78D2F1CF"/>
    <w:rsid w:val="78D355CD"/>
    <w:rsid w:val="78D58787"/>
    <w:rsid w:val="78D98495"/>
    <w:rsid w:val="78DE8928"/>
    <w:rsid w:val="78DECCC3"/>
    <w:rsid w:val="78DFECE8"/>
    <w:rsid w:val="78E167B0"/>
    <w:rsid w:val="78E59621"/>
    <w:rsid w:val="78E9BE92"/>
    <w:rsid w:val="78E9CA13"/>
    <w:rsid w:val="78FBB418"/>
    <w:rsid w:val="78FFDB5A"/>
    <w:rsid w:val="79024078"/>
    <w:rsid w:val="79062F1B"/>
    <w:rsid w:val="790CAEC2"/>
    <w:rsid w:val="791CEA67"/>
    <w:rsid w:val="791E3207"/>
    <w:rsid w:val="791E457B"/>
    <w:rsid w:val="79221887"/>
    <w:rsid w:val="7924316C"/>
    <w:rsid w:val="792DFEC9"/>
    <w:rsid w:val="792F0A3C"/>
    <w:rsid w:val="79304562"/>
    <w:rsid w:val="7930CB03"/>
    <w:rsid w:val="7935BCB4"/>
    <w:rsid w:val="7937388A"/>
    <w:rsid w:val="79374209"/>
    <w:rsid w:val="7939D734"/>
    <w:rsid w:val="793BFC44"/>
    <w:rsid w:val="793F80DC"/>
    <w:rsid w:val="7944E3B1"/>
    <w:rsid w:val="79458F0D"/>
    <w:rsid w:val="79489DFB"/>
    <w:rsid w:val="79490AAC"/>
    <w:rsid w:val="794A74BD"/>
    <w:rsid w:val="7953C9BA"/>
    <w:rsid w:val="79553D57"/>
    <w:rsid w:val="7956F4C2"/>
    <w:rsid w:val="795907E6"/>
    <w:rsid w:val="795B5916"/>
    <w:rsid w:val="795CE9C8"/>
    <w:rsid w:val="795E20FB"/>
    <w:rsid w:val="795E899C"/>
    <w:rsid w:val="79618092"/>
    <w:rsid w:val="79643D60"/>
    <w:rsid w:val="79666907"/>
    <w:rsid w:val="796C3B57"/>
    <w:rsid w:val="796D2CDD"/>
    <w:rsid w:val="79700D30"/>
    <w:rsid w:val="7970B5F7"/>
    <w:rsid w:val="7980EDB0"/>
    <w:rsid w:val="7980EE1E"/>
    <w:rsid w:val="7981E077"/>
    <w:rsid w:val="79822261"/>
    <w:rsid w:val="7983C2A8"/>
    <w:rsid w:val="7988383F"/>
    <w:rsid w:val="7989312E"/>
    <w:rsid w:val="798D9568"/>
    <w:rsid w:val="79934DC6"/>
    <w:rsid w:val="7997E39F"/>
    <w:rsid w:val="7999DE05"/>
    <w:rsid w:val="799C1D30"/>
    <w:rsid w:val="799E9994"/>
    <w:rsid w:val="79A18EF1"/>
    <w:rsid w:val="79A1B170"/>
    <w:rsid w:val="79A5B232"/>
    <w:rsid w:val="79A70D46"/>
    <w:rsid w:val="79A8BD7F"/>
    <w:rsid w:val="79AA1409"/>
    <w:rsid w:val="79ABA4AE"/>
    <w:rsid w:val="79AD3163"/>
    <w:rsid w:val="79AD8F99"/>
    <w:rsid w:val="79B171B8"/>
    <w:rsid w:val="79B35DC9"/>
    <w:rsid w:val="79C621C1"/>
    <w:rsid w:val="79CEA6DF"/>
    <w:rsid w:val="79CFB3C9"/>
    <w:rsid w:val="79D51A2F"/>
    <w:rsid w:val="79D99AE3"/>
    <w:rsid w:val="79DA2DC4"/>
    <w:rsid w:val="79DF9D10"/>
    <w:rsid w:val="79E1BDA7"/>
    <w:rsid w:val="79E3C0FA"/>
    <w:rsid w:val="79EB0F7B"/>
    <w:rsid w:val="79EC5D08"/>
    <w:rsid w:val="79EDBAE9"/>
    <w:rsid w:val="79F0EB8F"/>
    <w:rsid w:val="79F1678D"/>
    <w:rsid w:val="79F33AF6"/>
    <w:rsid w:val="79FBE75E"/>
    <w:rsid w:val="79FBF95D"/>
    <w:rsid w:val="79FF33D6"/>
    <w:rsid w:val="7A0690F3"/>
    <w:rsid w:val="7A09C685"/>
    <w:rsid w:val="7A0AC9B7"/>
    <w:rsid w:val="7A1093DE"/>
    <w:rsid w:val="7A15BFB1"/>
    <w:rsid w:val="7A191749"/>
    <w:rsid w:val="7A24EB18"/>
    <w:rsid w:val="7A270EAF"/>
    <w:rsid w:val="7A341F75"/>
    <w:rsid w:val="7A39D948"/>
    <w:rsid w:val="7A3AF924"/>
    <w:rsid w:val="7A3B0113"/>
    <w:rsid w:val="7A461F3E"/>
    <w:rsid w:val="7A48623E"/>
    <w:rsid w:val="7A4AD022"/>
    <w:rsid w:val="7A4C95F7"/>
    <w:rsid w:val="7A4D0992"/>
    <w:rsid w:val="7A524D3E"/>
    <w:rsid w:val="7A53AFA7"/>
    <w:rsid w:val="7A62C5FF"/>
    <w:rsid w:val="7A64A2CC"/>
    <w:rsid w:val="7A677237"/>
    <w:rsid w:val="7A739465"/>
    <w:rsid w:val="7A7AD7BD"/>
    <w:rsid w:val="7A8B5572"/>
    <w:rsid w:val="7A8BE79B"/>
    <w:rsid w:val="7A8DB63A"/>
    <w:rsid w:val="7A8F3966"/>
    <w:rsid w:val="7A90E78D"/>
    <w:rsid w:val="7AA3938C"/>
    <w:rsid w:val="7AA51F2F"/>
    <w:rsid w:val="7AA7E938"/>
    <w:rsid w:val="7AB5A284"/>
    <w:rsid w:val="7AB8E42A"/>
    <w:rsid w:val="7AB8F5D1"/>
    <w:rsid w:val="7ABADEB3"/>
    <w:rsid w:val="7ABC1FEC"/>
    <w:rsid w:val="7AC0F2F9"/>
    <w:rsid w:val="7ACAEF80"/>
    <w:rsid w:val="7ACCA27B"/>
    <w:rsid w:val="7AD38CB5"/>
    <w:rsid w:val="7AD43648"/>
    <w:rsid w:val="7AD5E751"/>
    <w:rsid w:val="7ADB58B0"/>
    <w:rsid w:val="7ADBAEE4"/>
    <w:rsid w:val="7ADC8E28"/>
    <w:rsid w:val="7ADF0564"/>
    <w:rsid w:val="7ADF8FC2"/>
    <w:rsid w:val="7AE52029"/>
    <w:rsid w:val="7AE98EB9"/>
    <w:rsid w:val="7AF68E7F"/>
    <w:rsid w:val="7AF6AB4C"/>
    <w:rsid w:val="7AF7ADDD"/>
    <w:rsid w:val="7AF7D987"/>
    <w:rsid w:val="7AF95886"/>
    <w:rsid w:val="7AFBFF31"/>
    <w:rsid w:val="7B0B87B9"/>
    <w:rsid w:val="7B0C8658"/>
    <w:rsid w:val="7B102131"/>
    <w:rsid w:val="7B102485"/>
    <w:rsid w:val="7B158A1C"/>
    <w:rsid w:val="7B16C297"/>
    <w:rsid w:val="7B17E0FA"/>
    <w:rsid w:val="7B1B4077"/>
    <w:rsid w:val="7B23A8C9"/>
    <w:rsid w:val="7B251ADC"/>
    <w:rsid w:val="7B2754EB"/>
    <w:rsid w:val="7B2EE51C"/>
    <w:rsid w:val="7B2F1386"/>
    <w:rsid w:val="7B31D200"/>
    <w:rsid w:val="7B35F38F"/>
    <w:rsid w:val="7B3B82E3"/>
    <w:rsid w:val="7B3CB4D1"/>
    <w:rsid w:val="7B3E0931"/>
    <w:rsid w:val="7B3FD808"/>
    <w:rsid w:val="7B48E594"/>
    <w:rsid w:val="7B5C0152"/>
    <w:rsid w:val="7B5F6D07"/>
    <w:rsid w:val="7B62C3A1"/>
    <w:rsid w:val="7B6440D6"/>
    <w:rsid w:val="7B66D1D3"/>
    <w:rsid w:val="7B68B46E"/>
    <w:rsid w:val="7B6CCF48"/>
    <w:rsid w:val="7B6E072C"/>
    <w:rsid w:val="7B707EC9"/>
    <w:rsid w:val="7B7EB075"/>
    <w:rsid w:val="7B893976"/>
    <w:rsid w:val="7B8E405D"/>
    <w:rsid w:val="7B8E50B2"/>
    <w:rsid w:val="7B8F2D15"/>
    <w:rsid w:val="7B981A98"/>
    <w:rsid w:val="7B986599"/>
    <w:rsid w:val="7BA086B3"/>
    <w:rsid w:val="7BA61B09"/>
    <w:rsid w:val="7BAA2B3D"/>
    <w:rsid w:val="7BAB8D12"/>
    <w:rsid w:val="7BB167DF"/>
    <w:rsid w:val="7BB3DE2F"/>
    <w:rsid w:val="7BB3E920"/>
    <w:rsid w:val="7BB6AE29"/>
    <w:rsid w:val="7BBA4B52"/>
    <w:rsid w:val="7BBB9800"/>
    <w:rsid w:val="7BBC814C"/>
    <w:rsid w:val="7BBE97CA"/>
    <w:rsid w:val="7BCAA908"/>
    <w:rsid w:val="7BCB637D"/>
    <w:rsid w:val="7BCD8AA0"/>
    <w:rsid w:val="7BD1FD88"/>
    <w:rsid w:val="7BE55B35"/>
    <w:rsid w:val="7BE7238B"/>
    <w:rsid w:val="7BE99157"/>
    <w:rsid w:val="7BEB214C"/>
    <w:rsid w:val="7BED2E39"/>
    <w:rsid w:val="7BED9083"/>
    <w:rsid w:val="7BF03D0F"/>
    <w:rsid w:val="7BF29928"/>
    <w:rsid w:val="7BF853D1"/>
    <w:rsid w:val="7BFE0721"/>
    <w:rsid w:val="7C017BD0"/>
    <w:rsid w:val="7C01A8BC"/>
    <w:rsid w:val="7C07F535"/>
    <w:rsid w:val="7C087157"/>
    <w:rsid w:val="7C0A040C"/>
    <w:rsid w:val="7C0AE52F"/>
    <w:rsid w:val="7C106F15"/>
    <w:rsid w:val="7C196FE5"/>
    <w:rsid w:val="7C1F7A9E"/>
    <w:rsid w:val="7C25B9FC"/>
    <w:rsid w:val="7C2D26F6"/>
    <w:rsid w:val="7C2FB222"/>
    <w:rsid w:val="7C422FF3"/>
    <w:rsid w:val="7C444203"/>
    <w:rsid w:val="7C47F03F"/>
    <w:rsid w:val="7C4A8862"/>
    <w:rsid w:val="7C4D456C"/>
    <w:rsid w:val="7C50309B"/>
    <w:rsid w:val="7C50EC7A"/>
    <w:rsid w:val="7C656CBA"/>
    <w:rsid w:val="7C68521E"/>
    <w:rsid w:val="7C6A14D7"/>
    <w:rsid w:val="7C6AF251"/>
    <w:rsid w:val="7C732651"/>
    <w:rsid w:val="7C7CCFF8"/>
    <w:rsid w:val="7C8CFB32"/>
    <w:rsid w:val="7C95C39B"/>
    <w:rsid w:val="7C9A254A"/>
    <w:rsid w:val="7C9BBE8B"/>
    <w:rsid w:val="7C9C0188"/>
    <w:rsid w:val="7CA61EF5"/>
    <w:rsid w:val="7CA856B9"/>
    <w:rsid w:val="7CAF4880"/>
    <w:rsid w:val="7CB157A4"/>
    <w:rsid w:val="7CB1C03B"/>
    <w:rsid w:val="7CB9A2B0"/>
    <w:rsid w:val="7CBFA61C"/>
    <w:rsid w:val="7CCC32D0"/>
    <w:rsid w:val="7CCE52A2"/>
    <w:rsid w:val="7CD127D7"/>
    <w:rsid w:val="7CD5AEF5"/>
    <w:rsid w:val="7CD67DF6"/>
    <w:rsid w:val="7CD8CC90"/>
    <w:rsid w:val="7CD9B518"/>
    <w:rsid w:val="7CDA3E3D"/>
    <w:rsid w:val="7CE62E2D"/>
    <w:rsid w:val="7CE6BBF1"/>
    <w:rsid w:val="7CEBE3F0"/>
    <w:rsid w:val="7CF00F13"/>
    <w:rsid w:val="7CF1D4B0"/>
    <w:rsid w:val="7CF5172E"/>
    <w:rsid w:val="7CF6C3A5"/>
    <w:rsid w:val="7CF709BF"/>
    <w:rsid w:val="7CF87F16"/>
    <w:rsid w:val="7CFB481D"/>
    <w:rsid w:val="7D0A17C3"/>
    <w:rsid w:val="7D0B27E5"/>
    <w:rsid w:val="7D0FE2F9"/>
    <w:rsid w:val="7D14FD68"/>
    <w:rsid w:val="7D215202"/>
    <w:rsid w:val="7D23F18D"/>
    <w:rsid w:val="7D272B47"/>
    <w:rsid w:val="7D2A8C1E"/>
    <w:rsid w:val="7D2EBF0E"/>
    <w:rsid w:val="7D2F0C47"/>
    <w:rsid w:val="7D36DF41"/>
    <w:rsid w:val="7D3A829B"/>
    <w:rsid w:val="7D3AF2AC"/>
    <w:rsid w:val="7D425787"/>
    <w:rsid w:val="7D459CB5"/>
    <w:rsid w:val="7D46508A"/>
    <w:rsid w:val="7D4BDB40"/>
    <w:rsid w:val="7D4F2113"/>
    <w:rsid w:val="7D5626ED"/>
    <w:rsid w:val="7D598659"/>
    <w:rsid w:val="7D6EB393"/>
    <w:rsid w:val="7D77642B"/>
    <w:rsid w:val="7D79FA99"/>
    <w:rsid w:val="7D8ADED5"/>
    <w:rsid w:val="7D8DACB4"/>
    <w:rsid w:val="7D8E7E63"/>
    <w:rsid w:val="7D8E8878"/>
    <w:rsid w:val="7D9469FD"/>
    <w:rsid w:val="7D971672"/>
    <w:rsid w:val="7D9C6B5F"/>
    <w:rsid w:val="7D9DA0DE"/>
    <w:rsid w:val="7DA0B947"/>
    <w:rsid w:val="7DA3E0D7"/>
    <w:rsid w:val="7DA9281B"/>
    <w:rsid w:val="7DAE6278"/>
    <w:rsid w:val="7DAF909D"/>
    <w:rsid w:val="7DB1B41A"/>
    <w:rsid w:val="7DB83654"/>
    <w:rsid w:val="7DBACE3D"/>
    <w:rsid w:val="7DCC80FC"/>
    <w:rsid w:val="7DCF31A0"/>
    <w:rsid w:val="7DD6AB42"/>
    <w:rsid w:val="7DD779E5"/>
    <w:rsid w:val="7DD7C0E6"/>
    <w:rsid w:val="7DD81CC3"/>
    <w:rsid w:val="7DDB686F"/>
    <w:rsid w:val="7DDF9906"/>
    <w:rsid w:val="7DE578F9"/>
    <w:rsid w:val="7DE76B24"/>
    <w:rsid w:val="7DEDF771"/>
    <w:rsid w:val="7DF12122"/>
    <w:rsid w:val="7DF32AF7"/>
    <w:rsid w:val="7DF58997"/>
    <w:rsid w:val="7DF65DEF"/>
    <w:rsid w:val="7E05E3A5"/>
    <w:rsid w:val="7E08BF18"/>
    <w:rsid w:val="7E0D913A"/>
    <w:rsid w:val="7E100D2F"/>
    <w:rsid w:val="7E16E39C"/>
    <w:rsid w:val="7E196C12"/>
    <w:rsid w:val="7E2185E2"/>
    <w:rsid w:val="7E322861"/>
    <w:rsid w:val="7E463F36"/>
    <w:rsid w:val="7E489AB3"/>
    <w:rsid w:val="7E49FEB0"/>
    <w:rsid w:val="7E4B3575"/>
    <w:rsid w:val="7E4CA642"/>
    <w:rsid w:val="7E4F0FA0"/>
    <w:rsid w:val="7E5762F8"/>
    <w:rsid w:val="7E588EB8"/>
    <w:rsid w:val="7E5C0027"/>
    <w:rsid w:val="7E65B8DA"/>
    <w:rsid w:val="7E680240"/>
    <w:rsid w:val="7E6ACA5E"/>
    <w:rsid w:val="7E6B02DC"/>
    <w:rsid w:val="7E702436"/>
    <w:rsid w:val="7E70559C"/>
    <w:rsid w:val="7E71977E"/>
    <w:rsid w:val="7E727EC6"/>
    <w:rsid w:val="7E7597C1"/>
    <w:rsid w:val="7E82A9ED"/>
    <w:rsid w:val="7E83095F"/>
    <w:rsid w:val="7E8ACCD9"/>
    <w:rsid w:val="7E8B0596"/>
    <w:rsid w:val="7E8DBF1A"/>
    <w:rsid w:val="7E8E6EFF"/>
    <w:rsid w:val="7E9513C8"/>
    <w:rsid w:val="7E9681B5"/>
    <w:rsid w:val="7E9AEED2"/>
    <w:rsid w:val="7E9F5612"/>
    <w:rsid w:val="7EA3970F"/>
    <w:rsid w:val="7EA8E2A1"/>
    <w:rsid w:val="7EA93067"/>
    <w:rsid w:val="7EAE4E47"/>
    <w:rsid w:val="7EB6AF02"/>
    <w:rsid w:val="7EB922F5"/>
    <w:rsid w:val="7EB99016"/>
    <w:rsid w:val="7EBF0E36"/>
    <w:rsid w:val="7ED062EA"/>
    <w:rsid w:val="7ED90930"/>
    <w:rsid w:val="7EDBD596"/>
    <w:rsid w:val="7EDF574A"/>
    <w:rsid w:val="7EDF597F"/>
    <w:rsid w:val="7EE32B72"/>
    <w:rsid w:val="7EE60F8A"/>
    <w:rsid w:val="7EE83BCB"/>
    <w:rsid w:val="7EEDD15C"/>
    <w:rsid w:val="7EFD06BE"/>
    <w:rsid w:val="7EFF4E93"/>
    <w:rsid w:val="7F0F2E7B"/>
    <w:rsid w:val="7F10FC8A"/>
    <w:rsid w:val="7F111ED4"/>
    <w:rsid w:val="7F161D1B"/>
    <w:rsid w:val="7F1A6F65"/>
    <w:rsid w:val="7F1F6F16"/>
    <w:rsid w:val="7F2705C9"/>
    <w:rsid w:val="7F2F6FF2"/>
    <w:rsid w:val="7F355768"/>
    <w:rsid w:val="7F39FC50"/>
    <w:rsid w:val="7F3C6E1F"/>
    <w:rsid w:val="7F440435"/>
    <w:rsid w:val="7F443DEF"/>
    <w:rsid w:val="7F4971A6"/>
    <w:rsid w:val="7F4FEDA5"/>
    <w:rsid w:val="7F566C6B"/>
    <w:rsid w:val="7F5ABC4E"/>
    <w:rsid w:val="7F5F79F1"/>
    <w:rsid w:val="7F610AC7"/>
    <w:rsid w:val="7F6A9408"/>
    <w:rsid w:val="7F6C6194"/>
    <w:rsid w:val="7F6CD03B"/>
    <w:rsid w:val="7F6F5003"/>
    <w:rsid w:val="7F7364FA"/>
    <w:rsid w:val="7F7706C5"/>
    <w:rsid w:val="7F84056E"/>
    <w:rsid w:val="7F888D3C"/>
    <w:rsid w:val="7F89386E"/>
    <w:rsid w:val="7F8D038A"/>
    <w:rsid w:val="7F987529"/>
    <w:rsid w:val="7F993FE6"/>
    <w:rsid w:val="7F9E4A35"/>
    <w:rsid w:val="7F9F764D"/>
    <w:rsid w:val="7FA9E2E1"/>
    <w:rsid w:val="7FACFEF1"/>
    <w:rsid w:val="7FB6ADEE"/>
    <w:rsid w:val="7FC7C5B9"/>
    <w:rsid w:val="7FD80CE1"/>
    <w:rsid w:val="7FD94DF0"/>
    <w:rsid w:val="7FDA7AFF"/>
    <w:rsid w:val="7FDE81E9"/>
    <w:rsid w:val="7FDEBCE8"/>
    <w:rsid w:val="7FE41158"/>
    <w:rsid w:val="7FEDFE4C"/>
    <w:rsid w:val="7FF058E4"/>
    <w:rsid w:val="7FF527B5"/>
    <w:rsid w:val="7FFED09D"/>
    <w:rsid w:val="7FFFB31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91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3"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1E0"/>
    <w:pPr>
      <w:spacing w:line="280" w:lineRule="atLeast"/>
    </w:pPr>
    <w:rPr>
      <w:rFonts w:ascii="Calibri" w:hAnsi="Calibri" w:cs="Times New Roman"/>
      <w:szCs w:val="24"/>
      <w:lang w:val="en-US"/>
    </w:rPr>
  </w:style>
  <w:style w:type="paragraph" w:styleId="Heading1">
    <w:name w:val="heading 1"/>
    <w:basedOn w:val="Normal"/>
    <w:next w:val="BodyText"/>
    <w:link w:val="Heading1Char"/>
    <w:qFormat/>
    <w:rsid w:val="00392A47"/>
    <w:pPr>
      <w:keepNext/>
      <w:tabs>
        <w:tab w:val="left" w:pos="851"/>
      </w:tabs>
      <w:spacing w:after="360" w:line="600" w:lineRule="atLeast"/>
      <w:outlineLvl w:val="0"/>
    </w:pPr>
    <w:rPr>
      <w:rFonts w:ascii="Georgia" w:eastAsiaTheme="majorEastAsia" w:hAnsi="Georgia" w:cstheme="majorBidi"/>
      <w:b/>
      <w:bCs/>
      <w:color w:val="1B556B"/>
      <w:sz w:val="48"/>
      <w:szCs w:val="28"/>
      <w:lang w:val="en-NZ" w:eastAsia="en-NZ"/>
    </w:rPr>
  </w:style>
  <w:style w:type="paragraph" w:styleId="Heading2">
    <w:name w:val="heading 2"/>
    <w:basedOn w:val="Normal"/>
    <w:next w:val="BodyText"/>
    <w:link w:val="Heading2Char"/>
    <w:qFormat/>
    <w:rsid w:val="00B046B9"/>
    <w:pPr>
      <w:keepNext/>
      <w:tabs>
        <w:tab w:val="left" w:pos="851"/>
      </w:tabs>
      <w:spacing w:before="360" w:after="0" w:line="440" w:lineRule="atLeast"/>
      <w:outlineLvl w:val="1"/>
    </w:pPr>
    <w:rPr>
      <w:rFonts w:ascii="Georgia" w:eastAsiaTheme="majorEastAsia" w:hAnsi="Georgia" w:cstheme="majorBidi"/>
      <w:b/>
      <w:bCs/>
      <w:color w:val="1B556B"/>
      <w:sz w:val="36"/>
      <w:szCs w:val="26"/>
      <w:lang w:val="en-NZ" w:eastAsia="en-NZ"/>
    </w:rPr>
  </w:style>
  <w:style w:type="paragraph" w:styleId="Heading3">
    <w:name w:val="heading 3"/>
    <w:basedOn w:val="Normal"/>
    <w:next w:val="BodyText"/>
    <w:link w:val="Heading3Char"/>
    <w:qFormat/>
    <w:rsid w:val="00953C84"/>
    <w:pPr>
      <w:keepNext/>
      <w:spacing w:before="360" w:after="0" w:line="240" w:lineRule="atLeast"/>
      <w:ind w:left="907" w:hanging="907"/>
      <w:outlineLvl w:val="2"/>
    </w:pPr>
    <w:rPr>
      <w:rFonts w:ascii="Georgia" w:eastAsiaTheme="majorEastAsia" w:hAnsi="Georgia" w:cstheme="majorBidi"/>
      <w:b/>
      <w:bCs/>
      <w:sz w:val="28"/>
      <w:szCs w:val="22"/>
      <w:lang w:val="en-NZ" w:eastAsia="en-NZ"/>
    </w:rPr>
  </w:style>
  <w:style w:type="paragraph" w:styleId="Heading4">
    <w:name w:val="heading 4"/>
    <w:basedOn w:val="Heading3"/>
    <w:next w:val="BodyText"/>
    <w:link w:val="Heading4Char"/>
    <w:qFormat/>
    <w:rsid w:val="00392A47"/>
    <w:pPr>
      <w:outlineLvl w:val="3"/>
    </w:pPr>
    <w:rPr>
      <w:sz w:val="24"/>
    </w:rPr>
  </w:style>
  <w:style w:type="paragraph" w:styleId="Heading5">
    <w:name w:val="heading 5"/>
    <w:basedOn w:val="Normal"/>
    <w:next w:val="BodyText"/>
    <w:link w:val="Heading5Char"/>
    <w:qFormat/>
    <w:rsid w:val="00135309"/>
    <w:pPr>
      <w:keepNext/>
      <w:spacing w:before="240" w:after="0"/>
      <w:outlineLvl w:val="4"/>
    </w:pPr>
    <w:rPr>
      <w:rFonts w:eastAsiaTheme="majorEastAsia" w:cstheme="majorBidi"/>
      <w:i/>
      <w:sz w:val="24"/>
      <w:szCs w:val="22"/>
      <w:lang w:val="en-NZ" w:eastAsia="en-NZ"/>
    </w:rPr>
  </w:style>
  <w:style w:type="paragraph" w:styleId="Heading6">
    <w:name w:val="heading 6"/>
    <w:basedOn w:val="Normal"/>
    <w:next w:val="Normal"/>
    <w:link w:val="Heading6Char"/>
    <w:semiHidden/>
    <w:rsid w:val="00EA64B4"/>
    <w:pPr>
      <w:numPr>
        <w:ilvl w:val="5"/>
        <w:numId w:val="2"/>
      </w:numPr>
      <w:spacing w:before="240" w:line="288" w:lineRule="auto"/>
      <w:outlineLvl w:val="5"/>
    </w:pPr>
    <w:rPr>
      <w:rFonts w:eastAsia="Times New Roman"/>
      <w:b/>
      <w:szCs w:val="20"/>
      <w:lang w:val="en-AU"/>
    </w:rPr>
  </w:style>
  <w:style w:type="paragraph" w:styleId="Heading7">
    <w:name w:val="heading 7"/>
    <w:basedOn w:val="Normal"/>
    <w:next w:val="Normal"/>
    <w:link w:val="Heading7Char"/>
    <w:semiHidden/>
    <w:qFormat/>
    <w:rsid w:val="00EA64B4"/>
    <w:pPr>
      <w:numPr>
        <w:ilvl w:val="6"/>
        <w:numId w:val="2"/>
      </w:numPr>
      <w:spacing w:before="240" w:line="288" w:lineRule="auto"/>
      <w:outlineLvl w:val="6"/>
    </w:pPr>
    <w:rPr>
      <w:rFonts w:eastAsia="Times New Roman"/>
      <w:szCs w:val="20"/>
      <w:lang w:val="en-AU"/>
    </w:rPr>
  </w:style>
  <w:style w:type="paragraph" w:styleId="Heading8">
    <w:name w:val="heading 8"/>
    <w:basedOn w:val="Normal"/>
    <w:next w:val="Normal"/>
    <w:link w:val="Heading8Char"/>
    <w:semiHidden/>
    <w:qFormat/>
    <w:rsid w:val="00EA64B4"/>
    <w:pPr>
      <w:numPr>
        <w:ilvl w:val="7"/>
        <w:numId w:val="2"/>
      </w:numPr>
      <w:spacing w:before="240" w:line="288" w:lineRule="auto"/>
      <w:outlineLvl w:val="7"/>
    </w:pPr>
    <w:rPr>
      <w:rFonts w:eastAsia="Times New Roman"/>
      <w:i/>
      <w:szCs w:val="20"/>
      <w:lang w:val="en-AU"/>
    </w:rPr>
  </w:style>
  <w:style w:type="paragraph" w:styleId="Heading9">
    <w:name w:val="heading 9"/>
    <w:basedOn w:val="Heading1"/>
    <w:next w:val="Normal"/>
    <w:link w:val="Heading9Char"/>
    <w:semiHidden/>
    <w:qFormat/>
    <w:rsid w:val="00EA64B4"/>
    <w:pPr>
      <w:numPr>
        <w:ilvl w:val="8"/>
        <w:numId w:val="2"/>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A47"/>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B046B9"/>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53C84"/>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392A47"/>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135309"/>
    <w:rPr>
      <w:rFonts w:ascii="Calibri" w:eastAsiaTheme="majorEastAsia" w:hAnsi="Calibri" w:cstheme="majorBidi"/>
      <w:i/>
      <w:sz w:val="24"/>
      <w:lang w:eastAsia="en-NZ"/>
    </w:rPr>
  </w:style>
  <w:style w:type="paragraph" w:styleId="BodyText">
    <w:name w:val="Body Text"/>
    <w:basedOn w:val="Normal"/>
    <w:link w:val="BodyTextChar"/>
    <w:qFormat/>
    <w:rsid w:val="00510AF9"/>
    <w:pPr>
      <w:spacing w:before="120" w:after="120"/>
    </w:pPr>
    <w:rPr>
      <w:rFonts w:eastAsiaTheme="minorEastAsia" w:cstheme="minorBidi"/>
      <w:szCs w:val="22"/>
      <w:lang w:val="en-NZ" w:eastAsia="en-NZ"/>
    </w:rPr>
  </w:style>
  <w:style w:type="character" w:customStyle="1" w:styleId="BodyTextChar">
    <w:name w:val="Body Text Char"/>
    <w:basedOn w:val="DefaultParagraphFont"/>
    <w:link w:val="BodyText"/>
    <w:rsid w:val="00510AF9"/>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spacing w:before="120" w:after="120"/>
      <w:jc w:val="center"/>
    </w:pPr>
    <w:rPr>
      <w:rFonts w:ascii="Arial" w:eastAsiaTheme="minorEastAsia" w:hAnsi="Arial" w:cstheme="minorBidi"/>
      <w:sz w:val="16"/>
      <w:szCs w:val="22"/>
      <w:lang w:val="en-NZ" w:eastAsia="en-NZ"/>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392A47"/>
    <w:pPr>
      <w:spacing w:before="60" w:after="60"/>
      <w:ind w:left="567" w:right="567"/>
    </w:pPr>
    <w:rPr>
      <w:rFonts w:eastAsiaTheme="minorEastAsia" w:cstheme="minorBidi"/>
      <w:sz w:val="20"/>
      <w:szCs w:val="22"/>
      <w:lang w:val="en-NZ" w:eastAsia="en-NZ"/>
    </w:rPr>
  </w:style>
  <w:style w:type="character" w:customStyle="1" w:styleId="QuoteChar">
    <w:name w:val="Quote Char"/>
    <w:basedOn w:val="DefaultParagraphFont"/>
    <w:link w:val="Quote"/>
    <w:uiPriority w:val="1"/>
    <w:semiHidden/>
    <w:rsid w:val="00D306AC"/>
    <w:rPr>
      <w:rFonts w:ascii="Calibri" w:eastAsiaTheme="minorEastAsia" w:hAnsi="Calibri"/>
      <w:sz w:val="20"/>
      <w:lang w:eastAsia="en-NZ"/>
    </w:rPr>
  </w:style>
  <w:style w:type="paragraph" w:customStyle="1" w:styleId="Box">
    <w:name w:val="Box"/>
    <w:basedOn w:val="Normal"/>
    <w:uiPriority w:val="99"/>
    <w:semiHidden/>
    <w:qFormat/>
    <w:rsid w:val="00FF78E6"/>
    <w:pPr>
      <w:pBdr>
        <w:top w:val="single" w:sz="4" w:space="15" w:color="D2DDE2"/>
        <w:left w:val="single" w:sz="4" w:space="7" w:color="D2DDE2"/>
        <w:bottom w:val="single" w:sz="4" w:space="15" w:color="D2DDE2"/>
        <w:right w:val="single" w:sz="4" w:space="10" w:color="D2DDE2"/>
      </w:pBdr>
      <w:shd w:val="clear" w:color="auto" w:fill="D2DDE2"/>
      <w:spacing w:before="120" w:after="120"/>
      <w:ind w:left="284" w:right="284"/>
    </w:pPr>
    <w:rPr>
      <w:rFonts w:eastAsiaTheme="minorEastAsia" w:cstheme="minorBidi"/>
      <w:color w:val="1C556C"/>
      <w:sz w:val="20"/>
      <w:szCs w:val="22"/>
      <w:lang w:val="en-NZ" w:eastAsia="en-NZ"/>
    </w:rPr>
  </w:style>
  <w:style w:type="paragraph" w:customStyle="1" w:styleId="Boxbullet">
    <w:name w:val="Box bullet"/>
    <w:basedOn w:val="Boxtext"/>
    <w:uiPriority w:val="1"/>
    <w:qFormat/>
    <w:rsid w:val="000F31D1"/>
    <w:pPr>
      <w:numPr>
        <w:numId w:val="58"/>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392A47"/>
    <w:pPr>
      <w:keepNext/>
      <w:spacing w:before="240" w:after="0"/>
    </w:pPr>
    <w:rPr>
      <w:rFonts w:cs="Times New Roman"/>
      <w:b/>
      <w:sz w:val="22"/>
      <w:szCs w:val="20"/>
    </w:rPr>
  </w:style>
  <w:style w:type="paragraph" w:customStyle="1" w:styleId="Bullet">
    <w:name w:val="Bullet"/>
    <w:basedOn w:val="Normal"/>
    <w:link w:val="BulletChar"/>
    <w:qFormat/>
    <w:rsid w:val="00392A47"/>
    <w:pPr>
      <w:numPr>
        <w:numId w:val="60"/>
      </w:numPr>
      <w:tabs>
        <w:tab w:val="left" w:pos="397"/>
      </w:tabs>
      <w:spacing w:after="120"/>
    </w:pPr>
    <w:rPr>
      <w:rFonts w:eastAsia="Times New Roman"/>
      <w:szCs w:val="20"/>
      <w:lang w:val="en-NZ" w:eastAsia="en-NZ"/>
    </w:rPr>
  </w:style>
  <w:style w:type="paragraph" w:customStyle="1" w:styleId="Heading">
    <w:name w:val="Heading"/>
    <w:basedOn w:val="Heading1"/>
    <w:next w:val="Normal"/>
    <w:uiPriority w:val="3"/>
    <w:rsid w:val="00D97073"/>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392A47"/>
    <w:pPr>
      <w:numPr>
        <w:numId w:val="62"/>
      </w:numPr>
      <w:tabs>
        <w:tab w:val="left" w:pos="794"/>
      </w:tabs>
      <w:spacing w:after="120"/>
    </w:pPr>
    <w:rPr>
      <w:rFonts w:eastAsiaTheme="minorEastAsia" w:cstheme="minorBidi"/>
      <w:szCs w:val="22"/>
      <w:lang w:val="en-NZ" w:eastAsia="en-NZ"/>
    </w:rPr>
  </w:style>
  <w:style w:type="paragraph" w:customStyle="1" w:styleId="Figureheading">
    <w:name w:val="Figure heading"/>
    <w:basedOn w:val="Normal"/>
    <w:next w:val="BodyText"/>
    <w:uiPriority w:val="1"/>
    <w:rsid w:val="00392A47"/>
    <w:pPr>
      <w:keepNext/>
      <w:spacing w:before="120" w:after="120"/>
      <w:ind w:left="1134" w:hanging="1134"/>
    </w:pPr>
    <w:rPr>
      <w:rFonts w:eastAsiaTheme="minorEastAsia" w:cstheme="minorBidi"/>
      <w:b/>
      <w:sz w:val="20"/>
      <w:szCs w:val="22"/>
      <w:lang w:val="en-NZ" w:eastAsia="en-NZ"/>
    </w:rPr>
  </w:style>
  <w:style w:type="character" w:styleId="FootnoteReference">
    <w:name w:val="footnote reference"/>
    <w:semiHidden/>
    <w:rsid w:val="00510AF9"/>
    <w:rPr>
      <w:rFonts w:ascii="Calibri" w:hAnsi="Calibri"/>
      <w:color w:val="auto"/>
      <w:sz w:val="22"/>
      <w:vertAlign w:val="superscript"/>
    </w:rPr>
  </w:style>
  <w:style w:type="paragraph" w:styleId="FootnoteText">
    <w:name w:val="footnote text"/>
    <w:basedOn w:val="Normal"/>
    <w:link w:val="FootnoteTextChar"/>
    <w:uiPriority w:val="99"/>
    <w:rsid w:val="00392A47"/>
    <w:pPr>
      <w:spacing w:after="60" w:line="240" w:lineRule="atLeast"/>
      <w:ind w:left="284" w:hanging="284"/>
    </w:pPr>
    <w:rPr>
      <w:rFonts w:eastAsiaTheme="minorEastAsia" w:cstheme="minorBidi"/>
      <w:sz w:val="19"/>
      <w:szCs w:val="22"/>
      <w:lang w:val="en-NZ" w:eastAsia="en-NZ"/>
    </w:rPr>
  </w:style>
  <w:style w:type="character" w:customStyle="1" w:styleId="FootnoteTextChar">
    <w:name w:val="Footnote Text Char"/>
    <w:basedOn w:val="DefaultParagraphFont"/>
    <w:link w:val="FootnoteText"/>
    <w:uiPriority w:val="99"/>
    <w:rsid w:val="00392A47"/>
    <w:rPr>
      <w:rFonts w:ascii="Calibri" w:eastAsiaTheme="minorEastAsia" w:hAnsi="Calibri"/>
      <w:sz w:val="19"/>
      <w:lang w:eastAsia="en-NZ"/>
    </w:rPr>
  </w:style>
  <w:style w:type="character" w:styleId="Hyperlink">
    <w:name w:val="Hyperlink"/>
    <w:uiPriority w:val="99"/>
    <w:qFormat/>
    <w:rsid w:val="00392A47"/>
    <w:rPr>
      <w:color w:val="32809C"/>
      <w:u w:val="none"/>
    </w:rPr>
  </w:style>
  <w:style w:type="paragraph" w:customStyle="1" w:styleId="Imprint">
    <w:name w:val="Imprint"/>
    <w:basedOn w:val="Normal"/>
    <w:uiPriority w:val="3"/>
    <w:rsid w:val="00392A47"/>
    <w:pPr>
      <w:spacing w:before="120" w:after="120"/>
    </w:pPr>
    <w:rPr>
      <w:rFonts w:eastAsiaTheme="minorEastAsia" w:cstheme="minorBidi"/>
      <w:szCs w:val="22"/>
      <w:lang w:val="en-NZ" w:eastAsia="en-NZ"/>
    </w:rPr>
  </w:style>
  <w:style w:type="paragraph" w:customStyle="1" w:styleId="Note">
    <w:name w:val="Note"/>
    <w:basedOn w:val="BodyText"/>
    <w:next w:val="Normal"/>
    <w:uiPriority w:val="1"/>
    <w:qFormat/>
    <w:rsid w:val="00392A47"/>
    <w:pPr>
      <w:spacing w:line="240" w:lineRule="atLeast"/>
    </w:pPr>
    <w:rPr>
      <w:sz w:val="18"/>
    </w:rPr>
  </w:style>
  <w:style w:type="paragraph" w:customStyle="1" w:styleId="References">
    <w:name w:val="References"/>
    <w:basedOn w:val="Normal"/>
    <w:uiPriority w:val="1"/>
    <w:semiHidden/>
    <w:qFormat/>
    <w:rsid w:val="00392A47"/>
    <w:pPr>
      <w:spacing w:after="120" w:line="260" w:lineRule="atLeast"/>
    </w:pPr>
    <w:rPr>
      <w:rFonts w:eastAsiaTheme="minorEastAsia" w:cstheme="minorBidi"/>
      <w:sz w:val="20"/>
      <w:szCs w:val="22"/>
      <w:lang w:val="en-NZ" w:eastAsia="en-NZ"/>
    </w:rPr>
  </w:style>
  <w:style w:type="paragraph" w:customStyle="1" w:styleId="Source">
    <w:name w:val="Source"/>
    <w:basedOn w:val="Normal"/>
    <w:next w:val="Normal"/>
    <w:uiPriority w:val="1"/>
    <w:semiHidden/>
    <w:qFormat/>
    <w:rsid w:val="00392A47"/>
    <w:pPr>
      <w:tabs>
        <w:tab w:val="left" w:pos="680"/>
      </w:tabs>
      <w:spacing w:before="120" w:after="120" w:line="240" w:lineRule="atLeast"/>
    </w:pPr>
    <w:rPr>
      <w:rFonts w:eastAsiaTheme="minorEastAsia" w:cstheme="minorBidi"/>
      <w:sz w:val="18"/>
      <w:szCs w:val="22"/>
      <w:lang w:val="en-NZ" w:eastAsia="en-NZ"/>
    </w:rPr>
  </w:style>
  <w:style w:type="paragraph" w:styleId="Title">
    <w:name w:val="Title"/>
    <w:basedOn w:val="Normal"/>
    <w:link w:val="TitleChar"/>
    <w:uiPriority w:val="2"/>
    <w:semiHidden/>
    <w:rsid w:val="00392A47"/>
    <w:pPr>
      <w:spacing w:before="120" w:after="120" w:line="360" w:lineRule="auto"/>
      <w:jc w:val="center"/>
    </w:pPr>
    <w:rPr>
      <w:rFonts w:ascii="Georgia" w:eastAsiaTheme="minorEastAsia" w:hAnsi="Georgia" w:cstheme="minorBidi"/>
      <w:b/>
      <w:color w:val="1B556B"/>
      <w:sz w:val="56"/>
      <w:szCs w:val="22"/>
      <w:lang w:val="en-NZ" w:eastAsia="en-NZ"/>
    </w:rPr>
  </w:style>
  <w:style w:type="character" w:customStyle="1" w:styleId="TitleChar">
    <w:name w:val="Title Char"/>
    <w:basedOn w:val="DefaultParagraphFont"/>
    <w:link w:val="Title"/>
    <w:uiPriority w:val="2"/>
    <w:semiHidden/>
    <w:rsid w:val="00D306AC"/>
    <w:rPr>
      <w:rFonts w:ascii="Georgia" w:eastAsiaTheme="minorEastAsia" w:hAnsi="Georgia"/>
      <w:b/>
      <w:color w:val="1B556B"/>
      <w:sz w:val="56"/>
      <w:lang w:eastAsia="en-NZ"/>
    </w:rPr>
  </w:style>
  <w:style w:type="paragraph" w:styleId="Subtitle">
    <w:name w:val="Subtitle"/>
    <w:basedOn w:val="Title"/>
    <w:link w:val="SubtitleChar"/>
    <w:uiPriority w:val="2"/>
    <w:semiHidden/>
    <w:rsid w:val="00392A47"/>
    <w:pPr>
      <w:spacing w:before="600" w:line="240" w:lineRule="auto"/>
    </w:pPr>
    <w:rPr>
      <w:sz w:val="36"/>
      <w:szCs w:val="36"/>
    </w:rPr>
  </w:style>
  <w:style w:type="character" w:customStyle="1" w:styleId="SubtitleChar">
    <w:name w:val="Subtitle Char"/>
    <w:basedOn w:val="DefaultParagraphFont"/>
    <w:link w:val="Subtitle"/>
    <w:uiPriority w:val="2"/>
    <w:semiHidden/>
    <w:rsid w:val="00D306AC"/>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C447D4"/>
    <w:pPr>
      <w:keepNext/>
      <w:spacing w:before="120" w:after="120" w:line="260" w:lineRule="atLeast"/>
      <w:ind w:left="1134" w:hanging="1134"/>
    </w:pPr>
    <w:rPr>
      <w:rFonts w:eastAsiaTheme="minorEastAsia" w:cstheme="minorBidi"/>
      <w:b/>
      <w:sz w:val="20"/>
      <w:szCs w:val="22"/>
      <w:lang w:val="en-NZ" w:eastAsia="en-NZ"/>
    </w:rPr>
  </w:style>
  <w:style w:type="paragraph" w:customStyle="1" w:styleId="TableText">
    <w:name w:val="TableText"/>
    <w:basedOn w:val="Normal"/>
    <w:qFormat/>
    <w:rsid w:val="00392A47"/>
    <w:pPr>
      <w:spacing w:before="60" w:after="60" w:line="240" w:lineRule="atLeast"/>
    </w:pPr>
    <w:rPr>
      <w:rFonts w:eastAsiaTheme="minorEastAsia" w:cstheme="minorBidi"/>
      <w:sz w:val="18"/>
      <w:szCs w:val="22"/>
      <w:lang w:val="en-NZ" w:eastAsia="en-NZ"/>
    </w:rPr>
  </w:style>
  <w:style w:type="paragraph" w:customStyle="1" w:styleId="TableTextbold">
    <w:name w:val="TableText bold"/>
    <w:basedOn w:val="TableText"/>
    <w:rsid w:val="00392A47"/>
    <w:rPr>
      <w:b/>
    </w:rPr>
  </w:style>
  <w:style w:type="paragraph" w:styleId="TOC1">
    <w:name w:val="toc 1"/>
    <w:basedOn w:val="Normal"/>
    <w:next w:val="Normal"/>
    <w:uiPriority w:val="39"/>
    <w:rsid w:val="005F4E01"/>
    <w:pPr>
      <w:tabs>
        <w:tab w:val="right" w:pos="8505"/>
      </w:tabs>
      <w:spacing w:before="240" w:after="0"/>
      <w:ind w:left="567" w:right="567" w:hanging="567"/>
    </w:pPr>
    <w:rPr>
      <w:rFonts w:eastAsiaTheme="minorEastAsia" w:cstheme="minorBidi"/>
      <w:szCs w:val="22"/>
      <w:lang w:val="en-NZ" w:eastAsia="en-NZ"/>
    </w:rPr>
  </w:style>
  <w:style w:type="paragraph" w:styleId="TOC2">
    <w:name w:val="toc 2"/>
    <w:basedOn w:val="Normal"/>
    <w:next w:val="Normal"/>
    <w:uiPriority w:val="39"/>
    <w:rsid w:val="005F4E01"/>
    <w:pPr>
      <w:tabs>
        <w:tab w:val="left" w:pos="1134"/>
        <w:tab w:val="right" w:pos="8505"/>
      </w:tabs>
      <w:spacing w:before="60" w:after="40"/>
      <w:ind w:left="1134" w:right="567" w:hanging="567"/>
    </w:pPr>
    <w:rPr>
      <w:rFonts w:eastAsiaTheme="minorEastAsia" w:cstheme="minorBidi"/>
      <w:noProof/>
      <w:szCs w:val="22"/>
      <w:lang w:val="en-NZ" w:eastAsia="en-NZ"/>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392A47"/>
    <w:pPr>
      <w:tabs>
        <w:tab w:val="left" w:pos="2835"/>
      </w:tabs>
      <w:spacing w:before="120"/>
    </w:pPr>
    <w:rPr>
      <w:rFonts w:eastAsiaTheme="minorEastAsia" w:cstheme="minorBidi"/>
      <w:szCs w:val="22"/>
      <w:lang w:val="en-NZ" w:eastAsia="en-NZ"/>
    </w:rPr>
  </w:style>
  <w:style w:type="paragraph" w:customStyle="1" w:styleId="Footerodd">
    <w:name w:val="Footer odd"/>
    <w:basedOn w:val="Normal"/>
    <w:uiPriority w:val="2"/>
    <w:rsid w:val="00392A47"/>
    <w:pPr>
      <w:tabs>
        <w:tab w:val="right" w:pos="7938"/>
        <w:tab w:val="right" w:pos="8505"/>
      </w:tabs>
      <w:spacing w:before="120" w:after="120"/>
    </w:pPr>
    <w:rPr>
      <w:rFonts w:eastAsiaTheme="minorEastAsia" w:cstheme="minorBidi"/>
      <w:sz w:val="16"/>
      <w:szCs w:val="22"/>
      <w:lang w:val="en-NZ" w:eastAsia="en-NZ"/>
    </w:rPr>
  </w:style>
  <w:style w:type="paragraph" w:customStyle="1" w:styleId="Footereven">
    <w:name w:val="Footer even"/>
    <w:basedOn w:val="Normal"/>
    <w:uiPriority w:val="2"/>
    <w:rsid w:val="00392A47"/>
    <w:pPr>
      <w:tabs>
        <w:tab w:val="left" w:pos="567"/>
      </w:tabs>
      <w:spacing w:before="120" w:after="120"/>
    </w:pPr>
    <w:rPr>
      <w:rFonts w:eastAsiaTheme="minorEastAsia" w:cstheme="minorBidi"/>
      <w:sz w:val="16"/>
      <w:szCs w:val="22"/>
      <w:lang w:val="en-NZ" w:eastAsia="en-NZ"/>
    </w:rPr>
  </w:style>
  <w:style w:type="paragraph" w:customStyle="1" w:styleId="Numberedparagraph">
    <w:name w:val="Numbered paragraph"/>
    <w:basedOn w:val="Normal"/>
    <w:uiPriority w:val="1"/>
    <w:qFormat/>
    <w:rsid w:val="00392A47"/>
    <w:pPr>
      <w:spacing w:after="120"/>
    </w:pPr>
    <w:rPr>
      <w:rFonts w:eastAsiaTheme="minorEastAsia" w:cstheme="minorBidi"/>
      <w:szCs w:val="22"/>
      <w:lang w:val="en-NZ" w:eastAsia="en-NZ"/>
    </w:rPr>
  </w:style>
  <w:style w:type="paragraph" w:customStyle="1" w:styleId="Sub-lista">
    <w:name w:val="Sub-list a"/>
    <w:aliases w:val="b"/>
    <w:basedOn w:val="Normal"/>
    <w:uiPriority w:val="2"/>
    <w:semiHidden/>
    <w:rsid w:val="00392A47"/>
    <w:pPr>
      <w:numPr>
        <w:numId w:val="63"/>
      </w:numPr>
      <w:spacing w:after="120"/>
    </w:pPr>
    <w:rPr>
      <w:rFonts w:eastAsiaTheme="minorEastAsia" w:cstheme="minorBidi"/>
      <w:szCs w:val="22"/>
      <w:lang w:val="en-NZ" w:eastAsia="en-NZ"/>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206E30"/>
    <w:pPr>
      <w:tabs>
        <w:tab w:val="left" w:pos="1320"/>
        <w:tab w:val="right" w:pos="8494"/>
      </w:tabs>
      <w:spacing w:before="120" w:after="120"/>
      <w:ind w:left="440"/>
    </w:pPr>
    <w:rPr>
      <w:rFonts w:eastAsiaTheme="minorEastAsia" w:cstheme="minorBidi"/>
      <w:szCs w:val="22"/>
      <w:lang w:val="en-NZ" w:eastAsia="en-NZ"/>
    </w:rPr>
  </w:style>
  <w:style w:type="paragraph" w:styleId="TableofFigures">
    <w:name w:val="table of figures"/>
    <w:basedOn w:val="Normal"/>
    <w:next w:val="Normal"/>
    <w:uiPriority w:val="99"/>
    <w:rsid w:val="00A9303E"/>
    <w:pPr>
      <w:spacing w:after="100"/>
      <w:ind w:left="1134" w:right="567" w:hanging="1134"/>
    </w:pPr>
    <w:rPr>
      <w:rFonts w:eastAsiaTheme="minorEastAsia" w:cstheme="minorBidi"/>
      <w:szCs w:val="22"/>
      <w:lang w:val="en-NZ" w:eastAsia="en-NZ"/>
    </w:rPr>
  </w:style>
  <w:style w:type="paragraph" w:customStyle="1" w:styleId="Sub-listi">
    <w:name w:val="Sub-list i"/>
    <w:aliases w:val="ii"/>
    <w:basedOn w:val="BodyText"/>
    <w:rsid w:val="00392A47"/>
    <w:pPr>
      <w:numPr>
        <w:numId w:val="64"/>
      </w:numPr>
      <w:spacing w:before="60" w:after="60"/>
    </w:pPr>
  </w:style>
  <w:style w:type="paragraph" w:customStyle="1" w:styleId="TableBullet">
    <w:name w:val="TableBullet"/>
    <w:basedOn w:val="Normal"/>
    <w:qFormat/>
    <w:rsid w:val="00392A47"/>
    <w:pPr>
      <w:numPr>
        <w:numId w:val="65"/>
      </w:numPr>
      <w:spacing w:after="60" w:line="240" w:lineRule="atLeast"/>
    </w:pPr>
    <w:rPr>
      <w:rFonts w:eastAsiaTheme="minorEastAsia" w:cs="Arial"/>
      <w:sz w:val="18"/>
      <w:szCs w:val="16"/>
      <w:lang w:val="en-NZ" w:eastAsia="en-NZ"/>
    </w:rPr>
  </w:style>
  <w:style w:type="paragraph" w:customStyle="1" w:styleId="TableDash">
    <w:name w:val="TableDash"/>
    <w:basedOn w:val="TableBullet"/>
    <w:qFormat/>
    <w:rsid w:val="00392A47"/>
    <w:pPr>
      <w:numPr>
        <w:numId w:val="66"/>
      </w:numPr>
    </w:pPr>
  </w:style>
  <w:style w:type="paragraph" w:styleId="ListParagraph">
    <w:name w:val="List Paragraph"/>
    <w:basedOn w:val="Normal"/>
    <w:uiPriority w:val="34"/>
    <w:semiHidden/>
    <w:qFormat/>
    <w:rsid w:val="00EA64B4"/>
    <w:pPr>
      <w:ind w:left="720"/>
      <w:contextualSpacing/>
    </w:pPr>
    <w:rPr>
      <w:rFonts w:eastAsiaTheme="minorEastAsia" w:cstheme="minorBidi"/>
      <w:szCs w:val="20"/>
      <w:lang w:val="en-NZ" w:eastAsia="en-GB"/>
    </w:rPr>
  </w:style>
  <w:style w:type="paragraph" w:styleId="CommentSubject">
    <w:name w:val="annotation subject"/>
    <w:basedOn w:val="Normal"/>
    <w:link w:val="CommentSubjectChar"/>
    <w:uiPriority w:val="99"/>
    <w:semiHidden/>
    <w:rsid w:val="00E21ACA"/>
    <w:pPr>
      <w:spacing w:before="120" w:after="120"/>
    </w:pPr>
    <w:rPr>
      <w:rFonts w:eastAsiaTheme="minorEastAsia" w:cstheme="minorBidi"/>
      <w:b/>
      <w:bCs/>
      <w:sz w:val="20"/>
      <w:szCs w:val="22"/>
      <w:lang w:val="en-NZ" w:eastAsia="en-NZ"/>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pPr>
      <w:spacing w:before="120" w:after="120"/>
    </w:pPr>
    <w:rPr>
      <w:rFonts w:ascii="Tahoma" w:eastAsiaTheme="minorEastAsia" w:hAnsi="Tahoma" w:cstheme="minorBidi"/>
      <w:sz w:val="16"/>
      <w:szCs w:val="16"/>
      <w:lang w:val="en-NZ" w:eastAsia="en-NZ"/>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3C6452"/>
    <w:pPr>
      <w:spacing w:after="0" w:line="240" w:lineRule="auto"/>
    </w:pPr>
    <w:tblPr>
      <w:tblStyleRowBandSize w:val="1"/>
      <w:tblStyleColBandSize w:val="1"/>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7"/>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392A47"/>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Calibri" w:eastAsia="Times New Roman" w:hAnsi="Calibri" w:cs="Times New Roman"/>
      <w:b/>
      <w:szCs w:val="20"/>
      <w:lang w:val="en-AU"/>
    </w:rPr>
  </w:style>
  <w:style w:type="character" w:customStyle="1" w:styleId="Heading7Char">
    <w:name w:val="Heading 7 Char"/>
    <w:basedOn w:val="DefaultParagraphFont"/>
    <w:link w:val="Heading7"/>
    <w:semiHidden/>
    <w:rsid w:val="00EA64B4"/>
    <w:rPr>
      <w:rFonts w:ascii="Calibri" w:eastAsia="Times New Roman" w:hAnsi="Calibri" w:cs="Times New Roman"/>
      <w:szCs w:val="20"/>
      <w:lang w:val="en-AU"/>
    </w:rPr>
  </w:style>
  <w:style w:type="character" w:customStyle="1" w:styleId="Heading8Char">
    <w:name w:val="Heading 8 Char"/>
    <w:basedOn w:val="DefaultParagraphFont"/>
    <w:link w:val="Heading8"/>
    <w:semiHidden/>
    <w:rsid w:val="00EA64B4"/>
    <w:rPr>
      <w:rFonts w:ascii="Calibri" w:eastAsia="Times New Roman" w:hAnsi="Calibri" w:cs="Times New Roman"/>
      <w:i/>
      <w:szCs w:val="20"/>
      <w:lang w:val="en-AU"/>
    </w:rPr>
  </w:style>
  <w:style w:type="character" w:customStyle="1" w:styleId="Heading9Char">
    <w:name w:val="Heading 9 Char"/>
    <w:basedOn w:val="DefaultParagraphFont"/>
    <w:link w:val="Heading9"/>
    <w:semiHidden/>
    <w:rsid w:val="00EA64B4"/>
    <w:rPr>
      <w:rFonts w:ascii="Arial" w:eastAsiaTheme="majorEastAsia" w:hAnsi="Arial" w:cstheme="majorBidi"/>
      <w:b/>
      <w:color w:val="FFFFFF"/>
      <w:kern w:val="28"/>
      <w:sz w:val="2"/>
      <w:szCs w:val="20"/>
      <w:lang w:val="en-AU"/>
    </w:rPr>
  </w:style>
  <w:style w:type="paragraph" w:styleId="TOC4">
    <w:name w:val="toc 4"/>
    <w:basedOn w:val="Normal"/>
    <w:next w:val="Normal"/>
    <w:semiHidden/>
    <w:rsid w:val="00EA64B4"/>
    <w:pPr>
      <w:tabs>
        <w:tab w:val="right" w:pos="8505"/>
      </w:tabs>
      <w:spacing w:before="180"/>
      <w:ind w:left="1134" w:right="567" w:hanging="1134"/>
    </w:pPr>
    <w:rPr>
      <w:rFonts w:ascii="Arial" w:eastAsia="Times New Roman" w:hAnsi="Arial"/>
      <w:sz w:val="20"/>
      <w:szCs w:val="20"/>
      <w:lang w:val="en-NZ" w:eastAsia="en-GB"/>
    </w:rPr>
  </w:style>
  <w:style w:type="paragraph" w:styleId="Caption">
    <w:name w:val="caption"/>
    <w:basedOn w:val="Normal"/>
    <w:next w:val="Normal"/>
    <w:uiPriority w:val="35"/>
    <w:semiHidden/>
    <w:qFormat/>
    <w:rsid w:val="00360326"/>
    <w:pPr>
      <w:spacing w:before="120" w:after="120"/>
    </w:pPr>
    <w:rPr>
      <w:rFonts w:eastAsia="Times New Roman"/>
      <w:b/>
      <w:bCs/>
      <w:sz w:val="18"/>
      <w:szCs w:val="18"/>
    </w:rPr>
  </w:style>
  <w:style w:type="character" w:customStyle="1" w:styleId="BulletChar">
    <w:name w:val="Bullet Char"/>
    <w:basedOn w:val="DefaultParagraphFont"/>
    <w:link w:val="Bullet"/>
    <w:locked/>
    <w:rsid w:val="00392A47"/>
    <w:rPr>
      <w:rFonts w:ascii="Calibri" w:eastAsia="Times New Roman" w:hAnsi="Calibri" w:cs="Times New Roman"/>
      <w:szCs w:val="20"/>
      <w:lang w:eastAsia="en-NZ"/>
    </w:rPr>
  </w:style>
  <w:style w:type="paragraph" w:customStyle="1" w:styleId="Casestudyheading">
    <w:name w:val="Case study heading"/>
    <w:basedOn w:val="BodyText"/>
    <w:uiPriority w:val="3"/>
    <w:qFormat/>
    <w:rsid w:val="00953BE9"/>
    <w:pPr>
      <w:keepNext/>
      <w:spacing w:before="80" w:after="80"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5"/>
      </w:numPr>
    </w:pPr>
  </w:style>
  <w:style w:type="numbering" w:customStyle="1" w:styleId="Style2">
    <w:name w:val="Style2"/>
    <w:uiPriority w:val="99"/>
    <w:rsid w:val="008E0688"/>
    <w:pPr>
      <w:numPr>
        <w:numId w:val="6"/>
      </w:numPr>
    </w:pPr>
  </w:style>
  <w:style w:type="paragraph" w:customStyle="1" w:styleId="Greenbullet-casestudytables">
    <w:name w:val="Green bullet - case study tables"/>
    <w:basedOn w:val="Greentext-casestudytables"/>
    <w:uiPriority w:val="3"/>
    <w:semiHidden/>
    <w:rsid w:val="00C15722"/>
    <w:pPr>
      <w:numPr>
        <w:numId w:val="3"/>
      </w:numPr>
      <w:spacing w:before="0"/>
    </w:pPr>
  </w:style>
  <w:style w:type="paragraph" w:customStyle="1" w:styleId="Greentext-casestudytables">
    <w:name w:val="Green text - case study tables"/>
    <w:basedOn w:val="BodyText"/>
    <w:uiPriority w:val="3"/>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3"/>
    <w:semiHidden/>
    <w:rsid w:val="0051754D"/>
    <w:pPr>
      <w:keepNext/>
      <w:spacing w:before="240" w:after="0"/>
    </w:pPr>
    <w:rPr>
      <w:rFonts w:eastAsia="Times New Roman"/>
      <w:b/>
    </w:rPr>
  </w:style>
  <w:style w:type="numbering" w:customStyle="1" w:styleId="Style3">
    <w:name w:val="Style3"/>
    <w:uiPriority w:val="99"/>
    <w:rsid w:val="008B5A2D"/>
    <w:pPr>
      <w:numPr>
        <w:numId w:val="8"/>
      </w:numPr>
    </w:pPr>
  </w:style>
  <w:style w:type="paragraph" w:customStyle="1" w:styleId="Blueboxtext">
    <w:name w:val="Blue box text"/>
    <w:basedOn w:val="Normal"/>
    <w:uiPriority w:val="1"/>
    <w:semiHidden/>
    <w:qFormat/>
    <w:rsid w:val="00A30347"/>
    <w:pPr>
      <w:spacing w:before="120" w:after="120" w:line="260" w:lineRule="atLeast"/>
      <w:ind w:left="284" w:right="284"/>
    </w:pPr>
    <w:rPr>
      <w:rFonts w:eastAsiaTheme="minorEastAsia"/>
      <w:color w:val="1C556C"/>
      <w:sz w:val="20"/>
      <w:szCs w:val="20"/>
      <w:lang w:val="en-NZ" w:eastAsia="en-NZ"/>
    </w:rPr>
  </w:style>
  <w:style w:type="paragraph" w:customStyle="1" w:styleId="Blue-boxbullet">
    <w:name w:val="Blue-box bullet"/>
    <w:basedOn w:val="Blueboxtext"/>
    <w:uiPriority w:val="1"/>
    <w:semiHidden/>
    <w:qFormat/>
    <w:rsid w:val="009E354C"/>
    <w:pPr>
      <w:numPr>
        <w:numId w:val="10"/>
      </w:numPr>
      <w:tabs>
        <w:tab w:val="left" w:pos="680"/>
      </w:tabs>
      <w:spacing w:before="0"/>
    </w:pPr>
  </w:style>
  <w:style w:type="paragraph" w:customStyle="1" w:styleId="Blueboxheading">
    <w:name w:val="Blue box heading"/>
    <w:basedOn w:val="Blueboxtext"/>
    <w:next w:val="Blueboxtext"/>
    <w:uiPriority w:val="1"/>
    <w:semiHidden/>
    <w:qFormat/>
    <w:rsid w:val="007823D6"/>
    <w:pPr>
      <w:keepNext/>
      <w:spacing w:before="240" w:after="0"/>
    </w:pPr>
    <w:rPr>
      <w:b/>
    </w:rPr>
  </w:style>
  <w:style w:type="paragraph" w:customStyle="1" w:styleId="Blue-boxsub-bullet">
    <w:name w:val="Blue-box sub-bullet"/>
    <w:basedOn w:val="Blueboxtext"/>
    <w:uiPriority w:val="1"/>
    <w:semiHidden/>
    <w:qFormat/>
    <w:rsid w:val="00DA6A47"/>
    <w:pPr>
      <w:spacing w:before="0"/>
      <w:ind w:left="0"/>
    </w:pPr>
  </w:style>
  <w:style w:type="paragraph" w:customStyle="1" w:styleId="Greensub-bullet-casestudytables">
    <w:name w:val="Green sub-bullet - case study tables"/>
    <w:basedOn w:val="Greentext-casestudytables"/>
    <w:uiPriority w:val="3"/>
    <w:semiHidden/>
    <w:qFormat/>
    <w:rsid w:val="00C15722"/>
    <w:pPr>
      <w:numPr>
        <w:numId w:val="4"/>
      </w:numPr>
      <w:spacing w:before="0"/>
    </w:pPr>
  </w:style>
  <w:style w:type="paragraph" w:customStyle="1" w:styleId="Default">
    <w:name w:val="Default"/>
    <w:semiHidden/>
    <w:rsid w:val="00C9459C"/>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rsid w:val="00732750"/>
    <w:pPr>
      <w:spacing w:before="120" w:after="120"/>
    </w:pPr>
    <w:rPr>
      <w:rFonts w:eastAsiaTheme="minorEastAsia" w:cstheme="minorBidi"/>
      <w:sz w:val="20"/>
      <w:szCs w:val="20"/>
      <w:lang w:val="en-NZ" w:eastAsia="en-NZ"/>
    </w:rPr>
  </w:style>
  <w:style w:type="character" w:customStyle="1" w:styleId="CommentTextChar">
    <w:name w:val="Comment Text Char"/>
    <w:basedOn w:val="DefaultParagraphFont"/>
    <w:link w:val="CommentText"/>
    <w:uiPriority w:val="99"/>
    <w:semiHidden/>
    <w:rsid w:val="00D306AC"/>
    <w:rPr>
      <w:rFonts w:ascii="Calibri" w:eastAsiaTheme="minorEastAsia" w:hAnsi="Calibri"/>
      <w:sz w:val="20"/>
      <w:szCs w:val="20"/>
      <w:lang w:eastAsia="en-NZ"/>
    </w:rPr>
  </w:style>
  <w:style w:type="table" w:styleId="LightList-Accent2">
    <w:name w:val="Light List Accent 2"/>
    <w:basedOn w:val="TableNormal"/>
    <w:uiPriority w:val="61"/>
    <w:rsid w:val="00023637"/>
    <w:pPr>
      <w:spacing w:after="0" w:line="240" w:lineRule="auto"/>
    </w:pPr>
    <w:tblPr>
      <w:tblStyleRowBandSize w:val="1"/>
      <w:tblStyleColBandSize w:val="1"/>
      <w:tblBorders>
        <w:top w:val="single" w:sz="8" w:space="0" w:color="32809C" w:themeColor="accent2"/>
        <w:left w:val="single" w:sz="8" w:space="0" w:color="32809C" w:themeColor="accent2"/>
        <w:bottom w:val="single" w:sz="8" w:space="0" w:color="32809C" w:themeColor="accent2"/>
        <w:right w:val="single" w:sz="8" w:space="0" w:color="32809C" w:themeColor="accent2"/>
      </w:tblBorders>
    </w:tblPr>
    <w:tblStylePr w:type="firstRow">
      <w:pPr>
        <w:spacing w:before="0" w:after="0" w:line="240" w:lineRule="auto"/>
      </w:pPr>
      <w:rPr>
        <w:b/>
        <w:bCs/>
        <w:color w:val="FFFFFF" w:themeColor="background1"/>
      </w:rPr>
      <w:tblPr/>
      <w:tcPr>
        <w:shd w:val="clear" w:color="auto" w:fill="32809C" w:themeFill="accent2"/>
      </w:tcPr>
    </w:tblStylePr>
    <w:tblStylePr w:type="lastRow">
      <w:pPr>
        <w:spacing w:before="0" w:after="0" w:line="240" w:lineRule="auto"/>
      </w:pPr>
      <w:rPr>
        <w:b/>
        <w:bCs/>
      </w:rPr>
      <w:tblPr/>
      <w:tcPr>
        <w:tcBorders>
          <w:top w:val="double" w:sz="6" w:space="0" w:color="32809C" w:themeColor="accent2"/>
          <w:left w:val="single" w:sz="8" w:space="0" w:color="32809C" w:themeColor="accent2"/>
          <w:bottom w:val="single" w:sz="8" w:space="0" w:color="32809C" w:themeColor="accent2"/>
          <w:right w:val="single" w:sz="8" w:space="0" w:color="32809C" w:themeColor="accent2"/>
        </w:tcBorders>
      </w:tcPr>
    </w:tblStylePr>
    <w:tblStylePr w:type="firstCol">
      <w:rPr>
        <w:b/>
        <w:bCs/>
      </w:rPr>
    </w:tblStylePr>
    <w:tblStylePr w:type="lastCol">
      <w:rPr>
        <w:b/>
        <w:bCs/>
      </w:rPr>
    </w:tblStylePr>
    <w:tblStylePr w:type="band1Vert">
      <w:tblPr/>
      <w:tcPr>
        <w:tcBorders>
          <w:top w:val="single" w:sz="8" w:space="0" w:color="32809C" w:themeColor="accent2"/>
          <w:left w:val="single" w:sz="8" w:space="0" w:color="32809C" w:themeColor="accent2"/>
          <w:bottom w:val="single" w:sz="8" w:space="0" w:color="32809C" w:themeColor="accent2"/>
          <w:right w:val="single" w:sz="8" w:space="0" w:color="32809C" w:themeColor="accent2"/>
        </w:tcBorders>
      </w:tcPr>
    </w:tblStylePr>
    <w:tblStylePr w:type="band1Horz">
      <w:tblPr/>
      <w:tcPr>
        <w:tcBorders>
          <w:top w:val="single" w:sz="8" w:space="0" w:color="32809C" w:themeColor="accent2"/>
          <w:left w:val="single" w:sz="8" w:space="0" w:color="32809C" w:themeColor="accent2"/>
          <w:bottom w:val="single" w:sz="8" w:space="0" w:color="32809C" w:themeColor="accent2"/>
          <w:right w:val="single" w:sz="8" w:space="0" w:color="32809C" w:themeColor="accent2"/>
        </w:tcBorders>
      </w:tcPr>
    </w:tblStylePr>
  </w:style>
  <w:style w:type="paragraph" w:styleId="NoSpacing">
    <w:name w:val="No Spacing"/>
    <w:uiPriority w:val="1"/>
    <w:semiHidden/>
    <w:qFormat/>
    <w:rsid w:val="00AF35E9"/>
    <w:pPr>
      <w:spacing w:after="0" w:line="240" w:lineRule="auto"/>
    </w:pPr>
  </w:style>
  <w:style w:type="character" w:styleId="PlaceholderText">
    <w:name w:val="Placeholder Text"/>
    <w:basedOn w:val="DefaultParagraphFont"/>
    <w:uiPriority w:val="99"/>
    <w:semiHidden/>
    <w:rsid w:val="00975A88"/>
    <w:rPr>
      <w:color w:val="808080"/>
    </w:rPr>
  </w:style>
  <w:style w:type="character" w:styleId="UnresolvedMention">
    <w:name w:val="Unresolved Mention"/>
    <w:basedOn w:val="DefaultParagraphFont"/>
    <w:uiPriority w:val="99"/>
    <w:semiHidden/>
    <w:unhideWhenUsed/>
    <w:rsid w:val="001F3124"/>
    <w:rPr>
      <w:color w:val="605E5C"/>
      <w:shd w:val="clear" w:color="auto" w:fill="E1DFDD"/>
    </w:rPr>
  </w:style>
  <w:style w:type="table" w:styleId="LightList-Accent1">
    <w:name w:val="Light List Accent 1"/>
    <w:aliases w:val="mfe"/>
    <w:basedOn w:val="TableNormal"/>
    <w:uiPriority w:val="61"/>
    <w:rsid w:val="00E02CE6"/>
    <w:pPr>
      <w:spacing w:after="0" w:line="240" w:lineRule="auto"/>
    </w:pPr>
    <w:tblPr>
      <w:tblStyleRowBandSize w:val="1"/>
      <w:tblStyleColBandSize w:val="1"/>
      <w:tblBorders>
        <w:top w:val="single" w:sz="8" w:space="0" w:color="1C556C" w:themeColor="accent1"/>
        <w:bottom w:val="single" w:sz="8" w:space="0" w:color="1C556C" w:themeColor="accent1"/>
        <w:insideH w:val="single" w:sz="4" w:space="0" w:color="1C556C" w:themeColor="accent1"/>
        <w:insideV w:val="single" w:sz="4"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customStyle="1" w:styleId="UnresolvedMention1">
    <w:name w:val="Unresolved Mention1"/>
    <w:basedOn w:val="DefaultParagraphFont"/>
    <w:uiPriority w:val="99"/>
    <w:semiHidden/>
    <w:unhideWhenUsed/>
    <w:rsid w:val="00F179CE"/>
    <w:rPr>
      <w:color w:val="605E5C"/>
      <w:shd w:val="clear" w:color="auto" w:fill="E1DFDD"/>
    </w:rPr>
  </w:style>
  <w:style w:type="character" w:customStyle="1" w:styleId="UnresolvedMention2">
    <w:name w:val="Unresolved Mention2"/>
    <w:basedOn w:val="DefaultParagraphFont"/>
    <w:uiPriority w:val="99"/>
    <w:semiHidden/>
    <w:unhideWhenUsed/>
    <w:rsid w:val="00AC697B"/>
    <w:rPr>
      <w:color w:val="605E5C"/>
      <w:shd w:val="clear" w:color="auto" w:fill="E1DFDD"/>
    </w:rPr>
  </w:style>
  <w:style w:type="table" w:customStyle="1" w:styleId="mfebox">
    <w:name w:val="mfebox"/>
    <w:basedOn w:val="TableNormal"/>
    <w:uiPriority w:val="99"/>
    <w:rsid w:val="00AC697B"/>
    <w:pPr>
      <w:spacing w:after="0" w:line="240" w:lineRule="auto"/>
    </w:pPr>
    <w:tblPr/>
    <w:tcPr>
      <w:shd w:val="clear" w:color="auto" w:fill="D5EBE8" w:themeFill="accent3"/>
    </w:tcPr>
  </w:style>
  <w:style w:type="character" w:customStyle="1" w:styleId="UnresolvedMention20">
    <w:name w:val="Unresolved Mention20"/>
    <w:basedOn w:val="DefaultParagraphFont"/>
    <w:uiPriority w:val="99"/>
    <w:semiHidden/>
    <w:unhideWhenUsed/>
    <w:rsid w:val="000C3AE5"/>
    <w:rPr>
      <w:color w:val="605E5C"/>
      <w:shd w:val="clear" w:color="auto" w:fill="E1DFDD"/>
    </w:rPr>
  </w:style>
  <w:style w:type="paragraph" w:customStyle="1" w:styleId="Boxtext">
    <w:name w:val="Box text"/>
    <w:basedOn w:val="Normal"/>
    <w:uiPriority w:val="1"/>
    <w:qFormat/>
    <w:rsid w:val="00392A47"/>
    <w:pPr>
      <w:spacing w:before="120" w:after="120" w:line="260" w:lineRule="atLeast"/>
      <w:ind w:left="284" w:right="284"/>
    </w:pPr>
    <w:rPr>
      <w:rFonts w:eastAsiaTheme="minorEastAsia" w:cstheme="minorBidi"/>
      <w:color w:val="1B556B"/>
      <w:sz w:val="20"/>
      <w:szCs w:val="22"/>
      <w:lang w:val="en-NZ" w:eastAsia="en-NZ"/>
    </w:rPr>
  </w:style>
  <w:style w:type="paragraph" w:styleId="NormalWeb">
    <w:name w:val="Normal (Web)"/>
    <w:basedOn w:val="Normal"/>
    <w:uiPriority w:val="99"/>
    <w:semiHidden/>
    <w:unhideWhenUsed/>
    <w:rsid w:val="00CD7CE0"/>
    <w:pPr>
      <w:spacing w:before="100" w:beforeAutospacing="1" w:after="100" w:afterAutospacing="1"/>
    </w:pPr>
    <w:rPr>
      <w:rFonts w:eastAsia="Times New Roman"/>
    </w:rPr>
  </w:style>
  <w:style w:type="character" w:customStyle="1" w:styleId="UnresolvedMention3">
    <w:name w:val="Unresolved Mention3"/>
    <w:basedOn w:val="DefaultParagraphFont"/>
    <w:uiPriority w:val="99"/>
    <w:semiHidden/>
    <w:unhideWhenUsed/>
    <w:rsid w:val="002E377E"/>
    <w:rPr>
      <w:color w:val="605E5C"/>
      <w:shd w:val="clear" w:color="auto" w:fill="E1DFDD"/>
    </w:rPr>
  </w:style>
  <w:style w:type="character" w:customStyle="1" w:styleId="UnresolvedMention4">
    <w:name w:val="Unresolved Mention4"/>
    <w:basedOn w:val="DefaultParagraphFont"/>
    <w:uiPriority w:val="99"/>
    <w:semiHidden/>
    <w:unhideWhenUsed/>
    <w:rsid w:val="0061415B"/>
    <w:rPr>
      <w:color w:val="605E5C"/>
      <w:shd w:val="clear" w:color="auto" w:fill="E1DFDD"/>
    </w:rPr>
  </w:style>
  <w:style w:type="table" w:customStyle="1" w:styleId="PlainTable21">
    <w:name w:val="Plain Table 21"/>
    <w:basedOn w:val="TableNormal"/>
    <w:uiPriority w:val="42"/>
    <w:rsid w:val="00BC55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BC55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0">
    <w:name w:val="Unresolved Mention40"/>
    <w:basedOn w:val="DefaultParagraphFont"/>
    <w:uiPriority w:val="99"/>
    <w:semiHidden/>
    <w:unhideWhenUsed/>
    <w:rsid w:val="00D76975"/>
    <w:rPr>
      <w:color w:val="605E5C"/>
      <w:shd w:val="clear" w:color="auto" w:fill="E1DFDD"/>
    </w:rPr>
  </w:style>
  <w:style w:type="character" w:customStyle="1" w:styleId="Mention1">
    <w:name w:val="Mention1"/>
    <w:basedOn w:val="DefaultParagraphFont"/>
    <w:uiPriority w:val="99"/>
    <w:semiHidden/>
    <w:unhideWhenUsed/>
    <w:rsid w:val="00D65515"/>
    <w:rPr>
      <w:color w:val="2B579A"/>
      <w:shd w:val="clear" w:color="auto" w:fill="E6E6E6"/>
    </w:rPr>
  </w:style>
  <w:style w:type="character" w:customStyle="1" w:styleId="UnresolvedMention21">
    <w:name w:val="Unresolved Mention21"/>
    <w:basedOn w:val="DefaultParagraphFont"/>
    <w:uiPriority w:val="99"/>
    <w:semiHidden/>
    <w:unhideWhenUsed/>
    <w:rsid w:val="005C0D7A"/>
    <w:rPr>
      <w:color w:val="605E5C"/>
      <w:shd w:val="clear" w:color="auto" w:fill="E1DFDD"/>
    </w:rPr>
  </w:style>
  <w:style w:type="character" w:customStyle="1" w:styleId="UnresolvedMention41">
    <w:name w:val="Unresolved Mention41"/>
    <w:basedOn w:val="DefaultParagraphFont"/>
    <w:uiPriority w:val="99"/>
    <w:semiHidden/>
    <w:unhideWhenUsed/>
    <w:rsid w:val="005C0D7A"/>
    <w:rPr>
      <w:color w:val="605E5C"/>
      <w:shd w:val="clear" w:color="auto" w:fill="E1DFDD"/>
    </w:rPr>
  </w:style>
  <w:style w:type="table" w:customStyle="1" w:styleId="LightList-Accent21">
    <w:name w:val="Light List - Accent 21"/>
    <w:basedOn w:val="TableNormal"/>
    <w:uiPriority w:val="61"/>
    <w:rsid w:val="002C7317"/>
    <w:pPr>
      <w:spacing w:after="0" w:line="240" w:lineRule="auto"/>
    </w:pPr>
    <w:tblPr>
      <w:tblStyleRowBandSize w:val="1"/>
      <w:tblStyleColBandSize w:val="1"/>
      <w:tblBorders>
        <w:top w:val="single" w:sz="8" w:space="0" w:color="0F7B7D"/>
        <w:left w:val="single" w:sz="8" w:space="0" w:color="0F7B7D"/>
        <w:bottom w:val="single" w:sz="8" w:space="0" w:color="0F7B7D"/>
        <w:right w:val="single" w:sz="8" w:space="0" w:color="0F7B7D"/>
      </w:tblBorders>
    </w:tblPr>
    <w:tblStylePr w:type="firstRow">
      <w:pPr>
        <w:spacing w:beforeLines="0" w:before="0" w:beforeAutospacing="0" w:afterLines="0" w:after="0" w:afterAutospacing="0" w:line="240" w:lineRule="auto"/>
      </w:pPr>
      <w:rPr>
        <w:b/>
        <w:bCs/>
        <w:color w:val="FFFFFF"/>
      </w:rPr>
      <w:tblPr/>
      <w:tcPr>
        <w:shd w:val="clear" w:color="auto" w:fill="0F7B7D"/>
      </w:tcPr>
    </w:tblStylePr>
    <w:tblStylePr w:type="lastRow">
      <w:pPr>
        <w:spacing w:beforeLines="0" w:before="0" w:beforeAutospacing="0" w:afterLines="0" w:after="0" w:afterAutospacing="0" w:line="240" w:lineRule="auto"/>
      </w:pPr>
      <w:rPr>
        <w:b/>
        <w:bCs/>
      </w:rPr>
      <w:tblPr/>
      <w:tcPr>
        <w:tcBorders>
          <w:top w:val="double" w:sz="6" w:space="0" w:color="0F7B7D"/>
          <w:left w:val="single" w:sz="8" w:space="0" w:color="0F7B7D"/>
          <w:bottom w:val="single" w:sz="8" w:space="0" w:color="0F7B7D"/>
          <w:right w:val="single" w:sz="8" w:space="0" w:color="0F7B7D"/>
        </w:tcBorders>
      </w:tcPr>
    </w:tblStylePr>
    <w:tblStylePr w:type="firstCol">
      <w:rPr>
        <w:b/>
        <w:bCs/>
      </w:rPr>
    </w:tblStylePr>
    <w:tblStylePr w:type="lastCol">
      <w:rPr>
        <w:b/>
        <w:bCs/>
      </w:rPr>
    </w:tblStylePr>
    <w:tblStylePr w:type="band1Vert">
      <w:tblPr/>
      <w:tcPr>
        <w:tcBorders>
          <w:top w:val="single" w:sz="8" w:space="0" w:color="0F7B7D"/>
          <w:left w:val="single" w:sz="8" w:space="0" w:color="0F7B7D"/>
          <w:bottom w:val="single" w:sz="8" w:space="0" w:color="0F7B7D"/>
          <w:right w:val="single" w:sz="8" w:space="0" w:color="0F7B7D"/>
        </w:tcBorders>
      </w:tcPr>
    </w:tblStylePr>
    <w:tblStylePr w:type="band1Horz">
      <w:tblPr/>
      <w:tcPr>
        <w:tcBorders>
          <w:top w:val="single" w:sz="8" w:space="0" w:color="0F7B7D"/>
          <w:left w:val="single" w:sz="8" w:space="0" w:color="0F7B7D"/>
          <w:bottom w:val="single" w:sz="8" w:space="0" w:color="0F7B7D"/>
          <w:right w:val="single" w:sz="8" w:space="0" w:color="0F7B7D"/>
        </w:tcBorders>
      </w:tcPr>
    </w:tblStylePr>
  </w:style>
  <w:style w:type="character" w:customStyle="1" w:styleId="UnresolvedMention5">
    <w:name w:val="Unresolved Mention5"/>
    <w:basedOn w:val="DefaultParagraphFont"/>
    <w:uiPriority w:val="99"/>
    <w:semiHidden/>
    <w:unhideWhenUsed/>
    <w:rsid w:val="00A522B1"/>
    <w:rPr>
      <w:color w:val="605E5C"/>
      <w:shd w:val="clear" w:color="auto" w:fill="E1DFDD"/>
    </w:rPr>
  </w:style>
  <w:style w:type="character" w:customStyle="1" w:styleId="Mention2">
    <w:name w:val="Mention2"/>
    <w:basedOn w:val="DefaultParagraphFont"/>
    <w:uiPriority w:val="99"/>
    <w:semiHidden/>
    <w:unhideWhenUsed/>
    <w:rsid w:val="00952102"/>
    <w:rPr>
      <w:color w:val="2B579A"/>
      <w:shd w:val="clear" w:color="auto" w:fill="E6E6E6"/>
    </w:rPr>
  </w:style>
  <w:style w:type="character" w:customStyle="1" w:styleId="UnresolvedMention6">
    <w:name w:val="Unresolved Mention6"/>
    <w:basedOn w:val="DefaultParagraphFont"/>
    <w:uiPriority w:val="99"/>
    <w:semiHidden/>
    <w:unhideWhenUsed/>
    <w:rsid w:val="002D4506"/>
    <w:rPr>
      <w:color w:val="605E5C"/>
      <w:shd w:val="clear" w:color="auto" w:fill="E1DFDD"/>
    </w:rPr>
  </w:style>
  <w:style w:type="character" w:customStyle="1" w:styleId="UnresolvedMention7">
    <w:name w:val="Unresolved Mention7"/>
    <w:basedOn w:val="DefaultParagraphFont"/>
    <w:uiPriority w:val="99"/>
    <w:semiHidden/>
    <w:unhideWhenUsed/>
    <w:rsid w:val="00956387"/>
    <w:rPr>
      <w:color w:val="605E5C"/>
      <w:shd w:val="clear" w:color="auto" w:fill="E1DFDD"/>
    </w:rPr>
  </w:style>
  <w:style w:type="paragraph" w:customStyle="1" w:styleId="Appendixheading2">
    <w:name w:val="Appendix heading 2"/>
    <w:basedOn w:val="Heading2"/>
    <w:next w:val="BodyText"/>
    <w:link w:val="Appendixheading2Char"/>
    <w:uiPriority w:val="99"/>
    <w:semiHidden/>
    <w:qFormat/>
    <w:rsid w:val="0032100B"/>
  </w:style>
  <w:style w:type="paragraph" w:customStyle="1" w:styleId="Appendixheading3">
    <w:name w:val="Appendix heading 3"/>
    <w:basedOn w:val="Heading3"/>
    <w:link w:val="Appendixheading3Char"/>
    <w:uiPriority w:val="99"/>
    <w:semiHidden/>
    <w:qFormat/>
    <w:rsid w:val="0032100B"/>
  </w:style>
  <w:style w:type="character" w:customStyle="1" w:styleId="Appendixheading2Char">
    <w:name w:val="Appendix heading 2 Char"/>
    <w:basedOn w:val="Heading2Char"/>
    <w:link w:val="Appendixheading2"/>
    <w:uiPriority w:val="99"/>
    <w:semiHidden/>
    <w:rsid w:val="00D306AC"/>
    <w:rPr>
      <w:rFonts w:ascii="Georgia" w:eastAsiaTheme="majorEastAsia" w:hAnsi="Georgia" w:cstheme="majorBidi"/>
      <w:b/>
      <w:bCs/>
      <w:color w:val="1B556B"/>
      <w:sz w:val="36"/>
      <w:szCs w:val="26"/>
      <w:lang w:eastAsia="en-NZ"/>
    </w:rPr>
  </w:style>
  <w:style w:type="character" w:customStyle="1" w:styleId="Appendixheading3Char">
    <w:name w:val="Appendix heading 3 Char"/>
    <w:basedOn w:val="Heading3Char"/>
    <w:link w:val="Appendixheading3"/>
    <w:uiPriority w:val="99"/>
    <w:semiHidden/>
    <w:rsid w:val="00D306AC"/>
    <w:rPr>
      <w:rFonts w:ascii="Georgia" w:eastAsiaTheme="majorEastAsia" w:hAnsi="Georgia" w:cstheme="majorBidi"/>
      <w:b/>
      <w:bCs/>
      <w:sz w:val="28"/>
      <w:lang w:eastAsia="en-NZ"/>
    </w:rPr>
  </w:style>
  <w:style w:type="character" w:customStyle="1" w:styleId="UnresolvedMention8">
    <w:name w:val="Unresolved Mention8"/>
    <w:basedOn w:val="DefaultParagraphFont"/>
    <w:uiPriority w:val="99"/>
    <w:semiHidden/>
    <w:unhideWhenUsed/>
    <w:rsid w:val="00E97E92"/>
    <w:rPr>
      <w:color w:val="605E5C"/>
      <w:shd w:val="clear" w:color="auto" w:fill="E1DFDD"/>
    </w:rPr>
  </w:style>
  <w:style w:type="paragraph" w:styleId="TOC5">
    <w:name w:val="toc 5"/>
    <w:basedOn w:val="Normal"/>
    <w:next w:val="Normal"/>
    <w:autoRedefine/>
    <w:uiPriority w:val="39"/>
    <w:semiHidden/>
    <w:rsid w:val="004F4F86"/>
    <w:pPr>
      <w:spacing w:after="100" w:line="259"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semiHidden/>
    <w:rsid w:val="004F4F86"/>
    <w:pPr>
      <w:spacing w:after="100" w:line="259"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semiHidden/>
    <w:rsid w:val="004F4F86"/>
    <w:pPr>
      <w:spacing w:after="100" w:line="259"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semiHidden/>
    <w:rsid w:val="004F4F86"/>
    <w:pPr>
      <w:spacing w:after="100" w:line="259"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semiHidden/>
    <w:rsid w:val="004F4F86"/>
    <w:pPr>
      <w:spacing w:after="100" w:line="259" w:lineRule="auto"/>
      <w:ind w:left="1760"/>
    </w:pPr>
    <w:rPr>
      <w:rFonts w:asciiTheme="minorHAnsi" w:eastAsiaTheme="minorEastAsia" w:hAnsiTheme="minorHAnsi" w:cstheme="minorBidi"/>
      <w:szCs w:val="22"/>
      <w:lang w:val="en-NZ" w:eastAsia="en-NZ"/>
    </w:rPr>
  </w:style>
  <w:style w:type="character" w:customStyle="1" w:styleId="Mention3">
    <w:name w:val="Mention3"/>
    <w:basedOn w:val="DefaultParagraphFont"/>
    <w:uiPriority w:val="99"/>
    <w:semiHidden/>
    <w:unhideWhenUsed/>
    <w:rsid w:val="00EB65CA"/>
    <w:rPr>
      <w:color w:val="2B579A"/>
      <w:shd w:val="clear" w:color="auto" w:fill="E6E6E6"/>
    </w:rPr>
  </w:style>
  <w:style w:type="character" w:customStyle="1" w:styleId="UnresolvedMention9">
    <w:name w:val="Unresolved Mention9"/>
    <w:basedOn w:val="DefaultParagraphFont"/>
    <w:uiPriority w:val="99"/>
    <w:semiHidden/>
    <w:unhideWhenUsed/>
    <w:rsid w:val="00EB65CA"/>
    <w:rPr>
      <w:color w:val="605E5C"/>
      <w:shd w:val="clear" w:color="auto" w:fill="E1DFDD"/>
    </w:rPr>
  </w:style>
  <w:style w:type="paragraph" w:styleId="TOCHeading">
    <w:name w:val="TOC Heading"/>
    <w:basedOn w:val="Heading1"/>
    <w:next w:val="Normal"/>
    <w:uiPriority w:val="39"/>
    <w:semiHidden/>
    <w:qFormat/>
    <w:rsid w:val="00206E3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UnresolvedMention10">
    <w:name w:val="Unresolved Mention10"/>
    <w:basedOn w:val="DefaultParagraphFont"/>
    <w:uiPriority w:val="99"/>
    <w:semiHidden/>
    <w:unhideWhenUsed/>
    <w:rsid w:val="00206E30"/>
    <w:rPr>
      <w:color w:val="605E5C"/>
      <w:shd w:val="clear" w:color="auto" w:fill="E1DFDD"/>
    </w:rPr>
  </w:style>
  <w:style w:type="character" w:customStyle="1" w:styleId="Mention4">
    <w:name w:val="Mention4"/>
    <w:basedOn w:val="DefaultParagraphFont"/>
    <w:uiPriority w:val="99"/>
    <w:semiHidden/>
    <w:unhideWhenUsed/>
    <w:rsid w:val="00BF2495"/>
    <w:rPr>
      <w:color w:val="2B579A"/>
      <w:shd w:val="clear" w:color="auto" w:fill="E6E6E6"/>
    </w:rPr>
  </w:style>
  <w:style w:type="character" w:customStyle="1" w:styleId="UnresolvedMention11">
    <w:name w:val="Unresolved Mention11"/>
    <w:basedOn w:val="DefaultParagraphFont"/>
    <w:uiPriority w:val="99"/>
    <w:semiHidden/>
    <w:unhideWhenUsed/>
    <w:rsid w:val="00684A51"/>
    <w:rPr>
      <w:color w:val="605E5C"/>
      <w:shd w:val="clear" w:color="auto" w:fill="E1DFDD"/>
    </w:rPr>
  </w:style>
  <w:style w:type="character" w:customStyle="1" w:styleId="UnresolvedMention12">
    <w:name w:val="Unresolved Mention12"/>
    <w:basedOn w:val="DefaultParagraphFont"/>
    <w:uiPriority w:val="99"/>
    <w:semiHidden/>
    <w:unhideWhenUsed/>
    <w:rsid w:val="00A80417"/>
    <w:rPr>
      <w:color w:val="605E5C"/>
      <w:shd w:val="clear" w:color="auto" w:fill="E1DFDD"/>
    </w:rPr>
  </w:style>
  <w:style w:type="character" w:customStyle="1" w:styleId="UnresolvedMention13">
    <w:name w:val="Unresolved Mention13"/>
    <w:basedOn w:val="DefaultParagraphFont"/>
    <w:uiPriority w:val="99"/>
    <w:semiHidden/>
    <w:unhideWhenUsed/>
    <w:rsid w:val="00140F9B"/>
    <w:rPr>
      <w:color w:val="605E5C"/>
      <w:shd w:val="clear" w:color="auto" w:fill="E1DFDD"/>
    </w:rPr>
  </w:style>
  <w:style w:type="character" w:customStyle="1" w:styleId="UnresolvedMention14">
    <w:name w:val="Unresolved Mention14"/>
    <w:basedOn w:val="DefaultParagraphFont"/>
    <w:uiPriority w:val="99"/>
    <w:semiHidden/>
    <w:unhideWhenUsed/>
    <w:rsid w:val="001E049B"/>
    <w:rPr>
      <w:color w:val="605E5C"/>
      <w:shd w:val="clear" w:color="auto" w:fill="E1DFDD"/>
    </w:rPr>
  </w:style>
  <w:style w:type="paragraph" w:styleId="ListBullet">
    <w:name w:val="List Bullet"/>
    <w:basedOn w:val="Normal"/>
    <w:uiPriority w:val="99"/>
    <w:semiHidden/>
    <w:rsid w:val="00A01167"/>
    <w:pPr>
      <w:numPr>
        <w:numId w:val="9"/>
      </w:numPr>
      <w:contextualSpacing/>
    </w:pPr>
  </w:style>
  <w:style w:type="character" w:styleId="Emphasis">
    <w:name w:val="Emphasis"/>
    <w:basedOn w:val="DefaultParagraphFont"/>
    <w:uiPriority w:val="20"/>
    <w:semiHidden/>
    <w:qFormat/>
    <w:rsid w:val="00070FD4"/>
    <w:rPr>
      <w:i/>
      <w:iCs/>
    </w:rPr>
  </w:style>
  <w:style w:type="character" w:customStyle="1" w:styleId="UnresolvedMention17">
    <w:name w:val="Unresolved Mention17"/>
    <w:basedOn w:val="DefaultParagraphFont"/>
    <w:uiPriority w:val="99"/>
    <w:semiHidden/>
    <w:unhideWhenUsed/>
    <w:rsid w:val="00806A62"/>
    <w:rPr>
      <w:color w:val="605E5C"/>
      <w:shd w:val="clear" w:color="auto" w:fill="E1DFDD"/>
    </w:rPr>
  </w:style>
  <w:style w:type="paragraph" w:customStyle="1" w:styleId="Boxsub-bullet">
    <w:name w:val="Box sub-bullet"/>
    <w:basedOn w:val="Boxtext"/>
    <w:uiPriority w:val="1"/>
    <w:qFormat/>
    <w:rsid w:val="00392A47"/>
    <w:pPr>
      <w:numPr>
        <w:numId w:val="59"/>
      </w:numPr>
      <w:spacing w:before="0"/>
    </w:pPr>
    <w:rPr>
      <w:rFonts w:cs="Times New Roman"/>
      <w:szCs w:val="20"/>
    </w:rPr>
  </w:style>
  <w:style w:type="character" w:styleId="Mention">
    <w:name w:val="Mention"/>
    <w:basedOn w:val="DefaultParagraphFont"/>
    <w:uiPriority w:val="99"/>
    <w:unhideWhenUsed/>
    <w:rsid w:val="00576515"/>
    <w:rPr>
      <w:color w:val="2B579A"/>
      <w:shd w:val="clear" w:color="auto" w:fill="E1DFDD"/>
    </w:rPr>
  </w:style>
  <w:style w:type="character" w:customStyle="1" w:styleId="cf01">
    <w:name w:val="cf01"/>
    <w:basedOn w:val="DefaultParagraphFont"/>
    <w:rsid w:val="00BA1116"/>
    <w:rPr>
      <w:rFonts w:ascii="Segoe UI" w:hAnsi="Segoe UI" w:cs="Segoe UI" w:hint="default"/>
      <w:b/>
      <w:bCs/>
      <w:sz w:val="18"/>
      <w:szCs w:val="18"/>
    </w:rPr>
  </w:style>
  <w:style w:type="character" w:customStyle="1" w:styleId="cf11">
    <w:name w:val="cf11"/>
    <w:basedOn w:val="DefaultParagraphFont"/>
    <w:rsid w:val="00BA11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649">
      <w:bodyDiv w:val="1"/>
      <w:marLeft w:val="0"/>
      <w:marRight w:val="0"/>
      <w:marTop w:val="0"/>
      <w:marBottom w:val="0"/>
      <w:divBdr>
        <w:top w:val="none" w:sz="0" w:space="0" w:color="auto"/>
        <w:left w:val="none" w:sz="0" w:space="0" w:color="auto"/>
        <w:bottom w:val="none" w:sz="0" w:space="0" w:color="auto"/>
        <w:right w:val="none" w:sz="0" w:space="0" w:color="auto"/>
      </w:divBdr>
    </w:div>
    <w:div w:id="5058654">
      <w:bodyDiv w:val="1"/>
      <w:marLeft w:val="0"/>
      <w:marRight w:val="0"/>
      <w:marTop w:val="0"/>
      <w:marBottom w:val="0"/>
      <w:divBdr>
        <w:top w:val="none" w:sz="0" w:space="0" w:color="auto"/>
        <w:left w:val="none" w:sz="0" w:space="0" w:color="auto"/>
        <w:bottom w:val="none" w:sz="0" w:space="0" w:color="auto"/>
        <w:right w:val="none" w:sz="0" w:space="0" w:color="auto"/>
      </w:divBdr>
    </w:div>
    <w:div w:id="5332719">
      <w:bodyDiv w:val="1"/>
      <w:marLeft w:val="0"/>
      <w:marRight w:val="0"/>
      <w:marTop w:val="0"/>
      <w:marBottom w:val="0"/>
      <w:divBdr>
        <w:top w:val="none" w:sz="0" w:space="0" w:color="auto"/>
        <w:left w:val="none" w:sz="0" w:space="0" w:color="auto"/>
        <w:bottom w:val="none" w:sz="0" w:space="0" w:color="auto"/>
        <w:right w:val="none" w:sz="0" w:space="0" w:color="auto"/>
      </w:divBdr>
    </w:div>
    <w:div w:id="8334580">
      <w:bodyDiv w:val="1"/>
      <w:marLeft w:val="0"/>
      <w:marRight w:val="0"/>
      <w:marTop w:val="0"/>
      <w:marBottom w:val="0"/>
      <w:divBdr>
        <w:top w:val="none" w:sz="0" w:space="0" w:color="auto"/>
        <w:left w:val="none" w:sz="0" w:space="0" w:color="auto"/>
        <w:bottom w:val="none" w:sz="0" w:space="0" w:color="auto"/>
        <w:right w:val="none" w:sz="0" w:space="0" w:color="auto"/>
      </w:divBdr>
    </w:div>
    <w:div w:id="10107624">
      <w:bodyDiv w:val="1"/>
      <w:marLeft w:val="0"/>
      <w:marRight w:val="0"/>
      <w:marTop w:val="0"/>
      <w:marBottom w:val="0"/>
      <w:divBdr>
        <w:top w:val="none" w:sz="0" w:space="0" w:color="auto"/>
        <w:left w:val="none" w:sz="0" w:space="0" w:color="auto"/>
        <w:bottom w:val="none" w:sz="0" w:space="0" w:color="auto"/>
        <w:right w:val="none" w:sz="0" w:space="0" w:color="auto"/>
      </w:divBdr>
    </w:div>
    <w:div w:id="12615336">
      <w:bodyDiv w:val="1"/>
      <w:marLeft w:val="0"/>
      <w:marRight w:val="0"/>
      <w:marTop w:val="0"/>
      <w:marBottom w:val="0"/>
      <w:divBdr>
        <w:top w:val="none" w:sz="0" w:space="0" w:color="auto"/>
        <w:left w:val="none" w:sz="0" w:space="0" w:color="auto"/>
        <w:bottom w:val="none" w:sz="0" w:space="0" w:color="auto"/>
        <w:right w:val="none" w:sz="0" w:space="0" w:color="auto"/>
      </w:divBdr>
    </w:div>
    <w:div w:id="14313740">
      <w:bodyDiv w:val="1"/>
      <w:marLeft w:val="0"/>
      <w:marRight w:val="0"/>
      <w:marTop w:val="0"/>
      <w:marBottom w:val="0"/>
      <w:divBdr>
        <w:top w:val="none" w:sz="0" w:space="0" w:color="auto"/>
        <w:left w:val="none" w:sz="0" w:space="0" w:color="auto"/>
        <w:bottom w:val="none" w:sz="0" w:space="0" w:color="auto"/>
        <w:right w:val="none" w:sz="0" w:space="0" w:color="auto"/>
      </w:divBdr>
    </w:div>
    <w:div w:id="18044998">
      <w:bodyDiv w:val="1"/>
      <w:marLeft w:val="0"/>
      <w:marRight w:val="0"/>
      <w:marTop w:val="0"/>
      <w:marBottom w:val="0"/>
      <w:divBdr>
        <w:top w:val="none" w:sz="0" w:space="0" w:color="auto"/>
        <w:left w:val="none" w:sz="0" w:space="0" w:color="auto"/>
        <w:bottom w:val="none" w:sz="0" w:space="0" w:color="auto"/>
        <w:right w:val="none" w:sz="0" w:space="0" w:color="auto"/>
      </w:divBdr>
    </w:div>
    <w:div w:id="18236916">
      <w:bodyDiv w:val="1"/>
      <w:marLeft w:val="0"/>
      <w:marRight w:val="0"/>
      <w:marTop w:val="0"/>
      <w:marBottom w:val="0"/>
      <w:divBdr>
        <w:top w:val="none" w:sz="0" w:space="0" w:color="auto"/>
        <w:left w:val="none" w:sz="0" w:space="0" w:color="auto"/>
        <w:bottom w:val="none" w:sz="0" w:space="0" w:color="auto"/>
        <w:right w:val="none" w:sz="0" w:space="0" w:color="auto"/>
      </w:divBdr>
    </w:div>
    <w:div w:id="18972248">
      <w:bodyDiv w:val="1"/>
      <w:marLeft w:val="0"/>
      <w:marRight w:val="0"/>
      <w:marTop w:val="0"/>
      <w:marBottom w:val="0"/>
      <w:divBdr>
        <w:top w:val="none" w:sz="0" w:space="0" w:color="auto"/>
        <w:left w:val="none" w:sz="0" w:space="0" w:color="auto"/>
        <w:bottom w:val="none" w:sz="0" w:space="0" w:color="auto"/>
        <w:right w:val="none" w:sz="0" w:space="0" w:color="auto"/>
      </w:divBdr>
    </w:div>
    <w:div w:id="19162363">
      <w:bodyDiv w:val="1"/>
      <w:marLeft w:val="0"/>
      <w:marRight w:val="0"/>
      <w:marTop w:val="0"/>
      <w:marBottom w:val="0"/>
      <w:divBdr>
        <w:top w:val="none" w:sz="0" w:space="0" w:color="auto"/>
        <w:left w:val="none" w:sz="0" w:space="0" w:color="auto"/>
        <w:bottom w:val="none" w:sz="0" w:space="0" w:color="auto"/>
        <w:right w:val="none" w:sz="0" w:space="0" w:color="auto"/>
      </w:divBdr>
    </w:div>
    <w:div w:id="19355631">
      <w:bodyDiv w:val="1"/>
      <w:marLeft w:val="0"/>
      <w:marRight w:val="0"/>
      <w:marTop w:val="0"/>
      <w:marBottom w:val="0"/>
      <w:divBdr>
        <w:top w:val="none" w:sz="0" w:space="0" w:color="auto"/>
        <w:left w:val="none" w:sz="0" w:space="0" w:color="auto"/>
        <w:bottom w:val="none" w:sz="0" w:space="0" w:color="auto"/>
        <w:right w:val="none" w:sz="0" w:space="0" w:color="auto"/>
      </w:divBdr>
    </w:div>
    <w:div w:id="20447767">
      <w:bodyDiv w:val="1"/>
      <w:marLeft w:val="0"/>
      <w:marRight w:val="0"/>
      <w:marTop w:val="0"/>
      <w:marBottom w:val="0"/>
      <w:divBdr>
        <w:top w:val="none" w:sz="0" w:space="0" w:color="auto"/>
        <w:left w:val="none" w:sz="0" w:space="0" w:color="auto"/>
        <w:bottom w:val="none" w:sz="0" w:space="0" w:color="auto"/>
        <w:right w:val="none" w:sz="0" w:space="0" w:color="auto"/>
      </w:divBdr>
    </w:div>
    <w:div w:id="23680268">
      <w:bodyDiv w:val="1"/>
      <w:marLeft w:val="0"/>
      <w:marRight w:val="0"/>
      <w:marTop w:val="0"/>
      <w:marBottom w:val="0"/>
      <w:divBdr>
        <w:top w:val="none" w:sz="0" w:space="0" w:color="auto"/>
        <w:left w:val="none" w:sz="0" w:space="0" w:color="auto"/>
        <w:bottom w:val="none" w:sz="0" w:space="0" w:color="auto"/>
        <w:right w:val="none" w:sz="0" w:space="0" w:color="auto"/>
      </w:divBdr>
    </w:div>
    <w:div w:id="23791593">
      <w:bodyDiv w:val="1"/>
      <w:marLeft w:val="0"/>
      <w:marRight w:val="0"/>
      <w:marTop w:val="0"/>
      <w:marBottom w:val="0"/>
      <w:divBdr>
        <w:top w:val="none" w:sz="0" w:space="0" w:color="auto"/>
        <w:left w:val="none" w:sz="0" w:space="0" w:color="auto"/>
        <w:bottom w:val="none" w:sz="0" w:space="0" w:color="auto"/>
        <w:right w:val="none" w:sz="0" w:space="0" w:color="auto"/>
      </w:divBdr>
    </w:div>
    <w:div w:id="24137568">
      <w:bodyDiv w:val="1"/>
      <w:marLeft w:val="0"/>
      <w:marRight w:val="0"/>
      <w:marTop w:val="0"/>
      <w:marBottom w:val="0"/>
      <w:divBdr>
        <w:top w:val="none" w:sz="0" w:space="0" w:color="auto"/>
        <w:left w:val="none" w:sz="0" w:space="0" w:color="auto"/>
        <w:bottom w:val="none" w:sz="0" w:space="0" w:color="auto"/>
        <w:right w:val="none" w:sz="0" w:space="0" w:color="auto"/>
      </w:divBdr>
    </w:div>
    <w:div w:id="25179310">
      <w:bodyDiv w:val="1"/>
      <w:marLeft w:val="0"/>
      <w:marRight w:val="0"/>
      <w:marTop w:val="0"/>
      <w:marBottom w:val="0"/>
      <w:divBdr>
        <w:top w:val="none" w:sz="0" w:space="0" w:color="auto"/>
        <w:left w:val="none" w:sz="0" w:space="0" w:color="auto"/>
        <w:bottom w:val="none" w:sz="0" w:space="0" w:color="auto"/>
        <w:right w:val="none" w:sz="0" w:space="0" w:color="auto"/>
      </w:divBdr>
    </w:div>
    <w:div w:id="25642644">
      <w:bodyDiv w:val="1"/>
      <w:marLeft w:val="0"/>
      <w:marRight w:val="0"/>
      <w:marTop w:val="0"/>
      <w:marBottom w:val="0"/>
      <w:divBdr>
        <w:top w:val="none" w:sz="0" w:space="0" w:color="auto"/>
        <w:left w:val="none" w:sz="0" w:space="0" w:color="auto"/>
        <w:bottom w:val="none" w:sz="0" w:space="0" w:color="auto"/>
        <w:right w:val="none" w:sz="0" w:space="0" w:color="auto"/>
      </w:divBdr>
    </w:div>
    <w:div w:id="26565601">
      <w:bodyDiv w:val="1"/>
      <w:marLeft w:val="0"/>
      <w:marRight w:val="0"/>
      <w:marTop w:val="0"/>
      <w:marBottom w:val="0"/>
      <w:divBdr>
        <w:top w:val="none" w:sz="0" w:space="0" w:color="auto"/>
        <w:left w:val="none" w:sz="0" w:space="0" w:color="auto"/>
        <w:bottom w:val="none" w:sz="0" w:space="0" w:color="auto"/>
        <w:right w:val="none" w:sz="0" w:space="0" w:color="auto"/>
      </w:divBdr>
    </w:div>
    <w:div w:id="27920270">
      <w:bodyDiv w:val="1"/>
      <w:marLeft w:val="0"/>
      <w:marRight w:val="0"/>
      <w:marTop w:val="0"/>
      <w:marBottom w:val="0"/>
      <w:divBdr>
        <w:top w:val="none" w:sz="0" w:space="0" w:color="auto"/>
        <w:left w:val="none" w:sz="0" w:space="0" w:color="auto"/>
        <w:bottom w:val="none" w:sz="0" w:space="0" w:color="auto"/>
        <w:right w:val="none" w:sz="0" w:space="0" w:color="auto"/>
      </w:divBdr>
    </w:div>
    <w:div w:id="29956816">
      <w:bodyDiv w:val="1"/>
      <w:marLeft w:val="0"/>
      <w:marRight w:val="0"/>
      <w:marTop w:val="0"/>
      <w:marBottom w:val="0"/>
      <w:divBdr>
        <w:top w:val="none" w:sz="0" w:space="0" w:color="auto"/>
        <w:left w:val="none" w:sz="0" w:space="0" w:color="auto"/>
        <w:bottom w:val="none" w:sz="0" w:space="0" w:color="auto"/>
        <w:right w:val="none" w:sz="0" w:space="0" w:color="auto"/>
      </w:divBdr>
    </w:div>
    <w:div w:id="31077253">
      <w:bodyDiv w:val="1"/>
      <w:marLeft w:val="0"/>
      <w:marRight w:val="0"/>
      <w:marTop w:val="0"/>
      <w:marBottom w:val="0"/>
      <w:divBdr>
        <w:top w:val="none" w:sz="0" w:space="0" w:color="auto"/>
        <w:left w:val="none" w:sz="0" w:space="0" w:color="auto"/>
        <w:bottom w:val="none" w:sz="0" w:space="0" w:color="auto"/>
        <w:right w:val="none" w:sz="0" w:space="0" w:color="auto"/>
      </w:divBdr>
    </w:div>
    <w:div w:id="33698293">
      <w:bodyDiv w:val="1"/>
      <w:marLeft w:val="0"/>
      <w:marRight w:val="0"/>
      <w:marTop w:val="0"/>
      <w:marBottom w:val="0"/>
      <w:divBdr>
        <w:top w:val="none" w:sz="0" w:space="0" w:color="auto"/>
        <w:left w:val="none" w:sz="0" w:space="0" w:color="auto"/>
        <w:bottom w:val="none" w:sz="0" w:space="0" w:color="auto"/>
        <w:right w:val="none" w:sz="0" w:space="0" w:color="auto"/>
      </w:divBdr>
    </w:div>
    <w:div w:id="33965701">
      <w:bodyDiv w:val="1"/>
      <w:marLeft w:val="0"/>
      <w:marRight w:val="0"/>
      <w:marTop w:val="0"/>
      <w:marBottom w:val="0"/>
      <w:divBdr>
        <w:top w:val="none" w:sz="0" w:space="0" w:color="auto"/>
        <w:left w:val="none" w:sz="0" w:space="0" w:color="auto"/>
        <w:bottom w:val="none" w:sz="0" w:space="0" w:color="auto"/>
        <w:right w:val="none" w:sz="0" w:space="0" w:color="auto"/>
      </w:divBdr>
    </w:div>
    <w:div w:id="38164151">
      <w:bodyDiv w:val="1"/>
      <w:marLeft w:val="0"/>
      <w:marRight w:val="0"/>
      <w:marTop w:val="0"/>
      <w:marBottom w:val="0"/>
      <w:divBdr>
        <w:top w:val="none" w:sz="0" w:space="0" w:color="auto"/>
        <w:left w:val="none" w:sz="0" w:space="0" w:color="auto"/>
        <w:bottom w:val="none" w:sz="0" w:space="0" w:color="auto"/>
        <w:right w:val="none" w:sz="0" w:space="0" w:color="auto"/>
      </w:divBdr>
    </w:div>
    <w:div w:id="39526154">
      <w:bodyDiv w:val="1"/>
      <w:marLeft w:val="0"/>
      <w:marRight w:val="0"/>
      <w:marTop w:val="0"/>
      <w:marBottom w:val="0"/>
      <w:divBdr>
        <w:top w:val="none" w:sz="0" w:space="0" w:color="auto"/>
        <w:left w:val="none" w:sz="0" w:space="0" w:color="auto"/>
        <w:bottom w:val="none" w:sz="0" w:space="0" w:color="auto"/>
        <w:right w:val="none" w:sz="0" w:space="0" w:color="auto"/>
      </w:divBdr>
    </w:div>
    <w:div w:id="39670846">
      <w:bodyDiv w:val="1"/>
      <w:marLeft w:val="0"/>
      <w:marRight w:val="0"/>
      <w:marTop w:val="0"/>
      <w:marBottom w:val="0"/>
      <w:divBdr>
        <w:top w:val="none" w:sz="0" w:space="0" w:color="auto"/>
        <w:left w:val="none" w:sz="0" w:space="0" w:color="auto"/>
        <w:bottom w:val="none" w:sz="0" w:space="0" w:color="auto"/>
        <w:right w:val="none" w:sz="0" w:space="0" w:color="auto"/>
      </w:divBdr>
    </w:div>
    <w:div w:id="39935860">
      <w:bodyDiv w:val="1"/>
      <w:marLeft w:val="0"/>
      <w:marRight w:val="0"/>
      <w:marTop w:val="0"/>
      <w:marBottom w:val="0"/>
      <w:divBdr>
        <w:top w:val="none" w:sz="0" w:space="0" w:color="auto"/>
        <w:left w:val="none" w:sz="0" w:space="0" w:color="auto"/>
        <w:bottom w:val="none" w:sz="0" w:space="0" w:color="auto"/>
        <w:right w:val="none" w:sz="0" w:space="0" w:color="auto"/>
      </w:divBdr>
    </w:div>
    <w:div w:id="41638850">
      <w:bodyDiv w:val="1"/>
      <w:marLeft w:val="0"/>
      <w:marRight w:val="0"/>
      <w:marTop w:val="0"/>
      <w:marBottom w:val="0"/>
      <w:divBdr>
        <w:top w:val="none" w:sz="0" w:space="0" w:color="auto"/>
        <w:left w:val="none" w:sz="0" w:space="0" w:color="auto"/>
        <w:bottom w:val="none" w:sz="0" w:space="0" w:color="auto"/>
        <w:right w:val="none" w:sz="0" w:space="0" w:color="auto"/>
      </w:divBdr>
    </w:div>
    <w:div w:id="42605787">
      <w:bodyDiv w:val="1"/>
      <w:marLeft w:val="0"/>
      <w:marRight w:val="0"/>
      <w:marTop w:val="0"/>
      <w:marBottom w:val="0"/>
      <w:divBdr>
        <w:top w:val="none" w:sz="0" w:space="0" w:color="auto"/>
        <w:left w:val="none" w:sz="0" w:space="0" w:color="auto"/>
        <w:bottom w:val="none" w:sz="0" w:space="0" w:color="auto"/>
        <w:right w:val="none" w:sz="0" w:space="0" w:color="auto"/>
      </w:divBdr>
    </w:div>
    <w:div w:id="46075242">
      <w:bodyDiv w:val="1"/>
      <w:marLeft w:val="0"/>
      <w:marRight w:val="0"/>
      <w:marTop w:val="0"/>
      <w:marBottom w:val="0"/>
      <w:divBdr>
        <w:top w:val="none" w:sz="0" w:space="0" w:color="auto"/>
        <w:left w:val="none" w:sz="0" w:space="0" w:color="auto"/>
        <w:bottom w:val="none" w:sz="0" w:space="0" w:color="auto"/>
        <w:right w:val="none" w:sz="0" w:space="0" w:color="auto"/>
      </w:divBdr>
    </w:div>
    <w:div w:id="49349923">
      <w:bodyDiv w:val="1"/>
      <w:marLeft w:val="0"/>
      <w:marRight w:val="0"/>
      <w:marTop w:val="0"/>
      <w:marBottom w:val="0"/>
      <w:divBdr>
        <w:top w:val="none" w:sz="0" w:space="0" w:color="auto"/>
        <w:left w:val="none" w:sz="0" w:space="0" w:color="auto"/>
        <w:bottom w:val="none" w:sz="0" w:space="0" w:color="auto"/>
        <w:right w:val="none" w:sz="0" w:space="0" w:color="auto"/>
      </w:divBdr>
    </w:div>
    <w:div w:id="49427928">
      <w:bodyDiv w:val="1"/>
      <w:marLeft w:val="0"/>
      <w:marRight w:val="0"/>
      <w:marTop w:val="0"/>
      <w:marBottom w:val="0"/>
      <w:divBdr>
        <w:top w:val="none" w:sz="0" w:space="0" w:color="auto"/>
        <w:left w:val="none" w:sz="0" w:space="0" w:color="auto"/>
        <w:bottom w:val="none" w:sz="0" w:space="0" w:color="auto"/>
        <w:right w:val="none" w:sz="0" w:space="0" w:color="auto"/>
      </w:divBdr>
    </w:div>
    <w:div w:id="50885501">
      <w:bodyDiv w:val="1"/>
      <w:marLeft w:val="0"/>
      <w:marRight w:val="0"/>
      <w:marTop w:val="0"/>
      <w:marBottom w:val="0"/>
      <w:divBdr>
        <w:top w:val="none" w:sz="0" w:space="0" w:color="auto"/>
        <w:left w:val="none" w:sz="0" w:space="0" w:color="auto"/>
        <w:bottom w:val="none" w:sz="0" w:space="0" w:color="auto"/>
        <w:right w:val="none" w:sz="0" w:space="0" w:color="auto"/>
      </w:divBdr>
    </w:div>
    <w:div w:id="51657011">
      <w:bodyDiv w:val="1"/>
      <w:marLeft w:val="0"/>
      <w:marRight w:val="0"/>
      <w:marTop w:val="0"/>
      <w:marBottom w:val="0"/>
      <w:divBdr>
        <w:top w:val="none" w:sz="0" w:space="0" w:color="auto"/>
        <w:left w:val="none" w:sz="0" w:space="0" w:color="auto"/>
        <w:bottom w:val="none" w:sz="0" w:space="0" w:color="auto"/>
        <w:right w:val="none" w:sz="0" w:space="0" w:color="auto"/>
      </w:divBdr>
    </w:div>
    <w:div w:id="52435487">
      <w:bodyDiv w:val="1"/>
      <w:marLeft w:val="0"/>
      <w:marRight w:val="0"/>
      <w:marTop w:val="0"/>
      <w:marBottom w:val="0"/>
      <w:divBdr>
        <w:top w:val="none" w:sz="0" w:space="0" w:color="auto"/>
        <w:left w:val="none" w:sz="0" w:space="0" w:color="auto"/>
        <w:bottom w:val="none" w:sz="0" w:space="0" w:color="auto"/>
        <w:right w:val="none" w:sz="0" w:space="0" w:color="auto"/>
      </w:divBdr>
    </w:div>
    <w:div w:id="52972607">
      <w:bodyDiv w:val="1"/>
      <w:marLeft w:val="0"/>
      <w:marRight w:val="0"/>
      <w:marTop w:val="0"/>
      <w:marBottom w:val="0"/>
      <w:divBdr>
        <w:top w:val="none" w:sz="0" w:space="0" w:color="auto"/>
        <w:left w:val="none" w:sz="0" w:space="0" w:color="auto"/>
        <w:bottom w:val="none" w:sz="0" w:space="0" w:color="auto"/>
        <w:right w:val="none" w:sz="0" w:space="0" w:color="auto"/>
      </w:divBdr>
    </w:div>
    <w:div w:id="53893524">
      <w:bodyDiv w:val="1"/>
      <w:marLeft w:val="0"/>
      <w:marRight w:val="0"/>
      <w:marTop w:val="0"/>
      <w:marBottom w:val="0"/>
      <w:divBdr>
        <w:top w:val="none" w:sz="0" w:space="0" w:color="auto"/>
        <w:left w:val="none" w:sz="0" w:space="0" w:color="auto"/>
        <w:bottom w:val="none" w:sz="0" w:space="0" w:color="auto"/>
        <w:right w:val="none" w:sz="0" w:space="0" w:color="auto"/>
      </w:divBdr>
    </w:div>
    <w:div w:id="54014660">
      <w:bodyDiv w:val="1"/>
      <w:marLeft w:val="0"/>
      <w:marRight w:val="0"/>
      <w:marTop w:val="0"/>
      <w:marBottom w:val="0"/>
      <w:divBdr>
        <w:top w:val="none" w:sz="0" w:space="0" w:color="auto"/>
        <w:left w:val="none" w:sz="0" w:space="0" w:color="auto"/>
        <w:bottom w:val="none" w:sz="0" w:space="0" w:color="auto"/>
        <w:right w:val="none" w:sz="0" w:space="0" w:color="auto"/>
      </w:divBdr>
    </w:div>
    <w:div w:id="54745519">
      <w:bodyDiv w:val="1"/>
      <w:marLeft w:val="0"/>
      <w:marRight w:val="0"/>
      <w:marTop w:val="0"/>
      <w:marBottom w:val="0"/>
      <w:divBdr>
        <w:top w:val="none" w:sz="0" w:space="0" w:color="auto"/>
        <w:left w:val="none" w:sz="0" w:space="0" w:color="auto"/>
        <w:bottom w:val="none" w:sz="0" w:space="0" w:color="auto"/>
        <w:right w:val="none" w:sz="0" w:space="0" w:color="auto"/>
      </w:divBdr>
    </w:div>
    <w:div w:id="54939716">
      <w:bodyDiv w:val="1"/>
      <w:marLeft w:val="0"/>
      <w:marRight w:val="0"/>
      <w:marTop w:val="0"/>
      <w:marBottom w:val="0"/>
      <w:divBdr>
        <w:top w:val="none" w:sz="0" w:space="0" w:color="auto"/>
        <w:left w:val="none" w:sz="0" w:space="0" w:color="auto"/>
        <w:bottom w:val="none" w:sz="0" w:space="0" w:color="auto"/>
        <w:right w:val="none" w:sz="0" w:space="0" w:color="auto"/>
      </w:divBdr>
    </w:div>
    <w:div w:id="55907056">
      <w:bodyDiv w:val="1"/>
      <w:marLeft w:val="0"/>
      <w:marRight w:val="0"/>
      <w:marTop w:val="0"/>
      <w:marBottom w:val="0"/>
      <w:divBdr>
        <w:top w:val="none" w:sz="0" w:space="0" w:color="auto"/>
        <w:left w:val="none" w:sz="0" w:space="0" w:color="auto"/>
        <w:bottom w:val="none" w:sz="0" w:space="0" w:color="auto"/>
        <w:right w:val="none" w:sz="0" w:space="0" w:color="auto"/>
      </w:divBdr>
    </w:div>
    <w:div w:id="56710766">
      <w:bodyDiv w:val="1"/>
      <w:marLeft w:val="0"/>
      <w:marRight w:val="0"/>
      <w:marTop w:val="0"/>
      <w:marBottom w:val="0"/>
      <w:divBdr>
        <w:top w:val="none" w:sz="0" w:space="0" w:color="auto"/>
        <w:left w:val="none" w:sz="0" w:space="0" w:color="auto"/>
        <w:bottom w:val="none" w:sz="0" w:space="0" w:color="auto"/>
        <w:right w:val="none" w:sz="0" w:space="0" w:color="auto"/>
      </w:divBdr>
    </w:div>
    <w:div w:id="57675841">
      <w:bodyDiv w:val="1"/>
      <w:marLeft w:val="0"/>
      <w:marRight w:val="0"/>
      <w:marTop w:val="0"/>
      <w:marBottom w:val="0"/>
      <w:divBdr>
        <w:top w:val="none" w:sz="0" w:space="0" w:color="auto"/>
        <w:left w:val="none" w:sz="0" w:space="0" w:color="auto"/>
        <w:bottom w:val="none" w:sz="0" w:space="0" w:color="auto"/>
        <w:right w:val="none" w:sz="0" w:space="0" w:color="auto"/>
      </w:divBdr>
    </w:div>
    <w:div w:id="57825728">
      <w:bodyDiv w:val="1"/>
      <w:marLeft w:val="0"/>
      <w:marRight w:val="0"/>
      <w:marTop w:val="0"/>
      <w:marBottom w:val="0"/>
      <w:divBdr>
        <w:top w:val="none" w:sz="0" w:space="0" w:color="auto"/>
        <w:left w:val="none" w:sz="0" w:space="0" w:color="auto"/>
        <w:bottom w:val="none" w:sz="0" w:space="0" w:color="auto"/>
        <w:right w:val="none" w:sz="0" w:space="0" w:color="auto"/>
      </w:divBdr>
    </w:div>
    <w:div w:id="57897652">
      <w:bodyDiv w:val="1"/>
      <w:marLeft w:val="0"/>
      <w:marRight w:val="0"/>
      <w:marTop w:val="0"/>
      <w:marBottom w:val="0"/>
      <w:divBdr>
        <w:top w:val="none" w:sz="0" w:space="0" w:color="auto"/>
        <w:left w:val="none" w:sz="0" w:space="0" w:color="auto"/>
        <w:bottom w:val="none" w:sz="0" w:space="0" w:color="auto"/>
        <w:right w:val="none" w:sz="0" w:space="0" w:color="auto"/>
      </w:divBdr>
    </w:div>
    <w:div w:id="58679526">
      <w:bodyDiv w:val="1"/>
      <w:marLeft w:val="0"/>
      <w:marRight w:val="0"/>
      <w:marTop w:val="0"/>
      <w:marBottom w:val="0"/>
      <w:divBdr>
        <w:top w:val="none" w:sz="0" w:space="0" w:color="auto"/>
        <w:left w:val="none" w:sz="0" w:space="0" w:color="auto"/>
        <w:bottom w:val="none" w:sz="0" w:space="0" w:color="auto"/>
        <w:right w:val="none" w:sz="0" w:space="0" w:color="auto"/>
      </w:divBdr>
    </w:div>
    <w:div w:id="59519407">
      <w:bodyDiv w:val="1"/>
      <w:marLeft w:val="0"/>
      <w:marRight w:val="0"/>
      <w:marTop w:val="0"/>
      <w:marBottom w:val="0"/>
      <w:divBdr>
        <w:top w:val="none" w:sz="0" w:space="0" w:color="auto"/>
        <w:left w:val="none" w:sz="0" w:space="0" w:color="auto"/>
        <w:bottom w:val="none" w:sz="0" w:space="0" w:color="auto"/>
        <w:right w:val="none" w:sz="0" w:space="0" w:color="auto"/>
      </w:divBdr>
    </w:div>
    <w:div w:id="59713622">
      <w:bodyDiv w:val="1"/>
      <w:marLeft w:val="0"/>
      <w:marRight w:val="0"/>
      <w:marTop w:val="0"/>
      <w:marBottom w:val="0"/>
      <w:divBdr>
        <w:top w:val="none" w:sz="0" w:space="0" w:color="auto"/>
        <w:left w:val="none" w:sz="0" w:space="0" w:color="auto"/>
        <w:bottom w:val="none" w:sz="0" w:space="0" w:color="auto"/>
        <w:right w:val="none" w:sz="0" w:space="0" w:color="auto"/>
      </w:divBdr>
    </w:div>
    <w:div w:id="60637323">
      <w:bodyDiv w:val="1"/>
      <w:marLeft w:val="0"/>
      <w:marRight w:val="0"/>
      <w:marTop w:val="0"/>
      <w:marBottom w:val="0"/>
      <w:divBdr>
        <w:top w:val="none" w:sz="0" w:space="0" w:color="auto"/>
        <w:left w:val="none" w:sz="0" w:space="0" w:color="auto"/>
        <w:bottom w:val="none" w:sz="0" w:space="0" w:color="auto"/>
        <w:right w:val="none" w:sz="0" w:space="0" w:color="auto"/>
      </w:divBdr>
      <w:divsChild>
        <w:div w:id="1894807807">
          <w:marLeft w:val="0"/>
          <w:marRight w:val="0"/>
          <w:marTop w:val="0"/>
          <w:marBottom w:val="0"/>
          <w:divBdr>
            <w:top w:val="none" w:sz="0" w:space="0" w:color="auto"/>
            <w:left w:val="none" w:sz="0" w:space="0" w:color="auto"/>
            <w:bottom w:val="none" w:sz="0" w:space="0" w:color="auto"/>
            <w:right w:val="none" w:sz="0" w:space="0" w:color="auto"/>
          </w:divBdr>
          <w:divsChild>
            <w:div w:id="646475707">
              <w:marLeft w:val="0"/>
              <w:marRight w:val="0"/>
              <w:marTop w:val="0"/>
              <w:marBottom w:val="0"/>
              <w:divBdr>
                <w:top w:val="none" w:sz="0" w:space="0" w:color="auto"/>
                <w:left w:val="none" w:sz="0" w:space="0" w:color="auto"/>
                <w:bottom w:val="none" w:sz="0" w:space="0" w:color="auto"/>
                <w:right w:val="none" w:sz="0" w:space="0" w:color="auto"/>
              </w:divBdr>
              <w:divsChild>
                <w:div w:id="396169812">
                  <w:marLeft w:val="-75"/>
                  <w:marRight w:val="-75"/>
                  <w:marTop w:val="0"/>
                  <w:marBottom w:val="0"/>
                  <w:divBdr>
                    <w:top w:val="none" w:sz="0" w:space="0" w:color="auto"/>
                    <w:left w:val="none" w:sz="0" w:space="0" w:color="auto"/>
                    <w:bottom w:val="none" w:sz="0" w:space="0" w:color="auto"/>
                    <w:right w:val="none" w:sz="0" w:space="0" w:color="auto"/>
                  </w:divBdr>
                  <w:divsChild>
                    <w:div w:id="201670594">
                      <w:marLeft w:val="0"/>
                      <w:marRight w:val="0"/>
                      <w:marTop w:val="0"/>
                      <w:marBottom w:val="0"/>
                      <w:divBdr>
                        <w:top w:val="none" w:sz="0" w:space="0" w:color="auto"/>
                        <w:left w:val="none" w:sz="0" w:space="0" w:color="auto"/>
                        <w:bottom w:val="none" w:sz="0" w:space="0" w:color="auto"/>
                        <w:right w:val="none" w:sz="0" w:space="0" w:color="auto"/>
                      </w:divBdr>
                      <w:divsChild>
                        <w:div w:id="12888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14993">
      <w:bodyDiv w:val="1"/>
      <w:marLeft w:val="0"/>
      <w:marRight w:val="0"/>
      <w:marTop w:val="0"/>
      <w:marBottom w:val="0"/>
      <w:divBdr>
        <w:top w:val="none" w:sz="0" w:space="0" w:color="auto"/>
        <w:left w:val="none" w:sz="0" w:space="0" w:color="auto"/>
        <w:bottom w:val="none" w:sz="0" w:space="0" w:color="auto"/>
        <w:right w:val="none" w:sz="0" w:space="0" w:color="auto"/>
      </w:divBdr>
    </w:div>
    <w:div w:id="61606196">
      <w:bodyDiv w:val="1"/>
      <w:marLeft w:val="0"/>
      <w:marRight w:val="0"/>
      <w:marTop w:val="0"/>
      <w:marBottom w:val="0"/>
      <w:divBdr>
        <w:top w:val="none" w:sz="0" w:space="0" w:color="auto"/>
        <w:left w:val="none" w:sz="0" w:space="0" w:color="auto"/>
        <w:bottom w:val="none" w:sz="0" w:space="0" w:color="auto"/>
        <w:right w:val="none" w:sz="0" w:space="0" w:color="auto"/>
      </w:divBdr>
      <w:divsChild>
        <w:div w:id="237712146">
          <w:marLeft w:val="0"/>
          <w:marRight w:val="0"/>
          <w:marTop w:val="0"/>
          <w:marBottom w:val="0"/>
          <w:divBdr>
            <w:top w:val="none" w:sz="0" w:space="0" w:color="auto"/>
            <w:left w:val="none" w:sz="0" w:space="0" w:color="auto"/>
            <w:bottom w:val="none" w:sz="0" w:space="0" w:color="auto"/>
            <w:right w:val="none" w:sz="0" w:space="0" w:color="auto"/>
          </w:divBdr>
        </w:div>
        <w:div w:id="268854416">
          <w:marLeft w:val="0"/>
          <w:marRight w:val="0"/>
          <w:marTop w:val="0"/>
          <w:marBottom w:val="0"/>
          <w:divBdr>
            <w:top w:val="none" w:sz="0" w:space="0" w:color="auto"/>
            <w:left w:val="none" w:sz="0" w:space="0" w:color="auto"/>
            <w:bottom w:val="none" w:sz="0" w:space="0" w:color="auto"/>
            <w:right w:val="none" w:sz="0" w:space="0" w:color="auto"/>
          </w:divBdr>
        </w:div>
        <w:div w:id="416755509">
          <w:marLeft w:val="0"/>
          <w:marRight w:val="0"/>
          <w:marTop w:val="0"/>
          <w:marBottom w:val="0"/>
          <w:divBdr>
            <w:top w:val="none" w:sz="0" w:space="0" w:color="auto"/>
            <w:left w:val="none" w:sz="0" w:space="0" w:color="auto"/>
            <w:bottom w:val="none" w:sz="0" w:space="0" w:color="auto"/>
            <w:right w:val="none" w:sz="0" w:space="0" w:color="auto"/>
          </w:divBdr>
        </w:div>
        <w:div w:id="445973106">
          <w:marLeft w:val="0"/>
          <w:marRight w:val="0"/>
          <w:marTop w:val="0"/>
          <w:marBottom w:val="0"/>
          <w:divBdr>
            <w:top w:val="none" w:sz="0" w:space="0" w:color="auto"/>
            <w:left w:val="none" w:sz="0" w:space="0" w:color="auto"/>
            <w:bottom w:val="none" w:sz="0" w:space="0" w:color="auto"/>
            <w:right w:val="none" w:sz="0" w:space="0" w:color="auto"/>
          </w:divBdr>
        </w:div>
        <w:div w:id="665325849">
          <w:marLeft w:val="0"/>
          <w:marRight w:val="0"/>
          <w:marTop w:val="0"/>
          <w:marBottom w:val="0"/>
          <w:divBdr>
            <w:top w:val="none" w:sz="0" w:space="0" w:color="auto"/>
            <w:left w:val="none" w:sz="0" w:space="0" w:color="auto"/>
            <w:bottom w:val="none" w:sz="0" w:space="0" w:color="auto"/>
            <w:right w:val="none" w:sz="0" w:space="0" w:color="auto"/>
          </w:divBdr>
        </w:div>
        <w:div w:id="666833851">
          <w:marLeft w:val="0"/>
          <w:marRight w:val="0"/>
          <w:marTop w:val="0"/>
          <w:marBottom w:val="0"/>
          <w:divBdr>
            <w:top w:val="none" w:sz="0" w:space="0" w:color="auto"/>
            <w:left w:val="none" w:sz="0" w:space="0" w:color="auto"/>
            <w:bottom w:val="none" w:sz="0" w:space="0" w:color="auto"/>
            <w:right w:val="none" w:sz="0" w:space="0" w:color="auto"/>
          </w:divBdr>
        </w:div>
        <w:div w:id="796263419">
          <w:marLeft w:val="0"/>
          <w:marRight w:val="0"/>
          <w:marTop w:val="0"/>
          <w:marBottom w:val="0"/>
          <w:divBdr>
            <w:top w:val="none" w:sz="0" w:space="0" w:color="auto"/>
            <w:left w:val="none" w:sz="0" w:space="0" w:color="auto"/>
            <w:bottom w:val="none" w:sz="0" w:space="0" w:color="auto"/>
            <w:right w:val="none" w:sz="0" w:space="0" w:color="auto"/>
          </w:divBdr>
        </w:div>
        <w:div w:id="1263760351">
          <w:marLeft w:val="0"/>
          <w:marRight w:val="0"/>
          <w:marTop w:val="0"/>
          <w:marBottom w:val="0"/>
          <w:divBdr>
            <w:top w:val="none" w:sz="0" w:space="0" w:color="auto"/>
            <w:left w:val="none" w:sz="0" w:space="0" w:color="auto"/>
            <w:bottom w:val="none" w:sz="0" w:space="0" w:color="auto"/>
            <w:right w:val="none" w:sz="0" w:space="0" w:color="auto"/>
          </w:divBdr>
        </w:div>
        <w:div w:id="1290629413">
          <w:marLeft w:val="0"/>
          <w:marRight w:val="0"/>
          <w:marTop w:val="0"/>
          <w:marBottom w:val="0"/>
          <w:divBdr>
            <w:top w:val="none" w:sz="0" w:space="0" w:color="auto"/>
            <w:left w:val="none" w:sz="0" w:space="0" w:color="auto"/>
            <w:bottom w:val="none" w:sz="0" w:space="0" w:color="auto"/>
            <w:right w:val="none" w:sz="0" w:space="0" w:color="auto"/>
          </w:divBdr>
        </w:div>
        <w:div w:id="1312754731">
          <w:marLeft w:val="0"/>
          <w:marRight w:val="0"/>
          <w:marTop w:val="0"/>
          <w:marBottom w:val="0"/>
          <w:divBdr>
            <w:top w:val="none" w:sz="0" w:space="0" w:color="auto"/>
            <w:left w:val="none" w:sz="0" w:space="0" w:color="auto"/>
            <w:bottom w:val="none" w:sz="0" w:space="0" w:color="auto"/>
            <w:right w:val="none" w:sz="0" w:space="0" w:color="auto"/>
          </w:divBdr>
        </w:div>
        <w:div w:id="1407608258">
          <w:marLeft w:val="0"/>
          <w:marRight w:val="0"/>
          <w:marTop w:val="0"/>
          <w:marBottom w:val="0"/>
          <w:divBdr>
            <w:top w:val="none" w:sz="0" w:space="0" w:color="auto"/>
            <w:left w:val="none" w:sz="0" w:space="0" w:color="auto"/>
            <w:bottom w:val="none" w:sz="0" w:space="0" w:color="auto"/>
            <w:right w:val="none" w:sz="0" w:space="0" w:color="auto"/>
          </w:divBdr>
        </w:div>
        <w:div w:id="1427188918">
          <w:marLeft w:val="0"/>
          <w:marRight w:val="0"/>
          <w:marTop w:val="0"/>
          <w:marBottom w:val="0"/>
          <w:divBdr>
            <w:top w:val="none" w:sz="0" w:space="0" w:color="auto"/>
            <w:left w:val="none" w:sz="0" w:space="0" w:color="auto"/>
            <w:bottom w:val="none" w:sz="0" w:space="0" w:color="auto"/>
            <w:right w:val="none" w:sz="0" w:space="0" w:color="auto"/>
          </w:divBdr>
        </w:div>
        <w:div w:id="1478524811">
          <w:marLeft w:val="0"/>
          <w:marRight w:val="0"/>
          <w:marTop w:val="0"/>
          <w:marBottom w:val="0"/>
          <w:divBdr>
            <w:top w:val="none" w:sz="0" w:space="0" w:color="auto"/>
            <w:left w:val="none" w:sz="0" w:space="0" w:color="auto"/>
            <w:bottom w:val="none" w:sz="0" w:space="0" w:color="auto"/>
            <w:right w:val="none" w:sz="0" w:space="0" w:color="auto"/>
          </w:divBdr>
        </w:div>
        <w:div w:id="1613122964">
          <w:marLeft w:val="0"/>
          <w:marRight w:val="0"/>
          <w:marTop w:val="0"/>
          <w:marBottom w:val="0"/>
          <w:divBdr>
            <w:top w:val="none" w:sz="0" w:space="0" w:color="auto"/>
            <w:left w:val="none" w:sz="0" w:space="0" w:color="auto"/>
            <w:bottom w:val="none" w:sz="0" w:space="0" w:color="auto"/>
            <w:right w:val="none" w:sz="0" w:space="0" w:color="auto"/>
          </w:divBdr>
        </w:div>
        <w:div w:id="1761021764">
          <w:marLeft w:val="0"/>
          <w:marRight w:val="0"/>
          <w:marTop w:val="0"/>
          <w:marBottom w:val="0"/>
          <w:divBdr>
            <w:top w:val="none" w:sz="0" w:space="0" w:color="auto"/>
            <w:left w:val="none" w:sz="0" w:space="0" w:color="auto"/>
            <w:bottom w:val="none" w:sz="0" w:space="0" w:color="auto"/>
            <w:right w:val="none" w:sz="0" w:space="0" w:color="auto"/>
          </w:divBdr>
        </w:div>
        <w:div w:id="1876771286">
          <w:marLeft w:val="0"/>
          <w:marRight w:val="0"/>
          <w:marTop w:val="0"/>
          <w:marBottom w:val="0"/>
          <w:divBdr>
            <w:top w:val="none" w:sz="0" w:space="0" w:color="auto"/>
            <w:left w:val="none" w:sz="0" w:space="0" w:color="auto"/>
            <w:bottom w:val="none" w:sz="0" w:space="0" w:color="auto"/>
            <w:right w:val="none" w:sz="0" w:space="0" w:color="auto"/>
          </w:divBdr>
        </w:div>
        <w:div w:id="1884824209">
          <w:marLeft w:val="0"/>
          <w:marRight w:val="0"/>
          <w:marTop w:val="0"/>
          <w:marBottom w:val="0"/>
          <w:divBdr>
            <w:top w:val="none" w:sz="0" w:space="0" w:color="auto"/>
            <w:left w:val="none" w:sz="0" w:space="0" w:color="auto"/>
            <w:bottom w:val="none" w:sz="0" w:space="0" w:color="auto"/>
            <w:right w:val="none" w:sz="0" w:space="0" w:color="auto"/>
          </w:divBdr>
        </w:div>
        <w:div w:id="1941791608">
          <w:marLeft w:val="0"/>
          <w:marRight w:val="0"/>
          <w:marTop w:val="0"/>
          <w:marBottom w:val="0"/>
          <w:divBdr>
            <w:top w:val="none" w:sz="0" w:space="0" w:color="auto"/>
            <w:left w:val="none" w:sz="0" w:space="0" w:color="auto"/>
            <w:bottom w:val="none" w:sz="0" w:space="0" w:color="auto"/>
            <w:right w:val="none" w:sz="0" w:space="0" w:color="auto"/>
          </w:divBdr>
        </w:div>
        <w:div w:id="1981879484">
          <w:marLeft w:val="0"/>
          <w:marRight w:val="0"/>
          <w:marTop w:val="0"/>
          <w:marBottom w:val="0"/>
          <w:divBdr>
            <w:top w:val="none" w:sz="0" w:space="0" w:color="auto"/>
            <w:left w:val="none" w:sz="0" w:space="0" w:color="auto"/>
            <w:bottom w:val="none" w:sz="0" w:space="0" w:color="auto"/>
            <w:right w:val="none" w:sz="0" w:space="0" w:color="auto"/>
          </w:divBdr>
        </w:div>
        <w:div w:id="2011709724">
          <w:marLeft w:val="0"/>
          <w:marRight w:val="0"/>
          <w:marTop w:val="0"/>
          <w:marBottom w:val="0"/>
          <w:divBdr>
            <w:top w:val="none" w:sz="0" w:space="0" w:color="auto"/>
            <w:left w:val="none" w:sz="0" w:space="0" w:color="auto"/>
            <w:bottom w:val="none" w:sz="0" w:space="0" w:color="auto"/>
            <w:right w:val="none" w:sz="0" w:space="0" w:color="auto"/>
          </w:divBdr>
        </w:div>
      </w:divsChild>
    </w:div>
    <w:div w:id="63526491">
      <w:bodyDiv w:val="1"/>
      <w:marLeft w:val="0"/>
      <w:marRight w:val="0"/>
      <w:marTop w:val="0"/>
      <w:marBottom w:val="0"/>
      <w:divBdr>
        <w:top w:val="none" w:sz="0" w:space="0" w:color="auto"/>
        <w:left w:val="none" w:sz="0" w:space="0" w:color="auto"/>
        <w:bottom w:val="none" w:sz="0" w:space="0" w:color="auto"/>
        <w:right w:val="none" w:sz="0" w:space="0" w:color="auto"/>
      </w:divBdr>
    </w:div>
    <w:div w:id="63768923">
      <w:bodyDiv w:val="1"/>
      <w:marLeft w:val="0"/>
      <w:marRight w:val="0"/>
      <w:marTop w:val="0"/>
      <w:marBottom w:val="0"/>
      <w:divBdr>
        <w:top w:val="none" w:sz="0" w:space="0" w:color="auto"/>
        <w:left w:val="none" w:sz="0" w:space="0" w:color="auto"/>
        <w:bottom w:val="none" w:sz="0" w:space="0" w:color="auto"/>
        <w:right w:val="none" w:sz="0" w:space="0" w:color="auto"/>
      </w:divBdr>
    </w:div>
    <w:div w:id="67769304">
      <w:bodyDiv w:val="1"/>
      <w:marLeft w:val="0"/>
      <w:marRight w:val="0"/>
      <w:marTop w:val="0"/>
      <w:marBottom w:val="0"/>
      <w:divBdr>
        <w:top w:val="none" w:sz="0" w:space="0" w:color="auto"/>
        <w:left w:val="none" w:sz="0" w:space="0" w:color="auto"/>
        <w:bottom w:val="none" w:sz="0" w:space="0" w:color="auto"/>
        <w:right w:val="none" w:sz="0" w:space="0" w:color="auto"/>
      </w:divBdr>
    </w:div>
    <w:div w:id="68305697">
      <w:bodyDiv w:val="1"/>
      <w:marLeft w:val="0"/>
      <w:marRight w:val="0"/>
      <w:marTop w:val="0"/>
      <w:marBottom w:val="0"/>
      <w:divBdr>
        <w:top w:val="none" w:sz="0" w:space="0" w:color="auto"/>
        <w:left w:val="none" w:sz="0" w:space="0" w:color="auto"/>
        <w:bottom w:val="none" w:sz="0" w:space="0" w:color="auto"/>
        <w:right w:val="none" w:sz="0" w:space="0" w:color="auto"/>
      </w:divBdr>
    </w:div>
    <w:div w:id="69160059">
      <w:bodyDiv w:val="1"/>
      <w:marLeft w:val="0"/>
      <w:marRight w:val="0"/>
      <w:marTop w:val="0"/>
      <w:marBottom w:val="0"/>
      <w:divBdr>
        <w:top w:val="none" w:sz="0" w:space="0" w:color="auto"/>
        <w:left w:val="none" w:sz="0" w:space="0" w:color="auto"/>
        <w:bottom w:val="none" w:sz="0" w:space="0" w:color="auto"/>
        <w:right w:val="none" w:sz="0" w:space="0" w:color="auto"/>
      </w:divBdr>
    </w:div>
    <w:div w:id="69160389">
      <w:bodyDiv w:val="1"/>
      <w:marLeft w:val="0"/>
      <w:marRight w:val="0"/>
      <w:marTop w:val="0"/>
      <w:marBottom w:val="0"/>
      <w:divBdr>
        <w:top w:val="none" w:sz="0" w:space="0" w:color="auto"/>
        <w:left w:val="none" w:sz="0" w:space="0" w:color="auto"/>
        <w:bottom w:val="none" w:sz="0" w:space="0" w:color="auto"/>
        <w:right w:val="none" w:sz="0" w:space="0" w:color="auto"/>
      </w:divBdr>
    </w:div>
    <w:div w:id="70545879">
      <w:bodyDiv w:val="1"/>
      <w:marLeft w:val="0"/>
      <w:marRight w:val="0"/>
      <w:marTop w:val="0"/>
      <w:marBottom w:val="0"/>
      <w:divBdr>
        <w:top w:val="none" w:sz="0" w:space="0" w:color="auto"/>
        <w:left w:val="none" w:sz="0" w:space="0" w:color="auto"/>
        <w:bottom w:val="none" w:sz="0" w:space="0" w:color="auto"/>
        <w:right w:val="none" w:sz="0" w:space="0" w:color="auto"/>
      </w:divBdr>
    </w:div>
    <w:div w:id="70584300">
      <w:bodyDiv w:val="1"/>
      <w:marLeft w:val="0"/>
      <w:marRight w:val="0"/>
      <w:marTop w:val="0"/>
      <w:marBottom w:val="0"/>
      <w:divBdr>
        <w:top w:val="none" w:sz="0" w:space="0" w:color="auto"/>
        <w:left w:val="none" w:sz="0" w:space="0" w:color="auto"/>
        <w:bottom w:val="none" w:sz="0" w:space="0" w:color="auto"/>
        <w:right w:val="none" w:sz="0" w:space="0" w:color="auto"/>
      </w:divBdr>
    </w:div>
    <w:div w:id="72359404">
      <w:bodyDiv w:val="1"/>
      <w:marLeft w:val="0"/>
      <w:marRight w:val="0"/>
      <w:marTop w:val="0"/>
      <w:marBottom w:val="0"/>
      <w:divBdr>
        <w:top w:val="none" w:sz="0" w:space="0" w:color="auto"/>
        <w:left w:val="none" w:sz="0" w:space="0" w:color="auto"/>
        <w:bottom w:val="none" w:sz="0" w:space="0" w:color="auto"/>
        <w:right w:val="none" w:sz="0" w:space="0" w:color="auto"/>
      </w:divBdr>
    </w:div>
    <w:div w:id="74742795">
      <w:bodyDiv w:val="1"/>
      <w:marLeft w:val="0"/>
      <w:marRight w:val="0"/>
      <w:marTop w:val="0"/>
      <w:marBottom w:val="0"/>
      <w:divBdr>
        <w:top w:val="none" w:sz="0" w:space="0" w:color="auto"/>
        <w:left w:val="none" w:sz="0" w:space="0" w:color="auto"/>
        <w:bottom w:val="none" w:sz="0" w:space="0" w:color="auto"/>
        <w:right w:val="none" w:sz="0" w:space="0" w:color="auto"/>
      </w:divBdr>
    </w:div>
    <w:div w:id="75061291">
      <w:bodyDiv w:val="1"/>
      <w:marLeft w:val="0"/>
      <w:marRight w:val="0"/>
      <w:marTop w:val="0"/>
      <w:marBottom w:val="0"/>
      <w:divBdr>
        <w:top w:val="none" w:sz="0" w:space="0" w:color="auto"/>
        <w:left w:val="none" w:sz="0" w:space="0" w:color="auto"/>
        <w:bottom w:val="none" w:sz="0" w:space="0" w:color="auto"/>
        <w:right w:val="none" w:sz="0" w:space="0" w:color="auto"/>
      </w:divBdr>
    </w:div>
    <w:div w:id="77287859">
      <w:bodyDiv w:val="1"/>
      <w:marLeft w:val="0"/>
      <w:marRight w:val="0"/>
      <w:marTop w:val="0"/>
      <w:marBottom w:val="0"/>
      <w:divBdr>
        <w:top w:val="none" w:sz="0" w:space="0" w:color="auto"/>
        <w:left w:val="none" w:sz="0" w:space="0" w:color="auto"/>
        <w:bottom w:val="none" w:sz="0" w:space="0" w:color="auto"/>
        <w:right w:val="none" w:sz="0" w:space="0" w:color="auto"/>
      </w:divBdr>
    </w:div>
    <w:div w:id="77949537">
      <w:bodyDiv w:val="1"/>
      <w:marLeft w:val="0"/>
      <w:marRight w:val="0"/>
      <w:marTop w:val="0"/>
      <w:marBottom w:val="0"/>
      <w:divBdr>
        <w:top w:val="none" w:sz="0" w:space="0" w:color="auto"/>
        <w:left w:val="none" w:sz="0" w:space="0" w:color="auto"/>
        <w:bottom w:val="none" w:sz="0" w:space="0" w:color="auto"/>
        <w:right w:val="none" w:sz="0" w:space="0" w:color="auto"/>
      </w:divBdr>
    </w:div>
    <w:div w:id="78254352">
      <w:bodyDiv w:val="1"/>
      <w:marLeft w:val="0"/>
      <w:marRight w:val="0"/>
      <w:marTop w:val="0"/>
      <w:marBottom w:val="0"/>
      <w:divBdr>
        <w:top w:val="none" w:sz="0" w:space="0" w:color="auto"/>
        <w:left w:val="none" w:sz="0" w:space="0" w:color="auto"/>
        <w:bottom w:val="none" w:sz="0" w:space="0" w:color="auto"/>
        <w:right w:val="none" w:sz="0" w:space="0" w:color="auto"/>
      </w:divBdr>
    </w:div>
    <w:div w:id="78715643">
      <w:bodyDiv w:val="1"/>
      <w:marLeft w:val="0"/>
      <w:marRight w:val="0"/>
      <w:marTop w:val="0"/>
      <w:marBottom w:val="0"/>
      <w:divBdr>
        <w:top w:val="none" w:sz="0" w:space="0" w:color="auto"/>
        <w:left w:val="none" w:sz="0" w:space="0" w:color="auto"/>
        <w:bottom w:val="none" w:sz="0" w:space="0" w:color="auto"/>
        <w:right w:val="none" w:sz="0" w:space="0" w:color="auto"/>
      </w:divBdr>
    </w:div>
    <w:div w:id="81801086">
      <w:bodyDiv w:val="1"/>
      <w:marLeft w:val="0"/>
      <w:marRight w:val="0"/>
      <w:marTop w:val="0"/>
      <w:marBottom w:val="0"/>
      <w:divBdr>
        <w:top w:val="none" w:sz="0" w:space="0" w:color="auto"/>
        <w:left w:val="none" w:sz="0" w:space="0" w:color="auto"/>
        <w:bottom w:val="none" w:sz="0" w:space="0" w:color="auto"/>
        <w:right w:val="none" w:sz="0" w:space="0" w:color="auto"/>
      </w:divBdr>
    </w:div>
    <w:div w:id="82994306">
      <w:bodyDiv w:val="1"/>
      <w:marLeft w:val="0"/>
      <w:marRight w:val="0"/>
      <w:marTop w:val="0"/>
      <w:marBottom w:val="0"/>
      <w:divBdr>
        <w:top w:val="none" w:sz="0" w:space="0" w:color="auto"/>
        <w:left w:val="none" w:sz="0" w:space="0" w:color="auto"/>
        <w:bottom w:val="none" w:sz="0" w:space="0" w:color="auto"/>
        <w:right w:val="none" w:sz="0" w:space="0" w:color="auto"/>
      </w:divBdr>
    </w:div>
    <w:div w:id="83041212">
      <w:bodyDiv w:val="1"/>
      <w:marLeft w:val="0"/>
      <w:marRight w:val="0"/>
      <w:marTop w:val="0"/>
      <w:marBottom w:val="0"/>
      <w:divBdr>
        <w:top w:val="none" w:sz="0" w:space="0" w:color="auto"/>
        <w:left w:val="none" w:sz="0" w:space="0" w:color="auto"/>
        <w:bottom w:val="none" w:sz="0" w:space="0" w:color="auto"/>
        <w:right w:val="none" w:sz="0" w:space="0" w:color="auto"/>
      </w:divBdr>
    </w:div>
    <w:div w:id="83452408">
      <w:bodyDiv w:val="1"/>
      <w:marLeft w:val="0"/>
      <w:marRight w:val="0"/>
      <w:marTop w:val="0"/>
      <w:marBottom w:val="0"/>
      <w:divBdr>
        <w:top w:val="none" w:sz="0" w:space="0" w:color="auto"/>
        <w:left w:val="none" w:sz="0" w:space="0" w:color="auto"/>
        <w:bottom w:val="none" w:sz="0" w:space="0" w:color="auto"/>
        <w:right w:val="none" w:sz="0" w:space="0" w:color="auto"/>
      </w:divBdr>
    </w:div>
    <w:div w:id="83839735">
      <w:bodyDiv w:val="1"/>
      <w:marLeft w:val="0"/>
      <w:marRight w:val="0"/>
      <w:marTop w:val="0"/>
      <w:marBottom w:val="0"/>
      <w:divBdr>
        <w:top w:val="none" w:sz="0" w:space="0" w:color="auto"/>
        <w:left w:val="none" w:sz="0" w:space="0" w:color="auto"/>
        <w:bottom w:val="none" w:sz="0" w:space="0" w:color="auto"/>
        <w:right w:val="none" w:sz="0" w:space="0" w:color="auto"/>
      </w:divBdr>
    </w:div>
    <w:div w:id="84230272">
      <w:bodyDiv w:val="1"/>
      <w:marLeft w:val="0"/>
      <w:marRight w:val="0"/>
      <w:marTop w:val="0"/>
      <w:marBottom w:val="0"/>
      <w:divBdr>
        <w:top w:val="none" w:sz="0" w:space="0" w:color="auto"/>
        <w:left w:val="none" w:sz="0" w:space="0" w:color="auto"/>
        <w:bottom w:val="none" w:sz="0" w:space="0" w:color="auto"/>
        <w:right w:val="none" w:sz="0" w:space="0" w:color="auto"/>
      </w:divBdr>
    </w:div>
    <w:div w:id="84500746">
      <w:bodyDiv w:val="1"/>
      <w:marLeft w:val="0"/>
      <w:marRight w:val="0"/>
      <w:marTop w:val="0"/>
      <w:marBottom w:val="0"/>
      <w:divBdr>
        <w:top w:val="none" w:sz="0" w:space="0" w:color="auto"/>
        <w:left w:val="none" w:sz="0" w:space="0" w:color="auto"/>
        <w:bottom w:val="none" w:sz="0" w:space="0" w:color="auto"/>
        <w:right w:val="none" w:sz="0" w:space="0" w:color="auto"/>
      </w:divBdr>
    </w:div>
    <w:div w:id="84621498">
      <w:bodyDiv w:val="1"/>
      <w:marLeft w:val="0"/>
      <w:marRight w:val="0"/>
      <w:marTop w:val="0"/>
      <w:marBottom w:val="0"/>
      <w:divBdr>
        <w:top w:val="none" w:sz="0" w:space="0" w:color="auto"/>
        <w:left w:val="none" w:sz="0" w:space="0" w:color="auto"/>
        <w:bottom w:val="none" w:sz="0" w:space="0" w:color="auto"/>
        <w:right w:val="none" w:sz="0" w:space="0" w:color="auto"/>
      </w:divBdr>
    </w:div>
    <w:div w:id="86124487">
      <w:bodyDiv w:val="1"/>
      <w:marLeft w:val="0"/>
      <w:marRight w:val="0"/>
      <w:marTop w:val="0"/>
      <w:marBottom w:val="0"/>
      <w:divBdr>
        <w:top w:val="none" w:sz="0" w:space="0" w:color="auto"/>
        <w:left w:val="none" w:sz="0" w:space="0" w:color="auto"/>
        <w:bottom w:val="none" w:sz="0" w:space="0" w:color="auto"/>
        <w:right w:val="none" w:sz="0" w:space="0" w:color="auto"/>
      </w:divBdr>
    </w:div>
    <w:div w:id="86778197">
      <w:bodyDiv w:val="1"/>
      <w:marLeft w:val="0"/>
      <w:marRight w:val="0"/>
      <w:marTop w:val="0"/>
      <w:marBottom w:val="0"/>
      <w:divBdr>
        <w:top w:val="none" w:sz="0" w:space="0" w:color="auto"/>
        <w:left w:val="none" w:sz="0" w:space="0" w:color="auto"/>
        <w:bottom w:val="none" w:sz="0" w:space="0" w:color="auto"/>
        <w:right w:val="none" w:sz="0" w:space="0" w:color="auto"/>
      </w:divBdr>
    </w:div>
    <w:div w:id="88817061">
      <w:bodyDiv w:val="1"/>
      <w:marLeft w:val="0"/>
      <w:marRight w:val="0"/>
      <w:marTop w:val="0"/>
      <w:marBottom w:val="0"/>
      <w:divBdr>
        <w:top w:val="none" w:sz="0" w:space="0" w:color="auto"/>
        <w:left w:val="none" w:sz="0" w:space="0" w:color="auto"/>
        <w:bottom w:val="none" w:sz="0" w:space="0" w:color="auto"/>
        <w:right w:val="none" w:sz="0" w:space="0" w:color="auto"/>
      </w:divBdr>
    </w:div>
    <w:div w:id="89398116">
      <w:bodyDiv w:val="1"/>
      <w:marLeft w:val="0"/>
      <w:marRight w:val="0"/>
      <w:marTop w:val="0"/>
      <w:marBottom w:val="0"/>
      <w:divBdr>
        <w:top w:val="none" w:sz="0" w:space="0" w:color="auto"/>
        <w:left w:val="none" w:sz="0" w:space="0" w:color="auto"/>
        <w:bottom w:val="none" w:sz="0" w:space="0" w:color="auto"/>
        <w:right w:val="none" w:sz="0" w:space="0" w:color="auto"/>
      </w:divBdr>
    </w:div>
    <w:div w:id="90705491">
      <w:bodyDiv w:val="1"/>
      <w:marLeft w:val="0"/>
      <w:marRight w:val="0"/>
      <w:marTop w:val="0"/>
      <w:marBottom w:val="0"/>
      <w:divBdr>
        <w:top w:val="none" w:sz="0" w:space="0" w:color="auto"/>
        <w:left w:val="none" w:sz="0" w:space="0" w:color="auto"/>
        <w:bottom w:val="none" w:sz="0" w:space="0" w:color="auto"/>
        <w:right w:val="none" w:sz="0" w:space="0" w:color="auto"/>
      </w:divBdr>
    </w:div>
    <w:div w:id="91559200">
      <w:bodyDiv w:val="1"/>
      <w:marLeft w:val="0"/>
      <w:marRight w:val="0"/>
      <w:marTop w:val="0"/>
      <w:marBottom w:val="0"/>
      <w:divBdr>
        <w:top w:val="none" w:sz="0" w:space="0" w:color="auto"/>
        <w:left w:val="none" w:sz="0" w:space="0" w:color="auto"/>
        <w:bottom w:val="none" w:sz="0" w:space="0" w:color="auto"/>
        <w:right w:val="none" w:sz="0" w:space="0" w:color="auto"/>
      </w:divBdr>
    </w:div>
    <w:div w:id="92240268">
      <w:bodyDiv w:val="1"/>
      <w:marLeft w:val="0"/>
      <w:marRight w:val="0"/>
      <w:marTop w:val="0"/>
      <w:marBottom w:val="0"/>
      <w:divBdr>
        <w:top w:val="none" w:sz="0" w:space="0" w:color="auto"/>
        <w:left w:val="none" w:sz="0" w:space="0" w:color="auto"/>
        <w:bottom w:val="none" w:sz="0" w:space="0" w:color="auto"/>
        <w:right w:val="none" w:sz="0" w:space="0" w:color="auto"/>
      </w:divBdr>
    </w:div>
    <w:div w:id="93599744">
      <w:bodyDiv w:val="1"/>
      <w:marLeft w:val="0"/>
      <w:marRight w:val="0"/>
      <w:marTop w:val="0"/>
      <w:marBottom w:val="0"/>
      <w:divBdr>
        <w:top w:val="none" w:sz="0" w:space="0" w:color="auto"/>
        <w:left w:val="none" w:sz="0" w:space="0" w:color="auto"/>
        <w:bottom w:val="none" w:sz="0" w:space="0" w:color="auto"/>
        <w:right w:val="none" w:sz="0" w:space="0" w:color="auto"/>
      </w:divBdr>
    </w:div>
    <w:div w:id="95290642">
      <w:bodyDiv w:val="1"/>
      <w:marLeft w:val="0"/>
      <w:marRight w:val="0"/>
      <w:marTop w:val="0"/>
      <w:marBottom w:val="0"/>
      <w:divBdr>
        <w:top w:val="none" w:sz="0" w:space="0" w:color="auto"/>
        <w:left w:val="none" w:sz="0" w:space="0" w:color="auto"/>
        <w:bottom w:val="none" w:sz="0" w:space="0" w:color="auto"/>
        <w:right w:val="none" w:sz="0" w:space="0" w:color="auto"/>
      </w:divBdr>
    </w:div>
    <w:div w:id="95758725">
      <w:bodyDiv w:val="1"/>
      <w:marLeft w:val="0"/>
      <w:marRight w:val="0"/>
      <w:marTop w:val="0"/>
      <w:marBottom w:val="0"/>
      <w:divBdr>
        <w:top w:val="none" w:sz="0" w:space="0" w:color="auto"/>
        <w:left w:val="none" w:sz="0" w:space="0" w:color="auto"/>
        <w:bottom w:val="none" w:sz="0" w:space="0" w:color="auto"/>
        <w:right w:val="none" w:sz="0" w:space="0" w:color="auto"/>
      </w:divBdr>
    </w:div>
    <w:div w:id="96142552">
      <w:bodyDiv w:val="1"/>
      <w:marLeft w:val="0"/>
      <w:marRight w:val="0"/>
      <w:marTop w:val="0"/>
      <w:marBottom w:val="0"/>
      <w:divBdr>
        <w:top w:val="none" w:sz="0" w:space="0" w:color="auto"/>
        <w:left w:val="none" w:sz="0" w:space="0" w:color="auto"/>
        <w:bottom w:val="none" w:sz="0" w:space="0" w:color="auto"/>
        <w:right w:val="none" w:sz="0" w:space="0" w:color="auto"/>
      </w:divBdr>
    </w:div>
    <w:div w:id="97264557">
      <w:bodyDiv w:val="1"/>
      <w:marLeft w:val="0"/>
      <w:marRight w:val="0"/>
      <w:marTop w:val="0"/>
      <w:marBottom w:val="0"/>
      <w:divBdr>
        <w:top w:val="none" w:sz="0" w:space="0" w:color="auto"/>
        <w:left w:val="none" w:sz="0" w:space="0" w:color="auto"/>
        <w:bottom w:val="none" w:sz="0" w:space="0" w:color="auto"/>
        <w:right w:val="none" w:sz="0" w:space="0" w:color="auto"/>
      </w:divBdr>
    </w:div>
    <w:div w:id="97525680">
      <w:bodyDiv w:val="1"/>
      <w:marLeft w:val="0"/>
      <w:marRight w:val="0"/>
      <w:marTop w:val="0"/>
      <w:marBottom w:val="0"/>
      <w:divBdr>
        <w:top w:val="none" w:sz="0" w:space="0" w:color="auto"/>
        <w:left w:val="none" w:sz="0" w:space="0" w:color="auto"/>
        <w:bottom w:val="none" w:sz="0" w:space="0" w:color="auto"/>
        <w:right w:val="none" w:sz="0" w:space="0" w:color="auto"/>
      </w:divBdr>
    </w:div>
    <w:div w:id="98263401">
      <w:bodyDiv w:val="1"/>
      <w:marLeft w:val="0"/>
      <w:marRight w:val="0"/>
      <w:marTop w:val="0"/>
      <w:marBottom w:val="0"/>
      <w:divBdr>
        <w:top w:val="none" w:sz="0" w:space="0" w:color="auto"/>
        <w:left w:val="none" w:sz="0" w:space="0" w:color="auto"/>
        <w:bottom w:val="none" w:sz="0" w:space="0" w:color="auto"/>
        <w:right w:val="none" w:sz="0" w:space="0" w:color="auto"/>
      </w:divBdr>
    </w:div>
    <w:div w:id="99372216">
      <w:bodyDiv w:val="1"/>
      <w:marLeft w:val="0"/>
      <w:marRight w:val="0"/>
      <w:marTop w:val="0"/>
      <w:marBottom w:val="0"/>
      <w:divBdr>
        <w:top w:val="none" w:sz="0" w:space="0" w:color="auto"/>
        <w:left w:val="none" w:sz="0" w:space="0" w:color="auto"/>
        <w:bottom w:val="none" w:sz="0" w:space="0" w:color="auto"/>
        <w:right w:val="none" w:sz="0" w:space="0" w:color="auto"/>
      </w:divBdr>
    </w:div>
    <w:div w:id="99878108">
      <w:bodyDiv w:val="1"/>
      <w:marLeft w:val="0"/>
      <w:marRight w:val="0"/>
      <w:marTop w:val="0"/>
      <w:marBottom w:val="0"/>
      <w:divBdr>
        <w:top w:val="none" w:sz="0" w:space="0" w:color="auto"/>
        <w:left w:val="none" w:sz="0" w:space="0" w:color="auto"/>
        <w:bottom w:val="none" w:sz="0" w:space="0" w:color="auto"/>
        <w:right w:val="none" w:sz="0" w:space="0" w:color="auto"/>
      </w:divBdr>
    </w:div>
    <w:div w:id="100105494">
      <w:bodyDiv w:val="1"/>
      <w:marLeft w:val="0"/>
      <w:marRight w:val="0"/>
      <w:marTop w:val="0"/>
      <w:marBottom w:val="0"/>
      <w:divBdr>
        <w:top w:val="none" w:sz="0" w:space="0" w:color="auto"/>
        <w:left w:val="none" w:sz="0" w:space="0" w:color="auto"/>
        <w:bottom w:val="none" w:sz="0" w:space="0" w:color="auto"/>
        <w:right w:val="none" w:sz="0" w:space="0" w:color="auto"/>
      </w:divBdr>
    </w:div>
    <w:div w:id="101269743">
      <w:bodyDiv w:val="1"/>
      <w:marLeft w:val="0"/>
      <w:marRight w:val="0"/>
      <w:marTop w:val="0"/>
      <w:marBottom w:val="0"/>
      <w:divBdr>
        <w:top w:val="none" w:sz="0" w:space="0" w:color="auto"/>
        <w:left w:val="none" w:sz="0" w:space="0" w:color="auto"/>
        <w:bottom w:val="none" w:sz="0" w:space="0" w:color="auto"/>
        <w:right w:val="none" w:sz="0" w:space="0" w:color="auto"/>
      </w:divBdr>
    </w:div>
    <w:div w:id="102041705">
      <w:bodyDiv w:val="1"/>
      <w:marLeft w:val="0"/>
      <w:marRight w:val="0"/>
      <w:marTop w:val="0"/>
      <w:marBottom w:val="0"/>
      <w:divBdr>
        <w:top w:val="none" w:sz="0" w:space="0" w:color="auto"/>
        <w:left w:val="none" w:sz="0" w:space="0" w:color="auto"/>
        <w:bottom w:val="none" w:sz="0" w:space="0" w:color="auto"/>
        <w:right w:val="none" w:sz="0" w:space="0" w:color="auto"/>
      </w:divBdr>
    </w:div>
    <w:div w:id="103765749">
      <w:bodyDiv w:val="1"/>
      <w:marLeft w:val="0"/>
      <w:marRight w:val="0"/>
      <w:marTop w:val="0"/>
      <w:marBottom w:val="0"/>
      <w:divBdr>
        <w:top w:val="none" w:sz="0" w:space="0" w:color="auto"/>
        <w:left w:val="none" w:sz="0" w:space="0" w:color="auto"/>
        <w:bottom w:val="none" w:sz="0" w:space="0" w:color="auto"/>
        <w:right w:val="none" w:sz="0" w:space="0" w:color="auto"/>
      </w:divBdr>
    </w:div>
    <w:div w:id="104615779">
      <w:bodyDiv w:val="1"/>
      <w:marLeft w:val="0"/>
      <w:marRight w:val="0"/>
      <w:marTop w:val="0"/>
      <w:marBottom w:val="0"/>
      <w:divBdr>
        <w:top w:val="none" w:sz="0" w:space="0" w:color="auto"/>
        <w:left w:val="none" w:sz="0" w:space="0" w:color="auto"/>
        <w:bottom w:val="none" w:sz="0" w:space="0" w:color="auto"/>
        <w:right w:val="none" w:sz="0" w:space="0" w:color="auto"/>
      </w:divBdr>
    </w:div>
    <w:div w:id="107236407">
      <w:bodyDiv w:val="1"/>
      <w:marLeft w:val="0"/>
      <w:marRight w:val="0"/>
      <w:marTop w:val="0"/>
      <w:marBottom w:val="0"/>
      <w:divBdr>
        <w:top w:val="none" w:sz="0" w:space="0" w:color="auto"/>
        <w:left w:val="none" w:sz="0" w:space="0" w:color="auto"/>
        <w:bottom w:val="none" w:sz="0" w:space="0" w:color="auto"/>
        <w:right w:val="none" w:sz="0" w:space="0" w:color="auto"/>
      </w:divBdr>
    </w:div>
    <w:div w:id="109328673">
      <w:bodyDiv w:val="1"/>
      <w:marLeft w:val="0"/>
      <w:marRight w:val="0"/>
      <w:marTop w:val="0"/>
      <w:marBottom w:val="0"/>
      <w:divBdr>
        <w:top w:val="none" w:sz="0" w:space="0" w:color="auto"/>
        <w:left w:val="none" w:sz="0" w:space="0" w:color="auto"/>
        <w:bottom w:val="none" w:sz="0" w:space="0" w:color="auto"/>
        <w:right w:val="none" w:sz="0" w:space="0" w:color="auto"/>
      </w:divBdr>
    </w:div>
    <w:div w:id="111369027">
      <w:bodyDiv w:val="1"/>
      <w:marLeft w:val="0"/>
      <w:marRight w:val="0"/>
      <w:marTop w:val="0"/>
      <w:marBottom w:val="0"/>
      <w:divBdr>
        <w:top w:val="none" w:sz="0" w:space="0" w:color="auto"/>
        <w:left w:val="none" w:sz="0" w:space="0" w:color="auto"/>
        <w:bottom w:val="none" w:sz="0" w:space="0" w:color="auto"/>
        <w:right w:val="none" w:sz="0" w:space="0" w:color="auto"/>
      </w:divBdr>
    </w:div>
    <w:div w:id="112292711">
      <w:bodyDiv w:val="1"/>
      <w:marLeft w:val="0"/>
      <w:marRight w:val="0"/>
      <w:marTop w:val="0"/>
      <w:marBottom w:val="0"/>
      <w:divBdr>
        <w:top w:val="none" w:sz="0" w:space="0" w:color="auto"/>
        <w:left w:val="none" w:sz="0" w:space="0" w:color="auto"/>
        <w:bottom w:val="none" w:sz="0" w:space="0" w:color="auto"/>
        <w:right w:val="none" w:sz="0" w:space="0" w:color="auto"/>
      </w:divBdr>
    </w:div>
    <w:div w:id="113909877">
      <w:bodyDiv w:val="1"/>
      <w:marLeft w:val="0"/>
      <w:marRight w:val="0"/>
      <w:marTop w:val="0"/>
      <w:marBottom w:val="0"/>
      <w:divBdr>
        <w:top w:val="none" w:sz="0" w:space="0" w:color="auto"/>
        <w:left w:val="none" w:sz="0" w:space="0" w:color="auto"/>
        <w:bottom w:val="none" w:sz="0" w:space="0" w:color="auto"/>
        <w:right w:val="none" w:sz="0" w:space="0" w:color="auto"/>
      </w:divBdr>
    </w:div>
    <w:div w:id="117533076">
      <w:bodyDiv w:val="1"/>
      <w:marLeft w:val="0"/>
      <w:marRight w:val="0"/>
      <w:marTop w:val="0"/>
      <w:marBottom w:val="0"/>
      <w:divBdr>
        <w:top w:val="none" w:sz="0" w:space="0" w:color="auto"/>
        <w:left w:val="none" w:sz="0" w:space="0" w:color="auto"/>
        <w:bottom w:val="none" w:sz="0" w:space="0" w:color="auto"/>
        <w:right w:val="none" w:sz="0" w:space="0" w:color="auto"/>
      </w:divBdr>
    </w:div>
    <w:div w:id="120421629">
      <w:bodyDiv w:val="1"/>
      <w:marLeft w:val="0"/>
      <w:marRight w:val="0"/>
      <w:marTop w:val="0"/>
      <w:marBottom w:val="0"/>
      <w:divBdr>
        <w:top w:val="none" w:sz="0" w:space="0" w:color="auto"/>
        <w:left w:val="none" w:sz="0" w:space="0" w:color="auto"/>
        <w:bottom w:val="none" w:sz="0" w:space="0" w:color="auto"/>
        <w:right w:val="none" w:sz="0" w:space="0" w:color="auto"/>
      </w:divBdr>
    </w:div>
    <w:div w:id="122233412">
      <w:bodyDiv w:val="1"/>
      <w:marLeft w:val="0"/>
      <w:marRight w:val="0"/>
      <w:marTop w:val="0"/>
      <w:marBottom w:val="0"/>
      <w:divBdr>
        <w:top w:val="none" w:sz="0" w:space="0" w:color="auto"/>
        <w:left w:val="none" w:sz="0" w:space="0" w:color="auto"/>
        <w:bottom w:val="none" w:sz="0" w:space="0" w:color="auto"/>
        <w:right w:val="none" w:sz="0" w:space="0" w:color="auto"/>
      </w:divBdr>
    </w:div>
    <w:div w:id="122820551">
      <w:bodyDiv w:val="1"/>
      <w:marLeft w:val="0"/>
      <w:marRight w:val="0"/>
      <w:marTop w:val="0"/>
      <w:marBottom w:val="0"/>
      <w:divBdr>
        <w:top w:val="none" w:sz="0" w:space="0" w:color="auto"/>
        <w:left w:val="none" w:sz="0" w:space="0" w:color="auto"/>
        <w:bottom w:val="none" w:sz="0" w:space="0" w:color="auto"/>
        <w:right w:val="none" w:sz="0" w:space="0" w:color="auto"/>
      </w:divBdr>
    </w:div>
    <w:div w:id="123037805">
      <w:bodyDiv w:val="1"/>
      <w:marLeft w:val="0"/>
      <w:marRight w:val="0"/>
      <w:marTop w:val="0"/>
      <w:marBottom w:val="0"/>
      <w:divBdr>
        <w:top w:val="none" w:sz="0" w:space="0" w:color="auto"/>
        <w:left w:val="none" w:sz="0" w:space="0" w:color="auto"/>
        <w:bottom w:val="none" w:sz="0" w:space="0" w:color="auto"/>
        <w:right w:val="none" w:sz="0" w:space="0" w:color="auto"/>
      </w:divBdr>
    </w:div>
    <w:div w:id="123811456">
      <w:bodyDiv w:val="1"/>
      <w:marLeft w:val="0"/>
      <w:marRight w:val="0"/>
      <w:marTop w:val="0"/>
      <w:marBottom w:val="0"/>
      <w:divBdr>
        <w:top w:val="none" w:sz="0" w:space="0" w:color="auto"/>
        <w:left w:val="none" w:sz="0" w:space="0" w:color="auto"/>
        <w:bottom w:val="none" w:sz="0" w:space="0" w:color="auto"/>
        <w:right w:val="none" w:sz="0" w:space="0" w:color="auto"/>
      </w:divBdr>
    </w:div>
    <w:div w:id="125702849">
      <w:bodyDiv w:val="1"/>
      <w:marLeft w:val="0"/>
      <w:marRight w:val="0"/>
      <w:marTop w:val="0"/>
      <w:marBottom w:val="0"/>
      <w:divBdr>
        <w:top w:val="none" w:sz="0" w:space="0" w:color="auto"/>
        <w:left w:val="none" w:sz="0" w:space="0" w:color="auto"/>
        <w:bottom w:val="none" w:sz="0" w:space="0" w:color="auto"/>
        <w:right w:val="none" w:sz="0" w:space="0" w:color="auto"/>
      </w:divBdr>
    </w:div>
    <w:div w:id="125926787">
      <w:bodyDiv w:val="1"/>
      <w:marLeft w:val="0"/>
      <w:marRight w:val="0"/>
      <w:marTop w:val="0"/>
      <w:marBottom w:val="0"/>
      <w:divBdr>
        <w:top w:val="none" w:sz="0" w:space="0" w:color="auto"/>
        <w:left w:val="none" w:sz="0" w:space="0" w:color="auto"/>
        <w:bottom w:val="none" w:sz="0" w:space="0" w:color="auto"/>
        <w:right w:val="none" w:sz="0" w:space="0" w:color="auto"/>
      </w:divBdr>
    </w:div>
    <w:div w:id="128671204">
      <w:bodyDiv w:val="1"/>
      <w:marLeft w:val="0"/>
      <w:marRight w:val="0"/>
      <w:marTop w:val="0"/>
      <w:marBottom w:val="0"/>
      <w:divBdr>
        <w:top w:val="none" w:sz="0" w:space="0" w:color="auto"/>
        <w:left w:val="none" w:sz="0" w:space="0" w:color="auto"/>
        <w:bottom w:val="none" w:sz="0" w:space="0" w:color="auto"/>
        <w:right w:val="none" w:sz="0" w:space="0" w:color="auto"/>
      </w:divBdr>
    </w:div>
    <w:div w:id="129595289">
      <w:bodyDiv w:val="1"/>
      <w:marLeft w:val="0"/>
      <w:marRight w:val="0"/>
      <w:marTop w:val="0"/>
      <w:marBottom w:val="0"/>
      <w:divBdr>
        <w:top w:val="none" w:sz="0" w:space="0" w:color="auto"/>
        <w:left w:val="none" w:sz="0" w:space="0" w:color="auto"/>
        <w:bottom w:val="none" w:sz="0" w:space="0" w:color="auto"/>
        <w:right w:val="none" w:sz="0" w:space="0" w:color="auto"/>
      </w:divBdr>
    </w:div>
    <w:div w:id="130943739">
      <w:bodyDiv w:val="1"/>
      <w:marLeft w:val="0"/>
      <w:marRight w:val="0"/>
      <w:marTop w:val="0"/>
      <w:marBottom w:val="0"/>
      <w:divBdr>
        <w:top w:val="none" w:sz="0" w:space="0" w:color="auto"/>
        <w:left w:val="none" w:sz="0" w:space="0" w:color="auto"/>
        <w:bottom w:val="none" w:sz="0" w:space="0" w:color="auto"/>
        <w:right w:val="none" w:sz="0" w:space="0" w:color="auto"/>
      </w:divBdr>
    </w:div>
    <w:div w:id="131683023">
      <w:bodyDiv w:val="1"/>
      <w:marLeft w:val="0"/>
      <w:marRight w:val="0"/>
      <w:marTop w:val="0"/>
      <w:marBottom w:val="0"/>
      <w:divBdr>
        <w:top w:val="none" w:sz="0" w:space="0" w:color="auto"/>
        <w:left w:val="none" w:sz="0" w:space="0" w:color="auto"/>
        <w:bottom w:val="none" w:sz="0" w:space="0" w:color="auto"/>
        <w:right w:val="none" w:sz="0" w:space="0" w:color="auto"/>
      </w:divBdr>
    </w:div>
    <w:div w:id="132451687">
      <w:bodyDiv w:val="1"/>
      <w:marLeft w:val="0"/>
      <w:marRight w:val="0"/>
      <w:marTop w:val="0"/>
      <w:marBottom w:val="0"/>
      <w:divBdr>
        <w:top w:val="none" w:sz="0" w:space="0" w:color="auto"/>
        <w:left w:val="none" w:sz="0" w:space="0" w:color="auto"/>
        <w:bottom w:val="none" w:sz="0" w:space="0" w:color="auto"/>
        <w:right w:val="none" w:sz="0" w:space="0" w:color="auto"/>
      </w:divBdr>
    </w:div>
    <w:div w:id="133448020">
      <w:bodyDiv w:val="1"/>
      <w:marLeft w:val="0"/>
      <w:marRight w:val="0"/>
      <w:marTop w:val="0"/>
      <w:marBottom w:val="0"/>
      <w:divBdr>
        <w:top w:val="none" w:sz="0" w:space="0" w:color="auto"/>
        <w:left w:val="none" w:sz="0" w:space="0" w:color="auto"/>
        <w:bottom w:val="none" w:sz="0" w:space="0" w:color="auto"/>
        <w:right w:val="none" w:sz="0" w:space="0" w:color="auto"/>
      </w:divBdr>
    </w:div>
    <w:div w:id="133916154">
      <w:bodyDiv w:val="1"/>
      <w:marLeft w:val="0"/>
      <w:marRight w:val="0"/>
      <w:marTop w:val="0"/>
      <w:marBottom w:val="0"/>
      <w:divBdr>
        <w:top w:val="none" w:sz="0" w:space="0" w:color="auto"/>
        <w:left w:val="none" w:sz="0" w:space="0" w:color="auto"/>
        <w:bottom w:val="none" w:sz="0" w:space="0" w:color="auto"/>
        <w:right w:val="none" w:sz="0" w:space="0" w:color="auto"/>
      </w:divBdr>
    </w:div>
    <w:div w:id="134376817">
      <w:bodyDiv w:val="1"/>
      <w:marLeft w:val="0"/>
      <w:marRight w:val="0"/>
      <w:marTop w:val="0"/>
      <w:marBottom w:val="0"/>
      <w:divBdr>
        <w:top w:val="none" w:sz="0" w:space="0" w:color="auto"/>
        <w:left w:val="none" w:sz="0" w:space="0" w:color="auto"/>
        <w:bottom w:val="none" w:sz="0" w:space="0" w:color="auto"/>
        <w:right w:val="none" w:sz="0" w:space="0" w:color="auto"/>
      </w:divBdr>
    </w:div>
    <w:div w:id="136145913">
      <w:bodyDiv w:val="1"/>
      <w:marLeft w:val="0"/>
      <w:marRight w:val="0"/>
      <w:marTop w:val="0"/>
      <w:marBottom w:val="0"/>
      <w:divBdr>
        <w:top w:val="none" w:sz="0" w:space="0" w:color="auto"/>
        <w:left w:val="none" w:sz="0" w:space="0" w:color="auto"/>
        <w:bottom w:val="none" w:sz="0" w:space="0" w:color="auto"/>
        <w:right w:val="none" w:sz="0" w:space="0" w:color="auto"/>
      </w:divBdr>
    </w:div>
    <w:div w:id="139881870">
      <w:bodyDiv w:val="1"/>
      <w:marLeft w:val="0"/>
      <w:marRight w:val="0"/>
      <w:marTop w:val="0"/>
      <w:marBottom w:val="0"/>
      <w:divBdr>
        <w:top w:val="none" w:sz="0" w:space="0" w:color="auto"/>
        <w:left w:val="none" w:sz="0" w:space="0" w:color="auto"/>
        <w:bottom w:val="none" w:sz="0" w:space="0" w:color="auto"/>
        <w:right w:val="none" w:sz="0" w:space="0" w:color="auto"/>
      </w:divBdr>
    </w:div>
    <w:div w:id="140194114">
      <w:bodyDiv w:val="1"/>
      <w:marLeft w:val="0"/>
      <w:marRight w:val="0"/>
      <w:marTop w:val="0"/>
      <w:marBottom w:val="0"/>
      <w:divBdr>
        <w:top w:val="none" w:sz="0" w:space="0" w:color="auto"/>
        <w:left w:val="none" w:sz="0" w:space="0" w:color="auto"/>
        <w:bottom w:val="none" w:sz="0" w:space="0" w:color="auto"/>
        <w:right w:val="none" w:sz="0" w:space="0" w:color="auto"/>
      </w:divBdr>
    </w:div>
    <w:div w:id="140468536">
      <w:bodyDiv w:val="1"/>
      <w:marLeft w:val="0"/>
      <w:marRight w:val="0"/>
      <w:marTop w:val="0"/>
      <w:marBottom w:val="0"/>
      <w:divBdr>
        <w:top w:val="none" w:sz="0" w:space="0" w:color="auto"/>
        <w:left w:val="none" w:sz="0" w:space="0" w:color="auto"/>
        <w:bottom w:val="none" w:sz="0" w:space="0" w:color="auto"/>
        <w:right w:val="none" w:sz="0" w:space="0" w:color="auto"/>
      </w:divBdr>
    </w:div>
    <w:div w:id="144664680">
      <w:bodyDiv w:val="1"/>
      <w:marLeft w:val="0"/>
      <w:marRight w:val="0"/>
      <w:marTop w:val="0"/>
      <w:marBottom w:val="0"/>
      <w:divBdr>
        <w:top w:val="none" w:sz="0" w:space="0" w:color="auto"/>
        <w:left w:val="none" w:sz="0" w:space="0" w:color="auto"/>
        <w:bottom w:val="none" w:sz="0" w:space="0" w:color="auto"/>
        <w:right w:val="none" w:sz="0" w:space="0" w:color="auto"/>
      </w:divBdr>
      <w:divsChild>
        <w:div w:id="1785151224">
          <w:marLeft w:val="0"/>
          <w:marRight w:val="0"/>
          <w:marTop w:val="0"/>
          <w:marBottom w:val="0"/>
          <w:divBdr>
            <w:top w:val="none" w:sz="0" w:space="0" w:color="auto"/>
            <w:left w:val="none" w:sz="0" w:space="0" w:color="auto"/>
            <w:bottom w:val="none" w:sz="0" w:space="0" w:color="auto"/>
            <w:right w:val="none" w:sz="0" w:space="0" w:color="auto"/>
          </w:divBdr>
        </w:div>
        <w:div w:id="2101757200">
          <w:marLeft w:val="0"/>
          <w:marRight w:val="0"/>
          <w:marTop w:val="0"/>
          <w:marBottom w:val="0"/>
          <w:divBdr>
            <w:top w:val="none" w:sz="0" w:space="0" w:color="auto"/>
            <w:left w:val="none" w:sz="0" w:space="0" w:color="auto"/>
            <w:bottom w:val="none" w:sz="0" w:space="0" w:color="auto"/>
            <w:right w:val="none" w:sz="0" w:space="0" w:color="auto"/>
          </w:divBdr>
        </w:div>
      </w:divsChild>
    </w:div>
    <w:div w:id="144972565">
      <w:bodyDiv w:val="1"/>
      <w:marLeft w:val="0"/>
      <w:marRight w:val="0"/>
      <w:marTop w:val="0"/>
      <w:marBottom w:val="0"/>
      <w:divBdr>
        <w:top w:val="none" w:sz="0" w:space="0" w:color="auto"/>
        <w:left w:val="none" w:sz="0" w:space="0" w:color="auto"/>
        <w:bottom w:val="none" w:sz="0" w:space="0" w:color="auto"/>
        <w:right w:val="none" w:sz="0" w:space="0" w:color="auto"/>
      </w:divBdr>
    </w:div>
    <w:div w:id="145243489">
      <w:bodyDiv w:val="1"/>
      <w:marLeft w:val="0"/>
      <w:marRight w:val="0"/>
      <w:marTop w:val="0"/>
      <w:marBottom w:val="0"/>
      <w:divBdr>
        <w:top w:val="none" w:sz="0" w:space="0" w:color="auto"/>
        <w:left w:val="none" w:sz="0" w:space="0" w:color="auto"/>
        <w:bottom w:val="none" w:sz="0" w:space="0" w:color="auto"/>
        <w:right w:val="none" w:sz="0" w:space="0" w:color="auto"/>
      </w:divBdr>
    </w:div>
    <w:div w:id="147790475">
      <w:bodyDiv w:val="1"/>
      <w:marLeft w:val="0"/>
      <w:marRight w:val="0"/>
      <w:marTop w:val="0"/>
      <w:marBottom w:val="0"/>
      <w:divBdr>
        <w:top w:val="none" w:sz="0" w:space="0" w:color="auto"/>
        <w:left w:val="none" w:sz="0" w:space="0" w:color="auto"/>
        <w:bottom w:val="none" w:sz="0" w:space="0" w:color="auto"/>
        <w:right w:val="none" w:sz="0" w:space="0" w:color="auto"/>
      </w:divBdr>
    </w:div>
    <w:div w:id="148400691">
      <w:bodyDiv w:val="1"/>
      <w:marLeft w:val="0"/>
      <w:marRight w:val="0"/>
      <w:marTop w:val="0"/>
      <w:marBottom w:val="0"/>
      <w:divBdr>
        <w:top w:val="none" w:sz="0" w:space="0" w:color="auto"/>
        <w:left w:val="none" w:sz="0" w:space="0" w:color="auto"/>
        <w:bottom w:val="none" w:sz="0" w:space="0" w:color="auto"/>
        <w:right w:val="none" w:sz="0" w:space="0" w:color="auto"/>
      </w:divBdr>
    </w:div>
    <w:div w:id="149449927">
      <w:bodyDiv w:val="1"/>
      <w:marLeft w:val="0"/>
      <w:marRight w:val="0"/>
      <w:marTop w:val="0"/>
      <w:marBottom w:val="0"/>
      <w:divBdr>
        <w:top w:val="none" w:sz="0" w:space="0" w:color="auto"/>
        <w:left w:val="none" w:sz="0" w:space="0" w:color="auto"/>
        <w:bottom w:val="none" w:sz="0" w:space="0" w:color="auto"/>
        <w:right w:val="none" w:sz="0" w:space="0" w:color="auto"/>
      </w:divBdr>
    </w:div>
    <w:div w:id="149490570">
      <w:bodyDiv w:val="1"/>
      <w:marLeft w:val="0"/>
      <w:marRight w:val="0"/>
      <w:marTop w:val="0"/>
      <w:marBottom w:val="0"/>
      <w:divBdr>
        <w:top w:val="none" w:sz="0" w:space="0" w:color="auto"/>
        <w:left w:val="none" w:sz="0" w:space="0" w:color="auto"/>
        <w:bottom w:val="none" w:sz="0" w:space="0" w:color="auto"/>
        <w:right w:val="none" w:sz="0" w:space="0" w:color="auto"/>
      </w:divBdr>
    </w:div>
    <w:div w:id="149561131">
      <w:bodyDiv w:val="1"/>
      <w:marLeft w:val="0"/>
      <w:marRight w:val="0"/>
      <w:marTop w:val="0"/>
      <w:marBottom w:val="0"/>
      <w:divBdr>
        <w:top w:val="none" w:sz="0" w:space="0" w:color="auto"/>
        <w:left w:val="none" w:sz="0" w:space="0" w:color="auto"/>
        <w:bottom w:val="none" w:sz="0" w:space="0" w:color="auto"/>
        <w:right w:val="none" w:sz="0" w:space="0" w:color="auto"/>
      </w:divBdr>
    </w:div>
    <w:div w:id="150871205">
      <w:bodyDiv w:val="1"/>
      <w:marLeft w:val="0"/>
      <w:marRight w:val="0"/>
      <w:marTop w:val="0"/>
      <w:marBottom w:val="0"/>
      <w:divBdr>
        <w:top w:val="none" w:sz="0" w:space="0" w:color="auto"/>
        <w:left w:val="none" w:sz="0" w:space="0" w:color="auto"/>
        <w:bottom w:val="none" w:sz="0" w:space="0" w:color="auto"/>
        <w:right w:val="none" w:sz="0" w:space="0" w:color="auto"/>
      </w:divBdr>
    </w:div>
    <w:div w:id="151678212">
      <w:bodyDiv w:val="1"/>
      <w:marLeft w:val="0"/>
      <w:marRight w:val="0"/>
      <w:marTop w:val="0"/>
      <w:marBottom w:val="0"/>
      <w:divBdr>
        <w:top w:val="none" w:sz="0" w:space="0" w:color="auto"/>
        <w:left w:val="none" w:sz="0" w:space="0" w:color="auto"/>
        <w:bottom w:val="none" w:sz="0" w:space="0" w:color="auto"/>
        <w:right w:val="none" w:sz="0" w:space="0" w:color="auto"/>
      </w:divBdr>
    </w:div>
    <w:div w:id="153379528">
      <w:bodyDiv w:val="1"/>
      <w:marLeft w:val="0"/>
      <w:marRight w:val="0"/>
      <w:marTop w:val="0"/>
      <w:marBottom w:val="0"/>
      <w:divBdr>
        <w:top w:val="none" w:sz="0" w:space="0" w:color="auto"/>
        <w:left w:val="none" w:sz="0" w:space="0" w:color="auto"/>
        <w:bottom w:val="none" w:sz="0" w:space="0" w:color="auto"/>
        <w:right w:val="none" w:sz="0" w:space="0" w:color="auto"/>
      </w:divBdr>
    </w:div>
    <w:div w:id="153962100">
      <w:bodyDiv w:val="1"/>
      <w:marLeft w:val="0"/>
      <w:marRight w:val="0"/>
      <w:marTop w:val="0"/>
      <w:marBottom w:val="0"/>
      <w:divBdr>
        <w:top w:val="none" w:sz="0" w:space="0" w:color="auto"/>
        <w:left w:val="none" w:sz="0" w:space="0" w:color="auto"/>
        <w:bottom w:val="none" w:sz="0" w:space="0" w:color="auto"/>
        <w:right w:val="none" w:sz="0" w:space="0" w:color="auto"/>
      </w:divBdr>
    </w:div>
    <w:div w:id="157234520">
      <w:bodyDiv w:val="1"/>
      <w:marLeft w:val="0"/>
      <w:marRight w:val="0"/>
      <w:marTop w:val="0"/>
      <w:marBottom w:val="0"/>
      <w:divBdr>
        <w:top w:val="none" w:sz="0" w:space="0" w:color="auto"/>
        <w:left w:val="none" w:sz="0" w:space="0" w:color="auto"/>
        <w:bottom w:val="none" w:sz="0" w:space="0" w:color="auto"/>
        <w:right w:val="none" w:sz="0" w:space="0" w:color="auto"/>
      </w:divBdr>
    </w:div>
    <w:div w:id="161551752">
      <w:bodyDiv w:val="1"/>
      <w:marLeft w:val="0"/>
      <w:marRight w:val="0"/>
      <w:marTop w:val="0"/>
      <w:marBottom w:val="0"/>
      <w:divBdr>
        <w:top w:val="none" w:sz="0" w:space="0" w:color="auto"/>
        <w:left w:val="none" w:sz="0" w:space="0" w:color="auto"/>
        <w:bottom w:val="none" w:sz="0" w:space="0" w:color="auto"/>
        <w:right w:val="none" w:sz="0" w:space="0" w:color="auto"/>
      </w:divBdr>
    </w:div>
    <w:div w:id="162208080">
      <w:bodyDiv w:val="1"/>
      <w:marLeft w:val="0"/>
      <w:marRight w:val="0"/>
      <w:marTop w:val="0"/>
      <w:marBottom w:val="0"/>
      <w:divBdr>
        <w:top w:val="none" w:sz="0" w:space="0" w:color="auto"/>
        <w:left w:val="none" w:sz="0" w:space="0" w:color="auto"/>
        <w:bottom w:val="none" w:sz="0" w:space="0" w:color="auto"/>
        <w:right w:val="none" w:sz="0" w:space="0" w:color="auto"/>
      </w:divBdr>
    </w:div>
    <w:div w:id="165021391">
      <w:bodyDiv w:val="1"/>
      <w:marLeft w:val="0"/>
      <w:marRight w:val="0"/>
      <w:marTop w:val="0"/>
      <w:marBottom w:val="0"/>
      <w:divBdr>
        <w:top w:val="none" w:sz="0" w:space="0" w:color="auto"/>
        <w:left w:val="none" w:sz="0" w:space="0" w:color="auto"/>
        <w:bottom w:val="none" w:sz="0" w:space="0" w:color="auto"/>
        <w:right w:val="none" w:sz="0" w:space="0" w:color="auto"/>
      </w:divBdr>
    </w:div>
    <w:div w:id="167251290">
      <w:bodyDiv w:val="1"/>
      <w:marLeft w:val="0"/>
      <w:marRight w:val="0"/>
      <w:marTop w:val="0"/>
      <w:marBottom w:val="0"/>
      <w:divBdr>
        <w:top w:val="none" w:sz="0" w:space="0" w:color="auto"/>
        <w:left w:val="none" w:sz="0" w:space="0" w:color="auto"/>
        <w:bottom w:val="none" w:sz="0" w:space="0" w:color="auto"/>
        <w:right w:val="none" w:sz="0" w:space="0" w:color="auto"/>
      </w:divBdr>
    </w:div>
    <w:div w:id="167255011">
      <w:bodyDiv w:val="1"/>
      <w:marLeft w:val="0"/>
      <w:marRight w:val="0"/>
      <w:marTop w:val="0"/>
      <w:marBottom w:val="0"/>
      <w:divBdr>
        <w:top w:val="none" w:sz="0" w:space="0" w:color="auto"/>
        <w:left w:val="none" w:sz="0" w:space="0" w:color="auto"/>
        <w:bottom w:val="none" w:sz="0" w:space="0" w:color="auto"/>
        <w:right w:val="none" w:sz="0" w:space="0" w:color="auto"/>
      </w:divBdr>
    </w:div>
    <w:div w:id="169029180">
      <w:bodyDiv w:val="1"/>
      <w:marLeft w:val="0"/>
      <w:marRight w:val="0"/>
      <w:marTop w:val="0"/>
      <w:marBottom w:val="0"/>
      <w:divBdr>
        <w:top w:val="none" w:sz="0" w:space="0" w:color="auto"/>
        <w:left w:val="none" w:sz="0" w:space="0" w:color="auto"/>
        <w:bottom w:val="none" w:sz="0" w:space="0" w:color="auto"/>
        <w:right w:val="none" w:sz="0" w:space="0" w:color="auto"/>
      </w:divBdr>
    </w:div>
    <w:div w:id="170529549">
      <w:bodyDiv w:val="1"/>
      <w:marLeft w:val="0"/>
      <w:marRight w:val="0"/>
      <w:marTop w:val="0"/>
      <w:marBottom w:val="0"/>
      <w:divBdr>
        <w:top w:val="none" w:sz="0" w:space="0" w:color="auto"/>
        <w:left w:val="none" w:sz="0" w:space="0" w:color="auto"/>
        <w:bottom w:val="none" w:sz="0" w:space="0" w:color="auto"/>
        <w:right w:val="none" w:sz="0" w:space="0" w:color="auto"/>
      </w:divBdr>
    </w:div>
    <w:div w:id="171995231">
      <w:bodyDiv w:val="1"/>
      <w:marLeft w:val="0"/>
      <w:marRight w:val="0"/>
      <w:marTop w:val="0"/>
      <w:marBottom w:val="0"/>
      <w:divBdr>
        <w:top w:val="none" w:sz="0" w:space="0" w:color="auto"/>
        <w:left w:val="none" w:sz="0" w:space="0" w:color="auto"/>
        <w:bottom w:val="none" w:sz="0" w:space="0" w:color="auto"/>
        <w:right w:val="none" w:sz="0" w:space="0" w:color="auto"/>
      </w:divBdr>
    </w:div>
    <w:div w:id="172114630">
      <w:bodyDiv w:val="1"/>
      <w:marLeft w:val="0"/>
      <w:marRight w:val="0"/>
      <w:marTop w:val="0"/>
      <w:marBottom w:val="0"/>
      <w:divBdr>
        <w:top w:val="none" w:sz="0" w:space="0" w:color="auto"/>
        <w:left w:val="none" w:sz="0" w:space="0" w:color="auto"/>
        <w:bottom w:val="none" w:sz="0" w:space="0" w:color="auto"/>
        <w:right w:val="none" w:sz="0" w:space="0" w:color="auto"/>
      </w:divBdr>
    </w:div>
    <w:div w:id="174006724">
      <w:bodyDiv w:val="1"/>
      <w:marLeft w:val="0"/>
      <w:marRight w:val="0"/>
      <w:marTop w:val="0"/>
      <w:marBottom w:val="0"/>
      <w:divBdr>
        <w:top w:val="none" w:sz="0" w:space="0" w:color="auto"/>
        <w:left w:val="none" w:sz="0" w:space="0" w:color="auto"/>
        <w:bottom w:val="none" w:sz="0" w:space="0" w:color="auto"/>
        <w:right w:val="none" w:sz="0" w:space="0" w:color="auto"/>
      </w:divBdr>
    </w:div>
    <w:div w:id="174465421">
      <w:bodyDiv w:val="1"/>
      <w:marLeft w:val="0"/>
      <w:marRight w:val="0"/>
      <w:marTop w:val="0"/>
      <w:marBottom w:val="0"/>
      <w:divBdr>
        <w:top w:val="none" w:sz="0" w:space="0" w:color="auto"/>
        <w:left w:val="none" w:sz="0" w:space="0" w:color="auto"/>
        <w:bottom w:val="none" w:sz="0" w:space="0" w:color="auto"/>
        <w:right w:val="none" w:sz="0" w:space="0" w:color="auto"/>
      </w:divBdr>
    </w:div>
    <w:div w:id="174930656">
      <w:bodyDiv w:val="1"/>
      <w:marLeft w:val="0"/>
      <w:marRight w:val="0"/>
      <w:marTop w:val="0"/>
      <w:marBottom w:val="0"/>
      <w:divBdr>
        <w:top w:val="none" w:sz="0" w:space="0" w:color="auto"/>
        <w:left w:val="none" w:sz="0" w:space="0" w:color="auto"/>
        <w:bottom w:val="none" w:sz="0" w:space="0" w:color="auto"/>
        <w:right w:val="none" w:sz="0" w:space="0" w:color="auto"/>
      </w:divBdr>
    </w:div>
    <w:div w:id="175850212">
      <w:bodyDiv w:val="1"/>
      <w:marLeft w:val="0"/>
      <w:marRight w:val="0"/>
      <w:marTop w:val="0"/>
      <w:marBottom w:val="0"/>
      <w:divBdr>
        <w:top w:val="none" w:sz="0" w:space="0" w:color="auto"/>
        <w:left w:val="none" w:sz="0" w:space="0" w:color="auto"/>
        <w:bottom w:val="none" w:sz="0" w:space="0" w:color="auto"/>
        <w:right w:val="none" w:sz="0" w:space="0" w:color="auto"/>
      </w:divBdr>
    </w:div>
    <w:div w:id="176162546">
      <w:bodyDiv w:val="1"/>
      <w:marLeft w:val="0"/>
      <w:marRight w:val="0"/>
      <w:marTop w:val="0"/>
      <w:marBottom w:val="0"/>
      <w:divBdr>
        <w:top w:val="none" w:sz="0" w:space="0" w:color="auto"/>
        <w:left w:val="none" w:sz="0" w:space="0" w:color="auto"/>
        <w:bottom w:val="none" w:sz="0" w:space="0" w:color="auto"/>
        <w:right w:val="none" w:sz="0" w:space="0" w:color="auto"/>
      </w:divBdr>
    </w:div>
    <w:div w:id="176818094">
      <w:bodyDiv w:val="1"/>
      <w:marLeft w:val="0"/>
      <w:marRight w:val="0"/>
      <w:marTop w:val="0"/>
      <w:marBottom w:val="0"/>
      <w:divBdr>
        <w:top w:val="none" w:sz="0" w:space="0" w:color="auto"/>
        <w:left w:val="none" w:sz="0" w:space="0" w:color="auto"/>
        <w:bottom w:val="none" w:sz="0" w:space="0" w:color="auto"/>
        <w:right w:val="none" w:sz="0" w:space="0" w:color="auto"/>
      </w:divBdr>
    </w:div>
    <w:div w:id="176846530">
      <w:bodyDiv w:val="1"/>
      <w:marLeft w:val="0"/>
      <w:marRight w:val="0"/>
      <w:marTop w:val="0"/>
      <w:marBottom w:val="0"/>
      <w:divBdr>
        <w:top w:val="none" w:sz="0" w:space="0" w:color="auto"/>
        <w:left w:val="none" w:sz="0" w:space="0" w:color="auto"/>
        <w:bottom w:val="none" w:sz="0" w:space="0" w:color="auto"/>
        <w:right w:val="none" w:sz="0" w:space="0" w:color="auto"/>
      </w:divBdr>
    </w:div>
    <w:div w:id="178202769">
      <w:bodyDiv w:val="1"/>
      <w:marLeft w:val="0"/>
      <w:marRight w:val="0"/>
      <w:marTop w:val="0"/>
      <w:marBottom w:val="0"/>
      <w:divBdr>
        <w:top w:val="none" w:sz="0" w:space="0" w:color="auto"/>
        <w:left w:val="none" w:sz="0" w:space="0" w:color="auto"/>
        <w:bottom w:val="none" w:sz="0" w:space="0" w:color="auto"/>
        <w:right w:val="none" w:sz="0" w:space="0" w:color="auto"/>
      </w:divBdr>
    </w:div>
    <w:div w:id="178738285">
      <w:bodyDiv w:val="1"/>
      <w:marLeft w:val="0"/>
      <w:marRight w:val="0"/>
      <w:marTop w:val="0"/>
      <w:marBottom w:val="0"/>
      <w:divBdr>
        <w:top w:val="none" w:sz="0" w:space="0" w:color="auto"/>
        <w:left w:val="none" w:sz="0" w:space="0" w:color="auto"/>
        <w:bottom w:val="none" w:sz="0" w:space="0" w:color="auto"/>
        <w:right w:val="none" w:sz="0" w:space="0" w:color="auto"/>
      </w:divBdr>
    </w:div>
    <w:div w:id="180559043">
      <w:bodyDiv w:val="1"/>
      <w:marLeft w:val="0"/>
      <w:marRight w:val="0"/>
      <w:marTop w:val="0"/>
      <w:marBottom w:val="0"/>
      <w:divBdr>
        <w:top w:val="none" w:sz="0" w:space="0" w:color="auto"/>
        <w:left w:val="none" w:sz="0" w:space="0" w:color="auto"/>
        <w:bottom w:val="none" w:sz="0" w:space="0" w:color="auto"/>
        <w:right w:val="none" w:sz="0" w:space="0" w:color="auto"/>
      </w:divBdr>
    </w:div>
    <w:div w:id="181361157">
      <w:bodyDiv w:val="1"/>
      <w:marLeft w:val="0"/>
      <w:marRight w:val="0"/>
      <w:marTop w:val="0"/>
      <w:marBottom w:val="0"/>
      <w:divBdr>
        <w:top w:val="none" w:sz="0" w:space="0" w:color="auto"/>
        <w:left w:val="none" w:sz="0" w:space="0" w:color="auto"/>
        <w:bottom w:val="none" w:sz="0" w:space="0" w:color="auto"/>
        <w:right w:val="none" w:sz="0" w:space="0" w:color="auto"/>
      </w:divBdr>
    </w:div>
    <w:div w:id="181751057">
      <w:bodyDiv w:val="1"/>
      <w:marLeft w:val="0"/>
      <w:marRight w:val="0"/>
      <w:marTop w:val="0"/>
      <w:marBottom w:val="0"/>
      <w:divBdr>
        <w:top w:val="none" w:sz="0" w:space="0" w:color="auto"/>
        <w:left w:val="none" w:sz="0" w:space="0" w:color="auto"/>
        <w:bottom w:val="none" w:sz="0" w:space="0" w:color="auto"/>
        <w:right w:val="none" w:sz="0" w:space="0" w:color="auto"/>
      </w:divBdr>
    </w:div>
    <w:div w:id="182331508">
      <w:bodyDiv w:val="1"/>
      <w:marLeft w:val="0"/>
      <w:marRight w:val="0"/>
      <w:marTop w:val="0"/>
      <w:marBottom w:val="0"/>
      <w:divBdr>
        <w:top w:val="none" w:sz="0" w:space="0" w:color="auto"/>
        <w:left w:val="none" w:sz="0" w:space="0" w:color="auto"/>
        <w:bottom w:val="none" w:sz="0" w:space="0" w:color="auto"/>
        <w:right w:val="none" w:sz="0" w:space="0" w:color="auto"/>
      </w:divBdr>
    </w:div>
    <w:div w:id="182666907">
      <w:bodyDiv w:val="1"/>
      <w:marLeft w:val="0"/>
      <w:marRight w:val="0"/>
      <w:marTop w:val="0"/>
      <w:marBottom w:val="0"/>
      <w:divBdr>
        <w:top w:val="none" w:sz="0" w:space="0" w:color="auto"/>
        <w:left w:val="none" w:sz="0" w:space="0" w:color="auto"/>
        <w:bottom w:val="none" w:sz="0" w:space="0" w:color="auto"/>
        <w:right w:val="none" w:sz="0" w:space="0" w:color="auto"/>
      </w:divBdr>
    </w:div>
    <w:div w:id="182789028">
      <w:bodyDiv w:val="1"/>
      <w:marLeft w:val="0"/>
      <w:marRight w:val="0"/>
      <w:marTop w:val="0"/>
      <w:marBottom w:val="0"/>
      <w:divBdr>
        <w:top w:val="none" w:sz="0" w:space="0" w:color="auto"/>
        <w:left w:val="none" w:sz="0" w:space="0" w:color="auto"/>
        <w:bottom w:val="none" w:sz="0" w:space="0" w:color="auto"/>
        <w:right w:val="none" w:sz="0" w:space="0" w:color="auto"/>
      </w:divBdr>
    </w:div>
    <w:div w:id="184557726">
      <w:bodyDiv w:val="1"/>
      <w:marLeft w:val="0"/>
      <w:marRight w:val="0"/>
      <w:marTop w:val="0"/>
      <w:marBottom w:val="0"/>
      <w:divBdr>
        <w:top w:val="none" w:sz="0" w:space="0" w:color="auto"/>
        <w:left w:val="none" w:sz="0" w:space="0" w:color="auto"/>
        <w:bottom w:val="none" w:sz="0" w:space="0" w:color="auto"/>
        <w:right w:val="none" w:sz="0" w:space="0" w:color="auto"/>
      </w:divBdr>
    </w:div>
    <w:div w:id="185407362">
      <w:bodyDiv w:val="1"/>
      <w:marLeft w:val="0"/>
      <w:marRight w:val="0"/>
      <w:marTop w:val="0"/>
      <w:marBottom w:val="0"/>
      <w:divBdr>
        <w:top w:val="none" w:sz="0" w:space="0" w:color="auto"/>
        <w:left w:val="none" w:sz="0" w:space="0" w:color="auto"/>
        <w:bottom w:val="none" w:sz="0" w:space="0" w:color="auto"/>
        <w:right w:val="none" w:sz="0" w:space="0" w:color="auto"/>
      </w:divBdr>
    </w:div>
    <w:div w:id="187838510">
      <w:bodyDiv w:val="1"/>
      <w:marLeft w:val="0"/>
      <w:marRight w:val="0"/>
      <w:marTop w:val="0"/>
      <w:marBottom w:val="0"/>
      <w:divBdr>
        <w:top w:val="none" w:sz="0" w:space="0" w:color="auto"/>
        <w:left w:val="none" w:sz="0" w:space="0" w:color="auto"/>
        <w:bottom w:val="none" w:sz="0" w:space="0" w:color="auto"/>
        <w:right w:val="none" w:sz="0" w:space="0" w:color="auto"/>
      </w:divBdr>
    </w:div>
    <w:div w:id="188417071">
      <w:bodyDiv w:val="1"/>
      <w:marLeft w:val="0"/>
      <w:marRight w:val="0"/>
      <w:marTop w:val="0"/>
      <w:marBottom w:val="0"/>
      <w:divBdr>
        <w:top w:val="none" w:sz="0" w:space="0" w:color="auto"/>
        <w:left w:val="none" w:sz="0" w:space="0" w:color="auto"/>
        <w:bottom w:val="none" w:sz="0" w:space="0" w:color="auto"/>
        <w:right w:val="none" w:sz="0" w:space="0" w:color="auto"/>
      </w:divBdr>
    </w:div>
    <w:div w:id="189802959">
      <w:bodyDiv w:val="1"/>
      <w:marLeft w:val="0"/>
      <w:marRight w:val="0"/>
      <w:marTop w:val="0"/>
      <w:marBottom w:val="0"/>
      <w:divBdr>
        <w:top w:val="none" w:sz="0" w:space="0" w:color="auto"/>
        <w:left w:val="none" w:sz="0" w:space="0" w:color="auto"/>
        <w:bottom w:val="none" w:sz="0" w:space="0" w:color="auto"/>
        <w:right w:val="none" w:sz="0" w:space="0" w:color="auto"/>
      </w:divBdr>
    </w:div>
    <w:div w:id="190727332">
      <w:bodyDiv w:val="1"/>
      <w:marLeft w:val="0"/>
      <w:marRight w:val="0"/>
      <w:marTop w:val="0"/>
      <w:marBottom w:val="0"/>
      <w:divBdr>
        <w:top w:val="none" w:sz="0" w:space="0" w:color="auto"/>
        <w:left w:val="none" w:sz="0" w:space="0" w:color="auto"/>
        <w:bottom w:val="none" w:sz="0" w:space="0" w:color="auto"/>
        <w:right w:val="none" w:sz="0" w:space="0" w:color="auto"/>
      </w:divBdr>
    </w:div>
    <w:div w:id="197816876">
      <w:bodyDiv w:val="1"/>
      <w:marLeft w:val="0"/>
      <w:marRight w:val="0"/>
      <w:marTop w:val="0"/>
      <w:marBottom w:val="0"/>
      <w:divBdr>
        <w:top w:val="none" w:sz="0" w:space="0" w:color="auto"/>
        <w:left w:val="none" w:sz="0" w:space="0" w:color="auto"/>
        <w:bottom w:val="none" w:sz="0" w:space="0" w:color="auto"/>
        <w:right w:val="none" w:sz="0" w:space="0" w:color="auto"/>
      </w:divBdr>
    </w:div>
    <w:div w:id="199056467">
      <w:bodyDiv w:val="1"/>
      <w:marLeft w:val="0"/>
      <w:marRight w:val="0"/>
      <w:marTop w:val="0"/>
      <w:marBottom w:val="0"/>
      <w:divBdr>
        <w:top w:val="none" w:sz="0" w:space="0" w:color="auto"/>
        <w:left w:val="none" w:sz="0" w:space="0" w:color="auto"/>
        <w:bottom w:val="none" w:sz="0" w:space="0" w:color="auto"/>
        <w:right w:val="none" w:sz="0" w:space="0" w:color="auto"/>
      </w:divBdr>
    </w:div>
    <w:div w:id="199517846">
      <w:bodyDiv w:val="1"/>
      <w:marLeft w:val="0"/>
      <w:marRight w:val="0"/>
      <w:marTop w:val="0"/>
      <w:marBottom w:val="0"/>
      <w:divBdr>
        <w:top w:val="none" w:sz="0" w:space="0" w:color="auto"/>
        <w:left w:val="none" w:sz="0" w:space="0" w:color="auto"/>
        <w:bottom w:val="none" w:sz="0" w:space="0" w:color="auto"/>
        <w:right w:val="none" w:sz="0" w:space="0" w:color="auto"/>
      </w:divBdr>
    </w:div>
    <w:div w:id="199784416">
      <w:bodyDiv w:val="1"/>
      <w:marLeft w:val="0"/>
      <w:marRight w:val="0"/>
      <w:marTop w:val="0"/>
      <w:marBottom w:val="0"/>
      <w:divBdr>
        <w:top w:val="none" w:sz="0" w:space="0" w:color="auto"/>
        <w:left w:val="none" w:sz="0" w:space="0" w:color="auto"/>
        <w:bottom w:val="none" w:sz="0" w:space="0" w:color="auto"/>
        <w:right w:val="none" w:sz="0" w:space="0" w:color="auto"/>
      </w:divBdr>
    </w:div>
    <w:div w:id="199901060">
      <w:bodyDiv w:val="1"/>
      <w:marLeft w:val="0"/>
      <w:marRight w:val="0"/>
      <w:marTop w:val="0"/>
      <w:marBottom w:val="0"/>
      <w:divBdr>
        <w:top w:val="none" w:sz="0" w:space="0" w:color="auto"/>
        <w:left w:val="none" w:sz="0" w:space="0" w:color="auto"/>
        <w:bottom w:val="none" w:sz="0" w:space="0" w:color="auto"/>
        <w:right w:val="none" w:sz="0" w:space="0" w:color="auto"/>
      </w:divBdr>
    </w:div>
    <w:div w:id="202210378">
      <w:bodyDiv w:val="1"/>
      <w:marLeft w:val="0"/>
      <w:marRight w:val="0"/>
      <w:marTop w:val="0"/>
      <w:marBottom w:val="0"/>
      <w:divBdr>
        <w:top w:val="none" w:sz="0" w:space="0" w:color="auto"/>
        <w:left w:val="none" w:sz="0" w:space="0" w:color="auto"/>
        <w:bottom w:val="none" w:sz="0" w:space="0" w:color="auto"/>
        <w:right w:val="none" w:sz="0" w:space="0" w:color="auto"/>
      </w:divBdr>
    </w:div>
    <w:div w:id="202594680">
      <w:bodyDiv w:val="1"/>
      <w:marLeft w:val="0"/>
      <w:marRight w:val="0"/>
      <w:marTop w:val="0"/>
      <w:marBottom w:val="0"/>
      <w:divBdr>
        <w:top w:val="none" w:sz="0" w:space="0" w:color="auto"/>
        <w:left w:val="none" w:sz="0" w:space="0" w:color="auto"/>
        <w:bottom w:val="none" w:sz="0" w:space="0" w:color="auto"/>
        <w:right w:val="none" w:sz="0" w:space="0" w:color="auto"/>
      </w:divBdr>
    </w:div>
    <w:div w:id="203250939">
      <w:bodyDiv w:val="1"/>
      <w:marLeft w:val="0"/>
      <w:marRight w:val="0"/>
      <w:marTop w:val="0"/>
      <w:marBottom w:val="0"/>
      <w:divBdr>
        <w:top w:val="none" w:sz="0" w:space="0" w:color="auto"/>
        <w:left w:val="none" w:sz="0" w:space="0" w:color="auto"/>
        <w:bottom w:val="none" w:sz="0" w:space="0" w:color="auto"/>
        <w:right w:val="none" w:sz="0" w:space="0" w:color="auto"/>
      </w:divBdr>
    </w:div>
    <w:div w:id="205528563">
      <w:bodyDiv w:val="1"/>
      <w:marLeft w:val="0"/>
      <w:marRight w:val="0"/>
      <w:marTop w:val="0"/>
      <w:marBottom w:val="0"/>
      <w:divBdr>
        <w:top w:val="none" w:sz="0" w:space="0" w:color="auto"/>
        <w:left w:val="none" w:sz="0" w:space="0" w:color="auto"/>
        <w:bottom w:val="none" w:sz="0" w:space="0" w:color="auto"/>
        <w:right w:val="none" w:sz="0" w:space="0" w:color="auto"/>
      </w:divBdr>
    </w:div>
    <w:div w:id="206377446">
      <w:bodyDiv w:val="1"/>
      <w:marLeft w:val="0"/>
      <w:marRight w:val="0"/>
      <w:marTop w:val="0"/>
      <w:marBottom w:val="0"/>
      <w:divBdr>
        <w:top w:val="none" w:sz="0" w:space="0" w:color="auto"/>
        <w:left w:val="none" w:sz="0" w:space="0" w:color="auto"/>
        <w:bottom w:val="none" w:sz="0" w:space="0" w:color="auto"/>
        <w:right w:val="none" w:sz="0" w:space="0" w:color="auto"/>
      </w:divBdr>
    </w:div>
    <w:div w:id="206720979">
      <w:bodyDiv w:val="1"/>
      <w:marLeft w:val="0"/>
      <w:marRight w:val="0"/>
      <w:marTop w:val="0"/>
      <w:marBottom w:val="0"/>
      <w:divBdr>
        <w:top w:val="none" w:sz="0" w:space="0" w:color="auto"/>
        <w:left w:val="none" w:sz="0" w:space="0" w:color="auto"/>
        <w:bottom w:val="none" w:sz="0" w:space="0" w:color="auto"/>
        <w:right w:val="none" w:sz="0" w:space="0" w:color="auto"/>
      </w:divBdr>
    </w:div>
    <w:div w:id="207650338">
      <w:bodyDiv w:val="1"/>
      <w:marLeft w:val="0"/>
      <w:marRight w:val="0"/>
      <w:marTop w:val="0"/>
      <w:marBottom w:val="0"/>
      <w:divBdr>
        <w:top w:val="none" w:sz="0" w:space="0" w:color="auto"/>
        <w:left w:val="none" w:sz="0" w:space="0" w:color="auto"/>
        <w:bottom w:val="none" w:sz="0" w:space="0" w:color="auto"/>
        <w:right w:val="none" w:sz="0" w:space="0" w:color="auto"/>
      </w:divBdr>
    </w:div>
    <w:div w:id="208029793">
      <w:bodyDiv w:val="1"/>
      <w:marLeft w:val="0"/>
      <w:marRight w:val="0"/>
      <w:marTop w:val="0"/>
      <w:marBottom w:val="0"/>
      <w:divBdr>
        <w:top w:val="none" w:sz="0" w:space="0" w:color="auto"/>
        <w:left w:val="none" w:sz="0" w:space="0" w:color="auto"/>
        <w:bottom w:val="none" w:sz="0" w:space="0" w:color="auto"/>
        <w:right w:val="none" w:sz="0" w:space="0" w:color="auto"/>
      </w:divBdr>
    </w:div>
    <w:div w:id="208803368">
      <w:bodyDiv w:val="1"/>
      <w:marLeft w:val="0"/>
      <w:marRight w:val="0"/>
      <w:marTop w:val="0"/>
      <w:marBottom w:val="0"/>
      <w:divBdr>
        <w:top w:val="none" w:sz="0" w:space="0" w:color="auto"/>
        <w:left w:val="none" w:sz="0" w:space="0" w:color="auto"/>
        <w:bottom w:val="none" w:sz="0" w:space="0" w:color="auto"/>
        <w:right w:val="none" w:sz="0" w:space="0" w:color="auto"/>
      </w:divBdr>
    </w:div>
    <w:div w:id="210849363">
      <w:bodyDiv w:val="1"/>
      <w:marLeft w:val="0"/>
      <w:marRight w:val="0"/>
      <w:marTop w:val="0"/>
      <w:marBottom w:val="0"/>
      <w:divBdr>
        <w:top w:val="none" w:sz="0" w:space="0" w:color="auto"/>
        <w:left w:val="none" w:sz="0" w:space="0" w:color="auto"/>
        <w:bottom w:val="none" w:sz="0" w:space="0" w:color="auto"/>
        <w:right w:val="none" w:sz="0" w:space="0" w:color="auto"/>
      </w:divBdr>
    </w:div>
    <w:div w:id="211694365">
      <w:bodyDiv w:val="1"/>
      <w:marLeft w:val="0"/>
      <w:marRight w:val="0"/>
      <w:marTop w:val="0"/>
      <w:marBottom w:val="0"/>
      <w:divBdr>
        <w:top w:val="none" w:sz="0" w:space="0" w:color="auto"/>
        <w:left w:val="none" w:sz="0" w:space="0" w:color="auto"/>
        <w:bottom w:val="none" w:sz="0" w:space="0" w:color="auto"/>
        <w:right w:val="none" w:sz="0" w:space="0" w:color="auto"/>
      </w:divBdr>
    </w:div>
    <w:div w:id="213391797">
      <w:bodyDiv w:val="1"/>
      <w:marLeft w:val="0"/>
      <w:marRight w:val="0"/>
      <w:marTop w:val="0"/>
      <w:marBottom w:val="0"/>
      <w:divBdr>
        <w:top w:val="none" w:sz="0" w:space="0" w:color="auto"/>
        <w:left w:val="none" w:sz="0" w:space="0" w:color="auto"/>
        <w:bottom w:val="none" w:sz="0" w:space="0" w:color="auto"/>
        <w:right w:val="none" w:sz="0" w:space="0" w:color="auto"/>
      </w:divBdr>
    </w:div>
    <w:div w:id="213548924">
      <w:bodyDiv w:val="1"/>
      <w:marLeft w:val="0"/>
      <w:marRight w:val="0"/>
      <w:marTop w:val="0"/>
      <w:marBottom w:val="0"/>
      <w:divBdr>
        <w:top w:val="none" w:sz="0" w:space="0" w:color="auto"/>
        <w:left w:val="none" w:sz="0" w:space="0" w:color="auto"/>
        <w:bottom w:val="none" w:sz="0" w:space="0" w:color="auto"/>
        <w:right w:val="none" w:sz="0" w:space="0" w:color="auto"/>
      </w:divBdr>
    </w:div>
    <w:div w:id="214900485">
      <w:bodyDiv w:val="1"/>
      <w:marLeft w:val="0"/>
      <w:marRight w:val="0"/>
      <w:marTop w:val="0"/>
      <w:marBottom w:val="0"/>
      <w:divBdr>
        <w:top w:val="none" w:sz="0" w:space="0" w:color="auto"/>
        <w:left w:val="none" w:sz="0" w:space="0" w:color="auto"/>
        <w:bottom w:val="none" w:sz="0" w:space="0" w:color="auto"/>
        <w:right w:val="none" w:sz="0" w:space="0" w:color="auto"/>
      </w:divBdr>
    </w:div>
    <w:div w:id="215044658">
      <w:bodyDiv w:val="1"/>
      <w:marLeft w:val="0"/>
      <w:marRight w:val="0"/>
      <w:marTop w:val="0"/>
      <w:marBottom w:val="0"/>
      <w:divBdr>
        <w:top w:val="none" w:sz="0" w:space="0" w:color="auto"/>
        <w:left w:val="none" w:sz="0" w:space="0" w:color="auto"/>
        <w:bottom w:val="none" w:sz="0" w:space="0" w:color="auto"/>
        <w:right w:val="none" w:sz="0" w:space="0" w:color="auto"/>
      </w:divBdr>
    </w:div>
    <w:div w:id="218635730">
      <w:bodyDiv w:val="1"/>
      <w:marLeft w:val="0"/>
      <w:marRight w:val="0"/>
      <w:marTop w:val="0"/>
      <w:marBottom w:val="0"/>
      <w:divBdr>
        <w:top w:val="none" w:sz="0" w:space="0" w:color="auto"/>
        <w:left w:val="none" w:sz="0" w:space="0" w:color="auto"/>
        <w:bottom w:val="none" w:sz="0" w:space="0" w:color="auto"/>
        <w:right w:val="none" w:sz="0" w:space="0" w:color="auto"/>
      </w:divBdr>
    </w:div>
    <w:div w:id="22040555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2102124">
      <w:bodyDiv w:val="1"/>
      <w:marLeft w:val="0"/>
      <w:marRight w:val="0"/>
      <w:marTop w:val="0"/>
      <w:marBottom w:val="0"/>
      <w:divBdr>
        <w:top w:val="none" w:sz="0" w:space="0" w:color="auto"/>
        <w:left w:val="none" w:sz="0" w:space="0" w:color="auto"/>
        <w:bottom w:val="none" w:sz="0" w:space="0" w:color="auto"/>
        <w:right w:val="none" w:sz="0" w:space="0" w:color="auto"/>
      </w:divBdr>
    </w:div>
    <w:div w:id="222371512">
      <w:bodyDiv w:val="1"/>
      <w:marLeft w:val="0"/>
      <w:marRight w:val="0"/>
      <w:marTop w:val="0"/>
      <w:marBottom w:val="0"/>
      <w:divBdr>
        <w:top w:val="none" w:sz="0" w:space="0" w:color="auto"/>
        <w:left w:val="none" w:sz="0" w:space="0" w:color="auto"/>
        <w:bottom w:val="none" w:sz="0" w:space="0" w:color="auto"/>
        <w:right w:val="none" w:sz="0" w:space="0" w:color="auto"/>
      </w:divBdr>
    </w:div>
    <w:div w:id="225072887">
      <w:bodyDiv w:val="1"/>
      <w:marLeft w:val="0"/>
      <w:marRight w:val="0"/>
      <w:marTop w:val="0"/>
      <w:marBottom w:val="0"/>
      <w:divBdr>
        <w:top w:val="none" w:sz="0" w:space="0" w:color="auto"/>
        <w:left w:val="none" w:sz="0" w:space="0" w:color="auto"/>
        <w:bottom w:val="none" w:sz="0" w:space="0" w:color="auto"/>
        <w:right w:val="none" w:sz="0" w:space="0" w:color="auto"/>
      </w:divBdr>
    </w:div>
    <w:div w:id="225378325">
      <w:bodyDiv w:val="1"/>
      <w:marLeft w:val="0"/>
      <w:marRight w:val="0"/>
      <w:marTop w:val="0"/>
      <w:marBottom w:val="0"/>
      <w:divBdr>
        <w:top w:val="none" w:sz="0" w:space="0" w:color="auto"/>
        <w:left w:val="none" w:sz="0" w:space="0" w:color="auto"/>
        <w:bottom w:val="none" w:sz="0" w:space="0" w:color="auto"/>
        <w:right w:val="none" w:sz="0" w:space="0" w:color="auto"/>
      </w:divBdr>
      <w:divsChild>
        <w:div w:id="1448967814">
          <w:marLeft w:val="0"/>
          <w:marRight w:val="0"/>
          <w:marTop w:val="0"/>
          <w:marBottom w:val="0"/>
          <w:divBdr>
            <w:top w:val="none" w:sz="0" w:space="0" w:color="auto"/>
            <w:left w:val="none" w:sz="0" w:space="0" w:color="auto"/>
            <w:bottom w:val="none" w:sz="0" w:space="0" w:color="auto"/>
            <w:right w:val="none" w:sz="0" w:space="0" w:color="auto"/>
          </w:divBdr>
          <w:divsChild>
            <w:div w:id="534585495">
              <w:marLeft w:val="0"/>
              <w:marRight w:val="0"/>
              <w:marTop w:val="30"/>
              <w:marBottom w:val="30"/>
              <w:divBdr>
                <w:top w:val="none" w:sz="0" w:space="0" w:color="auto"/>
                <w:left w:val="none" w:sz="0" w:space="0" w:color="auto"/>
                <w:bottom w:val="none" w:sz="0" w:space="0" w:color="auto"/>
                <w:right w:val="none" w:sz="0" w:space="0" w:color="auto"/>
              </w:divBdr>
              <w:divsChild>
                <w:div w:id="88497">
                  <w:marLeft w:val="0"/>
                  <w:marRight w:val="0"/>
                  <w:marTop w:val="0"/>
                  <w:marBottom w:val="0"/>
                  <w:divBdr>
                    <w:top w:val="none" w:sz="0" w:space="0" w:color="auto"/>
                    <w:left w:val="none" w:sz="0" w:space="0" w:color="auto"/>
                    <w:bottom w:val="none" w:sz="0" w:space="0" w:color="auto"/>
                    <w:right w:val="none" w:sz="0" w:space="0" w:color="auto"/>
                  </w:divBdr>
                  <w:divsChild>
                    <w:div w:id="2134251788">
                      <w:marLeft w:val="0"/>
                      <w:marRight w:val="0"/>
                      <w:marTop w:val="0"/>
                      <w:marBottom w:val="0"/>
                      <w:divBdr>
                        <w:top w:val="none" w:sz="0" w:space="0" w:color="auto"/>
                        <w:left w:val="none" w:sz="0" w:space="0" w:color="auto"/>
                        <w:bottom w:val="none" w:sz="0" w:space="0" w:color="auto"/>
                        <w:right w:val="none" w:sz="0" w:space="0" w:color="auto"/>
                      </w:divBdr>
                    </w:div>
                  </w:divsChild>
                </w:div>
                <w:div w:id="1590307">
                  <w:marLeft w:val="0"/>
                  <w:marRight w:val="0"/>
                  <w:marTop w:val="0"/>
                  <w:marBottom w:val="0"/>
                  <w:divBdr>
                    <w:top w:val="none" w:sz="0" w:space="0" w:color="auto"/>
                    <w:left w:val="none" w:sz="0" w:space="0" w:color="auto"/>
                    <w:bottom w:val="none" w:sz="0" w:space="0" w:color="auto"/>
                    <w:right w:val="none" w:sz="0" w:space="0" w:color="auto"/>
                  </w:divBdr>
                  <w:divsChild>
                    <w:div w:id="1594581129">
                      <w:marLeft w:val="0"/>
                      <w:marRight w:val="0"/>
                      <w:marTop w:val="0"/>
                      <w:marBottom w:val="0"/>
                      <w:divBdr>
                        <w:top w:val="none" w:sz="0" w:space="0" w:color="auto"/>
                        <w:left w:val="none" w:sz="0" w:space="0" w:color="auto"/>
                        <w:bottom w:val="none" w:sz="0" w:space="0" w:color="auto"/>
                        <w:right w:val="none" w:sz="0" w:space="0" w:color="auto"/>
                      </w:divBdr>
                    </w:div>
                  </w:divsChild>
                </w:div>
                <w:div w:id="3553453">
                  <w:marLeft w:val="0"/>
                  <w:marRight w:val="0"/>
                  <w:marTop w:val="0"/>
                  <w:marBottom w:val="0"/>
                  <w:divBdr>
                    <w:top w:val="none" w:sz="0" w:space="0" w:color="auto"/>
                    <w:left w:val="none" w:sz="0" w:space="0" w:color="auto"/>
                    <w:bottom w:val="none" w:sz="0" w:space="0" w:color="auto"/>
                    <w:right w:val="none" w:sz="0" w:space="0" w:color="auto"/>
                  </w:divBdr>
                  <w:divsChild>
                    <w:div w:id="2134446715">
                      <w:marLeft w:val="0"/>
                      <w:marRight w:val="0"/>
                      <w:marTop w:val="0"/>
                      <w:marBottom w:val="0"/>
                      <w:divBdr>
                        <w:top w:val="none" w:sz="0" w:space="0" w:color="auto"/>
                        <w:left w:val="none" w:sz="0" w:space="0" w:color="auto"/>
                        <w:bottom w:val="none" w:sz="0" w:space="0" w:color="auto"/>
                        <w:right w:val="none" w:sz="0" w:space="0" w:color="auto"/>
                      </w:divBdr>
                    </w:div>
                  </w:divsChild>
                </w:div>
                <w:div w:id="5402693">
                  <w:marLeft w:val="0"/>
                  <w:marRight w:val="0"/>
                  <w:marTop w:val="0"/>
                  <w:marBottom w:val="0"/>
                  <w:divBdr>
                    <w:top w:val="none" w:sz="0" w:space="0" w:color="auto"/>
                    <w:left w:val="none" w:sz="0" w:space="0" w:color="auto"/>
                    <w:bottom w:val="none" w:sz="0" w:space="0" w:color="auto"/>
                    <w:right w:val="none" w:sz="0" w:space="0" w:color="auto"/>
                  </w:divBdr>
                  <w:divsChild>
                    <w:div w:id="1063677092">
                      <w:marLeft w:val="0"/>
                      <w:marRight w:val="0"/>
                      <w:marTop w:val="0"/>
                      <w:marBottom w:val="0"/>
                      <w:divBdr>
                        <w:top w:val="none" w:sz="0" w:space="0" w:color="auto"/>
                        <w:left w:val="none" w:sz="0" w:space="0" w:color="auto"/>
                        <w:bottom w:val="none" w:sz="0" w:space="0" w:color="auto"/>
                        <w:right w:val="none" w:sz="0" w:space="0" w:color="auto"/>
                      </w:divBdr>
                    </w:div>
                  </w:divsChild>
                </w:div>
                <w:div w:id="6297747">
                  <w:marLeft w:val="0"/>
                  <w:marRight w:val="0"/>
                  <w:marTop w:val="0"/>
                  <w:marBottom w:val="0"/>
                  <w:divBdr>
                    <w:top w:val="none" w:sz="0" w:space="0" w:color="auto"/>
                    <w:left w:val="none" w:sz="0" w:space="0" w:color="auto"/>
                    <w:bottom w:val="none" w:sz="0" w:space="0" w:color="auto"/>
                    <w:right w:val="none" w:sz="0" w:space="0" w:color="auto"/>
                  </w:divBdr>
                  <w:divsChild>
                    <w:div w:id="204755550">
                      <w:marLeft w:val="0"/>
                      <w:marRight w:val="0"/>
                      <w:marTop w:val="0"/>
                      <w:marBottom w:val="0"/>
                      <w:divBdr>
                        <w:top w:val="none" w:sz="0" w:space="0" w:color="auto"/>
                        <w:left w:val="none" w:sz="0" w:space="0" w:color="auto"/>
                        <w:bottom w:val="none" w:sz="0" w:space="0" w:color="auto"/>
                        <w:right w:val="none" w:sz="0" w:space="0" w:color="auto"/>
                      </w:divBdr>
                    </w:div>
                  </w:divsChild>
                </w:div>
                <w:div w:id="10223702">
                  <w:marLeft w:val="0"/>
                  <w:marRight w:val="0"/>
                  <w:marTop w:val="0"/>
                  <w:marBottom w:val="0"/>
                  <w:divBdr>
                    <w:top w:val="none" w:sz="0" w:space="0" w:color="auto"/>
                    <w:left w:val="none" w:sz="0" w:space="0" w:color="auto"/>
                    <w:bottom w:val="none" w:sz="0" w:space="0" w:color="auto"/>
                    <w:right w:val="none" w:sz="0" w:space="0" w:color="auto"/>
                  </w:divBdr>
                  <w:divsChild>
                    <w:div w:id="596645406">
                      <w:marLeft w:val="0"/>
                      <w:marRight w:val="0"/>
                      <w:marTop w:val="0"/>
                      <w:marBottom w:val="0"/>
                      <w:divBdr>
                        <w:top w:val="none" w:sz="0" w:space="0" w:color="auto"/>
                        <w:left w:val="none" w:sz="0" w:space="0" w:color="auto"/>
                        <w:bottom w:val="none" w:sz="0" w:space="0" w:color="auto"/>
                        <w:right w:val="none" w:sz="0" w:space="0" w:color="auto"/>
                      </w:divBdr>
                    </w:div>
                  </w:divsChild>
                </w:div>
                <w:div w:id="17004707">
                  <w:marLeft w:val="0"/>
                  <w:marRight w:val="0"/>
                  <w:marTop w:val="0"/>
                  <w:marBottom w:val="0"/>
                  <w:divBdr>
                    <w:top w:val="none" w:sz="0" w:space="0" w:color="auto"/>
                    <w:left w:val="none" w:sz="0" w:space="0" w:color="auto"/>
                    <w:bottom w:val="none" w:sz="0" w:space="0" w:color="auto"/>
                    <w:right w:val="none" w:sz="0" w:space="0" w:color="auto"/>
                  </w:divBdr>
                  <w:divsChild>
                    <w:div w:id="2017341427">
                      <w:marLeft w:val="0"/>
                      <w:marRight w:val="0"/>
                      <w:marTop w:val="0"/>
                      <w:marBottom w:val="0"/>
                      <w:divBdr>
                        <w:top w:val="none" w:sz="0" w:space="0" w:color="auto"/>
                        <w:left w:val="none" w:sz="0" w:space="0" w:color="auto"/>
                        <w:bottom w:val="none" w:sz="0" w:space="0" w:color="auto"/>
                        <w:right w:val="none" w:sz="0" w:space="0" w:color="auto"/>
                      </w:divBdr>
                    </w:div>
                  </w:divsChild>
                </w:div>
                <w:div w:id="21562464">
                  <w:marLeft w:val="0"/>
                  <w:marRight w:val="0"/>
                  <w:marTop w:val="0"/>
                  <w:marBottom w:val="0"/>
                  <w:divBdr>
                    <w:top w:val="none" w:sz="0" w:space="0" w:color="auto"/>
                    <w:left w:val="none" w:sz="0" w:space="0" w:color="auto"/>
                    <w:bottom w:val="none" w:sz="0" w:space="0" w:color="auto"/>
                    <w:right w:val="none" w:sz="0" w:space="0" w:color="auto"/>
                  </w:divBdr>
                  <w:divsChild>
                    <w:div w:id="52431382">
                      <w:marLeft w:val="0"/>
                      <w:marRight w:val="0"/>
                      <w:marTop w:val="0"/>
                      <w:marBottom w:val="0"/>
                      <w:divBdr>
                        <w:top w:val="none" w:sz="0" w:space="0" w:color="auto"/>
                        <w:left w:val="none" w:sz="0" w:space="0" w:color="auto"/>
                        <w:bottom w:val="none" w:sz="0" w:space="0" w:color="auto"/>
                        <w:right w:val="none" w:sz="0" w:space="0" w:color="auto"/>
                      </w:divBdr>
                    </w:div>
                  </w:divsChild>
                </w:div>
                <w:div w:id="22753128">
                  <w:marLeft w:val="0"/>
                  <w:marRight w:val="0"/>
                  <w:marTop w:val="0"/>
                  <w:marBottom w:val="0"/>
                  <w:divBdr>
                    <w:top w:val="none" w:sz="0" w:space="0" w:color="auto"/>
                    <w:left w:val="none" w:sz="0" w:space="0" w:color="auto"/>
                    <w:bottom w:val="none" w:sz="0" w:space="0" w:color="auto"/>
                    <w:right w:val="none" w:sz="0" w:space="0" w:color="auto"/>
                  </w:divBdr>
                  <w:divsChild>
                    <w:div w:id="269581968">
                      <w:marLeft w:val="0"/>
                      <w:marRight w:val="0"/>
                      <w:marTop w:val="0"/>
                      <w:marBottom w:val="0"/>
                      <w:divBdr>
                        <w:top w:val="none" w:sz="0" w:space="0" w:color="auto"/>
                        <w:left w:val="none" w:sz="0" w:space="0" w:color="auto"/>
                        <w:bottom w:val="none" w:sz="0" w:space="0" w:color="auto"/>
                        <w:right w:val="none" w:sz="0" w:space="0" w:color="auto"/>
                      </w:divBdr>
                    </w:div>
                  </w:divsChild>
                </w:div>
                <w:div w:id="26301829">
                  <w:marLeft w:val="0"/>
                  <w:marRight w:val="0"/>
                  <w:marTop w:val="0"/>
                  <w:marBottom w:val="0"/>
                  <w:divBdr>
                    <w:top w:val="none" w:sz="0" w:space="0" w:color="auto"/>
                    <w:left w:val="none" w:sz="0" w:space="0" w:color="auto"/>
                    <w:bottom w:val="none" w:sz="0" w:space="0" w:color="auto"/>
                    <w:right w:val="none" w:sz="0" w:space="0" w:color="auto"/>
                  </w:divBdr>
                  <w:divsChild>
                    <w:div w:id="577599723">
                      <w:marLeft w:val="0"/>
                      <w:marRight w:val="0"/>
                      <w:marTop w:val="0"/>
                      <w:marBottom w:val="0"/>
                      <w:divBdr>
                        <w:top w:val="none" w:sz="0" w:space="0" w:color="auto"/>
                        <w:left w:val="none" w:sz="0" w:space="0" w:color="auto"/>
                        <w:bottom w:val="none" w:sz="0" w:space="0" w:color="auto"/>
                        <w:right w:val="none" w:sz="0" w:space="0" w:color="auto"/>
                      </w:divBdr>
                    </w:div>
                  </w:divsChild>
                </w:div>
                <w:div w:id="56364392">
                  <w:marLeft w:val="0"/>
                  <w:marRight w:val="0"/>
                  <w:marTop w:val="0"/>
                  <w:marBottom w:val="0"/>
                  <w:divBdr>
                    <w:top w:val="none" w:sz="0" w:space="0" w:color="auto"/>
                    <w:left w:val="none" w:sz="0" w:space="0" w:color="auto"/>
                    <w:bottom w:val="none" w:sz="0" w:space="0" w:color="auto"/>
                    <w:right w:val="none" w:sz="0" w:space="0" w:color="auto"/>
                  </w:divBdr>
                  <w:divsChild>
                    <w:div w:id="558638413">
                      <w:marLeft w:val="0"/>
                      <w:marRight w:val="0"/>
                      <w:marTop w:val="0"/>
                      <w:marBottom w:val="0"/>
                      <w:divBdr>
                        <w:top w:val="none" w:sz="0" w:space="0" w:color="auto"/>
                        <w:left w:val="none" w:sz="0" w:space="0" w:color="auto"/>
                        <w:bottom w:val="none" w:sz="0" w:space="0" w:color="auto"/>
                        <w:right w:val="none" w:sz="0" w:space="0" w:color="auto"/>
                      </w:divBdr>
                    </w:div>
                  </w:divsChild>
                </w:div>
                <w:div w:id="60950130">
                  <w:marLeft w:val="0"/>
                  <w:marRight w:val="0"/>
                  <w:marTop w:val="0"/>
                  <w:marBottom w:val="0"/>
                  <w:divBdr>
                    <w:top w:val="none" w:sz="0" w:space="0" w:color="auto"/>
                    <w:left w:val="none" w:sz="0" w:space="0" w:color="auto"/>
                    <w:bottom w:val="none" w:sz="0" w:space="0" w:color="auto"/>
                    <w:right w:val="none" w:sz="0" w:space="0" w:color="auto"/>
                  </w:divBdr>
                  <w:divsChild>
                    <w:div w:id="2135563219">
                      <w:marLeft w:val="0"/>
                      <w:marRight w:val="0"/>
                      <w:marTop w:val="0"/>
                      <w:marBottom w:val="0"/>
                      <w:divBdr>
                        <w:top w:val="none" w:sz="0" w:space="0" w:color="auto"/>
                        <w:left w:val="none" w:sz="0" w:space="0" w:color="auto"/>
                        <w:bottom w:val="none" w:sz="0" w:space="0" w:color="auto"/>
                        <w:right w:val="none" w:sz="0" w:space="0" w:color="auto"/>
                      </w:divBdr>
                    </w:div>
                  </w:divsChild>
                </w:div>
                <w:div w:id="63378753">
                  <w:marLeft w:val="0"/>
                  <w:marRight w:val="0"/>
                  <w:marTop w:val="0"/>
                  <w:marBottom w:val="0"/>
                  <w:divBdr>
                    <w:top w:val="none" w:sz="0" w:space="0" w:color="auto"/>
                    <w:left w:val="none" w:sz="0" w:space="0" w:color="auto"/>
                    <w:bottom w:val="none" w:sz="0" w:space="0" w:color="auto"/>
                    <w:right w:val="none" w:sz="0" w:space="0" w:color="auto"/>
                  </w:divBdr>
                  <w:divsChild>
                    <w:div w:id="1917781946">
                      <w:marLeft w:val="0"/>
                      <w:marRight w:val="0"/>
                      <w:marTop w:val="0"/>
                      <w:marBottom w:val="0"/>
                      <w:divBdr>
                        <w:top w:val="none" w:sz="0" w:space="0" w:color="auto"/>
                        <w:left w:val="none" w:sz="0" w:space="0" w:color="auto"/>
                        <w:bottom w:val="none" w:sz="0" w:space="0" w:color="auto"/>
                        <w:right w:val="none" w:sz="0" w:space="0" w:color="auto"/>
                      </w:divBdr>
                    </w:div>
                  </w:divsChild>
                </w:div>
                <w:div w:id="67193082">
                  <w:marLeft w:val="0"/>
                  <w:marRight w:val="0"/>
                  <w:marTop w:val="0"/>
                  <w:marBottom w:val="0"/>
                  <w:divBdr>
                    <w:top w:val="none" w:sz="0" w:space="0" w:color="auto"/>
                    <w:left w:val="none" w:sz="0" w:space="0" w:color="auto"/>
                    <w:bottom w:val="none" w:sz="0" w:space="0" w:color="auto"/>
                    <w:right w:val="none" w:sz="0" w:space="0" w:color="auto"/>
                  </w:divBdr>
                  <w:divsChild>
                    <w:div w:id="2096046232">
                      <w:marLeft w:val="0"/>
                      <w:marRight w:val="0"/>
                      <w:marTop w:val="0"/>
                      <w:marBottom w:val="0"/>
                      <w:divBdr>
                        <w:top w:val="none" w:sz="0" w:space="0" w:color="auto"/>
                        <w:left w:val="none" w:sz="0" w:space="0" w:color="auto"/>
                        <w:bottom w:val="none" w:sz="0" w:space="0" w:color="auto"/>
                        <w:right w:val="none" w:sz="0" w:space="0" w:color="auto"/>
                      </w:divBdr>
                    </w:div>
                  </w:divsChild>
                </w:div>
                <w:div w:id="74784721">
                  <w:marLeft w:val="0"/>
                  <w:marRight w:val="0"/>
                  <w:marTop w:val="0"/>
                  <w:marBottom w:val="0"/>
                  <w:divBdr>
                    <w:top w:val="none" w:sz="0" w:space="0" w:color="auto"/>
                    <w:left w:val="none" w:sz="0" w:space="0" w:color="auto"/>
                    <w:bottom w:val="none" w:sz="0" w:space="0" w:color="auto"/>
                    <w:right w:val="none" w:sz="0" w:space="0" w:color="auto"/>
                  </w:divBdr>
                  <w:divsChild>
                    <w:div w:id="1434863654">
                      <w:marLeft w:val="0"/>
                      <w:marRight w:val="0"/>
                      <w:marTop w:val="0"/>
                      <w:marBottom w:val="0"/>
                      <w:divBdr>
                        <w:top w:val="none" w:sz="0" w:space="0" w:color="auto"/>
                        <w:left w:val="none" w:sz="0" w:space="0" w:color="auto"/>
                        <w:bottom w:val="none" w:sz="0" w:space="0" w:color="auto"/>
                        <w:right w:val="none" w:sz="0" w:space="0" w:color="auto"/>
                      </w:divBdr>
                    </w:div>
                  </w:divsChild>
                </w:div>
                <w:div w:id="80761584">
                  <w:marLeft w:val="0"/>
                  <w:marRight w:val="0"/>
                  <w:marTop w:val="0"/>
                  <w:marBottom w:val="0"/>
                  <w:divBdr>
                    <w:top w:val="none" w:sz="0" w:space="0" w:color="auto"/>
                    <w:left w:val="none" w:sz="0" w:space="0" w:color="auto"/>
                    <w:bottom w:val="none" w:sz="0" w:space="0" w:color="auto"/>
                    <w:right w:val="none" w:sz="0" w:space="0" w:color="auto"/>
                  </w:divBdr>
                  <w:divsChild>
                    <w:div w:id="1688822387">
                      <w:marLeft w:val="0"/>
                      <w:marRight w:val="0"/>
                      <w:marTop w:val="0"/>
                      <w:marBottom w:val="0"/>
                      <w:divBdr>
                        <w:top w:val="none" w:sz="0" w:space="0" w:color="auto"/>
                        <w:left w:val="none" w:sz="0" w:space="0" w:color="auto"/>
                        <w:bottom w:val="none" w:sz="0" w:space="0" w:color="auto"/>
                        <w:right w:val="none" w:sz="0" w:space="0" w:color="auto"/>
                      </w:divBdr>
                    </w:div>
                  </w:divsChild>
                </w:div>
                <w:div w:id="81534681">
                  <w:marLeft w:val="0"/>
                  <w:marRight w:val="0"/>
                  <w:marTop w:val="0"/>
                  <w:marBottom w:val="0"/>
                  <w:divBdr>
                    <w:top w:val="none" w:sz="0" w:space="0" w:color="auto"/>
                    <w:left w:val="none" w:sz="0" w:space="0" w:color="auto"/>
                    <w:bottom w:val="none" w:sz="0" w:space="0" w:color="auto"/>
                    <w:right w:val="none" w:sz="0" w:space="0" w:color="auto"/>
                  </w:divBdr>
                  <w:divsChild>
                    <w:div w:id="1852182112">
                      <w:marLeft w:val="0"/>
                      <w:marRight w:val="0"/>
                      <w:marTop w:val="0"/>
                      <w:marBottom w:val="0"/>
                      <w:divBdr>
                        <w:top w:val="none" w:sz="0" w:space="0" w:color="auto"/>
                        <w:left w:val="none" w:sz="0" w:space="0" w:color="auto"/>
                        <w:bottom w:val="none" w:sz="0" w:space="0" w:color="auto"/>
                        <w:right w:val="none" w:sz="0" w:space="0" w:color="auto"/>
                      </w:divBdr>
                    </w:div>
                  </w:divsChild>
                </w:div>
                <w:div w:id="84494793">
                  <w:marLeft w:val="0"/>
                  <w:marRight w:val="0"/>
                  <w:marTop w:val="0"/>
                  <w:marBottom w:val="0"/>
                  <w:divBdr>
                    <w:top w:val="none" w:sz="0" w:space="0" w:color="auto"/>
                    <w:left w:val="none" w:sz="0" w:space="0" w:color="auto"/>
                    <w:bottom w:val="none" w:sz="0" w:space="0" w:color="auto"/>
                    <w:right w:val="none" w:sz="0" w:space="0" w:color="auto"/>
                  </w:divBdr>
                  <w:divsChild>
                    <w:div w:id="1036926226">
                      <w:marLeft w:val="0"/>
                      <w:marRight w:val="0"/>
                      <w:marTop w:val="0"/>
                      <w:marBottom w:val="0"/>
                      <w:divBdr>
                        <w:top w:val="none" w:sz="0" w:space="0" w:color="auto"/>
                        <w:left w:val="none" w:sz="0" w:space="0" w:color="auto"/>
                        <w:bottom w:val="none" w:sz="0" w:space="0" w:color="auto"/>
                        <w:right w:val="none" w:sz="0" w:space="0" w:color="auto"/>
                      </w:divBdr>
                    </w:div>
                  </w:divsChild>
                </w:div>
                <w:div w:id="86512216">
                  <w:marLeft w:val="0"/>
                  <w:marRight w:val="0"/>
                  <w:marTop w:val="0"/>
                  <w:marBottom w:val="0"/>
                  <w:divBdr>
                    <w:top w:val="none" w:sz="0" w:space="0" w:color="auto"/>
                    <w:left w:val="none" w:sz="0" w:space="0" w:color="auto"/>
                    <w:bottom w:val="none" w:sz="0" w:space="0" w:color="auto"/>
                    <w:right w:val="none" w:sz="0" w:space="0" w:color="auto"/>
                  </w:divBdr>
                  <w:divsChild>
                    <w:div w:id="2105297588">
                      <w:marLeft w:val="0"/>
                      <w:marRight w:val="0"/>
                      <w:marTop w:val="0"/>
                      <w:marBottom w:val="0"/>
                      <w:divBdr>
                        <w:top w:val="none" w:sz="0" w:space="0" w:color="auto"/>
                        <w:left w:val="none" w:sz="0" w:space="0" w:color="auto"/>
                        <w:bottom w:val="none" w:sz="0" w:space="0" w:color="auto"/>
                        <w:right w:val="none" w:sz="0" w:space="0" w:color="auto"/>
                      </w:divBdr>
                    </w:div>
                  </w:divsChild>
                </w:div>
                <w:div w:id="90666301">
                  <w:marLeft w:val="0"/>
                  <w:marRight w:val="0"/>
                  <w:marTop w:val="0"/>
                  <w:marBottom w:val="0"/>
                  <w:divBdr>
                    <w:top w:val="none" w:sz="0" w:space="0" w:color="auto"/>
                    <w:left w:val="none" w:sz="0" w:space="0" w:color="auto"/>
                    <w:bottom w:val="none" w:sz="0" w:space="0" w:color="auto"/>
                    <w:right w:val="none" w:sz="0" w:space="0" w:color="auto"/>
                  </w:divBdr>
                  <w:divsChild>
                    <w:div w:id="1206408154">
                      <w:marLeft w:val="0"/>
                      <w:marRight w:val="0"/>
                      <w:marTop w:val="0"/>
                      <w:marBottom w:val="0"/>
                      <w:divBdr>
                        <w:top w:val="none" w:sz="0" w:space="0" w:color="auto"/>
                        <w:left w:val="none" w:sz="0" w:space="0" w:color="auto"/>
                        <w:bottom w:val="none" w:sz="0" w:space="0" w:color="auto"/>
                        <w:right w:val="none" w:sz="0" w:space="0" w:color="auto"/>
                      </w:divBdr>
                    </w:div>
                  </w:divsChild>
                </w:div>
                <w:div w:id="91825121">
                  <w:marLeft w:val="0"/>
                  <w:marRight w:val="0"/>
                  <w:marTop w:val="0"/>
                  <w:marBottom w:val="0"/>
                  <w:divBdr>
                    <w:top w:val="none" w:sz="0" w:space="0" w:color="auto"/>
                    <w:left w:val="none" w:sz="0" w:space="0" w:color="auto"/>
                    <w:bottom w:val="none" w:sz="0" w:space="0" w:color="auto"/>
                    <w:right w:val="none" w:sz="0" w:space="0" w:color="auto"/>
                  </w:divBdr>
                  <w:divsChild>
                    <w:div w:id="2088841593">
                      <w:marLeft w:val="0"/>
                      <w:marRight w:val="0"/>
                      <w:marTop w:val="0"/>
                      <w:marBottom w:val="0"/>
                      <w:divBdr>
                        <w:top w:val="none" w:sz="0" w:space="0" w:color="auto"/>
                        <w:left w:val="none" w:sz="0" w:space="0" w:color="auto"/>
                        <w:bottom w:val="none" w:sz="0" w:space="0" w:color="auto"/>
                        <w:right w:val="none" w:sz="0" w:space="0" w:color="auto"/>
                      </w:divBdr>
                    </w:div>
                  </w:divsChild>
                </w:div>
                <w:div w:id="94329227">
                  <w:marLeft w:val="0"/>
                  <w:marRight w:val="0"/>
                  <w:marTop w:val="0"/>
                  <w:marBottom w:val="0"/>
                  <w:divBdr>
                    <w:top w:val="none" w:sz="0" w:space="0" w:color="auto"/>
                    <w:left w:val="none" w:sz="0" w:space="0" w:color="auto"/>
                    <w:bottom w:val="none" w:sz="0" w:space="0" w:color="auto"/>
                    <w:right w:val="none" w:sz="0" w:space="0" w:color="auto"/>
                  </w:divBdr>
                  <w:divsChild>
                    <w:div w:id="2096047987">
                      <w:marLeft w:val="0"/>
                      <w:marRight w:val="0"/>
                      <w:marTop w:val="0"/>
                      <w:marBottom w:val="0"/>
                      <w:divBdr>
                        <w:top w:val="none" w:sz="0" w:space="0" w:color="auto"/>
                        <w:left w:val="none" w:sz="0" w:space="0" w:color="auto"/>
                        <w:bottom w:val="none" w:sz="0" w:space="0" w:color="auto"/>
                        <w:right w:val="none" w:sz="0" w:space="0" w:color="auto"/>
                      </w:divBdr>
                    </w:div>
                  </w:divsChild>
                </w:div>
                <w:div w:id="103809106">
                  <w:marLeft w:val="0"/>
                  <w:marRight w:val="0"/>
                  <w:marTop w:val="0"/>
                  <w:marBottom w:val="0"/>
                  <w:divBdr>
                    <w:top w:val="none" w:sz="0" w:space="0" w:color="auto"/>
                    <w:left w:val="none" w:sz="0" w:space="0" w:color="auto"/>
                    <w:bottom w:val="none" w:sz="0" w:space="0" w:color="auto"/>
                    <w:right w:val="none" w:sz="0" w:space="0" w:color="auto"/>
                  </w:divBdr>
                  <w:divsChild>
                    <w:div w:id="1118988062">
                      <w:marLeft w:val="0"/>
                      <w:marRight w:val="0"/>
                      <w:marTop w:val="0"/>
                      <w:marBottom w:val="0"/>
                      <w:divBdr>
                        <w:top w:val="none" w:sz="0" w:space="0" w:color="auto"/>
                        <w:left w:val="none" w:sz="0" w:space="0" w:color="auto"/>
                        <w:bottom w:val="none" w:sz="0" w:space="0" w:color="auto"/>
                        <w:right w:val="none" w:sz="0" w:space="0" w:color="auto"/>
                      </w:divBdr>
                    </w:div>
                  </w:divsChild>
                </w:div>
                <w:div w:id="107700104">
                  <w:marLeft w:val="0"/>
                  <w:marRight w:val="0"/>
                  <w:marTop w:val="0"/>
                  <w:marBottom w:val="0"/>
                  <w:divBdr>
                    <w:top w:val="none" w:sz="0" w:space="0" w:color="auto"/>
                    <w:left w:val="none" w:sz="0" w:space="0" w:color="auto"/>
                    <w:bottom w:val="none" w:sz="0" w:space="0" w:color="auto"/>
                    <w:right w:val="none" w:sz="0" w:space="0" w:color="auto"/>
                  </w:divBdr>
                  <w:divsChild>
                    <w:div w:id="1093934516">
                      <w:marLeft w:val="0"/>
                      <w:marRight w:val="0"/>
                      <w:marTop w:val="0"/>
                      <w:marBottom w:val="0"/>
                      <w:divBdr>
                        <w:top w:val="none" w:sz="0" w:space="0" w:color="auto"/>
                        <w:left w:val="none" w:sz="0" w:space="0" w:color="auto"/>
                        <w:bottom w:val="none" w:sz="0" w:space="0" w:color="auto"/>
                        <w:right w:val="none" w:sz="0" w:space="0" w:color="auto"/>
                      </w:divBdr>
                    </w:div>
                  </w:divsChild>
                </w:div>
                <w:div w:id="115757832">
                  <w:marLeft w:val="0"/>
                  <w:marRight w:val="0"/>
                  <w:marTop w:val="0"/>
                  <w:marBottom w:val="0"/>
                  <w:divBdr>
                    <w:top w:val="none" w:sz="0" w:space="0" w:color="auto"/>
                    <w:left w:val="none" w:sz="0" w:space="0" w:color="auto"/>
                    <w:bottom w:val="none" w:sz="0" w:space="0" w:color="auto"/>
                    <w:right w:val="none" w:sz="0" w:space="0" w:color="auto"/>
                  </w:divBdr>
                  <w:divsChild>
                    <w:div w:id="554852369">
                      <w:marLeft w:val="0"/>
                      <w:marRight w:val="0"/>
                      <w:marTop w:val="0"/>
                      <w:marBottom w:val="0"/>
                      <w:divBdr>
                        <w:top w:val="none" w:sz="0" w:space="0" w:color="auto"/>
                        <w:left w:val="none" w:sz="0" w:space="0" w:color="auto"/>
                        <w:bottom w:val="none" w:sz="0" w:space="0" w:color="auto"/>
                        <w:right w:val="none" w:sz="0" w:space="0" w:color="auto"/>
                      </w:divBdr>
                    </w:div>
                  </w:divsChild>
                </w:div>
                <w:div w:id="124008766">
                  <w:marLeft w:val="0"/>
                  <w:marRight w:val="0"/>
                  <w:marTop w:val="0"/>
                  <w:marBottom w:val="0"/>
                  <w:divBdr>
                    <w:top w:val="none" w:sz="0" w:space="0" w:color="auto"/>
                    <w:left w:val="none" w:sz="0" w:space="0" w:color="auto"/>
                    <w:bottom w:val="none" w:sz="0" w:space="0" w:color="auto"/>
                    <w:right w:val="none" w:sz="0" w:space="0" w:color="auto"/>
                  </w:divBdr>
                  <w:divsChild>
                    <w:div w:id="1064526405">
                      <w:marLeft w:val="0"/>
                      <w:marRight w:val="0"/>
                      <w:marTop w:val="0"/>
                      <w:marBottom w:val="0"/>
                      <w:divBdr>
                        <w:top w:val="none" w:sz="0" w:space="0" w:color="auto"/>
                        <w:left w:val="none" w:sz="0" w:space="0" w:color="auto"/>
                        <w:bottom w:val="none" w:sz="0" w:space="0" w:color="auto"/>
                        <w:right w:val="none" w:sz="0" w:space="0" w:color="auto"/>
                      </w:divBdr>
                    </w:div>
                  </w:divsChild>
                </w:div>
                <w:div w:id="127405075">
                  <w:marLeft w:val="0"/>
                  <w:marRight w:val="0"/>
                  <w:marTop w:val="0"/>
                  <w:marBottom w:val="0"/>
                  <w:divBdr>
                    <w:top w:val="none" w:sz="0" w:space="0" w:color="auto"/>
                    <w:left w:val="none" w:sz="0" w:space="0" w:color="auto"/>
                    <w:bottom w:val="none" w:sz="0" w:space="0" w:color="auto"/>
                    <w:right w:val="none" w:sz="0" w:space="0" w:color="auto"/>
                  </w:divBdr>
                  <w:divsChild>
                    <w:div w:id="1871525381">
                      <w:marLeft w:val="0"/>
                      <w:marRight w:val="0"/>
                      <w:marTop w:val="0"/>
                      <w:marBottom w:val="0"/>
                      <w:divBdr>
                        <w:top w:val="none" w:sz="0" w:space="0" w:color="auto"/>
                        <w:left w:val="none" w:sz="0" w:space="0" w:color="auto"/>
                        <w:bottom w:val="none" w:sz="0" w:space="0" w:color="auto"/>
                        <w:right w:val="none" w:sz="0" w:space="0" w:color="auto"/>
                      </w:divBdr>
                    </w:div>
                  </w:divsChild>
                </w:div>
                <w:div w:id="128283368">
                  <w:marLeft w:val="0"/>
                  <w:marRight w:val="0"/>
                  <w:marTop w:val="0"/>
                  <w:marBottom w:val="0"/>
                  <w:divBdr>
                    <w:top w:val="none" w:sz="0" w:space="0" w:color="auto"/>
                    <w:left w:val="none" w:sz="0" w:space="0" w:color="auto"/>
                    <w:bottom w:val="none" w:sz="0" w:space="0" w:color="auto"/>
                    <w:right w:val="none" w:sz="0" w:space="0" w:color="auto"/>
                  </w:divBdr>
                  <w:divsChild>
                    <w:div w:id="498885502">
                      <w:marLeft w:val="0"/>
                      <w:marRight w:val="0"/>
                      <w:marTop w:val="0"/>
                      <w:marBottom w:val="0"/>
                      <w:divBdr>
                        <w:top w:val="none" w:sz="0" w:space="0" w:color="auto"/>
                        <w:left w:val="none" w:sz="0" w:space="0" w:color="auto"/>
                        <w:bottom w:val="none" w:sz="0" w:space="0" w:color="auto"/>
                        <w:right w:val="none" w:sz="0" w:space="0" w:color="auto"/>
                      </w:divBdr>
                    </w:div>
                  </w:divsChild>
                </w:div>
                <w:div w:id="130707805">
                  <w:marLeft w:val="0"/>
                  <w:marRight w:val="0"/>
                  <w:marTop w:val="0"/>
                  <w:marBottom w:val="0"/>
                  <w:divBdr>
                    <w:top w:val="none" w:sz="0" w:space="0" w:color="auto"/>
                    <w:left w:val="none" w:sz="0" w:space="0" w:color="auto"/>
                    <w:bottom w:val="none" w:sz="0" w:space="0" w:color="auto"/>
                    <w:right w:val="none" w:sz="0" w:space="0" w:color="auto"/>
                  </w:divBdr>
                  <w:divsChild>
                    <w:div w:id="1963265022">
                      <w:marLeft w:val="0"/>
                      <w:marRight w:val="0"/>
                      <w:marTop w:val="0"/>
                      <w:marBottom w:val="0"/>
                      <w:divBdr>
                        <w:top w:val="none" w:sz="0" w:space="0" w:color="auto"/>
                        <w:left w:val="none" w:sz="0" w:space="0" w:color="auto"/>
                        <w:bottom w:val="none" w:sz="0" w:space="0" w:color="auto"/>
                        <w:right w:val="none" w:sz="0" w:space="0" w:color="auto"/>
                      </w:divBdr>
                    </w:div>
                  </w:divsChild>
                </w:div>
                <w:div w:id="139465308">
                  <w:marLeft w:val="0"/>
                  <w:marRight w:val="0"/>
                  <w:marTop w:val="0"/>
                  <w:marBottom w:val="0"/>
                  <w:divBdr>
                    <w:top w:val="none" w:sz="0" w:space="0" w:color="auto"/>
                    <w:left w:val="none" w:sz="0" w:space="0" w:color="auto"/>
                    <w:bottom w:val="none" w:sz="0" w:space="0" w:color="auto"/>
                    <w:right w:val="none" w:sz="0" w:space="0" w:color="auto"/>
                  </w:divBdr>
                  <w:divsChild>
                    <w:div w:id="320892432">
                      <w:marLeft w:val="0"/>
                      <w:marRight w:val="0"/>
                      <w:marTop w:val="0"/>
                      <w:marBottom w:val="0"/>
                      <w:divBdr>
                        <w:top w:val="none" w:sz="0" w:space="0" w:color="auto"/>
                        <w:left w:val="none" w:sz="0" w:space="0" w:color="auto"/>
                        <w:bottom w:val="none" w:sz="0" w:space="0" w:color="auto"/>
                        <w:right w:val="none" w:sz="0" w:space="0" w:color="auto"/>
                      </w:divBdr>
                    </w:div>
                  </w:divsChild>
                </w:div>
                <w:div w:id="142548453">
                  <w:marLeft w:val="0"/>
                  <w:marRight w:val="0"/>
                  <w:marTop w:val="0"/>
                  <w:marBottom w:val="0"/>
                  <w:divBdr>
                    <w:top w:val="none" w:sz="0" w:space="0" w:color="auto"/>
                    <w:left w:val="none" w:sz="0" w:space="0" w:color="auto"/>
                    <w:bottom w:val="none" w:sz="0" w:space="0" w:color="auto"/>
                    <w:right w:val="none" w:sz="0" w:space="0" w:color="auto"/>
                  </w:divBdr>
                  <w:divsChild>
                    <w:div w:id="2144958162">
                      <w:marLeft w:val="0"/>
                      <w:marRight w:val="0"/>
                      <w:marTop w:val="0"/>
                      <w:marBottom w:val="0"/>
                      <w:divBdr>
                        <w:top w:val="none" w:sz="0" w:space="0" w:color="auto"/>
                        <w:left w:val="none" w:sz="0" w:space="0" w:color="auto"/>
                        <w:bottom w:val="none" w:sz="0" w:space="0" w:color="auto"/>
                        <w:right w:val="none" w:sz="0" w:space="0" w:color="auto"/>
                      </w:divBdr>
                    </w:div>
                  </w:divsChild>
                </w:div>
                <w:div w:id="147211097">
                  <w:marLeft w:val="0"/>
                  <w:marRight w:val="0"/>
                  <w:marTop w:val="0"/>
                  <w:marBottom w:val="0"/>
                  <w:divBdr>
                    <w:top w:val="none" w:sz="0" w:space="0" w:color="auto"/>
                    <w:left w:val="none" w:sz="0" w:space="0" w:color="auto"/>
                    <w:bottom w:val="none" w:sz="0" w:space="0" w:color="auto"/>
                    <w:right w:val="none" w:sz="0" w:space="0" w:color="auto"/>
                  </w:divBdr>
                  <w:divsChild>
                    <w:div w:id="1480612123">
                      <w:marLeft w:val="0"/>
                      <w:marRight w:val="0"/>
                      <w:marTop w:val="0"/>
                      <w:marBottom w:val="0"/>
                      <w:divBdr>
                        <w:top w:val="none" w:sz="0" w:space="0" w:color="auto"/>
                        <w:left w:val="none" w:sz="0" w:space="0" w:color="auto"/>
                        <w:bottom w:val="none" w:sz="0" w:space="0" w:color="auto"/>
                        <w:right w:val="none" w:sz="0" w:space="0" w:color="auto"/>
                      </w:divBdr>
                    </w:div>
                  </w:divsChild>
                </w:div>
                <w:div w:id="154957132">
                  <w:marLeft w:val="0"/>
                  <w:marRight w:val="0"/>
                  <w:marTop w:val="0"/>
                  <w:marBottom w:val="0"/>
                  <w:divBdr>
                    <w:top w:val="none" w:sz="0" w:space="0" w:color="auto"/>
                    <w:left w:val="none" w:sz="0" w:space="0" w:color="auto"/>
                    <w:bottom w:val="none" w:sz="0" w:space="0" w:color="auto"/>
                    <w:right w:val="none" w:sz="0" w:space="0" w:color="auto"/>
                  </w:divBdr>
                  <w:divsChild>
                    <w:div w:id="229314241">
                      <w:marLeft w:val="0"/>
                      <w:marRight w:val="0"/>
                      <w:marTop w:val="0"/>
                      <w:marBottom w:val="0"/>
                      <w:divBdr>
                        <w:top w:val="none" w:sz="0" w:space="0" w:color="auto"/>
                        <w:left w:val="none" w:sz="0" w:space="0" w:color="auto"/>
                        <w:bottom w:val="none" w:sz="0" w:space="0" w:color="auto"/>
                        <w:right w:val="none" w:sz="0" w:space="0" w:color="auto"/>
                      </w:divBdr>
                    </w:div>
                  </w:divsChild>
                </w:div>
                <w:div w:id="159472219">
                  <w:marLeft w:val="0"/>
                  <w:marRight w:val="0"/>
                  <w:marTop w:val="0"/>
                  <w:marBottom w:val="0"/>
                  <w:divBdr>
                    <w:top w:val="none" w:sz="0" w:space="0" w:color="auto"/>
                    <w:left w:val="none" w:sz="0" w:space="0" w:color="auto"/>
                    <w:bottom w:val="none" w:sz="0" w:space="0" w:color="auto"/>
                    <w:right w:val="none" w:sz="0" w:space="0" w:color="auto"/>
                  </w:divBdr>
                  <w:divsChild>
                    <w:div w:id="888567997">
                      <w:marLeft w:val="0"/>
                      <w:marRight w:val="0"/>
                      <w:marTop w:val="0"/>
                      <w:marBottom w:val="0"/>
                      <w:divBdr>
                        <w:top w:val="none" w:sz="0" w:space="0" w:color="auto"/>
                        <w:left w:val="none" w:sz="0" w:space="0" w:color="auto"/>
                        <w:bottom w:val="none" w:sz="0" w:space="0" w:color="auto"/>
                        <w:right w:val="none" w:sz="0" w:space="0" w:color="auto"/>
                      </w:divBdr>
                    </w:div>
                  </w:divsChild>
                </w:div>
                <w:div w:id="175583789">
                  <w:marLeft w:val="0"/>
                  <w:marRight w:val="0"/>
                  <w:marTop w:val="0"/>
                  <w:marBottom w:val="0"/>
                  <w:divBdr>
                    <w:top w:val="none" w:sz="0" w:space="0" w:color="auto"/>
                    <w:left w:val="none" w:sz="0" w:space="0" w:color="auto"/>
                    <w:bottom w:val="none" w:sz="0" w:space="0" w:color="auto"/>
                    <w:right w:val="none" w:sz="0" w:space="0" w:color="auto"/>
                  </w:divBdr>
                  <w:divsChild>
                    <w:div w:id="984816532">
                      <w:marLeft w:val="0"/>
                      <w:marRight w:val="0"/>
                      <w:marTop w:val="0"/>
                      <w:marBottom w:val="0"/>
                      <w:divBdr>
                        <w:top w:val="none" w:sz="0" w:space="0" w:color="auto"/>
                        <w:left w:val="none" w:sz="0" w:space="0" w:color="auto"/>
                        <w:bottom w:val="none" w:sz="0" w:space="0" w:color="auto"/>
                        <w:right w:val="none" w:sz="0" w:space="0" w:color="auto"/>
                      </w:divBdr>
                    </w:div>
                  </w:divsChild>
                </w:div>
                <w:div w:id="180583474">
                  <w:marLeft w:val="0"/>
                  <w:marRight w:val="0"/>
                  <w:marTop w:val="0"/>
                  <w:marBottom w:val="0"/>
                  <w:divBdr>
                    <w:top w:val="none" w:sz="0" w:space="0" w:color="auto"/>
                    <w:left w:val="none" w:sz="0" w:space="0" w:color="auto"/>
                    <w:bottom w:val="none" w:sz="0" w:space="0" w:color="auto"/>
                    <w:right w:val="none" w:sz="0" w:space="0" w:color="auto"/>
                  </w:divBdr>
                  <w:divsChild>
                    <w:div w:id="1104692272">
                      <w:marLeft w:val="0"/>
                      <w:marRight w:val="0"/>
                      <w:marTop w:val="0"/>
                      <w:marBottom w:val="0"/>
                      <w:divBdr>
                        <w:top w:val="none" w:sz="0" w:space="0" w:color="auto"/>
                        <w:left w:val="none" w:sz="0" w:space="0" w:color="auto"/>
                        <w:bottom w:val="none" w:sz="0" w:space="0" w:color="auto"/>
                        <w:right w:val="none" w:sz="0" w:space="0" w:color="auto"/>
                      </w:divBdr>
                    </w:div>
                  </w:divsChild>
                </w:div>
                <w:div w:id="188296603">
                  <w:marLeft w:val="0"/>
                  <w:marRight w:val="0"/>
                  <w:marTop w:val="0"/>
                  <w:marBottom w:val="0"/>
                  <w:divBdr>
                    <w:top w:val="none" w:sz="0" w:space="0" w:color="auto"/>
                    <w:left w:val="none" w:sz="0" w:space="0" w:color="auto"/>
                    <w:bottom w:val="none" w:sz="0" w:space="0" w:color="auto"/>
                    <w:right w:val="none" w:sz="0" w:space="0" w:color="auto"/>
                  </w:divBdr>
                  <w:divsChild>
                    <w:div w:id="1103497070">
                      <w:marLeft w:val="0"/>
                      <w:marRight w:val="0"/>
                      <w:marTop w:val="0"/>
                      <w:marBottom w:val="0"/>
                      <w:divBdr>
                        <w:top w:val="none" w:sz="0" w:space="0" w:color="auto"/>
                        <w:left w:val="none" w:sz="0" w:space="0" w:color="auto"/>
                        <w:bottom w:val="none" w:sz="0" w:space="0" w:color="auto"/>
                        <w:right w:val="none" w:sz="0" w:space="0" w:color="auto"/>
                      </w:divBdr>
                    </w:div>
                  </w:divsChild>
                </w:div>
                <w:div w:id="195504619">
                  <w:marLeft w:val="0"/>
                  <w:marRight w:val="0"/>
                  <w:marTop w:val="0"/>
                  <w:marBottom w:val="0"/>
                  <w:divBdr>
                    <w:top w:val="none" w:sz="0" w:space="0" w:color="auto"/>
                    <w:left w:val="none" w:sz="0" w:space="0" w:color="auto"/>
                    <w:bottom w:val="none" w:sz="0" w:space="0" w:color="auto"/>
                    <w:right w:val="none" w:sz="0" w:space="0" w:color="auto"/>
                  </w:divBdr>
                  <w:divsChild>
                    <w:div w:id="1721660851">
                      <w:marLeft w:val="0"/>
                      <w:marRight w:val="0"/>
                      <w:marTop w:val="0"/>
                      <w:marBottom w:val="0"/>
                      <w:divBdr>
                        <w:top w:val="none" w:sz="0" w:space="0" w:color="auto"/>
                        <w:left w:val="none" w:sz="0" w:space="0" w:color="auto"/>
                        <w:bottom w:val="none" w:sz="0" w:space="0" w:color="auto"/>
                        <w:right w:val="none" w:sz="0" w:space="0" w:color="auto"/>
                      </w:divBdr>
                    </w:div>
                  </w:divsChild>
                </w:div>
                <w:div w:id="202905117">
                  <w:marLeft w:val="0"/>
                  <w:marRight w:val="0"/>
                  <w:marTop w:val="0"/>
                  <w:marBottom w:val="0"/>
                  <w:divBdr>
                    <w:top w:val="none" w:sz="0" w:space="0" w:color="auto"/>
                    <w:left w:val="none" w:sz="0" w:space="0" w:color="auto"/>
                    <w:bottom w:val="none" w:sz="0" w:space="0" w:color="auto"/>
                    <w:right w:val="none" w:sz="0" w:space="0" w:color="auto"/>
                  </w:divBdr>
                  <w:divsChild>
                    <w:div w:id="21563556">
                      <w:marLeft w:val="0"/>
                      <w:marRight w:val="0"/>
                      <w:marTop w:val="0"/>
                      <w:marBottom w:val="0"/>
                      <w:divBdr>
                        <w:top w:val="none" w:sz="0" w:space="0" w:color="auto"/>
                        <w:left w:val="none" w:sz="0" w:space="0" w:color="auto"/>
                        <w:bottom w:val="none" w:sz="0" w:space="0" w:color="auto"/>
                        <w:right w:val="none" w:sz="0" w:space="0" w:color="auto"/>
                      </w:divBdr>
                    </w:div>
                  </w:divsChild>
                </w:div>
                <w:div w:id="204564349">
                  <w:marLeft w:val="0"/>
                  <w:marRight w:val="0"/>
                  <w:marTop w:val="0"/>
                  <w:marBottom w:val="0"/>
                  <w:divBdr>
                    <w:top w:val="none" w:sz="0" w:space="0" w:color="auto"/>
                    <w:left w:val="none" w:sz="0" w:space="0" w:color="auto"/>
                    <w:bottom w:val="none" w:sz="0" w:space="0" w:color="auto"/>
                    <w:right w:val="none" w:sz="0" w:space="0" w:color="auto"/>
                  </w:divBdr>
                  <w:divsChild>
                    <w:div w:id="1963883622">
                      <w:marLeft w:val="0"/>
                      <w:marRight w:val="0"/>
                      <w:marTop w:val="0"/>
                      <w:marBottom w:val="0"/>
                      <w:divBdr>
                        <w:top w:val="none" w:sz="0" w:space="0" w:color="auto"/>
                        <w:left w:val="none" w:sz="0" w:space="0" w:color="auto"/>
                        <w:bottom w:val="none" w:sz="0" w:space="0" w:color="auto"/>
                        <w:right w:val="none" w:sz="0" w:space="0" w:color="auto"/>
                      </w:divBdr>
                    </w:div>
                  </w:divsChild>
                </w:div>
                <w:div w:id="207884554">
                  <w:marLeft w:val="0"/>
                  <w:marRight w:val="0"/>
                  <w:marTop w:val="0"/>
                  <w:marBottom w:val="0"/>
                  <w:divBdr>
                    <w:top w:val="none" w:sz="0" w:space="0" w:color="auto"/>
                    <w:left w:val="none" w:sz="0" w:space="0" w:color="auto"/>
                    <w:bottom w:val="none" w:sz="0" w:space="0" w:color="auto"/>
                    <w:right w:val="none" w:sz="0" w:space="0" w:color="auto"/>
                  </w:divBdr>
                  <w:divsChild>
                    <w:div w:id="752049886">
                      <w:marLeft w:val="0"/>
                      <w:marRight w:val="0"/>
                      <w:marTop w:val="0"/>
                      <w:marBottom w:val="0"/>
                      <w:divBdr>
                        <w:top w:val="none" w:sz="0" w:space="0" w:color="auto"/>
                        <w:left w:val="none" w:sz="0" w:space="0" w:color="auto"/>
                        <w:bottom w:val="none" w:sz="0" w:space="0" w:color="auto"/>
                        <w:right w:val="none" w:sz="0" w:space="0" w:color="auto"/>
                      </w:divBdr>
                    </w:div>
                  </w:divsChild>
                </w:div>
                <w:div w:id="219707397">
                  <w:marLeft w:val="0"/>
                  <w:marRight w:val="0"/>
                  <w:marTop w:val="0"/>
                  <w:marBottom w:val="0"/>
                  <w:divBdr>
                    <w:top w:val="none" w:sz="0" w:space="0" w:color="auto"/>
                    <w:left w:val="none" w:sz="0" w:space="0" w:color="auto"/>
                    <w:bottom w:val="none" w:sz="0" w:space="0" w:color="auto"/>
                    <w:right w:val="none" w:sz="0" w:space="0" w:color="auto"/>
                  </w:divBdr>
                  <w:divsChild>
                    <w:div w:id="1000691301">
                      <w:marLeft w:val="0"/>
                      <w:marRight w:val="0"/>
                      <w:marTop w:val="0"/>
                      <w:marBottom w:val="0"/>
                      <w:divBdr>
                        <w:top w:val="none" w:sz="0" w:space="0" w:color="auto"/>
                        <w:left w:val="none" w:sz="0" w:space="0" w:color="auto"/>
                        <w:bottom w:val="none" w:sz="0" w:space="0" w:color="auto"/>
                        <w:right w:val="none" w:sz="0" w:space="0" w:color="auto"/>
                      </w:divBdr>
                    </w:div>
                  </w:divsChild>
                </w:div>
                <w:div w:id="230239326">
                  <w:marLeft w:val="0"/>
                  <w:marRight w:val="0"/>
                  <w:marTop w:val="0"/>
                  <w:marBottom w:val="0"/>
                  <w:divBdr>
                    <w:top w:val="none" w:sz="0" w:space="0" w:color="auto"/>
                    <w:left w:val="none" w:sz="0" w:space="0" w:color="auto"/>
                    <w:bottom w:val="none" w:sz="0" w:space="0" w:color="auto"/>
                    <w:right w:val="none" w:sz="0" w:space="0" w:color="auto"/>
                  </w:divBdr>
                  <w:divsChild>
                    <w:div w:id="1252471512">
                      <w:marLeft w:val="0"/>
                      <w:marRight w:val="0"/>
                      <w:marTop w:val="0"/>
                      <w:marBottom w:val="0"/>
                      <w:divBdr>
                        <w:top w:val="none" w:sz="0" w:space="0" w:color="auto"/>
                        <w:left w:val="none" w:sz="0" w:space="0" w:color="auto"/>
                        <w:bottom w:val="none" w:sz="0" w:space="0" w:color="auto"/>
                        <w:right w:val="none" w:sz="0" w:space="0" w:color="auto"/>
                      </w:divBdr>
                    </w:div>
                  </w:divsChild>
                </w:div>
                <w:div w:id="231043281">
                  <w:marLeft w:val="0"/>
                  <w:marRight w:val="0"/>
                  <w:marTop w:val="0"/>
                  <w:marBottom w:val="0"/>
                  <w:divBdr>
                    <w:top w:val="none" w:sz="0" w:space="0" w:color="auto"/>
                    <w:left w:val="none" w:sz="0" w:space="0" w:color="auto"/>
                    <w:bottom w:val="none" w:sz="0" w:space="0" w:color="auto"/>
                    <w:right w:val="none" w:sz="0" w:space="0" w:color="auto"/>
                  </w:divBdr>
                  <w:divsChild>
                    <w:div w:id="1330672348">
                      <w:marLeft w:val="0"/>
                      <w:marRight w:val="0"/>
                      <w:marTop w:val="0"/>
                      <w:marBottom w:val="0"/>
                      <w:divBdr>
                        <w:top w:val="none" w:sz="0" w:space="0" w:color="auto"/>
                        <w:left w:val="none" w:sz="0" w:space="0" w:color="auto"/>
                        <w:bottom w:val="none" w:sz="0" w:space="0" w:color="auto"/>
                        <w:right w:val="none" w:sz="0" w:space="0" w:color="auto"/>
                      </w:divBdr>
                    </w:div>
                  </w:divsChild>
                </w:div>
                <w:div w:id="232009909">
                  <w:marLeft w:val="0"/>
                  <w:marRight w:val="0"/>
                  <w:marTop w:val="0"/>
                  <w:marBottom w:val="0"/>
                  <w:divBdr>
                    <w:top w:val="none" w:sz="0" w:space="0" w:color="auto"/>
                    <w:left w:val="none" w:sz="0" w:space="0" w:color="auto"/>
                    <w:bottom w:val="none" w:sz="0" w:space="0" w:color="auto"/>
                    <w:right w:val="none" w:sz="0" w:space="0" w:color="auto"/>
                  </w:divBdr>
                  <w:divsChild>
                    <w:div w:id="451824168">
                      <w:marLeft w:val="0"/>
                      <w:marRight w:val="0"/>
                      <w:marTop w:val="0"/>
                      <w:marBottom w:val="0"/>
                      <w:divBdr>
                        <w:top w:val="none" w:sz="0" w:space="0" w:color="auto"/>
                        <w:left w:val="none" w:sz="0" w:space="0" w:color="auto"/>
                        <w:bottom w:val="none" w:sz="0" w:space="0" w:color="auto"/>
                        <w:right w:val="none" w:sz="0" w:space="0" w:color="auto"/>
                      </w:divBdr>
                    </w:div>
                  </w:divsChild>
                </w:div>
                <w:div w:id="234360991">
                  <w:marLeft w:val="0"/>
                  <w:marRight w:val="0"/>
                  <w:marTop w:val="0"/>
                  <w:marBottom w:val="0"/>
                  <w:divBdr>
                    <w:top w:val="none" w:sz="0" w:space="0" w:color="auto"/>
                    <w:left w:val="none" w:sz="0" w:space="0" w:color="auto"/>
                    <w:bottom w:val="none" w:sz="0" w:space="0" w:color="auto"/>
                    <w:right w:val="none" w:sz="0" w:space="0" w:color="auto"/>
                  </w:divBdr>
                  <w:divsChild>
                    <w:div w:id="1024792768">
                      <w:marLeft w:val="0"/>
                      <w:marRight w:val="0"/>
                      <w:marTop w:val="0"/>
                      <w:marBottom w:val="0"/>
                      <w:divBdr>
                        <w:top w:val="none" w:sz="0" w:space="0" w:color="auto"/>
                        <w:left w:val="none" w:sz="0" w:space="0" w:color="auto"/>
                        <w:bottom w:val="none" w:sz="0" w:space="0" w:color="auto"/>
                        <w:right w:val="none" w:sz="0" w:space="0" w:color="auto"/>
                      </w:divBdr>
                    </w:div>
                  </w:divsChild>
                </w:div>
                <w:div w:id="237138394">
                  <w:marLeft w:val="0"/>
                  <w:marRight w:val="0"/>
                  <w:marTop w:val="0"/>
                  <w:marBottom w:val="0"/>
                  <w:divBdr>
                    <w:top w:val="none" w:sz="0" w:space="0" w:color="auto"/>
                    <w:left w:val="none" w:sz="0" w:space="0" w:color="auto"/>
                    <w:bottom w:val="none" w:sz="0" w:space="0" w:color="auto"/>
                    <w:right w:val="none" w:sz="0" w:space="0" w:color="auto"/>
                  </w:divBdr>
                  <w:divsChild>
                    <w:div w:id="309098284">
                      <w:marLeft w:val="0"/>
                      <w:marRight w:val="0"/>
                      <w:marTop w:val="0"/>
                      <w:marBottom w:val="0"/>
                      <w:divBdr>
                        <w:top w:val="none" w:sz="0" w:space="0" w:color="auto"/>
                        <w:left w:val="none" w:sz="0" w:space="0" w:color="auto"/>
                        <w:bottom w:val="none" w:sz="0" w:space="0" w:color="auto"/>
                        <w:right w:val="none" w:sz="0" w:space="0" w:color="auto"/>
                      </w:divBdr>
                    </w:div>
                  </w:divsChild>
                </w:div>
                <w:div w:id="243957271">
                  <w:marLeft w:val="0"/>
                  <w:marRight w:val="0"/>
                  <w:marTop w:val="0"/>
                  <w:marBottom w:val="0"/>
                  <w:divBdr>
                    <w:top w:val="none" w:sz="0" w:space="0" w:color="auto"/>
                    <w:left w:val="none" w:sz="0" w:space="0" w:color="auto"/>
                    <w:bottom w:val="none" w:sz="0" w:space="0" w:color="auto"/>
                    <w:right w:val="none" w:sz="0" w:space="0" w:color="auto"/>
                  </w:divBdr>
                  <w:divsChild>
                    <w:div w:id="71510349">
                      <w:marLeft w:val="0"/>
                      <w:marRight w:val="0"/>
                      <w:marTop w:val="0"/>
                      <w:marBottom w:val="0"/>
                      <w:divBdr>
                        <w:top w:val="none" w:sz="0" w:space="0" w:color="auto"/>
                        <w:left w:val="none" w:sz="0" w:space="0" w:color="auto"/>
                        <w:bottom w:val="none" w:sz="0" w:space="0" w:color="auto"/>
                        <w:right w:val="none" w:sz="0" w:space="0" w:color="auto"/>
                      </w:divBdr>
                    </w:div>
                  </w:divsChild>
                </w:div>
                <w:div w:id="244074949">
                  <w:marLeft w:val="0"/>
                  <w:marRight w:val="0"/>
                  <w:marTop w:val="0"/>
                  <w:marBottom w:val="0"/>
                  <w:divBdr>
                    <w:top w:val="none" w:sz="0" w:space="0" w:color="auto"/>
                    <w:left w:val="none" w:sz="0" w:space="0" w:color="auto"/>
                    <w:bottom w:val="none" w:sz="0" w:space="0" w:color="auto"/>
                    <w:right w:val="none" w:sz="0" w:space="0" w:color="auto"/>
                  </w:divBdr>
                  <w:divsChild>
                    <w:div w:id="1343126093">
                      <w:marLeft w:val="0"/>
                      <w:marRight w:val="0"/>
                      <w:marTop w:val="0"/>
                      <w:marBottom w:val="0"/>
                      <w:divBdr>
                        <w:top w:val="none" w:sz="0" w:space="0" w:color="auto"/>
                        <w:left w:val="none" w:sz="0" w:space="0" w:color="auto"/>
                        <w:bottom w:val="none" w:sz="0" w:space="0" w:color="auto"/>
                        <w:right w:val="none" w:sz="0" w:space="0" w:color="auto"/>
                      </w:divBdr>
                    </w:div>
                  </w:divsChild>
                </w:div>
                <w:div w:id="252662886">
                  <w:marLeft w:val="0"/>
                  <w:marRight w:val="0"/>
                  <w:marTop w:val="0"/>
                  <w:marBottom w:val="0"/>
                  <w:divBdr>
                    <w:top w:val="none" w:sz="0" w:space="0" w:color="auto"/>
                    <w:left w:val="none" w:sz="0" w:space="0" w:color="auto"/>
                    <w:bottom w:val="none" w:sz="0" w:space="0" w:color="auto"/>
                    <w:right w:val="none" w:sz="0" w:space="0" w:color="auto"/>
                  </w:divBdr>
                  <w:divsChild>
                    <w:div w:id="639846345">
                      <w:marLeft w:val="0"/>
                      <w:marRight w:val="0"/>
                      <w:marTop w:val="0"/>
                      <w:marBottom w:val="0"/>
                      <w:divBdr>
                        <w:top w:val="none" w:sz="0" w:space="0" w:color="auto"/>
                        <w:left w:val="none" w:sz="0" w:space="0" w:color="auto"/>
                        <w:bottom w:val="none" w:sz="0" w:space="0" w:color="auto"/>
                        <w:right w:val="none" w:sz="0" w:space="0" w:color="auto"/>
                      </w:divBdr>
                    </w:div>
                  </w:divsChild>
                </w:div>
                <w:div w:id="256909746">
                  <w:marLeft w:val="0"/>
                  <w:marRight w:val="0"/>
                  <w:marTop w:val="0"/>
                  <w:marBottom w:val="0"/>
                  <w:divBdr>
                    <w:top w:val="none" w:sz="0" w:space="0" w:color="auto"/>
                    <w:left w:val="none" w:sz="0" w:space="0" w:color="auto"/>
                    <w:bottom w:val="none" w:sz="0" w:space="0" w:color="auto"/>
                    <w:right w:val="none" w:sz="0" w:space="0" w:color="auto"/>
                  </w:divBdr>
                  <w:divsChild>
                    <w:div w:id="933174061">
                      <w:marLeft w:val="0"/>
                      <w:marRight w:val="0"/>
                      <w:marTop w:val="0"/>
                      <w:marBottom w:val="0"/>
                      <w:divBdr>
                        <w:top w:val="none" w:sz="0" w:space="0" w:color="auto"/>
                        <w:left w:val="none" w:sz="0" w:space="0" w:color="auto"/>
                        <w:bottom w:val="none" w:sz="0" w:space="0" w:color="auto"/>
                        <w:right w:val="none" w:sz="0" w:space="0" w:color="auto"/>
                      </w:divBdr>
                    </w:div>
                  </w:divsChild>
                </w:div>
                <w:div w:id="266498744">
                  <w:marLeft w:val="0"/>
                  <w:marRight w:val="0"/>
                  <w:marTop w:val="0"/>
                  <w:marBottom w:val="0"/>
                  <w:divBdr>
                    <w:top w:val="none" w:sz="0" w:space="0" w:color="auto"/>
                    <w:left w:val="none" w:sz="0" w:space="0" w:color="auto"/>
                    <w:bottom w:val="none" w:sz="0" w:space="0" w:color="auto"/>
                    <w:right w:val="none" w:sz="0" w:space="0" w:color="auto"/>
                  </w:divBdr>
                  <w:divsChild>
                    <w:div w:id="1022702656">
                      <w:marLeft w:val="0"/>
                      <w:marRight w:val="0"/>
                      <w:marTop w:val="0"/>
                      <w:marBottom w:val="0"/>
                      <w:divBdr>
                        <w:top w:val="none" w:sz="0" w:space="0" w:color="auto"/>
                        <w:left w:val="none" w:sz="0" w:space="0" w:color="auto"/>
                        <w:bottom w:val="none" w:sz="0" w:space="0" w:color="auto"/>
                        <w:right w:val="none" w:sz="0" w:space="0" w:color="auto"/>
                      </w:divBdr>
                    </w:div>
                  </w:divsChild>
                </w:div>
                <w:div w:id="267784322">
                  <w:marLeft w:val="0"/>
                  <w:marRight w:val="0"/>
                  <w:marTop w:val="0"/>
                  <w:marBottom w:val="0"/>
                  <w:divBdr>
                    <w:top w:val="none" w:sz="0" w:space="0" w:color="auto"/>
                    <w:left w:val="none" w:sz="0" w:space="0" w:color="auto"/>
                    <w:bottom w:val="none" w:sz="0" w:space="0" w:color="auto"/>
                    <w:right w:val="none" w:sz="0" w:space="0" w:color="auto"/>
                  </w:divBdr>
                  <w:divsChild>
                    <w:div w:id="1316766345">
                      <w:marLeft w:val="0"/>
                      <w:marRight w:val="0"/>
                      <w:marTop w:val="0"/>
                      <w:marBottom w:val="0"/>
                      <w:divBdr>
                        <w:top w:val="none" w:sz="0" w:space="0" w:color="auto"/>
                        <w:left w:val="none" w:sz="0" w:space="0" w:color="auto"/>
                        <w:bottom w:val="none" w:sz="0" w:space="0" w:color="auto"/>
                        <w:right w:val="none" w:sz="0" w:space="0" w:color="auto"/>
                      </w:divBdr>
                    </w:div>
                  </w:divsChild>
                </w:div>
                <w:div w:id="269168873">
                  <w:marLeft w:val="0"/>
                  <w:marRight w:val="0"/>
                  <w:marTop w:val="0"/>
                  <w:marBottom w:val="0"/>
                  <w:divBdr>
                    <w:top w:val="none" w:sz="0" w:space="0" w:color="auto"/>
                    <w:left w:val="none" w:sz="0" w:space="0" w:color="auto"/>
                    <w:bottom w:val="none" w:sz="0" w:space="0" w:color="auto"/>
                    <w:right w:val="none" w:sz="0" w:space="0" w:color="auto"/>
                  </w:divBdr>
                  <w:divsChild>
                    <w:div w:id="224605798">
                      <w:marLeft w:val="0"/>
                      <w:marRight w:val="0"/>
                      <w:marTop w:val="0"/>
                      <w:marBottom w:val="0"/>
                      <w:divBdr>
                        <w:top w:val="none" w:sz="0" w:space="0" w:color="auto"/>
                        <w:left w:val="none" w:sz="0" w:space="0" w:color="auto"/>
                        <w:bottom w:val="none" w:sz="0" w:space="0" w:color="auto"/>
                        <w:right w:val="none" w:sz="0" w:space="0" w:color="auto"/>
                      </w:divBdr>
                    </w:div>
                  </w:divsChild>
                </w:div>
                <w:div w:id="269512341">
                  <w:marLeft w:val="0"/>
                  <w:marRight w:val="0"/>
                  <w:marTop w:val="0"/>
                  <w:marBottom w:val="0"/>
                  <w:divBdr>
                    <w:top w:val="none" w:sz="0" w:space="0" w:color="auto"/>
                    <w:left w:val="none" w:sz="0" w:space="0" w:color="auto"/>
                    <w:bottom w:val="none" w:sz="0" w:space="0" w:color="auto"/>
                    <w:right w:val="none" w:sz="0" w:space="0" w:color="auto"/>
                  </w:divBdr>
                  <w:divsChild>
                    <w:div w:id="1763990198">
                      <w:marLeft w:val="0"/>
                      <w:marRight w:val="0"/>
                      <w:marTop w:val="0"/>
                      <w:marBottom w:val="0"/>
                      <w:divBdr>
                        <w:top w:val="none" w:sz="0" w:space="0" w:color="auto"/>
                        <w:left w:val="none" w:sz="0" w:space="0" w:color="auto"/>
                        <w:bottom w:val="none" w:sz="0" w:space="0" w:color="auto"/>
                        <w:right w:val="none" w:sz="0" w:space="0" w:color="auto"/>
                      </w:divBdr>
                    </w:div>
                  </w:divsChild>
                </w:div>
                <w:div w:id="277641573">
                  <w:marLeft w:val="0"/>
                  <w:marRight w:val="0"/>
                  <w:marTop w:val="0"/>
                  <w:marBottom w:val="0"/>
                  <w:divBdr>
                    <w:top w:val="none" w:sz="0" w:space="0" w:color="auto"/>
                    <w:left w:val="none" w:sz="0" w:space="0" w:color="auto"/>
                    <w:bottom w:val="none" w:sz="0" w:space="0" w:color="auto"/>
                    <w:right w:val="none" w:sz="0" w:space="0" w:color="auto"/>
                  </w:divBdr>
                  <w:divsChild>
                    <w:div w:id="1594824359">
                      <w:marLeft w:val="0"/>
                      <w:marRight w:val="0"/>
                      <w:marTop w:val="0"/>
                      <w:marBottom w:val="0"/>
                      <w:divBdr>
                        <w:top w:val="none" w:sz="0" w:space="0" w:color="auto"/>
                        <w:left w:val="none" w:sz="0" w:space="0" w:color="auto"/>
                        <w:bottom w:val="none" w:sz="0" w:space="0" w:color="auto"/>
                        <w:right w:val="none" w:sz="0" w:space="0" w:color="auto"/>
                      </w:divBdr>
                    </w:div>
                  </w:divsChild>
                </w:div>
                <w:div w:id="286930334">
                  <w:marLeft w:val="0"/>
                  <w:marRight w:val="0"/>
                  <w:marTop w:val="0"/>
                  <w:marBottom w:val="0"/>
                  <w:divBdr>
                    <w:top w:val="none" w:sz="0" w:space="0" w:color="auto"/>
                    <w:left w:val="none" w:sz="0" w:space="0" w:color="auto"/>
                    <w:bottom w:val="none" w:sz="0" w:space="0" w:color="auto"/>
                    <w:right w:val="none" w:sz="0" w:space="0" w:color="auto"/>
                  </w:divBdr>
                  <w:divsChild>
                    <w:div w:id="1586307822">
                      <w:marLeft w:val="0"/>
                      <w:marRight w:val="0"/>
                      <w:marTop w:val="0"/>
                      <w:marBottom w:val="0"/>
                      <w:divBdr>
                        <w:top w:val="none" w:sz="0" w:space="0" w:color="auto"/>
                        <w:left w:val="none" w:sz="0" w:space="0" w:color="auto"/>
                        <w:bottom w:val="none" w:sz="0" w:space="0" w:color="auto"/>
                        <w:right w:val="none" w:sz="0" w:space="0" w:color="auto"/>
                      </w:divBdr>
                    </w:div>
                  </w:divsChild>
                </w:div>
                <w:div w:id="289826998">
                  <w:marLeft w:val="0"/>
                  <w:marRight w:val="0"/>
                  <w:marTop w:val="0"/>
                  <w:marBottom w:val="0"/>
                  <w:divBdr>
                    <w:top w:val="none" w:sz="0" w:space="0" w:color="auto"/>
                    <w:left w:val="none" w:sz="0" w:space="0" w:color="auto"/>
                    <w:bottom w:val="none" w:sz="0" w:space="0" w:color="auto"/>
                    <w:right w:val="none" w:sz="0" w:space="0" w:color="auto"/>
                  </w:divBdr>
                  <w:divsChild>
                    <w:div w:id="297540904">
                      <w:marLeft w:val="0"/>
                      <w:marRight w:val="0"/>
                      <w:marTop w:val="0"/>
                      <w:marBottom w:val="0"/>
                      <w:divBdr>
                        <w:top w:val="none" w:sz="0" w:space="0" w:color="auto"/>
                        <w:left w:val="none" w:sz="0" w:space="0" w:color="auto"/>
                        <w:bottom w:val="none" w:sz="0" w:space="0" w:color="auto"/>
                        <w:right w:val="none" w:sz="0" w:space="0" w:color="auto"/>
                      </w:divBdr>
                    </w:div>
                  </w:divsChild>
                </w:div>
                <w:div w:id="302924751">
                  <w:marLeft w:val="0"/>
                  <w:marRight w:val="0"/>
                  <w:marTop w:val="0"/>
                  <w:marBottom w:val="0"/>
                  <w:divBdr>
                    <w:top w:val="none" w:sz="0" w:space="0" w:color="auto"/>
                    <w:left w:val="none" w:sz="0" w:space="0" w:color="auto"/>
                    <w:bottom w:val="none" w:sz="0" w:space="0" w:color="auto"/>
                    <w:right w:val="none" w:sz="0" w:space="0" w:color="auto"/>
                  </w:divBdr>
                  <w:divsChild>
                    <w:div w:id="432820086">
                      <w:marLeft w:val="0"/>
                      <w:marRight w:val="0"/>
                      <w:marTop w:val="0"/>
                      <w:marBottom w:val="0"/>
                      <w:divBdr>
                        <w:top w:val="none" w:sz="0" w:space="0" w:color="auto"/>
                        <w:left w:val="none" w:sz="0" w:space="0" w:color="auto"/>
                        <w:bottom w:val="none" w:sz="0" w:space="0" w:color="auto"/>
                        <w:right w:val="none" w:sz="0" w:space="0" w:color="auto"/>
                      </w:divBdr>
                    </w:div>
                  </w:divsChild>
                </w:div>
                <w:div w:id="318970608">
                  <w:marLeft w:val="0"/>
                  <w:marRight w:val="0"/>
                  <w:marTop w:val="0"/>
                  <w:marBottom w:val="0"/>
                  <w:divBdr>
                    <w:top w:val="none" w:sz="0" w:space="0" w:color="auto"/>
                    <w:left w:val="none" w:sz="0" w:space="0" w:color="auto"/>
                    <w:bottom w:val="none" w:sz="0" w:space="0" w:color="auto"/>
                    <w:right w:val="none" w:sz="0" w:space="0" w:color="auto"/>
                  </w:divBdr>
                  <w:divsChild>
                    <w:div w:id="1134366491">
                      <w:marLeft w:val="0"/>
                      <w:marRight w:val="0"/>
                      <w:marTop w:val="0"/>
                      <w:marBottom w:val="0"/>
                      <w:divBdr>
                        <w:top w:val="none" w:sz="0" w:space="0" w:color="auto"/>
                        <w:left w:val="none" w:sz="0" w:space="0" w:color="auto"/>
                        <w:bottom w:val="none" w:sz="0" w:space="0" w:color="auto"/>
                        <w:right w:val="none" w:sz="0" w:space="0" w:color="auto"/>
                      </w:divBdr>
                    </w:div>
                  </w:divsChild>
                </w:div>
                <w:div w:id="320893140">
                  <w:marLeft w:val="0"/>
                  <w:marRight w:val="0"/>
                  <w:marTop w:val="0"/>
                  <w:marBottom w:val="0"/>
                  <w:divBdr>
                    <w:top w:val="none" w:sz="0" w:space="0" w:color="auto"/>
                    <w:left w:val="none" w:sz="0" w:space="0" w:color="auto"/>
                    <w:bottom w:val="none" w:sz="0" w:space="0" w:color="auto"/>
                    <w:right w:val="none" w:sz="0" w:space="0" w:color="auto"/>
                  </w:divBdr>
                  <w:divsChild>
                    <w:div w:id="1951744088">
                      <w:marLeft w:val="0"/>
                      <w:marRight w:val="0"/>
                      <w:marTop w:val="0"/>
                      <w:marBottom w:val="0"/>
                      <w:divBdr>
                        <w:top w:val="none" w:sz="0" w:space="0" w:color="auto"/>
                        <w:left w:val="none" w:sz="0" w:space="0" w:color="auto"/>
                        <w:bottom w:val="none" w:sz="0" w:space="0" w:color="auto"/>
                        <w:right w:val="none" w:sz="0" w:space="0" w:color="auto"/>
                      </w:divBdr>
                    </w:div>
                  </w:divsChild>
                </w:div>
                <w:div w:id="322316432">
                  <w:marLeft w:val="0"/>
                  <w:marRight w:val="0"/>
                  <w:marTop w:val="0"/>
                  <w:marBottom w:val="0"/>
                  <w:divBdr>
                    <w:top w:val="none" w:sz="0" w:space="0" w:color="auto"/>
                    <w:left w:val="none" w:sz="0" w:space="0" w:color="auto"/>
                    <w:bottom w:val="none" w:sz="0" w:space="0" w:color="auto"/>
                    <w:right w:val="none" w:sz="0" w:space="0" w:color="auto"/>
                  </w:divBdr>
                  <w:divsChild>
                    <w:div w:id="480972731">
                      <w:marLeft w:val="0"/>
                      <w:marRight w:val="0"/>
                      <w:marTop w:val="0"/>
                      <w:marBottom w:val="0"/>
                      <w:divBdr>
                        <w:top w:val="none" w:sz="0" w:space="0" w:color="auto"/>
                        <w:left w:val="none" w:sz="0" w:space="0" w:color="auto"/>
                        <w:bottom w:val="none" w:sz="0" w:space="0" w:color="auto"/>
                        <w:right w:val="none" w:sz="0" w:space="0" w:color="auto"/>
                      </w:divBdr>
                    </w:div>
                  </w:divsChild>
                </w:div>
                <w:div w:id="325327418">
                  <w:marLeft w:val="0"/>
                  <w:marRight w:val="0"/>
                  <w:marTop w:val="0"/>
                  <w:marBottom w:val="0"/>
                  <w:divBdr>
                    <w:top w:val="none" w:sz="0" w:space="0" w:color="auto"/>
                    <w:left w:val="none" w:sz="0" w:space="0" w:color="auto"/>
                    <w:bottom w:val="none" w:sz="0" w:space="0" w:color="auto"/>
                    <w:right w:val="none" w:sz="0" w:space="0" w:color="auto"/>
                  </w:divBdr>
                  <w:divsChild>
                    <w:div w:id="1039015335">
                      <w:marLeft w:val="0"/>
                      <w:marRight w:val="0"/>
                      <w:marTop w:val="0"/>
                      <w:marBottom w:val="0"/>
                      <w:divBdr>
                        <w:top w:val="none" w:sz="0" w:space="0" w:color="auto"/>
                        <w:left w:val="none" w:sz="0" w:space="0" w:color="auto"/>
                        <w:bottom w:val="none" w:sz="0" w:space="0" w:color="auto"/>
                        <w:right w:val="none" w:sz="0" w:space="0" w:color="auto"/>
                      </w:divBdr>
                    </w:div>
                  </w:divsChild>
                </w:div>
                <w:div w:id="327707342">
                  <w:marLeft w:val="0"/>
                  <w:marRight w:val="0"/>
                  <w:marTop w:val="0"/>
                  <w:marBottom w:val="0"/>
                  <w:divBdr>
                    <w:top w:val="none" w:sz="0" w:space="0" w:color="auto"/>
                    <w:left w:val="none" w:sz="0" w:space="0" w:color="auto"/>
                    <w:bottom w:val="none" w:sz="0" w:space="0" w:color="auto"/>
                    <w:right w:val="none" w:sz="0" w:space="0" w:color="auto"/>
                  </w:divBdr>
                  <w:divsChild>
                    <w:div w:id="700320889">
                      <w:marLeft w:val="0"/>
                      <w:marRight w:val="0"/>
                      <w:marTop w:val="0"/>
                      <w:marBottom w:val="0"/>
                      <w:divBdr>
                        <w:top w:val="none" w:sz="0" w:space="0" w:color="auto"/>
                        <w:left w:val="none" w:sz="0" w:space="0" w:color="auto"/>
                        <w:bottom w:val="none" w:sz="0" w:space="0" w:color="auto"/>
                        <w:right w:val="none" w:sz="0" w:space="0" w:color="auto"/>
                      </w:divBdr>
                    </w:div>
                  </w:divsChild>
                </w:div>
                <w:div w:id="334496363">
                  <w:marLeft w:val="0"/>
                  <w:marRight w:val="0"/>
                  <w:marTop w:val="0"/>
                  <w:marBottom w:val="0"/>
                  <w:divBdr>
                    <w:top w:val="none" w:sz="0" w:space="0" w:color="auto"/>
                    <w:left w:val="none" w:sz="0" w:space="0" w:color="auto"/>
                    <w:bottom w:val="none" w:sz="0" w:space="0" w:color="auto"/>
                    <w:right w:val="none" w:sz="0" w:space="0" w:color="auto"/>
                  </w:divBdr>
                  <w:divsChild>
                    <w:div w:id="735056160">
                      <w:marLeft w:val="0"/>
                      <w:marRight w:val="0"/>
                      <w:marTop w:val="0"/>
                      <w:marBottom w:val="0"/>
                      <w:divBdr>
                        <w:top w:val="none" w:sz="0" w:space="0" w:color="auto"/>
                        <w:left w:val="none" w:sz="0" w:space="0" w:color="auto"/>
                        <w:bottom w:val="none" w:sz="0" w:space="0" w:color="auto"/>
                        <w:right w:val="none" w:sz="0" w:space="0" w:color="auto"/>
                      </w:divBdr>
                    </w:div>
                  </w:divsChild>
                </w:div>
                <w:div w:id="335574732">
                  <w:marLeft w:val="0"/>
                  <w:marRight w:val="0"/>
                  <w:marTop w:val="0"/>
                  <w:marBottom w:val="0"/>
                  <w:divBdr>
                    <w:top w:val="none" w:sz="0" w:space="0" w:color="auto"/>
                    <w:left w:val="none" w:sz="0" w:space="0" w:color="auto"/>
                    <w:bottom w:val="none" w:sz="0" w:space="0" w:color="auto"/>
                    <w:right w:val="none" w:sz="0" w:space="0" w:color="auto"/>
                  </w:divBdr>
                  <w:divsChild>
                    <w:div w:id="655844910">
                      <w:marLeft w:val="0"/>
                      <w:marRight w:val="0"/>
                      <w:marTop w:val="0"/>
                      <w:marBottom w:val="0"/>
                      <w:divBdr>
                        <w:top w:val="none" w:sz="0" w:space="0" w:color="auto"/>
                        <w:left w:val="none" w:sz="0" w:space="0" w:color="auto"/>
                        <w:bottom w:val="none" w:sz="0" w:space="0" w:color="auto"/>
                        <w:right w:val="none" w:sz="0" w:space="0" w:color="auto"/>
                      </w:divBdr>
                    </w:div>
                  </w:divsChild>
                </w:div>
                <w:div w:id="340591156">
                  <w:marLeft w:val="0"/>
                  <w:marRight w:val="0"/>
                  <w:marTop w:val="0"/>
                  <w:marBottom w:val="0"/>
                  <w:divBdr>
                    <w:top w:val="none" w:sz="0" w:space="0" w:color="auto"/>
                    <w:left w:val="none" w:sz="0" w:space="0" w:color="auto"/>
                    <w:bottom w:val="none" w:sz="0" w:space="0" w:color="auto"/>
                    <w:right w:val="none" w:sz="0" w:space="0" w:color="auto"/>
                  </w:divBdr>
                  <w:divsChild>
                    <w:div w:id="774980203">
                      <w:marLeft w:val="0"/>
                      <w:marRight w:val="0"/>
                      <w:marTop w:val="0"/>
                      <w:marBottom w:val="0"/>
                      <w:divBdr>
                        <w:top w:val="none" w:sz="0" w:space="0" w:color="auto"/>
                        <w:left w:val="none" w:sz="0" w:space="0" w:color="auto"/>
                        <w:bottom w:val="none" w:sz="0" w:space="0" w:color="auto"/>
                        <w:right w:val="none" w:sz="0" w:space="0" w:color="auto"/>
                      </w:divBdr>
                    </w:div>
                  </w:divsChild>
                </w:div>
                <w:div w:id="341859271">
                  <w:marLeft w:val="0"/>
                  <w:marRight w:val="0"/>
                  <w:marTop w:val="0"/>
                  <w:marBottom w:val="0"/>
                  <w:divBdr>
                    <w:top w:val="none" w:sz="0" w:space="0" w:color="auto"/>
                    <w:left w:val="none" w:sz="0" w:space="0" w:color="auto"/>
                    <w:bottom w:val="none" w:sz="0" w:space="0" w:color="auto"/>
                    <w:right w:val="none" w:sz="0" w:space="0" w:color="auto"/>
                  </w:divBdr>
                  <w:divsChild>
                    <w:div w:id="1160384774">
                      <w:marLeft w:val="0"/>
                      <w:marRight w:val="0"/>
                      <w:marTop w:val="0"/>
                      <w:marBottom w:val="0"/>
                      <w:divBdr>
                        <w:top w:val="none" w:sz="0" w:space="0" w:color="auto"/>
                        <w:left w:val="none" w:sz="0" w:space="0" w:color="auto"/>
                        <w:bottom w:val="none" w:sz="0" w:space="0" w:color="auto"/>
                        <w:right w:val="none" w:sz="0" w:space="0" w:color="auto"/>
                      </w:divBdr>
                    </w:div>
                  </w:divsChild>
                </w:div>
                <w:div w:id="343173412">
                  <w:marLeft w:val="0"/>
                  <w:marRight w:val="0"/>
                  <w:marTop w:val="0"/>
                  <w:marBottom w:val="0"/>
                  <w:divBdr>
                    <w:top w:val="none" w:sz="0" w:space="0" w:color="auto"/>
                    <w:left w:val="none" w:sz="0" w:space="0" w:color="auto"/>
                    <w:bottom w:val="none" w:sz="0" w:space="0" w:color="auto"/>
                    <w:right w:val="none" w:sz="0" w:space="0" w:color="auto"/>
                  </w:divBdr>
                  <w:divsChild>
                    <w:div w:id="1067991102">
                      <w:marLeft w:val="0"/>
                      <w:marRight w:val="0"/>
                      <w:marTop w:val="0"/>
                      <w:marBottom w:val="0"/>
                      <w:divBdr>
                        <w:top w:val="none" w:sz="0" w:space="0" w:color="auto"/>
                        <w:left w:val="none" w:sz="0" w:space="0" w:color="auto"/>
                        <w:bottom w:val="none" w:sz="0" w:space="0" w:color="auto"/>
                        <w:right w:val="none" w:sz="0" w:space="0" w:color="auto"/>
                      </w:divBdr>
                    </w:div>
                  </w:divsChild>
                </w:div>
                <w:div w:id="359861786">
                  <w:marLeft w:val="0"/>
                  <w:marRight w:val="0"/>
                  <w:marTop w:val="0"/>
                  <w:marBottom w:val="0"/>
                  <w:divBdr>
                    <w:top w:val="none" w:sz="0" w:space="0" w:color="auto"/>
                    <w:left w:val="none" w:sz="0" w:space="0" w:color="auto"/>
                    <w:bottom w:val="none" w:sz="0" w:space="0" w:color="auto"/>
                    <w:right w:val="none" w:sz="0" w:space="0" w:color="auto"/>
                  </w:divBdr>
                  <w:divsChild>
                    <w:div w:id="1005474188">
                      <w:marLeft w:val="0"/>
                      <w:marRight w:val="0"/>
                      <w:marTop w:val="0"/>
                      <w:marBottom w:val="0"/>
                      <w:divBdr>
                        <w:top w:val="none" w:sz="0" w:space="0" w:color="auto"/>
                        <w:left w:val="none" w:sz="0" w:space="0" w:color="auto"/>
                        <w:bottom w:val="none" w:sz="0" w:space="0" w:color="auto"/>
                        <w:right w:val="none" w:sz="0" w:space="0" w:color="auto"/>
                      </w:divBdr>
                    </w:div>
                  </w:divsChild>
                </w:div>
                <w:div w:id="366150082">
                  <w:marLeft w:val="0"/>
                  <w:marRight w:val="0"/>
                  <w:marTop w:val="0"/>
                  <w:marBottom w:val="0"/>
                  <w:divBdr>
                    <w:top w:val="none" w:sz="0" w:space="0" w:color="auto"/>
                    <w:left w:val="none" w:sz="0" w:space="0" w:color="auto"/>
                    <w:bottom w:val="none" w:sz="0" w:space="0" w:color="auto"/>
                    <w:right w:val="none" w:sz="0" w:space="0" w:color="auto"/>
                  </w:divBdr>
                  <w:divsChild>
                    <w:div w:id="383144860">
                      <w:marLeft w:val="0"/>
                      <w:marRight w:val="0"/>
                      <w:marTop w:val="0"/>
                      <w:marBottom w:val="0"/>
                      <w:divBdr>
                        <w:top w:val="none" w:sz="0" w:space="0" w:color="auto"/>
                        <w:left w:val="none" w:sz="0" w:space="0" w:color="auto"/>
                        <w:bottom w:val="none" w:sz="0" w:space="0" w:color="auto"/>
                        <w:right w:val="none" w:sz="0" w:space="0" w:color="auto"/>
                      </w:divBdr>
                    </w:div>
                  </w:divsChild>
                </w:div>
                <w:div w:id="375086051">
                  <w:marLeft w:val="0"/>
                  <w:marRight w:val="0"/>
                  <w:marTop w:val="0"/>
                  <w:marBottom w:val="0"/>
                  <w:divBdr>
                    <w:top w:val="none" w:sz="0" w:space="0" w:color="auto"/>
                    <w:left w:val="none" w:sz="0" w:space="0" w:color="auto"/>
                    <w:bottom w:val="none" w:sz="0" w:space="0" w:color="auto"/>
                    <w:right w:val="none" w:sz="0" w:space="0" w:color="auto"/>
                  </w:divBdr>
                  <w:divsChild>
                    <w:div w:id="1662734038">
                      <w:marLeft w:val="0"/>
                      <w:marRight w:val="0"/>
                      <w:marTop w:val="0"/>
                      <w:marBottom w:val="0"/>
                      <w:divBdr>
                        <w:top w:val="none" w:sz="0" w:space="0" w:color="auto"/>
                        <w:left w:val="none" w:sz="0" w:space="0" w:color="auto"/>
                        <w:bottom w:val="none" w:sz="0" w:space="0" w:color="auto"/>
                        <w:right w:val="none" w:sz="0" w:space="0" w:color="auto"/>
                      </w:divBdr>
                    </w:div>
                  </w:divsChild>
                </w:div>
                <w:div w:id="379475951">
                  <w:marLeft w:val="0"/>
                  <w:marRight w:val="0"/>
                  <w:marTop w:val="0"/>
                  <w:marBottom w:val="0"/>
                  <w:divBdr>
                    <w:top w:val="none" w:sz="0" w:space="0" w:color="auto"/>
                    <w:left w:val="none" w:sz="0" w:space="0" w:color="auto"/>
                    <w:bottom w:val="none" w:sz="0" w:space="0" w:color="auto"/>
                    <w:right w:val="none" w:sz="0" w:space="0" w:color="auto"/>
                  </w:divBdr>
                  <w:divsChild>
                    <w:div w:id="1028989298">
                      <w:marLeft w:val="0"/>
                      <w:marRight w:val="0"/>
                      <w:marTop w:val="0"/>
                      <w:marBottom w:val="0"/>
                      <w:divBdr>
                        <w:top w:val="none" w:sz="0" w:space="0" w:color="auto"/>
                        <w:left w:val="none" w:sz="0" w:space="0" w:color="auto"/>
                        <w:bottom w:val="none" w:sz="0" w:space="0" w:color="auto"/>
                        <w:right w:val="none" w:sz="0" w:space="0" w:color="auto"/>
                      </w:divBdr>
                    </w:div>
                  </w:divsChild>
                </w:div>
                <w:div w:id="381444939">
                  <w:marLeft w:val="0"/>
                  <w:marRight w:val="0"/>
                  <w:marTop w:val="0"/>
                  <w:marBottom w:val="0"/>
                  <w:divBdr>
                    <w:top w:val="none" w:sz="0" w:space="0" w:color="auto"/>
                    <w:left w:val="none" w:sz="0" w:space="0" w:color="auto"/>
                    <w:bottom w:val="none" w:sz="0" w:space="0" w:color="auto"/>
                    <w:right w:val="none" w:sz="0" w:space="0" w:color="auto"/>
                  </w:divBdr>
                  <w:divsChild>
                    <w:div w:id="1210647132">
                      <w:marLeft w:val="0"/>
                      <w:marRight w:val="0"/>
                      <w:marTop w:val="0"/>
                      <w:marBottom w:val="0"/>
                      <w:divBdr>
                        <w:top w:val="none" w:sz="0" w:space="0" w:color="auto"/>
                        <w:left w:val="none" w:sz="0" w:space="0" w:color="auto"/>
                        <w:bottom w:val="none" w:sz="0" w:space="0" w:color="auto"/>
                        <w:right w:val="none" w:sz="0" w:space="0" w:color="auto"/>
                      </w:divBdr>
                    </w:div>
                  </w:divsChild>
                </w:div>
                <w:div w:id="386877187">
                  <w:marLeft w:val="0"/>
                  <w:marRight w:val="0"/>
                  <w:marTop w:val="0"/>
                  <w:marBottom w:val="0"/>
                  <w:divBdr>
                    <w:top w:val="none" w:sz="0" w:space="0" w:color="auto"/>
                    <w:left w:val="none" w:sz="0" w:space="0" w:color="auto"/>
                    <w:bottom w:val="none" w:sz="0" w:space="0" w:color="auto"/>
                    <w:right w:val="none" w:sz="0" w:space="0" w:color="auto"/>
                  </w:divBdr>
                  <w:divsChild>
                    <w:div w:id="964045614">
                      <w:marLeft w:val="0"/>
                      <w:marRight w:val="0"/>
                      <w:marTop w:val="0"/>
                      <w:marBottom w:val="0"/>
                      <w:divBdr>
                        <w:top w:val="none" w:sz="0" w:space="0" w:color="auto"/>
                        <w:left w:val="none" w:sz="0" w:space="0" w:color="auto"/>
                        <w:bottom w:val="none" w:sz="0" w:space="0" w:color="auto"/>
                        <w:right w:val="none" w:sz="0" w:space="0" w:color="auto"/>
                      </w:divBdr>
                    </w:div>
                  </w:divsChild>
                </w:div>
                <w:div w:id="387069275">
                  <w:marLeft w:val="0"/>
                  <w:marRight w:val="0"/>
                  <w:marTop w:val="0"/>
                  <w:marBottom w:val="0"/>
                  <w:divBdr>
                    <w:top w:val="none" w:sz="0" w:space="0" w:color="auto"/>
                    <w:left w:val="none" w:sz="0" w:space="0" w:color="auto"/>
                    <w:bottom w:val="none" w:sz="0" w:space="0" w:color="auto"/>
                    <w:right w:val="none" w:sz="0" w:space="0" w:color="auto"/>
                  </w:divBdr>
                  <w:divsChild>
                    <w:div w:id="854658046">
                      <w:marLeft w:val="0"/>
                      <w:marRight w:val="0"/>
                      <w:marTop w:val="0"/>
                      <w:marBottom w:val="0"/>
                      <w:divBdr>
                        <w:top w:val="none" w:sz="0" w:space="0" w:color="auto"/>
                        <w:left w:val="none" w:sz="0" w:space="0" w:color="auto"/>
                        <w:bottom w:val="none" w:sz="0" w:space="0" w:color="auto"/>
                        <w:right w:val="none" w:sz="0" w:space="0" w:color="auto"/>
                      </w:divBdr>
                    </w:div>
                  </w:divsChild>
                </w:div>
                <w:div w:id="397484112">
                  <w:marLeft w:val="0"/>
                  <w:marRight w:val="0"/>
                  <w:marTop w:val="0"/>
                  <w:marBottom w:val="0"/>
                  <w:divBdr>
                    <w:top w:val="none" w:sz="0" w:space="0" w:color="auto"/>
                    <w:left w:val="none" w:sz="0" w:space="0" w:color="auto"/>
                    <w:bottom w:val="none" w:sz="0" w:space="0" w:color="auto"/>
                    <w:right w:val="none" w:sz="0" w:space="0" w:color="auto"/>
                  </w:divBdr>
                  <w:divsChild>
                    <w:div w:id="1134253663">
                      <w:marLeft w:val="0"/>
                      <w:marRight w:val="0"/>
                      <w:marTop w:val="0"/>
                      <w:marBottom w:val="0"/>
                      <w:divBdr>
                        <w:top w:val="none" w:sz="0" w:space="0" w:color="auto"/>
                        <w:left w:val="none" w:sz="0" w:space="0" w:color="auto"/>
                        <w:bottom w:val="none" w:sz="0" w:space="0" w:color="auto"/>
                        <w:right w:val="none" w:sz="0" w:space="0" w:color="auto"/>
                      </w:divBdr>
                    </w:div>
                  </w:divsChild>
                </w:div>
                <w:div w:id="403143843">
                  <w:marLeft w:val="0"/>
                  <w:marRight w:val="0"/>
                  <w:marTop w:val="0"/>
                  <w:marBottom w:val="0"/>
                  <w:divBdr>
                    <w:top w:val="none" w:sz="0" w:space="0" w:color="auto"/>
                    <w:left w:val="none" w:sz="0" w:space="0" w:color="auto"/>
                    <w:bottom w:val="none" w:sz="0" w:space="0" w:color="auto"/>
                    <w:right w:val="none" w:sz="0" w:space="0" w:color="auto"/>
                  </w:divBdr>
                  <w:divsChild>
                    <w:div w:id="1112285914">
                      <w:marLeft w:val="0"/>
                      <w:marRight w:val="0"/>
                      <w:marTop w:val="0"/>
                      <w:marBottom w:val="0"/>
                      <w:divBdr>
                        <w:top w:val="none" w:sz="0" w:space="0" w:color="auto"/>
                        <w:left w:val="none" w:sz="0" w:space="0" w:color="auto"/>
                        <w:bottom w:val="none" w:sz="0" w:space="0" w:color="auto"/>
                        <w:right w:val="none" w:sz="0" w:space="0" w:color="auto"/>
                      </w:divBdr>
                    </w:div>
                  </w:divsChild>
                </w:div>
                <w:div w:id="405803633">
                  <w:marLeft w:val="0"/>
                  <w:marRight w:val="0"/>
                  <w:marTop w:val="0"/>
                  <w:marBottom w:val="0"/>
                  <w:divBdr>
                    <w:top w:val="none" w:sz="0" w:space="0" w:color="auto"/>
                    <w:left w:val="none" w:sz="0" w:space="0" w:color="auto"/>
                    <w:bottom w:val="none" w:sz="0" w:space="0" w:color="auto"/>
                    <w:right w:val="none" w:sz="0" w:space="0" w:color="auto"/>
                  </w:divBdr>
                  <w:divsChild>
                    <w:div w:id="26295040">
                      <w:marLeft w:val="0"/>
                      <w:marRight w:val="0"/>
                      <w:marTop w:val="0"/>
                      <w:marBottom w:val="0"/>
                      <w:divBdr>
                        <w:top w:val="none" w:sz="0" w:space="0" w:color="auto"/>
                        <w:left w:val="none" w:sz="0" w:space="0" w:color="auto"/>
                        <w:bottom w:val="none" w:sz="0" w:space="0" w:color="auto"/>
                        <w:right w:val="none" w:sz="0" w:space="0" w:color="auto"/>
                      </w:divBdr>
                    </w:div>
                  </w:divsChild>
                </w:div>
                <w:div w:id="418411037">
                  <w:marLeft w:val="0"/>
                  <w:marRight w:val="0"/>
                  <w:marTop w:val="0"/>
                  <w:marBottom w:val="0"/>
                  <w:divBdr>
                    <w:top w:val="none" w:sz="0" w:space="0" w:color="auto"/>
                    <w:left w:val="none" w:sz="0" w:space="0" w:color="auto"/>
                    <w:bottom w:val="none" w:sz="0" w:space="0" w:color="auto"/>
                    <w:right w:val="none" w:sz="0" w:space="0" w:color="auto"/>
                  </w:divBdr>
                  <w:divsChild>
                    <w:div w:id="1783452762">
                      <w:marLeft w:val="0"/>
                      <w:marRight w:val="0"/>
                      <w:marTop w:val="0"/>
                      <w:marBottom w:val="0"/>
                      <w:divBdr>
                        <w:top w:val="none" w:sz="0" w:space="0" w:color="auto"/>
                        <w:left w:val="none" w:sz="0" w:space="0" w:color="auto"/>
                        <w:bottom w:val="none" w:sz="0" w:space="0" w:color="auto"/>
                        <w:right w:val="none" w:sz="0" w:space="0" w:color="auto"/>
                      </w:divBdr>
                    </w:div>
                  </w:divsChild>
                </w:div>
                <w:div w:id="419985164">
                  <w:marLeft w:val="0"/>
                  <w:marRight w:val="0"/>
                  <w:marTop w:val="0"/>
                  <w:marBottom w:val="0"/>
                  <w:divBdr>
                    <w:top w:val="none" w:sz="0" w:space="0" w:color="auto"/>
                    <w:left w:val="none" w:sz="0" w:space="0" w:color="auto"/>
                    <w:bottom w:val="none" w:sz="0" w:space="0" w:color="auto"/>
                    <w:right w:val="none" w:sz="0" w:space="0" w:color="auto"/>
                  </w:divBdr>
                  <w:divsChild>
                    <w:div w:id="540946262">
                      <w:marLeft w:val="0"/>
                      <w:marRight w:val="0"/>
                      <w:marTop w:val="0"/>
                      <w:marBottom w:val="0"/>
                      <w:divBdr>
                        <w:top w:val="none" w:sz="0" w:space="0" w:color="auto"/>
                        <w:left w:val="none" w:sz="0" w:space="0" w:color="auto"/>
                        <w:bottom w:val="none" w:sz="0" w:space="0" w:color="auto"/>
                        <w:right w:val="none" w:sz="0" w:space="0" w:color="auto"/>
                      </w:divBdr>
                    </w:div>
                  </w:divsChild>
                </w:div>
                <w:div w:id="420221312">
                  <w:marLeft w:val="0"/>
                  <w:marRight w:val="0"/>
                  <w:marTop w:val="0"/>
                  <w:marBottom w:val="0"/>
                  <w:divBdr>
                    <w:top w:val="none" w:sz="0" w:space="0" w:color="auto"/>
                    <w:left w:val="none" w:sz="0" w:space="0" w:color="auto"/>
                    <w:bottom w:val="none" w:sz="0" w:space="0" w:color="auto"/>
                    <w:right w:val="none" w:sz="0" w:space="0" w:color="auto"/>
                  </w:divBdr>
                  <w:divsChild>
                    <w:div w:id="2087220900">
                      <w:marLeft w:val="0"/>
                      <w:marRight w:val="0"/>
                      <w:marTop w:val="0"/>
                      <w:marBottom w:val="0"/>
                      <w:divBdr>
                        <w:top w:val="none" w:sz="0" w:space="0" w:color="auto"/>
                        <w:left w:val="none" w:sz="0" w:space="0" w:color="auto"/>
                        <w:bottom w:val="none" w:sz="0" w:space="0" w:color="auto"/>
                        <w:right w:val="none" w:sz="0" w:space="0" w:color="auto"/>
                      </w:divBdr>
                    </w:div>
                  </w:divsChild>
                </w:div>
                <w:div w:id="420689221">
                  <w:marLeft w:val="0"/>
                  <w:marRight w:val="0"/>
                  <w:marTop w:val="0"/>
                  <w:marBottom w:val="0"/>
                  <w:divBdr>
                    <w:top w:val="none" w:sz="0" w:space="0" w:color="auto"/>
                    <w:left w:val="none" w:sz="0" w:space="0" w:color="auto"/>
                    <w:bottom w:val="none" w:sz="0" w:space="0" w:color="auto"/>
                    <w:right w:val="none" w:sz="0" w:space="0" w:color="auto"/>
                  </w:divBdr>
                  <w:divsChild>
                    <w:div w:id="1739476384">
                      <w:marLeft w:val="0"/>
                      <w:marRight w:val="0"/>
                      <w:marTop w:val="0"/>
                      <w:marBottom w:val="0"/>
                      <w:divBdr>
                        <w:top w:val="none" w:sz="0" w:space="0" w:color="auto"/>
                        <w:left w:val="none" w:sz="0" w:space="0" w:color="auto"/>
                        <w:bottom w:val="none" w:sz="0" w:space="0" w:color="auto"/>
                        <w:right w:val="none" w:sz="0" w:space="0" w:color="auto"/>
                      </w:divBdr>
                    </w:div>
                  </w:divsChild>
                </w:div>
                <w:div w:id="432480447">
                  <w:marLeft w:val="0"/>
                  <w:marRight w:val="0"/>
                  <w:marTop w:val="0"/>
                  <w:marBottom w:val="0"/>
                  <w:divBdr>
                    <w:top w:val="none" w:sz="0" w:space="0" w:color="auto"/>
                    <w:left w:val="none" w:sz="0" w:space="0" w:color="auto"/>
                    <w:bottom w:val="none" w:sz="0" w:space="0" w:color="auto"/>
                    <w:right w:val="none" w:sz="0" w:space="0" w:color="auto"/>
                  </w:divBdr>
                  <w:divsChild>
                    <w:div w:id="1924219225">
                      <w:marLeft w:val="0"/>
                      <w:marRight w:val="0"/>
                      <w:marTop w:val="0"/>
                      <w:marBottom w:val="0"/>
                      <w:divBdr>
                        <w:top w:val="none" w:sz="0" w:space="0" w:color="auto"/>
                        <w:left w:val="none" w:sz="0" w:space="0" w:color="auto"/>
                        <w:bottom w:val="none" w:sz="0" w:space="0" w:color="auto"/>
                        <w:right w:val="none" w:sz="0" w:space="0" w:color="auto"/>
                      </w:divBdr>
                    </w:div>
                  </w:divsChild>
                </w:div>
                <w:div w:id="433132007">
                  <w:marLeft w:val="0"/>
                  <w:marRight w:val="0"/>
                  <w:marTop w:val="0"/>
                  <w:marBottom w:val="0"/>
                  <w:divBdr>
                    <w:top w:val="none" w:sz="0" w:space="0" w:color="auto"/>
                    <w:left w:val="none" w:sz="0" w:space="0" w:color="auto"/>
                    <w:bottom w:val="none" w:sz="0" w:space="0" w:color="auto"/>
                    <w:right w:val="none" w:sz="0" w:space="0" w:color="auto"/>
                  </w:divBdr>
                  <w:divsChild>
                    <w:div w:id="1350595075">
                      <w:marLeft w:val="0"/>
                      <w:marRight w:val="0"/>
                      <w:marTop w:val="0"/>
                      <w:marBottom w:val="0"/>
                      <w:divBdr>
                        <w:top w:val="none" w:sz="0" w:space="0" w:color="auto"/>
                        <w:left w:val="none" w:sz="0" w:space="0" w:color="auto"/>
                        <w:bottom w:val="none" w:sz="0" w:space="0" w:color="auto"/>
                        <w:right w:val="none" w:sz="0" w:space="0" w:color="auto"/>
                      </w:divBdr>
                    </w:div>
                  </w:divsChild>
                </w:div>
                <w:div w:id="435558319">
                  <w:marLeft w:val="0"/>
                  <w:marRight w:val="0"/>
                  <w:marTop w:val="0"/>
                  <w:marBottom w:val="0"/>
                  <w:divBdr>
                    <w:top w:val="none" w:sz="0" w:space="0" w:color="auto"/>
                    <w:left w:val="none" w:sz="0" w:space="0" w:color="auto"/>
                    <w:bottom w:val="none" w:sz="0" w:space="0" w:color="auto"/>
                    <w:right w:val="none" w:sz="0" w:space="0" w:color="auto"/>
                  </w:divBdr>
                  <w:divsChild>
                    <w:div w:id="1645235713">
                      <w:marLeft w:val="0"/>
                      <w:marRight w:val="0"/>
                      <w:marTop w:val="0"/>
                      <w:marBottom w:val="0"/>
                      <w:divBdr>
                        <w:top w:val="none" w:sz="0" w:space="0" w:color="auto"/>
                        <w:left w:val="none" w:sz="0" w:space="0" w:color="auto"/>
                        <w:bottom w:val="none" w:sz="0" w:space="0" w:color="auto"/>
                        <w:right w:val="none" w:sz="0" w:space="0" w:color="auto"/>
                      </w:divBdr>
                    </w:div>
                  </w:divsChild>
                </w:div>
                <w:div w:id="438718960">
                  <w:marLeft w:val="0"/>
                  <w:marRight w:val="0"/>
                  <w:marTop w:val="0"/>
                  <w:marBottom w:val="0"/>
                  <w:divBdr>
                    <w:top w:val="none" w:sz="0" w:space="0" w:color="auto"/>
                    <w:left w:val="none" w:sz="0" w:space="0" w:color="auto"/>
                    <w:bottom w:val="none" w:sz="0" w:space="0" w:color="auto"/>
                    <w:right w:val="none" w:sz="0" w:space="0" w:color="auto"/>
                  </w:divBdr>
                  <w:divsChild>
                    <w:div w:id="1826585829">
                      <w:marLeft w:val="0"/>
                      <w:marRight w:val="0"/>
                      <w:marTop w:val="0"/>
                      <w:marBottom w:val="0"/>
                      <w:divBdr>
                        <w:top w:val="none" w:sz="0" w:space="0" w:color="auto"/>
                        <w:left w:val="none" w:sz="0" w:space="0" w:color="auto"/>
                        <w:bottom w:val="none" w:sz="0" w:space="0" w:color="auto"/>
                        <w:right w:val="none" w:sz="0" w:space="0" w:color="auto"/>
                      </w:divBdr>
                    </w:div>
                  </w:divsChild>
                </w:div>
                <w:div w:id="441388074">
                  <w:marLeft w:val="0"/>
                  <w:marRight w:val="0"/>
                  <w:marTop w:val="0"/>
                  <w:marBottom w:val="0"/>
                  <w:divBdr>
                    <w:top w:val="none" w:sz="0" w:space="0" w:color="auto"/>
                    <w:left w:val="none" w:sz="0" w:space="0" w:color="auto"/>
                    <w:bottom w:val="none" w:sz="0" w:space="0" w:color="auto"/>
                    <w:right w:val="none" w:sz="0" w:space="0" w:color="auto"/>
                  </w:divBdr>
                  <w:divsChild>
                    <w:div w:id="2091268654">
                      <w:marLeft w:val="0"/>
                      <w:marRight w:val="0"/>
                      <w:marTop w:val="0"/>
                      <w:marBottom w:val="0"/>
                      <w:divBdr>
                        <w:top w:val="none" w:sz="0" w:space="0" w:color="auto"/>
                        <w:left w:val="none" w:sz="0" w:space="0" w:color="auto"/>
                        <w:bottom w:val="none" w:sz="0" w:space="0" w:color="auto"/>
                        <w:right w:val="none" w:sz="0" w:space="0" w:color="auto"/>
                      </w:divBdr>
                    </w:div>
                  </w:divsChild>
                </w:div>
                <w:div w:id="454296867">
                  <w:marLeft w:val="0"/>
                  <w:marRight w:val="0"/>
                  <w:marTop w:val="0"/>
                  <w:marBottom w:val="0"/>
                  <w:divBdr>
                    <w:top w:val="none" w:sz="0" w:space="0" w:color="auto"/>
                    <w:left w:val="none" w:sz="0" w:space="0" w:color="auto"/>
                    <w:bottom w:val="none" w:sz="0" w:space="0" w:color="auto"/>
                    <w:right w:val="none" w:sz="0" w:space="0" w:color="auto"/>
                  </w:divBdr>
                  <w:divsChild>
                    <w:div w:id="840854509">
                      <w:marLeft w:val="0"/>
                      <w:marRight w:val="0"/>
                      <w:marTop w:val="0"/>
                      <w:marBottom w:val="0"/>
                      <w:divBdr>
                        <w:top w:val="none" w:sz="0" w:space="0" w:color="auto"/>
                        <w:left w:val="none" w:sz="0" w:space="0" w:color="auto"/>
                        <w:bottom w:val="none" w:sz="0" w:space="0" w:color="auto"/>
                        <w:right w:val="none" w:sz="0" w:space="0" w:color="auto"/>
                      </w:divBdr>
                    </w:div>
                  </w:divsChild>
                </w:div>
                <w:div w:id="455871131">
                  <w:marLeft w:val="0"/>
                  <w:marRight w:val="0"/>
                  <w:marTop w:val="0"/>
                  <w:marBottom w:val="0"/>
                  <w:divBdr>
                    <w:top w:val="none" w:sz="0" w:space="0" w:color="auto"/>
                    <w:left w:val="none" w:sz="0" w:space="0" w:color="auto"/>
                    <w:bottom w:val="none" w:sz="0" w:space="0" w:color="auto"/>
                    <w:right w:val="none" w:sz="0" w:space="0" w:color="auto"/>
                  </w:divBdr>
                  <w:divsChild>
                    <w:div w:id="2115977882">
                      <w:marLeft w:val="0"/>
                      <w:marRight w:val="0"/>
                      <w:marTop w:val="0"/>
                      <w:marBottom w:val="0"/>
                      <w:divBdr>
                        <w:top w:val="none" w:sz="0" w:space="0" w:color="auto"/>
                        <w:left w:val="none" w:sz="0" w:space="0" w:color="auto"/>
                        <w:bottom w:val="none" w:sz="0" w:space="0" w:color="auto"/>
                        <w:right w:val="none" w:sz="0" w:space="0" w:color="auto"/>
                      </w:divBdr>
                    </w:div>
                  </w:divsChild>
                </w:div>
                <w:div w:id="468207602">
                  <w:marLeft w:val="0"/>
                  <w:marRight w:val="0"/>
                  <w:marTop w:val="0"/>
                  <w:marBottom w:val="0"/>
                  <w:divBdr>
                    <w:top w:val="none" w:sz="0" w:space="0" w:color="auto"/>
                    <w:left w:val="none" w:sz="0" w:space="0" w:color="auto"/>
                    <w:bottom w:val="none" w:sz="0" w:space="0" w:color="auto"/>
                    <w:right w:val="none" w:sz="0" w:space="0" w:color="auto"/>
                  </w:divBdr>
                  <w:divsChild>
                    <w:div w:id="795681882">
                      <w:marLeft w:val="0"/>
                      <w:marRight w:val="0"/>
                      <w:marTop w:val="0"/>
                      <w:marBottom w:val="0"/>
                      <w:divBdr>
                        <w:top w:val="none" w:sz="0" w:space="0" w:color="auto"/>
                        <w:left w:val="none" w:sz="0" w:space="0" w:color="auto"/>
                        <w:bottom w:val="none" w:sz="0" w:space="0" w:color="auto"/>
                        <w:right w:val="none" w:sz="0" w:space="0" w:color="auto"/>
                      </w:divBdr>
                    </w:div>
                  </w:divsChild>
                </w:div>
                <w:div w:id="468397558">
                  <w:marLeft w:val="0"/>
                  <w:marRight w:val="0"/>
                  <w:marTop w:val="0"/>
                  <w:marBottom w:val="0"/>
                  <w:divBdr>
                    <w:top w:val="none" w:sz="0" w:space="0" w:color="auto"/>
                    <w:left w:val="none" w:sz="0" w:space="0" w:color="auto"/>
                    <w:bottom w:val="none" w:sz="0" w:space="0" w:color="auto"/>
                    <w:right w:val="none" w:sz="0" w:space="0" w:color="auto"/>
                  </w:divBdr>
                  <w:divsChild>
                    <w:div w:id="1366558010">
                      <w:marLeft w:val="0"/>
                      <w:marRight w:val="0"/>
                      <w:marTop w:val="0"/>
                      <w:marBottom w:val="0"/>
                      <w:divBdr>
                        <w:top w:val="none" w:sz="0" w:space="0" w:color="auto"/>
                        <w:left w:val="none" w:sz="0" w:space="0" w:color="auto"/>
                        <w:bottom w:val="none" w:sz="0" w:space="0" w:color="auto"/>
                        <w:right w:val="none" w:sz="0" w:space="0" w:color="auto"/>
                      </w:divBdr>
                    </w:div>
                  </w:divsChild>
                </w:div>
                <w:div w:id="485167291">
                  <w:marLeft w:val="0"/>
                  <w:marRight w:val="0"/>
                  <w:marTop w:val="0"/>
                  <w:marBottom w:val="0"/>
                  <w:divBdr>
                    <w:top w:val="none" w:sz="0" w:space="0" w:color="auto"/>
                    <w:left w:val="none" w:sz="0" w:space="0" w:color="auto"/>
                    <w:bottom w:val="none" w:sz="0" w:space="0" w:color="auto"/>
                    <w:right w:val="none" w:sz="0" w:space="0" w:color="auto"/>
                  </w:divBdr>
                  <w:divsChild>
                    <w:div w:id="698504606">
                      <w:marLeft w:val="0"/>
                      <w:marRight w:val="0"/>
                      <w:marTop w:val="0"/>
                      <w:marBottom w:val="0"/>
                      <w:divBdr>
                        <w:top w:val="none" w:sz="0" w:space="0" w:color="auto"/>
                        <w:left w:val="none" w:sz="0" w:space="0" w:color="auto"/>
                        <w:bottom w:val="none" w:sz="0" w:space="0" w:color="auto"/>
                        <w:right w:val="none" w:sz="0" w:space="0" w:color="auto"/>
                      </w:divBdr>
                    </w:div>
                  </w:divsChild>
                </w:div>
                <w:div w:id="498421511">
                  <w:marLeft w:val="0"/>
                  <w:marRight w:val="0"/>
                  <w:marTop w:val="0"/>
                  <w:marBottom w:val="0"/>
                  <w:divBdr>
                    <w:top w:val="none" w:sz="0" w:space="0" w:color="auto"/>
                    <w:left w:val="none" w:sz="0" w:space="0" w:color="auto"/>
                    <w:bottom w:val="none" w:sz="0" w:space="0" w:color="auto"/>
                    <w:right w:val="none" w:sz="0" w:space="0" w:color="auto"/>
                  </w:divBdr>
                  <w:divsChild>
                    <w:div w:id="594561030">
                      <w:marLeft w:val="0"/>
                      <w:marRight w:val="0"/>
                      <w:marTop w:val="0"/>
                      <w:marBottom w:val="0"/>
                      <w:divBdr>
                        <w:top w:val="none" w:sz="0" w:space="0" w:color="auto"/>
                        <w:left w:val="none" w:sz="0" w:space="0" w:color="auto"/>
                        <w:bottom w:val="none" w:sz="0" w:space="0" w:color="auto"/>
                        <w:right w:val="none" w:sz="0" w:space="0" w:color="auto"/>
                      </w:divBdr>
                    </w:div>
                  </w:divsChild>
                </w:div>
                <w:div w:id="502866579">
                  <w:marLeft w:val="0"/>
                  <w:marRight w:val="0"/>
                  <w:marTop w:val="0"/>
                  <w:marBottom w:val="0"/>
                  <w:divBdr>
                    <w:top w:val="none" w:sz="0" w:space="0" w:color="auto"/>
                    <w:left w:val="none" w:sz="0" w:space="0" w:color="auto"/>
                    <w:bottom w:val="none" w:sz="0" w:space="0" w:color="auto"/>
                    <w:right w:val="none" w:sz="0" w:space="0" w:color="auto"/>
                  </w:divBdr>
                  <w:divsChild>
                    <w:div w:id="613485249">
                      <w:marLeft w:val="0"/>
                      <w:marRight w:val="0"/>
                      <w:marTop w:val="0"/>
                      <w:marBottom w:val="0"/>
                      <w:divBdr>
                        <w:top w:val="none" w:sz="0" w:space="0" w:color="auto"/>
                        <w:left w:val="none" w:sz="0" w:space="0" w:color="auto"/>
                        <w:bottom w:val="none" w:sz="0" w:space="0" w:color="auto"/>
                        <w:right w:val="none" w:sz="0" w:space="0" w:color="auto"/>
                      </w:divBdr>
                    </w:div>
                  </w:divsChild>
                </w:div>
                <w:div w:id="503670236">
                  <w:marLeft w:val="0"/>
                  <w:marRight w:val="0"/>
                  <w:marTop w:val="0"/>
                  <w:marBottom w:val="0"/>
                  <w:divBdr>
                    <w:top w:val="none" w:sz="0" w:space="0" w:color="auto"/>
                    <w:left w:val="none" w:sz="0" w:space="0" w:color="auto"/>
                    <w:bottom w:val="none" w:sz="0" w:space="0" w:color="auto"/>
                    <w:right w:val="none" w:sz="0" w:space="0" w:color="auto"/>
                  </w:divBdr>
                  <w:divsChild>
                    <w:div w:id="143086001">
                      <w:marLeft w:val="0"/>
                      <w:marRight w:val="0"/>
                      <w:marTop w:val="0"/>
                      <w:marBottom w:val="0"/>
                      <w:divBdr>
                        <w:top w:val="none" w:sz="0" w:space="0" w:color="auto"/>
                        <w:left w:val="none" w:sz="0" w:space="0" w:color="auto"/>
                        <w:bottom w:val="none" w:sz="0" w:space="0" w:color="auto"/>
                        <w:right w:val="none" w:sz="0" w:space="0" w:color="auto"/>
                      </w:divBdr>
                    </w:div>
                  </w:divsChild>
                </w:div>
                <w:div w:id="503785451">
                  <w:marLeft w:val="0"/>
                  <w:marRight w:val="0"/>
                  <w:marTop w:val="0"/>
                  <w:marBottom w:val="0"/>
                  <w:divBdr>
                    <w:top w:val="none" w:sz="0" w:space="0" w:color="auto"/>
                    <w:left w:val="none" w:sz="0" w:space="0" w:color="auto"/>
                    <w:bottom w:val="none" w:sz="0" w:space="0" w:color="auto"/>
                    <w:right w:val="none" w:sz="0" w:space="0" w:color="auto"/>
                  </w:divBdr>
                  <w:divsChild>
                    <w:div w:id="1686445542">
                      <w:marLeft w:val="0"/>
                      <w:marRight w:val="0"/>
                      <w:marTop w:val="0"/>
                      <w:marBottom w:val="0"/>
                      <w:divBdr>
                        <w:top w:val="none" w:sz="0" w:space="0" w:color="auto"/>
                        <w:left w:val="none" w:sz="0" w:space="0" w:color="auto"/>
                        <w:bottom w:val="none" w:sz="0" w:space="0" w:color="auto"/>
                        <w:right w:val="none" w:sz="0" w:space="0" w:color="auto"/>
                      </w:divBdr>
                    </w:div>
                  </w:divsChild>
                </w:div>
                <w:div w:id="507910154">
                  <w:marLeft w:val="0"/>
                  <w:marRight w:val="0"/>
                  <w:marTop w:val="0"/>
                  <w:marBottom w:val="0"/>
                  <w:divBdr>
                    <w:top w:val="none" w:sz="0" w:space="0" w:color="auto"/>
                    <w:left w:val="none" w:sz="0" w:space="0" w:color="auto"/>
                    <w:bottom w:val="none" w:sz="0" w:space="0" w:color="auto"/>
                    <w:right w:val="none" w:sz="0" w:space="0" w:color="auto"/>
                  </w:divBdr>
                  <w:divsChild>
                    <w:div w:id="1210846403">
                      <w:marLeft w:val="0"/>
                      <w:marRight w:val="0"/>
                      <w:marTop w:val="0"/>
                      <w:marBottom w:val="0"/>
                      <w:divBdr>
                        <w:top w:val="none" w:sz="0" w:space="0" w:color="auto"/>
                        <w:left w:val="none" w:sz="0" w:space="0" w:color="auto"/>
                        <w:bottom w:val="none" w:sz="0" w:space="0" w:color="auto"/>
                        <w:right w:val="none" w:sz="0" w:space="0" w:color="auto"/>
                      </w:divBdr>
                    </w:div>
                  </w:divsChild>
                </w:div>
                <w:div w:id="512649589">
                  <w:marLeft w:val="0"/>
                  <w:marRight w:val="0"/>
                  <w:marTop w:val="0"/>
                  <w:marBottom w:val="0"/>
                  <w:divBdr>
                    <w:top w:val="none" w:sz="0" w:space="0" w:color="auto"/>
                    <w:left w:val="none" w:sz="0" w:space="0" w:color="auto"/>
                    <w:bottom w:val="none" w:sz="0" w:space="0" w:color="auto"/>
                    <w:right w:val="none" w:sz="0" w:space="0" w:color="auto"/>
                  </w:divBdr>
                  <w:divsChild>
                    <w:div w:id="1929389536">
                      <w:marLeft w:val="0"/>
                      <w:marRight w:val="0"/>
                      <w:marTop w:val="0"/>
                      <w:marBottom w:val="0"/>
                      <w:divBdr>
                        <w:top w:val="none" w:sz="0" w:space="0" w:color="auto"/>
                        <w:left w:val="none" w:sz="0" w:space="0" w:color="auto"/>
                        <w:bottom w:val="none" w:sz="0" w:space="0" w:color="auto"/>
                        <w:right w:val="none" w:sz="0" w:space="0" w:color="auto"/>
                      </w:divBdr>
                    </w:div>
                  </w:divsChild>
                </w:div>
                <w:div w:id="512768411">
                  <w:marLeft w:val="0"/>
                  <w:marRight w:val="0"/>
                  <w:marTop w:val="0"/>
                  <w:marBottom w:val="0"/>
                  <w:divBdr>
                    <w:top w:val="none" w:sz="0" w:space="0" w:color="auto"/>
                    <w:left w:val="none" w:sz="0" w:space="0" w:color="auto"/>
                    <w:bottom w:val="none" w:sz="0" w:space="0" w:color="auto"/>
                    <w:right w:val="none" w:sz="0" w:space="0" w:color="auto"/>
                  </w:divBdr>
                  <w:divsChild>
                    <w:div w:id="302392366">
                      <w:marLeft w:val="0"/>
                      <w:marRight w:val="0"/>
                      <w:marTop w:val="0"/>
                      <w:marBottom w:val="0"/>
                      <w:divBdr>
                        <w:top w:val="none" w:sz="0" w:space="0" w:color="auto"/>
                        <w:left w:val="none" w:sz="0" w:space="0" w:color="auto"/>
                        <w:bottom w:val="none" w:sz="0" w:space="0" w:color="auto"/>
                        <w:right w:val="none" w:sz="0" w:space="0" w:color="auto"/>
                      </w:divBdr>
                    </w:div>
                  </w:divsChild>
                </w:div>
                <w:div w:id="525220733">
                  <w:marLeft w:val="0"/>
                  <w:marRight w:val="0"/>
                  <w:marTop w:val="0"/>
                  <w:marBottom w:val="0"/>
                  <w:divBdr>
                    <w:top w:val="none" w:sz="0" w:space="0" w:color="auto"/>
                    <w:left w:val="none" w:sz="0" w:space="0" w:color="auto"/>
                    <w:bottom w:val="none" w:sz="0" w:space="0" w:color="auto"/>
                    <w:right w:val="none" w:sz="0" w:space="0" w:color="auto"/>
                  </w:divBdr>
                  <w:divsChild>
                    <w:div w:id="405304459">
                      <w:marLeft w:val="0"/>
                      <w:marRight w:val="0"/>
                      <w:marTop w:val="0"/>
                      <w:marBottom w:val="0"/>
                      <w:divBdr>
                        <w:top w:val="none" w:sz="0" w:space="0" w:color="auto"/>
                        <w:left w:val="none" w:sz="0" w:space="0" w:color="auto"/>
                        <w:bottom w:val="none" w:sz="0" w:space="0" w:color="auto"/>
                        <w:right w:val="none" w:sz="0" w:space="0" w:color="auto"/>
                      </w:divBdr>
                    </w:div>
                  </w:divsChild>
                </w:div>
                <w:div w:id="529493458">
                  <w:marLeft w:val="0"/>
                  <w:marRight w:val="0"/>
                  <w:marTop w:val="0"/>
                  <w:marBottom w:val="0"/>
                  <w:divBdr>
                    <w:top w:val="none" w:sz="0" w:space="0" w:color="auto"/>
                    <w:left w:val="none" w:sz="0" w:space="0" w:color="auto"/>
                    <w:bottom w:val="none" w:sz="0" w:space="0" w:color="auto"/>
                    <w:right w:val="none" w:sz="0" w:space="0" w:color="auto"/>
                  </w:divBdr>
                  <w:divsChild>
                    <w:div w:id="2060859073">
                      <w:marLeft w:val="0"/>
                      <w:marRight w:val="0"/>
                      <w:marTop w:val="0"/>
                      <w:marBottom w:val="0"/>
                      <w:divBdr>
                        <w:top w:val="none" w:sz="0" w:space="0" w:color="auto"/>
                        <w:left w:val="none" w:sz="0" w:space="0" w:color="auto"/>
                        <w:bottom w:val="none" w:sz="0" w:space="0" w:color="auto"/>
                        <w:right w:val="none" w:sz="0" w:space="0" w:color="auto"/>
                      </w:divBdr>
                    </w:div>
                  </w:divsChild>
                </w:div>
                <w:div w:id="529614056">
                  <w:marLeft w:val="0"/>
                  <w:marRight w:val="0"/>
                  <w:marTop w:val="0"/>
                  <w:marBottom w:val="0"/>
                  <w:divBdr>
                    <w:top w:val="none" w:sz="0" w:space="0" w:color="auto"/>
                    <w:left w:val="none" w:sz="0" w:space="0" w:color="auto"/>
                    <w:bottom w:val="none" w:sz="0" w:space="0" w:color="auto"/>
                    <w:right w:val="none" w:sz="0" w:space="0" w:color="auto"/>
                  </w:divBdr>
                  <w:divsChild>
                    <w:div w:id="390346983">
                      <w:marLeft w:val="0"/>
                      <w:marRight w:val="0"/>
                      <w:marTop w:val="0"/>
                      <w:marBottom w:val="0"/>
                      <w:divBdr>
                        <w:top w:val="none" w:sz="0" w:space="0" w:color="auto"/>
                        <w:left w:val="none" w:sz="0" w:space="0" w:color="auto"/>
                        <w:bottom w:val="none" w:sz="0" w:space="0" w:color="auto"/>
                        <w:right w:val="none" w:sz="0" w:space="0" w:color="auto"/>
                      </w:divBdr>
                    </w:div>
                  </w:divsChild>
                </w:div>
                <w:div w:id="546995572">
                  <w:marLeft w:val="0"/>
                  <w:marRight w:val="0"/>
                  <w:marTop w:val="0"/>
                  <w:marBottom w:val="0"/>
                  <w:divBdr>
                    <w:top w:val="none" w:sz="0" w:space="0" w:color="auto"/>
                    <w:left w:val="none" w:sz="0" w:space="0" w:color="auto"/>
                    <w:bottom w:val="none" w:sz="0" w:space="0" w:color="auto"/>
                    <w:right w:val="none" w:sz="0" w:space="0" w:color="auto"/>
                  </w:divBdr>
                  <w:divsChild>
                    <w:div w:id="204568612">
                      <w:marLeft w:val="0"/>
                      <w:marRight w:val="0"/>
                      <w:marTop w:val="0"/>
                      <w:marBottom w:val="0"/>
                      <w:divBdr>
                        <w:top w:val="none" w:sz="0" w:space="0" w:color="auto"/>
                        <w:left w:val="none" w:sz="0" w:space="0" w:color="auto"/>
                        <w:bottom w:val="none" w:sz="0" w:space="0" w:color="auto"/>
                        <w:right w:val="none" w:sz="0" w:space="0" w:color="auto"/>
                      </w:divBdr>
                    </w:div>
                  </w:divsChild>
                </w:div>
                <w:div w:id="547449756">
                  <w:marLeft w:val="0"/>
                  <w:marRight w:val="0"/>
                  <w:marTop w:val="0"/>
                  <w:marBottom w:val="0"/>
                  <w:divBdr>
                    <w:top w:val="none" w:sz="0" w:space="0" w:color="auto"/>
                    <w:left w:val="none" w:sz="0" w:space="0" w:color="auto"/>
                    <w:bottom w:val="none" w:sz="0" w:space="0" w:color="auto"/>
                    <w:right w:val="none" w:sz="0" w:space="0" w:color="auto"/>
                  </w:divBdr>
                  <w:divsChild>
                    <w:div w:id="350255790">
                      <w:marLeft w:val="0"/>
                      <w:marRight w:val="0"/>
                      <w:marTop w:val="0"/>
                      <w:marBottom w:val="0"/>
                      <w:divBdr>
                        <w:top w:val="none" w:sz="0" w:space="0" w:color="auto"/>
                        <w:left w:val="none" w:sz="0" w:space="0" w:color="auto"/>
                        <w:bottom w:val="none" w:sz="0" w:space="0" w:color="auto"/>
                        <w:right w:val="none" w:sz="0" w:space="0" w:color="auto"/>
                      </w:divBdr>
                    </w:div>
                  </w:divsChild>
                </w:div>
                <w:div w:id="551036427">
                  <w:marLeft w:val="0"/>
                  <w:marRight w:val="0"/>
                  <w:marTop w:val="0"/>
                  <w:marBottom w:val="0"/>
                  <w:divBdr>
                    <w:top w:val="none" w:sz="0" w:space="0" w:color="auto"/>
                    <w:left w:val="none" w:sz="0" w:space="0" w:color="auto"/>
                    <w:bottom w:val="none" w:sz="0" w:space="0" w:color="auto"/>
                    <w:right w:val="none" w:sz="0" w:space="0" w:color="auto"/>
                  </w:divBdr>
                  <w:divsChild>
                    <w:div w:id="375476043">
                      <w:marLeft w:val="0"/>
                      <w:marRight w:val="0"/>
                      <w:marTop w:val="0"/>
                      <w:marBottom w:val="0"/>
                      <w:divBdr>
                        <w:top w:val="none" w:sz="0" w:space="0" w:color="auto"/>
                        <w:left w:val="none" w:sz="0" w:space="0" w:color="auto"/>
                        <w:bottom w:val="none" w:sz="0" w:space="0" w:color="auto"/>
                        <w:right w:val="none" w:sz="0" w:space="0" w:color="auto"/>
                      </w:divBdr>
                    </w:div>
                  </w:divsChild>
                </w:div>
                <w:div w:id="551697694">
                  <w:marLeft w:val="0"/>
                  <w:marRight w:val="0"/>
                  <w:marTop w:val="0"/>
                  <w:marBottom w:val="0"/>
                  <w:divBdr>
                    <w:top w:val="none" w:sz="0" w:space="0" w:color="auto"/>
                    <w:left w:val="none" w:sz="0" w:space="0" w:color="auto"/>
                    <w:bottom w:val="none" w:sz="0" w:space="0" w:color="auto"/>
                    <w:right w:val="none" w:sz="0" w:space="0" w:color="auto"/>
                  </w:divBdr>
                  <w:divsChild>
                    <w:div w:id="1916165527">
                      <w:marLeft w:val="0"/>
                      <w:marRight w:val="0"/>
                      <w:marTop w:val="0"/>
                      <w:marBottom w:val="0"/>
                      <w:divBdr>
                        <w:top w:val="none" w:sz="0" w:space="0" w:color="auto"/>
                        <w:left w:val="none" w:sz="0" w:space="0" w:color="auto"/>
                        <w:bottom w:val="none" w:sz="0" w:space="0" w:color="auto"/>
                        <w:right w:val="none" w:sz="0" w:space="0" w:color="auto"/>
                      </w:divBdr>
                    </w:div>
                  </w:divsChild>
                </w:div>
                <w:div w:id="553810936">
                  <w:marLeft w:val="0"/>
                  <w:marRight w:val="0"/>
                  <w:marTop w:val="0"/>
                  <w:marBottom w:val="0"/>
                  <w:divBdr>
                    <w:top w:val="none" w:sz="0" w:space="0" w:color="auto"/>
                    <w:left w:val="none" w:sz="0" w:space="0" w:color="auto"/>
                    <w:bottom w:val="none" w:sz="0" w:space="0" w:color="auto"/>
                    <w:right w:val="none" w:sz="0" w:space="0" w:color="auto"/>
                  </w:divBdr>
                  <w:divsChild>
                    <w:div w:id="100419676">
                      <w:marLeft w:val="0"/>
                      <w:marRight w:val="0"/>
                      <w:marTop w:val="0"/>
                      <w:marBottom w:val="0"/>
                      <w:divBdr>
                        <w:top w:val="none" w:sz="0" w:space="0" w:color="auto"/>
                        <w:left w:val="none" w:sz="0" w:space="0" w:color="auto"/>
                        <w:bottom w:val="none" w:sz="0" w:space="0" w:color="auto"/>
                        <w:right w:val="none" w:sz="0" w:space="0" w:color="auto"/>
                      </w:divBdr>
                    </w:div>
                  </w:divsChild>
                </w:div>
                <w:div w:id="553926239">
                  <w:marLeft w:val="0"/>
                  <w:marRight w:val="0"/>
                  <w:marTop w:val="0"/>
                  <w:marBottom w:val="0"/>
                  <w:divBdr>
                    <w:top w:val="none" w:sz="0" w:space="0" w:color="auto"/>
                    <w:left w:val="none" w:sz="0" w:space="0" w:color="auto"/>
                    <w:bottom w:val="none" w:sz="0" w:space="0" w:color="auto"/>
                    <w:right w:val="none" w:sz="0" w:space="0" w:color="auto"/>
                  </w:divBdr>
                  <w:divsChild>
                    <w:div w:id="1962881972">
                      <w:marLeft w:val="0"/>
                      <w:marRight w:val="0"/>
                      <w:marTop w:val="0"/>
                      <w:marBottom w:val="0"/>
                      <w:divBdr>
                        <w:top w:val="none" w:sz="0" w:space="0" w:color="auto"/>
                        <w:left w:val="none" w:sz="0" w:space="0" w:color="auto"/>
                        <w:bottom w:val="none" w:sz="0" w:space="0" w:color="auto"/>
                        <w:right w:val="none" w:sz="0" w:space="0" w:color="auto"/>
                      </w:divBdr>
                    </w:div>
                  </w:divsChild>
                </w:div>
                <w:div w:id="555363614">
                  <w:marLeft w:val="0"/>
                  <w:marRight w:val="0"/>
                  <w:marTop w:val="0"/>
                  <w:marBottom w:val="0"/>
                  <w:divBdr>
                    <w:top w:val="none" w:sz="0" w:space="0" w:color="auto"/>
                    <w:left w:val="none" w:sz="0" w:space="0" w:color="auto"/>
                    <w:bottom w:val="none" w:sz="0" w:space="0" w:color="auto"/>
                    <w:right w:val="none" w:sz="0" w:space="0" w:color="auto"/>
                  </w:divBdr>
                  <w:divsChild>
                    <w:div w:id="1596817031">
                      <w:marLeft w:val="0"/>
                      <w:marRight w:val="0"/>
                      <w:marTop w:val="0"/>
                      <w:marBottom w:val="0"/>
                      <w:divBdr>
                        <w:top w:val="none" w:sz="0" w:space="0" w:color="auto"/>
                        <w:left w:val="none" w:sz="0" w:space="0" w:color="auto"/>
                        <w:bottom w:val="none" w:sz="0" w:space="0" w:color="auto"/>
                        <w:right w:val="none" w:sz="0" w:space="0" w:color="auto"/>
                      </w:divBdr>
                    </w:div>
                  </w:divsChild>
                </w:div>
                <w:div w:id="564728430">
                  <w:marLeft w:val="0"/>
                  <w:marRight w:val="0"/>
                  <w:marTop w:val="0"/>
                  <w:marBottom w:val="0"/>
                  <w:divBdr>
                    <w:top w:val="none" w:sz="0" w:space="0" w:color="auto"/>
                    <w:left w:val="none" w:sz="0" w:space="0" w:color="auto"/>
                    <w:bottom w:val="none" w:sz="0" w:space="0" w:color="auto"/>
                    <w:right w:val="none" w:sz="0" w:space="0" w:color="auto"/>
                  </w:divBdr>
                  <w:divsChild>
                    <w:div w:id="388454323">
                      <w:marLeft w:val="0"/>
                      <w:marRight w:val="0"/>
                      <w:marTop w:val="0"/>
                      <w:marBottom w:val="0"/>
                      <w:divBdr>
                        <w:top w:val="none" w:sz="0" w:space="0" w:color="auto"/>
                        <w:left w:val="none" w:sz="0" w:space="0" w:color="auto"/>
                        <w:bottom w:val="none" w:sz="0" w:space="0" w:color="auto"/>
                        <w:right w:val="none" w:sz="0" w:space="0" w:color="auto"/>
                      </w:divBdr>
                    </w:div>
                  </w:divsChild>
                </w:div>
                <w:div w:id="569655628">
                  <w:marLeft w:val="0"/>
                  <w:marRight w:val="0"/>
                  <w:marTop w:val="0"/>
                  <w:marBottom w:val="0"/>
                  <w:divBdr>
                    <w:top w:val="none" w:sz="0" w:space="0" w:color="auto"/>
                    <w:left w:val="none" w:sz="0" w:space="0" w:color="auto"/>
                    <w:bottom w:val="none" w:sz="0" w:space="0" w:color="auto"/>
                    <w:right w:val="none" w:sz="0" w:space="0" w:color="auto"/>
                  </w:divBdr>
                  <w:divsChild>
                    <w:div w:id="1862892794">
                      <w:marLeft w:val="0"/>
                      <w:marRight w:val="0"/>
                      <w:marTop w:val="0"/>
                      <w:marBottom w:val="0"/>
                      <w:divBdr>
                        <w:top w:val="none" w:sz="0" w:space="0" w:color="auto"/>
                        <w:left w:val="none" w:sz="0" w:space="0" w:color="auto"/>
                        <w:bottom w:val="none" w:sz="0" w:space="0" w:color="auto"/>
                        <w:right w:val="none" w:sz="0" w:space="0" w:color="auto"/>
                      </w:divBdr>
                    </w:div>
                  </w:divsChild>
                </w:div>
                <w:div w:id="570890277">
                  <w:marLeft w:val="0"/>
                  <w:marRight w:val="0"/>
                  <w:marTop w:val="0"/>
                  <w:marBottom w:val="0"/>
                  <w:divBdr>
                    <w:top w:val="none" w:sz="0" w:space="0" w:color="auto"/>
                    <w:left w:val="none" w:sz="0" w:space="0" w:color="auto"/>
                    <w:bottom w:val="none" w:sz="0" w:space="0" w:color="auto"/>
                    <w:right w:val="none" w:sz="0" w:space="0" w:color="auto"/>
                  </w:divBdr>
                  <w:divsChild>
                    <w:div w:id="1312295901">
                      <w:marLeft w:val="0"/>
                      <w:marRight w:val="0"/>
                      <w:marTop w:val="0"/>
                      <w:marBottom w:val="0"/>
                      <w:divBdr>
                        <w:top w:val="none" w:sz="0" w:space="0" w:color="auto"/>
                        <w:left w:val="none" w:sz="0" w:space="0" w:color="auto"/>
                        <w:bottom w:val="none" w:sz="0" w:space="0" w:color="auto"/>
                        <w:right w:val="none" w:sz="0" w:space="0" w:color="auto"/>
                      </w:divBdr>
                    </w:div>
                  </w:divsChild>
                </w:div>
                <w:div w:id="572085282">
                  <w:marLeft w:val="0"/>
                  <w:marRight w:val="0"/>
                  <w:marTop w:val="0"/>
                  <w:marBottom w:val="0"/>
                  <w:divBdr>
                    <w:top w:val="none" w:sz="0" w:space="0" w:color="auto"/>
                    <w:left w:val="none" w:sz="0" w:space="0" w:color="auto"/>
                    <w:bottom w:val="none" w:sz="0" w:space="0" w:color="auto"/>
                    <w:right w:val="none" w:sz="0" w:space="0" w:color="auto"/>
                  </w:divBdr>
                  <w:divsChild>
                    <w:div w:id="636036103">
                      <w:marLeft w:val="0"/>
                      <w:marRight w:val="0"/>
                      <w:marTop w:val="0"/>
                      <w:marBottom w:val="0"/>
                      <w:divBdr>
                        <w:top w:val="none" w:sz="0" w:space="0" w:color="auto"/>
                        <w:left w:val="none" w:sz="0" w:space="0" w:color="auto"/>
                        <w:bottom w:val="none" w:sz="0" w:space="0" w:color="auto"/>
                        <w:right w:val="none" w:sz="0" w:space="0" w:color="auto"/>
                      </w:divBdr>
                    </w:div>
                  </w:divsChild>
                </w:div>
                <w:div w:id="581109660">
                  <w:marLeft w:val="0"/>
                  <w:marRight w:val="0"/>
                  <w:marTop w:val="0"/>
                  <w:marBottom w:val="0"/>
                  <w:divBdr>
                    <w:top w:val="none" w:sz="0" w:space="0" w:color="auto"/>
                    <w:left w:val="none" w:sz="0" w:space="0" w:color="auto"/>
                    <w:bottom w:val="none" w:sz="0" w:space="0" w:color="auto"/>
                    <w:right w:val="none" w:sz="0" w:space="0" w:color="auto"/>
                  </w:divBdr>
                  <w:divsChild>
                    <w:div w:id="1398015087">
                      <w:marLeft w:val="0"/>
                      <w:marRight w:val="0"/>
                      <w:marTop w:val="0"/>
                      <w:marBottom w:val="0"/>
                      <w:divBdr>
                        <w:top w:val="none" w:sz="0" w:space="0" w:color="auto"/>
                        <w:left w:val="none" w:sz="0" w:space="0" w:color="auto"/>
                        <w:bottom w:val="none" w:sz="0" w:space="0" w:color="auto"/>
                        <w:right w:val="none" w:sz="0" w:space="0" w:color="auto"/>
                      </w:divBdr>
                    </w:div>
                  </w:divsChild>
                </w:div>
                <w:div w:id="582490260">
                  <w:marLeft w:val="0"/>
                  <w:marRight w:val="0"/>
                  <w:marTop w:val="0"/>
                  <w:marBottom w:val="0"/>
                  <w:divBdr>
                    <w:top w:val="none" w:sz="0" w:space="0" w:color="auto"/>
                    <w:left w:val="none" w:sz="0" w:space="0" w:color="auto"/>
                    <w:bottom w:val="none" w:sz="0" w:space="0" w:color="auto"/>
                    <w:right w:val="none" w:sz="0" w:space="0" w:color="auto"/>
                  </w:divBdr>
                  <w:divsChild>
                    <w:div w:id="2022929110">
                      <w:marLeft w:val="0"/>
                      <w:marRight w:val="0"/>
                      <w:marTop w:val="0"/>
                      <w:marBottom w:val="0"/>
                      <w:divBdr>
                        <w:top w:val="none" w:sz="0" w:space="0" w:color="auto"/>
                        <w:left w:val="none" w:sz="0" w:space="0" w:color="auto"/>
                        <w:bottom w:val="none" w:sz="0" w:space="0" w:color="auto"/>
                        <w:right w:val="none" w:sz="0" w:space="0" w:color="auto"/>
                      </w:divBdr>
                    </w:div>
                  </w:divsChild>
                </w:div>
                <w:div w:id="594635393">
                  <w:marLeft w:val="0"/>
                  <w:marRight w:val="0"/>
                  <w:marTop w:val="0"/>
                  <w:marBottom w:val="0"/>
                  <w:divBdr>
                    <w:top w:val="none" w:sz="0" w:space="0" w:color="auto"/>
                    <w:left w:val="none" w:sz="0" w:space="0" w:color="auto"/>
                    <w:bottom w:val="none" w:sz="0" w:space="0" w:color="auto"/>
                    <w:right w:val="none" w:sz="0" w:space="0" w:color="auto"/>
                  </w:divBdr>
                  <w:divsChild>
                    <w:div w:id="1121806060">
                      <w:marLeft w:val="0"/>
                      <w:marRight w:val="0"/>
                      <w:marTop w:val="0"/>
                      <w:marBottom w:val="0"/>
                      <w:divBdr>
                        <w:top w:val="none" w:sz="0" w:space="0" w:color="auto"/>
                        <w:left w:val="none" w:sz="0" w:space="0" w:color="auto"/>
                        <w:bottom w:val="none" w:sz="0" w:space="0" w:color="auto"/>
                        <w:right w:val="none" w:sz="0" w:space="0" w:color="auto"/>
                      </w:divBdr>
                    </w:div>
                  </w:divsChild>
                </w:div>
                <w:div w:id="617418743">
                  <w:marLeft w:val="0"/>
                  <w:marRight w:val="0"/>
                  <w:marTop w:val="0"/>
                  <w:marBottom w:val="0"/>
                  <w:divBdr>
                    <w:top w:val="none" w:sz="0" w:space="0" w:color="auto"/>
                    <w:left w:val="none" w:sz="0" w:space="0" w:color="auto"/>
                    <w:bottom w:val="none" w:sz="0" w:space="0" w:color="auto"/>
                    <w:right w:val="none" w:sz="0" w:space="0" w:color="auto"/>
                  </w:divBdr>
                  <w:divsChild>
                    <w:div w:id="258107237">
                      <w:marLeft w:val="0"/>
                      <w:marRight w:val="0"/>
                      <w:marTop w:val="0"/>
                      <w:marBottom w:val="0"/>
                      <w:divBdr>
                        <w:top w:val="none" w:sz="0" w:space="0" w:color="auto"/>
                        <w:left w:val="none" w:sz="0" w:space="0" w:color="auto"/>
                        <w:bottom w:val="none" w:sz="0" w:space="0" w:color="auto"/>
                        <w:right w:val="none" w:sz="0" w:space="0" w:color="auto"/>
                      </w:divBdr>
                    </w:div>
                  </w:divsChild>
                </w:div>
                <w:div w:id="617487483">
                  <w:marLeft w:val="0"/>
                  <w:marRight w:val="0"/>
                  <w:marTop w:val="0"/>
                  <w:marBottom w:val="0"/>
                  <w:divBdr>
                    <w:top w:val="none" w:sz="0" w:space="0" w:color="auto"/>
                    <w:left w:val="none" w:sz="0" w:space="0" w:color="auto"/>
                    <w:bottom w:val="none" w:sz="0" w:space="0" w:color="auto"/>
                    <w:right w:val="none" w:sz="0" w:space="0" w:color="auto"/>
                  </w:divBdr>
                  <w:divsChild>
                    <w:div w:id="2079131639">
                      <w:marLeft w:val="0"/>
                      <w:marRight w:val="0"/>
                      <w:marTop w:val="0"/>
                      <w:marBottom w:val="0"/>
                      <w:divBdr>
                        <w:top w:val="none" w:sz="0" w:space="0" w:color="auto"/>
                        <w:left w:val="none" w:sz="0" w:space="0" w:color="auto"/>
                        <w:bottom w:val="none" w:sz="0" w:space="0" w:color="auto"/>
                        <w:right w:val="none" w:sz="0" w:space="0" w:color="auto"/>
                      </w:divBdr>
                    </w:div>
                  </w:divsChild>
                </w:div>
                <w:div w:id="621689992">
                  <w:marLeft w:val="0"/>
                  <w:marRight w:val="0"/>
                  <w:marTop w:val="0"/>
                  <w:marBottom w:val="0"/>
                  <w:divBdr>
                    <w:top w:val="none" w:sz="0" w:space="0" w:color="auto"/>
                    <w:left w:val="none" w:sz="0" w:space="0" w:color="auto"/>
                    <w:bottom w:val="none" w:sz="0" w:space="0" w:color="auto"/>
                    <w:right w:val="none" w:sz="0" w:space="0" w:color="auto"/>
                  </w:divBdr>
                  <w:divsChild>
                    <w:div w:id="1374765208">
                      <w:marLeft w:val="0"/>
                      <w:marRight w:val="0"/>
                      <w:marTop w:val="0"/>
                      <w:marBottom w:val="0"/>
                      <w:divBdr>
                        <w:top w:val="none" w:sz="0" w:space="0" w:color="auto"/>
                        <w:left w:val="none" w:sz="0" w:space="0" w:color="auto"/>
                        <w:bottom w:val="none" w:sz="0" w:space="0" w:color="auto"/>
                        <w:right w:val="none" w:sz="0" w:space="0" w:color="auto"/>
                      </w:divBdr>
                    </w:div>
                  </w:divsChild>
                </w:div>
                <w:div w:id="636029367">
                  <w:marLeft w:val="0"/>
                  <w:marRight w:val="0"/>
                  <w:marTop w:val="0"/>
                  <w:marBottom w:val="0"/>
                  <w:divBdr>
                    <w:top w:val="none" w:sz="0" w:space="0" w:color="auto"/>
                    <w:left w:val="none" w:sz="0" w:space="0" w:color="auto"/>
                    <w:bottom w:val="none" w:sz="0" w:space="0" w:color="auto"/>
                    <w:right w:val="none" w:sz="0" w:space="0" w:color="auto"/>
                  </w:divBdr>
                  <w:divsChild>
                    <w:div w:id="1797874265">
                      <w:marLeft w:val="0"/>
                      <w:marRight w:val="0"/>
                      <w:marTop w:val="0"/>
                      <w:marBottom w:val="0"/>
                      <w:divBdr>
                        <w:top w:val="none" w:sz="0" w:space="0" w:color="auto"/>
                        <w:left w:val="none" w:sz="0" w:space="0" w:color="auto"/>
                        <w:bottom w:val="none" w:sz="0" w:space="0" w:color="auto"/>
                        <w:right w:val="none" w:sz="0" w:space="0" w:color="auto"/>
                      </w:divBdr>
                    </w:div>
                  </w:divsChild>
                </w:div>
                <w:div w:id="657656268">
                  <w:marLeft w:val="0"/>
                  <w:marRight w:val="0"/>
                  <w:marTop w:val="0"/>
                  <w:marBottom w:val="0"/>
                  <w:divBdr>
                    <w:top w:val="none" w:sz="0" w:space="0" w:color="auto"/>
                    <w:left w:val="none" w:sz="0" w:space="0" w:color="auto"/>
                    <w:bottom w:val="none" w:sz="0" w:space="0" w:color="auto"/>
                    <w:right w:val="none" w:sz="0" w:space="0" w:color="auto"/>
                  </w:divBdr>
                  <w:divsChild>
                    <w:div w:id="264577841">
                      <w:marLeft w:val="0"/>
                      <w:marRight w:val="0"/>
                      <w:marTop w:val="0"/>
                      <w:marBottom w:val="0"/>
                      <w:divBdr>
                        <w:top w:val="none" w:sz="0" w:space="0" w:color="auto"/>
                        <w:left w:val="none" w:sz="0" w:space="0" w:color="auto"/>
                        <w:bottom w:val="none" w:sz="0" w:space="0" w:color="auto"/>
                        <w:right w:val="none" w:sz="0" w:space="0" w:color="auto"/>
                      </w:divBdr>
                    </w:div>
                  </w:divsChild>
                </w:div>
                <w:div w:id="660238162">
                  <w:marLeft w:val="0"/>
                  <w:marRight w:val="0"/>
                  <w:marTop w:val="0"/>
                  <w:marBottom w:val="0"/>
                  <w:divBdr>
                    <w:top w:val="none" w:sz="0" w:space="0" w:color="auto"/>
                    <w:left w:val="none" w:sz="0" w:space="0" w:color="auto"/>
                    <w:bottom w:val="none" w:sz="0" w:space="0" w:color="auto"/>
                    <w:right w:val="none" w:sz="0" w:space="0" w:color="auto"/>
                  </w:divBdr>
                  <w:divsChild>
                    <w:div w:id="1070036891">
                      <w:marLeft w:val="0"/>
                      <w:marRight w:val="0"/>
                      <w:marTop w:val="0"/>
                      <w:marBottom w:val="0"/>
                      <w:divBdr>
                        <w:top w:val="none" w:sz="0" w:space="0" w:color="auto"/>
                        <w:left w:val="none" w:sz="0" w:space="0" w:color="auto"/>
                        <w:bottom w:val="none" w:sz="0" w:space="0" w:color="auto"/>
                        <w:right w:val="none" w:sz="0" w:space="0" w:color="auto"/>
                      </w:divBdr>
                    </w:div>
                  </w:divsChild>
                </w:div>
                <w:div w:id="661204990">
                  <w:marLeft w:val="0"/>
                  <w:marRight w:val="0"/>
                  <w:marTop w:val="0"/>
                  <w:marBottom w:val="0"/>
                  <w:divBdr>
                    <w:top w:val="none" w:sz="0" w:space="0" w:color="auto"/>
                    <w:left w:val="none" w:sz="0" w:space="0" w:color="auto"/>
                    <w:bottom w:val="none" w:sz="0" w:space="0" w:color="auto"/>
                    <w:right w:val="none" w:sz="0" w:space="0" w:color="auto"/>
                  </w:divBdr>
                  <w:divsChild>
                    <w:div w:id="968583189">
                      <w:marLeft w:val="0"/>
                      <w:marRight w:val="0"/>
                      <w:marTop w:val="0"/>
                      <w:marBottom w:val="0"/>
                      <w:divBdr>
                        <w:top w:val="none" w:sz="0" w:space="0" w:color="auto"/>
                        <w:left w:val="none" w:sz="0" w:space="0" w:color="auto"/>
                        <w:bottom w:val="none" w:sz="0" w:space="0" w:color="auto"/>
                        <w:right w:val="none" w:sz="0" w:space="0" w:color="auto"/>
                      </w:divBdr>
                    </w:div>
                  </w:divsChild>
                </w:div>
                <w:div w:id="662777618">
                  <w:marLeft w:val="0"/>
                  <w:marRight w:val="0"/>
                  <w:marTop w:val="0"/>
                  <w:marBottom w:val="0"/>
                  <w:divBdr>
                    <w:top w:val="none" w:sz="0" w:space="0" w:color="auto"/>
                    <w:left w:val="none" w:sz="0" w:space="0" w:color="auto"/>
                    <w:bottom w:val="none" w:sz="0" w:space="0" w:color="auto"/>
                    <w:right w:val="none" w:sz="0" w:space="0" w:color="auto"/>
                  </w:divBdr>
                  <w:divsChild>
                    <w:div w:id="955213732">
                      <w:marLeft w:val="0"/>
                      <w:marRight w:val="0"/>
                      <w:marTop w:val="0"/>
                      <w:marBottom w:val="0"/>
                      <w:divBdr>
                        <w:top w:val="none" w:sz="0" w:space="0" w:color="auto"/>
                        <w:left w:val="none" w:sz="0" w:space="0" w:color="auto"/>
                        <w:bottom w:val="none" w:sz="0" w:space="0" w:color="auto"/>
                        <w:right w:val="none" w:sz="0" w:space="0" w:color="auto"/>
                      </w:divBdr>
                    </w:div>
                  </w:divsChild>
                </w:div>
                <w:div w:id="669144598">
                  <w:marLeft w:val="0"/>
                  <w:marRight w:val="0"/>
                  <w:marTop w:val="0"/>
                  <w:marBottom w:val="0"/>
                  <w:divBdr>
                    <w:top w:val="none" w:sz="0" w:space="0" w:color="auto"/>
                    <w:left w:val="none" w:sz="0" w:space="0" w:color="auto"/>
                    <w:bottom w:val="none" w:sz="0" w:space="0" w:color="auto"/>
                    <w:right w:val="none" w:sz="0" w:space="0" w:color="auto"/>
                  </w:divBdr>
                  <w:divsChild>
                    <w:div w:id="870916920">
                      <w:marLeft w:val="0"/>
                      <w:marRight w:val="0"/>
                      <w:marTop w:val="0"/>
                      <w:marBottom w:val="0"/>
                      <w:divBdr>
                        <w:top w:val="none" w:sz="0" w:space="0" w:color="auto"/>
                        <w:left w:val="none" w:sz="0" w:space="0" w:color="auto"/>
                        <w:bottom w:val="none" w:sz="0" w:space="0" w:color="auto"/>
                        <w:right w:val="none" w:sz="0" w:space="0" w:color="auto"/>
                      </w:divBdr>
                    </w:div>
                  </w:divsChild>
                </w:div>
                <w:div w:id="669866356">
                  <w:marLeft w:val="0"/>
                  <w:marRight w:val="0"/>
                  <w:marTop w:val="0"/>
                  <w:marBottom w:val="0"/>
                  <w:divBdr>
                    <w:top w:val="none" w:sz="0" w:space="0" w:color="auto"/>
                    <w:left w:val="none" w:sz="0" w:space="0" w:color="auto"/>
                    <w:bottom w:val="none" w:sz="0" w:space="0" w:color="auto"/>
                    <w:right w:val="none" w:sz="0" w:space="0" w:color="auto"/>
                  </w:divBdr>
                  <w:divsChild>
                    <w:div w:id="1096946817">
                      <w:marLeft w:val="0"/>
                      <w:marRight w:val="0"/>
                      <w:marTop w:val="0"/>
                      <w:marBottom w:val="0"/>
                      <w:divBdr>
                        <w:top w:val="none" w:sz="0" w:space="0" w:color="auto"/>
                        <w:left w:val="none" w:sz="0" w:space="0" w:color="auto"/>
                        <w:bottom w:val="none" w:sz="0" w:space="0" w:color="auto"/>
                        <w:right w:val="none" w:sz="0" w:space="0" w:color="auto"/>
                      </w:divBdr>
                    </w:div>
                  </w:divsChild>
                </w:div>
                <w:div w:id="674693205">
                  <w:marLeft w:val="0"/>
                  <w:marRight w:val="0"/>
                  <w:marTop w:val="0"/>
                  <w:marBottom w:val="0"/>
                  <w:divBdr>
                    <w:top w:val="none" w:sz="0" w:space="0" w:color="auto"/>
                    <w:left w:val="none" w:sz="0" w:space="0" w:color="auto"/>
                    <w:bottom w:val="none" w:sz="0" w:space="0" w:color="auto"/>
                    <w:right w:val="none" w:sz="0" w:space="0" w:color="auto"/>
                  </w:divBdr>
                  <w:divsChild>
                    <w:div w:id="1812088775">
                      <w:marLeft w:val="0"/>
                      <w:marRight w:val="0"/>
                      <w:marTop w:val="0"/>
                      <w:marBottom w:val="0"/>
                      <w:divBdr>
                        <w:top w:val="none" w:sz="0" w:space="0" w:color="auto"/>
                        <w:left w:val="none" w:sz="0" w:space="0" w:color="auto"/>
                        <w:bottom w:val="none" w:sz="0" w:space="0" w:color="auto"/>
                        <w:right w:val="none" w:sz="0" w:space="0" w:color="auto"/>
                      </w:divBdr>
                    </w:div>
                  </w:divsChild>
                </w:div>
                <w:div w:id="684018015">
                  <w:marLeft w:val="0"/>
                  <w:marRight w:val="0"/>
                  <w:marTop w:val="0"/>
                  <w:marBottom w:val="0"/>
                  <w:divBdr>
                    <w:top w:val="none" w:sz="0" w:space="0" w:color="auto"/>
                    <w:left w:val="none" w:sz="0" w:space="0" w:color="auto"/>
                    <w:bottom w:val="none" w:sz="0" w:space="0" w:color="auto"/>
                    <w:right w:val="none" w:sz="0" w:space="0" w:color="auto"/>
                  </w:divBdr>
                  <w:divsChild>
                    <w:div w:id="1436561272">
                      <w:marLeft w:val="0"/>
                      <w:marRight w:val="0"/>
                      <w:marTop w:val="0"/>
                      <w:marBottom w:val="0"/>
                      <w:divBdr>
                        <w:top w:val="none" w:sz="0" w:space="0" w:color="auto"/>
                        <w:left w:val="none" w:sz="0" w:space="0" w:color="auto"/>
                        <w:bottom w:val="none" w:sz="0" w:space="0" w:color="auto"/>
                        <w:right w:val="none" w:sz="0" w:space="0" w:color="auto"/>
                      </w:divBdr>
                    </w:div>
                  </w:divsChild>
                </w:div>
                <w:div w:id="687219552">
                  <w:marLeft w:val="0"/>
                  <w:marRight w:val="0"/>
                  <w:marTop w:val="0"/>
                  <w:marBottom w:val="0"/>
                  <w:divBdr>
                    <w:top w:val="none" w:sz="0" w:space="0" w:color="auto"/>
                    <w:left w:val="none" w:sz="0" w:space="0" w:color="auto"/>
                    <w:bottom w:val="none" w:sz="0" w:space="0" w:color="auto"/>
                    <w:right w:val="none" w:sz="0" w:space="0" w:color="auto"/>
                  </w:divBdr>
                  <w:divsChild>
                    <w:div w:id="1348826885">
                      <w:marLeft w:val="0"/>
                      <w:marRight w:val="0"/>
                      <w:marTop w:val="0"/>
                      <w:marBottom w:val="0"/>
                      <w:divBdr>
                        <w:top w:val="none" w:sz="0" w:space="0" w:color="auto"/>
                        <w:left w:val="none" w:sz="0" w:space="0" w:color="auto"/>
                        <w:bottom w:val="none" w:sz="0" w:space="0" w:color="auto"/>
                        <w:right w:val="none" w:sz="0" w:space="0" w:color="auto"/>
                      </w:divBdr>
                    </w:div>
                  </w:divsChild>
                </w:div>
                <w:div w:id="691615164">
                  <w:marLeft w:val="0"/>
                  <w:marRight w:val="0"/>
                  <w:marTop w:val="0"/>
                  <w:marBottom w:val="0"/>
                  <w:divBdr>
                    <w:top w:val="none" w:sz="0" w:space="0" w:color="auto"/>
                    <w:left w:val="none" w:sz="0" w:space="0" w:color="auto"/>
                    <w:bottom w:val="none" w:sz="0" w:space="0" w:color="auto"/>
                    <w:right w:val="none" w:sz="0" w:space="0" w:color="auto"/>
                  </w:divBdr>
                  <w:divsChild>
                    <w:div w:id="2132699474">
                      <w:marLeft w:val="0"/>
                      <w:marRight w:val="0"/>
                      <w:marTop w:val="0"/>
                      <w:marBottom w:val="0"/>
                      <w:divBdr>
                        <w:top w:val="none" w:sz="0" w:space="0" w:color="auto"/>
                        <w:left w:val="none" w:sz="0" w:space="0" w:color="auto"/>
                        <w:bottom w:val="none" w:sz="0" w:space="0" w:color="auto"/>
                        <w:right w:val="none" w:sz="0" w:space="0" w:color="auto"/>
                      </w:divBdr>
                    </w:div>
                  </w:divsChild>
                </w:div>
                <w:div w:id="700130821">
                  <w:marLeft w:val="0"/>
                  <w:marRight w:val="0"/>
                  <w:marTop w:val="0"/>
                  <w:marBottom w:val="0"/>
                  <w:divBdr>
                    <w:top w:val="none" w:sz="0" w:space="0" w:color="auto"/>
                    <w:left w:val="none" w:sz="0" w:space="0" w:color="auto"/>
                    <w:bottom w:val="none" w:sz="0" w:space="0" w:color="auto"/>
                    <w:right w:val="none" w:sz="0" w:space="0" w:color="auto"/>
                  </w:divBdr>
                  <w:divsChild>
                    <w:div w:id="1577671050">
                      <w:marLeft w:val="0"/>
                      <w:marRight w:val="0"/>
                      <w:marTop w:val="0"/>
                      <w:marBottom w:val="0"/>
                      <w:divBdr>
                        <w:top w:val="none" w:sz="0" w:space="0" w:color="auto"/>
                        <w:left w:val="none" w:sz="0" w:space="0" w:color="auto"/>
                        <w:bottom w:val="none" w:sz="0" w:space="0" w:color="auto"/>
                        <w:right w:val="none" w:sz="0" w:space="0" w:color="auto"/>
                      </w:divBdr>
                    </w:div>
                  </w:divsChild>
                </w:div>
                <w:div w:id="703939991">
                  <w:marLeft w:val="0"/>
                  <w:marRight w:val="0"/>
                  <w:marTop w:val="0"/>
                  <w:marBottom w:val="0"/>
                  <w:divBdr>
                    <w:top w:val="none" w:sz="0" w:space="0" w:color="auto"/>
                    <w:left w:val="none" w:sz="0" w:space="0" w:color="auto"/>
                    <w:bottom w:val="none" w:sz="0" w:space="0" w:color="auto"/>
                    <w:right w:val="none" w:sz="0" w:space="0" w:color="auto"/>
                  </w:divBdr>
                  <w:divsChild>
                    <w:div w:id="257830199">
                      <w:marLeft w:val="0"/>
                      <w:marRight w:val="0"/>
                      <w:marTop w:val="0"/>
                      <w:marBottom w:val="0"/>
                      <w:divBdr>
                        <w:top w:val="none" w:sz="0" w:space="0" w:color="auto"/>
                        <w:left w:val="none" w:sz="0" w:space="0" w:color="auto"/>
                        <w:bottom w:val="none" w:sz="0" w:space="0" w:color="auto"/>
                        <w:right w:val="none" w:sz="0" w:space="0" w:color="auto"/>
                      </w:divBdr>
                    </w:div>
                  </w:divsChild>
                </w:div>
                <w:div w:id="707680631">
                  <w:marLeft w:val="0"/>
                  <w:marRight w:val="0"/>
                  <w:marTop w:val="0"/>
                  <w:marBottom w:val="0"/>
                  <w:divBdr>
                    <w:top w:val="none" w:sz="0" w:space="0" w:color="auto"/>
                    <w:left w:val="none" w:sz="0" w:space="0" w:color="auto"/>
                    <w:bottom w:val="none" w:sz="0" w:space="0" w:color="auto"/>
                    <w:right w:val="none" w:sz="0" w:space="0" w:color="auto"/>
                  </w:divBdr>
                  <w:divsChild>
                    <w:div w:id="127551741">
                      <w:marLeft w:val="0"/>
                      <w:marRight w:val="0"/>
                      <w:marTop w:val="0"/>
                      <w:marBottom w:val="0"/>
                      <w:divBdr>
                        <w:top w:val="none" w:sz="0" w:space="0" w:color="auto"/>
                        <w:left w:val="none" w:sz="0" w:space="0" w:color="auto"/>
                        <w:bottom w:val="none" w:sz="0" w:space="0" w:color="auto"/>
                        <w:right w:val="none" w:sz="0" w:space="0" w:color="auto"/>
                      </w:divBdr>
                    </w:div>
                  </w:divsChild>
                </w:div>
                <w:div w:id="713892805">
                  <w:marLeft w:val="0"/>
                  <w:marRight w:val="0"/>
                  <w:marTop w:val="0"/>
                  <w:marBottom w:val="0"/>
                  <w:divBdr>
                    <w:top w:val="none" w:sz="0" w:space="0" w:color="auto"/>
                    <w:left w:val="none" w:sz="0" w:space="0" w:color="auto"/>
                    <w:bottom w:val="none" w:sz="0" w:space="0" w:color="auto"/>
                    <w:right w:val="none" w:sz="0" w:space="0" w:color="auto"/>
                  </w:divBdr>
                  <w:divsChild>
                    <w:div w:id="589116901">
                      <w:marLeft w:val="0"/>
                      <w:marRight w:val="0"/>
                      <w:marTop w:val="0"/>
                      <w:marBottom w:val="0"/>
                      <w:divBdr>
                        <w:top w:val="none" w:sz="0" w:space="0" w:color="auto"/>
                        <w:left w:val="none" w:sz="0" w:space="0" w:color="auto"/>
                        <w:bottom w:val="none" w:sz="0" w:space="0" w:color="auto"/>
                        <w:right w:val="none" w:sz="0" w:space="0" w:color="auto"/>
                      </w:divBdr>
                    </w:div>
                  </w:divsChild>
                </w:div>
                <w:div w:id="726687218">
                  <w:marLeft w:val="0"/>
                  <w:marRight w:val="0"/>
                  <w:marTop w:val="0"/>
                  <w:marBottom w:val="0"/>
                  <w:divBdr>
                    <w:top w:val="none" w:sz="0" w:space="0" w:color="auto"/>
                    <w:left w:val="none" w:sz="0" w:space="0" w:color="auto"/>
                    <w:bottom w:val="none" w:sz="0" w:space="0" w:color="auto"/>
                    <w:right w:val="none" w:sz="0" w:space="0" w:color="auto"/>
                  </w:divBdr>
                  <w:divsChild>
                    <w:div w:id="1250388487">
                      <w:marLeft w:val="0"/>
                      <w:marRight w:val="0"/>
                      <w:marTop w:val="0"/>
                      <w:marBottom w:val="0"/>
                      <w:divBdr>
                        <w:top w:val="none" w:sz="0" w:space="0" w:color="auto"/>
                        <w:left w:val="none" w:sz="0" w:space="0" w:color="auto"/>
                        <w:bottom w:val="none" w:sz="0" w:space="0" w:color="auto"/>
                        <w:right w:val="none" w:sz="0" w:space="0" w:color="auto"/>
                      </w:divBdr>
                    </w:div>
                  </w:divsChild>
                </w:div>
                <w:div w:id="727459640">
                  <w:marLeft w:val="0"/>
                  <w:marRight w:val="0"/>
                  <w:marTop w:val="0"/>
                  <w:marBottom w:val="0"/>
                  <w:divBdr>
                    <w:top w:val="none" w:sz="0" w:space="0" w:color="auto"/>
                    <w:left w:val="none" w:sz="0" w:space="0" w:color="auto"/>
                    <w:bottom w:val="none" w:sz="0" w:space="0" w:color="auto"/>
                    <w:right w:val="none" w:sz="0" w:space="0" w:color="auto"/>
                  </w:divBdr>
                  <w:divsChild>
                    <w:div w:id="1082218089">
                      <w:marLeft w:val="0"/>
                      <w:marRight w:val="0"/>
                      <w:marTop w:val="0"/>
                      <w:marBottom w:val="0"/>
                      <w:divBdr>
                        <w:top w:val="none" w:sz="0" w:space="0" w:color="auto"/>
                        <w:left w:val="none" w:sz="0" w:space="0" w:color="auto"/>
                        <w:bottom w:val="none" w:sz="0" w:space="0" w:color="auto"/>
                        <w:right w:val="none" w:sz="0" w:space="0" w:color="auto"/>
                      </w:divBdr>
                    </w:div>
                  </w:divsChild>
                </w:div>
                <w:div w:id="728958007">
                  <w:marLeft w:val="0"/>
                  <w:marRight w:val="0"/>
                  <w:marTop w:val="0"/>
                  <w:marBottom w:val="0"/>
                  <w:divBdr>
                    <w:top w:val="none" w:sz="0" w:space="0" w:color="auto"/>
                    <w:left w:val="none" w:sz="0" w:space="0" w:color="auto"/>
                    <w:bottom w:val="none" w:sz="0" w:space="0" w:color="auto"/>
                    <w:right w:val="none" w:sz="0" w:space="0" w:color="auto"/>
                  </w:divBdr>
                  <w:divsChild>
                    <w:div w:id="227418302">
                      <w:marLeft w:val="0"/>
                      <w:marRight w:val="0"/>
                      <w:marTop w:val="0"/>
                      <w:marBottom w:val="0"/>
                      <w:divBdr>
                        <w:top w:val="none" w:sz="0" w:space="0" w:color="auto"/>
                        <w:left w:val="none" w:sz="0" w:space="0" w:color="auto"/>
                        <w:bottom w:val="none" w:sz="0" w:space="0" w:color="auto"/>
                        <w:right w:val="none" w:sz="0" w:space="0" w:color="auto"/>
                      </w:divBdr>
                    </w:div>
                  </w:divsChild>
                </w:div>
                <w:div w:id="733433546">
                  <w:marLeft w:val="0"/>
                  <w:marRight w:val="0"/>
                  <w:marTop w:val="0"/>
                  <w:marBottom w:val="0"/>
                  <w:divBdr>
                    <w:top w:val="none" w:sz="0" w:space="0" w:color="auto"/>
                    <w:left w:val="none" w:sz="0" w:space="0" w:color="auto"/>
                    <w:bottom w:val="none" w:sz="0" w:space="0" w:color="auto"/>
                    <w:right w:val="none" w:sz="0" w:space="0" w:color="auto"/>
                  </w:divBdr>
                  <w:divsChild>
                    <w:div w:id="21784010">
                      <w:marLeft w:val="0"/>
                      <w:marRight w:val="0"/>
                      <w:marTop w:val="0"/>
                      <w:marBottom w:val="0"/>
                      <w:divBdr>
                        <w:top w:val="none" w:sz="0" w:space="0" w:color="auto"/>
                        <w:left w:val="none" w:sz="0" w:space="0" w:color="auto"/>
                        <w:bottom w:val="none" w:sz="0" w:space="0" w:color="auto"/>
                        <w:right w:val="none" w:sz="0" w:space="0" w:color="auto"/>
                      </w:divBdr>
                    </w:div>
                  </w:divsChild>
                </w:div>
                <w:div w:id="736830054">
                  <w:marLeft w:val="0"/>
                  <w:marRight w:val="0"/>
                  <w:marTop w:val="0"/>
                  <w:marBottom w:val="0"/>
                  <w:divBdr>
                    <w:top w:val="none" w:sz="0" w:space="0" w:color="auto"/>
                    <w:left w:val="none" w:sz="0" w:space="0" w:color="auto"/>
                    <w:bottom w:val="none" w:sz="0" w:space="0" w:color="auto"/>
                    <w:right w:val="none" w:sz="0" w:space="0" w:color="auto"/>
                  </w:divBdr>
                  <w:divsChild>
                    <w:div w:id="723023898">
                      <w:marLeft w:val="0"/>
                      <w:marRight w:val="0"/>
                      <w:marTop w:val="0"/>
                      <w:marBottom w:val="0"/>
                      <w:divBdr>
                        <w:top w:val="none" w:sz="0" w:space="0" w:color="auto"/>
                        <w:left w:val="none" w:sz="0" w:space="0" w:color="auto"/>
                        <w:bottom w:val="none" w:sz="0" w:space="0" w:color="auto"/>
                        <w:right w:val="none" w:sz="0" w:space="0" w:color="auto"/>
                      </w:divBdr>
                    </w:div>
                  </w:divsChild>
                </w:div>
                <w:div w:id="739209843">
                  <w:marLeft w:val="0"/>
                  <w:marRight w:val="0"/>
                  <w:marTop w:val="0"/>
                  <w:marBottom w:val="0"/>
                  <w:divBdr>
                    <w:top w:val="none" w:sz="0" w:space="0" w:color="auto"/>
                    <w:left w:val="none" w:sz="0" w:space="0" w:color="auto"/>
                    <w:bottom w:val="none" w:sz="0" w:space="0" w:color="auto"/>
                    <w:right w:val="none" w:sz="0" w:space="0" w:color="auto"/>
                  </w:divBdr>
                  <w:divsChild>
                    <w:div w:id="1675690919">
                      <w:marLeft w:val="0"/>
                      <w:marRight w:val="0"/>
                      <w:marTop w:val="0"/>
                      <w:marBottom w:val="0"/>
                      <w:divBdr>
                        <w:top w:val="none" w:sz="0" w:space="0" w:color="auto"/>
                        <w:left w:val="none" w:sz="0" w:space="0" w:color="auto"/>
                        <w:bottom w:val="none" w:sz="0" w:space="0" w:color="auto"/>
                        <w:right w:val="none" w:sz="0" w:space="0" w:color="auto"/>
                      </w:divBdr>
                    </w:div>
                  </w:divsChild>
                </w:div>
                <w:div w:id="744032812">
                  <w:marLeft w:val="0"/>
                  <w:marRight w:val="0"/>
                  <w:marTop w:val="0"/>
                  <w:marBottom w:val="0"/>
                  <w:divBdr>
                    <w:top w:val="none" w:sz="0" w:space="0" w:color="auto"/>
                    <w:left w:val="none" w:sz="0" w:space="0" w:color="auto"/>
                    <w:bottom w:val="none" w:sz="0" w:space="0" w:color="auto"/>
                    <w:right w:val="none" w:sz="0" w:space="0" w:color="auto"/>
                  </w:divBdr>
                  <w:divsChild>
                    <w:div w:id="1161576577">
                      <w:marLeft w:val="0"/>
                      <w:marRight w:val="0"/>
                      <w:marTop w:val="0"/>
                      <w:marBottom w:val="0"/>
                      <w:divBdr>
                        <w:top w:val="none" w:sz="0" w:space="0" w:color="auto"/>
                        <w:left w:val="none" w:sz="0" w:space="0" w:color="auto"/>
                        <w:bottom w:val="none" w:sz="0" w:space="0" w:color="auto"/>
                        <w:right w:val="none" w:sz="0" w:space="0" w:color="auto"/>
                      </w:divBdr>
                    </w:div>
                  </w:divsChild>
                </w:div>
                <w:div w:id="748310739">
                  <w:marLeft w:val="0"/>
                  <w:marRight w:val="0"/>
                  <w:marTop w:val="0"/>
                  <w:marBottom w:val="0"/>
                  <w:divBdr>
                    <w:top w:val="none" w:sz="0" w:space="0" w:color="auto"/>
                    <w:left w:val="none" w:sz="0" w:space="0" w:color="auto"/>
                    <w:bottom w:val="none" w:sz="0" w:space="0" w:color="auto"/>
                    <w:right w:val="none" w:sz="0" w:space="0" w:color="auto"/>
                  </w:divBdr>
                  <w:divsChild>
                    <w:div w:id="2055158986">
                      <w:marLeft w:val="0"/>
                      <w:marRight w:val="0"/>
                      <w:marTop w:val="0"/>
                      <w:marBottom w:val="0"/>
                      <w:divBdr>
                        <w:top w:val="none" w:sz="0" w:space="0" w:color="auto"/>
                        <w:left w:val="none" w:sz="0" w:space="0" w:color="auto"/>
                        <w:bottom w:val="none" w:sz="0" w:space="0" w:color="auto"/>
                        <w:right w:val="none" w:sz="0" w:space="0" w:color="auto"/>
                      </w:divBdr>
                    </w:div>
                  </w:divsChild>
                </w:div>
                <w:div w:id="752313504">
                  <w:marLeft w:val="0"/>
                  <w:marRight w:val="0"/>
                  <w:marTop w:val="0"/>
                  <w:marBottom w:val="0"/>
                  <w:divBdr>
                    <w:top w:val="none" w:sz="0" w:space="0" w:color="auto"/>
                    <w:left w:val="none" w:sz="0" w:space="0" w:color="auto"/>
                    <w:bottom w:val="none" w:sz="0" w:space="0" w:color="auto"/>
                    <w:right w:val="none" w:sz="0" w:space="0" w:color="auto"/>
                  </w:divBdr>
                  <w:divsChild>
                    <w:div w:id="1852065334">
                      <w:marLeft w:val="0"/>
                      <w:marRight w:val="0"/>
                      <w:marTop w:val="0"/>
                      <w:marBottom w:val="0"/>
                      <w:divBdr>
                        <w:top w:val="none" w:sz="0" w:space="0" w:color="auto"/>
                        <w:left w:val="none" w:sz="0" w:space="0" w:color="auto"/>
                        <w:bottom w:val="none" w:sz="0" w:space="0" w:color="auto"/>
                        <w:right w:val="none" w:sz="0" w:space="0" w:color="auto"/>
                      </w:divBdr>
                    </w:div>
                  </w:divsChild>
                </w:div>
                <w:div w:id="753473893">
                  <w:marLeft w:val="0"/>
                  <w:marRight w:val="0"/>
                  <w:marTop w:val="0"/>
                  <w:marBottom w:val="0"/>
                  <w:divBdr>
                    <w:top w:val="none" w:sz="0" w:space="0" w:color="auto"/>
                    <w:left w:val="none" w:sz="0" w:space="0" w:color="auto"/>
                    <w:bottom w:val="none" w:sz="0" w:space="0" w:color="auto"/>
                    <w:right w:val="none" w:sz="0" w:space="0" w:color="auto"/>
                  </w:divBdr>
                  <w:divsChild>
                    <w:div w:id="1353219385">
                      <w:marLeft w:val="0"/>
                      <w:marRight w:val="0"/>
                      <w:marTop w:val="0"/>
                      <w:marBottom w:val="0"/>
                      <w:divBdr>
                        <w:top w:val="none" w:sz="0" w:space="0" w:color="auto"/>
                        <w:left w:val="none" w:sz="0" w:space="0" w:color="auto"/>
                        <w:bottom w:val="none" w:sz="0" w:space="0" w:color="auto"/>
                        <w:right w:val="none" w:sz="0" w:space="0" w:color="auto"/>
                      </w:divBdr>
                    </w:div>
                  </w:divsChild>
                </w:div>
                <w:div w:id="759133026">
                  <w:marLeft w:val="0"/>
                  <w:marRight w:val="0"/>
                  <w:marTop w:val="0"/>
                  <w:marBottom w:val="0"/>
                  <w:divBdr>
                    <w:top w:val="none" w:sz="0" w:space="0" w:color="auto"/>
                    <w:left w:val="none" w:sz="0" w:space="0" w:color="auto"/>
                    <w:bottom w:val="none" w:sz="0" w:space="0" w:color="auto"/>
                    <w:right w:val="none" w:sz="0" w:space="0" w:color="auto"/>
                  </w:divBdr>
                  <w:divsChild>
                    <w:div w:id="675570793">
                      <w:marLeft w:val="0"/>
                      <w:marRight w:val="0"/>
                      <w:marTop w:val="0"/>
                      <w:marBottom w:val="0"/>
                      <w:divBdr>
                        <w:top w:val="none" w:sz="0" w:space="0" w:color="auto"/>
                        <w:left w:val="none" w:sz="0" w:space="0" w:color="auto"/>
                        <w:bottom w:val="none" w:sz="0" w:space="0" w:color="auto"/>
                        <w:right w:val="none" w:sz="0" w:space="0" w:color="auto"/>
                      </w:divBdr>
                    </w:div>
                  </w:divsChild>
                </w:div>
                <w:div w:id="759839749">
                  <w:marLeft w:val="0"/>
                  <w:marRight w:val="0"/>
                  <w:marTop w:val="0"/>
                  <w:marBottom w:val="0"/>
                  <w:divBdr>
                    <w:top w:val="none" w:sz="0" w:space="0" w:color="auto"/>
                    <w:left w:val="none" w:sz="0" w:space="0" w:color="auto"/>
                    <w:bottom w:val="none" w:sz="0" w:space="0" w:color="auto"/>
                    <w:right w:val="none" w:sz="0" w:space="0" w:color="auto"/>
                  </w:divBdr>
                  <w:divsChild>
                    <w:div w:id="308483395">
                      <w:marLeft w:val="0"/>
                      <w:marRight w:val="0"/>
                      <w:marTop w:val="0"/>
                      <w:marBottom w:val="0"/>
                      <w:divBdr>
                        <w:top w:val="none" w:sz="0" w:space="0" w:color="auto"/>
                        <w:left w:val="none" w:sz="0" w:space="0" w:color="auto"/>
                        <w:bottom w:val="none" w:sz="0" w:space="0" w:color="auto"/>
                        <w:right w:val="none" w:sz="0" w:space="0" w:color="auto"/>
                      </w:divBdr>
                    </w:div>
                  </w:divsChild>
                </w:div>
                <w:div w:id="761952770">
                  <w:marLeft w:val="0"/>
                  <w:marRight w:val="0"/>
                  <w:marTop w:val="0"/>
                  <w:marBottom w:val="0"/>
                  <w:divBdr>
                    <w:top w:val="none" w:sz="0" w:space="0" w:color="auto"/>
                    <w:left w:val="none" w:sz="0" w:space="0" w:color="auto"/>
                    <w:bottom w:val="none" w:sz="0" w:space="0" w:color="auto"/>
                    <w:right w:val="none" w:sz="0" w:space="0" w:color="auto"/>
                  </w:divBdr>
                  <w:divsChild>
                    <w:div w:id="980503728">
                      <w:marLeft w:val="0"/>
                      <w:marRight w:val="0"/>
                      <w:marTop w:val="0"/>
                      <w:marBottom w:val="0"/>
                      <w:divBdr>
                        <w:top w:val="none" w:sz="0" w:space="0" w:color="auto"/>
                        <w:left w:val="none" w:sz="0" w:space="0" w:color="auto"/>
                        <w:bottom w:val="none" w:sz="0" w:space="0" w:color="auto"/>
                        <w:right w:val="none" w:sz="0" w:space="0" w:color="auto"/>
                      </w:divBdr>
                    </w:div>
                  </w:divsChild>
                </w:div>
                <w:div w:id="774405736">
                  <w:marLeft w:val="0"/>
                  <w:marRight w:val="0"/>
                  <w:marTop w:val="0"/>
                  <w:marBottom w:val="0"/>
                  <w:divBdr>
                    <w:top w:val="none" w:sz="0" w:space="0" w:color="auto"/>
                    <w:left w:val="none" w:sz="0" w:space="0" w:color="auto"/>
                    <w:bottom w:val="none" w:sz="0" w:space="0" w:color="auto"/>
                    <w:right w:val="none" w:sz="0" w:space="0" w:color="auto"/>
                  </w:divBdr>
                  <w:divsChild>
                    <w:div w:id="1532693653">
                      <w:marLeft w:val="0"/>
                      <w:marRight w:val="0"/>
                      <w:marTop w:val="0"/>
                      <w:marBottom w:val="0"/>
                      <w:divBdr>
                        <w:top w:val="none" w:sz="0" w:space="0" w:color="auto"/>
                        <w:left w:val="none" w:sz="0" w:space="0" w:color="auto"/>
                        <w:bottom w:val="none" w:sz="0" w:space="0" w:color="auto"/>
                        <w:right w:val="none" w:sz="0" w:space="0" w:color="auto"/>
                      </w:divBdr>
                    </w:div>
                  </w:divsChild>
                </w:div>
                <w:div w:id="777800522">
                  <w:marLeft w:val="0"/>
                  <w:marRight w:val="0"/>
                  <w:marTop w:val="0"/>
                  <w:marBottom w:val="0"/>
                  <w:divBdr>
                    <w:top w:val="none" w:sz="0" w:space="0" w:color="auto"/>
                    <w:left w:val="none" w:sz="0" w:space="0" w:color="auto"/>
                    <w:bottom w:val="none" w:sz="0" w:space="0" w:color="auto"/>
                    <w:right w:val="none" w:sz="0" w:space="0" w:color="auto"/>
                  </w:divBdr>
                  <w:divsChild>
                    <w:div w:id="876042794">
                      <w:marLeft w:val="0"/>
                      <w:marRight w:val="0"/>
                      <w:marTop w:val="0"/>
                      <w:marBottom w:val="0"/>
                      <w:divBdr>
                        <w:top w:val="none" w:sz="0" w:space="0" w:color="auto"/>
                        <w:left w:val="none" w:sz="0" w:space="0" w:color="auto"/>
                        <w:bottom w:val="none" w:sz="0" w:space="0" w:color="auto"/>
                        <w:right w:val="none" w:sz="0" w:space="0" w:color="auto"/>
                      </w:divBdr>
                    </w:div>
                  </w:divsChild>
                </w:div>
                <w:div w:id="784036820">
                  <w:marLeft w:val="0"/>
                  <w:marRight w:val="0"/>
                  <w:marTop w:val="0"/>
                  <w:marBottom w:val="0"/>
                  <w:divBdr>
                    <w:top w:val="none" w:sz="0" w:space="0" w:color="auto"/>
                    <w:left w:val="none" w:sz="0" w:space="0" w:color="auto"/>
                    <w:bottom w:val="none" w:sz="0" w:space="0" w:color="auto"/>
                    <w:right w:val="none" w:sz="0" w:space="0" w:color="auto"/>
                  </w:divBdr>
                  <w:divsChild>
                    <w:div w:id="1022825124">
                      <w:marLeft w:val="0"/>
                      <w:marRight w:val="0"/>
                      <w:marTop w:val="0"/>
                      <w:marBottom w:val="0"/>
                      <w:divBdr>
                        <w:top w:val="none" w:sz="0" w:space="0" w:color="auto"/>
                        <w:left w:val="none" w:sz="0" w:space="0" w:color="auto"/>
                        <w:bottom w:val="none" w:sz="0" w:space="0" w:color="auto"/>
                        <w:right w:val="none" w:sz="0" w:space="0" w:color="auto"/>
                      </w:divBdr>
                    </w:div>
                  </w:divsChild>
                </w:div>
                <w:div w:id="797797080">
                  <w:marLeft w:val="0"/>
                  <w:marRight w:val="0"/>
                  <w:marTop w:val="0"/>
                  <w:marBottom w:val="0"/>
                  <w:divBdr>
                    <w:top w:val="none" w:sz="0" w:space="0" w:color="auto"/>
                    <w:left w:val="none" w:sz="0" w:space="0" w:color="auto"/>
                    <w:bottom w:val="none" w:sz="0" w:space="0" w:color="auto"/>
                    <w:right w:val="none" w:sz="0" w:space="0" w:color="auto"/>
                  </w:divBdr>
                  <w:divsChild>
                    <w:div w:id="2051880334">
                      <w:marLeft w:val="0"/>
                      <w:marRight w:val="0"/>
                      <w:marTop w:val="0"/>
                      <w:marBottom w:val="0"/>
                      <w:divBdr>
                        <w:top w:val="none" w:sz="0" w:space="0" w:color="auto"/>
                        <w:left w:val="none" w:sz="0" w:space="0" w:color="auto"/>
                        <w:bottom w:val="none" w:sz="0" w:space="0" w:color="auto"/>
                        <w:right w:val="none" w:sz="0" w:space="0" w:color="auto"/>
                      </w:divBdr>
                    </w:div>
                  </w:divsChild>
                </w:div>
                <w:div w:id="799038665">
                  <w:marLeft w:val="0"/>
                  <w:marRight w:val="0"/>
                  <w:marTop w:val="0"/>
                  <w:marBottom w:val="0"/>
                  <w:divBdr>
                    <w:top w:val="none" w:sz="0" w:space="0" w:color="auto"/>
                    <w:left w:val="none" w:sz="0" w:space="0" w:color="auto"/>
                    <w:bottom w:val="none" w:sz="0" w:space="0" w:color="auto"/>
                    <w:right w:val="none" w:sz="0" w:space="0" w:color="auto"/>
                  </w:divBdr>
                  <w:divsChild>
                    <w:div w:id="872230039">
                      <w:marLeft w:val="0"/>
                      <w:marRight w:val="0"/>
                      <w:marTop w:val="0"/>
                      <w:marBottom w:val="0"/>
                      <w:divBdr>
                        <w:top w:val="none" w:sz="0" w:space="0" w:color="auto"/>
                        <w:left w:val="none" w:sz="0" w:space="0" w:color="auto"/>
                        <w:bottom w:val="none" w:sz="0" w:space="0" w:color="auto"/>
                        <w:right w:val="none" w:sz="0" w:space="0" w:color="auto"/>
                      </w:divBdr>
                    </w:div>
                  </w:divsChild>
                </w:div>
                <w:div w:id="805317020">
                  <w:marLeft w:val="0"/>
                  <w:marRight w:val="0"/>
                  <w:marTop w:val="0"/>
                  <w:marBottom w:val="0"/>
                  <w:divBdr>
                    <w:top w:val="none" w:sz="0" w:space="0" w:color="auto"/>
                    <w:left w:val="none" w:sz="0" w:space="0" w:color="auto"/>
                    <w:bottom w:val="none" w:sz="0" w:space="0" w:color="auto"/>
                    <w:right w:val="none" w:sz="0" w:space="0" w:color="auto"/>
                  </w:divBdr>
                  <w:divsChild>
                    <w:div w:id="970552022">
                      <w:marLeft w:val="0"/>
                      <w:marRight w:val="0"/>
                      <w:marTop w:val="0"/>
                      <w:marBottom w:val="0"/>
                      <w:divBdr>
                        <w:top w:val="none" w:sz="0" w:space="0" w:color="auto"/>
                        <w:left w:val="none" w:sz="0" w:space="0" w:color="auto"/>
                        <w:bottom w:val="none" w:sz="0" w:space="0" w:color="auto"/>
                        <w:right w:val="none" w:sz="0" w:space="0" w:color="auto"/>
                      </w:divBdr>
                    </w:div>
                  </w:divsChild>
                </w:div>
                <w:div w:id="807019704">
                  <w:marLeft w:val="0"/>
                  <w:marRight w:val="0"/>
                  <w:marTop w:val="0"/>
                  <w:marBottom w:val="0"/>
                  <w:divBdr>
                    <w:top w:val="none" w:sz="0" w:space="0" w:color="auto"/>
                    <w:left w:val="none" w:sz="0" w:space="0" w:color="auto"/>
                    <w:bottom w:val="none" w:sz="0" w:space="0" w:color="auto"/>
                    <w:right w:val="none" w:sz="0" w:space="0" w:color="auto"/>
                  </w:divBdr>
                  <w:divsChild>
                    <w:div w:id="1585535113">
                      <w:marLeft w:val="0"/>
                      <w:marRight w:val="0"/>
                      <w:marTop w:val="0"/>
                      <w:marBottom w:val="0"/>
                      <w:divBdr>
                        <w:top w:val="none" w:sz="0" w:space="0" w:color="auto"/>
                        <w:left w:val="none" w:sz="0" w:space="0" w:color="auto"/>
                        <w:bottom w:val="none" w:sz="0" w:space="0" w:color="auto"/>
                        <w:right w:val="none" w:sz="0" w:space="0" w:color="auto"/>
                      </w:divBdr>
                    </w:div>
                  </w:divsChild>
                </w:div>
                <w:div w:id="814224430">
                  <w:marLeft w:val="0"/>
                  <w:marRight w:val="0"/>
                  <w:marTop w:val="0"/>
                  <w:marBottom w:val="0"/>
                  <w:divBdr>
                    <w:top w:val="none" w:sz="0" w:space="0" w:color="auto"/>
                    <w:left w:val="none" w:sz="0" w:space="0" w:color="auto"/>
                    <w:bottom w:val="none" w:sz="0" w:space="0" w:color="auto"/>
                    <w:right w:val="none" w:sz="0" w:space="0" w:color="auto"/>
                  </w:divBdr>
                  <w:divsChild>
                    <w:div w:id="2107575371">
                      <w:marLeft w:val="0"/>
                      <w:marRight w:val="0"/>
                      <w:marTop w:val="0"/>
                      <w:marBottom w:val="0"/>
                      <w:divBdr>
                        <w:top w:val="none" w:sz="0" w:space="0" w:color="auto"/>
                        <w:left w:val="none" w:sz="0" w:space="0" w:color="auto"/>
                        <w:bottom w:val="none" w:sz="0" w:space="0" w:color="auto"/>
                        <w:right w:val="none" w:sz="0" w:space="0" w:color="auto"/>
                      </w:divBdr>
                    </w:div>
                  </w:divsChild>
                </w:div>
                <w:div w:id="814685705">
                  <w:marLeft w:val="0"/>
                  <w:marRight w:val="0"/>
                  <w:marTop w:val="0"/>
                  <w:marBottom w:val="0"/>
                  <w:divBdr>
                    <w:top w:val="none" w:sz="0" w:space="0" w:color="auto"/>
                    <w:left w:val="none" w:sz="0" w:space="0" w:color="auto"/>
                    <w:bottom w:val="none" w:sz="0" w:space="0" w:color="auto"/>
                    <w:right w:val="none" w:sz="0" w:space="0" w:color="auto"/>
                  </w:divBdr>
                  <w:divsChild>
                    <w:div w:id="660889041">
                      <w:marLeft w:val="0"/>
                      <w:marRight w:val="0"/>
                      <w:marTop w:val="0"/>
                      <w:marBottom w:val="0"/>
                      <w:divBdr>
                        <w:top w:val="none" w:sz="0" w:space="0" w:color="auto"/>
                        <w:left w:val="none" w:sz="0" w:space="0" w:color="auto"/>
                        <w:bottom w:val="none" w:sz="0" w:space="0" w:color="auto"/>
                        <w:right w:val="none" w:sz="0" w:space="0" w:color="auto"/>
                      </w:divBdr>
                    </w:div>
                  </w:divsChild>
                </w:div>
                <w:div w:id="819813862">
                  <w:marLeft w:val="0"/>
                  <w:marRight w:val="0"/>
                  <w:marTop w:val="0"/>
                  <w:marBottom w:val="0"/>
                  <w:divBdr>
                    <w:top w:val="none" w:sz="0" w:space="0" w:color="auto"/>
                    <w:left w:val="none" w:sz="0" w:space="0" w:color="auto"/>
                    <w:bottom w:val="none" w:sz="0" w:space="0" w:color="auto"/>
                    <w:right w:val="none" w:sz="0" w:space="0" w:color="auto"/>
                  </w:divBdr>
                  <w:divsChild>
                    <w:div w:id="1706100591">
                      <w:marLeft w:val="0"/>
                      <w:marRight w:val="0"/>
                      <w:marTop w:val="0"/>
                      <w:marBottom w:val="0"/>
                      <w:divBdr>
                        <w:top w:val="none" w:sz="0" w:space="0" w:color="auto"/>
                        <w:left w:val="none" w:sz="0" w:space="0" w:color="auto"/>
                        <w:bottom w:val="none" w:sz="0" w:space="0" w:color="auto"/>
                        <w:right w:val="none" w:sz="0" w:space="0" w:color="auto"/>
                      </w:divBdr>
                    </w:div>
                  </w:divsChild>
                </w:div>
                <w:div w:id="824080069">
                  <w:marLeft w:val="0"/>
                  <w:marRight w:val="0"/>
                  <w:marTop w:val="0"/>
                  <w:marBottom w:val="0"/>
                  <w:divBdr>
                    <w:top w:val="none" w:sz="0" w:space="0" w:color="auto"/>
                    <w:left w:val="none" w:sz="0" w:space="0" w:color="auto"/>
                    <w:bottom w:val="none" w:sz="0" w:space="0" w:color="auto"/>
                    <w:right w:val="none" w:sz="0" w:space="0" w:color="auto"/>
                  </w:divBdr>
                  <w:divsChild>
                    <w:div w:id="2007895349">
                      <w:marLeft w:val="0"/>
                      <w:marRight w:val="0"/>
                      <w:marTop w:val="0"/>
                      <w:marBottom w:val="0"/>
                      <w:divBdr>
                        <w:top w:val="none" w:sz="0" w:space="0" w:color="auto"/>
                        <w:left w:val="none" w:sz="0" w:space="0" w:color="auto"/>
                        <w:bottom w:val="none" w:sz="0" w:space="0" w:color="auto"/>
                        <w:right w:val="none" w:sz="0" w:space="0" w:color="auto"/>
                      </w:divBdr>
                    </w:div>
                  </w:divsChild>
                </w:div>
                <w:div w:id="832187365">
                  <w:marLeft w:val="0"/>
                  <w:marRight w:val="0"/>
                  <w:marTop w:val="0"/>
                  <w:marBottom w:val="0"/>
                  <w:divBdr>
                    <w:top w:val="none" w:sz="0" w:space="0" w:color="auto"/>
                    <w:left w:val="none" w:sz="0" w:space="0" w:color="auto"/>
                    <w:bottom w:val="none" w:sz="0" w:space="0" w:color="auto"/>
                    <w:right w:val="none" w:sz="0" w:space="0" w:color="auto"/>
                  </w:divBdr>
                  <w:divsChild>
                    <w:div w:id="997735156">
                      <w:marLeft w:val="0"/>
                      <w:marRight w:val="0"/>
                      <w:marTop w:val="0"/>
                      <w:marBottom w:val="0"/>
                      <w:divBdr>
                        <w:top w:val="none" w:sz="0" w:space="0" w:color="auto"/>
                        <w:left w:val="none" w:sz="0" w:space="0" w:color="auto"/>
                        <w:bottom w:val="none" w:sz="0" w:space="0" w:color="auto"/>
                        <w:right w:val="none" w:sz="0" w:space="0" w:color="auto"/>
                      </w:divBdr>
                    </w:div>
                  </w:divsChild>
                </w:div>
                <w:div w:id="837380521">
                  <w:marLeft w:val="0"/>
                  <w:marRight w:val="0"/>
                  <w:marTop w:val="0"/>
                  <w:marBottom w:val="0"/>
                  <w:divBdr>
                    <w:top w:val="none" w:sz="0" w:space="0" w:color="auto"/>
                    <w:left w:val="none" w:sz="0" w:space="0" w:color="auto"/>
                    <w:bottom w:val="none" w:sz="0" w:space="0" w:color="auto"/>
                    <w:right w:val="none" w:sz="0" w:space="0" w:color="auto"/>
                  </w:divBdr>
                  <w:divsChild>
                    <w:div w:id="1156996517">
                      <w:marLeft w:val="0"/>
                      <w:marRight w:val="0"/>
                      <w:marTop w:val="0"/>
                      <w:marBottom w:val="0"/>
                      <w:divBdr>
                        <w:top w:val="none" w:sz="0" w:space="0" w:color="auto"/>
                        <w:left w:val="none" w:sz="0" w:space="0" w:color="auto"/>
                        <w:bottom w:val="none" w:sz="0" w:space="0" w:color="auto"/>
                        <w:right w:val="none" w:sz="0" w:space="0" w:color="auto"/>
                      </w:divBdr>
                    </w:div>
                  </w:divsChild>
                </w:div>
                <w:div w:id="838040945">
                  <w:marLeft w:val="0"/>
                  <w:marRight w:val="0"/>
                  <w:marTop w:val="0"/>
                  <w:marBottom w:val="0"/>
                  <w:divBdr>
                    <w:top w:val="none" w:sz="0" w:space="0" w:color="auto"/>
                    <w:left w:val="none" w:sz="0" w:space="0" w:color="auto"/>
                    <w:bottom w:val="none" w:sz="0" w:space="0" w:color="auto"/>
                    <w:right w:val="none" w:sz="0" w:space="0" w:color="auto"/>
                  </w:divBdr>
                  <w:divsChild>
                    <w:div w:id="240801843">
                      <w:marLeft w:val="0"/>
                      <w:marRight w:val="0"/>
                      <w:marTop w:val="0"/>
                      <w:marBottom w:val="0"/>
                      <w:divBdr>
                        <w:top w:val="none" w:sz="0" w:space="0" w:color="auto"/>
                        <w:left w:val="none" w:sz="0" w:space="0" w:color="auto"/>
                        <w:bottom w:val="none" w:sz="0" w:space="0" w:color="auto"/>
                        <w:right w:val="none" w:sz="0" w:space="0" w:color="auto"/>
                      </w:divBdr>
                    </w:div>
                  </w:divsChild>
                </w:div>
                <w:div w:id="839810125">
                  <w:marLeft w:val="0"/>
                  <w:marRight w:val="0"/>
                  <w:marTop w:val="0"/>
                  <w:marBottom w:val="0"/>
                  <w:divBdr>
                    <w:top w:val="none" w:sz="0" w:space="0" w:color="auto"/>
                    <w:left w:val="none" w:sz="0" w:space="0" w:color="auto"/>
                    <w:bottom w:val="none" w:sz="0" w:space="0" w:color="auto"/>
                    <w:right w:val="none" w:sz="0" w:space="0" w:color="auto"/>
                  </w:divBdr>
                  <w:divsChild>
                    <w:div w:id="2026440846">
                      <w:marLeft w:val="0"/>
                      <w:marRight w:val="0"/>
                      <w:marTop w:val="0"/>
                      <w:marBottom w:val="0"/>
                      <w:divBdr>
                        <w:top w:val="none" w:sz="0" w:space="0" w:color="auto"/>
                        <w:left w:val="none" w:sz="0" w:space="0" w:color="auto"/>
                        <w:bottom w:val="none" w:sz="0" w:space="0" w:color="auto"/>
                        <w:right w:val="none" w:sz="0" w:space="0" w:color="auto"/>
                      </w:divBdr>
                    </w:div>
                  </w:divsChild>
                </w:div>
                <w:div w:id="849955723">
                  <w:marLeft w:val="0"/>
                  <w:marRight w:val="0"/>
                  <w:marTop w:val="0"/>
                  <w:marBottom w:val="0"/>
                  <w:divBdr>
                    <w:top w:val="none" w:sz="0" w:space="0" w:color="auto"/>
                    <w:left w:val="none" w:sz="0" w:space="0" w:color="auto"/>
                    <w:bottom w:val="none" w:sz="0" w:space="0" w:color="auto"/>
                    <w:right w:val="none" w:sz="0" w:space="0" w:color="auto"/>
                  </w:divBdr>
                  <w:divsChild>
                    <w:div w:id="329674648">
                      <w:marLeft w:val="0"/>
                      <w:marRight w:val="0"/>
                      <w:marTop w:val="0"/>
                      <w:marBottom w:val="0"/>
                      <w:divBdr>
                        <w:top w:val="none" w:sz="0" w:space="0" w:color="auto"/>
                        <w:left w:val="none" w:sz="0" w:space="0" w:color="auto"/>
                        <w:bottom w:val="none" w:sz="0" w:space="0" w:color="auto"/>
                        <w:right w:val="none" w:sz="0" w:space="0" w:color="auto"/>
                      </w:divBdr>
                    </w:div>
                  </w:divsChild>
                </w:div>
                <w:div w:id="851066540">
                  <w:marLeft w:val="0"/>
                  <w:marRight w:val="0"/>
                  <w:marTop w:val="0"/>
                  <w:marBottom w:val="0"/>
                  <w:divBdr>
                    <w:top w:val="none" w:sz="0" w:space="0" w:color="auto"/>
                    <w:left w:val="none" w:sz="0" w:space="0" w:color="auto"/>
                    <w:bottom w:val="none" w:sz="0" w:space="0" w:color="auto"/>
                    <w:right w:val="none" w:sz="0" w:space="0" w:color="auto"/>
                  </w:divBdr>
                  <w:divsChild>
                    <w:div w:id="750390227">
                      <w:marLeft w:val="0"/>
                      <w:marRight w:val="0"/>
                      <w:marTop w:val="0"/>
                      <w:marBottom w:val="0"/>
                      <w:divBdr>
                        <w:top w:val="none" w:sz="0" w:space="0" w:color="auto"/>
                        <w:left w:val="none" w:sz="0" w:space="0" w:color="auto"/>
                        <w:bottom w:val="none" w:sz="0" w:space="0" w:color="auto"/>
                        <w:right w:val="none" w:sz="0" w:space="0" w:color="auto"/>
                      </w:divBdr>
                    </w:div>
                  </w:divsChild>
                </w:div>
                <w:div w:id="851844644">
                  <w:marLeft w:val="0"/>
                  <w:marRight w:val="0"/>
                  <w:marTop w:val="0"/>
                  <w:marBottom w:val="0"/>
                  <w:divBdr>
                    <w:top w:val="none" w:sz="0" w:space="0" w:color="auto"/>
                    <w:left w:val="none" w:sz="0" w:space="0" w:color="auto"/>
                    <w:bottom w:val="none" w:sz="0" w:space="0" w:color="auto"/>
                    <w:right w:val="none" w:sz="0" w:space="0" w:color="auto"/>
                  </w:divBdr>
                  <w:divsChild>
                    <w:div w:id="1702894365">
                      <w:marLeft w:val="0"/>
                      <w:marRight w:val="0"/>
                      <w:marTop w:val="0"/>
                      <w:marBottom w:val="0"/>
                      <w:divBdr>
                        <w:top w:val="none" w:sz="0" w:space="0" w:color="auto"/>
                        <w:left w:val="none" w:sz="0" w:space="0" w:color="auto"/>
                        <w:bottom w:val="none" w:sz="0" w:space="0" w:color="auto"/>
                        <w:right w:val="none" w:sz="0" w:space="0" w:color="auto"/>
                      </w:divBdr>
                    </w:div>
                  </w:divsChild>
                </w:div>
                <w:div w:id="854805349">
                  <w:marLeft w:val="0"/>
                  <w:marRight w:val="0"/>
                  <w:marTop w:val="0"/>
                  <w:marBottom w:val="0"/>
                  <w:divBdr>
                    <w:top w:val="none" w:sz="0" w:space="0" w:color="auto"/>
                    <w:left w:val="none" w:sz="0" w:space="0" w:color="auto"/>
                    <w:bottom w:val="none" w:sz="0" w:space="0" w:color="auto"/>
                    <w:right w:val="none" w:sz="0" w:space="0" w:color="auto"/>
                  </w:divBdr>
                  <w:divsChild>
                    <w:div w:id="24062196">
                      <w:marLeft w:val="0"/>
                      <w:marRight w:val="0"/>
                      <w:marTop w:val="0"/>
                      <w:marBottom w:val="0"/>
                      <w:divBdr>
                        <w:top w:val="none" w:sz="0" w:space="0" w:color="auto"/>
                        <w:left w:val="none" w:sz="0" w:space="0" w:color="auto"/>
                        <w:bottom w:val="none" w:sz="0" w:space="0" w:color="auto"/>
                        <w:right w:val="none" w:sz="0" w:space="0" w:color="auto"/>
                      </w:divBdr>
                    </w:div>
                  </w:divsChild>
                </w:div>
                <w:div w:id="858859777">
                  <w:marLeft w:val="0"/>
                  <w:marRight w:val="0"/>
                  <w:marTop w:val="0"/>
                  <w:marBottom w:val="0"/>
                  <w:divBdr>
                    <w:top w:val="none" w:sz="0" w:space="0" w:color="auto"/>
                    <w:left w:val="none" w:sz="0" w:space="0" w:color="auto"/>
                    <w:bottom w:val="none" w:sz="0" w:space="0" w:color="auto"/>
                    <w:right w:val="none" w:sz="0" w:space="0" w:color="auto"/>
                  </w:divBdr>
                  <w:divsChild>
                    <w:div w:id="1215892262">
                      <w:marLeft w:val="0"/>
                      <w:marRight w:val="0"/>
                      <w:marTop w:val="0"/>
                      <w:marBottom w:val="0"/>
                      <w:divBdr>
                        <w:top w:val="none" w:sz="0" w:space="0" w:color="auto"/>
                        <w:left w:val="none" w:sz="0" w:space="0" w:color="auto"/>
                        <w:bottom w:val="none" w:sz="0" w:space="0" w:color="auto"/>
                        <w:right w:val="none" w:sz="0" w:space="0" w:color="auto"/>
                      </w:divBdr>
                    </w:div>
                  </w:divsChild>
                </w:div>
                <w:div w:id="861433007">
                  <w:marLeft w:val="0"/>
                  <w:marRight w:val="0"/>
                  <w:marTop w:val="0"/>
                  <w:marBottom w:val="0"/>
                  <w:divBdr>
                    <w:top w:val="none" w:sz="0" w:space="0" w:color="auto"/>
                    <w:left w:val="none" w:sz="0" w:space="0" w:color="auto"/>
                    <w:bottom w:val="none" w:sz="0" w:space="0" w:color="auto"/>
                    <w:right w:val="none" w:sz="0" w:space="0" w:color="auto"/>
                  </w:divBdr>
                  <w:divsChild>
                    <w:div w:id="850031499">
                      <w:marLeft w:val="0"/>
                      <w:marRight w:val="0"/>
                      <w:marTop w:val="0"/>
                      <w:marBottom w:val="0"/>
                      <w:divBdr>
                        <w:top w:val="none" w:sz="0" w:space="0" w:color="auto"/>
                        <w:left w:val="none" w:sz="0" w:space="0" w:color="auto"/>
                        <w:bottom w:val="none" w:sz="0" w:space="0" w:color="auto"/>
                        <w:right w:val="none" w:sz="0" w:space="0" w:color="auto"/>
                      </w:divBdr>
                    </w:div>
                  </w:divsChild>
                </w:div>
                <w:div w:id="864824453">
                  <w:marLeft w:val="0"/>
                  <w:marRight w:val="0"/>
                  <w:marTop w:val="0"/>
                  <w:marBottom w:val="0"/>
                  <w:divBdr>
                    <w:top w:val="none" w:sz="0" w:space="0" w:color="auto"/>
                    <w:left w:val="none" w:sz="0" w:space="0" w:color="auto"/>
                    <w:bottom w:val="none" w:sz="0" w:space="0" w:color="auto"/>
                    <w:right w:val="none" w:sz="0" w:space="0" w:color="auto"/>
                  </w:divBdr>
                  <w:divsChild>
                    <w:div w:id="1043410201">
                      <w:marLeft w:val="0"/>
                      <w:marRight w:val="0"/>
                      <w:marTop w:val="0"/>
                      <w:marBottom w:val="0"/>
                      <w:divBdr>
                        <w:top w:val="none" w:sz="0" w:space="0" w:color="auto"/>
                        <w:left w:val="none" w:sz="0" w:space="0" w:color="auto"/>
                        <w:bottom w:val="none" w:sz="0" w:space="0" w:color="auto"/>
                        <w:right w:val="none" w:sz="0" w:space="0" w:color="auto"/>
                      </w:divBdr>
                    </w:div>
                  </w:divsChild>
                </w:div>
                <w:div w:id="883905437">
                  <w:marLeft w:val="0"/>
                  <w:marRight w:val="0"/>
                  <w:marTop w:val="0"/>
                  <w:marBottom w:val="0"/>
                  <w:divBdr>
                    <w:top w:val="none" w:sz="0" w:space="0" w:color="auto"/>
                    <w:left w:val="none" w:sz="0" w:space="0" w:color="auto"/>
                    <w:bottom w:val="none" w:sz="0" w:space="0" w:color="auto"/>
                    <w:right w:val="none" w:sz="0" w:space="0" w:color="auto"/>
                  </w:divBdr>
                  <w:divsChild>
                    <w:div w:id="939608758">
                      <w:marLeft w:val="0"/>
                      <w:marRight w:val="0"/>
                      <w:marTop w:val="0"/>
                      <w:marBottom w:val="0"/>
                      <w:divBdr>
                        <w:top w:val="none" w:sz="0" w:space="0" w:color="auto"/>
                        <w:left w:val="none" w:sz="0" w:space="0" w:color="auto"/>
                        <w:bottom w:val="none" w:sz="0" w:space="0" w:color="auto"/>
                        <w:right w:val="none" w:sz="0" w:space="0" w:color="auto"/>
                      </w:divBdr>
                    </w:div>
                  </w:divsChild>
                </w:div>
                <w:div w:id="891309908">
                  <w:marLeft w:val="0"/>
                  <w:marRight w:val="0"/>
                  <w:marTop w:val="0"/>
                  <w:marBottom w:val="0"/>
                  <w:divBdr>
                    <w:top w:val="none" w:sz="0" w:space="0" w:color="auto"/>
                    <w:left w:val="none" w:sz="0" w:space="0" w:color="auto"/>
                    <w:bottom w:val="none" w:sz="0" w:space="0" w:color="auto"/>
                    <w:right w:val="none" w:sz="0" w:space="0" w:color="auto"/>
                  </w:divBdr>
                  <w:divsChild>
                    <w:div w:id="1138718870">
                      <w:marLeft w:val="0"/>
                      <w:marRight w:val="0"/>
                      <w:marTop w:val="0"/>
                      <w:marBottom w:val="0"/>
                      <w:divBdr>
                        <w:top w:val="none" w:sz="0" w:space="0" w:color="auto"/>
                        <w:left w:val="none" w:sz="0" w:space="0" w:color="auto"/>
                        <w:bottom w:val="none" w:sz="0" w:space="0" w:color="auto"/>
                        <w:right w:val="none" w:sz="0" w:space="0" w:color="auto"/>
                      </w:divBdr>
                    </w:div>
                  </w:divsChild>
                </w:div>
                <w:div w:id="906650202">
                  <w:marLeft w:val="0"/>
                  <w:marRight w:val="0"/>
                  <w:marTop w:val="0"/>
                  <w:marBottom w:val="0"/>
                  <w:divBdr>
                    <w:top w:val="none" w:sz="0" w:space="0" w:color="auto"/>
                    <w:left w:val="none" w:sz="0" w:space="0" w:color="auto"/>
                    <w:bottom w:val="none" w:sz="0" w:space="0" w:color="auto"/>
                    <w:right w:val="none" w:sz="0" w:space="0" w:color="auto"/>
                  </w:divBdr>
                  <w:divsChild>
                    <w:div w:id="774593654">
                      <w:marLeft w:val="0"/>
                      <w:marRight w:val="0"/>
                      <w:marTop w:val="0"/>
                      <w:marBottom w:val="0"/>
                      <w:divBdr>
                        <w:top w:val="none" w:sz="0" w:space="0" w:color="auto"/>
                        <w:left w:val="none" w:sz="0" w:space="0" w:color="auto"/>
                        <w:bottom w:val="none" w:sz="0" w:space="0" w:color="auto"/>
                        <w:right w:val="none" w:sz="0" w:space="0" w:color="auto"/>
                      </w:divBdr>
                    </w:div>
                  </w:divsChild>
                </w:div>
                <w:div w:id="911622993">
                  <w:marLeft w:val="0"/>
                  <w:marRight w:val="0"/>
                  <w:marTop w:val="0"/>
                  <w:marBottom w:val="0"/>
                  <w:divBdr>
                    <w:top w:val="none" w:sz="0" w:space="0" w:color="auto"/>
                    <w:left w:val="none" w:sz="0" w:space="0" w:color="auto"/>
                    <w:bottom w:val="none" w:sz="0" w:space="0" w:color="auto"/>
                    <w:right w:val="none" w:sz="0" w:space="0" w:color="auto"/>
                  </w:divBdr>
                  <w:divsChild>
                    <w:div w:id="531193343">
                      <w:marLeft w:val="0"/>
                      <w:marRight w:val="0"/>
                      <w:marTop w:val="0"/>
                      <w:marBottom w:val="0"/>
                      <w:divBdr>
                        <w:top w:val="none" w:sz="0" w:space="0" w:color="auto"/>
                        <w:left w:val="none" w:sz="0" w:space="0" w:color="auto"/>
                        <w:bottom w:val="none" w:sz="0" w:space="0" w:color="auto"/>
                        <w:right w:val="none" w:sz="0" w:space="0" w:color="auto"/>
                      </w:divBdr>
                    </w:div>
                  </w:divsChild>
                </w:div>
                <w:div w:id="911891244">
                  <w:marLeft w:val="0"/>
                  <w:marRight w:val="0"/>
                  <w:marTop w:val="0"/>
                  <w:marBottom w:val="0"/>
                  <w:divBdr>
                    <w:top w:val="none" w:sz="0" w:space="0" w:color="auto"/>
                    <w:left w:val="none" w:sz="0" w:space="0" w:color="auto"/>
                    <w:bottom w:val="none" w:sz="0" w:space="0" w:color="auto"/>
                    <w:right w:val="none" w:sz="0" w:space="0" w:color="auto"/>
                  </w:divBdr>
                  <w:divsChild>
                    <w:div w:id="1386561158">
                      <w:marLeft w:val="0"/>
                      <w:marRight w:val="0"/>
                      <w:marTop w:val="0"/>
                      <w:marBottom w:val="0"/>
                      <w:divBdr>
                        <w:top w:val="none" w:sz="0" w:space="0" w:color="auto"/>
                        <w:left w:val="none" w:sz="0" w:space="0" w:color="auto"/>
                        <w:bottom w:val="none" w:sz="0" w:space="0" w:color="auto"/>
                        <w:right w:val="none" w:sz="0" w:space="0" w:color="auto"/>
                      </w:divBdr>
                    </w:div>
                  </w:divsChild>
                </w:div>
                <w:div w:id="912392452">
                  <w:marLeft w:val="0"/>
                  <w:marRight w:val="0"/>
                  <w:marTop w:val="0"/>
                  <w:marBottom w:val="0"/>
                  <w:divBdr>
                    <w:top w:val="none" w:sz="0" w:space="0" w:color="auto"/>
                    <w:left w:val="none" w:sz="0" w:space="0" w:color="auto"/>
                    <w:bottom w:val="none" w:sz="0" w:space="0" w:color="auto"/>
                    <w:right w:val="none" w:sz="0" w:space="0" w:color="auto"/>
                  </w:divBdr>
                  <w:divsChild>
                    <w:div w:id="1870024044">
                      <w:marLeft w:val="0"/>
                      <w:marRight w:val="0"/>
                      <w:marTop w:val="0"/>
                      <w:marBottom w:val="0"/>
                      <w:divBdr>
                        <w:top w:val="none" w:sz="0" w:space="0" w:color="auto"/>
                        <w:left w:val="none" w:sz="0" w:space="0" w:color="auto"/>
                        <w:bottom w:val="none" w:sz="0" w:space="0" w:color="auto"/>
                        <w:right w:val="none" w:sz="0" w:space="0" w:color="auto"/>
                      </w:divBdr>
                    </w:div>
                  </w:divsChild>
                </w:div>
                <w:div w:id="914783796">
                  <w:marLeft w:val="0"/>
                  <w:marRight w:val="0"/>
                  <w:marTop w:val="0"/>
                  <w:marBottom w:val="0"/>
                  <w:divBdr>
                    <w:top w:val="none" w:sz="0" w:space="0" w:color="auto"/>
                    <w:left w:val="none" w:sz="0" w:space="0" w:color="auto"/>
                    <w:bottom w:val="none" w:sz="0" w:space="0" w:color="auto"/>
                    <w:right w:val="none" w:sz="0" w:space="0" w:color="auto"/>
                  </w:divBdr>
                  <w:divsChild>
                    <w:div w:id="1445883429">
                      <w:marLeft w:val="0"/>
                      <w:marRight w:val="0"/>
                      <w:marTop w:val="0"/>
                      <w:marBottom w:val="0"/>
                      <w:divBdr>
                        <w:top w:val="none" w:sz="0" w:space="0" w:color="auto"/>
                        <w:left w:val="none" w:sz="0" w:space="0" w:color="auto"/>
                        <w:bottom w:val="none" w:sz="0" w:space="0" w:color="auto"/>
                        <w:right w:val="none" w:sz="0" w:space="0" w:color="auto"/>
                      </w:divBdr>
                    </w:div>
                  </w:divsChild>
                </w:div>
                <w:div w:id="928927987">
                  <w:marLeft w:val="0"/>
                  <w:marRight w:val="0"/>
                  <w:marTop w:val="0"/>
                  <w:marBottom w:val="0"/>
                  <w:divBdr>
                    <w:top w:val="none" w:sz="0" w:space="0" w:color="auto"/>
                    <w:left w:val="none" w:sz="0" w:space="0" w:color="auto"/>
                    <w:bottom w:val="none" w:sz="0" w:space="0" w:color="auto"/>
                    <w:right w:val="none" w:sz="0" w:space="0" w:color="auto"/>
                  </w:divBdr>
                  <w:divsChild>
                    <w:div w:id="567498663">
                      <w:marLeft w:val="0"/>
                      <w:marRight w:val="0"/>
                      <w:marTop w:val="0"/>
                      <w:marBottom w:val="0"/>
                      <w:divBdr>
                        <w:top w:val="none" w:sz="0" w:space="0" w:color="auto"/>
                        <w:left w:val="none" w:sz="0" w:space="0" w:color="auto"/>
                        <w:bottom w:val="none" w:sz="0" w:space="0" w:color="auto"/>
                        <w:right w:val="none" w:sz="0" w:space="0" w:color="auto"/>
                      </w:divBdr>
                    </w:div>
                  </w:divsChild>
                </w:div>
                <w:div w:id="937172792">
                  <w:marLeft w:val="0"/>
                  <w:marRight w:val="0"/>
                  <w:marTop w:val="0"/>
                  <w:marBottom w:val="0"/>
                  <w:divBdr>
                    <w:top w:val="none" w:sz="0" w:space="0" w:color="auto"/>
                    <w:left w:val="none" w:sz="0" w:space="0" w:color="auto"/>
                    <w:bottom w:val="none" w:sz="0" w:space="0" w:color="auto"/>
                    <w:right w:val="none" w:sz="0" w:space="0" w:color="auto"/>
                  </w:divBdr>
                  <w:divsChild>
                    <w:div w:id="1167096175">
                      <w:marLeft w:val="0"/>
                      <w:marRight w:val="0"/>
                      <w:marTop w:val="0"/>
                      <w:marBottom w:val="0"/>
                      <w:divBdr>
                        <w:top w:val="none" w:sz="0" w:space="0" w:color="auto"/>
                        <w:left w:val="none" w:sz="0" w:space="0" w:color="auto"/>
                        <w:bottom w:val="none" w:sz="0" w:space="0" w:color="auto"/>
                        <w:right w:val="none" w:sz="0" w:space="0" w:color="auto"/>
                      </w:divBdr>
                    </w:div>
                  </w:divsChild>
                </w:div>
                <w:div w:id="946305961">
                  <w:marLeft w:val="0"/>
                  <w:marRight w:val="0"/>
                  <w:marTop w:val="0"/>
                  <w:marBottom w:val="0"/>
                  <w:divBdr>
                    <w:top w:val="none" w:sz="0" w:space="0" w:color="auto"/>
                    <w:left w:val="none" w:sz="0" w:space="0" w:color="auto"/>
                    <w:bottom w:val="none" w:sz="0" w:space="0" w:color="auto"/>
                    <w:right w:val="none" w:sz="0" w:space="0" w:color="auto"/>
                  </w:divBdr>
                  <w:divsChild>
                    <w:div w:id="1509130150">
                      <w:marLeft w:val="0"/>
                      <w:marRight w:val="0"/>
                      <w:marTop w:val="0"/>
                      <w:marBottom w:val="0"/>
                      <w:divBdr>
                        <w:top w:val="none" w:sz="0" w:space="0" w:color="auto"/>
                        <w:left w:val="none" w:sz="0" w:space="0" w:color="auto"/>
                        <w:bottom w:val="none" w:sz="0" w:space="0" w:color="auto"/>
                        <w:right w:val="none" w:sz="0" w:space="0" w:color="auto"/>
                      </w:divBdr>
                    </w:div>
                  </w:divsChild>
                </w:div>
                <w:div w:id="952133097">
                  <w:marLeft w:val="0"/>
                  <w:marRight w:val="0"/>
                  <w:marTop w:val="0"/>
                  <w:marBottom w:val="0"/>
                  <w:divBdr>
                    <w:top w:val="none" w:sz="0" w:space="0" w:color="auto"/>
                    <w:left w:val="none" w:sz="0" w:space="0" w:color="auto"/>
                    <w:bottom w:val="none" w:sz="0" w:space="0" w:color="auto"/>
                    <w:right w:val="none" w:sz="0" w:space="0" w:color="auto"/>
                  </w:divBdr>
                  <w:divsChild>
                    <w:div w:id="1268274093">
                      <w:marLeft w:val="0"/>
                      <w:marRight w:val="0"/>
                      <w:marTop w:val="0"/>
                      <w:marBottom w:val="0"/>
                      <w:divBdr>
                        <w:top w:val="none" w:sz="0" w:space="0" w:color="auto"/>
                        <w:left w:val="none" w:sz="0" w:space="0" w:color="auto"/>
                        <w:bottom w:val="none" w:sz="0" w:space="0" w:color="auto"/>
                        <w:right w:val="none" w:sz="0" w:space="0" w:color="auto"/>
                      </w:divBdr>
                    </w:div>
                  </w:divsChild>
                </w:div>
                <w:div w:id="961496655">
                  <w:marLeft w:val="0"/>
                  <w:marRight w:val="0"/>
                  <w:marTop w:val="0"/>
                  <w:marBottom w:val="0"/>
                  <w:divBdr>
                    <w:top w:val="none" w:sz="0" w:space="0" w:color="auto"/>
                    <w:left w:val="none" w:sz="0" w:space="0" w:color="auto"/>
                    <w:bottom w:val="none" w:sz="0" w:space="0" w:color="auto"/>
                    <w:right w:val="none" w:sz="0" w:space="0" w:color="auto"/>
                  </w:divBdr>
                  <w:divsChild>
                    <w:div w:id="1041322585">
                      <w:marLeft w:val="0"/>
                      <w:marRight w:val="0"/>
                      <w:marTop w:val="0"/>
                      <w:marBottom w:val="0"/>
                      <w:divBdr>
                        <w:top w:val="none" w:sz="0" w:space="0" w:color="auto"/>
                        <w:left w:val="none" w:sz="0" w:space="0" w:color="auto"/>
                        <w:bottom w:val="none" w:sz="0" w:space="0" w:color="auto"/>
                        <w:right w:val="none" w:sz="0" w:space="0" w:color="auto"/>
                      </w:divBdr>
                    </w:div>
                  </w:divsChild>
                </w:div>
                <w:div w:id="964778424">
                  <w:marLeft w:val="0"/>
                  <w:marRight w:val="0"/>
                  <w:marTop w:val="0"/>
                  <w:marBottom w:val="0"/>
                  <w:divBdr>
                    <w:top w:val="none" w:sz="0" w:space="0" w:color="auto"/>
                    <w:left w:val="none" w:sz="0" w:space="0" w:color="auto"/>
                    <w:bottom w:val="none" w:sz="0" w:space="0" w:color="auto"/>
                    <w:right w:val="none" w:sz="0" w:space="0" w:color="auto"/>
                  </w:divBdr>
                  <w:divsChild>
                    <w:div w:id="1206285965">
                      <w:marLeft w:val="0"/>
                      <w:marRight w:val="0"/>
                      <w:marTop w:val="0"/>
                      <w:marBottom w:val="0"/>
                      <w:divBdr>
                        <w:top w:val="none" w:sz="0" w:space="0" w:color="auto"/>
                        <w:left w:val="none" w:sz="0" w:space="0" w:color="auto"/>
                        <w:bottom w:val="none" w:sz="0" w:space="0" w:color="auto"/>
                        <w:right w:val="none" w:sz="0" w:space="0" w:color="auto"/>
                      </w:divBdr>
                    </w:div>
                  </w:divsChild>
                </w:div>
                <w:div w:id="965693852">
                  <w:marLeft w:val="0"/>
                  <w:marRight w:val="0"/>
                  <w:marTop w:val="0"/>
                  <w:marBottom w:val="0"/>
                  <w:divBdr>
                    <w:top w:val="none" w:sz="0" w:space="0" w:color="auto"/>
                    <w:left w:val="none" w:sz="0" w:space="0" w:color="auto"/>
                    <w:bottom w:val="none" w:sz="0" w:space="0" w:color="auto"/>
                    <w:right w:val="none" w:sz="0" w:space="0" w:color="auto"/>
                  </w:divBdr>
                  <w:divsChild>
                    <w:div w:id="414715222">
                      <w:marLeft w:val="0"/>
                      <w:marRight w:val="0"/>
                      <w:marTop w:val="0"/>
                      <w:marBottom w:val="0"/>
                      <w:divBdr>
                        <w:top w:val="none" w:sz="0" w:space="0" w:color="auto"/>
                        <w:left w:val="none" w:sz="0" w:space="0" w:color="auto"/>
                        <w:bottom w:val="none" w:sz="0" w:space="0" w:color="auto"/>
                        <w:right w:val="none" w:sz="0" w:space="0" w:color="auto"/>
                      </w:divBdr>
                    </w:div>
                  </w:divsChild>
                </w:div>
                <w:div w:id="970674700">
                  <w:marLeft w:val="0"/>
                  <w:marRight w:val="0"/>
                  <w:marTop w:val="0"/>
                  <w:marBottom w:val="0"/>
                  <w:divBdr>
                    <w:top w:val="none" w:sz="0" w:space="0" w:color="auto"/>
                    <w:left w:val="none" w:sz="0" w:space="0" w:color="auto"/>
                    <w:bottom w:val="none" w:sz="0" w:space="0" w:color="auto"/>
                    <w:right w:val="none" w:sz="0" w:space="0" w:color="auto"/>
                  </w:divBdr>
                  <w:divsChild>
                    <w:div w:id="1073314809">
                      <w:marLeft w:val="0"/>
                      <w:marRight w:val="0"/>
                      <w:marTop w:val="0"/>
                      <w:marBottom w:val="0"/>
                      <w:divBdr>
                        <w:top w:val="none" w:sz="0" w:space="0" w:color="auto"/>
                        <w:left w:val="none" w:sz="0" w:space="0" w:color="auto"/>
                        <w:bottom w:val="none" w:sz="0" w:space="0" w:color="auto"/>
                        <w:right w:val="none" w:sz="0" w:space="0" w:color="auto"/>
                      </w:divBdr>
                    </w:div>
                  </w:divsChild>
                </w:div>
                <w:div w:id="982345195">
                  <w:marLeft w:val="0"/>
                  <w:marRight w:val="0"/>
                  <w:marTop w:val="0"/>
                  <w:marBottom w:val="0"/>
                  <w:divBdr>
                    <w:top w:val="none" w:sz="0" w:space="0" w:color="auto"/>
                    <w:left w:val="none" w:sz="0" w:space="0" w:color="auto"/>
                    <w:bottom w:val="none" w:sz="0" w:space="0" w:color="auto"/>
                    <w:right w:val="none" w:sz="0" w:space="0" w:color="auto"/>
                  </w:divBdr>
                  <w:divsChild>
                    <w:div w:id="1429354011">
                      <w:marLeft w:val="0"/>
                      <w:marRight w:val="0"/>
                      <w:marTop w:val="0"/>
                      <w:marBottom w:val="0"/>
                      <w:divBdr>
                        <w:top w:val="none" w:sz="0" w:space="0" w:color="auto"/>
                        <w:left w:val="none" w:sz="0" w:space="0" w:color="auto"/>
                        <w:bottom w:val="none" w:sz="0" w:space="0" w:color="auto"/>
                        <w:right w:val="none" w:sz="0" w:space="0" w:color="auto"/>
                      </w:divBdr>
                    </w:div>
                  </w:divsChild>
                </w:div>
                <w:div w:id="986782854">
                  <w:marLeft w:val="0"/>
                  <w:marRight w:val="0"/>
                  <w:marTop w:val="0"/>
                  <w:marBottom w:val="0"/>
                  <w:divBdr>
                    <w:top w:val="none" w:sz="0" w:space="0" w:color="auto"/>
                    <w:left w:val="none" w:sz="0" w:space="0" w:color="auto"/>
                    <w:bottom w:val="none" w:sz="0" w:space="0" w:color="auto"/>
                    <w:right w:val="none" w:sz="0" w:space="0" w:color="auto"/>
                  </w:divBdr>
                  <w:divsChild>
                    <w:div w:id="1798791156">
                      <w:marLeft w:val="0"/>
                      <w:marRight w:val="0"/>
                      <w:marTop w:val="0"/>
                      <w:marBottom w:val="0"/>
                      <w:divBdr>
                        <w:top w:val="none" w:sz="0" w:space="0" w:color="auto"/>
                        <w:left w:val="none" w:sz="0" w:space="0" w:color="auto"/>
                        <w:bottom w:val="none" w:sz="0" w:space="0" w:color="auto"/>
                        <w:right w:val="none" w:sz="0" w:space="0" w:color="auto"/>
                      </w:divBdr>
                    </w:div>
                  </w:divsChild>
                </w:div>
                <w:div w:id="989941861">
                  <w:marLeft w:val="0"/>
                  <w:marRight w:val="0"/>
                  <w:marTop w:val="0"/>
                  <w:marBottom w:val="0"/>
                  <w:divBdr>
                    <w:top w:val="none" w:sz="0" w:space="0" w:color="auto"/>
                    <w:left w:val="none" w:sz="0" w:space="0" w:color="auto"/>
                    <w:bottom w:val="none" w:sz="0" w:space="0" w:color="auto"/>
                    <w:right w:val="none" w:sz="0" w:space="0" w:color="auto"/>
                  </w:divBdr>
                  <w:divsChild>
                    <w:div w:id="844829362">
                      <w:marLeft w:val="0"/>
                      <w:marRight w:val="0"/>
                      <w:marTop w:val="0"/>
                      <w:marBottom w:val="0"/>
                      <w:divBdr>
                        <w:top w:val="none" w:sz="0" w:space="0" w:color="auto"/>
                        <w:left w:val="none" w:sz="0" w:space="0" w:color="auto"/>
                        <w:bottom w:val="none" w:sz="0" w:space="0" w:color="auto"/>
                        <w:right w:val="none" w:sz="0" w:space="0" w:color="auto"/>
                      </w:divBdr>
                    </w:div>
                  </w:divsChild>
                </w:div>
                <w:div w:id="990864917">
                  <w:marLeft w:val="0"/>
                  <w:marRight w:val="0"/>
                  <w:marTop w:val="0"/>
                  <w:marBottom w:val="0"/>
                  <w:divBdr>
                    <w:top w:val="none" w:sz="0" w:space="0" w:color="auto"/>
                    <w:left w:val="none" w:sz="0" w:space="0" w:color="auto"/>
                    <w:bottom w:val="none" w:sz="0" w:space="0" w:color="auto"/>
                    <w:right w:val="none" w:sz="0" w:space="0" w:color="auto"/>
                  </w:divBdr>
                  <w:divsChild>
                    <w:div w:id="1981228580">
                      <w:marLeft w:val="0"/>
                      <w:marRight w:val="0"/>
                      <w:marTop w:val="0"/>
                      <w:marBottom w:val="0"/>
                      <w:divBdr>
                        <w:top w:val="none" w:sz="0" w:space="0" w:color="auto"/>
                        <w:left w:val="none" w:sz="0" w:space="0" w:color="auto"/>
                        <w:bottom w:val="none" w:sz="0" w:space="0" w:color="auto"/>
                        <w:right w:val="none" w:sz="0" w:space="0" w:color="auto"/>
                      </w:divBdr>
                    </w:div>
                  </w:divsChild>
                </w:div>
                <w:div w:id="997658701">
                  <w:marLeft w:val="0"/>
                  <w:marRight w:val="0"/>
                  <w:marTop w:val="0"/>
                  <w:marBottom w:val="0"/>
                  <w:divBdr>
                    <w:top w:val="none" w:sz="0" w:space="0" w:color="auto"/>
                    <w:left w:val="none" w:sz="0" w:space="0" w:color="auto"/>
                    <w:bottom w:val="none" w:sz="0" w:space="0" w:color="auto"/>
                    <w:right w:val="none" w:sz="0" w:space="0" w:color="auto"/>
                  </w:divBdr>
                  <w:divsChild>
                    <w:div w:id="102845483">
                      <w:marLeft w:val="0"/>
                      <w:marRight w:val="0"/>
                      <w:marTop w:val="0"/>
                      <w:marBottom w:val="0"/>
                      <w:divBdr>
                        <w:top w:val="none" w:sz="0" w:space="0" w:color="auto"/>
                        <w:left w:val="none" w:sz="0" w:space="0" w:color="auto"/>
                        <w:bottom w:val="none" w:sz="0" w:space="0" w:color="auto"/>
                        <w:right w:val="none" w:sz="0" w:space="0" w:color="auto"/>
                      </w:divBdr>
                    </w:div>
                  </w:divsChild>
                </w:div>
                <w:div w:id="998389717">
                  <w:marLeft w:val="0"/>
                  <w:marRight w:val="0"/>
                  <w:marTop w:val="0"/>
                  <w:marBottom w:val="0"/>
                  <w:divBdr>
                    <w:top w:val="none" w:sz="0" w:space="0" w:color="auto"/>
                    <w:left w:val="none" w:sz="0" w:space="0" w:color="auto"/>
                    <w:bottom w:val="none" w:sz="0" w:space="0" w:color="auto"/>
                    <w:right w:val="none" w:sz="0" w:space="0" w:color="auto"/>
                  </w:divBdr>
                  <w:divsChild>
                    <w:div w:id="1640186549">
                      <w:marLeft w:val="0"/>
                      <w:marRight w:val="0"/>
                      <w:marTop w:val="0"/>
                      <w:marBottom w:val="0"/>
                      <w:divBdr>
                        <w:top w:val="none" w:sz="0" w:space="0" w:color="auto"/>
                        <w:left w:val="none" w:sz="0" w:space="0" w:color="auto"/>
                        <w:bottom w:val="none" w:sz="0" w:space="0" w:color="auto"/>
                        <w:right w:val="none" w:sz="0" w:space="0" w:color="auto"/>
                      </w:divBdr>
                    </w:div>
                  </w:divsChild>
                </w:div>
                <w:div w:id="1010258763">
                  <w:marLeft w:val="0"/>
                  <w:marRight w:val="0"/>
                  <w:marTop w:val="0"/>
                  <w:marBottom w:val="0"/>
                  <w:divBdr>
                    <w:top w:val="none" w:sz="0" w:space="0" w:color="auto"/>
                    <w:left w:val="none" w:sz="0" w:space="0" w:color="auto"/>
                    <w:bottom w:val="none" w:sz="0" w:space="0" w:color="auto"/>
                    <w:right w:val="none" w:sz="0" w:space="0" w:color="auto"/>
                  </w:divBdr>
                  <w:divsChild>
                    <w:div w:id="1177304550">
                      <w:marLeft w:val="0"/>
                      <w:marRight w:val="0"/>
                      <w:marTop w:val="0"/>
                      <w:marBottom w:val="0"/>
                      <w:divBdr>
                        <w:top w:val="none" w:sz="0" w:space="0" w:color="auto"/>
                        <w:left w:val="none" w:sz="0" w:space="0" w:color="auto"/>
                        <w:bottom w:val="none" w:sz="0" w:space="0" w:color="auto"/>
                        <w:right w:val="none" w:sz="0" w:space="0" w:color="auto"/>
                      </w:divBdr>
                    </w:div>
                  </w:divsChild>
                </w:div>
                <w:div w:id="1011957065">
                  <w:marLeft w:val="0"/>
                  <w:marRight w:val="0"/>
                  <w:marTop w:val="0"/>
                  <w:marBottom w:val="0"/>
                  <w:divBdr>
                    <w:top w:val="none" w:sz="0" w:space="0" w:color="auto"/>
                    <w:left w:val="none" w:sz="0" w:space="0" w:color="auto"/>
                    <w:bottom w:val="none" w:sz="0" w:space="0" w:color="auto"/>
                    <w:right w:val="none" w:sz="0" w:space="0" w:color="auto"/>
                  </w:divBdr>
                  <w:divsChild>
                    <w:div w:id="202180156">
                      <w:marLeft w:val="0"/>
                      <w:marRight w:val="0"/>
                      <w:marTop w:val="0"/>
                      <w:marBottom w:val="0"/>
                      <w:divBdr>
                        <w:top w:val="none" w:sz="0" w:space="0" w:color="auto"/>
                        <w:left w:val="none" w:sz="0" w:space="0" w:color="auto"/>
                        <w:bottom w:val="none" w:sz="0" w:space="0" w:color="auto"/>
                        <w:right w:val="none" w:sz="0" w:space="0" w:color="auto"/>
                      </w:divBdr>
                    </w:div>
                  </w:divsChild>
                </w:div>
                <w:div w:id="1012880423">
                  <w:marLeft w:val="0"/>
                  <w:marRight w:val="0"/>
                  <w:marTop w:val="0"/>
                  <w:marBottom w:val="0"/>
                  <w:divBdr>
                    <w:top w:val="none" w:sz="0" w:space="0" w:color="auto"/>
                    <w:left w:val="none" w:sz="0" w:space="0" w:color="auto"/>
                    <w:bottom w:val="none" w:sz="0" w:space="0" w:color="auto"/>
                    <w:right w:val="none" w:sz="0" w:space="0" w:color="auto"/>
                  </w:divBdr>
                  <w:divsChild>
                    <w:div w:id="960262570">
                      <w:marLeft w:val="0"/>
                      <w:marRight w:val="0"/>
                      <w:marTop w:val="0"/>
                      <w:marBottom w:val="0"/>
                      <w:divBdr>
                        <w:top w:val="none" w:sz="0" w:space="0" w:color="auto"/>
                        <w:left w:val="none" w:sz="0" w:space="0" w:color="auto"/>
                        <w:bottom w:val="none" w:sz="0" w:space="0" w:color="auto"/>
                        <w:right w:val="none" w:sz="0" w:space="0" w:color="auto"/>
                      </w:divBdr>
                    </w:div>
                  </w:divsChild>
                </w:div>
                <w:div w:id="1014378148">
                  <w:marLeft w:val="0"/>
                  <w:marRight w:val="0"/>
                  <w:marTop w:val="0"/>
                  <w:marBottom w:val="0"/>
                  <w:divBdr>
                    <w:top w:val="none" w:sz="0" w:space="0" w:color="auto"/>
                    <w:left w:val="none" w:sz="0" w:space="0" w:color="auto"/>
                    <w:bottom w:val="none" w:sz="0" w:space="0" w:color="auto"/>
                    <w:right w:val="none" w:sz="0" w:space="0" w:color="auto"/>
                  </w:divBdr>
                  <w:divsChild>
                    <w:div w:id="664018300">
                      <w:marLeft w:val="0"/>
                      <w:marRight w:val="0"/>
                      <w:marTop w:val="0"/>
                      <w:marBottom w:val="0"/>
                      <w:divBdr>
                        <w:top w:val="none" w:sz="0" w:space="0" w:color="auto"/>
                        <w:left w:val="none" w:sz="0" w:space="0" w:color="auto"/>
                        <w:bottom w:val="none" w:sz="0" w:space="0" w:color="auto"/>
                        <w:right w:val="none" w:sz="0" w:space="0" w:color="auto"/>
                      </w:divBdr>
                    </w:div>
                  </w:divsChild>
                </w:div>
                <w:div w:id="1016928987">
                  <w:marLeft w:val="0"/>
                  <w:marRight w:val="0"/>
                  <w:marTop w:val="0"/>
                  <w:marBottom w:val="0"/>
                  <w:divBdr>
                    <w:top w:val="none" w:sz="0" w:space="0" w:color="auto"/>
                    <w:left w:val="none" w:sz="0" w:space="0" w:color="auto"/>
                    <w:bottom w:val="none" w:sz="0" w:space="0" w:color="auto"/>
                    <w:right w:val="none" w:sz="0" w:space="0" w:color="auto"/>
                  </w:divBdr>
                  <w:divsChild>
                    <w:div w:id="2006396152">
                      <w:marLeft w:val="0"/>
                      <w:marRight w:val="0"/>
                      <w:marTop w:val="0"/>
                      <w:marBottom w:val="0"/>
                      <w:divBdr>
                        <w:top w:val="none" w:sz="0" w:space="0" w:color="auto"/>
                        <w:left w:val="none" w:sz="0" w:space="0" w:color="auto"/>
                        <w:bottom w:val="none" w:sz="0" w:space="0" w:color="auto"/>
                        <w:right w:val="none" w:sz="0" w:space="0" w:color="auto"/>
                      </w:divBdr>
                    </w:div>
                  </w:divsChild>
                </w:div>
                <w:div w:id="1024403172">
                  <w:marLeft w:val="0"/>
                  <w:marRight w:val="0"/>
                  <w:marTop w:val="0"/>
                  <w:marBottom w:val="0"/>
                  <w:divBdr>
                    <w:top w:val="none" w:sz="0" w:space="0" w:color="auto"/>
                    <w:left w:val="none" w:sz="0" w:space="0" w:color="auto"/>
                    <w:bottom w:val="none" w:sz="0" w:space="0" w:color="auto"/>
                    <w:right w:val="none" w:sz="0" w:space="0" w:color="auto"/>
                  </w:divBdr>
                  <w:divsChild>
                    <w:div w:id="834955076">
                      <w:marLeft w:val="0"/>
                      <w:marRight w:val="0"/>
                      <w:marTop w:val="0"/>
                      <w:marBottom w:val="0"/>
                      <w:divBdr>
                        <w:top w:val="none" w:sz="0" w:space="0" w:color="auto"/>
                        <w:left w:val="none" w:sz="0" w:space="0" w:color="auto"/>
                        <w:bottom w:val="none" w:sz="0" w:space="0" w:color="auto"/>
                        <w:right w:val="none" w:sz="0" w:space="0" w:color="auto"/>
                      </w:divBdr>
                    </w:div>
                  </w:divsChild>
                </w:div>
                <w:div w:id="1034308095">
                  <w:marLeft w:val="0"/>
                  <w:marRight w:val="0"/>
                  <w:marTop w:val="0"/>
                  <w:marBottom w:val="0"/>
                  <w:divBdr>
                    <w:top w:val="none" w:sz="0" w:space="0" w:color="auto"/>
                    <w:left w:val="none" w:sz="0" w:space="0" w:color="auto"/>
                    <w:bottom w:val="none" w:sz="0" w:space="0" w:color="auto"/>
                    <w:right w:val="none" w:sz="0" w:space="0" w:color="auto"/>
                  </w:divBdr>
                  <w:divsChild>
                    <w:div w:id="567542942">
                      <w:marLeft w:val="0"/>
                      <w:marRight w:val="0"/>
                      <w:marTop w:val="0"/>
                      <w:marBottom w:val="0"/>
                      <w:divBdr>
                        <w:top w:val="none" w:sz="0" w:space="0" w:color="auto"/>
                        <w:left w:val="none" w:sz="0" w:space="0" w:color="auto"/>
                        <w:bottom w:val="none" w:sz="0" w:space="0" w:color="auto"/>
                        <w:right w:val="none" w:sz="0" w:space="0" w:color="auto"/>
                      </w:divBdr>
                    </w:div>
                  </w:divsChild>
                </w:div>
                <w:div w:id="1037899546">
                  <w:marLeft w:val="0"/>
                  <w:marRight w:val="0"/>
                  <w:marTop w:val="0"/>
                  <w:marBottom w:val="0"/>
                  <w:divBdr>
                    <w:top w:val="none" w:sz="0" w:space="0" w:color="auto"/>
                    <w:left w:val="none" w:sz="0" w:space="0" w:color="auto"/>
                    <w:bottom w:val="none" w:sz="0" w:space="0" w:color="auto"/>
                    <w:right w:val="none" w:sz="0" w:space="0" w:color="auto"/>
                  </w:divBdr>
                  <w:divsChild>
                    <w:div w:id="810752530">
                      <w:marLeft w:val="0"/>
                      <w:marRight w:val="0"/>
                      <w:marTop w:val="0"/>
                      <w:marBottom w:val="0"/>
                      <w:divBdr>
                        <w:top w:val="none" w:sz="0" w:space="0" w:color="auto"/>
                        <w:left w:val="none" w:sz="0" w:space="0" w:color="auto"/>
                        <w:bottom w:val="none" w:sz="0" w:space="0" w:color="auto"/>
                        <w:right w:val="none" w:sz="0" w:space="0" w:color="auto"/>
                      </w:divBdr>
                    </w:div>
                  </w:divsChild>
                </w:div>
                <w:div w:id="1039663544">
                  <w:marLeft w:val="0"/>
                  <w:marRight w:val="0"/>
                  <w:marTop w:val="0"/>
                  <w:marBottom w:val="0"/>
                  <w:divBdr>
                    <w:top w:val="none" w:sz="0" w:space="0" w:color="auto"/>
                    <w:left w:val="none" w:sz="0" w:space="0" w:color="auto"/>
                    <w:bottom w:val="none" w:sz="0" w:space="0" w:color="auto"/>
                    <w:right w:val="none" w:sz="0" w:space="0" w:color="auto"/>
                  </w:divBdr>
                  <w:divsChild>
                    <w:div w:id="1367755926">
                      <w:marLeft w:val="0"/>
                      <w:marRight w:val="0"/>
                      <w:marTop w:val="0"/>
                      <w:marBottom w:val="0"/>
                      <w:divBdr>
                        <w:top w:val="none" w:sz="0" w:space="0" w:color="auto"/>
                        <w:left w:val="none" w:sz="0" w:space="0" w:color="auto"/>
                        <w:bottom w:val="none" w:sz="0" w:space="0" w:color="auto"/>
                        <w:right w:val="none" w:sz="0" w:space="0" w:color="auto"/>
                      </w:divBdr>
                    </w:div>
                  </w:divsChild>
                </w:div>
                <w:div w:id="1048264372">
                  <w:marLeft w:val="0"/>
                  <w:marRight w:val="0"/>
                  <w:marTop w:val="0"/>
                  <w:marBottom w:val="0"/>
                  <w:divBdr>
                    <w:top w:val="none" w:sz="0" w:space="0" w:color="auto"/>
                    <w:left w:val="none" w:sz="0" w:space="0" w:color="auto"/>
                    <w:bottom w:val="none" w:sz="0" w:space="0" w:color="auto"/>
                    <w:right w:val="none" w:sz="0" w:space="0" w:color="auto"/>
                  </w:divBdr>
                  <w:divsChild>
                    <w:div w:id="2118284598">
                      <w:marLeft w:val="0"/>
                      <w:marRight w:val="0"/>
                      <w:marTop w:val="0"/>
                      <w:marBottom w:val="0"/>
                      <w:divBdr>
                        <w:top w:val="none" w:sz="0" w:space="0" w:color="auto"/>
                        <w:left w:val="none" w:sz="0" w:space="0" w:color="auto"/>
                        <w:bottom w:val="none" w:sz="0" w:space="0" w:color="auto"/>
                        <w:right w:val="none" w:sz="0" w:space="0" w:color="auto"/>
                      </w:divBdr>
                    </w:div>
                  </w:divsChild>
                </w:div>
                <w:div w:id="1049957582">
                  <w:marLeft w:val="0"/>
                  <w:marRight w:val="0"/>
                  <w:marTop w:val="0"/>
                  <w:marBottom w:val="0"/>
                  <w:divBdr>
                    <w:top w:val="none" w:sz="0" w:space="0" w:color="auto"/>
                    <w:left w:val="none" w:sz="0" w:space="0" w:color="auto"/>
                    <w:bottom w:val="none" w:sz="0" w:space="0" w:color="auto"/>
                    <w:right w:val="none" w:sz="0" w:space="0" w:color="auto"/>
                  </w:divBdr>
                  <w:divsChild>
                    <w:div w:id="520509277">
                      <w:marLeft w:val="0"/>
                      <w:marRight w:val="0"/>
                      <w:marTop w:val="0"/>
                      <w:marBottom w:val="0"/>
                      <w:divBdr>
                        <w:top w:val="none" w:sz="0" w:space="0" w:color="auto"/>
                        <w:left w:val="none" w:sz="0" w:space="0" w:color="auto"/>
                        <w:bottom w:val="none" w:sz="0" w:space="0" w:color="auto"/>
                        <w:right w:val="none" w:sz="0" w:space="0" w:color="auto"/>
                      </w:divBdr>
                    </w:div>
                  </w:divsChild>
                </w:div>
                <w:div w:id="1051072286">
                  <w:marLeft w:val="0"/>
                  <w:marRight w:val="0"/>
                  <w:marTop w:val="0"/>
                  <w:marBottom w:val="0"/>
                  <w:divBdr>
                    <w:top w:val="none" w:sz="0" w:space="0" w:color="auto"/>
                    <w:left w:val="none" w:sz="0" w:space="0" w:color="auto"/>
                    <w:bottom w:val="none" w:sz="0" w:space="0" w:color="auto"/>
                    <w:right w:val="none" w:sz="0" w:space="0" w:color="auto"/>
                  </w:divBdr>
                  <w:divsChild>
                    <w:div w:id="1435830044">
                      <w:marLeft w:val="0"/>
                      <w:marRight w:val="0"/>
                      <w:marTop w:val="0"/>
                      <w:marBottom w:val="0"/>
                      <w:divBdr>
                        <w:top w:val="none" w:sz="0" w:space="0" w:color="auto"/>
                        <w:left w:val="none" w:sz="0" w:space="0" w:color="auto"/>
                        <w:bottom w:val="none" w:sz="0" w:space="0" w:color="auto"/>
                        <w:right w:val="none" w:sz="0" w:space="0" w:color="auto"/>
                      </w:divBdr>
                    </w:div>
                  </w:divsChild>
                </w:div>
                <w:div w:id="1054962586">
                  <w:marLeft w:val="0"/>
                  <w:marRight w:val="0"/>
                  <w:marTop w:val="0"/>
                  <w:marBottom w:val="0"/>
                  <w:divBdr>
                    <w:top w:val="none" w:sz="0" w:space="0" w:color="auto"/>
                    <w:left w:val="none" w:sz="0" w:space="0" w:color="auto"/>
                    <w:bottom w:val="none" w:sz="0" w:space="0" w:color="auto"/>
                    <w:right w:val="none" w:sz="0" w:space="0" w:color="auto"/>
                  </w:divBdr>
                  <w:divsChild>
                    <w:div w:id="1428424883">
                      <w:marLeft w:val="0"/>
                      <w:marRight w:val="0"/>
                      <w:marTop w:val="0"/>
                      <w:marBottom w:val="0"/>
                      <w:divBdr>
                        <w:top w:val="none" w:sz="0" w:space="0" w:color="auto"/>
                        <w:left w:val="none" w:sz="0" w:space="0" w:color="auto"/>
                        <w:bottom w:val="none" w:sz="0" w:space="0" w:color="auto"/>
                        <w:right w:val="none" w:sz="0" w:space="0" w:color="auto"/>
                      </w:divBdr>
                    </w:div>
                  </w:divsChild>
                </w:div>
                <w:div w:id="1056470046">
                  <w:marLeft w:val="0"/>
                  <w:marRight w:val="0"/>
                  <w:marTop w:val="0"/>
                  <w:marBottom w:val="0"/>
                  <w:divBdr>
                    <w:top w:val="none" w:sz="0" w:space="0" w:color="auto"/>
                    <w:left w:val="none" w:sz="0" w:space="0" w:color="auto"/>
                    <w:bottom w:val="none" w:sz="0" w:space="0" w:color="auto"/>
                    <w:right w:val="none" w:sz="0" w:space="0" w:color="auto"/>
                  </w:divBdr>
                  <w:divsChild>
                    <w:div w:id="591821654">
                      <w:marLeft w:val="0"/>
                      <w:marRight w:val="0"/>
                      <w:marTop w:val="0"/>
                      <w:marBottom w:val="0"/>
                      <w:divBdr>
                        <w:top w:val="none" w:sz="0" w:space="0" w:color="auto"/>
                        <w:left w:val="none" w:sz="0" w:space="0" w:color="auto"/>
                        <w:bottom w:val="none" w:sz="0" w:space="0" w:color="auto"/>
                        <w:right w:val="none" w:sz="0" w:space="0" w:color="auto"/>
                      </w:divBdr>
                    </w:div>
                  </w:divsChild>
                </w:div>
                <w:div w:id="1065101583">
                  <w:marLeft w:val="0"/>
                  <w:marRight w:val="0"/>
                  <w:marTop w:val="0"/>
                  <w:marBottom w:val="0"/>
                  <w:divBdr>
                    <w:top w:val="none" w:sz="0" w:space="0" w:color="auto"/>
                    <w:left w:val="none" w:sz="0" w:space="0" w:color="auto"/>
                    <w:bottom w:val="none" w:sz="0" w:space="0" w:color="auto"/>
                    <w:right w:val="none" w:sz="0" w:space="0" w:color="auto"/>
                  </w:divBdr>
                  <w:divsChild>
                    <w:div w:id="2067560358">
                      <w:marLeft w:val="0"/>
                      <w:marRight w:val="0"/>
                      <w:marTop w:val="0"/>
                      <w:marBottom w:val="0"/>
                      <w:divBdr>
                        <w:top w:val="none" w:sz="0" w:space="0" w:color="auto"/>
                        <w:left w:val="none" w:sz="0" w:space="0" w:color="auto"/>
                        <w:bottom w:val="none" w:sz="0" w:space="0" w:color="auto"/>
                        <w:right w:val="none" w:sz="0" w:space="0" w:color="auto"/>
                      </w:divBdr>
                    </w:div>
                  </w:divsChild>
                </w:div>
                <w:div w:id="1069036369">
                  <w:marLeft w:val="0"/>
                  <w:marRight w:val="0"/>
                  <w:marTop w:val="0"/>
                  <w:marBottom w:val="0"/>
                  <w:divBdr>
                    <w:top w:val="none" w:sz="0" w:space="0" w:color="auto"/>
                    <w:left w:val="none" w:sz="0" w:space="0" w:color="auto"/>
                    <w:bottom w:val="none" w:sz="0" w:space="0" w:color="auto"/>
                    <w:right w:val="none" w:sz="0" w:space="0" w:color="auto"/>
                  </w:divBdr>
                  <w:divsChild>
                    <w:div w:id="1404184607">
                      <w:marLeft w:val="0"/>
                      <w:marRight w:val="0"/>
                      <w:marTop w:val="0"/>
                      <w:marBottom w:val="0"/>
                      <w:divBdr>
                        <w:top w:val="none" w:sz="0" w:space="0" w:color="auto"/>
                        <w:left w:val="none" w:sz="0" w:space="0" w:color="auto"/>
                        <w:bottom w:val="none" w:sz="0" w:space="0" w:color="auto"/>
                        <w:right w:val="none" w:sz="0" w:space="0" w:color="auto"/>
                      </w:divBdr>
                    </w:div>
                  </w:divsChild>
                </w:div>
                <w:div w:id="1078282113">
                  <w:marLeft w:val="0"/>
                  <w:marRight w:val="0"/>
                  <w:marTop w:val="0"/>
                  <w:marBottom w:val="0"/>
                  <w:divBdr>
                    <w:top w:val="none" w:sz="0" w:space="0" w:color="auto"/>
                    <w:left w:val="none" w:sz="0" w:space="0" w:color="auto"/>
                    <w:bottom w:val="none" w:sz="0" w:space="0" w:color="auto"/>
                    <w:right w:val="none" w:sz="0" w:space="0" w:color="auto"/>
                  </w:divBdr>
                  <w:divsChild>
                    <w:div w:id="1211189485">
                      <w:marLeft w:val="0"/>
                      <w:marRight w:val="0"/>
                      <w:marTop w:val="0"/>
                      <w:marBottom w:val="0"/>
                      <w:divBdr>
                        <w:top w:val="none" w:sz="0" w:space="0" w:color="auto"/>
                        <w:left w:val="none" w:sz="0" w:space="0" w:color="auto"/>
                        <w:bottom w:val="none" w:sz="0" w:space="0" w:color="auto"/>
                        <w:right w:val="none" w:sz="0" w:space="0" w:color="auto"/>
                      </w:divBdr>
                    </w:div>
                  </w:divsChild>
                </w:div>
                <w:div w:id="1079250419">
                  <w:marLeft w:val="0"/>
                  <w:marRight w:val="0"/>
                  <w:marTop w:val="0"/>
                  <w:marBottom w:val="0"/>
                  <w:divBdr>
                    <w:top w:val="none" w:sz="0" w:space="0" w:color="auto"/>
                    <w:left w:val="none" w:sz="0" w:space="0" w:color="auto"/>
                    <w:bottom w:val="none" w:sz="0" w:space="0" w:color="auto"/>
                    <w:right w:val="none" w:sz="0" w:space="0" w:color="auto"/>
                  </w:divBdr>
                  <w:divsChild>
                    <w:div w:id="1689864923">
                      <w:marLeft w:val="0"/>
                      <w:marRight w:val="0"/>
                      <w:marTop w:val="0"/>
                      <w:marBottom w:val="0"/>
                      <w:divBdr>
                        <w:top w:val="none" w:sz="0" w:space="0" w:color="auto"/>
                        <w:left w:val="none" w:sz="0" w:space="0" w:color="auto"/>
                        <w:bottom w:val="none" w:sz="0" w:space="0" w:color="auto"/>
                        <w:right w:val="none" w:sz="0" w:space="0" w:color="auto"/>
                      </w:divBdr>
                    </w:div>
                  </w:divsChild>
                </w:div>
                <w:div w:id="1093938405">
                  <w:marLeft w:val="0"/>
                  <w:marRight w:val="0"/>
                  <w:marTop w:val="0"/>
                  <w:marBottom w:val="0"/>
                  <w:divBdr>
                    <w:top w:val="none" w:sz="0" w:space="0" w:color="auto"/>
                    <w:left w:val="none" w:sz="0" w:space="0" w:color="auto"/>
                    <w:bottom w:val="none" w:sz="0" w:space="0" w:color="auto"/>
                    <w:right w:val="none" w:sz="0" w:space="0" w:color="auto"/>
                  </w:divBdr>
                  <w:divsChild>
                    <w:div w:id="123541928">
                      <w:marLeft w:val="0"/>
                      <w:marRight w:val="0"/>
                      <w:marTop w:val="0"/>
                      <w:marBottom w:val="0"/>
                      <w:divBdr>
                        <w:top w:val="none" w:sz="0" w:space="0" w:color="auto"/>
                        <w:left w:val="none" w:sz="0" w:space="0" w:color="auto"/>
                        <w:bottom w:val="none" w:sz="0" w:space="0" w:color="auto"/>
                        <w:right w:val="none" w:sz="0" w:space="0" w:color="auto"/>
                      </w:divBdr>
                    </w:div>
                  </w:divsChild>
                </w:div>
                <w:div w:id="1104031614">
                  <w:marLeft w:val="0"/>
                  <w:marRight w:val="0"/>
                  <w:marTop w:val="0"/>
                  <w:marBottom w:val="0"/>
                  <w:divBdr>
                    <w:top w:val="none" w:sz="0" w:space="0" w:color="auto"/>
                    <w:left w:val="none" w:sz="0" w:space="0" w:color="auto"/>
                    <w:bottom w:val="none" w:sz="0" w:space="0" w:color="auto"/>
                    <w:right w:val="none" w:sz="0" w:space="0" w:color="auto"/>
                  </w:divBdr>
                  <w:divsChild>
                    <w:div w:id="804784217">
                      <w:marLeft w:val="0"/>
                      <w:marRight w:val="0"/>
                      <w:marTop w:val="0"/>
                      <w:marBottom w:val="0"/>
                      <w:divBdr>
                        <w:top w:val="none" w:sz="0" w:space="0" w:color="auto"/>
                        <w:left w:val="none" w:sz="0" w:space="0" w:color="auto"/>
                        <w:bottom w:val="none" w:sz="0" w:space="0" w:color="auto"/>
                        <w:right w:val="none" w:sz="0" w:space="0" w:color="auto"/>
                      </w:divBdr>
                    </w:div>
                  </w:divsChild>
                </w:div>
                <w:div w:id="1104690071">
                  <w:marLeft w:val="0"/>
                  <w:marRight w:val="0"/>
                  <w:marTop w:val="0"/>
                  <w:marBottom w:val="0"/>
                  <w:divBdr>
                    <w:top w:val="none" w:sz="0" w:space="0" w:color="auto"/>
                    <w:left w:val="none" w:sz="0" w:space="0" w:color="auto"/>
                    <w:bottom w:val="none" w:sz="0" w:space="0" w:color="auto"/>
                    <w:right w:val="none" w:sz="0" w:space="0" w:color="auto"/>
                  </w:divBdr>
                  <w:divsChild>
                    <w:div w:id="1731615478">
                      <w:marLeft w:val="0"/>
                      <w:marRight w:val="0"/>
                      <w:marTop w:val="0"/>
                      <w:marBottom w:val="0"/>
                      <w:divBdr>
                        <w:top w:val="none" w:sz="0" w:space="0" w:color="auto"/>
                        <w:left w:val="none" w:sz="0" w:space="0" w:color="auto"/>
                        <w:bottom w:val="none" w:sz="0" w:space="0" w:color="auto"/>
                        <w:right w:val="none" w:sz="0" w:space="0" w:color="auto"/>
                      </w:divBdr>
                    </w:div>
                  </w:divsChild>
                </w:div>
                <w:div w:id="1105033235">
                  <w:marLeft w:val="0"/>
                  <w:marRight w:val="0"/>
                  <w:marTop w:val="0"/>
                  <w:marBottom w:val="0"/>
                  <w:divBdr>
                    <w:top w:val="none" w:sz="0" w:space="0" w:color="auto"/>
                    <w:left w:val="none" w:sz="0" w:space="0" w:color="auto"/>
                    <w:bottom w:val="none" w:sz="0" w:space="0" w:color="auto"/>
                    <w:right w:val="none" w:sz="0" w:space="0" w:color="auto"/>
                  </w:divBdr>
                  <w:divsChild>
                    <w:div w:id="1084716532">
                      <w:marLeft w:val="0"/>
                      <w:marRight w:val="0"/>
                      <w:marTop w:val="0"/>
                      <w:marBottom w:val="0"/>
                      <w:divBdr>
                        <w:top w:val="none" w:sz="0" w:space="0" w:color="auto"/>
                        <w:left w:val="none" w:sz="0" w:space="0" w:color="auto"/>
                        <w:bottom w:val="none" w:sz="0" w:space="0" w:color="auto"/>
                        <w:right w:val="none" w:sz="0" w:space="0" w:color="auto"/>
                      </w:divBdr>
                    </w:div>
                  </w:divsChild>
                </w:div>
                <w:div w:id="1114012440">
                  <w:marLeft w:val="0"/>
                  <w:marRight w:val="0"/>
                  <w:marTop w:val="0"/>
                  <w:marBottom w:val="0"/>
                  <w:divBdr>
                    <w:top w:val="none" w:sz="0" w:space="0" w:color="auto"/>
                    <w:left w:val="none" w:sz="0" w:space="0" w:color="auto"/>
                    <w:bottom w:val="none" w:sz="0" w:space="0" w:color="auto"/>
                    <w:right w:val="none" w:sz="0" w:space="0" w:color="auto"/>
                  </w:divBdr>
                  <w:divsChild>
                    <w:div w:id="1220821468">
                      <w:marLeft w:val="0"/>
                      <w:marRight w:val="0"/>
                      <w:marTop w:val="0"/>
                      <w:marBottom w:val="0"/>
                      <w:divBdr>
                        <w:top w:val="none" w:sz="0" w:space="0" w:color="auto"/>
                        <w:left w:val="none" w:sz="0" w:space="0" w:color="auto"/>
                        <w:bottom w:val="none" w:sz="0" w:space="0" w:color="auto"/>
                        <w:right w:val="none" w:sz="0" w:space="0" w:color="auto"/>
                      </w:divBdr>
                    </w:div>
                  </w:divsChild>
                </w:div>
                <w:div w:id="1125001520">
                  <w:marLeft w:val="0"/>
                  <w:marRight w:val="0"/>
                  <w:marTop w:val="0"/>
                  <w:marBottom w:val="0"/>
                  <w:divBdr>
                    <w:top w:val="none" w:sz="0" w:space="0" w:color="auto"/>
                    <w:left w:val="none" w:sz="0" w:space="0" w:color="auto"/>
                    <w:bottom w:val="none" w:sz="0" w:space="0" w:color="auto"/>
                    <w:right w:val="none" w:sz="0" w:space="0" w:color="auto"/>
                  </w:divBdr>
                  <w:divsChild>
                    <w:div w:id="1269237135">
                      <w:marLeft w:val="0"/>
                      <w:marRight w:val="0"/>
                      <w:marTop w:val="0"/>
                      <w:marBottom w:val="0"/>
                      <w:divBdr>
                        <w:top w:val="none" w:sz="0" w:space="0" w:color="auto"/>
                        <w:left w:val="none" w:sz="0" w:space="0" w:color="auto"/>
                        <w:bottom w:val="none" w:sz="0" w:space="0" w:color="auto"/>
                        <w:right w:val="none" w:sz="0" w:space="0" w:color="auto"/>
                      </w:divBdr>
                    </w:div>
                  </w:divsChild>
                </w:div>
                <w:div w:id="1130057239">
                  <w:marLeft w:val="0"/>
                  <w:marRight w:val="0"/>
                  <w:marTop w:val="0"/>
                  <w:marBottom w:val="0"/>
                  <w:divBdr>
                    <w:top w:val="none" w:sz="0" w:space="0" w:color="auto"/>
                    <w:left w:val="none" w:sz="0" w:space="0" w:color="auto"/>
                    <w:bottom w:val="none" w:sz="0" w:space="0" w:color="auto"/>
                    <w:right w:val="none" w:sz="0" w:space="0" w:color="auto"/>
                  </w:divBdr>
                  <w:divsChild>
                    <w:div w:id="20865433">
                      <w:marLeft w:val="0"/>
                      <w:marRight w:val="0"/>
                      <w:marTop w:val="0"/>
                      <w:marBottom w:val="0"/>
                      <w:divBdr>
                        <w:top w:val="none" w:sz="0" w:space="0" w:color="auto"/>
                        <w:left w:val="none" w:sz="0" w:space="0" w:color="auto"/>
                        <w:bottom w:val="none" w:sz="0" w:space="0" w:color="auto"/>
                        <w:right w:val="none" w:sz="0" w:space="0" w:color="auto"/>
                      </w:divBdr>
                    </w:div>
                  </w:divsChild>
                </w:div>
                <w:div w:id="1130199030">
                  <w:marLeft w:val="0"/>
                  <w:marRight w:val="0"/>
                  <w:marTop w:val="0"/>
                  <w:marBottom w:val="0"/>
                  <w:divBdr>
                    <w:top w:val="none" w:sz="0" w:space="0" w:color="auto"/>
                    <w:left w:val="none" w:sz="0" w:space="0" w:color="auto"/>
                    <w:bottom w:val="none" w:sz="0" w:space="0" w:color="auto"/>
                    <w:right w:val="none" w:sz="0" w:space="0" w:color="auto"/>
                  </w:divBdr>
                  <w:divsChild>
                    <w:div w:id="1316566852">
                      <w:marLeft w:val="0"/>
                      <w:marRight w:val="0"/>
                      <w:marTop w:val="0"/>
                      <w:marBottom w:val="0"/>
                      <w:divBdr>
                        <w:top w:val="none" w:sz="0" w:space="0" w:color="auto"/>
                        <w:left w:val="none" w:sz="0" w:space="0" w:color="auto"/>
                        <w:bottom w:val="none" w:sz="0" w:space="0" w:color="auto"/>
                        <w:right w:val="none" w:sz="0" w:space="0" w:color="auto"/>
                      </w:divBdr>
                    </w:div>
                  </w:divsChild>
                </w:div>
                <w:div w:id="1130898038">
                  <w:marLeft w:val="0"/>
                  <w:marRight w:val="0"/>
                  <w:marTop w:val="0"/>
                  <w:marBottom w:val="0"/>
                  <w:divBdr>
                    <w:top w:val="none" w:sz="0" w:space="0" w:color="auto"/>
                    <w:left w:val="none" w:sz="0" w:space="0" w:color="auto"/>
                    <w:bottom w:val="none" w:sz="0" w:space="0" w:color="auto"/>
                    <w:right w:val="none" w:sz="0" w:space="0" w:color="auto"/>
                  </w:divBdr>
                  <w:divsChild>
                    <w:div w:id="229270150">
                      <w:marLeft w:val="0"/>
                      <w:marRight w:val="0"/>
                      <w:marTop w:val="0"/>
                      <w:marBottom w:val="0"/>
                      <w:divBdr>
                        <w:top w:val="none" w:sz="0" w:space="0" w:color="auto"/>
                        <w:left w:val="none" w:sz="0" w:space="0" w:color="auto"/>
                        <w:bottom w:val="none" w:sz="0" w:space="0" w:color="auto"/>
                        <w:right w:val="none" w:sz="0" w:space="0" w:color="auto"/>
                      </w:divBdr>
                    </w:div>
                  </w:divsChild>
                </w:div>
                <w:div w:id="1139616021">
                  <w:marLeft w:val="0"/>
                  <w:marRight w:val="0"/>
                  <w:marTop w:val="0"/>
                  <w:marBottom w:val="0"/>
                  <w:divBdr>
                    <w:top w:val="none" w:sz="0" w:space="0" w:color="auto"/>
                    <w:left w:val="none" w:sz="0" w:space="0" w:color="auto"/>
                    <w:bottom w:val="none" w:sz="0" w:space="0" w:color="auto"/>
                    <w:right w:val="none" w:sz="0" w:space="0" w:color="auto"/>
                  </w:divBdr>
                  <w:divsChild>
                    <w:div w:id="1959530952">
                      <w:marLeft w:val="0"/>
                      <w:marRight w:val="0"/>
                      <w:marTop w:val="0"/>
                      <w:marBottom w:val="0"/>
                      <w:divBdr>
                        <w:top w:val="none" w:sz="0" w:space="0" w:color="auto"/>
                        <w:left w:val="none" w:sz="0" w:space="0" w:color="auto"/>
                        <w:bottom w:val="none" w:sz="0" w:space="0" w:color="auto"/>
                        <w:right w:val="none" w:sz="0" w:space="0" w:color="auto"/>
                      </w:divBdr>
                    </w:div>
                  </w:divsChild>
                </w:div>
                <w:div w:id="1140610928">
                  <w:marLeft w:val="0"/>
                  <w:marRight w:val="0"/>
                  <w:marTop w:val="0"/>
                  <w:marBottom w:val="0"/>
                  <w:divBdr>
                    <w:top w:val="none" w:sz="0" w:space="0" w:color="auto"/>
                    <w:left w:val="none" w:sz="0" w:space="0" w:color="auto"/>
                    <w:bottom w:val="none" w:sz="0" w:space="0" w:color="auto"/>
                    <w:right w:val="none" w:sz="0" w:space="0" w:color="auto"/>
                  </w:divBdr>
                  <w:divsChild>
                    <w:div w:id="1267814724">
                      <w:marLeft w:val="0"/>
                      <w:marRight w:val="0"/>
                      <w:marTop w:val="0"/>
                      <w:marBottom w:val="0"/>
                      <w:divBdr>
                        <w:top w:val="none" w:sz="0" w:space="0" w:color="auto"/>
                        <w:left w:val="none" w:sz="0" w:space="0" w:color="auto"/>
                        <w:bottom w:val="none" w:sz="0" w:space="0" w:color="auto"/>
                        <w:right w:val="none" w:sz="0" w:space="0" w:color="auto"/>
                      </w:divBdr>
                    </w:div>
                  </w:divsChild>
                </w:div>
                <w:div w:id="1145665065">
                  <w:marLeft w:val="0"/>
                  <w:marRight w:val="0"/>
                  <w:marTop w:val="0"/>
                  <w:marBottom w:val="0"/>
                  <w:divBdr>
                    <w:top w:val="none" w:sz="0" w:space="0" w:color="auto"/>
                    <w:left w:val="none" w:sz="0" w:space="0" w:color="auto"/>
                    <w:bottom w:val="none" w:sz="0" w:space="0" w:color="auto"/>
                    <w:right w:val="none" w:sz="0" w:space="0" w:color="auto"/>
                  </w:divBdr>
                  <w:divsChild>
                    <w:div w:id="1718508819">
                      <w:marLeft w:val="0"/>
                      <w:marRight w:val="0"/>
                      <w:marTop w:val="0"/>
                      <w:marBottom w:val="0"/>
                      <w:divBdr>
                        <w:top w:val="none" w:sz="0" w:space="0" w:color="auto"/>
                        <w:left w:val="none" w:sz="0" w:space="0" w:color="auto"/>
                        <w:bottom w:val="none" w:sz="0" w:space="0" w:color="auto"/>
                        <w:right w:val="none" w:sz="0" w:space="0" w:color="auto"/>
                      </w:divBdr>
                    </w:div>
                  </w:divsChild>
                </w:div>
                <w:div w:id="1149636537">
                  <w:marLeft w:val="0"/>
                  <w:marRight w:val="0"/>
                  <w:marTop w:val="0"/>
                  <w:marBottom w:val="0"/>
                  <w:divBdr>
                    <w:top w:val="none" w:sz="0" w:space="0" w:color="auto"/>
                    <w:left w:val="none" w:sz="0" w:space="0" w:color="auto"/>
                    <w:bottom w:val="none" w:sz="0" w:space="0" w:color="auto"/>
                    <w:right w:val="none" w:sz="0" w:space="0" w:color="auto"/>
                  </w:divBdr>
                  <w:divsChild>
                    <w:div w:id="575750374">
                      <w:marLeft w:val="0"/>
                      <w:marRight w:val="0"/>
                      <w:marTop w:val="0"/>
                      <w:marBottom w:val="0"/>
                      <w:divBdr>
                        <w:top w:val="none" w:sz="0" w:space="0" w:color="auto"/>
                        <w:left w:val="none" w:sz="0" w:space="0" w:color="auto"/>
                        <w:bottom w:val="none" w:sz="0" w:space="0" w:color="auto"/>
                        <w:right w:val="none" w:sz="0" w:space="0" w:color="auto"/>
                      </w:divBdr>
                    </w:div>
                  </w:divsChild>
                </w:div>
                <w:div w:id="1152990491">
                  <w:marLeft w:val="0"/>
                  <w:marRight w:val="0"/>
                  <w:marTop w:val="0"/>
                  <w:marBottom w:val="0"/>
                  <w:divBdr>
                    <w:top w:val="none" w:sz="0" w:space="0" w:color="auto"/>
                    <w:left w:val="none" w:sz="0" w:space="0" w:color="auto"/>
                    <w:bottom w:val="none" w:sz="0" w:space="0" w:color="auto"/>
                    <w:right w:val="none" w:sz="0" w:space="0" w:color="auto"/>
                  </w:divBdr>
                  <w:divsChild>
                    <w:div w:id="1465343691">
                      <w:marLeft w:val="0"/>
                      <w:marRight w:val="0"/>
                      <w:marTop w:val="0"/>
                      <w:marBottom w:val="0"/>
                      <w:divBdr>
                        <w:top w:val="none" w:sz="0" w:space="0" w:color="auto"/>
                        <w:left w:val="none" w:sz="0" w:space="0" w:color="auto"/>
                        <w:bottom w:val="none" w:sz="0" w:space="0" w:color="auto"/>
                        <w:right w:val="none" w:sz="0" w:space="0" w:color="auto"/>
                      </w:divBdr>
                    </w:div>
                  </w:divsChild>
                </w:div>
                <w:div w:id="1162156197">
                  <w:marLeft w:val="0"/>
                  <w:marRight w:val="0"/>
                  <w:marTop w:val="0"/>
                  <w:marBottom w:val="0"/>
                  <w:divBdr>
                    <w:top w:val="none" w:sz="0" w:space="0" w:color="auto"/>
                    <w:left w:val="none" w:sz="0" w:space="0" w:color="auto"/>
                    <w:bottom w:val="none" w:sz="0" w:space="0" w:color="auto"/>
                    <w:right w:val="none" w:sz="0" w:space="0" w:color="auto"/>
                  </w:divBdr>
                  <w:divsChild>
                    <w:div w:id="211045453">
                      <w:marLeft w:val="0"/>
                      <w:marRight w:val="0"/>
                      <w:marTop w:val="0"/>
                      <w:marBottom w:val="0"/>
                      <w:divBdr>
                        <w:top w:val="none" w:sz="0" w:space="0" w:color="auto"/>
                        <w:left w:val="none" w:sz="0" w:space="0" w:color="auto"/>
                        <w:bottom w:val="none" w:sz="0" w:space="0" w:color="auto"/>
                        <w:right w:val="none" w:sz="0" w:space="0" w:color="auto"/>
                      </w:divBdr>
                    </w:div>
                  </w:divsChild>
                </w:div>
                <w:div w:id="1168403084">
                  <w:marLeft w:val="0"/>
                  <w:marRight w:val="0"/>
                  <w:marTop w:val="0"/>
                  <w:marBottom w:val="0"/>
                  <w:divBdr>
                    <w:top w:val="none" w:sz="0" w:space="0" w:color="auto"/>
                    <w:left w:val="none" w:sz="0" w:space="0" w:color="auto"/>
                    <w:bottom w:val="none" w:sz="0" w:space="0" w:color="auto"/>
                    <w:right w:val="none" w:sz="0" w:space="0" w:color="auto"/>
                  </w:divBdr>
                  <w:divsChild>
                    <w:div w:id="924607176">
                      <w:marLeft w:val="0"/>
                      <w:marRight w:val="0"/>
                      <w:marTop w:val="0"/>
                      <w:marBottom w:val="0"/>
                      <w:divBdr>
                        <w:top w:val="none" w:sz="0" w:space="0" w:color="auto"/>
                        <w:left w:val="none" w:sz="0" w:space="0" w:color="auto"/>
                        <w:bottom w:val="none" w:sz="0" w:space="0" w:color="auto"/>
                        <w:right w:val="none" w:sz="0" w:space="0" w:color="auto"/>
                      </w:divBdr>
                    </w:div>
                  </w:divsChild>
                </w:div>
                <w:div w:id="1172528966">
                  <w:marLeft w:val="0"/>
                  <w:marRight w:val="0"/>
                  <w:marTop w:val="0"/>
                  <w:marBottom w:val="0"/>
                  <w:divBdr>
                    <w:top w:val="none" w:sz="0" w:space="0" w:color="auto"/>
                    <w:left w:val="none" w:sz="0" w:space="0" w:color="auto"/>
                    <w:bottom w:val="none" w:sz="0" w:space="0" w:color="auto"/>
                    <w:right w:val="none" w:sz="0" w:space="0" w:color="auto"/>
                  </w:divBdr>
                  <w:divsChild>
                    <w:div w:id="147870067">
                      <w:marLeft w:val="0"/>
                      <w:marRight w:val="0"/>
                      <w:marTop w:val="0"/>
                      <w:marBottom w:val="0"/>
                      <w:divBdr>
                        <w:top w:val="none" w:sz="0" w:space="0" w:color="auto"/>
                        <w:left w:val="none" w:sz="0" w:space="0" w:color="auto"/>
                        <w:bottom w:val="none" w:sz="0" w:space="0" w:color="auto"/>
                        <w:right w:val="none" w:sz="0" w:space="0" w:color="auto"/>
                      </w:divBdr>
                    </w:div>
                  </w:divsChild>
                </w:div>
                <w:div w:id="1187258310">
                  <w:marLeft w:val="0"/>
                  <w:marRight w:val="0"/>
                  <w:marTop w:val="0"/>
                  <w:marBottom w:val="0"/>
                  <w:divBdr>
                    <w:top w:val="none" w:sz="0" w:space="0" w:color="auto"/>
                    <w:left w:val="none" w:sz="0" w:space="0" w:color="auto"/>
                    <w:bottom w:val="none" w:sz="0" w:space="0" w:color="auto"/>
                    <w:right w:val="none" w:sz="0" w:space="0" w:color="auto"/>
                  </w:divBdr>
                  <w:divsChild>
                    <w:div w:id="19406011">
                      <w:marLeft w:val="0"/>
                      <w:marRight w:val="0"/>
                      <w:marTop w:val="0"/>
                      <w:marBottom w:val="0"/>
                      <w:divBdr>
                        <w:top w:val="none" w:sz="0" w:space="0" w:color="auto"/>
                        <w:left w:val="none" w:sz="0" w:space="0" w:color="auto"/>
                        <w:bottom w:val="none" w:sz="0" w:space="0" w:color="auto"/>
                        <w:right w:val="none" w:sz="0" w:space="0" w:color="auto"/>
                      </w:divBdr>
                    </w:div>
                  </w:divsChild>
                </w:div>
                <w:div w:id="1192646927">
                  <w:marLeft w:val="0"/>
                  <w:marRight w:val="0"/>
                  <w:marTop w:val="0"/>
                  <w:marBottom w:val="0"/>
                  <w:divBdr>
                    <w:top w:val="none" w:sz="0" w:space="0" w:color="auto"/>
                    <w:left w:val="none" w:sz="0" w:space="0" w:color="auto"/>
                    <w:bottom w:val="none" w:sz="0" w:space="0" w:color="auto"/>
                    <w:right w:val="none" w:sz="0" w:space="0" w:color="auto"/>
                  </w:divBdr>
                  <w:divsChild>
                    <w:div w:id="828594010">
                      <w:marLeft w:val="0"/>
                      <w:marRight w:val="0"/>
                      <w:marTop w:val="0"/>
                      <w:marBottom w:val="0"/>
                      <w:divBdr>
                        <w:top w:val="none" w:sz="0" w:space="0" w:color="auto"/>
                        <w:left w:val="none" w:sz="0" w:space="0" w:color="auto"/>
                        <w:bottom w:val="none" w:sz="0" w:space="0" w:color="auto"/>
                        <w:right w:val="none" w:sz="0" w:space="0" w:color="auto"/>
                      </w:divBdr>
                    </w:div>
                  </w:divsChild>
                </w:div>
                <w:div w:id="1194264556">
                  <w:marLeft w:val="0"/>
                  <w:marRight w:val="0"/>
                  <w:marTop w:val="0"/>
                  <w:marBottom w:val="0"/>
                  <w:divBdr>
                    <w:top w:val="none" w:sz="0" w:space="0" w:color="auto"/>
                    <w:left w:val="none" w:sz="0" w:space="0" w:color="auto"/>
                    <w:bottom w:val="none" w:sz="0" w:space="0" w:color="auto"/>
                    <w:right w:val="none" w:sz="0" w:space="0" w:color="auto"/>
                  </w:divBdr>
                  <w:divsChild>
                    <w:div w:id="1426075433">
                      <w:marLeft w:val="0"/>
                      <w:marRight w:val="0"/>
                      <w:marTop w:val="0"/>
                      <w:marBottom w:val="0"/>
                      <w:divBdr>
                        <w:top w:val="none" w:sz="0" w:space="0" w:color="auto"/>
                        <w:left w:val="none" w:sz="0" w:space="0" w:color="auto"/>
                        <w:bottom w:val="none" w:sz="0" w:space="0" w:color="auto"/>
                        <w:right w:val="none" w:sz="0" w:space="0" w:color="auto"/>
                      </w:divBdr>
                    </w:div>
                  </w:divsChild>
                </w:div>
                <w:div w:id="1194270801">
                  <w:marLeft w:val="0"/>
                  <w:marRight w:val="0"/>
                  <w:marTop w:val="0"/>
                  <w:marBottom w:val="0"/>
                  <w:divBdr>
                    <w:top w:val="none" w:sz="0" w:space="0" w:color="auto"/>
                    <w:left w:val="none" w:sz="0" w:space="0" w:color="auto"/>
                    <w:bottom w:val="none" w:sz="0" w:space="0" w:color="auto"/>
                    <w:right w:val="none" w:sz="0" w:space="0" w:color="auto"/>
                  </w:divBdr>
                  <w:divsChild>
                    <w:div w:id="614681220">
                      <w:marLeft w:val="0"/>
                      <w:marRight w:val="0"/>
                      <w:marTop w:val="0"/>
                      <w:marBottom w:val="0"/>
                      <w:divBdr>
                        <w:top w:val="none" w:sz="0" w:space="0" w:color="auto"/>
                        <w:left w:val="none" w:sz="0" w:space="0" w:color="auto"/>
                        <w:bottom w:val="none" w:sz="0" w:space="0" w:color="auto"/>
                        <w:right w:val="none" w:sz="0" w:space="0" w:color="auto"/>
                      </w:divBdr>
                    </w:div>
                  </w:divsChild>
                </w:div>
                <w:div w:id="1198156259">
                  <w:marLeft w:val="0"/>
                  <w:marRight w:val="0"/>
                  <w:marTop w:val="0"/>
                  <w:marBottom w:val="0"/>
                  <w:divBdr>
                    <w:top w:val="none" w:sz="0" w:space="0" w:color="auto"/>
                    <w:left w:val="none" w:sz="0" w:space="0" w:color="auto"/>
                    <w:bottom w:val="none" w:sz="0" w:space="0" w:color="auto"/>
                    <w:right w:val="none" w:sz="0" w:space="0" w:color="auto"/>
                  </w:divBdr>
                  <w:divsChild>
                    <w:div w:id="1923291667">
                      <w:marLeft w:val="0"/>
                      <w:marRight w:val="0"/>
                      <w:marTop w:val="0"/>
                      <w:marBottom w:val="0"/>
                      <w:divBdr>
                        <w:top w:val="none" w:sz="0" w:space="0" w:color="auto"/>
                        <w:left w:val="none" w:sz="0" w:space="0" w:color="auto"/>
                        <w:bottom w:val="none" w:sz="0" w:space="0" w:color="auto"/>
                        <w:right w:val="none" w:sz="0" w:space="0" w:color="auto"/>
                      </w:divBdr>
                    </w:div>
                  </w:divsChild>
                </w:div>
                <w:div w:id="1206913834">
                  <w:marLeft w:val="0"/>
                  <w:marRight w:val="0"/>
                  <w:marTop w:val="0"/>
                  <w:marBottom w:val="0"/>
                  <w:divBdr>
                    <w:top w:val="none" w:sz="0" w:space="0" w:color="auto"/>
                    <w:left w:val="none" w:sz="0" w:space="0" w:color="auto"/>
                    <w:bottom w:val="none" w:sz="0" w:space="0" w:color="auto"/>
                    <w:right w:val="none" w:sz="0" w:space="0" w:color="auto"/>
                  </w:divBdr>
                  <w:divsChild>
                    <w:div w:id="1469400084">
                      <w:marLeft w:val="0"/>
                      <w:marRight w:val="0"/>
                      <w:marTop w:val="0"/>
                      <w:marBottom w:val="0"/>
                      <w:divBdr>
                        <w:top w:val="none" w:sz="0" w:space="0" w:color="auto"/>
                        <w:left w:val="none" w:sz="0" w:space="0" w:color="auto"/>
                        <w:bottom w:val="none" w:sz="0" w:space="0" w:color="auto"/>
                        <w:right w:val="none" w:sz="0" w:space="0" w:color="auto"/>
                      </w:divBdr>
                    </w:div>
                  </w:divsChild>
                </w:div>
                <w:div w:id="1207179137">
                  <w:marLeft w:val="0"/>
                  <w:marRight w:val="0"/>
                  <w:marTop w:val="0"/>
                  <w:marBottom w:val="0"/>
                  <w:divBdr>
                    <w:top w:val="none" w:sz="0" w:space="0" w:color="auto"/>
                    <w:left w:val="none" w:sz="0" w:space="0" w:color="auto"/>
                    <w:bottom w:val="none" w:sz="0" w:space="0" w:color="auto"/>
                    <w:right w:val="none" w:sz="0" w:space="0" w:color="auto"/>
                  </w:divBdr>
                  <w:divsChild>
                    <w:div w:id="726880153">
                      <w:marLeft w:val="0"/>
                      <w:marRight w:val="0"/>
                      <w:marTop w:val="0"/>
                      <w:marBottom w:val="0"/>
                      <w:divBdr>
                        <w:top w:val="none" w:sz="0" w:space="0" w:color="auto"/>
                        <w:left w:val="none" w:sz="0" w:space="0" w:color="auto"/>
                        <w:bottom w:val="none" w:sz="0" w:space="0" w:color="auto"/>
                        <w:right w:val="none" w:sz="0" w:space="0" w:color="auto"/>
                      </w:divBdr>
                    </w:div>
                  </w:divsChild>
                </w:div>
                <w:div w:id="1216893782">
                  <w:marLeft w:val="0"/>
                  <w:marRight w:val="0"/>
                  <w:marTop w:val="0"/>
                  <w:marBottom w:val="0"/>
                  <w:divBdr>
                    <w:top w:val="none" w:sz="0" w:space="0" w:color="auto"/>
                    <w:left w:val="none" w:sz="0" w:space="0" w:color="auto"/>
                    <w:bottom w:val="none" w:sz="0" w:space="0" w:color="auto"/>
                    <w:right w:val="none" w:sz="0" w:space="0" w:color="auto"/>
                  </w:divBdr>
                  <w:divsChild>
                    <w:div w:id="625552245">
                      <w:marLeft w:val="0"/>
                      <w:marRight w:val="0"/>
                      <w:marTop w:val="0"/>
                      <w:marBottom w:val="0"/>
                      <w:divBdr>
                        <w:top w:val="none" w:sz="0" w:space="0" w:color="auto"/>
                        <w:left w:val="none" w:sz="0" w:space="0" w:color="auto"/>
                        <w:bottom w:val="none" w:sz="0" w:space="0" w:color="auto"/>
                        <w:right w:val="none" w:sz="0" w:space="0" w:color="auto"/>
                      </w:divBdr>
                    </w:div>
                  </w:divsChild>
                </w:div>
                <w:div w:id="1219979210">
                  <w:marLeft w:val="0"/>
                  <w:marRight w:val="0"/>
                  <w:marTop w:val="0"/>
                  <w:marBottom w:val="0"/>
                  <w:divBdr>
                    <w:top w:val="none" w:sz="0" w:space="0" w:color="auto"/>
                    <w:left w:val="none" w:sz="0" w:space="0" w:color="auto"/>
                    <w:bottom w:val="none" w:sz="0" w:space="0" w:color="auto"/>
                    <w:right w:val="none" w:sz="0" w:space="0" w:color="auto"/>
                  </w:divBdr>
                  <w:divsChild>
                    <w:div w:id="539708036">
                      <w:marLeft w:val="0"/>
                      <w:marRight w:val="0"/>
                      <w:marTop w:val="0"/>
                      <w:marBottom w:val="0"/>
                      <w:divBdr>
                        <w:top w:val="none" w:sz="0" w:space="0" w:color="auto"/>
                        <w:left w:val="none" w:sz="0" w:space="0" w:color="auto"/>
                        <w:bottom w:val="none" w:sz="0" w:space="0" w:color="auto"/>
                        <w:right w:val="none" w:sz="0" w:space="0" w:color="auto"/>
                      </w:divBdr>
                    </w:div>
                  </w:divsChild>
                </w:div>
                <w:div w:id="1223760574">
                  <w:marLeft w:val="0"/>
                  <w:marRight w:val="0"/>
                  <w:marTop w:val="0"/>
                  <w:marBottom w:val="0"/>
                  <w:divBdr>
                    <w:top w:val="none" w:sz="0" w:space="0" w:color="auto"/>
                    <w:left w:val="none" w:sz="0" w:space="0" w:color="auto"/>
                    <w:bottom w:val="none" w:sz="0" w:space="0" w:color="auto"/>
                    <w:right w:val="none" w:sz="0" w:space="0" w:color="auto"/>
                  </w:divBdr>
                  <w:divsChild>
                    <w:div w:id="52896575">
                      <w:marLeft w:val="0"/>
                      <w:marRight w:val="0"/>
                      <w:marTop w:val="0"/>
                      <w:marBottom w:val="0"/>
                      <w:divBdr>
                        <w:top w:val="none" w:sz="0" w:space="0" w:color="auto"/>
                        <w:left w:val="none" w:sz="0" w:space="0" w:color="auto"/>
                        <w:bottom w:val="none" w:sz="0" w:space="0" w:color="auto"/>
                        <w:right w:val="none" w:sz="0" w:space="0" w:color="auto"/>
                      </w:divBdr>
                    </w:div>
                  </w:divsChild>
                </w:div>
                <w:div w:id="1229419092">
                  <w:marLeft w:val="0"/>
                  <w:marRight w:val="0"/>
                  <w:marTop w:val="0"/>
                  <w:marBottom w:val="0"/>
                  <w:divBdr>
                    <w:top w:val="none" w:sz="0" w:space="0" w:color="auto"/>
                    <w:left w:val="none" w:sz="0" w:space="0" w:color="auto"/>
                    <w:bottom w:val="none" w:sz="0" w:space="0" w:color="auto"/>
                    <w:right w:val="none" w:sz="0" w:space="0" w:color="auto"/>
                  </w:divBdr>
                  <w:divsChild>
                    <w:div w:id="1575121453">
                      <w:marLeft w:val="0"/>
                      <w:marRight w:val="0"/>
                      <w:marTop w:val="0"/>
                      <w:marBottom w:val="0"/>
                      <w:divBdr>
                        <w:top w:val="none" w:sz="0" w:space="0" w:color="auto"/>
                        <w:left w:val="none" w:sz="0" w:space="0" w:color="auto"/>
                        <w:bottom w:val="none" w:sz="0" w:space="0" w:color="auto"/>
                        <w:right w:val="none" w:sz="0" w:space="0" w:color="auto"/>
                      </w:divBdr>
                    </w:div>
                  </w:divsChild>
                </w:div>
                <w:div w:id="1230772949">
                  <w:marLeft w:val="0"/>
                  <w:marRight w:val="0"/>
                  <w:marTop w:val="0"/>
                  <w:marBottom w:val="0"/>
                  <w:divBdr>
                    <w:top w:val="none" w:sz="0" w:space="0" w:color="auto"/>
                    <w:left w:val="none" w:sz="0" w:space="0" w:color="auto"/>
                    <w:bottom w:val="none" w:sz="0" w:space="0" w:color="auto"/>
                    <w:right w:val="none" w:sz="0" w:space="0" w:color="auto"/>
                  </w:divBdr>
                  <w:divsChild>
                    <w:div w:id="266475223">
                      <w:marLeft w:val="0"/>
                      <w:marRight w:val="0"/>
                      <w:marTop w:val="0"/>
                      <w:marBottom w:val="0"/>
                      <w:divBdr>
                        <w:top w:val="none" w:sz="0" w:space="0" w:color="auto"/>
                        <w:left w:val="none" w:sz="0" w:space="0" w:color="auto"/>
                        <w:bottom w:val="none" w:sz="0" w:space="0" w:color="auto"/>
                        <w:right w:val="none" w:sz="0" w:space="0" w:color="auto"/>
                      </w:divBdr>
                    </w:div>
                  </w:divsChild>
                </w:div>
                <w:div w:id="1232539367">
                  <w:marLeft w:val="0"/>
                  <w:marRight w:val="0"/>
                  <w:marTop w:val="0"/>
                  <w:marBottom w:val="0"/>
                  <w:divBdr>
                    <w:top w:val="none" w:sz="0" w:space="0" w:color="auto"/>
                    <w:left w:val="none" w:sz="0" w:space="0" w:color="auto"/>
                    <w:bottom w:val="none" w:sz="0" w:space="0" w:color="auto"/>
                    <w:right w:val="none" w:sz="0" w:space="0" w:color="auto"/>
                  </w:divBdr>
                  <w:divsChild>
                    <w:div w:id="1887401524">
                      <w:marLeft w:val="0"/>
                      <w:marRight w:val="0"/>
                      <w:marTop w:val="0"/>
                      <w:marBottom w:val="0"/>
                      <w:divBdr>
                        <w:top w:val="none" w:sz="0" w:space="0" w:color="auto"/>
                        <w:left w:val="none" w:sz="0" w:space="0" w:color="auto"/>
                        <w:bottom w:val="none" w:sz="0" w:space="0" w:color="auto"/>
                        <w:right w:val="none" w:sz="0" w:space="0" w:color="auto"/>
                      </w:divBdr>
                    </w:div>
                  </w:divsChild>
                </w:div>
                <w:div w:id="1235893080">
                  <w:marLeft w:val="0"/>
                  <w:marRight w:val="0"/>
                  <w:marTop w:val="0"/>
                  <w:marBottom w:val="0"/>
                  <w:divBdr>
                    <w:top w:val="none" w:sz="0" w:space="0" w:color="auto"/>
                    <w:left w:val="none" w:sz="0" w:space="0" w:color="auto"/>
                    <w:bottom w:val="none" w:sz="0" w:space="0" w:color="auto"/>
                    <w:right w:val="none" w:sz="0" w:space="0" w:color="auto"/>
                  </w:divBdr>
                  <w:divsChild>
                    <w:div w:id="1683586546">
                      <w:marLeft w:val="0"/>
                      <w:marRight w:val="0"/>
                      <w:marTop w:val="0"/>
                      <w:marBottom w:val="0"/>
                      <w:divBdr>
                        <w:top w:val="none" w:sz="0" w:space="0" w:color="auto"/>
                        <w:left w:val="none" w:sz="0" w:space="0" w:color="auto"/>
                        <w:bottom w:val="none" w:sz="0" w:space="0" w:color="auto"/>
                        <w:right w:val="none" w:sz="0" w:space="0" w:color="auto"/>
                      </w:divBdr>
                    </w:div>
                  </w:divsChild>
                </w:div>
                <w:div w:id="1247154109">
                  <w:marLeft w:val="0"/>
                  <w:marRight w:val="0"/>
                  <w:marTop w:val="0"/>
                  <w:marBottom w:val="0"/>
                  <w:divBdr>
                    <w:top w:val="none" w:sz="0" w:space="0" w:color="auto"/>
                    <w:left w:val="none" w:sz="0" w:space="0" w:color="auto"/>
                    <w:bottom w:val="none" w:sz="0" w:space="0" w:color="auto"/>
                    <w:right w:val="none" w:sz="0" w:space="0" w:color="auto"/>
                  </w:divBdr>
                  <w:divsChild>
                    <w:div w:id="586307625">
                      <w:marLeft w:val="0"/>
                      <w:marRight w:val="0"/>
                      <w:marTop w:val="0"/>
                      <w:marBottom w:val="0"/>
                      <w:divBdr>
                        <w:top w:val="none" w:sz="0" w:space="0" w:color="auto"/>
                        <w:left w:val="none" w:sz="0" w:space="0" w:color="auto"/>
                        <w:bottom w:val="none" w:sz="0" w:space="0" w:color="auto"/>
                        <w:right w:val="none" w:sz="0" w:space="0" w:color="auto"/>
                      </w:divBdr>
                    </w:div>
                  </w:divsChild>
                </w:div>
                <w:div w:id="1248274245">
                  <w:marLeft w:val="0"/>
                  <w:marRight w:val="0"/>
                  <w:marTop w:val="0"/>
                  <w:marBottom w:val="0"/>
                  <w:divBdr>
                    <w:top w:val="none" w:sz="0" w:space="0" w:color="auto"/>
                    <w:left w:val="none" w:sz="0" w:space="0" w:color="auto"/>
                    <w:bottom w:val="none" w:sz="0" w:space="0" w:color="auto"/>
                    <w:right w:val="none" w:sz="0" w:space="0" w:color="auto"/>
                  </w:divBdr>
                  <w:divsChild>
                    <w:div w:id="2072075052">
                      <w:marLeft w:val="0"/>
                      <w:marRight w:val="0"/>
                      <w:marTop w:val="0"/>
                      <w:marBottom w:val="0"/>
                      <w:divBdr>
                        <w:top w:val="none" w:sz="0" w:space="0" w:color="auto"/>
                        <w:left w:val="none" w:sz="0" w:space="0" w:color="auto"/>
                        <w:bottom w:val="none" w:sz="0" w:space="0" w:color="auto"/>
                        <w:right w:val="none" w:sz="0" w:space="0" w:color="auto"/>
                      </w:divBdr>
                    </w:div>
                  </w:divsChild>
                </w:div>
                <w:div w:id="1249080466">
                  <w:marLeft w:val="0"/>
                  <w:marRight w:val="0"/>
                  <w:marTop w:val="0"/>
                  <w:marBottom w:val="0"/>
                  <w:divBdr>
                    <w:top w:val="none" w:sz="0" w:space="0" w:color="auto"/>
                    <w:left w:val="none" w:sz="0" w:space="0" w:color="auto"/>
                    <w:bottom w:val="none" w:sz="0" w:space="0" w:color="auto"/>
                    <w:right w:val="none" w:sz="0" w:space="0" w:color="auto"/>
                  </w:divBdr>
                  <w:divsChild>
                    <w:div w:id="427889924">
                      <w:marLeft w:val="0"/>
                      <w:marRight w:val="0"/>
                      <w:marTop w:val="0"/>
                      <w:marBottom w:val="0"/>
                      <w:divBdr>
                        <w:top w:val="none" w:sz="0" w:space="0" w:color="auto"/>
                        <w:left w:val="none" w:sz="0" w:space="0" w:color="auto"/>
                        <w:bottom w:val="none" w:sz="0" w:space="0" w:color="auto"/>
                        <w:right w:val="none" w:sz="0" w:space="0" w:color="auto"/>
                      </w:divBdr>
                    </w:div>
                  </w:divsChild>
                </w:div>
                <w:div w:id="1256288311">
                  <w:marLeft w:val="0"/>
                  <w:marRight w:val="0"/>
                  <w:marTop w:val="0"/>
                  <w:marBottom w:val="0"/>
                  <w:divBdr>
                    <w:top w:val="none" w:sz="0" w:space="0" w:color="auto"/>
                    <w:left w:val="none" w:sz="0" w:space="0" w:color="auto"/>
                    <w:bottom w:val="none" w:sz="0" w:space="0" w:color="auto"/>
                    <w:right w:val="none" w:sz="0" w:space="0" w:color="auto"/>
                  </w:divBdr>
                  <w:divsChild>
                    <w:div w:id="739720235">
                      <w:marLeft w:val="0"/>
                      <w:marRight w:val="0"/>
                      <w:marTop w:val="0"/>
                      <w:marBottom w:val="0"/>
                      <w:divBdr>
                        <w:top w:val="none" w:sz="0" w:space="0" w:color="auto"/>
                        <w:left w:val="none" w:sz="0" w:space="0" w:color="auto"/>
                        <w:bottom w:val="none" w:sz="0" w:space="0" w:color="auto"/>
                        <w:right w:val="none" w:sz="0" w:space="0" w:color="auto"/>
                      </w:divBdr>
                    </w:div>
                  </w:divsChild>
                </w:div>
                <w:div w:id="1260681214">
                  <w:marLeft w:val="0"/>
                  <w:marRight w:val="0"/>
                  <w:marTop w:val="0"/>
                  <w:marBottom w:val="0"/>
                  <w:divBdr>
                    <w:top w:val="none" w:sz="0" w:space="0" w:color="auto"/>
                    <w:left w:val="none" w:sz="0" w:space="0" w:color="auto"/>
                    <w:bottom w:val="none" w:sz="0" w:space="0" w:color="auto"/>
                    <w:right w:val="none" w:sz="0" w:space="0" w:color="auto"/>
                  </w:divBdr>
                  <w:divsChild>
                    <w:div w:id="85227564">
                      <w:marLeft w:val="0"/>
                      <w:marRight w:val="0"/>
                      <w:marTop w:val="0"/>
                      <w:marBottom w:val="0"/>
                      <w:divBdr>
                        <w:top w:val="none" w:sz="0" w:space="0" w:color="auto"/>
                        <w:left w:val="none" w:sz="0" w:space="0" w:color="auto"/>
                        <w:bottom w:val="none" w:sz="0" w:space="0" w:color="auto"/>
                        <w:right w:val="none" w:sz="0" w:space="0" w:color="auto"/>
                      </w:divBdr>
                    </w:div>
                  </w:divsChild>
                </w:div>
                <w:div w:id="1268973866">
                  <w:marLeft w:val="0"/>
                  <w:marRight w:val="0"/>
                  <w:marTop w:val="0"/>
                  <w:marBottom w:val="0"/>
                  <w:divBdr>
                    <w:top w:val="none" w:sz="0" w:space="0" w:color="auto"/>
                    <w:left w:val="none" w:sz="0" w:space="0" w:color="auto"/>
                    <w:bottom w:val="none" w:sz="0" w:space="0" w:color="auto"/>
                    <w:right w:val="none" w:sz="0" w:space="0" w:color="auto"/>
                  </w:divBdr>
                  <w:divsChild>
                    <w:div w:id="1701319356">
                      <w:marLeft w:val="0"/>
                      <w:marRight w:val="0"/>
                      <w:marTop w:val="0"/>
                      <w:marBottom w:val="0"/>
                      <w:divBdr>
                        <w:top w:val="none" w:sz="0" w:space="0" w:color="auto"/>
                        <w:left w:val="none" w:sz="0" w:space="0" w:color="auto"/>
                        <w:bottom w:val="none" w:sz="0" w:space="0" w:color="auto"/>
                        <w:right w:val="none" w:sz="0" w:space="0" w:color="auto"/>
                      </w:divBdr>
                    </w:div>
                  </w:divsChild>
                </w:div>
                <w:div w:id="1269241307">
                  <w:marLeft w:val="0"/>
                  <w:marRight w:val="0"/>
                  <w:marTop w:val="0"/>
                  <w:marBottom w:val="0"/>
                  <w:divBdr>
                    <w:top w:val="none" w:sz="0" w:space="0" w:color="auto"/>
                    <w:left w:val="none" w:sz="0" w:space="0" w:color="auto"/>
                    <w:bottom w:val="none" w:sz="0" w:space="0" w:color="auto"/>
                    <w:right w:val="none" w:sz="0" w:space="0" w:color="auto"/>
                  </w:divBdr>
                  <w:divsChild>
                    <w:div w:id="2018313328">
                      <w:marLeft w:val="0"/>
                      <w:marRight w:val="0"/>
                      <w:marTop w:val="0"/>
                      <w:marBottom w:val="0"/>
                      <w:divBdr>
                        <w:top w:val="none" w:sz="0" w:space="0" w:color="auto"/>
                        <w:left w:val="none" w:sz="0" w:space="0" w:color="auto"/>
                        <w:bottom w:val="none" w:sz="0" w:space="0" w:color="auto"/>
                        <w:right w:val="none" w:sz="0" w:space="0" w:color="auto"/>
                      </w:divBdr>
                    </w:div>
                  </w:divsChild>
                </w:div>
                <w:div w:id="1276987891">
                  <w:marLeft w:val="0"/>
                  <w:marRight w:val="0"/>
                  <w:marTop w:val="0"/>
                  <w:marBottom w:val="0"/>
                  <w:divBdr>
                    <w:top w:val="none" w:sz="0" w:space="0" w:color="auto"/>
                    <w:left w:val="none" w:sz="0" w:space="0" w:color="auto"/>
                    <w:bottom w:val="none" w:sz="0" w:space="0" w:color="auto"/>
                    <w:right w:val="none" w:sz="0" w:space="0" w:color="auto"/>
                  </w:divBdr>
                  <w:divsChild>
                    <w:div w:id="1952126956">
                      <w:marLeft w:val="0"/>
                      <w:marRight w:val="0"/>
                      <w:marTop w:val="0"/>
                      <w:marBottom w:val="0"/>
                      <w:divBdr>
                        <w:top w:val="none" w:sz="0" w:space="0" w:color="auto"/>
                        <w:left w:val="none" w:sz="0" w:space="0" w:color="auto"/>
                        <w:bottom w:val="none" w:sz="0" w:space="0" w:color="auto"/>
                        <w:right w:val="none" w:sz="0" w:space="0" w:color="auto"/>
                      </w:divBdr>
                    </w:div>
                  </w:divsChild>
                </w:div>
                <w:div w:id="1279141739">
                  <w:marLeft w:val="0"/>
                  <w:marRight w:val="0"/>
                  <w:marTop w:val="0"/>
                  <w:marBottom w:val="0"/>
                  <w:divBdr>
                    <w:top w:val="none" w:sz="0" w:space="0" w:color="auto"/>
                    <w:left w:val="none" w:sz="0" w:space="0" w:color="auto"/>
                    <w:bottom w:val="none" w:sz="0" w:space="0" w:color="auto"/>
                    <w:right w:val="none" w:sz="0" w:space="0" w:color="auto"/>
                  </w:divBdr>
                  <w:divsChild>
                    <w:div w:id="1635865945">
                      <w:marLeft w:val="0"/>
                      <w:marRight w:val="0"/>
                      <w:marTop w:val="0"/>
                      <w:marBottom w:val="0"/>
                      <w:divBdr>
                        <w:top w:val="none" w:sz="0" w:space="0" w:color="auto"/>
                        <w:left w:val="none" w:sz="0" w:space="0" w:color="auto"/>
                        <w:bottom w:val="none" w:sz="0" w:space="0" w:color="auto"/>
                        <w:right w:val="none" w:sz="0" w:space="0" w:color="auto"/>
                      </w:divBdr>
                    </w:div>
                  </w:divsChild>
                </w:div>
                <w:div w:id="1282300771">
                  <w:marLeft w:val="0"/>
                  <w:marRight w:val="0"/>
                  <w:marTop w:val="0"/>
                  <w:marBottom w:val="0"/>
                  <w:divBdr>
                    <w:top w:val="none" w:sz="0" w:space="0" w:color="auto"/>
                    <w:left w:val="none" w:sz="0" w:space="0" w:color="auto"/>
                    <w:bottom w:val="none" w:sz="0" w:space="0" w:color="auto"/>
                    <w:right w:val="none" w:sz="0" w:space="0" w:color="auto"/>
                  </w:divBdr>
                  <w:divsChild>
                    <w:div w:id="1721899345">
                      <w:marLeft w:val="0"/>
                      <w:marRight w:val="0"/>
                      <w:marTop w:val="0"/>
                      <w:marBottom w:val="0"/>
                      <w:divBdr>
                        <w:top w:val="none" w:sz="0" w:space="0" w:color="auto"/>
                        <w:left w:val="none" w:sz="0" w:space="0" w:color="auto"/>
                        <w:bottom w:val="none" w:sz="0" w:space="0" w:color="auto"/>
                        <w:right w:val="none" w:sz="0" w:space="0" w:color="auto"/>
                      </w:divBdr>
                    </w:div>
                  </w:divsChild>
                </w:div>
                <w:div w:id="1282884525">
                  <w:marLeft w:val="0"/>
                  <w:marRight w:val="0"/>
                  <w:marTop w:val="0"/>
                  <w:marBottom w:val="0"/>
                  <w:divBdr>
                    <w:top w:val="none" w:sz="0" w:space="0" w:color="auto"/>
                    <w:left w:val="none" w:sz="0" w:space="0" w:color="auto"/>
                    <w:bottom w:val="none" w:sz="0" w:space="0" w:color="auto"/>
                    <w:right w:val="none" w:sz="0" w:space="0" w:color="auto"/>
                  </w:divBdr>
                  <w:divsChild>
                    <w:div w:id="748430881">
                      <w:marLeft w:val="0"/>
                      <w:marRight w:val="0"/>
                      <w:marTop w:val="0"/>
                      <w:marBottom w:val="0"/>
                      <w:divBdr>
                        <w:top w:val="none" w:sz="0" w:space="0" w:color="auto"/>
                        <w:left w:val="none" w:sz="0" w:space="0" w:color="auto"/>
                        <w:bottom w:val="none" w:sz="0" w:space="0" w:color="auto"/>
                        <w:right w:val="none" w:sz="0" w:space="0" w:color="auto"/>
                      </w:divBdr>
                    </w:div>
                  </w:divsChild>
                </w:div>
                <w:div w:id="1296712742">
                  <w:marLeft w:val="0"/>
                  <w:marRight w:val="0"/>
                  <w:marTop w:val="0"/>
                  <w:marBottom w:val="0"/>
                  <w:divBdr>
                    <w:top w:val="none" w:sz="0" w:space="0" w:color="auto"/>
                    <w:left w:val="none" w:sz="0" w:space="0" w:color="auto"/>
                    <w:bottom w:val="none" w:sz="0" w:space="0" w:color="auto"/>
                    <w:right w:val="none" w:sz="0" w:space="0" w:color="auto"/>
                  </w:divBdr>
                  <w:divsChild>
                    <w:div w:id="134488252">
                      <w:marLeft w:val="0"/>
                      <w:marRight w:val="0"/>
                      <w:marTop w:val="0"/>
                      <w:marBottom w:val="0"/>
                      <w:divBdr>
                        <w:top w:val="none" w:sz="0" w:space="0" w:color="auto"/>
                        <w:left w:val="none" w:sz="0" w:space="0" w:color="auto"/>
                        <w:bottom w:val="none" w:sz="0" w:space="0" w:color="auto"/>
                        <w:right w:val="none" w:sz="0" w:space="0" w:color="auto"/>
                      </w:divBdr>
                    </w:div>
                  </w:divsChild>
                </w:div>
                <w:div w:id="1297104351">
                  <w:marLeft w:val="0"/>
                  <w:marRight w:val="0"/>
                  <w:marTop w:val="0"/>
                  <w:marBottom w:val="0"/>
                  <w:divBdr>
                    <w:top w:val="none" w:sz="0" w:space="0" w:color="auto"/>
                    <w:left w:val="none" w:sz="0" w:space="0" w:color="auto"/>
                    <w:bottom w:val="none" w:sz="0" w:space="0" w:color="auto"/>
                    <w:right w:val="none" w:sz="0" w:space="0" w:color="auto"/>
                  </w:divBdr>
                  <w:divsChild>
                    <w:div w:id="769280681">
                      <w:marLeft w:val="0"/>
                      <w:marRight w:val="0"/>
                      <w:marTop w:val="0"/>
                      <w:marBottom w:val="0"/>
                      <w:divBdr>
                        <w:top w:val="none" w:sz="0" w:space="0" w:color="auto"/>
                        <w:left w:val="none" w:sz="0" w:space="0" w:color="auto"/>
                        <w:bottom w:val="none" w:sz="0" w:space="0" w:color="auto"/>
                        <w:right w:val="none" w:sz="0" w:space="0" w:color="auto"/>
                      </w:divBdr>
                    </w:div>
                  </w:divsChild>
                </w:div>
                <w:div w:id="1306617519">
                  <w:marLeft w:val="0"/>
                  <w:marRight w:val="0"/>
                  <w:marTop w:val="0"/>
                  <w:marBottom w:val="0"/>
                  <w:divBdr>
                    <w:top w:val="none" w:sz="0" w:space="0" w:color="auto"/>
                    <w:left w:val="none" w:sz="0" w:space="0" w:color="auto"/>
                    <w:bottom w:val="none" w:sz="0" w:space="0" w:color="auto"/>
                    <w:right w:val="none" w:sz="0" w:space="0" w:color="auto"/>
                  </w:divBdr>
                  <w:divsChild>
                    <w:div w:id="761492006">
                      <w:marLeft w:val="0"/>
                      <w:marRight w:val="0"/>
                      <w:marTop w:val="0"/>
                      <w:marBottom w:val="0"/>
                      <w:divBdr>
                        <w:top w:val="none" w:sz="0" w:space="0" w:color="auto"/>
                        <w:left w:val="none" w:sz="0" w:space="0" w:color="auto"/>
                        <w:bottom w:val="none" w:sz="0" w:space="0" w:color="auto"/>
                        <w:right w:val="none" w:sz="0" w:space="0" w:color="auto"/>
                      </w:divBdr>
                    </w:div>
                  </w:divsChild>
                </w:div>
                <w:div w:id="1307777344">
                  <w:marLeft w:val="0"/>
                  <w:marRight w:val="0"/>
                  <w:marTop w:val="0"/>
                  <w:marBottom w:val="0"/>
                  <w:divBdr>
                    <w:top w:val="none" w:sz="0" w:space="0" w:color="auto"/>
                    <w:left w:val="none" w:sz="0" w:space="0" w:color="auto"/>
                    <w:bottom w:val="none" w:sz="0" w:space="0" w:color="auto"/>
                    <w:right w:val="none" w:sz="0" w:space="0" w:color="auto"/>
                  </w:divBdr>
                  <w:divsChild>
                    <w:div w:id="976957986">
                      <w:marLeft w:val="0"/>
                      <w:marRight w:val="0"/>
                      <w:marTop w:val="0"/>
                      <w:marBottom w:val="0"/>
                      <w:divBdr>
                        <w:top w:val="none" w:sz="0" w:space="0" w:color="auto"/>
                        <w:left w:val="none" w:sz="0" w:space="0" w:color="auto"/>
                        <w:bottom w:val="none" w:sz="0" w:space="0" w:color="auto"/>
                        <w:right w:val="none" w:sz="0" w:space="0" w:color="auto"/>
                      </w:divBdr>
                    </w:div>
                  </w:divsChild>
                </w:div>
                <w:div w:id="1313218196">
                  <w:marLeft w:val="0"/>
                  <w:marRight w:val="0"/>
                  <w:marTop w:val="0"/>
                  <w:marBottom w:val="0"/>
                  <w:divBdr>
                    <w:top w:val="none" w:sz="0" w:space="0" w:color="auto"/>
                    <w:left w:val="none" w:sz="0" w:space="0" w:color="auto"/>
                    <w:bottom w:val="none" w:sz="0" w:space="0" w:color="auto"/>
                    <w:right w:val="none" w:sz="0" w:space="0" w:color="auto"/>
                  </w:divBdr>
                  <w:divsChild>
                    <w:div w:id="1054818814">
                      <w:marLeft w:val="0"/>
                      <w:marRight w:val="0"/>
                      <w:marTop w:val="0"/>
                      <w:marBottom w:val="0"/>
                      <w:divBdr>
                        <w:top w:val="none" w:sz="0" w:space="0" w:color="auto"/>
                        <w:left w:val="none" w:sz="0" w:space="0" w:color="auto"/>
                        <w:bottom w:val="none" w:sz="0" w:space="0" w:color="auto"/>
                        <w:right w:val="none" w:sz="0" w:space="0" w:color="auto"/>
                      </w:divBdr>
                    </w:div>
                  </w:divsChild>
                </w:div>
                <w:div w:id="1314213482">
                  <w:marLeft w:val="0"/>
                  <w:marRight w:val="0"/>
                  <w:marTop w:val="0"/>
                  <w:marBottom w:val="0"/>
                  <w:divBdr>
                    <w:top w:val="none" w:sz="0" w:space="0" w:color="auto"/>
                    <w:left w:val="none" w:sz="0" w:space="0" w:color="auto"/>
                    <w:bottom w:val="none" w:sz="0" w:space="0" w:color="auto"/>
                    <w:right w:val="none" w:sz="0" w:space="0" w:color="auto"/>
                  </w:divBdr>
                  <w:divsChild>
                    <w:div w:id="1557083505">
                      <w:marLeft w:val="0"/>
                      <w:marRight w:val="0"/>
                      <w:marTop w:val="0"/>
                      <w:marBottom w:val="0"/>
                      <w:divBdr>
                        <w:top w:val="none" w:sz="0" w:space="0" w:color="auto"/>
                        <w:left w:val="none" w:sz="0" w:space="0" w:color="auto"/>
                        <w:bottom w:val="none" w:sz="0" w:space="0" w:color="auto"/>
                        <w:right w:val="none" w:sz="0" w:space="0" w:color="auto"/>
                      </w:divBdr>
                    </w:div>
                  </w:divsChild>
                </w:div>
                <w:div w:id="1315375585">
                  <w:marLeft w:val="0"/>
                  <w:marRight w:val="0"/>
                  <w:marTop w:val="0"/>
                  <w:marBottom w:val="0"/>
                  <w:divBdr>
                    <w:top w:val="none" w:sz="0" w:space="0" w:color="auto"/>
                    <w:left w:val="none" w:sz="0" w:space="0" w:color="auto"/>
                    <w:bottom w:val="none" w:sz="0" w:space="0" w:color="auto"/>
                    <w:right w:val="none" w:sz="0" w:space="0" w:color="auto"/>
                  </w:divBdr>
                  <w:divsChild>
                    <w:div w:id="612515166">
                      <w:marLeft w:val="0"/>
                      <w:marRight w:val="0"/>
                      <w:marTop w:val="0"/>
                      <w:marBottom w:val="0"/>
                      <w:divBdr>
                        <w:top w:val="none" w:sz="0" w:space="0" w:color="auto"/>
                        <w:left w:val="none" w:sz="0" w:space="0" w:color="auto"/>
                        <w:bottom w:val="none" w:sz="0" w:space="0" w:color="auto"/>
                        <w:right w:val="none" w:sz="0" w:space="0" w:color="auto"/>
                      </w:divBdr>
                    </w:div>
                  </w:divsChild>
                </w:div>
                <w:div w:id="1316571514">
                  <w:marLeft w:val="0"/>
                  <w:marRight w:val="0"/>
                  <w:marTop w:val="0"/>
                  <w:marBottom w:val="0"/>
                  <w:divBdr>
                    <w:top w:val="none" w:sz="0" w:space="0" w:color="auto"/>
                    <w:left w:val="none" w:sz="0" w:space="0" w:color="auto"/>
                    <w:bottom w:val="none" w:sz="0" w:space="0" w:color="auto"/>
                    <w:right w:val="none" w:sz="0" w:space="0" w:color="auto"/>
                  </w:divBdr>
                  <w:divsChild>
                    <w:div w:id="2054768463">
                      <w:marLeft w:val="0"/>
                      <w:marRight w:val="0"/>
                      <w:marTop w:val="0"/>
                      <w:marBottom w:val="0"/>
                      <w:divBdr>
                        <w:top w:val="none" w:sz="0" w:space="0" w:color="auto"/>
                        <w:left w:val="none" w:sz="0" w:space="0" w:color="auto"/>
                        <w:bottom w:val="none" w:sz="0" w:space="0" w:color="auto"/>
                        <w:right w:val="none" w:sz="0" w:space="0" w:color="auto"/>
                      </w:divBdr>
                    </w:div>
                  </w:divsChild>
                </w:div>
                <w:div w:id="1320381083">
                  <w:marLeft w:val="0"/>
                  <w:marRight w:val="0"/>
                  <w:marTop w:val="0"/>
                  <w:marBottom w:val="0"/>
                  <w:divBdr>
                    <w:top w:val="none" w:sz="0" w:space="0" w:color="auto"/>
                    <w:left w:val="none" w:sz="0" w:space="0" w:color="auto"/>
                    <w:bottom w:val="none" w:sz="0" w:space="0" w:color="auto"/>
                    <w:right w:val="none" w:sz="0" w:space="0" w:color="auto"/>
                  </w:divBdr>
                  <w:divsChild>
                    <w:div w:id="613484543">
                      <w:marLeft w:val="0"/>
                      <w:marRight w:val="0"/>
                      <w:marTop w:val="0"/>
                      <w:marBottom w:val="0"/>
                      <w:divBdr>
                        <w:top w:val="none" w:sz="0" w:space="0" w:color="auto"/>
                        <w:left w:val="none" w:sz="0" w:space="0" w:color="auto"/>
                        <w:bottom w:val="none" w:sz="0" w:space="0" w:color="auto"/>
                        <w:right w:val="none" w:sz="0" w:space="0" w:color="auto"/>
                      </w:divBdr>
                    </w:div>
                  </w:divsChild>
                </w:div>
                <w:div w:id="1320770962">
                  <w:marLeft w:val="0"/>
                  <w:marRight w:val="0"/>
                  <w:marTop w:val="0"/>
                  <w:marBottom w:val="0"/>
                  <w:divBdr>
                    <w:top w:val="none" w:sz="0" w:space="0" w:color="auto"/>
                    <w:left w:val="none" w:sz="0" w:space="0" w:color="auto"/>
                    <w:bottom w:val="none" w:sz="0" w:space="0" w:color="auto"/>
                    <w:right w:val="none" w:sz="0" w:space="0" w:color="auto"/>
                  </w:divBdr>
                  <w:divsChild>
                    <w:div w:id="161242794">
                      <w:marLeft w:val="0"/>
                      <w:marRight w:val="0"/>
                      <w:marTop w:val="0"/>
                      <w:marBottom w:val="0"/>
                      <w:divBdr>
                        <w:top w:val="none" w:sz="0" w:space="0" w:color="auto"/>
                        <w:left w:val="none" w:sz="0" w:space="0" w:color="auto"/>
                        <w:bottom w:val="none" w:sz="0" w:space="0" w:color="auto"/>
                        <w:right w:val="none" w:sz="0" w:space="0" w:color="auto"/>
                      </w:divBdr>
                    </w:div>
                  </w:divsChild>
                </w:div>
                <w:div w:id="1322545204">
                  <w:marLeft w:val="0"/>
                  <w:marRight w:val="0"/>
                  <w:marTop w:val="0"/>
                  <w:marBottom w:val="0"/>
                  <w:divBdr>
                    <w:top w:val="none" w:sz="0" w:space="0" w:color="auto"/>
                    <w:left w:val="none" w:sz="0" w:space="0" w:color="auto"/>
                    <w:bottom w:val="none" w:sz="0" w:space="0" w:color="auto"/>
                    <w:right w:val="none" w:sz="0" w:space="0" w:color="auto"/>
                  </w:divBdr>
                  <w:divsChild>
                    <w:div w:id="1542286215">
                      <w:marLeft w:val="0"/>
                      <w:marRight w:val="0"/>
                      <w:marTop w:val="0"/>
                      <w:marBottom w:val="0"/>
                      <w:divBdr>
                        <w:top w:val="none" w:sz="0" w:space="0" w:color="auto"/>
                        <w:left w:val="none" w:sz="0" w:space="0" w:color="auto"/>
                        <w:bottom w:val="none" w:sz="0" w:space="0" w:color="auto"/>
                        <w:right w:val="none" w:sz="0" w:space="0" w:color="auto"/>
                      </w:divBdr>
                    </w:div>
                  </w:divsChild>
                </w:div>
                <w:div w:id="1325360049">
                  <w:marLeft w:val="0"/>
                  <w:marRight w:val="0"/>
                  <w:marTop w:val="0"/>
                  <w:marBottom w:val="0"/>
                  <w:divBdr>
                    <w:top w:val="none" w:sz="0" w:space="0" w:color="auto"/>
                    <w:left w:val="none" w:sz="0" w:space="0" w:color="auto"/>
                    <w:bottom w:val="none" w:sz="0" w:space="0" w:color="auto"/>
                    <w:right w:val="none" w:sz="0" w:space="0" w:color="auto"/>
                  </w:divBdr>
                  <w:divsChild>
                    <w:div w:id="281501978">
                      <w:marLeft w:val="0"/>
                      <w:marRight w:val="0"/>
                      <w:marTop w:val="0"/>
                      <w:marBottom w:val="0"/>
                      <w:divBdr>
                        <w:top w:val="none" w:sz="0" w:space="0" w:color="auto"/>
                        <w:left w:val="none" w:sz="0" w:space="0" w:color="auto"/>
                        <w:bottom w:val="none" w:sz="0" w:space="0" w:color="auto"/>
                        <w:right w:val="none" w:sz="0" w:space="0" w:color="auto"/>
                      </w:divBdr>
                    </w:div>
                  </w:divsChild>
                </w:div>
                <w:div w:id="1330258164">
                  <w:marLeft w:val="0"/>
                  <w:marRight w:val="0"/>
                  <w:marTop w:val="0"/>
                  <w:marBottom w:val="0"/>
                  <w:divBdr>
                    <w:top w:val="none" w:sz="0" w:space="0" w:color="auto"/>
                    <w:left w:val="none" w:sz="0" w:space="0" w:color="auto"/>
                    <w:bottom w:val="none" w:sz="0" w:space="0" w:color="auto"/>
                    <w:right w:val="none" w:sz="0" w:space="0" w:color="auto"/>
                  </w:divBdr>
                  <w:divsChild>
                    <w:div w:id="1736320668">
                      <w:marLeft w:val="0"/>
                      <w:marRight w:val="0"/>
                      <w:marTop w:val="0"/>
                      <w:marBottom w:val="0"/>
                      <w:divBdr>
                        <w:top w:val="none" w:sz="0" w:space="0" w:color="auto"/>
                        <w:left w:val="none" w:sz="0" w:space="0" w:color="auto"/>
                        <w:bottom w:val="none" w:sz="0" w:space="0" w:color="auto"/>
                        <w:right w:val="none" w:sz="0" w:space="0" w:color="auto"/>
                      </w:divBdr>
                    </w:div>
                  </w:divsChild>
                </w:div>
                <w:div w:id="1330518515">
                  <w:marLeft w:val="0"/>
                  <w:marRight w:val="0"/>
                  <w:marTop w:val="0"/>
                  <w:marBottom w:val="0"/>
                  <w:divBdr>
                    <w:top w:val="none" w:sz="0" w:space="0" w:color="auto"/>
                    <w:left w:val="none" w:sz="0" w:space="0" w:color="auto"/>
                    <w:bottom w:val="none" w:sz="0" w:space="0" w:color="auto"/>
                    <w:right w:val="none" w:sz="0" w:space="0" w:color="auto"/>
                  </w:divBdr>
                  <w:divsChild>
                    <w:div w:id="638998199">
                      <w:marLeft w:val="0"/>
                      <w:marRight w:val="0"/>
                      <w:marTop w:val="0"/>
                      <w:marBottom w:val="0"/>
                      <w:divBdr>
                        <w:top w:val="none" w:sz="0" w:space="0" w:color="auto"/>
                        <w:left w:val="none" w:sz="0" w:space="0" w:color="auto"/>
                        <w:bottom w:val="none" w:sz="0" w:space="0" w:color="auto"/>
                        <w:right w:val="none" w:sz="0" w:space="0" w:color="auto"/>
                      </w:divBdr>
                    </w:div>
                  </w:divsChild>
                </w:div>
                <w:div w:id="1335911760">
                  <w:marLeft w:val="0"/>
                  <w:marRight w:val="0"/>
                  <w:marTop w:val="0"/>
                  <w:marBottom w:val="0"/>
                  <w:divBdr>
                    <w:top w:val="none" w:sz="0" w:space="0" w:color="auto"/>
                    <w:left w:val="none" w:sz="0" w:space="0" w:color="auto"/>
                    <w:bottom w:val="none" w:sz="0" w:space="0" w:color="auto"/>
                    <w:right w:val="none" w:sz="0" w:space="0" w:color="auto"/>
                  </w:divBdr>
                  <w:divsChild>
                    <w:div w:id="308944613">
                      <w:marLeft w:val="0"/>
                      <w:marRight w:val="0"/>
                      <w:marTop w:val="0"/>
                      <w:marBottom w:val="0"/>
                      <w:divBdr>
                        <w:top w:val="none" w:sz="0" w:space="0" w:color="auto"/>
                        <w:left w:val="none" w:sz="0" w:space="0" w:color="auto"/>
                        <w:bottom w:val="none" w:sz="0" w:space="0" w:color="auto"/>
                        <w:right w:val="none" w:sz="0" w:space="0" w:color="auto"/>
                      </w:divBdr>
                    </w:div>
                  </w:divsChild>
                </w:div>
                <w:div w:id="1335955539">
                  <w:marLeft w:val="0"/>
                  <w:marRight w:val="0"/>
                  <w:marTop w:val="0"/>
                  <w:marBottom w:val="0"/>
                  <w:divBdr>
                    <w:top w:val="none" w:sz="0" w:space="0" w:color="auto"/>
                    <w:left w:val="none" w:sz="0" w:space="0" w:color="auto"/>
                    <w:bottom w:val="none" w:sz="0" w:space="0" w:color="auto"/>
                    <w:right w:val="none" w:sz="0" w:space="0" w:color="auto"/>
                  </w:divBdr>
                  <w:divsChild>
                    <w:div w:id="1767459600">
                      <w:marLeft w:val="0"/>
                      <w:marRight w:val="0"/>
                      <w:marTop w:val="0"/>
                      <w:marBottom w:val="0"/>
                      <w:divBdr>
                        <w:top w:val="none" w:sz="0" w:space="0" w:color="auto"/>
                        <w:left w:val="none" w:sz="0" w:space="0" w:color="auto"/>
                        <w:bottom w:val="none" w:sz="0" w:space="0" w:color="auto"/>
                        <w:right w:val="none" w:sz="0" w:space="0" w:color="auto"/>
                      </w:divBdr>
                    </w:div>
                  </w:divsChild>
                </w:div>
                <w:div w:id="1341816239">
                  <w:marLeft w:val="0"/>
                  <w:marRight w:val="0"/>
                  <w:marTop w:val="0"/>
                  <w:marBottom w:val="0"/>
                  <w:divBdr>
                    <w:top w:val="none" w:sz="0" w:space="0" w:color="auto"/>
                    <w:left w:val="none" w:sz="0" w:space="0" w:color="auto"/>
                    <w:bottom w:val="none" w:sz="0" w:space="0" w:color="auto"/>
                    <w:right w:val="none" w:sz="0" w:space="0" w:color="auto"/>
                  </w:divBdr>
                  <w:divsChild>
                    <w:div w:id="507520869">
                      <w:marLeft w:val="0"/>
                      <w:marRight w:val="0"/>
                      <w:marTop w:val="0"/>
                      <w:marBottom w:val="0"/>
                      <w:divBdr>
                        <w:top w:val="none" w:sz="0" w:space="0" w:color="auto"/>
                        <w:left w:val="none" w:sz="0" w:space="0" w:color="auto"/>
                        <w:bottom w:val="none" w:sz="0" w:space="0" w:color="auto"/>
                        <w:right w:val="none" w:sz="0" w:space="0" w:color="auto"/>
                      </w:divBdr>
                    </w:div>
                  </w:divsChild>
                </w:div>
                <w:div w:id="1343901372">
                  <w:marLeft w:val="0"/>
                  <w:marRight w:val="0"/>
                  <w:marTop w:val="0"/>
                  <w:marBottom w:val="0"/>
                  <w:divBdr>
                    <w:top w:val="none" w:sz="0" w:space="0" w:color="auto"/>
                    <w:left w:val="none" w:sz="0" w:space="0" w:color="auto"/>
                    <w:bottom w:val="none" w:sz="0" w:space="0" w:color="auto"/>
                    <w:right w:val="none" w:sz="0" w:space="0" w:color="auto"/>
                  </w:divBdr>
                  <w:divsChild>
                    <w:div w:id="959913971">
                      <w:marLeft w:val="0"/>
                      <w:marRight w:val="0"/>
                      <w:marTop w:val="0"/>
                      <w:marBottom w:val="0"/>
                      <w:divBdr>
                        <w:top w:val="none" w:sz="0" w:space="0" w:color="auto"/>
                        <w:left w:val="none" w:sz="0" w:space="0" w:color="auto"/>
                        <w:bottom w:val="none" w:sz="0" w:space="0" w:color="auto"/>
                        <w:right w:val="none" w:sz="0" w:space="0" w:color="auto"/>
                      </w:divBdr>
                    </w:div>
                  </w:divsChild>
                </w:div>
                <w:div w:id="1347825333">
                  <w:marLeft w:val="0"/>
                  <w:marRight w:val="0"/>
                  <w:marTop w:val="0"/>
                  <w:marBottom w:val="0"/>
                  <w:divBdr>
                    <w:top w:val="none" w:sz="0" w:space="0" w:color="auto"/>
                    <w:left w:val="none" w:sz="0" w:space="0" w:color="auto"/>
                    <w:bottom w:val="none" w:sz="0" w:space="0" w:color="auto"/>
                    <w:right w:val="none" w:sz="0" w:space="0" w:color="auto"/>
                  </w:divBdr>
                  <w:divsChild>
                    <w:div w:id="1729457986">
                      <w:marLeft w:val="0"/>
                      <w:marRight w:val="0"/>
                      <w:marTop w:val="0"/>
                      <w:marBottom w:val="0"/>
                      <w:divBdr>
                        <w:top w:val="none" w:sz="0" w:space="0" w:color="auto"/>
                        <w:left w:val="none" w:sz="0" w:space="0" w:color="auto"/>
                        <w:bottom w:val="none" w:sz="0" w:space="0" w:color="auto"/>
                        <w:right w:val="none" w:sz="0" w:space="0" w:color="auto"/>
                      </w:divBdr>
                    </w:div>
                  </w:divsChild>
                </w:div>
                <w:div w:id="1348017713">
                  <w:marLeft w:val="0"/>
                  <w:marRight w:val="0"/>
                  <w:marTop w:val="0"/>
                  <w:marBottom w:val="0"/>
                  <w:divBdr>
                    <w:top w:val="none" w:sz="0" w:space="0" w:color="auto"/>
                    <w:left w:val="none" w:sz="0" w:space="0" w:color="auto"/>
                    <w:bottom w:val="none" w:sz="0" w:space="0" w:color="auto"/>
                    <w:right w:val="none" w:sz="0" w:space="0" w:color="auto"/>
                  </w:divBdr>
                  <w:divsChild>
                    <w:div w:id="1069377892">
                      <w:marLeft w:val="0"/>
                      <w:marRight w:val="0"/>
                      <w:marTop w:val="0"/>
                      <w:marBottom w:val="0"/>
                      <w:divBdr>
                        <w:top w:val="none" w:sz="0" w:space="0" w:color="auto"/>
                        <w:left w:val="none" w:sz="0" w:space="0" w:color="auto"/>
                        <w:bottom w:val="none" w:sz="0" w:space="0" w:color="auto"/>
                        <w:right w:val="none" w:sz="0" w:space="0" w:color="auto"/>
                      </w:divBdr>
                    </w:div>
                  </w:divsChild>
                </w:div>
                <w:div w:id="1352756552">
                  <w:marLeft w:val="0"/>
                  <w:marRight w:val="0"/>
                  <w:marTop w:val="0"/>
                  <w:marBottom w:val="0"/>
                  <w:divBdr>
                    <w:top w:val="none" w:sz="0" w:space="0" w:color="auto"/>
                    <w:left w:val="none" w:sz="0" w:space="0" w:color="auto"/>
                    <w:bottom w:val="none" w:sz="0" w:space="0" w:color="auto"/>
                    <w:right w:val="none" w:sz="0" w:space="0" w:color="auto"/>
                  </w:divBdr>
                  <w:divsChild>
                    <w:div w:id="999700336">
                      <w:marLeft w:val="0"/>
                      <w:marRight w:val="0"/>
                      <w:marTop w:val="0"/>
                      <w:marBottom w:val="0"/>
                      <w:divBdr>
                        <w:top w:val="none" w:sz="0" w:space="0" w:color="auto"/>
                        <w:left w:val="none" w:sz="0" w:space="0" w:color="auto"/>
                        <w:bottom w:val="none" w:sz="0" w:space="0" w:color="auto"/>
                        <w:right w:val="none" w:sz="0" w:space="0" w:color="auto"/>
                      </w:divBdr>
                    </w:div>
                  </w:divsChild>
                </w:div>
                <w:div w:id="1354959294">
                  <w:marLeft w:val="0"/>
                  <w:marRight w:val="0"/>
                  <w:marTop w:val="0"/>
                  <w:marBottom w:val="0"/>
                  <w:divBdr>
                    <w:top w:val="none" w:sz="0" w:space="0" w:color="auto"/>
                    <w:left w:val="none" w:sz="0" w:space="0" w:color="auto"/>
                    <w:bottom w:val="none" w:sz="0" w:space="0" w:color="auto"/>
                    <w:right w:val="none" w:sz="0" w:space="0" w:color="auto"/>
                  </w:divBdr>
                  <w:divsChild>
                    <w:div w:id="1516194246">
                      <w:marLeft w:val="0"/>
                      <w:marRight w:val="0"/>
                      <w:marTop w:val="0"/>
                      <w:marBottom w:val="0"/>
                      <w:divBdr>
                        <w:top w:val="none" w:sz="0" w:space="0" w:color="auto"/>
                        <w:left w:val="none" w:sz="0" w:space="0" w:color="auto"/>
                        <w:bottom w:val="none" w:sz="0" w:space="0" w:color="auto"/>
                        <w:right w:val="none" w:sz="0" w:space="0" w:color="auto"/>
                      </w:divBdr>
                    </w:div>
                  </w:divsChild>
                </w:div>
                <w:div w:id="1364554284">
                  <w:marLeft w:val="0"/>
                  <w:marRight w:val="0"/>
                  <w:marTop w:val="0"/>
                  <w:marBottom w:val="0"/>
                  <w:divBdr>
                    <w:top w:val="none" w:sz="0" w:space="0" w:color="auto"/>
                    <w:left w:val="none" w:sz="0" w:space="0" w:color="auto"/>
                    <w:bottom w:val="none" w:sz="0" w:space="0" w:color="auto"/>
                    <w:right w:val="none" w:sz="0" w:space="0" w:color="auto"/>
                  </w:divBdr>
                  <w:divsChild>
                    <w:div w:id="727069895">
                      <w:marLeft w:val="0"/>
                      <w:marRight w:val="0"/>
                      <w:marTop w:val="0"/>
                      <w:marBottom w:val="0"/>
                      <w:divBdr>
                        <w:top w:val="none" w:sz="0" w:space="0" w:color="auto"/>
                        <w:left w:val="none" w:sz="0" w:space="0" w:color="auto"/>
                        <w:bottom w:val="none" w:sz="0" w:space="0" w:color="auto"/>
                        <w:right w:val="none" w:sz="0" w:space="0" w:color="auto"/>
                      </w:divBdr>
                    </w:div>
                  </w:divsChild>
                </w:div>
                <w:div w:id="1366297453">
                  <w:marLeft w:val="0"/>
                  <w:marRight w:val="0"/>
                  <w:marTop w:val="0"/>
                  <w:marBottom w:val="0"/>
                  <w:divBdr>
                    <w:top w:val="none" w:sz="0" w:space="0" w:color="auto"/>
                    <w:left w:val="none" w:sz="0" w:space="0" w:color="auto"/>
                    <w:bottom w:val="none" w:sz="0" w:space="0" w:color="auto"/>
                    <w:right w:val="none" w:sz="0" w:space="0" w:color="auto"/>
                  </w:divBdr>
                  <w:divsChild>
                    <w:div w:id="84614628">
                      <w:marLeft w:val="0"/>
                      <w:marRight w:val="0"/>
                      <w:marTop w:val="0"/>
                      <w:marBottom w:val="0"/>
                      <w:divBdr>
                        <w:top w:val="none" w:sz="0" w:space="0" w:color="auto"/>
                        <w:left w:val="none" w:sz="0" w:space="0" w:color="auto"/>
                        <w:bottom w:val="none" w:sz="0" w:space="0" w:color="auto"/>
                        <w:right w:val="none" w:sz="0" w:space="0" w:color="auto"/>
                      </w:divBdr>
                    </w:div>
                  </w:divsChild>
                </w:div>
                <w:div w:id="1367951649">
                  <w:marLeft w:val="0"/>
                  <w:marRight w:val="0"/>
                  <w:marTop w:val="0"/>
                  <w:marBottom w:val="0"/>
                  <w:divBdr>
                    <w:top w:val="none" w:sz="0" w:space="0" w:color="auto"/>
                    <w:left w:val="none" w:sz="0" w:space="0" w:color="auto"/>
                    <w:bottom w:val="none" w:sz="0" w:space="0" w:color="auto"/>
                    <w:right w:val="none" w:sz="0" w:space="0" w:color="auto"/>
                  </w:divBdr>
                  <w:divsChild>
                    <w:div w:id="1113477701">
                      <w:marLeft w:val="0"/>
                      <w:marRight w:val="0"/>
                      <w:marTop w:val="0"/>
                      <w:marBottom w:val="0"/>
                      <w:divBdr>
                        <w:top w:val="none" w:sz="0" w:space="0" w:color="auto"/>
                        <w:left w:val="none" w:sz="0" w:space="0" w:color="auto"/>
                        <w:bottom w:val="none" w:sz="0" w:space="0" w:color="auto"/>
                        <w:right w:val="none" w:sz="0" w:space="0" w:color="auto"/>
                      </w:divBdr>
                    </w:div>
                  </w:divsChild>
                </w:div>
                <w:div w:id="1374884363">
                  <w:marLeft w:val="0"/>
                  <w:marRight w:val="0"/>
                  <w:marTop w:val="0"/>
                  <w:marBottom w:val="0"/>
                  <w:divBdr>
                    <w:top w:val="none" w:sz="0" w:space="0" w:color="auto"/>
                    <w:left w:val="none" w:sz="0" w:space="0" w:color="auto"/>
                    <w:bottom w:val="none" w:sz="0" w:space="0" w:color="auto"/>
                    <w:right w:val="none" w:sz="0" w:space="0" w:color="auto"/>
                  </w:divBdr>
                  <w:divsChild>
                    <w:div w:id="892738521">
                      <w:marLeft w:val="0"/>
                      <w:marRight w:val="0"/>
                      <w:marTop w:val="0"/>
                      <w:marBottom w:val="0"/>
                      <w:divBdr>
                        <w:top w:val="none" w:sz="0" w:space="0" w:color="auto"/>
                        <w:left w:val="none" w:sz="0" w:space="0" w:color="auto"/>
                        <w:bottom w:val="none" w:sz="0" w:space="0" w:color="auto"/>
                        <w:right w:val="none" w:sz="0" w:space="0" w:color="auto"/>
                      </w:divBdr>
                    </w:div>
                  </w:divsChild>
                </w:div>
                <w:div w:id="1379739044">
                  <w:marLeft w:val="0"/>
                  <w:marRight w:val="0"/>
                  <w:marTop w:val="0"/>
                  <w:marBottom w:val="0"/>
                  <w:divBdr>
                    <w:top w:val="none" w:sz="0" w:space="0" w:color="auto"/>
                    <w:left w:val="none" w:sz="0" w:space="0" w:color="auto"/>
                    <w:bottom w:val="none" w:sz="0" w:space="0" w:color="auto"/>
                    <w:right w:val="none" w:sz="0" w:space="0" w:color="auto"/>
                  </w:divBdr>
                  <w:divsChild>
                    <w:div w:id="1407535301">
                      <w:marLeft w:val="0"/>
                      <w:marRight w:val="0"/>
                      <w:marTop w:val="0"/>
                      <w:marBottom w:val="0"/>
                      <w:divBdr>
                        <w:top w:val="none" w:sz="0" w:space="0" w:color="auto"/>
                        <w:left w:val="none" w:sz="0" w:space="0" w:color="auto"/>
                        <w:bottom w:val="none" w:sz="0" w:space="0" w:color="auto"/>
                        <w:right w:val="none" w:sz="0" w:space="0" w:color="auto"/>
                      </w:divBdr>
                    </w:div>
                  </w:divsChild>
                </w:div>
                <w:div w:id="1382172461">
                  <w:marLeft w:val="0"/>
                  <w:marRight w:val="0"/>
                  <w:marTop w:val="0"/>
                  <w:marBottom w:val="0"/>
                  <w:divBdr>
                    <w:top w:val="none" w:sz="0" w:space="0" w:color="auto"/>
                    <w:left w:val="none" w:sz="0" w:space="0" w:color="auto"/>
                    <w:bottom w:val="none" w:sz="0" w:space="0" w:color="auto"/>
                    <w:right w:val="none" w:sz="0" w:space="0" w:color="auto"/>
                  </w:divBdr>
                  <w:divsChild>
                    <w:div w:id="781265998">
                      <w:marLeft w:val="0"/>
                      <w:marRight w:val="0"/>
                      <w:marTop w:val="0"/>
                      <w:marBottom w:val="0"/>
                      <w:divBdr>
                        <w:top w:val="none" w:sz="0" w:space="0" w:color="auto"/>
                        <w:left w:val="none" w:sz="0" w:space="0" w:color="auto"/>
                        <w:bottom w:val="none" w:sz="0" w:space="0" w:color="auto"/>
                        <w:right w:val="none" w:sz="0" w:space="0" w:color="auto"/>
                      </w:divBdr>
                    </w:div>
                  </w:divsChild>
                </w:div>
                <w:div w:id="1397555370">
                  <w:marLeft w:val="0"/>
                  <w:marRight w:val="0"/>
                  <w:marTop w:val="0"/>
                  <w:marBottom w:val="0"/>
                  <w:divBdr>
                    <w:top w:val="none" w:sz="0" w:space="0" w:color="auto"/>
                    <w:left w:val="none" w:sz="0" w:space="0" w:color="auto"/>
                    <w:bottom w:val="none" w:sz="0" w:space="0" w:color="auto"/>
                    <w:right w:val="none" w:sz="0" w:space="0" w:color="auto"/>
                  </w:divBdr>
                  <w:divsChild>
                    <w:div w:id="54477767">
                      <w:marLeft w:val="0"/>
                      <w:marRight w:val="0"/>
                      <w:marTop w:val="0"/>
                      <w:marBottom w:val="0"/>
                      <w:divBdr>
                        <w:top w:val="none" w:sz="0" w:space="0" w:color="auto"/>
                        <w:left w:val="none" w:sz="0" w:space="0" w:color="auto"/>
                        <w:bottom w:val="none" w:sz="0" w:space="0" w:color="auto"/>
                        <w:right w:val="none" w:sz="0" w:space="0" w:color="auto"/>
                      </w:divBdr>
                    </w:div>
                  </w:divsChild>
                </w:div>
                <w:div w:id="1398669321">
                  <w:marLeft w:val="0"/>
                  <w:marRight w:val="0"/>
                  <w:marTop w:val="0"/>
                  <w:marBottom w:val="0"/>
                  <w:divBdr>
                    <w:top w:val="none" w:sz="0" w:space="0" w:color="auto"/>
                    <w:left w:val="none" w:sz="0" w:space="0" w:color="auto"/>
                    <w:bottom w:val="none" w:sz="0" w:space="0" w:color="auto"/>
                    <w:right w:val="none" w:sz="0" w:space="0" w:color="auto"/>
                  </w:divBdr>
                  <w:divsChild>
                    <w:div w:id="1912543566">
                      <w:marLeft w:val="0"/>
                      <w:marRight w:val="0"/>
                      <w:marTop w:val="0"/>
                      <w:marBottom w:val="0"/>
                      <w:divBdr>
                        <w:top w:val="none" w:sz="0" w:space="0" w:color="auto"/>
                        <w:left w:val="none" w:sz="0" w:space="0" w:color="auto"/>
                        <w:bottom w:val="none" w:sz="0" w:space="0" w:color="auto"/>
                        <w:right w:val="none" w:sz="0" w:space="0" w:color="auto"/>
                      </w:divBdr>
                    </w:div>
                  </w:divsChild>
                </w:div>
                <w:div w:id="1401630621">
                  <w:marLeft w:val="0"/>
                  <w:marRight w:val="0"/>
                  <w:marTop w:val="0"/>
                  <w:marBottom w:val="0"/>
                  <w:divBdr>
                    <w:top w:val="none" w:sz="0" w:space="0" w:color="auto"/>
                    <w:left w:val="none" w:sz="0" w:space="0" w:color="auto"/>
                    <w:bottom w:val="none" w:sz="0" w:space="0" w:color="auto"/>
                    <w:right w:val="none" w:sz="0" w:space="0" w:color="auto"/>
                  </w:divBdr>
                  <w:divsChild>
                    <w:div w:id="549222714">
                      <w:marLeft w:val="0"/>
                      <w:marRight w:val="0"/>
                      <w:marTop w:val="0"/>
                      <w:marBottom w:val="0"/>
                      <w:divBdr>
                        <w:top w:val="none" w:sz="0" w:space="0" w:color="auto"/>
                        <w:left w:val="none" w:sz="0" w:space="0" w:color="auto"/>
                        <w:bottom w:val="none" w:sz="0" w:space="0" w:color="auto"/>
                        <w:right w:val="none" w:sz="0" w:space="0" w:color="auto"/>
                      </w:divBdr>
                    </w:div>
                  </w:divsChild>
                </w:div>
                <w:div w:id="1404134313">
                  <w:marLeft w:val="0"/>
                  <w:marRight w:val="0"/>
                  <w:marTop w:val="0"/>
                  <w:marBottom w:val="0"/>
                  <w:divBdr>
                    <w:top w:val="none" w:sz="0" w:space="0" w:color="auto"/>
                    <w:left w:val="none" w:sz="0" w:space="0" w:color="auto"/>
                    <w:bottom w:val="none" w:sz="0" w:space="0" w:color="auto"/>
                    <w:right w:val="none" w:sz="0" w:space="0" w:color="auto"/>
                  </w:divBdr>
                  <w:divsChild>
                    <w:div w:id="726537219">
                      <w:marLeft w:val="0"/>
                      <w:marRight w:val="0"/>
                      <w:marTop w:val="0"/>
                      <w:marBottom w:val="0"/>
                      <w:divBdr>
                        <w:top w:val="none" w:sz="0" w:space="0" w:color="auto"/>
                        <w:left w:val="none" w:sz="0" w:space="0" w:color="auto"/>
                        <w:bottom w:val="none" w:sz="0" w:space="0" w:color="auto"/>
                        <w:right w:val="none" w:sz="0" w:space="0" w:color="auto"/>
                      </w:divBdr>
                    </w:div>
                  </w:divsChild>
                </w:div>
                <w:div w:id="1404179678">
                  <w:marLeft w:val="0"/>
                  <w:marRight w:val="0"/>
                  <w:marTop w:val="0"/>
                  <w:marBottom w:val="0"/>
                  <w:divBdr>
                    <w:top w:val="none" w:sz="0" w:space="0" w:color="auto"/>
                    <w:left w:val="none" w:sz="0" w:space="0" w:color="auto"/>
                    <w:bottom w:val="none" w:sz="0" w:space="0" w:color="auto"/>
                    <w:right w:val="none" w:sz="0" w:space="0" w:color="auto"/>
                  </w:divBdr>
                  <w:divsChild>
                    <w:div w:id="1450121073">
                      <w:marLeft w:val="0"/>
                      <w:marRight w:val="0"/>
                      <w:marTop w:val="0"/>
                      <w:marBottom w:val="0"/>
                      <w:divBdr>
                        <w:top w:val="none" w:sz="0" w:space="0" w:color="auto"/>
                        <w:left w:val="none" w:sz="0" w:space="0" w:color="auto"/>
                        <w:bottom w:val="none" w:sz="0" w:space="0" w:color="auto"/>
                        <w:right w:val="none" w:sz="0" w:space="0" w:color="auto"/>
                      </w:divBdr>
                    </w:div>
                  </w:divsChild>
                </w:div>
                <w:div w:id="1404527754">
                  <w:marLeft w:val="0"/>
                  <w:marRight w:val="0"/>
                  <w:marTop w:val="0"/>
                  <w:marBottom w:val="0"/>
                  <w:divBdr>
                    <w:top w:val="none" w:sz="0" w:space="0" w:color="auto"/>
                    <w:left w:val="none" w:sz="0" w:space="0" w:color="auto"/>
                    <w:bottom w:val="none" w:sz="0" w:space="0" w:color="auto"/>
                    <w:right w:val="none" w:sz="0" w:space="0" w:color="auto"/>
                  </w:divBdr>
                  <w:divsChild>
                    <w:div w:id="611134909">
                      <w:marLeft w:val="0"/>
                      <w:marRight w:val="0"/>
                      <w:marTop w:val="0"/>
                      <w:marBottom w:val="0"/>
                      <w:divBdr>
                        <w:top w:val="none" w:sz="0" w:space="0" w:color="auto"/>
                        <w:left w:val="none" w:sz="0" w:space="0" w:color="auto"/>
                        <w:bottom w:val="none" w:sz="0" w:space="0" w:color="auto"/>
                        <w:right w:val="none" w:sz="0" w:space="0" w:color="auto"/>
                      </w:divBdr>
                    </w:div>
                  </w:divsChild>
                </w:div>
                <w:div w:id="1404597483">
                  <w:marLeft w:val="0"/>
                  <w:marRight w:val="0"/>
                  <w:marTop w:val="0"/>
                  <w:marBottom w:val="0"/>
                  <w:divBdr>
                    <w:top w:val="none" w:sz="0" w:space="0" w:color="auto"/>
                    <w:left w:val="none" w:sz="0" w:space="0" w:color="auto"/>
                    <w:bottom w:val="none" w:sz="0" w:space="0" w:color="auto"/>
                    <w:right w:val="none" w:sz="0" w:space="0" w:color="auto"/>
                  </w:divBdr>
                  <w:divsChild>
                    <w:div w:id="846363639">
                      <w:marLeft w:val="0"/>
                      <w:marRight w:val="0"/>
                      <w:marTop w:val="0"/>
                      <w:marBottom w:val="0"/>
                      <w:divBdr>
                        <w:top w:val="none" w:sz="0" w:space="0" w:color="auto"/>
                        <w:left w:val="none" w:sz="0" w:space="0" w:color="auto"/>
                        <w:bottom w:val="none" w:sz="0" w:space="0" w:color="auto"/>
                        <w:right w:val="none" w:sz="0" w:space="0" w:color="auto"/>
                      </w:divBdr>
                    </w:div>
                  </w:divsChild>
                </w:div>
                <w:div w:id="1411389258">
                  <w:marLeft w:val="0"/>
                  <w:marRight w:val="0"/>
                  <w:marTop w:val="0"/>
                  <w:marBottom w:val="0"/>
                  <w:divBdr>
                    <w:top w:val="none" w:sz="0" w:space="0" w:color="auto"/>
                    <w:left w:val="none" w:sz="0" w:space="0" w:color="auto"/>
                    <w:bottom w:val="none" w:sz="0" w:space="0" w:color="auto"/>
                    <w:right w:val="none" w:sz="0" w:space="0" w:color="auto"/>
                  </w:divBdr>
                  <w:divsChild>
                    <w:div w:id="1675305928">
                      <w:marLeft w:val="0"/>
                      <w:marRight w:val="0"/>
                      <w:marTop w:val="0"/>
                      <w:marBottom w:val="0"/>
                      <w:divBdr>
                        <w:top w:val="none" w:sz="0" w:space="0" w:color="auto"/>
                        <w:left w:val="none" w:sz="0" w:space="0" w:color="auto"/>
                        <w:bottom w:val="none" w:sz="0" w:space="0" w:color="auto"/>
                        <w:right w:val="none" w:sz="0" w:space="0" w:color="auto"/>
                      </w:divBdr>
                    </w:div>
                  </w:divsChild>
                </w:div>
                <w:div w:id="1413550658">
                  <w:marLeft w:val="0"/>
                  <w:marRight w:val="0"/>
                  <w:marTop w:val="0"/>
                  <w:marBottom w:val="0"/>
                  <w:divBdr>
                    <w:top w:val="none" w:sz="0" w:space="0" w:color="auto"/>
                    <w:left w:val="none" w:sz="0" w:space="0" w:color="auto"/>
                    <w:bottom w:val="none" w:sz="0" w:space="0" w:color="auto"/>
                    <w:right w:val="none" w:sz="0" w:space="0" w:color="auto"/>
                  </w:divBdr>
                  <w:divsChild>
                    <w:div w:id="4594121">
                      <w:marLeft w:val="0"/>
                      <w:marRight w:val="0"/>
                      <w:marTop w:val="0"/>
                      <w:marBottom w:val="0"/>
                      <w:divBdr>
                        <w:top w:val="none" w:sz="0" w:space="0" w:color="auto"/>
                        <w:left w:val="none" w:sz="0" w:space="0" w:color="auto"/>
                        <w:bottom w:val="none" w:sz="0" w:space="0" w:color="auto"/>
                        <w:right w:val="none" w:sz="0" w:space="0" w:color="auto"/>
                      </w:divBdr>
                    </w:div>
                  </w:divsChild>
                </w:div>
                <w:div w:id="1417095640">
                  <w:marLeft w:val="0"/>
                  <w:marRight w:val="0"/>
                  <w:marTop w:val="0"/>
                  <w:marBottom w:val="0"/>
                  <w:divBdr>
                    <w:top w:val="none" w:sz="0" w:space="0" w:color="auto"/>
                    <w:left w:val="none" w:sz="0" w:space="0" w:color="auto"/>
                    <w:bottom w:val="none" w:sz="0" w:space="0" w:color="auto"/>
                    <w:right w:val="none" w:sz="0" w:space="0" w:color="auto"/>
                  </w:divBdr>
                  <w:divsChild>
                    <w:div w:id="1371806187">
                      <w:marLeft w:val="0"/>
                      <w:marRight w:val="0"/>
                      <w:marTop w:val="0"/>
                      <w:marBottom w:val="0"/>
                      <w:divBdr>
                        <w:top w:val="none" w:sz="0" w:space="0" w:color="auto"/>
                        <w:left w:val="none" w:sz="0" w:space="0" w:color="auto"/>
                        <w:bottom w:val="none" w:sz="0" w:space="0" w:color="auto"/>
                        <w:right w:val="none" w:sz="0" w:space="0" w:color="auto"/>
                      </w:divBdr>
                    </w:div>
                  </w:divsChild>
                </w:div>
                <w:div w:id="1422874722">
                  <w:marLeft w:val="0"/>
                  <w:marRight w:val="0"/>
                  <w:marTop w:val="0"/>
                  <w:marBottom w:val="0"/>
                  <w:divBdr>
                    <w:top w:val="none" w:sz="0" w:space="0" w:color="auto"/>
                    <w:left w:val="none" w:sz="0" w:space="0" w:color="auto"/>
                    <w:bottom w:val="none" w:sz="0" w:space="0" w:color="auto"/>
                    <w:right w:val="none" w:sz="0" w:space="0" w:color="auto"/>
                  </w:divBdr>
                  <w:divsChild>
                    <w:div w:id="621378728">
                      <w:marLeft w:val="0"/>
                      <w:marRight w:val="0"/>
                      <w:marTop w:val="0"/>
                      <w:marBottom w:val="0"/>
                      <w:divBdr>
                        <w:top w:val="none" w:sz="0" w:space="0" w:color="auto"/>
                        <w:left w:val="none" w:sz="0" w:space="0" w:color="auto"/>
                        <w:bottom w:val="none" w:sz="0" w:space="0" w:color="auto"/>
                        <w:right w:val="none" w:sz="0" w:space="0" w:color="auto"/>
                      </w:divBdr>
                    </w:div>
                  </w:divsChild>
                </w:div>
                <w:div w:id="1428304597">
                  <w:marLeft w:val="0"/>
                  <w:marRight w:val="0"/>
                  <w:marTop w:val="0"/>
                  <w:marBottom w:val="0"/>
                  <w:divBdr>
                    <w:top w:val="none" w:sz="0" w:space="0" w:color="auto"/>
                    <w:left w:val="none" w:sz="0" w:space="0" w:color="auto"/>
                    <w:bottom w:val="none" w:sz="0" w:space="0" w:color="auto"/>
                    <w:right w:val="none" w:sz="0" w:space="0" w:color="auto"/>
                  </w:divBdr>
                  <w:divsChild>
                    <w:div w:id="368259281">
                      <w:marLeft w:val="0"/>
                      <w:marRight w:val="0"/>
                      <w:marTop w:val="0"/>
                      <w:marBottom w:val="0"/>
                      <w:divBdr>
                        <w:top w:val="none" w:sz="0" w:space="0" w:color="auto"/>
                        <w:left w:val="none" w:sz="0" w:space="0" w:color="auto"/>
                        <w:bottom w:val="none" w:sz="0" w:space="0" w:color="auto"/>
                        <w:right w:val="none" w:sz="0" w:space="0" w:color="auto"/>
                      </w:divBdr>
                    </w:div>
                  </w:divsChild>
                </w:div>
                <w:div w:id="1429615319">
                  <w:marLeft w:val="0"/>
                  <w:marRight w:val="0"/>
                  <w:marTop w:val="0"/>
                  <w:marBottom w:val="0"/>
                  <w:divBdr>
                    <w:top w:val="none" w:sz="0" w:space="0" w:color="auto"/>
                    <w:left w:val="none" w:sz="0" w:space="0" w:color="auto"/>
                    <w:bottom w:val="none" w:sz="0" w:space="0" w:color="auto"/>
                    <w:right w:val="none" w:sz="0" w:space="0" w:color="auto"/>
                  </w:divBdr>
                  <w:divsChild>
                    <w:div w:id="1471555642">
                      <w:marLeft w:val="0"/>
                      <w:marRight w:val="0"/>
                      <w:marTop w:val="0"/>
                      <w:marBottom w:val="0"/>
                      <w:divBdr>
                        <w:top w:val="none" w:sz="0" w:space="0" w:color="auto"/>
                        <w:left w:val="none" w:sz="0" w:space="0" w:color="auto"/>
                        <w:bottom w:val="none" w:sz="0" w:space="0" w:color="auto"/>
                        <w:right w:val="none" w:sz="0" w:space="0" w:color="auto"/>
                      </w:divBdr>
                    </w:div>
                  </w:divsChild>
                </w:div>
                <w:div w:id="1447653399">
                  <w:marLeft w:val="0"/>
                  <w:marRight w:val="0"/>
                  <w:marTop w:val="0"/>
                  <w:marBottom w:val="0"/>
                  <w:divBdr>
                    <w:top w:val="none" w:sz="0" w:space="0" w:color="auto"/>
                    <w:left w:val="none" w:sz="0" w:space="0" w:color="auto"/>
                    <w:bottom w:val="none" w:sz="0" w:space="0" w:color="auto"/>
                    <w:right w:val="none" w:sz="0" w:space="0" w:color="auto"/>
                  </w:divBdr>
                  <w:divsChild>
                    <w:div w:id="1803496577">
                      <w:marLeft w:val="0"/>
                      <w:marRight w:val="0"/>
                      <w:marTop w:val="0"/>
                      <w:marBottom w:val="0"/>
                      <w:divBdr>
                        <w:top w:val="none" w:sz="0" w:space="0" w:color="auto"/>
                        <w:left w:val="none" w:sz="0" w:space="0" w:color="auto"/>
                        <w:bottom w:val="none" w:sz="0" w:space="0" w:color="auto"/>
                        <w:right w:val="none" w:sz="0" w:space="0" w:color="auto"/>
                      </w:divBdr>
                    </w:div>
                  </w:divsChild>
                </w:div>
                <w:div w:id="1451631498">
                  <w:marLeft w:val="0"/>
                  <w:marRight w:val="0"/>
                  <w:marTop w:val="0"/>
                  <w:marBottom w:val="0"/>
                  <w:divBdr>
                    <w:top w:val="none" w:sz="0" w:space="0" w:color="auto"/>
                    <w:left w:val="none" w:sz="0" w:space="0" w:color="auto"/>
                    <w:bottom w:val="none" w:sz="0" w:space="0" w:color="auto"/>
                    <w:right w:val="none" w:sz="0" w:space="0" w:color="auto"/>
                  </w:divBdr>
                  <w:divsChild>
                    <w:div w:id="908343475">
                      <w:marLeft w:val="0"/>
                      <w:marRight w:val="0"/>
                      <w:marTop w:val="0"/>
                      <w:marBottom w:val="0"/>
                      <w:divBdr>
                        <w:top w:val="none" w:sz="0" w:space="0" w:color="auto"/>
                        <w:left w:val="none" w:sz="0" w:space="0" w:color="auto"/>
                        <w:bottom w:val="none" w:sz="0" w:space="0" w:color="auto"/>
                        <w:right w:val="none" w:sz="0" w:space="0" w:color="auto"/>
                      </w:divBdr>
                    </w:div>
                  </w:divsChild>
                </w:div>
                <w:div w:id="1453130893">
                  <w:marLeft w:val="0"/>
                  <w:marRight w:val="0"/>
                  <w:marTop w:val="0"/>
                  <w:marBottom w:val="0"/>
                  <w:divBdr>
                    <w:top w:val="none" w:sz="0" w:space="0" w:color="auto"/>
                    <w:left w:val="none" w:sz="0" w:space="0" w:color="auto"/>
                    <w:bottom w:val="none" w:sz="0" w:space="0" w:color="auto"/>
                    <w:right w:val="none" w:sz="0" w:space="0" w:color="auto"/>
                  </w:divBdr>
                  <w:divsChild>
                    <w:div w:id="1861237566">
                      <w:marLeft w:val="0"/>
                      <w:marRight w:val="0"/>
                      <w:marTop w:val="0"/>
                      <w:marBottom w:val="0"/>
                      <w:divBdr>
                        <w:top w:val="none" w:sz="0" w:space="0" w:color="auto"/>
                        <w:left w:val="none" w:sz="0" w:space="0" w:color="auto"/>
                        <w:bottom w:val="none" w:sz="0" w:space="0" w:color="auto"/>
                        <w:right w:val="none" w:sz="0" w:space="0" w:color="auto"/>
                      </w:divBdr>
                    </w:div>
                  </w:divsChild>
                </w:div>
                <w:div w:id="1455707174">
                  <w:marLeft w:val="0"/>
                  <w:marRight w:val="0"/>
                  <w:marTop w:val="0"/>
                  <w:marBottom w:val="0"/>
                  <w:divBdr>
                    <w:top w:val="none" w:sz="0" w:space="0" w:color="auto"/>
                    <w:left w:val="none" w:sz="0" w:space="0" w:color="auto"/>
                    <w:bottom w:val="none" w:sz="0" w:space="0" w:color="auto"/>
                    <w:right w:val="none" w:sz="0" w:space="0" w:color="auto"/>
                  </w:divBdr>
                  <w:divsChild>
                    <w:div w:id="1842890619">
                      <w:marLeft w:val="0"/>
                      <w:marRight w:val="0"/>
                      <w:marTop w:val="0"/>
                      <w:marBottom w:val="0"/>
                      <w:divBdr>
                        <w:top w:val="none" w:sz="0" w:space="0" w:color="auto"/>
                        <w:left w:val="none" w:sz="0" w:space="0" w:color="auto"/>
                        <w:bottom w:val="none" w:sz="0" w:space="0" w:color="auto"/>
                        <w:right w:val="none" w:sz="0" w:space="0" w:color="auto"/>
                      </w:divBdr>
                    </w:div>
                  </w:divsChild>
                </w:div>
                <w:div w:id="1455979356">
                  <w:marLeft w:val="0"/>
                  <w:marRight w:val="0"/>
                  <w:marTop w:val="0"/>
                  <w:marBottom w:val="0"/>
                  <w:divBdr>
                    <w:top w:val="none" w:sz="0" w:space="0" w:color="auto"/>
                    <w:left w:val="none" w:sz="0" w:space="0" w:color="auto"/>
                    <w:bottom w:val="none" w:sz="0" w:space="0" w:color="auto"/>
                    <w:right w:val="none" w:sz="0" w:space="0" w:color="auto"/>
                  </w:divBdr>
                  <w:divsChild>
                    <w:div w:id="1299263974">
                      <w:marLeft w:val="0"/>
                      <w:marRight w:val="0"/>
                      <w:marTop w:val="0"/>
                      <w:marBottom w:val="0"/>
                      <w:divBdr>
                        <w:top w:val="none" w:sz="0" w:space="0" w:color="auto"/>
                        <w:left w:val="none" w:sz="0" w:space="0" w:color="auto"/>
                        <w:bottom w:val="none" w:sz="0" w:space="0" w:color="auto"/>
                        <w:right w:val="none" w:sz="0" w:space="0" w:color="auto"/>
                      </w:divBdr>
                    </w:div>
                  </w:divsChild>
                </w:div>
                <w:div w:id="1462117491">
                  <w:marLeft w:val="0"/>
                  <w:marRight w:val="0"/>
                  <w:marTop w:val="0"/>
                  <w:marBottom w:val="0"/>
                  <w:divBdr>
                    <w:top w:val="none" w:sz="0" w:space="0" w:color="auto"/>
                    <w:left w:val="none" w:sz="0" w:space="0" w:color="auto"/>
                    <w:bottom w:val="none" w:sz="0" w:space="0" w:color="auto"/>
                    <w:right w:val="none" w:sz="0" w:space="0" w:color="auto"/>
                  </w:divBdr>
                  <w:divsChild>
                    <w:div w:id="557932983">
                      <w:marLeft w:val="0"/>
                      <w:marRight w:val="0"/>
                      <w:marTop w:val="0"/>
                      <w:marBottom w:val="0"/>
                      <w:divBdr>
                        <w:top w:val="none" w:sz="0" w:space="0" w:color="auto"/>
                        <w:left w:val="none" w:sz="0" w:space="0" w:color="auto"/>
                        <w:bottom w:val="none" w:sz="0" w:space="0" w:color="auto"/>
                        <w:right w:val="none" w:sz="0" w:space="0" w:color="auto"/>
                      </w:divBdr>
                    </w:div>
                  </w:divsChild>
                </w:div>
                <w:div w:id="1467702958">
                  <w:marLeft w:val="0"/>
                  <w:marRight w:val="0"/>
                  <w:marTop w:val="0"/>
                  <w:marBottom w:val="0"/>
                  <w:divBdr>
                    <w:top w:val="none" w:sz="0" w:space="0" w:color="auto"/>
                    <w:left w:val="none" w:sz="0" w:space="0" w:color="auto"/>
                    <w:bottom w:val="none" w:sz="0" w:space="0" w:color="auto"/>
                    <w:right w:val="none" w:sz="0" w:space="0" w:color="auto"/>
                  </w:divBdr>
                  <w:divsChild>
                    <w:div w:id="1181970609">
                      <w:marLeft w:val="0"/>
                      <w:marRight w:val="0"/>
                      <w:marTop w:val="0"/>
                      <w:marBottom w:val="0"/>
                      <w:divBdr>
                        <w:top w:val="none" w:sz="0" w:space="0" w:color="auto"/>
                        <w:left w:val="none" w:sz="0" w:space="0" w:color="auto"/>
                        <w:bottom w:val="none" w:sz="0" w:space="0" w:color="auto"/>
                        <w:right w:val="none" w:sz="0" w:space="0" w:color="auto"/>
                      </w:divBdr>
                    </w:div>
                  </w:divsChild>
                </w:div>
                <w:div w:id="1469082285">
                  <w:marLeft w:val="0"/>
                  <w:marRight w:val="0"/>
                  <w:marTop w:val="0"/>
                  <w:marBottom w:val="0"/>
                  <w:divBdr>
                    <w:top w:val="none" w:sz="0" w:space="0" w:color="auto"/>
                    <w:left w:val="none" w:sz="0" w:space="0" w:color="auto"/>
                    <w:bottom w:val="none" w:sz="0" w:space="0" w:color="auto"/>
                    <w:right w:val="none" w:sz="0" w:space="0" w:color="auto"/>
                  </w:divBdr>
                  <w:divsChild>
                    <w:div w:id="716006579">
                      <w:marLeft w:val="0"/>
                      <w:marRight w:val="0"/>
                      <w:marTop w:val="0"/>
                      <w:marBottom w:val="0"/>
                      <w:divBdr>
                        <w:top w:val="none" w:sz="0" w:space="0" w:color="auto"/>
                        <w:left w:val="none" w:sz="0" w:space="0" w:color="auto"/>
                        <w:bottom w:val="none" w:sz="0" w:space="0" w:color="auto"/>
                        <w:right w:val="none" w:sz="0" w:space="0" w:color="auto"/>
                      </w:divBdr>
                    </w:div>
                  </w:divsChild>
                </w:div>
                <w:div w:id="1471902339">
                  <w:marLeft w:val="0"/>
                  <w:marRight w:val="0"/>
                  <w:marTop w:val="0"/>
                  <w:marBottom w:val="0"/>
                  <w:divBdr>
                    <w:top w:val="none" w:sz="0" w:space="0" w:color="auto"/>
                    <w:left w:val="none" w:sz="0" w:space="0" w:color="auto"/>
                    <w:bottom w:val="none" w:sz="0" w:space="0" w:color="auto"/>
                    <w:right w:val="none" w:sz="0" w:space="0" w:color="auto"/>
                  </w:divBdr>
                  <w:divsChild>
                    <w:div w:id="1164126443">
                      <w:marLeft w:val="0"/>
                      <w:marRight w:val="0"/>
                      <w:marTop w:val="0"/>
                      <w:marBottom w:val="0"/>
                      <w:divBdr>
                        <w:top w:val="none" w:sz="0" w:space="0" w:color="auto"/>
                        <w:left w:val="none" w:sz="0" w:space="0" w:color="auto"/>
                        <w:bottom w:val="none" w:sz="0" w:space="0" w:color="auto"/>
                        <w:right w:val="none" w:sz="0" w:space="0" w:color="auto"/>
                      </w:divBdr>
                    </w:div>
                  </w:divsChild>
                </w:div>
                <w:div w:id="1476069775">
                  <w:marLeft w:val="0"/>
                  <w:marRight w:val="0"/>
                  <w:marTop w:val="0"/>
                  <w:marBottom w:val="0"/>
                  <w:divBdr>
                    <w:top w:val="none" w:sz="0" w:space="0" w:color="auto"/>
                    <w:left w:val="none" w:sz="0" w:space="0" w:color="auto"/>
                    <w:bottom w:val="none" w:sz="0" w:space="0" w:color="auto"/>
                    <w:right w:val="none" w:sz="0" w:space="0" w:color="auto"/>
                  </w:divBdr>
                  <w:divsChild>
                    <w:div w:id="753168304">
                      <w:marLeft w:val="0"/>
                      <w:marRight w:val="0"/>
                      <w:marTop w:val="0"/>
                      <w:marBottom w:val="0"/>
                      <w:divBdr>
                        <w:top w:val="none" w:sz="0" w:space="0" w:color="auto"/>
                        <w:left w:val="none" w:sz="0" w:space="0" w:color="auto"/>
                        <w:bottom w:val="none" w:sz="0" w:space="0" w:color="auto"/>
                        <w:right w:val="none" w:sz="0" w:space="0" w:color="auto"/>
                      </w:divBdr>
                    </w:div>
                  </w:divsChild>
                </w:div>
                <w:div w:id="1479608248">
                  <w:marLeft w:val="0"/>
                  <w:marRight w:val="0"/>
                  <w:marTop w:val="0"/>
                  <w:marBottom w:val="0"/>
                  <w:divBdr>
                    <w:top w:val="none" w:sz="0" w:space="0" w:color="auto"/>
                    <w:left w:val="none" w:sz="0" w:space="0" w:color="auto"/>
                    <w:bottom w:val="none" w:sz="0" w:space="0" w:color="auto"/>
                    <w:right w:val="none" w:sz="0" w:space="0" w:color="auto"/>
                  </w:divBdr>
                  <w:divsChild>
                    <w:div w:id="416560180">
                      <w:marLeft w:val="0"/>
                      <w:marRight w:val="0"/>
                      <w:marTop w:val="0"/>
                      <w:marBottom w:val="0"/>
                      <w:divBdr>
                        <w:top w:val="none" w:sz="0" w:space="0" w:color="auto"/>
                        <w:left w:val="none" w:sz="0" w:space="0" w:color="auto"/>
                        <w:bottom w:val="none" w:sz="0" w:space="0" w:color="auto"/>
                        <w:right w:val="none" w:sz="0" w:space="0" w:color="auto"/>
                      </w:divBdr>
                    </w:div>
                  </w:divsChild>
                </w:div>
                <w:div w:id="1498762148">
                  <w:marLeft w:val="0"/>
                  <w:marRight w:val="0"/>
                  <w:marTop w:val="0"/>
                  <w:marBottom w:val="0"/>
                  <w:divBdr>
                    <w:top w:val="none" w:sz="0" w:space="0" w:color="auto"/>
                    <w:left w:val="none" w:sz="0" w:space="0" w:color="auto"/>
                    <w:bottom w:val="none" w:sz="0" w:space="0" w:color="auto"/>
                    <w:right w:val="none" w:sz="0" w:space="0" w:color="auto"/>
                  </w:divBdr>
                  <w:divsChild>
                    <w:div w:id="1637175147">
                      <w:marLeft w:val="0"/>
                      <w:marRight w:val="0"/>
                      <w:marTop w:val="0"/>
                      <w:marBottom w:val="0"/>
                      <w:divBdr>
                        <w:top w:val="none" w:sz="0" w:space="0" w:color="auto"/>
                        <w:left w:val="none" w:sz="0" w:space="0" w:color="auto"/>
                        <w:bottom w:val="none" w:sz="0" w:space="0" w:color="auto"/>
                        <w:right w:val="none" w:sz="0" w:space="0" w:color="auto"/>
                      </w:divBdr>
                    </w:div>
                  </w:divsChild>
                </w:div>
                <w:div w:id="1503083584">
                  <w:marLeft w:val="0"/>
                  <w:marRight w:val="0"/>
                  <w:marTop w:val="0"/>
                  <w:marBottom w:val="0"/>
                  <w:divBdr>
                    <w:top w:val="none" w:sz="0" w:space="0" w:color="auto"/>
                    <w:left w:val="none" w:sz="0" w:space="0" w:color="auto"/>
                    <w:bottom w:val="none" w:sz="0" w:space="0" w:color="auto"/>
                    <w:right w:val="none" w:sz="0" w:space="0" w:color="auto"/>
                  </w:divBdr>
                  <w:divsChild>
                    <w:div w:id="1503886130">
                      <w:marLeft w:val="0"/>
                      <w:marRight w:val="0"/>
                      <w:marTop w:val="0"/>
                      <w:marBottom w:val="0"/>
                      <w:divBdr>
                        <w:top w:val="none" w:sz="0" w:space="0" w:color="auto"/>
                        <w:left w:val="none" w:sz="0" w:space="0" w:color="auto"/>
                        <w:bottom w:val="none" w:sz="0" w:space="0" w:color="auto"/>
                        <w:right w:val="none" w:sz="0" w:space="0" w:color="auto"/>
                      </w:divBdr>
                    </w:div>
                  </w:divsChild>
                </w:div>
                <w:div w:id="1508136573">
                  <w:marLeft w:val="0"/>
                  <w:marRight w:val="0"/>
                  <w:marTop w:val="0"/>
                  <w:marBottom w:val="0"/>
                  <w:divBdr>
                    <w:top w:val="none" w:sz="0" w:space="0" w:color="auto"/>
                    <w:left w:val="none" w:sz="0" w:space="0" w:color="auto"/>
                    <w:bottom w:val="none" w:sz="0" w:space="0" w:color="auto"/>
                    <w:right w:val="none" w:sz="0" w:space="0" w:color="auto"/>
                  </w:divBdr>
                  <w:divsChild>
                    <w:div w:id="1550726834">
                      <w:marLeft w:val="0"/>
                      <w:marRight w:val="0"/>
                      <w:marTop w:val="0"/>
                      <w:marBottom w:val="0"/>
                      <w:divBdr>
                        <w:top w:val="none" w:sz="0" w:space="0" w:color="auto"/>
                        <w:left w:val="none" w:sz="0" w:space="0" w:color="auto"/>
                        <w:bottom w:val="none" w:sz="0" w:space="0" w:color="auto"/>
                        <w:right w:val="none" w:sz="0" w:space="0" w:color="auto"/>
                      </w:divBdr>
                    </w:div>
                  </w:divsChild>
                </w:div>
                <w:div w:id="1513571672">
                  <w:marLeft w:val="0"/>
                  <w:marRight w:val="0"/>
                  <w:marTop w:val="0"/>
                  <w:marBottom w:val="0"/>
                  <w:divBdr>
                    <w:top w:val="none" w:sz="0" w:space="0" w:color="auto"/>
                    <w:left w:val="none" w:sz="0" w:space="0" w:color="auto"/>
                    <w:bottom w:val="none" w:sz="0" w:space="0" w:color="auto"/>
                    <w:right w:val="none" w:sz="0" w:space="0" w:color="auto"/>
                  </w:divBdr>
                  <w:divsChild>
                    <w:div w:id="1745300669">
                      <w:marLeft w:val="0"/>
                      <w:marRight w:val="0"/>
                      <w:marTop w:val="0"/>
                      <w:marBottom w:val="0"/>
                      <w:divBdr>
                        <w:top w:val="none" w:sz="0" w:space="0" w:color="auto"/>
                        <w:left w:val="none" w:sz="0" w:space="0" w:color="auto"/>
                        <w:bottom w:val="none" w:sz="0" w:space="0" w:color="auto"/>
                        <w:right w:val="none" w:sz="0" w:space="0" w:color="auto"/>
                      </w:divBdr>
                    </w:div>
                  </w:divsChild>
                </w:div>
                <w:div w:id="1514303476">
                  <w:marLeft w:val="0"/>
                  <w:marRight w:val="0"/>
                  <w:marTop w:val="0"/>
                  <w:marBottom w:val="0"/>
                  <w:divBdr>
                    <w:top w:val="none" w:sz="0" w:space="0" w:color="auto"/>
                    <w:left w:val="none" w:sz="0" w:space="0" w:color="auto"/>
                    <w:bottom w:val="none" w:sz="0" w:space="0" w:color="auto"/>
                    <w:right w:val="none" w:sz="0" w:space="0" w:color="auto"/>
                  </w:divBdr>
                  <w:divsChild>
                    <w:div w:id="1588224399">
                      <w:marLeft w:val="0"/>
                      <w:marRight w:val="0"/>
                      <w:marTop w:val="0"/>
                      <w:marBottom w:val="0"/>
                      <w:divBdr>
                        <w:top w:val="none" w:sz="0" w:space="0" w:color="auto"/>
                        <w:left w:val="none" w:sz="0" w:space="0" w:color="auto"/>
                        <w:bottom w:val="none" w:sz="0" w:space="0" w:color="auto"/>
                        <w:right w:val="none" w:sz="0" w:space="0" w:color="auto"/>
                      </w:divBdr>
                    </w:div>
                  </w:divsChild>
                </w:div>
                <w:div w:id="1523088070">
                  <w:marLeft w:val="0"/>
                  <w:marRight w:val="0"/>
                  <w:marTop w:val="0"/>
                  <w:marBottom w:val="0"/>
                  <w:divBdr>
                    <w:top w:val="none" w:sz="0" w:space="0" w:color="auto"/>
                    <w:left w:val="none" w:sz="0" w:space="0" w:color="auto"/>
                    <w:bottom w:val="none" w:sz="0" w:space="0" w:color="auto"/>
                    <w:right w:val="none" w:sz="0" w:space="0" w:color="auto"/>
                  </w:divBdr>
                  <w:divsChild>
                    <w:div w:id="1703506938">
                      <w:marLeft w:val="0"/>
                      <w:marRight w:val="0"/>
                      <w:marTop w:val="0"/>
                      <w:marBottom w:val="0"/>
                      <w:divBdr>
                        <w:top w:val="none" w:sz="0" w:space="0" w:color="auto"/>
                        <w:left w:val="none" w:sz="0" w:space="0" w:color="auto"/>
                        <w:bottom w:val="none" w:sz="0" w:space="0" w:color="auto"/>
                        <w:right w:val="none" w:sz="0" w:space="0" w:color="auto"/>
                      </w:divBdr>
                    </w:div>
                  </w:divsChild>
                </w:div>
                <w:div w:id="1525287302">
                  <w:marLeft w:val="0"/>
                  <w:marRight w:val="0"/>
                  <w:marTop w:val="0"/>
                  <w:marBottom w:val="0"/>
                  <w:divBdr>
                    <w:top w:val="none" w:sz="0" w:space="0" w:color="auto"/>
                    <w:left w:val="none" w:sz="0" w:space="0" w:color="auto"/>
                    <w:bottom w:val="none" w:sz="0" w:space="0" w:color="auto"/>
                    <w:right w:val="none" w:sz="0" w:space="0" w:color="auto"/>
                  </w:divBdr>
                  <w:divsChild>
                    <w:div w:id="1525945591">
                      <w:marLeft w:val="0"/>
                      <w:marRight w:val="0"/>
                      <w:marTop w:val="0"/>
                      <w:marBottom w:val="0"/>
                      <w:divBdr>
                        <w:top w:val="none" w:sz="0" w:space="0" w:color="auto"/>
                        <w:left w:val="none" w:sz="0" w:space="0" w:color="auto"/>
                        <w:bottom w:val="none" w:sz="0" w:space="0" w:color="auto"/>
                        <w:right w:val="none" w:sz="0" w:space="0" w:color="auto"/>
                      </w:divBdr>
                    </w:div>
                  </w:divsChild>
                </w:div>
                <w:div w:id="1530027880">
                  <w:marLeft w:val="0"/>
                  <w:marRight w:val="0"/>
                  <w:marTop w:val="0"/>
                  <w:marBottom w:val="0"/>
                  <w:divBdr>
                    <w:top w:val="none" w:sz="0" w:space="0" w:color="auto"/>
                    <w:left w:val="none" w:sz="0" w:space="0" w:color="auto"/>
                    <w:bottom w:val="none" w:sz="0" w:space="0" w:color="auto"/>
                    <w:right w:val="none" w:sz="0" w:space="0" w:color="auto"/>
                  </w:divBdr>
                  <w:divsChild>
                    <w:div w:id="237903549">
                      <w:marLeft w:val="0"/>
                      <w:marRight w:val="0"/>
                      <w:marTop w:val="0"/>
                      <w:marBottom w:val="0"/>
                      <w:divBdr>
                        <w:top w:val="none" w:sz="0" w:space="0" w:color="auto"/>
                        <w:left w:val="none" w:sz="0" w:space="0" w:color="auto"/>
                        <w:bottom w:val="none" w:sz="0" w:space="0" w:color="auto"/>
                        <w:right w:val="none" w:sz="0" w:space="0" w:color="auto"/>
                      </w:divBdr>
                    </w:div>
                  </w:divsChild>
                </w:div>
                <w:div w:id="1531451720">
                  <w:marLeft w:val="0"/>
                  <w:marRight w:val="0"/>
                  <w:marTop w:val="0"/>
                  <w:marBottom w:val="0"/>
                  <w:divBdr>
                    <w:top w:val="none" w:sz="0" w:space="0" w:color="auto"/>
                    <w:left w:val="none" w:sz="0" w:space="0" w:color="auto"/>
                    <w:bottom w:val="none" w:sz="0" w:space="0" w:color="auto"/>
                    <w:right w:val="none" w:sz="0" w:space="0" w:color="auto"/>
                  </w:divBdr>
                  <w:divsChild>
                    <w:div w:id="329021994">
                      <w:marLeft w:val="0"/>
                      <w:marRight w:val="0"/>
                      <w:marTop w:val="0"/>
                      <w:marBottom w:val="0"/>
                      <w:divBdr>
                        <w:top w:val="none" w:sz="0" w:space="0" w:color="auto"/>
                        <w:left w:val="none" w:sz="0" w:space="0" w:color="auto"/>
                        <w:bottom w:val="none" w:sz="0" w:space="0" w:color="auto"/>
                        <w:right w:val="none" w:sz="0" w:space="0" w:color="auto"/>
                      </w:divBdr>
                    </w:div>
                  </w:divsChild>
                </w:div>
                <w:div w:id="1533571876">
                  <w:marLeft w:val="0"/>
                  <w:marRight w:val="0"/>
                  <w:marTop w:val="0"/>
                  <w:marBottom w:val="0"/>
                  <w:divBdr>
                    <w:top w:val="none" w:sz="0" w:space="0" w:color="auto"/>
                    <w:left w:val="none" w:sz="0" w:space="0" w:color="auto"/>
                    <w:bottom w:val="none" w:sz="0" w:space="0" w:color="auto"/>
                    <w:right w:val="none" w:sz="0" w:space="0" w:color="auto"/>
                  </w:divBdr>
                  <w:divsChild>
                    <w:div w:id="1565489286">
                      <w:marLeft w:val="0"/>
                      <w:marRight w:val="0"/>
                      <w:marTop w:val="0"/>
                      <w:marBottom w:val="0"/>
                      <w:divBdr>
                        <w:top w:val="none" w:sz="0" w:space="0" w:color="auto"/>
                        <w:left w:val="none" w:sz="0" w:space="0" w:color="auto"/>
                        <w:bottom w:val="none" w:sz="0" w:space="0" w:color="auto"/>
                        <w:right w:val="none" w:sz="0" w:space="0" w:color="auto"/>
                      </w:divBdr>
                    </w:div>
                  </w:divsChild>
                </w:div>
                <w:div w:id="1560552913">
                  <w:marLeft w:val="0"/>
                  <w:marRight w:val="0"/>
                  <w:marTop w:val="0"/>
                  <w:marBottom w:val="0"/>
                  <w:divBdr>
                    <w:top w:val="none" w:sz="0" w:space="0" w:color="auto"/>
                    <w:left w:val="none" w:sz="0" w:space="0" w:color="auto"/>
                    <w:bottom w:val="none" w:sz="0" w:space="0" w:color="auto"/>
                    <w:right w:val="none" w:sz="0" w:space="0" w:color="auto"/>
                  </w:divBdr>
                  <w:divsChild>
                    <w:div w:id="1032997308">
                      <w:marLeft w:val="0"/>
                      <w:marRight w:val="0"/>
                      <w:marTop w:val="0"/>
                      <w:marBottom w:val="0"/>
                      <w:divBdr>
                        <w:top w:val="none" w:sz="0" w:space="0" w:color="auto"/>
                        <w:left w:val="none" w:sz="0" w:space="0" w:color="auto"/>
                        <w:bottom w:val="none" w:sz="0" w:space="0" w:color="auto"/>
                        <w:right w:val="none" w:sz="0" w:space="0" w:color="auto"/>
                      </w:divBdr>
                    </w:div>
                  </w:divsChild>
                </w:div>
                <w:div w:id="1568111382">
                  <w:marLeft w:val="0"/>
                  <w:marRight w:val="0"/>
                  <w:marTop w:val="0"/>
                  <w:marBottom w:val="0"/>
                  <w:divBdr>
                    <w:top w:val="none" w:sz="0" w:space="0" w:color="auto"/>
                    <w:left w:val="none" w:sz="0" w:space="0" w:color="auto"/>
                    <w:bottom w:val="none" w:sz="0" w:space="0" w:color="auto"/>
                    <w:right w:val="none" w:sz="0" w:space="0" w:color="auto"/>
                  </w:divBdr>
                  <w:divsChild>
                    <w:div w:id="1999727436">
                      <w:marLeft w:val="0"/>
                      <w:marRight w:val="0"/>
                      <w:marTop w:val="0"/>
                      <w:marBottom w:val="0"/>
                      <w:divBdr>
                        <w:top w:val="none" w:sz="0" w:space="0" w:color="auto"/>
                        <w:left w:val="none" w:sz="0" w:space="0" w:color="auto"/>
                        <w:bottom w:val="none" w:sz="0" w:space="0" w:color="auto"/>
                        <w:right w:val="none" w:sz="0" w:space="0" w:color="auto"/>
                      </w:divBdr>
                    </w:div>
                  </w:divsChild>
                </w:div>
                <w:div w:id="1571771660">
                  <w:marLeft w:val="0"/>
                  <w:marRight w:val="0"/>
                  <w:marTop w:val="0"/>
                  <w:marBottom w:val="0"/>
                  <w:divBdr>
                    <w:top w:val="none" w:sz="0" w:space="0" w:color="auto"/>
                    <w:left w:val="none" w:sz="0" w:space="0" w:color="auto"/>
                    <w:bottom w:val="none" w:sz="0" w:space="0" w:color="auto"/>
                    <w:right w:val="none" w:sz="0" w:space="0" w:color="auto"/>
                  </w:divBdr>
                  <w:divsChild>
                    <w:div w:id="463041673">
                      <w:marLeft w:val="0"/>
                      <w:marRight w:val="0"/>
                      <w:marTop w:val="0"/>
                      <w:marBottom w:val="0"/>
                      <w:divBdr>
                        <w:top w:val="none" w:sz="0" w:space="0" w:color="auto"/>
                        <w:left w:val="none" w:sz="0" w:space="0" w:color="auto"/>
                        <w:bottom w:val="none" w:sz="0" w:space="0" w:color="auto"/>
                        <w:right w:val="none" w:sz="0" w:space="0" w:color="auto"/>
                      </w:divBdr>
                    </w:div>
                  </w:divsChild>
                </w:div>
                <w:div w:id="1573661890">
                  <w:marLeft w:val="0"/>
                  <w:marRight w:val="0"/>
                  <w:marTop w:val="0"/>
                  <w:marBottom w:val="0"/>
                  <w:divBdr>
                    <w:top w:val="none" w:sz="0" w:space="0" w:color="auto"/>
                    <w:left w:val="none" w:sz="0" w:space="0" w:color="auto"/>
                    <w:bottom w:val="none" w:sz="0" w:space="0" w:color="auto"/>
                    <w:right w:val="none" w:sz="0" w:space="0" w:color="auto"/>
                  </w:divBdr>
                  <w:divsChild>
                    <w:div w:id="1215385464">
                      <w:marLeft w:val="0"/>
                      <w:marRight w:val="0"/>
                      <w:marTop w:val="0"/>
                      <w:marBottom w:val="0"/>
                      <w:divBdr>
                        <w:top w:val="none" w:sz="0" w:space="0" w:color="auto"/>
                        <w:left w:val="none" w:sz="0" w:space="0" w:color="auto"/>
                        <w:bottom w:val="none" w:sz="0" w:space="0" w:color="auto"/>
                        <w:right w:val="none" w:sz="0" w:space="0" w:color="auto"/>
                      </w:divBdr>
                    </w:div>
                  </w:divsChild>
                </w:div>
                <w:div w:id="1574662051">
                  <w:marLeft w:val="0"/>
                  <w:marRight w:val="0"/>
                  <w:marTop w:val="0"/>
                  <w:marBottom w:val="0"/>
                  <w:divBdr>
                    <w:top w:val="none" w:sz="0" w:space="0" w:color="auto"/>
                    <w:left w:val="none" w:sz="0" w:space="0" w:color="auto"/>
                    <w:bottom w:val="none" w:sz="0" w:space="0" w:color="auto"/>
                    <w:right w:val="none" w:sz="0" w:space="0" w:color="auto"/>
                  </w:divBdr>
                  <w:divsChild>
                    <w:div w:id="283537008">
                      <w:marLeft w:val="0"/>
                      <w:marRight w:val="0"/>
                      <w:marTop w:val="0"/>
                      <w:marBottom w:val="0"/>
                      <w:divBdr>
                        <w:top w:val="none" w:sz="0" w:space="0" w:color="auto"/>
                        <w:left w:val="none" w:sz="0" w:space="0" w:color="auto"/>
                        <w:bottom w:val="none" w:sz="0" w:space="0" w:color="auto"/>
                        <w:right w:val="none" w:sz="0" w:space="0" w:color="auto"/>
                      </w:divBdr>
                    </w:div>
                  </w:divsChild>
                </w:div>
                <w:div w:id="1580286194">
                  <w:marLeft w:val="0"/>
                  <w:marRight w:val="0"/>
                  <w:marTop w:val="0"/>
                  <w:marBottom w:val="0"/>
                  <w:divBdr>
                    <w:top w:val="none" w:sz="0" w:space="0" w:color="auto"/>
                    <w:left w:val="none" w:sz="0" w:space="0" w:color="auto"/>
                    <w:bottom w:val="none" w:sz="0" w:space="0" w:color="auto"/>
                    <w:right w:val="none" w:sz="0" w:space="0" w:color="auto"/>
                  </w:divBdr>
                  <w:divsChild>
                    <w:div w:id="888108566">
                      <w:marLeft w:val="0"/>
                      <w:marRight w:val="0"/>
                      <w:marTop w:val="0"/>
                      <w:marBottom w:val="0"/>
                      <w:divBdr>
                        <w:top w:val="none" w:sz="0" w:space="0" w:color="auto"/>
                        <w:left w:val="none" w:sz="0" w:space="0" w:color="auto"/>
                        <w:bottom w:val="none" w:sz="0" w:space="0" w:color="auto"/>
                        <w:right w:val="none" w:sz="0" w:space="0" w:color="auto"/>
                      </w:divBdr>
                    </w:div>
                  </w:divsChild>
                </w:div>
                <w:div w:id="1583417127">
                  <w:marLeft w:val="0"/>
                  <w:marRight w:val="0"/>
                  <w:marTop w:val="0"/>
                  <w:marBottom w:val="0"/>
                  <w:divBdr>
                    <w:top w:val="none" w:sz="0" w:space="0" w:color="auto"/>
                    <w:left w:val="none" w:sz="0" w:space="0" w:color="auto"/>
                    <w:bottom w:val="none" w:sz="0" w:space="0" w:color="auto"/>
                    <w:right w:val="none" w:sz="0" w:space="0" w:color="auto"/>
                  </w:divBdr>
                  <w:divsChild>
                    <w:div w:id="237372896">
                      <w:marLeft w:val="0"/>
                      <w:marRight w:val="0"/>
                      <w:marTop w:val="0"/>
                      <w:marBottom w:val="0"/>
                      <w:divBdr>
                        <w:top w:val="none" w:sz="0" w:space="0" w:color="auto"/>
                        <w:left w:val="none" w:sz="0" w:space="0" w:color="auto"/>
                        <w:bottom w:val="none" w:sz="0" w:space="0" w:color="auto"/>
                        <w:right w:val="none" w:sz="0" w:space="0" w:color="auto"/>
                      </w:divBdr>
                    </w:div>
                  </w:divsChild>
                </w:div>
                <w:div w:id="1586300820">
                  <w:marLeft w:val="0"/>
                  <w:marRight w:val="0"/>
                  <w:marTop w:val="0"/>
                  <w:marBottom w:val="0"/>
                  <w:divBdr>
                    <w:top w:val="none" w:sz="0" w:space="0" w:color="auto"/>
                    <w:left w:val="none" w:sz="0" w:space="0" w:color="auto"/>
                    <w:bottom w:val="none" w:sz="0" w:space="0" w:color="auto"/>
                    <w:right w:val="none" w:sz="0" w:space="0" w:color="auto"/>
                  </w:divBdr>
                  <w:divsChild>
                    <w:div w:id="817765514">
                      <w:marLeft w:val="0"/>
                      <w:marRight w:val="0"/>
                      <w:marTop w:val="0"/>
                      <w:marBottom w:val="0"/>
                      <w:divBdr>
                        <w:top w:val="none" w:sz="0" w:space="0" w:color="auto"/>
                        <w:left w:val="none" w:sz="0" w:space="0" w:color="auto"/>
                        <w:bottom w:val="none" w:sz="0" w:space="0" w:color="auto"/>
                        <w:right w:val="none" w:sz="0" w:space="0" w:color="auto"/>
                      </w:divBdr>
                    </w:div>
                  </w:divsChild>
                </w:div>
                <w:div w:id="1595626858">
                  <w:marLeft w:val="0"/>
                  <w:marRight w:val="0"/>
                  <w:marTop w:val="0"/>
                  <w:marBottom w:val="0"/>
                  <w:divBdr>
                    <w:top w:val="none" w:sz="0" w:space="0" w:color="auto"/>
                    <w:left w:val="none" w:sz="0" w:space="0" w:color="auto"/>
                    <w:bottom w:val="none" w:sz="0" w:space="0" w:color="auto"/>
                    <w:right w:val="none" w:sz="0" w:space="0" w:color="auto"/>
                  </w:divBdr>
                  <w:divsChild>
                    <w:div w:id="1188253704">
                      <w:marLeft w:val="0"/>
                      <w:marRight w:val="0"/>
                      <w:marTop w:val="0"/>
                      <w:marBottom w:val="0"/>
                      <w:divBdr>
                        <w:top w:val="none" w:sz="0" w:space="0" w:color="auto"/>
                        <w:left w:val="none" w:sz="0" w:space="0" w:color="auto"/>
                        <w:bottom w:val="none" w:sz="0" w:space="0" w:color="auto"/>
                        <w:right w:val="none" w:sz="0" w:space="0" w:color="auto"/>
                      </w:divBdr>
                    </w:div>
                  </w:divsChild>
                </w:div>
                <w:div w:id="1595938751">
                  <w:marLeft w:val="0"/>
                  <w:marRight w:val="0"/>
                  <w:marTop w:val="0"/>
                  <w:marBottom w:val="0"/>
                  <w:divBdr>
                    <w:top w:val="none" w:sz="0" w:space="0" w:color="auto"/>
                    <w:left w:val="none" w:sz="0" w:space="0" w:color="auto"/>
                    <w:bottom w:val="none" w:sz="0" w:space="0" w:color="auto"/>
                    <w:right w:val="none" w:sz="0" w:space="0" w:color="auto"/>
                  </w:divBdr>
                  <w:divsChild>
                    <w:div w:id="396710320">
                      <w:marLeft w:val="0"/>
                      <w:marRight w:val="0"/>
                      <w:marTop w:val="0"/>
                      <w:marBottom w:val="0"/>
                      <w:divBdr>
                        <w:top w:val="none" w:sz="0" w:space="0" w:color="auto"/>
                        <w:left w:val="none" w:sz="0" w:space="0" w:color="auto"/>
                        <w:bottom w:val="none" w:sz="0" w:space="0" w:color="auto"/>
                        <w:right w:val="none" w:sz="0" w:space="0" w:color="auto"/>
                      </w:divBdr>
                    </w:div>
                  </w:divsChild>
                </w:div>
                <w:div w:id="1604148220">
                  <w:marLeft w:val="0"/>
                  <w:marRight w:val="0"/>
                  <w:marTop w:val="0"/>
                  <w:marBottom w:val="0"/>
                  <w:divBdr>
                    <w:top w:val="none" w:sz="0" w:space="0" w:color="auto"/>
                    <w:left w:val="none" w:sz="0" w:space="0" w:color="auto"/>
                    <w:bottom w:val="none" w:sz="0" w:space="0" w:color="auto"/>
                    <w:right w:val="none" w:sz="0" w:space="0" w:color="auto"/>
                  </w:divBdr>
                  <w:divsChild>
                    <w:div w:id="761727549">
                      <w:marLeft w:val="0"/>
                      <w:marRight w:val="0"/>
                      <w:marTop w:val="0"/>
                      <w:marBottom w:val="0"/>
                      <w:divBdr>
                        <w:top w:val="none" w:sz="0" w:space="0" w:color="auto"/>
                        <w:left w:val="none" w:sz="0" w:space="0" w:color="auto"/>
                        <w:bottom w:val="none" w:sz="0" w:space="0" w:color="auto"/>
                        <w:right w:val="none" w:sz="0" w:space="0" w:color="auto"/>
                      </w:divBdr>
                    </w:div>
                  </w:divsChild>
                </w:div>
                <w:div w:id="1641837430">
                  <w:marLeft w:val="0"/>
                  <w:marRight w:val="0"/>
                  <w:marTop w:val="0"/>
                  <w:marBottom w:val="0"/>
                  <w:divBdr>
                    <w:top w:val="none" w:sz="0" w:space="0" w:color="auto"/>
                    <w:left w:val="none" w:sz="0" w:space="0" w:color="auto"/>
                    <w:bottom w:val="none" w:sz="0" w:space="0" w:color="auto"/>
                    <w:right w:val="none" w:sz="0" w:space="0" w:color="auto"/>
                  </w:divBdr>
                  <w:divsChild>
                    <w:div w:id="688485593">
                      <w:marLeft w:val="0"/>
                      <w:marRight w:val="0"/>
                      <w:marTop w:val="0"/>
                      <w:marBottom w:val="0"/>
                      <w:divBdr>
                        <w:top w:val="none" w:sz="0" w:space="0" w:color="auto"/>
                        <w:left w:val="none" w:sz="0" w:space="0" w:color="auto"/>
                        <w:bottom w:val="none" w:sz="0" w:space="0" w:color="auto"/>
                        <w:right w:val="none" w:sz="0" w:space="0" w:color="auto"/>
                      </w:divBdr>
                    </w:div>
                  </w:divsChild>
                </w:div>
                <w:div w:id="1643192011">
                  <w:marLeft w:val="0"/>
                  <w:marRight w:val="0"/>
                  <w:marTop w:val="0"/>
                  <w:marBottom w:val="0"/>
                  <w:divBdr>
                    <w:top w:val="none" w:sz="0" w:space="0" w:color="auto"/>
                    <w:left w:val="none" w:sz="0" w:space="0" w:color="auto"/>
                    <w:bottom w:val="none" w:sz="0" w:space="0" w:color="auto"/>
                    <w:right w:val="none" w:sz="0" w:space="0" w:color="auto"/>
                  </w:divBdr>
                  <w:divsChild>
                    <w:div w:id="480118990">
                      <w:marLeft w:val="0"/>
                      <w:marRight w:val="0"/>
                      <w:marTop w:val="0"/>
                      <w:marBottom w:val="0"/>
                      <w:divBdr>
                        <w:top w:val="none" w:sz="0" w:space="0" w:color="auto"/>
                        <w:left w:val="none" w:sz="0" w:space="0" w:color="auto"/>
                        <w:bottom w:val="none" w:sz="0" w:space="0" w:color="auto"/>
                        <w:right w:val="none" w:sz="0" w:space="0" w:color="auto"/>
                      </w:divBdr>
                    </w:div>
                  </w:divsChild>
                </w:div>
                <w:div w:id="1644196597">
                  <w:marLeft w:val="0"/>
                  <w:marRight w:val="0"/>
                  <w:marTop w:val="0"/>
                  <w:marBottom w:val="0"/>
                  <w:divBdr>
                    <w:top w:val="none" w:sz="0" w:space="0" w:color="auto"/>
                    <w:left w:val="none" w:sz="0" w:space="0" w:color="auto"/>
                    <w:bottom w:val="none" w:sz="0" w:space="0" w:color="auto"/>
                    <w:right w:val="none" w:sz="0" w:space="0" w:color="auto"/>
                  </w:divBdr>
                  <w:divsChild>
                    <w:div w:id="1266034613">
                      <w:marLeft w:val="0"/>
                      <w:marRight w:val="0"/>
                      <w:marTop w:val="0"/>
                      <w:marBottom w:val="0"/>
                      <w:divBdr>
                        <w:top w:val="none" w:sz="0" w:space="0" w:color="auto"/>
                        <w:left w:val="none" w:sz="0" w:space="0" w:color="auto"/>
                        <w:bottom w:val="none" w:sz="0" w:space="0" w:color="auto"/>
                        <w:right w:val="none" w:sz="0" w:space="0" w:color="auto"/>
                      </w:divBdr>
                    </w:div>
                  </w:divsChild>
                </w:div>
                <w:div w:id="1647126978">
                  <w:marLeft w:val="0"/>
                  <w:marRight w:val="0"/>
                  <w:marTop w:val="0"/>
                  <w:marBottom w:val="0"/>
                  <w:divBdr>
                    <w:top w:val="none" w:sz="0" w:space="0" w:color="auto"/>
                    <w:left w:val="none" w:sz="0" w:space="0" w:color="auto"/>
                    <w:bottom w:val="none" w:sz="0" w:space="0" w:color="auto"/>
                    <w:right w:val="none" w:sz="0" w:space="0" w:color="auto"/>
                  </w:divBdr>
                  <w:divsChild>
                    <w:div w:id="421296706">
                      <w:marLeft w:val="0"/>
                      <w:marRight w:val="0"/>
                      <w:marTop w:val="0"/>
                      <w:marBottom w:val="0"/>
                      <w:divBdr>
                        <w:top w:val="none" w:sz="0" w:space="0" w:color="auto"/>
                        <w:left w:val="none" w:sz="0" w:space="0" w:color="auto"/>
                        <w:bottom w:val="none" w:sz="0" w:space="0" w:color="auto"/>
                        <w:right w:val="none" w:sz="0" w:space="0" w:color="auto"/>
                      </w:divBdr>
                    </w:div>
                  </w:divsChild>
                </w:div>
                <w:div w:id="1650405570">
                  <w:marLeft w:val="0"/>
                  <w:marRight w:val="0"/>
                  <w:marTop w:val="0"/>
                  <w:marBottom w:val="0"/>
                  <w:divBdr>
                    <w:top w:val="none" w:sz="0" w:space="0" w:color="auto"/>
                    <w:left w:val="none" w:sz="0" w:space="0" w:color="auto"/>
                    <w:bottom w:val="none" w:sz="0" w:space="0" w:color="auto"/>
                    <w:right w:val="none" w:sz="0" w:space="0" w:color="auto"/>
                  </w:divBdr>
                  <w:divsChild>
                    <w:div w:id="1995985558">
                      <w:marLeft w:val="0"/>
                      <w:marRight w:val="0"/>
                      <w:marTop w:val="0"/>
                      <w:marBottom w:val="0"/>
                      <w:divBdr>
                        <w:top w:val="none" w:sz="0" w:space="0" w:color="auto"/>
                        <w:left w:val="none" w:sz="0" w:space="0" w:color="auto"/>
                        <w:bottom w:val="none" w:sz="0" w:space="0" w:color="auto"/>
                        <w:right w:val="none" w:sz="0" w:space="0" w:color="auto"/>
                      </w:divBdr>
                    </w:div>
                  </w:divsChild>
                </w:div>
                <w:div w:id="1653749086">
                  <w:marLeft w:val="0"/>
                  <w:marRight w:val="0"/>
                  <w:marTop w:val="0"/>
                  <w:marBottom w:val="0"/>
                  <w:divBdr>
                    <w:top w:val="none" w:sz="0" w:space="0" w:color="auto"/>
                    <w:left w:val="none" w:sz="0" w:space="0" w:color="auto"/>
                    <w:bottom w:val="none" w:sz="0" w:space="0" w:color="auto"/>
                    <w:right w:val="none" w:sz="0" w:space="0" w:color="auto"/>
                  </w:divBdr>
                  <w:divsChild>
                    <w:div w:id="1356155778">
                      <w:marLeft w:val="0"/>
                      <w:marRight w:val="0"/>
                      <w:marTop w:val="0"/>
                      <w:marBottom w:val="0"/>
                      <w:divBdr>
                        <w:top w:val="none" w:sz="0" w:space="0" w:color="auto"/>
                        <w:left w:val="none" w:sz="0" w:space="0" w:color="auto"/>
                        <w:bottom w:val="none" w:sz="0" w:space="0" w:color="auto"/>
                        <w:right w:val="none" w:sz="0" w:space="0" w:color="auto"/>
                      </w:divBdr>
                    </w:div>
                  </w:divsChild>
                </w:div>
                <w:div w:id="1654601351">
                  <w:marLeft w:val="0"/>
                  <w:marRight w:val="0"/>
                  <w:marTop w:val="0"/>
                  <w:marBottom w:val="0"/>
                  <w:divBdr>
                    <w:top w:val="none" w:sz="0" w:space="0" w:color="auto"/>
                    <w:left w:val="none" w:sz="0" w:space="0" w:color="auto"/>
                    <w:bottom w:val="none" w:sz="0" w:space="0" w:color="auto"/>
                    <w:right w:val="none" w:sz="0" w:space="0" w:color="auto"/>
                  </w:divBdr>
                  <w:divsChild>
                    <w:div w:id="945775746">
                      <w:marLeft w:val="0"/>
                      <w:marRight w:val="0"/>
                      <w:marTop w:val="0"/>
                      <w:marBottom w:val="0"/>
                      <w:divBdr>
                        <w:top w:val="none" w:sz="0" w:space="0" w:color="auto"/>
                        <w:left w:val="none" w:sz="0" w:space="0" w:color="auto"/>
                        <w:bottom w:val="none" w:sz="0" w:space="0" w:color="auto"/>
                        <w:right w:val="none" w:sz="0" w:space="0" w:color="auto"/>
                      </w:divBdr>
                    </w:div>
                  </w:divsChild>
                </w:div>
                <w:div w:id="1664432371">
                  <w:marLeft w:val="0"/>
                  <w:marRight w:val="0"/>
                  <w:marTop w:val="0"/>
                  <w:marBottom w:val="0"/>
                  <w:divBdr>
                    <w:top w:val="none" w:sz="0" w:space="0" w:color="auto"/>
                    <w:left w:val="none" w:sz="0" w:space="0" w:color="auto"/>
                    <w:bottom w:val="none" w:sz="0" w:space="0" w:color="auto"/>
                    <w:right w:val="none" w:sz="0" w:space="0" w:color="auto"/>
                  </w:divBdr>
                  <w:divsChild>
                    <w:div w:id="1954900825">
                      <w:marLeft w:val="0"/>
                      <w:marRight w:val="0"/>
                      <w:marTop w:val="0"/>
                      <w:marBottom w:val="0"/>
                      <w:divBdr>
                        <w:top w:val="none" w:sz="0" w:space="0" w:color="auto"/>
                        <w:left w:val="none" w:sz="0" w:space="0" w:color="auto"/>
                        <w:bottom w:val="none" w:sz="0" w:space="0" w:color="auto"/>
                        <w:right w:val="none" w:sz="0" w:space="0" w:color="auto"/>
                      </w:divBdr>
                    </w:div>
                  </w:divsChild>
                </w:div>
                <w:div w:id="1668244420">
                  <w:marLeft w:val="0"/>
                  <w:marRight w:val="0"/>
                  <w:marTop w:val="0"/>
                  <w:marBottom w:val="0"/>
                  <w:divBdr>
                    <w:top w:val="none" w:sz="0" w:space="0" w:color="auto"/>
                    <w:left w:val="none" w:sz="0" w:space="0" w:color="auto"/>
                    <w:bottom w:val="none" w:sz="0" w:space="0" w:color="auto"/>
                    <w:right w:val="none" w:sz="0" w:space="0" w:color="auto"/>
                  </w:divBdr>
                  <w:divsChild>
                    <w:div w:id="906956283">
                      <w:marLeft w:val="0"/>
                      <w:marRight w:val="0"/>
                      <w:marTop w:val="0"/>
                      <w:marBottom w:val="0"/>
                      <w:divBdr>
                        <w:top w:val="none" w:sz="0" w:space="0" w:color="auto"/>
                        <w:left w:val="none" w:sz="0" w:space="0" w:color="auto"/>
                        <w:bottom w:val="none" w:sz="0" w:space="0" w:color="auto"/>
                        <w:right w:val="none" w:sz="0" w:space="0" w:color="auto"/>
                      </w:divBdr>
                    </w:div>
                  </w:divsChild>
                </w:div>
                <w:div w:id="1668943058">
                  <w:marLeft w:val="0"/>
                  <w:marRight w:val="0"/>
                  <w:marTop w:val="0"/>
                  <w:marBottom w:val="0"/>
                  <w:divBdr>
                    <w:top w:val="none" w:sz="0" w:space="0" w:color="auto"/>
                    <w:left w:val="none" w:sz="0" w:space="0" w:color="auto"/>
                    <w:bottom w:val="none" w:sz="0" w:space="0" w:color="auto"/>
                    <w:right w:val="none" w:sz="0" w:space="0" w:color="auto"/>
                  </w:divBdr>
                  <w:divsChild>
                    <w:div w:id="1806508744">
                      <w:marLeft w:val="0"/>
                      <w:marRight w:val="0"/>
                      <w:marTop w:val="0"/>
                      <w:marBottom w:val="0"/>
                      <w:divBdr>
                        <w:top w:val="none" w:sz="0" w:space="0" w:color="auto"/>
                        <w:left w:val="none" w:sz="0" w:space="0" w:color="auto"/>
                        <w:bottom w:val="none" w:sz="0" w:space="0" w:color="auto"/>
                        <w:right w:val="none" w:sz="0" w:space="0" w:color="auto"/>
                      </w:divBdr>
                    </w:div>
                  </w:divsChild>
                </w:div>
                <w:div w:id="1669360309">
                  <w:marLeft w:val="0"/>
                  <w:marRight w:val="0"/>
                  <w:marTop w:val="0"/>
                  <w:marBottom w:val="0"/>
                  <w:divBdr>
                    <w:top w:val="none" w:sz="0" w:space="0" w:color="auto"/>
                    <w:left w:val="none" w:sz="0" w:space="0" w:color="auto"/>
                    <w:bottom w:val="none" w:sz="0" w:space="0" w:color="auto"/>
                    <w:right w:val="none" w:sz="0" w:space="0" w:color="auto"/>
                  </w:divBdr>
                  <w:divsChild>
                    <w:div w:id="563762231">
                      <w:marLeft w:val="0"/>
                      <w:marRight w:val="0"/>
                      <w:marTop w:val="0"/>
                      <w:marBottom w:val="0"/>
                      <w:divBdr>
                        <w:top w:val="none" w:sz="0" w:space="0" w:color="auto"/>
                        <w:left w:val="none" w:sz="0" w:space="0" w:color="auto"/>
                        <w:bottom w:val="none" w:sz="0" w:space="0" w:color="auto"/>
                        <w:right w:val="none" w:sz="0" w:space="0" w:color="auto"/>
                      </w:divBdr>
                    </w:div>
                  </w:divsChild>
                </w:div>
                <w:div w:id="1674528277">
                  <w:marLeft w:val="0"/>
                  <w:marRight w:val="0"/>
                  <w:marTop w:val="0"/>
                  <w:marBottom w:val="0"/>
                  <w:divBdr>
                    <w:top w:val="none" w:sz="0" w:space="0" w:color="auto"/>
                    <w:left w:val="none" w:sz="0" w:space="0" w:color="auto"/>
                    <w:bottom w:val="none" w:sz="0" w:space="0" w:color="auto"/>
                    <w:right w:val="none" w:sz="0" w:space="0" w:color="auto"/>
                  </w:divBdr>
                  <w:divsChild>
                    <w:div w:id="1159732345">
                      <w:marLeft w:val="0"/>
                      <w:marRight w:val="0"/>
                      <w:marTop w:val="0"/>
                      <w:marBottom w:val="0"/>
                      <w:divBdr>
                        <w:top w:val="none" w:sz="0" w:space="0" w:color="auto"/>
                        <w:left w:val="none" w:sz="0" w:space="0" w:color="auto"/>
                        <w:bottom w:val="none" w:sz="0" w:space="0" w:color="auto"/>
                        <w:right w:val="none" w:sz="0" w:space="0" w:color="auto"/>
                      </w:divBdr>
                    </w:div>
                  </w:divsChild>
                </w:div>
                <w:div w:id="1674599794">
                  <w:marLeft w:val="0"/>
                  <w:marRight w:val="0"/>
                  <w:marTop w:val="0"/>
                  <w:marBottom w:val="0"/>
                  <w:divBdr>
                    <w:top w:val="none" w:sz="0" w:space="0" w:color="auto"/>
                    <w:left w:val="none" w:sz="0" w:space="0" w:color="auto"/>
                    <w:bottom w:val="none" w:sz="0" w:space="0" w:color="auto"/>
                    <w:right w:val="none" w:sz="0" w:space="0" w:color="auto"/>
                  </w:divBdr>
                  <w:divsChild>
                    <w:div w:id="569654162">
                      <w:marLeft w:val="0"/>
                      <w:marRight w:val="0"/>
                      <w:marTop w:val="0"/>
                      <w:marBottom w:val="0"/>
                      <w:divBdr>
                        <w:top w:val="none" w:sz="0" w:space="0" w:color="auto"/>
                        <w:left w:val="none" w:sz="0" w:space="0" w:color="auto"/>
                        <w:bottom w:val="none" w:sz="0" w:space="0" w:color="auto"/>
                        <w:right w:val="none" w:sz="0" w:space="0" w:color="auto"/>
                      </w:divBdr>
                    </w:div>
                  </w:divsChild>
                </w:div>
                <w:div w:id="1676541974">
                  <w:marLeft w:val="0"/>
                  <w:marRight w:val="0"/>
                  <w:marTop w:val="0"/>
                  <w:marBottom w:val="0"/>
                  <w:divBdr>
                    <w:top w:val="none" w:sz="0" w:space="0" w:color="auto"/>
                    <w:left w:val="none" w:sz="0" w:space="0" w:color="auto"/>
                    <w:bottom w:val="none" w:sz="0" w:space="0" w:color="auto"/>
                    <w:right w:val="none" w:sz="0" w:space="0" w:color="auto"/>
                  </w:divBdr>
                  <w:divsChild>
                    <w:div w:id="232278631">
                      <w:marLeft w:val="0"/>
                      <w:marRight w:val="0"/>
                      <w:marTop w:val="0"/>
                      <w:marBottom w:val="0"/>
                      <w:divBdr>
                        <w:top w:val="none" w:sz="0" w:space="0" w:color="auto"/>
                        <w:left w:val="none" w:sz="0" w:space="0" w:color="auto"/>
                        <w:bottom w:val="none" w:sz="0" w:space="0" w:color="auto"/>
                        <w:right w:val="none" w:sz="0" w:space="0" w:color="auto"/>
                      </w:divBdr>
                    </w:div>
                  </w:divsChild>
                </w:div>
                <w:div w:id="1678969428">
                  <w:marLeft w:val="0"/>
                  <w:marRight w:val="0"/>
                  <w:marTop w:val="0"/>
                  <w:marBottom w:val="0"/>
                  <w:divBdr>
                    <w:top w:val="none" w:sz="0" w:space="0" w:color="auto"/>
                    <w:left w:val="none" w:sz="0" w:space="0" w:color="auto"/>
                    <w:bottom w:val="none" w:sz="0" w:space="0" w:color="auto"/>
                    <w:right w:val="none" w:sz="0" w:space="0" w:color="auto"/>
                  </w:divBdr>
                  <w:divsChild>
                    <w:div w:id="1392385672">
                      <w:marLeft w:val="0"/>
                      <w:marRight w:val="0"/>
                      <w:marTop w:val="0"/>
                      <w:marBottom w:val="0"/>
                      <w:divBdr>
                        <w:top w:val="none" w:sz="0" w:space="0" w:color="auto"/>
                        <w:left w:val="none" w:sz="0" w:space="0" w:color="auto"/>
                        <w:bottom w:val="none" w:sz="0" w:space="0" w:color="auto"/>
                        <w:right w:val="none" w:sz="0" w:space="0" w:color="auto"/>
                      </w:divBdr>
                    </w:div>
                  </w:divsChild>
                </w:div>
                <w:div w:id="1681856579">
                  <w:marLeft w:val="0"/>
                  <w:marRight w:val="0"/>
                  <w:marTop w:val="0"/>
                  <w:marBottom w:val="0"/>
                  <w:divBdr>
                    <w:top w:val="none" w:sz="0" w:space="0" w:color="auto"/>
                    <w:left w:val="none" w:sz="0" w:space="0" w:color="auto"/>
                    <w:bottom w:val="none" w:sz="0" w:space="0" w:color="auto"/>
                    <w:right w:val="none" w:sz="0" w:space="0" w:color="auto"/>
                  </w:divBdr>
                  <w:divsChild>
                    <w:div w:id="2129272450">
                      <w:marLeft w:val="0"/>
                      <w:marRight w:val="0"/>
                      <w:marTop w:val="0"/>
                      <w:marBottom w:val="0"/>
                      <w:divBdr>
                        <w:top w:val="none" w:sz="0" w:space="0" w:color="auto"/>
                        <w:left w:val="none" w:sz="0" w:space="0" w:color="auto"/>
                        <w:bottom w:val="none" w:sz="0" w:space="0" w:color="auto"/>
                        <w:right w:val="none" w:sz="0" w:space="0" w:color="auto"/>
                      </w:divBdr>
                    </w:div>
                  </w:divsChild>
                </w:div>
                <w:div w:id="1682857076">
                  <w:marLeft w:val="0"/>
                  <w:marRight w:val="0"/>
                  <w:marTop w:val="0"/>
                  <w:marBottom w:val="0"/>
                  <w:divBdr>
                    <w:top w:val="none" w:sz="0" w:space="0" w:color="auto"/>
                    <w:left w:val="none" w:sz="0" w:space="0" w:color="auto"/>
                    <w:bottom w:val="none" w:sz="0" w:space="0" w:color="auto"/>
                    <w:right w:val="none" w:sz="0" w:space="0" w:color="auto"/>
                  </w:divBdr>
                  <w:divsChild>
                    <w:div w:id="1487165682">
                      <w:marLeft w:val="0"/>
                      <w:marRight w:val="0"/>
                      <w:marTop w:val="0"/>
                      <w:marBottom w:val="0"/>
                      <w:divBdr>
                        <w:top w:val="none" w:sz="0" w:space="0" w:color="auto"/>
                        <w:left w:val="none" w:sz="0" w:space="0" w:color="auto"/>
                        <w:bottom w:val="none" w:sz="0" w:space="0" w:color="auto"/>
                        <w:right w:val="none" w:sz="0" w:space="0" w:color="auto"/>
                      </w:divBdr>
                    </w:div>
                  </w:divsChild>
                </w:div>
                <w:div w:id="1688873815">
                  <w:marLeft w:val="0"/>
                  <w:marRight w:val="0"/>
                  <w:marTop w:val="0"/>
                  <w:marBottom w:val="0"/>
                  <w:divBdr>
                    <w:top w:val="none" w:sz="0" w:space="0" w:color="auto"/>
                    <w:left w:val="none" w:sz="0" w:space="0" w:color="auto"/>
                    <w:bottom w:val="none" w:sz="0" w:space="0" w:color="auto"/>
                    <w:right w:val="none" w:sz="0" w:space="0" w:color="auto"/>
                  </w:divBdr>
                  <w:divsChild>
                    <w:div w:id="1328170742">
                      <w:marLeft w:val="0"/>
                      <w:marRight w:val="0"/>
                      <w:marTop w:val="0"/>
                      <w:marBottom w:val="0"/>
                      <w:divBdr>
                        <w:top w:val="none" w:sz="0" w:space="0" w:color="auto"/>
                        <w:left w:val="none" w:sz="0" w:space="0" w:color="auto"/>
                        <w:bottom w:val="none" w:sz="0" w:space="0" w:color="auto"/>
                        <w:right w:val="none" w:sz="0" w:space="0" w:color="auto"/>
                      </w:divBdr>
                    </w:div>
                  </w:divsChild>
                </w:div>
                <w:div w:id="1710645316">
                  <w:marLeft w:val="0"/>
                  <w:marRight w:val="0"/>
                  <w:marTop w:val="0"/>
                  <w:marBottom w:val="0"/>
                  <w:divBdr>
                    <w:top w:val="none" w:sz="0" w:space="0" w:color="auto"/>
                    <w:left w:val="none" w:sz="0" w:space="0" w:color="auto"/>
                    <w:bottom w:val="none" w:sz="0" w:space="0" w:color="auto"/>
                    <w:right w:val="none" w:sz="0" w:space="0" w:color="auto"/>
                  </w:divBdr>
                  <w:divsChild>
                    <w:div w:id="1871452618">
                      <w:marLeft w:val="0"/>
                      <w:marRight w:val="0"/>
                      <w:marTop w:val="0"/>
                      <w:marBottom w:val="0"/>
                      <w:divBdr>
                        <w:top w:val="none" w:sz="0" w:space="0" w:color="auto"/>
                        <w:left w:val="none" w:sz="0" w:space="0" w:color="auto"/>
                        <w:bottom w:val="none" w:sz="0" w:space="0" w:color="auto"/>
                        <w:right w:val="none" w:sz="0" w:space="0" w:color="auto"/>
                      </w:divBdr>
                    </w:div>
                  </w:divsChild>
                </w:div>
                <w:div w:id="1722244895">
                  <w:marLeft w:val="0"/>
                  <w:marRight w:val="0"/>
                  <w:marTop w:val="0"/>
                  <w:marBottom w:val="0"/>
                  <w:divBdr>
                    <w:top w:val="none" w:sz="0" w:space="0" w:color="auto"/>
                    <w:left w:val="none" w:sz="0" w:space="0" w:color="auto"/>
                    <w:bottom w:val="none" w:sz="0" w:space="0" w:color="auto"/>
                    <w:right w:val="none" w:sz="0" w:space="0" w:color="auto"/>
                  </w:divBdr>
                  <w:divsChild>
                    <w:div w:id="1824198213">
                      <w:marLeft w:val="0"/>
                      <w:marRight w:val="0"/>
                      <w:marTop w:val="0"/>
                      <w:marBottom w:val="0"/>
                      <w:divBdr>
                        <w:top w:val="none" w:sz="0" w:space="0" w:color="auto"/>
                        <w:left w:val="none" w:sz="0" w:space="0" w:color="auto"/>
                        <w:bottom w:val="none" w:sz="0" w:space="0" w:color="auto"/>
                        <w:right w:val="none" w:sz="0" w:space="0" w:color="auto"/>
                      </w:divBdr>
                    </w:div>
                  </w:divsChild>
                </w:div>
                <w:div w:id="1729762508">
                  <w:marLeft w:val="0"/>
                  <w:marRight w:val="0"/>
                  <w:marTop w:val="0"/>
                  <w:marBottom w:val="0"/>
                  <w:divBdr>
                    <w:top w:val="none" w:sz="0" w:space="0" w:color="auto"/>
                    <w:left w:val="none" w:sz="0" w:space="0" w:color="auto"/>
                    <w:bottom w:val="none" w:sz="0" w:space="0" w:color="auto"/>
                    <w:right w:val="none" w:sz="0" w:space="0" w:color="auto"/>
                  </w:divBdr>
                  <w:divsChild>
                    <w:div w:id="2126463817">
                      <w:marLeft w:val="0"/>
                      <w:marRight w:val="0"/>
                      <w:marTop w:val="0"/>
                      <w:marBottom w:val="0"/>
                      <w:divBdr>
                        <w:top w:val="none" w:sz="0" w:space="0" w:color="auto"/>
                        <w:left w:val="none" w:sz="0" w:space="0" w:color="auto"/>
                        <w:bottom w:val="none" w:sz="0" w:space="0" w:color="auto"/>
                        <w:right w:val="none" w:sz="0" w:space="0" w:color="auto"/>
                      </w:divBdr>
                    </w:div>
                  </w:divsChild>
                </w:div>
                <w:div w:id="1731921255">
                  <w:marLeft w:val="0"/>
                  <w:marRight w:val="0"/>
                  <w:marTop w:val="0"/>
                  <w:marBottom w:val="0"/>
                  <w:divBdr>
                    <w:top w:val="none" w:sz="0" w:space="0" w:color="auto"/>
                    <w:left w:val="none" w:sz="0" w:space="0" w:color="auto"/>
                    <w:bottom w:val="none" w:sz="0" w:space="0" w:color="auto"/>
                    <w:right w:val="none" w:sz="0" w:space="0" w:color="auto"/>
                  </w:divBdr>
                  <w:divsChild>
                    <w:div w:id="1976400624">
                      <w:marLeft w:val="0"/>
                      <w:marRight w:val="0"/>
                      <w:marTop w:val="0"/>
                      <w:marBottom w:val="0"/>
                      <w:divBdr>
                        <w:top w:val="none" w:sz="0" w:space="0" w:color="auto"/>
                        <w:left w:val="none" w:sz="0" w:space="0" w:color="auto"/>
                        <w:bottom w:val="none" w:sz="0" w:space="0" w:color="auto"/>
                        <w:right w:val="none" w:sz="0" w:space="0" w:color="auto"/>
                      </w:divBdr>
                    </w:div>
                  </w:divsChild>
                </w:div>
                <w:div w:id="1734354852">
                  <w:marLeft w:val="0"/>
                  <w:marRight w:val="0"/>
                  <w:marTop w:val="0"/>
                  <w:marBottom w:val="0"/>
                  <w:divBdr>
                    <w:top w:val="none" w:sz="0" w:space="0" w:color="auto"/>
                    <w:left w:val="none" w:sz="0" w:space="0" w:color="auto"/>
                    <w:bottom w:val="none" w:sz="0" w:space="0" w:color="auto"/>
                    <w:right w:val="none" w:sz="0" w:space="0" w:color="auto"/>
                  </w:divBdr>
                  <w:divsChild>
                    <w:div w:id="1837108658">
                      <w:marLeft w:val="0"/>
                      <w:marRight w:val="0"/>
                      <w:marTop w:val="0"/>
                      <w:marBottom w:val="0"/>
                      <w:divBdr>
                        <w:top w:val="none" w:sz="0" w:space="0" w:color="auto"/>
                        <w:left w:val="none" w:sz="0" w:space="0" w:color="auto"/>
                        <w:bottom w:val="none" w:sz="0" w:space="0" w:color="auto"/>
                        <w:right w:val="none" w:sz="0" w:space="0" w:color="auto"/>
                      </w:divBdr>
                    </w:div>
                  </w:divsChild>
                </w:div>
                <w:div w:id="1736977386">
                  <w:marLeft w:val="0"/>
                  <w:marRight w:val="0"/>
                  <w:marTop w:val="0"/>
                  <w:marBottom w:val="0"/>
                  <w:divBdr>
                    <w:top w:val="none" w:sz="0" w:space="0" w:color="auto"/>
                    <w:left w:val="none" w:sz="0" w:space="0" w:color="auto"/>
                    <w:bottom w:val="none" w:sz="0" w:space="0" w:color="auto"/>
                    <w:right w:val="none" w:sz="0" w:space="0" w:color="auto"/>
                  </w:divBdr>
                  <w:divsChild>
                    <w:div w:id="1855605367">
                      <w:marLeft w:val="0"/>
                      <w:marRight w:val="0"/>
                      <w:marTop w:val="0"/>
                      <w:marBottom w:val="0"/>
                      <w:divBdr>
                        <w:top w:val="none" w:sz="0" w:space="0" w:color="auto"/>
                        <w:left w:val="none" w:sz="0" w:space="0" w:color="auto"/>
                        <w:bottom w:val="none" w:sz="0" w:space="0" w:color="auto"/>
                        <w:right w:val="none" w:sz="0" w:space="0" w:color="auto"/>
                      </w:divBdr>
                    </w:div>
                  </w:divsChild>
                </w:div>
                <w:div w:id="1737051394">
                  <w:marLeft w:val="0"/>
                  <w:marRight w:val="0"/>
                  <w:marTop w:val="0"/>
                  <w:marBottom w:val="0"/>
                  <w:divBdr>
                    <w:top w:val="none" w:sz="0" w:space="0" w:color="auto"/>
                    <w:left w:val="none" w:sz="0" w:space="0" w:color="auto"/>
                    <w:bottom w:val="none" w:sz="0" w:space="0" w:color="auto"/>
                    <w:right w:val="none" w:sz="0" w:space="0" w:color="auto"/>
                  </w:divBdr>
                  <w:divsChild>
                    <w:div w:id="1856798084">
                      <w:marLeft w:val="0"/>
                      <w:marRight w:val="0"/>
                      <w:marTop w:val="0"/>
                      <w:marBottom w:val="0"/>
                      <w:divBdr>
                        <w:top w:val="none" w:sz="0" w:space="0" w:color="auto"/>
                        <w:left w:val="none" w:sz="0" w:space="0" w:color="auto"/>
                        <w:bottom w:val="none" w:sz="0" w:space="0" w:color="auto"/>
                        <w:right w:val="none" w:sz="0" w:space="0" w:color="auto"/>
                      </w:divBdr>
                    </w:div>
                  </w:divsChild>
                </w:div>
                <w:div w:id="1743065161">
                  <w:marLeft w:val="0"/>
                  <w:marRight w:val="0"/>
                  <w:marTop w:val="0"/>
                  <w:marBottom w:val="0"/>
                  <w:divBdr>
                    <w:top w:val="none" w:sz="0" w:space="0" w:color="auto"/>
                    <w:left w:val="none" w:sz="0" w:space="0" w:color="auto"/>
                    <w:bottom w:val="none" w:sz="0" w:space="0" w:color="auto"/>
                    <w:right w:val="none" w:sz="0" w:space="0" w:color="auto"/>
                  </w:divBdr>
                  <w:divsChild>
                    <w:div w:id="1845126481">
                      <w:marLeft w:val="0"/>
                      <w:marRight w:val="0"/>
                      <w:marTop w:val="0"/>
                      <w:marBottom w:val="0"/>
                      <w:divBdr>
                        <w:top w:val="none" w:sz="0" w:space="0" w:color="auto"/>
                        <w:left w:val="none" w:sz="0" w:space="0" w:color="auto"/>
                        <w:bottom w:val="none" w:sz="0" w:space="0" w:color="auto"/>
                        <w:right w:val="none" w:sz="0" w:space="0" w:color="auto"/>
                      </w:divBdr>
                    </w:div>
                  </w:divsChild>
                </w:div>
                <w:div w:id="1750156260">
                  <w:marLeft w:val="0"/>
                  <w:marRight w:val="0"/>
                  <w:marTop w:val="0"/>
                  <w:marBottom w:val="0"/>
                  <w:divBdr>
                    <w:top w:val="none" w:sz="0" w:space="0" w:color="auto"/>
                    <w:left w:val="none" w:sz="0" w:space="0" w:color="auto"/>
                    <w:bottom w:val="none" w:sz="0" w:space="0" w:color="auto"/>
                    <w:right w:val="none" w:sz="0" w:space="0" w:color="auto"/>
                  </w:divBdr>
                  <w:divsChild>
                    <w:div w:id="2098817858">
                      <w:marLeft w:val="0"/>
                      <w:marRight w:val="0"/>
                      <w:marTop w:val="0"/>
                      <w:marBottom w:val="0"/>
                      <w:divBdr>
                        <w:top w:val="none" w:sz="0" w:space="0" w:color="auto"/>
                        <w:left w:val="none" w:sz="0" w:space="0" w:color="auto"/>
                        <w:bottom w:val="none" w:sz="0" w:space="0" w:color="auto"/>
                        <w:right w:val="none" w:sz="0" w:space="0" w:color="auto"/>
                      </w:divBdr>
                    </w:div>
                  </w:divsChild>
                </w:div>
                <w:div w:id="1750424412">
                  <w:marLeft w:val="0"/>
                  <w:marRight w:val="0"/>
                  <w:marTop w:val="0"/>
                  <w:marBottom w:val="0"/>
                  <w:divBdr>
                    <w:top w:val="none" w:sz="0" w:space="0" w:color="auto"/>
                    <w:left w:val="none" w:sz="0" w:space="0" w:color="auto"/>
                    <w:bottom w:val="none" w:sz="0" w:space="0" w:color="auto"/>
                    <w:right w:val="none" w:sz="0" w:space="0" w:color="auto"/>
                  </w:divBdr>
                  <w:divsChild>
                    <w:div w:id="351273046">
                      <w:marLeft w:val="0"/>
                      <w:marRight w:val="0"/>
                      <w:marTop w:val="0"/>
                      <w:marBottom w:val="0"/>
                      <w:divBdr>
                        <w:top w:val="none" w:sz="0" w:space="0" w:color="auto"/>
                        <w:left w:val="none" w:sz="0" w:space="0" w:color="auto"/>
                        <w:bottom w:val="none" w:sz="0" w:space="0" w:color="auto"/>
                        <w:right w:val="none" w:sz="0" w:space="0" w:color="auto"/>
                      </w:divBdr>
                    </w:div>
                  </w:divsChild>
                </w:div>
                <w:div w:id="1752579201">
                  <w:marLeft w:val="0"/>
                  <w:marRight w:val="0"/>
                  <w:marTop w:val="0"/>
                  <w:marBottom w:val="0"/>
                  <w:divBdr>
                    <w:top w:val="none" w:sz="0" w:space="0" w:color="auto"/>
                    <w:left w:val="none" w:sz="0" w:space="0" w:color="auto"/>
                    <w:bottom w:val="none" w:sz="0" w:space="0" w:color="auto"/>
                    <w:right w:val="none" w:sz="0" w:space="0" w:color="auto"/>
                  </w:divBdr>
                  <w:divsChild>
                    <w:div w:id="435905185">
                      <w:marLeft w:val="0"/>
                      <w:marRight w:val="0"/>
                      <w:marTop w:val="0"/>
                      <w:marBottom w:val="0"/>
                      <w:divBdr>
                        <w:top w:val="none" w:sz="0" w:space="0" w:color="auto"/>
                        <w:left w:val="none" w:sz="0" w:space="0" w:color="auto"/>
                        <w:bottom w:val="none" w:sz="0" w:space="0" w:color="auto"/>
                        <w:right w:val="none" w:sz="0" w:space="0" w:color="auto"/>
                      </w:divBdr>
                    </w:div>
                  </w:divsChild>
                </w:div>
                <w:div w:id="1752851798">
                  <w:marLeft w:val="0"/>
                  <w:marRight w:val="0"/>
                  <w:marTop w:val="0"/>
                  <w:marBottom w:val="0"/>
                  <w:divBdr>
                    <w:top w:val="none" w:sz="0" w:space="0" w:color="auto"/>
                    <w:left w:val="none" w:sz="0" w:space="0" w:color="auto"/>
                    <w:bottom w:val="none" w:sz="0" w:space="0" w:color="auto"/>
                    <w:right w:val="none" w:sz="0" w:space="0" w:color="auto"/>
                  </w:divBdr>
                  <w:divsChild>
                    <w:div w:id="1653559107">
                      <w:marLeft w:val="0"/>
                      <w:marRight w:val="0"/>
                      <w:marTop w:val="0"/>
                      <w:marBottom w:val="0"/>
                      <w:divBdr>
                        <w:top w:val="none" w:sz="0" w:space="0" w:color="auto"/>
                        <w:left w:val="none" w:sz="0" w:space="0" w:color="auto"/>
                        <w:bottom w:val="none" w:sz="0" w:space="0" w:color="auto"/>
                        <w:right w:val="none" w:sz="0" w:space="0" w:color="auto"/>
                      </w:divBdr>
                    </w:div>
                  </w:divsChild>
                </w:div>
                <w:div w:id="1754741481">
                  <w:marLeft w:val="0"/>
                  <w:marRight w:val="0"/>
                  <w:marTop w:val="0"/>
                  <w:marBottom w:val="0"/>
                  <w:divBdr>
                    <w:top w:val="none" w:sz="0" w:space="0" w:color="auto"/>
                    <w:left w:val="none" w:sz="0" w:space="0" w:color="auto"/>
                    <w:bottom w:val="none" w:sz="0" w:space="0" w:color="auto"/>
                    <w:right w:val="none" w:sz="0" w:space="0" w:color="auto"/>
                  </w:divBdr>
                  <w:divsChild>
                    <w:div w:id="1078138017">
                      <w:marLeft w:val="0"/>
                      <w:marRight w:val="0"/>
                      <w:marTop w:val="0"/>
                      <w:marBottom w:val="0"/>
                      <w:divBdr>
                        <w:top w:val="none" w:sz="0" w:space="0" w:color="auto"/>
                        <w:left w:val="none" w:sz="0" w:space="0" w:color="auto"/>
                        <w:bottom w:val="none" w:sz="0" w:space="0" w:color="auto"/>
                        <w:right w:val="none" w:sz="0" w:space="0" w:color="auto"/>
                      </w:divBdr>
                    </w:div>
                  </w:divsChild>
                </w:div>
                <w:div w:id="1755587827">
                  <w:marLeft w:val="0"/>
                  <w:marRight w:val="0"/>
                  <w:marTop w:val="0"/>
                  <w:marBottom w:val="0"/>
                  <w:divBdr>
                    <w:top w:val="none" w:sz="0" w:space="0" w:color="auto"/>
                    <w:left w:val="none" w:sz="0" w:space="0" w:color="auto"/>
                    <w:bottom w:val="none" w:sz="0" w:space="0" w:color="auto"/>
                    <w:right w:val="none" w:sz="0" w:space="0" w:color="auto"/>
                  </w:divBdr>
                  <w:divsChild>
                    <w:div w:id="615671628">
                      <w:marLeft w:val="0"/>
                      <w:marRight w:val="0"/>
                      <w:marTop w:val="0"/>
                      <w:marBottom w:val="0"/>
                      <w:divBdr>
                        <w:top w:val="none" w:sz="0" w:space="0" w:color="auto"/>
                        <w:left w:val="none" w:sz="0" w:space="0" w:color="auto"/>
                        <w:bottom w:val="none" w:sz="0" w:space="0" w:color="auto"/>
                        <w:right w:val="none" w:sz="0" w:space="0" w:color="auto"/>
                      </w:divBdr>
                    </w:div>
                  </w:divsChild>
                </w:div>
                <w:div w:id="1757484159">
                  <w:marLeft w:val="0"/>
                  <w:marRight w:val="0"/>
                  <w:marTop w:val="0"/>
                  <w:marBottom w:val="0"/>
                  <w:divBdr>
                    <w:top w:val="none" w:sz="0" w:space="0" w:color="auto"/>
                    <w:left w:val="none" w:sz="0" w:space="0" w:color="auto"/>
                    <w:bottom w:val="none" w:sz="0" w:space="0" w:color="auto"/>
                    <w:right w:val="none" w:sz="0" w:space="0" w:color="auto"/>
                  </w:divBdr>
                  <w:divsChild>
                    <w:div w:id="1997997513">
                      <w:marLeft w:val="0"/>
                      <w:marRight w:val="0"/>
                      <w:marTop w:val="0"/>
                      <w:marBottom w:val="0"/>
                      <w:divBdr>
                        <w:top w:val="none" w:sz="0" w:space="0" w:color="auto"/>
                        <w:left w:val="none" w:sz="0" w:space="0" w:color="auto"/>
                        <w:bottom w:val="none" w:sz="0" w:space="0" w:color="auto"/>
                        <w:right w:val="none" w:sz="0" w:space="0" w:color="auto"/>
                      </w:divBdr>
                    </w:div>
                  </w:divsChild>
                </w:div>
                <w:div w:id="1769738407">
                  <w:marLeft w:val="0"/>
                  <w:marRight w:val="0"/>
                  <w:marTop w:val="0"/>
                  <w:marBottom w:val="0"/>
                  <w:divBdr>
                    <w:top w:val="none" w:sz="0" w:space="0" w:color="auto"/>
                    <w:left w:val="none" w:sz="0" w:space="0" w:color="auto"/>
                    <w:bottom w:val="none" w:sz="0" w:space="0" w:color="auto"/>
                    <w:right w:val="none" w:sz="0" w:space="0" w:color="auto"/>
                  </w:divBdr>
                  <w:divsChild>
                    <w:div w:id="2030063327">
                      <w:marLeft w:val="0"/>
                      <w:marRight w:val="0"/>
                      <w:marTop w:val="0"/>
                      <w:marBottom w:val="0"/>
                      <w:divBdr>
                        <w:top w:val="none" w:sz="0" w:space="0" w:color="auto"/>
                        <w:left w:val="none" w:sz="0" w:space="0" w:color="auto"/>
                        <w:bottom w:val="none" w:sz="0" w:space="0" w:color="auto"/>
                        <w:right w:val="none" w:sz="0" w:space="0" w:color="auto"/>
                      </w:divBdr>
                    </w:div>
                  </w:divsChild>
                </w:div>
                <w:div w:id="1772582180">
                  <w:marLeft w:val="0"/>
                  <w:marRight w:val="0"/>
                  <w:marTop w:val="0"/>
                  <w:marBottom w:val="0"/>
                  <w:divBdr>
                    <w:top w:val="none" w:sz="0" w:space="0" w:color="auto"/>
                    <w:left w:val="none" w:sz="0" w:space="0" w:color="auto"/>
                    <w:bottom w:val="none" w:sz="0" w:space="0" w:color="auto"/>
                    <w:right w:val="none" w:sz="0" w:space="0" w:color="auto"/>
                  </w:divBdr>
                  <w:divsChild>
                    <w:div w:id="1793329372">
                      <w:marLeft w:val="0"/>
                      <w:marRight w:val="0"/>
                      <w:marTop w:val="0"/>
                      <w:marBottom w:val="0"/>
                      <w:divBdr>
                        <w:top w:val="none" w:sz="0" w:space="0" w:color="auto"/>
                        <w:left w:val="none" w:sz="0" w:space="0" w:color="auto"/>
                        <w:bottom w:val="none" w:sz="0" w:space="0" w:color="auto"/>
                        <w:right w:val="none" w:sz="0" w:space="0" w:color="auto"/>
                      </w:divBdr>
                    </w:div>
                  </w:divsChild>
                </w:div>
                <w:div w:id="1777407577">
                  <w:marLeft w:val="0"/>
                  <w:marRight w:val="0"/>
                  <w:marTop w:val="0"/>
                  <w:marBottom w:val="0"/>
                  <w:divBdr>
                    <w:top w:val="none" w:sz="0" w:space="0" w:color="auto"/>
                    <w:left w:val="none" w:sz="0" w:space="0" w:color="auto"/>
                    <w:bottom w:val="none" w:sz="0" w:space="0" w:color="auto"/>
                    <w:right w:val="none" w:sz="0" w:space="0" w:color="auto"/>
                  </w:divBdr>
                  <w:divsChild>
                    <w:div w:id="1636174378">
                      <w:marLeft w:val="0"/>
                      <w:marRight w:val="0"/>
                      <w:marTop w:val="0"/>
                      <w:marBottom w:val="0"/>
                      <w:divBdr>
                        <w:top w:val="none" w:sz="0" w:space="0" w:color="auto"/>
                        <w:left w:val="none" w:sz="0" w:space="0" w:color="auto"/>
                        <w:bottom w:val="none" w:sz="0" w:space="0" w:color="auto"/>
                        <w:right w:val="none" w:sz="0" w:space="0" w:color="auto"/>
                      </w:divBdr>
                    </w:div>
                  </w:divsChild>
                </w:div>
                <w:div w:id="1777795645">
                  <w:marLeft w:val="0"/>
                  <w:marRight w:val="0"/>
                  <w:marTop w:val="0"/>
                  <w:marBottom w:val="0"/>
                  <w:divBdr>
                    <w:top w:val="none" w:sz="0" w:space="0" w:color="auto"/>
                    <w:left w:val="none" w:sz="0" w:space="0" w:color="auto"/>
                    <w:bottom w:val="none" w:sz="0" w:space="0" w:color="auto"/>
                    <w:right w:val="none" w:sz="0" w:space="0" w:color="auto"/>
                  </w:divBdr>
                  <w:divsChild>
                    <w:div w:id="2106026351">
                      <w:marLeft w:val="0"/>
                      <w:marRight w:val="0"/>
                      <w:marTop w:val="0"/>
                      <w:marBottom w:val="0"/>
                      <w:divBdr>
                        <w:top w:val="none" w:sz="0" w:space="0" w:color="auto"/>
                        <w:left w:val="none" w:sz="0" w:space="0" w:color="auto"/>
                        <w:bottom w:val="none" w:sz="0" w:space="0" w:color="auto"/>
                        <w:right w:val="none" w:sz="0" w:space="0" w:color="auto"/>
                      </w:divBdr>
                    </w:div>
                  </w:divsChild>
                </w:div>
                <w:div w:id="1778941389">
                  <w:marLeft w:val="0"/>
                  <w:marRight w:val="0"/>
                  <w:marTop w:val="0"/>
                  <w:marBottom w:val="0"/>
                  <w:divBdr>
                    <w:top w:val="none" w:sz="0" w:space="0" w:color="auto"/>
                    <w:left w:val="none" w:sz="0" w:space="0" w:color="auto"/>
                    <w:bottom w:val="none" w:sz="0" w:space="0" w:color="auto"/>
                    <w:right w:val="none" w:sz="0" w:space="0" w:color="auto"/>
                  </w:divBdr>
                  <w:divsChild>
                    <w:div w:id="2120758462">
                      <w:marLeft w:val="0"/>
                      <w:marRight w:val="0"/>
                      <w:marTop w:val="0"/>
                      <w:marBottom w:val="0"/>
                      <w:divBdr>
                        <w:top w:val="none" w:sz="0" w:space="0" w:color="auto"/>
                        <w:left w:val="none" w:sz="0" w:space="0" w:color="auto"/>
                        <w:bottom w:val="none" w:sz="0" w:space="0" w:color="auto"/>
                        <w:right w:val="none" w:sz="0" w:space="0" w:color="auto"/>
                      </w:divBdr>
                    </w:div>
                  </w:divsChild>
                </w:div>
                <w:div w:id="1779524171">
                  <w:marLeft w:val="0"/>
                  <w:marRight w:val="0"/>
                  <w:marTop w:val="0"/>
                  <w:marBottom w:val="0"/>
                  <w:divBdr>
                    <w:top w:val="none" w:sz="0" w:space="0" w:color="auto"/>
                    <w:left w:val="none" w:sz="0" w:space="0" w:color="auto"/>
                    <w:bottom w:val="none" w:sz="0" w:space="0" w:color="auto"/>
                    <w:right w:val="none" w:sz="0" w:space="0" w:color="auto"/>
                  </w:divBdr>
                  <w:divsChild>
                    <w:div w:id="1269266893">
                      <w:marLeft w:val="0"/>
                      <w:marRight w:val="0"/>
                      <w:marTop w:val="0"/>
                      <w:marBottom w:val="0"/>
                      <w:divBdr>
                        <w:top w:val="none" w:sz="0" w:space="0" w:color="auto"/>
                        <w:left w:val="none" w:sz="0" w:space="0" w:color="auto"/>
                        <w:bottom w:val="none" w:sz="0" w:space="0" w:color="auto"/>
                        <w:right w:val="none" w:sz="0" w:space="0" w:color="auto"/>
                      </w:divBdr>
                    </w:div>
                  </w:divsChild>
                </w:div>
                <w:div w:id="1781409859">
                  <w:marLeft w:val="0"/>
                  <w:marRight w:val="0"/>
                  <w:marTop w:val="0"/>
                  <w:marBottom w:val="0"/>
                  <w:divBdr>
                    <w:top w:val="none" w:sz="0" w:space="0" w:color="auto"/>
                    <w:left w:val="none" w:sz="0" w:space="0" w:color="auto"/>
                    <w:bottom w:val="none" w:sz="0" w:space="0" w:color="auto"/>
                    <w:right w:val="none" w:sz="0" w:space="0" w:color="auto"/>
                  </w:divBdr>
                  <w:divsChild>
                    <w:div w:id="1253202346">
                      <w:marLeft w:val="0"/>
                      <w:marRight w:val="0"/>
                      <w:marTop w:val="0"/>
                      <w:marBottom w:val="0"/>
                      <w:divBdr>
                        <w:top w:val="none" w:sz="0" w:space="0" w:color="auto"/>
                        <w:left w:val="none" w:sz="0" w:space="0" w:color="auto"/>
                        <w:bottom w:val="none" w:sz="0" w:space="0" w:color="auto"/>
                        <w:right w:val="none" w:sz="0" w:space="0" w:color="auto"/>
                      </w:divBdr>
                    </w:div>
                  </w:divsChild>
                </w:div>
                <w:div w:id="1781605202">
                  <w:marLeft w:val="0"/>
                  <w:marRight w:val="0"/>
                  <w:marTop w:val="0"/>
                  <w:marBottom w:val="0"/>
                  <w:divBdr>
                    <w:top w:val="none" w:sz="0" w:space="0" w:color="auto"/>
                    <w:left w:val="none" w:sz="0" w:space="0" w:color="auto"/>
                    <w:bottom w:val="none" w:sz="0" w:space="0" w:color="auto"/>
                    <w:right w:val="none" w:sz="0" w:space="0" w:color="auto"/>
                  </w:divBdr>
                  <w:divsChild>
                    <w:div w:id="1238203730">
                      <w:marLeft w:val="0"/>
                      <w:marRight w:val="0"/>
                      <w:marTop w:val="0"/>
                      <w:marBottom w:val="0"/>
                      <w:divBdr>
                        <w:top w:val="none" w:sz="0" w:space="0" w:color="auto"/>
                        <w:left w:val="none" w:sz="0" w:space="0" w:color="auto"/>
                        <w:bottom w:val="none" w:sz="0" w:space="0" w:color="auto"/>
                        <w:right w:val="none" w:sz="0" w:space="0" w:color="auto"/>
                      </w:divBdr>
                    </w:div>
                  </w:divsChild>
                </w:div>
                <w:div w:id="1787116269">
                  <w:marLeft w:val="0"/>
                  <w:marRight w:val="0"/>
                  <w:marTop w:val="0"/>
                  <w:marBottom w:val="0"/>
                  <w:divBdr>
                    <w:top w:val="none" w:sz="0" w:space="0" w:color="auto"/>
                    <w:left w:val="none" w:sz="0" w:space="0" w:color="auto"/>
                    <w:bottom w:val="none" w:sz="0" w:space="0" w:color="auto"/>
                    <w:right w:val="none" w:sz="0" w:space="0" w:color="auto"/>
                  </w:divBdr>
                  <w:divsChild>
                    <w:div w:id="101537707">
                      <w:marLeft w:val="0"/>
                      <w:marRight w:val="0"/>
                      <w:marTop w:val="0"/>
                      <w:marBottom w:val="0"/>
                      <w:divBdr>
                        <w:top w:val="none" w:sz="0" w:space="0" w:color="auto"/>
                        <w:left w:val="none" w:sz="0" w:space="0" w:color="auto"/>
                        <w:bottom w:val="none" w:sz="0" w:space="0" w:color="auto"/>
                        <w:right w:val="none" w:sz="0" w:space="0" w:color="auto"/>
                      </w:divBdr>
                    </w:div>
                  </w:divsChild>
                </w:div>
                <w:div w:id="1794908002">
                  <w:marLeft w:val="0"/>
                  <w:marRight w:val="0"/>
                  <w:marTop w:val="0"/>
                  <w:marBottom w:val="0"/>
                  <w:divBdr>
                    <w:top w:val="none" w:sz="0" w:space="0" w:color="auto"/>
                    <w:left w:val="none" w:sz="0" w:space="0" w:color="auto"/>
                    <w:bottom w:val="none" w:sz="0" w:space="0" w:color="auto"/>
                    <w:right w:val="none" w:sz="0" w:space="0" w:color="auto"/>
                  </w:divBdr>
                  <w:divsChild>
                    <w:div w:id="1981643187">
                      <w:marLeft w:val="0"/>
                      <w:marRight w:val="0"/>
                      <w:marTop w:val="0"/>
                      <w:marBottom w:val="0"/>
                      <w:divBdr>
                        <w:top w:val="none" w:sz="0" w:space="0" w:color="auto"/>
                        <w:left w:val="none" w:sz="0" w:space="0" w:color="auto"/>
                        <w:bottom w:val="none" w:sz="0" w:space="0" w:color="auto"/>
                        <w:right w:val="none" w:sz="0" w:space="0" w:color="auto"/>
                      </w:divBdr>
                    </w:div>
                  </w:divsChild>
                </w:div>
                <w:div w:id="1797983657">
                  <w:marLeft w:val="0"/>
                  <w:marRight w:val="0"/>
                  <w:marTop w:val="0"/>
                  <w:marBottom w:val="0"/>
                  <w:divBdr>
                    <w:top w:val="none" w:sz="0" w:space="0" w:color="auto"/>
                    <w:left w:val="none" w:sz="0" w:space="0" w:color="auto"/>
                    <w:bottom w:val="none" w:sz="0" w:space="0" w:color="auto"/>
                    <w:right w:val="none" w:sz="0" w:space="0" w:color="auto"/>
                  </w:divBdr>
                  <w:divsChild>
                    <w:div w:id="1337420223">
                      <w:marLeft w:val="0"/>
                      <w:marRight w:val="0"/>
                      <w:marTop w:val="0"/>
                      <w:marBottom w:val="0"/>
                      <w:divBdr>
                        <w:top w:val="none" w:sz="0" w:space="0" w:color="auto"/>
                        <w:left w:val="none" w:sz="0" w:space="0" w:color="auto"/>
                        <w:bottom w:val="none" w:sz="0" w:space="0" w:color="auto"/>
                        <w:right w:val="none" w:sz="0" w:space="0" w:color="auto"/>
                      </w:divBdr>
                    </w:div>
                  </w:divsChild>
                </w:div>
                <w:div w:id="1799301029">
                  <w:marLeft w:val="0"/>
                  <w:marRight w:val="0"/>
                  <w:marTop w:val="0"/>
                  <w:marBottom w:val="0"/>
                  <w:divBdr>
                    <w:top w:val="none" w:sz="0" w:space="0" w:color="auto"/>
                    <w:left w:val="none" w:sz="0" w:space="0" w:color="auto"/>
                    <w:bottom w:val="none" w:sz="0" w:space="0" w:color="auto"/>
                    <w:right w:val="none" w:sz="0" w:space="0" w:color="auto"/>
                  </w:divBdr>
                  <w:divsChild>
                    <w:div w:id="301467755">
                      <w:marLeft w:val="0"/>
                      <w:marRight w:val="0"/>
                      <w:marTop w:val="0"/>
                      <w:marBottom w:val="0"/>
                      <w:divBdr>
                        <w:top w:val="none" w:sz="0" w:space="0" w:color="auto"/>
                        <w:left w:val="none" w:sz="0" w:space="0" w:color="auto"/>
                        <w:bottom w:val="none" w:sz="0" w:space="0" w:color="auto"/>
                        <w:right w:val="none" w:sz="0" w:space="0" w:color="auto"/>
                      </w:divBdr>
                    </w:div>
                  </w:divsChild>
                </w:div>
                <w:div w:id="1799446847">
                  <w:marLeft w:val="0"/>
                  <w:marRight w:val="0"/>
                  <w:marTop w:val="0"/>
                  <w:marBottom w:val="0"/>
                  <w:divBdr>
                    <w:top w:val="none" w:sz="0" w:space="0" w:color="auto"/>
                    <w:left w:val="none" w:sz="0" w:space="0" w:color="auto"/>
                    <w:bottom w:val="none" w:sz="0" w:space="0" w:color="auto"/>
                    <w:right w:val="none" w:sz="0" w:space="0" w:color="auto"/>
                  </w:divBdr>
                  <w:divsChild>
                    <w:div w:id="1967269576">
                      <w:marLeft w:val="0"/>
                      <w:marRight w:val="0"/>
                      <w:marTop w:val="0"/>
                      <w:marBottom w:val="0"/>
                      <w:divBdr>
                        <w:top w:val="none" w:sz="0" w:space="0" w:color="auto"/>
                        <w:left w:val="none" w:sz="0" w:space="0" w:color="auto"/>
                        <w:bottom w:val="none" w:sz="0" w:space="0" w:color="auto"/>
                        <w:right w:val="none" w:sz="0" w:space="0" w:color="auto"/>
                      </w:divBdr>
                    </w:div>
                  </w:divsChild>
                </w:div>
                <w:div w:id="1800801300">
                  <w:marLeft w:val="0"/>
                  <w:marRight w:val="0"/>
                  <w:marTop w:val="0"/>
                  <w:marBottom w:val="0"/>
                  <w:divBdr>
                    <w:top w:val="none" w:sz="0" w:space="0" w:color="auto"/>
                    <w:left w:val="none" w:sz="0" w:space="0" w:color="auto"/>
                    <w:bottom w:val="none" w:sz="0" w:space="0" w:color="auto"/>
                    <w:right w:val="none" w:sz="0" w:space="0" w:color="auto"/>
                  </w:divBdr>
                  <w:divsChild>
                    <w:div w:id="1335451821">
                      <w:marLeft w:val="0"/>
                      <w:marRight w:val="0"/>
                      <w:marTop w:val="0"/>
                      <w:marBottom w:val="0"/>
                      <w:divBdr>
                        <w:top w:val="none" w:sz="0" w:space="0" w:color="auto"/>
                        <w:left w:val="none" w:sz="0" w:space="0" w:color="auto"/>
                        <w:bottom w:val="none" w:sz="0" w:space="0" w:color="auto"/>
                        <w:right w:val="none" w:sz="0" w:space="0" w:color="auto"/>
                      </w:divBdr>
                    </w:div>
                  </w:divsChild>
                </w:div>
                <w:div w:id="1802306233">
                  <w:marLeft w:val="0"/>
                  <w:marRight w:val="0"/>
                  <w:marTop w:val="0"/>
                  <w:marBottom w:val="0"/>
                  <w:divBdr>
                    <w:top w:val="none" w:sz="0" w:space="0" w:color="auto"/>
                    <w:left w:val="none" w:sz="0" w:space="0" w:color="auto"/>
                    <w:bottom w:val="none" w:sz="0" w:space="0" w:color="auto"/>
                    <w:right w:val="none" w:sz="0" w:space="0" w:color="auto"/>
                  </w:divBdr>
                  <w:divsChild>
                    <w:div w:id="180895668">
                      <w:marLeft w:val="0"/>
                      <w:marRight w:val="0"/>
                      <w:marTop w:val="0"/>
                      <w:marBottom w:val="0"/>
                      <w:divBdr>
                        <w:top w:val="none" w:sz="0" w:space="0" w:color="auto"/>
                        <w:left w:val="none" w:sz="0" w:space="0" w:color="auto"/>
                        <w:bottom w:val="none" w:sz="0" w:space="0" w:color="auto"/>
                        <w:right w:val="none" w:sz="0" w:space="0" w:color="auto"/>
                      </w:divBdr>
                    </w:div>
                  </w:divsChild>
                </w:div>
                <w:div w:id="1804040244">
                  <w:marLeft w:val="0"/>
                  <w:marRight w:val="0"/>
                  <w:marTop w:val="0"/>
                  <w:marBottom w:val="0"/>
                  <w:divBdr>
                    <w:top w:val="none" w:sz="0" w:space="0" w:color="auto"/>
                    <w:left w:val="none" w:sz="0" w:space="0" w:color="auto"/>
                    <w:bottom w:val="none" w:sz="0" w:space="0" w:color="auto"/>
                    <w:right w:val="none" w:sz="0" w:space="0" w:color="auto"/>
                  </w:divBdr>
                  <w:divsChild>
                    <w:div w:id="1834762834">
                      <w:marLeft w:val="0"/>
                      <w:marRight w:val="0"/>
                      <w:marTop w:val="0"/>
                      <w:marBottom w:val="0"/>
                      <w:divBdr>
                        <w:top w:val="none" w:sz="0" w:space="0" w:color="auto"/>
                        <w:left w:val="none" w:sz="0" w:space="0" w:color="auto"/>
                        <w:bottom w:val="none" w:sz="0" w:space="0" w:color="auto"/>
                        <w:right w:val="none" w:sz="0" w:space="0" w:color="auto"/>
                      </w:divBdr>
                    </w:div>
                  </w:divsChild>
                </w:div>
                <w:div w:id="1809122890">
                  <w:marLeft w:val="0"/>
                  <w:marRight w:val="0"/>
                  <w:marTop w:val="0"/>
                  <w:marBottom w:val="0"/>
                  <w:divBdr>
                    <w:top w:val="none" w:sz="0" w:space="0" w:color="auto"/>
                    <w:left w:val="none" w:sz="0" w:space="0" w:color="auto"/>
                    <w:bottom w:val="none" w:sz="0" w:space="0" w:color="auto"/>
                    <w:right w:val="none" w:sz="0" w:space="0" w:color="auto"/>
                  </w:divBdr>
                  <w:divsChild>
                    <w:div w:id="1492867785">
                      <w:marLeft w:val="0"/>
                      <w:marRight w:val="0"/>
                      <w:marTop w:val="0"/>
                      <w:marBottom w:val="0"/>
                      <w:divBdr>
                        <w:top w:val="none" w:sz="0" w:space="0" w:color="auto"/>
                        <w:left w:val="none" w:sz="0" w:space="0" w:color="auto"/>
                        <w:bottom w:val="none" w:sz="0" w:space="0" w:color="auto"/>
                        <w:right w:val="none" w:sz="0" w:space="0" w:color="auto"/>
                      </w:divBdr>
                    </w:div>
                  </w:divsChild>
                </w:div>
                <w:div w:id="1809585972">
                  <w:marLeft w:val="0"/>
                  <w:marRight w:val="0"/>
                  <w:marTop w:val="0"/>
                  <w:marBottom w:val="0"/>
                  <w:divBdr>
                    <w:top w:val="none" w:sz="0" w:space="0" w:color="auto"/>
                    <w:left w:val="none" w:sz="0" w:space="0" w:color="auto"/>
                    <w:bottom w:val="none" w:sz="0" w:space="0" w:color="auto"/>
                    <w:right w:val="none" w:sz="0" w:space="0" w:color="auto"/>
                  </w:divBdr>
                  <w:divsChild>
                    <w:div w:id="1764179061">
                      <w:marLeft w:val="0"/>
                      <w:marRight w:val="0"/>
                      <w:marTop w:val="0"/>
                      <w:marBottom w:val="0"/>
                      <w:divBdr>
                        <w:top w:val="none" w:sz="0" w:space="0" w:color="auto"/>
                        <w:left w:val="none" w:sz="0" w:space="0" w:color="auto"/>
                        <w:bottom w:val="none" w:sz="0" w:space="0" w:color="auto"/>
                        <w:right w:val="none" w:sz="0" w:space="0" w:color="auto"/>
                      </w:divBdr>
                    </w:div>
                  </w:divsChild>
                </w:div>
                <w:div w:id="1817259461">
                  <w:marLeft w:val="0"/>
                  <w:marRight w:val="0"/>
                  <w:marTop w:val="0"/>
                  <w:marBottom w:val="0"/>
                  <w:divBdr>
                    <w:top w:val="none" w:sz="0" w:space="0" w:color="auto"/>
                    <w:left w:val="none" w:sz="0" w:space="0" w:color="auto"/>
                    <w:bottom w:val="none" w:sz="0" w:space="0" w:color="auto"/>
                    <w:right w:val="none" w:sz="0" w:space="0" w:color="auto"/>
                  </w:divBdr>
                  <w:divsChild>
                    <w:div w:id="1808474187">
                      <w:marLeft w:val="0"/>
                      <w:marRight w:val="0"/>
                      <w:marTop w:val="0"/>
                      <w:marBottom w:val="0"/>
                      <w:divBdr>
                        <w:top w:val="none" w:sz="0" w:space="0" w:color="auto"/>
                        <w:left w:val="none" w:sz="0" w:space="0" w:color="auto"/>
                        <w:bottom w:val="none" w:sz="0" w:space="0" w:color="auto"/>
                        <w:right w:val="none" w:sz="0" w:space="0" w:color="auto"/>
                      </w:divBdr>
                    </w:div>
                  </w:divsChild>
                </w:div>
                <w:div w:id="1817917482">
                  <w:marLeft w:val="0"/>
                  <w:marRight w:val="0"/>
                  <w:marTop w:val="0"/>
                  <w:marBottom w:val="0"/>
                  <w:divBdr>
                    <w:top w:val="none" w:sz="0" w:space="0" w:color="auto"/>
                    <w:left w:val="none" w:sz="0" w:space="0" w:color="auto"/>
                    <w:bottom w:val="none" w:sz="0" w:space="0" w:color="auto"/>
                    <w:right w:val="none" w:sz="0" w:space="0" w:color="auto"/>
                  </w:divBdr>
                  <w:divsChild>
                    <w:div w:id="252012891">
                      <w:marLeft w:val="0"/>
                      <w:marRight w:val="0"/>
                      <w:marTop w:val="0"/>
                      <w:marBottom w:val="0"/>
                      <w:divBdr>
                        <w:top w:val="none" w:sz="0" w:space="0" w:color="auto"/>
                        <w:left w:val="none" w:sz="0" w:space="0" w:color="auto"/>
                        <w:bottom w:val="none" w:sz="0" w:space="0" w:color="auto"/>
                        <w:right w:val="none" w:sz="0" w:space="0" w:color="auto"/>
                      </w:divBdr>
                    </w:div>
                  </w:divsChild>
                </w:div>
                <w:div w:id="1819420829">
                  <w:marLeft w:val="0"/>
                  <w:marRight w:val="0"/>
                  <w:marTop w:val="0"/>
                  <w:marBottom w:val="0"/>
                  <w:divBdr>
                    <w:top w:val="none" w:sz="0" w:space="0" w:color="auto"/>
                    <w:left w:val="none" w:sz="0" w:space="0" w:color="auto"/>
                    <w:bottom w:val="none" w:sz="0" w:space="0" w:color="auto"/>
                    <w:right w:val="none" w:sz="0" w:space="0" w:color="auto"/>
                  </w:divBdr>
                  <w:divsChild>
                    <w:div w:id="1212226882">
                      <w:marLeft w:val="0"/>
                      <w:marRight w:val="0"/>
                      <w:marTop w:val="0"/>
                      <w:marBottom w:val="0"/>
                      <w:divBdr>
                        <w:top w:val="none" w:sz="0" w:space="0" w:color="auto"/>
                        <w:left w:val="none" w:sz="0" w:space="0" w:color="auto"/>
                        <w:bottom w:val="none" w:sz="0" w:space="0" w:color="auto"/>
                        <w:right w:val="none" w:sz="0" w:space="0" w:color="auto"/>
                      </w:divBdr>
                    </w:div>
                  </w:divsChild>
                </w:div>
                <w:div w:id="1833254656">
                  <w:marLeft w:val="0"/>
                  <w:marRight w:val="0"/>
                  <w:marTop w:val="0"/>
                  <w:marBottom w:val="0"/>
                  <w:divBdr>
                    <w:top w:val="none" w:sz="0" w:space="0" w:color="auto"/>
                    <w:left w:val="none" w:sz="0" w:space="0" w:color="auto"/>
                    <w:bottom w:val="none" w:sz="0" w:space="0" w:color="auto"/>
                    <w:right w:val="none" w:sz="0" w:space="0" w:color="auto"/>
                  </w:divBdr>
                  <w:divsChild>
                    <w:div w:id="1530214347">
                      <w:marLeft w:val="0"/>
                      <w:marRight w:val="0"/>
                      <w:marTop w:val="0"/>
                      <w:marBottom w:val="0"/>
                      <w:divBdr>
                        <w:top w:val="none" w:sz="0" w:space="0" w:color="auto"/>
                        <w:left w:val="none" w:sz="0" w:space="0" w:color="auto"/>
                        <w:bottom w:val="none" w:sz="0" w:space="0" w:color="auto"/>
                        <w:right w:val="none" w:sz="0" w:space="0" w:color="auto"/>
                      </w:divBdr>
                    </w:div>
                  </w:divsChild>
                </w:div>
                <w:div w:id="1840803147">
                  <w:marLeft w:val="0"/>
                  <w:marRight w:val="0"/>
                  <w:marTop w:val="0"/>
                  <w:marBottom w:val="0"/>
                  <w:divBdr>
                    <w:top w:val="none" w:sz="0" w:space="0" w:color="auto"/>
                    <w:left w:val="none" w:sz="0" w:space="0" w:color="auto"/>
                    <w:bottom w:val="none" w:sz="0" w:space="0" w:color="auto"/>
                    <w:right w:val="none" w:sz="0" w:space="0" w:color="auto"/>
                  </w:divBdr>
                  <w:divsChild>
                    <w:div w:id="186338933">
                      <w:marLeft w:val="0"/>
                      <w:marRight w:val="0"/>
                      <w:marTop w:val="0"/>
                      <w:marBottom w:val="0"/>
                      <w:divBdr>
                        <w:top w:val="none" w:sz="0" w:space="0" w:color="auto"/>
                        <w:left w:val="none" w:sz="0" w:space="0" w:color="auto"/>
                        <w:bottom w:val="none" w:sz="0" w:space="0" w:color="auto"/>
                        <w:right w:val="none" w:sz="0" w:space="0" w:color="auto"/>
                      </w:divBdr>
                    </w:div>
                  </w:divsChild>
                </w:div>
                <w:div w:id="1843736653">
                  <w:marLeft w:val="0"/>
                  <w:marRight w:val="0"/>
                  <w:marTop w:val="0"/>
                  <w:marBottom w:val="0"/>
                  <w:divBdr>
                    <w:top w:val="none" w:sz="0" w:space="0" w:color="auto"/>
                    <w:left w:val="none" w:sz="0" w:space="0" w:color="auto"/>
                    <w:bottom w:val="none" w:sz="0" w:space="0" w:color="auto"/>
                    <w:right w:val="none" w:sz="0" w:space="0" w:color="auto"/>
                  </w:divBdr>
                  <w:divsChild>
                    <w:div w:id="161087974">
                      <w:marLeft w:val="0"/>
                      <w:marRight w:val="0"/>
                      <w:marTop w:val="0"/>
                      <w:marBottom w:val="0"/>
                      <w:divBdr>
                        <w:top w:val="none" w:sz="0" w:space="0" w:color="auto"/>
                        <w:left w:val="none" w:sz="0" w:space="0" w:color="auto"/>
                        <w:bottom w:val="none" w:sz="0" w:space="0" w:color="auto"/>
                        <w:right w:val="none" w:sz="0" w:space="0" w:color="auto"/>
                      </w:divBdr>
                    </w:div>
                  </w:divsChild>
                </w:div>
                <w:div w:id="1859463027">
                  <w:marLeft w:val="0"/>
                  <w:marRight w:val="0"/>
                  <w:marTop w:val="0"/>
                  <w:marBottom w:val="0"/>
                  <w:divBdr>
                    <w:top w:val="none" w:sz="0" w:space="0" w:color="auto"/>
                    <w:left w:val="none" w:sz="0" w:space="0" w:color="auto"/>
                    <w:bottom w:val="none" w:sz="0" w:space="0" w:color="auto"/>
                    <w:right w:val="none" w:sz="0" w:space="0" w:color="auto"/>
                  </w:divBdr>
                  <w:divsChild>
                    <w:div w:id="521670039">
                      <w:marLeft w:val="0"/>
                      <w:marRight w:val="0"/>
                      <w:marTop w:val="0"/>
                      <w:marBottom w:val="0"/>
                      <w:divBdr>
                        <w:top w:val="none" w:sz="0" w:space="0" w:color="auto"/>
                        <w:left w:val="none" w:sz="0" w:space="0" w:color="auto"/>
                        <w:bottom w:val="none" w:sz="0" w:space="0" w:color="auto"/>
                        <w:right w:val="none" w:sz="0" w:space="0" w:color="auto"/>
                      </w:divBdr>
                    </w:div>
                  </w:divsChild>
                </w:div>
                <w:div w:id="1862862798">
                  <w:marLeft w:val="0"/>
                  <w:marRight w:val="0"/>
                  <w:marTop w:val="0"/>
                  <w:marBottom w:val="0"/>
                  <w:divBdr>
                    <w:top w:val="none" w:sz="0" w:space="0" w:color="auto"/>
                    <w:left w:val="none" w:sz="0" w:space="0" w:color="auto"/>
                    <w:bottom w:val="none" w:sz="0" w:space="0" w:color="auto"/>
                    <w:right w:val="none" w:sz="0" w:space="0" w:color="auto"/>
                  </w:divBdr>
                  <w:divsChild>
                    <w:div w:id="886641762">
                      <w:marLeft w:val="0"/>
                      <w:marRight w:val="0"/>
                      <w:marTop w:val="0"/>
                      <w:marBottom w:val="0"/>
                      <w:divBdr>
                        <w:top w:val="none" w:sz="0" w:space="0" w:color="auto"/>
                        <w:left w:val="none" w:sz="0" w:space="0" w:color="auto"/>
                        <w:bottom w:val="none" w:sz="0" w:space="0" w:color="auto"/>
                        <w:right w:val="none" w:sz="0" w:space="0" w:color="auto"/>
                      </w:divBdr>
                    </w:div>
                  </w:divsChild>
                </w:div>
                <w:div w:id="1866210015">
                  <w:marLeft w:val="0"/>
                  <w:marRight w:val="0"/>
                  <w:marTop w:val="0"/>
                  <w:marBottom w:val="0"/>
                  <w:divBdr>
                    <w:top w:val="none" w:sz="0" w:space="0" w:color="auto"/>
                    <w:left w:val="none" w:sz="0" w:space="0" w:color="auto"/>
                    <w:bottom w:val="none" w:sz="0" w:space="0" w:color="auto"/>
                    <w:right w:val="none" w:sz="0" w:space="0" w:color="auto"/>
                  </w:divBdr>
                  <w:divsChild>
                    <w:div w:id="1720350614">
                      <w:marLeft w:val="0"/>
                      <w:marRight w:val="0"/>
                      <w:marTop w:val="0"/>
                      <w:marBottom w:val="0"/>
                      <w:divBdr>
                        <w:top w:val="none" w:sz="0" w:space="0" w:color="auto"/>
                        <w:left w:val="none" w:sz="0" w:space="0" w:color="auto"/>
                        <w:bottom w:val="none" w:sz="0" w:space="0" w:color="auto"/>
                        <w:right w:val="none" w:sz="0" w:space="0" w:color="auto"/>
                      </w:divBdr>
                    </w:div>
                  </w:divsChild>
                </w:div>
                <w:div w:id="1871071458">
                  <w:marLeft w:val="0"/>
                  <w:marRight w:val="0"/>
                  <w:marTop w:val="0"/>
                  <w:marBottom w:val="0"/>
                  <w:divBdr>
                    <w:top w:val="none" w:sz="0" w:space="0" w:color="auto"/>
                    <w:left w:val="none" w:sz="0" w:space="0" w:color="auto"/>
                    <w:bottom w:val="none" w:sz="0" w:space="0" w:color="auto"/>
                    <w:right w:val="none" w:sz="0" w:space="0" w:color="auto"/>
                  </w:divBdr>
                  <w:divsChild>
                    <w:div w:id="933443681">
                      <w:marLeft w:val="0"/>
                      <w:marRight w:val="0"/>
                      <w:marTop w:val="0"/>
                      <w:marBottom w:val="0"/>
                      <w:divBdr>
                        <w:top w:val="none" w:sz="0" w:space="0" w:color="auto"/>
                        <w:left w:val="none" w:sz="0" w:space="0" w:color="auto"/>
                        <w:bottom w:val="none" w:sz="0" w:space="0" w:color="auto"/>
                        <w:right w:val="none" w:sz="0" w:space="0" w:color="auto"/>
                      </w:divBdr>
                    </w:div>
                  </w:divsChild>
                </w:div>
                <w:div w:id="1872064124">
                  <w:marLeft w:val="0"/>
                  <w:marRight w:val="0"/>
                  <w:marTop w:val="0"/>
                  <w:marBottom w:val="0"/>
                  <w:divBdr>
                    <w:top w:val="none" w:sz="0" w:space="0" w:color="auto"/>
                    <w:left w:val="none" w:sz="0" w:space="0" w:color="auto"/>
                    <w:bottom w:val="none" w:sz="0" w:space="0" w:color="auto"/>
                    <w:right w:val="none" w:sz="0" w:space="0" w:color="auto"/>
                  </w:divBdr>
                  <w:divsChild>
                    <w:div w:id="361782658">
                      <w:marLeft w:val="0"/>
                      <w:marRight w:val="0"/>
                      <w:marTop w:val="0"/>
                      <w:marBottom w:val="0"/>
                      <w:divBdr>
                        <w:top w:val="none" w:sz="0" w:space="0" w:color="auto"/>
                        <w:left w:val="none" w:sz="0" w:space="0" w:color="auto"/>
                        <w:bottom w:val="none" w:sz="0" w:space="0" w:color="auto"/>
                        <w:right w:val="none" w:sz="0" w:space="0" w:color="auto"/>
                      </w:divBdr>
                    </w:div>
                  </w:divsChild>
                </w:div>
                <w:div w:id="1876573180">
                  <w:marLeft w:val="0"/>
                  <w:marRight w:val="0"/>
                  <w:marTop w:val="0"/>
                  <w:marBottom w:val="0"/>
                  <w:divBdr>
                    <w:top w:val="none" w:sz="0" w:space="0" w:color="auto"/>
                    <w:left w:val="none" w:sz="0" w:space="0" w:color="auto"/>
                    <w:bottom w:val="none" w:sz="0" w:space="0" w:color="auto"/>
                    <w:right w:val="none" w:sz="0" w:space="0" w:color="auto"/>
                  </w:divBdr>
                  <w:divsChild>
                    <w:div w:id="782960727">
                      <w:marLeft w:val="0"/>
                      <w:marRight w:val="0"/>
                      <w:marTop w:val="0"/>
                      <w:marBottom w:val="0"/>
                      <w:divBdr>
                        <w:top w:val="none" w:sz="0" w:space="0" w:color="auto"/>
                        <w:left w:val="none" w:sz="0" w:space="0" w:color="auto"/>
                        <w:bottom w:val="none" w:sz="0" w:space="0" w:color="auto"/>
                        <w:right w:val="none" w:sz="0" w:space="0" w:color="auto"/>
                      </w:divBdr>
                    </w:div>
                  </w:divsChild>
                </w:div>
                <w:div w:id="1890412661">
                  <w:marLeft w:val="0"/>
                  <w:marRight w:val="0"/>
                  <w:marTop w:val="0"/>
                  <w:marBottom w:val="0"/>
                  <w:divBdr>
                    <w:top w:val="none" w:sz="0" w:space="0" w:color="auto"/>
                    <w:left w:val="none" w:sz="0" w:space="0" w:color="auto"/>
                    <w:bottom w:val="none" w:sz="0" w:space="0" w:color="auto"/>
                    <w:right w:val="none" w:sz="0" w:space="0" w:color="auto"/>
                  </w:divBdr>
                  <w:divsChild>
                    <w:div w:id="2143690667">
                      <w:marLeft w:val="0"/>
                      <w:marRight w:val="0"/>
                      <w:marTop w:val="0"/>
                      <w:marBottom w:val="0"/>
                      <w:divBdr>
                        <w:top w:val="none" w:sz="0" w:space="0" w:color="auto"/>
                        <w:left w:val="none" w:sz="0" w:space="0" w:color="auto"/>
                        <w:bottom w:val="none" w:sz="0" w:space="0" w:color="auto"/>
                        <w:right w:val="none" w:sz="0" w:space="0" w:color="auto"/>
                      </w:divBdr>
                    </w:div>
                  </w:divsChild>
                </w:div>
                <w:div w:id="1891066114">
                  <w:marLeft w:val="0"/>
                  <w:marRight w:val="0"/>
                  <w:marTop w:val="0"/>
                  <w:marBottom w:val="0"/>
                  <w:divBdr>
                    <w:top w:val="none" w:sz="0" w:space="0" w:color="auto"/>
                    <w:left w:val="none" w:sz="0" w:space="0" w:color="auto"/>
                    <w:bottom w:val="none" w:sz="0" w:space="0" w:color="auto"/>
                    <w:right w:val="none" w:sz="0" w:space="0" w:color="auto"/>
                  </w:divBdr>
                  <w:divsChild>
                    <w:div w:id="1114446162">
                      <w:marLeft w:val="0"/>
                      <w:marRight w:val="0"/>
                      <w:marTop w:val="0"/>
                      <w:marBottom w:val="0"/>
                      <w:divBdr>
                        <w:top w:val="none" w:sz="0" w:space="0" w:color="auto"/>
                        <w:left w:val="none" w:sz="0" w:space="0" w:color="auto"/>
                        <w:bottom w:val="none" w:sz="0" w:space="0" w:color="auto"/>
                        <w:right w:val="none" w:sz="0" w:space="0" w:color="auto"/>
                      </w:divBdr>
                    </w:div>
                  </w:divsChild>
                </w:div>
                <w:div w:id="1891304057">
                  <w:marLeft w:val="0"/>
                  <w:marRight w:val="0"/>
                  <w:marTop w:val="0"/>
                  <w:marBottom w:val="0"/>
                  <w:divBdr>
                    <w:top w:val="none" w:sz="0" w:space="0" w:color="auto"/>
                    <w:left w:val="none" w:sz="0" w:space="0" w:color="auto"/>
                    <w:bottom w:val="none" w:sz="0" w:space="0" w:color="auto"/>
                    <w:right w:val="none" w:sz="0" w:space="0" w:color="auto"/>
                  </w:divBdr>
                  <w:divsChild>
                    <w:div w:id="368839093">
                      <w:marLeft w:val="0"/>
                      <w:marRight w:val="0"/>
                      <w:marTop w:val="0"/>
                      <w:marBottom w:val="0"/>
                      <w:divBdr>
                        <w:top w:val="none" w:sz="0" w:space="0" w:color="auto"/>
                        <w:left w:val="none" w:sz="0" w:space="0" w:color="auto"/>
                        <w:bottom w:val="none" w:sz="0" w:space="0" w:color="auto"/>
                        <w:right w:val="none" w:sz="0" w:space="0" w:color="auto"/>
                      </w:divBdr>
                    </w:div>
                  </w:divsChild>
                </w:div>
                <w:div w:id="1901789723">
                  <w:marLeft w:val="0"/>
                  <w:marRight w:val="0"/>
                  <w:marTop w:val="0"/>
                  <w:marBottom w:val="0"/>
                  <w:divBdr>
                    <w:top w:val="none" w:sz="0" w:space="0" w:color="auto"/>
                    <w:left w:val="none" w:sz="0" w:space="0" w:color="auto"/>
                    <w:bottom w:val="none" w:sz="0" w:space="0" w:color="auto"/>
                    <w:right w:val="none" w:sz="0" w:space="0" w:color="auto"/>
                  </w:divBdr>
                  <w:divsChild>
                    <w:div w:id="1113940868">
                      <w:marLeft w:val="0"/>
                      <w:marRight w:val="0"/>
                      <w:marTop w:val="0"/>
                      <w:marBottom w:val="0"/>
                      <w:divBdr>
                        <w:top w:val="none" w:sz="0" w:space="0" w:color="auto"/>
                        <w:left w:val="none" w:sz="0" w:space="0" w:color="auto"/>
                        <w:bottom w:val="none" w:sz="0" w:space="0" w:color="auto"/>
                        <w:right w:val="none" w:sz="0" w:space="0" w:color="auto"/>
                      </w:divBdr>
                    </w:div>
                  </w:divsChild>
                </w:div>
                <w:div w:id="1916931644">
                  <w:marLeft w:val="0"/>
                  <w:marRight w:val="0"/>
                  <w:marTop w:val="0"/>
                  <w:marBottom w:val="0"/>
                  <w:divBdr>
                    <w:top w:val="none" w:sz="0" w:space="0" w:color="auto"/>
                    <w:left w:val="none" w:sz="0" w:space="0" w:color="auto"/>
                    <w:bottom w:val="none" w:sz="0" w:space="0" w:color="auto"/>
                    <w:right w:val="none" w:sz="0" w:space="0" w:color="auto"/>
                  </w:divBdr>
                  <w:divsChild>
                    <w:div w:id="213585797">
                      <w:marLeft w:val="0"/>
                      <w:marRight w:val="0"/>
                      <w:marTop w:val="0"/>
                      <w:marBottom w:val="0"/>
                      <w:divBdr>
                        <w:top w:val="none" w:sz="0" w:space="0" w:color="auto"/>
                        <w:left w:val="none" w:sz="0" w:space="0" w:color="auto"/>
                        <w:bottom w:val="none" w:sz="0" w:space="0" w:color="auto"/>
                        <w:right w:val="none" w:sz="0" w:space="0" w:color="auto"/>
                      </w:divBdr>
                    </w:div>
                  </w:divsChild>
                </w:div>
                <w:div w:id="1921256290">
                  <w:marLeft w:val="0"/>
                  <w:marRight w:val="0"/>
                  <w:marTop w:val="0"/>
                  <w:marBottom w:val="0"/>
                  <w:divBdr>
                    <w:top w:val="none" w:sz="0" w:space="0" w:color="auto"/>
                    <w:left w:val="none" w:sz="0" w:space="0" w:color="auto"/>
                    <w:bottom w:val="none" w:sz="0" w:space="0" w:color="auto"/>
                    <w:right w:val="none" w:sz="0" w:space="0" w:color="auto"/>
                  </w:divBdr>
                  <w:divsChild>
                    <w:div w:id="1648243038">
                      <w:marLeft w:val="0"/>
                      <w:marRight w:val="0"/>
                      <w:marTop w:val="0"/>
                      <w:marBottom w:val="0"/>
                      <w:divBdr>
                        <w:top w:val="none" w:sz="0" w:space="0" w:color="auto"/>
                        <w:left w:val="none" w:sz="0" w:space="0" w:color="auto"/>
                        <w:bottom w:val="none" w:sz="0" w:space="0" w:color="auto"/>
                        <w:right w:val="none" w:sz="0" w:space="0" w:color="auto"/>
                      </w:divBdr>
                    </w:div>
                  </w:divsChild>
                </w:div>
                <w:div w:id="1927181810">
                  <w:marLeft w:val="0"/>
                  <w:marRight w:val="0"/>
                  <w:marTop w:val="0"/>
                  <w:marBottom w:val="0"/>
                  <w:divBdr>
                    <w:top w:val="none" w:sz="0" w:space="0" w:color="auto"/>
                    <w:left w:val="none" w:sz="0" w:space="0" w:color="auto"/>
                    <w:bottom w:val="none" w:sz="0" w:space="0" w:color="auto"/>
                    <w:right w:val="none" w:sz="0" w:space="0" w:color="auto"/>
                  </w:divBdr>
                  <w:divsChild>
                    <w:div w:id="2066055020">
                      <w:marLeft w:val="0"/>
                      <w:marRight w:val="0"/>
                      <w:marTop w:val="0"/>
                      <w:marBottom w:val="0"/>
                      <w:divBdr>
                        <w:top w:val="none" w:sz="0" w:space="0" w:color="auto"/>
                        <w:left w:val="none" w:sz="0" w:space="0" w:color="auto"/>
                        <w:bottom w:val="none" w:sz="0" w:space="0" w:color="auto"/>
                        <w:right w:val="none" w:sz="0" w:space="0" w:color="auto"/>
                      </w:divBdr>
                    </w:div>
                  </w:divsChild>
                </w:div>
                <w:div w:id="1927613456">
                  <w:marLeft w:val="0"/>
                  <w:marRight w:val="0"/>
                  <w:marTop w:val="0"/>
                  <w:marBottom w:val="0"/>
                  <w:divBdr>
                    <w:top w:val="none" w:sz="0" w:space="0" w:color="auto"/>
                    <w:left w:val="none" w:sz="0" w:space="0" w:color="auto"/>
                    <w:bottom w:val="none" w:sz="0" w:space="0" w:color="auto"/>
                    <w:right w:val="none" w:sz="0" w:space="0" w:color="auto"/>
                  </w:divBdr>
                  <w:divsChild>
                    <w:div w:id="1023629768">
                      <w:marLeft w:val="0"/>
                      <w:marRight w:val="0"/>
                      <w:marTop w:val="0"/>
                      <w:marBottom w:val="0"/>
                      <w:divBdr>
                        <w:top w:val="none" w:sz="0" w:space="0" w:color="auto"/>
                        <w:left w:val="none" w:sz="0" w:space="0" w:color="auto"/>
                        <w:bottom w:val="none" w:sz="0" w:space="0" w:color="auto"/>
                        <w:right w:val="none" w:sz="0" w:space="0" w:color="auto"/>
                      </w:divBdr>
                    </w:div>
                  </w:divsChild>
                </w:div>
                <w:div w:id="1934393095">
                  <w:marLeft w:val="0"/>
                  <w:marRight w:val="0"/>
                  <w:marTop w:val="0"/>
                  <w:marBottom w:val="0"/>
                  <w:divBdr>
                    <w:top w:val="none" w:sz="0" w:space="0" w:color="auto"/>
                    <w:left w:val="none" w:sz="0" w:space="0" w:color="auto"/>
                    <w:bottom w:val="none" w:sz="0" w:space="0" w:color="auto"/>
                    <w:right w:val="none" w:sz="0" w:space="0" w:color="auto"/>
                  </w:divBdr>
                  <w:divsChild>
                    <w:div w:id="1861821642">
                      <w:marLeft w:val="0"/>
                      <w:marRight w:val="0"/>
                      <w:marTop w:val="0"/>
                      <w:marBottom w:val="0"/>
                      <w:divBdr>
                        <w:top w:val="none" w:sz="0" w:space="0" w:color="auto"/>
                        <w:left w:val="none" w:sz="0" w:space="0" w:color="auto"/>
                        <w:bottom w:val="none" w:sz="0" w:space="0" w:color="auto"/>
                        <w:right w:val="none" w:sz="0" w:space="0" w:color="auto"/>
                      </w:divBdr>
                    </w:div>
                  </w:divsChild>
                </w:div>
                <w:div w:id="1937713475">
                  <w:marLeft w:val="0"/>
                  <w:marRight w:val="0"/>
                  <w:marTop w:val="0"/>
                  <w:marBottom w:val="0"/>
                  <w:divBdr>
                    <w:top w:val="none" w:sz="0" w:space="0" w:color="auto"/>
                    <w:left w:val="none" w:sz="0" w:space="0" w:color="auto"/>
                    <w:bottom w:val="none" w:sz="0" w:space="0" w:color="auto"/>
                    <w:right w:val="none" w:sz="0" w:space="0" w:color="auto"/>
                  </w:divBdr>
                  <w:divsChild>
                    <w:div w:id="1491360417">
                      <w:marLeft w:val="0"/>
                      <w:marRight w:val="0"/>
                      <w:marTop w:val="0"/>
                      <w:marBottom w:val="0"/>
                      <w:divBdr>
                        <w:top w:val="none" w:sz="0" w:space="0" w:color="auto"/>
                        <w:left w:val="none" w:sz="0" w:space="0" w:color="auto"/>
                        <w:bottom w:val="none" w:sz="0" w:space="0" w:color="auto"/>
                        <w:right w:val="none" w:sz="0" w:space="0" w:color="auto"/>
                      </w:divBdr>
                    </w:div>
                  </w:divsChild>
                </w:div>
                <w:div w:id="1938556068">
                  <w:marLeft w:val="0"/>
                  <w:marRight w:val="0"/>
                  <w:marTop w:val="0"/>
                  <w:marBottom w:val="0"/>
                  <w:divBdr>
                    <w:top w:val="none" w:sz="0" w:space="0" w:color="auto"/>
                    <w:left w:val="none" w:sz="0" w:space="0" w:color="auto"/>
                    <w:bottom w:val="none" w:sz="0" w:space="0" w:color="auto"/>
                    <w:right w:val="none" w:sz="0" w:space="0" w:color="auto"/>
                  </w:divBdr>
                  <w:divsChild>
                    <w:div w:id="247278311">
                      <w:marLeft w:val="0"/>
                      <w:marRight w:val="0"/>
                      <w:marTop w:val="0"/>
                      <w:marBottom w:val="0"/>
                      <w:divBdr>
                        <w:top w:val="none" w:sz="0" w:space="0" w:color="auto"/>
                        <w:left w:val="none" w:sz="0" w:space="0" w:color="auto"/>
                        <w:bottom w:val="none" w:sz="0" w:space="0" w:color="auto"/>
                        <w:right w:val="none" w:sz="0" w:space="0" w:color="auto"/>
                      </w:divBdr>
                    </w:div>
                  </w:divsChild>
                </w:div>
                <w:div w:id="1943493274">
                  <w:marLeft w:val="0"/>
                  <w:marRight w:val="0"/>
                  <w:marTop w:val="0"/>
                  <w:marBottom w:val="0"/>
                  <w:divBdr>
                    <w:top w:val="none" w:sz="0" w:space="0" w:color="auto"/>
                    <w:left w:val="none" w:sz="0" w:space="0" w:color="auto"/>
                    <w:bottom w:val="none" w:sz="0" w:space="0" w:color="auto"/>
                    <w:right w:val="none" w:sz="0" w:space="0" w:color="auto"/>
                  </w:divBdr>
                  <w:divsChild>
                    <w:div w:id="1596013949">
                      <w:marLeft w:val="0"/>
                      <w:marRight w:val="0"/>
                      <w:marTop w:val="0"/>
                      <w:marBottom w:val="0"/>
                      <w:divBdr>
                        <w:top w:val="none" w:sz="0" w:space="0" w:color="auto"/>
                        <w:left w:val="none" w:sz="0" w:space="0" w:color="auto"/>
                        <w:bottom w:val="none" w:sz="0" w:space="0" w:color="auto"/>
                        <w:right w:val="none" w:sz="0" w:space="0" w:color="auto"/>
                      </w:divBdr>
                    </w:div>
                  </w:divsChild>
                </w:div>
                <w:div w:id="1946889677">
                  <w:marLeft w:val="0"/>
                  <w:marRight w:val="0"/>
                  <w:marTop w:val="0"/>
                  <w:marBottom w:val="0"/>
                  <w:divBdr>
                    <w:top w:val="none" w:sz="0" w:space="0" w:color="auto"/>
                    <w:left w:val="none" w:sz="0" w:space="0" w:color="auto"/>
                    <w:bottom w:val="none" w:sz="0" w:space="0" w:color="auto"/>
                    <w:right w:val="none" w:sz="0" w:space="0" w:color="auto"/>
                  </w:divBdr>
                  <w:divsChild>
                    <w:div w:id="799302262">
                      <w:marLeft w:val="0"/>
                      <w:marRight w:val="0"/>
                      <w:marTop w:val="0"/>
                      <w:marBottom w:val="0"/>
                      <w:divBdr>
                        <w:top w:val="none" w:sz="0" w:space="0" w:color="auto"/>
                        <w:left w:val="none" w:sz="0" w:space="0" w:color="auto"/>
                        <w:bottom w:val="none" w:sz="0" w:space="0" w:color="auto"/>
                        <w:right w:val="none" w:sz="0" w:space="0" w:color="auto"/>
                      </w:divBdr>
                    </w:div>
                  </w:divsChild>
                </w:div>
                <w:div w:id="1948845902">
                  <w:marLeft w:val="0"/>
                  <w:marRight w:val="0"/>
                  <w:marTop w:val="0"/>
                  <w:marBottom w:val="0"/>
                  <w:divBdr>
                    <w:top w:val="none" w:sz="0" w:space="0" w:color="auto"/>
                    <w:left w:val="none" w:sz="0" w:space="0" w:color="auto"/>
                    <w:bottom w:val="none" w:sz="0" w:space="0" w:color="auto"/>
                    <w:right w:val="none" w:sz="0" w:space="0" w:color="auto"/>
                  </w:divBdr>
                  <w:divsChild>
                    <w:div w:id="2044473891">
                      <w:marLeft w:val="0"/>
                      <w:marRight w:val="0"/>
                      <w:marTop w:val="0"/>
                      <w:marBottom w:val="0"/>
                      <w:divBdr>
                        <w:top w:val="none" w:sz="0" w:space="0" w:color="auto"/>
                        <w:left w:val="none" w:sz="0" w:space="0" w:color="auto"/>
                        <w:bottom w:val="none" w:sz="0" w:space="0" w:color="auto"/>
                        <w:right w:val="none" w:sz="0" w:space="0" w:color="auto"/>
                      </w:divBdr>
                    </w:div>
                  </w:divsChild>
                </w:div>
                <w:div w:id="1950551781">
                  <w:marLeft w:val="0"/>
                  <w:marRight w:val="0"/>
                  <w:marTop w:val="0"/>
                  <w:marBottom w:val="0"/>
                  <w:divBdr>
                    <w:top w:val="none" w:sz="0" w:space="0" w:color="auto"/>
                    <w:left w:val="none" w:sz="0" w:space="0" w:color="auto"/>
                    <w:bottom w:val="none" w:sz="0" w:space="0" w:color="auto"/>
                    <w:right w:val="none" w:sz="0" w:space="0" w:color="auto"/>
                  </w:divBdr>
                  <w:divsChild>
                    <w:div w:id="59910673">
                      <w:marLeft w:val="0"/>
                      <w:marRight w:val="0"/>
                      <w:marTop w:val="0"/>
                      <w:marBottom w:val="0"/>
                      <w:divBdr>
                        <w:top w:val="none" w:sz="0" w:space="0" w:color="auto"/>
                        <w:left w:val="none" w:sz="0" w:space="0" w:color="auto"/>
                        <w:bottom w:val="none" w:sz="0" w:space="0" w:color="auto"/>
                        <w:right w:val="none" w:sz="0" w:space="0" w:color="auto"/>
                      </w:divBdr>
                    </w:div>
                  </w:divsChild>
                </w:div>
                <w:div w:id="1953441491">
                  <w:marLeft w:val="0"/>
                  <w:marRight w:val="0"/>
                  <w:marTop w:val="0"/>
                  <w:marBottom w:val="0"/>
                  <w:divBdr>
                    <w:top w:val="none" w:sz="0" w:space="0" w:color="auto"/>
                    <w:left w:val="none" w:sz="0" w:space="0" w:color="auto"/>
                    <w:bottom w:val="none" w:sz="0" w:space="0" w:color="auto"/>
                    <w:right w:val="none" w:sz="0" w:space="0" w:color="auto"/>
                  </w:divBdr>
                  <w:divsChild>
                    <w:div w:id="82261649">
                      <w:marLeft w:val="0"/>
                      <w:marRight w:val="0"/>
                      <w:marTop w:val="0"/>
                      <w:marBottom w:val="0"/>
                      <w:divBdr>
                        <w:top w:val="none" w:sz="0" w:space="0" w:color="auto"/>
                        <w:left w:val="none" w:sz="0" w:space="0" w:color="auto"/>
                        <w:bottom w:val="none" w:sz="0" w:space="0" w:color="auto"/>
                        <w:right w:val="none" w:sz="0" w:space="0" w:color="auto"/>
                      </w:divBdr>
                    </w:div>
                  </w:divsChild>
                </w:div>
                <w:div w:id="1957445156">
                  <w:marLeft w:val="0"/>
                  <w:marRight w:val="0"/>
                  <w:marTop w:val="0"/>
                  <w:marBottom w:val="0"/>
                  <w:divBdr>
                    <w:top w:val="none" w:sz="0" w:space="0" w:color="auto"/>
                    <w:left w:val="none" w:sz="0" w:space="0" w:color="auto"/>
                    <w:bottom w:val="none" w:sz="0" w:space="0" w:color="auto"/>
                    <w:right w:val="none" w:sz="0" w:space="0" w:color="auto"/>
                  </w:divBdr>
                  <w:divsChild>
                    <w:div w:id="1202673026">
                      <w:marLeft w:val="0"/>
                      <w:marRight w:val="0"/>
                      <w:marTop w:val="0"/>
                      <w:marBottom w:val="0"/>
                      <w:divBdr>
                        <w:top w:val="none" w:sz="0" w:space="0" w:color="auto"/>
                        <w:left w:val="none" w:sz="0" w:space="0" w:color="auto"/>
                        <w:bottom w:val="none" w:sz="0" w:space="0" w:color="auto"/>
                        <w:right w:val="none" w:sz="0" w:space="0" w:color="auto"/>
                      </w:divBdr>
                    </w:div>
                  </w:divsChild>
                </w:div>
                <w:div w:id="1977762403">
                  <w:marLeft w:val="0"/>
                  <w:marRight w:val="0"/>
                  <w:marTop w:val="0"/>
                  <w:marBottom w:val="0"/>
                  <w:divBdr>
                    <w:top w:val="none" w:sz="0" w:space="0" w:color="auto"/>
                    <w:left w:val="none" w:sz="0" w:space="0" w:color="auto"/>
                    <w:bottom w:val="none" w:sz="0" w:space="0" w:color="auto"/>
                    <w:right w:val="none" w:sz="0" w:space="0" w:color="auto"/>
                  </w:divBdr>
                  <w:divsChild>
                    <w:div w:id="1670253362">
                      <w:marLeft w:val="0"/>
                      <w:marRight w:val="0"/>
                      <w:marTop w:val="0"/>
                      <w:marBottom w:val="0"/>
                      <w:divBdr>
                        <w:top w:val="none" w:sz="0" w:space="0" w:color="auto"/>
                        <w:left w:val="none" w:sz="0" w:space="0" w:color="auto"/>
                        <w:bottom w:val="none" w:sz="0" w:space="0" w:color="auto"/>
                        <w:right w:val="none" w:sz="0" w:space="0" w:color="auto"/>
                      </w:divBdr>
                    </w:div>
                  </w:divsChild>
                </w:div>
                <w:div w:id="1978339355">
                  <w:marLeft w:val="0"/>
                  <w:marRight w:val="0"/>
                  <w:marTop w:val="0"/>
                  <w:marBottom w:val="0"/>
                  <w:divBdr>
                    <w:top w:val="none" w:sz="0" w:space="0" w:color="auto"/>
                    <w:left w:val="none" w:sz="0" w:space="0" w:color="auto"/>
                    <w:bottom w:val="none" w:sz="0" w:space="0" w:color="auto"/>
                    <w:right w:val="none" w:sz="0" w:space="0" w:color="auto"/>
                  </w:divBdr>
                  <w:divsChild>
                    <w:div w:id="2062363430">
                      <w:marLeft w:val="0"/>
                      <w:marRight w:val="0"/>
                      <w:marTop w:val="0"/>
                      <w:marBottom w:val="0"/>
                      <w:divBdr>
                        <w:top w:val="none" w:sz="0" w:space="0" w:color="auto"/>
                        <w:left w:val="none" w:sz="0" w:space="0" w:color="auto"/>
                        <w:bottom w:val="none" w:sz="0" w:space="0" w:color="auto"/>
                        <w:right w:val="none" w:sz="0" w:space="0" w:color="auto"/>
                      </w:divBdr>
                    </w:div>
                  </w:divsChild>
                </w:div>
                <w:div w:id="1979454441">
                  <w:marLeft w:val="0"/>
                  <w:marRight w:val="0"/>
                  <w:marTop w:val="0"/>
                  <w:marBottom w:val="0"/>
                  <w:divBdr>
                    <w:top w:val="none" w:sz="0" w:space="0" w:color="auto"/>
                    <w:left w:val="none" w:sz="0" w:space="0" w:color="auto"/>
                    <w:bottom w:val="none" w:sz="0" w:space="0" w:color="auto"/>
                    <w:right w:val="none" w:sz="0" w:space="0" w:color="auto"/>
                  </w:divBdr>
                  <w:divsChild>
                    <w:div w:id="1407217348">
                      <w:marLeft w:val="0"/>
                      <w:marRight w:val="0"/>
                      <w:marTop w:val="0"/>
                      <w:marBottom w:val="0"/>
                      <w:divBdr>
                        <w:top w:val="none" w:sz="0" w:space="0" w:color="auto"/>
                        <w:left w:val="none" w:sz="0" w:space="0" w:color="auto"/>
                        <w:bottom w:val="none" w:sz="0" w:space="0" w:color="auto"/>
                        <w:right w:val="none" w:sz="0" w:space="0" w:color="auto"/>
                      </w:divBdr>
                    </w:div>
                  </w:divsChild>
                </w:div>
                <w:div w:id="1983846446">
                  <w:marLeft w:val="0"/>
                  <w:marRight w:val="0"/>
                  <w:marTop w:val="0"/>
                  <w:marBottom w:val="0"/>
                  <w:divBdr>
                    <w:top w:val="none" w:sz="0" w:space="0" w:color="auto"/>
                    <w:left w:val="none" w:sz="0" w:space="0" w:color="auto"/>
                    <w:bottom w:val="none" w:sz="0" w:space="0" w:color="auto"/>
                    <w:right w:val="none" w:sz="0" w:space="0" w:color="auto"/>
                  </w:divBdr>
                  <w:divsChild>
                    <w:div w:id="897669363">
                      <w:marLeft w:val="0"/>
                      <w:marRight w:val="0"/>
                      <w:marTop w:val="0"/>
                      <w:marBottom w:val="0"/>
                      <w:divBdr>
                        <w:top w:val="none" w:sz="0" w:space="0" w:color="auto"/>
                        <w:left w:val="none" w:sz="0" w:space="0" w:color="auto"/>
                        <w:bottom w:val="none" w:sz="0" w:space="0" w:color="auto"/>
                        <w:right w:val="none" w:sz="0" w:space="0" w:color="auto"/>
                      </w:divBdr>
                    </w:div>
                  </w:divsChild>
                </w:div>
                <w:div w:id="1991328373">
                  <w:marLeft w:val="0"/>
                  <w:marRight w:val="0"/>
                  <w:marTop w:val="0"/>
                  <w:marBottom w:val="0"/>
                  <w:divBdr>
                    <w:top w:val="none" w:sz="0" w:space="0" w:color="auto"/>
                    <w:left w:val="none" w:sz="0" w:space="0" w:color="auto"/>
                    <w:bottom w:val="none" w:sz="0" w:space="0" w:color="auto"/>
                    <w:right w:val="none" w:sz="0" w:space="0" w:color="auto"/>
                  </w:divBdr>
                  <w:divsChild>
                    <w:div w:id="24645336">
                      <w:marLeft w:val="0"/>
                      <w:marRight w:val="0"/>
                      <w:marTop w:val="0"/>
                      <w:marBottom w:val="0"/>
                      <w:divBdr>
                        <w:top w:val="none" w:sz="0" w:space="0" w:color="auto"/>
                        <w:left w:val="none" w:sz="0" w:space="0" w:color="auto"/>
                        <w:bottom w:val="none" w:sz="0" w:space="0" w:color="auto"/>
                        <w:right w:val="none" w:sz="0" w:space="0" w:color="auto"/>
                      </w:divBdr>
                    </w:div>
                  </w:divsChild>
                </w:div>
                <w:div w:id="1993634458">
                  <w:marLeft w:val="0"/>
                  <w:marRight w:val="0"/>
                  <w:marTop w:val="0"/>
                  <w:marBottom w:val="0"/>
                  <w:divBdr>
                    <w:top w:val="none" w:sz="0" w:space="0" w:color="auto"/>
                    <w:left w:val="none" w:sz="0" w:space="0" w:color="auto"/>
                    <w:bottom w:val="none" w:sz="0" w:space="0" w:color="auto"/>
                    <w:right w:val="none" w:sz="0" w:space="0" w:color="auto"/>
                  </w:divBdr>
                  <w:divsChild>
                    <w:div w:id="2061318775">
                      <w:marLeft w:val="0"/>
                      <w:marRight w:val="0"/>
                      <w:marTop w:val="0"/>
                      <w:marBottom w:val="0"/>
                      <w:divBdr>
                        <w:top w:val="none" w:sz="0" w:space="0" w:color="auto"/>
                        <w:left w:val="none" w:sz="0" w:space="0" w:color="auto"/>
                        <w:bottom w:val="none" w:sz="0" w:space="0" w:color="auto"/>
                        <w:right w:val="none" w:sz="0" w:space="0" w:color="auto"/>
                      </w:divBdr>
                    </w:div>
                  </w:divsChild>
                </w:div>
                <w:div w:id="2000309483">
                  <w:marLeft w:val="0"/>
                  <w:marRight w:val="0"/>
                  <w:marTop w:val="0"/>
                  <w:marBottom w:val="0"/>
                  <w:divBdr>
                    <w:top w:val="none" w:sz="0" w:space="0" w:color="auto"/>
                    <w:left w:val="none" w:sz="0" w:space="0" w:color="auto"/>
                    <w:bottom w:val="none" w:sz="0" w:space="0" w:color="auto"/>
                    <w:right w:val="none" w:sz="0" w:space="0" w:color="auto"/>
                  </w:divBdr>
                  <w:divsChild>
                    <w:div w:id="1520702235">
                      <w:marLeft w:val="0"/>
                      <w:marRight w:val="0"/>
                      <w:marTop w:val="0"/>
                      <w:marBottom w:val="0"/>
                      <w:divBdr>
                        <w:top w:val="none" w:sz="0" w:space="0" w:color="auto"/>
                        <w:left w:val="none" w:sz="0" w:space="0" w:color="auto"/>
                        <w:bottom w:val="none" w:sz="0" w:space="0" w:color="auto"/>
                        <w:right w:val="none" w:sz="0" w:space="0" w:color="auto"/>
                      </w:divBdr>
                    </w:div>
                  </w:divsChild>
                </w:div>
                <w:div w:id="2007853331">
                  <w:marLeft w:val="0"/>
                  <w:marRight w:val="0"/>
                  <w:marTop w:val="0"/>
                  <w:marBottom w:val="0"/>
                  <w:divBdr>
                    <w:top w:val="none" w:sz="0" w:space="0" w:color="auto"/>
                    <w:left w:val="none" w:sz="0" w:space="0" w:color="auto"/>
                    <w:bottom w:val="none" w:sz="0" w:space="0" w:color="auto"/>
                    <w:right w:val="none" w:sz="0" w:space="0" w:color="auto"/>
                  </w:divBdr>
                  <w:divsChild>
                    <w:div w:id="1409041226">
                      <w:marLeft w:val="0"/>
                      <w:marRight w:val="0"/>
                      <w:marTop w:val="0"/>
                      <w:marBottom w:val="0"/>
                      <w:divBdr>
                        <w:top w:val="none" w:sz="0" w:space="0" w:color="auto"/>
                        <w:left w:val="none" w:sz="0" w:space="0" w:color="auto"/>
                        <w:bottom w:val="none" w:sz="0" w:space="0" w:color="auto"/>
                        <w:right w:val="none" w:sz="0" w:space="0" w:color="auto"/>
                      </w:divBdr>
                    </w:div>
                  </w:divsChild>
                </w:div>
                <w:div w:id="2015261340">
                  <w:marLeft w:val="0"/>
                  <w:marRight w:val="0"/>
                  <w:marTop w:val="0"/>
                  <w:marBottom w:val="0"/>
                  <w:divBdr>
                    <w:top w:val="none" w:sz="0" w:space="0" w:color="auto"/>
                    <w:left w:val="none" w:sz="0" w:space="0" w:color="auto"/>
                    <w:bottom w:val="none" w:sz="0" w:space="0" w:color="auto"/>
                    <w:right w:val="none" w:sz="0" w:space="0" w:color="auto"/>
                  </w:divBdr>
                  <w:divsChild>
                    <w:div w:id="1206528656">
                      <w:marLeft w:val="0"/>
                      <w:marRight w:val="0"/>
                      <w:marTop w:val="0"/>
                      <w:marBottom w:val="0"/>
                      <w:divBdr>
                        <w:top w:val="none" w:sz="0" w:space="0" w:color="auto"/>
                        <w:left w:val="none" w:sz="0" w:space="0" w:color="auto"/>
                        <w:bottom w:val="none" w:sz="0" w:space="0" w:color="auto"/>
                        <w:right w:val="none" w:sz="0" w:space="0" w:color="auto"/>
                      </w:divBdr>
                    </w:div>
                  </w:divsChild>
                </w:div>
                <w:div w:id="2016689208">
                  <w:marLeft w:val="0"/>
                  <w:marRight w:val="0"/>
                  <w:marTop w:val="0"/>
                  <w:marBottom w:val="0"/>
                  <w:divBdr>
                    <w:top w:val="none" w:sz="0" w:space="0" w:color="auto"/>
                    <w:left w:val="none" w:sz="0" w:space="0" w:color="auto"/>
                    <w:bottom w:val="none" w:sz="0" w:space="0" w:color="auto"/>
                    <w:right w:val="none" w:sz="0" w:space="0" w:color="auto"/>
                  </w:divBdr>
                  <w:divsChild>
                    <w:div w:id="2001224882">
                      <w:marLeft w:val="0"/>
                      <w:marRight w:val="0"/>
                      <w:marTop w:val="0"/>
                      <w:marBottom w:val="0"/>
                      <w:divBdr>
                        <w:top w:val="none" w:sz="0" w:space="0" w:color="auto"/>
                        <w:left w:val="none" w:sz="0" w:space="0" w:color="auto"/>
                        <w:bottom w:val="none" w:sz="0" w:space="0" w:color="auto"/>
                        <w:right w:val="none" w:sz="0" w:space="0" w:color="auto"/>
                      </w:divBdr>
                    </w:div>
                  </w:divsChild>
                </w:div>
                <w:div w:id="2027435780">
                  <w:marLeft w:val="0"/>
                  <w:marRight w:val="0"/>
                  <w:marTop w:val="0"/>
                  <w:marBottom w:val="0"/>
                  <w:divBdr>
                    <w:top w:val="none" w:sz="0" w:space="0" w:color="auto"/>
                    <w:left w:val="none" w:sz="0" w:space="0" w:color="auto"/>
                    <w:bottom w:val="none" w:sz="0" w:space="0" w:color="auto"/>
                    <w:right w:val="none" w:sz="0" w:space="0" w:color="auto"/>
                  </w:divBdr>
                  <w:divsChild>
                    <w:div w:id="795950444">
                      <w:marLeft w:val="0"/>
                      <w:marRight w:val="0"/>
                      <w:marTop w:val="0"/>
                      <w:marBottom w:val="0"/>
                      <w:divBdr>
                        <w:top w:val="none" w:sz="0" w:space="0" w:color="auto"/>
                        <w:left w:val="none" w:sz="0" w:space="0" w:color="auto"/>
                        <w:bottom w:val="none" w:sz="0" w:space="0" w:color="auto"/>
                        <w:right w:val="none" w:sz="0" w:space="0" w:color="auto"/>
                      </w:divBdr>
                    </w:div>
                  </w:divsChild>
                </w:div>
                <w:div w:id="2027752174">
                  <w:marLeft w:val="0"/>
                  <w:marRight w:val="0"/>
                  <w:marTop w:val="0"/>
                  <w:marBottom w:val="0"/>
                  <w:divBdr>
                    <w:top w:val="none" w:sz="0" w:space="0" w:color="auto"/>
                    <w:left w:val="none" w:sz="0" w:space="0" w:color="auto"/>
                    <w:bottom w:val="none" w:sz="0" w:space="0" w:color="auto"/>
                    <w:right w:val="none" w:sz="0" w:space="0" w:color="auto"/>
                  </w:divBdr>
                  <w:divsChild>
                    <w:div w:id="706879386">
                      <w:marLeft w:val="0"/>
                      <w:marRight w:val="0"/>
                      <w:marTop w:val="0"/>
                      <w:marBottom w:val="0"/>
                      <w:divBdr>
                        <w:top w:val="none" w:sz="0" w:space="0" w:color="auto"/>
                        <w:left w:val="none" w:sz="0" w:space="0" w:color="auto"/>
                        <w:bottom w:val="none" w:sz="0" w:space="0" w:color="auto"/>
                        <w:right w:val="none" w:sz="0" w:space="0" w:color="auto"/>
                      </w:divBdr>
                    </w:div>
                  </w:divsChild>
                </w:div>
                <w:div w:id="2030643981">
                  <w:marLeft w:val="0"/>
                  <w:marRight w:val="0"/>
                  <w:marTop w:val="0"/>
                  <w:marBottom w:val="0"/>
                  <w:divBdr>
                    <w:top w:val="none" w:sz="0" w:space="0" w:color="auto"/>
                    <w:left w:val="none" w:sz="0" w:space="0" w:color="auto"/>
                    <w:bottom w:val="none" w:sz="0" w:space="0" w:color="auto"/>
                    <w:right w:val="none" w:sz="0" w:space="0" w:color="auto"/>
                  </w:divBdr>
                  <w:divsChild>
                    <w:div w:id="1163592340">
                      <w:marLeft w:val="0"/>
                      <w:marRight w:val="0"/>
                      <w:marTop w:val="0"/>
                      <w:marBottom w:val="0"/>
                      <w:divBdr>
                        <w:top w:val="none" w:sz="0" w:space="0" w:color="auto"/>
                        <w:left w:val="none" w:sz="0" w:space="0" w:color="auto"/>
                        <w:bottom w:val="none" w:sz="0" w:space="0" w:color="auto"/>
                        <w:right w:val="none" w:sz="0" w:space="0" w:color="auto"/>
                      </w:divBdr>
                    </w:div>
                  </w:divsChild>
                </w:div>
                <w:div w:id="2032603201">
                  <w:marLeft w:val="0"/>
                  <w:marRight w:val="0"/>
                  <w:marTop w:val="0"/>
                  <w:marBottom w:val="0"/>
                  <w:divBdr>
                    <w:top w:val="none" w:sz="0" w:space="0" w:color="auto"/>
                    <w:left w:val="none" w:sz="0" w:space="0" w:color="auto"/>
                    <w:bottom w:val="none" w:sz="0" w:space="0" w:color="auto"/>
                    <w:right w:val="none" w:sz="0" w:space="0" w:color="auto"/>
                  </w:divBdr>
                  <w:divsChild>
                    <w:div w:id="204413934">
                      <w:marLeft w:val="0"/>
                      <w:marRight w:val="0"/>
                      <w:marTop w:val="0"/>
                      <w:marBottom w:val="0"/>
                      <w:divBdr>
                        <w:top w:val="none" w:sz="0" w:space="0" w:color="auto"/>
                        <w:left w:val="none" w:sz="0" w:space="0" w:color="auto"/>
                        <w:bottom w:val="none" w:sz="0" w:space="0" w:color="auto"/>
                        <w:right w:val="none" w:sz="0" w:space="0" w:color="auto"/>
                      </w:divBdr>
                    </w:div>
                  </w:divsChild>
                </w:div>
                <w:div w:id="2033221523">
                  <w:marLeft w:val="0"/>
                  <w:marRight w:val="0"/>
                  <w:marTop w:val="0"/>
                  <w:marBottom w:val="0"/>
                  <w:divBdr>
                    <w:top w:val="none" w:sz="0" w:space="0" w:color="auto"/>
                    <w:left w:val="none" w:sz="0" w:space="0" w:color="auto"/>
                    <w:bottom w:val="none" w:sz="0" w:space="0" w:color="auto"/>
                    <w:right w:val="none" w:sz="0" w:space="0" w:color="auto"/>
                  </w:divBdr>
                  <w:divsChild>
                    <w:div w:id="478959248">
                      <w:marLeft w:val="0"/>
                      <w:marRight w:val="0"/>
                      <w:marTop w:val="0"/>
                      <w:marBottom w:val="0"/>
                      <w:divBdr>
                        <w:top w:val="none" w:sz="0" w:space="0" w:color="auto"/>
                        <w:left w:val="none" w:sz="0" w:space="0" w:color="auto"/>
                        <w:bottom w:val="none" w:sz="0" w:space="0" w:color="auto"/>
                        <w:right w:val="none" w:sz="0" w:space="0" w:color="auto"/>
                      </w:divBdr>
                    </w:div>
                  </w:divsChild>
                </w:div>
                <w:div w:id="2035492632">
                  <w:marLeft w:val="0"/>
                  <w:marRight w:val="0"/>
                  <w:marTop w:val="0"/>
                  <w:marBottom w:val="0"/>
                  <w:divBdr>
                    <w:top w:val="none" w:sz="0" w:space="0" w:color="auto"/>
                    <w:left w:val="none" w:sz="0" w:space="0" w:color="auto"/>
                    <w:bottom w:val="none" w:sz="0" w:space="0" w:color="auto"/>
                    <w:right w:val="none" w:sz="0" w:space="0" w:color="auto"/>
                  </w:divBdr>
                  <w:divsChild>
                    <w:div w:id="1314331646">
                      <w:marLeft w:val="0"/>
                      <w:marRight w:val="0"/>
                      <w:marTop w:val="0"/>
                      <w:marBottom w:val="0"/>
                      <w:divBdr>
                        <w:top w:val="none" w:sz="0" w:space="0" w:color="auto"/>
                        <w:left w:val="none" w:sz="0" w:space="0" w:color="auto"/>
                        <w:bottom w:val="none" w:sz="0" w:space="0" w:color="auto"/>
                        <w:right w:val="none" w:sz="0" w:space="0" w:color="auto"/>
                      </w:divBdr>
                    </w:div>
                  </w:divsChild>
                </w:div>
                <w:div w:id="2042129459">
                  <w:marLeft w:val="0"/>
                  <w:marRight w:val="0"/>
                  <w:marTop w:val="0"/>
                  <w:marBottom w:val="0"/>
                  <w:divBdr>
                    <w:top w:val="none" w:sz="0" w:space="0" w:color="auto"/>
                    <w:left w:val="none" w:sz="0" w:space="0" w:color="auto"/>
                    <w:bottom w:val="none" w:sz="0" w:space="0" w:color="auto"/>
                    <w:right w:val="none" w:sz="0" w:space="0" w:color="auto"/>
                  </w:divBdr>
                  <w:divsChild>
                    <w:div w:id="672414557">
                      <w:marLeft w:val="0"/>
                      <w:marRight w:val="0"/>
                      <w:marTop w:val="0"/>
                      <w:marBottom w:val="0"/>
                      <w:divBdr>
                        <w:top w:val="none" w:sz="0" w:space="0" w:color="auto"/>
                        <w:left w:val="none" w:sz="0" w:space="0" w:color="auto"/>
                        <w:bottom w:val="none" w:sz="0" w:space="0" w:color="auto"/>
                        <w:right w:val="none" w:sz="0" w:space="0" w:color="auto"/>
                      </w:divBdr>
                    </w:div>
                  </w:divsChild>
                </w:div>
                <w:div w:id="2046826238">
                  <w:marLeft w:val="0"/>
                  <w:marRight w:val="0"/>
                  <w:marTop w:val="0"/>
                  <w:marBottom w:val="0"/>
                  <w:divBdr>
                    <w:top w:val="none" w:sz="0" w:space="0" w:color="auto"/>
                    <w:left w:val="none" w:sz="0" w:space="0" w:color="auto"/>
                    <w:bottom w:val="none" w:sz="0" w:space="0" w:color="auto"/>
                    <w:right w:val="none" w:sz="0" w:space="0" w:color="auto"/>
                  </w:divBdr>
                  <w:divsChild>
                    <w:div w:id="1840343421">
                      <w:marLeft w:val="0"/>
                      <w:marRight w:val="0"/>
                      <w:marTop w:val="0"/>
                      <w:marBottom w:val="0"/>
                      <w:divBdr>
                        <w:top w:val="none" w:sz="0" w:space="0" w:color="auto"/>
                        <w:left w:val="none" w:sz="0" w:space="0" w:color="auto"/>
                        <w:bottom w:val="none" w:sz="0" w:space="0" w:color="auto"/>
                        <w:right w:val="none" w:sz="0" w:space="0" w:color="auto"/>
                      </w:divBdr>
                    </w:div>
                  </w:divsChild>
                </w:div>
                <w:div w:id="2051416494">
                  <w:marLeft w:val="0"/>
                  <w:marRight w:val="0"/>
                  <w:marTop w:val="0"/>
                  <w:marBottom w:val="0"/>
                  <w:divBdr>
                    <w:top w:val="none" w:sz="0" w:space="0" w:color="auto"/>
                    <w:left w:val="none" w:sz="0" w:space="0" w:color="auto"/>
                    <w:bottom w:val="none" w:sz="0" w:space="0" w:color="auto"/>
                    <w:right w:val="none" w:sz="0" w:space="0" w:color="auto"/>
                  </w:divBdr>
                  <w:divsChild>
                    <w:div w:id="343285742">
                      <w:marLeft w:val="0"/>
                      <w:marRight w:val="0"/>
                      <w:marTop w:val="0"/>
                      <w:marBottom w:val="0"/>
                      <w:divBdr>
                        <w:top w:val="none" w:sz="0" w:space="0" w:color="auto"/>
                        <w:left w:val="none" w:sz="0" w:space="0" w:color="auto"/>
                        <w:bottom w:val="none" w:sz="0" w:space="0" w:color="auto"/>
                        <w:right w:val="none" w:sz="0" w:space="0" w:color="auto"/>
                      </w:divBdr>
                    </w:div>
                  </w:divsChild>
                </w:div>
                <w:div w:id="2069692693">
                  <w:marLeft w:val="0"/>
                  <w:marRight w:val="0"/>
                  <w:marTop w:val="0"/>
                  <w:marBottom w:val="0"/>
                  <w:divBdr>
                    <w:top w:val="none" w:sz="0" w:space="0" w:color="auto"/>
                    <w:left w:val="none" w:sz="0" w:space="0" w:color="auto"/>
                    <w:bottom w:val="none" w:sz="0" w:space="0" w:color="auto"/>
                    <w:right w:val="none" w:sz="0" w:space="0" w:color="auto"/>
                  </w:divBdr>
                  <w:divsChild>
                    <w:div w:id="1574008069">
                      <w:marLeft w:val="0"/>
                      <w:marRight w:val="0"/>
                      <w:marTop w:val="0"/>
                      <w:marBottom w:val="0"/>
                      <w:divBdr>
                        <w:top w:val="none" w:sz="0" w:space="0" w:color="auto"/>
                        <w:left w:val="none" w:sz="0" w:space="0" w:color="auto"/>
                        <w:bottom w:val="none" w:sz="0" w:space="0" w:color="auto"/>
                        <w:right w:val="none" w:sz="0" w:space="0" w:color="auto"/>
                      </w:divBdr>
                    </w:div>
                  </w:divsChild>
                </w:div>
                <w:div w:id="2074624181">
                  <w:marLeft w:val="0"/>
                  <w:marRight w:val="0"/>
                  <w:marTop w:val="0"/>
                  <w:marBottom w:val="0"/>
                  <w:divBdr>
                    <w:top w:val="none" w:sz="0" w:space="0" w:color="auto"/>
                    <w:left w:val="none" w:sz="0" w:space="0" w:color="auto"/>
                    <w:bottom w:val="none" w:sz="0" w:space="0" w:color="auto"/>
                    <w:right w:val="none" w:sz="0" w:space="0" w:color="auto"/>
                  </w:divBdr>
                  <w:divsChild>
                    <w:div w:id="1262420889">
                      <w:marLeft w:val="0"/>
                      <w:marRight w:val="0"/>
                      <w:marTop w:val="0"/>
                      <w:marBottom w:val="0"/>
                      <w:divBdr>
                        <w:top w:val="none" w:sz="0" w:space="0" w:color="auto"/>
                        <w:left w:val="none" w:sz="0" w:space="0" w:color="auto"/>
                        <w:bottom w:val="none" w:sz="0" w:space="0" w:color="auto"/>
                        <w:right w:val="none" w:sz="0" w:space="0" w:color="auto"/>
                      </w:divBdr>
                    </w:div>
                  </w:divsChild>
                </w:div>
                <w:div w:id="2077971729">
                  <w:marLeft w:val="0"/>
                  <w:marRight w:val="0"/>
                  <w:marTop w:val="0"/>
                  <w:marBottom w:val="0"/>
                  <w:divBdr>
                    <w:top w:val="none" w:sz="0" w:space="0" w:color="auto"/>
                    <w:left w:val="none" w:sz="0" w:space="0" w:color="auto"/>
                    <w:bottom w:val="none" w:sz="0" w:space="0" w:color="auto"/>
                    <w:right w:val="none" w:sz="0" w:space="0" w:color="auto"/>
                  </w:divBdr>
                  <w:divsChild>
                    <w:div w:id="90400171">
                      <w:marLeft w:val="0"/>
                      <w:marRight w:val="0"/>
                      <w:marTop w:val="0"/>
                      <w:marBottom w:val="0"/>
                      <w:divBdr>
                        <w:top w:val="none" w:sz="0" w:space="0" w:color="auto"/>
                        <w:left w:val="none" w:sz="0" w:space="0" w:color="auto"/>
                        <w:bottom w:val="none" w:sz="0" w:space="0" w:color="auto"/>
                        <w:right w:val="none" w:sz="0" w:space="0" w:color="auto"/>
                      </w:divBdr>
                    </w:div>
                  </w:divsChild>
                </w:div>
                <w:div w:id="2082020318">
                  <w:marLeft w:val="0"/>
                  <w:marRight w:val="0"/>
                  <w:marTop w:val="0"/>
                  <w:marBottom w:val="0"/>
                  <w:divBdr>
                    <w:top w:val="none" w:sz="0" w:space="0" w:color="auto"/>
                    <w:left w:val="none" w:sz="0" w:space="0" w:color="auto"/>
                    <w:bottom w:val="none" w:sz="0" w:space="0" w:color="auto"/>
                    <w:right w:val="none" w:sz="0" w:space="0" w:color="auto"/>
                  </w:divBdr>
                  <w:divsChild>
                    <w:div w:id="213201733">
                      <w:marLeft w:val="0"/>
                      <w:marRight w:val="0"/>
                      <w:marTop w:val="0"/>
                      <w:marBottom w:val="0"/>
                      <w:divBdr>
                        <w:top w:val="none" w:sz="0" w:space="0" w:color="auto"/>
                        <w:left w:val="none" w:sz="0" w:space="0" w:color="auto"/>
                        <w:bottom w:val="none" w:sz="0" w:space="0" w:color="auto"/>
                        <w:right w:val="none" w:sz="0" w:space="0" w:color="auto"/>
                      </w:divBdr>
                    </w:div>
                  </w:divsChild>
                </w:div>
                <w:div w:id="2083795754">
                  <w:marLeft w:val="0"/>
                  <w:marRight w:val="0"/>
                  <w:marTop w:val="0"/>
                  <w:marBottom w:val="0"/>
                  <w:divBdr>
                    <w:top w:val="none" w:sz="0" w:space="0" w:color="auto"/>
                    <w:left w:val="none" w:sz="0" w:space="0" w:color="auto"/>
                    <w:bottom w:val="none" w:sz="0" w:space="0" w:color="auto"/>
                    <w:right w:val="none" w:sz="0" w:space="0" w:color="auto"/>
                  </w:divBdr>
                  <w:divsChild>
                    <w:div w:id="1284577568">
                      <w:marLeft w:val="0"/>
                      <w:marRight w:val="0"/>
                      <w:marTop w:val="0"/>
                      <w:marBottom w:val="0"/>
                      <w:divBdr>
                        <w:top w:val="none" w:sz="0" w:space="0" w:color="auto"/>
                        <w:left w:val="none" w:sz="0" w:space="0" w:color="auto"/>
                        <w:bottom w:val="none" w:sz="0" w:space="0" w:color="auto"/>
                        <w:right w:val="none" w:sz="0" w:space="0" w:color="auto"/>
                      </w:divBdr>
                    </w:div>
                  </w:divsChild>
                </w:div>
                <w:div w:id="2086875850">
                  <w:marLeft w:val="0"/>
                  <w:marRight w:val="0"/>
                  <w:marTop w:val="0"/>
                  <w:marBottom w:val="0"/>
                  <w:divBdr>
                    <w:top w:val="none" w:sz="0" w:space="0" w:color="auto"/>
                    <w:left w:val="none" w:sz="0" w:space="0" w:color="auto"/>
                    <w:bottom w:val="none" w:sz="0" w:space="0" w:color="auto"/>
                    <w:right w:val="none" w:sz="0" w:space="0" w:color="auto"/>
                  </w:divBdr>
                  <w:divsChild>
                    <w:div w:id="1851752320">
                      <w:marLeft w:val="0"/>
                      <w:marRight w:val="0"/>
                      <w:marTop w:val="0"/>
                      <w:marBottom w:val="0"/>
                      <w:divBdr>
                        <w:top w:val="none" w:sz="0" w:space="0" w:color="auto"/>
                        <w:left w:val="none" w:sz="0" w:space="0" w:color="auto"/>
                        <w:bottom w:val="none" w:sz="0" w:space="0" w:color="auto"/>
                        <w:right w:val="none" w:sz="0" w:space="0" w:color="auto"/>
                      </w:divBdr>
                    </w:div>
                  </w:divsChild>
                </w:div>
                <w:div w:id="2096130452">
                  <w:marLeft w:val="0"/>
                  <w:marRight w:val="0"/>
                  <w:marTop w:val="0"/>
                  <w:marBottom w:val="0"/>
                  <w:divBdr>
                    <w:top w:val="none" w:sz="0" w:space="0" w:color="auto"/>
                    <w:left w:val="none" w:sz="0" w:space="0" w:color="auto"/>
                    <w:bottom w:val="none" w:sz="0" w:space="0" w:color="auto"/>
                    <w:right w:val="none" w:sz="0" w:space="0" w:color="auto"/>
                  </w:divBdr>
                  <w:divsChild>
                    <w:div w:id="1426458681">
                      <w:marLeft w:val="0"/>
                      <w:marRight w:val="0"/>
                      <w:marTop w:val="0"/>
                      <w:marBottom w:val="0"/>
                      <w:divBdr>
                        <w:top w:val="none" w:sz="0" w:space="0" w:color="auto"/>
                        <w:left w:val="none" w:sz="0" w:space="0" w:color="auto"/>
                        <w:bottom w:val="none" w:sz="0" w:space="0" w:color="auto"/>
                        <w:right w:val="none" w:sz="0" w:space="0" w:color="auto"/>
                      </w:divBdr>
                    </w:div>
                  </w:divsChild>
                </w:div>
                <w:div w:id="2097702115">
                  <w:marLeft w:val="0"/>
                  <w:marRight w:val="0"/>
                  <w:marTop w:val="0"/>
                  <w:marBottom w:val="0"/>
                  <w:divBdr>
                    <w:top w:val="none" w:sz="0" w:space="0" w:color="auto"/>
                    <w:left w:val="none" w:sz="0" w:space="0" w:color="auto"/>
                    <w:bottom w:val="none" w:sz="0" w:space="0" w:color="auto"/>
                    <w:right w:val="none" w:sz="0" w:space="0" w:color="auto"/>
                  </w:divBdr>
                  <w:divsChild>
                    <w:div w:id="871453572">
                      <w:marLeft w:val="0"/>
                      <w:marRight w:val="0"/>
                      <w:marTop w:val="0"/>
                      <w:marBottom w:val="0"/>
                      <w:divBdr>
                        <w:top w:val="none" w:sz="0" w:space="0" w:color="auto"/>
                        <w:left w:val="none" w:sz="0" w:space="0" w:color="auto"/>
                        <w:bottom w:val="none" w:sz="0" w:space="0" w:color="auto"/>
                        <w:right w:val="none" w:sz="0" w:space="0" w:color="auto"/>
                      </w:divBdr>
                    </w:div>
                  </w:divsChild>
                </w:div>
                <w:div w:id="2098944345">
                  <w:marLeft w:val="0"/>
                  <w:marRight w:val="0"/>
                  <w:marTop w:val="0"/>
                  <w:marBottom w:val="0"/>
                  <w:divBdr>
                    <w:top w:val="none" w:sz="0" w:space="0" w:color="auto"/>
                    <w:left w:val="none" w:sz="0" w:space="0" w:color="auto"/>
                    <w:bottom w:val="none" w:sz="0" w:space="0" w:color="auto"/>
                    <w:right w:val="none" w:sz="0" w:space="0" w:color="auto"/>
                  </w:divBdr>
                  <w:divsChild>
                    <w:div w:id="1662350748">
                      <w:marLeft w:val="0"/>
                      <w:marRight w:val="0"/>
                      <w:marTop w:val="0"/>
                      <w:marBottom w:val="0"/>
                      <w:divBdr>
                        <w:top w:val="none" w:sz="0" w:space="0" w:color="auto"/>
                        <w:left w:val="none" w:sz="0" w:space="0" w:color="auto"/>
                        <w:bottom w:val="none" w:sz="0" w:space="0" w:color="auto"/>
                        <w:right w:val="none" w:sz="0" w:space="0" w:color="auto"/>
                      </w:divBdr>
                    </w:div>
                  </w:divsChild>
                </w:div>
                <w:div w:id="2099789289">
                  <w:marLeft w:val="0"/>
                  <w:marRight w:val="0"/>
                  <w:marTop w:val="0"/>
                  <w:marBottom w:val="0"/>
                  <w:divBdr>
                    <w:top w:val="none" w:sz="0" w:space="0" w:color="auto"/>
                    <w:left w:val="none" w:sz="0" w:space="0" w:color="auto"/>
                    <w:bottom w:val="none" w:sz="0" w:space="0" w:color="auto"/>
                    <w:right w:val="none" w:sz="0" w:space="0" w:color="auto"/>
                  </w:divBdr>
                  <w:divsChild>
                    <w:div w:id="968900128">
                      <w:marLeft w:val="0"/>
                      <w:marRight w:val="0"/>
                      <w:marTop w:val="0"/>
                      <w:marBottom w:val="0"/>
                      <w:divBdr>
                        <w:top w:val="none" w:sz="0" w:space="0" w:color="auto"/>
                        <w:left w:val="none" w:sz="0" w:space="0" w:color="auto"/>
                        <w:bottom w:val="none" w:sz="0" w:space="0" w:color="auto"/>
                        <w:right w:val="none" w:sz="0" w:space="0" w:color="auto"/>
                      </w:divBdr>
                    </w:div>
                  </w:divsChild>
                </w:div>
                <w:div w:id="2101483258">
                  <w:marLeft w:val="0"/>
                  <w:marRight w:val="0"/>
                  <w:marTop w:val="0"/>
                  <w:marBottom w:val="0"/>
                  <w:divBdr>
                    <w:top w:val="none" w:sz="0" w:space="0" w:color="auto"/>
                    <w:left w:val="none" w:sz="0" w:space="0" w:color="auto"/>
                    <w:bottom w:val="none" w:sz="0" w:space="0" w:color="auto"/>
                    <w:right w:val="none" w:sz="0" w:space="0" w:color="auto"/>
                  </w:divBdr>
                  <w:divsChild>
                    <w:div w:id="833689621">
                      <w:marLeft w:val="0"/>
                      <w:marRight w:val="0"/>
                      <w:marTop w:val="0"/>
                      <w:marBottom w:val="0"/>
                      <w:divBdr>
                        <w:top w:val="none" w:sz="0" w:space="0" w:color="auto"/>
                        <w:left w:val="none" w:sz="0" w:space="0" w:color="auto"/>
                        <w:bottom w:val="none" w:sz="0" w:space="0" w:color="auto"/>
                        <w:right w:val="none" w:sz="0" w:space="0" w:color="auto"/>
                      </w:divBdr>
                    </w:div>
                  </w:divsChild>
                </w:div>
                <w:div w:id="2105496403">
                  <w:marLeft w:val="0"/>
                  <w:marRight w:val="0"/>
                  <w:marTop w:val="0"/>
                  <w:marBottom w:val="0"/>
                  <w:divBdr>
                    <w:top w:val="none" w:sz="0" w:space="0" w:color="auto"/>
                    <w:left w:val="none" w:sz="0" w:space="0" w:color="auto"/>
                    <w:bottom w:val="none" w:sz="0" w:space="0" w:color="auto"/>
                    <w:right w:val="none" w:sz="0" w:space="0" w:color="auto"/>
                  </w:divBdr>
                  <w:divsChild>
                    <w:div w:id="1490900548">
                      <w:marLeft w:val="0"/>
                      <w:marRight w:val="0"/>
                      <w:marTop w:val="0"/>
                      <w:marBottom w:val="0"/>
                      <w:divBdr>
                        <w:top w:val="none" w:sz="0" w:space="0" w:color="auto"/>
                        <w:left w:val="none" w:sz="0" w:space="0" w:color="auto"/>
                        <w:bottom w:val="none" w:sz="0" w:space="0" w:color="auto"/>
                        <w:right w:val="none" w:sz="0" w:space="0" w:color="auto"/>
                      </w:divBdr>
                    </w:div>
                  </w:divsChild>
                </w:div>
                <w:div w:id="2112700535">
                  <w:marLeft w:val="0"/>
                  <w:marRight w:val="0"/>
                  <w:marTop w:val="0"/>
                  <w:marBottom w:val="0"/>
                  <w:divBdr>
                    <w:top w:val="none" w:sz="0" w:space="0" w:color="auto"/>
                    <w:left w:val="none" w:sz="0" w:space="0" w:color="auto"/>
                    <w:bottom w:val="none" w:sz="0" w:space="0" w:color="auto"/>
                    <w:right w:val="none" w:sz="0" w:space="0" w:color="auto"/>
                  </w:divBdr>
                  <w:divsChild>
                    <w:div w:id="1269966794">
                      <w:marLeft w:val="0"/>
                      <w:marRight w:val="0"/>
                      <w:marTop w:val="0"/>
                      <w:marBottom w:val="0"/>
                      <w:divBdr>
                        <w:top w:val="none" w:sz="0" w:space="0" w:color="auto"/>
                        <w:left w:val="none" w:sz="0" w:space="0" w:color="auto"/>
                        <w:bottom w:val="none" w:sz="0" w:space="0" w:color="auto"/>
                        <w:right w:val="none" w:sz="0" w:space="0" w:color="auto"/>
                      </w:divBdr>
                    </w:div>
                  </w:divsChild>
                </w:div>
                <w:div w:id="2123380954">
                  <w:marLeft w:val="0"/>
                  <w:marRight w:val="0"/>
                  <w:marTop w:val="0"/>
                  <w:marBottom w:val="0"/>
                  <w:divBdr>
                    <w:top w:val="none" w:sz="0" w:space="0" w:color="auto"/>
                    <w:left w:val="none" w:sz="0" w:space="0" w:color="auto"/>
                    <w:bottom w:val="none" w:sz="0" w:space="0" w:color="auto"/>
                    <w:right w:val="none" w:sz="0" w:space="0" w:color="auto"/>
                  </w:divBdr>
                  <w:divsChild>
                    <w:div w:id="476147583">
                      <w:marLeft w:val="0"/>
                      <w:marRight w:val="0"/>
                      <w:marTop w:val="0"/>
                      <w:marBottom w:val="0"/>
                      <w:divBdr>
                        <w:top w:val="none" w:sz="0" w:space="0" w:color="auto"/>
                        <w:left w:val="none" w:sz="0" w:space="0" w:color="auto"/>
                        <w:bottom w:val="none" w:sz="0" w:space="0" w:color="auto"/>
                        <w:right w:val="none" w:sz="0" w:space="0" w:color="auto"/>
                      </w:divBdr>
                    </w:div>
                  </w:divsChild>
                </w:div>
                <w:div w:id="2128161860">
                  <w:marLeft w:val="0"/>
                  <w:marRight w:val="0"/>
                  <w:marTop w:val="0"/>
                  <w:marBottom w:val="0"/>
                  <w:divBdr>
                    <w:top w:val="none" w:sz="0" w:space="0" w:color="auto"/>
                    <w:left w:val="none" w:sz="0" w:space="0" w:color="auto"/>
                    <w:bottom w:val="none" w:sz="0" w:space="0" w:color="auto"/>
                    <w:right w:val="none" w:sz="0" w:space="0" w:color="auto"/>
                  </w:divBdr>
                  <w:divsChild>
                    <w:div w:id="1758362653">
                      <w:marLeft w:val="0"/>
                      <w:marRight w:val="0"/>
                      <w:marTop w:val="0"/>
                      <w:marBottom w:val="0"/>
                      <w:divBdr>
                        <w:top w:val="none" w:sz="0" w:space="0" w:color="auto"/>
                        <w:left w:val="none" w:sz="0" w:space="0" w:color="auto"/>
                        <w:bottom w:val="none" w:sz="0" w:space="0" w:color="auto"/>
                        <w:right w:val="none" w:sz="0" w:space="0" w:color="auto"/>
                      </w:divBdr>
                    </w:div>
                  </w:divsChild>
                </w:div>
                <w:div w:id="2128886648">
                  <w:marLeft w:val="0"/>
                  <w:marRight w:val="0"/>
                  <w:marTop w:val="0"/>
                  <w:marBottom w:val="0"/>
                  <w:divBdr>
                    <w:top w:val="none" w:sz="0" w:space="0" w:color="auto"/>
                    <w:left w:val="none" w:sz="0" w:space="0" w:color="auto"/>
                    <w:bottom w:val="none" w:sz="0" w:space="0" w:color="auto"/>
                    <w:right w:val="none" w:sz="0" w:space="0" w:color="auto"/>
                  </w:divBdr>
                  <w:divsChild>
                    <w:div w:id="1178469446">
                      <w:marLeft w:val="0"/>
                      <w:marRight w:val="0"/>
                      <w:marTop w:val="0"/>
                      <w:marBottom w:val="0"/>
                      <w:divBdr>
                        <w:top w:val="none" w:sz="0" w:space="0" w:color="auto"/>
                        <w:left w:val="none" w:sz="0" w:space="0" w:color="auto"/>
                        <w:bottom w:val="none" w:sz="0" w:space="0" w:color="auto"/>
                        <w:right w:val="none" w:sz="0" w:space="0" w:color="auto"/>
                      </w:divBdr>
                    </w:div>
                  </w:divsChild>
                </w:div>
                <w:div w:id="2131782719">
                  <w:marLeft w:val="0"/>
                  <w:marRight w:val="0"/>
                  <w:marTop w:val="0"/>
                  <w:marBottom w:val="0"/>
                  <w:divBdr>
                    <w:top w:val="none" w:sz="0" w:space="0" w:color="auto"/>
                    <w:left w:val="none" w:sz="0" w:space="0" w:color="auto"/>
                    <w:bottom w:val="none" w:sz="0" w:space="0" w:color="auto"/>
                    <w:right w:val="none" w:sz="0" w:space="0" w:color="auto"/>
                  </w:divBdr>
                  <w:divsChild>
                    <w:div w:id="852260956">
                      <w:marLeft w:val="0"/>
                      <w:marRight w:val="0"/>
                      <w:marTop w:val="0"/>
                      <w:marBottom w:val="0"/>
                      <w:divBdr>
                        <w:top w:val="none" w:sz="0" w:space="0" w:color="auto"/>
                        <w:left w:val="none" w:sz="0" w:space="0" w:color="auto"/>
                        <w:bottom w:val="none" w:sz="0" w:space="0" w:color="auto"/>
                        <w:right w:val="none" w:sz="0" w:space="0" w:color="auto"/>
                      </w:divBdr>
                    </w:div>
                  </w:divsChild>
                </w:div>
                <w:div w:id="2137066347">
                  <w:marLeft w:val="0"/>
                  <w:marRight w:val="0"/>
                  <w:marTop w:val="0"/>
                  <w:marBottom w:val="0"/>
                  <w:divBdr>
                    <w:top w:val="none" w:sz="0" w:space="0" w:color="auto"/>
                    <w:left w:val="none" w:sz="0" w:space="0" w:color="auto"/>
                    <w:bottom w:val="none" w:sz="0" w:space="0" w:color="auto"/>
                    <w:right w:val="none" w:sz="0" w:space="0" w:color="auto"/>
                  </w:divBdr>
                  <w:divsChild>
                    <w:div w:id="770902190">
                      <w:marLeft w:val="0"/>
                      <w:marRight w:val="0"/>
                      <w:marTop w:val="0"/>
                      <w:marBottom w:val="0"/>
                      <w:divBdr>
                        <w:top w:val="none" w:sz="0" w:space="0" w:color="auto"/>
                        <w:left w:val="none" w:sz="0" w:space="0" w:color="auto"/>
                        <w:bottom w:val="none" w:sz="0" w:space="0" w:color="auto"/>
                        <w:right w:val="none" w:sz="0" w:space="0" w:color="auto"/>
                      </w:divBdr>
                    </w:div>
                  </w:divsChild>
                </w:div>
                <w:div w:id="2137287672">
                  <w:marLeft w:val="0"/>
                  <w:marRight w:val="0"/>
                  <w:marTop w:val="0"/>
                  <w:marBottom w:val="0"/>
                  <w:divBdr>
                    <w:top w:val="none" w:sz="0" w:space="0" w:color="auto"/>
                    <w:left w:val="none" w:sz="0" w:space="0" w:color="auto"/>
                    <w:bottom w:val="none" w:sz="0" w:space="0" w:color="auto"/>
                    <w:right w:val="none" w:sz="0" w:space="0" w:color="auto"/>
                  </w:divBdr>
                  <w:divsChild>
                    <w:div w:id="7819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90337">
      <w:bodyDiv w:val="1"/>
      <w:marLeft w:val="0"/>
      <w:marRight w:val="0"/>
      <w:marTop w:val="0"/>
      <w:marBottom w:val="0"/>
      <w:divBdr>
        <w:top w:val="none" w:sz="0" w:space="0" w:color="auto"/>
        <w:left w:val="none" w:sz="0" w:space="0" w:color="auto"/>
        <w:bottom w:val="none" w:sz="0" w:space="0" w:color="auto"/>
        <w:right w:val="none" w:sz="0" w:space="0" w:color="auto"/>
      </w:divBdr>
    </w:div>
    <w:div w:id="229383927">
      <w:bodyDiv w:val="1"/>
      <w:marLeft w:val="0"/>
      <w:marRight w:val="0"/>
      <w:marTop w:val="0"/>
      <w:marBottom w:val="0"/>
      <w:divBdr>
        <w:top w:val="none" w:sz="0" w:space="0" w:color="auto"/>
        <w:left w:val="none" w:sz="0" w:space="0" w:color="auto"/>
        <w:bottom w:val="none" w:sz="0" w:space="0" w:color="auto"/>
        <w:right w:val="none" w:sz="0" w:space="0" w:color="auto"/>
      </w:divBdr>
    </w:div>
    <w:div w:id="230046090">
      <w:bodyDiv w:val="1"/>
      <w:marLeft w:val="0"/>
      <w:marRight w:val="0"/>
      <w:marTop w:val="0"/>
      <w:marBottom w:val="0"/>
      <w:divBdr>
        <w:top w:val="none" w:sz="0" w:space="0" w:color="auto"/>
        <w:left w:val="none" w:sz="0" w:space="0" w:color="auto"/>
        <w:bottom w:val="none" w:sz="0" w:space="0" w:color="auto"/>
        <w:right w:val="none" w:sz="0" w:space="0" w:color="auto"/>
      </w:divBdr>
    </w:div>
    <w:div w:id="230383311">
      <w:bodyDiv w:val="1"/>
      <w:marLeft w:val="0"/>
      <w:marRight w:val="0"/>
      <w:marTop w:val="0"/>
      <w:marBottom w:val="0"/>
      <w:divBdr>
        <w:top w:val="none" w:sz="0" w:space="0" w:color="auto"/>
        <w:left w:val="none" w:sz="0" w:space="0" w:color="auto"/>
        <w:bottom w:val="none" w:sz="0" w:space="0" w:color="auto"/>
        <w:right w:val="none" w:sz="0" w:space="0" w:color="auto"/>
      </w:divBdr>
    </w:div>
    <w:div w:id="231042227">
      <w:bodyDiv w:val="1"/>
      <w:marLeft w:val="0"/>
      <w:marRight w:val="0"/>
      <w:marTop w:val="0"/>
      <w:marBottom w:val="0"/>
      <w:divBdr>
        <w:top w:val="none" w:sz="0" w:space="0" w:color="auto"/>
        <w:left w:val="none" w:sz="0" w:space="0" w:color="auto"/>
        <w:bottom w:val="none" w:sz="0" w:space="0" w:color="auto"/>
        <w:right w:val="none" w:sz="0" w:space="0" w:color="auto"/>
      </w:divBdr>
    </w:div>
    <w:div w:id="231476686">
      <w:bodyDiv w:val="1"/>
      <w:marLeft w:val="0"/>
      <w:marRight w:val="0"/>
      <w:marTop w:val="0"/>
      <w:marBottom w:val="0"/>
      <w:divBdr>
        <w:top w:val="none" w:sz="0" w:space="0" w:color="auto"/>
        <w:left w:val="none" w:sz="0" w:space="0" w:color="auto"/>
        <w:bottom w:val="none" w:sz="0" w:space="0" w:color="auto"/>
        <w:right w:val="none" w:sz="0" w:space="0" w:color="auto"/>
      </w:divBdr>
    </w:div>
    <w:div w:id="234512461">
      <w:bodyDiv w:val="1"/>
      <w:marLeft w:val="0"/>
      <w:marRight w:val="0"/>
      <w:marTop w:val="0"/>
      <w:marBottom w:val="0"/>
      <w:divBdr>
        <w:top w:val="none" w:sz="0" w:space="0" w:color="auto"/>
        <w:left w:val="none" w:sz="0" w:space="0" w:color="auto"/>
        <w:bottom w:val="none" w:sz="0" w:space="0" w:color="auto"/>
        <w:right w:val="none" w:sz="0" w:space="0" w:color="auto"/>
      </w:divBdr>
    </w:div>
    <w:div w:id="236520285">
      <w:bodyDiv w:val="1"/>
      <w:marLeft w:val="0"/>
      <w:marRight w:val="0"/>
      <w:marTop w:val="0"/>
      <w:marBottom w:val="0"/>
      <w:divBdr>
        <w:top w:val="none" w:sz="0" w:space="0" w:color="auto"/>
        <w:left w:val="none" w:sz="0" w:space="0" w:color="auto"/>
        <w:bottom w:val="none" w:sz="0" w:space="0" w:color="auto"/>
        <w:right w:val="none" w:sz="0" w:space="0" w:color="auto"/>
      </w:divBdr>
    </w:div>
    <w:div w:id="238759114">
      <w:bodyDiv w:val="1"/>
      <w:marLeft w:val="0"/>
      <w:marRight w:val="0"/>
      <w:marTop w:val="0"/>
      <w:marBottom w:val="0"/>
      <w:divBdr>
        <w:top w:val="none" w:sz="0" w:space="0" w:color="auto"/>
        <w:left w:val="none" w:sz="0" w:space="0" w:color="auto"/>
        <w:bottom w:val="none" w:sz="0" w:space="0" w:color="auto"/>
        <w:right w:val="none" w:sz="0" w:space="0" w:color="auto"/>
      </w:divBdr>
    </w:div>
    <w:div w:id="240724094">
      <w:bodyDiv w:val="1"/>
      <w:marLeft w:val="0"/>
      <w:marRight w:val="0"/>
      <w:marTop w:val="0"/>
      <w:marBottom w:val="0"/>
      <w:divBdr>
        <w:top w:val="none" w:sz="0" w:space="0" w:color="auto"/>
        <w:left w:val="none" w:sz="0" w:space="0" w:color="auto"/>
        <w:bottom w:val="none" w:sz="0" w:space="0" w:color="auto"/>
        <w:right w:val="none" w:sz="0" w:space="0" w:color="auto"/>
      </w:divBdr>
    </w:div>
    <w:div w:id="241455868">
      <w:bodyDiv w:val="1"/>
      <w:marLeft w:val="0"/>
      <w:marRight w:val="0"/>
      <w:marTop w:val="0"/>
      <w:marBottom w:val="0"/>
      <w:divBdr>
        <w:top w:val="none" w:sz="0" w:space="0" w:color="auto"/>
        <w:left w:val="none" w:sz="0" w:space="0" w:color="auto"/>
        <w:bottom w:val="none" w:sz="0" w:space="0" w:color="auto"/>
        <w:right w:val="none" w:sz="0" w:space="0" w:color="auto"/>
      </w:divBdr>
    </w:div>
    <w:div w:id="241643037">
      <w:bodyDiv w:val="1"/>
      <w:marLeft w:val="0"/>
      <w:marRight w:val="0"/>
      <w:marTop w:val="0"/>
      <w:marBottom w:val="0"/>
      <w:divBdr>
        <w:top w:val="none" w:sz="0" w:space="0" w:color="auto"/>
        <w:left w:val="none" w:sz="0" w:space="0" w:color="auto"/>
        <w:bottom w:val="none" w:sz="0" w:space="0" w:color="auto"/>
        <w:right w:val="none" w:sz="0" w:space="0" w:color="auto"/>
      </w:divBdr>
    </w:div>
    <w:div w:id="241725322">
      <w:bodyDiv w:val="1"/>
      <w:marLeft w:val="0"/>
      <w:marRight w:val="0"/>
      <w:marTop w:val="0"/>
      <w:marBottom w:val="0"/>
      <w:divBdr>
        <w:top w:val="none" w:sz="0" w:space="0" w:color="auto"/>
        <w:left w:val="none" w:sz="0" w:space="0" w:color="auto"/>
        <w:bottom w:val="none" w:sz="0" w:space="0" w:color="auto"/>
        <w:right w:val="none" w:sz="0" w:space="0" w:color="auto"/>
      </w:divBdr>
    </w:div>
    <w:div w:id="241911769">
      <w:bodyDiv w:val="1"/>
      <w:marLeft w:val="0"/>
      <w:marRight w:val="0"/>
      <w:marTop w:val="0"/>
      <w:marBottom w:val="0"/>
      <w:divBdr>
        <w:top w:val="none" w:sz="0" w:space="0" w:color="auto"/>
        <w:left w:val="none" w:sz="0" w:space="0" w:color="auto"/>
        <w:bottom w:val="none" w:sz="0" w:space="0" w:color="auto"/>
        <w:right w:val="none" w:sz="0" w:space="0" w:color="auto"/>
      </w:divBdr>
    </w:div>
    <w:div w:id="243532389">
      <w:bodyDiv w:val="1"/>
      <w:marLeft w:val="0"/>
      <w:marRight w:val="0"/>
      <w:marTop w:val="0"/>
      <w:marBottom w:val="0"/>
      <w:divBdr>
        <w:top w:val="none" w:sz="0" w:space="0" w:color="auto"/>
        <w:left w:val="none" w:sz="0" w:space="0" w:color="auto"/>
        <w:bottom w:val="none" w:sz="0" w:space="0" w:color="auto"/>
        <w:right w:val="none" w:sz="0" w:space="0" w:color="auto"/>
      </w:divBdr>
    </w:div>
    <w:div w:id="244534742">
      <w:bodyDiv w:val="1"/>
      <w:marLeft w:val="0"/>
      <w:marRight w:val="0"/>
      <w:marTop w:val="0"/>
      <w:marBottom w:val="0"/>
      <w:divBdr>
        <w:top w:val="none" w:sz="0" w:space="0" w:color="auto"/>
        <w:left w:val="none" w:sz="0" w:space="0" w:color="auto"/>
        <w:bottom w:val="none" w:sz="0" w:space="0" w:color="auto"/>
        <w:right w:val="none" w:sz="0" w:space="0" w:color="auto"/>
      </w:divBdr>
    </w:div>
    <w:div w:id="245304241">
      <w:bodyDiv w:val="1"/>
      <w:marLeft w:val="0"/>
      <w:marRight w:val="0"/>
      <w:marTop w:val="0"/>
      <w:marBottom w:val="0"/>
      <w:divBdr>
        <w:top w:val="none" w:sz="0" w:space="0" w:color="auto"/>
        <w:left w:val="none" w:sz="0" w:space="0" w:color="auto"/>
        <w:bottom w:val="none" w:sz="0" w:space="0" w:color="auto"/>
        <w:right w:val="none" w:sz="0" w:space="0" w:color="auto"/>
      </w:divBdr>
    </w:div>
    <w:div w:id="246303163">
      <w:bodyDiv w:val="1"/>
      <w:marLeft w:val="0"/>
      <w:marRight w:val="0"/>
      <w:marTop w:val="0"/>
      <w:marBottom w:val="0"/>
      <w:divBdr>
        <w:top w:val="none" w:sz="0" w:space="0" w:color="auto"/>
        <w:left w:val="none" w:sz="0" w:space="0" w:color="auto"/>
        <w:bottom w:val="none" w:sz="0" w:space="0" w:color="auto"/>
        <w:right w:val="none" w:sz="0" w:space="0" w:color="auto"/>
      </w:divBdr>
    </w:div>
    <w:div w:id="247882883">
      <w:bodyDiv w:val="1"/>
      <w:marLeft w:val="0"/>
      <w:marRight w:val="0"/>
      <w:marTop w:val="0"/>
      <w:marBottom w:val="0"/>
      <w:divBdr>
        <w:top w:val="none" w:sz="0" w:space="0" w:color="auto"/>
        <w:left w:val="none" w:sz="0" w:space="0" w:color="auto"/>
        <w:bottom w:val="none" w:sz="0" w:space="0" w:color="auto"/>
        <w:right w:val="none" w:sz="0" w:space="0" w:color="auto"/>
      </w:divBdr>
    </w:div>
    <w:div w:id="249319964">
      <w:bodyDiv w:val="1"/>
      <w:marLeft w:val="0"/>
      <w:marRight w:val="0"/>
      <w:marTop w:val="0"/>
      <w:marBottom w:val="0"/>
      <w:divBdr>
        <w:top w:val="none" w:sz="0" w:space="0" w:color="auto"/>
        <w:left w:val="none" w:sz="0" w:space="0" w:color="auto"/>
        <w:bottom w:val="none" w:sz="0" w:space="0" w:color="auto"/>
        <w:right w:val="none" w:sz="0" w:space="0" w:color="auto"/>
      </w:divBdr>
    </w:div>
    <w:div w:id="250432713">
      <w:bodyDiv w:val="1"/>
      <w:marLeft w:val="0"/>
      <w:marRight w:val="0"/>
      <w:marTop w:val="0"/>
      <w:marBottom w:val="0"/>
      <w:divBdr>
        <w:top w:val="none" w:sz="0" w:space="0" w:color="auto"/>
        <w:left w:val="none" w:sz="0" w:space="0" w:color="auto"/>
        <w:bottom w:val="none" w:sz="0" w:space="0" w:color="auto"/>
        <w:right w:val="none" w:sz="0" w:space="0" w:color="auto"/>
      </w:divBdr>
    </w:div>
    <w:div w:id="251549300">
      <w:bodyDiv w:val="1"/>
      <w:marLeft w:val="0"/>
      <w:marRight w:val="0"/>
      <w:marTop w:val="0"/>
      <w:marBottom w:val="0"/>
      <w:divBdr>
        <w:top w:val="none" w:sz="0" w:space="0" w:color="auto"/>
        <w:left w:val="none" w:sz="0" w:space="0" w:color="auto"/>
        <w:bottom w:val="none" w:sz="0" w:space="0" w:color="auto"/>
        <w:right w:val="none" w:sz="0" w:space="0" w:color="auto"/>
      </w:divBdr>
    </w:div>
    <w:div w:id="252788389">
      <w:bodyDiv w:val="1"/>
      <w:marLeft w:val="0"/>
      <w:marRight w:val="0"/>
      <w:marTop w:val="0"/>
      <w:marBottom w:val="0"/>
      <w:divBdr>
        <w:top w:val="none" w:sz="0" w:space="0" w:color="auto"/>
        <w:left w:val="none" w:sz="0" w:space="0" w:color="auto"/>
        <w:bottom w:val="none" w:sz="0" w:space="0" w:color="auto"/>
        <w:right w:val="none" w:sz="0" w:space="0" w:color="auto"/>
      </w:divBdr>
    </w:div>
    <w:div w:id="252977289">
      <w:bodyDiv w:val="1"/>
      <w:marLeft w:val="0"/>
      <w:marRight w:val="0"/>
      <w:marTop w:val="0"/>
      <w:marBottom w:val="0"/>
      <w:divBdr>
        <w:top w:val="none" w:sz="0" w:space="0" w:color="auto"/>
        <w:left w:val="none" w:sz="0" w:space="0" w:color="auto"/>
        <w:bottom w:val="none" w:sz="0" w:space="0" w:color="auto"/>
        <w:right w:val="none" w:sz="0" w:space="0" w:color="auto"/>
      </w:divBdr>
    </w:div>
    <w:div w:id="253100902">
      <w:bodyDiv w:val="1"/>
      <w:marLeft w:val="0"/>
      <w:marRight w:val="0"/>
      <w:marTop w:val="0"/>
      <w:marBottom w:val="0"/>
      <w:divBdr>
        <w:top w:val="none" w:sz="0" w:space="0" w:color="auto"/>
        <w:left w:val="none" w:sz="0" w:space="0" w:color="auto"/>
        <w:bottom w:val="none" w:sz="0" w:space="0" w:color="auto"/>
        <w:right w:val="none" w:sz="0" w:space="0" w:color="auto"/>
      </w:divBdr>
    </w:div>
    <w:div w:id="253637040">
      <w:bodyDiv w:val="1"/>
      <w:marLeft w:val="0"/>
      <w:marRight w:val="0"/>
      <w:marTop w:val="0"/>
      <w:marBottom w:val="0"/>
      <w:divBdr>
        <w:top w:val="none" w:sz="0" w:space="0" w:color="auto"/>
        <w:left w:val="none" w:sz="0" w:space="0" w:color="auto"/>
        <w:bottom w:val="none" w:sz="0" w:space="0" w:color="auto"/>
        <w:right w:val="none" w:sz="0" w:space="0" w:color="auto"/>
      </w:divBdr>
    </w:div>
    <w:div w:id="253638030">
      <w:bodyDiv w:val="1"/>
      <w:marLeft w:val="0"/>
      <w:marRight w:val="0"/>
      <w:marTop w:val="0"/>
      <w:marBottom w:val="0"/>
      <w:divBdr>
        <w:top w:val="none" w:sz="0" w:space="0" w:color="auto"/>
        <w:left w:val="none" w:sz="0" w:space="0" w:color="auto"/>
        <w:bottom w:val="none" w:sz="0" w:space="0" w:color="auto"/>
        <w:right w:val="none" w:sz="0" w:space="0" w:color="auto"/>
      </w:divBdr>
    </w:div>
    <w:div w:id="255554770">
      <w:bodyDiv w:val="1"/>
      <w:marLeft w:val="0"/>
      <w:marRight w:val="0"/>
      <w:marTop w:val="0"/>
      <w:marBottom w:val="0"/>
      <w:divBdr>
        <w:top w:val="none" w:sz="0" w:space="0" w:color="auto"/>
        <w:left w:val="none" w:sz="0" w:space="0" w:color="auto"/>
        <w:bottom w:val="none" w:sz="0" w:space="0" w:color="auto"/>
        <w:right w:val="none" w:sz="0" w:space="0" w:color="auto"/>
      </w:divBdr>
    </w:div>
    <w:div w:id="256250043">
      <w:bodyDiv w:val="1"/>
      <w:marLeft w:val="0"/>
      <w:marRight w:val="0"/>
      <w:marTop w:val="0"/>
      <w:marBottom w:val="0"/>
      <w:divBdr>
        <w:top w:val="none" w:sz="0" w:space="0" w:color="auto"/>
        <w:left w:val="none" w:sz="0" w:space="0" w:color="auto"/>
        <w:bottom w:val="none" w:sz="0" w:space="0" w:color="auto"/>
        <w:right w:val="none" w:sz="0" w:space="0" w:color="auto"/>
      </w:divBdr>
    </w:div>
    <w:div w:id="259686215">
      <w:bodyDiv w:val="1"/>
      <w:marLeft w:val="0"/>
      <w:marRight w:val="0"/>
      <w:marTop w:val="0"/>
      <w:marBottom w:val="0"/>
      <w:divBdr>
        <w:top w:val="none" w:sz="0" w:space="0" w:color="auto"/>
        <w:left w:val="none" w:sz="0" w:space="0" w:color="auto"/>
        <w:bottom w:val="none" w:sz="0" w:space="0" w:color="auto"/>
        <w:right w:val="none" w:sz="0" w:space="0" w:color="auto"/>
      </w:divBdr>
    </w:div>
    <w:div w:id="260921923">
      <w:bodyDiv w:val="1"/>
      <w:marLeft w:val="0"/>
      <w:marRight w:val="0"/>
      <w:marTop w:val="0"/>
      <w:marBottom w:val="0"/>
      <w:divBdr>
        <w:top w:val="none" w:sz="0" w:space="0" w:color="auto"/>
        <w:left w:val="none" w:sz="0" w:space="0" w:color="auto"/>
        <w:bottom w:val="none" w:sz="0" w:space="0" w:color="auto"/>
        <w:right w:val="none" w:sz="0" w:space="0" w:color="auto"/>
      </w:divBdr>
    </w:div>
    <w:div w:id="261184089">
      <w:bodyDiv w:val="1"/>
      <w:marLeft w:val="0"/>
      <w:marRight w:val="0"/>
      <w:marTop w:val="0"/>
      <w:marBottom w:val="0"/>
      <w:divBdr>
        <w:top w:val="none" w:sz="0" w:space="0" w:color="auto"/>
        <w:left w:val="none" w:sz="0" w:space="0" w:color="auto"/>
        <w:bottom w:val="none" w:sz="0" w:space="0" w:color="auto"/>
        <w:right w:val="none" w:sz="0" w:space="0" w:color="auto"/>
      </w:divBdr>
    </w:div>
    <w:div w:id="261187999">
      <w:bodyDiv w:val="1"/>
      <w:marLeft w:val="0"/>
      <w:marRight w:val="0"/>
      <w:marTop w:val="0"/>
      <w:marBottom w:val="0"/>
      <w:divBdr>
        <w:top w:val="none" w:sz="0" w:space="0" w:color="auto"/>
        <w:left w:val="none" w:sz="0" w:space="0" w:color="auto"/>
        <w:bottom w:val="none" w:sz="0" w:space="0" w:color="auto"/>
        <w:right w:val="none" w:sz="0" w:space="0" w:color="auto"/>
      </w:divBdr>
    </w:div>
    <w:div w:id="262765310">
      <w:bodyDiv w:val="1"/>
      <w:marLeft w:val="0"/>
      <w:marRight w:val="0"/>
      <w:marTop w:val="0"/>
      <w:marBottom w:val="0"/>
      <w:divBdr>
        <w:top w:val="none" w:sz="0" w:space="0" w:color="auto"/>
        <w:left w:val="none" w:sz="0" w:space="0" w:color="auto"/>
        <w:bottom w:val="none" w:sz="0" w:space="0" w:color="auto"/>
        <w:right w:val="none" w:sz="0" w:space="0" w:color="auto"/>
      </w:divBdr>
    </w:div>
    <w:div w:id="262879153">
      <w:bodyDiv w:val="1"/>
      <w:marLeft w:val="0"/>
      <w:marRight w:val="0"/>
      <w:marTop w:val="0"/>
      <w:marBottom w:val="0"/>
      <w:divBdr>
        <w:top w:val="none" w:sz="0" w:space="0" w:color="auto"/>
        <w:left w:val="none" w:sz="0" w:space="0" w:color="auto"/>
        <w:bottom w:val="none" w:sz="0" w:space="0" w:color="auto"/>
        <w:right w:val="none" w:sz="0" w:space="0" w:color="auto"/>
      </w:divBdr>
    </w:div>
    <w:div w:id="265695987">
      <w:bodyDiv w:val="1"/>
      <w:marLeft w:val="0"/>
      <w:marRight w:val="0"/>
      <w:marTop w:val="0"/>
      <w:marBottom w:val="0"/>
      <w:divBdr>
        <w:top w:val="none" w:sz="0" w:space="0" w:color="auto"/>
        <w:left w:val="none" w:sz="0" w:space="0" w:color="auto"/>
        <w:bottom w:val="none" w:sz="0" w:space="0" w:color="auto"/>
        <w:right w:val="none" w:sz="0" w:space="0" w:color="auto"/>
      </w:divBdr>
    </w:div>
    <w:div w:id="266159023">
      <w:bodyDiv w:val="1"/>
      <w:marLeft w:val="0"/>
      <w:marRight w:val="0"/>
      <w:marTop w:val="0"/>
      <w:marBottom w:val="0"/>
      <w:divBdr>
        <w:top w:val="none" w:sz="0" w:space="0" w:color="auto"/>
        <w:left w:val="none" w:sz="0" w:space="0" w:color="auto"/>
        <w:bottom w:val="none" w:sz="0" w:space="0" w:color="auto"/>
        <w:right w:val="none" w:sz="0" w:space="0" w:color="auto"/>
      </w:divBdr>
    </w:div>
    <w:div w:id="266281814">
      <w:bodyDiv w:val="1"/>
      <w:marLeft w:val="0"/>
      <w:marRight w:val="0"/>
      <w:marTop w:val="0"/>
      <w:marBottom w:val="0"/>
      <w:divBdr>
        <w:top w:val="none" w:sz="0" w:space="0" w:color="auto"/>
        <w:left w:val="none" w:sz="0" w:space="0" w:color="auto"/>
        <w:bottom w:val="none" w:sz="0" w:space="0" w:color="auto"/>
        <w:right w:val="none" w:sz="0" w:space="0" w:color="auto"/>
      </w:divBdr>
    </w:div>
    <w:div w:id="266472839">
      <w:bodyDiv w:val="1"/>
      <w:marLeft w:val="0"/>
      <w:marRight w:val="0"/>
      <w:marTop w:val="0"/>
      <w:marBottom w:val="0"/>
      <w:divBdr>
        <w:top w:val="none" w:sz="0" w:space="0" w:color="auto"/>
        <w:left w:val="none" w:sz="0" w:space="0" w:color="auto"/>
        <w:bottom w:val="none" w:sz="0" w:space="0" w:color="auto"/>
        <w:right w:val="none" w:sz="0" w:space="0" w:color="auto"/>
      </w:divBdr>
    </w:div>
    <w:div w:id="267615537">
      <w:bodyDiv w:val="1"/>
      <w:marLeft w:val="0"/>
      <w:marRight w:val="0"/>
      <w:marTop w:val="0"/>
      <w:marBottom w:val="0"/>
      <w:divBdr>
        <w:top w:val="none" w:sz="0" w:space="0" w:color="auto"/>
        <w:left w:val="none" w:sz="0" w:space="0" w:color="auto"/>
        <w:bottom w:val="none" w:sz="0" w:space="0" w:color="auto"/>
        <w:right w:val="none" w:sz="0" w:space="0" w:color="auto"/>
      </w:divBdr>
    </w:div>
    <w:div w:id="270283310">
      <w:bodyDiv w:val="1"/>
      <w:marLeft w:val="0"/>
      <w:marRight w:val="0"/>
      <w:marTop w:val="0"/>
      <w:marBottom w:val="0"/>
      <w:divBdr>
        <w:top w:val="none" w:sz="0" w:space="0" w:color="auto"/>
        <w:left w:val="none" w:sz="0" w:space="0" w:color="auto"/>
        <w:bottom w:val="none" w:sz="0" w:space="0" w:color="auto"/>
        <w:right w:val="none" w:sz="0" w:space="0" w:color="auto"/>
      </w:divBdr>
    </w:div>
    <w:div w:id="272711003">
      <w:bodyDiv w:val="1"/>
      <w:marLeft w:val="0"/>
      <w:marRight w:val="0"/>
      <w:marTop w:val="0"/>
      <w:marBottom w:val="0"/>
      <w:divBdr>
        <w:top w:val="none" w:sz="0" w:space="0" w:color="auto"/>
        <w:left w:val="none" w:sz="0" w:space="0" w:color="auto"/>
        <w:bottom w:val="none" w:sz="0" w:space="0" w:color="auto"/>
        <w:right w:val="none" w:sz="0" w:space="0" w:color="auto"/>
      </w:divBdr>
    </w:div>
    <w:div w:id="272829091">
      <w:bodyDiv w:val="1"/>
      <w:marLeft w:val="0"/>
      <w:marRight w:val="0"/>
      <w:marTop w:val="0"/>
      <w:marBottom w:val="0"/>
      <w:divBdr>
        <w:top w:val="none" w:sz="0" w:space="0" w:color="auto"/>
        <w:left w:val="none" w:sz="0" w:space="0" w:color="auto"/>
        <w:bottom w:val="none" w:sz="0" w:space="0" w:color="auto"/>
        <w:right w:val="none" w:sz="0" w:space="0" w:color="auto"/>
      </w:divBdr>
    </w:div>
    <w:div w:id="274290868">
      <w:bodyDiv w:val="1"/>
      <w:marLeft w:val="0"/>
      <w:marRight w:val="0"/>
      <w:marTop w:val="0"/>
      <w:marBottom w:val="0"/>
      <w:divBdr>
        <w:top w:val="none" w:sz="0" w:space="0" w:color="auto"/>
        <w:left w:val="none" w:sz="0" w:space="0" w:color="auto"/>
        <w:bottom w:val="none" w:sz="0" w:space="0" w:color="auto"/>
        <w:right w:val="none" w:sz="0" w:space="0" w:color="auto"/>
      </w:divBdr>
    </w:div>
    <w:div w:id="275136144">
      <w:bodyDiv w:val="1"/>
      <w:marLeft w:val="0"/>
      <w:marRight w:val="0"/>
      <w:marTop w:val="0"/>
      <w:marBottom w:val="0"/>
      <w:divBdr>
        <w:top w:val="none" w:sz="0" w:space="0" w:color="auto"/>
        <w:left w:val="none" w:sz="0" w:space="0" w:color="auto"/>
        <w:bottom w:val="none" w:sz="0" w:space="0" w:color="auto"/>
        <w:right w:val="none" w:sz="0" w:space="0" w:color="auto"/>
      </w:divBdr>
    </w:div>
    <w:div w:id="275450534">
      <w:bodyDiv w:val="1"/>
      <w:marLeft w:val="0"/>
      <w:marRight w:val="0"/>
      <w:marTop w:val="0"/>
      <w:marBottom w:val="0"/>
      <w:divBdr>
        <w:top w:val="none" w:sz="0" w:space="0" w:color="auto"/>
        <w:left w:val="none" w:sz="0" w:space="0" w:color="auto"/>
        <w:bottom w:val="none" w:sz="0" w:space="0" w:color="auto"/>
        <w:right w:val="none" w:sz="0" w:space="0" w:color="auto"/>
      </w:divBdr>
    </w:div>
    <w:div w:id="276260911">
      <w:bodyDiv w:val="1"/>
      <w:marLeft w:val="0"/>
      <w:marRight w:val="0"/>
      <w:marTop w:val="0"/>
      <w:marBottom w:val="0"/>
      <w:divBdr>
        <w:top w:val="none" w:sz="0" w:space="0" w:color="auto"/>
        <w:left w:val="none" w:sz="0" w:space="0" w:color="auto"/>
        <w:bottom w:val="none" w:sz="0" w:space="0" w:color="auto"/>
        <w:right w:val="none" w:sz="0" w:space="0" w:color="auto"/>
      </w:divBdr>
    </w:div>
    <w:div w:id="277175890">
      <w:bodyDiv w:val="1"/>
      <w:marLeft w:val="0"/>
      <w:marRight w:val="0"/>
      <w:marTop w:val="0"/>
      <w:marBottom w:val="0"/>
      <w:divBdr>
        <w:top w:val="none" w:sz="0" w:space="0" w:color="auto"/>
        <w:left w:val="none" w:sz="0" w:space="0" w:color="auto"/>
        <w:bottom w:val="none" w:sz="0" w:space="0" w:color="auto"/>
        <w:right w:val="none" w:sz="0" w:space="0" w:color="auto"/>
      </w:divBdr>
    </w:div>
    <w:div w:id="278223652">
      <w:bodyDiv w:val="1"/>
      <w:marLeft w:val="0"/>
      <w:marRight w:val="0"/>
      <w:marTop w:val="0"/>
      <w:marBottom w:val="0"/>
      <w:divBdr>
        <w:top w:val="none" w:sz="0" w:space="0" w:color="auto"/>
        <w:left w:val="none" w:sz="0" w:space="0" w:color="auto"/>
        <w:bottom w:val="none" w:sz="0" w:space="0" w:color="auto"/>
        <w:right w:val="none" w:sz="0" w:space="0" w:color="auto"/>
      </w:divBdr>
    </w:div>
    <w:div w:id="279847033">
      <w:bodyDiv w:val="1"/>
      <w:marLeft w:val="0"/>
      <w:marRight w:val="0"/>
      <w:marTop w:val="0"/>
      <w:marBottom w:val="0"/>
      <w:divBdr>
        <w:top w:val="none" w:sz="0" w:space="0" w:color="auto"/>
        <w:left w:val="none" w:sz="0" w:space="0" w:color="auto"/>
        <w:bottom w:val="none" w:sz="0" w:space="0" w:color="auto"/>
        <w:right w:val="none" w:sz="0" w:space="0" w:color="auto"/>
      </w:divBdr>
    </w:div>
    <w:div w:id="282612326">
      <w:bodyDiv w:val="1"/>
      <w:marLeft w:val="0"/>
      <w:marRight w:val="0"/>
      <w:marTop w:val="0"/>
      <w:marBottom w:val="0"/>
      <w:divBdr>
        <w:top w:val="none" w:sz="0" w:space="0" w:color="auto"/>
        <w:left w:val="none" w:sz="0" w:space="0" w:color="auto"/>
        <w:bottom w:val="none" w:sz="0" w:space="0" w:color="auto"/>
        <w:right w:val="none" w:sz="0" w:space="0" w:color="auto"/>
      </w:divBdr>
    </w:div>
    <w:div w:id="284703840">
      <w:bodyDiv w:val="1"/>
      <w:marLeft w:val="0"/>
      <w:marRight w:val="0"/>
      <w:marTop w:val="0"/>
      <w:marBottom w:val="0"/>
      <w:divBdr>
        <w:top w:val="none" w:sz="0" w:space="0" w:color="auto"/>
        <w:left w:val="none" w:sz="0" w:space="0" w:color="auto"/>
        <w:bottom w:val="none" w:sz="0" w:space="0" w:color="auto"/>
        <w:right w:val="none" w:sz="0" w:space="0" w:color="auto"/>
      </w:divBdr>
    </w:div>
    <w:div w:id="286787325">
      <w:bodyDiv w:val="1"/>
      <w:marLeft w:val="0"/>
      <w:marRight w:val="0"/>
      <w:marTop w:val="0"/>
      <w:marBottom w:val="0"/>
      <w:divBdr>
        <w:top w:val="none" w:sz="0" w:space="0" w:color="auto"/>
        <w:left w:val="none" w:sz="0" w:space="0" w:color="auto"/>
        <w:bottom w:val="none" w:sz="0" w:space="0" w:color="auto"/>
        <w:right w:val="none" w:sz="0" w:space="0" w:color="auto"/>
      </w:divBdr>
    </w:div>
    <w:div w:id="289870787">
      <w:bodyDiv w:val="1"/>
      <w:marLeft w:val="0"/>
      <w:marRight w:val="0"/>
      <w:marTop w:val="0"/>
      <w:marBottom w:val="0"/>
      <w:divBdr>
        <w:top w:val="none" w:sz="0" w:space="0" w:color="auto"/>
        <w:left w:val="none" w:sz="0" w:space="0" w:color="auto"/>
        <w:bottom w:val="none" w:sz="0" w:space="0" w:color="auto"/>
        <w:right w:val="none" w:sz="0" w:space="0" w:color="auto"/>
      </w:divBdr>
    </w:div>
    <w:div w:id="290136544">
      <w:bodyDiv w:val="1"/>
      <w:marLeft w:val="0"/>
      <w:marRight w:val="0"/>
      <w:marTop w:val="0"/>
      <w:marBottom w:val="0"/>
      <w:divBdr>
        <w:top w:val="none" w:sz="0" w:space="0" w:color="auto"/>
        <w:left w:val="none" w:sz="0" w:space="0" w:color="auto"/>
        <w:bottom w:val="none" w:sz="0" w:space="0" w:color="auto"/>
        <w:right w:val="none" w:sz="0" w:space="0" w:color="auto"/>
      </w:divBdr>
    </w:div>
    <w:div w:id="295764438">
      <w:bodyDiv w:val="1"/>
      <w:marLeft w:val="0"/>
      <w:marRight w:val="0"/>
      <w:marTop w:val="0"/>
      <w:marBottom w:val="0"/>
      <w:divBdr>
        <w:top w:val="none" w:sz="0" w:space="0" w:color="auto"/>
        <w:left w:val="none" w:sz="0" w:space="0" w:color="auto"/>
        <w:bottom w:val="none" w:sz="0" w:space="0" w:color="auto"/>
        <w:right w:val="none" w:sz="0" w:space="0" w:color="auto"/>
      </w:divBdr>
    </w:div>
    <w:div w:id="296840418">
      <w:bodyDiv w:val="1"/>
      <w:marLeft w:val="0"/>
      <w:marRight w:val="0"/>
      <w:marTop w:val="0"/>
      <w:marBottom w:val="0"/>
      <w:divBdr>
        <w:top w:val="none" w:sz="0" w:space="0" w:color="auto"/>
        <w:left w:val="none" w:sz="0" w:space="0" w:color="auto"/>
        <w:bottom w:val="none" w:sz="0" w:space="0" w:color="auto"/>
        <w:right w:val="none" w:sz="0" w:space="0" w:color="auto"/>
      </w:divBdr>
    </w:div>
    <w:div w:id="298730777">
      <w:bodyDiv w:val="1"/>
      <w:marLeft w:val="0"/>
      <w:marRight w:val="0"/>
      <w:marTop w:val="0"/>
      <w:marBottom w:val="0"/>
      <w:divBdr>
        <w:top w:val="none" w:sz="0" w:space="0" w:color="auto"/>
        <w:left w:val="none" w:sz="0" w:space="0" w:color="auto"/>
        <w:bottom w:val="none" w:sz="0" w:space="0" w:color="auto"/>
        <w:right w:val="none" w:sz="0" w:space="0" w:color="auto"/>
      </w:divBdr>
    </w:div>
    <w:div w:id="299725983">
      <w:bodyDiv w:val="1"/>
      <w:marLeft w:val="0"/>
      <w:marRight w:val="0"/>
      <w:marTop w:val="0"/>
      <w:marBottom w:val="0"/>
      <w:divBdr>
        <w:top w:val="none" w:sz="0" w:space="0" w:color="auto"/>
        <w:left w:val="none" w:sz="0" w:space="0" w:color="auto"/>
        <w:bottom w:val="none" w:sz="0" w:space="0" w:color="auto"/>
        <w:right w:val="none" w:sz="0" w:space="0" w:color="auto"/>
      </w:divBdr>
    </w:div>
    <w:div w:id="300186852">
      <w:bodyDiv w:val="1"/>
      <w:marLeft w:val="0"/>
      <w:marRight w:val="0"/>
      <w:marTop w:val="0"/>
      <w:marBottom w:val="0"/>
      <w:divBdr>
        <w:top w:val="none" w:sz="0" w:space="0" w:color="auto"/>
        <w:left w:val="none" w:sz="0" w:space="0" w:color="auto"/>
        <w:bottom w:val="none" w:sz="0" w:space="0" w:color="auto"/>
        <w:right w:val="none" w:sz="0" w:space="0" w:color="auto"/>
      </w:divBdr>
    </w:div>
    <w:div w:id="301204339">
      <w:bodyDiv w:val="1"/>
      <w:marLeft w:val="0"/>
      <w:marRight w:val="0"/>
      <w:marTop w:val="0"/>
      <w:marBottom w:val="0"/>
      <w:divBdr>
        <w:top w:val="none" w:sz="0" w:space="0" w:color="auto"/>
        <w:left w:val="none" w:sz="0" w:space="0" w:color="auto"/>
        <w:bottom w:val="none" w:sz="0" w:space="0" w:color="auto"/>
        <w:right w:val="none" w:sz="0" w:space="0" w:color="auto"/>
      </w:divBdr>
    </w:div>
    <w:div w:id="301235780">
      <w:bodyDiv w:val="1"/>
      <w:marLeft w:val="0"/>
      <w:marRight w:val="0"/>
      <w:marTop w:val="0"/>
      <w:marBottom w:val="0"/>
      <w:divBdr>
        <w:top w:val="none" w:sz="0" w:space="0" w:color="auto"/>
        <w:left w:val="none" w:sz="0" w:space="0" w:color="auto"/>
        <w:bottom w:val="none" w:sz="0" w:space="0" w:color="auto"/>
        <w:right w:val="none" w:sz="0" w:space="0" w:color="auto"/>
      </w:divBdr>
    </w:div>
    <w:div w:id="302584140">
      <w:bodyDiv w:val="1"/>
      <w:marLeft w:val="0"/>
      <w:marRight w:val="0"/>
      <w:marTop w:val="0"/>
      <w:marBottom w:val="0"/>
      <w:divBdr>
        <w:top w:val="none" w:sz="0" w:space="0" w:color="auto"/>
        <w:left w:val="none" w:sz="0" w:space="0" w:color="auto"/>
        <w:bottom w:val="none" w:sz="0" w:space="0" w:color="auto"/>
        <w:right w:val="none" w:sz="0" w:space="0" w:color="auto"/>
      </w:divBdr>
    </w:div>
    <w:div w:id="305361518">
      <w:bodyDiv w:val="1"/>
      <w:marLeft w:val="0"/>
      <w:marRight w:val="0"/>
      <w:marTop w:val="0"/>
      <w:marBottom w:val="0"/>
      <w:divBdr>
        <w:top w:val="none" w:sz="0" w:space="0" w:color="auto"/>
        <w:left w:val="none" w:sz="0" w:space="0" w:color="auto"/>
        <w:bottom w:val="none" w:sz="0" w:space="0" w:color="auto"/>
        <w:right w:val="none" w:sz="0" w:space="0" w:color="auto"/>
      </w:divBdr>
    </w:div>
    <w:div w:id="307831570">
      <w:bodyDiv w:val="1"/>
      <w:marLeft w:val="0"/>
      <w:marRight w:val="0"/>
      <w:marTop w:val="0"/>
      <w:marBottom w:val="0"/>
      <w:divBdr>
        <w:top w:val="none" w:sz="0" w:space="0" w:color="auto"/>
        <w:left w:val="none" w:sz="0" w:space="0" w:color="auto"/>
        <w:bottom w:val="none" w:sz="0" w:space="0" w:color="auto"/>
        <w:right w:val="none" w:sz="0" w:space="0" w:color="auto"/>
      </w:divBdr>
    </w:div>
    <w:div w:id="309141841">
      <w:bodyDiv w:val="1"/>
      <w:marLeft w:val="0"/>
      <w:marRight w:val="0"/>
      <w:marTop w:val="0"/>
      <w:marBottom w:val="0"/>
      <w:divBdr>
        <w:top w:val="none" w:sz="0" w:space="0" w:color="auto"/>
        <w:left w:val="none" w:sz="0" w:space="0" w:color="auto"/>
        <w:bottom w:val="none" w:sz="0" w:space="0" w:color="auto"/>
        <w:right w:val="none" w:sz="0" w:space="0" w:color="auto"/>
      </w:divBdr>
    </w:div>
    <w:div w:id="309292238">
      <w:bodyDiv w:val="1"/>
      <w:marLeft w:val="0"/>
      <w:marRight w:val="0"/>
      <w:marTop w:val="0"/>
      <w:marBottom w:val="0"/>
      <w:divBdr>
        <w:top w:val="none" w:sz="0" w:space="0" w:color="auto"/>
        <w:left w:val="none" w:sz="0" w:space="0" w:color="auto"/>
        <w:bottom w:val="none" w:sz="0" w:space="0" w:color="auto"/>
        <w:right w:val="none" w:sz="0" w:space="0" w:color="auto"/>
      </w:divBdr>
    </w:div>
    <w:div w:id="312561017">
      <w:bodyDiv w:val="1"/>
      <w:marLeft w:val="0"/>
      <w:marRight w:val="0"/>
      <w:marTop w:val="0"/>
      <w:marBottom w:val="0"/>
      <w:divBdr>
        <w:top w:val="none" w:sz="0" w:space="0" w:color="auto"/>
        <w:left w:val="none" w:sz="0" w:space="0" w:color="auto"/>
        <w:bottom w:val="none" w:sz="0" w:space="0" w:color="auto"/>
        <w:right w:val="none" w:sz="0" w:space="0" w:color="auto"/>
      </w:divBdr>
    </w:div>
    <w:div w:id="312878981">
      <w:bodyDiv w:val="1"/>
      <w:marLeft w:val="0"/>
      <w:marRight w:val="0"/>
      <w:marTop w:val="0"/>
      <w:marBottom w:val="0"/>
      <w:divBdr>
        <w:top w:val="none" w:sz="0" w:space="0" w:color="auto"/>
        <w:left w:val="none" w:sz="0" w:space="0" w:color="auto"/>
        <w:bottom w:val="none" w:sz="0" w:space="0" w:color="auto"/>
        <w:right w:val="none" w:sz="0" w:space="0" w:color="auto"/>
      </w:divBdr>
    </w:div>
    <w:div w:id="313069356">
      <w:bodyDiv w:val="1"/>
      <w:marLeft w:val="0"/>
      <w:marRight w:val="0"/>
      <w:marTop w:val="0"/>
      <w:marBottom w:val="0"/>
      <w:divBdr>
        <w:top w:val="none" w:sz="0" w:space="0" w:color="auto"/>
        <w:left w:val="none" w:sz="0" w:space="0" w:color="auto"/>
        <w:bottom w:val="none" w:sz="0" w:space="0" w:color="auto"/>
        <w:right w:val="none" w:sz="0" w:space="0" w:color="auto"/>
      </w:divBdr>
    </w:div>
    <w:div w:id="313070339">
      <w:bodyDiv w:val="1"/>
      <w:marLeft w:val="0"/>
      <w:marRight w:val="0"/>
      <w:marTop w:val="0"/>
      <w:marBottom w:val="0"/>
      <w:divBdr>
        <w:top w:val="none" w:sz="0" w:space="0" w:color="auto"/>
        <w:left w:val="none" w:sz="0" w:space="0" w:color="auto"/>
        <w:bottom w:val="none" w:sz="0" w:space="0" w:color="auto"/>
        <w:right w:val="none" w:sz="0" w:space="0" w:color="auto"/>
      </w:divBdr>
    </w:div>
    <w:div w:id="314723818">
      <w:bodyDiv w:val="1"/>
      <w:marLeft w:val="0"/>
      <w:marRight w:val="0"/>
      <w:marTop w:val="0"/>
      <w:marBottom w:val="0"/>
      <w:divBdr>
        <w:top w:val="none" w:sz="0" w:space="0" w:color="auto"/>
        <w:left w:val="none" w:sz="0" w:space="0" w:color="auto"/>
        <w:bottom w:val="none" w:sz="0" w:space="0" w:color="auto"/>
        <w:right w:val="none" w:sz="0" w:space="0" w:color="auto"/>
      </w:divBdr>
    </w:div>
    <w:div w:id="314839064">
      <w:bodyDiv w:val="1"/>
      <w:marLeft w:val="0"/>
      <w:marRight w:val="0"/>
      <w:marTop w:val="0"/>
      <w:marBottom w:val="0"/>
      <w:divBdr>
        <w:top w:val="none" w:sz="0" w:space="0" w:color="auto"/>
        <w:left w:val="none" w:sz="0" w:space="0" w:color="auto"/>
        <w:bottom w:val="none" w:sz="0" w:space="0" w:color="auto"/>
        <w:right w:val="none" w:sz="0" w:space="0" w:color="auto"/>
      </w:divBdr>
    </w:div>
    <w:div w:id="318004167">
      <w:bodyDiv w:val="1"/>
      <w:marLeft w:val="0"/>
      <w:marRight w:val="0"/>
      <w:marTop w:val="0"/>
      <w:marBottom w:val="0"/>
      <w:divBdr>
        <w:top w:val="none" w:sz="0" w:space="0" w:color="auto"/>
        <w:left w:val="none" w:sz="0" w:space="0" w:color="auto"/>
        <w:bottom w:val="none" w:sz="0" w:space="0" w:color="auto"/>
        <w:right w:val="none" w:sz="0" w:space="0" w:color="auto"/>
      </w:divBdr>
    </w:div>
    <w:div w:id="320231675">
      <w:bodyDiv w:val="1"/>
      <w:marLeft w:val="0"/>
      <w:marRight w:val="0"/>
      <w:marTop w:val="0"/>
      <w:marBottom w:val="0"/>
      <w:divBdr>
        <w:top w:val="none" w:sz="0" w:space="0" w:color="auto"/>
        <w:left w:val="none" w:sz="0" w:space="0" w:color="auto"/>
        <w:bottom w:val="none" w:sz="0" w:space="0" w:color="auto"/>
        <w:right w:val="none" w:sz="0" w:space="0" w:color="auto"/>
      </w:divBdr>
    </w:div>
    <w:div w:id="322897200">
      <w:bodyDiv w:val="1"/>
      <w:marLeft w:val="0"/>
      <w:marRight w:val="0"/>
      <w:marTop w:val="0"/>
      <w:marBottom w:val="0"/>
      <w:divBdr>
        <w:top w:val="none" w:sz="0" w:space="0" w:color="auto"/>
        <w:left w:val="none" w:sz="0" w:space="0" w:color="auto"/>
        <w:bottom w:val="none" w:sz="0" w:space="0" w:color="auto"/>
        <w:right w:val="none" w:sz="0" w:space="0" w:color="auto"/>
      </w:divBdr>
    </w:div>
    <w:div w:id="323168318">
      <w:bodyDiv w:val="1"/>
      <w:marLeft w:val="0"/>
      <w:marRight w:val="0"/>
      <w:marTop w:val="0"/>
      <w:marBottom w:val="0"/>
      <w:divBdr>
        <w:top w:val="none" w:sz="0" w:space="0" w:color="auto"/>
        <w:left w:val="none" w:sz="0" w:space="0" w:color="auto"/>
        <w:bottom w:val="none" w:sz="0" w:space="0" w:color="auto"/>
        <w:right w:val="none" w:sz="0" w:space="0" w:color="auto"/>
      </w:divBdr>
    </w:div>
    <w:div w:id="323359205">
      <w:bodyDiv w:val="1"/>
      <w:marLeft w:val="0"/>
      <w:marRight w:val="0"/>
      <w:marTop w:val="0"/>
      <w:marBottom w:val="0"/>
      <w:divBdr>
        <w:top w:val="none" w:sz="0" w:space="0" w:color="auto"/>
        <w:left w:val="none" w:sz="0" w:space="0" w:color="auto"/>
        <w:bottom w:val="none" w:sz="0" w:space="0" w:color="auto"/>
        <w:right w:val="none" w:sz="0" w:space="0" w:color="auto"/>
      </w:divBdr>
    </w:div>
    <w:div w:id="325479794">
      <w:bodyDiv w:val="1"/>
      <w:marLeft w:val="0"/>
      <w:marRight w:val="0"/>
      <w:marTop w:val="0"/>
      <w:marBottom w:val="0"/>
      <w:divBdr>
        <w:top w:val="none" w:sz="0" w:space="0" w:color="auto"/>
        <w:left w:val="none" w:sz="0" w:space="0" w:color="auto"/>
        <w:bottom w:val="none" w:sz="0" w:space="0" w:color="auto"/>
        <w:right w:val="none" w:sz="0" w:space="0" w:color="auto"/>
      </w:divBdr>
    </w:div>
    <w:div w:id="325524641">
      <w:bodyDiv w:val="1"/>
      <w:marLeft w:val="0"/>
      <w:marRight w:val="0"/>
      <w:marTop w:val="0"/>
      <w:marBottom w:val="0"/>
      <w:divBdr>
        <w:top w:val="none" w:sz="0" w:space="0" w:color="auto"/>
        <w:left w:val="none" w:sz="0" w:space="0" w:color="auto"/>
        <w:bottom w:val="none" w:sz="0" w:space="0" w:color="auto"/>
        <w:right w:val="none" w:sz="0" w:space="0" w:color="auto"/>
      </w:divBdr>
    </w:div>
    <w:div w:id="326639083">
      <w:bodyDiv w:val="1"/>
      <w:marLeft w:val="0"/>
      <w:marRight w:val="0"/>
      <w:marTop w:val="0"/>
      <w:marBottom w:val="0"/>
      <w:divBdr>
        <w:top w:val="none" w:sz="0" w:space="0" w:color="auto"/>
        <w:left w:val="none" w:sz="0" w:space="0" w:color="auto"/>
        <w:bottom w:val="none" w:sz="0" w:space="0" w:color="auto"/>
        <w:right w:val="none" w:sz="0" w:space="0" w:color="auto"/>
      </w:divBdr>
    </w:div>
    <w:div w:id="326716210">
      <w:bodyDiv w:val="1"/>
      <w:marLeft w:val="0"/>
      <w:marRight w:val="0"/>
      <w:marTop w:val="0"/>
      <w:marBottom w:val="0"/>
      <w:divBdr>
        <w:top w:val="none" w:sz="0" w:space="0" w:color="auto"/>
        <w:left w:val="none" w:sz="0" w:space="0" w:color="auto"/>
        <w:bottom w:val="none" w:sz="0" w:space="0" w:color="auto"/>
        <w:right w:val="none" w:sz="0" w:space="0" w:color="auto"/>
      </w:divBdr>
    </w:div>
    <w:div w:id="327561722">
      <w:bodyDiv w:val="1"/>
      <w:marLeft w:val="0"/>
      <w:marRight w:val="0"/>
      <w:marTop w:val="0"/>
      <w:marBottom w:val="0"/>
      <w:divBdr>
        <w:top w:val="none" w:sz="0" w:space="0" w:color="auto"/>
        <w:left w:val="none" w:sz="0" w:space="0" w:color="auto"/>
        <w:bottom w:val="none" w:sz="0" w:space="0" w:color="auto"/>
        <w:right w:val="none" w:sz="0" w:space="0" w:color="auto"/>
      </w:divBdr>
    </w:div>
    <w:div w:id="329137255">
      <w:bodyDiv w:val="1"/>
      <w:marLeft w:val="0"/>
      <w:marRight w:val="0"/>
      <w:marTop w:val="0"/>
      <w:marBottom w:val="0"/>
      <w:divBdr>
        <w:top w:val="none" w:sz="0" w:space="0" w:color="auto"/>
        <w:left w:val="none" w:sz="0" w:space="0" w:color="auto"/>
        <w:bottom w:val="none" w:sz="0" w:space="0" w:color="auto"/>
        <w:right w:val="none" w:sz="0" w:space="0" w:color="auto"/>
      </w:divBdr>
    </w:div>
    <w:div w:id="329867690">
      <w:bodyDiv w:val="1"/>
      <w:marLeft w:val="0"/>
      <w:marRight w:val="0"/>
      <w:marTop w:val="0"/>
      <w:marBottom w:val="0"/>
      <w:divBdr>
        <w:top w:val="none" w:sz="0" w:space="0" w:color="auto"/>
        <w:left w:val="none" w:sz="0" w:space="0" w:color="auto"/>
        <w:bottom w:val="none" w:sz="0" w:space="0" w:color="auto"/>
        <w:right w:val="none" w:sz="0" w:space="0" w:color="auto"/>
      </w:divBdr>
    </w:div>
    <w:div w:id="330375241">
      <w:bodyDiv w:val="1"/>
      <w:marLeft w:val="0"/>
      <w:marRight w:val="0"/>
      <w:marTop w:val="0"/>
      <w:marBottom w:val="0"/>
      <w:divBdr>
        <w:top w:val="none" w:sz="0" w:space="0" w:color="auto"/>
        <w:left w:val="none" w:sz="0" w:space="0" w:color="auto"/>
        <w:bottom w:val="none" w:sz="0" w:space="0" w:color="auto"/>
        <w:right w:val="none" w:sz="0" w:space="0" w:color="auto"/>
      </w:divBdr>
    </w:div>
    <w:div w:id="330448073">
      <w:bodyDiv w:val="1"/>
      <w:marLeft w:val="0"/>
      <w:marRight w:val="0"/>
      <w:marTop w:val="0"/>
      <w:marBottom w:val="0"/>
      <w:divBdr>
        <w:top w:val="none" w:sz="0" w:space="0" w:color="auto"/>
        <w:left w:val="none" w:sz="0" w:space="0" w:color="auto"/>
        <w:bottom w:val="none" w:sz="0" w:space="0" w:color="auto"/>
        <w:right w:val="none" w:sz="0" w:space="0" w:color="auto"/>
      </w:divBdr>
    </w:div>
    <w:div w:id="331109855">
      <w:bodyDiv w:val="1"/>
      <w:marLeft w:val="0"/>
      <w:marRight w:val="0"/>
      <w:marTop w:val="0"/>
      <w:marBottom w:val="0"/>
      <w:divBdr>
        <w:top w:val="none" w:sz="0" w:space="0" w:color="auto"/>
        <w:left w:val="none" w:sz="0" w:space="0" w:color="auto"/>
        <w:bottom w:val="none" w:sz="0" w:space="0" w:color="auto"/>
        <w:right w:val="none" w:sz="0" w:space="0" w:color="auto"/>
      </w:divBdr>
    </w:div>
    <w:div w:id="331494697">
      <w:bodyDiv w:val="1"/>
      <w:marLeft w:val="0"/>
      <w:marRight w:val="0"/>
      <w:marTop w:val="0"/>
      <w:marBottom w:val="0"/>
      <w:divBdr>
        <w:top w:val="none" w:sz="0" w:space="0" w:color="auto"/>
        <w:left w:val="none" w:sz="0" w:space="0" w:color="auto"/>
        <w:bottom w:val="none" w:sz="0" w:space="0" w:color="auto"/>
        <w:right w:val="none" w:sz="0" w:space="0" w:color="auto"/>
      </w:divBdr>
    </w:div>
    <w:div w:id="332611746">
      <w:bodyDiv w:val="1"/>
      <w:marLeft w:val="0"/>
      <w:marRight w:val="0"/>
      <w:marTop w:val="0"/>
      <w:marBottom w:val="0"/>
      <w:divBdr>
        <w:top w:val="none" w:sz="0" w:space="0" w:color="auto"/>
        <w:left w:val="none" w:sz="0" w:space="0" w:color="auto"/>
        <w:bottom w:val="none" w:sz="0" w:space="0" w:color="auto"/>
        <w:right w:val="none" w:sz="0" w:space="0" w:color="auto"/>
      </w:divBdr>
    </w:div>
    <w:div w:id="333654991">
      <w:bodyDiv w:val="1"/>
      <w:marLeft w:val="0"/>
      <w:marRight w:val="0"/>
      <w:marTop w:val="0"/>
      <w:marBottom w:val="0"/>
      <w:divBdr>
        <w:top w:val="none" w:sz="0" w:space="0" w:color="auto"/>
        <w:left w:val="none" w:sz="0" w:space="0" w:color="auto"/>
        <w:bottom w:val="none" w:sz="0" w:space="0" w:color="auto"/>
        <w:right w:val="none" w:sz="0" w:space="0" w:color="auto"/>
      </w:divBdr>
    </w:div>
    <w:div w:id="334769082">
      <w:bodyDiv w:val="1"/>
      <w:marLeft w:val="0"/>
      <w:marRight w:val="0"/>
      <w:marTop w:val="0"/>
      <w:marBottom w:val="0"/>
      <w:divBdr>
        <w:top w:val="none" w:sz="0" w:space="0" w:color="auto"/>
        <w:left w:val="none" w:sz="0" w:space="0" w:color="auto"/>
        <w:bottom w:val="none" w:sz="0" w:space="0" w:color="auto"/>
        <w:right w:val="none" w:sz="0" w:space="0" w:color="auto"/>
      </w:divBdr>
    </w:div>
    <w:div w:id="334964169">
      <w:bodyDiv w:val="1"/>
      <w:marLeft w:val="0"/>
      <w:marRight w:val="0"/>
      <w:marTop w:val="0"/>
      <w:marBottom w:val="0"/>
      <w:divBdr>
        <w:top w:val="none" w:sz="0" w:space="0" w:color="auto"/>
        <w:left w:val="none" w:sz="0" w:space="0" w:color="auto"/>
        <w:bottom w:val="none" w:sz="0" w:space="0" w:color="auto"/>
        <w:right w:val="none" w:sz="0" w:space="0" w:color="auto"/>
      </w:divBdr>
    </w:div>
    <w:div w:id="335426004">
      <w:bodyDiv w:val="1"/>
      <w:marLeft w:val="0"/>
      <w:marRight w:val="0"/>
      <w:marTop w:val="0"/>
      <w:marBottom w:val="0"/>
      <w:divBdr>
        <w:top w:val="none" w:sz="0" w:space="0" w:color="auto"/>
        <w:left w:val="none" w:sz="0" w:space="0" w:color="auto"/>
        <w:bottom w:val="none" w:sz="0" w:space="0" w:color="auto"/>
        <w:right w:val="none" w:sz="0" w:space="0" w:color="auto"/>
      </w:divBdr>
    </w:div>
    <w:div w:id="335547023">
      <w:bodyDiv w:val="1"/>
      <w:marLeft w:val="0"/>
      <w:marRight w:val="0"/>
      <w:marTop w:val="0"/>
      <w:marBottom w:val="0"/>
      <w:divBdr>
        <w:top w:val="none" w:sz="0" w:space="0" w:color="auto"/>
        <w:left w:val="none" w:sz="0" w:space="0" w:color="auto"/>
        <w:bottom w:val="none" w:sz="0" w:space="0" w:color="auto"/>
        <w:right w:val="none" w:sz="0" w:space="0" w:color="auto"/>
      </w:divBdr>
    </w:div>
    <w:div w:id="336007849">
      <w:bodyDiv w:val="1"/>
      <w:marLeft w:val="0"/>
      <w:marRight w:val="0"/>
      <w:marTop w:val="0"/>
      <w:marBottom w:val="0"/>
      <w:divBdr>
        <w:top w:val="none" w:sz="0" w:space="0" w:color="auto"/>
        <w:left w:val="none" w:sz="0" w:space="0" w:color="auto"/>
        <w:bottom w:val="none" w:sz="0" w:space="0" w:color="auto"/>
        <w:right w:val="none" w:sz="0" w:space="0" w:color="auto"/>
      </w:divBdr>
    </w:div>
    <w:div w:id="336008095">
      <w:bodyDiv w:val="1"/>
      <w:marLeft w:val="0"/>
      <w:marRight w:val="0"/>
      <w:marTop w:val="0"/>
      <w:marBottom w:val="0"/>
      <w:divBdr>
        <w:top w:val="none" w:sz="0" w:space="0" w:color="auto"/>
        <w:left w:val="none" w:sz="0" w:space="0" w:color="auto"/>
        <w:bottom w:val="none" w:sz="0" w:space="0" w:color="auto"/>
        <w:right w:val="none" w:sz="0" w:space="0" w:color="auto"/>
      </w:divBdr>
    </w:div>
    <w:div w:id="336621606">
      <w:bodyDiv w:val="1"/>
      <w:marLeft w:val="0"/>
      <w:marRight w:val="0"/>
      <w:marTop w:val="0"/>
      <w:marBottom w:val="0"/>
      <w:divBdr>
        <w:top w:val="none" w:sz="0" w:space="0" w:color="auto"/>
        <w:left w:val="none" w:sz="0" w:space="0" w:color="auto"/>
        <w:bottom w:val="none" w:sz="0" w:space="0" w:color="auto"/>
        <w:right w:val="none" w:sz="0" w:space="0" w:color="auto"/>
      </w:divBdr>
    </w:div>
    <w:div w:id="338166089">
      <w:bodyDiv w:val="1"/>
      <w:marLeft w:val="0"/>
      <w:marRight w:val="0"/>
      <w:marTop w:val="0"/>
      <w:marBottom w:val="0"/>
      <w:divBdr>
        <w:top w:val="none" w:sz="0" w:space="0" w:color="auto"/>
        <w:left w:val="none" w:sz="0" w:space="0" w:color="auto"/>
        <w:bottom w:val="none" w:sz="0" w:space="0" w:color="auto"/>
        <w:right w:val="none" w:sz="0" w:space="0" w:color="auto"/>
      </w:divBdr>
    </w:div>
    <w:div w:id="339089744">
      <w:bodyDiv w:val="1"/>
      <w:marLeft w:val="0"/>
      <w:marRight w:val="0"/>
      <w:marTop w:val="0"/>
      <w:marBottom w:val="0"/>
      <w:divBdr>
        <w:top w:val="none" w:sz="0" w:space="0" w:color="auto"/>
        <w:left w:val="none" w:sz="0" w:space="0" w:color="auto"/>
        <w:bottom w:val="none" w:sz="0" w:space="0" w:color="auto"/>
        <w:right w:val="none" w:sz="0" w:space="0" w:color="auto"/>
      </w:divBdr>
    </w:div>
    <w:div w:id="339544606">
      <w:bodyDiv w:val="1"/>
      <w:marLeft w:val="0"/>
      <w:marRight w:val="0"/>
      <w:marTop w:val="0"/>
      <w:marBottom w:val="0"/>
      <w:divBdr>
        <w:top w:val="none" w:sz="0" w:space="0" w:color="auto"/>
        <w:left w:val="none" w:sz="0" w:space="0" w:color="auto"/>
        <w:bottom w:val="none" w:sz="0" w:space="0" w:color="auto"/>
        <w:right w:val="none" w:sz="0" w:space="0" w:color="auto"/>
      </w:divBdr>
    </w:div>
    <w:div w:id="340205684">
      <w:bodyDiv w:val="1"/>
      <w:marLeft w:val="0"/>
      <w:marRight w:val="0"/>
      <w:marTop w:val="0"/>
      <w:marBottom w:val="0"/>
      <w:divBdr>
        <w:top w:val="none" w:sz="0" w:space="0" w:color="auto"/>
        <w:left w:val="none" w:sz="0" w:space="0" w:color="auto"/>
        <w:bottom w:val="none" w:sz="0" w:space="0" w:color="auto"/>
        <w:right w:val="none" w:sz="0" w:space="0" w:color="auto"/>
      </w:divBdr>
    </w:div>
    <w:div w:id="341709914">
      <w:bodyDiv w:val="1"/>
      <w:marLeft w:val="0"/>
      <w:marRight w:val="0"/>
      <w:marTop w:val="0"/>
      <w:marBottom w:val="0"/>
      <w:divBdr>
        <w:top w:val="none" w:sz="0" w:space="0" w:color="auto"/>
        <w:left w:val="none" w:sz="0" w:space="0" w:color="auto"/>
        <w:bottom w:val="none" w:sz="0" w:space="0" w:color="auto"/>
        <w:right w:val="none" w:sz="0" w:space="0" w:color="auto"/>
      </w:divBdr>
    </w:div>
    <w:div w:id="342363929">
      <w:bodyDiv w:val="1"/>
      <w:marLeft w:val="0"/>
      <w:marRight w:val="0"/>
      <w:marTop w:val="0"/>
      <w:marBottom w:val="0"/>
      <w:divBdr>
        <w:top w:val="none" w:sz="0" w:space="0" w:color="auto"/>
        <w:left w:val="none" w:sz="0" w:space="0" w:color="auto"/>
        <w:bottom w:val="none" w:sz="0" w:space="0" w:color="auto"/>
        <w:right w:val="none" w:sz="0" w:space="0" w:color="auto"/>
      </w:divBdr>
    </w:div>
    <w:div w:id="343745274">
      <w:bodyDiv w:val="1"/>
      <w:marLeft w:val="0"/>
      <w:marRight w:val="0"/>
      <w:marTop w:val="0"/>
      <w:marBottom w:val="0"/>
      <w:divBdr>
        <w:top w:val="none" w:sz="0" w:space="0" w:color="auto"/>
        <w:left w:val="none" w:sz="0" w:space="0" w:color="auto"/>
        <w:bottom w:val="none" w:sz="0" w:space="0" w:color="auto"/>
        <w:right w:val="none" w:sz="0" w:space="0" w:color="auto"/>
      </w:divBdr>
    </w:div>
    <w:div w:id="345987852">
      <w:bodyDiv w:val="1"/>
      <w:marLeft w:val="0"/>
      <w:marRight w:val="0"/>
      <w:marTop w:val="0"/>
      <w:marBottom w:val="0"/>
      <w:divBdr>
        <w:top w:val="none" w:sz="0" w:space="0" w:color="auto"/>
        <w:left w:val="none" w:sz="0" w:space="0" w:color="auto"/>
        <w:bottom w:val="none" w:sz="0" w:space="0" w:color="auto"/>
        <w:right w:val="none" w:sz="0" w:space="0" w:color="auto"/>
      </w:divBdr>
    </w:div>
    <w:div w:id="348457416">
      <w:bodyDiv w:val="1"/>
      <w:marLeft w:val="0"/>
      <w:marRight w:val="0"/>
      <w:marTop w:val="0"/>
      <w:marBottom w:val="0"/>
      <w:divBdr>
        <w:top w:val="none" w:sz="0" w:space="0" w:color="auto"/>
        <w:left w:val="none" w:sz="0" w:space="0" w:color="auto"/>
        <w:bottom w:val="none" w:sz="0" w:space="0" w:color="auto"/>
        <w:right w:val="none" w:sz="0" w:space="0" w:color="auto"/>
      </w:divBdr>
    </w:div>
    <w:div w:id="352998209">
      <w:bodyDiv w:val="1"/>
      <w:marLeft w:val="0"/>
      <w:marRight w:val="0"/>
      <w:marTop w:val="0"/>
      <w:marBottom w:val="0"/>
      <w:divBdr>
        <w:top w:val="none" w:sz="0" w:space="0" w:color="auto"/>
        <w:left w:val="none" w:sz="0" w:space="0" w:color="auto"/>
        <w:bottom w:val="none" w:sz="0" w:space="0" w:color="auto"/>
        <w:right w:val="none" w:sz="0" w:space="0" w:color="auto"/>
      </w:divBdr>
    </w:div>
    <w:div w:id="353459891">
      <w:bodyDiv w:val="1"/>
      <w:marLeft w:val="0"/>
      <w:marRight w:val="0"/>
      <w:marTop w:val="0"/>
      <w:marBottom w:val="0"/>
      <w:divBdr>
        <w:top w:val="none" w:sz="0" w:space="0" w:color="auto"/>
        <w:left w:val="none" w:sz="0" w:space="0" w:color="auto"/>
        <w:bottom w:val="none" w:sz="0" w:space="0" w:color="auto"/>
        <w:right w:val="none" w:sz="0" w:space="0" w:color="auto"/>
      </w:divBdr>
    </w:div>
    <w:div w:id="354890576">
      <w:bodyDiv w:val="1"/>
      <w:marLeft w:val="0"/>
      <w:marRight w:val="0"/>
      <w:marTop w:val="0"/>
      <w:marBottom w:val="0"/>
      <w:divBdr>
        <w:top w:val="none" w:sz="0" w:space="0" w:color="auto"/>
        <w:left w:val="none" w:sz="0" w:space="0" w:color="auto"/>
        <w:bottom w:val="none" w:sz="0" w:space="0" w:color="auto"/>
        <w:right w:val="none" w:sz="0" w:space="0" w:color="auto"/>
      </w:divBdr>
    </w:div>
    <w:div w:id="355349043">
      <w:bodyDiv w:val="1"/>
      <w:marLeft w:val="0"/>
      <w:marRight w:val="0"/>
      <w:marTop w:val="0"/>
      <w:marBottom w:val="0"/>
      <w:divBdr>
        <w:top w:val="none" w:sz="0" w:space="0" w:color="auto"/>
        <w:left w:val="none" w:sz="0" w:space="0" w:color="auto"/>
        <w:bottom w:val="none" w:sz="0" w:space="0" w:color="auto"/>
        <w:right w:val="none" w:sz="0" w:space="0" w:color="auto"/>
      </w:divBdr>
    </w:div>
    <w:div w:id="355355516">
      <w:bodyDiv w:val="1"/>
      <w:marLeft w:val="0"/>
      <w:marRight w:val="0"/>
      <w:marTop w:val="0"/>
      <w:marBottom w:val="0"/>
      <w:divBdr>
        <w:top w:val="none" w:sz="0" w:space="0" w:color="auto"/>
        <w:left w:val="none" w:sz="0" w:space="0" w:color="auto"/>
        <w:bottom w:val="none" w:sz="0" w:space="0" w:color="auto"/>
        <w:right w:val="none" w:sz="0" w:space="0" w:color="auto"/>
      </w:divBdr>
    </w:div>
    <w:div w:id="356737185">
      <w:bodyDiv w:val="1"/>
      <w:marLeft w:val="0"/>
      <w:marRight w:val="0"/>
      <w:marTop w:val="0"/>
      <w:marBottom w:val="0"/>
      <w:divBdr>
        <w:top w:val="none" w:sz="0" w:space="0" w:color="auto"/>
        <w:left w:val="none" w:sz="0" w:space="0" w:color="auto"/>
        <w:bottom w:val="none" w:sz="0" w:space="0" w:color="auto"/>
        <w:right w:val="none" w:sz="0" w:space="0" w:color="auto"/>
      </w:divBdr>
    </w:div>
    <w:div w:id="358432096">
      <w:bodyDiv w:val="1"/>
      <w:marLeft w:val="0"/>
      <w:marRight w:val="0"/>
      <w:marTop w:val="0"/>
      <w:marBottom w:val="0"/>
      <w:divBdr>
        <w:top w:val="none" w:sz="0" w:space="0" w:color="auto"/>
        <w:left w:val="none" w:sz="0" w:space="0" w:color="auto"/>
        <w:bottom w:val="none" w:sz="0" w:space="0" w:color="auto"/>
        <w:right w:val="none" w:sz="0" w:space="0" w:color="auto"/>
      </w:divBdr>
    </w:div>
    <w:div w:id="361639886">
      <w:bodyDiv w:val="1"/>
      <w:marLeft w:val="0"/>
      <w:marRight w:val="0"/>
      <w:marTop w:val="0"/>
      <w:marBottom w:val="0"/>
      <w:divBdr>
        <w:top w:val="none" w:sz="0" w:space="0" w:color="auto"/>
        <w:left w:val="none" w:sz="0" w:space="0" w:color="auto"/>
        <w:bottom w:val="none" w:sz="0" w:space="0" w:color="auto"/>
        <w:right w:val="none" w:sz="0" w:space="0" w:color="auto"/>
      </w:divBdr>
    </w:div>
    <w:div w:id="368146410">
      <w:bodyDiv w:val="1"/>
      <w:marLeft w:val="0"/>
      <w:marRight w:val="0"/>
      <w:marTop w:val="0"/>
      <w:marBottom w:val="0"/>
      <w:divBdr>
        <w:top w:val="none" w:sz="0" w:space="0" w:color="auto"/>
        <w:left w:val="none" w:sz="0" w:space="0" w:color="auto"/>
        <w:bottom w:val="none" w:sz="0" w:space="0" w:color="auto"/>
        <w:right w:val="none" w:sz="0" w:space="0" w:color="auto"/>
      </w:divBdr>
    </w:div>
    <w:div w:id="369035336">
      <w:bodyDiv w:val="1"/>
      <w:marLeft w:val="0"/>
      <w:marRight w:val="0"/>
      <w:marTop w:val="0"/>
      <w:marBottom w:val="0"/>
      <w:divBdr>
        <w:top w:val="none" w:sz="0" w:space="0" w:color="auto"/>
        <w:left w:val="none" w:sz="0" w:space="0" w:color="auto"/>
        <w:bottom w:val="none" w:sz="0" w:space="0" w:color="auto"/>
        <w:right w:val="none" w:sz="0" w:space="0" w:color="auto"/>
      </w:divBdr>
    </w:div>
    <w:div w:id="369457641">
      <w:bodyDiv w:val="1"/>
      <w:marLeft w:val="0"/>
      <w:marRight w:val="0"/>
      <w:marTop w:val="0"/>
      <w:marBottom w:val="0"/>
      <w:divBdr>
        <w:top w:val="none" w:sz="0" w:space="0" w:color="auto"/>
        <w:left w:val="none" w:sz="0" w:space="0" w:color="auto"/>
        <w:bottom w:val="none" w:sz="0" w:space="0" w:color="auto"/>
        <w:right w:val="none" w:sz="0" w:space="0" w:color="auto"/>
      </w:divBdr>
    </w:div>
    <w:div w:id="370229841">
      <w:bodyDiv w:val="1"/>
      <w:marLeft w:val="0"/>
      <w:marRight w:val="0"/>
      <w:marTop w:val="0"/>
      <w:marBottom w:val="0"/>
      <w:divBdr>
        <w:top w:val="none" w:sz="0" w:space="0" w:color="auto"/>
        <w:left w:val="none" w:sz="0" w:space="0" w:color="auto"/>
        <w:bottom w:val="none" w:sz="0" w:space="0" w:color="auto"/>
        <w:right w:val="none" w:sz="0" w:space="0" w:color="auto"/>
      </w:divBdr>
    </w:div>
    <w:div w:id="372734185">
      <w:bodyDiv w:val="1"/>
      <w:marLeft w:val="0"/>
      <w:marRight w:val="0"/>
      <w:marTop w:val="0"/>
      <w:marBottom w:val="0"/>
      <w:divBdr>
        <w:top w:val="none" w:sz="0" w:space="0" w:color="auto"/>
        <w:left w:val="none" w:sz="0" w:space="0" w:color="auto"/>
        <w:bottom w:val="none" w:sz="0" w:space="0" w:color="auto"/>
        <w:right w:val="none" w:sz="0" w:space="0" w:color="auto"/>
      </w:divBdr>
    </w:div>
    <w:div w:id="375012758">
      <w:bodyDiv w:val="1"/>
      <w:marLeft w:val="0"/>
      <w:marRight w:val="0"/>
      <w:marTop w:val="0"/>
      <w:marBottom w:val="0"/>
      <w:divBdr>
        <w:top w:val="none" w:sz="0" w:space="0" w:color="auto"/>
        <w:left w:val="none" w:sz="0" w:space="0" w:color="auto"/>
        <w:bottom w:val="none" w:sz="0" w:space="0" w:color="auto"/>
        <w:right w:val="none" w:sz="0" w:space="0" w:color="auto"/>
      </w:divBdr>
    </w:div>
    <w:div w:id="375399715">
      <w:bodyDiv w:val="1"/>
      <w:marLeft w:val="0"/>
      <w:marRight w:val="0"/>
      <w:marTop w:val="0"/>
      <w:marBottom w:val="0"/>
      <w:divBdr>
        <w:top w:val="none" w:sz="0" w:space="0" w:color="auto"/>
        <w:left w:val="none" w:sz="0" w:space="0" w:color="auto"/>
        <w:bottom w:val="none" w:sz="0" w:space="0" w:color="auto"/>
        <w:right w:val="none" w:sz="0" w:space="0" w:color="auto"/>
      </w:divBdr>
    </w:div>
    <w:div w:id="376777657">
      <w:bodyDiv w:val="1"/>
      <w:marLeft w:val="0"/>
      <w:marRight w:val="0"/>
      <w:marTop w:val="0"/>
      <w:marBottom w:val="0"/>
      <w:divBdr>
        <w:top w:val="none" w:sz="0" w:space="0" w:color="auto"/>
        <w:left w:val="none" w:sz="0" w:space="0" w:color="auto"/>
        <w:bottom w:val="none" w:sz="0" w:space="0" w:color="auto"/>
        <w:right w:val="none" w:sz="0" w:space="0" w:color="auto"/>
      </w:divBdr>
    </w:div>
    <w:div w:id="377894748">
      <w:bodyDiv w:val="1"/>
      <w:marLeft w:val="0"/>
      <w:marRight w:val="0"/>
      <w:marTop w:val="0"/>
      <w:marBottom w:val="0"/>
      <w:divBdr>
        <w:top w:val="none" w:sz="0" w:space="0" w:color="auto"/>
        <w:left w:val="none" w:sz="0" w:space="0" w:color="auto"/>
        <w:bottom w:val="none" w:sz="0" w:space="0" w:color="auto"/>
        <w:right w:val="none" w:sz="0" w:space="0" w:color="auto"/>
      </w:divBdr>
    </w:div>
    <w:div w:id="378437063">
      <w:bodyDiv w:val="1"/>
      <w:marLeft w:val="0"/>
      <w:marRight w:val="0"/>
      <w:marTop w:val="0"/>
      <w:marBottom w:val="0"/>
      <w:divBdr>
        <w:top w:val="none" w:sz="0" w:space="0" w:color="auto"/>
        <w:left w:val="none" w:sz="0" w:space="0" w:color="auto"/>
        <w:bottom w:val="none" w:sz="0" w:space="0" w:color="auto"/>
        <w:right w:val="none" w:sz="0" w:space="0" w:color="auto"/>
      </w:divBdr>
    </w:div>
    <w:div w:id="379012882">
      <w:bodyDiv w:val="1"/>
      <w:marLeft w:val="0"/>
      <w:marRight w:val="0"/>
      <w:marTop w:val="0"/>
      <w:marBottom w:val="0"/>
      <w:divBdr>
        <w:top w:val="none" w:sz="0" w:space="0" w:color="auto"/>
        <w:left w:val="none" w:sz="0" w:space="0" w:color="auto"/>
        <w:bottom w:val="none" w:sz="0" w:space="0" w:color="auto"/>
        <w:right w:val="none" w:sz="0" w:space="0" w:color="auto"/>
      </w:divBdr>
    </w:div>
    <w:div w:id="380327765">
      <w:bodyDiv w:val="1"/>
      <w:marLeft w:val="0"/>
      <w:marRight w:val="0"/>
      <w:marTop w:val="0"/>
      <w:marBottom w:val="0"/>
      <w:divBdr>
        <w:top w:val="none" w:sz="0" w:space="0" w:color="auto"/>
        <w:left w:val="none" w:sz="0" w:space="0" w:color="auto"/>
        <w:bottom w:val="none" w:sz="0" w:space="0" w:color="auto"/>
        <w:right w:val="none" w:sz="0" w:space="0" w:color="auto"/>
      </w:divBdr>
    </w:div>
    <w:div w:id="380716833">
      <w:bodyDiv w:val="1"/>
      <w:marLeft w:val="0"/>
      <w:marRight w:val="0"/>
      <w:marTop w:val="0"/>
      <w:marBottom w:val="0"/>
      <w:divBdr>
        <w:top w:val="none" w:sz="0" w:space="0" w:color="auto"/>
        <w:left w:val="none" w:sz="0" w:space="0" w:color="auto"/>
        <w:bottom w:val="none" w:sz="0" w:space="0" w:color="auto"/>
        <w:right w:val="none" w:sz="0" w:space="0" w:color="auto"/>
      </w:divBdr>
    </w:div>
    <w:div w:id="381099166">
      <w:bodyDiv w:val="1"/>
      <w:marLeft w:val="0"/>
      <w:marRight w:val="0"/>
      <w:marTop w:val="0"/>
      <w:marBottom w:val="0"/>
      <w:divBdr>
        <w:top w:val="none" w:sz="0" w:space="0" w:color="auto"/>
        <w:left w:val="none" w:sz="0" w:space="0" w:color="auto"/>
        <w:bottom w:val="none" w:sz="0" w:space="0" w:color="auto"/>
        <w:right w:val="none" w:sz="0" w:space="0" w:color="auto"/>
      </w:divBdr>
    </w:div>
    <w:div w:id="381288841">
      <w:bodyDiv w:val="1"/>
      <w:marLeft w:val="0"/>
      <w:marRight w:val="0"/>
      <w:marTop w:val="0"/>
      <w:marBottom w:val="0"/>
      <w:divBdr>
        <w:top w:val="none" w:sz="0" w:space="0" w:color="auto"/>
        <w:left w:val="none" w:sz="0" w:space="0" w:color="auto"/>
        <w:bottom w:val="none" w:sz="0" w:space="0" w:color="auto"/>
        <w:right w:val="none" w:sz="0" w:space="0" w:color="auto"/>
      </w:divBdr>
    </w:div>
    <w:div w:id="383674851">
      <w:bodyDiv w:val="1"/>
      <w:marLeft w:val="0"/>
      <w:marRight w:val="0"/>
      <w:marTop w:val="0"/>
      <w:marBottom w:val="0"/>
      <w:divBdr>
        <w:top w:val="none" w:sz="0" w:space="0" w:color="auto"/>
        <w:left w:val="none" w:sz="0" w:space="0" w:color="auto"/>
        <w:bottom w:val="none" w:sz="0" w:space="0" w:color="auto"/>
        <w:right w:val="none" w:sz="0" w:space="0" w:color="auto"/>
      </w:divBdr>
    </w:div>
    <w:div w:id="385956467">
      <w:bodyDiv w:val="1"/>
      <w:marLeft w:val="0"/>
      <w:marRight w:val="0"/>
      <w:marTop w:val="0"/>
      <w:marBottom w:val="0"/>
      <w:divBdr>
        <w:top w:val="none" w:sz="0" w:space="0" w:color="auto"/>
        <w:left w:val="none" w:sz="0" w:space="0" w:color="auto"/>
        <w:bottom w:val="none" w:sz="0" w:space="0" w:color="auto"/>
        <w:right w:val="none" w:sz="0" w:space="0" w:color="auto"/>
      </w:divBdr>
    </w:div>
    <w:div w:id="388119064">
      <w:bodyDiv w:val="1"/>
      <w:marLeft w:val="0"/>
      <w:marRight w:val="0"/>
      <w:marTop w:val="0"/>
      <w:marBottom w:val="0"/>
      <w:divBdr>
        <w:top w:val="none" w:sz="0" w:space="0" w:color="auto"/>
        <w:left w:val="none" w:sz="0" w:space="0" w:color="auto"/>
        <w:bottom w:val="none" w:sz="0" w:space="0" w:color="auto"/>
        <w:right w:val="none" w:sz="0" w:space="0" w:color="auto"/>
      </w:divBdr>
    </w:div>
    <w:div w:id="388917691">
      <w:bodyDiv w:val="1"/>
      <w:marLeft w:val="0"/>
      <w:marRight w:val="0"/>
      <w:marTop w:val="0"/>
      <w:marBottom w:val="0"/>
      <w:divBdr>
        <w:top w:val="none" w:sz="0" w:space="0" w:color="auto"/>
        <w:left w:val="none" w:sz="0" w:space="0" w:color="auto"/>
        <w:bottom w:val="none" w:sz="0" w:space="0" w:color="auto"/>
        <w:right w:val="none" w:sz="0" w:space="0" w:color="auto"/>
      </w:divBdr>
    </w:div>
    <w:div w:id="392240114">
      <w:bodyDiv w:val="1"/>
      <w:marLeft w:val="0"/>
      <w:marRight w:val="0"/>
      <w:marTop w:val="0"/>
      <w:marBottom w:val="0"/>
      <w:divBdr>
        <w:top w:val="none" w:sz="0" w:space="0" w:color="auto"/>
        <w:left w:val="none" w:sz="0" w:space="0" w:color="auto"/>
        <w:bottom w:val="none" w:sz="0" w:space="0" w:color="auto"/>
        <w:right w:val="none" w:sz="0" w:space="0" w:color="auto"/>
      </w:divBdr>
    </w:div>
    <w:div w:id="393433303">
      <w:bodyDiv w:val="1"/>
      <w:marLeft w:val="0"/>
      <w:marRight w:val="0"/>
      <w:marTop w:val="0"/>
      <w:marBottom w:val="0"/>
      <w:divBdr>
        <w:top w:val="none" w:sz="0" w:space="0" w:color="auto"/>
        <w:left w:val="none" w:sz="0" w:space="0" w:color="auto"/>
        <w:bottom w:val="none" w:sz="0" w:space="0" w:color="auto"/>
        <w:right w:val="none" w:sz="0" w:space="0" w:color="auto"/>
      </w:divBdr>
    </w:div>
    <w:div w:id="393507871">
      <w:bodyDiv w:val="1"/>
      <w:marLeft w:val="0"/>
      <w:marRight w:val="0"/>
      <w:marTop w:val="0"/>
      <w:marBottom w:val="0"/>
      <w:divBdr>
        <w:top w:val="none" w:sz="0" w:space="0" w:color="auto"/>
        <w:left w:val="none" w:sz="0" w:space="0" w:color="auto"/>
        <w:bottom w:val="none" w:sz="0" w:space="0" w:color="auto"/>
        <w:right w:val="none" w:sz="0" w:space="0" w:color="auto"/>
      </w:divBdr>
    </w:div>
    <w:div w:id="393550636">
      <w:bodyDiv w:val="1"/>
      <w:marLeft w:val="0"/>
      <w:marRight w:val="0"/>
      <w:marTop w:val="0"/>
      <w:marBottom w:val="0"/>
      <w:divBdr>
        <w:top w:val="none" w:sz="0" w:space="0" w:color="auto"/>
        <w:left w:val="none" w:sz="0" w:space="0" w:color="auto"/>
        <w:bottom w:val="none" w:sz="0" w:space="0" w:color="auto"/>
        <w:right w:val="none" w:sz="0" w:space="0" w:color="auto"/>
      </w:divBdr>
    </w:div>
    <w:div w:id="395711159">
      <w:bodyDiv w:val="1"/>
      <w:marLeft w:val="0"/>
      <w:marRight w:val="0"/>
      <w:marTop w:val="0"/>
      <w:marBottom w:val="0"/>
      <w:divBdr>
        <w:top w:val="none" w:sz="0" w:space="0" w:color="auto"/>
        <w:left w:val="none" w:sz="0" w:space="0" w:color="auto"/>
        <w:bottom w:val="none" w:sz="0" w:space="0" w:color="auto"/>
        <w:right w:val="none" w:sz="0" w:space="0" w:color="auto"/>
      </w:divBdr>
    </w:div>
    <w:div w:id="396590863">
      <w:bodyDiv w:val="1"/>
      <w:marLeft w:val="0"/>
      <w:marRight w:val="0"/>
      <w:marTop w:val="0"/>
      <w:marBottom w:val="0"/>
      <w:divBdr>
        <w:top w:val="none" w:sz="0" w:space="0" w:color="auto"/>
        <w:left w:val="none" w:sz="0" w:space="0" w:color="auto"/>
        <w:bottom w:val="none" w:sz="0" w:space="0" w:color="auto"/>
        <w:right w:val="none" w:sz="0" w:space="0" w:color="auto"/>
      </w:divBdr>
    </w:div>
    <w:div w:id="397097088">
      <w:bodyDiv w:val="1"/>
      <w:marLeft w:val="0"/>
      <w:marRight w:val="0"/>
      <w:marTop w:val="0"/>
      <w:marBottom w:val="0"/>
      <w:divBdr>
        <w:top w:val="none" w:sz="0" w:space="0" w:color="auto"/>
        <w:left w:val="none" w:sz="0" w:space="0" w:color="auto"/>
        <w:bottom w:val="none" w:sz="0" w:space="0" w:color="auto"/>
        <w:right w:val="none" w:sz="0" w:space="0" w:color="auto"/>
      </w:divBdr>
    </w:div>
    <w:div w:id="397292313">
      <w:bodyDiv w:val="1"/>
      <w:marLeft w:val="0"/>
      <w:marRight w:val="0"/>
      <w:marTop w:val="0"/>
      <w:marBottom w:val="0"/>
      <w:divBdr>
        <w:top w:val="none" w:sz="0" w:space="0" w:color="auto"/>
        <w:left w:val="none" w:sz="0" w:space="0" w:color="auto"/>
        <w:bottom w:val="none" w:sz="0" w:space="0" w:color="auto"/>
        <w:right w:val="none" w:sz="0" w:space="0" w:color="auto"/>
      </w:divBdr>
    </w:div>
    <w:div w:id="398292131">
      <w:bodyDiv w:val="1"/>
      <w:marLeft w:val="0"/>
      <w:marRight w:val="0"/>
      <w:marTop w:val="0"/>
      <w:marBottom w:val="0"/>
      <w:divBdr>
        <w:top w:val="none" w:sz="0" w:space="0" w:color="auto"/>
        <w:left w:val="none" w:sz="0" w:space="0" w:color="auto"/>
        <w:bottom w:val="none" w:sz="0" w:space="0" w:color="auto"/>
        <w:right w:val="none" w:sz="0" w:space="0" w:color="auto"/>
      </w:divBdr>
    </w:div>
    <w:div w:id="400716917">
      <w:bodyDiv w:val="1"/>
      <w:marLeft w:val="0"/>
      <w:marRight w:val="0"/>
      <w:marTop w:val="0"/>
      <w:marBottom w:val="0"/>
      <w:divBdr>
        <w:top w:val="none" w:sz="0" w:space="0" w:color="auto"/>
        <w:left w:val="none" w:sz="0" w:space="0" w:color="auto"/>
        <w:bottom w:val="none" w:sz="0" w:space="0" w:color="auto"/>
        <w:right w:val="none" w:sz="0" w:space="0" w:color="auto"/>
      </w:divBdr>
    </w:div>
    <w:div w:id="400717250">
      <w:bodyDiv w:val="1"/>
      <w:marLeft w:val="0"/>
      <w:marRight w:val="0"/>
      <w:marTop w:val="0"/>
      <w:marBottom w:val="0"/>
      <w:divBdr>
        <w:top w:val="none" w:sz="0" w:space="0" w:color="auto"/>
        <w:left w:val="none" w:sz="0" w:space="0" w:color="auto"/>
        <w:bottom w:val="none" w:sz="0" w:space="0" w:color="auto"/>
        <w:right w:val="none" w:sz="0" w:space="0" w:color="auto"/>
      </w:divBdr>
    </w:div>
    <w:div w:id="401752517">
      <w:bodyDiv w:val="1"/>
      <w:marLeft w:val="0"/>
      <w:marRight w:val="0"/>
      <w:marTop w:val="0"/>
      <w:marBottom w:val="0"/>
      <w:divBdr>
        <w:top w:val="none" w:sz="0" w:space="0" w:color="auto"/>
        <w:left w:val="none" w:sz="0" w:space="0" w:color="auto"/>
        <w:bottom w:val="none" w:sz="0" w:space="0" w:color="auto"/>
        <w:right w:val="none" w:sz="0" w:space="0" w:color="auto"/>
      </w:divBdr>
    </w:div>
    <w:div w:id="404303231">
      <w:bodyDiv w:val="1"/>
      <w:marLeft w:val="0"/>
      <w:marRight w:val="0"/>
      <w:marTop w:val="0"/>
      <w:marBottom w:val="0"/>
      <w:divBdr>
        <w:top w:val="none" w:sz="0" w:space="0" w:color="auto"/>
        <w:left w:val="none" w:sz="0" w:space="0" w:color="auto"/>
        <w:bottom w:val="none" w:sz="0" w:space="0" w:color="auto"/>
        <w:right w:val="none" w:sz="0" w:space="0" w:color="auto"/>
      </w:divBdr>
    </w:div>
    <w:div w:id="404373759">
      <w:bodyDiv w:val="1"/>
      <w:marLeft w:val="0"/>
      <w:marRight w:val="0"/>
      <w:marTop w:val="0"/>
      <w:marBottom w:val="0"/>
      <w:divBdr>
        <w:top w:val="none" w:sz="0" w:space="0" w:color="auto"/>
        <w:left w:val="none" w:sz="0" w:space="0" w:color="auto"/>
        <w:bottom w:val="none" w:sz="0" w:space="0" w:color="auto"/>
        <w:right w:val="none" w:sz="0" w:space="0" w:color="auto"/>
      </w:divBdr>
    </w:div>
    <w:div w:id="406264222">
      <w:bodyDiv w:val="1"/>
      <w:marLeft w:val="0"/>
      <w:marRight w:val="0"/>
      <w:marTop w:val="0"/>
      <w:marBottom w:val="0"/>
      <w:divBdr>
        <w:top w:val="none" w:sz="0" w:space="0" w:color="auto"/>
        <w:left w:val="none" w:sz="0" w:space="0" w:color="auto"/>
        <w:bottom w:val="none" w:sz="0" w:space="0" w:color="auto"/>
        <w:right w:val="none" w:sz="0" w:space="0" w:color="auto"/>
      </w:divBdr>
    </w:div>
    <w:div w:id="406390005">
      <w:bodyDiv w:val="1"/>
      <w:marLeft w:val="0"/>
      <w:marRight w:val="0"/>
      <w:marTop w:val="0"/>
      <w:marBottom w:val="0"/>
      <w:divBdr>
        <w:top w:val="none" w:sz="0" w:space="0" w:color="auto"/>
        <w:left w:val="none" w:sz="0" w:space="0" w:color="auto"/>
        <w:bottom w:val="none" w:sz="0" w:space="0" w:color="auto"/>
        <w:right w:val="none" w:sz="0" w:space="0" w:color="auto"/>
      </w:divBdr>
    </w:div>
    <w:div w:id="406652177">
      <w:bodyDiv w:val="1"/>
      <w:marLeft w:val="0"/>
      <w:marRight w:val="0"/>
      <w:marTop w:val="0"/>
      <w:marBottom w:val="0"/>
      <w:divBdr>
        <w:top w:val="none" w:sz="0" w:space="0" w:color="auto"/>
        <w:left w:val="none" w:sz="0" w:space="0" w:color="auto"/>
        <w:bottom w:val="none" w:sz="0" w:space="0" w:color="auto"/>
        <w:right w:val="none" w:sz="0" w:space="0" w:color="auto"/>
      </w:divBdr>
    </w:div>
    <w:div w:id="407535352">
      <w:bodyDiv w:val="1"/>
      <w:marLeft w:val="0"/>
      <w:marRight w:val="0"/>
      <w:marTop w:val="0"/>
      <w:marBottom w:val="0"/>
      <w:divBdr>
        <w:top w:val="none" w:sz="0" w:space="0" w:color="auto"/>
        <w:left w:val="none" w:sz="0" w:space="0" w:color="auto"/>
        <w:bottom w:val="none" w:sz="0" w:space="0" w:color="auto"/>
        <w:right w:val="none" w:sz="0" w:space="0" w:color="auto"/>
      </w:divBdr>
    </w:div>
    <w:div w:id="408159758">
      <w:bodyDiv w:val="1"/>
      <w:marLeft w:val="0"/>
      <w:marRight w:val="0"/>
      <w:marTop w:val="0"/>
      <w:marBottom w:val="0"/>
      <w:divBdr>
        <w:top w:val="none" w:sz="0" w:space="0" w:color="auto"/>
        <w:left w:val="none" w:sz="0" w:space="0" w:color="auto"/>
        <w:bottom w:val="none" w:sz="0" w:space="0" w:color="auto"/>
        <w:right w:val="none" w:sz="0" w:space="0" w:color="auto"/>
      </w:divBdr>
    </w:div>
    <w:div w:id="409960026">
      <w:bodyDiv w:val="1"/>
      <w:marLeft w:val="0"/>
      <w:marRight w:val="0"/>
      <w:marTop w:val="0"/>
      <w:marBottom w:val="0"/>
      <w:divBdr>
        <w:top w:val="none" w:sz="0" w:space="0" w:color="auto"/>
        <w:left w:val="none" w:sz="0" w:space="0" w:color="auto"/>
        <w:bottom w:val="none" w:sz="0" w:space="0" w:color="auto"/>
        <w:right w:val="none" w:sz="0" w:space="0" w:color="auto"/>
      </w:divBdr>
    </w:div>
    <w:div w:id="411005042">
      <w:bodyDiv w:val="1"/>
      <w:marLeft w:val="0"/>
      <w:marRight w:val="0"/>
      <w:marTop w:val="0"/>
      <w:marBottom w:val="0"/>
      <w:divBdr>
        <w:top w:val="none" w:sz="0" w:space="0" w:color="auto"/>
        <w:left w:val="none" w:sz="0" w:space="0" w:color="auto"/>
        <w:bottom w:val="none" w:sz="0" w:space="0" w:color="auto"/>
        <w:right w:val="none" w:sz="0" w:space="0" w:color="auto"/>
      </w:divBdr>
    </w:div>
    <w:div w:id="411050146">
      <w:bodyDiv w:val="1"/>
      <w:marLeft w:val="0"/>
      <w:marRight w:val="0"/>
      <w:marTop w:val="0"/>
      <w:marBottom w:val="0"/>
      <w:divBdr>
        <w:top w:val="none" w:sz="0" w:space="0" w:color="auto"/>
        <w:left w:val="none" w:sz="0" w:space="0" w:color="auto"/>
        <w:bottom w:val="none" w:sz="0" w:space="0" w:color="auto"/>
        <w:right w:val="none" w:sz="0" w:space="0" w:color="auto"/>
      </w:divBdr>
    </w:div>
    <w:div w:id="412778491">
      <w:bodyDiv w:val="1"/>
      <w:marLeft w:val="0"/>
      <w:marRight w:val="0"/>
      <w:marTop w:val="0"/>
      <w:marBottom w:val="0"/>
      <w:divBdr>
        <w:top w:val="none" w:sz="0" w:space="0" w:color="auto"/>
        <w:left w:val="none" w:sz="0" w:space="0" w:color="auto"/>
        <w:bottom w:val="none" w:sz="0" w:space="0" w:color="auto"/>
        <w:right w:val="none" w:sz="0" w:space="0" w:color="auto"/>
      </w:divBdr>
    </w:div>
    <w:div w:id="412973162">
      <w:bodyDiv w:val="1"/>
      <w:marLeft w:val="0"/>
      <w:marRight w:val="0"/>
      <w:marTop w:val="0"/>
      <w:marBottom w:val="0"/>
      <w:divBdr>
        <w:top w:val="none" w:sz="0" w:space="0" w:color="auto"/>
        <w:left w:val="none" w:sz="0" w:space="0" w:color="auto"/>
        <w:bottom w:val="none" w:sz="0" w:space="0" w:color="auto"/>
        <w:right w:val="none" w:sz="0" w:space="0" w:color="auto"/>
      </w:divBdr>
    </w:div>
    <w:div w:id="413014304">
      <w:bodyDiv w:val="1"/>
      <w:marLeft w:val="0"/>
      <w:marRight w:val="0"/>
      <w:marTop w:val="0"/>
      <w:marBottom w:val="0"/>
      <w:divBdr>
        <w:top w:val="none" w:sz="0" w:space="0" w:color="auto"/>
        <w:left w:val="none" w:sz="0" w:space="0" w:color="auto"/>
        <w:bottom w:val="none" w:sz="0" w:space="0" w:color="auto"/>
        <w:right w:val="none" w:sz="0" w:space="0" w:color="auto"/>
      </w:divBdr>
    </w:div>
    <w:div w:id="413165624">
      <w:bodyDiv w:val="1"/>
      <w:marLeft w:val="0"/>
      <w:marRight w:val="0"/>
      <w:marTop w:val="0"/>
      <w:marBottom w:val="0"/>
      <w:divBdr>
        <w:top w:val="none" w:sz="0" w:space="0" w:color="auto"/>
        <w:left w:val="none" w:sz="0" w:space="0" w:color="auto"/>
        <w:bottom w:val="none" w:sz="0" w:space="0" w:color="auto"/>
        <w:right w:val="none" w:sz="0" w:space="0" w:color="auto"/>
      </w:divBdr>
    </w:div>
    <w:div w:id="415250592">
      <w:bodyDiv w:val="1"/>
      <w:marLeft w:val="0"/>
      <w:marRight w:val="0"/>
      <w:marTop w:val="0"/>
      <w:marBottom w:val="0"/>
      <w:divBdr>
        <w:top w:val="none" w:sz="0" w:space="0" w:color="auto"/>
        <w:left w:val="none" w:sz="0" w:space="0" w:color="auto"/>
        <w:bottom w:val="none" w:sz="0" w:space="0" w:color="auto"/>
        <w:right w:val="none" w:sz="0" w:space="0" w:color="auto"/>
      </w:divBdr>
    </w:div>
    <w:div w:id="416751568">
      <w:bodyDiv w:val="1"/>
      <w:marLeft w:val="0"/>
      <w:marRight w:val="0"/>
      <w:marTop w:val="0"/>
      <w:marBottom w:val="0"/>
      <w:divBdr>
        <w:top w:val="none" w:sz="0" w:space="0" w:color="auto"/>
        <w:left w:val="none" w:sz="0" w:space="0" w:color="auto"/>
        <w:bottom w:val="none" w:sz="0" w:space="0" w:color="auto"/>
        <w:right w:val="none" w:sz="0" w:space="0" w:color="auto"/>
      </w:divBdr>
    </w:div>
    <w:div w:id="418522648">
      <w:bodyDiv w:val="1"/>
      <w:marLeft w:val="0"/>
      <w:marRight w:val="0"/>
      <w:marTop w:val="0"/>
      <w:marBottom w:val="0"/>
      <w:divBdr>
        <w:top w:val="none" w:sz="0" w:space="0" w:color="auto"/>
        <w:left w:val="none" w:sz="0" w:space="0" w:color="auto"/>
        <w:bottom w:val="none" w:sz="0" w:space="0" w:color="auto"/>
        <w:right w:val="none" w:sz="0" w:space="0" w:color="auto"/>
      </w:divBdr>
    </w:div>
    <w:div w:id="420183245">
      <w:bodyDiv w:val="1"/>
      <w:marLeft w:val="0"/>
      <w:marRight w:val="0"/>
      <w:marTop w:val="0"/>
      <w:marBottom w:val="0"/>
      <w:divBdr>
        <w:top w:val="none" w:sz="0" w:space="0" w:color="auto"/>
        <w:left w:val="none" w:sz="0" w:space="0" w:color="auto"/>
        <w:bottom w:val="none" w:sz="0" w:space="0" w:color="auto"/>
        <w:right w:val="none" w:sz="0" w:space="0" w:color="auto"/>
      </w:divBdr>
    </w:div>
    <w:div w:id="420611952">
      <w:bodyDiv w:val="1"/>
      <w:marLeft w:val="0"/>
      <w:marRight w:val="0"/>
      <w:marTop w:val="0"/>
      <w:marBottom w:val="0"/>
      <w:divBdr>
        <w:top w:val="none" w:sz="0" w:space="0" w:color="auto"/>
        <w:left w:val="none" w:sz="0" w:space="0" w:color="auto"/>
        <w:bottom w:val="none" w:sz="0" w:space="0" w:color="auto"/>
        <w:right w:val="none" w:sz="0" w:space="0" w:color="auto"/>
      </w:divBdr>
    </w:div>
    <w:div w:id="426001056">
      <w:bodyDiv w:val="1"/>
      <w:marLeft w:val="0"/>
      <w:marRight w:val="0"/>
      <w:marTop w:val="0"/>
      <w:marBottom w:val="0"/>
      <w:divBdr>
        <w:top w:val="none" w:sz="0" w:space="0" w:color="auto"/>
        <w:left w:val="none" w:sz="0" w:space="0" w:color="auto"/>
        <w:bottom w:val="none" w:sz="0" w:space="0" w:color="auto"/>
        <w:right w:val="none" w:sz="0" w:space="0" w:color="auto"/>
      </w:divBdr>
    </w:div>
    <w:div w:id="426121681">
      <w:bodyDiv w:val="1"/>
      <w:marLeft w:val="0"/>
      <w:marRight w:val="0"/>
      <w:marTop w:val="0"/>
      <w:marBottom w:val="0"/>
      <w:divBdr>
        <w:top w:val="none" w:sz="0" w:space="0" w:color="auto"/>
        <w:left w:val="none" w:sz="0" w:space="0" w:color="auto"/>
        <w:bottom w:val="none" w:sz="0" w:space="0" w:color="auto"/>
        <w:right w:val="none" w:sz="0" w:space="0" w:color="auto"/>
      </w:divBdr>
    </w:div>
    <w:div w:id="426536698">
      <w:bodyDiv w:val="1"/>
      <w:marLeft w:val="0"/>
      <w:marRight w:val="0"/>
      <w:marTop w:val="0"/>
      <w:marBottom w:val="0"/>
      <w:divBdr>
        <w:top w:val="none" w:sz="0" w:space="0" w:color="auto"/>
        <w:left w:val="none" w:sz="0" w:space="0" w:color="auto"/>
        <w:bottom w:val="none" w:sz="0" w:space="0" w:color="auto"/>
        <w:right w:val="none" w:sz="0" w:space="0" w:color="auto"/>
      </w:divBdr>
    </w:div>
    <w:div w:id="427046976">
      <w:bodyDiv w:val="1"/>
      <w:marLeft w:val="0"/>
      <w:marRight w:val="0"/>
      <w:marTop w:val="0"/>
      <w:marBottom w:val="0"/>
      <w:divBdr>
        <w:top w:val="none" w:sz="0" w:space="0" w:color="auto"/>
        <w:left w:val="none" w:sz="0" w:space="0" w:color="auto"/>
        <w:bottom w:val="none" w:sz="0" w:space="0" w:color="auto"/>
        <w:right w:val="none" w:sz="0" w:space="0" w:color="auto"/>
      </w:divBdr>
    </w:div>
    <w:div w:id="427625533">
      <w:bodyDiv w:val="1"/>
      <w:marLeft w:val="0"/>
      <w:marRight w:val="0"/>
      <w:marTop w:val="0"/>
      <w:marBottom w:val="0"/>
      <w:divBdr>
        <w:top w:val="none" w:sz="0" w:space="0" w:color="auto"/>
        <w:left w:val="none" w:sz="0" w:space="0" w:color="auto"/>
        <w:bottom w:val="none" w:sz="0" w:space="0" w:color="auto"/>
        <w:right w:val="none" w:sz="0" w:space="0" w:color="auto"/>
      </w:divBdr>
    </w:div>
    <w:div w:id="427654495">
      <w:bodyDiv w:val="1"/>
      <w:marLeft w:val="0"/>
      <w:marRight w:val="0"/>
      <w:marTop w:val="0"/>
      <w:marBottom w:val="0"/>
      <w:divBdr>
        <w:top w:val="none" w:sz="0" w:space="0" w:color="auto"/>
        <w:left w:val="none" w:sz="0" w:space="0" w:color="auto"/>
        <w:bottom w:val="none" w:sz="0" w:space="0" w:color="auto"/>
        <w:right w:val="none" w:sz="0" w:space="0" w:color="auto"/>
      </w:divBdr>
    </w:div>
    <w:div w:id="428503560">
      <w:bodyDiv w:val="1"/>
      <w:marLeft w:val="0"/>
      <w:marRight w:val="0"/>
      <w:marTop w:val="0"/>
      <w:marBottom w:val="0"/>
      <w:divBdr>
        <w:top w:val="none" w:sz="0" w:space="0" w:color="auto"/>
        <w:left w:val="none" w:sz="0" w:space="0" w:color="auto"/>
        <w:bottom w:val="none" w:sz="0" w:space="0" w:color="auto"/>
        <w:right w:val="none" w:sz="0" w:space="0" w:color="auto"/>
      </w:divBdr>
    </w:div>
    <w:div w:id="429202623">
      <w:bodyDiv w:val="1"/>
      <w:marLeft w:val="0"/>
      <w:marRight w:val="0"/>
      <w:marTop w:val="0"/>
      <w:marBottom w:val="0"/>
      <w:divBdr>
        <w:top w:val="none" w:sz="0" w:space="0" w:color="auto"/>
        <w:left w:val="none" w:sz="0" w:space="0" w:color="auto"/>
        <w:bottom w:val="none" w:sz="0" w:space="0" w:color="auto"/>
        <w:right w:val="none" w:sz="0" w:space="0" w:color="auto"/>
      </w:divBdr>
    </w:div>
    <w:div w:id="429592396">
      <w:bodyDiv w:val="1"/>
      <w:marLeft w:val="0"/>
      <w:marRight w:val="0"/>
      <w:marTop w:val="0"/>
      <w:marBottom w:val="0"/>
      <w:divBdr>
        <w:top w:val="none" w:sz="0" w:space="0" w:color="auto"/>
        <w:left w:val="none" w:sz="0" w:space="0" w:color="auto"/>
        <w:bottom w:val="none" w:sz="0" w:space="0" w:color="auto"/>
        <w:right w:val="none" w:sz="0" w:space="0" w:color="auto"/>
      </w:divBdr>
    </w:div>
    <w:div w:id="430047638">
      <w:bodyDiv w:val="1"/>
      <w:marLeft w:val="0"/>
      <w:marRight w:val="0"/>
      <w:marTop w:val="0"/>
      <w:marBottom w:val="0"/>
      <w:divBdr>
        <w:top w:val="none" w:sz="0" w:space="0" w:color="auto"/>
        <w:left w:val="none" w:sz="0" w:space="0" w:color="auto"/>
        <w:bottom w:val="none" w:sz="0" w:space="0" w:color="auto"/>
        <w:right w:val="none" w:sz="0" w:space="0" w:color="auto"/>
      </w:divBdr>
    </w:div>
    <w:div w:id="430275401">
      <w:bodyDiv w:val="1"/>
      <w:marLeft w:val="0"/>
      <w:marRight w:val="0"/>
      <w:marTop w:val="0"/>
      <w:marBottom w:val="0"/>
      <w:divBdr>
        <w:top w:val="none" w:sz="0" w:space="0" w:color="auto"/>
        <w:left w:val="none" w:sz="0" w:space="0" w:color="auto"/>
        <w:bottom w:val="none" w:sz="0" w:space="0" w:color="auto"/>
        <w:right w:val="none" w:sz="0" w:space="0" w:color="auto"/>
      </w:divBdr>
    </w:div>
    <w:div w:id="430705359">
      <w:bodyDiv w:val="1"/>
      <w:marLeft w:val="0"/>
      <w:marRight w:val="0"/>
      <w:marTop w:val="0"/>
      <w:marBottom w:val="0"/>
      <w:divBdr>
        <w:top w:val="none" w:sz="0" w:space="0" w:color="auto"/>
        <w:left w:val="none" w:sz="0" w:space="0" w:color="auto"/>
        <w:bottom w:val="none" w:sz="0" w:space="0" w:color="auto"/>
        <w:right w:val="none" w:sz="0" w:space="0" w:color="auto"/>
      </w:divBdr>
    </w:div>
    <w:div w:id="436171359">
      <w:bodyDiv w:val="1"/>
      <w:marLeft w:val="0"/>
      <w:marRight w:val="0"/>
      <w:marTop w:val="0"/>
      <w:marBottom w:val="0"/>
      <w:divBdr>
        <w:top w:val="none" w:sz="0" w:space="0" w:color="auto"/>
        <w:left w:val="none" w:sz="0" w:space="0" w:color="auto"/>
        <w:bottom w:val="none" w:sz="0" w:space="0" w:color="auto"/>
        <w:right w:val="none" w:sz="0" w:space="0" w:color="auto"/>
      </w:divBdr>
    </w:div>
    <w:div w:id="440729723">
      <w:bodyDiv w:val="1"/>
      <w:marLeft w:val="0"/>
      <w:marRight w:val="0"/>
      <w:marTop w:val="0"/>
      <w:marBottom w:val="0"/>
      <w:divBdr>
        <w:top w:val="none" w:sz="0" w:space="0" w:color="auto"/>
        <w:left w:val="none" w:sz="0" w:space="0" w:color="auto"/>
        <w:bottom w:val="none" w:sz="0" w:space="0" w:color="auto"/>
        <w:right w:val="none" w:sz="0" w:space="0" w:color="auto"/>
      </w:divBdr>
    </w:div>
    <w:div w:id="441727259">
      <w:bodyDiv w:val="1"/>
      <w:marLeft w:val="0"/>
      <w:marRight w:val="0"/>
      <w:marTop w:val="0"/>
      <w:marBottom w:val="0"/>
      <w:divBdr>
        <w:top w:val="none" w:sz="0" w:space="0" w:color="auto"/>
        <w:left w:val="none" w:sz="0" w:space="0" w:color="auto"/>
        <w:bottom w:val="none" w:sz="0" w:space="0" w:color="auto"/>
        <w:right w:val="none" w:sz="0" w:space="0" w:color="auto"/>
      </w:divBdr>
    </w:div>
    <w:div w:id="442385554">
      <w:bodyDiv w:val="1"/>
      <w:marLeft w:val="0"/>
      <w:marRight w:val="0"/>
      <w:marTop w:val="0"/>
      <w:marBottom w:val="0"/>
      <w:divBdr>
        <w:top w:val="none" w:sz="0" w:space="0" w:color="auto"/>
        <w:left w:val="none" w:sz="0" w:space="0" w:color="auto"/>
        <w:bottom w:val="none" w:sz="0" w:space="0" w:color="auto"/>
        <w:right w:val="none" w:sz="0" w:space="0" w:color="auto"/>
      </w:divBdr>
    </w:div>
    <w:div w:id="442575807">
      <w:bodyDiv w:val="1"/>
      <w:marLeft w:val="0"/>
      <w:marRight w:val="0"/>
      <w:marTop w:val="0"/>
      <w:marBottom w:val="0"/>
      <w:divBdr>
        <w:top w:val="none" w:sz="0" w:space="0" w:color="auto"/>
        <w:left w:val="none" w:sz="0" w:space="0" w:color="auto"/>
        <w:bottom w:val="none" w:sz="0" w:space="0" w:color="auto"/>
        <w:right w:val="none" w:sz="0" w:space="0" w:color="auto"/>
      </w:divBdr>
    </w:div>
    <w:div w:id="445928682">
      <w:bodyDiv w:val="1"/>
      <w:marLeft w:val="0"/>
      <w:marRight w:val="0"/>
      <w:marTop w:val="0"/>
      <w:marBottom w:val="0"/>
      <w:divBdr>
        <w:top w:val="none" w:sz="0" w:space="0" w:color="auto"/>
        <w:left w:val="none" w:sz="0" w:space="0" w:color="auto"/>
        <w:bottom w:val="none" w:sz="0" w:space="0" w:color="auto"/>
        <w:right w:val="none" w:sz="0" w:space="0" w:color="auto"/>
      </w:divBdr>
    </w:div>
    <w:div w:id="446656079">
      <w:bodyDiv w:val="1"/>
      <w:marLeft w:val="0"/>
      <w:marRight w:val="0"/>
      <w:marTop w:val="0"/>
      <w:marBottom w:val="0"/>
      <w:divBdr>
        <w:top w:val="none" w:sz="0" w:space="0" w:color="auto"/>
        <w:left w:val="none" w:sz="0" w:space="0" w:color="auto"/>
        <w:bottom w:val="none" w:sz="0" w:space="0" w:color="auto"/>
        <w:right w:val="none" w:sz="0" w:space="0" w:color="auto"/>
      </w:divBdr>
    </w:div>
    <w:div w:id="447361860">
      <w:bodyDiv w:val="1"/>
      <w:marLeft w:val="0"/>
      <w:marRight w:val="0"/>
      <w:marTop w:val="0"/>
      <w:marBottom w:val="0"/>
      <w:divBdr>
        <w:top w:val="none" w:sz="0" w:space="0" w:color="auto"/>
        <w:left w:val="none" w:sz="0" w:space="0" w:color="auto"/>
        <w:bottom w:val="none" w:sz="0" w:space="0" w:color="auto"/>
        <w:right w:val="none" w:sz="0" w:space="0" w:color="auto"/>
      </w:divBdr>
    </w:div>
    <w:div w:id="447630221">
      <w:bodyDiv w:val="1"/>
      <w:marLeft w:val="0"/>
      <w:marRight w:val="0"/>
      <w:marTop w:val="0"/>
      <w:marBottom w:val="0"/>
      <w:divBdr>
        <w:top w:val="none" w:sz="0" w:space="0" w:color="auto"/>
        <w:left w:val="none" w:sz="0" w:space="0" w:color="auto"/>
        <w:bottom w:val="none" w:sz="0" w:space="0" w:color="auto"/>
        <w:right w:val="none" w:sz="0" w:space="0" w:color="auto"/>
      </w:divBdr>
    </w:div>
    <w:div w:id="447699932">
      <w:bodyDiv w:val="1"/>
      <w:marLeft w:val="0"/>
      <w:marRight w:val="0"/>
      <w:marTop w:val="0"/>
      <w:marBottom w:val="0"/>
      <w:divBdr>
        <w:top w:val="none" w:sz="0" w:space="0" w:color="auto"/>
        <w:left w:val="none" w:sz="0" w:space="0" w:color="auto"/>
        <w:bottom w:val="none" w:sz="0" w:space="0" w:color="auto"/>
        <w:right w:val="none" w:sz="0" w:space="0" w:color="auto"/>
      </w:divBdr>
    </w:div>
    <w:div w:id="448472842">
      <w:bodyDiv w:val="1"/>
      <w:marLeft w:val="0"/>
      <w:marRight w:val="0"/>
      <w:marTop w:val="0"/>
      <w:marBottom w:val="0"/>
      <w:divBdr>
        <w:top w:val="none" w:sz="0" w:space="0" w:color="auto"/>
        <w:left w:val="none" w:sz="0" w:space="0" w:color="auto"/>
        <w:bottom w:val="none" w:sz="0" w:space="0" w:color="auto"/>
        <w:right w:val="none" w:sz="0" w:space="0" w:color="auto"/>
      </w:divBdr>
    </w:div>
    <w:div w:id="449014382">
      <w:bodyDiv w:val="1"/>
      <w:marLeft w:val="0"/>
      <w:marRight w:val="0"/>
      <w:marTop w:val="0"/>
      <w:marBottom w:val="0"/>
      <w:divBdr>
        <w:top w:val="none" w:sz="0" w:space="0" w:color="auto"/>
        <w:left w:val="none" w:sz="0" w:space="0" w:color="auto"/>
        <w:bottom w:val="none" w:sz="0" w:space="0" w:color="auto"/>
        <w:right w:val="none" w:sz="0" w:space="0" w:color="auto"/>
      </w:divBdr>
    </w:div>
    <w:div w:id="449131560">
      <w:bodyDiv w:val="1"/>
      <w:marLeft w:val="0"/>
      <w:marRight w:val="0"/>
      <w:marTop w:val="0"/>
      <w:marBottom w:val="0"/>
      <w:divBdr>
        <w:top w:val="none" w:sz="0" w:space="0" w:color="auto"/>
        <w:left w:val="none" w:sz="0" w:space="0" w:color="auto"/>
        <w:bottom w:val="none" w:sz="0" w:space="0" w:color="auto"/>
        <w:right w:val="none" w:sz="0" w:space="0" w:color="auto"/>
      </w:divBdr>
    </w:div>
    <w:div w:id="449207608">
      <w:bodyDiv w:val="1"/>
      <w:marLeft w:val="0"/>
      <w:marRight w:val="0"/>
      <w:marTop w:val="0"/>
      <w:marBottom w:val="0"/>
      <w:divBdr>
        <w:top w:val="none" w:sz="0" w:space="0" w:color="auto"/>
        <w:left w:val="none" w:sz="0" w:space="0" w:color="auto"/>
        <w:bottom w:val="none" w:sz="0" w:space="0" w:color="auto"/>
        <w:right w:val="none" w:sz="0" w:space="0" w:color="auto"/>
      </w:divBdr>
    </w:div>
    <w:div w:id="449251226">
      <w:bodyDiv w:val="1"/>
      <w:marLeft w:val="0"/>
      <w:marRight w:val="0"/>
      <w:marTop w:val="0"/>
      <w:marBottom w:val="0"/>
      <w:divBdr>
        <w:top w:val="none" w:sz="0" w:space="0" w:color="auto"/>
        <w:left w:val="none" w:sz="0" w:space="0" w:color="auto"/>
        <w:bottom w:val="none" w:sz="0" w:space="0" w:color="auto"/>
        <w:right w:val="none" w:sz="0" w:space="0" w:color="auto"/>
      </w:divBdr>
    </w:div>
    <w:div w:id="452361693">
      <w:bodyDiv w:val="1"/>
      <w:marLeft w:val="0"/>
      <w:marRight w:val="0"/>
      <w:marTop w:val="0"/>
      <w:marBottom w:val="0"/>
      <w:divBdr>
        <w:top w:val="none" w:sz="0" w:space="0" w:color="auto"/>
        <w:left w:val="none" w:sz="0" w:space="0" w:color="auto"/>
        <w:bottom w:val="none" w:sz="0" w:space="0" w:color="auto"/>
        <w:right w:val="none" w:sz="0" w:space="0" w:color="auto"/>
      </w:divBdr>
    </w:div>
    <w:div w:id="452676762">
      <w:bodyDiv w:val="1"/>
      <w:marLeft w:val="0"/>
      <w:marRight w:val="0"/>
      <w:marTop w:val="0"/>
      <w:marBottom w:val="0"/>
      <w:divBdr>
        <w:top w:val="none" w:sz="0" w:space="0" w:color="auto"/>
        <w:left w:val="none" w:sz="0" w:space="0" w:color="auto"/>
        <w:bottom w:val="none" w:sz="0" w:space="0" w:color="auto"/>
        <w:right w:val="none" w:sz="0" w:space="0" w:color="auto"/>
      </w:divBdr>
    </w:div>
    <w:div w:id="453645756">
      <w:bodyDiv w:val="1"/>
      <w:marLeft w:val="0"/>
      <w:marRight w:val="0"/>
      <w:marTop w:val="0"/>
      <w:marBottom w:val="0"/>
      <w:divBdr>
        <w:top w:val="none" w:sz="0" w:space="0" w:color="auto"/>
        <w:left w:val="none" w:sz="0" w:space="0" w:color="auto"/>
        <w:bottom w:val="none" w:sz="0" w:space="0" w:color="auto"/>
        <w:right w:val="none" w:sz="0" w:space="0" w:color="auto"/>
      </w:divBdr>
    </w:div>
    <w:div w:id="453790410">
      <w:bodyDiv w:val="1"/>
      <w:marLeft w:val="0"/>
      <w:marRight w:val="0"/>
      <w:marTop w:val="0"/>
      <w:marBottom w:val="0"/>
      <w:divBdr>
        <w:top w:val="none" w:sz="0" w:space="0" w:color="auto"/>
        <w:left w:val="none" w:sz="0" w:space="0" w:color="auto"/>
        <w:bottom w:val="none" w:sz="0" w:space="0" w:color="auto"/>
        <w:right w:val="none" w:sz="0" w:space="0" w:color="auto"/>
      </w:divBdr>
    </w:div>
    <w:div w:id="454720026">
      <w:bodyDiv w:val="1"/>
      <w:marLeft w:val="0"/>
      <w:marRight w:val="0"/>
      <w:marTop w:val="0"/>
      <w:marBottom w:val="0"/>
      <w:divBdr>
        <w:top w:val="none" w:sz="0" w:space="0" w:color="auto"/>
        <w:left w:val="none" w:sz="0" w:space="0" w:color="auto"/>
        <w:bottom w:val="none" w:sz="0" w:space="0" w:color="auto"/>
        <w:right w:val="none" w:sz="0" w:space="0" w:color="auto"/>
      </w:divBdr>
    </w:div>
    <w:div w:id="455026278">
      <w:bodyDiv w:val="1"/>
      <w:marLeft w:val="0"/>
      <w:marRight w:val="0"/>
      <w:marTop w:val="0"/>
      <w:marBottom w:val="0"/>
      <w:divBdr>
        <w:top w:val="none" w:sz="0" w:space="0" w:color="auto"/>
        <w:left w:val="none" w:sz="0" w:space="0" w:color="auto"/>
        <w:bottom w:val="none" w:sz="0" w:space="0" w:color="auto"/>
        <w:right w:val="none" w:sz="0" w:space="0" w:color="auto"/>
      </w:divBdr>
    </w:div>
    <w:div w:id="455486710">
      <w:bodyDiv w:val="1"/>
      <w:marLeft w:val="0"/>
      <w:marRight w:val="0"/>
      <w:marTop w:val="0"/>
      <w:marBottom w:val="0"/>
      <w:divBdr>
        <w:top w:val="none" w:sz="0" w:space="0" w:color="auto"/>
        <w:left w:val="none" w:sz="0" w:space="0" w:color="auto"/>
        <w:bottom w:val="none" w:sz="0" w:space="0" w:color="auto"/>
        <w:right w:val="none" w:sz="0" w:space="0" w:color="auto"/>
      </w:divBdr>
    </w:div>
    <w:div w:id="456459088">
      <w:bodyDiv w:val="1"/>
      <w:marLeft w:val="0"/>
      <w:marRight w:val="0"/>
      <w:marTop w:val="0"/>
      <w:marBottom w:val="0"/>
      <w:divBdr>
        <w:top w:val="none" w:sz="0" w:space="0" w:color="auto"/>
        <w:left w:val="none" w:sz="0" w:space="0" w:color="auto"/>
        <w:bottom w:val="none" w:sz="0" w:space="0" w:color="auto"/>
        <w:right w:val="none" w:sz="0" w:space="0" w:color="auto"/>
      </w:divBdr>
    </w:div>
    <w:div w:id="457645516">
      <w:bodyDiv w:val="1"/>
      <w:marLeft w:val="0"/>
      <w:marRight w:val="0"/>
      <w:marTop w:val="0"/>
      <w:marBottom w:val="0"/>
      <w:divBdr>
        <w:top w:val="none" w:sz="0" w:space="0" w:color="auto"/>
        <w:left w:val="none" w:sz="0" w:space="0" w:color="auto"/>
        <w:bottom w:val="none" w:sz="0" w:space="0" w:color="auto"/>
        <w:right w:val="none" w:sz="0" w:space="0" w:color="auto"/>
      </w:divBdr>
    </w:div>
    <w:div w:id="457837047">
      <w:bodyDiv w:val="1"/>
      <w:marLeft w:val="0"/>
      <w:marRight w:val="0"/>
      <w:marTop w:val="0"/>
      <w:marBottom w:val="0"/>
      <w:divBdr>
        <w:top w:val="none" w:sz="0" w:space="0" w:color="auto"/>
        <w:left w:val="none" w:sz="0" w:space="0" w:color="auto"/>
        <w:bottom w:val="none" w:sz="0" w:space="0" w:color="auto"/>
        <w:right w:val="none" w:sz="0" w:space="0" w:color="auto"/>
      </w:divBdr>
    </w:div>
    <w:div w:id="458375119">
      <w:bodyDiv w:val="1"/>
      <w:marLeft w:val="0"/>
      <w:marRight w:val="0"/>
      <w:marTop w:val="0"/>
      <w:marBottom w:val="0"/>
      <w:divBdr>
        <w:top w:val="none" w:sz="0" w:space="0" w:color="auto"/>
        <w:left w:val="none" w:sz="0" w:space="0" w:color="auto"/>
        <w:bottom w:val="none" w:sz="0" w:space="0" w:color="auto"/>
        <w:right w:val="none" w:sz="0" w:space="0" w:color="auto"/>
      </w:divBdr>
    </w:div>
    <w:div w:id="458694989">
      <w:bodyDiv w:val="1"/>
      <w:marLeft w:val="0"/>
      <w:marRight w:val="0"/>
      <w:marTop w:val="0"/>
      <w:marBottom w:val="0"/>
      <w:divBdr>
        <w:top w:val="none" w:sz="0" w:space="0" w:color="auto"/>
        <w:left w:val="none" w:sz="0" w:space="0" w:color="auto"/>
        <w:bottom w:val="none" w:sz="0" w:space="0" w:color="auto"/>
        <w:right w:val="none" w:sz="0" w:space="0" w:color="auto"/>
      </w:divBdr>
    </w:div>
    <w:div w:id="460419268">
      <w:bodyDiv w:val="1"/>
      <w:marLeft w:val="0"/>
      <w:marRight w:val="0"/>
      <w:marTop w:val="0"/>
      <w:marBottom w:val="0"/>
      <w:divBdr>
        <w:top w:val="none" w:sz="0" w:space="0" w:color="auto"/>
        <w:left w:val="none" w:sz="0" w:space="0" w:color="auto"/>
        <w:bottom w:val="none" w:sz="0" w:space="0" w:color="auto"/>
        <w:right w:val="none" w:sz="0" w:space="0" w:color="auto"/>
      </w:divBdr>
    </w:div>
    <w:div w:id="462120383">
      <w:bodyDiv w:val="1"/>
      <w:marLeft w:val="0"/>
      <w:marRight w:val="0"/>
      <w:marTop w:val="0"/>
      <w:marBottom w:val="0"/>
      <w:divBdr>
        <w:top w:val="none" w:sz="0" w:space="0" w:color="auto"/>
        <w:left w:val="none" w:sz="0" w:space="0" w:color="auto"/>
        <w:bottom w:val="none" w:sz="0" w:space="0" w:color="auto"/>
        <w:right w:val="none" w:sz="0" w:space="0" w:color="auto"/>
      </w:divBdr>
    </w:div>
    <w:div w:id="462967746">
      <w:bodyDiv w:val="1"/>
      <w:marLeft w:val="0"/>
      <w:marRight w:val="0"/>
      <w:marTop w:val="0"/>
      <w:marBottom w:val="0"/>
      <w:divBdr>
        <w:top w:val="none" w:sz="0" w:space="0" w:color="auto"/>
        <w:left w:val="none" w:sz="0" w:space="0" w:color="auto"/>
        <w:bottom w:val="none" w:sz="0" w:space="0" w:color="auto"/>
        <w:right w:val="none" w:sz="0" w:space="0" w:color="auto"/>
      </w:divBdr>
    </w:div>
    <w:div w:id="463815715">
      <w:bodyDiv w:val="1"/>
      <w:marLeft w:val="0"/>
      <w:marRight w:val="0"/>
      <w:marTop w:val="0"/>
      <w:marBottom w:val="0"/>
      <w:divBdr>
        <w:top w:val="none" w:sz="0" w:space="0" w:color="auto"/>
        <w:left w:val="none" w:sz="0" w:space="0" w:color="auto"/>
        <w:bottom w:val="none" w:sz="0" w:space="0" w:color="auto"/>
        <w:right w:val="none" w:sz="0" w:space="0" w:color="auto"/>
      </w:divBdr>
    </w:div>
    <w:div w:id="465515154">
      <w:bodyDiv w:val="1"/>
      <w:marLeft w:val="0"/>
      <w:marRight w:val="0"/>
      <w:marTop w:val="0"/>
      <w:marBottom w:val="0"/>
      <w:divBdr>
        <w:top w:val="none" w:sz="0" w:space="0" w:color="auto"/>
        <w:left w:val="none" w:sz="0" w:space="0" w:color="auto"/>
        <w:bottom w:val="none" w:sz="0" w:space="0" w:color="auto"/>
        <w:right w:val="none" w:sz="0" w:space="0" w:color="auto"/>
      </w:divBdr>
    </w:div>
    <w:div w:id="466047588">
      <w:bodyDiv w:val="1"/>
      <w:marLeft w:val="0"/>
      <w:marRight w:val="0"/>
      <w:marTop w:val="0"/>
      <w:marBottom w:val="0"/>
      <w:divBdr>
        <w:top w:val="none" w:sz="0" w:space="0" w:color="auto"/>
        <w:left w:val="none" w:sz="0" w:space="0" w:color="auto"/>
        <w:bottom w:val="none" w:sz="0" w:space="0" w:color="auto"/>
        <w:right w:val="none" w:sz="0" w:space="0" w:color="auto"/>
      </w:divBdr>
    </w:div>
    <w:div w:id="466437366">
      <w:bodyDiv w:val="1"/>
      <w:marLeft w:val="0"/>
      <w:marRight w:val="0"/>
      <w:marTop w:val="0"/>
      <w:marBottom w:val="0"/>
      <w:divBdr>
        <w:top w:val="none" w:sz="0" w:space="0" w:color="auto"/>
        <w:left w:val="none" w:sz="0" w:space="0" w:color="auto"/>
        <w:bottom w:val="none" w:sz="0" w:space="0" w:color="auto"/>
        <w:right w:val="none" w:sz="0" w:space="0" w:color="auto"/>
      </w:divBdr>
    </w:div>
    <w:div w:id="469325478">
      <w:bodyDiv w:val="1"/>
      <w:marLeft w:val="0"/>
      <w:marRight w:val="0"/>
      <w:marTop w:val="0"/>
      <w:marBottom w:val="0"/>
      <w:divBdr>
        <w:top w:val="none" w:sz="0" w:space="0" w:color="auto"/>
        <w:left w:val="none" w:sz="0" w:space="0" w:color="auto"/>
        <w:bottom w:val="none" w:sz="0" w:space="0" w:color="auto"/>
        <w:right w:val="none" w:sz="0" w:space="0" w:color="auto"/>
      </w:divBdr>
    </w:div>
    <w:div w:id="469789477">
      <w:bodyDiv w:val="1"/>
      <w:marLeft w:val="0"/>
      <w:marRight w:val="0"/>
      <w:marTop w:val="0"/>
      <w:marBottom w:val="0"/>
      <w:divBdr>
        <w:top w:val="none" w:sz="0" w:space="0" w:color="auto"/>
        <w:left w:val="none" w:sz="0" w:space="0" w:color="auto"/>
        <w:bottom w:val="none" w:sz="0" w:space="0" w:color="auto"/>
        <w:right w:val="none" w:sz="0" w:space="0" w:color="auto"/>
      </w:divBdr>
    </w:div>
    <w:div w:id="470559294">
      <w:bodyDiv w:val="1"/>
      <w:marLeft w:val="0"/>
      <w:marRight w:val="0"/>
      <w:marTop w:val="0"/>
      <w:marBottom w:val="0"/>
      <w:divBdr>
        <w:top w:val="none" w:sz="0" w:space="0" w:color="auto"/>
        <w:left w:val="none" w:sz="0" w:space="0" w:color="auto"/>
        <w:bottom w:val="none" w:sz="0" w:space="0" w:color="auto"/>
        <w:right w:val="none" w:sz="0" w:space="0" w:color="auto"/>
      </w:divBdr>
    </w:div>
    <w:div w:id="471482214">
      <w:bodyDiv w:val="1"/>
      <w:marLeft w:val="0"/>
      <w:marRight w:val="0"/>
      <w:marTop w:val="0"/>
      <w:marBottom w:val="0"/>
      <w:divBdr>
        <w:top w:val="none" w:sz="0" w:space="0" w:color="auto"/>
        <w:left w:val="none" w:sz="0" w:space="0" w:color="auto"/>
        <w:bottom w:val="none" w:sz="0" w:space="0" w:color="auto"/>
        <w:right w:val="none" w:sz="0" w:space="0" w:color="auto"/>
      </w:divBdr>
    </w:div>
    <w:div w:id="479931210">
      <w:bodyDiv w:val="1"/>
      <w:marLeft w:val="0"/>
      <w:marRight w:val="0"/>
      <w:marTop w:val="0"/>
      <w:marBottom w:val="0"/>
      <w:divBdr>
        <w:top w:val="none" w:sz="0" w:space="0" w:color="auto"/>
        <w:left w:val="none" w:sz="0" w:space="0" w:color="auto"/>
        <w:bottom w:val="none" w:sz="0" w:space="0" w:color="auto"/>
        <w:right w:val="none" w:sz="0" w:space="0" w:color="auto"/>
      </w:divBdr>
    </w:div>
    <w:div w:id="480657674">
      <w:bodyDiv w:val="1"/>
      <w:marLeft w:val="0"/>
      <w:marRight w:val="0"/>
      <w:marTop w:val="0"/>
      <w:marBottom w:val="0"/>
      <w:divBdr>
        <w:top w:val="none" w:sz="0" w:space="0" w:color="auto"/>
        <w:left w:val="none" w:sz="0" w:space="0" w:color="auto"/>
        <w:bottom w:val="none" w:sz="0" w:space="0" w:color="auto"/>
        <w:right w:val="none" w:sz="0" w:space="0" w:color="auto"/>
      </w:divBdr>
    </w:div>
    <w:div w:id="480778672">
      <w:bodyDiv w:val="1"/>
      <w:marLeft w:val="0"/>
      <w:marRight w:val="0"/>
      <w:marTop w:val="0"/>
      <w:marBottom w:val="0"/>
      <w:divBdr>
        <w:top w:val="none" w:sz="0" w:space="0" w:color="auto"/>
        <w:left w:val="none" w:sz="0" w:space="0" w:color="auto"/>
        <w:bottom w:val="none" w:sz="0" w:space="0" w:color="auto"/>
        <w:right w:val="none" w:sz="0" w:space="0" w:color="auto"/>
      </w:divBdr>
    </w:div>
    <w:div w:id="481429301">
      <w:bodyDiv w:val="1"/>
      <w:marLeft w:val="0"/>
      <w:marRight w:val="0"/>
      <w:marTop w:val="0"/>
      <w:marBottom w:val="0"/>
      <w:divBdr>
        <w:top w:val="none" w:sz="0" w:space="0" w:color="auto"/>
        <w:left w:val="none" w:sz="0" w:space="0" w:color="auto"/>
        <w:bottom w:val="none" w:sz="0" w:space="0" w:color="auto"/>
        <w:right w:val="none" w:sz="0" w:space="0" w:color="auto"/>
      </w:divBdr>
    </w:div>
    <w:div w:id="481501953">
      <w:bodyDiv w:val="1"/>
      <w:marLeft w:val="0"/>
      <w:marRight w:val="0"/>
      <w:marTop w:val="0"/>
      <w:marBottom w:val="0"/>
      <w:divBdr>
        <w:top w:val="none" w:sz="0" w:space="0" w:color="auto"/>
        <w:left w:val="none" w:sz="0" w:space="0" w:color="auto"/>
        <w:bottom w:val="none" w:sz="0" w:space="0" w:color="auto"/>
        <w:right w:val="none" w:sz="0" w:space="0" w:color="auto"/>
      </w:divBdr>
    </w:div>
    <w:div w:id="484708445">
      <w:bodyDiv w:val="1"/>
      <w:marLeft w:val="0"/>
      <w:marRight w:val="0"/>
      <w:marTop w:val="0"/>
      <w:marBottom w:val="0"/>
      <w:divBdr>
        <w:top w:val="none" w:sz="0" w:space="0" w:color="auto"/>
        <w:left w:val="none" w:sz="0" w:space="0" w:color="auto"/>
        <w:bottom w:val="none" w:sz="0" w:space="0" w:color="auto"/>
        <w:right w:val="none" w:sz="0" w:space="0" w:color="auto"/>
      </w:divBdr>
    </w:div>
    <w:div w:id="485054363">
      <w:bodyDiv w:val="1"/>
      <w:marLeft w:val="0"/>
      <w:marRight w:val="0"/>
      <w:marTop w:val="0"/>
      <w:marBottom w:val="0"/>
      <w:divBdr>
        <w:top w:val="none" w:sz="0" w:space="0" w:color="auto"/>
        <w:left w:val="none" w:sz="0" w:space="0" w:color="auto"/>
        <w:bottom w:val="none" w:sz="0" w:space="0" w:color="auto"/>
        <w:right w:val="none" w:sz="0" w:space="0" w:color="auto"/>
      </w:divBdr>
    </w:div>
    <w:div w:id="486093867">
      <w:bodyDiv w:val="1"/>
      <w:marLeft w:val="0"/>
      <w:marRight w:val="0"/>
      <w:marTop w:val="0"/>
      <w:marBottom w:val="0"/>
      <w:divBdr>
        <w:top w:val="none" w:sz="0" w:space="0" w:color="auto"/>
        <w:left w:val="none" w:sz="0" w:space="0" w:color="auto"/>
        <w:bottom w:val="none" w:sz="0" w:space="0" w:color="auto"/>
        <w:right w:val="none" w:sz="0" w:space="0" w:color="auto"/>
      </w:divBdr>
    </w:div>
    <w:div w:id="487017811">
      <w:bodyDiv w:val="1"/>
      <w:marLeft w:val="0"/>
      <w:marRight w:val="0"/>
      <w:marTop w:val="0"/>
      <w:marBottom w:val="0"/>
      <w:divBdr>
        <w:top w:val="none" w:sz="0" w:space="0" w:color="auto"/>
        <w:left w:val="none" w:sz="0" w:space="0" w:color="auto"/>
        <w:bottom w:val="none" w:sz="0" w:space="0" w:color="auto"/>
        <w:right w:val="none" w:sz="0" w:space="0" w:color="auto"/>
      </w:divBdr>
    </w:div>
    <w:div w:id="488180121">
      <w:bodyDiv w:val="1"/>
      <w:marLeft w:val="0"/>
      <w:marRight w:val="0"/>
      <w:marTop w:val="0"/>
      <w:marBottom w:val="0"/>
      <w:divBdr>
        <w:top w:val="none" w:sz="0" w:space="0" w:color="auto"/>
        <w:left w:val="none" w:sz="0" w:space="0" w:color="auto"/>
        <w:bottom w:val="none" w:sz="0" w:space="0" w:color="auto"/>
        <w:right w:val="none" w:sz="0" w:space="0" w:color="auto"/>
      </w:divBdr>
    </w:div>
    <w:div w:id="490098640">
      <w:bodyDiv w:val="1"/>
      <w:marLeft w:val="0"/>
      <w:marRight w:val="0"/>
      <w:marTop w:val="0"/>
      <w:marBottom w:val="0"/>
      <w:divBdr>
        <w:top w:val="none" w:sz="0" w:space="0" w:color="auto"/>
        <w:left w:val="none" w:sz="0" w:space="0" w:color="auto"/>
        <w:bottom w:val="none" w:sz="0" w:space="0" w:color="auto"/>
        <w:right w:val="none" w:sz="0" w:space="0" w:color="auto"/>
      </w:divBdr>
    </w:div>
    <w:div w:id="490826768">
      <w:bodyDiv w:val="1"/>
      <w:marLeft w:val="0"/>
      <w:marRight w:val="0"/>
      <w:marTop w:val="0"/>
      <w:marBottom w:val="0"/>
      <w:divBdr>
        <w:top w:val="none" w:sz="0" w:space="0" w:color="auto"/>
        <w:left w:val="none" w:sz="0" w:space="0" w:color="auto"/>
        <w:bottom w:val="none" w:sz="0" w:space="0" w:color="auto"/>
        <w:right w:val="none" w:sz="0" w:space="0" w:color="auto"/>
      </w:divBdr>
    </w:div>
    <w:div w:id="493573405">
      <w:bodyDiv w:val="1"/>
      <w:marLeft w:val="0"/>
      <w:marRight w:val="0"/>
      <w:marTop w:val="0"/>
      <w:marBottom w:val="0"/>
      <w:divBdr>
        <w:top w:val="none" w:sz="0" w:space="0" w:color="auto"/>
        <w:left w:val="none" w:sz="0" w:space="0" w:color="auto"/>
        <w:bottom w:val="none" w:sz="0" w:space="0" w:color="auto"/>
        <w:right w:val="none" w:sz="0" w:space="0" w:color="auto"/>
      </w:divBdr>
    </w:div>
    <w:div w:id="494806973">
      <w:bodyDiv w:val="1"/>
      <w:marLeft w:val="0"/>
      <w:marRight w:val="0"/>
      <w:marTop w:val="0"/>
      <w:marBottom w:val="0"/>
      <w:divBdr>
        <w:top w:val="none" w:sz="0" w:space="0" w:color="auto"/>
        <w:left w:val="none" w:sz="0" w:space="0" w:color="auto"/>
        <w:bottom w:val="none" w:sz="0" w:space="0" w:color="auto"/>
        <w:right w:val="none" w:sz="0" w:space="0" w:color="auto"/>
      </w:divBdr>
    </w:div>
    <w:div w:id="494954778">
      <w:bodyDiv w:val="1"/>
      <w:marLeft w:val="0"/>
      <w:marRight w:val="0"/>
      <w:marTop w:val="0"/>
      <w:marBottom w:val="0"/>
      <w:divBdr>
        <w:top w:val="none" w:sz="0" w:space="0" w:color="auto"/>
        <w:left w:val="none" w:sz="0" w:space="0" w:color="auto"/>
        <w:bottom w:val="none" w:sz="0" w:space="0" w:color="auto"/>
        <w:right w:val="none" w:sz="0" w:space="0" w:color="auto"/>
      </w:divBdr>
    </w:div>
    <w:div w:id="497615786">
      <w:bodyDiv w:val="1"/>
      <w:marLeft w:val="0"/>
      <w:marRight w:val="0"/>
      <w:marTop w:val="0"/>
      <w:marBottom w:val="0"/>
      <w:divBdr>
        <w:top w:val="none" w:sz="0" w:space="0" w:color="auto"/>
        <w:left w:val="none" w:sz="0" w:space="0" w:color="auto"/>
        <w:bottom w:val="none" w:sz="0" w:space="0" w:color="auto"/>
        <w:right w:val="none" w:sz="0" w:space="0" w:color="auto"/>
      </w:divBdr>
    </w:div>
    <w:div w:id="499463270">
      <w:bodyDiv w:val="1"/>
      <w:marLeft w:val="0"/>
      <w:marRight w:val="0"/>
      <w:marTop w:val="0"/>
      <w:marBottom w:val="0"/>
      <w:divBdr>
        <w:top w:val="none" w:sz="0" w:space="0" w:color="auto"/>
        <w:left w:val="none" w:sz="0" w:space="0" w:color="auto"/>
        <w:bottom w:val="none" w:sz="0" w:space="0" w:color="auto"/>
        <w:right w:val="none" w:sz="0" w:space="0" w:color="auto"/>
      </w:divBdr>
    </w:div>
    <w:div w:id="500585925">
      <w:bodyDiv w:val="1"/>
      <w:marLeft w:val="0"/>
      <w:marRight w:val="0"/>
      <w:marTop w:val="0"/>
      <w:marBottom w:val="0"/>
      <w:divBdr>
        <w:top w:val="none" w:sz="0" w:space="0" w:color="auto"/>
        <w:left w:val="none" w:sz="0" w:space="0" w:color="auto"/>
        <w:bottom w:val="none" w:sz="0" w:space="0" w:color="auto"/>
        <w:right w:val="none" w:sz="0" w:space="0" w:color="auto"/>
      </w:divBdr>
    </w:div>
    <w:div w:id="501089899">
      <w:bodyDiv w:val="1"/>
      <w:marLeft w:val="0"/>
      <w:marRight w:val="0"/>
      <w:marTop w:val="0"/>
      <w:marBottom w:val="0"/>
      <w:divBdr>
        <w:top w:val="none" w:sz="0" w:space="0" w:color="auto"/>
        <w:left w:val="none" w:sz="0" w:space="0" w:color="auto"/>
        <w:bottom w:val="none" w:sz="0" w:space="0" w:color="auto"/>
        <w:right w:val="none" w:sz="0" w:space="0" w:color="auto"/>
      </w:divBdr>
    </w:div>
    <w:div w:id="503058549">
      <w:bodyDiv w:val="1"/>
      <w:marLeft w:val="0"/>
      <w:marRight w:val="0"/>
      <w:marTop w:val="0"/>
      <w:marBottom w:val="0"/>
      <w:divBdr>
        <w:top w:val="none" w:sz="0" w:space="0" w:color="auto"/>
        <w:left w:val="none" w:sz="0" w:space="0" w:color="auto"/>
        <w:bottom w:val="none" w:sz="0" w:space="0" w:color="auto"/>
        <w:right w:val="none" w:sz="0" w:space="0" w:color="auto"/>
      </w:divBdr>
    </w:div>
    <w:div w:id="506946020">
      <w:bodyDiv w:val="1"/>
      <w:marLeft w:val="0"/>
      <w:marRight w:val="0"/>
      <w:marTop w:val="0"/>
      <w:marBottom w:val="0"/>
      <w:divBdr>
        <w:top w:val="none" w:sz="0" w:space="0" w:color="auto"/>
        <w:left w:val="none" w:sz="0" w:space="0" w:color="auto"/>
        <w:bottom w:val="none" w:sz="0" w:space="0" w:color="auto"/>
        <w:right w:val="none" w:sz="0" w:space="0" w:color="auto"/>
      </w:divBdr>
    </w:div>
    <w:div w:id="508100782">
      <w:bodyDiv w:val="1"/>
      <w:marLeft w:val="0"/>
      <w:marRight w:val="0"/>
      <w:marTop w:val="0"/>
      <w:marBottom w:val="0"/>
      <w:divBdr>
        <w:top w:val="none" w:sz="0" w:space="0" w:color="auto"/>
        <w:left w:val="none" w:sz="0" w:space="0" w:color="auto"/>
        <w:bottom w:val="none" w:sz="0" w:space="0" w:color="auto"/>
        <w:right w:val="none" w:sz="0" w:space="0" w:color="auto"/>
      </w:divBdr>
    </w:div>
    <w:div w:id="508328279">
      <w:bodyDiv w:val="1"/>
      <w:marLeft w:val="0"/>
      <w:marRight w:val="0"/>
      <w:marTop w:val="0"/>
      <w:marBottom w:val="0"/>
      <w:divBdr>
        <w:top w:val="none" w:sz="0" w:space="0" w:color="auto"/>
        <w:left w:val="none" w:sz="0" w:space="0" w:color="auto"/>
        <w:bottom w:val="none" w:sz="0" w:space="0" w:color="auto"/>
        <w:right w:val="none" w:sz="0" w:space="0" w:color="auto"/>
      </w:divBdr>
    </w:div>
    <w:div w:id="508984029">
      <w:bodyDiv w:val="1"/>
      <w:marLeft w:val="0"/>
      <w:marRight w:val="0"/>
      <w:marTop w:val="0"/>
      <w:marBottom w:val="0"/>
      <w:divBdr>
        <w:top w:val="none" w:sz="0" w:space="0" w:color="auto"/>
        <w:left w:val="none" w:sz="0" w:space="0" w:color="auto"/>
        <w:bottom w:val="none" w:sz="0" w:space="0" w:color="auto"/>
        <w:right w:val="none" w:sz="0" w:space="0" w:color="auto"/>
      </w:divBdr>
    </w:div>
    <w:div w:id="509833102">
      <w:bodyDiv w:val="1"/>
      <w:marLeft w:val="0"/>
      <w:marRight w:val="0"/>
      <w:marTop w:val="0"/>
      <w:marBottom w:val="0"/>
      <w:divBdr>
        <w:top w:val="none" w:sz="0" w:space="0" w:color="auto"/>
        <w:left w:val="none" w:sz="0" w:space="0" w:color="auto"/>
        <w:bottom w:val="none" w:sz="0" w:space="0" w:color="auto"/>
        <w:right w:val="none" w:sz="0" w:space="0" w:color="auto"/>
      </w:divBdr>
    </w:div>
    <w:div w:id="509955863">
      <w:bodyDiv w:val="1"/>
      <w:marLeft w:val="0"/>
      <w:marRight w:val="0"/>
      <w:marTop w:val="0"/>
      <w:marBottom w:val="0"/>
      <w:divBdr>
        <w:top w:val="none" w:sz="0" w:space="0" w:color="auto"/>
        <w:left w:val="none" w:sz="0" w:space="0" w:color="auto"/>
        <w:bottom w:val="none" w:sz="0" w:space="0" w:color="auto"/>
        <w:right w:val="none" w:sz="0" w:space="0" w:color="auto"/>
      </w:divBdr>
    </w:div>
    <w:div w:id="512183849">
      <w:bodyDiv w:val="1"/>
      <w:marLeft w:val="0"/>
      <w:marRight w:val="0"/>
      <w:marTop w:val="0"/>
      <w:marBottom w:val="0"/>
      <w:divBdr>
        <w:top w:val="none" w:sz="0" w:space="0" w:color="auto"/>
        <w:left w:val="none" w:sz="0" w:space="0" w:color="auto"/>
        <w:bottom w:val="none" w:sz="0" w:space="0" w:color="auto"/>
        <w:right w:val="none" w:sz="0" w:space="0" w:color="auto"/>
      </w:divBdr>
    </w:div>
    <w:div w:id="513232917">
      <w:bodyDiv w:val="1"/>
      <w:marLeft w:val="0"/>
      <w:marRight w:val="0"/>
      <w:marTop w:val="0"/>
      <w:marBottom w:val="0"/>
      <w:divBdr>
        <w:top w:val="none" w:sz="0" w:space="0" w:color="auto"/>
        <w:left w:val="none" w:sz="0" w:space="0" w:color="auto"/>
        <w:bottom w:val="none" w:sz="0" w:space="0" w:color="auto"/>
        <w:right w:val="none" w:sz="0" w:space="0" w:color="auto"/>
      </w:divBdr>
    </w:div>
    <w:div w:id="513765970">
      <w:bodyDiv w:val="1"/>
      <w:marLeft w:val="0"/>
      <w:marRight w:val="0"/>
      <w:marTop w:val="0"/>
      <w:marBottom w:val="0"/>
      <w:divBdr>
        <w:top w:val="none" w:sz="0" w:space="0" w:color="auto"/>
        <w:left w:val="none" w:sz="0" w:space="0" w:color="auto"/>
        <w:bottom w:val="none" w:sz="0" w:space="0" w:color="auto"/>
        <w:right w:val="none" w:sz="0" w:space="0" w:color="auto"/>
      </w:divBdr>
    </w:div>
    <w:div w:id="514348513">
      <w:bodyDiv w:val="1"/>
      <w:marLeft w:val="0"/>
      <w:marRight w:val="0"/>
      <w:marTop w:val="0"/>
      <w:marBottom w:val="0"/>
      <w:divBdr>
        <w:top w:val="none" w:sz="0" w:space="0" w:color="auto"/>
        <w:left w:val="none" w:sz="0" w:space="0" w:color="auto"/>
        <w:bottom w:val="none" w:sz="0" w:space="0" w:color="auto"/>
        <w:right w:val="none" w:sz="0" w:space="0" w:color="auto"/>
      </w:divBdr>
    </w:div>
    <w:div w:id="514612092">
      <w:bodyDiv w:val="1"/>
      <w:marLeft w:val="0"/>
      <w:marRight w:val="0"/>
      <w:marTop w:val="0"/>
      <w:marBottom w:val="0"/>
      <w:divBdr>
        <w:top w:val="none" w:sz="0" w:space="0" w:color="auto"/>
        <w:left w:val="none" w:sz="0" w:space="0" w:color="auto"/>
        <w:bottom w:val="none" w:sz="0" w:space="0" w:color="auto"/>
        <w:right w:val="none" w:sz="0" w:space="0" w:color="auto"/>
      </w:divBdr>
    </w:div>
    <w:div w:id="517349461">
      <w:bodyDiv w:val="1"/>
      <w:marLeft w:val="0"/>
      <w:marRight w:val="0"/>
      <w:marTop w:val="0"/>
      <w:marBottom w:val="0"/>
      <w:divBdr>
        <w:top w:val="none" w:sz="0" w:space="0" w:color="auto"/>
        <w:left w:val="none" w:sz="0" w:space="0" w:color="auto"/>
        <w:bottom w:val="none" w:sz="0" w:space="0" w:color="auto"/>
        <w:right w:val="none" w:sz="0" w:space="0" w:color="auto"/>
      </w:divBdr>
    </w:div>
    <w:div w:id="517698584">
      <w:bodyDiv w:val="1"/>
      <w:marLeft w:val="0"/>
      <w:marRight w:val="0"/>
      <w:marTop w:val="0"/>
      <w:marBottom w:val="0"/>
      <w:divBdr>
        <w:top w:val="none" w:sz="0" w:space="0" w:color="auto"/>
        <w:left w:val="none" w:sz="0" w:space="0" w:color="auto"/>
        <w:bottom w:val="none" w:sz="0" w:space="0" w:color="auto"/>
        <w:right w:val="none" w:sz="0" w:space="0" w:color="auto"/>
      </w:divBdr>
    </w:div>
    <w:div w:id="519244157">
      <w:bodyDiv w:val="1"/>
      <w:marLeft w:val="0"/>
      <w:marRight w:val="0"/>
      <w:marTop w:val="0"/>
      <w:marBottom w:val="0"/>
      <w:divBdr>
        <w:top w:val="none" w:sz="0" w:space="0" w:color="auto"/>
        <w:left w:val="none" w:sz="0" w:space="0" w:color="auto"/>
        <w:bottom w:val="none" w:sz="0" w:space="0" w:color="auto"/>
        <w:right w:val="none" w:sz="0" w:space="0" w:color="auto"/>
      </w:divBdr>
    </w:div>
    <w:div w:id="519708232">
      <w:bodyDiv w:val="1"/>
      <w:marLeft w:val="0"/>
      <w:marRight w:val="0"/>
      <w:marTop w:val="0"/>
      <w:marBottom w:val="0"/>
      <w:divBdr>
        <w:top w:val="none" w:sz="0" w:space="0" w:color="auto"/>
        <w:left w:val="none" w:sz="0" w:space="0" w:color="auto"/>
        <w:bottom w:val="none" w:sz="0" w:space="0" w:color="auto"/>
        <w:right w:val="none" w:sz="0" w:space="0" w:color="auto"/>
      </w:divBdr>
    </w:div>
    <w:div w:id="521435833">
      <w:bodyDiv w:val="1"/>
      <w:marLeft w:val="0"/>
      <w:marRight w:val="0"/>
      <w:marTop w:val="0"/>
      <w:marBottom w:val="0"/>
      <w:divBdr>
        <w:top w:val="none" w:sz="0" w:space="0" w:color="auto"/>
        <w:left w:val="none" w:sz="0" w:space="0" w:color="auto"/>
        <w:bottom w:val="none" w:sz="0" w:space="0" w:color="auto"/>
        <w:right w:val="none" w:sz="0" w:space="0" w:color="auto"/>
      </w:divBdr>
    </w:div>
    <w:div w:id="522793324">
      <w:bodyDiv w:val="1"/>
      <w:marLeft w:val="0"/>
      <w:marRight w:val="0"/>
      <w:marTop w:val="0"/>
      <w:marBottom w:val="0"/>
      <w:divBdr>
        <w:top w:val="none" w:sz="0" w:space="0" w:color="auto"/>
        <w:left w:val="none" w:sz="0" w:space="0" w:color="auto"/>
        <w:bottom w:val="none" w:sz="0" w:space="0" w:color="auto"/>
        <w:right w:val="none" w:sz="0" w:space="0" w:color="auto"/>
      </w:divBdr>
    </w:div>
    <w:div w:id="523441544">
      <w:bodyDiv w:val="1"/>
      <w:marLeft w:val="0"/>
      <w:marRight w:val="0"/>
      <w:marTop w:val="0"/>
      <w:marBottom w:val="0"/>
      <w:divBdr>
        <w:top w:val="none" w:sz="0" w:space="0" w:color="auto"/>
        <w:left w:val="none" w:sz="0" w:space="0" w:color="auto"/>
        <w:bottom w:val="none" w:sz="0" w:space="0" w:color="auto"/>
        <w:right w:val="none" w:sz="0" w:space="0" w:color="auto"/>
      </w:divBdr>
    </w:div>
    <w:div w:id="523589920">
      <w:bodyDiv w:val="1"/>
      <w:marLeft w:val="0"/>
      <w:marRight w:val="0"/>
      <w:marTop w:val="0"/>
      <w:marBottom w:val="0"/>
      <w:divBdr>
        <w:top w:val="none" w:sz="0" w:space="0" w:color="auto"/>
        <w:left w:val="none" w:sz="0" w:space="0" w:color="auto"/>
        <w:bottom w:val="none" w:sz="0" w:space="0" w:color="auto"/>
        <w:right w:val="none" w:sz="0" w:space="0" w:color="auto"/>
      </w:divBdr>
    </w:div>
    <w:div w:id="526909730">
      <w:bodyDiv w:val="1"/>
      <w:marLeft w:val="0"/>
      <w:marRight w:val="0"/>
      <w:marTop w:val="0"/>
      <w:marBottom w:val="0"/>
      <w:divBdr>
        <w:top w:val="none" w:sz="0" w:space="0" w:color="auto"/>
        <w:left w:val="none" w:sz="0" w:space="0" w:color="auto"/>
        <w:bottom w:val="none" w:sz="0" w:space="0" w:color="auto"/>
        <w:right w:val="none" w:sz="0" w:space="0" w:color="auto"/>
      </w:divBdr>
    </w:div>
    <w:div w:id="527256019">
      <w:bodyDiv w:val="1"/>
      <w:marLeft w:val="0"/>
      <w:marRight w:val="0"/>
      <w:marTop w:val="0"/>
      <w:marBottom w:val="0"/>
      <w:divBdr>
        <w:top w:val="none" w:sz="0" w:space="0" w:color="auto"/>
        <w:left w:val="none" w:sz="0" w:space="0" w:color="auto"/>
        <w:bottom w:val="none" w:sz="0" w:space="0" w:color="auto"/>
        <w:right w:val="none" w:sz="0" w:space="0" w:color="auto"/>
      </w:divBdr>
    </w:div>
    <w:div w:id="528299427">
      <w:bodyDiv w:val="1"/>
      <w:marLeft w:val="0"/>
      <w:marRight w:val="0"/>
      <w:marTop w:val="0"/>
      <w:marBottom w:val="0"/>
      <w:divBdr>
        <w:top w:val="none" w:sz="0" w:space="0" w:color="auto"/>
        <w:left w:val="none" w:sz="0" w:space="0" w:color="auto"/>
        <w:bottom w:val="none" w:sz="0" w:space="0" w:color="auto"/>
        <w:right w:val="none" w:sz="0" w:space="0" w:color="auto"/>
      </w:divBdr>
    </w:div>
    <w:div w:id="529608161">
      <w:bodyDiv w:val="1"/>
      <w:marLeft w:val="0"/>
      <w:marRight w:val="0"/>
      <w:marTop w:val="0"/>
      <w:marBottom w:val="0"/>
      <w:divBdr>
        <w:top w:val="none" w:sz="0" w:space="0" w:color="auto"/>
        <w:left w:val="none" w:sz="0" w:space="0" w:color="auto"/>
        <w:bottom w:val="none" w:sz="0" w:space="0" w:color="auto"/>
        <w:right w:val="none" w:sz="0" w:space="0" w:color="auto"/>
      </w:divBdr>
    </w:div>
    <w:div w:id="533202436">
      <w:bodyDiv w:val="1"/>
      <w:marLeft w:val="0"/>
      <w:marRight w:val="0"/>
      <w:marTop w:val="0"/>
      <w:marBottom w:val="0"/>
      <w:divBdr>
        <w:top w:val="none" w:sz="0" w:space="0" w:color="auto"/>
        <w:left w:val="none" w:sz="0" w:space="0" w:color="auto"/>
        <w:bottom w:val="none" w:sz="0" w:space="0" w:color="auto"/>
        <w:right w:val="none" w:sz="0" w:space="0" w:color="auto"/>
      </w:divBdr>
    </w:div>
    <w:div w:id="536623275">
      <w:bodyDiv w:val="1"/>
      <w:marLeft w:val="0"/>
      <w:marRight w:val="0"/>
      <w:marTop w:val="0"/>
      <w:marBottom w:val="0"/>
      <w:divBdr>
        <w:top w:val="none" w:sz="0" w:space="0" w:color="auto"/>
        <w:left w:val="none" w:sz="0" w:space="0" w:color="auto"/>
        <w:bottom w:val="none" w:sz="0" w:space="0" w:color="auto"/>
        <w:right w:val="none" w:sz="0" w:space="0" w:color="auto"/>
      </w:divBdr>
    </w:div>
    <w:div w:id="536894525">
      <w:bodyDiv w:val="1"/>
      <w:marLeft w:val="0"/>
      <w:marRight w:val="0"/>
      <w:marTop w:val="0"/>
      <w:marBottom w:val="0"/>
      <w:divBdr>
        <w:top w:val="none" w:sz="0" w:space="0" w:color="auto"/>
        <w:left w:val="none" w:sz="0" w:space="0" w:color="auto"/>
        <w:bottom w:val="none" w:sz="0" w:space="0" w:color="auto"/>
        <w:right w:val="none" w:sz="0" w:space="0" w:color="auto"/>
      </w:divBdr>
    </w:div>
    <w:div w:id="537593664">
      <w:bodyDiv w:val="1"/>
      <w:marLeft w:val="0"/>
      <w:marRight w:val="0"/>
      <w:marTop w:val="0"/>
      <w:marBottom w:val="0"/>
      <w:divBdr>
        <w:top w:val="none" w:sz="0" w:space="0" w:color="auto"/>
        <w:left w:val="none" w:sz="0" w:space="0" w:color="auto"/>
        <w:bottom w:val="none" w:sz="0" w:space="0" w:color="auto"/>
        <w:right w:val="none" w:sz="0" w:space="0" w:color="auto"/>
      </w:divBdr>
    </w:div>
    <w:div w:id="541018773">
      <w:bodyDiv w:val="1"/>
      <w:marLeft w:val="0"/>
      <w:marRight w:val="0"/>
      <w:marTop w:val="0"/>
      <w:marBottom w:val="0"/>
      <w:divBdr>
        <w:top w:val="none" w:sz="0" w:space="0" w:color="auto"/>
        <w:left w:val="none" w:sz="0" w:space="0" w:color="auto"/>
        <w:bottom w:val="none" w:sz="0" w:space="0" w:color="auto"/>
        <w:right w:val="none" w:sz="0" w:space="0" w:color="auto"/>
      </w:divBdr>
    </w:div>
    <w:div w:id="542719396">
      <w:bodyDiv w:val="1"/>
      <w:marLeft w:val="0"/>
      <w:marRight w:val="0"/>
      <w:marTop w:val="0"/>
      <w:marBottom w:val="0"/>
      <w:divBdr>
        <w:top w:val="none" w:sz="0" w:space="0" w:color="auto"/>
        <w:left w:val="none" w:sz="0" w:space="0" w:color="auto"/>
        <w:bottom w:val="none" w:sz="0" w:space="0" w:color="auto"/>
        <w:right w:val="none" w:sz="0" w:space="0" w:color="auto"/>
      </w:divBdr>
    </w:div>
    <w:div w:id="543715743">
      <w:bodyDiv w:val="1"/>
      <w:marLeft w:val="0"/>
      <w:marRight w:val="0"/>
      <w:marTop w:val="0"/>
      <w:marBottom w:val="0"/>
      <w:divBdr>
        <w:top w:val="none" w:sz="0" w:space="0" w:color="auto"/>
        <w:left w:val="none" w:sz="0" w:space="0" w:color="auto"/>
        <w:bottom w:val="none" w:sz="0" w:space="0" w:color="auto"/>
        <w:right w:val="none" w:sz="0" w:space="0" w:color="auto"/>
      </w:divBdr>
    </w:div>
    <w:div w:id="545416209">
      <w:bodyDiv w:val="1"/>
      <w:marLeft w:val="0"/>
      <w:marRight w:val="0"/>
      <w:marTop w:val="0"/>
      <w:marBottom w:val="0"/>
      <w:divBdr>
        <w:top w:val="none" w:sz="0" w:space="0" w:color="auto"/>
        <w:left w:val="none" w:sz="0" w:space="0" w:color="auto"/>
        <w:bottom w:val="none" w:sz="0" w:space="0" w:color="auto"/>
        <w:right w:val="none" w:sz="0" w:space="0" w:color="auto"/>
      </w:divBdr>
    </w:div>
    <w:div w:id="549850098">
      <w:bodyDiv w:val="1"/>
      <w:marLeft w:val="0"/>
      <w:marRight w:val="0"/>
      <w:marTop w:val="0"/>
      <w:marBottom w:val="0"/>
      <w:divBdr>
        <w:top w:val="none" w:sz="0" w:space="0" w:color="auto"/>
        <w:left w:val="none" w:sz="0" w:space="0" w:color="auto"/>
        <w:bottom w:val="none" w:sz="0" w:space="0" w:color="auto"/>
        <w:right w:val="none" w:sz="0" w:space="0" w:color="auto"/>
      </w:divBdr>
    </w:div>
    <w:div w:id="552042309">
      <w:bodyDiv w:val="1"/>
      <w:marLeft w:val="0"/>
      <w:marRight w:val="0"/>
      <w:marTop w:val="0"/>
      <w:marBottom w:val="0"/>
      <w:divBdr>
        <w:top w:val="none" w:sz="0" w:space="0" w:color="auto"/>
        <w:left w:val="none" w:sz="0" w:space="0" w:color="auto"/>
        <w:bottom w:val="none" w:sz="0" w:space="0" w:color="auto"/>
        <w:right w:val="none" w:sz="0" w:space="0" w:color="auto"/>
      </w:divBdr>
    </w:div>
    <w:div w:id="552078029">
      <w:bodyDiv w:val="1"/>
      <w:marLeft w:val="0"/>
      <w:marRight w:val="0"/>
      <w:marTop w:val="0"/>
      <w:marBottom w:val="0"/>
      <w:divBdr>
        <w:top w:val="none" w:sz="0" w:space="0" w:color="auto"/>
        <w:left w:val="none" w:sz="0" w:space="0" w:color="auto"/>
        <w:bottom w:val="none" w:sz="0" w:space="0" w:color="auto"/>
        <w:right w:val="none" w:sz="0" w:space="0" w:color="auto"/>
      </w:divBdr>
    </w:div>
    <w:div w:id="552473404">
      <w:bodyDiv w:val="1"/>
      <w:marLeft w:val="0"/>
      <w:marRight w:val="0"/>
      <w:marTop w:val="0"/>
      <w:marBottom w:val="0"/>
      <w:divBdr>
        <w:top w:val="none" w:sz="0" w:space="0" w:color="auto"/>
        <w:left w:val="none" w:sz="0" w:space="0" w:color="auto"/>
        <w:bottom w:val="none" w:sz="0" w:space="0" w:color="auto"/>
        <w:right w:val="none" w:sz="0" w:space="0" w:color="auto"/>
      </w:divBdr>
    </w:div>
    <w:div w:id="557086927">
      <w:bodyDiv w:val="1"/>
      <w:marLeft w:val="0"/>
      <w:marRight w:val="0"/>
      <w:marTop w:val="0"/>
      <w:marBottom w:val="0"/>
      <w:divBdr>
        <w:top w:val="none" w:sz="0" w:space="0" w:color="auto"/>
        <w:left w:val="none" w:sz="0" w:space="0" w:color="auto"/>
        <w:bottom w:val="none" w:sz="0" w:space="0" w:color="auto"/>
        <w:right w:val="none" w:sz="0" w:space="0" w:color="auto"/>
      </w:divBdr>
    </w:div>
    <w:div w:id="557320921">
      <w:bodyDiv w:val="1"/>
      <w:marLeft w:val="0"/>
      <w:marRight w:val="0"/>
      <w:marTop w:val="0"/>
      <w:marBottom w:val="0"/>
      <w:divBdr>
        <w:top w:val="none" w:sz="0" w:space="0" w:color="auto"/>
        <w:left w:val="none" w:sz="0" w:space="0" w:color="auto"/>
        <w:bottom w:val="none" w:sz="0" w:space="0" w:color="auto"/>
        <w:right w:val="none" w:sz="0" w:space="0" w:color="auto"/>
      </w:divBdr>
    </w:div>
    <w:div w:id="557711951">
      <w:bodyDiv w:val="1"/>
      <w:marLeft w:val="0"/>
      <w:marRight w:val="0"/>
      <w:marTop w:val="0"/>
      <w:marBottom w:val="0"/>
      <w:divBdr>
        <w:top w:val="none" w:sz="0" w:space="0" w:color="auto"/>
        <w:left w:val="none" w:sz="0" w:space="0" w:color="auto"/>
        <w:bottom w:val="none" w:sz="0" w:space="0" w:color="auto"/>
        <w:right w:val="none" w:sz="0" w:space="0" w:color="auto"/>
      </w:divBdr>
    </w:div>
    <w:div w:id="558323363">
      <w:bodyDiv w:val="1"/>
      <w:marLeft w:val="0"/>
      <w:marRight w:val="0"/>
      <w:marTop w:val="0"/>
      <w:marBottom w:val="0"/>
      <w:divBdr>
        <w:top w:val="none" w:sz="0" w:space="0" w:color="auto"/>
        <w:left w:val="none" w:sz="0" w:space="0" w:color="auto"/>
        <w:bottom w:val="none" w:sz="0" w:space="0" w:color="auto"/>
        <w:right w:val="none" w:sz="0" w:space="0" w:color="auto"/>
      </w:divBdr>
    </w:div>
    <w:div w:id="558784087">
      <w:bodyDiv w:val="1"/>
      <w:marLeft w:val="0"/>
      <w:marRight w:val="0"/>
      <w:marTop w:val="0"/>
      <w:marBottom w:val="0"/>
      <w:divBdr>
        <w:top w:val="none" w:sz="0" w:space="0" w:color="auto"/>
        <w:left w:val="none" w:sz="0" w:space="0" w:color="auto"/>
        <w:bottom w:val="none" w:sz="0" w:space="0" w:color="auto"/>
        <w:right w:val="none" w:sz="0" w:space="0" w:color="auto"/>
      </w:divBdr>
    </w:div>
    <w:div w:id="559944121">
      <w:bodyDiv w:val="1"/>
      <w:marLeft w:val="0"/>
      <w:marRight w:val="0"/>
      <w:marTop w:val="0"/>
      <w:marBottom w:val="0"/>
      <w:divBdr>
        <w:top w:val="none" w:sz="0" w:space="0" w:color="auto"/>
        <w:left w:val="none" w:sz="0" w:space="0" w:color="auto"/>
        <w:bottom w:val="none" w:sz="0" w:space="0" w:color="auto"/>
        <w:right w:val="none" w:sz="0" w:space="0" w:color="auto"/>
      </w:divBdr>
    </w:div>
    <w:div w:id="560555895">
      <w:bodyDiv w:val="1"/>
      <w:marLeft w:val="0"/>
      <w:marRight w:val="0"/>
      <w:marTop w:val="0"/>
      <w:marBottom w:val="0"/>
      <w:divBdr>
        <w:top w:val="none" w:sz="0" w:space="0" w:color="auto"/>
        <w:left w:val="none" w:sz="0" w:space="0" w:color="auto"/>
        <w:bottom w:val="none" w:sz="0" w:space="0" w:color="auto"/>
        <w:right w:val="none" w:sz="0" w:space="0" w:color="auto"/>
      </w:divBdr>
    </w:div>
    <w:div w:id="560940826">
      <w:bodyDiv w:val="1"/>
      <w:marLeft w:val="0"/>
      <w:marRight w:val="0"/>
      <w:marTop w:val="0"/>
      <w:marBottom w:val="0"/>
      <w:divBdr>
        <w:top w:val="none" w:sz="0" w:space="0" w:color="auto"/>
        <w:left w:val="none" w:sz="0" w:space="0" w:color="auto"/>
        <w:bottom w:val="none" w:sz="0" w:space="0" w:color="auto"/>
        <w:right w:val="none" w:sz="0" w:space="0" w:color="auto"/>
      </w:divBdr>
    </w:div>
    <w:div w:id="560943733">
      <w:bodyDiv w:val="1"/>
      <w:marLeft w:val="0"/>
      <w:marRight w:val="0"/>
      <w:marTop w:val="0"/>
      <w:marBottom w:val="0"/>
      <w:divBdr>
        <w:top w:val="none" w:sz="0" w:space="0" w:color="auto"/>
        <w:left w:val="none" w:sz="0" w:space="0" w:color="auto"/>
        <w:bottom w:val="none" w:sz="0" w:space="0" w:color="auto"/>
        <w:right w:val="none" w:sz="0" w:space="0" w:color="auto"/>
      </w:divBdr>
    </w:div>
    <w:div w:id="561408522">
      <w:bodyDiv w:val="1"/>
      <w:marLeft w:val="0"/>
      <w:marRight w:val="0"/>
      <w:marTop w:val="0"/>
      <w:marBottom w:val="0"/>
      <w:divBdr>
        <w:top w:val="none" w:sz="0" w:space="0" w:color="auto"/>
        <w:left w:val="none" w:sz="0" w:space="0" w:color="auto"/>
        <w:bottom w:val="none" w:sz="0" w:space="0" w:color="auto"/>
        <w:right w:val="none" w:sz="0" w:space="0" w:color="auto"/>
      </w:divBdr>
    </w:div>
    <w:div w:id="561797032">
      <w:bodyDiv w:val="1"/>
      <w:marLeft w:val="0"/>
      <w:marRight w:val="0"/>
      <w:marTop w:val="0"/>
      <w:marBottom w:val="0"/>
      <w:divBdr>
        <w:top w:val="none" w:sz="0" w:space="0" w:color="auto"/>
        <w:left w:val="none" w:sz="0" w:space="0" w:color="auto"/>
        <w:bottom w:val="none" w:sz="0" w:space="0" w:color="auto"/>
        <w:right w:val="none" w:sz="0" w:space="0" w:color="auto"/>
      </w:divBdr>
    </w:div>
    <w:div w:id="561982958">
      <w:bodyDiv w:val="1"/>
      <w:marLeft w:val="0"/>
      <w:marRight w:val="0"/>
      <w:marTop w:val="0"/>
      <w:marBottom w:val="0"/>
      <w:divBdr>
        <w:top w:val="none" w:sz="0" w:space="0" w:color="auto"/>
        <w:left w:val="none" w:sz="0" w:space="0" w:color="auto"/>
        <w:bottom w:val="none" w:sz="0" w:space="0" w:color="auto"/>
        <w:right w:val="none" w:sz="0" w:space="0" w:color="auto"/>
      </w:divBdr>
    </w:div>
    <w:div w:id="561990350">
      <w:bodyDiv w:val="1"/>
      <w:marLeft w:val="0"/>
      <w:marRight w:val="0"/>
      <w:marTop w:val="0"/>
      <w:marBottom w:val="0"/>
      <w:divBdr>
        <w:top w:val="none" w:sz="0" w:space="0" w:color="auto"/>
        <w:left w:val="none" w:sz="0" w:space="0" w:color="auto"/>
        <w:bottom w:val="none" w:sz="0" w:space="0" w:color="auto"/>
        <w:right w:val="none" w:sz="0" w:space="0" w:color="auto"/>
      </w:divBdr>
    </w:div>
    <w:div w:id="562519354">
      <w:bodyDiv w:val="1"/>
      <w:marLeft w:val="0"/>
      <w:marRight w:val="0"/>
      <w:marTop w:val="0"/>
      <w:marBottom w:val="0"/>
      <w:divBdr>
        <w:top w:val="none" w:sz="0" w:space="0" w:color="auto"/>
        <w:left w:val="none" w:sz="0" w:space="0" w:color="auto"/>
        <w:bottom w:val="none" w:sz="0" w:space="0" w:color="auto"/>
        <w:right w:val="none" w:sz="0" w:space="0" w:color="auto"/>
      </w:divBdr>
    </w:div>
    <w:div w:id="562715219">
      <w:bodyDiv w:val="1"/>
      <w:marLeft w:val="0"/>
      <w:marRight w:val="0"/>
      <w:marTop w:val="0"/>
      <w:marBottom w:val="0"/>
      <w:divBdr>
        <w:top w:val="none" w:sz="0" w:space="0" w:color="auto"/>
        <w:left w:val="none" w:sz="0" w:space="0" w:color="auto"/>
        <w:bottom w:val="none" w:sz="0" w:space="0" w:color="auto"/>
        <w:right w:val="none" w:sz="0" w:space="0" w:color="auto"/>
      </w:divBdr>
    </w:div>
    <w:div w:id="564073637">
      <w:bodyDiv w:val="1"/>
      <w:marLeft w:val="0"/>
      <w:marRight w:val="0"/>
      <w:marTop w:val="0"/>
      <w:marBottom w:val="0"/>
      <w:divBdr>
        <w:top w:val="none" w:sz="0" w:space="0" w:color="auto"/>
        <w:left w:val="none" w:sz="0" w:space="0" w:color="auto"/>
        <w:bottom w:val="none" w:sz="0" w:space="0" w:color="auto"/>
        <w:right w:val="none" w:sz="0" w:space="0" w:color="auto"/>
      </w:divBdr>
    </w:div>
    <w:div w:id="564680072">
      <w:bodyDiv w:val="1"/>
      <w:marLeft w:val="0"/>
      <w:marRight w:val="0"/>
      <w:marTop w:val="0"/>
      <w:marBottom w:val="0"/>
      <w:divBdr>
        <w:top w:val="none" w:sz="0" w:space="0" w:color="auto"/>
        <w:left w:val="none" w:sz="0" w:space="0" w:color="auto"/>
        <w:bottom w:val="none" w:sz="0" w:space="0" w:color="auto"/>
        <w:right w:val="none" w:sz="0" w:space="0" w:color="auto"/>
      </w:divBdr>
    </w:div>
    <w:div w:id="564873567">
      <w:bodyDiv w:val="1"/>
      <w:marLeft w:val="0"/>
      <w:marRight w:val="0"/>
      <w:marTop w:val="0"/>
      <w:marBottom w:val="0"/>
      <w:divBdr>
        <w:top w:val="none" w:sz="0" w:space="0" w:color="auto"/>
        <w:left w:val="none" w:sz="0" w:space="0" w:color="auto"/>
        <w:bottom w:val="none" w:sz="0" w:space="0" w:color="auto"/>
        <w:right w:val="none" w:sz="0" w:space="0" w:color="auto"/>
      </w:divBdr>
    </w:div>
    <w:div w:id="566576129">
      <w:bodyDiv w:val="1"/>
      <w:marLeft w:val="0"/>
      <w:marRight w:val="0"/>
      <w:marTop w:val="0"/>
      <w:marBottom w:val="0"/>
      <w:divBdr>
        <w:top w:val="none" w:sz="0" w:space="0" w:color="auto"/>
        <w:left w:val="none" w:sz="0" w:space="0" w:color="auto"/>
        <w:bottom w:val="none" w:sz="0" w:space="0" w:color="auto"/>
        <w:right w:val="none" w:sz="0" w:space="0" w:color="auto"/>
      </w:divBdr>
    </w:div>
    <w:div w:id="567110599">
      <w:bodyDiv w:val="1"/>
      <w:marLeft w:val="0"/>
      <w:marRight w:val="0"/>
      <w:marTop w:val="0"/>
      <w:marBottom w:val="0"/>
      <w:divBdr>
        <w:top w:val="none" w:sz="0" w:space="0" w:color="auto"/>
        <w:left w:val="none" w:sz="0" w:space="0" w:color="auto"/>
        <w:bottom w:val="none" w:sz="0" w:space="0" w:color="auto"/>
        <w:right w:val="none" w:sz="0" w:space="0" w:color="auto"/>
      </w:divBdr>
    </w:div>
    <w:div w:id="570581618">
      <w:bodyDiv w:val="1"/>
      <w:marLeft w:val="0"/>
      <w:marRight w:val="0"/>
      <w:marTop w:val="0"/>
      <w:marBottom w:val="0"/>
      <w:divBdr>
        <w:top w:val="none" w:sz="0" w:space="0" w:color="auto"/>
        <w:left w:val="none" w:sz="0" w:space="0" w:color="auto"/>
        <w:bottom w:val="none" w:sz="0" w:space="0" w:color="auto"/>
        <w:right w:val="none" w:sz="0" w:space="0" w:color="auto"/>
      </w:divBdr>
    </w:div>
    <w:div w:id="573323561">
      <w:bodyDiv w:val="1"/>
      <w:marLeft w:val="0"/>
      <w:marRight w:val="0"/>
      <w:marTop w:val="0"/>
      <w:marBottom w:val="0"/>
      <w:divBdr>
        <w:top w:val="none" w:sz="0" w:space="0" w:color="auto"/>
        <w:left w:val="none" w:sz="0" w:space="0" w:color="auto"/>
        <w:bottom w:val="none" w:sz="0" w:space="0" w:color="auto"/>
        <w:right w:val="none" w:sz="0" w:space="0" w:color="auto"/>
      </w:divBdr>
    </w:div>
    <w:div w:id="573785724">
      <w:bodyDiv w:val="1"/>
      <w:marLeft w:val="0"/>
      <w:marRight w:val="0"/>
      <w:marTop w:val="0"/>
      <w:marBottom w:val="0"/>
      <w:divBdr>
        <w:top w:val="none" w:sz="0" w:space="0" w:color="auto"/>
        <w:left w:val="none" w:sz="0" w:space="0" w:color="auto"/>
        <w:bottom w:val="none" w:sz="0" w:space="0" w:color="auto"/>
        <w:right w:val="none" w:sz="0" w:space="0" w:color="auto"/>
      </w:divBdr>
      <w:divsChild>
        <w:div w:id="659650457">
          <w:marLeft w:val="0"/>
          <w:marRight w:val="0"/>
          <w:marTop w:val="0"/>
          <w:marBottom w:val="0"/>
          <w:divBdr>
            <w:top w:val="none" w:sz="0" w:space="0" w:color="auto"/>
            <w:left w:val="none" w:sz="0" w:space="0" w:color="auto"/>
            <w:bottom w:val="none" w:sz="0" w:space="0" w:color="auto"/>
            <w:right w:val="none" w:sz="0" w:space="0" w:color="auto"/>
          </w:divBdr>
          <w:divsChild>
            <w:div w:id="1632514249">
              <w:marLeft w:val="0"/>
              <w:marRight w:val="0"/>
              <w:marTop w:val="30"/>
              <w:marBottom w:val="30"/>
              <w:divBdr>
                <w:top w:val="none" w:sz="0" w:space="0" w:color="auto"/>
                <w:left w:val="none" w:sz="0" w:space="0" w:color="auto"/>
                <w:bottom w:val="none" w:sz="0" w:space="0" w:color="auto"/>
                <w:right w:val="none" w:sz="0" w:space="0" w:color="auto"/>
              </w:divBdr>
              <w:divsChild>
                <w:div w:id="8530041">
                  <w:marLeft w:val="0"/>
                  <w:marRight w:val="0"/>
                  <w:marTop w:val="0"/>
                  <w:marBottom w:val="0"/>
                  <w:divBdr>
                    <w:top w:val="none" w:sz="0" w:space="0" w:color="auto"/>
                    <w:left w:val="none" w:sz="0" w:space="0" w:color="auto"/>
                    <w:bottom w:val="none" w:sz="0" w:space="0" w:color="auto"/>
                    <w:right w:val="none" w:sz="0" w:space="0" w:color="auto"/>
                  </w:divBdr>
                  <w:divsChild>
                    <w:div w:id="819271498">
                      <w:marLeft w:val="0"/>
                      <w:marRight w:val="0"/>
                      <w:marTop w:val="0"/>
                      <w:marBottom w:val="0"/>
                      <w:divBdr>
                        <w:top w:val="none" w:sz="0" w:space="0" w:color="auto"/>
                        <w:left w:val="none" w:sz="0" w:space="0" w:color="auto"/>
                        <w:bottom w:val="none" w:sz="0" w:space="0" w:color="auto"/>
                        <w:right w:val="none" w:sz="0" w:space="0" w:color="auto"/>
                      </w:divBdr>
                    </w:div>
                  </w:divsChild>
                </w:div>
                <w:div w:id="8678438">
                  <w:marLeft w:val="0"/>
                  <w:marRight w:val="0"/>
                  <w:marTop w:val="0"/>
                  <w:marBottom w:val="0"/>
                  <w:divBdr>
                    <w:top w:val="none" w:sz="0" w:space="0" w:color="auto"/>
                    <w:left w:val="none" w:sz="0" w:space="0" w:color="auto"/>
                    <w:bottom w:val="none" w:sz="0" w:space="0" w:color="auto"/>
                    <w:right w:val="none" w:sz="0" w:space="0" w:color="auto"/>
                  </w:divBdr>
                  <w:divsChild>
                    <w:div w:id="897397783">
                      <w:marLeft w:val="0"/>
                      <w:marRight w:val="0"/>
                      <w:marTop w:val="0"/>
                      <w:marBottom w:val="0"/>
                      <w:divBdr>
                        <w:top w:val="none" w:sz="0" w:space="0" w:color="auto"/>
                        <w:left w:val="none" w:sz="0" w:space="0" w:color="auto"/>
                        <w:bottom w:val="none" w:sz="0" w:space="0" w:color="auto"/>
                        <w:right w:val="none" w:sz="0" w:space="0" w:color="auto"/>
                      </w:divBdr>
                    </w:div>
                  </w:divsChild>
                </w:div>
                <w:div w:id="12610990">
                  <w:marLeft w:val="0"/>
                  <w:marRight w:val="0"/>
                  <w:marTop w:val="0"/>
                  <w:marBottom w:val="0"/>
                  <w:divBdr>
                    <w:top w:val="none" w:sz="0" w:space="0" w:color="auto"/>
                    <w:left w:val="none" w:sz="0" w:space="0" w:color="auto"/>
                    <w:bottom w:val="none" w:sz="0" w:space="0" w:color="auto"/>
                    <w:right w:val="none" w:sz="0" w:space="0" w:color="auto"/>
                  </w:divBdr>
                  <w:divsChild>
                    <w:div w:id="44136083">
                      <w:marLeft w:val="0"/>
                      <w:marRight w:val="0"/>
                      <w:marTop w:val="0"/>
                      <w:marBottom w:val="0"/>
                      <w:divBdr>
                        <w:top w:val="none" w:sz="0" w:space="0" w:color="auto"/>
                        <w:left w:val="none" w:sz="0" w:space="0" w:color="auto"/>
                        <w:bottom w:val="none" w:sz="0" w:space="0" w:color="auto"/>
                        <w:right w:val="none" w:sz="0" w:space="0" w:color="auto"/>
                      </w:divBdr>
                    </w:div>
                  </w:divsChild>
                </w:div>
                <w:div w:id="15499263">
                  <w:marLeft w:val="0"/>
                  <w:marRight w:val="0"/>
                  <w:marTop w:val="0"/>
                  <w:marBottom w:val="0"/>
                  <w:divBdr>
                    <w:top w:val="none" w:sz="0" w:space="0" w:color="auto"/>
                    <w:left w:val="none" w:sz="0" w:space="0" w:color="auto"/>
                    <w:bottom w:val="none" w:sz="0" w:space="0" w:color="auto"/>
                    <w:right w:val="none" w:sz="0" w:space="0" w:color="auto"/>
                  </w:divBdr>
                  <w:divsChild>
                    <w:div w:id="1558005538">
                      <w:marLeft w:val="0"/>
                      <w:marRight w:val="0"/>
                      <w:marTop w:val="0"/>
                      <w:marBottom w:val="0"/>
                      <w:divBdr>
                        <w:top w:val="none" w:sz="0" w:space="0" w:color="auto"/>
                        <w:left w:val="none" w:sz="0" w:space="0" w:color="auto"/>
                        <w:bottom w:val="none" w:sz="0" w:space="0" w:color="auto"/>
                        <w:right w:val="none" w:sz="0" w:space="0" w:color="auto"/>
                      </w:divBdr>
                    </w:div>
                  </w:divsChild>
                </w:div>
                <w:div w:id="20132940">
                  <w:marLeft w:val="0"/>
                  <w:marRight w:val="0"/>
                  <w:marTop w:val="0"/>
                  <w:marBottom w:val="0"/>
                  <w:divBdr>
                    <w:top w:val="none" w:sz="0" w:space="0" w:color="auto"/>
                    <w:left w:val="none" w:sz="0" w:space="0" w:color="auto"/>
                    <w:bottom w:val="none" w:sz="0" w:space="0" w:color="auto"/>
                    <w:right w:val="none" w:sz="0" w:space="0" w:color="auto"/>
                  </w:divBdr>
                  <w:divsChild>
                    <w:div w:id="2087603075">
                      <w:marLeft w:val="0"/>
                      <w:marRight w:val="0"/>
                      <w:marTop w:val="0"/>
                      <w:marBottom w:val="0"/>
                      <w:divBdr>
                        <w:top w:val="none" w:sz="0" w:space="0" w:color="auto"/>
                        <w:left w:val="none" w:sz="0" w:space="0" w:color="auto"/>
                        <w:bottom w:val="none" w:sz="0" w:space="0" w:color="auto"/>
                        <w:right w:val="none" w:sz="0" w:space="0" w:color="auto"/>
                      </w:divBdr>
                    </w:div>
                  </w:divsChild>
                </w:div>
                <w:div w:id="25370597">
                  <w:marLeft w:val="0"/>
                  <w:marRight w:val="0"/>
                  <w:marTop w:val="0"/>
                  <w:marBottom w:val="0"/>
                  <w:divBdr>
                    <w:top w:val="none" w:sz="0" w:space="0" w:color="auto"/>
                    <w:left w:val="none" w:sz="0" w:space="0" w:color="auto"/>
                    <w:bottom w:val="none" w:sz="0" w:space="0" w:color="auto"/>
                    <w:right w:val="none" w:sz="0" w:space="0" w:color="auto"/>
                  </w:divBdr>
                  <w:divsChild>
                    <w:div w:id="1453089715">
                      <w:marLeft w:val="0"/>
                      <w:marRight w:val="0"/>
                      <w:marTop w:val="0"/>
                      <w:marBottom w:val="0"/>
                      <w:divBdr>
                        <w:top w:val="none" w:sz="0" w:space="0" w:color="auto"/>
                        <w:left w:val="none" w:sz="0" w:space="0" w:color="auto"/>
                        <w:bottom w:val="none" w:sz="0" w:space="0" w:color="auto"/>
                        <w:right w:val="none" w:sz="0" w:space="0" w:color="auto"/>
                      </w:divBdr>
                    </w:div>
                  </w:divsChild>
                </w:div>
                <w:div w:id="30225868">
                  <w:marLeft w:val="0"/>
                  <w:marRight w:val="0"/>
                  <w:marTop w:val="0"/>
                  <w:marBottom w:val="0"/>
                  <w:divBdr>
                    <w:top w:val="none" w:sz="0" w:space="0" w:color="auto"/>
                    <w:left w:val="none" w:sz="0" w:space="0" w:color="auto"/>
                    <w:bottom w:val="none" w:sz="0" w:space="0" w:color="auto"/>
                    <w:right w:val="none" w:sz="0" w:space="0" w:color="auto"/>
                  </w:divBdr>
                  <w:divsChild>
                    <w:div w:id="157038436">
                      <w:marLeft w:val="0"/>
                      <w:marRight w:val="0"/>
                      <w:marTop w:val="0"/>
                      <w:marBottom w:val="0"/>
                      <w:divBdr>
                        <w:top w:val="none" w:sz="0" w:space="0" w:color="auto"/>
                        <w:left w:val="none" w:sz="0" w:space="0" w:color="auto"/>
                        <w:bottom w:val="none" w:sz="0" w:space="0" w:color="auto"/>
                        <w:right w:val="none" w:sz="0" w:space="0" w:color="auto"/>
                      </w:divBdr>
                    </w:div>
                  </w:divsChild>
                </w:div>
                <w:div w:id="34472418">
                  <w:marLeft w:val="0"/>
                  <w:marRight w:val="0"/>
                  <w:marTop w:val="0"/>
                  <w:marBottom w:val="0"/>
                  <w:divBdr>
                    <w:top w:val="none" w:sz="0" w:space="0" w:color="auto"/>
                    <w:left w:val="none" w:sz="0" w:space="0" w:color="auto"/>
                    <w:bottom w:val="none" w:sz="0" w:space="0" w:color="auto"/>
                    <w:right w:val="none" w:sz="0" w:space="0" w:color="auto"/>
                  </w:divBdr>
                  <w:divsChild>
                    <w:div w:id="1419331382">
                      <w:marLeft w:val="0"/>
                      <w:marRight w:val="0"/>
                      <w:marTop w:val="0"/>
                      <w:marBottom w:val="0"/>
                      <w:divBdr>
                        <w:top w:val="none" w:sz="0" w:space="0" w:color="auto"/>
                        <w:left w:val="none" w:sz="0" w:space="0" w:color="auto"/>
                        <w:bottom w:val="none" w:sz="0" w:space="0" w:color="auto"/>
                        <w:right w:val="none" w:sz="0" w:space="0" w:color="auto"/>
                      </w:divBdr>
                    </w:div>
                  </w:divsChild>
                </w:div>
                <w:div w:id="35281519">
                  <w:marLeft w:val="0"/>
                  <w:marRight w:val="0"/>
                  <w:marTop w:val="0"/>
                  <w:marBottom w:val="0"/>
                  <w:divBdr>
                    <w:top w:val="none" w:sz="0" w:space="0" w:color="auto"/>
                    <w:left w:val="none" w:sz="0" w:space="0" w:color="auto"/>
                    <w:bottom w:val="none" w:sz="0" w:space="0" w:color="auto"/>
                    <w:right w:val="none" w:sz="0" w:space="0" w:color="auto"/>
                  </w:divBdr>
                  <w:divsChild>
                    <w:div w:id="1642226515">
                      <w:marLeft w:val="0"/>
                      <w:marRight w:val="0"/>
                      <w:marTop w:val="0"/>
                      <w:marBottom w:val="0"/>
                      <w:divBdr>
                        <w:top w:val="none" w:sz="0" w:space="0" w:color="auto"/>
                        <w:left w:val="none" w:sz="0" w:space="0" w:color="auto"/>
                        <w:bottom w:val="none" w:sz="0" w:space="0" w:color="auto"/>
                        <w:right w:val="none" w:sz="0" w:space="0" w:color="auto"/>
                      </w:divBdr>
                    </w:div>
                  </w:divsChild>
                </w:div>
                <w:div w:id="36587395">
                  <w:marLeft w:val="0"/>
                  <w:marRight w:val="0"/>
                  <w:marTop w:val="0"/>
                  <w:marBottom w:val="0"/>
                  <w:divBdr>
                    <w:top w:val="none" w:sz="0" w:space="0" w:color="auto"/>
                    <w:left w:val="none" w:sz="0" w:space="0" w:color="auto"/>
                    <w:bottom w:val="none" w:sz="0" w:space="0" w:color="auto"/>
                    <w:right w:val="none" w:sz="0" w:space="0" w:color="auto"/>
                  </w:divBdr>
                  <w:divsChild>
                    <w:div w:id="904221261">
                      <w:marLeft w:val="0"/>
                      <w:marRight w:val="0"/>
                      <w:marTop w:val="0"/>
                      <w:marBottom w:val="0"/>
                      <w:divBdr>
                        <w:top w:val="none" w:sz="0" w:space="0" w:color="auto"/>
                        <w:left w:val="none" w:sz="0" w:space="0" w:color="auto"/>
                        <w:bottom w:val="none" w:sz="0" w:space="0" w:color="auto"/>
                        <w:right w:val="none" w:sz="0" w:space="0" w:color="auto"/>
                      </w:divBdr>
                    </w:div>
                  </w:divsChild>
                </w:div>
                <w:div w:id="36663998">
                  <w:marLeft w:val="0"/>
                  <w:marRight w:val="0"/>
                  <w:marTop w:val="0"/>
                  <w:marBottom w:val="0"/>
                  <w:divBdr>
                    <w:top w:val="none" w:sz="0" w:space="0" w:color="auto"/>
                    <w:left w:val="none" w:sz="0" w:space="0" w:color="auto"/>
                    <w:bottom w:val="none" w:sz="0" w:space="0" w:color="auto"/>
                    <w:right w:val="none" w:sz="0" w:space="0" w:color="auto"/>
                  </w:divBdr>
                  <w:divsChild>
                    <w:div w:id="1666543757">
                      <w:marLeft w:val="0"/>
                      <w:marRight w:val="0"/>
                      <w:marTop w:val="0"/>
                      <w:marBottom w:val="0"/>
                      <w:divBdr>
                        <w:top w:val="none" w:sz="0" w:space="0" w:color="auto"/>
                        <w:left w:val="none" w:sz="0" w:space="0" w:color="auto"/>
                        <w:bottom w:val="none" w:sz="0" w:space="0" w:color="auto"/>
                        <w:right w:val="none" w:sz="0" w:space="0" w:color="auto"/>
                      </w:divBdr>
                    </w:div>
                  </w:divsChild>
                </w:div>
                <w:div w:id="37777280">
                  <w:marLeft w:val="0"/>
                  <w:marRight w:val="0"/>
                  <w:marTop w:val="0"/>
                  <w:marBottom w:val="0"/>
                  <w:divBdr>
                    <w:top w:val="none" w:sz="0" w:space="0" w:color="auto"/>
                    <w:left w:val="none" w:sz="0" w:space="0" w:color="auto"/>
                    <w:bottom w:val="none" w:sz="0" w:space="0" w:color="auto"/>
                    <w:right w:val="none" w:sz="0" w:space="0" w:color="auto"/>
                  </w:divBdr>
                  <w:divsChild>
                    <w:div w:id="156654762">
                      <w:marLeft w:val="0"/>
                      <w:marRight w:val="0"/>
                      <w:marTop w:val="0"/>
                      <w:marBottom w:val="0"/>
                      <w:divBdr>
                        <w:top w:val="none" w:sz="0" w:space="0" w:color="auto"/>
                        <w:left w:val="none" w:sz="0" w:space="0" w:color="auto"/>
                        <w:bottom w:val="none" w:sz="0" w:space="0" w:color="auto"/>
                        <w:right w:val="none" w:sz="0" w:space="0" w:color="auto"/>
                      </w:divBdr>
                    </w:div>
                  </w:divsChild>
                </w:div>
                <w:div w:id="39328367">
                  <w:marLeft w:val="0"/>
                  <w:marRight w:val="0"/>
                  <w:marTop w:val="0"/>
                  <w:marBottom w:val="0"/>
                  <w:divBdr>
                    <w:top w:val="none" w:sz="0" w:space="0" w:color="auto"/>
                    <w:left w:val="none" w:sz="0" w:space="0" w:color="auto"/>
                    <w:bottom w:val="none" w:sz="0" w:space="0" w:color="auto"/>
                    <w:right w:val="none" w:sz="0" w:space="0" w:color="auto"/>
                  </w:divBdr>
                  <w:divsChild>
                    <w:div w:id="2120905022">
                      <w:marLeft w:val="0"/>
                      <w:marRight w:val="0"/>
                      <w:marTop w:val="0"/>
                      <w:marBottom w:val="0"/>
                      <w:divBdr>
                        <w:top w:val="none" w:sz="0" w:space="0" w:color="auto"/>
                        <w:left w:val="none" w:sz="0" w:space="0" w:color="auto"/>
                        <w:bottom w:val="none" w:sz="0" w:space="0" w:color="auto"/>
                        <w:right w:val="none" w:sz="0" w:space="0" w:color="auto"/>
                      </w:divBdr>
                    </w:div>
                  </w:divsChild>
                </w:div>
                <w:div w:id="41171567">
                  <w:marLeft w:val="0"/>
                  <w:marRight w:val="0"/>
                  <w:marTop w:val="0"/>
                  <w:marBottom w:val="0"/>
                  <w:divBdr>
                    <w:top w:val="none" w:sz="0" w:space="0" w:color="auto"/>
                    <w:left w:val="none" w:sz="0" w:space="0" w:color="auto"/>
                    <w:bottom w:val="none" w:sz="0" w:space="0" w:color="auto"/>
                    <w:right w:val="none" w:sz="0" w:space="0" w:color="auto"/>
                  </w:divBdr>
                  <w:divsChild>
                    <w:div w:id="1141774678">
                      <w:marLeft w:val="0"/>
                      <w:marRight w:val="0"/>
                      <w:marTop w:val="0"/>
                      <w:marBottom w:val="0"/>
                      <w:divBdr>
                        <w:top w:val="none" w:sz="0" w:space="0" w:color="auto"/>
                        <w:left w:val="none" w:sz="0" w:space="0" w:color="auto"/>
                        <w:bottom w:val="none" w:sz="0" w:space="0" w:color="auto"/>
                        <w:right w:val="none" w:sz="0" w:space="0" w:color="auto"/>
                      </w:divBdr>
                    </w:div>
                  </w:divsChild>
                </w:div>
                <w:div w:id="45379690">
                  <w:marLeft w:val="0"/>
                  <w:marRight w:val="0"/>
                  <w:marTop w:val="0"/>
                  <w:marBottom w:val="0"/>
                  <w:divBdr>
                    <w:top w:val="none" w:sz="0" w:space="0" w:color="auto"/>
                    <w:left w:val="none" w:sz="0" w:space="0" w:color="auto"/>
                    <w:bottom w:val="none" w:sz="0" w:space="0" w:color="auto"/>
                    <w:right w:val="none" w:sz="0" w:space="0" w:color="auto"/>
                  </w:divBdr>
                  <w:divsChild>
                    <w:div w:id="1285186086">
                      <w:marLeft w:val="0"/>
                      <w:marRight w:val="0"/>
                      <w:marTop w:val="0"/>
                      <w:marBottom w:val="0"/>
                      <w:divBdr>
                        <w:top w:val="none" w:sz="0" w:space="0" w:color="auto"/>
                        <w:left w:val="none" w:sz="0" w:space="0" w:color="auto"/>
                        <w:bottom w:val="none" w:sz="0" w:space="0" w:color="auto"/>
                        <w:right w:val="none" w:sz="0" w:space="0" w:color="auto"/>
                      </w:divBdr>
                    </w:div>
                  </w:divsChild>
                </w:div>
                <w:div w:id="47533122">
                  <w:marLeft w:val="0"/>
                  <w:marRight w:val="0"/>
                  <w:marTop w:val="0"/>
                  <w:marBottom w:val="0"/>
                  <w:divBdr>
                    <w:top w:val="none" w:sz="0" w:space="0" w:color="auto"/>
                    <w:left w:val="none" w:sz="0" w:space="0" w:color="auto"/>
                    <w:bottom w:val="none" w:sz="0" w:space="0" w:color="auto"/>
                    <w:right w:val="none" w:sz="0" w:space="0" w:color="auto"/>
                  </w:divBdr>
                  <w:divsChild>
                    <w:div w:id="890311848">
                      <w:marLeft w:val="0"/>
                      <w:marRight w:val="0"/>
                      <w:marTop w:val="0"/>
                      <w:marBottom w:val="0"/>
                      <w:divBdr>
                        <w:top w:val="none" w:sz="0" w:space="0" w:color="auto"/>
                        <w:left w:val="none" w:sz="0" w:space="0" w:color="auto"/>
                        <w:bottom w:val="none" w:sz="0" w:space="0" w:color="auto"/>
                        <w:right w:val="none" w:sz="0" w:space="0" w:color="auto"/>
                      </w:divBdr>
                    </w:div>
                  </w:divsChild>
                </w:div>
                <w:div w:id="65347751">
                  <w:marLeft w:val="0"/>
                  <w:marRight w:val="0"/>
                  <w:marTop w:val="0"/>
                  <w:marBottom w:val="0"/>
                  <w:divBdr>
                    <w:top w:val="none" w:sz="0" w:space="0" w:color="auto"/>
                    <w:left w:val="none" w:sz="0" w:space="0" w:color="auto"/>
                    <w:bottom w:val="none" w:sz="0" w:space="0" w:color="auto"/>
                    <w:right w:val="none" w:sz="0" w:space="0" w:color="auto"/>
                  </w:divBdr>
                  <w:divsChild>
                    <w:div w:id="280499922">
                      <w:marLeft w:val="0"/>
                      <w:marRight w:val="0"/>
                      <w:marTop w:val="0"/>
                      <w:marBottom w:val="0"/>
                      <w:divBdr>
                        <w:top w:val="none" w:sz="0" w:space="0" w:color="auto"/>
                        <w:left w:val="none" w:sz="0" w:space="0" w:color="auto"/>
                        <w:bottom w:val="none" w:sz="0" w:space="0" w:color="auto"/>
                        <w:right w:val="none" w:sz="0" w:space="0" w:color="auto"/>
                      </w:divBdr>
                    </w:div>
                  </w:divsChild>
                </w:div>
                <w:div w:id="66147121">
                  <w:marLeft w:val="0"/>
                  <w:marRight w:val="0"/>
                  <w:marTop w:val="0"/>
                  <w:marBottom w:val="0"/>
                  <w:divBdr>
                    <w:top w:val="none" w:sz="0" w:space="0" w:color="auto"/>
                    <w:left w:val="none" w:sz="0" w:space="0" w:color="auto"/>
                    <w:bottom w:val="none" w:sz="0" w:space="0" w:color="auto"/>
                    <w:right w:val="none" w:sz="0" w:space="0" w:color="auto"/>
                  </w:divBdr>
                  <w:divsChild>
                    <w:div w:id="171534467">
                      <w:marLeft w:val="0"/>
                      <w:marRight w:val="0"/>
                      <w:marTop w:val="0"/>
                      <w:marBottom w:val="0"/>
                      <w:divBdr>
                        <w:top w:val="none" w:sz="0" w:space="0" w:color="auto"/>
                        <w:left w:val="none" w:sz="0" w:space="0" w:color="auto"/>
                        <w:bottom w:val="none" w:sz="0" w:space="0" w:color="auto"/>
                        <w:right w:val="none" w:sz="0" w:space="0" w:color="auto"/>
                      </w:divBdr>
                    </w:div>
                  </w:divsChild>
                </w:div>
                <w:div w:id="69472059">
                  <w:marLeft w:val="0"/>
                  <w:marRight w:val="0"/>
                  <w:marTop w:val="0"/>
                  <w:marBottom w:val="0"/>
                  <w:divBdr>
                    <w:top w:val="none" w:sz="0" w:space="0" w:color="auto"/>
                    <w:left w:val="none" w:sz="0" w:space="0" w:color="auto"/>
                    <w:bottom w:val="none" w:sz="0" w:space="0" w:color="auto"/>
                    <w:right w:val="none" w:sz="0" w:space="0" w:color="auto"/>
                  </w:divBdr>
                  <w:divsChild>
                    <w:div w:id="1801026705">
                      <w:marLeft w:val="0"/>
                      <w:marRight w:val="0"/>
                      <w:marTop w:val="0"/>
                      <w:marBottom w:val="0"/>
                      <w:divBdr>
                        <w:top w:val="none" w:sz="0" w:space="0" w:color="auto"/>
                        <w:left w:val="none" w:sz="0" w:space="0" w:color="auto"/>
                        <w:bottom w:val="none" w:sz="0" w:space="0" w:color="auto"/>
                        <w:right w:val="none" w:sz="0" w:space="0" w:color="auto"/>
                      </w:divBdr>
                    </w:div>
                  </w:divsChild>
                </w:div>
                <w:div w:id="80414356">
                  <w:marLeft w:val="0"/>
                  <w:marRight w:val="0"/>
                  <w:marTop w:val="0"/>
                  <w:marBottom w:val="0"/>
                  <w:divBdr>
                    <w:top w:val="none" w:sz="0" w:space="0" w:color="auto"/>
                    <w:left w:val="none" w:sz="0" w:space="0" w:color="auto"/>
                    <w:bottom w:val="none" w:sz="0" w:space="0" w:color="auto"/>
                    <w:right w:val="none" w:sz="0" w:space="0" w:color="auto"/>
                  </w:divBdr>
                  <w:divsChild>
                    <w:div w:id="1077165207">
                      <w:marLeft w:val="0"/>
                      <w:marRight w:val="0"/>
                      <w:marTop w:val="0"/>
                      <w:marBottom w:val="0"/>
                      <w:divBdr>
                        <w:top w:val="none" w:sz="0" w:space="0" w:color="auto"/>
                        <w:left w:val="none" w:sz="0" w:space="0" w:color="auto"/>
                        <w:bottom w:val="none" w:sz="0" w:space="0" w:color="auto"/>
                        <w:right w:val="none" w:sz="0" w:space="0" w:color="auto"/>
                      </w:divBdr>
                    </w:div>
                  </w:divsChild>
                </w:div>
                <w:div w:id="83114858">
                  <w:marLeft w:val="0"/>
                  <w:marRight w:val="0"/>
                  <w:marTop w:val="0"/>
                  <w:marBottom w:val="0"/>
                  <w:divBdr>
                    <w:top w:val="none" w:sz="0" w:space="0" w:color="auto"/>
                    <w:left w:val="none" w:sz="0" w:space="0" w:color="auto"/>
                    <w:bottom w:val="none" w:sz="0" w:space="0" w:color="auto"/>
                    <w:right w:val="none" w:sz="0" w:space="0" w:color="auto"/>
                  </w:divBdr>
                  <w:divsChild>
                    <w:div w:id="485710361">
                      <w:marLeft w:val="0"/>
                      <w:marRight w:val="0"/>
                      <w:marTop w:val="0"/>
                      <w:marBottom w:val="0"/>
                      <w:divBdr>
                        <w:top w:val="none" w:sz="0" w:space="0" w:color="auto"/>
                        <w:left w:val="none" w:sz="0" w:space="0" w:color="auto"/>
                        <w:bottom w:val="none" w:sz="0" w:space="0" w:color="auto"/>
                        <w:right w:val="none" w:sz="0" w:space="0" w:color="auto"/>
                      </w:divBdr>
                    </w:div>
                  </w:divsChild>
                </w:div>
                <w:div w:id="84300924">
                  <w:marLeft w:val="0"/>
                  <w:marRight w:val="0"/>
                  <w:marTop w:val="0"/>
                  <w:marBottom w:val="0"/>
                  <w:divBdr>
                    <w:top w:val="none" w:sz="0" w:space="0" w:color="auto"/>
                    <w:left w:val="none" w:sz="0" w:space="0" w:color="auto"/>
                    <w:bottom w:val="none" w:sz="0" w:space="0" w:color="auto"/>
                    <w:right w:val="none" w:sz="0" w:space="0" w:color="auto"/>
                  </w:divBdr>
                  <w:divsChild>
                    <w:div w:id="653873665">
                      <w:marLeft w:val="0"/>
                      <w:marRight w:val="0"/>
                      <w:marTop w:val="0"/>
                      <w:marBottom w:val="0"/>
                      <w:divBdr>
                        <w:top w:val="none" w:sz="0" w:space="0" w:color="auto"/>
                        <w:left w:val="none" w:sz="0" w:space="0" w:color="auto"/>
                        <w:bottom w:val="none" w:sz="0" w:space="0" w:color="auto"/>
                        <w:right w:val="none" w:sz="0" w:space="0" w:color="auto"/>
                      </w:divBdr>
                    </w:div>
                  </w:divsChild>
                </w:div>
                <w:div w:id="90130720">
                  <w:marLeft w:val="0"/>
                  <w:marRight w:val="0"/>
                  <w:marTop w:val="0"/>
                  <w:marBottom w:val="0"/>
                  <w:divBdr>
                    <w:top w:val="none" w:sz="0" w:space="0" w:color="auto"/>
                    <w:left w:val="none" w:sz="0" w:space="0" w:color="auto"/>
                    <w:bottom w:val="none" w:sz="0" w:space="0" w:color="auto"/>
                    <w:right w:val="none" w:sz="0" w:space="0" w:color="auto"/>
                  </w:divBdr>
                  <w:divsChild>
                    <w:div w:id="2134782679">
                      <w:marLeft w:val="0"/>
                      <w:marRight w:val="0"/>
                      <w:marTop w:val="0"/>
                      <w:marBottom w:val="0"/>
                      <w:divBdr>
                        <w:top w:val="none" w:sz="0" w:space="0" w:color="auto"/>
                        <w:left w:val="none" w:sz="0" w:space="0" w:color="auto"/>
                        <w:bottom w:val="none" w:sz="0" w:space="0" w:color="auto"/>
                        <w:right w:val="none" w:sz="0" w:space="0" w:color="auto"/>
                      </w:divBdr>
                    </w:div>
                  </w:divsChild>
                </w:div>
                <w:div w:id="95248285">
                  <w:marLeft w:val="0"/>
                  <w:marRight w:val="0"/>
                  <w:marTop w:val="0"/>
                  <w:marBottom w:val="0"/>
                  <w:divBdr>
                    <w:top w:val="none" w:sz="0" w:space="0" w:color="auto"/>
                    <w:left w:val="none" w:sz="0" w:space="0" w:color="auto"/>
                    <w:bottom w:val="none" w:sz="0" w:space="0" w:color="auto"/>
                    <w:right w:val="none" w:sz="0" w:space="0" w:color="auto"/>
                  </w:divBdr>
                  <w:divsChild>
                    <w:div w:id="1061100749">
                      <w:marLeft w:val="0"/>
                      <w:marRight w:val="0"/>
                      <w:marTop w:val="0"/>
                      <w:marBottom w:val="0"/>
                      <w:divBdr>
                        <w:top w:val="none" w:sz="0" w:space="0" w:color="auto"/>
                        <w:left w:val="none" w:sz="0" w:space="0" w:color="auto"/>
                        <w:bottom w:val="none" w:sz="0" w:space="0" w:color="auto"/>
                        <w:right w:val="none" w:sz="0" w:space="0" w:color="auto"/>
                      </w:divBdr>
                    </w:div>
                  </w:divsChild>
                </w:div>
                <w:div w:id="97914755">
                  <w:marLeft w:val="0"/>
                  <w:marRight w:val="0"/>
                  <w:marTop w:val="0"/>
                  <w:marBottom w:val="0"/>
                  <w:divBdr>
                    <w:top w:val="none" w:sz="0" w:space="0" w:color="auto"/>
                    <w:left w:val="none" w:sz="0" w:space="0" w:color="auto"/>
                    <w:bottom w:val="none" w:sz="0" w:space="0" w:color="auto"/>
                    <w:right w:val="none" w:sz="0" w:space="0" w:color="auto"/>
                  </w:divBdr>
                  <w:divsChild>
                    <w:div w:id="49421164">
                      <w:marLeft w:val="0"/>
                      <w:marRight w:val="0"/>
                      <w:marTop w:val="0"/>
                      <w:marBottom w:val="0"/>
                      <w:divBdr>
                        <w:top w:val="none" w:sz="0" w:space="0" w:color="auto"/>
                        <w:left w:val="none" w:sz="0" w:space="0" w:color="auto"/>
                        <w:bottom w:val="none" w:sz="0" w:space="0" w:color="auto"/>
                        <w:right w:val="none" w:sz="0" w:space="0" w:color="auto"/>
                      </w:divBdr>
                    </w:div>
                  </w:divsChild>
                </w:div>
                <w:div w:id="99183231">
                  <w:marLeft w:val="0"/>
                  <w:marRight w:val="0"/>
                  <w:marTop w:val="0"/>
                  <w:marBottom w:val="0"/>
                  <w:divBdr>
                    <w:top w:val="none" w:sz="0" w:space="0" w:color="auto"/>
                    <w:left w:val="none" w:sz="0" w:space="0" w:color="auto"/>
                    <w:bottom w:val="none" w:sz="0" w:space="0" w:color="auto"/>
                    <w:right w:val="none" w:sz="0" w:space="0" w:color="auto"/>
                  </w:divBdr>
                  <w:divsChild>
                    <w:div w:id="726881072">
                      <w:marLeft w:val="0"/>
                      <w:marRight w:val="0"/>
                      <w:marTop w:val="0"/>
                      <w:marBottom w:val="0"/>
                      <w:divBdr>
                        <w:top w:val="none" w:sz="0" w:space="0" w:color="auto"/>
                        <w:left w:val="none" w:sz="0" w:space="0" w:color="auto"/>
                        <w:bottom w:val="none" w:sz="0" w:space="0" w:color="auto"/>
                        <w:right w:val="none" w:sz="0" w:space="0" w:color="auto"/>
                      </w:divBdr>
                    </w:div>
                  </w:divsChild>
                </w:div>
                <w:div w:id="108548773">
                  <w:marLeft w:val="0"/>
                  <w:marRight w:val="0"/>
                  <w:marTop w:val="0"/>
                  <w:marBottom w:val="0"/>
                  <w:divBdr>
                    <w:top w:val="none" w:sz="0" w:space="0" w:color="auto"/>
                    <w:left w:val="none" w:sz="0" w:space="0" w:color="auto"/>
                    <w:bottom w:val="none" w:sz="0" w:space="0" w:color="auto"/>
                    <w:right w:val="none" w:sz="0" w:space="0" w:color="auto"/>
                  </w:divBdr>
                  <w:divsChild>
                    <w:div w:id="1249535984">
                      <w:marLeft w:val="0"/>
                      <w:marRight w:val="0"/>
                      <w:marTop w:val="0"/>
                      <w:marBottom w:val="0"/>
                      <w:divBdr>
                        <w:top w:val="none" w:sz="0" w:space="0" w:color="auto"/>
                        <w:left w:val="none" w:sz="0" w:space="0" w:color="auto"/>
                        <w:bottom w:val="none" w:sz="0" w:space="0" w:color="auto"/>
                        <w:right w:val="none" w:sz="0" w:space="0" w:color="auto"/>
                      </w:divBdr>
                    </w:div>
                  </w:divsChild>
                </w:div>
                <w:div w:id="111094957">
                  <w:marLeft w:val="0"/>
                  <w:marRight w:val="0"/>
                  <w:marTop w:val="0"/>
                  <w:marBottom w:val="0"/>
                  <w:divBdr>
                    <w:top w:val="none" w:sz="0" w:space="0" w:color="auto"/>
                    <w:left w:val="none" w:sz="0" w:space="0" w:color="auto"/>
                    <w:bottom w:val="none" w:sz="0" w:space="0" w:color="auto"/>
                    <w:right w:val="none" w:sz="0" w:space="0" w:color="auto"/>
                  </w:divBdr>
                  <w:divsChild>
                    <w:div w:id="1983775267">
                      <w:marLeft w:val="0"/>
                      <w:marRight w:val="0"/>
                      <w:marTop w:val="0"/>
                      <w:marBottom w:val="0"/>
                      <w:divBdr>
                        <w:top w:val="none" w:sz="0" w:space="0" w:color="auto"/>
                        <w:left w:val="none" w:sz="0" w:space="0" w:color="auto"/>
                        <w:bottom w:val="none" w:sz="0" w:space="0" w:color="auto"/>
                        <w:right w:val="none" w:sz="0" w:space="0" w:color="auto"/>
                      </w:divBdr>
                    </w:div>
                  </w:divsChild>
                </w:div>
                <w:div w:id="122888701">
                  <w:marLeft w:val="0"/>
                  <w:marRight w:val="0"/>
                  <w:marTop w:val="0"/>
                  <w:marBottom w:val="0"/>
                  <w:divBdr>
                    <w:top w:val="none" w:sz="0" w:space="0" w:color="auto"/>
                    <w:left w:val="none" w:sz="0" w:space="0" w:color="auto"/>
                    <w:bottom w:val="none" w:sz="0" w:space="0" w:color="auto"/>
                    <w:right w:val="none" w:sz="0" w:space="0" w:color="auto"/>
                  </w:divBdr>
                  <w:divsChild>
                    <w:div w:id="203955202">
                      <w:marLeft w:val="0"/>
                      <w:marRight w:val="0"/>
                      <w:marTop w:val="0"/>
                      <w:marBottom w:val="0"/>
                      <w:divBdr>
                        <w:top w:val="none" w:sz="0" w:space="0" w:color="auto"/>
                        <w:left w:val="none" w:sz="0" w:space="0" w:color="auto"/>
                        <w:bottom w:val="none" w:sz="0" w:space="0" w:color="auto"/>
                        <w:right w:val="none" w:sz="0" w:space="0" w:color="auto"/>
                      </w:divBdr>
                    </w:div>
                  </w:divsChild>
                </w:div>
                <w:div w:id="123667013">
                  <w:marLeft w:val="0"/>
                  <w:marRight w:val="0"/>
                  <w:marTop w:val="0"/>
                  <w:marBottom w:val="0"/>
                  <w:divBdr>
                    <w:top w:val="none" w:sz="0" w:space="0" w:color="auto"/>
                    <w:left w:val="none" w:sz="0" w:space="0" w:color="auto"/>
                    <w:bottom w:val="none" w:sz="0" w:space="0" w:color="auto"/>
                    <w:right w:val="none" w:sz="0" w:space="0" w:color="auto"/>
                  </w:divBdr>
                  <w:divsChild>
                    <w:div w:id="1220442160">
                      <w:marLeft w:val="0"/>
                      <w:marRight w:val="0"/>
                      <w:marTop w:val="0"/>
                      <w:marBottom w:val="0"/>
                      <w:divBdr>
                        <w:top w:val="none" w:sz="0" w:space="0" w:color="auto"/>
                        <w:left w:val="none" w:sz="0" w:space="0" w:color="auto"/>
                        <w:bottom w:val="none" w:sz="0" w:space="0" w:color="auto"/>
                        <w:right w:val="none" w:sz="0" w:space="0" w:color="auto"/>
                      </w:divBdr>
                    </w:div>
                  </w:divsChild>
                </w:div>
                <w:div w:id="123692229">
                  <w:marLeft w:val="0"/>
                  <w:marRight w:val="0"/>
                  <w:marTop w:val="0"/>
                  <w:marBottom w:val="0"/>
                  <w:divBdr>
                    <w:top w:val="none" w:sz="0" w:space="0" w:color="auto"/>
                    <w:left w:val="none" w:sz="0" w:space="0" w:color="auto"/>
                    <w:bottom w:val="none" w:sz="0" w:space="0" w:color="auto"/>
                    <w:right w:val="none" w:sz="0" w:space="0" w:color="auto"/>
                  </w:divBdr>
                  <w:divsChild>
                    <w:div w:id="1108156749">
                      <w:marLeft w:val="0"/>
                      <w:marRight w:val="0"/>
                      <w:marTop w:val="0"/>
                      <w:marBottom w:val="0"/>
                      <w:divBdr>
                        <w:top w:val="none" w:sz="0" w:space="0" w:color="auto"/>
                        <w:left w:val="none" w:sz="0" w:space="0" w:color="auto"/>
                        <w:bottom w:val="none" w:sz="0" w:space="0" w:color="auto"/>
                        <w:right w:val="none" w:sz="0" w:space="0" w:color="auto"/>
                      </w:divBdr>
                    </w:div>
                  </w:divsChild>
                </w:div>
                <w:div w:id="129595991">
                  <w:marLeft w:val="0"/>
                  <w:marRight w:val="0"/>
                  <w:marTop w:val="0"/>
                  <w:marBottom w:val="0"/>
                  <w:divBdr>
                    <w:top w:val="none" w:sz="0" w:space="0" w:color="auto"/>
                    <w:left w:val="none" w:sz="0" w:space="0" w:color="auto"/>
                    <w:bottom w:val="none" w:sz="0" w:space="0" w:color="auto"/>
                    <w:right w:val="none" w:sz="0" w:space="0" w:color="auto"/>
                  </w:divBdr>
                  <w:divsChild>
                    <w:div w:id="2138335246">
                      <w:marLeft w:val="0"/>
                      <w:marRight w:val="0"/>
                      <w:marTop w:val="0"/>
                      <w:marBottom w:val="0"/>
                      <w:divBdr>
                        <w:top w:val="none" w:sz="0" w:space="0" w:color="auto"/>
                        <w:left w:val="none" w:sz="0" w:space="0" w:color="auto"/>
                        <w:bottom w:val="none" w:sz="0" w:space="0" w:color="auto"/>
                        <w:right w:val="none" w:sz="0" w:space="0" w:color="auto"/>
                      </w:divBdr>
                    </w:div>
                  </w:divsChild>
                </w:div>
                <w:div w:id="134419772">
                  <w:marLeft w:val="0"/>
                  <w:marRight w:val="0"/>
                  <w:marTop w:val="0"/>
                  <w:marBottom w:val="0"/>
                  <w:divBdr>
                    <w:top w:val="none" w:sz="0" w:space="0" w:color="auto"/>
                    <w:left w:val="none" w:sz="0" w:space="0" w:color="auto"/>
                    <w:bottom w:val="none" w:sz="0" w:space="0" w:color="auto"/>
                    <w:right w:val="none" w:sz="0" w:space="0" w:color="auto"/>
                  </w:divBdr>
                  <w:divsChild>
                    <w:div w:id="983656542">
                      <w:marLeft w:val="0"/>
                      <w:marRight w:val="0"/>
                      <w:marTop w:val="0"/>
                      <w:marBottom w:val="0"/>
                      <w:divBdr>
                        <w:top w:val="none" w:sz="0" w:space="0" w:color="auto"/>
                        <w:left w:val="none" w:sz="0" w:space="0" w:color="auto"/>
                        <w:bottom w:val="none" w:sz="0" w:space="0" w:color="auto"/>
                        <w:right w:val="none" w:sz="0" w:space="0" w:color="auto"/>
                      </w:divBdr>
                    </w:div>
                  </w:divsChild>
                </w:div>
                <w:div w:id="140654584">
                  <w:marLeft w:val="0"/>
                  <w:marRight w:val="0"/>
                  <w:marTop w:val="0"/>
                  <w:marBottom w:val="0"/>
                  <w:divBdr>
                    <w:top w:val="none" w:sz="0" w:space="0" w:color="auto"/>
                    <w:left w:val="none" w:sz="0" w:space="0" w:color="auto"/>
                    <w:bottom w:val="none" w:sz="0" w:space="0" w:color="auto"/>
                    <w:right w:val="none" w:sz="0" w:space="0" w:color="auto"/>
                  </w:divBdr>
                  <w:divsChild>
                    <w:div w:id="1240557819">
                      <w:marLeft w:val="0"/>
                      <w:marRight w:val="0"/>
                      <w:marTop w:val="0"/>
                      <w:marBottom w:val="0"/>
                      <w:divBdr>
                        <w:top w:val="none" w:sz="0" w:space="0" w:color="auto"/>
                        <w:left w:val="none" w:sz="0" w:space="0" w:color="auto"/>
                        <w:bottom w:val="none" w:sz="0" w:space="0" w:color="auto"/>
                        <w:right w:val="none" w:sz="0" w:space="0" w:color="auto"/>
                      </w:divBdr>
                    </w:div>
                  </w:divsChild>
                </w:div>
                <w:div w:id="163518370">
                  <w:marLeft w:val="0"/>
                  <w:marRight w:val="0"/>
                  <w:marTop w:val="0"/>
                  <w:marBottom w:val="0"/>
                  <w:divBdr>
                    <w:top w:val="none" w:sz="0" w:space="0" w:color="auto"/>
                    <w:left w:val="none" w:sz="0" w:space="0" w:color="auto"/>
                    <w:bottom w:val="none" w:sz="0" w:space="0" w:color="auto"/>
                    <w:right w:val="none" w:sz="0" w:space="0" w:color="auto"/>
                  </w:divBdr>
                  <w:divsChild>
                    <w:div w:id="1553496453">
                      <w:marLeft w:val="0"/>
                      <w:marRight w:val="0"/>
                      <w:marTop w:val="0"/>
                      <w:marBottom w:val="0"/>
                      <w:divBdr>
                        <w:top w:val="none" w:sz="0" w:space="0" w:color="auto"/>
                        <w:left w:val="none" w:sz="0" w:space="0" w:color="auto"/>
                        <w:bottom w:val="none" w:sz="0" w:space="0" w:color="auto"/>
                        <w:right w:val="none" w:sz="0" w:space="0" w:color="auto"/>
                      </w:divBdr>
                    </w:div>
                  </w:divsChild>
                </w:div>
                <w:div w:id="167911402">
                  <w:marLeft w:val="0"/>
                  <w:marRight w:val="0"/>
                  <w:marTop w:val="0"/>
                  <w:marBottom w:val="0"/>
                  <w:divBdr>
                    <w:top w:val="none" w:sz="0" w:space="0" w:color="auto"/>
                    <w:left w:val="none" w:sz="0" w:space="0" w:color="auto"/>
                    <w:bottom w:val="none" w:sz="0" w:space="0" w:color="auto"/>
                    <w:right w:val="none" w:sz="0" w:space="0" w:color="auto"/>
                  </w:divBdr>
                  <w:divsChild>
                    <w:div w:id="90779665">
                      <w:marLeft w:val="0"/>
                      <w:marRight w:val="0"/>
                      <w:marTop w:val="0"/>
                      <w:marBottom w:val="0"/>
                      <w:divBdr>
                        <w:top w:val="none" w:sz="0" w:space="0" w:color="auto"/>
                        <w:left w:val="none" w:sz="0" w:space="0" w:color="auto"/>
                        <w:bottom w:val="none" w:sz="0" w:space="0" w:color="auto"/>
                        <w:right w:val="none" w:sz="0" w:space="0" w:color="auto"/>
                      </w:divBdr>
                    </w:div>
                  </w:divsChild>
                </w:div>
                <w:div w:id="184254401">
                  <w:marLeft w:val="0"/>
                  <w:marRight w:val="0"/>
                  <w:marTop w:val="0"/>
                  <w:marBottom w:val="0"/>
                  <w:divBdr>
                    <w:top w:val="none" w:sz="0" w:space="0" w:color="auto"/>
                    <w:left w:val="none" w:sz="0" w:space="0" w:color="auto"/>
                    <w:bottom w:val="none" w:sz="0" w:space="0" w:color="auto"/>
                    <w:right w:val="none" w:sz="0" w:space="0" w:color="auto"/>
                  </w:divBdr>
                  <w:divsChild>
                    <w:div w:id="923759768">
                      <w:marLeft w:val="0"/>
                      <w:marRight w:val="0"/>
                      <w:marTop w:val="0"/>
                      <w:marBottom w:val="0"/>
                      <w:divBdr>
                        <w:top w:val="none" w:sz="0" w:space="0" w:color="auto"/>
                        <w:left w:val="none" w:sz="0" w:space="0" w:color="auto"/>
                        <w:bottom w:val="none" w:sz="0" w:space="0" w:color="auto"/>
                        <w:right w:val="none" w:sz="0" w:space="0" w:color="auto"/>
                      </w:divBdr>
                    </w:div>
                  </w:divsChild>
                </w:div>
                <w:div w:id="186675800">
                  <w:marLeft w:val="0"/>
                  <w:marRight w:val="0"/>
                  <w:marTop w:val="0"/>
                  <w:marBottom w:val="0"/>
                  <w:divBdr>
                    <w:top w:val="none" w:sz="0" w:space="0" w:color="auto"/>
                    <w:left w:val="none" w:sz="0" w:space="0" w:color="auto"/>
                    <w:bottom w:val="none" w:sz="0" w:space="0" w:color="auto"/>
                    <w:right w:val="none" w:sz="0" w:space="0" w:color="auto"/>
                  </w:divBdr>
                  <w:divsChild>
                    <w:div w:id="161967065">
                      <w:marLeft w:val="0"/>
                      <w:marRight w:val="0"/>
                      <w:marTop w:val="0"/>
                      <w:marBottom w:val="0"/>
                      <w:divBdr>
                        <w:top w:val="none" w:sz="0" w:space="0" w:color="auto"/>
                        <w:left w:val="none" w:sz="0" w:space="0" w:color="auto"/>
                        <w:bottom w:val="none" w:sz="0" w:space="0" w:color="auto"/>
                        <w:right w:val="none" w:sz="0" w:space="0" w:color="auto"/>
                      </w:divBdr>
                    </w:div>
                  </w:divsChild>
                </w:div>
                <w:div w:id="196896611">
                  <w:marLeft w:val="0"/>
                  <w:marRight w:val="0"/>
                  <w:marTop w:val="0"/>
                  <w:marBottom w:val="0"/>
                  <w:divBdr>
                    <w:top w:val="none" w:sz="0" w:space="0" w:color="auto"/>
                    <w:left w:val="none" w:sz="0" w:space="0" w:color="auto"/>
                    <w:bottom w:val="none" w:sz="0" w:space="0" w:color="auto"/>
                    <w:right w:val="none" w:sz="0" w:space="0" w:color="auto"/>
                  </w:divBdr>
                  <w:divsChild>
                    <w:div w:id="937250215">
                      <w:marLeft w:val="0"/>
                      <w:marRight w:val="0"/>
                      <w:marTop w:val="0"/>
                      <w:marBottom w:val="0"/>
                      <w:divBdr>
                        <w:top w:val="none" w:sz="0" w:space="0" w:color="auto"/>
                        <w:left w:val="none" w:sz="0" w:space="0" w:color="auto"/>
                        <w:bottom w:val="none" w:sz="0" w:space="0" w:color="auto"/>
                        <w:right w:val="none" w:sz="0" w:space="0" w:color="auto"/>
                      </w:divBdr>
                    </w:div>
                  </w:divsChild>
                </w:div>
                <w:div w:id="196898201">
                  <w:marLeft w:val="0"/>
                  <w:marRight w:val="0"/>
                  <w:marTop w:val="0"/>
                  <w:marBottom w:val="0"/>
                  <w:divBdr>
                    <w:top w:val="none" w:sz="0" w:space="0" w:color="auto"/>
                    <w:left w:val="none" w:sz="0" w:space="0" w:color="auto"/>
                    <w:bottom w:val="none" w:sz="0" w:space="0" w:color="auto"/>
                    <w:right w:val="none" w:sz="0" w:space="0" w:color="auto"/>
                  </w:divBdr>
                  <w:divsChild>
                    <w:div w:id="120340755">
                      <w:marLeft w:val="0"/>
                      <w:marRight w:val="0"/>
                      <w:marTop w:val="0"/>
                      <w:marBottom w:val="0"/>
                      <w:divBdr>
                        <w:top w:val="none" w:sz="0" w:space="0" w:color="auto"/>
                        <w:left w:val="none" w:sz="0" w:space="0" w:color="auto"/>
                        <w:bottom w:val="none" w:sz="0" w:space="0" w:color="auto"/>
                        <w:right w:val="none" w:sz="0" w:space="0" w:color="auto"/>
                      </w:divBdr>
                    </w:div>
                  </w:divsChild>
                </w:div>
                <w:div w:id="198199813">
                  <w:marLeft w:val="0"/>
                  <w:marRight w:val="0"/>
                  <w:marTop w:val="0"/>
                  <w:marBottom w:val="0"/>
                  <w:divBdr>
                    <w:top w:val="none" w:sz="0" w:space="0" w:color="auto"/>
                    <w:left w:val="none" w:sz="0" w:space="0" w:color="auto"/>
                    <w:bottom w:val="none" w:sz="0" w:space="0" w:color="auto"/>
                    <w:right w:val="none" w:sz="0" w:space="0" w:color="auto"/>
                  </w:divBdr>
                  <w:divsChild>
                    <w:div w:id="1691956248">
                      <w:marLeft w:val="0"/>
                      <w:marRight w:val="0"/>
                      <w:marTop w:val="0"/>
                      <w:marBottom w:val="0"/>
                      <w:divBdr>
                        <w:top w:val="none" w:sz="0" w:space="0" w:color="auto"/>
                        <w:left w:val="none" w:sz="0" w:space="0" w:color="auto"/>
                        <w:bottom w:val="none" w:sz="0" w:space="0" w:color="auto"/>
                        <w:right w:val="none" w:sz="0" w:space="0" w:color="auto"/>
                      </w:divBdr>
                    </w:div>
                  </w:divsChild>
                </w:div>
                <w:div w:id="200635771">
                  <w:marLeft w:val="0"/>
                  <w:marRight w:val="0"/>
                  <w:marTop w:val="0"/>
                  <w:marBottom w:val="0"/>
                  <w:divBdr>
                    <w:top w:val="none" w:sz="0" w:space="0" w:color="auto"/>
                    <w:left w:val="none" w:sz="0" w:space="0" w:color="auto"/>
                    <w:bottom w:val="none" w:sz="0" w:space="0" w:color="auto"/>
                    <w:right w:val="none" w:sz="0" w:space="0" w:color="auto"/>
                  </w:divBdr>
                  <w:divsChild>
                    <w:div w:id="349571096">
                      <w:marLeft w:val="0"/>
                      <w:marRight w:val="0"/>
                      <w:marTop w:val="0"/>
                      <w:marBottom w:val="0"/>
                      <w:divBdr>
                        <w:top w:val="none" w:sz="0" w:space="0" w:color="auto"/>
                        <w:left w:val="none" w:sz="0" w:space="0" w:color="auto"/>
                        <w:bottom w:val="none" w:sz="0" w:space="0" w:color="auto"/>
                        <w:right w:val="none" w:sz="0" w:space="0" w:color="auto"/>
                      </w:divBdr>
                    </w:div>
                  </w:divsChild>
                </w:div>
                <w:div w:id="206063954">
                  <w:marLeft w:val="0"/>
                  <w:marRight w:val="0"/>
                  <w:marTop w:val="0"/>
                  <w:marBottom w:val="0"/>
                  <w:divBdr>
                    <w:top w:val="none" w:sz="0" w:space="0" w:color="auto"/>
                    <w:left w:val="none" w:sz="0" w:space="0" w:color="auto"/>
                    <w:bottom w:val="none" w:sz="0" w:space="0" w:color="auto"/>
                    <w:right w:val="none" w:sz="0" w:space="0" w:color="auto"/>
                  </w:divBdr>
                  <w:divsChild>
                    <w:div w:id="488063181">
                      <w:marLeft w:val="0"/>
                      <w:marRight w:val="0"/>
                      <w:marTop w:val="0"/>
                      <w:marBottom w:val="0"/>
                      <w:divBdr>
                        <w:top w:val="none" w:sz="0" w:space="0" w:color="auto"/>
                        <w:left w:val="none" w:sz="0" w:space="0" w:color="auto"/>
                        <w:bottom w:val="none" w:sz="0" w:space="0" w:color="auto"/>
                        <w:right w:val="none" w:sz="0" w:space="0" w:color="auto"/>
                      </w:divBdr>
                    </w:div>
                  </w:divsChild>
                </w:div>
                <w:div w:id="213083488">
                  <w:marLeft w:val="0"/>
                  <w:marRight w:val="0"/>
                  <w:marTop w:val="0"/>
                  <w:marBottom w:val="0"/>
                  <w:divBdr>
                    <w:top w:val="none" w:sz="0" w:space="0" w:color="auto"/>
                    <w:left w:val="none" w:sz="0" w:space="0" w:color="auto"/>
                    <w:bottom w:val="none" w:sz="0" w:space="0" w:color="auto"/>
                    <w:right w:val="none" w:sz="0" w:space="0" w:color="auto"/>
                  </w:divBdr>
                  <w:divsChild>
                    <w:div w:id="1996295593">
                      <w:marLeft w:val="0"/>
                      <w:marRight w:val="0"/>
                      <w:marTop w:val="0"/>
                      <w:marBottom w:val="0"/>
                      <w:divBdr>
                        <w:top w:val="none" w:sz="0" w:space="0" w:color="auto"/>
                        <w:left w:val="none" w:sz="0" w:space="0" w:color="auto"/>
                        <w:bottom w:val="none" w:sz="0" w:space="0" w:color="auto"/>
                        <w:right w:val="none" w:sz="0" w:space="0" w:color="auto"/>
                      </w:divBdr>
                    </w:div>
                  </w:divsChild>
                </w:div>
                <w:div w:id="215241612">
                  <w:marLeft w:val="0"/>
                  <w:marRight w:val="0"/>
                  <w:marTop w:val="0"/>
                  <w:marBottom w:val="0"/>
                  <w:divBdr>
                    <w:top w:val="none" w:sz="0" w:space="0" w:color="auto"/>
                    <w:left w:val="none" w:sz="0" w:space="0" w:color="auto"/>
                    <w:bottom w:val="none" w:sz="0" w:space="0" w:color="auto"/>
                    <w:right w:val="none" w:sz="0" w:space="0" w:color="auto"/>
                  </w:divBdr>
                  <w:divsChild>
                    <w:div w:id="1917474258">
                      <w:marLeft w:val="0"/>
                      <w:marRight w:val="0"/>
                      <w:marTop w:val="0"/>
                      <w:marBottom w:val="0"/>
                      <w:divBdr>
                        <w:top w:val="none" w:sz="0" w:space="0" w:color="auto"/>
                        <w:left w:val="none" w:sz="0" w:space="0" w:color="auto"/>
                        <w:bottom w:val="none" w:sz="0" w:space="0" w:color="auto"/>
                        <w:right w:val="none" w:sz="0" w:space="0" w:color="auto"/>
                      </w:divBdr>
                    </w:div>
                  </w:divsChild>
                </w:div>
                <w:div w:id="226041885">
                  <w:marLeft w:val="0"/>
                  <w:marRight w:val="0"/>
                  <w:marTop w:val="0"/>
                  <w:marBottom w:val="0"/>
                  <w:divBdr>
                    <w:top w:val="none" w:sz="0" w:space="0" w:color="auto"/>
                    <w:left w:val="none" w:sz="0" w:space="0" w:color="auto"/>
                    <w:bottom w:val="none" w:sz="0" w:space="0" w:color="auto"/>
                    <w:right w:val="none" w:sz="0" w:space="0" w:color="auto"/>
                  </w:divBdr>
                  <w:divsChild>
                    <w:div w:id="1124888914">
                      <w:marLeft w:val="0"/>
                      <w:marRight w:val="0"/>
                      <w:marTop w:val="0"/>
                      <w:marBottom w:val="0"/>
                      <w:divBdr>
                        <w:top w:val="none" w:sz="0" w:space="0" w:color="auto"/>
                        <w:left w:val="none" w:sz="0" w:space="0" w:color="auto"/>
                        <w:bottom w:val="none" w:sz="0" w:space="0" w:color="auto"/>
                        <w:right w:val="none" w:sz="0" w:space="0" w:color="auto"/>
                      </w:divBdr>
                    </w:div>
                  </w:divsChild>
                </w:div>
                <w:div w:id="229269496">
                  <w:marLeft w:val="0"/>
                  <w:marRight w:val="0"/>
                  <w:marTop w:val="0"/>
                  <w:marBottom w:val="0"/>
                  <w:divBdr>
                    <w:top w:val="none" w:sz="0" w:space="0" w:color="auto"/>
                    <w:left w:val="none" w:sz="0" w:space="0" w:color="auto"/>
                    <w:bottom w:val="none" w:sz="0" w:space="0" w:color="auto"/>
                    <w:right w:val="none" w:sz="0" w:space="0" w:color="auto"/>
                  </w:divBdr>
                  <w:divsChild>
                    <w:div w:id="2102791810">
                      <w:marLeft w:val="0"/>
                      <w:marRight w:val="0"/>
                      <w:marTop w:val="0"/>
                      <w:marBottom w:val="0"/>
                      <w:divBdr>
                        <w:top w:val="none" w:sz="0" w:space="0" w:color="auto"/>
                        <w:left w:val="none" w:sz="0" w:space="0" w:color="auto"/>
                        <w:bottom w:val="none" w:sz="0" w:space="0" w:color="auto"/>
                        <w:right w:val="none" w:sz="0" w:space="0" w:color="auto"/>
                      </w:divBdr>
                    </w:div>
                  </w:divsChild>
                </w:div>
                <w:div w:id="232089167">
                  <w:marLeft w:val="0"/>
                  <w:marRight w:val="0"/>
                  <w:marTop w:val="0"/>
                  <w:marBottom w:val="0"/>
                  <w:divBdr>
                    <w:top w:val="none" w:sz="0" w:space="0" w:color="auto"/>
                    <w:left w:val="none" w:sz="0" w:space="0" w:color="auto"/>
                    <w:bottom w:val="none" w:sz="0" w:space="0" w:color="auto"/>
                    <w:right w:val="none" w:sz="0" w:space="0" w:color="auto"/>
                  </w:divBdr>
                  <w:divsChild>
                    <w:div w:id="2000032222">
                      <w:marLeft w:val="0"/>
                      <w:marRight w:val="0"/>
                      <w:marTop w:val="0"/>
                      <w:marBottom w:val="0"/>
                      <w:divBdr>
                        <w:top w:val="none" w:sz="0" w:space="0" w:color="auto"/>
                        <w:left w:val="none" w:sz="0" w:space="0" w:color="auto"/>
                        <w:bottom w:val="none" w:sz="0" w:space="0" w:color="auto"/>
                        <w:right w:val="none" w:sz="0" w:space="0" w:color="auto"/>
                      </w:divBdr>
                    </w:div>
                  </w:divsChild>
                </w:div>
                <w:div w:id="233247790">
                  <w:marLeft w:val="0"/>
                  <w:marRight w:val="0"/>
                  <w:marTop w:val="0"/>
                  <w:marBottom w:val="0"/>
                  <w:divBdr>
                    <w:top w:val="none" w:sz="0" w:space="0" w:color="auto"/>
                    <w:left w:val="none" w:sz="0" w:space="0" w:color="auto"/>
                    <w:bottom w:val="none" w:sz="0" w:space="0" w:color="auto"/>
                    <w:right w:val="none" w:sz="0" w:space="0" w:color="auto"/>
                  </w:divBdr>
                  <w:divsChild>
                    <w:div w:id="678389787">
                      <w:marLeft w:val="0"/>
                      <w:marRight w:val="0"/>
                      <w:marTop w:val="0"/>
                      <w:marBottom w:val="0"/>
                      <w:divBdr>
                        <w:top w:val="none" w:sz="0" w:space="0" w:color="auto"/>
                        <w:left w:val="none" w:sz="0" w:space="0" w:color="auto"/>
                        <w:bottom w:val="none" w:sz="0" w:space="0" w:color="auto"/>
                        <w:right w:val="none" w:sz="0" w:space="0" w:color="auto"/>
                      </w:divBdr>
                    </w:div>
                  </w:divsChild>
                </w:div>
                <w:div w:id="235213111">
                  <w:marLeft w:val="0"/>
                  <w:marRight w:val="0"/>
                  <w:marTop w:val="0"/>
                  <w:marBottom w:val="0"/>
                  <w:divBdr>
                    <w:top w:val="none" w:sz="0" w:space="0" w:color="auto"/>
                    <w:left w:val="none" w:sz="0" w:space="0" w:color="auto"/>
                    <w:bottom w:val="none" w:sz="0" w:space="0" w:color="auto"/>
                    <w:right w:val="none" w:sz="0" w:space="0" w:color="auto"/>
                  </w:divBdr>
                  <w:divsChild>
                    <w:div w:id="1281957463">
                      <w:marLeft w:val="0"/>
                      <w:marRight w:val="0"/>
                      <w:marTop w:val="0"/>
                      <w:marBottom w:val="0"/>
                      <w:divBdr>
                        <w:top w:val="none" w:sz="0" w:space="0" w:color="auto"/>
                        <w:left w:val="none" w:sz="0" w:space="0" w:color="auto"/>
                        <w:bottom w:val="none" w:sz="0" w:space="0" w:color="auto"/>
                        <w:right w:val="none" w:sz="0" w:space="0" w:color="auto"/>
                      </w:divBdr>
                    </w:div>
                  </w:divsChild>
                </w:div>
                <w:div w:id="235558498">
                  <w:marLeft w:val="0"/>
                  <w:marRight w:val="0"/>
                  <w:marTop w:val="0"/>
                  <w:marBottom w:val="0"/>
                  <w:divBdr>
                    <w:top w:val="none" w:sz="0" w:space="0" w:color="auto"/>
                    <w:left w:val="none" w:sz="0" w:space="0" w:color="auto"/>
                    <w:bottom w:val="none" w:sz="0" w:space="0" w:color="auto"/>
                    <w:right w:val="none" w:sz="0" w:space="0" w:color="auto"/>
                  </w:divBdr>
                  <w:divsChild>
                    <w:div w:id="1162114637">
                      <w:marLeft w:val="0"/>
                      <w:marRight w:val="0"/>
                      <w:marTop w:val="0"/>
                      <w:marBottom w:val="0"/>
                      <w:divBdr>
                        <w:top w:val="none" w:sz="0" w:space="0" w:color="auto"/>
                        <w:left w:val="none" w:sz="0" w:space="0" w:color="auto"/>
                        <w:bottom w:val="none" w:sz="0" w:space="0" w:color="auto"/>
                        <w:right w:val="none" w:sz="0" w:space="0" w:color="auto"/>
                      </w:divBdr>
                    </w:div>
                  </w:divsChild>
                </w:div>
                <w:div w:id="239759706">
                  <w:marLeft w:val="0"/>
                  <w:marRight w:val="0"/>
                  <w:marTop w:val="0"/>
                  <w:marBottom w:val="0"/>
                  <w:divBdr>
                    <w:top w:val="none" w:sz="0" w:space="0" w:color="auto"/>
                    <w:left w:val="none" w:sz="0" w:space="0" w:color="auto"/>
                    <w:bottom w:val="none" w:sz="0" w:space="0" w:color="auto"/>
                    <w:right w:val="none" w:sz="0" w:space="0" w:color="auto"/>
                  </w:divBdr>
                  <w:divsChild>
                    <w:div w:id="992755947">
                      <w:marLeft w:val="0"/>
                      <w:marRight w:val="0"/>
                      <w:marTop w:val="0"/>
                      <w:marBottom w:val="0"/>
                      <w:divBdr>
                        <w:top w:val="none" w:sz="0" w:space="0" w:color="auto"/>
                        <w:left w:val="none" w:sz="0" w:space="0" w:color="auto"/>
                        <w:bottom w:val="none" w:sz="0" w:space="0" w:color="auto"/>
                        <w:right w:val="none" w:sz="0" w:space="0" w:color="auto"/>
                      </w:divBdr>
                    </w:div>
                  </w:divsChild>
                </w:div>
                <w:div w:id="241522907">
                  <w:marLeft w:val="0"/>
                  <w:marRight w:val="0"/>
                  <w:marTop w:val="0"/>
                  <w:marBottom w:val="0"/>
                  <w:divBdr>
                    <w:top w:val="none" w:sz="0" w:space="0" w:color="auto"/>
                    <w:left w:val="none" w:sz="0" w:space="0" w:color="auto"/>
                    <w:bottom w:val="none" w:sz="0" w:space="0" w:color="auto"/>
                    <w:right w:val="none" w:sz="0" w:space="0" w:color="auto"/>
                  </w:divBdr>
                  <w:divsChild>
                    <w:div w:id="301425201">
                      <w:marLeft w:val="0"/>
                      <w:marRight w:val="0"/>
                      <w:marTop w:val="0"/>
                      <w:marBottom w:val="0"/>
                      <w:divBdr>
                        <w:top w:val="none" w:sz="0" w:space="0" w:color="auto"/>
                        <w:left w:val="none" w:sz="0" w:space="0" w:color="auto"/>
                        <w:bottom w:val="none" w:sz="0" w:space="0" w:color="auto"/>
                        <w:right w:val="none" w:sz="0" w:space="0" w:color="auto"/>
                      </w:divBdr>
                    </w:div>
                  </w:divsChild>
                </w:div>
                <w:div w:id="244338263">
                  <w:marLeft w:val="0"/>
                  <w:marRight w:val="0"/>
                  <w:marTop w:val="0"/>
                  <w:marBottom w:val="0"/>
                  <w:divBdr>
                    <w:top w:val="none" w:sz="0" w:space="0" w:color="auto"/>
                    <w:left w:val="none" w:sz="0" w:space="0" w:color="auto"/>
                    <w:bottom w:val="none" w:sz="0" w:space="0" w:color="auto"/>
                    <w:right w:val="none" w:sz="0" w:space="0" w:color="auto"/>
                  </w:divBdr>
                  <w:divsChild>
                    <w:div w:id="39674397">
                      <w:marLeft w:val="0"/>
                      <w:marRight w:val="0"/>
                      <w:marTop w:val="0"/>
                      <w:marBottom w:val="0"/>
                      <w:divBdr>
                        <w:top w:val="none" w:sz="0" w:space="0" w:color="auto"/>
                        <w:left w:val="none" w:sz="0" w:space="0" w:color="auto"/>
                        <w:bottom w:val="none" w:sz="0" w:space="0" w:color="auto"/>
                        <w:right w:val="none" w:sz="0" w:space="0" w:color="auto"/>
                      </w:divBdr>
                    </w:div>
                  </w:divsChild>
                </w:div>
                <w:div w:id="252471506">
                  <w:marLeft w:val="0"/>
                  <w:marRight w:val="0"/>
                  <w:marTop w:val="0"/>
                  <w:marBottom w:val="0"/>
                  <w:divBdr>
                    <w:top w:val="none" w:sz="0" w:space="0" w:color="auto"/>
                    <w:left w:val="none" w:sz="0" w:space="0" w:color="auto"/>
                    <w:bottom w:val="none" w:sz="0" w:space="0" w:color="auto"/>
                    <w:right w:val="none" w:sz="0" w:space="0" w:color="auto"/>
                  </w:divBdr>
                  <w:divsChild>
                    <w:div w:id="1072654207">
                      <w:marLeft w:val="0"/>
                      <w:marRight w:val="0"/>
                      <w:marTop w:val="0"/>
                      <w:marBottom w:val="0"/>
                      <w:divBdr>
                        <w:top w:val="none" w:sz="0" w:space="0" w:color="auto"/>
                        <w:left w:val="none" w:sz="0" w:space="0" w:color="auto"/>
                        <w:bottom w:val="none" w:sz="0" w:space="0" w:color="auto"/>
                        <w:right w:val="none" w:sz="0" w:space="0" w:color="auto"/>
                      </w:divBdr>
                    </w:div>
                  </w:divsChild>
                </w:div>
                <w:div w:id="256451316">
                  <w:marLeft w:val="0"/>
                  <w:marRight w:val="0"/>
                  <w:marTop w:val="0"/>
                  <w:marBottom w:val="0"/>
                  <w:divBdr>
                    <w:top w:val="none" w:sz="0" w:space="0" w:color="auto"/>
                    <w:left w:val="none" w:sz="0" w:space="0" w:color="auto"/>
                    <w:bottom w:val="none" w:sz="0" w:space="0" w:color="auto"/>
                    <w:right w:val="none" w:sz="0" w:space="0" w:color="auto"/>
                  </w:divBdr>
                  <w:divsChild>
                    <w:div w:id="1290623026">
                      <w:marLeft w:val="0"/>
                      <w:marRight w:val="0"/>
                      <w:marTop w:val="0"/>
                      <w:marBottom w:val="0"/>
                      <w:divBdr>
                        <w:top w:val="none" w:sz="0" w:space="0" w:color="auto"/>
                        <w:left w:val="none" w:sz="0" w:space="0" w:color="auto"/>
                        <w:bottom w:val="none" w:sz="0" w:space="0" w:color="auto"/>
                        <w:right w:val="none" w:sz="0" w:space="0" w:color="auto"/>
                      </w:divBdr>
                    </w:div>
                  </w:divsChild>
                </w:div>
                <w:div w:id="261306203">
                  <w:marLeft w:val="0"/>
                  <w:marRight w:val="0"/>
                  <w:marTop w:val="0"/>
                  <w:marBottom w:val="0"/>
                  <w:divBdr>
                    <w:top w:val="none" w:sz="0" w:space="0" w:color="auto"/>
                    <w:left w:val="none" w:sz="0" w:space="0" w:color="auto"/>
                    <w:bottom w:val="none" w:sz="0" w:space="0" w:color="auto"/>
                    <w:right w:val="none" w:sz="0" w:space="0" w:color="auto"/>
                  </w:divBdr>
                  <w:divsChild>
                    <w:div w:id="2012561479">
                      <w:marLeft w:val="0"/>
                      <w:marRight w:val="0"/>
                      <w:marTop w:val="0"/>
                      <w:marBottom w:val="0"/>
                      <w:divBdr>
                        <w:top w:val="none" w:sz="0" w:space="0" w:color="auto"/>
                        <w:left w:val="none" w:sz="0" w:space="0" w:color="auto"/>
                        <w:bottom w:val="none" w:sz="0" w:space="0" w:color="auto"/>
                        <w:right w:val="none" w:sz="0" w:space="0" w:color="auto"/>
                      </w:divBdr>
                    </w:div>
                  </w:divsChild>
                </w:div>
                <w:div w:id="263198926">
                  <w:marLeft w:val="0"/>
                  <w:marRight w:val="0"/>
                  <w:marTop w:val="0"/>
                  <w:marBottom w:val="0"/>
                  <w:divBdr>
                    <w:top w:val="none" w:sz="0" w:space="0" w:color="auto"/>
                    <w:left w:val="none" w:sz="0" w:space="0" w:color="auto"/>
                    <w:bottom w:val="none" w:sz="0" w:space="0" w:color="auto"/>
                    <w:right w:val="none" w:sz="0" w:space="0" w:color="auto"/>
                  </w:divBdr>
                  <w:divsChild>
                    <w:div w:id="815804256">
                      <w:marLeft w:val="0"/>
                      <w:marRight w:val="0"/>
                      <w:marTop w:val="0"/>
                      <w:marBottom w:val="0"/>
                      <w:divBdr>
                        <w:top w:val="none" w:sz="0" w:space="0" w:color="auto"/>
                        <w:left w:val="none" w:sz="0" w:space="0" w:color="auto"/>
                        <w:bottom w:val="none" w:sz="0" w:space="0" w:color="auto"/>
                        <w:right w:val="none" w:sz="0" w:space="0" w:color="auto"/>
                      </w:divBdr>
                    </w:div>
                  </w:divsChild>
                </w:div>
                <w:div w:id="268397481">
                  <w:marLeft w:val="0"/>
                  <w:marRight w:val="0"/>
                  <w:marTop w:val="0"/>
                  <w:marBottom w:val="0"/>
                  <w:divBdr>
                    <w:top w:val="none" w:sz="0" w:space="0" w:color="auto"/>
                    <w:left w:val="none" w:sz="0" w:space="0" w:color="auto"/>
                    <w:bottom w:val="none" w:sz="0" w:space="0" w:color="auto"/>
                    <w:right w:val="none" w:sz="0" w:space="0" w:color="auto"/>
                  </w:divBdr>
                  <w:divsChild>
                    <w:div w:id="441457660">
                      <w:marLeft w:val="0"/>
                      <w:marRight w:val="0"/>
                      <w:marTop w:val="0"/>
                      <w:marBottom w:val="0"/>
                      <w:divBdr>
                        <w:top w:val="none" w:sz="0" w:space="0" w:color="auto"/>
                        <w:left w:val="none" w:sz="0" w:space="0" w:color="auto"/>
                        <w:bottom w:val="none" w:sz="0" w:space="0" w:color="auto"/>
                        <w:right w:val="none" w:sz="0" w:space="0" w:color="auto"/>
                      </w:divBdr>
                    </w:div>
                  </w:divsChild>
                </w:div>
                <w:div w:id="279454911">
                  <w:marLeft w:val="0"/>
                  <w:marRight w:val="0"/>
                  <w:marTop w:val="0"/>
                  <w:marBottom w:val="0"/>
                  <w:divBdr>
                    <w:top w:val="none" w:sz="0" w:space="0" w:color="auto"/>
                    <w:left w:val="none" w:sz="0" w:space="0" w:color="auto"/>
                    <w:bottom w:val="none" w:sz="0" w:space="0" w:color="auto"/>
                    <w:right w:val="none" w:sz="0" w:space="0" w:color="auto"/>
                  </w:divBdr>
                  <w:divsChild>
                    <w:div w:id="1072384506">
                      <w:marLeft w:val="0"/>
                      <w:marRight w:val="0"/>
                      <w:marTop w:val="0"/>
                      <w:marBottom w:val="0"/>
                      <w:divBdr>
                        <w:top w:val="none" w:sz="0" w:space="0" w:color="auto"/>
                        <w:left w:val="none" w:sz="0" w:space="0" w:color="auto"/>
                        <w:bottom w:val="none" w:sz="0" w:space="0" w:color="auto"/>
                        <w:right w:val="none" w:sz="0" w:space="0" w:color="auto"/>
                      </w:divBdr>
                    </w:div>
                  </w:divsChild>
                </w:div>
                <w:div w:id="283705481">
                  <w:marLeft w:val="0"/>
                  <w:marRight w:val="0"/>
                  <w:marTop w:val="0"/>
                  <w:marBottom w:val="0"/>
                  <w:divBdr>
                    <w:top w:val="none" w:sz="0" w:space="0" w:color="auto"/>
                    <w:left w:val="none" w:sz="0" w:space="0" w:color="auto"/>
                    <w:bottom w:val="none" w:sz="0" w:space="0" w:color="auto"/>
                    <w:right w:val="none" w:sz="0" w:space="0" w:color="auto"/>
                  </w:divBdr>
                  <w:divsChild>
                    <w:div w:id="2070036528">
                      <w:marLeft w:val="0"/>
                      <w:marRight w:val="0"/>
                      <w:marTop w:val="0"/>
                      <w:marBottom w:val="0"/>
                      <w:divBdr>
                        <w:top w:val="none" w:sz="0" w:space="0" w:color="auto"/>
                        <w:left w:val="none" w:sz="0" w:space="0" w:color="auto"/>
                        <w:bottom w:val="none" w:sz="0" w:space="0" w:color="auto"/>
                        <w:right w:val="none" w:sz="0" w:space="0" w:color="auto"/>
                      </w:divBdr>
                    </w:div>
                  </w:divsChild>
                </w:div>
                <w:div w:id="289166691">
                  <w:marLeft w:val="0"/>
                  <w:marRight w:val="0"/>
                  <w:marTop w:val="0"/>
                  <w:marBottom w:val="0"/>
                  <w:divBdr>
                    <w:top w:val="none" w:sz="0" w:space="0" w:color="auto"/>
                    <w:left w:val="none" w:sz="0" w:space="0" w:color="auto"/>
                    <w:bottom w:val="none" w:sz="0" w:space="0" w:color="auto"/>
                    <w:right w:val="none" w:sz="0" w:space="0" w:color="auto"/>
                  </w:divBdr>
                  <w:divsChild>
                    <w:div w:id="1194154604">
                      <w:marLeft w:val="0"/>
                      <w:marRight w:val="0"/>
                      <w:marTop w:val="0"/>
                      <w:marBottom w:val="0"/>
                      <w:divBdr>
                        <w:top w:val="none" w:sz="0" w:space="0" w:color="auto"/>
                        <w:left w:val="none" w:sz="0" w:space="0" w:color="auto"/>
                        <w:bottom w:val="none" w:sz="0" w:space="0" w:color="auto"/>
                        <w:right w:val="none" w:sz="0" w:space="0" w:color="auto"/>
                      </w:divBdr>
                    </w:div>
                  </w:divsChild>
                </w:div>
                <w:div w:id="301273997">
                  <w:marLeft w:val="0"/>
                  <w:marRight w:val="0"/>
                  <w:marTop w:val="0"/>
                  <w:marBottom w:val="0"/>
                  <w:divBdr>
                    <w:top w:val="none" w:sz="0" w:space="0" w:color="auto"/>
                    <w:left w:val="none" w:sz="0" w:space="0" w:color="auto"/>
                    <w:bottom w:val="none" w:sz="0" w:space="0" w:color="auto"/>
                    <w:right w:val="none" w:sz="0" w:space="0" w:color="auto"/>
                  </w:divBdr>
                  <w:divsChild>
                    <w:div w:id="536241726">
                      <w:marLeft w:val="0"/>
                      <w:marRight w:val="0"/>
                      <w:marTop w:val="0"/>
                      <w:marBottom w:val="0"/>
                      <w:divBdr>
                        <w:top w:val="none" w:sz="0" w:space="0" w:color="auto"/>
                        <w:left w:val="none" w:sz="0" w:space="0" w:color="auto"/>
                        <w:bottom w:val="none" w:sz="0" w:space="0" w:color="auto"/>
                        <w:right w:val="none" w:sz="0" w:space="0" w:color="auto"/>
                      </w:divBdr>
                    </w:div>
                  </w:divsChild>
                </w:div>
                <w:div w:id="321782017">
                  <w:marLeft w:val="0"/>
                  <w:marRight w:val="0"/>
                  <w:marTop w:val="0"/>
                  <w:marBottom w:val="0"/>
                  <w:divBdr>
                    <w:top w:val="none" w:sz="0" w:space="0" w:color="auto"/>
                    <w:left w:val="none" w:sz="0" w:space="0" w:color="auto"/>
                    <w:bottom w:val="none" w:sz="0" w:space="0" w:color="auto"/>
                    <w:right w:val="none" w:sz="0" w:space="0" w:color="auto"/>
                  </w:divBdr>
                  <w:divsChild>
                    <w:div w:id="144854439">
                      <w:marLeft w:val="0"/>
                      <w:marRight w:val="0"/>
                      <w:marTop w:val="0"/>
                      <w:marBottom w:val="0"/>
                      <w:divBdr>
                        <w:top w:val="none" w:sz="0" w:space="0" w:color="auto"/>
                        <w:left w:val="none" w:sz="0" w:space="0" w:color="auto"/>
                        <w:bottom w:val="none" w:sz="0" w:space="0" w:color="auto"/>
                        <w:right w:val="none" w:sz="0" w:space="0" w:color="auto"/>
                      </w:divBdr>
                    </w:div>
                  </w:divsChild>
                </w:div>
                <w:div w:id="323708942">
                  <w:marLeft w:val="0"/>
                  <w:marRight w:val="0"/>
                  <w:marTop w:val="0"/>
                  <w:marBottom w:val="0"/>
                  <w:divBdr>
                    <w:top w:val="none" w:sz="0" w:space="0" w:color="auto"/>
                    <w:left w:val="none" w:sz="0" w:space="0" w:color="auto"/>
                    <w:bottom w:val="none" w:sz="0" w:space="0" w:color="auto"/>
                    <w:right w:val="none" w:sz="0" w:space="0" w:color="auto"/>
                  </w:divBdr>
                  <w:divsChild>
                    <w:div w:id="798377419">
                      <w:marLeft w:val="0"/>
                      <w:marRight w:val="0"/>
                      <w:marTop w:val="0"/>
                      <w:marBottom w:val="0"/>
                      <w:divBdr>
                        <w:top w:val="none" w:sz="0" w:space="0" w:color="auto"/>
                        <w:left w:val="none" w:sz="0" w:space="0" w:color="auto"/>
                        <w:bottom w:val="none" w:sz="0" w:space="0" w:color="auto"/>
                        <w:right w:val="none" w:sz="0" w:space="0" w:color="auto"/>
                      </w:divBdr>
                    </w:div>
                  </w:divsChild>
                </w:div>
                <w:div w:id="331421450">
                  <w:marLeft w:val="0"/>
                  <w:marRight w:val="0"/>
                  <w:marTop w:val="0"/>
                  <w:marBottom w:val="0"/>
                  <w:divBdr>
                    <w:top w:val="none" w:sz="0" w:space="0" w:color="auto"/>
                    <w:left w:val="none" w:sz="0" w:space="0" w:color="auto"/>
                    <w:bottom w:val="none" w:sz="0" w:space="0" w:color="auto"/>
                    <w:right w:val="none" w:sz="0" w:space="0" w:color="auto"/>
                  </w:divBdr>
                  <w:divsChild>
                    <w:div w:id="466628772">
                      <w:marLeft w:val="0"/>
                      <w:marRight w:val="0"/>
                      <w:marTop w:val="0"/>
                      <w:marBottom w:val="0"/>
                      <w:divBdr>
                        <w:top w:val="none" w:sz="0" w:space="0" w:color="auto"/>
                        <w:left w:val="none" w:sz="0" w:space="0" w:color="auto"/>
                        <w:bottom w:val="none" w:sz="0" w:space="0" w:color="auto"/>
                        <w:right w:val="none" w:sz="0" w:space="0" w:color="auto"/>
                      </w:divBdr>
                    </w:div>
                  </w:divsChild>
                </w:div>
                <w:div w:id="334312058">
                  <w:marLeft w:val="0"/>
                  <w:marRight w:val="0"/>
                  <w:marTop w:val="0"/>
                  <w:marBottom w:val="0"/>
                  <w:divBdr>
                    <w:top w:val="none" w:sz="0" w:space="0" w:color="auto"/>
                    <w:left w:val="none" w:sz="0" w:space="0" w:color="auto"/>
                    <w:bottom w:val="none" w:sz="0" w:space="0" w:color="auto"/>
                    <w:right w:val="none" w:sz="0" w:space="0" w:color="auto"/>
                  </w:divBdr>
                  <w:divsChild>
                    <w:div w:id="81948694">
                      <w:marLeft w:val="0"/>
                      <w:marRight w:val="0"/>
                      <w:marTop w:val="0"/>
                      <w:marBottom w:val="0"/>
                      <w:divBdr>
                        <w:top w:val="none" w:sz="0" w:space="0" w:color="auto"/>
                        <w:left w:val="none" w:sz="0" w:space="0" w:color="auto"/>
                        <w:bottom w:val="none" w:sz="0" w:space="0" w:color="auto"/>
                        <w:right w:val="none" w:sz="0" w:space="0" w:color="auto"/>
                      </w:divBdr>
                    </w:div>
                  </w:divsChild>
                </w:div>
                <w:div w:id="336270700">
                  <w:marLeft w:val="0"/>
                  <w:marRight w:val="0"/>
                  <w:marTop w:val="0"/>
                  <w:marBottom w:val="0"/>
                  <w:divBdr>
                    <w:top w:val="none" w:sz="0" w:space="0" w:color="auto"/>
                    <w:left w:val="none" w:sz="0" w:space="0" w:color="auto"/>
                    <w:bottom w:val="none" w:sz="0" w:space="0" w:color="auto"/>
                    <w:right w:val="none" w:sz="0" w:space="0" w:color="auto"/>
                  </w:divBdr>
                  <w:divsChild>
                    <w:div w:id="1446803572">
                      <w:marLeft w:val="0"/>
                      <w:marRight w:val="0"/>
                      <w:marTop w:val="0"/>
                      <w:marBottom w:val="0"/>
                      <w:divBdr>
                        <w:top w:val="none" w:sz="0" w:space="0" w:color="auto"/>
                        <w:left w:val="none" w:sz="0" w:space="0" w:color="auto"/>
                        <w:bottom w:val="none" w:sz="0" w:space="0" w:color="auto"/>
                        <w:right w:val="none" w:sz="0" w:space="0" w:color="auto"/>
                      </w:divBdr>
                    </w:div>
                  </w:divsChild>
                </w:div>
                <w:div w:id="341011861">
                  <w:marLeft w:val="0"/>
                  <w:marRight w:val="0"/>
                  <w:marTop w:val="0"/>
                  <w:marBottom w:val="0"/>
                  <w:divBdr>
                    <w:top w:val="none" w:sz="0" w:space="0" w:color="auto"/>
                    <w:left w:val="none" w:sz="0" w:space="0" w:color="auto"/>
                    <w:bottom w:val="none" w:sz="0" w:space="0" w:color="auto"/>
                    <w:right w:val="none" w:sz="0" w:space="0" w:color="auto"/>
                  </w:divBdr>
                  <w:divsChild>
                    <w:div w:id="1939870665">
                      <w:marLeft w:val="0"/>
                      <w:marRight w:val="0"/>
                      <w:marTop w:val="0"/>
                      <w:marBottom w:val="0"/>
                      <w:divBdr>
                        <w:top w:val="none" w:sz="0" w:space="0" w:color="auto"/>
                        <w:left w:val="none" w:sz="0" w:space="0" w:color="auto"/>
                        <w:bottom w:val="none" w:sz="0" w:space="0" w:color="auto"/>
                        <w:right w:val="none" w:sz="0" w:space="0" w:color="auto"/>
                      </w:divBdr>
                    </w:div>
                  </w:divsChild>
                </w:div>
                <w:div w:id="347217844">
                  <w:marLeft w:val="0"/>
                  <w:marRight w:val="0"/>
                  <w:marTop w:val="0"/>
                  <w:marBottom w:val="0"/>
                  <w:divBdr>
                    <w:top w:val="none" w:sz="0" w:space="0" w:color="auto"/>
                    <w:left w:val="none" w:sz="0" w:space="0" w:color="auto"/>
                    <w:bottom w:val="none" w:sz="0" w:space="0" w:color="auto"/>
                    <w:right w:val="none" w:sz="0" w:space="0" w:color="auto"/>
                  </w:divBdr>
                  <w:divsChild>
                    <w:div w:id="321589930">
                      <w:marLeft w:val="0"/>
                      <w:marRight w:val="0"/>
                      <w:marTop w:val="0"/>
                      <w:marBottom w:val="0"/>
                      <w:divBdr>
                        <w:top w:val="none" w:sz="0" w:space="0" w:color="auto"/>
                        <w:left w:val="none" w:sz="0" w:space="0" w:color="auto"/>
                        <w:bottom w:val="none" w:sz="0" w:space="0" w:color="auto"/>
                        <w:right w:val="none" w:sz="0" w:space="0" w:color="auto"/>
                      </w:divBdr>
                    </w:div>
                  </w:divsChild>
                </w:div>
                <w:div w:id="348070277">
                  <w:marLeft w:val="0"/>
                  <w:marRight w:val="0"/>
                  <w:marTop w:val="0"/>
                  <w:marBottom w:val="0"/>
                  <w:divBdr>
                    <w:top w:val="none" w:sz="0" w:space="0" w:color="auto"/>
                    <w:left w:val="none" w:sz="0" w:space="0" w:color="auto"/>
                    <w:bottom w:val="none" w:sz="0" w:space="0" w:color="auto"/>
                    <w:right w:val="none" w:sz="0" w:space="0" w:color="auto"/>
                  </w:divBdr>
                  <w:divsChild>
                    <w:div w:id="849181728">
                      <w:marLeft w:val="0"/>
                      <w:marRight w:val="0"/>
                      <w:marTop w:val="0"/>
                      <w:marBottom w:val="0"/>
                      <w:divBdr>
                        <w:top w:val="none" w:sz="0" w:space="0" w:color="auto"/>
                        <w:left w:val="none" w:sz="0" w:space="0" w:color="auto"/>
                        <w:bottom w:val="none" w:sz="0" w:space="0" w:color="auto"/>
                        <w:right w:val="none" w:sz="0" w:space="0" w:color="auto"/>
                      </w:divBdr>
                    </w:div>
                  </w:divsChild>
                </w:div>
                <w:div w:id="349643122">
                  <w:marLeft w:val="0"/>
                  <w:marRight w:val="0"/>
                  <w:marTop w:val="0"/>
                  <w:marBottom w:val="0"/>
                  <w:divBdr>
                    <w:top w:val="none" w:sz="0" w:space="0" w:color="auto"/>
                    <w:left w:val="none" w:sz="0" w:space="0" w:color="auto"/>
                    <w:bottom w:val="none" w:sz="0" w:space="0" w:color="auto"/>
                    <w:right w:val="none" w:sz="0" w:space="0" w:color="auto"/>
                  </w:divBdr>
                  <w:divsChild>
                    <w:div w:id="859464535">
                      <w:marLeft w:val="0"/>
                      <w:marRight w:val="0"/>
                      <w:marTop w:val="0"/>
                      <w:marBottom w:val="0"/>
                      <w:divBdr>
                        <w:top w:val="none" w:sz="0" w:space="0" w:color="auto"/>
                        <w:left w:val="none" w:sz="0" w:space="0" w:color="auto"/>
                        <w:bottom w:val="none" w:sz="0" w:space="0" w:color="auto"/>
                        <w:right w:val="none" w:sz="0" w:space="0" w:color="auto"/>
                      </w:divBdr>
                    </w:div>
                  </w:divsChild>
                </w:div>
                <w:div w:id="360862881">
                  <w:marLeft w:val="0"/>
                  <w:marRight w:val="0"/>
                  <w:marTop w:val="0"/>
                  <w:marBottom w:val="0"/>
                  <w:divBdr>
                    <w:top w:val="none" w:sz="0" w:space="0" w:color="auto"/>
                    <w:left w:val="none" w:sz="0" w:space="0" w:color="auto"/>
                    <w:bottom w:val="none" w:sz="0" w:space="0" w:color="auto"/>
                    <w:right w:val="none" w:sz="0" w:space="0" w:color="auto"/>
                  </w:divBdr>
                  <w:divsChild>
                    <w:div w:id="1017317163">
                      <w:marLeft w:val="0"/>
                      <w:marRight w:val="0"/>
                      <w:marTop w:val="0"/>
                      <w:marBottom w:val="0"/>
                      <w:divBdr>
                        <w:top w:val="none" w:sz="0" w:space="0" w:color="auto"/>
                        <w:left w:val="none" w:sz="0" w:space="0" w:color="auto"/>
                        <w:bottom w:val="none" w:sz="0" w:space="0" w:color="auto"/>
                        <w:right w:val="none" w:sz="0" w:space="0" w:color="auto"/>
                      </w:divBdr>
                    </w:div>
                  </w:divsChild>
                </w:div>
                <w:div w:id="365833646">
                  <w:marLeft w:val="0"/>
                  <w:marRight w:val="0"/>
                  <w:marTop w:val="0"/>
                  <w:marBottom w:val="0"/>
                  <w:divBdr>
                    <w:top w:val="none" w:sz="0" w:space="0" w:color="auto"/>
                    <w:left w:val="none" w:sz="0" w:space="0" w:color="auto"/>
                    <w:bottom w:val="none" w:sz="0" w:space="0" w:color="auto"/>
                    <w:right w:val="none" w:sz="0" w:space="0" w:color="auto"/>
                  </w:divBdr>
                  <w:divsChild>
                    <w:div w:id="1819803725">
                      <w:marLeft w:val="0"/>
                      <w:marRight w:val="0"/>
                      <w:marTop w:val="0"/>
                      <w:marBottom w:val="0"/>
                      <w:divBdr>
                        <w:top w:val="none" w:sz="0" w:space="0" w:color="auto"/>
                        <w:left w:val="none" w:sz="0" w:space="0" w:color="auto"/>
                        <w:bottom w:val="none" w:sz="0" w:space="0" w:color="auto"/>
                        <w:right w:val="none" w:sz="0" w:space="0" w:color="auto"/>
                      </w:divBdr>
                    </w:div>
                  </w:divsChild>
                </w:div>
                <w:div w:id="370228792">
                  <w:marLeft w:val="0"/>
                  <w:marRight w:val="0"/>
                  <w:marTop w:val="0"/>
                  <w:marBottom w:val="0"/>
                  <w:divBdr>
                    <w:top w:val="none" w:sz="0" w:space="0" w:color="auto"/>
                    <w:left w:val="none" w:sz="0" w:space="0" w:color="auto"/>
                    <w:bottom w:val="none" w:sz="0" w:space="0" w:color="auto"/>
                    <w:right w:val="none" w:sz="0" w:space="0" w:color="auto"/>
                  </w:divBdr>
                  <w:divsChild>
                    <w:div w:id="1191183007">
                      <w:marLeft w:val="0"/>
                      <w:marRight w:val="0"/>
                      <w:marTop w:val="0"/>
                      <w:marBottom w:val="0"/>
                      <w:divBdr>
                        <w:top w:val="none" w:sz="0" w:space="0" w:color="auto"/>
                        <w:left w:val="none" w:sz="0" w:space="0" w:color="auto"/>
                        <w:bottom w:val="none" w:sz="0" w:space="0" w:color="auto"/>
                        <w:right w:val="none" w:sz="0" w:space="0" w:color="auto"/>
                      </w:divBdr>
                    </w:div>
                  </w:divsChild>
                </w:div>
                <w:div w:id="372195321">
                  <w:marLeft w:val="0"/>
                  <w:marRight w:val="0"/>
                  <w:marTop w:val="0"/>
                  <w:marBottom w:val="0"/>
                  <w:divBdr>
                    <w:top w:val="none" w:sz="0" w:space="0" w:color="auto"/>
                    <w:left w:val="none" w:sz="0" w:space="0" w:color="auto"/>
                    <w:bottom w:val="none" w:sz="0" w:space="0" w:color="auto"/>
                    <w:right w:val="none" w:sz="0" w:space="0" w:color="auto"/>
                  </w:divBdr>
                  <w:divsChild>
                    <w:div w:id="403912218">
                      <w:marLeft w:val="0"/>
                      <w:marRight w:val="0"/>
                      <w:marTop w:val="0"/>
                      <w:marBottom w:val="0"/>
                      <w:divBdr>
                        <w:top w:val="none" w:sz="0" w:space="0" w:color="auto"/>
                        <w:left w:val="none" w:sz="0" w:space="0" w:color="auto"/>
                        <w:bottom w:val="none" w:sz="0" w:space="0" w:color="auto"/>
                        <w:right w:val="none" w:sz="0" w:space="0" w:color="auto"/>
                      </w:divBdr>
                    </w:div>
                  </w:divsChild>
                </w:div>
                <w:div w:id="373116664">
                  <w:marLeft w:val="0"/>
                  <w:marRight w:val="0"/>
                  <w:marTop w:val="0"/>
                  <w:marBottom w:val="0"/>
                  <w:divBdr>
                    <w:top w:val="none" w:sz="0" w:space="0" w:color="auto"/>
                    <w:left w:val="none" w:sz="0" w:space="0" w:color="auto"/>
                    <w:bottom w:val="none" w:sz="0" w:space="0" w:color="auto"/>
                    <w:right w:val="none" w:sz="0" w:space="0" w:color="auto"/>
                  </w:divBdr>
                  <w:divsChild>
                    <w:div w:id="390227766">
                      <w:marLeft w:val="0"/>
                      <w:marRight w:val="0"/>
                      <w:marTop w:val="0"/>
                      <w:marBottom w:val="0"/>
                      <w:divBdr>
                        <w:top w:val="none" w:sz="0" w:space="0" w:color="auto"/>
                        <w:left w:val="none" w:sz="0" w:space="0" w:color="auto"/>
                        <w:bottom w:val="none" w:sz="0" w:space="0" w:color="auto"/>
                        <w:right w:val="none" w:sz="0" w:space="0" w:color="auto"/>
                      </w:divBdr>
                    </w:div>
                  </w:divsChild>
                </w:div>
                <w:div w:id="373240656">
                  <w:marLeft w:val="0"/>
                  <w:marRight w:val="0"/>
                  <w:marTop w:val="0"/>
                  <w:marBottom w:val="0"/>
                  <w:divBdr>
                    <w:top w:val="none" w:sz="0" w:space="0" w:color="auto"/>
                    <w:left w:val="none" w:sz="0" w:space="0" w:color="auto"/>
                    <w:bottom w:val="none" w:sz="0" w:space="0" w:color="auto"/>
                    <w:right w:val="none" w:sz="0" w:space="0" w:color="auto"/>
                  </w:divBdr>
                  <w:divsChild>
                    <w:div w:id="479924579">
                      <w:marLeft w:val="0"/>
                      <w:marRight w:val="0"/>
                      <w:marTop w:val="0"/>
                      <w:marBottom w:val="0"/>
                      <w:divBdr>
                        <w:top w:val="none" w:sz="0" w:space="0" w:color="auto"/>
                        <w:left w:val="none" w:sz="0" w:space="0" w:color="auto"/>
                        <w:bottom w:val="none" w:sz="0" w:space="0" w:color="auto"/>
                        <w:right w:val="none" w:sz="0" w:space="0" w:color="auto"/>
                      </w:divBdr>
                    </w:div>
                  </w:divsChild>
                </w:div>
                <w:div w:id="381708928">
                  <w:marLeft w:val="0"/>
                  <w:marRight w:val="0"/>
                  <w:marTop w:val="0"/>
                  <w:marBottom w:val="0"/>
                  <w:divBdr>
                    <w:top w:val="none" w:sz="0" w:space="0" w:color="auto"/>
                    <w:left w:val="none" w:sz="0" w:space="0" w:color="auto"/>
                    <w:bottom w:val="none" w:sz="0" w:space="0" w:color="auto"/>
                    <w:right w:val="none" w:sz="0" w:space="0" w:color="auto"/>
                  </w:divBdr>
                  <w:divsChild>
                    <w:div w:id="308435828">
                      <w:marLeft w:val="0"/>
                      <w:marRight w:val="0"/>
                      <w:marTop w:val="0"/>
                      <w:marBottom w:val="0"/>
                      <w:divBdr>
                        <w:top w:val="none" w:sz="0" w:space="0" w:color="auto"/>
                        <w:left w:val="none" w:sz="0" w:space="0" w:color="auto"/>
                        <w:bottom w:val="none" w:sz="0" w:space="0" w:color="auto"/>
                        <w:right w:val="none" w:sz="0" w:space="0" w:color="auto"/>
                      </w:divBdr>
                    </w:div>
                  </w:divsChild>
                </w:div>
                <w:div w:id="390274836">
                  <w:marLeft w:val="0"/>
                  <w:marRight w:val="0"/>
                  <w:marTop w:val="0"/>
                  <w:marBottom w:val="0"/>
                  <w:divBdr>
                    <w:top w:val="none" w:sz="0" w:space="0" w:color="auto"/>
                    <w:left w:val="none" w:sz="0" w:space="0" w:color="auto"/>
                    <w:bottom w:val="none" w:sz="0" w:space="0" w:color="auto"/>
                    <w:right w:val="none" w:sz="0" w:space="0" w:color="auto"/>
                  </w:divBdr>
                  <w:divsChild>
                    <w:div w:id="1670254176">
                      <w:marLeft w:val="0"/>
                      <w:marRight w:val="0"/>
                      <w:marTop w:val="0"/>
                      <w:marBottom w:val="0"/>
                      <w:divBdr>
                        <w:top w:val="none" w:sz="0" w:space="0" w:color="auto"/>
                        <w:left w:val="none" w:sz="0" w:space="0" w:color="auto"/>
                        <w:bottom w:val="none" w:sz="0" w:space="0" w:color="auto"/>
                        <w:right w:val="none" w:sz="0" w:space="0" w:color="auto"/>
                      </w:divBdr>
                    </w:div>
                  </w:divsChild>
                </w:div>
                <w:div w:id="392243664">
                  <w:marLeft w:val="0"/>
                  <w:marRight w:val="0"/>
                  <w:marTop w:val="0"/>
                  <w:marBottom w:val="0"/>
                  <w:divBdr>
                    <w:top w:val="none" w:sz="0" w:space="0" w:color="auto"/>
                    <w:left w:val="none" w:sz="0" w:space="0" w:color="auto"/>
                    <w:bottom w:val="none" w:sz="0" w:space="0" w:color="auto"/>
                    <w:right w:val="none" w:sz="0" w:space="0" w:color="auto"/>
                  </w:divBdr>
                  <w:divsChild>
                    <w:div w:id="342629916">
                      <w:marLeft w:val="0"/>
                      <w:marRight w:val="0"/>
                      <w:marTop w:val="0"/>
                      <w:marBottom w:val="0"/>
                      <w:divBdr>
                        <w:top w:val="none" w:sz="0" w:space="0" w:color="auto"/>
                        <w:left w:val="none" w:sz="0" w:space="0" w:color="auto"/>
                        <w:bottom w:val="none" w:sz="0" w:space="0" w:color="auto"/>
                        <w:right w:val="none" w:sz="0" w:space="0" w:color="auto"/>
                      </w:divBdr>
                    </w:div>
                  </w:divsChild>
                </w:div>
                <w:div w:id="392972147">
                  <w:marLeft w:val="0"/>
                  <w:marRight w:val="0"/>
                  <w:marTop w:val="0"/>
                  <w:marBottom w:val="0"/>
                  <w:divBdr>
                    <w:top w:val="none" w:sz="0" w:space="0" w:color="auto"/>
                    <w:left w:val="none" w:sz="0" w:space="0" w:color="auto"/>
                    <w:bottom w:val="none" w:sz="0" w:space="0" w:color="auto"/>
                    <w:right w:val="none" w:sz="0" w:space="0" w:color="auto"/>
                  </w:divBdr>
                  <w:divsChild>
                    <w:div w:id="466818894">
                      <w:marLeft w:val="0"/>
                      <w:marRight w:val="0"/>
                      <w:marTop w:val="0"/>
                      <w:marBottom w:val="0"/>
                      <w:divBdr>
                        <w:top w:val="none" w:sz="0" w:space="0" w:color="auto"/>
                        <w:left w:val="none" w:sz="0" w:space="0" w:color="auto"/>
                        <w:bottom w:val="none" w:sz="0" w:space="0" w:color="auto"/>
                        <w:right w:val="none" w:sz="0" w:space="0" w:color="auto"/>
                      </w:divBdr>
                    </w:div>
                  </w:divsChild>
                </w:div>
                <w:div w:id="396513634">
                  <w:marLeft w:val="0"/>
                  <w:marRight w:val="0"/>
                  <w:marTop w:val="0"/>
                  <w:marBottom w:val="0"/>
                  <w:divBdr>
                    <w:top w:val="none" w:sz="0" w:space="0" w:color="auto"/>
                    <w:left w:val="none" w:sz="0" w:space="0" w:color="auto"/>
                    <w:bottom w:val="none" w:sz="0" w:space="0" w:color="auto"/>
                    <w:right w:val="none" w:sz="0" w:space="0" w:color="auto"/>
                  </w:divBdr>
                  <w:divsChild>
                    <w:div w:id="1767848481">
                      <w:marLeft w:val="0"/>
                      <w:marRight w:val="0"/>
                      <w:marTop w:val="0"/>
                      <w:marBottom w:val="0"/>
                      <w:divBdr>
                        <w:top w:val="none" w:sz="0" w:space="0" w:color="auto"/>
                        <w:left w:val="none" w:sz="0" w:space="0" w:color="auto"/>
                        <w:bottom w:val="none" w:sz="0" w:space="0" w:color="auto"/>
                        <w:right w:val="none" w:sz="0" w:space="0" w:color="auto"/>
                      </w:divBdr>
                    </w:div>
                  </w:divsChild>
                </w:div>
                <w:div w:id="399670793">
                  <w:marLeft w:val="0"/>
                  <w:marRight w:val="0"/>
                  <w:marTop w:val="0"/>
                  <w:marBottom w:val="0"/>
                  <w:divBdr>
                    <w:top w:val="none" w:sz="0" w:space="0" w:color="auto"/>
                    <w:left w:val="none" w:sz="0" w:space="0" w:color="auto"/>
                    <w:bottom w:val="none" w:sz="0" w:space="0" w:color="auto"/>
                    <w:right w:val="none" w:sz="0" w:space="0" w:color="auto"/>
                  </w:divBdr>
                  <w:divsChild>
                    <w:div w:id="1103300762">
                      <w:marLeft w:val="0"/>
                      <w:marRight w:val="0"/>
                      <w:marTop w:val="0"/>
                      <w:marBottom w:val="0"/>
                      <w:divBdr>
                        <w:top w:val="none" w:sz="0" w:space="0" w:color="auto"/>
                        <w:left w:val="none" w:sz="0" w:space="0" w:color="auto"/>
                        <w:bottom w:val="none" w:sz="0" w:space="0" w:color="auto"/>
                        <w:right w:val="none" w:sz="0" w:space="0" w:color="auto"/>
                      </w:divBdr>
                    </w:div>
                  </w:divsChild>
                </w:div>
                <w:div w:id="402725361">
                  <w:marLeft w:val="0"/>
                  <w:marRight w:val="0"/>
                  <w:marTop w:val="0"/>
                  <w:marBottom w:val="0"/>
                  <w:divBdr>
                    <w:top w:val="none" w:sz="0" w:space="0" w:color="auto"/>
                    <w:left w:val="none" w:sz="0" w:space="0" w:color="auto"/>
                    <w:bottom w:val="none" w:sz="0" w:space="0" w:color="auto"/>
                    <w:right w:val="none" w:sz="0" w:space="0" w:color="auto"/>
                  </w:divBdr>
                  <w:divsChild>
                    <w:div w:id="1246841381">
                      <w:marLeft w:val="0"/>
                      <w:marRight w:val="0"/>
                      <w:marTop w:val="0"/>
                      <w:marBottom w:val="0"/>
                      <w:divBdr>
                        <w:top w:val="none" w:sz="0" w:space="0" w:color="auto"/>
                        <w:left w:val="none" w:sz="0" w:space="0" w:color="auto"/>
                        <w:bottom w:val="none" w:sz="0" w:space="0" w:color="auto"/>
                        <w:right w:val="none" w:sz="0" w:space="0" w:color="auto"/>
                      </w:divBdr>
                    </w:div>
                  </w:divsChild>
                </w:div>
                <w:div w:id="402920308">
                  <w:marLeft w:val="0"/>
                  <w:marRight w:val="0"/>
                  <w:marTop w:val="0"/>
                  <w:marBottom w:val="0"/>
                  <w:divBdr>
                    <w:top w:val="none" w:sz="0" w:space="0" w:color="auto"/>
                    <w:left w:val="none" w:sz="0" w:space="0" w:color="auto"/>
                    <w:bottom w:val="none" w:sz="0" w:space="0" w:color="auto"/>
                    <w:right w:val="none" w:sz="0" w:space="0" w:color="auto"/>
                  </w:divBdr>
                  <w:divsChild>
                    <w:div w:id="2056201729">
                      <w:marLeft w:val="0"/>
                      <w:marRight w:val="0"/>
                      <w:marTop w:val="0"/>
                      <w:marBottom w:val="0"/>
                      <w:divBdr>
                        <w:top w:val="none" w:sz="0" w:space="0" w:color="auto"/>
                        <w:left w:val="none" w:sz="0" w:space="0" w:color="auto"/>
                        <w:bottom w:val="none" w:sz="0" w:space="0" w:color="auto"/>
                        <w:right w:val="none" w:sz="0" w:space="0" w:color="auto"/>
                      </w:divBdr>
                    </w:div>
                  </w:divsChild>
                </w:div>
                <w:div w:id="403185833">
                  <w:marLeft w:val="0"/>
                  <w:marRight w:val="0"/>
                  <w:marTop w:val="0"/>
                  <w:marBottom w:val="0"/>
                  <w:divBdr>
                    <w:top w:val="none" w:sz="0" w:space="0" w:color="auto"/>
                    <w:left w:val="none" w:sz="0" w:space="0" w:color="auto"/>
                    <w:bottom w:val="none" w:sz="0" w:space="0" w:color="auto"/>
                    <w:right w:val="none" w:sz="0" w:space="0" w:color="auto"/>
                  </w:divBdr>
                  <w:divsChild>
                    <w:div w:id="874082456">
                      <w:marLeft w:val="0"/>
                      <w:marRight w:val="0"/>
                      <w:marTop w:val="0"/>
                      <w:marBottom w:val="0"/>
                      <w:divBdr>
                        <w:top w:val="none" w:sz="0" w:space="0" w:color="auto"/>
                        <w:left w:val="none" w:sz="0" w:space="0" w:color="auto"/>
                        <w:bottom w:val="none" w:sz="0" w:space="0" w:color="auto"/>
                        <w:right w:val="none" w:sz="0" w:space="0" w:color="auto"/>
                      </w:divBdr>
                    </w:div>
                  </w:divsChild>
                </w:div>
                <w:div w:id="406802317">
                  <w:marLeft w:val="0"/>
                  <w:marRight w:val="0"/>
                  <w:marTop w:val="0"/>
                  <w:marBottom w:val="0"/>
                  <w:divBdr>
                    <w:top w:val="none" w:sz="0" w:space="0" w:color="auto"/>
                    <w:left w:val="none" w:sz="0" w:space="0" w:color="auto"/>
                    <w:bottom w:val="none" w:sz="0" w:space="0" w:color="auto"/>
                    <w:right w:val="none" w:sz="0" w:space="0" w:color="auto"/>
                  </w:divBdr>
                  <w:divsChild>
                    <w:div w:id="1132553243">
                      <w:marLeft w:val="0"/>
                      <w:marRight w:val="0"/>
                      <w:marTop w:val="0"/>
                      <w:marBottom w:val="0"/>
                      <w:divBdr>
                        <w:top w:val="none" w:sz="0" w:space="0" w:color="auto"/>
                        <w:left w:val="none" w:sz="0" w:space="0" w:color="auto"/>
                        <w:bottom w:val="none" w:sz="0" w:space="0" w:color="auto"/>
                        <w:right w:val="none" w:sz="0" w:space="0" w:color="auto"/>
                      </w:divBdr>
                    </w:div>
                  </w:divsChild>
                </w:div>
                <w:div w:id="408504160">
                  <w:marLeft w:val="0"/>
                  <w:marRight w:val="0"/>
                  <w:marTop w:val="0"/>
                  <w:marBottom w:val="0"/>
                  <w:divBdr>
                    <w:top w:val="none" w:sz="0" w:space="0" w:color="auto"/>
                    <w:left w:val="none" w:sz="0" w:space="0" w:color="auto"/>
                    <w:bottom w:val="none" w:sz="0" w:space="0" w:color="auto"/>
                    <w:right w:val="none" w:sz="0" w:space="0" w:color="auto"/>
                  </w:divBdr>
                  <w:divsChild>
                    <w:div w:id="183834429">
                      <w:marLeft w:val="0"/>
                      <w:marRight w:val="0"/>
                      <w:marTop w:val="0"/>
                      <w:marBottom w:val="0"/>
                      <w:divBdr>
                        <w:top w:val="none" w:sz="0" w:space="0" w:color="auto"/>
                        <w:left w:val="none" w:sz="0" w:space="0" w:color="auto"/>
                        <w:bottom w:val="none" w:sz="0" w:space="0" w:color="auto"/>
                        <w:right w:val="none" w:sz="0" w:space="0" w:color="auto"/>
                      </w:divBdr>
                    </w:div>
                  </w:divsChild>
                </w:div>
                <w:div w:id="424115751">
                  <w:marLeft w:val="0"/>
                  <w:marRight w:val="0"/>
                  <w:marTop w:val="0"/>
                  <w:marBottom w:val="0"/>
                  <w:divBdr>
                    <w:top w:val="none" w:sz="0" w:space="0" w:color="auto"/>
                    <w:left w:val="none" w:sz="0" w:space="0" w:color="auto"/>
                    <w:bottom w:val="none" w:sz="0" w:space="0" w:color="auto"/>
                    <w:right w:val="none" w:sz="0" w:space="0" w:color="auto"/>
                  </w:divBdr>
                  <w:divsChild>
                    <w:div w:id="1498494640">
                      <w:marLeft w:val="0"/>
                      <w:marRight w:val="0"/>
                      <w:marTop w:val="0"/>
                      <w:marBottom w:val="0"/>
                      <w:divBdr>
                        <w:top w:val="none" w:sz="0" w:space="0" w:color="auto"/>
                        <w:left w:val="none" w:sz="0" w:space="0" w:color="auto"/>
                        <w:bottom w:val="none" w:sz="0" w:space="0" w:color="auto"/>
                        <w:right w:val="none" w:sz="0" w:space="0" w:color="auto"/>
                      </w:divBdr>
                    </w:div>
                  </w:divsChild>
                </w:div>
                <w:div w:id="427966571">
                  <w:marLeft w:val="0"/>
                  <w:marRight w:val="0"/>
                  <w:marTop w:val="0"/>
                  <w:marBottom w:val="0"/>
                  <w:divBdr>
                    <w:top w:val="none" w:sz="0" w:space="0" w:color="auto"/>
                    <w:left w:val="none" w:sz="0" w:space="0" w:color="auto"/>
                    <w:bottom w:val="none" w:sz="0" w:space="0" w:color="auto"/>
                    <w:right w:val="none" w:sz="0" w:space="0" w:color="auto"/>
                  </w:divBdr>
                  <w:divsChild>
                    <w:div w:id="1760561490">
                      <w:marLeft w:val="0"/>
                      <w:marRight w:val="0"/>
                      <w:marTop w:val="0"/>
                      <w:marBottom w:val="0"/>
                      <w:divBdr>
                        <w:top w:val="none" w:sz="0" w:space="0" w:color="auto"/>
                        <w:left w:val="none" w:sz="0" w:space="0" w:color="auto"/>
                        <w:bottom w:val="none" w:sz="0" w:space="0" w:color="auto"/>
                        <w:right w:val="none" w:sz="0" w:space="0" w:color="auto"/>
                      </w:divBdr>
                    </w:div>
                  </w:divsChild>
                </w:div>
                <w:div w:id="428358270">
                  <w:marLeft w:val="0"/>
                  <w:marRight w:val="0"/>
                  <w:marTop w:val="0"/>
                  <w:marBottom w:val="0"/>
                  <w:divBdr>
                    <w:top w:val="none" w:sz="0" w:space="0" w:color="auto"/>
                    <w:left w:val="none" w:sz="0" w:space="0" w:color="auto"/>
                    <w:bottom w:val="none" w:sz="0" w:space="0" w:color="auto"/>
                    <w:right w:val="none" w:sz="0" w:space="0" w:color="auto"/>
                  </w:divBdr>
                  <w:divsChild>
                    <w:div w:id="1741898761">
                      <w:marLeft w:val="0"/>
                      <w:marRight w:val="0"/>
                      <w:marTop w:val="0"/>
                      <w:marBottom w:val="0"/>
                      <w:divBdr>
                        <w:top w:val="none" w:sz="0" w:space="0" w:color="auto"/>
                        <w:left w:val="none" w:sz="0" w:space="0" w:color="auto"/>
                        <w:bottom w:val="none" w:sz="0" w:space="0" w:color="auto"/>
                        <w:right w:val="none" w:sz="0" w:space="0" w:color="auto"/>
                      </w:divBdr>
                    </w:div>
                  </w:divsChild>
                </w:div>
                <w:div w:id="430049860">
                  <w:marLeft w:val="0"/>
                  <w:marRight w:val="0"/>
                  <w:marTop w:val="0"/>
                  <w:marBottom w:val="0"/>
                  <w:divBdr>
                    <w:top w:val="none" w:sz="0" w:space="0" w:color="auto"/>
                    <w:left w:val="none" w:sz="0" w:space="0" w:color="auto"/>
                    <w:bottom w:val="none" w:sz="0" w:space="0" w:color="auto"/>
                    <w:right w:val="none" w:sz="0" w:space="0" w:color="auto"/>
                  </w:divBdr>
                  <w:divsChild>
                    <w:div w:id="1580750911">
                      <w:marLeft w:val="0"/>
                      <w:marRight w:val="0"/>
                      <w:marTop w:val="0"/>
                      <w:marBottom w:val="0"/>
                      <w:divBdr>
                        <w:top w:val="none" w:sz="0" w:space="0" w:color="auto"/>
                        <w:left w:val="none" w:sz="0" w:space="0" w:color="auto"/>
                        <w:bottom w:val="none" w:sz="0" w:space="0" w:color="auto"/>
                        <w:right w:val="none" w:sz="0" w:space="0" w:color="auto"/>
                      </w:divBdr>
                    </w:div>
                  </w:divsChild>
                </w:div>
                <w:div w:id="432286255">
                  <w:marLeft w:val="0"/>
                  <w:marRight w:val="0"/>
                  <w:marTop w:val="0"/>
                  <w:marBottom w:val="0"/>
                  <w:divBdr>
                    <w:top w:val="none" w:sz="0" w:space="0" w:color="auto"/>
                    <w:left w:val="none" w:sz="0" w:space="0" w:color="auto"/>
                    <w:bottom w:val="none" w:sz="0" w:space="0" w:color="auto"/>
                    <w:right w:val="none" w:sz="0" w:space="0" w:color="auto"/>
                  </w:divBdr>
                  <w:divsChild>
                    <w:div w:id="316767441">
                      <w:marLeft w:val="0"/>
                      <w:marRight w:val="0"/>
                      <w:marTop w:val="0"/>
                      <w:marBottom w:val="0"/>
                      <w:divBdr>
                        <w:top w:val="none" w:sz="0" w:space="0" w:color="auto"/>
                        <w:left w:val="none" w:sz="0" w:space="0" w:color="auto"/>
                        <w:bottom w:val="none" w:sz="0" w:space="0" w:color="auto"/>
                        <w:right w:val="none" w:sz="0" w:space="0" w:color="auto"/>
                      </w:divBdr>
                    </w:div>
                  </w:divsChild>
                </w:div>
                <w:div w:id="434597422">
                  <w:marLeft w:val="0"/>
                  <w:marRight w:val="0"/>
                  <w:marTop w:val="0"/>
                  <w:marBottom w:val="0"/>
                  <w:divBdr>
                    <w:top w:val="none" w:sz="0" w:space="0" w:color="auto"/>
                    <w:left w:val="none" w:sz="0" w:space="0" w:color="auto"/>
                    <w:bottom w:val="none" w:sz="0" w:space="0" w:color="auto"/>
                    <w:right w:val="none" w:sz="0" w:space="0" w:color="auto"/>
                  </w:divBdr>
                  <w:divsChild>
                    <w:div w:id="149450617">
                      <w:marLeft w:val="0"/>
                      <w:marRight w:val="0"/>
                      <w:marTop w:val="0"/>
                      <w:marBottom w:val="0"/>
                      <w:divBdr>
                        <w:top w:val="none" w:sz="0" w:space="0" w:color="auto"/>
                        <w:left w:val="none" w:sz="0" w:space="0" w:color="auto"/>
                        <w:bottom w:val="none" w:sz="0" w:space="0" w:color="auto"/>
                        <w:right w:val="none" w:sz="0" w:space="0" w:color="auto"/>
                      </w:divBdr>
                    </w:div>
                  </w:divsChild>
                </w:div>
                <w:div w:id="434979233">
                  <w:marLeft w:val="0"/>
                  <w:marRight w:val="0"/>
                  <w:marTop w:val="0"/>
                  <w:marBottom w:val="0"/>
                  <w:divBdr>
                    <w:top w:val="none" w:sz="0" w:space="0" w:color="auto"/>
                    <w:left w:val="none" w:sz="0" w:space="0" w:color="auto"/>
                    <w:bottom w:val="none" w:sz="0" w:space="0" w:color="auto"/>
                    <w:right w:val="none" w:sz="0" w:space="0" w:color="auto"/>
                  </w:divBdr>
                  <w:divsChild>
                    <w:div w:id="1956785436">
                      <w:marLeft w:val="0"/>
                      <w:marRight w:val="0"/>
                      <w:marTop w:val="0"/>
                      <w:marBottom w:val="0"/>
                      <w:divBdr>
                        <w:top w:val="none" w:sz="0" w:space="0" w:color="auto"/>
                        <w:left w:val="none" w:sz="0" w:space="0" w:color="auto"/>
                        <w:bottom w:val="none" w:sz="0" w:space="0" w:color="auto"/>
                        <w:right w:val="none" w:sz="0" w:space="0" w:color="auto"/>
                      </w:divBdr>
                    </w:div>
                  </w:divsChild>
                </w:div>
                <w:div w:id="437992448">
                  <w:marLeft w:val="0"/>
                  <w:marRight w:val="0"/>
                  <w:marTop w:val="0"/>
                  <w:marBottom w:val="0"/>
                  <w:divBdr>
                    <w:top w:val="none" w:sz="0" w:space="0" w:color="auto"/>
                    <w:left w:val="none" w:sz="0" w:space="0" w:color="auto"/>
                    <w:bottom w:val="none" w:sz="0" w:space="0" w:color="auto"/>
                    <w:right w:val="none" w:sz="0" w:space="0" w:color="auto"/>
                  </w:divBdr>
                  <w:divsChild>
                    <w:div w:id="347760311">
                      <w:marLeft w:val="0"/>
                      <w:marRight w:val="0"/>
                      <w:marTop w:val="0"/>
                      <w:marBottom w:val="0"/>
                      <w:divBdr>
                        <w:top w:val="none" w:sz="0" w:space="0" w:color="auto"/>
                        <w:left w:val="none" w:sz="0" w:space="0" w:color="auto"/>
                        <w:bottom w:val="none" w:sz="0" w:space="0" w:color="auto"/>
                        <w:right w:val="none" w:sz="0" w:space="0" w:color="auto"/>
                      </w:divBdr>
                    </w:div>
                  </w:divsChild>
                </w:div>
                <w:div w:id="443885735">
                  <w:marLeft w:val="0"/>
                  <w:marRight w:val="0"/>
                  <w:marTop w:val="0"/>
                  <w:marBottom w:val="0"/>
                  <w:divBdr>
                    <w:top w:val="none" w:sz="0" w:space="0" w:color="auto"/>
                    <w:left w:val="none" w:sz="0" w:space="0" w:color="auto"/>
                    <w:bottom w:val="none" w:sz="0" w:space="0" w:color="auto"/>
                    <w:right w:val="none" w:sz="0" w:space="0" w:color="auto"/>
                  </w:divBdr>
                  <w:divsChild>
                    <w:div w:id="428502721">
                      <w:marLeft w:val="0"/>
                      <w:marRight w:val="0"/>
                      <w:marTop w:val="0"/>
                      <w:marBottom w:val="0"/>
                      <w:divBdr>
                        <w:top w:val="none" w:sz="0" w:space="0" w:color="auto"/>
                        <w:left w:val="none" w:sz="0" w:space="0" w:color="auto"/>
                        <w:bottom w:val="none" w:sz="0" w:space="0" w:color="auto"/>
                        <w:right w:val="none" w:sz="0" w:space="0" w:color="auto"/>
                      </w:divBdr>
                    </w:div>
                  </w:divsChild>
                </w:div>
                <w:div w:id="447510963">
                  <w:marLeft w:val="0"/>
                  <w:marRight w:val="0"/>
                  <w:marTop w:val="0"/>
                  <w:marBottom w:val="0"/>
                  <w:divBdr>
                    <w:top w:val="none" w:sz="0" w:space="0" w:color="auto"/>
                    <w:left w:val="none" w:sz="0" w:space="0" w:color="auto"/>
                    <w:bottom w:val="none" w:sz="0" w:space="0" w:color="auto"/>
                    <w:right w:val="none" w:sz="0" w:space="0" w:color="auto"/>
                  </w:divBdr>
                  <w:divsChild>
                    <w:div w:id="1442337832">
                      <w:marLeft w:val="0"/>
                      <w:marRight w:val="0"/>
                      <w:marTop w:val="0"/>
                      <w:marBottom w:val="0"/>
                      <w:divBdr>
                        <w:top w:val="none" w:sz="0" w:space="0" w:color="auto"/>
                        <w:left w:val="none" w:sz="0" w:space="0" w:color="auto"/>
                        <w:bottom w:val="none" w:sz="0" w:space="0" w:color="auto"/>
                        <w:right w:val="none" w:sz="0" w:space="0" w:color="auto"/>
                      </w:divBdr>
                    </w:div>
                  </w:divsChild>
                </w:div>
                <w:div w:id="453518698">
                  <w:marLeft w:val="0"/>
                  <w:marRight w:val="0"/>
                  <w:marTop w:val="0"/>
                  <w:marBottom w:val="0"/>
                  <w:divBdr>
                    <w:top w:val="none" w:sz="0" w:space="0" w:color="auto"/>
                    <w:left w:val="none" w:sz="0" w:space="0" w:color="auto"/>
                    <w:bottom w:val="none" w:sz="0" w:space="0" w:color="auto"/>
                    <w:right w:val="none" w:sz="0" w:space="0" w:color="auto"/>
                  </w:divBdr>
                  <w:divsChild>
                    <w:div w:id="1622221527">
                      <w:marLeft w:val="0"/>
                      <w:marRight w:val="0"/>
                      <w:marTop w:val="0"/>
                      <w:marBottom w:val="0"/>
                      <w:divBdr>
                        <w:top w:val="none" w:sz="0" w:space="0" w:color="auto"/>
                        <w:left w:val="none" w:sz="0" w:space="0" w:color="auto"/>
                        <w:bottom w:val="none" w:sz="0" w:space="0" w:color="auto"/>
                        <w:right w:val="none" w:sz="0" w:space="0" w:color="auto"/>
                      </w:divBdr>
                    </w:div>
                  </w:divsChild>
                </w:div>
                <w:div w:id="453837312">
                  <w:marLeft w:val="0"/>
                  <w:marRight w:val="0"/>
                  <w:marTop w:val="0"/>
                  <w:marBottom w:val="0"/>
                  <w:divBdr>
                    <w:top w:val="none" w:sz="0" w:space="0" w:color="auto"/>
                    <w:left w:val="none" w:sz="0" w:space="0" w:color="auto"/>
                    <w:bottom w:val="none" w:sz="0" w:space="0" w:color="auto"/>
                    <w:right w:val="none" w:sz="0" w:space="0" w:color="auto"/>
                  </w:divBdr>
                  <w:divsChild>
                    <w:div w:id="214701268">
                      <w:marLeft w:val="0"/>
                      <w:marRight w:val="0"/>
                      <w:marTop w:val="0"/>
                      <w:marBottom w:val="0"/>
                      <w:divBdr>
                        <w:top w:val="none" w:sz="0" w:space="0" w:color="auto"/>
                        <w:left w:val="none" w:sz="0" w:space="0" w:color="auto"/>
                        <w:bottom w:val="none" w:sz="0" w:space="0" w:color="auto"/>
                        <w:right w:val="none" w:sz="0" w:space="0" w:color="auto"/>
                      </w:divBdr>
                    </w:div>
                  </w:divsChild>
                </w:div>
                <w:div w:id="455149026">
                  <w:marLeft w:val="0"/>
                  <w:marRight w:val="0"/>
                  <w:marTop w:val="0"/>
                  <w:marBottom w:val="0"/>
                  <w:divBdr>
                    <w:top w:val="none" w:sz="0" w:space="0" w:color="auto"/>
                    <w:left w:val="none" w:sz="0" w:space="0" w:color="auto"/>
                    <w:bottom w:val="none" w:sz="0" w:space="0" w:color="auto"/>
                    <w:right w:val="none" w:sz="0" w:space="0" w:color="auto"/>
                  </w:divBdr>
                  <w:divsChild>
                    <w:div w:id="588081353">
                      <w:marLeft w:val="0"/>
                      <w:marRight w:val="0"/>
                      <w:marTop w:val="0"/>
                      <w:marBottom w:val="0"/>
                      <w:divBdr>
                        <w:top w:val="none" w:sz="0" w:space="0" w:color="auto"/>
                        <w:left w:val="none" w:sz="0" w:space="0" w:color="auto"/>
                        <w:bottom w:val="none" w:sz="0" w:space="0" w:color="auto"/>
                        <w:right w:val="none" w:sz="0" w:space="0" w:color="auto"/>
                      </w:divBdr>
                    </w:div>
                  </w:divsChild>
                </w:div>
                <w:div w:id="457646111">
                  <w:marLeft w:val="0"/>
                  <w:marRight w:val="0"/>
                  <w:marTop w:val="0"/>
                  <w:marBottom w:val="0"/>
                  <w:divBdr>
                    <w:top w:val="none" w:sz="0" w:space="0" w:color="auto"/>
                    <w:left w:val="none" w:sz="0" w:space="0" w:color="auto"/>
                    <w:bottom w:val="none" w:sz="0" w:space="0" w:color="auto"/>
                    <w:right w:val="none" w:sz="0" w:space="0" w:color="auto"/>
                  </w:divBdr>
                  <w:divsChild>
                    <w:div w:id="1606571071">
                      <w:marLeft w:val="0"/>
                      <w:marRight w:val="0"/>
                      <w:marTop w:val="0"/>
                      <w:marBottom w:val="0"/>
                      <w:divBdr>
                        <w:top w:val="none" w:sz="0" w:space="0" w:color="auto"/>
                        <w:left w:val="none" w:sz="0" w:space="0" w:color="auto"/>
                        <w:bottom w:val="none" w:sz="0" w:space="0" w:color="auto"/>
                        <w:right w:val="none" w:sz="0" w:space="0" w:color="auto"/>
                      </w:divBdr>
                    </w:div>
                  </w:divsChild>
                </w:div>
                <w:div w:id="459107086">
                  <w:marLeft w:val="0"/>
                  <w:marRight w:val="0"/>
                  <w:marTop w:val="0"/>
                  <w:marBottom w:val="0"/>
                  <w:divBdr>
                    <w:top w:val="none" w:sz="0" w:space="0" w:color="auto"/>
                    <w:left w:val="none" w:sz="0" w:space="0" w:color="auto"/>
                    <w:bottom w:val="none" w:sz="0" w:space="0" w:color="auto"/>
                    <w:right w:val="none" w:sz="0" w:space="0" w:color="auto"/>
                  </w:divBdr>
                  <w:divsChild>
                    <w:div w:id="175047417">
                      <w:marLeft w:val="0"/>
                      <w:marRight w:val="0"/>
                      <w:marTop w:val="0"/>
                      <w:marBottom w:val="0"/>
                      <w:divBdr>
                        <w:top w:val="none" w:sz="0" w:space="0" w:color="auto"/>
                        <w:left w:val="none" w:sz="0" w:space="0" w:color="auto"/>
                        <w:bottom w:val="none" w:sz="0" w:space="0" w:color="auto"/>
                        <w:right w:val="none" w:sz="0" w:space="0" w:color="auto"/>
                      </w:divBdr>
                    </w:div>
                  </w:divsChild>
                </w:div>
                <w:div w:id="464081466">
                  <w:marLeft w:val="0"/>
                  <w:marRight w:val="0"/>
                  <w:marTop w:val="0"/>
                  <w:marBottom w:val="0"/>
                  <w:divBdr>
                    <w:top w:val="none" w:sz="0" w:space="0" w:color="auto"/>
                    <w:left w:val="none" w:sz="0" w:space="0" w:color="auto"/>
                    <w:bottom w:val="none" w:sz="0" w:space="0" w:color="auto"/>
                    <w:right w:val="none" w:sz="0" w:space="0" w:color="auto"/>
                  </w:divBdr>
                  <w:divsChild>
                    <w:div w:id="1456215019">
                      <w:marLeft w:val="0"/>
                      <w:marRight w:val="0"/>
                      <w:marTop w:val="0"/>
                      <w:marBottom w:val="0"/>
                      <w:divBdr>
                        <w:top w:val="none" w:sz="0" w:space="0" w:color="auto"/>
                        <w:left w:val="none" w:sz="0" w:space="0" w:color="auto"/>
                        <w:bottom w:val="none" w:sz="0" w:space="0" w:color="auto"/>
                        <w:right w:val="none" w:sz="0" w:space="0" w:color="auto"/>
                      </w:divBdr>
                    </w:div>
                  </w:divsChild>
                </w:div>
                <w:div w:id="468132244">
                  <w:marLeft w:val="0"/>
                  <w:marRight w:val="0"/>
                  <w:marTop w:val="0"/>
                  <w:marBottom w:val="0"/>
                  <w:divBdr>
                    <w:top w:val="none" w:sz="0" w:space="0" w:color="auto"/>
                    <w:left w:val="none" w:sz="0" w:space="0" w:color="auto"/>
                    <w:bottom w:val="none" w:sz="0" w:space="0" w:color="auto"/>
                    <w:right w:val="none" w:sz="0" w:space="0" w:color="auto"/>
                  </w:divBdr>
                  <w:divsChild>
                    <w:div w:id="1060597021">
                      <w:marLeft w:val="0"/>
                      <w:marRight w:val="0"/>
                      <w:marTop w:val="0"/>
                      <w:marBottom w:val="0"/>
                      <w:divBdr>
                        <w:top w:val="none" w:sz="0" w:space="0" w:color="auto"/>
                        <w:left w:val="none" w:sz="0" w:space="0" w:color="auto"/>
                        <w:bottom w:val="none" w:sz="0" w:space="0" w:color="auto"/>
                        <w:right w:val="none" w:sz="0" w:space="0" w:color="auto"/>
                      </w:divBdr>
                    </w:div>
                  </w:divsChild>
                </w:div>
                <w:div w:id="469321958">
                  <w:marLeft w:val="0"/>
                  <w:marRight w:val="0"/>
                  <w:marTop w:val="0"/>
                  <w:marBottom w:val="0"/>
                  <w:divBdr>
                    <w:top w:val="none" w:sz="0" w:space="0" w:color="auto"/>
                    <w:left w:val="none" w:sz="0" w:space="0" w:color="auto"/>
                    <w:bottom w:val="none" w:sz="0" w:space="0" w:color="auto"/>
                    <w:right w:val="none" w:sz="0" w:space="0" w:color="auto"/>
                  </w:divBdr>
                  <w:divsChild>
                    <w:div w:id="1009677060">
                      <w:marLeft w:val="0"/>
                      <w:marRight w:val="0"/>
                      <w:marTop w:val="0"/>
                      <w:marBottom w:val="0"/>
                      <w:divBdr>
                        <w:top w:val="none" w:sz="0" w:space="0" w:color="auto"/>
                        <w:left w:val="none" w:sz="0" w:space="0" w:color="auto"/>
                        <w:bottom w:val="none" w:sz="0" w:space="0" w:color="auto"/>
                        <w:right w:val="none" w:sz="0" w:space="0" w:color="auto"/>
                      </w:divBdr>
                    </w:div>
                  </w:divsChild>
                </w:div>
                <w:div w:id="473983843">
                  <w:marLeft w:val="0"/>
                  <w:marRight w:val="0"/>
                  <w:marTop w:val="0"/>
                  <w:marBottom w:val="0"/>
                  <w:divBdr>
                    <w:top w:val="none" w:sz="0" w:space="0" w:color="auto"/>
                    <w:left w:val="none" w:sz="0" w:space="0" w:color="auto"/>
                    <w:bottom w:val="none" w:sz="0" w:space="0" w:color="auto"/>
                    <w:right w:val="none" w:sz="0" w:space="0" w:color="auto"/>
                  </w:divBdr>
                  <w:divsChild>
                    <w:div w:id="1386293001">
                      <w:marLeft w:val="0"/>
                      <w:marRight w:val="0"/>
                      <w:marTop w:val="0"/>
                      <w:marBottom w:val="0"/>
                      <w:divBdr>
                        <w:top w:val="none" w:sz="0" w:space="0" w:color="auto"/>
                        <w:left w:val="none" w:sz="0" w:space="0" w:color="auto"/>
                        <w:bottom w:val="none" w:sz="0" w:space="0" w:color="auto"/>
                        <w:right w:val="none" w:sz="0" w:space="0" w:color="auto"/>
                      </w:divBdr>
                    </w:div>
                  </w:divsChild>
                </w:div>
                <w:div w:id="474834201">
                  <w:marLeft w:val="0"/>
                  <w:marRight w:val="0"/>
                  <w:marTop w:val="0"/>
                  <w:marBottom w:val="0"/>
                  <w:divBdr>
                    <w:top w:val="none" w:sz="0" w:space="0" w:color="auto"/>
                    <w:left w:val="none" w:sz="0" w:space="0" w:color="auto"/>
                    <w:bottom w:val="none" w:sz="0" w:space="0" w:color="auto"/>
                    <w:right w:val="none" w:sz="0" w:space="0" w:color="auto"/>
                  </w:divBdr>
                  <w:divsChild>
                    <w:div w:id="734858562">
                      <w:marLeft w:val="0"/>
                      <w:marRight w:val="0"/>
                      <w:marTop w:val="0"/>
                      <w:marBottom w:val="0"/>
                      <w:divBdr>
                        <w:top w:val="none" w:sz="0" w:space="0" w:color="auto"/>
                        <w:left w:val="none" w:sz="0" w:space="0" w:color="auto"/>
                        <w:bottom w:val="none" w:sz="0" w:space="0" w:color="auto"/>
                        <w:right w:val="none" w:sz="0" w:space="0" w:color="auto"/>
                      </w:divBdr>
                    </w:div>
                  </w:divsChild>
                </w:div>
                <w:div w:id="479420721">
                  <w:marLeft w:val="0"/>
                  <w:marRight w:val="0"/>
                  <w:marTop w:val="0"/>
                  <w:marBottom w:val="0"/>
                  <w:divBdr>
                    <w:top w:val="none" w:sz="0" w:space="0" w:color="auto"/>
                    <w:left w:val="none" w:sz="0" w:space="0" w:color="auto"/>
                    <w:bottom w:val="none" w:sz="0" w:space="0" w:color="auto"/>
                    <w:right w:val="none" w:sz="0" w:space="0" w:color="auto"/>
                  </w:divBdr>
                  <w:divsChild>
                    <w:div w:id="1377926560">
                      <w:marLeft w:val="0"/>
                      <w:marRight w:val="0"/>
                      <w:marTop w:val="0"/>
                      <w:marBottom w:val="0"/>
                      <w:divBdr>
                        <w:top w:val="none" w:sz="0" w:space="0" w:color="auto"/>
                        <w:left w:val="none" w:sz="0" w:space="0" w:color="auto"/>
                        <w:bottom w:val="none" w:sz="0" w:space="0" w:color="auto"/>
                        <w:right w:val="none" w:sz="0" w:space="0" w:color="auto"/>
                      </w:divBdr>
                    </w:div>
                  </w:divsChild>
                </w:div>
                <w:div w:id="490027408">
                  <w:marLeft w:val="0"/>
                  <w:marRight w:val="0"/>
                  <w:marTop w:val="0"/>
                  <w:marBottom w:val="0"/>
                  <w:divBdr>
                    <w:top w:val="none" w:sz="0" w:space="0" w:color="auto"/>
                    <w:left w:val="none" w:sz="0" w:space="0" w:color="auto"/>
                    <w:bottom w:val="none" w:sz="0" w:space="0" w:color="auto"/>
                    <w:right w:val="none" w:sz="0" w:space="0" w:color="auto"/>
                  </w:divBdr>
                  <w:divsChild>
                    <w:div w:id="1512186509">
                      <w:marLeft w:val="0"/>
                      <w:marRight w:val="0"/>
                      <w:marTop w:val="0"/>
                      <w:marBottom w:val="0"/>
                      <w:divBdr>
                        <w:top w:val="none" w:sz="0" w:space="0" w:color="auto"/>
                        <w:left w:val="none" w:sz="0" w:space="0" w:color="auto"/>
                        <w:bottom w:val="none" w:sz="0" w:space="0" w:color="auto"/>
                        <w:right w:val="none" w:sz="0" w:space="0" w:color="auto"/>
                      </w:divBdr>
                    </w:div>
                  </w:divsChild>
                </w:div>
                <w:div w:id="491220780">
                  <w:marLeft w:val="0"/>
                  <w:marRight w:val="0"/>
                  <w:marTop w:val="0"/>
                  <w:marBottom w:val="0"/>
                  <w:divBdr>
                    <w:top w:val="none" w:sz="0" w:space="0" w:color="auto"/>
                    <w:left w:val="none" w:sz="0" w:space="0" w:color="auto"/>
                    <w:bottom w:val="none" w:sz="0" w:space="0" w:color="auto"/>
                    <w:right w:val="none" w:sz="0" w:space="0" w:color="auto"/>
                  </w:divBdr>
                  <w:divsChild>
                    <w:div w:id="1592204057">
                      <w:marLeft w:val="0"/>
                      <w:marRight w:val="0"/>
                      <w:marTop w:val="0"/>
                      <w:marBottom w:val="0"/>
                      <w:divBdr>
                        <w:top w:val="none" w:sz="0" w:space="0" w:color="auto"/>
                        <w:left w:val="none" w:sz="0" w:space="0" w:color="auto"/>
                        <w:bottom w:val="none" w:sz="0" w:space="0" w:color="auto"/>
                        <w:right w:val="none" w:sz="0" w:space="0" w:color="auto"/>
                      </w:divBdr>
                    </w:div>
                  </w:divsChild>
                </w:div>
                <w:div w:id="492338097">
                  <w:marLeft w:val="0"/>
                  <w:marRight w:val="0"/>
                  <w:marTop w:val="0"/>
                  <w:marBottom w:val="0"/>
                  <w:divBdr>
                    <w:top w:val="none" w:sz="0" w:space="0" w:color="auto"/>
                    <w:left w:val="none" w:sz="0" w:space="0" w:color="auto"/>
                    <w:bottom w:val="none" w:sz="0" w:space="0" w:color="auto"/>
                    <w:right w:val="none" w:sz="0" w:space="0" w:color="auto"/>
                  </w:divBdr>
                  <w:divsChild>
                    <w:div w:id="1641154821">
                      <w:marLeft w:val="0"/>
                      <w:marRight w:val="0"/>
                      <w:marTop w:val="0"/>
                      <w:marBottom w:val="0"/>
                      <w:divBdr>
                        <w:top w:val="none" w:sz="0" w:space="0" w:color="auto"/>
                        <w:left w:val="none" w:sz="0" w:space="0" w:color="auto"/>
                        <w:bottom w:val="none" w:sz="0" w:space="0" w:color="auto"/>
                        <w:right w:val="none" w:sz="0" w:space="0" w:color="auto"/>
                      </w:divBdr>
                    </w:div>
                  </w:divsChild>
                </w:div>
                <w:div w:id="493377592">
                  <w:marLeft w:val="0"/>
                  <w:marRight w:val="0"/>
                  <w:marTop w:val="0"/>
                  <w:marBottom w:val="0"/>
                  <w:divBdr>
                    <w:top w:val="none" w:sz="0" w:space="0" w:color="auto"/>
                    <w:left w:val="none" w:sz="0" w:space="0" w:color="auto"/>
                    <w:bottom w:val="none" w:sz="0" w:space="0" w:color="auto"/>
                    <w:right w:val="none" w:sz="0" w:space="0" w:color="auto"/>
                  </w:divBdr>
                  <w:divsChild>
                    <w:div w:id="1079910827">
                      <w:marLeft w:val="0"/>
                      <w:marRight w:val="0"/>
                      <w:marTop w:val="0"/>
                      <w:marBottom w:val="0"/>
                      <w:divBdr>
                        <w:top w:val="none" w:sz="0" w:space="0" w:color="auto"/>
                        <w:left w:val="none" w:sz="0" w:space="0" w:color="auto"/>
                        <w:bottom w:val="none" w:sz="0" w:space="0" w:color="auto"/>
                        <w:right w:val="none" w:sz="0" w:space="0" w:color="auto"/>
                      </w:divBdr>
                    </w:div>
                  </w:divsChild>
                </w:div>
                <w:div w:id="512233779">
                  <w:marLeft w:val="0"/>
                  <w:marRight w:val="0"/>
                  <w:marTop w:val="0"/>
                  <w:marBottom w:val="0"/>
                  <w:divBdr>
                    <w:top w:val="none" w:sz="0" w:space="0" w:color="auto"/>
                    <w:left w:val="none" w:sz="0" w:space="0" w:color="auto"/>
                    <w:bottom w:val="none" w:sz="0" w:space="0" w:color="auto"/>
                    <w:right w:val="none" w:sz="0" w:space="0" w:color="auto"/>
                  </w:divBdr>
                  <w:divsChild>
                    <w:div w:id="1200970155">
                      <w:marLeft w:val="0"/>
                      <w:marRight w:val="0"/>
                      <w:marTop w:val="0"/>
                      <w:marBottom w:val="0"/>
                      <w:divBdr>
                        <w:top w:val="none" w:sz="0" w:space="0" w:color="auto"/>
                        <w:left w:val="none" w:sz="0" w:space="0" w:color="auto"/>
                        <w:bottom w:val="none" w:sz="0" w:space="0" w:color="auto"/>
                        <w:right w:val="none" w:sz="0" w:space="0" w:color="auto"/>
                      </w:divBdr>
                    </w:div>
                  </w:divsChild>
                </w:div>
                <w:div w:id="528303958">
                  <w:marLeft w:val="0"/>
                  <w:marRight w:val="0"/>
                  <w:marTop w:val="0"/>
                  <w:marBottom w:val="0"/>
                  <w:divBdr>
                    <w:top w:val="none" w:sz="0" w:space="0" w:color="auto"/>
                    <w:left w:val="none" w:sz="0" w:space="0" w:color="auto"/>
                    <w:bottom w:val="none" w:sz="0" w:space="0" w:color="auto"/>
                    <w:right w:val="none" w:sz="0" w:space="0" w:color="auto"/>
                  </w:divBdr>
                  <w:divsChild>
                    <w:div w:id="597443669">
                      <w:marLeft w:val="0"/>
                      <w:marRight w:val="0"/>
                      <w:marTop w:val="0"/>
                      <w:marBottom w:val="0"/>
                      <w:divBdr>
                        <w:top w:val="none" w:sz="0" w:space="0" w:color="auto"/>
                        <w:left w:val="none" w:sz="0" w:space="0" w:color="auto"/>
                        <w:bottom w:val="none" w:sz="0" w:space="0" w:color="auto"/>
                        <w:right w:val="none" w:sz="0" w:space="0" w:color="auto"/>
                      </w:divBdr>
                    </w:div>
                  </w:divsChild>
                </w:div>
                <w:div w:id="541603104">
                  <w:marLeft w:val="0"/>
                  <w:marRight w:val="0"/>
                  <w:marTop w:val="0"/>
                  <w:marBottom w:val="0"/>
                  <w:divBdr>
                    <w:top w:val="none" w:sz="0" w:space="0" w:color="auto"/>
                    <w:left w:val="none" w:sz="0" w:space="0" w:color="auto"/>
                    <w:bottom w:val="none" w:sz="0" w:space="0" w:color="auto"/>
                    <w:right w:val="none" w:sz="0" w:space="0" w:color="auto"/>
                  </w:divBdr>
                  <w:divsChild>
                    <w:div w:id="126897395">
                      <w:marLeft w:val="0"/>
                      <w:marRight w:val="0"/>
                      <w:marTop w:val="0"/>
                      <w:marBottom w:val="0"/>
                      <w:divBdr>
                        <w:top w:val="none" w:sz="0" w:space="0" w:color="auto"/>
                        <w:left w:val="none" w:sz="0" w:space="0" w:color="auto"/>
                        <w:bottom w:val="none" w:sz="0" w:space="0" w:color="auto"/>
                        <w:right w:val="none" w:sz="0" w:space="0" w:color="auto"/>
                      </w:divBdr>
                    </w:div>
                  </w:divsChild>
                </w:div>
                <w:div w:id="560140236">
                  <w:marLeft w:val="0"/>
                  <w:marRight w:val="0"/>
                  <w:marTop w:val="0"/>
                  <w:marBottom w:val="0"/>
                  <w:divBdr>
                    <w:top w:val="none" w:sz="0" w:space="0" w:color="auto"/>
                    <w:left w:val="none" w:sz="0" w:space="0" w:color="auto"/>
                    <w:bottom w:val="none" w:sz="0" w:space="0" w:color="auto"/>
                    <w:right w:val="none" w:sz="0" w:space="0" w:color="auto"/>
                  </w:divBdr>
                  <w:divsChild>
                    <w:div w:id="257326139">
                      <w:marLeft w:val="0"/>
                      <w:marRight w:val="0"/>
                      <w:marTop w:val="0"/>
                      <w:marBottom w:val="0"/>
                      <w:divBdr>
                        <w:top w:val="none" w:sz="0" w:space="0" w:color="auto"/>
                        <w:left w:val="none" w:sz="0" w:space="0" w:color="auto"/>
                        <w:bottom w:val="none" w:sz="0" w:space="0" w:color="auto"/>
                        <w:right w:val="none" w:sz="0" w:space="0" w:color="auto"/>
                      </w:divBdr>
                    </w:div>
                  </w:divsChild>
                </w:div>
                <w:div w:id="564726295">
                  <w:marLeft w:val="0"/>
                  <w:marRight w:val="0"/>
                  <w:marTop w:val="0"/>
                  <w:marBottom w:val="0"/>
                  <w:divBdr>
                    <w:top w:val="none" w:sz="0" w:space="0" w:color="auto"/>
                    <w:left w:val="none" w:sz="0" w:space="0" w:color="auto"/>
                    <w:bottom w:val="none" w:sz="0" w:space="0" w:color="auto"/>
                    <w:right w:val="none" w:sz="0" w:space="0" w:color="auto"/>
                  </w:divBdr>
                  <w:divsChild>
                    <w:div w:id="1897666245">
                      <w:marLeft w:val="0"/>
                      <w:marRight w:val="0"/>
                      <w:marTop w:val="0"/>
                      <w:marBottom w:val="0"/>
                      <w:divBdr>
                        <w:top w:val="none" w:sz="0" w:space="0" w:color="auto"/>
                        <w:left w:val="none" w:sz="0" w:space="0" w:color="auto"/>
                        <w:bottom w:val="none" w:sz="0" w:space="0" w:color="auto"/>
                        <w:right w:val="none" w:sz="0" w:space="0" w:color="auto"/>
                      </w:divBdr>
                    </w:div>
                  </w:divsChild>
                </w:div>
                <w:div w:id="576134362">
                  <w:marLeft w:val="0"/>
                  <w:marRight w:val="0"/>
                  <w:marTop w:val="0"/>
                  <w:marBottom w:val="0"/>
                  <w:divBdr>
                    <w:top w:val="none" w:sz="0" w:space="0" w:color="auto"/>
                    <w:left w:val="none" w:sz="0" w:space="0" w:color="auto"/>
                    <w:bottom w:val="none" w:sz="0" w:space="0" w:color="auto"/>
                    <w:right w:val="none" w:sz="0" w:space="0" w:color="auto"/>
                  </w:divBdr>
                  <w:divsChild>
                    <w:div w:id="416094184">
                      <w:marLeft w:val="0"/>
                      <w:marRight w:val="0"/>
                      <w:marTop w:val="0"/>
                      <w:marBottom w:val="0"/>
                      <w:divBdr>
                        <w:top w:val="none" w:sz="0" w:space="0" w:color="auto"/>
                        <w:left w:val="none" w:sz="0" w:space="0" w:color="auto"/>
                        <w:bottom w:val="none" w:sz="0" w:space="0" w:color="auto"/>
                        <w:right w:val="none" w:sz="0" w:space="0" w:color="auto"/>
                      </w:divBdr>
                    </w:div>
                  </w:divsChild>
                </w:div>
                <w:div w:id="578174693">
                  <w:marLeft w:val="0"/>
                  <w:marRight w:val="0"/>
                  <w:marTop w:val="0"/>
                  <w:marBottom w:val="0"/>
                  <w:divBdr>
                    <w:top w:val="none" w:sz="0" w:space="0" w:color="auto"/>
                    <w:left w:val="none" w:sz="0" w:space="0" w:color="auto"/>
                    <w:bottom w:val="none" w:sz="0" w:space="0" w:color="auto"/>
                    <w:right w:val="none" w:sz="0" w:space="0" w:color="auto"/>
                  </w:divBdr>
                  <w:divsChild>
                    <w:div w:id="719985096">
                      <w:marLeft w:val="0"/>
                      <w:marRight w:val="0"/>
                      <w:marTop w:val="0"/>
                      <w:marBottom w:val="0"/>
                      <w:divBdr>
                        <w:top w:val="none" w:sz="0" w:space="0" w:color="auto"/>
                        <w:left w:val="none" w:sz="0" w:space="0" w:color="auto"/>
                        <w:bottom w:val="none" w:sz="0" w:space="0" w:color="auto"/>
                        <w:right w:val="none" w:sz="0" w:space="0" w:color="auto"/>
                      </w:divBdr>
                    </w:div>
                  </w:divsChild>
                </w:div>
                <w:div w:id="582418778">
                  <w:marLeft w:val="0"/>
                  <w:marRight w:val="0"/>
                  <w:marTop w:val="0"/>
                  <w:marBottom w:val="0"/>
                  <w:divBdr>
                    <w:top w:val="none" w:sz="0" w:space="0" w:color="auto"/>
                    <w:left w:val="none" w:sz="0" w:space="0" w:color="auto"/>
                    <w:bottom w:val="none" w:sz="0" w:space="0" w:color="auto"/>
                    <w:right w:val="none" w:sz="0" w:space="0" w:color="auto"/>
                  </w:divBdr>
                  <w:divsChild>
                    <w:div w:id="252593538">
                      <w:marLeft w:val="0"/>
                      <w:marRight w:val="0"/>
                      <w:marTop w:val="0"/>
                      <w:marBottom w:val="0"/>
                      <w:divBdr>
                        <w:top w:val="none" w:sz="0" w:space="0" w:color="auto"/>
                        <w:left w:val="none" w:sz="0" w:space="0" w:color="auto"/>
                        <w:bottom w:val="none" w:sz="0" w:space="0" w:color="auto"/>
                        <w:right w:val="none" w:sz="0" w:space="0" w:color="auto"/>
                      </w:divBdr>
                    </w:div>
                  </w:divsChild>
                </w:div>
                <w:div w:id="582489160">
                  <w:marLeft w:val="0"/>
                  <w:marRight w:val="0"/>
                  <w:marTop w:val="0"/>
                  <w:marBottom w:val="0"/>
                  <w:divBdr>
                    <w:top w:val="none" w:sz="0" w:space="0" w:color="auto"/>
                    <w:left w:val="none" w:sz="0" w:space="0" w:color="auto"/>
                    <w:bottom w:val="none" w:sz="0" w:space="0" w:color="auto"/>
                    <w:right w:val="none" w:sz="0" w:space="0" w:color="auto"/>
                  </w:divBdr>
                  <w:divsChild>
                    <w:div w:id="1783108093">
                      <w:marLeft w:val="0"/>
                      <w:marRight w:val="0"/>
                      <w:marTop w:val="0"/>
                      <w:marBottom w:val="0"/>
                      <w:divBdr>
                        <w:top w:val="none" w:sz="0" w:space="0" w:color="auto"/>
                        <w:left w:val="none" w:sz="0" w:space="0" w:color="auto"/>
                        <w:bottom w:val="none" w:sz="0" w:space="0" w:color="auto"/>
                        <w:right w:val="none" w:sz="0" w:space="0" w:color="auto"/>
                      </w:divBdr>
                    </w:div>
                  </w:divsChild>
                </w:div>
                <w:div w:id="582494876">
                  <w:marLeft w:val="0"/>
                  <w:marRight w:val="0"/>
                  <w:marTop w:val="0"/>
                  <w:marBottom w:val="0"/>
                  <w:divBdr>
                    <w:top w:val="none" w:sz="0" w:space="0" w:color="auto"/>
                    <w:left w:val="none" w:sz="0" w:space="0" w:color="auto"/>
                    <w:bottom w:val="none" w:sz="0" w:space="0" w:color="auto"/>
                    <w:right w:val="none" w:sz="0" w:space="0" w:color="auto"/>
                  </w:divBdr>
                  <w:divsChild>
                    <w:div w:id="218640001">
                      <w:marLeft w:val="0"/>
                      <w:marRight w:val="0"/>
                      <w:marTop w:val="0"/>
                      <w:marBottom w:val="0"/>
                      <w:divBdr>
                        <w:top w:val="none" w:sz="0" w:space="0" w:color="auto"/>
                        <w:left w:val="none" w:sz="0" w:space="0" w:color="auto"/>
                        <w:bottom w:val="none" w:sz="0" w:space="0" w:color="auto"/>
                        <w:right w:val="none" w:sz="0" w:space="0" w:color="auto"/>
                      </w:divBdr>
                    </w:div>
                  </w:divsChild>
                </w:div>
                <w:div w:id="593707020">
                  <w:marLeft w:val="0"/>
                  <w:marRight w:val="0"/>
                  <w:marTop w:val="0"/>
                  <w:marBottom w:val="0"/>
                  <w:divBdr>
                    <w:top w:val="none" w:sz="0" w:space="0" w:color="auto"/>
                    <w:left w:val="none" w:sz="0" w:space="0" w:color="auto"/>
                    <w:bottom w:val="none" w:sz="0" w:space="0" w:color="auto"/>
                    <w:right w:val="none" w:sz="0" w:space="0" w:color="auto"/>
                  </w:divBdr>
                  <w:divsChild>
                    <w:div w:id="837035565">
                      <w:marLeft w:val="0"/>
                      <w:marRight w:val="0"/>
                      <w:marTop w:val="0"/>
                      <w:marBottom w:val="0"/>
                      <w:divBdr>
                        <w:top w:val="none" w:sz="0" w:space="0" w:color="auto"/>
                        <w:left w:val="none" w:sz="0" w:space="0" w:color="auto"/>
                        <w:bottom w:val="none" w:sz="0" w:space="0" w:color="auto"/>
                        <w:right w:val="none" w:sz="0" w:space="0" w:color="auto"/>
                      </w:divBdr>
                    </w:div>
                  </w:divsChild>
                </w:div>
                <w:div w:id="597326049">
                  <w:marLeft w:val="0"/>
                  <w:marRight w:val="0"/>
                  <w:marTop w:val="0"/>
                  <w:marBottom w:val="0"/>
                  <w:divBdr>
                    <w:top w:val="none" w:sz="0" w:space="0" w:color="auto"/>
                    <w:left w:val="none" w:sz="0" w:space="0" w:color="auto"/>
                    <w:bottom w:val="none" w:sz="0" w:space="0" w:color="auto"/>
                    <w:right w:val="none" w:sz="0" w:space="0" w:color="auto"/>
                  </w:divBdr>
                  <w:divsChild>
                    <w:div w:id="883443181">
                      <w:marLeft w:val="0"/>
                      <w:marRight w:val="0"/>
                      <w:marTop w:val="0"/>
                      <w:marBottom w:val="0"/>
                      <w:divBdr>
                        <w:top w:val="none" w:sz="0" w:space="0" w:color="auto"/>
                        <w:left w:val="none" w:sz="0" w:space="0" w:color="auto"/>
                        <w:bottom w:val="none" w:sz="0" w:space="0" w:color="auto"/>
                        <w:right w:val="none" w:sz="0" w:space="0" w:color="auto"/>
                      </w:divBdr>
                    </w:div>
                  </w:divsChild>
                </w:div>
                <w:div w:id="599023040">
                  <w:marLeft w:val="0"/>
                  <w:marRight w:val="0"/>
                  <w:marTop w:val="0"/>
                  <w:marBottom w:val="0"/>
                  <w:divBdr>
                    <w:top w:val="none" w:sz="0" w:space="0" w:color="auto"/>
                    <w:left w:val="none" w:sz="0" w:space="0" w:color="auto"/>
                    <w:bottom w:val="none" w:sz="0" w:space="0" w:color="auto"/>
                    <w:right w:val="none" w:sz="0" w:space="0" w:color="auto"/>
                  </w:divBdr>
                  <w:divsChild>
                    <w:div w:id="1171916194">
                      <w:marLeft w:val="0"/>
                      <w:marRight w:val="0"/>
                      <w:marTop w:val="0"/>
                      <w:marBottom w:val="0"/>
                      <w:divBdr>
                        <w:top w:val="none" w:sz="0" w:space="0" w:color="auto"/>
                        <w:left w:val="none" w:sz="0" w:space="0" w:color="auto"/>
                        <w:bottom w:val="none" w:sz="0" w:space="0" w:color="auto"/>
                        <w:right w:val="none" w:sz="0" w:space="0" w:color="auto"/>
                      </w:divBdr>
                    </w:div>
                  </w:divsChild>
                </w:div>
                <w:div w:id="603849714">
                  <w:marLeft w:val="0"/>
                  <w:marRight w:val="0"/>
                  <w:marTop w:val="0"/>
                  <w:marBottom w:val="0"/>
                  <w:divBdr>
                    <w:top w:val="none" w:sz="0" w:space="0" w:color="auto"/>
                    <w:left w:val="none" w:sz="0" w:space="0" w:color="auto"/>
                    <w:bottom w:val="none" w:sz="0" w:space="0" w:color="auto"/>
                    <w:right w:val="none" w:sz="0" w:space="0" w:color="auto"/>
                  </w:divBdr>
                  <w:divsChild>
                    <w:div w:id="609165438">
                      <w:marLeft w:val="0"/>
                      <w:marRight w:val="0"/>
                      <w:marTop w:val="0"/>
                      <w:marBottom w:val="0"/>
                      <w:divBdr>
                        <w:top w:val="none" w:sz="0" w:space="0" w:color="auto"/>
                        <w:left w:val="none" w:sz="0" w:space="0" w:color="auto"/>
                        <w:bottom w:val="none" w:sz="0" w:space="0" w:color="auto"/>
                        <w:right w:val="none" w:sz="0" w:space="0" w:color="auto"/>
                      </w:divBdr>
                    </w:div>
                  </w:divsChild>
                </w:div>
                <w:div w:id="606698442">
                  <w:marLeft w:val="0"/>
                  <w:marRight w:val="0"/>
                  <w:marTop w:val="0"/>
                  <w:marBottom w:val="0"/>
                  <w:divBdr>
                    <w:top w:val="none" w:sz="0" w:space="0" w:color="auto"/>
                    <w:left w:val="none" w:sz="0" w:space="0" w:color="auto"/>
                    <w:bottom w:val="none" w:sz="0" w:space="0" w:color="auto"/>
                    <w:right w:val="none" w:sz="0" w:space="0" w:color="auto"/>
                  </w:divBdr>
                  <w:divsChild>
                    <w:div w:id="1106923980">
                      <w:marLeft w:val="0"/>
                      <w:marRight w:val="0"/>
                      <w:marTop w:val="0"/>
                      <w:marBottom w:val="0"/>
                      <w:divBdr>
                        <w:top w:val="none" w:sz="0" w:space="0" w:color="auto"/>
                        <w:left w:val="none" w:sz="0" w:space="0" w:color="auto"/>
                        <w:bottom w:val="none" w:sz="0" w:space="0" w:color="auto"/>
                        <w:right w:val="none" w:sz="0" w:space="0" w:color="auto"/>
                      </w:divBdr>
                    </w:div>
                  </w:divsChild>
                </w:div>
                <w:div w:id="608706804">
                  <w:marLeft w:val="0"/>
                  <w:marRight w:val="0"/>
                  <w:marTop w:val="0"/>
                  <w:marBottom w:val="0"/>
                  <w:divBdr>
                    <w:top w:val="none" w:sz="0" w:space="0" w:color="auto"/>
                    <w:left w:val="none" w:sz="0" w:space="0" w:color="auto"/>
                    <w:bottom w:val="none" w:sz="0" w:space="0" w:color="auto"/>
                    <w:right w:val="none" w:sz="0" w:space="0" w:color="auto"/>
                  </w:divBdr>
                  <w:divsChild>
                    <w:div w:id="301274511">
                      <w:marLeft w:val="0"/>
                      <w:marRight w:val="0"/>
                      <w:marTop w:val="0"/>
                      <w:marBottom w:val="0"/>
                      <w:divBdr>
                        <w:top w:val="none" w:sz="0" w:space="0" w:color="auto"/>
                        <w:left w:val="none" w:sz="0" w:space="0" w:color="auto"/>
                        <w:bottom w:val="none" w:sz="0" w:space="0" w:color="auto"/>
                        <w:right w:val="none" w:sz="0" w:space="0" w:color="auto"/>
                      </w:divBdr>
                    </w:div>
                  </w:divsChild>
                </w:div>
                <w:div w:id="610237928">
                  <w:marLeft w:val="0"/>
                  <w:marRight w:val="0"/>
                  <w:marTop w:val="0"/>
                  <w:marBottom w:val="0"/>
                  <w:divBdr>
                    <w:top w:val="none" w:sz="0" w:space="0" w:color="auto"/>
                    <w:left w:val="none" w:sz="0" w:space="0" w:color="auto"/>
                    <w:bottom w:val="none" w:sz="0" w:space="0" w:color="auto"/>
                    <w:right w:val="none" w:sz="0" w:space="0" w:color="auto"/>
                  </w:divBdr>
                  <w:divsChild>
                    <w:div w:id="1606618431">
                      <w:marLeft w:val="0"/>
                      <w:marRight w:val="0"/>
                      <w:marTop w:val="0"/>
                      <w:marBottom w:val="0"/>
                      <w:divBdr>
                        <w:top w:val="none" w:sz="0" w:space="0" w:color="auto"/>
                        <w:left w:val="none" w:sz="0" w:space="0" w:color="auto"/>
                        <w:bottom w:val="none" w:sz="0" w:space="0" w:color="auto"/>
                        <w:right w:val="none" w:sz="0" w:space="0" w:color="auto"/>
                      </w:divBdr>
                    </w:div>
                  </w:divsChild>
                </w:div>
                <w:div w:id="618026478">
                  <w:marLeft w:val="0"/>
                  <w:marRight w:val="0"/>
                  <w:marTop w:val="0"/>
                  <w:marBottom w:val="0"/>
                  <w:divBdr>
                    <w:top w:val="none" w:sz="0" w:space="0" w:color="auto"/>
                    <w:left w:val="none" w:sz="0" w:space="0" w:color="auto"/>
                    <w:bottom w:val="none" w:sz="0" w:space="0" w:color="auto"/>
                    <w:right w:val="none" w:sz="0" w:space="0" w:color="auto"/>
                  </w:divBdr>
                  <w:divsChild>
                    <w:div w:id="1545171203">
                      <w:marLeft w:val="0"/>
                      <w:marRight w:val="0"/>
                      <w:marTop w:val="0"/>
                      <w:marBottom w:val="0"/>
                      <w:divBdr>
                        <w:top w:val="none" w:sz="0" w:space="0" w:color="auto"/>
                        <w:left w:val="none" w:sz="0" w:space="0" w:color="auto"/>
                        <w:bottom w:val="none" w:sz="0" w:space="0" w:color="auto"/>
                        <w:right w:val="none" w:sz="0" w:space="0" w:color="auto"/>
                      </w:divBdr>
                    </w:div>
                  </w:divsChild>
                </w:div>
                <w:div w:id="623148269">
                  <w:marLeft w:val="0"/>
                  <w:marRight w:val="0"/>
                  <w:marTop w:val="0"/>
                  <w:marBottom w:val="0"/>
                  <w:divBdr>
                    <w:top w:val="none" w:sz="0" w:space="0" w:color="auto"/>
                    <w:left w:val="none" w:sz="0" w:space="0" w:color="auto"/>
                    <w:bottom w:val="none" w:sz="0" w:space="0" w:color="auto"/>
                    <w:right w:val="none" w:sz="0" w:space="0" w:color="auto"/>
                  </w:divBdr>
                  <w:divsChild>
                    <w:div w:id="2012875417">
                      <w:marLeft w:val="0"/>
                      <w:marRight w:val="0"/>
                      <w:marTop w:val="0"/>
                      <w:marBottom w:val="0"/>
                      <w:divBdr>
                        <w:top w:val="none" w:sz="0" w:space="0" w:color="auto"/>
                        <w:left w:val="none" w:sz="0" w:space="0" w:color="auto"/>
                        <w:bottom w:val="none" w:sz="0" w:space="0" w:color="auto"/>
                        <w:right w:val="none" w:sz="0" w:space="0" w:color="auto"/>
                      </w:divBdr>
                    </w:div>
                  </w:divsChild>
                </w:div>
                <w:div w:id="629357834">
                  <w:marLeft w:val="0"/>
                  <w:marRight w:val="0"/>
                  <w:marTop w:val="0"/>
                  <w:marBottom w:val="0"/>
                  <w:divBdr>
                    <w:top w:val="none" w:sz="0" w:space="0" w:color="auto"/>
                    <w:left w:val="none" w:sz="0" w:space="0" w:color="auto"/>
                    <w:bottom w:val="none" w:sz="0" w:space="0" w:color="auto"/>
                    <w:right w:val="none" w:sz="0" w:space="0" w:color="auto"/>
                  </w:divBdr>
                  <w:divsChild>
                    <w:div w:id="277957281">
                      <w:marLeft w:val="0"/>
                      <w:marRight w:val="0"/>
                      <w:marTop w:val="0"/>
                      <w:marBottom w:val="0"/>
                      <w:divBdr>
                        <w:top w:val="none" w:sz="0" w:space="0" w:color="auto"/>
                        <w:left w:val="none" w:sz="0" w:space="0" w:color="auto"/>
                        <w:bottom w:val="none" w:sz="0" w:space="0" w:color="auto"/>
                        <w:right w:val="none" w:sz="0" w:space="0" w:color="auto"/>
                      </w:divBdr>
                    </w:div>
                  </w:divsChild>
                </w:div>
                <w:div w:id="632637073">
                  <w:marLeft w:val="0"/>
                  <w:marRight w:val="0"/>
                  <w:marTop w:val="0"/>
                  <w:marBottom w:val="0"/>
                  <w:divBdr>
                    <w:top w:val="none" w:sz="0" w:space="0" w:color="auto"/>
                    <w:left w:val="none" w:sz="0" w:space="0" w:color="auto"/>
                    <w:bottom w:val="none" w:sz="0" w:space="0" w:color="auto"/>
                    <w:right w:val="none" w:sz="0" w:space="0" w:color="auto"/>
                  </w:divBdr>
                  <w:divsChild>
                    <w:div w:id="863906209">
                      <w:marLeft w:val="0"/>
                      <w:marRight w:val="0"/>
                      <w:marTop w:val="0"/>
                      <w:marBottom w:val="0"/>
                      <w:divBdr>
                        <w:top w:val="none" w:sz="0" w:space="0" w:color="auto"/>
                        <w:left w:val="none" w:sz="0" w:space="0" w:color="auto"/>
                        <w:bottom w:val="none" w:sz="0" w:space="0" w:color="auto"/>
                        <w:right w:val="none" w:sz="0" w:space="0" w:color="auto"/>
                      </w:divBdr>
                    </w:div>
                  </w:divsChild>
                </w:div>
                <w:div w:id="636959357">
                  <w:marLeft w:val="0"/>
                  <w:marRight w:val="0"/>
                  <w:marTop w:val="0"/>
                  <w:marBottom w:val="0"/>
                  <w:divBdr>
                    <w:top w:val="none" w:sz="0" w:space="0" w:color="auto"/>
                    <w:left w:val="none" w:sz="0" w:space="0" w:color="auto"/>
                    <w:bottom w:val="none" w:sz="0" w:space="0" w:color="auto"/>
                    <w:right w:val="none" w:sz="0" w:space="0" w:color="auto"/>
                  </w:divBdr>
                  <w:divsChild>
                    <w:div w:id="689912583">
                      <w:marLeft w:val="0"/>
                      <w:marRight w:val="0"/>
                      <w:marTop w:val="0"/>
                      <w:marBottom w:val="0"/>
                      <w:divBdr>
                        <w:top w:val="none" w:sz="0" w:space="0" w:color="auto"/>
                        <w:left w:val="none" w:sz="0" w:space="0" w:color="auto"/>
                        <w:bottom w:val="none" w:sz="0" w:space="0" w:color="auto"/>
                        <w:right w:val="none" w:sz="0" w:space="0" w:color="auto"/>
                      </w:divBdr>
                    </w:div>
                  </w:divsChild>
                </w:div>
                <w:div w:id="649291290">
                  <w:marLeft w:val="0"/>
                  <w:marRight w:val="0"/>
                  <w:marTop w:val="0"/>
                  <w:marBottom w:val="0"/>
                  <w:divBdr>
                    <w:top w:val="none" w:sz="0" w:space="0" w:color="auto"/>
                    <w:left w:val="none" w:sz="0" w:space="0" w:color="auto"/>
                    <w:bottom w:val="none" w:sz="0" w:space="0" w:color="auto"/>
                    <w:right w:val="none" w:sz="0" w:space="0" w:color="auto"/>
                  </w:divBdr>
                  <w:divsChild>
                    <w:div w:id="789396989">
                      <w:marLeft w:val="0"/>
                      <w:marRight w:val="0"/>
                      <w:marTop w:val="0"/>
                      <w:marBottom w:val="0"/>
                      <w:divBdr>
                        <w:top w:val="none" w:sz="0" w:space="0" w:color="auto"/>
                        <w:left w:val="none" w:sz="0" w:space="0" w:color="auto"/>
                        <w:bottom w:val="none" w:sz="0" w:space="0" w:color="auto"/>
                        <w:right w:val="none" w:sz="0" w:space="0" w:color="auto"/>
                      </w:divBdr>
                    </w:div>
                  </w:divsChild>
                </w:div>
                <w:div w:id="655960593">
                  <w:marLeft w:val="0"/>
                  <w:marRight w:val="0"/>
                  <w:marTop w:val="0"/>
                  <w:marBottom w:val="0"/>
                  <w:divBdr>
                    <w:top w:val="none" w:sz="0" w:space="0" w:color="auto"/>
                    <w:left w:val="none" w:sz="0" w:space="0" w:color="auto"/>
                    <w:bottom w:val="none" w:sz="0" w:space="0" w:color="auto"/>
                    <w:right w:val="none" w:sz="0" w:space="0" w:color="auto"/>
                  </w:divBdr>
                  <w:divsChild>
                    <w:div w:id="856576534">
                      <w:marLeft w:val="0"/>
                      <w:marRight w:val="0"/>
                      <w:marTop w:val="0"/>
                      <w:marBottom w:val="0"/>
                      <w:divBdr>
                        <w:top w:val="none" w:sz="0" w:space="0" w:color="auto"/>
                        <w:left w:val="none" w:sz="0" w:space="0" w:color="auto"/>
                        <w:bottom w:val="none" w:sz="0" w:space="0" w:color="auto"/>
                        <w:right w:val="none" w:sz="0" w:space="0" w:color="auto"/>
                      </w:divBdr>
                    </w:div>
                  </w:divsChild>
                </w:div>
                <w:div w:id="661471922">
                  <w:marLeft w:val="0"/>
                  <w:marRight w:val="0"/>
                  <w:marTop w:val="0"/>
                  <w:marBottom w:val="0"/>
                  <w:divBdr>
                    <w:top w:val="none" w:sz="0" w:space="0" w:color="auto"/>
                    <w:left w:val="none" w:sz="0" w:space="0" w:color="auto"/>
                    <w:bottom w:val="none" w:sz="0" w:space="0" w:color="auto"/>
                    <w:right w:val="none" w:sz="0" w:space="0" w:color="auto"/>
                  </w:divBdr>
                  <w:divsChild>
                    <w:div w:id="1599022524">
                      <w:marLeft w:val="0"/>
                      <w:marRight w:val="0"/>
                      <w:marTop w:val="0"/>
                      <w:marBottom w:val="0"/>
                      <w:divBdr>
                        <w:top w:val="none" w:sz="0" w:space="0" w:color="auto"/>
                        <w:left w:val="none" w:sz="0" w:space="0" w:color="auto"/>
                        <w:bottom w:val="none" w:sz="0" w:space="0" w:color="auto"/>
                        <w:right w:val="none" w:sz="0" w:space="0" w:color="auto"/>
                      </w:divBdr>
                    </w:div>
                  </w:divsChild>
                </w:div>
                <w:div w:id="665475839">
                  <w:marLeft w:val="0"/>
                  <w:marRight w:val="0"/>
                  <w:marTop w:val="0"/>
                  <w:marBottom w:val="0"/>
                  <w:divBdr>
                    <w:top w:val="none" w:sz="0" w:space="0" w:color="auto"/>
                    <w:left w:val="none" w:sz="0" w:space="0" w:color="auto"/>
                    <w:bottom w:val="none" w:sz="0" w:space="0" w:color="auto"/>
                    <w:right w:val="none" w:sz="0" w:space="0" w:color="auto"/>
                  </w:divBdr>
                  <w:divsChild>
                    <w:div w:id="941886976">
                      <w:marLeft w:val="0"/>
                      <w:marRight w:val="0"/>
                      <w:marTop w:val="0"/>
                      <w:marBottom w:val="0"/>
                      <w:divBdr>
                        <w:top w:val="none" w:sz="0" w:space="0" w:color="auto"/>
                        <w:left w:val="none" w:sz="0" w:space="0" w:color="auto"/>
                        <w:bottom w:val="none" w:sz="0" w:space="0" w:color="auto"/>
                        <w:right w:val="none" w:sz="0" w:space="0" w:color="auto"/>
                      </w:divBdr>
                    </w:div>
                  </w:divsChild>
                </w:div>
                <w:div w:id="667363493">
                  <w:marLeft w:val="0"/>
                  <w:marRight w:val="0"/>
                  <w:marTop w:val="0"/>
                  <w:marBottom w:val="0"/>
                  <w:divBdr>
                    <w:top w:val="none" w:sz="0" w:space="0" w:color="auto"/>
                    <w:left w:val="none" w:sz="0" w:space="0" w:color="auto"/>
                    <w:bottom w:val="none" w:sz="0" w:space="0" w:color="auto"/>
                    <w:right w:val="none" w:sz="0" w:space="0" w:color="auto"/>
                  </w:divBdr>
                  <w:divsChild>
                    <w:div w:id="1149398788">
                      <w:marLeft w:val="0"/>
                      <w:marRight w:val="0"/>
                      <w:marTop w:val="0"/>
                      <w:marBottom w:val="0"/>
                      <w:divBdr>
                        <w:top w:val="none" w:sz="0" w:space="0" w:color="auto"/>
                        <w:left w:val="none" w:sz="0" w:space="0" w:color="auto"/>
                        <w:bottom w:val="none" w:sz="0" w:space="0" w:color="auto"/>
                        <w:right w:val="none" w:sz="0" w:space="0" w:color="auto"/>
                      </w:divBdr>
                    </w:div>
                  </w:divsChild>
                </w:div>
                <w:div w:id="671686892">
                  <w:marLeft w:val="0"/>
                  <w:marRight w:val="0"/>
                  <w:marTop w:val="0"/>
                  <w:marBottom w:val="0"/>
                  <w:divBdr>
                    <w:top w:val="none" w:sz="0" w:space="0" w:color="auto"/>
                    <w:left w:val="none" w:sz="0" w:space="0" w:color="auto"/>
                    <w:bottom w:val="none" w:sz="0" w:space="0" w:color="auto"/>
                    <w:right w:val="none" w:sz="0" w:space="0" w:color="auto"/>
                  </w:divBdr>
                  <w:divsChild>
                    <w:div w:id="992217877">
                      <w:marLeft w:val="0"/>
                      <w:marRight w:val="0"/>
                      <w:marTop w:val="0"/>
                      <w:marBottom w:val="0"/>
                      <w:divBdr>
                        <w:top w:val="none" w:sz="0" w:space="0" w:color="auto"/>
                        <w:left w:val="none" w:sz="0" w:space="0" w:color="auto"/>
                        <w:bottom w:val="none" w:sz="0" w:space="0" w:color="auto"/>
                        <w:right w:val="none" w:sz="0" w:space="0" w:color="auto"/>
                      </w:divBdr>
                    </w:div>
                  </w:divsChild>
                </w:div>
                <w:div w:id="678505733">
                  <w:marLeft w:val="0"/>
                  <w:marRight w:val="0"/>
                  <w:marTop w:val="0"/>
                  <w:marBottom w:val="0"/>
                  <w:divBdr>
                    <w:top w:val="none" w:sz="0" w:space="0" w:color="auto"/>
                    <w:left w:val="none" w:sz="0" w:space="0" w:color="auto"/>
                    <w:bottom w:val="none" w:sz="0" w:space="0" w:color="auto"/>
                    <w:right w:val="none" w:sz="0" w:space="0" w:color="auto"/>
                  </w:divBdr>
                  <w:divsChild>
                    <w:div w:id="2117669477">
                      <w:marLeft w:val="0"/>
                      <w:marRight w:val="0"/>
                      <w:marTop w:val="0"/>
                      <w:marBottom w:val="0"/>
                      <w:divBdr>
                        <w:top w:val="none" w:sz="0" w:space="0" w:color="auto"/>
                        <w:left w:val="none" w:sz="0" w:space="0" w:color="auto"/>
                        <w:bottom w:val="none" w:sz="0" w:space="0" w:color="auto"/>
                        <w:right w:val="none" w:sz="0" w:space="0" w:color="auto"/>
                      </w:divBdr>
                    </w:div>
                  </w:divsChild>
                </w:div>
                <w:div w:id="682585476">
                  <w:marLeft w:val="0"/>
                  <w:marRight w:val="0"/>
                  <w:marTop w:val="0"/>
                  <w:marBottom w:val="0"/>
                  <w:divBdr>
                    <w:top w:val="none" w:sz="0" w:space="0" w:color="auto"/>
                    <w:left w:val="none" w:sz="0" w:space="0" w:color="auto"/>
                    <w:bottom w:val="none" w:sz="0" w:space="0" w:color="auto"/>
                    <w:right w:val="none" w:sz="0" w:space="0" w:color="auto"/>
                  </w:divBdr>
                  <w:divsChild>
                    <w:div w:id="226192229">
                      <w:marLeft w:val="0"/>
                      <w:marRight w:val="0"/>
                      <w:marTop w:val="0"/>
                      <w:marBottom w:val="0"/>
                      <w:divBdr>
                        <w:top w:val="none" w:sz="0" w:space="0" w:color="auto"/>
                        <w:left w:val="none" w:sz="0" w:space="0" w:color="auto"/>
                        <w:bottom w:val="none" w:sz="0" w:space="0" w:color="auto"/>
                        <w:right w:val="none" w:sz="0" w:space="0" w:color="auto"/>
                      </w:divBdr>
                    </w:div>
                  </w:divsChild>
                </w:div>
                <w:div w:id="684212299">
                  <w:marLeft w:val="0"/>
                  <w:marRight w:val="0"/>
                  <w:marTop w:val="0"/>
                  <w:marBottom w:val="0"/>
                  <w:divBdr>
                    <w:top w:val="none" w:sz="0" w:space="0" w:color="auto"/>
                    <w:left w:val="none" w:sz="0" w:space="0" w:color="auto"/>
                    <w:bottom w:val="none" w:sz="0" w:space="0" w:color="auto"/>
                    <w:right w:val="none" w:sz="0" w:space="0" w:color="auto"/>
                  </w:divBdr>
                  <w:divsChild>
                    <w:div w:id="1670525166">
                      <w:marLeft w:val="0"/>
                      <w:marRight w:val="0"/>
                      <w:marTop w:val="0"/>
                      <w:marBottom w:val="0"/>
                      <w:divBdr>
                        <w:top w:val="none" w:sz="0" w:space="0" w:color="auto"/>
                        <w:left w:val="none" w:sz="0" w:space="0" w:color="auto"/>
                        <w:bottom w:val="none" w:sz="0" w:space="0" w:color="auto"/>
                        <w:right w:val="none" w:sz="0" w:space="0" w:color="auto"/>
                      </w:divBdr>
                    </w:div>
                  </w:divsChild>
                </w:div>
                <w:div w:id="686491681">
                  <w:marLeft w:val="0"/>
                  <w:marRight w:val="0"/>
                  <w:marTop w:val="0"/>
                  <w:marBottom w:val="0"/>
                  <w:divBdr>
                    <w:top w:val="none" w:sz="0" w:space="0" w:color="auto"/>
                    <w:left w:val="none" w:sz="0" w:space="0" w:color="auto"/>
                    <w:bottom w:val="none" w:sz="0" w:space="0" w:color="auto"/>
                    <w:right w:val="none" w:sz="0" w:space="0" w:color="auto"/>
                  </w:divBdr>
                  <w:divsChild>
                    <w:div w:id="1112093691">
                      <w:marLeft w:val="0"/>
                      <w:marRight w:val="0"/>
                      <w:marTop w:val="0"/>
                      <w:marBottom w:val="0"/>
                      <w:divBdr>
                        <w:top w:val="none" w:sz="0" w:space="0" w:color="auto"/>
                        <w:left w:val="none" w:sz="0" w:space="0" w:color="auto"/>
                        <w:bottom w:val="none" w:sz="0" w:space="0" w:color="auto"/>
                        <w:right w:val="none" w:sz="0" w:space="0" w:color="auto"/>
                      </w:divBdr>
                    </w:div>
                  </w:divsChild>
                </w:div>
                <w:div w:id="693457337">
                  <w:marLeft w:val="0"/>
                  <w:marRight w:val="0"/>
                  <w:marTop w:val="0"/>
                  <w:marBottom w:val="0"/>
                  <w:divBdr>
                    <w:top w:val="none" w:sz="0" w:space="0" w:color="auto"/>
                    <w:left w:val="none" w:sz="0" w:space="0" w:color="auto"/>
                    <w:bottom w:val="none" w:sz="0" w:space="0" w:color="auto"/>
                    <w:right w:val="none" w:sz="0" w:space="0" w:color="auto"/>
                  </w:divBdr>
                  <w:divsChild>
                    <w:div w:id="520247096">
                      <w:marLeft w:val="0"/>
                      <w:marRight w:val="0"/>
                      <w:marTop w:val="0"/>
                      <w:marBottom w:val="0"/>
                      <w:divBdr>
                        <w:top w:val="none" w:sz="0" w:space="0" w:color="auto"/>
                        <w:left w:val="none" w:sz="0" w:space="0" w:color="auto"/>
                        <w:bottom w:val="none" w:sz="0" w:space="0" w:color="auto"/>
                        <w:right w:val="none" w:sz="0" w:space="0" w:color="auto"/>
                      </w:divBdr>
                    </w:div>
                  </w:divsChild>
                </w:div>
                <w:div w:id="693967898">
                  <w:marLeft w:val="0"/>
                  <w:marRight w:val="0"/>
                  <w:marTop w:val="0"/>
                  <w:marBottom w:val="0"/>
                  <w:divBdr>
                    <w:top w:val="none" w:sz="0" w:space="0" w:color="auto"/>
                    <w:left w:val="none" w:sz="0" w:space="0" w:color="auto"/>
                    <w:bottom w:val="none" w:sz="0" w:space="0" w:color="auto"/>
                    <w:right w:val="none" w:sz="0" w:space="0" w:color="auto"/>
                  </w:divBdr>
                  <w:divsChild>
                    <w:div w:id="983778160">
                      <w:marLeft w:val="0"/>
                      <w:marRight w:val="0"/>
                      <w:marTop w:val="0"/>
                      <w:marBottom w:val="0"/>
                      <w:divBdr>
                        <w:top w:val="none" w:sz="0" w:space="0" w:color="auto"/>
                        <w:left w:val="none" w:sz="0" w:space="0" w:color="auto"/>
                        <w:bottom w:val="none" w:sz="0" w:space="0" w:color="auto"/>
                        <w:right w:val="none" w:sz="0" w:space="0" w:color="auto"/>
                      </w:divBdr>
                    </w:div>
                  </w:divsChild>
                </w:div>
                <w:div w:id="695545964">
                  <w:marLeft w:val="0"/>
                  <w:marRight w:val="0"/>
                  <w:marTop w:val="0"/>
                  <w:marBottom w:val="0"/>
                  <w:divBdr>
                    <w:top w:val="none" w:sz="0" w:space="0" w:color="auto"/>
                    <w:left w:val="none" w:sz="0" w:space="0" w:color="auto"/>
                    <w:bottom w:val="none" w:sz="0" w:space="0" w:color="auto"/>
                    <w:right w:val="none" w:sz="0" w:space="0" w:color="auto"/>
                  </w:divBdr>
                  <w:divsChild>
                    <w:div w:id="1278759859">
                      <w:marLeft w:val="0"/>
                      <w:marRight w:val="0"/>
                      <w:marTop w:val="0"/>
                      <w:marBottom w:val="0"/>
                      <w:divBdr>
                        <w:top w:val="none" w:sz="0" w:space="0" w:color="auto"/>
                        <w:left w:val="none" w:sz="0" w:space="0" w:color="auto"/>
                        <w:bottom w:val="none" w:sz="0" w:space="0" w:color="auto"/>
                        <w:right w:val="none" w:sz="0" w:space="0" w:color="auto"/>
                      </w:divBdr>
                    </w:div>
                  </w:divsChild>
                </w:div>
                <w:div w:id="700327777">
                  <w:marLeft w:val="0"/>
                  <w:marRight w:val="0"/>
                  <w:marTop w:val="0"/>
                  <w:marBottom w:val="0"/>
                  <w:divBdr>
                    <w:top w:val="none" w:sz="0" w:space="0" w:color="auto"/>
                    <w:left w:val="none" w:sz="0" w:space="0" w:color="auto"/>
                    <w:bottom w:val="none" w:sz="0" w:space="0" w:color="auto"/>
                    <w:right w:val="none" w:sz="0" w:space="0" w:color="auto"/>
                  </w:divBdr>
                  <w:divsChild>
                    <w:div w:id="689718868">
                      <w:marLeft w:val="0"/>
                      <w:marRight w:val="0"/>
                      <w:marTop w:val="0"/>
                      <w:marBottom w:val="0"/>
                      <w:divBdr>
                        <w:top w:val="none" w:sz="0" w:space="0" w:color="auto"/>
                        <w:left w:val="none" w:sz="0" w:space="0" w:color="auto"/>
                        <w:bottom w:val="none" w:sz="0" w:space="0" w:color="auto"/>
                        <w:right w:val="none" w:sz="0" w:space="0" w:color="auto"/>
                      </w:divBdr>
                    </w:div>
                  </w:divsChild>
                </w:div>
                <w:div w:id="701245957">
                  <w:marLeft w:val="0"/>
                  <w:marRight w:val="0"/>
                  <w:marTop w:val="0"/>
                  <w:marBottom w:val="0"/>
                  <w:divBdr>
                    <w:top w:val="none" w:sz="0" w:space="0" w:color="auto"/>
                    <w:left w:val="none" w:sz="0" w:space="0" w:color="auto"/>
                    <w:bottom w:val="none" w:sz="0" w:space="0" w:color="auto"/>
                    <w:right w:val="none" w:sz="0" w:space="0" w:color="auto"/>
                  </w:divBdr>
                  <w:divsChild>
                    <w:div w:id="1407262987">
                      <w:marLeft w:val="0"/>
                      <w:marRight w:val="0"/>
                      <w:marTop w:val="0"/>
                      <w:marBottom w:val="0"/>
                      <w:divBdr>
                        <w:top w:val="none" w:sz="0" w:space="0" w:color="auto"/>
                        <w:left w:val="none" w:sz="0" w:space="0" w:color="auto"/>
                        <w:bottom w:val="none" w:sz="0" w:space="0" w:color="auto"/>
                        <w:right w:val="none" w:sz="0" w:space="0" w:color="auto"/>
                      </w:divBdr>
                    </w:div>
                  </w:divsChild>
                </w:div>
                <w:div w:id="701438463">
                  <w:marLeft w:val="0"/>
                  <w:marRight w:val="0"/>
                  <w:marTop w:val="0"/>
                  <w:marBottom w:val="0"/>
                  <w:divBdr>
                    <w:top w:val="none" w:sz="0" w:space="0" w:color="auto"/>
                    <w:left w:val="none" w:sz="0" w:space="0" w:color="auto"/>
                    <w:bottom w:val="none" w:sz="0" w:space="0" w:color="auto"/>
                    <w:right w:val="none" w:sz="0" w:space="0" w:color="auto"/>
                  </w:divBdr>
                  <w:divsChild>
                    <w:div w:id="1524395550">
                      <w:marLeft w:val="0"/>
                      <w:marRight w:val="0"/>
                      <w:marTop w:val="0"/>
                      <w:marBottom w:val="0"/>
                      <w:divBdr>
                        <w:top w:val="none" w:sz="0" w:space="0" w:color="auto"/>
                        <w:left w:val="none" w:sz="0" w:space="0" w:color="auto"/>
                        <w:bottom w:val="none" w:sz="0" w:space="0" w:color="auto"/>
                        <w:right w:val="none" w:sz="0" w:space="0" w:color="auto"/>
                      </w:divBdr>
                    </w:div>
                  </w:divsChild>
                </w:div>
                <w:div w:id="704908048">
                  <w:marLeft w:val="0"/>
                  <w:marRight w:val="0"/>
                  <w:marTop w:val="0"/>
                  <w:marBottom w:val="0"/>
                  <w:divBdr>
                    <w:top w:val="none" w:sz="0" w:space="0" w:color="auto"/>
                    <w:left w:val="none" w:sz="0" w:space="0" w:color="auto"/>
                    <w:bottom w:val="none" w:sz="0" w:space="0" w:color="auto"/>
                    <w:right w:val="none" w:sz="0" w:space="0" w:color="auto"/>
                  </w:divBdr>
                  <w:divsChild>
                    <w:div w:id="2067609054">
                      <w:marLeft w:val="0"/>
                      <w:marRight w:val="0"/>
                      <w:marTop w:val="0"/>
                      <w:marBottom w:val="0"/>
                      <w:divBdr>
                        <w:top w:val="none" w:sz="0" w:space="0" w:color="auto"/>
                        <w:left w:val="none" w:sz="0" w:space="0" w:color="auto"/>
                        <w:bottom w:val="none" w:sz="0" w:space="0" w:color="auto"/>
                        <w:right w:val="none" w:sz="0" w:space="0" w:color="auto"/>
                      </w:divBdr>
                    </w:div>
                  </w:divsChild>
                </w:div>
                <w:div w:id="711542622">
                  <w:marLeft w:val="0"/>
                  <w:marRight w:val="0"/>
                  <w:marTop w:val="0"/>
                  <w:marBottom w:val="0"/>
                  <w:divBdr>
                    <w:top w:val="none" w:sz="0" w:space="0" w:color="auto"/>
                    <w:left w:val="none" w:sz="0" w:space="0" w:color="auto"/>
                    <w:bottom w:val="none" w:sz="0" w:space="0" w:color="auto"/>
                    <w:right w:val="none" w:sz="0" w:space="0" w:color="auto"/>
                  </w:divBdr>
                  <w:divsChild>
                    <w:div w:id="1585190995">
                      <w:marLeft w:val="0"/>
                      <w:marRight w:val="0"/>
                      <w:marTop w:val="0"/>
                      <w:marBottom w:val="0"/>
                      <w:divBdr>
                        <w:top w:val="none" w:sz="0" w:space="0" w:color="auto"/>
                        <w:left w:val="none" w:sz="0" w:space="0" w:color="auto"/>
                        <w:bottom w:val="none" w:sz="0" w:space="0" w:color="auto"/>
                        <w:right w:val="none" w:sz="0" w:space="0" w:color="auto"/>
                      </w:divBdr>
                    </w:div>
                  </w:divsChild>
                </w:div>
                <w:div w:id="719288611">
                  <w:marLeft w:val="0"/>
                  <w:marRight w:val="0"/>
                  <w:marTop w:val="0"/>
                  <w:marBottom w:val="0"/>
                  <w:divBdr>
                    <w:top w:val="none" w:sz="0" w:space="0" w:color="auto"/>
                    <w:left w:val="none" w:sz="0" w:space="0" w:color="auto"/>
                    <w:bottom w:val="none" w:sz="0" w:space="0" w:color="auto"/>
                    <w:right w:val="none" w:sz="0" w:space="0" w:color="auto"/>
                  </w:divBdr>
                  <w:divsChild>
                    <w:div w:id="572620143">
                      <w:marLeft w:val="0"/>
                      <w:marRight w:val="0"/>
                      <w:marTop w:val="0"/>
                      <w:marBottom w:val="0"/>
                      <w:divBdr>
                        <w:top w:val="none" w:sz="0" w:space="0" w:color="auto"/>
                        <w:left w:val="none" w:sz="0" w:space="0" w:color="auto"/>
                        <w:bottom w:val="none" w:sz="0" w:space="0" w:color="auto"/>
                        <w:right w:val="none" w:sz="0" w:space="0" w:color="auto"/>
                      </w:divBdr>
                    </w:div>
                  </w:divsChild>
                </w:div>
                <w:div w:id="722143506">
                  <w:marLeft w:val="0"/>
                  <w:marRight w:val="0"/>
                  <w:marTop w:val="0"/>
                  <w:marBottom w:val="0"/>
                  <w:divBdr>
                    <w:top w:val="none" w:sz="0" w:space="0" w:color="auto"/>
                    <w:left w:val="none" w:sz="0" w:space="0" w:color="auto"/>
                    <w:bottom w:val="none" w:sz="0" w:space="0" w:color="auto"/>
                    <w:right w:val="none" w:sz="0" w:space="0" w:color="auto"/>
                  </w:divBdr>
                  <w:divsChild>
                    <w:div w:id="396709411">
                      <w:marLeft w:val="0"/>
                      <w:marRight w:val="0"/>
                      <w:marTop w:val="0"/>
                      <w:marBottom w:val="0"/>
                      <w:divBdr>
                        <w:top w:val="none" w:sz="0" w:space="0" w:color="auto"/>
                        <w:left w:val="none" w:sz="0" w:space="0" w:color="auto"/>
                        <w:bottom w:val="none" w:sz="0" w:space="0" w:color="auto"/>
                        <w:right w:val="none" w:sz="0" w:space="0" w:color="auto"/>
                      </w:divBdr>
                    </w:div>
                  </w:divsChild>
                </w:div>
                <w:div w:id="723063974">
                  <w:marLeft w:val="0"/>
                  <w:marRight w:val="0"/>
                  <w:marTop w:val="0"/>
                  <w:marBottom w:val="0"/>
                  <w:divBdr>
                    <w:top w:val="none" w:sz="0" w:space="0" w:color="auto"/>
                    <w:left w:val="none" w:sz="0" w:space="0" w:color="auto"/>
                    <w:bottom w:val="none" w:sz="0" w:space="0" w:color="auto"/>
                    <w:right w:val="none" w:sz="0" w:space="0" w:color="auto"/>
                  </w:divBdr>
                  <w:divsChild>
                    <w:div w:id="1750611356">
                      <w:marLeft w:val="0"/>
                      <w:marRight w:val="0"/>
                      <w:marTop w:val="0"/>
                      <w:marBottom w:val="0"/>
                      <w:divBdr>
                        <w:top w:val="none" w:sz="0" w:space="0" w:color="auto"/>
                        <w:left w:val="none" w:sz="0" w:space="0" w:color="auto"/>
                        <w:bottom w:val="none" w:sz="0" w:space="0" w:color="auto"/>
                        <w:right w:val="none" w:sz="0" w:space="0" w:color="auto"/>
                      </w:divBdr>
                    </w:div>
                  </w:divsChild>
                </w:div>
                <w:div w:id="749541159">
                  <w:marLeft w:val="0"/>
                  <w:marRight w:val="0"/>
                  <w:marTop w:val="0"/>
                  <w:marBottom w:val="0"/>
                  <w:divBdr>
                    <w:top w:val="none" w:sz="0" w:space="0" w:color="auto"/>
                    <w:left w:val="none" w:sz="0" w:space="0" w:color="auto"/>
                    <w:bottom w:val="none" w:sz="0" w:space="0" w:color="auto"/>
                    <w:right w:val="none" w:sz="0" w:space="0" w:color="auto"/>
                  </w:divBdr>
                  <w:divsChild>
                    <w:div w:id="1678924417">
                      <w:marLeft w:val="0"/>
                      <w:marRight w:val="0"/>
                      <w:marTop w:val="0"/>
                      <w:marBottom w:val="0"/>
                      <w:divBdr>
                        <w:top w:val="none" w:sz="0" w:space="0" w:color="auto"/>
                        <w:left w:val="none" w:sz="0" w:space="0" w:color="auto"/>
                        <w:bottom w:val="none" w:sz="0" w:space="0" w:color="auto"/>
                        <w:right w:val="none" w:sz="0" w:space="0" w:color="auto"/>
                      </w:divBdr>
                    </w:div>
                  </w:divsChild>
                </w:div>
                <w:div w:id="757604777">
                  <w:marLeft w:val="0"/>
                  <w:marRight w:val="0"/>
                  <w:marTop w:val="0"/>
                  <w:marBottom w:val="0"/>
                  <w:divBdr>
                    <w:top w:val="none" w:sz="0" w:space="0" w:color="auto"/>
                    <w:left w:val="none" w:sz="0" w:space="0" w:color="auto"/>
                    <w:bottom w:val="none" w:sz="0" w:space="0" w:color="auto"/>
                    <w:right w:val="none" w:sz="0" w:space="0" w:color="auto"/>
                  </w:divBdr>
                  <w:divsChild>
                    <w:div w:id="723455475">
                      <w:marLeft w:val="0"/>
                      <w:marRight w:val="0"/>
                      <w:marTop w:val="0"/>
                      <w:marBottom w:val="0"/>
                      <w:divBdr>
                        <w:top w:val="none" w:sz="0" w:space="0" w:color="auto"/>
                        <w:left w:val="none" w:sz="0" w:space="0" w:color="auto"/>
                        <w:bottom w:val="none" w:sz="0" w:space="0" w:color="auto"/>
                        <w:right w:val="none" w:sz="0" w:space="0" w:color="auto"/>
                      </w:divBdr>
                    </w:div>
                  </w:divsChild>
                </w:div>
                <w:div w:id="770010135">
                  <w:marLeft w:val="0"/>
                  <w:marRight w:val="0"/>
                  <w:marTop w:val="0"/>
                  <w:marBottom w:val="0"/>
                  <w:divBdr>
                    <w:top w:val="none" w:sz="0" w:space="0" w:color="auto"/>
                    <w:left w:val="none" w:sz="0" w:space="0" w:color="auto"/>
                    <w:bottom w:val="none" w:sz="0" w:space="0" w:color="auto"/>
                    <w:right w:val="none" w:sz="0" w:space="0" w:color="auto"/>
                  </w:divBdr>
                  <w:divsChild>
                    <w:div w:id="1965576329">
                      <w:marLeft w:val="0"/>
                      <w:marRight w:val="0"/>
                      <w:marTop w:val="0"/>
                      <w:marBottom w:val="0"/>
                      <w:divBdr>
                        <w:top w:val="none" w:sz="0" w:space="0" w:color="auto"/>
                        <w:left w:val="none" w:sz="0" w:space="0" w:color="auto"/>
                        <w:bottom w:val="none" w:sz="0" w:space="0" w:color="auto"/>
                        <w:right w:val="none" w:sz="0" w:space="0" w:color="auto"/>
                      </w:divBdr>
                    </w:div>
                  </w:divsChild>
                </w:div>
                <w:div w:id="770321861">
                  <w:marLeft w:val="0"/>
                  <w:marRight w:val="0"/>
                  <w:marTop w:val="0"/>
                  <w:marBottom w:val="0"/>
                  <w:divBdr>
                    <w:top w:val="none" w:sz="0" w:space="0" w:color="auto"/>
                    <w:left w:val="none" w:sz="0" w:space="0" w:color="auto"/>
                    <w:bottom w:val="none" w:sz="0" w:space="0" w:color="auto"/>
                    <w:right w:val="none" w:sz="0" w:space="0" w:color="auto"/>
                  </w:divBdr>
                  <w:divsChild>
                    <w:div w:id="1241283470">
                      <w:marLeft w:val="0"/>
                      <w:marRight w:val="0"/>
                      <w:marTop w:val="0"/>
                      <w:marBottom w:val="0"/>
                      <w:divBdr>
                        <w:top w:val="none" w:sz="0" w:space="0" w:color="auto"/>
                        <w:left w:val="none" w:sz="0" w:space="0" w:color="auto"/>
                        <w:bottom w:val="none" w:sz="0" w:space="0" w:color="auto"/>
                        <w:right w:val="none" w:sz="0" w:space="0" w:color="auto"/>
                      </w:divBdr>
                    </w:div>
                  </w:divsChild>
                </w:div>
                <w:div w:id="772433559">
                  <w:marLeft w:val="0"/>
                  <w:marRight w:val="0"/>
                  <w:marTop w:val="0"/>
                  <w:marBottom w:val="0"/>
                  <w:divBdr>
                    <w:top w:val="none" w:sz="0" w:space="0" w:color="auto"/>
                    <w:left w:val="none" w:sz="0" w:space="0" w:color="auto"/>
                    <w:bottom w:val="none" w:sz="0" w:space="0" w:color="auto"/>
                    <w:right w:val="none" w:sz="0" w:space="0" w:color="auto"/>
                  </w:divBdr>
                  <w:divsChild>
                    <w:div w:id="364989266">
                      <w:marLeft w:val="0"/>
                      <w:marRight w:val="0"/>
                      <w:marTop w:val="0"/>
                      <w:marBottom w:val="0"/>
                      <w:divBdr>
                        <w:top w:val="none" w:sz="0" w:space="0" w:color="auto"/>
                        <w:left w:val="none" w:sz="0" w:space="0" w:color="auto"/>
                        <w:bottom w:val="none" w:sz="0" w:space="0" w:color="auto"/>
                        <w:right w:val="none" w:sz="0" w:space="0" w:color="auto"/>
                      </w:divBdr>
                    </w:div>
                  </w:divsChild>
                </w:div>
                <w:div w:id="773600260">
                  <w:marLeft w:val="0"/>
                  <w:marRight w:val="0"/>
                  <w:marTop w:val="0"/>
                  <w:marBottom w:val="0"/>
                  <w:divBdr>
                    <w:top w:val="none" w:sz="0" w:space="0" w:color="auto"/>
                    <w:left w:val="none" w:sz="0" w:space="0" w:color="auto"/>
                    <w:bottom w:val="none" w:sz="0" w:space="0" w:color="auto"/>
                    <w:right w:val="none" w:sz="0" w:space="0" w:color="auto"/>
                  </w:divBdr>
                  <w:divsChild>
                    <w:div w:id="1390684708">
                      <w:marLeft w:val="0"/>
                      <w:marRight w:val="0"/>
                      <w:marTop w:val="0"/>
                      <w:marBottom w:val="0"/>
                      <w:divBdr>
                        <w:top w:val="none" w:sz="0" w:space="0" w:color="auto"/>
                        <w:left w:val="none" w:sz="0" w:space="0" w:color="auto"/>
                        <w:bottom w:val="none" w:sz="0" w:space="0" w:color="auto"/>
                        <w:right w:val="none" w:sz="0" w:space="0" w:color="auto"/>
                      </w:divBdr>
                    </w:div>
                  </w:divsChild>
                </w:div>
                <w:div w:id="774597990">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81994636">
                  <w:marLeft w:val="0"/>
                  <w:marRight w:val="0"/>
                  <w:marTop w:val="0"/>
                  <w:marBottom w:val="0"/>
                  <w:divBdr>
                    <w:top w:val="none" w:sz="0" w:space="0" w:color="auto"/>
                    <w:left w:val="none" w:sz="0" w:space="0" w:color="auto"/>
                    <w:bottom w:val="none" w:sz="0" w:space="0" w:color="auto"/>
                    <w:right w:val="none" w:sz="0" w:space="0" w:color="auto"/>
                  </w:divBdr>
                  <w:divsChild>
                    <w:div w:id="1435130717">
                      <w:marLeft w:val="0"/>
                      <w:marRight w:val="0"/>
                      <w:marTop w:val="0"/>
                      <w:marBottom w:val="0"/>
                      <w:divBdr>
                        <w:top w:val="none" w:sz="0" w:space="0" w:color="auto"/>
                        <w:left w:val="none" w:sz="0" w:space="0" w:color="auto"/>
                        <w:bottom w:val="none" w:sz="0" w:space="0" w:color="auto"/>
                        <w:right w:val="none" w:sz="0" w:space="0" w:color="auto"/>
                      </w:divBdr>
                    </w:div>
                  </w:divsChild>
                </w:div>
                <w:div w:id="783694839">
                  <w:marLeft w:val="0"/>
                  <w:marRight w:val="0"/>
                  <w:marTop w:val="0"/>
                  <w:marBottom w:val="0"/>
                  <w:divBdr>
                    <w:top w:val="none" w:sz="0" w:space="0" w:color="auto"/>
                    <w:left w:val="none" w:sz="0" w:space="0" w:color="auto"/>
                    <w:bottom w:val="none" w:sz="0" w:space="0" w:color="auto"/>
                    <w:right w:val="none" w:sz="0" w:space="0" w:color="auto"/>
                  </w:divBdr>
                  <w:divsChild>
                    <w:div w:id="638732137">
                      <w:marLeft w:val="0"/>
                      <w:marRight w:val="0"/>
                      <w:marTop w:val="0"/>
                      <w:marBottom w:val="0"/>
                      <w:divBdr>
                        <w:top w:val="none" w:sz="0" w:space="0" w:color="auto"/>
                        <w:left w:val="none" w:sz="0" w:space="0" w:color="auto"/>
                        <w:bottom w:val="none" w:sz="0" w:space="0" w:color="auto"/>
                        <w:right w:val="none" w:sz="0" w:space="0" w:color="auto"/>
                      </w:divBdr>
                    </w:div>
                  </w:divsChild>
                </w:div>
                <w:div w:id="785276873">
                  <w:marLeft w:val="0"/>
                  <w:marRight w:val="0"/>
                  <w:marTop w:val="0"/>
                  <w:marBottom w:val="0"/>
                  <w:divBdr>
                    <w:top w:val="none" w:sz="0" w:space="0" w:color="auto"/>
                    <w:left w:val="none" w:sz="0" w:space="0" w:color="auto"/>
                    <w:bottom w:val="none" w:sz="0" w:space="0" w:color="auto"/>
                    <w:right w:val="none" w:sz="0" w:space="0" w:color="auto"/>
                  </w:divBdr>
                  <w:divsChild>
                    <w:div w:id="103037907">
                      <w:marLeft w:val="0"/>
                      <w:marRight w:val="0"/>
                      <w:marTop w:val="0"/>
                      <w:marBottom w:val="0"/>
                      <w:divBdr>
                        <w:top w:val="none" w:sz="0" w:space="0" w:color="auto"/>
                        <w:left w:val="none" w:sz="0" w:space="0" w:color="auto"/>
                        <w:bottom w:val="none" w:sz="0" w:space="0" w:color="auto"/>
                        <w:right w:val="none" w:sz="0" w:space="0" w:color="auto"/>
                      </w:divBdr>
                    </w:div>
                  </w:divsChild>
                </w:div>
                <w:div w:id="787817377">
                  <w:marLeft w:val="0"/>
                  <w:marRight w:val="0"/>
                  <w:marTop w:val="0"/>
                  <w:marBottom w:val="0"/>
                  <w:divBdr>
                    <w:top w:val="none" w:sz="0" w:space="0" w:color="auto"/>
                    <w:left w:val="none" w:sz="0" w:space="0" w:color="auto"/>
                    <w:bottom w:val="none" w:sz="0" w:space="0" w:color="auto"/>
                    <w:right w:val="none" w:sz="0" w:space="0" w:color="auto"/>
                  </w:divBdr>
                  <w:divsChild>
                    <w:div w:id="780957372">
                      <w:marLeft w:val="0"/>
                      <w:marRight w:val="0"/>
                      <w:marTop w:val="0"/>
                      <w:marBottom w:val="0"/>
                      <w:divBdr>
                        <w:top w:val="none" w:sz="0" w:space="0" w:color="auto"/>
                        <w:left w:val="none" w:sz="0" w:space="0" w:color="auto"/>
                        <w:bottom w:val="none" w:sz="0" w:space="0" w:color="auto"/>
                        <w:right w:val="none" w:sz="0" w:space="0" w:color="auto"/>
                      </w:divBdr>
                    </w:div>
                  </w:divsChild>
                </w:div>
                <w:div w:id="795761827">
                  <w:marLeft w:val="0"/>
                  <w:marRight w:val="0"/>
                  <w:marTop w:val="0"/>
                  <w:marBottom w:val="0"/>
                  <w:divBdr>
                    <w:top w:val="none" w:sz="0" w:space="0" w:color="auto"/>
                    <w:left w:val="none" w:sz="0" w:space="0" w:color="auto"/>
                    <w:bottom w:val="none" w:sz="0" w:space="0" w:color="auto"/>
                    <w:right w:val="none" w:sz="0" w:space="0" w:color="auto"/>
                  </w:divBdr>
                  <w:divsChild>
                    <w:div w:id="1134832828">
                      <w:marLeft w:val="0"/>
                      <w:marRight w:val="0"/>
                      <w:marTop w:val="0"/>
                      <w:marBottom w:val="0"/>
                      <w:divBdr>
                        <w:top w:val="none" w:sz="0" w:space="0" w:color="auto"/>
                        <w:left w:val="none" w:sz="0" w:space="0" w:color="auto"/>
                        <w:bottom w:val="none" w:sz="0" w:space="0" w:color="auto"/>
                        <w:right w:val="none" w:sz="0" w:space="0" w:color="auto"/>
                      </w:divBdr>
                    </w:div>
                  </w:divsChild>
                </w:div>
                <w:div w:id="796606595">
                  <w:marLeft w:val="0"/>
                  <w:marRight w:val="0"/>
                  <w:marTop w:val="0"/>
                  <w:marBottom w:val="0"/>
                  <w:divBdr>
                    <w:top w:val="none" w:sz="0" w:space="0" w:color="auto"/>
                    <w:left w:val="none" w:sz="0" w:space="0" w:color="auto"/>
                    <w:bottom w:val="none" w:sz="0" w:space="0" w:color="auto"/>
                    <w:right w:val="none" w:sz="0" w:space="0" w:color="auto"/>
                  </w:divBdr>
                  <w:divsChild>
                    <w:div w:id="1165045985">
                      <w:marLeft w:val="0"/>
                      <w:marRight w:val="0"/>
                      <w:marTop w:val="0"/>
                      <w:marBottom w:val="0"/>
                      <w:divBdr>
                        <w:top w:val="none" w:sz="0" w:space="0" w:color="auto"/>
                        <w:left w:val="none" w:sz="0" w:space="0" w:color="auto"/>
                        <w:bottom w:val="none" w:sz="0" w:space="0" w:color="auto"/>
                        <w:right w:val="none" w:sz="0" w:space="0" w:color="auto"/>
                      </w:divBdr>
                    </w:div>
                  </w:divsChild>
                </w:div>
                <w:div w:id="798376795">
                  <w:marLeft w:val="0"/>
                  <w:marRight w:val="0"/>
                  <w:marTop w:val="0"/>
                  <w:marBottom w:val="0"/>
                  <w:divBdr>
                    <w:top w:val="none" w:sz="0" w:space="0" w:color="auto"/>
                    <w:left w:val="none" w:sz="0" w:space="0" w:color="auto"/>
                    <w:bottom w:val="none" w:sz="0" w:space="0" w:color="auto"/>
                    <w:right w:val="none" w:sz="0" w:space="0" w:color="auto"/>
                  </w:divBdr>
                  <w:divsChild>
                    <w:div w:id="163740668">
                      <w:marLeft w:val="0"/>
                      <w:marRight w:val="0"/>
                      <w:marTop w:val="0"/>
                      <w:marBottom w:val="0"/>
                      <w:divBdr>
                        <w:top w:val="none" w:sz="0" w:space="0" w:color="auto"/>
                        <w:left w:val="none" w:sz="0" w:space="0" w:color="auto"/>
                        <w:bottom w:val="none" w:sz="0" w:space="0" w:color="auto"/>
                        <w:right w:val="none" w:sz="0" w:space="0" w:color="auto"/>
                      </w:divBdr>
                    </w:div>
                  </w:divsChild>
                </w:div>
                <w:div w:id="800343233">
                  <w:marLeft w:val="0"/>
                  <w:marRight w:val="0"/>
                  <w:marTop w:val="0"/>
                  <w:marBottom w:val="0"/>
                  <w:divBdr>
                    <w:top w:val="none" w:sz="0" w:space="0" w:color="auto"/>
                    <w:left w:val="none" w:sz="0" w:space="0" w:color="auto"/>
                    <w:bottom w:val="none" w:sz="0" w:space="0" w:color="auto"/>
                    <w:right w:val="none" w:sz="0" w:space="0" w:color="auto"/>
                  </w:divBdr>
                  <w:divsChild>
                    <w:div w:id="1316764984">
                      <w:marLeft w:val="0"/>
                      <w:marRight w:val="0"/>
                      <w:marTop w:val="0"/>
                      <w:marBottom w:val="0"/>
                      <w:divBdr>
                        <w:top w:val="none" w:sz="0" w:space="0" w:color="auto"/>
                        <w:left w:val="none" w:sz="0" w:space="0" w:color="auto"/>
                        <w:bottom w:val="none" w:sz="0" w:space="0" w:color="auto"/>
                        <w:right w:val="none" w:sz="0" w:space="0" w:color="auto"/>
                      </w:divBdr>
                    </w:div>
                  </w:divsChild>
                </w:div>
                <w:div w:id="801651347">
                  <w:marLeft w:val="0"/>
                  <w:marRight w:val="0"/>
                  <w:marTop w:val="0"/>
                  <w:marBottom w:val="0"/>
                  <w:divBdr>
                    <w:top w:val="none" w:sz="0" w:space="0" w:color="auto"/>
                    <w:left w:val="none" w:sz="0" w:space="0" w:color="auto"/>
                    <w:bottom w:val="none" w:sz="0" w:space="0" w:color="auto"/>
                    <w:right w:val="none" w:sz="0" w:space="0" w:color="auto"/>
                  </w:divBdr>
                  <w:divsChild>
                    <w:div w:id="121310100">
                      <w:marLeft w:val="0"/>
                      <w:marRight w:val="0"/>
                      <w:marTop w:val="0"/>
                      <w:marBottom w:val="0"/>
                      <w:divBdr>
                        <w:top w:val="none" w:sz="0" w:space="0" w:color="auto"/>
                        <w:left w:val="none" w:sz="0" w:space="0" w:color="auto"/>
                        <w:bottom w:val="none" w:sz="0" w:space="0" w:color="auto"/>
                        <w:right w:val="none" w:sz="0" w:space="0" w:color="auto"/>
                      </w:divBdr>
                    </w:div>
                  </w:divsChild>
                </w:div>
                <w:div w:id="802623731">
                  <w:marLeft w:val="0"/>
                  <w:marRight w:val="0"/>
                  <w:marTop w:val="0"/>
                  <w:marBottom w:val="0"/>
                  <w:divBdr>
                    <w:top w:val="none" w:sz="0" w:space="0" w:color="auto"/>
                    <w:left w:val="none" w:sz="0" w:space="0" w:color="auto"/>
                    <w:bottom w:val="none" w:sz="0" w:space="0" w:color="auto"/>
                    <w:right w:val="none" w:sz="0" w:space="0" w:color="auto"/>
                  </w:divBdr>
                  <w:divsChild>
                    <w:div w:id="670372296">
                      <w:marLeft w:val="0"/>
                      <w:marRight w:val="0"/>
                      <w:marTop w:val="0"/>
                      <w:marBottom w:val="0"/>
                      <w:divBdr>
                        <w:top w:val="none" w:sz="0" w:space="0" w:color="auto"/>
                        <w:left w:val="none" w:sz="0" w:space="0" w:color="auto"/>
                        <w:bottom w:val="none" w:sz="0" w:space="0" w:color="auto"/>
                        <w:right w:val="none" w:sz="0" w:space="0" w:color="auto"/>
                      </w:divBdr>
                    </w:div>
                  </w:divsChild>
                </w:div>
                <w:div w:id="803084574">
                  <w:marLeft w:val="0"/>
                  <w:marRight w:val="0"/>
                  <w:marTop w:val="0"/>
                  <w:marBottom w:val="0"/>
                  <w:divBdr>
                    <w:top w:val="none" w:sz="0" w:space="0" w:color="auto"/>
                    <w:left w:val="none" w:sz="0" w:space="0" w:color="auto"/>
                    <w:bottom w:val="none" w:sz="0" w:space="0" w:color="auto"/>
                    <w:right w:val="none" w:sz="0" w:space="0" w:color="auto"/>
                  </w:divBdr>
                  <w:divsChild>
                    <w:div w:id="1849129296">
                      <w:marLeft w:val="0"/>
                      <w:marRight w:val="0"/>
                      <w:marTop w:val="0"/>
                      <w:marBottom w:val="0"/>
                      <w:divBdr>
                        <w:top w:val="none" w:sz="0" w:space="0" w:color="auto"/>
                        <w:left w:val="none" w:sz="0" w:space="0" w:color="auto"/>
                        <w:bottom w:val="none" w:sz="0" w:space="0" w:color="auto"/>
                        <w:right w:val="none" w:sz="0" w:space="0" w:color="auto"/>
                      </w:divBdr>
                    </w:div>
                  </w:divsChild>
                </w:div>
                <w:div w:id="805121600">
                  <w:marLeft w:val="0"/>
                  <w:marRight w:val="0"/>
                  <w:marTop w:val="0"/>
                  <w:marBottom w:val="0"/>
                  <w:divBdr>
                    <w:top w:val="none" w:sz="0" w:space="0" w:color="auto"/>
                    <w:left w:val="none" w:sz="0" w:space="0" w:color="auto"/>
                    <w:bottom w:val="none" w:sz="0" w:space="0" w:color="auto"/>
                    <w:right w:val="none" w:sz="0" w:space="0" w:color="auto"/>
                  </w:divBdr>
                  <w:divsChild>
                    <w:div w:id="1324702070">
                      <w:marLeft w:val="0"/>
                      <w:marRight w:val="0"/>
                      <w:marTop w:val="0"/>
                      <w:marBottom w:val="0"/>
                      <w:divBdr>
                        <w:top w:val="none" w:sz="0" w:space="0" w:color="auto"/>
                        <w:left w:val="none" w:sz="0" w:space="0" w:color="auto"/>
                        <w:bottom w:val="none" w:sz="0" w:space="0" w:color="auto"/>
                        <w:right w:val="none" w:sz="0" w:space="0" w:color="auto"/>
                      </w:divBdr>
                    </w:div>
                  </w:divsChild>
                </w:div>
                <w:div w:id="814562021">
                  <w:marLeft w:val="0"/>
                  <w:marRight w:val="0"/>
                  <w:marTop w:val="0"/>
                  <w:marBottom w:val="0"/>
                  <w:divBdr>
                    <w:top w:val="none" w:sz="0" w:space="0" w:color="auto"/>
                    <w:left w:val="none" w:sz="0" w:space="0" w:color="auto"/>
                    <w:bottom w:val="none" w:sz="0" w:space="0" w:color="auto"/>
                    <w:right w:val="none" w:sz="0" w:space="0" w:color="auto"/>
                  </w:divBdr>
                  <w:divsChild>
                    <w:div w:id="1569683309">
                      <w:marLeft w:val="0"/>
                      <w:marRight w:val="0"/>
                      <w:marTop w:val="0"/>
                      <w:marBottom w:val="0"/>
                      <w:divBdr>
                        <w:top w:val="none" w:sz="0" w:space="0" w:color="auto"/>
                        <w:left w:val="none" w:sz="0" w:space="0" w:color="auto"/>
                        <w:bottom w:val="none" w:sz="0" w:space="0" w:color="auto"/>
                        <w:right w:val="none" w:sz="0" w:space="0" w:color="auto"/>
                      </w:divBdr>
                    </w:div>
                  </w:divsChild>
                </w:div>
                <w:div w:id="817264395">
                  <w:marLeft w:val="0"/>
                  <w:marRight w:val="0"/>
                  <w:marTop w:val="0"/>
                  <w:marBottom w:val="0"/>
                  <w:divBdr>
                    <w:top w:val="none" w:sz="0" w:space="0" w:color="auto"/>
                    <w:left w:val="none" w:sz="0" w:space="0" w:color="auto"/>
                    <w:bottom w:val="none" w:sz="0" w:space="0" w:color="auto"/>
                    <w:right w:val="none" w:sz="0" w:space="0" w:color="auto"/>
                  </w:divBdr>
                  <w:divsChild>
                    <w:div w:id="1238712446">
                      <w:marLeft w:val="0"/>
                      <w:marRight w:val="0"/>
                      <w:marTop w:val="0"/>
                      <w:marBottom w:val="0"/>
                      <w:divBdr>
                        <w:top w:val="none" w:sz="0" w:space="0" w:color="auto"/>
                        <w:left w:val="none" w:sz="0" w:space="0" w:color="auto"/>
                        <w:bottom w:val="none" w:sz="0" w:space="0" w:color="auto"/>
                        <w:right w:val="none" w:sz="0" w:space="0" w:color="auto"/>
                      </w:divBdr>
                    </w:div>
                  </w:divsChild>
                </w:div>
                <w:div w:id="819151237">
                  <w:marLeft w:val="0"/>
                  <w:marRight w:val="0"/>
                  <w:marTop w:val="0"/>
                  <w:marBottom w:val="0"/>
                  <w:divBdr>
                    <w:top w:val="none" w:sz="0" w:space="0" w:color="auto"/>
                    <w:left w:val="none" w:sz="0" w:space="0" w:color="auto"/>
                    <w:bottom w:val="none" w:sz="0" w:space="0" w:color="auto"/>
                    <w:right w:val="none" w:sz="0" w:space="0" w:color="auto"/>
                  </w:divBdr>
                  <w:divsChild>
                    <w:div w:id="1495993680">
                      <w:marLeft w:val="0"/>
                      <w:marRight w:val="0"/>
                      <w:marTop w:val="0"/>
                      <w:marBottom w:val="0"/>
                      <w:divBdr>
                        <w:top w:val="none" w:sz="0" w:space="0" w:color="auto"/>
                        <w:left w:val="none" w:sz="0" w:space="0" w:color="auto"/>
                        <w:bottom w:val="none" w:sz="0" w:space="0" w:color="auto"/>
                        <w:right w:val="none" w:sz="0" w:space="0" w:color="auto"/>
                      </w:divBdr>
                    </w:div>
                  </w:divsChild>
                </w:div>
                <w:div w:id="820199237">
                  <w:marLeft w:val="0"/>
                  <w:marRight w:val="0"/>
                  <w:marTop w:val="0"/>
                  <w:marBottom w:val="0"/>
                  <w:divBdr>
                    <w:top w:val="none" w:sz="0" w:space="0" w:color="auto"/>
                    <w:left w:val="none" w:sz="0" w:space="0" w:color="auto"/>
                    <w:bottom w:val="none" w:sz="0" w:space="0" w:color="auto"/>
                    <w:right w:val="none" w:sz="0" w:space="0" w:color="auto"/>
                  </w:divBdr>
                  <w:divsChild>
                    <w:div w:id="807212488">
                      <w:marLeft w:val="0"/>
                      <w:marRight w:val="0"/>
                      <w:marTop w:val="0"/>
                      <w:marBottom w:val="0"/>
                      <w:divBdr>
                        <w:top w:val="none" w:sz="0" w:space="0" w:color="auto"/>
                        <w:left w:val="none" w:sz="0" w:space="0" w:color="auto"/>
                        <w:bottom w:val="none" w:sz="0" w:space="0" w:color="auto"/>
                        <w:right w:val="none" w:sz="0" w:space="0" w:color="auto"/>
                      </w:divBdr>
                    </w:div>
                  </w:divsChild>
                </w:div>
                <w:div w:id="824278481">
                  <w:marLeft w:val="0"/>
                  <w:marRight w:val="0"/>
                  <w:marTop w:val="0"/>
                  <w:marBottom w:val="0"/>
                  <w:divBdr>
                    <w:top w:val="none" w:sz="0" w:space="0" w:color="auto"/>
                    <w:left w:val="none" w:sz="0" w:space="0" w:color="auto"/>
                    <w:bottom w:val="none" w:sz="0" w:space="0" w:color="auto"/>
                    <w:right w:val="none" w:sz="0" w:space="0" w:color="auto"/>
                  </w:divBdr>
                  <w:divsChild>
                    <w:div w:id="870457140">
                      <w:marLeft w:val="0"/>
                      <w:marRight w:val="0"/>
                      <w:marTop w:val="0"/>
                      <w:marBottom w:val="0"/>
                      <w:divBdr>
                        <w:top w:val="none" w:sz="0" w:space="0" w:color="auto"/>
                        <w:left w:val="none" w:sz="0" w:space="0" w:color="auto"/>
                        <w:bottom w:val="none" w:sz="0" w:space="0" w:color="auto"/>
                        <w:right w:val="none" w:sz="0" w:space="0" w:color="auto"/>
                      </w:divBdr>
                    </w:div>
                  </w:divsChild>
                </w:div>
                <w:div w:id="824469629">
                  <w:marLeft w:val="0"/>
                  <w:marRight w:val="0"/>
                  <w:marTop w:val="0"/>
                  <w:marBottom w:val="0"/>
                  <w:divBdr>
                    <w:top w:val="none" w:sz="0" w:space="0" w:color="auto"/>
                    <w:left w:val="none" w:sz="0" w:space="0" w:color="auto"/>
                    <w:bottom w:val="none" w:sz="0" w:space="0" w:color="auto"/>
                    <w:right w:val="none" w:sz="0" w:space="0" w:color="auto"/>
                  </w:divBdr>
                  <w:divsChild>
                    <w:div w:id="120272007">
                      <w:marLeft w:val="0"/>
                      <w:marRight w:val="0"/>
                      <w:marTop w:val="0"/>
                      <w:marBottom w:val="0"/>
                      <w:divBdr>
                        <w:top w:val="none" w:sz="0" w:space="0" w:color="auto"/>
                        <w:left w:val="none" w:sz="0" w:space="0" w:color="auto"/>
                        <w:bottom w:val="none" w:sz="0" w:space="0" w:color="auto"/>
                        <w:right w:val="none" w:sz="0" w:space="0" w:color="auto"/>
                      </w:divBdr>
                    </w:div>
                  </w:divsChild>
                </w:div>
                <w:div w:id="836071221">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none" w:sz="0" w:space="0" w:color="auto"/>
                        <w:bottom w:val="none" w:sz="0" w:space="0" w:color="auto"/>
                        <w:right w:val="none" w:sz="0" w:space="0" w:color="auto"/>
                      </w:divBdr>
                    </w:div>
                  </w:divsChild>
                </w:div>
                <w:div w:id="843132422">
                  <w:marLeft w:val="0"/>
                  <w:marRight w:val="0"/>
                  <w:marTop w:val="0"/>
                  <w:marBottom w:val="0"/>
                  <w:divBdr>
                    <w:top w:val="none" w:sz="0" w:space="0" w:color="auto"/>
                    <w:left w:val="none" w:sz="0" w:space="0" w:color="auto"/>
                    <w:bottom w:val="none" w:sz="0" w:space="0" w:color="auto"/>
                    <w:right w:val="none" w:sz="0" w:space="0" w:color="auto"/>
                  </w:divBdr>
                  <w:divsChild>
                    <w:div w:id="2105223973">
                      <w:marLeft w:val="0"/>
                      <w:marRight w:val="0"/>
                      <w:marTop w:val="0"/>
                      <w:marBottom w:val="0"/>
                      <w:divBdr>
                        <w:top w:val="none" w:sz="0" w:space="0" w:color="auto"/>
                        <w:left w:val="none" w:sz="0" w:space="0" w:color="auto"/>
                        <w:bottom w:val="none" w:sz="0" w:space="0" w:color="auto"/>
                        <w:right w:val="none" w:sz="0" w:space="0" w:color="auto"/>
                      </w:divBdr>
                    </w:div>
                  </w:divsChild>
                </w:div>
                <w:div w:id="845677618">
                  <w:marLeft w:val="0"/>
                  <w:marRight w:val="0"/>
                  <w:marTop w:val="0"/>
                  <w:marBottom w:val="0"/>
                  <w:divBdr>
                    <w:top w:val="none" w:sz="0" w:space="0" w:color="auto"/>
                    <w:left w:val="none" w:sz="0" w:space="0" w:color="auto"/>
                    <w:bottom w:val="none" w:sz="0" w:space="0" w:color="auto"/>
                    <w:right w:val="none" w:sz="0" w:space="0" w:color="auto"/>
                  </w:divBdr>
                  <w:divsChild>
                    <w:div w:id="202375593">
                      <w:marLeft w:val="0"/>
                      <w:marRight w:val="0"/>
                      <w:marTop w:val="0"/>
                      <w:marBottom w:val="0"/>
                      <w:divBdr>
                        <w:top w:val="none" w:sz="0" w:space="0" w:color="auto"/>
                        <w:left w:val="none" w:sz="0" w:space="0" w:color="auto"/>
                        <w:bottom w:val="none" w:sz="0" w:space="0" w:color="auto"/>
                        <w:right w:val="none" w:sz="0" w:space="0" w:color="auto"/>
                      </w:divBdr>
                    </w:div>
                  </w:divsChild>
                </w:div>
                <w:div w:id="854881166">
                  <w:marLeft w:val="0"/>
                  <w:marRight w:val="0"/>
                  <w:marTop w:val="0"/>
                  <w:marBottom w:val="0"/>
                  <w:divBdr>
                    <w:top w:val="none" w:sz="0" w:space="0" w:color="auto"/>
                    <w:left w:val="none" w:sz="0" w:space="0" w:color="auto"/>
                    <w:bottom w:val="none" w:sz="0" w:space="0" w:color="auto"/>
                    <w:right w:val="none" w:sz="0" w:space="0" w:color="auto"/>
                  </w:divBdr>
                  <w:divsChild>
                    <w:div w:id="245848452">
                      <w:marLeft w:val="0"/>
                      <w:marRight w:val="0"/>
                      <w:marTop w:val="0"/>
                      <w:marBottom w:val="0"/>
                      <w:divBdr>
                        <w:top w:val="none" w:sz="0" w:space="0" w:color="auto"/>
                        <w:left w:val="none" w:sz="0" w:space="0" w:color="auto"/>
                        <w:bottom w:val="none" w:sz="0" w:space="0" w:color="auto"/>
                        <w:right w:val="none" w:sz="0" w:space="0" w:color="auto"/>
                      </w:divBdr>
                    </w:div>
                  </w:divsChild>
                </w:div>
                <w:div w:id="856122106">
                  <w:marLeft w:val="0"/>
                  <w:marRight w:val="0"/>
                  <w:marTop w:val="0"/>
                  <w:marBottom w:val="0"/>
                  <w:divBdr>
                    <w:top w:val="none" w:sz="0" w:space="0" w:color="auto"/>
                    <w:left w:val="none" w:sz="0" w:space="0" w:color="auto"/>
                    <w:bottom w:val="none" w:sz="0" w:space="0" w:color="auto"/>
                    <w:right w:val="none" w:sz="0" w:space="0" w:color="auto"/>
                  </w:divBdr>
                  <w:divsChild>
                    <w:div w:id="822741251">
                      <w:marLeft w:val="0"/>
                      <w:marRight w:val="0"/>
                      <w:marTop w:val="0"/>
                      <w:marBottom w:val="0"/>
                      <w:divBdr>
                        <w:top w:val="none" w:sz="0" w:space="0" w:color="auto"/>
                        <w:left w:val="none" w:sz="0" w:space="0" w:color="auto"/>
                        <w:bottom w:val="none" w:sz="0" w:space="0" w:color="auto"/>
                        <w:right w:val="none" w:sz="0" w:space="0" w:color="auto"/>
                      </w:divBdr>
                    </w:div>
                  </w:divsChild>
                </w:div>
                <w:div w:id="859707472">
                  <w:marLeft w:val="0"/>
                  <w:marRight w:val="0"/>
                  <w:marTop w:val="0"/>
                  <w:marBottom w:val="0"/>
                  <w:divBdr>
                    <w:top w:val="none" w:sz="0" w:space="0" w:color="auto"/>
                    <w:left w:val="none" w:sz="0" w:space="0" w:color="auto"/>
                    <w:bottom w:val="none" w:sz="0" w:space="0" w:color="auto"/>
                    <w:right w:val="none" w:sz="0" w:space="0" w:color="auto"/>
                  </w:divBdr>
                  <w:divsChild>
                    <w:div w:id="481042449">
                      <w:marLeft w:val="0"/>
                      <w:marRight w:val="0"/>
                      <w:marTop w:val="0"/>
                      <w:marBottom w:val="0"/>
                      <w:divBdr>
                        <w:top w:val="none" w:sz="0" w:space="0" w:color="auto"/>
                        <w:left w:val="none" w:sz="0" w:space="0" w:color="auto"/>
                        <w:bottom w:val="none" w:sz="0" w:space="0" w:color="auto"/>
                        <w:right w:val="none" w:sz="0" w:space="0" w:color="auto"/>
                      </w:divBdr>
                    </w:div>
                  </w:divsChild>
                </w:div>
                <w:div w:id="864058589">
                  <w:marLeft w:val="0"/>
                  <w:marRight w:val="0"/>
                  <w:marTop w:val="0"/>
                  <w:marBottom w:val="0"/>
                  <w:divBdr>
                    <w:top w:val="none" w:sz="0" w:space="0" w:color="auto"/>
                    <w:left w:val="none" w:sz="0" w:space="0" w:color="auto"/>
                    <w:bottom w:val="none" w:sz="0" w:space="0" w:color="auto"/>
                    <w:right w:val="none" w:sz="0" w:space="0" w:color="auto"/>
                  </w:divBdr>
                  <w:divsChild>
                    <w:div w:id="104473170">
                      <w:marLeft w:val="0"/>
                      <w:marRight w:val="0"/>
                      <w:marTop w:val="0"/>
                      <w:marBottom w:val="0"/>
                      <w:divBdr>
                        <w:top w:val="none" w:sz="0" w:space="0" w:color="auto"/>
                        <w:left w:val="none" w:sz="0" w:space="0" w:color="auto"/>
                        <w:bottom w:val="none" w:sz="0" w:space="0" w:color="auto"/>
                        <w:right w:val="none" w:sz="0" w:space="0" w:color="auto"/>
                      </w:divBdr>
                    </w:div>
                  </w:divsChild>
                </w:div>
                <w:div w:id="876116811">
                  <w:marLeft w:val="0"/>
                  <w:marRight w:val="0"/>
                  <w:marTop w:val="0"/>
                  <w:marBottom w:val="0"/>
                  <w:divBdr>
                    <w:top w:val="none" w:sz="0" w:space="0" w:color="auto"/>
                    <w:left w:val="none" w:sz="0" w:space="0" w:color="auto"/>
                    <w:bottom w:val="none" w:sz="0" w:space="0" w:color="auto"/>
                    <w:right w:val="none" w:sz="0" w:space="0" w:color="auto"/>
                  </w:divBdr>
                  <w:divsChild>
                    <w:div w:id="339089581">
                      <w:marLeft w:val="0"/>
                      <w:marRight w:val="0"/>
                      <w:marTop w:val="0"/>
                      <w:marBottom w:val="0"/>
                      <w:divBdr>
                        <w:top w:val="none" w:sz="0" w:space="0" w:color="auto"/>
                        <w:left w:val="none" w:sz="0" w:space="0" w:color="auto"/>
                        <w:bottom w:val="none" w:sz="0" w:space="0" w:color="auto"/>
                        <w:right w:val="none" w:sz="0" w:space="0" w:color="auto"/>
                      </w:divBdr>
                    </w:div>
                  </w:divsChild>
                </w:div>
                <w:div w:id="882863796">
                  <w:marLeft w:val="0"/>
                  <w:marRight w:val="0"/>
                  <w:marTop w:val="0"/>
                  <w:marBottom w:val="0"/>
                  <w:divBdr>
                    <w:top w:val="none" w:sz="0" w:space="0" w:color="auto"/>
                    <w:left w:val="none" w:sz="0" w:space="0" w:color="auto"/>
                    <w:bottom w:val="none" w:sz="0" w:space="0" w:color="auto"/>
                    <w:right w:val="none" w:sz="0" w:space="0" w:color="auto"/>
                  </w:divBdr>
                  <w:divsChild>
                    <w:div w:id="850070850">
                      <w:marLeft w:val="0"/>
                      <w:marRight w:val="0"/>
                      <w:marTop w:val="0"/>
                      <w:marBottom w:val="0"/>
                      <w:divBdr>
                        <w:top w:val="none" w:sz="0" w:space="0" w:color="auto"/>
                        <w:left w:val="none" w:sz="0" w:space="0" w:color="auto"/>
                        <w:bottom w:val="none" w:sz="0" w:space="0" w:color="auto"/>
                        <w:right w:val="none" w:sz="0" w:space="0" w:color="auto"/>
                      </w:divBdr>
                    </w:div>
                  </w:divsChild>
                </w:div>
                <w:div w:id="885140025">
                  <w:marLeft w:val="0"/>
                  <w:marRight w:val="0"/>
                  <w:marTop w:val="0"/>
                  <w:marBottom w:val="0"/>
                  <w:divBdr>
                    <w:top w:val="none" w:sz="0" w:space="0" w:color="auto"/>
                    <w:left w:val="none" w:sz="0" w:space="0" w:color="auto"/>
                    <w:bottom w:val="none" w:sz="0" w:space="0" w:color="auto"/>
                    <w:right w:val="none" w:sz="0" w:space="0" w:color="auto"/>
                  </w:divBdr>
                  <w:divsChild>
                    <w:div w:id="1013873677">
                      <w:marLeft w:val="0"/>
                      <w:marRight w:val="0"/>
                      <w:marTop w:val="0"/>
                      <w:marBottom w:val="0"/>
                      <w:divBdr>
                        <w:top w:val="none" w:sz="0" w:space="0" w:color="auto"/>
                        <w:left w:val="none" w:sz="0" w:space="0" w:color="auto"/>
                        <w:bottom w:val="none" w:sz="0" w:space="0" w:color="auto"/>
                        <w:right w:val="none" w:sz="0" w:space="0" w:color="auto"/>
                      </w:divBdr>
                    </w:div>
                  </w:divsChild>
                </w:div>
                <w:div w:id="893271505">
                  <w:marLeft w:val="0"/>
                  <w:marRight w:val="0"/>
                  <w:marTop w:val="0"/>
                  <w:marBottom w:val="0"/>
                  <w:divBdr>
                    <w:top w:val="none" w:sz="0" w:space="0" w:color="auto"/>
                    <w:left w:val="none" w:sz="0" w:space="0" w:color="auto"/>
                    <w:bottom w:val="none" w:sz="0" w:space="0" w:color="auto"/>
                    <w:right w:val="none" w:sz="0" w:space="0" w:color="auto"/>
                  </w:divBdr>
                  <w:divsChild>
                    <w:div w:id="2078742201">
                      <w:marLeft w:val="0"/>
                      <w:marRight w:val="0"/>
                      <w:marTop w:val="0"/>
                      <w:marBottom w:val="0"/>
                      <w:divBdr>
                        <w:top w:val="none" w:sz="0" w:space="0" w:color="auto"/>
                        <w:left w:val="none" w:sz="0" w:space="0" w:color="auto"/>
                        <w:bottom w:val="none" w:sz="0" w:space="0" w:color="auto"/>
                        <w:right w:val="none" w:sz="0" w:space="0" w:color="auto"/>
                      </w:divBdr>
                    </w:div>
                  </w:divsChild>
                </w:div>
                <w:div w:id="899940416">
                  <w:marLeft w:val="0"/>
                  <w:marRight w:val="0"/>
                  <w:marTop w:val="0"/>
                  <w:marBottom w:val="0"/>
                  <w:divBdr>
                    <w:top w:val="none" w:sz="0" w:space="0" w:color="auto"/>
                    <w:left w:val="none" w:sz="0" w:space="0" w:color="auto"/>
                    <w:bottom w:val="none" w:sz="0" w:space="0" w:color="auto"/>
                    <w:right w:val="none" w:sz="0" w:space="0" w:color="auto"/>
                  </w:divBdr>
                  <w:divsChild>
                    <w:div w:id="781849085">
                      <w:marLeft w:val="0"/>
                      <w:marRight w:val="0"/>
                      <w:marTop w:val="0"/>
                      <w:marBottom w:val="0"/>
                      <w:divBdr>
                        <w:top w:val="none" w:sz="0" w:space="0" w:color="auto"/>
                        <w:left w:val="none" w:sz="0" w:space="0" w:color="auto"/>
                        <w:bottom w:val="none" w:sz="0" w:space="0" w:color="auto"/>
                        <w:right w:val="none" w:sz="0" w:space="0" w:color="auto"/>
                      </w:divBdr>
                    </w:div>
                  </w:divsChild>
                </w:div>
                <w:div w:id="900939743">
                  <w:marLeft w:val="0"/>
                  <w:marRight w:val="0"/>
                  <w:marTop w:val="0"/>
                  <w:marBottom w:val="0"/>
                  <w:divBdr>
                    <w:top w:val="none" w:sz="0" w:space="0" w:color="auto"/>
                    <w:left w:val="none" w:sz="0" w:space="0" w:color="auto"/>
                    <w:bottom w:val="none" w:sz="0" w:space="0" w:color="auto"/>
                    <w:right w:val="none" w:sz="0" w:space="0" w:color="auto"/>
                  </w:divBdr>
                  <w:divsChild>
                    <w:div w:id="1761364408">
                      <w:marLeft w:val="0"/>
                      <w:marRight w:val="0"/>
                      <w:marTop w:val="0"/>
                      <w:marBottom w:val="0"/>
                      <w:divBdr>
                        <w:top w:val="none" w:sz="0" w:space="0" w:color="auto"/>
                        <w:left w:val="none" w:sz="0" w:space="0" w:color="auto"/>
                        <w:bottom w:val="none" w:sz="0" w:space="0" w:color="auto"/>
                        <w:right w:val="none" w:sz="0" w:space="0" w:color="auto"/>
                      </w:divBdr>
                    </w:div>
                  </w:divsChild>
                </w:div>
                <w:div w:id="912011406">
                  <w:marLeft w:val="0"/>
                  <w:marRight w:val="0"/>
                  <w:marTop w:val="0"/>
                  <w:marBottom w:val="0"/>
                  <w:divBdr>
                    <w:top w:val="none" w:sz="0" w:space="0" w:color="auto"/>
                    <w:left w:val="none" w:sz="0" w:space="0" w:color="auto"/>
                    <w:bottom w:val="none" w:sz="0" w:space="0" w:color="auto"/>
                    <w:right w:val="none" w:sz="0" w:space="0" w:color="auto"/>
                  </w:divBdr>
                  <w:divsChild>
                    <w:div w:id="1185628526">
                      <w:marLeft w:val="0"/>
                      <w:marRight w:val="0"/>
                      <w:marTop w:val="0"/>
                      <w:marBottom w:val="0"/>
                      <w:divBdr>
                        <w:top w:val="none" w:sz="0" w:space="0" w:color="auto"/>
                        <w:left w:val="none" w:sz="0" w:space="0" w:color="auto"/>
                        <w:bottom w:val="none" w:sz="0" w:space="0" w:color="auto"/>
                        <w:right w:val="none" w:sz="0" w:space="0" w:color="auto"/>
                      </w:divBdr>
                    </w:div>
                  </w:divsChild>
                </w:div>
                <w:div w:id="913973460">
                  <w:marLeft w:val="0"/>
                  <w:marRight w:val="0"/>
                  <w:marTop w:val="0"/>
                  <w:marBottom w:val="0"/>
                  <w:divBdr>
                    <w:top w:val="none" w:sz="0" w:space="0" w:color="auto"/>
                    <w:left w:val="none" w:sz="0" w:space="0" w:color="auto"/>
                    <w:bottom w:val="none" w:sz="0" w:space="0" w:color="auto"/>
                    <w:right w:val="none" w:sz="0" w:space="0" w:color="auto"/>
                  </w:divBdr>
                  <w:divsChild>
                    <w:div w:id="1986665205">
                      <w:marLeft w:val="0"/>
                      <w:marRight w:val="0"/>
                      <w:marTop w:val="0"/>
                      <w:marBottom w:val="0"/>
                      <w:divBdr>
                        <w:top w:val="none" w:sz="0" w:space="0" w:color="auto"/>
                        <w:left w:val="none" w:sz="0" w:space="0" w:color="auto"/>
                        <w:bottom w:val="none" w:sz="0" w:space="0" w:color="auto"/>
                        <w:right w:val="none" w:sz="0" w:space="0" w:color="auto"/>
                      </w:divBdr>
                    </w:div>
                  </w:divsChild>
                </w:div>
                <w:div w:id="916673854">
                  <w:marLeft w:val="0"/>
                  <w:marRight w:val="0"/>
                  <w:marTop w:val="0"/>
                  <w:marBottom w:val="0"/>
                  <w:divBdr>
                    <w:top w:val="none" w:sz="0" w:space="0" w:color="auto"/>
                    <w:left w:val="none" w:sz="0" w:space="0" w:color="auto"/>
                    <w:bottom w:val="none" w:sz="0" w:space="0" w:color="auto"/>
                    <w:right w:val="none" w:sz="0" w:space="0" w:color="auto"/>
                  </w:divBdr>
                  <w:divsChild>
                    <w:div w:id="251672014">
                      <w:marLeft w:val="0"/>
                      <w:marRight w:val="0"/>
                      <w:marTop w:val="0"/>
                      <w:marBottom w:val="0"/>
                      <w:divBdr>
                        <w:top w:val="none" w:sz="0" w:space="0" w:color="auto"/>
                        <w:left w:val="none" w:sz="0" w:space="0" w:color="auto"/>
                        <w:bottom w:val="none" w:sz="0" w:space="0" w:color="auto"/>
                        <w:right w:val="none" w:sz="0" w:space="0" w:color="auto"/>
                      </w:divBdr>
                    </w:div>
                  </w:divsChild>
                </w:div>
                <w:div w:id="928076880">
                  <w:marLeft w:val="0"/>
                  <w:marRight w:val="0"/>
                  <w:marTop w:val="0"/>
                  <w:marBottom w:val="0"/>
                  <w:divBdr>
                    <w:top w:val="none" w:sz="0" w:space="0" w:color="auto"/>
                    <w:left w:val="none" w:sz="0" w:space="0" w:color="auto"/>
                    <w:bottom w:val="none" w:sz="0" w:space="0" w:color="auto"/>
                    <w:right w:val="none" w:sz="0" w:space="0" w:color="auto"/>
                  </w:divBdr>
                  <w:divsChild>
                    <w:div w:id="1419642461">
                      <w:marLeft w:val="0"/>
                      <w:marRight w:val="0"/>
                      <w:marTop w:val="0"/>
                      <w:marBottom w:val="0"/>
                      <w:divBdr>
                        <w:top w:val="none" w:sz="0" w:space="0" w:color="auto"/>
                        <w:left w:val="none" w:sz="0" w:space="0" w:color="auto"/>
                        <w:bottom w:val="none" w:sz="0" w:space="0" w:color="auto"/>
                        <w:right w:val="none" w:sz="0" w:space="0" w:color="auto"/>
                      </w:divBdr>
                    </w:div>
                  </w:divsChild>
                </w:div>
                <w:div w:id="935752068">
                  <w:marLeft w:val="0"/>
                  <w:marRight w:val="0"/>
                  <w:marTop w:val="0"/>
                  <w:marBottom w:val="0"/>
                  <w:divBdr>
                    <w:top w:val="none" w:sz="0" w:space="0" w:color="auto"/>
                    <w:left w:val="none" w:sz="0" w:space="0" w:color="auto"/>
                    <w:bottom w:val="none" w:sz="0" w:space="0" w:color="auto"/>
                    <w:right w:val="none" w:sz="0" w:space="0" w:color="auto"/>
                  </w:divBdr>
                  <w:divsChild>
                    <w:div w:id="106122704">
                      <w:marLeft w:val="0"/>
                      <w:marRight w:val="0"/>
                      <w:marTop w:val="0"/>
                      <w:marBottom w:val="0"/>
                      <w:divBdr>
                        <w:top w:val="none" w:sz="0" w:space="0" w:color="auto"/>
                        <w:left w:val="none" w:sz="0" w:space="0" w:color="auto"/>
                        <w:bottom w:val="none" w:sz="0" w:space="0" w:color="auto"/>
                        <w:right w:val="none" w:sz="0" w:space="0" w:color="auto"/>
                      </w:divBdr>
                    </w:div>
                  </w:divsChild>
                </w:div>
                <w:div w:id="943417536">
                  <w:marLeft w:val="0"/>
                  <w:marRight w:val="0"/>
                  <w:marTop w:val="0"/>
                  <w:marBottom w:val="0"/>
                  <w:divBdr>
                    <w:top w:val="none" w:sz="0" w:space="0" w:color="auto"/>
                    <w:left w:val="none" w:sz="0" w:space="0" w:color="auto"/>
                    <w:bottom w:val="none" w:sz="0" w:space="0" w:color="auto"/>
                    <w:right w:val="none" w:sz="0" w:space="0" w:color="auto"/>
                  </w:divBdr>
                  <w:divsChild>
                    <w:div w:id="1677079393">
                      <w:marLeft w:val="0"/>
                      <w:marRight w:val="0"/>
                      <w:marTop w:val="0"/>
                      <w:marBottom w:val="0"/>
                      <w:divBdr>
                        <w:top w:val="none" w:sz="0" w:space="0" w:color="auto"/>
                        <w:left w:val="none" w:sz="0" w:space="0" w:color="auto"/>
                        <w:bottom w:val="none" w:sz="0" w:space="0" w:color="auto"/>
                        <w:right w:val="none" w:sz="0" w:space="0" w:color="auto"/>
                      </w:divBdr>
                    </w:div>
                  </w:divsChild>
                </w:div>
                <w:div w:id="950941241">
                  <w:marLeft w:val="0"/>
                  <w:marRight w:val="0"/>
                  <w:marTop w:val="0"/>
                  <w:marBottom w:val="0"/>
                  <w:divBdr>
                    <w:top w:val="none" w:sz="0" w:space="0" w:color="auto"/>
                    <w:left w:val="none" w:sz="0" w:space="0" w:color="auto"/>
                    <w:bottom w:val="none" w:sz="0" w:space="0" w:color="auto"/>
                    <w:right w:val="none" w:sz="0" w:space="0" w:color="auto"/>
                  </w:divBdr>
                  <w:divsChild>
                    <w:div w:id="609438323">
                      <w:marLeft w:val="0"/>
                      <w:marRight w:val="0"/>
                      <w:marTop w:val="0"/>
                      <w:marBottom w:val="0"/>
                      <w:divBdr>
                        <w:top w:val="none" w:sz="0" w:space="0" w:color="auto"/>
                        <w:left w:val="none" w:sz="0" w:space="0" w:color="auto"/>
                        <w:bottom w:val="none" w:sz="0" w:space="0" w:color="auto"/>
                        <w:right w:val="none" w:sz="0" w:space="0" w:color="auto"/>
                      </w:divBdr>
                    </w:div>
                  </w:divsChild>
                </w:div>
                <w:div w:id="952829595">
                  <w:marLeft w:val="0"/>
                  <w:marRight w:val="0"/>
                  <w:marTop w:val="0"/>
                  <w:marBottom w:val="0"/>
                  <w:divBdr>
                    <w:top w:val="none" w:sz="0" w:space="0" w:color="auto"/>
                    <w:left w:val="none" w:sz="0" w:space="0" w:color="auto"/>
                    <w:bottom w:val="none" w:sz="0" w:space="0" w:color="auto"/>
                    <w:right w:val="none" w:sz="0" w:space="0" w:color="auto"/>
                  </w:divBdr>
                  <w:divsChild>
                    <w:div w:id="205142638">
                      <w:marLeft w:val="0"/>
                      <w:marRight w:val="0"/>
                      <w:marTop w:val="0"/>
                      <w:marBottom w:val="0"/>
                      <w:divBdr>
                        <w:top w:val="none" w:sz="0" w:space="0" w:color="auto"/>
                        <w:left w:val="none" w:sz="0" w:space="0" w:color="auto"/>
                        <w:bottom w:val="none" w:sz="0" w:space="0" w:color="auto"/>
                        <w:right w:val="none" w:sz="0" w:space="0" w:color="auto"/>
                      </w:divBdr>
                    </w:div>
                  </w:divsChild>
                </w:div>
                <w:div w:id="957566686">
                  <w:marLeft w:val="0"/>
                  <w:marRight w:val="0"/>
                  <w:marTop w:val="0"/>
                  <w:marBottom w:val="0"/>
                  <w:divBdr>
                    <w:top w:val="none" w:sz="0" w:space="0" w:color="auto"/>
                    <w:left w:val="none" w:sz="0" w:space="0" w:color="auto"/>
                    <w:bottom w:val="none" w:sz="0" w:space="0" w:color="auto"/>
                    <w:right w:val="none" w:sz="0" w:space="0" w:color="auto"/>
                  </w:divBdr>
                  <w:divsChild>
                    <w:div w:id="198863918">
                      <w:marLeft w:val="0"/>
                      <w:marRight w:val="0"/>
                      <w:marTop w:val="0"/>
                      <w:marBottom w:val="0"/>
                      <w:divBdr>
                        <w:top w:val="none" w:sz="0" w:space="0" w:color="auto"/>
                        <w:left w:val="none" w:sz="0" w:space="0" w:color="auto"/>
                        <w:bottom w:val="none" w:sz="0" w:space="0" w:color="auto"/>
                        <w:right w:val="none" w:sz="0" w:space="0" w:color="auto"/>
                      </w:divBdr>
                    </w:div>
                  </w:divsChild>
                </w:div>
                <w:div w:id="963577491">
                  <w:marLeft w:val="0"/>
                  <w:marRight w:val="0"/>
                  <w:marTop w:val="0"/>
                  <w:marBottom w:val="0"/>
                  <w:divBdr>
                    <w:top w:val="none" w:sz="0" w:space="0" w:color="auto"/>
                    <w:left w:val="none" w:sz="0" w:space="0" w:color="auto"/>
                    <w:bottom w:val="none" w:sz="0" w:space="0" w:color="auto"/>
                    <w:right w:val="none" w:sz="0" w:space="0" w:color="auto"/>
                  </w:divBdr>
                  <w:divsChild>
                    <w:div w:id="878275736">
                      <w:marLeft w:val="0"/>
                      <w:marRight w:val="0"/>
                      <w:marTop w:val="0"/>
                      <w:marBottom w:val="0"/>
                      <w:divBdr>
                        <w:top w:val="none" w:sz="0" w:space="0" w:color="auto"/>
                        <w:left w:val="none" w:sz="0" w:space="0" w:color="auto"/>
                        <w:bottom w:val="none" w:sz="0" w:space="0" w:color="auto"/>
                        <w:right w:val="none" w:sz="0" w:space="0" w:color="auto"/>
                      </w:divBdr>
                    </w:div>
                  </w:divsChild>
                </w:div>
                <w:div w:id="966934931">
                  <w:marLeft w:val="0"/>
                  <w:marRight w:val="0"/>
                  <w:marTop w:val="0"/>
                  <w:marBottom w:val="0"/>
                  <w:divBdr>
                    <w:top w:val="none" w:sz="0" w:space="0" w:color="auto"/>
                    <w:left w:val="none" w:sz="0" w:space="0" w:color="auto"/>
                    <w:bottom w:val="none" w:sz="0" w:space="0" w:color="auto"/>
                    <w:right w:val="none" w:sz="0" w:space="0" w:color="auto"/>
                  </w:divBdr>
                  <w:divsChild>
                    <w:div w:id="893854233">
                      <w:marLeft w:val="0"/>
                      <w:marRight w:val="0"/>
                      <w:marTop w:val="0"/>
                      <w:marBottom w:val="0"/>
                      <w:divBdr>
                        <w:top w:val="none" w:sz="0" w:space="0" w:color="auto"/>
                        <w:left w:val="none" w:sz="0" w:space="0" w:color="auto"/>
                        <w:bottom w:val="none" w:sz="0" w:space="0" w:color="auto"/>
                        <w:right w:val="none" w:sz="0" w:space="0" w:color="auto"/>
                      </w:divBdr>
                    </w:div>
                  </w:divsChild>
                </w:div>
                <w:div w:id="972252474">
                  <w:marLeft w:val="0"/>
                  <w:marRight w:val="0"/>
                  <w:marTop w:val="0"/>
                  <w:marBottom w:val="0"/>
                  <w:divBdr>
                    <w:top w:val="none" w:sz="0" w:space="0" w:color="auto"/>
                    <w:left w:val="none" w:sz="0" w:space="0" w:color="auto"/>
                    <w:bottom w:val="none" w:sz="0" w:space="0" w:color="auto"/>
                    <w:right w:val="none" w:sz="0" w:space="0" w:color="auto"/>
                  </w:divBdr>
                  <w:divsChild>
                    <w:div w:id="726488665">
                      <w:marLeft w:val="0"/>
                      <w:marRight w:val="0"/>
                      <w:marTop w:val="0"/>
                      <w:marBottom w:val="0"/>
                      <w:divBdr>
                        <w:top w:val="none" w:sz="0" w:space="0" w:color="auto"/>
                        <w:left w:val="none" w:sz="0" w:space="0" w:color="auto"/>
                        <w:bottom w:val="none" w:sz="0" w:space="0" w:color="auto"/>
                        <w:right w:val="none" w:sz="0" w:space="0" w:color="auto"/>
                      </w:divBdr>
                    </w:div>
                  </w:divsChild>
                </w:div>
                <w:div w:id="975187983">
                  <w:marLeft w:val="0"/>
                  <w:marRight w:val="0"/>
                  <w:marTop w:val="0"/>
                  <w:marBottom w:val="0"/>
                  <w:divBdr>
                    <w:top w:val="none" w:sz="0" w:space="0" w:color="auto"/>
                    <w:left w:val="none" w:sz="0" w:space="0" w:color="auto"/>
                    <w:bottom w:val="none" w:sz="0" w:space="0" w:color="auto"/>
                    <w:right w:val="none" w:sz="0" w:space="0" w:color="auto"/>
                  </w:divBdr>
                  <w:divsChild>
                    <w:div w:id="610086026">
                      <w:marLeft w:val="0"/>
                      <w:marRight w:val="0"/>
                      <w:marTop w:val="0"/>
                      <w:marBottom w:val="0"/>
                      <w:divBdr>
                        <w:top w:val="none" w:sz="0" w:space="0" w:color="auto"/>
                        <w:left w:val="none" w:sz="0" w:space="0" w:color="auto"/>
                        <w:bottom w:val="none" w:sz="0" w:space="0" w:color="auto"/>
                        <w:right w:val="none" w:sz="0" w:space="0" w:color="auto"/>
                      </w:divBdr>
                    </w:div>
                  </w:divsChild>
                </w:div>
                <w:div w:id="982125571">
                  <w:marLeft w:val="0"/>
                  <w:marRight w:val="0"/>
                  <w:marTop w:val="0"/>
                  <w:marBottom w:val="0"/>
                  <w:divBdr>
                    <w:top w:val="none" w:sz="0" w:space="0" w:color="auto"/>
                    <w:left w:val="none" w:sz="0" w:space="0" w:color="auto"/>
                    <w:bottom w:val="none" w:sz="0" w:space="0" w:color="auto"/>
                    <w:right w:val="none" w:sz="0" w:space="0" w:color="auto"/>
                  </w:divBdr>
                  <w:divsChild>
                    <w:div w:id="1446540374">
                      <w:marLeft w:val="0"/>
                      <w:marRight w:val="0"/>
                      <w:marTop w:val="0"/>
                      <w:marBottom w:val="0"/>
                      <w:divBdr>
                        <w:top w:val="none" w:sz="0" w:space="0" w:color="auto"/>
                        <w:left w:val="none" w:sz="0" w:space="0" w:color="auto"/>
                        <w:bottom w:val="none" w:sz="0" w:space="0" w:color="auto"/>
                        <w:right w:val="none" w:sz="0" w:space="0" w:color="auto"/>
                      </w:divBdr>
                    </w:div>
                  </w:divsChild>
                </w:div>
                <w:div w:id="983778541">
                  <w:marLeft w:val="0"/>
                  <w:marRight w:val="0"/>
                  <w:marTop w:val="0"/>
                  <w:marBottom w:val="0"/>
                  <w:divBdr>
                    <w:top w:val="none" w:sz="0" w:space="0" w:color="auto"/>
                    <w:left w:val="none" w:sz="0" w:space="0" w:color="auto"/>
                    <w:bottom w:val="none" w:sz="0" w:space="0" w:color="auto"/>
                    <w:right w:val="none" w:sz="0" w:space="0" w:color="auto"/>
                  </w:divBdr>
                  <w:divsChild>
                    <w:div w:id="1064061702">
                      <w:marLeft w:val="0"/>
                      <w:marRight w:val="0"/>
                      <w:marTop w:val="0"/>
                      <w:marBottom w:val="0"/>
                      <w:divBdr>
                        <w:top w:val="none" w:sz="0" w:space="0" w:color="auto"/>
                        <w:left w:val="none" w:sz="0" w:space="0" w:color="auto"/>
                        <w:bottom w:val="none" w:sz="0" w:space="0" w:color="auto"/>
                        <w:right w:val="none" w:sz="0" w:space="0" w:color="auto"/>
                      </w:divBdr>
                    </w:div>
                  </w:divsChild>
                </w:div>
                <w:div w:id="989210636">
                  <w:marLeft w:val="0"/>
                  <w:marRight w:val="0"/>
                  <w:marTop w:val="0"/>
                  <w:marBottom w:val="0"/>
                  <w:divBdr>
                    <w:top w:val="none" w:sz="0" w:space="0" w:color="auto"/>
                    <w:left w:val="none" w:sz="0" w:space="0" w:color="auto"/>
                    <w:bottom w:val="none" w:sz="0" w:space="0" w:color="auto"/>
                    <w:right w:val="none" w:sz="0" w:space="0" w:color="auto"/>
                  </w:divBdr>
                  <w:divsChild>
                    <w:div w:id="742948300">
                      <w:marLeft w:val="0"/>
                      <w:marRight w:val="0"/>
                      <w:marTop w:val="0"/>
                      <w:marBottom w:val="0"/>
                      <w:divBdr>
                        <w:top w:val="none" w:sz="0" w:space="0" w:color="auto"/>
                        <w:left w:val="none" w:sz="0" w:space="0" w:color="auto"/>
                        <w:bottom w:val="none" w:sz="0" w:space="0" w:color="auto"/>
                        <w:right w:val="none" w:sz="0" w:space="0" w:color="auto"/>
                      </w:divBdr>
                    </w:div>
                  </w:divsChild>
                </w:div>
                <w:div w:id="990134233">
                  <w:marLeft w:val="0"/>
                  <w:marRight w:val="0"/>
                  <w:marTop w:val="0"/>
                  <w:marBottom w:val="0"/>
                  <w:divBdr>
                    <w:top w:val="none" w:sz="0" w:space="0" w:color="auto"/>
                    <w:left w:val="none" w:sz="0" w:space="0" w:color="auto"/>
                    <w:bottom w:val="none" w:sz="0" w:space="0" w:color="auto"/>
                    <w:right w:val="none" w:sz="0" w:space="0" w:color="auto"/>
                  </w:divBdr>
                  <w:divsChild>
                    <w:div w:id="280502683">
                      <w:marLeft w:val="0"/>
                      <w:marRight w:val="0"/>
                      <w:marTop w:val="0"/>
                      <w:marBottom w:val="0"/>
                      <w:divBdr>
                        <w:top w:val="none" w:sz="0" w:space="0" w:color="auto"/>
                        <w:left w:val="none" w:sz="0" w:space="0" w:color="auto"/>
                        <w:bottom w:val="none" w:sz="0" w:space="0" w:color="auto"/>
                        <w:right w:val="none" w:sz="0" w:space="0" w:color="auto"/>
                      </w:divBdr>
                    </w:div>
                  </w:divsChild>
                </w:div>
                <w:div w:id="993878697">
                  <w:marLeft w:val="0"/>
                  <w:marRight w:val="0"/>
                  <w:marTop w:val="0"/>
                  <w:marBottom w:val="0"/>
                  <w:divBdr>
                    <w:top w:val="none" w:sz="0" w:space="0" w:color="auto"/>
                    <w:left w:val="none" w:sz="0" w:space="0" w:color="auto"/>
                    <w:bottom w:val="none" w:sz="0" w:space="0" w:color="auto"/>
                    <w:right w:val="none" w:sz="0" w:space="0" w:color="auto"/>
                  </w:divBdr>
                  <w:divsChild>
                    <w:div w:id="197089281">
                      <w:marLeft w:val="0"/>
                      <w:marRight w:val="0"/>
                      <w:marTop w:val="0"/>
                      <w:marBottom w:val="0"/>
                      <w:divBdr>
                        <w:top w:val="none" w:sz="0" w:space="0" w:color="auto"/>
                        <w:left w:val="none" w:sz="0" w:space="0" w:color="auto"/>
                        <w:bottom w:val="none" w:sz="0" w:space="0" w:color="auto"/>
                        <w:right w:val="none" w:sz="0" w:space="0" w:color="auto"/>
                      </w:divBdr>
                    </w:div>
                  </w:divsChild>
                </w:div>
                <w:div w:id="999504095">
                  <w:marLeft w:val="0"/>
                  <w:marRight w:val="0"/>
                  <w:marTop w:val="0"/>
                  <w:marBottom w:val="0"/>
                  <w:divBdr>
                    <w:top w:val="none" w:sz="0" w:space="0" w:color="auto"/>
                    <w:left w:val="none" w:sz="0" w:space="0" w:color="auto"/>
                    <w:bottom w:val="none" w:sz="0" w:space="0" w:color="auto"/>
                    <w:right w:val="none" w:sz="0" w:space="0" w:color="auto"/>
                  </w:divBdr>
                  <w:divsChild>
                    <w:div w:id="946083893">
                      <w:marLeft w:val="0"/>
                      <w:marRight w:val="0"/>
                      <w:marTop w:val="0"/>
                      <w:marBottom w:val="0"/>
                      <w:divBdr>
                        <w:top w:val="none" w:sz="0" w:space="0" w:color="auto"/>
                        <w:left w:val="none" w:sz="0" w:space="0" w:color="auto"/>
                        <w:bottom w:val="none" w:sz="0" w:space="0" w:color="auto"/>
                        <w:right w:val="none" w:sz="0" w:space="0" w:color="auto"/>
                      </w:divBdr>
                    </w:div>
                  </w:divsChild>
                </w:div>
                <w:div w:id="999692900">
                  <w:marLeft w:val="0"/>
                  <w:marRight w:val="0"/>
                  <w:marTop w:val="0"/>
                  <w:marBottom w:val="0"/>
                  <w:divBdr>
                    <w:top w:val="none" w:sz="0" w:space="0" w:color="auto"/>
                    <w:left w:val="none" w:sz="0" w:space="0" w:color="auto"/>
                    <w:bottom w:val="none" w:sz="0" w:space="0" w:color="auto"/>
                    <w:right w:val="none" w:sz="0" w:space="0" w:color="auto"/>
                  </w:divBdr>
                  <w:divsChild>
                    <w:div w:id="1593078890">
                      <w:marLeft w:val="0"/>
                      <w:marRight w:val="0"/>
                      <w:marTop w:val="0"/>
                      <w:marBottom w:val="0"/>
                      <w:divBdr>
                        <w:top w:val="none" w:sz="0" w:space="0" w:color="auto"/>
                        <w:left w:val="none" w:sz="0" w:space="0" w:color="auto"/>
                        <w:bottom w:val="none" w:sz="0" w:space="0" w:color="auto"/>
                        <w:right w:val="none" w:sz="0" w:space="0" w:color="auto"/>
                      </w:divBdr>
                    </w:div>
                  </w:divsChild>
                </w:div>
                <w:div w:id="1019084865">
                  <w:marLeft w:val="0"/>
                  <w:marRight w:val="0"/>
                  <w:marTop w:val="0"/>
                  <w:marBottom w:val="0"/>
                  <w:divBdr>
                    <w:top w:val="none" w:sz="0" w:space="0" w:color="auto"/>
                    <w:left w:val="none" w:sz="0" w:space="0" w:color="auto"/>
                    <w:bottom w:val="none" w:sz="0" w:space="0" w:color="auto"/>
                    <w:right w:val="none" w:sz="0" w:space="0" w:color="auto"/>
                  </w:divBdr>
                  <w:divsChild>
                    <w:div w:id="1738747769">
                      <w:marLeft w:val="0"/>
                      <w:marRight w:val="0"/>
                      <w:marTop w:val="0"/>
                      <w:marBottom w:val="0"/>
                      <w:divBdr>
                        <w:top w:val="none" w:sz="0" w:space="0" w:color="auto"/>
                        <w:left w:val="none" w:sz="0" w:space="0" w:color="auto"/>
                        <w:bottom w:val="none" w:sz="0" w:space="0" w:color="auto"/>
                        <w:right w:val="none" w:sz="0" w:space="0" w:color="auto"/>
                      </w:divBdr>
                    </w:div>
                  </w:divsChild>
                </w:div>
                <w:div w:id="1022824456">
                  <w:marLeft w:val="0"/>
                  <w:marRight w:val="0"/>
                  <w:marTop w:val="0"/>
                  <w:marBottom w:val="0"/>
                  <w:divBdr>
                    <w:top w:val="none" w:sz="0" w:space="0" w:color="auto"/>
                    <w:left w:val="none" w:sz="0" w:space="0" w:color="auto"/>
                    <w:bottom w:val="none" w:sz="0" w:space="0" w:color="auto"/>
                    <w:right w:val="none" w:sz="0" w:space="0" w:color="auto"/>
                  </w:divBdr>
                  <w:divsChild>
                    <w:div w:id="1143231829">
                      <w:marLeft w:val="0"/>
                      <w:marRight w:val="0"/>
                      <w:marTop w:val="0"/>
                      <w:marBottom w:val="0"/>
                      <w:divBdr>
                        <w:top w:val="none" w:sz="0" w:space="0" w:color="auto"/>
                        <w:left w:val="none" w:sz="0" w:space="0" w:color="auto"/>
                        <w:bottom w:val="none" w:sz="0" w:space="0" w:color="auto"/>
                        <w:right w:val="none" w:sz="0" w:space="0" w:color="auto"/>
                      </w:divBdr>
                    </w:div>
                  </w:divsChild>
                </w:div>
                <w:div w:id="1027028338">
                  <w:marLeft w:val="0"/>
                  <w:marRight w:val="0"/>
                  <w:marTop w:val="0"/>
                  <w:marBottom w:val="0"/>
                  <w:divBdr>
                    <w:top w:val="none" w:sz="0" w:space="0" w:color="auto"/>
                    <w:left w:val="none" w:sz="0" w:space="0" w:color="auto"/>
                    <w:bottom w:val="none" w:sz="0" w:space="0" w:color="auto"/>
                    <w:right w:val="none" w:sz="0" w:space="0" w:color="auto"/>
                  </w:divBdr>
                  <w:divsChild>
                    <w:div w:id="1625848749">
                      <w:marLeft w:val="0"/>
                      <w:marRight w:val="0"/>
                      <w:marTop w:val="0"/>
                      <w:marBottom w:val="0"/>
                      <w:divBdr>
                        <w:top w:val="none" w:sz="0" w:space="0" w:color="auto"/>
                        <w:left w:val="none" w:sz="0" w:space="0" w:color="auto"/>
                        <w:bottom w:val="none" w:sz="0" w:space="0" w:color="auto"/>
                        <w:right w:val="none" w:sz="0" w:space="0" w:color="auto"/>
                      </w:divBdr>
                    </w:div>
                  </w:divsChild>
                </w:div>
                <w:div w:id="1027489951">
                  <w:marLeft w:val="0"/>
                  <w:marRight w:val="0"/>
                  <w:marTop w:val="0"/>
                  <w:marBottom w:val="0"/>
                  <w:divBdr>
                    <w:top w:val="none" w:sz="0" w:space="0" w:color="auto"/>
                    <w:left w:val="none" w:sz="0" w:space="0" w:color="auto"/>
                    <w:bottom w:val="none" w:sz="0" w:space="0" w:color="auto"/>
                    <w:right w:val="none" w:sz="0" w:space="0" w:color="auto"/>
                  </w:divBdr>
                  <w:divsChild>
                    <w:div w:id="1018119875">
                      <w:marLeft w:val="0"/>
                      <w:marRight w:val="0"/>
                      <w:marTop w:val="0"/>
                      <w:marBottom w:val="0"/>
                      <w:divBdr>
                        <w:top w:val="none" w:sz="0" w:space="0" w:color="auto"/>
                        <w:left w:val="none" w:sz="0" w:space="0" w:color="auto"/>
                        <w:bottom w:val="none" w:sz="0" w:space="0" w:color="auto"/>
                        <w:right w:val="none" w:sz="0" w:space="0" w:color="auto"/>
                      </w:divBdr>
                    </w:div>
                  </w:divsChild>
                </w:div>
                <w:div w:id="1027558516">
                  <w:marLeft w:val="0"/>
                  <w:marRight w:val="0"/>
                  <w:marTop w:val="0"/>
                  <w:marBottom w:val="0"/>
                  <w:divBdr>
                    <w:top w:val="none" w:sz="0" w:space="0" w:color="auto"/>
                    <w:left w:val="none" w:sz="0" w:space="0" w:color="auto"/>
                    <w:bottom w:val="none" w:sz="0" w:space="0" w:color="auto"/>
                    <w:right w:val="none" w:sz="0" w:space="0" w:color="auto"/>
                  </w:divBdr>
                  <w:divsChild>
                    <w:div w:id="1163277701">
                      <w:marLeft w:val="0"/>
                      <w:marRight w:val="0"/>
                      <w:marTop w:val="0"/>
                      <w:marBottom w:val="0"/>
                      <w:divBdr>
                        <w:top w:val="none" w:sz="0" w:space="0" w:color="auto"/>
                        <w:left w:val="none" w:sz="0" w:space="0" w:color="auto"/>
                        <w:bottom w:val="none" w:sz="0" w:space="0" w:color="auto"/>
                        <w:right w:val="none" w:sz="0" w:space="0" w:color="auto"/>
                      </w:divBdr>
                    </w:div>
                  </w:divsChild>
                </w:div>
                <w:div w:id="1031227578">
                  <w:marLeft w:val="0"/>
                  <w:marRight w:val="0"/>
                  <w:marTop w:val="0"/>
                  <w:marBottom w:val="0"/>
                  <w:divBdr>
                    <w:top w:val="none" w:sz="0" w:space="0" w:color="auto"/>
                    <w:left w:val="none" w:sz="0" w:space="0" w:color="auto"/>
                    <w:bottom w:val="none" w:sz="0" w:space="0" w:color="auto"/>
                    <w:right w:val="none" w:sz="0" w:space="0" w:color="auto"/>
                  </w:divBdr>
                  <w:divsChild>
                    <w:div w:id="84347940">
                      <w:marLeft w:val="0"/>
                      <w:marRight w:val="0"/>
                      <w:marTop w:val="0"/>
                      <w:marBottom w:val="0"/>
                      <w:divBdr>
                        <w:top w:val="none" w:sz="0" w:space="0" w:color="auto"/>
                        <w:left w:val="none" w:sz="0" w:space="0" w:color="auto"/>
                        <w:bottom w:val="none" w:sz="0" w:space="0" w:color="auto"/>
                        <w:right w:val="none" w:sz="0" w:space="0" w:color="auto"/>
                      </w:divBdr>
                    </w:div>
                  </w:divsChild>
                </w:div>
                <w:div w:id="1044521113">
                  <w:marLeft w:val="0"/>
                  <w:marRight w:val="0"/>
                  <w:marTop w:val="0"/>
                  <w:marBottom w:val="0"/>
                  <w:divBdr>
                    <w:top w:val="none" w:sz="0" w:space="0" w:color="auto"/>
                    <w:left w:val="none" w:sz="0" w:space="0" w:color="auto"/>
                    <w:bottom w:val="none" w:sz="0" w:space="0" w:color="auto"/>
                    <w:right w:val="none" w:sz="0" w:space="0" w:color="auto"/>
                  </w:divBdr>
                  <w:divsChild>
                    <w:div w:id="435633334">
                      <w:marLeft w:val="0"/>
                      <w:marRight w:val="0"/>
                      <w:marTop w:val="0"/>
                      <w:marBottom w:val="0"/>
                      <w:divBdr>
                        <w:top w:val="none" w:sz="0" w:space="0" w:color="auto"/>
                        <w:left w:val="none" w:sz="0" w:space="0" w:color="auto"/>
                        <w:bottom w:val="none" w:sz="0" w:space="0" w:color="auto"/>
                        <w:right w:val="none" w:sz="0" w:space="0" w:color="auto"/>
                      </w:divBdr>
                    </w:div>
                  </w:divsChild>
                </w:div>
                <w:div w:id="1046486223">
                  <w:marLeft w:val="0"/>
                  <w:marRight w:val="0"/>
                  <w:marTop w:val="0"/>
                  <w:marBottom w:val="0"/>
                  <w:divBdr>
                    <w:top w:val="none" w:sz="0" w:space="0" w:color="auto"/>
                    <w:left w:val="none" w:sz="0" w:space="0" w:color="auto"/>
                    <w:bottom w:val="none" w:sz="0" w:space="0" w:color="auto"/>
                    <w:right w:val="none" w:sz="0" w:space="0" w:color="auto"/>
                  </w:divBdr>
                  <w:divsChild>
                    <w:div w:id="1728921015">
                      <w:marLeft w:val="0"/>
                      <w:marRight w:val="0"/>
                      <w:marTop w:val="0"/>
                      <w:marBottom w:val="0"/>
                      <w:divBdr>
                        <w:top w:val="none" w:sz="0" w:space="0" w:color="auto"/>
                        <w:left w:val="none" w:sz="0" w:space="0" w:color="auto"/>
                        <w:bottom w:val="none" w:sz="0" w:space="0" w:color="auto"/>
                        <w:right w:val="none" w:sz="0" w:space="0" w:color="auto"/>
                      </w:divBdr>
                    </w:div>
                  </w:divsChild>
                </w:div>
                <w:div w:id="1054046147">
                  <w:marLeft w:val="0"/>
                  <w:marRight w:val="0"/>
                  <w:marTop w:val="0"/>
                  <w:marBottom w:val="0"/>
                  <w:divBdr>
                    <w:top w:val="none" w:sz="0" w:space="0" w:color="auto"/>
                    <w:left w:val="none" w:sz="0" w:space="0" w:color="auto"/>
                    <w:bottom w:val="none" w:sz="0" w:space="0" w:color="auto"/>
                    <w:right w:val="none" w:sz="0" w:space="0" w:color="auto"/>
                  </w:divBdr>
                  <w:divsChild>
                    <w:div w:id="199830396">
                      <w:marLeft w:val="0"/>
                      <w:marRight w:val="0"/>
                      <w:marTop w:val="0"/>
                      <w:marBottom w:val="0"/>
                      <w:divBdr>
                        <w:top w:val="none" w:sz="0" w:space="0" w:color="auto"/>
                        <w:left w:val="none" w:sz="0" w:space="0" w:color="auto"/>
                        <w:bottom w:val="none" w:sz="0" w:space="0" w:color="auto"/>
                        <w:right w:val="none" w:sz="0" w:space="0" w:color="auto"/>
                      </w:divBdr>
                    </w:div>
                  </w:divsChild>
                </w:div>
                <w:div w:id="1062486245">
                  <w:marLeft w:val="0"/>
                  <w:marRight w:val="0"/>
                  <w:marTop w:val="0"/>
                  <w:marBottom w:val="0"/>
                  <w:divBdr>
                    <w:top w:val="none" w:sz="0" w:space="0" w:color="auto"/>
                    <w:left w:val="none" w:sz="0" w:space="0" w:color="auto"/>
                    <w:bottom w:val="none" w:sz="0" w:space="0" w:color="auto"/>
                    <w:right w:val="none" w:sz="0" w:space="0" w:color="auto"/>
                  </w:divBdr>
                  <w:divsChild>
                    <w:div w:id="658072187">
                      <w:marLeft w:val="0"/>
                      <w:marRight w:val="0"/>
                      <w:marTop w:val="0"/>
                      <w:marBottom w:val="0"/>
                      <w:divBdr>
                        <w:top w:val="none" w:sz="0" w:space="0" w:color="auto"/>
                        <w:left w:val="none" w:sz="0" w:space="0" w:color="auto"/>
                        <w:bottom w:val="none" w:sz="0" w:space="0" w:color="auto"/>
                        <w:right w:val="none" w:sz="0" w:space="0" w:color="auto"/>
                      </w:divBdr>
                    </w:div>
                  </w:divsChild>
                </w:div>
                <w:div w:id="1067919633">
                  <w:marLeft w:val="0"/>
                  <w:marRight w:val="0"/>
                  <w:marTop w:val="0"/>
                  <w:marBottom w:val="0"/>
                  <w:divBdr>
                    <w:top w:val="none" w:sz="0" w:space="0" w:color="auto"/>
                    <w:left w:val="none" w:sz="0" w:space="0" w:color="auto"/>
                    <w:bottom w:val="none" w:sz="0" w:space="0" w:color="auto"/>
                    <w:right w:val="none" w:sz="0" w:space="0" w:color="auto"/>
                  </w:divBdr>
                  <w:divsChild>
                    <w:div w:id="1869903061">
                      <w:marLeft w:val="0"/>
                      <w:marRight w:val="0"/>
                      <w:marTop w:val="0"/>
                      <w:marBottom w:val="0"/>
                      <w:divBdr>
                        <w:top w:val="none" w:sz="0" w:space="0" w:color="auto"/>
                        <w:left w:val="none" w:sz="0" w:space="0" w:color="auto"/>
                        <w:bottom w:val="none" w:sz="0" w:space="0" w:color="auto"/>
                        <w:right w:val="none" w:sz="0" w:space="0" w:color="auto"/>
                      </w:divBdr>
                    </w:div>
                  </w:divsChild>
                </w:div>
                <w:div w:id="1077675746">
                  <w:marLeft w:val="0"/>
                  <w:marRight w:val="0"/>
                  <w:marTop w:val="0"/>
                  <w:marBottom w:val="0"/>
                  <w:divBdr>
                    <w:top w:val="none" w:sz="0" w:space="0" w:color="auto"/>
                    <w:left w:val="none" w:sz="0" w:space="0" w:color="auto"/>
                    <w:bottom w:val="none" w:sz="0" w:space="0" w:color="auto"/>
                    <w:right w:val="none" w:sz="0" w:space="0" w:color="auto"/>
                  </w:divBdr>
                  <w:divsChild>
                    <w:div w:id="1353651503">
                      <w:marLeft w:val="0"/>
                      <w:marRight w:val="0"/>
                      <w:marTop w:val="0"/>
                      <w:marBottom w:val="0"/>
                      <w:divBdr>
                        <w:top w:val="none" w:sz="0" w:space="0" w:color="auto"/>
                        <w:left w:val="none" w:sz="0" w:space="0" w:color="auto"/>
                        <w:bottom w:val="none" w:sz="0" w:space="0" w:color="auto"/>
                        <w:right w:val="none" w:sz="0" w:space="0" w:color="auto"/>
                      </w:divBdr>
                    </w:div>
                  </w:divsChild>
                </w:div>
                <w:div w:id="1084914465">
                  <w:marLeft w:val="0"/>
                  <w:marRight w:val="0"/>
                  <w:marTop w:val="0"/>
                  <w:marBottom w:val="0"/>
                  <w:divBdr>
                    <w:top w:val="none" w:sz="0" w:space="0" w:color="auto"/>
                    <w:left w:val="none" w:sz="0" w:space="0" w:color="auto"/>
                    <w:bottom w:val="none" w:sz="0" w:space="0" w:color="auto"/>
                    <w:right w:val="none" w:sz="0" w:space="0" w:color="auto"/>
                  </w:divBdr>
                  <w:divsChild>
                    <w:div w:id="599991060">
                      <w:marLeft w:val="0"/>
                      <w:marRight w:val="0"/>
                      <w:marTop w:val="0"/>
                      <w:marBottom w:val="0"/>
                      <w:divBdr>
                        <w:top w:val="none" w:sz="0" w:space="0" w:color="auto"/>
                        <w:left w:val="none" w:sz="0" w:space="0" w:color="auto"/>
                        <w:bottom w:val="none" w:sz="0" w:space="0" w:color="auto"/>
                        <w:right w:val="none" w:sz="0" w:space="0" w:color="auto"/>
                      </w:divBdr>
                    </w:div>
                  </w:divsChild>
                </w:div>
                <w:div w:id="1085539103">
                  <w:marLeft w:val="0"/>
                  <w:marRight w:val="0"/>
                  <w:marTop w:val="0"/>
                  <w:marBottom w:val="0"/>
                  <w:divBdr>
                    <w:top w:val="none" w:sz="0" w:space="0" w:color="auto"/>
                    <w:left w:val="none" w:sz="0" w:space="0" w:color="auto"/>
                    <w:bottom w:val="none" w:sz="0" w:space="0" w:color="auto"/>
                    <w:right w:val="none" w:sz="0" w:space="0" w:color="auto"/>
                  </w:divBdr>
                  <w:divsChild>
                    <w:div w:id="1219442510">
                      <w:marLeft w:val="0"/>
                      <w:marRight w:val="0"/>
                      <w:marTop w:val="0"/>
                      <w:marBottom w:val="0"/>
                      <w:divBdr>
                        <w:top w:val="none" w:sz="0" w:space="0" w:color="auto"/>
                        <w:left w:val="none" w:sz="0" w:space="0" w:color="auto"/>
                        <w:bottom w:val="none" w:sz="0" w:space="0" w:color="auto"/>
                        <w:right w:val="none" w:sz="0" w:space="0" w:color="auto"/>
                      </w:divBdr>
                    </w:div>
                  </w:divsChild>
                </w:div>
                <w:div w:id="1089079713">
                  <w:marLeft w:val="0"/>
                  <w:marRight w:val="0"/>
                  <w:marTop w:val="0"/>
                  <w:marBottom w:val="0"/>
                  <w:divBdr>
                    <w:top w:val="none" w:sz="0" w:space="0" w:color="auto"/>
                    <w:left w:val="none" w:sz="0" w:space="0" w:color="auto"/>
                    <w:bottom w:val="none" w:sz="0" w:space="0" w:color="auto"/>
                    <w:right w:val="none" w:sz="0" w:space="0" w:color="auto"/>
                  </w:divBdr>
                  <w:divsChild>
                    <w:div w:id="962154016">
                      <w:marLeft w:val="0"/>
                      <w:marRight w:val="0"/>
                      <w:marTop w:val="0"/>
                      <w:marBottom w:val="0"/>
                      <w:divBdr>
                        <w:top w:val="none" w:sz="0" w:space="0" w:color="auto"/>
                        <w:left w:val="none" w:sz="0" w:space="0" w:color="auto"/>
                        <w:bottom w:val="none" w:sz="0" w:space="0" w:color="auto"/>
                        <w:right w:val="none" w:sz="0" w:space="0" w:color="auto"/>
                      </w:divBdr>
                    </w:div>
                  </w:divsChild>
                </w:div>
                <w:div w:id="1090585932">
                  <w:marLeft w:val="0"/>
                  <w:marRight w:val="0"/>
                  <w:marTop w:val="0"/>
                  <w:marBottom w:val="0"/>
                  <w:divBdr>
                    <w:top w:val="none" w:sz="0" w:space="0" w:color="auto"/>
                    <w:left w:val="none" w:sz="0" w:space="0" w:color="auto"/>
                    <w:bottom w:val="none" w:sz="0" w:space="0" w:color="auto"/>
                    <w:right w:val="none" w:sz="0" w:space="0" w:color="auto"/>
                  </w:divBdr>
                  <w:divsChild>
                    <w:div w:id="1485512798">
                      <w:marLeft w:val="0"/>
                      <w:marRight w:val="0"/>
                      <w:marTop w:val="0"/>
                      <w:marBottom w:val="0"/>
                      <w:divBdr>
                        <w:top w:val="none" w:sz="0" w:space="0" w:color="auto"/>
                        <w:left w:val="none" w:sz="0" w:space="0" w:color="auto"/>
                        <w:bottom w:val="none" w:sz="0" w:space="0" w:color="auto"/>
                        <w:right w:val="none" w:sz="0" w:space="0" w:color="auto"/>
                      </w:divBdr>
                    </w:div>
                  </w:divsChild>
                </w:div>
                <w:div w:id="1094130836">
                  <w:marLeft w:val="0"/>
                  <w:marRight w:val="0"/>
                  <w:marTop w:val="0"/>
                  <w:marBottom w:val="0"/>
                  <w:divBdr>
                    <w:top w:val="none" w:sz="0" w:space="0" w:color="auto"/>
                    <w:left w:val="none" w:sz="0" w:space="0" w:color="auto"/>
                    <w:bottom w:val="none" w:sz="0" w:space="0" w:color="auto"/>
                    <w:right w:val="none" w:sz="0" w:space="0" w:color="auto"/>
                  </w:divBdr>
                  <w:divsChild>
                    <w:div w:id="1304194224">
                      <w:marLeft w:val="0"/>
                      <w:marRight w:val="0"/>
                      <w:marTop w:val="0"/>
                      <w:marBottom w:val="0"/>
                      <w:divBdr>
                        <w:top w:val="none" w:sz="0" w:space="0" w:color="auto"/>
                        <w:left w:val="none" w:sz="0" w:space="0" w:color="auto"/>
                        <w:bottom w:val="none" w:sz="0" w:space="0" w:color="auto"/>
                        <w:right w:val="none" w:sz="0" w:space="0" w:color="auto"/>
                      </w:divBdr>
                    </w:div>
                  </w:divsChild>
                </w:div>
                <w:div w:id="1094666124">
                  <w:marLeft w:val="0"/>
                  <w:marRight w:val="0"/>
                  <w:marTop w:val="0"/>
                  <w:marBottom w:val="0"/>
                  <w:divBdr>
                    <w:top w:val="none" w:sz="0" w:space="0" w:color="auto"/>
                    <w:left w:val="none" w:sz="0" w:space="0" w:color="auto"/>
                    <w:bottom w:val="none" w:sz="0" w:space="0" w:color="auto"/>
                    <w:right w:val="none" w:sz="0" w:space="0" w:color="auto"/>
                  </w:divBdr>
                  <w:divsChild>
                    <w:div w:id="985204641">
                      <w:marLeft w:val="0"/>
                      <w:marRight w:val="0"/>
                      <w:marTop w:val="0"/>
                      <w:marBottom w:val="0"/>
                      <w:divBdr>
                        <w:top w:val="none" w:sz="0" w:space="0" w:color="auto"/>
                        <w:left w:val="none" w:sz="0" w:space="0" w:color="auto"/>
                        <w:bottom w:val="none" w:sz="0" w:space="0" w:color="auto"/>
                        <w:right w:val="none" w:sz="0" w:space="0" w:color="auto"/>
                      </w:divBdr>
                    </w:div>
                  </w:divsChild>
                </w:div>
                <w:div w:id="1095129046">
                  <w:marLeft w:val="0"/>
                  <w:marRight w:val="0"/>
                  <w:marTop w:val="0"/>
                  <w:marBottom w:val="0"/>
                  <w:divBdr>
                    <w:top w:val="none" w:sz="0" w:space="0" w:color="auto"/>
                    <w:left w:val="none" w:sz="0" w:space="0" w:color="auto"/>
                    <w:bottom w:val="none" w:sz="0" w:space="0" w:color="auto"/>
                    <w:right w:val="none" w:sz="0" w:space="0" w:color="auto"/>
                  </w:divBdr>
                  <w:divsChild>
                    <w:div w:id="1890261432">
                      <w:marLeft w:val="0"/>
                      <w:marRight w:val="0"/>
                      <w:marTop w:val="0"/>
                      <w:marBottom w:val="0"/>
                      <w:divBdr>
                        <w:top w:val="none" w:sz="0" w:space="0" w:color="auto"/>
                        <w:left w:val="none" w:sz="0" w:space="0" w:color="auto"/>
                        <w:bottom w:val="none" w:sz="0" w:space="0" w:color="auto"/>
                        <w:right w:val="none" w:sz="0" w:space="0" w:color="auto"/>
                      </w:divBdr>
                    </w:div>
                  </w:divsChild>
                </w:div>
                <w:div w:id="1099644559">
                  <w:marLeft w:val="0"/>
                  <w:marRight w:val="0"/>
                  <w:marTop w:val="0"/>
                  <w:marBottom w:val="0"/>
                  <w:divBdr>
                    <w:top w:val="none" w:sz="0" w:space="0" w:color="auto"/>
                    <w:left w:val="none" w:sz="0" w:space="0" w:color="auto"/>
                    <w:bottom w:val="none" w:sz="0" w:space="0" w:color="auto"/>
                    <w:right w:val="none" w:sz="0" w:space="0" w:color="auto"/>
                  </w:divBdr>
                  <w:divsChild>
                    <w:div w:id="561602258">
                      <w:marLeft w:val="0"/>
                      <w:marRight w:val="0"/>
                      <w:marTop w:val="0"/>
                      <w:marBottom w:val="0"/>
                      <w:divBdr>
                        <w:top w:val="none" w:sz="0" w:space="0" w:color="auto"/>
                        <w:left w:val="none" w:sz="0" w:space="0" w:color="auto"/>
                        <w:bottom w:val="none" w:sz="0" w:space="0" w:color="auto"/>
                        <w:right w:val="none" w:sz="0" w:space="0" w:color="auto"/>
                      </w:divBdr>
                    </w:div>
                  </w:divsChild>
                </w:div>
                <w:div w:id="1103889035">
                  <w:marLeft w:val="0"/>
                  <w:marRight w:val="0"/>
                  <w:marTop w:val="0"/>
                  <w:marBottom w:val="0"/>
                  <w:divBdr>
                    <w:top w:val="none" w:sz="0" w:space="0" w:color="auto"/>
                    <w:left w:val="none" w:sz="0" w:space="0" w:color="auto"/>
                    <w:bottom w:val="none" w:sz="0" w:space="0" w:color="auto"/>
                    <w:right w:val="none" w:sz="0" w:space="0" w:color="auto"/>
                  </w:divBdr>
                  <w:divsChild>
                    <w:div w:id="372929866">
                      <w:marLeft w:val="0"/>
                      <w:marRight w:val="0"/>
                      <w:marTop w:val="0"/>
                      <w:marBottom w:val="0"/>
                      <w:divBdr>
                        <w:top w:val="none" w:sz="0" w:space="0" w:color="auto"/>
                        <w:left w:val="none" w:sz="0" w:space="0" w:color="auto"/>
                        <w:bottom w:val="none" w:sz="0" w:space="0" w:color="auto"/>
                        <w:right w:val="none" w:sz="0" w:space="0" w:color="auto"/>
                      </w:divBdr>
                    </w:div>
                  </w:divsChild>
                </w:div>
                <w:div w:id="1115294796">
                  <w:marLeft w:val="0"/>
                  <w:marRight w:val="0"/>
                  <w:marTop w:val="0"/>
                  <w:marBottom w:val="0"/>
                  <w:divBdr>
                    <w:top w:val="none" w:sz="0" w:space="0" w:color="auto"/>
                    <w:left w:val="none" w:sz="0" w:space="0" w:color="auto"/>
                    <w:bottom w:val="none" w:sz="0" w:space="0" w:color="auto"/>
                    <w:right w:val="none" w:sz="0" w:space="0" w:color="auto"/>
                  </w:divBdr>
                  <w:divsChild>
                    <w:div w:id="204176027">
                      <w:marLeft w:val="0"/>
                      <w:marRight w:val="0"/>
                      <w:marTop w:val="0"/>
                      <w:marBottom w:val="0"/>
                      <w:divBdr>
                        <w:top w:val="none" w:sz="0" w:space="0" w:color="auto"/>
                        <w:left w:val="none" w:sz="0" w:space="0" w:color="auto"/>
                        <w:bottom w:val="none" w:sz="0" w:space="0" w:color="auto"/>
                        <w:right w:val="none" w:sz="0" w:space="0" w:color="auto"/>
                      </w:divBdr>
                    </w:div>
                  </w:divsChild>
                </w:div>
                <w:div w:id="1117405541">
                  <w:marLeft w:val="0"/>
                  <w:marRight w:val="0"/>
                  <w:marTop w:val="0"/>
                  <w:marBottom w:val="0"/>
                  <w:divBdr>
                    <w:top w:val="none" w:sz="0" w:space="0" w:color="auto"/>
                    <w:left w:val="none" w:sz="0" w:space="0" w:color="auto"/>
                    <w:bottom w:val="none" w:sz="0" w:space="0" w:color="auto"/>
                    <w:right w:val="none" w:sz="0" w:space="0" w:color="auto"/>
                  </w:divBdr>
                  <w:divsChild>
                    <w:div w:id="587924619">
                      <w:marLeft w:val="0"/>
                      <w:marRight w:val="0"/>
                      <w:marTop w:val="0"/>
                      <w:marBottom w:val="0"/>
                      <w:divBdr>
                        <w:top w:val="none" w:sz="0" w:space="0" w:color="auto"/>
                        <w:left w:val="none" w:sz="0" w:space="0" w:color="auto"/>
                        <w:bottom w:val="none" w:sz="0" w:space="0" w:color="auto"/>
                        <w:right w:val="none" w:sz="0" w:space="0" w:color="auto"/>
                      </w:divBdr>
                    </w:div>
                  </w:divsChild>
                </w:div>
                <w:div w:id="1125197037">
                  <w:marLeft w:val="0"/>
                  <w:marRight w:val="0"/>
                  <w:marTop w:val="0"/>
                  <w:marBottom w:val="0"/>
                  <w:divBdr>
                    <w:top w:val="none" w:sz="0" w:space="0" w:color="auto"/>
                    <w:left w:val="none" w:sz="0" w:space="0" w:color="auto"/>
                    <w:bottom w:val="none" w:sz="0" w:space="0" w:color="auto"/>
                    <w:right w:val="none" w:sz="0" w:space="0" w:color="auto"/>
                  </w:divBdr>
                  <w:divsChild>
                    <w:div w:id="1758820576">
                      <w:marLeft w:val="0"/>
                      <w:marRight w:val="0"/>
                      <w:marTop w:val="0"/>
                      <w:marBottom w:val="0"/>
                      <w:divBdr>
                        <w:top w:val="none" w:sz="0" w:space="0" w:color="auto"/>
                        <w:left w:val="none" w:sz="0" w:space="0" w:color="auto"/>
                        <w:bottom w:val="none" w:sz="0" w:space="0" w:color="auto"/>
                        <w:right w:val="none" w:sz="0" w:space="0" w:color="auto"/>
                      </w:divBdr>
                    </w:div>
                  </w:divsChild>
                </w:div>
                <w:div w:id="1141465185">
                  <w:marLeft w:val="0"/>
                  <w:marRight w:val="0"/>
                  <w:marTop w:val="0"/>
                  <w:marBottom w:val="0"/>
                  <w:divBdr>
                    <w:top w:val="none" w:sz="0" w:space="0" w:color="auto"/>
                    <w:left w:val="none" w:sz="0" w:space="0" w:color="auto"/>
                    <w:bottom w:val="none" w:sz="0" w:space="0" w:color="auto"/>
                    <w:right w:val="none" w:sz="0" w:space="0" w:color="auto"/>
                  </w:divBdr>
                  <w:divsChild>
                    <w:div w:id="208807607">
                      <w:marLeft w:val="0"/>
                      <w:marRight w:val="0"/>
                      <w:marTop w:val="0"/>
                      <w:marBottom w:val="0"/>
                      <w:divBdr>
                        <w:top w:val="none" w:sz="0" w:space="0" w:color="auto"/>
                        <w:left w:val="none" w:sz="0" w:space="0" w:color="auto"/>
                        <w:bottom w:val="none" w:sz="0" w:space="0" w:color="auto"/>
                        <w:right w:val="none" w:sz="0" w:space="0" w:color="auto"/>
                      </w:divBdr>
                    </w:div>
                  </w:divsChild>
                </w:div>
                <w:div w:id="1150093531">
                  <w:marLeft w:val="0"/>
                  <w:marRight w:val="0"/>
                  <w:marTop w:val="0"/>
                  <w:marBottom w:val="0"/>
                  <w:divBdr>
                    <w:top w:val="none" w:sz="0" w:space="0" w:color="auto"/>
                    <w:left w:val="none" w:sz="0" w:space="0" w:color="auto"/>
                    <w:bottom w:val="none" w:sz="0" w:space="0" w:color="auto"/>
                    <w:right w:val="none" w:sz="0" w:space="0" w:color="auto"/>
                  </w:divBdr>
                  <w:divsChild>
                    <w:div w:id="228543392">
                      <w:marLeft w:val="0"/>
                      <w:marRight w:val="0"/>
                      <w:marTop w:val="0"/>
                      <w:marBottom w:val="0"/>
                      <w:divBdr>
                        <w:top w:val="none" w:sz="0" w:space="0" w:color="auto"/>
                        <w:left w:val="none" w:sz="0" w:space="0" w:color="auto"/>
                        <w:bottom w:val="none" w:sz="0" w:space="0" w:color="auto"/>
                        <w:right w:val="none" w:sz="0" w:space="0" w:color="auto"/>
                      </w:divBdr>
                    </w:div>
                  </w:divsChild>
                </w:div>
                <w:div w:id="1152525783">
                  <w:marLeft w:val="0"/>
                  <w:marRight w:val="0"/>
                  <w:marTop w:val="0"/>
                  <w:marBottom w:val="0"/>
                  <w:divBdr>
                    <w:top w:val="none" w:sz="0" w:space="0" w:color="auto"/>
                    <w:left w:val="none" w:sz="0" w:space="0" w:color="auto"/>
                    <w:bottom w:val="none" w:sz="0" w:space="0" w:color="auto"/>
                    <w:right w:val="none" w:sz="0" w:space="0" w:color="auto"/>
                  </w:divBdr>
                  <w:divsChild>
                    <w:div w:id="28384423">
                      <w:marLeft w:val="0"/>
                      <w:marRight w:val="0"/>
                      <w:marTop w:val="0"/>
                      <w:marBottom w:val="0"/>
                      <w:divBdr>
                        <w:top w:val="none" w:sz="0" w:space="0" w:color="auto"/>
                        <w:left w:val="none" w:sz="0" w:space="0" w:color="auto"/>
                        <w:bottom w:val="none" w:sz="0" w:space="0" w:color="auto"/>
                        <w:right w:val="none" w:sz="0" w:space="0" w:color="auto"/>
                      </w:divBdr>
                    </w:div>
                  </w:divsChild>
                </w:div>
                <w:div w:id="1155033177">
                  <w:marLeft w:val="0"/>
                  <w:marRight w:val="0"/>
                  <w:marTop w:val="0"/>
                  <w:marBottom w:val="0"/>
                  <w:divBdr>
                    <w:top w:val="none" w:sz="0" w:space="0" w:color="auto"/>
                    <w:left w:val="none" w:sz="0" w:space="0" w:color="auto"/>
                    <w:bottom w:val="none" w:sz="0" w:space="0" w:color="auto"/>
                    <w:right w:val="none" w:sz="0" w:space="0" w:color="auto"/>
                  </w:divBdr>
                  <w:divsChild>
                    <w:div w:id="1473672562">
                      <w:marLeft w:val="0"/>
                      <w:marRight w:val="0"/>
                      <w:marTop w:val="0"/>
                      <w:marBottom w:val="0"/>
                      <w:divBdr>
                        <w:top w:val="none" w:sz="0" w:space="0" w:color="auto"/>
                        <w:left w:val="none" w:sz="0" w:space="0" w:color="auto"/>
                        <w:bottom w:val="none" w:sz="0" w:space="0" w:color="auto"/>
                        <w:right w:val="none" w:sz="0" w:space="0" w:color="auto"/>
                      </w:divBdr>
                    </w:div>
                  </w:divsChild>
                </w:div>
                <w:div w:id="1155684340">
                  <w:marLeft w:val="0"/>
                  <w:marRight w:val="0"/>
                  <w:marTop w:val="0"/>
                  <w:marBottom w:val="0"/>
                  <w:divBdr>
                    <w:top w:val="none" w:sz="0" w:space="0" w:color="auto"/>
                    <w:left w:val="none" w:sz="0" w:space="0" w:color="auto"/>
                    <w:bottom w:val="none" w:sz="0" w:space="0" w:color="auto"/>
                    <w:right w:val="none" w:sz="0" w:space="0" w:color="auto"/>
                  </w:divBdr>
                  <w:divsChild>
                    <w:div w:id="387844705">
                      <w:marLeft w:val="0"/>
                      <w:marRight w:val="0"/>
                      <w:marTop w:val="0"/>
                      <w:marBottom w:val="0"/>
                      <w:divBdr>
                        <w:top w:val="none" w:sz="0" w:space="0" w:color="auto"/>
                        <w:left w:val="none" w:sz="0" w:space="0" w:color="auto"/>
                        <w:bottom w:val="none" w:sz="0" w:space="0" w:color="auto"/>
                        <w:right w:val="none" w:sz="0" w:space="0" w:color="auto"/>
                      </w:divBdr>
                    </w:div>
                  </w:divsChild>
                </w:div>
                <w:div w:id="1161121143">
                  <w:marLeft w:val="0"/>
                  <w:marRight w:val="0"/>
                  <w:marTop w:val="0"/>
                  <w:marBottom w:val="0"/>
                  <w:divBdr>
                    <w:top w:val="none" w:sz="0" w:space="0" w:color="auto"/>
                    <w:left w:val="none" w:sz="0" w:space="0" w:color="auto"/>
                    <w:bottom w:val="none" w:sz="0" w:space="0" w:color="auto"/>
                    <w:right w:val="none" w:sz="0" w:space="0" w:color="auto"/>
                  </w:divBdr>
                  <w:divsChild>
                    <w:div w:id="1464731817">
                      <w:marLeft w:val="0"/>
                      <w:marRight w:val="0"/>
                      <w:marTop w:val="0"/>
                      <w:marBottom w:val="0"/>
                      <w:divBdr>
                        <w:top w:val="none" w:sz="0" w:space="0" w:color="auto"/>
                        <w:left w:val="none" w:sz="0" w:space="0" w:color="auto"/>
                        <w:bottom w:val="none" w:sz="0" w:space="0" w:color="auto"/>
                        <w:right w:val="none" w:sz="0" w:space="0" w:color="auto"/>
                      </w:divBdr>
                    </w:div>
                  </w:divsChild>
                </w:div>
                <w:div w:id="1167019414">
                  <w:marLeft w:val="0"/>
                  <w:marRight w:val="0"/>
                  <w:marTop w:val="0"/>
                  <w:marBottom w:val="0"/>
                  <w:divBdr>
                    <w:top w:val="none" w:sz="0" w:space="0" w:color="auto"/>
                    <w:left w:val="none" w:sz="0" w:space="0" w:color="auto"/>
                    <w:bottom w:val="none" w:sz="0" w:space="0" w:color="auto"/>
                    <w:right w:val="none" w:sz="0" w:space="0" w:color="auto"/>
                  </w:divBdr>
                  <w:divsChild>
                    <w:div w:id="1128663686">
                      <w:marLeft w:val="0"/>
                      <w:marRight w:val="0"/>
                      <w:marTop w:val="0"/>
                      <w:marBottom w:val="0"/>
                      <w:divBdr>
                        <w:top w:val="none" w:sz="0" w:space="0" w:color="auto"/>
                        <w:left w:val="none" w:sz="0" w:space="0" w:color="auto"/>
                        <w:bottom w:val="none" w:sz="0" w:space="0" w:color="auto"/>
                        <w:right w:val="none" w:sz="0" w:space="0" w:color="auto"/>
                      </w:divBdr>
                    </w:div>
                  </w:divsChild>
                </w:div>
                <w:div w:id="1167088824">
                  <w:marLeft w:val="0"/>
                  <w:marRight w:val="0"/>
                  <w:marTop w:val="0"/>
                  <w:marBottom w:val="0"/>
                  <w:divBdr>
                    <w:top w:val="none" w:sz="0" w:space="0" w:color="auto"/>
                    <w:left w:val="none" w:sz="0" w:space="0" w:color="auto"/>
                    <w:bottom w:val="none" w:sz="0" w:space="0" w:color="auto"/>
                    <w:right w:val="none" w:sz="0" w:space="0" w:color="auto"/>
                  </w:divBdr>
                  <w:divsChild>
                    <w:div w:id="1931700109">
                      <w:marLeft w:val="0"/>
                      <w:marRight w:val="0"/>
                      <w:marTop w:val="0"/>
                      <w:marBottom w:val="0"/>
                      <w:divBdr>
                        <w:top w:val="none" w:sz="0" w:space="0" w:color="auto"/>
                        <w:left w:val="none" w:sz="0" w:space="0" w:color="auto"/>
                        <w:bottom w:val="none" w:sz="0" w:space="0" w:color="auto"/>
                        <w:right w:val="none" w:sz="0" w:space="0" w:color="auto"/>
                      </w:divBdr>
                    </w:div>
                  </w:divsChild>
                </w:div>
                <w:div w:id="1190803904">
                  <w:marLeft w:val="0"/>
                  <w:marRight w:val="0"/>
                  <w:marTop w:val="0"/>
                  <w:marBottom w:val="0"/>
                  <w:divBdr>
                    <w:top w:val="none" w:sz="0" w:space="0" w:color="auto"/>
                    <w:left w:val="none" w:sz="0" w:space="0" w:color="auto"/>
                    <w:bottom w:val="none" w:sz="0" w:space="0" w:color="auto"/>
                    <w:right w:val="none" w:sz="0" w:space="0" w:color="auto"/>
                  </w:divBdr>
                  <w:divsChild>
                    <w:div w:id="492988522">
                      <w:marLeft w:val="0"/>
                      <w:marRight w:val="0"/>
                      <w:marTop w:val="0"/>
                      <w:marBottom w:val="0"/>
                      <w:divBdr>
                        <w:top w:val="none" w:sz="0" w:space="0" w:color="auto"/>
                        <w:left w:val="none" w:sz="0" w:space="0" w:color="auto"/>
                        <w:bottom w:val="none" w:sz="0" w:space="0" w:color="auto"/>
                        <w:right w:val="none" w:sz="0" w:space="0" w:color="auto"/>
                      </w:divBdr>
                    </w:div>
                  </w:divsChild>
                </w:div>
                <w:div w:id="1211456692">
                  <w:marLeft w:val="0"/>
                  <w:marRight w:val="0"/>
                  <w:marTop w:val="0"/>
                  <w:marBottom w:val="0"/>
                  <w:divBdr>
                    <w:top w:val="none" w:sz="0" w:space="0" w:color="auto"/>
                    <w:left w:val="none" w:sz="0" w:space="0" w:color="auto"/>
                    <w:bottom w:val="none" w:sz="0" w:space="0" w:color="auto"/>
                    <w:right w:val="none" w:sz="0" w:space="0" w:color="auto"/>
                  </w:divBdr>
                  <w:divsChild>
                    <w:div w:id="694236913">
                      <w:marLeft w:val="0"/>
                      <w:marRight w:val="0"/>
                      <w:marTop w:val="0"/>
                      <w:marBottom w:val="0"/>
                      <w:divBdr>
                        <w:top w:val="none" w:sz="0" w:space="0" w:color="auto"/>
                        <w:left w:val="none" w:sz="0" w:space="0" w:color="auto"/>
                        <w:bottom w:val="none" w:sz="0" w:space="0" w:color="auto"/>
                        <w:right w:val="none" w:sz="0" w:space="0" w:color="auto"/>
                      </w:divBdr>
                    </w:div>
                  </w:divsChild>
                </w:div>
                <w:div w:id="1211501853">
                  <w:marLeft w:val="0"/>
                  <w:marRight w:val="0"/>
                  <w:marTop w:val="0"/>
                  <w:marBottom w:val="0"/>
                  <w:divBdr>
                    <w:top w:val="none" w:sz="0" w:space="0" w:color="auto"/>
                    <w:left w:val="none" w:sz="0" w:space="0" w:color="auto"/>
                    <w:bottom w:val="none" w:sz="0" w:space="0" w:color="auto"/>
                    <w:right w:val="none" w:sz="0" w:space="0" w:color="auto"/>
                  </w:divBdr>
                  <w:divsChild>
                    <w:div w:id="118036460">
                      <w:marLeft w:val="0"/>
                      <w:marRight w:val="0"/>
                      <w:marTop w:val="0"/>
                      <w:marBottom w:val="0"/>
                      <w:divBdr>
                        <w:top w:val="none" w:sz="0" w:space="0" w:color="auto"/>
                        <w:left w:val="none" w:sz="0" w:space="0" w:color="auto"/>
                        <w:bottom w:val="none" w:sz="0" w:space="0" w:color="auto"/>
                        <w:right w:val="none" w:sz="0" w:space="0" w:color="auto"/>
                      </w:divBdr>
                    </w:div>
                  </w:divsChild>
                </w:div>
                <w:div w:id="1214078767">
                  <w:marLeft w:val="0"/>
                  <w:marRight w:val="0"/>
                  <w:marTop w:val="0"/>
                  <w:marBottom w:val="0"/>
                  <w:divBdr>
                    <w:top w:val="none" w:sz="0" w:space="0" w:color="auto"/>
                    <w:left w:val="none" w:sz="0" w:space="0" w:color="auto"/>
                    <w:bottom w:val="none" w:sz="0" w:space="0" w:color="auto"/>
                    <w:right w:val="none" w:sz="0" w:space="0" w:color="auto"/>
                  </w:divBdr>
                  <w:divsChild>
                    <w:div w:id="850099764">
                      <w:marLeft w:val="0"/>
                      <w:marRight w:val="0"/>
                      <w:marTop w:val="0"/>
                      <w:marBottom w:val="0"/>
                      <w:divBdr>
                        <w:top w:val="none" w:sz="0" w:space="0" w:color="auto"/>
                        <w:left w:val="none" w:sz="0" w:space="0" w:color="auto"/>
                        <w:bottom w:val="none" w:sz="0" w:space="0" w:color="auto"/>
                        <w:right w:val="none" w:sz="0" w:space="0" w:color="auto"/>
                      </w:divBdr>
                    </w:div>
                  </w:divsChild>
                </w:div>
                <w:div w:id="1215582889">
                  <w:marLeft w:val="0"/>
                  <w:marRight w:val="0"/>
                  <w:marTop w:val="0"/>
                  <w:marBottom w:val="0"/>
                  <w:divBdr>
                    <w:top w:val="none" w:sz="0" w:space="0" w:color="auto"/>
                    <w:left w:val="none" w:sz="0" w:space="0" w:color="auto"/>
                    <w:bottom w:val="none" w:sz="0" w:space="0" w:color="auto"/>
                    <w:right w:val="none" w:sz="0" w:space="0" w:color="auto"/>
                  </w:divBdr>
                  <w:divsChild>
                    <w:div w:id="1992365012">
                      <w:marLeft w:val="0"/>
                      <w:marRight w:val="0"/>
                      <w:marTop w:val="0"/>
                      <w:marBottom w:val="0"/>
                      <w:divBdr>
                        <w:top w:val="none" w:sz="0" w:space="0" w:color="auto"/>
                        <w:left w:val="none" w:sz="0" w:space="0" w:color="auto"/>
                        <w:bottom w:val="none" w:sz="0" w:space="0" w:color="auto"/>
                        <w:right w:val="none" w:sz="0" w:space="0" w:color="auto"/>
                      </w:divBdr>
                    </w:div>
                  </w:divsChild>
                </w:div>
                <w:div w:id="1224952843">
                  <w:marLeft w:val="0"/>
                  <w:marRight w:val="0"/>
                  <w:marTop w:val="0"/>
                  <w:marBottom w:val="0"/>
                  <w:divBdr>
                    <w:top w:val="none" w:sz="0" w:space="0" w:color="auto"/>
                    <w:left w:val="none" w:sz="0" w:space="0" w:color="auto"/>
                    <w:bottom w:val="none" w:sz="0" w:space="0" w:color="auto"/>
                    <w:right w:val="none" w:sz="0" w:space="0" w:color="auto"/>
                  </w:divBdr>
                  <w:divsChild>
                    <w:div w:id="1248926063">
                      <w:marLeft w:val="0"/>
                      <w:marRight w:val="0"/>
                      <w:marTop w:val="0"/>
                      <w:marBottom w:val="0"/>
                      <w:divBdr>
                        <w:top w:val="none" w:sz="0" w:space="0" w:color="auto"/>
                        <w:left w:val="none" w:sz="0" w:space="0" w:color="auto"/>
                        <w:bottom w:val="none" w:sz="0" w:space="0" w:color="auto"/>
                        <w:right w:val="none" w:sz="0" w:space="0" w:color="auto"/>
                      </w:divBdr>
                    </w:div>
                  </w:divsChild>
                </w:div>
                <w:div w:id="1232543826">
                  <w:marLeft w:val="0"/>
                  <w:marRight w:val="0"/>
                  <w:marTop w:val="0"/>
                  <w:marBottom w:val="0"/>
                  <w:divBdr>
                    <w:top w:val="none" w:sz="0" w:space="0" w:color="auto"/>
                    <w:left w:val="none" w:sz="0" w:space="0" w:color="auto"/>
                    <w:bottom w:val="none" w:sz="0" w:space="0" w:color="auto"/>
                    <w:right w:val="none" w:sz="0" w:space="0" w:color="auto"/>
                  </w:divBdr>
                  <w:divsChild>
                    <w:div w:id="606473375">
                      <w:marLeft w:val="0"/>
                      <w:marRight w:val="0"/>
                      <w:marTop w:val="0"/>
                      <w:marBottom w:val="0"/>
                      <w:divBdr>
                        <w:top w:val="none" w:sz="0" w:space="0" w:color="auto"/>
                        <w:left w:val="none" w:sz="0" w:space="0" w:color="auto"/>
                        <w:bottom w:val="none" w:sz="0" w:space="0" w:color="auto"/>
                        <w:right w:val="none" w:sz="0" w:space="0" w:color="auto"/>
                      </w:divBdr>
                    </w:div>
                  </w:divsChild>
                </w:div>
                <w:div w:id="1236738837">
                  <w:marLeft w:val="0"/>
                  <w:marRight w:val="0"/>
                  <w:marTop w:val="0"/>
                  <w:marBottom w:val="0"/>
                  <w:divBdr>
                    <w:top w:val="none" w:sz="0" w:space="0" w:color="auto"/>
                    <w:left w:val="none" w:sz="0" w:space="0" w:color="auto"/>
                    <w:bottom w:val="none" w:sz="0" w:space="0" w:color="auto"/>
                    <w:right w:val="none" w:sz="0" w:space="0" w:color="auto"/>
                  </w:divBdr>
                  <w:divsChild>
                    <w:div w:id="246113102">
                      <w:marLeft w:val="0"/>
                      <w:marRight w:val="0"/>
                      <w:marTop w:val="0"/>
                      <w:marBottom w:val="0"/>
                      <w:divBdr>
                        <w:top w:val="none" w:sz="0" w:space="0" w:color="auto"/>
                        <w:left w:val="none" w:sz="0" w:space="0" w:color="auto"/>
                        <w:bottom w:val="none" w:sz="0" w:space="0" w:color="auto"/>
                        <w:right w:val="none" w:sz="0" w:space="0" w:color="auto"/>
                      </w:divBdr>
                    </w:div>
                  </w:divsChild>
                </w:div>
                <w:div w:id="1238442896">
                  <w:marLeft w:val="0"/>
                  <w:marRight w:val="0"/>
                  <w:marTop w:val="0"/>
                  <w:marBottom w:val="0"/>
                  <w:divBdr>
                    <w:top w:val="none" w:sz="0" w:space="0" w:color="auto"/>
                    <w:left w:val="none" w:sz="0" w:space="0" w:color="auto"/>
                    <w:bottom w:val="none" w:sz="0" w:space="0" w:color="auto"/>
                    <w:right w:val="none" w:sz="0" w:space="0" w:color="auto"/>
                  </w:divBdr>
                  <w:divsChild>
                    <w:div w:id="106312543">
                      <w:marLeft w:val="0"/>
                      <w:marRight w:val="0"/>
                      <w:marTop w:val="0"/>
                      <w:marBottom w:val="0"/>
                      <w:divBdr>
                        <w:top w:val="none" w:sz="0" w:space="0" w:color="auto"/>
                        <w:left w:val="none" w:sz="0" w:space="0" w:color="auto"/>
                        <w:bottom w:val="none" w:sz="0" w:space="0" w:color="auto"/>
                        <w:right w:val="none" w:sz="0" w:space="0" w:color="auto"/>
                      </w:divBdr>
                    </w:div>
                  </w:divsChild>
                </w:div>
                <w:div w:id="1239245746">
                  <w:marLeft w:val="0"/>
                  <w:marRight w:val="0"/>
                  <w:marTop w:val="0"/>
                  <w:marBottom w:val="0"/>
                  <w:divBdr>
                    <w:top w:val="none" w:sz="0" w:space="0" w:color="auto"/>
                    <w:left w:val="none" w:sz="0" w:space="0" w:color="auto"/>
                    <w:bottom w:val="none" w:sz="0" w:space="0" w:color="auto"/>
                    <w:right w:val="none" w:sz="0" w:space="0" w:color="auto"/>
                  </w:divBdr>
                  <w:divsChild>
                    <w:div w:id="298340393">
                      <w:marLeft w:val="0"/>
                      <w:marRight w:val="0"/>
                      <w:marTop w:val="0"/>
                      <w:marBottom w:val="0"/>
                      <w:divBdr>
                        <w:top w:val="none" w:sz="0" w:space="0" w:color="auto"/>
                        <w:left w:val="none" w:sz="0" w:space="0" w:color="auto"/>
                        <w:bottom w:val="none" w:sz="0" w:space="0" w:color="auto"/>
                        <w:right w:val="none" w:sz="0" w:space="0" w:color="auto"/>
                      </w:divBdr>
                    </w:div>
                  </w:divsChild>
                </w:div>
                <w:div w:id="1240751581">
                  <w:marLeft w:val="0"/>
                  <w:marRight w:val="0"/>
                  <w:marTop w:val="0"/>
                  <w:marBottom w:val="0"/>
                  <w:divBdr>
                    <w:top w:val="none" w:sz="0" w:space="0" w:color="auto"/>
                    <w:left w:val="none" w:sz="0" w:space="0" w:color="auto"/>
                    <w:bottom w:val="none" w:sz="0" w:space="0" w:color="auto"/>
                    <w:right w:val="none" w:sz="0" w:space="0" w:color="auto"/>
                  </w:divBdr>
                  <w:divsChild>
                    <w:div w:id="1003631755">
                      <w:marLeft w:val="0"/>
                      <w:marRight w:val="0"/>
                      <w:marTop w:val="0"/>
                      <w:marBottom w:val="0"/>
                      <w:divBdr>
                        <w:top w:val="none" w:sz="0" w:space="0" w:color="auto"/>
                        <w:left w:val="none" w:sz="0" w:space="0" w:color="auto"/>
                        <w:bottom w:val="none" w:sz="0" w:space="0" w:color="auto"/>
                        <w:right w:val="none" w:sz="0" w:space="0" w:color="auto"/>
                      </w:divBdr>
                    </w:div>
                  </w:divsChild>
                </w:div>
                <w:div w:id="1252011138">
                  <w:marLeft w:val="0"/>
                  <w:marRight w:val="0"/>
                  <w:marTop w:val="0"/>
                  <w:marBottom w:val="0"/>
                  <w:divBdr>
                    <w:top w:val="none" w:sz="0" w:space="0" w:color="auto"/>
                    <w:left w:val="none" w:sz="0" w:space="0" w:color="auto"/>
                    <w:bottom w:val="none" w:sz="0" w:space="0" w:color="auto"/>
                    <w:right w:val="none" w:sz="0" w:space="0" w:color="auto"/>
                  </w:divBdr>
                  <w:divsChild>
                    <w:div w:id="2100060842">
                      <w:marLeft w:val="0"/>
                      <w:marRight w:val="0"/>
                      <w:marTop w:val="0"/>
                      <w:marBottom w:val="0"/>
                      <w:divBdr>
                        <w:top w:val="none" w:sz="0" w:space="0" w:color="auto"/>
                        <w:left w:val="none" w:sz="0" w:space="0" w:color="auto"/>
                        <w:bottom w:val="none" w:sz="0" w:space="0" w:color="auto"/>
                        <w:right w:val="none" w:sz="0" w:space="0" w:color="auto"/>
                      </w:divBdr>
                    </w:div>
                  </w:divsChild>
                </w:div>
                <w:div w:id="1276710664">
                  <w:marLeft w:val="0"/>
                  <w:marRight w:val="0"/>
                  <w:marTop w:val="0"/>
                  <w:marBottom w:val="0"/>
                  <w:divBdr>
                    <w:top w:val="none" w:sz="0" w:space="0" w:color="auto"/>
                    <w:left w:val="none" w:sz="0" w:space="0" w:color="auto"/>
                    <w:bottom w:val="none" w:sz="0" w:space="0" w:color="auto"/>
                    <w:right w:val="none" w:sz="0" w:space="0" w:color="auto"/>
                  </w:divBdr>
                  <w:divsChild>
                    <w:div w:id="626399205">
                      <w:marLeft w:val="0"/>
                      <w:marRight w:val="0"/>
                      <w:marTop w:val="0"/>
                      <w:marBottom w:val="0"/>
                      <w:divBdr>
                        <w:top w:val="none" w:sz="0" w:space="0" w:color="auto"/>
                        <w:left w:val="none" w:sz="0" w:space="0" w:color="auto"/>
                        <w:bottom w:val="none" w:sz="0" w:space="0" w:color="auto"/>
                        <w:right w:val="none" w:sz="0" w:space="0" w:color="auto"/>
                      </w:divBdr>
                    </w:div>
                  </w:divsChild>
                </w:div>
                <w:div w:id="1279602766">
                  <w:marLeft w:val="0"/>
                  <w:marRight w:val="0"/>
                  <w:marTop w:val="0"/>
                  <w:marBottom w:val="0"/>
                  <w:divBdr>
                    <w:top w:val="none" w:sz="0" w:space="0" w:color="auto"/>
                    <w:left w:val="none" w:sz="0" w:space="0" w:color="auto"/>
                    <w:bottom w:val="none" w:sz="0" w:space="0" w:color="auto"/>
                    <w:right w:val="none" w:sz="0" w:space="0" w:color="auto"/>
                  </w:divBdr>
                  <w:divsChild>
                    <w:div w:id="1511791363">
                      <w:marLeft w:val="0"/>
                      <w:marRight w:val="0"/>
                      <w:marTop w:val="0"/>
                      <w:marBottom w:val="0"/>
                      <w:divBdr>
                        <w:top w:val="none" w:sz="0" w:space="0" w:color="auto"/>
                        <w:left w:val="none" w:sz="0" w:space="0" w:color="auto"/>
                        <w:bottom w:val="none" w:sz="0" w:space="0" w:color="auto"/>
                        <w:right w:val="none" w:sz="0" w:space="0" w:color="auto"/>
                      </w:divBdr>
                    </w:div>
                  </w:divsChild>
                </w:div>
                <w:div w:id="1289118773">
                  <w:marLeft w:val="0"/>
                  <w:marRight w:val="0"/>
                  <w:marTop w:val="0"/>
                  <w:marBottom w:val="0"/>
                  <w:divBdr>
                    <w:top w:val="none" w:sz="0" w:space="0" w:color="auto"/>
                    <w:left w:val="none" w:sz="0" w:space="0" w:color="auto"/>
                    <w:bottom w:val="none" w:sz="0" w:space="0" w:color="auto"/>
                    <w:right w:val="none" w:sz="0" w:space="0" w:color="auto"/>
                  </w:divBdr>
                  <w:divsChild>
                    <w:div w:id="610164895">
                      <w:marLeft w:val="0"/>
                      <w:marRight w:val="0"/>
                      <w:marTop w:val="0"/>
                      <w:marBottom w:val="0"/>
                      <w:divBdr>
                        <w:top w:val="none" w:sz="0" w:space="0" w:color="auto"/>
                        <w:left w:val="none" w:sz="0" w:space="0" w:color="auto"/>
                        <w:bottom w:val="none" w:sz="0" w:space="0" w:color="auto"/>
                        <w:right w:val="none" w:sz="0" w:space="0" w:color="auto"/>
                      </w:divBdr>
                    </w:div>
                  </w:divsChild>
                </w:div>
                <w:div w:id="1293632594">
                  <w:marLeft w:val="0"/>
                  <w:marRight w:val="0"/>
                  <w:marTop w:val="0"/>
                  <w:marBottom w:val="0"/>
                  <w:divBdr>
                    <w:top w:val="none" w:sz="0" w:space="0" w:color="auto"/>
                    <w:left w:val="none" w:sz="0" w:space="0" w:color="auto"/>
                    <w:bottom w:val="none" w:sz="0" w:space="0" w:color="auto"/>
                    <w:right w:val="none" w:sz="0" w:space="0" w:color="auto"/>
                  </w:divBdr>
                  <w:divsChild>
                    <w:div w:id="1325205877">
                      <w:marLeft w:val="0"/>
                      <w:marRight w:val="0"/>
                      <w:marTop w:val="0"/>
                      <w:marBottom w:val="0"/>
                      <w:divBdr>
                        <w:top w:val="none" w:sz="0" w:space="0" w:color="auto"/>
                        <w:left w:val="none" w:sz="0" w:space="0" w:color="auto"/>
                        <w:bottom w:val="none" w:sz="0" w:space="0" w:color="auto"/>
                        <w:right w:val="none" w:sz="0" w:space="0" w:color="auto"/>
                      </w:divBdr>
                    </w:div>
                  </w:divsChild>
                </w:div>
                <w:div w:id="1294869629">
                  <w:marLeft w:val="0"/>
                  <w:marRight w:val="0"/>
                  <w:marTop w:val="0"/>
                  <w:marBottom w:val="0"/>
                  <w:divBdr>
                    <w:top w:val="none" w:sz="0" w:space="0" w:color="auto"/>
                    <w:left w:val="none" w:sz="0" w:space="0" w:color="auto"/>
                    <w:bottom w:val="none" w:sz="0" w:space="0" w:color="auto"/>
                    <w:right w:val="none" w:sz="0" w:space="0" w:color="auto"/>
                  </w:divBdr>
                  <w:divsChild>
                    <w:div w:id="1588810313">
                      <w:marLeft w:val="0"/>
                      <w:marRight w:val="0"/>
                      <w:marTop w:val="0"/>
                      <w:marBottom w:val="0"/>
                      <w:divBdr>
                        <w:top w:val="none" w:sz="0" w:space="0" w:color="auto"/>
                        <w:left w:val="none" w:sz="0" w:space="0" w:color="auto"/>
                        <w:bottom w:val="none" w:sz="0" w:space="0" w:color="auto"/>
                        <w:right w:val="none" w:sz="0" w:space="0" w:color="auto"/>
                      </w:divBdr>
                    </w:div>
                  </w:divsChild>
                </w:div>
                <w:div w:id="1297023747">
                  <w:marLeft w:val="0"/>
                  <w:marRight w:val="0"/>
                  <w:marTop w:val="0"/>
                  <w:marBottom w:val="0"/>
                  <w:divBdr>
                    <w:top w:val="none" w:sz="0" w:space="0" w:color="auto"/>
                    <w:left w:val="none" w:sz="0" w:space="0" w:color="auto"/>
                    <w:bottom w:val="none" w:sz="0" w:space="0" w:color="auto"/>
                    <w:right w:val="none" w:sz="0" w:space="0" w:color="auto"/>
                  </w:divBdr>
                  <w:divsChild>
                    <w:div w:id="1451434312">
                      <w:marLeft w:val="0"/>
                      <w:marRight w:val="0"/>
                      <w:marTop w:val="0"/>
                      <w:marBottom w:val="0"/>
                      <w:divBdr>
                        <w:top w:val="none" w:sz="0" w:space="0" w:color="auto"/>
                        <w:left w:val="none" w:sz="0" w:space="0" w:color="auto"/>
                        <w:bottom w:val="none" w:sz="0" w:space="0" w:color="auto"/>
                        <w:right w:val="none" w:sz="0" w:space="0" w:color="auto"/>
                      </w:divBdr>
                    </w:div>
                  </w:divsChild>
                </w:div>
                <w:div w:id="1298802881">
                  <w:marLeft w:val="0"/>
                  <w:marRight w:val="0"/>
                  <w:marTop w:val="0"/>
                  <w:marBottom w:val="0"/>
                  <w:divBdr>
                    <w:top w:val="none" w:sz="0" w:space="0" w:color="auto"/>
                    <w:left w:val="none" w:sz="0" w:space="0" w:color="auto"/>
                    <w:bottom w:val="none" w:sz="0" w:space="0" w:color="auto"/>
                    <w:right w:val="none" w:sz="0" w:space="0" w:color="auto"/>
                  </w:divBdr>
                  <w:divsChild>
                    <w:div w:id="475995587">
                      <w:marLeft w:val="0"/>
                      <w:marRight w:val="0"/>
                      <w:marTop w:val="0"/>
                      <w:marBottom w:val="0"/>
                      <w:divBdr>
                        <w:top w:val="none" w:sz="0" w:space="0" w:color="auto"/>
                        <w:left w:val="none" w:sz="0" w:space="0" w:color="auto"/>
                        <w:bottom w:val="none" w:sz="0" w:space="0" w:color="auto"/>
                        <w:right w:val="none" w:sz="0" w:space="0" w:color="auto"/>
                      </w:divBdr>
                    </w:div>
                  </w:divsChild>
                </w:div>
                <w:div w:id="1303315123">
                  <w:marLeft w:val="0"/>
                  <w:marRight w:val="0"/>
                  <w:marTop w:val="0"/>
                  <w:marBottom w:val="0"/>
                  <w:divBdr>
                    <w:top w:val="none" w:sz="0" w:space="0" w:color="auto"/>
                    <w:left w:val="none" w:sz="0" w:space="0" w:color="auto"/>
                    <w:bottom w:val="none" w:sz="0" w:space="0" w:color="auto"/>
                    <w:right w:val="none" w:sz="0" w:space="0" w:color="auto"/>
                  </w:divBdr>
                  <w:divsChild>
                    <w:div w:id="446628779">
                      <w:marLeft w:val="0"/>
                      <w:marRight w:val="0"/>
                      <w:marTop w:val="0"/>
                      <w:marBottom w:val="0"/>
                      <w:divBdr>
                        <w:top w:val="none" w:sz="0" w:space="0" w:color="auto"/>
                        <w:left w:val="none" w:sz="0" w:space="0" w:color="auto"/>
                        <w:bottom w:val="none" w:sz="0" w:space="0" w:color="auto"/>
                        <w:right w:val="none" w:sz="0" w:space="0" w:color="auto"/>
                      </w:divBdr>
                    </w:div>
                  </w:divsChild>
                </w:div>
                <w:div w:id="1309094253">
                  <w:marLeft w:val="0"/>
                  <w:marRight w:val="0"/>
                  <w:marTop w:val="0"/>
                  <w:marBottom w:val="0"/>
                  <w:divBdr>
                    <w:top w:val="none" w:sz="0" w:space="0" w:color="auto"/>
                    <w:left w:val="none" w:sz="0" w:space="0" w:color="auto"/>
                    <w:bottom w:val="none" w:sz="0" w:space="0" w:color="auto"/>
                    <w:right w:val="none" w:sz="0" w:space="0" w:color="auto"/>
                  </w:divBdr>
                  <w:divsChild>
                    <w:div w:id="751588743">
                      <w:marLeft w:val="0"/>
                      <w:marRight w:val="0"/>
                      <w:marTop w:val="0"/>
                      <w:marBottom w:val="0"/>
                      <w:divBdr>
                        <w:top w:val="none" w:sz="0" w:space="0" w:color="auto"/>
                        <w:left w:val="none" w:sz="0" w:space="0" w:color="auto"/>
                        <w:bottom w:val="none" w:sz="0" w:space="0" w:color="auto"/>
                        <w:right w:val="none" w:sz="0" w:space="0" w:color="auto"/>
                      </w:divBdr>
                    </w:div>
                  </w:divsChild>
                </w:div>
                <w:div w:id="1312520028">
                  <w:marLeft w:val="0"/>
                  <w:marRight w:val="0"/>
                  <w:marTop w:val="0"/>
                  <w:marBottom w:val="0"/>
                  <w:divBdr>
                    <w:top w:val="none" w:sz="0" w:space="0" w:color="auto"/>
                    <w:left w:val="none" w:sz="0" w:space="0" w:color="auto"/>
                    <w:bottom w:val="none" w:sz="0" w:space="0" w:color="auto"/>
                    <w:right w:val="none" w:sz="0" w:space="0" w:color="auto"/>
                  </w:divBdr>
                  <w:divsChild>
                    <w:div w:id="802357370">
                      <w:marLeft w:val="0"/>
                      <w:marRight w:val="0"/>
                      <w:marTop w:val="0"/>
                      <w:marBottom w:val="0"/>
                      <w:divBdr>
                        <w:top w:val="none" w:sz="0" w:space="0" w:color="auto"/>
                        <w:left w:val="none" w:sz="0" w:space="0" w:color="auto"/>
                        <w:bottom w:val="none" w:sz="0" w:space="0" w:color="auto"/>
                        <w:right w:val="none" w:sz="0" w:space="0" w:color="auto"/>
                      </w:divBdr>
                    </w:div>
                  </w:divsChild>
                </w:div>
                <w:div w:id="1317149213">
                  <w:marLeft w:val="0"/>
                  <w:marRight w:val="0"/>
                  <w:marTop w:val="0"/>
                  <w:marBottom w:val="0"/>
                  <w:divBdr>
                    <w:top w:val="none" w:sz="0" w:space="0" w:color="auto"/>
                    <w:left w:val="none" w:sz="0" w:space="0" w:color="auto"/>
                    <w:bottom w:val="none" w:sz="0" w:space="0" w:color="auto"/>
                    <w:right w:val="none" w:sz="0" w:space="0" w:color="auto"/>
                  </w:divBdr>
                  <w:divsChild>
                    <w:div w:id="506138030">
                      <w:marLeft w:val="0"/>
                      <w:marRight w:val="0"/>
                      <w:marTop w:val="0"/>
                      <w:marBottom w:val="0"/>
                      <w:divBdr>
                        <w:top w:val="none" w:sz="0" w:space="0" w:color="auto"/>
                        <w:left w:val="none" w:sz="0" w:space="0" w:color="auto"/>
                        <w:bottom w:val="none" w:sz="0" w:space="0" w:color="auto"/>
                        <w:right w:val="none" w:sz="0" w:space="0" w:color="auto"/>
                      </w:divBdr>
                    </w:div>
                  </w:divsChild>
                </w:div>
                <w:div w:id="1320498851">
                  <w:marLeft w:val="0"/>
                  <w:marRight w:val="0"/>
                  <w:marTop w:val="0"/>
                  <w:marBottom w:val="0"/>
                  <w:divBdr>
                    <w:top w:val="none" w:sz="0" w:space="0" w:color="auto"/>
                    <w:left w:val="none" w:sz="0" w:space="0" w:color="auto"/>
                    <w:bottom w:val="none" w:sz="0" w:space="0" w:color="auto"/>
                    <w:right w:val="none" w:sz="0" w:space="0" w:color="auto"/>
                  </w:divBdr>
                  <w:divsChild>
                    <w:div w:id="246810970">
                      <w:marLeft w:val="0"/>
                      <w:marRight w:val="0"/>
                      <w:marTop w:val="0"/>
                      <w:marBottom w:val="0"/>
                      <w:divBdr>
                        <w:top w:val="none" w:sz="0" w:space="0" w:color="auto"/>
                        <w:left w:val="none" w:sz="0" w:space="0" w:color="auto"/>
                        <w:bottom w:val="none" w:sz="0" w:space="0" w:color="auto"/>
                        <w:right w:val="none" w:sz="0" w:space="0" w:color="auto"/>
                      </w:divBdr>
                    </w:div>
                  </w:divsChild>
                </w:div>
                <w:div w:id="1325694939">
                  <w:marLeft w:val="0"/>
                  <w:marRight w:val="0"/>
                  <w:marTop w:val="0"/>
                  <w:marBottom w:val="0"/>
                  <w:divBdr>
                    <w:top w:val="none" w:sz="0" w:space="0" w:color="auto"/>
                    <w:left w:val="none" w:sz="0" w:space="0" w:color="auto"/>
                    <w:bottom w:val="none" w:sz="0" w:space="0" w:color="auto"/>
                    <w:right w:val="none" w:sz="0" w:space="0" w:color="auto"/>
                  </w:divBdr>
                  <w:divsChild>
                    <w:div w:id="1278441095">
                      <w:marLeft w:val="0"/>
                      <w:marRight w:val="0"/>
                      <w:marTop w:val="0"/>
                      <w:marBottom w:val="0"/>
                      <w:divBdr>
                        <w:top w:val="none" w:sz="0" w:space="0" w:color="auto"/>
                        <w:left w:val="none" w:sz="0" w:space="0" w:color="auto"/>
                        <w:bottom w:val="none" w:sz="0" w:space="0" w:color="auto"/>
                        <w:right w:val="none" w:sz="0" w:space="0" w:color="auto"/>
                      </w:divBdr>
                    </w:div>
                  </w:divsChild>
                </w:div>
                <w:div w:id="1326933082">
                  <w:marLeft w:val="0"/>
                  <w:marRight w:val="0"/>
                  <w:marTop w:val="0"/>
                  <w:marBottom w:val="0"/>
                  <w:divBdr>
                    <w:top w:val="none" w:sz="0" w:space="0" w:color="auto"/>
                    <w:left w:val="none" w:sz="0" w:space="0" w:color="auto"/>
                    <w:bottom w:val="none" w:sz="0" w:space="0" w:color="auto"/>
                    <w:right w:val="none" w:sz="0" w:space="0" w:color="auto"/>
                  </w:divBdr>
                  <w:divsChild>
                    <w:div w:id="1854764593">
                      <w:marLeft w:val="0"/>
                      <w:marRight w:val="0"/>
                      <w:marTop w:val="0"/>
                      <w:marBottom w:val="0"/>
                      <w:divBdr>
                        <w:top w:val="none" w:sz="0" w:space="0" w:color="auto"/>
                        <w:left w:val="none" w:sz="0" w:space="0" w:color="auto"/>
                        <w:bottom w:val="none" w:sz="0" w:space="0" w:color="auto"/>
                        <w:right w:val="none" w:sz="0" w:space="0" w:color="auto"/>
                      </w:divBdr>
                    </w:div>
                  </w:divsChild>
                </w:div>
                <w:div w:id="1330211230">
                  <w:marLeft w:val="0"/>
                  <w:marRight w:val="0"/>
                  <w:marTop w:val="0"/>
                  <w:marBottom w:val="0"/>
                  <w:divBdr>
                    <w:top w:val="none" w:sz="0" w:space="0" w:color="auto"/>
                    <w:left w:val="none" w:sz="0" w:space="0" w:color="auto"/>
                    <w:bottom w:val="none" w:sz="0" w:space="0" w:color="auto"/>
                    <w:right w:val="none" w:sz="0" w:space="0" w:color="auto"/>
                  </w:divBdr>
                  <w:divsChild>
                    <w:div w:id="778643541">
                      <w:marLeft w:val="0"/>
                      <w:marRight w:val="0"/>
                      <w:marTop w:val="0"/>
                      <w:marBottom w:val="0"/>
                      <w:divBdr>
                        <w:top w:val="none" w:sz="0" w:space="0" w:color="auto"/>
                        <w:left w:val="none" w:sz="0" w:space="0" w:color="auto"/>
                        <w:bottom w:val="none" w:sz="0" w:space="0" w:color="auto"/>
                        <w:right w:val="none" w:sz="0" w:space="0" w:color="auto"/>
                      </w:divBdr>
                    </w:div>
                  </w:divsChild>
                </w:div>
                <w:div w:id="1347058839">
                  <w:marLeft w:val="0"/>
                  <w:marRight w:val="0"/>
                  <w:marTop w:val="0"/>
                  <w:marBottom w:val="0"/>
                  <w:divBdr>
                    <w:top w:val="none" w:sz="0" w:space="0" w:color="auto"/>
                    <w:left w:val="none" w:sz="0" w:space="0" w:color="auto"/>
                    <w:bottom w:val="none" w:sz="0" w:space="0" w:color="auto"/>
                    <w:right w:val="none" w:sz="0" w:space="0" w:color="auto"/>
                  </w:divBdr>
                  <w:divsChild>
                    <w:div w:id="702093336">
                      <w:marLeft w:val="0"/>
                      <w:marRight w:val="0"/>
                      <w:marTop w:val="0"/>
                      <w:marBottom w:val="0"/>
                      <w:divBdr>
                        <w:top w:val="none" w:sz="0" w:space="0" w:color="auto"/>
                        <w:left w:val="none" w:sz="0" w:space="0" w:color="auto"/>
                        <w:bottom w:val="none" w:sz="0" w:space="0" w:color="auto"/>
                        <w:right w:val="none" w:sz="0" w:space="0" w:color="auto"/>
                      </w:divBdr>
                    </w:div>
                  </w:divsChild>
                </w:div>
                <w:div w:id="1347369289">
                  <w:marLeft w:val="0"/>
                  <w:marRight w:val="0"/>
                  <w:marTop w:val="0"/>
                  <w:marBottom w:val="0"/>
                  <w:divBdr>
                    <w:top w:val="none" w:sz="0" w:space="0" w:color="auto"/>
                    <w:left w:val="none" w:sz="0" w:space="0" w:color="auto"/>
                    <w:bottom w:val="none" w:sz="0" w:space="0" w:color="auto"/>
                    <w:right w:val="none" w:sz="0" w:space="0" w:color="auto"/>
                  </w:divBdr>
                  <w:divsChild>
                    <w:div w:id="2092192736">
                      <w:marLeft w:val="0"/>
                      <w:marRight w:val="0"/>
                      <w:marTop w:val="0"/>
                      <w:marBottom w:val="0"/>
                      <w:divBdr>
                        <w:top w:val="none" w:sz="0" w:space="0" w:color="auto"/>
                        <w:left w:val="none" w:sz="0" w:space="0" w:color="auto"/>
                        <w:bottom w:val="none" w:sz="0" w:space="0" w:color="auto"/>
                        <w:right w:val="none" w:sz="0" w:space="0" w:color="auto"/>
                      </w:divBdr>
                    </w:div>
                  </w:divsChild>
                </w:div>
                <w:div w:id="1349411741">
                  <w:marLeft w:val="0"/>
                  <w:marRight w:val="0"/>
                  <w:marTop w:val="0"/>
                  <w:marBottom w:val="0"/>
                  <w:divBdr>
                    <w:top w:val="none" w:sz="0" w:space="0" w:color="auto"/>
                    <w:left w:val="none" w:sz="0" w:space="0" w:color="auto"/>
                    <w:bottom w:val="none" w:sz="0" w:space="0" w:color="auto"/>
                    <w:right w:val="none" w:sz="0" w:space="0" w:color="auto"/>
                  </w:divBdr>
                  <w:divsChild>
                    <w:div w:id="680930653">
                      <w:marLeft w:val="0"/>
                      <w:marRight w:val="0"/>
                      <w:marTop w:val="0"/>
                      <w:marBottom w:val="0"/>
                      <w:divBdr>
                        <w:top w:val="none" w:sz="0" w:space="0" w:color="auto"/>
                        <w:left w:val="none" w:sz="0" w:space="0" w:color="auto"/>
                        <w:bottom w:val="none" w:sz="0" w:space="0" w:color="auto"/>
                        <w:right w:val="none" w:sz="0" w:space="0" w:color="auto"/>
                      </w:divBdr>
                    </w:div>
                  </w:divsChild>
                </w:div>
                <w:div w:id="1357660766">
                  <w:marLeft w:val="0"/>
                  <w:marRight w:val="0"/>
                  <w:marTop w:val="0"/>
                  <w:marBottom w:val="0"/>
                  <w:divBdr>
                    <w:top w:val="none" w:sz="0" w:space="0" w:color="auto"/>
                    <w:left w:val="none" w:sz="0" w:space="0" w:color="auto"/>
                    <w:bottom w:val="none" w:sz="0" w:space="0" w:color="auto"/>
                    <w:right w:val="none" w:sz="0" w:space="0" w:color="auto"/>
                  </w:divBdr>
                  <w:divsChild>
                    <w:div w:id="1290864723">
                      <w:marLeft w:val="0"/>
                      <w:marRight w:val="0"/>
                      <w:marTop w:val="0"/>
                      <w:marBottom w:val="0"/>
                      <w:divBdr>
                        <w:top w:val="none" w:sz="0" w:space="0" w:color="auto"/>
                        <w:left w:val="none" w:sz="0" w:space="0" w:color="auto"/>
                        <w:bottom w:val="none" w:sz="0" w:space="0" w:color="auto"/>
                        <w:right w:val="none" w:sz="0" w:space="0" w:color="auto"/>
                      </w:divBdr>
                    </w:div>
                  </w:divsChild>
                </w:div>
                <w:div w:id="1370451933">
                  <w:marLeft w:val="0"/>
                  <w:marRight w:val="0"/>
                  <w:marTop w:val="0"/>
                  <w:marBottom w:val="0"/>
                  <w:divBdr>
                    <w:top w:val="none" w:sz="0" w:space="0" w:color="auto"/>
                    <w:left w:val="none" w:sz="0" w:space="0" w:color="auto"/>
                    <w:bottom w:val="none" w:sz="0" w:space="0" w:color="auto"/>
                    <w:right w:val="none" w:sz="0" w:space="0" w:color="auto"/>
                  </w:divBdr>
                  <w:divsChild>
                    <w:div w:id="1820225933">
                      <w:marLeft w:val="0"/>
                      <w:marRight w:val="0"/>
                      <w:marTop w:val="0"/>
                      <w:marBottom w:val="0"/>
                      <w:divBdr>
                        <w:top w:val="none" w:sz="0" w:space="0" w:color="auto"/>
                        <w:left w:val="none" w:sz="0" w:space="0" w:color="auto"/>
                        <w:bottom w:val="none" w:sz="0" w:space="0" w:color="auto"/>
                        <w:right w:val="none" w:sz="0" w:space="0" w:color="auto"/>
                      </w:divBdr>
                    </w:div>
                  </w:divsChild>
                </w:div>
                <w:div w:id="1375349305">
                  <w:marLeft w:val="0"/>
                  <w:marRight w:val="0"/>
                  <w:marTop w:val="0"/>
                  <w:marBottom w:val="0"/>
                  <w:divBdr>
                    <w:top w:val="none" w:sz="0" w:space="0" w:color="auto"/>
                    <w:left w:val="none" w:sz="0" w:space="0" w:color="auto"/>
                    <w:bottom w:val="none" w:sz="0" w:space="0" w:color="auto"/>
                    <w:right w:val="none" w:sz="0" w:space="0" w:color="auto"/>
                  </w:divBdr>
                  <w:divsChild>
                    <w:div w:id="971054815">
                      <w:marLeft w:val="0"/>
                      <w:marRight w:val="0"/>
                      <w:marTop w:val="0"/>
                      <w:marBottom w:val="0"/>
                      <w:divBdr>
                        <w:top w:val="none" w:sz="0" w:space="0" w:color="auto"/>
                        <w:left w:val="none" w:sz="0" w:space="0" w:color="auto"/>
                        <w:bottom w:val="none" w:sz="0" w:space="0" w:color="auto"/>
                        <w:right w:val="none" w:sz="0" w:space="0" w:color="auto"/>
                      </w:divBdr>
                    </w:div>
                  </w:divsChild>
                </w:div>
                <w:div w:id="1378891150">
                  <w:marLeft w:val="0"/>
                  <w:marRight w:val="0"/>
                  <w:marTop w:val="0"/>
                  <w:marBottom w:val="0"/>
                  <w:divBdr>
                    <w:top w:val="none" w:sz="0" w:space="0" w:color="auto"/>
                    <w:left w:val="none" w:sz="0" w:space="0" w:color="auto"/>
                    <w:bottom w:val="none" w:sz="0" w:space="0" w:color="auto"/>
                    <w:right w:val="none" w:sz="0" w:space="0" w:color="auto"/>
                  </w:divBdr>
                  <w:divsChild>
                    <w:div w:id="349839434">
                      <w:marLeft w:val="0"/>
                      <w:marRight w:val="0"/>
                      <w:marTop w:val="0"/>
                      <w:marBottom w:val="0"/>
                      <w:divBdr>
                        <w:top w:val="none" w:sz="0" w:space="0" w:color="auto"/>
                        <w:left w:val="none" w:sz="0" w:space="0" w:color="auto"/>
                        <w:bottom w:val="none" w:sz="0" w:space="0" w:color="auto"/>
                        <w:right w:val="none" w:sz="0" w:space="0" w:color="auto"/>
                      </w:divBdr>
                    </w:div>
                  </w:divsChild>
                </w:div>
                <w:div w:id="1379934970">
                  <w:marLeft w:val="0"/>
                  <w:marRight w:val="0"/>
                  <w:marTop w:val="0"/>
                  <w:marBottom w:val="0"/>
                  <w:divBdr>
                    <w:top w:val="none" w:sz="0" w:space="0" w:color="auto"/>
                    <w:left w:val="none" w:sz="0" w:space="0" w:color="auto"/>
                    <w:bottom w:val="none" w:sz="0" w:space="0" w:color="auto"/>
                    <w:right w:val="none" w:sz="0" w:space="0" w:color="auto"/>
                  </w:divBdr>
                  <w:divsChild>
                    <w:div w:id="233518119">
                      <w:marLeft w:val="0"/>
                      <w:marRight w:val="0"/>
                      <w:marTop w:val="0"/>
                      <w:marBottom w:val="0"/>
                      <w:divBdr>
                        <w:top w:val="none" w:sz="0" w:space="0" w:color="auto"/>
                        <w:left w:val="none" w:sz="0" w:space="0" w:color="auto"/>
                        <w:bottom w:val="none" w:sz="0" w:space="0" w:color="auto"/>
                        <w:right w:val="none" w:sz="0" w:space="0" w:color="auto"/>
                      </w:divBdr>
                    </w:div>
                  </w:divsChild>
                </w:div>
                <w:div w:id="1380668365">
                  <w:marLeft w:val="0"/>
                  <w:marRight w:val="0"/>
                  <w:marTop w:val="0"/>
                  <w:marBottom w:val="0"/>
                  <w:divBdr>
                    <w:top w:val="none" w:sz="0" w:space="0" w:color="auto"/>
                    <w:left w:val="none" w:sz="0" w:space="0" w:color="auto"/>
                    <w:bottom w:val="none" w:sz="0" w:space="0" w:color="auto"/>
                    <w:right w:val="none" w:sz="0" w:space="0" w:color="auto"/>
                  </w:divBdr>
                  <w:divsChild>
                    <w:div w:id="135683995">
                      <w:marLeft w:val="0"/>
                      <w:marRight w:val="0"/>
                      <w:marTop w:val="0"/>
                      <w:marBottom w:val="0"/>
                      <w:divBdr>
                        <w:top w:val="none" w:sz="0" w:space="0" w:color="auto"/>
                        <w:left w:val="none" w:sz="0" w:space="0" w:color="auto"/>
                        <w:bottom w:val="none" w:sz="0" w:space="0" w:color="auto"/>
                        <w:right w:val="none" w:sz="0" w:space="0" w:color="auto"/>
                      </w:divBdr>
                    </w:div>
                  </w:divsChild>
                </w:div>
                <w:div w:id="1380782367">
                  <w:marLeft w:val="0"/>
                  <w:marRight w:val="0"/>
                  <w:marTop w:val="0"/>
                  <w:marBottom w:val="0"/>
                  <w:divBdr>
                    <w:top w:val="none" w:sz="0" w:space="0" w:color="auto"/>
                    <w:left w:val="none" w:sz="0" w:space="0" w:color="auto"/>
                    <w:bottom w:val="none" w:sz="0" w:space="0" w:color="auto"/>
                    <w:right w:val="none" w:sz="0" w:space="0" w:color="auto"/>
                  </w:divBdr>
                  <w:divsChild>
                    <w:div w:id="1028334790">
                      <w:marLeft w:val="0"/>
                      <w:marRight w:val="0"/>
                      <w:marTop w:val="0"/>
                      <w:marBottom w:val="0"/>
                      <w:divBdr>
                        <w:top w:val="none" w:sz="0" w:space="0" w:color="auto"/>
                        <w:left w:val="none" w:sz="0" w:space="0" w:color="auto"/>
                        <w:bottom w:val="none" w:sz="0" w:space="0" w:color="auto"/>
                        <w:right w:val="none" w:sz="0" w:space="0" w:color="auto"/>
                      </w:divBdr>
                    </w:div>
                  </w:divsChild>
                </w:div>
                <w:div w:id="1387992670">
                  <w:marLeft w:val="0"/>
                  <w:marRight w:val="0"/>
                  <w:marTop w:val="0"/>
                  <w:marBottom w:val="0"/>
                  <w:divBdr>
                    <w:top w:val="none" w:sz="0" w:space="0" w:color="auto"/>
                    <w:left w:val="none" w:sz="0" w:space="0" w:color="auto"/>
                    <w:bottom w:val="none" w:sz="0" w:space="0" w:color="auto"/>
                    <w:right w:val="none" w:sz="0" w:space="0" w:color="auto"/>
                  </w:divBdr>
                  <w:divsChild>
                    <w:div w:id="445080432">
                      <w:marLeft w:val="0"/>
                      <w:marRight w:val="0"/>
                      <w:marTop w:val="0"/>
                      <w:marBottom w:val="0"/>
                      <w:divBdr>
                        <w:top w:val="none" w:sz="0" w:space="0" w:color="auto"/>
                        <w:left w:val="none" w:sz="0" w:space="0" w:color="auto"/>
                        <w:bottom w:val="none" w:sz="0" w:space="0" w:color="auto"/>
                        <w:right w:val="none" w:sz="0" w:space="0" w:color="auto"/>
                      </w:divBdr>
                    </w:div>
                  </w:divsChild>
                </w:div>
                <w:div w:id="1403218523">
                  <w:marLeft w:val="0"/>
                  <w:marRight w:val="0"/>
                  <w:marTop w:val="0"/>
                  <w:marBottom w:val="0"/>
                  <w:divBdr>
                    <w:top w:val="none" w:sz="0" w:space="0" w:color="auto"/>
                    <w:left w:val="none" w:sz="0" w:space="0" w:color="auto"/>
                    <w:bottom w:val="none" w:sz="0" w:space="0" w:color="auto"/>
                    <w:right w:val="none" w:sz="0" w:space="0" w:color="auto"/>
                  </w:divBdr>
                  <w:divsChild>
                    <w:div w:id="1054423963">
                      <w:marLeft w:val="0"/>
                      <w:marRight w:val="0"/>
                      <w:marTop w:val="0"/>
                      <w:marBottom w:val="0"/>
                      <w:divBdr>
                        <w:top w:val="none" w:sz="0" w:space="0" w:color="auto"/>
                        <w:left w:val="none" w:sz="0" w:space="0" w:color="auto"/>
                        <w:bottom w:val="none" w:sz="0" w:space="0" w:color="auto"/>
                        <w:right w:val="none" w:sz="0" w:space="0" w:color="auto"/>
                      </w:divBdr>
                    </w:div>
                  </w:divsChild>
                </w:div>
                <w:div w:id="1403481578">
                  <w:marLeft w:val="0"/>
                  <w:marRight w:val="0"/>
                  <w:marTop w:val="0"/>
                  <w:marBottom w:val="0"/>
                  <w:divBdr>
                    <w:top w:val="none" w:sz="0" w:space="0" w:color="auto"/>
                    <w:left w:val="none" w:sz="0" w:space="0" w:color="auto"/>
                    <w:bottom w:val="none" w:sz="0" w:space="0" w:color="auto"/>
                    <w:right w:val="none" w:sz="0" w:space="0" w:color="auto"/>
                  </w:divBdr>
                  <w:divsChild>
                    <w:div w:id="370737755">
                      <w:marLeft w:val="0"/>
                      <w:marRight w:val="0"/>
                      <w:marTop w:val="0"/>
                      <w:marBottom w:val="0"/>
                      <w:divBdr>
                        <w:top w:val="none" w:sz="0" w:space="0" w:color="auto"/>
                        <w:left w:val="none" w:sz="0" w:space="0" w:color="auto"/>
                        <w:bottom w:val="none" w:sz="0" w:space="0" w:color="auto"/>
                        <w:right w:val="none" w:sz="0" w:space="0" w:color="auto"/>
                      </w:divBdr>
                    </w:div>
                  </w:divsChild>
                </w:div>
                <w:div w:id="1406339727">
                  <w:marLeft w:val="0"/>
                  <w:marRight w:val="0"/>
                  <w:marTop w:val="0"/>
                  <w:marBottom w:val="0"/>
                  <w:divBdr>
                    <w:top w:val="none" w:sz="0" w:space="0" w:color="auto"/>
                    <w:left w:val="none" w:sz="0" w:space="0" w:color="auto"/>
                    <w:bottom w:val="none" w:sz="0" w:space="0" w:color="auto"/>
                    <w:right w:val="none" w:sz="0" w:space="0" w:color="auto"/>
                  </w:divBdr>
                  <w:divsChild>
                    <w:div w:id="887883902">
                      <w:marLeft w:val="0"/>
                      <w:marRight w:val="0"/>
                      <w:marTop w:val="0"/>
                      <w:marBottom w:val="0"/>
                      <w:divBdr>
                        <w:top w:val="none" w:sz="0" w:space="0" w:color="auto"/>
                        <w:left w:val="none" w:sz="0" w:space="0" w:color="auto"/>
                        <w:bottom w:val="none" w:sz="0" w:space="0" w:color="auto"/>
                        <w:right w:val="none" w:sz="0" w:space="0" w:color="auto"/>
                      </w:divBdr>
                    </w:div>
                  </w:divsChild>
                </w:div>
                <w:div w:id="1406995794">
                  <w:marLeft w:val="0"/>
                  <w:marRight w:val="0"/>
                  <w:marTop w:val="0"/>
                  <w:marBottom w:val="0"/>
                  <w:divBdr>
                    <w:top w:val="none" w:sz="0" w:space="0" w:color="auto"/>
                    <w:left w:val="none" w:sz="0" w:space="0" w:color="auto"/>
                    <w:bottom w:val="none" w:sz="0" w:space="0" w:color="auto"/>
                    <w:right w:val="none" w:sz="0" w:space="0" w:color="auto"/>
                  </w:divBdr>
                  <w:divsChild>
                    <w:div w:id="1139541265">
                      <w:marLeft w:val="0"/>
                      <w:marRight w:val="0"/>
                      <w:marTop w:val="0"/>
                      <w:marBottom w:val="0"/>
                      <w:divBdr>
                        <w:top w:val="none" w:sz="0" w:space="0" w:color="auto"/>
                        <w:left w:val="none" w:sz="0" w:space="0" w:color="auto"/>
                        <w:bottom w:val="none" w:sz="0" w:space="0" w:color="auto"/>
                        <w:right w:val="none" w:sz="0" w:space="0" w:color="auto"/>
                      </w:divBdr>
                    </w:div>
                  </w:divsChild>
                </w:div>
                <w:div w:id="1407267495">
                  <w:marLeft w:val="0"/>
                  <w:marRight w:val="0"/>
                  <w:marTop w:val="0"/>
                  <w:marBottom w:val="0"/>
                  <w:divBdr>
                    <w:top w:val="none" w:sz="0" w:space="0" w:color="auto"/>
                    <w:left w:val="none" w:sz="0" w:space="0" w:color="auto"/>
                    <w:bottom w:val="none" w:sz="0" w:space="0" w:color="auto"/>
                    <w:right w:val="none" w:sz="0" w:space="0" w:color="auto"/>
                  </w:divBdr>
                  <w:divsChild>
                    <w:div w:id="2088070747">
                      <w:marLeft w:val="0"/>
                      <w:marRight w:val="0"/>
                      <w:marTop w:val="0"/>
                      <w:marBottom w:val="0"/>
                      <w:divBdr>
                        <w:top w:val="none" w:sz="0" w:space="0" w:color="auto"/>
                        <w:left w:val="none" w:sz="0" w:space="0" w:color="auto"/>
                        <w:bottom w:val="none" w:sz="0" w:space="0" w:color="auto"/>
                        <w:right w:val="none" w:sz="0" w:space="0" w:color="auto"/>
                      </w:divBdr>
                    </w:div>
                  </w:divsChild>
                </w:div>
                <w:div w:id="1407729788">
                  <w:marLeft w:val="0"/>
                  <w:marRight w:val="0"/>
                  <w:marTop w:val="0"/>
                  <w:marBottom w:val="0"/>
                  <w:divBdr>
                    <w:top w:val="none" w:sz="0" w:space="0" w:color="auto"/>
                    <w:left w:val="none" w:sz="0" w:space="0" w:color="auto"/>
                    <w:bottom w:val="none" w:sz="0" w:space="0" w:color="auto"/>
                    <w:right w:val="none" w:sz="0" w:space="0" w:color="auto"/>
                  </w:divBdr>
                  <w:divsChild>
                    <w:div w:id="27685478">
                      <w:marLeft w:val="0"/>
                      <w:marRight w:val="0"/>
                      <w:marTop w:val="0"/>
                      <w:marBottom w:val="0"/>
                      <w:divBdr>
                        <w:top w:val="none" w:sz="0" w:space="0" w:color="auto"/>
                        <w:left w:val="none" w:sz="0" w:space="0" w:color="auto"/>
                        <w:bottom w:val="none" w:sz="0" w:space="0" w:color="auto"/>
                        <w:right w:val="none" w:sz="0" w:space="0" w:color="auto"/>
                      </w:divBdr>
                    </w:div>
                  </w:divsChild>
                </w:div>
                <w:div w:id="1416854982">
                  <w:marLeft w:val="0"/>
                  <w:marRight w:val="0"/>
                  <w:marTop w:val="0"/>
                  <w:marBottom w:val="0"/>
                  <w:divBdr>
                    <w:top w:val="none" w:sz="0" w:space="0" w:color="auto"/>
                    <w:left w:val="none" w:sz="0" w:space="0" w:color="auto"/>
                    <w:bottom w:val="none" w:sz="0" w:space="0" w:color="auto"/>
                    <w:right w:val="none" w:sz="0" w:space="0" w:color="auto"/>
                  </w:divBdr>
                  <w:divsChild>
                    <w:div w:id="1662351487">
                      <w:marLeft w:val="0"/>
                      <w:marRight w:val="0"/>
                      <w:marTop w:val="0"/>
                      <w:marBottom w:val="0"/>
                      <w:divBdr>
                        <w:top w:val="none" w:sz="0" w:space="0" w:color="auto"/>
                        <w:left w:val="none" w:sz="0" w:space="0" w:color="auto"/>
                        <w:bottom w:val="none" w:sz="0" w:space="0" w:color="auto"/>
                        <w:right w:val="none" w:sz="0" w:space="0" w:color="auto"/>
                      </w:divBdr>
                    </w:div>
                  </w:divsChild>
                </w:div>
                <w:div w:id="1427271034">
                  <w:marLeft w:val="0"/>
                  <w:marRight w:val="0"/>
                  <w:marTop w:val="0"/>
                  <w:marBottom w:val="0"/>
                  <w:divBdr>
                    <w:top w:val="none" w:sz="0" w:space="0" w:color="auto"/>
                    <w:left w:val="none" w:sz="0" w:space="0" w:color="auto"/>
                    <w:bottom w:val="none" w:sz="0" w:space="0" w:color="auto"/>
                    <w:right w:val="none" w:sz="0" w:space="0" w:color="auto"/>
                  </w:divBdr>
                  <w:divsChild>
                    <w:div w:id="836992164">
                      <w:marLeft w:val="0"/>
                      <w:marRight w:val="0"/>
                      <w:marTop w:val="0"/>
                      <w:marBottom w:val="0"/>
                      <w:divBdr>
                        <w:top w:val="none" w:sz="0" w:space="0" w:color="auto"/>
                        <w:left w:val="none" w:sz="0" w:space="0" w:color="auto"/>
                        <w:bottom w:val="none" w:sz="0" w:space="0" w:color="auto"/>
                        <w:right w:val="none" w:sz="0" w:space="0" w:color="auto"/>
                      </w:divBdr>
                    </w:div>
                  </w:divsChild>
                </w:div>
                <w:div w:id="1437022164">
                  <w:marLeft w:val="0"/>
                  <w:marRight w:val="0"/>
                  <w:marTop w:val="0"/>
                  <w:marBottom w:val="0"/>
                  <w:divBdr>
                    <w:top w:val="none" w:sz="0" w:space="0" w:color="auto"/>
                    <w:left w:val="none" w:sz="0" w:space="0" w:color="auto"/>
                    <w:bottom w:val="none" w:sz="0" w:space="0" w:color="auto"/>
                    <w:right w:val="none" w:sz="0" w:space="0" w:color="auto"/>
                  </w:divBdr>
                  <w:divsChild>
                    <w:div w:id="801001023">
                      <w:marLeft w:val="0"/>
                      <w:marRight w:val="0"/>
                      <w:marTop w:val="0"/>
                      <w:marBottom w:val="0"/>
                      <w:divBdr>
                        <w:top w:val="none" w:sz="0" w:space="0" w:color="auto"/>
                        <w:left w:val="none" w:sz="0" w:space="0" w:color="auto"/>
                        <w:bottom w:val="none" w:sz="0" w:space="0" w:color="auto"/>
                        <w:right w:val="none" w:sz="0" w:space="0" w:color="auto"/>
                      </w:divBdr>
                    </w:div>
                  </w:divsChild>
                </w:div>
                <w:div w:id="1438520728">
                  <w:marLeft w:val="0"/>
                  <w:marRight w:val="0"/>
                  <w:marTop w:val="0"/>
                  <w:marBottom w:val="0"/>
                  <w:divBdr>
                    <w:top w:val="none" w:sz="0" w:space="0" w:color="auto"/>
                    <w:left w:val="none" w:sz="0" w:space="0" w:color="auto"/>
                    <w:bottom w:val="none" w:sz="0" w:space="0" w:color="auto"/>
                    <w:right w:val="none" w:sz="0" w:space="0" w:color="auto"/>
                  </w:divBdr>
                  <w:divsChild>
                    <w:div w:id="2033609534">
                      <w:marLeft w:val="0"/>
                      <w:marRight w:val="0"/>
                      <w:marTop w:val="0"/>
                      <w:marBottom w:val="0"/>
                      <w:divBdr>
                        <w:top w:val="none" w:sz="0" w:space="0" w:color="auto"/>
                        <w:left w:val="none" w:sz="0" w:space="0" w:color="auto"/>
                        <w:bottom w:val="none" w:sz="0" w:space="0" w:color="auto"/>
                        <w:right w:val="none" w:sz="0" w:space="0" w:color="auto"/>
                      </w:divBdr>
                    </w:div>
                  </w:divsChild>
                </w:div>
                <w:div w:id="1442457757">
                  <w:marLeft w:val="0"/>
                  <w:marRight w:val="0"/>
                  <w:marTop w:val="0"/>
                  <w:marBottom w:val="0"/>
                  <w:divBdr>
                    <w:top w:val="none" w:sz="0" w:space="0" w:color="auto"/>
                    <w:left w:val="none" w:sz="0" w:space="0" w:color="auto"/>
                    <w:bottom w:val="none" w:sz="0" w:space="0" w:color="auto"/>
                    <w:right w:val="none" w:sz="0" w:space="0" w:color="auto"/>
                  </w:divBdr>
                  <w:divsChild>
                    <w:div w:id="292752447">
                      <w:marLeft w:val="0"/>
                      <w:marRight w:val="0"/>
                      <w:marTop w:val="0"/>
                      <w:marBottom w:val="0"/>
                      <w:divBdr>
                        <w:top w:val="none" w:sz="0" w:space="0" w:color="auto"/>
                        <w:left w:val="none" w:sz="0" w:space="0" w:color="auto"/>
                        <w:bottom w:val="none" w:sz="0" w:space="0" w:color="auto"/>
                        <w:right w:val="none" w:sz="0" w:space="0" w:color="auto"/>
                      </w:divBdr>
                    </w:div>
                  </w:divsChild>
                </w:div>
                <w:div w:id="1458065841">
                  <w:marLeft w:val="0"/>
                  <w:marRight w:val="0"/>
                  <w:marTop w:val="0"/>
                  <w:marBottom w:val="0"/>
                  <w:divBdr>
                    <w:top w:val="none" w:sz="0" w:space="0" w:color="auto"/>
                    <w:left w:val="none" w:sz="0" w:space="0" w:color="auto"/>
                    <w:bottom w:val="none" w:sz="0" w:space="0" w:color="auto"/>
                    <w:right w:val="none" w:sz="0" w:space="0" w:color="auto"/>
                  </w:divBdr>
                  <w:divsChild>
                    <w:div w:id="1516187193">
                      <w:marLeft w:val="0"/>
                      <w:marRight w:val="0"/>
                      <w:marTop w:val="0"/>
                      <w:marBottom w:val="0"/>
                      <w:divBdr>
                        <w:top w:val="none" w:sz="0" w:space="0" w:color="auto"/>
                        <w:left w:val="none" w:sz="0" w:space="0" w:color="auto"/>
                        <w:bottom w:val="none" w:sz="0" w:space="0" w:color="auto"/>
                        <w:right w:val="none" w:sz="0" w:space="0" w:color="auto"/>
                      </w:divBdr>
                    </w:div>
                  </w:divsChild>
                </w:div>
                <w:div w:id="1458182947">
                  <w:marLeft w:val="0"/>
                  <w:marRight w:val="0"/>
                  <w:marTop w:val="0"/>
                  <w:marBottom w:val="0"/>
                  <w:divBdr>
                    <w:top w:val="none" w:sz="0" w:space="0" w:color="auto"/>
                    <w:left w:val="none" w:sz="0" w:space="0" w:color="auto"/>
                    <w:bottom w:val="none" w:sz="0" w:space="0" w:color="auto"/>
                    <w:right w:val="none" w:sz="0" w:space="0" w:color="auto"/>
                  </w:divBdr>
                  <w:divsChild>
                    <w:div w:id="552697527">
                      <w:marLeft w:val="0"/>
                      <w:marRight w:val="0"/>
                      <w:marTop w:val="0"/>
                      <w:marBottom w:val="0"/>
                      <w:divBdr>
                        <w:top w:val="none" w:sz="0" w:space="0" w:color="auto"/>
                        <w:left w:val="none" w:sz="0" w:space="0" w:color="auto"/>
                        <w:bottom w:val="none" w:sz="0" w:space="0" w:color="auto"/>
                        <w:right w:val="none" w:sz="0" w:space="0" w:color="auto"/>
                      </w:divBdr>
                    </w:div>
                  </w:divsChild>
                </w:div>
                <w:div w:id="1462459883">
                  <w:marLeft w:val="0"/>
                  <w:marRight w:val="0"/>
                  <w:marTop w:val="0"/>
                  <w:marBottom w:val="0"/>
                  <w:divBdr>
                    <w:top w:val="none" w:sz="0" w:space="0" w:color="auto"/>
                    <w:left w:val="none" w:sz="0" w:space="0" w:color="auto"/>
                    <w:bottom w:val="none" w:sz="0" w:space="0" w:color="auto"/>
                    <w:right w:val="none" w:sz="0" w:space="0" w:color="auto"/>
                  </w:divBdr>
                  <w:divsChild>
                    <w:div w:id="288707325">
                      <w:marLeft w:val="0"/>
                      <w:marRight w:val="0"/>
                      <w:marTop w:val="0"/>
                      <w:marBottom w:val="0"/>
                      <w:divBdr>
                        <w:top w:val="none" w:sz="0" w:space="0" w:color="auto"/>
                        <w:left w:val="none" w:sz="0" w:space="0" w:color="auto"/>
                        <w:bottom w:val="none" w:sz="0" w:space="0" w:color="auto"/>
                        <w:right w:val="none" w:sz="0" w:space="0" w:color="auto"/>
                      </w:divBdr>
                    </w:div>
                  </w:divsChild>
                </w:div>
                <w:div w:id="1476753089">
                  <w:marLeft w:val="0"/>
                  <w:marRight w:val="0"/>
                  <w:marTop w:val="0"/>
                  <w:marBottom w:val="0"/>
                  <w:divBdr>
                    <w:top w:val="none" w:sz="0" w:space="0" w:color="auto"/>
                    <w:left w:val="none" w:sz="0" w:space="0" w:color="auto"/>
                    <w:bottom w:val="none" w:sz="0" w:space="0" w:color="auto"/>
                    <w:right w:val="none" w:sz="0" w:space="0" w:color="auto"/>
                  </w:divBdr>
                  <w:divsChild>
                    <w:div w:id="1029179825">
                      <w:marLeft w:val="0"/>
                      <w:marRight w:val="0"/>
                      <w:marTop w:val="0"/>
                      <w:marBottom w:val="0"/>
                      <w:divBdr>
                        <w:top w:val="none" w:sz="0" w:space="0" w:color="auto"/>
                        <w:left w:val="none" w:sz="0" w:space="0" w:color="auto"/>
                        <w:bottom w:val="none" w:sz="0" w:space="0" w:color="auto"/>
                        <w:right w:val="none" w:sz="0" w:space="0" w:color="auto"/>
                      </w:divBdr>
                    </w:div>
                  </w:divsChild>
                </w:div>
                <w:div w:id="1478305991">
                  <w:marLeft w:val="0"/>
                  <w:marRight w:val="0"/>
                  <w:marTop w:val="0"/>
                  <w:marBottom w:val="0"/>
                  <w:divBdr>
                    <w:top w:val="none" w:sz="0" w:space="0" w:color="auto"/>
                    <w:left w:val="none" w:sz="0" w:space="0" w:color="auto"/>
                    <w:bottom w:val="none" w:sz="0" w:space="0" w:color="auto"/>
                    <w:right w:val="none" w:sz="0" w:space="0" w:color="auto"/>
                  </w:divBdr>
                  <w:divsChild>
                    <w:div w:id="1242367839">
                      <w:marLeft w:val="0"/>
                      <w:marRight w:val="0"/>
                      <w:marTop w:val="0"/>
                      <w:marBottom w:val="0"/>
                      <w:divBdr>
                        <w:top w:val="none" w:sz="0" w:space="0" w:color="auto"/>
                        <w:left w:val="none" w:sz="0" w:space="0" w:color="auto"/>
                        <w:bottom w:val="none" w:sz="0" w:space="0" w:color="auto"/>
                        <w:right w:val="none" w:sz="0" w:space="0" w:color="auto"/>
                      </w:divBdr>
                    </w:div>
                  </w:divsChild>
                </w:div>
                <w:div w:id="1483035908">
                  <w:marLeft w:val="0"/>
                  <w:marRight w:val="0"/>
                  <w:marTop w:val="0"/>
                  <w:marBottom w:val="0"/>
                  <w:divBdr>
                    <w:top w:val="none" w:sz="0" w:space="0" w:color="auto"/>
                    <w:left w:val="none" w:sz="0" w:space="0" w:color="auto"/>
                    <w:bottom w:val="none" w:sz="0" w:space="0" w:color="auto"/>
                    <w:right w:val="none" w:sz="0" w:space="0" w:color="auto"/>
                  </w:divBdr>
                  <w:divsChild>
                    <w:div w:id="1793091236">
                      <w:marLeft w:val="0"/>
                      <w:marRight w:val="0"/>
                      <w:marTop w:val="0"/>
                      <w:marBottom w:val="0"/>
                      <w:divBdr>
                        <w:top w:val="none" w:sz="0" w:space="0" w:color="auto"/>
                        <w:left w:val="none" w:sz="0" w:space="0" w:color="auto"/>
                        <w:bottom w:val="none" w:sz="0" w:space="0" w:color="auto"/>
                        <w:right w:val="none" w:sz="0" w:space="0" w:color="auto"/>
                      </w:divBdr>
                    </w:div>
                  </w:divsChild>
                </w:div>
                <w:div w:id="1494756086">
                  <w:marLeft w:val="0"/>
                  <w:marRight w:val="0"/>
                  <w:marTop w:val="0"/>
                  <w:marBottom w:val="0"/>
                  <w:divBdr>
                    <w:top w:val="none" w:sz="0" w:space="0" w:color="auto"/>
                    <w:left w:val="none" w:sz="0" w:space="0" w:color="auto"/>
                    <w:bottom w:val="none" w:sz="0" w:space="0" w:color="auto"/>
                    <w:right w:val="none" w:sz="0" w:space="0" w:color="auto"/>
                  </w:divBdr>
                  <w:divsChild>
                    <w:div w:id="105318443">
                      <w:marLeft w:val="0"/>
                      <w:marRight w:val="0"/>
                      <w:marTop w:val="0"/>
                      <w:marBottom w:val="0"/>
                      <w:divBdr>
                        <w:top w:val="none" w:sz="0" w:space="0" w:color="auto"/>
                        <w:left w:val="none" w:sz="0" w:space="0" w:color="auto"/>
                        <w:bottom w:val="none" w:sz="0" w:space="0" w:color="auto"/>
                        <w:right w:val="none" w:sz="0" w:space="0" w:color="auto"/>
                      </w:divBdr>
                    </w:div>
                  </w:divsChild>
                </w:div>
                <w:div w:id="1496339502">
                  <w:marLeft w:val="0"/>
                  <w:marRight w:val="0"/>
                  <w:marTop w:val="0"/>
                  <w:marBottom w:val="0"/>
                  <w:divBdr>
                    <w:top w:val="none" w:sz="0" w:space="0" w:color="auto"/>
                    <w:left w:val="none" w:sz="0" w:space="0" w:color="auto"/>
                    <w:bottom w:val="none" w:sz="0" w:space="0" w:color="auto"/>
                    <w:right w:val="none" w:sz="0" w:space="0" w:color="auto"/>
                  </w:divBdr>
                  <w:divsChild>
                    <w:div w:id="242687711">
                      <w:marLeft w:val="0"/>
                      <w:marRight w:val="0"/>
                      <w:marTop w:val="0"/>
                      <w:marBottom w:val="0"/>
                      <w:divBdr>
                        <w:top w:val="none" w:sz="0" w:space="0" w:color="auto"/>
                        <w:left w:val="none" w:sz="0" w:space="0" w:color="auto"/>
                        <w:bottom w:val="none" w:sz="0" w:space="0" w:color="auto"/>
                        <w:right w:val="none" w:sz="0" w:space="0" w:color="auto"/>
                      </w:divBdr>
                    </w:div>
                  </w:divsChild>
                </w:div>
                <w:div w:id="1497501462">
                  <w:marLeft w:val="0"/>
                  <w:marRight w:val="0"/>
                  <w:marTop w:val="0"/>
                  <w:marBottom w:val="0"/>
                  <w:divBdr>
                    <w:top w:val="none" w:sz="0" w:space="0" w:color="auto"/>
                    <w:left w:val="none" w:sz="0" w:space="0" w:color="auto"/>
                    <w:bottom w:val="none" w:sz="0" w:space="0" w:color="auto"/>
                    <w:right w:val="none" w:sz="0" w:space="0" w:color="auto"/>
                  </w:divBdr>
                  <w:divsChild>
                    <w:div w:id="836306506">
                      <w:marLeft w:val="0"/>
                      <w:marRight w:val="0"/>
                      <w:marTop w:val="0"/>
                      <w:marBottom w:val="0"/>
                      <w:divBdr>
                        <w:top w:val="none" w:sz="0" w:space="0" w:color="auto"/>
                        <w:left w:val="none" w:sz="0" w:space="0" w:color="auto"/>
                        <w:bottom w:val="none" w:sz="0" w:space="0" w:color="auto"/>
                        <w:right w:val="none" w:sz="0" w:space="0" w:color="auto"/>
                      </w:divBdr>
                    </w:div>
                  </w:divsChild>
                </w:div>
                <w:div w:id="1511796108">
                  <w:marLeft w:val="0"/>
                  <w:marRight w:val="0"/>
                  <w:marTop w:val="0"/>
                  <w:marBottom w:val="0"/>
                  <w:divBdr>
                    <w:top w:val="none" w:sz="0" w:space="0" w:color="auto"/>
                    <w:left w:val="none" w:sz="0" w:space="0" w:color="auto"/>
                    <w:bottom w:val="none" w:sz="0" w:space="0" w:color="auto"/>
                    <w:right w:val="none" w:sz="0" w:space="0" w:color="auto"/>
                  </w:divBdr>
                  <w:divsChild>
                    <w:div w:id="1499927105">
                      <w:marLeft w:val="0"/>
                      <w:marRight w:val="0"/>
                      <w:marTop w:val="0"/>
                      <w:marBottom w:val="0"/>
                      <w:divBdr>
                        <w:top w:val="none" w:sz="0" w:space="0" w:color="auto"/>
                        <w:left w:val="none" w:sz="0" w:space="0" w:color="auto"/>
                        <w:bottom w:val="none" w:sz="0" w:space="0" w:color="auto"/>
                        <w:right w:val="none" w:sz="0" w:space="0" w:color="auto"/>
                      </w:divBdr>
                    </w:div>
                  </w:divsChild>
                </w:div>
                <w:div w:id="1514613990">
                  <w:marLeft w:val="0"/>
                  <w:marRight w:val="0"/>
                  <w:marTop w:val="0"/>
                  <w:marBottom w:val="0"/>
                  <w:divBdr>
                    <w:top w:val="none" w:sz="0" w:space="0" w:color="auto"/>
                    <w:left w:val="none" w:sz="0" w:space="0" w:color="auto"/>
                    <w:bottom w:val="none" w:sz="0" w:space="0" w:color="auto"/>
                    <w:right w:val="none" w:sz="0" w:space="0" w:color="auto"/>
                  </w:divBdr>
                  <w:divsChild>
                    <w:div w:id="823744851">
                      <w:marLeft w:val="0"/>
                      <w:marRight w:val="0"/>
                      <w:marTop w:val="0"/>
                      <w:marBottom w:val="0"/>
                      <w:divBdr>
                        <w:top w:val="none" w:sz="0" w:space="0" w:color="auto"/>
                        <w:left w:val="none" w:sz="0" w:space="0" w:color="auto"/>
                        <w:bottom w:val="none" w:sz="0" w:space="0" w:color="auto"/>
                        <w:right w:val="none" w:sz="0" w:space="0" w:color="auto"/>
                      </w:divBdr>
                    </w:div>
                  </w:divsChild>
                </w:div>
                <w:div w:id="1521434275">
                  <w:marLeft w:val="0"/>
                  <w:marRight w:val="0"/>
                  <w:marTop w:val="0"/>
                  <w:marBottom w:val="0"/>
                  <w:divBdr>
                    <w:top w:val="none" w:sz="0" w:space="0" w:color="auto"/>
                    <w:left w:val="none" w:sz="0" w:space="0" w:color="auto"/>
                    <w:bottom w:val="none" w:sz="0" w:space="0" w:color="auto"/>
                    <w:right w:val="none" w:sz="0" w:space="0" w:color="auto"/>
                  </w:divBdr>
                  <w:divsChild>
                    <w:div w:id="1322735067">
                      <w:marLeft w:val="0"/>
                      <w:marRight w:val="0"/>
                      <w:marTop w:val="0"/>
                      <w:marBottom w:val="0"/>
                      <w:divBdr>
                        <w:top w:val="none" w:sz="0" w:space="0" w:color="auto"/>
                        <w:left w:val="none" w:sz="0" w:space="0" w:color="auto"/>
                        <w:bottom w:val="none" w:sz="0" w:space="0" w:color="auto"/>
                        <w:right w:val="none" w:sz="0" w:space="0" w:color="auto"/>
                      </w:divBdr>
                    </w:div>
                  </w:divsChild>
                </w:div>
                <w:div w:id="1523595090">
                  <w:marLeft w:val="0"/>
                  <w:marRight w:val="0"/>
                  <w:marTop w:val="0"/>
                  <w:marBottom w:val="0"/>
                  <w:divBdr>
                    <w:top w:val="none" w:sz="0" w:space="0" w:color="auto"/>
                    <w:left w:val="none" w:sz="0" w:space="0" w:color="auto"/>
                    <w:bottom w:val="none" w:sz="0" w:space="0" w:color="auto"/>
                    <w:right w:val="none" w:sz="0" w:space="0" w:color="auto"/>
                  </w:divBdr>
                  <w:divsChild>
                    <w:div w:id="1552423353">
                      <w:marLeft w:val="0"/>
                      <w:marRight w:val="0"/>
                      <w:marTop w:val="0"/>
                      <w:marBottom w:val="0"/>
                      <w:divBdr>
                        <w:top w:val="none" w:sz="0" w:space="0" w:color="auto"/>
                        <w:left w:val="none" w:sz="0" w:space="0" w:color="auto"/>
                        <w:bottom w:val="none" w:sz="0" w:space="0" w:color="auto"/>
                        <w:right w:val="none" w:sz="0" w:space="0" w:color="auto"/>
                      </w:divBdr>
                    </w:div>
                  </w:divsChild>
                </w:div>
                <w:div w:id="1528248892">
                  <w:marLeft w:val="0"/>
                  <w:marRight w:val="0"/>
                  <w:marTop w:val="0"/>
                  <w:marBottom w:val="0"/>
                  <w:divBdr>
                    <w:top w:val="none" w:sz="0" w:space="0" w:color="auto"/>
                    <w:left w:val="none" w:sz="0" w:space="0" w:color="auto"/>
                    <w:bottom w:val="none" w:sz="0" w:space="0" w:color="auto"/>
                    <w:right w:val="none" w:sz="0" w:space="0" w:color="auto"/>
                  </w:divBdr>
                  <w:divsChild>
                    <w:div w:id="2013137539">
                      <w:marLeft w:val="0"/>
                      <w:marRight w:val="0"/>
                      <w:marTop w:val="0"/>
                      <w:marBottom w:val="0"/>
                      <w:divBdr>
                        <w:top w:val="none" w:sz="0" w:space="0" w:color="auto"/>
                        <w:left w:val="none" w:sz="0" w:space="0" w:color="auto"/>
                        <w:bottom w:val="none" w:sz="0" w:space="0" w:color="auto"/>
                        <w:right w:val="none" w:sz="0" w:space="0" w:color="auto"/>
                      </w:divBdr>
                    </w:div>
                  </w:divsChild>
                </w:div>
                <w:div w:id="1532449667">
                  <w:marLeft w:val="0"/>
                  <w:marRight w:val="0"/>
                  <w:marTop w:val="0"/>
                  <w:marBottom w:val="0"/>
                  <w:divBdr>
                    <w:top w:val="none" w:sz="0" w:space="0" w:color="auto"/>
                    <w:left w:val="none" w:sz="0" w:space="0" w:color="auto"/>
                    <w:bottom w:val="none" w:sz="0" w:space="0" w:color="auto"/>
                    <w:right w:val="none" w:sz="0" w:space="0" w:color="auto"/>
                  </w:divBdr>
                  <w:divsChild>
                    <w:div w:id="307396219">
                      <w:marLeft w:val="0"/>
                      <w:marRight w:val="0"/>
                      <w:marTop w:val="0"/>
                      <w:marBottom w:val="0"/>
                      <w:divBdr>
                        <w:top w:val="none" w:sz="0" w:space="0" w:color="auto"/>
                        <w:left w:val="none" w:sz="0" w:space="0" w:color="auto"/>
                        <w:bottom w:val="none" w:sz="0" w:space="0" w:color="auto"/>
                        <w:right w:val="none" w:sz="0" w:space="0" w:color="auto"/>
                      </w:divBdr>
                    </w:div>
                  </w:divsChild>
                </w:div>
                <w:div w:id="1533221860">
                  <w:marLeft w:val="0"/>
                  <w:marRight w:val="0"/>
                  <w:marTop w:val="0"/>
                  <w:marBottom w:val="0"/>
                  <w:divBdr>
                    <w:top w:val="none" w:sz="0" w:space="0" w:color="auto"/>
                    <w:left w:val="none" w:sz="0" w:space="0" w:color="auto"/>
                    <w:bottom w:val="none" w:sz="0" w:space="0" w:color="auto"/>
                    <w:right w:val="none" w:sz="0" w:space="0" w:color="auto"/>
                  </w:divBdr>
                  <w:divsChild>
                    <w:div w:id="950556393">
                      <w:marLeft w:val="0"/>
                      <w:marRight w:val="0"/>
                      <w:marTop w:val="0"/>
                      <w:marBottom w:val="0"/>
                      <w:divBdr>
                        <w:top w:val="none" w:sz="0" w:space="0" w:color="auto"/>
                        <w:left w:val="none" w:sz="0" w:space="0" w:color="auto"/>
                        <w:bottom w:val="none" w:sz="0" w:space="0" w:color="auto"/>
                        <w:right w:val="none" w:sz="0" w:space="0" w:color="auto"/>
                      </w:divBdr>
                    </w:div>
                  </w:divsChild>
                </w:div>
                <w:div w:id="1533224799">
                  <w:marLeft w:val="0"/>
                  <w:marRight w:val="0"/>
                  <w:marTop w:val="0"/>
                  <w:marBottom w:val="0"/>
                  <w:divBdr>
                    <w:top w:val="none" w:sz="0" w:space="0" w:color="auto"/>
                    <w:left w:val="none" w:sz="0" w:space="0" w:color="auto"/>
                    <w:bottom w:val="none" w:sz="0" w:space="0" w:color="auto"/>
                    <w:right w:val="none" w:sz="0" w:space="0" w:color="auto"/>
                  </w:divBdr>
                  <w:divsChild>
                    <w:div w:id="577666099">
                      <w:marLeft w:val="0"/>
                      <w:marRight w:val="0"/>
                      <w:marTop w:val="0"/>
                      <w:marBottom w:val="0"/>
                      <w:divBdr>
                        <w:top w:val="none" w:sz="0" w:space="0" w:color="auto"/>
                        <w:left w:val="none" w:sz="0" w:space="0" w:color="auto"/>
                        <w:bottom w:val="none" w:sz="0" w:space="0" w:color="auto"/>
                        <w:right w:val="none" w:sz="0" w:space="0" w:color="auto"/>
                      </w:divBdr>
                    </w:div>
                  </w:divsChild>
                </w:div>
                <w:div w:id="1538860031">
                  <w:marLeft w:val="0"/>
                  <w:marRight w:val="0"/>
                  <w:marTop w:val="0"/>
                  <w:marBottom w:val="0"/>
                  <w:divBdr>
                    <w:top w:val="none" w:sz="0" w:space="0" w:color="auto"/>
                    <w:left w:val="none" w:sz="0" w:space="0" w:color="auto"/>
                    <w:bottom w:val="none" w:sz="0" w:space="0" w:color="auto"/>
                    <w:right w:val="none" w:sz="0" w:space="0" w:color="auto"/>
                  </w:divBdr>
                  <w:divsChild>
                    <w:div w:id="1719665099">
                      <w:marLeft w:val="0"/>
                      <w:marRight w:val="0"/>
                      <w:marTop w:val="0"/>
                      <w:marBottom w:val="0"/>
                      <w:divBdr>
                        <w:top w:val="none" w:sz="0" w:space="0" w:color="auto"/>
                        <w:left w:val="none" w:sz="0" w:space="0" w:color="auto"/>
                        <w:bottom w:val="none" w:sz="0" w:space="0" w:color="auto"/>
                        <w:right w:val="none" w:sz="0" w:space="0" w:color="auto"/>
                      </w:divBdr>
                    </w:div>
                  </w:divsChild>
                </w:div>
                <w:div w:id="1542981114">
                  <w:marLeft w:val="0"/>
                  <w:marRight w:val="0"/>
                  <w:marTop w:val="0"/>
                  <w:marBottom w:val="0"/>
                  <w:divBdr>
                    <w:top w:val="none" w:sz="0" w:space="0" w:color="auto"/>
                    <w:left w:val="none" w:sz="0" w:space="0" w:color="auto"/>
                    <w:bottom w:val="none" w:sz="0" w:space="0" w:color="auto"/>
                    <w:right w:val="none" w:sz="0" w:space="0" w:color="auto"/>
                  </w:divBdr>
                  <w:divsChild>
                    <w:div w:id="1569729975">
                      <w:marLeft w:val="0"/>
                      <w:marRight w:val="0"/>
                      <w:marTop w:val="0"/>
                      <w:marBottom w:val="0"/>
                      <w:divBdr>
                        <w:top w:val="none" w:sz="0" w:space="0" w:color="auto"/>
                        <w:left w:val="none" w:sz="0" w:space="0" w:color="auto"/>
                        <w:bottom w:val="none" w:sz="0" w:space="0" w:color="auto"/>
                        <w:right w:val="none" w:sz="0" w:space="0" w:color="auto"/>
                      </w:divBdr>
                    </w:div>
                  </w:divsChild>
                </w:div>
                <w:div w:id="1543595962">
                  <w:marLeft w:val="0"/>
                  <w:marRight w:val="0"/>
                  <w:marTop w:val="0"/>
                  <w:marBottom w:val="0"/>
                  <w:divBdr>
                    <w:top w:val="none" w:sz="0" w:space="0" w:color="auto"/>
                    <w:left w:val="none" w:sz="0" w:space="0" w:color="auto"/>
                    <w:bottom w:val="none" w:sz="0" w:space="0" w:color="auto"/>
                    <w:right w:val="none" w:sz="0" w:space="0" w:color="auto"/>
                  </w:divBdr>
                  <w:divsChild>
                    <w:div w:id="101731653">
                      <w:marLeft w:val="0"/>
                      <w:marRight w:val="0"/>
                      <w:marTop w:val="0"/>
                      <w:marBottom w:val="0"/>
                      <w:divBdr>
                        <w:top w:val="none" w:sz="0" w:space="0" w:color="auto"/>
                        <w:left w:val="none" w:sz="0" w:space="0" w:color="auto"/>
                        <w:bottom w:val="none" w:sz="0" w:space="0" w:color="auto"/>
                        <w:right w:val="none" w:sz="0" w:space="0" w:color="auto"/>
                      </w:divBdr>
                    </w:div>
                  </w:divsChild>
                </w:div>
                <w:div w:id="1544365768">
                  <w:marLeft w:val="0"/>
                  <w:marRight w:val="0"/>
                  <w:marTop w:val="0"/>
                  <w:marBottom w:val="0"/>
                  <w:divBdr>
                    <w:top w:val="none" w:sz="0" w:space="0" w:color="auto"/>
                    <w:left w:val="none" w:sz="0" w:space="0" w:color="auto"/>
                    <w:bottom w:val="none" w:sz="0" w:space="0" w:color="auto"/>
                    <w:right w:val="none" w:sz="0" w:space="0" w:color="auto"/>
                  </w:divBdr>
                  <w:divsChild>
                    <w:div w:id="547229946">
                      <w:marLeft w:val="0"/>
                      <w:marRight w:val="0"/>
                      <w:marTop w:val="0"/>
                      <w:marBottom w:val="0"/>
                      <w:divBdr>
                        <w:top w:val="none" w:sz="0" w:space="0" w:color="auto"/>
                        <w:left w:val="none" w:sz="0" w:space="0" w:color="auto"/>
                        <w:bottom w:val="none" w:sz="0" w:space="0" w:color="auto"/>
                        <w:right w:val="none" w:sz="0" w:space="0" w:color="auto"/>
                      </w:divBdr>
                    </w:div>
                  </w:divsChild>
                </w:div>
                <w:div w:id="1556892191">
                  <w:marLeft w:val="0"/>
                  <w:marRight w:val="0"/>
                  <w:marTop w:val="0"/>
                  <w:marBottom w:val="0"/>
                  <w:divBdr>
                    <w:top w:val="none" w:sz="0" w:space="0" w:color="auto"/>
                    <w:left w:val="none" w:sz="0" w:space="0" w:color="auto"/>
                    <w:bottom w:val="none" w:sz="0" w:space="0" w:color="auto"/>
                    <w:right w:val="none" w:sz="0" w:space="0" w:color="auto"/>
                  </w:divBdr>
                  <w:divsChild>
                    <w:div w:id="1813667792">
                      <w:marLeft w:val="0"/>
                      <w:marRight w:val="0"/>
                      <w:marTop w:val="0"/>
                      <w:marBottom w:val="0"/>
                      <w:divBdr>
                        <w:top w:val="none" w:sz="0" w:space="0" w:color="auto"/>
                        <w:left w:val="none" w:sz="0" w:space="0" w:color="auto"/>
                        <w:bottom w:val="none" w:sz="0" w:space="0" w:color="auto"/>
                        <w:right w:val="none" w:sz="0" w:space="0" w:color="auto"/>
                      </w:divBdr>
                    </w:div>
                  </w:divsChild>
                </w:div>
                <w:div w:id="1565599390">
                  <w:marLeft w:val="0"/>
                  <w:marRight w:val="0"/>
                  <w:marTop w:val="0"/>
                  <w:marBottom w:val="0"/>
                  <w:divBdr>
                    <w:top w:val="none" w:sz="0" w:space="0" w:color="auto"/>
                    <w:left w:val="none" w:sz="0" w:space="0" w:color="auto"/>
                    <w:bottom w:val="none" w:sz="0" w:space="0" w:color="auto"/>
                    <w:right w:val="none" w:sz="0" w:space="0" w:color="auto"/>
                  </w:divBdr>
                  <w:divsChild>
                    <w:div w:id="1209027822">
                      <w:marLeft w:val="0"/>
                      <w:marRight w:val="0"/>
                      <w:marTop w:val="0"/>
                      <w:marBottom w:val="0"/>
                      <w:divBdr>
                        <w:top w:val="none" w:sz="0" w:space="0" w:color="auto"/>
                        <w:left w:val="none" w:sz="0" w:space="0" w:color="auto"/>
                        <w:bottom w:val="none" w:sz="0" w:space="0" w:color="auto"/>
                        <w:right w:val="none" w:sz="0" w:space="0" w:color="auto"/>
                      </w:divBdr>
                    </w:div>
                  </w:divsChild>
                </w:div>
                <w:div w:id="1575044253">
                  <w:marLeft w:val="0"/>
                  <w:marRight w:val="0"/>
                  <w:marTop w:val="0"/>
                  <w:marBottom w:val="0"/>
                  <w:divBdr>
                    <w:top w:val="none" w:sz="0" w:space="0" w:color="auto"/>
                    <w:left w:val="none" w:sz="0" w:space="0" w:color="auto"/>
                    <w:bottom w:val="none" w:sz="0" w:space="0" w:color="auto"/>
                    <w:right w:val="none" w:sz="0" w:space="0" w:color="auto"/>
                  </w:divBdr>
                  <w:divsChild>
                    <w:div w:id="1131900144">
                      <w:marLeft w:val="0"/>
                      <w:marRight w:val="0"/>
                      <w:marTop w:val="0"/>
                      <w:marBottom w:val="0"/>
                      <w:divBdr>
                        <w:top w:val="none" w:sz="0" w:space="0" w:color="auto"/>
                        <w:left w:val="none" w:sz="0" w:space="0" w:color="auto"/>
                        <w:bottom w:val="none" w:sz="0" w:space="0" w:color="auto"/>
                        <w:right w:val="none" w:sz="0" w:space="0" w:color="auto"/>
                      </w:divBdr>
                    </w:div>
                  </w:divsChild>
                </w:div>
                <w:div w:id="1575122137">
                  <w:marLeft w:val="0"/>
                  <w:marRight w:val="0"/>
                  <w:marTop w:val="0"/>
                  <w:marBottom w:val="0"/>
                  <w:divBdr>
                    <w:top w:val="none" w:sz="0" w:space="0" w:color="auto"/>
                    <w:left w:val="none" w:sz="0" w:space="0" w:color="auto"/>
                    <w:bottom w:val="none" w:sz="0" w:space="0" w:color="auto"/>
                    <w:right w:val="none" w:sz="0" w:space="0" w:color="auto"/>
                  </w:divBdr>
                  <w:divsChild>
                    <w:div w:id="526213913">
                      <w:marLeft w:val="0"/>
                      <w:marRight w:val="0"/>
                      <w:marTop w:val="0"/>
                      <w:marBottom w:val="0"/>
                      <w:divBdr>
                        <w:top w:val="none" w:sz="0" w:space="0" w:color="auto"/>
                        <w:left w:val="none" w:sz="0" w:space="0" w:color="auto"/>
                        <w:bottom w:val="none" w:sz="0" w:space="0" w:color="auto"/>
                        <w:right w:val="none" w:sz="0" w:space="0" w:color="auto"/>
                      </w:divBdr>
                    </w:div>
                  </w:divsChild>
                </w:div>
                <w:div w:id="1581790391">
                  <w:marLeft w:val="0"/>
                  <w:marRight w:val="0"/>
                  <w:marTop w:val="0"/>
                  <w:marBottom w:val="0"/>
                  <w:divBdr>
                    <w:top w:val="none" w:sz="0" w:space="0" w:color="auto"/>
                    <w:left w:val="none" w:sz="0" w:space="0" w:color="auto"/>
                    <w:bottom w:val="none" w:sz="0" w:space="0" w:color="auto"/>
                    <w:right w:val="none" w:sz="0" w:space="0" w:color="auto"/>
                  </w:divBdr>
                  <w:divsChild>
                    <w:div w:id="1723749988">
                      <w:marLeft w:val="0"/>
                      <w:marRight w:val="0"/>
                      <w:marTop w:val="0"/>
                      <w:marBottom w:val="0"/>
                      <w:divBdr>
                        <w:top w:val="none" w:sz="0" w:space="0" w:color="auto"/>
                        <w:left w:val="none" w:sz="0" w:space="0" w:color="auto"/>
                        <w:bottom w:val="none" w:sz="0" w:space="0" w:color="auto"/>
                        <w:right w:val="none" w:sz="0" w:space="0" w:color="auto"/>
                      </w:divBdr>
                    </w:div>
                  </w:divsChild>
                </w:div>
                <w:div w:id="1595478161">
                  <w:marLeft w:val="0"/>
                  <w:marRight w:val="0"/>
                  <w:marTop w:val="0"/>
                  <w:marBottom w:val="0"/>
                  <w:divBdr>
                    <w:top w:val="none" w:sz="0" w:space="0" w:color="auto"/>
                    <w:left w:val="none" w:sz="0" w:space="0" w:color="auto"/>
                    <w:bottom w:val="none" w:sz="0" w:space="0" w:color="auto"/>
                    <w:right w:val="none" w:sz="0" w:space="0" w:color="auto"/>
                  </w:divBdr>
                  <w:divsChild>
                    <w:div w:id="1272781675">
                      <w:marLeft w:val="0"/>
                      <w:marRight w:val="0"/>
                      <w:marTop w:val="0"/>
                      <w:marBottom w:val="0"/>
                      <w:divBdr>
                        <w:top w:val="none" w:sz="0" w:space="0" w:color="auto"/>
                        <w:left w:val="none" w:sz="0" w:space="0" w:color="auto"/>
                        <w:bottom w:val="none" w:sz="0" w:space="0" w:color="auto"/>
                        <w:right w:val="none" w:sz="0" w:space="0" w:color="auto"/>
                      </w:divBdr>
                    </w:div>
                  </w:divsChild>
                </w:div>
                <w:div w:id="1595628458">
                  <w:marLeft w:val="0"/>
                  <w:marRight w:val="0"/>
                  <w:marTop w:val="0"/>
                  <w:marBottom w:val="0"/>
                  <w:divBdr>
                    <w:top w:val="none" w:sz="0" w:space="0" w:color="auto"/>
                    <w:left w:val="none" w:sz="0" w:space="0" w:color="auto"/>
                    <w:bottom w:val="none" w:sz="0" w:space="0" w:color="auto"/>
                    <w:right w:val="none" w:sz="0" w:space="0" w:color="auto"/>
                  </w:divBdr>
                  <w:divsChild>
                    <w:div w:id="1761172552">
                      <w:marLeft w:val="0"/>
                      <w:marRight w:val="0"/>
                      <w:marTop w:val="0"/>
                      <w:marBottom w:val="0"/>
                      <w:divBdr>
                        <w:top w:val="none" w:sz="0" w:space="0" w:color="auto"/>
                        <w:left w:val="none" w:sz="0" w:space="0" w:color="auto"/>
                        <w:bottom w:val="none" w:sz="0" w:space="0" w:color="auto"/>
                        <w:right w:val="none" w:sz="0" w:space="0" w:color="auto"/>
                      </w:divBdr>
                    </w:div>
                  </w:divsChild>
                </w:div>
                <w:div w:id="1595820895">
                  <w:marLeft w:val="0"/>
                  <w:marRight w:val="0"/>
                  <w:marTop w:val="0"/>
                  <w:marBottom w:val="0"/>
                  <w:divBdr>
                    <w:top w:val="none" w:sz="0" w:space="0" w:color="auto"/>
                    <w:left w:val="none" w:sz="0" w:space="0" w:color="auto"/>
                    <w:bottom w:val="none" w:sz="0" w:space="0" w:color="auto"/>
                    <w:right w:val="none" w:sz="0" w:space="0" w:color="auto"/>
                  </w:divBdr>
                  <w:divsChild>
                    <w:div w:id="144511934">
                      <w:marLeft w:val="0"/>
                      <w:marRight w:val="0"/>
                      <w:marTop w:val="0"/>
                      <w:marBottom w:val="0"/>
                      <w:divBdr>
                        <w:top w:val="none" w:sz="0" w:space="0" w:color="auto"/>
                        <w:left w:val="none" w:sz="0" w:space="0" w:color="auto"/>
                        <w:bottom w:val="none" w:sz="0" w:space="0" w:color="auto"/>
                        <w:right w:val="none" w:sz="0" w:space="0" w:color="auto"/>
                      </w:divBdr>
                    </w:div>
                  </w:divsChild>
                </w:div>
                <w:div w:id="1597790057">
                  <w:marLeft w:val="0"/>
                  <w:marRight w:val="0"/>
                  <w:marTop w:val="0"/>
                  <w:marBottom w:val="0"/>
                  <w:divBdr>
                    <w:top w:val="none" w:sz="0" w:space="0" w:color="auto"/>
                    <w:left w:val="none" w:sz="0" w:space="0" w:color="auto"/>
                    <w:bottom w:val="none" w:sz="0" w:space="0" w:color="auto"/>
                    <w:right w:val="none" w:sz="0" w:space="0" w:color="auto"/>
                  </w:divBdr>
                  <w:divsChild>
                    <w:div w:id="1387097028">
                      <w:marLeft w:val="0"/>
                      <w:marRight w:val="0"/>
                      <w:marTop w:val="0"/>
                      <w:marBottom w:val="0"/>
                      <w:divBdr>
                        <w:top w:val="none" w:sz="0" w:space="0" w:color="auto"/>
                        <w:left w:val="none" w:sz="0" w:space="0" w:color="auto"/>
                        <w:bottom w:val="none" w:sz="0" w:space="0" w:color="auto"/>
                        <w:right w:val="none" w:sz="0" w:space="0" w:color="auto"/>
                      </w:divBdr>
                    </w:div>
                  </w:divsChild>
                </w:div>
                <w:div w:id="1599211636">
                  <w:marLeft w:val="0"/>
                  <w:marRight w:val="0"/>
                  <w:marTop w:val="0"/>
                  <w:marBottom w:val="0"/>
                  <w:divBdr>
                    <w:top w:val="none" w:sz="0" w:space="0" w:color="auto"/>
                    <w:left w:val="none" w:sz="0" w:space="0" w:color="auto"/>
                    <w:bottom w:val="none" w:sz="0" w:space="0" w:color="auto"/>
                    <w:right w:val="none" w:sz="0" w:space="0" w:color="auto"/>
                  </w:divBdr>
                  <w:divsChild>
                    <w:div w:id="1578050418">
                      <w:marLeft w:val="0"/>
                      <w:marRight w:val="0"/>
                      <w:marTop w:val="0"/>
                      <w:marBottom w:val="0"/>
                      <w:divBdr>
                        <w:top w:val="none" w:sz="0" w:space="0" w:color="auto"/>
                        <w:left w:val="none" w:sz="0" w:space="0" w:color="auto"/>
                        <w:bottom w:val="none" w:sz="0" w:space="0" w:color="auto"/>
                        <w:right w:val="none" w:sz="0" w:space="0" w:color="auto"/>
                      </w:divBdr>
                    </w:div>
                  </w:divsChild>
                </w:div>
                <w:div w:id="1603223594">
                  <w:marLeft w:val="0"/>
                  <w:marRight w:val="0"/>
                  <w:marTop w:val="0"/>
                  <w:marBottom w:val="0"/>
                  <w:divBdr>
                    <w:top w:val="none" w:sz="0" w:space="0" w:color="auto"/>
                    <w:left w:val="none" w:sz="0" w:space="0" w:color="auto"/>
                    <w:bottom w:val="none" w:sz="0" w:space="0" w:color="auto"/>
                    <w:right w:val="none" w:sz="0" w:space="0" w:color="auto"/>
                  </w:divBdr>
                  <w:divsChild>
                    <w:div w:id="650325605">
                      <w:marLeft w:val="0"/>
                      <w:marRight w:val="0"/>
                      <w:marTop w:val="0"/>
                      <w:marBottom w:val="0"/>
                      <w:divBdr>
                        <w:top w:val="none" w:sz="0" w:space="0" w:color="auto"/>
                        <w:left w:val="none" w:sz="0" w:space="0" w:color="auto"/>
                        <w:bottom w:val="none" w:sz="0" w:space="0" w:color="auto"/>
                        <w:right w:val="none" w:sz="0" w:space="0" w:color="auto"/>
                      </w:divBdr>
                    </w:div>
                  </w:divsChild>
                </w:div>
                <w:div w:id="1613515181">
                  <w:marLeft w:val="0"/>
                  <w:marRight w:val="0"/>
                  <w:marTop w:val="0"/>
                  <w:marBottom w:val="0"/>
                  <w:divBdr>
                    <w:top w:val="none" w:sz="0" w:space="0" w:color="auto"/>
                    <w:left w:val="none" w:sz="0" w:space="0" w:color="auto"/>
                    <w:bottom w:val="none" w:sz="0" w:space="0" w:color="auto"/>
                    <w:right w:val="none" w:sz="0" w:space="0" w:color="auto"/>
                  </w:divBdr>
                  <w:divsChild>
                    <w:div w:id="737092563">
                      <w:marLeft w:val="0"/>
                      <w:marRight w:val="0"/>
                      <w:marTop w:val="0"/>
                      <w:marBottom w:val="0"/>
                      <w:divBdr>
                        <w:top w:val="none" w:sz="0" w:space="0" w:color="auto"/>
                        <w:left w:val="none" w:sz="0" w:space="0" w:color="auto"/>
                        <w:bottom w:val="none" w:sz="0" w:space="0" w:color="auto"/>
                        <w:right w:val="none" w:sz="0" w:space="0" w:color="auto"/>
                      </w:divBdr>
                    </w:div>
                  </w:divsChild>
                </w:div>
                <w:div w:id="1615360132">
                  <w:marLeft w:val="0"/>
                  <w:marRight w:val="0"/>
                  <w:marTop w:val="0"/>
                  <w:marBottom w:val="0"/>
                  <w:divBdr>
                    <w:top w:val="none" w:sz="0" w:space="0" w:color="auto"/>
                    <w:left w:val="none" w:sz="0" w:space="0" w:color="auto"/>
                    <w:bottom w:val="none" w:sz="0" w:space="0" w:color="auto"/>
                    <w:right w:val="none" w:sz="0" w:space="0" w:color="auto"/>
                  </w:divBdr>
                  <w:divsChild>
                    <w:div w:id="205914174">
                      <w:marLeft w:val="0"/>
                      <w:marRight w:val="0"/>
                      <w:marTop w:val="0"/>
                      <w:marBottom w:val="0"/>
                      <w:divBdr>
                        <w:top w:val="none" w:sz="0" w:space="0" w:color="auto"/>
                        <w:left w:val="none" w:sz="0" w:space="0" w:color="auto"/>
                        <w:bottom w:val="none" w:sz="0" w:space="0" w:color="auto"/>
                        <w:right w:val="none" w:sz="0" w:space="0" w:color="auto"/>
                      </w:divBdr>
                    </w:div>
                  </w:divsChild>
                </w:div>
                <w:div w:id="1618947156">
                  <w:marLeft w:val="0"/>
                  <w:marRight w:val="0"/>
                  <w:marTop w:val="0"/>
                  <w:marBottom w:val="0"/>
                  <w:divBdr>
                    <w:top w:val="none" w:sz="0" w:space="0" w:color="auto"/>
                    <w:left w:val="none" w:sz="0" w:space="0" w:color="auto"/>
                    <w:bottom w:val="none" w:sz="0" w:space="0" w:color="auto"/>
                    <w:right w:val="none" w:sz="0" w:space="0" w:color="auto"/>
                  </w:divBdr>
                  <w:divsChild>
                    <w:div w:id="1058943182">
                      <w:marLeft w:val="0"/>
                      <w:marRight w:val="0"/>
                      <w:marTop w:val="0"/>
                      <w:marBottom w:val="0"/>
                      <w:divBdr>
                        <w:top w:val="none" w:sz="0" w:space="0" w:color="auto"/>
                        <w:left w:val="none" w:sz="0" w:space="0" w:color="auto"/>
                        <w:bottom w:val="none" w:sz="0" w:space="0" w:color="auto"/>
                        <w:right w:val="none" w:sz="0" w:space="0" w:color="auto"/>
                      </w:divBdr>
                    </w:div>
                  </w:divsChild>
                </w:div>
                <w:div w:id="1639720581">
                  <w:marLeft w:val="0"/>
                  <w:marRight w:val="0"/>
                  <w:marTop w:val="0"/>
                  <w:marBottom w:val="0"/>
                  <w:divBdr>
                    <w:top w:val="none" w:sz="0" w:space="0" w:color="auto"/>
                    <w:left w:val="none" w:sz="0" w:space="0" w:color="auto"/>
                    <w:bottom w:val="none" w:sz="0" w:space="0" w:color="auto"/>
                    <w:right w:val="none" w:sz="0" w:space="0" w:color="auto"/>
                  </w:divBdr>
                  <w:divsChild>
                    <w:div w:id="1437559151">
                      <w:marLeft w:val="0"/>
                      <w:marRight w:val="0"/>
                      <w:marTop w:val="0"/>
                      <w:marBottom w:val="0"/>
                      <w:divBdr>
                        <w:top w:val="none" w:sz="0" w:space="0" w:color="auto"/>
                        <w:left w:val="none" w:sz="0" w:space="0" w:color="auto"/>
                        <w:bottom w:val="none" w:sz="0" w:space="0" w:color="auto"/>
                        <w:right w:val="none" w:sz="0" w:space="0" w:color="auto"/>
                      </w:divBdr>
                    </w:div>
                  </w:divsChild>
                </w:div>
                <w:div w:id="1642076511">
                  <w:marLeft w:val="0"/>
                  <w:marRight w:val="0"/>
                  <w:marTop w:val="0"/>
                  <w:marBottom w:val="0"/>
                  <w:divBdr>
                    <w:top w:val="none" w:sz="0" w:space="0" w:color="auto"/>
                    <w:left w:val="none" w:sz="0" w:space="0" w:color="auto"/>
                    <w:bottom w:val="none" w:sz="0" w:space="0" w:color="auto"/>
                    <w:right w:val="none" w:sz="0" w:space="0" w:color="auto"/>
                  </w:divBdr>
                  <w:divsChild>
                    <w:div w:id="404301699">
                      <w:marLeft w:val="0"/>
                      <w:marRight w:val="0"/>
                      <w:marTop w:val="0"/>
                      <w:marBottom w:val="0"/>
                      <w:divBdr>
                        <w:top w:val="none" w:sz="0" w:space="0" w:color="auto"/>
                        <w:left w:val="none" w:sz="0" w:space="0" w:color="auto"/>
                        <w:bottom w:val="none" w:sz="0" w:space="0" w:color="auto"/>
                        <w:right w:val="none" w:sz="0" w:space="0" w:color="auto"/>
                      </w:divBdr>
                    </w:div>
                  </w:divsChild>
                </w:div>
                <w:div w:id="1646004769">
                  <w:marLeft w:val="0"/>
                  <w:marRight w:val="0"/>
                  <w:marTop w:val="0"/>
                  <w:marBottom w:val="0"/>
                  <w:divBdr>
                    <w:top w:val="none" w:sz="0" w:space="0" w:color="auto"/>
                    <w:left w:val="none" w:sz="0" w:space="0" w:color="auto"/>
                    <w:bottom w:val="none" w:sz="0" w:space="0" w:color="auto"/>
                    <w:right w:val="none" w:sz="0" w:space="0" w:color="auto"/>
                  </w:divBdr>
                  <w:divsChild>
                    <w:div w:id="1234704331">
                      <w:marLeft w:val="0"/>
                      <w:marRight w:val="0"/>
                      <w:marTop w:val="0"/>
                      <w:marBottom w:val="0"/>
                      <w:divBdr>
                        <w:top w:val="none" w:sz="0" w:space="0" w:color="auto"/>
                        <w:left w:val="none" w:sz="0" w:space="0" w:color="auto"/>
                        <w:bottom w:val="none" w:sz="0" w:space="0" w:color="auto"/>
                        <w:right w:val="none" w:sz="0" w:space="0" w:color="auto"/>
                      </w:divBdr>
                    </w:div>
                  </w:divsChild>
                </w:div>
                <w:div w:id="1651640079">
                  <w:marLeft w:val="0"/>
                  <w:marRight w:val="0"/>
                  <w:marTop w:val="0"/>
                  <w:marBottom w:val="0"/>
                  <w:divBdr>
                    <w:top w:val="none" w:sz="0" w:space="0" w:color="auto"/>
                    <w:left w:val="none" w:sz="0" w:space="0" w:color="auto"/>
                    <w:bottom w:val="none" w:sz="0" w:space="0" w:color="auto"/>
                    <w:right w:val="none" w:sz="0" w:space="0" w:color="auto"/>
                  </w:divBdr>
                  <w:divsChild>
                    <w:div w:id="1317614588">
                      <w:marLeft w:val="0"/>
                      <w:marRight w:val="0"/>
                      <w:marTop w:val="0"/>
                      <w:marBottom w:val="0"/>
                      <w:divBdr>
                        <w:top w:val="none" w:sz="0" w:space="0" w:color="auto"/>
                        <w:left w:val="none" w:sz="0" w:space="0" w:color="auto"/>
                        <w:bottom w:val="none" w:sz="0" w:space="0" w:color="auto"/>
                        <w:right w:val="none" w:sz="0" w:space="0" w:color="auto"/>
                      </w:divBdr>
                    </w:div>
                  </w:divsChild>
                </w:div>
                <w:div w:id="1654869534">
                  <w:marLeft w:val="0"/>
                  <w:marRight w:val="0"/>
                  <w:marTop w:val="0"/>
                  <w:marBottom w:val="0"/>
                  <w:divBdr>
                    <w:top w:val="none" w:sz="0" w:space="0" w:color="auto"/>
                    <w:left w:val="none" w:sz="0" w:space="0" w:color="auto"/>
                    <w:bottom w:val="none" w:sz="0" w:space="0" w:color="auto"/>
                    <w:right w:val="none" w:sz="0" w:space="0" w:color="auto"/>
                  </w:divBdr>
                  <w:divsChild>
                    <w:div w:id="1069962959">
                      <w:marLeft w:val="0"/>
                      <w:marRight w:val="0"/>
                      <w:marTop w:val="0"/>
                      <w:marBottom w:val="0"/>
                      <w:divBdr>
                        <w:top w:val="none" w:sz="0" w:space="0" w:color="auto"/>
                        <w:left w:val="none" w:sz="0" w:space="0" w:color="auto"/>
                        <w:bottom w:val="none" w:sz="0" w:space="0" w:color="auto"/>
                        <w:right w:val="none" w:sz="0" w:space="0" w:color="auto"/>
                      </w:divBdr>
                    </w:div>
                  </w:divsChild>
                </w:div>
                <w:div w:id="1688024382">
                  <w:marLeft w:val="0"/>
                  <w:marRight w:val="0"/>
                  <w:marTop w:val="0"/>
                  <w:marBottom w:val="0"/>
                  <w:divBdr>
                    <w:top w:val="none" w:sz="0" w:space="0" w:color="auto"/>
                    <w:left w:val="none" w:sz="0" w:space="0" w:color="auto"/>
                    <w:bottom w:val="none" w:sz="0" w:space="0" w:color="auto"/>
                    <w:right w:val="none" w:sz="0" w:space="0" w:color="auto"/>
                  </w:divBdr>
                  <w:divsChild>
                    <w:div w:id="1454061221">
                      <w:marLeft w:val="0"/>
                      <w:marRight w:val="0"/>
                      <w:marTop w:val="0"/>
                      <w:marBottom w:val="0"/>
                      <w:divBdr>
                        <w:top w:val="none" w:sz="0" w:space="0" w:color="auto"/>
                        <w:left w:val="none" w:sz="0" w:space="0" w:color="auto"/>
                        <w:bottom w:val="none" w:sz="0" w:space="0" w:color="auto"/>
                        <w:right w:val="none" w:sz="0" w:space="0" w:color="auto"/>
                      </w:divBdr>
                    </w:div>
                  </w:divsChild>
                </w:div>
                <w:div w:id="1688755819">
                  <w:marLeft w:val="0"/>
                  <w:marRight w:val="0"/>
                  <w:marTop w:val="0"/>
                  <w:marBottom w:val="0"/>
                  <w:divBdr>
                    <w:top w:val="none" w:sz="0" w:space="0" w:color="auto"/>
                    <w:left w:val="none" w:sz="0" w:space="0" w:color="auto"/>
                    <w:bottom w:val="none" w:sz="0" w:space="0" w:color="auto"/>
                    <w:right w:val="none" w:sz="0" w:space="0" w:color="auto"/>
                  </w:divBdr>
                  <w:divsChild>
                    <w:div w:id="1818573884">
                      <w:marLeft w:val="0"/>
                      <w:marRight w:val="0"/>
                      <w:marTop w:val="0"/>
                      <w:marBottom w:val="0"/>
                      <w:divBdr>
                        <w:top w:val="none" w:sz="0" w:space="0" w:color="auto"/>
                        <w:left w:val="none" w:sz="0" w:space="0" w:color="auto"/>
                        <w:bottom w:val="none" w:sz="0" w:space="0" w:color="auto"/>
                        <w:right w:val="none" w:sz="0" w:space="0" w:color="auto"/>
                      </w:divBdr>
                    </w:div>
                  </w:divsChild>
                </w:div>
                <w:div w:id="1696805792">
                  <w:marLeft w:val="0"/>
                  <w:marRight w:val="0"/>
                  <w:marTop w:val="0"/>
                  <w:marBottom w:val="0"/>
                  <w:divBdr>
                    <w:top w:val="none" w:sz="0" w:space="0" w:color="auto"/>
                    <w:left w:val="none" w:sz="0" w:space="0" w:color="auto"/>
                    <w:bottom w:val="none" w:sz="0" w:space="0" w:color="auto"/>
                    <w:right w:val="none" w:sz="0" w:space="0" w:color="auto"/>
                  </w:divBdr>
                  <w:divsChild>
                    <w:div w:id="700980065">
                      <w:marLeft w:val="0"/>
                      <w:marRight w:val="0"/>
                      <w:marTop w:val="0"/>
                      <w:marBottom w:val="0"/>
                      <w:divBdr>
                        <w:top w:val="none" w:sz="0" w:space="0" w:color="auto"/>
                        <w:left w:val="none" w:sz="0" w:space="0" w:color="auto"/>
                        <w:bottom w:val="none" w:sz="0" w:space="0" w:color="auto"/>
                        <w:right w:val="none" w:sz="0" w:space="0" w:color="auto"/>
                      </w:divBdr>
                    </w:div>
                  </w:divsChild>
                </w:div>
                <w:div w:id="1703432391">
                  <w:marLeft w:val="0"/>
                  <w:marRight w:val="0"/>
                  <w:marTop w:val="0"/>
                  <w:marBottom w:val="0"/>
                  <w:divBdr>
                    <w:top w:val="none" w:sz="0" w:space="0" w:color="auto"/>
                    <w:left w:val="none" w:sz="0" w:space="0" w:color="auto"/>
                    <w:bottom w:val="none" w:sz="0" w:space="0" w:color="auto"/>
                    <w:right w:val="none" w:sz="0" w:space="0" w:color="auto"/>
                  </w:divBdr>
                  <w:divsChild>
                    <w:div w:id="493882638">
                      <w:marLeft w:val="0"/>
                      <w:marRight w:val="0"/>
                      <w:marTop w:val="0"/>
                      <w:marBottom w:val="0"/>
                      <w:divBdr>
                        <w:top w:val="none" w:sz="0" w:space="0" w:color="auto"/>
                        <w:left w:val="none" w:sz="0" w:space="0" w:color="auto"/>
                        <w:bottom w:val="none" w:sz="0" w:space="0" w:color="auto"/>
                        <w:right w:val="none" w:sz="0" w:space="0" w:color="auto"/>
                      </w:divBdr>
                    </w:div>
                  </w:divsChild>
                </w:div>
                <w:div w:id="1704405876">
                  <w:marLeft w:val="0"/>
                  <w:marRight w:val="0"/>
                  <w:marTop w:val="0"/>
                  <w:marBottom w:val="0"/>
                  <w:divBdr>
                    <w:top w:val="none" w:sz="0" w:space="0" w:color="auto"/>
                    <w:left w:val="none" w:sz="0" w:space="0" w:color="auto"/>
                    <w:bottom w:val="none" w:sz="0" w:space="0" w:color="auto"/>
                    <w:right w:val="none" w:sz="0" w:space="0" w:color="auto"/>
                  </w:divBdr>
                  <w:divsChild>
                    <w:div w:id="1533610568">
                      <w:marLeft w:val="0"/>
                      <w:marRight w:val="0"/>
                      <w:marTop w:val="0"/>
                      <w:marBottom w:val="0"/>
                      <w:divBdr>
                        <w:top w:val="none" w:sz="0" w:space="0" w:color="auto"/>
                        <w:left w:val="none" w:sz="0" w:space="0" w:color="auto"/>
                        <w:bottom w:val="none" w:sz="0" w:space="0" w:color="auto"/>
                        <w:right w:val="none" w:sz="0" w:space="0" w:color="auto"/>
                      </w:divBdr>
                    </w:div>
                  </w:divsChild>
                </w:div>
                <w:div w:id="1707682331">
                  <w:marLeft w:val="0"/>
                  <w:marRight w:val="0"/>
                  <w:marTop w:val="0"/>
                  <w:marBottom w:val="0"/>
                  <w:divBdr>
                    <w:top w:val="none" w:sz="0" w:space="0" w:color="auto"/>
                    <w:left w:val="none" w:sz="0" w:space="0" w:color="auto"/>
                    <w:bottom w:val="none" w:sz="0" w:space="0" w:color="auto"/>
                    <w:right w:val="none" w:sz="0" w:space="0" w:color="auto"/>
                  </w:divBdr>
                  <w:divsChild>
                    <w:div w:id="111949580">
                      <w:marLeft w:val="0"/>
                      <w:marRight w:val="0"/>
                      <w:marTop w:val="0"/>
                      <w:marBottom w:val="0"/>
                      <w:divBdr>
                        <w:top w:val="none" w:sz="0" w:space="0" w:color="auto"/>
                        <w:left w:val="none" w:sz="0" w:space="0" w:color="auto"/>
                        <w:bottom w:val="none" w:sz="0" w:space="0" w:color="auto"/>
                        <w:right w:val="none" w:sz="0" w:space="0" w:color="auto"/>
                      </w:divBdr>
                    </w:div>
                  </w:divsChild>
                </w:div>
                <w:div w:id="1708217862">
                  <w:marLeft w:val="0"/>
                  <w:marRight w:val="0"/>
                  <w:marTop w:val="0"/>
                  <w:marBottom w:val="0"/>
                  <w:divBdr>
                    <w:top w:val="none" w:sz="0" w:space="0" w:color="auto"/>
                    <w:left w:val="none" w:sz="0" w:space="0" w:color="auto"/>
                    <w:bottom w:val="none" w:sz="0" w:space="0" w:color="auto"/>
                    <w:right w:val="none" w:sz="0" w:space="0" w:color="auto"/>
                  </w:divBdr>
                  <w:divsChild>
                    <w:div w:id="2059354029">
                      <w:marLeft w:val="0"/>
                      <w:marRight w:val="0"/>
                      <w:marTop w:val="0"/>
                      <w:marBottom w:val="0"/>
                      <w:divBdr>
                        <w:top w:val="none" w:sz="0" w:space="0" w:color="auto"/>
                        <w:left w:val="none" w:sz="0" w:space="0" w:color="auto"/>
                        <w:bottom w:val="none" w:sz="0" w:space="0" w:color="auto"/>
                        <w:right w:val="none" w:sz="0" w:space="0" w:color="auto"/>
                      </w:divBdr>
                    </w:div>
                  </w:divsChild>
                </w:div>
                <w:div w:id="1708992814">
                  <w:marLeft w:val="0"/>
                  <w:marRight w:val="0"/>
                  <w:marTop w:val="0"/>
                  <w:marBottom w:val="0"/>
                  <w:divBdr>
                    <w:top w:val="none" w:sz="0" w:space="0" w:color="auto"/>
                    <w:left w:val="none" w:sz="0" w:space="0" w:color="auto"/>
                    <w:bottom w:val="none" w:sz="0" w:space="0" w:color="auto"/>
                    <w:right w:val="none" w:sz="0" w:space="0" w:color="auto"/>
                  </w:divBdr>
                  <w:divsChild>
                    <w:div w:id="1519663975">
                      <w:marLeft w:val="0"/>
                      <w:marRight w:val="0"/>
                      <w:marTop w:val="0"/>
                      <w:marBottom w:val="0"/>
                      <w:divBdr>
                        <w:top w:val="none" w:sz="0" w:space="0" w:color="auto"/>
                        <w:left w:val="none" w:sz="0" w:space="0" w:color="auto"/>
                        <w:bottom w:val="none" w:sz="0" w:space="0" w:color="auto"/>
                        <w:right w:val="none" w:sz="0" w:space="0" w:color="auto"/>
                      </w:divBdr>
                    </w:div>
                  </w:divsChild>
                </w:div>
                <w:div w:id="1718508562">
                  <w:marLeft w:val="0"/>
                  <w:marRight w:val="0"/>
                  <w:marTop w:val="0"/>
                  <w:marBottom w:val="0"/>
                  <w:divBdr>
                    <w:top w:val="none" w:sz="0" w:space="0" w:color="auto"/>
                    <w:left w:val="none" w:sz="0" w:space="0" w:color="auto"/>
                    <w:bottom w:val="none" w:sz="0" w:space="0" w:color="auto"/>
                    <w:right w:val="none" w:sz="0" w:space="0" w:color="auto"/>
                  </w:divBdr>
                  <w:divsChild>
                    <w:div w:id="1235775308">
                      <w:marLeft w:val="0"/>
                      <w:marRight w:val="0"/>
                      <w:marTop w:val="0"/>
                      <w:marBottom w:val="0"/>
                      <w:divBdr>
                        <w:top w:val="none" w:sz="0" w:space="0" w:color="auto"/>
                        <w:left w:val="none" w:sz="0" w:space="0" w:color="auto"/>
                        <w:bottom w:val="none" w:sz="0" w:space="0" w:color="auto"/>
                        <w:right w:val="none" w:sz="0" w:space="0" w:color="auto"/>
                      </w:divBdr>
                    </w:div>
                  </w:divsChild>
                </w:div>
                <w:div w:id="1726833031">
                  <w:marLeft w:val="0"/>
                  <w:marRight w:val="0"/>
                  <w:marTop w:val="0"/>
                  <w:marBottom w:val="0"/>
                  <w:divBdr>
                    <w:top w:val="none" w:sz="0" w:space="0" w:color="auto"/>
                    <w:left w:val="none" w:sz="0" w:space="0" w:color="auto"/>
                    <w:bottom w:val="none" w:sz="0" w:space="0" w:color="auto"/>
                    <w:right w:val="none" w:sz="0" w:space="0" w:color="auto"/>
                  </w:divBdr>
                  <w:divsChild>
                    <w:div w:id="278533060">
                      <w:marLeft w:val="0"/>
                      <w:marRight w:val="0"/>
                      <w:marTop w:val="0"/>
                      <w:marBottom w:val="0"/>
                      <w:divBdr>
                        <w:top w:val="none" w:sz="0" w:space="0" w:color="auto"/>
                        <w:left w:val="none" w:sz="0" w:space="0" w:color="auto"/>
                        <w:bottom w:val="none" w:sz="0" w:space="0" w:color="auto"/>
                        <w:right w:val="none" w:sz="0" w:space="0" w:color="auto"/>
                      </w:divBdr>
                    </w:div>
                  </w:divsChild>
                </w:div>
                <w:div w:id="1727025765">
                  <w:marLeft w:val="0"/>
                  <w:marRight w:val="0"/>
                  <w:marTop w:val="0"/>
                  <w:marBottom w:val="0"/>
                  <w:divBdr>
                    <w:top w:val="none" w:sz="0" w:space="0" w:color="auto"/>
                    <w:left w:val="none" w:sz="0" w:space="0" w:color="auto"/>
                    <w:bottom w:val="none" w:sz="0" w:space="0" w:color="auto"/>
                    <w:right w:val="none" w:sz="0" w:space="0" w:color="auto"/>
                  </w:divBdr>
                  <w:divsChild>
                    <w:div w:id="565575936">
                      <w:marLeft w:val="0"/>
                      <w:marRight w:val="0"/>
                      <w:marTop w:val="0"/>
                      <w:marBottom w:val="0"/>
                      <w:divBdr>
                        <w:top w:val="none" w:sz="0" w:space="0" w:color="auto"/>
                        <w:left w:val="none" w:sz="0" w:space="0" w:color="auto"/>
                        <w:bottom w:val="none" w:sz="0" w:space="0" w:color="auto"/>
                        <w:right w:val="none" w:sz="0" w:space="0" w:color="auto"/>
                      </w:divBdr>
                    </w:div>
                  </w:divsChild>
                </w:div>
                <w:div w:id="1732381325">
                  <w:marLeft w:val="0"/>
                  <w:marRight w:val="0"/>
                  <w:marTop w:val="0"/>
                  <w:marBottom w:val="0"/>
                  <w:divBdr>
                    <w:top w:val="none" w:sz="0" w:space="0" w:color="auto"/>
                    <w:left w:val="none" w:sz="0" w:space="0" w:color="auto"/>
                    <w:bottom w:val="none" w:sz="0" w:space="0" w:color="auto"/>
                    <w:right w:val="none" w:sz="0" w:space="0" w:color="auto"/>
                  </w:divBdr>
                  <w:divsChild>
                    <w:div w:id="824659699">
                      <w:marLeft w:val="0"/>
                      <w:marRight w:val="0"/>
                      <w:marTop w:val="0"/>
                      <w:marBottom w:val="0"/>
                      <w:divBdr>
                        <w:top w:val="none" w:sz="0" w:space="0" w:color="auto"/>
                        <w:left w:val="none" w:sz="0" w:space="0" w:color="auto"/>
                        <w:bottom w:val="none" w:sz="0" w:space="0" w:color="auto"/>
                        <w:right w:val="none" w:sz="0" w:space="0" w:color="auto"/>
                      </w:divBdr>
                    </w:div>
                  </w:divsChild>
                </w:div>
                <w:div w:id="1738823589">
                  <w:marLeft w:val="0"/>
                  <w:marRight w:val="0"/>
                  <w:marTop w:val="0"/>
                  <w:marBottom w:val="0"/>
                  <w:divBdr>
                    <w:top w:val="none" w:sz="0" w:space="0" w:color="auto"/>
                    <w:left w:val="none" w:sz="0" w:space="0" w:color="auto"/>
                    <w:bottom w:val="none" w:sz="0" w:space="0" w:color="auto"/>
                    <w:right w:val="none" w:sz="0" w:space="0" w:color="auto"/>
                  </w:divBdr>
                  <w:divsChild>
                    <w:div w:id="387192486">
                      <w:marLeft w:val="0"/>
                      <w:marRight w:val="0"/>
                      <w:marTop w:val="0"/>
                      <w:marBottom w:val="0"/>
                      <w:divBdr>
                        <w:top w:val="none" w:sz="0" w:space="0" w:color="auto"/>
                        <w:left w:val="none" w:sz="0" w:space="0" w:color="auto"/>
                        <w:bottom w:val="none" w:sz="0" w:space="0" w:color="auto"/>
                        <w:right w:val="none" w:sz="0" w:space="0" w:color="auto"/>
                      </w:divBdr>
                    </w:div>
                  </w:divsChild>
                </w:div>
                <w:div w:id="1741323931">
                  <w:marLeft w:val="0"/>
                  <w:marRight w:val="0"/>
                  <w:marTop w:val="0"/>
                  <w:marBottom w:val="0"/>
                  <w:divBdr>
                    <w:top w:val="none" w:sz="0" w:space="0" w:color="auto"/>
                    <w:left w:val="none" w:sz="0" w:space="0" w:color="auto"/>
                    <w:bottom w:val="none" w:sz="0" w:space="0" w:color="auto"/>
                    <w:right w:val="none" w:sz="0" w:space="0" w:color="auto"/>
                  </w:divBdr>
                  <w:divsChild>
                    <w:div w:id="952712159">
                      <w:marLeft w:val="0"/>
                      <w:marRight w:val="0"/>
                      <w:marTop w:val="0"/>
                      <w:marBottom w:val="0"/>
                      <w:divBdr>
                        <w:top w:val="none" w:sz="0" w:space="0" w:color="auto"/>
                        <w:left w:val="none" w:sz="0" w:space="0" w:color="auto"/>
                        <w:bottom w:val="none" w:sz="0" w:space="0" w:color="auto"/>
                        <w:right w:val="none" w:sz="0" w:space="0" w:color="auto"/>
                      </w:divBdr>
                    </w:div>
                  </w:divsChild>
                </w:div>
                <w:div w:id="1747220121">
                  <w:marLeft w:val="0"/>
                  <w:marRight w:val="0"/>
                  <w:marTop w:val="0"/>
                  <w:marBottom w:val="0"/>
                  <w:divBdr>
                    <w:top w:val="none" w:sz="0" w:space="0" w:color="auto"/>
                    <w:left w:val="none" w:sz="0" w:space="0" w:color="auto"/>
                    <w:bottom w:val="none" w:sz="0" w:space="0" w:color="auto"/>
                    <w:right w:val="none" w:sz="0" w:space="0" w:color="auto"/>
                  </w:divBdr>
                  <w:divsChild>
                    <w:div w:id="604312787">
                      <w:marLeft w:val="0"/>
                      <w:marRight w:val="0"/>
                      <w:marTop w:val="0"/>
                      <w:marBottom w:val="0"/>
                      <w:divBdr>
                        <w:top w:val="none" w:sz="0" w:space="0" w:color="auto"/>
                        <w:left w:val="none" w:sz="0" w:space="0" w:color="auto"/>
                        <w:bottom w:val="none" w:sz="0" w:space="0" w:color="auto"/>
                        <w:right w:val="none" w:sz="0" w:space="0" w:color="auto"/>
                      </w:divBdr>
                    </w:div>
                  </w:divsChild>
                </w:div>
                <w:div w:id="1753352195">
                  <w:marLeft w:val="0"/>
                  <w:marRight w:val="0"/>
                  <w:marTop w:val="0"/>
                  <w:marBottom w:val="0"/>
                  <w:divBdr>
                    <w:top w:val="none" w:sz="0" w:space="0" w:color="auto"/>
                    <w:left w:val="none" w:sz="0" w:space="0" w:color="auto"/>
                    <w:bottom w:val="none" w:sz="0" w:space="0" w:color="auto"/>
                    <w:right w:val="none" w:sz="0" w:space="0" w:color="auto"/>
                  </w:divBdr>
                  <w:divsChild>
                    <w:div w:id="2021154025">
                      <w:marLeft w:val="0"/>
                      <w:marRight w:val="0"/>
                      <w:marTop w:val="0"/>
                      <w:marBottom w:val="0"/>
                      <w:divBdr>
                        <w:top w:val="none" w:sz="0" w:space="0" w:color="auto"/>
                        <w:left w:val="none" w:sz="0" w:space="0" w:color="auto"/>
                        <w:bottom w:val="none" w:sz="0" w:space="0" w:color="auto"/>
                        <w:right w:val="none" w:sz="0" w:space="0" w:color="auto"/>
                      </w:divBdr>
                    </w:div>
                  </w:divsChild>
                </w:div>
                <w:div w:id="1755324272">
                  <w:marLeft w:val="0"/>
                  <w:marRight w:val="0"/>
                  <w:marTop w:val="0"/>
                  <w:marBottom w:val="0"/>
                  <w:divBdr>
                    <w:top w:val="none" w:sz="0" w:space="0" w:color="auto"/>
                    <w:left w:val="none" w:sz="0" w:space="0" w:color="auto"/>
                    <w:bottom w:val="none" w:sz="0" w:space="0" w:color="auto"/>
                    <w:right w:val="none" w:sz="0" w:space="0" w:color="auto"/>
                  </w:divBdr>
                  <w:divsChild>
                    <w:div w:id="283386578">
                      <w:marLeft w:val="0"/>
                      <w:marRight w:val="0"/>
                      <w:marTop w:val="0"/>
                      <w:marBottom w:val="0"/>
                      <w:divBdr>
                        <w:top w:val="none" w:sz="0" w:space="0" w:color="auto"/>
                        <w:left w:val="none" w:sz="0" w:space="0" w:color="auto"/>
                        <w:bottom w:val="none" w:sz="0" w:space="0" w:color="auto"/>
                        <w:right w:val="none" w:sz="0" w:space="0" w:color="auto"/>
                      </w:divBdr>
                    </w:div>
                  </w:divsChild>
                </w:div>
                <w:div w:id="1755975167">
                  <w:marLeft w:val="0"/>
                  <w:marRight w:val="0"/>
                  <w:marTop w:val="0"/>
                  <w:marBottom w:val="0"/>
                  <w:divBdr>
                    <w:top w:val="none" w:sz="0" w:space="0" w:color="auto"/>
                    <w:left w:val="none" w:sz="0" w:space="0" w:color="auto"/>
                    <w:bottom w:val="none" w:sz="0" w:space="0" w:color="auto"/>
                    <w:right w:val="none" w:sz="0" w:space="0" w:color="auto"/>
                  </w:divBdr>
                  <w:divsChild>
                    <w:div w:id="2124300749">
                      <w:marLeft w:val="0"/>
                      <w:marRight w:val="0"/>
                      <w:marTop w:val="0"/>
                      <w:marBottom w:val="0"/>
                      <w:divBdr>
                        <w:top w:val="none" w:sz="0" w:space="0" w:color="auto"/>
                        <w:left w:val="none" w:sz="0" w:space="0" w:color="auto"/>
                        <w:bottom w:val="none" w:sz="0" w:space="0" w:color="auto"/>
                        <w:right w:val="none" w:sz="0" w:space="0" w:color="auto"/>
                      </w:divBdr>
                    </w:div>
                  </w:divsChild>
                </w:div>
                <w:div w:id="1767383121">
                  <w:marLeft w:val="0"/>
                  <w:marRight w:val="0"/>
                  <w:marTop w:val="0"/>
                  <w:marBottom w:val="0"/>
                  <w:divBdr>
                    <w:top w:val="none" w:sz="0" w:space="0" w:color="auto"/>
                    <w:left w:val="none" w:sz="0" w:space="0" w:color="auto"/>
                    <w:bottom w:val="none" w:sz="0" w:space="0" w:color="auto"/>
                    <w:right w:val="none" w:sz="0" w:space="0" w:color="auto"/>
                  </w:divBdr>
                  <w:divsChild>
                    <w:div w:id="1433016308">
                      <w:marLeft w:val="0"/>
                      <w:marRight w:val="0"/>
                      <w:marTop w:val="0"/>
                      <w:marBottom w:val="0"/>
                      <w:divBdr>
                        <w:top w:val="none" w:sz="0" w:space="0" w:color="auto"/>
                        <w:left w:val="none" w:sz="0" w:space="0" w:color="auto"/>
                        <w:bottom w:val="none" w:sz="0" w:space="0" w:color="auto"/>
                        <w:right w:val="none" w:sz="0" w:space="0" w:color="auto"/>
                      </w:divBdr>
                    </w:div>
                  </w:divsChild>
                </w:div>
                <w:div w:id="1767799838">
                  <w:marLeft w:val="0"/>
                  <w:marRight w:val="0"/>
                  <w:marTop w:val="0"/>
                  <w:marBottom w:val="0"/>
                  <w:divBdr>
                    <w:top w:val="none" w:sz="0" w:space="0" w:color="auto"/>
                    <w:left w:val="none" w:sz="0" w:space="0" w:color="auto"/>
                    <w:bottom w:val="none" w:sz="0" w:space="0" w:color="auto"/>
                    <w:right w:val="none" w:sz="0" w:space="0" w:color="auto"/>
                  </w:divBdr>
                  <w:divsChild>
                    <w:div w:id="339744092">
                      <w:marLeft w:val="0"/>
                      <w:marRight w:val="0"/>
                      <w:marTop w:val="0"/>
                      <w:marBottom w:val="0"/>
                      <w:divBdr>
                        <w:top w:val="none" w:sz="0" w:space="0" w:color="auto"/>
                        <w:left w:val="none" w:sz="0" w:space="0" w:color="auto"/>
                        <w:bottom w:val="none" w:sz="0" w:space="0" w:color="auto"/>
                        <w:right w:val="none" w:sz="0" w:space="0" w:color="auto"/>
                      </w:divBdr>
                    </w:div>
                  </w:divsChild>
                </w:div>
                <w:div w:id="1768042616">
                  <w:marLeft w:val="0"/>
                  <w:marRight w:val="0"/>
                  <w:marTop w:val="0"/>
                  <w:marBottom w:val="0"/>
                  <w:divBdr>
                    <w:top w:val="none" w:sz="0" w:space="0" w:color="auto"/>
                    <w:left w:val="none" w:sz="0" w:space="0" w:color="auto"/>
                    <w:bottom w:val="none" w:sz="0" w:space="0" w:color="auto"/>
                    <w:right w:val="none" w:sz="0" w:space="0" w:color="auto"/>
                  </w:divBdr>
                  <w:divsChild>
                    <w:div w:id="210583706">
                      <w:marLeft w:val="0"/>
                      <w:marRight w:val="0"/>
                      <w:marTop w:val="0"/>
                      <w:marBottom w:val="0"/>
                      <w:divBdr>
                        <w:top w:val="none" w:sz="0" w:space="0" w:color="auto"/>
                        <w:left w:val="none" w:sz="0" w:space="0" w:color="auto"/>
                        <w:bottom w:val="none" w:sz="0" w:space="0" w:color="auto"/>
                        <w:right w:val="none" w:sz="0" w:space="0" w:color="auto"/>
                      </w:divBdr>
                    </w:div>
                  </w:divsChild>
                </w:div>
                <w:div w:id="1768963949">
                  <w:marLeft w:val="0"/>
                  <w:marRight w:val="0"/>
                  <w:marTop w:val="0"/>
                  <w:marBottom w:val="0"/>
                  <w:divBdr>
                    <w:top w:val="none" w:sz="0" w:space="0" w:color="auto"/>
                    <w:left w:val="none" w:sz="0" w:space="0" w:color="auto"/>
                    <w:bottom w:val="none" w:sz="0" w:space="0" w:color="auto"/>
                    <w:right w:val="none" w:sz="0" w:space="0" w:color="auto"/>
                  </w:divBdr>
                  <w:divsChild>
                    <w:div w:id="1822114513">
                      <w:marLeft w:val="0"/>
                      <w:marRight w:val="0"/>
                      <w:marTop w:val="0"/>
                      <w:marBottom w:val="0"/>
                      <w:divBdr>
                        <w:top w:val="none" w:sz="0" w:space="0" w:color="auto"/>
                        <w:left w:val="none" w:sz="0" w:space="0" w:color="auto"/>
                        <w:bottom w:val="none" w:sz="0" w:space="0" w:color="auto"/>
                        <w:right w:val="none" w:sz="0" w:space="0" w:color="auto"/>
                      </w:divBdr>
                    </w:div>
                  </w:divsChild>
                </w:div>
                <w:div w:id="1772772798">
                  <w:marLeft w:val="0"/>
                  <w:marRight w:val="0"/>
                  <w:marTop w:val="0"/>
                  <w:marBottom w:val="0"/>
                  <w:divBdr>
                    <w:top w:val="none" w:sz="0" w:space="0" w:color="auto"/>
                    <w:left w:val="none" w:sz="0" w:space="0" w:color="auto"/>
                    <w:bottom w:val="none" w:sz="0" w:space="0" w:color="auto"/>
                    <w:right w:val="none" w:sz="0" w:space="0" w:color="auto"/>
                  </w:divBdr>
                  <w:divsChild>
                    <w:div w:id="379021032">
                      <w:marLeft w:val="0"/>
                      <w:marRight w:val="0"/>
                      <w:marTop w:val="0"/>
                      <w:marBottom w:val="0"/>
                      <w:divBdr>
                        <w:top w:val="none" w:sz="0" w:space="0" w:color="auto"/>
                        <w:left w:val="none" w:sz="0" w:space="0" w:color="auto"/>
                        <w:bottom w:val="none" w:sz="0" w:space="0" w:color="auto"/>
                        <w:right w:val="none" w:sz="0" w:space="0" w:color="auto"/>
                      </w:divBdr>
                    </w:div>
                  </w:divsChild>
                </w:div>
                <w:div w:id="1776905089">
                  <w:marLeft w:val="0"/>
                  <w:marRight w:val="0"/>
                  <w:marTop w:val="0"/>
                  <w:marBottom w:val="0"/>
                  <w:divBdr>
                    <w:top w:val="none" w:sz="0" w:space="0" w:color="auto"/>
                    <w:left w:val="none" w:sz="0" w:space="0" w:color="auto"/>
                    <w:bottom w:val="none" w:sz="0" w:space="0" w:color="auto"/>
                    <w:right w:val="none" w:sz="0" w:space="0" w:color="auto"/>
                  </w:divBdr>
                  <w:divsChild>
                    <w:div w:id="358358741">
                      <w:marLeft w:val="0"/>
                      <w:marRight w:val="0"/>
                      <w:marTop w:val="0"/>
                      <w:marBottom w:val="0"/>
                      <w:divBdr>
                        <w:top w:val="none" w:sz="0" w:space="0" w:color="auto"/>
                        <w:left w:val="none" w:sz="0" w:space="0" w:color="auto"/>
                        <w:bottom w:val="none" w:sz="0" w:space="0" w:color="auto"/>
                        <w:right w:val="none" w:sz="0" w:space="0" w:color="auto"/>
                      </w:divBdr>
                    </w:div>
                  </w:divsChild>
                </w:div>
                <w:div w:id="1782073067">
                  <w:marLeft w:val="0"/>
                  <w:marRight w:val="0"/>
                  <w:marTop w:val="0"/>
                  <w:marBottom w:val="0"/>
                  <w:divBdr>
                    <w:top w:val="none" w:sz="0" w:space="0" w:color="auto"/>
                    <w:left w:val="none" w:sz="0" w:space="0" w:color="auto"/>
                    <w:bottom w:val="none" w:sz="0" w:space="0" w:color="auto"/>
                    <w:right w:val="none" w:sz="0" w:space="0" w:color="auto"/>
                  </w:divBdr>
                  <w:divsChild>
                    <w:div w:id="176769102">
                      <w:marLeft w:val="0"/>
                      <w:marRight w:val="0"/>
                      <w:marTop w:val="0"/>
                      <w:marBottom w:val="0"/>
                      <w:divBdr>
                        <w:top w:val="none" w:sz="0" w:space="0" w:color="auto"/>
                        <w:left w:val="none" w:sz="0" w:space="0" w:color="auto"/>
                        <w:bottom w:val="none" w:sz="0" w:space="0" w:color="auto"/>
                        <w:right w:val="none" w:sz="0" w:space="0" w:color="auto"/>
                      </w:divBdr>
                    </w:div>
                  </w:divsChild>
                </w:div>
                <w:div w:id="1790007563">
                  <w:marLeft w:val="0"/>
                  <w:marRight w:val="0"/>
                  <w:marTop w:val="0"/>
                  <w:marBottom w:val="0"/>
                  <w:divBdr>
                    <w:top w:val="none" w:sz="0" w:space="0" w:color="auto"/>
                    <w:left w:val="none" w:sz="0" w:space="0" w:color="auto"/>
                    <w:bottom w:val="none" w:sz="0" w:space="0" w:color="auto"/>
                    <w:right w:val="none" w:sz="0" w:space="0" w:color="auto"/>
                  </w:divBdr>
                  <w:divsChild>
                    <w:div w:id="515076096">
                      <w:marLeft w:val="0"/>
                      <w:marRight w:val="0"/>
                      <w:marTop w:val="0"/>
                      <w:marBottom w:val="0"/>
                      <w:divBdr>
                        <w:top w:val="none" w:sz="0" w:space="0" w:color="auto"/>
                        <w:left w:val="none" w:sz="0" w:space="0" w:color="auto"/>
                        <w:bottom w:val="none" w:sz="0" w:space="0" w:color="auto"/>
                        <w:right w:val="none" w:sz="0" w:space="0" w:color="auto"/>
                      </w:divBdr>
                    </w:div>
                  </w:divsChild>
                </w:div>
                <w:div w:id="1797991626">
                  <w:marLeft w:val="0"/>
                  <w:marRight w:val="0"/>
                  <w:marTop w:val="0"/>
                  <w:marBottom w:val="0"/>
                  <w:divBdr>
                    <w:top w:val="none" w:sz="0" w:space="0" w:color="auto"/>
                    <w:left w:val="none" w:sz="0" w:space="0" w:color="auto"/>
                    <w:bottom w:val="none" w:sz="0" w:space="0" w:color="auto"/>
                    <w:right w:val="none" w:sz="0" w:space="0" w:color="auto"/>
                  </w:divBdr>
                  <w:divsChild>
                    <w:div w:id="1615361585">
                      <w:marLeft w:val="0"/>
                      <w:marRight w:val="0"/>
                      <w:marTop w:val="0"/>
                      <w:marBottom w:val="0"/>
                      <w:divBdr>
                        <w:top w:val="none" w:sz="0" w:space="0" w:color="auto"/>
                        <w:left w:val="none" w:sz="0" w:space="0" w:color="auto"/>
                        <w:bottom w:val="none" w:sz="0" w:space="0" w:color="auto"/>
                        <w:right w:val="none" w:sz="0" w:space="0" w:color="auto"/>
                      </w:divBdr>
                    </w:div>
                  </w:divsChild>
                </w:div>
                <w:div w:id="1798647014">
                  <w:marLeft w:val="0"/>
                  <w:marRight w:val="0"/>
                  <w:marTop w:val="0"/>
                  <w:marBottom w:val="0"/>
                  <w:divBdr>
                    <w:top w:val="none" w:sz="0" w:space="0" w:color="auto"/>
                    <w:left w:val="none" w:sz="0" w:space="0" w:color="auto"/>
                    <w:bottom w:val="none" w:sz="0" w:space="0" w:color="auto"/>
                    <w:right w:val="none" w:sz="0" w:space="0" w:color="auto"/>
                  </w:divBdr>
                  <w:divsChild>
                    <w:div w:id="1950745039">
                      <w:marLeft w:val="0"/>
                      <w:marRight w:val="0"/>
                      <w:marTop w:val="0"/>
                      <w:marBottom w:val="0"/>
                      <w:divBdr>
                        <w:top w:val="none" w:sz="0" w:space="0" w:color="auto"/>
                        <w:left w:val="none" w:sz="0" w:space="0" w:color="auto"/>
                        <w:bottom w:val="none" w:sz="0" w:space="0" w:color="auto"/>
                        <w:right w:val="none" w:sz="0" w:space="0" w:color="auto"/>
                      </w:divBdr>
                    </w:div>
                  </w:divsChild>
                </w:div>
                <w:div w:id="1800802068">
                  <w:marLeft w:val="0"/>
                  <w:marRight w:val="0"/>
                  <w:marTop w:val="0"/>
                  <w:marBottom w:val="0"/>
                  <w:divBdr>
                    <w:top w:val="none" w:sz="0" w:space="0" w:color="auto"/>
                    <w:left w:val="none" w:sz="0" w:space="0" w:color="auto"/>
                    <w:bottom w:val="none" w:sz="0" w:space="0" w:color="auto"/>
                    <w:right w:val="none" w:sz="0" w:space="0" w:color="auto"/>
                  </w:divBdr>
                  <w:divsChild>
                    <w:div w:id="1218317179">
                      <w:marLeft w:val="0"/>
                      <w:marRight w:val="0"/>
                      <w:marTop w:val="0"/>
                      <w:marBottom w:val="0"/>
                      <w:divBdr>
                        <w:top w:val="none" w:sz="0" w:space="0" w:color="auto"/>
                        <w:left w:val="none" w:sz="0" w:space="0" w:color="auto"/>
                        <w:bottom w:val="none" w:sz="0" w:space="0" w:color="auto"/>
                        <w:right w:val="none" w:sz="0" w:space="0" w:color="auto"/>
                      </w:divBdr>
                    </w:div>
                  </w:divsChild>
                </w:div>
                <w:div w:id="1801150042">
                  <w:marLeft w:val="0"/>
                  <w:marRight w:val="0"/>
                  <w:marTop w:val="0"/>
                  <w:marBottom w:val="0"/>
                  <w:divBdr>
                    <w:top w:val="none" w:sz="0" w:space="0" w:color="auto"/>
                    <w:left w:val="none" w:sz="0" w:space="0" w:color="auto"/>
                    <w:bottom w:val="none" w:sz="0" w:space="0" w:color="auto"/>
                    <w:right w:val="none" w:sz="0" w:space="0" w:color="auto"/>
                  </w:divBdr>
                  <w:divsChild>
                    <w:div w:id="1410422202">
                      <w:marLeft w:val="0"/>
                      <w:marRight w:val="0"/>
                      <w:marTop w:val="0"/>
                      <w:marBottom w:val="0"/>
                      <w:divBdr>
                        <w:top w:val="none" w:sz="0" w:space="0" w:color="auto"/>
                        <w:left w:val="none" w:sz="0" w:space="0" w:color="auto"/>
                        <w:bottom w:val="none" w:sz="0" w:space="0" w:color="auto"/>
                        <w:right w:val="none" w:sz="0" w:space="0" w:color="auto"/>
                      </w:divBdr>
                    </w:div>
                  </w:divsChild>
                </w:div>
                <w:div w:id="1802259818">
                  <w:marLeft w:val="0"/>
                  <w:marRight w:val="0"/>
                  <w:marTop w:val="0"/>
                  <w:marBottom w:val="0"/>
                  <w:divBdr>
                    <w:top w:val="none" w:sz="0" w:space="0" w:color="auto"/>
                    <w:left w:val="none" w:sz="0" w:space="0" w:color="auto"/>
                    <w:bottom w:val="none" w:sz="0" w:space="0" w:color="auto"/>
                    <w:right w:val="none" w:sz="0" w:space="0" w:color="auto"/>
                  </w:divBdr>
                  <w:divsChild>
                    <w:div w:id="1320578679">
                      <w:marLeft w:val="0"/>
                      <w:marRight w:val="0"/>
                      <w:marTop w:val="0"/>
                      <w:marBottom w:val="0"/>
                      <w:divBdr>
                        <w:top w:val="none" w:sz="0" w:space="0" w:color="auto"/>
                        <w:left w:val="none" w:sz="0" w:space="0" w:color="auto"/>
                        <w:bottom w:val="none" w:sz="0" w:space="0" w:color="auto"/>
                        <w:right w:val="none" w:sz="0" w:space="0" w:color="auto"/>
                      </w:divBdr>
                    </w:div>
                  </w:divsChild>
                </w:div>
                <w:div w:id="1804080224">
                  <w:marLeft w:val="0"/>
                  <w:marRight w:val="0"/>
                  <w:marTop w:val="0"/>
                  <w:marBottom w:val="0"/>
                  <w:divBdr>
                    <w:top w:val="none" w:sz="0" w:space="0" w:color="auto"/>
                    <w:left w:val="none" w:sz="0" w:space="0" w:color="auto"/>
                    <w:bottom w:val="none" w:sz="0" w:space="0" w:color="auto"/>
                    <w:right w:val="none" w:sz="0" w:space="0" w:color="auto"/>
                  </w:divBdr>
                  <w:divsChild>
                    <w:div w:id="1958486918">
                      <w:marLeft w:val="0"/>
                      <w:marRight w:val="0"/>
                      <w:marTop w:val="0"/>
                      <w:marBottom w:val="0"/>
                      <w:divBdr>
                        <w:top w:val="none" w:sz="0" w:space="0" w:color="auto"/>
                        <w:left w:val="none" w:sz="0" w:space="0" w:color="auto"/>
                        <w:bottom w:val="none" w:sz="0" w:space="0" w:color="auto"/>
                        <w:right w:val="none" w:sz="0" w:space="0" w:color="auto"/>
                      </w:divBdr>
                    </w:div>
                  </w:divsChild>
                </w:div>
                <w:div w:id="1804303538">
                  <w:marLeft w:val="0"/>
                  <w:marRight w:val="0"/>
                  <w:marTop w:val="0"/>
                  <w:marBottom w:val="0"/>
                  <w:divBdr>
                    <w:top w:val="none" w:sz="0" w:space="0" w:color="auto"/>
                    <w:left w:val="none" w:sz="0" w:space="0" w:color="auto"/>
                    <w:bottom w:val="none" w:sz="0" w:space="0" w:color="auto"/>
                    <w:right w:val="none" w:sz="0" w:space="0" w:color="auto"/>
                  </w:divBdr>
                  <w:divsChild>
                    <w:div w:id="1518421170">
                      <w:marLeft w:val="0"/>
                      <w:marRight w:val="0"/>
                      <w:marTop w:val="0"/>
                      <w:marBottom w:val="0"/>
                      <w:divBdr>
                        <w:top w:val="none" w:sz="0" w:space="0" w:color="auto"/>
                        <w:left w:val="none" w:sz="0" w:space="0" w:color="auto"/>
                        <w:bottom w:val="none" w:sz="0" w:space="0" w:color="auto"/>
                        <w:right w:val="none" w:sz="0" w:space="0" w:color="auto"/>
                      </w:divBdr>
                    </w:div>
                  </w:divsChild>
                </w:div>
                <w:div w:id="1812748279">
                  <w:marLeft w:val="0"/>
                  <w:marRight w:val="0"/>
                  <w:marTop w:val="0"/>
                  <w:marBottom w:val="0"/>
                  <w:divBdr>
                    <w:top w:val="none" w:sz="0" w:space="0" w:color="auto"/>
                    <w:left w:val="none" w:sz="0" w:space="0" w:color="auto"/>
                    <w:bottom w:val="none" w:sz="0" w:space="0" w:color="auto"/>
                    <w:right w:val="none" w:sz="0" w:space="0" w:color="auto"/>
                  </w:divBdr>
                  <w:divsChild>
                    <w:div w:id="1430001395">
                      <w:marLeft w:val="0"/>
                      <w:marRight w:val="0"/>
                      <w:marTop w:val="0"/>
                      <w:marBottom w:val="0"/>
                      <w:divBdr>
                        <w:top w:val="none" w:sz="0" w:space="0" w:color="auto"/>
                        <w:left w:val="none" w:sz="0" w:space="0" w:color="auto"/>
                        <w:bottom w:val="none" w:sz="0" w:space="0" w:color="auto"/>
                        <w:right w:val="none" w:sz="0" w:space="0" w:color="auto"/>
                      </w:divBdr>
                    </w:div>
                  </w:divsChild>
                </w:div>
                <w:div w:id="1820003476">
                  <w:marLeft w:val="0"/>
                  <w:marRight w:val="0"/>
                  <w:marTop w:val="0"/>
                  <w:marBottom w:val="0"/>
                  <w:divBdr>
                    <w:top w:val="none" w:sz="0" w:space="0" w:color="auto"/>
                    <w:left w:val="none" w:sz="0" w:space="0" w:color="auto"/>
                    <w:bottom w:val="none" w:sz="0" w:space="0" w:color="auto"/>
                    <w:right w:val="none" w:sz="0" w:space="0" w:color="auto"/>
                  </w:divBdr>
                  <w:divsChild>
                    <w:div w:id="2135714489">
                      <w:marLeft w:val="0"/>
                      <w:marRight w:val="0"/>
                      <w:marTop w:val="0"/>
                      <w:marBottom w:val="0"/>
                      <w:divBdr>
                        <w:top w:val="none" w:sz="0" w:space="0" w:color="auto"/>
                        <w:left w:val="none" w:sz="0" w:space="0" w:color="auto"/>
                        <w:bottom w:val="none" w:sz="0" w:space="0" w:color="auto"/>
                        <w:right w:val="none" w:sz="0" w:space="0" w:color="auto"/>
                      </w:divBdr>
                    </w:div>
                  </w:divsChild>
                </w:div>
                <w:div w:id="1820806326">
                  <w:marLeft w:val="0"/>
                  <w:marRight w:val="0"/>
                  <w:marTop w:val="0"/>
                  <w:marBottom w:val="0"/>
                  <w:divBdr>
                    <w:top w:val="none" w:sz="0" w:space="0" w:color="auto"/>
                    <w:left w:val="none" w:sz="0" w:space="0" w:color="auto"/>
                    <w:bottom w:val="none" w:sz="0" w:space="0" w:color="auto"/>
                    <w:right w:val="none" w:sz="0" w:space="0" w:color="auto"/>
                  </w:divBdr>
                  <w:divsChild>
                    <w:div w:id="342633368">
                      <w:marLeft w:val="0"/>
                      <w:marRight w:val="0"/>
                      <w:marTop w:val="0"/>
                      <w:marBottom w:val="0"/>
                      <w:divBdr>
                        <w:top w:val="none" w:sz="0" w:space="0" w:color="auto"/>
                        <w:left w:val="none" w:sz="0" w:space="0" w:color="auto"/>
                        <w:bottom w:val="none" w:sz="0" w:space="0" w:color="auto"/>
                        <w:right w:val="none" w:sz="0" w:space="0" w:color="auto"/>
                      </w:divBdr>
                    </w:div>
                  </w:divsChild>
                </w:div>
                <w:div w:id="1829132388">
                  <w:marLeft w:val="0"/>
                  <w:marRight w:val="0"/>
                  <w:marTop w:val="0"/>
                  <w:marBottom w:val="0"/>
                  <w:divBdr>
                    <w:top w:val="none" w:sz="0" w:space="0" w:color="auto"/>
                    <w:left w:val="none" w:sz="0" w:space="0" w:color="auto"/>
                    <w:bottom w:val="none" w:sz="0" w:space="0" w:color="auto"/>
                    <w:right w:val="none" w:sz="0" w:space="0" w:color="auto"/>
                  </w:divBdr>
                  <w:divsChild>
                    <w:div w:id="1945069334">
                      <w:marLeft w:val="0"/>
                      <w:marRight w:val="0"/>
                      <w:marTop w:val="0"/>
                      <w:marBottom w:val="0"/>
                      <w:divBdr>
                        <w:top w:val="none" w:sz="0" w:space="0" w:color="auto"/>
                        <w:left w:val="none" w:sz="0" w:space="0" w:color="auto"/>
                        <w:bottom w:val="none" w:sz="0" w:space="0" w:color="auto"/>
                        <w:right w:val="none" w:sz="0" w:space="0" w:color="auto"/>
                      </w:divBdr>
                    </w:div>
                  </w:divsChild>
                </w:div>
                <w:div w:id="1836533106">
                  <w:marLeft w:val="0"/>
                  <w:marRight w:val="0"/>
                  <w:marTop w:val="0"/>
                  <w:marBottom w:val="0"/>
                  <w:divBdr>
                    <w:top w:val="none" w:sz="0" w:space="0" w:color="auto"/>
                    <w:left w:val="none" w:sz="0" w:space="0" w:color="auto"/>
                    <w:bottom w:val="none" w:sz="0" w:space="0" w:color="auto"/>
                    <w:right w:val="none" w:sz="0" w:space="0" w:color="auto"/>
                  </w:divBdr>
                  <w:divsChild>
                    <w:div w:id="1847281568">
                      <w:marLeft w:val="0"/>
                      <w:marRight w:val="0"/>
                      <w:marTop w:val="0"/>
                      <w:marBottom w:val="0"/>
                      <w:divBdr>
                        <w:top w:val="none" w:sz="0" w:space="0" w:color="auto"/>
                        <w:left w:val="none" w:sz="0" w:space="0" w:color="auto"/>
                        <w:bottom w:val="none" w:sz="0" w:space="0" w:color="auto"/>
                        <w:right w:val="none" w:sz="0" w:space="0" w:color="auto"/>
                      </w:divBdr>
                    </w:div>
                  </w:divsChild>
                </w:div>
                <w:div w:id="1836603200">
                  <w:marLeft w:val="0"/>
                  <w:marRight w:val="0"/>
                  <w:marTop w:val="0"/>
                  <w:marBottom w:val="0"/>
                  <w:divBdr>
                    <w:top w:val="none" w:sz="0" w:space="0" w:color="auto"/>
                    <w:left w:val="none" w:sz="0" w:space="0" w:color="auto"/>
                    <w:bottom w:val="none" w:sz="0" w:space="0" w:color="auto"/>
                    <w:right w:val="none" w:sz="0" w:space="0" w:color="auto"/>
                  </w:divBdr>
                  <w:divsChild>
                    <w:div w:id="583880926">
                      <w:marLeft w:val="0"/>
                      <w:marRight w:val="0"/>
                      <w:marTop w:val="0"/>
                      <w:marBottom w:val="0"/>
                      <w:divBdr>
                        <w:top w:val="none" w:sz="0" w:space="0" w:color="auto"/>
                        <w:left w:val="none" w:sz="0" w:space="0" w:color="auto"/>
                        <w:bottom w:val="none" w:sz="0" w:space="0" w:color="auto"/>
                        <w:right w:val="none" w:sz="0" w:space="0" w:color="auto"/>
                      </w:divBdr>
                    </w:div>
                  </w:divsChild>
                </w:div>
                <w:div w:id="1836799431">
                  <w:marLeft w:val="0"/>
                  <w:marRight w:val="0"/>
                  <w:marTop w:val="0"/>
                  <w:marBottom w:val="0"/>
                  <w:divBdr>
                    <w:top w:val="none" w:sz="0" w:space="0" w:color="auto"/>
                    <w:left w:val="none" w:sz="0" w:space="0" w:color="auto"/>
                    <w:bottom w:val="none" w:sz="0" w:space="0" w:color="auto"/>
                    <w:right w:val="none" w:sz="0" w:space="0" w:color="auto"/>
                  </w:divBdr>
                  <w:divsChild>
                    <w:div w:id="1797334345">
                      <w:marLeft w:val="0"/>
                      <w:marRight w:val="0"/>
                      <w:marTop w:val="0"/>
                      <w:marBottom w:val="0"/>
                      <w:divBdr>
                        <w:top w:val="none" w:sz="0" w:space="0" w:color="auto"/>
                        <w:left w:val="none" w:sz="0" w:space="0" w:color="auto"/>
                        <w:bottom w:val="none" w:sz="0" w:space="0" w:color="auto"/>
                        <w:right w:val="none" w:sz="0" w:space="0" w:color="auto"/>
                      </w:divBdr>
                    </w:div>
                  </w:divsChild>
                </w:div>
                <w:div w:id="1853378561">
                  <w:marLeft w:val="0"/>
                  <w:marRight w:val="0"/>
                  <w:marTop w:val="0"/>
                  <w:marBottom w:val="0"/>
                  <w:divBdr>
                    <w:top w:val="none" w:sz="0" w:space="0" w:color="auto"/>
                    <w:left w:val="none" w:sz="0" w:space="0" w:color="auto"/>
                    <w:bottom w:val="none" w:sz="0" w:space="0" w:color="auto"/>
                    <w:right w:val="none" w:sz="0" w:space="0" w:color="auto"/>
                  </w:divBdr>
                  <w:divsChild>
                    <w:div w:id="1740982450">
                      <w:marLeft w:val="0"/>
                      <w:marRight w:val="0"/>
                      <w:marTop w:val="0"/>
                      <w:marBottom w:val="0"/>
                      <w:divBdr>
                        <w:top w:val="none" w:sz="0" w:space="0" w:color="auto"/>
                        <w:left w:val="none" w:sz="0" w:space="0" w:color="auto"/>
                        <w:bottom w:val="none" w:sz="0" w:space="0" w:color="auto"/>
                        <w:right w:val="none" w:sz="0" w:space="0" w:color="auto"/>
                      </w:divBdr>
                    </w:div>
                  </w:divsChild>
                </w:div>
                <w:div w:id="1868905523">
                  <w:marLeft w:val="0"/>
                  <w:marRight w:val="0"/>
                  <w:marTop w:val="0"/>
                  <w:marBottom w:val="0"/>
                  <w:divBdr>
                    <w:top w:val="none" w:sz="0" w:space="0" w:color="auto"/>
                    <w:left w:val="none" w:sz="0" w:space="0" w:color="auto"/>
                    <w:bottom w:val="none" w:sz="0" w:space="0" w:color="auto"/>
                    <w:right w:val="none" w:sz="0" w:space="0" w:color="auto"/>
                  </w:divBdr>
                  <w:divsChild>
                    <w:div w:id="874275509">
                      <w:marLeft w:val="0"/>
                      <w:marRight w:val="0"/>
                      <w:marTop w:val="0"/>
                      <w:marBottom w:val="0"/>
                      <w:divBdr>
                        <w:top w:val="none" w:sz="0" w:space="0" w:color="auto"/>
                        <w:left w:val="none" w:sz="0" w:space="0" w:color="auto"/>
                        <w:bottom w:val="none" w:sz="0" w:space="0" w:color="auto"/>
                        <w:right w:val="none" w:sz="0" w:space="0" w:color="auto"/>
                      </w:divBdr>
                    </w:div>
                  </w:divsChild>
                </w:div>
                <w:div w:id="1877740265">
                  <w:marLeft w:val="0"/>
                  <w:marRight w:val="0"/>
                  <w:marTop w:val="0"/>
                  <w:marBottom w:val="0"/>
                  <w:divBdr>
                    <w:top w:val="none" w:sz="0" w:space="0" w:color="auto"/>
                    <w:left w:val="none" w:sz="0" w:space="0" w:color="auto"/>
                    <w:bottom w:val="none" w:sz="0" w:space="0" w:color="auto"/>
                    <w:right w:val="none" w:sz="0" w:space="0" w:color="auto"/>
                  </w:divBdr>
                  <w:divsChild>
                    <w:div w:id="2077781192">
                      <w:marLeft w:val="0"/>
                      <w:marRight w:val="0"/>
                      <w:marTop w:val="0"/>
                      <w:marBottom w:val="0"/>
                      <w:divBdr>
                        <w:top w:val="none" w:sz="0" w:space="0" w:color="auto"/>
                        <w:left w:val="none" w:sz="0" w:space="0" w:color="auto"/>
                        <w:bottom w:val="none" w:sz="0" w:space="0" w:color="auto"/>
                        <w:right w:val="none" w:sz="0" w:space="0" w:color="auto"/>
                      </w:divBdr>
                    </w:div>
                  </w:divsChild>
                </w:div>
                <w:div w:id="1881278968">
                  <w:marLeft w:val="0"/>
                  <w:marRight w:val="0"/>
                  <w:marTop w:val="0"/>
                  <w:marBottom w:val="0"/>
                  <w:divBdr>
                    <w:top w:val="none" w:sz="0" w:space="0" w:color="auto"/>
                    <w:left w:val="none" w:sz="0" w:space="0" w:color="auto"/>
                    <w:bottom w:val="none" w:sz="0" w:space="0" w:color="auto"/>
                    <w:right w:val="none" w:sz="0" w:space="0" w:color="auto"/>
                  </w:divBdr>
                  <w:divsChild>
                    <w:div w:id="1546483029">
                      <w:marLeft w:val="0"/>
                      <w:marRight w:val="0"/>
                      <w:marTop w:val="0"/>
                      <w:marBottom w:val="0"/>
                      <w:divBdr>
                        <w:top w:val="none" w:sz="0" w:space="0" w:color="auto"/>
                        <w:left w:val="none" w:sz="0" w:space="0" w:color="auto"/>
                        <w:bottom w:val="none" w:sz="0" w:space="0" w:color="auto"/>
                        <w:right w:val="none" w:sz="0" w:space="0" w:color="auto"/>
                      </w:divBdr>
                    </w:div>
                  </w:divsChild>
                </w:div>
                <w:div w:id="1881891909">
                  <w:marLeft w:val="0"/>
                  <w:marRight w:val="0"/>
                  <w:marTop w:val="0"/>
                  <w:marBottom w:val="0"/>
                  <w:divBdr>
                    <w:top w:val="none" w:sz="0" w:space="0" w:color="auto"/>
                    <w:left w:val="none" w:sz="0" w:space="0" w:color="auto"/>
                    <w:bottom w:val="none" w:sz="0" w:space="0" w:color="auto"/>
                    <w:right w:val="none" w:sz="0" w:space="0" w:color="auto"/>
                  </w:divBdr>
                  <w:divsChild>
                    <w:div w:id="2056998854">
                      <w:marLeft w:val="0"/>
                      <w:marRight w:val="0"/>
                      <w:marTop w:val="0"/>
                      <w:marBottom w:val="0"/>
                      <w:divBdr>
                        <w:top w:val="none" w:sz="0" w:space="0" w:color="auto"/>
                        <w:left w:val="none" w:sz="0" w:space="0" w:color="auto"/>
                        <w:bottom w:val="none" w:sz="0" w:space="0" w:color="auto"/>
                        <w:right w:val="none" w:sz="0" w:space="0" w:color="auto"/>
                      </w:divBdr>
                    </w:div>
                  </w:divsChild>
                </w:div>
                <w:div w:id="1889488798">
                  <w:marLeft w:val="0"/>
                  <w:marRight w:val="0"/>
                  <w:marTop w:val="0"/>
                  <w:marBottom w:val="0"/>
                  <w:divBdr>
                    <w:top w:val="none" w:sz="0" w:space="0" w:color="auto"/>
                    <w:left w:val="none" w:sz="0" w:space="0" w:color="auto"/>
                    <w:bottom w:val="none" w:sz="0" w:space="0" w:color="auto"/>
                    <w:right w:val="none" w:sz="0" w:space="0" w:color="auto"/>
                  </w:divBdr>
                  <w:divsChild>
                    <w:div w:id="1002314713">
                      <w:marLeft w:val="0"/>
                      <w:marRight w:val="0"/>
                      <w:marTop w:val="0"/>
                      <w:marBottom w:val="0"/>
                      <w:divBdr>
                        <w:top w:val="none" w:sz="0" w:space="0" w:color="auto"/>
                        <w:left w:val="none" w:sz="0" w:space="0" w:color="auto"/>
                        <w:bottom w:val="none" w:sz="0" w:space="0" w:color="auto"/>
                        <w:right w:val="none" w:sz="0" w:space="0" w:color="auto"/>
                      </w:divBdr>
                    </w:div>
                  </w:divsChild>
                </w:div>
                <w:div w:id="1901017924">
                  <w:marLeft w:val="0"/>
                  <w:marRight w:val="0"/>
                  <w:marTop w:val="0"/>
                  <w:marBottom w:val="0"/>
                  <w:divBdr>
                    <w:top w:val="none" w:sz="0" w:space="0" w:color="auto"/>
                    <w:left w:val="none" w:sz="0" w:space="0" w:color="auto"/>
                    <w:bottom w:val="none" w:sz="0" w:space="0" w:color="auto"/>
                    <w:right w:val="none" w:sz="0" w:space="0" w:color="auto"/>
                  </w:divBdr>
                  <w:divsChild>
                    <w:div w:id="1596091429">
                      <w:marLeft w:val="0"/>
                      <w:marRight w:val="0"/>
                      <w:marTop w:val="0"/>
                      <w:marBottom w:val="0"/>
                      <w:divBdr>
                        <w:top w:val="none" w:sz="0" w:space="0" w:color="auto"/>
                        <w:left w:val="none" w:sz="0" w:space="0" w:color="auto"/>
                        <w:bottom w:val="none" w:sz="0" w:space="0" w:color="auto"/>
                        <w:right w:val="none" w:sz="0" w:space="0" w:color="auto"/>
                      </w:divBdr>
                    </w:div>
                  </w:divsChild>
                </w:div>
                <w:div w:id="1906379660">
                  <w:marLeft w:val="0"/>
                  <w:marRight w:val="0"/>
                  <w:marTop w:val="0"/>
                  <w:marBottom w:val="0"/>
                  <w:divBdr>
                    <w:top w:val="none" w:sz="0" w:space="0" w:color="auto"/>
                    <w:left w:val="none" w:sz="0" w:space="0" w:color="auto"/>
                    <w:bottom w:val="none" w:sz="0" w:space="0" w:color="auto"/>
                    <w:right w:val="none" w:sz="0" w:space="0" w:color="auto"/>
                  </w:divBdr>
                  <w:divsChild>
                    <w:div w:id="1922593743">
                      <w:marLeft w:val="0"/>
                      <w:marRight w:val="0"/>
                      <w:marTop w:val="0"/>
                      <w:marBottom w:val="0"/>
                      <w:divBdr>
                        <w:top w:val="none" w:sz="0" w:space="0" w:color="auto"/>
                        <w:left w:val="none" w:sz="0" w:space="0" w:color="auto"/>
                        <w:bottom w:val="none" w:sz="0" w:space="0" w:color="auto"/>
                        <w:right w:val="none" w:sz="0" w:space="0" w:color="auto"/>
                      </w:divBdr>
                    </w:div>
                  </w:divsChild>
                </w:div>
                <w:div w:id="1913851137">
                  <w:marLeft w:val="0"/>
                  <w:marRight w:val="0"/>
                  <w:marTop w:val="0"/>
                  <w:marBottom w:val="0"/>
                  <w:divBdr>
                    <w:top w:val="none" w:sz="0" w:space="0" w:color="auto"/>
                    <w:left w:val="none" w:sz="0" w:space="0" w:color="auto"/>
                    <w:bottom w:val="none" w:sz="0" w:space="0" w:color="auto"/>
                    <w:right w:val="none" w:sz="0" w:space="0" w:color="auto"/>
                  </w:divBdr>
                  <w:divsChild>
                    <w:div w:id="6258016">
                      <w:marLeft w:val="0"/>
                      <w:marRight w:val="0"/>
                      <w:marTop w:val="0"/>
                      <w:marBottom w:val="0"/>
                      <w:divBdr>
                        <w:top w:val="none" w:sz="0" w:space="0" w:color="auto"/>
                        <w:left w:val="none" w:sz="0" w:space="0" w:color="auto"/>
                        <w:bottom w:val="none" w:sz="0" w:space="0" w:color="auto"/>
                        <w:right w:val="none" w:sz="0" w:space="0" w:color="auto"/>
                      </w:divBdr>
                    </w:div>
                  </w:divsChild>
                </w:div>
                <w:div w:id="1915312589">
                  <w:marLeft w:val="0"/>
                  <w:marRight w:val="0"/>
                  <w:marTop w:val="0"/>
                  <w:marBottom w:val="0"/>
                  <w:divBdr>
                    <w:top w:val="none" w:sz="0" w:space="0" w:color="auto"/>
                    <w:left w:val="none" w:sz="0" w:space="0" w:color="auto"/>
                    <w:bottom w:val="none" w:sz="0" w:space="0" w:color="auto"/>
                    <w:right w:val="none" w:sz="0" w:space="0" w:color="auto"/>
                  </w:divBdr>
                  <w:divsChild>
                    <w:div w:id="1178813157">
                      <w:marLeft w:val="0"/>
                      <w:marRight w:val="0"/>
                      <w:marTop w:val="0"/>
                      <w:marBottom w:val="0"/>
                      <w:divBdr>
                        <w:top w:val="none" w:sz="0" w:space="0" w:color="auto"/>
                        <w:left w:val="none" w:sz="0" w:space="0" w:color="auto"/>
                        <w:bottom w:val="none" w:sz="0" w:space="0" w:color="auto"/>
                        <w:right w:val="none" w:sz="0" w:space="0" w:color="auto"/>
                      </w:divBdr>
                    </w:div>
                  </w:divsChild>
                </w:div>
                <w:div w:id="1915971559">
                  <w:marLeft w:val="0"/>
                  <w:marRight w:val="0"/>
                  <w:marTop w:val="0"/>
                  <w:marBottom w:val="0"/>
                  <w:divBdr>
                    <w:top w:val="none" w:sz="0" w:space="0" w:color="auto"/>
                    <w:left w:val="none" w:sz="0" w:space="0" w:color="auto"/>
                    <w:bottom w:val="none" w:sz="0" w:space="0" w:color="auto"/>
                    <w:right w:val="none" w:sz="0" w:space="0" w:color="auto"/>
                  </w:divBdr>
                  <w:divsChild>
                    <w:div w:id="1930962569">
                      <w:marLeft w:val="0"/>
                      <w:marRight w:val="0"/>
                      <w:marTop w:val="0"/>
                      <w:marBottom w:val="0"/>
                      <w:divBdr>
                        <w:top w:val="none" w:sz="0" w:space="0" w:color="auto"/>
                        <w:left w:val="none" w:sz="0" w:space="0" w:color="auto"/>
                        <w:bottom w:val="none" w:sz="0" w:space="0" w:color="auto"/>
                        <w:right w:val="none" w:sz="0" w:space="0" w:color="auto"/>
                      </w:divBdr>
                    </w:div>
                  </w:divsChild>
                </w:div>
                <w:div w:id="1916937989">
                  <w:marLeft w:val="0"/>
                  <w:marRight w:val="0"/>
                  <w:marTop w:val="0"/>
                  <w:marBottom w:val="0"/>
                  <w:divBdr>
                    <w:top w:val="none" w:sz="0" w:space="0" w:color="auto"/>
                    <w:left w:val="none" w:sz="0" w:space="0" w:color="auto"/>
                    <w:bottom w:val="none" w:sz="0" w:space="0" w:color="auto"/>
                    <w:right w:val="none" w:sz="0" w:space="0" w:color="auto"/>
                  </w:divBdr>
                  <w:divsChild>
                    <w:div w:id="185680567">
                      <w:marLeft w:val="0"/>
                      <w:marRight w:val="0"/>
                      <w:marTop w:val="0"/>
                      <w:marBottom w:val="0"/>
                      <w:divBdr>
                        <w:top w:val="none" w:sz="0" w:space="0" w:color="auto"/>
                        <w:left w:val="none" w:sz="0" w:space="0" w:color="auto"/>
                        <w:bottom w:val="none" w:sz="0" w:space="0" w:color="auto"/>
                        <w:right w:val="none" w:sz="0" w:space="0" w:color="auto"/>
                      </w:divBdr>
                    </w:div>
                  </w:divsChild>
                </w:div>
                <w:div w:id="1922986630">
                  <w:marLeft w:val="0"/>
                  <w:marRight w:val="0"/>
                  <w:marTop w:val="0"/>
                  <w:marBottom w:val="0"/>
                  <w:divBdr>
                    <w:top w:val="none" w:sz="0" w:space="0" w:color="auto"/>
                    <w:left w:val="none" w:sz="0" w:space="0" w:color="auto"/>
                    <w:bottom w:val="none" w:sz="0" w:space="0" w:color="auto"/>
                    <w:right w:val="none" w:sz="0" w:space="0" w:color="auto"/>
                  </w:divBdr>
                  <w:divsChild>
                    <w:div w:id="897860028">
                      <w:marLeft w:val="0"/>
                      <w:marRight w:val="0"/>
                      <w:marTop w:val="0"/>
                      <w:marBottom w:val="0"/>
                      <w:divBdr>
                        <w:top w:val="none" w:sz="0" w:space="0" w:color="auto"/>
                        <w:left w:val="none" w:sz="0" w:space="0" w:color="auto"/>
                        <w:bottom w:val="none" w:sz="0" w:space="0" w:color="auto"/>
                        <w:right w:val="none" w:sz="0" w:space="0" w:color="auto"/>
                      </w:divBdr>
                    </w:div>
                  </w:divsChild>
                </w:div>
                <w:div w:id="1924490074">
                  <w:marLeft w:val="0"/>
                  <w:marRight w:val="0"/>
                  <w:marTop w:val="0"/>
                  <w:marBottom w:val="0"/>
                  <w:divBdr>
                    <w:top w:val="none" w:sz="0" w:space="0" w:color="auto"/>
                    <w:left w:val="none" w:sz="0" w:space="0" w:color="auto"/>
                    <w:bottom w:val="none" w:sz="0" w:space="0" w:color="auto"/>
                    <w:right w:val="none" w:sz="0" w:space="0" w:color="auto"/>
                  </w:divBdr>
                  <w:divsChild>
                    <w:div w:id="955253006">
                      <w:marLeft w:val="0"/>
                      <w:marRight w:val="0"/>
                      <w:marTop w:val="0"/>
                      <w:marBottom w:val="0"/>
                      <w:divBdr>
                        <w:top w:val="none" w:sz="0" w:space="0" w:color="auto"/>
                        <w:left w:val="none" w:sz="0" w:space="0" w:color="auto"/>
                        <w:bottom w:val="none" w:sz="0" w:space="0" w:color="auto"/>
                        <w:right w:val="none" w:sz="0" w:space="0" w:color="auto"/>
                      </w:divBdr>
                    </w:div>
                  </w:divsChild>
                </w:div>
                <w:div w:id="1929532819">
                  <w:marLeft w:val="0"/>
                  <w:marRight w:val="0"/>
                  <w:marTop w:val="0"/>
                  <w:marBottom w:val="0"/>
                  <w:divBdr>
                    <w:top w:val="none" w:sz="0" w:space="0" w:color="auto"/>
                    <w:left w:val="none" w:sz="0" w:space="0" w:color="auto"/>
                    <w:bottom w:val="none" w:sz="0" w:space="0" w:color="auto"/>
                    <w:right w:val="none" w:sz="0" w:space="0" w:color="auto"/>
                  </w:divBdr>
                  <w:divsChild>
                    <w:div w:id="255096393">
                      <w:marLeft w:val="0"/>
                      <w:marRight w:val="0"/>
                      <w:marTop w:val="0"/>
                      <w:marBottom w:val="0"/>
                      <w:divBdr>
                        <w:top w:val="none" w:sz="0" w:space="0" w:color="auto"/>
                        <w:left w:val="none" w:sz="0" w:space="0" w:color="auto"/>
                        <w:bottom w:val="none" w:sz="0" w:space="0" w:color="auto"/>
                        <w:right w:val="none" w:sz="0" w:space="0" w:color="auto"/>
                      </w:divBdr>
                    </w:div>
                  </w:divsChild>
                </w:div>
                <w:div w:id="1933779618">
                  <w:marLeft w:val="0"/>
                  <w:marRight w:val="0"/>
                  <w:marTop w:val="0"/>
                  <w:marBottom w:val="0"/>
                  <w:divBdr>
                    <w:top w:val="none" w:sz="0" w:space="0" w:color="auto"/>
                    <w:left w:val="none" w:sz="0" w:space="0" w:color="auto"/>
                    <w:bottom w:val="none" w:sz="0" w:space="0" w:color="auto"/>
                    <w:right w:val="none" w:sz="0" w:space="0" w:color="auto"/>
                  </w:divBdr>
                  <w:divsChild>
                    <w:div w:id="1698582990">
                      <w:marLeft w:val="0"/>
                      <w:marRight w:val="0"/>
                      <w:marTop w:val="0"/>
                      <w:marBottom w:val="0"/>
                      <w:divBdr>
                        <w:top w:val="none" w:sz="0" w:space="0" w:color="auto"/>
                        <w:left w:val="none" w:sz="0" w:space="0" w:color="auto"/>
                        <w:bottom w:val="none" w:sz="0" w:space="0" w:color="auto"/>
                        <w:right w:val="none" w:sz="0" w:space="0" w:color="auto"/>
                      </w:divBdr>
                    </w:div>
                  </w:divsChild>
                </w:div>
                <w:div w:id="1938363925">
                  <w:marLeft w:val="0"/>
                  <w:marRight w:val="0"/>
                  <w:marTop w:val="0"/>
                  <w:marBottom w:val="0"/>
                  <w:divBdr>
                    <w:top w:val="none" w:sz="0" w:space="0" w:color="auto"/>
                    <w:left w:val="none" w:sz="0" w:space="0" w:color="auto"/>
                    <w:bottom w:val="none" w:sz="0" w:space="0" w:color="auto"/>
                    <w:right w:val="none" w:sz="0" w:space="0" w:color="auto"/>
                  </w:divBdr>
                  <w:divsChild>
                    <w:div w:id="503470343">
                      <w:marLeft w:val="0"/>
                      <w:marRight w:val="0"/>
                      <w:marTop w:val="0"/>
                      <w:marBottom w:val="0"/>
                      <w:divBdr>
                        <w:top w:val="none" w:sz="0" w:space="0" w:color="auto"/>
                        <w:left w:val="none" w:sz="0" w:space="0" w:color="auto"/>
                        <w:bottom w:val="none" w:sz="0" w:space="0" w:color="auto"/>
                        <w:right w:val="none" w:sz="0" w:space="0" w:color="auto"/>
                      </w:divBdr>
                    </w:div>
                  </w:divsChild>
                </w:div>
                <w:div w:id="1941066710">
                  <w:marLeft w:val="0"/>
                  <w:marRight w:val="0"/>
                  <w:marTop w:val="0"/>
                  <w:marBottom w:val="0"/>
                  <w:divBdr>
                    <w:top w:val="none" w:sz="0" w:space="0" w:color="auto"/>
                    <w:left w:val="none" w:sz="0" w:space="0" w:color="auto"/>
                    <w:bottom w:val="none" w:sz="0" w:space="0" w:color="auto"/>
                    <w:right w:val="none" w:sz="0" w:space="0" w:color="auto"/>
                  </w:divBdr>
                  <w:divsChild>
                    <w:div w:id="1646009773">
                      <w:marLeft w:val="0"/>
                      <w:marRight w:val="0"/>
                      <w:marTop w:val="0"/>
                      <w:marBottom w:val="0"/>
                      <w:divBdr>
                        <w:top w:val="none" w:sz="0" w:space="0" w:color="auto"/>
                        <w:left w:val="none" w:sz="0" w:space="0" w:color="auto"/>
                        <w:bottom w:val="none" w:sz="0" w:space="0" w:color="auto"/>
                        <w:right w:val="none" w:sz="0" w:space="0" w:color="auto"/>
                      </w:divBdr>
                    </w:div>
                  </w:divsChild>
                </w:div>
                <w:div w:id="1949851451">
                  <w:marLeft w:val="0"/>
                  <w:marRight w:val="0"/>
                  <w:marTop w:val="0"/>
                  <w:marBottom w:val="0"/>
                  <w:divBdr>
                    <w:top w:val="none" w:sz="0" w:space="0" w:color="auto"/>
                    <w:left w:val="none" w:sz="0" w:space="0" w:color="auto"/>
                    <w:bottom w:val="none" w:sz="0" w:space="0" w:color="auto"/>
                    <w:right w:val="none" w:sz="0" w:space="0" w:color="auto"/>
                  </w:divBdr>
                  <w:divsChild>
                    <w:div w:id="155732673">
                      <w:marLeft w:val="0"/>
                      <w:marRight w:val="0"/>
                      <w:marTop w:val="0"/>
                      <w:marBottom w:val="0"/>
                      <w:divBdr>
                        <w:top w:val="none" w:sz="0" w:space="0" w:color="auto"/>
                        <w:left w:val="none" w:sz="0" w:space="0" w:color="auto"/>
                        <w:bottom w:val="none" w:sz="0" w:space="0" w:color="auto"/>
                        <w:right w:val="none" w:sz="0" w:space="0" w:color="auto"/>
                      </w:divBdr>
                    </w:div>
                  </w:divsChild>
                </w:div>
                <w:div w:id="1963414620">
                  <w:marLeft w:val="0"/>
                  <w:marRight w:val="0"/>
                  <w:marTop w:val="0"/>
                  <w:marBottom w:val="0"/>
                  <w:divBdr>
                    <w:top w:val="none" w:sz="0" w:space="0" w:color="auto"/>
                    <w:left w:val="none" w:sz="0" w:space="0" w:color="auto"/>
                    <w:bottom w:val="none" w:sz="0" w:space="0" w:color="auto"/>
                    <w:right w:val="none" w:sz="0" w:space="0" w:color="auto"/>
                  </w:divBdr>
                  <w:divsChild>
                    <w:div w:id="63530751">
                      <w:marLeft w:val="0"/>
                      <w:marRight w:val="0"/>
                      <w:marTop w:val="0"/>
                      <w:marBottom w:val="0"/>
                      <w:divBdr>
                        <w:top w:val="none" w:sz="0" w:space="0" w:color="auto"/>
                        <w:left w:val="none" w:sz="0" w:space="0" w:color="auto"/>
                        <w:bottom w:val="none" w:sz="0" w:space="0" w:color="auto"/>
                        <w:right w:val="none" w:sz="0" w:space="0" w:color="auto"/>
                      </w:divBdr>
                    </w:div>
                  </w:divsChild>
                </w:div>
                <w:div w:id="1966495600">
                  <w:marLeft w:val="0"/>
                  <w:marRight w:val="0"/>
                  <w:marTop w:val="0"/>
                  <w:marBottom w:val="0"/>
                  <w:divBdr>
                    <w:top w:val="none" w:sz="0" w:space="0" w:color="auto"/>
                    <w:left w:val="none" w:sz="0" w:space="0" w:color="auto"/>
                    <w:bottom w:val="none" w:sz="0" w:space="0" w:color="auto"/>
                    <w:right w:val="none" w:sz="0" w:space="0" w:color="auto"/>
                  </w:divBdr>
                  <w:divsChild>
                    <w:div w:id="164787852">
                      <w:marLeft w:val="0"/>
                      <w:marRight w:val="0"/>
                      <w:marTop w:val="0"/>
                      <w:marBottom w:val="0"/>
                      <w:divBdr>
                        <w:top w:val="none" w:sz="0" w:space="0" w:color="auto"/>
                        <w:left w:val="none" w:sz="0" w:space="0" w:color="auto"/>
                        <w:bottom w:val="none" w:sz="0" w:space="0" w:color="auto"/>
                        <w:right w:val="none" w:sz="0" w:space="0" w:color="auto"/>
                      </w:divBdr>
                    </w:div>
                  </w:divsChild>
                </w:div>
                <w:div w:id="1967004160">
                  <w:marLeft w:val="0"/>
                  <w:marRight w:val="0"/>
                  <w:marTop w:val="0"/>
                  <w:marBottom w:val="0"/>
                  <w:divBdr>
                    <w:top w:val="none" w:sz="0" w:space="0" w:color="auto"/>
                    <w:left w:val="none" w:sz="0" w:space="0" w:color="auto"/>
                    <w:bottom w:val="none" w:sz="0" w:space="0" w:color="auto"/>
                    <w:right w:val="none" w:sz="0" w:space="0" w:color="auto"/>
                  </w:divBdr>
                  <w:divsChild>
                    <w:div w:id="2054427929">
                      <w:marLeft w:val="0"/>
                      <w:marRight w:val="0"/>
                      <w:marTop w:val="0"/>
                      <w:marBottom w:val="0"/>
                      <w:divBdr>
                        <w:top w:val="none" w:sz="0" w:space="0" w:color="auto"/>
                        <w:left w:val="none" w:sz="0" w:space="0" w:color="auto"/>
                        <w:bottom w:val="none" w:sz="0" w:space="0" w:color="auto"/>
                        <w:right w:val="none" w:sz="0" w:space="0" w:color="auto"/>
                      </w:divBdr>
                    </w:div>
                  </w:divsChild>
                </w:div>
                <w:div w:id="1967931684">
                  <w:marLeft w:val="0"/>
                  <w:marRight w:val="0"/>
                  <w:marTop w:val="0"/>
                  <w:marBottom w:val="0"/>
                  <w:divBdr>
                    <w:top w:val="none" w:sz="0" w:space="0" w:color="auto"/>
                    <w:left w:val="none" w:sz="0" w:space="0" w:color="auto"/>
                    <w:bottom w:val="none" w:sz="0" w:space="0" w:color="auto"/>
                    <w:right w:val="none" w:sz="0" w:space="0" w:color="auto"/>
                  </w:divBdr>
                  <w:divsChild>
                    <w:div w:id="2050763652">
                      <w:marLeft w:val="0"/>
                      <w:marRight w:val="0"/>
                      <w:marTop w:val="0"/>
                      <w:marBottom w:val="0"/>
                      <w:divBdr>
                        <w:top w:val="none" w:sz="0" w:space="0" w:color="auto"/>
                        <w:left w:val="none" w:sz="0" w:space="0" w:color="auto"/>
                        <w:bottom w:val="none" w:sz="0" w:space="0" w:color="auto"/>
                        <w:right w:val="none" w:sz="0" w:space="0" w:color="auto"/>
                      </w:divBdr>
                    </w:div>
                  </w:divsChild>
                </w:div>
                <w:div w:id="1968271793">
                  <w:marLeft w:val="0"/>
                  <w:marRight w:val="0"/>
                  <w:marTop w:val="0"/>
                  <w:marBottom w:val="0"/>
                  <w:divBdr>
                    <w:top w:val="none" w:sz="0" w:space="0" w:color="auto"/>
                    <w:left w:val="none" w:sz="0" w:space="0" w:color="auto"/>
                    <w:bottom w:val="none" w:sz="0" w:space="0" w:color="auto"/>
                    <w:right w:val="none" w:sz="0" w:space="0" w:color="auto"/>
                  </w:divBdr>
                  <w:divsChild>
                    <w:div w:id="1950039968">
                      <w:marLeft w:val="0"/>
                      <w:marRight w:val="0"/>
                      <w:marTop w:val="0"/>
                      <w:marBottom w:val="0"/>
                      <w:divBdr>
                        <w:top w:val="none" w:sz="0" w:space="0" w:color="auto"/>
                        <w:left w:val="none" w:sz="0" w:space="0" w:color="auto"/>
                        <w:bottom w:val="none" w:sz="0" w:space="0" w:color="auto"/>
                        <w:right w:val="none" w:sz="0" w:space="0" w:color="auto"/>
                      </w:divBdr>
                    </w:div>
                  </w:divsChild>
                </w:div>
                <w:div w:id="1972204277">
                  <w:marLeft w:val="0"/>
                  <w:marRight w:val="0"/>
                  <w:marTop w:val="0"/>
                  <w:marBottom w:val="0"/>
                  <w:divBdr>
                    <w:top w:val="none" w:sz="0" w:space="0" w:color="auto"/>
                    <w:left w:val="none" w:sz="0" w:space="0" w:color="auto"/>
                    <w:bottom w:val="none" w:sz="0" w:space="0" w:color="auto"/>
                    <w:right w:val="none" w:sz="0" w:space="0" w:color="auto"/>
                  </w:divBdr>
                  <w:divsChild>
                    <w:div w:id="508983467">
                      <w:marLeft w:val="0"/>
                      <w:marRight w:val="0"/>
                      <w:marTop w:val="0"/>
                      <w:marBottom w:val="0"/>
                      <w:divBdr>
                        <w:top w:val="none" w:sz="0" w:space="0" w:color="auto"/>
                        <w:left w:val="none" w:sz="0" w:space="0" w:color="auto"/>
                        <w:bottom w:val="none" w:sz="0" w:space="0" w:color="auto"/>
                        <w:right w:val="none" w:sz="0" w:space="0" w:color="auto"/>
                      </w:divBdr>
                    </w:div>
                  </w:divsChild>
                </w:div>
                <w:div w:id="1985810306">
                  <w:marLeft w:val="0"/>
                  <w:marRight w:val="0"/>
                  <w:marTop w:val="0"/>
                  <w:marBottom w:val="0"/>
                  <w:divBdr>
                    <w:top w:val="none" w:sz="0" w:space="0" w:color="auto"/>
                    <w:left w:val="none" w:sz="0" w:space="0" w:color="auto"/>
                    <w:bottom w:val="none" w:sz="0" w:space="0" w:color="auto"/>
                    <w:right w:val="none" w:sz="0" w:space="0" w:color="auto"/>
                  </w:divBdr>
                  <w:divsChild>
                    <w:div w:id="1893230192">
                      <w:marLeft w:val="0"/>
                      <w:marRight w:val="0"/>
                      <w:marTop w:val="0"/>
                      <w:marBottom w:val="0"/>
                      <w:divBdr>
                        <w:top w:val="none" w:sz="0" w:space="0" w:color="auto"/>
                        <w:left w:val="none" w:sz="0" w:space="0" w:color="auto"/>
                        <w:bottom w:val="none" w:sz="0" w:space="0" w:color="auto"/>
                        <w:right w:val="none" w:sz="0" w:space="0" w:color="auto"/>
                      </w:divBdr>
                    </w:div>
                  </w:divsChild>
                </w:div>
                <w:div w:id="1987320869">
                  <w:marLeft w:val="0"/>
                  <w:marRight w:val="0"/>
                  <w:marTop w:val="0"/>
                  <w:marBottom w:val="0"/>
                  <w:divBdr>
                    <w:top w:val="none" w:sz="0" w:space="0" w:color="auto"/>
                    <w:left w:val="none" w:sz="0" w:space="0" w:color="auto"/>
                    <w:bottom w:val="none" w:sz="0" w:space="0" w:color="auto"/>
                    <w:right w:val="none" w:sz="0" w:space="0" w:color="auto"/>
                  </w:divBdr>
                  <w:divsChild>
                    <w:div w:id="1461651116">
                      <w:marLeft w:val="0"/>
                      <w:marRight w:val="0"/>
                      <w:marTop w:val="0"/>
                      <w:marBottom w:val="0"/>
                      <w:divBdr>
                        <w:top w:val="none" w:sz="0" w:space="0" w:color="auto"/>
                        <w:left w:val="none" w:sz="0" w:space="0" w:color="auto"/>
                        <w:bottom w:val="none" w:sz="0" w:space="0" w:color="auto"/>
                        <w:right w:val="none" w:sz="0" w:space="0" w:color="auto"/>
                      </w:divBdr>
                    </w:div>
                  </w:divsChild>
                </w:div>
                <w:div w:id="1988584337">
                  <w:marLeft w:val="0"/>
                  <w:marRight w:val="0"/>
                  <w:marTop w:val="0"/>
                  <w:marBottom w:val="0"/>
                  <w:divBdr>
                    <w:top w:val="none" w:sz="0" w:space="0" w:color="auto"/>
                    <w:left w:val="none" w:sz="0" w:space="0" w:color="auto"/>
                    <w:bottom w:val="none" w:sz="0" w:space="0" w:color="auto"/>
                    <w:right w:val="none" w:sz="0" w:space="0" w:color="auto"/>
                  </w:divBdr>
                  <w:divsChild>
                    <w:div w:id="11803910">
                      <w:marLeft w:val="0"/>
                      <w:marRight w:val="0"/>
                      <w:marTop w:val="0"/>
                      <w:marBottom w:val="0"/>
                      <w:divBdr>
                        <w:top w:val="none" w:sz="0" w:space="0" w:color="auto"/>
                        <w:left w:val="none" w:sz="0" w:space="0" w:color="auto"/>
                        <w:bottom w:val="none" w:sz="0" w:space="0" w:color="auto"/>
                        <w:right w:val="none" w:sz="0" w:space="0" w:color="auto"/>
                      </w:divBdr>
                    </w:div>
                  </w:divsChild>
                </w:div>
                <w:div w:id="1995910234">
                  <w:marLeft w:val="0"/>
                  <w:marRight w:val="0"/>
                  <w:marTop w:val="0"/>
                  <w:marBottom w:val="0"/>
                  <w:divBdr>
                    <w:top w:val="none" w:sz="0" w:space="0" w:color="auto"/>
                    <w:left w:val="none" w:sz="0" w:space="0" w:color="auto"/>
                    <w:bottom w:val="none" w:sz="0" w:space="0" w:color="auto"/>
                    <w:right w:val="none" w:sz="0" w:space="0" w:color="auto"/>
                  </w:divBdr>
                  <w:divsChild>
                    <w:div w:id="1666855953">
                      <w:marLeft w:val="0"/>
                      <w:marRight w:val="0"/>
                      <w:marTop w:val="0"/>
                      <w:marBottom w:val="0"/>
                      <w:divBdr>
                        <w:top w:val="none" w:sz="0" w:space="0" w:color="auto"/>
                        <w:left w:val="none" w:sz="0" w:space="0" w:color="auto"/>
                        <w:bottom w:val="none" w:sz="0" w:space="0" w:color="auto"/>
                        <w:right w:val="none" w:sz="0" w:space="0" w:color="auto"/>
                      </w:divBdr>
                    </w:div>
                  </w:divsChild>
                </w:div>
                <w:div w:id="1997416396">
                  <w:marLeft w:val="0"/>
                  <w:marRight w:val="0"/>
                  <w:marTop w:val="0"/>
                  <w:marBottom w:val="0"/>
                  <w:divBdr>
                    <w:top w:val="none" w:sz="0" w:space="0" w:color="auto"/>
                    <w:left w:val="none" w:sz="0" w:space="0" w:color="auto"/>
                    <w:bottom w:val="none" w:sz="0" w:space="0" w:color="auto"/>
                    <w:right w:val="none" w:sz="0" w:space="0" w:color="auto"/>
                  </w:divBdr>
                  <w:divsChild>
                    <w:div w:id="15622367">
                      <w:marLeft w:val="0"/>
                      <w:marRight w:val="0"/>
                      <w:marTop w:val="0"/>
                      <w:marBottom w:val="0"/>
                      <w:divBdr>
                        <w:top w:val="none" w:sz="0" w:space="0" w:color="auto"/>
                        <w:left w:val="none" w:sz="0" w:space="0" w:color="auto"/>
                        <w:bottom w:val="none" w:sz="0" w:space="0" w:color="auto"/>
                        <w:right w:val="none" w:sz="0" w:space="0" w:color="auto"/>
                      </w:divBdr>
                    </w:div>
                  </w:divsChild>
                </w:div>
                <w:div w:id="2006548051">
                  <w:marLeft w:val="0"/>
                  <w:marRight w:val="0"/>
                  <w:marTop w:val="0"/>
                  <w:marBottom w:val="0"/>
                  <w:divBdr>
                    <w:top w:val="none" w:sz="0" w:space="0" w:color="auto"/>
                    <w:left w:val="none" w:sz="0" w:space="0" w:color="auto"/>
                    <w:bottom w:val="none" w:sz="0" w:space="0" w:color="auto"/>
                    <w:right w:val="none" w:sz="0" w:space="0" w:color="auto"/>
                  </w:divBdr>
                  <w:divsChild>
                    <w:div w:id="2075548541">
                      <w:marLeft w:val="0"/>
                      <w:marRight w:val="0"/>
                      <w:marTop w:val="0"/>
                      <w:marBottom w:val="0"/>
                      <w:divBdr>
                        <w:top w:val="none" w:sz="0" w:space="0" w:color="auto"/>
                        <w:left w:val="none" w:sz="0" w:space="0" w:color="auto"/>
                        <w:bottom w:val="none" w:sz="0" w:space="0" w:color="auto"/>
                        <w:right w:val="none" w:sz="0" w:space="0" w:color="auto"/>
                      </w:divBdr>
                    </w:div>
                  </w:divsChild>
                </w:div>
                <w:div w:id="2011449925">
                  <w:marLeft w:val="0"/>
                  <w:marRight w:val="0"/>
                  <w:marTop w:val="0"/>
                  <w:marBottom w:val="0"/>
                  <w:divBdr>
                    <w:top w:val="none" w:sz="0" w:space="0" w:color="auto"/>
                    <w:left w:val="none" w:sz="0" w:space="0" w:color="auto"/>
                    <w:bottom w:val="none" w:sz="0" w:space="0" w:color="auto"/>
                    <w:right w:val="none" w:sz="0" w:space="0" w:color="auto"/>
                  </w:divBdr>
                  <w:divsChild>
                    <w:div w:id="33848652">
                      <w:marLeft w:val="0"/>
                      <w:marRight w:val="0"/>
                      <w:marTop w:val="0"/>
                      <w:marBottom w:val="0"/>
                      <w:divBdr>
                        <w:top w:val="none" w:sz="0" w:space="0" w:color="auto"/>
                        <w:left w:val="none" w:sz="0" w:space="0" w:color="auto"/>
                        <w:bottom w:val="none" w:sz="0" w:space="0" w:color="auto"/>
                        <w:right w:val="none" w:sz="0" w:space="0" w:color="auto"/>
                      </w:divBdr>
                    </w:div>
                  </w:divsChild>
                </w:div>
                <w:div w:id="2016496725">
                  <w:marLeft w:val="0"/>
                  <w:marRight w:val="0"/>
                  <w:marTop w:val="0"/>
                  <w:marBottom w:val="0"/>
                  <w:divBdr>
                    <w:top w:val="none" w:sz="0" w:space="0" w:color="auto"/>
                    <w:left w:val="none" w:sz="0" w:space="0" w:color="auto"/>
                    <w:bottom w:val="none" w:sz="0" w:space="0" w:color="auto"/>
                    <w:right w:val="none" w:sz="0" w:space="0" w:color="auto"/>
                  </w:divBdr>
                  <w:divsChild>
                    <w:div w:id="64649861">
                      <w:marLeft w:val="0"/>
                      <w:marRight w:val="0"/>
                      <w:marTop w:val="0"/>
                      <w:marBottom w:val="0"/>
                      <w:divBdr>
                        <w:top w:val="none" w:sz="0" w:space="0" w:color="auto"/>
                        <w:left w:val="none" w:sz="0" w:space="0" w:color="auto"/>
                        <w:bottom w:val="none" w:sz="0" w:space="0" w:color="auto"/>
                        <w:right w:val="none" w:sz="0" w:space="0" w:color="auto"/>
                      </w:divBdr>
                    </w:div>
                  </w:divsChild>
                </w:div>
                <w:div w:id="2017151169">
                  <w:marLeft w:val="0"/>
                  <w:marRight w:val="0"/>
                  <w:marTop w:val="0"/>
                  <w:marBottom w:val="0"/>
                  <w:divBdr>
                    <w:top w:val="none" w:sz="0" w:space="0" w:color="auto"/>
                    <w:left w:val="none" w:sz="0" w:space="0" w:color="auto"/>
                    <w:bottom w:val="none" w:sz="0" w:space="0" w:color="auto"/>
                    <w:right w:val="none" w:sz="0" w:space="0" w:color="auto"/>
                  </w:divBdr>
                  <w:divsChild>
                    <w:div w:id="50420288">
                      <w:marLeft w:val="0"/>
                      <w:marRight w:val="0"/>
                      <w:marTop w:val="0"/>
                      <w:marBottom w:val="0"/>
                      <w:divBdr>
                        <w:top w:val="none" w:sz="0" w:space="0" w:color="auto"/>
                        <w:left w:val="none" w:sz="0" w:space="0" w:color="auto"/>
                        <w:bottom w:val="none" w:sz="0" w:space="0" w:color="auto"/>
                        <w:right w:val="none" w:sz="0" w:space="0" w:color="auto"/>
                      </w:divBdr>
                    </w:div>
                  </w:divsChild>
                </w:div>
                <w:div w:id="2022200461">
                  <w:marLeft w:val="0"/>
                  <w:marRight w:val="0"/>
                  <w:marTop w:val="0"/>
                  <w:marBottom w:val="0"/>
                  <w:divBdr>
                    <w:top w:val="none" w:sz="0" w:space="0" w:color="auto"/>
                    <w:left w:val="none" w:sz="0" w:space="0" w:color="auto"/>
                    <w:bottom w:val="none" w:sz="0" w:space="0" w:color="auto"/>
                    <w:right w:val="none" w:sz="0" w:space="0" w:color="auto"/>
                  </w:divBdr>
                  <w:divsChild>
                    <w:div w:id="617949560">
                      <w:marLeft w:val="0"/>
                      <w:marRight w:val="0"/>
                      <w:marTop w:val="0"/>
                      <w:marBottom w:val="0"/>
                      <w:divBdr>
                        <w:top w:val="none" w:sz="0" w:space="0" w:color="auto"/>
                        <w:left w:val="none" w:sz="0" w:space="0" w:color="auto"/>
                        <w:bottom w:val="none" w:sz="0" w:space="0" w:color="auto"/>
                        <w:right w:val="none" w:sz="0" w:space="0" w:color="auto"/>
                      </w:divBdr>
                    </w:div>
                  </w:divsChild>
                </w:div>
                <w:div w:id="2026786068">
                  <w:marLeft w:val="0"/>
                  <w:marRight w:val="0"/>
                  <w:marTop w:val="0"/>
                  <w:marBottom w:val="0"/>
                  <w:divBdr>
                    <w:top w:val="none" w:sz="0" w:space="0" w:color="auto"/>
                    <w:left w:val="none" w:sz="0" w:space="0" w:color="auto"/>
                    <w:bottom w:val="none" w:sz="0" w:space="0" w:color="auto"/>
                    <w:right w:val="none" w:sz="0" w:space="0" w:color="auto"/>
                  </w:divBdr>
                  <w:divsChild>
                    <w:div w:id="663633627">
                      <w:marLeft w:val="0"/>
                      <w:marRight w:val="0"/>
                      <w:marTop w:val="0"/>
                      <w:marBottom w:val="0"/>
                      <w:divBdr>
                        <w:top w:val="none" w:sz="0" w:space="0" w:color="auto"/>
                        <w:left w:val="none" w:sz="0" w:space="0" w:color="auto"/>
                        <w:bottom w:val="none" w:sz="0" w:space="0" w:color="auto"/>
                        <w:right w:val="none" w:sz="0" w:space="0" w:color="auto"/>
                      </w:divBdr>
                    </w:div>
                  </w:divsChild>
                </w:div>
                <w:div w:id="2027755215">
                  <w:marLeft w:val="0"/>
                  <w:marRight w:val="0"/>
                  <w:marTop w:val="0"/>
                  <w:marBottom w:val="0"/>
                  <w:divBdr>
                    <w:top w:val="none" w:sz="0" w:space="0" w:color="auto"/>
                    <w:left w:val="none" w:sz="0" w:space="0" w:color="auto"/>
                    <w:bottom w:val="none" w:sz="0" w:space="0" w:color="auto"/>
                    <w:right w:val="none" w:sz="0" w:space="0" w:color="auto"/>
                  </w:divBdr>
                  <w:divsChild>
                    <w:div w:id="1580746390">
                      <w:marLeft w:val="0"/>
                      <w:marRight w:val="0"/>
                      <w:marTop w:val="0"/>
                      <w:marBottom w:val="0"/>
                      <w:divBdr>
                        <w:top w:val="none" w:sz="0" w:space="0" w:color="auto"/>
                        <w:left w:val="none" w:sz="0" w:space="0" w:color="auto"/>
                        <w:bottom w:val="none" w:sz="0" w:space="0" w:color="auto"/>
                        <w:right w:val="none" w:sz="0" w:space="0" w:color="auto"/>
                      </w:divBdr>
                    </w:div>
                  </w:divsChild>
                </w:div>
                <w:div w:id="2029603742">
                  <w:marLeft w:val="0"/>
                  <w:marRight w:val="0"/>
                  <w:marTop w:val="0"/>
                  <w:marBottom w:val="0"/>
                  <w:divBdr>
                    <w:top w:val="none" w:sz="0" w:space="0" w:color="auto"/>
                    <w:left w:val="none" w:sz="0" w:space="0" w:color="auto"/>
                    <w:bottom w:val="none" w:sz="0" w:space="0" w:color="auto"/>
                    <w:right w:val="none" w:sz="0" w:space="0" w:color="auto"/>
                  </w:divBdr>
                  <w:divsChild>
                    <w:div w:id="1282685889">
                      <w:marLeft w:val="0"/>
                      <w:marRight w:val="0"/>
                      <w:marTop w:val="0"/>
                      <w:marBottom w:val="0"/>
                      <w:divBdr>
                        <w:top w:val="none" w:sz="0" w:space="0" w:color="auto"/>
                        <w:left w:val="none" w:sz="0" w:space="0" w:color="auto"/>
                        <w:bottom w:val="none" w:sz="0" w:space="0" w:color="auto"/>
                        <w:right w:val="none" w:sz="0" w:space="0" w:color="auto"/>
                      </w:divBdr>
                    </w:div>
                  </w:divsChild>
                </w:div>
                <w:div w:id="2030795978">
                  <w:marLeft w:val="0"/>
                  <w:marRight w:val="0"/>
                  <w:marTop w:val="0"/>
                  <w:marBottom w:val="0"/>
                  <w:divBdr>
                    <w:top w:val="none" w:sz="0" w:space="0" w:color="auto"/>
                    <w:left w:val="none" w:sz="0" w:space="0" w:color="auto"/>
                    <w:bottom w:val="none" w:sz="0" w:space="0" w:color="auto"/>
                    <w:right w:val="none" w:sz="0" w:space="0" w:color="auto"/>
                  </w:divBdr>
                  <w:divsChild>
                    <w:div w:id="1464084142">
                      <w:marLeft w:val="0"/>
                      <w:marRight w:val="0"/>
                      <w:marTop w:val="0"/>
                      <w:marBottom w:val="0"/>
                      <w:divBdr>
                        <w:top w:val="none" w:sz="0" w:space="0" w:color="auto"/>
                        <w:left w:val="none" w:sz="0" w:space="0" w:color="auto"/>
                        <w:bottom w:val="none" w:sz="0" w:space="0" w:color="auto"/>
                        <w:right w:val="none" w:sz="0" w:space="0" w:color="auto"/>
                      </w:divBdr>
                    </w:div>
                  </w:divsChild>
                </w:div>
                <w:div w:id="2032107201">
                  <w:marLeft w:val="0"/>
                  <w:marRight w:val="0"/>
                  <w:marTop w:val="0"/>
                  <w:marBottom w:val="0"/>
                  <w:divBdr>
                    <w:top w:val="none" w:sz="0" w:space="0" w:color="auto"/>
                    <w:left w:val="none" w:sz="0" w:space="0" w:color="auto"/>
                    <w:bottom w:val="none" w:sz="0" w:space="0" w:color="auto"/>
                    <w:right w:val="none" w:sz="0" w:space="0" w:color="auto"/>
                  </w:divBdr>
                  <w:divsChild>
                    <w:div w:id="1033576737">
                      <w:marLeft w:val="0"/>
                      <w:marRight w:val="0"/>
                      <w:marTop w:val="0"/>
                      <w:marBottom w:val="0"/>
                      <w:divBdr>
                        <w:top w:val="none" w:sz="0" w:space="0" w:color="auto"/>
                        <w:left w:val="none" w:sz="0" w:space="0" w:color="auto"/>
                        <w:bottom w:val="none" w:sz="0" w:space="0" w:color="auto"/>
                        <w:right w:val="none" w:sz="0" w:space="0" w:color="auto"/>
                      </w:divBdr>
                    </w:div>
                  </w:divsChild>
                </w:div>
                <w:div w:id="2044212616">
                  <w:marLeft w:val="0"/>
                  <w:marRight w:val="0"/>
                  <w:marTop w:val="0"/>
                  <w:marBottom w:val="0"/>
                  <w:divBdr>
                    <w:top w:val="none" w:sz="0" w:space="0" w:color="auto"/>
                    <w:left w:val="none" w:sz="0" w:space="0" w:color="auto"/>
                    <w:bottom w:val="none" w:sz="0" w:space="0" w:color="auto"/>
                    <w:right w:val="none" w:sz="0" w:space="0" w:color="auto"/>
                  </w:divBdr>
                  <w:divsChild>
                    <w:div w:id="1942495047">
                      <w:marLeft w:val="0"/>
                      <w:marRight w:val="0"/>
                      <w:marTop w:val="0"/>
                      <w:marBottom w:val="0"/>
                      <w:divBdr>
                        <w:top w:val="none" w:sz="0" w:space="0" w:color="auto"/>
                        <w:left w:val="none" w:sz="0" w:space="0" w:color="auto"/>
                        <w:bottom w:val="none" w:sz="0" w:space="0" w:color="auto"/>
                        <w:right w:val="none" w:sz="0" w:space="0" w:color="auto"/>
                      </w:divBdr>
                    </w:div>
                  </w:divsChild>
                </w:div>
                <w:div w:id="2045212454">
                  <w:marLeft w:val="0"/>
                  <w:marRight w:val="0"/>
                  <w:marTop w:val="0"/>
                  <w:marBottom w:val="0"/>
                  <w:divBdr>
                    <w:top w:val="none" w:sz="0" w:space="0" w:color="auto"/>
                    <w:left w:val="none" w:sz="0" w:space="0" w:color="auto"/>
                    <w:bottom w:val="none" w:sz="0" w:space="0" w:color="auto"/>
                    <w:right w:val="none" w:sz="0" w:space="0" w:color="auto"/>
                  </w:divBdr>
                  <w:divsChild>
                    <w:div w:id="666714777">
                      <w:marLeft w:val="0"/>
                      <w:marRight w:val="0"/>
                      <w:marTop w:val="0"/>
                      <w:marBottom w:val="0"/>
                      <w:divBdr>
                        <w:top w:val="none" w:sz="0" w:space="0" w:color="auto"/>
                        <w:left w:val="none" w:sz="0" w:space="0" w:color="auto"/>
                        <w:bottom w:val="none" w:sz="0" w:space="0" w:color="auto"/>
                        <w:right w:val="none" w:sz="0" w:space="0" w:color="auto"/>
                      </w:divBdr>
                    </w:div>
                  </w:divsChild>
                </w:div>
                <w:div w:id="2046782928">
                  <w:marLeft w:val="0"/>
                  <w:marRight w:val="0"/>
                  <w:marTop w:val="0"/>
                  <w:marBottom w:val="0"/>
                  <w:divBdr>
                    <w:top w:val="none" w:sz="0" w:space="0" w:color="auto"/>
                    <w:left w:val="none" w:sz="0" w:space="0" w:color="auto"/>
                    <w:bottom w:val="none" w:sz="0" w:space="0" w:color="auto"/>
                    <w:right w:val="none" w:sz="0" w:space="0" w:color="auto"/>
                  </w:divBdr>
                  <w:divsChild>
                    <w:div w:id="551843278">
                      <w:marLeft w:val="0"/>
                      <w:marRight w:val="0"/>
                      <w:marTop w:val="0"/>
                      <w:marBottom w:val="0"/>
                      <w:divBdr>
                        <w:top w:val="none" w:sz="0" w:space="0" w:color="auto"/>
                        <w:left w:val="none" w:sz="0" w:space="0" w:color="auto"/>
                        <w:bottom w:val="none" w:sz="0" w:space="0" w:color="auto"/>
                        <w:right w:val="none" w:sz="0" w:space="0" w:color="auto"/>
                      </w:divBdr>
                    </w:div>
                  </w:divsChild>
                </w:div>
                <w:div w:id="2053070887">
                  <w:marLeft w:val="0"/>
                  <w:marRight w:val="0"/>
                  <w:marTop w:val="0"/>
                  <w:marBottom w:val="0"/>
                  <w:divBdr>
                    <w:top w:val="none" w:sz="0" w:space="0" w:color="auto"/>
                    <w:left w:val="none" w:sz="0" w:space="0" w:color="auto"/>
                    <w:bottom w:val="none" w:sz="0" w:space="0" w:color="auto"/>
                    <w:right w:val="none" w:sz="0" w:space="0" w:color="auto"/>
                  </w:divBdr>
                  <w:divsChild>
                    <w:div w:id="1169709699">
                      <w:marLeft w:val="0"/>
                      <w:marRight w:val="0"/>
                      <w:marTop w:val="0"/>
                      <w:marBottom w:val="0"/>
                      <w:divBdr>
                        <w:top w:val="none" w:sz="0" w:space="0" w:color="auto"/>
                        <w:left w:val="none" w:sz="0" w:space="0" w:color="auto"/>
                        <w:bottom w:val="none" w:sz="0" w:space="0" w:color="auto"/>
                        <w:right w:val="none" w:sz="0" w:space="0" w:color="auto"/>
                      </w:divBdr>
                    </w:div>
                  </w:divsChild>
                </w:div>
                <w:div w:id="2057267557">
                  <w:marLeft w:val="0"/>
                  <w:marRight w:val="0"/>
                  <w:marTop w:val="0"/>
                  <w:marBottom w:val="0"/>
                  <w:divBdr>
                    <w:top w:val="none" w:sz="0" w:space="0" w:color="auto"/>
                    <w:left w:val="none" w:sz="0" w:space="0" w:color="auto"/>
                    <w:bottom w:val="none" w:sz="0" w:space="0" w:color="auto"/>
                    <w:right w:val="none" w:sz="0" w:space="0" w:color="auto"/>
                  </w:divBdr>
                  <w:divsChild>
                    <w:div w:id="430974051">
                      <w:marLeft w:val="0"/>
                      <w:marRight w:val="0"/>
                      <w:marTop w:val="0"/>
                      <w:marBottom w:val="0"/>
                      <w:divBdr>
                        <w:top w:val="none" w:sz="0" w:space="0" w:color="auto"/>
                        <w:left w:val="none" w:sz="0" w:space="0" w:color="auto"/>
                        <w:bottom w:val="none" w:sz="0" w:space="0" w:color="auto"/>
                        <w:right w:val="none" w:sz="0" w:space="0" w:color="auto"/>
                      </w:divBdr>
                    </w:div>
                  </w:divsChild>
                </w:div>
                <w:div w:id="2062167507">
                  <w:marLeft w:val="0"/>
                  <w:marRight w:val="0"/>
                  <w:marTop w:val="0"/>
                  <w:marBottom w:val="0"/>
                  <w:divBdr>
                    <w:top w:val="none" w:sz="0" w:space="0" w:color="auto"/>
                    <w:left w:val="none" w:sz="0" w:space="0" w:color="auto"/>
                    <w:bottom w:val="none" w:sz="0" w:space="0" w:color="auto"/>
                    <w:right w:val="none" w:sz="0" w:space="0" w:color="auto"/>
                  </w:divBdr>
                  <w:divsChild>
                    <w:div w:id="1832407933">
                      <w:marLeft w:val="0"/>
                      <w:marRight w:val="0"/>
                      <w:marTop w:val="0"/>
                      <w:marBottom w:val="0"/>
                      <w:divBdr>
                        <w:top w:val="none" w:sz="0" w:space="0" w:color="auto"/>
                        <w:left w:val="none" w:sz="0" w:space="0" w:color="auto"/>
                        <w:bottom w:val="none" w:sz="0" w:space="0" w:color="auto"/>
                        <w:right w:val="none" w:sz="0" w:space="0" w:color="auto"/>
                      </w:divBdr>
                    </w:div>
                  </w:divsChild>
                </w:div>
                <w:div w:id="2064519119">
                  <w:marLeft w:val="0"/>
                  <w:marRight w:val="0"/>
                  <w:marTop w:val="0"/>
                  <w:marBottom w:val="0"/>
                  <w:divBdr>
                    <w:top w:val="none" w:sz="0" w:space="0" w:color="auto"/>
                    <w:left w:val="none" w:sz="0" w:space="0" w:color="auto"/>
                    <w:bottom w:val="none" w:sz="0" w:space="0" w:color="auto"/>
                    <w:right w:val="none" w:sz="0" w:space="0" w:color="auto"/>
                  </w:divBdr>
                  <w:divsChild>
                    <w:div w:id="1045371715">
                      <w:marLeft w:val="0"/>
                      <w:marRight w:val="0"/>
                      <w:marTop w:val="0"/>
                      <w:marBottom w:val="0"/>
                      <w:divBdr>
                        <w:top w:val="none" w:sz="0" w:space="0" w:color="auto"/>
                        <w:left w:val="none" w:sz="0" w:space="0" w:color="auto"/>
                        <w:bottom w:val="none" w:sz="0" w:space="0" w:color="auto"/>
                        <w:right w:val="none" w:sz="0" w:space="0" w:color="auto"/>
                      </w:divBdr>
                    </w:div>
                  </w:divsChild>
                </w:div>
                <w:div w:id="2065257479">
                  <w:marLeft w:val="0"/>
                  <w:marRight w:val="0"/>
                  <w:marTop w:val="0"/>
                  <w:marBottom w:val="0"/>
                  <w:divBdr>
                    <w:top w:val="none" w:sz="0" w:space="0" w:color="auto"/>
                    <w:left w:val="none" w:sz="0" w:space="0" w:color="auto"/>
                    <w:bottom w:val="none" w:sz="0" w:space="0" w:color="auto"/>
                    <w:right w:val="none" w:sz="0" w:space="0" w:color="auto"/>
                  </w:divBdr>
                  <w:divsChild>
                    <w:div w:id="1560554692">
                      <w:marLeft w:val="0"/>
                      <w:marRight w:val="0"/>
                      <w:marTop w:val="0"/>
                      <w:marBottom w:val="0"/>
                      <w:divBdr>
                        <w:top w:val="none" w:sz="0" w:space="0" w:color="auto"/>
                        <w:left w:val="none" w:sz="0" w:space="0" w:color="auto"/>
                        <w:bottom w:val="none" w:sz="0" w:space="0" w:color="auto"/>
                        <w:right w:val="none" w:sz="0" w:space="0" w:color="auto"/>
                      </w:divBdr>
                    </w:div>
                  </w:divsChild>
                </w:div>
                <w:div w:id="2067291356">
                  <w:marLeft w:val="0"/>
                  <w:marRight w:val="0"/>
                  <w:marTop w:val="0"/>
                  <w:marBottom w:val="0"/>
                  <w:divBdr>
                    <w:top w:val="none" w:sz="0" w:space="0" w:color="auto"/>
                    <w:left w:val="none" w:sz="0" w:space="0" w:color="auto"/>
                    <w:bottom w:val="none" w:sz="0" w:space="0" w:color="auto"/>
                    <w:right w:val="none" w:sz="0" w:space="0" w:color="auto"/>
                  </w:divBdr>
                  <w:divsChild>
                    <w:div w:id="2078941062">
                      <w:marLeft w:val="0"/>
                      <w:marRight w:val="0"/>
                      <w:marTop w:val="0"/>
                      <w:marBottom w:val="0"/>
                      <w:divBdr>
                        <w:top w:val="none" w:sz="0" w:space="0" w:color="auto"/>
                        <w:left w:val="none" w:sz="0" w:space="0" w:color="auto"/>
                        <w:bottom w:val="none" w:sz="0" w:space="0" w:color="auto"/>
                        <w:right w:val="none" w:sz="0" w:space="0" w:color="auto"/>
                      </w:divBdr>
                    </w:div>
                  </w:divsChild>
                </w:div>
                <w:div w:id="2079477972">
                  <w:marLeft w:val="0"/>
                  <w:marRight w:val="0"/>
                  <w:marTop w:val="0"/>
                  <w:marBottom w:val="0"/>
                  <w:divBdr>
                    <w:top w:val="none" w:sz="0" w:space="0" w:color="auto"/>
                    <w:left w:val="none" w:sz="0" w:space="0" w:color="auto"/>
                    <w:bottom w:val="none" w:sz="0" w:space="0" w:color="auto"/>
                    <w:right w:val="none" w:sz="0" w:space="0" w:color="auto"/>
                  </w:divBdr>
                  <w:divsChild>
                    <w:div w:id="205684441">
                      <w:marLeft w:val="0"/>
                      <w:marRight w:val="0"/>
                      <w:marTop w:val="0"/>
                      <w:marBottom w:val="0"/>
                      <w:divBdr>
                        <w:top w:val="none" w:sz="0" w:space="0" w:color="auto"/>
                        <w:left w:val="none" w:sz="0" w:space="0" w:color="auto"/>
                        <w:bottom w:val="none" w:sz="0" w:space="0" w:color="auto"/>
                        <w:right w:val="none" w:sz="0" w:space="0" w:color="auto"/>
                      </w:divBdr>
                    </w:div>
                  </w:divsChild>
                </w:div>
                <w:div w:id="2089693914">
                  <w:marLeft w:val="0"/>
                  <w:marRight w:val="0"/>
                  <w:marTop w:val="0"/>
                  <w:marBottom w:val="0"/>
                  <w:divBdr>
                    <w:top w:val="none" w:sz="0" w:space="0" w:color="auto"/>
                    <w:left w:val="none" w:sz="0" w:space="0" w:color="auto"/>
                    <w:bottom w:val="none" w:sz="0" w:space="0" w:color="auto"/>
                    <w:right w:val="none" w:sz="0" w:space="0" w:color="auto"/>
                  </w:divBdr>
                  <w:divsChild>
                    <w:div w:id="395587293">
                      <w:marLeft w:val="0"/>
                      <w:marRight w:val="0"/>
                      <w:marTop w:val="0"/>
                      <w:marBottom w:val="0"/>
                      <w:divBdr>
                        <w:top w:val="none" w:sz="0" w:space="0" w:color="auto"/>
                        <w:left w:val="none" w:sz="0" w:space="0" w:color="auto"/>
                        <w:bottom w:val="none" w:sz="0" w:space="0" w:color="auto"/>
                        <w:right w:val="none" w:sz="0" w:space="0" w:color="auto"/>
                      </w:divBdr>
                    </w:div>
                  </w:divsChild>
                </w:div>
                <w:div w:id="2090351083">
                  <w:marLeft w:val="0"/>
                  <w:marRight w:val="0"/>
                  <w:marTop w:val="0"/>
                  <w:marBottom w:val="0"/>
                  <w:divBdr>
                    <w:top w:val="none" w:sz="0" w:space="0" w:color="auto"/>
                    <w:left w:val="none" w:sz="0" w:space="0" w:color="auto"/>
                    <w:bottom w:val="none" w:sz="0" w:space="0" w:color="auto"/>
                    <w:right w:val="none" w:sz="0" w:space="0" w:color="auto"/>
                  </w:divBdr>
                  <w:divsChild>
                    <w:div w:id="41634461">
                      <w:marLeft w:val="0"/>
                      <w:marRight w:val="0"/>
                      <w:marTop w:val="0"/>
                      <w:marBottom w:val="0"/>
                      <w:divBdr>
                        <w:top w:val="none" w:sz="0" w:space="0" w:color="auto"/>
                        <w:left w:val="none" w:sz="0" w:space="0" w:color="auto"/>
                        <w:bottom w:val="none" w:sz="0" w:space="0" w:color="auto"/>
                        <w:right w:val="none" w:sz="0" w:space="0" w:color="auto"/>
                      </w:divBdr>
                    </w:div>
                  </w:divsChild>
                </w:div>
                <w:div w:id="2096432124">
                  <w:marLeft w:val="0"/>
                  <w:marRight w:val="0"/>
                  <w:marTop w:val="0"/>
                  <w:marBottom w:val="0"/>
                  <w:divBdr>
                    <w:top w:val="none" w:sz="0" w:space="0" w:color="auto"/>
                    <w:left w:val="none" w:sz="0" w:space="0" w:color="auto"/>
                    <w:bottom w:val="none" w:sz="0" w:space="0" w:color="auto"/>
                    <w:right w:val="none" w:sz="0" w:space="0" w:color="auto"/>
                  </w:divBdr>
                  <w:divsChild>
                    <w:div w:id="1433360000">
                      <w:marLeft w:val="0"/>
                      <w:marRight w:val="0"/>
                      <w:marTop w:val="0"/>
                      <w:marBottom w:val="0"/>
                      <w:divBdr>
                        <w:top w:val="none" w:sz="0" w:space="0" w:color="auto"/>
                        <w:left w:val="none" w:sz="0" w:space="0" w:color="auto"/>
                        <w:bottom w:val="none" w:sz="0" w:space="0" w:color="auto"/>
                        <w:right w:val="none" w:sz="0" w:space="0" w:color="auto"/>
                      </w:divBdr>
                    </w:div>
                  </w:divsChild>
                </w:div>
                <w:div w:id="2098094767">
                  <w:marLeft w:val="0"/>
                  <w:marRight w:val="0"/>
                  <w:marTop w:val="0"/>
                  <w:marBottom w:val="0"/>
                  <w:divBdr>
                    <w:top w:val="none" w:sz="0" w:space="0" w:color="auto"/>
                    <w:left w:val="none" w:sz="0" w:space="0" w:color="auto"/>
                    <w:bottom w:val="none" w:sz="0" w:space="0" w:color="auto"/>
                    <w:right w:val="none" w:sz="0" w:space="0" w:color="auto"/>
                  </w:divBdr>
                  <w:divsChild>
                    <w:div w:id="478041334">
                      <w:marLeft w:val="0"/>
                      <w:marRight w:val="0"/>
                      <w:marTop w:val="0"/>
                      <w:marBottom w:val="0"/>
                      <w:divBdr>
                        <w:top w:val="none" w:sz="0" w:space="0" w:color="auto"/>
                        <w:left w:val="none" w:sz="0" w:space="0" w:color="auto"/>
                        <w:bottom w:val="none" w:sz="0" w:space="0" w:color="auto"/>
                        <w:right w:val="none" w:sz="0" w:space="0" w:color="auto"/>
                      </w:divBdr>
                    </w:div>
                  </w:divsChild>
                </w:div>
                <w:div w:id="2099137677">
                  <w:marLeft w:val="0"/>
                  <w:marRight w:val="0"/>
                  <w:marTop w:val="0"/>
                  <w:marBottom w:val="0"/>
                  <w:divBdr>
                    <w:top w:val="none" w:sz="0" w:space="0" w:color="auto"/>
                    <w:left w:val="none" w:sz="0" w:space="0" w:color="auto"/>
                    <w:bottom w:val="none" w:sz="0" w:space="0" w:color="auto"/>
                    <w:right w:val="none" w:sz="0" w:space="0" w:color="auto"/>
                  </w:divBdr>
                  <w:divsChild>
                    <w:div w:id="1208252387">
                      <w:marLeft w:val="0"/>
                      <w:marRight w:val="0"/>
                      <w:marTop w:val="0"/>
                      <w:marBottom w:val="0"/>
                      <w:divBdr>
                        <w:top w:val="none" w:sz="0" w:space="0" w:color="auto"/>
                        <w:left w:val="none" w:sz="0" w:space="0" w:color="auto"/>
                        <w:bottom w:val="none" w:sz="0" w:space="0" w:color="auto"/>
                        <w:right w:val="none" w:sz="0" w:space="0" w:color="auto"/>
                      </w:divBdr>
                    </w:div>
                  </w:divsChild>
                </w:div>
                <w:div w:id="2101292310">
                  <w:marLeft w:val="0"/>
                  <w:marRight w:val="0"/>
                  <w:marTop w:val="0"/>
                  <w:marBottom w:val="0"/>
                  <w:divBdr>
                    <w:top w:val="none" w:sz="0" w:space="0" w:color="auto"/>
                    <w:left w:val="none" w:sz="0" w:space="0" w:color="auto"/>
                    <w:bottom w:val="none" w:sz="0" w:space="0" w:color="auto"/>
                    <w:right w:val="none" w:sz="0" w:space="0" w:color="auto"/>
                  </w:divBdr>
                  <w:divsChild>
                    <w:div w:id="1337922945">
                      <w:marLeft w:val="0"/>
                      <w:marRight w:val="0"/>
                      <w:marTop w:val="0"/>
                      <w:marBottom w:val="0"/>
                      <w:divBdr>
                        <w:top w:val="none" w:sz="0" w:space="0" w:color="auto"/>
                        <w:left w:val="none" w:sz="0" w:space="0" w:color="auto"/>
                        <w:bottom w:val="none" w:sz="0" w:space="0" w:color="auto"/>
                        <w:right w:val="none" w:sz="0" w:space="0" w:color="auto"/>
                      </w:divBdr>
                    </w:div>
                  </w:divsChild>
                </w:div>
                <w:div w:id="2105491165">
                  <w:marLeft w:val="0"/>
                  <w:marRight w:val="0"/>
                  <w:marTop w:val="0"/>
                  <w:marBottom w:val="0"/>
                  <w:divBdr>
                    <w:top w:val="none" w:sz="0" w:space="0" w:color="auto"/>
                    <w:left w:val="none" w:sz="0" w:space="0" w:color="auto"/>
                    <w:bottom w:val="none" w:sz="0" w:space="0" w:color="auto"/>
                    <w:right w:val="none" w:sz="0" w:space="0" w:color="auto"/>
                  </w:divBdr>
                  <w:divsChild>
                    <w:div w:id="604313328">
                      <w:marLeft w:val="0"/>
                      <w:marRight w:val="0"/>
                      <w:marTop w:val="0"/>
                      <w:marBottom w:val="0"/>
                      <w:divBdr>
                        <w:top w:val="none" w:sz="0" w:space="0" w:color="auto"/>
                        <w:left w:val="none" w:sz="0" w:space="0" w:color="auto"/>
                        <w:bottom w:val="none" w:sz="0" w:space="0" w:color="auto"/>
                        <w:right w:val="none" w:sz="0" w:space="0" w:color="auto"/>
                      </w:divBdr>
                    </w:div>
                  </w:divsChild>
                </w:div>
                <w:div w:id="2106143878">
                  <w:marLeft w:val="0"/>
                  <w:marRight w:val="0"/>
                  <w:marTop w:val="0"/>
                  <w:marBottom w:val="0"/>
                  <w:divBdr>
                    <w:top w:val="none" w:sz="0" w:space="0" w:color="auto"/>
                    <w:left w:val="none" w:sz="0" w:space="0" w:color="auto"/>
                    <w:bottom w:val="none" w:sz="0" w:space="0" w:color="auto"/>
                    <w:right w:val="none" w:sz="0" w:space="0" w:color="auto"/>
                  </w:divBdr>
                  <w:divsChild>
                    <w:div w:id="1043018488">
                      <w:marLeft w:val="0"/>
                      <w:marRight w:val="0"/>
                      <w:marTop w:val="0"/>
                      <w:marBottom w:val="0"/>
                      <w:divBdr>
                        <w:top w:val="none" w:sz="0" w:space="0" w:color="auto"/>
                        <w:left w:val="none" w:sz="0" w:space="0" w:color="auto"/>
                        <w:bottom w:val="none" w:sz="0" w:space="0" w:color="auto"/>
                        <w:right w:val="none" w:sz="0" w:space="0" w:color="auto"/>
                      </w:divBdr>
                    </w:div>
                  </w:divsChild>
                </w:div>
                <w:div w:id="2110202214">
                  <w:marLeft w:val="0"/>
                  <w:marRight w:val="0"/>
                  <w:marTop w:val="0"/>
                  <w:marBottom w:val="0"/>
                  <w:divBdr>
                    <w:top w:val="none" w:sz="0" w:space="0" w:color="auto"/>
                    <w:left w:val="none" w:sz="0" w:space="0" w:color="auto"/>
                    <w:bottom w:val="none" w:sz="0" w:space="0" w:color="auto"/>
                    <w:right w:val="none" w:sz="0" w:space="0" w:color="auto"/>
                  </w:divBdr>
                  <w:divsChild>
                    <w:div w:id="505244085">
                      <w:marLeft w:val="0"/>
                      <w:marRight w:val="0"/>
                      <w:marTop w:val="0"/>
                      <w:marBottom w:val="0"/>
                      <w:divBdr>
                        <w:top w:val="none" w:sz="0" w:space="0" w:color="auto"/>
                        <w:left w:val="none" w:sz="0" w:space="0" w:color="auto"/>
                        <w:bottom w:val="none" w:sz="0" w:space="0" w:color="auto"/>
                        <w:right w:val="none" w:sz="0" w:space="0" w:color="auto"/>
                      </w:divBdr>
                    </w:div>
                  </w:divsChild>
                </w:div>
                <w:div w:id="2121561858">
                  <w:marLeft w:val="0"/>
                  <w:marRight w:val="0"/>
                  <w:marTop w:val="0"/>
                  <w:marBottom w:val="0"/>
                  <w:divBdr>
                    <w:top w:val="none" w:sz="0" w:space="0" w:color="auto"/>
                    <w:left w:val="none" w:sz="0" w:space="0" w:color="auto"/>
                    <w:bottom w:val="none" w:sz="0" w:space="0" w:color="auto"/>
                    <w:right w:val="none" w:sz="0" w:space="0" w:color="auto"/>
                  </w:divBdr>
                  <w:divsChild>
                    <w:div w:id="734740317">
                      <w:marLeft w:val="0"/>
                      <w:marRight w:val="0"/>
                      <w:marTop w:val="0"/>
                      <w:marBottom w:val="0"/>
                      <w:divBdr>
                        <w:top w:val="none" w:sz="0" w:space="0" w:color="auto"/>
                        <w:left w:val="none" w:sz="0" w:space="0" w:color="auto"/>
                        <w:bottom w:val="none" w:sz="0" w:space="0" w:color="auto"/>
                        <w:right w:val="none" w:sz="0" w:space="0" w:color="auto"/>
                      </w:divBdr>
                    </w:div>
                  </w:divsChild>
                </w:div>
                <w:div w:id="2123963115">
                  <w:marLeft w:val="0"/>
                  <w:marRight w:val="0"/>
                  <w:marTop w:val="0"/>
                  <w:marBottom w:val="0"/>
                  <w:divBdr>
                    <w:top w:val="none" w:sz="0" w:space="0" w:color="auto"/>
                    <w:left w:val="none" w:sz="0" w:space="0" w:color="auto"/>
                    <w:bottom w:val="none" w:sz="0" w:space="0" w:color="auto"/>
                    <w:right w:val="none" w:sz="0" w:space="0" w:color="auto"/>
                  </w:divBdr>
                  <w:divsChild>
                    <w:div w:id="962612222">
                      <w:marLeft w:val="0"/>
                      <w:marRight w:val="0"/>
                      <w:marTop w:val="0"/>
                      <w:marBottom w:val="0"/>
                      <w:divBdr>
                        <w:top w:val="none" w:sz="0" w:space="0" w:color="auto"/>
                        <w:left w:val="none" w:sz="0" w:space="0" w:color="auto"/>
                        <w:bottom w:val="none" w:sz="0" w:space="0" w:color="auto"/>
                        <w:right w:val="none" w:sz="0" w:space="0" w:color="auto"/>
                      </w:divBdr>
                    </w:div>
                  </w:divsChild>
                </w:div>
                <w:div w:id="2126147408">
                  <w:marLeft w:val="0"/>
                  <w:marRight w:val="0"/>
                  <w:marTop w:val="0"/>
                  <w:marBottom w:val="0"/>
                  <w:divBdr>
                    <w:top w:val="none" w:sz="0" w:space="0" w:color="auto"/>
                    <w:left w:val="none" w:sz="0" w:space="0" w:color="auto"/>
                    <w:bottom w:val="none" w:sz="0" w:space="0" w:color="auto"/>
                    <w:right w:val="none" w:sz="0" w:space="0" w:color="auto"/>
                  </w:divBdr>
                  <w:divsChild>
                    <w:div w:id="537857248">
                      <w:marLeft w:val="0"/>
                      <w:marRight w:val="0"/>
                      <w:marTop w:val="0"/>
                      <w:marBottom w:val="0"/>
                      <w:divBdr>
                        <w:top w:val="none" w:sz="0" w:space="0" w:color="auto"/>
                        <w:left w:val="none" w:sz="0" w:space="0" w:color="auto"/>
                        <w:bottom w:val="none" w:sz="0" w:space="0" w:color="auto"/>
                        <w:right w:val="none" w:sz="0" w:space="0" w:color="auto"/>
                      </w:divBdr>
                    </w:div>
                  </w:divsChild>
                </w:div>
                <w:div w:id="2129156783">
                  <w:marLeft w:val="0"/>
                  <w:marRight w:val="0"/>
                  <w:marTop w:val="0"/>
                  <w:marBottom w:val="0"/>
                  <w:divBdr>
                    <w:top w:val="none" w:sz="0" w:space="0" w:color="auto"/>
                    <w:left w:val="none" w:sz="0" w:space="0" w:color="auto"/>
                    <w:bottom w:val="none" w:sz="0" w:space="0" w:color="auto"/>
                    <w:right w:val="none" w:sz="0" w:space="0" w:color="auto"/>
                  </w:divBdr>
                  <w:divsChild>
                    <w:div w:id="1863855424">
                      <w:marLeft w:val="0"/>
                      <w:marRight w:val="0"/>
                      <w:marTop w:val="0"/>
                      <w:marBottom w:val="0"/>
                      <w:divBdr>
                        <w:top w:val="none" w:sz="0" w:space="0" w:color="auto"/>
                        <w:left w:val="none" w:sz="0" w:space="0" w:color="auto"/>
                        <w:bottom w:val="none" w:sz="0" w:space="0" w:color="auto"/>
                        <w:right w:val="none" w:sz="0" w:space="0" w:color="auto"/>
                      </w:divBdr>
                    </w:div>
                  </w:divsChild>
                </w:div>
                <w:div w:id="2135364578">
                  <w:marLeft w:val="0"/>
                  <w:marRight w:val="0"/>
                  <w:marTop w:val="0"/>
                  <w:marBottom w:val="0"/>
                  <w:divBdr>
                    <w:top w:val="none" w:sz="0" w:space="0" w:color="auto"/>
                    <w:left w:val="none" w:sz="0" w:space="0" w:color="auto"/>
                    <w:bottom w:val="none" w:sz="0" w:space="0" w:color="auto"/>
                    <w:right w:val="none" w:sz="0" w:space="0" w:color="auto"/>
                  </w:divBdr>
                  <w:divsChild>
                    <w:div w:id="1578589511">
                      <w:marLeft w:val="0"/>
                      <w:marRight w:val="0"/>
                      <w:marTop w:val="0"/>
                      <w:marBottom w:val="0"/>
                      <w:divBdr>
                        <w:top w:val="none" w:sz="0" w:space="0" w:color="auto"/>
                        <w:left w:val="none" w:sz="0" w:space="0" w:color="auto"/>
                        <w:bottom w:val="none" w:sz="0" w:space="0" w:color="auto"/>
                        <w:right w:val="none" w:sz="0" w:space="0" w:color="auto"/>
                      </w:divBdr>
                    </w:div>
                  </w:divsChild>
                </w:div>
                <w:div w:id="2140681229">
                  <w:marLeft w:val="0"/>
                  <w:marRight w:val="0"/>
                  <w:marTop w:val="0"/>
                  <w:marBottom w:val="0"/>
                  <w:divBdr>
                    <w:top w:val="none" w:sz="0" w:space="0" w:color="auto"/>
                    <w:left w:val="none" w:sz="0" w:space="0" w:color="auto"/>
                    <w:bottom w:val="none" w:sz="0" w:space="0" w:color="auto"/>
                    <w:right w:val="none" w:sz="0" w:space="0" w:color="auto"/>
                  </w:divBdr>
                  <w:divsChild>
                    <w:div w:id="2055890060">
                      <w:marLeft w:val="0"/>
                      <w:marRight w:val="0"/>
                      <w:marTop w:val="0"/>
                      <w:marBottom w:val="0"/>
                      <w:divBdr>
                        <w:top w:val="none" w:sz="0" w:space="0" w:color="auto"/>
                        <w:left w:val="none" w:sz="0" w:space="0" w:color="auto"/>
                        <w:bottom w:val="none" w:sz="0" w:space="0" w:color="auto"/>
                        <w:right w:val="none" w:sz="0" w:space="0" w:color="auto"/>
                      </w:divBdr>
                    </w:div>
                  </w:divsChild>
                </w:div>
                <w:div w:id="2145468996">
                  <w:marLeft w:val="0"/>
                  <w:marRight w:val="0"/>
                  <w:marTop w:val="0"/>
                  <w:marBottom w:val="0"/>
                  <w:divBdr>
                    <w:top w:val="none" w:sz="0" w:space="0" w:color="auto"/>
                    <w:left w:val="none" w:sz="0" w:space="0" w:color="auto"/>
                    <w:bottom w:val="none" w:sz="0" w:space="0" w:color="auto"/>
                    <w:right w:val="none" w:sz="0" w:space="0" w:color="auto"/>
                  </w:divBdr>
                  <w:divsChild>
                    <w:div w:id="1822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7673">
          <w:marLeft w:val="0"/>
          <w:marRight w:val="0"/>
          <w:marTop w:val="0"/>
          <w:marBottom w:val="0"/>
          <w:divBdr>
            <w:top w:val="none" w:sz="0" w:space="0" w:color="auto"/>
            <w:left w:val="none" w:sz="0" w:space="0" w:color="auto"/>
            <w:bottom w:val="none" w:sz="0" w:space="0" w:color="auto"/>
            <w:right w:val="none" w:sz="0" w:space="0" w:color="auto"/>
          </w:divBdr>
          <w:divsChild>
            <w:div w:id="6952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17971">
      <w:bodyDiv w:val="1"/>
      <w:marLeft w:val="0"/>
      <w:marRight w:val="0"/>
      <w:marTop w:val="0"/>
      <w:marBottom w:val="0"/>
      <w:divBdr>
        <w:top w:val="none" w:sz="0" w:space="0" w:color="auto"/>
        <w:left w:val="none" w:sz="0" w:space="0" w:color="auto"/>
        <w:bottom w:val="none" w:sz="0" w:space="0" w:color="auto"/>
        <w:right w:val="none" w:sz="0" w:space="0" w:color="auto"/>
      </w:divBdr>
    </w:div>
    <w:div w:id="579677829">
      <w:bodyDiv w:val="1"/>
      <w:marLeft w:val="0"/>
      <w:marRight w:val="0"/>
      <w:marTop w:val="0"/>
      <w:marBottom w:val="0"/>
      <w:divBdr>
        <w:top w:val="none" w:sz="0" w:space="0" w:color="auto"/>
        <w:left w:val="none" w:sz="0" w:space="0" w:color="auto"/>
        <w:bottom w:val="none" w:sz="0" w:space="0" w:color="auto"/>
        <w:right w:val="none" w:sz="0" w:space="0" w:color="auto"/>
      </w:divBdr>
    </w:div>
    <w:div w:id="579751164">
      <w:bodyDiv w:val="1"/>
      <w:marLeft w:val="0"/>
      <w:marRight w:val="0"/>
      <w:marTop w:val="0"/>
      <w:marBottom w:val="0"/>
      <w:divBdr>
        <w:top w:val="none" w:sz="0" w:space="0" w:color="auto"/>
        <w:left w:val="none" w:sz="0" w:space="0" w:color="auto"/>
        <w:bottom w:val="none" w:sz="0" w:space="0" w:color="auto"/>
        <w:right w:val="none" w:sz="0" w:space="0" w:color="auto"/>
      </w:divBdr>
    </w:div>
    <w:div w:id="580219419">
      <w:bodyDiv w:val="1"/>
      <w:marLeft w:val="0"/>
      <w:marRight w:val="0"/>
      <w:marTop w:val="0"/>
      <w:marBottom w:val="0"/>
      <w:divBdr>
        <w:top w:val="none" w:sz="0" w:space="0" w:color="auto"/>
        <w:left w:val="none" w:sz="0" w:space="0" w:color="auto"/>
        <w:bottom w:val="none" w:sz="0" w:space="0" w:color="auto"/>
        <w:right w:val="none" w:sz="0" w:space="0" w:color="auto"/>
      </w:divBdr>
    </w:div>
    <w:div w:id="581720435">
      <w:bodyDiv w:val="1"/>
      <w:marLeft w:val="0"/>
      <w:marRight w:val="0"/>
      <w:marTop w:val="0"/>
      <w:marBottom w:val="0"/>
      <w:divBdr>
        <w:top w:val="none" w:sz="0" w:space="0" w:color="auto"/>
        <w:left w:val="none" w:sz="0" w:space="0" w:color="auto"/>
        <w:bottom w:val="none" w:sz="0" w:space="0" w:color="auto"/>
        <w:right w:val="none" w:sz="0" w:space="0" w:color="auto"/>
      </w:divBdr>
    </w:div>
    <w:div w:id="582490372">
      <w:bodyDiv w:val="1"/>
      <w:marLeft w:val="0"/>
      <w:marRight w:val="0"/>
      <w:marTop w:val="0"/>
      <w:marBottom w:val="0"/>
      <w:divBdr>
        <w:top w:val="none" w:sz="0" w:space="0" w:color="auto"/>
        <w:left w:val="none" w:sz="0" w:space="0" w:color="auto"/>
        <w:bottom w:val="none" w:sz="0" w:space="0" w:color="auto"/>
        <w:right w:val="none" w:sz="0" w:space="0" w:color="auto"/>
      </w:divBdr>
    </w:div>
    <w:div w:id="584000241">
      <w:bodyDiv w:val="1"/>
      <w:marLeft w:val="0"/>
      <w:marRight w:val="0"/>
      <w:marTop w:val="0"/>
      <w:marBottom w:val="0"/>
      <w:divBdr>
        <w:top w:val="none" w:sz="0" w:space="0" w:color="auto"/>
        <w:left w:val="none" w:sz="0" w:space="0" w:color="auto"/>
        <w:bottom w:val="none" w:sz="0" w:space="0" w:color="auto"/>
        <w:right w:val="none" w:sz="0" w:space="0" w:color="auto"/>
      </w:divBdr>
    </w:div>
    <w:div w:id="584923153">
      <w:bodyDiv w:val="1"/>
      <w:marLeft w:val="0"/>
      <w:marRight w:val="0"/>
      <w:marTop w:val="0"/>
      <w:marBottom w:val="0"/>
      <w:divBdr>
        <w:top w:val="none" w:sz="0" w:space="0" w:color="auto"/>
        <w:left w:val="none" w:sz="0" w:space="0" w:color="auto"/>
        <w:bottom w:val="none" w:sz="0" w:space="0" w:color="auto"/>
        <w:right w:val="none" w:sz="0" w:space="0" w:color="auto"/>
      </w:divBdr>
    </w:div>
    <w:div w:id="585189769">
      <w:bodyDiv w:val="1"/>
      <w:marLeft w:val="0"/>
      <w:marRight w:val="0"/>
      <w:marTop w:val="0"/>
      <w:marBottom w:val="0"/>
      <w:divBdr>
        <w:top w:val="none" w:sz="0" w:space="0" w:color="auto"/>
        <w:left w:val="none" w:sz="0" w:space="0" w:color="auto"/>
        <w:bottom w:val="none" w:sz="0" w:space="0" w:color="auto"/>
        <w:right w:val="none" w:sz="0" w:space="0" w:color="auto"/>
      </w:divBdr>
    </w:div>
    <w:div w:id="586379631">
      <w:bodyDiv w:val="1"/>
      <w:marLeft w:val="0"/>
      <w:marRight w:val="0"/>
      <w:marTop w:val="0"/>
      <w:marBottom w:val="0"/>
      <w:divBdr>
        <w:top w:val="none" w:sz="0" w:space="0" w:color="auto"/>
        <w:left w:val="none" w:sz="0" w:space="0" w:color="auto"/>
        <w:bottom w:val="none" w:sz="0" w:space="0" w:color="auto"/>
        <w:right w:val="none" w:sz="0" w:space="0" w:color="auto"/>
      </w:divBdr>
    </w:div>
    <w:div w:id="586572129">
      <w:bodyDiv w:val="1"/>
      <w:marLeft w:val="0"/>
      <w:marRight w:val="0"/>
      <w:marTop w:val="0"/>
      <w:marBottom w:val="0"/>
      <w:divBdr>
        <w:top w:val="none" w:sz="0" w:space="0" w:color="auto"/>
        <w:left w:val="none" w:sz="0" w:space="0" w:color="auto"/>
        <w:bottom w:val="none" w:sz="0" w:space="0" w:color="auto"/>
        <w:right w:val="none" w:sz="0" w:space="0" w:color="auto"/>
      </w:divBdr>
    </w:div>
    <w:div w:id="587930641">
      <w:bodyDiv w:val="1"/>
      <w:marLeft w:val="0"/>
      <w:marRight w:val="0"/>
      <w:marTop w:val="0"/>
      <w:marBottom w:val="0"/>
      <w:divBdr>
        <w:top w:val="none" w:sz="0" w:space="0" w:color="auto"/>
        <w:left w:val="none" w:sz="0" w:space="0" w:color="auto"/>
        <w:bottom w:val="none" w:sz="0" w:space="0" w:color="auto"/>
        <w:right w:val="none" w:sz="0" w:space="0" w:color="auto"/>
      </w:divBdr>
    </w:div>
    <w:div w:id="588198736">
      <w:bodyDiv w:val="1"/>
      <w:marLeft w:val="0"/>
      <w:marRight w:val="0"/>
      <w:marTop w:val="0"/>
      <w:marBottom w:val="0"/>
      <w:divBdr>
        <w:top w:val="none" w:sz="0" w:space="0" w:color="auto"/>
        <w:left w:val="none" w:sz="0" w:space="0" w:color="auto"/>
        <w:bottom w:val="none" w:sz="0" w:space="0" w:color="auto"/>
        <w:right w:val="none" w:sz="0" w:space="0" w:color="auto"/>
      </w:divBdr>
    </w:div>
    <w:div w:id="589585946">
      <w:bodyDiv w:val="1"/>
      <w:marLeft w:val="0"/>
      <w:marRight w:val="0"/>
      <w:marTop w:val="0"/>
      <w:marBottom w:val="0"/>
      <w:divBdr>
        <w:top w:val="none" w:sz="0" w:space="0" w:color="auto"/>
        <w:left w:val="none" w:sz="0" w:space="0" w:color="auto"/>
        <w:bottom w:val="none" w:sz="0" w:space="0" w:color="auto"/>
        <w:right w:val="none" w:sz="0" w:space="0" w:color="auto"/>
      </w:divBdr>
    </w:div>
    <w:div w:id="589658408">
      <w:bodyDiv w:val="1"/>
      <w:marLeft w:val="0"/>
      <w:marRight w:val="0"/>
      <w:marTop w:val="0"/>
      <w:marBottom w:val="0"/>
      <w:divBdr>
        <w:top w:val="none" w:sz="0" w:space="0" w:color="auto"/>
        <w:left w:val="none" w:sz="0" w:space="0" w:color="auto"/>
        <w:bottom w:val="none" w:sz="0" w:space="0" w:color="auto"/>
        <w:right w:val="none" w:sz="0" w:space="0" w:color="auto"/>
      </w:divBdr>
    </w:div>
    <w:div w:id="589851270">
      <w:bodyDiv w:val="1"/>
      <w:marLeft w:val="0"/>
      <w:marRight w:val="0"/>
      <w:marTop w:val="0"/>
      <w:marBottom w:val="0"/>
      <w:divBdr>
        <w:top w:val="none" w:sz="0" w:space="0" w:color="auto"/>
        <w:left w:val="none" w:sz="0" w:space="0" w:color="auto"/>
        <w:bottom w:val="none" w:sz="0" w:space="0" w:color="auto"/>
        <w:right w:val="none" w:sz="0" w:space="0" w:color="auto"/>
      </w:divBdr>
    </w:div>
    <w:div w:id="593246715">
      <w:bodyDiv w:val="1"/>
      <w:marLeft w:val="0"/>
      <w:marRight w:val="0"/>
      <w:marTop w:val="0"/>
      <w:marBottom w:val="0"/>
      <w:divBdr>
        <w:top w:val="none" w:sz="0" w:space="0" w:color="auto"/>
        <w:left w:val="none" w:sz="0" w:space="0" w:color="auto"/>
        <w:bottom w:val="none" w:sz="0" w:space="0" w:color="auto"/>
        <w:right w:val="none" w:sz="0" w:space="0" w:color="auto"/>
      </w:divBdr>
    </w:div>
    <w:div w:id="594094908">
      <w:bodyDiv w:val="1"/>
      <w:marLeft w:val="0"/>
      <w:marRight w:val="0"/>
      <w:marTop w:val="0"/>
      <w:marBottom w:val="0"/>
      <w:divBdr>
        <w:top w:val="none" w:sz="0" w:space="0" w:color="auto"/>
        <w:left w:val="none" w:sz="0" w:space="0" w:color="auto"/>
        <w:bottom w:val="none" w:sz="0" w:space="0" w:color="auto"/>
        <w:right w:val="none" w:sz="0" w:space="0" w:color="auto"/>
      </w:divBdr>
    </w:div>
    <w:div w:id="596518733">
      <w:bodyDiv w:val="1"/>
      <w:marLeft w:val="0"/>
      <w:marRight w:val="0"/>
      <w:marTop w:val="0"/>
      <w:marBottom w:val="0"/>
      <w:divBdr>
        <w:top w:val="none" w:sz="0" w:space="0" w:color="auto"/>
        <w:left w:val="none" w:sz="0" w:space="0" w:color="auto"/>
        <w:bottom w:val="none" w:sz="0" w:space="0" w:color="auto"/>
        <w:right w:val="none" w:sz="0" w:space="0" w:color="auto"/>
      </w:divBdr>
    </w:div>
    <w:div w:id="600143235">
      <w:bodyDiv w:val="1"/>
      <w:marLeft w:val="0"/>
      <w:marRight w:val="0"/>
      <w:marTop w:val="0"/>
      <w:marBottom w:val="0"/>
      <w:divBdr>
        <w:top w:val="none" w:sz="0" w:space="0" w:color="auto"/>
        <w:left w:val="none" w:sz="0" w:space="0" w:color="auto"/>
        <w:bottom w:val="none" w:sz="0" w:space="0" w:color="auto"/>
        <w:right w:val="none" w:sz="0" w:space="0" w:color="auto"/>
      </w:divBdr>
    </w:div>
    <w:div w:id="601106325">
      <w:bodyDiv w:val="1"/>
      <w:marLeft w:val="0"/>
      <w:marRight w:val="0"/>
      <w:marTop w:val="0"/>
      <w:marBottom w:val="0"/>
      <w:divBdr>
        <w:top w:val="none" w:sz="0" w:space="0" w:color="auto"/>
        <w:left w:val="none" w:sz="0" w:space="0" w:color="auto"/>
        <w:bottom w:val="none" w:sz="0" w:space="0" w:color="auto"/>
        <w:right w:val="none" w:sz="0" w:space="0" w:color="auto"/>
      </w:divBdr>
    </w:div>
    <w:div w:id="601839621">
      <w:bodyDiv w:val="1"/>
      <w:marLeft w:val="0"/>
      <w:marRight w:val="0"/>
      <w:marTop w:val="0"/>
      <w:marBottom w:val="0"/>
      <w:divBdr>
        <w:top w:val="none" w:sz="0" w:space="0" w:color="auto"/>
        <w:left w:val="none" w:sz="0" w:space="0" w:color="auto"/>
        <w:bottom w:val="none" w:sz="0" w:space="0" w:color="auto"/>
        <w:right w:val="none" w:sz="0" w:space="0" w:color="auto"/>
      </w:divBdr>
    </w:div>
    <w:div w:id="602300739">
      <w:bodyDiv w:val="1"/>
      <w:marLeft w:val="0"/>
      <w:marRight w:val="0"/>
      <w:marTop w:val="0"/>
      <w:marBottom w:val="0"/>
      <w:divBdr>
        <w:top w:val="none" w:sz="0" w:space="0" w:color="auto"/>
        <w:left w:val="none" w:sz="0" w:space="0" w:color="auto"/>
        <w:bottom w:val="none" w:sz="0" w:space="0" w:color="auto"/>
        <w:right w:val="none" w:sz="0" w:space="0" w:color="auto"/>
      </w:divBdr>
    </w:div>
    <w:div w:id="603995296">
      <w:bodyDiv w:val="1"/>
      <w:marLeft w:val="0"/>
      <w:marRight w:val="0"/>
      <w:marTop w:val="0"/>
      <w:marBottom w:val="0"/>
      <w:divBdr>
        <w:top w:val="none" w:sz="0" w:space="0" w:color="auto"/>
        <w:left w:val="none" w:sz="0" w:space="0" w:color="auto"/>
        <w:bottom w:val="none" w:sz="0" w:space="0" w:color="auto"/>
        <w:right w:val="none" w:sz="0" w:space="0" w:color="auto"/>
      </w:divBdr>
    </w:div>
    <w:div w:id="606276442">
      <w:bodyDiv w:val="1"/>
      <w:marLeft w:val="0"/>
      <w:marRight w:val="0"/>
      <w:marTop w:val="0"/>
      <w:marBottom w:val="0"/>
      <w:divBdr>
        <w:top w:val="none" w:sz="0" w:space="0" w:color="auto"/>
        <w:left w:val="none" w:sz="0" w:space="0" w:color="auto"/>
        <w:bottom w:val="none" w:sz="0" w:space="0" w:color="auto"/>
        <w:right w:val="none" w:sz="0" w:space="0" w:color="auto"/>
      </w:divBdr>
    </w:div>
    <w:div w:id="607347247">
      <w:bodyDiv w:val="1"/>
      <w:marLeft w:val="0"/>
      <w:marRight w:val="0"/>
      <w:marTop w:val="0"/>
      <w:marBottom w:val="0"/>
      <w:divBdr>
        <w:top w:val="none" w:sz="0" w:space="0" w:color="auto"/>
        <w:left w:val="none" w:sz="0" w:space="0" w:color="auto"/>
        <w:bottom w:val="none" w:sz="0" w:space="0" w:color="auto"/>
        <w:right w:val="none" w:sz="0" w:space="0" w:color="auto"/>
      </w:divBdr>
    </w:div>
    <w:div w:id="608007348">
      <w:bodyDiv w:val="1"/>
      <w:marLeft w:val="0"/>
      <w:marRight w:val="0"/>
      <w:marTop w:val="0"/>
      <w:marBottom w:val="0"/>
      <w:divBdr>
        <w:top w:val="none" w:sz="0" w:space="0" w:color="auto"/>
        <w:left w:val="none" w:sz="0" w:space="0" w:color="auto"/>
        <w:bottom w:val="none" w:sz="0" w:space="0" w:color="auto"/>
        <w:right w:val="none" w:sz="0" w:space="0" w:color="auto"/>
      </w:divBdr>
    </w:div>
    <w:div w:id="608046542">
      <w:bodyDiv w:val="1"/>
      <w:marLeft w:val="0"/>
      <w:marRight w:val="0"/>
      <w:marTop w:val="0"/>
      <w:marBottom w:val="0"/>
      <w:divBdr>
        <w:top w:val="none" w:sz="0" w:space="0" w:color="auto"/>
        <w:left w:val="none" w:sz="0" w:space="0" w:color="auto"/>
        <w:bottom w:val="none" w:sz="0" w:space="0" w:color="auto"/>
        <w:right w:val="none" w:sz="0" w:space="0" w:color="auto"/>
      </w:divBdr>
    </w:div>
    <w:div w:id="609364153">
      <w:bodyDiv w:val="1"/>
      <w:marLeft w:val="0"/>
      <w:marRight w:val="0"/>
      <w:marTop w:val="0"/>
      <w:marBottom w:val="0"/>
      <w:divBdr>
        <w:top w:val="none" w:sz="0" w:space="0" w:color="auto"/>
        <w:left w:val="none" w:sz="0" w:space="0" w:color="auto"/>
        <w:bottom w:val="none" w:sz="0" w:space="0" w:color="auto"/>
        <w:right w:val="none" w:sz="0" w:space="0" w:color="auto"/>
      </w:divBdr>
    </w:div>
    <w:div w:id="609975701">
      <w:bodyDiv w:val="1"/>
      <w:marLeft w:val="0"/>
      <w:marRight w:val="0"/>
      <w:marTop w:val="0"/>
      <w:marBottom w:val="0"/>
      <w:divBdr>
        <w:top w:val="none" w:sz="0" w:space="0" w:color="auto"/>
        <w:left w:val="none" w:sz="0" w:space="0" w:color="auto"/>
        <w:bottom w:val="none" w:sz="0" w:space="0" w:color="auto"/>
        <w:right w:val="none" w:sz="0" w:space="0" w:color="auto"/>
      </w:divBdr>
    </w:div>
    <w:div w:id="610937006">
      <w:bodyDiv w:val="1"/>
      <w:marLeft w:val="0"/>
      <w:marRight w:val="0"/>
      <w:marTop w:val="0"/>
      <w:marBottom w:val="0"/>
      <w:divBdr>
        <w:top w:val="none" w:sz="0" w:space="0" w:color="auto"/>
        <w:left w:val="none" w:sz="0" w:space="0" w:color="auto"/>
        <w:bottom w:val="none" w:sz="0" w:space="0" w:color="auto"/>
        <w:right w:val="none" w:sz="0" w:space="0" w:color="auto"/>
      </w:divBdr>
    </w:div>
    <w:div w:id="611471320">
      <w:bodyDiv w:val="1"/>
      <w:marLeft w:val="0"/>
      <w:marRight w:val="0"/>
      <w:marTop w:val="0"/>
      <w:marBottom w:val="0"/>
      <w:divBdr>
        <w:top w:val="none" w:sz="0" w:space="0" w:color="auto"/>
        <w:left w:val="none" w:sz="0" w:space="0" w:color="auto"/>
        <w:bottom w:val="none" w:sz="0" w:space="0" w:color="auto"/>
        <w:right w:val="none" w:sz="0" w:space="0" w:color="auto"/>
      </w:divBdr>
      <w:divsChild>
        <w:div w:id="234708239">
          <w:marLeft w:val="0"/>
          <w:marRight w:val="0"/>
          <w:marTop w:val="0"/>
          <w:marBottom w:val="0"/>
          <w:divBdr>
            <w:top w:val="none" w:sz="0" w:space="0" w:color="auto"/>
            <w:left w:val="none" w:sz="0" w:space="0" w:color="auto"/>
            <w:bottom w:val="none" w:sz="0" w:space="0" w:color="auto"/>
            <w:right w:val="none" w:sz="0" w:space="0" w:color="auto"/>
          </w:divBdr>
        </w:div>
        <w:div w:id="1874808037">
          <w:marLeft w:val="0"/>
          <w:marRight w:val="0"/>
          <w:marTop w:val="0"/>
          <w:marBottom w:val="0"/>
          <w:divBdr>
            <w:top w:val="none" w:sz="0" w:space="0" w:color="auto"/>
            <w:left w:val="none" w:sz="0" w:space="0" w:color="auto"/>
            <w:bottom w:val="none" w:sz="0" w:space="0" w:color="auto"/>
            <w:right w:val="none" w:sz="0" w:space="0" w:color="auto"/>
          </w:divBdr>
        </w:div>
      </w:divsChild>
    </w:div>
    <w:div w:id="611472782">
      <w:bodyDiv w:val="1"/>
      <w:marLeft w:val="0"/>
      <w:marRight w:val="0"/>
      <w:marTop w:val="0"/>
      <w:marBottom w:val="0"/>
      <w:divBdr>
        <w:top w:val="none" w:sz="0" w:space="0" w:color="auto"/>
        <w:left w:val="none" w:sz="0" w:space="0" w:color="auto"/>
        <w:bottom w:val="none" w:sz="0" w:space="0" w:color="auto"/>
        <w:right w:val="none" w:sz="0" w:space="0" w:color="auto"/>
      </w:divBdr>
    </w:div>
    <w:div w:id="613827801">
      <w:bodyDiv w:val="1"/>
      <w:marLeft w:val="0"/>
      <w:marRight w:val="0"/>
      <w:marTop w:val="0"/>
      <w:marBottom w:val="0"/>
      <w:divBdr>
        <w:top w:val="none" w:sz="0" w:space="0" w:color="auto"/>
        <w:left w:val="none" w:sz="0" w:space="0" w:color="auto"/>
        <w:bottom w:val="none" w:sz="0" w:space="0" w:color="auto"/>
        <w:right w:val="none" w:sz="0" w:space="0" w:color="auto"/>
      </w:divBdr>
    </w:div>
    <w:div w:id="614098809">
      <w:bodyDiv w:val="1"/>
      <w:marLeft w:val="0"/>
      <w:marRight w:val="0"/>
      <w:marTop w:val="0"/>
      <w:marBottom w:val="0"/>
      <w:divBdr>
        <w:top w:val="none" w:sz="0" w:space="0" w:color="auto"/>
        <w:left w:val="none" w:sz="0" w:space="0" w:color="auto"/>
        <w:bottom w:val="none" w:sz="0" w:space="0" w:color="auto"/>
        <w:right w:val="none" w:sz="0" w:space="0" w:color="auto"/>
      </w:divBdr>
    </w:div>
    <w:div w:id="614753686">
      <w:bodyDiv w:val="1"/>
      <w:marLeft w:val="0"/>
      <w:marRight w:val="0"/>
      <w:marTop w:val="0"/>
      <w:marBottom w:val="0"/>
      <w:divBdr>
        <w:top w:val="none" w:sz="0" w:space="0" w:color="auto"/>
        <w:left w:val="none" w:sz="0" w:space="0" w:color="auto"/>
        <w:bottom w:val="none" w:sz="0" w:space="0" w:color="auto"/>
        <w:right w:val="none" w:sz="0" w:space="0" w:color="auto"/>
      </w:divBdr>
    </w:div>
    <w:div w:id="615142820">
      <w:bodyDiv w:val="1"/>
      <w:marLeft w:val="0"/>
      <w:marRight w:val="0"/>
      <w:marTop w:val="0"/>
      <w:marBottom w:val="0"/>
      <w:divBdr>
        <w:top w:val="none" w:sz="0" w:space="0" w:color="auto"/>
        <w:left w:val="none" w:sz="0" w:space="0" w:color="auto"/>
        <w:bottom w:val="none" w:sz="0" w:space="0" w:color="auto"/>
        <w:right w:val="none" w:sz="0" w:space="0" w:color="auto"/>
      </w:divBdr>
    </w:div>
    <w:div w:id="616647677">
      <w:bodyDiv w:val="1"/>
      <w:marLeft w:val="0"/>
      <w:marRight w:val="0"/>
      <w:marTop w:val="0"/>
      <w:marBottom w:val="0"/>
      <w:divBdr>
        <w:top w:val="none" w:sz="0" w:space="0" w:color="auto"/>
        <w:left w:val="none" w:sz="0" w:space="0" w:color="auto"/>
        <w:bottom w:val="none" w:sz="0" w:space="0" w:color="auto"/>
        <w:right w:val="none" w:sz="0" w:space="0" w:color="auto"/>
      </w:divBdr>
    </w:div>
    <w:div w:id="618611179">
      <w:bodyDiv w:val="1"/>
      <w:marLeft w:val="0"/>
      <w:marRight w:val="0"/>
      <w:marTop w:val="0"/>
      <w:marBottom w:val="0"/>
      <w:divBdr>
        <w:top w:val="none" w:sz="0" w:space="0" w:color="auto"/>
        <w:left w:val="none" w:sz="0" w:space="0" w:color="auto"/>
        <w:bottom w:val="none" w:sz="0" w:space="0" w:color="auto"/>
        <w:right w:val="none" w:sz="0" w:space="0" w:color="auto"/>
      </w:divBdr>
    </w:div>
    <w:div w:id="625700456">
      <w:bodyDiv w:val="1"/>
      <w:marLeft w:val="0"/>
      <w:marRight w:val="0"/>
      <w:marTop w:val="0"/>
      <w:marBottom w:val="0"/>
      <w:divBdr>
        <w:top w:val="none" w:sz="0" w:space="0" w:color="auto"/>
        <w:left w:val="none" w:sz="0" w:space="0" w:color="auto"/>
        <w:bottom w:val="none" w:sz="0" w:space="0" w:color="auto"/>
        <w:right w:val="none" w:sz="0" w:space="0" w:color="auto"/>
      </w:divBdr>
    </w:div>
    <w:div w:id="626473148">
      <w:bodyDiv w:val="1"/>
      <w:marLeft w:val="0"/>
      <w:marRight w:val="0"/>
      <w:marTop w:val="0"/>
      <w:marBottom w:val="0"/>
      <w:divBdr>
        <w:top w:val="none" w:sz="0" w:space="0" w:color="auto"/>
        <w:left w:val="none" w:sz="0" w:space="0" w:color="auto"/>
        <w:bottom w:val="none" w:sz="0" w:space="0" w:color="auto"/>
        <w:right w:val="none" w:sz="0" w:space="0" w:color="auto"/>
      </w:divBdr>
    </w:div>
    <w:div w:id="626662900">
      <w:bodyDiv w:val="1"/>
      <w:marLeft w:val="0"/>
      <w:marRight w:val="0"/>
      <w:marTop w:val="0"/>
      <w:marBottom w:val="0"/>
      <w:divBdr>
        <w:top w:val="none" w:sz="0" w:space="0" w:color="auto"/>
        <w:left w:val="none" w:sz="0" w:space="0" w:color="auto"/>
        <w:bottom w:val="none" w:sz="0" w:space="0" w:color="auto"/>
        <w:right w:val="none" w:sz="0" w:space="0" w:color="auto"/>
      </w:divBdr>
    </w:div>
    <w:div w:id="626744635">
      <w:bodyDiv w:val="1"/>
      <w:marLeft w:val="0"/>
      <w:marRight w:val="0"/>
      <w:marTop w:val="0"/>
      <w:marBottom w:val="0"/>
      <w:divBdr>
        <w:top w:val="none" w:sz="0" w:space="0" w:color="auto"/>
        <w:left w:val="none" w:sz="0" w:space="0" w:color="auto"/>
        <w:bottom w:val="none" w:sz="0" w:space="0" w:color="auto"/>
        <w:right w:val="none" w:sz="0" w:space="0" w:color="auto"/>
      </w:divBdr>
    </w:div>
    <w:div w:id="628046976">
      <w:bodyDiv w:val="1"/>
      <w:marLeft w:val="0"/>
      <w:marRight w:val="0"/>
      <w:marTop w:val="0"/>
      <w:marBottom w:val="0"/>
      <w:divBdr>
        <w:top w:val="none" w:sz="0" w:space="0" w:color="auto"/>
        <w:left w:val="none" w:sz="0" w:space="0" w:color="auto"/>
        <w:bottom w:val="none" w:sz="0" w:space="0" w:color="auto"/>
        <w:right w:val="none" w:sz="0" w:space="0" w:color="auto"/>
      </w:divBdr>
    </w:div>
    <w:div w:id="628897950">
      <w:bodyDiv w:val="1"/>
      <w:marLeft w:val="0"/>
      <w:marRight w:val="0"/>
      <w:marTop w:val="0"/>
      <w:marBottom w:val="0"/>
      <w:divBdr>
        <w:top w:val="none" w:sz="0" w:space="0" w:color="auto"/>
        <w:left w:val="none" w:sz="0" w:space="0" w:color="auto"/>
        <w:bottom w:val="none" w:sz="0" w:space="0" w:color="auto"/>
        <w:right w:val="none" w:sz="0" w:space="0" w:color="auto"/>
      </w:divBdr>
    </w:div>
    <w:div w:id="633101767">
      <w:bodyDiv w:val="1"/>
      <w:marLeft w:val="0"/>
      <w:marRight w:val="0"/>
      <w:marTop w:val="0"/>
      <w:marBottom w:val="0"/>
      <w:divBdr>
        <w:top w:val="none" w:sz="0" w:space="0" w:color="auto"/>
        <w:left w:val="none" w:sz="0" w:space="0" w:color="auto"/>
        <w:bottom w:val="none" w:sz="0" w:space="0" w:color="auto"/>
        <w:right w:val="none" w:sz="0" w:space="0" w:color="auto"/>
      </w:divBdr>
    </w:div>
    <w:div w:id="636884423">
      <w:bodyDiv w:val="1"/>
      <w:marLeft w:val="0"/>
      <w:marRight w:val="0"/>
      <w:marTop w:val="0"/>
      <w:marBottom w:val="0"/>
      <w:divBdr>
        <w:top w:val="none" w:sz="0" w:space="0" w:color="auto"/>
        <w:left w:val="none" w:sz="0" w:space="0" w:color="auto"/>
        <w:bottom w:val="none" w:sz="0" w:space="0" w:color="auto"/>
        <w:right w:val="none" w:sz="0" w:space="0" w:color="auto"/>
      </w:divBdr>
    </w:div>
    <w:div w:id="637222798">
      <w:bodyDiv w:val="1"/>
      <w:marLeft w:val="0"/>
      <w:marRight w:val="0"/>
      <w:marTop w:val="0"/>
      <w:marBottom w:val="0"/>
      <w:divBdr>
        <w:top w:val="none" w:sz="0" w:space="0" w:color="auto"/>
        <w:left w:val="none" w:sz="0" w:space="0" w:color="auto"/>
        <w:bottom w:val="none" w:sz="0" w:space="0" w:color="auto"/>
        <w:right w:val="none" w:sz="0" w:space="0" w:color="auto"/>
      </w:divBdr>
    </w:div>
    <w:div w:id="639192681">
      <w:bodyDiv w:val="1"/>
      <w:marLeft w:val="0"/>
      <w:marRight w:val="0"/>
      <w:marTop w:val="0"/>
      <w:marBottom w:val="0"/>
      <w:divBdr>
        <w:top w:val="none" w:sz="0" w:space="0" w:color="auto"/>
        <w:left w:val="none" w:sz="0" w:space="0" w:color="auto"/>
        <w:bottom w:val="none" w:sz="0" w:space="0" w:color="auto"/>
        <w:right w:val="none" w:sz="0" w:space="0" w:color="auto"/>
      </w:divBdr>
    </w:div>
    <w:div w:id="641234705">
      <w:bodyDiv w:val="1"/>
      <w:marLeft w:val="0"/>
      <w:marRight w:val="0"/>
      <w:marTop w:val="0"/>
      <w:marBottom w:val="0"/>
      <w:divBdr>
        <w:top w:val="none" w:sz="0" w:space="0" w:color="auto"/>
        <w:left w:val="none" w:sz="0" w:space="0" w:color="auto"/>
        <w:bottom w:val="none" w:sz="0" w:space="0" w:color="auto"/>
        <w:right w:val="none" w:sz="0" w:space="0" w:color="auto"/>
      </w:divBdr>
    </w:div>
    <w:div w:id="642079268">
      <w:bodyDiv w:val="1"/>
      <w:marLeft w:val="0"/>
      <w:marRight w:val="0"/>
      <w:marTop w:val="0"/>
      <w:marBottom w:val="0"/>
      <w:divBdr>
        <w:top w:val="none" w:sz="0" w:space="0" w:color="auto"/>
        <w:left w:val="none" w:sz="0" w:space="0" w:color="auto"/>
        <w:bottom w:val="none" w:sz="0" w:space="0" w:color="auto"/>
        <w:right w:val="none" w:sz="0" w:space="0" w:color="auto"/>
      </w:divBdr>
    </w:div>
    <w:div w:id="643698402">
      <w:bodyDiv w:val="1"/>
      <w:marLeft w:val="0"/>
      <w:marRight w:val="0"/>
      <w:marTop w:val="0"/>
      <w:marBottom w:val="0"/>
      <w:divBdr>
        <w:top w:val="none" w:sz="0" w:space="0" w:color="auto"/>
        <w:left w:val="none" w:sz="0" w:space="0" w:color="auto"/>
        <w:bottom w:val="none" w:sz="0" w:space="0" w:color="auto"/>
        <w:right w:val="none" w:sz="0" w:space="0" w:color="auto"/>
      </w:divBdr>
    </w:div>
    <w:div w:id="644050473">
      <w:bodyDiv w:val="1"/>
      <w:marLeft w:val="0"/>
      <w:marRight w:val="0"/>
      <w:marTop w:val="0"/>
      <w:marBottom w:val="0"/>
      <w:divBdr>
        <w:top w:val="none" w:sz="0" w:space="0" w:color="auto"/>
        <w:left w:val="none" w:sz="0" w:space="0" w:color="auto"/>
        <w:bottom w:val="none" w:sz="0" w:space="0" w:color="auto"/>
        <w:right w:val="none" w:sz="0" w:space="0" w:color="auto"/>
      </w:divBdr>
    </w:div>
    <w:div w:id="644244429">
      <w:bodyDiv w:val="1"/>
      <w:marLeft w:val="0"/>
      <w:marRight w:val="0"/>
      <w:marTop w:val="0"/>
      <w:marBottom w:val="0"/>
      <w:divBdr>
        <w:top w:val="none" w:sz="0" w:space="0" w:color="auto"/>
        <w:left w:val="none" w:sz="0" w:space="0" w:color="auto"/>
        <w:bottom w:val="none" w:sz="0" w:space="0" w:color="auto"/>
        <w:right w:val="none" w:sz="0" w:space="0" w:color="auto"/>
      </w:divBdr>
    </w:div>
    <w:div w:id="644772195">
      <w:bodyDiv w:val="1"/>
      <w:marLeft w:val="0"/>
      <w:marRight w:val="0"/>
      <w:marTop w:val="0"/>
      <w:marBottom w:val="0"/>
      <w:divBdr>
        <w:top w:val="none" w:sz="0" w:space="0" w:color="auto"/>
        <w:left w:val="none" w:sz="0" w:space="0" w:color="auto"/>
        <w:bottom w:val="none" w:sz="0" w:space="0" w:color="auto"/>
        <w:right w:val="none" w:sz="0" w:space="0" w:color="auto"/>
      </w:divBdr>
    </w:div>
    <w:div w:id="644941078">
      <w:bodyDiv w:val="1"/>
      <w:marLeft w:val="0"/>
      <w:marRight w:val="0"/>
      <w:marTop w:val="0"/>
      <w:marBottom w:val="0"/>
      <w:divBdr>
        <w:top w:val="none" w:sz="0" w:space="0" w:color="auto"/>
        <w:left w:val="none" w:sz="0" w:space="0" w:color="auto"/>
        <w:bottom w:val="none" w:sz="0" w:space="0" w:color="auto"/>
        <w:right w:val="none" w:sz="0" w:space="0" w:color="auto"/>
      </w:divBdr>
    </w:div>
    <w:div w:id="645014805">
      <w:bodyDiv w:val="1"/>
      <w:marLeft w:val="0"/>
      <w:marRight w:val="0"/>
      <w:marTop w:val="0"/>
      <w:marBottom w:val="0"/>
      <w:divBdr>
        <w:top w:val="none" w:sz="0" w:space="0" w:color="auto"/>
        <w:left w:val="none" w:sz="0" w:space="0" w:color="auto"/>
        <w:bottom w:val="none" w:sz="0" w:space="0" w:color="auto"/>
        <w:right w:val="none" w:sz="0" w:space="0" w:color="auto"/>
      </w:divBdr>
    </w:div>
    <w:div w:id="646472217">
      <w:bodyDiv w:val="1"/>
      <w:marLeft w:val="0"/>
      <w:marRight w:val="0"/>
      <w:marTop w:val="0"/>
      <w:marBottom w:val="0"/>
      <w:divBdr>
        <w:top w:val="none" w:sz="0" w:space="0" w:color="auto"/>
        <w:left w:val="none" w:sz="0" w:space="0" w:color="auto"/>
        <w:bottom w:val="none" w:sz="0" w:space="0" w:color="auto"/>
        <w:right w:val="none" w:sz="0" w:space="0" w:color="auto"/>
      </w:divBdr>
    </w:div>
    <w:div w:id="647437777">
      <w:bodyDiv w:val="1"/>
      <w:marLeft w:val="0"/>
      <w:marRight w:val="0"/>
      <w:marTop w:val="0"/>
      <w:marBottom w:val="0"/>
      <w:divBdr>
        <w:top w:val="none" w:sz="0" w:space="0" w:color="auto"/>
        <w:left w:val="none" w:sz="0" w:space="0" w:color="auto"/>
        <w:bottom w:val="none" w:sz="0" w:space="0" w:color="auto"/>
        <w:right w:val="none" w:sz="0" w:space="0" w:color="auto"/>
      </w:divBdr>
      <w:divsChild>
        <w:div w:id="1214195190">
          <w:marLeft w:val="0"/>
          <w:marRight w:val="0"/>
          <w:marTop w:val="0"/>
          <w:marBottom w:val="0"/>
          <w:divBdr>
            <w:top w:val="none" w:sz="0" w:space="0" w:color="auto"/>
            <w:left w:val="none" w:sz="0" w:space="0" w:color="auto"/>
            <w:bottom w:val="none" w:sz="0" w:space="0" w:color="auto"/>
            <w:right w:val="none" w:sz="0" w:space="0" w:color="auto"/>
          </w:divBdr>
        </w:div>
        <w:div w:id="1488203892">
          <w:marLeft w:val="0"/>
          <w:marRight w:val="0"/>
          <w:marTop w:val="0"/>
          <w:marBottom w:val="0"/>
          <w:divBdr>
            <w:top w:val="none" w:sz="0" w:space="0" w:color="auto"/>
            <w:left w:val="none" w:sz="0" w:space="0" w:color="auto"/>
            <w:bottom w:val="none" w:sz="0" w:space="0" w:color="auto"/>
            <w:right w:val="none" w:sz="0" w:space="0" w:color="auto"/>
          </w:divBdr>
          <w:divsChild>
            <w:div w:id="1410158693">
              <w:marLeft w:val="-75"/>
              <w:marRight w:val="0"/>
              <w:marTop w:val="30"/>
              <w:marBottom w:val="30"/>
              <w:divBdr>
                <w:top w:val="none" w:sz="0" w:space="0" w:color="auto"/>
                <w:left w:val="none" w:sz="0" w:space="0" w:color="auto"/>
                <w:bottom w:val="none" w:sz="0" w:space="0" w:color="auto"/>
                <w:right w:val="none" w:sz="0" w:space="0" w:color="auto"/>
              </w:divBdr>
              <w:divsChild>
                <w:div w:id="51999971">
                  <w:marLeft w:val="0"/>
                  <w:marRight w:val="0"/>
                  <w:marTop w:val="0"/>
                  <w:marBottom w:val="0"/>
                  <w:divBdr>
                    <w:top w:val="none" w:sz="0" w:space="0" w:color="auto"/>
                    <w:left w:val="none" w:sz="0" w:space="0" w:color="auto"/>
                    <w:bottom w:val="none" w:sz="0" w:space="0" w:color="auto"/>
                    <w:right w:val="none" w:sz="0" w:space="0" w:color="auto"/>
                  </w:divBdr>
                  <w:divsChild>
                    <w:div w:id="759371911">
                      <w:marLeft w:val="0"/>
                      <w:marRight w:val="0"/>
                      <w:marTop w:val="0"/>
                      <w:marBottom w:val="0"/>
                      <w:divBdr>
                        <w:top w:val="none" w:sz="0" w:space="0" w:color="auto"/>
                        <w:left w:val="none" w:sz="0" w:space="0" w:color="auto"/>
                        <w:bottom w:val="none" w:sz="0" w:space="0" w:color="auto"/>
                        <w:right w:val="none" w:sz="0" w:space="0" w:color="auto"/>
                      </w:divBdr>
                    </w:div>
                  </w:divsChild>
                </w:div>
                <w:div w:id="93980562">
                  <w:marLeft w:val="0"/>
                  <w:marRight w:val="0"/>
                  <w:marTop w:val="0"/>
                  <w:marBottom w:val="0"/>
                  <w:divBdr>
                    <w:top w:val="none" w:sz="0" w:space="0" w:color="auto"/>
                    <w:left w:val="none" w:sz="0" w:space="0" w:color="auto"/>
                    <w:bottom w:val="none" w:sz="0" w:space="0" w:color="auto"/>
                    <w:right w:val="none" w:sz="0" w:space="0" w:color="auto"/>
                  </w:divBdr>
                  <w:divsChild>
                    <w:div w:id="1026638458">
                      <w:marLeft w:val="0"/>
                      <w:marRight w:val="0"/>
                      <w:marTop w:val="0"/>
                      <w:marBottom w:val="0"/>
                      <w:divBdr>
                        <w:top w:val="none" w:sz="0" w:space="0" w:color="auto"/>
                        <w:left w:val="none" w:sz="0" w:space="0" w:color="auto"/>
                        <w:bottom w:val="none" w:sz="0" w:space="0" w:color="auto"/>
                        <w:right w:val="none" w:sz="0" w:space="0" w:color="auto"/>
                      </w:divBdr>
                    </w:div>
                    <w:div w:id="1394350082">
                      <w:marLeft w:val="0"/>
                      <w:marRight w:val="0"/>
                      <w:marTop w:val="0"/>
                      <w:marBottom w:val="0"/>
                      <w:divBdr>
                        <w:top w:val="none" w:sz="0" w:space="0" w:color="auto"/>
                        <w:left w:val="none" w:sz="0" w:space="0" w:color="auto"/>
                        <w:bottom w:val="none" w:sz="0" w:space="0" w:color="auto"/>
                        <w:right w:val="none" w:sz="0" w:space="0" w:color="auto"/>
                      </w:divBdr>
                    </w:div>
                  </w:divsChild>
                </w:div>
                <w:div w:id="103501368">
                  <w:marLeft w:val="0"/>
                  <w:marRight w:val="0"/>
                  <w:marTop w:val="0"/>
                  <w:marBottom w:val="0"/>
                  <w:divBdr>
                    <w:top w:val="none" w:sz="0" w:space="0" w:color="auto"/>
                    <w:left w:val="none" w:sz="0" w:space="0" w:color="auto"/>
                    <w:bottom w:val="none" w:sz="0" w:space="0" w:color="auto"/>
                    <w:right w:val="none" w:sz="0" w:space="0" w:color="auto"/>
                  </w:divBdr>
                  <w:divsChild>
                    <w:div w:id="978342911">
                      <w:marLeft w:val="0"/>
                      <w:marRight w:val="0"/>
                      <w:marTop w:val="0"/>
                      <w:marBottom w:val="0"/>
                      <w:divBdr>
                        <w:top w:val="none" w:sz="0" w:space="0" w:color="auto"/>
                        <w:left w:val="none" w:sz="0" w:space="0" w:color="auto"/>
                        <w:bottom w:val="none" w:sz="0" w:space="0" w:color="auto"/>
                        <w:right w:val="none" w:sz="0" w:space="0" w:color="auto"/>
                      </w:divBdr>
                    </w:div>
                  </w:divsChild>
                </w:div>
                <w:div w:id="156923876">
                  <w:marLeft w:val="0"/>
                  <w:marRight w:val="0"/>
                  <w:marTop w:val="0"/>
                  <w:marBottom w:val="0"/>
                  <w:divBdr>
                    <w:top w:val="none" w:sz="0" w:space="0" w:color="auto"/>
                    <w:left w:val="none" w:sz="0" w:space="0" w:color="auto"/>
                    <w:bottom w:val="none" w:sz="0" w:space="0" w:color="auto"/>
                    <w:right w:val="none" w:sz="0" w:space="0" w:color="auto"/>
                  </w:divBdr>
                  <w:divsChild>
                    <w:div w:id="2132939033">
                      <w:marLeft w:val="0"/>
                      <w:marRight w:val="0"/>
                      <w:marTop w:val="0"/>
                      <w:marBottom w:val="0"/>
                      <w:divBdr>
                        <w:top w:val="none" w:sz="0" w:space="0" w:color="auto"/>
                        <w:left w:val="none" w:sz="0" w:space="0" w:color="auto"/>
                        <w:bottom w:val="none" w:sz="0" w:space="0" w:color="auto"/>
                        <w:right w:val="none" w:sz="0" w:space="0" w:color="auto"/>
                      </w:divBdr>
                    </w:div>
                  </w:divsChild>
                </w:div>
                <w:div w:id="166480893">
                  <w:marLeft w:val="0"/>
                  <w:marRight w:val="0"/>
                  <w:marTop w:val="0"/>
                  <w:marBottom w:val="0"/>
                  <w:divBdr>
                    <w:top w:val="none" w:sz="0" w:space="0" w:color="auto"/>
                    <w:left w:val="none" w:sz="0" w:space="0" w:color="auto"/>
                    <w:bottom w:val="none" w:sz="0" w:space="0" w:color="auto"/>
                    <w:right w:val="none" w:sz="0" w:space="0" w:color="auto"/>
                  </w:divBdr>
                  <w:divsChild>
                    <w:div w:id="740903531">
                      <w:marLeft w:val="0"/>
                      <w:marRight w:val="0"/>
                      <w:marTop w:val="0"/>
                      <w:marBottom w:val="0"/>
                      <w:divBdr>
                        <w:top w:val="none" w:sz="0" w:space="0" w:color="auto"/>
                        <w:left w:val="none" w:sz="0" w:space="0" w:color="auto"/>
                        <w:bottom w:val="none" w:sz="0" w:space="0" w:color="auto"/>
                        <w:right w:val="none" w:sz="0" w:space="0" w:color="auto"/>
                      </w:divBdr>
                    </w:div>
                  </w:divsChild>
                </w:div>
                <w:div w:id="196087905">
                  <w:marLeft w:val="0"/>
                  <w:marRight w:val="0"/>
                  <w:marTop w:val="0"/>
                  <w:marBottom w:val="0"/>
                  <w:divBdr>
                    <w:top w:val="none" w:sz="0" w:space="0" w:color="auto"/>
                    <w:left w:val="none" w:sz="0" w:space="0" w:color="auto"/>
                    <w:bottom w:val="none" w:sz="0" w:space="0" w:color="auto"/>
                    <w:right w:val="none" w:sz="0" w:space="0" w:color="auto"/>
                  </w:divBdr>
                  <w:divsChild>
                    <w:div w:id="937640718">
                      <w:marLeft w:val="0"/>
                      <w:marRight w:val="0"/>
                      <w:marTop w:val="0"/>
                      <w:marBottom w:val="0"/>
                      <w:divBdr>
                        <w:top w:val="none" w:sz="0" w:space="0" w:color="auto"/>
                        <w:left w:val="none" w:sz="0" w:space="0" w:color="auto"/>
                        <w:bottom w:val="none" w:sz="0" w:space="0" w:color="auto"/>
                        <w:right w:val="none" w:sz="0" w:space="0" w:color="auto"/>
                      </w:divBdr>
                    </w:div>
                  </w:divsChild>
                </w:div>
                <w:div w:id="248930051">
                  <w:marLeft w:val="0"/>
                  <w:marRight w:val="0"/>
                  <w:marTop w:val="0"/>
                  <w:marBottom w:val="0"/>
                  <w:divBdr>
                    <w:top w:val="none" w:sz="0" w:space="0" w:color="auto"/>
                    <w:left w:val="none" w:sz="0" w:space="0" w:color="auto"/>
                    <w:bottom w:val="none" w:sz="0" w:space="0" w:color="auto"/>
                    <w:right w:val="none" w:sz="0" w:space="0" w:color="auto"/>
                  </w:divBdr>
                  <w:divsChild>
                    <w:div w:id="472796366">
                      <w:marLeft w:val="0"/>
                      <w:marRight w:val="0"/>
                      <w:marTop w:val="0"/>
                      <w:marBottom w:val="0"/>
                      <w:divBdr>
                        <w:top w:val="none" w:sz="0" w:space="0" w:color="auto"/>
                        <w:left w:val="none" w:sz="0" w:space="0" w:color="auto"/>
                        <w:bottom w:val="none" w:sz="0" w:space="0" w:color="auto"/>
                        <w:right w:val="none" w:sz="0" w:space="0" w:color="auto"/>
                      </w:divBdr>
                    </w:div>
                  </w:divsChild>
                </w:div>
                <w:div w:id="274486531">
                  <w:marLeft w:val="0"/>
                  <w:marRight w:val="0"/>
                  <w:marTop w:val="0"/>
                  <w:marBottom w:val="0"/>
                  <w:divBdr>
                    <w:top w:val="none" w:sz="0" w:space="0" w:color="auto"/>
                    <w:left w:val="none" w:sz="0" w:space="0" w:color="auto"/>
                    <w:bottom w:val="none" w:sz="0" w:space="0" w:color="auto"/>
                    <w:right w:val="none" w:sz="0" w:space="0" w:color="auto"/>
                  </w:divBdr>
                  <w:divsChild>
                    <w:div w:id="1471359496">
                      <w:marLeft w:val="0"/>
                      <w:marRight w:val="0"/>
                      <w:marTop w:val="0"/>
                      <w:marBottom w:val="0"/>
                      <w:divBdr>
                        <w:top w:val="none" w:sz="0" w:space="0" w:color="auto"/>
                        <w:left w:val="none" w:sz="0" w:space="0" w:color="auto"/>
                        <w:bottom w:val="none" w:sz="0" w:space="0" w:color="auto"/>
                        <w:right w:val="none" w:sz="0" w:space="0" w:color="auto"/>
                      </w:divBdr>
                    </w:div>
                  </w:divsChild>
                </w:div>
                <w:div w:id="297685205">
                  <w:marLeft w:val="0"/>
                  <w:marRight w:val="0"/>
                  <w:marTop w:val="0"/>
                  <w:marBottom w:val="0"/>
                  <w:divBdr>
                    <w:top w:val="none" w:sz="0" w:space="0" w:color="auto"/>
                    <w:left w:val="none" w:sz="0" w:space="0" w:color="auto"/>
                    <w:bottom w:val="none" w:sz="0" w:space="0" w:color="auto"/>
                    <w:right w:val="none" w:sz="0" w:space="0" w:color="auto"/>
                  </w:divBdr>
                  <w:divsChild>
                    <w:div w:id="196042886">
                      <w:marLeft w:val="0"/>
                      <w:marRight w:val="0"/>
                      <w:marTop w:val="0"/>
                      <w:marBottom w:val="0"/>
                      <w:divBdr>
                        <w:top w:val="none" w:sz="0" w:space="0" w:color="auto"/>
                        <w:left w:val="none" w:sz="0" w:space="0" w:color="auto"/>
                        <w:bottom w:val="none" w:sz="0" w:space="0" w:color="auto"/>
                        <w:right w:val="none" w:sz="0" w:space="0" w:color="auto"/>
                      </w:divBdr>
                    </w:div>
                  </w:divsChild>
                </w:div>
                <w:div w:id="308022741">
                  <w:marLeft w:val="0"/>
                  <w:marRight w:val="0"/>
                  <w:marTop w:val="0"/>
                  <w:marBottom w:val="0"/>
                  <w:divBdr>
                    <w:top w:val="none" w:sz="0" w:space="0" w:color="auto"/>
                    <w:left w:val="none" w:sz="0" w:space="0" w:color="auto"/>
                    <w:bottom w:val="none" w:sz="0" w:space="0" w:color="auto"/>
                    <w:right w:val="none" w:sz="0" w:space="0" w:color="auto"/>
                  </w:divBdr>
                  <w:divsChild>
                    <w:div w:id="208805764">
                      <w:marLeft w:val="0"/>
                      <w:marRight w:val="0"/>
                      <w:marTop w:val="0"/>
                      <w:marBottom w:val="0"/>
                      <w:divBdr>
                        <w:top w:val="none" w:sz="0" w:space="0" w:color="auto"/>
                        <w:left w:val="none" w:sz="0" w:space="0" w:color="auto"/>
                        <w:bottom w:val="none" w:sz="0" w:space="0" w:color="auto"/>
                        <w:right w:val="none" w:sz="0" w:space="0" w:color="auto"/>
                      </w:divBdr>
                    </w:div>
                  </w:divsChild>
                </w:div>
                <w:div w:id="342171251">
                  <w:marLeft w:val="0"/>
                  <w:marRight w:val="0"/>
                  <w:marTop w:val="0"/>
                  <w:marBottom w:val="0"/>
                  <w:divBdr>
                    <w:top w:val="none" w:sz="0" w:space="0" w:color="auto"/>
                    <w:left w:val="none" w:sz="0" w:space="0" w:color="auto"/>
                    <w:bottom w:val="none" w:sz="0" w:space="0" w:color="auto"/>
                    <w:right w:val="none" w:sz="0" w:space="0" w:color="auto"/>
                  </w:divBdr>
                  <w:divsChild>
                    <w:div w:id="1466047911">
                      <w:marLeft w:val="0"/>
                      <w:marRight w:val="0"/>
                      <w:marTop w:val="0"/>
                      <w:marBottom w:val="0"/>
                      <w:divBdr>
                        <w:top w:val="none" w:sz="0" w:space="0" w:color="auto"/>
                        <w:left w:val="none" w:sz="0" w:space="0" w:color="auto"/>
                        <w:bottom w:val="none" w:sz="0" w:space="0" w:color="auto"/>
                        <w:right w:val="none" w:sz="0" w:space="0" w:color="auto"/>
                      </w:divBdr>
                    </w:div>
                  </w:divsChild>
                </w:div>
                <w:div w:id="429356342">
                  <w:marLeft w:val="0"/>
                  <w:marRight w:val="0"/>
                  <w:marTop w:val="0"/>
                  <w:marBottom w:val="0"/>
                  <w:divBdr>
                    <w:top w:val="none" w:sz="0" w:space="0" w:color="auto"/>
                    <w:left w:val="none" w:sz="0" w:space="0" w:color="auto"/>
                    <w:bottom w:val="none" w:sz="0" w:space="0" w:color="auto"/>
                    <w:right w:val="none" w:sz="0" w:space="0" w:color="auto"/>
                  </w:divBdr>
                  <w:divsChild>
                    <w:div w:id="348988152">
                      <w:marLeft w:val="0"/>
                      <w:marRight w:val="0"/>
                      <w:marTop w:val="0"/>
                      <w:marBottom w:val="0"/>
                      <w:divBdr>
                        <w:top w:val="none" w:sz="0" w:space="0" w:color="auto"/>
                        <w:left w:val="none" w:sz="0" w:space="0" w:color="auto"/>
                        <w:bottom w:val="none" w:sz="0" w:space="0" w:color="auto"/>
                        <w:right w:val="none" w:sz="0" w:space="0" w:color="auto"/>
                      </w:divBdr>
                    </w:div>
                  </w:divsChild>
                </w:div>
                <w:div w:id="436951417">
                  <w:marLeft w:val="0"/>
                  <w:marRight w:val="0"/>
                  <w:marTop w:val="0"/>
                  <w:marBottom w:val="0"/>
                  <w:divBdr>
                    <w:top w:val="none" w:sz="0" w:space="0" w:color="auto"/>
                    <w:left w:val="none" w:sz="0" w:space="0" w:color="auto"/>
                    <w:bottom w:val="none" w:sz="0" w:space="0" w:color="auto"/>
                    <w:right w:val="none" w:sz="0" w:space="0" w:color="auto"/>
                  </w:divBdr>
                  <w:divsChild>
                    <w:div w:id="554511374">
                      <w:marLeft w:val="0"/>
                      <w:marRight w:val="0"/>
                      <w:marTop w:val="0"/>
                      <w:marBottom w:val="0"/>
                      <w:divBdr>
                        <w:top w:val="none" w:sz="0" w:space="0" w:color="auto"/>
                        <w:left w:val="none" w:sz="0" w:space="0" w:color="auto"/>
                        <w:bottom w:val="none" w:sz="0" w:space="0" w:color="auto"/>
                        <w:right w:val="none" w:sz="0" w:space="0" w:color="auto"/>
                      </w:divBdr>
                    </w:div>
                  </w:divsChild>
                </w:div>
                <w:div w:id="450173181">
                  <w:marLeft w:val="0"/>
                  <w:marRight w:val="0"/>
                  <w:marTop w:val="0"/>
                  <w:marBottom w:val="0"/>
                  <w:divBdr>
                    <w:top w:val="none" w:sz="0" w:space="0" w:color="auto"/>
                    <w:left w:val="none" w:sz="0" w:space="0" w:color="auto"/>
                    <w:bottom w:val="none" w:sz="0" w:space="0" w:color="auto"/>
                    <w:right w:val="none" w:sz="0" w:space="0" w:color="auto"/>
                  </w:divBdr>
                  <w:divsChild>
                    <w:div w:id="1693064932">
                      <w:marLeft w:val="0"/>
                      <w:marRight w:val="0"/>
                      <w:marTop w:val="0"/>
                      <w:marBottom w:val="0"/>
                      <w:divBdr>
                        <w:top w:val="none" w:sz="0" w:space="0" w:color="auto"/>
                        <w:left w:val="none" w:sz="0" w:space="0" w:color="auto"/>
                        <w:bottom w:val="none" w:sz="0" w:space="0" w:color="auto"/>
                        <w:right w:val="none" w:sz="0" w:space="0" w:color="auto"/>
                      </w:divBdr>
                    </w:div>
                  </w:divsChild>
                </w:div>
                <w:div w:id="464008908">
                  <w:marLeft w:val="0"/>
                  <w:marRight w:val="0"/>
                  <w:marTop w:val="0"/>
                  <w:marBottom w:val="0"/>
                  <w:divBdr>
                    <w:top w:val="none" w:sz="0" w:space="0" w:color="auto"/>
                    <w:left w:val="none" w:sz="0" w:space="0" w:color="auto"/>
                    <w:bottom w:val="none" w:sz="0" w:space="0" w:color="auto"/>
                    <w:right w:val="none" w:sz="0" w:space="0" w:color="auto"/>
                  </w:divBdr>
                  <w:divsChild>
                    <w:div w:id="1197230139">
                      <w:marLeft w:val="0"/>
                      <w:marRight w:val="0"/>
                      <w:marTop w:val="0"/>
                      <w:marBottom w:val="0"/>
                      <w:divBdr>
                        <w:top w:val="none" w:sz="0" w:space="0" w:color="auto"/>
                        <w:left w:val="none" w:sz="0" w:space="0" w:color="auto"/>
                        <w:bottom w:val="none" w:sz="0" w:space="0" w:color="auto"/>
                        <w:right w:val="none" w:sz="0" w:space="0" w:color="auto"/>
                      </w:divBdr>
                    </w:div>
                  </w:divsChild>
                </w:div>
                <w:div w:id="483157091">
                  <w:marLeft w:val="0"/>
                  <w:marRight w:val="0"/>
                  <w:marTop w:val="0"/>
                  <w:marBottom w:val="0"/>
                  <w:divBdr>
                    <w:top w:val="none" w:sz="0" w:space="0" w:color="auto"/>
                    <w:left w:val="none" w:sz="0" w:space="0" w:color="auto"/>
                    <w:bottom w:val="none" w:sz="0" w:space="0" w:color="auto"/>
                    <w:right w:val="none" w:sz="0" w:space="0" w:color="auto"/>
                  </w:divBdr>
                  <w:divsChild>
                    <w:div w:id="272059728">
                      <w:marLeft w:val="0"/>
                      <w:marRight w:val="0"/>
                      <w:marTop w:val="0"/>
                      <w:marBottom w:val="0"/>
                      <w:divBdr>
                        <w:top w:val="none" w:sz="0" w:space="0" w:color="auto"/>
                        <w:left w:val="none" w:sz="0" w:space="0" w:color="auto"/>
                        <w:bottom w:val="none" w:sz="0" w:space="0" w:color="auto"/>
                        <w:right w:val="none" w:sz="0" w:space="0" w:color="auto"/>
                      </w:divBdr>
                    </w:div>
                  </w:divsChild>
                </w:div>
                <w:div w:id="512958324">
                  <w:marLeft w:val="0"/>
                  <w:marRight w:val="0"/>
                  <w:marTop w:val="0"/>
                  <w:marBottom w:val="0"/>
                  <w:divBdr>
                    <w:top w:val="none" w:sz="0" w:space="0" w:color="auto"/>
                    <w:left w:val="none" w:sz="0" w:space="0" w:color="auto"/>
                    <w:bottom w:val="none" w:sz="0" w:space="0" w:color="auto"/>
                    <w:right w:val="none" w:sz="0" w:space="0" w:color="auto"/>
                  </w:divBdr>
                  <w:divsChild>
                    <w:div w:id="175120404">
                      <w:marLeft w:val="0"/>
                      <w:marRight w:val="0"/>
                      <w:marTop w:val="0"/>
                      <w:marBottom w:val="0"/>
                      <w:divBdr>
                        <w:top w:val="none" w:sz="0" w:space="0" w:color="auto"/>
                        <w:left w:val="none" w:sz="0" w:space="0" w:color="auto"/>
                        <w:bottom w:val="none" w:sz="0" w:space="0" w:color="auto"/>
                        <w:right w:val="none" w:sz="0" w:space="0" w:color="auto"/>
                      </w:divBdr>
                    </w:div>
                  </w:divsChild>
                </w:div>
                <w:div w:id="514030396">
                  <w:marLeft w:val="0"/>
                  <w:marRight w:val="0"/>
                  <w:marTop w:val="0"/>
                  <w:marBottom w:val="0"/>
                  <w:divBdr>
                    <w:top w:val="none" w:sz="0" w:space="0" w:color="auto"/>
                    <w:left w:val="none" w:sz="0" w:space="0" w:color="auto"/>
                    <w:bottom w:val="none" w:sz="0" w:space="0" w:color="auto"/>
                    <w:right w:val="none" w:sz="0" w:space="0" w:color="auto"/>
                  </w:divBdr>
                  <w:divsChild>
                    <w:div w:id="1576352856">
                      <w:marLeft w:val="0"/>
                      <w:marRight w:val="0"/>
                      <w:marTop w:val="0"/>
                      <w:marBottom w:val="0"/>
                      <w:divBdr>
                        <w:top w:val="none" w:sz="0" w:space="0" w:color="auto"/>
                        <w:left w:val="none" w:sz="0" w:space="0" w:color="auto"/>
                        <w:bottom w:val="none" w:sz="0" w:space="0" w:color="auto"/>
                        <w:right w:val="none" w:sz="0" w:space="0" w:color="auto"/>
                      </w:divBdr>
                    </w:div>
                  </w:divsChild>
                </w:div>
                <w:div w:id="569851553">
                  <w:marLeft w:val="0"/>
                  <w:marRight w:val="0"/>
                  <w:marTop w:val="0"/>
                  <w:marBottom w:val="0"/>
                  <w:divBdr>
                    <w:top w:val="none" w:sz="0" w:space="0" w:color="auto"/>
                    <w:left w:val="none" w:sz="0" w:space="0" w:color="auto"/>
                    <w:bottom w:val="none" w:sz="0" w:space="0" w:color="auto"/>
                    <w:right w:val="none" w:sz="0" w:space="0" w:color="auto"/>
                  </w:divBdr>
                  <w:divsChild>
                    <w:div w:id="715156218">
                      <w:marLeft w:val="0"/>
                      <w:marRight w:val="0"/>
                      <w:marTop w:val="0"/>
                      <w:marBottom w:val="0"/>
                      <w:divBdr>
                        <w:top w:val="none" w:sz="0" w:space="0" w:color="auto"/>
                        <w:left w:val="none" w:sz="0" w:space="0" w:color="auto"/>
                        <w:bottom w:val="none" w:sz="0" w:space="0" w:color="auto"/>
                        <w:right w:val="none" w:sz="0" w:space="0" w:color="auto"/>
                      </w:divBdr>
                    </w:div>
                  </w:divsChild>
                </w:div>
                <w:div w:id="655185213">
                  <w:marLeft w:val="0"/>
                  <w:marRight w:val="0"/>
                  <w:marTop w:val="0"/>
                  <w:marBottom w:val="0"/>
                  <w:divBdr>
                    <w:top w:val="none" w:sz="0" w:space="0" w:color="auto"/>
                    <w:left w:val="none" w:sz="0" w:space="0" w:color="auto"/>
                    <w:bottom w:val="none" w:sz="0" w:space="0" w:color="auto"/>
                    <w:right w:val="none" w:sz="0" w:space="0" w:color="auto"/>
                  </w:divBdr>
                  <w:divsChild>
                    <w:div w:id="1499421203">
                      <w:marLeft w:val="0"/>
                      <w:marRight w:val="0"/>
                      <w:marTop w:val="0"/>
                      <w:marBottom w:val="0"/>
                      <w:divBdr>
                        <w:top w:val="none" w:sz="0" w:space="0" w:color="auto"/>
                        <w:left w:val="none" w:sz="0" w:space="0" w:color="auto"/>
                        <w:bottom w:val="none" w:sz="0" w:space="0" w:color="auto"/>
                        <w:right w:val="none" w:sz="0" w:space="0" w:color="auto"/>
                      </w:divBdr>
                    </w:div>
                  </w:divsChild>
                </w:div>
                <w:div w:id="687878347">
                  <w:marLeft w:val="0"/>
                  <w:marRight w:val="0"/>
                  <w:marTop w:val="0"/>
                  <w:marBottom w:val="0"/>
                  <w:divBdr>
                    <w:top w:val="none" w:sz="0" w:space="0" w:color="auto"/>
                    <w:left w:val="none" w:sz="0" w:space="0" w:color="auto"/>
                    <w:bottom w:val="none" w:sz="0" w:space="0" w:color="auto"/>
                    <w:right w:val="none" w:sz="0" w:space="0" w:color="auto"/>
                  </w:divBdr>
                  <w:divsChild>
                    <w:div w:id="1181895036">
                      <w:marLeft w:val="0"/>
                      <w:marRight w:val="0"/>
                      <w:marTop w:val="0"/>
                      <w:marBottom w:val="0"/>
                      <w:divBdr>
                        <w:top w:val="none" w:sz="0" w:space="0" w:color="auto"/>
                        <w:left w:val="none" w:sz="0" w:space="0" w:color="auto"/>
                        <w:bottom w:val="none" w:sz="0" w:space="0" w:color="auto"/>
                        <w:right w:val="none" w:sz="0" w:space="0" w:color="auto"/>
                      </w:divBdr>
                    </w:div>
                  </w:divsChild>
                </w:div>
                <w:div w:id="721902162">
                  <w:marLeft w:val="0"/>
                  <w:marRight w:val="0"/>
                  <w:marTop w:val="0"/>
                  <w:marBottom w:val="0"/>
                  <w:divBdr>
                    <w:top w:val="none" w:sz="0" w:space="0" w:color="auto"/>
                    <w:left w:val="none" w:sz="0" w:space="0" w:color="auto"/>
                    <w:bottom w:val="none" w:sz="0" w:space="0" w:color="auto"/>
                    <w:right w:val="none" w:sz="0" w:space="0" w:color="auto"/>
                  </w:divBdr>
                  <w:divsChild>
                    <w:div w:id="602306252">
                      <w:marLeft w:val="0"/>
                      <w:marRight w:val="0"/>
                      <w:marTop w:val="0"/>
                      <w:marBottom w:val="0"/>
                      <w:divBdr>
                        <w:top w:val="none" w:sz="0" w:space="0" w:color="auto"/>
                        <w:left w:val="none" w:sz="0" w:space="0" w:color="auto"/>
                        <w:bottom w:val="none" w:sz="0" w:space="0" w:color="auto"/>
                        <w:right w:val="none" w:sz="0" w:space="0" w:color="auto"/>
                      </w:divBdr>
                    </w:div>
                    <w:div w:id="669061372">
                      <w:marLeft w:val="0"/>
                      <w:marRight w:val="0"/>
                      <w:marTop w:val="0"/>
                      <w:marBottom w:val="0"/>
                      <w:divBdr>
                        <w:top w:val="none" w:sz="0" w:space="0" w:color="auto"/>
                        <w:left w:val="none" w:sz="0" w:space="0" w:color="auto"/>
                        <w:bottom w:val="none" w:sz="0" w:space="0" w:color="auto"/>
                        <w:right w:val="none" w:sz="0" w:space="0" w:color="auto"/>
                      </w:divBdr>
                    </w:div>
                  </w:divsChild>
                </w:div>
                <w:div w:id="740715839">
                  <w:marLeft w:val="0"/>
                  <w:marRight w:val="0"/>
                  <w:marTop w:val="0"/>
                  <w:marBottom w:val="0"/>
                  <w:divBdr>
                    <w:top w:val="none" w:sz="0" w:space="0" w:color="auto"/>
                    <w:left w:val="none" w:sz="0" w:space="0" w:color="auto"/>
                    <w:bottom w:val="none" w:sz="0" w:space="0" w:color="auto"/>
                    <w:right w:val="none" w:sz="0" w:space="0" w:color="auto"/>
                  </w:divBdr>
                  <w:divsChild>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 w:id="818232682">
                  <w:marLeft w:val="0"/>
                  <w:marRight w:val="0"/>
                  <w:marTop w:val="0"/>
                  <w:marBottom w:val="0"/>
                  <w:divBdr>
                    <w:top w:val="none" w:sz="0" w:space="0" w:color="auto"/>
                    <w:left w:val="none" w:sz="0" w:space="0" w:color="auto"/>
                    <w:bottom w:val="none" w:sz="0" w:space="0" w:color="auto"/>
                    <w:right w:val="none" w:sz="0" w:space="0" w:color="auto"/>
                  </w:divBdr>
                  <w:divsChild>
                    <w:div w:id="1067924375">
                      <w:marLeft w:val="0"/>
                      <w:marRight w:val="0"/>
                      <w:marTop w:val="0"/>
                      <w:marBottom w:val="0"/>
                      <w:divBdr>
                        <w:top w:val="none" w:sz="0" w:space="0" w:color="auto"/>
                        <w:left w:val="none" w:sz="0" w:space="0" w:color="auto"/>
                        <w:bottom w:val="none" w:sz="0" w:space="0" w:color="auto"/>
                        <w:right w:val="none" w:sz="0" w:space="0" w:color="auto"/>
                      </w:divBdr>
                    </w:div>
                  </w:divsChild>
                </w:div>
                <w:div w:id="827089695">
                  <w:marLeft w:val="0"/>
                  <w:marRight w:val="0"/>
                  <w:marTop w:val="0"/>
                  <w:marBottom w:val="0"/>
                  <w:divBdr>
                    <w:top w:val="none" w:sz="0" w:space="0" w:color="auto"/>
                    <w:left w:val="none" w:sz="0" w:space="0" w:color="auto"/>
                    <w:bottom w:val="none" w:sz="0" w:space="0" w:color="auto"/>
                    <w:right w:val="none" w:sz="0" w:space="0" w:color="auto"/>
                  </w:divBdr>
                  <w:divsChild>
                    <w:div w:id="214895398">
                      <w:marLeft w:val="0"/>
                      <w:marRight w:val="0"/>
                      <w:marTop w:val="0"/>
                      <w:marBottom w:val="0"/>
                      <w:divBdr>
                        <w:top w:val="none" w:sz="0" w:space="0" w:color="auto"/>
                        <w:left w:val="none" w:sz="0" w:space="0" w:color="auto"/>
                        <w:bottom w:val="none" w:sz="0" w:space="0" w:color="auto"/>
                        <w:right w:val="none" w:sz="0" w:space="0" w:color="auto"/>
                      </w:divBdr>
                    </w:div>
                  </w:divsChild>
                </w:div>
                <w:div w:id="859785106">
                  <w:marLeft w:val="0"/>
                  <w:marRight w:val="0"/>
                  <w:marTop w:val="0"/>
                  <w:marBottom w:val="0"/>
                  <w:divBdr>
                    <w:top w:val="none" w:sz="0" w:space="0" w:color="auto"/>
                    <w:left w:val="none" w:sz="0" w:space="0" w:color="auto"/>
                    <w:bottom w:val="none" w:sz="0" w:space="0" w:color="auto"/>
                    <w:right w:val="none" w:sz="0" w:space="0" w:color="auto"/>
                  </w:divBdr>
                  <w:divsChild>
                    <w:div w:id="1730375536">
                      <w:marLeft w:val="0"/>
                      <w:marRight w:val="0"/>
                      <w:marTop w:val="0"/>
                      <w:marBottom w:val="0"/>
                      <w:divBdr>
                        <w:top w:val="none" w:sz="0" w:space="0" w:color="auto"/>
                        <w:left w:val="none" w:sz="0" w:space="0" w:color="auto"/>
                        <w:bottom w:val="none" w:sz="0" w:space="0" w:color="auto"/>
                        <w:right w:val="none" w:sz="0" w:space="0" w:color="auto"/>
                      </w:divBdr>
                    </w:div>
                  </w:divsChild>
                </w:div>
                <w:div w:id="885065252">
                  <w:marLeft w:val="0"/>
                  <w:marRight w:val="0"/>
                  <w:marTop w:val="0"/>
                  <w:marBottom w:val="0"/>
                  <w:divBdr>
                    <w:top w:val="none" w:sz="0" w:space="0" w:color="auto"/>
                    <w:left w:val="none" w:sz="0" w:space="0" w:color="auto"/>
                    <w:bottom w:val="none" w:sz="0" w:space="0" w:color="auto"/>
                    <w:right w:val="none" w:sz="0" w:space="0" w:color="auto"/>
                  </w:divBdr>
                  <w:divsChild>
                    <w:div w:id="823358347">
                      <w:marLeft w:val="0"/>
                      <w:marRight w:val="0"/>
                      <w:marTop w:val="0"/>
                      <w:marBottom w:val="0"/>
                      <w:divBdr>
                        <w:top w:val="none" w:sz="0" w:space="0" w:color="auto"/>
                        <w:left w:val="none" w:sz="0" w:space="0" w:color="auto"/>
                        <w:bottom w:val="none" w:sz="0" w:space="0" w:color="auto"/>
                        <w:right w:val="none" w:sz="0" w:space="0" w:color="auto"/>
                      </w:divBdr>
                    </w:div>
                  </w:divsChild>
                </w:div>
                <w:div w:id="910579141">
                  <w:marLeft w:val="0"/>
                  <w:marRight w:val="0"/>
                  <w:marTop w:val="0"/>
                  <w:marBottom w:val="0"/>
                  <w:divBdr>
                    <w:top w:val="none" w:sz="0" w:space="0" w:color="auto"/>
                    <w:left w:val="none" w:sz="0" w:space="0" w:color="auto"/>
                    <w:bottom w:val="none" w:sz="0" w:space="0" w:color="auto"/>
                    <w:right w:val="none" w:sz="0" w:space="0" w:color="auto"/>
                  </w:divBdr>
                  <w:divsChild>
                    <w:div w:id="1450591138">
                      <w:marLeft w:val="0"/>
                      <w:marRight w:val="0"/>
                      <w:marTop w:val="0"/>
                      <w:marBottom w:val="0"/>
                      <w:divBdr>
                        <w:top w:val="none" w:sz="0" w:space="0" w:color="auto"/>
                        <w:left w:val="none" w:sz="0" w:space="0" w:color="auto"/>
                        <w:bottom w:val="none" w:sz="0" w:space="0" w:color="auto"/>
                        <w:right w:val="none" w:sz="0" w:space="0" w:color="auto"/>
                      </w:divBdr>
                    </w:div>
                  </w:divsChild>
                </w:div>
                <w:div w:id="919481009">
                  <w:marLeft w:val="0"/>
                  <w:marRight w:val="0"/>
                  <w:marTop w:val="0"/>
                  <w:marBottom w:val="0"/>
                  <w:divBdr>
                    <w:top w:val="none" w:sz="0" w:space="0" w:color="auto"/>
                    <w:left w:val="none" w:sz="0" w:space="0" w:color="auto"/>
                    <w:bottom w:val="none" w:sz="0" w:space="0" w:color="auto"/>
                    <w:right w:val="none" w:sz="0" w:space="0" w:color="auto"/>
                  </w:divBdr>
                  <w:divsChild>
                    <w:div w:id="972372387">
                      <w:marLeft w:val="0"/>
                      <w:marRight w:val="0"/>
                      <w:marTop w:val="0"/>
                      <w:marBottom w:val="0"/>
                      <w:divBdr>
                        <w:top w:val="none" w:sz="0" w:space="0" w:color="auto"/>
                        <w:left w:val="none" w:sz="0" w:space="0" w:color="auto"/>
                        <w:bottom w:val="none" w:sz="0" w:space="0" w:color="auto"/>
                        <w:right w:val="none" w:sz="0" w:space="0" w:color="auto"/>
                      </w:divBdr>
                    </w:div>
                  </w:divsChild>
                </w:div>
                <w:div w:id="965156413">
                  <w:marLeft w:val="0"/>
                  <w:marRight w:val="0"/>
                  <w:marTop w:val="0"/>
                  <w:marBottom w:val="0"/>
                  <w:divBdr>
                    <w:top w:val="none" w:sz="0" w:space="0" w:color="auto"/>
                    <w:left w:val="none" w:sz="0" w:space="0" w:color="auto"/>
                    <w:bottom w:val="none" w:sz="0" w:space="0" w:color="auto"/>
                    <w:right w:val="none" w:sz="0" w:space="0" w:color="auto"/>
                  </w:divBdr>
                  <w:divsChild>
                    <w:div w:id="819149199">
                      <w:marLeft w:val="0"/>
                      <w:marRight w:val="0"/>
                      <w:marTop w:val="0"/>
                      <w:marBottom w:val="0"/>
                      <w:divBdr>
                        <w:top w:val="none" w:sz="0" w:space="0" w:color="auto"/>
                        <w:left w:val="none" w:sz="0" w:space="0" w:color="auto"/>
                        <w:bottom w:val="none" w:sz="0" w:space="0" w:color="auto"/>
                        <w:right w:val="none" w:sz="0" w:space="0" w:color="auto"/>
                      </w:divBdr>
                    </w:div>
                  </w:divsChild>
                </w:div>
                <w:div w:id="973561294">
                  <w:marLeft w:val="0"/>
                  <w:marRight w:val="0"/>
                  <w:marTop w:val="0"/>
                  <w:marBottom w:val="0"/>
                  <w:divBdr>
                    <w:top w:val="none" w:sz="0" w:space="0" w:color="auto"/>
                    <w:left w:val="none" w:sz="0" w:space="0" w:color="auto"/>
                    <w:bottom w:val="none" w:sz="0" w:space="0" w:color="auto"/>
                    <w:right w:val="none" w:sz="0" w:space="0" w:color="auto"/>
                  </w:divBdr>
                  <w:divsChild>
                    <w:div w:id="1349334568">
                      <w:marLeft w:val="0"/>
                      <w:marRight w:val="0"/>
                      <w:marTop w:val="0"/>
                      <w:marBottom w:val="0"/>
                      <w:divBdr>
                        <w:top w:val="none" w:sz="0" w:space="0" w:color="auto"/>
                        <w:left w:val="none" w:sz="0" w:space="0" w:color="auto"/>
                        <w:bottom w:val="none" w:sz="0" w:space="0" w:color="auto"/>
                        <w:right w:val="none" w:sz="0" w:space="0" w:color="auto"/>
                      </w:divBdr>
                    </w:div>
                  </w:divsChild>
                </w:div>
                <w:div w:id="1127695625">
                  <w:marLeft w:val="0"/>
                  <w:marRight w:val="0"/>
                  <w:marTop w:val="0"/>
                  <w:marBottom w:val="0"/>
                  <w:divBdr>
                    <w:top w:val="none" w:sz="0" w:space="0" w:color="auto"/>
                    <w:left w:val="none" w:sz="0" w:space="0" w:color="auto"/>
                    <w:bottom w:val="none" w:sz="0" w:space="0" w:color="auto"/>
                    <w:right w:val="none" w:sz="0" w:space="0" w:color="auto"/>
                  </w:divBdr>
                  <w:divsChild>
                    <w:div w:id="55512817">
                      <w:marLeft w:val="0"/>
                      <w:marRight w:val="0"/>
                      <w:marTop w:val="0"/>
                      <w:marBottom w:val="0"/>
                      <w:divBdr>
                        <w:top w:val="none" w:sz="0" w:space="0" w:color="auto"/>
                        <w:left w:val="none" w:sz="0" w:space="0" w:color="auto"/>
                        <w:bottom w:val="none" w:sz="0" w:space="0" w:color="auto"/>
                        <w:right w:val="none" w:sz="0" w:space="0" w:color="auto"/>
                      </w:divBdr>
                    </w:div>
                  </w:divsChild>
                </w:div>
                <w:div w:id="1158690537">
                  <w:marLeft w:val="0"/>
                  <w:marRight w:val="0"/>
                  <w:marTop w:val="0"/>
                  <w:marBottom w:val="0"/>
                  <w:divBdr>
                    <w:top w:val="none" w:sz="0" w:space="0" w:color="auto"/>
                    <w:left w:val="none" w:sz="0" w:space="0" w:color="auto"/>
                    <w:bottom w:val="none" w:sz="0" w:space="0" w:color="auto"/>
                    <w:right w:val="none" w:sz="0" w:space="0" w:color="auto"/>
                  </w:divBdr>
                  <w:divsChild>
                    <w:div w:id="363100557">
                      <w:marLeft w:val="0"/>
                      <w:marRight w:val="0"/>
                      <w:marTop w:val="0"/>
                      <w:marBottom w:val="0"/>
                      <w:divBdr>
                        <w:top w:val="none" w:sz="0" w:space="0" w:color="auto"/>
                        <w:left w:val="none" w:sz="0" w:space="0" w:color="auto"/>
                        <w:bottom w:val="none" w:sz="0" w:space="0" w:color="auto"/>
                        <w:right w:val="none" w:sz="0" w:space="0" w:color="auto"/>
                      </w:divBdr>
                    </w:div>
                  </w:divsChild>
                </w:div>
                <w:div w:id="1179126596">
                  <w:marLeft w:val="0"/>
                  <w:marRight w:val="0"/>
                  <w:marTop w:val="0"/>
                  <w:marBottom w:val="0"/>
                  <w:divBdr>
                    <w:top w:val="none" w:sz="0" w:space="0" w:color="auto"/>
                    <w:left w:val="none" w:sz="0" w:space="0" w:color="auto"/>
                    <w:bottom w:val="none" w:sz="0" w:space="0" w:color="auto"/>
                    <w:right w:val="none" w:sz="0" w:space="0" w:color="auto"/>
                  </w:divBdr>
                  <w:divsChild>
                    <w:div w:id="547685101">
                      <w:marLeft w:val="0"/>
                      <w:marRight w:val="0"/>
                      <w:marTop w:val="0"/>
                      <w:marBottom w:val="0"/>
                      <w:divBdr>
                        <w:top w:val="none" w:sz="0" w:space="0" w:color="auto"/>
                        <w:left w:val="none" w:sz="0" w:space="0" w:color="auto"/>
                        <w:bottom w:val="none" w:sz="0" w:space="0" w:color="auto"/>
                        <w:right w:val="none" w:sz="0" w:space="0" w:color="auto"/>
                      </w:divBdr>
                    </w:div>
                  </w:divsChild>
                </w:div>
                <w:div w:id="1254900088">
                  <w:marLeft w:val="0"/>
                  <w:marRight w:val="0"/>
                  <w:marTop w:val="0"/>
                  <w:marBottom w:val="0"/>
                  <w:divBdr>
                    <w:top w:val="none" w:sz="0" w:space="0" w:color="auto"/>
                    <w:left w:val="none" w:sz="0" w:space="0" w:color="auto"/>
                    <w:bottom w:val="none" w:sz="0" w:space="0" w:color="auto"/>
                    <w:right w:val="none" w:sz="0" w:space="0" w:color="auto"/>
                  </w:divBdr>
                  <w:divsChild>
                    <w:div w:id="705183797">
                      <w:marLeft w:val="0"/>
                      <w:marRight w:val="0"/>
                      <w:marTop w:val="0"/>
                      <w:marBottom w:val="0"/>
                      <w:divBdr>
                        <w:top w:val="none" w:sz="0" w:space="0" w:color="auto"/>
                        <w:left w:val="none" w:sz="0" w:space="0" w:color="auto"/>
                        <w:bottom w:val="none" w:sz="0" w:space="0" w:color="auto"/>
                        <w:right w:val="none" w:sz="0" w:space="0" w:color="auto"/>
                      </w:divBdr>
                    </w:div>
                  </w:divsChild>
                </w:div>
                <w:div w:id="1282616227">
                  <w:marLeft w:val="0"/>
                  <w:marRight w:val="0"/>
                  <w:marTop w:val="0"/>
                  <w:marBottom w:val="0"/>
                  <w:divBdr>
                    <w:top w:val="none" w:sz="0" w:space="0" w:color="auto"/>
                    <w:left w:val="none" w:sz="0" w:space="0" w:color="auto"/>
                    <w:bottom w:val="none" w:sz="0" w:space="0" w:color="auto"/>
                    <w:right w:val="none" w:sz="0" w:space="0" w:color="auto"/>
                  </w:divBdr>
                  <w:divsChild>
                    <w:div w:id="568657248">
                      <w:marLeft w:val="0"/>
                      <w:marRight w:val="0"/>
                      <w:marTop w:val="0"/>
                      <w:marBottom w:val="0"/>
                      <w:divBdr>
                        <w:top w:val="none" w:sz="0" w:space="0" w:color="auto"/>
                        <w:left w:val="none" w:sz="0" w:space="0" w:color="auto"/>
                        <w:bottom w:val="none" w:sz="0" w:space="0" w:color="auto"/>
                        <w:right w:val="none" w:sz="0" w:space="0" w:color="auto"/>
                      </w:divBdr>
                    </w:div>
                  </w:divsChild>
                </w:div>
                <w:div w:id="1348479945">
                  <w:marLeft w:val="0"/>
                  <w:marRight w:val="0"/>
                  <w:marTop w:val="0"/>
                  <w:marBottom w:val="0"/>
                  <w:divBdr>
                    <w:top w:val="none" w:sz="0" w:space="0" w:color="auto"/>
                    <w:left w:val="none" w:sz="0" w:space="0" w:color="auto"/>
                    <w:bottom w:val="none" w:sz="0" w:space="0" w:color="auto"/>
                    <w:right w:val="none" w:sz="0" w:space="0" w:color="auto"/>
                  </w:divBdr>
                  <w:divsChild>
                    <w:div w:id="1336305630">
                      <w:marLeft w:val="0"/>
                      <w:marRight w:val="0"/>
                      <w:marTop w:val="0"/>
                      <w:marBottom w:val="0"/>
                      <w:divBdr>
                        <w:top w:val="none" w:sz="0" w:space="0" w:color="auto"/>
                        <w:left w:val="none" w:sz="0" w:space="0" w:color="auto"/>
                        <w:bottom w:val="none" w:sz="0" w:space="0" w:color="auto"/>
                        <w:right w:val="none" w:sz="0" w:space="0" w:color="auto"/>
                      </w:divBdr>
                    </w:div>
                  </w:divsChild>
                </w:div>
                <w:div w:id="1375499139">
                  <w:marLeft w:val="0"/>
                  <w:marRight w:val="0"/>
                  <w:marTop w:val="0"/>
                  <w:marBottom w:val="0"/>
                  <w:divBdr>
                    <w:top w:val="none" w:sz="0" w:space="0" w:color="auto"/>
                    <w:left w:val="none" w:sz="0" w:space="0" w:color="auto"/>
                    <w:bottom w:val="none" w:sz="0" w:space="0" w:color="auto"/>
                    <w:right w:val="none" w:sz="0" w:space="0" w:color="auto"/>
                  </w:divBdr>
                  <w:divsChild>
                    <w:div w:id="322858898">
                      <w:marLeft w:val="0"/>
                      <w:marRight w:val="0"/>
                      <w:marTop w:val="0"/>
                      <w:marBottom w:val="0"/>
                      <w:divBdr>
                        <w:top w:val="none" w:sz="0" w:space="0" w:color="auto"/>
                        <w:left w:val="none" w:sz="0" w:space="0" w:color="auto"/>
                        <w:bottom w:val="none" w:sz="0" w:space="0" w:color="auto"/>
                        <w:right w:val="none" w:sz="0" w:space="0" w:color="auto"/>
                      </w:divBdr>
                    </w:div>
                  </w:divsChild>
                </w:div>
                <w:div w:id="1396511646">
                  <w:marLeft w:val="0"/>
                  <w:marRight w:val="0"/>
                  <w:marTop w:val="0"/>
                  <w:marBottom w:val="0"/>
                  <w:divBdr>
                    <w:top w:val="none" w:sz="0" w:space="0" w:color="auto"/>
                    <w:left w:val="none" w:sz="0" w:space="0" w:color="auto"/>
                    <w:bottom w:val="none" w:sz="0" w:space="0" w:color="auto"/>
                    <w:right w:val="none" w:sz="0" w:space="0" w:color="auto"/>
                  </w:divBdr>
                  <w:divsChild>
                    <w:div w:id="1452939525">
                      <w:marLeft w:val="0"/>
                      <w:marRight w:val="0"/>
                      <w:marTop w:val="0"/>
                      <w:marBottom w:val="0"/>
                      <w:divBdr>
                        <w:top w:val="none" w:sz="0" w:space="0" w:color="auto"/>
                        <w:left w:val="none" w:sz="0" w:space="0" w:color="auto"/>
                        <w:bottom w:val="none" w:sz="0" w:space="0" w:color="auto"/>
                        <w:right w:val="none" w:sz="0" w:space="0" w:color="auto"/>
                      </w:divBdr>
                    </w:div>
                  </w:divsChild>
                </w:div>
                <w:div w:id="1400864079">
                  <w:marLeft w:val="0"/>
                  <w:marRight w:val="0"/>
                  <w:marTop w:val="0"/>
                  <w:marBottom w:val="0"/>
                  <w:divBdr>
                    <w:top w:val="none" w:sz="0" w:space="0" w:color="auto"/>
                    <w:left w:val="none" w:sz="0" w:space="0" w:color="auto"/>
                    <w:bottom w:val="none" w:sz="0" w:space="0" w:color="auto"/>
                    <w:right w:val="none" w:sz="0" w:space="0" w:color="auto"/>
                  </w:divBdr>
                  <w:divsChild>
                    <w:div w:id="1670138767">
                      <w:marLeft w:val="0"/>
                      <w:marRight w:val="0"/>
                      <w:marTop w:val="0"/>
                      <w:marBottom w:val="0"/>
                      <w:divBdr>
                        <w:top w:val="none" w:sz="0" w:space="0" w:color="auto"/>
                        <w:left w:val="none" w:sz="0" w:space="0" w:color="auto"/>
                        <w:bottom w:val="none" w:sz="0" w:space="0" w:color="auto"/>
                        <w:right w:val="none" w:sz="0" w:space="0" w:color="auto"/>
                      </w:divBdr>
                    </w:div>
                  </w:divsChild>
                </w:div>
                <w:div w:id="1441879364">
                  <w:marLeft w:val="0"/>
                  <w:marRight w:val="0"/>
                  <w:marTop w:val="0"/>
                  <w:marBottom w:val="0"/>
                  <w:divBdr>
                    <w:top w:val="none" w:sz="0" w:space="0" w:color="auto"/>
                    <w:left w:val="none" w:sz="0" w:space="0" w:color="auto"/>
                    <w:bottom w:val="none" w:sz="0" w:space="0" w:color="auto"/>
                    <w:right w:val="none" w:sz="0" w:space="0" w:color="auto"/>
                  </w:divBdr>
                  <w:divsChild>
                    <w:div w:id="839274387">
                      <w:marLeft w:val="0"/>
                      <w:marRight w:val="0"/>
                      <w:marTop w:val="0"/>
                      <w:marBottom w:val="0"/>
                      <w:divBdr>
                        <w:top w:val="none" w:sz="0" w:space="0" w:color="auto"/>
                        <w:left w:val="none" w:sz="0" w:space="0" w:color="auto"/>
                        <w:bottom w:val="none" w:sz="0" w:space="0" w:color="auto"/>
                        <w:right w:val="none" w:sz="0" w:space="0" w:color="auto"/>
                      </w:divBdr>
                    </w:div>
                  </w:divsChild>
                </w:div>
                <w:div w:id="1449281199">
                  <w:marLeft w:val="0"/>
                  <w:marRight w:val="0"/>
                  <w:marTop w:val="0"/>
                  <w:marBottom w:val="0"/>
                  <w:divBdr>
                    <w:top w:val="none" w:sz="0" w:space="0" w:color="auto"/>
                    <w:left w:val="none" w:sz="0" w:space="0" w:color="auto"/>
                    <w:bottom w:val="none" w:sz="0" w:space="0" w:color="auto"/>
                    <w:right w:val="none" w:sz="0" w:space="0" w:color="auto"/>
                  </w:divBdr>
                  <w:divsChild>
                    <w:div w:id="911545788">
                      <w:marLeft w:val="0"/>
                      <w:marRight w:val="0"/>
                      <w:marTop w:val="0"/>
                      <w:marBottom w:val="0"/>
                      <w:divBdr>
                        <w:top w:val="none" w:sz="0" w:space="0" w:color="auto"/>
                        <w:left w:val="none" w:sz="0" w:space="0" w:color="auto"/>
                        <w:bottom w:val="none" w:sz="0" w:space="0" w:color="auto"/>
                        <w:right w:val="none" w:sz="0" w:space="0" w:color="auto"/>
                      </w:divBdr>
                    </w:div>
                  </w:divsChild>
                </w:div>
                <w:div w:id="1472863146">
                  <w:marLeft w:val="0"/>
                  <w:marRight w:val="0"/>
                  <w:marTop w:val="0"/>
                  <w:marBottom w:val="0"/>
                  <w:divBdr>
                    <w:top w:val="none" w:sz="0" w:space="0" w:color="auto"/>
                    <w:left w:val="none" w:sz="0" w:space="0" w:color="auto"/>
                    <w:bottom w:val="none" w:sz="0" w:space="0" w:color="auto"/>
                    <w:right w:val="none" w:sz="0" w:space="0" w:color="auto"/>
                  </w:divBdr>
                  <w:divsChild>
                    <w:div w:id="1279410790">
                      <w:marLeft w:val="0"/>
                      <w:marRight w:val="0"/>
                      <w:marTop w:val="0"/>
                      <w:marBottom w:val="0"/>
                      <w:divBdr>
                        <w:top w:val="none" w:sz="0" w:space="0" w:color="auto"/>
                        <w:left w:val="none" w:sz="0" w:space="0" w:color="auto"/>
                        <w:bottom w:val="none" w:sz="0" w:space="0" w:color="auto"/>
                        <w:right w:val="none" w:sz="0" w:space="0" w:color="auto"/>
                      </w:divBdr>
                    </w:div>
                  </w:divsChild>
                </w:div>
                <w:div w:id="1530606624">
                  <w:marLeft w:val="0"/>
                  <w:marRight w:val="0"/>
                  <w:marTop w:val="0"/>
                  <w:marBottom w:val="0"/>
                  <w:divBdr>
                    <w:top w:val="none" w:sz="0" w:space="0" w:color="auto"/>
                    <w:left w:val="none" w:sz="0" w:space="0" w:color="auto"/>
                    <w:bottom w:val="none" w:sz="0" w:space="0" w:color="auto"/>
                    <w:right w:val="none" w:sz="0" w:space="0" w:color="auto"/>
                  </w:divBdr>
                  <w:divsChild>
                    <w:div w:id="1962413713">
                      <w:marLeft w:val="0"/>
                      <w:marRight w:val="0"/>
                      <w:marTop w:val="0"/>
                      <w:marBottom w:val="0"/>
                      <w:divBdr>
                        <w:top w:val="none" w:sz="0" w:space="0" w:color="auto"/>
                        <w:left w:val="none" w:sz="0" w:space="0" w:color="auto"/>
                        <w:bottom w:val="none" w:sz="0" w:space="0" w:color="auto"/>
                        <w:right w:val="none" w:sz="0" w:space="0" w:color="auto"/>
                      </w:divBdr>
                    </w:div>
                  </w:divsChild>
                </w:div>
                <w:div w:id="1539970897">
                  <w:marLeft w:val="0"/>
                  <w:marRight w:val="0"/>
                  <w:marTop w:val="0"/>
                  <w:marBottom w:val="0"/>
                  <w:divBdr>
                    <w:top w:val="none" w:sz="0" w:space="0" w:color="auto"/>
                    <w:left w:val="none" w:sz="0" w:space="0" w:color="auto"/>
                    <w:bottom w:val="none" w:sz="0" w:space="0" w:color="auto"/>
                    <w:right w:val="none" w:sz="0" w:space="0" w:color="auto"/>
                  </w:divBdr>
                  <w:divsChild>
                    <w:div w:id="220143510">
                      <w:marLeft w:val="0"/>
                      <w:marRight w:val="0"/>
                      <w:marTop w:val="0"/>
                      <w:marBottom w:val="0"/>
                      <w:divBdr>
                        <w:top w:val="none" w:sz="0" w:space="0" w:color="auto"/>
                        <w:left w:val="none" w:sz="0" w:space="0" w:color="auto"/>
                        <w:bottom w:val="none" w:sz="0" w:space="0" w:color="auto"/>
                        <w:right w:val="none" w:sz="0" w:space="0" w:color="auto"/>
                      </w:divBdr>
                    </w:div>
                  </w:divsChild>
                </w:div>
                <w:div w:id="1605306821">
                  <w:marLeft w:val="0"/>
                  <w:marRight w:val="0"/>
                  <w:marTop w:val="0"/>
                  <w:marBottom w:val="0"/>
                  <w:divBdr>
                    <w:top w:val="none" w:sz="0" w:space="0" w:color="auto"/>
                    <w:left w:val="none" w:sz="0" w:space="0" w:color="auto"/>
                    <w:bottom w:val="none" w:sz="0" w:space="0" w:color="auto"/>
                    <w:right w:val="none" w:sz="0" w:space="0" w:color="auto"/>
                  </w:divBdr>
                  <w:divsChild>
                    <w:div w:id="1054309520">
                      <w:marLeft w:val="0"/>
                      <w:marRight w:val="0"/>
                      <w:marTop w:val="0"/>
                      <w:marBottom w:val="0"/>
                      <w:divBdr>
                        <w:top w:val="none" w:sz="0" w:space="0" w:color="auto"/>
                        <w:left w:val="none" w:sz="0" w:space="0" w:color="auto"/>
                        <w:bottom w:val="none" w:sz="0" w:space="0" w:color="auto"/>
                        <w:right w:val="none" w:sz="0" w:space="0" w:color="auto"/>
                      </w:divBdr>
                    </w:div>
                  </w:divsChild>
                </w:div>
                <w:div w:id="1676154135">
                  <w:marLeft w:val="0"/>
                  <w:marRight w:val="0"/>
                  <w:marTop w:val="0"/>
                  <w:marBottom w:val="0"/>
                  <w:divBdr>
                    <w:top w:val="none" w:sz="0" w:space="0" w:color="auto"/>
                    <w:left w:val="none" w:sz="0" w:space="0" w:color="auto"/>
                    <w:bottom w:val="none" w:sz="0" w:space="0" w:color="auto"/>
                    <w:right w:val="none" w:sz="0" w:space="0" w:color="auto"/>
                  </w:divBdr>
                  <w:divsChild>
                    <w:div w:id="590625879">
                      <w:marLeft w:val="0"/>
                      <w:marRight w:val="0"/>
                      <w:marTop w:val="0"/>
                      <w:marBottom w:val="0"/>
                      <w:divBdr>
                        <w:top w:val="none" w:sz="0" w:space="0" w:color="auto"/>
                        <w:left w:val="none" w:sz="0" w:space="0" w:color="auto"/>
                        <w:bottom w:val="none" w:sz="0" w:space="0" w:color="auto"/>
                        <w:right w:val="none" w:sz="0" w:space="0" w:color="auto"/>
                      </w:divBdr>
                    </w:div>
                  </w:divsChild>
                </w:div>
                <w:div w:id="1695308135">
                  <w:marLeft w:val="0"/>
                  <w:marRight w:val="0"/>
                  <w:marTop w:val="0"/>
                  <w:marBottom w:val="0"/>
                  <w:divBdr>
                    <w:top w:val="none" w:sz="0" w:space="0" w:color="auto"/>
                    <w:left w:val="none" w:sz="0" w:space="0" w:color="auto"/>
                    <w:bottom w:val="none" w:sz="0" w:space="0" w:color="auto"/>
                    <w:right w:val="none" w:sz="0" w:space="0" w:color="auto"/>
                  </w:divBdr>
                  <w:divsChild>
                    <w:div w:id="538400667">
                      <w:marLeft w:val="0"/>
                      <w:marRight w:val="0"/>
                      <w:marTop w:val="0"/>
                      <w:marBottom w:val="0"/>
                      <w:divBdr>
                        <w:top w:val="none" w:sz="0" w:space="0" w:color="auto"/>
                        <w:left w:val="none" w:sz="0" w:space="0" w:color="auto"/>
                        <w:bottom w:val="none" w:sz="0" w:space="0" w:color="auto"/>
                        <w:right w:val="none" w:sz="0" w:space="0" w:color="auto"/>
                      </w:divBdr>
                    </w:div>
                  </w:divsChild>
                </w:div>
                <w:div w:id="1762217521">
                  <w:marLeft w:val="0"/>
                  <w:marRight w:val="0"/>
                  <w:marTop w:val="0"/>
                  <w:marBottom w:val="0"/>
                  <w:divBdr>
                    <w:top w:val="none" w:sz="0" w:space="0" w:color="auto"/>
                    <w:left w:val="none" w:sz="0" w:space="0" w:color="auto"/>
                    <w:bottom w:val="none" w:sz="0" w:space="0" w:color="auto"/>
                    <w:right w:val="none" w:sz="0" w:space="0" w:color="auto"/>
                  </w:divBdr>
                  <w:divsChild>
                    <w:div w:id="23484582">
                      <w:marLeft w:val="0"/>
                      <w:marRight w:val="0"/>
                      <w:marTop w:val="0"/>
                      <w:marBottom w:val="0"/>
                      <w:divBdr>
                        <w:top w:val="none" w:sz="0" w:space="0" w:color="auto"/>
                        <w:left w:val="none" w:sz="0" w:space="0" w:color="auto"/>
                        <w:bottom w:val="none" w:sz="0" w:space="0" w:color="auto"/>
                        <w:right w:val="none" w:sz="0" w:space="0" w:color="auto"/>
                      </w:divBdr>
                    </w:div>
                  </w:divsChild>
                </w:div>
                <w:div w:id="1798375745">
                  <w:marLeft w:val="0"/>
                  <w:marRight w:val="0"/>
                  <w:marTop w:val="0"/>
                  <w:marBottom w:val="0"/>
                  <w:divBdr>
                    <w:top w:val="none" w:sz="0" w:space="0" w:color="auto"/>
                    <w:left w:val="none" w:sz="0" w:space="0" w:color="auto"/>
                    <w:bottom w:val="none" w:sz="0" w:space="0" w:color="auto"/>
                    <w:right w:val="none" w:sz="0" w:space="0" w:color="auto"/>
                  </w:divBdr>
                  <w:divsChild>
                    <w:div w:id="1094932008">
                      <w:marLeft w:val="0"/>
                      <w:marRight w:val="0"/>
                      <w:marTop w:val="0"/>
                      <w:marBottom w:val="0"/>
                      <w:divBdr>
                        <w:top w:val="none" w:sz="0" w:space="0" w:color="auto"/>
                        <w:left w:val="none" w:sz="0" w:space="0" w:color="auto"/>
                        <w:bottom w:val="none" w:sz="0" w:space="0" w:color="auto"/>
                        <w:right w:val="none" w:sz="0" w:space="0" w:color="auto"/>
                      </w:divBdr>
                    </w:div>
                  </w:divsChild>
                </w:div>
                <w:div w:id="1815947366">
                  <w:marLeft w:val="0"/>
                  <w:marRight w:val="0"/>
                  <w:marTop w:val="0"/>
                  <w:marBottom w:val="0"/>
                  <w:divBdr>
                    <w:top w:val="none" w:sz="0" w:space="0" w:color="auto"/>
                    <w:left w:val="none" w:sz="0" w:space="0" w:color="auto"/>
                    <w:bottom w:val="none" w:sz="0" w:space="0" w:color="auto"/>
                    <w:right w:val="none" w:sz="0" w:space="0" w:color="auto"/>
                  </w:divBdr>
                  <w:divsChild>
                    <w:div w:id="145752847">
                      <w:marLeft w:val="0"/>
                      <w:marRight w:val="0"/>
                      <w:marTop w:val="0"/>
                      <w:marBottom w:val="0"/>
                      <w:divBdr>
                        <w:top w:val="none" w:sz="0" w:space="0" w:color="auto"/>
                        <w:left w:val="none" w:sz="0" w:space="0" w:color="auto"/>
                        <w:bottom w:val="none" w:sz="0" w:space="0" w:color="auto"/>
                        <w:right w:val="none" w:sz="0" w:space="0" w:color="auto"/>
                      </w:divBdr>
                    </w:div>
                  </w:divsChild>
                </w:div>
                <w:div w:id="1837841120">
                  <w:marLeft w:val="0"/>
                  <w:marRight w:val="0"/>
                  <w:marTop w:val="0"/>
                  <w:marBottom w:val="0"/>
                  <w:divBdr>
                    <w:top w:val="none" w:sz="0" w:space="0" w:color="auto"/>
                    <w:left w:val="none" w:sz="0" w:space="0" w:color="auto"/>
                    <w:bottom w:val="none" w:sz="0" w:space="0" w:color="auto"/>
                    <w:right w:val="none" w:sz="0" w:space="0" w:color="auto"/>
                  </w:divBdr>
                  <w:divsChild>
                    <w:div w:id="353387504">
                      <w:marLeft w:val="0"/>
                      <w:marRight w:val="0"/>
                      <w:marTop w:val="0"/>
                      <w:marBottom w:val="0"/>
                      <w:divBdr>
                        <w:top w:val="none" w:sz="0" w:space="0" w:color="auto"/>
                        <w:left w:val="none" w:sz="0" w:space="0" w:color="auto"/>
                        <w:bottom w:val="none" w:sz="0" w:space="0" w:color="auto"/>
                        <w:right w:val="none" w:sz="0" w:space="0" w:color="auto"/>
                      </w:divBdr>
                    </w:div>
                  </w:divsChild>
                </w:div>
                <w:div w:id="1854563149">
                  <w:marLeft w:val="0"/>
                  <w:marRight w:val="0"/>
                  <w:marTop w:val="0"/>
                  <w:marBottom w:val="0"/>
                  <w:divBdr>
                    <w:top w:val="none" w:sz="0" w:space="0" w:color="auto"/>
                    <w:left w:val="none" w:sz="0" w:space="0" w:color="auto"/>
                    <w:bottom w:val="none" w:sz="0" w:space="0" w:color="auto"/>
                    <w:right w:val="none" w:sz="0" w:space="0" w:color="auto"/>
                  </w:divBdr>
                  <w:divsChild>
                    <w:div w:id="968125670">
                      <w:marLeft w:val="0"/>
                      <w:marRight w:val="0"/>
                      <w:marTop w:val="0"/>
                      <w:marBottom w:val="0"/>
                      <w:divBdr>
                        <w:top w:val="none" w:sz="0" w:space="0" w:color="auto"/>
                        <w:left w:val="none" w:sz="0" w:space="0" w:color="auto"/>
                        <w:bottom w:val="none" w:sz="0" w:space="0" w:color="auto"/>
                        <w:right w:val="none" w:sz="0" w:space="0" w:color="auto"/>
                      </w:divBdr>
                    </w:div>
                  </w:divsChild>
                </w:div>
                <w:div w:id="1868985405">
                  <w:marLeft w:val="0"/>
                  <w:marRight w:val="0"/>
                  <w:marTop w:val="0"/>
                  <w:marBottom w:val="0"/>
                  <w:divBdr>
                    <w:top w:val="none" w:sz="0" w:space="0" w:color="auto"/>
                    <w:left w:val="none" w:sz="0" w:space="0" w:color="auto"/>
                    <w:bottom w:val="none" w:sz="0" w:space="0" w:color="auto"/>
                    <w:right w:val="none" w:sz="0" w:space="0" w:color="auto"/>
                  </w:divBdr>
                  <w:divsChild>
                    <w:div w:id="866799588">
                      <w:marLeft w:val="0"/>
                      <w:marRight w:val="0"/>
                      <w:marTop w:val="0"/>
                      <w:marBottom w:val="0"/>
                      <w:divBdr>
                        <w:top w:val="none" w:sz="0" w:space="0" w:color="auto"/>
                        <w:left w:val="none" w:sz="0" w:space="0" w:color="auto"/>
                        <w:bottom w:val="none" w:sz="0" w:space="0" w:color="auto"/>
                        <w:right w:val="none" w:sz="0" w:space="0" w:color="auto"/>
                      </w:divBdr>
                    </w:div>
                  </w:divsChild>
                </w:div>
                <w:div w:id="1878079372">
                  <w:marLeft w:val="0"/>
                  <w:marRight w:val="0"/>
                  <w:marTop w:val="0"/>
                  <w:marBottom w:val="0"/>
                  <w:divBdr>
                    <w:top w:val="none" w:sz="0" w:space="0" w:color="auto"/>
                    <w:left w:val="none" w:sz="0" w:space="0" w:color="auto"/>
                    <w:bottom w:val="none" w:sz="0" w:space="0" w:color="auto"/>
                    <w:right w:val="none" w:sz="0" w:space="0" w:color="auto"/>
                  </w:divBdr>
                  <w:divsChild>
                    <w:div w:id="1480029859">
                      <w:marLeft w:val="0"/>
                      <w:marRight w:val="0"/>
                      <w:marTop w:val="0"/>
                      <w:marBottom w:val="0"/>
                      <w:divBdr>
                        <w:top w:val="none" w:sz="0" w:space="0" w:color="auto"/>
                        <w:left w:val="none" w:sz="0" w:space="0" w:color="auto"/>
                        <w:bottom w:val="none" w:sz="0" w:space="0" w:color="auto"/>
                        <w:right w:val="none" w:sz="0" w:space="0" w:color="auto"/>
                      </w:divBdr>
                    </w:div>
                  </w:divsChild>
                </w:div>
                <w:div w:id="1885947786">
                  <w:marLeft w:val="0"/>
                  <w:marRight w:val="0"/>
                  <w:marTop w:val="0"/>
                  <w:marBottom w:val="0"/>
                  <w:divBdr>
                    <w:top w:val="none" w:sz="0" w:space="0" w:color="auto"/>
                    <w:left w:val="none" w:sz="0" w:space="0" w:color="auto"/>
                    <w:bottom w:val="none" w:sz="0" w:space="0" w:color="auto"/>
                    <w:right w:val="none" w:sz="0" w:space="0" w:color="auto"/>
                  </w:divBdr>
                  <w:divsChild>
                    <w:div w:id="116221562">
                      <w:marLeft w:val="0"/>
                      <w:marRight w:val="0"/>
                      <w:marTop w:val="0"/>
                      <w:marBottom w:val="0"/>
                      <w:divBdr>
                        <w:top w:val="none" w:sz="0" w:space="0" w:color="auto"/>
                        <w:left w:val="none" w:sz="0" w:space="0" w:color="auto"/>
                        <w:bottom w:val="none" w:sz="0" w:space="0" w:color="auto"/>
                        <w:right w:val="none" w:sz="0" w:space="0" w:color="auto"/>
                      </w:divBdr>
                    </w:div>
                  </w:divsChild>
                </w:div>
                <w:div w:id="1887983713">
                  <w:marLeft w:val="0"/>
                  <w:marRight w:val="0"/>
                  <w:marTop w:val="0"/>
                  <w:marBottom w:val="0"/>
                  <w:divBdr>
                    <w:top w:val="none" w:sz="0" w:space="0" w:color="auto"/>
                    <w:left w:val="none" w:sz="0" w:space="0" w:color="auto"/>
                    <w:bottom w:val="none" w:sz="0" w:space="0" w:color="auto"/>
                    <w:right w:val="none" w:sz="0" w:space="0" w:color="auto"/>
                  </w:divBdr>
                  <w:divsChild>
                    <w:div w:id="1656569917">
                      <w:marLeft w:val="0"/>
                      <w:marRight w:val="0"/>
                      <w:marTop w:val="0"/>
                      <w:marBottom w:val="0"/>
                      <w:divBdr>
                        <w:top w:val="none" w:sz="0" w:space="0" w:color="auto"/>
                        <w:left w:val="none" w:sz="0" w:space="0" w:color="auto"/>
                        <w:bottom w:val="none" w:sz="0" w:space="0" w:color="auto"/>
                        <w:right w:val="none" w:sz="0" w:space="0" w:color="auto"/>
                      </w:divBdr>
                    </w:div>
                  </w:divsChild>
                </w:div>
                <w:div w:id="1944075372">
                  <w:marLeft w:val="0"/>
                  <w:marRight w:val="0"/>
                  <w:marTop w:val="0"/>
                  <w:marBottom w:val="0"/>
                  <w:divBdr>
                    <w:top w:val="none" w:sz="0" w:space="0" w:color="auto"/>
                    <w:left w:val="none" w:sz="0" w:space="0" w:color="auto"/>
                    <w:bottom w:val="none" w:sz="0" w:space="0" w:color="auto"/>
                    <w:right w:val="none" w:sz="0" w:space="0" w:color="auto"/>
                  </w:divBdr>
                  <w:divsChild>
                    <w:div w:id="375200045">
                      <w:marLeft w:val="0"/>
                      <w:marRight w:val="0"/>
                      <w:marTop w:val="0"/>
                      <w:marBottom w:val="0"/>
                      <w:divBdr>
                        <w:top w:val="none" w:sz="0" w:space="0" w:color="auto"/>
                        <w:left w:val="none" w:sz="0" w:space="0" w:color="auto"/>
                        <w:bottom w:val="none" w:sz="0" w:space="0" w:color="auto"/>
                        <w:right w:val="none" w:sz="0" w:space="0" w:color="auto"/>
                      </w:divBdr>
                    </w:div>
                  </w:divsChild>
                </w:div>
                <w:div w:id="1959794406">
                  <w:marLeft w:val="0"/>
                  <w:marRight w:val="0"/>
                  <w:marTop w:val="0"/>
                  <w:marBottom w:val="0"/>
                  <w:divBdr>
                    <w:top w:val="none" w:sz="0" w:space="0" w:color="auto"/>
                    <w:left w:val="none" w:sz="0" w:space="0" w:color="auto"/>
                    <w:bottom w:val="none" w:sz="0" w:space="0" w:color="auto"/>
                    <w:right w:val="none" w:sz="0" w:space="0" w:color="auto"/>
                  </w:divBdr>
                  <w:divsChild>
                    <w:div w:id="872503552">
                      <w:marLeft w:val="0"/>
                      <w:marRight w:val="0"/>
                      <w:marTop w:val="0"/>
                      <w:marBottom w:val="0"/>
                      <w:divBdr>
                        <w:top w:val="none" w:sz="0" w:space="0" w:color="auto"/>
                        <w:left w:val="none" w:sz="0" w:space="0" w:color="auto"/>
                        <w:bottom w:val="none" w:sz="0" w:space="0" w:color="auto"/>
                        <w:right w:val="none" w:sz="0" w:space="0" w:color="auto"/>
                      </w:divBdr>
                    </w:div>
                  </w:divsChild>
                </w:div>
                <w:div w:id="2007508754">
                  <w:marLeft w:val="0"/>
                  <w:marRight w:val="0"/>
                  <w:marTop w:val="0"/>
                  <w:marBottom w:val="0"/>
                  <w:divBdr>
                    <w:top w:val="none" w:sz="0" w:space="0" w:color="auto"/>
                    <w:left w:val="none" w:sz="0" w:space="0" w:color="auto"/>
                    <w:bottom w:val="none" w:sz="0" w:space="0" w:color="auto"/>
                    <w:right w:val="none" w:sz="0" w:space="0" w:color="auto"/>
                  </w:divBdr>
                  <w:divsChild>
                    <w:div w:id="1783694543">
                      <w:marLeft w:val="0"/>
                      <w:marRight w:val="0"/>
                      <w:marTop w:val="0"/>
                      <w:marBottom w:val="0"/>
                      <w:divBdr>
                        <w:top w:val="none" w:sz="0" w:space="0" w:color="auto"/>
                        <w:left w:val="none" w:sz="0" w:space="0" w:color="auto"/>
                        <w:bottom w:val="none" w:sz="0" w:space="0" w:color="auto"/>
                        <w:right w:val="none" w:sz="0" w:space="0" w:color="auto"/>
                      </w:divBdr>
                    </w:div>
                  </w:divsChild>
                </w:div>
                <w:div w:id="2055035402">
                  <w:marLeft w:val="0"/>
                  <w:marRight w:val="0"/>
                  <w:marTop w:val="0"/>
                  <w:marBottom w:val="0"/>
                  <w:divBdr>
                    <w:top w:val="none" w:sz="0" w:space="0" w:color="auto"/>
                    <w:left w:val="none" w:sz="0" w:space="0" w:color="auto"/>
                    <w:bottom w:val="none" w:sz="0" w:space="0" w:color="auto"/>
                    <w:right w:val="none" w:sz="0" w:space="0" w:color="auto"/>
                  </w:divBdr>
                  <w:divsChild>
                    <w:div w:id="1792283059">
                      <w:marLeft w:val="0"/>
                      <w:marRight w:val="0"/>
                      <w:marTop w:val="0"/>
                      <w:marBottom w:val="0"/>
                      <w:divBdr>
                        <w:top w:val="none" w:sz="0" w:space="0" w:color="auto"/>
                        <w:left w:val="none" w:sz="0" w:space="0" w:color="auto"/>
                        <w:bottom w:val="none" w:sz="0" w:space="0" w:color="auto"/>
                        <w:right w:val="none" w:sz="0" w:space="0" w:color="auto"/>
                      </w:divBdr>
                    </w:div>
                  </w:divsChild>
                </w:div>
                <w:div w:id="2068335128">
                  <w:marLeft w:val="0"/>
                  <w:marRight w:val="0"/>
                  <w:marTop w:val="0"/>
                  <w:marBottom w:val="0"/>
                  <w:divBdr>
                    <w:top w:val="none" w:sz="0" w:space="0" w:color="auto"/>
                    <w:left w:val="none" w:sz="0" w:space="0" w:color="auto"/>
                    <w:bottom w:val="none" w:sz="0" w:space="0" w:color="auto"/>
                    <w:right w:val="none" w:sz="0" w:space="0" w:color="auto"/>
                  </w:divBdr>
                  <w:divsChild>
                    <w:div w:id="218172497">
                      <w:marLeft w:val="0"/>
                      <w:marRight w:val="0"/>
                      <w:marTop w:val="0"/>
                      <w:marBottom w:val="0"/>
                      <w:divBdr>
                        <w:top w:val="none" w:sz="0" w:space="0" w:color="auto"/>
                        <w:left w:val="none" w:sz="0" w:space="0" w:color="auto"/>
                        <w:bottom w:val="none" w:sz="0" w:space="0" w:color="auto"/>
                        <w:right w:val="none" w:sz="0" w:space="0" w:color="auto"/>
                      </w:divBdr>
                    </w:div>
                  </w:divsChild>
                </w:div>
                <w:div w:id="2136484394">
                  <w:marLeft w:val="0"/>
                  <w:marRight w:val="0"/>
                  <w:marTop w:val="0"/>
                  <w:marBottom w:val="0"/>
                  <w:divBdr>
                    <w:top w:val="none" w:sz="0" w:space="0" w:color="auto"/>
                    <w:left w:val="none" w:sz="0" w:space="0" w:color="auto"/>
                    <w:bottom w:val="none" w:sz="0" w:space="0" w:color="auto"/>
                    <w:right w:val="none" w:sz="0" w:space="0" w:color="auto"/>
                  </w:divBdr>
                  <w:divsChild>
                    <w:div w:id="10082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117">
          <w:marLeft w:val="0"/>
          <w:marRight w:val="0"/>
          <w:marTop w:val="0"/>
          <w:marBottom w:val="0"/>
          <w:divBdr>
            <w:top w:val="none" w:sz="0" w:space="0" w:color="auto"/>
            <w:left w:val="none" w:sz="0" w:space="0" w:color="auto"/>
            <w:bottom w:val="none" w:sz="0" w:space="0" w:color="auto"/>
            <w:right w:val="none" w:sz="0" w:space="0" w:color="auto"/>
          </w:divBdr>
        </w:div>
      </w:divsChild>
    </w:div>
    <w:div w:id="648831205">
      <w:bodyDiv w:val="1"/>
      <w:marLeft w:val="0"/>
      <w:marRight w:val="0"/>
      <w:marTop w:val="0"/>
      <w:marBottom w:val="0"/>
      <w:divBdr>
        <w:top w:val="none" w:sz="0" w:space="0" w:color="auto"/>
        <w:left w:val="none" w:sz="0" w:space="0" w:color="auto"/>
        <w:bottom w:val="none" w:sz="0" w:space="0" w:color="auto"/>
        <w:right w:val="none" w:sz="0" w:space="0" w:color="auto"/>
      </w:divBdr>
    </w:div>
    <w:div w:id="649216021">
      <w:bodyDiv w:val="1"/>
      <w:marLeft w:val="0"/>
      <w:marRight w:val="0"/>
      <w:marTop w:val="0"/>
      <w:marBottom w:val="0"/>
      <w:divBdr>
        <w:top w:val="none" w:sz="0" w:space="0" w:color="auto"/>
        <w:left w:val="none" w:sz="0" w:space="0" w:color="auto"/>
        <w:bottom w:val="none" w:sz="0" w:space="0" w:color="auto"/>
        <w:right w:val="none" w:sz="0" w:space="0" w:color="auto"/>
      </w:divBdr>
    </w:div>
    <w:div w:id="649872225">
      <w:bodyDiv w:val="1"/>
      <w:marLeft w:val="0"/>
      <w:marRight w:val="0"/>
      <w:marTop w:val="0"/>
      <w:marBottom w:val="0"/>
      <w:divBdr>
        <w:top w:val="none" w:sz="0" w:space="0" w:color="auto"/>
        <w:left w:val="none" w:sz="0" w:space="0" w:color="auto"/>
        <w:bottom w:val="none" w:sz="0" w:space="0" w:color="auto"/>
        <w:right w:val="none" w:sz="0" w:space="0" w:color="auto"/>
      </w:divBdr>
    </w:div>
    <w:div w:id="650911647">
      <w:bodyDiv w:val="1"/>
      <w:marLeft w:val="0"/>
      <w:marRight w:val="0"/>
      <w:marTop w:val="0"/>
      <w:marBottom w:val="0"/>
      <w:divBdr>
        <w:top w:val="none" w:sz="0" w:space="0" w:color="auto"/>
        <w:left w:val="none" w:sz="0" w:space="0" w:color="auto"/>
        <w:bottom w:val="none" w:sz="0" w:space="0" w:color="auto"/>
        <w:right w:val="none" w:sz="0" w:space="0" w:color="auto"/>
      </w:divBdr>
    </w:div>
    <w:div w:id="651716940">
      <w:bodyDiv w:val="1"/>
      <w:marLeft w:val="0"/>
      <w:marRight w:val="0"/>
      <w:marTop w:val="0"/>
      <w:marBottom w:val="0"/>
      <w:divBdr>
        <w:top w:val="none" w:sz="0" w:space="0" w:color="auto"/>
        <w:left w:val="none" w:sz="0" w:space="0" w:color="auto"/>
        <w:bottom w:val="none" w:sz="0" w:space="0" w:color="auto"/>
        <w:right w:val="none" w:sz="0" w:space="0" w:color="auto"/>
      </w:divBdr>
    </w:div>
    <w:div w:id="653532819">
      <w:bodyDiv w:val="1"/>
      <w:marLeft w:val="0"/>
      <w:marRight w:val="0"/>
      <w:marTop w:val="0"/>
      <w:marBottom w:val="0"/>
      <w:divBdr>
        <w:top w:val="none" w:sz="0" w:space="0" w:color="auto"/>
        <w:left w:val="none" w:sz="0" w:space="0" w:color="auto"/>
        <w:bottom w:val="none" w:sz="0" w:space="0" w:color="auto"/>
        <w:right w:val="none" w:sz="0" w:space="0" w:color="auto"/>
      </w:divBdr>
    </w:div>
    <w:div w:id="654264567">
      <w:bodyDiv w:val="1"/>
      <w:marLeft w:val="0"/>
      <w:marRight w:val="0"/>
      <w:marTop w:val="0"/>
      <w:marBottom w:val="0"/>
      <w:divBdr>
        <w:top w:val="none" w:sz="0" w:space="0" w:color="auto"/>
        <w:left w:val="none" w:sz="0" w:space="0" w:color="auto"/>
        <w:bottom w:val="none" w:sz="0" w:space="0" w:color="auto"/>
        <w:right w:val="none" w:sz="0" w:space="0" w:color="auto"/>
      </w:divBdr>
    </w:div>
    <w:div w:id="654914206">
      <w:bodyDiv w:val="1"/>
      <w:marLeft w:val="0"/>
      <w:marRight w:val="0"/>
      <w:marTop w:val="0"/>
      <w:marBottom w:val="0"/>
      <w:divBdr>
        <w:top w:val="none" w:sz="0" w:space="0" w:color="auto"/>
        <w:left w:val="none" w:sz="0" w:space="0" w:color="auto"/>
        <w:bottom w:val="none" w:sz="0" w:space="0" w:color="auto"/>
        <w:right w:val="none" w:sz="0" w:space="0" w:color="auto"/>
      </w:divBdr>
    </w:div>
    <w:div w:id="656306328">
      <w:bodyDiv w:val="1"/>
      <w:marLeft w:val="0"/>
      <w:marRight w:val="0"/>
      <w:marTop w:val="0"/>
      <w:marBottom w:val="0"/>
      <w:divBdr>
        <w:top w:val="none" w:sz="0" w:space="0" w:color="auto"/>
        <w:left w:val="none" w:sz="0" w:space="0" w:color="auto"/>
        <w:bottom w:val="none" w:sz="0" w:space="0" w:color="auto"/>
        <w:right w:val="none" w:sz="0" w:space="0" w:color="auto"/>
      </w:divBdr>
    </w:div>
    <w:div w:id="658384120">
      <w:bodyDiv w:val="1"/>
      <w:marLeft w:val="0"/>
      <w:marRight w:val="0"/>
      <w:marTop w:val="0"/>
      <w:marBottom w:val="0"/>
      <w:divBdr>
        <w:top w:val="none" w:sz="0" w:space="0" w:color="auto"/>
        <w:left w:val="none" w:sz="0" w:space="0" w:color="auto"/>
        <w:bottom w:val="none" w:sz="0" w:space="0" w:color="auto"/>
        <w:right w:val="none" w:sz="0" w:space="0" w:color="auto"/>
      </w:divBdr>
    </w:div>
    <w:div w:id="659961887">
      <w:bodyDiv w:val="1"/>
      <w:marLeft w:val="0"/>
      <w:marRight w:val="0"/>
      <w:marTop w:val="0"/>
      <w:marBottom w:val="0"/>
      <w:divBdr>
        <w:top w:val="none" w:sz="0" w:space="0" w:color="auto"/>
        <w:left w:val="none" w:sz="0" w:space="0" w:color="auto"/>
        <w:bottom w:val="none" w:sz="0" w:space="0" w:color="auto"/>
        <w:right w:val="none" w:sz="0" w:space="0" w:color="auto"/>
      </w:divBdr>
    </w:div>
    <w:div w:id="660423822">
      <w:bodyDiv w:val="1"/>
      <w:marLeft w:val="0"/>
      <w:marRight w:val="0"/>
      <w:marTop w:val="0"/>
      <w:marBottom w:val="0"/>
      <w:divBdr>
        <w:top w:val="none" w:sz="0" w:space="0" w:color="auto"/>
        <w:left w:val="none" w:sz="0" w:space="0" w:color="auto"/>
        <w:bottom w:val="none" w:sz="0" w:space="0" w:color="auto"/>
        <w:right w:val="none" w:sz="0" w:space="0" w:color="auto"/>
      </w:divBdr>
    </w:div>
    <w:div w:id="660893333">
      <w:bodyDiv w:val="1"/>
      <w:marLeft w:val="0"/>
      <w:marRight w:val="0"/>
      <w:marTop w:val="0"/>
      <w:marBottom w:val="0"/>
      <w:divBdr>
        <w:top w:val="none" w:sz="0" w:space="0" w:color="auto"/>
        <w:left w:val="none" w:sz="0" w:space="0" w:color="auto"/>
        <w:bottom w:val="none" w:sz="0" w:space="0" w:color="auto"/>
        <w:right w:val="none" w:sz="0" w:space="0" w:color="auto"/>
      </w:divBdr>
    </w:div>
    <w:div w:id="661926996">
      <w:bodyDiv w:val="1"/>
      <w:marLeft w:val="0"/>
      <w:marRight w:val="0"/>
      <w:marTop w:val="0"/>
      <w:marBottom w:val="0"/>
      <w:divBdr>
        <w:top w:val="none" w:sz="0" w:space="0" w:color="auto"/>
        <w:left w:val="none" w:sz="0" w:space="0" w:color="auto"/>
        <w:bottom w:val="none" w:sz="0" w:space="0" w:color="auto"/>
        <w:right w:val="none" w:sz="0" w:space="0" w:color="auto"/>
      </w:divBdr>
    </w:div>
    <w:div w:id="663166732">
      <w:bodyDiv w:val="1"/>
      <w:marLeft w:val="0"/>
      <w:marRight w:val="0"/>
      <w:marTop w:val="0"/>
      <w:marBottom w:val="0"/>
      <w:divBdr>
        <w:top w:val="none" w:sz="0" w:space="0" w:color="auto"/>
        <w:left w:val="none" w:sz="0" w:space="0" w:color="auto"/>
        <w:bottom w:val="none" w:sz="0" w:space="0" w:color="auto"/>
        <w:right w:val="none" w:sz="0" w:space="0" w:color="auto"/>
      </w:divBdr>
    </w:div>
    <w:div w:id="665982066">
      <w:bodyDiv w:val="1"/>
      <w:marLeft w:val="0"/>
      <w:marRight w:val="0"/>
      <w:marTop w:val="0"/>
      <w:marBottom w:val="0"/>
      <w:divBdr>
        <w:top w:val="none" w:sz="0" w:space="0" w:color="auto"/>
        <w:left w:val="none" w:sz="0" w:space="0" w:color="auto"/>
        <w:bottom w:val="none" w:sz="0" w:space="0" w:color="auto"/>
        <w:right w:val="none" w:sz="0" w:space="0" w:color="auto"/>
      </w:divBdr>
    </w:div>
    <w:div w:id="666131253">
      <w:bodyDiv w:val="1"/>
      <w:marLeft w:val="0"/>
      <w:marRight w:val="0"/>
      <w:marTop w:val="0"/>
      <w:marBottom w:val="0"/>
      <w:divBdr>
        <w:top w:val="none" w:sz="0" w:space="0" w:color="auto"/>
        <w:left w:val="none" w:sz="0" w:space="0" w:color="auto"/>
        <w:bottom w:val="none" w:sz="0" w:space="0" w:color="auto"/>
        <w:right w:val="none" w:sz="0" w:space="0" w:color="auto"/>
      </w:divBdr>
    </w:div>
    <w:div w:id="667363449">
      <w:bodyDiv w:val="1"/>
      <w:marLeft w:val="0"/>
      <w:marRight w:val="0"/>
      <w:marTop w:val="0"/>
      <w:marBottom w:val="0"/>
      <w:divBdr>
        <w:top w:val="none" w:sz="0" w:space="0" w:color="auto"/>
        <w:left w:val="none" w:sz="0" w:space="0" w:color="auto"/>
        <w:bottom w:val="none" w:sz="0" w:space="0" w:color="auto"/>
        <w:right w:val="none" w:sz="0" w:space="0" w:color="auto"/>
      </w:divBdr>
    </w:div>
    <w:div w:id="667563008">
      <w:bodyDiv w:val="1"/>
      <w:marLeft w:val="0"/>
      <w:marRight w:val="0"/>
      <w:marTop w:val="0"/>
      <w:marBottom w:val="0"/>
      <w:divBdr>
        <w:top w:val="none" w:sz="0" w:space="0" w:color="auto"/>
        <w:left w:val="none" w:sz="0" w:space="0" w:color="auto"/>
        <w:bottom w:val="none" w:sz="0" w:space="0" w:color="auto"/>
        <w:right w:val="none" w:sz="0" w:space="0" w:color="auto"/>
      </w:divBdr>
    </w:div>
    <w:div w:id="667681637">
      <w:bodyDiv w:val="1"/>
      <w:marLeft w:val="0"/>
      <w:marRight w:val="0"/>
      <w:marTop w:val="0"/>
      <w:marBottom w:val="0"/>
      <w:divBdr>
        <w:top w:val="none" w:sz="0" w:space="0" w:color="auto"/>
        <w:left w:val="none" w:sz="0" w:space="0" w:color="auto"/>
        <w:bottom w:val="none" w:sz="0" w:space="0" w:color="auto"/>
        <w:right w:val="none" w:sz="0" w:space="0" w:color="auto"/>
      </w:divBdr>
    </w:div>
    <w:div w:id="667904850">
      <w:bodyDiv w:val="1"/>
      <w:marLeft w:val="0"/>
      <w:marRight w:val="0"/>
      <w:marTop w:val="0"/>
      <w:marBottom w:val="0"/>
      <w:divBdr>
        <w:top w:val="none" w:sz="0" w:space="0" w:color="auto"/>
        <w:left w:val="none" w:sz="0" w:space="0" w:color="auto"/>
        <w:bottom w:val="none" w:sz="0" w:space="0" w:color="auto"/>
        <w:right w:val="none" w:sz="0" w:space="0" w:color="auto"/>
      </w:divBdr>
    </w:div>
    <w:div w:id="668286926">
      <w:bodyDiv w:val="1"/>
      <w:marLeft w:val="0"/>
      <w:marRight w:val="0"/>
      <w:marTop w:val="0"/>
      <w:marBottom w:val="0"/>
      <w:divBdr>
        <w:top w:val="none" w:sz="0" w:space="0" w:color="auto"/>
        <w:left w:val="none" w:sz="0" w:space="0" w:color="auto"/>
        <w:bottom w:val="none" w:sz="0" w:space="0" w:color="auto"/>
        <w:right w:val="none" w:sz="0" w:space="0" w:color="auto"/>
      </w:divBdr>
    </w:div>
    <w:div w:id="668599256">
      <w:bodyDiv w:val="1"/>
      <w:marLeft w:val="0"/>
      <w:marRight w:val="0"/>
      <w:marTop w:val="0"/>
      <w:marBottom w:val="0"/>
      <w:divBdr>
        <w:top w:val="none" w:sz="0" w:space="0" w:color="auto"/>
        <w:left w:val="none" w:sz="0" w:space="0" w:color="auto"/>
        <w:bottom w:val="none" w:sz="0" w:space="0" w:color="auto"/>
        <w:right w:val="none" w:sz="0" w:space="0" w:color="auto"/>
      </w:divBdr>
    </w:div>
    <w:div w:id="668678341">
      <w:bodyDiv w:val="1"/>
      <w:marLeft w:val="0"/>
      <w:marRight w:val="0"/>
      <w:marTop w:val="0"/>
      <w:marBottom w:val="0"/>
      <w:divBdr>
        <w:top w:val="none" w:sz="0" w:space="0" w:color="auto"/>
        <w:left w:val="none" w:sz="0" w:space="0" w:color="auto"/>
        <w:bottom w:val="none" w:sz="0" w:space="0" w:color="auto"/>
        <w:right w:val="none" w:sz="0" w:space="0" w:color="auto"/>
      </w:divBdr>
    </w:div>
    <w:div w:id="669717611">
      <w:bodyDiv w:val="1"/>
      <w:marLeft w:val="0"/>
      <w:marRight w:val="0"/>
      <w:marTop w:val="0"/>
      <w:marBottom w:val="0"/>
      <w:divBdr>
        <w:top w:val="none" w:sz="0" w:space="0" w:color="auto"/>
        <w:left w:val="none" w:sz="0" w:space="0" w:color="auto"/>
        <w:bottom w:val="none" w:sz="0" w:space="0" w:color="auto"/>
        <w:right w:val="none" w:sz="0" w:space="0" w:color="auto"/>
      </w:divBdr>
    </w:div>
    <w:div w:id="670137530">
      <w:bodyDiv w:val="1"/>
      <w:marLeft w:val="0"/>
      <w:marRight w:val="0"/>
      <w:marTop w:val="0"/>
      <w:marBottom w:val="0"/>
      <w:divBdr>
        <w:top w:val="none" w:sz="0" w:space="0" w:color="auto"/>
        <w:left w:val="none" w:sz="0" w:space="0" w:color="auto"/>
        <w:bottom w:val="none" w:sz="0" w:space="0" w:color="auto"/>
        <w:right w:val="none" w:sz="0" w:space="0" w:color="auto"/>
      </w:divBdr>
    </w:div>
    <w:div w:id="671372448">
      <w:bodyDiv w:val="1"/>
      <w:marLeft w:val="0"/>
      <w:marRight w:val="0"/>
      <w:marTop w:val="0"/>
      <w:marBottom w:val="0"/>
      <w:divBdr>
        <w:top w:val="none" w:sz="0" w:space="0" w:color="auto"/>
        <w:left w:val="none" w:sz="0" w:space="0" w:color="auto"/>
        <w:bottom w:val="none" w:sz="0" w:space="0" w:color="auto"/>
        <w:right w:val="none" w:sz="0" w:space="0" w:color="auto"/>
      </w:divBdr>
    </w:div>
    <w:div w:id="671642488">
      <w:bodyDiv w:val="1"/>
      <w:marLeft w:val="0"/>
      <w:marRight w:val="0"/>
      <w:marTop w:val="0"/>
      <w:marBottom w:val="0"/>
      <w:divBdr>
        <w:top w:val="none" w:sz="0" w:space="0" w:color="auto"/>
        <w:left w:val="none" w:sz="0" w:space="0" w:color="auto"/>
        <w:bottom w:val="none" w:sz="0" w:space="0" w:color="auto"/>
        <w:right w:val="none" w:sz="0" w:space="0" w:color="auto"/>
      </w:divBdr>
    </w:div>
    <w:div w:id="673843563">
      <w:bodyDiv w:val="1"/>
      <w:marLeft w:val="0"/>
      <w:marRight w:val="0"/>
      <w:marTop w:val="0"/>
      <w:marBottom w:val="0"/>
      <w:divBdr>
        <w:top w:val="none" w:sz="0" w:space="0" w:color="auto"/>
        <w:left w:val="none" w:sz="0" w:space="0" w:color="auto"/>
        <w:bottom w:val="none" w:sz="0" w:space="0" w:color="auto"/>
        <w:right w:val="none" w:sz="0" w:space="0" w:color="auto"/>
      </w:divBdr>
    </w:div>
    <w:div w:id="674919126">
      <w:bodyDiv w:val="1"/>
      <w:marLeft w:val="0"/>
      <w:marRight w:val="0"/>
      <w:marTop w:val="0"/>
      <w:marBottom w:val="0"/>
      <w:divBdr>
        <w:top w:val="none" w:sz="0" w:space="0" w:color="auto"/>
        <w:left w:val="none" w:sz="0" w:space="0" w:color="auto"/>
        <w:bottom w:val="none" w:sz="0" w:space="0" w:color="auto"/>
        <w:right w:val="none" w:sz="0" w:space="0" w:color="auto"/>
      </w:divBdr>
    </w:div>
    <w:div w:id="676738364">
      <w:bodyDiv w:val="1"/>
      <w:marLeft w:val="0"/>
      <w:marRight w:val="0"/>
      <w:marTop w:val="0"/>
      <w:marBottom w:val="0"/>
      <w:divBdr>
        <w:top w:val="none" w:sz="0" w:space="0" w:color="auto"/>
        <w:left w:val="none" w:sz="0" w:space="0" w:color="auto"/>
        <w:bottom w:val="none" w:sz="0" w:space="0" w:color="auto"/>
        <w:right w:val="none" w:sz="0" w:space="0" w:color="auto"/>
      </w:divBdr>
    </w:div>
    <w:div w:id="677973248">
      <w:bodyDiv w:val="1"/>
      <w:marLeft w:val="0"/>
      <w:marRight w:val="0"/>
      <w:marTop w:val="0"/>
      <w:marBottom w:val="0"/>
      <w:divBdr>
        <w:top w:val="none" w:sz="0" w:space="0" w:color="auto"/>
        <w:left w:val="none" w:sz="0" w:space="0" w:color="auto"/>
        <w:bottom w:val="none" w:sz="0" w:space="0" w:color="auto"/>
        <w:right w:val="none" w:sz="0" w:space="0" w:color="auto"/>
      </w:divBdr>
    </w:div>
    <w:div w:id="679116385">
      <w:bodyDiv w:val="1"/>
      <w:marLeft w:val="0"/>
      <w:marRight w:val="0"/>
      <w:marTop w:val="0"/>
      <w:marBottom w:val="0"/>
      <w:divBdr>
        <w:top w:val="none" w:sz="0" w:space="0" w:color="auto"/>
        <w:left w:val="none" w:sz="0" w:space="0" w:color="auto"/>
        <w:bottom w:val="none" w:sz="0" w:space="0" w:color="auto"/>
        <w:right w:val="none" w:sz="0" w:space="0" w:color="auto"/>
      </w:divBdr>
    </w:div>
    <w:div w:id="679359324">
      <w:bodyDiv w:val="1"/>
      <w:marLeft w:val="0"/>
      <w:marRight w:val="0"/>
      <w:marTop w:val="0"/>
      <w:marBottom w:val="0"/>
      <w:divBdr>
        <w:top w:val="none" w:sz="0" w:space="0" w:color="auto"/>
        <w:left w:val="none" w:sz="0" w:space="0" w:color="auto"/>
        <w:bottom w:val="none" w:sz="0" w:space="0" w:color="auto"/>
        <w:right w:val="none" w:sz="0" w:space="0" w:color="auto"/>
      </w:divBdr>
    </w:div>
    <w:div w:id="679819084">
      <w:bodyDiv w:val="1"/>
      <w:marLeft w:val="0"/>
      <w:marRight w:val="0"/>
      <w:marTop w:val="0"/>
      <w:marBottom w:val="0"/>
      <w:divBdr>
        <w:top w:val="none" w:sz="0" w:space="0" w:color="auto"/>
        <w:left w:val="none" w:sz="0" w:space="0" w:color="auto"/>
        <w:bottom w:val="none" w:sz="0" w:space="0" w:color="auto"/>
        <w:right w:val="none" w:sz="0" w:space="0" w:color="auto"/>
      </w:divBdr>
    </w:div>
    <w:div w:id="679891446">
      <w:bodyDiv w:val="1"/>
      <w:marLeft w:val="0"/>
      <w:marRight w:val="0"/>
      <w:marTop w:val="0"/>
      <w:marBottom w:val="0"/>
      <w:divBdr>
        <w:top w:val="none" w:sz="0" w:space="0" w:color="auto"/>
        <w:left w:val="none" w:sz="0" w:space="0" w:color="auto"/>
        <w:bottom w:val="none" w:sz="0" w:space="0" w:color="auto"/>
        <w:right w:val="none" w:sz="0" w:space="0" w:color="auto"/>
      </w:divBdr>
    </w:div>
    <w:div w:id="680279096">
      <w:bodyDiv w:val="1"/>
      <w:marLeft w:val="0"/>
      <w:marRight w:val="0"/>
      <w:marTop w:val="0"/>
      <w:marBottom w:val="0"/>
      <w:divBdr>
        <w:top w:val="none" w:sz="0" w:space="0" w:color="auto"/>
        <w:left w:val="none" w:sz="0" w:space="0" w:color="auto"/>
        <w:bottom w:val="none" w:sz="0" w:space="0" w:color="auto"/>
        <w:right w:val="none" w:sz="0" w:space="0" w:color="auto"/>
      </w:divBdr>
    </w:div>
    <w:div w:id="683046462">
      <w:bodyDiv w:val="1"/>
      <w:marLeft w:val="0"/>
      <w:marRight w:val="0"/>
      <w:marTop w:val="0"/>
      <w:marBottom w:val="0"/>
      <w:divBdr>
        <w:top w:val="none" w:sz="0" w:space="0" w:color="auto"/>
        <w:left w:val="none" w:sz="0" w:space="0" w:color="auto"/>
        <w:bottom w:val="none" w:sz="0" w:space="0" w:color="auto"/>
        <w:right w:val="none" w:sz="0" w:space="0" w:color="auto"/>
      </w:divBdr>
    </w:div>
    <w:div w:id="684402307">
      <w:bodyDiv w:val="1"/>
      <w:marLeft w:val="0"/>
      <w:marRight w:val="0"/>
      <w:marTop w:val="0"/>
      <w:marBottom w:val="0"/>
      <w:divBdr>
        <w:top w:val="none" w:sz="0" w:space="0" w:color="auto"/>
        <w:left w:val="none" w:sz="0" w:space="0" w:color="auto"/>
        <w:bottom w:val="none" w:sz="0" w:space="0" w:color="auto"/>
        <w:right w:val="none" w:sz="0" w:space="0" w:color="auto"/>
      </w:divBdr>
    </w:div>
    <w:div w:id="685522337">
      <w:bodyDiv w:val="1"/>
      <w:marLeft w:val="0"/>
      <w:marRight w:val="0"/>
      <w:marTop w:val="0"/>
      <w:marBottom w:val="0"/>
      <w:divBdr>
        <w:top w:val="none" w:sz="0" w:space="0" w:color="auto"/>
        <w:left w:val="none" w:sz="0" w:space="0" w:color="auto"/>
        <w:bottom w:val="none" w:sz="0" w:space="0" w:color="auto"/>
        <w:right w:val="none" w:sz="0" w:space="0" w:color="auto"/>
      </w:divBdr>
    </w:div>
    <w:div w:id="685712363">
      <w:bodyDiv w:val="1"/>
      <w:marLeft w:val="0"/>
      <w:marRight w:val="0"/>
      <w:marTop w:val="0"/>
      <w:marBottom w:val="0"/>
      <w:divBdr>
        <w:top w:val="none" w:sz="0" w:space="0" w:color="auto"/>
        <w:left w:val="none" w:sz="0" w:space="0" w:color="auto"/>
        <w:bottom w:val="none" w:sz="0" w:space="0" w:color="auto"/>
        <w:right w:val="none" w:sz="0" w:space="0" w:color="auto"/>
      </w:divBdr>
    </w:div>
    <w:div w:id="687367331">
      <w:bodyDiv w:val="1"/>
      <w:marLeft w:val="0"/>
      <w:marRight w:val="0"/>
      <w:marTop w:val="0"/>
      <w:marBottom w:val="0"/>
      <w:divBdr>
        <w:top w:val="none" w:sz="0" w:space="0" w:color="auto"/>
        <w:left w:val="none" w:sz="0" w:space="0" w:color="auto"/>
        <w:bottom w:val="none" w:sz="0" w:space="0" w:color="auto"/>
        <w:right w:val="none" w:sz="0" w:space="0" w:color="auto"/>
      </w:divBdr>
    </w:div>
    <w:div w:id="687558087">
      <w:bodyDiv w:val="1"/>
      <w:marLeft w:val="0"/>
      <w:marRight w:val="0"/>
      <w:marTop w:val="0"/>
      <w:marBottom w:val="0"/>
      <w:divBdr>
        <w:top w:val="none" w:sz="0" w:space="0" w:color="auto"/>
        <w:left w:val="none" w:sz="0" w:space="0" w:color="auto"/>
        <w:bottom w:val="none" w:sz="0" w:space="0" w:color="auto"/>
        <w:right w:val="none" w:sz="0" w:space="0" w:color="auto"/>
      </w:divBdr>
    </w:div>
    <w:div w:id="688027656">
      <w:bodyDiv w:val="1"/>
      <w:marLeft w:val="0"/>
      <w:marRight w:val="0"/>
      <w:marTop w:val="0"/>
      <w:marBottom w:val="0"/>
      <w:divBdr>
        <w:top w:val="none" w:sz="0" w:space="0" w:color="auto"/>
        <w:left w:val="none" w:sz="0" w:space="0" w:color="auto"/>
        <w:bottom w:val="none" w:sz="0" w:space="0" w:color="auto"/>
        <w:right w:val="none" w:sz="0" w:space="0" w:color="auto"/>
      </w:divBdr>
    </w:div>
    <w:div w:id="689646238">
      <w:bodyDiv w:val="1"/>
      <w:marLeft w:val="0"/>
      <w:marRight w:val="0"/>
      <w:marTop w:val="0"/>
      <w:marBottom w:val="0"/>
      <w:divBdr>
        <w:top w:val="none" w:sz="0" w:space="0" w:color="auto"/>
        <w:left w:val="none" w:sz="0" w:space="0" w:color="auto"/>
        <w:bottom w:val="none" w:sz="0" w:space="0" w:color="auto"/>
        <w:right w:val="none" w:sz="0" w:space="0" w:color="auto"/>
      </w:divBdr>
    </w:div>
    <w:div w:id="689987597">
      <w:bodyDiv w:val="1"/>
      <w:marLeft w:val="0"/>
      <w:marRight w:val="0"/>
      <w:marTop w:val="0"/>
      <w:marBottom w:val="0"/>
      <w:divBdr>
        <w:top w:val="none" w:sz="0" w:space="0" w:color="auto"/>
        <w:left w:val="none" w:sz="0" w:space="0" w:color="auto"/>
        <w:bottom w:val="none" w:sz="0" w:space="0" w:color="auto"/>
        <w:right w:val="none" w:sz="0" w:space="0" w:color="auto"/>
      </w:divBdr>
    </w:div>
    <w:div w:id="692729886">
      <w:bodyDiv w:val="1"/>
      <w:marLeft w:val="0"/>
      <w:marRight w:val="0"/>
      <w:marTop w:val="0"/>
      <w:marBottom w:val="0"/>
      <w:divBdr>
        <w:top w:val="none" w:sz="0" w:space="0" w:color="auto"/>
        <w:left w:val="none" w:sz="0" w:space="0" w:color="auto"/>
        <w:bottom w:val="none" w:sz="0" w:space="0" w:color="auto"/>
        <w:right w:val="none" w:sz="0" w:space="0" w:color="auto"/>
      </w:divBdr>
    </w:div>
    <w:div w:id="695931607">
      <w:bodyDiv w:val="1"/>
      <w:marLeft w:val="0"/>
      <w:marRight w:val="0"/>
      <w:marTop w:val="0"/>
      <w:marBottom w:val="0"/>
      <w:divBdr>
        <w:top w:val="none" w:sz="0" w:space="0" w:color="auto"/>
        <w:left w:val="none" w:sz="0" w:space="0" w:color="auto"/>
        <w:bottom w:val="none" w:sz="0" w:space="0" w:color="auto"/>
        <w:right w:val="none" w:sz="0" w:space="0" w:color="auto"/>
      </w:divBdr>
    </w:div>
    <w:div w:id="697311633">
      <w:bodyDiv w:val="1"/>
      <w:marLeft w:val="0"/>
      <w:marRight w:val="0"/>
      <w:marTop w:val="0"/>
      <w:marBottom w:val="0"/>
      <w:divBdr>
        <w:top w:val="none" w:sz="0" w:space="0" w:color="auto"/>
        <w:left w:val="none" w:sz="0" w:space="0" w:color="auto"/>
        <w:bottom w:val="none" w:sz="0" w:space="0" w:color="auto"/>
        <w:right w:val="none" w:sz="0" w:space="0" w:color="auto"/>
      </w:divBdr>
    </w:div>
    <w:div w:id="697436054">
      <w:bodyDiv w:val="1"/>
      <w:marLeft w:val="0"/>
      <w:marRight w:val="0"/>
      <w:marTop w:val="0"/>
      <w:marBottom w:val="0"/>
      <w:divBdr>
        <w:top w:val="none" w:sz="0" w:space="0" w:color="auto"/>
        <w:left w:val="none" w:sz="0" w:space="0" w:color="auto"/>
        <w:bottom w:val="none" w:sz="0" w:space="0" w:color="auto"/>
        <w:right w:val="none" w:sz="0" w:space="0" w:color="auto"/>
      </w:divBdr>
    </w:div>
    <w:div w:id="701905174">
      <w:bodyDiv w:val="1"/>
      <w:marLeft w:val="0"/>
      <w:marRight w:val="0"/>
      <w:marTop w:val="0"/>
      <w:marBottom w:val="0"/>
      <w:divBdr>
        <w:top w:val="none" w:sz="0" w:space="0" w:color="auto"/>
        <w:left w:val="none" w:sz="0" w:space="0" w:color="auto"/>
        <w:bottom w:val="none" w:sz="0" w:space="0" w:color="auto"/>
        <w:right w:val="none" w:sz="0" w:space="0" w:color="auto"/>
      </w:divBdr>
    </w:div>
    <w:div w:id="702947932">
      <w:bodyDiv w:val="1"/>
      <w:marLeft w:val="0"/>
      <w:marRight w:val="0"/>
      <w:marTop w:val="0"/>
      <w:marBottom w:val="0"/>
      <w:divBdr>
        <w:top w:val="none" w:sz="0" w:space="0" w:color="auto"/>
        <w:left w:val="none" w:sz="0" w:space="0" w:color="auto"/>
        <w:bottom w:val="none" w:sz="0" w:space="0" w:color="auto"/>
        <w:right w:val="none" w:sz="0" w:space="0" w:color="auto"/>
      </w:divBdr>
    </w:div>
    <w:div w:id="704208624">
      <w:bodyDiv w:val="1"/>
      <w:marLeft w:val="0"/>
      <w:marRight w:val="0"/>
      <w:marTop w:val="0"/>
      <w:marBottom w:val="0"/>
      <w:divBdr>
        <w:top w:val="none" w:sz="0" w:space="0" w:color="auto"/>
        <w:left w:val="none" w:sz="0" w:space="0" w:color="auto"/>
        <w:bottom w:val="none" w:sz="0" w:space="0" w:color="auto"/>
        <w:right w:val="none" w:sz="0" w:space="0" w:color="auto"/>
      </w:divBdr>
    </w:div>
    <w:div w:id="712652353">
      <w:bodyDiv w:val="1"/>
      <w:marLeft w:val="0"/>
      <w:marRight w:val="0"/>
      <w:marTop w:val="0"/>
      <w:marBottom w:val="0"/>
      <w:divBdr>
        <w:top w:val="none" w:sz="0" w:space="0" w:color="auto"/>
        <w:left w:val="none" w:sz="0" w:space="0" w:color="auto"/>
        <w:bottom w:val="none" w:sz="0" w:space="0" w:color="auto"/>
        <w:right w:val="none" w:sz="0" w:space="0" w:color="auto"/>
      </w:divBdr>
    </w:div>
    <w:div w:id="713239319">
      <w:bodyDiv w:val="1"/>
      <w:marLeft w:val="0"/>
      <w:marRight w:val="0"/>
      <w:marTop w:val="0"/>
      <w:marBottom w:val="0"/>
      <w:divBdr>
        <w:top w:val="none" w:sz="0" w:space="0" w:color="auto"/>
        <w:left w:val="none" w:sz="0" w:space="0" w:color="auto"/>
        <w:bottom w:val="none" w:sz="0" w:space="0" w:color="auto"/>
        <w:right w:val="none" w:sz="0" w:space="0" w:color="auto"/>
      </w:divBdr>
      <w:divsChild>
        <w:div w:id="51388302">
          <w:marLeft w:val="0"/>
          <w:marRight w:val="0"/>
          <w:marTop w:val="0"/>
          <w:marBottom w:val="0"/>
          <w:divBdr>
            <w:top w:val="none" w:sz="0" w:space="0" w:color="auto"/>
            <w:left w:val="none" w:sz="0" w:space="0" w:color="auto"/>
            <w:bottom w:val="none" w:sz="0" w:space="0" w:color="auto"/>
            <w:right w:val="none" w:sz="0" w:space="0" w:color="auto"/>
          </w:divBdr>
          <w:divsChild>
            <w:div w:id="479470154">
              <w:marLeft w:val="0"/>
              <w:marRight w:val="0"/>
              <w:marTop w:val="0"/>
              <w:marBottom w:val="0"/>
              <w:divBdr>
                <w:top w:val="none" w:sz="0" w:space="0" w:color="auto"/>
                <w:left w:val="none" w:sz="0" w:space="0" w:color="auto"/>
                <w:bottom w:val="none" w:sz="0" w:space="0" w:color="auto"/>
                <w:right w:val="none" w:sz="0" w:space="0" w:color="auto"/>
              </w:divBdr>
              <w:divsChild>
                <w:div w:id="757366303">
                  <w:marLeft w:val="-300"/>
                  <w:marRight w:val="-300"/>
                  <w:marTop w:val="0"/>
                  <w:marBottom w:val="0"/>
                  <w:divBdr>
                    <w:top w:val="none" w:sz="0" w:space="0" w:color="auto"/>
                    <w:left w:val="none" w:sz="0" w:space="0" w:color="auto"/>
                    <w:bottom w:val="none" w:sz="0" w:space="0" w:color="auto"/>
                    <w:right w:val="none" w:sz="0" w:space="0" w:color="auto"/>
                  </w:divBdr>
                  <w:divsChild>
                    <w:div w:id="1973320380">
                      <w:marLeft w:val="0"/>
                      <w:marRight w:val="0"/>
                      <w:marTop w:val="0"/>
                      <w:marBottom w:val="0"/>
                      <w:divBdr>
                        <w:top w:val="none" w:sz="0" w:space="0" w:color="auto"/>
                        <w:left w:val="none" w:sz="0" w:space="0" w:color="auto"/>
                        <w:bottom w:val="none" w:sz="0" w:space="0" w:color="auto"/>
                        <w:right w:val="none" w:sz="0" w:space="0" w:color="auto"/>
                      </w:divBdr>
                      <w:divsChild>
                        <w:div w:id="312880765">
                          <w:marLeft w:val="0"/>
                          <w:marRight w:val="0"/>
                          <w:marTop w:val="0"/>
                          <w:marBottom w:val="0"/>
                          <w:divBdr>
                            <w:top w:val="none" w:sz="0" w:space="0" w:color="auto"/>
                            <w:left w:val="none" w:sz="0" w:space="0" w:color="auto"/>
                            <w:bottom w:val="none" w:sz="0" w:space="0" w:color="auto"/>
                            <w:right w:val="none" w:sz="0" w:space="0" w:color="auto"/>
                          </w:divBdr>
                          <w:divsChild>
                            <w:div w:id="794374349">
                              <w:marLeft w:val="0"/>
                              <w:marRight w:val="0"/>
                              <w:marTop w:val="0"/>
                              <w:marBottom w:val="200"/>
                              <w:divBdr>
                                <w:top w:val="none" w:sz="0" w:space="0" w:color="auto"/>
                                <w:left w:val="none" w:sz="0" w:space="0" w:color="auto"/>
                                <w:bottom w:val="none" w:sz="0" w:space="0" w:color="auto"/>
                                <w:right w:val="none" w:sz="0" w:space="0" w:color="auto"/>
                              </w:divBdr>
                            </w:div>
                            <w:div w:id="851575732">
                              <w:marLeft w:val="0"/>
                              <w:marRight w:val="0"/>
                              <w:marTop w:val="0"/>
                              <w:marBottom w:val="200"/>
                              <w:divBdr>
                                <w:top w:val="none" w:sz="0" w:space="0" w:color="auto"/>
                                <w:left w:val="none" w:sz="0" w:space="0" w:color="auto"/>
                                <w:bottom w:val="none" w:sz="0" w:space="0" w:color="auto"/>
                                <w:right w:val="none" w:sz="0" w:space="0" w:color="auto"/>
                              </w:divBdr>
                            </w:div>
                            <w:div w:id="103469202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159103">
      <w:bodyDiv w:val="1"/>
      <w:marLeft w:val="0"/>
      <w:marRight w:val="0"/>
      <w:marTop w:val="0"/>
      <w:marBottom w:val="0"/>
      <w:divBdr>
        <w:top w:val="none" w:sz="0" w:space="0" w:color="auto"/>
        <w:left w:val="none" w:sz="0" w:space="0" w:color="auto"/>
        <w:bottom w:val="none" w:sz="0" w:space="0" w:color="auto"/>
        <w:right w:val="none" w:sz="0" w:space="0" w:color="auto"/>
      </w:divBdr>
    </w:div>
    <w:div w:id="714890770">
      <w:bodyDiv w:val="1"/>
      <w:marLeft w:val="0"/>
      <w:marRight w:val="0"/>
      <w:marTop w:val="0"/>
      <w:marBottom w:val="0"/>
      <w:divBdr>
        <w:top w:val="none" w:sz="0" w:space="0" w:color="auto"/>
        <w:left w:val="none" w:sz="0" w:space="0" w:color="auto"/>
        <w:bottom w:val="none" w:sz="0" w:space="0" w:color="auto"/>
        <w:right w:val="none" w:sz="0" w:space="0" w:color="auto"/>
      </w:divBdr>
    </w:div>
    <w:div w:id="715398488">
      <w:bodyDiv w:val="1"/>
      <w:marLeft w:val="0"/>
      <w:marRight w:val="0"/>
      <w:marTop w:val="0"/>
      <w:marBottom w:val="0"/>
      <w:divBdr>
        <w:top w:val="none" w:sz="0" w:space="0" w:color="auto"/>
        <w:left w:val="none" w:sz="0" w:space="0" w:color="auto"/>
        <w:bottom w:val="none" w:sz="0" w:space="0" w:color="auto"/>
        <w:right w:val="none" w:sz="0" w:space="0" w:color="auto"/>
      </w:divBdr>
    </w:div>
    <w:div w:id="719016077">
      <w:bodyDiv w:val="1"/>
      <w:marLeft w:val="0"/>
      <w:marRight w:val="0"/>
      <w:marTop w:val="0"/>
      <w:marBottom w:val="0"/>
      <w:divBdr>
        <w:top w:val="none" w:sz="0" w:space="0" w:color="auto"/>
        <w:left w:val="none" w:sz="0" w:space="0" w:color="auto"/>
        <w:bottom w:val="none" w:sz="0" w:space="0" w:color="auto"/>
        <w:right w:val="none" w:sz="0" w:space="0" w:color="auto"/>
      </w:divBdr>
    </w:div>
    <w:div w:id="719478651">
      <w:bodyDiv w:val="1"/>
      <w:marLeft w:val="0"/>
      <w:marRight w:val="0"/>
      <w:marTop w:val="0"/>
      <w:marBottom w:val="0"/>
      <w:divBdr>
        <w:top w:val="none" w:sz="0" w:space="0" w:color="auto"/>
        <w:left w:val="none" w:sz="0" w:space="0" w:color="auto"/>
        <w:bottom w:val="none" w:sz="0" w:space="0" w:color="auto"/>
        <w:right w:val="none" w:sz="0" w:space="0" w:color="auto"/>
      </w:divBdr>
    </w:div>
    <w:div w:id="719592078">
      <w:bodyDiv w:val="1"/>
      <w:marLeft w:val="0"/>
      <w:marRight w:val="0"/>
      <w:marTop w:val="0"/>
      <w:marBottom w:val="0"/>
      <w:divBdr>
        <w:top w:val="none" w:sz="0" w:space="0" w:color="auto"/>
        <w:left w:val="none" w:sz="0" w:space="0" w:color="auto"/>
        <w:bottom w:val="none" w:sz="0" w:space="0" w:color="auto"/>
        <w:right w:val="none" w:sz="0" w:space="0" w:color="auto"/>
      </w:divBdr>
    </w:div>
    <w:div w:id="720788948">
      <w:bodyDiv w:val="1"/>
      <w:marLeft w:val="0"/>
      <w:marRight w:val="0"/>
      <w:marTop w:val="0"/>
      <w:marBottom w:val="0"/>
      <w:divBdr>
        <w:top w:val="none" w:sz="0" w:space="0" w:color="auto"/>
        <w:left w:val="none" w:sz="0" w:space="0" w:color="auto"/>
        <w:bottom w:val="none" w:sz="0" w:space="0" w:color="auto"/>
        <w:right w:val="none" w:sz="0" w:space="0" w:color="auto"/>
      </w:divBdr>
    </w:div>
    <w:div w:id="721516886">
      <w:bodyDiv w:val="1"/>
      <w:marLeft w:val="0"/>
      <w:marRight w:val="0"/>
      <w:marTop w:val="0"/>
      <w:marBottom w:val="0"/>
      <w:divBdr>
        <w:top w:val="none" w:sz="0" w:space="0" w:color="auto"/>
        <w:left w:val="none" w:sz="0" w:space="0" w:color="auto"/>
        <w:bottom w:val="none" w:sz="0" w:space="0" w:color="auto"/>
        <w:right w:val="none" w:sz="0" w:space="0" w:color="auto"/>
      </w:divBdr>
    </w:div>
    <w:div w:id="722411930">
      <w:bodyDiv w:val="1"/>
      <w:marLeft w:val="0"/>
      <w:marRight w:val="0"/>
      <w:marTop w:val="0"/>
      <w:marBottom w:val="0"/>
      <w:divBdr>
        <w:top w:val="none" w:sz="0" w:space="0" w:color="auto"/>
        <w:left w:val="none" w:sz="0" w:space="0" w:color="auto"/>
        <w:bottom w:val="none" w:sz="0" w:space="0" w:color="auto"/>
        <w:right w:val="none" w:sz="0" w:space="0" w:color="auto"/>
      </w:divBdr>
    </w:div>
    <w:div w:id="722482474">
      <w:bodyDiv w:val="1"/>
      <w:marLeft w:val="0"/>
      <w:marRight w:val="0"/>
      <w:marTop w:val="0"/>
      <w:marBottom w:val="0"/>
      <w:divBdr>
        <w:top w:val="none" w:sz="0" w:space="0" w:color="auto"/>
        <w:left w:val="none" w:sz="0" w:space="0" w:color="auto"/>
        <w:bottom w:val="none" w:sz="0" w:space="0" w:color="auto"/>
        <w:right w:val="none" w:sz="0" w:space="0" w:color="auto"/>
      </w:divBdr>
    </w:div>
    <w:div w:id="722798456">
      <w:bodyDiv w:val="1"/>
      <w:marLeft w:val="0"/>
      <w:marRight w:val="0"/>
      <w:marTop w:val="0"/>
      <w:marBottom w:val="0"/>
      <w:divBdr>
        <w:top w:val="none" w:sz="0" w:space="0" w:color="auto"/>
        <w:left w:val="none" w:sz="0" w:space="0" w:color="auto"/>
        <w:bottom w:val="none" w:sz="0" w:space="0" w:color="auto"/>
        <w:right w:val="none" w:sz="0" w:space="0" w:color="auto"/>
      </w:divBdr>
    </w:div>
    <w:div w:id="724067356">
      <w:bodyDiv w:val="1"/>
      <w:marLeft w:val="0"/>
      <w:marRight w:val="0"/>
      <w:marTop w:val="0"/>
      <w:marBottom w:val="0"/>
      <w:divBdr>
        <w:top w:val="none" w:sz="0" w:space="0" w:color="auto"/>
        <w:left w:val="none" w:sz="0" w:space="0" w:color="auto"/>
        <w:bottom w:val="none" w:sz="0" w:space="0" w:color="auto"/>
        <w:right w:val="none" w:sz="0" w:space="0" w:color="auto"/>
      </w:divBdr>
    </w:div>
    <w:div w:id="724525411">
      <w:bodyDiv w:val="1"/>
      <w:marLeft w:val="0"/>
      <w:marRight w:val="0"/>
      <w:marTop w:val="0"/>
      <w:marBottom w:val="0"/>
      <w:divBdr>
        <w:top w:val="none" w:sz="0" w:space="0" w:color="auto"/>
        <w:left w:val="none" w:sz="0" w:space="0" w:color="auto"/>
        <w:bottom w:val="none" w:sz="0" w:space="0" w:color="auto"/>
        <w:right w:val="none" w:sz="0" w:space="0" w:color="auto"/>
      </w:divBdr>
    </w:div>
    <w:div w:id="724837108">
      <w:bodyDiv w:val="1"/>
      <w:marLeft w:val="0"/>
      <w:marRight w:val="0"/>
      <w:marTop w:val="0"/>
      <w:marBottom w:val="0"/>
      <w:divBdr>
        <w:top w:val="none" w:sz="0" w:space="0" w:color="auto"/>
        <w:left w:val="none" w:sz="0" w:space="0" w:color="auto"/>
        <w:bottom w:val="none" w:sz="0" w:space="0" w:color="auto"/>
        <w:right w:val="none" w:sz="0" w:space="0" w:color="auto"/>
      </w:divBdr>
    </w:div>
    <w:div w:id="726759097">
      <w:bodyDiv w:val="1"/>
      <w:marLeft w:val="0"/>
      <w:marRight w:val="0"/>
      <w:marTop w:val="0"/>
      <w:marBottom w:val="0"/>
      <w:divBdr>
        <w:top w:val="none" w:sz="0" w:space="0" w:color="auto"/>
        <w:left w:val="none" w:sz="0" w:space="0" w:color="auto"/>
        <w:bottom w:val="none" w:sz="0" w:space="0" w:color="auto"/>
        <w:right w:val="none" w:sz="0" w:space="0" w:color="auto"/>
      </w:divBdr>
    </w:div>
    <w:div w:id="730612969">
      <w:bodyDiv w:val="1"/>
      <w:marLeft w:val="0"/>
      <w:marRight w:val="0"/>
      <w:marTop w:val="0"/>
      <w:marBottom w:val="0"/>
      <w:divBdr>
        <w:top w:val="none" w:sz="0" w:space="0" w:color="auto"/>
        <w:left w:val="none" w:sz="0" w:space="0" w:color="auto"/>
        <w:bottom w:val="none" w:sz="0" w:space="0" w:color="auto"/>
        <w:right w:val="none" w:sz="0" w:space="0" w:color="auto"/>
      </w:divBdr>
    </w:div>
    <w:div w:id="731122862">
      <w:bodyDiv w:val="1"/>
      <w:marLeft w:val="0"/>
      <w:marRight w:val="0"/>
      <w:marTop w:val="0"/>
      <w:marBottom w:val="0"/>
      <w:divBdr>
        <w:top w:val="none" w:sz="0" w:space="0" w:color="auto"/>
        <w:left w:val="none" w:sz="0" w:space="0" w:color="auto"/>
        <w:bottom w:val="none" w:sz="0" w:space="0" w:color="auto"/>
        <w:right w:val="none" w:sz="0" w:space="0" w:color="auto"/>
      </w:divBdr>
    </w:div>
    <w:div w:id="731348436">
      <w:bodyDiv w:val="1"/>
      <w:marLeft w:val="0"/>
      <w:marRight w:val="0"/>
      <w:marTop w:val="0"/>
      <w:marBottom w:val="0"/>
      <w:divBdr>
        <w:top w:val="none" w:sz="0" w:space="0" w:color="auto"/>
        <w:left w:val="none" w:sz="0" w:space="0" w:color="auto"/>
        <w:bottom w:val="none" w:sz="0" w:space="0" w:color="auto"/>
        <w:right w:val="none" w:sz="0" w:space="0" w:color="auto"/>
      </w:divBdr>
      <w:divsChild>
        <w:div w:id="1100371318">
          <w:marLeft w:val="0"/>
          <w:marRight w:val="0"/>
          <w:marTop w:val="0"/>
          <w:marBottom w:val="0"/>
          <w:divBdr>
            <w:top w:val="none" w:sz="0" w:space="0" w:color="auto"/>
            <w:left w:val="none" w:sz="0" w:space="0" w:color="auto"/>
            <w:bottom w:val="none" w:sz="0" w:space="0" w:color="auto"/>
            <w:right w:val="none" w:sz="0" w:space="0" w:color="auto"/>
          </w:divBdr>
          <w:divsChild>
            <w:div w:id="286471267">
              <w:marLeft w:val="0"/>
              <w:marRight w:val="0"/>
              <w:marTop w:val="0"/>
              <w:marBottom w:val="0"/>
              <w:divBdr>
                <w:top w:val="none" w:sz="0" w:space="0" w:color="auto"/>
                <w:left w:val="none" w:sz="0" w:space="0" w:color="auto"/>
                <w:bottom w:val="none" w:sz="0" w:space="0" w:color="auto"/>
                <w:right w:val="none" w:sz="0" w:space="0" w:color="auto"/>
              </w:divBdr>
            </w:div>
          </w:divsChild>
        </w:div>
        <w:div w:id="1365910715">
          <w:marLeft w:val="0"/>
          <w:marRight w:val="0"/>
          <w:marTop w:val="0"/>
          <w:marBottom w:val="0"/>
          <w:divBdr>
            <w:top w:val="none" w:sz="0" w:space="0" w:color="auto"/>
            <w:left w:val="none" w:sz="0" w:space="0" w:color="auto"/>
            <w:bottom w:val="none" w:sz="0" w:space="0" w:color="auto"/>
            <w:right w:val="none" w:sz="0" w:space="0" w:color="auto"/>
          </w:divBdr>
        </w:div>
        <w:div w:id="1670523613">
          <w:marLeft w:val="0"/>
          <w:marRight w:val="0"/>
          <w:marTop w:val="0"/>
          <w:marBottom w:val="0"/>
          <w:divBdr>
            <w:top w:val="none" w:sz="0" w:space="0" w:color="auto"/>
            <w:left w:val="none" w:sz="0" w:space="0" w:color="auto"/>
            <w:bottom w:val="none" w:sz="0" w:space="0" w:color="auto"/>
            <w:right w:val="none" w:sz="0" w:space="0" w:color="auto"/>
          </w:divBdr>
          <w:divsChild>
            <w:div w:id="286392329">
              <w:marLeft w:val="0"/>
              <w:marRight w:val="0"/>
              <w:marTop w:val="0"/>
              <w:marBottom w:val="0"/>
              <w:divBdr>
                <w:top w:val="none" w:sz="0" w:space="0" w:color="auto"/>
                <w:left w:val="none" w:sz="0" w:space="0" w:color="auto"/>
                <w:bottom w:val="none" w:sz="0" w:space="0" w:color="auto"/>
                <w:right w:val="none" w:sz="0" w:space="0" w:color="auto"/>
              </w:divBdr>
            </w:div>
            <w:div w:id="446240888">
              <w:marLeft w:val="0"/>
              <w:marRight w:val="0"/>
              <w:marTop w:val="0"/>
              <w:marBottom w:val="0"/>
              <w:divBdr>
                <w:top w:val="none" w:sz="0" w:space="0" w:color="auto"/>
                <w:left w:val="none" w:sz="0" w:space="0" w:color="auto"/>
                <w:bottom w:val="none" w:sz="0" w:space="0" w:color="auto"/>
                <w:right w:val="none" w:sz="0" w:space="0" w:color="auto"/>
              </w:divBdr>
            </w:div>
            <w:div w:id="9937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896">
      <w:bodyDiv w:val="1"/>
      <w:marLeft w:val="0"/>
      <w:marRight w:val="0"/>
      <w:marTop w:val="0"/>
      <w:marBottom w:val="0"/>
      <w:divBdr>
        <w:top w:val="none" w:sz="0" w:space="0" w:color="auto"/>
        <w:left w:val="none" w:sz="0" w:space="0" w:color="auto"/>
        <w:bottom w:val="none" w:sz="0" w:space="0" w:color="auto"/>
        <w:right w:val="none" w:sz="0" w:space="0" w:color="auto"/>
      </w:divBdr>
    </w:div>
    <w:div w:id="735935841">
      <w:bodyDiv w:val="1"/>
      <w:marLeft w:val="0"/>
      <w:marRight w:val="0"/>
      <w:marTop w:val="0"/>
      <w:marBottom w:val="0"/>
      <w:divBdr>
        <w:top w:val="none" w:sz="0" w:space="0" w:color="auto"/>
        <w:left w:val="none" w:sz="0" w:space="0" w:color="auto"/>
        <w:bottom w:val="none" w:sz="0" w:space="0" w:color="auto"/>
        <w:right w:val="none" w:sz="0" w:space="0" w:color="auto"/>
      </w:divBdr>
    </w:div>
    <w:div w:id="736324665">
      <w:bodyDiv w:val="1"/>
      <w:marLeft w:val="0"/>
      <w:marRight w:val="0"/>
      <w:marTop w:val="0"/>
      <w:marBottom w:val="0"/>
      <w:divBdr>
        <w:top w:val="none" w:sz="0" w:space="0" w:color="auto"/>
        <w:left w:val="none" w:sz="0" w:space="0" w:color="auto"/>
        <w:bottom w:val="none" w:sz="0" w:space="0" w:color="auto"/>
        <w:right w:val="none" w:sz="0" w:space="0" w:color="auto"/>
      </w:divBdr>
    </w:div>
    <w:div w:id="736902966">
      <w:bodyDiv w:val="1"/>
      <w:marLeft w:val="0"/>
      <w:marRight w:val="0"/>
      <w:marTop w:val="0"/>
      <w:marBottom w:val="0"/>
      <w:divBdr>
        <w:top w:val="none" w:sz="0" w:space="0" w:color="auto"/>
        <w:left w:val="none" w:sz="0" w:space="0" w:color="auto"/>
        <w:bottom w:val="none" w:sz="0" w:space="0" w:color="auto"/>
        <w:right w:val="none" w:sz="0" w:space="0" w:color="auto"/>
      </w:divBdr>
    </w:div>
    <w:div w:id="737938667">
      <w:bodyDiv w:val="1"/>
      <w:marLeft w:val="0"/>
      <w:marRight w:val="0"/>
      <w:marTop w:val="0"/>
      <w:marBottom w:val="0"/>
      <w:divBdr>
        <w:top w:val="none" w:sz="0" w:space="0" w:color="auto"/>
        <w:left w:val="none" w:sz="0" w:space="0" w:color="auto"/>
        <w:bottom w:val="none" w:sz="0" w:space="0" w:color="auto"/>
        <w:right w:val="none" w:sz="0" w:space="0" w:color="auto"/>
      </w:divBdr>
    </w:div>
    <w:div w:id="738748549">
      <w:bodyDiv w:val="1"/>
      <w:marLeft w:val="0"/>
      <w:marRight w:val="0"/>
      <w:marTop w:val="0"/>
      <w:marBottom w:val="0"/>
      <w:divBdr>
        <w:top w:val="none" w:sz="0" w:space="0" w:color="auto"/>
        <w:left w:val="none" w:sz="0" w:space="0" w:color="auto"/>
        <w:bottom w:val="none" w:sz="0" w:space="0" w:color="auto"/>
        <w:right w:val="none" w:sz="0" w:space="0" w:color="auto"/>
      </w:divBdr>
    </w:div>
    <w:div w:id="739596510">
      <w:bodyDiv w:val="1"/>
      <w:marLeft w:val="0"/>
      <w:marRight w:val="0"/>
      <w:marTop w:val="0"/>
      <w:marBottom w:val="0"/>
      <w:divBdr>
        <w:top w:val="none" w:sz="0" w:space="0" w:color="auto"/>
        <w:left w:val="none" w:sz="0" w:space="0" w:color="auto"/>
        <w:bottom w:val="none" w:sz="0" w:space="0" w:color="auto"/>
        <w:right w:val="none" w:sz="0" w:space="0" w:color="auto"/>
      </w:divBdr>
    </w:div>
    <w:div w:id="739979373">
      <w:bodyDiv w:val="1"/>
      <w:marLeft w:val="0"/>
      <w:marRight w:val="0"/>
      <w:marTop w:val="0"/>
      <w:marBottom w:val="0"/>
      <w:divBdr>
        <w:top w:val="none" w:sz="0" w:space="0" w:color="auto"/>
        <w:left w:val="none" w:sz="0" w:space="0" w:color="auto"/>
        <w:bottom w:val="none" w:sz="0" w:space="0" w:color="auto"/>
        <w:right w:val="none" w:sz="0" w:space="0" w:color="auto"/>
      </w:divBdr>
    </w:div>
    <w:div w:id="742072273">
      <w:bodyDiv w:val="1"/>
      <w:marLeft w:val="0"/>
      <w:marRight w:val="0"/>
      <w:marTop w:val="0"/>
      <w:marBottom w:val="0"/>
      <w:divBdr>
        <w:top w:val="none" w:sz="0" w:space="0" w:color="auto"/>
        <w:left w:val="none" w:sz="0" w:space="0" w:color="auto"/>
        <w:bottom w:val="none" w:sz="0" w:space="0" w:color="auto"/>
        <w:right w:val="none" w:sz="0" w:space="0" w:color="auto"/>
      </w:divBdr>
    </w:div>
    <w:div w:id="742147197">
      <w:bodyDiv w:val="1"/>
      <w:marLeft w:val="0"/>
      <w:marRight w:val="0"/>
      <w:marTop w:val="0"/>
      <w:marBottom w:val="0"/>
      <w:divBdr>
        <w:top w:val="none" w:sz="0" w:space="0" w:color="auto"/>
        <w:left w:val="none" w:sz="0" w:space="0" w:color="auto"/>
        <w:bottom w:val="none" w:sz="0" w:space="0" w:color="auto"/>
        <w:right w:val="none" w:sz="0" w:space="0" w:color="auto"/>
      </w:divBdr>
    </w:div>
    <w:div w:id="742608642">
      <w:bodyDiv w:val="1"/>
      <w:marLeft w:val="0"/>
      <w:marRight w:val="0"/>
      <w:marTop w:val="0"/>
      <w:marBottom w:val="0"/>
      <w:divBdr>
        <w:top w:val="none" w:sz="0" w:space="0" w:color="auto"/>
        <w:left w:val="none" w:sz="0" w:space="0" w:color="auto"/>
        <w:bottom w:val="none" w:sz="0" w:space="0" w:color="auto"/>
        <w:right w:val="none" w:sz="0" w:space="0" w:color="auto"/>
      </w:divBdr>
    </w:div>
    <w:div w:id="743334083">
      <w:bodyDiv w:val="1"/>
      <w:marLeft w:val="0"/>
      <w:marRight w:val="0"/>
      <w:marTop w:val="0"/>
      <w:marBottom w:val="0"/>
      <w:divBdr>
        <w:top w:val="none" w:sz="0" w:space="0" w:color="auto"/>
        <w:left w:val="none" w:sz="0" w:space="0" w:color="auto"/>
        <w:bottom w:val="none" w:sz="0" w:space="0" w:color="auto"/>
        <w:right w:val="none" w:sz="0" w:space="0" w:color="auto"/>
      </w:divBdr>
    </w:div>
    <w:div w:id="745147471">
      <w:bodyDiv w:val="1"/>
      <w:marLeft w:val="0"/>
      <w:marRight w:val="0"/>
      <w:marTop w:val="0"/>
      <w:marBottom w:val="0"/>
      <w:divBdr>
        <w:top w:val="none" w:sz="0" w:space="0" w:color="auto"/>
        <w:left w:val="none" w:sz="0" w:space="0" w:color="auto"/>
        <w:bottom w:val="none" w:sz="0" w:space="0" w:color="auto"/>
        <w:right w:val="none" w:sz="0" w:space="0" w:color="auto"/>
      </w:divBdr>
    </w:div>
    <w:div w:id="745608975">
      <w:bodyDiv w:val="1"/>
      <w:marLeft w:val="0"/>
      <w:marRight w:val="0"/>
      <w:marTop w:val="0"/>
      <w:marBottom w:val="0"/>
      <w:divBdr>
        <w:top w:val="none" w:sz="0" w:space="0" w:color="auto"/>
        <w:left w:val="none" w:sz="0" w:space="0" w:color="auto"/>
        <w:bottom w:val="none" w:sz="0" w:space="0" w:color="auto"/>
        <w:right w:val="none" w:sz="0" w:space="0" w:color="auto"/>
      </w:divBdr>
    </w:div>
    <w:div w:id="746465600">
      <w:bodyDiv w:val="1"/>
      <w:marLeft w:val="0"/>
      <w:marRight w:val="0"/>
      <w:marTop w:val="0"/>
      <w:marBottom w:val="0"/>
      <w:divBdr>
        <w:top w:val="none" w:sz="0" w:space="0" w:color="auto"/>
        <w:left w:val="none" w:sz="0" w:space="0" w:color="auto"/>
        <w:bottom w:val="none" w:sz="0" w:space="0" w:color="auto"/>
        <w:right w:val="none" w:sz="0" w:space="0" w:color="auto"/>
      </w:divBdr>
    </w:div>
    <w:div w:id="747187643">
      <w:bodyDiv w:val="1"/>
      <w:marLeft w:val="0"/>
      <w:marRight w:val="0"/>
      <w:marTop w:val="0"/>
      <w:marBottom w:val="0"/>
      <w:divBdr>
        <w:top w:val="none" w:sz="0" w:space="0" w:color="auto"/>
        <w:left w:val="none" w:sz="0" w:space="0" w:color="auto"/>
        <w:bottom w:val="none" w:sz="0" w:space="0" w:color="auto"/>
        <w:right w:val="none" w:sz="0" w:space="0" w:color="auto"/>
      </w:divBdr>
    </w:div>
    <w:div w:id="747383279">
      <w:bodyDiv w:val="1"/>
      <w:marLeft w:val="0"/>
      <w:marRight w:val="0"/>
      <w:marTop w:val="0"/>
      <w:marBottom w:val="0"/>
      <w:divBdr>
        <w:top w:val="none" w:sz="0" w:space="0" w:color="auto"/>
        <w:left w:val="none" w:sz="0" w:space="0" w:color="auto"/>
        <w:bottom w:val="none" w:sz="0" w:space="0" w:color="auto"/>
        <w:right w:val="none" w:sz="0" w:space="0" w:color="auto"/>
      </w:divBdr>
    </w:div>
    <w:div w:id="748038441">
      <w:bodyDiv w:val="1"/>
      <w:marLeft w:val="0"/>
      <w:marRight w:val="0"/>
      <w:marTop w:val="0"/>
      <w:marBottom w:val="0"/>
      <w:divBdr>
        <w:top w:val="none" w:sz="0" w:space="0" w:color="auto"/>
        <w:left w:val="none" w:sz="0" w:space="0" w:color="auto"/>
        <w:bottom w:val="none" w:sz="0" w:space="0" w:color="auto"/>
        <w:right w:val="none" w:sz="0" w:space="0" w:color="auto"/>
      </w:divBdr>
    </w:div>
    <w:div w:id="750273794">
      <w:bodyDiv w:val="1"/>
      <w:marLeft w:val="0"/>
      <w:marRight w:val="0"/>
      <w:marTop w:val="0"/>
      <w:marBottom w:val="0"/>
      <w:divBdr>
        <w:top w:val="none" w:sz="0" w:space="0" w:color="auto"/>
        <w:left w:val="none" w:sz="0" w:space="0" w:color="auto"/>
        <w:bottom w:val="none" w:sz="0" w:space="0" w:color="auto"/>
        <w:right w:val="none" w:sz="0" w:space="0" w:color="auto"/>
      </w:divBdr>
    </w:div>
    <w:div w:id="751389630">
      <w:bodyDiv w:val="1"/>
      <w:marLeft w:val="0"/>
      <w:marRight w:val="0"/>
      <w:marTop w:val="0"/>
      <w:marBottom w:val="0"/>
      <w:divBdr>
        <w:top w:val="none" w:sz="0" w:space="0" w:color="auto"/>
        <w:left w:val="none" w:sz="0" w:space="0" w:color="auto"/>
        <w:bottom w:val="none" w:sz="0" w:space="0" w:color="auto"/>
        <w:right w:val="none" w:sz="0" w:space="0" w:color="auto"/>
      </w:divBdr>
    </w:div>
    <w:div w:id="751704481">
      <w:bodyDiv w:val="1"/>
      <w:marLeft w:val="0"/>
      <w:marRight w:val="0"/>
      <w:marTop w:val="0"/>
      <w:marBottom w:val="0"/>
      <w:divBdr>
        <w:top w:val="none" w:sz="0" w:space="0" w:color="auto"/>
        <w:left w:val="none" w:sz="0" w:space="0" w:color="auto"/>
        <w:bottom w:val="none" w:sz="0" w:space="0" w:color="auto"/>
        <w:right w:val="none" w:sz="0" w:space="0" w:color="auto"/>
      </w:divBdr>
    </w:div>
    <w:div w:id="753674052">
      <w:bodyDiv w:val="1"/>
      <w:marLeft w:val="0"/>
      <w:marRight w:val="0"/>
      <w:marTop w:val="0"/>
      <w:marBottom w:val="0"/>
      <w:divBdr>
        <w:top w:val="none" w:sz="0" w:space="0" w:color="auto"/>
        <w:left w:val="none" w:sz="0" w:space="0" w:color="auto"/>
        <w:bottom w:val="none" w:sz="0" w:space="0" w:color="auto"/>
        <w:right w:val="none" w:sz="0" w:space="0" w:color="auto"/>
      </w:divBdr>
    </w:div>
    <w:div w:id="754210265">
      <w:bodyDiv w:val="1"/>
      <w:marLeft w:val="0"/>
      <w:marRight w:val="0"/>
      <w:marTop w:val="0"/>
      <w:marBottom w:val="0"/>
      <w:divBdr>
        <w:top w:val="none" w:sz="0" w:space="0" w:color="auto"/>
        <w:left w:val="none" w:sz="0" w:space="0" w:color="auto"/>
        <w:bottom w:val="none" w:sz="0" w:space="0" w:color="auto"/>
        <w:right w:val="none" w:sz="0" w:space="0" w:color="auto"/>
      </w:divBdr>
    </w:div>
    <w:div w:id="754977656">
      <w:bodyDiv w:val="1"/>
      <w:marLeft w:val="0"/>
      <w:marRight w:val="0"/>
      <w:marTop w:val="0"/>
      <w:marBottom w:val="0"/>
      <w:divBdr>
        <w:top w:val="none" w:sz="0" w:space="0" w:color="auto"/>
        <w:left w:val="none" w:sz="0" w:space="0" w:color="auto"/>
        <w:bottom w:val="none" w:sz="0" w:space="0" w:color="auto"/>
        <w:right w:val="none" w:sz="0" w:space="0" w:color="auto"/>
      </w:divBdr>
    </w:div>
    <w:div w:id="755135194">
      <w:bodyDiv w:val="1"/>
      <w:marLeft w:val="0"/>
      <w:marRight w:val="0"/>
      <w:marTop w:val="0"/>
      <w:marBottom w:val="0"/>
      <w:divBdr>
        <w:top w:val="none" w:sz="0" w:space="0" w:color="auto"/>
        <w:left w:val="none" w:sz="0" w:space="0" w:color="auto"/>
        <w:bottom w:val="none" w:sz="0" w:space="0" w:color="auto"/>
        <w:right w:val="none" w:sz="0" w:space="0" w:color="auto"/>
      </w:divBdr>
    </w:div>
    <w:div w:id="757099302">
      <w:bodyDiv w:val="1"/>
      <w:marLeft w:val="0"/>
      <w:marRight w:val="0"/>
      <w:marTop w:val="0"/>
      <w:marBottom w:val="0"/>
      <w:divBdr>
        <w:top w:val="none" w:sz="0" w:space="0" w:color="auto"/>
        <w:left w:val="none" w:sz="0" w:space="0" w:color="auto"/>
        <w:bottom w:val="none" w:sz="0" w:space="0" w:color="auto"/>
        <w:right w:val="none" w:sz="0" w:space="0" w:color="auto"/>
      </w:divBdr>
    </w:div>
    <w:div w:id="757555921">
      <w:bodyDiv w:val="1"/>
      <w:marLeft w:val="0"/>
      <w:marRight w:val="0"/>
      <w:marTop w:val="0"/>
      <w:marBottom w:val="0"/>
      <w:divBdr>
        <w:top w:val="none" w:sz="0" w:space="0" w:color="auto"/>
        <w:left w:val="none" w:sz="0" w:space="0" w:color="auto"/>
        <w:bottom w:val="none" w:sz="0" w:space="0" w:color="auto"/>
        <w:right w:val="none" w:sz="0" w:space="0" w:color="auto"/>
      </w:divBdr>
    </w:div>
    <w:div w:id="758060740">
      <w:bodyDiv w:val="1"/>
      <w:marLeft w:val="0"/>
      <w:marRight w:val="0"/>
      <w:marTop w:val="0"/>
      <w:marBottom w:val="0"/>
      <w:divBdr>
        <w:top w:val="none" w:sz="0" w:space="0" w:color="auto"/>
        <w:left w:val="none" w:sz="0" w:space="0" w:color="auto"/>
        <w:bottom w:val="none" w:sz="0" w:space="0" w:color="auto"/>
        <w:right w:val="none" w:sz="0" w:space="0" w:color="auto"/>
      </w:divBdr>
    </w:div>
    <w:div w:id="759715218">
      <w:bodyDiv w:val="1"/>
      <w:marLeft w:val="0"/>
      <w:marRight w:val="0"/>
      <w:marTop w:val="0"/>
      <w:marBottom w:val="0"/>
      <w:divBdr>
        <w:top w:val="none" w:sz="0" w:space="0" w:color="auto"/>
        <w:left w:val="none" w:sz="0" w:space="0" w:color="auto"/>
        <w:bottom w:val="none" w:sz="0" w:space="0" w:color="auto"/>
        <w:right w:val="none" w:sz="0" w:space="0" w:color="auto"/>
      </w:divBdr>
    </w:div>
    <w:div w:id="760024530">
      <w:bodyDiv w:val="1"/>
      <w:marLeft w:val="0"/>
      <w:marRight w:val="0"/>
      <w:marTop w:val="0"/>
      <w:marBottom w:val="0"/>
      <w:divBdr>
        <w:top w:val="none" w:sz="0" w:space="0" w:color="auto"/>
        <w:left w:val="none" w:sz="0" w:space="0" w:color="auto"/>
        <w:bottom w:val="none" w:sz="0" w:space="0" w:color="auto"/>
        <w:right w:val="none" w:sz="0" w:space="0" w:color="auto"/>
      </w:divBdr>
    </w:div>
    <w:div w:id="760292669">
      <w:bodyDiv w:val="1"/>
      <w:marLeft w:val="0"/>
      <w:marRight w:val="0"/>
      <w:marTop w:val="0"/>
      <w:marBottom w:val="0"/>
      <w:divBdr>
        <w:top w:val="none" w:sz="0" w:space="0" w:color="auto"/>
        <w:left w:val="none" w:sz="0" w:space="0" w:color="auto"/>
        <w:bottom w:val="none" w:sz="0" w:space="0" w:color="auto"/>
        <w:right w:val="none" w:sz="0" w:space="0" w:color="auto"/>
      </w:divBdr>
    </w:div>
    <w:div w:id="760295035">
      <w:bodyDiv w:val="1"/>
      <w:marLeft w:val="0"/>
      <w:marRight w:val="0"/>
      <w:marTop w:val="0"/>
      <w:marBottom w:val="0"/>
      <w:divBdr>
        <w:top w:val="none" w:sz="0" w:space="0" w:color="auto"/>
        <w:left w:val="none" w:sz="0" w:space="0" w:color="auto"/>
        <w:bottom w:val="none" w:sz="0" w:space="0" w:color="auto"/>
        <w:right w:val="none" w:sz="0" w:space="0" w:color="auto"/>
      </w:divBdr>
    </w:div>
    <w:div w:id="762072692">
      <w:bodyDiv w:val="1"/>
      <w:marLeft w:val="0"/>
      <w:marRight w:val="0"/>
      <w:marTop w:val="0"/>
      <w:marBottom w:val="0"/>
      <w:divBdr>
        <w:top w:val="none" w:sz="0" w:space="0" w:color="auto"/>
        <w:left w:val="none" w:sz="0" w:space="0" w:color="auto"/>
        <w:bottom w:val="none" w:sz="0" w:space="0" w:color="auto"/>
        <w:right w:val="none" w:sz="0" w:space="0" w:color="auto"/>
      </w:divBdr>
    </w:div>
    <w:div w:id="762578619">
      <w:bodyDiv w:val="1"/>
      <w:marLeft w:val="0"/>
      <w:marRight w:val="0"/>
      <w:marTop w:val="0"/>
      <w:marBottom w:val="0"/>
      <w:divBdr>
        <w:top w:val="none" w:sz="0" w:space="0" w:color="auto"/>
        <w:left w:val="none" w:sz="0" w:space="0" w:color="auto"/>
        <w:bottom w:val="none" w:sz="0" w:space="0" w:color="auto"/>
        <w:right w:val="none" w:sz="0" w:space="0" w:color="auto"/>
      </w:divBdr>
    </w:div>
    <w:div w:id="762653687">
      <w:bodyDiv w:val="1"/>
      <w:marLeft w:val="0"/>
      <w:marRight w:val="0"/>
      <w:marTop w:val="0"/>
      <w:marBottom w:val="0"/>
      <w:divBdr>
        <w:top w:val="none" w:sz="0" w:space="0" w:color="auto"/>
        <w:left w:val="none" w:sz="0" w:space="0" w:color="auto"/>
        <w:bottom w:val="none" w:sz="0" w:space="0" w:color="auto"/>
        <w:right w:val="none" w:sz="0" w:space="0" w:color="auto"/>
      </w:divBdr>
    </w:div>
    <w:div w:id="763763064">
      <w:bodyDiv w:val="1"/>
      <w:marLeft w:val="0"/>
      <w:marRight w:val="0"/>
      <w:marTop w:val="0"/>
      <w:marBottom w:val="0"/>
      <w:divBdr>
        <w:top w:val="none" w:sz="0" w:space="0" w:color="auto"/>
        <w:left w:val="none" w:sz="0" w:space="0" w:color="auto"/>
        <w:bottom w:val="none" w:sz="0" w:space="0" w:color="auto"/>
        <w:right w:val="none" w:sz="0" w:space="0" w:color="auto"/>
      </w:divBdr>
    </w:div>
    <w:div w:id="764806519">
      <w:bodyDiv w:val="1"/>
      <w:marLeft w:val="0"/>
      <w:marRight w:val="0"/>
      <w:marTop w:val="0"/>
      <w:marBottom w:val="0"/>
      <w:divBdr>
        <w:top w:val="none" w:sz="0" w:space="0" w:color="auto"/>
        <w:left w:val="none" w:sz="0" w:space="0" w:color="auto"/>
        <w:bottom w:val="none" w:sz="0" w:space="0" w:color="auto"/>
        <w:right w:val="none" w:sz="0" w:space="0" w:color="auto"/>
      </w:divBdr>
    </w:div>
    <w:div w:id="768240841">
      <w:bodyDiv w:val="1"/>
      <w:marLeft w:val="0"/>
      <w:marRight w:val="0"/>
      <w:marTop w:val="0"/>
      <w:marBottom w:val="0"/>
      <w:divBdr>
        <w:top w:val="none" w:sz="0" w:space="0" w:color="auto"/>
        <w:left w:val="none" w:sz="0" w:space="0" w:color="auto"/>
        <w:bottom w:val="none" w:sz="0" w:space="0" w:color="auto"/>
        <w:right w:val="none" w:sz="0" w:space="0" w:color="auto"/>
      </w:divBdr>
    </w:div>
    <w:div w:id="771129005">
      <w:bodyDiv w:val="1"/>
      <w:marLeft w:val="0"/>
      <w:marRight w:val="0"/>
      <w:marTop w:val="0"/>
      <w:marBottom w:val="0"/>
      <w:divBdr>
        <w:top w:val="none" w:sz="0" w:space="0" w:color="auto"/>
        <w:left w:val="none" w:sz="0" w:space="0" w:color="auto"/>
        <w:bottom w:val="none" w:sz="0" w:space="0" w:color="auto"/>
        <w:right w:val="none" w:sz="0" w:space="0" w:color="auto"/>
      </w:divBdr>
    </w:div>
    <w:div w:id="773791656">
      <w:bodyDiv w:val="1"/>
      <w:marLeft w:val="0"/>
      <w:marRight w:val="0"/>
      <w:marTop w:val="0"/>
      <w:marBottom w:val="0"/>
      <w:divBdr>
        <w:top w:val="none" w:sz="0" w:space="0" w:color="auto"/>
        <w:left w:val="none" w:sz="0" w:space="0" w:color="auto"/>
        <w:bottom w:val="none" w:sz="0" w:space="0" w:color="auto"/>
        <w:right w:val="none" w:sz="0" w:space="0" w:color="auto"/>
      </w:divBdr>
    </w:div>
    <w:div w:id="775097431">
      <w:bodyDiv w:val="1"/>
      <w:marLeft w:val="0"/>
      <w:marRight w:val="0"/>
      <w:marTop w:val="0"/>
      <w:marBottom w:val="0"/>
      <w:divBdr>
        <w:top w:val="none" w:sz="0" w:space="0" w:color="auto"/>
        <w:left w:val="none" w:sz="0" w:space="0" w:color="auto"/>
        <w:bottom w:val="none" w:sz="0" w:space="0" w:color="auto"/>
        <w:right w:val="none" w:sz="0" w:space="0" w:color="auto"/>
      </w:divBdr>
    </w:div>
    <w:div w:id="775519525">
      <w:bodyDiv w:val="1"/>
      <w:marLeft w:val="0"/>
      <w:marRight w:val="0"/>
      <w:marTop w:val="0"/>
      <w:marBottom w:val="0"/>
      <w:divBdr>
        <w:top w:val="none" w:sz="0" w:space="0" w:color="auto"/>
        <w:left w:val="none" w:sz="0" w:space="0" w:color="auto"/>
        <w:bottom w:val="none" w:sz="0" w:space="0" w:color="auto"/>
        <w:right w:val="none" w:sz="0" w:space="0" w:color="auto"/>
      </w:divBdr>
    </w:div>
    <w:div w:id="776565945">
      <w:bodyDiv w:val="1"/>
      <w:marLeft w:val="0"/>
      <w:marRight w:val="0"/>
      <w:marTop w:val="0"/>
      <w:marBottom w:val="0"/>
      <w:divBdr>
        <w:top w:val="none" w:sz="0" w:space="0" w:color="auto"/>
        <w:left w:val="none" w:sz="0" w:space="0" w:color="auto"/>
        <w:bottom w:val="none" w:sz="0" w:space="0" w:color="auto"/>
        <w:right w:val="none" w:sz="0" w:space="0" w:color="auto"/>
      </w:divBdr>
    </w:div>
    <w:div w:id="777873057">
      <w:bodyDiv w:val="1"/>
      <w:marLeft w:val="0"/>
      <w:marRight w:val="0"/>
      <w:marTop w:val="0"/>
      <w:marBottom w:val="0"/>
      <w:divBdr>
        <w:top w:val="none" w:sz="0" w:space="0" w:color="auto"/>
        <w:left w:val="none" w:sz="0" w:space="0" w:color="auto"/>
        <w:bottom w:val="none" w:sz="0" w:space="0" w:color="auto"/>
        <w:right w:val="none" w:sz="0" w:space="0" w:color="auto"/>
      </w:divBdr>
      <w:divsChild>
        <w:div w:id="702054023">
          <w:marLeft w:val="0"/>
          <w:marRight w:val="0"/>
          <w:marTop w:val="0"/>
          <w:marBottom w:val="0"/>
          <w:divBdr>
            <w:top w:val="none" w:sz="0" w:space="0" w:color="auto"/>
            <w:left w:val="none" w:sz="0" w:space="0" w:color="auto"/>
            <w:bottom w:val="none" w:sz="0" w:space="0" w:color="auto"/>
            <w:right w:val="none" w:sz="0" w:space="0" w:color="auto"/>
          </w:divBdr>
        </w:div>
        <w:div w:id="1178228780">
          <w:marLeft w:val="0"/>
          <w:marRight w:val="0"/>
          <w:marTop w:val="0"/>
          <w:marBottom w:val="0"/>
          <w:divBdr>
            <w:top w:val="none" w:sz="0" w:space="0" w:color="auto"/>
            <w:left w:val="none" w:sz="0" w:space="0" w:color="auto"/>
            <w:bottom w:val="none" w:sz="0" w:space="0" w:color="auto"/>
            <w:right w:val="none" w:sz="0" w:space="0" w:color="auto"/>
          </w:divBdr>
        </w:div>
        <w:div w:id="1187139324">
          <w:marLeft w:val="0"/>
          <w:marRight w:val="0"/>
          <w:marTop w:val="0"/>
          <w:marBottom w:val="0"/>
          <w:divBdr>
            <w:top w:val="none" w:sz="0" w:space="0" w:color="auto"/>
            <w:left w:val="none" w:sz="0" w:space="0" w:color="auto"/>
            <w:bottom w:val="none" w:sz="0" w:space="0" w:color="auto"/>
            <w:right w:val="none" w:sz="0" w:space="0" w:color="auto"/>
          </w:divBdr>
        </w:div>
      </w:divsChild>
    </w:div>
    <w:div w:id="778179559">
      <w:bodyDiv w:val="1"/>
      <w:marLeft w:val="0"/>
      <w:marRight w:val="0"/>
      <w:marTop w:val="0"/>
      <w:marBottom w:val="0"/>
      <w:divBdr>
        <w:top w:val="none" w:sz="0" w:space="0" w:color="auto"/>
        <w:left w:val="none" w:sz="0" w:space="0" w:color="auto"/>
        <w:bottom w:val="none" w:sz="0" w:space="0" w:color="auto"/>
        <w:right w:val="none" w:sz="0" w:space="0" w:color="auto"/>
      </w:divBdr>
    </w:div>
    <w:div w:id="781614927">
      <w:bodyDiv w:val="1"/>
      <w:marLeft w:val="0"/>
      <w:marRight w:val="0"/>
      <w:marTop w:val="0"/>
      <w:marBottom w:val="0"/>
      <w:divBdr>
        <w:top w:val="none" w:sz="0" w:space="0" w:color="auto"/>
        <w:left w:val="none" w:sz="0" w:space="0" w:color="auto"/>
        <w:bottom w:val="none" w:sz="0" w:space="0" w:color="auto"/>
        <w:right w:val="none" w:sz="0" w:space="0" w:color="auto"/>
      </w:divBdr>
    </w:div>
    <w:div w:id="782261783">
      <w:bodyDiv w:val="1"/>
      <w:marLeft w:val="0"/>
      <w:marRight w:val="0"/>
      <w:marTop w:val="0"/>
      <w:marBottom w:val="0"/>
      <w:divBdr>
        <w:top w:val="none" w:sz="0" w:space="0" w:color="auto"/>
        <w:left w:val="none" w:sz="0" w:space="0" w:color="auto"/>
        <w:bottom w:val="none" w:sz="0" w:space="0" w:color="auto"/>
        <w:right w:val="none" w:sz="0" w:space="0" w:color="auto"/>
      </w:divBdr>
    </w:div>
    <w:div w:id="786043472">
      <w:bodyDiv w:val="1"/>
      <w:marLeft w:val="0"/>
      <w:marRight w:val="0"/>
      <w:marTop w:val="0"/>
      <w:marBottom w:val="0"/>
      <w:divBdr>
        <w:top w:val="none" w:sz="0" w:space="0" w:color="auto"/>
        <w:left w:val="none" w:sz="0" w:space="0" w:color="auto"/>
        <w:bottom w:val="none" w:sz="0" w:space="0" w:color="auto"/>
        <w:right w:val="none" w:sz="0" w:space="0" w:color="auto"/>
      </w:divBdr>
    </w:div>
    <w:div w:id="787160896">
      <w:bodyDiv w:val="1"/>
      <w:marLeft w:val="0"/>
      <w:marRight w:val="0"/>
      <w:marTop w:val="0"/>
      <w:marBottom w:val="0"/>
      <w:divBdr>
        <w:top w:val="none" w:sz="0" w:space="0" w:color="auto"/>
        <w:left w:val="none" w:sz="0" w:space="0" w:color="auto"/>
        <w:bottom w:val="none" w:sz="0" w:space="0" w:color="auto"/>
        <w:right w:val="none" w:sz="0" w:space="0" w:color="auto"/>
      </w:divBdr>
    </w:div>
    <w:div w:id="789402715">
      <w:bodyDiv w:val="1"/>
      <w:marLeft w:val="0"/>
      <w:marRight w:val="0"/>
      <w:marTop w:val="0"/>
      <w:marBottom w:val="0"/>
      <w:divBdr>
        <w:top w:val="none" w:sz="0" w:space="0" w:color="auto"/>
        <w:left w:val="none" w:sz="0" w:space="0" w:color="auto"/>
        <w:bottom w:val="none" w:sz="0" w:space="0" w:color="auto"/>
        <w:right w:val="none" w:sz="0" w:space="0" w:color="auto"/>
      </w:divBdr>
    </w:div>
    <w:div w:id="789518975">
      <w:bodyDiv w:val="1"/>
      <w:marLeft w:val="0"/>
      <w:marRight w:val="0"/>
      <w:marTop w:val="0"/>
      <w:marBottom w:val="0"/>
      <w:divBdr>
        <w:top w:val="none" w:sz="0" w:space="0" w:color="auto"/>
        <w:left w:val="none" w:sz="0" w:space="0" w:color="auto"/>
        <w:bottom w:val="none" w:sz="0" w:space="0" w:color="auto"/>
        <w:right w:val="none" w:sz="0" w:space="0" w:color="auto"/>
      </w:divBdr>
    </w:div>
    <w:div w:id="794761935">
      <w:bodyDiv w:val="1"/>
      <w:marLeft w:val="0"/>
      <w:marRight w:val="0"/>
      <w:marTop w:val="0"/>
      <w:marBottom w:val="0"/>
      <w:divBdr>
        <w:top w:val="none" w:sz="0" w:space="0" w:color="auto"/>
        <w:left w:val="none" w:sz="0" w:space="0" w:color="auto"/>
        <w:bottom w:val="none" w:sz="0" w:space="0" w:color="auto"/>
        <w:right w:val="none" w:sz="0" w:space="0" w:color="auto"/>
      </w:divBdr>
    </w:div>
    <w:div w:id="795031325">
      <w:bodyDiv w:val="1"/>
      <w:marLeft w:val="0"/>
      <w:marRight w:val="0"/>
      <w:marTop w:val="0"/>
      <w:marBottom w:val="0"/>
      <w:divBdr>
        <w:top w:val="none" w:sz="0" w:space="0" w:color="auto"/>
        <w:left w:val="none" w:sz="0" w:space="0" w:color="auto"/>
        <w:bottom w:val="none" w:sz="0" w:space="0" w:color="auto"/>
        <w:right w:val="none" w:sz="0" w:space="0" w:color="auto"/>
      </w:divBdr>
    </w:div>
    <w:div w:id="795485757">
      <w:bodyDiv w:val="1"/>
      <w:marLeft w:val="0"/>
      <w:marRight w:val="0"/>
      <w:marTop w:val="0"/>
      <w:marBottom w:val="0"/>
      <w:divBdr>
        <w:top w:val="none" w:sz="0" w:space="0" w:color="auto"/>
        <w:left w:val="none" w:sz="0" w:space="0" w:color="auto"/>
        <w:bottom w:val="none" w:sz="0" w:space="0" w:color="auto"/>
        <w:right w:val="none" w:sz="0" w:space="0" w:color="auto"/>
      </w:divBdr>
    </w:div>
    <w:div w:id="795563350">
      <w:bodyDiv w:val="1"/>
      <w:marLeft w:val="0"/>
      <w:marRight w:val="0"/>
      <w:marTop w:val="0"/>
      <w:marBottom w:val="0"/>
      <w:divBdr>
        <w:top w:val="none" w:sz="0" w:space="0" w:color="auto"/>
        <w:left w:val="none" w:sz="0" w:space="0" w:color="auto"/>
        <w:bottom w:val="none" w:sz="0" w:space="0" w:color="auto"/>
        <w:right w:val="none" w:sz="0" w:space="0" w:color="auto"/>
      </w:divBdr>
    </w:div>
    <w:div w:id="798425788">
      <w:bodyDiv w:val="1"/>
      <w:marLeft w:val="0"/>
      <w:marRight w:val="0"/>
      <w:marTop w:val="0"/>
      <w:marBottom w:val="0"/>
      <w:divBdr>
        <w:top w:val="none" w:sz="0" w:space="0" w:color="auto"/>
        <w:left w:val="none" w:sz="0" w:space="0" w:color="auto"/>
        <w:bottom w:val="none" w:sz="0" w:space="0" w:color="auto"/>
        <w:right w:val="none" w:sz="0" w:space="0" w:color="auto"/>
      </w:divBdr>
    </w:div>
    <w:div w:id="799343801">
      <w:bodyDiv w:val="1"/>
      <w:marLeft w:val="0"/>
      <w:marRight w:val="0"/>
      <w:marTop w:val="0"/>
      <w:marBottom w:val="0"/>
      <w:divBdr>
        <w:top w:val="none" w:sz="0" w:space="0" w:color="auto"/>
        <w:left w:val="none" w:sz="0" w:space="0" w:color="auto"/>
        <w:bottom w:val="none" w:sz="0" w:space="0" w:color="auto"/>
        <w:right w:val="none" w:sz="0" w:space="0" w:color="auto"/>
      </w:divBdr>
    </w:div>
    <w:div w:id="799693079">
      <w:bodyDiv w:val="1"/>
      <w:marLeft w:val="0"/>
      <w:marRight w:val="0"/>
      <w:marTop w:val="0"/>
      <w:marBottom w:val="0"/>
      <w:divBdr>
        <w:top w:val="none" w:sz="0" w:space="0" w:color="auto"/>
        <w:left w:val="none" w:sz="0" w:space="0" w:color="auto"/>
        <w:bottom w:val="none" w:sz="0" w:space="0" w:color="auto"/>
        <w:right w:val="none" w:sz="0" w:space="0" w:color="auto"/>
      </w:divBdr>
    </w:div>
    <w:div w:id="800727453">
      <w:bodyDiv w:val="1"/>
      <w:marLeft w:val="0"/>
      <w:marRight w:val="0"/>
      <w:marTop w:val="0"/>
      <w:marBottom w:val="0"/>
      <w:divBdr>
        <w:top w:val="none" w:sz="0" w:space="0" w:color="auto"/>
        <w:left w:val="none" w:sz="0" w:space="0" w:color="auto"/>
        <w:bottom w:val="none" w:sz="0" w:space="0" w:color="auto"/>
        <w:right w:val="none" w:sz="0" w:space="0" w:color="auto"/>
      </w:divBdr>
    </w:div>
    <w:div w:id="800995457">
      <w:bodyDiv w:val="1"/>
      <w:marLeft w:val="0"/>
      <w:marRight w:val="0"/>
      <w:marTop w:val="0"/>
      <w:marBottom w:val="0"/>
      <w:divBdr>
        <w:top w:val="none" w:sz="0" w:space="0" w:color="auto"/>
        <w:left w:val="none" w:sz="0" w:space="0" w:color="auto"/>
        <w:bottom w:val="none" w:sz="0" w:space="0" w:color="auto"/>
        <w:right w:val="none" w:sz="0" w:space="0" w:color="auto"/>
      </w:divBdr>
    </w:div>
    <w:div w:id="802043042">
      <w:bodyDiv w:val="1"/>
      <w:marLeft w:val="0"/>
      <w:marRight w:val="0"/>
      <w:marTop w:val="0"/>
      <w:marBottom w:val="0"/>
      <w:divBdr>
        <w:top w:val="none" w:sz="0" w:space="0" w:color="auto"/>
        <w:left w:val="none" w:sz="0" w:space="0" w:color="auto"/>
        <w:bottom w:val="none" w:sz="0" w:space="0" w:color="auto"/>
        <w:right w:val="none" w:sz="0" w:space="0" w:color="auto"/>
      </w:divBdr>
    </w:div>
    <w:div w:id="804276901">
      <w:bodyDiv w:val="1"/>
      <w:marLeft w:val="0"/>
      <w:marRight w:val="0"/>
      <w:marTop w:val="0"/>
      <w:marBottom w:val="0"/>
      <w:divBdr>
        <w:top w:val="none" w:sz="0" w:space="0" w:color="auto"/>
        <w:left w:val="none" w:sz="0" w:space="0" w:color="auto"/>
        <w:bottom w:val="none" w:sz="0" w:space="0" w:color="auto"/>
        <w:right w:val="none" w:sz="0" w:space="0" w:color="auto"/>
      </w:divBdr>
    </w:div>
    <w:div w:id="805972959">
      <w:bodyDiv w:val="1"/>
      <w:marLeft w:val="0"/>
      <w:marRight w:val="0"/>
      <w:marTop w:val="0"/>
      <w:marBottom w:val="0"/>
      <w:divBdr>
        <w:top w:val="none" w:sz="0" w:space="0" w:color="auto"/>
        <w:left w:val="none" w:sz="0" w:space="0" w:color="auto"/>
        <w:bottom w:val="none" w:sz="0" w:space="0" w:color="auto"/>
        <w:right w:val="none" w:sz="0" w:space="0" w:color="auto"/>
      </w:divBdr>
      <w:divsChild>
        <w:div w:id="434449417">
          <w:marLeft w:val="0"/>
          <w:marRight w:val="0"/>
          <w:marTop w:val="0"/>
          <w:marBottom w:val="0"/>
          <w:divBdr>
            <w:top w:val="none" w:sz="0" w:space="0" w:color="auto"/>
            <w:left w:val="none" w:sz="0" w:space="0" w:color="auto"/>
            <w:bottom w:val="none" w:sz="0" w:space="0" w:color="auto"/>
            <w:right w:val="none" w:sz="0" w:space="0" w:color="auto"/>
          </w:divBdr>
        </w:div>
        <w:div w:id="448554610">
          <w:marLeft w:val="0"/>
          <w:marRight w:val="0"/>
          <w:marTop w:val="0"/>
          <w:marBottom w:val="0"/>
          <w:divBdr>
            <w:top w:val="none" w:sz="0" w:space="0" w:color="auto"/>
            <w:left w:val="none" w:sz="0" w:space="0" w:color="auto"/>
            <w:bottom w:val="none" w:sz="0" w:space="0" w:color="auto"/>
            <w:right w:val="none" w:sz="0" w:space="0" w:color="auto"/>
          </w:divBdr>
        </w:div>
        <w:div w:id="671034138">
          <w:marLeft w:val="0"/>
          <w:marRight w:val="0"/>
          <w:marTop w:val="0"/>
          <w:marBottom w:val="0"/>
          <w:divBdr>
            <w:top w:val="none" w:sz="0" w:space="0" w:color="auto"/>
            <w:left w:val="none" w:sz="0" w:space="0" w:color="auto"/>
            <w:bottom w:val="none" w:sz="0" w:space="0" w:color="auto"/>
            <w:right w:val="none" w:sz="0" w:space="0" w:color="auto"/>
          </w:divBdr>
        </w:div>
        <w:div w:id="678656109">
          <w:marLeft w:val="0"/>
          <w:marRight w:val="0"/>
          <w:marTop w:val="0"/>
          <w:marBottom w:val="0"/>
          <w:divBdr>
            <w:top w:val="none" w:sz="0" w:space="0" w:color="auto"/>
            <w:left w:val="none" w:sz="0" w:space="0" w:color="auto"/>
            <w:bottom w:val="none" w:sz="0" w:space="0" w:color="auto"/>
            <w:right w:val="none" w:sz="0" w:space="0" w:color="auto"/>
          </w:divBdr>
          <w:divsChild>
            <w:div w:id="1255281829">
              <w:marLeft w:val="0"/>
              <w:marRight w:val="0"/>
              <w:marTop w:val="0"/>
              <w:marBottom w:val="0"/>
              <w:divBdr>
                <w:top w:val="none" w:sz="0" w:space="0" w:color="auto"/>
                <w:left w:val="none" w:sz="0" w:space="0" w:color="auto"/>
                <w:bottom w:val="none" w:sz="0" w:space="0" w:color="auto"/>
                <w:right w:val="none" w:sz="0" w:space="0" w:color="auto"/>
              </w:divBdr>
            </w:div>
            <w:div w:id="1392314002">
              <w:marLeft w:val="0"/>
              <w:marRight w:val="0"/>
              <w:marTop w:val="0"/>
              <w:marBottom w:val="0"/>
              <w:divBdr>
                <w:top w:val="none" w:sz="0" w:space="0" w:color="auto"/>
                <w:left w:val="none" w:sz="0" w:space="0" w:color="auto"/>
                <w:bottom w:val="none" w:sz="0" w:space="0" w:color="auto"/>
                <w:right w:val="none" w:sz="0" w:space="0" w:color="auto"/>
              </w:divBdr>
            </w:div>
            <w:div w:id="1615945650">
              <w:marLeft w:val="0"/>
              <w:marRight w:val="0"/>
              <w:marTop w:val="0"/>
              <w:marBottom w:val="0"/>
              <w:divBdr>
                <w:top w:val="none" w:sz="0" w:space="0" w:color="auto"/>
                <w:left w:val="none" w:sz="0" w:space="0" w:color="auto"/>
                <w:bottom w:val="none" w:sz="0" w:space="0" w:color="auto"/>
                <w:right w:val="none" w:sz="0" w:space="0" w:color="auto"/>
              </w:divBdr>
            </w:div>
            <w:div w:id="1670401475">
              <w:marLeft w:val="0"/>
              <w:marRight w:val="0"/>
              <w:marTop w:val="0"/>
              <w:marBottom w:val="0"/>
              <w:divBdr>
                <w:top w:val="none" w:sz="0" w:space="0" w:color="auto"/>
                <w:left w:val="none" w:sz="0" w:space="0" w:color="auto"/>
                <w:bottom w:val="none" w:sz="0" w:space="0" w:color="auto"/>
                <w:right w:val="none" w:sz="0" w:space="0" w:color="auto"/>
              </w:divBdr>
            </w:div>
          </w:divsChild>
        </w:div>
        <w:div w:id="723791541">
          <w:marLeft w:val="0"/>
          <w:marRight w:val="0"/>
          <w:marTop w:val="0"/>
          <w:marBottom w:val="0"/>
          <w:divBdr>
            <w:top w:val="none" w:sz="0" w:space="0" w:color="auto"/>
            <w:left w:val="none" w:sz="0" w:space="0" w:color="auto"/>
            <w:bottom w:val="none" w:sz="0" w:space="0" w:color="auto"/>
            <w:right w:val="none" w:sz="0" w:space="0" w:color="auto"/>
          </w:divBdr>
        </w:div>
        <w:div w:id="1114640347">
          <w:marLeft w:val="0"/>
          <w:marRight w:val="0"/>
          <w:marTop w:val="0"/>
          <w:marBottom w:val="0"/>
          <w:divBdr>
            <w:top w:val="none" w:sz="0" w:space="0" w:color="auto"/>
            <w:left w:val="none" w:sz="0" w:space="0" w:color="auto"/>
            <w:bottom w:val="none" w:sz="0" w:space="0" w:color="auto"/>
            <w:right w:val="none" w:sz="0" w:space="0" w:color="auto"/>
          </w:divBdr>
          <w:divsChild>
            <w:div w:id="801466150">
              <w:marLeft w:val="0"/>
              <w:marRight w:val="0"/>
              <w:marTop w:val="0"/>
              <w:marBottom w:val="0"/>
              <w:divBdr>
                <w:top w:val="none" w:sz="0" w:space="0" w:color="auto"/>
                <w:left w:val="none" w:sz="0" w:space="0" w:color="auto"/>
                <w:bottom w:val="none" w:sz="0" w:space="0" w:color="auto"/>
                <w:right w:val="none" w:sz="0" w:space="0" w:color="auto"/>
              </w:divBdr>
            </w:div>
            <w:div w:id="992100861">
              <w:marLeft w:val="0"/>
              <w:marRight w:val="0"/>
              <w:marTop w:val="0"/>
              <w:marBottom w:val="0"/>
              <w:divBdr>
                <w:top w:val="none" w:sz="0" w:space="0" w:color="auto"/>
                <w:left w:val="none" w:sz="0" w:space="0" w:color="auto"/>
                <w:bottom w:val="none" w:sz="0" w:space="0" w:color="auto"/>
                <w:right w:val="none" w:sz="0" w:space="0" w:color="auto"/>
              </w:divBdr>
            </w:div>
          </w:divsChild>
        </w:div>
        <w:div w:id="1439065666">
          <w:marLeft w:val="0"/>
          <w:marRight w:val="0"/>
          <w:marTop w:val="0"/>
          <w:marBottom w:val="0"/>
          <w:divBdr>
            <w:top w:val="none" w:sz="0" w:space="0" w:color="auto"/>
            <w:left w:val="none" w:sz="0" w:space="0" w:color="auto"/>
            <w:bottom w:val="none" w:sz="0" w:space="0" w:color="auto"/>
            <w:right w:val="none" w:sz="0" w:space="0" w:color="auto"/>
          </w:divBdr>
        </w:div>
        <w:div w:id="1450733971">
          <w:marLeft w:val="0"/>
          <w:marRight w:val="0"/>
          <w:marTop w:val="0"/>
          <w:marBottom w:val="0"/>
          <w:divBdr>
            <w:top w:val="none" w:sz="0" w:space="0" w:color="auto"/>
            <w:left w:val="none" w:sz="0" w:space="0" w:color="auto"/>
            <w:bottom w:val="none" w:sz="0" w:space="0" w:color="auto"/>
            <w:right w:val="none" w:sz="0" w:space="0" w:color="auto"/>
          </w:divBdr>
        </w:div>
        <w:div w:id="1635409913">
          <w:marLeft w:val="0"/>
          <w:marRight w:val="0"/>
          <w:marTop w:val="0"/>
          <w:marBottom w:val="0"/>
          <w:divBdr>
            <w:top w:val="none" w:sz="0" w:space="0" w:color="auto"/>
            <w:left w:val="none" w:sz="0" w:space="0" w:color="auto"/>
            <w:bottom w:val="none" w:sz="0" w:space="0" w:color="auto"/>
            <w:right w:val="none" w:sz="0" w:space="0" w:color="auto"/>
          </w:divBdr>
        </w:div>
        <w:div w:id="1890148203">
          <w:marLeft w:val="0"/>
          <w:marRight w:val="0"/>
          <w:marTop w:val="0"/>
          <w:marBottom w:val="0"/>
          <w:divBdr>
            <w:top w:val="none" w:sz="0" w:space="0" w:color="auto"/>
            <w:left w:val="none" w:sz="0" w:space="0" w:color="auto"/>
            <w:bottom w:val="none" w:sz="0" w:space="0" w:color="auto"/>
            <w:right w:val="none" w:sz="0" w:space="0" w:color="auto"/>
          </w:divBdr>
        </w:div>
        <w:div w:id="2051495420">
          <w:marLeft w:val="0"/>
          <w:marRight w:val="0"/>
          <w:marTop w:val="0"/>
          <w:marBottom w:val="0"/>
          <w:divBdr>
            <w:top w:val="none" w:sz="0" w:space="0" w:color="auto"/>
            <w:left w:val="none" w:sz="0" w:space="0" w:color="auto"/>
            <w:bottom w:val="none" w:sz="0" w:space="0" w:color="auto"/>
            <w:right w:val="none" w:sz="0" w:space="0" w:color="auto"/>
          </w:divBdr>
        </w:div>
      </w:divsChild>
    </w:div>
    <w:div w:id="806167099">
      <w:bodyDiv w:val="1"/>
      <w:marLeft w:val="0"/>
      <w:marRight w:val="0"/>
      <w:marTop w:val="0"/>
      <w:marBottom w:val="0"/>
      <w:divBdr>
        <w:top w:val="none" w:sz="0" w:space="0" w:color="auto"/>
        <w:left w:val="none" w:sz="0" w:space="0" w:color="auto"/>
        <w:bottom w:val="none" w:sz="0" w:space="0" w:color="auto"/>
        <w:right w:val="none" w:sz="0" w:space="0" w:color="auto"/>
      </w:divBdr>
    </w:div>
    <w:div w:id="806749172">
      <w:bodyDiv w:val="1"/>
      <w:marLeft w:val="0"/>
      <w:marRight w:val="0"/>
      <w:marTop w:val="0"/>
      <w:marBottom w:val="0"/>
      <w:divBdr>
        <w:top w:val="none" w:sz="0" w:space="0" w:color="auto"/>
        <w:left w:val="none" w:sz="0" w:space="0" w:color="auto"/>
        <w:bottom w:val="none" w:sz="0" w:space="0" w:color="auto"/>
        <w:right w:val="none" w:sz="0" w:space="0" w:color="auto"/>
      </w:divBdr>
    </w:div>
    <w:div w:id="807285300">
      <w:bodyDiv w:val="1"/>
      <w:marLeft w:val="0"/>
      <w:marRight w:val="0"/>
      <w:marTop w:val="0"/>
      <w:marBottom w:val="0"/>
      <w:divBdr>
        <w:top w:val="none" w:sz="0" w:space="0" w:color="auto"/>
        <w:left w:val="none" w:sz="0" w:space="0" w:color="auto"/>
        <w:bottom w:val="none" w:sz="0" w:space="0" w:color="auto"/>
        <w:right w:val="none" w:sz="0" w:space="0" w:color="auto"/>
      </w:divBdr>
    </w:div>
    <w:div w:id="811949462">
      <w:bodyDiv w:val="1"/>
      <w:marLeft w:val="0"/>
      <w:marRight w:val="0"/>
      <w:marTop w:val="0"/>
      <w:marBottom w:val="0"/>
      <w:divBdr>
        <w:top w:val="none" w:sz="0" w:space="0" w:color="auto"/>
        <w:left w:val="none" w:sz="0" w:space="0" w:color="auto"/>
        <w:bottom w:val="none" w:sz="0" w:space="0" w:color="auto"/>
        <w:right w:val="none" w:sz="0" w:space="0" w:color="auto"/>
      </w:divBdr>
    </w:div>
    <w:div w:id="815149008">
      <w:bodyDiv w:val="1"/>
      <w:marLeft w:val="0"/>
      <w:marRight w:val="0"/>
      <w:marTop w:val="0"/>
      <w:marBottom w:val="0"/>
      <w:divBdr>
        <w:top w:val="none" w:sz="0" w:space="0" w:color="auto"/>
        <w:left w:val="none" w:sz="0" w:space="0" w:color="auto"/>
        <w:bottom w:val="none" w:sz="0" w:space="0" w:color="auto"/>
        <w:right w:val="none" w:sz="0" w:space="0" w:color="auto"/>
      </w:divBdr>
    </w:div>
    <w:div w:id="817838748">
      <w:bodyDiv w:val="1"/>
      <w:marLeft w:val="0"/>
      <w:marRight w:val="0"/>
      <w:marTop w:val="0"/>
      <w:marBottom w:val="0"/>
      <w:divBdr>
        <w:top w:val="none" w:sz="0" w:space="0" w:color="auto"/>
        <w:left w:val="none" w:sz="0" w:space="0" w:color="auto"/>
        <w:bottom w:val="none" w:sz="0" w:space="0" w:color="auto"/>
        <w:right w:val="none" w:sz="0" w:space="0" w:color="auto"/>
      </w:divBdr>
    </w:div>
    <w:div w:id="820583600">
      <w:bodyDiv w:val="1"/>
      <w:marLeft w:val="0"/>
      <w:marRight w:val="0"/>
      <w:marTop w:val="0"/>
      <w:marBottom w:val="0"/>
      <w:divBdr>
        <w:top w:val="none" w:sz="0" w:space="0" w:color="auto"/>
        <w:left w:val="none" w:sz="0" w:space="0" w:color="auto"/>
        <w:bottom w:val="none" w:sz="0" w:space="0" w:color="auto"/>
        <w:right w:val="none" w:sz="0" w:space="0" w:color="auto"/>
      </w:divBdr>
    </w:div>
    <w:div w:id="821582290">
      <w:bodyDiv w:val="1"/>
      <w:marLeft w:val="0"/>
      <w:marRight w:val="0"/>
      <w:marTop w:val="0"/>
      <w:marBottom w:val="0"/>
      <w:divBdr>
        <w:top w:val="none" w:sz="0" w:space="0" w:color="auto"/>
        <w:left w:val="none" w:sz="0" w:space="0" w:color="auto"/>
        <w:bottom w:val="none" w:sz="0" w:space="0" w:color="auto"/>
        <w:right w:val="none" w:sz="0" w:space="0" w:color="auto"/>
      </w:divBdr>
    </w:div>
    <w:div w:id="822240041">
      <w:bodyDiv w:val="1"/>
      <w:marLeft w:val="0"/>
      <w:marRight w:val="0"/>
      <w:marTop w:val="0"/>
      <w:marBottom w:val="0"/>
      <w:divBdr>
        <w:top w:val="none" w:sz="0" w:space="0" w:color="auto"/>
        <w:left w:val="none" w:sz="0" w:space="0" w:color="auto"/>
        <w:bottom w:val="none" w:sz="0" w:space="0" w:color="auto"/>
        <w:right w:val="none" w:sz="0" w:space="0" w:color="auto"/>
      </w:divBdr>
    </w:div>
    <w:div w:id="822769824">
      <w:bodyDiv w:val="1"/>
      <w:marLeft w:val="0"/>
      <w:marRight w:val="0"/>
      <w:marTop w:val="0"/>
      <w:marBottom w:val="0"/>
      <w:divBdr>
        <w:top w:val="none" w:sz="0" w:space="0" w:color="auto"/>
        <w:left w:val="none" w:sz="0" w:space="0" w:color="auto"/>
        <w:bottom w:val="none" w:sz="0" w:space="0" w:color="auto"/>
        <w:right w:val="none" w:sz="0" w:space="0" w:color="auto"/>
      </w:divBdr>
    </w:div>
    <w:div w:id="826551393">
      <w:bodyDiv w:val="1"/>
      <w:marLeft w:val="0"/>
      <w:marRight w:val="0"/>
      <w:marTop w:val="0"/>
      <w:marBottom w:val="0"/>
      <w:divBdr>
        <w:top w:val="none" w:sz="0" w:space="0" w:color="auto"/>
        <w:left w:val="none" w:sz="0" w:space="0" w:color="auto"/>
        <w:bottom w:val="none" w:sz="0" w:space="0" w:color="auto"/>
        <w:right w:val="none" w:sz="0" w:space="0" w:color="auto"/>
      </w:divBdr>
    </w:div>
    <w:div w:id="827019867">
      <w:bodyDiv w:val="1"/>
      <w:marLeft w:val="0"/>
      <w:marRight w:val="0"/>
      <w:marTop w:val="0"/>
      <w:marBottom w:val="0"/>
      <w:divBdr>
        <w:top w:val="none" w:sz="0" w:space="0" w:color="auto"/>
        <w:left w:val="none" w:sz="0" w:space="0" w:color="auto"/>
        <w:bottom w:val="none" w:sz="0" w:space="0" w:color="auto"/>
        <w:right w:val="none" w:sz="0" w:space="0" w:color="auto"/>
      </w:divBdr>
    </w:div>
    <w:div w:id="827525316">
      <w:bodyDiv w:val="1"/>
      <w:marLeft w:val="0"/>
      <w:marRight w:val="0"/>
      <w:marTop w:val="0"/>
      <w:marBottom w:val="0"/>
      <w:divBdr>
        <w:top w:val="none" w:sz="0" w:space="0" w:color="auto"/>
        <w:left w:val="none" w:sz="0" w:space="0" w:color="auto"/>
        <w:bottom w:val="none" w:sz="0" w:space="0" w:color="auto"/>
        <w:right w:val="none" w:sz="0" w:space="0" w:color="auto"/>
      </w:divBdr>
    </w:div>
    <w:div w:id="828639875">
      <w:bodyDiv w:val="1"/>
      <w:marLeft w:val="0"/>
      <w:marRight w:val="0"/>
      <w:marTop w:val="0"/>
      <w:marBottom w:val="0"/>
      <w:divBdr>
        <w:top w:val="none" w:sz="0" w:space="0" w:color="auto"/>
        <w:left w:val="none" w:sz="0" w:space="0" w:color="auto"/>
        <w:bottom w:val="none" w:sz="0" w:space="0" w:color="auto"/>
        <w:right w:val="none" w:sz="0" w:space="0" w:color="auto"/>
      </w:divBdr>
    </w:div>
    <w:div w:id="830415567">
      <w:bodyDiv w:val="1"/>
      <w:marLeft w:val="0"/>
      <w:marRight w:val="0"/>
      <w:marTop w:val="0"/>
      <w:marBottom w:val="0"/>
      <w:divBdr>
        <w:top w:val="none" w:sz="0" w:space="0" w:color="auto"/>
        <w:left w:val="none" w:sz="0" w:space="0" w:color="auto"/>
        <w:bottom w:val="none" w:sz="0" w:space="0" w:color="auto"/>
        <w:right w:val="none" w:sz="0" w:space="0" w:color="auto"/>
      </w:divBdr>
    </w:div>
    <w:div w:id="830876806">
      <w:bodyDiv w:val="1"/>
      <w:marLeft w:val="0"/>
      <w:marRight w:val="0"/>
      <w:marTop w:val="0"/>
      <w:marBottom w:val="0"/>
      <w:divBdr>
        <w:top w:val="none" w:sz="0" w:space="0" w:color="auto"/>
        <w:left w:val="none" w:sz="0" w:space="0" w:color="auto"/>
        <w:bottom w:val="none" w:sz="0" w:space="0" w:color="auto"/>
        <w:right w:val="none" w:sz="0" w:space="0" w:color="auto"/>
      </w:divBdr>
    </w:div>
    <w:div w:id="831526724">
      <w:bodyDiv w:val="1"/>
      <w:marLeft w:val="0"/>
      <w:marRight w:val="0"/>
      <w:marTop w:val="0"/>
      <w:marBottom w:val="0"/>
      <w:divBdr>
        <w:top w:val="none" w:sz="0" w:space="0" w:color="auto"/>
        <w:left w:val="none" w:sz="0" w:space="0" w:color="auto"/>
        <w:bottom w:val="none" w:sz="0" w:space="0" w:color="auto"/>
        <w:right w:val="none" w:sz="0" w:space="0" w:color="auto"/>
      </w:divBdr>
    </w:div>
    <w:div w:id="831605259">
      <w:bodyDiv w:val="1"/>
      <w:marLeft w:val="0"/>
      <w:marRight w:val="0"/>
      <w:marTop w:val="0"/>
      <w:marBottom w:val="0"/>
      <w:divBdr>
        <w:top w:val="none" w:sz="0" w:space="0" w:color="auto"/>
        <w:left w:val="none" w:sz="0" w:space="0" w:color="auto"/>
        <w:bottom w:val="none" w:sz="0" w:space="0" w:color="auto"/>
        <w:right w:val="none" w:sz="0" w:space="0" w:color="auto"/>
      </w:divBdr>
    </w:div>
    <w:div w:id="832061279">
      <w:bodyDiv w:val="1"/>
      <w:marLeft w:val="0"/>
      <w:marRight w:val="0"/>
      <w:marTop w:val="0"/>
      <w:marBottom w:val="0"/>
      <w:divBdr>
        <w:top w:val="none" w:sz="0" w:space="0" w:color="auto"/>
        <w:left w:val="none" w:sz="0" w:space="0" w:color="auto"/>
        <w:bottom w:val="none" w:sz="0" w:space="0" w:color="auto"/>
        <w:right w:val="none" w:sz="0" w:space="0" w:color="auto"/>
      </w:divBdr>
    </w:div>
    <w:div w:id="834036365">
      <w:bodyDiv w:val="1"/>
      <w:marLeft w:val="0"/>
      <w:marRight w:val="0"/>
      <w:marTop w:val="0"/>
      <w:marBottom w:val="0"/>
      <w:divBdr>
        <w:top w:val="none" w:sz="0" w:space="0" w:color="auto"/>
        <w:left w:val="none" w:sz="0" w:space="0" w:color="auto"/>
        <w:bottom w:val="none" w:sz="0" w:space="0" w:color="auto"/>
        <w:right w:val="none" w:sz="0" w:space="0" w:color="auto"/>
      </w:divBdr>
    </w:div>
    <w:div w:id="834492026">
      <w:bodyDiv w:val="1"/>
      <w:marLeft w:val="0"/>
      <w:marRight w:val="0"/>
      <w:marTop w:val="0"/>
      <w:marBottom w:val="0"/>
      <w:divBdr>
        <w:top w:val="none" w:sz="0" w:space="0" w:color="auto"/>
        <w:left w:val="none" w:sz="0" w:space="0" w:color="auto"/>
        <w:bottom w:val="none" w:sz="0" w:space="0" w:color="auto"/>
        <w:right w:val="none" w:sz="0" w:space="0" w:color="auto"/>
      </w:divBdr>
    </w:div>
    <w:div w:id="834806230">
      <w:bodyDiv w:val="1"/>
      <w:marLeft w:val="0"/>
      <w:marRight w:val="0"/>
      <w:marTop w:val="0"/>
      <w:marBottom w:val="0"/>
      <w:divBdr>
        <w:top w:val="none" w:sz="0" w:space="0" w:color="auto"/>
        <w:left w:val="none" w:sz="0" w:space="0" w:color="auto"/>
        <w:bottom w:val="none" w:sz="0" w:space="0" w:color="auto"/>
        <w:right w:val="none" w:sz="0" w:space="0" w:color="auto"/>
      </w:divBdr>
    </w:div>
    <w:div w:id="834808358">
      <w:bodyDiv w:val="1"/>
      <w:marLeft w:val="0"/>
      <w:marRight w:val="0"/>
      <w:marTop w:val="0"/>
      <w:marBottom w:val="0"/>
      <w:divBdr>
        <w:top w:val="none" w:sz="0" w:space="0" w:color="auto"/>
        <w:left w:val="none" w:sz="0" w:space="0" w:color="auto"/>
        <w:bottom w:val="none" w:sz="0" w:space="0" w:color="auto"/>
        <w:right w:val="none" w:sz="0" w:space="0" w:color="auto"/>
      </w:divBdr>
    </w:div>
    <w:div w:id="834958122">
      <w:bodyDiv w:val="1"/>
      <w:marLeft w:val="0"/>
      <w:marRight w:val="0"/>
      <w:marTop w:val="0"/>
      <w:marBottom w:val="0"/>
      <w:divBdr>
        <w:top w:val="none" w:sz="0" w:space="0" w:color="auto"/>
        <w:left w:val="none" w:sz="0" w:space="0" w:color="auto"/>
        <w:bottom w:val="none" w:sz="0" w:space="0" w:color="auto"/>
        <w:right w:val="none" w:sz="0" w:space="0" w:color="auto"/>
      </w:divBdr>
    </w:div>
    <w:div w:id="836918282">
      <w:bodyDiv w:val="1"/>
      <w:marLeft w:val="0"/>
      <w:marRight w:val="0"/>
      <w:marTop w:val="0"/>
      <w:marBottom w:val="0"/>
      <w:divBdr>
        <w:top w:val="none" w:sz="0" w:space="0" w:color="auto"/>
        <w:left w:val="none" w:sz="0" w:space="0" w:color="auto"/>
        <w:bottom w:val="none" w:sz="0" w:space="0" w:color="auto"/>
        <w:right w:val="none" w:sz="0" w:space="0" w:color="auto"/>
      </w:divBdr>
    </w:div>
    <w:div w:id="837041373">
      <w:bodyDiv w:val="1"/>
      <w:marLeft w:val="0"/>
      <w:marRight w:val="0"/>
      <w:marTop w:val="0"/>
      <w:marBottom w:val="0"/>
      <w:divBdr>
        <w:top w:val="none" w:sz="0" w:space="0" w:color="auto"/>
        <w:left w:val="none" w:sz="0" w:space="0" w:color="auto"/>
        <w:bottom w:val="none" w:sz="0" w:space="0" w:color="auto"/>
        <w:right w:val="none" w:sz="0" w:space="0" w:color="auto"/>
      </w:divBdr>
    </w:div>
    <w:div w:id="838733299">
      <w:bodyDiv w:val="1"/>
      <w:marLeft w:val="0"/>
      <w:marRight w:val="0"/>
      <w:marTop w:val="0"/>
      <w:marBottom w:val="0"/>
      <w:divBdr>
        <w:top w:val="none" w:sz="0" w:space="0" w:color="auto"/>
        <w:left w:val="none" w:sz="0" w:space="0" w:color="auto"/>
        <w:bottom w:val="none" w:sz="0" w:space="0" w:color="auto"/>
        <w:right w:val="none" w:sz="0" w:space="0" w:color="auto"/>
      </w:divBdr>
    </w:div>
    <w:div w:id="839009647">
      <w:bodyDiv w:val="1"/>
      <w:marLeft w:val="0"/>
      <w:marRight w:val="0"/>
      <w:marTop w:val="0"/>
      <w:marBottom w:val="0"/>
      <w:divBdr>
        <w:top w:val="none" w:sz="0" w:space="0" w:color="auto"/>
        <w:left w:val="none" w:sz="0" w:space="0" w:color="auto"/>
        <w:bottom w:val="none" w:sz="0" w:space="0" w:color="auto"/>
        <w:right w:val="none" w:sz="0" w:space="0" w:color="auto"/>
      </w:divBdr>
    </w:div>
    <w:div w:id="839856412">
      <w:bodyDiv w:val="1"/>
      <w:marLeft w:val="0"/>
      <w:marRight w:val="0"/>
      <w:marTop w:val="0"/>
      <w:marBottom w:val="0"/>
      <w:divBdr>
        <w:top w:val="none" w:sz="0" w:space="0" w:color="auto"/>
        <w:left w:val="none" w:sz="0" w:space="0" w:color="auto"/>
        <w:bottom w:val="none" w:sz="0" w:space="0" w:color="auto"/>
        <w:right w:val="none" w:sz="0" w:space="0" w:color="auto"/>
      </w:divBdr>
    </w:div>
    <w:div w:id="839926928">
      <w:bodyDiv w:val="1"/>
      <w:marLeft w:val="0"/>
      <w:marRight w:val="0"/>
      <w:marTop w:val="0"/>
      <w:marBottom w:val="0"/>
      <w:divBdr>
        <w:top w:val="none" w:sz="0" w:space="0" w:color="auto"/>
        <w:left w:val="none" w:sz="0" w:space="0" w:color="auto"/>
        <w:bottom w:val="none" w:sz="0" w:space="0" w:color="auto"/>
        <w:right w:val="none" w:sz="0" w:space="0" w:color="auto"/>
      </w:divBdr>
    </w:div>
    <w:div w:id="840699147">
      <w:bodyDiv w:val="1"/>
      <w:marLeft w:val="0"/>
      <w:marRight w:val="0"/>
      <w:marTop w:val="0"/>
      <w:marBottom w:val="0"/>
      <w:divBdr>
        <w:top w:val="none" w:sz="0" w:space="0" w:color="auto"/>
        <w:left w:val="none" w:sz="0" w:space="0" w:color="auto"/>
        <w:bottom w:val="none" w:sz="0" w:space="0" w:color="auto"/>
        <w:right w:val="none" w:sz="0" w:space="0" w:color="auto"/>
      </w:divBdr>
    </w:div>
    <w:div w:id="840775186">
      <w:bodyDiv w:val="1"/>
      <w:marLeft w:val="0"/>
      <w:marRight w:val="0"/>
      <w:marTop w:val="0"/>
      <w:marBottom w:val="0"/>
      <w:divBdr>
        <w:top w:val="none" w:sz="0" w:space="0" w:color="auto"/>
        <w:left w:val="none" w:sz="0" w:space="0" w:color="auto"/>
        <w:bottom w:val="none" w:sz="0" w:space="0" w:color="auto"/>
        <w:right w:val="none" w:sz="0" w:space="0" w:color="auto"/>
      </w:divBdr>
    </w:div>
    <w:div w:id="841242738">
      <w:bodyDiv w:val="1"/>
      <w:marLeft w:val="0"/>
      <w:marRight w:val="0"/>
      <w:marTop w:val="0"/>
      <w:marBottom w:val="0"/>
      <w:divBdr>
        <w:top w:val="none" w:sz="0" w:space="0" w:color="auto"/>
        <w:left w:val="none" w:sz="0" w:space="0" w:color="auto"/>
        <w:bottom w:val="none" w:sz="0" w:space="0" w:color="auto"/>
        <w:right w:val="none" w:sz="0" w:space="0" w:color="auto"/>
      </w:divBdr>
    </w:div>
    <w:div w:id="845633225">
      <w:bodyDiv w:val="1"/>
      <w:marLeft w:val="0"/>
      <w:marRight w:val="0"/>
      <w:marTop w:val="0"/>
      <w:marBottom w:val="0"/>
      <w:divBdr>
        <w:top w:val="none" w:sz="0" w:space="0" w:color="auto"/>
        <w:left w:val="none" w:sz="0" w:space="0" w:color="auto"/>
        <w:bottom w:val="none" w:sz="0" w:space="0" w:color="auto"/>
        <w:right w:val="none" w:sz="0" w:space="0" w:color="auto"/>
      </w:divBdr>
    </w:div>
    <w:div w:id="846748804">
      <w:bodyDiv w:val="1"/>
      <w:marLeft w:val="0"/>
      <w:marRight w:val="0"/>
      <w:marTop w:val="0"/>
      <w:marBottom w:val="0"/>
      <w:divBdr>
        <w:top w:val="none" w:sz="0" w:space="0" w:color="auto"/>
        <w:left w:val="none" w:sz="0" w:space="0" w:color="auto"/>
        <w:bottom w:val="none" w:sz="0" w:space="0" w:color="auto"/>
        <w:right w:val="none" w:sz="0" w:space="0" w:color="auto"/>
      </w:divBdr>
    </w:div>
    <w:div w:id="847135471">
      <w:bodyDiv w:val="1"/>
      <w:marLeft w:val="0"/>
      <w:marRight w:val="0"/>
      <w:marTop w:val="0"/>
      <w:marBottom w:val="0"/>
      <w:divBdr>
        <w:top w:val="none" w:sz="0" w:space="0" w:color="auto"/>
        <w:left w:val="none" w:sz="0" w:space="0" w:color="auto"/>
        <w:bottom w:val="none" w:sz="0" w:space="0" w:color="auto"/>
        <w:right w:val="none" w:sz="0" w:space="0" w:color="auto"/>
      </w:divBdr>
    </w:div>
    <w:div w:id="849443029">
      <w:bodyDiv w:val="1"/>
      <w:marLeft w:val="0"/>
      <w:marRight w:val="0"/>
      <w:marTop w:val="0"/>
      <w:marBottom w:val="0"/>
      <w:divBdr>
        <w:top w:val="none" w:sz="0" w:space="0" w:color="auto"/>
        <w:left w:val="none" w:sz="0" w:space="0" w:color="auto"/>
        <w:bottom w:val="none" w:sz="0" w:space="0" w:color="auto"/>
        <w:right w:val="none" w:sz="0" w:space="0" w:color="auto"/>
      </w:divBdr>
    </w:div>
    <w:div w:id="850752537">
      <w:bodyDiv w:val="1"/>
      <w:marLeft w:val="0"/>
      <w:marRight w:val="0"/>
      <w:marTop w:val="0"/>
      <w:marBottom w:val="0"/>
      <w:divBdr>
        <w:top w:val="none" w:sz="0" w:space="0" w:color="auto"/>
        <w:left w:val="none" w:sz="0" w:space="0" w:color="auto"/>
        <w:bottom w:val="none" w:sz="0" w:space="0" w:color="auto"/>
        <w:right w:val="none" w:sz="0" w:space="0" w:color="auto"/>
      </w:divBdr>
    </w:div>
    <w:div w:id="851649532">
      <w:bodyDiv w:val="1"/>
      <w:marLeft w:val="0"/>
      <w:marRight w:val="0"/>
      <w:marTop w:val="0"/>
      <w:marBottom w:val="0"/>
      <w:divBdr>
        <w:top w:val="none" w:sz="0" w:space="0" w:color="auto"/>
        <w:left w:val="none" w:sz="0" w:space="0" w:color="auto"/>
        <w:bottom w:val="none" w:sz="0" w:space="0" w:color="auto"/>
        <w:right w:val="none" w:sz="0" w:space="0" w:color="auto"/>
      </w:divBdr>
    </w:div>
    <w:div w:id="853811439">
      <w:bodyDiv w:val="1"/>
      <w:marLeft w:val="0"/>
      <w:marRight w:val="0"/>
      <w:marTop w:val="0"/>
      <w:marBottom w:val="0"/>
      <w:divBdr>
        <w:top w:val="none" w:sz="0" w:space="0" w:color="auto"/>
        <w:left w:val="none" w:sz="0" w:space="0" w:color="auto"/>
        <w:bottom w:val="none" w:sz="0" w:space="0" w:color="auto"/>
        <w:right w:val="none" w:sz="0" w:space="0" w:color="auto"/>
      </w:divBdr>
    </w:div>
    <w:div w:id="854071845">
      <w:bodyDiv w:val="1"/>
      <w:marLeft w:val="0"/>
      <w:marRight w:val="0"/>
      <w:marTop w:val="0"/>
      <w:marBottom w:val="0"/>
      <w:divBdr>
        <w:top w:val="none" w:sz="0" w:space="0" w:color="auto"/>
        <w:left w:val="none" w:sz="0" w:space="0" w:color="auto"/>
        <w:bottom w:val="none" w:sz="0" w:space="0" w:color="auto"/>
        <w:right w:val="none" w:sz="0" w:space="0" w:color="auto"/>
      </w:divBdr>
    </w:div>
    <w:div w:id="855728699">
      <w:bodyDiv w:val="1"/>
      <w:marLeft w:val="0"/>
      <w:marRight w:val="0"/>
      <w:marTop w:val="0"/>
      <w:marBottom w:val="0"/>
      <w:divBdr>
        <w:top w:val="none" w:sz="0" w:space="0" w:color="auto"/>
        <w:left w:val="none" w:sz="0" w:space="0" w:color="auto"/>
        <w:bottom w:val="none" w:sz="0" w:space="0" w:color="auto"/>
        <w:right w:val="none" w:sz="0" w:space="0" w:color="auto"/>
      </w:divBdr>
    </w:div>
    <w:div w:id="858546977">
      <w:bodyDiv w:val="1"/>
      <w:marLeft w:val="0"/>
      <w:marRight w:val="0"/>
      <w:marTop w:val="0"/>
      <w:marBottom w:val="0"/>
      <w:divBdr>
        <w:top w:val="none" w:sz="0" w:space="0" w:color="auto"/>
        <w:left w:val="none" w:sz="0" w:space="0" w:color="auto"/>
        <w:bottom w:val="none" w:sz="0" w:space="0" w:color="auto"/>
        <w:right w:val="none" w:sz="0" w:space="0" w:color="auto"/>
      </w:divBdr>
    </w:div>
    <w:div w:id="858928899">
      <w:bodyDiv w:val="1"/>
      <w:marLeft w:val="0"/>
      <w:marRight w:val="0"/>
      <w:marTop w:val="0"/>
      <w:marBottom w:val="0"/>
      <w:divBdr>
        <w:top w:val="none" w:sz="0" w:space="0" w:color="auto"/>
        <w:left w:val="none" w:sz="0" w:space="0" w:color="auto"/>
        <w:bottom w:val="none" w:sz="0" w:space="0" w:color="auto"/>
        <w:right w:val="none" w:sz="0" w:space="0" w:color="auto"/>
      </w:divBdr>
    </w:div>
    <w:div w:id="862861959">
      <w:bodyDiv w:val="1"/>
      <w:marLeft w:val="0"/>
      <w:marRight w:val="0"/>
      <w:marTop w:val="0"/>
      <w:marBottom w:val="0"/>
      <w:divBdr>
        <w:top w:val="none" w:sz="0" w:space="0" w:color="auto"/>
        <w:left w:val="none" w:sz="0" w:space="0" w:color="auto"/>
        <w:bottom w:val="none" w:sz="0" w:space="0" w:color="auto"/>
        <w:right w:val="none" w:sz="0" w:space="0" w:color="auto"/>
      </w:divBdr>
    </w:div>
    <w:div w:id="863785917">
      <w:bodyDiv w:val="1"/>
      <w:marLeft w:val="0"/>
      <w:marRight w:val="0"/>
      <w:marTop w:val="0"/>
      <w:marBottom w:val="0"/>
      <w:divBdr>
        <w:top w:val="none" w:sz="0" w:space="0" w:color="auto"/>
        <w:left w:val="none" w:sz="0" w:space="0" w:color="auto"/>
        <w:bottom w:val="none" w:sz="0" w:space="0" w:color="auto"/>
        <w:right w:val="none" w:sz="0" w:space="0" w:color="auto"/>
      </w:divBdr>
    </w:div>
    <w:div w:id="865018750">
      <w:bodyDiv w:val="1"/>
      <w:marLeft w:val="0"/>
      <w:marRight w:val="0"/>
      <w:marTop w:val="0"/>
      <w:marBottom w:val="0"/>
      <w:divBdr>
        <w:top w:val="none" w:sz="0" w:space="0" w:color="auto"/>
        <w:left w:val="none" w:sz="0" w:space="0" w:color="auto"/>
        <w:bottom w:val="none" w:sz="0" w:space="0" w:color="auto"/>
        <w:right w:val="none" w:sz="0" w:space="0" w:color="auto"/>
      </w:divBdr>
    </w:div>
    <w:div w:id="866677055">
      <w:bodyDiv w:val="1"/>
      <w:marLeft w:val="0"/>
      <w:marRight w:val="0"/>
      <w:marTop w:val="0"/>
      <w:marBottom w:val="0"/>
      <w:divBdr>
        <w:top w:val="none" w:sz="0" w:space="0" w:color="auto"/>
        <w:left w:val="none" w:sz="0" w:space="0" w:color="auto"/>
        <w:bottom w:val="none" w:sz="0" w:space="0" w:color="auto"/>
        <w:right w:val="none" w:sz="0" w:space="0" w:color="auto"/>
      </w:divBdr>
    </w:div>
    <w:div w:id="867528010">
      <w:bodyDiv w:val="1"/>
      <w:marLeft w:val="0"/>
      <w:marRight w:val="0"/>
      <w:marTop w:val="0"/>
      <w:marBottom w:val="0"/>
      <w:divBdr>
        <w:top w:val="none" w:sz="0" w:space="0" w:color="auto"/>
        <w:left w:val="none" w:sz="0" w:space="0" w:color="auto"/>
        <w:bottom w:val="none" w:sz="0" w:space="0" w:color="auto"/>
        <w:right w:val="none" w:sz="0" w:space="0" w:color="auto"/>
      </w:divBdr>
    </w:div>
    <w:div w:id="867723725">
      <w:bodyDiv w:val="1"/>
      <w:marLeft w:val="0"/>
      <w:marRight w:val="0"/>
      <w:marTop w:val="0"/>
      <w:marBottom w:val="0"/>
      <w:divBdr>
        <w:top w:val="none" w:sz="0" w:space="0" w:color="auto"/>
        <w:left w:val="none" w:sz="0" w:space="0" w:color="auto"/>
        <w:bottom w:val="none" w:sz="0" w:space="0" w:color="auto"/>
        <w:right w:val="none" w:sz="0" w:space="0" w:color="auto"/>
      </w:divBdr>
    </w:div>
    <w:div w:id="871383538">
      <w:bodyDiv w:val="1"/>
      <w:marLeft w:val="0"/>
      <w:marRight w:val="0"/>
      <w:marTop w:val="0"/>
      <w:marBottom w:val="0"/>
      <w:divBdr>
        <w:top w:val="none" w:sz="0" w:space="0" w:color="auto"/>
        <w:left w:val="none" w:sz="0" w:space="0" w:color="auto"/>
        <w:bottom w:val="none" w:sz="0" w:space="0" w:color="auto"/>
        <w:right w:val="none" w:sz="0" w:space="0" w:color="auto"/>
      </w:divBdr>
    </w:div>
    <w:div w:id="871573009">
      <w:bodyDiv w:val="1"/>
      <w:marLeft w:val="0"/>
      <w:marRight w:val="0"/>
      <w:marTop w:val="0"/>
      <w:marBottom w:val="0"/>
      <w:divBdr>
        <w:top w:val="none" w:sz="0" w:space="0" w:color="auto"/>
        <w:left w:val="none" w:sz="0" w:space="0" w:color="auto"/>
        <w:bottom w:val="none" w:sz="0" w:space="0" w:color="auto"/>
        <w:right w:val="none" w:sz="0" w:space="0" w:color="auto"/>
      </w:divBdr>
    </w:div>
    <w:div w:id="871575738">
      <w:bodyDiv w:val="1"/>
      <w:marLeft w:val="0"/>
      <w:marRight w:val="0"/>
      <w:marTop w:val="0"/>
      <w:marBottom w:val="0"/>
      <w:divBdr>
        <w:top w:val="none" w:sz="0" w:space="0" w:color="auto"/>
        <w:left w:val="none" w:sz="0" w:space="0" w:color="auto"/>
        <w:bottom w:val="none" w:sz="0" w:space="0" w:color="auto"/>
        <w:right w:val="none" w:sz="0" w:space="0" w:color="auto"/>
      </w:divBdr>
    </w:div>
    <w:div w:id="873152608">
      <w:bodyDiv w:val="1"/>
      <w:marLeft w:val="0"/>
      <w:marRight w:val="0"/>
      <w:marTop w:val="0"/>
      <w:marBottom w:val="0"/>
      <w:divBdr>
        <w:top w:val="none" w:sz="0" w:space="0" w:color="auto"/>
        <w:left w:val="none" w:sz="0" w:space="0" w:color="auto"/>
        <w:bottom w:val="none" w:sz="0" w:space="0" w:color="auto"/>
        <w:right w:val="none" w:sz="0" w:space="0" w:color="auto"/>
      </w:divBdr>
    </w:div>
    <w:div w:id="876039946">
      <w:bodyDiv w:val="1"/>
      <w:marLeft w:val="0"/>
      <w:marRight w:val="0"/>
      <w:marTop w:val="0"/>
      <w:marBottom w:val="0"/>
      <w:divBdr>
        <w:top w:val="none" w:sz="0" w:space="0" w:color="auto"/>
        <w:left w:val="none" w:sz="0" w:space="0" w:color="auto"/>
        <w:bottom w:val="none" w:sz="0" w:space="0" w:color="auto"/>
        <w:right w:val="none" w:sz="0" w:space="0" w:color="auto"/>
      </w:divBdr>
    </w:div>
    <w:div w:id="876625174">
      <w:bodyDiv w:val="1"/>
      <w:marLeft w:val="0"/>
      <w:marRight w:val="0"/>
      <w:marTop w:val="0"/>
      <w:marBottom w:val="0"/>
      <w:divBdr>
        <w:top w:val="none" w:sz="0" w:space="0" w:color="auto"/>
        <w:left w:val="none" w:sz="0" w:space="0" w:color="auto"/>
        <w:bottom w:val="none" w:sz="0" w:space="0" w:color="auto"/>
        <w:right w:val="none" w:sz="0" w:space="0" w:color="auto"/>
      </w:divBdr>
    </w:div>
    <w:div w:id="878588850">
      <w:bodyDiv w:val="1"/>
      <w:marLeft w:val="0"/>
      <w:marRight w:val="0"/>
      <w:marTop w:val="0"/>
      <w:marBottom w:val="0"/>
      <w:divBdr>
        <w:top w:val="none" w:sz="0" w:space="0" w:color="auto"/>
        <w:left w:val="none" w:sz="0" w:space="0" w:color="auto"/>
        <w:bottom w:val="none" w:sz="0" w:space="0" w:color="auto"/>
        <w:right w:val="none" w:sz="0" w:space="0" w:color="auto"/>
      </w:divBdr>
    </w:div>
    <w:div w:id="878929143">
      <w:bodyDiv w:val="1"/>
      <w:marLeft w:val="0"/>
      <w:marRight w:val="0"/>
      <w:marTop w:val="0"/>
      <w:marBottom w:val="0"/>
      <w:divBdr>
        <w:top w:val="none" w:sz="0" w:space="0" w:color="auto"/>
        <w:left w:val="none" w:sz="0" w:space="0" w:color="auto"/>
        <w:bottom w:val="none" w:sz="0" w:space="0" w:color="auto"/>
        <w:right w:val="none" w:sz="0" w:space="0" w:color="auto"/>
      </w:divBdr>
    </w:div>
    <w:div w:id="880559778">
      <w:bodyDiv w:val="1"/>
      <w:marLeft w:val="0"/>
      <w:marRight w:val="0"/>
      <w:marTop w:val="0"/>
      <w:marBottom w:val="0"/>
      <w:divBdr>
        <w:top w:val="none" w:sz="0" w:space="0" w:color="auto"/>
        <w:left w:val="none" w:sz="0" w:space="0" w:color="auto"/>
        <w:bottom w:val="none" w:sz="0" w:space="0" w:color="auto"/>
        <w:right w:val="none" w:sz="0" w:space="0" w:color="auto"/>
      </w:divBdr>
    </w:div>
    <w:div w:id="881286153">
      <w:bodyDiv w:val="1"/>
      <w:marLeft w:val="0"/>
      <w:marRight w:val="0"/>
      <w:marTop w:val="0"/>
      <w:marBottom w:val="0"/>
      <w:divBdr>
        <w:top w:val="none" w:sz="0" w:space="0" w:color="auto"/>
        <w:left w:val="none" w:sz="0" w:space="0" w:color="auto"/>
        <w:bottom w:val="none" w:sz="0" w:space="0" w:color="auto"/>
        <w:right w:val="none" w:sz="0" w:space="0" w:color="auto"/>
      </w:divBdr>
    </w:div>
    <w:div w:id="883520770">
      <w:bodyDiv w:val="1"/>
      <w:marLeft w:val="0"/>
      <w:marRight w:val="0"/>
      <w:marTop w:val="0"/>
      <w:marBottom w:val="0"/>
      <w:divBdr>
        <w:top w:val="none" w:sz="0" w:space="0" w:color="auto"/>
        <w:left w:val="none" w:sz="0" w:space="0" w:color="auto"/>
        <w:bottom w:val="none" w:sz="0" w:space="0" w:color="auto"/>
        <w:right w:val="none" w:sz="0" w:space="0" w:color="auto"/>
      </w:divBdr>
    </w:div>
    <w:div w:id="887299256">
      <w:bodyDiv w:val="1"/>
      <w:marLeft w:val="0"/>
      <w:marRight w:val="0"/>
      <w:marTop w:val="0"/>
      <w:marBottom w:val="0"/>
      <w:divBdr>
        <w:top w:val="none" w:sz="0" w:space="0" w:color="auto"/>
        <w:left w:val="none" w:sz="0" w:space="0" w:color="auto"/>
        <w:bottom w:val="none" w:sz="0" w:space="0" w:color="auto"/>
        <w:right w:val="none" w:sz="0" w:space="0" w:color="auto"/>
      </w:divBdr>
    </w:div>
    <w:div w:id="888691423">
      <w:bodyDiv w:val="1"/>
      <w:marLeft w:val="0"/>
      <w:marRight w:val="0"/>
      <w:marTop w:val="0"/>
      <w:marBottom w:val="0"/>
      <w:divBdr>
        <w:top w:val="none" w:sz="0" w:space="0" w:color="auto"/>
        <w:left w:val="none" w:sz="0" w:space="0" w:color="auto"/>
        <w:bottom w:val="none" w:sz="0" w:space="0" w:color="auto"/>
        <w:right w:val="none" w:sz="0" w:space="0" w:color="auto"/>
      </w:divBdr>
    </w:div>
    <w:div w:id="888997336">
      <w:bodyDiv w:val="1"/>
      <w:marLeft w:val="0"/>
      <w:marRight w:val="0"/>
      <w:marTop w:val="0"/>
      <w:marBottom w:val="0"/>
      <w:divBdr>
        <w:top w:val="none" w:sz="0" w:space="0" w:color="auto"/>
        <w:left w:val="none" w:sz="0" w:space="0" w:color="auto"/>
        <w:bottom w:val="none" w:sz="0" w:space="0" w:color="auto"/>
        <w:right w:val="none" w:sz="0" w:space="0" w:color="auto"/>
      </w:divBdr>
    </w:div>
    <w:div w:id="891036684">
      <w:bodyDiv w:val="1"/>
      <w:marLeft w:val="0"/>
      <w:marRight w:val="0"/>
      <w:marTop w:val="0"/>
      <w:marBottom w:val="0"/>
      <w:divBdr>
        <w:top w:val="none" w:sz="0" w:space="0" w:color="auto"/>
        <w:left w:val="none" w:sz="0" w:space="0" w:color="auto"/>
        <w:bottom w:val="none" w:sz="0" w:space="0" w:color="auto"/>
        <w:right w:val="none" w:sz="0" w:space="0" w:color="auto"/>
      </w:divBdr>
    </w:div>
    <w:div w:id="891622906">
      <w:bodyDiv w:val="1"/>
      <w:marLeft w:val="0"/>
      <w:marRight w:val="0"/>
      <w:marTop w:val="0"/>
      <w:marBottom w:val="0"/>
      <w:divBdr>
        <w:top w:val="none" w:sz="0" w:space="0" w:color="auto"/>
        <w:left w:val="none" w:sz="0" w:space="0" w:color="auto"/>
        <w:bottom w:val="none" w:sz="0" w:space="0" w:color="auto"/>
        <w:right w:val="none" w:sz="0" w:space="0" w:color="auto"/>
      </w:divBdr>
    </w:div>
    <w:div w:id="892351638">
      <w:bodyDiv w:val="1"/>
      <w:marLeft w:val="0"/>
      <w:marRight w:val="0"/>
      <w:marTop w:val="0"/>
      <w:marBottom w:val="0"/>
      <w:divBdr>
        <w:top w:val="none" w:sz="0" w:space="0" w:color="auto"/>
        <w:left w:val="none" w:sz="0" w:space="0" w:color="auto"/>
        <w:bottom w:val="none" w:sz="0" w:space="0" w:color="auto"/>
        <w:right w:val="none" w:sz="0" w:space="0" w:color="auto"/>
      </w:divBdr>
    </w:div>
    <w:div w:id="893393245">
      <w:bodyDiv w:val="1"/>
      <w:marLeft w:val="0"/>
      <w:marRight w:val="0"/>
      <w:marTop w:val="0"/>
      <w:marBottom w:val="0"/>
      <w:divBdr>
        <w:top w:val="none" w:sz="0" w:space="0" w:color="auto"/>
        <w:left w:val="none" w:sz="0" w:space="0" w:color="auto"/>
        <w:bottom w:val="none" w:sz="0" w:space="0" w:color="auto"/>
        <w:right w:val="none" w:sz="0" w:space="0" w:color="auto"/>
      </w:divBdr>
    </w:div>
    <w:div w:id="893586701">
      <w:bodyDiv w:val="1"/>
      <w:marLeft w:val="0"/>
      <w:marRight w:val="0"/>
      <w:marTop w:val="0"/>
      <w:marBottom w:val="0"/>
      <w:divBdr>
        <w:top w:val="none" w:sz="0" w:space="0" w:color="auto"/>
        <w:left w:val="none" w:sz="0" w:space="0" w:color="auto"/>
        <w:bottom w:val="none" w:sz="0" w:space="0" w:color="auto"/>
        <w:right w:val="none" w:sz="0" w:space="0" w:color="auto"/>
      </w:divBdr>
    </w:div>
    <w:div w:id="895432071">
      <w:bodyDiv w:val="1"/>
      <w:marLeft w:val="0"/>
      <w:marRight w:val="0"/>
      <w:marTop w:val="0"/>
      <w:marBottom w:val="0"/>
      <w:divBdr>
        <w:top w:val="none" w:sz="0" w:space="0" w:color="auto"/>
        <w:left w:val="none" w:sz="0" w:space="0" w:color="auto"/>
        <w:bottom w:val="none" w:sz="0" w:space="0" w:color="auto"/>
        <w:right w:val="none" w:sz="0" w:space="0" w:color="auto"/>
      </w:divBdr>
    </w:div>
    <w:div w:id="895971946">
      <w:bodyDiv w:val="1"/>
      <w:marLeft w:val="0"/>
      <w:marRight w:val="0"/>
      <w:marTop w:val="0"/>
      <w:marBottom w:val="0"/>
      <w:divBdr>
        <w:top w:val="none" w:sz="0" w:space="0" w:color="auto"/>
        <w:left w:val="none" w:sz="0" w:space="0" w:color="auto"/>
        <w:bottom w:val="none" w:sz="0" w:space="0" w:color="auto"/>
        <w:right w:val="none" w:sz="0" w:space="0" w:color="auto"/>
      </w:divBdr>
    </w:div>
    <w:div w:id="897282842">
      <w:bodyDiv w:val="1"/>
      <w:marLeft w:val="0"/>
      <w:marRight w:val="0"/>
      <w:marTop w:val="0"/>
      <w:marBottom w:val="0"/>
      <w:divBdr>
        <w:top w:val="none" w:sz="0" w:space="0" w:color="auto"/>
        <w:left w:val="none" w:sz="0" w:space="0" w:color="auto"/>
        <w:bottom w:val="none" w:sz="0" w:space="0" w:color="auto"/>
        <w:right w:val="none" w:sz="0" w:space="0" w:color="auto"/>
      </w:divBdr>
    </w:div>
    <w:div w:id="897394590">
      <w:bodyDiv w:val="1"/>
      <w:marLeft w:val="0"/>
      <w:marRight w:val="0"/>
      <w:marTop w:val="0"/>
      <w:marBottom w:val="0"/>
      <w:divBdr>
        <w:top w:val="none" w:sz="0" w:space="0" w:color="auto"/>
        <w:left w:val="none" w:sz="0" w:space="0" w:color="auto"/>
        <w:bottom w:val="none" w:sz="0" w:space="0" w:color="auto"/>
        <w:right w:val="none" w:sz="0" w:space="0" w:color="auto"/>
      </w:divBdr>
    </w:div>
    <w:div w:id="904989436">
      <w:bodyDiv w:val="1"/>
      <w:marLeft w:val="0"/>
      <w:marRight w:val="0"/>
      <w:marTop w:val="0"/>
      <w:marBottom w:val="0"/>
      <w:divBdr>
        <w:top w:val="none" w:sz="0" w:space="0" w:color="auto"/>
        <w:left w:val="none" w:sz="0" w:space="0" w:color="auto"/>
        <w:bottom w:val="none" w:sz="0" w:space="0" w:color="auto"/>
        <w:right w:val="none" w:sz="0" w:space="0" w:color="auto"/>
      </w:divBdr>
    </w:div>
    <w:div w:id="906303002">
      <w:bodyDiv w:val="1"/>
      <w:marLeft w:val="0"/>
      <w:marRight w:val="0"/>
      <w:marTop w:val="0"/>
      <w:marBottom w:val="0"/>
      <w:divBdr>
        <w:top w:val="none" w:sz="0" w:space="0" w:color="auto"/>
        <w:left w:val="none" w:sz="0" w:space="0" w:color="auto"/>
        <w:bottom w:val="none" w:sz="0" w:space="0" w:color="auto"/>
        <w:right w:val="none" w:sz="0" w:space="0" w:color="auto"/>
      </w:divBdr>
      <w:divsChild>
        <w:div w:id="110125935">
          <w:marLeft w:val="0"/>
          <w:marRight w:val="0"/>
          <w:marTop w:val="0"/>
          <w:marBottom w:val="0"/>
          <w:divBdr>
            <w:top w:val="none" w:sz="0" w:space="0" w:color="auto"/>
            <w:left w:val="none" w:sz="0" w:space="0" w:color="auto"/>
            <w:bottom w:val="none" w:sz="0" w:space="0" w:color="auto"/>
            <w:right w:val="none" w:sz="0" w:space="0" w:color="auto"/>
          </w:divBdr>
        </w:div>
        <w:div w:id="1665204521">
          <w:marLeft w:val="0"/>
          <w:marRight w:val="0"/>
          <w:marTop w:val="0"/>
          <w:marBottom w:val="0"/>
          <w:divBdr>
            <w:top w:val="none" w:sz="0" w:space="0" w:color="auto"/>
            <w:left w:val="none" w:sz="0" w:space="0" w:color="auto"/>
            <w:bottom w:val="none" w:sz="0" w:space="0" w:color="auto"/>
            <w:right w:val="none" w:sz="0" w:space="0" w:color="auto"/>
          </w:divBdr>
        </w:div>
      </w:divsChild>
    </w:div>
    <w:div w:id="910775561">
      <w:bodyDiv w:val="1"/>
      <w:marLeft w:val="0"/>
      <w:marRight w:val="0"/>
      <w:marTop w:val="0"/>
      <w:marBottom w:val="0"/>
      <w:divBdr>
        <w:top w:val="none" w:sz="0" w:space="0" w:color="auto"/>
        <w:left w:val="none" w:sz="0" w:space="0" w:color="auto"/>
        <w:bottom w:val="none" w:sz="0" w:space="0" w:color="auto"/>
        <w:right w:val="none" w:sz="0" w:space="0" w:color="auto"/>
      </w:divBdr>
    </w:div>
    <w:div w:id="911737751">
      <w:bodyDiv w:val="1"/>
      <w:marLeft w:val="0"/>
      <w:marRight w:val="0"/>
      <w:marTop w:val="0"/>
      <w:marBottom w:val="0"/>
      <w:divBdr>
        <w:top w:val="none" w:sz="0" w:space="0" w:color="auto"/>
        <w:left w:val="none" w:sz="0" w:space="0" w:color="auto"/>
        <w:bottom w:val="none" w:sz="0" w:space="0" w:color="auto"/>
        <w:right w:val="none" w:sz="0" w:space="0" w:color="auto"/>
      </w:divBdr>
    </w:div>
    <w:div w:id="911738563">
      <w:bodyDiv w:val="1"/>
      <w:marLeft w:val="0"/>
      <w:marRight w:val="0"/>
      <w:marTop w:val="0"/>
      <w:marBottom w:val="0"/>
      <w:divBdr>
        <w:top w:val="none" w:sz="0" w:space="0" w:color="auto"/>
        <w:left w:val="none" w:sz="0" w:space="0" w:color="auto"/>
        <w:bottom w:val="none" w:sz="0" w:space="0" w:color="auto"/>
        <w:right w:val="none" w:sz="0" w:space="0" w:color="auto"/>
      </w:divBdr>
    </w:div>
    <w:div w:id="911963154">
      <w:bodyDiv w:val="1"/>
      <w:marLeft w:val="0"/>
      <w:marRight w:val="0"/>
      <w:marTop w:val="0"/>
      <w:marBottom w:val="0"/>
      <w:divBdr>
        <w:top w:val="none" w:sz="0" w:space="0" w:color="auto"/>
        <w:left w:val="none" w:sz="0" w:space="0" w:color="auto"/>
        <w:bottom w:val="none" w:sz="0" w:space="0" w:color="auto"/>
        <w:right w:val="none" w:sz="0" w:space="0" w:color="auto"/>
      </w:divBdr>
    </w:div>
    <w:div w:id="917055973">
      <w:bodyDiv w:val="1"/>
      <w:marLeft w:val="0"/>
      <w:marRight w:val="0"/>
      <w:marTop w:val="0"/>
      <w:marBottom w:val="0"/>
      <w:divBdr>
        <w:top w:val="none" w:sz="0" w:space="0" w:color="auto"/>
        <w:left w:val="none" w:sz="0" w:space="0" w:color="auto"/>
        <w:bottom w:val="none" w:sz="0" w:space="0" w:color="auto"/>
        <w:right w:val="none" w:sz="0" w:space="0" w:color="auto"/>
      </w:divBdr>
    </w:div>
    <w:div w:id="917791949">
      <w:bodyDiv w:val="1"/>
      <w:marLeft w:val="0"/>
      <w:marRight w:val="0"/>
      <w:marTop w:val="0"/>
      <w:marBottom w:val="0"/>
      <w:divBdr>
        <w:top w:val="none" w:sz="0" w:space="0" w:color="auto"/>
        <w:left w:val="none" w:sz="0" w:space="0" w:color="auto"/>
        <w:bottom w:val="none" w:sz="0" w:space="0" w:color="auto"/>
        <w:right w:val="none" w:sz="0" w:space="0" w:color="auto"/>
      </w:divBdr>
    </w:div>
    <w:div w:id="920017765">
      <w:bodyDiv w:val="1"/>
      <w:marLeft w:val="0"/>
      <w:marRight w:val="0"/>
      <w:marTop w:val="0"/>
      <w:marBottom w:val="0"/>
      <w:divBdr>
        <w:top w:val="none" w:sz="0" w:space="0" w:color="auto"/>
        <w:left w:val="none" w:sz="0" w:space="0" w:color="auto"/>
        <w:bottom w:val="none" w:sz="0" w:space="0" w:color="auto"/>
        <w:right w:val="none" w:sz="0" w:space="0" w:color="auto"/>
      </w:divBdr>
    </w:div>
    <w:div w:id="920219843">
      <w:bodyDiv w:val="1"/>
      <w:marLeft w:val="0"/>
      <w:marRight w:val="0"/>
      <w:marTop w:val="0"/>
      <w:marBottom w:val="0"/>
      <w:divBdr>
        <w:top w:val="none" w:sz="0" w:space="0" w:color="auto"/>
        <w:left w:val="none" w:sz="0" w:space="0" w:color="auto"/>
        <w:bottom w:val="none" w:sz="0" w:space="0" w:color="auto"/>
        <w:right w:val="none" w:sz="0" w:space="0" w:color="auto"/>
      </w:divBdr>
    </w:div>
    <w:div w:id="920410064">
      <w:bodyDiv w:val="1"/>
      <w:marLeft w:val="0"/>
      <w:marRight w:val="0"/>
      <w:marTop w:val="0"/>
      <w:marBottom w:val="0"/>
      <w:divBdr>
        <w:top w:val="none" w:sz="0" w:space="0" w:color="auto"/>
        <w:left w:val="none" w:sz="0" w:space="0" w:color="auto"/>
        <w:bottom w:val="none" w:sz="0" w:space="0" w:color="auto"/>
        <w:right w:val="none" w:sz="0" w:space="0" w:color="auto"/>
      </w:divBdr>
    </w:div>
    <w:div w:id="922102169">
      <w:bodyDiv w:val="1"/>
      <w:marLeft w:val="0"/>
      <w:marRight w:val="0"/>
      <w:marTop w:val="0"/>
      <w:marBottom w:val="0"/>
      <w:divBdr>
        <w:top w:val="none" w:sz="0" w:space="0" w:color="auto"/>
        <w:left w:val="none" w:sz="0" w:space="0" w:color="auto"/>
        <w:bottom w:val="none" w:sz="0" w:space="0" w:color="auto"/>
        <w:right w:val="none" w:sz="0" w:space="0" w:color="auto"/>
      </w:divBdr>
    </w:div>
    <w:div w:id="924611567">
      <w:bodyDiv w:val="1"/>
      <w:marLeft w:val="0"/>
      <w:marRight w:val="0"/>
      <w:marTop w:val="0"/>
      <w:marBottom w:val="0"/>
      <w:divBdr>
        <w:top w:val="none" w:sz="0" w:space="0" w:color="auto"/>
        <w:left w:val="none" w:sz="0" w:space="0" w:color="auto"/>
        <w:bottom w:val="none" w:sz="0" w:space="0" w:color="auto"/>
        <w:right w:val="none" w:sz="0" w:space="0" w:color="auto"/>
      </w:divBdr>
    </w:div>
    <w:div w:id="925655200">
      <w:bodyDiv w:val="1"/>
      <w:marLeft w:val="0"/>
      <w:marRight w:val="0"/>
      <w:marTop w:val="0"/>
      <w:marBottom w:val="0"/>
      <w:divBdr>
        <w:top w:val="none" w:sz="0" w:space="0" w:color="auto"/>
        <w:left w:val="none" w:sz="0" w:space="0" w:color="auto"/>
        <w:bottom w:val="none" w:sz="0" w:space="0" w:color="auto"/>
        <w:right w:val="none" w:sz="0" w:space="0" w:color="auto"/>
      </w:divBdr>
    </w:div>
    <w:div w:id="926227065">
      <w:bodyDiv w:val="1"/>
      <w:marLeft w:val="0"/>
      <w:marRight w:val="0"/>
      <w:marTop w:val="0"/>
      <w:marBottom w:val="0"/>
      <w:divBdr>
        <w:top w:val="none" w:sz="0" w:space="0" w:color="auto"/>
        <w:left w:val="none" w:sz="0" w:space="0" w:color="auto"/>
        <w:bottom w:val="none" w:sz="0" w:space="0" w:color="auto"/>
        <w:right w:val="none" w:sz="0" w:space="0" w:color="auto"/>
      </w:divBdr>
    </w:div>
    <w:div w:id="926689181">
      <w:bodyDiv w:val="1"/>
      <w:marLeft w:val="0"/>
      <w:marRight w:val="0"/>
      <w:marTop w:val="0"/>
      <w:marBottom w:val="0"/>
      <w:divBdr>
        <w:top w:val="none" w:sz="0" w:space="0" w:color="auto"/>
        <w:left w:val="none" w:sz="0" w:space="0" w:color="auto"/>
        <w:bottom w:val="none" w:sz="0" w:space="0" w:color="auto"/>
        <w:right w:val="none" w:sz="0" w:space="0" w:color="auto"/>
      </w:divBdr>
    </w:div>
    <w:div w:id="927543677">
      <w:bodyDiv w:val="1"/>
      <w:marLeft w:val="0"/>
      <w:marRight w:val="0"/>
      <w:marTop w:val="0"/>
      <w:marBottom w:val="0"/>
      <w:divBdr>
        <w:top w:val="none" w:sz="0" w:space="0" w:color="auto"/>
        <w:left w:val="none" w:sz="0" w:space="0" w:color="auto"/>
        <w:bottom w:val="none" w:sz="0" w:space="0" w:color="auto"/>
        <w:right w:val="none" w:sz="0" w:space="0" w:color="auto"/>
      </w:divBdr>
    </w:div>
    <w:div w:id="928737709">
      <w:bodyDiv w:val="1"/>
      <w:marLeft w:val="0"/>
      <w:marRight w:val="0"/>
      <w:marTop w:val="0"/>
      <w:marBottom w:val="0"/>
      <w:divBdr>
        <w:top w:val="none" w:sz="0" w:space="0" w:color="auto"/>
        <w:left w:val="none" w:sz="0" w:space="0" w:color="auto"/>
        <w:bottom w:val="none" w:sz="0" w:space="0" w:color="auto"/>
        <w:right w:val="none" w:sz="0" w:space="0" w:color="auto"/>
      </w:divBdr>
    </w:div>
    <w:div w:id="929894591">
      <w:bodyDiv w:val="1"/>
      <w:marLeft w:val="0"/>
      <w:marRight w:val="0"/>
      <w:marTop w:val="0"/>
      <w:marBottom w:val="0"/>
      <w:divBdr>
        <w:top w:val="none" w:sz="0" w:space="0" w:color="auto"/>
        <w:left w:val="none" w:sz="0" w:space="0" w:color="auto"/>
        <w:bottom w:val="none" w:sz="0" w:space="0" w:color="auto"/>
        <w:right w:val="none" w:sz="0" w:space="0" w:color="auto"/>
      </w:divBdr>
    </w:div>
    <w:div w:id="929968948">
      <w:bodyDiv w:val="1"/>
      <w:marLeft w:val="0"/>
      <w:marRight w:val="0"/>
      <w:marTop w:val="0"/>
      <w:marBottom w:val="0"/>
      <w:divBdr>
        <w:top w:val="none" w:sz="0" w:space="0" w:color="auto"/>
        <w:left w:val="none" w:sz="0" w:space="0" w:color="auto"/>
        <w:bottom w:val="none" w:sz="0" w:space="0" w:color="auto"/>
        <w:right w:val="none" w:sz="0" w:space="0" w:color="auto"/>
      </w:divBdr>
    </w:div>
    <w:div w:id="931276674">
      <w:bodyDiv w:val="1"/>
      <w:marLeft w:val="0"/>
      <w:marRight w:val="0"/>
      <w:marTop w:val="0"/>
      <w:marBottom w:val="0"/>
      <w:divBdr>
        <w:top w:val="none" w:sz="0" w:space="0" w:color="auto"/>
        <w:left w:val="none" w:sz="0" w:space="0" w:color="auto"/>
        <w:bottom w:val="none" w:sz="0" w:space="0" w:color="auto"/>
        <w:right w:val="none" w:sz="0" w:space="0" w:color="auto"/>
      </w:divBdr>
    </w:div>
    <w:div w:id="932932586">
      <w:bodyDiv w:val="1"/>
      <w:marLeft w:val="0"/>
      <w:marRight w:val="0"/>
      <w:marTop w:val="0"/>
      <w:marBottom w:val="0"/>
      <w:divBdr>
        <w:top w:val="none" w:sz="0" w:space="0" w:color="auto"/>
        <w:left w:val="none" w:sz="0" w:space="0" w:color="auto"/>
        <w:bottom w:val="none" w:sz="0" w:space="0" w:color="auto"/>
        <w:right w:val="none" w:sz="0" w:space="0" w:color="auto"/>
      </w:divBdr>
    </w:div>
    <w:div w:id="933317166">
      <w:bodyDiv w:val="1"/>
      <w:marLeft w:val="0"/>
      <w:marRight w:val="0"/>
      <w:marTop w:val="0"/>
      <w:marBottom w:val="0"/>
      <w:divBdr>
        <w:top w:val="none" w:sz="0" w:space="0" w:color="auto"/>
        <w:left w:val="none" w:sz="0" w:space="0" w:color="auto"/>
        <w:bottom w:val="none" w:sz="0" w:space="0" w:color="auto"/>
        <w:right w:val="none" w:sz="0" w:space="0" w:color="auto"/>
      </w:divBdr>
    </w:div>
    <w:div w:id="933561314">
      <w:bodyDiv w:val="1"/>
      <w:marLeft w:val="0"/>
      <w:marRight w:val="0"/>
      <w:marTop w:val="0"/>
      <w:marBottom w:val="0"/>
      <w:divBdr>
        <w:top w:val="none" w:sz="0" w:space="0" w:color="auto"/>
        <w:left w:val="none" w:sz="0" w:space="0" w:color="auto"/>
        <w:bottom w:val="none" w:sz="0" w:space="0" w:color="auto"/>
        <w:right w:val="none" w:sz="0" w:space="0" w:color="auto"/>
      </w:divBdr>
    </w:div>
    <w:div w:id="933853989">
      <w:bodyDiv w:val="1"/>
      <w:marLeft w:val="0"/>
      <w:marRight w:val="0"/>
      <w:marTop w:val="0"/>
      <w:marBottom w:val="0"/>
      <w:divBdr>
        <w:top w:val="none" w:sz="0" w:space="0" w:color="auto"/>
        <w:left w:val="none" w:sz="0" w:space="0" w:color="auto"/>
        <w:bottom w:val="none" w:sz="0" w:space="0" w:color="auto"/>
        <w:right w:val="none" w:sz="0" w:space="0" w:color="auto"/>
      </w:divBdr>
    </w:div>
    <w:div w:id="934358692">
      <w:bodyDiv w:val="1"/>
      <w:marLeft w:val="0"/>
      <w:marRight w:val="0"/>
      <w:marTop w:val="0"/>
      <w:marBottom w:val="0"/>
      <w:divBdr>
        <w:top w:val="none" w:sz="0" w:space="0" w:color="auto"/>
        <w:left w:val="none" w:sz="0" w:space="0" w:color="auto"/>
        <w:bottom w:val="none" w:sz="0" w:space="0" w:color="auto"/>
        <w:right w:val="none" w:sz="0" w:space="0" w:color="auto"/>
      </w:divBdr>
    </w:div>
    <w:div w:id="934633585">
      <w:bodyDiv w:val="1"/>
      <w:marLeft w:val="0"/>
      <w:marRight w:val="0"/>
      <w:marTop w:val="0"/>
      <w:marBottom w:val="0"/>
      <w:divBdr>
        <w:top w:val="none" w:sz="0" w:space="0" w:color="auto"/>
        <w:left w:val="none" w:sz="0" w:space="0" w:color="auto"/>
        <w:bottom w:val="none" w:sz="0" w:space="0" w:color="auto"/>
        <w:right w:val="none" w:sz="0" w:space="0" w:color="auto"/>
      </w:divBdr>
    </w:div>
    <w:div w:id="935020493">
      <w:bodyDiv w:val="1"/>
      <w:marLeft w:val="0"/>
      <w:marRight w:val="0"/>
      <w:marTop w:val="0"/>
      <w:marBottom w:val="0"/>
      <w:divBdr>
        <w:top w:val="none" w:sz="0" w:space="0" w:color="auto"/>
        <w:left w:val="none" w:sz="0" w:space="0" w:color="auto"/>
        <w:bottom w:val="none" w:sz="0" w:space="0" w:color="auto"/>
        <w:right w:val="none" w:sz="0" w:space="0" w:color="auto"/>
      </w:divBdr>
    </w:div>
    <w:div w:id="935599931">
      <w:bodyDiv w:val="1"/>
      <w:marLeft w:val="0"/>
      <w:marRight w:val="0"/>
      <w:marTop w:val="0"/>
      <w:marBottom w:val="0"/>
      <w:divBdr>
        <w:top w:val="none" w:sz="0" w:space="0" w:color="auto"/>
        <w:left w:val="none" w:sz="0" w:space="0" w:color="auto"/>
        <w:bottom w:val="none" w:sz="0" w:space="0" w:color="auto"/>
        <w:right w:val="none" w:sz="0" w:space="0" w:color="auto"/>
      </w:divBdr>
    </w:div>
    <w:div w:id="936182806">
      <w:bodyDiv w:val="1"/>
      <w:marLeft w:val="0"/>
      <w:marRight w:val="0"/>
      <w:marTop w:val="0"/>
      <w:marBottom w:val="0"/>
      <w:divBdr>
        <w:top w:val="none" w:sz="0" w:space="0" w:color="auto"/>
        <w:left w:val="none" w:sz="0" w:space="0" w:color="auto"/>
        <w:bottom w:val="none" w:sz="0" w:space="0" w:color="auto"/>
        <w:right w:val="none" w:sz="0" w:space="0" w:color="auto"/>
      </w:divBdr>
    </w:div>
    <w:div w:id="936644924">
      <w:bodyDiv w:val="1"/>
      <w:marLeft w:val="0"/>
      <w:marRight w:val="0"/>
      <w:marTop w:val="0"/>
      <w:marBottom w:val="0"/>
      <w:divBdr>
        <w:top w:val="none" w:sz="0" w:space="0" w:color="auto"/>
        <w:left w:val="none" w:sz="0" w:space="0" w:color="auto"/>
        <w:bottom w:val="none" w:sz="0" w:space="0" w:color="auto"/>
        <w:right w:val="none" w:sz="0" w:space="0" w:color="auto"/>
      </w:divBdr>
    </w:div>
    <w:div w:id="937324356">
      <w:bodyDiv w:val="1"/>
      <w:marLeft w:val="0"/>
      <w:marRight w:val="0"/>
      <w:marTop w:val="0"/>
      <w:marBottom w:val="0"/>
      <w:divBdr>
        <w:top w:val="none" w:sz="0" w:space="0" w:color="auto"/>
        <w:left w:val="none" w:sz="0" w:space="0" w:color="auto"/>
        <w:bottom w:val="none" w:sz="0" w:space="0" w:color="auto"/>
        <w:right w:val="none" w:sz="0" w:space="0" w:color="auto"/>
      </w:divBdr>
    </w:div>
    <w:div w:id="937979219">
      <w:bodyDiv w:val="1"/>
      <w:marLeft w:val="0"/>
      <w:marRight w:val="0"/>
      <w:marTop w:val="0"/>
      <w:marBottom w:val="0"/>
      <w:divBdr>
        <w:top w:val="none" w:sz="0" w:space="0" w:color="auto"/>
        <w:left w:val="none" w:sz="0" w:space="0" w:color="auto"/>
        <w:bottom w:val="none" w:sz="0" w:space="0" w:color="auto"/>
        <w:right w:val="none" w:sz="0" w:space="0" w:color="auto"/>
      </w:divBdr>
    </w:div>
    <w:div w:id="938291933">
      <w:bodyDiv w:val="1"/>
      <w:marLeft w:val="0"/>
      <w:marRight w:val="0"/>
      <w:marTop w:val="0"/>
      <w:marBottom w:val="0"/>
      <w:divBdr>
        <w:top w:val="none" w:sz="0" w:space="0" w:color="auto"/>
        <w:left w:val="none" w:sz="0" w:space="0" w:color="auto"/>
        <w:bottom w:val="none" w:sz="0" w:space="0" w:color="auto"/>
        <w:right w:val="none" w:sz="0" w:space="0" w:color="auto"/>
      </w:divBdr>
    </w:div>
    <w:div w:id="942112622">
      <w:bodyDiv w:val="1"/>
      <w:marLeft w:val="0"/>
      <w:marRight w:val="0"/>
      <w:marTop w:val="0"/>
      <w:marBottom w:val="0"/>
      <w:divBdr>
        <w:top w:val="none" w:sz="0" w:space="0" w:color="auto"/>
        <w:left w:val="none" w:sz="0" w:space="0" w:color="auto"/>
        <w:bottom w:val="none" w:sz="0" w:space="0" w:color="auto"/>
        <w:right w:val="none" w:sz="0" w:space="0" w:color="auto"/>
      </w:divBdr>
    </w:div>
    <w:div w:id="942223962">
      <w:bodyDiv w:val="1"/>
      <w:marLeft w:val="0"/>
      <w:marRight w:val="0"/>
      <w:marTop w:val="0"/>
      <w:marBottom w:val="0"/>
      <w:divBdr>
        <w:top w:val="none" w:sz="0" w:space="0" w:color="auto"/>
        <w:left w:val="none" w:sz="0" w:space="0" w:color="auto"/>
        <w:bottom w:val="none" w:sz="0" w:space="0" w:color="auto"/>
        <w:right w:val="none" w:sz="0" w:space="0" w:color="auto"/>
      </w:divBdr>
    </w:div>
    <w:div w:id="943153011">
      <w:bodyDiv w:val="1"/>
      <w:marLeft w:val="0"/>
      <w:marRight w:val="0"/>
      <w:marTop w:val="0"/>
      <w:marBottom w:val="0"/>
      <w:divBdr>
        <w:top w:val="none" w:sz="0" w:space="0" w:color="auto"/>
        <w:left w:val="none" w:sz="0" w:space="0" w:color="auto"/>
        <w:bottom w:val="none" w:sz="0" w:space="0" w:color="auto"/>
        <w:right w:val="none" w:sz="0" w:space="0" w:color="auto"/>
      </w:divBdr>
    </w:div>
    <w:div w:id="943340659">
      <w:bodyDiv w:val="1"/>
      <w:marLeft w:val="0"/>
      <w:marRight w:val="0"/>
      <w:marTop w:val="0"/>
      <w:marBottom w:val="0"/>
      <w:divBdr>
        <w:top w:val="none" w:sz="0" w:space="0" w:color="auto"/>
        <w:left w:val="none" w:sz="0" w:space="0" w:color="auto"/>
        <w:bottom w:val="none" w:sz="0" w:space="0" w:color="auto"/>
        <w:right w:val="none" w:sz="0" w:space="0" w:color="auto"/>
      </w:divBdr>
    </w:div>
    <w:div w:id="944534443">
      <w:bodyDiv w:val="1"/>
      <w:marLeft w:val="0"/>
      <w:marRight w:val="0"/>
      <w:marTop w:val="0"/>
      <w:marBottom w:val="0"/>
      <w:divBdr>
        <w:top w:val="none" w:sz="0" w:space="0" w:color="auto"/>
        <w:left w:val="none" w:sz="0" w:space="0" w:color="auto"/>
        <w:bottom w:val="none" w:sz="0" w:space="0" w:color="auto"/>
        <w:right w:val="none" w:sz="0" w:space="0" w:color="auto"/>
      </w:divBdr>
    </w:div>
    <w:div w:id="945235081">
      <w:bodyDiv w:val="1"/>
      <w:marLeft w:val="0"/>
      <w:marRight w:val="0"/>
      <w:marTop w:val="0"/>
      <w:marBottom w:val="0"/>
      <w:divBdr>
        <w:top w:val="none" w:sz="0" w:space="0" w:color="auto"/>
        <w:left w:val="none" w:sz="0" w:space="0" w:color="auto"/>
        <w:bottom w:val="none" w:sz="0" w:space="0" w:color="auto"/>
        <w:right w:val="none" w:sz="0" w:space="0" w:color="auto"/>
      </w:divBdr>
    </w:div>
    <w:div w:id="950623323">
      <w:bodyDiv w:val="1"/>
      <w:marLeft w:val="0"/>
      <w:marRight w:val="0"/>
      <w:marTop w:val="0"/>
      <w:marBottom w:val="0"/>
      <w:divBdr>
        <w:top w:val="none" w:sz="0" w:space="0" w:color="auto"/>
        <w:left w:val="none" w:sz="0" w:space="0" w:color="auto"/>
        <w:bottom w:val="none" w:sz="0" w:space="0" w:color="auto"/>
        <w:right w:val="none" w:sz="0" w:space="0" w:color="auto"/>
      </w:divBdr>
    </w:div>
    <w:div w:id="951940279">
      <w:bodyDiv w:val="1"/>
      <w:marLeft w:val="0"/>
      <w:marRight w:val="0"/>
      <w:marTop w:val="0"/>
      <w:marBottom w:val="0"/>
      <w:divBdr>
        <w:top w:val="none" w:sz="0" w:space="0" w:color="auto"/>
        <w:left w:val="none" w:sz="0" w:space="0" w:color="auto"/>
        <w:bottom w:val="none" w:sz="0" w:space="0" w:color="auto"/>
        <w:right w:val="none" w:sz="0" w:space="0" w:color="auto"/>
      </w:divBdr>
    </w:div>
    <w:div w:id="952396660">
      <w:bodyDiv w:val="1"/>
      <w:marLeft w:val="0"/>
      <w:marRight w:val="0"/>
      <w:marTop w:val="0"/>
      <w:marBottom w:val="0"/>
      <w:divBdr>
        <w:top w:val="none" w:sz="0" w:space="0" w:color="auto"/>
        <w:left w:val="none" w:sz="0" w:space="0" w:color="auto"/>
        <w:bottom w:val="none" w:sz="0" w:space="0" w:color="auto"/>
        <w:right w:val="none" w:sz="0" w:space="0" w:color="auto"/>
      </w:divBdr>
    </w:div>
    <w:div w:id="954170523">
      <w:bodyDiv w:val="1"/>
      <w:marLeft w:val="0"/>
      <w:marRight w:val="0"/>
      <w:marTop w:val="0"/>
      <w:marBottom w:val="0"/>
      <w:divBdr>
        <w:top w:val="none" w:sz="0" w:space="0" w:color="auto"/>
        <w:left w:val="none" w:sz="0" w:space="0" w:color="auto"/>
        <w:bottom w:val="none" w:sz="0" w:space="0" w:color="auto"/>
        <w:right w:val="none" w:sz="0" w:space="0" w:color="auto"/>
      </w:divBdr>
    </w:div>
    <w:div w:id="956061729">
      <w:bodyDiv w:val="1"/>
      <w:marLeft w:val="0"/>
      <w:marRight w:val="0"/>
      <w:marTop w:val="0"/>
      <w:marBottom w:val="0"/>
      <w:divBdr>
        <w:top w:val="none" w:sz="0" w:space="0" w:color="auto"/>
        <w:left w:val="none" w:sz="0" w:space="0" w:color="auto"/>
        <w:bottom w:val="none" w:sz="0" w:space="0" w:color="auto"/>
        <w:right w:val="none" w:sz="0" w:space="0" w:color="auto"/>
      </w:divBdr>
    </w:div>
    <w:div w:id="956133562">
      <w:bodyDiv w:val="1"/>
      <w:marLeft w:val="0"/>
      <w:marRight w:val="0"/>
      <w:marTop w:val="0"/>
      <w:marBottom w:val="0"/>
      <w:divBdr>
        <w:top w:val="none" w:sz="0" w:space="0" w:color="auto"/>
        <w:left w:val="none" w:sz="0" w:space="0" w:color="auto"/>
        <w:bottom w:val="none" w:sz="0" w:space="0" w:color="auto"/>
        <w:right w:val="none" w:sz="0" w:space="0" w:color="auto"/>
      </w:divBdr>
    </w:div>
    <w:div w:id="956448598">
      <w:bodyDiv w:val="1"/>
      <w:marLeft w:val="0"/>
      <w:marRight w:val="0"/>
      <w:marTop w:val="0"/>
      <w:marBottom w:val="0"/>
      <w:divBdr>
        <w:top w:val="none" w:sz="0" w:space="0" w:color="auto"/>
        <w:left w:val="none" w:sz="0" w:space="0" w:color="auto"/>
        <w:bottom w:val="none" w:sz="0" w:space="0" w:color="auto"/>
        <w:right w:val="none" w:sz="0" w:space="0" w:color="auto"/>
      </w:divBdr>
    </w:div>
    <w:div w:id="957219139">
      <w:bodyDiv w:val="1"/>
      <w:marLeft w:val="0"/>
      <w:marRight w:val="0"/>
      <w:marTop w:val="0"/>
      <w:marBottom w:val="0"/>
      <w:divBdr>
        <w:top w:val="none" w:sz="0" w:space="0" w:color="auto"/>
        <w:left w:val="none" w:sz="0" w:space="0" w:color="auto"/>
        <w:bottom w:val="none" w:sz="0" w:space="0" w:color="auto"/>
        <w:right w:val="none" w:sz="0" w:space="0" w:color="auto"/>
      </w:divBdr>
    </w:div>
    <w:div w:id="958490463">
      <w:bodyDiv w:val="1"/>
      <w:marLeft w:val="0"/>
      <w:marRight w:val="0"/>
      <w:marTop w:val="0"/>
      <w:marBottom w:val="0"/>
      <w:divBdr>
        <w:top w:val="none" w:sz="0" w:space="0" w:color="auto"/>
        <w:left w:val="none" w:sz="0" w:space="0" w:color="auto"/>
        <w:bottom w:val="none" w:sz="0" w:space="0" w:color="auto"/>
        <w:right w:val="none" w:sz="0" w:space="0" w:color="auto"/>
      </w:divBdr>
    </w:div>
    <w:div w:id="959845929">
      <w:bodyDiv w:val="1"/>
      <w:marLeft w:val="0"/>
      <w:marRight w:val="0"/>
      <w:marTop w:val="0"/>
      <w:marBottom w:val="0"/>
      <w:divBdr>
        <w:top w:val="none" w:sz="0" w:space="0" w:color="auto"/>
        <w:left w:val="none" w:sz="0" w:space="0" w:color="auto"/>
        <w:bottom w:val="none" w:sz="0" w:space="0" w:color="auto"/>
        <w:right w:val="none" w:sz="0" w:space="0" w:color="auto"/>
      </w:divBdr>
    </w:div>
    <w:div w:id="960722852">
      <w:bodyDiv w:val="1"/>
      <w:marLeft w:val="0"/>
      <w:marRight w:val="0"/>
      <w:marTop w:val="0"/>
      <w:marBottom w:val="0"/>
      <w:divBdr>
        <w:top w:val="none" w:sz="0" w:space="0" w:color="auto"/>
        <w:left w:val="none" w:sz="0" w:space="0" w:color="auto"/>
        <w:bottom w:val="none" w:sz="0" w:space="0" w:color="auto"/>
        <w:right w:val="none" w:sz="0" w:space="0" w:color="auto"/>
      </w:divBdr>
    </w:div>
    <w:div w:id="961302218">
      <w:bodyDiv w:val="1"/>
      <w:marLeft w:val="0"/>
      <w:marRight w:val="0"/>
      <w:marTop w:val="0"/>
      <w:marBottom w:val="0"/>
      <w:divBdr>
        <w:top w:val="none" w:sz="0" w:space="0" w:color="auto"/>
        <w:left w:val="none" w:sz="0" w:space="0" w:color="auto"/>
        <w:bottom w:val="none" w:sz="0" w:space="0" w:color="auto"/>
        <w:right w:val="none" w:sz="0" w:space="0" w:color="auto"/>
      </w:divBdr>
    </w:div>
    <w:div w:id="962342132">
      <w:bodyDiv w:val="1"/>
      <w:marLeft w:val="0"/>
      <w:marRight w:val="0"/>
      <w:marTop w:val="0"/>
      <w:marBottom w:val="0"/>
      <w:divBdr>
        <w:top w:val="none" w:sz="0" w:space="0" w:color="auto"/>
        <w:left w:val="none" w:sz="0" w:space="0" w:color="auto"/>
        <w:bottom w:val="none" w:sz="0" w:space="0" w:color="auto"/>
        <w:right w:val="none" w:sz="0" w:space="0" w:color="auto"/>
      </w:divBdr>
    </w:div>
    <w:div w:id="963661527">
      <w:bodyDiv w:val="1"/>
      <w:marLeft w:val="0"/>
      <w:marRight w:val="0"/>
      <w:marTop w:val="0"/>
      <w:marBottom w:val="0"/>
      <w:divBdr>
        <w:top w:val="none" w:sz="0" w:space="0" w:color="auto"/>
        <w:left w:val="none" w:sz="0" w:space="0" w:color="auto"/>
        <w:bottom w:val="none" w:sz="0" w:space="0" w:color="auto"/>
        <w:right w:val="none" w:sz="0" w:space="0" w:color="auto"/>
      </w:divBdr>
    </w:div>
    <w:div w:id="963734707">
      <w:bodyDiv w:val="1"/>
      <w:marLeft w:val="0"/>
      <w:marRight w:val="0"/>
      <w:marTop w:val="0"/>
      <w:marBottom w:val="0"/>
      <w:divBdr>
        <w:top w:val="none" w:sz="0" w:space="0" w:color="auto"/>
        <w:left w:val="none" w:sz="0" w:space="0" w:color="auto"/>
        <w:bottom w:val="none" w:sz="0" w:space="0" w:color="auto"/>
        <w:right w:val="none" w:sz="0" w:space="0" w:color="auto"/>
      </w:divBdr>
    </w:div>
    <w:div w:id="967124897">
      <w:bodyDiv w:val="1"/>
      <w:marLeft w:val="0"/>
      <w:marRight w:val="0"/>
      <w:marTop w:val="0"/>
      <w:marBottom w:val="0"/>
      <w:divBdr>
        <w:top w:val="none" w:sz="0" w:space="0" w:color="auto"/>
        <w:left w:val="none" w:sz="0" w:space="0" w:color="auto"/>
        <w:bottom w:val="none" w:sz="0" w:space="0" w:color="auto"/>
        <w:right w:val="none" w:sz="0" w:space="0" w:color="auto"/>
      </w:divBdr>
    </w:div>
    <w:div w:id="968706803">
      <w:bodyDiv w:val="1"/>
      <w:marLeft w:val="0"/>
      <w:marRight w:val="0"/>
      <w:marTop w:val="0"/>
      <w:marBottom w:val="0"/>
      <w:divBdr>
        <w:top w:val="none" w:sz="0" w:space="0" w:color="auto"/>
        <w:left w:val="none" w:sz="0" w:space="0" w:color="auto"/>
        <w:bottom w:val="none" w:sz="0" w:space="0" w:color="auto"/>
        <w:right w:val="none" w:sz="0" w:space="0" w:color="auto"/>
      </w:divBdr>
    </w:div>
    <w:div w:id="968777348">
      <w:bodyDiv w:val="1"/>
      <w:marLeft w:val="0"/>
      <w:marRight w:val="0"/>
      <w:marTop w:val="0"/>
      <w:marBottom w:val="0"/>
      <w:divBdr>
        <w:top w:val="none" w:sz="0" w:space="0" w:color="auto"/>
        <w:left w:val="none" w:sz="0" w:space="0" w:color="auto"/>
        <w:bottom w:val="none" w:sz="0" w:space="0" w:color="auto"/>
        <w:right w:val="none" w:sz="0" w:space="0" w:color="auto"/>
      </w:divBdr>
    </w:div>
    <w:div w:id="969092065">
      <w:bodyDiv w:val="1"/>
      <w:marLeft w:val="0"/>
      <w:marRight w:val="0"/>
      <w:marTop w:val="0"/>
      <w:marBottom w:val="0"/>
      <w:divBdr>
        <w:top w:val="none" w:sz="0" w:space="0" w:color="auto"/>
        <w:left w:val="none" w:sz="0" w:space="0" w:color="auto"/>
        <w:bottom w:val="none" w:sz="0" w:space="0" w:color="auto"/>
        <w:right w:val="none" w:sz="0" w:space="0" w:color="auto"/>
      </w:divBdr>
    </w:div>
    <w:div w:id="970404579">
      <w:bodyDiv w:val="1"/>
      <w:marLeft w:val="0"/>
      <w:marRight w:val="0"/>
      <w:marTop w:val="0"/>
      <w:marBottom w:val="0"/>
      <w:divBdr>
        <w:top w:val="none" w:sz="0" w:space="0" w:color="auto"/>
        <w:left w:val="none" w:sz="0" w:space="0" w:color="auto"/>
        <w:bottom w:val="none" w:sz="0" w:space="0" w:color="auto"/>
        <w:right w:val="none" w:sz="0" w:space="0" w:color="auto"/>
      </w:divBdr>
    </w:div>
    <w:div w:id="972253419">
      <w:bodyDiv w:val="1"/>
      <w:marLeft w:val="0"/>
      <w:marRight w:val="0"/>
      <w:marTop w:val="0"/>
      <w:marBottom w:val="0"/>
      <w:divBdr>
        <w:top w:val="none" w:sz="0" w:space="0" w:color="auto"/>
        <w:left w:val="none" w:sz="0" w:space="0" w:color="auto"/>
        <w:bottom w:val="none" w:sz="0" w:space="0" w:color="auto"/>
        <w:right w:val="none" w:sz="0" w:space="0" w:color="auto"/>
      </w:divBdr>
    </w:div>
    <w:div w:id="972516589">
      <w:bodyDiv w:val="1"/>
      <w:marLeft w:val="0"/>
      <w:marRight w:val="0"/>
      <w:marTop w:val="0"/>
      <w:marBottom w:val="0"/>
      <w:divBdr>
        <w:top w:val="none" w:sz="0" w:space="0" w:color="auto"/>
        <w:left w:val="none" w:sz="0" w:space="0" w:color="auto"/>
        <w:bottom w:val="none" w:sz="0" w:space="0" w:color="auto"/>
        <w:right w:val="none" w:sz="0" w:space="0" w:color="auto"/>
      </w:divBdr>
    </w:div>
    <w:div w:id="973438628">
      <w:bodyDiv w:val="1"/>
      <w:marLeft w:val="0"/>
      <w:marRight w:val="0"/>
      <w:marTop w:val="0"/>
      <w:marBottom w:val="0"/>
      <w:divBdr>
        <w:top w:val="none" w:sz="0" w:space="0" w:color="auto"/>
        <w:left w:val="none" w:sz="0" w:space="0" w:color="auto"/>
        <w:bottom w:val="none" w:sz="0" w:space="0" w:color="auto"/>
        <w:right w:val="none" w:sz="0" w:space="0" w:color="auto"/>
      </w:divBdr>
    </w:div>
    <w:div w:id="973945757">
      <w:bodyDiv w:val="1"/>
      <w:marLeft w:val="0"/>
      <w:marRight w:val="0"/>
      <w:marTop w:val="0"/>
      <w:marBottom w:val="0"/>
      <w:divBdr>
        <w:top w:val="none" w:sz="0" w:space="0" w:color="auto"/>
        <w:left w:val="none" w:sz="0" w:space="0" w:color="auto"/>
        <w:bottom w:val="none" w:sz="0" w:space="0" w:color="auto"/>
        <w:right w:val="none" w:sz="0" w:space="0" w:color="auto"/>
      </w:divBdr>
    </w:div>
    <w:div w:id="976305077">
      <w:bodyDiv w:val="1"/>
      <w:marLeft w:val="0"/>
      <w:marRight w:val="0"/>
      <w:marTop w:val="0"/>
      <w:marBottom w:val="0"/>
      <w:divBdr>
        <w:top w:val="none" w:sz="0" w:space="0" w:color="auto"/>
        <w:left w:val="none" w:sz="0" w:space="0" w:color="auto"/>
        <w:bottom w:val="none" w:sz="0" w:space="0" w:color="auto"/>
        <w:right w:val="none" w:sz="0" w:space="0" w:color="auto"/>
      </w:divBdr>
    </w:div>
    <w:div w:id="976840030">
      <w:bodyDiv w:val="1"/>
      <w:marLeft w:val="0"/>
      <w:marRight w:val="0"/>
      <w:marTop w:val="0"/>
      <w:marBottom w:val="0"/>
      <w:divBdr>
        <w:top w:val="none" w:sz="0" w:space="0" w:color="auto"/>
        <w:left w:val="none" w:sz="0" w:space="0" w:color="auto"/>
        <w:bottom w:val="none" w:sz="0" w:space="0" w:color="auto"/>
        <w:right w:val="none" w:sz="0" w:space="0" w:color="auto"/>
      </w:divBdr>
    </w:div>
    <w:div w:id="978146271">
      <w:bodyDiv w:val="1"/>
      <w:marLeft w:val="0"/>
      <w:marRight w:val="0"/>
      <w:marTop w:val="0"/>
      <w:marBottom w:val="0"/>
      <w:divBdr>
        <w:top w:val="none" w:sz="0" w:space="0" w:color="auto"/>
        <w:left w:val="none" w:sz="0" w:space="0" w:color="auto"/>
        <w:bottom w:val="none" w:sz="0" w:space="0" w:color="auto"/>
        <w:right w:val="none" w:sz="0" w:space="0" w:color="auto"/>
      </w:divBdr>
    </w:div>
    <w:div w:id="978539736">
      <w:bodyDiv w:val="1"/>
      <w:marLeft w:val="0"/>
      <w:marRight w:val="0"/>
      <w:marTop w:val="0"/>
      <w:marBottom w:val="0"/>
      <w:divBdr>
        <w:top w:val="none" w:sz="0" w:space="0" w:color="auto"/>
        <w:left w:val="none" w:sz="0" w:space="0" w:color="auto"/>
        <w:bottom w:val="none" w:sz="0" w:space="0" w:color="auto"/>
        <w:right w:val="none" w:sz="0" w:space="0" w:color="auto"/>
      </w:divBdr>
    </w:div>
    <w:div w:id="979070357">
      <w:bodyDiv w:val="1"/>
      <w:marLeft w:val="0"/>
      <w:marRight w:val="0"/>
      <w:marTop w:val="0"/>
      <w:marBottom w:val="0"/>
      <w:divBdr>
        <w:top w:val="none" w:sz="0" w:space="0" w:color="auto"/>
        <w:left w:val="none" w:sz="0" w:space="0" w:color="auto"/>
        <w:bottom w:val="none" w:sz="0" w:space="0" w:color="auto"/>
        <w:right w:val="none" w:sz="0" w:space="0" w:color="auto"/>
      </w:divBdr>
    </w:div>
    <w:div w:id="979455030">
      <w:bodyDiv w:val="1"/>
      <w:marLeft w:val="0"/>
      <w:marRight w:val="0"/>
      <w:marTop w:val="0"/>
      <w:marBottom w:val="0"/>
      <w:divBdr>
        <w:top w:val="none" w:sz="0" w:space="0" w:color="auto"/>
        <w:left w:val="none" w:sz="0" w:space="0" w:color="auto"/>
        <w:bottom w:val="none" w:sz="0" w:space="0" w:color="auto"/>
        <w:right w:val="none" w:sz="0" w:space="0" w:color="auto"/>
      </w:divBdr>
    </w:div>
    <w:div w:id="979455796">
      <w:bodyDiv w:val="1"/>
      <w:marLeft w:val="0"/>
      <w:marRight w:val="0"/>
      <w:marTop w:val="0"/>
      <w:marBottom w:val="0"/>
      <w:divBdr>
        <w:top w:val="none" w:sz="0" w:space="0" w:color="auto"/>
        <w:left w:val="none" w:sz="0" w:space="0" w:color="auto"/>
        <w:bottom w:val="none" w:sz="0" w:space="0" w:color="auto"/>
        <w:right w:val="none" w:sz="0" w:space="0" w:color="auto"/>
      </w:divBdr>
      <w:divsChild>
        <w:div w:id="9838771">
          <w:marLeft w:val="0"/>
          <w:marRight w:val="0"/>
          <w:marTop w:val="0"/>
          <w:marBottom w:val="0"/>
          <w:divBdr>
            <w:top w:val="none" w:sz="0" w:space="0" w:color="auto"/>
            <w:left w:val="none" w:sz="0" w:space="0" w:color="auto"/>
            <w:bottom w:val="none" w:sz="0" w:space="0" w:color="auto"/>
            <w:right w:val="none" w:sz="0" w:space="0" w:color="auto"/>
          </w:divBdr>
        </w:div>
        <w:div w:id="57017233">
          <w:marLeft w:val="0"/>
          <w:marRight w:val="0"/>
          <w:marTop w:val="0"/>
          <w:marBottom w:val="0"/>
          <w:divBdr>
            <w:top w:val="none" w:sz="0" w:space="0" w:color="auto"/>
            <w:left w:val="none" w:sz="0" w:space="0" w:color="auto"/>
            <w:bottom w:val="none" w:sz="0" w:space="0" w:color="auto"/>
            <w:right w:val="none" w:sz="0" w:space="0" w:color="auto"/>
          </w:divBdr>
        </w:div>
        <w:div w:id="181940444">
          <w:marLeft w:val="0"/>
          <w:marRight w:val="0"/>
          <w:marTop w:val="0"/>
          <w:marBottom w:val="0"/>
          <w:divBdr>
            <w:top w:val="none" w:sz="0" w:space="0" w:color="auto"/>
            <w:left w:val="none" w:sz="0" w:space="0" w:color="auto"/>
            <w:bottom w:val="none" w:sz="0" w:space="0" w:color="auto"/>
            <w:right w:val="none" w:sz="0" w:space="0" w:color="auto"/>
          </w:divBdr>
        </w:div>
        <w:div w:id="329219914">
          <w:marLeft w:val="0"/>
          <w:marRight w:val="0"/>
          <w:marTop w:val="0"/>
          <w:marBottom w:val="0"/>
          <w:divBdr>
            <w:top w:val="none" w:sz="0" w:space="0" w:color="auto"/>
            <w:left w:val="none" w:sz="0" w:space="0" w:color="auto"/>
            <w:bottom w:val="none" w:sz="0" w:space="0" w:color="auto"/>
            <w:right w:val="none" w:sz="0" w:space="0" w:color="auto"/>
          </w:divBdr>
        </w:div>
        <w:div w:id="360907212">
          <w:marLeft w:val="0"/>
          <w:marRight w:val="0"/>
          <w:marTop w:val="0"/>
          <w:marBottom w:val="0"/>
          <w:divBdr>
            <w:top w:val="none" w:sz="0" w:space="0" w:color="auto"/>
            <w:left w:val="none" w:sz="0" w:space="0" w:color="auto"/>
            <w:bottom w:val="none" w:sz="0" w:space="0" w:color="auto"/>
            <w:right w:val="none" w:sz="0" w:space="0" w:color="auto"/>
          </w:divBdr>
        </w:div>
        <w:div w:id="854422074">
          <w:marLeft w:val="0"/>
          <w:marRight w:val="0"/>
          <w:marTop w:val="0"/>
          <w:marBottom w:val="0"/>
          <w:divBdr>
            <w:top w:val="none" w:sz="0" w:space="0" w:color="auto"/>
            <w:left w:val="none" w:sz="0" w:space="0" w:color="auto"/>
            <w:bottom w:val="none" w:sz="0" w:space="0" w:color="auto"/>
            <w:right w:val="none" w:sz="0" w:space="0" w:color="auto"/>
          </w:divBdr>
        </w:div>
        <w:div w:id="1035693624">
          <w:marLeft w:val="0"/>
          <w:marRight w:val="0"/>
          <w:marTop w:val="0"/>
          <w:marBottom w:val="0"/>
          <w:divBdr>
            <w:top w:val="none" w:sz="0" w:space="0" w:color="auto"/>
            <w:left w:val="none" w:sz="0" w:space="0" w:color="auto"/>
            <w:bottom w:val="none" w:sz="0" w:space="0" w:color="auto"/>
            <w:right w:val="none" w:sz="0" w:space="0" w:color="auto"/>
          </w:divBdr>
        </w:div>
        <w:div w:id="1112750200">
          <w:marLeft w:val="0"/>
          <w:marRight w:val="0"/>
          <w:marTop w:val="0"/>
          <w:marBottom w:val="0"/>
          <w:divBdr>
            <w:top w:val="none" w:sz="0" w:space="0" w:color="auto"/>
            <w:left w:val="none" w:sz="0" w:space="0" w:color="auto"/>
            <w:bottom w:val="none" w:sz="0" w:space="0" w:color="auto"/>
            <w:right w:val="none" w:sz="0" w:space="0" w:color="auto"/>
          </w:divBdr>
        </w:div>
        <w:div w:id="1176118745">
          <w:marLeft w:val="0"/>
          <w:marRight w:val="0"/>
          <w:marTop w:val="0"/>
          <w:marBottom w:val="0"/>
          <w:divBdr>
            <w:top w:val="none" w:sz="0" w:space="0" w:color="auto"/>
            <w:left w:val="none" w:sz="0" w:space="0" w:color="auto"/>
            <w:bottom w:val="none" w:sz="0" w:space="0" w:color="auto"/>
            <w:right w:val="none" w:sz="0" w:space="0" w:color="auto"/>
          </w:divBdr>
        </w:div>
        <w:div w:id="1230843938">
          <w:marLeft w:val="0"/>
          <w:marRight w:val="0"/>
          <w:marTop w:val="0"/>
          <w:marBottom w:val="0"/>
          <w:divBdr>
            <w:top w:val="none" w:sz="0" w:space="0" w:color="auto"/>
            <w:left w:val="none" w:sz="0" w:space="0" w:color="auto"/>
            <w:bottom w:val="none" w:sz="0" w:space="0" w:color="auto"/>
            <w:right w:val="none" w:sz="0" w:space="0" w:color="auto"/>
          </w:divBdr>
        </w:div>
        <w:div w:id="1455054142">
          <w:marLeft w:val="0"/>
          <w:marRight w:val="0"/>
          <w:marTop w:val="0"/>
          <w:marBottom w:val="0"/>
          <w:divBdr>
            <w:top w:val="none" w:sz="0" w:space="0" w:color="auto"/>
            <w:left w:val="none" w:sz="0" w:space="0" w:color="auto"/>
            <w:bottom w:val="none" w:sz="0" w:space="0" w:color="auto"/>
            <w:right w:val="none" w:sz="0" w:space="0" w:color="auto"/>
          </w:divBdr>
        </w:div>
        <w:div w:id="1458640567">
          <w:marLeft w:val="0"/>
          <w:marRight w:val="0"/>
          <w:marTop w:val="0"/>
          <w:marBottom w:val="0"/>
          <w:divBdr>
            <w:top w:val="none" w:sz="0" w:space="0" w:color="auto"/>
            <w:left w:val="none" w:sz="0" w:space="0" w:color="auto"/>
            <w:bottom w:val="none" w:sz="0" w:space="0" w:color="auto"/>
            <w:right w:val="none" w:sz="0" w:space="0" w:color="auto"/>
          </w:divBdr>
        </w:div>
        <w:div w:id="1461345125">
          <w:marLeft w:val="0"/>
          <w:marRight w:val="0"/>
          <w:marTop w:val="0"/>
          <w:marBottom w:val="0"/>
          <w:divBdr>
            <w:top w:val="none" w:sz="0" w:space="0" w:color="auto"/>
            <w:left w:val="none" w:sz="0" w:space="0" w:color="auto"/>
            <w:bottom w:val="none" w:sz="0" w:space="0" w:color="auto"/>
            <w:right w:val="none" w:sz="0" w:space="0" w:color="auto"/>
          </w:divBdr>
        </w:div>
        <w:div w:id="1652128871">
          <w:marLeft w:val="0"/>
          <w:marRight w:val="0"/>
          <w:marTop w:val="0"/>
          <w:marBottom w:val="0"/>
          <w:divBdr>
            <w:top w:val="none" w:sz="0" w:space="0" w:color="auto"/>
            <w:left w:val="none" w:sz="0" w:space="0" w:color="auto"/>
            <w:bottom w:val="none" w:sz="0" w:space="0" w:color="auto"/>
            <w:right w:val="none" w:sz="0" w:space="0" w:color="auto"/>
          </w:divBdr>
        </w:div>
        <w:div w:id="1723479210">
          <w:marLeft w:val="0"/>
          <w:marRight w:val="0"/>
          <w:marTop w:val="0"/>
          <w:marBottom w:val="0"/>
          <w:divBdr>
            <w:top w:val="none" w:sz="0" w:space="0" w:color="auto"/>
            <w:left w:val="none" w:sz="0" w:space="0" w:color="auto"/>
            <w:bottom w:val="none" w:sz="0" w:space="0" w:color="auto"/>
            <w:right w:val="none" w:sz="0" w:space="0" w:color="auto"/>
          </w:divBdr>
        </w:div>
        <w:div w:id="1751388499">
          <w:marLeft w:val="0"/>
          <w:marRight w:val="0"/>
          <w:marTop w:val="0"/>
          <w:marBottom w:val="0"/>
          <w:divBdr>
            <w:top w:val="none" w:sz="0" w:space="0" w:color="auto"/>
            <w:left w:val="none" w:sz="0" w:space="0" w:color="auto"/>
            <w:bottom w:val="none" w:sz="0" w:space="0" w:color="auto"/>
            <w:right w:val="none" w:sz="0" w:space="0" w:color="auto"/>
          </w:divBdr>
        </w:div>
        <w:div w:id="1794401978">
          <w:marLeft w:val="0"/>
          <w:marRight w:val="0"/>
          <w:marTop w:val="0"/>
          <w:marBottom w:val="0"/>
          <w:divBdr>
            <w:top w:val="none" w:sz="0" w:space="0" w:color="auto"/>
            <w:left w:val="none" w:sz="0" w:space="0" w:color="auto"/>
            <w:bottom w:val="none" w:sz="0" w:space="0" w:color="auto"/>
            <w:right w:val="none" w:sz="0" w:space="0" w:color="auto"/>
          </w:divBdr>
        </w:div>
        <w:div w:id="2022009466">
          <w:marLeft w:val="0"/>
          <w:marRight w:val="0"/>
          <w:marTop w:val="0"/>
          <w:marBottom w:val="0"/>
          <w:divBdr>
            <w:top w:val="none" w:sz="0" w:space="0" w:color="auto"/>
            <w:left w:val="none" w:sz="0" w:space="0" w:color="auto"/>
            <w:bottom w:val="none" w:sz="0" w:space="0" w:color="auto"/>
            <w:right w:val="none" w:sz="0" w:space="0" w:color="auto"/>
          </w:divBdr>
        </w:div>
        <w:div w:id="2046175165">
          <w:marLeft w:val="0"/>
          <w:marRight w:val="0"/>
          <w:marTop w:val="0"/>
          <w:marBottom w:val="0"/>
          <w:divBdr>
            <w:top w:val="none" w:sz="0" w:space="0" w:color="auto"/>
            <w:left w:val="none" w:sz="0" w:space="0" w:color="auto"/>
            <w:bottom w:val="none" w:sz="0" w:space="0" w:color="auto"/>
            <w:right w:val="none" w:sz="0" w:space="0" w:color="auto"/>
          </w:divBdr>
        </w:div>
        <w:div w:id="2081319648">
          <w:marLeft w:val="0"/>
          <w:marRight w:val="0"/>
          <w:marTop w:val="0"/>
          <w:marBottom w:val="0"/>
          <w:divBdr>
            <w:top w:val="none" w:sz="0" w:space="0" w:color="auto"/>
            <w:left w:val="none" w:sz="0" w:space="0" w:color="auto"/>
            <w:bottom w:val="none" w:sz="0" w:space="0" w:color="auto"/>
            <w:right w:val="none" w:sz="0" w:space="0" w:color="auto"/>
          </w:divBdr>
        </w:div>
      </w:divsChild>
    </w:div>
    <w:div w:id="981539128">
      <w:bodyDiv w:val="1"/>
      <w:marLeft w:val="0"/>
      <w:marRight w:val="0"/>
      <w:marTop w:val="0"/>
      <w:marBottom w:val="0"/>
      <w:divBdr>
        <w:top w:val="none" w:sz="0" w:space="0" w:color="auto"/>
        <w:left w:val="none" w:sz="0" w:space="0" w:color="auto"/>
        <w:bottom w:val="none" w:sz="0" w:space="0" w:color="auto"/>
        <w:right w:val="none" w:sz="0" w:space="0" w:color="auto"/>
      </w:divBdr>
    </w:div>
    <w:div w:id="982462669">
      <w:bodyDiv w:val="1"/>
      <w:marLeft w:val="0"/>
      <w:marRight w:val="0"/>
      <w:marTop w:val="0"/>
      <w:marBottom w:val="0"/>
      <w:divBdr>
        <w:top w:val="none" w:sz="0" w:space="0" w:color="auto"/>
        <w:left w:val="none" w:sz="0" w:space="0" w:color="auto"/>
        <w:bottom w:val="none" w:sz="0" w:space="0" w:color="auto"/>
        <w:right w:val="none" w:sz="0" w:space="0" w:color="auto"/>
      </w:divBdr>
    </w:div>
    <w:div w:id="983003578">
      <w:bodyDiv w:val="1"/>
      <w:marLeft w:val="0"/>
      <w:marRight w:val="0"/>
      <w:marTop w:val="0"/>
      <w:marBottom w:val="0"/>
      <w:divBdr>
        <w:top w:val="none" w:sz="0" w:space="0" w:color="auto"/>
        <w:left w:val="none" w:sz="0" w:space="0" w:color="auto"/>
        <w:bottom w:val="none" w:sz="0" w:space="0" w:color="auto"/>
        <w:right w:val="none" w:sz="0" w:space="0" w:color="auto"/>
      </w:divBdr>
    </w:div>
    <w:div w:id="983047690">
      <w:bodyDiv w:val="1"/>
      <w:marLeft w:val="0"/>
      <w:marRight w:val="0"/>
      <w:marTop w:val="0"/>
      <w:marBottom w:val="0"/>
      <w:divBdr>
        <w:top w:val="none" w:sz="0" w:space="0" w:color="auto"/>
        <w:left w:val="none" w:sz="0" w:space="0" w:color="auto"/>
        <w:bottom w:val="none" w:sz="0" w:space="0" w:color="auto"/>
        <w:right w:val="none" w:sz="0" w:space="0" w:color="auto"/>
      </w:divBdr>
    </w:div>
    <w:div w:id="983239044">
      <w:bodyDiv w:val="1"/>
      <w:marLeft w:val="0"/>
      <w:marRight w:val="0"/>
      <w:marTop w:val="0"/>
      <w:marBottom w:val="0"/>
      <w:divBdr>
        <w:top w:val="none" w:sz="0" w:space="0" w:color="auto"/>
        <w:left w:val="none" w:sz="0" w:space="0" w:color="auto"/>
        <w:bottom w:val="none" w:sz="0" w:space="0" w:color="auto"/>
        <w:right w:val="none" w:sz="0" w:space="0" w:color="auto"/>
      </w:divBdr>
    </w:div>
    <w:div w:id="983655801">
      <w:bodyDiv w:val="1"/>
      <w:marLeft w:val="0"/>
      <w:marRight w:val="0"/>
      <w:marTop w:val="0"/>
      <w:marBottom w:val="0"/>
      <w:divBdr>
        <w:top w:val="none" w:sz="0" w:space="0" w:color="auto"/>
        <w:left w:val="none" w:sz="0" w:space="0" w:color="auto"/>
        <w:bottom w:val="none" w:sz="0" w:space="0" w:color="auto"/>
        <w:right w:val="none" w:sz="0" w:space="0" w:color="auto"/>
      </w:divBdr>
    </w:div>
    <w:div w:id="984092596">
      <w:bodyDiv w:val="1"/>
      <w:marLeft w:val="0"/>
      <w:marRight w:val="0"/>
      <w:marTop w:val="0"/>
      <w:marBottom w:val="0"/>
      <w:divBdr>
        <w:top w:val="none" w:sz="0" w:space="0" w:color="auto"/>
        <w:left w:val="none" w:sz="0" w:space="0" w:color="auto"/>
        <w:bottom w:val="none" w:sz="0" w:space="0" w:color="auto"/>
        <w:right w:val="none" w:sz="0" w:space="0" w:color="auto"/>
      </w:divBdr>
    </w:div>
    <w:div w:id="987905538">
      <w:bodyDiv w:val="1"/>
      <w:marLeft w:val="0"/>
      <w:marRight w:val="0"/>
      <w:marTop w:val="0"/>
      <w:marBottom w:val="0"/>
      <w:divBdr>
        <w:top w:val="none" w:sz="0" w:space="0" w:color="auto"/>
        <w:left w:val="none" w:sz="0" w:space="0" w:color="auto"/>
        <w:bottom w:val="none" w:sz="0" w:space="0" w:color="auto"/>
        <w:right w:val="none" w:sz="0" w:space="0" w:color="auto"/>
      </w:divBdr>
    </w:div>
    <w:div w:id="988288770">
      <w:bodyDiv w:val="1"/>
      <w:marLeft w:val="0"/>
      <w:marRight w:val="0"/>
      <w:marTop w:val="0"/>
      <w:marBottom w:val="0"/>
      <w:divBdr>
        <w:top w:val="none" w:sz="0" w:space="0" w:color="auto"/>
        <w:left w:val="none" w:sz="0" w:space="0" w:color="auto"/>
        <w:bottom w:val="none" w:sz="0" w:space="0" w:color="auto"/>
        <w:right w:val="none" w:sz="0" w:space="0" w:color="auto"/>
      </w:divBdr>
    </w:div>
    <w:div w:id="988902721">
      <w:bodyDiv w:val="1"/>
      <w:marLeft w:val="0"/>
      <w:marRight w:val="0"/>
      <w:marTop w:val="0"/>
      <w:marBottom w:val="0"/>
      <w:divBdr>
        <w:top w:val="none" w:sz="0" w:space="0" w:color="auto"/>
        <w:left w:val="none" w:sz="0" w:space="0" w:color="auto"/>
        <w:bottom w:val="none" w:sz="0" w:space="0" w:color="auto"/>
        <w:right w:val="none" w:sz="0" w:space="0" w:color="auto"/>
      </w:divBdr>
    </w:div>
    <w:div w:id="989598421">
      <w:bodyDiv w:val="1"/>
      <w:marLeft w:val="0"/>
      <w:marRight w:val="0"/>
      <w:marTop w:val="0"/>
      <w:marBottom w:val="0"/>
      <w:divBdr>
        <w:top w:val="none" w:sz="0" w:space="0" w:color="auto"/>
        <w:left w:val="none" w:sz="0" w:space="0" w:color="auto"/>
        <w:bottom w:val="none" w:sz="0" w:space="0" w:color="auto"/>
        <w:right w:val="none" w:sz="0" w:space="0" w:color="auto"/>
      </w:divBdr>
    </w:div>
    <w:div w:id="990594145">
      <w:bodyDiv w:val="1"/>
      <w:marLeft w:val="0"/>
      <w:marRight w:val="0"/>
      <w:marTop w:val="0"/>
      <w:marBottom w:val="0"/>
      <w:divBdr>
        <w:top w:val="none" w:sz="0" w:space="0" w:color="auto"/>
        <w:left w:val="none" w:sz="0" w:space="0" w:color="auto"/>
        <w:bottom w:val="none" w:sz="0" w:space="0" w:color="auto"/>
        <w:right w:val="none" w:sz="0" w:space="0" w:color="auto"/>
      </w:divBdr>
    </w:div>
    <w:div w:id="990864598">
      <w:bodyDiv w:val="1"/>
      <w:marLeft w:val="0"/>
      <w:marRight w:val="0"/>
      <w:marTop w:val="0"/>
      <w:marBottom w:val="0"/>
      <w:divBdr>
        <w:top w:val="none" w:sz="0" w:space="0" w:color="auto"/>
        <w:left w:val="none" w:sz="0" w:space="0" w:color="auto"/>
        <w:bottom w:val="none" w:sz="0" w:space="0" w:color="auto"/>
        <w:right w:val="none" w:sz="0" w:space="0" w:color="auto"/>
      </w:divBdr>
    </w:div>
    <w:div w:id="990911716">
      <w:bodyDiv w:val="1"/>
      <w:marLeft w:val="0"/>
      <w:marRight w:val="0"/>
      <w:marTop w:val="0"/>
      <w:marBottom w:val="0"/>
      <w:divBdr>
        <w:top w:val="none" w:sz="0" w:space="0" w:color="auto"/>
        <w:left w:val="none" w:sz="0" w:space="0" w:color="auto"/>
        <w:bottom w:val="none" w:sz="0" w:space="0" w:color="auto"/>
        <w:right w:val="none" w:sz="0" w:space="0" w:color="auto"/>
      </w:divBdr>
    </w:div>
    <w:div w:id="991985039">
      <w:bodyDiv w:val="1"/>
      <w:marLeft w:val="0"/>
      <w:marRight w:val="0"/>
      <w:marTop w:val="0"/>
      <w:marBottom w:val="0"/>
      <w:divBdr>
        <w:top w:val="none" w:sz="0" w:space="0" w:color="auto"/>
        <w:left w:val="none" w:sz="0" w:space="0" w:color="auto"/>
        <w:bottom w:val="none" w:sz="0" w:space="0" w:color="auto"/>
        <w:right w:val="none" w:sz="0" w:space="0" w:color="auto"/>
      </w:divBdr>
    </w:div>
    <w:div w:id="996037897">
      <w:bodyDiv w:val="1"/>
      <w:marLeft w:val="0"/>
      <w:marRight w:val="0"/>
      <w:marTop w:val="0"/>
      <w:marBottom w:val="0"/>
      <w:divBdr>
        <w:top w:val="none" w:sz="0" w:space="0" w:color="auto"/>
        <w:left w:val="none" w:sz="0" w:space="0" w:color="auto"/>
        <w:bottom w:val="none" w:sz="0" w:space="0" w:color="auto"/>
        <w:right w:val="none" w:sz="0" w:space="0" w:color="auto"/>
      </w:divBdr>
    </w:div>
    <w:div w:id="996155541">
      <w:bodyDiv w:val="1"/>
      <w:marLeft w:val="0"/>
      <w:marRight w:val="0"/>
      <w:marTop w:val="0"/>
      <w:marBottom w:val="0"/>
      <w:divBdr>
        <w:top w:val="none" w:sz="0" w:space="0" w:color="auto"/>
        <w:left w:val="none" w:sz="0" w:space="0" w:color="auto"/>
        <w:bottom w:val="none" w:sz="0" w:space="0" w:color="auto"/>
        <w:right w:val="none" w:sz="0" w:space="0" w:color="auto"/>
      </w:divBdr>
    </w:div>
    <w:div w:id="998465919">
      <w:bodyDiv w:val="1"/>
      <w:marLeft w:val="0"/>
      <w:marRight w:val="0"/>
      <w:marTop w:val="0"/>
      <w:marBottom w:val="0"/>
      <w:divBdr>
        <w:top w:val="none" w:sz="0" w:space="0" w:color="auto"/>
        <w:left w:val="none" w:sz="0" w:space="0" w:color="auto"/>
        <w:bottom w:val="none" w:sz="0" w:space="0" w:color="auto"/>
        <w:right w:val="none" w:sz="0" w:space="0" w:color="auto"/>
      </w:divBdr>
    </w:div>
    <w:div w:id="999119683">
      <w:bodyDiv w:val="1"/>
      <w:marLeft w:val="0"/>
      <w:marRight w:val="0"/>
      <w:marTop w:val="0"/>
      <w:marBottom w:val="0"/>
      <w:divBdr>
        <w:top w:val="none" w:sz="0" w:space="0" w:color="auto"/>
        <w:left w:val="none" w:sz="0" w:space="0" w:color="auto"/>
        <w:bottom w:val="none" w:sz="0" w:space="0" w:color="auto"/>
        <w:right w:val="none" w:sz="0" w:space="0" w:color="auto"/>
      </w:divBdr>
    </w:div>
    <w:div w:id="999888352">
      <w:bodyDiv w:val="1"/>
      <w:marLeft w:val="0"/>
      <w:marRight w:val="0"/>
      <w:marTop w:val="0"/>
      <w:marBottom w:val="0"/>
      <w:divBdr>
        <w:top w:val="none" w:sz="0" w:space="0" w:color="auto"/>
        <w:left w:val="none" w:sz="0" w:space="0" w:color="auto"/>
        <w:bottom w:val="none" w:sz="0" w:space="0" w:color="auto"/>
        <w:right w:val="none" w:sz="0" w:space="0" w:color="auto"/>
      </w:divBdr>
    </w:div>
    <w:div w:id="1000231638">
      <w:bodyDiv w:val="1"/>
      <w:marLeft w:val="0"/>
      <w:marRight w:val="0"/>
      <w:marTop w:val="0"/>
      <w:marBottom w:val="0"/>
      <w:divBdr>
        <w:top w:val="none" w:sz="0" w:space="0" w:color="auto"/>
        <w:left w:val="none" w:sz="0" w:space="0" w:color="auto"/>
        <w:bottom w:val="none" w:sz="0" w:space="0" w:color="auto"/>
        <w:right w:val="none" w:sz="0" w:space="0" w:color="auto"/>
      </w:divBdr>
    </w:div>
    <w:div w:id="1004431366">
      <w:bodyDiv w:val="1"/>
      <w:marLeft w:val="0"/>
      <w:marRight w:val="0"/>
      <w:marTop w:val="0"/>
      <w:marBottom w:val="0"/>
      <w:divBdr>
        <w:top w:val="none" w:sz="0" w:space="0" w:color="auto"/>
        <w:left w:val="none" w:sz="0" w:space="0" w:color="auto"/>
        <w:bottom w:val="none" w:sz="0" w:space="0" w:color="auto"/>
        <w:right w:val="none" w:sz="0" w:space="0" w:color="auto"/>
      </w:divBdr>
    </w:div>
    <w:div w:id="1005206101">
      <w:bodyDiv w:val="1"/>
      <w:marLeft w:val="0"/>
      <w:marRight w:val="0"/>
      <w:marTop w:val="0"/>
      <w:marBottom w:val="0"/>
      <w:divBdr>
        <w:top w:val="none" w:sz="0" w:space="0" w:color="auto"/>
        <w:left w:val="none" w:sz="0" w:space="0" w:color="auto"/>
        <w:bottom w:val="none" w:sz="0" w:space="0" w:color="auto"/>
        <w:right w:val="none" w:sz="0" w:space="0" w:color="auto"/>
      </w:divBdr>
    </w:div>
    <w:div w:id="1005208723">
      <w:bodyDiv w:val="1"/>
      <w:marLeft w:val="0"/>
      <w:marRight w:val="0"/>
      <w:marTop w:val="0"/>
      <w:marBottom w:val="0"/>
      <w:divBdr>
        <w:top w:val="none" w:sz="0" w:space="0" w:color="auto"/>
        <w:left w:val="none" w:sz="0" w:space="0" w:color="auto"/>
        <w:bottom w:val="none" w:sz="0" w:space="0" w:color="auto"/>
        <w:right w:val="none" w:sz="0" w:space="0" w:color="auto"/>
      </w:divBdr>
    </w:div>
    <w:div w:id="1006907828">
      <w:bodyDiv w:val="1"/>
      <w:marLeft w:val="0"/>
      <w:marRight w:val="0"/>
      <w:marTop w:val="0"/>
      <w:marBottom w:val="0"/>
      <w:divBdr>
        <w:top w:val="none" w:sz="0" w:space="0" w:color="auto"/>
        <w:left w:val="none" w:sz="0" w:space="0" w:color="auto"/>
        <w:bottom w:val="none" w:sz="0" w:space="0" w:color="auto"/>
        <w:right w:val="none" w:sz="0" w:space="0" w:color="auto"/>
      </w:divBdr>
    </w:div>
    <w:div w:id="1009530735">
      <w:bodyDiv w:val="1"/>
      <w:marLeft w:val="0"/>
      <w:marRight w:val="0"/>
      <w:marTop w:val="0"/>
      <w:marBottom w:val="0"/>
      <w:divBdr>
        <w:top w:val="none" w:sz="0" w:space="0" w:color="auto"/>
        <w:left w:val="none" w:sz="0" w:space="0" w:color="auto"/>
        <w:bottom w:val="none" w:sz="0" w:space="0" w:color="auto"/>
        <w:right w:val="none" w:sz="0" w:space="0" w:color="auto"/>
      </w:divBdr>
    </w:div>
    <w:div w:id="1012682887">
      <w:bodyDiv w:val="1"/>
      <w:marLeft w:val="0"/>
      <w:marRight w:val="0"/>
      <w:marTop w:val="0"/>
      <w:marBottom w:val="0"/>
      <w:divBdr>
        <w:top w:val="none" w:sz="0" w:space="0" w:color="auto"/>
        <w:left w:val="none" w:sz="0" w:space="0" w:color="auto"/>
        <w:bottom w:val="none" w:sz="0" w:space="0" w:color="auto"/>
        <w:right w:val="none" w:sz="0" w:space="0" w:color="auto"/>
      </w:divBdr>
    </w:div>
    <w:div w:id="1013994505">
      <w:bodyDiv w:val="1"/>
      <w:marLeft w:val="0"/>
      <w:marRight w:val="0"/>
      <w:marTop w:val="0"/>
      <w:marBottom w:val="0"/>
      <w:divBdr>
        <w:top w:val="none" w:sz="0" w:space="0" w:color="auto"/>
        <w:left w:val="none" w:sz="0" w:space="0" w:color="auto"/>
        <w:bottom w:val="none" w:sz="0" w:space="0" w:color="auto"/>
        <w:right w:val="none" w:sz="0" w:space="0" w:color="auto"/>
      </w:divBdr>
    </w:div>
    <w:div w:id="1018309121">
      <w:bodyDiv w:val="1"/>
      <w:marLeft w:val="0"/>
      <w:marRight w:val="0"/>
      <w:marTop w:val="0"/>
      <w:marBottom w:val="0"/>
      <w:divBdr>
        <w:top w:val="none" w:sz="0" w:space="0" w:color="auto"/>
        <w:left w:val="none" w:sz="0" w:space="0" w:color="auto"/>
        <w:bottom w:val="none" w:sz="0" w:space="0" w:color="auto"/>
        <w:right w:val="none" w:sz="0" w:space="0" w:color="auto"/>
      </w:divBdr>
    </w:div>
    <w:div w:id="1018584379">
      <w:bodyDiv w:val="1"/>
      <w:marLeft w:val="0"/>
      <w:marRight w:val="0"/>
      <w:marTop w:val="0"/>
      <w:marBottom w:val="0"/>
      <w:divBdr>
        <w:top w:val="none" w:sz="0" w:space="0" w:color="auto"/>
        <w:left w:val="none" w:sz="0" w:space="0" w:color="auto"/>
        <w:bottom w:val="none" w:sz="0" w:space="0" w:color="auto"/>
        <w:right w:val="none" w:sz="0" w:space="0" w:color="auto"/>
      </w:divBdr>
    </w:div>
    <w:div w:id="1018848681">
      <w:bodyDiv w:val="1"/>
      <w:marLeft w:val="0"/>
      <w:marRight w:val="0"/>
      <w:marTop w:val="0"/>
      <w:marBottom w:val="0"/>
      <w:divBdr>
        <w:top w:val="none" w:sz="0" w:space="0" w:color="auto"/>
        <w:left w:val="none" w:sz="0" w:space="0" w:color="auto"/>
        <w:bottom w:val="none" w:sz="0" w:space="0" w:color="auto"/>
        <w:right w:val="none" w:sz="0" w:space="0" w:color="auto"/>
      </w:divBdr>
    </w:div>
    <w:div w:id="1019233653">
      <w:bodyDiv w:val="1"/>
      <w:marLeft w:val="0"/>
      <w:marRight w:val="0"/>
      <w:marTop w:val="0"/>
      <w:marBottom w:val="0"/>
      <w:divBdr>
        <w:top w:val="none" w:sz="0" w:space="0" w:color="auto"/>
        <w:left w:val="none" w:sz="0" w:space="0" w:color="auto"/>
        <w:bottom w:val="none" w:sz="0" w:space="0" w:color="auto"/>
        <w:right w:val="none" w:sz="0" w:space="0" w:color="auto"/>
      </w:divBdr>
    </w:div>
    <w:div w:id="1019696373">
      <w:bodyDiv w:val="1"/>
      <w:marLeft w:val="0"/>
      <w:marRight w:val="0"/>
      <w:marTop w:val="0"/>
      <w:marBottom w:val="0"/>
      <w:divBdr>
        <w:top w:val="none" w:sz="0" w:space="0" w:color="auto"/>
        <w:left w:val="none" w:sz="0" w:space="0" w:color="auto"/>
        <w:bottom w:val="none" w:sz="0" w:space="0" w:color="auto"/>
        <w:right w:val="none" w:sz="0" w:space="0" w:color="auto"/>
      </w:divBdr>
    </w:div>
    <w:div w:id="1020594938">
      <w:bodyDiv w:val="1"/>
      <w:marLeft w:val="0"/>
      <w:marRight w:val="0"/>
      <w:marTop w:val="0"/>
      <w:marBottom w:val="0"/>
      <w:divBdr>
        <w:top w:val="none" w:sz="0" w:space="0" w:color="auto"/>
        <w:left w:val="none" w:sz="0" w:space="0" w:color="auto"/>
        <w:bottom w:val="none" w:sz="0" w:space="0" w:color="auto"/>
        <w:right w:val="none" w:sz="0" w:space="0" w:color="auto"/>
      </w:divBdr>
    </w:div>
    <w:div w:id="1022440478">
      <w:bodyDiv w:val="1"/>
      <w:marLeft w:val="0"/>
      <w:marRight w:val="0"/>
      <w:marTop w:val="0"/>
      <w:marBottom w:val="0"/>
      <w:divBdr>
        <w:top w:val="none" w:sz="0" w:space="0" w:color="auto"/>
        <w:left w:val="none" w:sz="0" w:space="0" w:color="auto"/>
        <w:bottom w:val="none" w:sz="0" w:space="0" w:color="auto"/>
        <w:right w:val="none" w:sz="0" w:space="0" w:color="auto"/>
      </w:divBdr>
    </w:div>
    <w:div w:id="1023630892">
      <w:bodyDiv w:val="1"/>
      <w:marLeft w:val="0"/>
      <w:marRight w:val="0"/>
      <w:marTop w:val="0"/>
      <w:marBottom w:val="0"/>
      <w:divBdr>
        <w:top w:val="none" w:sz="0" w:space="0" w:color="auto"/>
        <w:left w:val="none" w:sz="0" w:space="0" w:color="auto"/>
        <w:bottom w:val="none" w:sz="0" w:space="0" w:color="auto"/>
        <w:right w:val="none" w:sz="0" w:space="0" w:color="auto"/>
      </w:divBdr>
    </w:div>
    <w:div w:id="1025667848">
      <w:bodyDiv w:val="1"/>
      <w:marLeft w:val="0"/>
      <w:marRight w:val="0"/>
      <w:marTop w:val="0"/>
      <w:marBottom w:val="0"/>
      <w:divBdr>
        <w:top w:val="none" w:sz="0" w:space="0" w:color="auto"/>
        <w:left w:val="none" w:sz="0" w:space="0" w:color="auto"/>
        <w:bottom w:val="none" w:sz="0" w:space="0" w:color="auto"/>
        <w:right w:val="none" w:sz="0" w:space="0" w:color="auto"/>
      </w:divBdr>
    </w:div>
    <w:div w:id="1025718887">
      <w:bodyDiv w:val="1"/>
      <w:marLeft w:val="0"/>
      <w:marRight w:val="0"/>
      <w:marTop w:val="0"/>
      <w:marBottom w:val="0"/>
      <w:divBdr>
        <w:top w:val="none" w:sz="0" w:space="0" w:color="auto"/>
        <w:left w:val="none" w:sz="0" w:space="0" w:color="auto"/>
        <w:bottom w:val="none" w:sz="0" w:space="0" w:color="auto"/>
        <w:right w:val="none" w:sz="0" w:space="0" w:color="auto"/>
      </w:divBdr>
    </w:div>
    <w:div w:id="1027365598">
      <w:bodyDiv w:val="1"/>
      <w:marLeft w:val="0"/>
      <w:marRight w:val="0"/>
      <w:marTop w:val="0"/>
      <w:marBottom w:val="0"/>
      <w:divBdr>
        <w:top w:val="none" w:sz="0" w:space="0" w:color="auto"/>
        <w:left w:val="none" w:sz="0" w:space="0" w:color="auto"/>
        <w:bottom w:val="none" w:sz="0" w:space="0" w:color="auto"/>
        <w:right w:val="none" w:sz="0" w:space="0" w:color="auto"/>
      </w:divBdr>
    </w:div>
    <w:div w:id="1028678343">
      <w:bodyDiv w:val="1"/>
      <w:marLeft w:val="0"/>
      <w:marRight w:val="0"/>
      <w:marTop w:val="0"/>
      <w:marBottom w:val="0"/>
      <w:divBdr>
        <w:top w:val="none" w:sz="0" w:space="0" w:color="auto"/>
        <w:left w:val="none" w:sz="0" w:space="0" w:color="auto"/>
        <w:bottom w:val="none" w:sz="0" w:space="0" w:color="auto"/>
        <w:right w:val="none" w:sz="0" w:space="0" w:color="auto"/>
      </w:divBdr>
    </w:div>
    <w:div w:id="1029068345">
      <w:bodyDiv w:val="1"/>
      <w:marLeft w:val="0"/>
      <w:marRight w:val="0"/>
      <w:marTop w:val="0"/>
      <w:marBottom w:val="0"/>
      <w:divBdr>
        <w:top w:val="none" w:sz="0" w:space="0" w:color="auto"/>
        <w:left w:val="none" w:sz="0" w:space="0" w:color="auto"/>
        <w:bottom w:val="none" w:sz="0" w:space="0" w:color="auto"/>
        <w:right w:val="none" w:sz="0" w:space="0" w:color="auto"/>
      </w:divBdr>
    </w:div>
    <w:div w:id="1030690664">
      <w:bodyDiv w:val="1"/>
      <w:marLeft w:val="0"/>
      <w:marRight w:val="0"/>
      <w:marTop w:val="0"/>
      <w:marBottom w:val="0"/>
      <w:divBdr>
        <w:top w:val="none" w:sz="0" w:space="0" w:color="auto"/>
        <w:left w:val="none" w:sz="0" w:space="0" w:color="auto"/>
        <w:bottom w:val="none" w:sz="0" w:space="0" w:color="auto"/>
        <w:right w:val="none" w:sz="0" w:space="0" w:color="auto"/>
      </w:divBdr>
    </w:div>
    <w:div w:id="1032070659">
      <w:bodyDiv w:val="1"/>
      <w:marLeft w:val="0"/>
      <w:marRight w:val="0"/>
      <w:marTop w:val="0"/>
      <w:marBottom w:val="0"/>
      <w:divBdr>
        <w:top w:val="none" w:sz="0" w:space="0" w:color="auto"/>
        <w:left w:val="none" w:sz="0" w:space="0" w:color="auto"/>
        <w:bottom w:val="none" w:sz="0" w:space="0" w:color="auto"/>
        <w:right w:val="none" w:sz="0" w:space="0" w:color="auto"/>
      </w:divBdr>
    </w:div>
    <w:div w:id="1035816449">
      <w:bodyDiv w:val="1"/>
      <w:marLeft w:val="0"/>
      <w:marRight w:val="0"/>
      <w:marTop w:val="0"/>
      <w:marBottom w:val="0"/>
      <w:divBdr>
        <w:top w:val="none" w:sz="0" w:space="0" w:color="auto"/>
        <w:left w:val="none" w:sz="0" w:space="0" w:color="auto"/>
        <w:bottom w:val="none" w:sz="0" w:space="0" w:color="auto"/>
        <w:right w:val="none" w:sz="0" w:space="0" w:color="auto"/>
      </w:divBdr>
    </w:div>
    <w:div w:id="1035883414">
      <w:bodyDiv w:val="1"/>
      <w:marLeft w:val="0"/>
      <w:marRight w:val="0"/>
      <w:marTop w:val="0"/>
      <w:marBottom w:val="0"/>
      <w:divBdr>
        <w:top w:val="none" w:sz="0" w:space="0" w:color="auto"/>
        <w:left w:val="none" w:sz="0" w:space="0" w:color="auto"/>
        <w:bottom w:val="none" w:sz="0" w:space="0" w:color="auto"/>
        <w:right w:val="none" w:sz="0" w:space="0" w:color="auto"/>
      </w:divBdr>
    </w:div>
    <w:div w:id="1037781318">
      <w:bodyDiv w:val="1"/>
      <w:marLeft w:val="0"/>
      <w:marRight w:val="0"/>
      <w:marTop w:val="0"/>
      <w:marBottom w:val="0"/>
      <w:divBdr>
        <w:top w:val="none" w:sz="0" w:space="0" w:color="auto"/>
        <w:left w:val="none" w:sz="0" w:space="0" w:color="auto"/>
        <w:bottom w:val="none" w:sz="0" w:space="0" w:color="auto"/>
        <w:right w:val="none" w:sz="0" w:space="0" w:color="auto"/>
      </w:divBdr>
    </w:div>
    <w:div w:id="1038161231">
      <w:bodyDiv w:val="1"/>
      <w:marLeft w:val="0"/>
      <w:marRight w:val="0"/>
      <w:marTop w:val="0"/>
      <w:marBottom w:val="0"/>
      <w:divBdr>
        <w:top w:val="none" w:sz="0" w:space="0" w:color="auto"/>
        <w:left w:val="none" w:sz="0" w:space="0" w:color="auto"/>
        <w:bottom w:val="none" w:sz="0" w:space="0" w:color="auto"/>
        <w:right w:val="none" w:sz="0" w:space="0" w:color="auto"/>
      </w:divBdr>
    </w:div>
    <w:div w:id="1038354253">
      <w:bodyDiv w:val="1"/>
      <w:marLeft w:val="0"/>
      <w:marRight w:val="0"/>
      <w:marTop w:val="0"/>
      <w:marBottom w:val="0"/>
      <w:divBdr>
        <w:top w:val="none" w:sz="0" w:space="0" w:color="auto"/>
        <w:left w:val="none" w:sz="0" w:space="0" w:color="auto"/>
        <w:bottom w:val="none" w:sz="0" w:space="0" w:color="auto"/>
        <w:right w:val="none" w:sz="0" w:space="0" w:color="auto"/>
      </w:divBdr>
    </w:div>
    <w:div w:id="1039089122">
      <w:bodyDiv w:val="1"/>
      <w:marLeft w:val="0"/>
      <w:marRight w:val="0"/>
      <w:marTop w:val="0"/>
      <w:marBottom w:val="0"/>
      <w:divBdr>
        <w:top w:val="none" w:sz="0" w:space="0" w:color="auto"/>
        <w:left w:val="none" w:sz="0" w:space="0" w:color="auto"/>
        <w:bottom w:val="none" w:sz="0" w:space="0" w:color="auto"/>
        <w:right w:val="none" w:sz="0" w:space="0" w:color="auto"/>
      </w:divBdr>
    </w:div>
    <w:div w:id="1040978131">
      <w:bodyDiv w:val="1"/>
      <w:marLeft w:val="0"/>
      <w:marRight w:val="0"/>
      <w:marTop w:val="0"/>
      <w:marBottom w:val="0"/>
      <w:divBdr>
        <w:top w:val="none" w:sz="0" w:space="0" w:color="auto"/>
        <w:left w:val="none" w:sz="0" w:space="0" w:color="auto"/>
        <w:bottom w:val="none" w:sz="0" w:space="0" w:color="auto"/>
        <w:right w:val="none" w:sz="0" w:space="0" w:color="auto"/>
      </w:divBdr>
    </w:div>
    <w:div w:id="1042825136">
      <w:bodyDiv w:val="1"/>
      <w:marLeft w:val="0"/>
      <w:marRight w:val="0"/>
      <w:marTop w:val="0"/>
      <w:marBottom w:val="0"/>
      <w:divBdr>
        <w:top w:val="none" w:sz="0" w:space="0" w:color="auto"/>
        <w:left w:val="none" w:sz="0" w:space="0" w:color="auto"/>
        <w:bottom w:val="none" w:sz="0" w:space="0" w:color="auto"/>
        <w:right w:val="none" w:sz="0" w:space="0" w:color="auto"/>
      </w:divBdr>
    </w:div>
    <w:div w:id="1044986945">
      <w:bodyDiv w:val="1"/>
      <w:marLeft w:val="0"/>
      <w:marRight w:val="0"/>
      <w:marTop w:val="0"/>
      <w:marBottom w:val="0"/>
      <w:divBdr>
        <w:top w:val="none" w:sz="0" w:space="0" w:color="auto"/>
        <w:left w:val="none" w:sz="0" w:space="0" w:color="auto"/>
        <w:bottom w:val="none" w:sz="0" w:space="0" w:color="auto"/>
        <w:right w:val="none" w:sz="0" w:space="0" w:color="auto"/>
      </w:divBdr>
    </w:div>
    <w:div w:id="1045563183">
      <w:bodyDiv w:val="1"/>
      <w:marLeft w:val="0"/>
      <w:marRight w:val="0"/>
      <w:marTop w:val="0"/>
      <w:marBottom w:val="0"/>
      <w:divBdr>
        <w:top w:val="none" w:sz="0" w:space="0" w:color="auto"/>
        <w:left w:val="none" w:sz="0" w:space="0" w:color="auto"/>
        <w:bottom w:val="none" w:sz="0" w:space="0" w:color="auto"/>
        <w:right w:val="none" w:sz="0" w:space="0" w:color="auto"/>
      </w:divBdr>
    </w:div>
    <w:div w:id="1045829531">
      <w:bodyDiv w:val="1"/>
      <w:marLeft w:val="0"/>
      <w:marRight w:val="0"/>
      <w:marTop w:val="0"/>
      <w:marBottom w:val="0"/>
      <w:divBdr>
        <w:top w:val="none" w:sz="0" w:space="0" w:color="auto"/>
        <w:left w:val="none" w:sz="0" w:space="0" w:color="auto"/>
        <w:bottom w:val="none" w:sz="0" w:space="0" w:color="auto"/>
        <w:right w:val="none" w:sz="0" w:space="0" w:color="auto"/>
      </w:divBdr>
    </w:div>
    <w:div w:id="1045832826">
      <w:bodyDiv w:val="1"/>
      <w:marLeft w:val="0"/>
      <w:marRight w:val="0"/>
      <w:marTop w:val="0"/>
      <w:marBottom w:val="0"/>
      <w:divBdr>
        <w:top w:val="none" w:sz="0" w:space="0" w:color="auto"/>
        <w:left w:val="none" w:sz="0" w:space="0" w:color="auto"/>
        <w:bottom w:val="none" w:sz="0" w:space="0" w:color="auto"/>
        <w:right w:val="none" w:sz="0" w:space="0" w:color="auto"/>
      </w:divBdr>
    </w:div>
    <w:div w:id="1046101550">
      <w:bodyDiv w:val="1"/>
      <w:marLeft w:val="0"/>
      <w:marRight w:val="0"/>
      <w:marTop w:val="0"/>
      <w:marBottom w:val="0"/>
      <w:divBdr>
        <w:top w:val="none" w:sz="0" w:space="0" w:color="auto"/>
        <w:left w:val="none" w:sz="0" w:space="0" w:color="auto"/>
        <w:bottom w:val="none" w:sz="0" w:space="0" w:color="auto"/>
        <w:right w:val="none" w:sz="0" w:space="0" w:color="auto"/>
      </w:divBdr>
    </w:div>
    <w:div w:id="1047490656">
      <w:bodyDiv w:val="1"/>
      <w:marLeft w:val="0"/>
      <w:marRight w:val="0"/>
      <w:marTop w:val="0"/>
      <w:marBottom w:val="0"/>
      <w:divBdr>
        <w:top w:val="none" w:sz="0" w:space="0" w:color="auto"/>
        <w:left w:val="none" w:sz="0" w:space="0" w:color="auto"/>
        <w:bottom w:val="none" w:sz="0" w:space="0" w:color="auto"/>
        <w:right w:val="none" w:sz="0" w:space="0" w:color="auto"/>
      </w:divBdr>
    </w:div>
    <w:div w:id="1048412126">
      <w:bodyDiv w:val="1"/>
      <w:marLeft w:val="0"/>
      <w:marRight w:val="0"/>
      <w:marTop w:val="0"/>
      <w:marBottom w:val="0"/>
      <w:divBdr>
        <w:top w:val="none" w:sz="0" w:space="0" w:color="auto"/>
        <w:left w:val="none" w:sz="0" w:space="0" w:color="auto"/>
        <w:bottom w:val="none" w:sz="0" w:space="0" w:color="auto"/>
        <w:right w:val="none" w:sz="0" w:space="0" w:color="auto"/>
      </w:divBdr>
    </w:div>
    <w:div w:id="1049189203">
      <w:bodyDiv w:val="1"/>
      <w:marLeft w:val="0"/>
      <w:marRight w:val="0"/>
      <w:marTop w:val="0"/>
      <w:marBottom w:val="0"/>
      <w:divBdr>
        <w:top w:val="none" w:sz="0" w:space="0" w:color="auto"/>
        <w:left w:val="none" w:sz="0" w:space="0" w:color="auto"/>
        <w:bottom w:val="none" w:sz="0" w:space="0" w:color="auto"/>
        <w:right w:val="none" w:sz="0" w:space="0" w:color="auto"/>
      </w:divBdr>
    </w:div>
    <w:div w:id="1049374855">
      <w:bodyDiv w:val="1"/>
      <w:marLeft w:val="0"/>
      <w:marRight w:val="0"/>
      <w:marTop w:val="0"/>
      <w:marBottom w:val="0"/>
      <w:divBdr>
        <w:top w:val="none" w:sz="0" w:space="0" w:color="auto"/>
        <w:left w:val="none" w:sz="0" w:space="0" w:color="auto"/>
        <w:bottom w:val="none" w:sz="0" w:space="0" w:color="auto"/>
        <w:right w:val="none" w:sz="0" w:space="0" w:color="auto"/>
      </w:divBdr>
    </w:div>
    <w:div w:id="1053775114">
      <w:bodyDiv w:val="1"/>
      <w:marLeft w:val="0"/>
      <w:marRight w:val="0"/>
      <w:marTop w:val="0"/>
      <w:marBottom w:val="0"/>
      <w:divBdr>
        <w:top w:val="none" w:sz="0" w:space="0" w:color="auto"/>
        <w:left w:val="none" w:sz="0" w:space="0" w:color="auto"/>
        <w:bottom w:val="none" w:sz="0" w:space="0" w:color="auto"/>
        <w:right w:val="none" w:sz="0" w:space="0" w:color="auto"/>
      </w:divBdr>
    </w:div>
    <w:div w:id="1053965933">
      <w:bodyDiv w:val="1"/>
      <w:marLeft w:val="0"/>
      <w:marRight w:val="0"/>
      <w:marTop w:val="0"/>
      <w:marBottom w:val="0"/>
      <w:divBdr>
        <w:top w:val="none" w:sz="0" w:space="0" w:color="auto"/>
        <w:left w:val="none" w:sz="0" w:space="0" w:color="auto"/>
        <w:bottom w:val="none" w:sz="0" w:space="0" w:color="auto"/>
        <w:right w:val="none" w:sz="0" w:space="0" w:color="auto"/>
      </w:divBdr>
    </w:div>
    <w:div w:id="1055085396">
      <w:bodyDiv w:val="1"/>
      <w:marLeft w:val="0"/>
      <w:marRight w:val="0"/>
      <w:marTop w:val="0"/>
      <w:marBottom w:val="0"/>
      <w:divBdr>
        <w:top w:val="none" w:sz="0" w:space="0" w:color="auto"/>
        <w:left w:val="none" w:sz="0" w:space="0" w:color="auto"/>
        <w:bottom w:val="none" w:sz="0" w:space="0" w:color="auto"/>
        <w:right w:val="none" w:sz="0" w:space="0" w:color="auto"/>
      </w:divBdr>
    </w:div>
    <w:div w:id="1055087652">
      <w:bodyDiv w:val="1"/>
      <w:marLeft w:val="0"/>
      <w:marRight w:val="0"/>
      <w:marTop w:val="0"/>
      <w:marBottom w:val="0"/>
      <w:divBdr>
        <w:top w:val="none" w:sz="0" w:space="0" w:color="auto"/>
        <w:left w:val="none" w:sz="0" w:space="0" w:color="auto"/>
        <w:bottom w:val="none" w:sz="0" w:space="0" w:color="auto"/>
        <w:right w:val="none" w:sz="0" w:space="0" w:color="auto"/>
      </w:divBdr>
    </w:div>
    <w:div w:id="1056585451">
      <w:bodyDiv w:val="1"/>
      <w:marLeft w:val="0"/>
      <w:marRight w:val="0"/>
      <w:marTop w:val="0"/>
      <w:marBottom w:val="0"/>
      <w:divBdr>
        <w:top w:val="none" w:sz="0" w:space="0" w:color="auto"/>
        <w:left w:val="none" w:sz="0" w:space="0" w:color="auto"/>
        <w:bottom w:val="none" w:sz="0" w:space="0" w:color="auto"/>
        <w:right w:val="none" w:sz="0" w:space="0" w:color="auto"/>
      </w:divBdr>
    </w:div>
    <w:div w:id="1056775709">
      <w:bodyDiv w:val="1"/>
      <w:marLeft w:val="0"/>
      <w:marRight w:val="0"/>
      <w:marTop w:val="0"/>
      <w:marBottom w:val="0"/>
      <w:divBdr>
        <w:top w:val="none" w:sz="0" w:space="0" w:color="auto"/>
        <w:left w:val="none" w:sz="0" w:space="0" w:color="auto"/>
        <w:bottom w:val="none" w:sz="0" w:space="0" w:color="auto"/>
        <w:right w:val="none" w:sz="0" w:space="0" w:color="auto"/>
      </w:divBdr>
    </w:div>
    <w:div w:id="1057164518">
      <w:bodyDiv w:val="1"/>
      <w:marLeft w:val="0"/>
      <w:marRight w:val="0"/>
      <w:marTop w:val="0"/>
      <w:marBottom w:val="0"/>
      <w:divBdr>
        <w:top w:val="none" w:sz="0" w:space="0" w:color="auto"/>
        <w:left w:val="none" w:sz="0" w:space="0" w:color="auto"/>
        <w:bottom w:val="none" w:sz="0" w:space="0" w:color="auto"/>
        <w:right w:val="none" w:sz="0" w:space="0" w:color="auto"/>
      </w:divBdr>
    </w:div>
    <w:div w:id="1057779919">
      <w:bodyDiv w:val="1"/>
      <w:marLeft w:val="0"/>
      <w:marRight w:val="0"/>
      <w:marTop w:val="0"/>
      <w:marBottom w:val="0"/>
      <w:divBdr>
        <w:top w:val="none" w:sz="0" w:space="0" w:color="auto"/>
        <w:left w:val="none" w:sz="0" w:space="0" w:color="auto"/>
        <w:bottom w:val="none" w:sz="0" w:space="0" w:color="auto"/>
        <w:right w:val="none" w:sz="0" w:space="0" w:color="auto"/>
      </w:divBdr>
    </w:div>
    <w:div w:id="1058087695">
      <w:bodyDiv w:val="1"/>
      <w:marLeft w:val="0"/>
      <w:marRight w:val="0"/>
      <w:marTop w:val="0"/>
      <w:marBottom w:val="0"/>
      <w:divBdr>
        <w:top w:val="none" w:sz="0" w:space="0" w:color="auto"/>
        <w:left w:val="none" w:sz="0" w:space="0" w:color="auto"/>
        <w:bottom w:val="none" w:sz="0" w:space="0" w:color="auto"/>
        <w:right w:val="none" w:sz="0" w:space="0" w:color="auto"/>
      </w:divBdr>
    </w:div>
    <w:div w:id="1068577027">
      <w:bodyDiv w:val="1"/>
      <w:marLeft w:val="0"/>
      <w:marRight w:val="0"/>
      <w:marTop w:val="0"/>
      <w:marBottom w:val="0"/>
      <w:divBdr>
        <w:top w:val="none" w:sz="0" w:space="0" w:color="auto"/>
        <w:left w:val="none" w:sz="0" w:space="0" w:color="auto"/>
        <w:bottom w:val="none" w:sz="0" w:space="0" w:color="auto"/>
        <w:right w:val="none" w:sz="0" w:space="0" w:color="auto"/>
      </w:divBdr>
    </w:div>
    <w:div w:id="1074816717">
      <w:bodyDiv w:val="1"/>
      <w:marLeft w:val="0"/>
      <w:marRight w:val="0"/>
      <w:marTop w:val="0"/>
      <w:marBottom w:val="0"/>
      <w:divBdr>
        <w:top w:val="none" w:sz="0" w:space="0" w:color="auto"/>
        <w:left w:val="none" w:sz="0" w:space="0" w:color="auto"/>
        <w:bottom w:val="none" w:sz="0" w:space="0" w:color="auto"/>
        <w:right w:val="none" w:sz="0" w:space="0" w:color="auto"/>
      </w:divBdr>
    </w:div>
    <w:div w:id="1076509639">
      <w:bodyDiv w:val="1"/>
      <w:marLeft w:val="0"/>
      <w:marRight w:val="0"/>
      <w:marTop w:val="0"/>
      <w:marBottom w:val="0"/>
      <w:divBdr>
        <w:top w:val="none" w:sz="0" w:space="0" w:color="auto"/>
        <w:left w:val="none" w:sz="0" w:space="0" w:color="auto"/>
        <w:bottom w:val="none" w:sz="0" w:space="0" w:color="auto"/>
        <w:right w:val="none" w:sz="0" w:space="0" w:color="auto"/>
      </w:divBdr>
    </w:div>
    <w:div w:id="1080715768">
      <w:bodyDiv w:val="1"/>
      <w:marLeft w:val="0"/>
      <w:marRight w:val="0"/>
      <w:marTop w:val="0"/>
      <w:marBottom w:val="0"/>
      <w:divBdr>
        <w:top w:val="none" w:sz="0" w:space="0" w:color="auto"/>
        <w:left w:val="none" w:sz="0" w:space="0" w:color="auto"/>
        <w:bottom w:val="none" w:sz="0" w:space="0" w:color="auto"/>
        <w:right w:val="none" w:sz="0" w:space="0" w:color="auto"/>
      </w:divBdr>
    </w:div>
    <w:div w:id="1081416172">
      <w:bodyDiv w:val="1"/>
      <w:marLeft w:val="0"/>
      <w:marRight w:val="0"/>
      <w:marTop w:val="0"/>
      <w:marBottom w:val="0"/>
      <w:divBdr>
        <w:top w:val="none" w:sz="0" w:space="0" w:color="auto"/>
        <w:left w:val="none" w:sz="0" w:space="0" w:color="auto"/>
        <w:bottom w:val="none" w:sz="0" w:space="0" w:color="auto"/>
        <w:right w:val="none" w:sz="0" w:space="0" w:color="auto"/>
      </w:divBdr>
    </w:div>
    <w:div w:id="1082218958">
      <w:bodyDiv w:val="1"/>
      <w:marLeft w:val="0"/>
      <w:marRight w:val="0"/>
      <w:marTop w:val="0"/>
      <w:marBottom w:val="0"/>
      <w:divBdr>
        <w:top w:val="none" w:sz="0" w:space="0" w:color="auto"/>
        <w:left w:val="none" w:sz="0" w:space="0" w:color="auto"/>
        <w:bottom w:val="none" w:sz="0" w:space="0" w:color="auto"/>
        <w:right w:val="none" w:sz="0" w:space="0" w:color="auto"/>
      </w:divBdr>
    </w:div>
    <w:div w:id="1083455514">
      <w:bodyDiv w:val="1"/>
      <w:marLeft w:val="0"/>
      <w:marRight w:val="0"/>
      <w:marTop w:val="0"/>
      <w:marBottom w:val="0"/>
      <w:divBdr>
        <w:top w:val="none" w:sz="0" w:space="0" w:color="auto"/>
        <w:left w:val="none" w:sz="0" w:space="0" w:color="auto"/>
        <w:bottom w:val="none" w:sz="0" w:space="0" w:color="auto"/>
        <w:right w:val="none" w:sz="0" w:space="0" w:color="auto"/>
      </w:divBdr>
    </w:div>
    <w:div w:id="1083797661">
      <w:bodyDiv w:val="1"/>
      <w:marLeft w:val="0"/>
      <w:marRight w:val="0"/>
      <w:marTop w:val="0"/>
      <w:marBottom w:val="0"/>
      <w:divBdr>
        <w:top w:val="none" w:sz="0" w:space="0" w:color="auto"/>
        <w:left w:val="none" w:sz="0" w:space="0" w:color="auto"/>
        <w:bottom w:val="none" w:sz="0" w:space="0" w:color="auto"/>
        <w:right w:val="none" w:sz="0" w:space="0" w:color="auto"/>
      </w:divBdr>
    </w:div>
    <w:div w:id="1084188296">
      <w:bodyDiv w:val="1"/>
      <w:marLeft w:val="0"/>
      <w:marRight w:val="0"/>
      <w:marTop w:val="0"/>
      <w:marBottom w:val="0"/>
      <w:divBdr>
        <w:top w:val="none" w:sz="0" w:space="0" w:color="auto"/>
        <w:left w:val="none" w:sz="0" w:space="0" w:color="auto"/>
        <w:bottom w:val="none" w:sz="0" w:space="0" w:color="auto"/>
        <w:right w:val="none" w:sz="0" w:space="0" w:color="auto"/>
      </w:divBdr>
    </w:div>
    <w:div w:id="1084456782">
      <w:bodyDiv w:val="1"/>
      <w:marLeft w:val="0"/>
      <w:marRight w:val="0"/>
      <w:marTop w:val="0"/>
      <w:marBottom w:val="0"/>
      <w:divBdr>
        <w:top w:val="none" w:sz="0" w:space="0" w:color="auto"/>
        <w:left w:val="none" w:sz="0" w:space="0" w:color="auto"/>
        <w:bottom w:val="none" w:sz="0" w:space="0" w:color="auto"/>
        <w:right w:val="none" w:sz="0" w:space="0" w:color="auto"/>
      </w:divBdr>
    </w:div>
    <w:div w:id="1092896436">
      <w:bodyDiv w:val="1"/>
      <w:marLeft w:val="0"/>
      <w:marRight w:val="0"/>
      <w:marTop w:val="0"/>
      <w:marBottom w:val="0"/>
      <w:divBdr>
        <w:top w:val="none" w:sz="0" w:space="0" w:color="auto"/>
        <w:left w:val="none" w:sz="0" w:space="0" w:color="auto"/>
        <w:bottom w:val="none" w:sz="0" w:space="0" w:color="auto"/>
        <w:right w:val="none" w:sz="0" w:space="0" w:color="auto"/>
      </w:divBdr>
    </w:div>
    <w:div w:id="1093088646">
      <w:bodyDiv w:val="1"/>
      <w:marLeft w:val="0"/>
      <w:marRight w:val="0"/>
      <w:marTop w:val="0"/>
      <w:marBottom w:val="0"/>
      <w:divBdr>
        <w:top w:val="none" w:sz="0" w:space="0" w:color="auto"/>
        <w:left w:val="none" w:sz="0" w:space="0" w:color="auto"/>
        <w:bottom w:val="none" w:sz="0" w:space="0" w:color="auto"/>
        <w:right w:val="none" w:sz="0" w:space="0" w:color="auto"/>
      </w:divBdr>
    </w:div>
    <w:div w:id="1093822721">
      <w:bodyDiv w:val="1"/>
      <w:marLeft w:val="0"/>
      <w:marRight w:val="0"/>
      <w:marTop w:val="0"/>
      <w:marBottom w:val="0"/>
      <w:divBdr>
        <w:top w:val="none" w:sz="0" w:space="0" w:color="auto"/>
        <w:left w:val="none" w:sz="0" w:space="0" w:color="auto"/>
        <w:bottom w:val="none" w:sz="0" w:space="0" w:color="auto"/>
        <w:right w:val="none" w:sz="0" w:space="0" w:color="auto"/>
      </w:divBdr>
    </w:div>
    <w:div w:id="1093862175">
      <w:bodyDiv w:val="1"/>
      <w:marLeft w:val="0"/>
      <w:marRight w:val="0"/>
      <w:marTop w:val="0"/>
      <w:marBottom w:val="0"/>
      <w:divBdr>
        <w:top w:val="none" w:sz="0" w:space="0" w:color="auto"/>
        <w:left w:val="none" w:sz="0" w:space="0" w:color="auto"/>
        <w:bottom w:val="none" w:sz="0" w:space="0" w:color="auto"/>
        <w:right w:val="none" w:sz="0" w:space="0" w:color="auto"/>
      </w:divBdr>
    </w:div>
    <w:div w:id="1094470080">
      <w:bodyDiv w:val="1"/>
      <w:marLeft w:val="0"/>
      <w:marRight w:val="0"/>
      <w:marTop w:val="0"/>
      <w:marBottom w:val="0"/>
      <w:divBdr>
        <w:top w:val="none" w:sz="0" w:space="0" w:color="auto"/>
        <w:left w:val="none" w:sz="0" w:space="0" w:color="auto"/>
        <w:bottom w:val="none" w:sz="0" w:space="0" w:color="auto"/>
        <w:right w:val="none" w:sz="0" w:space="0" w:color="auto"/>
      </w:divBdr>
    </w:div>
    <w:div w:id="1099521891">
      <w:bodyDiv w:val="1"/>
      <w:marLeft w:val="0"/>
      <w:marRight w:val="0"/>
      <w:marTop w:val="0"/>
      <w:marBottom w:val="0"/>
      <w:divBdr>
        <w:top w:val="none" w:sz="0" w:space="0" w:color="auto"/>
        <w:left w:val="none" w:sz="0" w:space="0" w:color="auto"/>
        <w:bottom w:val="none" w:sz="0" w:space="0" w:color="auto"/>
        <w:right w:val="none" w:sz="0" w:space="0" w:color="auto"/>
      </w:divBdr>
    </w:div>
    <w:div w:id="1099642804">
      <w:bodyDiv w:val="1"/>
      <w:marLeft w:val="0"/>
      <w:marRight w:val="0"/>
      <w:marTop w:val="0"/>
      <w:marBottom w:val="0"/>
      <w:divBdr>
        <w:top w:val="none" w:sz="0" w:space="0" w:color="auto"/>
        <w:left w:val="none" w:sz="0" w:space="0" w:color="auto"/>
        <w:bottom w:val="none" w:sz="0" w:space="0" w:color="auto"/>
        <w:right w:val="none" w:sz="0" w:space="0" w:color="auto"/>
      </w:divBdr>
    </w:div>
    <w:div w:id="1100755063">
      <w:bodyDiv w:val="1"/>
      <w:marLeft w:val="0"/>
      <w:marRight w:val="0"/>
      <w:marTop w:val="0"/>
      <w:marBottom w:val="0"/>
      <w:divBdr>
        <w:top w:val="none" w:sz="0" w:space="0" w:color="auto"/>
        <w:left w:val="none" w:sz="0" w:space="0" w:color="auto"/>
        <w:bottom w:val="none" w:sz="0" w:space="0" w:color="auto"/>
        <w:right w:val="none" w:sz="0" w:space="0" w:color="auto"/>
      </w:divBdr>
    </w:div>
    <w:div w:id="1103767178">
      <w:bodyDiv w:val="1"/>
      <w:marLeft w:val="0"/>
      <w:marRight w:val="0"/>
      <w:marTop w:val="0"/>
      <w:marBottom w:val="0"/>
      <w:divBdr>
        <w:top w:val="none" w:sz="0" w:space="0" w:color="auto"/>
        <w:left w:val="none" w:sz="0" w:space="0" w:color="auto"/>
        <w:bottom w:val="none" w:sz="0" w:space="0" w:color="auto"/>
        <w:right w:val="none" w:sz="0" w:space="0" w:color="auto"/>
      </w:divBdr>
    </w:div>
    <w:div w:id="1106317150">
      <w:bodyDiv w:val="1"/>
      <w:marLeft w:val="0"/>
      <w:marRight w:val="0"/>
      <w:marTop w:val="0"/>
      <w:marBottom w:val="0"/>
      <w:divBdr>
        <w:top w:val="none" w:sz="0" w:space="0" w:color="auto"/>
        <w:left w:val="none" w:sz="0" w:space="0" w:color="auto"/>
        <w:bottom w:val="none" w:sz="0" w:space="0" w:color="auto"/>
        <w:right w:val="none" w:sz="0" w:space="0" w:color="auto"/>
      </w:divBdr>
    </w:div>
    <w:div w:id="1106734669">
      <w:bodyDiv w:val="1"/>
      <w:marLeft w:val="0"/>
      <w:marRight w:val="0"/>
      <w:marTop w:val="0"/>
      <w:marBottom w:val="0"/>
      <w:divBdr>
        <w:top w:val="none" w:sz="0" w:space="0" w:color="auto"/>
        <w:left w:val="none" w:sz="0" w:space="0" w:color="auto"/>
        <w:bottom w:val="none" w:sz="0" w:space="0" w:color="auto"/>
        <w:right w:val="none" w:sz="0" w:space="0" w:color="auto"/>
      </w:divBdr>
    </w:div>
    <w:div w:id="1107699390">
      <w:bodyDiv w:val="1"/>
      <w:marLeft w:val="0"/>
      <w:marRight w:val="0"/>
      <w:marTop w:val="0"/>
      <w:marBottom w:val="0"/>
      <w:divBdr>
        <w:top w:val="none" w:sz="0" w:space="0" w:color="auto"/>
        <w:left w:val="none" w:sz="0" w:space="0" w:color="auto"/>
        <w:bottom w:val="none" w:sz="0" w:space="0" w:color="auto"/>
        <w:right w:val="none" w:sz="0" w:space="0" w:color="auto"/>
      </w:divBdr>
    </w:div>
    <w:div w:id="1107968593">
      <w:bodyDiv w:val="1"/>
      <w:marLeft w:val="0"/>
      <w:marRight w:val="0"/>
      <w:marTop w:val="0"/>
      <w:marBottom w:val="0"/>
      <w:divBdr>
        <w:top w:val="none" w:sz="0" w:space="0" w:color="auto"/>
        <w:left w:val="none" w:sz="0" w:space="0" w:color="auto"/>
        <w:bottom w:val="none" w:sz="0" w:space="0" w:color="auto"/>
        <w:right w:val="none" w:sz="0" w:space="0" w:color="auto"/>
      </w:divBdr>
    </w:div>
    <w:div w:id="1108349932">
      <w:bodyDiv w:val="1"/>
      <w:marLeft w:val="0"/>
      <w:marRight w:val="0"/>
      <w:marTop w:val="0"/>
      <w:marBottom w:val="0"/>
      <w:divBdr>
        <w:top w:val="none" w:sz="0" w:space="0" w:color="auto"/>
        <w:left w:val="none" w:sz="0" w:space="0" w:color="auto"/>
        <w:bottom w:val="none" w:sz="0" w:space="0" w:color="auto"/>
        <w:right w:val="none" w:sz="0" w:space="0" w:color="auto"/>
      </w:divBdr>
    </w:div>
    <w:div w:id="1110666673">
      <w:bodyDiv w:val="1"/>
      <w:marLeft w:val="0"/>
      <w:marRight w:val="0"/>
      <w:marTop w:val="0"/>
      <w:marBottom w:val="0"/>
      <w:divBdr>
        <w:top w:val="none" w:sz="0" w:space="0" w:color="auto"/>
        <w:left w:val="none" w:sz="0" w:space="0" w:color="auto"/>
        <w:bottom w:val="none" w:sz="0" w:space="0" w:color="auto"/>
        <w:right w:val="none" w:sz="0" w:space="0" w:color="auto"/>
      </w:divBdr>
    </w:div>
    <w:div w:id="1112282386">
      <w:bodyDiv w:val="1"/>
      <w:marLeft w:val="0"/>
      <w:marRight w:val="0"/>
      <w:marTop w:val="0"/>
      <w:marBottom w:val="0"/>
      <w:divBdr>
        <w:top w:val="none" w:sz="0" w:space="0" w:color="auto"/>
        <w:left w:val="none" w:sz="0" w:space="0" w:color="auto"/>
        <w:bottom w:val="none" w:sz="0" w:space="0" w:color="auto"/>
        <w:right w:val="none" w:sz="0" w:space="0" w:color="auto"/>
      </w:divBdr>
    </w:div>
    <w:div w:id="1113749393">
      <w:bodyDiv w:val="1"/>
      <w:marLeft w:val="0"/>
      <w:marRight w:val="0"/>
      <w:marTop w:val="0"/>
      <w:marBottom w:val="0"/>
      <w:divBdr>
        <w:top w:val="none" w:sz="0" w:space="0" w:color="auto"/>
        <w:left w:val="none" w:sz="0" w:space="0" w:color="auto"/>
        <w:bottom w:val="none" w:sz="0" w:space="0" w:color="auto"/>
        <w:right w:val="none" w:sz="0" w:space="0" w:color="auto"/>
      </w:divBdr>
    </w:div>
    <w:div w:id="1114399867">
      <w:bodyDiv w:val="1"/>
      <w:marLeft w:val="0"/>
      <w:marRight w:val="0"/>
      <w:marTop w:val="0"/>
      <w:marBottom w:val="0"/>
      <w:divBdr>
        <w:top w:val="none" w:sz="0" w:space="0" w:color="auto"/>
        <w:left w:val="none" w:sz="0" w:space="0" w:color="auto"/>
        <w:bottom w:val="none" w:sz="0" w:space="0" w:color="auto"/>
        <w:right w:val="none" w:sz="0" w:space="0" w:color="auto"/>
      </w:divBdr>
    </w:div>
    <w:div w:id="1115557955">
      <w:bodyDiv w:val="1"/>
      <w:marLeft w:val="0"/>
      <w:marRight w:val="0"/>
      <w:marTop w:val="0"/>
      <w:marBottom w:val="0"/>
      <w:divBdr>
        <w:top w:val="none" w:sz="0" w:space="0" w:color="auto"/>
        <w:left w:val="none" w:sz="0" w:space="0" w:color="auto"/>
        <w:bottom w:val="none" w:sz="0" w:space="0" w:color="auto"/>
        <w:right w:val="none" w:sz="0" w:space="0" w:color="auto"/>
      </w:divBdr>
    </w:div>
    <w:div w:id="1116098289">
      <w:bodyDiv w:val="1"/>
      <w:marLeft w:val="0"/>
      <w:marRight w:val="0"/>
      <w:marTop w:val="0"/>
      <w:marBottom w:val="0"/>
      <w:divBdr>
        <w:top w:val="none" w:sz="0" w:space="0" w:color="auto"/>
        <w:left w:val="none" w:sz="0" w:space="0" w:color="auto"/>
        <w:bottom w:val="none" w:sz="0" w:space="0" w:color="auto"/>
        <w:right w:val="none" w:sz="0" w:space="0" w:color="auto"/>
      </w:divBdr>
    </w:div>
    <w:div w:id="1116875533">
      <w:bodyDiv w:val="1"/>
      <w:marLeft w:val="0"/>
      <w:marRight w:val="0"/>
      <w:marTop w:val="0"/>
      <w:marBottom w:val="0"/>
      <w:divBdr>
        <w:top w:val="none" w:sz="0" w:space="0" w:color="auto"/>
        <w:left w:val="none" w:sz="0" w:space="0" w:color="auto"/>
        <w:bottom w:val="none" w:sz="0" w:space="0" w:color="auto"/>
        <w:right w:val="none" w:sz="0" w:space="0" w:color="auto"/>
      </w:divBdr>
    </w:div>
    <w:div w:id="1117871945">
      <w:bodyDiv w:val="1"/>
      <w:marLeft w:val="0"/>
      <w:marRight w:val="0"/>
      <w:marTop w:val="0"/>
      <w:marBottom w:val="0"/>
      <w:divBdr>
        <w:top w:val="none" w:sz="0" w:space="0" w:color="auto"/>
        <w:left w:val="none" w:sz="0" w:space="0" w:color="auto"/>
        <w:bottom w:val="none" w:sz="0" w:space="0" w:color="auto"/>
        <w:right w:val="none" w:sz="0" w:space="0" w:color="auto"/>
      </w:divBdr>
    </w:div>
    <w:div w:id="1121455501">
      <w:bodyDiv w:val="1"/>
      <w:marLeft w:val="0"/>
      <w:marRight w:val="0"/>
      <w:marTop w:val="0"/>
      <w:marBottom w:val="0"/>
      <w:divBdr>
        <w:top w:val="none" w:sz="0" w:space="0" w:color="auto"/>
        <w:left w:val="none" w:sz="0" w:space="0" w:color="auto"/>
        <w:bottom w:val="none" w:sz="0" w:space="0" w:color="auto"/>
        <w:right w:val="none" w:sz="0" w:space="0" w:color="auto"/>
      </w:divBdr>
    </w:div>
    <w:div w:id="1122192790">
      <w:bodyDiv w:val="1"/>
      <w:marLeft w:val="0"/>
      <w:marRight w:val="0"/>
      <w:marTop w:val="0"/>
      <w:marBottom w:val="0"/>
      <w:divBdr>
        <w:top w:val="none" w:sz="0" w:space="0" w:color="auto"/>
        <w:left w:val="none" w:sz="0" w:space="0" w:color="auto"/>
        <w:bottom w:val="none" w:sz="0" w:space="0" w:color="auto"/>
        <w:right w:val="none" w:sz="0" w:space="0" w:color="auto"/>
      </w:divBdr>
    </w:div>
    <w:div w:id="1122261843">
      <w:bodyDiv w:val="1"/>
      <w:marLeft w:val="0"/>
      <w:marRight w:val="0"/>
      <w:marTop w:val="0"/>
      <w:marBottom w:val="0"/>
      <w:divBdr>
        <w:top w:val="none" w:sz="0" w:space="0" w:color="auto"/>
        <w:left w:val="none" w:sz="0" w:space="0" w:color="auto"/>
        <w:bottom w:val="none" w:sz="0" w:space="0" w:color="auto"/>
        <w:right w:val="none" w:sz="0" w:space="0" w:color="auto"/>
      </w:divBdr>
    </w:div>
    <w:div w:id="1127504634">
      <w:bodyDiv w:val="1"/>
      <w:marLeft w:val="0"/>
      <w:marRight w:val="0"/>
      <w:marTop w:val="0"/>
      <w:marBottom w:val="0"/>
      <w:divBdr>
        <w:top w:val="none" w:sz="0" w:space="0" w:color="auto"/>
        <w:left w:val="none" w:sz="0" w:space="0" w:color="auto"/>
        <w:bottom w:val="none" w:sz="0" w:space="0" w:color="auto"/>
        <w:right w:val="none" w:sz="0" w:space="0" w:color="auto"/>
      </w:divBdr>
    </w:div>
    <w:div w:id="1129742316">
      <w:bodyDiv w:val="1"/>
      <w:marLeft w:val="0"/>
      <w:marRight w:val="0"/>
      <w:marTop w:val="0"/>
      <w:marBottom w:val="0"/>
      <w:divBdr>
        <w:top w:val="none" w:sz="0" w:space="0" w:color="auto"/>
        <w:left w:val="none" w:sz="0" w:space="0" w:color="auto"/>
        <w:bottom w:val="none" w:sz="0" w:space="0" w:color="auto"/>
        <w:right w:val="none" w:sz="0" w:space="0" w:color="auto"/>
      </w:divBdr>
    </w:div>
    <w:div w:id="1130395296">
      <w:bodyDiv w:val="1"/>
      <w:marLeft w:val="0"/>
      <w:marRight w:val="0"/>
      <w:marTop w:val="0"/>
      <w:marBottom w:val="0"/>
      <w:divBdr>
        <w:top w:val="none" w:sz="0" w:space="0" w:color="auto"/>
        <w:left w:val="none" w:sz="0" w:space="0" w:color="auto"/>
        <w:bottom w:val="none" w:sz="0" w:space="0" w:color="auto"/>
        <w:right w:val="none" w:sz="0" w:space="0" w:color="auto"/>
      </w:divBdr>
    </w:div>
    <w:div w:id="1131942485">
      <w:bodyDiv w:val="1"/>
      <w:marLeft w:val="0"/>
      <w:marRight w:val="0"/>
      <w:marTop w:val="0"/>
      <w:marBottom w:val="0"/>
      <w:divBdr>
        <w:top w:val="none" w:sz="0" w:space="0" w:color="auto"/>
        <w:left w:val="none" w:sz="0" w:space="0" w:color="auto"/>
        <w:bottom w:val="none" w:sz="0" w:space="0" w:color="auto"/>
        <w:right w:val="none" w:sz="0" w:space="0" w:color="auto"/>
      </w:divBdr>
    </w:div>
    <w:div w:id="1132527735">
      <w:bodyDiv w:val="1"/>
      <w:marLeft w:val="0"/>
      <w:marRight w:val="0"/>
      <w:marTop w:val="0"/>
      <w:marBottom w:val="0"/>
      <w:divBdr>
        <w:top w:val="none" w:sz="0" w:space="0" w:color="auto"/>
        <w:left w:val="none" w:sz="0" w:space="0" w:color="auto"/>
        <w:bottom w:val="none" w:sz="0" w:space="0" w:color="auto"/>
        <w:right w:val="none" w:sz="0" w:space="0" w:color="auto"/>
      </w:divBdr>
    </w:div>
    <w:div w:id="1133140442">
      <w:bodyDiv w:val="1"/>
      <w:marLeft w:val="0"/>
      <w:marRight w:val="0"/>
      <w:marTop w:val="0"/>
      <w:marBottom w:val="0"/>
      <w:divBdr>
        <w:top w:val="none" w:sz="0" w:space="0" w:color="auto"/>
        <w:left w:val="none" w:sz="0" w:space="0" w:color="auto"/>
        <w:bottom w:val="none" w:sz="0" w:space="0" w:color="auto"/>
        <w:right w:val="none" w:sz="0" w:space="0" w:color="auto"/>
      </w:divBdr>
    </w:div>
    <w:div w:id="1137987792">
      <w:bodyDiv w:val="1"/>
      <w:marLeft w:val="0"/>
      <w:marRight w:val="0"/>
      <w:marTop w:val="0"/>
      <w:marBottom w:val="0"/>
      <w:divBdr>
        <w:top w:val="none" w:sz="0" w:space="0" w:color="auto"/>
        <w:left w:val="none" w:sz="0" w:space="0" w:color="auto"/>
        <w:bottom w:val="none" w:sz="0" w:space="0" w:color="auto"/>
        <w:right w:val="none" w:sz="0" w:space="0" w:color="auto"/>
      </w:divBdr>
    </w:div>
    <w:div w:id="1139885657">
      <w:bodyDiv w:val="1"/>
      <w:marLeft w:val="0"/>
      <w:marRight w:val="0"/>
      <w:marTop w:val="0"/>
      <w:marBottom w:val="0"/>
      <w:divBdr>
        <w:top w:val="none" w:sz="0" w:space="0" w:color="auto"/>
        <w:left w:val="none" w:sz="0" w:space="0" w:color="auto"/>
        <w:bottom w:val="none" w:sz="0" w:space="0" w:color="auto"/>
        <w:right w:val="none" w:sz="0" w:space="0" w:color="auto"/>
      </w:divBdr>
    </w:div>
    <w:div w:id="1140002394">
      <w:bodyDiv w:val="1"/>
      <w:marLeft w:val="0"/>
      <w:marRight w:val="0"/>
      <w:marTop w:val="0"/>
      <w:marBottom w:val="0"/>
      <w:divBdr>
        <w:top w:val="none" w:sz="0" w:space="0" w:color="auto"/>
        <w:left w:val="none" w:sz="0" w:space="0" w:color="auto"/>
        <w:bottom w:val="none" w:sz="0" w:space="0" w:color="auto"/>
        <w:right w:val="none" w:sz="0" w:space="0" w:color="auto"/>
      </w:divBdr>
    </w:div>
    <w:div w:id="1140003949">
      <w:bodyDiv w:val="1"/>
      <w:marLeft w:val="0"/>
      <w:marRight w:val="0"/>
      <w:marTop w:val="0"/>
      <w:marBottom w:val="0"/>
      <w:divBdr>
        <w:top w:val="none" w:sz="0" w:space="0" w:color="auto"/>
        <w:left w:val="none" w:sz="0" w:space="0" w:color="auto"/>
        <w:bottom w:val="none" w:sz="0" w:space="0" w:color="auto"/>
        <w:right w:val="none" w:sz="0" w:space="0" w:color="auto"/>
      </w:divBdr>
    </w:div>
    <w:div w:id="1140616322">
      <w:bodyDiv w:val="1"/>
      <w:marLeft w:val="0"/>
      <w:marRight w:val="0"/>
      <w:marTop w:val="0"/>
      <w:marBottom w:val="0"/>
      <w:divBdr>
        <w:top w:val="none" w:sz="0" w:space="0" w:color="auto"/>
        <w:left w:val="none" w:sz="0" w:space="0" w:color="auto"/>
        <w:bottom w:val="none" w:sz="0" w:space="0" w:color="auto"/>
        <w:right w:val="none" w:sz="0" w:space="0" w:color="auto"/>
      </w:divBdr>
    </w:div>
    <w:div w:id="1141270697">
      <w:bodyDiv w:val="1"/>
      <w:marLeft w:val="0"/>
      <w:marRight w:val="0"/>
      <w:marTop w:val="0"/>
      <w:marBottom w:val="0"/>
      <w:divBdr>
        <w:top w:val="none" w:sz="0" w:space="0" w:color="auto"/>
        <w:left w:val="none" w:sz="0" w:space="0" w:color="auto"/>
        <w:bottom w:val="none" w:sz="0" w:space="0" w:color="auto"/>
        <w:right w:val="none" w:sz="0" w:space="0" w:color="auto"/>
      </w:divBdr>
    </w:div>
    <w:div w:id="1145321750">
      <w:bodyDiv w:val="1"/>
      <w:marLeft w:val="0"/>
      <w:marRight w:val="0"/>
      <w:marTop w:val="0"/>
      <w:marBottom w:val="0"/>
      <w:divBdr>
        <w:top w:val="none" w:sz="0" w:space="0" w:color="auto"/>
        <w:left w:val="none" w:sz="0" w:space="0" w:color="auto"/>
        <w:bottom w:val="none" w:sz="0" w:space="0" w:color="auto"/>
        <w:right w:val="none" w:sz="0" w:space="0" w:color="auto"/>
      </w:divBdr>
    </w:div>
    <w:div w:id="1148519325">
      <w:bodyDiv w:val="1"/>
      <w:marLeft w:val="0"/>
      <w:marRight w:val="0"/>
      <w:marTop w:val="0"/>
      <w:marBottom w:val="0"/>
      <w:divBdr>
        <w:top w:val="none" w:sz="0" w:space="0" w:color="auto"/>
        <w:left w:val="none" w:sz="0" w:space="0" w:color="auto"/>
        <w:bottom w:val="none" w:sz="0" w:space="0" w:color="auto"/>
        <w:right w:val="none" w:sz="0" w:space="0" w:color="auto"/>
      </w:divBdr>
    </w:div>
    <w:div w:id="1149446973">
      <w:bodyDiv w:val="1"/>
      <w:marLeft w:val="0"/>
      <w:marRight w:val="0"/>
      <w:marTop w:val="0"/>
      <w:marBottom w:val="0"/>
      <w:divBdr>
        <w:top w:val="none" w:sz="0" w:space="0" w:color="auto"/>
        <w:left w:val="none" w:sz="0" w:space="0" w:color="auto"/>
        <w:bottom w:val="none" w:sz="0" w:space="0" w:color="auto"/>
        <w:right w:val="none" w:sz="0" w:space="0" w:color="auto"/>
      </w:divBdr>
    </w:div>
    <w:div w:id="1151750550">
      <w:bodyDiv w:val="1"/>
      <w:marLeft w:val="0"/>
      <w:marRight w:val="0"/>
      <w:marTop w:val="0"/>
      <w:marBottom w:val="0"/>
      <w:divBdr>
        <w:top w:val="none" w:sz="0" w:space="0" w:color="auto"/>
        <w:left w:val="none" w:sz="0" w:space="0" w:color="auto"/>
        <w:bottom w:val="none" w:sz="0" w:space="0" w:color="auto"/>
        <w:right w:val="none" w:sz="0" w:space="0" w:color="auto"/>
      </w:divBdr>
    </w:div>
    <w:div w:id="1152529852">
      <w:bodyDiv w:val="1"/>
      <w:marLeft w:val="0"/>
      <w:marRight w:val="0"/>
      <w:marTop w:val="0"/>
      <w:marBottom w:val="0"/>
      <w:divBdr>
        <w:top w:val="none" w:sz="0" w:space="0" w:color="auto"/>
        <w:left w:val="none" w:sz="0" w:space="0" w:color="auto"/>
        <w:bottom w:val="none" w:sz="0" w:space="0" w:color="auto"/>
        <w:right w:val="none" w:sz="0" w:space="0" w:color="auto"/>
      </w:divBdr>
    </w:div>
    <w:div w:id="1154686622">
      <w:bodyDiv w:val="1"/>
      <w:marLeft w:val="0"/>
      <w:marRight w:val="0"/>
      <w:marTop w:val="0"/>
      <w:marBottom w:val="0"/>
      <w:divBdr>
        <w:top w:val="none" w:sz="0" w:space="0" w:color="auto"/>
        <w:left w:val="none" w:sz="0" w:space="0" w:color="auto"/>
        <w:bottom w:val="none" w:sz="0" w:space="0" w:color="auto"/>
        <w:right w:val="none" w:sz="0" w:space="0" w:color="auto"/>
      </w:divBdr>
    </w:div>
    <w:div w:id="1154831858">
      <w:bodyDiv w:val="1"/>
      <w:marLeft w:val="0"/>
      <w:marRight w:val="0"/>
      <w:marTop w:val="0"/>
      <w:marBottom w:val="0"/>
      <w:divBdr>
        <w:top w:val="none" w:sz="0" w:space="0" w:color="auto"/>
        <w:left w:val="none" w:sz="0" w:space="0" w:color="auto"/>
        <w:bottom w:val="none" w:sz="0" w:space="0" w:color="auto"/>
        <w:right w:val="none" w:sz="0" w:space="0" w:color="auto"/>
      </w:divBdr>
    </w:div>
    <w:div w:id="1156072056">
      <w:bodyDiv w:val="1"/>
      <w:marLeft w:val="0"/>
      <w:marRight w:val="0"/>
      <w:marTop w:val="0"/>
      <w:marBottom w:val="0"/>
      <w:divBdr>
        <w:top w:val="none" w:sz="0" w:space="0" w:color="auto"/>
        <w:left w:val="none" w:sz="0" w:space="0" w:color="auto"/>
        <w:bottom w:val="none" w:sz="0" w:space="0" w:color="auto"/>
        <w:right w:val="none" w:sz="0" w:space="0" w:color="auto"/>
      </w:divBdr>
    </w:div>
    <w:div w:id="1157454424">
      <w:bodyDiv w:val="1"/>
      <w:marLeft w:val="0"/>
      <w:marRight w:val="0"/>
      <w:marTop w:val="0"/>
      <w:marBottom w:val="0"/>
      <w:divBdr>
        <w:top w:val="none" w:sz="0" w:space="0" w:color="auto"/>
        <w:left w:val="none" w:sz="0" w:space="0" w:color="auto"/>
        <w:bottom w:val="none" w:sz="0" w:space="0" w:color="auto"/>
        <w:right w:val="none" w:sz="0" w:space="0" w:color="auto"/>
      </w:divBdr>
    </w:div>
    <w:div w:id="1157696382">
      <w:bodyDiv w:val="1"/>
      <w:marLeft w:val="0"/>
      <w:marRight w:val="0"/>
      <w:marTop w:val="0"/>
      <w:marBottom w:val="0"/>
      <w:divBdr>
        <w:top w:val="none" w:sz="0" w:space="0" w:color="auto"/>
        <w:left w:val="none" w:sz="0" w:space="0" w:color="auto"/>
        <w:bottom w:val="none" w:sz="0" w:space="0" w:color="auto"/>
        <w:right w:val="none" w:sz="0" w:space="0" w:color="auto"/>
      </w:divBdr>
    </w:div>
    <w:div w:id="1160729897">
      <w:bodyDiv w:val="1"/>
      <w:marLeft w:val="0"/>
      <w:marRight w:val="0"/>
      <w:marTop w:val="0"/>
      <w:marBottom w:val="0"/>
      <w:divBdr>
        <w:top w:val="none" w:sz="0" w:space="0" w:color="auto"/>
        <w:left w:val="none" w:sz="0" w:space="0" w:color="auto"/>
        <w:bottom w:val="none" w:sz="0" w:space="0" w:color="auto"/>
        <w:right w:val="none" w:sz="0" w:space="0" w:color="auto"/>
      </w:divBdr>
    </w:div>
    <w:div w:id="1164509967">
      <w:bodyDiv w:val="1"/>
      <w:marLeft w:val="0"/>
      <w:marRight w:val="0"/>
      <w:marTop w:val="0"/>
      <w:marBottom w:val="0"/>
      <w:divBdr>
        <w:top w:val="none" w:sz="0" w:space="0" w:color="auto"/>
        <w:left w:val="none" w:sz="0" w:space="0" w:color="auto"/>
        <w:bottom w:val="none" w:sz="0" w:space="0" w:color="auto"/>
        <w:right w:val="none" w:sz="0" w:space="0" w:color="auto"/>
      </w:divBdr>
    </w:div>
    <w:div w:id="1165172888">
      <w:bodyDiv w:val="1"/>
      <w:marLeft w:val="0"/>
      <w:marRight w:val="0"/>
      <w:marTop w:val="0"/>
      <w:marBottom w:val="0"/>
      <w:divBdr>
        <w:top w:val="none" w:sz="0" w:space="0" w:color="auto"/>
        <w:left w:val="none" w:sz="0" w:space="0" w:color="auto"/>
        <w:bottom w:val="none" w:sz="0" w:space="0" w:color="auto"/>
        <w:right w:val="none" w:sz="0" w:space="0" w:color="auto"/>
      </w:divBdr>
    </w:div>
    <w:div w:id="1165633641">
      <w:bodyDiv w:val="1"/>
      <w:marLeft w:val="0"/>
      <w:marRight w:val="0"/>
      <w:marTop w:val="0"/>
      <w:marBottom w:val="0"/>
      <w:divBdr>
        <w:top w:val="none" w:sz="0" w:space="0" w:color="auto"/>
        <w:left w:val="none" w:sz="0" w:space="0" w:color="auto"/>
        <w:bottom w:val="none" w:sz="0" w:space="0" w:color="auto"/>
        <w:right w:val="none" w:sz="0" w:space="0" w:color="auto"/>
      </w:divBdr>
    </w:div>
    <w:div w:id="1166046717">
      <w:bodyDiv w:val="1"/>
      <w:marLeft w:val="0"/>
      <w:marRight w:val="0"/>
      <w:marTop w:val="0"/>
      <w:marBottom w:val="0"/>
      <w:divBdr>
        <w:top w:val="none" w:sz="0" w:space="0" w:color="auto"/>
        <w:left w:val="none" w:sz="0" w:space="0" w:color="auto"/>
        <w:bottom w:val="none" w:sz="0" w:space="0" w:color="auto"/>
        <w:right w:val="none" w:sz="0" w:space="0" w:color="auto"/>
      </w:divBdr>
    </w:div>
    <w:div w:id="1166170418">
      <w:bodyDiv w:val="1"/>
      <w:marLeft w:val="0"/>
      <w:marRight w:val="0"/>
      <w:marTop w:val="0"/>
      <w:marBottom w:val="0"/>
      <w:divBdr>
        <w:top w:val="none" w:sz="0" w:space="0" w:color="auto"/>
        <w:left w:val="none" w:sz="0" w:space="0" w:color="auto"/>
        <w:bottom w:val="none" w:sz="0" w:space="0" w:color="auto"/>
        <w:right w:val="none" w:sz="0" w:space="0" w:color="auto"/>
      </w:divBdr>
    </w:div>
    <w:div w:id="1166289157">
      <w:bodyDiv w:val="1"/>
      <w:marLeft w:val="0"/>
      <w:marRight w:val="0"/>
      <w:marTop w:val="0"/>
      <w:marBottom w:val="0"/>
      <w:divBdr>
        <w:top w:val="none" w:sz="0" w:space="0" w:color="auto"/>
        <w:left w:val="none" w:sz="0" w:space="0" w:color="auto"/>
        <w:bottom w:val="none" w:sz="0" w:space="0" w:color="auto"/>
        <w:right w:val="none" w:sz="0" w:space="0" w:color="auto"/>
      </w:divBdr>
    </w:div>
    <w:div w:id="1168444635">
      <w:bodyDiv w:val="1"/>
      <w:marLeft w:val="0"/>
      <w:marRight w:val="0"/>
      <w:marTop w:val="0"/>
      <w:marBottom w:val="0"/>
      <w:divBdr>
        <w:top w:val="none" w:sz="0" w:space="0" w:color="auto"/>
        <w:left w:val="none" w:sz="0" w:space="0" w:color="auto"/>
        <w:bottom w:val="none" w:sz="0" w:space="0" w:color="auto"/>
        <w:right w:val="none" w:sz="0" w:space="0" w:color="auto"/>
      </w:divBdr>
    </w:div>
    <w:div w:id="1168522115">
      <w:bodyDiv w:val="1"/>
      <w:marLeft w:val="0"/>
      <w:marRight w:val="0"/>
      <w:marTop w:val="0"/>
      <w:marBottom w:val="0"/>
      <w:divBdr>
        <w:top w:val="none" w:sz="0" w:space="0" w:color="auto"/>
        <w:left w:val="none" w:sz="0" w:space="0" w:color="auto"/>
        <w:bottom w:val="none" w:sz="0" w:space="0" w:color="auto"/>
        <w:right w:val="none" w:sz="0" w:space="0" w:color="auto"/>
      </w:divBdr>
    </w:div>
    <w:div w:id="1171287684">
      <w:bodyDiv w:val="1"/>
      <w:marLeft w:val="0"/>
      <w:marRight w:val="0"/>
      <w:marTop w:val="0"/>
      <w:marBottom w:val="0"/>
      <w:divBdr>
        <w:top w:val="none" w:sz="0" w:space="0" w:color="auto"/>
        <w:left w:val="none" w:sz="0" w:space="0" w:color="auto"/>
        <w:bottom w:val="none" w:sz="0" w:space="0" w:color="auto"/>
        <w:right w:val="none" w:sz="0" w:space="0" w:color="auto"/>
      </w:divBdr>
    </w:div>
    <w:div w:id="1173956589">
      <w:bodyDiv w:val="1"/>
      <w:marLeft w:val="0"/>
      <w:marRight w:val="0"/>
      <w:marTop w:val="0"/>
      <w:marBottom w:val="0"/>
      <w:divBdr>
        <w:top w:val="none" w:sz="0" w:space="0" w:color="auto"/>
        <w:left w:val="none" w:sz="0" w:space="0" w:color="auto"/>
        <w:bottom w:val="none" w:sz="0" w:space="0" w:color="auto"/>
        <w:right w:val="none" w:sz="0" w:space="0" w:color="auto"/>
      </w:divBdr>
    </w:div>
    <w:div w:id="1177034206">
      <w:bodyDiv w:val="1"/>
      <w:marLeft w:val="0"/>
      <w:marRight w:val="0"/>
      <w:marTop w:val="0"/>
      <w:marBottom w:val="0"/>
      <w:divBdr>
        <w:top w:val="none" w:sz="0" w:space="0" w:color="auto"/>
        <w:left w:val="none" w:sz="0" w:space="0" w:color="auto"/>
        <w:bottom w:val="none" w:sz="0" w:space="0" w:color="auto"/>
        <w:right w:val="none" w:sz="0" w:space="0" w:color="auto"/>
      </w:divBdr>
    </w:div>
    <w:div w:id="1177423542">
      <w:bodyDiv w:val="1"/>
      <w:marLeft w:val="0"/>
      <w:marRight w:val="0"/>
      <w:marTop w:val="0"/>
      <w:marBottom w:val="0"/>
      <w:divBdr>
        <w:top w:val="none" w:sz="0" w:space="0" w:color="auto"/>
        <w:left w:val="none" w:sz="0" w:space="0" w:color="auto"/>
        <w:bottom w:val="none" w:sz="0" w:space="0" w:color="auto"/>
        <w:right w:val="none" w:sz="0" w:space="0" w:color="auto"/>
      </w:divBdr>
    </w:div>
    <w:div w:id="1177505171">
      <w:bodyDiv w:val="1"/>
      <w:marLeft w:val="0"/>
      <w:marRight w:val="0"/>
      <w:marTop w:val="0"/>
      <w:marBottom w:val="0"/>
      <w:divBdr>
        <w:top w:val="none" w:sz="0" w:space="0" w:color="auto"/>
        <w:left w:val="none" w:sz="0" w:space="0" w:color="auto"/>
        <w:bottom w:val="none" w:sz="0" w:space="0" w:color="auto"/>
        <w:right w:val="none" w:sz="0" w:space="0" w:color="auto"/>
      </w:divBdr>
    </w:div>
    <w:div w:id="1178275427">
      <w:bodyDiv w:val="1"/>
      <w:marLeft w:val="0"/>
      <w:marRight w:val="0"/>
      <w:marTop w:val="0"/>
      <w:marBottom w:val="0"/>
      <w:divBdr>
        <w:top w:val="none" w:sz="0" w:space="0" w:color="auto"/>
        <w:left w:val="none" w:sz="0" w:space="0" w:color="auto"/>
        <w:bottom w:val="none" w:sz="0" w:space="0" w:color="auto"/>
        <w:right w:val="none" w:sz="0" w:space="0" w:color="auto"/>
      </w:divBdr>
    </w:div>
    <w:div w:id="1178304063">
      <w:bodyDiv w:val="1"/>
      <w:marLeft w:val="0"/>
      <w:marRight w:val="0"/>
      <w:marTop w:val="0"/>
      <w:marBottom w:val="0"/>
      <w:divBdr>
        <w:top w:val="none" w:sz="0" w:space="0" w:color="auto"/>
        <w:left w:val="none" w:sz="0" w:space="0" w:color="auto"/>
        <w:bottom w:val="none" w:sz="0" w:space="0" w:color="auto"/>
        <w:right w:val="none" w:sz="0" w:space="0" w:color="auto"/>
      </w:divBdr>
    </w:div>
    <w:div w:id="1180508503">
      <w:bodyDiv w:val="1"/>
      <w:marLeft w:val="0"/>
      <w:marRight w:val="0"/>
      <w:marTop w:val="0"/>
      <w:marBottom w:val="0"/>
      <w:divBdr>
        <w:top w:val="none" w:sz="0" w:space="0" w:color="auto"/>
        <w:left w:val="none" w:sz="0" w:space="0" w:color="auto"/>
        <w:bottom w:val="none" w:sz="0" w:space="0" w:color="auto"/>
        <w:right w:val="none" w:sz="0" w:space="0" w:color="auto"/>
      </w:divBdr>
      <w:divsChild>
        <w:div w:id="1884946547">
          <w:marLeft w:val="0"/>
          <w:marRight w:val="0"/>
          <w:marTop w:val="0"/>
          <w:marBottom w:val="0"/>
          <w:divBdr>
            <w:top w:val="none" w:sz="0" w:space="0" w:color="auto"/>
            <w:left w:val="none" w:sz="0" w:space="0" w:color="auto"/>
            <w:bottom w:val="none" w:sz="0" w:space="0" w:color="auto"/>
            <w:right w:val="none" w:sz="0" w:space="0" w:color="auto"/>
          </w:divBdr>
        </w:div>
      </w:divsChild>
    </w:div>
    <w:div w:id="1184395057">
      <w:bodyDiv w:val="1"/>
      <w:marLeft w:val="0"/>
      <w:marRight w:val="0"/>
      <w:marTop w:val="0"/>
      <w:marBottom w:val="0"/>
      <w:divBdr>
        <w:top w:val="none" w:sz="0" w:space="0" w:color="auto"/>
        <w:left w:val="none" w:sz="0" w:space="0" w:color="auto"/>
        <w:bottom w:val="none" w:sz="0" w:space="0" w:color="auto"/>
        <w:right w:val="none" w:sz="0" w:space="0" w:color="auto"/>
      </w:divBdr>
    </w:div>
    <w:div w:id="1184711625">
      <w:bodyDiv w:val="1"/>
      <w:marLeft w:val="0"/>
      <w:marRight w:val="0"/>
      <w:marTop w:val="0"/>
      <w:marBottom w:val="0"/>
      <w:divBdr>
        <w:top w:val="none" w:sz="0" w:space="0" w:color="auto"/>
        <w:left w:val="none" w:sz="0" w:space="0" w:color="auto"/>
        <w:bottom w:val="none" w:sz="0" w:space="0" w:color="auto"/>
        <w:right w:val="none" w:sz="0" w:space="0" w:color="auto"/>
      </w:divBdr>
    </w:div>
    <w:div w:id="1186751625">
      <w:bodyDiv w:val="1"/>
      <w:marLeft w:val="0"/>
      <w:marRight w:val="0"/>
      <w:marTop w:val="0"/>
      <w:marBottom w:val="0"/>
      <w:divBdr>
        <w:top w:val="none" w:sz="0" w:space="0" w:color="auto"/>
        <w:left w:val="none" w:sz="0" w:space="0" w:color="auto"/>
        <w:bottom w:val="none" w:sz="0" w:space="0" w:color="auto"/>
        <w:right w:val="none" w:sz="0" w:space="0" w:color="auto"/>
      </w:divBdr>
    </w:div>
    <w:div w:id="1188372069">
      <w:bodyDiv w:val="1"/>
      <w:marLeft w:val="0"/>
      <w:marRight w:val="0"/>
      <w:marTop w:val="0"/>
      <w:marBottom w:val="0"/>
      <w:divBdr>
        <w:top w:val="none" w:sz="0" w:space="0" w:color="auto"/>
        <w:left w:val="none" w:sz="0" w:space="0" w:color="auto"/>
        <w:bottom w:val="none" w:sz="0" w:space="0" w:color="auto"/>
        <w:right w:val="none" w:sz="0" w:space="0" w:color="auto"/>
      </w:divBdr>
    </w:div>
    <w:div w:id="1190221485">
      <w:bodyDiv w:val="1"/>
      <w:marLeft w:val="0"/>
      <w:marRight w:val="0"/>
      <w:marTop w:val="0"/>
      <w:marBottom w:val="0"/>
      <w:divBdr>
        <w:top w:val="none" w:sz="0" w:space="0" w:color="auto"/>
        <w:left w:val="none" w:sz="0" w:space="0" w:color="auto"/>
        <w:bottom w:val="none" w:sz="0" w:space="0" w:color="auto"/>
        <w:right w:val="none" w:sz="0" w:space="0" w:color="auto"/>
      </w:divBdr>
    </w:div>
    <w:div w:id="1190995605">
      <w:bodyDiv w:val="1"/>
      <w:marLeft w:val="0"/>
      <w:marRight w:val="0"/>
      <w:marTop w:val="0"/>
      <w:marBottom w:val="0"/>
      <w:divBdr>
        <w:top w:val="none" w:sz="0" w:space="0" w:color="auto"/>
        <w:left w:val="none" w:sz="0" w:space="0" w:color="auto"/>
        <w:bottom w:val="none" w:sz="0" w:space="0" w:color="auto"/>
        <w:right w:val="none" w:sz="0" w:space="0" w:color="auto"/>
      </w:divBdr>
    </w:div>
    <w:div w:id="1191459028">
      <w:bodyDiv w:val="1"/>
      <w:marLeft w:val="0"/>
      <w:marRight w:val="0"/>
      <w:marTop w:val="0"/>
      <w:marBottom w:val="0"/>
      <w:divBdr>
        <w:top w:val="none" w:sz="0" w:space="0" w:color="auto"/>
        <w:left w:val="none" w:sz="0" w:space="0" w:color="auto"/>
        <w:bottom w:val="none" w:sz="0" w:space="0" w:color="auto"/>
        <w:right w:val="none" w:sz="0" w:space="0" w:color="auto"/>
      </w:divBdr>
    </w:div>
    <w:div w:id="1193375177">
      <w:bodyDiv w:val="1"/>
      <w:marLeft w:val="0"/>
      <w:marRight w:val="0"/>
      <w:marTop w:val="0"/>
      <w:marBottom w:val="0"/>
      <w:divBdr>
        <w:top w:val="none" w:sz="0" w:space="0" w:color="auto"/>
        <w:left w:val="none" w:sz="0" w:space="0" w:color="auto"/>
        <w:bottom w:val="none" w:sz="0" w:space="0" w:color="auto"/>
        <w:right w:val="none" w:sz="0" w:space="0" w:color="auto"/>
      </w:divBdr>
    </w:div>
    <w:div w:id="1194229369">
      <w:bodyDiv w:val="1"/>
      <w:marLeft w:val="0"/>
      <w:marRight w:val="0"/>
      <w:marTop w:val="0"/>
      <w:marBottom w:val="0"/>
      <w:divBdr>
        <w:top w:val="none" w:sz="0" w:space="0" w:color="auto"/>
        <w:left w:val="none" w:sz="0" w:space="0" w:color="auto"/>
        <w:bottom w:val="none" w:sz="0" w:space="0" w:color="auto"/>
        <w:right w:val="none" w:sz="0" w:space="0" w:color="auto"/>
      </w:divBdr>
    </w:div>
    <w:div w:id="1194347616">
      <w:bodyDiv w:val="1"/>
      <w:marLeft w:val="0"/>
      <w:marRight w:val="0"/>
      <w:marTop w:val="0"/>
      <w:marBottom w:val="0"/>
      <w:divBdr>
        <w:top w:val="none" w:sz="0" w:space="0" w:color="auto"/>
        <w:left w:val="none" w:sz="0" w:space="0" w:color="auto"/>
        <w:bottom w:val="none" w:sz="0" w:space="0" w:color="auto"/>
        <w:right w:val="none" w:sz="0" w:space="0" w:color="auto"/>
      </w:divBdr>
    </w:div>
    <w:div w:id="1195458687">
      <w:bodyDiv w:val="1"/>
      <w:marLeft w:val="0"/>
      <w:marRight w:val="0"/>
      <w:marTop w:val="0"/>
      <w:marBottom w:val="0"/>
      <w:divBdr>
        <w:top w:val="none" w:sz="0" w:space="0" w:color="auto"/>
        <w:left w:val="none" w:sz="0" w:space="0" w:color="auto"/>
        <w:bottom w:val="none" w:sz="0" w:space="0" w:color="auto"/>
        <w:right w:val="none" w:sz="0" w:space="0" w:color="auto"/>
      </w:divBdr>
    </w:div>
    <w:div w:id="1196195154">
      <w:bodyDiv w:val="1"/>
      <w:marLeft w:val="0"/>
      <w:marRight w:val="0"/>
      <w:marTop w:val="0"/>
      <w:marBottom w:val="0"/>
      <w:divBdr>
        <w:top w:val="none" w:sz="0" w:space="0" w:color="auto"/>
        <w:left w:val="none" w:sz="0" w:space="0" w:color="auto"/>
        <w:bottom w:val="none" w:sz="0" w:space="0" w:color="auto"/>
        <w:right w:val="none" w:sz="0" w:space="0" w:color="auto"/>
      </w:divBdr>
    </w:div>
    <w:div w:id="1196237560">
      <w:bodyDiv w:val="1"/>
      <w:marLeft w:val="0"/>
      <w:marRight w:val="0"/>
      <w:marTop w:val="0"/>
      <w:marBottom w:val="0"/>
      <w:divBdr>
        <w:top w:val="none" w:sz="0" w:space="0" w:color="auto"/>
        <w:left w:val="none" w:sz="0" w:space="0" w:color="auto"/>
        <w:bottom w:val="none" w:sz="0" w:space="0" w:color="auto"/>
        <w:right w:val="none" w:sz="0" w:space="0" w:color="auto"/>
      </w:divBdr>
    </w:div>
    <w:div w:id="1197161601">
      <w:bodyDiv w:val="1"/>
      <w:marLeft w:val="0"/>
      <w:marRight w:val="0"/>
      <w:marTop w:val="0"/>
      <w:marBottom w:val="0"/>
      <w:divBdr>
        <w:top w:val="none" w:sz="0" w:space="0" w:color="auto"/>
        <w:left w:val="none" w:sz="0" w:space="0" w:color="auto"/>
        <w:bottom w:val="none" w:sz="0" w:space="0" w:color="auto"/>
        <w:right w:val="none" w:sz="0" w:space="0" w:color="auto"/>
      </w:divBdr>
      <w:divsChild>
        <w:div w:id="144200025">
          <w:marLeft w:val="0"/>
          <w:marRight w:val="0"/>
          <w:marTop w:val="0"/>
          <w:marBottom w:val="0"/>
          <w:divBdr>
            <w:top w:val="none" w:sz="0" w:space="0" w:color="auto"/>
            <w:left w:val="none" w:sz="0" w:space="0" w:color="auto"/>
            <w:bottom w:val="none" w:sz="0" w:space="0" w:color="auto"/>
            <w:right w:val="none" w:sz="0" w:space="0" w:color="auto"/>
          </w:divBdr>
          <w:divsChild>
            <w:div w:id="174537866">
              <w:marLeft w:val="0"/>
              <w:marRight w:val="0"/>
              <w:marTop w:val="0"/>
              <w:marBottom w:val="0"/>
              <w:divBdr>
                <w:top w:val="none" w:sz="0" w:space="0" w:color="auto"/>
                <w:left w:val="none" w:sz="0" w:space="0" w:color="auto"/>
                <w:bottom w:val="none" w:sz="0" w:space="0" w:color="auto"/>
                <w:right w:val="none" w:sz="0" w:space="0" w:color="auto"/>
              </w:divBdr>
            </w:div>
            <w:div w:id="670916325">
              <w:marLeft w:val="0"/>
              <w:marRight w:val="0"/>
              <w:marTop w:val="0"/>
              <w:marBottom w:val="0"/>
              <w:divBdr>
                <w:top w:val="none" w:sz="0" w:space="0" w:color="auto"/>
                <w:left w:val="none" w:sz="0" w:space="0" w:color="auto"/>
                <w:bottom w:val="none" w:sz="0" w:space="0" w:color="auto"/>
                <w:right w:val="none" w:sz="0" w:space="0" w:color="auto"/>
              </w:divBdr>
            </w:div>
            <w:div w:id="1845316461">
              <w:marLeft w:val="0"/>
              <w:marRight w:val="0"/>
              <w:marTop w:val="0"/>
              <w:marBottom w:val="0"/>
              <w:divBdr>
                <w:top w:val="none" w:sz="0" w:space="0" w:color="auto"/>
                <w:left w:val="none" w:sz="0" w:space="0" w:color="auto"/>
                <w:bottom w:val="none" w:sz="0" w:space="0" w:color="auto"/>
                <w:right w:val="none" w:sz="0" w:space="0" w:color="auto"/>
              </w:divBdr>
            </w:div>
          </w:divsChild>
        </w:div>
        <w:div w:id="1120294773">
          <w:marLeft w:val="0"/>
          <w:marRight w:val="0"/>
          <w:marTop w:val="0"/>
          <w:marBottom w:val="0"/>
          <w:divBdr>
            <w:top w:val="none" w:sz="0" w:space="0" w:color="auto"/>
            <w:left w:val="none" w:sz="0" w:space="0" w:color="auto"/>
            <w:bottom w:val="none" w:sz="0" w:space="0" w:color="auto"/>
            <w:right w:val="none" w:sz="0" w:space="0" w:color="auto"/>
          </w:divBdr>
          <w:divsChild>
            <w:div w:id="145518128">
              <w:marLeft w:val="0"/>
              <w:marRight w:val="0"/>
              <w:marTop w:val="0"/>
              <w:marBottom w:val="0"/>
              <w:divBdr>
                <w:top w:val="none" w:sz="0" w:space="0" w:color="auto"/>
                <w:left w:val="none" w:sz="0" w:space="0" w:color="auto"/>
                <w:bottom w:val="none" w:sz="0" w:space="0" w:color="auto"/>
                <w:right w:val="none" w:sz="0" w:space="0" w:color="auto"/>
              </w:divBdr>
            </w:div>
          </w:divsChild>
        </w:div>
        <w:div w:id="2117947350">
          <w:marLeft w:val="0"/>
          <w:marRight w:val="0"/>
          <w:marTop w:val="0"/>
          <w:marBottom w:val="0"/>
          <w:divBdr>
            <w:top w:val="none" w:sz="0" w:space="0" w:color="auto"/>
            <w:left w:val="none" w:sz="0" w:space="0" w:color="auto"/>
            <w:bottom w:val="none" w:sz="0" w:space="0" w:color="auto"/>
            <w:right w:val="none" w:sz="0" w:space="0" w:color="auto"/>
          </w:divBdr>
        </w:div>
      </w:divsChild>
    </w:div>
    <w:div w:id="1201894738">
      <w:bodyDiv w:val="1"/>
      <w:marLeft w:val="0"/>
      <w:marRight w:val="0"/>
      <w:marTop w:val="0"/>
      <w:marBottom w:val="0"/>
      <w:divBdr>
        <w:top w:val="none" w:sz="0" w:space="0" w:color="auto"/>
        <w:left w:val="none" w:sz="0" w:space="0" w:color="auto"/>
        <w:bottom w:val="none" w:sz="0" w:space="0" w:color="auto"/>
        <w:right w:val="none" w:sz="0" w:space="0" w:color="auto"/>
      </w:divBdr>
    </w:div>
    <w:div w:id="1204633302">
      <w:bodyDiv w:val="1"/>
      <w:marLeft w:val="0"/>
      <w:marRight w:val="0"/>
      <w:marTop w:val="0"/>
      <w:marBottom w:val="0"/>
      <w:divBdr>
        <w:top w:val="none" w:sz="0" w:space="0" w:color="auto"/>
        <w:left w:val="none" w:sz="0" w:space="0" w:color="auto"/>
        <w:bottom w:val="none" w:sz="0" w:space="0" w:color="auto"/>
        <w:right w:val="none" w:sz="0" w:space="0" w:color="auto"/>
      </w:divBdr>
    </w:div>
    <w:div w:id="1204905790">
      <w:bodyDiv w:val="1"/>
      <w:marLeft w:val="0"/>
      <w:marRight w:val="0"/>
      <w:marTop w:val="0"/>
      <w:marBottom w:val="0"/>
      <w:divBdr>
        <w:top w:val="none" w:sz="0" w:space="0" w:color="auto"/>
        <w:left w:val="none" w:sz="0" w:space="0" w:color="auto"/>
        <w:bottom w:val="none" w:sz="0" w:space="0" w:color="auto"/>
        <w:right w:val="none" w:sz="0" w:space="0" w:color="auto"/>
      </w:divBdr>
    </w:div>
    <w:div w:id="1206522545">
      <w:bodyDiv w:val="1"/>
      <w:marLeft w:val="0"/>
      <w:marRight w:val="0"/>
      <w:marTop w:val="0"/>
      <w:marBottom w:val="0"/>
      <w:divBdr>
        <w:top w:val="none" w:sz="0" w:space="0" w:color="auto"/>
        <w:left w:val="none" w:sz="0" w:space="0" w:color="auto"/>
        <w:bottom w:val="none" w:sz="0" w:space="0" w:color="auto"/>
        <w:right w:val="none" w:sz="0" w:space="0" w:color="auto"/>
      </w:divBdr>
    </w:div>
    <w:div w:id="1207258268">
      <w:bodyDiv w:val="1"/>
      <w:marLeft w:val="0"/>
      <w:marRight w:val="0"/>
      <w:marTop w:val="0"/>
      <w:marBottom w:val="0"/>
      <w:divBdr>
        <w:top w:val="none" w:sz="0" w:space="0" w:color="auto"/>
        <w:left w:val="none" w:sz="0" w:space="0" w:color="auto"/>
        <w:bottom w:val="none" w:sz="0" w:space="0" w:color="auto"/>
        <w:right w:val="none" w:sz="0" w:space="0" w:color="auto"/>
      </w:divBdr>
    </w:div>
    <w:div w:id="1207336774">
      <w:bodyDiv w:val="1"/>
      <w:marLeft w:val="0"/>
      <w:marRight w:val="0"/>
      <w:marTop w:val="0"/>
      <w:marBottom w:val="0"/>
      <w:divBdr>
        <w:top w:val="none" w:sz="0" w:space="0" w:color="auto"/>
        <w:left w:val="none" w:sz="0" w:space="0" w:color="auto"/>
        <w:bottom w:val="none" w:sz="0" w:space="0" w:color="auto"/>
        <w:right w:val="none" w:sz="0" w:space="0" w:color="auto"/>
      </w:divBdr>
    </w:div>
    <w:div w:id="1208834181">
      <w:bodyDiv w:val="1"/>
      <w:marLeft w:val="0"/>
      <w:marRight w:val="0"/>
      <w:marTop w:val="0"/>
      <w:marBottom w:val="0"/>
      <w:divBdr>
        <w:top w:val="none" w:sz="0" w:space="0" w:color="auto"/>
        <w:left w:val="none" w:sz="0" w:space="0" w:color="auto"/>
        <w:bottom w:val="none" w:sz="0" w:space="0" w:color="auto"/>
        <w:right w:val="none" w:sz="0" w:space="0" w:color="auto"/>
      </w:divBdr>
    </w:div>
    <w:div w:id="1208838937">
      <w:bodyDiv w:val="1"/>
      <w:marLeft w:val="0"/>
      <w:marRight w:val="0"/>
      <w:marTop w:val="0"/>
      <w:marBottom w:val="0"/>
      <w:divBdr>
        <w:top w:val="none" w:sz="0" w:space="0" w:color="auto"/>
        <w:left w:val="none" w:sz="0" w:space="0" w:color="auto"/>
        <w:bottom w:val="none" w:sz="0" w:space="0" w:color="auto"/>
        <w:right w:val="none" w:sz="0" w:space="0" w:color="auto"/>
      </w:divBdr>
    </w:div>
    <w:div w:id="1210143848">
      <w:bodyDiv w:val="1"/>
      <w:marLeft w:val="0"/>
      <w:marRight w:val="0"/>
      <w:marTop w:val="0"/>
      <w:marBottom w:val="0"/>
      <w:divBdr>
        <w:top w:val="none" w:sz="0" w:space="0" w:color="auto"/>
        <w:left w:val="none" w:sz="0" w:space="0" w:color="auto"/>
        <w:bottom w:val="none" w:sz="0" w:space="0" w:color="auto"/>
        <w:right w:val="none" w:sz="0" w:space="0" w:color="auto"/>
      </w:divBdr>
    </w:div>
    <w:div w:id="1210148155">
      <w:bodyDiv w:val="1"/>
      <w:marLeft w:val="0"/>
      <w:marRight w:val="0"/>
      <w:marTop w:val="0"/>
      <w:marBottom w:val="0"/>
      <w:divBdr>
        <w:top w:val="none" w:sz="0" w:space="0" w:color="auto"/>
        <w:left w:val="none" w:sz="0" w:space="0" w:color="auto"/>
        <w:bottom w:val="none" w:sz="0" w:space="0" w:color="auto"/>
        <w:right w:val="none" w:sz="0" w:space="0" w:color="auto"/>
      </w:divBdr>
    </w:div>
    <w:div w:id="1211573082">
      <w:bodyDiv w:val="1"/>
      <w:marLeft w:val="0"/>
      <w:marRight w:val="0"/>
      <w:marTop w:val="0"/>
      <w:marBottom w:val="0"/>
      <w:divBdr>
        <w:top w:val="none" w:sz="0" w:space="0" w:color="auto"/>
        <w:left w:val="none" w:sz="0" w:space="0" w:color="auto"/>
        <w:bottom w:val="none" w:sz="0" w:space="0" w:color="auto"/>
        <w:right w:val="none" w:sz="0" w:space="0" w:color="auto"/>
      </w:divBdr>
    </w:div>
    <w:div w:id="1212501886">
      <w:bodyDiv w:val="1"/>
      <w:marLeft w:val="0"/>
      <w:marRight w:val="0"/>
      <w:marTop w:val="0"/>
      <w:marBottom w:val="0"/>
      <w:divBdr>
        <w:top w:val="none" w:sz="0" w:space="0" w:color="auto"/>
        <w:left w:val="none" w:sz="0" w:space="0" w:color="auto"/>
        <w:bottom w:val="none" w:sz="0" w:space="0" w:color="auto"/>
        <w:right w:val="none" w:sz="0" w:space="0" w:color="auto"/>
      </w:divBdr>
    </w:div>
    <w:div w:id="1212880745">
      <w:bodyDiv w:val="1"/>
      <w:marLeft w:val="0"/>
      <w:marRight w:val="0"/>
      <w:marTop w:val="0"/>
      <w:marBottom w:val="0"/>
      <w:divBdr>
        <w:top w:val="none" w:sz="0" w:space="0" w:color="auto"/>
        <w:left w:val="none" w:sz="0" w:space="0" w:color="auto"/>
        <w:bottom w:val="none" w:sz="0" w:space="0" w:color="auto"/>
        <w:right w:val="none" w:sz="0" w:space="0" w:color="auto"/>
      </w:divBdr>
    </w:div>
    <w:div w:id="1215577107">
      <w:bodyDiv w:val="1"/>
      <w:marLeft w:val="0"/>
      <w:marRight w:val="0"/>
      <w:marTop w:val="0"/>
      <w:marBottom w:val="0"/>
      <w:divBdr>
        <w:top w:val="none" w:sz="0" w:space="0" w:color="auto"/>
        <w:left w:val="none" w:sz="0" w:space="0" w:color="auto"/>
        <w:bottom w:val="none" w:sz="0" w:space="0" w:color="auto"/>
        <w:right w:val="none" w:sz="0" w:space="0" w:color="auto"/>
      </w:divBdr>
    </w:div>
    <w:div w:id="1216427891">
      <w:bodyDiv w:val="1"/>
      <w:marLeft w:val="0"/>
      <w:marRight w:val="0"/>
      <w:marTop w:val="0"/>
      <w:marBottom w:val="0"/>
      <w:divBdr>
        <w:top w:val="none" w:sz="0" w:space="0" w:color="auto"/>
        <w:left w:val="none" w:sz="0" w:space="0" w:color="auto"/>
        <w:bottom w:val="none" w:sz="0" w:space="0" w:color="auto"/>
        <w:right w:val="none" w:sz="0" w:space="0" w:color="auto"/>
      </w:divBdr>
    </w:div>
    <w:div w:id="1216769667">
      <w:bodyDiv w:val="1"/>
      <w:marLeft w:val="0"/>
      <w:marRight w:val="0"/>
      <w:marTop w:val="0"/>
      <w:marBottom w:val="0"/>
      <w:divBdr>
        <w:top w:val="none" w:sz="0" w:space="0" w:color="auto"/>
        <w:left w:val="none" w:sz="0" w:space="0" w:color="auto"/>
        <w:bottom w:val="none" w:sz="0" w:space="0" w:color="auto"/>
        <w:right w:val="none" w:sz="0" w:space="0" w:color="auto"/>
      </w:divBdr>
    </w:div>
    <w:div w:id="1217551015">
      <w:bodyDiv w:val="1"/>
      <w:marLeft w:val="0"/>
      <w:marRight w:val="0"/>
      <w:marTop w:val="0"/>
      <w:marBottom w:val="0"/>
      <w:divBdr>
        <w:top w:val="none" w:sz="0" w:space="0" w:color="auto"/>
        <w:left w:val="none" w:sz="0" w:space="0" w:color="auto"/>
        <w:bottom w:val="none" w:sz="0" w:space="0" w:color="auto"/>
        <w:right w:val="none" w:sz="0" w:space="0" w:color="auto"/>
      </w:divBdr>
    </w:div>
    <w:div w:id="1219630306">
      <w:bodyDiv w:val="1"/>
      <w:marLeft w:val="0"/>
      <w:marRight w:val="0"/>
      <w:marTop w:val="0"/>
      <w:marBottom w:val="0"/>
      <w:divBdr>
        <w:top w:val="none" w:sz="0" w:space="0" w:color="auto"/>
        <w:left w:val="none" w:sz="0" w:space="0" w:color="auto"/>
        <w:bottom w:val="none" w:sz="0" w:space="0" w:color="auto"/>
        <w:right w:val="none" w:sz="0" w:space="0" w:color="auto"/>
      </w:divBdr>
    </w:div>
    <w:div w:id="1223709463">
      <w:bodyDiv w:val="1"/>
      <w:marLeft w:val="0"/>
      <w:marRight w:val="0"/>
      <w:marTop w:val="0"/>
      <w:marBottom w:val="0"/>
      <w:divBdr>
        <w:top w:val="none" w:sz="0" w:space="0" w:color="auto"/>
        <w:left w:val="none" w:sz="0" w:space="0" w:color="auto"/>
        <w:bottom w:val="none" w:sz="0" w:space="0" w:color="auto"/>
        <w:right w:val="none" w:sz="0" w:space="0" w:color="auto"/>
      </w:divBdr>
    </w:div>
    <w:div w:id="1224296364">
      <w:bodyDiv w:val="1"/>
      <w:marLeft w:val="0"/>
      <w:marRight w:val="0"/>
      <w:marTop w:val="0"/>
      <w:marBottom w:val="0"/>
      <w:divBdr>
        <w:top w:val="none" w:sz="0" w:space="0" w:color="auto"/>
        <w:left w:val="none" w:sz="0" w:space="0" w:color="auto"/>
        <w:bottom w:val="none" w:sz="0" w:space="0" w:color="auto"/>
        <w:right w:val="none" w:sz="0" w:space="0" w:color="auto"/>
      </w:divBdr>
    </w:div>
    <w:div w:id="1225875698">
      <w:bodyDiv w:val="1"/>
      <w:marLeft w:val="0"/>
      <w:marRight w:val="0"/>
      <w:marTop w:val="0"/>
      <w:marBottom w:val="0"/>
      <w:divBdr>
        <w:top w:val="none" w:sz="0" w:space="0" w:color="auto"/>
        <w:left w:val="none" w:sz="0" w:space="0" w:color="auto"/>
        <w:bottom w:val="none" w:sz="0" w:space="0" w:color="auto"/>
        <w:right w:val="none" w:sz="0" w:space="0" w:color="auto"/>
      </w:divBdr>
    </w:div>
    <w:div w:id="1226182738">
      <w:bodyDiv w:val="1"/>
      <w:marLeft w:val="0"/>
      <w:marRight w:val="0"/>
      <w:marTop w:val="0"/>
      <w:marBottom w:val="0"/>
      <w:divBdr>
        <w:top w:val="none" w:sz="0" w:space="0" w:color="auto"/>
        <w:left w:val="none" w:sz="0" w:space="0" w:color="auto"/>
        <w:bottom w:val="none" w:sz="0" w:space="0" w:color="auto"/>
        <w:right w:val="none" w:sz="0" w:space="0" w:color="auto"/>
      </w:divBdr>
    </w:div>
    <w:div w:id="1233278064">
      <w:bodyDiv w:val="1"/>
      <w:marLeft w:val="0"/>
      <w:marRight w:val="0"/>
      <w:marTop w:val="0"/>
      <w:marBottom w:val="0"/>
      <w:divBdr>
        <w:top w:val="none" w:sz="0" w:space="0" w:color="auto"/>
        <w:left w:val="none" w:sz="0" w:space="0" w:color="auto"/>
        <w:bottom w:val="none" w:sz="0" w:space="0" w:color="auto"/>
        <w:right w:val="none" w:sz="0" w:space="0" w:color="auto"/>
      </w:divBdr>
    </w:div>
    <w:div w:id="1235967540">
      <w:bodyDiv w:val="1"/>
      <w:marLeft w:val="0"/>
      <w:marRight w:val="0"/>
      <w:marTop w:val="0"/>
      <w:marBottom w:val="0"/>
      <w:divBdr>
        <w:top w:val="none" w:sz="0" w:space="0" w:color="auto"/>
        <w:left w:val="none" w:sz="0" w:space="0" w:color="auto"/>
        <w:bottom w:val="none" w:sz="0" w:space="0" w:color="auto"/>
        <w:right w:val="none" w:sz="0" w:space="0" w:color="auto"/>
      </w:divBdr>
    </w:div>
    <w:div w:id="1237283765">
      <w:bodyDiv w:val="1"/>
      <w:marLeft w:val="0"/>
      <w:marRight w:val="0"/>
      <w:marTop w:val="0"/>
      <w:marBottom w:val="0"/>
      <w:divBdr>
        <w:top w:val="none" w:sz="0" w:space="0" w:color="auto"/>
        <w:left w:val="none" w:sz="0" w:space="0" w:color="auto"/>
        <w:bottom w:val="none" w:sz="0" w:space="0" w:color="auto"/>
        <w:right w:val="none" w:sz="0" w:space="0" w:color="auto"/>
      </w:divBdr>
    </w:div>
    <w:div w:id="1238057566">
      <w:bodyDiv w:val="1"/>
      <w:marLeft w:val="0"/>
      <w:marRight w:val="0"/>
      <w:marTop w:val="0"/>
      <w:marBottom w:val="0"/>
      <w:divBdr>
        <w:top w:val="none" w:sz="0" w:space="0" w:color="auto"/>
        <w:left w:val="none" w:sz="0" w:space="0" w:color="auto"/>
        <w:bottom w:val="none" w:sz="0" w:space="0" w:color="auto"/>
        <w:right w:val="none" w:sz="0" w:space="0" w:color="auto"/>
      </w:divBdr>
    </w:div>
    <w:div w:id="1240166962">
      <w:bodyDiv w:val="1"/>
      <w:marLeft w:val="0"/>
      <w:marRight w:val="0"/>
      <w:marTop w:val="0"/>
      <w:marBottom w:val="0"/>
      <w:divBdr>
        <w:top w:val="none" w:sz="0" w:space="0" w:color="auto"/>
        <w:left w:val="none" w:sz="0" w:space="0" w:color="auto"/>
        <w:bottom w:val="none" w:sz="0" w:space="0" w:color="auto"/>
        <w:right w:val="none" w:sz="0" w:space="0" w:color="auto"/>
      </w:divBdr>
    </w:div>
    <w:div w:id="1241406078">
      <w:bodyDiv w:val="1"/>
      <w:marLeft w:val="0"/>
      <w:marRight w:val="0"/>
      <w:marTop w:val="0"/>
      <w:marBottom w:val="0"/>
      <w:divBdr>
        <w:top w:val="none" w:sz="0" w:space="0" w:color="auto"/>
        <w:left w:val="none" w:sz="0" w:space="0" w:color="auto"/>
        <w:bottom w:val="none" w:sz="0" w:space="0" w:color="auto"/>
        <w:right w:val="none" w:sz="0" w:space="0" w:color="auto"/>
      </w:divBdr>
    </w:div>
    <w:div w:id="1241914798">
      <w:bodyDiv w:val="1"/>
      <w:marLeft w:val="0"/>
      <w:marRight w:val="0"/>
      <w:marTop w:val="0"/>
      <w:marBottom w:val="0"/>
      <w:divBdr>
        <w:top w:val="none" w:sz="0" w:space="0" w:color="auto"/>
        <w:left w:val="none" w:sz="0" w:space="0" w:color="auto"/>
        <w:bottom w:val="none" w:sz="0" w:space="0" w:color="auto"/>
        <w:right w:val="none" w:sz="0" w:space="0" w:color="auto"/>
      </w:divBdr>
    </w:div>
    <w:div w:id="1242569456">
      <w:bodyDiv w:val="1"/>
      <w:marLeft w:val="0"/>
      <w:marRight w:val="0"/>
      <w:marTop w:val="0"/>
      <w:marBottom w:val="0"/>
      <w:divBdr>
        <w:top w:val="none" w:sz="0" w:space="0" w:color="auto"/>
        <w:left w:val="none" w:sz="0" w:space="0" w:color="auto"/>
        <w:bottom w:val="none" w:sz="0" w:space="0" w:color="auto"/>
        <w:right w:val="none" w:sz="0" w:space="0" w:color="auto"/>
      </w:divBdr>
    </w:div>
    <w:div w:id="1245804117">
      <w:bodyDiv w:val="1"/>
      <w:marLeft w:val="0"/>
      <w:marRight w:val="0"/>
      <w:marTop w:val="0"/>
      <w:marBottom w:val="0"/>
      <w:divBdr>
        <w:top w:val="none" w:sz="0" w:space="0" w:color="auto"/>
        <w:left w:val="none" w:sz="0" w:space="0" w:color="auto"/>
        <w:bottom w:val="none" w:sz="0" w:space="0" w:color="auto"/>
        <w:right w:val="none" w:sz="0" w:space="0" w:color="auto"/>
      </w:divBdr>
    </w:div>
    <w:div w:id="1246188205">
      <w:bodyDiv w:val="1"/>
      <w:marLeft w:val="0"/>
      <w:marRight w:val="0"/>
      <w:marTop w:val="0"/>
      <w:marBottom w:val="0"/>
      <w:divBdr>
        <w:top w:val="none" w:sz="0" w:space="0" w:color="auto"/>
        <w:left w:val="none" w:sz="0" w:space="0" w:color="auto"/>
        <w:bottom w:val="none" w:sz="0" w:space="0" w:color="auto"/>
        <w:right w:val="none" w:sz="0" w:space="0" w:color="auto"/>
      </w:divBdr>
    </w:div>
    <w:div w:id="1247885344">
      <w:bodyDiv w:val="1"/>
      <w:marLeft w:val="0"/>
      <w:marRight w:val="0"/>
      <w:marTop w:val="0"/>
      <w:marBottom w:val="0"/>
      <w:divBdr>
        <w:top w:val="none" w:sz="0" w:space="0" w:color="auto"/>
        <w:left w:val="none" w:sz="0" w:space="0" w:color="auto"/>
        <w:bottom w:val="none" w:sz="0" w:space="0" w:color="auto"/>
        <w:right w:val="none" w:sz="0" w:space="0" w:color="auto"/>
      </w:divBdr>
    </w:div>
    <w:div w:id="1248543091">
      <w:bodyDiv w:val="1"/>
      <w:marLeft w:val="0"/>
      <w:marRight w:val="0"/>
      <w:marTop w:val="0"/>
      <w:marBottom w:val="0"/>
      <w:divBdr>
        <w:top w:val="none" w:sz="0" w:space="0" w:color="auto"/>
        <w:left w:val="none" w:sz="0" w:space="0" w:color="auto"/>
        <w:bottom w:val="none" w:sz="0" w:space="0" w:color="auto"/>
        <w:right w:val="none" w:sz="0" w:space="0" w:color="auto"/>
      </w:divBdr>
    </w:div>
    <w:div w:id="1248884150">
      <w:bodyDiv w:val="1"/>
      <w:marLeft w:val="0"/>
      <w:marRight w:val="0"/>
      <w:marTop w:val="0"/>
      <w:marBottom w:val="0"/>
      <w:divBdr>
        <w:top w:val="none" w:sz="0" w:space="0" w:color="auto"/>
        <w:left w:val="none" w:sz="0" w:space="0" w:color="auto"/>
        <w:bottom w:val="none" w:sz="0" w:space="0" w:color="auto"/>
        <w:right w:val="none" w:sz="0" w:space="0" w:color="auto"/>
      </w:divBdr>
    </w:div>
    <w:div w:id="1249998291">
      <w:bodyDiv w:val="1"/>
      <w:marLeft w:val="0"/>
      <w:marRight w:val="0"/>
      <w:marTop w:val="0"/>
      <w:marBottom w:val="0"/>
      <w:divBdr>
        <w:top w:val="none" w:sz="0" w:space="0" w:color="auto"/>
        <w:left w:val="none" w:sz="0" w:space="0" w:color="auto"/>
        <w:bottom w:val="none" w:sz="0" w:space="0" w:color="auto"/>
        <w:right w:val="none" w:sz="0" w:space="0" w:color="auto"/>
      </w:divBdr>
    </w:div>
    <w:div w:id="1250312591">
      <w:bodyDiv w:val="1"/>
      <w:marLeft w:val="0"/>
      <w:marRight w:val="0"/>
      <w:marTop w:val="0"/>
      <w:marBottom w:val="0"/>
      <w:divBdr>
        <w:top w:val="none" w:sz="0" w:space="0" w:color="auto"/>
        <w:left w:val="none" w:sz="0" w:space="0" w:color="auto"/>
        <w:bottom w:val="none" w:sz="0" w:space="0" w:color="auto"/>
        <w:right w:val="none" w:sz="0" w:space="0" w:color="auto"/>
      </w:divBdr>
    </w:div>
    <w:div w:id="1253930189">
      <w:bodyDiv w:val="1"/>
      <w:marLeft w:val="0"/>
      <w:marRight w:val="0"/>
      <w:marTop w:val="0"/>
      <w:marBottom w:val="0"/>
      <w:divBdr>
        <w:top w:val="none" w:sz="0" w:space="0" w:color="auto"/>
        <w:left w:val="none" w:sz="0" w:space="0" w:color="auto"/>
        <w:bottom w:val="none" w:sz="0" w:space="0" w:color="auto"/>
        <w:right w:val="none" w:sz="0" w:space="0" w:color="auto"/>
      </w:divBdr>
    </w:div>
    <w:div w:id="1254819053">
      <w:bodyDiv w:val="1"/>
      <w:marLeft w:val="0"/>
      <w:marRight w:val="0"/>
      <w:marTop w:val="0"/>
      <w:marBottom w:val="0"/>
      <w:divBdr>
        <w:top w:val="none" w:sz="0" w:space="0" w:color="auto"/>
        <w:left w:val="none" w:sz="0" w:space="0" w:color="auto"/>
        <w:bottom w:val="none" w:sz="0" w:space="0" w:color="auto"/>
        <w:right w:val="none" w:sz="0" w:space="0" w:color="auto"/>
      </w:divBdr>
    </w:div>
    <w:div w:id="1255362200">
      <w:bodyDiv w:val="1"/>
      <w:marLeft w:val="0"/>
      <w:marRight w:val="0"/>
      <w:marTop w:val="0"/>
      <w:marBottom w:val="0"/>
      <w:divBdr>
        <w:top w:val="none" w:sz="0" w:space="0" w:color="auto"/>
        <w:left w:val="none" w:sz="0" w:space="0" w:color="auto"/>
        <w:bottom w:val="none" w:sz="0" w:space="0" w:color="auto"/>
        <w:right w:val="none" w:sz="0" w:space="0" w:color="auto"/>
      </w:divBdr>
    </w:div>
    <w:div w:id="1255672758">
      <w:bodyDiv w:val="1"/>
      <w:marLeft w:val="0"/>
      <w:marRight w:val="0"/>
      <w:marTop w:val="0"/>
      <w:marBottom w:val="0"/>
      <w:divBdr>
        <w:top w:val="none" w:sz="0" w:space="0" w:color="auto"/>
        <w:left w:val="none" w:sz="0" w:space="0" w:color="auto"/>
        <w:bottom w:val="none" w:sz="0" w:space="0" w:color="auto"/>
        <w:right w:val="none" w:sz="0" w:space="0" w:color="auto"/>
      </w:divBdr>
    </w:div>
    <w:div w:id="1258055264">
      <w:bodyDiv w:val="1"/>
      <w:marLeft w:val="0"/>
      <w:marRight w:val="0"/>
      <w:marTop w:val="0"/>
      <w:marBottom w:val="0"/>
      <w:divBdr>
        <w:top w:val="none" w:sz="0" w:space="0" w:color="auto"/>
        <w:left w:val="none" w:sz="0" w:space="0" w:color="auto"/>
        <w:bottom w:val="none" w:sz="0" w:space="0" w:color="auto"/>
        <w:right w:val="none" w:sz="0" w:space="0" w:color="auto"/>
      </w:divBdr>
    </w:div>
    <w:div w:id="1258175509">
      <w:bodyDiv w:val="1"/>
      <w:marLeft w:val="0"/>
      <w:marRight w:val="0"/>
      <w:marTop w:val="0"/>
      <w:marBottom w:val="0"/>
      <w:divBdr>
        <w:top w:val="none" w:sz="0" w:space="0" w:color="auto"/>
        <w:left w:val="none" w:sz="0" w:space="0" w:color="auto"/>
        <w:bottom w:val="none" w:sz="0" w:space="0" w:color="auto"/>
        <w:right w:val="none" w:sz="0" w:space="0" w:color="auto"/>
      </w:divBdr>
    </w:div>
    <w:div w:id="1259630736">
      <w:bodyDiv w:val="1"/>
      <w:marLeft w:val="0"/>
      <w:marRight w:val="0"/>
      <w:marTop w:val="0"/>
      <w:marBottom w:val="0"/>
      <w:divBdr>
        <w:top w:val="none" w:sz="0" w:space="0" w:color="auto"/>
        <w:left w:val="none" w:sz="0" w:space="0" w:color="auto"/>
        <w:bottom w:val="none" w:sz="0" w:space="0" w:color="auto"/>
        <w:right w:val="none" w:sz="0" w:space="0" w:color="auto"/>
      </w:divBdr>
    </w:div>
    <w:div w:id="1259944321">
      <w:bodyDiv w:val="1"/>
      <w:marLeft w:val="0"/>
      <w:marRight w:val="0"/>
      <w:marTop w:val="0"/>
      <w:marBottom w:val="0"/>
      <w:divBdr>
        <w:top w:val="none" w:sz="0" w:space="0" w:color="auto"/>
        <w:left w:val="none" w:sz="0" w:space="0" w:color="auto"/>
        <w:bottom w:val="none" w:sz="0" w:space="0" w:color="auto"/>
        <w:right w:val="none" w:sz="0" w:space="0" w:color="auto"/>
      </w:divBdr>
    </w:div>
    <w:div w:id="1260069333">
      <w:bodyDiv w:val="1"/>
      <w:marLeft w:val="0"/>
      <w:marRight w:val="0"/>
      <w:marTop w:val="0"/>
      <w:marBottom w:val="0"/>
      <w:divBdr>
        <w:top w:val="none" w:sz="0" w:space="0" w:color="auto"/>
        <w:left w:val="none" w:sz="0" w:space="0" w:color="auto"/>
        <w:bottom w:val="none" w:sz="0" w:space="0" w:color="auto"/>
        <w:right w:val="none" w:sz="0" w:space="0" w:color="auto"/>
      </w:divBdr>
    </w:div>
    <w:div w:id="1261327799">
      <w:bodyDiv w:val="1"/>
      <w:marLeft w:val="0"/>
      <w:marRight w:val="0"/>
      <w:marTop w:val="0"/>
      <w:marBottom w:val="0"/>
      <w:divBdr>
        <w:top w:val="none" w:sz="0" w:space="0" w:color="auto"/>
        <w:left w:val="none" w:sz="0" w:space="0" w:color="auto"/>
        <w:bottom w:val="none" w:sz="0" w:space="0" w:color="auto"/>
        <w:right w:val="none" w:sz="0" w:space="0" w:color="auto"/>
      </w:divBdr>
    </w:div>
    <w:div w:id="1262302401">
      <w:bodyDiv w:val="1"/>
      <w:marLeft w:val="0"/>
      <w:marRight w:val="0"/>
      <w:marTop w:val="0"/>
      <w:marBottom w:val="0"/>
      <w:divBdr>
        <w:top w:val="none" w:sz="0" w:space="0" w:color="auto"/>
        <w:left w:val="none" w:sz="0" w:space="0" w:color="auto"/>
        <w:bottom w:val="none" w:sz="0" w:space="0" w:color="auto"/>
        <w:right w:val="none" w:sz="0" w:space="0" w:color="auto"/>
      </w:divBdr>
    </w:div>
    <w:div w:id="1263298481">
      <w:bodyDiv w:val="1"/>
      <w:marLeft w:val="0"/>
      <w:marRight w:val="0"/>
      <w:marTop w:val="0"/>
      <w:marBottom w:val="0"/>
      <w:divBdr>
        <w:top w:val="none" w:sz="0" w:space="0" w:color="auto"/>
        <w:left w:val="none" w:sz="0" w:space="0" w:color="auto"/>
        <w:bottom w:val="none" w:sz="0" w:space="0" w:color="auto"/>
        <w:right w:val="none" w:sz="0" w:space="0" w:color="auto"/>
      </w:divBdr>
    </w:div>
    <w:div w:id="1263490404">
      <w:bodyDiv w:val="1"/>
      <w:marLeft w:val="0"/>
      <w:marRight w:val="0"/>
      <w:marTop w:val="0"/>
      <w:marBottom w:val="0"/>
      <w:divBdr>
        <w:top w:val="none" w:sz="0" w:space="0" w:color="auto"/>
        <w:left w:val="none" w:sz="0" w:space="0" w:color="auto"/>
        <w:bottom w:val="none" w:sz="0" w:space="0" w:color="auto"/>
        <w:right w:val="none" w:sz="0" w:space="0" w:color="auto"/>
      </w:divBdr>
    </w:div>
    <w:div w:id="1265841520">
      <w:bodyDiv w:val="1"/>
      <w:marLeft w:val="0"/>
      <w:marRight w:val="0"/>
      <w:marTop w:val="0"/>
      <w:marBottom w:val="0"/>
      <w:divBdr>
        <w:top w:val="none" w:sz="0" w:space="0" w:color="auto"/>
        <w:left w:val="none" w:sz="0" w:space="0" w:color="auto"/>
        <w:bottom w:val="none" w:sz="0" w:space="0" w:color="auto"/>
        <w:right w:val="none" w:sz="0" w:space="0" w:color="auto"/>
      </w:divBdr>
    </w:div>
    <w:div w:id="1267302074">
      <w:bodyDiv w:val="1"/>
      <w:marLeft w:val="0"/>
      <w:marRight w:val="0"/>
      <w:marTop w:val="0"/>
      <w:marBottom w:val="0"/>
      <w:divBdr>
        <w:top w:val="none" w:sz="0" w:space="0" w:color="auto"/>
        <w:left w:val="none" w:sz="0" w:space="0" w:color="auto"/>
        <w:bottom w:val="none" w:sz="0" w:space="0" w:color="auto"/>
        <w:right w:val="none" w:sz="0" w:space="0" w:color="auto"/>
      </w:divBdr>
    </w:div>
    <w:div w:id="1269198772">
      <w:bodyDiv w:val="1"/>
      <w:marLeft w:val="0"/>
      <w:marRight w:val="0"/>
      <w:marTop w:val="0"/>
      <w:marBottom w:val="0"/>
      <w:divBdr>
        <w:top w:val="none" w:sz="0" w:space="0" w:color="auto"/>
        <w:left w:val="none" w:sz="0" w:space="0" w:color="auto"/>
        <w:bottom w:val="none" w:sz="0" w:space="0" w:color="auto"/>
        <w:right w:val="none" w:sz="0" w:space="0" w:color="auto"/>
      </w:divBdr>
    </w:div>
    <w:div w:id="1271203287">
      <w:bodyDiv w:val="1"/>
      <w:marLeft w:val="0"/>
      <w:marRight w:val="0"/>
      <w:marTop w:val="0"/>
      <w:marBottom w:val="0"/>
      <w:divBdr>
        <w:top w:val="none" w:sz="0" w:space="0" w:color="auto"/>
        <w:left w:val="none" w:sz="0" w:space="0" w:color="auto"/>
        <w:bottom w:val="none" w:sz="0" w:space="0" w:color="auto"/>
        <w:right w:val="none" w:sz="0" w:space="0" w:color="auto"/>
      </w:divBdr>
    </w:div>
    <w:div w:id="1271207509">
      <w:bodyDiv w:val="1"/>
      <w:marLeft w:val="0"/>
      <w:marRight w:val="0"/>
      <w:marTop w:val="0"/>
      <w:marBottom w:val="0"/>
      <w:divBdr>
        <w:top w:val="none" w:sz="0" w:space="0" w:color="auto"/>
        <w:left w:val="none" w:sz="0" w:space="0" w:color="auto"/>
        <w:bottom w:val="none" w:sz="0" w:space="0" w:color="auto"/>
        <w:right w:val="none" w:sz="0" w:space="0" w:color="auto"/>
      </w:divBdr>
    </w:div>
    <w:div w:id="1273248593">
      <w:bodyDiv w:val="1"/>
      <w:marLeft w:val="0"/>
      <w:marRight w:val="0"/>
      <w:marTop w:val="0"/>
      <w:marBottom w:val="0"/>
      <w:divBdr>
        <w:top w:val="none" w:sz="0" w:space="0" w:color="auto"/>
        <w:left w:val="none" w:sz="0" w:space="0" w:color="auto"/>
        <w:bottom w:val="none" w:sz="0" w:space="0" w:color="auto"/>
        <w:right w:val="none" w:sz="0" w:space="0" w:color="auto"/>
      </w:divBdr>
    </w:div>
    <w:div w:id="1273633239">
      <w:bodyDiv w:val="1"/>
      <w:marLeft w:val="0"/>
      <w:marRight w:val="0"/>
      <w:marTop w:val="0"/>
      <w:marBottom w:val="0"/>
      <w:divBdr>
        <w:top w:val="none" w:sz="0" w:space="0" w:color="auto"/>
        <w:left w:val="none" w:sz="0" w:space="0" w:color="auto"/>
        <w:bottom w:val="none" w:sz="0" w:space="0" w:color="auto"/>
        <w:right w:val="none" w:sz="0" w:space="0" w:color="auto"/>
      </w:divBdr>
    </w:div>
    <w:div w:id="1275476462">
      <w:bodyDiv w:val="1"/>
      <w:marLeft w:val="0"/>
      <w:marRight w:val="0"/>
      <w:marTop w:val="0"/>
      <w:marBottom w:val="0"/>
      <w:divBdr>
        <w:top w:val="none" w:sz="0" w:space="0" w:color="auto"/>
        <w:left w:val="none" w:sz="0" w:space="0" w:color="auto"/>
        <w:bottom w:val="none" w:sz="0" w:space="0" w:color="auto"/>
        <w:right w:val="none" w:sz="0" w:space="0" w:color="auto"/>
      </w:divBdr>
    </w:div>
    <w:div w:id="1278024979">
      <w:bodyDiv w:val="1"/>
      <w:marLeft w:val="0"/>
      <w:marRight w:val="0"/>
      <w:marTop w:val="0"/>
      <w:marBottom w:val="0"/>
      <w:divBdr>
        <w:top w:val="none" w:sz="0" w:space="0" w:color="auto"/>
        <w:left w:val="none" w:sz="0" w:space="0" w:color="auto"/>
        <w:bottom w:val="none" w:sz="0" w:space="0" w:color="auto"/>
        <w:right w:val="none" w:sz="0" w:space="0" w:color="auto"/>
      </w:divBdr>
    </w:div>
    <w:div w:id="1278751454">
      <w:bodyDiv w:val="1"/>
      <w:marLeft w:val="0"/>
      <w:marRight w:val="0"/>
      <w:marTop w:val="0"/>
      <w:marBottom w:val="0"/>
      <w:divBdr>
        <w:top w:val="none" w:sz="0" w:space="0" w:color="auto"/>
        <w:left w:val="none" w:sz="0" w:space="0" w:color="auto"/>
        <w:bottom w:val="none" w:sz="0" w:space="0" w:color="auto"/>
        <w:right w:val="none" w:sz="0" w:space="0" w:color="auto"/>
      </w:divBdr>
    </w:div>
    <w:div w:id="1279413905">
      <w:bodyDiv w:val="1"/>
      <w:marLeft w:val="0"/>
      <w:marRight w:val="0"/>
      <w:marTop w:val="0"/>
      <w:marBottom w:val="0"/>
      <w:divBdr>
        <w:top w:val="none" w:sz="0" w:space="0" w:color="auto"/>
        <w:left w:val="none" w:sz="0" w:space="0" w:color="auto"/>
        <w:bottom w:val="none" w:sz="0" w:space="0" w:color="auto"/>
        <w:right w:val="none" w:sz="0" w:space="0" w:color="auto"/>
      </w:divBdr>
    </w:div>
    <w:div w:id="1280067179">
      <w:bodyDiv w:val="1"/>
      <w:marLeft w:val="0"/>
      <w:marRight w:val="0"/>
      <w:marTop w:val="0"/>
      <w:marBottom w:val="0"/>
      <w:divBdr>
        <w:top w:val="none" w:sz="0" w:space="0" w:color="auto"/>
        <w:left w:val="none" w:sz="0" w:space="0" w:color="auto"/>
        <w:bottom w:val="none" w:sz="0" w:space="0" w:color="auto"/>
        <w:right w:val="none" w:sz="0" w:space="0" w:color="auto"/>
      </w:divBdr>
    </w:div>
    <w:div w:id="1285187505">
      <w:bodyDiv w:val="1"/>
      <w:marLeft w:val="0"/>
      <w:marRight w:val="0"/>
      <w:marTop w:val="0"/>
      <w:marBottom w:val="0"/>
      <w:divBdr>
        <w:top w:val="none" w:sz="0" w:space="0" w:color="auto"/>
        <w:left w:val="none" w:sz="0" w:space="0" w:color="auto"/>
        <w:bottom w:val="none" w:sz="0" w:space="0" w:color="auto"/>
        <w:right w:val="none" w:sz="0" w:space="0" w:color="auto"/>
      </w:divBdr>
    </w:div>
    <w:div w:id="1289891734">
      <w:bodyDiv w:val="1"/>
      <w:marLeft w:val="0"/>
      <w:marRight w:val="0"/>
      <w:marTop w:val="0"/>
      <w:marBottom w:val="0"/>
      <w:divBdr>
        <w:top w:val="none" w:sz="0" w:space="0" w:color="auto"/>
        <w:left w:val="none" w:sz="0" w:space="0" w:color="auto"/>
        <w:bottom w:val="none" w:sz="0" w:space="0" w:color="auto"/>
        <w:right w:val="none" w:sz="0" w:space="0" w:color="auto"/>
      </w:divBdr>
    </w:div>
    <w:div w:id="1289973939">
      <w:bodyDiv w:val="1"/>
      <w:marLeft w:val="0"/>
      <w:marRight w:val="0"/>
      <w:marTop w:val="0"/>
      <w:marBottom w:val="0"/>
      <w:divBdr>
        <w:top w:val="none" w:sz="0" w:space="0" w:color="auto"/>
        <w:left w:val="none" w:sz="0" w:space="0" w:color="auto"/>
        <w:bottom w:val="none" w:sz="0" w:space="0" w:color="auto"/>
        <w:right w:val="none" w:sz="0" w:space="0" w:color="auto"/>
      </w:divBdr>
    </w:div>
    <w:div w:id="1291593253">
      <w:bodyDiv w:val="1"/>
      <w:marLeft w:val="0"/>
      <w:marRight w:val="0"/>
      <w:marTop w:val="0"/>
      <w:marBottom w:val="0"/>
      <w:divBdr>
        <w:top w:val="none" w:sz="0" w:space="0" w:color="auto"/>
        <w:left w:val="none" w:sz="0" w:space="0" w:color="auto"/>
        <w:bottom w:val="none" w:sz="0" w:space="0" w:color="auto"/>
        <w:right w:val="none" w:sz="0" w:space="0" w:color="auto"/>
      </w:divBdr>
    </w:div>
    <w:div w:id="1292132608">
      <w:bodyDiv w:val="1"/>
      <w:marLeft w:val="0"/>
      <w:marRight w:val="0"/>
      <w:marTop w:val="0"/>
      <w:marBottom w:val="0"/>
      <w:divBdr>
        <w:top w:val="none" w:sz="0" w:space="0" w:color="auto"/>
        <w:left w:val="none" w:sz="0" w:space="0" w:color="auto"/>
        <w:bottom w:val="none" w:sz="0" w:space="0" w:color="auto"/>
        <w:right w:val="none" w:sz="0" w:space="0" w:color="auto"/>
      </w:divBdr>
    </w:div>
    <w:div w:id="1292400737">
      <w:bodyDiv w:val="1"/>
      <w:marLeft w:val="0"/>
      <w:marRight w:val="0"/>
      <w:marTop w:val="0"/>
      <w:marBottom w:val="0"/>
      <w:divBdr>
        <w:top w:val="none" w:sz="0" w:space="0" w:color="auto"/>
        <w:left w:val="none" w:sz="0" w:space="0" w:color="auto"/>
        <w:bottom w:val="none" w:sz="0" w:space="0" w:color="auto"/>
        <w:right w:val="none" w:sz="0" w:space="0" w:color="auto"/>
      </w:divBdr>
    </w:div>
    <w:div w:id="1295216698">
      <w:bodyDiv w:val="1"/>
      <w:marLeft w:val="0"/>
      <w:marRight w:val="0"/>
      <w:marTop w:val="0"/>
      <w:marBottom w:val="0"/>
      <w:divBdr>
        <w:top w:val="none" w:sz="0" w:space="0" w:color="auto"/>
        <w:left w:val="none" w:sz="0" w:space="0" w:color="auto"/>
        <w:bottom w:val="none" w:sz="0" w:space="0" w:color="auto"/>
        <w:right w:val="none" w:sz="0" w:space="0" w:color="auto"/>
      </w:divBdr>
    </w:div>
    <w:div w:id="1296645986">
      <w:bodyDiv w:val="1"/>
      <w:marLeft w:val="0"/>
      <w:marRight w:val="0"/>
      <w:marTop w:val="0"/>
      <w:marBottom w:val="0"/>
      <w:divBdr>
        <w:top w:val="none" w:sz="0" w:space="0" w:color="auto"/>
        <w:left w:val="none" w:sz="0" w:space="0" w:color="auto"/>
        <w:bottom w:val="none" w:sz="0" w:space="0" w:color="auto"/>
        <w:right w:val="none" w:sz="0" w:space="0" w:color="auto"/>
      </w:divBdr>
    </w:div>
    <w:div w:id="1300183658">
      <w:bodyDiv w:val="1"/>
      <w:marLeft w:val="0"/>
      <w:marRight w:val="0"/>
      <w:marTop w:val="0"/>
      <w:marBottom w:val="0"/>
      <w:divBdr>
        <w:top w:val="none" w:sz="0" w:space="0" w:color="auto"/>
        <w:left w:val="none" w:sz="0" w:space="0" w:color="auto"/>
        <w:bottom w:val="none" w:sz="0" w:space="0" w:color="auto"/>
        <w:right w:val="none" w:sz="0" w:space="0" w:color="auto"/>
      </w:divBdr>
    </w:div>
    <w:div w:id="1300259940">
      <w:bodyDiv w:val="1"/>
      <w:marLeft w:val="0"/>
      <w:marRight w:val="0"/>
      <w:marTop w:val="0"/>
      <w:marBottom w:val="0"/>
      <w:divBdr>
        <w:top w:val="none" w:sz="0" w:space="0" w:color="auto"/>
        <w:left w:val="none" w:sz="0" w:space="0" w:color="auto"/>
        <w:bottom w:val="none" w:sz="0" w:space="0" w:color="auto"/>
        <w:right w:val="none" w:sz="0" w:space="0" w:color="auto"/>
      </w:divBdr>
    </w:div>
    <w:div w:id="1306281751">
      <w:bodyDiv w:val="1"/>
      <w:marLeft w:val="0"/>
      <w:marRight w:val="0"/>
      <w:marTop w:val="0"/>
      <w:marBottom w:val="0"/>
      <w:divBdr>
        <w:top w:val="none" w:sz="0" w:space="0" w:color="auto"/>
        <w:left w:val="none" w:sz="0" w:space="0" w:color="auto"/>
        <w:bottom w:val="none" w:sz="0" w:space="0" w:color="auto"/>
        <w:right w:val="none" w:sz="0" w:space="0" w:color="auto"/>
      </w:divBdr>
    </w:div>
    <w:div w:id="1310205041">
      <w:bodyDiv w:val="1"/>
      <w:marLeft w:val="0"/>
      <w:marRight w:val="0"/>
      <w:marTop w:val="0"/>
      <w:marBottom w:val="0"/>
      <w:divBdr>
        <w:top w:val="none" w:sz="0" w:space="0" w:color="auto"/>
        <w:left w:val="none" w:sz="0" w:space="0" w:color="auto"/>
        <w:bottom w:val="none" w:sz="0" w:space="0" w:color="auto"/>
        <w:right w:val="none" w:sz="0" w:space="0" w:color="auto"/>
      </w:divBdr>
    </w:div>
    <w:div w:id="1310400191">
      <w:bodyDiv w:val="1"/>
      <w:marLeft w:val="0"/>
      <w:marRight w:val="0"/>
      <w:marTop w:val="0"/>
      <w:marBottom w:val="0"/>
      <w:divBdr>
        <w:top w:val="none" w:sz="0" w:space="0" w:color="auto"/>
        <w:left w:val="none" w:sz="0" w:space="0" w:color="auto"/>
        <w:bottom w:val="none" w:sz="0" w:space="0" w:color="auto"/>
        <w:right w:val="none" w:sz="0" w:space="0" w:color="auto"/>
      </w:divBdr>
    </w:div>
    <w:div w:id="1310789130">
      <w:bodyDiv w:val="1"/>
      <w:marLeft w:val="0"/>
      <w:marRight w:val="0"/>
      <w:marTop w:val="0"/>
      <w:marBottom w:val="0"/>
      <w:divBdr>
        <w:top w:val="none" w:sz="0" w:space="0" w:color="auto"/>
        <w:left w:val="none" w:sz="0" w:space="0" w:color="auto"/>
        <w:bottom w:val="none" w:sz="0" w:space="0" w:color="auto"/>
        <w:right w:val="none" w:sz="0" w:space="0" w:color="auto"/>
      </w:divBdr>
    </w:div>
    <w:div w:id="1312176665">
      <w:bodyDiv w:val="1"/>
      <w:marLeft w:val="0"/>
      <w:marRight w:val="0"/>
      <w:marTop w:val="0"/>
      <w:marBottom w:val="0"/>
      <w:divBdr>
        <w:top w:val="none" w:sz="0" w:space="0" w:color="auto"/>
        <w:left w:val="none" w:sz="0" w:space="0" w:color="auto"/>
        <w:bottom w:val="none" w:sz="0" w:space="0" w:color="auto"/>
        <w:right w:val="none" w:sz="0" w:space="0" w:color="auto"/>
      </w:divBdr>
    </w:div>
    <w:div w:id="1314531539">
      <w:bodyDiv w:val="1"/>
      <w:marLeft w:val="0"/>
      <w:marRight w:val="0"/>
      <w:marTop w:val="0"/>
      <w:marBottom w:val="0"/>
      <w:divBdr>
        <w:top w:val="none" w:sz="0" w:space="0" w:color="auto"/>
        <w:left w:val="none" w:sz="0" w:space="0" w:color="auto"/>
        <w:bottom w:val="none" w:sz="0" w:space="0" w:color="auto"/>
        <w:right w:val="none" w:sz="0" w:space="0" w:color="auto"/>
      </w:divBdr>
    </w:div>
    <w:div w:id="1316186340">
      <w:bodyDiv w:val="1"/>
      <w:marLeft w:val="0"/>
      <w:marRight w:val="0"/>
      <w:marTop w:val="0"/>
      <w:marBottom w:val="0"/>
      <w:divBdr>
        <w:top w:val="none" w:sz="0" w:space="0" w:color="auto"/>
        <w:left w:val="none" w:sz="0" w:space="0" w:color="auto"/>
        <w:bottom w:val="none" w:sz="0" w:space="0" w:color="auto"/>
        <w:right w:val="none" w:sz="0" w:space="0" w:color="auto"/>
      </w:divBdr>
    </w:div>
    <w:div w:id="1316761272">
      <w:bodyDiv w:val="1"/>
      <w:marLeft w:val="0"/>
      <w:marRight w:val="0"/>
      <w:marTop w:val="0"/>
      <w:marBottom w:val="0"/>
      <w:divBdr>
        <w:top w:val="none" w:sz="0" w:space="0" w:color="auto"/>
        <w:left w:val="none" w:sz="0" w:space="0" w:color="auto"/>
        <w:bottom w:val="none" w:sz="0" w:space="0" w:color="auto"/>
        <w:right w:val="none" w:sz="0" w:space="0" w:color="auto"/>
      </w:divBdr>
    </w:div>
    <w:div w:id="1316836517">
      <w:bodyDiv w:val="1"/>
      <w:marLeft w:val="0"/>
      <w:marRight w:val="0"/>
      <w:marTop w:val="0"/>
      <w:marBottom w:val="0"/>
      <w:divBdr>
        <w:top w:val="none" w:sz="0" w:space="0" w:color="auto"/>
        <w:left w:val="none" w:sz="0" w:space="0" w:color="auto"/>
        <w:bottom w:val="none" w:sz="0" w:space="0" w:color="auto"/>
        <w:right w:val="none" w:sz="0" w:space="0" w:color="auto"/>
      </w:divBdr>
    </w:div>
    <w:div w:id="1316956157">
      <w:bodyDiv w:val="1"/>
      <w:marLeft w:val="0"/>
      <w:marRight w:val="0"/>
      <w:marTop w:val="0"/>
      <w:marBottom w:val="0"/>
      <w:divBdr>
        <w:top w:val="none" w:sz="0" w:space="0" w:color="auto"/>
        <w:left w:val="none" w:sz="0" w:space="0" w:color="auto"/>
        <w:bottom w:val="none" w:sz="0" w:space="0" w:color="auto"/>
        <w:right w:val="none" w:sz="0" w:space="0" w:color="auto"/>
      </w:divBdr>
    </w:div>
    <w:div w:id="1319072837">
      <w:bodyDiv w:val="1"/>
      <w:marLeft w:val="0"/>
      <w:marRight w:val="0"/>
      <w:marTop w:val="0"/>
      <w:marBottom w:val="0"/>
      <w:divBdr>
        <w:top w:val="none" w:sz="0" w:space="0" w:color="auto"/>
        <w:left w:val="none" w:sz="0" w:space="0" w:color="auto"/>
        <w:bottom w:val="none" w:sz="0" w:space="0" w:color="auto"/>
        <w:right w:val="none" w:sz="0" w:space="0" w:color="auto"/>
      </w:divBdr>
      <w:divsChild>
        <w:div w:id="728110279">
          <w:marLeft w:val="0"/>
          <w:marRight w:val="0"/>
          <w:marTop w:val="0"/>
          <w:marBottom w:val="0"/>
          <w:divBdr>
            <w:top w:val="none" w:sz="0" w:space="0" w:color="auto"/>
            <w:left w:val="none" w:sz="0" w:space="0" w:color="auto"/>
            <w:bottom w:val="none" w:sz="0" w:space="0" w:color="auto"/>
            <w:right w:val="none" w:sz="0" w:space="0" w:color="auto"/>
          </w:divBdr>
          <w:divsChild>
            <w:div w:id="1542282584">
              <w:marLeft w:val="0"/>
              <w:marRight w:val="0"/>
              <w:marTop w:val="30"/>
              <w:marBottom w:val="30"/>
              <w:divBdr>
                <w:top w:val="none" w:sz="0" w:space="0" w:color="auto"/>
                <w:left w:val="none" w:sz="0" w:space="0" w:color="auto"/>
                <w:bottom w:val="none" w:sz="0" w:space="0" w:color="auto"/>
                <w:right w:val="none" w:sz="0" w:space="0" w:color="auto"/>
              </w:divBdr>
              <w:divsChild>
                <w:div w:id="1201993">
                  <w:marLeft w:val="0"/>
                  <w:marRight w:val="0"/>
                  <w:marTop w:val="0"/>
                  <w:marBottom w:val="0"/>
                  <w:divBdr>
                    <w:top w:val="none" w:sz="0" w:space="0" w:color="auto"/>
                    <w:left w:val="none" w:sz="0" w:space="0" w:color="auto"/>
                    <w:bottom w:val="none" w:sz="0" w:space="0" w:color="auto"/>
                    <w:right w:val="none" w:sz="0" w:space="0" w:color="auto"/>
                  </w:divBdr>
                  <w:divsChild>
                    <w:div w:id="1751653721">
                      <w:marLeft w:val="0"/>
                      <w:marRight w:val="0"/>
                      <w:marTop w:val="0"/>
                      <w:marBottom w:val="0"/>
                      <w:divBdr>
                        <w:top w:val="none" w:sz="0" w:space="0" w:color="auto"/>
                        <w:left w:val="none" w:sz="0" w:space="0" w:color="auto"/>
                        <w:bottom w:val="none" w:sz="0" w:space="0" w:color="auto"/>
                        <w:right w:val="none" w:sz="0" w:space="0" w:color="auto"/>
                      </w:divBdr>
                    </w:div>
                  </w:divsChild>
                </w:div>
                <w:div w:id="12150610">
                  <w:marLeft w:val="0"/>
                  <w:marRight w:val="0"/>
                  <w:marTop w:val="0"/>
                  <w:marBottom w:val="0"/>
                  <w:divBdr>
                    <w:top w:val="none" w:sz="0" w:space="0" w:color="auto"/>
                    <w:left w:val="none" w:sz="0" w:space="0" w:color="auto"/>
                    <w:bottom w:val="none" w:sz="0" w:space="0" w:color="auto"/>
                    <w:right w:val="none" w:sz="0" w:space="0" w:color="auto"/>
                  </w:divBdr>
                  <w:divsChild>
                    <w:div w:id="632904573">
                      <w:marLeft w:val="0"/>
                      <w:marRight w:val="0"/>
                      <w:marTop w:val="0"/>
                      <w:marBottom w:val="0"/>
                      <w:divBdr>
                        <w:top w:val="none" w:sz="0" w:space="0" w:color="auto"/>
                        <w:left w:val="none" w:sz="0" w:space="0" w:color="auto"/>
                        <w:bottom w:val="none" w:sz="0" w:space="0" w:color="auto"/>
                        <w:right w:val="none" w:sz="0" w:space="0" w:color="auto"/>
                      </w:divBdr>
                    </w:div>
                  </w:divsChild>
                </w:div>
                <w:div w:id="19091779">
                  <w:marLeft w:val="0"/>
                  <w:marRight w:val="0"/>
                  <w:marTop w:val="0"/>
                  <w:marBottom w:val="0"/>
                  <w:divBdr>
                    <w:top w:val="none" w:sz="0" w:space="0" w:color="auto"/>
                    <w:left w:val="none" w:sz="0" w:space="0" w:color="auto"/>
                    <w:bottom w:val="none" w:sz="0" w:space="0" w:color="auto"/>
                    <w:right w:val="none" w:sz="0" w:space="0" w:color="auto"/>
                  </w:divBdr>
                  <w:divsChild>
                    <w:div w:id="1692098390">
                      <w:marLeft w:val="0"/>
                      <w:marRight w:val="0"/>
                      <w:marTop w:val="0"/>
                      <w:marBottom w:val="0"/>
                      <w:divBdr>
                        <w:top w:val="none" w:sz="0" w:space="0" w:color="auto"/>
                        <w:left w:val="none" w:sz="0" w:space="0" w:color="auto"/>
                        <w:bottom w:val="none" w:sz="0" w:space="0" w:color="auto"/>
                        <w:right w:val="none" w:sz="0" w:space="0" w:color="auto"/>
                      </w:divBdr>
                    </w:div>
                  </w:divsChild>
                </w:div>
                <w:div w:id="40250121">
                  <w:marLeft w:val="0"/>
                  <w:marRight w:val="0"/>
                  <w:marTop w:val="0"/>
                  <w:marBottom w:val="0"/>
                  <w:divBdr>
                    <w:top w:val="none" w:sz="0" w:space="0" w:color="auto"/>
                    <w:left w:val="none" w:sz="0" w:space="0" w:color="auto"/>
                    <w:bottom w:val="none" w:sz="0" w:space="0" w:color="auto"/>
                    <w:right w:val="none" w:sz="0" w:space="0" w:color="auto"/>
                  </w:divBdr>
                  <w:divsChild>
                    <w:div w:id="824396735">
                      <w:marLeft w:val="0"/>
                      <w:marRight w:val="0"/>
                      <w:marTop w:val="0"/>
                      <w:marBottom w:val="0"/>
                      <w:divBdr>
                        <w:top w:val="none" w:sz="0" w:space="0" w:color="auto"/>
                        <w:left w:val="none" w:sz="0" w:space="0" w:color="auto"/>
                        <w:bottom w:val="none" w:sz="0" w:space="0" w:color="auto"/>
                        <w:right w:val="none" w:sz="0" w:space="0" w:color="auto"/>
                      </w:divBdr>
                    </w:div>
                  </w:divsChild>
                </w:div>
                <w:div w:id="52705664">
                  <w:marLeft w:val="0"/>
                  <w:marRight w:val="0"/>
                  <w:marTop w:val="0"/>
                  <w:marBottom w:val="0"/>
                  <w:divBdr>
                    <w:top w:val="none" w:sz="0" w:space="0" w:color="auto"/>
                    <w:left w:val="none" w:sz="0" w:space="0" w:color="auto"/>
                    <w:bottom w:val="none" w:sz="0" w:space="0" w:color="auto"/>
                    <w:right w:val="none" w:sz="0" w:space="0" w:color="auto"/>
                  </w:divBdr>
                  <w:divsChild>
                    <w:div w:id="429393410">
                      <w:marLeft w:val="0"/>
                      <w:marRight w:val="0"/>
                      <w:marTop w:val="0"/>
                      <w:marBottom w:val="0"/>
                      <w:divBdr>
                        <w:top w:val="none" w:sz="0" w:space="0" w:color="auto"/>
                        <w:left w:val="none" w:sz="0" w:space="0" w:color="auto"/>
                        <w:bottom w:val="none" w:sz="0" w:space="0" w:color="auto"/>
                        <w:right w:val="none" w:sz="0" w:space="0" w:color="auto"/>
                      </w:divBdr>
                    </w:div>
                  </w:divsChild>
                </w:div>
                <w:div w:id="53436028">
                  <w:marLeft w:val="0"/>
                  <w:marRight w:val="0"/>
                  <w:marTop w:val="0"/>
                  <w:marBottom w:val="0"/>
                  <w:divBdr>
                    <w:top w:val="none" w:sz="0" w:space="0" w:color="auto"/>
                    <w:left w:val="none" w:sz="0" w:space="0" w:color="auto"/>
                    <w:bottom w:val="none" w:sz="0" w:space="0" w:color="auto"/>
                    <w:right w:val="none" w:sz="0" w:space="0" w:color="auto"/>
                  </w:divBdr>
                  <w:divsChild>
                    <w:div w:id="474881073">
                      <w:marLeft w:val="0"/>
                      <w:marRight w:val="0"/>
                      <w:marTop w:val="0"/>
                      <w:marBottom w:val="0"/>
                      <w:divBdr>
                        <w:top w:val="none" w:sz="0" w:space="0" w:color="auto"/>
                        <w:left w:val="none" w:sz="0" w:space="0" w:color="auto"/>
                        <w:bottom w:val="none" w:sz="0" w:space="0" w:color="auto"/>
                        <w:right w:val="none" w:sz="0" w:space="0" w:color="auto"/>
                      </w:divBdr>
                    </w:div>
                  </w:divsChild>
                </w:div>
                <w:div w:id="60254515">
                  <w:marLeft w:val="0"/>
                  <w:marRight w:val="0"/>
                  <w:marTop w:val="0"/>
                  <w:marBottom w:val="0"/>
                  <w:divBdr>
                    <w:top w:val="none" w:sz="0" w:space="0" w:color="auto"/>
                    <w:left w:val="none" w:sz="0" w:space="0" w:color="auto"/>
                    <w:bottom w:val="none" w:sz="0" w:space="0" w:color="auto"/>
                    <w:right w:val="none" w:sz="0" w:space="0" w:color="auto"/>
                  </w:divBdr>
                  <w:divsChild>
                    <w:div w:id="1623656529">
                      <w:marLeft w:val="0"/>
                      <w:marRight w:val="0"/>
                      <w:marTop w:val="0"/>
                      <w:marBottom w:val="0"/>
                      <w:divBdr>
                        <w:top w:val="none" w:sz="0" w:space="0" w:color="auto"/>
                        <w:left w:val="none" w:sz="0" w:space="0" w:color="auto"/>
                        <w:bottom w:val="none" w:sz="0" w:space="0" w:color="auto"/>
                        <w:right w:val="none" w:sz="0" w:space="0" w:color="auto"/>
                      </w:divBdr>
                    </w:div>
                  </w:divsChild>
                </w:div>
                <w:div w:id="67925334">
                  <w:marLeft w:val="0"/>
                  <w:marRight w:val="0"/>
                  <w:marTop w:val="0"/>
                  <w:marBottom w:val="0"/>
                  <w:divBdr>
                    <w:top w:val="none" w:sz="0" w:space="0" w:color="auto"/>
                    <w:left w:val="none" w:sz="0" w:space="0" w:color="auto"/>
                    <w:bottom w:val="none" w:sz="0" w:space="0" w:color="auto"/>
                    <w:right w:val="none" w:sz="0" w:space="0" w:color="auto"/>
                  </w:divBdr>
                  <w:divsChild>
                    <w:div w:id="1591505474">
                      <w:marLeft w:val="0"/>
                      <w:marRight w:val="0"/>
                      <w:marTop w:val="0"/>
                      <w:marBottom w:val="0"/>
                      <w:divBdr>
                        <w:top w:val="none" w:sz="0" w:space="0" w:color="auto"/>
                        <w:left w:val="none" w:sz="0" w:space="0" w:color="auto"/>
                        <w:bottom w:val="none" w:sz="0" w:space="0" w:color="auto"/>
                        <w:right w:val="none" w:sz="0" w:space="0" w:color="auto"/>
                      </w:divBdr>
                    </w:div>
                  </w:divsChild>
                </w:div>
                <w:div w:id="78714730">
                  <w:marLeft w:val="0"/>
                  <w:marRight w:val="0"/>
                  <w:marTop w:val="0"/>
                  <w:marBottom w:val="0"/>
                  <w:divBdr>
                    <w:top w:val="none" w:sz="0" w:space="0" w:color="auto"/>
                    <w:left w:val="none" w:sz="0" w:space="0" w:color="auto"/>
                    <w:bottom w:val="none" w:sz="0" w:space="0" w:color="auto"/>
                    <w:right w:val="none" w:sz="0" w:space="0" w:color="auto"/>
                  </w:divBdr>
                  <w:divsChild>
                    <w:div w:id="1703819775">
                      <w:marLeft w:val="0"/>
                      <w:marRight w:val="0"/>
                      <w:marTop w:val="0"/>
                      <w:marBottom w:val="0"/>
                      <w:divBdr>
                        <w:top w:val="none" w:sz="0" w:space="0" w:color="auto"/>
                        <w:left w:val="none" w:sz="0" w:space="0" w:color="auto"/>
                        <w:bottom w:val="none" w:sz="0" w:space="0" w:color="auto"/>
                        <w:right w:val="none" w:sz="0" w:space="0" w:color="auto"/>
                      </w:divBdr>
                    </w:div>
                  </w:divsChild>
                </w:div>
                <w:div w:id="79910937">
                  <w:marLeft w:val="0"/>
                  <w:marRight w:val="0"/>
                  <w:marTop w:val="0"/>
                  <w:marBottom w:val="0"/>
                  <w:divBdr>
                    <w:top w:val="none" w:sz="0" w:space="0" w:color="auto"/>
                    <w:left w:val="none" w:sz="0" w:space="0" w:color="auto"/>
                    <w:bottom w:val="none" w:sz="0" w:space="0" w:color="auto"/>
                    <w:right w:val="none" w:sz="0" w:space="0" w:color="auto"/>
                  </w:divBdr>
                  <w:divsChild>
                    <w:div w:id="601227701">
                      <w:marLeft w:val="0"/>
                      <w:marRight w:val="0"/>
                      <w:marTop w:val="0"/>
                      <w:marBottom w:val="0"/>
                      <w:divBdr>
                        <w:top w:val="none" w:sz="0" w:space="0" w:color="auto"/>
                        <w:left w:val="none" w:sz="0" w:space="0" w:color="auto"/>
                        <w:bottom w:val="none" w:sz="0" w:space="0" w:color="auto"/>
                        <w:right w:val="none" w:sz="0" w:space="0" w:color="auto"/>
                      </w:divBdr>
                    </w:div>
                  </w:divsChild>
                </w:div>
                <w:div w:id="99765383">
                  <w:marLeft w:val="0"/>
                  <w:marRight w:val="0"/>
                  <w:marTop w:val="0"/>
                  <w:marBottom w:val="0"/>
                  <w:divBdr>
                    <w:top w:val="none" w:sz="0" w:space="0" w:color="auto"/>
                    <w:left w:val="none" w:sz="0" w:space="0" w:color="auto"/>
                    <w:bottom w:val="none" w:sz="0" w:space="0" w:color="auto"/>
                    <w:right w:val="none" w:sz="0" w:space="0" w:color="auto"/>
                  </w:divBdr>
                  <w:divsChild>
                    <w:div w:id="468478620">
                      <w:marLeft w:val="0"/>
                      <w:marRight w:val="0"/>
                      <w:marTop w:val="0"/>
                      <w:marBottom w:val="0"/>
                      <w:divBdr>
                        <w:top w:val="none" w:sz="0" w:space="0" w:color="auto"/>
                        <w:left w:val="none" w:sz="0" w:space="0" w:color="auto"/>
                        <w:bottom w:val="none" w:sz="0" w:space="0" w:color="auto"/>
                        <w:right w:val="none" w:sz="0" w:space="0" w:color="auto"/>
                      </w:divBdr>
                    </w:div>
                  </w:divsChild>
                </w:div>
                <w:div w:id="106435269">
                  <w:marLeft w:val="0"/>
                  <w:marRight w:val="0"/>
                  <w:marTop w:val="0"/>
                  <w:marBottom w:val="0"/>
                  <w:divBdr>
                    <w:top w:val="none" w:sz="0" w:space="0" w:color="auto"/>
                    <w:left w:val="none" w:sz="0" w:space="0" w:color="auto"/>
                    <w:bottom w:val="none" w:sz="0" w:space="0" w:color="auto"/>
                    <w:right w:val="none" w:sz="0" w:space="0" w:color="auto"/>
                  </w:divBdr>
                  <w:divsChild>
                    <w:div w:id="606473173">
                      <w:marLeft w:val="0"/>
                      <w:marRight w:val="0"/>
                      <w:marTop w:val="0"/>
                      <w:marBottom w:val="0"/>
                      <w:divBdr>
                        <w:top w:val="none" w:sz="0" w:space="0" w:color="auto"/>
                        <w:left w:val="none" w:sz="0" w:space="0" w:color="auto"/>
                        <w:bottom w:val="none" w:sz="0" w:space="0" w:color="auto"/>
                        <w:right w:val="none" w:sz="0" w:space="0" w:color="auto"/>
                      </w:divBdr>
                    </w:div>
                  </w:divsChild>
                </w:div>
                <w:div w:id="115373120">
                  <w:marLeft w:val="0"/>
                  <w:marRight w:val="0"/>
                  <w:marTop w:val="0"/>
                  <w:marBottom w:val="0"/>
                  <w:divBdr>
                    <w:top w:val="none" w:sz="0" w:space="0" w:color="auto"/>
                    <w:left w:val="none" w:sz="0" w:space="0" w:color="auto"/>
                    <w:bottom w:val="none" w:sz="0" w:space="0" w:color="auto"/>
                    <w:right w:val="none" w:sz="0" w:space="0" w:color="auto"/>
                  </w:divBdr>
                  <w:divsChild>
                    <w:div w:id="438527323">
                      <w:marLeft w:val="0"/>
                      <w:marRight w:val="0"/>
                      <w:marTop w:val="0"/>
                      <w:marBottom w:val="0"/>
                      <w:divBdr>
                        <w:top w:val="none" w:sz="0" w:space="0" w:color="auto"/>
                        <w:left w:val="none" w:sz="0" w:space="0" w:color="auto"/>
                        <w:bottom w:val="none" w:sz="0" w:space="0" w:color="auto"/>
                        <w:right w:val="none" w:sz="0" w:space="0" w:color="auto"/>
                      </w:divBdr>
                    </w:div>
                  </w:divsChild>
                </w:div>
                <w:div w:id="119032677">
                  <w:marLeft w:val="0"/>
                  <w:marRight w:val="0"/>
                  <w:marTop w:val="0"/>
                  <w:marBottom w:val="0"/>
                  <w:divBdr>
                    <w:top w:val="none" w:sz="0" w:space="0" w:color="auto"/>
                    <w:left w:val="none" w:sz="0" w:space="0" w:color="auto"/>
                    <w:bottom w:val="none" w:sz="0" w:space="0" w:color="auto"/>
                    <w:right w:val="none" w:sz="0" w:space="0" w:color="auto"/>
                  </w:divBdr>
                  <w:divsChild>
                    <w:div w:id="1422021708">
                      <w:marLeft w:val="0"/>
                      <w:marRight w:val="0"/>
                      <w:marTop w:val="0"/>
                      <w:marBottom w:val="0"/>
                      <w:divBdr>
                        <w:top w:val="none" w:sz="0" w:space="0" w:color="auto"/>
                        <w:left w:val="none" w:sz="0" w:space="0" w:color="auto"/>
                        <w:bottom w:val="none" w:sz="0" w:space="0" w:color="auto"/>
                        <w:right w:val="none" w:sz="0" w:space="0" w:color="auto"/>
                      </w:divBdr>
                    </w:div>
                  </w:divsChild>
                </w:div>
                <w:div w:id="120730586">
                  <w:marLeft w:val="0"/>
                  <w:marRight w:val="0"/>
                  <w:marTop w:val="0"/>
                  <w:marBottom w:val="0"/>
                  <w:divBdr>
                    <w:top w:val="none" w:sz="0" w:space="0" w:color="auto"/>
                    <w:left w:val="none" w:sz="0" w:space="0" w:color="auto"/>
                    <w:bottom w:val="none" w:sz="0" w:space="0" w:color="auto"/>
                    <w:right w:val="none" w:sz="0" w:space="0" w:color="auto"/>
                  </w:divBdr>
                  <w:divsChild>
                    <w:div w:id="758670927">
                      <w:marLeft w:val="0"/>
                      <w:marRight w:val="0"/>
                      <w:marTop w:val="0"/>
                      <w:marBottom w:val="0"/>
                      <w:divBdr>
                        <w:top w:val="none" w:sz="0" w:space="0" w:color="auto"/>
                        <w:left w:val="none" w:sz="0" w:space="0" w:color="auto"/>
                        <w:bottom w:val="none" w:sz="0" w:space="0" w:color="auto"/>
                        <w:right w:val="none" w:sz="0" w:space="0" w:color="auto"/>
                      </w:divBdr>
                    </w:div>
                  </w:divsChild>
                </w:div>
                <w:div w:id="122820022">
                  <w:marLeft w:val="0"/>
                  <w:marRight w:val="0"/>
                  <w:marTop w:val="0"/>
                  <w:marBottom w:val="0"/>
                  <w:divBdr>
                    <w:top w:val="none" w:sz="0" w:space="0" w:color="auto"/>
                    <w:left w:val="none" w:sz="0" w:space="0" w:color="auto"/>
                    <w:bottom w:val="none" w:sz="0" w:space="0" w:color="auto"/>
                    <w:right w:val="none" w:sz="0" w:space="0" w:color="auto"/>
                  </w:divBdr>
                  <w:divsChild>
                    <w:div w:id="2007434567">
                      <w:marLeft w:val="0"/>
                      <w:marRight w:val="0"/>
                      <w:marTop w:val="0"/>
                      <w:marBottom w:val="0"/>
                      <w:divBdr>
                        <w:top w:val="none" w:sz="0" w:space="0" w:color="auto"/>
                        <w:left w:val="none" w:sz="0" w:space="0" w:color="auto"/>
                        <w:bottom w:val="none" w:sz="0" w:space="0" w:color="auto"/>
                        <w:right w:val="none" w:sz="0" w:space="0" w:color="auto"/>
                      </w:divBdr>
                    </w:div>
                  </w:divsChild>
                </w:div>
                <w:div w:id="124084399">
                  <w:marLeft w:val="0"/>
                  <w:marRight w:val="0"/>
                  <w:marTop w:val="0"/>
                  <w:marBottom w:val="0"/>
                  <w:divBdr>
                    <w:top w:val="none" w:sz="0" w:space="0" w:color="auto"/>
                    <w:left w:val="none" w:sz="0" w:space="0" w:color="auto"/>
                    <w:bottom w:val="none" w:sz="0" w:space="0" w:color="auto"/>
                    <w:right w:val="none" w:sz="0" w:space="0" w:color="auto"/>
                  </w:divBdr>
                  <w:divsChild>
                    <w:div w:id="564872861">
                      <w:marLeft w:val="0"/>
                      <w:marRight w:val="0"/>
                      <w:marTop w:val="0"/>
                      <w:marBottom w:val="0"/>
                      <w:divBdr>
                        <w:top w:val="none" w:sz="0" w:space="0" w:color="auto"/>
                        <w:left w:val="none" w:sz="0" w:space="0" w:color="auto"/>
                        <w:bottom w:val="none" w:sz="0" w:space="0" w:color="auto"/>
                        <w:right w:val="none" w:sz="0" w:space="0" w:color="auto"/>
                      </w:divBdr>
                    </w:div>
                  </w:divsChild>
                </w:div>
                <w:div w:id="155800787">
                  <w:marLeft w:val="0"/>
                  <w:marRight w:val="0"/>
                  <w:marTop w:val="0"/>
                  <w:marBottom w:val="0"/>
                  <w:divBdr>
                    <w:top w:val="none" w:sz="0" w:space="0" w:color="auto"/>
                    <w:left w:val="none" w:sz="0" w:space="0" w:color="auto"/>
                    <w:bottom w:val="none" w:sz="0" w:space="0" w:color="auto"/>
                    <w:right w:val="none" w:sz="0" w:space="0" w:color="auto"/>
                  </w:divBdr>
                  <w:divsChild>
                    <w:div w:id="488715655">
                      <w:marLeft w:val="0"/>
                      <w:marRight w:val="0"/>
                      <w:marTop w:val="0"/>
                      <w:marBottom w:val="0"/>
                      <w:divBdr>
                        <w:top w:val="none" w:sz="0" w:space="0" w:color="auto"/>
                        <w:left w:val="none" w:sz="0" w:space="0" w:color="auto"/>
                        <w:bottom w:val="none" w:sz="0" w:space="0" w:color="auto"/>
                        <w:right w:val="none" w:sz="0" w:space="0" w:color="auto"/>
                      </w:divBdr>
                    </w:div>
                  </w:divsChild>
                </w:div>
                <w:div w:id="156044618">
                  <w:marLeft w:val="0"/>
                  <w:marRight w:val="0"/>
                  <w:marTop w:val="0"/>
                  <w:marBottom w:val="0"/>
                  <w:divBdr>
                    <w:top w:val="none" w:sz="0" w:space="0" w:color="auto"/>
                    <w:left w:val="none" w:sz="0" w:space="0" w:color="auto"/>
                    <w:bottom w:val="none" w:sz="0" w:space="0" w:color="auto"/>
                    <w:right w:val="none" w:sz="0" w:space="0" w:color="auto"/>
                  </w:divBdr>
                  <w:divsChild>
                    <w:div w:id="1827820700">
                      <w:marLeft w:val="0"/>
                      <w:marRight w:val="0"/>
                      <w:marTop w:val="0"/>
                      <w:marBottom w:val="0"/>
                      <w:divBdr>
                        <w:top w:val="none" w:sz="0" w:space="0" w:color="auto"/>
                        <w:left w:val="none" w:sz="0" w:space="0" w:color="auto"/>
                        <w:bottom w:val="none" w:sz="0" w:space="0" w:color="auto"/>
                        <w:right w:val="none" w:sz="0" w:space="0" w:color="auto"/>
                      </w:divBdr>
                    </w:div>
                  </w:divsChild>
                </w:div>
                <w:div w:id="158273821">
                  <w:marLeft w:val="0"/>
                  <w:marRight w:val="0"/>
                  <w:marTop w:val="0"/>
                  <w:marBottom w:val="0"/>
                  <w:divBdr>
                    <w:top w:val="none" w:sz="0" w:space="0" w:color="auto"/>
                    <w:left w:val="none" w:sz="0" w:space="0" w:color="auto"/>
                    <w:bottom w:val="none" w:sz="0" w:space="0" w:color="auto"/>
                    <w:right w:val="none" w:sz="0" w:space="0" w:color="auto"/>
                  </w:divBdr>
                  <w:divsChild>
                    <w:div w:id="1228148867">
                      <w:marLeft w:val="0"/>
                      <w:marRight w:val="0"/>
                      <w:marTop w:val="0"/>
                      <w:marBottom w:val="0"/>
                      <w:divBdr>
                        <w:top w:val="none" w:sz="0" w:space="0" w:color="auto"/>
                        <w:left w:val="none" w:sz="0" w:space="0" w:color="auto"/>
                        <w:bottom w:val="none" w:sz="0" w:space="0" w:color="auto"/>
                        <w:right w:val="none" w:sz="0" w:space="0" w:color="auto"/>
                      </w:divBdr>
                    </w:div>
                  </w:divsChild>
                </w:div>
                <w:div w:id="158427487">
                  <w:marLeft w:val="0"/>
                  <w:marRight w:val="0"/>
                  <w:marTop w:val="0"/>
                  <w:marBottom w:val="0"/>
                  <w:divBdr>
                    <w:top w:val="none" w:sz="0" w:space="0" w:color="auto"/>
                    <w:left w:val="none" w:sz="0" w:space="0" w:color="auto"/>
                    <w:bottom w:val="none" w:sz="0" w:space="0" w:color="auto"/>
                    <w:right w:val="none" w:sz="0" w:space="0" w:color="auto"/>
                  </w:divBdr>
                  <w:divsChild>
                    <w:div w:id="870411575">
                      <w:marLeft w:val="0"/>
                      <w:marRight w:val="0"/>
                      <w:marTop w:val="0"/>
                      <w:marBottom w:val="0"/>
                      <w:divBdr>
                        <w:top w:val="none" w:sz="0" w:space="0" w:color="auto"/>
                        <w:left w:val="none" w:sz="0" w:space="0" w:color="auto"/>
                        <w:bottom w:val="none" w:sz="0" w:space="0" w:color="auto"/>
                        <w:right w:val="none" w:sz="0" w:space="0" w:color="auto"/>
                      </w:divBdr>
                    </w:div>
                  </w:divsChild>
                </w:div>
                <w:div w:id="161049428">
                  <w:marLeft w:val="0"/>
                  <w:marRight w:val="0"/>
                  <w:marTop w:val="0"/>
                  <w:marBottom w:val="0"/>
                  <w:divBdr>
                    <w:top w:val="none" w:sz="0" w:space="0" w:color="auto"/>
                    <w:left w:val="none" w:sz="0" w:space="0" w:color="auto"/>
                    <w:bottom w:val="none" w:sz="0" w:space="0" w:color="auto"/>
                    <w:right w:val="none" w:sz="0" w:space="0" w:color="auto"/>
                  </w:divBdr>
                  <w:divsChild>
                    <w:div w:id="113447497">
                      <w:marLeft w:val="0"/>
                      <w:marRight w:val="0"/>
                      <w:marTop w:val="0"/>
                      <w:marBottom w:val="0"/>
                      <w:divBdr>
                        <w:top w:val="none" w:sz="0" w:space="0" w:color="auto"/>
                        <w:left w:val="none" w:sz="0" w:space="0" w:color="auto"/>
                        <w:bottom w:val="none" w:sz="0" w:space="0" w:color="auto"/>
                        <w:right w:val="none" w:sz="0" w:space="0" w:color="auto"/>
                      </w:divBdr>
                    </w:div>
                  </w:divsChild>
                </w:div>
                <w:div w:id="164174544">
                  <w:marLeft w:val="0"/>
                  <w:marRight w:val="0"/>
                  <w:marTop w:val="0"/>
                  <w:marBottom w:val="0"/>
                  <w:divBdr>
                    <w:top w:val="none" w:sz="0" w:space="0" w:color="auto"/>
                    <w:left w:val="none" w:sz="0" w:space="0" w:color="auto"/>
                    <w:bottom w:val="none" w:sz="0" w:space="0" w:color="auto"/>
                    <w:right w:val="none" w:sz="0" w:space="0" w:color="auto"/>
                  </w:divBdr>
                  <w:divsChild>
                    <w:div w:id="1419866867">
                      <w:marLeft w:val="0"/>
                      <w:marRight w:val="0"/>
                      <w:marTop w:val="0"/>
                      <w:marBottom w:val="0"/>
                      <w:divBdr>
                        <w:top w:val="none" w:sz="0" w:space="0" w:color="auto"/>
                        <w:left w:val="none" w:sz="0" w:space="0" w:color="auto"/>
                        <w:bottom w:val="none" w:sz="0" w:space="0" w:color="auto"/>
                        <w:right w:val="none" w:sz="0" w:space="0" w:color="auto"/>
                      </w:divBdr>
                    </w:div>
                  </w:divsChild>
                </w:div>
                <w:div w:id="168057289">
                  <w:marLeft w:val="0"/>
                  <w:marRight w:val="0"/>
                  <w:marTop w:val="0"/>
                  <w:marBottom w:val="0"/>
                  <w:divBdr>
                    <w:top w:val="none" w:sz="0" w:space="0" w:color="auto"/>
                    <w:left w:val="none" w:sz="0" w:space="0" w:color="auto"/>
                    <w:bottom w:val="none" w:sz="0" w:space="0" w:color="auto"/>
                    <w:right w:val="none" w:sz="0" w:space="0" w:color="auto"/>
                  </w:divBdr>
                  <w:divsChild>
                    <w:div w:id="1387025554">
                      <w:marLeft w:val="0"/>
                      <w:marRight w:val="0"/>
                      <w:marTop w:val="0"/>
                      <w:marBottom w:val="0"/>
                      <w:divBdr>
                        <w:top w:val="none" w:sz="0" w:space="0" w:color="auto"/>
                        <w:left w:val="none" w:sz="0" w:space="0" w:color="auto"/>
                        <w:bottom w:val="none" w:sz="0" w:space="0" w:color="auto"/>
                        <w:right w:val="none" w:sz="0" w:space="0" w:color="auto"/>
                      </w:divBdr>
                    </w:div>
                  </w:divsChild>
                </w:div>
                <w:div w:id="170222711">
                  <w:marLeft w:val="0"/>
                  <w:marRight w:val="0"/>
                  <w:marTop w:val="0"/>
                  <w:marBottom w:val="0"/>
                  <w:divBdr>
                    <w:top w:val="none" w:sz="0" w:space="0" w:color="auto"/>
                    <w:left w:val="none" w:sz="0" w:space="0" w:color="auto"/>
                    <w:bottom w:val="none" w:sz="0" w:space="0" w:color="auto"/>
                    <w:right w:val="none" w:sz="0" w:space="0" w:color="auto"/>
                  </w:divBdr>
                  <w:divsChild>
                    <w:div w:id="599752139">
                      <w:marLeft w:val="0"/>
                      <w:marRight w:val="0"/>
                      <w:marTop w:val="0"/>
                      <w:marBottom w:val="0"/>
                      <w:divBdr>
                        <w:top w:val="none" w:sz="0" w:space="0" w:color="auto"/>
                        <w:left w:val="none" w:sz="0" w:space="0" w:color="auto"/>
                        <w:bottom w:val="none" w:sz="0" w:space="0" w:color="auto"/>
                        <w:right w:val="none" w:sz="0" w:space="0" w:color="auto"/>
                      </w:divBdr>
                    </w:div>
                  </w:divsChild>
                </w:div>
                <w:div w:id="176508240">
                  <w:marLeft w:val="0"/>
                  <w:marRight w:val="0"/>
                  <w:marTop w:val="0"/>
                  <w:marBottom w:val="0"/>
                  <w:divBdr>
                    <w:top w:val="none" w:sz="0" w:space="0" w:color="auto"/>
                    <w:left w:val="none" w:sz="0" w:space="0" w:color="auto"/>
                    <w:bottom w:val="none" w:sz="0" w:space="0" w:color="auto"/>
                    <w:right w:val="none" w:sz="0" w:space="0" w:color="auto"/>
                  </w:divBdr>
                  <w:divsChild>
                    <w:div w:id="219286235">
                      <w:marLeft w:val="0"/>
                      <w:marRight w:val="0"/>
                      <w:marTop w:val="0"/>
                      <w:marBottom w:val="0"/>
                      <w:divBdr>
                        <w:top w:val="none" w:sz="0" w:space="0" w:color="auto"/>
                        <w:left w:val="none" w:sz="0" w:space="0" w:color="auto"/>
                        <w:bottom w:val="none" w:sz="0" w:space="0" w:color="auto"/>
                        <w:right w:val="none" w:sz="0" w:space="0" w:color="auto"/>
                      </w:divBdr>
                    </w:div>
                  </w:divsChild>
                </w:div>
                <w:div w:id="185676197">
                  <w:marLeft w:val="0"/>
                  <w:marRight w:val="0"/>
                  <w:marTop w:val="0"/>
                  <w:marBottom w:val="0"/>
                  <w:divBdr>
                    <w:top w:val="none" w:sz="0" w:space="0" w:color="auto"/>
                    <w:left w:val="none" w:sz="0" w:space="0" w:color="auto"/>
                    <w:bottom w:val="none" w:sz="0" w:space="0" w:color="auto"/>
                    <w:right w:val="none" w:sz="0" w:space="0" w:color="auto"/>
                  </w:divBdr>
                  <w:divsChild>
                    <w:div w:id="167451250">
                      <w:marLeft w:val="0"/>
                      <w:marRight w:val="0"/>
                      <w:marTop w:val="0"/>
                      <w:marBottom w:val="0"/>
                      <w:divBdr>
                        <w:top w:val="none" w:sz="0" w:space="0" w:color="auto"/>
                        <w:left w:val="none" w:sz="0" w:space="0" w:color="auto"/>
                        <w:bottom w:val="none" w:sz="0" w:space="0" w:color="auto"/>
                        <w:right w:val="none" w:sz="0" w:space="0" w:color="auto"/>
                      </w:divBdr>
                    </w:div>
                  </w:divsChild>
                </w:div>
                <w:div w:id="194735943">
                  <w:marLeft w:val="0"/>
                  <w:marRight w:val="0"/>
                  <w:marTop w:val="0"/>
                  <w:marBottom w:val="0"/>
                  <w:divBdr>
                    <w:top w:val="none" w:sz="0" w:space="0" w:color="auto"/>
                    <w:left w:val="none" w:sz="0" w:space="0" w:color="auto"/>
                    <w:bottom w:val="none" w:sz="0" w:space="0" w:color="auto"/>
                    <w:right w:val="none" w:sz="0" w:space="0" w:color="auto"/>
                  </w:divBdr>
                  <w:divsChild>
                    <w:div w:id="1478958686">
                      <w:marLeft w:val="0"/>
                      <w:marRight w:val="0"/>
                      <w:marTop w:val="0"/>
                      <w:marBottom w:val="0"/>
                      <w:divBdr>
                        <w:top w:val="none" w:sz="0" w:space="0" w:color="auto"/>
                        <w:left w:val="none" w:sz="0" w:space="0" w:color="auto"/>
                        <w:bottom w:val="none" w:sz="0" w:space="0" w:color="auto"/>
                        <w:right w:val="none" w:sz="0" w:space="0" w:color="auto"/>
                      </w:divBdr>
                    </w:div>
                  </w:divsChild>
                </w:div>
                <w:div w:id="198200491">
                  <w:marLeft w:val="0"/>
                  <w:marRight w:val="0"/>
                  <w:marTop w:val="0"/>
                  <w:marBottom w:val="0"/>
                  <w:divBdr>
                    <w:top w:val="none" w:sz="0" w:space="0" w:color="auto"/>
                    <w:left w:val="none" w:sz="0" w:space="0" w:color="auto"/>
                    <w:bottom w:val="none" w:sz="0" w:space="0" w:color="auto"/>
                    <w:right w:val="none" w:sz="0" w:space="0" w:color="auto"/>
                  </w:divBdr>
                  <w:divsChild>
                    <w:div w:id="1020861499">
                      <w:marLeft w:val="0"/>
                      <w:marRight w:val="0"/>
                      <w:marTop w:val="0"/>
                      <w:marBottom w:val="0"/>
                      <w:divBdr>
                        <w:top w:val="none" w:sz="0" w:space="0" w:color="auto"/>
                        <w:left w:val="none" w:sz="0" w:space="0" w:color="auto"/>
                        <w:bottom w:val="none" w:sz="0" w:space="0" w:color="auto"/>
                        <w:right w:val="none" w:sz="0" w:space="0" w:color="auto"/>
                      </w:divBdr>
                    </w:div>
                  </w:divsChild>
                </w:div>
                <w:div w:id="203492576">
                  <w:marLeft w:val="0"/>
                  <w:marRight w:val="0"/>
                  <w:marTop w:val="0"/>
                  <w:marBottom w:val="0"/>
                  <w:divBdr>
                    <w:top w:val="none" w:sz="0" w:space="0" w:color="auto"/>
                    <w:left w:val="none" w:sz="0" w:space="0" w:color="auto"/>
                    <w:bottom w:val="none" w:sz="0" w:space="0" w:color="auto"/>
                    <w:right w:val="none" w:sz="0" w:space="0" w:color="auto"/>
                  </w:divBdr>
                  <w:divsChild>
                    <w:div w:id="1437824702">
                      <w:marLeft w:val="0"/>
                      <w:marRight w:val="0"/>
                      <w:marTop w:val="0"/>
                      <w:marBottom w:val="0"/>
                      <w:divBdr>
                        <w:top w:val="none" w:sz="0" w:space="0" w:color="auto"/>
                        <w:left w:val="none" w:sz="0" w:space="0" w:color="auto"/>
                        <w:bottom w:val="none" w:sz="0" w:space="0" w:color="auto"/>
                        <w:right w:val="none" w:sz="0" w:space="0" w:color="auto"/>
                      </w:divBdr>
                    </w:div>
                  </w:divsChild>
                </w:div>
                <w:div w:id="210070106">
                  <w:marLeft w:val="0"/>
                  <w:marRight w:val="0"/>
                  <w:marTop w:val="0"/>
                  <w:marBottom w:val="0"/>
                  <w:divBdr>
                    <w:top w:val="none" w:sz="0" w:space="0" w:color="auto"/>
                    <w:left w:val="none" w:sz="0" w:space="0" w:color="auto"/>
                    <w:bottom w:val="none" w:sz="0" w:space="0" w:color="auto"/>
                    <w:right w:val="none" w:sz="0" w:space="0" w:color="auto"/>
                  </w:divBdr>
                  <w:divsChild>
                    <w:div w:id="1866019437">
                      <w:marLeft w:val="0"/>
                      <w:marRight w:val="0"/>
                      <w:marTop w:val="0"/>
                      <w:marBottom w:val="0"/>
                      <w:divBdr>
                        <w:top w:val="none" w:sz="0" w:space="0" w:color="auto"/>
                        <w:left w:val="none" w:sz="0" w:space="0" w:color="auto"/>
                        <w:bottom w:val="none" w:sz="0" w:space="0" w:color="auto"/>
                        <w:right w:val="none" w:sz="0" w:space="0" w:color="auto"/>
                      </w:divBdr>
                    </w:div>
                  </w:divsChild>
                </w:div>
                <w:div w:id="215625531">
                  <w:marLeft w:val="0"/>
                  <w:marRight w:val="0"/>
                  <w:marTop w:val="0"/>
                  <w:marBottom w:val="0"/>
                  <w:divBdr>
                    <w:top w:val="none" w:sz="0" w:space="0" w:color="auto"/>
                    <w:left w:val="none" w:sz="0" w:space="0" w:color="auto"/>
                    <w:bottom w:val="none" w:sz="0" w:space="0" w:color="auto"/>
                    <w:right w:val="none" w:sz="0" w:space="0" w:color="auto"/>
                  </w:divBdr>
                  <w:divsChild>
                    <w:div w:id="975257728">
                      <w:marLeft w:val="0"/>
                      <w:marRight w:val="0"/>
                      <w:marTop w:val="0"/>
                      <w:marBottom w:val="0"/>
                      <w:divBdr>
                        <w:top w:val="none" w:sz="0" w:space="0" w:color="auto"/>
                        <w:left w:val="none" w:sz="0" w:space="0" w:color="auto"/>
                        <w:bottom w:val="none" w:sz="0" w:space="0" w:color="auto"/>
                        <w:right w:val="none" w:sz="0" w:space="0" w:color="auto"/>
                      </w:divBdr>
                    </w:div>
                  </w:divsChild>
                </w:div>
                <w:div w:id="231239873">
                  <w:marLeft w:val="0"/>
                  <w:marRight w:val="0"/>
                  <w:marTop w:val="0"/>
                  <w:marBottom w:val="0"/>
                  <w:divBdr>
                    <w:top w:val="none" w:sz="0" w:space="0" w:color="auto"/>
                    <w:left w:val="none" w:sz="0" w:space="0" w:color="auto"/>
                    <w:bottom w:val="none" w:sz="0" w:space="0" w:color="auto"/>
                    <w:right w:val="none" w:sz="0" w:space="0" w:color="auto"/>
                  </w:divBdr>
                  <w:divsChild>
                    <w:div w:id="472212908">
                      <w:marLeft w:val="0"/>
                      <w:marRight w:val="0"/>
                      <w:marTop w:val="0"/>
                      <w:marBottom w:val="0"/>
                      <w:divBdr>
                        <w:top w:val="none" w:sz="0" w:space="0" w:color="auto"/>
                        <w:left w:val="none" w:sz="0" w:space="0" w:color="auto"/>
                        <w:bottom w:val="none" w:sz="0" w:space="0" w:color="auto"/>
                        <w:right w:val="none" w:sz="0" w:space="0" w:color="auto"/>
                      </w:divBdr>
                    </w:div>
                  </w:divsChild>
                </w:div>
                <w:div w:id="232087484">
                  <w:marLeft w:val="0"/>
                  <w:marRight w:val="0"/>
                  <w:marTop w:val="0"/>
                  <w:marBottom w:val="0"/>
                  <w:divBdr>
                    <w:top w:val="none" w:sz="0" w:space="0" w:color="auto"/>
                    <w:left w:val="none" w:sz="0" w:space="0" w:color="auto"/>
                    <w:bottom w:val="none" w:sz="0" w:space="0" w:color="auto"/>
                    <w:right w:val="none" w:sz="0" w:space="0" w:color="auto"/>
                  </w:divBdr>
                  <w:divsChild>
                    <w:div w:id="901019293">
                      <w:marLeft w:val="0"/>
                      <w:marRight w:val="0"/>
                      <w:marTop w:val="0"/>
                      <w:marBottom w:val="0"/>
                      <w:divBdr>
                        <w:top w:val="none" w:sz="0" w:space="0" w:color="auto"/>
                        <w:left w:val="none" w:sz="0" w:space="0" w:color="auto"/>
                        <w:bottom w:val="none" w:sz="0" w:space="0" w:color="auto"/>
                        <w:right w:val="none" w:sz="0" w:space="0" w:color="auto"/>
                      </w:divBdr>
                    </w:div>
                  </w:divsChild>
                </w:div>
                <w:div w:id="232396639">
                  <w:marLeft w:val="0"/>
                  <w:marRight w:val="0"/>
                  <w:marTop w:val="0"/>
                  <w:marBottom w:val="0"/>
                  <w:divBdr>
                    <w:top w:val="none" w:sz="0" w:space="0" w:color="auto"/>
                    <w:left w:val="none" w:sz="0" w:space="0" w:color="auto"/>
                    <w:bottom w:val="none" w:sz="0" w:space="0" w:color="auto"/>
                    <w:right w:val="none" w:sz="0" w:space="0" w:color="auto"/>
                  </w:divBdr>
                  <w:divsChild>
                    <w:div w:id="1409576257">
                      <w:marLeft w:val="0"/>
                      <w:marRight w:val="0"/>
                      <w:marTop w:val="0"/>
                      <w:marBottom w:val="0"/>
                      <w:divBdr>
                        <w:top w:val="none" w:sz="0" w:space="0" w:color="auto"/>
                        <w:left w:val="none" w:sz="0" w:space="0" w:color="auto"/>
                        <w:bottom w:val="none" w:sz="0" w:space="0" w:color="auto"/>
                        <w:right w:val="none" w:sz="0" w:space="0" w:color="auto"/>
                      </w:divBdr>
                    </w:div>
                  </w:divsChild>
                </w:div>
                <w:div w:id="235629583">
                  <w:marLeft w:val="0"/>
                  <w:marRight w:val="0"/>
                  <w:marTop w:val="0"/>
                  <w:marBottom w:val="0"/>
                  <w:divBdr>
                    <w:top w:val="none" w:sz="0" w:space="0" w:color="auto"/>
                    <w:left w:val="none" w:sz="0" w:space="0" w:color="auto"/>
                    <w:bottom w:val="none" w:sz="0" w:space="0" w:color="auto"/>
                    <w:right w:val="none" w:sz="0" w:space="0" w:color="auto"/>
                  </w:divBdr>
                  <w:divsChild>
                    <w:div w:id="792869602">
                      <w:marLeft w:val="0"/>
                      <w:marRight w:val="0"/>
                      <w:marTop w:val="0"/>
                      <w:marBottom w:val="0"/>
                      <w:divBdr>
                        <w:top w:val="none" w:sz="0" w:space="0" w:color="auto"/>
                        <w:left w:val="none" w:sz="0" w:space="0" w:color="auto"/>
                        <w:bottom w:val="none" w:sz="0" w:space="0" w:color="auto"/>
                        <w:right w:val="none" w:sz="0" w:space="0" w:color="auto"/>
                      </w:divBdr>
                    </w:div>
                  </w:divsChild>
                </w:div>
                <w:div w:id="248469037">
                  <w:marLeft w:val="0"/>
                  <w:marRight w:val="0"/>
                  <w:marTop w:val="0"/>
                  <w:marBottom w:val="0"/>
                  <w:divBdr>
                    <w:top w:val="none" w:sz="0" w:space="0" w:color="auto"/>
                    <w:left w:val="none" w:sz="0" w:space="0" w:color="auto"/>
                    <w:bottom w:val="none" w:sz="0" w:space="0" w:color="auto"/>
                    <w:right w:val="none" w:sz="0" w:space="0" w:color="auto"/>
                  </w:divBdr>
                  <w:divsChild>
                    <w:div w:id="925915650">
                      <w:marLeft w:val="0"/>
                      <w:marRight w:val="0"/>
                      <w:marTop w:val="0"/>
                      <w:marBottom w:val="0"/>
                      <w:divBdr>
                        <w:top w:val="none" w:sz="0" w:space="0" w:color="auto"/>
                        <w:left w:val="none" w:sz="0" w:space="0" w:color="auto"/>
                        <w:bottom w:val="none" w:sz="0" w:space="0" w:color="auto"/>
                        <w:right w:val="none" w:sz="0" w:space="0" w:color="auto"/>
                      </w:divBdr>
                    </w:div>
                  </w:divsChild>
                </w:div>
                <w:div w:id="252209210">
                  <w:marLeft w:val="0"/>
                  <w:marRight w:val="0"/>
                  <w:marTop w:val="0"/>
                  <w:marBottom w:val="0"/>
                  <w:divBdr>
                    <w:top w:val="none" w:sz="0" w:space="0" w:color="auto"/>
                    <w:left w:val="none" w:sz="0" w:space="0" w:color="auto"/>
                    <w:bottom w:val="none" w:sz="0" w:space="0" w:color="auto"/>
                    <w:right w:val="none" w:sz="0" w:space="0" w:color="auto"/>
                  </w:divBdr>
                  <w:divsChild>
                    <w:div w:id="460656421">
                      <w:marLeft w:val="0"/>
                      <w:marRight w:val="0"/>
                      <w:marTop w:val="0"/>
                      <w:marBottom w:val="0"/>
                      <w:divBdr>
                        <w:top w:val="none" w:sz="0" w:space="0" w:color="auto"/>
                        <w:left w:val="none" w:sz="0" w:space="0" w:color="auto"/>
                        <w:bottom w:val="none" w:sz="0" w:space="0" w:color="auto"/>
                        <w:right w:val="none" w:sz="0" w:space="0" w:color="auto"/>
                      </w:divBdr>
                    </w:div>
                  </w:divsChild>
                </w:div>
                <w:div w:id="253980514">
                  <w:marLeft w:val="0"/>
                  <w:marRight w:val="0"/>
                  <w:marTop w:val="0"/>
                  <w:marBottom w:val="0"/>
                  <w:divBdr>
                    <w:top w:val="none" w:sz="0" w:space="0" w:color="auto"/>
                    <w:left w:val="none" w:sz="0" w:space="0" w:color="auto"/>
                    <w:bottom w:val="none" w:sz="0" w:space="0" w:color="auto"/>
                    <w:right w:val="none" w:sz="0" w:space="0" w:color="auto"/>
                  </w:divBdr>
                  <w:divsChild>
                    <w:div w:id="1642230379">
                      <w:marLeft w:val="0"/>
                      <w:marRight w:val="0"/>
                      <w:marTop w:val="0"/>
                      <w:marBottom w:val="0"/>
                      <w:divBdr>
                        <w:top w:val="none" w:sz="0" w:space="0" w:color="auto"/>
                        <w:left w:val="none" w:sz="0" w:space="0" w:color="auto"/>
                        <w:bottom w:val="none" w:sz="0" w:space="0" w:color="auto"/>
                        <w:right w:val="none" w:sz="0" w:space="0" w:color="auto"/>
                      </w:divBdr>
                    </w:div>
                  </w:divsChild>
                </w:div>
                <w:div w:id="257982165">
                  <w:marLeft w:val="0"/>
                  <w:marRight w:val="0"/>
                  <w:marTop w:val="0"/>
                  <w:marBottom w:val="0"/>
                  <w:divBdr>
                    <w:top w:val="none" w:sz="0" w:space="0" w:color="auto"/>
                    <w:left w:val="none" w:sz="0" w:space="0" w:color="auto"/>
                    <w:bottom w:val="none" w:sz="0" w:space="0" w:color="auto"/>
                    <w:right w:val="none" w:sz="0" w:space="0" w:color="auto"/>
                  </w:divBdr>
                  <w:divsChild>
                    <w:div w:id="198904059">
                      <w:marLeft w:val="0"/>
                      <w:marRight w:val="0"/>
                      <w:marTop w:val="0"/>
                      <w:marBottom w:val="0"/>
                      <w:divBdr>
                        <w:top w:val="none" w:sz="0" w:space="0" w:color="auto"/>
                        <w:left w:val="none" w:sz="0" w:space="0" w:color="auto"/>
                        <w:bottom w:val="none" w:sz="0" w:space="0" w:color="auto"/>
                        <w:right w:val="none" w:sz="0" w:space="0" w:color="auto"/>
                      </w:divBdr>
                    </w:div>
                  </w:divsChild>
                </w:div>
                <w:div w:id="264651738">
                  <w:marLeft w:val="0"/>
                  <w:marRight w:val="0"/>
                  <w:marTop w:val="0"/>
                  <w:marBottom w:val="0"/>
                  <w:divBdr>
                    <w:top w:val="none" w:sz="0" w:space="0" w:color="auto"/>
                    <w:left w:val="none" w:sz="0" w:space="0" w:color="auto"/>
                    <w:bottom w:val="none" w:sz="0" w:space="0" w:color="auto"/>
                    <w:right w:val="none" w:sz="0" w:space="0" w:color="auto"/>
                  </w:divBdr>
                  <w:divsChild>
                    <w:div w:id="1661499811">
                      <w:marLeft w:val="0"/>
                      <w:marRight w:val="0"/>
                      <w:marTop w:val="0"/>
                      <w:marBottom w:val="0"/>
                      <w:divBdr>
                        <w:top w:val="none" w:sz="0" w:space="0" w:color="auto"/>
                        <w:left w:val="none" w:sz="0" w:space="0" w:color="auto"/>
                        <w:bottom w:val="none" w:sz="0" w:space="0" w:color="auto"/>
                        <w:right w:val="none" w:sz="0" w:space="0" w:color="auto"/>
                      </w:divBdr>
                    </w:div>
                  </w:divsChild>
                </w:div>
                <w:div w:id="265239298">
                  <w:marLeft w:val="0"/>
                  <w:marRight w:val="0"/>
                  <w:marTop w:val="0"/>
                  <w:marBottom w:val="0"/>
                  <w:divBdr>
                    <w:top w:val="none" w:sz="0" w:space="0" w:color="auto"/>
                    <w:left w:val="none" w:sz="0" w:space="0" w:color="auto"/>
                    <w:bottom w:val="none" w:sz="0" w:space="0" w:color="auto"/>
                    <w:right w:val="none" w:sz="0" w:space="0" w:color="auto"/>
                  </w:divBdr>
                  <w:divsChild>
                    <w:div w:id="428083551">
                      <w:marLeft w:val="0"/>
                      <w:marRight w:val="0"/>
                      <w:marTop w:val="0"/>
                      <w:marBottom w:val="0"/>
                      <w:divBdr>
                        <w:top w:val="none" w:sz="0" w:space="0" w:color="auto"/>
                        <w:left w:val="none" w:sz="0" w:space="0" w:color="auto"/>
                        <w:bottom w:val="none" w:sz="0" w:space="0" w:color="auto"/>
                        <w:right w:val="none" w:sz="0" w:space="0" w:color="auto"/>
                      </w:divBdr>
                    </w:div>
                  </w:divsChild>
                </w:div>
                <w:div w:id="267545958">
                  <w:marLeft w:val="0"/>
                  <w:marRight w:val="0"/>
                  <w:marTop w:val="0"/>
                  <w:marBottom w:val="0"/>
                  <w:divBdr>
                    <w:top w:val="none" w:sz="0" w:space="0" w:color="auto"/>
                    <w:left w:val="none" w:sz="0" w:space="0" w:color="auto"/>
                    <w:bottom w:val="none" w:sz="0" w:space="0" w:color="auto"/>
                    <w:right w:val="none" w:sz="0" w:space="0" w:color="auto"/>
                  </w:divBdr>
                  <w:divsChild>
                    <w:div w:id="809589787">
                      <w:marLeft w:val="0"/>
                      <w:marRight w:val="0"/>
                      <w:marTop w:val="0"/>
                      <w:marBottom w:val="0"/>
                      <w:divBdr>
                        <w:top w:val="none" w:sz="0" w:space="0" w:color="auto"/>
                        <w:left w:val="none" w:sz="0" w:space="0" w:color="auto"/>
                        <w:bottom w:val="none" w:sz="0" w:space="0" w:color="auto"/>
                        <w:right w:val="none" w:sz="0" w:space="0" w:color="auto"/>
                      </w:divBdr>
                    </w:div>
                  </w:divsChild>
                </w:div>
                <w:div w:id="275915520">
                  <w:marLeft w:val="0"/>
                  <w:marRight w:val="0"/>
                  <w:marTop w:val="0"/>
                  <w:marBottom w:val="0"/>
                  <w:divBdr>
                    <w:top w:val="none" w:sz="0" w:space="0" w:color="auto"/>
                    <w:left w:val="none" w:sz="0" w:space="0" w:color="auto"/>
                    <w:bottom w:val="none" w:sz="0" w:space="0" w:color="auto"/>
                    <w:right w:val="none" w:sz="0" w:space="0" w:color="auto"/>
                  </w:divBdr>
                  <w:divsChild>
                    <w:div w:id="371341997">
                      <w:marLeft w:val="0"/>
                      <w:marRight w:val="0"/>
                      <w:marTop w:val="0"/>
                      <w:marBottom w:val="0"/>
                      <w:divBdr>
                        <w:top w:val="none" w:sz="0" w:space="0" w:color="auto"/>
                        <w:left w:val="none" w:sz="0" w:space="0" w:color="auto"/>
                        <w:bottom w:val="none" w:sz="0" w:space="0" w:color="auto"/>
                        <w:right w:val="none" w:sz="0" w:space="0" w:color="auto"/>
                      </w:divBdr>
                    </w:div>
                  </w:divsChild>
                </w:div>
                <w:div w:id="277374628">
                  <w:marLeft w:val="0"/>
                  <w:marRight w:val="0"/>
                  <w:marTop w:val="0"/>
                  <w:marBottom w:val="0"/>
                  <w:divBdr>
                    <w:top w:val="none" w:sz="0" w:space="0" w:color="auto"/>
                    <w:left w:val="none" w:sz="0" w:space="0" w:color="auto"/>
                    <w:bottom w:val="none" w:sz="0" w:space="0" w:color="auto"/>
                    <w:right w:val="none" w:sz="0" w:space="0" w:color="auto"/>
                  </w:divBdr>
                  <w:divsChild>
                    <w:div w:id="2089227129">
                      <w:marLeft w:val="0"/>
                      <w:marRight w:val="0"/>
                      <w:marTop w:val="0"/>
                      <w:marBottom w:val="0"/>
                      <w:divBdr>
                        <w:top w:val="none" w:sz="0" w:space="0" w:color="auto"/>
                        <w:left w:val="none" w:sz="0" w:space="0" w:color="auto"/>
                        <w:bottom w:val="none" w:sz="0" w:space="0" w:color="auto"/>
                        <w:right w:val="none" w:sz="0" w:space="0" w:color="auto"/>
                      </w:divBdr>
                    </w:div>
                  </w:divsChild>
                </w:div>
                <w:div w:id="285739445">
                  <w:marLeft w:val="0"/>
                  <w:marRight w:val="0"/>
                  <w:marTop w:val="0"/>
                  <w:marBottom w:val="0"/>
                  <w:divBdr>
                    <w:top w:val="none" w:sz="0" w:space="0" w:color="auto"/>
                    <w:left w:val="none" w:sz="0" w:space="0" w:color="auto"/>
                    <w:bottom w:val="none" w:sz="0" w:space="0" w:color="auto"/>
                    <w:right w:val="none" w:sz="0" w:space="0" w:color="auto"/>
                  </w:divBdr>
                  <w:divsChild>
                    <w:div w:id="1157306800">
                      <w:marLeft w:val="0"/>
                      <w:marRight w:val="0"/>
                      <w:marTop w:val="0"/>
                      <w:marBottom w:val="0"/>
                      <w:divBdr>
                        <w:top w:val="none" w:sz="0" w:space="0" w:color="auto"/>
                        <w:left w:val="none" w:sz="0" w:space="0" w:color="auto"/>
                        <w:bottom w:val="none" w:sz="0" w:space="0" w:color="auto"/>
                        <w:right w:val="none" w:sz="0" w:space="0" w:color="auto"/>
                      </w:divBdr>
                    </w:div>
                  </w:divsChild>
                </w:div>
                <w:div w:id="288172837">
                  <w:marLeft w:val="0"/>
                  <w:marRight w:val="0"/>
                  <w:marTop w:val="0"/>
                  <w:marBottom w:val="0"/>
                  <w:divBdr>
                    <w:top w:val="none" w:sz="0" w:space="0" w:color="auto"/>
                    <w:left w:val="none" w:sz="0" w:space="0" w:color="auto"/>
                    <w:bottom w:val="none" w:sz="0" w:space="0" w:color="auto"/>
                    <w:right w:val="none" w:sz="0" w:space="0" w:color="auto"/>
                  </w:divBdr>
                  <w:divsChild>
                    <w:div w:id="1556434149">
                      <w:marLeft w:val="0"/>
                      <w:marRight w:val="0"/>
                      <w:marTop w:val="0"/>
                      <w:marBottom w:val="0"/>
                      <w:divBdr>
                        <w:top w:val="none" w:sz="0" w:space="0" w:color="auto"/>
                        <w:left w:val="none" w:sz="0" w:space="0" w:color="auto"/>
                        <w:bottom w:val="none" w:sz="0" w:space="0" w:color="auto"/>
                        <w:right w:val="none" w:sz="0" w:space="0" w:color="auto"/>
                      </w:divBdr>
                    </w:div>
                  </w:divsChild>
                </w:div>
                <w:div w:id="291641954">
                  <w:marLeft w:val="0"/>
                  <w:marRight w:val="0"/>
                  <w:marTop w:val="0"/>
                  <w:marBottom w:val="0"/>
                  <w:divBdr>
                    <w:top w:val="none" w:sz="0" w:space="0" w:color="auto"/>
                    <w:left w:val="none" w:sz="0" w:space="0" w:color="auto"/>
                    <w:bottom w:val="none" w:sz="0" w:space="0" w:color="auto"/>
                    <w:right w:val="none" w:sz="0" w:space="0" w:color="auto"/>
                  </w:divBdr>
                  <w:divsChild>
                    <w:div w:id="1712418711">
                      <w:marLeft w:val="0"/>
                      <w:marRight w:val="0"/>
                      <w:marTop w:val="0"/>
                      <w:marBottom w:val="0"/>
                      <w:divBdr>
                        <w:top w:val="none" w:sz="0" w:space="0" w:color="auto"/>
                        <w:left w:val="none" w:sz="0" w:space="0" w:color="auto"/>
                        <w:bottom w:val="none" w:sz="0" w:space="0" w:color="auto"/>
                        <w:right w:val="none" w:sz="0" w:space="0" w:color="auto"/>
                      </w:divBdr>
                    </w:div>
                  </w:divsChild>
                </w:div>
                <w:div w:id="293294614">
                  <w:marLeft w:val="0"/>
                  <w:marRight w:val="0"/>
                  <w:marTop w:val="0"/>
                  <w:marBottom w:val="0"/>
                  <w:divBdr>
                    <w:top w:val="none" w:sz="0" w:space="0" w:color="auto"/>
                    <w:left w:val="none" w:sz="0" w:space="0" w:color="auto"/>
                    <w:bottom w:val="none" w:sz="0" w:space="0" w:color="auto"/>
                    <w:right w:val="none" w:sz="0" w:space="0" w:color="auto"/>
                  </w:divBdr>
                  <w:divsChild>
                    <w:div w:id="1238126231">
                      <w:marLeft w:val="0"/>
                      <w:marRight w:val="0"/>
                      <w:marTop w:val="0"/>
                      <w:marBottom w:val="0"/>
                      <w:divBdr>
                        <w:top w:val="none" w:sz="0" w:space="0" w:color="auto"/>
                        <w:left w:val="none" w:sz="0" w:space="0" w:color="auto"/>
                        <w:bottom w:val="none" w:sz="0" w:space="0" w:color="auto"/>
                        <w:right w:val="none" w:sz="0" w:space="0" w:color="auto"/>
                      </w:divBdr>
                    </w:div>
                  </w:divsChild>
                </w:div>
                <w:div w:id="294407267">
                  <w:marLeft w:val="0"/>
                  <w:marRight w:val="0"/>
                  <w:marTop w:val="0"/>
                  <w:marBottom w:val="0"/>
                  <w:divBdr>
                    <w:top w:val="none" w:sz="0" w:space="0" w:color="auto"/>
                    <w:left w:val="none" w:sz="0" w:space="0" w:color="auto"/>
                    <w:bottom w:val="none" w:sz="0" w:space="0" w:color="auto"/>
                    <w:right w:val="none" w:sz="0" w:space="0" w:color="auto"/>
                  </w:divBdr>
                  <w:divsChild>
                    <w:div w:id="747847848">
                      <w:marLeft w:val="0"/>
                      <w:marRight w:val="0"/>
                      <w:marTop w:val="0"/>
                      <w:marBottom w:val="0"/>
                      <w:divBdr>
                        <w:top w:val="none" w:sz="0" w:space="0" w:color="auto"/>
                        <w:left w:val="none" w:sz="0" w:space="0" w:color="auto"/>
                        <w:bottom w:val="none" w:sz="0" w:space="0" w:color="auto"/>
                        <w:right w:val="none" w:sz="0" w:space="0" w:color="auto"/>
                      </w:divBdr>
                    </w:div>
                  </w:divsChild>
                </w:div>
                <w:div w:id="294454541">
                  <w:marLeft w:val="0"/>
                  <w:marRight w:val="0"/>
                  <w:marTop w:val="0"/>
                  <w:marBottom w:val="0"/>
                  <w:divBdr>
                    <w:top w:val="none" w:sz="0" w:space="0" w:color="auto"/>
                    <w:left w:val="none" w:sz="0" w:space="0" w:color="auto"/>
                    <w:bottom w:val="none" w:sz="0" w:space="0" w:color="auto"/>
                    <w:right w:val="none" w:sz="0" w:space="0" w:color="auto"/>
                  </w:divBdr>
                  <w:divsChild>
                    <w:div w:id="1427113831">
                      <w:marLeft w:val="0"/>
                      <w:marRight w:val="0"/>
                      <w:marTop w:val="0"/>
                      <w:marBottom w:val="0"/>
                      <w:divBdr>
                        <w:top w:val="none" w:sz="0" w:space="0" w:color="auto"/>
                        <w:left w:val="none" w:sz="0" w:space="0" w:color="auto"/>
                        <w:bottom w:val="none" w:sz="0" w:space="0" w:color="auto"/>
                        <w:right w:val="none" w:sz="0" w:space="0" w:color="auto"/>
                      </w:divBdr>
                    </w:div>
                  </w:divsChild>
                </w:div>
                <w:div w:id="297951512">
                  <w:marLeft w:val="0"/>
                  <w:marRight w:val="0"/>
                  <w:marTop w:val="0"/>
                  <w:marBottom w:val="0"/>
                  <w:divBdr>
                    <w:top w:val="none" w:sz="0" w:space="0" w:color="auto"/>
                    <w:left w:val="none" w:sz="0" w:space="0" w:color="auto"/>
                    <w:bottom w:val="none" w:sz="0" w:space="0" w:color="auto"/>
                    <w:right w:val="none" w:sz="0" w:space="0" w:color="auto"/>
                  </w:divBdr>
                  <w:divsChild>
                    <w:div w:id="154928516">
                      <w:marLeft w:val="0"/>
                      <w:marRight w:val="0"/>
                      <w:marTop w:val="0"/>
                      <w:marBottom w:val="0"/>
                      <w:divBdr>
                        <w:top w:val="none" w:sz="0" w:space="0" w:color="auto"/>
                        <w:left w:val="none" w:sz="0" w:space="0" w:color="auto"/>
                        <w:bottom w:val="none" w:sz="0" w:space="0" w:color="auto"/>
                        <w:right w:val="none" w:sz="0" w:space="0" w:color="auto"/>
                      </w:divBdr>
                    </w:div>
                  </w:divsChild>
                </w:div>
                <w:div w:id="297998709">
                  <w:marLeft w:val="0"/>
                  <w:marRight w:val="0"/>
                  <w:marTop w:val="0"/>
                  <w:marBottom w:val="0"/>
                  <w:divBdr>
                    <w:top w:val="none" w:sz="0" w:space="0" w:color="auto"/>
                    <w:left w:val="none" w:sz="0" w:space="0" w:color="auto"/>
                    <w:bottom w:val="none" w:sz="0" w:space="0" w:color="auto"/>
                    <w:right w:val="none" w:sz="0" w:space="0" w:color="auto"/>
                  </w:divBdr>
                  <w:divsChild>
                    <w:div w:id="1868980605">
                      <w:marLeft w:val="0"/>
                      <w:marRight w:val="0"/>
                      <w:marTop w:val="0"/>
                      <w:marBottom w:val="0"/>
                      <w:divBdr>
                        <w:top w:val="none" w:sz="0" w:space="0" w:color="auto"/>
                        <w:left w:val="none" w:sz="0" w:space="0" w:color="auto"/>
                        <w:bottom w:val="none" w:sz="0" w:space="0" w:color="auto"/>
                        <w:right w:val="none" w:sz="0" w:space="0" w:color="auto"/>
                      </w:divBdr>
                    </w:div>
                  </w:divsChild>
                </w:div>
                <w:div w:id="314797793">
                  <w:marLeft w:val="0"/>
                  <w:marRight w:val="0"/>
                  <w:marTop w:val="0"/>
                  <w:marBottom w:val="0"/>
                  <w:divBdr>
                    <w:top w:val="none" w:sz="0" w:space="0" w:color="auto"/>
                    <w:left w:val="none" w:sz="0" w:space="0" w:color="auto"/>
                    <w:bottom w:val="none" w:sz="0" w:space="0" w:color="auto"/>
                    <w:right w:val="none" w:sz="0" w:space="0" w:color="auto"/>
                  </w:divBdr>
                  <w:divsChild>
                    <w:div w:id="695547027">
                      <w:marLeft w:val="0"/>
                      <w:marRight w:val="0"/>
                      <w:marTop w:val="0"/>
                      <w:marBottom w:val="0"/>
                      <w:divBdr>
                        <w:top w:val="none" w:sz="0" w:space="0" w:color="auto"/>
                        <w:left w:val="none" w:sz="0" w:space="0" w:color="auto"/>
                        <w:bottom w:val="none" w:sz="0" w:space="0" w:color="auto"/>
                        <w:right w:val="none" w:sz="0" w:space="0" w:color="auto"/>
                      </w:divBdr>
                    </w:div>
                  </w:divsChild>
                </w:div>
                <w:div w:id="316958922">
                  <w:marLeft w:val="0"/>
                  <w:marRight w:val="0"/>
                  <w:marTop w:val="0"/>
                  <w:marBottom w:val="0"/>
                  <w:divBdr>
                    <w:top w:val="none" w:sz="0" w:space="0" w:color="auto"/>
                    <w:left w:val="none" w:sz="0" w:space="0" w:color="auto"/>
                    <w:bottom w:val="none" w:sz="0" w:space="0" w:color="auto"/>
                    <w:right w:val="none" w:sz="0" w:space="0" w:color="auto"/>
                  </w:divBdr>
                  <w:divsChild>
                    <w:div w:id="779225639">
                      <w:marLeft w:val="0"/>
                      <w:marRight w:val="0"/>
                      <w:marTop w:val="0"/>
                      <w:marBottom w:val="0"/>
                      <w:divBdr>
                        <w:top w:val="none" w:sz="0" w:space="0" w:color="auto"/>
                        <w:left w:val="none" w:sz="0" w:space="0" w:color="auto"/>
                        <w:bottom w:val="none" w:sz="0" w:space="0" w:color="auto"/>
                        <w:right w:val="none" w:sz="0" w:space="0" w:color="auto"/>
                      </w:divBdr>
                    </w:div>
                  </w:divsChild>
                </w:div>
                <w:div w:id="335235623">
                  <w:marLeft w:val="0"/>
                  <w:marRight w:val="0"/>
                  <w:marTop w:val="0"/>
                  <w:marBottom w:val="0"/>
                  <w:divBdr>
                    <w:top w:val="none" w:sz="0" w:space="0" w:color="auto"/>
                    <w:left w:val="none" w:sz="0" w:space="0" w:color="auto"/>
                    <w:bottom w:val="none" w:sz="0" w:space="0" w:color="auto"/>
                    <w:right w:val="none" w:sz="0" w:space="0" w:color="auto"/>
                  </w:divBdr>
                  <w:divsChild>
                    <w:div w:id="804473328">
                      <w:marLeft w:val="0"/>
                      <w:marRight w:val="0"/>
                      <w:marTop w:val="0"/>
                      <w:marBottom w:val="0"/>
                      <w:divBdr>
                        <w:top w:val="none" w:sz="0" w:space="0" w:color="auto"/>
                        <w:left w:val="none" w:sz="0" w:space="0" w:color="auto"/>
                        <w:bottom w:val="none" w:sz="0" w:space="0" w:color="auto"/>
                        <w:right w:val="none" w:sz="0" w:space="0" w:color="auto"/>
                      </w:divBdr>
                    </w:div>
                  </w:divsChild>
                </w:div>
                <w:div w:id="342051007">
                  <w:marLeft w:val="0"/>
                  <w:marRight w:val="0"/>
                  <w:marTop w:val="0"/>
                  <w:marBottom w:val="0"/>
                  <w:divBdr>
                    <w:top w:val="none" w:sz="0" w:space="0" w:color="auto"/>
                    <w:left w:val="none" w:sz="0" w:space="0" w:color="auto"/>
                    <w:bottom w:val="none" w:sz="0" w:space="0" w:color="auto"/>
                    <w:right w:val="none" w:sz="0" w:space="0" w:color="auto"/>
                  </w:divBdr>
                  <w:divsChild>
                    <w:div w:id="890962865">
                      <w:marLeft w:val="0"/>
                      <w:marRight w:val="0"/>
                      <w:marTop w:val="0"/>
                      <w:marBottom w:val="0"/>
                      <w:divBdr>
                        <w:top w:val="none" w:sz="0" w:space="0" w:color="auto"/>
                        <w:left w:val="none" w:sz="0" w:space="0" w:color="auto"/>
                        <w:bottom w:val="none" w:sz="0" w:space="0" w:color="auto"/>
                        <w:right w:val="none" w:sz="0" w:space="0" w:color="auto"/>
                      </w:divBdr>
                    </w:div>
                  </w:divsChild>
                </w:div>
                <w:div w:id="345406539">
                  <w:marLeft w:val="0"/>
                  <w:marRight w:val="0"/>
                  <w:marTop w:val="0"/>
                  <w:marBottom w:val="0"/>
                  <w:divBdr>
                    <w:top w:val="none" w:sz="0" w:space="0" w:color="auto"/>
                    <w:left w:val="none" w:sz="0" w:space="0" w:color="auto"/>
                    <w:bottom w:val="none" w:sz="0" w:space="0" w:color="auto"/>
                    <w:right w:val="none" w:sz="0" w:space="0" w:color="auto"/>
                  </w:divBdr>
                  <w:divsChild>
                    <w:div w:id="959607736">
                      <w:marLeft w:val="0"/>
                      <w:marRight w:val="0"/>
                      <w:marTop w:val="0"/>
                      <w:marBottom w:val="0"/>
                      <w:divBdr>
                        <w:top w:val="none" w:sz="0" w:space="0" w:color="auto"/>
                        <w:left w:val="none" w:sz="0" w:space="0" w:color="auto"/>
                        <w:bottom w:val="none" w:sz="0" w:space="0" w:color="auto"/>
                        <w:right w:val="none" w:sz="0" w:space="0" w:color="auto"/>
                      </w:divBdr>
                    </w:div>
                  </w:divsChild>
                </w:div>
                <w:div w:id="351762771">
                  <w:marLeft w:val="0"/>
                  <w:marRight w:val="0"/>
                  <w:marTop w:val="0"/>
                  <w:marBottom w:val="0"/>
                  <w:divBdr>
                    <w:top w:val="none" w:sz="0" w:space="0" w:color="auto"/>
                    <w:left w:val="none" w:sz="0" w:space="0" w:color="auto"/>
                    <w:bottom w:val="none" w:sz="0" w:space="0" w:color="auto"/>
                    <w:right w:val="none" w:sz="0" w:space="0" w:color="auto"/>
                  </w:divBdr>
                  <w:divsChild>
                    <w:div w:id="12733796">
                      <w:marLeft w:val="0"/>
                      <w:marRight w:val="0"/>
                      <w:marTop w:val="0"/>
                      <w:marBottom w:val="0"/>
                      <w:divBdr>
                        <w:top w:val="none" w:sz="0" w:space="0" w:color="auto"/>
                        <w:left w:val="none" w:sz="0" w:space="0" w:color="auto"/>
                        <w:bottom w:val="none" w:sz="0" w:space="0" w:color="auto"/>
                        <w:right w:val="none" w:sz="0" w:space="0" w:color="auto"/>
                      </w:divBdr>
                    </w:div>
                  </w:divsChild>
                </w:div>
                <w:div w:id="352653057">
                  <w:marLeft w:val="0"/>
                  <w:marRight w:val="0"/>
                  <w:marTop w:val="0"/>
                  <w:marBottom w:val="0"/>
                  <w:divBdr>
                    <w:top w:val="none" w:sz="0" w:space="0" w:color="auto"/>
                    <w:left w:val="none" w:sz="0" w:space="0" w:color="auto"/>
                    <w:bottom w:val="none" w:sz="0" w:space="0" w:color="auto"/>
                    <w:right w:val="none" w:sz="0" w:space="0" w:color="auto"/>
                  </w:divBdr>
                  <w:divsChild>
                    <w:div w:id="595089658">
                      <w:marLeft w:val="0"/>
                      <w:marRight w:val="0"/>
                      <w:marTop w:val="0"/>
                      <w:marBottom w:val="0"/>
                      <w:divBdr>
                        <w:top w:val="none" w:sz="0" w:space="0" w:color="auto"/>
                        <w:left w:val="none" w:sz="0" w:space="0" w:color="auto"/>
                        <w:bottom w:val="none" w:sz="0" w:space="0" w:color="auto"/>
                        <w:right w:val="none" w:sz="0" w:space="0" w:color="auto"/>
                      </w:divBdr>
                    </w:div>
                  </w:divsChild>
                </w:div>
                <w:div w:id="358942608">
                  <w:marLeft w:val="0"/>
                  <w:marRight w:val="0"/>
                  <w:marTop w:val="0"/>
                  <w:marBottom w:val="0"/>
                  <w:divBdr>
                    <w:top w:val="none" w:sz="0" w:space="0" w:color="auto"/>
                    <w:left w:val="none" w:sz="0" w:space="0" w:color="auto"/>
                    <w:bottom w:val="none" w:sz="0" w:space="0" w:color="auto"/>
                    <w:right w:val="none" w:sz="0" w:space="0" w:color="auto"/>
                  </w:divBdr>
                  <w:divsChild>
                    <w:div w:id="457576977">
                      <w:marLeft w:val="0"/>
                      <w:marRight w:val="0"/>
                      <w:marTop w:val="0"/>
                      <w:marBottom w:val="0"/>
                      <w:divBdr>
                        <w:top w:val="none" w:sz="0" w:space="0" w:color="auto"/>
                        <w:left w:val="none" w:sz="0" w:space="0" w:color="auto"/>
                        <w:bottom w:val="none" w:sz="0" w:space="0" w:color="auto"/>
                        <w:right w:val="none" w:sz="0" w:space="0" w:color="auto"/>
                      </w:divBdr>
                    </w:div>
                  </w:divsChild>
                </w:div>
                <w:div w:id="360937874">
                  <w:marLeft w:val="0"/>
                  <w:marRight w:val="0"/>
                  <w:marTop w:val="0"/>
                  <w:marBottom w:val="0"/>
                  <w:divBdr>
                    <w:top w:val="none" w:sz="0" w:space="0" w:color="auto"/>
                    <w:left w:val="none" w:sz="0" w:space="0" w:color="auto"/>
                    <w:bottom w:val="none" w:sz="0" w:space="0" w:color="auto"/>
                    <w:right w:val="none" w:sz="0" w:space="0" w:color="auto"/>
                  </w:divBdr>
                  <w:divsChild>
                    <w:div w:id="1362784268">
                      <w:marLeft w:val="0"/>
                      <w:marRight w:val="0"/>
                      <w:marTop w:val="0"/>
                      <w:marBottom w:val="0"/>
                      <w:divBdr>
                        <w:top w:val="none" w:sz="0" w:space="0" w:color="auto"/>
                        <w:left w:val="none" w:sz="0" w:space="0" w:color="auto"/>
                        <w:bottom w:val="none" w:sz="0" w:space="0" w:color="auto"/>
                        <w:right w:val="none" w:sz="0" w:space="0" w:color="auto"/>
                      </w:divBdr>
                    </w:div>
                  </w:divsChild>
                </w:div>
                <w:div w:id="364016517">
                  <w:marLeft w:val="0"/>
                  <w:marRight w:val="0"/>
                  <w:marTop w:val="0"/>
                  <w:marBottom w:val="0"/>
                  <w:divBdr>
                    <w:top w:val="none" w:sz="0" w:space="0" w:color="auto"/>
                    <w:left w:val="none" w:sz="0" w:space="0" w:color="auto"/>
                    <w:bottom w:val="none" w:sz="0" w:space="0" w:color="auto"/>
                    <w:right w:val="none" w:sz="0" w:space="0" w:color="auto"/>
                  </w:divBdr>
                  <w:divsChild>
                    <w:div w:id="287858672">
                      <w:marLeft w:val="0"/>
                      <w:marRight w:val="0"/>
                      <w:marTop w:val="0"/>
                      <w:marBottom w:val="0"/>
                      <w:divBdr>
                        <w:top w:val="none" w:sz="0" w:space="0" w:color="auto"/>
                        <w:left w:val="none" w:sz="0" w:space="0" w:color="auto"/>
                        <w:bottom w:val="none" w:sz="0" w:space="0" w:color="auto"/>
                        <w:right w:val="none" w:sz="0" w:space="0" w:color="auto"/>
                      </w:divBdr>
                    </w:div>
                  </w:divsChild>
                </w:div>
                <w:div w:id="364990286">
                  <w:marLeft w:val="0"/>
                  <w:marRight w:val="0"/>
                  <w:marTop w:val="0"/>
                  <w:marBottom w:val="0"/>
                  <w:divBdr>
                    <w:top w:val="none" w:sz="0" w:space="0" w:color="auto"/>
                    <w:left w:val="none" w:sz="0" w:space="0" w:color="auto"/>
                    <w:bottom w:val="none" w:sz="0" w:space="0" w:color="auto"/>
                    <w:right w:val="none" w:sz="0" w:space="0" w:color="auto"/>
                  </w:divBdr>
                  <w:divsChild>
                    <w:div w:id="1945963708">
                      <w:marLeft w:val="0"/>
                      <w:marRight w:val="0"/>
                      <w:marTop w:val="0"/>
                      <w:marBottom w:val="0"/>
                      <w:divBdr>
                        <w:top w:val="none" w:sz="0" w:space="0" w:color="auto"/>
                        <w:left w:val="none" w:sz="0" w:space="0" w:color="auto"/>
                        <w:bottom w:val="none" w:sz="0" w:space="0" w:color="auto"/>
                        <w:right w:val="none" w:sz="0" w:space="0" w:color="auto"/>
                      </w:divBdr>
                    </w:div>
                  </w:divsChild>
                </w:div>
                <w:div w:id="378936392">
                  <w:marLeft w:val="0"/>
                  <w:marRight w:val="0"/>
                  <w:marTop w:val="0"/>
                  <w:marBottom w:val="0"/>
                  <w:divBdr>
                    <w:top w:val="none" w:sz="0" w:space="0" w:color="auto"/>
                    <w:left w:val="none" w:sz="0" w:space="0" w:color="auto"/>
                    <w:bottom w:val="none" w:sz="0" w:space="0" w:color="auto"/>
                    <w:right w:val="none" w:sz="0" w:space="0" w:color="auto"/>
                  </w:divBdr>
                  <w:divsChild>
                    <w:div w:id="785272084">
                      <w:marLeft w:val="0"/>
                      <w:marRight w:val="0"/>
                      <w:marTop w:val="0"/>
                      <w:marBottom w:val="0"/>
                      <w:divBdr>
                        <w:top w:val="none" w:sz="0" w:space="0" w:color="auto"/>
                        <w:left w:val="none" w:sz="0" w:space="0" w:color="auto"/>
                        <w:bottom w:val="none" w:sz="0" w:space="0" w:color="auto"/>
                        <w:right w:val="none" w:sz="0" w:space="0" w:color="auto"/>
                      </w:divBdr>
                    </w:div>
                  </w:divsChild>
                </w:div>
                <w:div w:id="379403008">
                  <w:marLeft w:val="0"/>
                  <w:marRight w:val="0"/>
                  <w:marTop w:val="0"/>
                  <w:marBottom w:val="0"/>
                  <w:divBdr>
                    <w:top w:val="none" w:sz="0" w:space="0" w:color="auto"/>
                    <w:left w:val="none" w:sz="0" w:space="0" w:color="auto"/>
                    <w:bottom w:val="none" w:sz="0" w:space="0" w:color="auto"/>
                    <w:right w:val="none" w:sz="0" w:space="0" w:color="auto"/>
                  </w:divBdr>
                  <w:divsChild>
                    <w:div w:id="417561969">
                      <w:marLeft w:val="0"/>
                      <w:marRight w:val="0"/>
                      <w:marTop w:val="0"/>
                      <w:marBottom w:val="0"/>
                      <w:divBdr>
                        <w:top w:val="none" w:sz="0" w:space="0" w:color="auto"/>
                        <w:left w:val="none" w:sz="0" w:space="0" w:color="auto"/>
                        <w:bottom w:val="none" w:sz="0" w:space="0" w:color="auto"/>
                        <w:right w:val="none" w:sz="0" w:space="0" w:color="auto"/>
                      </w:divBdr>
                    </w:div>
                  </w:divsChild>
                </w:div>
                <w:div w:id="380403496">
                  <w:marLeft w:val="0"/>
                  <w:marRight w:val="0"/>
                  <w:marTop w:val="0"/>
                  <w:marBottom w:val="0"/>
                  <w:divBdr>
                    <w:top w:val="none" w:sz="0" w:space="0" w:color="auto"/>
                    <w:left w:val="none" w:sz="0" w:space="0" w:color="auto"/>
                    <w:bottom w:val="none" w:sz="0" w:space="0" w:color="auto"/>
                    <w:right w:val="none" w:sz="0" w:space="0" w:color="auto"/>
                  </w:divBdr>
                  <w:divsChild>
                    <w:div w:id="659968119">
                      <w:marLeft w:val="0"/>
                      <w:marRight w:val="0"/>
                      <w:marTop w:val="0"/>
                      <w:marBottom w:val="0"/>
                      <w:divBdr>
                        <w:top w:val="none" w:sz="0" w:space="0" w:color="auto"/>
                        <w:left w:val="none" w:sz="0" w:space="0" w:color="auto"/>
                        <w:bottom w:val="none" w:sz="0" w:space="0" w:color="auto"/>
                        <w:right w:val="none" w:sz="0" w:space="0" w:color="auto"/>
                      </w:divBdr>
                    </w:div>
                  </w:divsChild>
                </w:div>
                <w:div w:id="392316694">
                  <w:marLeft w:val="0"/>
                  <w:marRight w:val="0"/>
                  <w:marTop w:val="0"/>
                  <w:marBottom w:val="0"/>
                  <w:divBdr>
                    <w:top w:val="none" w:sz="0" w:space="0" w:color="auto"/>
                    <w:left w:val="none" w:sz="0" w:space="0" w:color="auto"/>
                    <w:bottom w:val="none" w:sz="0" w:space="0" w:color="auto"/>
                    <w:right w:val="none" w:sz="0" w:space="0" w:color="auto"/>
                  </w:divBdr>
                  <w:divsChild>
                    <w:div w:id="552933084">
                      <w:marLeft w:val="0"/>
                      <w:marRight w:val="0"/>
                      <w:marTop w:val="0"/>
                      <w:marBottom w:val="0"/>
                      <w:divBdr>
                        <w:top w:val="none" w:sz="0" w:space="0" w:color="auto"/>
                        <w:left w:val="none" w:sz="0" w:space="0" w:color="auto"/>
                        <w:bottom w:val="none" w:sz="0" w:space="0" w:color="auto"/>
                        <w:right w:val="none" w:sz="0" w:space="0" w:color="auto"/>
                      </w:divBdr>
                    </w:div>
                  </w:divsChild>
                </w:div>
                <w:div w:id="397215482">
                  <w:marLeft w:val="0"/>
                  <w:marRight w:val="0"/>
                  <w:marTop w:val="0"/>
                  <w:marBottom w:val="0"/>
                  <w:divBdr>
                    <w:top w:val="none" w:sz="0" w:space="0" w:color="auto"/>
                    <w:left w:val="none" w:sz="0" w:space="0" w:color="auto"/>
                    <w:bottom w:val="none" w:sz="0" w:space="0" w:color="auto"/>
                    <w:right w:val="none" w:sz="0" w:space="0" w:color="auto"/>
                  </w:divBdr>
                  <w:divsChild>
                    <w:div w:id="1668702309">
                      <w:marLeft w:val="0"/>
                      <w:marRight w:val="0"/>
                      <w:marTop w:val="0"/>
                      <w:marBottom w:val="0"/>
                      <w:divBdr>
                        <w:top w:val="none" w:sz="0" w:space="0" w:color="auto"/>
                        <w:left w:val="none" w:sz="0" w:space="0" w:color="auto"/>
                        <w:bottom w:val="none" w:sz="0" w:space="0" w:color="auto"/>
                        <w:right w:val="none" w:sz="0" w:space="0" w:color="auto"/>
                      </w:divBdr>
                    </w:div>
                  </w:divsChild>
                </w:div>
                <w:div w:id="397821847">
                  <w:marLeft w:val="0"/>
                  <w:marRight w:val="0"/>
                  <w:marTop w:val="0"/>
                  <w:marBottom w:val="0"/>
                  <w:divBdr>
                    <w:top w:val="none" w:sz="0" w:space="0" w:color="auto"/>
                    <w:left w:val="none" w:sz="0" w:space="0" w:color="auto"/>
                    <w:bottom w:val="none" w:sz="0" w:space="0" w:color="auto"/>
                    <w:right w:val="none" w:sz="0" w:space="0" w:color="auto"/>
                  </w:divBdr>
                  <w:divsChild>
                    <w:div w:id="183246404">
                      <w:marLeft w:val="0"/>
                      <w:marRight w:val="0"/>
                      <w:marTop w:val="0"/>
                      <w:marBottom w:val="0"/>
                      <w:divBdr>
                        <w:top w:val="none" w:sz="0" w:space="0" w:color="auto"/>
                        <w:left w:val="none" w:sz="0" w:space="0" w:color="auto"/>
                        <w:bottom w:val="none" w:sz="0" w:space="0" w:color="auto"/>
                        <w:right w:val="none" w:sz="0" w:space="0" w:color="auto"/>
                      </w:divBdr>
                    </w:div>
                  </w:divsChild>
                </w:div>
                <w:div w:id="407927286">
                  <w:marLeft w:val="0"/>
                  <w:marRight w:val="0"/>
                  <w:marTop w:val="0"/>
                  <w:marBottom w:val="0"/>
                  <w:divBdr>
                    <w:top w:val="none" w:sz="0" w:space="0" w:color="auto"/>
                    <w:left w:val="none" w:sz="0" w:space="0" w:color="auto"/>
                    <w:bottom w:val="none" w:sz="0" w:space="0" w:color="auto"/>
                    <w:right w:val="none" w:sz="0" w:space="0" w:color="auto"/>
                  </w:divBdr>
                  <w:divsChild>
                    <w:div w:id="374698459">
                      <w:marLeft w:val="0"/>
                      <w:marRight w:val="0"/>
                      <w:marTop w:val="0"/>
                      <w:marBottom w:val="0"/>
                      <w:divBdr>
                        <w:top w:val="none" w:sz="0" w:space="0" w:color="auto"/>
                        <w:left w:val="none" w:sz="0" w:space="0" w:color="auto"/>
                        <w:bottom w:val="none" w:sz="0" w:space="0" w:color="auto"/>
                        <w:right w:val="none" w:sz="0" w:space="0" w:color="auto"/>
                      </w:divBdr>
                    </w:div>
                  </w:divsChild>
                </w:div>
                <w:div w:id="409087848">
                  <w:marLeft w:val="0"/>
                  <w:marRight w:val="0"/>
                  <w:marTop w:val="0"/>
                  <w:marBottom w:val="0"/>
                  <w:divBdr>
                    <w:top w:val="none" w:sz="0" w:space="0" w:color="auto"/>
                    <w:left w:val="none" w:sz="0" w:space="0" w:color="auto"/>
                    <w:bottom w:val="none" w:sz="0" w:space="0" w:color="auto"/>
                    <w:right w:val="none" w:sz="0" w:space="0" w:color="auto"/>
                  </w:divBdr>
                  <w:divsChild>
                    <w:div w:id="770975660">
                      <w:marLeft w:val="0"/>
                      <w:marRight w:val="0"/>
                      <w:marTop w:val="0"/>
                      <w:marBottom w:val="0"/>
                      <w:divBdr>
                        <w:top w:val="none" w:sz="0" w:space="0" w:color="auto"/>
                        <w:left w:val="none" w:sz="0" w:space="0" w:color="auto"/>
                        <w:bottom w:val="none" w:sz="0" w:space="0" w:color="auto"/>
                        <w:right w:val="none" w:sz="0" w:space="0" w:color="auto"/>
                      </w:divBdr>
                    </w:div>
                  </w:divsChild>
                </w:div>
                <w:div w:id="410544439">
                  <w:marLeft w:val="0"/>
                  <w:marRight w:val="0"/>
                  <w:marTop w:val="0"/>
                  <w:marBottom w:val="0"/>
                  <w:divBdr>
                    <w:top w:val="none" w:sz="0" w:space="0" w:color="auto"/>
                    <w:left w:val="none" w:sz="0" w:space="0" w:color="auto"/>
                    <w:bottom w:val="none" w:sz="0" w:space="0" w:color="auto"/>
                    <w:right w:val="none" w:sz="0" w:space="0" w:color="auto"/>
                  </w:divBdr>
                  <w:divsChild>
                    <w:div w:id="613244121">
                      <w:marLeft w:val="0"/>
                      <w:marRight w:val="0"/>
                      <w:marTop w:val="0"/>
                      <w:marBottom w:val="0"/>
                      <w:divBdr>
                        <w:top w:val="none" w:sz="0" w:space="0" w:color="auto"/>
                        <w:left w:val="none" w:sz="0" w:space="0" w:color="auto"/>
                        <w:bottom w:val="none" w:sz="0" w:space="0" w:color="auto"/>
                        <w:right w:val="none" w:sz="0" w:space="0" w:color="auto"/>
                      </w:divBdr>
                    </w:div>
                  </w:divsChild>
                </w:div>
                <w:div w:id="427847085">
                  <w:marLeft w:val="0"/>
                  <w:marRight w:val="0"/>
                  <w:marTop w:val="0"/>
                  <w:marBottom w:val="0"/>
                  <w:divBdr>
                    <w:top w:val="none" w:sz="0" w:space="0" w:color="auto"/>
                    <w:left w:val="none" w:sz="0" w:space="0" w:color="auto"/>
                    <w:bottom w:val="none" w:sz="0" w:space="0" w:color="auto"/>
                    <w:right w:val="none" w:sz="0" w:space="0" w:color="auto"/>
                  </w:divBdr>
                  <w:divsChild>
                    <w:div w:id="1223517178">
                      <w:marLeft w:val="0"/>
                      <w:marRight w:val="0"/>
                      <w:marTop w:val="0"/>
                      <w:marBottom w:val="0"/>
                      <w:divBdr>
                        <w:top w:val="none" w:sz="0" w:space="0" w:color="auto"/>
                        <w:left w:val="none" w:sz="0" w:space="0" w:color="auto"/>
                        <w:bottom w:val="none" w:sz="0" w:space="0" w:color="auto"/>
                        <w:right w:val="none" w:sz="0" w:space="0" w:color="auto"/>
                      </w:divBdr>
                    </w:div>
                  </w:divsChild>
                </w:div>
                <w:div w:id="437412520">
                  <w:marLeft w:val="0"/>
                  <w:marRight w:val="0"/>
                  <w:marTop w:val="0"/>
                  <w:marBottom w:val="0"/>
                  <w:divBdr>
                    <w:top w:val="none" w:sz="0" w:space="0" w:color="auto"/>
                    <w:left w:val="none" w:sz="0" w:space="0" w:color="auto"/>
                    <w:bottom w:val="none" w:sz="0" w:space="0" w:color="auto"/>
                    <w:right w:val="none" w:sz="0" w:space="0" w:color="auto"/>
                  </w:divBdr>
                  <w:divsChild>
                    <w:div w:id="1587298749">
                      <w:marLeft w:val="0"/>
                      <w:marRight w:val="0"/>
                      <w:marTop w:val="0"/>
                      <w:marBottom w:val="0"/>
                      <w:divBdr>
                        <w:top w:val="none" w:sz="0" w:space="0" w:color="auto"/>
                        <w:left w:val="none" w:sz="0" w:space="0" w:color="auto"/>
                        <w:bottom w:val="none" w:sz="0" w:space="0" w:color="auto"/>
                        <w:right w:val="none" w:sz="0" w:space="0" w:color="auto"/>
                      </w:divBdr>
                    </w:div>
                  </w:divsChild>
                </w:div>
                <w:div w:id="446773142">
                  <w:marLeft w:val="0"/>
                  <w:marRight w:val="0"/>
                  <w:marTop w:val="0"/>
                  <w:marBottom w:val="0"/>
                  <w:divBdr>
                    <w:top w:val="none" w:sz="0" w:space="0" w:color="auto"/>
                    <w:left w:val="none" w:sz="0" w:space="0" w:color="auto"/>
                    <w:bottom w:val="none" w:sz="0" w:space="0" w:color="auto"/>
                    <w:right w:val="none" w:sz="0" w:space="0" w:color="auto"/>
                  </w:divBdr>
                  <w:divsChild>
                    <w:div w:id="1447503138">
                      <w:marLeft w:val="0"/>
                      <w:marRight w:val="0"/>
                      <w:marTop w:val="0"/>
                      <w:marBottom w:val="0"/>
                      <w:divBdr>
                        <w:top w:val="none" w:sz="0" w:space="0" w:color="auto"/>
                        <w:left w:val="none" w:sz="0" w:space="0" w:color="auto"/>
                        <w:bottom w:val="none" w:sz="0" w:space="0" w:color="auto"/>
                        <w:right w:val="none" w:sz="0" w:space="0" w:color="auto"/>
                      </w:divBdr>
                    </w:div>
                  </w:divsChild>
                </w:div>
                <w:div w:id="449206385">
                  <w:marLeft w:val="0"/>
                  <w:marRight w:val="0"/>
                  <w:marTop w:val="0"/>
                  <w:marBottom w:val="0"/>
                  <w:divBdr>
                    <w:top w:val="none" w:sz="0" w:space="0" w:color="auto"/>
                    <w:left w:val="none" w:sz="0" w:space="0" w:color="auto"/>
                    <w:bottom w:val="none" w:sz="0" w:space="0" w:color="auto"/>
                    <w:right w:val="none" w:sz="0" w:space="0" w:color="auto"/>
                  </w:divBdr>
                  <w:divsChild>
                    <w:div w:id="599261515">
                      <w:marLeft w:val="0"/>
                      <w:marRight w:val="0"/>
                      <w:marTop w:val="0"/>
                      <w:marBottom w:val="0"/>
                      <w:divBdr>
                        <w:top w:val="none" w:sz="0" w:space="0" w:color="auto"/>
                        <w:left w:val="none" w:sz="0" w:space="0" w:color="auto"/>
                        <w:bottom w:val="none" w:sz="0" w:space="0" w:color="auto"/>
                        <w:right w:val="none" w:sz="0" w:space="0" w:color="auto"/>
                      </w:divBdr>
                    </w:div>
                  </w:divsChild>
                </w:div>
                <w:div w:id="453208472">
                  <w:marLeft w:val="0"/>
                  <w:marRight w:val="0"/>
                  <w:marTop w:val="0"/>
                  <w:marBottom w:val="0"/>
                  <w:divBdr>
                    <w:top w:val="none" w:sz="0" w:space="0" w:color="auto"/>
                    <w:left w:val="none" w:sz="0" w:space="0" w:color="auto"/>
                    <w:bottom w:val="none" w:sz="0" w:space="0" w:color="auto"/>
                    <w:right w:val="none" w:sz="0" w:space="0" w:color="auto"/>
                  </w:divBdr>
                  <w:divsChild>
                    <w:div w:id="1094474032">
                      <w:marLeft w:val="0"/>
                      <w:marRight w:val="0"/>
                      <w:marTop w:val="0"/>
                      <w:marBottom w:val="0"/>
                      <w:divBdr>
                        <w:top w:val="none" w:sz="0" w:space="0" w:color="auto"/>
                        <w:left w:val="none" w:sz="0" w:space="0" w:color="auto"/>
                        <w:bottom w:val="none" w:sz="0" w:space="0" w:color="auto"/>
                        <w:right w:val="none" w:sz="0" w:space="0" w:color="auto"/>
                      </w:divBdr>
                    </w:div>
                  </w:divsChild>
                </w:div>
                <w:div w:id="455834717">
                  <w:marLeft w:val="0"/>
                  <w:marRight w:val="0"/>
                  <w:marTop w:val="0"/>
                  <w:marBottom w:val="0"/>
                  <w:divBdr>
                    <w:top w:val="none" w:sz="0" w:space="0" w:color="auto"/>
                    <w:left w:val="none" w:sz="0" w:space="0" w:color="auto"/>
                    <w:bottom w:val="none" w:sz="0" w:space="0" w:color="auto"/>
                    <w:right w:val="none" w:sz="0" w:space="0" w:color="auto"/>
                  </w:divBdr>
                  <w:divsChild>
                    <w:div w:id="1700660245">
                      <w:marLeft w:val="0"/>
                      <w:marRight w:val="0"/>
                      <w:marTop w:val="0"/>
                      <w:marBottom w:val="0"/>
                      <w:divBdr>
                        <w:top w:val="none" w:sz="0" w:space="0" w:color="auto"/>
                        <w:left w:val="none" w:sz="0" w:space="0" w:color="auto"/>
                        <w:bottom w:val="none" w:sz="0" w:space="0" w:color="auto"/>
                        <w:right w:val="none" w:sz="0" w:space="0" w:color="auto"/>
                      </w:divBdr>
                    </w:div>
                  </w:divsChild>
                </w:div>
                <w:div w:id="464935288">
                  <w:marLeft w:val="0"/>
                  <w:marRight w:val="0"/>
                  <w:marTop w:val="0"/>
                  <w:marBottom w:val="0"/>
                  <w:divBdr>
                    <w:top w:val="none" w:sz="0" w:space="0" w:color="auto"/>
                    <w:left w:val="none" w:sz="0" w:space="0" w:color="auto"/>
                    <w:bottom w:val="none" w:sz="0" w:space="0" w:color="auto"/>
                    <w:right w:val="none" w:sz="0" w:space="0" w:color="auto"/>
                  </w:divBdr>
                  <w:divsChild>
                    <w:div w:id="1105076177">
                      <w:marLeft w:val="0"/>
                      <w:marRight w:val="0"/>
                      <w:marTop w:val="0"/>
                      <w:marBottom w:val="0"/>
                      <w:divBdr>
                        <w:top w:val="none" w:sz="0" w:space="0" w:color="auto"/>
                        <w:left w:val="none" w:sz="0" w:space="0" w:color="auto"/>
                        <w:bottom w:val="none" w:sz="0" w:space="0" w:color="auto"/>
                        <w:right w:val="none" w:sz="0" w:space="0" w:color="auto"/>
                      </w:divBdr>
                    </w:div>
                  </w:divsChild>
                </w:div>
                <w:div w:id="465053093">
                  <w:marLeft w:val="0"/>
                  <w:marRight w:val="0"/>
                  <w:marTop w:val="0"/>
                  <w:marBottom w:val="0"/>
                  <w:divBdr>
                    <w:top w:val="none" w:sz="0" w:space="0" w:color="auto"/>
                    <w:left w:val="none" w:sz="0" w:space="0" w:color="auto"/>
                    <w:bottom w:val="none" w:sz="0" w:space="0" w:color="auto"/>
                    <w:right w:val="none" w:sz="0" w:space="0" w:color="auto"/>
                  </w:divBdr>
                  <w:divsChild>
                    <w:div w:id="488863730">
                      <w:marLeft w:val="0"/>
                      <w:marRight w:val="0"/>
                      <w:marTop w:val="0"/>
                      <w:marBottom w:val="0"/>
                      <w:divBdr>
                        <w:top w:val="none" w:sz="0" w:space="0" w:color="auto"/>
                        <w:left w:val="none" w:sz="0" w:space="0" w:color="auto"/>
                        <w:bottom w:val="none" w:sz="0" w:space="0" w:color="auto"/>
                        <w:right w:val="none" w:sz="0" w:space="0" w:color="auto"/>
                      </w:divBdr>
                    </w:div>
                  </w:divsChild>
                </w:div>
                <w:div w:id="476922814">
                  <w:marLeft w:val="0"/>
                  <w:marRight w:val="0"/>
                  <w:marTop w:val="0"/>
                  <w:marBottom w:val="0"/>
                  <w:divBdr>
                    <w:top w:val="none" w:sz="0" w:space="0" w:color="auto"/>
                    <w:left w:val="none" w:sz="0" w:space="0" w:color="auto"/>
                    <w:bottom w:val="none" w:sz="0" w:space="0" w:color="auto"/>
                    <w:right w:val="none" w:sz="0" w:space="0" w:color="auto"/>
                  </w:divBdr>
                  <w:divsChild>
                    <w:div w:id="345716510">
                      <w:marLeft w:val="0"/>
                      <w:marRight w:val="0"/>
                      <w:marTop w:val="0"/>
                      <w:marBottom w:val="0"/>
                      <w:divBdr>
                        <w:top w:val="none" w:sz="0" w:space="0" w:color="auto"/>
                        <w:left w:val="none" w:sz="0" w:space="0" w:color="auto"/>
                        <w:bottom w:val="none" w:sz="0" w:space="0" w:color="auto"/>
                        <w:right w:val="none" w:sz="0" w:space="0" w:color="auto"/>
                      </w:divBdr>
                    </w:div>
                  </w:divsChild>
                </w:div>
                <w:div w:id="484203600">
                  <w:marLeft w:val="0"/>
                  <w:marRight w:val="0"/>
                  <w:marTop w:val="0"/>
                  <w:marBottom w:val="0"/>
                  <w:divBdr>
                    <w:top w:val="none" w:sz="0" w:space="0" w:color="auto"/>
                    <w:left w:val="none" w:sz="0" w:space="0" w:color="auto"/>
                    <w:bottom w:val="none" w:sz="0" w:space="0" w:color="auto"/>
                    <w:right w:val="none" w:sz="0" w:space="0" w:color="auto"/>
                  </w:divBdr>
                  <w:divsChild>
                    <w:div w:id="1213031985">
                      <w:marLeft w:val="0"/>
                      <w:marRight w:val="0"/>
                      <w:marTop w:val="0"/>
                      <w:marBottom w:val="0"/>
                      <w:divBdr>
                        <w:top w:val="none" w:sz="0" w:space="0" w:color="auto"/>
                        <w:left w:val="none" w:sz="0" w:space="0" w:color="auto"/>
                        <w:bottom w:val="none" w:sz="0" w:space="0" w:color="auto"/>
                        <w:right w:val="none" w:sz="0" w:space="0" w:color="auto"/>
                      </w:divBdr>
                    </w:div>
                  </w:divsChild>
                </w:div>
                <w:div w:id="486484782">
                  <w:marLeft w:val="0"/>
                  <w:marRight w:val="0"/>
                  <w:marTop w:val="0"/>
                  <w:marBottom w:val="0"/>
                  <w:divBdr>
                    <w:top w:val="none" w:sz="0" w:space="0" w:color="auto"/>
                    <w:left w:val="none" w:sz="0" w:space="0" w:color="auto"/>
                    <w:bottom w:val="none" w:sz="0" w:space="0" w:color="auto"/>
                    <w:right w:val="none" w:sz="0" w:space="0" w:color="auto"/>
                  </w:divBdr>
                  <w:divsChild>
                    <w:div w:id="248005491">
                      <w:marLeft w:val="0"/>
                      <w:marRight w:val="0"/>
                      <w:marTop w:val="0"/>
                      <w:marBottom w:val="0"/>
                      <w:divBdr>
                        <w:top w:val="none" w:sz="0" w:space="0" w:color="auto"/>
                        <w:left w:val="none" w:sz="0" w:space="0" w:color="auto"/>
                        <w:bottom w:val="none" w:sz="0" w:space="0" w:color="auto"/>
                        <w:right w:val="none" w:sz="0" w:space="0" w:color="auto"/>
                      </w:divBdr>
                    </w:div>
                  </w:divsChild>
                </w:div>
                <w:div w:id="491137878">
                  <w:marLeft w:val="0"/>
                  <w:marRight w:val="0"/>
                  <w:marTop w:val="0"/>
                  <w:marBottom w:val="0"/>
                  <w:divBdr>
                    <w:top w:val="none" w:sz="0" w:space="0" w:color="auto"/>
                    <w:left w:val="none" w:sz="0" w:space="0" w:color="auto"/>
                    <w:bottom w:val="none" w:sz="0" w:space="0" w:color="auto"/>
                    <w:right w:val="none" w:sz="0" w:space="0" w:color="auto"/>
                  </w:divBdr>
                  <w:divsChild>
                    <w:div w:id="686835341">
                      <w:marLeft w:val="0"/>
                      <w:marRight w:val="0"/>
                      <w:marTop w:val="0"/>
                      <w:marBottom w:val="0"/>
                      <w:divBdr>
                        <w:top w:val="none" w:sz="0" w:space="0" w:color="auto"/>
                        <w:left w:val="none" w:sz="0" w:space="0" w:color="auto"/>
                        <w:bottom w:val="none" w:sz="0" w:space="0" w:color="auto"/>
                        <w:right w:val="none" w:sz="0" w:space="0" w:color="auto"/>
                      </w:divBdr>
                    </w:div>
                  </w:divsChild>
                </w:div>
                <w:div w:id="491873243">
                  <w:marLeft w:val="0"/>
                  <w:marRight w:val="0"/>
                  <w:marTop w:val="0"/>
                  <w:marBottom w:val="0"/>
                  <w:divBdr>
                    <w:top w:val="none" w:sz="0" w:space="0" w:color="auto"/>
                    <w:left w:val="none" w:sz="0" w:space="0" w:color="auto"/>
                    <w:bottom w:val="none" w:sz="0" w:space="0" w:color="auto"/>
                    <w:right w:val="none" w:sz="0" w:space="0" w:color="auto"/>
                  </w:divBdr>
                  <w:divsChild>
                    <w:div w:id="2133134020">
                      <w:marLeft w:val="0"/>
                      <w:marRight w:val="0"/>
                      <w:marTop w:val="0"/>
                      <w:marBottom w:val="0"/>
                      <w:divBdr>
                        <w:top w:val="none" w:sz="0" w:space="0" w:color="auto"/>
                        <w:left w:val="none" w:sz="0" w:space="0" w:color="auto"/>
                        <w:bottom w:val="none" w:sz="0" w:space="0" w:color="auto"/>
                        <w:right w:val="none" w:sz="0" w:space="0" w:color="auto"/>
                      </w:divBdr>
                    </w:div>
                  </w:divsChild>
                </w:div>
                <w:div w:id="494612554">
                  <w:marLeft w:val="0"/>
                  <w:marRight w:val="0"/>
                  <w:marTop w:val="0"/>
                  <w:marBottom w:val="0"/>
                  <w:divBdr>
                    <w:top w:val="none" w:sz="0" w:space="0" w:color="auto"/>
                    <w:left w:val="none" w:sz="0" w:space="0" w:color="auto"/>
                    <w:bottom w:val="none" w:sz="0" w:space="0" w:color="auto"/>
                    <w:right w:val="none" w:sz="0" w:space="0" w:color="auto"/>
                  </w:divBdr>
                  <w:divsChild>
                    <w:div w:id="1822428955">
                      <w:marLeft w:val="0"/>
                      <w:marRight w:val="0"/>
                      <w:marTop w:val="0"/>
                      <w:marBottom w:val="0"/>
                      <w:divBdr>
                        <w:top w:val="none" w:sz="0" w:space="0" w:color="auto"/>
                        <w:left w:val="none" w:sz="0" w:space="0" w:color="auto"/>
                        <w:bottom w:val="none" w:sz="0" w:space="0" w:color="auto"/>
                        <w:right w:val="none" w:sz="0" w:space="0" w:color="auto"/>
                      </w:divBdr>
                    </w:div>
                  </w:divsChild>
                </w:div>
                <w:div w:id="495726747">
                  <w:marLeft w:val="0"/>
                  <w:marRight w:val="0"/>
                  <w:marTop w:val="0"/>
                  <w:marBottom w:val="0"/>
                  <w:divBdr>
                    <w:top w:val="none" w:sz="0" w:space="0" w:color="auto"/>
                    <w:left w:val="none" w:sz="0" w:space="0" w:color="auto"/>
                    <w:bottom w:val="none" w:sz="0" w:space="0" w:color="auto"/>
                    <w:right w:val="none" w:sz="0" w:space="0" w:color="auto"/>
                  </w:divBdr>
                  <w:divsChild>
                    <w:div w:id="181746439">
                      <w:marLeft w:val="0"/>
                      <w:marRight w:val="0"/>
                      <w:marTop w:val="0"/>
                      <w:marBottom w:val="0"/>
                      <w:divBdr>
                        <w:top w:val="none" w:sz="0" w:space="0" w:color="auto"/>
                        <w:left w:val="none" w:sz="0" w:space="0" w:color="auto"/>
                        <w:bottom w:val="none" w:sz="0" w:space="0" w:color="auto"/>
                        <w:right w:val="none" w:sz="0" w:space="0" w:color="auto"/>
                      </w:divBdr>
                    </w:div>
                  </w:divsChild>
                </w:div>
                <w:div w:id="497354100">
                  <w:marLeft w:val="0"/>
                  <w:marRight w:val="0"/>
                  <w:marTop w:val="0"/>
                  <w:marBottom w:val="0"/>
                  <w:divBdr>
                    <w:top w:val="none" w:sz="0" w:space="0" w:color="auto"/>
                    <w:left w:val="none" w:sz="0" w:space="0" w:color="auto"/>
                    <w:bottom w:val="none" w:sz="0" w:space="0" w:color="auto"/>
                    <w:right w:val="none" w:sz="0" w:space="0" w:color="auto"/>
                  </w:divBdr>
                  <w:divsChild>
                    <w:div w:id="1310944328">
                      <w:marLeft w:val="0"/>
                      <w:marRight w:val="0"/>
                      <w:marTop w:val="0"/>
                      <w:marBottom w:val="0"/>
                      <w:divBdr>
                        <w:top w:val="none" w:sz="0" w:space="0" w:color="auto"/>
                        <w:left w:val="none" w:sz="0" w:space="0" w:color="auto"/>
                        <w:bottom w:val="none" w:sz="0" w:space="0" w:color="auto"/>
                        <w:right w:val="none" w:sz="0" w:space="0" w:color="auto"/>
                      </w:divBdr>
                    </w:div>
                  </w:divsChild>
                </w:div>
                <w:div w:id="499542145">
                  <w:marLeft w:val="0"/>
                  <w:marRight w:val="0"/>
                  <w:marTop w:val="0"/>
                  <w:marBottom w:val="0"/>
                  <w:divBdr>
                    <w:top w:val="none" w:sz="0" w:space="0" w:color="auto"/>
                    <w:left w:val="none" w:sz="0" w:space="0" w:color="auto"/>
                    <w:bottom w:val="none" w:sz="0" w:space="0" w:color="auto"/>
                    <w:right w:val="none" w:sz="0" w:space="0" w:color="auto"/>
                  </w:divBdr>
                  <w:divsChild>
                    <w:div w:id="1769959816">
                      <w:marLeft w:val="0"/>
                      <w:marRight w:val="0"/>
                      <w:marTop w:val="0"/>
                      <w:marBottom w:val="0"/>
                      <w:divBdr>
                        <w:top w:val="none" w:sz="0" w:space="0" w:color="auto"/>
                        <w:left w:val="none" w:sz="0" w:space="0" w:color="auto"/>
                        <w:bottom w:val="none" w:sz="0" w:space="0" w:color="auto"/>
                        <w:right w:val="none" w:sz="0" w:space="0" w:color="auto"/>
                      </w:divBdr>
                    </w:div>
                  </w:divsChild>
                </w:div>
                <w:div w:id="508955943">
                  <w:marLeft w:val="0"/>
                  <w:marRight w:val="0"/>
                  <w:marTop w:val="0"/>
                  <w:marBottom w:val="0"/>
                  <w:divBdr>
                    <w:top w:val="none" w:sz="0" w:space="0" w:color="auto"/>
                    <w:left w:val="none" w:sz="0" w:space="0" w:color="auto"/>
                    <w:bottom w:val="none" w:sz="0" w:space="0" w:color="auto"/>
                    <w:right w:val="none" w:sz="0" w:space="0" w:color="auto"/>
                  </w:divBdr>
                  <w:divsChild>
                    <w:div w:id="601717993">
                      <w:marLeft w:val="0"/>
                      <w:marRight w:val="0"/>
                      <w:marTop w:val="0"/>
                      <w:marBottom w:val="0"/>
                      <w:divBdr>
                        <w:top w:val="none" w:sz="0" w:space="0" w:color="auto"/>
                        <w:left w:val="none" w:sz="0" w:space="0" w:color="auto"/>
                        <w:bottom w:val="none" w:sz="0" w:space="0" w:color="auto"/>
                        <w:right w:val="none" w:sz="0" w:space="0" w:color="auto"/>
                      </w:divBdr>
                    </w:div>
                  </w:divsChild>
                </w:div>
                <w:div w:id="512575979">
                  <w:marLeft w:val="0"/>
                  <w:marRight w:val="0"/>
                  <w:marTop w:val="0"/>
                  <w:marBottom w:val="0"/>
                  <w:divBdr>
                    <w:top w:val="none" w:sz="0" w:space="0" w:color="auto"/>
                    <w:left w:val="none" w:sz="0" w:space="0" w:color="auto"/>
                    <w:bottom w:val="none" w:sz="0" w:space="0" w:color="auto"/>
                    <w:right w:val="none" w:sz="0" w:space="0" w:color="auto"/>
                  </w:divBdr>
                  <w:divsChild>
                    <w:div w:id="1328245485">
                      <w:marLeft w:val="0"/>
                      <w:marRight w:val="0"/>
                      <w:marTop w:val="0"/>
                      <w:marBottom w:val="0"/>
                      <w:divBdr>
                        <w:top w:val="none" w:sz="0" w:space="0" w:color="auto"/>
                        <w:left w:val="none" w:sz="0" w:space="0" w:color="auto"/>
                        <w:bottom w:val="none" w:sz="0" w:space="0" w:color="auto"/>
                        <w:right w:val="none" w:sz="0" w:space="0" w:color="auto"/>
                      </w:divBdr>
                    </w:div>
                  </w:divsChild>
                </w:div>
                <w:div w:id="515385584">
                  <w:marLeft w:val="0"/>
                  <w:marRight w:val="0"/>
                  <w:marTop w:val="0"/>
                  <w:marBottom w:val="0"/>
                  <w:divBdr>
                    <w:top w:val="none" w:sz="0" w:space="0" w:color="auto"/>
                    <w:left w:val="none" w:sz="0" w:space="0" w:color="auto"/>
                    <w:bottom w:val="none" w:sz="0" w:space="0" w:color="auto"/>
                    <w:right w:val="none" w:sz="0" w:space="0" w:color="auto"/>
                  </w:divBdr>
                  <w:divsChild>
                    <w:div w:id="824318728">
                      <w:marLeft w:val="0"/>
                      <w:marRight w:val="0"/>
                      <w:marTop w:val="0"/>
                      <w:marBottom w:val="0"/>
                      <w:divBdr>
                        <w:top w:val="none" w:sz="0" w:space="0" w:color="auto"/>
                        <w:left w:val="none" w:sz="0" w:space="0" w:color="auto"/>
                        <w:bottom w:val="none" w:sz="0" w:space="0" w:color="auto"/>
                        <w:right w:val="none" w:sz="0" w:space="0" w:color="auto"/>
                      </w:divBdr>
                    </w:div>
                  </w:divsChild>
                </w:div>
                <w:div w:id="515465604">
                  <w:marLeft w:val="0"/>
                  <w:marRight w:val="0"/>
                  <w:marTop w:val="0"/>
                  <w:marBottom w:val="0"/>
                  <w:divBdr>
                    <w:top w:val="none" w:sz="0" w:space="0" w:color="auto"/>
                    <w:left w:val="none" w:sz="0" w:space="0" w:color="auto"/>
                    <w:bottom w:val="none" w:sz="0" w:space="0" w:color="auto"/>
                    <w:right w:val="none" w:sz="0" w:space="0" w:color="auto"/>
                  </w:divBdr>
                  <w:divsChild>
                    <w:div w:id="1641418727">
                      <w:marLeft w:val="0"/>
                      <w:marRight w:val="0"/>
                      <w:marTop w:val="0"/>
                      <w:marBottom w:val="0"/>
                      <w:divBdr>
                        <w:top w:val="none" w:sz="0" w:space="0" w:color="auto"/>
                        <w:left w:val="none" w:sz="0" w:space="0" w:color="auto"/>
                        <w:bottom w:val="none" w:sz="0" w:space="0" w:color="auto"/>
                        <w:right w:val="none" w:sz="0" w:space="0" w:color="auto"/>
                      </w:divBdr>
                    </w:div>
                  </w:divsChild>
                </w:div>
                <w:div w:id="520124973">
                  <w:marLeft w:val="0"/>
                  <w:marRight w:val="0"/>
                  <w:marTop w:val="0"/>
                  <w:marBottom w:val="0"/>
                  <w:divBdr>
                    <w:top w:val="none" w:sz="0" w:space="0" w:color="auto"/>
                    <w:left w:val="none" w:sz="0" w:space="0" w:color="auto"/>
                    <w:bottom w:val="none" w:sz="0" w:space="0" w:color="auto"/>
                    <w:right w:val="none" w:sz="0" w:space="0" w:color="auto"/>
                  </w:divBdr>
                  <w:divsChild>
                    <w:div w:id="200820808">
                      <w:marLeft w:val="0"/>
                      <w:marRight w:val="0"/>
                      <w:marTop w:val="0"/>
                      <w:marBottom w:val="0"/>
                      <w:divBdr>
                        <w:top w:val="none" w:sz="0" w:space="0" w:color="auto"/>
                        <w:left w:val="none" w:sz="0" w:space="0" w:color="auto"/>
                        <w:bottom w:val="none" w:sz="0" w:space="0" w:color="auto"/>
                        <w:right w:val="none" w:sz="0" w:space="0" w:color="auto"/>
                      </w:divBdr>
                    </w:div>
                  </w:divsChild>
                </w:div>
                <w:div w:id="528567503">
                  <w:marLeft w:val="0"/>
                  <w:marRight w:val="0"/>
                  <w:marTop w:val="0"/>
                  <w:marBottom w:val="0"/>
                  <w:divBdr>
                    <w:top w:val="none" w:sz="0" w:space="0" w:color="auto"/>
                    <w:left w:val="none" w:sz="0" w:space="0" w:color="auto"/>
                    <w:bottom w:val="none" w:sz="0" w:space="0" w:color="auto"/>
                    <w:right w:val="none" w:sz="0" w:space="0" w:color="auto"/>
                  </w:divBdr>
                  <w:divsChild>
                    <w:div w:id="220101411">
                      <w:marLeft w:val="0"/>
                      <w:marRight w:val="0"/>
                      <w:marTop w:val="0"/>
                      <w:marBottom w:val="0"/>
                      <w:divBdr>
                        <w:top w:val="none" w:sz="0" w:space="0" w:color="auto"/>
                        <w:left w:val="none" w:sz="0" w:space="0" w:color="auto"/>
                        <w:bottom w:val="none" w:sz="0" w:space="0" w:color="auto"/>
                        <w:right w:val="none" w:sz="0" w:space="0" w:color="auto"/>
                      </w:divBdr>
                    </w:div>
                  </w:divsChild>
                </w:div>
                <w:div w:id="539898325">
                  <w:marLeft w:val="0"/>
                  <w:marRight w:val="0"/>
                  <w:marTop w:val="0"/>
                  <w:marBottom w:val="0"/>
                  <w:divBdr>
                    <w:top w:val="none" w:sz="0" w:space="0" w:color="auto"/>
                    <w:left w:val="none" w:sz="0" w:space="0" w:color="auto"/>
                    <w:bottom w:val="none" w:sz="0" w:space="0" w:color="auto"/>
                    <w:right w:val="none" w:sz="0" w:space="0" w:color="auto"/>
                  </w:divBdr>
                  <w:divsChild>
                    <w:div w:id="1483037219">
                      <w:marLeft w:val="0"/>
                      <w:marRight w:val="0"/>
                      <w:marTop w:val="0"/>
                      <w:marBottom w:val="0"/>
                      <w:divBdr>
                        <w:top w:val="none" w:sz="0" w:space="0" w:color="auto"/>
                        <w:left w:val="none" w:sz="0" w:space="0" w:color="auto"/>
                        <w:bottom w:val="none" w:sz="0" w:space="0" w:color="auto"/>
                        <w:right w:val="none" w:sz="0" w:space="0" w:color="auto"/>
                      </w:divBdr>
                    </w:div>
                  </w:divsChild>
                </w:div>
                <w:div w:id="557204022">
                  <w:marLeft w:val="0"/>
                  <w:marRight w:val="0"/>
                  <w:marTop w:val="0"/>
                  <w:marBottom w:val="0"/>
                  <w:divBdr>
                    <w:top w:val="none" w:sz="0" w:space="0" w:color="auto"/>
                    <w:left w:val="none" w:sz="0" w:space="0" w:color="auto"/>
                    <w:bottom w:val="none" w:sz="0" w:space="0" w:color="auto"/>
                    <w:right w:val="none" w:sz="0" w:space="0" w:color="auto"/>
                  </w:divBdr>
                  <w:divsChild>
                    <w:div w:id="1361707903">
                      <w:marLeft w:val="0"/>
                      <w:marRight w:val="0"/>
                      <w:marTop w:val="0"/>
                      <w:marBottom w:val="0"/>
                      <w:divBdr>
                        <w:top w:val="none" w:sz="0" w:space="0" w:color="auto"/>
                        <w:left w:val="none" w:sz="0" w:space="0" w:color="auto"/>
                        <w:bottom w:val="none" w:sz="0" w:space="0" w:color="auto"/>
                        <w:right w:val="none" w:sz="0" w:space="0" w:color="auto"/>
                      </w:divBdr>
                    </w:div>
                  </w:divsChild>
                </w:div>
                <w:div w:id="558247252">
                  <w:marLeft w:val="0"/>
                  <w:marRight w:val="0"/>
                  <w:marTop w:val="0"/>
                  <w:marBottom w:val="0"/>
                  <w:divBdr>
                    <w:top w:val="none" w:sz="0" w:space="0" w:color="auto"/>
                    <w:left w:val="none" w:sz="0" w:space="0" w:color="auto"/>
                    <w:bottom w:val="none" w:sz="0" w:space="0" w:color="auto"/>
                    <w:right w:val="none" w:sz="0" w:space="0" w:color="auto"/>
                  </w:divBdr>
                  <w:divsChild>
                    <w:div w:id="15157344">
                      <w:marLeft w:val="0"/>
                      <w:marRight w:val="0"/>
                      <w:marTop w:val="0"/>
                      <w:marBottom w:val="0"/>
                      <w:divBdr>
                        <w:top w:val="none" w:sz="0" w:space="0" w:color="auto"/>
                        <w:left w:val="none" w:sz="0" w:space="0" w:color="auto"/>
                        <w:bottom w:val="none" w:sz="0" w:space="0" w:color="auto"/>
                        <w:right w:val="none" w:sz="0" w:space="0" w:color="auto"/>
                      </w:divBdr>
                    </w:div>
                  </w:divsChild>
                </w:div>
                <w:div w:id="569845915">
                  <w:marLeft w:val="0"/>
                  <w:marRight w:val="0"/>
                  <w:marTop w:val="0"/>
                  <w:marBottom w:val="0"/>
                  <w:divBdr>
                    <w:top w:val="none" w:sz="0" w:space="0" w:color="auto"/>
                    <w:left w:val="none" w:sz="0" w:space="0" w:color="auto"/>
                    <w:bottom w:val="none" w:sz="0" w:space="0" w:color="auto"/>
                    <w:right w:val="none" w:sz="0" w:space="0" w:color="auto"/>
                  </w:divBdr>
                  <w:divsChild>
                    <w:div w:id="1076973638">
                      <w:marLeft w:val="0"/>
                      <w:marRight w:val="0"/>
                      <w:marTop w:val="0"/>
                      <w:marBottom w:val="0"/>
                      <w:divBdr>
                        <w:top w:val="none" w:sz="0" w:space="0" w:color="auto"/>
                        <w:left w:val="none" w:sz="0" w:space="0" w:color="auto"/>
                        <w:bottom w:val="none" w:sz="0" w:space="0" w:color="auto"/>
                        <w:right w:val="none" w:sz="0" w:space="0" w:color="auto"/>
                      </w:divBdr>
                    </w:div>
                  </w:divsChild>
                </w:div>
                <w:div w:id="570392177">
                  <w:marLeft w:val="0"/>
                  <w:marRight w:val="0"/>
                  <w:marTop w:val="0"/>
                  <w:marBottom w:val="0"/>
                  <w:divBdr>
                    <w:top w:val="none" w:sz="0" w:space="0" w:color="auto"/>
                    <w:left w:val="none" w:sz="0" w:space="0" w:color="auto"/>
                    <w:bottom w:val="none" w:sz="0" w:space="0" w:color="auto"/>
                    <w:right w:val="none" w:sz="0" w:space="0" w:color="auto"/>
                  </w:divBdr>
                  <w:divsChild>
                    <w:div w:id="1005476087">
                      <w:marLeft w:val="0"/>
                      <w:marRight w:val="0"/>
                      <w:marTop w:val="0"/>
                      <w:marBottom w:val="0"/>
                      <w:divBdr>
                        <w:top w:val="none" w:sz="0" w:space="0" w:color="auto"/>
                        <w:left w:val="none" w:sz="0" w:space="0" w:color="auto"/>
                        <w:bottom w:val="none" w:sz="0" w:space="0" w:color="auto"/>
                        <w:right w:val="none" w:sz="0" w:space="0" w:color="auto"/>
                      </w:divBdr>
                    </w:div>
                  </w:divsChild>
                </w:div>
                <w:div w:id="570425358">
                  <w:marLeft w:val="0"/>
                  <w:marRight w:val="0"/>
                  <w:marTop w:val="0"/>
                  <w:marBottom w:val="0"/>
                  <w:divBdr>
                    <w:top w:val="none" w:sz="0" w:space="0" w:color="auto"/>
                    <w:left w:val="none" w:sz="0" w:space="0" w:color="auto"/>
                    <w:bottom w:val="none" w:sz="0" w:space="0" w:color="auto"/>
                    <w:right w:val="none" w:sz="0" w:space="0" w:color="auto"/>
                  </w:divBdr>
                  <w:divsChild>
                    <w:div w:id="1237279638">
                      <w:marLeft w:val="0"/>
                      <w:marRight w:val="0"/>
                      <w:marTop w:val="0"/>
                      <w:marBottom w:val="0"/>
                      <w:divBdr>
                        <w:top w:val="none" w:sz="0" w:space="0" w:color="auto"/>
                        <w:left w:val="none" w:sz="0" w:space="0" w:color="auto"/>
                        <w:bottom w:val="none" w:sz="0" w:space="0" w:color="auto"/>
                        <w:right w:val="none" w:sz="0" w:space="0" w:color="auto"/>
                      </w:divBdr>
                    </w:div>
                  </w:divsChild>
                </w:div>
                <w:div w:id="572593316">
                  <w:marLeft w:val="0"/>
                  <w:marRight w:val="0"/>
                  <w:marTop w:val="0"/>
                  <w:marBottom w:val="0"/>
                  <w:divBdr>
                    <w:top w:val="none" w:sz="0" w:space="0" w:color="auto"/>
                    <w:left w:val="none" w:sz="0" w:space="0" w:color="auto"/>
                    <w:bottom w:val="none" w:sz="0" w:space="0" w:color="auto"/>
                    <w:right w:val="none" w:sz="0" w:space="0" w:color="auto"/>
                  </w:divBdr>
                  <w:divsChild>
                    <w:div w:id="480732888">
                      <w:marLeft w:val="0"/>
                      <w:marRight w:val="0"/>
                      <w:marTop w:val="0"/>
                      <w:marBottom w:val="0"/>
                      <w:divBdr>
                        <w:top w:val="none" w:sz="0" w:space="0" w:color="auto"/>
                        <w:left w:val="none" w:sz="0" w:space="0" w:color="auto"/>
                        <w:bottom w:val="none" w:sz="0" w:space="0" w:color="auto"/>
                        <w:right w:val="none" w:sz="0" w:space="0" w:color="auto"/>
                      </w:divBdr>
                    </w:div>
                  </w:divsChild>
                </w:div>
                <w:div w:id="581259298">
                  <w:marLeft w:val="0"/>
                  <w:marRight w:val="0"/>
                  <w:marTop w:val="0"/>
                  <w:marBottom w:val="0"/>
                  <w:divBdr>
                    <w:top w:val="none" w:sz="0" w:space="0" w:color="auto"/>
                    <w:left w:val="none" w:sz="0" w:space="0" w:color="auto"/>
                    <w:bottom w:val="none" w:sz="0" w:space="0" w:color="auto"/>
                    <w:right w:val="none" w:sz="0" w:space="0" w:color="auto"/>
                  </w:divBdr>
                  <w:divsChild>
                    <w:div w:id="704448390">
                      <w:marLeft w:val="0"/>
                      <w:marRight w:val="0"/>
                      <w:marTop w:val="0"/>
                      <w:marBottom w:val="0"/>
                      <w:divBdr>
                        <w:top w:val="none" w:sz="0" w:space="0" w:color="auto"/>
                        <w:left w:val="none" w:sz="0" w:space="0" w:color="auto"/>
                        <w:bottom w:val="none" w:sz="0" w:space="0" w:color="auto"/>
                        <w:right w:val="none" w:sz="0" w:space="0" w:color="auto"/>
                      </w:divBdr>
                    </w:div>
                  </w:divsChild>
                </w:div>
                <w:div w:id="584919808">
                  <w:marLeft w:val="0"/>
                  <w:marRight w:val="0"/>
                  <w:marTop w:val="0"/>
                  <w:marBottom w:val="0"/>
                  <w:divBdr>
                    <w:top w:val="none" w:sz="0" w:space="0" w:color="auto"/>
                    <w:left w:val="none" w:sz="0" w:space="0" w:color="auto"/>
                    <w:bottom w:val="none" w:sz="0" w:space="0" w:color="auto"/>
                    <w:right w:val="none" w:sz="0" w:space="0" w:color="auto"/>
                  </w:divBdr>
                  <w:divsChild>
                    <w:div w:id="1818691308">
                      <w:marLeft w:val="0"/>
                      <w:marRight w:val="0"/>
                      <w:marTop w:val="0"/>
                      <w:marBottom w:val="0"/>
                      <w:divBdr>
                        <w:top w:val="none" w:sz="0" w:space="0" w:color="auto"/>
                        <w:left w:val="none" w:sz="0" w:space="0" w:color="auto"/>
                        <w:bottom w:val="none" w:sz="0" w:space="0" w:color="auto"/>
                        <w:right w:val="none" w:sz="0" w:space="0" w:color="auto"/>
                      </w:divBdr>
                    </w:div>
                  </w:divsChild>
                </w:div>
                <w:div w:id="589658908">
                  <w:marLeft w:val="0"/>
                  <w:marRight w:val="0"/>
                  <w:marTop w:val="0"/>
                  <w:marBottom w:val="0"/>
                  <w:divBdr>
                    <w:top w:val="none" w:sz="0" w:space="0" w:color="auto"/>
                    <w:left w:val="none" w:sz="0" w:space="0" w:color="auto"/>
                    <w:bottom w:val="none" w:sz="0" w:space="0" w:color="auto"/>
                    <w:right w:val="none" w:sz="0" w:space="0" w:color="auto"/>
                  </w:divBdr>
                  <w:divsChild>
                    <w:div w:id="341905683">
                      <w:marLeft w:val="0"/>
                      <w:marRight w:val="0"/>
                      <w:marTop w:val="0"/>
                      <w:marBottom w:val="0"/>
                      <w:divBdr>
                        <w:top w:val="none" w:sz="0" w:space="0" w:color="auto"/>
                        <w:left w:val="none" w:sz="0" w:space="0" w:color="auto"/>
                        <w:bottom w:val="none" w:sz="0" w:space="0" w:color="auto"/>
                        <w:right w:val="none" w:sz="0" w:space="0" w:color="auto"/>
                      </w:divBdr>
                    </w:div>
                  </w:divsChild>
                </w:div>
                <w:div w:id="605502860">
                  <w:marLeft w:val="0"/>
                  <w:marRight w:val="0"/>
                  <w:marTop w:val="0"/>
                  <w:marBottom w:val="0"/>
                  <w:divBdr>
                    <w:top w:val="none" w:sz="0" w:space="0" w:color="auto"/>
                    <w:left w:val="none" w:sz="0" w:space="0" w:color="auto"/>
                    <w:bottom w:val="none" w:sz="0" w:space="0" w:color="auto"/>
                    <w:right w:val="none" w:sz="0" w:space="0" w:color="auto"/>
                  </w:divBdr>
                  <w:divsChild>
                    <w:div w:id="1375545548">
                      <w:marLeft w:val="0"/>
                      <w:marRight w:val="0"/>
                      <w:marTop w:val="0"/>
                      <w:marBottom w:val="0"/>
                      <w:divBdr>
                        <w:top w:val="none" w:sz="0" w:space="0" w:color="auto"/>
                        <w:left w:val="none" w:sz="0" w:space="0" w:color="auto"/>
                        <w:bottom w:val="none" w:sz="0" w:space="0" w:color="auto"/>
                        <w:right w:val="none" w:sz="0" w:space="0" w:color="auto"/>
                      </w:divBdr>
                    </w:div>
                  </w:divsChild>
                </w:div>
                <w:div w:id="606424838">
                  <w:marLeft w:val="0"/>
                  <w:marRight w:val="0"/>
                  <w:marTop w:val="0"/>
                  <w:marBottom w:val="0"/>
                  <w:divBdr>
                    <w:top w:val="none" w:sz="0" w:space="0" w:color="auto"/>
                    <w:left w:val="none" w:sz="0" w:space="0" w:color="auto"/>
                    <w:bottom w:val="none" w:sz="0" w:space="0" w:color="auto"/>
                    <w:right w:val="none" w:sz="0" w:space="0" w:color="auto"/>
                  </w:divBdr>
                  <w:divsChild>
                    <w:div w:id="262879050">
                      <w:marLeft w:val="0"/>
                      <w:marRight w:val="0"/>
                      <w:marTop w:val="0"/>
                      <w:marBottom w:val="0"/>
                      <w:divBdr>
                        <w:top w:val="none" w:sz="0" w:space="0" w:color="auto"/>
                        <w:left w:val="none" w:sz="0" w:space="0" w:color="auto"/>
                        <w:bottom w:val="none" w:sz="0" w:space="0" w:color="auto"/>
                        <w:right w:val="none" w:sz="0" w:space="0" w:color="auto"/>
                      </w:divBdr>
                    </w:div>
                  </w:divsChild>
                </w:div>
                <w:div w:id="625083232">
                  <w:marLeft w:val="0"/>
                  <w:marRight w:val="0"/>
                  <w:marTop w:val="0"/>
                  <w:marBottom w:val="0"/>
                  <w:divBdr>
                    <w:top w:val="none" w:sz="0" w:space="0" w:color="auto"/>
                    <w:left w:val="none" w:sz="0" w:space="0" w:color="auto"/>
                    <w:bottom w:val="none" w:sz="0" w:space="0" w:color="auto"/>
                    <w:right w:val="none" w:sz="0" w:space="0" w:color="auto"/>
                  </w:divBdr>
                  <w:divsChild>
                    <w:div w:id="1971354837">
                      <w:marLeft w:val="0"/>
                      <w:marRight w:val="0"/>
                      <w:marTop w:val="0"/>
                      <w:marBottom w:val="0"/>
                      <w:divBdr>
                        <w:top w:val="none" w:sz="0" w:space="0" w:color="auto"/>
                        <w:left w:val="none" w:sz="0" w:space="0" w:color="auto"/>
                        <w:bottom w:val="none" w:sz="0" w:space="0" w:color="auto"/>
                        <w:right w:val="none" w:sz="0" w:space="0" w:color="auto"/>
                      </w:divBdr>
                    </w:div>
                  </w:divsChild>
                </w:div>
                <w:div w:id="626938468">
                  <w:marLeft w:val="0"/>
                  <w:marRight w:val="0"/>
                  <w:marTop w:val="0"/>
                  <w:marBottom w:val="0"/>
                  <w:divBdr>
                    <w:top w:val="none" w:sz="0" w:space="0" w:color="auto"/>
                    <w:left w:val="none" w:sz="0" w:space="0" w:color="auto"/>
                    <w:bottom w:val="none" w:sz="0" w:space="0" w:color="auto"/>
                    <w:right w:val="none" w:sz="0" w:space="0" w:color="auto"/>
                  </w:divBdr>
                  <w:divsChild>
                    <w:div w:id="666053346">
                      <w:marLeft w:val="0"/>
                      <w:marRight w:val="0"/>
                      <w:marTop w:val="0"/>
                      <w:marBottom w:val="0"/>
                      <w:divBdr>
                        <w:top w:val="none" w:sz="0" w:space="0" w:color="auto"/>
                        <w:left w:val="none" w:sz="0" w:space="0" w:color="auto"/>
                        <w:bottom w:val="none" w:sz="0" w:space="0" w:color="auto"/>
                        <w:right w:val="none" w:sz="0" w:space="0" w:color="auto"/>
                      </w:divBdr>
                    </w:div>
                  </w:divsChild>
                </w:div>
                <w:div w:id="629097771">
                  <w:marLeft w:val="0"/>
                  <w:marRight w:val="0"/>
                  <w:marTop w:val="0"/>
                  <w:marBottom w:val="0"/>
                  <w:divBdr>
                    <w:top w:val="none" w:sz="0" w:space="0" w:color="auto"/>
                    <w:left w:val="none" w:sz="0" w:space="0" w:color="auto"/>
                    <w:bottom w:val="none" w:sz="0" w:space="0" w:color="auto"/>
                    <w:right w:val="none" w:sz="0" w:space="0" w:color="auto"/>
                  </w:divBdr>
                  <w:divsChild>
                    <w:div w:id="597713180">
                      <w:marLeft w:val="0"/>
                      <w:marRight w:val="0"/>
                      <w:marTop w:val="0"/>
                      <w:marBottom w:val="0"/>
                      <w:divBdr>
                        <w:top w:val="none" w:sz="0" w:space="0" w:color="auto"/>
                        <w:left w:val="none" w:sz="0" w:space="0" w:color="auto"/>
                        <w:bottom w:val="none" w:sz="0" w:space="0" w:color="auto"/>
                        <w:right w:val="none" w:sz="0" w:space="0" w:color="auto"/>
                      </w:divBdr>
                    </w:div>
                  </w:divsChild>
                </w:div>
                <w:div w:id="630134336">
                  <w:marLeft w:val="0"/>
                  <w:marRight w:val="0"/>
                  <w:marTop w:val="0"/>
                  <w:marBottom w:val="0"/>
                  <w:divBdr>
                    <w:top w:val="none" w:sz="0" w:space="0" w:color="auto"/>
                    <w:left w:val="none" w:sz="0" w:space="0" w:color="auto"/>
                    <w:bottom w:val="none" w:sz="0" w:space="0" w:color="auto"/>
                    <w:right w:val="none" w:sz="0" w:space="0" w:color="auto"/>
                  </w:divBdr>
                  <w:divsChild>
                    <w:div w:id="1283532510">
                      <w:marLeft w:val="0"/>
                      <w:marRight w:val="0"/>
                      <w:marTop w:val="0"/>
                      <w:marBottom w:val="0"/>
                      <w:divBdr>
                        <w:top w:val="none" w:sz="0" w:space="0" w:color="auto"/>
                        <w:left w:val="none" w:sz="0" w:space="0" w:color="auto"/>
                        <w:bottom w:val="none" w:sz="0" w:space="0" w:color="auto"/>
                        <w:right w:val="none" w:sz="0" w:space="0" w:color="auto"/>
                      </w:divBdr>
                    </w:div>
                  </w:divsChild>
                </w:div>
                <w:div w:id="643852885">
                  <w:marLeft w:val="0"/>
                  <w:marRight w:val="0"/>
                  <w:marTop w:val="0"/>
                  <w:marBottom w:val="0"/>
                  <w:divBdr>
                    <w:top w:val="none" w:sz="0" w:space="0" w:color="auto"/>
                    <w:left w:val="none" w:sz="0" w:space="0" w:color="auto"/>
                    <w:bottom w:val="none" w:sz="0" w:space="0" w:color="auto"/>
                    <w:right w:val="none" w:sz="0" w:space="0" w:color="auto"/>
                  </w:divBdr>
                  <w:divsChild>
                    <w:div w:id="1591890944">
                      <w:marLeft w:val="0"/>
                      <w:marRight w:val="0"/>
                      <w:marTop w:val="0"/>
                      <w:marBottom w:val="0"/>
                      <w:divBdr>
                        <w:top w:val="none" w:sz="0" w:space="0" w:color="auto"/>
                        <w:left w:val="none" w:sz="0" w:space="0" w:color="auto"/>
                        <w:bottom w:val="none" w:sz="0" w:space="0" w:color="auto"/>
                        <w:right w:val="none" w:sz="0" w:space="0" w:color="auto"/>
                      </w:divBdr>
                    </w:div>
                  </w:divsChild>
                </w:div>
                <w:div w:id="650207507">
                  <w:marLeft w:val="0"/>
                  <w:marRight w:val="0"/>
                  <w:marTop w:val="0"/>
                  <w:marBottom w:val="0"/>
                  <w:divBdr>
                    <w:top w:val="none" w:sz="0" w:space="0" w:color="auto"/>
                    <w:left w:val="none" w:sz="0" w:space="0" w:color="auto"/>
                    <w:bottom w:val="none" w:sz="0" w:space="0" w:color="auto"/>
                    <w:right w:val="none" w:sz="0" w:space="0" w:color="auto"/>
                  </w:divBdr>
                  <w:divsChild>
                    <w:div w:id="1113744502">
                      <w:marLeft w:val="0"/>
                      <w:marRight w:val="0"/>
                      <w:marTop w:val="0"/>
                      <w:marBottom w:val="0"/>
                      <w:divBdr>
                        <w:top w:val="none" w:sz="0" w:space="0" w:color="auto"/>
                        <w:left w:val="none" w:sz="0" w:space="0" w:color="auto"/>
                        <w:bottom w:val="none" w:sz="0" w:space="0" w:color="auto"/>
                        <w:right w:val="none" w:sz="0" w:space="0" w:color="auto"/>
                      </w:divBdr>
                    </w:div>
                  </w:divsChild>
                </w:div>
                <w:div w:id="658316361">
                  <w:marLeft w:val="0"/>
                  <w:marRight w:val="0"/>
                  <w:marTop w:val="0"/>
                  <w:marBottom w:val="0"/>
                  <w:divBdr>
                    <w:top w:val="none" w:sz="0" w:space="0" w:color="auto"/>
                    <w:left w:val="none" w:sz="0" w:space="0" w:color="auto"/>
                    <w:bottom w:val="none" w:sz="0" w:space="0" w:color="auto"/>
                    <w:right w:val="none" w:sz="0" w:space="0" w:color="auto"/>
                  </w:divBdr>
                  <w:divsChild>
                    <w:div w:id="641034298">
                      <w:marLeft w:val="0"/>
                      <w:marRight w:val="0"/>
                      <w:marTop w:val="0"/>
                      <w:marBottom w:val="0"/>
                      <w:divBdr>
                        <w:top w:val="none" w:sz="0" w:space="0" w:color="auto"/>
                        <w:left w:val="none" w:sz="0" w:space="0" w:color="auto"/>
                        <w:bottom w:val="none" w:sz="0" w:space="0" w:color="auto"/>
                        <w:right w:val="none" w:sz="0" w:space="0" w:color="auto"/>
                      </w:divBdr>
                    </w:div>
                  </w:divsChild>
                </w:div>
                <w:div w:id="662316810">
                  <w:marLeft w:val="0"/>
                  <w:marRight w:val="0"/>
                  <w:marTop w:val="0"/>
                  <w:marBottom w:val="0"/>
                  <w:divBdr>
                    <w:top w:val="none" w:sz="0" w:space="0" w:color="auto"/>
                    <w:left w:val="none" w:sz="0" w:space="0" w:color="auto"/>
                    <w:bottom w:val="none" w:sz="0" w:space="0" w:color="auto"/>
                    <w:right w:val="none" w:sz="0" w:space="0" w:color="auto"/>
                  </w:divBdr>
                  <w:divsChild>
                    <w:div w:id="421462247">
                      <w:marLeft w:val="0"/>
                      <w:marRight w:val="0"/>
                      <w:marTop w:val="0"/>
                      <w:marBottom w:val="0"/>
                      <w:divBdr>
                        <w:top w:val="none" w:sz="0" w:space="0" w:color="auto"/>
                        <w:left w:val="none" w:sz="0" w:space="0" w:color="auto"/>
                        <w:bottom w:val="none" w:sz="0" w:space="0" w:color="auto"/>
                        <w:right w:val="none" w:sz="0" w:space="0" w:color="auto"/>
                      </w:divBdr>
                    </w:div>
                  </w:divsChild>
                </w:div>
                <w:div w:id="663049545">
                  <w:marLeft w:val="0"/>
                  <w:marRight w:val="0"/>
                  <w:marTop w:val="0"/>
                  <w:marBottom w:val="0"/>
                  <w:divBdr>
                    <w:top w:val="none" w:sz="0" w:space="0" w:color="auto"/>
                    <w:left w:val="none" w:sz="0" w:space="0" w:color="auto"/>
                    <w:bottom w:val="none" w:sz="0" w:space="0" w:color="auto"/>
                    <w:right w:val="none" w:sz="0" w:space="0" w:color="auto"/>
                  </w:divBdr>
                  <w:divsChild>
                    <w:div w:id="50270223">
                      <w:marLeft w:val="0"/>
                      <w:marRight w:val="0"/>
                      <w:marTop w:val="0"/>
                      <w:marBottom w:val="0"/>
                      <w:divBdr>
                        <w:top w:val="none" w:sz="0" w:space="0" w:color="auto"/>
                        <w:left w:val="none" w:sz="0" w:space="0" w:color="auto"/>
                        <w:bottom w:val="none" w:sz="0" w:space="0" w:color="auto"/>
                        <w:right w:val="none" w:sz="0" w:space="0" w:color="auto"/>
                      </w:divBdr>
                    </w:div>
                  </w:divsChild>
                </w:div>
                <w:div w:id="665786055">
                  <w:marLeft w:val="0"/>
                  <w:marRight w:val="0"/>
                  <w:marTop w:val="0"/>
                  <w:marBottom w:val="0"/>
                  <w:divBdr>
                    <w:top w:val="none" w:sz="0" w:space="0" w:color="auto"/>
                    <w:left w:val="none" w:sz="0" w:space="0" w:color="auto"/>
                    <w:bottom w:val="none" w:sz="0" w:space="0" w:color="auto"/>
                    <w:right w:val="none" w:sz="0" w:space="0" w:color="auto"/>
                  </w:divBdr>
                  <w:divsChild>
                    <w:div w:id="431315915">
                      <w:marLeft w:val="0"/>
                      <w:marRight w:val="0"/>
                      <w:marTop w:val="0"/>
                      <w:marBottom w:val="0"/>
                      <w:divBdr>
                        <w:top w:val="none" w:sz="0" w:space="0" w:color="auto"/>
                        <w:left w:val="none" w:sz="0" w:space="0" w:color="auto"/>
                        <w:bottom w:val="none" w:sz="0" w:space="0" w:color="auto"/>
                        <w:right w:val="none" w:sz="0" w:space="0" w:color="auto"/>
                      </w:divBdr>
                    </w:div>
                  </w:divsChild>
                </w:div>
                <w:div w:id="667447258">
                  <w:marLeft w:val="0"/>
                  <w:marRight w:val="0"/>
                  <w:marTop w:val="0"/>
                  <w:marBottom w:val="0"/>
                  <w:divBdr>
                    <w:top w:val="none" w:sz="0" w:space="0" w:color="auto"/>
                    <w:left w:val="none" w:sz="0" w:space="0" w:color="auto"/>
                    <w:bottom w:val="none" w:sz="0" w:space="0" w:color="auto"/>
                    <w:right w:val="none" w:sz="0" w:space="0" w:color="auto"/>
                  </w:divBdr>
                  <w:divsChild>
                    <w:div w:id="2032222233">
                      <w:marLeft w:val="0"/>
                      <w:marRight w:val="0"/>
                      <w:marTop w:val="0"/>
                      <w:marBottom w:val="0"/>
                      <w:divBdr>
                        <w:top w:val="none" w:sz="0" w:space="0" w:color="auto"/>
                        <w:left w:val="none" w:sz="0" w:space="0" w:color="auto"/>
                        <w:bottom w:val="none" w:sz="0" w:space="0" w:color="auto"/>
                        <w:right w:val="none" w:sz="0" w:space="0" w:color="auto"/>
                      </w:divBdr>
                    </w:div>
                  </w:divsChild>
                </w:div>
                <w:div w:id="674920504">
                  <w:marLeft w:val="0"/>
                  <w:marRight w:val="0"/>
                  <w:marTop w:val="0"/>
                  <w:marBottom w:val="0"/>
                  <w:divBdr>
                    <w:top w:val="none" w:sz="0" w:space="0" w:color="auto"/>
                    <w:left w:val="none" w:sz="0" w:space="0" w:color="auto"/>
                    <w:bottom w:val="none" w:sz="0" w:space="0" w:color="auto"/>
                    <w:right w:val="none" w:sz="0" w:space="0" w:color="auto"/>
                  </w:divBdr>
                  <w:divsChild>
                    <w:div w:id="438574123">
                      <w:marLeft w:val="0"/>
                      <w:marRight w:val="0"/>
                      <w:marTop w:val="0"/>
                      <w:marBottom w:val="0"/>
                      <w:divBdr>
                        <w:top w:val="none" w:sz="0" w:space="0" w:color="auto"/>
                        <w:left w:val="none" w:sz="0" w:space="0" w:color="auto"/>
                        <w:bottom w:val="none" w:sz="0" w:space="0" w:color="auto"/>
                        <w:right w:val="none" w:sz="0" w:space="0" w:color="auto"/>
                      </w:divBdr>
                    </w:div>
                  </w:divsChild>
                </w:div>
                <w:div w:id="675767567">
                  <w:marLeft w:val="0"/>
                  <w:marRight w:val="0"/>
                  <w:marTop w:val="0"/>
                  <w:marBottom w:val="0"/>
                  <w:divBdr>
                    <w:top w:val="none" w:sz="0" w:space="0" w:color="auto"/>
                    <w:left w:val="none" w:sz="0" w:space="0" w:color="auto"/>
                    <w:bottom w:val="none" w:sz="0" w:space="0" w:color="auto"/>
                    <w:right w:val="none" w:sz="0" w:space="0" w:color="auto"/>
                  </w:divBdr>
                  <w:divsChild>
                    <w:div w:id="1006515675">
                      <w:marLeft w:val="0"/>
                      <w:marRight w:val="0"/>
                      <w:marTop w:val="0"/>
                      <w:marBottom w:val="0"/>
                      <w:divBdr>
                        <w:top w:val="none" w:sz="0" w:space="0" w:color="auto"/>
                        <w:left w:val="none" w:sz="0" w:space="0" w:color="auto"/>
                        <w:bottom w:val="none" w:sz="0" w:space="0" w:color="auto"/>
                        <w:right w:val="none" w:sz="0" w:space="0" w:color="auto"/>
                      </w:divBdr>
                    </w:div>
                  </w:divsChild>
                </w:div>
                <w:div w:id="676927522">
                  <w:marLeft w:val="0"/>
                  <w:marRight w:val="0"/>
                  <w:marTop w:val="0"/>
                  <w:marBottom w:val="0"/>
                  <w:divBdr>
                    <w:top w:val="none" w:sz="0" w:space="0" w:color="auto"/>
                    <w:left w:val="none" w:sz="0" w:space="0" w:color="auto"/>
                    <w:bottom w:val="none" w:sz="0" w:space="0" w:color="auto"/>
                    <w:right w:val="none" w:sz="0" w:space="0" w:color="auto"/>
                  </w:divBdr>
                  <w:divsChild>
                    <w:div w:id="636759318">
                      <w:marLeft w:val="0"/>
                      <w:marRight w:val="0"/>
                      <w:marTop w:val="0"/>
                      <w:marBottom w:val="0"/>
                      <w:divBdr>
                        <w:top w:val="none" w:sz="0" w:space="0" w:color="auto"/>
                        <w:left w:val="none" w:sz="0" w:space="0" w:color="auto"/>
                        <w:bottom w:val="none" w:sz="0" w:space="0" w:color="auto"/>
                        <w:right w:val="none" w:sz="0" w:space="0" w:color="auto"/>
                      </w:divBdr>
                    </w:div>
                  </w:divsChild>
                </w:div>
                <w:div w:id="681515549">
                  <w:marLeft w:val="0"/>
                  <w:marRight w:val="0"/>
                  <w:marTop w:val="0"/>
                  <w:marBottom w:val="0"/>
                  <w:divBdr>
                    <w:top w:val="none" w:sz="0" w:space="0" w:color="auto"/>
                    <w:left w:val="none" w:sz="0" w:space="0" w:color="auto"/>
                    <w:bottom w:val="none" w:sz="0" w:space="0" w:color="auto"/>
                    <w:right w:val="none" w:sz="0" w:space="0" w:color="auto"/>
                  </w:divBdr>
                  <w:divsChild>
                    <w:div w:id="408233931">
                      <w:marLeft w:val="0"/>
                      <w:marRight w:val="0"/>
                      <w:marTop w:val="0"/>
                      <w:marBottom w:val="0"/>
                      <w:divBdr>
                        <w:top w:val="none" w:sz="0" w:space="0" w:color="auto"/>
                        <w:left w:val="none" w:sz="0" w:space="0" w:color="auto"/>
                        <w:bottom w:val="none" w:sz="0" w:space="0" w:color="auto"/>
                        <w:right w:val="none" w:sz="0" w:space="0" w:color="auto"/>
                      </w:divBdr>
                    </w:div>
                  </w:divsChild>
                </w:div>
                <w:div w:id="692221483">
                  <w:marLeft w:val="0"/>
                  <w:marRight w:val="0"/>
                  <w:marTop w:val="0"/>
                  <w:marBottom w:val="0"/>
                  <w:divBdr>
                    <w:top w:val="none" w:sz="0" w:space="0" w:color="auto"/>
                    <w:left w:val="none" w:sz="0" w:space="0" w:color="auto"/>
                    <w:bottom w:val="none" w:sz="0" w:space="0" w:color="auto"/>
                    <w:right w:val="none" w:sz="0" w:space="0" w:color="auto"/>
                  </w:divBdr>
                  <w:divsChild>
                    <w:div w:id="1046641634">
                      <w:marLeft w:val="0"/>
                      <w:marRight w:val="0"/>
                      <w:marTop w:val="0"/>
                      <w:marBottom w:val="0"/>
                      <w:divBdr>
                        <w:top w:val="none" w:sz="0" w:space="0" w:color="auto"/>
                        <w:left w:val="none" w:sz="0" w:space="0" w:color="auto"/>
                        <w:bottom w:val="none" w:sz="0" w:space="0" w:color="auto"/>
                        <w:right w:val="none" w:sz="0" w:space="0" w:color="auto"/>
                      </w:divBdr>
                    </w:div>
                  </w:divsChild>
                </w:div>
                <w:div w:id="693844714">
                  <w:marLeft w:val="0"/>
                  <w:marRight w:val="0"/>
                  <w:marTop w:val="0"/>
                  <w:marBottom w:val="0"/>
                  <w:divBdr>
                    <w:top w:val="none" w:sz="0" w:space="0" w:color="auto"/>
                    <w:left w:val="none" w:sz="0" w:space="0" w:color="auto"/>
                    <w:bottom w:val="none" w:sz="0" w:space="0" w:color="auto"/>
                    <w:right w:val="none" w:sz="0" w:space="0" w:color="auto"/>
                  </w:divBdr>
                  <w:divsChild>
                    <w:div w:id="1810199384">
                      <w:marLeft w:val="0"/>
                      <w:marRight w:val="0"/>
                      <w:marTop w:val="0"/>
                      <w:marBottom w:val="0"/>
                      <w:divBdr>
                        <w:top w:val="none" w:sz="0" w:space="0" w:color="auto"/>
                        <w:left w:val="none" w:sz="0" w:space="0" w:color="auto"/>
                        <w:bottom w:val="none" w:sz="0" w:space="0" w:color="auto"/>
                        <w:right w:val="none" w:sz="0" w:space="0" w:color="auto"/>
                      </w:divBdr>
                    </w:div>
                  </w:divsChild>
                </w:div>
                <w:div w:id="723333038">
                  <w:marLeft w:val="0"/>
                  <w:marRight w:val="0"/>
                  <w:marTop w:val="0"/>
                  <w:marBottom w:val="0"/>
                  <w:divBdr>
                    <w:top w:val="none" w:sz="0" w:space="0" w:color="auto"/>
                    <w:left w:val="none" w:sz="0" w:space="0" w:color="auto"/>
                    <w:bottom w:val="none" w:sz="0" w:space="0" w:color="auto"/>
                    <w:right w:val="none" w:sz="0" w:space="0" w:color="auto"/>
                  </w:divBdr>
                  <w:divsChild>
                    <w:div w:id="181630872">
                      <w:marLeft w:val="0"/>
                      <w:marRight w:val="0"/>
                      <w:marTop w:val="0"/>
                      <w:marBottom w:val="0"/>
                      <w:divBdr>
                        <w:top w:val="none" w:sz="0" w:space="0" w:color="auto"/>
                        <w:left w:val="none" w:sz="0" w:space="0" w:color="auto"/>
                        <w:bottom w:val="none" w:sz="0" w:space="0" w:color="auto"/>
                        <w:right w:val="none" w:sz="0" w:space="0" w:color="auto"/>
                      </w:divBdr>
                    </w:div>
                  </w:divsChild>
                </w:div>
                <w:div w:id="724063792">
                  <w:marLeft w:val="0"/>
                  <w:marRight w:val="0"/>
                  <w:marTop w:val="0"/>
                  <w:marBottom w:val="0"/>
                  <w:divBdr>
                    <w:top w:val="none" w:sz="0" w:space="0" w:color="auto"/>
                    <w:left w:val="none" w:sz="0" w:space="0" w:color="auto"/>
                    <w:bottom w:val="none" w:sz="0" w:space="0" w:color="auto"/>
                    <w:right w:val="none" w:sz="0" w:space="0" w:color="auto"/>
                  </w:divBdr>
                  <w:divsChild>
                    <w:div w:id="107705306">
                      <w:marLeft w:val="0"/>
                      <w:marRight w:val="0"/>
                      <w:marTop w:val="0"/>
                      <w:marBottom w:val="0"/>
                      <w:divBdr>
                        <w:top w:val="none" w:sz="0" w:space="0" w:color="auto"/>
                        <w:left w:val="none" w:sz="0" w:space="0" w:color="auto"/>
                        <w:bottom w:val="none" w:sz="0" w:space="0" w:color="auto"/>
                        <w:right w:val="none" w:sz="0" w:space="0" w:color="auto"/>
                      </w:divBdr>
                    </w:div>
                  </w:divsChild>
                </w:div>
                <w:div w:id="731269318">
                  <w:marLeft w:val="0"/>
                  <w:marRight w:val="0"/>
                  <w:marTop w:val="0"/>
                  <w:marBottom w:val="0"/>
                  <w:divBdr>
                    <w:top w:val="none" w:sz="0" w:space="0" w:color="auto"/>
                    <w:left w:val="none" w:sz="0" w:space="0" w:color="auto"/>
                    <w:bottom w:val="none" w:sz="0" w:space="0" w:color="auto"/>
                    <w:right w:val="none" w:sz="0" w:space="0" w:color="auto"/>
                  </w:divBdr>
                  <w:divsChild>
                    <w:div w:id="669523754">
                      <w:marLeft w:val="0"/>
                      <w:marRight w:val="0"/>
                      <w:marTop w:val="0"/>
                      <w:marBottom w:val="0"/>
                      <w:divBdr>
                        <w:top w:val="none" w:sz="0" w:space="0" w:color="auto"/>
                        <w:left w:val="none" w:sz="0" w:space="0" w:color="auto"/>
                        <w:bottom w:val="none" w:sz="0" w:space="0" w:color="auto"/>
                        <w:right w:val="none" w:sz="0" w:space="0" w:color="auto"/>
                      </w:divBdr>
                    </w:div>
                  </w:divsChild>
                </w:div>
                <w:div w:id="736050052">
                  <w:marLeft w:val="0"/>
                  <w:marRight w:val="0"/>
                  <w:marTop w:val="0"/>
                  <w:marBottom w:val="0"/>
                  <w:divBdr>
                    <w:top w:val="none" w:sz="0" w:space="0" w:color="auto"/>
                    <w:left w:val="none" w:sz="0" w:space="0" w:color="auto"/>
                    <w:bottom w:val="none" w:sz="0" w:space="0" w:color="auto"/>
                    <w:right w:val="none" w:sz="0" w:space="0" w:color="auto"/>
                  </w:divBdr>
                  <w:divsChild>
                    <w:div w:id="773940402">
                      <w:marLeft w:val="0"/>
                      <w:marRight w:val="0"/>
                      <w:marTop w:val="0"/>
                      <w:marBottom w:val="0"/>
                      <w:divBdr>
                        <w:top w:val="none" w:sz="0" w:space="0" w:color="auto"/>
                        <w:left w:val="none" w:sz="0" w:space="0" w:color="auto"/>
                        <w:bottom w:val="none" w:sz="0" w:space="0" w:color="auto"/>
                        <w:right w:val="none" w:sz="0" w:space="0" w:color="auto"/>
                      </w:divBdr>
                    </w:div>
                  </w:divsChild>
                </w:div>
                <w:div w:id="737169269">
                  <w:marLeft w:val="0"/>
                  <w:marRight w:val="0"/>
                  <w:marTop w:val="0"/>
                  <w:marBottom w:val="0"/>
                  <w:divBdr>
                    <w:top w:val="none" w:sz="0" w:space="0" w:color="auto"/>
                    <w:left w:val="none" w:sz="0" w:space="0" w:color="auto"/>
                    <w:bottom w:val="none" w:sz="0" w:space="0" w:color="auto"/>
                    <w:right w:val="none" w:sz="0" w:space="0" w:color="auto"/>
                  </w:divBdr>
                  <w:divsChild>
                    <w:div w:id="519661953">
                      <w:marLeft w:val="0"/>
                      <w:marRight w:val="0"/>
                      <w:marTop w:val="0"/>
                      <w:marBottom w:val="0"/>
                      <w:divBdr>
                        <w:top w:val="none" w:sz="0" w:space="0" w:color="auto"/>
                        <w:left w:val="none" w:sz="0" w:space="0" w:color="auto"/>
                        <w:bottom w:val="none" w:sz="0" w:space="0" w:color="auto"/>
                        <w:right w:val="none" w:sz="0" w:space="0" w:color="auto"/>
                      </w:divBdr>
                    </w:div>
                  </w:divsChild>
                </w:div>
                <w:div w:id="738747028">
                  <w:marLeft w:val="0"/>
                  <w:marRight w:val="0"/>
                  <w:marTop w:val="0"/>
                  <w:marBottom w:val="0"/>
                  <w:divBdr>
                    <w:top w:val="none" w:sz="0" w:space="0" w:color="auto"/>
                    <w:left w:val="none" w:sz="0" w:space="0" w:color="auto"/>
                    <w:bottom w:val="none" w:sz="0" w:space="0" w:color="auto"/>
                    <w:right w:val="none" w:sz="0" w:space="0" w:color="auto"/>
                  </w:divBdr>
                  <w:divsChild>
                    <w:div w:id="1590233847">
                      <w:marLeft w:val="0"/>
                      <w:marRight w:val="0"/>
                      <w:marTop w:val="0"/>
                      <w:marBottom w:val="0"/>
                      <w:divBdr>
                        <w:top w:val="none" w:sz="0" w:space="0" w:color="auto"/>
                        <w:left w:val="none" w:sz="0" w:space="0" w:color="auto"/>
                        <w:bottom w:val="none" w:sz="0" w:space="0" w:color="auto"/>
                        <w:right w:val="none" w:sz="0" w:space="0" w:color="auto"/>
                      </w:divBdr>
                    </w:div>
                  </w:divsChild>
                </w:div>
                <w:div w:id="741177263">
                  <w:marLeft w:val="0"/>
                  <w:marRight w:val="0"/>
                  <w:marTop w:val="0"/>
                  <w:marBottom w:val="0"/>
                  <w:divBdr>
                    <w:top w:val="none" w:sz="0" w:space="0" w:color="auto"/>
                    <w:left w:val="none" w:sz="0" w:space="0" w:color="auto"/>
                    <w:bottom w:val="none" w:sz="0" w:space="0" w:color="auto"/>
                    <w:right w:val="none" w:sz="0" w:space="0" w:color="auto"/>
                  </w:divBdr>
                  <w:divsChild>
                    <w:div w:id="651059415">
                      <w:marLeft w:val="0"/>
                      <w:marRight w:val="0"/>
                      <w:marTop w:val="0"/>
                      <w:marBottom w:val="0"/>
                      <w:divBdr>
                        <w:top w:val="none" w:sz="0" w:space="0" w:color="auto"/>
                        <w:left w:val="none" w:sz="0" w:space="0" w:color="auto"/>
                        <w:bottom w:val="none" w:sz="0" w:space="0" w:color="auto"/>
                        <w:right w:val="none" w:sz="0" w:space="0" w:color="auto"/>
                      </w:divBdr>
                    </w:div>
                  </w:divsChild>
                </w:div>
                <w:div w:id="741831072">
                  <w:marLeft w:val="0"/>
                  <w:marRight w:val="0"/>
                  <w:marTop w:val="0"/>
                  <w:marBottom w:val="0"/>
                  <w:divBdr>
                    <w:top w:val="none" w:sz="0" w:space="0" w:color="auto"/>
                    <w:left w:val="none" w:sz="0" w:space="0" w:color="auto"/>
                    <w:bottom w:val="none" w:sz="0" w:space="0" w:color="auto"/>
                    <w:right w:val="none" w:sz="0" w:space="0" w:color="auto"/>
                  </w:divBdr>
                  <w:divsChild>
                    <w:div w:id="1377508799">
                      <w:marLeft w:val="0"/>
                      <w:marRight w:val="0"/>
                      <w:marTop w:val="0"/>
                      <w:marBottom w:val="0"/>
                      <w:divBdr>
                        <w:top w:val="none" w:sz="0" w:space="0" w:color="auto"/>
                        <w:left w:val="none" w:sz="0" w:space="0" w:color="auto"/>
                        <w:bottom w:val="none" w:sz="0" w:space="0" w:color="auto"/>
                        <w:right w:val="none" w:sz="0" w:space="0" w:color="auto"/>
                      </w:divBdr>
                    </w:div>
                  </w:divsChild>
                </w:div>
                <w:div w:id="745735785">
                  <w:marLeft w:val="0"/>
                  <w:marRight w:val="0"/>
                  <w:marTop w:val="0"/>
                  <w:marBottom w:val="0"/>
                  <w:divBdr>
                    <w:top w:val="none" w:sz="0" w:space="0" w:color="auto"/>
                    <w:left w:val="none" w:sz="0" w:space="0" w:color="auto"/>
                    <w:bottom w:val="none" w:sz="0" w:space="0" w:color="auto"/>
                    <w:right w:val="none" w:sz="0" w:space="0" w:color="auto"/>
                  </w:divBdr>
                  <w:divsChild>
                    <w:div w:id="1098987742">
                      <w:marLeft w:val="0"/>
                      <w:marRight w:val="0"/>
                      <w:marTop w:val="0"/>
                      <w:marBottom w:val="0"/>
                      <w:divBdr>
                        <w:top w:val="none" w:sz="0" w:space="0" w:color="auto"/>
                        <w:left w:val="none" w:sz="0" w:space="0" w:color="auto"/>
                        <w:bottom w:val="none" w:sz="0" w:space="0" w:color="auto"/>
                        <w:right w:val="none" w:sz="0" w:space="0" w:color="auto"/>
                      </w:divBdr>
                    </w:div>
                  </w:divsChild>
                </w:div>
                <w:div w:id="749234150">
                  <w:marLeft w:val="0"/>
                  <w:marRight w:val="0"/>
                  <w:marTop w:val="0"/>
                  <w:marBottom w:val="0"/>
                  <w:divBdr>
                    <w:top w:val="none" w:sz="0" w:space="0" w:color="auto"/>
                    <w:left w:val="none" w:sz="0" w:space="0" w:color="auto"/>
                    <w:bottom w:val="none" w:sz="0" w:space="0" w:color="auto"/>
                    <w:right w:val="none" w:sz="0" w:space="0" w:color="auto"/>
                  </w:divBdr>
                  <w:divsChild>
                    <w:div w:id="1743407837">
                      <w:marLeft w:val="0"/>
                      <w:marRight w:val="0"/>
                      <w:marTop w:val="0"/>
                      <w:marBottom w:val="0"/>
                      <w:divBdr>
                        <w:top w:val="none" w:sz="0" w:space="0" w:color="auto"/>
                        <w:left w:val="none" w:sz="0" w:space="0" w:color="auto"/>
                        <w:bottom w:val="none" w:sz="0" w:space="0" w:color="auto"/>
                        <w:right w:val="none" w:sz="0" w:space="0" w:color="auto"/>
                      </w:divBdr>
                    </w:div>
                  </w:divsChild>
                </w:div>
                <w:div w:id="754013931">
                  <w:marLeft w:val="0"/>
                  <w:marRight w:val="0"/>
                  <w:marTop w:val="0"/>
                  <w:marBottom w:val="0"/>
                  <w:divBdr>
                    <w:top w:val="none" w:sz="0" w:space="0" w:color="auto"/>
                    <w:left w:val="none" w:sz="0" w:space="0" w:color="auto"/>
                    <w:bottom w:val="none" w:sz="0" w:space="0" w:color="auto"/>
                    <w:right w:val="none" w:sz="0" w:space="0" w:color="auto"/>
                  </w:divBdr>
                  <w:divsChild>
                    <w:div w:id="909076048">
                      <w:marLeft w:val="0"/>
                      <w:marRight w:val="0"/>
                      <w:marTop w:val="0"/>
                      <w:marBottom w:val="0"/>
                      <w:divBdr>
                        <w:top w:val="none" w:sz="0" w:space="0" w:color="auto"/>
                        <w:left w:val="none" w:sz="0" w:space="0" w:color="auto"/>
                        <w:bottom w:val="none" w:sz="0" w:space="0" w:color="auto"/>
                        <w:right w:val="none" w:sz="0" w:space="0" w:color="auto"/>
                      </w:divBdr>
                    </w:div>
                  </w:divsChild>
                </w:div>
                <w:div w:id="757483836">
                  <w:marLeft w:val="0"/>
                  <w:marRight w:val="0"/>
                  <w:marTop w:val="0"/>
                  <w:marBottom w:val="0"/>
                  <w:divBdr>
                    <w:top w:val="none" w:sz="0" w:space="0" w:color="auto"/>
                    <w:left w:val="none" w:sz="0" w:space="0" w:color="auto"/>
                    <w:bottom w:val="none" w:sz="0" w:space="0" w:color="auto"/>
                    <w:right w:val="none" w:sz="0" w:space="0" w:color="auto"/>
                  </w:divBdr>
                  <w:divsChild>
                    <w:div w:id="976111939">
                      <w:marLeft w:val="0"/>
                      <w:marRight w:val="0"/>
                      <w:marTop w:val="0"/>
                      <w:marBottom w:val="0"/>
                      <w:divBdr>
                        <w:top w:val="none" w:sz="0" w:space="0" w:color="auto"/>
                        <w:left w:val="none" w:sz="0" w:space="0" w:color="auto"/>
                        <w:bottom w:val="none" w:sz="0" w:space="0" w:color="auto"/>
                        <w:right w:val="none" w:sz="0" w:space="0" w:color="auto"/>
                      </w:divBdr>
                    </w:div>
                  </w:divsChild>
                </w:div>
                <w:div w:id="769660257">
                  <w:marLeft w:val="0"/>
                  <w:marRight w:val="0"/>
                  <w:marTop w:val="0"/>
                  <w:marBottom w:val="0"/>
                  <w:divBdr>
                    <w:top w:val="none" w:sz="0" w:space="0" w:color="auto"/>
                    <w:left w:val="none" w:sz="0" w:space="0" w:color="auto"/>
                    <w:bottom w:val="none" w:sz="0" w:space="0" w:color="auto"/>
                    <w:right w:val="none" w:sz="0" w:space="0" w:color="auto"/>
                  </w:divBdr>
                  <w:divsChild>
                    <w:div w:id="416825897">
                      <w:marLeft w:val="0"/>
                      <w:marRight w:val="0"/>
                      <w:marTop w:val="0"/>
                      <w:marBottom w:val="0"/>
                      <w:divBdr>
                        <w:top w:val="none" w:sz="0" w:space="0" w:color="auto"/>
                        <w:left w:val="none" w:sz="0" w:space="0" w:color="auto"/>
                        <w:bottom w:val="none" w:sz="0" w:space="0" w:color="auto"/>
                        <w:right w:val="none" w:sz="0" w:space="0" w:color="auto"/>
                      </w:divBdr>
                    </w:div>
                  </w:divsChild>
                </w:div>
                <w:div w:id="777334020">
                  <w:marLeft w:val="0"/>
                  <w:marRight w:val="0"/>
                  <w:marTop w:val="0"/>
                  <w:marBottom w:val="0"/>
                  <w:divBdr>
                    <w:top w:val="none" w:sz="0" w:space="0" w:color="auto"/>
                    <w:left w:val="none" w:sz="0" w:space="0" w:color="auto"/>
                    <w:bottom w:val="none" w:sz="0" w:space="0" w:color="auto"/>
                    <w:right w:val="none" w:sz="0" w:space="0" w:color="auto"/>
                  </w:divBdr>
                  <w:divsChild>
                    <w:div w:id="1407844583">
                      <w:marLeft w:val="0"/>
                      <w:marRight w:val="0"/>
                      <w:marTop w:val="0"/>
                      <w:marBottom w:val="0"/>
                      <w:divBdr>
                        <w:top w:val="none" w:sz="0" w:space="0" w:color="auto"/>
                        <w:left w:val="none" w:sz="0" w:space="0" w:color="auto"/>
                        <w:bottom w:val="none" w:sz="0" w:space="0" w:color="auto"/>
                        <w:right w:val="none" w:sz="0" w:space="0" w:color="auto"/>
                      </w:divBdr>
                    </w:div>
                  </w:divsChild>
                </w:div>
                <w:div w:id="782070024">
                  <w:marLeft w:val="0"/>
                  <w:marRight w:val="0"/>
                  <w:marTop w:val="0"/>
                  <w:marBottom w:val="0"/>
                  <w:divBdr>
                    <w:top w:val="none" w:sz="0" w:space="0" w:color="auto"/>
                    <w:left w:val="none" w:sz="0" w:space="0" w:color="auto"/>
                    <w:bottom w:val="none" w:sz="0" w:space="0" w:color="auto"/>
                    <w:right w:val="none" w:sz="0" w:space="0" w:color="auto"/>
                  </w:divBdr>
                  <w:divsChild>
                    <w:div w:id="1854033673">
                      <w:marLeft w:val="0"/>
                      <w:marRight w:val="0"/>
                      <w:marTop w:val="0"/>
                      <w:marBottom w:val="0"/>
                      <w:divBdr>
                        <w:top w:val="none" w:sz="0" w:space="0" w:color="auto"/>
                        <w:left w:val="none" w:sz="0" w:space="0" w:color="auto"/>
                        <w:bottom w:val="none" w:sz="0" w:space="0" w:color="auto"/>
                        <w:right w:val="none" w:sz="0" w:space="0" w:color="auto"/>
                      </w:divBdr>
                    </w:div>
                  </w:divsChild>
                </w:div>
                <w:div w:id="782456283">
                  <w:marLeft w:val="0"/>
                  <w:marRight w:val="0"/>
                  <w:marTop w:val="0"/>
                  <w:marBottom w:val="0"/>
                  <w:divBdr>
                    <w:top w:val="none" w:sz="0" w:space="0" w:color="auto"/>
                    <w:left w:val="none" w:sz="0" w:space="0" w:color="auto"/>
                    <w:bottom w:val="none" w:sz="0" w:space="0" w:color="auto"/>
                    <w:right w:val="none" w:sz="0" w:space="0" w:color="auto"/>
                  </w:divBdr>
                  <w:divsChild>
                    <w:div w:id="2121146401">
                      <w:marLeft w:val="0"/>
                      <w:marRight w:val="0"/>
                      <w:marTop w:val="0"/>
                      <w:marBottom w:val="0"/>
                      <w:divBdr>
                        <w:top w:val="none" w:sz="0" w:space="0" w:color="auto"/>
                        <w:left w:val="none" w:sz="0" w:space="0" w:color="auto"/>
                        <w:bottom w:val="none" w:sz="0" w:space="0" w:color="auto"/>
                        <w:right w:val="none" w:sz="0" w:space="0" w:color="auto"/>
                      </w:divBdr>
                    </w:div>
                  </w:divsChild>
                </w:div>
                <w:div w:id="783575473">
                  <w:marLeft w:val="0"/>
                  <w:marRight w:val="0"/>
                  <w:marTop w:val="0"/>
                  <w:marBottom w:val="0"/>
                  <w:divBdr>
                    <w:top w:val="none" w:sz="0" w:space="0" w:color="auto"/>
                    <w:left w:val="none" w:sz="0" w:space="0" w:color="auto"/>
                    <w:bottom w:val="none" w:sz="0" w:space="0" w:color="auto"/>
                    <w:right w:val="none" w:sz="0" w:space="0" w:color="auto"/>
                  </w:divBdr>
                  <w:divsChild>
                    <w:div w:id="614672955">
                      <w:marLeft w:val="0"/>
                      <w:marRight w:val="0"/>
                      <w:marTop w:val="0"/>
                      <w:marBottom w:val="0"/>
                      <w:divBdr>
                        <w:top w:val="none" w:sz="0" w:space="0" w:color="auto"/>
                        <w:left w:val="none" w:sz="0" w:space="0" w:color="auto"/>
                        <w:bottom w:val="none" w:sz="0" w:space="0" w:color="auto"/>
                        <w:right w:val="none" w:sz="0" w:space="0" w:color="auto"/>
                      </w:divBdr>
                    </w:div>
                  </w:divsChild>
                </w:div>
                <w:div w:id="783958541">
                  <w:marLeft w:val="0"/>
                  <w:marRight w:val="0"/>
                  <w:marTop w:val="0"/>
                  <w:marBottom w:val="0"/>
                  <w:divBdr>
                    <w:top w:val="none" w:sz="0" w:space="0" w:color="auto"/>
                    <w:left w:val="none" w:sz="0" w:space="0" w:color="auto"/>
                    <w:bottom w:val="none" w:sz="0" w:space="0" w:color="auto"/>
                    <w:right w:val="none" w:sz="0" w:space="0" w:color="auto"/>
                  </w:divBdr>
                  <w:divsChild>
                    <w:div w:id="371275501">
                      <w:marLeft w:val="0"/>
                      <w:marRight w:val="0"/>
                      <w:marTop w:val="0"/>
                      <w:marBottom w:val="0"/>
                      <w:divBdr>
                        <w:top w:val="none" w:sz="0" w:space="0" w:color="auto"/>
                        <w:left w:val="none" w:sz="0" w:space="0" w:color="auto"/>
                        <w:bottom w:val="none" w:sz="0" w:space="0" w:color="auto"/>
                        <w:right w:val="none" w:sz="0" w:space="0" w:color="auto"/>
                      </w:divBdr>
                    </w:div>
                  </w:divsChild>
                </w:div>
                <w:div w:id="784927680">
                  <w:marLeft w:val="0"/>
                  <w:marRight w:val="0"/>
                  <w:marTop w:val="0"/>
                  <w:marBottom w:val="0"/>
                  <w:divBdr>
                    <w:top w:val="none" w:sz="0" w:space="0" w:color="auto"/>
                    <w:left w:val="none" w:sz="0" w:space="0" w:color="auto"/>
                    <w:bottom w:val="none" w:sz="0" w:space="0" w:color="auto"/>
                    <w:right w:val="none" w:sz="0" w:space="0" w:color="auto"/>
                  </w:divBdr>
                  <w:divsChild>
                    <w:div w:id="716196443">
                      <w:marLeft w:val="0"/>
                      <w:marRight w:val="0"/>
                      <w:marTop w:val="0"/>
                      <w:marBottom w:val="0"/>
                      <w:divBdr>
                        <w:top w:val="none" w:sz="0" w:space="0" w:color="auto"/>
                        <w:left w:val="none" w:sz="0" w:space="0" w:color="auto"/>
                        <w:bottom w:val="none" w:sz="0" w:space="0" w:color="auto"/>
                        <w:right w:val="none" w:sz="0" w:space="0" w:color="auto"/>
                      </w:divBdr>
                    </w:div>
                  </w:divsChild>
                </w:div>
                <w:div w:id="794567543">
                  <w:marLeft w:val="0"/>
                  <w:marRight w:val="0"/>
                  <w:marTop w:val="0"/>
                  <w:marBottom w:val="0"/>
                  <w:divBdr>
                    <w:top w:val="none" w:sz="0" w:space="0" w:color="auto"/>
                    <w:left w:val="none" w:sz="0" w:space="0" w:color="auto"/>
                    <w:bottom w:val="none" w:sz="0" w:space="0" w:color="auto"/>
                    <w:right w:val="none" w:sz="0" w:space="0" w:color="auto"/>
                  </w:divBdr>
                  <w:divsChild>
                    <w:div w:id="1834761768">
                      <w:marLeft w:val="0"/>
                      <w:marRight w:val="0"/>
                      <w:marTop w:val="0"/>
                      <w:marBottom w:val="0"/>
                      <w:divBdr>
                        <w:top w:val="none" w:sz="0" w:space="0" w:color="auto"/>
                        <w:left w:val="none" w:sz="0" w:space="0" w:color="auto"/>
                        <w:bottom w:val="none" w:sz="0" w:space="0" w:color="auto"/>
                        <w:right w:val="none" w:sz="0" w:space="0" w:color="auto"/>
                      </w:divBdr>
                    </w:div>
                  </w:divsChild>
                </w:div>
                <w:div w:id="796610397">
                  <w:marLeft w:val="0"/>
                  <w:marRight w:val="0"/>
                  <w:marTop w:val="0"/>
                  <w:marBottom w:val="0"/>
                  <w:divBdr>
                    <w:top w:val="none" w:sz="0" w:space="0" w:color="auto"/>
                    <w:left w:val="none" w:sz="0" w:space="0" w:color="auto"/>
                    <w:bottom w:val="none" w:sz="0" w:space="0" w:color="auto"/>
                    <w:right w:val="none" w:sz="0" w:space="0" w:color="auto"/>
                  </w:divBdr>
                  <w:divsChild>
                    <w:div w:id="1646545249">
                      <w:marLeft w:val="0"/>
                      <w:marRight w:val="0"/>
                      <w:marTop w:val="0"/>
                      <w:marBottom w:val="0"/>
                      <w:divBdr>
                        <w:top w:val="none" w:sz="0" w:space="0" w:color="auto"/>
                        <w:left w:val="none" w:sz="0" w:space="0" w:color="auto"/>
                        <w:bottom w:val="none" w:sz="0" w:space="0" w:color="auto"/>
                        <w:right w:val="none" w:sz="0" w:space="0" w:color="auto"/>
                      </w:divBdr>
                    </w:div>
                  </w:divsChild>
                </w:div>
                <w:div w:id="809788986">
                  <w:marLeft w:val="0"/>
                  <w:marRight w:val="0"/>
                  <w:marTop w:val="0"/>
                  <w:marBottom w:val="0"/>
                  <w:divBdr>
                    <w:top w:val="none" w:sz="0" w:space="0" w:color="auto"/>
                    <w:left w:val="none" w:sz="0" w:space="0" w:color="auto"/>
                    <w:bottom w:val="none" w:sz="0" w:space="0" w:color="auto"/>
                    <w:right w:val="none" w:sz="0" w:space="0" w:color="auto"/>
                  </w:divBdr>
                  <w:divsChild>
                    <w:div w:id="2093042151">
                      <w:marLeft w:val="0"/>
                      <w:marRight w:val="0"/>
                      <w:marTop w:val="0"/>
                      <w:marBottom w:val="0"/>
                      <w:divBdr>
                        <w:top w:val="none" w:sz="0" w:space="0" w:color="auto"/>
                        <w:left w:val="none" w:sz="0" w:space="0" w:color="auto"/>
                        <w:bottom w:val="none" w:sz="0" w:space="0" w:color="auto"/>
                        <w:right w:val="none" w:sz="0" w:space="0" w:color="auto"/>
                      </w:divBdr>
                    </w:div>
                  </w:divsChild>
                </w:div>
                <w:div w:id="812869644">
                  <w:marLeft w:val="0"/>
                  <w:marRight w:val="0"/>
                  <w:marTop w:val="0"/>
                  <w:marBottom w:val="0"/>
                  <w:divBdr>
                    <w:top w:val="none" w:sz="0" w:space="0" w:color="auto"/>
                    <w:left w:val="none" w:sz="0" w:space="0" w:color="auto"/>
                    <w:bottom w:val="none" w:sz="0" w:space="0" w:color="auto"/>
                    <w:right w:val="none" w:sz="0" w:space="0" w:color="auto"/>
                  </w:divBdr>
                  <w:divsChild>
                    <w:div w:id="998729076">
                      <w:marLeft w:val="0"/>
                      <w:marRight w:val="0"/>
                      <w:marTop w:val="0"/>
                      <w:marBottom w:val="0"/>
                      <w:divBdr>
                        <w:top w:val="none" w:sz="0" w:space="0" w:color="auto"/>
                        <w:left w:val="none" w:sz="0" w:space="0" w:color="auto"/>
                        <w:bottom w:val="none" w:sz="0" w:space="0" w:color="auto"/>
                        <w:right w:val="none" w:sz="0" w:space="0" w:color="auto"/>
                      </w:divBdr>
                    </w:div>
                  </w:divsChild>
                </w:div>
                <w:div w:id="813253610">
                  <w:marLeft w:val="0"/>
                  <w:marRight w:val="0"/>
                  <w:marTop w:val="0"/>
                  <w:marBottom w:val="0"/>
                  <w:divBdr>
                    <w:top w:val="none" w:sz="0" w:space="0" w:color="auto"/>
                    <w:left w:val="none" w:sz="0" w:space="0" w:color="auto"/>
                    <w:bottom w:val="none" w:sz="0" w:space="0" w:color="auto"/>
                    <w:right w:val="none" w:sz="0" w:space="0" w:color="auto"/>
                  </w:divBdr>
                  <w:divsChild>
                    <w:div w:id="1818181918">
                      <w:marLeft w:val="0"/>
                      <w:marRight w:val="0"/>
                      <w:marTop w:val="0"/>
                      <w:marBottom w:val="0"/>
                      <w:divBdr>
                        <w:top w:val="none" w:sz="0" w:space="0" w:color="auto"/>
                        <w:left w:val="none" w:sz="0" w:space="0" w:color="auto"/>
                        <w:bottom w:val="none" w:sz="0" w:space="0" w:color="auto"/>
                        <w:right w:val="none" w:sz="0" w:space="0" w:color="auto"/>
                      </w:divBdr>
                    </w:div>
                  </w:divsChild>
                </w:div>
                <w:div w:id="816259269">
                  <w:marLeft w:val="0"/>
                  <w:marRight w:val="0"/>
                  <w:marTop w:val="0"/>
                  <w:marBottom w:val="0"/>
                  <w:divBdr>
                    <w:top w:val="none" w:sz="0" w:space="0" w:color="auto"/>
                    <w:left w:val="none" w:sz="0" w:space="0" w:color="auto"/>
                    <w:bottom w:val="none" w:sz="0" w:space="0" w:color="auto"/>
                    <w:right w:val="none" w:sz="0" w:space="0" w:color="auto"/>
                  </w:divBdr>
                  <w:divsChild>
                    <w:div w:id="1336417924">
                      <w:marLeft w:val="0"/>
                      <w:marRight w:val="0"/>
                      <w:marTop w:val="0"/>
                      <w:marBottom w:val="0"/>
                      <w:divBdr>
                        <w:top w:val="none" w:sz="0" w:space="0" w:color="auto"/>
                        <w:left w:val="none" w:sz="0" w:space="0" w:color="auto"/>
                        <w:bottom w:val="none" w:sz="0" w:space="0" w:color="auto"/>
                        <w:right w:val="none" w:sz="0" w:space="0" w:color="auto"/>
                      </w:divBdr>
                    </w:div>
                  </w:divsChild>
                </w:div>
                <w:div w:id="838615171">
                  <w:marLeft w:val="0"/>
                  <w:marRight w:val="0"/>
                  <w:marTop w:val="0"/>
                  <w:marBottom w:val="0"/>
                  <w:divBdr>
                    <w:top w:val="none" w:sz="0" w:space="0" w:color="auto"/>
                    <w:left w:val="none" w:sz="0" w:space="0" w:color="auto"/>
                    <w:bottom w:val="none" w:sz="0" w:space="0" w:color="auto"/>
                    <w:right w:val="none" w:sz="0" w:space="0" w:color="auto"/>
                  </w:divBdr>
                  <w:divsChild>
                    <w:div w:id="1650934837">
                      <w:marLeft w:val="0"/>
                      <w:marRight w:val="0"/>
                      <w:marTop w:val="0"/>
                      <w:marBottom w:val="0"/>
                      <w:divBdr>
                        <w:top w:val="none" w:sz="0" w:space="0" w:color="auto"/>
                        <w:left w:val="none" w:sz="0" w:space="0" w:color="auto"/>
                        <w:bottom w:val="none" w:sz="0" w:space="0" w:color="auto"/>
                        <w:right w:val="none" w:sz="0" w:space="0" w:color="auto"/>
                      </w:divBdr>
                    </w:div>
                  </w:divsChild>
                </w:div>
                <w:div w:id="843667610">
                  <w:marLeft w:val="0"/>
                  <w:marRight w:val="0"/>
                  <w:marTop w:val="0"/>
                  <w:marBottom w:val="0"/>
                  <w:divBdr>
                    <w:top w:val="none" w:sz="0" w:space="0" w:color="auto"/>
                    <w:left w:val="none" w:sz="0" w:space="0" w:color="auto"/>
                    <w:bottom w:val="none" w:sz="0" w:space="0" w:color="auto"/>
                    <w:right w:val="none" w:sz="0" w:space="0" w:color="auto"/>
                  </w:divBdr>
                  <w:divsChild>
                    <w:div w:id="1479686409">
                      <w:marLeft w:val="0"/>
                      <w:marRight w:val="0"/>
                      <w:marTop w:val="0"/>
                      <w:marBottom w:val="0"/>
                      <w:divBdr>
                        <w:top w:val="none" w:sz="0" w:space="0" w:color="auto"/>
                        <w:left w:val="none" w:sz="0" w:space="0" w:color="auto"/>
                        <w:bottom w:val="none" w:sz="0" w:space="0" w:color="auto"/>
                        <w:right w:val="none" w:sz="0" w:space="0" w:color="auto"/>
                      </w:divBdr>
                    </w:div>
                  </w:divsChild>
                </w:div>
                <w:div w:id="843783050">
                  <w:marLeft w:val="0"/>
                  <w:marRight w:val="0"/>
                  <w:marTop w:val="0"/>
                  <w:marBottom w:val="0"/>
                  <w:divBdr>
                    <w:top w:val="none" w:sz="0" w:space="0" w:color="auto"/>
                    <w:left w:val="none" w:sz="0" w:space="0" w:color="auto"/>
                    <w:bottom w:val="none" w:sz="0" w:space="0" w:color="auto"/>
                    <w:right w:val="none" w:sz="0" w:space="0" w:color="auto"/>
                  </w:divBdr>
                  <w:divsChild>
                    <w:div w:id="555091182">
                      <w:marLeft w:val="0"/>
                      <w:marRight w:val="0"/>
                      <w:marTop w:val="0"/>
                      <w:marBottom w:val="0"/>
                      <w:divBdr>
                        <w:top w:val="none" w:sz="0" w:space="0" w:color="auto"/>
                        <w:left w:val="none" w:sz="0" w:space="0" w:color="auto"/>
                        <w:bottom w:val="none" w:sz="0" w:space="0" w:color="auto"/>
                        <w:right w:val="none" w:sz="0" w:space="0" w:color="auto"/>
                      </w:divBdr>
                    </w:div>
                  </w:divsChild>
                </w:div>
                <w:div w:id="847064213">
                  <w:marLeft w:val="0"/>
                  <w:marRight w:val="0"/>
                  <w:marTop w:val="0"/>
                  <w:marBottom w:val="0"/>
                  <w:divBdr>
                    <w:top w:val="none" w:sz="0" w:space="0" w:color="auto"/>
                    <w:left w:val="none" w:sz="0" w:space="0" w:color="auto"/>
                    <w:bottom w:val="none" w:sz="0" w:space="0" w:color="auto"/>
                    <w:right w:val="none" w:sz="0" w:space="0" w:color="auto"/>
                  </w:divBdr>
                  <w:divsChild>
                    <w:div w:id="51858235">
                      <w:marLeft w:val="0"/>
                      <w:marRight w:val="0"/>
                      <w:marTop w:val="0"/>
                      <w:marBottom w:val="0"/>
                      <w:divBdr>
                        <w:top w:val="none" w:sz="0" w:space="0" w:color="auto"/>
                        <w:left w:val="none" w:sz="0" w:space="0" w:color="auto"/>
                        <w:bottom w:val="none" w:sz="0" w:space="0" w:color="auto"/>
                        <w:right w:val="none" w:sz="0" w:space="0" w:color="auto"/>
                      </w:divBdr>
                    </w:div>
                  </w:divsChild>
                </w:div>
                <w:div w:id="861473481">
                  <w:marLeft w:val="0"/>
                  <w:marRight w:val="0"/>
                  <w:marTop w:val="0"/>
                  <w:marBottom w:val="0"/>
                  <w:divBdr>
                    <w:top w:val="none" w:sz="0" w:space="0" w:color="auto"/>
                    <w:left w:val="none" w:sz="0" w:space="0" w:color="auto"/>
                    <w:bottom w:val="none" w:sz="0" w:space="0" w:color="auto"/>
                    <w:right w:val="none" w:sz="0" w:space="0" w:color="auto"/>
                  </w:divBdr>
                  <w:divsChild>
                    <w:div w:id="810055936">
                      <w:marLeft w:val="0"/>
                      <w:marRight w:val="0"/>
                      <w:marTop w:val="0"/>
                      <w:marBottom w:val="0"/>
                      <w:divBdr>
                        <w:top w:val="none" w:sz="0" w:space="0" w:color="auto"/>
                        <w:left w:val="none" w:sz="0" w:space="0" w:color="auto"/>
                        <w:bottom w:val="none" w:sz="0" w:space="0" w:color="auto"/>
                        <w:right w:val="none" w:sz="0" w:space="0" w:color="auto"/>
                      </w:divBdr>
                    </w:div>
                  </w:divsChild>
                </w:div>
                <w:div w:id="871188355">
                  <w:marLeft w:val="0"/>
                  <w:marRight w:val="0"/>
                  <w:marTop w:val="0"/>
                  <w:marBottom w:val="0"/>
                  <w:divBdr>
                    <w:top w:val="none" w:sz="0" w:space="0" w:color="auto"/>
                    <w:left w:val="none" w:sz="0" w:space="0" w:color="auto"/>
                    <w:bottom w:val="none" w:sz="0" w:space="0" w:color="auto"/>
                    <w:right w:val="none" w:sz="0" w:space="0" w:color="auto"/>
                  </w:divBdr>
                  <w:divsChild>
                    <w:div w:id="2107535896">
                      <w:marLeft w:val="0"/>
                      <w:marRight w:val="0"/>
                      <w:marTop w:val="0"/>
                      <w:marBottom w:val="0"/>
                      <w:divBdr>
                        <w:top w:val="none" w:sz="0" w:space="0" w:color="auto"/>
                        <w:left w:val="none" w:sz="0" w:space="0" w:color="auto"/>
                        <w:bottom w:val="none" w:sz="0" w:space="0" w:color="auto"/>
                        <w:right w:val="none" w:sz="0" w:space="0" w:color="auto"/>
                      </w:divBdr>
                    </w:div>
                  </w:divsChild>
                </w:div>
                <w:div w:id="871921878">
                  <w:marLeft w:val="0"/>
                  <w:marRight w:val="0"/>
                  <w:marTop w:val="0"/>
                  <w:marBottom w:val="0"/>
                  <w:divBdr>
                    <w:top w:val="none" w:sz="0" w:space="0" w:color="auto"/>
                    <w:left w:val="none" w:sz="0" w:space="0" w:color="auto"/>
                    <w:bottom w:val="none" w:sz="0" w:space="0" w:color="auto"/>
                    <w:right w:val="none" w:sz="0" w:space="0" w:color="auto"/>
                  </w:divBdr>
                  <w:divsChild>
                    <w:div w:id="1120880600">
                      <w:marLeft w:val="0"/>
                      <w:marRight w:val="0"/>
                      <w:marTop w:val="0"/>
                      <w:marBottom w:val="0"/>
                      <w:divBdr>
                        <w:top w:val="none" w:sz="0" w:space="0" w:color="auto"/>
                        <w:left w:val="none" w:sz="0" w:space="0" w:color="auto"/>
                        <w:bottom w:val="none" w:sz="0" w:space="0" w:color="auto"/>
                        <w:right w:val="none" w:sz="0" w:space="0" w:color="auto"/>
                      </w:divBdr>
                    </w:div>
                  </w:divsChild>
                </w:div>
                <w:div w:id="882329421">
                  <w:marLeft w:val="0"/>
                  <w:marRight w:val="0"/>
                  <w:marTop w:val="0"/>
                  <w:marBottom w:val="0"/>
                  <w:divBdr>
                    <w:top w:val="none" w:sz="0" w:space="0" w:color="auto"/>
                    <w:left w:val="none" w:sz="0" w:space="0" w:color="auto"/>
                    <w:bottom w:val="none" w:sz="0" w:space="0" w:color="auto"/>
                    <w:right w:val="none" w:sz="0" w:space="0" w:color="auto"/>
                  </w:divBdr>
                  <w:divsChild>
                    <w:div w:id="632716918">
                      <w:marLeft w:val="0"/>
                      <w:marRight w:val="0"/>
                      <w:marTop w:val="0"/>
                      <w:marBottom w:val="0"/>
                      <w:divBdr>
                        <w:top w:val="none" w:sz="0" w:space="0" w:color="auto"/>
                        <w:left w:val="none" w:sz="0" w:space="0" w:color="auto"/>
                        <w:bottom w:val="none" w:sz="0" w:space="0" w:color="auto"/>
                        <w:right w:val="none" w:sz="0" w:space="0" w:color="auto"/>
                      </w:divBdr>
                    </w:div>
                  </w:divsChild>
                </w:div>
                <w:div w:id="893008794">
                  <w:marLeft w:val="0"/>
                  <w:marRight w:val="0"/>
                  <w:marTop w:val="0"/>
                  <w:marBottom w:val="0"/>
                  <w:divBdr>
                    <w:top w:val="none" w:sz="0" w:space="0" w:color="auto"/>
                    <w:left w:val="none" w:sz="0" w:space="0" w:color="auto"/>
                    <w:bottom w:val="none" w:sz="0" w:space="0" w:color="auto"/>
                    <w:right w:val="none" w:sz="0" w:space="0" w:color="auto"/>
                  </w:divBdr>
                  <w:divsChild>
                    <w:div w:id="1190874749">
                      <w:marLeft w:val="0"/>
                      <w:marRight w:val="0"/>
                      <w:marTop w:val="0"/>
                      <w:marBottom w:val="0"/>
                      <w:divBdr>
                        <w:top w:val="none" w:sz="0" w:space="0" w:color="auto"/>
                        <w:left w:val="none" w:sz="0" w:space="0" w:color="auto"/>
                        <w:bottom w:val="none" w:sz="0" w:space="0" w:color="auto"/>
                        <w:right w:val="none" w:sz="0" w:space="0" w:color="auto"/>
                      </w:divBdr>
                    </w:div>
                  </w:divsChild>
                </w:div>
                <w:div w:id="899444416">
                  <w:marLeft w:val="0"/>
                  <w:marRight w:val="0"/>
                  <w:marTop w:val="0"/>
                  <w:marBottom w:val="0"/>
                  <w:divBdr>
                    <w:top w:val="none" w:sz="0" w:space="0" w:color="auto"/>
                    <w:left w:val="none" w:sz="0" w:space="0" w:color="auto"/>
                    <w:bottom w:val="none" w:sz="0" w:space="0" w:color="auto"/>
                    <w:right w:val="none" w:sz="0" w:space="0" w:color="auto"/>
                  </w:divBdr>
                  <w:divsChild>
                    <w:div w:id="1881891818">
                      <w:marLeft w:val="0"/>
                      <w:marRight w:val="0"/>
                      <w:marTop w:val="0"/>
                      <w:marBottom w:val="0"/>
                      <w:divBdr>
                        <w:top w:val="none" w:sz="0" w:space="0" w:color="auto"/>
                        <w:left w:val="none" w:sz="0" w:space="0" w:color="auto"/>
                        <w:bottom w:val="none" w:sz="0" w:space="0" w:color="auto"/>
                        <w:right w:val="none" w:sz="0" w:space="0" w:color="auto"/>
                      </w:divBdr>
                    </w:div>
                  </w:divsChild>
                </w:div>
                <w:div w:id="900478374">
                  <w:marLeft w:val="0"/>
                  <w:marRight w:val="0"/>
                  <w:marTop w:val="0"/>
                  <w:marBottom w:val="0"/>
                  <w:divBdr>
                    <w:top w:val="none" w:sz="0" w:space="0" w:color="auto"/>
                    <w:left w:val="none" w:sz="0" w:space="0" w:color="auto"/>
                    <w:bottom w:val="none" w:sz="0" w:space="0" w:color="auto"/>
                    <w:right w:val="none" w:sz="0" w:space="0" w:color="auto"/>
                  </w:divBdr>
                  <w:divsChild>
                    <w:div w:id="335886882">
                      <w:marLeft w:val="0"/>
                      <w:marRight w:val="0"/>
                      <w:marTop w:val="0"/>
                      <w:marBottom w:val="0"/>
                      <w:divBdr>
                        <w:top w:val="none" w:sz="0" w:space="0" w:color="auto"/>
                        <w:left w:val="none" w:sz="0" w:space="0" w:color="auto"/>
                        <w:bottom w:val="none" w:sz="0" w:space="0" w:color="auto"/>
                        <w:right w:val="none" w:sz="0" w:space="0" w:color="auto"/>
                      </w:divBdr>
                    </w:div>
                  </w:divsChild>
                </w:div>
                <w:div w:id="901213869">
                  <w:marLeft w:val="0"/>
                  <w:marRight w:val="0"/>
                  <w:marTop w:val="0"/>
                  <w:marBottom w:val="0"/>
                  <w:divBdr>
                    <w:top w:val="none" w:sz="0" w:space="0" w:color="auto"/>
                    <w:left w:val="none" w:sz="0" w:space="0" w:color="auto"/>
                    <w:bottom w:val="none" w:sz="0" w:space="0" w:color="auto"/>
                    <w:right w:val="none" w:sz="0" w:space="0" w:color="auto"/>
                  </w:divBdr>
                  <w:divsChild>
                    <w:div w:id="66651581">
                      <w:marLeft w:val="0"/>
                      <w:marRight w:val="0"/>
                      <w:marTop w:val="0"/>
                      <w:marBottom w:val="0"/>
                      <w:divBdr>
                        <w:top w:val="none" w:sz="0" w:space="0" w:color="auto"/>
                        <w:left w:val="none" w:sz="0" w:space="0" w:color="auto"/>
                        <w:bottom w:val="none" w:sz="0" w:space="0" w:color="auto"/>
                        <w:right w:val="none" w:sz="0" w:space="0" w:color="auto"/>
                      </w:divBdr>
                    </w:div>
                  </w:divsChild>
                </w:div>
                <w:div w:id="901795598">
                  <w:marLeft w:val="0"/>
                  <w:marRight w:val="0"/>
                  <w:marTop w:val="0"/>
                  <w:marBottom w:val="0"/>
                  <w:divBdr>
                    <w:top w:val="none" w:sz="0" w:space="0" w:color="auto"/>
                    <w:left w:val="none" w:sz="0" w:space="0" w:color="auto"/>
                    <w:bottom w:val="none" w:sz="0" w:space="0" w:color="auto"/>
                    <w:right w:val="none" w:sz="0" w:space="0" w:color="auto"/>
                  </w:divBdr>
                  <w:divsChild>
                    <w:div w:id="1805806364">
                      <w:marLeft w:val="0"/>
                      <w:marRight w:val="0"/>
                      <w:marTop w:val="0"/>
                      <w:marBottom w:val="0"/>
                      <w:divBdr>
                        <w:top w:val="none" w:sz="0" w:space="0" w:color="auto"/>
                        <w:left w:val="none" w:sz="0" w:space="0" w:color="auto"/>
                        <w:bottom w:val="none" w:sz="0" w:space="0" w:color="auto"/>
                        <w:right w:val="none" w:sz="0" w:space="0" w:color="auto"/>
                      </w:divBdr>
                    </w:div>
                  </w:divsChild>
                </w:div>
                <w:div w:id="907811659">
                  <w:marLeft w:val="0"/>
                  <w:marRight w:val="0"/>
                  <w:marTop w:val="0"/>
                  <w:marBottom w:val="0"/>
                  <w:divBdr>
                    <w:top w:val="none" w:sz="0" w:space="0" w:color="auto"/>
                    <w:left w:val="none" w:sz="0" w:space="0" w:color="auto"/>
                    <w:bottom w:val="none" w:sz="0" w:space="0" w:color="auto"/>
                    <w:right w:val="none" w:sz="0" w:space="0" w:color="auto"/>
                  </w:divBdr>
                  <w:divsChild>
                    <w:div w:id="1676960579">
                      <w:marLeft w:val="0"/>
                      <w:marRight w:val="0"/>
                      <w:marTop w:val="0"/>
                      <w:marBottom w:val="0"/>
                      <w:divBdr>
                        <w:top w:val="none" w:sz="0" w:space="0" w:color="auto"/>
                        <w:left w:val="none" w:sz="0" w:space="0" w:color="auto"/>
                        <w:bottom w:val="none" w:sz="0" w:space="0" w:color="auto"/>
                        <w:right w:val="none" w:sz="0" w:space="0" w:color="auto"/>
                      </w:divBdr>
                    </w:div>
                  </w:divsChild>
                </w:div>
                <w:div w:id="908727686">
                  <w:marLeft w:val="0"/>
                  <w:marRight w:val="0"/>
                  <w:marTop w:val="0"/>
                  <w:marBottom w:val="0"/>
                  <w:divBdr>
                    <w:top w:val="none" w:sz="0" w:space="0" w:color="auto"/>
                    <w:left w:val="none" w:sz="0" w:space="0" w:color="auto"/>
                    <w:bottom w:val="none" w:sz="0" w:space="0" w:color="auto"/>
                    <w:right w:val="none" w:sz="0" w:space="0" w:color="auto"/>
                  </w:divBdr>
                  <w:divsChild>
                    <w:div w:id="1205679092">
                      <w:marLeft w:val="0"/>
                      <w:marRight w:val="0"/>
                      <w:marTop w:val="0"/>
                      <w:marBottom w:val="0"/>
                      <w:divBdr>
                        <w:top w:val="none" w:sz="0" w:space="0" w:color="auto"/>
                        <w:left w:val="none" w:sz="0" w:space="0" w:color="auto"/>
                        <w:bottom w:val="none" w:sz="0" w:space="0" w:color="auto"/>
                        <w:right w:val="none" w:sz="0" w:space="0" w:color="auto"/>
                      </w:divBdr>
                    </w:div>
                  </w:divsChild>
                </w:div>
                <w:div w:id="919410287">
                  <w:marLeft w:val="0"/>
                  <w:marRight w:val="0"/>
                  <w:marTop w:val="0"/>
                  <w:marBottom w:val="0"/>
                  <w:divBdr>
                    <w:top w:val="none" w:sz="0" w:space="0" w:color="auto"/>
                    <w:left w:val="none" w:sz="0" w:space="0" w:color="auto"/>
                    <w:bottom w:val="none" w:sz="0" w:space="0" w:color="auto"/>
                    <w:right w:val="none" w:sz="0" w:space="0" w:color="auto"/>
                  </w:divBdr>
                  <w:divsChild>
                    <w:div w:id="830103847">
                      <w:marLeft w:val="0"/>
                      <w:marRight w:val="0"/>
                      <w:marTop w:val="0"/>
                      <w:marBottom w:val="0"/>
                      <w:divBdr>
                        <w:top w:val="none" w:sz="0" w:space="0" w:color="auto"/>
                        <w:left w:val="none" w:sz="0" w:space="0" w:color="auto"/>
                        <w:bottom w:val="none" w:sz="0" w:space="0" w:color="auto"/>
                        <w:right w:val="none" w:sz="0" w:space="0" w:color="auto"/>
                      </w:divBdr>
                    </w:div>
                  </w:divsChild>
                </w:div>
                <w:div w:id="921838157">
                  <w:marLeft w:val="0"/>
                  <w:marRight w:val="0"/>
                  <w:marTop w:val="0"/>
                  <w:marBottom w:val="0"/>
                  <w:divBdr>
                    <w:top w:val="none" w:sz="0" w:space="0" w:color="auto"/>
                    <w:left w:val="none" w:sz="0" w:space="0" w:color="auto"/>
                    <w:bottom w:val="none" w:sz="0" w:space="0" w:color="auto"/>
                    <w:right w:val="none" w:sz="0" w:space="0" w:color="auto"/>
                  </w:divBdr>
                  <w:divsChild>
                    <w:div w:id="1827167850">
                      <w:marLeft w:val="0"/>
                      <w:marRight w:val="0"/>
                      <w:marTop w:val="0"/>
                      <w:marBottom w:val="0"/>
                      <w:divBdr>
                        <w:top w:val="none" w:sz="0" w:space="0" w:color="auto"/>
                        <w:left w:val="none" w:sz="0" w:space="0" w:color="auto"/>
                        <w:bottom w:val="none" w:sz="0" w:space="0" w:color="auto"/>
                        <w:right w:val="none" w:sz="0" w:space="0" w:color="auto"/>
                      </w:divBdr>
                    </w:div>
                  </w:divsChild>
                </w:div>
                <w:div w:id="928931222">
                  <w:marLeft w:val="0"/>
                  <w:marRight w:val="0"/>
                  <w:marTop w:val="0"/>
                  <w:marBottom w:val="0"/>
                  <w:divBdr>
                    <w:top w:val="none" w:sz="0" w:space="0" w:color="auto"/>
                    <w:left w:val="none" w:sz="0" w:space="0" w:color="auto"/>
                    <w:bottom w:val="none" w:sz="0" w:space="0" w:color="auto"/>
                    <w:right w:val="none" w:sz="0" w:space="0" w:color="auto"/>
                  </w:divBdr>
                  <w:divsChild>
                    <w:div w:id="117072270">
                      <w:marLeft w:val="0"/>
                      <w:marRight w:val="0"/>
                      <w:marTop w:val="0"/>
                      <w:marBottom w:val="0"/>
                      <w:divBdr>
                        <w:top w:val="none" w:sz="0" w:space="0" w:color="auto"/>
                        <w:left w:val="none" w:sz="0" w:space="0" w:color="auto"/>
                        <w:bottom w:val="none" w:sz="0" w:space="0" w:color="auto"/>
                        <w:right w:val="none" w:sz="0" w:space="0" w:color="auto"/>
                      </w:divBdr>
                    </w:div>
                  </w:divsChild>
                </w:div>
                <w:div w:id="936982593">
                  <w:marLeft w:val="0"/>
                  <w:marRight w:val="0"/>
                  <w:marTop w:val="0"/>
                  <w:marBottom w:val="0"/>
                  <w:divBdr>
                    <w:top w:val="none" w:sz="0" w:space="0" w:color="auto"/>
                    <w:left w:val="none" w:sz="0" w:space="0" w:color="auto"/>
                    <w:bottom w:val="none" w:sz="0" w:space="0" w:color="auto"/>
                    <w:right w:val="none" w:sz="0" w:space="0" w:color="auto"/>
                  </w:divBdr>
                  <w:divsChild>
                    <w:div w:id="2006547259">
                      <w:marLeft w:val="0"/>
                      <w:marRight w:val="0"/>
                      <w:marTop w:val="0"/>
                      <w:marBottom w:val="0"/>
                      <w:divBdr>
                        <w:top w:val="none" w:sz="0" w:space="0" w:color="auto"/>
                        <w:left w:val="none" w:sz="0" w:space="0" w:color="auto"/>
                        <w:bottom w:val="none" w:sz="0" w:space="0" w:color="auto"/>
                        <w:right w:val="none" w:sz="0" w:space="0" w:color="auto"/>
                      </w:divBdr>
                    </w:div>
                  </w:divsChild>
                </w:div>
                <w:div w:id="941112392">
                  <w:marLeft w:val="0"/>
                  <w:marRight w:val="0"/>
                  <w:marTop w:val="0"/>
                  <w:marBottom w:val="0"/>
                  <w:divBdr>
                    <w:top w:val="none" w:sz="0" w:space="0" w:color="auto"/>
                    <w:left w:val="none" w:sz="0" w:space="0" w:color="auto"/>
                    <w:bottom w:val="none" w:sz="0" w:space="0" w:color="auto"/>
                    <w:right w:val="none" w:sz="0" w:space="0" w:color="auto"/>
                  </w:divBdr>
                  <w:divsChild>
                    <w:div w:id="2101754482">
                      <w:marLeft w:val="0"/>
                      <w:marRight w:val="0"/>
                      <w:marTop w:val="0"/>
                      <w:marBottom w:val="0"/>
                      <w:divBdr>
                        <w:top w:val="none" w:sz="0" w:space="0" w:color="auto"/>
                        <w:left w:val="none" w:sz="0" w:space="0" w:color="auto"/>
                        <w:bottom w:val="none" w:sz="0" w:space="0" w:color="auto"/>
                        <w:right w:val="none" w:sz="0" w:space="0" w:color="auto"/>
                      </w:divBdr>
                    </w:div>
                  </w:divsChild>
                </w:div>
                <w:div w:id="941570347">
                  <w:marLeft w:val="0"/>
                  <w:marRight w:val="0"/>
                  <w:marTop w:val="0"/>
                  <w:marBottom w:val="0"/>
                  <w:divBdr>
                    <w:top w:val="none" w:sz="0" w:space="0" w:color="auto"/>
                    <w:left w:val="none" w:sz="0" w:space="0" w:color="auto"/>
                    <w:bottom w:val="none" w:sz="0" w:space="0" w:color="auto"/>
                    <w:right w:val="none" w:sz="0" w:space="0" w:color="auto"/>
                  </w:divBdr>
                  <w:divsChild>
                    <w:div w:id="1015613008">
                      <w:marLeft w:val="0"/>
                      <w:marRight w:val="0"/>
                      <w:marTop w:val="0"/>
                      <w:marBottom w:val="0"/>
                      <w:divBdr>
                        <w:top w:val="none" w:sz="0" w:space="0" w:color="auto"/>
                        <w:left w:val="none" w:sz="0" w:space="0" w:color="auto"/>
                        <w:bottom w:val="none" w:sz="0" w:space="0" w:color="auto"/>
                        <w:right w:val="none" w:sz="0" w:space="0" w:color="auto"/>
                      </w:divBdr>
                    </w:div>
                  </w:divsChild>
                </w:div>
                <w:div w:id="941644312">
                  <w:marLeft w:val="0"/>
                  <w:marRight w:val="0"/>
                  <w:marTop w:val="0"/>
                  <w:marBottom w:val="0"/>
                  <w:divBdr>
                    <w:top w:val="none" w:sz="0" w:space="0" w:color="auto"/>
                    <w:left w:val="none" w:sz="0" w:space="0" w:color="auto"/>
                    <w:bottom w:val="none" w:sz="0" w:space="0" w:color="auto"/>
                    <w:right w:val="none" w:sz="0" w:space="0" w:color="auto"/>
                  </w:divBdr>
                  <w:divsChild>
                    <w:div w:id="1623075117">
                      <w:marLeft w:val="0"/>
                      <w:marRight w:val="0"/>
                      <w:marTop w:val="0"/>
                      <w:marBottom w:val="0"/>
                      <w:divBdr>
                        <w:top w:val="none" w:sz="0" w:space="0" w:color="auto"/>
                        <w:left w:val="none" w:sz="0" w:space="0" w:color="auto"/>
                        <w:bottom w:val="none" w:sz="0" w:space="0" w:color="auto"/>
                        <w:right w:val="none" w:sz="0" w:space="0" w:color="auto"/>
                      </w:divBdr>
                    </w:div>
                  </w:divsChild>
                </w:div>
                <w:div w:id="943464286">
                  <w:marLeft w:val="0"/>
                  <w:marRight w:val="0"/>
                  <w:marTop w:val="0"/>
                  <w:marBottom w:val="0"/>
                  <w:divBdr>
                    <w:top w:val="none" w:sz="0" w:space="0" w:color="auto"/>
                    <w:left w:val="none" w:sz="0" w:space="0" w:color="auto"/>
                    <w:bottom w:val="none" w:sz="0" w:space="0" w:color="auto"/>
                    <w:right w:val="none" w:sz="0" w:space="0" w:color="auto"/>
                  </w:divBdr>
                  <w:divsChild>
                    <w:div w:id="921721994">
                      <w:marLeft w:val="0"/>
                      <w:marRight w:val="0"/>
                      <w:marTop w:val="0"/>
                      <w:marBottom w:val="0"/>
                      <w:divBdr>
                        <w:top w:val="none" w:sz="0" w:space="0" w:color="auto"/>
                        <w:left w:val="none" w:sz="0" w:space="0" w:color="auto"/>
                        <w:bottom w:val="none" w:sz="0" w:space="0" w:color="auto"/>
                        <w:right w:val="none" w:sz="0" w:space="0" w:color="auto"/>
                      </w:divBdr>
                    </w:div>
                  </w:divsChild>
                </w:div>
                <w:div w:id="947204545">
                  <w:marLeft w:val="0"/>
                  <w:marRight w:val="0"/>
                  <w:marTop w:val="0"/>
                  <w:marBottom w:val="0"/>
                  <w:divBdr>
                    <w:top w:val="none" w:sz="0" w:space="0" w:color="auto"/>
                    <w:left w:val="none" w:sz="0" w:space="0" w:color="auto"/>
                    <w:bottom w:val="none" w:sz="0" w:space="0" w:color="auto"/>
                    <w:right w:val="none" w:sz="0" w:space="0" w:color="auto"/>
                  </w:divBdr>
                  <w:divsChild>
                    <w:div w:id="396172885">
                      <w:marLeft w:val="0"/>
                      <w:marRight w:val="0"/>
                      <w:marTop w:val="0"/>
                      <w:marBottom w:val="0"/>
                      <w:divBdr>
                        <w:top w:val="none" w:sz="0" w:space="0" w:color="auto"/>
                        <w:left w:val="none" w:sz="0" w:space="0" w:color="auto"/>
                        <w:bottom w:val="none" w:sz="0" w:space="0" w:color="auto"/>
                        <w:right w:val="none" w:sz="0" w:space="0" w:color="auto"/>
                      </w:divBdr>
                    </w:div>
                  </w:divsChild>
                </w:div>
                <w:div w:id="950237481">
                  <w:marLeft w:val="0"/>
                  <w:marRight w:val="0"/>
                  <w:marTop w:val="0"/>
                  <w:marBottom w:val="0"/>
                  <w:divBdr>
                    <w:top w:val="none" w:sz="0" w:space="0" w:color="auto"/>
                    <w:left w:val="none" w:sz="0" w:space="0" w:color="auto"/>
                    <w:bottom w:val="none" w:sz="0" w:space="0" w:color="auto"/>
                    <w:right w:val="none" w:sz="0" w:space="0" w:color="auto"/>
                  </w:divBdr>
                  <w:divsChild>
                    <w:div w:id="980233951">
                      <w:marLeft w:val="0"/>
                      <w:marRight w:val="0"/>
                      <w:marTop w:val="0"/>
                      <w:marBottom w:val="0"/>
                      <w:divBdr>
                        <w:top w:val="none" w:sz="0" w:space="0" w:color="auto"/>
                        <w:left w:val="none" w:sz="0" w:space="0" w:color="auto"/>
                        <w:bottom w:val="none" w:sz="0" w:space="0" w:color="auto"/>
                        <w:right w:val="none" w:sz="0" w:space="0" w:color="auto"/>
                      </w:divBdr>
                    </w:div>
                  </w:divsChild>
                </w:div>
                <w:div w:id="966164457">
                  <w:marLeft w:val="0"/>
                  <w:marRight w:val="0"/>
                  <w:marTop w:val="0"/>
                  <w:marBottom w:val="0"/>
                  <w:divBdr>
                    <w:top w:val="none" w:sz="0" w:space="0" w:color="auto"/>
                    <w:left w:val="none" w:sz="0" w:space="0" w:color="auto"/>
                    <w:bottom w:val="none" w:sz="0" w:space="0" w:color="auto"/>
                    <w:right w:val="none" w:sz="0" w:space="0" w:color="auto"/>
                  </w:divBdr>
                  <w:divsChild>
                    <w:div w:id="1653559476">
                      <w:marLeft w:val="0"/>
                      <w:marRight w:val="0"/>
                      <w:marTop w:val="0"/>
                      <w:marBottom w:val="0"/>
                      <w:divBdr>
                        <w:top w:val="none" w:sz="0" w:space="0" w:color="auto"/>
                        <w:left w:val="none" w:sz="0" w:space="0" w:color="auto"/>
                        <w:bottom w:val="none" w:sz="0" w:space="0" w:color="auto"/>
                        <w:right w:val="none" w:sz="0" w:space="0" w:color="auto"/>
                      </w:divBdr>
                    </w:div>
                  </w:divsChild>
                </w:div>
                <w:div w:id="966544940">
                  <w:marLeft w:val="0"/>
                  <w:marRight w:val="0"/>
                  <w:marTop w:val="0"/>
                  <w:marBottom w:val="0"/>
                  <w:divBdr>
                    <w:top w:val="none" w:sz="0" w:space="0" w:color="auto"/>
                    <w:left w:val="none" w:sz="0" w:space="0" w:color="auto"/>
                    <w:bottom w:val="none" w:sz="0" w:space="0" w:color="auto"/>
                    <w:right w:val="none" w:sz="0" w:space="0" w:color="auto"/>
                  </w:divBdr>
                  <w:divsChild>
                    <w:div w:id="1770004210">
                      <w:marLeft w:val="0"/>
                      <w:marRight w:val="0"/>
                      <w:marTop w:val="0"/>
                      <w:marBottom w:val="0"/>
                      <w:divBdr>
                        <w:top w:val="none" w:sz="0" w:space="0" w:color="auto"/>
                        <w:left w:val="none" w:sz="0" w:space="0" w:color="auto"/>
                        <w:bottom w:val="none" w:sz="0" w:space="0" w:color="auto"/>
                        <w:right w:val="none" w:sz="0" w:space="0" w:color="auto"/>
                      </w:divBdr>
                    </w:div>
                  </w:divsChild>
                </w:div>
                <w:div w:id="967273202">
                  <w:marLeft w:val="0"/>
                  <w:marRight w:val="0"/>
                  <w:marTop w:val="0"/>
                  <w:marBottom w:val="0"/>
                  <w:divBdr>
                    <w:top w:val="none" w:sz="0" w:space="0" w:color="auto"/>
                    <w:left w:val="none" w:sz="0" w:space="0" w:color="auto"/>
                    <w:bottom w:val="none" w:sz="0" w:space="0" w:color="auto"/>
                    <w:right w:val="none" w:sz="0" w:space="0" w:color="auto"/>
                  </w:divBdr>
                  <w:divsChild>
                    <w:div w:id="625041089">
                      <w:marLeft w:val="0"/>
                      <w:marRight w:val="0"/>
                      <w:marTop w:val="0"/>
                      <w:marBottom w:val="0"/>
                      <w:divBdr>
                        <w:top w:val="none" w:sz="0" w:space="0" w:color="auto"/>
                        <w:left w:val="none" w:sz="0" w:space="0" w:color="auto"/>
                        <w:bottom w:val="none" w:sz="0" w:space="0" w:color="auto"/>
                        <w:right w:val="none" w:sz="0" w:space="0" w:color="auto"/>
                      </w:divBdr>
                    </w:div>
                  </w:divsChild>
                </w:div>
                <w:div w:id="979963081">
                  <w:marLeft w:val="0"/>
                  <w:marRight w:val="0"/>
                  <w:marTop w:val="0"/>
                  <w:marBottom w:val="0"/>
                  <w:divBdr>
                    <w:top w:val="none" w:sz="0" w:space="0" w:color="auto"/>
                    <w:left w:val="none" w:sz="0" w:space="0" w:color="auto"/>
                    <w:bottom w:val="none" w:sz="0" w:space="0" w:color="auto"/>
                    <w:right w:val="none" w:sz="0" w:space="0" w:color="auto"/>
                  </w:divBdr>
                  <w:divsChild>
                    <w:div w:id="171341153">
                      <w:marLeft w:val="0"/>
                      <w:marRight w:val="0"/>
                      <w:marTop w:val="0"/>
                      <w:marBottom w:val="0"/>
                      <w:divBdr>
                        <w:top w:val="none" w:sz="0" w:space="0" w:color="auto"/>
                        <w:left w:val="none" w:sz="0" w:space="0" w:color="auto"/>
                        <w:bottom w:val="none" w:sz="0" w:space="0" w:color="auto"/>
                        <w:right w:val="none" w:sz="0" w:space="0" w:color="auto"/>
                      </w:divBdr>
                    </w:div>
                  </w:divsChild>
                </w:div>
                <w:div w:id="985166655">
                  <w:marLeft w:val="0"/>
                  <w:marRight w:val="0"/>
                  <w:marTop w:val="0"/>
                  <w:marBottom w:val="0"/>
                  <w:divBdr>
                    <w:top w:val="none" w:sz="0" w:space="0" w:color="auto"/>
                    <w:left w:val="none" w:sz="0" w:space="0" w:color="auto"/>
                    <w:bottom w:val="none" w:sz="0" w:space="0" w:color="auto"/>
                    <w:right w:val="none" w:sz="0" w:space="0" w:color="auto"/>
                  </w:divBdr>
                  <w:divsChild>
                    <w:div w:id="647561618">
                      <w:marLeft w:val="0"/>
                      <w:marRight w:val="0"/>
                      <w:marTop w:val="0"/>
                      <w:marBottom w:val="0"/>
                      <w:divBdr>
                        <w:top w:val="none" w:sz="0" w:space="0" w:color="auto"/>
                        <w:left w:val="none" w:sz="0" w:space="0" w:color="auto"/>
                        <w:bottom w:val="none" w:sz="0" w:space="0" w:color="auto"/>
                        <w:right w:val="none" w:sz="0" w:space="0" w:color="auto"/>
                      </w:divBdr>
                    </w:div>
                  </w:divsChild>
                </w:div>
                <w:div w:id="986859527">
                  <w:marLeft w:val="0"/>
                  <w:marRight w:val="0"/>
                  <w:marTop w:val="0"/>
                  <w:marBottom w:val="0"/>
                  <w:divBdr>
                    <w:top w:val="none" w:sz="0" w:space="0" w:color="auto"/>
                    <w:left w:val="none" w:sz="0" w:space="0" w:color="auto"/>
                    <w:bottom w:val="none" w:sz="0" w:space="0" w:color="auto"/>
                    <w:right w:val="none" w:sz="0" w:space="0" w:color="auto"/>
                  </w:divBdr>
                  <w:divsChild>
                    <w:div w:id="354116413">
                      <w:marLeft w:val="0"/>
                      <w:marRight w:val="0"/>
                      <w:marTop w:val="0"/>
                      <w:marBottom w:val="0"/>
                      <w:divBdr>
                        <w:top w:val="none" w:sz="0" w:space="0" w:color="auto"/>
                        <w:left w:val="none" w:sz="0" w:space="0" w:color="auto"/>
                        <w:bottom w:val="none" w:sz="0" w:space="0" w:color="auto"/>
                        <w:right w:val="none" w:sz="0" w:space="0" w:color="auto"/>
                      </w:divBdr>
                    </w:div>
                  </w:divsChild>
                </w:div>
                <w:div w:id="990409866">
                  <w:marLeft w:val="0"/>
                  <w:marRight w:val="0"/>
                  <w:marTop w:val="0"/>
                  <w:marBottom w:val="0"/>
                  <w:divBdr>
                    <w:top w:val="none" w:sz="0" w:space="0" w:color="auto"/>
                    <w:left w:val="none" w:sz="0" w:space="0" w:color="auto"/>
                    <w:bottom w:val="none" w:sz="0" w:space="0" w:color="auto"/>
                    <w:right w:val="none" w:sz="0" w:space="0" w:color="auto"/>
                  </w:divBdr>
                  <w:divsChild>
                    <w:div w:id="147402226">
                      <w:marLeft w:val="0"/>
                      <w:marRight w:val="0"/>
                      <w:marTop w:val="0"/>
                      <w:marBottom w:val="0"/>
                      <w:divBdr>
                        <w:top w:val="none" w:sz="0" w:space="0" w:color="auto"/>
                        <w:left w:val="none" w:sz="0" w:space="0" w:color="auto"/>
                        <w:bottom w:val="none" w:sz="0" w:space="0" w:color="auto"/>
                        <w:right w:val="none" w:sz="0" w:space="0" w:color="auto"/>
                      </w:divBdr>
                    </w:div>
                  </w:divsChild>
                </w:div>
                <w:div w:id="990594818">
                  <w:marLeft w:val="0"/>
                  <w:marRight w:val="0"/>
                  <w:marTop w:val="0"/>
                  <w:marBottom w:val="0"/>
                  <w:divBdr>
                    <w:top w:val="none" w:sz="0" w:space="0" w:color="auto"/>
                    <w:left w:val="none" w:sz="0" w:space="0" w:color="auto"/>
                    <w:bottom w:val="none" w:sz="0" w:space="0" w:color="auto"/>
                    <w:right w:val="none" w:sz="0" w:space="0" w:color="auto"/>
                  </w:divBdr>
                  <w:divsChild>
                    <w:div w:id="808668394">
                      <w:marLeft w:val="0"/>
                      <w:marRight w:val="0"/>
                      <w:marTop w:val="0"/>
                      <w:marBottom w:val="0"/>
                      <w:divBdr>
                        <w:top w:val="none" w:sz="0" w:space="0" w:color="auto"/>
                        <w:left w:val="none" w:sz="0" w:space="0" w:color="auto"/>
                        <w:bottom w:val="none" w:sz="0" w:space="0" w:color="auto"/>
                        <w:right w:val="none" w:sz="0" w:space="0" w:color="auto"/>
                      </w:divBdr>
                    </w:div>
                  </w:divsChild>
                </w:div>
                <w:div w:id="994139186">
                  <w:marLeft w:val="0"/>
                  <w:marRight w:val="0"/>
                  <w:marTop w:val="0"/>
                  <w:marBottom w:val="0"/>
                  <w:divBdr>
                    <w:top w:val="none" w:sz="0" w:space="0" w:color="auto"/>
                    <w:left w:val="none" w:sz="0" w:space="0" w:color="auto"/>
                    <w:bottom w:val="none" w:sz="0" w:space="0" w:color="auto"/>
                    <w:right w:val="none" w:sz="0" w:space="0" w:color="auto"/>
                  </w:divBdr>
                  <w:divsChild>
                    <w:div w:id="939605968">
                      <w:marLeft w:val="0"/>
                      <w:marRight w:val="0"/>
                      <w:marTop w:val="0"/>
                      <w:marBottom w:val="0"/>
                      <w:divBdr>
                        <w:top w:val="none" w:sz="0" w:space="0" w:color="auto"/>
                        <w:left w:val="none" w:sz="0" w:space="0" w:color="auto"/>
                        <w:bottom w:val="none" w:sz="0" w:space="0" w:color="auto"/>
                        <w:right w:val="none" w:sz="0" w:space="0" w:color="auto"/>
                      </w:divBdr>
                    </w:div>
                  </w:divsChild>
                </w:div>
                <w:div w:id="994844161">
                  <w:marLeft w:val="0"/>
                  <w:marRight w:val="0"/>
                  <w:marTop w:val="0"/>
                  <w:marBottom w:val="0"/>
                  <w:divBdr>
                    <w:top w:val="none" w:sz="0" w:space="0" w:color="auto"/>
                    <w:left w:val="none" w:sz="0" w:space="0" w:color="auto"/>
                    <w:bottom w:val="none" w:sz="0" w:space="0" w:color="auto"/>
                    <w:right w:val="none" w:sz="0" w:space="0" w:color="auto"/>
                  </w:divBdr>
                  <w:divsChild>
                    <w:div w:id="917716888">
                      <w:marLeft w:val="0"/>
                      <w:marRight w:val="0"/>
                      <w:marTop w:val="0"/>
                      <w:marBottom w:val="0"/>
                      <w:divBdr>
                        <w:top w:val="none" w:sz="0" w:space="0" w:color="auto"/>
                        <w:left w:val="none" w:sz="0" w:space="0" w:color="auto"/>
                        <w:bottom w:val="none" w:sz="0" w:space="0" w:color="auto"/>
                        <w:right w:val="none" w:sz="0" w:space="0" w:color="auto"/>
                      </w:divBdr>
                    </w:div>
                  </w:divsChild>
                </w:div>
                <w:div w:id="996230794">
                  <w:marLeft w:val="0"/>
                  <w:marRight w:val="0"/>
                  <w:marTop w:val="0"/>
                  <w:marBottom w:val="0"/>
                  <w:divBdr>
                    <w:top w:val="none" w:sz="0" w:space="0" w:color="auto"/>
                    <w:left w:val="none" w:sz="0" w:space="0" w:color="auto"/>
                    <w:bottom w:val="none" w:sz="0" w:space="0" w:color="auto"/>
                    <w:right w:val="none" w:sz="0" w:space="0" w:color="auto"/>
                  </w:divBdr>
                  <w:divsChild>
                    <w:div w:id="90666718">
                      <w:marLeft w:val="0"/>
                      <w:marRight w:val="0"/>
                      <w:marTop w:val="0"/>
                      <w:marBottom w:val="0"/>
                      <w:divBdr>
                        <w:top w:val="none" w:sz="0" w:space="0" w:color="auto"/>
                        <w:left w:val="none" w:sz="0" w:space="0" w:color="auto"/>
                        <w:bottom w:val="none" w:sz="0" w:space="0" w:color="auto"/>
                        <w:right w:val="none" w:sz="0" w:space="0" w:color="auto"/>
                      </w:divBdr>
                    </w:div>
                  </w:divsChild>
                </w:div>
                <w:div w:id="1005664686">
                  <w:marLeft w:val="0"/>
                  <w:marRight w:val="0"/>
                  <w:marTop w:val="0"/>
                  <w:marBottom w:val="0"/>
                  <w:divBdr>
                    <w:top w:val="none" w:sz="0" w:space="0" w:color="auto"/>
                    <w:left w:val="none" w:sz="0" w:space="0" w:color="auto"/>
                    <w:bottom w:val="none" w:sz="0" w:space="0" w:color="auto"/>
                    <w:right w:val="none" w:sz="0" w:space="0" w:color="auto"/>
                  </w:divBdr>
                  <w:divsChild>
                    <w:div w:id="1458452118">
                      <w:marLeft w:val="0"/>
                      <w:marRight w:val="0"/>
                      <w:marTop w:val="0"/>
                      <w:marBottom w:val="0"/>
                      <w:divBdr>
                        <w:top w:val="none" w:sz="0" w:space="0" w:color="auto"/>
                        <w:left w:val="none" w:sz="0" w:space="0" w:color="auto"/>
                        <w:bottom w:val="none" w:sz="0" w:space="0" w:color="auto"/>
                        <w:right w:val="none" w:sz="0" w:space="0" w:color="auto"/>
                      </w:divBdr>
                    </w:div>
                  </w:divsChild>
                </w:div>
                <w:div w:id="1007558165">
                  <w:marLeft w:val="0"/>
                  <w:marRight w:val="0"/>
                  <w:marTop w:val="0"/>
                  <w:marBottom w:val="0"/>
                  <w:divBdr>
                    <w:top w:val="none" w:sz="0" w:space="0" w:color="auto"/>
                    <w:left w:val="none" w:sz="0" w:space="0" w:color="auto"/>
                    <w:bottom w:val="none" w:sz="0" w:space="0" w:color="auto"/>
                    <w:right w:val="none" w:sz="0" w:space="0" w:color="auto"/>
                  </w:divBdr>
                  <w:divsChild>
                    <w:div w:id="923033401">
                      <w:marLeft w:val="0"/>
                      <w:marRight w:val="0"/>
                      <w:marTop w:val="0"/>
                      <w:marBottom w:val="0"/>
                      <w:divBdr>
                        <w:top w:val="none" w:sz="0" w:space="0" w:color="auto"/>
                        <w:left w:val="none" w:sz="0" w:space="0" w:color="auto"/>
                        <w:bottom w:val="none" w:sz="0" w:space="0" w:color="auto"/>
                        <w:right w:val="none" w:sz="0" w:space="0" w:color="auto"/>
                      </w:divBdr>
                    </w:div>
                  </w:divsChild>
                </w:div>
                <w:div w:id="1008482593">
                  <w:marLeft w:val="0"/>
                  <w:marRight w:val="0"/>
                  <w:marTop w:val="0"/>
                  <w:marBottom w:val="0"/>
                  <w:divBdr>
                    <w:top w:val="none" w:sz="0" w:space="0" w:color="auto"/>
                    <w:left w:val="none" w:sz="0" w:space="0" w:color="auto"/>
                    <w:bottom w:val="none" w:sz="0" w:space="0" w:color="auto"/>
                    <w:right w:val="none" w:sz="0" w:space="0" w:color="auto"/>
                  </w:divBdr>
                  <w:divsChild>
                    <w:div w:id="1804038500">
                      <w:marLeft w:val="0"/>
                      <w:marRight w:val="0"/>
                      <w:marTop w:val="0"/>
                      <w:marBottom w:val="0"/>
                      <w:divBdr>
                        <w:top w:val="none" w:sz="0" w:space="0" w:color="auto"/>
                        <w:left w:val="none" w:sz="0" w:space="0" w:color="auto"/>
                        <w:bottom w:val="none" w:sz="0" w:space="0" w:color="auto"/>
                        <w:right w:val="none" w:sz="0" w:space="0" w:color="auto"/>
                      </w:divBdr>
                    </w:div>
                  </w:divsChild>
                </w:div>
                <w:div w:id="1008992508">
                  <w:marLeft w:val="0"/>
                  <w:marRight w:val="0"/>
                  <w:marTop w:val="0"/>
                  <w:marBottom w:val="0"/>
                  <w:divBdr>
                    <w:top w:val="none" w:sz="0" w:space="0" w:color="auto"/>
                    <w:left w:val="none" w:sz="0" w:space="0" w:color="auto"/>
                    <w:bottom w:val="none" w:sz="0" w:space="0" w:color="auto"/>
                    <w:right w:val="none" w:sz="0" w:space="0" w:color="auto"/>
                  </w:divBdr>
                  <w:divsChild>
                    <w:div w:id="1814255630">
                      <w:marLeft w:val="0"/>
                      <w:marRight w:val="0"/>
                      <w:marTop w:val="0"/>
                      <w:marBottom w:val="0"/>
                      <w:divBdr>
                        <w:top w:val="none" w:sz="0" w:space="0" w:color="auto"/>
                        <w:left w:val="none" w:sz="0" w:space="0" w:color="auto"/>
                        <w:bottom w:val="none" w:sz="0" w:space="0" w:color="auto"/>
                        <w:right w:val="none" w:sz="0" w:space="0" w:color="auto"/>
                      </w:divBdr>
                    </w:div>
                  </w:divsChild>
                </w:div>
                <w:div w:id="1011419550">
                  <w:marLeft w:val="0"/>
                  <w:marRight w:val="0"/>
                  <w:marTop w:val="0"/>
                  <w:marBottom w:val="0"/>
                  <w:divBdr>
                    <w:top w:val="none" w:sz="0" w:space="0" w:color="auto"/>
                    <w:left w:val="none" w:sz="0" w:space="0" w:color="auto"/>
                    <w:bottom w:val="none" w:sz="0" w:space="0" w:color="auto"/>
                    <w:right w:val="none" w:sz="0" w:space="0" w:color="auto"/>
                  </w:divBdr>
                  <w:divsChild>
                    <w:div w:id="1113280029">
                      <w:marLeft w:val="0"/>
                      <w:marRight w:val="0"/>
                      <w:marTop w:val="0"/>
                      <w:marBottom w:val="0"/>
                      <w:divBdr>
                        <w:top w:val="none" w:sz="0" w:space="0" w:color="auto"/>
                        <w:left w:val="none" w:sz="0" w:space="0" w:color="auto"/>
                        <w:bottom w:val="none" w:sz="0" w:space="0" w:color="auto"/>
                        <w:right w:val="none" w:sz="0" w:space="0" w:color="auto"/>
                      </w:divBdr>
                    </w:div>
                  </w:divsChild>
                </w:div>
                <w:div w:id="1011840244">
                  <w:marLeft w:val="0"/>
                  <w:marRight w:val="0"/>
                  <w:marTop w:val="0"/>
                  <w:marBottom w:val="0"/>
                  <w:divBdr>
                    <w:top w:val="none" w:sz="0" w:space="0" w:color="auto"/>
                    <w:left w:val="none" w:sz="0" w:space="0" w:color="auto"/>
                    <w:bottom w:val="none" w:sz="0" w:space="0" w:color="auto"/>
                    <w:right w:val="none" w:sz="0" w:space="0" w:color="auto"/>
                  </w:divBdr>
                  <w:divsChild>
                    <w:div w:id="1844054809">
                      <w:marLeft w:val="0"/>
                      <w:marRight w:val="0"/>
                      <w:marTop w:val="0"/>
                      <w:marBottom w:val="0"/>
                      <w:divBdr>
                        <w:top w:val="none" w:sz="0" w:space="0" w:color="auto"/>
                        <w:left w:val="none" w:sz="0" w:space="0" w:color="auto"/>
                        <w:bottom w:val="none" w:sz="0" w:space="0" w:color="auto"/>
                        <w:right w:val="none" w:sz="0" w:space="0" w:color="auto"/>
                      </w:divBdr>
                    </w:div>
                  </w:divsChild>
                </w:div>
                <w:div w:id="1020742780">
                  <w:marLeft w:val="0"/>
                  <w:marRight w:val="0"/>
                  <w:marTop w:val="0"/>
                  <w:marBottom w:val="0"/>
                  <w:divBdr>
                    <w:top w:val="none" w:sz="0" w:space="0" w:color="auto"/>
                    <w:left w:val="none" w:sz="0" w:space="0" w:color="auto"/>
                    <w:bottom w:val="none" w:sz="0" w:space="0" w:color="auto"/>
                    <w:right w:val="none" w:sz="0" w:space="0" w:color="auto"/>
                  </w:divBdr>
                  <w:divsChild>
                    <w:div w:id="1493911999">
                      <w:marLeft w:val="0"/>
                      <w:marRight w:val="0"/>
                      <w:marTop w:val="0"/>
                      <w:marBottom w:val="0"/>
                      <w:divBdr>
                        <w:top w:val="none" w:sz="0" w:space="0" w:color="auto"/>
                        <w:left w:val="none" w:sz="0" w:space="0" w:color="auto"/>
                        <w:bottom w:val="none" w:sz="0" w:space="0" w:color="auto"/>
                        <w:right w:val="none" w:sz="0" w:space="0" w:color="auto"/>
                      </w:divBdr>
                    </w:div>
                  </w:divsChild>
                </w:div>
                <w:div w:id="1024406089">
                  <w:marLeft w:val="0"/>
                  <w:marRight w:val="0"/>
                  <w:marTop w:val="0"/>
                  <w:marBottom w:val="0"/>
                  <w:divBdr>
                    <w:top w:val="none" w:sz="0" w:space="0" w:color="auto"/>
                    <w:left w:val="none" w:sz="0" w:space="0" w:color="auto"/>
                    <w:bottom w:val="none" w:sz="0" w:space="0" w:color="auto"/>
                    <w:right w:val="none" w:sz="0" w:space="0" w:color="auto"/>
                  </w:divBdr>
                  <w:divsChild>
                    <w:div w:id="1237744306">
                      <w:marLeft w:val="0"/>
                      <w:marRight w:val="0"/>
                      <w:marTop w:val="0"/>
                      <w:marBottom w:val="0"/>
                      <w:divBdr>
                        <w:top w:val="none" w:sz="0" w:space="0" w:color="auto"/>
                        <w:left w:val="none" w:sz="0" w:space="0" w:color="auto"/>
                        <w:bottom w:val="none" w:sz="0" w:space="0" w:color="auto"/>
                        <w:right w:val="none" w:sz="0" w:space="0" w:color="auto"/>
                      </w:divBdr>
                    </w:div>
                  </w:divsChild>
                </w:div>
                <w:div w:id="1025249820">
                  <w:marLeft w:val="0"/>
                  <w:marRight w:val="0"/>
                  <w:marTop w:val="0"/>
                  <w:marBottom w:val="0"/>
                  <w:divBdr>
                    <w:top w:val="none" w:sz="0" w:space="0" w:color="auto"/>
                    <w:left w:val="none" w:sz="0" w:space="0" w:color="auto"/>
                    <w:bottom w:val="none" w:sz="0" w:space="0" w:color="auto"/>
                    <w:right w:val="none" w:sz="0" w:space="0" w:color="auto"/>
                  </w:divBdr>
                  <w:divsChild>
                    <w:div w:id="703947191">
                      <w:marLeft w:val="0"/>
                      <w:marRight w:val="0"/>
                      <w:marTop w:val="0"/>
                      <w:marBottom w:val="0"/>
                      <w:divBdr>
                        <w:top w:val="none" w:sz="0" w:space="0" w:color="auto"/>
                        <w:left w:val="none" w:sz="0" w:space="0" w:color="auto"/>
                        <w:bottom w:val="none" w:sz="0" w:space="0" w:color="auto"/>
                        <w:right w:val="none" w:sz="0" w:space="0" w:color="auto"/>
                      </w:divBdr>
                    </w:div>
                  </w:divsChild>
                </w:div>
                <w:div w:id="1027489632">
                  <w:marLeft w:val="0"/>
                  <w:marRight w:val="0"/>
                  <w:marTop w:val="0"/>
                  <w:marBottom w:val="0"/>
                  <w:divBdr>
                    <w:top w:val="none" w:sz="0" w:space="0" w:color="auto"/>
                    <w:left w:val="none" w:sz="0" w:space="0" w:color="auto"/>
                    <w:bottom w:val="none" w:sz="0" w:space="0" w:color="auto"/>
                    <w:right w:val="none" w:sz="0" w:space="0" w:color="auto"/>
                  </w:divBdr>
                  <w:divsChild>
                    <w:div w:id="929317254">
                      <w:marLeft w:val="0"/>
                      <w:marRight w:val="0"/>
                      <w:marTop w:val="0"/>
                      <w:marBottom w:val="0"/>
                      <w:divBdr>
                        <w:top w:val="none" w:sz="0" w:space="0" w:color="auto"/>
                        <w:left w:val="none" w:sz="0" w:space="0" w:color="auto"/>
                        <w:bottom w:val="none" w:sz="0" w:space="0" w:color="auto"/>
                        <w:right w:val="none" w:sz="0" w:space="0" w:color="auto"/>
                      </w:divBdr>
                    </w:div>
                  </w:divsChild>
                </w:div>
                <w:div w:id="1030493295">
                  <w:marLeft w:val="0"/>
                  <w:marRight w:val="0"/>
                  <w:marTop w:val="0"/>
                  <w:marBottom w:val="0"/>
                  <w:divBdr>
                    <w:top w:val="none" w:sz="0" w:space="0" w:color="auto"/>
                    <w:left w:val="none" w:sz="0" w:space="0" w:color="auto"/>
                    <w:bottom w:val="none" w:sz="0" w:space="0" w:color="auto"/>
                    <w:right w:val="none" w:sz="0" w:space="0" w:color="auto"/>
                  </w:divBdr>
                  <w:divsChild>
                    <w:div w:id="466553057">
                      <w:marLeft w:val="0"/>
                      <w:marRight w:val="0"/>
                      <w:marTop w:val="0"/>
                      <w:marBottom w:val="0"/>
                      <w:divBdr>
                        <w:top w:val="none" w:sz="0" w:space="0" w:color="auto"/>
                        <w:left w:val="none" w:sz="0" w:space="0" w:color="auto"/>
                        <w:bottom w:val="none" w:sz="0" w:space="0" w:color="auto"/>
                        <w:right w:val="none" w:sz="0" w:space="0" w:color="auto"/>
                      </w:divBdr>
                    </w:div>
                  </w:divsChild>
                </w:div>
                <w:div w:id="1037122056">
                  <w:marLeft w:val="0"/>
                  <w:marRight w:val="0"/>
                  <w:marTop w:val="0"/>
                  <w:marBottom w:val="0"/>
                  <w:divBdr>
                    <w:top w:val="none" w:sz="0" w:space="0" w:color="auto"/>
                    <w:left w:val="none" w:sz="0" w:space="0" w:color="auto"/>
                    <w:bottom w:val="none" w:sz="0" w:space="0" w:color="auto"/>
                    <w:right w:val="none" w:sz="0" w:space="0" w:color="auto"/>
                  </w:divBdr>
                  <w:divsChild>
                    <w:div w:id="1672951466">
                      <w:marLeft w:val="0"/>
                      <w:marRight w:val="0"/>
                      <w:marTop w:val="0"/>
                      <w:marBottom w:val="0"/>
                      <w:divBdr>
                        <w:top w:val="none" w:sz="0" w:space="0" w:color="auto"/>
                        <w:left w:val="none" w:sz="0" w:space="0" w:color="auto"/>
                        <w:bottom w:val="none" w:sz="0" w:space="0" w:color="auto"/>
                        <w:right w:val="none" w:sz="0" w:space="0" w:color="auto"/>
                      </w:divBdr>
                    </w:div>
                  </w:divsChild>
                </w:div>
                <w:div w:id="1049382165">
                  <w:marLeft w:val="0"/>
                  <w:marRight w:val="0"/>
                  <w:marTop w:val="0"/>
                  <w:marBottom w:val="0"/>
                  <w:divBdr>
                    <w:top w:val="none" w:sz="0" w:space="0" w:color="auto"/>
                    <w:left w:val="none" w:sz="0" w:space="0" w:color="auto"/>
                    <w:bottom w:val="none" w:sz="0" w:space="0" w:color="auto"/>
                    <w:right w:val="none" w:sz="0" w:space="0" w:color="auto"/>
                  </w:divBdr>
                  <w:divsChild>
                    <w:div w:id="1709866708">
                      <w:marLeft w:val="0"/>
                      <w:marRight w:val="0"/>
                      <w:marTop w:val="0"/>
                      <w:marBottom w:val="0"/>
                      <w:divBdr>
                        <w:top w:val="none" w:sz="0" w:space="0" w:color="auto"/>
                        <w:left w:val="none" w:sz="0" w:space="0" w:color="auto"/>
                        <w:bottom w:val="none" w:sz="0" w:space="0" w:color="auto"/>
                        <w:right w:val="none" w:sz="0" w:space="0" w:color="auto"/>
                      </w:divBdr>
                    </w:div>
                  </w:divsChild>
                </w:div>
                <w:div w:id="1055158281">
                  <w:marLeft w:val="0"/>
                  <w:marRight w:val="0"/>
                  <w:marTop w:val="0"/>
                  <w:marBottom w:val="0"/>
                  <w:divBdr>
                    <w:top w:val="none" w:sz="0" w:space="0" w:color="auto"/>
                    <w:left w:val="none" w:sz="0" w:space="0" w:color="auto"/>
                    <w:bottom w:val="none" w:sz="0" w:space="0" w:color="auto"/>
                    <w:right w:val="none" w:sz="0" w:space="0" w:color="auto"/>
                  </w:divBdr>
                  <w:divsChild>
                    <w:div w:id="1063136688">
                      <w:marLeft w:val="0"/>
                      <w:marRight w:val="0"/>
                      <w:marTop w:val="0"/>
                      <w:marBottom w:val="0"/>
                      <w:divBdr>
                        <w:top w:val="none" w:sz="0" w:space="0" w:color="auto"/>
                        <w:left w:val="none" w:sz="0" w:space="0" w:color="auto"/>
                        <w:bottom w:val="none" w:sz="0" w:space="0" w:color="auto"/>
                        <w:right w:val="none" w:sz="0" w:space="0" w:color="auto"/>
                      </w:divBdr>
                    </w:div>
                  </w:divsChild>
                </w:div>
                <w:div w:id="1056008290">
                  <w:marLeft w:val="0"/>
                  <w:marRight w:val="0"/>
                  <w:marTop w:val="0"/>
                  <w:marBottom w:val="0"/>
                  <w:divBdr>
                    <w:top w:val="none" w:sz="0" w:space="0" w:color="auto"/>
                    <w:left w:val="none" w:sz="0" w:space="0" w:color="auto"/>
                    <w:bottom w:val="none" w:sz="0" w:space="0" w:color="auto"/>
                    <w:right w:val="none" w:sz="0" w:space="0" w:color="auto"/>
                  </w:divBdr>
                  <w:divsChild>
                    <w:div w:id="1879585937">
                      <w:marLeft w:val="0"/>
                      <w:marRight w:val="0"/>
                      <w:marTop w:val="0"/>
                      <w:marBottom w:val="0"/>
                      <w:divBdr>
                        <w:top w:val="none" w:sz="0" w:space="0" w:color="auto"/>
                        <w:left w:val="none" w:sz="0" w:space="0" w:color="auto"/>
                        <w:bottom w:val="none" w:sz="0" w:space="0" w:color="auto"/>
                        <w:right w:val="none" w:sz="0" w:space="0" w:color="auto"/>
                      </w:divBdr>
                    </w:div>
                  </w:divsChild>
                </w:div>
                <w:div w:id="1058551544">
                  <w:marLeft w:val="0"/>
                  <w:marRight w:val="0"/>
                  <w:marTop w:val="0"/>
                  <w:marBottom w:val="0"/>
                  <w:divBdr>
                    <w:top w:val="none" w:sz="0" w:space="0" w:color="auto"/>
                    <w:left w:val="none" w:sz="0" w:space="0" w:color="auto"/>
                    <w:bottom w:val="none" w:sz="0" w:space="0" w:color="auto"/>
                    <w:right w:val="none" w:sz="0" w:space="0" w:color="auto"/>
                  </w:divBdr>
                  <w:divsChild>
                    <w:div w:id="1884560845">
                      <w:marLeft w:val="0"/>
                      <w:marRight w:val="0"/>
                      <w:marTop w:val="0"/>
                      <w:marBottom w:val="0"/>
                      <w:divBdr>
                        <w:top w:val="none" w:sz="0" w:space="0" w:color="auto"/>
                        <w:left w:val="none" w:sz="0" w:space="0" w:color="auto"/>
                        <w:bottom w:val="none" w:sz="0" w:space="0" w:color="auto"/>
                        <w:right w:val="none" w:sz="0" w:space="0" w:color="auto"/>
                      </w:divBdr>
                    </w:div>
                  </w:divsChild>
                </w:div>
                <w:div w:id="1064330905">
                  <w:marLeft w:val="0"/>
                  <w:marRight w:val="0"/>
                  <w:marTop w:val="0"/>
                  <w:marBottom w:val="0"/>
                  <w:divBdr>
                    <w:top w:val="none" w:sz="0" w:space="0" w:color="auto"/>
                    <w:left w:val="none" w:sz="0" w:space="0" w:color="auto"/>
                    <w:bottom w:val="none" w:sz="0" w:space="0" w:color="auto"/>
                    <w:right w:val="none" w:sz="0" w:space="0" w:color="auto"/>
                  </w:divBdr>
                  <w:divsChild>
                    <w:div w:id="1160193345">
                      <w:marLeft w:val="0"/>
                      <w:marRight w:val="0"/>
                      <w:marTop w:val="0"/>
                      <w:marBottom w:val="0"/>
                      <w:divBdr>
                        <w:top w:val="none" w:sz="0" w:space="0" w:color="auto"/>
                        <w:left w:val="none" w:sz="0" w:space="0" w:color="auto"/>
                        <w:bottom w:val="none" w:sz="0" w:space="0" w:color="auto"/>
                        <w:right w:val="none" w:sz="0" w:space="0" w:color="auto"/>
                      </w:divBdr>
                    </w:div>
                  </w:divsChild>
                </w:div>
                <w:div w:id="1065447520">
                  <w:marLeft w:val="0"/>
                  <w:marRight w:val="0"/>
                  <w:marTop w:val="0"/>
                  <w:marBottom w:val="0"/>
                  <w:divBdr>
                    <w:top w:val="none" w:sz="0" w:space="0" w:color="auto"/>
                    <w:left w:val="none" w:sz="0" w:space="0" w:color="auto"/>
                    <w:bottom w:val="none" w:sz="0" w:space="0" w:color="auto"/>
                    <w:right w:val="none" w:sz="0" w:space="0" w:color="auto"/>
                  </w:divBdr>
                  <w:divsChild>
                    <w:div w:id="1251743971">
                      <w:marLeft w:val="0"/>
                      <w:marRight w:val="0"/>
                      <w:marTop w:val="0"/>
                      <w:marBottom w:val="0"/>
                      <w:divBdr>
                        <w:top w:val="none" w:sz="0" w:space="0" w:color="auto"/>
                        <w:left w:val="none" w:sz="0" w:space="0" w:color="auto"/>
                        <w:bottom w:val="none" w:sz="0" w:space="0" w:color="auto"/>
                        <w:right w:val="none" w:sz="0" w:space="0" w:color="auto"/>
                      </w:divBdr>
                    </w:div>
                  </w:divsChild>
                </w:div>
                <w:div w:id="1075589321">
                  <w:marLeft w:val="0"/>
                  <w:marRight w:val="0"/>
                  <w:marTop w:val="0"/>
                  <w:marBottom w:val="0"/>
                  <w:divBdr>
                    <w:top w:val="none" w:sz="0" w:space="0" w:color="auto"/>
                    <w:left w:val="none" w:sz="0" w:space="0" w:color="auto"/>
                    <w:bottom w:val="none" w:sz="0" w:space="0" w:color="auto"/>
                    <w:right w:val="none" w:sz="0" w:space="0" w:color="auto"/>
                  </w:divBdr>
                  <w:divsChild>
                    <w:div w:id="310329487">
                      <w:marLeft w:val="0"/>
                      <w:marRight w:val="0"/>
                      <w:marTop w:val="0"/>
                      <w:marBottom w:val="0"/>
                      <w:divBdr>
                        <w:top w:val="none" w:sz="0" w:space="0" w:color="auto"/>
                        <w:left w:val="none" w:sz="0" w:space="0" w:color="auto"/>
                        <w:bottom w:val="none" w:sz="0" w:space="0" w:color="auto"/>
                        <w:right w:val="none" w:sz="0" w:space="0" w:color="auto"/>
                      </w:divBdr>
                    </w:div>
                  </w:divsChild>
                </w:div>
                <w:div w:id="1081875100">
                  <w:marLeft w:val="0"/>
                  <w:marRight w:val="0"/>
                  <w:marTop w:val="0"/>
                  <w:marBottom w:val="0"/>
                  <w:divBdr>
                    <w:top w:val="none" w:sz="0" w:space="0" w:color="auto"/>
                    <w:left w:val="none" w:sz="0" w:space="0" w:color="auto"/>
                    <w:bottom w:val="none" w:sz="0" w:space="0" w:color="auto"/>
                    <w:right w:val="none" w:sz="0" w:space="0" w:color="auto"/>
                  </w:divBdr>
                  <w:divsChild>
                    <w:div w:id="17394157">
                      <w:marLeft w:val="0"/>
                      <w:marRight w:val="0"/>
                      <w:marTop w:val="0"/>
                      <w:marBottom w:val="0"/>
                      <w:divBdr>
                        <w:top w:val="none" w:sz="0" w:space="0" w:color="auto"/>
                        <w:left w:val="none" w:sz="0" w:space="0" w:color="auto"/>
                        <w:bottom w:val="none" w:sz="0" w:space="0" w:color="auto"/>
                        <w:right w:val="none" w:sz="0" w:space="0" w:color="auto"/>
                      </w:divBdr>
                    </w:div>
                  </w:divsChild>
                </w:div>
                <w:div w:id="1082409683">
                  <w:marLeft w:val="0"/>
                  <w:marRight w:val="0"/>
                  <w:marTop w:val="0"/>
                  <w:marBottom w:val="0"/>
                  <w:divBdr>
                    <w:top w:val="none" w:sz="0" w:space="0" w:color="auto"/>
                    <w:left w:val="none" w:sz="0" w:space="0" w:color="auto"/>
                    <w:bottom w:val="none" w:sz="0" w:space="0" w:color="auto"/>
                    <w:right w:val="none" w:sz="0" w:space="0" w:color="auto"/>
                  </w:divBdr>
                  <w:divsChild>
                    <w:div w:id="1299217502">
                      <w:marLeft w:val="0"/>
                      <w:marRight w:val="0"/>
                      <w:marTop w:val="0"/>
                      <w:marBottom w:val="0"/>
                      <w:divBdr>
                        <w:top w:val="none" w:sz="0" w:space="0" w:color="auto"/>
                        <w:left w:val="none" w:sz="0" w:space="0" w:color="auto"/>
                        <w:bottom w:val="none" w:sz="0" w:space="0" w:color="auto"/>
                        <w:right w:val="none" w:sz="0" w:space="0" w:color="auto"/>
                      </w:divBdr>
                    </w:div>
                  </w:divsChild>
                </w:div>
                <w:div w:id="1089696240">
                  <w:marLeft w:val="0"/>
                  <w:marRight w:val="0"/>
                  <w:marTop w:val="0"/>
                  <w:marBottom w:val="0"/>
                  <w:divBdr>
                    <w:top w:val="none" w:sz="0" w:space="0" w:color="auto"/>
                    <w:left w:val="none" w:sz="0" w:space="0" w:color="auto"/>
                    <w:bottom w:val="none" w:sz="0" w:space="0" w:color="auto"/>
                    <w:right w:val="none" w:sz="0" w:space="0" w:color="auto"/>
                  </w:divBdr>
                  <w:divsChild>
                    <w:div w:id="282617918">
                      <w:marLeft w:val="0"/>
                      <w:marRight w:val="0"/>
                      <w:marTop w:val="0"/>
                      <w:marBottom w:val="0"/>
                      <w:divBdr>
                        <w:top w:val="none" w:sz="0" w:space="0" w:color="auto"/>
                        <w:left w:val="none" w:sz="0" w:space="0" w:color="auto"/>
                        <w:bottom w:val="none" w:sz="0" w:space="0" w:color="auto"/>
                        <w:right w:val="none" w:sz="0" w:space="0" w:color="auto"/>
                      </w:divBdr>
                    </w:div>
                  </w:divsChild>
                </w:div>
                <w:div w:id="1091389337">
                  <w:marLeft w:val="0"/>
                  <w:marRight w:val="0"/>
                  <w:marTop w:val="0"/>
                  <w:marBottom w:val="0"/>
                  <w:divBdr>
                    <w:top w:val="none" w:sz="0" w:space="0" w:color="auto"/>
                    <w:left w:val="none" w:sz="0" w:space="0" w:color="auto"/>
                    <w:bottom w:val="none" w:sz="0" w:space="0" w:color="auto"/>
                    <w:right w:val="none" w:sz="0" w:space="0" w:color="auto"/>
                  </w:divBdr>
                  <w:divsChild>
                    <w:div w:id="1465925688">
                      <w:marLeft w:val="0"/>
                      <w:marRight w:val="0"/>
                      <w:marTop w:val="0"/>
                      <w:marBottom w:val="0"/>
                      <w:divBdr>
                        <w:top w:val="none" w:sz="0" w:space="0" w:color="auto"/>
                        <w:left w:val="none" w:sz="0" w:space="0" w:color="auto"/>
                        <w:bottom w:val="none" w:sz="0" w:space="0" w:color="auto"/>
                        <w:right w:val="none" w:sz="0" w:space="0" w:color="auto"/>
                      </w:divBdr>
                    </w:div>
                  </w:divsChild>
                </w:div>
                <w:div w:id="1091392733">
                  <w:marLeft w:val="0"/>
                  <w:marRight w:val="0"/>
                  <w:marTop w:val="0"/>
                  <w:marBottom w:val="0"/>
                  <w:divBdr>
                    <w:top w:val="none" w:sz="0" w:space="0" w:color="auto"/>
                    <w:left w:val="none" w:sz="0" w:space="0" w:color="auto"/>
                    <w:bottom w:val="none" w:sz="0" w:space="0" w:color="auto"/>
                    <w:right w:val="none" w:sz="0" w:space="0" w:color="auto"/>
                  </w:divBdr>
                  <w:divsChild>
                    <w:div w:id="531575636">
                      <w:marLeft w:val="0"/>
                      <w:marRight w:val="0"/>
                      <w:marTop w:val="0"/>
                      <w:marBottom w:val="0"/>
                      <w:divBdr>
                        <w:top w:val="none" w:sz="0" w:space="0" w:color="auto"/>
                        <w:left w:val="none" w:sz="0" w:space="0" w:color="auto"/>
                        <w:bottom w:val="none" w:sz="0" w:space="0" w:color="auto"/>
                        <w:right w:val="none" w:sz="0" w:space="0" w:color="auto"/>
                      </w:divBdr>
                    </w:div>
                  </w:divsChild>
                </w:div>
                <w:div w:id="1092044939">
                  <w:marLeft w:val="0"/>
                  <w:marRight w:val="0"/>
                  <w:marTop w:val="0"/>
                  <w:marBottom w:val="0"/>
                  <w:divBdr>
                    <w:top w:val="none" w:sz="0" w:space="0" w:color="auto"/>
                    <w:left w:val="none" w:sz="0" w:space="0" w:color="auto"/>
                    <w:bottom w:val="none" w:sz="0" w:space="0" w:color="auto"/>
                    <w:right w:val="none" w:sz="0" w:space="0" w:color="auto"/>
                  </w:divBdr>
                  <w:divsChild>
                    <w:div w:id="2140874890">
                      <w:marLeft w:val="0"/>
                      <w:marRight w:val="0"/>
                      <w:marTop w:val="0"/>
                      <w:marBottom w:val="0"/>
                      <w:divBdr>
                        <w:top w:val="none" w:sz="0" w:space="0" w:color="auto"/>
                        <w:left w:val="none" w:sz="0" w:space="0" w:color="auto"/>
                        <w:bottom w:val="none" w:sz="0" w:space="0" w:color="auto"/>
                        <w:right w:val="none" w:sz="0" w:space="0" w:color="auto"/>
                      </w:divBdr>
                    </w:div>
                  </w:divsChild>
                </w:div>
                <w:div w:id="1097868142">
                  <w:marLeft w:val="0"/>
                  <w:marRight w:val="0"/>
                  <w:marTop w:val="0"/>
                  <w:marBottom w:val="0"/>
                  <w:divBdr>
                    <w:top w:val="none" w:sz="0" w:space="0" w:color="auto"/>
                    <w:left w:val="none" w:sz="0" w:space="0" w:color="auto"/>
                    <w:bottom w:val="none" w:sz="0" w:space="0" w:color="auto"/>
                    <w:right w:val="none" w:sz="0" w:space="0" w:color="auto"/>
                  </w:divBdr>
                  <w:divsChild>
                    <w:div w:id="655844314">
                      <w:marLeft w:val="0"/>
                      <w:marRight w:val="0"/>
                      <w:marTop w:val="0"/>
                      <w:marBottom w:val="0"/>
                      <w:divBdr>
                        <w:top w:val="none" w:sz="0" w:space="0" w:color="auto"/>
                        <w:left w:val="none" w:sz="0" w:space="0" w:color="auto"/>
                        <w:bottom w:val="none" w:sz="0" w:space="0" w:color="auto"/>
                        <w:right w:val="none" w:sz="0" w:space="0" w:color="auto"/>
                      </w:divBdr>
                    </w:div>
                  </w:divsChild>
                </w:div>
                <w:div w:id="1103570698">
                  <w:marLeft w:val="0"/>
                  <w:marRight w:val="0"/>
                  <w:marTop w:val="0"/>
                  <w:marBottom w:val="0"/>
                  <w:divBdr>
                    <w:top w:val="none" w:sz="0" w:space="0" w:color="auto"/>
                    <w:left w:val="none" w:sz="0" w:space="0" w:color="auto"/>
                    <w:bottom w:val="none" w:sz="0" w:space="0" w:color="auto"/>
                    <w:right w:val="none" w:sz="0" w:space="0" w:color="auto"/>
                  </w:divBdr>
                  <w:divsChild>
                    <w:div w:id="67700821">
                      <w:marLeft w:val="0"/>
                      <w:marRight w:val="0"/>
                      <w:marTop w:val="0"/>
                      <w:marBottom w:val="0"/>
                      <w:divBdr>
                        <w:top w:val="none" w:sz="0" w:space="0" w:color="auto"/>
                        <w:left w:val="none" w:sz="0" w:space="0" w:color="auto"/>
                        <w:bottom w:val="none" w:sz="0" w:space="0" w:color="auto"/>
                        <w:right w:val="none" w:sz="0" w:space="0" w:color="auto"/>
                      </w:divBdr>
                    </w:div>
                  </w:divsChild>
                </w:div>
                <w:div w:id="1104810041">
                  <w:marLeft w:val="0"/>
                  <w:marRight w:val="0"/>
                  <w:marTop w:val="0"/>
                  <w:marBottom w:val="0"/>
                  <w:divBdr>
                    <w:top w:val="none" w:sz="0" w:space="0" w:color="auto"/>
                    <w:left w:val="none" w:sz="0" w:space="0" w:color="auto"/>
                    <w:bottom w:val="none" w:sz="0" w:space="0" w:color="auto"/>
                    <w:right w:val="none" w:sz="0" w:space="0" w:color="auto"/>
                  </w:divBdr>
                  <w:divsChild>
                    <w:div w:id="1955552728">
                      <w:marLeft w:val="0"/>
                      <w:marRight w:val="0"/>
                      <w:marTop w:val="0"/>
                      <w:marBottom w:val="0"/>
                      <w:divBdr>
                        <w:top w:val="none" w:sz="0" w:space="0" w:color="auto"/>
                        <w:left w:val="none" w:sz="0" w:space="0" w:color="auto"/>
                        <w:bottom w:val="none" w:sz="0" w:space="0" w:color="auto"/>
                        <w:right w:val="none" w:sz="0" w:space="0" w:color="auto"/>
                      </w:divBdr>
                    </w:div>
                  </w:divsChild>
                </w:div>
                <w:div w:id="1104811358">
                  <w:marLeft w:val="0"/>
                  <w:marRight w:val="0"/>
                  <w:marTop w:val="0"/>
                  <w:marBottom w:val="0"/>
                  <w:divBdr>
                    <w:top w:val="none" w:sz="0" w:space="0" w:color="auto"/>
                    <w:left w:val="none" w:sz="0" w:space="0" w:color="auto"/>
                    <w:bottom w:val="none" w:sz="0" w:space="0" w:color="auto"/>
                    <w:right w:val="none" w:sz="0" w:space="0" w:color="auto"/>
                  </w:divBdr>
                  <w:divsChild>
                    <w:div w:id="1262908960">
                      <w:marLeft w:val="0"/>
                      <w:marRight w:val="0"/>
                      <w:marTop w:val="0"/>
                      <w:marBottom w:val="0"/>
                      <w:divBdr>
                        <w:top w:val="none" w:sz="0" w:space="0" w:color="auto"/>
                        <w:left w:val="none" w:sz="0" w:space="0" w:color="auto"/>
                        <w:bottom w:val="none" w:sz="0" w:space="0" w:color="auto"/>
                        <w:right w:val="none" w:sz="0" w:space="0" w:color="auto"/>
                      </w:divBdr>
                    </w:div>
                  </w:divsChild>
                </w:div>
                <w:div w:id="1110197516">
                  <w:marLeft w:val="0"/>
                  <w:marRight w:val="0"/>
                  <w:marTop w:val="0"/>
                  <w:marBottom w:val="0"/>
                  <w:divBdr>
                    <w:top w:val="none" w:sz="0" w:space="0" w:color="auto"/>
                    <w:left w:val="none" w:sz="0" w:space="0" w:color="auto"/>
                    <w:bottom w:val="none" w:sz="0" w:space="0" w:color="auto"/>
                    <w:right w:val="none" w:sz="0" w:space="0" w:color="auto"/>
                  </w:divBdr>
                  <w:divsChild>
                    <w:div w:id="118887597">
                      <w:marLeft w:val="0"/>
                      <w:marRight w:val="0"/>
                      <w:marTop w:val="0"/>
                      <w:marBottom w:val="0"/>
                      <w:divBdr>
                        <w:top w:val="none" w:sz="0" w:space="0" w:color="auto"/>
                        <w:left w:val="none" w:sz="0" w:space="0" w:color="auto"/>
                        <w:bottom w:val="none" w:sz="0" w:space="0" w:color="auto"/>
                        <w:right w:val="none" w:sz="0" w:space="0" w:color="auto"/>
                      </w:divBdr>
                    </w:div>
                  </w:divsChild>
                </w:div>
                <w:div w:id="1115443111">
                  <w:marLeft w:val="0"/>
                  <w:marRight w:val="0"/>
                  <w:marTop w:val="0"/>
                  <w:marBottom w:val="0"/>
                  <w:divBdr>
                    <w:top w:val="none" w:sz="0" w:space="0" w:color="auto"/>
                    <w:left w:val="none" w:sz="0" w:space="0" w:color="auto"/>
                    <w:bottom w:val="none" w:sz="0" w:space="0" w:color="auto"/>
                    <w:right w:val="none" w:sz="0" w:space="0" w:color="auto"/>
                  </w:divBdr>
                  <w:divsChild>
                    <w:div w:id="1499155730">
                      <w:marLeft w:val="0"/>
                      <w:marRight w:val="0"/>
                      <w:marTop w:val="0"/>
                      <w:marBottom w:val="0"/>
                      <w:divBdr>
                        <w:top w:val="none" w:sz="0" w:space="0" w:color="auto"/>
                        <w:left w:val="none" w:sz="0" w:space="0" w:color="auto"/>
                        <w:bottom w:val="none" w:sz="0" w:space="0" w:color="auto"/>
                        <w:right w:val="none" w:sz="0" w:space="0" w:color="auto"/>
                      </w:divBdr>
                    </w:div>
                  </w:divsChild>
                </w:div>
                <w:div w:id="1118142347">
                  <w:marLeft w:val="0"/>
                  <w:marRight w:val="0"/>
                  <w:marTop w:val="0"/>
                  <w:marBottom w:val="0"/>
                  <w:divBdr>
                    <w:top w:val="none" w:sz="0" w:space="0" w:color="auto"/>
                    <w:left w:val="none" w:sz="0" w:space="0" w:color="auto"/>
                    <w:bottom w:val="none" w:sz="0" w:space="0" w:color="auto"/>
                    <w:right w:val="none" w:sz="0" w:space="0" w:color="auto"/>
                  </w:divBdr>
                  <w:divsChild>
                    <w:div w:id="461074979">
                      <w:marLeft w:val="0"/>
                      <w:marRight w:val="0"/>
                      <w:marTop w:val="0"/>
                      <w:marBottom w:val="0"/>
                      <w:divBdr>
                        <w:top w:val="none" w:sz="0" w:space="0" w:color="auto"/>
                        <w:left w:val="none" w:sz="0" w:space="0" w:color="auto"/>
                        <w:bottom w:val="none" w:sz="0" w:space="0" w:color="auto"/>
                        <w:right w:val="none" w:sz="0" w:space="0" w:color="auto"/>
                      </w:divBdr>
                    </w:div>
                  </w:divsChild>
                </w:div>
                <w:div w:id="1126897056">
                  <w:marLeft w:val="0"/>
                  <w:marRight w:val="0"/>
                  <w:marTop w:val="0"/>
                  <w:marBottom w:val="0"/>
                  <w:divBdr>
                    <w:top w:val="none" w:sz="0" w:space="0" w:color="auto"/>
                    <w:left w:val="none" w:sz="0" w:space="0" w:color="auto"/>
                    <w:bottom w:val="none" w:sz="0" w:space="0" w:color="auto"/>
                    <w:right w:val="none" w:sz="0" w:space="0" w:color="auto"/>
                  </w:divBdr>
                  <w:divsChild>
                    <w:div w:id="531114816">
                      <w:marLeft w:val="0"/>
                      <w:marRight w:val="0"/>
                      <w:marTop w:val="0"/>
                      <w:marBottom w:val="0"/>
                      <w:divBdr>
                        <w:top w:val="none" w:sz="0" w:space="0" w:color="auto"/>
                        <w:left w:val="none" w:sz="0" w:space="0" w:color="auto"/>
                        <w:bottom w:val="none" w:sz="0" w:space="0" w:color="auto"/>
                        <w:right w:val="none" w:sz="0" w:space="0" w:color="auto"/>
                      </w:divBdr>
                    </w:div>
                  </w:divsChild>
                </w:div>
                <w:div w:id="1128933223">
                  <w:marLeft w:val="0"/>
                  <w:marRight w:val="0"/>
                  <w:marTop w:val="0"/>
                  <w:marBottom w:val="0"/>
                  <w:divBdr>
                    <w:top w:val="none" w:sz="0" w:space="0" w:color="auto"/>
                    <w:left w:val="none" w:sz="0" w:space="0" w:color="auto"/>
                    <w:bottom w:val="none" w:sz="0" w:space="0" w:color="auto"/>
                    <w:right w:val="none" w:sz="0" w:space="0" w:color="auto"/>
                  </w:divBdr>
                  <w:divsChild>
                    <w:div w:id="2133983257">
                      <w:marLeft w:val="0"/>
                      <w:marRight w:val="0"/>
                      <w:marTop w:val="0"/>
                      <w:marBottom w:val="0"/>
                      <w:divBdr>
                        <w:top w:val="none" w:sz="0" w:space="0" w:color="auto"/>
                        <w:left w:val="none" w:sz="0" w:space="0" w:color="auto"/>
                        <w:bottom w:val="none" w:sz="0" w:space="0" w:color="auto"/>
                        <w:right w:val="none" w:sz="0" w:space="0" w:color="auto"/>
                      </w:divBdr>
                    </w:div>
                  </w:divsChild>
                </w:div>
                <w:div w:id="1130129724">
                  <w:marLeft w:val="0"/>
                  <w:marRight w:val="0"/>
                  <w:marTop w:val="0"/>
                  <w:marBottom w:val="0"/>
                  <w:divBdr>
                    <w:top w:val="none" w:sz="0" w:space="0" w:color="auto"/>
                    <w:left w:val="none" w:sz="0" w:space="0" w:color="auto"/>
                    <w:bottom w:val="none" w:sz="0" w:space="0" w:color="auto"/>
                    <w:right w:val="none" w:sz="0" w:space="0" w:color="auto"/>
                  </w:divBdr>
                  <w:divsChild>
                    <w:div w:id="1394506809">
                      <w:marLeft w:val="0"/>
                      <w:marRight w:val="0"/>
                      <w:marTop w:val="0"/>
                      <w:marBottom w:val="0"/>
                      <w:divBdr>
                        <w:top w:val="none" w:sz="0" w:space="0" w:color="auto"/>
                        <w:left w:val="none" w:sz="0" w:space="0" w:color="auto"/>
                        <w:bottom w:val="none" w:sz="0" w:space="0" w:color="auto"/>
                        <w:right w:val="none" w:sz="0" w:space="0" w:color="auto"/>
                      </w:divBdr>
                    </w:div>
                  </w:divsChild>
                </w:div>
                <w:div w:id="1131246031">
                  <w:marLeft w:val="0"/>
                  <w:marRight w:val="0"/>
                  <w:marTop w:val="0"/>
                  <w:marBottom w:val="0"/>
                  <w:divBdr>
                    <w:top w:val="none" w:sz="0" w:space="0" w:color="auto"/>
                    <w:left w:val="none" w:sz="0" w:space="0" w:color="auto"/>
                    <w:bottom w:val="none" w:sz="0" w:space="0" w:color="auto"/>
                    <w:right w:val="none" w:sz="0" w:space="0" w:color="auto"/>
                  </w:divBdr>
                  <w:divsChild>
                    <w:div w:id="1958559850">
                      <w:marLeft w:val="0"/>
                      <w:marRight w:val="0"/>
                      <w:marTop w:val="0"/>
                      <w:marBottom w:val="0"/>
                      <w:divBdr>
                        <w:top w:val="none" w:sz="0" w:space="0" w:color="auto"/>
                        <w:left w:val="none" w:sz="0" w:space="0" w:color="auto"/>
                        <w:bottom w:val="none" w:sz="0" w:space="0" w:color="auto"/>
                        <w:right w:val="none" w:sz="0" w:space="0" w:color="auto"/>
                      </w:divBdr>
                    </w:div>
                  </w:divsChild>
                </w:div>
                <w:div w:id="1140806779">
                  <w:marLeft w:val="0"/>
                  <w:marRight w:val="0"/>
                  <w:marTop w:val="0"/>
                  <w:marBottom w:val="0"/>
                  <w:divBdr>
                    <w:top w:val="none" w:sz="0" w:space="0" w:color="auto"/>
                    <w:left w:val="none" w:sz="0" w:space="0" w:color="auto"/>
                    <w:bottom w:val="none" w:sz="0" w:space="0" w:color="auto"/>
                    <w:right w:val="none" w:sz="0" w:space="0" w:color="auto"/>
                  </w:divBdr>
                  <w:divsChild>
                    <w:div w:id="1559437833">
                      <w:marLeft w:val="0"/>
                      <w:marRight w:val="0"/>
                      <w:marTop w:val="0"/>
                      <w:marBottom w:val="0"/>
                      <w:divBdr>
                        <w:top w:val="none" w:sz="0" w:space="0" w:color="auto"/>
                        <w:left w:val="none" w:sz="0" w:space="0" w:color="auto"/>
                        <w:bottom w:val="none" w:sz="0" w:space="0" w:color="auto"/>
                        <w:right w:val="none" w:sz="0" w:space="0" w:color="auto"/>
                      </w:divBdr>
                    </w:div>
                  </w:divsChild>
                </w:div>
                <w:div w:id="1144539349">
                  <w:marLeft w:val="0"/>
                  <w:marRight w:val="0"/>
                  <w:marTop w:val="0"/>
                  <w:marBottom w:val="0"/>
                  <w:divBdr>
                    <w:top w:val="none" w:sz="0" w:space="0" w:color="auto"/>
                    <w:left w:val="none" w:sz="0" w:space="0" w:color="auto"/>
                    <w:bottom w:val="none" w:sz="0" w:space="0" w:color="auto"/>
                    <w:right w:val="none" w:sz="0" w:space="0" w:color="auto"/>
                  </w:divBdr>
                  <w:divsChild>
                    <w:div w:id="78992131">
                      <w:marLeft w:val="0"/>
                      <w:marRight w:val="0"/>
                      <w:marTop w:val="0"/>
                      <w:marBottom w:val="0"/>
                      <w:divBdr>
                        <w:top w:val="none" w:sz="0" w:space="0" w:color="auto"/>
                        <w:left w:val="none" w:sz="0" w:space="0" w:color="auto"/>
                        <w:bottom w:val="none" w:sz="0" w:space="0" w:color="auto"/>
                        <w:right w:val="none" w:sz="0" w:space="0" w:color="auto"/>
                      </w:divBdr>
                    </w:div>
                  </w:divsChild>
                </w:div>
                <w:div w:id="1145005327">
                  <w:marLeft w:val="0"/>
                  <w:marRight w:val="0"/>
                  <w:marTop w:val="0"/>
                  <w:marBottom w:val="0"/>
                  <w:divBdr>
                    <w:top w:val="none" w:sz="0" w:space="0" w:color="auto"/>
                    <w:left w:val="none" w:sz="0" w:space="0" w:color="auto"/>
                    <w:bottom w:val="none" w:sz="0" w:space="0" w:color="auto"/>
                    <w:right w:val="none" w:sz="0" w:space="0" w:color="auto"/>
                  </w:divBdr>
                  <w:divsChild>
                    <w:div w:id="1559589147">
                      <w:marLeft w:val="0"/>
                      <w:marRight w:val="0"/>
                      <w:marTop w:val="0"/>
                      <w:marBottom w:val="0"/>
                      <w:divBdr>
                        <w:top w:val="none" w:sz="0" w:space="0" w:color="auto"/>
                        <w:left w:val="none" w:sz="0" w:space="0" w:color="auto"/>
                        <w:bottom w:val="none" w:sz="0" w:space="0" w:color="auto"/>
                        <w:right w:val="none" w:sz="0" w:space="0" w:color="auto"/>
                      </w:divBdr>
                    </w:div>
                  </w:divsChild>
                </w:div>
                <w:div w:id="1145009002">
                  <w:marLeft w:val="0"/>
                  <w:marRight w:val="0"/>
                  <w:marTop w:val="0"/>
                  <w:marBottom w:val="0"/>
                  <w:divBdr>
                    <w:top w:val="none" w:sz="0" w:space="0" w:color="auto"/>
                    <w:left w:val="none" w:sz="0" w:space="0" w:color="auto"/>
                    <w:bottom w:val="none" w:sz="0" w:space="0" w:color="auto"/>
                    <w:right w:val="none" w:sz="0" w:space="0" w:color="auto"/>
                  </w:divBdr>
                  <w:divsChild>
                    <w:div w:id="745882707">
                      <w:marLeft w:val="0"/>
                      <w:marRight w:val="0"/>
                      <w:marTop w:val="0"/>
                      <w:marBottom w:val="0"/>
                      <w:divBdr>
                        <w:top w:val="none" w:sz="0" w:space="0" w:color="auto"/>
                        <w:left w:val="none" w:sz="0" w:space="0" w:color="auto"/>
                        <w:bottom w:val="none" w:sz="0" w:space="0" w:color="auto"/>
                        <w:right w:val="none" w:sz="0" w:space="0" w:color="auto"/>
                      </w:divBdr>
                    </w:div>
                  </w:divsChild>
                </w:div>
                <w:div w:id="1148787356">
                  <w:marLeft w:val="0"/>
                  <w:marRight w:val="0"/>
                  <w:marTop w:val="0"/>
                  <w:marBottom w:val="0"/>
                  <w:divBdr>
                    <w:top w:val="none" w:sz="0" w:space="0" w:color="auto"/>
                    <w:left w:val="none" w:sz="0" w:space="0" w:color="auto"/>
                    <w:bottom w:val="none" w:sz="0" w:space="0" w:color="auto"/>
                    <w:right w:val="none" w:sz="0" w:space="0" w:color="auto"/>
                  </w:divBdr>
                  <w:divsChild>
                    <w:div w:id="1154683220">
                      <w:marLeft w:val="0"/>
                      <w:marRight w:val="0"/>
                      <w:marTop w:val="0"/>
                      <w:marBottom w:val="0"/>
                      <w:divBdr>
                        <w:top w:val="none" w:sz="0" w:space="0" w:color="auto"/>
                        <w:left w:val="none" w:sz="0" w:space="0" w:color="auto"/>
                        <w:bottom w:val="none" w:sz="0" w:space="0" w:color="auto"/>
                        <w:right w:val="none" w:sz="0" w:space="0" w:color="auto"/>
                      </w:divBdr>
                    </w:div>
                  </w:divsChild>
                </w:div>
                <w:div w:id="1150515426">
                  <w:marLeft w:val="0"/>
                  <w:marRight w:val="0"/>
                  <w:marTop w:val="0"/>
                  <w:marBottom w:val="0"/>
                  <w:divBdr>
                    <w:top w:val="none" w:sz="0" w:space="0" w:color="auto"/>
                    <w:left w:val="none" w:sz="0" w:space="0" w:color="auto"/>
                    <w:bottom w:val="none" w:sz="0" w:space="0" w:color="auto"/>
                    <w:right w:val="none" w:sz="0" w:space="0" w:color="auto"/>
                  </w:divBdr>
                  <w:divsChild>
                    <w:div w:id="218981178">
                      <w:marLeft w:val="0"/>
                      <w:marRight w:val="0"/>
                      <w:marTop w:val="0"/>
                      <w:marBottom w:val="0"/>
                      <w:divBdr>
                        <w:top w:val="none" w:sz="0" w:space="0" w:color="auto"/>
                        <w:left w:val="none" w:sz="0" w:space="0" w:color="auto"/>
                        <w:bottom w:val="none" w:sz="0" w:space="0" w:color="auto"/>
                        <w:right w:val="none" w:sz="0" w:space="0" w:color="auto"/>
                      </w:divBdr>
                    </w:div>
                  </w:divsChild>
                </w:div>
                <w:div w:id="1150753449">
                  <w:marLeft w:val="0"/>
                  <w:marRight w:val="0"/>
                  <w:marTop w:val="0"/>
                  <w:marBottom w:val="0"/>
                  <w:divBdr>
                    <w:top w:val="none" w:sz="0" w:space="0" w:color="auto"/>
                    <w:left w:val="none" w:sz="0" w:space="0" w:color="auto"/>
                    <w:bottom w:val="none" w:sz="0" w:space="0" w:color="auto"/>
                    <w:right w:val="none" w:sz="0" w:space="0" w:color="auto"/>
                  </w:divBdr>
                  <w:divsChild>
                    <w:div w:id="19405370">
                      <w:marLeft w:val="0"/>
                      <w:marRight w:val="0"/>
                      <w:marTop w:val="0"/>
                      <w:marBottom w:val="0"/>
                      <w:divBdr>
                        <w:top w:val="none" w:sz="0" w:space="0" w:color="auto"/>
                        <w:left w:val="none" w:sz="0" w:space="0" w:color="auto"/>
                        <w:bottom w:val="none" w:sz="0" w:space="0" w:color="auto"/>
                        <w:right w:val="none" w:sz="0" w:space="0" w:color="auto"/>
                      </w:divBdr>
                    </w:div>
                  </w:divsChild>
                </w:div>
                <w:div w:id="1154839441">
                  <w:marLeft w:val="0"/>
                  <w:marRight w:val="0"/>
                  <w:marTop w:val="0"/>
                  <w:marBottom w:val="0"/>
                  <w:divBdr>
                    <w:top w:val="none" w:sz="0" w:space="0" w:color="auto"/>
                    <w:left w:val="none" w:sz="0" w:space="0" w:color="auto"/>
                    <w:bottom w:val="none" w:sz="0" w:space="0" w:color="auto"/>
                    <w:right w:val="none" w:sz="0" w:space="0" w:color="auto"/>
                  </w:divBdr>
                  <w:divsChild>
                    <w:div w:id="533419339">
                      <w:marLeft w:val="0"/>
                      <w:marRight w:val="0"/>
                      <w:marTop w:val="0"/>
                      <w:marBottom w:val="0"/>
                      <w:divBdr>
                        <w:top w:val="none" w:sz="0" w:space="0" w:color="auto"/>
                        <w:left w:val="none" w:sz="0" w:space="0" w:color="auto"/>
                        <w:bottom w:val="none" w:sz="0" w:space="0" w:color="auto"/>
                        <w:right w:val="none" w:sz="0" w:space="0" w:color="auto"/>
                      </w:divBdr>
                    </w:div>
                  </w:divsChild>
                </w:div>
                <w:div w:id="1162038085">
                  <w:marLeft w:val="0"/>
                  <w:marRight w:val="0"/>
                  <w:marTop w:val="0"/>
                  <w:marBottom w:val="0"/>
                  <w:divBdr>
                    <w:top w:val="none" w:sz="0" w:space="0" w:color="auto"/>
                    <w:left w:val="none" w:sz="0" w:space="0" w:color="auto"/>
                    <w:bottom w:val="none" w:sz="0" w:space="0" w:color="auto"/>
                    <w:right w:val="none" w:sz="0" w:space="0" w:color="auto"/>
                  </w:divBdr>
                  <w:divsChild>
                    <w:div w:id="484904422">
                      <w:marLeft w:val="0"/>
                      <w:marRight w:val="0"/>
                      <w:marTop w:val="0"/>
                      <w:marBottom w:val="0"/>
                      <w:divBdr>
                        <w:top w:val="none" w:sz="0" w:space="0" w:color="auto"/>
                        <w:left w:val="none" w:sz="0" w:space="0" w:color="auto"/>
                        <w:bottom w:val="none" w:sz="0" w:space="0" w:color="auto"/>
                        <w:right w:val="none" w:sz="0" w:space="0" w:color="auto"/>
                      </w:divBdr>
                    </w:div>
                  </w:divsChild>
                </w:div>
                <w:div w:id="1162281463">
                  <w:marLeft w:val="0"/>
                  <w:marRight w:val="0"/>
                  <w:marTop w:val="0"/>
                  <w:marBottom w:val="0"/>
                  <w:divBdr>
                    <w:top w:val="none" w:sz="0" w:space="0" w:color="auto"/>
                    <w:left w:val="none" w:sz="0" w:space="0" w:color="auto"/>
                    <w:bottom w:val="none" w:sz="0" w:space="0" w:color="auto"/>
                    <w:right w:val="none" w:sz="0" w:space="0" w:color="auto"/>
                  </w:divBdr>
                  <w:divsChild>
                    <w:div w:id="806161774">
                      <w:marLeft w:val="0"/>
                      <w:marRight w:val="0"/>
                      <w:marTop w:val="0"/>
                      <w:marBottom w:val="0"/>
                      <w:divBdr>
                        <w:top w:val="none" w:sz="0" w:space="0" w:color="auto"/>
                        <w:left w:val="none" w:sz="0" w:space="0" w:color="auto"/>
                        <w:bottom w:val="none" w:sz="0" w:space="0" w:color="auto"/>
                        <w:right w:val="none" w:sz="0" w:space="0" w:color="auto"/>
                      </w:divBdr>
                    </w:div>
                  </w:divsChild>
                </w:div>
                <w:div w:id="1165631480">
                  <w:marLeft w:val="0"/>
                  <w:marRight w:val="0"/>
                  <w:marTop w:val="0"/>
                  <w:marBottom w:val="0"/>
                  <w:divBdr>
                    <w:top w:val="none" w:sz="0" w:space="0" w:color="auto"/>
                    <w:left w:val="none" w:sz="0" w:space="0" w:color="auto"/>
                    <w:bottom w:val="none" w:sz="0" w:space="0" w:color="auto"/>
                    <w:right w:val="none" w:sz="0" w:space="0" w:color="auto"/>
                  </w:divBdr>
                  <w:divsChild>
                    <w:div w:id="1558584484">
                      <w:marLeft w:val="0"/>
                      <w:marRight w:val="0"/>
                      <w:marTop w:val="0"/>
                      <w:marBottom w:val="0"/>
                      <w:divBdr>
                        <w:top w:val="none" w:sz="0" w:space="0" w:color="auto"/>
                        <w:left w:val="none" w:sz="0" w:space="0" w:color="auto"/>
                        <w:bottom w:val="none" w:sz="0" w:space="0" w:color="auto"/>
                        <w:right w:val="none" w:sz="0" w:space="0" w:color="auto"/>
                      </w:divBdr>
                    </w:div>
                  </w:divsChild>
                </w:div>
                <w:div w:id="1170289717">
                  <w:marLeft w:val="0"/>
                  <w:marRight w:val="0"/>
                  <w:marTop w:val="0"/>
                  <w:marBottom w:val="0"/>
                  <w:divBdr>
                    <w:top w:val="none" w:sz="0" w:space="0" w:color="auto"/>
                    <w:left w:val="none" w:sz="0" w:space="0" w:color="auto"/>
                    <w:bottom w:val="none" w:sz="0" w:space="0" w:color="auto"/>
                    <w:right w:val="none" w:sz="0" w:space="0" w:color="auto"/>
                  </w:divBdr>
                  <w:divsChild>
                    <w:div w:id="455100413">
                      <w:marLeft w:val="0"/>
                      <w:marRight w:val="0"/>
                      <w:marTop w:val="0"/>
                      <w:marBottom w:val="0"/>
                      <w:divBdr>
                        <w:top w:val="none" w:sz="0" w:space="0" w:color="auto"/>
                        <w:left w:val="none" w:sz="0" w:space="0" w:color="auto"/>
                        <w:bottom w:val="none" w:sz="0" w:space="0" w:color="auto"/>
                        <w:right w:val="none" w:sz="0" w:space="0" w:color="auto"/>
                      </w:divBdr>
                    </w:div>
                  </w:divsChild>
                </w:div>
                <w:div w:id="1184320189">
                  <w:marLeft w:val="0"/>
                  <w:marRight w:val="0"/>
                  <w:marTop w:val="0"/>
                  <w:marBottom w:val="0"/>
                  <w:divBdr>
                    <w:top w:val="none" w:sz="0" w:space="0" w:color="auto"/>
                    <w:left w:val="none" w:sz="0" w:space="0" w:color="auto"/>
                    <w:bottom w:val="none" w:sz="0" w:space="0" w:color="auto"/>
                    <w:right w:val="none" w:sz="0" w:space="0" w:color="auto"/>
                  </w:divBdr>
                  <w:divsChild>
                    <w:div w:id="1606882908">
                      <w:marLeft w:val="0"/>
                      <w:marRight w:val="0"/>
                      <w:marTop w:val="0"/>
                      <w:marBottom w:val="0"/>
                      <w:divBdr>
                        <w:top w:val="none" w:sz="0" w:space="0" w:color="auto"/>
                        <w:left w:val="none" w:sz="0" w:space="0" w:color="auto"/>
                        <w:bottom w:val="none" w:sz="0" w:space="0" w:color="auto"/>
                        <w:right w:val="none" w:sz="0" w:space="0" w:color="auto"/>
                      </w:divBdr>
                    </w:div>
                  </w:divsChild>
                </w:div>
                <w:div w:id="1184781627">
                  <w:marLeft w:val="0"/>
                  <w:marRight w:val="0"/>
                  <w:marTop w:val="0"/>
                  <w:marBottom w:val="0"/>
                  <w:divBdr>
                    <w:top w:val="none" w:sz="0" w:space="0" w:color="auto"/>
                    <w:left w:val="none" w:sz="0" w:space="0" w:color="auto"/>
                    <w:bottom w:val="none" w:sz="0" w:space="0" w:color="auto"/>
                    <w:right w:val="none" w:sz="0" w:space="0" w:color="auto"/>
                  </w:divBdr>
                  <w:divsChild>
                    <w:div w:id="1782651274">
                      <w:marLeft w:val="0"/>
                      <w:marRight w:val="0"/>
                      <w:marTop w:val="0"/>
                      <w:marBottom w:val="0"/>
                      <w:divBdr>
                        <w:top w:val="none" w:sz="0" w:space="0" w:color="auto"/>
                        <w:left w:val="none" w:sz="0" w:space="0" w:color="auto"/>
                        <w:bottom w:val="none" w:sz="0" w:space="0" w:color="auto"/>
                        <w:right w:val="none" w:sz="0" w:space="0" w:color="auto"/>
                      </w:divBdr>
                    </w:div>
                  </w:divsChild>
                </w:div>
                <w:div w:id="1198546639">
                  <w:marLeft w:val="0"/>
                  <w:marRight w:val="0"/>
                  <w:marTop w:val="0"/>
                  <w:marBottom w:val="0"/>
                  <w:divBdr>
                    <w:top w:val="none" w:sz="0" w:space="0" w:color="auto"/>
                    <w:left w:val="none" w:sz="0" w:space="0" w:color="auto"/>
                    <w:bottom w:val="none" w:sz="0" w:space="0" w:color="auto"/>
                    <w:right w:val="none" w:sz="0" w:space="0" w:color="auto"/>
                  </w:divBdr>
                  <w:divsChild>
                    <w:div w:id="654453688">
                      <w:marLeft w:val="0"/>
                      <w:marRight w:val="0"/>
                      <w:marTop w:val="0"/>
                      <w:marBottom w:val="0"/>
                      <w:divBdr>
                        <w:top w:val="none" w:sz="0" w:space="0" w:color="auto"/>
                        <w:left w:val="none" w:sz="0" w:space="0" w:color="auto"/>
                        <w:bottom w:val="none" w:sz="0" w:space="0" w:color="auto"/>
                        <w:right w:val="none" w:sz="0" w:space="0" w:color="auto"/>
                      </w:divBdr>
                    </w:div>
                  </w:divsChild>
                </w:div>
                <w:div w:id="1201282381">
                  <w:marLeft w:val="0"/>
                  <w:marRight w:val="0"/>
                  <w:marTop w:val="0"/>
                  <w:marBottom w:val="0"/>
                  <w:divBdr>
                    <w:top w:val="none" w:sz="0" w:space="0" w:color="auto"/>
                    <w:left w:val="none" w:sz="0" w:space="0" w:color="auto"/>
                    <w:bottom w:val="none" w:sz="0" w:space="0" w:color="auto"/>
                    <w:right w:val="none" w:sz="0" w:space="0" w:color="auto"/>
                  </w:divBdr>
                  <w:divsChild>
                    <w:div w:id="1779877">
                      <w:marLeft w:val="0"/>
                      <w:marRight w:val="0"/>
                      <w:marTop w:val="0"/>
                      <w:marBottom w:val="0"/>
                      <w:divBdr>
                        <w:top w:val="none" w:sz="0" w:space="0" w:color="auto"/>
                        <w:left w:val="none" w:sz="0" w:space="0" w:color="auto"/>
                        <w:bottom w:val="none" w:sz="0" w:space="0" w:color="auto"/>
                        <w:right w:val="none" w:sz="0" w:space="0" w:color="auto"/>
                      </w:divBdr>
                    </w:div>
                  </w:divsChild>
                </w:div>
                <w:div w:id="1206020640">
                  <w:marLeft w:val="0"/>
                  <w:marRight w:val="0"/>
                  <w:marTop w:val="0"/>
                  <w:marBottom w:val="0"/>
                  <w:divBdr>
                    <w:top w:val="none" w:sz="0" w:space="0" w:color="auto"/>
                    <w:left w:val="none" w:sz="0" w:space="0" w:color="auto"/>
                    <w:bottom w:val="none" w:sz="0" w:space="0" w:color="auto"/>
                    <w:right w:val="none" w:sz="0" w:space="0" w:color="auto"/>
                  </w:divBdr>
                  <w:divsChild>
                    <w:div w:id="221336674">
                      <w:marLeft w:val="0"/>
                      <w:marRight w:val="0"/>
                      <w:marTop w:val="0"/>
                      <w:marBottom w:val="0"/>
                      <w:divBdr>
                        <w:top w:val="none" w:sz="0" w:space="0" w:color="auto"/>
                        <w:left w:val="none" w:sz="0" w:space="0" w:color="auto"/>
                        <w:bottom w:val="none" w:sz="0" w:space="0" w:color="auto"/>
                        <w:right w:val="none" w:sz="0" w:space="0" w:color="auto"/>
                      </w:divBdr>
                    </w:div>
                  </w:divsChild>
                </w:div>
                <w:div w:id="1209302175">
                  <w:marLeft w:val="0"/>
                  <w:marRight w:val="0"/>
                  <w:marTop w:val="0"/>
                  <w:marBottom w:val="0"/>
                  <w:divBdr>
                    <w:top w:val="none" w:sz="0" w:space="0" w:color="auto"/>
                    <w:left w:val="none" w:sz="0" w:space="0" w:color="auto"/>
                    <w:bottom w:val="none" w:sz="0" w:space="0" w:color="auto"/>
                    <w:right w:val="none" w:sz="0" w:space="0" w:color="auto"/>
                  </w:divBdr>
                  <w:divsChild>
                    <w:div w:id="1117793005">
                      <w:marLeft w:val="0"/>
                      <w:marRight w:val="0"/>
                      <w:marTop w:val="0"/>
                      <w:marBottom w:val="0"/>
                      <w:divBdr>
                        <w:top w:val="none" w:sz="0" w:space="0" w:color="auto"/>
                        <w:left w:val="none" w:sz="0" w:space="0" w:color="auto"/>
                        <w:bottom w:val="none" w:sz="0" w:space="0" w:color="auto"/>
                        <w:right w:val="none" w:sz="0" w:space="0" w:color="auto"/>
                      </w:divBdr>
                    </w:div>
                  </w:divsChild>
                </w:div>
                <w:div w:id="1211259122">
                  <w:marLeft w:val="0"/>
                  <w:marRight w:val="0"/>
                  <w:marTop w:val="0"/>
                  <w:marBottom w:val="0"/>
                  <w:divBdr>
                    <w:top w:val="none" w:sz="0" w:space="0" w:color="auto"/>
                    <w:left w:val="none" w:sz="0" w:space="0" w:color="auto"/>
                    <w:bottom w:val="none" w:sz="0" w:space="0" w:color="auto"/>
                    <w:right w:val="none" w:sz="0" w:space="0" w:color="auto"/>
                  </w:divBdr>
                  <w:divsChild>
                    <w:div w:id="495920309">
                      <w:marLeft w:val="0"/>
                      <w:marRight w:val="0"/>
                      <w:marTop w:val="0"/>
                      <w:marBottom w:val="0"/>
                      <w:divBdr>
                        <w:top w:val="none" w:sz="0" w:space="0" w:color="auto"/>
                        <w:left w:val="none" w:sz="0" w:space="0" w:color="auto"/>
                        <w:bottom w:val="none" w:sz="0" w:space="0" w:color="auto"/>
                        <w:right w:val="none" w:sz="0" w:space="0" w:color="auto"/>
                      </w:divBdr>
                    </w:div>
                  </w:divsChild>
                </w:div>
                <w:div w:id="1215459788">
                  <w:marLeft w:val="0"/>
                  <w:marRight w:val="0"/>
                  <w:marTop w:val="0"/>
                  <w:marBottom w:val="0"/>
                  <w:divBdr>
                    <w:top w:val="none" w:sz="0" w:space="0" w:color="auto"/>
                    <w:left w:val="none" w:sz="0" w:space="0" w:color="auto"/>
                    <w:bottom w:val="none" w:sz="0" w:space="0" w:color="auto"/>
                    <w:right w:val="none" w:sz="0" w:space="0" w:color="auto"/>
                  </w:divBdr>
                  <w:divsChild>
                    <w:div w:id="707921372">
                      <w:marLeft w:val="0"/>
                      <w:marRight w:val="0"/>
                      <w:marTop w:val="0"/>
                      <w:marBottom w:val="0"/>
                      <w:divBdr>
                        <w:top w:val="none" w:sz="0" w:space="0" w:color="auto"/>
                        <w:left w:val="none" w:sz="0" w:space="0" w:color="auto"/>
                        <w:bottom w:val="none" w:sz="0" w:space="0" w:color="auto"/>
                        <w:right w:val="none" w:sz="0" w:space="0" w:color="auto"/>
                      </w:divBdr>
                    </w:div>
                  </w:divsChild>
                </w:div>
                <w:div w:id="1215968799">
                  <w:marLeft w:val="0"/>
                  <w:marRight w:val="0"/>
                  <w:marTop w:val="0"/>
                  <w:marBottom w:val="0"/>
                  <w:divBdr>
                    <w:top w:val="none" w:sz="0" w:space="0" w:color="auto"/>
                    <w:left w:val="none" w:sz="0" w:space="0" w:color="auto"/>
                    <w:bottom w:val="none" w:sz="0" w:space="0" w:color="auto"/>
                    <w:right w:val="none" w:sz="0" w:space="0" w:color="auto"/>
                  </w:divBdr>
                  <w:divsChild>
                    <w:div w:id="165247123">
                      <w:marLeft w:val="0"/>
                      <w:marRight w:val="0"/>
                      <w:marTop w:val="0"/>
                      <w:marBottom w:val="0"/>
                      <w:divBdr>
                        <w:top w:val="none" w:sz="0" w:space="0" w:color="auto"/>
                        <w:left w:val="none" w:sz="0" w:space="0" w:color="auto"/>
                        <w:bottom w:val="none" w:sz="0" w:space="0" w:color="auto"/>
                        <w:right w:val="none" w:sz="0" w:space="0" w:color="auto"/>
                      </w:divBdr>
                    </w:div>
                  </w:divsChild>
                </w:div>
                <w:div w:id="1222866460">
                  <w:marLeft w:val="0"/>
                  <w:marRight w:val="0"/>
                  <w:marTop w:val="0"/>
                  <w:marBottom w:val="0"/>
                  <w:divBdr>
                    <w:top w:val="none" w:sz="0" w:space="0" w:color="auto"/>
                    <w:left w:val="none" w:sz="0" w:space="0" w:color="auto"/>
                    <w:bottom w:val="none" w:sz="0" w:space="0" w:color="auto"/>
                    <w:right w:val="none" w:sz="0" w:space="0" w:color="auto"/>
                  </w:divBdr>
                  <w:divsChild>
                    <w:div w:id="639572729">
                      <w:marLeft w:val="0"/>
                      <w:marRight w:val="0"/>
                      <w:marTop w:val="0"/>
                      <w:marBottom w:val="0"/>
                      <w:divBdr>
                        <w:top w:val="none" w:sz="0" w:space="0" w:color="auto"/>
                        <w:left w:val="none" w:sz="0" w:space="0" w:color="auto"/>
                        <w:bottom w:val="none" w:sz="0" w:space="0" w:color="auto"/>
                        <w:right w:val="none" w:sz="0" w:space="0" w:color="auto"/>
                      </w:divBdr>
                    </w:div>
                  </w:divsChild>
                </w:div>
                <w:div w:id="1253245156">
                  <w:marLeft w:val="0"/>
                  <w:marRight w:val="0"/>
                  <w:marTop w:val="0"/>
                  <w:marBottom w:val="0"/>
                  <w:divBdr>
                    <w:top w:val="none" w:sz="0" w:space="0" w:color="auto"/>
                    <w:left w:val="none" w:sz="0" w:space="0" w:color="auto"/>
                    <w:bottom w:val="none" w:sz="0" w:space="0" w:color="auto"/>
                    <w:right w:val="none" w:sz="0" w:space="0" w:color="auto"/>
                  </w:divBdr>
                  <w:divsChild>
                    <w:div w:id="270599200">
                      <w:marLeft w:val="0"/>
                      <w:marRight w:val="0"/>
                      <w:marTop w:val="0"/>
                      <w:marBottom w:val="0"/>
                      <w:divBdr>
                        <w:top w:val="none" w:sz="0" w:space="0" w:color="auto"/>
                        <w:left w:val="none" w:sz="0" w:space="0" w:color="auto"/>
                        <w:bottom w:val="none" w:sz="0" w:space="0" w:color="auto"/>
                        <w:right w:val="none" w:sz="0" w:space="0" w:color="auto"/>
                      </w:divBdr>
                    </w:div>
                  </w:divsChild>
                </w:div>
                <w:div w:id="1253391248">
                  <w:marLeft w:val="0"/>
                  <w:marRight w:val="0"/>
                  <w:marTop w:val="0"/>
                  <w:marBottom w:val="0"/>
                  <w:divBdr>
                    <w:top w:val="none" w:sz="0" w:space="0" w:color="auto"/>
                    <w:left w:val="none" w:sz="0" w:space="0" w:color="auto"/>
                    <w:bottom w:val="none" w:sz="0" w:space="0" w:color="auto"/>
                    <w:right w:val="none" w:sz="0" w:space="0" w:color="auto"/>
                  </w:divBdr>
                  <w:divsChild>
                    <w:div w:id="924336338">
                      <w:marLeft w:val="0"/>
                      <w:marRight w:val="0"/>
                      <w:marTop w:val="0"/>
                      <w:marBottom w:val="0"/>
                      <w:divBdr>
                        <w:top w:val="none" w:sz="0" w:space="0" w:color="auto"/>
                        <w:left w:val="none" w:sz="0" w:space="0" w:color="auto"/>
                        <w:bottom w:val="none" w:sz="0" w:space="0" w:color="auto"/>
                        <w:right w:val="none" w:sz="0" w:space="0" w:color="auto"/>
                      </w:divBdr>
                    </w:div>
                  </w:divsChild>
                </w:div>
                <w:div w:id="1258829253">
                  <w:marLeft w:val="0"/>
                  <w:marRight w:val="0"/>
                  <w:marTop w:val="0"/>
                  <w:marBottom w:val="0"/>
                  <w:divBdr>
                    <w:top w:val="none" w:sz="0" w:space="0" w:color="auto"/>
                    <w:left w:val="none" w:sz="0" w:space="0" w:color="auto"/>
                    <w:bottom w:val="none" w:sz="0" w:space="0" w:color="auto"/>
                    <w:right w:val="none" w:sz="0" w:space="0" w:color="auto"/>
                  </w:divBdr>
                  <w:divsChild>
                    <w:div w:id="1157191438">
                      <w:marLeft w:val="0"/>
                      <w:marRight w:val="0"/>
                      <w:marTop w:val="0"/>
                      <w:marBottom w:val="0"/>
                      <w:divBdr>
                        <w:top w:val="none" w:sz="0" w:space="0" w:color="auto"/>
                        <w:left w:val="none" w:sz="0" w:space="0" w:color="auto"/>
                        <w:bottom w:val="none" w:sz="0" w:space="0" w:color="auto"/>
                        <w:right w:val="none" w:sz="0" w:space="0" w:color="auto"/>
                      </w:divBdr>
                    </w:div>
                  </w:divsChild>
                </w:div>
                <w:div w:id="1261258738">
                  <w:marLeft w:val="0"/>
                  <w:marRight w:val="0"/>
                  <w:marTop w:val="0"/>
                  <w:marBottom w:val="0"/>
                  <w:divBdr>
                    <w:top w:val="none" w:sz="0" w:space="0" w:color="auto"/>
                    <w:left w:val="none" w:sz="0" w:space="0" w:color="auto"/>
                    <w:bottom w:val="none" w:sz="0" w:space="0" w:color="auto"/>
                    <w:right w:val="none" w:sz="0" w:space="0" w:color="auto"/>
                  </w:divBdr>
                  <w:divsChild>
                    <w:div w:id="411004461">
                      <w:marLeft w:val="0"/>
                      <w:marRight w:val="0"/>
                      <w:marTop w:val="0"/>
                      <w:marBottom w:val="0"/>
                      <w:divBdr>
                        <w:top w:val="none" w:sz="0" w:space="0" w:color="auto"/>
                        <w:left w:val="none" w:sz="0" w:space="0" w:color="auto"/>
                        <w:bottom w:val="none" w:sz="0" w:space="0" w:color="auto"/>
                        <w:right w:val="none" w:sz="0" w:space="0" w:color="auto"/>
                      </w:divBdr>
                    </w:div>
                  </w:divsChild>
                </w:div>
                <w:div w:id="1261450691">
                  <w:marLeft w:val="0"/>
                  <w:marRight w:val="0"/>
                  <w:marTop w:val="0"/>
                  <w:marBottom w:val="0"/>
                  <w:divBdr>
                    <w:top w:val="none" w:sz="0" w:space="0" w:color="auto"/>
                    <w:left w:val="none" w:sz="0" w:space="0" w:color="auto"/>
                    <w:bottom w:val="none" w:sz="0" w:space="0" w:color="auto"/>
                    <w:right w:val="none" w:sz="0" w:space="0" w:color="auto"/>
                  </w:divBdr>
                  <w:divsChild>
                    <w:div w:id="653533969">
                      <w:marLeft w:val="0"/>
                      <w:marRight w:val="0"/>
                      <w:marTop w:val="0"/>
                      <w:marBottom w:val="0"/>
                      <w:divBdr>
                        <w:top w:val="none" w:sz="0" w:space="0" w:color="auto"/>
                        <w:left w:val="none" w:sz="0" w:space="0" w:color="auto"/>
                        <w:bottom w:val="none" w:sz="0" w:space="0" w:color="auto"/>
                        <w:right w:val="none" w:sz="0" w:space="0" w:color="auto"/>
                      </w:divBdr>
                    </w:div>
                  </w:divsChild>
                </w:div>
                <w:div w:id="1267811316">
                  <w:marLeft w:val="0"/>
                  <w:marRight w:val="0"/>
                  <w:marTop w:val="0"/>
                  <w:marBottom w:val="0"/>
                  <w:divBdr>
                    <w:top w:val="none" w:sz="0" w:space="0" w:color="auto"/>
                    <w:left w:val="none" w:sz="0" w:space="0" w:color="auto"/>
                    <w:bottom w:val="none" w:sz="0" w:space="0" w:color="auto"/>
                    <w:right w:val="none" w:sz="0" w:space="0" w:color="auto"/>
                  </w:divBdr>
                  <w:divsChild>
                    <w:div w:id="1532962887">
                      <w:marLeft w:val="0"/>
                      <w:marRight w:val="0"/>
                      <w:marTop w:val="0"/>
                      <w:marBottom w:val="0"/>
                      <w:divBdr>
                        <w:top w:val="none" w:sz="0" w:space="0" w:color="auto"/>
                        <w:left w:val="none" w:sz="0" w:space="0" w:color="auto"/>
                        <w:bottom w:val="none" w:sz="0" w:space="0" w:color="auto"/>
                        <w:right w:val="none" w:sz="0" w:space="0" w:color="auto"/>
                      </w:divBdr>
                    </w:div>
                  </w:divsChild>
                </w:div>
                <w:div w:id="1270047421">
                  <w:marLeft w:val="0"/>
                  <w:marRight w:val="0"/>
                  <w:marTop w:val="0"/>
                  <w:marBottom w:val="0"/>
                  <w:divBdr>
                    <w:top w:val="none" w:sz="0" w:space="0" w:color="auto"/>
                    <w:left w:val="none" w:sz="0" w:space="0" w:color="auto"/>
                    <w:bottom w:val="none" w:sz="0" w:space="0" w:color="auto"/>
                    <w:right w:val="none" w:sz="0" w:space="0" w:color="auto"/>
                  </w:divBdr>
                  <w:divsChild>
                    <w:div w:id="1444761784">
                      <w:marLeft w:val="0"/>
                      <w:marRight w:val="0"/>
                      <w:marTop w:val="0"/>
                      <w:marBottom w:val="0"/>
                      <w:divBdr>
                        <w:top w:val="none" w:sz="0" w:space="0" w:color="auto"/>
                        <w:left w:val="none" w:sz="0" w:space="0" w:color="auto"/>
                        <w:bottom w:val="none" w:sz="0" w:space="0" w:color="auto"/>
                        <w:right w:val="none" w:sz="0" w:space="0" w:color="auto"/>
                      </w:divBdr>
                    </w:div>
                  </w:divsChild>
                </w:div>
                <w:div w:id="1280649301">
                  <w:marLeft w:val="0"/>
                  <w:marRight w:val="0"/>
                  <w:marTop w:val="0"/>
                  <w:marBottom w:val="0"/>
                  <w:divBdr>
                    <w:top w:val="none" w:sz="0" w:space="0" w:color="auto"/>
                    <w:left w:val="none" w:sz="0" w:space="0" w:color="auto"/>
                    <w:bottom w:val="none" w:sz="0" w:space="0" w:color="auto"/>
                    <w:right w:val="none" w:sz="0" w:space="0" w:color="auto"/>
                  </w:divBdr>
                  <w:divsChild>
                    <w:div w:id="332487752">
                      <w:marLeft w:val="0"/>
                      <w:marRight w:val="0"/>
                      <w:marTop w:val="0"/>
                      <w:marBottom w:val="0"/>
                      <w:divBdr>
                        <w:top w:val="none" w:sz="0" w:space="0" w:color="auto"/>
                        <w:left w:val="none" w:sz="0" w:space="0" w:color="auto"/>
                        <w:bottom w:val="none" w:sz="0" w:space="0" w:color="auto"/>
                        <w:right w:val="none" w:sz="0" w:space="0" w:color="auto"/>
                      </w:divBdr>
                    </w:div>
                  </w:divsChild>
                </w:div>
                <w:div w:id="1285231257">
                  <w:marLeft w:val="0"/>
                  <w:marRight w:val="0"/>
                  <w:marTop w:val="0"/>
                  <w:marBottom w:val="0"/>
                  <w:divBdr>
                    <w:top w:val="none" w:sz="0" w:space="0" w:color="auto"/>
                    <w:left w:val="none" w:sz="0" w:space="0" w:color="auto"/>
                    <w:bottom w:val="none" w:sz="0" w:space="0" w:color="auto"/>
                    <w:right w:val="none" w:sz="0" w:space="0" w:color="auto"/>
                  </w:divBdr>
                  <w:divsChild>
                    <w:div w:id="1435175702">
                      <w:marLeft w:val="0"/>
                      <w:marRight w:val="0"/>
                      <w:marTop w:val="0"/>
                      <w:marBottom w:val="0"/>
                      <w:divBdr>
                        <w:top w:val="none" w:sz="0" w:space="0" w:color="auto"/>
                        <w:left w:val="none" w:sz="0" w:space="0" w:color="auto"/>
                        <w:bottom w:val="none" w:sz="0" w:space="0" w:color="auto"/>
                        <w:right w:val="none" w:sz="0" w:space="0" w:color="auto"/>
                      </w:divBdr>
                    </w:div>
                  </w:divsChild>
                </w:div>
                <w:div w:id="1307541015">
                  <w:marLeft w:val="0"/>
                  <w:marRight w:val="0"/>
                  <w:marTop w:val="0"/>
                  <w:marBottom w:val="0"/>
                  <w:divBdr>
                    <w:top w:val="none" w:sz="0" w:space="0" w:color="auto"/>
                    <w:left w:val="none" w:sz="0" w:space="0" w:color="auto"/>
                    <w:bottom w:val="none" w:sz="0" w:space="0" w:color="auto"/>
                    <w:right w:val="none" w:sz="0" w:space="0" w:color="auto"/>
                  </w:divBdr>
                  <w:divsChild>
                    <w:div w:id="163329103">
                      <w:marLeft w:val="0"/>
                      <w:marRight w:val="0"/>
                      <w:marTop w:val="0"/>
                      <w:marBottom w:val="0"/>
                      <w:divBdr>
                        <w:top w:val="none" w:sz="0" w:space="0" w:color="auto"/>
                        <w:left w:val="none" w:sz="0" w:space="0" w:color="auto"/>
                        <w:bottom w:val="none" w:sz="0" w:space="0" w:color="auto"/>
                        <w:right w:val="none" w:sz="0" w:space="0" w:color="auto"/>
                      </w:divBdr>
                    </w:div>
                  </w:divsChild>
                </w:div>
                <w:div w:id="1310595551">
                  <w:marLeft w:val="0"/>
                  <w:marRight w:val="0"/>
                  <w:marTop w:val="0"/>
                  <w:marBottom w:val="0"/>
                  <w:divBdr>
                    <w:top w:val="none" w:sz="0" w:space="0" w:color="auto"/>
                    <w:left w:val="none" w:sz="0" w:space="0" w:color="auto"/>
                    <w:bottom w:val="none" w:sz="0" w:space="0" w:color="auto"/>
                    <w:right w:val="none" w:sz="0" w:space="0" w:color="auto"/>
                  </w:divBdr>
                  <w:divsChild>
                    <w:div w:id="845437260">
                      <w:marLeft w:val="0"/>
                      <w:marRight w:val="0"/>
                      <w:marTop w:val="0"/>
                      <w:marBottom w:val="0"/>
                      <w:divBdr>
                        <w:top w:val="none" w:sz="0" w:space="0" w:color="auto"/>
                        <w:left w:val="none" w:sz="0" w:space="0" w:color="auto"/>
                        <w:bottom w:val="none" w:sz="0" w:space="0" w:color="auto"/>
                        <w:right w:val="none" w:sz="0" w:space="0" w:color="auto"/>
                      </w:divBdr>
                    </w:div>
                  </w:divsChild>
                </w:div>
                <w:div w:id="1313101567">
                  <w:marLeft w:val="0"/>
                  <w:marRight w:val="0"/>
                  <w:marTop w:val="0"/>
                  <w:marBottom w:val="0"/>
                  <w:divBdr>
                    <w:top w:val="none" w:sz="0" w:space="0" w:color="auto"/>
                    <w:left w:val="none" w:sz="0" w:space="0" w:color="auto"/>
                    <w:bottom w:val="none" w:sz="0" w:space="0" w:color="auto"/>
                    <w:right w:val="none" w:sz="0" w:space="0" w:color="auto"/>
                  </w:divBdr>
                  <w:divsChild>
                    <w:div w:id="1563367708">
                      <w:marLeft w:val="0"/>
                      <w:marRight w:val="0"/>
                      <w:marTop w:val="0"/>
                      <w:marBottom w:val="0"/>
                      <w:divBdr>
                        <w:top w:val="none" w:sz="0" w:space="0" w:color="auto"/>
                        <w:left w:val="none" w:sz="0" w:space="0" w:color="auto"/>
                        <w:bottom w:val="none" w:sz="0" w:space="0" w:color="auto"/>
                        <w:right w:val="none" w:sz="0" w:space="0" w:color="auto"/>
                      </w:divBdr>
                    </w:div>
                  </w:divsChild>
                </w:div>
                <w:div w:id="1324435391">
                  <w:marLeft w:val="0"/>
                  <w:marRight w:val="0"/>
                  <w:marTop w:val="0"/>
                  <w:marBottom w:val="0"/>
                  <w:divBdr>
                    <w:top w:val="none" w:sz="0" w:space="0" w:color="auto"/>
                    <w:left w:val="none" w:sz="0" w:space="0" w:color="auto"/>
                    <w:bottom w:val="none" w:sz="0" w:space="0" w:color="auto"/>
                    <w:right w:val="none" w:sz="0" w:space="0" w:color="auto"/>
                  </w:divBdr>
                  <w:divsChild>
                    <w:div w:id="178275398">
                      <w:marLeft w:val="0"/>
                      <w:marRight w:val="0"/>
                      <w:marTop w:val="0"/>
                      <w:marBottom w:val="0"/>
                      <w:divBdr>
                        <w:top w:val="none" w:sz="0" w:space="0" w:color="auto"/>
                        <w:left w:val="none" w:sz="0" w:space="0" w:color="auto"/>
                        <w:bottom w:val="none" w:sz="0" w:space="0" w:color="auto"/>
                        <w:right w:val="none" w:sz="0" w:space="0" w:color="auto"/>
                      </w:divBdr>
                    </w:div>
                  </w:divsChild>
                </w:div>
                <w:div w:id="1327244290">
                  <w:marLeft w:val="0"/>
                  <w:marRight w:val="0"/>
                  <w:marTop w:val="0"/>
                  <w:marBottom w:val="0"/>
                  <w:divBdr>
                    <w:top w:val="none" w:sz="0" w:space="0" w:color="auto"/>
                    <w:left w:val="none" w:sz="0" w:space="0" w:color="auto"/>
                    <w:bottom w:val="none" w:sz="0" w:space="0" w:color="auto"/>
                    <w:right w:val="none" w:sz="0" w:space="0" w:color="auto"/>
                  </w:divBdr>
                  <w:divsChild>
                    <w:div w:id="1227914664">
                      <w:marLeft w:val="0"/>
                      <w:marRight w:val="0"/>
                      <w:marTop w:val="0"/>
                      <w:marBottom w:val="0"/>
                      <w:divBdr>
                        <w:top w:val="none" w:sz="0" w:space="0" w:color="auto"/>
                        <w:left w:val="none" w:sz="0" w:space="0" w:color="auto"/>
                        <w:bottom w:val="none" w:sz="0" w:space="0" w:color="auto"/>
                        <w:right w:val="none" w:sz="0" w:space="0" w:color="auto"/>
                      </w:divBdr>
                    </w:div>
                  </w:divsChild>
                </w:div>
                <w:div w:id="1327857360">
                  <w:marLeft w:val="0"/>
                  <w:marRight w:val="0"/>
                  <w:marTop w:val="0"/>
                  <w:marBottom w:val="0"/>
                  <w:divBdr>
                    <w:top w:val="none" w:sz="0" w:space="0" w:color="auto"/>
                    <w:left w:val="none" w:sz="0" w:space="0" w:color="auto"/>
                    <w:bottom w:val="none" w:sz="0" w:space="0" w:color="auto"/>
                    <w:right w:val="none" w:sz="0" w:space="0" w:color="auto"/>
                  </w:divBdr>
                  <w:divsChild>
                    <w:div w:id="488181566">
                      <w:marLeft w:val="0"/>
                      <w:marRight w:val="0"/>
                      <w:marTop w:val="0"/>
                      <w:marBottom w:val="0"/>
                      <w:divBdr>
                        <w:top w:val="none" w:sz="0" w:space="0" w:color="auto"/>
                        <w:left w:val="none" w:sz="0" w:space="0" w:color="auto"/>
                        <w:bottom w:val="none" w:sz="0" w:space="0" w:color="auto"/>
                        <w:right w:val="none" w:sz="0" w:space="0" w:color="auto"/>
                      </w:divBdr>
                    </w:div>
                  </w:divsChild>
                </w:div>
                <w:div w:id="1329602651">
                  <w:marLeft w:val="0"/>
                  <w:marRight w:val="0"/>
                  <w:marTop w:val="0"/>
                  <w:marBottom w:val="0"/>
                  <w:divBdr>
                    <w:top w:val="none" w:sz="0" w:space="0" w:color="auto"/>
                    <w:left w:val="none" w:sz="0" w:space="0" w:color="auto"/>
                    <w:bottom w:val="none" w:sz="0" w:space="0" w:color="auto"/>
                    <w:right w:val="none" w:sz="0" w:space="0" w:color="auto"/>
                  </w:divBdr>
                  <w:divsChild>
                    <w:div w:id="1584487129">
                      <w:marLeft w:val="0"/>
                      <w:marRight w:val="0"/>
                      <w:marTop w:val="0"/>
                      <w:marBottom w:val="0"/>
                      <w:divBdr>
                        <w:top w:val="none" w:sz="0" w:space="0" w:color="auto"/>
                        <w:left w:val="none" w:sz="0" w:space="0" w:color="auto"/>
                        <w:bottom w:val="none" w:sz="0" w:space="0" w:color="auto"/>
                        <w:right w:val="none" w:sz="0" w:space="0" w:color="auto"/>
                      </w:divBdr>
                    </w:div>
                  </w:divsChild>
                </w:div>
                <w:div w:id="1332947618">
                  <w:marLeft w:val="0"/>
                  <w:marRight w:val="0"/>
                  <w:marTop w:val="0"/>
                  <w:marBottom w:val="0"/>
                  <w:divBdr>
                    <w:top w:val="none" w:sz="0" w:space="0" w:color="auto"/>
                    <w:left w:val="none" w:sz="0" w:space="0" w:color="auto"/>
                    <w:bottom w:val="none" w:sz="0" w:space="0" w:color="auto"/>
                    <w:right w:val="none" w:sz="0" w:space="0" w:color="auto"/>
                  </w:divBdr>
                  <w:divsChild>
                    <w:div w:id="1927573257">
                      <w:marLeft w:val="0"/>
                      <w:marRight w:val="0"/>
                      <w:marTop w:val="0"/>
                      <w:marBottom w:val="0"/>
                      <w:divBdr>
                        <w:top w:val="none" w:sz="0" w:space="0" w:color="auto"/>
                        <w:left w:val="none" w:sz="0" w:space="0" w:color="auto"/>
                        <w:bottom w:val="none" w:sz="0" w:space="0" w:color="auto"/>
                        <w:right w:val="none" w:sz="0" w:space="0" w:color="auto"/>
                      </w:divBdr>
                    </w:div>
                  </w:divsChild>
                </w:div>
                <w:div w:id="1341735929">
                  <w:marLeft w:val="0"/>
                  <w:marRight w:val="0"/>
                  <w:marTop w:val="0"/>
                  <w:marBottom w:val="0"/>
                  <w:divBdr>
                    <w:top w:val="none" w:sz="0" w:space="0" w:color="auto"/>
                    <w:left w:val="none" w:sz="0" w:space="0" w:color="auto"/>
                    <w:bottom w:val="none" w:sz="0" w:space="0" w:color="auto"/>
                    <w:right w:val="none" w:sz="0" w:space="0" w:color="auto"/>
                  </w:divBdr>
                  <w:divsChild>
                    <w:div w:id="1602570197">
                      <w:marLeft w:val="0"/>
                      <w:marRight w:val="0"/>
                      <w:marTop w:val="0"/>
                      <w:marBottom w:val="0"/>
                      <w:divBdr>
                        <w:top w:val="none" w:sz="0" w:space="0" w:color="auto"/>
                        <w:left w:val="none" w:sz="0" w:space="0" w:color="auto"/>
                        <w:bottom w:val="none" w:sz="0" w:space="0" w:color="auto"/>
                        <w:right w:val="none" w:sz="0" w:space="0" w:color="auto"/>
                      </w:divBdr>
                    </w:div>
                  </w:divsChild>
                </w:div>
                <w:div w:id="1343165369">
                  <w:marLeft w:val="0"/>
                  <w:marRight w:val="0"/>
                  <w:marTop w:val="0"/>
                  <w:marBottom w:val="0"/>
                  <w:divBdr>
                    <w:top w:val="none" w:sz="0" w:space="0" w:color="auto"/>
                    <w:left w:val="none" w:sz="0" w:space="0" w:color="auto"/>
                    <w:bottom w:val="none" w:sz="0" w:space="0" w:color="auto"/>
                    <w:right w:val="none" w:sz="0" w:space="0" w:color="auto"/>
                  </w:divBdr>
                  <w:divsChild>
                    <w:div w:id="2002418342">
                      <w:marLeft w:val="0"/>
                      <w:marRight w:val="0"/>
                      <w:marTop w:val="0"/>
                      <w:marBottom w:val="0"/>
                      <w:divBdr>
                        <w:top w:val="none" w:sz="0" w:space="0" w:color="auto"/>
                        <w:left w:val="none" w:sz="0" w:space="0" w:color="auto"/>
                        <w:bottom w:val="none" w:sz="0" w:space="0" w:color="auto"/>
                        <w:right w:val="none" w:sz="0" w:space="0" w:color="auto"/>
                      </w:divBdr>
                    </w:div>
                  </w:divsChild>
                </w:div>
                <w:div w:id="1345472465">
                  <w:marLeft w:val="0"/>
                  <w:marRight w:val="0"/>
                  <w:marTop w:val="0"/>
                  <w:marBottom w:val="0"/>
                  <w:divBdr>
                    <w:top w:val="none" w:sz="0" w:space="0" w:color="auto"/>
                    <w:left w:val="none" w:sz="0" w:space="0" w:color="auto"/>
                    <w:bottom w:val="none" w:sz="0" w:space="0" w:color="auto"/>
                    <w:right w:val="none" w:sz="0" w:space="0" w:color="auto"/>
                  </w:divBdr>
                  <w:divsChild>
                    <w:div w:id="1067991030">
                      <w:marLeft w:val="0"/>
                      <w:marRight w:val="0"/>
                      <w:marTop w:val="0"/>
                      <w:marBottom w:val="0"/>
                      <w:divBdr>
                        <w:top w:val="none" w:sz="0" w:space="0" w:color="auto"/>
                        <w:left w:val="none" w:sz="0" w:space="0" w:color="auto"/>
                        <w:bottom w:val="none" w:sz="0" w:space="0" w:color="auto"/>
                        <w:right w:val="none" w:sz="0" w:space="0" w:color="auto"/>
                      </w:divBdr>
                    </w:div>
                  </w:divsChild>
                </w:div>
                <w:div w:id="1350370209">
                  <w:marLeft w:val="0"/>
                  <w:marRight w:val="0"/>
                  <w:marTop w:val="0"/>
                  <w:marBottom w:val="0"/>
                  <w:divBdr>
                    <w:top w:val="none" w:sz="0" w:space="0" w:color="auto"/>
                    <w:left w:val="none" w:sz="0" w:space="0" w:color="auto"/>
                    <w:bottom w:val="none" w:sz="0" w:space="0" w:color="auto"/>
                    <w:right w:val="none" w:sz="0" w:space="0" w:color="auto"/>
                  </w:divBdr>
                  <w:divsChild>
                    <w:div w:id="411581806">
                      <w:marLeft w:val="0"/>
                      <w:marRight w:val="0"/>
                      <w:marTop w:val="0"/>
                      <w:marBottom w:val="0"/>
                      <w:divBdr>
                        <w:top w:val="none" w:sz="0" w:space="0" w:color="auto"/>
                        <w:left w:val="none" w:sz="0" w:space="0" w:color="auto"/>
                        <w:bottom w:val="none" w:sz="0" w:space="0" w:color="auto"/>
                        <w:right w:val="none" w:sz="0" w:space="0" w:color="auto"/>
                      </w:divBdr>
                    </w:div>
                  </w:divsChild>
                </w:div>
                <w:div w:id="1355809402">
                  <w:marLeft w:val="0"/>
                  <w:marRight w:val="0"/>
                  <w:marTop w:val="0"/>
                  <w:marBottom w:val="0"/>
                  <w:divBdr>
                    <w:top w:val="none" w:sz="0" w:space="0" w:color="auto"/>
                    <w:left w:val="none" w:sz="0" w:space="0" w:color="auto"/>
                    <w:bottom w:val="none" w:sz="0" w:space="0" w:color="auto"/>
                    <w:right w:val="none" w:sz="0" w:space="0" w:color="auto"/>
                  </w:divBdr>
                  <w:divsChild>
                    <w:div w:id="1143503339">
                      <w:marLeft w:val="0"/>
                      <w:marRight w:val="0"/>
                      <w:marTop w:val="0"/>
                      <w:marBottom w:val="0"/>
                      <w:divBdr>
                        <w:top w:val="none" w:sz="0" w:space="0" w:color="auto"/>
                        <w:left w:val="none" w:sz="0" w:space="0" w:color="auto"/>
                        <w:bottom w:val="none" w:sz="0" w:space="0" w:color="auto"/>
                        <w:right w:val="none" w:sz="0" w:space="0" w:color="auto"/>
                      </w:divBdr>
                    </w:div>
                  </w:divsChild>
                </w:div>
                <w:div w:id="1361711615">
                  <w:marLeft w:val="0"/>
                  <w:marRight w:val="0"/>
                  <w:marTop w:val="0"/>
                  <w:marBottom w:val="0"/>
                  <w:divBdr>
                    <w:top w:val="none" w:sz="0" w:space="0" w:color="auto"/>
                    <w:left w:val="none" w:sz="0" w:space="0" w:color="auto"/>
                    <w:bottom w:val="none" w:sz="0" w:space="0" w:color="auto"/>
                    <w:right w:val="none" w:sz="0" w:space="0" w:color="auto"/>
                  </w:divBdr>
                  <w:divsChild>
                    <w:div w:id="479226683">
                      <w:marLeft w:val="0"/>
                      <w:marRight w:val="0"/>
                      <w:marTop w:val="0"/>
                      <w:marBottom w:val="0"/>
                      <w:divBdr>
                        <w:top w:val="none" w:sz="0" w:space="0" w:color="auto"/>
                        <w:left w:val="none" w:sz="0" w:space="0" w:color="auto"/>
                        <w:bottom w:val="none" w:sz="0" w:space="0" w:color="auto"/>
                        <w:right w:val="none" w:sz="0" w:space="0" w:color="auto"/>
                      </w:divBdr>
                    </w:div>
                  </w:divsChild>
                </w:div>
                <w:div w:id="1376464738">
                  <w:marLeft w:val="0"/>
                  <w:marRight w:val="0"/>
                  <w:marTop w:val="0"/>
                  <w:marBottom w:val="0"/>
                  <w:divBdr>
                    <w:top w:val="none" w:sz="0" w:space="0" w:color="auto"/>
                    <w:left w:val="none" w:sz="0" w:space="0" w:color="auto"/>
                    <w:bottom w:val="none" w:sz="0" w:space="0" w:color="auto"/>
                    <w:right w:val="none" w:sz="0" w:space="0" w:color="auto"/>
                  </w:divBdr>
                  <w:divsChild>
                    <w:div w:id="1268662068">
                      <w:marLeft w:val="0"/>
                      <w:marRight w:val="0"/>
                      <w:marTop w:val="0"/>
                      <w:marBottom w:val="0"/>
                      <w:divBdr>
                        <w:top w:val="none" w:sz="0" w:space="0" w:color="auto"/>
                        <w:left w:val="none" w:sz="0" w:space="0" w:color="auto"/>
                        <w:bottom w:val="none" w:sz="0" w:space="0" w:color="auto"/>
                        <w:right w:val="none" w:sz="0" w:space="0" w:color="auto"/>
                      </w:divBdr>
                    </w:div>
                  </w:divsChild>
                </w:div>
                <w:div w:id="1376659087">
                  <w:marLeft w:val="0"/>
                  <w:marRight w:val="0"/>
                  <w:marTop w:val="0"/>
                  <w:marBottom w:val="0"/>
                  <w:divBdr>
                    <w:top w:val="none" w:sz="0" w:space="0" w:color="auto"/>
                    <w:left w:val="none" w:sz="0" w:space="0" w:color="auto"/>
                    <w:bottom w:val="none" w:sz="0" w:space="0" w:color="auto"/>
                    <w:right w:val="none" w:sz="0" w:space="0" w:color="auto"/>
                  </w:divBdr>
                  <w:divsChild>
                    <w:div w:id="226231342">
                      <w:marLeft w:val="0"/>
                      <w:marRight w:val="0"/>
                      <w:marTop w:val="0"/>
                      <w:marBottom w:val="0"/>
                      <w:divBdr>
                        <w:top w:val="none" w:sz="0" w:space="0" w:color="auto"/>
                        <w:left w:val="none" w:sz="0" w:space="0" w:color="auto"/>
                        <w:bottom w:val="none" w:sz="0" w:space="0" w:color="auto"/>
                        <w:right w:val="none" w:sz="0" w:space="0" w:color="auto"/>
                      </w:divBdr>
                    </w:div>
                  </w:divsChild>
                </w:div>
                <w:div w:id="1396969910">
                  <w:marLeft w:val="0"/>
                  <w:marRight w:val="0"/>
                  <w:marTop w:val="0"/>
                  <w:marBottom w:val="0"/>
                  <w:divBdr>
                    <w:top w:val="none" w:sz="0" w:space="0" w:color="auto"/>
                    <w:left w:val="none" w:sz="0" w:space="0" w:color="auto"/>
                    <w:bottom w:val="none" w:sz="0" w:space="0" w:color="auto"/>
                    <w:right w:val="none" w:sz="0" w:space="0" w:color="auto"/>
                  </w:divBdr>
                  <w:divsChild>
                    <w:div w:id="21981063">
                      <w:marLeft w:val="0"/>
                      <w:marRight w:val="0"/>
                      <w:marTop w:val="0"/>
                      <w:marBottom w:val="0"/>
                      <w:divBdr>
                        <w:top w:val="none" w:sz="0" w:space="0" w:color="auto"/>
                        <w:left w:val="none" w:sz="0" w:space="0" w:color="auto"/>
                        <w:bottom w:val="none" w:sz="0" w:space="0" w:color="auto"/>
                        <w:right w:val="none" w:sz="0" w:space="0" w:color="auto"/>
                      </w:divBdr>
                    </w:div>
                  </w:divsChild>
                </w:div>
                <w:div w:id="1410349620">
                  <w:marLeft w:val="0"/>
                  <w:marRight w:val="0"/>
                  <w:marTop w:val="0"/>
                  <w:marBottom w:val="0"/>
                  <w:divBdr>
                    <w:top w:val="none" w:sz="0" w:space="0" w:color="auto"/>
                    <w:left w:val="none" w:sz="0" w:space="0" w:color="auto"/>
                    <w:bottom w:val="none" w:sz="0" w:space="0" w:color="auto"/>
                    <w:right w:val="none" w:sz="0" w:space="0" w:color="auto"/>
                  </w:divBdr>
                  <w:divsChild>
                    <w:div w:id="430856000">
                      <w:marLeft w:val="0"/>
                      <w:marRight w:val="0"/>
                      <w:marTop w:val="0"/>
                      <w:marBottom w:val="0"/>
                      <w:divBdr>
                        <w:top w:val="none" w:sz="0" w:space="0" w:color="auto"/>
                        <w:left w:val="none" w:sz="0" w:space="0" w:color="auto"/>
                        <w:bottom w:val="none" w:sz="0" w:space="0" w:color="auto"/>
                        <w:right w:val="none" w:sz="0" w:space="0" w:color="auto"/>
                      </w:divBdr>
                    </w:div>
                  </w:divsChild>
                </w:div>
                <w:div w:id="1413435121">
                  <w:marLeft w:val="0"/>
                  <w:marRight w:val="0"/>
                  <w:marTop w:val="0"/>
                  <w:marBottom w:val="0"/>
                  <w:divBdr>
                    <w:top w:val="none" w:sz="0" w:space="0" w:color="auto"/>
                    <w:left w:val="none" w:sz="0" w:space="0" w:color="auto"/>
                    <w:bottom w:val="none" w:sz="0" w:space="0" w:color="auto"/>
                    <w:right w:val="none" w:sz="0" w:space="0" w:color="auto"/>
                  </w:divBdr>
                  <w:divsChild>
                    <w:div w:id="27606466">
                      <w:marLeft w:val="0"/>
                      <w:marRight w:val="0"/>
                      <w:marTop w:val="0"/>
                      <w:marBottom w:val="0"/>
                      <w:divBdr>
                        <w:top w:val="none" w:sz="0" w:space="0" w:color="auto"/>
                        <w:left w:val="none" w:sz="0" w:space="0" w:color="auto"/>
                        <w:bottom w:val="none" w:sz="0" w:space="0" w:color="auto"/>
                        <w:right w:val="none" w:sz="0" w:space="0" w:color="auto"/>
                      </w:divBdr>
                    </w:div>
                  </w:divsChild>
                </w:div>
                <w:div w:id="1427965277">
                  <w:marLeft w:val="0"/>
                  <w:marRight w:val="0"/>
                  <w:marTop w:val="0"/>
                  <w:marBottom w:val="0"/>
                  <w:divBdr>
                    <w:top w:val="none" w:sz="0" w:space="0" w:color="auto"/>
                    <w:left w:val="none" w:sz="0" w:space="0" w:color="auto"/>
                    <w:bottom w:val="none" w:sz="0" w:space="0" w:color="auto"/>
                    <w:right w:val="none" w:sz="0" w:space="0" w:color="auto"/>
                  </w:divBdr>
                  <w:divsChild>
                    <w:div w:id="1775860396">
                      <w:marLeft w:val="0"/>
                      <w:marRight w:val="0"/>
                      <w:marTop w:val="0"/>
                      <w:marBottom w:val="0"/>
                      <w:divBdr>
                        <w:top w:val="none" w:sz="0" w:space="0" w:color="auto"/>
                        <w:left w:val="none" w:sz="0" w:space="0" w:color="auto"/>
                        <w:bottom w:val="none" w:sz="0" w:space="0" w:color="auto"/>
                        <w:right w:val="none" w:sz="0" w:space="0" w:color="auto"/>
                      </w:divBdr>
                    </w:div>
                  </w:divsChild>
                </w:div>
                <w:div w:id="1429277315">
                  <w:marLeft w:val="0"/>
                  <w:marRight w:val="0"/>
                  <w:marTop w:val="0"/>
                  <w:marBottom w:val="0"/>
                  <w:divBdr>
                    <w:top w:val="none" w:sz="0" w:space="0" w:color="auto"/>
                    <w:left w:val="none" w:sz="0" w:space="0" w:color="auto"/>
                    <w:bottom w:val="none" w:sz="0" w:space="0" w:color="auto"/>
                    <w:right w:val="none" w:sz="0" w:space="0" w:color="auto"/>
                  </w:divBdr>
                  <w:divsChild>
                    <w:div w:id="749888795">
                      <w:marLeft w:val="0"/>
                      <w:marRight w:val="0"/>
                      <w:marTop w:val="0"/>
                      <w:marBottom w:val="0"/>
                      <w:divBdr>
                        <w:top w:val="none" w:sz="0" w:space="0" w:color="auto"/>
                        <w:left w:val="none" w:sz="0" w:space="0" w:color="auto"/>
                        <w:bottom w:val="none" w:sz="0" w:space="0" w:color="auto"/>
                        <w:right w:val="none" w:sz="0" w:space="0" w:color="auto"/>
                      </w:divBdr>
                    </w:div>
                  </w:divsChild>
                </w:div>
                <w:div w:id="1435784181">
                  <w:marLeft w:val="0"/>
                  <w:marRight w:val="0"/>
                  <w:marTop w:val="0"/>
                  <w:marBottom w:val="0"/>
                  <w:divBdr>
                    <w:top w:val="none" w:sz="0" w:space="0" w:color="auto"/>
                    <w:left w:val="none" w:sz="0" w:space="0" w:color="auto"/>
                    <w:bottom w:val="none" w:sz="0" w:space="0" w:color="auto"/>
                    <w:right w:val="none" w:sz="0" w:space="0" w:color="auto"/>
                  </w:divBdr>
                  <w:divsChild>
                    <w:div w:id="1339965730">
                      <w:marLeft w:val="0"/>
                      <w:marRight w:val="0"/>
                      <w:marTop w:val="0"/>
                      <w:marBottom w:val="0"/>
                      <w:divBdr>
                        <w:top w:val="none" w:sz="0" w:space="0" w:color="auto"/>
                        <w:left w:val="none" w:sz="0" w:space="0" w:color="auto"/>
                        <w:bottom w:val="none" w:sz="0" w:space="0" w:color="auto"/>
                        <w:right w:val="none" w:sz="0" w:space="0" w:color="auto"/>
                      </w:divBdr>
                    </w:div>
                  </w:divsChild>
                </w:div>
                <w:div w:id="1443181591">
                  <w:marLeft w:val="0"/>
                  <w:marRight w:val="0"/>
                  <w:marTop w:val="0"/>
                  <w:marBottom w:val="0"/>
                  <w:divBdr>
                    <w:top w:val="none" w:sz="0" w:space="0" w:color="auto"/>
                    <w:left w:val="none" w:sz="0" w:space="0" w:color="auto"/>
                    <w:bottom w:val="none" w:sz="0" w:space="0" w:color="auto"/>
                    <w:right w:val="none" w:sz="0" w:space="0" w:color="auto"/>
                  </w:divBdr>
                  <w:divsChild>
                    <w:div w:id="986664834">
                      <w:marLeft w:val="0"/>
                      <w:marRight w:val="0"/>
                      <w:marTop w:val="0"/>
                      <w:marBottom w:val="0"/>
                      <w:divBdr>
                        <w:top w:val="none" w:sz="0" w:space="0" w:color="auto"/>
                        <w:left w:val="none" w:sz="0" w:space="0" w:color="auto"/>
                        <w:bottom w:val="none" w:sz="0" w:space="0" w:color="auto"/>
                        <w:right w:val="none" w:sz="0" w:space="0" w:color="auto"/>
                      </w:divBdr>
                    </w:div>
                  </w:divsChild>
                </w:div>
                <w:div w:id="1443959559">
                  <w:marLeft w:val="0"/>
                  <w:marRight w:val="0"/>
                  <w:marTop w:val="0"/>
                  <w:marBottom w:val="0"/>
                  <w:divBdr>
                    <w:top w:val="none" w:sz="0" w:space="0" w:color="auto"/>
                    <w:left w:val="none" w:sz="0" w:space="0" w:color="auto"/>
                    <w:bottom w:val="none" w:sz="0" w:space="0" w:color="auto"/>
                    <w:right w:val="none" w:sz="0" w:space="0" w:color="auto"/>
                  </w:divBdr>
                  <w:divsChild>
                    <w:div w:id="49306639">
                      <w:marLeft w:val="0"/>
                      <w:marRight w:val="0"/>
                      <w:marTop w:val="0"/>
                      <w:marBottom w:val="0"/>
                      <w:divBdr>
                        <w:top w:val="none" w:sz="0" w:space="0" w:color="auto"/>
                        <w:left w:val="none" w:sz="0" w:space="0" w:color="auto"/>
                        <w:bottom w:val="none" w:sz="0" w:space="0" w:color="auto"/>
                        <w:right w:val="none" w:sz="0" w:space="0" w:color="auto"/>
                      </w:divBdr>
                    </w:div>
                  </w:divsChild>
                </w:div>
                <w:div w:id="1445616178">
                  <w:marLeft w:val="0"/>
                  <w:marRight w:val="0"/>
                  <w:marTop w:val="0"/>
                  <w:marBottom w:val="0"/>
                  <w:divBdr>
                    <w:top w:val="none" w:sz="0" w:space="0" w:color="auto"/>
                    <w:left w:val="none" w:sz="0" w:space="0" w:color="auto"/>
                    <w:bottom w:val="none" w:sz="0" w:space="0" w:color="auto"/>
                    <w:right w:val="none" w:sz="0" w:space="0" w:color="auto"/>
                  </w:divBdr>
                  <w:divsChild>
                    <w:div w:id="1779521394">
                      <w:marLeft w:val="0"/>
                      <w:marRight w:val="0"/>
                      <w:marTop w:val="0"/>
                      <w:marBottom w:val="0"/>
                      <w:divBdr>
                        <w:top w:val="none" w:sz="0" w:space="0" w:color="auto"/>
                        <w:left w:val="none" w:sz="0" w:space="0" w:color="auto"/>
                        <w:bottom w:val="none" w:sz="0" w:space="0" w:color="auto"/>
                        <w:right w:val="none" w:sz="0" w:space="0" w:color="auto"/>
                      </w:divBdr>
                    </w:div>
                  </w:divsChild>
                </w:div>
                <w:div w:id="1448348355">
                  <w:marLeft w:val="0"/>
                  <w:marRight w:val="0"/>
                  <w:marTop w:val="0"/>
                  <w:marBottom w:val="0"/>
                  <w:divBdr>
                    <w:top w:val="none" w:sz="0" w:space="0" w:color="auto"/>
                    <w:left w:val="none" w:sz="0" w:space="0" w:color="auto"/>
                    <w:bottom w:val="none" w:sz="0" w:space="0" w:color="auto"/>
                    <w:right w:val="none" w:sz="0" w:space="0" w:color="auto"/>
                  </w:divBdr>
                  <w:divsChild>
                    <w:div w:id="45840715">
                      <w:marLeft w:val="0"/>
                      <w:marRight w:val="0"/>
                      <w:marTop w:val="0"/>
                      <w:marBottom w:val="0"/>
                      <w:divBdr>
                        <w:top w:val="none" w:sz="0" w:space="0" w:color="auto"/>
                        <w:left w:val="none" w:sz="0" w:space="0" w:color="auto"/>
                        <w:bottom w:val="none" w:sz="0" w:space="0" w:color="auto"/>
                        <w:right w:val="none" w:sz="0" w:space="0" w:color="auto"/>
                      </w:divBdr>
                    </w:div>
                  </w:divsChild>
                </w:div>
                <w:div w:id="1453747595">
                  <w:marLeft w:val="0"/>
                  <w:marRight w:val="0"/>
                  <w:marTop w:val="0"/>
                  <w:marBottom w:val="0"/>
                  <w:divBdr>
                    <w:top w:val="none" w:sz="0" w:space="0" w:color="auto"/>
                    <w:left w:val="none" w:sz="0" w:space="0" w:color="auto"/>
                    <w:bottom w:val="none" w:sz="0" w:space="0" w:color="auto"/>
                    <w:right w:val="none" w:sz="0" w:space="0" w:color="auto"/>
                  </w:divBdr>
                  <w:divsChild>
                    <w:div w:id="1026560837">
                      <w:marLeft w:val="0"/>
                      <w:marRight w:val="0"/>
                      <w:marTop w:val="0"/>
                      <w:marBottom w:val="0"/>
                      <w:divBdr>
                        <w:top w:val="none" w:sz="0" w:space="0" w:color="auto"/>
                        <w:left w:val="none" w:sz="0" w:space="0" w:color="auto"/>
                        <w:bottom w:val="none" w:sz="0" w:space="0" w:color="auto"/>
                        <w:right w:val="none" w:sz="0" w:space="0" w:color="auto"/>
                      </w:divBdr>
                    </w:div>
                  </w:divsChild>
                </w:div>
                <w:div w:id="1465467230">
                  <w:marLeft w:val="0"/>
                  <w:marRight w:val="0"/>
                  <w:marTop w:val="0"/>
                  <w:marBottom w:val="0"/>
                  <w:divBdr>
                    <w:top w:val="none" w:sz="0" w:space="0" w:color="auto"/>
                    <w:left w:val="none" w:sz="0" w:space="0" w:color="auto"/>
                    <w:bottom w:val="none" w:sz="0" w:space="0" w:color="auto"/>
                    <w:right w:val="none" w:sz="0" w:space="0" w:color="auto"/>
                  </w:divBdr>
                  <w:divsChild>
                    <w:div w:id="1302424259">
                      <w:marLeft w:val="0"/>
                      <w:marRight w:val="0"/>
                      <w:marTop w:val="0"/>
                      <w:marBottom w:val="0"/>
                      <w:divBdr>
                        <w:top w:val="none" w:sz="0" w:space="0" w:color="auto"/>
                        <w:left w:val="none" w:sz="0" w:space="0" w:color="auto"/>
                        <w:bottom w:val="none" w:sz="0" w:space="0" w:color="auto"/>
                        <w:right w:val="none" w:sz="0" w:space="0" w:color="auto"/>
                      </w:divBdr>
                    </w:div>
                  </w:divsChild>
                </w:div>
                <w:div w:id="1473132634">
                  <w:marLeft w:val="0"/>
                  <w:marRight w:val="0"/>
                  <w:marTop w:val="0"/>
                  <w:marBottom w:val="0"/>
                  <w:divBdr>
                    <w:top w:val="none" w:sz="0" w:space="0" w:color="auto"/>
                    <w:left w:val="none" w:sz="0" w:space="0" w:color="auto"/>
                    <w:bottom w:val="none" w:sz="0" w:space="0" w:color="auto"/>
                    <w:right w:val="none" w:sz="0" w:space="0" w:color="auto"/>
                  </w:divBdr>
                  <w:divsChild>
                    <w:div w:id="458689986">
                      <w:marLeft w:val="0"/>
                      <w:marRight w:val="0"/>
                      <w:marTop w:val="0"/>
                      <w:marBottom w:val="0"/>
                      <w:divBdr>
                        <w:top w:val="none" w:sz="0" w:space="0" w:color="auto"/>
                        <w:left w:val="none" w:sz="0" w:space="0" w:color="auto"/>
                        <w:bottom w:val="none" w:sz="0" w:space="0" w:color="auto"/>
                        <w:right w:val="none" w:sz="0" w:space="0" w:color="auto"/>
                      </w:divBdr>
                    </w:div>
                  </w:divsChild>
                </w:div>
                <w:div w:id="1476797215">
                  <w:marLeft w:val="0"/>
                  <w:marRight w:val="0"/>
                  <w:marTop w:val="0"/>
                  <w:marBottom w:val="0"/>
                  <w:divBdr>
                    <w:top w:val="none" w:sz="0" w:space="0" w:color="auto"/>
                    <w:left w:val="none" w:sz="0" w:space="0" w:color="auto"/>
                    <w:bottom w:val="none" w:sz="0" w:space="0" w:color="auto"/>
                    <w:right w:val="none" w:sz="0" w:space="0" w:color="auto"/>
                  </w:divBdr>
                  <w:divsChild>
                    <w:div w:id="876772269">
                      <w:marLeft w:val="0"/>
                      <w:marRight w:val="0"/>
                      <w:marTop w:val="0"/>
                      <w:marBottom w:val="0"/>
                      <w:divBdr>
                        <w:top w:val="none" w:sz="0" w:space="0" w:color="auto"/>
                        <w:left w:val="none" w:sz="0" w:space="0" w:color="auto"/>
                        <w:bottom w:val="none" w:sz="0" w:space="0" w:color="auto"/>
                        <w:right w:val="none" w:sz="0" w:space="0" w:color="auto"/>
                      </w:divBdr>
                    </w:div>
                  </w:divsChild>
                </w:div>
                <w:div w:id="1479036448">
                  <w:marLeft w:val="0"/>
                  <w:marRight w:val="0"/>
                  <w:marTop w:val="0"/>
                  <w:marBottom w:val="0"/>
                  <w:divBdr>
                    <w:top w:val="none" w:sz="0" w:space="0" w:color="auto"/>
                    <w:left w:val="none" w:sz="0" w:space="0" w:color="auto"/>
                    <w:bottom w:val="none" w:sz="0" w:space="0" w:color="auto"/>
                    <w:right w:val="none" w:sz="0" w:space="0" w:color="auto"/>
                  </w:divBdr>
                  <w:divsChild>
                    <w:div w:id="43335737">
                      <w:marLeft w:val="0"/>
                      <w:marRight w:val="0"/>
                      <w:marTop w:val="0"/>
                      <w:marBottom w:val="0"/>
                      <w:divBdr>
                        <w:top w:val="none" w:sz="0" w:space="0" w:color="auto"/>
                        <w:left w:val="none" w:sz="0" w:space="0" w:color="auto"/>
                        <w:bottom w:val="none" w:sz="0" w:space="0" w:color="auto"/>
                        <w:right w:val="none" w:sz="0" w:space="0" w:color="auto"/>
                      </w:divBdr>
                    </w:div>
                  </w:divsChild>
                </w:div>
                <w:div w:id="1482623766">
                  <w:marLeft w:val="0"/>
                  <w:marRight w:val="0"/>
                  <w:marTop w:val="0"/>
                  <w:marBottom w:val="0"/>
                  <w:divBdr>
                    <w:top w:val="none" w:sz="0" w:space="0" w:color="auto"/>
                    <w:left w:val="none" w:sz="0" w:space="0" w:color="auto"/>
                    <w:bottom w:val="none" w:sz="0" w:space="0" w:color="auto"/>
                    <w:right w:val="none" w:sz="0" w:space="0" w:color="auto"/>
                  </w:divBdr>
                  <w:divsChild>
                    <w:div w:id="1666977345">
                      <w:marLeft w:val="0"/>
                      <w:marRight w:val="0"/>
                      <w:marTop w:val="0"/>
                      <w:marBottom w:val="0"/>
                      <w:divBdr>
                        <w:top w:val="none" w:sz="0" w:space="0" w:color="auto"/>
                        <w:left w:val="none" w:sz="0" w:space="0" w:color="auto"/>
                        <w:bottom w:val="none" w:sz="0" w:space="0" w:color="auto"/>
                        <w:right w:val="none" w:sz="0" w:space="0" w:color="auto"/>
                      </w:divBdr>
                    </w:div>
                  </w:divsChild>
                </w:div>
                <w:div w:id="1484352398">
                  <w:marLeft w:val="0"/>
                  <w:marRight w:val="0"/>
                  <w:marTop w:val="0"/>
                  <w:marBottom w:val="0"/>
                  <w:divBdr>
                    <w:top w:val="none" w:sz="0" w:space="0" w:color="auto"/>
                    <w:left w:val="none" w:sz="0" w:space="0" w:color="auto"/>
                    <w:bottom w:val="none" w:sz="0" w:space="0" w:color="auto"/>
                    <w:right w:val="none" w:sz="0" w:space="0" w:color="auto"/>
                  </w:divBdr>
                  <w:divsChild>
                    <w:div w:id="1417896769">
                      <w:marLeft w:val="0"/>
                      <w:marRight w:val="0"/>
                      <w:marTop w:val="0"/>
                      <w:marBottom w:val="0"/>
                      <w:divBdr>
                        <w:top w:val="none" w:sz="0" w:space="0" w:color="auto"/>
                        <w:left w:val="none" w:sz="0" w:space="0" w:color="auto"/>
                        <w:bottom w:val="none" w:sz="0" w:space="0" w:color="auto"/>
                        <w:right w:val="none" w:sz="0" w:space="0" w:color="auto"/>
                      </w:divBdr>
                    </w:div>
                  </w:divsChild>
                </w:div>
                <w:div w:id="1490974882">
                  <w:marLeft w:val="0"/>
                  <w:marRight w:val="0"/>
                  <w:marTop w:val="0"/>
                  <w:marBottom w:val="0"/>
                  <w:divBdr>
                    <w:top w:val="none" w:sz="0" w:space="0" w:color="auto"/>
                    <w:left w:val="none" w:sz="0" w:space="0" w:color="auto"/>
                    <w:bottom w:val="none" w:sz="0" w:space="0" w:color="auto"/>
                    <w:right w:val="none" w:sz="0" w:space="0" w:color="auto"/>
                  </w:divBdr>
                  <w:divsChild>
                    <w:div w:id="1105466989">
                      <w:marLeft w:val="0"/>
                      <w:marRight w:val="0"/>
                      <w:marTop w:val="0"/>
                      <w:marBottom w:val="0"/>
                      <w:divBdr>
                        <w:top w:val="none" w:sz="0" w:space="0" w:color="auto"/>
                        <w:left w:val="none" w:sz="0" w:space="0" w:color="auto"/>
                        <w:bottom w:val="none" w:sz="0" w:space="0" w:color="auto"/>
                        <w:right w:val="none" w:sz="0" w:space="0" w:color="auto"/>
                      </w:divBdr>
                    </w:div>
                  </w:divsChild>
                </w:div>
                <w:div w:id="1504006799">
                  <w:marLeft w:val="0"/>
                  <w:marRight w:val="0"/>
                  <w:marTop w:val="0"/>
                  <w:marBottom w:val="0"/>
                  <w:divBdr>
                    <w:top w:val="none" w:sz="0" w:space="0" w:color="auto"/>
                    <w:left w:val="none" w:sz="0" w:space="0" w:color="auto"/>
                    <w:bottom w:val="none" w:sz="0" w:space="0" w:color="auto"/>
                    <w:right w:val="none" w:sz="0" w:space="0" w:color="auto"/>
                  </w:divBdr>
                  <w:divsChild>
                    <w:div w:id="374084788">
                      <w:marLeft w:val="0"/>
                      <w:marRight w:val="0"/>
                      <w:marTop w:val="0"/>
                      <w:marBottom w:val="0"/>
                      <w:divBdr>
                        <w:top w:val="none" w:sz="0" w:space="0" w:color="auto"/>
                        <w:left w:val="none" w:sz="0" w:space="0" w:color="auto"/>
                        <w:bottom w:val="none" w:sz="0" w:space="0" w:color="auto"/>
                        <w:right w:val="none" w:sz="0" w:space="0" w:color="auto"/>
                      </w:divBdr>
                    </w:div>
                  </w:divsChild>
                </w:div>
                <w:div w:id="1507481648">
                  <w:marLeft w:val="0"/>
                  <w:marRight w:val="0"/>
                  <w:marTop w:val="0"/>
                  <w:marBottom w:val="0"/>
                  <w:divBdr>
                    <w:top w:val="none" w:sz="0" w:space="0" w:color="auto"/>
                    <w:left w:val="none" w:sz="0" w:space="0" w:color="auto"/>
                    <w:bottom w:val="none" w:sz="0" w:space="0" w:color="auto"/>
                    <w:right w:val="none" w:sz="0" w:space="0" w:color="auto"/>
                  </w:divBdr>
                  <w:divsChild>
                    <w:div w:id="1549024686">
                      <w:marLeft w:val="0"/>
                      <w:marRight w:val="0"/>
                      <w:marTop w:val="0"/>
                      <w:marBottom w:val="0"/>
                      <w:divBdr>
                        <w:top w:val="none" w:sz="0" w:space="0" w:color="auto"/>
                        <w:left w:val="none" w:sz="0" w:space="0" w:color="auto"/>
                        <w:bottom w:val="none" w:sz="0" w:space="0" w:color="auto"/>
                        <w:right w:val="none" w:sz="0" w:space="0" w:color="auto"/>
                      </w:divBdr>
                    </w:div>
                  </w:divsChild>
                </w:div>
                <w:div w:id="1514881998">
                  <w:marLeft w:val="0"/>
                  <w:marRight w:val="0"/>
                  <w:marTop w:val="0"/>
                  <w:marBottom w:val="0"/>
                  <w:divBdr>
                    <w:top w:val="none" w:sz="0" w:space="0" w:color="auto"/>
                    <w:left w:val="none" w:sz="0" w:space="0" w:color="auto"/>
                    <w:bottom w:val="none" w:sz="0" w:space="0" w:color="auto"/>
                    <w:right w:val="none" w:sz="0" w:space="0" w:color="auto"/>
                  </w:divBdr>
                  <w:divsChild>
                    <w:div w:id="296424178">
                      <w:marLeft w:val="0"/>
                      <w:marRight w:val="0"/>
                      <w:marTop w:val="0"/>
                      <w:marBottom w:val="0"/>
                      <w:divBdr>
                        <w:top w:val="none" w:sz="0" w:space="0" w:color="auto"/>
                        <w:left w:val="none" w:sz="0" w:space="0" w:color="auto"/>
                        <w:bottom w:val="none" w:sz="0" w:space="0" w:color="auto"/>
                        <w:right w:val="none" w:sz="0" w:space="0" w:color="auto"/>
                      </w:divBdr>
                    </w:div>
                  </w:divsChild>
                </w:div>
                <w:div w:id="1521622797">
                  <w:marLeft w:val="0"/>
                  <w:marRight w:val="0"/>
                  <w:marTop w:val="0"/>
                  <w:marBottom w:val="0"/>
                  <w:divBdr>
                    <w:top w:val="none" w:sz="0" w:space="0" w:color="auto"/>
                    <w:left w:val="none" w:sz="0" w:space="0" w:color="auto"/>
                    <w:bottom w:val="none" w:sz="0" w:space="0" w:color="auto"/>
                    <w:right w:val="none" w:sz="0" w:space="0" w:color="auto"/>
                  </w:divBdr>
                  <w:divsChild>
                    <w:div w:id="909923746">
                      <w:marLeft w:val="0"/>
                      <w:marRight w:val="0"/>
                      <w:marTop w:val="0"/>
                      <w:marBottom w:val="0"/>
                      <w:divBdr>
                        <w:top w:val="none" w:sz="0" w:space="0" w:color="auto"/>
                        <w:left w:val="none" w:sz="0" w:space="0" w:color="auto"/>
                        <w:bottom w:val="none" w:sz="0" w:space="0" w:color="auto"/>
                        <w:right w:val="none" w:sz="0" w:space="0" w:color="auto"/>
                      </w:divBdr>
                    </w:div>
                  </w:divsChild>
                </w:div>
                <w:div w:id="1522359185">
                  <w:marLeft w:val="0"/>
                  <w:marRight w:val="0"/>
                  <w:marTop w:val="0"/>
                  <w:marBottom w:val="0"/>
                  <w:divBdr>
                    <w:top w:val="none" w:sz="0" w:space="0" w:color="auto"/>
                    <w:left w:val="none" w:sz="0" w:space="0" w:color="auto"/>
                    <w:bottom w:val="none" w:sz="0" w:space="0" w:color="auto"/>
                    <w:right w:val="none" w:sz="0" w:space="0" w:color="auto"/>
                  </w:divBdr>
                  <w:divsChild>
                    <w:div w:id="1421291125">
                      <w:marLeft w:val="0"/>
                      <w:marRight w:val="0"/>
                      <w:marTop w:val="0"/>
                      <w:marBottom w:val="0"/>
                      <w:divBdr>
                        <w:top w:val="none" w:sz="0" w:space="0" w:color="auto"/>
                        <w:left w:val="none" w:sz="0" w:space="0" w:color="auto"/>
                        <w:bottom w:val="none" w:sz="0" w:space="0" w:color="auto"/>
                        <w:right w:val="none" w:sz="0" w:space="0" w:color="auto"/>
                      </w:divBdr>
                    </w:div>
                  </w:divsChild>
                </w:div>
                <w:div w:id="1523325548">
                  <w:marLeft w:val="0"/>
                  <w:marRight w:val="0"/>
                  <w:marTop w:val="0"/>
                  <w:marBottom w:val="0"/>
                  <w:divBdr>
                    <w:top w:val="none" w:sz="0" w:space="0" w:color="auto"/>
                    <w:left w:val="none" w:sz="0" w:space="0" w:color="auto"/>
                    <w:bottom w:val="none" w:sz="0" w:space="0" w:color="auto"/>
                    <w:right w:val="none" w:sz="0" w:space="0" w:color="auto"/>
                  </w:divBdr>
                  <w:divsChild>
                    <w:div w:id="755438125">
                      <w:marLeft w:val="0"/>
                      <w:marRight w:val="0"/>
                      <w:marTop w:val="0"/>
                      <w:marBottom w:val="0"/>
                      <w:divBdr>
                        <w:top w:val="none" w:sz="0" w:space="0" w:color="auto"/>
                        <w:left w:val="none" w:sz="0" w:space="0" w:color="auto"/>
                        <w:bottom w:val="none" w:sz="0" w:space="0" w:color="auto"/>
                        <w:right w:val="none" w:sz="0" w:space="0" w:color="auto"/>
                      </w:divBdr>
                    </w:div>
                  </w:divsChild>
                </w:div>
                <w:div w:id="1523470497">
                  <w:marLeft w:val="0"/>
                  <w:marRight w:val="0"/>
                  <w:marTop w:val="0"/>
                  <w:marBottom w:val="0"/>
                  <w:divBdr>
                    <w:top w:val="none" w:sz="0" w:space="0" w:color="auto"/>
                    <w:left w:val="none" w:sz="0" w:space="0" w:color="auto"/>
                    <w:bottom w:val="none" w:sz="0" w:space="0" w:color="auto"/>
                    <w:right w:val="none" w:sz="0" w:space="0" w:color="auto"/>
                  </w:divBdr>
                  <w:divsChild>
                    <w:div w:id="876433596">
                      <w:marLeft w:val="0"/>
                      <w:marRight w:val="0"/>
                      <w:marTop w:val="0"/>
                      <w:marBottom w:val="0"/>
                      <w:divBdr>
                        <w:top w:val="none" w:sz="0" w:space="0" w:color="auto"/>
                        <w:left w:val="none" w:sz="0" w:space="0" w:color="auto"/>
                        <w:bottom w:val="none" w:sz="0" w:space="0" w:color="auto"/>
                        <w:right w:val="none" w:sz="0" w:space="0" w:color="auto"/>
                      </w:divBdr>
                    </w:div>
                  </w:divsChild>
                </w:div>
                <w:div w:id="1529610317">
                  <w:marLeft w:val="0"/>
                  <w:marRight w:val="0"/>
                  <w:marTop w:val="0"/>
                  <w:marBottom w:val="0"/>
                  <w:divBdr>
                    <w:top w:val="none" w:sz="0" w:space="0" w:color="auto"/>
                    <w:left w:val="none" w:sz="0" w:space="0" w:color="auto"/>
                    <w:bottom w:val="none" w:sz="0" w:space="0" w:color="auto"/>
                    <w:right w:val="none" w:sz="0" w:space="0" w:color="auto"/>
                  </w:divBdr>
                  <w:divsChild>
                    <w:div w:id="1316841461">
                      <w:marLeft w:val="0"/>
                      <w:marRight w:val="0"/>
                      <w:marTop w:val="0"/>
                      <w:marBottom w:val="0"/>
                      <w:divBdr>
                        <w:top w:val="none" w:sz="0" w:space="0" w:color="auto"/>
                        <w:left w:val="none" w:sz="0" w:space="0" w:color="auto"/>
                        <w:bottom w:val="none" w:sz="0" w:space="0" w:color="auto"/>
                        <w:right w:val="none" w:sz="0" w:space="0" w:color="auto"/>
                      </w:divBdr>
                    </w:div>
                  </w:divsChild>
                </w:div>
                <w:div w:id="1533835569">
                  <w:marLeft w:val="0"/>
                  <w:marRight w:val="0"/>
                  <w:marTop w:val="0"/>
                  <w:marBottom w:val="0"/>
                  <w:divBdr>
                    <w:top w:val="none" w:sz="0" w:space="0" w:color="auto"/>
                    <w:left w:val="none" w:sz="0" w:space="0" w:color="auto"/>
                    <w:bottom w:val="none" w:sz="0" w:space="0" w:color="auto"/>
                    <w:right w:val="none" w:sz="0" w:space="0" w:color="auto"/>
                  </w:divBdr>
                  <w:divsChild>
                    <w:div w:id="2000771958">
                      <w:marLeft w:val="0"/>
                      <w:marRight w:val="0"/>
                      <w:marTop w:val="0"/>
                      <w:marBottom w:val="0"/>
                      <w:divBdr>
                        <w:top w:val="none" w:sz="0" w:space="0" w:color="auto"/>
                        <w:left w:val="none" w:sz="0" w:space="0" w:color="auto"/>
                        <w:bottom w:val="none" w:sz="0" w:space="0" w:color="auto"/>
                        <w:right w:val="none" w:sz="0" w:space="0" w:color="auto"/>
                      </w:divBdr>
                    </w:div>
                  </w:divsChild>
                </w:div>
                <w:div w:id="1537890762">
                  <w:marLeft w:val="0"/>
                  <w:marRight w:val="0"/>
                  <w:marTop w:val="0"/>
                  <w:marBottom w:val="0"/>
                  <w:divBdr>
                    <w:top w:val="none" w:sz="0" w:space="0" w:color="auto"/>
                    <w:left w:val="none" w:sz="0" w:space="0" w:color="auto"/>
                    <w:bottom w:val="none" w:sz="0" w:space="0" w:color="auto"/>
                    <w:right w:val="none" w:sz="0" w:space="0" w:color="auto"/>
                  </w:divBdr>
                  <w:divsChild>
                    <w:div w:id="1252159184">
                      <w:marLeft w:val="0"/>
                      <w:marRight w:val="0"/>
                      <w:marTop w:val="0"/>
                      <w:marBottom w:val="0"/>
                      <w:divBdr>
                        <w:top w:val="none" w:sz="0" w:space="0" w:color="auto"/>
                        <w:left w:val="none" w:sz="0" w:space="0" w:color="auto"/>
                        <w:bottom w:val="none" w:sz="0" w:space="0" w:color="auto"/>
                        <w:right w:val="none" w:sz="0" w:space="0" w:color="auto"/>
                      </w:divBdr>
                    </w:div>
                  </w:divsChild>
                </w:div>
                <w:div w:id="1539464222">
                  <w:marLeft w:val="0"/>
                  <w:marRight w:val="0"/>
                  <w:marTop w:val="0"/>
                  <w:marBottom w:val="0"/>
                  <w:divBdr>
                    <w:top w:val="none" w:sz="0" w:space="0" w:color="auto"/>
                    <w:left w:val="none" w:sz="0" w:space="0" w:color="auto"/>
                    <w:bottom w:val="none" w:sz="0" w:space="0" w:color="auto"/>
                    <w:right w:val="none" w:sz="0" w:space="0" w:color="auto"/>
                  </w:divBdr>
                  <w:divsChild>
                    <w:div w:id="596711538">
                      <w:marLeft w:val="0"/>
                      <w:marRight w:val="0"/>
                      <w:marTop w:val="0"/>
                      <w:marBottom w:val="0"/>
                      <w:divBdr>
                        <w:top w:val="none" w:sz="0" w:space="0" w:color="auto"/>
                        <w:left w:val="none" w:sz="0" w:space="0" w:color="auto"/>
                        <w:bottom w:val="none" w:sz="0" w:space="0" w:color="auto"/>
                        <w:right w:val="none" w:sz="0" w:space="0" w:color="auto"/>
                      </w:divBdr>
                    </w:div>
                  </w:divsChild>
                </w:div>
                <w:div w:id="1540970276">
                  <w:marLeft w:val="0"/>
                  <w:marRight w:val="0"/>
                  <w:marTop w:val="0"/>
                  <w:marBottom w:val="0"/>
                  <w:divBdr>
                    <w:top w:val="none" w:sz="0" w:space="0" w:color="auto"/>
                    <w:left w:val="none" w:sz="0" w:space="0" w:color="auto"/>
                    <w:bottom w:val="none" w:sz="0" w:space="0" w:color="auto"/>
                    <w:right w:val="none" w:sz="0" w:space="0" w:color="auto"/>
                  </w:divBdr>
                  <w:divsChild>
                    <w:div w:id="1074666013">
                      <w:marLeft w:val="0"/>
                      <w:marRight w:val="0"/>
                      <w:marTop w:val="0"/>
                      <w:marBottom w:val="0"/>
                      <w:divBdr>
                        <w:top w:val="none" w:sz="0" w:space="0" w:color="auto"/>
                        <w:left w:val="none" w:sz="0" w:space="0" w:color="auto"/>
                        <w:bottom w:val="none" w:sz="0" w:space="0" w:color="auto"/>
                        <w:right w:val="none" w:sz="0" w:space="0" w:color="auto"/>
                      </w:divBdr>
                    </w:div>
                  </w:divsChild>
                </w:div>
                <w:div w:id="1547525864">
                  <w:marLeft w:val="0"/>
                  <w:marRight w:val="0"/>
                  <w:marTop w:val="0"/>
                  <w:marBottom w:val="0"/>
                  <w:divBdr>
                    <w:top w:val="none" w:sz="0" w:space="0" w:color="auto"/>
                    <w:left w:val="none" w:sz="0" w:space="0" w:color="auto"/>
                    <w:bottom w:val="none" w:sz="0" w:space="0" w:color="auto"/>
                    <w:right w:val="none" w:sz="0" w:space="0" w:color="auto"/>
                  </w:divBdr>
                  <w:divsChild>
                    <w:div w:id="511337425">
                      <w:marLeft w:val="0"/>
                      <w:marRight w:val="0"/>
                      <w:marTop w:val="0"/>
                      <w:marBottom w:val="0"/>
                      <w:divBdr>
                        <w:top w:val="none" w:sz="0" w:space="0" w:color="auto"/>
                        <w:left w:val="none" w:sz="0" w:space="0" w:color="auto"/>
                        <w:bottom w:val="none" w:sz="0" w:space="0" w:color="auto"/>
                        <w:right w:val="none" w:sz="0" w:space="0" w:color="auto"/>
                      </w:divBdr>
                    </w:div>
                  </w:divsChild>
                </w:div>
                <w:div w:id="1560826322">
                  <w:marLeft w:val="0"/>
                  <w:marRight w:val="0"/>
                  <w:marTop w:val="0"/>
                  <w:marBottom w:val="0"/>
                  <w:divBdr>
                    <w:top w:val="none" w:sz="0" w:space="0" w:color="auto"/>
                    <w:left w:val="none" w:sz="0" w:space="0" w:color="auto"/>
                    <w:bottom w:val="none" w:sz="0" w:space="0" w:color="auto"/>
                    <w:right w:val="none" w:sz="0" w:space="0" w:color="auto"/>
                  </w:divBdr>
                  <w:divsChild>
                    <w:div w:id="1353528196">
                      <w:marLeft w:val="0"/>
                      <w:marRight w:val="0"/>
                      <w:marTop w:val="0"/>
                      <w:marBottom w:val="0"/>
                      <w:divBdr>
                        <w:top w:val="none" w:sz="0" w:space="0" w:color="auto"/>
                        <w:left w:val="none" w:sz="0" w:space="0" w:color="auto"/>
                        <w:bottom w:val="none" w:sz="0" w:space="0" w:color="auto"/>
                        <w:right w:val="none" w:sz="0" w:space="0" w:color="auto"/>
                      </w:divBdr>
                    </w:div>
                  </w:divsChild>
                </w:div>
                <w:div w:id="1572471957">
                  <w:marLeft w:val="0"/>
                  <w:marRight w:val="0"/>
                  <w:marTop w:val="0"/>
                  <w:marBottom w:val="0"/>
                  <w:divBdr>
                    <w:top w:val="none" w:sz="0" w:space="0" w:color="auto"/>
                    <w:left w:val="none" w:sz="0" w:space="0" w:color="auto"/>
                    <w:bottom w:val="none" w:sz="0" w:space="0" w:color="auto"/>
                    <w:right w:val="none" w:sz="0" w:space="0" w:color="auto"/>
                  </w:divBdr>
                  <w:divsChild>
                    <w:div w:id="1344431961">
                      <w:marLeft w:val="0"/>
                      <w:marRight w:val="0"/>
                      <w:marTop w:val="0"/>
                      <w:marBottom w:val="0"/>
                      <w:divBdr>
                        <w:top w:val="none" w:sz="0" w:space="0" w:color="auto"/>
                        <w:left w:val="none" w:sz="0" w:space="0" w:color="auto"/>
                        <w:bottom w:val="none" w:sz="0" w:space="0" w:color="auto"/>
                        <w:right w:val="none" w:sz="0" w:space="0" w:color="auto"/>
                      </w:divBdr>
                    </w:div>
                  </w:divsChild>
                </w:div>
                <w:div w:id="1577278876">
                  <w:marLeft w:val="0"/>
                  <w:marRight w:val="0"/>
                  <w:marTop w:val="0"/>
                  <w:marBottom w:val="0"/>
                  <w:divBdr>
                    <w:top w:val="none" w:sz="0" w:space="0" w:color="auto"/>
                    <w:left w:val="none" w:sz="0" w:space="0" w:color="auto"/>
                    <w:bottom w:val="none" w:sz="0" w:space="0" w:color="auto"/>
                    <w:right w:val="none" w:sz="0" w:space="0" w:color="auto"/>
                  </w:divBdr>
                  <w:divsChild>
                    <w:div w:id="1017925456">
                      <w:marLeft w:val="0"/>
                      <w:marRight w:val="0"/>
                      <w:marTop w:val="0"/>
                      <w:marBottom w:val="0"/>
                      <w:divBdr>
                        <w:top w:val="none" w:sz="0" w:space="0" w:color="auto"/>
                        <w:left w:val="none" w:sz="0" w:space="0" w:color="auto"/>
                        <w:bottom w:val="none" w:sz="0" w:space="0" w:color="auto"/>
                        <w:right w:val="none" w:sz="0" w:space="0" w:color="auto"/>
                      </w:divBdr>
                    </w:div>
                  </w:divsChild>
                </w:div>
                <w:div w:id="1584951894">
                  <w:marLeft w:val="0"/>
                  <w:marRight w:val="0"/>
                  <w:marTop w:val="0"/>
                  <w:marBottom w:val="0"/>
                  <w:divBdr>
                    <w:top w:val="none" w:sz="0" w:space="0" w:color="auto"/>
                    <w:left w:val="none" w:sz="0" w:space="0" w:color="auto"/>
                    <w:bottom w:val="none" w:sz="0" w:space="0" w:color="auto"/>
                    <w:right w:val="none" w:sz="0" w:space="0" w:color="auto"/>
                  </w:divBdr>
                  <w:divsChild>
                    <w:div w:id="1601988424">
                      <w:marLeft w:val="0"/>
                      <w:marRight w:val="0"/>
                      <w:marTop w:val="0"/>
                      <w:marBottom w:val="0"/>
                      <w:divBdr>
                        <w:top w:val="none" w:sz="0" w:space="0" w:color="auto"/>
                        <w:left w:val="none" w:sz="0" w:space="0" w:color="auto"/>
                        <w:bottom w:val="none" w:sz="0" w:space="0" w:color="auto"/>
                        <w:right w:val="none" w:sz="0" w:space="0" w:color="auto"/>
                      </w:divBdr>
                    </w:div>
                  </w:divsChild>
                </w:div>
                <w:div w:id="1587881981">
                  <w:marLeft w:val="0"/>
                  <w:marRight w:val="0"/>
                  <w:marTop w:val="0"/>
                  <w:marBottom w:val="0"/>
                  <w:divBdr>
                    <w:top w:val="none" w:sz="0" w:space="0" w:color="auto"/>
                    <w:left w:val="none" w:sz="0" w:space="0" w:color="auto"/>
                    <w:bottom w:val="none" w:sz="0" w:space="0" w:color="auto"/>
                    <w:right w:val="none" w:sz="0" w:space="0" w:color="auto"/>
                  </w:divBdr>
                  <w:divsChild>
                    <w:div w:id="592131949">
                      <w:marLeft w:val="0"/>
                      <w:marRight w:val="0"/>
                      <w:marTop w:val="0"/>
                      <w:marBottom w:val="0"/>
                      <w:divBdr>
                        <w:top w:val="none" w:sz="0" w:space="0" w:color="auto"/>
                        <w:left w:val="none" w:sz="0" w:space="0" w:color="auto"/>
                        <w:bottom w:val="none" w:sz="0" w:space="0" w:color="auto"/>
                        <w:right w:val="none" w:sz="0" w:space="0" w:color="auto"/>
                      </w:divBdr>
                    </w:div>
                  </w:divsChild>
                </w:div>
                <w:div w:id="1590699197">
                  <w:marLeft w:val="0"/>
                  <w:marRight w:val="0"/>
                  <w:marTop w:val="0"/>
                  <w:marBottom w:val="0"/>
                  <w:divBdr>
                    <w:top w:val="none" w:sz="0" w:space="0" w:color="auto"/>
                    <w:left w:val="none" w:sz="0" w:space="0" w:color="auto"/>
                    <w:bottom w:val="none" w:sz="0" w:space="0" w:color="auto"/>
                    <w:right w:val="none" w:sz="0" w:space="0" w:color="auto"/>
                  </w:divBdr>
                  <w:divsChild>
                    <w:div w:id="1056860333">
                      <w:marLeft w:val="0"/>
                      <w:marRight w:val="0"/>
                      <w:marTop w:val="0"/>
                      <w:marBottom w:val="0"/>
                      <w:divBdr>
                        <w:top w:val="none" w:sz="0" w:space="0" w:color="auto"/>
                        <w:left w:val="none" w:sz="0" w:space="0" w:color="auto"/>
                        <w:bottom w:val="none" w:sz="0" w:space="0" w:color="auto"/>
                        <w:right w:val="none" w:sz="0" w:space="0" w:color="auto"/>
                      </w:divBdr>
                    </w:div>
                  </w:divsChild>
                </w:div>
                <w:div w:id="1610507811">
                  <w:marLeft w:val="0"/>
                  <w:marRight w:val="0"/>
                  <w:marTop w:val="0"/>
                  <w:marBottom w:val="0"/>
                  <w:divBdr>
                    <w:top w:val="none" w:sz="0" w:space="0" w:color="auto"/>
                    <w:left w:val="none" w:sz="0" w:space="0" w:color="auto"/>
                    <w:bottom w:val="none" w:sz="0" w:space="0" w:color="auto"/>
                    <w:right w:val="none" w:sz="0" w:space="0" w:color="auto"/>
                  </w:divBdr>
                  <w:divsChild>
                    <w:div w:id="1717460544">
                      <w:marLeft w:val="0"/>
                      <w:marRight w:val="0"/>
                      <w:marTop w:val="0"/>
                      <w:marBottom w:val="0"/>
                      <w:divBdr>
                        <w:top w:val="none" w:sz="0" w:space="0" w:color="auto"/>
                        <w:left w:val="none" w:sz="0" w:space="0" w:color="auto"/>
                        <w:bottom w:val="none" w:sz="0" w:space="0" w:color="auto"/>
                        <w:right w:val="none" w:sz="0" w:space="0" w:color="auto"/>
                      </w:divBdr>
                    </w:div>
                  </w:divsChild>
                </w:div>
                <w:div w:id="1611861594">
                  <w:marLeft w:val="0"/>
                  <w:marRight w:val="0"/>
                  <w:marTop w:val="0"/>
                  <w:marBottom w:val="0"/>
                  <w:divBdr>
                    <w:top w:val="none" w:sz="0" w:space="0" w:color="auto"/>
                    <w:left w:val="none" w:sz="0" w:space="0" w:color="auto"/>
                    <w:bottom w:val="none" w:sz="0" w:space="0" w:color="auto"/>
                    <w:right w:val="none" w:sz="0" w:space="0" w:color="auto"/>
                  </w:divBdr>
                  <w:divsChild>
                    <w:div w:id="623538934">
                      <w:marLeft w:val="0"/>
                      <w:marRight w:val="0"/>
                      <w:marTop w:val="0"/>
                      <w:marBottom w:val="0"/>
                      <w:divBdr>
                        <w:top w:val="none" w:sz="0" w:space="0" w:color="auto"/>
                        <w:left w:val="none" w:sz="0" w:space="0" w:color="auto"/>
                        <w:bottom w:val="none" w:sz="0" w:space="0" w:color="auto"/>
                        <w:right w:val="none" w:sz="0" w:space="0" w:color="auto"/>
                      </w:divBdr>
                    </w:div>
                  </w:divsChild>
                </w:div>
                <w:div w:id="1615749084">
                  <w:marLeft w:val="0"/>
                  <w:marRight w:val="0"/>
                  <w:marTop w:val="0"/>
                  <w:marBottom w:val="0"/>
                  <w:divBdr>
                    <w:top w:val="none" w:sz="0" w:space="0" w:color="auto"/>
                    <w:left w:val="none" w:sz="0" w:space="0" w:color="auto"/>
                    <w:bottom w:val="none" w:sz="0" w:space="0" w:color="auto"/>
                    <w:right w:val="none" w:sz="0" w:space="0" w:color="auto"/>
                  </w:divBdr>
                  <w:divsChild>
                    <w:div w:id="133573524">
                      <w:marLeft w:val="0"/>
                      <w:marRight w:val="0"/>
                      <w:marTop w:val="0"/>
                      <w:marBottom w:val="0"/>
                      <w:divBdr>
                        <w:top w:val="none" w:sz="0" w:space="0" w:color="auto"/>
                        <w:left w:val="none" w:sz="0" w:space="0" w:color="auto"/>
                        <w:bottom w:val="none" w:sz="0" w:space="0" w:color="auto"/>
                        <w:right w:val="none" w:sz="0" w:space="0" w:color="auto"/>
                      </w:divBdr>
                    </w:div>
                  </w:divsChild>
                </w:div>
                <w:div w:id="1621036133">
                  <w:marLeft w:val="0"/>
                  <w:marRight w:val="0"/>
                  <w:marTop w:val="0"/>
                  <w:marBottom w:val="0"/>
                  <w:divBdr>
                    <w:top w:val="none" w:sz="0" w:space="0" w:color="auto"/>
                    <w:left w:val="none" w:sz="0" w:space="0" w:color="auto"/>
                    <w:bottom w:val="none" w:sz="0" w:space="0" w:color="auto"/>
                    <w:right w:val="none" w:sz="0" w:space="0" w:color="auto"/>
                  </w:divBdr>
                  <w:divsChild>
                    <w:div w:id="396974539">
                      <w:marLeft w:val="0"/>
                      <w:marRight w:val="0"/>
                      <w:marTop w:val="0"/>
                      <w:marBottom w:val="0"/>
                      <w:divBdr>
                        <w:top w:val="none" w:sz="0" w:space="0" w:color="auto"/>
                        <w:left w:val="none" w:sz="0" w:space="0" w:color="auto"/>
                        <w:bottom w:val="none" w:sz="0" w:space="0" w:color="auto"/>
                        <w:right w:val="none" w:sz="0" w:space="0" w:color="auto"/>
                      </w:divBdr>
                    </w:div>
                  </w:divsChild>
                </w:div>
                <w:div w:id="1626427870">
                  <w:marLeft w:val="0"/>
                  <w:marRight w:val="0"/>
                  <w:marTop w:val="0"/>
                  <w:marBottom w:val="0"/>
                  <w:divBdr>
                    <w:top w:val="none" w:sz="0" w:space="0" w:color="auto"/>
                    <w:left w:val="none" w:sz="0" w:space="0" w:color="auto"/>
                    <w:bottom w:val="none" w:sz="0" w:space="0" w:color="auto"/>
                    <w:right w:val="none" w:sz="0" w:space="0" w:color="auto"/>
                  </w:divBdr>
                  <w:divsChild>
                    <w:div w:id="1267271122">
                      <w:marLeft w:val="0"/>
                      <w:marRight w:val="0"/>
                      <w:marTop w:val="0"/>
                      <w:marBottom w:val="0"/>
                      <w:divBdr>
                        <w:top w:val="none" w:sz="0" w:space="0" w:color="auto"/>
                        <w:left w:val="none" w:sz="0" w:space="0" w:color="auto"/>
                        <w:bottom w:val="none" w:sz="0" w:space="0" w:color="auto"/>
                        <w:right w:val="none" w:sz="0" w:space="0" w:color="auto"/>
                      </w:divBdr>
                    </w:div>
                  </w:divsChild>
                </w:div>
                <w:div w:id="1626740312">
                  <w:marLeft w:val="0"/>
                  <w:marRight w:val="0"/>
                  <w:marTop w:val="0"/>
                  <w:marBottom w:val="0"/>
                  <w:divBdr>
                    <w:top w:val="none" w:sz="0" w:space="0" w:color="auto"/>
                    <w:left w:val="none" w:sz="0" w:space="0" w:color="auto"/>
                    <w:bottom w:val="none" w:sz="0" w:space="0" w:color="auto"/>
                    <w:right w:val="none" w:sz="0" w:space="0" w:color="auto"/>
                  </w:divBdr>
                  <w:divsChild>
                    <w:div w:id="1628120342">
                      <w:marLeft w:val="0"/>
                      <w:marRight w:val="0"/>
                      <w:marTop w:val="0"/>
                      <w:marBottom w:val="0"/>
                      <w:divBdr>
                        <w:top w:val="none" w:sz="0" w:space="0" w:color="auto"/>
                        <w:left w:val="none" w:sz="0" w:space="0" w:color="auto"/>
                        <w:bottom w:val="none" w:sz="0" w:space="0" w:color="auto"/>
                        <w:right w:val="none" w:sz="0" w:space="0" w:color="auto"/>
                      </w:divBdr>
                    </w:div>
                  </w:divsChild>
                </w:div>
                <w:div w:id="1626765645">
                  <w:marLeft w:val="0"/>
                  <w:marRight w:val="0"/>
                  <w:marTop w:val="0"/>
                  <w:marBottom w:val="0"/>
                  <w:divBdr>
                    <w:top w:val="none" w:sz="0" w:space="0" w:color="auto"/>
                    <w:left w:val="none" w:sz="0" w:space="0" w:color="auto"/>
                    <w:bottom w:val="none" w:sz="0" w:space="0" w:color="auto"/>
                    <w:right w:val="none" w:sz="0" w:space="0" w:color="auto"/>
                  </w:divBdr>
                  <w:divsChild>
                    <w:div w:id="1848981140">
                      <w:marLeft w:val="0"/>
                      <w:marRight w:val="0"/>
                      <w:marTop w:val="0"/>
                      <w:marBottom w:val="0"/>
                      <w:divBdr>
                        <w:top w:val="none" w:sz="0" w:space="0" w:color="auto"/>
                        <w:left w:val="none" w:sz="0" w:space="0" w:color="auto"/>
                        <w:bottom w:val="none" w:sz="0" w:space="0" w:color="auto"/>
                        <w:right w:val="none" w:sz="0" w:space="0" w:color="auto"/>
                      </w:divBdr>
                    </w:div>
                  </w:divsChild>
                </w:div>
                <w:div w:id="1631471915">
                  <w:marLeft w:val="0"/>
                  <w:marRight w:val="0"/>
                  <w:marTop w:val="0"/>
                  <w:marBottom w:val="0"/>
                  <w:divBdr>
                    <w:top w:val="none" w:sz="0" w:space="0" w:color="auto"/>
                    <w:left w:val="none" w:sz="0" w:space="0" w:color="auto"/>
                    <w:bottom w:val="none" w:sz="0" w:space="0" w:color="auto"/>
                    <w:right w:val="none" w:sz="0" w:space="0" w:color="auto"/>
                  </w:divBdr>
                  <w:divsChild>
                    <w:div w:id="2117018989">
                      <w:marLeft w:val="0"/>
                      <w:marRight w:val="0"/>
                      <w:marTop w:val="0"/>
                      <w:marBottom w:val="0"/>
                      <w:divBdr>
                        <w:top w:val="none" w:sz="0" w:space="0" w:color="auto"/>
                        <w:left w:val="none" w:sz="0" w:space="0" w:color="auto"/>
                        <w:bottom w:val="none" w:sz="0" w:space="0" w:color="auto"/>
                        <w:right w:val="none" w:sz="0" w:space="0" w:color="auto"/>
                      </w:divBdr>
                    </w:div>
                  </w:divsChild>
                </w:div>
                <w:div w:id="1631746746">
                  <w:marLeft w:val="0"/>
                  <w:marRight w:val="0"/>
                  <w:marTop w:val="0"/>
                  <w:marBottom w:val="0"/>
                  <w:divBdr>
                    <w:top w:val="none" w:sz="0" w:space="0" w:color="auto"/>
                    <w:left w:val="none" w:sz="0" w:space="0" w:color="auto"/>
                    <w:bottom w:val="none" w:sz="0" w:space="0" w:color="auto"/>
                    <w:right w:val="none" w:sz="0" w:space="0" w:color="auto"/>
                  </w:divBdr>
                  <w:divsChild>
                    <w:div w:id="625234559">
                      <w:marLeft w:val="0"/>
                      <w:marRight w:val="0"/>
                      <w:marTop w:val="0"/>
                      <w:marBottom w:val="0"/>
                      <w:divBdr>
                        <w:top w:val="none" w:sz="0" w:space="0" w:color="auto"/>
                        <w:left w:val="none" w:sz="0" w:space="0" w:color="auto"/>
                        <w:bottom w:val="none" w:sz="0" w:space="0" w:color="auto"/>
                        <w:right w:val="none" w:sz="0" w:space="0" w:color="auto"/>
                      </w:divBdr>
                    </w:div>
                  </w:divsChild>
                </w:div>
                <w:div w:id="1642465718">
                  <w:marLeft w:val="0"/>
                  <w:marRight w:val="0"/>
                  <w:marTop w:val="0"/>
                  <w:marBottom w:val="0"/>
                  <w:divBdr>
                    <w:top w:val="none" w:sz="0" w:space="0" w:color="auto"/>
                    <w:left w:val="none" w:sz="0" w:space="0" w:color="auto"/>
                    <w:bottom w:val="none" w:sz="0" w:space="0" w:color="auto"/>
                    <w:right w:val="none" w:sz="0" w:space="0" w:color="auto"/>
                  </w:divBdr>
                  <w:divsChild>
                    <w:div w:id="1337079044">
                      <w:marLeft w:val="0"/>
                      <w:marRight w:val="0"/>
                      <w:marTop w:val="0"/>
                      <w:marBottom w:val="0"/>
                      <w:divBdr>
                        <w:top w:val="none" w:sz="0" w:space="0" w:color="auto"/>
                        <w:left w:val="none" w:sz="0" w:space="0" w:color="auto"/>
                        <w:bottom w:val="none" w:sz="0" w:space="0" w:color="auto"/>
                        <w:right w:val="none" w:sz="0" w:space="0" w:color="auto"/>
                      </w:divBdr>
                    </w:div>
                  </w:divsChild>
                </w:div>
                <w:div w:id="1643150646">
                  <w:marLeft w:val="0"/>
                  <w:marRight w:val="0"/>
                  <w:marTop w:val="0"/>
                  <w:marBottom w:val="0"/>
                  <w:divBdr>
                    <w:top w:val="none" w:sz="0" w:space="0" w:color="auto"/>
                    <w:left w:val="none" w:sz="0" w:space="0" w:color="auto"/>
                    <w:bottom w:val="none" w:sz="0" w:space="0" w:color="auto"/>
                    <w:right w:val="none" w:sz="0" w:space="0" w:color="auto"/>
                  </w:divBdr>
                  <w:divsChild>
                    <w:div w:id="909969021">
                      <w:marLeft w:val="0"/>
                      <w:marRight w:val="0"/>
                      <w:marTop w:val="0"/>
                      <w:marBottom w:val="0"/>
                      <w:divBdr>
                        <w:top w:val="none" w:sz="0" w:space="0" w:color="auto"/>
                        <w:left w:val="none" w:sz="0" w:space="0" w:color="auto"/>
                        <w:bottom w:val="none" w:sz="0" w:space="0" w:color="auto"/>
                        <w:right w:val="none" w:sz="0" w:space="0" w:color="auto"/>
                      </w:divBdr>
                    </w:div>
                  </w:divsChild>
                </w:div>
                <w:div w:id="1648969826">
                  <w:marLeft w:val="0"/>
                  <w:marRight w:val="0"/>
                  <w:marTop w:val="0"/>
                  <w:marBottom w:val="0"/>
                  <w:divBdr>
                    <w:top w:val="none" w:sz="0" w:space="0" w:color="auto"/>
                    <w:left w:val="none" w:sz="0" w:space="0" w:color="auto"/>
                    <w:bottom w:val="none" w:sz="0" w:space="0" w:color="auto"/>
                    <w:right w:val="none" w:sz="0" w:space="0" w:color="auto"/>
                  </w:divBdr>
                  <w:divsChild>
                    <w:div w:id="1628395051">
                      <w:marLeft w:val="0"/>
                      <w:marRight w:val="0"/>
                      <w:marTop w:val="0"/>
                      <w:marBottom w:val="0"/>
                      <w:divBdr>
                        <w:top w:val="none" w:sz="0" w:space="0" w:color="auto"/>
                        <w:left w:val="none" w:sz="0" w:space="0" w:color="auto"/>
                        <w:bottom w:val="none" w:sz="0" w:space="0" w:color="auto"/>
                        <w:right w:val="none" w:sz="0" w:space="0" w:color="auto"/>
                      </w:divBdr>
                    </w:div>
                  </w:divsChild>
                </w:div>
                <w:div w:id="1656841208">
                  <w:marLeft w:val="0"/>
                  <w:marRight w:val="0"/>
                  <w:marTop w:val="0"/>
                  <w:marBottom w:val="0"/>
                  <w:divBdr>
                    <w:top w:val="none" w:sz="0" w:space="0" w:color="auto"/>
                    <w:left w:val="none" w:sz="0" w:space="0" w:color="auto"/>
                    <w:bottom w:val="none" w:sz="0" w:space="0" w:color="auto"/>
                    <w:right w:val="none" w:sz="0" w:space="0" w:color="auto"/>
                  </w:divBdr>
                  <w:divsChild>
                    <w:div w:id="1078599888">
                      <w:marLeft w:val="0"/>
                      <w:marRight w:val="0"/>
                      <w:marTop w:val="0"/>
                      <w:marBottom w:val="0"/>
                      <w:divBdr>
                        <w:top w:val="none" w:sz="0" w:space="0" w:color="auto"/>
                        <w:left w:val="none" w:sz="0" w:space="0" w:color="auto"/>
                        <w:bottom w:val="none" w:sz="0" w:space="0" w:color="auto"/>
                        <w:right w:val="none" w:sz="0" w:space="0" w:color="auto"/>
                      </w:divBdr>
                    </w:div>
                  </w:divsChild>
                </w:div>
                <w:div w:id="1662661322">
                  <w:marLeft w:val="0"/>
                  <w:marRight w:val="0"/>
                  <w:marTop w:val="0"/>
                  <w:marBottom w:val="0"/>
                  <w:divBdr>
                    <w:top w:val="none" w:sz="0" w:space="0" w:color="auto"/>
                    <w:left w:val="none" w:sz="0" w:space="0" w:color="auto"/>
                    <w:bottom w:val="none" w:sz="0" w:space="0" w:color="auto"/>
                    <w:right w:val="none" w:sz="0" w:space="0" w:color="auto"/>
                  </w:divBdr>
                  <w:divsChild>
                    <w:div w:id="1285235353">
                      <w:marLeft w:val="0"/>
                      <w:marRight w:val="0"/>
                      <w:marTop w:val="0"/>
                      <w:marBottom w:val="0"/>
                      <w:divBdr>
                        <w:top w:val="none" w:sz="0" w:space="0" w:color="auto"/>
                        <w:left w:val="none" w:sz="0" w:space="0" w:color="auto"/>
                        <w:bottom w:val="none" w:sz="0" w:space="0" w:color="auto"/>
                        <w:right w:val="none" w:sz="0" w:space="0" w:color="auto"/>
                      </w:divBdr>
                    </w:div>
                  </w:divsChild>
                </w:div>
                <w:div w:id="1672638465">
                  <w:marLeft w:val="0"/>
                  <w:marRight w:val="0"/>
                  <w:marTop w:val="0"/>
                  <w:marBottom w:val="0"/>
                  <w:divBdr>
                    <w:top w:val="none" w:sz="0" w:space="0" w:color="auto"/>
                    <w:left w:val="none" w:sz="0" w:space="0" w:color="auto"/>
                    <w:bottom w:val="none" w:sz="0" w:space="0" w:color="auto"/>
                    <w:right w:val="none" w:sz="0" w:space="0" w:color="auto"/>
                  </w:divBdr>
                  <w:divsChild>
                    <w:div w:id="955016822">
                      <w:marLeft w:val="0"/>
                      <w:marRight w:val="0"/>
                      <w:marTop w:val="0"/>
                      <w:marBottom w:val="0"/>
                      <w:divBdr>
                        <w:top w:val="none" w:sz="0" w:space="0" w:color="auto"/>
                        <w:left w:val="none" w:sz="0" w:space="0" w:color="auto"/>
                        <w:bottom w:val="none" w:sz="0" w:space="0" w:color="auto"/>
                        <w:right w:val="none" w:sz="0" w:space="0" w:color="auto"/>
                      </w:divBdr>
                    </w:div>
                  </w:divsChild>
                </w:div>
                <w:div w:id="1673489000">
                  <w:marLeft w:val="0"/>
                  <w:marRight w:val="0"/>
                  <w:marTop w:val="0"/>
                  <w:marBottom w:val="0"/>
                  <w:divBdr>
                    <w:top w:val="none" w:sz="0" w:space="0" w:color="auto"/>
                    <w:left w:val="none" w:sz="0" w:space="0" w:color="auto"/>
                    <w:bottom w:val="none" w:sz="0" w:space="0" w:color="auto"/>
                    <w:right w:val="none" w:sz="0" w:space="0" w:color="auto"/>
                  </w:divBdr>
                  <w:divsChild>
                    <w:div w:id="1415278979">
                      <w:marLeft w:val="0"/>
                      <w:marRight w:val="0"/>
                      <w:marTop w:val="0"/>
                      <w:marBottom w:val="0"/>
                      <w:divBdr>
                        <w:top w:val="none" w:sz="0" w:space="0" w:color="auto"/>
                        <w:left w:val="none" w:sz="0" w:space="0" w:color="auto"/>
                        <w:bottom w:val="none" w:sz="0" w:space="0" w:color="auto"/>
                        <w:right w:val="none" w:sz="0" w:space="0" w:color="auto"/>
                      </w:divBdr>
                    </w:div>
                  </w:divsChild>
                </w:div>
                <w:div w:id="1675179828">
                  <w:marLeft w:val="0"/>
                  <w:marRight w:val="0"/>
                  <w:marTop w:val="0"/>
                  <w:marBottom w:val="0"/>
                  <w:divBdr>
                    <w:top w:val="none" w:sz="0" w:space="0" w:color="auto"/>
                    <w:left w:val="none" w:sz="0" w:space="0" w:color="auto"/>
                    <w:bottom w:val="none" w:sz="0" w:space="0" w:color="auto"/>
                    <w:right w:val="none" w:sz="0" w:space="0" w:color="auto"/>
                  </w:divBdr>
                  <w:divsChild>
                    <w:div w:id="1504859341">
                      <w:marLeft w:val="0"/>
                      <w:marRight w:val="0"/>
                      <w:marTop w:val="0"/>
                      <w:marBottom w:val="0"/>
                      <w:divBdr>
                        <w:top w:val="none" w:sz="0" w:space="0" w:color="auto"/>
                        <w:left w:val="none" w:sz="0" w:space="0" w:color="auto"/>
                        <w:bottom w:val="none" w:sz="0" w:space="0" w:color="auto"/>
                        <w:right w:val="none" w:sz="0" w:space="0" w:color="auto"/>
                      </w:divBdr>
                    </w:div>
                  </w:divsChild>
                </w:div>
                <w:div w:id="1681929899">
                  <w:marLeft w:val="0"/>
                  <w:marRight w:val="0"/>
                  <w:marTop w:val="0"/>
                  <w:marBottom w:val="0"/>
                  <w:divBdr>
                    <w:top w:val="none" w:sz="0" w:space="0" w:color="auto"/>
                    <w:left w:val="none" w:sz="0" w:space="0" w:color="auto"/>
                    <w:bottom w:val="none" w:sz="0" w:space="0" w:color="auto"/>
                    <w:right w:val="none" w:sz="0" w:space="0" w:color="auto"/>
                  </w:divBdr>
                  <w:divsChild>
                    <w:div w:id="1641574664">
                      <w:marLeft w:val="0"/>
                      <w:marRight w:val="0"/>
                      <w:marTop w:val="0"/>
                      <w:marBottom w:val="0"/>
                      <w:divBdr>
                        <w:top w:val="none" w:sz="0" w:space="0" w:color="auto"/>
                        <w:left w:val="none" w:sz="0" w:space="0" w:color="auto"/>
                        <w:bottom w:val="none" w:sz="0" w:space="0" w:color="auto"/>
                        <w:right w:val="none" w:sz="0" w:space="0" w:color="auto"/>
                      </w:divBdr>
                    </w:div>
                  </w:divsChild>
                </w:div>
                <w:div w:id="1684749125">
                  <w:marLeft w:val="0"/>
                  <w:marRight w:val="0"/>
                  <w:marTop w:val="0"/>
                  <w:marBottom w:val="0"/>
                  <w:divBdr>
                    <w:top w:val="none" w:sz="0" w:space="0" w:color="auto"/>
                    <w:left w:val="none" w:sz="0" w:space="0" w:color="auto"/>
                    <w:bottom w:val="none" w:sz="0" w:space="0" w:color="auto"/>
                    <w:right w:val="none" w:sz="0" w:space="0" w:color="auto"/>
                  </w:divBdr>
                  <w:divsChild>
                    <w:div w:id="855315243">
                      <w:marLeft w:val="0"/>
                      <w:marRight w:val="0"/>
                      <w:marTop w:val="0"/>
                      <w:marBottom w:val="0"/>
                      <w:divBdr>
                        <w:top w:val="none" w:sz="0" w:space="0" w:color="auto"/>
                        <w:left w:val="none" w:sz="0" w:space="0" w:color="auto"/>
                        <w:bottom w:val="none" w:sz="0" w:space="0" w:color="auto"/>
                        <w:right w:val="none" w:sz="0" w:space="0" w:color="auto"/>
                      </w:divBdr>
                    </w:div>
                  </w:divsChild>
                </w:div>
                <w:div w:id="1687361253">
                  <w:marLeft w:val="0"/>
                  <w:marRight w:val="0"/>
                  <w:marTop w:val="0"/>
                  <w:marBottom w:val="0"/>
                  <w:divBdr>
                    <w:top w:val="none" w:sz="0" w:space="0" w:color="auto"/>
                    <w:left w:val="none" w:sz="0" w:space="0" w:color="auto"/>
                    <w:bottom w:val="none" w:sz="0" w:space="0" w:color="auto"/>
                    <w:right w:val="none" w:sz="0" w:space="0" w:color="auto"/>
                  </w:divBdr>
                  <w:divsChild>
                    <w:div w:id="1029141678">
                      <w:marLeft w:val="0"/>
                      <w:marRight w:val="0"/>
                      <w:marTop w:val="0"/>
                      <w:marBottom w:val="0"/>
                      <w:divBdr>
                        <w:top w:val="none" w:sz="0" w:space="0" w:color="auto"/>
                        <w:left w:val="none" w:sz="0" w:space="0" w:color="auto"/>
                        <w:bottom w:val="none" w:sz="0" w:space="0" w:color="auto"/>
                        <w:right w:val="none" w:sz="0" w:space="0" w:color="auto"/>
                      </w:divBdr>
                    </w:div>
                  </w:divsChild>
                </w:div>
                <w:div w:id="1694066907">
                  <w:marLeft w:val="0"/>
                  <w:marRight w:val="0"/>
                  <w:marTop w:val="0"/>
                  <w:marBottom w:val="0"/>
                  <w:divBdr>
                    <w:top w:val="none" w:sz="0" w:space="0" w:color="auto"/>
                    <w:left w:val="none" w:sz="0" w:space="0" w:color="auto"/>
                    <w:bottom w:val="none" w:sz="0" w:space="0" w:color="auto"/>
                    <w:right w:val="none" w:sz="0" w:space="0" w:color="auto"/>
                  </w:divBdr>
                  <w:divsChild>
                    <w:div w:id="905844453">
                      <w:marLeft w:val="0"/>
                      <w:marRight w:val="0"/>
                      <w:marTop w:val="0"/>
                      <w:marBottom w:val="0"/>
                      <w:divBdr>
                        <w:top w:val="none" w:sz="0" w:space="0" w:color="auto"/>
                        <w:left w:val="none" w:sz="0" w:space="0" w:color="auto"/>
                        <w:bottom w:val="none" w:sz="0" w:space="0" w:color="auto"/>
                        <w:right w:val="none" w:sz="0" w:space="0" w:color="auto"/>
                      </w:divBdr>
                    </w:div>
                  </w:divsChild>
                </w:div>
                <w:div w:id="1698115585">
                  <w:marLeft w:val="0"/>
                  <w:marRight w:val="0"/>
                  <w:marTop w:val="0"/>
                  <w:marBottom w:val="0"/>
                  <w:divBdr>
                    <w:top w:val="none" w:sz="0" w:space="0" w:color="auto"/>
                    <w:left w:val="none" w:sz="0" w:space="0" w:color="auto"/>
                    <w:bottom w:val="none" w:sz="0" w:space="0" w:color="auto"/>
                    <w:right w:val="none" w:sz="0" w:space="0" w:color="auto"/>
                  </w:divBdr>
                  <w:divsChild>
                    <w:div w:id="136536640">
                      <w:marLeft w:val="0"/>
                      <w:marRight w:val="0"/>
                      <w:marTop w:val="0"/>
                      <w:marBottom w:val="0"/>
                      <w:divBdr>
                        <w:top w:val="none" w:sz="0" w:space="0" w:color="auto"/>
                        <w:left w:val="none" w:sz="0" w:space="0" w:color="auto"/>
                        <w:bottom w:val="none" w:sz="0" w:space="0" w:color="auto"/>
                        <w:right w:val="none" w:sz="0" w:space="0" w:color="auto"/>
                      </w:divBdr>
                    </w:div>
                  </w:divsChild>
                </w:div>
                <w:div w:id="1699620878">
                  <w:marLeft w:val="0"/>
                  <w:marRight w:val="0"/>
                  <w:marTop w:val="0"/>
                  <w:marBottom w:val="0"/>
                  <w:divBdr>
                    <w:top w:val="none" w:sz="0" w:space="0" w:color="auto"/>
                    <w:left w:val="none" w:sz="0" w:space="0" w:color="auto"/>
                    <w:bottom w:val="none" w:sz="0" w:space="0" w:color="auto"/>
                    <w:right w:val="none" w:sz="0" w:space="0" w:color="auto"/>
                  </w:divBdr>
                  <w:divsChild>
                    <w:div w:id="1282959550">
                      <w:marLeft w:val="0"/>
                      <w:marRight w:val="0"/>
                      <w:marTop w:val="0"/>
                      <w:marBottom w:val="0"/>
                      <w:divBdr>
                        <w:top w:val="none" w:sz="0" w:space="0" w:color="auto"/>
                        <w:left w:val="none" w:sz="0" w:space="0" w:color="auto"/>
                        <w:bottom w:val="none" w:sz="0" w:space="0" w:color="auto"/>
                        <w:right w:val="none" w:sz="0" w:space="0" w:color="auto"/>
                      </w:divBdr>
                    </w:div>
                  </w:divsChild>
                </w:div>
                <w:div w:id="1700857286">
                  <w:marLeft w:val="0"/>
                  <w:marRight w:val="0"/>
                  <w:marTop w:val="0"/>
                  <w:marBottom w:val="0"/>
                  <w:divBdr>
                    <w:top w:val="none" w:sz="0" w:space="0" w:color="auto"/>
                    <w:left w:val="none" w:sz="0" w:space="0" w:color="auto"/>
                    <w:bottom w:val="none" w:sz="0" w:space="0" w:color="auto"/>
                    <w:right w:val="none" w:sz="0" w:space="0" w:color="auto"/>
                  </w:divBdr>
                  <w:divsChild>
                    <w:div w:id="1847137658">
                      <w:marLeft w:val="0"/>
                      <w:marRight w:val="0"/>
                      <w:marTop w:val="0"/>
                      <w:marBottom w:val="0"/>
                      <w:divBdr>
                        <w:top w:val="none" w:sz="0" w:space="0" w:color="auto"/>
                        <w:left w:val="none" w:sz="0" w:space="0" w:color="auto"/>
                        <w:bottom w:val="none" w:sz="0" w:space="0" w:color="auto"/>
                        <w:right w:val="none" w:sz="0" w:space="0" w:color="auto"/>
                      </w:divBdr>
                    </w:div>
                  </w:divsChild>
                </w:div>
                <w:div w:id="1701927340">
                  <w:marLeft w:val="0"/>
                  <w:marRight w:val="0"/>
                  <w:marTop w:val="0"/>
                  <w:marBottom w:val="0"/>
                  <w:divBdr>
                    <w:top w:val="none" w:sz="0" w:space="0" w:color="auto"/>
                    <w:left w:val="none" w:sz="0" w:space="0" w:color="auto"/>
                    <w:bottom w:val="none" w:sz="0" w:space="0" w:color="auto"/>
                    <w:right w:val="none" w:sz="0" w:space="0" w:color="auto"/>
                  </w:divBdr>
                  <w:divsChild>
                    <w:div w:id="885215884">
                      <w:marLeft w:val="0"/>
                      <w:marRight w:val="0"/>
                      <w:marTop w:val="0"/>
                      <w:marBottom w:val="0"/>
                      <w:divBdr>
                        <w:top w:val="none" w:sz="0" w:space="0" w:color="auto"/>
                        <w:left w:val="none" w:sz="0" w:space="0" w:color="auto"/>
                        <w:bottom w:val="none" w:sz="0" w:space="0" w:color="auto"/>
                        <w:right w:val="none" w:sz="0" w:space="0" w:color="auto"/>
                      </w:divBdr>
                    </w:div>
                  </w:divsChild>
                </w:div>
                <w:div w:id="1704093449">
                  <w:marLeft w:val="0"/>
                  <w:marRight w:val="0"/>
                  <w:marTop w:val="0"/>
                  <w:marBottom w:val="0"/>
                  <w:divBdr>
                    <w:top w:val="none" w:sz="0" w:space="0" w:color="auto"/>
                    <w:left w:val="none" w:sz="0" w:space="0" w:color="auto"/>
                    <w:bottom w:val="none" w:sz="0" w:space="0" w:color="auto"/>
                    <w:right w:val="none" w:sz="0" w:space="0" w:color="auto"/>
                  </w:divBdr>
                  <w:divsChild>
                    <w:div w:id="1339426535">
                      <w:marLeft w:val="0"/>
                      <w:marRight w:val="0"/>
                      <w:marTop w:val="0"/>
                      <w:marBottom w:val="0"/>
                      <w:divBdr>
                        <w:top w:val="none" w:sz="0" w:space="0" w:color="auto"/>
                        <w:left w:val="none" w:sz="0" w:space="0" w:color="auto"/>
                        <w:bottom w:val="none" w:sz="0" w:space="0" w:color="auto"/>
                        <w:right w:val="none" w:sz="0" w:space="0" w:color="auto"/>
                      </w:divBdr>
                    </w:div>
                  </w:divsChild>
                </w:div>
                <w:div w:id="1704667117">
                  <w:marLeft w:val="0"/>
                  <w:marRight w:val="0"/>
                  <w:marTop w:val="0"/>
                  <w:marBottom w:val="0"/>
                  <w:divBdr>
                    <w:top w:val="none" w:sz="0" w:space="0" w:color="auto"/>
                    <w:left w:val="none" w:sz="0" w:space="0" w:color="auto"/>
                    <w:bottom w:val="none" w:sz="0" w:space="0" w:color="auto"/>
                    <w:right w:val="none" w:sz="0" w:space="0" w:color="auto"/>
                  </w:divBdr>
                  <w:divsChild>
                    <w:div w:id="223834072">
                      <w:marLeft w:val="0"/>
                      <w:marRight w:val="0"/>
                      <w:marTop w:val="0"/>
                      <w:marBottom w:val="0"/>
                      <w:divBdr>
                        <w:top w:val="none" w:sz="0" w:space="0" w:color="auto"/>
                        <w:left w:val="none" w:sz="0" w:space="0" w:color="auto"/>
                        <w:bottom w:val="none" w:sz="0" w:space="0" w:color="auto"/>
                        <w:right w:val="none" w:sz="0" w:space="0" w:color="auto"/>
                      </w:divBdr>
                    </w:div>
                  </w:divsChild>
                </w:div>
                <w:div w:id="1712487217">
                  <w:marLeft w:val="0"/>
                  <w:marRight w:val="0"/>
                  <w:marTop w:val="0"/>
                  <w:marBottom w:val="0"/>
                  <w:divBdr>
                    <w:top w:val="none" w:sz="0" w:space="0" w:color="auto"/>
                    <w:left w:val="none" w:sz="0" w:space="0" w:color="auto"/>
                    <w:bottom w:val="none" w:sz="0" w:space="0" w:color="auto"/>
                    <w:right w:val="none" w:sz="0" w:space="0" w:color="auto"/>
                  </w:divBdr>
                  <w:divsChild>
                    <w:div w:id="1856576717">
                      <w:marLeft w:val="0"/>
                      <w:marRight w:val="0"/>
                      <w:marTop w:val="0"/>
                      <w:marBottom w:val="0"/>
                      <w:divBdr>
                        <w:top w:val="none" w:sz="0" w:space="0" w:color="auto"/>
                        <w:left w:val="none" w:sz="0" w:space="0" w:color="auto"/>
                        <w:bottom w:val="none" w:sz="0" w:space="0" w:color="auto"/>
                        <w:right w:val="none" w:sz="0" w:space="0" w:color="auto"/>
                      </w:divBdr>
                    </w:div>
                  </w:divsChild>
                </w:div>
                <w:div w:id="1713574786">
                  <w:marLeft w:val="0"/>
                  <w:marRight w:val="0"/>
                  <w:marTop w:val="0"/>
                  <w:marBottom w:val="0"/>
                  <w:divBdr>
                    <w:top w:val="none" w:sz="0" w:space="0" w:color="auto"/>
                    <w:left w:val="none" w:sz="0" w:space="0" w:color="auto"/>
                    <w:bottom w:val="none" w:sz="0" w:space="0" w:color="auto"/>
                    <w:right w:val="none" w:sz="0" w:space="0" w:color="auto"/>
                  </w:divBdr>
                  <w:divsChild>
                    <w:div w:id="1589540098">
                      <w:marLeft w:val="0"/>
                      <w:marRight w:val="0"/>
                      <w:marTop w:val="0"/>
                      <w:marBottom w:val="0"/>
                      <w:divBdr>
                        <w:top w:val="none" w:sz="0" w:space="0" w:color="auto"/>
                        <w:left w:val="none" w:sz="0" w:space="0" w:color="auto"/>
                        <w:bottom w:val="none" w:sz="0" w:space="0" w:color="auto"/>
                        <w:right w:val="none" w:sz="0" w:space="0" w:color="auto"/>
                      </w:divBdr>
                    </w:div>
                  </w:divsChild>
                </w:div>
                <w:div w:id="1725641359">
                  <w:marLeft w:val="0"/>
                  <w:marRight w:val="0"/>
                  <w:marTop w:val="0"/>
                  <w:marBottom w:val="0"/>
                  <w:divBdr>
                    <w:top w:val="none" w:sz="0" w:space="0" w:color="auto"/>
                    <w:left w:val="none" w:sz="0" w:space="0" w:color="auto"/>
                    <w:bottom w:val="none" w:sz="0" w:space="0" w:color="auto"/>
                    <w:right w:val="none" w:sz="0" w:space="0" w:color="auto"/>
                  </w:divBdr>
                  <w:divsChild>
                    <w:div w:id="1269503127">
                      <w:marLeft w:val="0"/>
                      <w:marRight w:val="0"/>
                      <w:marTop w:val="0"/>
                      <w:marBottom w:val="0"/>
                      <w:divBdr>
                        <w:top w:val="none" w:sz="0" w:space="0" w:color="auto"/>
                        <w:left w:val="none" w:sz="0" w:space="0" w:color="auto"/>
                        <w:bottom w:val="none" w:sz="0" w:space="0" w:color="auto"/>
                        <w:right w:val="none" w:sz="0" w:space="0" w:color="auto"/>
                      </w:divBdr>
                    </w:div>
                  </w:divsChild>
                </w:div>
                <w:div w:id="1730150992">
                  <w:marLeft w:val="0"/>
                  <w:marRight w:val="0"/>
                  <w:marTop w:val="0"/>
                  <w:marBottom w:val="0"/>
                  <w:divBdr>
                    <w:top w:val="none" w:sz="0" w:space="0" w:color="auto"/>
                    <w:left w:val="none" w:sz="0" w:space="0" w:color="auto"/>
                    <w:bottom w:val="none" w:sz="0" w:space="0" w:color="auto"/>
                    <w:right w:val="none" w:sz="0" w:space="0" w:color="auto"/>
                  </w:divBdr>
                  <w:divsChild>
                    <w:div w:id="1888099369">
                      <w:marLeft w:val="0"/>
                      <w:marRight w:val="0"/>
                      <w:marTop w:val="0"/>
                      <w:marBottom w:val="0"/>
                      <w:divBdr>
                        <w:top w:val="none" w:sz="0" w:space="0" w:color="auto"/>
                        <w:left w:val="none" w:sz="0" w:space="0" w:color="auto"/>
                        <w:bottom w:val="none" w:sz="0" w:space="0" w:color="auto"/>
                        <w:right w:val="none" w:sz="0" w:space="0" w:color="auto"/>
                      </w:divBdr>
                    </w:div>
                  </w:divsChild>
                </w:div>
                <w:div w:id="1732919842">
                  <w:marLeft w:val="0"/>
                  <w:marRight w:val="0"/>
                  <w:marTop w:val="0"/>
                  <w:marBottom w:val="0"/>
                  <w:divBdr>
                    <w:top w:val="none" w:sz="0" w:space="0" w:color="auto"/>
                    <w:left w:val="none" w:sz="0" w:space="0" w:color="auto"/>
                    <w:bottom w:val="none" w:sz="0" w:space="0" w:color="auto"/>
                    <w:right w:val="none" w:sz="0" w:space="0" w:color="auto"/>
                  </w:divBdr>
                  <w:divsChild>
                    <w:div w:id="416052518">
                      <w:marLeft w:val="0"/>
                      <w:marRight w:val="0"/>
                      <w:marTop w:val="0"/>
                      <w:marBottom w:val="0"/>
                      <w:divBdr>
                        <w:top w:val="none" w:sz="0" w:space="0" w:color="auto"/>
                        <w:left w:val="none" w:sz="0" w:space="0" w:color="auto"/>
                        <w:bottom w:val="none" w:sz="0" w:space="0" w:color="auto"/>
                        <w:right w:val="none" w:sz="0" w:space="0" w:color="auto"/>
                      </w:divBdr>
                    </w:div>
                  </w:divsChild>
                </w:div>
                <w:div w:id="1733581330">
                  <w:marLeft w:val="0"/>
                  <w:marRight w:val="0"/>
                  <w:marTop w:val="0"/>
                  <w:marBottom w:val="0"/>
                  <w:divBdr>
                    <w:top w:val="none" w:sz="0" w:space="0" w:color="auto"/>
                    <w:left w:val="none" w:sz="0" w:space="0" w:color="auto"/>
                    <w:bottom w:val="none" w:sz="0" w:space="0" w:color="auto"/>
                    <w:right w:val="none" w:sz="0" w:space="0" w:color="auto"/>
                  </w:divBdr>
                  <w:divsChild>
                    <w:div w:id="1999839794">
                      <w:marLeft w:val="0"/>
                      <w:marRight w:val="0"/>
                      <w:marTop w:val="0"/>
                      <w:marBottom w:val="0"/>
                      <w:divBdr>
                        <w:top w:val="none" w:sz="0" w:space="0" w:color="auto"/>
                        <w:left w:val="none" w:sz="0" w:space="0" w:color="auto"/>
                        <w:bottom w:val="none" w:sz="0" w:space="0" w:color="auto"/>
                        <w:right w:val="none" w:sz="0" w:space="0" w:color="auto"/>
                      </w:divBdr>
                    </w:div>
                  </w:divsChild>
                </w:div>
                <w:div w:id="1736584498">
                  <w:marLeft w:val="0"/>
                  <w:marRight w:val="0"/>
                  <w:marTop w:val="0"/>
                  <w:marBottom w:val="0"/>
                  <w:divBdr>
                    <w:top w:val="none" w:sz="0" w:space="0" w:color="auto"/>
                    <w:left w:val="none" w:sz="0" w:space="0" w:color="auto"/>
                    <w:bottom w:val="none" w:sz="0" w:space="0" w:color="auto"/>
                    <w:right w:val="none" w:sz="0" w:space="0" w:color="auto"/>
                  </w:divBdr>
                  <w:divsChild>
                    <w:div w:id="1584795044">
                      <w:marLeft w:val="0"/>
                      <w:marRight w:val="0"/>
                      <w:marTop w:val="0"/>
                      <w:marBottom w:val="0"/>
                      <w:divBdr>
                        <w:top w:val="none" w:sz="0" w:space="0" w:color="auto"/>
                        <w:left w:val="none" w:sz="0" w:space="0" w:color="auto"/>
                        <w:bottom w:val="none" w:sz="0" w:space="0" w:color="auto"/>
                        <w:right w:val="none" w:sz="0" w:space="0" w:color="auto"/>
                      </w:divBdr>
                    </w:div>
                  </w:divsChild>
                </w:div>
                <w:div w:id="1742287479">
                  <w:marLeft w:val="0"/>
                  <w:marRight w:val="0"/>
                  <w:marTop w:val="0"/>
                  <w:marBottom w:val="0"/>
                  <w:divBdr>
                    <w:top w:val="none" w:sz="0" w:space="0" w:color="auto"/>
                    <w:left w:val="none" w:sz="0" w:space="0" w:color="auto"/>
                    <w:bottom w:val="none" w:sz="0" w:space="0" w:color="auto"/>
                    <w:right w:val="none" w:sz="0" w:space="0" w:color="auto"/>
                  </w:divBdr>
                  <w:divsChild>
                    <w:div w:id="1361510423">
                      <w:marLeft w:val="0"/>
                      <w:marRight w:val="0"/>
                      <w:marTop w:val="0"/>
                      <w:marBottom w:val="0"/>
                      <w:divBdr>
                        <w:top w:val="none" w:sz="0" w:space="0" w:color="auto"/>
                        <w:left w:val="none" w:sz="0" w:space="0" w:color="auto"/>
                        <w:bottom w:val="none" w:sz="0" w:space="0" w:color="auto"/>
                        <w:right w:val="none" w:sz="0" w:space="0" w:color="auto"/>
                      </w:divBdr>
                    </w:div>
                  </w:divsChild>
                </w:div>
                <w:div w:id="1743286187">
                  <w:marLeft w:val="0"/>
                  <w:marRight w:val="0"/>
                  <w:marTop w:val="0"/>
                  <w:marBottom w:val="0"/>
                  <w:divBdr>
                    <w:top w:val="none" w:sz="0" w:space="0" w:color="auto"/>
                    <w:left w:val="none" w:sz="0" w:space="0" w:color="auto"/>
                    <w:bottom w:val="none" w:sz="0" w:space="0" w:color="auto"/>
                    <w:right w:val="none" w:sz="0" w:space="0" w:color="auto"/>
                  </w:divBdr>
                  <w:divsChild>
                    <w:div w:id="678894039">
                      <w:marLeft w:val="0"/>
                      <w:marRight w:val="0"/>
                      <w:marTop w:val="0"/>
                      <w:marBottom w:val="0"/>
                      <w:divBdr>
                        <w:top w:val="none" w:sz="0" w:space="0" w:color="auto"/>
                        <w:left w:val="none" w:sz="0" w:space="0" w:color="auto"/>
                        <w:bottom w:val="none" w:sz="0" w:space="0" w:color="auto"/>
                        <w:right w:val="none" w:sz="0" w:space="0" w:color="auto"/>
                      </w:divBdr>
                    </w:div>
                  </w:divsChild>
                </w:div>
                <w:div w:id="1745956358">
                  <w:marLeft w:val="0"/>
                  <w:marRight w:val="0"/>
                  <w:marTop w:val="0"/>
                  <w:marBottom w:val="0"/>
                  <w:divBdr>
                    <w:top w:val="none" w:sz="0" w:space="0" w:color="auto"/>
                    <w:left w:val="none" w:sz="0" w:space="0" w:color="auto"/>
                    <w:bottom w:val="none" w:sz="0" w:space="0" w:color="auto"/>
                    <w:right w:val="none" w:sz="0" w:space="0" w:color="auto"/>
                  </w:divBdr>
                  <w:divsChild>
                    <w:div w:id="1770615288">
                      <w:marLeft w:val="0"/>
                      <w:marRight w:val="0"/>
                      <w:marTop w:val="0"/>
                      <w:marBottom w:val="0"/>
                      <w:divBdr>
                        <w:top w:val="none" w:sz="0" w:space="0" w:color="auto"/>
                        <w:left w:val="none" w:sz="0" w:space="0" w:color="auto"/>
                        <w:bottom w:val="none" w:sz="0" w:space="0" w:color="auto"/>
                        <w:right w:val="none" w:sz="0" w:space="0" w:color="auto"/>
                      </w:divBdr>
                    </w:div>
                  </w:divsChild>
                </w:div>
                <w:div w:id="174760378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
                  </w:divsChild>
                </w:div>
                <w:div w:id="1755663758">
                  <w:marLeft w:val="0"/>
                  <w:marRight w:val="0"/>
                  <w:marTop w:val="0"/>
                  <w:marBottom w:val="0"/>
                  <w:divBdr>
                    <w:top w:val="none" w:sz="0" w:space="0" w:color="auto"/>
                    <w:left w:val="none" w:sz="0" w:space="0" w:color="auto"/>
                    <w:bottom w:val="none" w:sz="0" w:space="0" w:color="auto"/>
                    <w:right w:val="none" w:sz="0" w:space="0" w:color="auto"/>
                  </w:divBdr>
                  <w:divsChild>
                    <w:div w:id="1190798111">
                      <w:marLeft w:val="0"/>
                      <w:marRight w:val="0"/>
                      <w:marTop w:val="0"/>
                      <w:marBottom w:val="0"/>
                      <w:divBdr>
                        <w:top w:val="none" w:sz="0" w:space="0" w:color="auto"/>
                        <w:left w:val="none" w:sz="0" w:space="0" w:color="auto"/>
                        <w:bottom w:val="none" w:sz="0" w:space="0" w:color="auto"/>
                        <w:right w:val="none" w:sz="0" w:space="0" w:color="auto"/>
                      </w:divBdr>
                    </w:div>
                  </w:divsChild>
                </w:div>
                <w:div w:id="1759208849">
                  <w:marLeft w:val="0"/>
                  <w:marRight w:val="0"/>
                  <w:marTop w:val="0"/>
                  <w:marBottom w:val="0"/>
                  <w:divBdr>
                    <w:top w:val="none" w:sz="0" w:space="0" w:color="auto"/>
                    <w:left w:val="none" w:sz="0" w:space="0" w:color="auto"/>
                    <w:bottom w:val="none" w:sz="0" w:space="0" w:color="auto"/>
                    <w:right w:val="none" w:sz="0" w:space="0" w:color="auto"/>
                  </w:divBdr>
                  <w:divsChild>
                    <w:div w:id="945576982">
                      <w:marLeft w:val="0"/>
                      <w:marRight w:val="0"/>
                      <w:marTop w:val="0"/>
                      <w:marBottom w:val="0"/>
                      <w:divBdr>
                        <w:top w:val="none" w:sz="0" w:space="0" w:color="auto"/>
                        <w:left w:val="none" w:sz="0" w:space="0" w:color="auto"/>
                        <w:bottom w:val="none" w:sz="0" w:space="0" w:color="auto"/>
                        <w:right w:val="none" w:sz="0" w:space="0" w:color="auto"/>
                      </w:divBdr>
                    </w:div>
                  </w:divsChild>
                </w:div>
                <w:div w:id="1760062360">
                  <w:marLeft w:val="0"/>
                  <w:marRight w:val="0"/>
                  <w:marTop w:val="0"/>
                  <w:marBottom w:val="0"/>
                  <w:divBdr>
                    <w:top w:val="none" w:sz="0" w:space="0" w:color="auto"/>
                    <w:left w:val="none" w:sz="0" w:space="0" w:color="auto"/>
                    <w:bottom w:val="none" w:sz="0" w:space="0" w:color="auto"/>
                    <w:right w:val="none" w:sz="0" w:space="0" w:color="auto"/>
                  </w:divBdr>
                  <w:divsChild>
                    <w:div w:id="572203533">
                      <w:marLeft w:val="0"/>
                      <w:marRight w:val="0"/>
                      <w:marTop w:val="0"/>
                      <w:marBottom w:val="0"/>
                      <w:divBdr>
                        <w:top w:val="none" w:sz="0" w:space="0" w:color="auto"/>
                        <w:left w:val="none" w:sz="0" w:space="0" w:color="auto"/>
                        <w:bottom w:val="none" w:sz="0" w:space="0" w:color="auto"/>
                        <w:right w:val="none" w:sz="0" w:space="0" w:color="auto"/>
                      </w:divBdr>
                    </w:div>
                  </w:divsChild>
                </w:div>
                <w:div w:id="1762098047">
                  <w:marLeft w:val="0"/>
                  <w:marRight w:val="0"/>
                  <w:marTop w:val="0"/>
                  <w:marBottom w:val="0"/>
                  <w:divBdr>
                    <w:top w:val="none" w:sz="0" w:space="0" w:color="auto"/>
                    <w:left w:val="none" w:sz="0" w:space="0" w:color="auto"/>
                    <w:bottom w:val="none" w:sz="0" w:space="0" w:color="auto"/>
                    <w:right w:val="none" w:sz="0" w:space="0" w:color="auto"/>
                  </w:divBdr>
                  <w:divsChild>
                    <w:div w:id="1176387614">
                      <w:marLeft w:val="0"/>
                      <w:marRight w:val="0"/>
                      <w:marTop w:val="0"/>
                      <w:marBottom w:val="0"/>
                      <w:divBdr>
                        <w:top w:val="none" w:sz="0" w:space="0" w:color="auto"/>
                        <w:left w:val="none" w:sz="0" w:space="0" w:color="auto"/>
                        <w:bottom w:val="none" w:sz="0" w:space="0" w:color="auto"/>
                        <w:right w:val="none" w:sz="0" w:space="0" w:color="auto"/>
                      </w:divBdr>
                    </w:div>
                  </w:divsChild>
                </w:div>
                <w:div w:id="1762872248">
                  <w:marLeft w:val="0"/>
                  <w:marRight w:val="0"/>
                  <w:marTop w:val="0"/>
                  <w:marBottom w:val="0"/>
                  <w:divBdr>
                    <w:top w:val="none" w:sz="0" w:space="0" w:color="auto"/>
                    <w:left w:val="none" w:sz="0" w:space="0" w:color="auto"/>
                    <w:bottom w:val="none" w:sz="0" w:space="0" w:color="auto"/>
                    <w:right w:val="none" w:sz="0" w:space="0" w:color="auto"/>
                  </w:divBdr>
                  <w:divsChild>
                    <w:div w:id="1877309875">
                      <w:marLeft w:val="0"/>
                      <w:marRight w:val="0"/>
                      <w:marTop w:val="0"/>
                      <w:marBottom w:val="0"/>
                      <w:divBdr>
                        <w:top w:val="none" w:sz="0" w:space="0" w:color="auto"/>
                        <w:left w:val="none" w:sz="0" w:space="0" w:color="auto"/>
                        <w:bottom w:val="none" w:sz="0" w:space="0" w:color="auto"/>
                        <w:right w:val="none" w:sz="0" w:space="0" w:color="auto"/>
                      </w:divBdr>
                    </w:div>
                  </w:divsChild>
                </w:div>
                <w:div w:id="1765610175">
                  <w:marLeft w:val="0"/>
                  <w:marRight w:val="0"/>
                  <w:marTop w:val="0"/>
                  <w:marBottom w:val="0"/>
                  <w:divBdr>
                    <w:top w:val="none" w:sz="0" w:space="0" w:color="auto"/>
                    <w:left w:val="none" w:sz="0" w:space="0" w:color="auto"/>
                    <w:bottom w:val="none" w:sz="0" w:space="0" w:color="auto"/>
                    <w:right w:val="none" w:sz="0" w:space="0" w:color="auto"/>
                  </w:divBdr>
                  <w:divsChild>
                    <w:div w:id="300699279">
                      <w:marLeft w:val="0"/>
                      <w:marRight w:val="0"/>
                      <w:marTop w:val="0"/>
                      <w:marBottom w:val="0"/>
                      <w:divBdr>
                        <w:top w:val="none" w:sz="0" w:space="0" w:color="auto"/>
                        <w:left w:val="none" w:sz="0" w:space="0" w:color="auto"/>
                        <w:bottom w:val="none" w:sz="0" w:space="0" w:color="auto"/>
                        <w:right w:val="none" w:sz="0" w:space="0" w:color="auto"/>
                      </w:divBdr>
                    </w:div>
                  </w:divsChild>
                </w:div>
                <w:div w:id="1766458890">
                  <w:marLeft w:val="0"/>
                  <w:marRight w:val="0"/>
                  <w:marTop w:val="0"/>
                  <w:marBottom w:val="0"/>
                  <w:divBdr>
                    <w:top w:val="none" w:sz="0" w:space="0" w:color="auto"/>
                    <w:left w:val="none" w:sz="0" w:space="0" w:color="auto"/>
                    <w:bottom w:val="none" w:sz="0" w:space="0" w:color="auto"/>
                    <w:right w:val="none" w:sz="0" w:space="0" w:color="auto"/>
                  </w:divBdr>
                  <w:divsChild>
                    <w:div w:id="1747609460">
                      <w:marLeft w:val="0"/>
                      <w:marRight w:val="0"/>
                      <w:marTop w:val="0"/>
                      <w:marBottom w:val="0"/>
                      <w:divBdr>
                        <w:top w:val="none" w:sz="0" w:space="0" w:color="auto"/>
                        <w:left w:val="none" w:sz="0" w:space="0" w:color="auto"/>
                        <w:bottom w:val="none" w:sz="0" w:space="0" w:color="auto"/>
                        <w:right w:val="none" w:sz="0" w:space="0" w:color="auto"/>
                      </w:divBdr>
                    </w:div>
                  </w:divsChild>
                </w:div>
                <w:div w:id="1772437272">
                  <w:marLeft w:val="0"/>
                  <w:marRight w:val="0"/>
                  <w:marTop w:val="0"/>
                  <w:marBottom w:val="0"/>
                  <w:divBdr>
                    <w:top w:val="none" w:sz="0" w:space="0" w:color="auto"/>
                    <w:left w:val="none" w:sz="0" w:space="0" w:color="auto"/>
                    <w:bottom w:val="none" w:sz="0" w:space="0" w:color="auto"/>
                    <w:right w:val="none" w:sz="0" w:space="0" w:color="auto"/>
                  </w:divBdr>
                  <w:divsChild>
                    <w:div w:id="1704011204">
                      <w:marLeft w:val="0"/>
                      <w:marRight w:val="0"/>
                      <w:marTop w:val="0"/>
                      <w:marBottom w:val="0"/>
                      <w:divBdr>
                        <w:top w:val="none" w:sz="0" w:space="0" w:color="auto"/>
                        <w:left w:val="none" w:sz="0" w:space="0" w:color="auto"/>
                        <w:bottom w:val="none" w:sz="0" w:space="0" w:color="auto"/>
                        <w:right w:val="none" w:sz="0" w:space="0" w:color="auto"/>
                      </w:divBdr>
                    </w:div>
                  </w:divsChild>
                </w:div>
                <w:div w:id="1775786581">
                  <w:marLeft w:val="0"/>
                  <w:marRight w:val="0"/>
                  <w:marTop w:val="0"/>
                  <w:marBottom w:val="0"/>
                  <w:divBdr>
                    <w:top w:val="none" w:sz="0" w:space="0" w:color="auto"/>
                    <w:left w:val="none" w:sz="0" w:space="0" w:color="auto"/>
                    <w:bottom w:val="none" w:sz="0" w:space="0" w:color="auto"/>
                    <w:right w:val="none" w:sz="0" w:space="0" w:color="auto"/>
                  </w:divBdr>
                  <w:divsChild>
                    <w:div w:id="1367751807">
                      <w:marLeft w:val="0"/>
                      <w:marRight w:val="0"/>
                      <w:marTop w:val="0"/>
                      <w:marBottom w:val="0"/>
                      <w:divBdr>
                        <w:top w:val="none" w:sz="0" w:space="0" w:color="auto"/>
                        <w:left w:val="none" w:sz="0" w:space="0" w:color="auto"/>
                        <w:bottom w:val="none" w:sz="0" w:space="0" w:color="auto"/>
                        <w:right w:val="none" w:sz="0" w:space="0" w:color="auto"/>
                      </w:divBdr>
                    </w:div>
                  </w:divsChild>
                </w:div>
                <w:div w:id="1776904303">
                  <w:marLeft w:val="0"/>
                  <w:marRight w:val="0"/>
                  <w:marTop w:val="0"/>
                  <w:marBottom w:val="0"/>
                  <w:divBdr>
                    <w:top w:val="none" w:sz="0" w:space="0" w:color="auto"/>
                    <w:left w:val="none" w:sz="0" w:space="0" w:color="auto"/>
                    <w:bottom w:val="none" w:sz="0" w:space="0" w:color="auto"/>
                    <w:right w:val="none" w:sz="0" w:space="0" w:color="auto"/>
                  </w:divBdr>
                  <w:divsChild>
                    <w:div w:id="686449510">
                      <w:marLeft w:val="0"/>
                      <w:marRight w:val="0"/>
                      <w:marTop w:val="0"/>
                      <w:marBottom w:val="0"/>
                      <w:divBdr>
                        <w:top w:val="none" w:sz="0" w:space="0" w:color="auto"/>
                        <w:left w:val="none" w:sz="0" w:space="0" w:color="auto"/>
                        <w:bottom w:val="none" w:sz="0" w:space="0" w:color="auto"/>
                        <w:right w:val="none" w:sz="0" w:space="0" w:color="auto"/>
                      </w:divBdr>
                    </w:div>
                  </w:divsChild>
                </w:div>
                <w:div w:id="1784222971">
                  <w:marLeft w:val="0"/>
                  <w:marRight w:val="0"/>
                  <w:marTop w:val="0"/>
                  <w:marBottom w:val="0"/>
                  <w:divBdr>
                    <w:top w:val="none" w:sz="0" w:space="0" w:color="auto"/>
                    <w:left w:val="none" w:sz="0" w:space="0" w:color="auto"/>
                    <w:bottom w:val="none" w:sz="0" w:space="0" w:color="auto"/>
                    <w:right w:val="none" w:sz="0" w:space="0" w:color="auto"/>
                  </w:divBdr>
                  <w:divsChild>
                    <w:div w:id="1422945530">
                      <w:marLeft w:val="0"/>
                      <w:marRight w:val="0"/>
                      <w:marTop w:val="0"/>
                      <w:marBottom w:val="0"/>
                      <w:divBdr>
                        <w:top w:val="none" w:sz="0" w:space="0" w:color="auto"/>
                        <w:left w:val="none" w:sz="0" w:space="0" w:color="auto"/>
                        <w:bottom w:val="none" w:sz="0" w:space="0" w:color="auto"/>
                        <w:right w:val="none" w:sz="0" w:space="0" w:color="auto"/>
                      </w:divBdr>
                    </w:div>
                  </w:divsChild>
                </w:div>
                <w:div w:id="1788428881">
                  <w:marLeft w:val="0"/>
                  <w:marRight w:val="0"/>
                  <w:marTop w:val="0"/>
                  <w:marBottom w:val="0"/>
                  <w:divBdr>
                    <w:top w:val="none" w:sz="0" w:space="0" w:color="auto"/>
                    <w:left w:val="none" w:sz="0" w:space="0" w:color="auto"/>
                    <w:bottom w:val="none" w:sz="0" w:space="0" w:color="auto"/>
                    <w:right w:val="none" w:sz="0" w:space="0" w:color="auto"/>
                  </w:divBdr>
                  <w:divsChild>
                    <w:div w:id="1987080960">
                      <w:marLeft w:val="0"/>
                      <w:marRight w:val="0"/>
                      <w:marTop w:val="0"/>
                      <w:marBottom w:val="0"/>
                      <w:divBdr>
                        <w:top w:val="none" w:sz="0" w:space="0" w:color="auto"/>
                        <w:left w:val="none" w:sz="0" w:space="0" w:color="auto"/>
                        <w:bottom w:val="none" w:sz="0" w:space="0" w:color="auto"/>
                        <w:right w:val="none" w:sz="0" w:space="0" w:color="auto"/>
                      </w:divBdr>
                    </w:div>
                  </w:divsChild>
                </w:div>
                <w:div w:id="1789082967">
                  <w:marLeft w:val="0"/>
                  <w:marRight w:val="0"/>
                  <w:marTop w:val="0"/>
                  <w:marBottom w:val="0"/>
                  <w:divBdr>
                    <w:top w:val="none" w:sz="0" w:space="0" w:color="auto"/>
                    <w:left w:val="none" w:sz="0" w:space="0" w:color="auto"/>
                    <w:bottom w:val="none" w:sz="0" w:space="0" w:color="auto"/>
                    <w:right w:val="none" w:sz="0" w:space="0" w:color="auto"/>
                  </w:divBdr>
                  <w:divsChild>
                    <w:div w:id="1073744619">
                      <w:marLeft w:val="0"/>
                      <w:marRight w:val="0"/>
                      <w:marTop w:val="0"/>
                      <w:marBottom w:val="0"/>
                      <w:divBdr>
                        <w:top w:val="none" w:sz="0" w:space="0" w:color="auto"/>
                        <w:left w:val="none" w:sz="0" w:space="0" w:color="auto"/>
                        <w:bottom w:val="none" w:sz="0" w:space="0" w:color="auto"/>
                        <w:right w:val="none" w:sz="0" w:space="0" w:color="auto"/>
                      </w:divBdr>
                    </w:div>
                  </w:divsChild>
                </w:div>
                <w:div w:id="1790010559">
                  <w:marLeft w:val="0"/>
                  <w:marRight w:val="0"/>
                  <w:marTop w:val="0"/>
                  <w:marBottom w:val="0"/>
                  <w:divBdr>
                    <w:top w:val="none" w:sz="0" w:space="0" w:color="auto"/>
                    <w:left w:val="none" w:sz="0" w:space="0" w:color="auto"/>
                    <w:bottom w:val="none" w:sz="0" w:space="0" w:color="auto"/>
                    <w:right w:val="none" w:sz="0" w:space="0" w:color="auto"/>
                  </w:divBdr>
                  <w:divsChild>
                    <w:div w:id="2102411418">
                      <w:marLeft w:val="0"/>
                      <w:marRight w:val="0"/>
                      <w:marTop w:val="0"/>
                      <w:marBottom w:val="0"/>
                      <w:divBdr>
                        <w:top w:val="none" w:sz="0" w:space="0" w:color="auto"/>
                        <w:left w:val="none" w:sz="0" w:space="0" w:color="auto"/>
                        <w:bottom w:val="none" w:sz="0" w:space="0" w:color="auto"/>
                        <w:right w:val="none" w:sz="0" w:space="0" w:color="auto"/>
                      </w:divBdr>
                    </w:div>
                  </w:divsChild>
                </w:div>
                <w:div w:id="1790052958">
                  <w:marLeft w:val="0"/>
                  <w:marRight w:val="0"/>
                  <w:marTop w:val="0"/>
                  <w:marBottom w:val="0"/>
                  <w:divBdr>
                    <w:top w:val="none" w:sz="0" w:space="0" w:color="auto"/>
                    <w:left w:val="none" w:sz="0" w:space="0" w:color="auto"/>
                    <w:bottom w:val="none" w:sz="0" w:space="0" w:color="auto"/>
                    <w:right w:val="none" w:sz="0" w:space="0" w:color="auto"/>
                  </w:divBdr>
                  <w:divsChild>
                    <w:div w:id="1939099266">
                      <w:marLeft w:val="0"/>
                      <w:marRight w:val="0"/>
                      <w:marTop w:val="0"/>
                      <w:marBottom w:val="0"/>
                      <w:divBdr>
                        <w:top w:val="none" w:sz="0" w:space="0" w:color="auto"/>
                        <w:left w:val="none" w:sz="0" w:space="0" w:color="auto"/>
                        <w:bottom w:val="none" w:sz="0" w:space="0" w:color="auto"/>
                        <w:right w:val="none" w:sz="0" w:space="0" w:color="auto"/>
                      </w:divBdr>
                    </w:div>
                  </w:divsChild>
                </w:div>
                <w:div w:id="1790471720">
                  <w:marLeft w:val="0"/>
                  <w:marRight w:val="0"/>
                  <w:marTop w:val="0"/>
                  <w:marBottom w:val="0"/>
                  <w:divBdr>
                    <w:top w:val="none" w:sz="0" w:space="0" w:color="auto"/>
                    <w:left w:val="none" w:sz="0" w:space="0" w:color="auto"/>
                    <w:bottom w:val="none" w:sz="0" w:space="0" w:color="auto"/>
                    <w:right w:val="none" w:sz="0" w:space="0" w:color="auto"/>
                  </w:divBdr>
                  <w:divsChild>
                    <w:div w:id="510267149">
                      <w:marLeft w:val="0"/>
                      <w:marRight w:val="0"/>
                      <w:marTop w:val="0"/>
                      <w:marBottom w:val="0"/>
                      <w:divBdr>
                        <w:top w:val="none" w:sz="0" w:space="0" w:color="auto"/>
                        <w:left w:val="none" w:sz="0" w:space="0" w:color="auto"/>
                        <w:bottom w:val="none" w:sz="0" w:space="0" w:color="auto"/>
                        <w:right w:val="none" w:sz="0" w:space="0" w:color="auto"/>
                      </w:divBdr>
                    </w:div>
                  </w:divsChild>
                </w:div>
                <w:div w:id="1790851243">
                  <w:marLeft w:val="0"/>
                  <w:marRight w:val="0"/>
                  <w:marTop w:val="0"/>
                  <w:marBottom w:val="0"/>
                  <w:divBdr>
                    <w:top w:val="none" w:sz="0" w:space="0" w:color="auto"/>
                    <w:left w:val="none" w:sz="0" w:space="0" w:color="auto"/>
                    <w:bottom w:val="none" w:sz="0" w:space="0" w:color="auto"/>
                    <w:right w:val="none" w:sz="0" w:space="0" w:color="auto"/>
                  </w:divBdr>
                  <w:divsChild>
                    <w:div w:id="910316309">
                      <w:marLeft w:val="0"/>
                      <w:marRight w:val="0"/>
                      <w:marTop w:val="0"/>
                      <w:marBottom w:val="0"/>
                      <w:divBdr>
                        <w:top w:val="none" w:sz="0" w:space="0" w:color="auto"/>
                        <w:left w:val="none" w:sz="0" w:space="0" w:color="auto"/>
                        <w:bottom w:val="none" w:sz="0" w:space="0" w:color="auto"/>
                        <w:right w:val="none" w:sz="0" w:space="0" w:color="auto"/>
                      </w:divBdr>
                    </w:div>
                  </w:divsChild>
                </w:div>
                <w:div w:id="1792046442">
                  <w:marLeft w:val="0"/>
                  <w:marRight w:val="0"/>
                  <w:marTop w:val="0"/>
                  <w:marBottom w:val="0"/>
                  <w:divBdr>
                    <w:top w:val="none" w:sz="0" w:space="0" w:color="auto"/>
                    <w:left w:val="none" w:sz="0" w:space="0" w:color="auto"/>
                    <w:bottom w:val="none" w:sz="0" w:space="0" w:color="auto"/>
                    <w:right w:val="none" w:sz="0" w:space="0" w:color="auto"/>
                  </w:divBdr>
                  <w:divsChild>
                    <w:div w:id="1026369551">
                      <w:marLeft w:val="0"/>
                      <w:marRight w:val="0"/>
                      <w:marTop w:val="0"/>
                      <w:marBottom w:val="0"/>
                      <w:divBdr>
                        <w:top w:val="none" w:sz="0" w:space="0" w:color="auto"/>
                        <w:left w:val="none" w:sz="0" w:space="0" w:color="auto"/>
                        <w:bottom w:val="none" w:sz="0" w:space="0" w:color="auto"/>
                        <w:right w:val="none" w:sz="0" w:space="0" w:color="auto"/>
                      </w:divBdr>
                    </w:div>
                  </w:divsChild>
                </w:div>
                <w:div w:id="1795295739">
                  <w:marLeft w:val="0"/>
                  <w:marRight w:val="0"/>
                  <w:marTop w:val="0"/>
                  <w:marBottom w:val="0"/>
                  <w:divBdr>
                    <w:top w:val="none" w:sz="0" w:space="0" w:color="auto"/>
                    <w:left w:val="none" w:sz="0" w:space="0" w:color="auto"/>
                    <w:bottom w:val="none" w:sz="0" w:space="0" w:color="auto"/>
                    <w:right w:val="none" w:sz="0" w:space="0" w:color="auto"/>
                  </w:divBdr>
                  <w:divsChild>
                    <w:div w:id="1250769286">
                      <w:marLeft w:val="0"/>
                      <w:marRight w:val="0"/>
                      <w:marTop w:val="0"/>
                      <w:marBottom w:val="0"/>
                      <w:divBdr>
                        <w:top w:val="none" w:sz="0" w:space="0" w:color="auto"/>
                        <w:left w:val="none" w:sz="0" w:space="0" w:color="auto"/>
                        <w:bottom w:val="none" w:sz="0" w:space="0" w:color="auto"/>
                        <w:right w:val="none" w:sz="0" w:space="0" w:color="auto"/>
                      </w:divBdr>
                    </w:div>
                  </w:divsChild>
                </w:div>
                <w:div w:id="1795520092">
                  <w:marLeft w:val="0"/>
                  <w:marRight w:val="0"/>
                  <w:marTop w:val="0"/>
                  <w:marBottom w:val="0"/>
                  <w:divBdr>
                    <w:top w:val="none" w:sz="0" w:space="0" w:color="auto"/>
                    <w:left w:val="none" w:sz="0" w:space="0" w:color="auto"/>
                    <w:bottom w:val="none" w:sz="0" w:space="0" w:color="auto"/>
                    <w:right w:val="none" w:sz="0" w:space="0" w:color="auto"/>
                  </w:divBdr>
                  <w:divsChild>
                    <w:div w:id="1984965030">
                      <w:marLeft w:val="0"/>
                      <w:marRight w:val="0"/>
                      <w:marTop w:val="0"/>
                      <w:marBottom w:val="0"/>
                      <w:divBdr>
                        <w:top w:val="none" w:sz="0" w:space="0" w:color="auto"/>
                        <w:left w:val="none" w:sz="0" w:space="0" w:color="auto"/>
                        <w:bottom w:val="none" w:sz="0" w:space="0" w:color="auto"/>
                        <w:right w:val="none" w:sz="0" w:space="0" w:color="auto"/>
                      </w:divBdr>
                    </w:div>
                  </w:divsChild>
                </w:div>
                <w:div w:id="1796754306">
                  <w:marLeft w:val="0"/>
                  <w:marRight w:val="0"/>
                  <w:marTop w:val="0"/>
                  <w:marBottom w:val="0"/>
                  <w:divBdr>
                    <w:top w:val="none" w:sz="0" w:space="0" w:color="auto"/>
                    <w:left w:val="none" w:sz="0" w:space="0" w:color="auto"/>
                    <w:bottom w:val="none" w:sz="0" w:space="0" w:color="auto"/>
                    <w:right w:val="none" w:sz="0" w:space="0" w:color="auto"/>
                  </w:divBdr>
                  <w:divsChild>
                    <w:div w:id="1807820695">
                      <w:marLeft w:val="0"/>
                      <w:marRight w:val="0"/>
                      <w:marTop w:val="0"/>
                      <w:marBottom w:val="0"/>
                      <w:divBdr>
                        <w:top w:val="none" w:sz="0" w:space="0" w:color="auto"/>
                        <w:left w:val="none" w:sz="0" w:space="0" w:color="auto"/>
                        <w:bottom w:val="none" w:sz="0" w:space="0" w:color="auto"/>
                        <w:right w:val="none" w:sz="0" w:space="0" w:color="auto"/>
                      </w:divBdr>
                    </w:div>
                  </w:divsChild>
                </w:div>
                <w:div w:id="1805582452">
                  <w:marLeft w:val="0"/>
                  <w:marRight w:val="0"/>
                  <w:marTop w:val="0"/>
                  <w:marBottom w:val="0"/>
                  <w:divBdr>
                    <w:top w:val="none" w:sz="0" w:space="0" w:color="auto"/>
                    <w:left w:val="none" w:sz="0" w:space="0" w:color="auto"/>
                    <w:bottom w:val="none" w:sz="0" w:space="0" w:color="auto"/>
                    <w:right w:val="none" w:sz="0" w:space="0" w:color="auto"/>
                  </w:divBdr>
                  <w:divsChild>
                    <w:div w:id="1968585688">
                      <w:marLeft w:val="0"/>
                      <w:marRight w:val="0"/>
                      <w:marTop w:val="0"/>
                      <w:marBottom w:val="0"/>
                      <w:divBdr>
                        <w:top w:val="none" w:sz="0" w:space="0" w:color="auto"/>
                        <w:left w:val="none" w:sz="0" w:space="0" w:color="auto"/>
                        <w:bottom w:val="none" w:sz="0" w:space="0" w:color="auto"/>
                        <w:right w:val="none" w:sz="0" w:space="0" w:color="auto"/>
                      </w:divBdr>
                    </w:div>
                  </w:divsChild>
                </w:div>
                <w:div w:id="1810053256">
                  <w:marLeft w:val="0"/>
                  <w:marRight w:val="0"/>
                  <w:marTop w:val="0"/>
                  <w:marBottom w:val="0"/>
                  <w:divBdr>
                    <w:top w:val="none" w:sz="0" w:space="0" w:color="auto"/>
                    <w:left w:val="none" w:sz="0" w:space="0" w:color="auto"/>
                    <w:bottom w:val="none" w:sz="0" w:space="0" w:color="auto"/>
                    <w:right w:val="none" w:sz="0" w:space="0" w:color="auto"/>
                  </w:divBdr>
                  <w:divsChild>
                    <w:div w:id="1574468319">
                      <w:marLeft w:val="0"/>
                      <w:marRight w:val="0"/>
                      <w:marTop w:val="0"/>
                      <w:marBottom w:val="0"/>
                      <w:divBdr>
                        <w:top w:val="none" w:sz="0" w:space="0" w:color="auto"/>
                        <w:left w:val="none" w:sz="0" w:space="0" w:color="auto"/>
                        <w:bottom w:val="none" w:sz="0" w:space="0" w:color="auto"/>
                        <w:right w:val="none" w:sz="0" w:space="0" w:color="auto"/>
                      </w:divBdr>
                    </w:div>
                  </w:divsChild>
                </w:div>
                <w:div w:id="1811703893">
                  <w:marLeft w:val="0"/>
                  <w:marRight w:val="0"/>
                  <w:marTop w:val="0"/>
                  <w:marBottom w:val="0"/>
                  <w:divBdr>
                    <w:top w:val="none" w:sz="0" w:space="0" w:color="auto"/>
                    <w:left w:val="none" w:sz="0" w:space="0" w:color="auto"/>
                    <w:bottom w:val="none" w:sz="0" w:space="0" w:color="auto"/>
                    <w:right w:val="none" w:sz="0" w:space="0" w:color="auto"/>
                  </w:divBdr>
                  <w:divsChild>
                    <w:div w:id="900798345">
                      <w:marLeft w:val="0"/>
                      <w:marRight w:val="0"/>
                      <w:marTop w:val="0"/>
                      <w:marBottom w:val="0"/>
                      <w:divBdr>
                        <w:top w:val="none" w:sz="0" w:space="0" w:color="auto"/>
                        <w:left w:val="none" w:sz="0" w:space="0" w:color="auto"/>
                        <w:bottom w:val="none" w:sz="0" w:space="0" w:color="auto"/>
                        <w:right w:val="none" w:sz="0" w:space="0" w:color="auto"/>
                      </w:divBdr>
                    </w:div>
                  </w:divsChild>
                </w:div>
                <w:div w:id="1822193999">
                  <w:marLeft w:val="0"/>
                  <w:marRight w:val="0"/>
                  <w:marTop w:val="0"/>
                  <w:marBottom w:val="0"/>
                  <w:divBdr>
                    <w:top w:val="none" w:sz="0" w:space="0" w:color="auto"/>
                    <w:left w:val="none" w:sz="0" w:space="0" w:color="auto"/>
                    <w:bottom w:val="none" w:sz="0" w:space="0" w:color="auto"/>
                    <w:right w:val="none" w:sz="0" w:space="0" w:color="auto"/>
                  </w:divBdr>
                  <w:divsChild>
                    <w:div w:id="202719720">
                      <w:marLeft w:val="0"/>
                      <w:marRight w:val="0"/>
                      <w:marTop w:val="0"/>
                      <w:marBottom w:val="0"/>
                      <w:divBdr>
                        <w:top w:val="none" w:sz="0" w:space="0" w:color="auto"/>
                        <w:left w:val="none" w:sz="0" w:space="0" w:color="auto"/>
                        <w:bottom w:val="none" w:sz="0" w:space="0" w:color="auto"/>
                        <w:right w:val="none" w:sz="0" w:space="0" w:color="auto"/>
                      </w:divBdr>
                    </w:div>
                  </w:divsChild>
                </w:div>
                <w:div w:id="1827239441">
                  <w:marLeft w:val="0"/>
                  <w:marRight w:val="0"/>
                  <w:marTop w:val="0"/>
                  <w:marBottom w:val="0"/>
                  <w:divBdr>
                    <w:top w:val="none" w:sz="0" w:space="0" w:color="auto"/>
                    <w:left w:val="none" w:sz="0" w:space="0" w:color="auto"/>
                    <w:bottom w:val="none" w:sz="0" w:space="0" w:color="auto"/>
                    <w:right w:val="none" w:sz="0" w:space="0" w:color="auto"/>
                  </w:divBdr>
                  <w:divsChild>
                    <w:div w:id="949896616">
                      <w:marLeft w:val="0"/>
                      <w:marRight w:val="0"/>
                      <w:marTop w:val="0"/>
                      <w:marBottom w:val="0"/>
                      <w:divBdr>
                        <w:top w:val="none" w:sz="0" w:space="0" w:color="auto"/>
                        <w:left w:val="none" w:sz="0" w:space="0" w:color="auto"/>
                        <w:bottom w:val="none" w:sz="0" w:space="0" w:color="auto"/>
                        <w:right w:val="none" w:sz="0" w:space="0" w:color="auto"/>
                      </w:divBdr>
                    </w:div>
                  </w:divsChild>
                </w:div>
                <w:div w:id="1829662649">
                  <w:marLeft w:val="0"/>
                  <w:marRight w:val="0"/>
                  <w:marTop w:val="0"/>
                  <w:marBottom w:val="0"/>
                  <w:divBdr>
                    <w:top w:val="none" w:sz="0" w:space="0" w:color="auto"/>
                    <w:left w:val="none" w:sz="0" w:space="0" w:color="auto"/>
                    <w:bottom w:val="none" w:sz="0" w:space="0" w:color="auto"/>
                    <w:right w:val="none" w:sz="0" w:space="0" w:color="auto"/>
                  </w:divBdr>
                  <w:divsChild>
                    <w:div w:id="1329406651">
                      <w:marLeft w:val="0"/>
                      <w:marRight w:val="0"/>
                      <w:marTop w:val="0"/>
                      <w:marBottom w:val="0"/>
                      <w:divBdr>
                        <w:top w:val="none" w:sz="0" w:space="0" w:color="auto"/>
                        <w:left w:val="none" w:sz="0" w:space="0" w:color="auto"/>
                        <w:bottom w:val="none" w:sz="0" w:space="0" w:color="auto"/>
                        <w:right w:val="none" w:sz="0" w:space="0" w:color="auto"/>
                      </w:divBdr>
                    </w:div>
                  </w:divsChild>
                </w:div>
                <w:div w:id="1836988304">
                  <w:marLeft w:val="0"/>
                  <w:marRight w:val="0"/>
                  <w:marTop w:val="0"/>
                  <w:marBottom w:val="0"/>
                  <w:divBdr>
                    <w:top w:val="none" w:sz="0" w:space="0" w:color="auto"/>
                    <w:left w:val="none" w:sz="0" w:space="0" w:color="auto"/>
                    <w:bottom w:val="none" w:sz="0" w:space="0" w:color="auto"/>
                    <w:right w:val="none" w:sz="0" w:space="0" w:color="auto"/>
                  </w:divBdr>
                  <w:divsChild>
                    <w:div w:id="1213274397">
                      <w:marLeft w:val="0"/>
                      <w:marRight w:val="0"/>
                      <w:marTop w:val="0"/>
                      <w:marBottom w:val="0"/>
                      <w:divBdr>
                        <w:top w:val="none" w:sz="0" w:space="0" w:color="auto"/>
                        <w:left w:val="none" w:sz="0" w:space="0" w:color="auto"/>
                        <w:bottom w:val="none" w:sz="0" w:space="0" w:color="auto"/>
                        <w:right w:val="none" w:sz="0" w:space="0" w:color="auto"/>
                      </w:divBdr>
                    </w:div>
                  </w:divsChild>
                </w:div>
                <w:div w:id="1848400908">
                  <w:marLeft w:val="0"/>
                  <w:marRight w:val="0"/>
                  <w:marTop w:val="0"/>
                  <w:marBottom w:val="0"/>
                  <w:divBdr>
                    <w:top w:val="none" w:sz="0" w:space="0" w:color="auto"/>
                    <w:left w:val="none" w:sz="0" w:space="0" w:color="auto"/>
                    <w:bottom w:val="none" w:sz="0" w:space="0" w:color="auto"/>
                    <w:right w:val="none" w:sz="0" w:space="0" w:color="auto"/>
                  </w:divBdr>
                  <w:divsChild>
                    <w:div w:id="778523480">
                      <w:marLeft w:val="0"/>
                      <w:marRight w:val="0"/>
                      <w:marTop w:val="0"/>
                      <w:marBottom w:val="0"/>
                      <w:divBdr>
                        <w:top w:val="none" w:sz="0" w:space="0" w:color="auto"/>
                        <w:left w:val="none" w:sz="0" w:space="0" w:color="auto"/>
                        <w:bottom w:val="none" w:sz="0" w:space="0" w:color="auto"/>
                        <w:right w:val="none" w:sz="0" w:space="0" w:color="auto"/>
                      </w:divBdr>
                    </w:div>
                  </w:divsChild>
                </w:div>
                <w:div w:id="1848790222">
                  <w:marLeft w:val="0"/>
                  <w:marRight w:val="0"/>
                  <w:marTop w:val="0"/>
                  <w:marBottom w:val="0"/>
                  <w:divBdr>
                    <w:top w:val="none" w:sz="0" w:space="0" w:color="auto"/>
                    <w:left w:val="none" w:sz="0" w:space="0" w:color="auto"/>
                    <w:bottom w:val="none" w:sz="0" w:space="0" w:color="auto"/>
                    <w:right w:val="none" w:sz="0" w:space="0" w:color="auto"/>
                  </w:divBdr>
                  <w:divsChild>
                    <w:div w:id="1959606819">
                      <w:marLeft w:val="0"/>
                      <w:marRight w:val="0"/>
                      <w:marTop w:val="0"/>
                      <w:marBottom w:val="0"/>
                      <w:divBdr>
                        <w:top w:val="none" w:sz="0" w:space="0" w:color="auto"/>
                        <w:left w:val="none" w:sz="0" w:space="0" w:color="auto"/>
                        <w:bottom w:val="none" w:sz="0" w:space="0" w:color="auto"/>
                        <w:right w:val="none" w:sz="0" w:space="0" w:color="auto"/>
                      </w:divBdr>
                    </w:div>
                  </w:divsChild>
                </w:div>
                <w:div w:id="1853566483">
                  <w:marLeft w:val="0"/>
                  <w:marRight w:val="0"/>
                  <w:marTop w:val="0"/>
                  <w:marBottom w:val="0"/>
                  <w:divBdr>
                    <w:top w:val="none" w:sz="0" w:space="0" w:color="auto"/>
                    <w:left w:val="none" w:sz="0" w:space="0" w:color="auto"/>
                    <w:bottom w:val="none" w:sz="0" w:space="0" w:color="auto"/>
                    <w:right w:val="none" w:sz="0" w:space="0" w:color="auto"/>
                  </w:divBdr>
                  <w:divsChild>
                    <w:div w:id="712462952">
                      <w:marLeft w:val="0"/>
                      <w:marRight w:val="0"/>
                      <w:marTop w:val="0"/>
                      <w:marBottom w:val="0"/>
                      <w:divBdr>
                        <w:top w:val="none" w:sz="0" w:space="0" w:color="auto"/>
                        <w:left w:val="none" w:sz="0" w:space="0" w:color="auto"/>
                        <w:bottom w:val="none" w:sz="0" w:space="0" w:color="auto"/>
                        <w:right w:val="none" w:sz="0" w:space="0" w:color="auto"/>
                      </w:divBdr>
                    </w:div>
                  </w:divsChild>
                </w:div>
                <w:div w:id="1854807477">
                  <w:marLeft w:val="0"/>
                  <w:marRight w:val="0"/>
                  <w:marTop w:val="0"/>
                  <w:marBottom w:val="0"/>
                  <w:divBdr>
                    <w:top w:val="none" w:sz="0" w:space="0" w:color="auto"/>
                    <w:left w:val="none" w:sz="0" w:space="0" w:color="auto"/>
                    <w:bottom w:val="none" w:sz="0" w:space="0" w:color="auto"/>
                    <w:right w:val="none" w:sz="0" w:space="0" w:color="auto"/>
                  </w:divBdr>
                  <w:divsChild>
                    <w:div w:id="1572421512">
                      <w:marLeft w:val="0"/>
                      <w:marRight w:val="0"/>
                      <w:marTop w:val="0"/>
                      <w:marBottom w:val="0"/>
                      <w:divBdr>
                        <w:top w:val="none" w:sz="0" w:space="0" w:color="auto"/>
                        <w:left w:val="none" w:sz="0" w:space="0" w:color="auto"/>
                        <w:bottom w:val="none" w:sz="0" w:space="0" w:color="auto"/>
                        <w:right w:val="none" w:sz="0" w:space="0" w:color="auto"/>
                      </w:divBdr>
                    </w:div>
                  </w:divsChild>
                </w:div>
                <w:div w:id="1856768971">
                  <w:marLeft w:val="0"/>
                  <w:marRight w:val="0"/>
                  <w:marTop w:val="0"/>
                  <w:marBottom w:val="0"/>
                  <w:divBdr>
                    <w:top w:val="none" w:sz="0" w:space="0" w:color="auto"/>
                    <w:left w:val="none" w:sz="0" w:space="0" w:color="auto"/>
                    <w:bottom w:val="none" w:sz="0" w:space="0" w:color="auto"/>
                    <w:right w:val="none" w:sz="0" w:space="0" w:color="auto"/>
                  </w:divBdr>
                  <w:divsChild>
                    <w:div w:id="763843005">
                      <w:marLeft w:val="0"/>
                      <w:marRight w:val="0"/>
                      <w:marTop w:val="0"/>
                      <w:marBottom w:val="0"/>
                      <w:divBdr>
                        <w:top w:val="none" w:sz="0" w:space="0" w:color="auto"/>
                        <w:left w:val="none" w:sz="0" w:space="0" w:color="auto"/>
                        <w:bottom w:val="none" w:sz="0" w:space="0" w:color="auto"/>
                        <w:right w:val="none" w:sz="0" w:space="0" w:color="auto"/>
                      </w:divBdr>
                    </w:div>
                  </w:divsChild>
                </w:div>
                <w:div w:id="1857886869">
                  <w:marLeft w:val="0"/>
                  <w:marRight w:val="0"/>
                  <w:marTop w:val="0"/>
                  <w:marBottom w:val="0"/>
                  <w:divBdr>
                    <w:top w:val="none" w:sz="0" w:space="0" w:color="auto"/>
                    <w:left w:val="none" w:sz="0" w:space="0" w:color="auto"/>
                    <w:bottom w:val="none" w:sz="0" w:space="0" w:color="auto"/>
                    <w:right w:val="none" w:sz="0" w:space="0" w:color="auto"/>
                  </w:divBdr>
                  <w:divsChild>
                    <w:div w:id="1107116039">
                      <w:marLeft w:val="0"/>
                      <w:marRight w:val="0"/>
                      <w:marTop w:val="0"/>
                      <w:marBottom w:val="0"/>
                      <w:divBdr>
                        <w:top w:val="none" w:sz="0" w:space="0" w:color="auto"/>
                        <w:left w:val="none" w:sz="0" w:space="0" w:color="auto"/>
                        <w:bottom w:val="none" w:sz="0" w:space="0" w:color="auto"/>
                        <w:right w:val="none" w:sz="0" w:space="0" w:color="auto"/>
                      </w:divBdr>
                    </w:div>
                  </w:divsChild>
                </w:div>
                <w:div w:id="1859272169">
                  <w:marLeft w:val="0"/>
                  <w:marRight w:val="0"/>
                  <w:marTop w:val="0"/>
                  <w:marBottom w:val="0"/>
                  <w:divBdr>
                    <w:top w:val="none" w:sz="0" w:space="0" w:color="auto"/>
                    <w:left w:val="none" w:sz="0" w:space="0" w:color="auto"/>
                    <w:bottom w:val="none" w:sz="0" w:space="0" w:color="auto"/>
                    <w:right w:val="none" w:sz="0" w:space="0" w:color="auto"/>
                  </w:divBdr>
                  <w:divsChild>
                    <w:div w:id="473983994">
                      <w:marLeft w:val="0"/>
                      <w:marRight w:val="0"/>
                      <w:marTop w:val="0"/>
                      <w:marBottom w:val="0"/>
                      <w:divBdr>
                        <w:top w:val="none" w:sz="0" w:space="0" w:color="auto"/>
                        <w:left w:val="none" w:sz="0" w:space="0" w:color="auto"/>
                        <w:bottom w:val="none" w:sz="0" w:space="0" w:color="auto"/>
                        <w:right w:val="none" w:sz="0" w:space="0" w:color="auto"/>
                      </w:divBdr>
                    </w:div>
                  </w:divsChild>
                </w:div>
                <w:div w:id="1863780444">
                  <w:marLeft w:val="0"/>
                  <w:marRight w:val="0"/>
                  <w:marTop w:val="0"/>
                  <w:marBottom w:val="0"/>
                  <w:divBdr>
                    <w:top w:val="none" w:sz="0" w:space="0" w:color="auto"/>
                    <w:left w:val="none" w:sz="0" w:space="0" w:color="auto"/>
                    <w:bottom w:val="none" w:sz="0" w:space="0" w:color="auto"/>
                    <w:right w:val="none" w:sz="0" w:space="0" w:color="auto"/>
                  </w:divBdr>
                  <w:divsChild>
                    <w:div w:id="1050613211">
                      <w:marLeft w:val="0"/>
                      <w:marRight w:val="0"/>
                      <w:marTop w:val="0"/>
                      <w:marBottom w:val="0"/>
                      <w:divBdr>
                        <w:top w:val="none" w:sz="0" w:space="0" w:color="auto"/>
                        <w:left w:val="none" w:sz="0" w:space="0" w:color="auto"/>
                        <w:bottom w:val="none" w:sz="0" w:space="0" w:color="auto"/>
                        <w:right w:val="none" w:sz="0" w:space="0" w:color="auto"/>
                      </w:divBdr>
                    </w:div>
                  </w:divsChild>
                </w:div>
                <w:div w:id="1869567629">
                  <w:marLeft w:val="0"/>
                  <w:marRight w:val="0"/>
                  <w:marTop w:val="0"/>
                  <w:marBottom w:val="0"/>
                  <w:divBdr>
                    <w:top w:val="none" w:sz="0" w:space="0" w:color="auto"/>
                    <w:left w:val="none" w:sz="0" w:space="0" w:color="auto"/>
                    <w:bottom w:val="none" w:sz="0" w:space="0" w:color="auto"/>
                    <w:right w:val="none" w:sz="0" w:space="0" w:color="auto"/>
                  </w:divBdr>
                  <w:divsChild>
                    <w:div w:id="987245440">
                      <w:marLeft w:val="0"/>
                      <w:marRight w:val="0"/>
                      <w:marTop w:val="0"/>
                      <w:marBottom w:val="0"/>
                      <w:divBdr>
                        <w:top w:val="none" w:sz="0" w:space="0" w:color="auto"/>
                        <w:left w:val="none" w:sz="0" w:space="0" w:color="auto"/>
                        <w:bottom w:val="none" w:sz="0" w:space="0" w:color="auto"/>
                        <w:right w:val="none" w:sz="0" w:space="0" w:color="auto"/>
                      </w:divBdr>
                    </w:div>
                  </w:divsChild>
                </w:div>
                <w:div w:id="1875582211">
                  <w:marLeft w:val="0"/>
                  <w:marRight w:val="0"/>
                  <w:marTop w:val="0"/>
                  <w:marBottom w:val="0"/>
                  <w:divBdr>
                    <w:top w:val="none" w:sz="0" w:space="0" w:color="auto"/>
                    <w:left w:val="none" w:sz="0" w:space="0" w:color="auto"/>
                    <w:bottom w:val="none" w:sz="0" w:space="0" w:color="auto"/>
                    <w:right w:val="none" w:sz="0" w:space="0" w:color="auto"/>
                  </w:divBdr>
                  <w:divsChild>
                    <w:div w:id="1111827121">
                      <w:marLeft w:val="0"/>
                      <w:marRight w:val="0"/>
                      <w:marTop w:val="0"/>
                      <w:marBottom w:val="0"/>
                      <w:divBdr>
                        <w:top w:val="none" w:sz="0" w:space="0" w:color="auto"/>
                        <w:left w:val="none" w:sz="0" w:space="0" w:color="auto"/>
                        <w:bottom w:val="none" w:sz="0" w:space="0" w:color="auto"/>
                        <w:right w:val="none" w:sz="0" w:space="0" w:color="auto"/>
                      </w:divBdr>
                    </w:div>
                  </w:divsChild>
                </w:div>
                <w:div w:id="1888713741">
                  <w:marLeft w:val="0"/>
                  <w:marRight w:val="0"/>
                  <w:marTop w:val="0"/>
                  <w:marBottom w:val="0"/>
                  <w:divBdr>
                    <w:top w:val="none" w:sz="0" w:space="0" w:color="auto"/>
                    <w:left w:val="none" w:sz="0" w:space="0" w:color="auto"/>
                    <w:bottom w:val="none" w:sz="0" w:space="0" w:color="auto"/>
                    <w:right w:val="none" w:sz="0" w:space="0" w:color="auto"/>
                  </w:divBdr>
                  <w:divsChild>
                    <w:div w:id="1804958124">
                      <w:marLeft w:val="0"/>
                      <w:marRight w:val="0"/>
                      <w:marTop w:val="0"/>
                      <w:marBottom w:val="0"/>
                      <w:divBdr>
                        <w:top w:val="none" w:sz="0" w:space="0" w:color="auto"/>
                        <w:left w:val="none" w:sz="0" w:space="0" w:color="auto"/>
                        <w:bottom w:val="none" w:sz="0" w:space="0" w:color="auto"/>
                        <w:right w:val="none" w:sz="0" w:space="0" w:color="auto"/>
                      </w:divBdr>
                    </w:div>
                  </w:divsChild>
                </w:div>
                <w:div w:id="1891842935">
                  <w:marLeft w:val="0"/>
                  <w:marRight w:val="0"/>
                  <w:marTop w:val="0"/>
                  <w:marBottom w:val="0"/>
                  <w:divBdr>
                    <w:top w:val="none" w:sz="0" w:space="0" w:color="auto"/>
                    <w:left w:val="none" w:sz="0" w:space="0" w:color="auto"/>
                    <w:bottom w:val="none" w:sz="0" w:space="0" w:color="auto"/>
                    <w:right w:val="none" w:sz="0" w:space="0" w:color="auto"/>
                  </w:divBdr>
                  <w:divsChild>
                    <w:div w:id="524641447">
                      <w:marLeft w:val="0"/>
                      <w:marRight w:val="0"/>
                      <w:marTop w:val="0"/>
                      <w:marBottom w:val="0"/>
                      <w:divBdr>
                        <w:top w:val="none" w:sz="0" w:space="0" w:color="auto"/>
                        <w:left w:val="none" w:sz="0" w:space="0" w:color="auto"/>
                        <w:bottom w:val="none" w:sz="0" w:space="0" w:color="auto"/>
                        <w:right w:val="none" w:sz="0" w:space="0" w:color="auto"/>
                      </w:divBdr>
                    </w:div>
                  </w:divsChild>
                </w:div>
                <w:div w:id="1898934433">
                  <w:marLeft w:val="0"/>
                  <w:marRight w:val="0"/>
                  <w:marTop w:val="0"/>
                  <w:marBottom w:val="0"/>
                  <w:divBdr>
                    <w:top w:val="none" w:sz="0" w:space="0" w:color="auto"/>
                    <w:left w:val="none" w:sz="0" w:space="0" w:color="auto"/>
                    <w:bottom w:val="none" w:sz="0" w:space="0" w:color="auto"/>
                    <w:right w:val="none" w:sz="0" w:space="0" w:color="auto"/>
                  </w:divBdr>
                  <w:divsChild>
                    <w:div w:id="1957590804">
                      <w:marLeft w:val="0"/>
                      <w:marRight w:val="0"/>
                      <w:marTop w:val="0"/>
                      <w:marBottom w:val="0"/>
                      <w:divBdr>
                        <w:top w:val="none" w:sz="0" w:space="0" w:color="auto"/>
                        <w:left w:val="none" w:sz="0" w:space="0" w:color="auto"/>
                        <w:bottom w:val="none" w:sz="0" w:space="0" w:color="auto"/>
                        <w:right w:val="none" w:sz="0" w:space="0" w:color="auto"/>
                      </w:divBdr>
                    </w:div>
                  </w:divsChild>
                </w:div>
                <w:div w:id="1907106279">
                  <w:marLeft w:val="0"/>
                  <w:marRight w:val="0"/>
                  <w:marTop w:val="0"/>
                  <w:marBottom w:val="0"/>
                  <w:divBdr>
                    <w:top w:val="none" w:sz="0" w:space="0" w:color="auto"/>
                    <w:left w:val="none" w:sz="0" w:space="0" w:color="auto"/>
                    <w:bottom w:val="none" w:sz="0" w:space="0" w:color="auto"/>
                    <w:right w:val="none" w:sz="0" w:space="0" w:color="auto"/>
                  </w:divBdr>
                  <w:divsChild>
                    <w:div w:id="745686714">
                      <w:marLeft w:val="0"/>
                      <w:marRight w:val="0"/>
                      <w:marTop w:val="0"/>
                      <w:marBottom w:val="0"/>
                      <w:divBdr>
                        <w:top w:val="none" w:sz="0" w:space="0" w:color="auto"/>
                        <w:left w:val="none" w:sz="0" w:space="0" w:color="auto"/>
                        <w:bottom w:val="none" w:sz="0" w:space="0" w:color="auto"/>
                        <w:right w:val="none" w:sz="0" w:space="0" w:color="auto"/>
                      </w:divBdr>
                    </w:div>
                  </w:divsChild>
                </w:div>
                <w:div w:id="1913080381">
                  <w:marLeft w:val="0"/>
                  <w:marRight w:val="0"/>
                  <w:marTop w:val="0"/>
                  <w:marBottom w:val="0"/>
                  <w:divBdr>
                    <w:top w:val="none" w:sz="0" w:space="0" w:color="auto"/>
                    <w:left w:val="none" w:sz="0" w:space="0" w:color="auto"/>
                    <w:bottom w:val="none" w:sz="0" w:space="0" w:color="auto"/>
                    <w:right w:val="none" w:sz="0" w:space="0" w:color="auto"/>
                  </w:divBdr>
                  <w:divsChild>
                    <w:div w:id="1595431792">
                      <w:marLeft w:val="0"/>
                      <w:marRight w:val="0"/>
                      <w:marTop w:val="0"/>
                      <w:marBottom w:val="0"/>
                      <w:divBdr>
                        <w:top w:val="none" w:sz="0" w:space="0" w:color="auto"/>
                        <w:left w:val="none" w:sz="0" w:space="0" w:color="auto"/>
                        <w:bottom w:val="none" w:sz="0" w:space="0" w:color="auto"/>
                        <w:right w:val="none" w:sz="0" w:space="0" w:color="auto"/>
                      </w:divBdr>
                    </w:div>
                  </w:divsChild>
                </w:div>
                <w:div w:id="1919754308">
                  <w:marLeft w:val="0"/>
                  <w:marRight w:val="0"/>
                  <w:marTop w:val="0"/>
                  <w:marBottom w:val="0"/>
                  <w:divBdr>
                    <w:top w:val="none" w:sz="0" w:space="0" w:color="auto"/>
                    <w:left w:val="none" w:sz="0" w:space="0" w:color="auto"/>
                    <w:bottom w:val="none" w:sz="0" w:space="0" w:color="auto"/>
                    <w:right w:val="none" w:sz="0" w:space="0" w:color="auto"/>
                  </w:divBdr>
                  <w:divsChild>
                    <w:div w:id="72243726">
                      <w:marLeft w:val="0"/>
                      <w:marRight w:val="0"/>
                      <w:marTop w:val="0"/>
                      <w:marBottom w:val="0"/>
                      <w:divBdr>
                        <w:top w:val="none" w:sz="0" w:space="0" w:color="auto"/>
                        <w:left w:val="none" w:sz="0" w:space="0" w:color="auto"/>
                        <w:bottom w:val="none" w:sz="0" w:space="0" w:color="auto"/>
                        <w:right w:val="none" w:sz="0" w:space="0" w:color="auto"/>
                      </w:divBdr>
                    </w:div>
                  </w:divsChild>
                </w:div>
                <w:div w:id="1920941062">
                  <w:marLeft w:val="0"/>
                  <w:marRight w:val="0"/>
                  <w:marTop w:val="0"/>
                  <w:marBottom w:val="0"/>
                  <w:divBdr>
                    <w:top w:val="none" w:sz="0" w:space="0" w:color="auto"/>
                    <w:left w:val="none" w:sz="0" w:space="0" w:color="auto"/>
                    <w:bottom w:val="none" w:sz="0" w:space="0" w:color="auto"/>
                    <w:right w:val="none" w:sz="0" w:space="0" w:color="auto"/>
                  </w:divBdr>
                  <w:divsChild>
                    <w:div w:id="1269434458">
                      <w:marLeft w:val="0"/>
                      <w:marRight w:val="0"/>
                      <w:marTop w:val="0"/>
                      <w:marBottom w:val="0"/>
                      <w:divBdr>
                        <w:top w:val="none" w:sz="0" w:space="0" w:color="auto"/>
                        <w:left w:val="none" w:sz="0" w:space="0" w:color="auto"/>
                        <w:bottom w:val="none" w:sz="0" w:space="0" w:color="auto"/>
                        <w:right w:val="none" w:sz="0" w:space="0" w:color="auto"/>
                      </w:divBdr>
                    </w:div>
                  </w:divsChild>
                </w:div>
                <w:div w:id="1922906112">
                  <w:marLeft w:val="0"/>
                  <w:marRight w:val="0"/>
                  <w:marTop w:val="0"/>
                  <w:marBottom w:val="0"/>
                  <w:divBdr>
                    <w:top w:val="none" w:sz="0" w:space="0" w:color="auto"/>
                    <w:left w:val="none" w:sz="0" w:space="0" w:color="auto"/>
                    <w:bottom w:val="none" w:sz="0" w:space="0" w:color="auto"/>
                    <w:right w:val="none" w:sz="0" w:space="0" w:color="auto"/>
                  </w:divBdr>
                  <w:divsChild>
                    <w:div w:id="921837907">
                      <w:marLeft w:val="0"/>
                      <w:marRight w:val="0"/>
                      <w:marTop w:val="0"/>
                      <w:marBottom w:val="0"/>
                      <w:divBdr>
                        <w:top w:val="none" w:sz="0" w:space="0" w:color="auto"/>
                        <w:left w:val="none" w:sz="0" w:space="0" w:color="auto"/>
                        <w:bottom w:val="none" w:sz="0" w:space="0" w:color="auto"/>
                        <w:right w:val="none" w:sz="0" w:space="0" w:color="auto"/>
                      </w:divBdr>
                    </w:div>
                  </w:divsChild>
                </w:div>
                <w:div w:id="1924871250">
                  <w:marLeft w:val="0"/>
                  <w:marRight w:val="0"/>
                  <w:marTop w:val="0"/>
                  <w:marBottom w:val="0"/>
                  <w:divBdr>
                    <w:top w:val="none" w:sz="0" w:space="0" w:color="auto"/>
                    <w:left w:val="none" w:sz="0" w:space="0" w:color="auto"/>
                    <w:bottom w:val="none" w:sz="0" w:space="0" w:color="auto"/>
                    <w:right w:val="none" w:sz="0" w:space="0" w:color="auto"/>
                  </w:divBdr>
                  <w:divsChild>
                    <w:div w:id="961574806">
                      <w:marLeft w:val="0"/>
                      <w:marRight w:val="0"/>
                      <w:marTop w:val="0"/>
                      <w:marBottom w:val="0"/>
                      <w:divBdr>
                        <w:top w:val="none" w:sz="0" w:space="0" w:color="auto"/>
                        <w:left w:val="none" w:sz="0" w:space="0" w:color="auto"/>
                        <w:bottom w:val="none" w:sz="0" w:space="0" w:color="auto"/>
                        <w:right w:val="none" w:sz="0" w:space="0" w:color="auto"/>
                      </w:divBdr>
                    </w:div>
                  </w:divsChild>
                </w:div>
                <w:div w:id="1933540503">
                  <w:marLeft w:val="0"/>
                  <w:marRight w:val="0"/>
                  <w:marTop w:val="0"/>
                  <w:marBottom w:val="0"/>
                  <w:divBdr>
                    <w:top w:val="none" w:sz="0" w:space="0" w:color="auto"/>
                    <w:left w:val="none" w:sz="0" w:space="0" w:color="auto"/>
                    <w:bottom w:val="none" w:sz="0" w:space="0" w:color="auto"/>
                    <w:right w:val="none" w:sz="0" w:space="0" w:color="auto"/>
                  </w:divBdr>
                  <w:divsChild>
                    <w:div w:id="1202326108">
                      <w:marLeft w:val="0"/>
                      <w:marRight w:val="0"/>
                      <w:marTop w:val="0"/>
                      <w:marBottom w:val="0"/>
                      <w:divBdr>
                        <w:top w:val="none" w:sz="0" w:space="0" w:color="auto"/>
                        <w:left w:val="none" w:sz="0" w:space="0" w:color="auto"/>
                        <w:bottom w:val="none" w:sz="0" w:space="0" w:color="auto"/>
                        <w:right w:val="none" w:sz="0" w:space="0" w:color="auto"/>
                      </w:divBdr>
                    </w:div>
                  </w:divsChild>
                </w:div>
                <w:div w:id="1935507231">
                  <w:marLeft w:val="0"/>
                  <w:marRight w:val="0"/>
                  <w:marTop w:val="0"/>
                  <w:marBottom w:val="0"/>
                  <w:divBdr>
                    <w:top w:val="none" w:sz="0" w:space="0" w:color="auto"/>
                    <w:left w:val="none" w:sz="0" w:space="0" w:color="auto"/>
                    <w:bottom w:val="none" w:sz="0" w:space="0" w:color="auto"/>
                    <w:right w:val="none" w:sz="0" w:space="0" w:color="auto"/>
                  </w:divBdr>
                  <w:divsChild>
                    <w:div w:id="1836342481">
                      <w:marLeft w:val="0"/>
                      <w:marRight w:val="0"/>
                      <w:marTop w:val="0"/>
                      <w:marBottom w:val="0"/>
                      <w:divBdr>
                        <w:top w:val="none" w:sz="0" w:space="0" w:color="auto"/>
                        <w:left w:val="none" w:sz="0" w:space="0" w:color="auto"/>
                        <w:bottom w:val="none" w:sz="0" w:space="0" w:color="auto"/>
                        <w:right w:val="none" w:sz="0" w:space="0" w:color="auto"/>
                      </w:divBdr>
                    </w:div>
                  </w:divsChild>
                </w:div>
                <w:div w:id="1938630736">
                  <w:marLeft w:val="0"/>
                  <w:marRight w:val="0"/>
                  <w:marTop w:val="0"/>
                  <w:marBottom w:val="0"/>
                  <w:divBdr>
                    <w:top w:val="none" w:sz="0" w:space="0" w:color="auto"/>
                    <w:left w:val="none" w:sz="0" w:space="0" w:color="auto"/>
                    <w:bottom w:val="none" w:sz="0" w:space="0" w:color="auto"/>
                    <w:right w:val="none" w:sz="0" w:space="0" w:color="auto"/>
                  </w:divBdr>
                  <w:divsChild>
                    <w:div w:id="2062897698">
                      <w:marLeft w:val="0"/>
                      <w:marRight w:val="0"/>
                      <w:marTop w:val="0"/>
                      <w:marBottom w:val="0"/>
                      <w:divBdr>
                        <w:top w:val="none" w:sz="0" w:space="0" w:color="auto"/>
                        <w:left w:val="none" w:sz="0" w:space="0" w:color="auto"/>
                        <w:bottom w:val="none" w:sz="0" w:space="0" w:color="auto"/>
                        <w:right w:val="none" w:sz="0" w:space="0" w:color="auto"/>
                      </w:divBdr>
                    </w:div>
                  </w:divsChild>
                </w:div>
                <w:div w:id="1939289980">
                  <w:marLeft w:val="0"/>
                  <w:marRight w:val="0"/>
                  <w:marTop w:val="0"/>
                  <w:marBottom w:val="0"/>
                  <w:divBdr>
                    <w:top w:val="none" w:sz="0" w:space="0" w:color="auto"/>
                    <w:left w:val="none" w:sz="0" w:space="0" w:color="auto"/>
                    <w:bottom w:val="none" w:sz="0" w:space="0" w:color="auto"/>
                    <w:right w:val="none" w:sz="0" w:space="0" w:color="auto"/>
                  </w:divBdr>
                  <w:divsChild>
                    <w:div w:id="1614433535">
                      <w:marLeft w:val="0"/>
                      <w:marRight w:val="0"/>
                      <w:marTop w:val="0"/>
                      <w:marBottom w:val="0"/>
                      <w:divBdr>
                        <w:top w:val="none" w:sz="0" w:space="0" w:color="auto"/>
                        <w:left w:val="none" w:sz="0" w:space="0" w:color="auto"/>
                        <w:bottom w:val="none" w:sz="0" w:space="0" w:color="auto"/>
                        <w:right w:val="none" w:sz="0" w:space="0" w:color="auto"/>
                      </w:divBdr>
                    </w:div>
                  </w:divsChild>
                </w:div>
                <w:div w:id="1940870259">
                  <w:marLeft w:val="0"/>
                  <w:marRight w:val="0"/>
                  <w:marTop w:val="0"/>
                  <w:marBottom w:val="0"/>
                  <w:divBdr>
                    <w:top w:val="none" w:sz="0" w:space="0" w:color="auto"/>
                    <w:left w:val="none" w:sz="0" w:space="0" w:color="auto"/>
                    <w:bottom w:val="none" w:sz="0" w:space="0" w:color="auto"/>
                    <w:right w:val="none" w:sz="0" w:space="0" w:color="auto"/>
                  </w:divBdr>
                  <w:divsChild>
                    <w:div w:id="741219843">
                      <w:marLeft w:val="0"/>
                      <w:marRight w:val="0"/>
                      <w:marTop w:val="0"/>
                      <w:marBottom w:val="0"/>
                      <w:divBdr>
                        <w:top w:val="none" w:sz="0" w:space="0" w:color="auto"/>
                        <w:left w:val="none" w:sz="0" w:space="0" w:color="auto"/>
                        <w:bottom w:val="none" w:sz="0" w:space="0" w:color="auto"/>
                        <w:right w:val="none" w:sz="0" w:space="0" w:color="auto"/>
                      </w:divBdr>
                    </w:div>
                  </w:divsChild>
                </w:div>
                <w:div w:id="1941641784">
                  <w:marLeft w:val="0"/>
                  <w:marRight w:val="0"/>
                  <w:marTop w:val="0"/>
                  <w:marBottom w:val="0"/>
                  <w:divBdr>
                    <w:top w:val="none" w:sz="0" w:space="0" w:color="auto"/>
                    <w:left w:val="none" w:sz="0" w:space="0" w:color="auto"/>
                    <w:bottom w:val="none" w:sz="0" w:space="0" w:color="auto"/>
                    <w:right w:val="none" w:sz="0" w:space="0" w:color="auto"/>
                  </w:divBdr>
                  <w:divsChild>
                    <w:div w:id="1363244950">
                      <w:marLeft w:val="0"/>
                      <w:marRight w:val="0"/>
                      <w:marTop w:val="0"/>
                      <w:marBottom w:val="0"/>
                      <w:divBdr>
                        <w:top w:val="none" w:sz="0" w:space="0" w:color="auto"/>
                        <w:left w:val="none" w:sz="0" w:space="0" w:color="auto"/>
                        <w:bottom w:val="none" w:sz="0" w:space="0" w:color="auto"/>
                        <w:right w:val="none" w:sz="0" w:space="0" w:color="auto"/>
                      </w:divBdr>
                    </w:div>
                  </w:divsChild>
                </w:div>
                <w:div w:id="1943755730">
                  <w:marLeft w:val="0"/>
                  <w:marRight w:val="0"/>
                  <w:marTop w:val="0"/>
                  <w:marBottom w:val="0"/>
                  <w:divBdr>
                    <w:top w:val="none" w:sz="0" w:space="0" w:color="auto"/>
                    <w:left w:val="none" w:sz="0" w:space="0" w:color="auto"/>
                    <w:bottom w:val="none" w:sz="0" w:space="0" w:color="auto"/>
                    <w:right w:val="none" w:sz="0" w:space="0" w:color="auto"/>
                  </w:divBdr>
                  <w:divsChild>
                    <w:div w:id="683673874">
                      <w:marLeft w:val="0"/>
                      <w:marRight w:val="0"/>
                      <w:marTop w:val="0"/>
                      <w:marBottom w:val="0"/>
                      <w:divBdr>
                        <w:top w:val="none" w:sz="0" w:space="0" w:color="auto"/>
                        <w:left w:val="none" w:sz="0" w:space="0" w:color="auto"/>
                        <w:bottom w:val="none" w:sz="0" w:space="0" w:color="auto"/>
                        <w:right w:val="none" w:sz="0" w:space="0" w:color="auto"/>
                      </w:divBdr>
                    </w:div>
                  </w:divsChild>
                </w:div>
                <w:div w:id="1944997352">
                  <w:marLeft w:val="0"/>
                  <w:marRight w:val="0"/>
                  <w:marTop w:val="0"/>
                  <w:marBottom w:val="0"/>
                  <w:divBdr>
                    <w:top w:val="none" w:sz="0" w:space="0" w:color="auto"/>
                    <w:left w:val="none" w:sz="0" w:space="0" w:color="auto"/>
                    <w:bottom w:val="none" w:sz="0" w:space="0" w:color="auto"/>
                    <w:right w:val="none" w:sz="0" w:space="0" w:color="auto"/>
                  </w:divBdr>
                  <w:divsChild>
                    <w:div w:id="1400790669">
                      <w:marLeft w:val="0"/>
                      <w:marRight w:val="0"/>
                      <w:marTop w:val="0"/>
                      <w:marBottom w:val="0"/>
                      <w:divBdr>
                        <w:top w:val="none" w:sz="0" w:space="0" w:color="auto"/>
                        <w:left w:val="none" w:sz="0" w:space="0" w:color="auto"/>
                        <w:bottom w:val="none" w:sz="0" w:space="0" w:color="auto"/>
                        <w:right w:val="none" w:sz="0" w:space="0" w:color="auto"/>
                      </w:divBdr>
                    </w:div>
                  </w:divsChild>
                </w:div>
                <w:div w:id="1948391189">
                  <w:marLeft w:val="0"/>
                  <w:marRight w:val="0"/>
                  <w:marTop w:val="0"/>
                  <w:marBottom w:val="0"/>
                  <w:divBdr>
                    <w:top w:val="none" w:sz="0" w:space="0" w:color="auto"/>
                    <w:left w:val="none" w:sz="0" w:space="0" w:color="auto"/>
                    <w:bottom w:val="none" w:sz="0" w:space="0" w:color="auto"/>
                    <w:right w:val="none" w:sz="0" w:space="0" w:color="auto"/>
                  </w:divBdr>
                  <w:divsChild>
                    <w:div w:id="1546912544">
                      <w:marLeft w:val="0"/>
                      <w:marRight w:val="0"/>
                      <w:marTop w:val="0"/>
                      <w:marBottom w:val="0"/>
                      <w:divBdr>
                        <w:top w:val="none" w:sz="0" w:space="0" w:color="auto"/>
                        <w:left w:val="none" w:sz="0" w:space="0" w:color="auto"/>
                        <w:bottom w:val="none" w:sz="0" w:space="0" w:color="auto"/>
                        <w:right w:val="none" w:sz="0" w:space="0" w:color="auto"/>
                      </w:divBdr>
                    </w:div>
                  </w:divsChild>
                </w:div>
                <w:div w:id="1949387462">
                  <w:marLeft w:val="0"/>
                  <w:marRight w:val="0"/>
                  <w:marTop w:val="0"/>
                  <w:marBottom w:val="0"/>
                  <w:divBdr>
                    <w:top w:val="none" w:sz="0" w:space="0" w:color="auto"/>
                    <w:left w:val="none" w:sz="0" w:space="0" w:color="auto"/>
                    <w:bottom w:val="none" w:sz="0" w:space="0" w:color="auto"/>
                    <w:right w:val="none" w:sz="0" w:space="0" w:color="auto"/>
                  </w:divBdr>
                  <w:divsChild>
                    <w:div w:id="1038043437">
                      <w:marLeft w:val="0"/>
                      <w:marRight w:val="0"/>
                      <w:marTop w:val="0"/>
                      <w:marBottom w:val="0"/>
                      <w:divBdr>
                        <w:top w:val="none" w:sz="0" w:space="0" w:color="auto"/>
                        <w:left w:val="none" w:sz="0" w:space="0" w:color="auto"/>
                        <w:bottom w:val="none" w:sz="0" w:space="0" w:color="auto"/>
                        <w:right w:val="none" w:sz="0" w:space="0" w:color="auto"/>
                      </w:divBdr>
                    </w:div>
                  </w:divsChild>
                </w:div>
                <w:div w:id="1950549125">
                  <w:marLeft w:val="0"/>
                  <w:marRight w:val="0"/>
                  <w:marTop w:val="0"/>
                  <w:marBottom w:val="0"/>
                  <w:divBdr>
                    <w:top w:val="none" w:sz="0" w:space="0" w:color="auto"/>
                    <w:left w:val="none" w:sz="0" w:space="0" w:color="auto"/>
                    <w:bottom w:val="none" w:sz="0" w:space="0" w:color="auto"/>
                    <w:right w:val="none" w:sz="0" w:space="0" w:color="auto"/>
                  </w:divBdr>
                  <w:divsChild>
                    <w:div w:id="1644041931">
                      <w:marLeft w:val="0"/>
                      <w:marRight w:val="0"/>
                      <w:marTop w:val="0"/>
                      <w:marBottom w:val="0"/>
                      <w:divBdr>
                        <w:top w:val="none" w:sz="0" w:space="0" w:color="auto"/>
                        <w:left w:val="none" w:sz="0" w:space="0" w:color="auto"/>
                        <w:bottom w:val="none" w:sz="0" w:space="0" w:color="auto"/>
                        <w:right w:val="none" w:sz="0" w:space="0" w:color="auto"/>
                      </w:divBdr>
                    </w:div>
                  </w:divsChild>
                </w:div>
                <w:div w:id="1957062225">
                  <w:marLeft w:val="0"/>
                  <w:marRight w:val="0"/>
                  <w:marTop w:val="0"/>
                  <w:marBottom w:val="0"/>
                  <w:divBdr>
                    <w:top w:val="none" w:sz="0" w:space="0" w:color="auto"/>
                    <w:left w:val="none" w:sz="0" w:space="0" w:color="auto"/>
                    <w:bottom w:val="none" w:sz="0" w:space="0" w:color="auto"/>
                    <w:right w:val="none" w:sz="0" w:space="0" w:color="auto"/>
                  </w:divBdr>
                  <w:divsChild>
                    <w:div w:id="261498609">
                      <w:marLeft w:val="0"/>
                      <w:marRight w:val="0"/>
                      <w:marTop w:val="0"/>
                      <w:marBottom w:val="0"/>
                      <w:divBdr>
                        <w:top w:val="none" w:sz="0" w:space="0" w:color="auto"/>
                        <w:left w:val="none" w:sz="0" w:space="0" w:color="auto"/>
                        <w:bottom w:val="none" w:sz="0" w:space="0" w:color="auto"/>
                        <w:right w:val="none" w:sz="0" w:space="0" w:color="auto"/>
                      </w:divBdr>
                    </w:div>
                  </w:divsChild>
                </w:div>
                <w:div w:id="1970043105">
                  <w:marLeft w:val="0"/>
                  <w:marRight w:val="0"/>
                  <w:marTop w:val="0"/>
                  <w:marBottom w:val="0"/>
                  <w:divBdr>
                    <w:top w:val="none" w:sz="0" w:space="0" w:color="auto"/>
                    <w:left w:val="none" w:sz="0" w:space="0" w:color="auto"/>
                    <w:bottom w:val="none" w:sz="0" w:space="0" w:color="auto"/>
                    <w:right w:val="none" w:sz="0" w:space="0" w:color="auto"/>
                  </w:divBdr>
                  <w:divsChild>
                    <w:div w:id="1098788220">
                      <w:marLeft w:val="0"/>
                      <w:marRight w:val="0"/>
                      <w:marTop w:val="0"/>
                      <w:marBottom w:val="0"/>
                      <w:divBdr>
                        <w:top w:val="none" w:sz="0" w:space="0" w:color="auto"/>
                        <w:left w:val="none" w:sz="0" w:space="0" w:color="auto"/>
                        <w:bottom w:val="none" w:sz="0" w:space="0" w:color="auto"/>
                        <w:right w:val="none" w:sz="0" w:space="0" w:color="auto"/>
                      </w:divBdr>
                    </w:div>
                  </w:divsChild>
                </w:div>
                <w:div w:id="1977248460">
                  <w:marLeft w:val="0"/>
                  <w:marRight w:val="0"/>
                  <w:marTop w:val="0"/>
                  <w:marBottom w:val="0"/>
                  <w:divBdr>
                    <w:top w:val="none" w:sz="0" w:space="0" w:color="auto"/>
                    <w:left w:val="none" w:sz="0" w:space="0" w:color="auto"/>
                    <w:bottom w:val="none" w:sz="0" w:space="0" w:color="auto"/>
                    <w:right w:val="none" w:sz="0" w:space="0" w:color="auto"/>
                  </w:divBdr>
                  <w:divsChild>
                    <w:div w:id="1288392556">
                      <w:marLeft w:val="0"/>
                      <w:marRight w:val="0"/>
                      <w:marTop w:val="0"/>
                      <w:marBottom w:val="0"/>
                      <w:divBdr>
                        <w:top w:val="none" w:sz="0" w:space="0" w:color="auto"/>
                        <w:left w:val="none" w:sz="0" w:space="0" w:color="auto"/>
                        <w:bottom w:val="none" w:sz="0" w:space="0" w:color="auto"/>
                        <w:right w:val="none" w:sz="0" w:space="0" w:color="auto"/>
                      </w:divBdr>
                    </w:div>
                  </w:divsChild>
                </w:div>
                <w:div w:id="1981154988">
                  <w:marLeft w:val="0"/>
                  <w:marRight w:val="0"/>
                  <w:marTop w:val="0"/>
                  <w:marBottom w:val="0"/>
                  <w:divBdr>
                    <w:top w:val="none" w:sz="0" w:space="0" w:color="auto"/>
                    <w:left w:val="none" w:sz="0" w:space="0" w:color="auto"/>
                    <w:bottom w:val="none" w:sz="0" w:space="0" w:color="auto"/>
                    <w:right w:val="none" w:sz="0" w:space="0" w:color="auto"/>
                  </w:divBdr>
                  <w:divsChild>
                    <w:div w:id="77293602">
                      <w:marLeft w:val="0"/>
                      <w:marRight w:val="0"/>
                      <w:marTop w:val="0"/>
                      <w:marBottom w:val="0"/>
                      <w:divBdr>
                        <w:top w:val="none" w:sz="0" w:space="0" w:color="auto"/>
                        <w:left w:val="none" w:sz="0" w:space="0" w:color="auto"/>
                        <w:bottom w:val="none" w:sz="0" w:space="0" w:color="auto"/>
                        <w:right w:val="none" w:sz="0" w:space="0" w:color="auto"/>
                      </w:divBdr>
                    </w:div>
                  </w:divsChild>
                </w:div>
                <w:div w:id="1993636625">
                  <w:marLeft w:val="0"/>
                  <w:marRight w:val="0"/>
                  <w:marTop w:val="0"/>
                  <w:marBottom w:val="0"/>
                  <w:divBdr>
                    <w:top w:val="none" w:sz="0" w:space="0" w:color="auto"/>
                    <w:left w:val="none" w:sz="0" w:space="0" w:color="auto"/>
                    <w:bottom w:val="none" w:sz="0" w:space="0" w:color="auto"/>
                    <w:right w:val="none" w:sz="0" w:space="0" w:color="auto"/>
                  </w:divBdr>
                  <w:divsChild>
                    <w:div w:id="1034040914">
                      <w:marLeft w:val="0"/>
                      <w:marRight w:val="0"/>
                      <w:marTop w:val="0"/>
                      <w:marBottom w:val="0"/>
                      <w:divBdr>
                        <w:top w:val="none" w:sz="0" w:space="0" w:color="auto"/>
                        <w:left w:val="none" w:sz="0" w:space="0" w:color="auto"/>
                        <w:bottom w:val="none" w:sz="0" w:space="0" w:color="auto"/>
                        <w:right w:val="none" w:sz="0" w:space="0" w:color="auto"/>
                      </w:divBdr>
                    </w:div>
                  </w:divsChild>
                </w:div>
                <w:div w:id="1995720083">
                  <w:marLeft w:val="0"/>
                  <w:marRight w:val="0"/>
                  <w:marTop w:val="0"/>
                  <w:marBottom w:val="0"/>
                  <w:divBdr>
                    <w:top w:val="none" w:sz="0" w:space="0" w:color="auto"/>
                    <w:left w:val="none" w:sz="0" w:space="0" w:color="auto"/>
                    <w:bottom w:val="none" w:sz="0" w:space="0" w:color="auto"/>
                    <w:right w:val="none" w:sz="0" w:space="0" w:color="auto"/>
                  </w:divBdr>
                  <w:divsChild>
                    <w:div w:id="325209123">
                      <w:marLeft w:val="0"/>
                      <w:marRight w:val="0"/>
                      <w:marTop w:val="0"/>
                      <w:marBottom w:val="0"/>
                      <w:divBdr>
                        <w:top w:val="none" w:sz="0" w:space="0" w:color="auto"/>
                        <w:left w:val="none" w:sz="0" w:space="0" w:color="auto"/>
                        <w:bottom w:val="none" w:sz="0" w:space="0" w:color="auto"/>
                        <w:right w:val="none" w:sz="0" w:space="0" w:color="auto"/>
                      </w:divBdr>
                    </w:div>
                  </w:divsChild>
                </w:div>
                <w:div w:id="1999535668">
                  <w:marLeft w:val="0"/>
                  <w:marRight w:val="0"/>
                  <w:marTop w:val="0"/>
                  <w:marBottom w:val="0"/>
                  <w:divBdr>
                    <w:top w:val="none" w:sz="0" w:space="0" w:color="auto"/>
                    <w:left w:val="none" w:sz="0" w:space="0" w:color="auto"/>
                    <w:bottom w:val="none" w:sz="0" w:space="0" w:color="auto"/>
                    <w:right w:val="none" w:sz="0" w:space="0" w:color="auto"/>
                  </w:divBdr>
                  <w:divsChild>
                    <w:div w:id="586841700">
                      <w:marLeft w:val="0"/>
                      <w:marRight w:val="0"/>
                      <w:marTop w:val="0"/>
                      <w:marBottom w:val="0"/>
                      <w:divBdr>
                        <w:top w:val="none" w:sz="0" w:space="0" w:color="auto"/>
                        <w:left w:val="none" w:sz="0" w:space="0" w:color="auto"/>
                        <w:bottom w:val="none" w:sz="0" w:space="0" w:color="auto"/>
                        <w:right w:val="none" w:sz="0" w:space="0" w:color="auto"/>
                      </w:divBdr>
                    </w:div>
                  </w:divsChild>
                </w:div>
                <w:div w:id="2001275555">
                  <w:marLeft w:val="0"/>
                  <w:marRight w:val="0"/>
                  <w:marTop w:val="0"/>
                  <w:marBottom w:val="0"/>
                  <w:divBdr>
                    <w:top w:val="none" w:sz="0" w:space="0" w:color="auto"/>
                    <w:left w:val="none" w:sz="0" w:space="0" w:color="auto"/>
                    <w:bottom w:val="none" w:sz="0" w:space="0" w:color="auto"/>
                    <w:right w:val="none" w:sz="0" w:space="0" w:color="auto"/>
                  </w:divBdr>
                  <w:divsChild>
                    <w:div w:id="1315992610">
                      <w:marLeft w:val="0"/>
                      <w:marRight w:val="0"/>
                      <w:marTop w:val="0"/>
                      <w:marBottom w:val="0"/>
                      <w:divBdr>
                        <w:top w:val="none" w:sz="0" w:space="0" w:color="auto"/>
                        <w:left w:val="none" w:sz="0" w:space="0" w:color="auto"/>
                        <w:bottom w:val="none" w:sz="0" w:space="0" w:color="auto"/>
                        <w:right w:val="none" w:sz="0" w:space="0" w:color="auto"/>
                      </w:divBdr>
                    </w:div>
                  </w:divsChild>
                </w:div>
                <w:div w:id="2015256760">
                  <w:marLeft w:val="0"/>
                  <w:marRight w:val="0"/>
                  <w:marTop w:val="0"/>
                  <w:marBottom w:val="0"/>
                  <w:divBdr>
                    <w:top w:val="none" w:sz="0" w:space="0" w:color="auto"/>
                    <w:left w:val="none" w:sz="0" w:space="0" w:color="auto"/>
                    <w:bottom w:val="none" w:sz="0" w:space="0" w:color="auto"/>
                    <w:right w:val="none" w:sz="0" w:space="0" w:color="auto"/>
                  </w:divBdr>
                  <w:divsChild>
                    <w:div w:id="256445771">
                      <w:marLeft w:val="0"/>
                      <w:marRight w:val="0"/>
                      <w:marTop w:val="0"/>
                      <w:marBottom w:val="0"/>
                      <w:divBdr>
                        <w:top w:val="none" w:sz="0" w:space="0" w:color="auto"/>
                        <w:left w:val="none" w:sz="0" w:space="0" w:color="auto"/>
                        <w:bottom w:val="none" w:sz="0" w:space="0" w:color="auto"/>
                        <w:right w:val="none" w:sz="0" w:space="0" w:color="auto"/>
                      </w:divBdr>
                    </w:div>
                  </w:divsChild>
                </w:div>
                <w:div w:id="2017342338">
                  <w:marLeft w:val="0"/>
                  <w:marRight w:val="0"/>
                  <w:marTop w:val="0"/>
                  <w:marBottom w:val="0"/>
                  <w:divBdr>
                    <w:top w:val="none" w:sz="0" w:space="0" w:color="auto"/>
                    <w:left w:val="none" w:sz="0" w:space="0" w:color="auto"/>
                    <w:bottom w:val="none" w:sz="0" w:space="0" w:color="auto"/>
                    <w:right w:val="none" w:sz="0" w:space="0" w:color="auto"/>
                  </w:divBdr>
                  <w:divsChild>
                    <w:div w:id="1030178527">
                      <w:marLeft w:val="0"/>
                      <w:marRight w:val="0"/>
                      <w:marTop w:val="0"/>
                      <w:marBottom w:val="0"/>
                      <w:divBdr>
                        <w:top w:val="none" w:sz="0" w:space="0" w:color="auto"/>
                        <w:left w:val="none" w:sz="0" w:space="0" w:color="auto"/>
                        <w:bottom w:val="none" w:sz="0" w:space="0" w:color="auto"/>
                        <w:right w:val="none" w:sz="0" w:space="0" w:color="auto"/>
                      </w:divBdr>
                    </w:div>
                  </w:divsChild>
                </w:div>
                <w:div w:id="2017804941">
                  <w:marLeft w:val="0"/>
                  <w:marRight w:val="0"/>
                  <w:marTop w:val="0"/>
                  <w:marBottom w:val="0"/>
                  <w:divBdr>
                    <w:top w:val="none" w:sz="0" w:space="0" w:color="auto"/>
                    <w:left w:val="none" w:sz="0" w:space="0" w:color="auto"/>
                    <w:bottom w:val="none" w:sz="0" w:space="0" w:color="auto"/>
                    <w:right w:val="none" w:sz="0" w:space="0" w:color="auto"/>
                  </w:divBdr>
                  <w:divsChild>
                    <w:div w:id="480462242">
                      <w:marLeft w:val="0"/>
                      <w:marRight w:val="0"/>
                      <w:marTop w:val="0"/>
                      <w:marBottom w:val="0"/>
                      <w:divBdr>
                        <w:top w:val="none" w:sz="0" w:space="0" w:color="auto"/>
                        <w:left w:val="none" w:sz="0" w:space="0" w:color="auto"/>
                        <w:bottom w:val="none" w:sz="0" w:space="0" w:color="auto"/>
                        <w:right w:val="none" w:sz="0" w:space="0" w:color="auto"/>
                      </w:divBdr>
                    </w:div>
                  </w:divsChild>
                </w:div>
                <w:div w:id="2027094921">
                  <w:marLeft w:val="0"/>
                  <w:marRight w:val="0"/>
                  <w:marTop w:val="0"/>
                  <w:marBottom w:val="0"/>
                  <w:divBdr>
                    <w:top w:val="none" w:sz="0" w:space="0" w:color="auto"/>
                    <w:left w:val="none" w:sz="0" w:space="0" w:color="auto"/>
                    <w:bottom w:val="none" w:sz="0" w:space="0" w:color="auto"/>
                    <w:right w:val="none" w:sz="0" w:space="0" w:color="auto"/>
                  </w:divBdr>
                  <w:divsChild>
                    <w:div w:id="159003575">
                      <w:marLeft w:val="0"/>
                      <w:marRight w:val="0"/>
                      <w:marTop w:val="0"/>
                      <w:marBottom w:val="0"/>
                      <w:divBdr>
                        <w:top w:val="none" w:sz="0" w:space="0" w:color="auto"/>
                        <w:left w:val="none" w:sz="0" w:space="0" w:color="auto"/>
                        <w:bottom w:val="none" w:sz="0" w:space="0" w:color="auto"/>
                        <w:right w:val="none" w:sz="0" w:space="0" w:color="auto"/>
                      </w:divBdr>
                    </w:div>
                  </w:divsChild>
                </w:div>
                <w:div w:id="2030720507">
                  <w:marLeft w:val="0"/>
                  <w:marRight w:val="0"/>
                  <w:marTop w:val="0"/>
                  <w:marBottom w:val="0"/>
                  <w:divBdr>
                    <w:top w:val="none" w:sz="0" w:space="0" w:color="auto"/>
                    <w:left w:val="none" w:sz="0" w:space="0" w:color="auto"/>
                    <w:bottom w:val="none" w:sz="0" w:space="0" w:color="auto"/>
                    <w:right w:val="none" w:sz="0" w:space="0" w:color="auto"/>
                  </w:divBdr>
                  <w:divsChild>
                    <w:div w:id="131410957">
                      <w:marLeft w:val="0"/>
                      <w:marRight w:val="0"/>
                      <w:marTop w:val="0"/>
                      <w:marBottom w:val="0"/>
                      <w:divBdr>
                        <w:top w:val="none" w:sz="0" w:space="0" w:color="auto"/>
                        <w:left w:val="none" w:sz="0" w:space="0" w:color="auto"/>
                        <w:bottom w:val="none" w:sz="0" w:space="0" w:color="auto"/>
                        <w:right w:val="none" w:sz="0" w:space="0" w:color="auto"/>
                      </w:divBdr>
                    </w:div>
                  </w:divsChild>
                </w:div>
                <w:div w:id="2035884115">
                  <w:marLeft w:val="0"/>
                  <w:marRight w:val="0"/>
                  <w:marTop w:val="0"/>
                  <w:marBottom w:val="0"/>
                  <w:divBdr>
                    <w:top w:val="none" w:sz="0" w:space="0" w:color="auto"/>
                    <w:left w:val="none" w:sz="0" w:space="0" w:color="auto"/>
                    <w:bottom w:val="none" w:sz="0" w:space="0" w:color="auto"/>
                    <w:right w:val="none" w:sz="0" w:space="0" w:color="auto"/>
                  </w:divBdr>
                  <w:divsChild>
                    <w:div w:id="1881353949">
                      <w:marLeft w:val="0"/>
                      <w:marRight w:val="0"/>
                      <w:marTop w:val="0"/>
                      <w:marBottom w:val="0"/>
                      <w:divBdr>
                        <w:top w:val="none" w:sz="0" w:space="0" w:color="auto"/>
                        <w:left w:val="none" w:sz="0" w:space="0" w:color="auto"/>
                        <w:bottom w:val="none" w:sz="0" w:space="0" w:color="auto"/>
                        <w:right w:val="none" w:sz="0" w:space="0" w:color="auto"/>
                      </w:divBdr>
                    </w:div>
                  </w:divsChild>
                </w:div>
                <w:div w:id="2041936253">
                  <w:marLeft w:val="0"/>
                  <w:marRight w:val="0"/>
                  <w:marTop w:val="0"/>
                  <w:marBottom w:val="0"/>
                  <w:divBdr>
                    <w:top w:val="none" w:sz="0" w:space="0" w:color="auto"/>
                    <w:left w:val="none" w:sz="0" w:space="0" w:color="auto"/>
                    <w:bottom w:val="none" w:sz="0" w:space="0" w:color="auto"/>
                    <w:right w:val="none" w:sz="0" w:space="0" w:color="auto"/>
                  </w:divBdr>
                  <w:divsChild>
                    <w:div w:id="1193108056">
                      <w:marLeft w:val="0"/>
                      <w:marRight w:val="0"/>
                      <w:marTop w:val="0"/>
                      <w:marBottom w:val="0"/>
                      <w:divBdr>
                        <w:top w:val="none" w:sz="0" w:space="0" w:color="auto"/>
                        <w:left w:val="none" w:sz="0" w:space="0" w:color="auto"/>
                        <w:bottom w:val="none" w:sz="0" w:space="0" w:color="auto"/>
                        <w:right w:val="none" w:sz="0" w:space="0" w:color="auto"/>
                      </w:divBdr>
                    </w:div>
                  </w:divsChild>
                </w:div>
                <w:div w:id="2049985617">
                  <w:marLeft w:val="0"/>
                  <w:marRight w:val="0"/>
                  <w:marTop w:val="0"/>
                  <w:marBottom w:val="0"/>
                  <w:divBdr>
                    <w:top w:val="none" w:sz="0" w:space="0" w:color="auto"/>
                    <w:left w:val="none" w:sz="0" w:space="0" w:color="auto"/>
                    <w:bottom w:val="none" w:sz="0" w:space="0" w:color="auto"/>
                    <w:right w:val="none" w:sz="0" w:space="0" w:color="auto"/>
                  </w:divBdr>
                  <w:divsChild>
                    <w:div w:id="266353391">
                      <w:marLeft w:val="0"/>
                      <w:marRight w:val="0"/>
                      <w:marTop w:val="0"/>
                      <w:marBottom w:val="0"/>
                      <w:divBdr>
                        <w:top w:val="none" w:sz="0" w:space="0" w:color="auto"/>
                        <w:left w:val="none" w:sz="0" w:space="0" w:color="auto"/>
                        <w:bottom w:val="none" w:sz="0" w:space="0" w:color="auto"/>
                        <w:right w:val="none" w:sz="0" w:space="0" w:color="auto"/>
                      </w:divBdr>
                    </w:div>
                  </w:divsChild>
                </w:div>
                <w:div w:id="2060934238">
                  <w:marLeft w:val="0"/>
                  <w:marRight w:val="0"/>
                  <w:marTop w:val="0"/>
                  <w:marBottom w:val="0"/>
                  <w:divBdr>
                    <w:top w:val="none" w:sz="0" w:space="0" w:color="auto"/>
                    <w:left w:val="none" w:sz="0" w:space="0" w:color="auto"/>
                    <w:bottom w:val="none" w:sz="0" w:space="0" w:color="auto"/>
                    <w:right w:val="none" w:sz="0" w:space="0" w:color="auto"/>
                  </w:divBdr>
                  <w:divsChild>
                    <w:div w:id="635332435">
                      <w:marLeft w:val="0"/>
                      <w:marRight w:val="0"/>
                      <w:marTop w:val="0"/>
                      <w:marBottom w:val="0"/>
                      <w:divBdr>
                        <w:top w:val="none" w:sz="0" w:space="0" w:color="auto"/>
                        <w:left w:val="none" w:sz="0" w:space="0" w:color="auto"/>
                        <w:bottom w:val="none" w:sz="0" w:space="0" w:color="auto"/>
                        <w:right w:val="none" w:sz="0" w:space="0" w:color="auto"/>
                      </w:divBdr>
                    </w:div>
                  </w:divsChild>
                </w:div>
                <w:div w:id="2062634825">
                  <w:marLeft w:val="0"/>
                  <w:marRight w:val="0"/>
                  <w:marTop w:val="0"/>
                  <w:marBottom w:val="0"/>
                  <w:divBdr>
                    <w:top w:val="none" w:sz="0" w:space="0" w:color="auto"/>
                    <w:left w:val="none" w:sz="0" w:space="0" w:color="auto"/>
                    <w:bottom w:val="none" w:sz="0" w:space="0" w:color="auto"/>
                    <w:right w:val="none" w:sz="0" w:space="0" w:color="auto"/>
                  </w:divBdr>
                  <w:divsChild>
                    <w:div w:id="1352294690">
                      <w:marLeft w:val="0"/>
                      <w:marRight w:val="0"/>
                      <w:marTop w:val="0"/>
                      <w:marBottom w:val="0"/>
                      <w:divBdr>
                        <w:top w:val="none" w:sz="0" w:space="0" w:color="auto"/>
                        <w:left w:val="none" w:sz="0" w:space="0" w:color="auto"/>
                        <w:bottom w:val="none" w:sz="0" w:space="0" w:color="auto"/>
                        <w:right w:val="none" w:sz="0" w:space="0" w:color="auto"/>
                      </w:divBdr>
                    </w:div>
                  </w:divsChild>
                </w:div>
                <w:div w:id="2062904764">
                  <w:marLeft w:val="0"/>
                  <w:marRight w:val="0"/>
                  <w:marTop w:val="0"/>
                  <w:marBottom w:val="0"/>
                  <w:divBdr>
                    <w:top w:val="none" w:sz="0" w:space="0" w:color="auto"/>
                    <w:left w:val="none" w:sz="0" w:space="0" w:color="auto"/>
                    <w:bottom w:val="none" w:sz="0" w:space="0" w:color="auto"/>
                    <w:right w:val="none" w:sz="0" w:space="0" w:color="auto"/>
                  </w:divBdr>
                  <w:divsChild>
                    <w:div w:id="2132942553">
                      <w:marLeft w:val="0"/>
                      <w:marRight w:val="0"/>
                      <w:marTop w:val="0"/>
                      <w:marBottom w:val="0"/>
                      <w:divBdr>
                        <w:top w:val="none" w:sz="0" w:space="0" w:color="auto"/>
                        <w:left w:val="none" w:sz="0" w:space="0" w:color="auto"/>
                        <w:bottom w:val="none" w:sz="0" w:space="0" w:color="auto"/>
                        <w:right w:val="none" w:sz="0" w:space="0" w:color="auto"/>
                      </w:divBdr>
                    </w:div>
                  </w:divsChild>
                </w:div>
                <w:div w:id="2075618908">
                  <w:marLeft w:val="0"/>
                  <w:marRight w:val="0"/>
                  <w:marTop w:val="0"/>
                  <w:marBottom w:val="0"/>
                  <w:divBdr>
                    <w:top w:val="none" w:sz="0" w:space="0" w:color="auto"/>
                    <w:left w:val="none" w:sz="0" w:space="0" w:color="auto"/>
                    <w:bottom w:val="none" w:sz="0" w:space="0" w:color="auto"/>
                    <w:right w:val="none" w:sz="0" w:space="0" w:color="auto"/>
                  </w:divBdr>
                  <w:divsChild>
                    <w:div w:id="1886984864">
                      <w:marLeft w:val="0"/>
                      <w:marRight w:val="0"/>
                      <w:marTop w:val="0"/>
                      <w:marBottom w:val="0"/>
                      <w:divBdr>
                        <w:top w:val="none" w:sz="0" w:space="0" w:color="auto"/>
                        <w:left w:val="none" w:sz="0" w:space="0" w:color="auto"/>
                        <w:bottom w:val="none" w:sz="0" w:space="0" w:color="auto"/>
                        <w:right w:val="none" w:sz="0" w:space="0" w:color="auto"/>
                      </w:divBdr>
                    </w:div>
                  </w:divsChild>
                </w:div>
                <w:div w:id="2081705716">
                  <w:marLeft w:val="0"/>
                  <w:marRight w:val="0"/>
                  <w:marTop w:val="0"/>
                  <w:marBottom w:val="0"/>
                  <w:divBdr>
                    <w:top w:val="none" w:sz="0" w:space="0" w:color="auto"/>
                    <w:left w:val="none" w:sz="0" w:space="0" w:color="auto"/>
                    <w:bottom w:val="none" w:sz="0" w:space="0" w:color="auto"/>
                    <w:right w:val="none" w:sz="0" w:space="0" w:color="auto"/>
                  </w:divBdr>
                  <w:divsChild>
                    <w:div w:id="1193422097">
                      <w:marLeft w:val="0"/>
                      <w:marRight w:val="0"/>
                      <w:marTop w:val="0"/>
                      <w:marBottom w:val="0"/>
                      <w:divBdr>
                        <w:top w:val="none" w:sz="0" w:space="0" w:color="auto"/>
                        <w:left w:val="none" w:sz="0" w:space="0" w:color="auto"/>
                        <w:bottom w:val="none" w:sz="0" w:space="0" w:color="auto"/>
                        <w:right w:val="none" w:sz="0" w:space="0" w:color="auto"/>
                      </w:divBdr>
                    </w:div>
                  </w:divsChild>
                </w:div>
                <w:div w:id="2081754827">
                  <w:marLeft w:val="0"/>
                  <w:marRight w:val="0"/>
                  <w:marTop w:val="0"/>
                  <w:marBottom w:val="0"/>
                  <w:divBdr>
                    <w:top w:val="none" w:sz="0" w:space="0" w:color="auto"/>
                    <w:left w:val="none" w:sz="0" w:space="0" w:color="auto"/>
                    <w:bottom w:val="none" w:sz="0" w:space="0" w:color="auto"/>
                    <w:right w:val="none" w:sz="0" w:space="0" w:color="auto"/>
                  </w:divBdr>
                  <w:divsChild>
                    <w:div w:id="1267736007">
                      <w:marLeft w:val="0"/>
                      <w:marRight w:val="0"/>
                      <w:marTop w:val="0"/>
                      <w:marBottom w:val="0"/>
                      <w:divBdr>
                        <w:top w:val="none" w:sz="0" w:space="0" w:color="auto"/>
                        <w:left w:val="none" w:sz="0" w:space="0" w:color="auto"/>
                        <w:bottom w:val="none" w:sz="0" w:space="0" w:color="auto"/>
                        <w:right w:val="none" w:sz="0" w:space="0" w:color="auto"/>
                      </w:divBdr>
                    </w:div>
                  </w:divsChild>
                </w:div>
                <w:div w:id="2084176177">
                  <w:marLeft w:val="0"/>
                  <w:marRight w:val="0"/>
                  <w:marTop w:val="0"/>
                  <w:marBottom w:val="0"/>
                  <w:divBdr>
                    <w:top w:val="none" w:sz="0" w:space="0" w:color="auto"/>
                    <w:left w:val="none" w:sz="0" w:space="0" w:color="auto"/>
                    <w:bottom w:val="none" w:sz="0" w:space="0" w:color="auto"/>
                    <w:right w:val="none" w:sz="0" w:space="0" w:color="auto"/>
                  </w:divBdr>
                  <w:divsChild>
                    <w:div w:id="542717882">
                      <w:marLeft w:val="0"/>
                      <w:marRight w:val="0"/>
                      <w:marTop w:val="0"/>
                      <w:marBottom w:val="0"/>
                      <w:divBdr>
                        <w:top w:val="none" w:sz="0" w:space="0" w:color="auto"/>
                        <w:left w:val="none" w:sz="0" w:space="0" w:color="auto"/>
                        <w:bottom w:val="none" w:sz="0" w:space="0" w:color="auto"/>
                        <w:right w:val="none" w:sz="0" w:space="0" w:color="auto"/>
                      </w:divBdr>
                    </w:div>
                  </w:divsChild>
                </w:div>
                <w:div w:id="2084250768">
                  <w:marLeft w:val="0"/>
                  <w:marRight w:val="0"/>
                  <w:marTop w:val="0"/>
                  <w:marBottom w:val="0"/>
                  <w:divBdr>
                    <w:top w:val="none" w:sz="0" w:space="0" w:color="auto"/>
                    <w:left w:val="none" w:sz="0" w:space="0" w:color="auto"/>
                    <w:bottom w:val="none" w:sz="0" w:space="0" w:color="auto"/>
                    <w:right w:val="none" w:sz="0" w:space="0" w:color="auto"/>
                  </w:divBdr>
                  <w:divsChild>
                    <w:div w:id="1402869037">
                      <w:marLeft w:val="0"/>
                      <w:marRight w:val="0"/>
                      <w:marTop w:val="0"/>
                      <w:marBottom w:val="0"/>
                      <w:divBdr>
                        <w:top w:val="none" w:sz="0" w:space="0" w:color="auto"/>
                        <w:left w:val="none" w:sz="0" w:space="0" w:color="auto"/>
                        <w:bottom w:val="none" w:sz="0" w:space="0" w:color="auto"/>
                        <w:right w:val="none" w:sz="0" w:space="0" w:color="auto"/>
                      </w:divBdr>
                    </w:div>
                  </w:divsChild>
                </w:div>
                <w:div w:id="2089230726">
                  <w:marLeft w:val="0"/>
                  <w:marRight w:val="0"/>
                  <w:marTop w:val="0"/>
                  <w:marBottom w:val="0"/>
                  <w:divBdr>
                    <w:top w:val="none" w:sz="0" w:space="0" w:color="auto"/>
                    <w:left w:val="none" w:sz="0" w:space="0" w:color="auto"/>
                    <w:bottom w:val="none" w:sz="0" w:space="0" w:color="auto"/>
                    <w:right w:val="none" w:sz="0" w:space="0" w:color="auto"/>
                  </w:divBdr>
                  <w:divsChild>
                    <w:div w:id="1296065406">
                      <w:marLeft w:val="0"/>
                      <w:marRight w:val="0"/>
                      <w:marTop w:val="0"/>
                      <w:marBottom w:val="0"/>
                      <w:divBdr>
                        <w:top w:val="none" w:sz="0" w:space="0" w:color="auto"/>
                        <w:left w:val="none" w:sz="0" w:space="0" w:color="auto"/>
                        <w:bottom w:val="none" w:sz="0" w:space="0" w:color="auto"/>
                        <w:right w:val="none" w:sz="0" w:space="0" w:color="auto"/>
                      </w:divBdr>
                    </w:div>
                  </w:divsChild>
                </w:div>
                <w:div w:id="2094541958">
                  <w:marLeft w:val="0"/>
                  <w:marRight w:val="0"/>
                  <w:marTop w:val="0"/>
                  <w:marBottom w:val="0"/>
                  <w:divBdr>
                    <w:top w:val="none" w:sz="0" w:space="0" w:color="auto"/>
                    <w:left w:val="none" w:sz="0" w:space="0" w:color="auto"/>
                    <w:bottom w:val="none" w:sz="0" w:space="0" w:color="auto"/>
                    <w:right w:val="none" w:sz="0" w:space="0" w:color="auto"/>
                  </w:divBdr>
                  <w:divsChild>
                    <w:div w:id="1446198683">
                      <w:marLeft w:val="0"/>
                      <w:marRight w:val="0"/>
                      <w:marTop w:val="0"/>
                      <w:marBottom w:val="0"/>
                      <w:divBdr>
                        <w:top w:val="none" w:sz="0" w:space="0" w:color="auto"/>
                        <w:left w:val="none" w:sz="0" w:space="0" w:color="auto"/>
                        <w:bottom w:val="none" w:sz="0" w:space="0" w:color="auto"/>
                        <w:right w:val="none" w:sz="0" w:space="0" w:color="auto"/>
                      </w:divBdr>
                    </w:div>
                  </w:divsChild>
                </w:div>
                <w:div w:id="2094668228">
                  <w:marLeft w:val="0"/>
                  <w:marRight w:val="0"/>
                  <w:marTop w:val="0"/>
                  <w:marBottom w:val="0"/>
                  <w:divBdr>
                    <w:top w:val="none" w:sz="0" w:space="0" w:color="auto"/>
                    <w:left w:val="none" w:sz="0" w:space="0" w:color="auto"/>
                    <w:bottom w:val="none" w:sz="0" w:space="0" w:color="auto"/>
                    <w:right w:val="none" w:sz="0" w:space="0" w:color="auto"/>
                  </w:divBdr>
                  <w:divsChild>
                    <w:div w:id="483274765">
                      <w:marLeft w:val="0"/>
                      <w:marRight w:val="0"/>
                      <w:marTop w:val="0"/>
                      <w:marBottom w:val="0"/>
                      <w:divBdr>
                        <w:top w:val="none" w:sz="0" w:space="0" w:color="auto"/>
                        <w:left w:val="none" w:sz="0" w:space="0" w:color="auto"/>
                        <w:bottom w:val="none" w:sz="0" w:space="0" w:color="auto"/>
                        <w:right w:val="none" w:sz="0" w:space="0" w:color="auto"/>
                      </w:divBdr>
                    </w:div>
                  </w:divsChild>
                </w:div>
                <w:div w:id="2104300070">
                  <w:marLeft w:val="0"/>
                  <w:marRight w:val="0"/>
                  <w:marTop w:val="0"/>
                  <w:marBottom w:val="0"/>
                  <w:divBdr>
                    <w:top w:val="none" w:sz="0" w:space="0" w:color="auto"/>
                    <w:left w:val="none" w:sz="0" w:space="0" w:color="auto"/>
                    <w:bottom w:val="none" w:sz="0" w:space="0" w:color="auto"/>
                    <w:right w:val="none" w:sz="0" w:space="0" w:color="auto"/>
                  </w:divBdr>
                  <w:divsChild>
                    <w:div w:id="364063563">
                      <w:marLeft w:val="0"/>
                      <w:marRight w:val="0"/>
                      <w:marTop w:val="0"/>
                      <w:marBottom w:val="0"/>
                      <w:divBdr>
                        <w:top w:val="none" w:sz="0" w:space="0" w:color="auto"/>
                        <w:left w:val="none" w:sz="0" w:space="0" w:color="auto"/>
                        <w:bottom w:val="none" w:sz="0" w:space="0" w:color="auto"/>
                        <w:right w:val="none" w:sz="0" w:space="0" w:color="auto"/>
                      </w:divBdr>
                    </w:div>
                  </w:divsChild>
                </w:div>
                <w:div w:id="2105956256">
                  <w:marLeft w:val="0"/>
                  <w:marRight w:val="0"/>
                  <w:marTop w:val="0"/>
                  <w:marBottom w:val="0"/>
                  <w:divBdr>
                    <w:top w:val="none" w:sz="0" w:space="0" w:color="auto"/>
                    <w:left w:val="none" w:sz="0" w:space="0" w:color="auto"/>
                    <w:bottom w:val="none" w:sz="0" w:space="0" w:color="auto"/>
                    <w:right w:val="none" w:sz="0" w:space="0" w:color="auto"/>
                  </w:divBdr>
                  <w:divsChild>
                    <w:div w:id="1655261572">
                      <w:marLeft w:val="0"/>
                      <w:marRight w:val="0"/>
                      <w:marTop w:val="0"/>
                      <w:marBottom w:val="0"/>
                      <w:divBdr>
                        <w:top w:val="none" w:sz="0" w:space="0" w:color="auto"/>
                        <w:left w:val="none" w:sz="0" w:space="0" w:color="auto"/>
                        <w:bottom w:val="none" w:sz="0" w:space="0" w:color="auto"/>
                        <w:right w:val="none" w:sz="0" w:space="0" w:color="auto"/>
                      </w:divBdr>
                    </w:div>
                  </w:divsChild>
                </w:div>
                <w:div w:id="2120907247">
                  <w:marLeft w:val="0"/>
                  <w:marRight w:val="0"/>
                  <w:marTop w:val="0"/>
                  <w:marBottom w:val="0"/>
                  <w:divBdr>
                    <w:top w:val="none" w:sz="0" w:space="0" w:color="auto"/>
                    <w:left w:val="none" w:sz="0" w:space="0" w:color="auto"/>
                    <w:bottom w:val="none" w:sz="0" w:space="0" w:color="auto"/>
                    <w:right w:val="none" w:sz="0" w:space="0" w:color="auto"/>
                  </w:divBdr>
                  <w:divsChild>
                    <w:div w:id="1010988744">
                      <w:marLeft w:val="0"/>
                      <w:marRight w:val="0"/>
                      <w:marTop w:val="0"/>
                      <w:marBottom w:val="0"/>
                      <w:divBdr>
                        <w:top w:val="none" w:sz="0" w:space="0" w:color="auto"/>
                        <w:left w:val="none" w:sz="0" w:space="0" w:color="auto"/>
                        <w:bottom w:val="none" w:sz="0" w:space="0" w:color="auto"/>
                        <w:right w:val="none" w:sz="0" w:space="0" w:color="auto"/>
                      </w:divBdr>
                    </w:div>
                  </w:divsChild>
                </w:div>
                <w:div w:id="2120952925">
                  <w:marLeft w:val="0"/>
                  <w:marRight w:val="0"/>
                  <w:marTop w:val="0"/>
                  <w:marBottom w:val="0"/>
                  <w:divBdr>
                    <w:top w:val="none" w:sz="0" w:space="0" w:color="auto"/>
                    <w:left w:val="none" w:sz="0" w:space="0" w:color="auto"/>
                    <w:bottom w:val="none" w:sz="0" w:space="0" w:color="auto"/>
                    <w:right w:val="none" w:sz="0" w:space="0" w:color="auto"/>
                  </w:divBdr>
                  <w:divsChild>
                    <w:div w:id="794642884">
                      <w:marLeft w:val="0"/>
                      <w:marRight w:val="0"/>
                      <w:marTop w:val="0"/>
                      <w:marBottom w:val="0"/>
                      <w:divBdr>
                        <w:top w:val="none" w:sz="0" w:space="0" w:color="auto"/>
                        <w:left w:val="none" w:sz="0" w:space="0" w:color="auto"/>
                        <w:bottom w:val="none" w:sz="0" w:space="0" w:color="auto"/>
                        <w:right w:val="none" w:sz="0" w:space="0" w:color="auto"/>
                      </w:divBdr>
                    </w:div>
                  </w:divsChild>
                </w:div>
                <w:div w:id="2121803926">
                  <w:marLeft w:val="0"/>
                  <w:marRight w:val="0"/>
                  <w:marTop w:val="0"/>
                  <w:marBottom w:val="0"/>
                  <w:divBdr>
                    <w:top w:val="none" w:sz="0" w:space="0" w:color="auto"/>
                    <w:left w:val="none" w:sz="0" w:space="0" w:color="auto"/>
                    <w:bottom w:val="none" w:sz="0" w:space="0" w:color="auto"/>
                    <w:right w:val="none" w:sz="0" w:space="0" w:color="auto"/>
                  </w:divBdr>
                  <w:divsChild>
                    <w:div w:id="1496609903">
                      <w:marLeft w:val="0"/>
                      <w:marRight w:val="0"/>
                      <w:marTop w:val="0"/>
                      <w:marBottom w:val="0"/>
                      <w:divBdr>
                        <w:top w:val="none" w:sz="0" w:space="0" w:color="auto"/>
                        <w:left w:val="none" w:sz="0" w:space="0" w:color="auto"/>
                        <w:bottom w:val="none" w:sz="0" w:space="0" w:color="auto"/>
                        <w:right w:val="none" w:sz="0" w:space="0" w:color="auto"/>
                      </w:divBdr>
                    </w:div>
                  </w:divsChild>
                </w:div>
                <w:div w:id="2122725706">
                  <w:marLeft w:val="0"/>
                  <w:marRight w:val="0"/>
                  <w:marTop w:val="0"/>
                  <w:marBottom w:val="0"/>
                  <w:divBdr>
                    <w:top w:val="none" w:sz="0" w:space="0" w:color="auto"/>
                    <w:left w:val="none" w:sz="0" w:space="0" w:color="auto"/>
                    <w:bottom w:val="none" w:sz="0" w:space="0" w:color="auto"/>
                    <w:right w:val="none" w:sz="0" w:space="0" w:color="auto"/>
                  </w:divBdr>
                  <w:divsChild>
                    <w:div w:id="1300573107">
                      <w:marLeft w:val="0"/>
                      <w:marRight w:val="0"/>
                      <w:marTop w:val="0"/>
                      <w:marBottom w:val="0"/>
                      <w:divBdr>
                        <w:top w:val="none" w:sz="0" w:space="0" w:color="auto"/>
                        <w:left w:val="none" w:sz="0" w:space="0" w:color="auto"/>
                        <w:bottom w:val="none" w:sz="0" w:space="0" w:color="auto"/>
                        <w:right w:val="none" w:sz="0" w:space="0" w:color="auto"/>
                      </w:divBdr>
                    </w:div>
                  </w:divsChild>
                </w:div>
                <w:div w:id="2123448936">
                  <w:marLeft w:val="0"/>
                  <w:marRight w:val="0"/>
                  <w:marTop w:val="0"/>
                  <w:marBottom w:val="0"/>
                  <w:divBdr>
                    <w:top w:val="none" w:sz="0" w:space="0" w:color="auto"/>
                    <w:left w:val="none" w:sz="0" w:space="0" w:color="auto"/>
                    <w:bottom w:val="none" w:sz="0" w:space="0" w:color="auto"/>
                    <w:right w:val="none" w:sz="0" w:space="0" w:color="auto"/>
                  </w:divBdr>
                  <w:divsChild>
                    <w:div w:id="2101363693">
                      <w:marLeft w:val="0"/>
                      <w:marRight w:val="0"/>
                      <w:marTop w:val="0"/>
                      <w:marBottom w:val="0"/>
                      <w:divBdr>
                        <w:top w:val="none" w:sz="0" w:space="0" w:color="auto"/>
                        <w:left w:val="none" w:sz="0" w:space="0" w:color="auto"/>
                        <w:bottom w:val="none" w:sz="0" w:space="0" w:color="auto"/>
                        <w:right w:val="none" w:sz="0" w:space="0" w:color="auto"/>
                      </w:divBdr>
                    </w:div>
                  </w:divsChild>
                </w:div>
                <w:div w:id="2128964001">
                  <w:marLeft w:val="0"/>
                  <w:marRight w:val="0"/>
                  <w:marTop w:val="0"/>
                  <w:marBottom w:val="0"/>
                  <w:divBdr>
                    <w:top w:val="none" w:sz="0" w:space="0" w:color="auto"/>
                    <w:left w:val="none" w:sz="0" w:space="0" w:color="auto"/>
                    <w:bottom w:val="none" w:sz="0" w:space="0" w:color="auto"/>
                    <w:right w:val="none" w:sz="0" w:space="0" w:color="auto"/>
                  </w:divBdr>
                  <w:divsChild>
                    <w:div w:id="2092651235">
                      <w:marLeft w:val="0"/>
                      <w:marRight w:val="0"/>
                      <w:marTop w:val="0"/>
                      <w:marBottom w:val="0"/>
                      <w:divBdr>
                        <w:top w:val="none" w:sz="0" w:space="0" w:color="auto"/>
                        <w:left w:val="none" w:sz="0" w:space="0" w:color="auto"/>
                        <w:bottom w:val="none" w:sz="0" w:space="0" w:color="auto"/>
                        <w:right w:val="none" w:sz="0" w:space="0" w:color="auto"/>
                      </w:divBdr>
                    </w:div>
                  </w:divsChild>
                </w:div>
                <w:div w:id="2132748909">
                  <w:marLeft w:val="0"/>
                  <w:marRight w:val="0"/>
                  <w:marTop w:val="0"/>
                  <w:marBottom w:val="0"/>
                  <w:divBdr>
                    <w:top w:val="none" w:sz="0" w:space="0" w:color="auto"/>
                    <w:left w:val="none" w:sz="0" w:space="0" w:color="auto"/>
                    <w:bottom w:val="none" w:sz="0" w:space="0" w:color="auto"/>
                    <w:right w:val="none" w:sz="0" w:space="0" w:color="auto"/>
                  </w:divBdr>
                  <w:divsChild>
                    <w:div w:id="862669179">
                      <w:marLeft w:val="0"/>
                      <w:marRight w:val="0"/>
                      <w:marTop w:val="0"/>
                      <w:marBottom w:val="0"/>
                      <w:divBdr>
                        <w:top w:val="none" w:sz="0" w:space="0" w:color="auto"/>
                        <w:left w:val="none" w:sz="0" w:space="0" w:color="auto"/>
                        <w:bottom w:val="none" w:sz="0" w:space="0" w:color="auto"/>
                        <w:right w:val="none" w:sz="0" w:space="0" w:color="auto"/>
                      </w:divBdr>
                    </w:div>
                  </w:divsChild>
                </w:div>
                <w:div w:id="2133206559">
                  <w:marLeft w:val="0"/>
                  <w:marRight w:val="0"/>
                  <w:marTop w:val="0"/>
                  <w:marBottom w:val="0"/>
                  <w:divBdr>
                    <w:top w:val="none" w:sz="0" w:space="0" w:color="auto"/>
                    <w:left w:val="none" w:sz="0" w:space="0" w:color="auto"/>
                    <w:bottom w:val="none" w:sz="0" w:space="0" w:color="auto"/>
                    <w:right w:val="none" w:sz="0" w:space="0" w:color="auto"/>
                  </w:divBdr>
                  <w:divsChild>
                    <w:div w:id="1046027339">
                      <w:marLeft w:val="0"/>
                      <w:marRight w:val="0"/>
                      <w:marTop w:val="0"/>
                      <w:marBottom w:val="0"/>
                      <w:divBdr>
                        <w:top w:val="none" w:sz="0" w:space="0" w:color="auto"/>
                        <w:left w:val="none" w:sz="0" w:space="0" w:color="auto"/>
                        <w:bottom w:val="none" w:sz="0" w:space="0" w:color="auto"/>
                        <w:right w:val="none" w:sz="0" w:space="0" w:color="auto"/>
                      </w:divBdr>
                    </w:div>
                  </w:divsChild>
                </w:div>
                <w:div w:id="2133398376">
                  <w:marLeft w:val="0"/>
                  <w:marRight w:val="0"/>
                  <w:marTop w:val="0"/>
                  <w:marBottom w:val="0"/>
                  <w:divBdr>
                    <w:top w:val="none" w:sz="0" w:space="0" w:color="auto"/>
                    <w:left w:val="none" w:sz="0" w:space="0" w:color="auto"/>
                    <w:bottom w:val="none" w:sz="0" w:space="0" w:color="auto"/>
                    <w:right w:val="none" w:sz="0" w:space="0" w:color="auto"/>
                  </w:divBdr>
                  <w:divsChild>
                    <w:div w:id="574363526">
                      <w:marLeft w:val="0"/>
                      <w:marRight w:val="0"/>
                      <w:marTop w:val="0"/>
                      <w:marBottom w:val="0"/>
                      <w:divBdr>
                        <w:top w:val="none" w:sz="0" w:space="0" w:color="auto"/>
                        <w:left w:val="none" w:sz="0" w:space="0" w:color="auto"/>
                        <w:bottom w:val="none" w:sz="0" w:space="0" w:color="auto"/>
                        <w:right w:val="none" w:sz="0" w:space="0" w:color="auto"/>
                      </w:divBdr>
                    </w:div>
                  </w:divsChild>
                </w:div>
                <w:div w:id="2135129769">
                  <w:marLeft w:val="0"/>
                  <w:marRight w:val="0"/>
                  <w:marTop w:val="0"/>
                  <w:marBottom w:val="0"/>
                  <w:divBdr>
                    <w:top w:val="none" w:sz="0" w:space="0" w:color="auto"/>
                    <w:left w:val="none" w:sz="0" w:space="0" w:color="auto"/>
                    <w:bottom w:val="none" w:sz="0" w:space="0" w:color="auto"/>
                    <w:right w:val="none" w:sz="0" w:space="0" w:color="auto"/>
                  </w:divBdr>
                  <w:divsChild>
                    <w:div w:id="2048555667">
                      <w:marLeft w:val="0"/>
                      <w:marRight w:val="0"/>
                      <w:marTop w:val="0"/>
                      <w:marBottom w:val="0"/>
                      <w:divBdr>
                        <w:top w:val="none" w:sz="0" w:space="0" w:color="auto"/>
                        <w:left w:val="none" w:sz="0" w:space="0" w:color="auto"/>
                        <w:bottom w:val="none" w:sz="0" w:space="0" w:color="auto"/>
                        <w:right w:val="none" w:sz="0" w:space="0" w:color="auto"/>
                      </w:divBdr>
                    </w:div>
                  </w:divsChild>
                </w:div>
                <w:div w:id="2140223727">
                  <w:marLeft w:val="0"/>
                  <w:marRight w:val="0"/>
                  <w:marTop w:val="0"/>
                  <w:marBottom w:val="0"/>
                  <w:divBdr>
                    <w:top w:val="none" w:sz="0" w:space="0" w:color="auto"/>
                    <w:left w:val="none" w:sz="0" w:space="0" w:color="auto"/>
                    <w:bottom w:val="none" w:sz="0" w:space="0" w:color="auto"/>
                    <w:right w:val="none" w:sz="0" w:space="0" w:color="auto"/>
                  </w:divBdr>
                  <w:divsChild>
                    <w:div w:id="373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76784">
          <w:marLeft w:val="0"/>
          <w:marRight w:val="0"/>
          <w:marTop w:val="0"/>
          <w:marBottom w:val="0"/>
          <w:divBdr>
            <w:top w:val="none" w:sz="0" w:space="0" w:color="auto"/>
            <w:left w:val="none" w:sz="0" w:space="0" w:color="auto"/>
            <w:bottom w:val="none" w:sz="0" w:space="0" w:color="auto"/>
            <w:right w:val="none" w:sz="0" w:space="0" w:color="auto"/>
          </w:divBdr>
          <w:divsChild>
            <w:div w:id="836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0655">
      <w:bodyDiv w:val="1"/>
      <w:marLeft w:val="0"/>
      <w:marRight w:val="0"/>
      <w:marTop w:val="0"/>
      <w:marBottom w:val="0"/>
      <w:divBdr>
        <w:top w:val="none" w:sz="0" w:space="0" w:color="auto"/>
        <w:left w:val="none" w:sz="0" w:space="0" w:color="auto"/>
        <w:bottom w:val="none" w:sz="0" w:space="0" w:color="auto"/>
        <w:right w:val="none" w:sz="0" w:space="0" w:color="auto"/>
      </w:divBdr>
    </w:div>
    <w:div w:id="1324505545">
      <w:bodyDiv w:val="1"/>
      <w:marLeft w:val="0"/>
      <w:marRight w:val="0"/>
      <w:marTop w:val="0"/>
      <w:marBottom w:val="0"/>
      <w:divBdr>
        <w:top w:val="none" w:sz="0" w:space="0" w:color="auto"/>
        <w:left w:val="none" w:sz="0" w:space="0" w:color="auto"/>
        <w:bottom w:val="none" w:sz="0" w:space="0" w:color="auto"/>
        <w:right w:val="none" w:sz="0" w:space="0" w:color="auto"/>
      </w:divBdr>
    </w:div>
    <w:div w:id="1332106238">
      <w:bodyDiv w:val="1"/>
      <w:marLeft w:val="0"/>
      <w:marRight w:val="0"/>
      <w:marTop w:val="0"/>
      <w:marBottom w:val="0"/>
      <w:divBdr>
        <w:top w:val="none" w:sz="0" w:space="0" w:color="auto"/>
        <w:left w:val="none" w:sz="0" w:space="0" w:color="auto"/>
        <w:bottom w:val="none" w:sz="0" w:space="0" w:color="auto"/>
        <w:right w:val="none" w:sz="0" w:space="0" w:color="auto"/>
      </w:divBdr>
    </w:div>
    <w:div w:id="1332634643">
      <w:bodyDiv w:val="1"/>
      <w:marLeft w:val="0"/>
      <w:marRight w:val="0"/>
      <w:marTop w:val="0"/>
      <w:marBottom w:val="0"/>
      <w:divBdr>
        <w:top w:val="none" w:sz="0" w:space="0" w:color="auto"/>
        <w:left w:val="none" w:sz="0" w:space="0" w:color="auto"/>
        <w:bottom w:val="none" w:sz="0" w:space="0" w:color="auto"/>
        <w:right w:val="none" w:sz="0" w:space="0" w:color="auto"/>
      </w:divBdr>
    </w:div>
    <w:div w:id="1333290749">
      <w:bodyDiv w:val="1"/>
      <w:marLeft w:val="0"/>
      <w:marRight w:val="0"/>
      <w:marTop w:val="0"/>
      <w:marBottom w:val="0"/>
      <w:divBdr>
        <w:top w:val="none" w:sz="0" w:space="0" w:color="auto"/>
        <w:left w:val="none" w:sz="0" w:space="0" w:color="auto"/>
        <w:bottom w:val="none" w:sz="0" w:space="0" w:color="auto"/>
        <w:right w:val="none" w:sz="0" w:space="0" w:color="auto"/>
      </w:divBdr>
    </w:div>
    <w:div w:id="1335255881">
      <w:bodyDiv w:val="1"/>
      <w:marLeft w:val="0"/>
      <w:marRight w:val="0"/>
      <w:marTop w:val="0"/>
      <w:marBottom w:val="0"/>
      <w:divBdr>
        <w:top w:val="none" w:sz="0" w:space="0" w:color="auto"/>
        <w:left w:val="none" w:sz="0" w:space="0" w:color="auto"/>
        <w:bottom w:val="none" w:sz="0" w:space="0" w:color="auto"/>
        <w:right w:val="none" w:sz="0" w:space="0" w:color="auto"/>
      </w:divBdr>
    </w:div>
    <w:div w:id="1336691016">
      <w:bodyDiv w:val="1"/>
      <w:marLeft w:val="0"/>
      <w:marRight w:val="0"/>
      <w:marTop w:val="0"/>
      <w:marBottom w:val="0"/>
      <w:divBdr>
        <w:top w:val="none" w:sz="0" w:space="0" w:color="auto"/>
        <w:left w:val="none" w:sz="0" w:space="0" w:color="auto"/>
        <w:bottom w:val="none" w:sz="0" w:space="0" w:color="auto"/>
        <w:right w:val="none" w:sz="0" w:space="0" w:color="auto"/>
      </w:divBdr>
    </w:div>
    <w:div w:id="1337149273">
      <w:bodyDiv w:val="1"/>
      <w:marLeft w:val="0"/>
      <w:marRight w:val="0"/>
      <w:marTop w:val="0"/>
      <w:marBottom w:val="0"/>
      <w:divBdr>
        <w:top w:val="none" w:sz="0" w:space="0" w:color="auto"/>
        <w:left w:val="none" w:sz="0" w:space="0" w:color="auto"/>
        <w:bottom w:val="none" w:sz="0" w:space="0" w:color="auto"/>
        <w:right w:val="none" w:sz="0" w:space="0" w:color="auto"/>
      </w:divBdr>
    </w:div>
    <w:div w:id="1337998010">
      <w:bodyDiv w:val="1"/>
      <w:marLeft w:val="0"/>
      <w:marRight w:val="0"/>
      <w:marTop w:val="0"/>
      <w:marBottom w:val="0"/>
      <w:divBdr>
        <w:top w:val="none" w:sz="0" w:space="0" w:color="auto"/>
        <w:left w:val="none" w:sz="0" w:space="0" w:color="auto"/>
        <w:bottom w:val="none" w:sz="0" w:space="0" w:color="auto"/>
        <w:right w:val="none" w:sz="0" w:space="0" w:color="auto"/>
      </w:divBdr>
    </w:div>
    <w:div w:id="1338848566">
      <w:bodyDiv w:val="1"/>
      <w:marLeft w:val="0"/>
      <w:marRight w:val="0"/>
      <w:marTop w:val="0"/>
      <w:marBottom w:val="0"/>
      <w:divBdr>
        <w:top w:val="none" w:sz="0" w:space="0" w:color="auto"/>
        <w:left w:val="none" w:sz="0" w:space="0" w:color="auto"/>
        <w:bottom w:val="none" w:sz="0" w:space="0" w:color="auto"/>
        <w:right w:val="none" w:sz="0" w:space="0" w:color="auto"/>
      </w:divBdr>
    </w:div>
    <w:div w:id="1339045756">
      <w:bodyDiv w:val="1"/>
      <w:marLeft w:val="0"/>
      <w:marRight w:val="0"/>
      <w:marTop w:val="0"/>
      <w:marBottom w:val="0"/>
      <w:divBdr>
        <w:top w:val="none" w:sz="0" w:space="0" w:color="auto"/>
        <w:left w:val="none" w:sz="0" w:space="0" w:color="auto"/>
        <w:bottom w:val="none" w:sz="0" w:space="0" w:color="auto"/>
        <w:right w:val="none" w:sz="0" w:space="0" w:color="auto"/>
      </w:divBdr>
    </w:div>
    <w:div w:id="1341079310">
      <w:bodyDiv w:val="1"/>
      <w:marLeft w:val="0"/>
      <w:marRight w:val="0"/>
      <w:marTop w:val="0"/>
      <w:marBottom w:val="0"/>
      <w:divBdr>
        <w:top w:val="none" w:sz="0" w:space="0" w:color="auto"/>
        <w:left w:val="none" w:sz="0" w:space="0" w:color="auto"/>
        <w:bottom w:val="none" w:sz="0" w:space="0" w:color="auto"/>
        <w:right w:val="none" w:sz="0" w:space="0" w:color="auto"/>
      </w:divBdr>
    </w:div>
    <w:div w:id="1341158267">
      <w:bodyDiv w:val="1"/>
      <w:marLeft w:val="0"/>
      <w:marRight w:val="0"/>
      <w:marTop w:val="0"/>
      <w:marBottom w:val="0"/>
      <w:divBdr>
        <w:top w:val="none" w:sz="0" w:space="0" w:color="auto"/>
        <w:left w:val="none" w:sz="0" w:space="0" w:color="auto"/>
        <w:bottom w:val="none" w:sz="0" w:space="0" w:color="auto"/>
        <w:right w:val="none" w:sz="0" w:space="0" w:color="auto"/>
      </w:divBdr>
    </w:div>
    <w:div w:id="1343359870">
      <w:bodyDiv w:val="1"/>
      <w:marLeft w:val="0"/>
      <w:marRight w:val="0"/>
      <w:marTop w:val="0"/>
      <w:marBottom w:val="0"/>
      <w:divBdr>
        <w:top w:val="none" w:sz="0" w:space="0" w:color="auto"/>
        <w:left w:val="none" w:sz="0" w:space="0" w:color="auto"/>
        <w:bottom w:val="none" w:sz="0" w:space="0" w:color="auto"/>
        <w:right w:val="none" w:sz="0" w:space="0" w:color="auto"/>
      </w:divBdr>
    </w:div>
    <w:div w:id="1349723130">
      <w:bodyDiv w:val="1"/>
      <w:marLeft w:val="0"/>
      <w:marRight w:val="0"/>
      <w:marTop w:val="0"/>
      <w:marBottom w:val="0"/>
      <w:divBdr>
        <w:top w:val="none" w:sz="0" w:space="0" w:color="auto"/>
        <w:left w:val="none" w:sz="0" w:space="0" w:color="auto"/>
        <w:bottom w:val="none" w:sz="0" w:space="0" w:color="auto"/>
        <w:right w:val="none" w:sz="0" w:space="0" w:color="auto"/>
      </w:divBdr>
    </w:div>
    <w:div w:id="1353190019">
      <w:bodyDiv w:val="1"/>
      <w:marLeft w:val="0"/>
      <w:marRight w:val="0"/>
      <w:marTop w:val="0"/>
      <w:marBottom w:val="0"/>
      <w:divBdr>
        <w:top w:val="none" w:sz="0" w:space="0" w:color="auto"/>
        <w:left w:val="none" w:sz="0" w:space="0" w:color="auto"/>
        <w:bottom w:val="none" w:sz="0" w:space="0" w:color="auto"/>
        <w:right w:val="none" w:sz="0" w:space="0" w:color="auto"/>
      </w:divBdr>
    </w:div>
    <w:div w:id="1356034174">
      <w:bodyDiv w:val="1"/>
      <w:marLeft w:val="0"/>
      <w:marRight w:val="0"/>
      <w:marTop w:val="0"/>
      <w:marBottom w:val="0"/>
      <w:divBdr>
        <w:top w:val="none" w:sz="0" w:space="0" w:color="auto"/>
        <w:left w:val="none" w:sz="0" w:space="0" w:color="auto"/>
        <w:bottom w:val="none" w:sz="0" w:space="0" w:color="auto"/>
        <w:right w:val="none" w:sz="0" w:space="0" w:color="auto"/>
      </w:divBdr>
    </w:div>
    <w:div w:id="1357000834">
      <w:bodyDiv w:val="1"/>
      <w:marLeft w:val="0"/>
      <w:marRight w:val="0"/>
      <w:marTop w:val="0"/>
      <w:marBottom w:val="0"/>
      <w:divBdr>
        <w:top w:val="none" w:sz="0" w:space="0" w:color="auto"/>
        <w:left w:val="none" w:sz="0" w:space="0" w:color="auto"/>
        <w:bottom w:val="none" w:sz="0" w:space="0" w:color="auto"/>
        <w:right w:val="none" w:sz="0" w:space="0" w:color="auto"/>
      </w:divBdr>
    </w:div>
    <w:div w:id="1357536926">
      <w:bodyDiv w:val="1"/>
      <w:marLeft w:val="0"/>
      <w:marRight w:val="0"/>
      <w:marTop w:val="0"/>
      <w:marBottom w:val="0"/>
      <w:divBdr>
        <w:top w:val="none" w:sz="0" w:space="0" w:color="auto"/>
        <w:left w:val="none" w:sz="0" w:space="0" w:color="auto"/>
        <w:bottom w:val="none" w:sz="0" w:space="0" w:color="auto"/>
        <w:right w:val="none" w:sz="0" w:space="0" w:color="auto"/>
      </w:divBdr>
    </w:div>
    <w:div w:id="1358891074">
      <w:bodyDiv w:val="1"/>
      <w:marLeft w:val="0"/>
      <w:marRight w:val="0"/>
      <w:marTop w:val="0"/>
      <w:marBottom w:val="0"/>
      <w:divBdr>
        <w:top w:val="none" w:sz="0" w:space="0" w:color="auto"/>
        <w:left w:val="none" w:sz="0" w:space="0" w:color="auto"/>
        <w:bottom w:val="none" w:sz="0" w:space="0" w:color="auto"/>
        <w:right w:val="none" w:sz="0" w:space="0" w:color="auto"/>
      </w:divBdr>
    </w:div>
    <w:div w:id="1359086352">
      <w:bodyDiv w:val="1"/>
      <w:marLeft w:val="0"/>
      <w:marRight w:val="0"/>
      <w:marTop w:val="0"/>
      <w:marBottom w:val="0"/>
      <w:divBdr>
        <w:top w:val="none" w:sz="0" w:space="0" w:color="auto"/>
        <w:left w:val="none" w:sz="0" w:space="0" w:color="auto"/>
        <w:bottom w:val="none" w:sz="0" w:space="0" w:color="auto"/>
        <w:right w:val="none" w:sz="0" w:space="0" w:color="auto"/>
      </w:divBdr>
    </w:div>
    <w:div w:id="1360542696">
      <w:bodyDiv w:val="1"/>
      <w:marLeft w:val="0"/>
      <w:marRight w:val="0"/>
      <w:marTop w:val="0"/>
      <w:marBottom w:val="0"/>
      <w:divBdr>
        <w:top w:val="none" w:sz="0" w:space="0" w:color="auto"/>
        <w:left w:val="none" w:sz="0" w:space="0" w:color="auto"/>
        <w:bottom w:val="none" w:sz="0" w:space="0" w:color="auto"/>
        <w:right w:val="none" w:sz="0" w:space="0" w:color="auto"/>
      </w:divBdr>
    </w:div>
    <w:div w:id="1361593181">
      <w:bodyDiv w:val="1"/>
      <w:marLeft w:val="0"/>
      <w:marRight w:val="0"/>
      <w:marTop w:val="0"/>
      <w:marBottom w:val="0"/>
      <w:divBdr>
        <w:top w:val="none" w:sz="0" w:space="0" w:color="auto"/>
        <w:left w:val="none" w:sz="0" w:space="0" w:color="auto"/>
        <w:bottom w:val="none" w:sz="0" w:space="0" w:color="auto"/>
        <w:right w:val="none" w:sz="0" w:space="0" w:color="auto"/>
      </w:divBdr>
    </w:div>
    <w:div w:id="1363507198">
      <w:bodyDiv w:val="1"/>
      <w:marLeft w:val="0"/>
      <w:marRight w:val="0"/>
      <w:marTop w:val="0"/>
      <w:marBottom w:val="0"/>
      <w:divBdr>
        <w:top w:val="none" w:sz="0" w:space="0" w:color="auto"/>
        <w:left w:val="none" w:sz="0" w:space="0" w:color="auto"/>
        <w:bottom w:val="none" w:sz="0" w:space="0" w:color="auto"/>
        <w:right w:val="none" w:sz="0" w:space="0" w:color="auto"/>
      </w:divBdr>
    </w:div>
    <w:div w:id="1363744355">
      <w:bodyDiv w:val="1"/>
      <w:marLeft w:val="0"/>
      <w:marRight w:val="0"/>
      <w:marTop w:val="0"/>
      <w:marBottom w:val="0"/>
      <w:divBdr>
        <w:top w:val="none" w:sz="0" w:space="0" w:color="auto"/>
        <w:left w:val="none" w:sz="0" w:space="0" w:color="auto"/>
        <w:bottom w:val="none" w:sz="0" w:space="0" w:color="auto"/>
        <w:right w:val="none" w:sz="0" w:space="0" w:color="auto"/>
      </w:divBdr>
    </w:div>
    <w:div w:id="1366444395">
      <w:bodyDiv w:val="1"/>
      <w:marLeft w:val="0"/>
      <w:marRight w:val="0"/>
      <w:marTop w:val="0"/>
      <w:marBottom w:val="0"/>
      <w:divBdr>
        <w:top w:val="none" w:sz="0" w:space="0" w:color="auto"/>
        <w:left w:val="none" w:sz="0" w:space="0" w:color="auto"/>
        <w:bottom w:val="none" w:sz="0" w:space="0" w:color="auto"/>
        <w:right w:val="none" w:sz="0" w:space="0" w:color="auto"/>
      </w:divBdr>
    </w:div>
    <w:div w:id="1367103246">
      <w:bodyDiv w:val="1"/>
      <w:marLeft w:val="0"/>
      <w:marRight w:val="0"/>
      <w:marTop w:val="0"/>
      <w:marBottom w:val="0"/>
      <w:divBdr>
        <w:top w:val="none" w:sz="0" w:space="0" w:color="auto"/>
        <w:left w:val="none" w:sz="0" w:space="0" w:color="auto"/>
        <w:bottom w:val="none" w:sz="0" w:space="0" w:color="auto"/>
        <w:right w:val="none" w:sz="0" w:space="0" w:color="auto"/>
      </w:divBdr>
    </w:div>
    <w:div w:id="1367290856">
      <w:bodyDiv w:val="1"/>
      <w:marLeft w:val="0"/>
      <w:marRight w:val="0"/>
      <w:marTop w:val="0"/>
      <w:marBottom w:val="0"/>
      <w:divBdr>
        <w:top w:val="none" w:sz="0" w:space="0" w:color="auto"/>
        <w:left w:val="none" w:sz="0" w:space="0" w:color="auto"/>
        <w:bottom w:val="none" w:sz="0" w:space="0" w:color="auto"/>
        <w:right w:val="none" w:sz="0" w:space="0" w:color="auto"/>
      </w:divBdr>
    </w:div>
    <w:div w:id="1367675024">
      <w:bodyDiv w:val="1"/>
      <w:marLeft w:val="0"/>
      <w:marRight w:val="0"/>
      <w:marTop w:val="0"/>
      <w:marBottom w:val="0"/>
      <w:divBdr>
        <w:top w:val="none" w:sz="0" w:space="0" w:color="auto"/>
        <w:left w:val="none" w:sz="0" w:space="0" w:color="auto"/>
        <w:bottom w:val="none" w:sz="0" w:space="0" w:color="auto"/>
        <w:right w:val="none" w:sz="0" w:space="0" w:color="auto"/>
      </w:divBdr>
    </w:div>
    <w:div w:id="1369333068">
      <w:bodyDiv w:val="1"/>
      <w:marLeft w:val="0"/>
      <w:marRight w:val="0"/>
      <w:marTop w:val="0"/>
      <w:marBottom w:val="0"/>
      <w:divBdr>
        <w:top w:val="none" w:sz="0" w:space="0" w:color="auto"/>
        <w:left w:val="none" w:sz="0" w:space="0" w:color="auto"/>
        <w:bottom w:val="none" w:sz="0" w:space="0" w:color="auto"/>
        <w:right w:val="none" w:sz="0" w:space="0" w:color="auto"/>
      </w:divBdr>
    </w:div>
    <w:div w:id="1369725221">
      <w:bodyDiv w:val="1"/>
      <w:marLeft w:val="0"/>
      <w:marRight w:val="0"/>
      <w:marTop w:val="0"/>
      <w:marBottom w:val="0"/>
      <w:divBdr>
        <w:top w:val="none" w:sz="0" w:space="0" w:color="auto"/>
        <w:left w:val="none" w:sz="0" w:space="0" w:color="auto"/>
        <w:bottom w:val="none" w:sz="0" w:space="0" w:color="auto"/>
        <w:right w:val="none" w:sz="0" w:space="0" w:color="auto"/>
      </w:divBdr>
    </w:div>
    <w:div w:id="1369836592">
      <w:bodyDiv w:val="1"/>
      <w:marLeft w:val="0"/>
      <w:marRight w:val="0"/>
      <w:marTop w:val="0"/>
      <w:marBottom w:val="0"/>
      <w:divBdr>
        <w:top w:val="none" w:sz="0" w:space="0" w:color="auto"/>
        <w:left w:val="none" w:sz="0" w:space="0" w:color="auto"/>
        <w:bottom w:val="none" w:sz="0" w:space="0" w:color="auto"/>
        <w:right w:val="none" w:sz="0" w:space="0" w:color="auto"/>
      </w:divBdr>
    </w:div>
    <w:div w:id="1370449181">
      <w:bodyDiv w:val="1"/>
      <w:marLeft w:val="0"/>
      <w:marRight w:val="0"/>
      <w:marTop w:val="0"/>
      <w:marBottom w:val="0"/>
      <w:divBdr>
        <w:top w:val="none" w:sz="0" w:space="0" w:color="auto"/>
        <w:left w:val="none" w:sz="0" w:space="0" w:color="auto"/>
        <w:bottom w:val="none" w:sz="0" w:space="0" w:color="auto"/>
        <w:right w:val="none" w:sz="0" w:space="0" w:color="auto"/>
      </w:divBdr>
    </w:div>
    <w:div w:id="1372263398">
      <w:bodyDiv w:val="1"/>
      <w:marLeft w:val="0"/>
      <w:marRight w:val="0"/>
      <w:marTop w:val="0"/>
      <w:marBottom w:val="0"/>
      <w:divBdr>
        <w:top w:val="none" w:sz="0" w:space="0" w:color="auto"/>
        <w:left w:val="none" w:sz="0" w:space="0" w:color="auto"/>
        <w:bottom w:val="none" w:sz="0" w:space="0" w:color="auto"/>
        <w:right w:val="none" w:sz="0" w:space="0" w:color="auto"/>
      </w:divBdr>
    </w:div>
    <w:div w:id="1373460515">
      <w:bodyDiv w:val="1"/>
      <w:marLeft w:val="0"/>
      <w:marRight w:val="0"/>
      <w:marTop w:val="0"/>
      <w:marBottom w:val="0"/>
      <w:divBdr>
        <w:top w:val="none" w:sz="0" w:space="0" w:color="auto"/>
        <w:left w:val="none" w:sz="0" w:space="0" w:color="auto"/>
        <w:bottom w:val="none" w:sz="0" w:space="0" w:color="auto"/>
        <w:right w:val="none" w:sz="0" w:space="0" w:color="auto"/>
      </w:divBdr>
    </w:div>
    <w:div w:id="1375933440">
      <w:bodyDiv w:val="1"/>
      <w:marLeft w:val="0"/>
      <w:marRight w:val="0"/>
      <w:marTop w:val="0"/>
      <w:marBottom w:val="0"/>
      <w:divBdr>
        <w:top w:val="none" w:sz="0" w:space="0" w:color="auto"/>
        <w:left w:val="none" w:sz="0" w:space="0" w:color="auto"/>
        <w:bottom w:val="none" w:sz="0" w:space="0" w:color="auto"/>
        <w:right w:val="none" w:sz="0" w:space="0" w:color="auto"/>
      </w:divBdr>
    </w:div>
    <w:div w:id="1379207711">
      <w:bodyDiv w:val="1"/>
      <w:marLeft w:val="0"/>
      <w:marRight w:val="0"/>
      <w:marTop w:val="0"/>
      <w:marBottom w:val="0"/>
      <w:divBdr>
        <w:top w:val="none" w:sz="0" w:space="0" w:color="auto"/>
        <w:left w:val="none" w:sz="0" w:space="0" w:color="auto"/>
        <w:bottom w:val="none" w:sz="0" w:space="0" w:color="auto"/>
        <w:right w:val="none" w:sz="0" w:space="0" w:color="auto"/>
      </w:divBdr>
    </w:div>
    <w:div w:id="1380592174">
      <w:bodyDiv w:val="1"/>
      <w:marLeft w:val="0"/>
      <w:marRight w:val="0"/>
      <w:marTop w:val="0"/>
      <w:marBottom w:val="0"/>
      <w:divBdr>
        <w:top w:val="none" w:sz="0" w:space="0" w:color="auto"/>
        <w:left w:val="none" w:sz="0" w:space="0" w:color="auto"/>
        <w:bottom w:val="none" w:sz="0" w:space="0" w:color="auto"/>
        <w:right w:val="none" w:sz="0" w:space="0" w:color="auto"/>
      </w:divBdr>
    </w:div>
    <w:div w:id="1380936182">
      <w:bodyDiv w:val="1"/>
      <w:marLeft w:val="0"/>
      <w:marRight w:val="0"/>
      <w:marTop w:val="0"/>
      <w:marBottom w:val="0"/>
      <w:divBdr>
        <w:top w:val="none" w:sz="0" w:space="0" w:color="auto"/>
        <w:left w:val="none" w:sz="0" w:space="0" w:color="auto"/>
        <w:bottom w:val="none" w:sz="0" w:space="0" w:color="auto"/>
        <w:right w:val="none" w:sz="0" w:space="0" w:color="auto"/>
      </w:divBdr>
    </w:div>
    <w:div w:id="1380975961">
      <w:bodyDiv w:val="1"/>
      <w:marLeft w:val="0"/>
      <w:marRight w:val="0"/>
      <w:marTop w:val="0"/>
      <w:marBottom w:val="0"/>
      <w:divBdr>
        <w:top w:val="none" w:sz="0" w:space="0" w:color="auto"/>
        <w:left w:val="none" w:sz="0" w:space="0" w:color="auto"/>
        <w:bottom w:val="none" w:sz="0" w:space="0" w:color="auto"/>
        <w:right w:val="none" w:sz="0" w:space="0" w:color="auto"/>
      </w:divBdr>
    </w:div>
    <w:div w:id="1382823852">
      <w:bodyDiv w:val="1"/>
      <w:marLeft w:val="0"/>
      <w:marRight w:val="0"/>
      <w:marTop w:val="0"/>
      <w:marBottom w:val="0"/>
      <w:divBdr>
        <w:top w:val="none" w:sz="0" w:space="0" w:color="auto"/>
        <w:left w:val="none" w:sz="0" w:space="0" w:color="auto"/>
        <w:bottom w:val="none" w:sz="0" w:space="0" w:color="auto"/>
        <w:right w:val="none" w:sz="0" w:space="0" w:color="auto"/>
      </w:divBdr>
    </w:div>
    <w:div w:id="1383284772">
      <w:bodyDiv w:val="1"/>
      <w:marLeft w:val="0"/>
      <w:marRight w:val="0"/>
      <w:marTop w:val="0"/>
      <w:marBottom w:val="0"/>
      <w:divBdr>
        <w:top w:val="none" w:sz="0" w:space="0" w:color="auto"/>
        <w:left w:val="none" w:sz="0" w:space="0" w:color="auto"/>
        <w:bottom w:val="none" w:sz="0" w:space="0" w:color="auto"/>
        <w:right w:val="none" w:sz="0" w:space="0" w:color="auto"/>
      </w:divBdr>
    </w:div>
    <w:div w:id="1385907760">
      <w:bodyDiv w:val="1"/>
      <w:marLeft w:val="0"/>
      <w:marRight w:val="0"/>
      <w:marTop w:val="0"/>
      <w:marBottom w:val="0"/>
      <w:divBdr>
        <w:top w:val="none" w:sz="0" w:space="0" w:color="auto"/>
        <w:left w:val="none" w:sz="0" w:space="0" w:color="auto"/>
        <w:bottom w:val="none" w:sz="0" w:space="0" w:color="auto"/>
        <w:right w:val="none" w:sz="0" w:space="0" w:color="auto"/>
      </w:divBdr>
    </w:div>
    <w:div w:id="1386180424">
      <w:bodyDiv w:val="1"/>
      <w:marLeft w:val="0"/>
      <w:marRight w:val="0"/>
      <w:marTop w:val="0"/>
      <w:marBottom w:val="0"/>
      <w:divBdr>
        <w:top w:val="none" w:sz="0" w:space="0" w:color="auto"/>
        <w:left w:val="none" w:sz="0" w:space="0" w:color="auto"/>
        <w:bottom w:val="none" w:sz="0" w:space="0" w:color="auto"/>
        <w:right w:val="none" w:sz="0" w:space="0" w:color="auto"/>
      </w:divBdr>
    </w:div>
    <w:div w:id="1386877764">
      <w:bodyDiv w:val="1"/>
      <w:marLeft w:val="0"/>
      <w:marRight w:val="0"/>
      <w:marTop w:val="0"/>
      <w:marBottom w:val="0"/>
      <w:divBdr>
        <w:top w:val="none" w:sz="0" w:space="0" w:color="auto"/>
        <w:left w:val="none" w:sz="0" w:space="0" w:color="auto"/>
        <w:bottom w:val="none" w:sz="0" w:space="0" w:color="auto"/>
        <w:right w:val="none" w:sz="0" w:space="0" w:color="auto"/>
      </w:divBdr>
    </w:div>
    <w:div w:id="1388257055">
      <w:bodyDiv w:val="1"/>
      <w:marLeft w:val="0"/>
      <w:marRight w:val="0"/>
      <w:marTop w:val="0"/>
      <w:marBottom w:val="0"/>
      <w:divBdr>
        <w:top w:val="none" w:sz="0" w:space="0" w:color="auto"/>
        <w:left w:val="none" w:sz="0" w:space="0" w:color="auto"/>
        <w:bottom w:val="none" w:sz="0" w:space="0" w:color="auto"/>
        <w:right w:val="none" w:sz="0" w:space="0" w:color="auto"/>
      </w:divBdr>
    </w:div>
    <w:div w:id="1388527112">
      <w:bodyDiv w:val="1"/>
      <w:marLeft w:val="0"/>
      <w:marRight w:val="0"/>
      <w:marTop w:val="0"/>
      <w:marBottom w:val="0"/>
      <w:divBdr>
        <w:top w:val="none" w:sz="0" w:space="0" w:color="auto"/>
        <w:left w:val="none" w:sz="0" w:space="0" w:color="auto"/>
        <w:bottom w:val="none" w:sz="0" w:space="0" w:color="auto"/>
        <w:right w:val="none" w:sz="0" w:space="0" w:color="auto"/>
      </w:divBdr>
    </w:div>
    <w:div w:id="1388726595">
      <w:bodyDiv w:val="1"/>
      <w:marLeft w:val="0"/>
      <w:marRight w:val="0"/>
      <w:marTop w:val="0"/>
      <w:marBottom w:val="0"/>
      <w:divBdr>
        <w:top w:val="none" w:sz="0" w:space="0" w:color="auto"/>
        <w:left w:val="none" w:sz="0" w:space="0" w:color="auto"/>
        <w:bottom w:val="none" w:sz="0" w:space="0" w:color="auto"/>
        <w:right w:val="none" w:sz="0" w:space="0" w:color="auto"/>
      </w:divBdr>
    </w:div>
    <w:div w:id="1390374499">
      <w:bodyDiv w:val="1"/>
      <w:marLeft w:val="0"/>
      <w:marRight w:val="0"/>
      <w:marTop w:val="0"/>
      <w:marBottom w:val="0"/>
      <w:divBdr>
        <w:top w:val="none" w:sz="0" w:space="0" w:color="auto"/>
        <w:left w:val="none" w:sz="0" w:space="0" w:color="auto"/>
        <w:bottom w:val="none" w:sz="0" w:space="0" w:color="auto"/>
        <w:right w:val="none" w:sz="0" w:space="0" w:color="auto"/>
      </w:divBdr>
    </w:div>
    <w:div w:id="1392194208">
      <w:bodyDiv w:val="1"/>
      <w:marLeft w:val="0"/>
      <w:marRight w:val="0"/>
      <w:marTop w:val="0"/>
      <w:marBottom w:val="0"/>
      <w:divBdr>
        <w:top w:val="none" w:sz="0" w:space="0" w:color="auto"/>
        <w:left w:val="none" w:sz="0" w:space="0" w:color="auto"/>
        <w:bottom w:val="none" w:sz="0" w:space="0" w:color="auto"/>
        <w:right w:val="none" w:sz="0" w:space="0" w:color="auto"/>
      </w:divBdr>
    </w:div>
    <w:div w:id="1392458821">
      <w:bodyDiv w:val="1"/>
      <w:marLeft w:val="0"/>
      <w:marRight w:val="0"/>
      <w:marTop w:val="0"/>
      <w:marBottom w:val="0"/>
      <w:divBdr>
        <w:top w:val="none" w:sz="0" w:space="0" w:color="auto"/>
        <w:left w:val="none" w:sz="0" w:space="0" w:color="auto"/>
        <w:bottom w:val="none" w:sz="0" w:space="0" w:color="auto"/>
        <w:right w:val="none" w:sz="0" w:space="0" w:color="auto"/>
      </w:divBdr>
    </w:div>
    <w:div w:id="1393456622">
      <w:bodyDiv w:val="1"/>
      <w:marLeft w:val="0"/>
      <w:marRight w:val="0"/>
      <w:marTop w:val="0"/>
      <w:marBottom w:val="0"/>
      <w:divBdr>
        <w:top w:val="none" w:sz="0" w:space="0" w:color="auto"/>
        <w:left w:val="none" w:sz="0" w:space="0" w:color="auto"/>
        <w:bottom w:val="none" w:sz="0" w:space="0" w:color="auto"/>
        <w:right w:val="none" w:sz="0" w:space="0" w:color="auto"/>
      </w:divBdr>
    </w:div>
    <w:div w:id="1393890667">
      <w:bodyDiv w:val="1"/>
      <w:marLeft w:val="0"/>
      <w:marRight w:val="0"/>
      <w:marTop w:val="0"/>
      <w:marBottom w:val="0"/>
      <w:divBdr>
        <w:top w:val="none" w:sz="0" w:space="0" w:color="auto"/>
        <w:left w:val="none" w:sz="0" w:space="0" w:color="auto"/>
        <w:bottom w:val="none" w:sz="0" w:space="0" w:color="auto"/>
        <w:right w:val="none" w:sz="0" w:space="0" w:color="auto"/>
      </w:divBdr>
    </w:div>
    <w:div w:id="1398941314">
      <w:bodyDiv w:val="1"/>
      <w:marLeft w:val="0"/>
      <w:marRight w:val="0"/>
      <w:marTop w:val="0"/>
      <w:marBottom w:val="0"/>
      <w:divBdr>
        <w:top w:val="none" w:sz="0" w:space="0" w:color="auto"/>
        <w:left w:val="none" w:sz="0" w:space="0" w:color="auto"/>
        <w:bottom w:val="none" w:sz="0" w:space="0" w:color="auto"/>
        <w:right w:val="none" w:sz="0" w:space="0" w:color="auto"/>
      </w:divBdr>
    </w:div>
    <w:div w:id="1407458129">
      <w:bodyDiv w:val="1"/>
      <w:marLeft w:val="0"/>
      <w:marRight w:val="0"/>
      <w:marTop w:val="0"/>
      <w:marBottom w:val="0"/>
      <w:divBdr>
        <w:top w:val="none" w:sz="0" w:space="0" w:color="auto"/>
        <w:left w:val="none" w:sz="0" w:space="0" w:color="auto"/>
        <w:bottom w:val="none" w:sz="0" w:space="0" w:color="auto"/>
        <w:right w:val="none" w:sz="0" w:space="0" w:color="auto"/>
      </w:divBdr>
    </w:div>
    <w:div w:id="1408335378">
      <w:bodyDiv w:val="1"/>
      <w:marLeft w:val="0"/>
      <w:marRight w:val="0"/>
      <w:marTop w:val="0"/>
      <w:marBottom w:val="0"/>
      <w:divBdr>
        <w:top w:val="none" w:sz="0" w:space="0" w:color="auto"/>
        <w:left w:val="none" w:sz="0" w:space="0" w:color="auto"/>
        <w:bottom w:val="none" w:sz="0" w:space="0" w:color="auto"/>
        <w:right w:val="none" w:sz="0" w:space="0" w:color="auto"/>
      </w:divBdr>
    </w:div>
    <w:div w:id="1409230402">
      <w:bodyDiv w:val="1"/>
      <w:marLeft w:val="0"/>
      <w:marRight w:val="0"/>
      <w:marTop w:val="0"/>
      <w:marBottom w:val="0"/>
      <w:divBdr>
        <w:top w:val="none" w:sz="0" w:space="0" w:color="auto"/>
        <w:left w:val="none" w:sz="0" w:space="0" w:color="auto"/>
        <w:bottom w:val="none" w:sz="0" w:space="0" w:color="auto"/>
        <w:right w:val="none" w:sz="0" w:space="0" w:color="auto"/>
      </w:divBdr>
    </w:div>
    <w:div w:id="1410149748">
      <w:bodyDiv w:val="1"/>
      <w:marLeft w:val="0"/>
      <w:marRight w:val="0"/>
      <w:marTop w:val="0"/>
      <w:marBottom w:val="0"/>
      <w:divBdr>
        <w:top w:val="none" w:sz="0" w:space="0" w:color="auto"/>
        <w:left w:val="none" w:sz="0" w:space="0" w:color="auto"/>
        <w:bottom w:val="none" w:sz="0" w:space="0" w:color="auto"/>
        <w:right w:val="none" w:sz="0" w:space="0" w:color="auto"/>
      </w:divBdr>
    </w:div>
    <w:div w:id="1411004810">
      <w:bodyDiv w:val="1"/>
      <w:marLeft w:val="0"/>
      <w:marRight w:val="0"/>
      <w:marTop w:val="0"/>
      <w:marBottom w:val="0"/>
      <w:divBdr>
        <w:top w:val="none" w:sz="0" w:space="0" w:color="auto"/>
        <w:left w:val="none" w:sz="0" w:space="0" w:color="auto"/>
        <w:bottom w:val="none" w:sz="0" w:space="0" w:color="auto"/>
        <w:right w:val="none" w:sz="0" w:space="0" w:color="auto"/>
      </w:divBdr>
    </w:div>
    <w:div w:id="1414888183">
      <w:bodyDiv w:val="1"/>
      <w:marLeft w:val="0"/>
      <w:marRight w:val="0"/>
      <w:marTop w:val="0"/>
      <w:marBottom w:val="0"/>
      <w:divBdr>
        <w:top w:val="none" w:sz="0" w:space="0" w:color="auto"/>
        <w:left w:val="none" w:sz="0" w:space="0" w:color="auto"/>
        <w:bottom w:val="none" w:sz="0" w:space="0" w:color="auto"/>
        <w:right w:val="none" w:sz="0" w:space="0" w:color="auto"/>
      </w:divBdr>
    </w:div>
    <w:div w:id="1415475131">
      <w:bodyDiv w:val="1"/>
      <w:marLeft w:val="0"/>
      <w:marRight w:val="0"/>
      <w:marTop w:val="0"/>
      <w:marBottom w:val="0"/>
      <w:divBdr>
        <w:top w:val="none" w:sz="0" w:space="0" w:color="auto"/>
        <w:left w:val="none" w:sz="0" w:space="0" w:color="auto"/>
        <w:bottom w:val="none" w:sz="0" w:space="0" w:color="auto"/>
        <w:right w:val="none" w:sz="0" w:space="0" w:color="auto"/>
      </w:divBdr>
    </w:div>
    <w:div w:id="1416437488">
      <w:bodyDiv w:val="1"/>
      <w:marLeft w:val="0"/>
      <w:marRight w:val="0"/>
      <w:marTop w:val="0"/>
      <w:marBottom w:val="0"/>
      <w:divBdr>
        <w:top w:val="none" w:sz="0" w:space="0" w:color="auto"/>
        <w:left w:val="none" w:sz="0" w:space="0" w:color="auto"/>
        <w:bottom w:val="none" w:sz="0" w:space="0" w:color="auto"/>
        <w:right w:val="none" w:sz="0" w:space="0" w:color="auto"/>
      </w:divBdr>
    </w:div>
    <w:div w:id="1420129504">
      <w:bodyDiv w:val="1"/>
      <w:marLeft w:val="0"/>
      <w:marRight w:val="0"/>
      <w:marTop w:val="0"/>
      <w:marBottom w:val="0"/>
      <w:divBdr>
        <w:top w:val="none" w:sz="0" w:space="0" w:color="auto"/>
        <w:left w:val="none" w:sz="0" w:space="0" w:color="auto"/>
        <w:bottom w:val="none" w:sz="0" w:space="0" w:color="auto"/>
        <w:right w:val="none" w:sz="0" w:space="0" w:color="auto"/>
      </w:divBdr>
    </w:div>
    <w:div w:id="1420447140">
      <w:bodyDiv w:val="1"/>
      <w:marLeft w:val="0"/>
      <w:marRight w:val="0"/>
      <w:marTop w:val="0"/>
      <w:marBottom w:val="0"/>
      <w:divBdr>
        <w:top w:val="none" w:sz="0" w:space="0" w:color="auto"/>
        <w:left w:val="none" w:sz="0" w:space="0" w:color="auto"/>
        <w:bottom w:val="none" w:sz="0" w:space="0" w:color="auto"/>
        <w:right w:val="none" w:sz="0" w:space="0" w:color="auto"/>
      </w:divBdr>
    </w:div>
    <w:div w:id="1422139056">
      <w:bodyDiv w:val="1"/>
      <w:marLeft w:val="0"/>
      <w:marRight w:val="0"/>
      <w:marTop w:val="0"/>
      <w:marBottom w:val="0"/>
      <w:divBdr>
        <w:top w:val="none" w:sz="0" w:space="0" w:color="auto"/>
        <w:left w:val="none" w:sz="0" w:space="0" w:color="auto"/>
        <w:bottom w:val="none" w:sz="0" w:space="0" w:color="auto"/>
        <w:right w:val="none" w:sz="0" w:space="0" w:color="auto"/>
      </w:divBdr>
    </w:div>
    <w:div w:id="1422340003">
      <w:bodyDiv w:val="1"/>
      <w:marLeft w:val="0"/>
      <w:marRight w:val="0"/>
      <w:marTop w:val="0"/>
      <w:marBottom w:val="0"/>
      <w:divBdr>
        <w:top w:val="none" w:sz="0" w:space="0" w:color="auto"/>
        <w:left w:val="none" w:sz="0" w:space="0" w:color="auto"/>
        <w:bottom w:val="none" w:sz="0" w:space="0" w:color="auto"/>
        <w:right w:val="none" w:sz="0" w:space="0" w:color="auto"/>
      </w:divBdr>
    </w:div>
    <w:div w:id="1422679627">
      <w:bodyDiv w:val="1"/>
      <w:marLeft w:val="0"/>
      <w:marRight w:val="0"/>
      <w:marTop w:val="0"/>
      <w:marBottom w:val="0"/>
      <w:divBdr>
        <w:top w:val="none" w:sz="0" w:space="0" w:color="auto"/>
        <w:left w:val="none" w:sz="0" w:space="0" w:color="auto"/>
        <w:bottom w:val="none" w:sz="0" w:space="0" w:color="auto"/>
        <w:right w:val="none" w:sz="0" w:space="0" w:color="auto"/>
      </w:divBdr>
    </w:div>
    <w:div w:id="1424036914">
      <w:bodyDiv w:val="1"/>
      <w:marLeft w:val="0"/>
      <w:marRight w:val="0"/>
      <w:marTop w:val="0"/>
      <w:marBottom w:val="0"/>
      <w:divBdr>
        <w:top w:val="none" w:sz="0" w:space="0" w:color="auto"/>
        <w:left w:val="none" w:sz="0" w:space="0" w:color="auto"/>
        <w:bottom w:val="none" w:sz="0" w:space="0" w:color="auto"/>
        <w:right w:val="none" w:sz="0" w:space="0" w:color="auto"/>
      </w:divBdr>
    </w:div>
    <w:div w:id="1426145850">
      <w:bodyDiv w:val="1"/>
      <w:marLeft w:val="0"/>
      <w:marRight w:val="0"/>
      <w:marTop w:val="0"/>
      <w:marBottom w:val="0"/>
      <w:divBdr>
        <w:top w:val="none" w:sz="0" w:space="0" w:color="auto"/>
        <w:left w:val="none" w:sz="0" w:space="0" w:color="auto"/>
        <w:bottom w:val="none" w:sz="0" w:space="0" w:color="auto"/>
        <w:right w:val="none" w:sz="0" w:space="0" w:color="auto"/>
      </w:divBdr>
    </w:div>
    <w:div w:id="1426220492">
      <w:bodyDiv w:val="1"/>
      <w:marLeft w:val="0"/>
      <w:marRight w:val="0"/>
      <w:marTop w:val="0"/>
      <w:marBottom w:val="0"/>
      <w:divBdr>
        <w:top w:val="none" w:sz="0" w:space="0" w:color="auto"/>
        <w:left w:val="none" w:sz="0" w:space="0" w:color="auto"/>
        <w:bottom w:val="none" w:sz="0" w:space="0" w:color="auto"/>
        <w:right w:val="none" w:sz="0" w:space="0" w:color="auto"/>
      </w:divBdr>
    </w:div>
    <w:div w:id="1427654195">
      <w:bodyDiv w:val="1"/>
      <w:marLeft w:val="0"/>
      <w:marRight w:val="0"/>
      <w:marTop w:val="0"/>
      <w:marBottom w:val="0"/>
      <w:divBdr>
        <w:top w:val="none" w:sz="0" w:space="0" w:color="auto"/>
        <w:left w:val="none" w:sz="0" w:space="0" w:color="auto"/>
        <w:bottom w:val="none" w:sz="0" w:space="0" w:color="auto"/>
        <w:right w:val="none" w:sz="0" w:space="0" w:color="auto"/>
      </w:divBdr>
    </w:div>
    <w:div w:id="1428118695">
      <w:bodyDiv w:val="1"/>
      <w:marLeft w:val="0"/>
      <w:marRight w:val="0"/>
      <w:marTop w:val="0"/>
      <w:marBottom w:val="0"/>
      <w:divBdr>
        <w:top w:val="none" w:sz="0" w:space="0" w:color="auto"/>
        <w:left w:val="none" w:sz="0" w:space="0" w:color="auto"/>
        <w:bottom w:val="none" w:sz="0" w:space="0" w:color="auto"/>
        <w:right w:val="none" w:sz="0" w:space="0" w:color="auto"/>
      </w:divBdr>
    </w:div>
    <w:div w:id="1429427649">
      <w:bodyDiv w:val="1"/>
      <w:marLeft w:val="0"/>
      <w:marRight w:val="0"/>
      <w:marTop w:val="0"/>
      <w:marBottom w:val="0"/>
      <w:divBdr>
        <w:top w:val="none" w:sz="0" w:space="0" w:color="auto"/>
        <w:left w:val="none" w:sz="0" w:space="0" w:color="auto"/>
        <w:bottom w:val="none" w:sz="0" w:space="0" w:color="auto"/>
        <w:right w:val="none" w:sz="0" w:space="0" w:color="auto"/>
      </w:divBdr>
    </w:div>
    <w:div w:id="1432431762">
      <w:bodyDiv w:val="1"/>
      <w:marLeft w:val="0"/>
      <w:marRight w:val="0"/>
      <w:marTop w:val="0"/>
      <w:marBottom w:val="0"/>
      <w:divBdr>
        <w:top w:val="none" w:sz="0" w:space="0" w:color="auto"/>
        <w:left w:val="none" w:sz="0" w:space="0" w:color="auto"/>
        <w:bottom w:val="none" w:sz="0" w:space="0" w:color="auto"/>
        <w:right w:val="none" w:sz="0" w:space="0" w:color="auto"/>
      </w:divBdr>
    </w:div>
    <w:div w:id="1432505917">
      <w:bodyDiv w:val="1"/>
      <w:marLeft w:val="0"/>
      <w:marRight w:val="0"/>
      <w:marTop w:val="0"/>
      <w:marBottom w:val="0"/>
      <w:divBdr>
        <w:top w:val="none" w:sz="0" w:space="0" w:color="auto"/>
        <w:left w:val="none" w:sz="0" w:space="0" w:color="auto"/>
        <w:bottom w:val="none" w:sz="0" w:space="0" w:color="auto"/>
        <w:right w:val="none" w:sz="0" w:space="0" w:color="auto"/>
      </w:divBdr>
    </w:div>
    <w:div w:id="1434398346">
      <w:bodyDiv w:val="1"/>
      <w:marLeft w:val="0"/>
      <w:marRight w:val="0"/>
      <w:marTop w:val="0"/>
      <w:marBottom w:val="0"/>
      <w:divBdr>
        <w:top w:val="none" w:sz="0" w:space="0" w:color="auto"/>
        <w:left w:val="none" w:sz="0" w:space="0" w:color="auto"/>
        <w:bottom w:val="none" w:sz="0" w:space="0" w:color="auto"/>
        <w:right w:val="none" w:sz="0" w:space="0" w:color="auto"/>
      </w:divBdr>
    </w:div>
    <w:div w:id="1434672305">
      <w:bodyDiv w:val="1"/>
      <w:marLeft w:val="0"/>
      <w:marRight w:val="0"/>
      <w:marTop w:val="0"/>
      <w:marBottom w:val="0"/>
      <w:divBdr>
        <w:top w:val="none" w:sz="0" w:space="0" w:color="auto"/>
        <w:left w:val="none" w:sz="0" w:space="0" w:color="auto"/>
        <w:bottom w:val="none" w:sz="0" w:space="0" w:color="auto"/>
        <w:right w:val="none" w:sz="0" w:space="0" w:color="auto"/>
      </w:divBdr>
    </w:div>
    <w:div w:id="1435788396">
      <w:bodyDiv w:val="1"/>
      <w:marLeft w:val="0"/>
      <w:marRight w:val="0"/>
      <w:marTop w:val="0"/>
      <w:marBottom w:val="0"/>
      <w:divBdr>
        <w:top w:val="none" w:sz="0" w:space="0" w:color="auto"/>
        <w:left w:val="none" w:sz="0" w:space="0" w:color="auto"/>
        <w:bottom w:val="none" w:sz="0" w:space="0" w:color="auto"/>
        <w:right w:val="none" w:sz="0" w:space="0" w:color="auto"/>
      </w:divBdr>
    </w:div>
    <w:div w:id="1436705924">
      <w:bodyDiv w:val="1"/>
      <w:marLeft w:val="0"/>
      <w:marRight w:val="0"/>
      <w:marTop w:val="0"/>
      <w:marBottom w:val="0"/>
      <w:divBdr>
        <w:top w:val="none" w:sz="0" w:space="0" w:color="auto"/>
        <w:left w:val="none" w:sz="0" w:space="0" w:color="auto"/>
        <w:bottom w:val="none" w:sz="0" w:space="0" w:color="auto"/>
        <w:right w:val="none" w:sz="0" w:space="0" w:color="auto"/>
      </w:divBdr>
    </w:div>
    <w:div w:id="1437024562">
      <w:bodyDiv w:val="1"/>
      <w:marLeft w:val="0"/>
      <w:marRight w:val="0"/>
      <w:marTop w:val="0"/>
      <w:marBottom w:val="0"/>
      <w:divBdr>
        <w:top w:val="none" w:sz="0" w:space="0" w:color="auto"/>
        <w:left w:val="none" w:sz="0" w:space="0" w:color="auto"/>
        <w:bottom w:val="none" w:sz="0" w:space="0" w:color="auto"/>
        <w:right w:val="none" w:sz="0" w:space="0" w:color="auto"/>
      </w:divBdr>
    </w:div>
    <w:div w:id="1439716850">
      <w:bodyDiv w:val="1"/>
      <w:marLeft w:val="0"/>
      <w:marRight w:val="0"/>
      <w:marTop w:val="0"/>
      <w:marBottom w:val="0"/>
      <w:divBdr>
        <w:top w:val="none" w:sz="0" w:space="0" w:color="auto"/>
        <w:left w:val="none" w:sz="0" w:space="0" w:color="auto"/>
        <w:bottom w:val="none" w:sz="0" w:space="0" w:color="auto"/>
        <w:right w:val="none" w:sz="0" w:space="0" w:color="auto"/>
      </w:divBdr>
    </w:div>
    <w:div w:id="1440222916">
      <w:bodyDiv w:val="1"/>
      <w:marLeft w:val="0"/>
      <w:marRight w:val="0"/>
      <w:marTop w:val="0"/>
      <w:marBottom w:val="0"/>
      <w:divBdr>
        <w:top w:val="none" w:sz="0" w:space="0" w:color="auto"/>
        <w:left w:val="none" w:sz="0" w:space="0" w:color="auto"/>
        <w:bottom w:val="none" w:sz="0" w:space="0" w:color="auto"/>
        <w:right w:val="none" w:sz="0" w:space="0" w:color="auto"/>
      </w:divBdr>
    </w:div>
    <w:div w:id="1441798018">
      <w:bodyDiv w:val="1"/>
      <w:marLeft w:val="0"/>
      <w:marRight w:val="0"/>
      <w:marTop w:val="0"/>
      <w:marBottom w:val="0"/>
      <w:divBdr>
        <w:top w:val="none" w:sz="0" w:space="0" w:color="auto"/>
        <w:left w:val="none" w:sz="0" w:space="0" w:color="auto"/>
        <w:bottom w:val="none" w:sz="0" w:space="0" w:color="auto"/>
        <w:right w:val="none" w:sz="0" w:space="0" w:color="auto"/>
      </w:divBdr>
    </w:div>
    <w:div w:id="1442338067">
      <w:bodyDiv w:val="1"/>
      <w:marLeft w:val="0"/>
      <w:marRight w:val="0"/>
      <w:marTop w:val="0"/>
      <w:marBottom w:val="0"/>
      <w:divBdr>
        <w:top w:val="none" w:sz="0" w:space="0" w:color="auto"/>
        <w:left w:val="none" w:sz="0" w:space="0" w:color="auto"/>
        <w:bottom w:val="none" w:sz="0" w:space="0" w:color="auto"/>
        <w:right w:val="none" w:sz="0" w:space="0" w:color="auto"/>
      </w:divBdr>
    </w:div>
    <w:div w:id="1446462285">
      <w:bodyDiv w:val="1"/>
      <w:marLeft w:val="0"/>
      <w:marRight w:val="0"/>
      <w:marTop w:val="0"/>
      <w:marBottom w:val="0"/>
      <w:divBdr>
        <w:top w:val="none" w:sz="0" w:space="0" w:color="auto"/>
        <w:left w:val="none" w:sz="0" w:space="0" w:color="auto"/>
        <w:bottom w:val="none" w:sz="0" w:space="0" w:color="auto"/>
        <w:right w:val="none" w:sz="0" w:space="0" w:color="auto"/>
      </w:divBdr>
    </w:div>
    <w:div w:id="1448312412">
      <w:bodyDiv w:val="1"/>
      <w:marLeft w:val="0"/>
      <w:marRight w:val="0"/>
      <w:marTop w:val="0"/>
      <w:marBottom w:val="0"/>
      <w:divBdr>
        <w:top w:val="none" w:sz="0" w:space="0" w:color="auto"/>
        <w:left w:val="none" w:sz="0" w:space="0" w:color="auto"/>
        <w:bottom w:val="none" w:sz="0" w:space="0" w:color="auto"/>
        <w:right w:val="none" w:sz="0" w:space="0" w:color="auto"/>
      </w:divBdr>
    </w:div>
    <w:div w:id="1450972489">
      <w:bodyDiv w:val="1"/>
      <w:marLeft w:val="0"/>
      <w:marRight w:val="0"/>
      <w:marTop w:val="0"/>
      <w:marBottom w:val="0"/>
      <w:divBdr>
        <w:top w:val="none" w:sz="0" w:space="0" w:color="auto"/>
        <w:left w:val="none" w:sz="0" w:space="0" w:color="auto"/>
        <w:bottom w:val="none" w:sz="0" w:space="0" w:color="auto"/>
        <w:right w:val="none" w:sz="0" w:space="0" w:color="auto"/>
      </w:divBdr>
    </w:div>
    <w:div w:id="1452016583">
      <w:bodyDiv w:val="1"/>
      <w:marLeft w:val="0"/>
      <w:marRight w:val="0"/>
      <w:marTop w:val="0"/>
      <w:marBottom w:val="0"/>
      <w:divBdr>
        <w:top w:val="none" w:sz="0" w:space="0" w:color="auto"/>
        <w:left w:val="none" w:sz="0" w:space="0" w:color="auto"/>
        <w:bottom w:val="none" w:sz="0" w:space="0" w:color="auto"/>
        <w:right w:val="none" w:sz="0" w:space="0" w:color="auto"/>
      </w:divBdr>
    </w:div>
    <w:div w:id="1452476005">
      <w:bodyDiv w:val="1"/>
      <w:marLeft w:val="0"/>
      <w:marRight w:val="0"/>
      <w:marTop w:val="0"/>
      <w:marBottom w:val="0"/>
      <w:divBdr>
        <w:top w:val="none" w:sz="0" w:space="0" w:color="auto"/>
        <w:left w:val="none" w:sz="0" w:space="0" w:color="auto"/>
        <w:bottom w:val="none" w:sz="0" w:space="0" w:color="auto"/>
        <w:right w:val="none" w:sz="0" w:space="0" w:color="auto"/>
      </w:divBdr>
      <w:divsChild>
        <w:div w:id="71321278">
          <w:marLeft w:val="0"/>
          <w:marRight w:val="0"/>
          <w:marTop w:val="0"/>
          <w:marBottom w:val="0"/>
          <w:divBdr>
            <w:top w:val="none" w:sz="0" w:space="0" w:color="auto"/>
            <w:left w:val="none" w:sz="0" w:space="0" w:color="auto"/>
            <w:bottom w:val="none" w:sz="0" w:space="0" w:color="auto"/>
            <w:right w:val="none" w:sz="0" w:space="0" w:color="auto"/>
          </w:divBdr>
          <w:divsChild>
            <w:div w:id="1045637306">
              <w:marLeft w:val="0"/>
              <w:marRight w:val="0"/>
              <w:marTop w:val="0"/>
              <w:marBottom w:val="0"/>
              <w:divBdr>
                <w:top w:val="none" w:sz="0" w:space="0" w:color="auto"/>
                <w:left w:val="none" w:sz="0" w:space="0" w:color="auto"/>
                <w:bottom w:val="none" w:sz="0" w:space="0" w:color="auto"/>
                <w:right w:val="none" w:sz="0" w:space="0" w:color="auto"/>
              </w:divBdr>
            </w:div>
          </w:divsChild>
        </w:div>
        <w:div w:id="114953338">
          <w:marLeft w:val="0"/>
          <w:marRight w:val="0"/>
          <w:marTop w:val="0"/>
          <w:marBottom w:val="0"/>
          <w:divBdr>
            <w:top w:val="none" w:sz="0" w:space="0" w:color="auto"/>
            <w:left w:val="none" w:sz="0" w:space="0" w:color="auto"/>
            <w:bottom w:val="none" w:sz="0" w:space="0" w:color="auto"/>
            <w:right w:val="none" w:sz="0" w:space="0" w:color="auto"/>
          </w:divBdr>
          <w:divsChild>
            <w:div w:id="220291539">
              <w:marLeft w:val="0"/>
              <w:marRight w:val="0"/>
              <w:marTop w:val="0"/>
              <w:marBottom w:val="0"/>
              <w:divBdr>
                <w:top w:val="none" w:sz="0" w:space="0" w:color="auto"/>
                <w:left w:val="none" w:sz="0" w:space="0" w:color="auto"/>
                <w:bottom w:val="none" w:sz="0" w:space="0" w:color="auto"/>
                <w:right w:val="none" w:sz="0" w:space="0" w:color="auto"/>
              </w:divBdr>
            </w:div>
          </w:divsChild>
        </w:div>
        <w:div w:id="185368527">
          <w:marLeft w:val="0"/>
          <w:marRight w:val="0"/>
          <w:marTop w:val="0"/>
          <w:marBottom w:val="0"/>
          <w:divBdr>
            <w:top w:val="none" w:sz="0" w:space="0" w:color="auto"/>
            <w:left w:val="none" w:sz="0" w:space="0" w:color="auto"/>
            <w:bottom w:val="none" w:sz="0" w:space="0" w:color="auto"/>
            <w:right w:val="none" w:sz="0" w:space="0" w:color="auto"/>
          </w:divBdr>
          <w:divsChild>
            <w:div w:id="1837258538">
              <w:marLeft w:val="0"/>
              <w:marRight w:val="0"/>
              <w:marTop w:val="0"/>
              <w:marBottom w:val="0"/>
              <w:divBdr>
                <w:top w:val="none" w:sz="0" w:space="0" w:color="auto"/>
                <w:left w:val="none" w:sz="0" w:space="0" w:color="auto"/>
                <w:bottom w:val="none" w:sz="0" w:space="0" w:color="auto"/>
                <w:right w:val="none" w:sz="0" w:space="0" w:color="auto"/>
              </w:divBdr>
            </w:div>
          </w:divsChild>
        </w:div>
        <w:div w:id="200092756">
          <w:marLeft w:val="0"/>
          <w:marRight w:val="0"/>
          <w:marTop w:val="0"/>
          <w:marBottom w:val="0"/>
          <w:divBdr>
            <w:top w:val="none" w:sz="0" w:space="0" w:color="auto"/>
            <w:left w:val="none" w:sz="0" w:space="0" w:color="auto"/>
            <w:bottom w:val="none" w:sz="0" w:space="0" w:color="auto"/>
            <w:right w:val="none" w:sz="0" w:space="0" w:color="auto"/>
          </w:divBdr>
          <w:divsChild>
            <w:div w:id="311981498">
              <w:marLeft w:val="0"/>
              <w:marRight w:val="0"/>
              <w:marTop w:val="0"/>
              <w:marBottom w:val="0"/>
              <w:divBdr>
                <w:top w:val="none" w:sz="0" w:space="0" w:color="auto"/>
                <w:left w:val="none" w:sz="0" w:space="0" w:color="auto"/>
                <w:bottom w:val="none" w:sz="0" w:space="0" w:color="auto"/>
                <w:right w:val="none" w:sz="0" w:space="0" w:color="auto"/>
              </w:divBdr>
            </w:div>
          </w:divsChild>
        </w:div>
        <w:div w:id="257567494">
          <w:marLeft w:val="0"/>
          <w:marRight w:val="0"/>
          <w:marTop w:val="0"/>
          <w:marBottom w:val="0"/>
          <w:divBdr>
            <w:top w:val="none" w:sz="0" w:space="0" w:color="auto"/>
            <w:left w:val="none" w:sz="0" w:space="0" w:color="auto"/>
            <w:bottom w:val="none" w:sz="0" w:space="0" w:color="auto"/>
            <w:right w:val="none" w:sz="0" w:space="0" w:color="auto"/>
          </w:divBdr>
          <w:divsChild>
            <w:div w:id="1054234844">
              <w:marLeft w:val="0"/>
              <w:marRight w:val="0"/>
              <w:marTop w:val="0"/>
              <w:marBottom w:val="0"/>
              <w:divBdr>
                <w:top w:val="none" w:sz="0" w:space="0" w:color="auto"/>
                <w:left w:val="none" w:sz="0" w:space="0" w:color="auto"/>
                <w:bottom w:val="none" w:sz="0" w:space="0" w:color="auto"/>
                <w:right w:val="none" w:sz="0" w:space="0" w:color="auto"/>
              </w:divBdr>
            </w:div>
          </w:divsChild>
        </w:div>
        <w:div w:id="329410848">
          <w:marLeft w:val="0"/>
          <w:marRight w:val="0"/>
          <w:marTop w:val="0"/>
          <w:marBottom w:val="0"/>
          <w:divBdr>
            <w:top w:val="none" w:sz="0" w:space="0" w:color="auto"/>
            <w:left w:val="none" w:sz="0" w:space="0" w:color="auto"/>
            <w:bottom w:val="none" w:sz="0" w:space="0" w:color="auto"/>
            <w:right w:val="none" w:sz="0" w:space="0" w:color="auto"/>
          </w:divBdr>
          <w:divsChild>
            <w:div w:id="924999143">
              <w:marLeft w:val="0"/>
              <w:marRight w:val="0"/>
              <w:marTop w:val="0"/>
              <w:marBottom w:val="0"/>
              <w:divBdr>
                <w:top w:val="none" w:sz="0" w:space="0" w:color="auto"/>
                <w:left w:val="none" w:sz="0" w:space="0" w:color="auto"/>
                <w:bottom w:val="none" w:sz="0" w:space="0" w:color="auto"/>
                <w:right w:val="none" w:sz="0" w:space="0" w:color="auto"/>
              </w:divBdr>
            </w:div>
          </w:divsChild>
        </w:div>
        <w:div w:id="387385141">
          <w:marLeft w:val="0"/>
          <w:marRight w:val="0"/>
          <w:marTop w:val="0"/>
          <w:marBottom w:val="0"/>
          <w:divBdr>
            <w:top w:val="none" w:sz="0" w:space="0" w:color="auto"/>
            <w:left w:val="none" w:sz="0" w:space="0" w:color="auto"/>
            <w:bottom w:val="none" w:sz="0" w:space="0" w:color="auto"/>
            <w:right w:val="none" w:sz="0" w:space="0" w:color="auto"/>
          </w:divBdr>
          <w:divsChild>
            <w:div w:id="827087589">
              <w:marLeft w:val="0"/>
              <w:marRight w:val="0"/>
              <w:marTop w:val="0"/>
              <w:marBottom w:val="0"/>
              <w:divBdr>
                <w:top w:val="none" w:sz="0" w:space="0" w:color="auto"/>
                <w:left w:val="none" w:sz="0" w:space="0" w:color="auto"/>
                <w:bottom w:val="none" w:sz="0" w:space="0" w:color="auto"/>
                <w:right w:val="none" w:sz="0" w:space="0" w:color="auto"/>
              </w:divBdr>
            </w:div>
          </w:divsChild>
        </w:div>
        <w:div w:id="409811101">
          <w:marLeft w:val="0"/>
          <w:marRight w:val="0"/>
          <w:marTop w:val="0"/>
          <w:marBottom w:val="0"/>
          <w:divBdr>
            <w:top w:val="none" w:sz="0" w:space="0" w:color="auto"/>
            <w:left w:val="none" w:sz="0" w:space="0" w:color="auto"/>
            <w:bottom w:val="none" w:sz="0" w:space="0" w:color="auto"/>
            <w:right w:val="none" w:sz="0" w:space="0" w:color="auto"/>
          </w:divBdr>
          <w:divsChild>
            <w:div w:id="1169295101">
              <w:marLeft w:val="0"/>
              <w:marRight w:val="0"/>
              <w:marTop w:val="0"/>
              <w:marBottom w:val="0"/>
              <w:divBdr>
                <w:top w:val="none" w:sz="0" w:space="0" w:color="auto"/>
                <w:left w:val="none" w:sz="0" w:space="0" w:color="auto"/>
                <w:bottom w:val="none" w:sz="0" w:space="0" w:color="auto"/>
                <w:right w:val="none" w:sz="0" w:space="0" w:color="auto"/>
              </w:divBdr>
            </w:div>
          </w:divsChild>
        </w:div>
        <w:div w:id="703363685">
          <w:marLeft w:val="0"/>
          <w:marRight w:val="0"/>
          <w:marTop w:val="0"/>
          <w:marBottom w:val="0"/>
          <w:divBdr>
            <w:top w:val="none" w:sz="0" w:space="0" w:color="auto"/>
            <w:left w:val="none" w:sz="0" w:space="0" w:color="auto"/>
            <w:bottom w:val="none" w:sz="0" w:space="0" w:color="auto"/>
            <w:right w:val="none" w:sz="0" w:space="0" w:color="auto"/>
          </w:divBdr>
          <w:divsChild>
            <w:div w:id="1323658572">
              <w:marLeft w:val="0"/>
              <w:marRight w:val="0"/>
              <w:marTop w:val="0"/>
              <w:marBottom w:val="0"/>
              <w:divBdr>
                <w:top w:val="none" w:sz="0" w:space="0" w:color="auto"/>
                <w:left w:val="none" w:sz="0" w:space="0" w:color="auto"/>
                <w:bottom w:val="none" w:sz="0" w:space="0" w:color="auto"/>
                <w:right w:val="none" w:sz="0" w:space="0" w:color="auto"/>
              </w:divBdr>
            </w:div>
          </w:divsChild>
        </w:div>
        <w:div w:id="706373628">
          <w:marLeft w:val="0"/>
          <w:marRight w:val="0"/>
          <w:marTop w:val="0"/>
          <w:marBottom w:val="0"/>
          <w:divBdr>
            <w:top w:val="none" w:sz="0" w:space="0" w:color="auto"/>
            <w:left w:val="none" w:sz="0" w:space="0" w:color="auto"/>
            <w:bottom w:val="none" w:sz="0" w:space="0" w:color="auto"/>
            <w:right w:val="none" w:sz="0" w:space="0" w:color="auto"/>
          </w:divBdr>
          <w:divsChild>
            <w:div w:id="1940329231">
              <w:marLeft w:val="0"/>
              <w:marRight w:val="0"/>
              <w:marTop w:val="0"/>
              <w:marBottom w:val="0"/>
              <w:divBdr>
                <w:top w:val="none" w:sz="0" w:space="0" w:color="auto"/>
                <w:left w:val="none" w:sz="0" w:space="0" w:color="auto"/>
                <w:bottom w:val="none" w:sz="0" w:space="0" w:color="auto"/>
                <w:right w:val="none" w:sz="0" w:space="0" w:color="auto"/>
              </w:divBdr>
            </w:div>
          </w:divsChild>
        </w:div>
        <w:div w:id="925260197">
          <w:marLeft w:val="0"/>
          <w:marRight w:val="0"/>
          <w:marTop w:val="0"/>
          <w:marBottom w:val="0"/>
          <w:divBdr>
            <w:top w:val="none" w:sz="0" w:space="0" w:color="auto"/>
            <w:left w:val="none" w:sz="0" w:space="0" w:color="auto"/>
            <w:bottom w:val="none" w:sz="0" w:space="0" w:color="auto"/>
            <w:right w:val="none" w:sz="0" w:space="0" w:color="auto"/>
          </w:divBdr>
          <w:divsChild>
            <w:div w:id="1575972723">
              <w:marLeft w:val="0"/>
              <w:marRight w:val="0"/>
              <w:marTop w:val="0"/>
              <w:marBottom w:val="0"/>
              <w:divBdr>
                <w:top w:val="none" w:sz="0" w:space="0" w:color="auto"/>
                <w:left w:val="none" w:sz="0" w:space="0" w:color="auto"/>
                <w:bottom w:val="none" w:sz="0" w:space="0" w:color="auto"/>
                <w:right w:val="none" w:sz="0" w:space="0" w:color="auto"/>
              </w:divBdr>
            </w:div>
          </w:divsChild>
        </w:div>
        <w:div w:id="1023167493">
          <w:marLeft w:val="0"/>
          <w:marRight w:val="0"/>
          <w:marTop w:val="0"/>
          <w:marBottom w:val="0"/>
          <w:divBdr>
            <w:top w:val="none" w:sz="0" w:space="0" w:color="auto"/>
            <w:left w:val="none" w:sz="0" w:space="0" w:color="auto"/>
            <w:bottom w:val="none" w:sz="0" w:space="0" w:color="auto"/>
            <w:right w:val="none" w:sz="0" w:space="0" w:color="auto"/>
          </w:divBdr>
          <w:divsChild>
            <w:div w:id="493379188">
              <w:marLeft w:val="0"/>
              <w:marRight w:val="0"/>
              <w:marTop w:val="0"/>
              <w:marBottom w:val="0"/>
              <w:divBdr>
                <w:top w:val="none" w:sz="0" w:space="0" w:color="auto"/>
                <w:left w:val="none" w:sz="0" w:space="0" w:color="auto"/>
                <w:bottom w:val="none" w:sz="0" w:space="0" w:color="auto"/>
                <w:right w:val="none" w:sz="0" w:space="0" w:color="auto"/>
              </w:divBdr>
            </w:div>
          </w:divsChild>
        </w:div>
        <w:div w:id="1035159021">
          <w:marLeft w:val="0"/>
          <w:marRight w:val="0"/>
          <w:marTop w:val="0"/>
          <w:marBottom w:val="0"/>
          <w:divBdr>
            <w:top w:val="none" w:sz="0" w:space="0" w:color="auto"/>
            <w:left w:val="none" w:sz="0" w:space="0" w:color="auto"/>
            <w:bottom w:val="none" w:sz="0" w:space="0" w:color="auto"/>
            <w:right w:val="none" w:sz="0" w:space="0" w:color="auto"/>
          </w:divBdr>
          <w:divsChild>
            <w:div w:id="666203206">
              <w:marLeft w:val="0"/>
              <w:marRight w:val="0"/>
              <w:marTop w:val="0"/>
              <w:marBottom w:val="0"/>
              <w:divBdr>
                <w:top w:val="none" w:sz="0" w:space="0" w:color="auto"/>
                <w:left w:val="none" w:sz="0" w:space="0" w:color="auto"/>
                <w:bottom w:val="none" w:sz="0" w:space="0" w:color="auto"/>
                <w:right w:val="none" w:sz="0" w:space="0" w:color="auto"/>
              </w:divBdr>
            </w:div>
          </w:divsChild>
        </w:div>
        <w:div w:id="1075779936">
          <w:marLeft w:val="0"/>
          <w:marRight w:val="0"/>
          <w:marTop w:val="0"/>
          <w:marBottom w:val="0"/>
          <w:divBdr>
            <w:top w:val="none" w:sz="0" w:space="0" w:color="auto"/>
            <w:left w:val="none" w:sz="0" w:space="0" w:color="auto"/>
            <w:bottom w:val="none" w:sz="0" w:space="0" w:color="auto"/>
            <w:right w:val="none" w:sz="0" w:space="0" w:color="auto"/>
          </w:divBdr>
          <w:divsChild>
            <w:div w:id="1913932540">
              <w:marLeft w:val="0"/>
              <w:marRight w:val="0"/>
              <w:marTop w:val="0"/>
              <w:marBottom w:val="0"/>
              <w:divBdr>
                <w:top w:val="none" w:sz="0" w:space="0" w:color="auto"/>
                <w:left w:val="none" w:sz="0" w:space="0" w:color="auto"/>
                <w:bottom w:val="none" w:sz="0" w:space="0" w:color="auto"/>
                <w:right w:val="none" w:sz="0" w:space="0" w:color="auto"/>
              </w:divBdr>
            </w:div>
          </w:divsChild>
        </w:div>
        <w:div w:id="1099912644">
          <w:marLeft w:val="0"/>
          <w:marRight w:val="0"/>
          <w:marTop w:val="0"/>
          <w:marBottom w:val="0"/>
          <w:divBdr>
            <w:top w:val="none" w:sz="0" w:space="0" w:color="auto"/>
            <w:left w:val="none" w:sz="0" w:space="0" w:color="auto"/>
            <w:bottom w:val="none" w:sz="0" w:space="0" w:color="auto"/>
            <w:right w:val="none" w:sz="0" w:space="0" w:color="auto"/>
          </w:divBdr>
          <w:divsChild>
            <w:div w:id="1102607967">
              <w:marLeft w:val="0"/>
              <w:marRight w:val="0"/>
              <w:marTop w:val="0"/>
              <w:marBottom w:val="0"/>
              <w:divBdr>
                <w:top w:val="none" w:sz="0" w:space="0" w:color="auto"/>
                <w:left w:val="none" w:sz="0" w:space="0" w:color="auto"/>
                <w:bottom w:val="none" w:sz="0" w:space="0" w:color="auto"/>
                <w:right w:val="none" w:sz="0" w:space="0" w:color="auto"/>
              </w:divBdr>
            </w:div>
          </w:divsChild>
        </w:div>
        <w:div w:id="1115834956">
          <w:marLeft w:val="0"/>
          <w:marRight w:val="0"/>
          <w:marTop w:val="0"/>
          <w:marBottom w:val="0"/>
          <w:divBdr>
            <w:top w:val="none" w:sz="0" w:space="0" w:color="auto"/>
            <w:left w:val="none" w:sz="0" w:space="0" w:color="auto"/>
            <w:bottom w:val="none" w:sz="0" w:space="0" w:color="auto"/>
            <w:right w:val="none" w:sz="0" w:space="0" w:color="auto"/>
          </w:divBdr>
          <w:divsChild>
            <w:div w:id="968826196">
              <w:marLeft w:val="0"/>
              <w:marRight w:val="0"/>
              <w:marTop w:val="0"/>
              <w:marBottom w:val="0"/>
              <w:divBdr>
                <w:top w:val="none" w:sz="0" w:space="0" w:color="auto"/>
                <w:left w:val="none" w:sz="0" w:space="0" w:color="auto"/>
                <w:bottom w:val="none" w:sz="0" w:space="0" w:color="auto"/>
                <w:right w:val="none" w:sz="0" w:space="0" w:color="auto"/>
              </w:divBdr>
            </w:div>
          </w:divsChild>
        </w:div>
        <w:div w:id="1156339926">
          <w:marLeft w:val="0"/>
          <w:marRight w:val="0"/>
          <w:marTop w:val="0"/>
          <w:marBottom w:val="0"/>
          <w:divBdr>
            <w:top w:val="none" w:sz="0" w:space="0" w:color="auto"/>
            <w:left w:val="none" w:sz="0" w:space="0" w:color="auto"/>
            <w:bottom w:val="none" w:sz="0" w:space="0" w:color="auto"/>
            <w:right w:val="none" w:sz="0" w:space="0" w:color="auto"/>
          </w:divBdr>
          <w:divsChild>
            <w:div w:id="4595516">
              <w:marLeft w:val="0"/>
              <w:marRight w:val="0"/>
              <w:marTop w:val="0"/>
              <w:marBottom w:val="0"/>
              <w:divBdr>
                <w:top w:val="none" w:sz="0" w:space="0" w:color="auto"/>
                <w:left w:val="none" w:sz="0" w:space="0" w:color="auto"/>
                <w:bottom w:val="none" w:sz="0" w:space="0" w:color="auto"/>
                <w:right w:val="none" w:sz="0" w:space="0" w:color="auto"/>
              </w:divBdr>
            </w:div>
          </w:divsChild>
        </w:div>
        <w:div w:id="1339576483">
          <w:marLeft w:val="0"/>
          <w:marRight w:val="0"/>
          <w:marTop w:val="0"/>
          <w:marBottom w:val="0"/>
          <w:divBdr>
            <w:top w:val="none" w:sz="0" w:space="0" w:color="auto"/>
            <w:left w:val="none" w:sz="0" w:space="0" w:color="auto"/>
            <w:bottom w:val="none" w:sz="0" w:space="0" w:color="auto"/>
            <w:right w:val="none" w:sz="0" w:space="0" w:color="auto"/>
          </w:divBdr>
          <w:divsChild>
            <w:div w:id="32270749">
              <w:marLeft w:val="0"/>
              <w:marRight w:val="0"/>
              <w:marTop w:val="0"/>
              <w:marBottom w:val="0"/>
              <w:divBdr>
                <w:top w:val="none" w:sz="0" w:space="0" w:color="auto"/>
                <w:left w:val="none" w:sz="0" w:space="0" w:color="auto"/>
                <w:bottom w:val="none" w:sz="0" w:space="0" w:color="auto"/>
                <w:right w:val="none" w:sz="0" w:space="0" w:color="auto"/>
              </w:divBdr>
            </w:div>
          </w:divsChild>
        </w:div>
        <w:div w:id="1553612993">
          <w:marLeft w:val="0"/>
          <w:marRight w:val="0"/>
          <w:marTop w:val="0"/>
          <w:marBottom w:val="0"/>
          <w:divBdr>
            <w:top w:val="none" w:sz="0" w:space="0" w:color="auto"/>
            <w:left w:val="none" w:sz="0" w:space="0" w:color="auto"/>
            <w:bottom w:val="none" w:sz="0" w:space="0" w:color="auto"/>
            <w:right w:val="none" w:sz="0" w:space="0" w:color="auto"/>
          </w:divBdr>
          <w:divsChild>
            <w:div w:id="2019766568">
              <w:marLeft w:val="0"/>
              <w:marRight w:val="0"/>
              <w:marTop w:val="0"/>
              <w:marBottom w:val="0"/>
              <w:divBdr>
                <w:top w:val="none" w:sz="0" w:space="0" w:color="auto"/>
                <w:left w:val="none" w:sz="0" w:space="0" w:color="auto"/>
                <w:bottom w:val="none" w:sz="0" w:space="0" w:color="auto"/>
                <w:right w:val="none" w:sz="0" w:space="0" w:color="auto"/>
              </w:divBdr>
            </w:div>
          </w:divsChild>
        </w:div>
        <w:div w:id="1697929207">
          <w:marLeft w:val="0"/>
          <w:marRight w:val="0"/>
          <w:marTop w:val="0"/>
          <w:marBottom w:val="0"/>
          <w:divBdr>
            <w:top w:val="none" w:sz="0" w:space="0" w:color="auto"/>
            <w:left w:val="none" w:sz="0" w:space="0" w:color="auto"/>
            <w:bottom w:val="none" w:sz="0" w:space="0" w:color="auto"/>
            <w:right w:val="none" w:sz="0" w:space="0" w:color="auto"/>
          </w:divBdr>
          <w:divsChild>
            <w:div w:id="1568147362">
              <w:marLeft w:val="0"/>
              <w:marRight w:val="0"/>
              <w:marTop w:val="0"/>
              <w:marBottom w:val="0"/>
              <w:divBdr>
                <w:top w:val="none" w:sz="0" w:space="0" w:color="auto"/>
                <w:left w:val="none" w:sz="0" w:space="0" w:color="auto"/>
                <w:bottom w:val="none" w:sz="0" w:space="0" w:color="auto"/>
                <w:right w:val="none" w:sz="0" w:space="0" w:color="auto"/>
              </w:divBdr>
            </w:div>
          </w:divsChild>
        </w:div>
        <w:div w:id="1742026134">
          <w:marLeft w:val="0"/>
          <w:marRight w:val="0"/>
          <w:marTop w:val="0"/>
          <w:marBottom w:val="0"/>
          <w:divBdr>
            <w:top w:val="none" w:sz="0" w:space="0" w:color="auto"/>
            <w:left w:val="none" w:sz="0" w:space="0" w:color="auto"/>
            <w:bottom w:val="none" w:sz="0" w:space="0" w:color="auto"/>
            <w:right w:val="none" w:sz="0" w:space="0" w:color="auto"/>
          </w:divBdr>
          <w:divsChild>
            <w:div w:id="662123343">
              <w:marLeft w:val="0"/>
              <w:marRight w:val="0"/>
              <w:marTop w:val="0"/>
              <w:marBottom w:val="0"/>
              <w:divBdr>
                <w:top w:val="none" w:sz="0" w:space="0" w:color="auto"/>
                <w:left w:val="none" w:sz="0" w:space="0" w:color="auto"/>
                <w:bottom w:val="none" w:sz="0" w:space="0" w:color="auto"/>
                <w:right w:val="none" w:sz="0" w:space="0" w:color="auto"/>
              </w:divBdr>
            </w:div>
          </w:divsChild>
        </w:div>
        <w:div w:id="1871868899">
          <w:marLeft w:val="0"/>
          <w:marRight w:val="0"/>
          <w:marTop w:val="0"/>
          <w:marBottom w:val="0"/>
          <w:divBdr>
            <w:top w:val="none" w:sz="0" w:space="0" w:color="auto"/>
            <w:left w:val="none" w:sz="0" w:space="0" w:color="auto"/>
            <w:bottom w:val="none" w:sz="0" w:space="0" w:color="auto"/>
            <w:right w:val="none" w:sz="0" w:space="0" w:color="auto"/>
          </w:divBdr>
          <w:divsChild>
            <w:div w:id="2066367108">
              <w:marLeft w:val="0"/>
              <w:marRight w:val="0"/>
              <w:marTop w:val="0"/>
              <w:marBottom w:val="0"/>
              <w:divBdr>
                <w:top w:val="none" w:sz="0" w:space="0" w:color="auto"/>
                <w:left w:val="none" w:sz="0" w:space="0" w:color="auto"/>
                <w:bottom w:val="none" w:sz="0" w:space="0" w:color="auto"/>
                <w:right w:val="none" w:sz="0" w:space="0" w:color="auto"/>
              </w:divBdr>
            </w:div>
          </w:divsChild>
        </w:div>
        <w:div w:id="1961834600">
          <w:marLeft w:val="0"/>
          <w:marRight w:val="0"/>
          <w:marTop w:val="0"/>
          <w:marBottom w:val="0"/>
          <w:divBdr>
            <w:top w:val="none" w:sz="0" w:space="0" w:color="auto"/>
            <w:left w:val="none" w:sz="0" w:space="0" w:color="auto"/>
            <w:bottom w:val="none" w:sz="0" w:space="0" w:color="auto"/>
            <w:right w:val="none" w:sz="0" w:space="0" w:color="auto"/>
          </w:divBdr>
          <w:divsChild>
            <w:div w:id="571358122">
              <w:marLeft w:val="0"/>
              <w:marRight w:val="0"/>
              <w:marTop w:val="0"/>
              <w:marBottom w:val="0"/>
              <w:divBdr>
                <w:top w:val="none" w:sz="0" w:space="0" w:color="auto"/>
                <w:left w:val="none" w:sz="0" w:space="0" w:color="auto"/>
                <w:bottom w:val="none" w:sz="0" w:space="0" w:color="auto"/>
                <w:right w:val="none" w:sz="0" w:space="0" w:color="auto"/>
              </w:divBdr>
            </w:div>
          </w:divsChild>
        </w:div>
        <w:div w:id="1997148534">
          <w:marLeft w:val="0"/>
          <w:marRight w:val="0"/>
          <w:marTop w:val="0"/>
          <w:marBottom w:val="0"/>
          <w:divBdr>
            <w:top w:val="none" w:sz="0" w:space="0" w:color="auto"/>
            <w:left w:val="none" w:sz="0" w:space="0" w:color="auto"/>
            <w:bottom w:val="none" w:sz="0" w:space="0" w:color="auto"/>
            <w:right w:val="none" w:sz="0" w:space="0" w:color="auto"/>
          </w:divBdr>
          <w:divsChild>
            <w:div w:id="713432406">
              <w:marLeft w:val="0"/>
              <w:marRight w:val="0"/>
              <w:marTop w:val="0"/>
              <w:marBottom w:val="0"/>
              <w:divBdr>
                <w:top w:val="none" w:sz="0" w:space="0" w:color="auto"/>
                <w:left w:val="none" w:sz="0" w:space="0" w:color="auto"/>
                <w:bottom w:val="none" w:sz="0" w:space="0" w:color="auto"/>
                <w:right w:val="none" w:sz="0" w:space="0" w:color="auto"/>
              </w:divBdr>
            </w:div>
          </w:divsChild>
        </w:div>
        <w:div w:id="2094890067">
          <w:marLeft w:val="0"/>
          <w:marRight w:val="0"/>
          <w:marTop w:val="0"/>
          <w:marBottom w:val="0"/>
          <w:divBdr>
            <w:top w:val="none" w:sz="0" w:space="0" w:color="auto"/>
            <w:left w:val="none" w:sz="0" w:space="0" w:color="auto"/>
            <w:bottom w:val="none" w:sz="0" w:space="0" w:color="auto"/>
            <w:right w:val="none" w:sz="0" w:space="0" w:color="auto"/>
          </w:divBdr>
          <w:divsChild>
            <w:div w:id="455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8978">
      <w:bodyDiv w:val="1"/>
      <w:marLeft w:val="0"/>
      <w:marRight w:val="0"/>
      <w:marTop w:val="0"/>
      <w:marBottom w:val="0"/>
      <w:divBdr>
        <w:top w:val="none" w:sz="0" w:space="0" w:color="auto"/>
        <w:left w:val="none" w:sz="0" w:space="0" w:color="auto"/>
        <w:bottom w:val="none" w:sz="0" w:space="0" w:color="auto"/>
        <w:right w:val="none" w:sz="0" w:space="0" w:color="auto"/>
      </w:divBdr>
    </w:div>
    <w:div w:id="1456632558">
      <w:bodyDiv w:val="1"/>
      <w:marLeft w:val="0"/>
      <w:marRight w:val="0"/>
      <w:marTop w:val="0"/>
      <w:marBottom w:val="0"/>
      <w:divBdr>
        <w:top w:val="none" w:sz="0" w:space="0" w:color="auto"/>
        <w:left w:val="none" w:sz="0" w:space="0" w:color="auto"/>
        <w:bottom w:val="none" w:sz="0" w:space="0" w:color="auto"/>
        <w:right w:val="none" w:sz="0" w:space="0" w:color="auto"/>
      </w:divBdr>
    </w:div>
    <w:div w:id="1457720196">
      <w:bodyDiv w:val="1"/>
      <w:marLeft w:val="0"/>
      <w:marRight w:val="0"/>
      <w:marTop w:val="0"/>
      <w:marBottom w:val="0"/>
      <w:divBdr>
        <w:top w:val="none" w:sz="0" w:space="0" w:color="auto"/>
        <w:left w:val="none" w:sz="0" w:space="0" w:color="auto"/>
        <w:bottom w:val="none" w:sz="0" w:space="0" w:color="auto"/>
        <w:right w:val="none" w:sz="0" w:space="0" w:color="auto"/>
      </w:divBdr>
    </w:div>
    <w:div w:id="1460565373">
      <w:bodyDiv w:val="1"/>
      <w:marLeft w:val="0"/>
      <w:marRight w:val="0"/>
      <w:marTop w:val="0"/>
      <w:marBottom w:val="0"/>
      <w:divBdr>
        <w:top w:val="none" w:sz="0" w:space="0" w:color="auto"/>
        <w:left w:val="none" w:sz="0" w:space="0" w:color="auto"/>
        <w:bottom w:val="none" w:sz="0" w:space="0" w:color="auto"/>
        <w:right w:val="none" w:sz="0" w:space="0" w:color="auto"/>
      </w:divBdr>
    </w:div>
    <w:div w:id="1461848360">
      <w:bodyDiv w:val="1"/>
      <w:marLeft w:val="0"/>
      <w:marRight w:val="0"/>
      <w:marTop w:val="0"/>
      <w:marBottom w:val="0"/>
      <w:divBdr>
        <w:top w:val="none" w:sz="0" w:space="0" w:color="auto"/>
        <w:left w:val="none" w:sz="0" w:space="0" w:color="auto"/>
        <w:bottom w:val="none" w:sz="0" w:space="0" w:color="auto"/>
        <w:right w:val="none" w:sz="0" w:space="0" w:color="auto"/>
      </w:divBdr>
    </w:div>
    <w:div w:id="1462916312">
      <w:bodyDiv w:val="1"/>
      <w:marLeft w:val="0"/>
      <w:marRight w:val="0"/>
      <w:marTop w:val="0"/>
      <w:marBottom w:val="0"/>
      <w:divBdr>
        <w:top w:val="none" w:sz="0" w:space="0" w:color="auto"/>
        <w:left w:val="none" w:sz="0" w:space="0" w:color="auto"/>
        <w:bottom w:val="none" w:sz="0" w:space="0" w:color="auto"/>
        <w:right w:val="none" w:sz="0" w:space="0" w:color="auto"/>
      </w:divBdr>
    </w:div>
    <w:div w:id="1463839339">
      <w:bodyDiv w:val="1"/>
      <w:marLeft w:val="0"/>
      <w:marRight w:val="0"/>
      <w:marTop w:val="0"/>
      <w:marBottom w:val="0"/>
      <w:divBdr>
        <w:top w:val="none" w:sz="0" w:space="0" w:color="auto"/>
        <w:left w:val="none" w:sz="0" w:space="0" w:color="auto"/>
        <w:bottom w:val="none" w:sz="0" w:space="0" w:color="auto"/>
        <w:right w:val="none" w:sz="0" w:space="0" w:color="auto"/>
      </w:divBdr>
    </w:div>
    <w:div w:id="1465656806">
      <w:bodyDiv w:val="1"/>
      <w:marLeft w:val="0"/>
      <w:marRight w:val="0"/>
      <w:marTop w:val="0"/>
      <w:marBottom w:val="0"/>
      <w:divBdr>
        <w:top w:val="none" w:sz="0" w:space="0" w:color="auto"/>
        <w:left w:val="none" w:sz="0" w:space="0" w:color="auto"/>
        <w:bottom w:val="none" w:sz="0" w:space="0" w:color="auto"/>
        <w:right w:val="none" w:sz="0" w:space="0" w:color="auto"/>
      </w:divBdr>
    </w:div>
    <w:div w:id="1465929021">
      <w:bodyDiv w:val="1"/>
      <w:marLeft w:val="0"/>
      <w:marRight w:val="0"/>
      <w:marTop w:val="0"/>
      <w:marBottom w:val="0"/>
      <w:divBdr>
        <w:top w:val="none" w:sz="0" w:space="0" w:color="auto"/>
        <w:left w:val="none" w:sz="0" w:space="0" w:color="auto"/>
        <w:bottom w:val="none" w:sz="0" w:space="0" w:color="auto"/>
        <w:right w:val="none" w:sz="0" w:space="0" w:color="auto"/>
      </w:divBdr>
    </w:div>
    <w:div w:id="1466705223">
      <w:bodyDiv w:val="1"/>
      <w:marLeft w:val="0"/>
      <w:marRight w:val="0"/>
      <w:marTop w:val="0"/>
      <w:marBottom w:val="0"/>
      <w:divBdr>
        <w:top w:val="none" w:sz="0" w:space="0" w:color="auto"/>
        <w:left w:val="none" w:sz="0" w:space="0" w:color="auto"/>
        <w:bottom w:val="none" w:sz="0" w:space="0" w:color="auto"/>
        <w:right w:val="none" w:sz="0" w:space="0" w:color="auto"/>
      </w:divBdr>
    </w:div>
    <w:div w:id="1468278191">
      <w:bodyDiv w:val="1"/>
      <w:marLeft w:val="0"/>
      <w:marRight w:val="0"/>
      <w:marTop w:val="0"/>
      <w:marBottom w:val="0"/>
      <w:divBdr>
        <w:top w:val="none" w:sz="0" w:space="0" w:color="auto"/>
        <w:left w:val="none" w:sz="0" w:space="0" w:color="auto"/>
        <w:bottom w:val="none" w:sz="0" w:space="0" w:color="auto"/>
        <w:right w:val="none" w:sz="0" w:space="0" w:color="auto"/>
      </w:divBdr>
    </w:div>
    <w:div w:id="1469740881">
      <w:bodyDiv w:val="1"/>
      <w:marLeft w:val="0"/>
      <w:marRight w:val="0"/>
      <w:marTop w:val="0"/>
      <w:marBottom w:val="0"/>
      <w:divBdr>
        <w:top w:val="none" w:sz="0" w:space="0" w:color="auto"/>
        <w:left w:val="none" w:sz="0" w:space="0" w:color="auto"/>
        <w:bottom w:val="none" w:sz="0" w:space="0" w:color="auto"/>
        <w:right w:val="none" w:sz="0" w:space="0" w:color="auto"/>
      </w:divBdr>
    </w:div>
    <w:div w:id="1470778670">
      <w:bodyDiv w:val="1"/>
      <w:marLeft w:val="0"/>
      <w:marRight w:val="0"/>
      <w:marTop w:val="0"/>
      <w:marBottom w:val="0"/>
      <w:divBdr>
        <w:top w:val="none" w:sz="0" w:space="0" w:color="auto"/>
        <w:left w:val="none" w:sz="0" w:space="0" w:color="auto"/>
        <w:bottom w:val="none" w:sz="0" w:space="0" w:color="auto"/>
        <w:right w:val="none" w:sz="0" w:space="0" w:color="auto"/>
      </w:divBdr>
    </w:div>
    <w:div w:id="1471172685">
      <w:bodyDiv w:val="1"/>
      <w:marLeft w:val="0"/>
      <w:marRight w:val="0"/>
      <w:marTop w:val="0"/>
      <w:marBottom w:val="0"/>
      <w:divBdr>
        <w:top w:val="none" w:sz="0" w:space="0" w:color="auto"/>
        <w:left w:val="none" w:sz="0" w:space="0" w:color="auto"/>
        <w:bottom w:val="none" w:sz="0" w:space="0" w:color="auto"/>
        <w:right w:val="none" w:sz="0" w:space="0" w:color="auto"/>
      </w:divBdr>
    </w:div>
    <w:div w:id="1471749862">
      <w:bodyDiv w:val="1"/>
      <w:marLeft w:val="0"/>
      <w:marRight w:val="0"/>
      <w:marTop w:val="0"/>
      <w:marBottom w:val="0"/>
      <w:divBdr>
        <w:top w:val="none" w:sz="0" w:space="0" w:color="auto"/>
        <w:left w:val="none" w:sz="0" w:space="0" w:color="auto"/>
        <w:bottom w:val="none" w:sz="0" w:space="0" w:color="auto"/>
        <w:right w:val="none" w:sz="0" w:space="0" w:color="auto"/>
      </w:divBdr>
    </w:div>
    <w:div w:id="1472551263">
      <w:bodyDiv w:val="1"/>
      <w:marLeft w:val="0"/>
      <w:marRight w:val="0"/>
      <w:marTop w:val="0"/>
      <w:marBottom w:val="0"/>
      <w:divBdr>
        <w:top w:val="none" w:sz="0" w:space="0" w:color="auto"/>
        <w:left w:val="none" w:sz="0" w:space="0" w:color="auto"/>
        <w:bottom w:val="none" w:sz="0" w:space="0" w:color="auto"/>
        <w:right w:val="none" w:sz="0" w:space="0" w:color="auto"/>
      </w:divBdr>
    </w:div>
    <w:div w:id="1476070288">
      <w:bodyDiv w:val="1"/>
      <w:marLeft w:val="0"/>
      <w:marRight w:val="0"/>
      <w:marTop w:val="0"/>
      <w:marBottom w:val="0"/>
      <w:divBdr>
        <w:top w:val="none" w:sz="0" w:space="0" w:color="auto"/>
        <w:left w:val="none" w:sz="0" w:space="0" w:color="auto"/>
        <w:bottom w:val="none" w:sz="0" w:space="0" w:color="auto"/>
        <w:right w:val="none" w:sz="0" w:space="0" w:color="auto"/>
      </w:divBdr>
    </w:div>
    <w:div w:id="1479179279">
      <w:bodyDiv w:val="1"/>
      <w:marLeft w:val="0"/>
      <w:marRight w:val="0"/>
      <w:marTop w:val="0"/>
      <w:marBottom w:val="0"/>
      <w:divBdr>
        <w:top w:val="none" w:sz="0" w:space="0" w:color="auto"/>
        <w:left w:val="none" w:sz="0" w:space="0" w:color="auto"/>
        <w:bottom w:val="none" w:sz="0" w:space="0" w:color="auto"/>
        <w:right w:val="none" w:sz="0" w:space="0" w:color="auto"/>
      </w:divBdr>
    </w:div>
    <w:div w:id="1479761117">
      <w:bodyDiv w:val="1"/>
      <w:marLeft w:val="0"/>
      <w:marRight w:val="0"/>
      <w:marTop w:val="0"/>
      <w:marBottom w:val="0"/>
      <w:divBdr>
        <w:top w:val="none" w:sz="0" w:space="0" w:color="auto"/>
        <w:left w:val="none" w:sz="0" w:space="0" w:color="auto"/>
        <w:bottom w:val="none" w:sz="0" w:space="0" w:color="auto"/>
        <w:right w:val="none" w:sz="0" w:space="0" w:color="auto"/>
      </w:divBdr>
    </w:div>
    <w:div w:id="1480804447">
      <w:bodyDiv w:val="1"/>
      <w:marLeft w:val="0"/>
      <w:marRight w:val="0"/>
      <w:marTop w:val="0"/>
      <w:marBottom w:val="0"/>
      <w:divBdr>
        <w:top w:val="none" w:sz="0" w:space="0" w:color="auto"/>
        <w:left w:val="none" w:sz="0" w:space="0" w:color="auto"/>
        <w:bottom w:val="none" w:sz="0" w:space="0" w:color="auto"/>
        <w:right w:val="none" w:sz="0" w:space="0" w:color="auto"/>
      </w:divBdr>
    </w:div>
    <w:div w:id="1484082573">
      <w:bodyDiv w:val="1"/>
      <w:marLeft w:val="0"/>
      <w:marRight w:val="0"/>
      <w:marTop w:val="0"/>
      <w:marBottom w:val="0"/>
      <w:divBdr>
        <w:top w:val="none" w:sz="0" w:space="0" w:color="auto"/>
        <w:left w:val="none" w:sz="0" w:space="0" w:color="auto"/>
        <w:bottom w:val="none" w:sz="0" w:space="0" w:color="auto"/>
        <w:right w:val="none" w:sz="0" w:space="0" w:color="auto"/>
      </w:divBdr>
    </w:div>
    <w:div w:id="1486160867">
      <w:bodyDiv w:val="1"/>
      <w:marLeft w:val="0"/>
      <w:marRight w:val="0"/>
      <w:marTop w:val="0"/>
      <w:marBottom w:val="0"/>
      <w:divBdr>
        <w:top w:val="none" w:sz="0" w:space="0" w:color="auto"/>
        <w:left w:val="none" w:sz="0" w:space="0" w:color="auto"/>
        <w:bottom w:val="none" w:sz="0" w:space="0" w:color="auto"/>
        <w:right w:val="none" w:sz="0" w:space="0" w:color="auto"/>
      </w:divBdr>
    </w:div>
    <w:div w:id="1486318730">
      <w:bodyDiv w:val="1"/>
      <w:marLeft w:val="0"/>
      <w:marRight w:val="0"/>
      <w:marTop w:val="0"/>
      <w:marBottom w:val="0"/>
      <w:divBdr>
        <w:top w:val="none" w:sz="0" w:space="0" w:color="auto"/>
        <w:left w:val="none" w:sz="0" w:space="0" w:color="auto"/>
        <w:bottom w:val="none" w:sz="0" w:space="0" w:color="auto"/>
        <w:right w:val="none" w:sz="0" w:space="0" w:color="auto"/>
      </w:divBdr>
    </w:div>
    <w:div w:id="1487088262">
      <w:bodyDiv w:val="1"/>
      <w:marLeft w:val="0"/>
      <w:marRight w:val="0"/>
      <w:marTop w:val="0"/>
      <w:marBottom w:val="0"/>
      <w:divBdr>
        <w:top w:val="none" w:sz="0" w:space="0" w:color="auto"/>
        <w:left w:val="none" w:sz="0" w:space="0" w:color="auto"/>
        <w:bottom w:val="none" w:sz="0" w:space="0" w:color="auto"/>
        <w:right w:val="none" w:sz="0" w:space="0" w:color="auto"/>
      </w:divBdr>
    </w:div>
    <w:div w:id="1493369302">
      <w:bodyDiv w:val="1"/>
      <w:marLeft w:val="0"/>
      <w:marRight w:val="0"/>
      <w:marTop w:val="0"/>
      <w:marBottom w:val="0"/>
      <w:divBdr>
        <w:top w:val="none" w:sz="0" w:space="0" w:color="auto"/>
        <w:left w:val="none" w:sz="0" w:space="0" w:color="auto"/>
        <w:bottom w:val="none" w:sz="0" w:space="0" w:color="auto"/>
        <w:right w:val="none" w:sz="0" w:space="0" w:color="auto"/>
      </w:divBdr>
    </w:div>
    <w:div w:id="1498499011">
      <w:bodyDiv w:val="1"/>
      <w:marLeft w:val="0"/>
      <w:marRight w:val="0"/>
      <w:marTop w:val="0"/>
      <w:marBottom w:val="0"/>
      <w:divBdr>
        <w:top w:val="none" w:sz="0" w:space="0" w:color="auto"/>
        <w:left w:val="none" w:sz="0" w:space="0" w:color="auto"/>
        <w:bottom w:val="none" w:sz="0" w:space="0" w:color="auto"/>
        <w:right w:val="none" w:sz="0" w:space="0" w:color="auto"/>
      </w:divBdr>
    </w:div>
    <w:div w:id="1499345201">
      <w:bodyDiv w:val="1"/>
      <w:marLeft w:val="0"/>
      <w:marRight w:val="0"/>
      <w:marTop w:val="0"/>
      <w:marBottom w:val="0"/>
      <w:divBdr>
        <w:top w:val="none" w:sz="0" w:space="0" w:color="auto"/>
        <w:left w:val="none" w:sz="0" w:space="0" w:color="auto"/>
        <w:bottom w:val="none" w:sz="0" w:space="0" w:color="auto"/>
        <w:right w:val="none" w:sz="0" w:space="0" w:color="auto"/>
      </w:divBdr>
    </w:div>
    <w:div w:id="1499543916">
      <w:bodyDiv w:val="1"/>
      <w:marLeft w:val="0"/>
      <w:marRight w:val="0"/>
      <w:marTop w:val="0"/>
      <w:marBottom w:val="0"/>
      <w:divBdr>
        <w:top w:val="none" w:sz="0" w:space="0" w:color="auto"/>
        <w:left w:val="none" w:sz="0" w:space="0" w:color="auto"/>
        <w:bottom w:val="none" w:sz="0" w:space="0" w:color="auto"/>
        <w:right w:val="none" w:sz="0" w:space="0" w:color="auto"/>
      </w:divBdr>
    </w:div>
    <w:div w:id="1500924715">
      <w:bodyDiv w:val="1"/>
      <w:marLeft w:val="0"/>
      <w:marRight w:val="0"/>
      <w:marTop w:val="0"/>
      <w:marBottom w:val="0"/>
      <w:divBdr>
        <w:top w:val="none" w:sz="0" w:space="0" w:color="auto"/>
        <w:left w:val="none" w:sz="0" w:space="0" w:color="auto"/>
        <w:bottom w:val="none" w:sz="0" w:space="0" w:color="auto"/>
        <w:right w:val="none" w:sz="0" w:space="0" w:color="auto"/>
      </w:divBdr>
    </w:div>
    <w:div w:id="1503470745">
      <w:bodyDiv w:val="1"/>
      <w:marLeft w:val="0"/>
      <w:marRight w:val="0"/>
      <w:marTop w:val="0"/>
      <w:marBottom w:val="0"/>
      <w:divBdr>
        <w:top w:val="none" w:sz="0" w:space="0" w:color="auto"/>
        <w:left w:val="none" w:sz="0" w:space="0" w:color="auto"/>
        <w:bottom w:val="none" w:sz="0" w:space="0" w:color="auto"/>
        <w:right w:val="none" w:sz="0" w:space="0" w:color="auto"/>
      </w:divBdr>
    </w:div>
    <w:div w:id="1503815278">
      <w:bodyDiv w:val="1"/>
      <w:marLeft w:val="0"/>
      <w:marRight w:val="0"/>
      <w:marTop w:val="0"/>
      <w:marBottom w:val="0"/>
      <w:divBdr>
        <w:top w:val="none" w:sz="0" w:space="0" w:color="auto"/>
        <w:left w:val="none" w:sz="0" w:space="0" w:color="auto"/>
        <w:bottom w:val="none" w:sz="0" w:space="0" w:color="auto"/>
        <w:right w:val="none" w:sz="0" w:space="0" w:color="auto"/>
      </w:divBdr>
    </w:div>
    <w:div w:id="1504197930">
      <w:bodyDiv w:val="1"/>
      <w:marLeft w:val="0"/>
      <w:marRight w:val="0"/>
      <w:marTop w:val="0"/>
      <w:marBottom w:val="0"/>
      <w:divBdr>
        <w:top w:val="none" w:sz="0" w:space="0" w:color="auto"/>
        <w:left w:val="none" w:sz="0" w:space="0" w:color="auto"/>
        <w:bottom w:val="none" w:sz="0" w:space="0" w:color="auto"/>
        <w:right w:val="none" w:sz="0" w:space="0" w:color="auto"/>
      </w:divBdr>
    </w:div>
    <w:div w:id="1504274053">
      <w:bodyDiv w:val="1"/>
      <w:marLeft w:val="0"/>
      <w:marRight w:val="0"/>
      <w:marTop w:val="0"/>
      <w:marBottom w:val="0"/>
      <w:divBdr>
        <w:top w:val="none" w:sz="0" w:space="0" w:color="auto"/>
        <w:left w:val="none" w:sz="0" w:space="0" w:color="auto"/>
        <w:bottom w:val="none" w:sz="0" w:space="0" w:color="auto"/>
        <w:right w:val="none" w:sz="0" w:space="0" w:color="auto"/>
      </w:divBdr>
    </w:div>
    <w:div w:id="1505365472">
      <w:bodyDiv w:val="1"/>
      <w:marLeft w:val="0"/>
      <w:marRight w:val="0"/>
      <w:marTop w:val="0"/>
      <w:marBottom w:val="0"/>
      <w:divBdr>
        <w:top w:val="none" w:sz="0" w:space="0" w:color="auto"/>
        <w:left w:val="none" w:sz="0" w:space="0" w:color="auto"/>
        <w:bottom w:val="none" w:sz="0" w:space="0" w:color="auto"/>
        <w:right w:val="none" w:sz="0" w:space="0" w:color="auto"/>
      </w:divBdr>
    </w:div>
    <w:div w:id="1505899291">
      <w:bodyDiv w:val="1"/>
      <w:marLeft w:val="0"/>
      <w:marRight w:val="0"/>
      <w:marTop w:val="0"/>
      <w:marBottom w:val="0"/>
      <w:divBdr>
        <w:top w:val="none" w:sz="0" w:space="0" w:color="auto"/>
        <w:left w:val="none" w:sz="0" w:space="0" w:color="auto"/>
        <w:bottom w:val="none" w:sz="0" w:space="0" w:color="auto"/>
        <w:right w:val="none" w:sz="0" w:space="0" w:color="auto"/>
      </w:divBdr>
    </w:div>
    <w:div w:id="1506244824">
      <w:bodyDiv w:val="1"/>
      <w:marLeft w:val="0"/>
      <w:marRight w:val="0"/>
      <w:marTop w:val="0"/>
      <w:marBottom w:val="0"/>
      <w:divBdr>
        <w:top w:val="none" w:sz="0" w:space="0" w:color="auto"/>
        <w:left w:val="none" w:sz="0" w:space="0" w:color="auto"/>
        <w:bottom w:val="none" w:sz="0" w:space="0" w:color="auto"/>
        <w:right w:val="none" w:sz="0" w:space="0" w:color="auto"/>
      </w:divBdr>
    </w:div>
    <w:div w:id="1507939655">
      <w:bodyDiv w:val="1"/>
      <w:marLeft w:val="0"/>
      <w:marRight w:val="0"/>
      <w:marTop w:val="0"/>
      <w:marBottom w:val="0"/>
      <w:divBdr>
        <w:top w:val="none" w:sz="0" w:space="0" w:color="auto"/>
        <w:left w:val="none" w:sz="0" w:space="0" w:color="auto"/>
        <w:bottom w:val="none" w:sz="0" w:space="0" w:color="auto"/>
        <w:right w:val="none" w:sz="0" w:space="0" w:color="auto"/>
      </w:divBdr>
    </w:div>
    <w:div w:id="1508523304">
      <w:bodyDiv w:val="1"/>
      <w:marLeft w:val="0"/>
      <w:marRight w:val="0"/>
      <w:marTop w:val="0"/>
      <w:marBottom w:val="0"/>
      <w:divBdr>
        <w:top w:val="none" w:sz="0" w:space="0" w:color="auto"/>
        <w:left w:val="none" w:sz="0" w:space="0" w:color="auto"/>
        <w:bottom w:val="none" w:sz="0" w:space="0" w:color="auto"/>
        <w:right w:val="none" w:sz="0" w:space="0" w:color="auto"/>
      </w:divBdr>
    </w:div>
    <w:div w:id="1509443230">
      <w:bodyDiv w:val="1"/>
      <w:marLeft w:val="0"/>
      <w:marRight w:val="0"/>
      <w:marTop w:val="0"/>
      <w:marBottom w:val="0"/>
      <w:divBdr>
        <w:top w:val="none" w:sz="0" w:space="0" w:color="auto"/>
        <w:left w:val="none" w:sz="0" w:space="0" w:color="auto"/>
        <w:bottom w:val="none" w:sz="0" w:space="0" w:color="auto"/>
        <w:right w:val="none" w:sz="0" w:space="0" w:color="auto"/>
      </w:divBdr>
    </w:div>
    <w:div w:id="1515149147">
      <w:bodyDiv w:val="1"/>
      <w:marLeft w:val="0"/>
      <w:marRight w:val="0"/>
      <w:marTop w:val="0"/>
      <w:marBottom w:val="0"/>
      <w:divBdr>
        <w:top w:val="none" w:sz="0" w:space="0" w:color="auto"/>
        <w:left w:val="none" w:sz="0" w:space="0" w:color="auto"/>
        <w:bottom w:val="none" w:sz="0" w:space="0" w:color="auto"/>
        <w:right w:val="none" w:sz="0" w:space="0" w:color="auto"/>
      </w:divBdr>
    </w:div>
    <w:div w:id="1515992073">
      <w:bodyDiv w:val="1"/>
      <w:marLeft w:val="0"/>
      <w:marRight w:val="0"/>
      <w:marTop w:val="0"/>
      <w:marBottom w:val="0"/>
      <w:divBdr>
        <w:top w:val="none" w:sz="0" w:space="0" w:color="auto"/>
        <w:left w:val="none" w:sz="0" w:space="0" w:color="auto"/>
        <w:bottom w:val="none" w:sz="0" w:space="0" w:color="auto"/>
        <w:right w:val="none" w:sz="0" w:space="0" w:color="auto"/>
      </w:divBdr>
    </w:div>
    <w:div w:id="1516311956">
      <w:bodyDiv w:val="1"/>
      <w:marLeft w:val="0"/>
      <w:marRight w:val="0"/>
      <w:marTop w:val="0"/>
      <w:marBottom w:val="0"/>
      <w:divBdr>
        <w:top w:val="none" w:sz="0" w:space="0" w:color="auto"/>
        <w:left w:val="none" w:sz="0" w:space="0" w:color="auto"/>
        <w:bottom w:val="none" w:sz="0" w:space="0" w:color="auto"/>
        <w:right w:val="none" w:sz="0" w:space="0" w:color="auto"/>
      </w:divBdr>
    </w:div>
    <w:div w:id="1517228809">
      <w:bodyDiv w:val="1"/>
      <w:marLeft w:val="0"/>
      <w:marRight w:val="0"/>
      <w:marTop w:val="0"/>
      <w:marBottom w:val="0"/>
      <w:divBdr>
        <w:top w:val="none" w:sz="0" w:space="0" w:color="auto"/>
        <w:left w:val="none" w:sz="0" w:space="0" w:color="auto"/>
        <w:bottom w:val="none" w:sz="0" w:space="0" w:color="auto"/>
        <w:right w:val="none" w:sz="0" w:space="0" w:color="auto"/>
      </w:divBdr>
    </w:div>
    <w:div w:id="1517769173">
      <w:bodyDiv w:val="1"/>
      <w:marLeft w:val="0"/>
      <w:marRight w:val="0"/>
      <w:marTop w:val="0"/>
      <w:marBottom w:val="0"/>
      <w:divBdr>
        <w:top w:val="none" w:sz="0" w:space="0" w:color="auto"/>
        <w:left w:val="none" w:sz="0" w:space="0" w:color="auto"/>
        <w:bottom w:val="none" w:sz="0" w:space="0" w:color="auto"/>
        <w:right w:val="none" w:sz="0" w:space="0" w:color="auto"/>
      </w:divBdr>
    </w:div>
    <w:div w:id="1518542255">
      <w:bodyDiv w:val="1"/>
      <w:marLeft w:val="0"/>
      <w:marRight w:val="0"/>
      <w:marTop w:val="0"/>
      <w:marBottom w:val="0"/>
      <w:divBdr>
        <w:top w:val="none" w:sz="0" w:space="0" w:color="auto"/>
        <w:left w:val="none" w:sz="0" w:space="0" w:color="auto"/>
        <w:bottom w:val="none" w:sz="0" w:space="0" w:color="auto"/>
        <w:right w:val="none" w:sz="0" w:space="0" w:color="auto"/>
      </w:divBdr>
    </w:div>
    <w:div w:id="1518697464">
      <w:bodyDiv w:val="1"/>
      <w:marLeft w:val="0"/>
      <w:marRight w:val="0"/>
      <w:marTop w:val="0"/>
      <w:marBottom w:val="0"/>
      <w:divBdr>
        <w:top w:val="none" w:sz="0" w:space="0" w:color="auto"/>
        <w:left w:val="none" w:sz="0" w:space="0" w:color="auto"/>
        <w:bottom w:val="none" w:sz="0" w:space="0" w:color="auto"/>
        <w:right w:val="none" w:sz="0" w:space="0" w:color="auto"/>
      </w:divBdr>
    </w:div>
    <w:div w:id="1518807384">
      <w:bodyDiv w:val="1"/>
      <w:marLeft w:val="0"/>
      <w:marRight w:val="0"/>
      <w:marTop w:val="0"/>
      <w:marBottom w:val="0"/>
      <w:divBdr>
        <w:top w:val="none" w:sz="0" w:space="0" w:color="auto"/>
        <w:left w:val="none" w:sz="0" w:space="0" w:color="auto"/>
        <w:bottom w:val="none" w:sz="0" w:space="0" w:color="auto"/>
        <w:right w:val="none" w:sz="0" w:space="0" w:color="auto"/>
      </w:divBdr>
    </w:div>
    <w:div w:id="1520117750">
      <w:bodyDiv w:val="1"/>
      <w:marLeft w:val="0"/>
      <w:marRight w:val="0"/>
      <w:marTop w:val="0"/>
      <w:marBottom w:val="0"/>
      <w:divBdr>
        <w:top w:val="none" w:sz="0" w:space="0" w:color="auto"/>
        <w:left w:val="none" w:sz="0" w:space="0" w:color="auto"/>
        <w:bottom w:val="none" w:sz="0" w:space="0" w:color="auto"/>
        <w:right w:val="none" w:sz="0" w:space="0" w:color="auto"/>
      </w:divBdr>
    </w:div>
    <w:div w:id="1524124663">
      <w:bodyDiv w:val="1"/>
      <w:marLeft w:val="0"/>
      <w:marRight w:val="0"/>
      <w:marTop w:val="0"/>
      <w:marBottom w:val="0"/>
      <w:divBdr>
        <w:top w:val="none" w:sz="0" w:space="0" w:color="auto"/>
        <w:left w:val="none" w:sz="0" w:space="0" w:color="auto"/>
        <w:bottom w:val="none" w:sz="0" w:space="0" w:color="auto"/>
        <w:right w:val="none" w:sz="0" w:space="0" w:color="auto"/>
      </w:divBdr>
    </w:div>
    <w:div w:id="1524514263">
      <w:bodyDiv w:val="1"/>
      <w:marLeft w:val="0"/>
      <w:marRight w:val="0"/>
      <w:marTop w:val="0"/>
      <w:marBottom w:val="0"/>
      <w:divBdr>
        <w:top w:val="none" w:sz="0" w:space="0" w:color="auto"/>
        <w:left w:val="none" w:sz="0" w:space="0" w:color="auto"/>
        <w:bottom w:val="none" w:sz="0" w:space="0" w:color="auto"/>
        <w:right w:val="none" w:sz="0" w:space="0" w:color="auto"/>
      </w:divBdr>
    </w:div>
    <w:div w:id="1525170390">
      <w:bodyDiv w:val="1"/>
      <w:marLeft w:val="0"/>
      <w:marRight w:val="0"/>
      <w:marTop w:val="0"/>
      <w:marBottom w:val="0"/>
      <w:divBdr>
        <w:top w:val="none" w:sz="0" w:space="0" w:color="auto"/>
        <w:left w:val="none" w:sz="0" w:space="0" w:color="auto"/>
        <w:bottom w:val="none" w:sz="0" w:space="0" w:color="auto"/>
        <w:right w:val="none" w:sz="0" w:space="0" w:color="auto"/>
      </w:divBdr>
    </w:div>
    <w:div w:id="1526600510">
      <w:bodyDiv w:val="1"/>
      <w:marLeft w:val="0"/>
      <w:marRight w:val="0"/>
      <w:marTop w:val="0"/>
      <w:marBottom w:val="0"/>
      <w:divBdr>
        <w:top w:val="none" w:sz="0" w:space="0" w:color="auto"/>
        <w:left w:val="none" w:sz="0" w:space="0" w:color="auto"/>
        <w:bottom w:val="none" w:sz="0" w:space="0" w:color="auto"/>
        <w:right w:val="none" w:sz="0" w:space="0" w:color="auto"/>
      </w:divBdr>
    </w:div>
    <w:div w:id="1526746895">
      <w:bodyDiv w:val="1"/>
      <w:marLeft w:val="0"/>
      <w:marRight w:val="0"/>
      <w:marTop w:val="0"/>
      <w:marBottom w:val="0"/>
      <w:divBdr>
        <w:top w:val="none" w:sz="0" w:space="0" w:color="auto"/>
        <w:left w:val="none" w:sz="0" w:space="0" w:color="auto"/>
        <w:bottom w:val="none" w:sz="0" w:space="0" w:color="auto"/>
        <w:right w:val="none" w:sz="0" w:space="0" w:color="auto"/>
      </w:divBdr>
    </w:div>
    <w:div w:id="1527526542">
      <w:bodyDiv w:val="1"/>
      <w:marLeft w:val="0"/>
      <w:marRight w:val="0"/>
      <w:marTop w:val="0"/>
      <w:marBottom w:val="0"/>
      <w:divBdr>
        <w:top w:val="none" w:sz="0" w:space="0" w:color="auto"/>
        <w:left w:val="none" w:sz="0" w:space="0" w:color="auto"/>
        <w:bottom w:val="none" w:sz="0" w:space="0" w:color="auto"/>
        <w:right w:val="none" w:sz="0" w:space="0" w:color="auto"/>
      </w:divBdr>
    </w:div>
    <w:div w:id="1529564207">
      <w:bodyDiv w:val="1"/>
      <w:marLeft w:val="0"/>
      <w:marRight w:val="0"/>
      <w:marTop w:val="0"/>
      <w:marBottom w:val="0"/>
      <w:divBdr>
        <w:top w:val="none" w:sz="0" w:space="0" w:color="auto"/>
        <w:left w:val="none" w:sz="0" w:space="0" w:color="auto"/>
        <w:bottom w:val="none" w:sz="0" w:space="0" w:color="auto"/>
        <w:right w:val="none" w:sz="0" w:space="0" w:color="auto"/>
      </w:divBdr>
    </w:div>
    <w:div w:id="1531261400">
      <w:bodyDiv w:val="1"/>
      <w:marLeft w:val="0"/>
      <w:marRight w:val="0"/>
      <w:marTop w:val="0"/>
      <w:marBottom w:val="0"/>
      <w:divBdr>
        <w:top w:val="none" w:sz="0" w:space="0" w:color="auto"/>
        <w:left w:val="none" w:sz="0" w:space="0" w:color="auto"/>
        <w:bottom w:val="none" w:sz="0" w:space="0" w:color="auto"/>
        <w:right w:val="none" w:sz="0" w:space="0" w:color="auto"/>
      </w:divBdr>
    </w:div>
    <w:div w:id="1535312533">
      <w:bodyDiv w:val="1"/>
      <w:marLeft w:val="0"/>
      <w:marRight w:val="0"/>
      <w:marTop w:val="0"/>
      <w:marBottom w:val="0"/>
      <w:divBdr>
        <w:top w:val="none" w:sz="0" w:space="0" w:color="auto"/>
        <w:left w:val="none" w:sz="0" w:space="0" w:color="auto"/>
        <w:bottom w:val="none" w:sz="0" w:space="0" w:color="auto"/>
        <w:right w:val="none" w:sz="0" w:space="0" w:color="auto"/>
      </w:divBdr>
    </w:div>
    <w:div w:id="1539047733">
      <w:bodyDiv w:val="1"/>
      <w:marLeft w:val="0"/>
      <w:marRight w:val="0"/>
      <w:marTop w:val="0"/>
      <w:marBottom w:val="0"/>
      <w:divBdr>
        <w:top w:val="none" w:sz="0" w:space="0" w:color="auto"/>
        <w:left w:val="none" w:sz="0" w:space="0" w:color="auto"/>
        <w:bottom w:val="none" w:sz="0" w:space="0" w:color="auto"/>
        <w:right w:val="none" w:sz="0" w:space="0" w:color="auto"/>
      </w:divBdr>
    </w:div>
    <w:div w:id="1539582664">
      <w:bodyDiv w:val="1"/>
      <w:marLeft w:val="0"/>
      <w:marRight w:val="0"/>
      <w:marTop w:val="0"/>
      <w:marBottom w:val="0"/>
      <w:divBdr>
        <w:top w:val="none" w:sz="0" w:space="0" w:color="auto"/>
        <w:left w:val="none" w:sz="0" w:space="0" w:color="auto"/>
        <w:bottom w:val="none" w:sz="0" w:space="0" w:color="auto"/>
        <w:right w:val="none" w:sz="0" w:space="0" w:color="auto"/>
      </w:divBdr>
    </w:div>
    <w:div w:id="1539973208">
      <w:bodyDiv w:val="1"/>
      <w:marLeft w:val="0"/>
      <w:marRight w:val="0"/>
      <w:marTop w:val="0"/>
      <w:marBottom w:val="0"/>
      <w:divBdr>
        <w:top w:val="none" w:sz="0" w:space="0" w:color="auto"/>
        <w:left w:val="none" w:sz="0" w:space="0" w:color="auto"/>
        <w:bottom w:val="none" w:sz="0" w:space="0" w:color="auto"/>
        <w:right w:val="none" w:sz="0" w:space="0" w:color="auto"/>
      </w:divBdr>
    </w:div>
    <w:div w:id="1540245655">
      <w:bodyDiv w:val="1"/>
      <w:marLeft w:val="0"/>
      <w:marRight w:val="0"/>
      <w:marTop w:val="0"/>
      <w:marBottom w:val="0"/>
      <w:divBdr>
        <w:top w:val="none" w:sz="0" w:space="0" w:color="auto"/>
        <w:left w:val="none" w:sz="0" w:space="0" w:color="auto"/>
        <w:bottom w:val="none" w:sz="0" w:space="0" w:color="auto"/>
        <w:right w:val="none" w:sz="0" w:space="0" w:color="auto"/>
      </w:divBdr>
    </w:div>
    <w:div w:id="154155014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2983233">
      <w:bodyDiv w:val="1"/>
      <w:marLeft w:val="0"/>
      <w:marRight w:val="0"/>
      <w:marTop w:val="0"/>
      <w:marBottom w:val="0"/>
      <w:divBdr>
        <w:top w:val="none" w:sz="0" w:space="0" w:color="auto"/>
        <w:left w:val="none" w:sz="0" w:space="0" w:color="auto"/>
        <w:bottom w:val="none" w:sz="0" w:space="0" w:color="auto"/>
        <w:right w:val="none" w:sz="0" w:space="0" w:color="auto"/>
      </w:divBdr>
    </w:div>
    <w:div w:id="1543176741">
      <w:bodyDiv w:val="1"/>
      <w:marLeft w:val="0"/>
      <w:marRight w:val="0"/>
      <w:marTop w:val="0"/>
      <w:marBottom w:val="0"/>
      <w:divBdr>
        <w:top w:val="none" w:sz="0" w:space="0" w:color="auto"/>
        <w:left w:val="none" w:sz="0" w:space="0" w:color="auto"/>
        <w:bottom w:val="none" w:sz="0" w:space="0" w:color="auto"/>
        <w:right w:val="none" w:sz="0" w:space="0" w:color="auto"/>
      </w:divBdr>
    </w:div>
    <w:div w:id="1543204199">
      <w:bodyDiv w:val="1"/>
      <w:marLeft w:val="0"/>
      <w:marRight w:val="0"/>
      <w:marTop w:val="0"/>
      <w:marBottom w:val="0"/>
      <w:divBdr>
        <w:top w:val="none" w:sz="0" w:space="0" w:color="auto"/>
        <w:left w:val="none" w:sz="0" w:space="0" w:color="auto"/>
        <w:bottom w:val="none" w:sz="0" w:space="0" w:color="auto"/>
        <w:right w:val="none" w:sz="0" w:space="0" w:color="auto"/>
      </w:divBdr>
    </w:div>
    <w:div w:id="1543327535">
      <w:bodyDiv w:val="1"/>
      <w:marLeft w:val="0"/>
      <w:marRight w:val="0"/>
      <w:marTop w:val="0"/>
      <w:marBottom w:val="0"/>
      <w:divBdr>
        <w:top w:val="none" w:sz="0" w:space="0" w:color="auto"/>
        <w:left w:val="none" w:sz="0" w:space="0" w:color="auto"/>
        <w:bottom w:val="none" w:sz="0" w:space="0" w:color="auto"/>
        <w:right w:val="none" w:sz="0" w:space="0" w:color="auto"/>
      </w:divBdr>
    </w:div>
    <w:div w:id="1545826815">
      <w:bodyDiv w:val="1"/>
      <w:marLeft w:val="0"/>
      <w:marRight w:val="0"/>
      <w:marTop w:val="0"/>
      <w:marBottom w:val="0"/>
      <w:divBdr>
        <w:top w:val="none" w:sz="0" w:space="0" w:color="auto"/>
        <w:left w:val="none" w:sz="0" w:space="0" w:color="auto"/>
        <w:bottom w:val="none" w:sz="0" w:space="0" w:color="auto"/>
        <w:right w:val="none" w:sz="0" w:space="0" w:color="auto"/>
      </w:divBdr>
      <w:divsChild>
        <w:div w:id="307128850">
          <w:marLeft w:val="0"/>
          <w:marRight w:val="0"/>
          <w:marTop w:val="0"/>
          <w:marBottom w:val="0"/>
          <w:divBdr>
            <w:top w:val="none" w:sz="0" w:space="0" w:color="auto"/>
            <w:left w:val="none" w:sz="0" w:space="0" w:color="auto"/>
            <w:bottom w:val="none" w:sz="0" w:space="0" w:color="auto"/>
            <w:right w:val="none" w:sz="0" w:space="0" w:color="auto"/>
          </w:divBdr>
        </w:div>
        <w:div w:id="762996947">
          <w:marLeft w:val="0"/>
          <w:marRight w:val="0"/>
          <w:marTop w:val="0"/>
          <w:marBottom w:val="0"/>
          <w:divBdr>
            <w:top w:val="none" w:sz="0" w:space="0" w:color="auto"/>
            <w:left w:val="none" w:sz="0" w:space="0" w:color="auto"/>
            <w:bottom w:val="none" w:sz="0" w:space="0" w:color="auto"/>
            <w:right w:val="none" w:sz="0" w:space="0" w:color="auto"/>
          </w:divBdr>
        </w:div>
      </w:divsChild>
    </w:div>
    <w:div w:id="1547376806">
      <w:bodyDiv w:val="1"/>
      <w:marLeft w:val="0"/>
      <w:marRight w:val="0"/>
      <w:marTop w:val="0"/>
      <w:marBottom w:val="0"/>
      <w:divBdr>
        <w:top w:val="none" w:sz="0" w:space="0" w:color="auto"/>
        <w:left w:val="none" w:sz="0" w:space="0" w:color="auto"/>
        <w:bottom w:val="none" w:sz="0" w:space="0" w:color="auto"/>
        <w:right w:val="none" w:sz="0" w:space="0" w:color="auto"/>
      </w:divBdr>
    </w:div>
    <w:div w:id="1548759713">
      <w:bodyDiv w:val="1"/>
      <w:marLeft w:val="0"/>
      <w:marRight w:val="0"/>
      <w:marTop w:val="0"/>
      <w:marBottom w:val="0"/>
      <w:divBdr>
        <w:top w:val="none" w:sz="0" w:space="0" w:color="auto"/>
        <w:left w:val="none" w:sz="0" w:space="0" w:color="auto"/>
        <w:bottom w:val="none" w:sz="0" w:space="0" w:color="auto"/>
        <w:right w:val="none" w:sz="0" w:space="0" w:color="auto"/>
      </w:divBdr>
    </w:div>
    <w:div w:id="1551378948">
      <w:bodyDiv w:val="1"/>
      <w:marLeft w:val="0"/>
      <w:marRight w:val="0"/>
      <w:marTop w:val="0"/>
      <w:marBottom w:val="0"/>
      <w:divBdr>
        <w:top w:val="none" w:sz="0" w:space="0" w:color="auto"/>
        <w:left w:val="none" w:sz="0" w:space="0" w:color="auto"/>
        <w:bottom w:val="none" w:sz="0" w:space="0" w:color="auto"/>
        <w:right w:val="none" w:sz="0" w:space="0" w:color="auto"/>
      </w:divBdr>
    </w:div>
    <w:div w:id="1552225676">
      <w:bodyDiv w:val="1"/>
      <w:marLeft w:val="0"/>
      <w:marRight w:val="0"/>
      <w:marTop w:val="0"/>
      <w:marBottom w:val="0"/>
      <w:divBdr>
        <w:top w:val="none" w:sz="0" w:space="0" w:color="auto"/>
        <w:left w:val="none" w:sz="0" w:space="0" w:color="auto"/>
        <w:bottom w:val="none" w:sz="0" w:space="0" w:color="auto"/>
        <w:right w:val="none" w:sz="0" w:space="0" w:color="auto"/>
      </w:divBdr>
    </w:div>
    <w:div w:id="1557163229">
      <w:bodyDiv w:val="1"/>
      <w:marLeft w:val="0"/>
      <w:marRight w:val="0"/>
      <w:marTop w:val="0"/>
      <w:marBottom w:val="0"/>
      <w:divBdr>
        <w:top w:val="none" w:sz="0" w:space="0" w:color="auto"/>
        <w:left w:val="none" w:sz="0" w:space="0" w:color="auto"/>
        <w:bottom w:val="none" w:sz="0" w:space="0" w:color="auto"/>
        <w:right w:val="none" w:sz="0" w:space="0" w:color="auto"/>
      </w:divBdr>
    </w:div>
    <w:div w:id="1558053446">
      <w:bodyDiv w:val="1"/>
      <w:marLeft w:val="0"/>
      <w:marRight w:val="0"/>
      <w:marTop w:val="0"/>
      <w:marBottom w:val="0"/>
      <w:divBdr>
        <w:top w:val="none" w:sz="0" w:space="0" w:color="auto"/>
        <w:left w:val="none" w:sz="0" w:space="0" w:color="auto"/>
        <w:bottom w:val="none" w:sz="0" w:space="0" w:color="auto"/>
        <w:right w:val="none" w:sz="0" w:space="0" w:color="auto"/>
      </w:divBdr>
    </w:div>
    <w:div w:id="1558083377">
      <w:bodyDiv w:val="1"/>
      <w:marLeft w:val="0"/>
      <w:marRight w:val="0"/>
      <w:marTop w:val="0"/>
      <w:marBottom w:val="0"/>
      <w:divBdr>
        <w:top w:val="none" w:sz="0" w:space="0" w:color="auto"/>
        <w:left w:val="none" w:sz="0" w:space="0" w:color="auto"/>
        <w:bottom w:val="none" w:sz="0" w:space="0" w:color="auto"/>
        <w:right w:val="none" w:sz="0" w:space="0" w:color="auto"/>
      </w:divBdr>
    </w:div>
    <w:div w:id="1558854677">
      <w:bodyDiv w:val="1"/>
      <w:marLeft w:val="0"/>
      <w:marRight w:val="0"/>
      <w:marTop w:val="0"/>
      <w:marBottom w:val="0"/>
      <w:divBdr>
        <w:top w:val="none" w:sz="0" w:space="0" w:color="auto"/>
        <w:left w:val="none" w:sz="0" w:space="0" w:color="auto"/>
        <w:bottom w:val="none" w:sz="0" w:space="0" w:color="auto"/>
        <w:right w:val="none" w:sz="0" w:space="0" w:color="auto"/>
      </w:divBdr>
    </w:div>
    <w:div w:id="1560750925">
      <w:bodyDiv w:val="1"/>
      <w:marLeft w:val="0"/>
      <w:marRight w:val="0"/>
      <w:marTop w:val="0"/>
      <w:marBottom w:val="0"/>
      <w:divBdr>
        <w:top w:val="none" w:sz="0" w:space="0" w:color="auto"/>
        <w:left w:val="none" w:sz="0" w:space="0" w:color="auto"/>
        <w:bottom w:val="none" w:sz="0" w:space="0" w:color="auto"/>
        <w:right w:val="none" w:sz="0" w:space="0" w:color="auto"/>
      </w:divBdr>
    </w:div>
    <w:div w:id="1561360993">
      <w:bodyDiv w:val="1"/>
      <w:marLeft w:val="0"/>
      <w:marRight w:val="0"/>
      <w:marTop w:val="0"/>
      <w:marBottom w:val="0"/>
      <w:divBdr>
        <w:top w:val="none" w:sz="0" w:space="0" w:color="auto"/>
        <w:left w:val="none" w:sz="0" w:space="0" w:color="auto"/>
        <w:bottom w:val="none" w:sz="0" w:space="0" w:color="auto"/>
        <w:right w:val="none" w:sz="0" w:space="0" w:color="auto"/>
      </w:divBdr>
    </w:div>
    <w:div w:id="1562716337">
      <w:bodyDiv w:val="1"/>
      <w:marLeft w:val="0"/>
      <w:marRight w:val="0"/>
      <w:marTop w:val="0"/>
      <w:marBottom w:val="0"/>
      <w:divBdr>
        <w:top w:val="none" w:sz="0" w:space="0" w:color="auto"/>
        <w:left w:val="none" w:sz="0" w:space="0" w:color="auto"/>
        <w:bottom w:val="none" w:sz="0" w:space="0" w:color="auto"/>
        <w:right w:val="none" w:sz="0" w:space="0" w:color="auto"/>
      </w:divBdr>
    </w:div>
    <w:div w:id="1562986589">
      <w:bodyDiv w:val="1"/>
      <w:marLeft w:val="0"/>
      <w:marRight w:val="0"/>
      <w:marTop w:val="0"/>
      <w:marBottom w:val="0"/>
      <w:divBdr>
        <w:top w:val="none" w:sz="0" w:space="0" w:color="auto"/>
        <w:left w:val="none" w:sz="0" w:space="0" w:color="auto"/>
        <w:bottom w:val="none" w:sz="0" w:space="0" w:color="auto"/>
        <w:right w:val="none" w:sz="0" w:space="0" w:color="auto"/>
      </w:divBdr>
    </w:div>
    <w:div w:id="1563951693">
      <w:bodyDiv w:val="1"/>
      <w:marLeft w:val="0"/>
      <w:marRight w:val="0"/>
      <w:marTop w:val="0"/>
      <w:marBottom w:val="0"/>
      <w:divBdr>
        <w:top w:val="none" w:sz="0" w:space="0" w:color="auto"/>
        <w:left w:val="none" w:sz="0" w:space="0" w:color="auto"/>
        <w:bottom w:val="none" w:sz="0" w:space="0" w:color="auto"/>
        <w:right w:val="none" w:sz="0" w:space="0" w:color="auto"/>
      </w:divBdr>
    </w:div>
    <w:div w:id="1564176207">
      <w:bodyDiv w:val="1"/>
      <w:marLeft w:val="0"/>
      <w:marRight w:val="0"/>
      <w:marTop w:val="0"/>
      <w:marBottom w:val="0"/>
      <w:divBdr>
        <w:top w:val="none" w:sz="0" w:space="0" w:color="auto"/>
        <w:left w:val="none" w:sz="0" w:space="0" w:color="auto"/>
        <w:bottom w:val="none" w:sz="0" w:space="0" w:color="auto"/>
        <w:right w:val="none" w:sz="0" w:space="0" w:color="auto"/>
      </w:divBdr>
    </w:div>
    <w:div w:id="1564946425">
      <w:bodyDiv w:val="1"/>
      <w:marLeft w:val="0"/>
      <w:marRight w:val="0"/>
      <w:marTop w:val="0"/>
      <w:marBottom w:val="0"/>
      <w:divBdr>
        <w:top w:val="none" w:sz="0" w:space="0" w:color="auto"/>
        <w:left w:val="none" w:sz="0" w:space="0" w:color="auto"/>
        <w:bottom w:val="none" w:sz="0" w:space="0" w:color="auto"/>
        <w:right w:val="none" w:sz="0" w:space="0" w:color="auto"/>
      </w:divBdr>
    </w:div>
    <w:div w:id="1565022157">
      <w:bodyDiv w:val="1"/>
      <w:marLeft w:val="0"/>
      <w:marRight w:val="0"/>
      <w:marTop w:val="0"/>
      <w:marBottom w:val="0"/>
      <w:divBdr>
        <w:top w:val="none" w:sz="0" w:space="0" w:color="auto"/>
        <w:left w:val="none" w:sz="0" w:space="0" w:color="auto"/>
        <w:bottom w:val="none" w:sz="0" w:space="0" w:color="auto"/>
        <w:right w:val="none" w:sz="0" w:space="0" w:color="auto"/>
      </w:divBdr>
    </w:div>
    <w:div w:id="1565945684">
      <w:bodyDiv w:val="1"/>
      <w:marLeft w:val="0"/>
      <w:marRight w:val="0"/>
      <w:marTop w:val="0"/>
      <w:marBottom w:val="0"/>
      <w:divBdr>
        <w:top w:val="none" w:sz="0" w:space="0" w:color="auto"/>
        <w:left w:val="none" w:sz="0" w:space="0" w:color="auto"/>
        <w:bottom w:val="none" w:sz="0" w:space="0" w:color="auto"/>
        <w:right w:val="none" w:sz="0" w:space="0" w:color="auto"/>
      </w:divBdr>
    </w:div>
    <w:div w:id="1567181550">
      <w:bodyDiv w:val="1"/>
      <w:marLeft w:val="0"/>
      <w:marRight w:val="0"/>
      <w:marTop w:val="0"/>
      <w:marBottom w:val="0"/>
      <w:divBdr>
        <w:top w:val="none" w:sz="0" w:space="0" w:color="auto"/>
        <w:left w:val="none" w:sz="0" w:space="0" w:color="auto"/>
        <w:bottom w:val="none" w:sz="0" w:space="0" w:color="auto"/>
        <w:right w:val="none" w:sz="0" w:space="0" w:color="auto"/>
      </w:divBdr>
    </w:div>
    <w:div w:id="1570455893">
      <w:bodyDiv w:val="1"/>
      <w:marLeft w:val="0"/>
      <w:marRight w:val="0"/>
      <w:marTop w:val="0"/>
      <w:marBottom w:val="0"/>
      <w:divBdr>
        <w:top w:val="none" w:sz="0" w:space="0" w:color="auto"/>
        <w:left w:val="none" w:sz="0" w:space="0" w:color="auto"/>
        <w:bottom w:val="none" w:sz="0" w:space="0" w:color="auto"/>
        <w:right w:val="none" w:sz="0" w:space="0" w:color="auto"/>
      </w:divBdr>
    </w:div>
    <w:div w:id="1570730053">
      <w:bodyDiv w:val="1"/>
      <w:marLeft w:val="0"/>
      <w:marRight w:val="0"/>
      <w:marTop w:val="0"/>
      <w:marBottom w:val="0"/>
      <w:divBdr>
        <w:top w:val="none" w:sz="0" w:space="0" w:color="auto"/>
        <w:left w:val="none" w:sz="0" w:space="0" w:color="auto"/>
        <w:bottom w:val="none" w:sz="0" w:space="0" w:color="auto"/>
        <w:right w:val="none" w:sz="0" w:space="0" w:color="auto"/>
      </w:divBdr>
    </w:div>
    <w:div w:id="1570919045">
      <w:bodyDiv w:val="1"/>
      <w:marLeft w:val="0"/>
      <w:marRight w:val="0"/>
      <w:marTop w:val="0"/>
      <w:marBottom w:val="0"/>
      <w:divBdr>
        <w:top w:val="none" w:sz="0" w:space="0" w:color="auto"/>
        <w:left w:val="none" w:sz="0" w:space="0" w:color="auto"/>
        <w:bottom w:val="none" w:sz="0" w:space="0" w:color="auto"/>
        <w:right w:val="none" w:sz="0" w:space="0" w:color="auto"/>
      </w:divBdr>
    </w:div>
    <w:div w:id="1571573929">
      <w:bodyDiv w:val="1"/>
      <w:marLeft w:val="0"/>
      <w:marRight w:val="0"/>
      <w:marTop w:val="0"/>
      <w:marBottom w:val="0"/>
      <w:divBdr>
        <w:top w:val="none" w:sz="0" w:space="0" w:color="auto"/>
        <w:left w:val="none" w:sz="0" w:space="0" w:color="auto"/>
        <w:bottom w:val="none" w:sz="0" w:space="0" w:color="auto"/>
        <w:right w:val="none" w:sz="0" w:space="0" w:color="auto"/>
      </w:divBdr>
    </w:div>
    <w:div w:id="1573585434">
      <w:bodyDiv w:val="1"/>
      <w:marLeft w:val="0"/>
      <w:marRight w:val="0"/>
      <w:marTop w:val="0"/>
      <w:marBottom w:val="0"/>
      <w:divBdr>
        <w:top w:val="none" w:sz="0" w:space="0" w:color="auto"/>
        <w:left w:val="none" w:sz="0" w:space="0" w:color="auto"/>
        <w:bottom w:val="none" w:sz="0" w:space="0" w:color="auto"/>
        <w:right w:val="none" w:sz="0" w:space="0" w:color="auto"/>
      </w:divBdr>
    </w:div>
    <w:div w:id="1573588442">
      <w:bodyDiv w:val="1"/>
      <w:marLeft w:val="0"/>
      <w:marRight w:val="0"/>
      <w:marTop w:val="0"/>
      <w:marBottom w:val="0"/>
      <w:divBdr>
        <w:top w:val="none" w:sz="0" w:space="0" w:color="auto"/>
        <w:left w:val="none" w:sz="0" w:space="0" w:color="auto"/>
        <w:bottom w:val="none" w:sz="0" w:space="0" w:color="auto"/>
        <w:right w:val="none" w:sz="0" w:space="0" w:color="auto"/>
      </w:divBdr>
    </w:div>
    <w:div w:id="1573657548">
      <w:bodyDiv w:val="1"/>
      <w:marLeft w:val="0"/>
      <w:marRight w:val="0"/>
      <w:marTop w:val="0"/>
      <w:marBottom w:val="0"/>
      <w:divBdr>
        <w:top w:val="none" w:sz="0" w:space="0" w:color="auto"/>
        <w:left w:val="none" w:sz="0" w:space="0" w:color="auto"/>
        <w:bottom w:val="none" w:sz="0" w:space="0" w:color="auto"/>
        <w:right w:val="none" w:sz="0" w:space="0" w:color="auto"/>
      </w:divBdr>
    </w:div>
    <w:div w:id="1573733586">
      <w:bodyDiv w:val="1"/>
      <w:marLeft w:val="0"/>
      <w:marRight w:val="0"/>
      <w:marTop w:val="0"/>
      <w:marBottom w:val="0"/>
      <w:divBdr>
        <w:top w:val="none" w:sz="0" w:space="0" w:color="auto"/>
        <w:left w:val="none" w:sz="0" w:space="0" w:color="auto"/>
        <w:bottom w:val="none" w:sz="0" w:space="0" w:color="auto"/>
        <w:right w:val="none" w:sz="0" w:space="0" w:color="auto"/>
      </w:divBdr>
    </w:div>
    <w:div w:id="1575116949">
      <w:bodyDiv w:val="1"/>
      <w:marLeft w:val="0"/>
      <w:marRight w:val="0"/>
      <w:marTop w:val="0"/>
      <w:marBottom w:val="0"/>
      <w:divBdr>
        <w:top w:val="none" w:sz="0" w:space="0" w:color="auto"/>
        <w:left w:val="none" w:sz="0" w:space="0" w:color="auto"/>
        <w:bottom w:val="none" w:sz="0" w:space="0" w:color="auto"/>
        <w:right w:val="none" w:sz="0" w:space="0" w:color="auto"/>
      </w:divBdr>
    </w:div>
    <w:div w:id="1575816277">
      <w:bodyDiv w:val="1"/>
      <w:marLeft w:val="0"/>
      <w:marRight w:val="0"/>
      <w:marTop w:val="0"/>
      <w:marBottom w:val="0"/>
      <w:divBdr>
        <w:top w:val="none" w:sz="0" w:space="0" w:color="auto"/>
        <w:left w:val="none" w:sz="0" w:space="0" w:color="auto"/>
        <w:bottom w:val="none" w:sz="0" w:space="0" w:color="auto"/>
        <w:right w:val="none" w:sz="0" w:space="0" w:color="auto"/>
      </w:divBdr>
    </w:div>
    <w:div w:id="1576278090">
      <w:bodyDiv w:val="1"/>
      <w:marLeft w:val="0"/>
      <w:marRight w:val="0"/>
      <w:marTop w:val="0"/>
      <w:marBottom w:val="0"/>
      <w:divBdr>
        <w:top w:val="none" w:sz="0" w:space="0" w:color="auto"/>
        <w:left w:val="none" w:sz="0" w:space="0" w:color="auto"/>
        <w:bottom w:val="none" w:sz="0" w:space="0" w:color="auto"/>
        <w:right w:val="none" w:sz="0" w:space="0" w:color="auto"/>
      </w:divBdr>
    </w:div>
    <w:div w:id="1576862426">
      <w:bodyDiv w:val="1"/>
      <w:marLeft w:val="0"/>
      <w:marRight w:val="0"/>
      <w:marTop w:val="0"/>
      <w:marBottom w:val="0"/>
      <w:divBdr>
        <w:top w:val="none" w:sz="0" w:space="0" w:color="auto"/>
        <w:left w:val="none" w:sz="0" w:space="0" w:color="auto"/>
        <w:bottom w:val="none" w:sz="0" w:space="0" w:color="auto"/>
        <w:right w:val="none" w:sz="0" w:space="0" w:color="auto"/>
      </w:divBdr>
    </w:div>
    <w:div w:id="1577324206">
      <w:bodyDiv w:val="1"/>
      <w:marLeft w:val="0"/>
      <w:marRight w:val="0"/>
      <w:marTop w:val="0"/>
      <w:marBottom w:val="0"/>
      <w:divBdr>
        <w:top w:val="none" w:sz="0" w:space="0" w:color="auto"/>
        <w:left w:val="none" w:sz="0" w:space="0" w:color="auto"/>
        <w:bottom w:val="none" w:sz="0" w:space="0" w:color="auto"/>
        <w:right w:val="none" w:sz="0" w:space="0" w:color="auto"/>
      </w:divBdr>
    </w:div>
    <w:div w:id="1577671689">
      <w:bodyDiv w:val="1"/>
      <w:marLeft w:val="0"/>
      <w:marRight w:val="0"/>
      <w:marTop w:val="0"/>
      <w:marBottom w:val="0"/>
      <w:divBdr>
        <w:top w:val="none" w:sz="0" w:space="0" w:color="auto"/>
        <w:left w:val="none" w:sz="0" w:space="0" w:color="auto"/>
        <w:bottom w:val="none" w:sz="0" w:space="0" w:color="auto"/>
        <w:right w:val="none" w:sz="0" w:space="0" w:color="auto"/>
      </w:divBdr>
    </w:div>
    <w:div w:id="1581215373">
      <w:bodyDiv w:val="1"/>
      <w:marLeft w:val="0"/>
      <w:marRight w:val="0"/>
      <w:marTop w:val="0"/>
      <w:marBottom w:val="0"/>
      <w:divBdr>
        <w:top w:val="none" w:sz="0" w:space="0" w:color="auto"/>
        <w:left w:val="none" w:sz="0" w:space="0" w:color="auto"/>
        <w:bottom w:val="none" w:sz="0" w:space="0" w:color="auto"/>
        <w:right w:val="none" w:sz="0" w:space="0" w:color="auto"/>
      </w:divBdr>
    </w:div>
    <w:div w:id="1582135920">
      <w:bodyDiv w:val="1"/>
      <w:marLeft w:val="0"/>
      <w:marRight w:val="0"/>
      <w:marTop w:val="0"/>
      <w:marBottom w:val="0"/>
      <w:divBdr>
        <w:top w:val="none" w:sz="0" w:space="0" w:color="auto"/>
        <w:left w:val="none" w:sz="0" w:space="0" w:color="auto"/>
        <w:bottom w:val="none" w:sz="0" w:space="0" w:color="auto"/>
        <w:right w:val="none" w:sz="0" w:space="0" w:color="auto"/>
      </w:divBdr>
    </w:div>
    <w:div w:id="1583022246">
      <w:bodyDiv w:val="1"/>
      <w:marLeft w:val="0"/>
      <w:marRight w:val="0"/>
      <w:marTop w:val="0"/>
      <w:marBottom w:val="0"/>
      <w:divBdr>
        <w:top w:val="none" w:sz="0" w:space="0" w:color="auto"/>
        <w:left w:val="none" w:sz="0" w:space="0" w:color="auto"/>
        <w:bottom w:val="none" w:sz="0" w:space="0" w:color="auto"/>
        <w:right w:val="none" w:sz="0" w:space="0" w:color="auto"/>
      </w:divBdr>
    </w:div>
    <w:div w:id="1586185919">
      <w:bodyDiv w:val="1"/>
      <w:marLeft w:val="0"/>
      <w:marRight w:val="0"/>
      <w:marTop w:val="0"/>
      <w:marBottom w:val="0"/>
      <w:divBdr>
        <w:top w:val="none" w:sz="0" w:space="0" w:color="auto"/>
        <w:left w:val="none" w:sz="0" w:space="0" w:color="auto"/>
        <w:bottom w:val="none" w:sz="0" w:space="0" w:color="auto"/>
        <w:right w:val="none" w:sz="0" w:space="0" w:color="auto"/>
      </w:divBdr>
    </w:div>
    <w:div w:id="1586836925">
      <w:bodyDiv w:val="1"/>
      <w:marLeft w:val="0"/>
      <w:marRight w:val="0"/>
      <w:marTop w:val="0"/>
      <w:marBottom w:val="0"/>
      <w:divBdr>
        <w:top w:val="none" w:sz="0" w:space="0" w:color="auto"/>
        <w:left w:val="none" w:sz="0" w:space="0" w:color="auto"/>
        <w:bottom w:val="none" w:sz="0" w:space="0" w:color="auto"/>
        <w:right w:val="none" w:sz="0" w:space="0" w:color="auto"/>
      </w:divBdr>
    </w:div>
    <w:div w:id="1587423802">
      <w:bodyDiv w:val="1"/>
      <w:marLeft w:val="0"/>
      <w:marRight w:val="0"/>
      <w:marTop w:val="0"/>
      <w:marBottom w:val="0"/>
      <w:divBdr>
        <w:top w:val="none" w:sz="0" w:space="0" w:color="auto"/>
        <w:left w:val="none" w:sz="0" w:space="0" w:color="auto"/>
        <w:bottom w:val="none" w:sz="0" w:space="0" w:color="auto"/>
        <w:right w:val="none" w:sz="0" w:space="0" w:color="auto"/>
      </w:divBdr>
    </w:div>
    <w:div w:id="1587812111">
      <w:bodyDiv w:val="1"/>
      <w:marLeft w:val="0"/>
      <w:marRight w:val="0"/>
      <w:marTop w:val="0"/>
      <w:marBottom w:val="0"/>
      <w:divBdr>
        <w:top w:val="none" w:sz="0" w:space="0" w:color="auto"/>
        <w:left w:val="none" w:sz="0" w:space="0" w:color="auto"/>
        <w:bottom w:val="none" w:sz="0" w:space="0" w:color="auto"/>
        <w:right w:val="none" w:sz="0" w:space="0" w:color="auto"/>
      </w:divBdr>
    </w:div>
    <w:div w:id="1589314996">
      <w:bodyDiv w:val="1"/>
      <w:marLeft w:val="0"/>
      <w:marRight w:val="0"/>
      <w:marTop w:val="0"/>
      <w:marBottom w:val="0"/>
      <w:divBdr>
        <w:top w:val="none" w:sz="0" w:space="0" w:color="auto"/>
        <w:left w:val="none" w:sz="0" w:space="0" w:color="auto"/>
        <w:bottom w:val="none" w:sz="0" w:space="0" w:color="auto"/>
        <w:right w:val="none" w:sz="0" w:space="0" w:color="auto"/>
      </w:divBdr>
    </w:div>
    <w:div w:id="1591766974">
      <w:bodyDiv w:val="1"/>
      <w:marLeft w:val="0"/>
      <w:marRight w:val="0"/>
      <w:marTop w:val="0"/>
      <w:marBottom w:val="0"/>
      <w:divBdr>
        <w:top w:val="none" w:sz="0" w:space="0" w:color="auto"/>
        <w:left w:val="none" w:sz="0" w:space="0" w:color="auto"/>
        <w:bottom w:val="none" w:sz="0" w:space="0" w:color="auto"/>
        <w:right w:val="none" w:sz="0" w:space="0" w:color="auto"/>
      </w:divBdr>
    </w:div>
    <w:div w:id="1594895001">
      <w:bodyDiv w:val="1"/>
      <w:marLeft w:val="0"/>
      <w:marRight w:val="0"/>
      <w:marTop w:val="0"/>
      <w:marBottom w:val="0"/>
      <w:divBdr>
        <w:top w:val="none" w:sz="0" w:space="0" w:color="auto"/>
        <w:left w:val="none" w:sz="0" w:space="0" w:color="auto"/>
        <w:bottom w:val="none" w:sz="0" w:space="0" w:color="auto"/>
        <w:right w:val="none" w:sz="0" w:space="0" w:color="auto"/>
      </w:divBdr>
    </w:div>
    <w:div w:id="1595165917">
      <w:bodyDiv w:val="1"/>
      <w:marLeft w:val="0"/>
      <w:marRight w:val="0"/>
      <w:marTop w:val="0"/>
      <w:marBottom w:val="0"/>
      <w:divBdr>
        <w:top w:val="none" w:sz="0" w:space="0" w:color="auto"/>
        <w:left w:val="none" w:sz="0" w:space="0" w:color="auto"/>
        <w:bottom w:val="none" w:sz="0" w:space="0" w:color="auto"/>
        <w:right w:val="none" w:sz="0" w:space="0" w:color="auto"/>
      </w:divBdr>
    </w:div>
    <w:div w:id="1596593313">
      <w:bodyDiv w:val="1"/>
      <w:marLeft w:val="0"/>
      <w:marRight w:val="0"/>
      <w:marTop w:val="0"/>
      <w:marBottom w:val="0"/>
      <w:divBdr>
        <w:top w:val="none" w:sz="0" w:space="0" w:color="auto"/>
        <w:left w:val="none" w:sz="0" w:space="0" w:color="auto"/>
        <w:bottom w:val="none" w:sz="0" w:space="0" w:color="auto"/>
        <w:right w:val="none" w:sz="0" w:space="0" w:color="auto"/>
      </w:divBdr>
    </w:div>
    <w:div w:id="1596597101">
      <w:bodyDiv w:val="1"/>
      <w:marLeft w:val="0"/>
      <w:marRight w:val="0"/>
      <w:marTop w:val="0"/>
      <w:marBottom w:val="0"/>
      <w:divBdr>
        <w:top w:val="none" w:sz="0" w:space="0" w:color="auto"/>
        <w:left w:val="none" w:sz="0" w:space="0" w:color="auto"/>
        <w:bottom w:val="none" w:sz="0" w:space="0" w:color="auto"/>
        <w:right w:val="none" w:sz="0" w:space="0" w:color="auto"/>
      </w:divBdr>
    </w:div>
    <w:div w:id="1598370230">
      <w:bodyDiv w:val="1"/>
      <w:marLeft w:val="0"/>
      <w:marRight w:val="0"/>
      <w:marTop w:val="0"/>
      <w:marBottom w:val="0"/>
      <w:divBdr>
        <w:top w:val="none" w:sz="0" w:space="0" w:color="auto"/>
        <w:left w:val="none" w:sz="0" w:space="0" w:color="auto"/>
        <w:bottom w:val="none" w:sz="0" w:space="0" w:color="auto"/>
        <w:right w:val="none" w:sz="0" w:space="0" w:color="auto"/>
      </w:divBdr>
    </w:div>
    <w:div w:id="1600334441">
      <w:bodyDiv w:val="1"/>
      <w:marLeft w:val="0"/>
      <w:marRight w:val="0"/>
      <w:marTop w:val="0"/>
      <w:marBottom w:val="0"/>
      <w:divBdr>
        <w:top w:val="none" w:sz="0" w:space="0" w:color="auto"/>
        <w:left w:val="none" w:sz="0" w:space="0" w:color="auto"/>
        <w:bottom w:val="none" w:sz="0" w:space="0" w:color="auto"/>
        <w:right w:val="none" w:sz="0" w:space="0" w:color="auto"/>
      </w:divBdr>
    </w:div>
    <w:div w:id="1603683504">
      <w:bodyDiv w:val="1"/>
      <w:marLeft w:val="0"/>
      <w:marRight w:val="0"/>
      <w:marTop w:val="0"/>
      <w:marBottom w:val="0"/>
      <w:divBdr>
        <w:top w:val="none" w:sz="0" w:space="0" w:color="auto"/>
        <w:left w:val="none" w:sz="0" w:space="0" w:color="auto"/>
        <w:bottom w:val="none" w:sz="0" w:space="0" w:color="auto"/>
        <w:right w:val="none" w:sz="0" w:space="0" w:color="auto"/>
      </w:divBdr>
    </w:div>
    <w:div w:id="1604066704">
      <w:bodyDiv w:val="1"/>
      <w:marLeft w:val="0"/>
      <w:marRight w:val="0"/>
      <w:marTop w:val="0"/>
      <w:marBottom w:val="0"/>
      <w:divBdr>
        <w:top w:val="none" w:sz="0" w:space="0" w:color="auto"/>
        <w:left w:val="none" w:sz="0" w:space="0" w:color="auto"/>
        <w:bottom w:val="none" w:sz="0" w:space="0" w:color="auto"/>
        <w:right w:val="none" w:sz="0" w:space="0" w:color="auto"/>
      </w:divBdr>
    </w:div>
    <w:div w:id="1605531551">
      <w:bodyDiv w:val="1"/>
      <w:marLeft w:val="0"/>
      <w:marRight w:val="0"/>
      <w:marTop w:val="0"/>
      <w:marBottom w:val="0"/>
      <w:divBdr>
        <w:top w:val="none" w:sz="0" w:space="0" w:color="auto"/>
        <w:left w:val="none" w:sz="0" w:space="0" w:color="auto"/>
        <w:bottom w:val="none" w:sz="0" w:space="0" w:color="auto"/>
        <w:right w:val="none" w:sz="0" w:space="0" w:color="auto"/>
      </w:divBdr>
    </w:div>
    <w:div w:id="1606383237">
      <w:bodyDiv w:val="1"/>
      <w:marLeft w:val="0"/>
      <w:marRight w:val="0"/>
      <w:marTop w:val="0"/>
      <w:marBottom w:val="0"/>
      <w:divBdr>
        <w:top w:val="none" w:sz="0" w:space="0" w:color="auto"/>
        <w:left w:val="none" w:sz="0" w:space="0" w:color="auto"/>
        <w:bottom w:val="none" w:sz="0" w:space="0" w:color="auto"/>
        <w:right w:val="none" w:sz="0" w:space="0" w:color="auto"/>
      </w:divBdr>
    </w:div>
    <w:div w:id="1607538272">
      <w:bodyDiv w:val="1"/>
      <w:marLeft w:val="0"/>
      <w:marRight w:val="0"/>
      <w:marTop w:val="0"/>
      <w:marBottom w:val="0"/>
      <w:divBdr>
        <w:top w:val="none" w:sz="0" w:space="0" w:color="auto"/>
        <w:left w:val="none" w:sz="0" w:space="0" w:color="auto"/>
        <w:bottom w:val="none" w:sz="0" w:space="0" w:color="auto"/>
        <w:right w:val="none" w:sz="0" w:space="0" w:color="auto"/>
      </w:divBdr>
    </w:div>
    <w:div w:id="1607730061">
      <w:bodyDiv w:val="1"/>
      <w:marLeft w:val="0"/>
      <w:marRight w:val="0"/>
      <w:marTop w:val="0"/>
      <w:marBottom w:val="0"/>
      <w:divBdr>
        <w:top w:val="none" w:sz="0" w:space="0" w:color="auto"/>
        <w:left w:val="none" w:sz="0" w:space="0" w:color="auto"/>
        <w:bottom w:val="none" w:sz="0" w:space="0" w:color="auto"/>
        <w:right w:val="none" w:sz="0" w:space="0" w:color="auto"/>
      </w:divBdr>
    </w:div>
    <w:div w:id="1609578807">
      <w:bodyDiv w:val="1"/>
      <w:marLeft w:val="0"/>
      <w:marRight w:val="0"/>
      <w:marTop w:val="0"/>
      <w:marBottom w:val="0"/>
      <w:divBdr>
        <w:top w:val="none" w:sz="0" w:space="0" w:color="auto"/>
        <w:left w:val="none" w:sz="0" w:space="0" w:color="auto"/>
        <w:bottom w:val="none" w:sz="0" w:space="0" w:color="auto"/>
        <w:right w:val="none" w:sz="0" w:space="0" w:color="auto"/>
      </w:divBdr>
    </w:div>
    <w:div w:id="1610164900">
      <w:bodyDiv w:val="1"/>
      <w:marLeft w:val="0"/>
      <w:marRight w:val="0"/>
      <w:marTop w:val="0"/>
      <w:marBottom w:val="0"/>
      <w:divBdr>
        <w:top w:val="none" w:sz="0" w:space="0" w:color="auto"/>
        <w:left w:val="none" w:sz="0" w:space="0" w:color="auto"/>
        <w:bottom w:val="none" w:sz="0" w:space="0" w:color="auto"/>
        <w:right w:val="none" w:sz="0" w:space="0" w:color="auto"/>
      </w:divBdr>
    </w:div>
    <w:div w:id="1612475188">
      <w:bodyDiv w:val="1"/>
      <w:marLeft w:val="0"/>
      <w:marRight w:val="0"/>
      <w:marTop w:val="0"/>
      <w:marBottom w:val="0"/>
      <w:divBdr>
        <w:top w:val="none" w:sz="0" w:space="0" w:color="auto"/>
        <w:left w:val="none" w:sz="0" w:space="0" w:color="auto"/>
        <w:bottom w:val="none" w:sz="0" w:space="0" w:color="auto"/>
        <w:right w:val="none" w:sz="0" w:space="0" w:color="auto"/>
      </w:divBdr>
    </w:div>
    <w:div w:id="1613241539">
      <w:bodyDiv w:val="1"/>
      <w:marLeft w:val="0"/>
      <w:marRight w:val="0"/>
      <w:marTop w:val="0"/>
      <w:marBottom w:val="0"/>
      <w:divBdr>
        <w:top w:val="none" w:sz="0" w:space="0" w:color="auto"/>
        <w:left w:val="none" w:sz="0" w:space="0" w:color="auto"/>
        <w:bottom w:val="none" w:sz="0" w:space="0" w:color="auto"/>
        <w:right w:val="none" w:sz="0" w:space="0" w:color="auto"/>
      </w:divBdr>
    </w:div>
    <w:div w:id="1614091579">
      <w:bodyDiv w:val="1"/>
      <w:marLeft w:val="0"/>
      <w:marRight w:val="0"/>
      <w:marTop w:val="0"/>
      <w:marBottom w:val="0"/>
      <w:divBdr>
        <w:top w:val="none" w:sz="0" w:space="0" w:color="auto"/>
        <w:left w:val="none" w:sz="0" w:space="0" w:color="auto"/>
        <w:bottom w:val="none" w:sz="0" w:space="0" w:color="auto"/>
        <w:right w:val="none" w:sz="0" w:space="0" w:color="auto"/>
      </w:divBdr>
    </w:div>
    <w:div w:id="1614240720">
      <w:bodyDiv w:val="1"/>
      <w:marLeft w:val="0"/>
      <w:marRight w:val="0"/>
      <w:marTop w:val="0"/>
      <w:marBottom w:val="0"/>
      <w:divBdr>
        <w:top w:val="none" w:sz="0" w:space="0" w:color="auto"/>
        <w:left w:val="none" w:sz="0" w:space="0" w:color="auto"/>
        <w:bottom w:val="none" w:sz="0" w:space="0" w:color="auto"/>
        <w:right w:val="none" w:sz="0" w:space="0" w:color="auto"/>
      </w:divBdr>
    </w:div>
    <w:div w:id="1615021234">
      <w:bodyDiv w:val="1"/>
      <w:marLeft w:val="0"/>
      <w:marRight w:val="0"/>
      <w:marTop w:val="0"/>
      <w:marBottom w:val="0"/>
      <w:divBdr>
        <w:top w:val="none" w:sz="0" w:space="0" w:color="auto"/>
        <w:left w:val="none" w:sz="0" w:space="0" w:color="auto"/>
        <w:bottom w:val="none" w:sz="0" w:space="0" w:color="auto"/>
        <w:right w:val="none" w:sz="0" w:space="0" w:color="auto"/>
      </w:divBdr>
    </w:div>
    <w:div w:id="1617326557">
      <w:bodyDiv w:val="1"/>
      <w:marLeft w:val="0"/>
      <w:marRight w:val="0"/>
      <w:marTop w:val="0"/>
      <w:marBottom w:val="0"/>
      <w:divBdr>
        <w:top w:val="none" w:sz="0" w:space="0" w:color="auto"/>
        <w:left w:val="none" w:sz="0" w:space="0" w:color="auto"/>
        <w:bottom w:val="none" w:sz="0" w:space="0" w:color="auto"/>
        <w:right w:val="none" w:sz="0" w:space="0" w:color="auto"/>
      </w:divBdr>
    </w:div>
    <w:div w:id="1617643173">
      <w:bodyDiv w:val="1"/>
      <w:marLeft w:val="0"/>
      <w:marRight w:val="0"/>
      <w:marTop w:val="0"/>
      <w:marBottom w:val="0"/>
      <w:divBdr>
        <w:top w:val="none" w:sz="0" w:space="0" w:color="auto"/>
        <w:left w:val="none" w:sz="0" w:space="0" w:color="auto"/>
        <w:bottom w:val="none" w:sz="0" w:space="0" w:color="auto"/>
        <w:right w:val="none" w:sz="0" w:space="0" w:color="auto"/>
      </w:divBdr>
    </w:div>
    <w:div w:id="1619213773">
      <w:bodyDiv w:val="1"/>
      <w:marLeft w:val="0"/>
      <w:marRight w:val="0"/>
      <w:marTop w:val="0"/>
      <w:marBottom w:val="0"/>
      <w:divBdr>
        <w:top w:val="none" w:sz="0" w:space="0" w:color="auto"/>
        <w:left w:val="none" w:sz="0" w:space="0" w:color="auto"/>
        <w:bottom w:val="none" w:sz="0" w:space="0" w:color="auto"/>
        <w:right w:val="none" w:sz="0" w:space="0" w:color="auto"/>
      </w:divBdr>
    </w:div>
    <w:div w:id="1620069849">
      <w:bodyDiv w:val="1"/>
      <w:marLeft w:val="0"/>
      <w:marRight w:val="0"/>
      <w:marTop w:val="0"/>
      <w:marBottom w:val="0"/>
      <w:divBdr>
        <w:top w:val="none" w:sz="0" w:space="0" w:color="auto"/>
        <w:left w:val="none" w:sz="0" w:space="0" w:color="auto"/>
        <w:bottom w:val="none" w:sz="0" w:space="0" w:color="auto"/>
        <w:right w:val="none" w:sz="0" w:space="0" w:color="auto"/>
      </w:divBdr>
    </w:div>
    <w:div w:id="1620408149">
      <w:bodyDiv w:val="1"/>
      <w:marLeft w:val="0"/>
      <w:marRight w:val="0"/>
      <w:marTop w:val="0"/>
      <w:marBottom w:val="0"/>
      <w:divBdr>
        <w:top w:val="none" w:sz="0" w:space="0" w:color="auto"/>
        <w:left w:val="none" w:sz="0" w:space="0" w:color="auto"/>
        <w:bottom w:val="none" w:sz="0" w:space="0" w:color="auto"/>
        <w:right w:val="none" w:sz="0" w:space="0" w:color="auto"/>
      </w:divBdr>
    </w:div>
    <w:div w:id="1620719796">
      <w:bodyDiv w:val="1"/>
      <w:marLeft w:val="0"/>
      <w:marRight w:val="0"/>
      <w:marTop w:val="0"/>
      <w:marBottom w:val="0"/>
      <w:divBdr>
        <w:top w:val="none" w:sz="0" w:space="0" w:color="auto"/>
        <w:left w:val="none" w:sz="0" w:space="0" w:color="auto"/>
        <w:bottom w:val="none" w:sz="0" w:space="0" w:color="auto"/>
        <w:right w:val="none" w:sz="0" w:space="0" w:color="auto"/>
      </w:divBdr>
    </w:div>
    <w:div w:id="1620720466">
      <w:bodyDiv w:val="1"/>
      <w:marLeft w:val="0"/>
      <w:marRight w:val="0"/>
      <w:marTop w:val="0"/>
      <w:marBottom w:val="0"/>
      <w:divBdr>
        <w:top w:val="none" w:sz="0" w:space="0" w:color="auto"/>
        <w:left w:val="none" w:sz="0" w:space="0" w:color="auto"/>
        <w:bottom w:val="none" w:sz="0" w:space="0" w:color="auto"/>
        <w:right w:val="none" w:sz="0" w:space="0" w:color="auto"/>
      </w:divBdr>
    </w:div>
    <w:div w:id="1620799166">
      <w:bodyDiv w:val="1"/>
      <w:marLeft w:val="0"/>
      <w:marRight w:val="0"/>
      <w:marTop w:val="0"/>
      <w:marBottom w:val="0"/>
      <w:divBdr>
        <w:top w:val="none" w:sz="0" w:space="0" w:color="auto"/>
        <w:left w:val="none" w:sz="0" w:space="0" w:color="auto"/>
        <w:bottom w:val="none" w:sz="0" w:space="0" w:color="auto"/>
        <w:right w:val="none" w:sz="0" w:space="0" w:color="auto"/>
      </w:divBdr>
    </w:div>
    <w:div w:id="1624463842">
      <w:bodyDiv w:val="1"/>
      <w:marLeft w:val="0"/>
      <w:marRight w:val="0"/>
      <w:marTop w:val="0"/>
      <w:marBottom w:val="0"/>
      <w:divBdr>
        <w:top w:val="none" w:sz="0" w:space="0" w:color="auto"/>
        <w:left w:val="none" w:sz="0" w:space="0" w:color="auto"/>
        <w:bottom w:val="none" w:sz="0" w:space="0" w:color="auto"/>
        <w:right w:val="none" w:sz="0" w:space="0" w:color="auto"/>
      </w:divBdr>
    </w:div>
    <w:div w:id="1625498648">
      <w:bodyDiv w:val="1"/>
      <w:marLeft w:val="0"/>
      <w:marRight w:val="0"/>
      <w:marTop w:val="0"/>
      <w:marBottom w:val="0"/>
      <w:divBdr>
        <w:top w:val="none" w:sz="0" w:space="0" w:color="auto"/>
        <w:left w:val="none" w:sz="0" w:space="0" w:color="auto"/>
        <w:bottom w:val="none" w:sz="0" w:space="0" w:color="auto"/>
        <w:right w:val="none" w:sz="0" w:space="0" w:color="auto"/>
      </w:divBdr>
    </w:div>
    <w:div w:id="1626161459">
      <w:bodyDiv w:val="1"/>
      <w:marLeft w:val="0"/>
      <w:marRight w:val="0"/>
      <w:marTop w:val="0"/>
      <w:marBottom w:val="0"/>
      <w:divBdr>
        <w:top w:val="none" w:sz="0" w:space="0" w:color="auto"/>
        <w:left w:val="none" w:sz="0" w:space="0" w:color="auto"/>
        <w:bottom w:val="none" w:sz="0" w:space="0" w:color="auto"/>
        <w:right w:val="none" w:sz="0" w:space="0" w:color="auto"/>
      </w:divBdr>
    </w:div>
    <w:div w:id="1626421095">
      <w:bodyDiv w:val="1"/>
      <w:marLeft w:val="0"/>
      <w:marRight w:val="0"/>
      <w:marTop w:val="0"/>
      <w:marBottom w:val="0"/>
      <w:divBdr>
        <w:top w:val="none" w:sz="0" w:space="0" w:color="auto"/>
        <w:left w:val="none" w:sz="0" w:space="0" w:color="auto"/>
        <w:bottom w:val="none" w:sz="0" w:space="0" w:color="auto"/>
        <w:right w:val="none" w:sz="0" w:space="0" w:color="auto"/>
      </w:divBdr>
    </w:div>
    <w:div w:id="1628707338">
      <w:bodyDiv w:val="1"/>
      <w:marLeft w:val="0"/>
      <w:marRight w:val="0"/>
      <w:marTop w:val="0"/>
      <w:marBottom w:val="0"/>
      <w:divBdr>
        <w:top w:val="none" w:sz="0" w:space="0" w:color="auto"/>
        <w:left w:val="none" w:sz="0" w:space="0" w:color="auto"/>
        <w:bottom w:val="none" w:sz="0" w:space="0" w:color="auto"/>
        <w:right w:val="none" w:sz="0" w:space="0" w:color="auto"/>
      </w:divBdr>
    </w:div>
    <w:div w:id="1629970289">
      <w:bodyDiv w:val="1"/>
      <w:marLeft w:val="0"/>
      <w:marRight w:val="0"/>
      <w:marTop w:val="0"/>
      <w:marBottom w:val="0"/>
      <w:divBdr>
        <w:top w:val="none" w:sz="0" w:space="0" w:color="auto"/>
        <w:left w:val="none" w:sz="0" w:space="0" w:color="auto"/>
        <w:bottom w:val="none" w:sz="0" w:space="0" w:color="auto"/>
        <w:right w:val="none" w:sz="0" w:space="0" w:color="auto"/>
      </w:divBdr>
      <w:divsChild>
        <w:div w:id="1276862984">
          <w:marLeft w:val="0"/>
          <w:marRight w:val="0"/>
          <w:marTop w:val="0"/>
          <w:marBottom w:val="0"/>
          <w:divBdr>
            <w:top w:val="none" w:sz="0" w:space="0" w:color="auto"/>
            <w:left w:val="none" w:sz="0" w:space="0" w:color="auto"/>
            <w:bottom w:val="none" w:sz="0" w:space="0" w:color="auto"/>
            <w:right w:val="none" w:sz="0" w:space="0" w:color="auto"/>
          </w:divBdr>
        </w:div>
        <w:div w:id="1937127510">
          <w:marLeft w:val="0"/>
          <w:marRight w:val="0"/>
          <w:marTop w:val="0"/>
          <w:marBottom w:val="0"/>
          <w:divBdr>
            <w:top w:val="none" w:sz="0" w:space="0" w:color="auto"/>
            <w:left w:val="none" w:sz="0" w:space="0" w:color="auto"/>
            <w:bottom w:val="none" w:sz="0" w:space="0" w:color="auto"/>
            <w:right w:val="none" w:sz="0" w:space="0" w:color="auto"/>
          </w:divBdr>
        </w:div>
      </w:divsChild>
    </w:div>
    <w:div w:id="1632595553">
      <w:bodyDiv w:val="1"/>
      <w:marLeft w:val="0"/>
      <w:marRight w:val="0"/>
      <w:marTop w:val="0"/>
      <w:marBottom w:val="0"/>
      <w:divBdr>
        <w:top w:val="none" w:sz="0" w:space="0" w:color="auto"/>
        <w:left w:val="none" w:sz="0" w:space="0" w:color="auto"/>
        <w:bottom w:val="none" w:sz="0" w:space="0" w:color="auto"/>
        <w:right w:val="none" w:sz="0" w:space="0" w:color="auto"/>
      </w:divBdr>
    </w:div>
    <w:div w:id="1632780794">
      <w:bodyDiv w:val="1"/>
      <w:marLeft w:val="0"/>
      <w:marRight w:val="0"/>
      <w:marTop w:val="0"/>
      <w:marBottom w:val="0"/>
      <w:divBdr>
        <w:top w:val="none" w:sz="0" w:space="0" w:color="auto"/>
        <w:left w:val="none" w:sz="0" w:space="0" w:color="auto"/>
        <w:bottom w:val="none" w:sz="0" w:space="0" w:color="auto"/>
        <w:right w:val="none" w:sz="0" w:space="0" w:color="auto"/>
      </w:divBdr>
    </w:div>
    <w:div w:id="1634559561">
      <w:bodyDiv w:val="1"/>
      <w:marLeft w:val="0"/>
      <w:marRight w:val="0"/>
      <w:marTop w:val="0"/>
      <w:marBottom w:val="0"/>
      <w:divBdr>
        <w:top w:val="none" w:sz="0" w:space="0" w:color="auto"/>
        <w:left w:val="none" w:sz="0" w:space="0" w:color="auto"/>
        <w:bottom w:val="none" w:sz="0" w:space="0" w:color="auto"/>
        <w:right w:val="none" w:sz="0" w:space="0" w:color="auto"/>
      </w:divBdr>
    </w:div>
    <w:div w:id="1639067061">
      <w:bodyDiv w:val="1"/>
      <w:marLeft w:val="0"/>
      <w:marRight w:val="0"/>
      <w:marTop w:val="0"/>
      <w:marBottom w:val="0"/>
      <w:divBdr>
        <w:top w:val="none" w:sz="0" w:space="0" w:color="auto"/>
        <w:left w:val="none" w:sz="0" w:space="0" w:color="auto"/>
        <w:bottom w:val="none" w:sz="0" w:space="0" w:color="auto"/>
        <w:right w:val="none" w:sz="0" w:space="0" w:color="auto"/>
      </w:divBdr>
    </w:div>
    <w:div w:id="1639650035">
      <w:bodyDiv w:val="1"/>
      <w:marLeft w:val="0"/>
      <w:marRight w:val="0"/>
      <w:marTop w:val="0"/>
      <w:marBottom w:val="0"/>
      <w:divBdr>
        <w:top w:val="none" w:sz="0" w:space="0" w:color="auto"/>
        <w:left w:val="none" w:sz="0" w:space="0" w:color="auto"/>
        <w:bottom w:val="none" w:sz="0" w:space="0" w:color="auto"/>
        <w:right w:val="none" w:sz="0" w:space="0" w:color="auto"/>
      </w:divBdr>
    </w:div>
    <w:div w:id="1641644019">
      <w:bodyDiv w:val="1"/>
      <w:marLeft w:val="0"/>
      <w:marRight w:val="0"/>
      <w:marTop w:val="0"/>
      <w:marBottom w:val="0"/>
      <w:divBdr>
        <w:top w:val="none" w:sz="0" w:space="0" w:color="auto"/>
        <w:left w:val="none" w:sz="0" w:space="0" w:color="auto"/>
        <w:bottom w:val="none" w:sz="0" w:space="0" w:color="auto"/>
        <w:right w:val="none" w:sz="0" w:space="0" w:color="auto"/>
      </w:divBdr>
    </w:div>
    <w:div w:id="1644120240">
      <w:bodyDiv w:val="1"/>
      <w:marLeft w:val="0"/>
      <w:marRight w:val="0"/>
      <w:marTop w:val="0"/>
      <w:marBottom w:val="0"/>
      <w:divBdr>
        <w:top w:val="none" w:sz="0" w:space="0" w:color="auto"/>
        <w:left w:val="none" w:sz="0" w:space="0" w:color="auto"/>
        <w:bottom w:val="none" w:sz="0" w:space="0" w:color="auto"/>
        <w:right w:val="none" w:sz="0" w:space="0" w:color="auto"/>
      </w:divBdr>
    </w:div>
    <w:div w:id="1646203888">
      <w:bodyDiv w:val="1"/>
      <w:marLeft w:val="0"/>
      <w:marRight w:val="0"/>
      <w:marTop w:val="0"/>
      <w:marBottom w:val="0"/>
      <w:divBdr>
        <w:top w:val="none" w:sz="0" w:space="0" w:color="auto"/>
        <w:left w:val="none" w:sz="0" w:space="0" w:color="auto"/>
        <w:bottom w:val="none" w:sz="0" w:space="0" w:color="auto"/>
        <w:right w:val="none" w:sz="0" w:space="0" w:color="auto"/>
      </w:divBdr>
    </w:div>
    <w:div w:id="1646812003">
      <w:bodyDiv w:val="1"/>
      <w:marLeft w:val="0"/>
      <w:marRight w:val="0"/>
      <w:marTop w:val="0"/>
      <w:marBottom w:val="0"/>
      <w:divBdr>
        <w:top w:val="none" w:sz="0" w:space="0" w:color="auto"/>
        <w:left w:val="none" w:sz="0" w:space="0" w:color="auto"/>
        <w:bottom w:val="none" w:sz="0" w:space="0" w:color="auto"/>
        <w:right w:val="none" w:sz="0" w:space="0" w:color="auto"/>
      </w:divBdr>
    </w:div>
    <w:div w:id="1647007380">
      <w:bodyDiv w:val="1"/>
      <w:marLeft w:val="0"/>
      <w:marRight w:val="0"/>
      <w:marTop w:val="0"/>
      <w:marBottom w:val="0"/>
      <w:divBdr>
        <w:top w:val="none" w:sz="0" w:space="0" w:color="auto"/>
        <w:left w:val="none" w:sz="0" w:space="0" w:color="auto"/>
        <w:bottom w:val="none" w:sz="0" w:space="0" w:color="auto"/>
        <w:right w:val="none" w:sz="0" w:space="0" w:color="auto"/>
      </w:divBdr>
    </w:div>
    <w:div w:id="1647320553">
      <w:bodyDiv w:val="1"/>
      <w:marLeft w:val="0"/>
      <w:marRight w:val="0"/>
      <w:marTop w:val="0"/>
      <w:marBottom w:val="0"/>
      <w:divBdr>
        <w:top w:val="none" w:sz="0" w:space="0" w:color="auto"/>
        <w:left w:val="none" w:sz="0" w:space="0" w:color="auto"/>
        <w:bottom w:val="none" w:sz="0" w:space="0" w:color="auto"/>
        <w:right w:val="none" w:sz="0" w:space="0" w:color="auto"/>
      </w:divBdr>
    </w:div>
    <w:div w:id="1650862279">
      <w:bodyDiv w:val="1"/>
      <w:marLeft w:val="0"/>
      <w:marRight w:val="0"/>
      <w:marTop w:val="0"/>
      <w:marBottom w:val="0"/>
      <w:divBdr>
        <w:top w:val="none" w:sz="0" w:space="0" w:color="auto"/>
        <w:left w:val="none" w:sz="0" w:space="0" w:color="auto"/>
        <w:bottom w:val="none" w:sz="0" w:space="0" w:color="auto"/>
        <w:right w:val="none" w:sz="0" w:space="0" w:color="auto"/>
      </w:divBdr>
    </w:div>
    <w:div w:id="1651641453">
      <w:bodyDiv w:val="1"/>
      <w:marLeft w:val="0"/>
      <w:marRight w:val="0"/>
      <w:marTop w:val="0"/>
      <w:marBottom w:val="0"/>
      <w:divBdr>
        <w:top w:val="none" w:sz="0" w:space="0" w:color="auto"/>
        <w:left w:val="none" w:sz="0" w:space="0" w:color="auto"/>
        <w:bottom w:val="none" w:sz="0" w:space="0" w:color="auto"/>
        <w:right w:val="none" w:sz="0" w:space="0" w:color="auto"/>
      </w:divBdr>
    </w:div>
    <w:div w:id="1653215479">
      <w:bodyDiv w:val="1"/>
      <w:marLeft w:val="0"/>
      <w:marRight w:val="0"/>
      <w:marTop w:val="0"/>
      <w:marBottom w:val="0"/>
      <w:divBdr>
        <w:top w:val="none" w:sz="0" w:space="0" w:color="auto"/>
        <w:left w:val="none" w:sz="0" w:space="0" w:color="auto"/>
        <w:bottom w:val="none" w:sz="0" w:space="0" w:color="auto"/>
        <w:right w:val="none" w:sz="0" w:space="0" w:color="auto"/>
      </w:divBdr>
    </w:div>
    <w:div w:id="1654529981">
      <w:bodyDiv w:val="1"/>
      <w:marLeft w:val="0"/>
      <w:marRight w:val="0"/>
      <w:marTop w:val="0"/>
      <w:marBottom w:val="0"/>
      <w:divBdr>
        <w:top w:val="none" w:sz="0" w:space="0" w:color="auto"/>
        <w:left w:val="none" w:sz="0" w:space="0" w:color="auto"/>
        <w:bottom w:val="none" w:sz="0" w:space="0" w:color="auto"/>
        <w:right w:val="none" w:sz="0" w:space="0" w:color="auto"/>
      </w:divBdr>
    </w:div>
    <w:div w:id="1654678959">
      <w:bodyDiv w:val="1"/>
      <w:marLeft w:val="0"/>
      <w:marRight w:val="0"/>
      <w:marTop w:val="0"/>
      <w:marBottom w:val="0"/>
      <w:divBdr>
        <w:top w:val="none" w:sz="0" w:space="0" w:color="auto"/>
        <w:left w:val="none" w:sz="0" w:space="0" w:color="auto"/>
        <w:bottom w:val="none" w:sz="0" w:space="0" w:color="auto"/>
        <w:right w:val="none" w:sz="0" w:space="0" w:color="auto"/>
      </w:divBdr>
    </w:div>
    <w:div w:id="1656301978">
      <w:bodyDiv w:val="1"/>
      <w:marLeft w:val="0"/>
      <w:marRight w:val="0"/>
      <w:marTop w:val="0"/>
      <w:marBottom w:val="0"/>
      <w:divBdr>
        <w:top w:val="none" w:sz="0" w:space="0" w:color="auto"/>
        <w:left w:val="none" w:sz="0" w:space="0" w:color="auto"/>
        <w:bottom w:val="none" w:sz="0" w:space="0" w:color="auto"/>
        <w:right w:val="none" w:sz="0" w:space="0" w:color="auto"/>
      </w:divBdr>
    </w:div>
    <w:div w:id="1657371811">
      <w:bodyDiv w:val="1"/>
      <w:marLeft w:val="0"/>
      <w:marRight w:val="0"/>
      <w:marTop w:val="0"/>
      <w:marBottom w:val="0"/>
      <w:divBdr>
        <w:top w:val="none" w:sz="0" w:space="0" w:color="auto"/>
        <w:left w:val="none" w:sz="0" w:space="0" w:color="auto"/>
        <w:bottom w:val="none" w:sz="0" w:space="0" w:color="auto"/>
        <w:right w:val="none" w:sz="0" w:space="0" w:color="auto"/>
      </w:divBdr>
    </w:div>
    <w:div w:id="1658536962">
      <w:bodyDiv w:val="1"/>
      <w:marLeft w:val="0"/>
      <w:marRight w:val="0"/>
      <w:marTop w:val="0"/>
      <w:marBottom w:val="0"/>
      <w:divBdr>
        <w:top w:val="none" w:sz="0" w:space="0" w:color="auto"/>
        <w:left w:val="none" w:sz="0" w:space="0" w:color="auto"/>
        <w:bottom w:val="none" w:sz="0" w:space="0" w:color="auto"/>
        <w:right w:val="none" w:sz="0" w:space="0" w:color="auto"/>
      </w:divBdr>
    </w:div>
    <w:div w:id="1659067645">
      <w:bodyDiv w:val="1"/>
      <w:marLeft w:val="0"/>
      <w:marRight w:val="0"/>
      <w:marTop w:val="0"/>
      <w:marBottom w:val="0"/>
      <w:divBdr>
        <w:top w:val="none" w:sz="0" w:space="0" w:color="auto"/>
        <w:left w:val="none" w:sz="0" w:space="0" w:color="auto"/>
        <w:bottom w:val="none" w:sz="0" w:space="0" w:color="auto"/>
        <w:right w:val="none" w:sz="0" w:space="0" w:color="auto"/>
      </w:divBdr>
    </w:div>
    <w:div w:id="1661080071">
      <w:bodyDiv w:val="1"/>
      <w:marLeft w:val="0"/>
      <w:marRight w:val="0"/>
      <w:marTop w:val="0"/>
      <w:marBottom w:val="0"/>
      <w:divBdr>
        <w:top w:val="none" w:sz="0" w:space="0" w:color="auto"/>
        <w:left w:val="none" w:sz="0" w:space="0" w:color="auto"/>
        <w:bottom w:val="none" w:sz="0" w:space="0" w:color="auto"/>
        <w:right w:val="none" w:sz="0" w:space="0" w:color="auto"/>
      </w:divBdr>
    </w:div>
    <w:div w:id="1663924835">
      <w:bodyDiv w:val="1"/>
      <w:marLeft w:val="0"/>
      <w:marRight w:val="0"/>
      <w:marTop w:val="0"/>
      <w:marBottom w:val="0"/>
      <w:divBdr>
        <w:top w:val="none" w:sz="0" w:space="0" w:color="auto"/>
        <w:left w:val="none" w:sz="0" w:space="0" w:color="auto"/>
        <w:bottom w:val="none" w:sz="0" w:space="0" w:color="auto"/>
        <w:right w:val="none" w:sz="0" w:space="0" w:color="auto"/>
      </w:divBdr>
    </w:div>
    <w:div w:id="1664507540">
      <w:bodyDiv w:val="1"/>
      <w:marLeft w:val="0"/>
      <w:marRight w:val="0"/>
      <w:marTop w:val="0"/>
      <w:marBottom w:val="0"/>
      <w:divBdr>
        <w:top w:val="none" w:sz="0" w:space="0" w:color="auto"/>
        <w:left w:val="none" w:sz="0" w:space="0" w:color="auto"/>
        <w:bottom w:val="none" w:sz="0" w:space="0" w:color="auto"/>
        <w:right w:val="none" w:sz="0" w:space="0" w:color="auto"/>
      </w:divBdr>
    </w:div>
    <w:div w:id="1671331508">
      <w:bodyDiv w:val="1"/>
      <w:marLeft w:val="0"/>
      <w:marRight w:val="0"/>
      <w:marTop w:val="0"/>
      <w:marBottom w:val="0"/>
      <w:divBdr>
        <w:top w:val="none" w:sz="0" w:space="0" w:color="auto"/>
        <w:left w:val="none" w:sz="0" w:space="0" w:color="auto"/>
        <w:bottom w:val="none" w:sz="0" w:space="0" w:color="auto"/>
        <w:right w:val="none" w:sz="0" w:space="0" w:color="auto"/>
      </w:divBdr>
    </w:div>
    <w:div w:id="1673221178">
      <w:bodyDiv w:val="1"/>
      <w:marLeft w:val="0"/>
      <w:marRight w:val="0"/>
      <w:marTop w:val="0"/>
      <w:marBottom w:val="0"/>
      <w:divBdr>
        <w:top w:val="none" w:sz="0" w:space="0" w:color="auto"/>
        <w:left w:val="none" w:sz="0" w:space="0" w:color="auto"/>
        <w:bottom w:val="none" w:sz="0" w:space="0" w:color="auto"/>
        <w:right w:val="none" w:sz="0" w:space="0" w:color="auto"/>
      </w:divBdr>
    </w:div>
    <w:div w:id="1673557910">
      <w:bodyDiv w:val="1"/>
      <w:marLeft w:val="0"/>
      <w:marRight w:val="0"/>
      <w:marTop w:val="0"/>
      <w:marBottom w:val="0"/>
      <w:divBdr>
        <w:top w:val="none" w:sz="0" w:space="0" w:color="auto"/>
        <w:left w:val="none" w:sz="0" w:space="0" w:color="auto"/>
        <w:bottom w:val="none" w:sz="0" w:space="0" w:color="auto"/>
        <w:right w:val="none" w:sz="0" w:space="0" w:color="auto"/>
      </w:divBdr>
    </w:div>
    <w:div w:id="1675692494">
      <w:bodyDiv w:val="1"/>
      <w:marLeft w:val="0"/>
      <w:marRight w:val="0"/>
      <w:marTop w:val="0"/>
      <w:marBottom w:val="0"/>
      <w:divBdr>
        <w:top w:val="none" w:sz="0" w:space="0" w:color="auto"/>
        <w:left w:val="none" w:sz="0" w:space="0" w:color="auto"/>
        <w:bottom w:val="none" w:sz="0" w:space="0" w:color="auto"/>
        <w:right w:val="none" w:sz="0" w:space="0" w:color="auto"/>
      </w:divBdr>
    </w:div>
    <w:div w:id="1677347795">
      <w:bodyDiv w:val="1"/>
      <w:marLeft w:val="0"/>
      <w:marRight w:val="0"/>
      <w:marTop w:val="0"/>
      <w:marBottom w:val="0"/>
      <w:divBdr>
        <w:top w:val="none" w:sz="0" w:space="0" w:color="auto"/>
        <w:left w:val="none" w:sz="0" w:space="0" w:color="auto"/>
        <w:bottom w:val="none" w:sz="0" w:space="0" w:color="auto"/>
        <w:right w:val="none" w:sz="0" w:space="0" w:color="auto"/>
      </w:divBdr>
    </w:div>
    <w:div w:id="1678459513">
      <w:bodyDiv w:val="1"/>
      <w:marLeft w:val="0"/>
      <w:marRight w:val="0"/>
      <w:marTop w:val="0"/>
      <w:marBottom w:val="0"/>
      <w:divBdr>
        <w:top w:val="none" w:sz="0" w:space="0" w:color="auto"/>
        <w:left w:val="none" w:sz="0" w:space="0" w:color="auto"/>
        <w:bottom w:val="none" w:sz="0" w:space="0" w:color="auto"/>
        <w:right w:val="none" w:sz="0" w:space="0" w:color="auto"/>
      </w:divBdr>
    </w:div>
    <w:div w:id="1679844610">
      <w:bodyDiv w:val="1"/>
      <w:marLeft w:val="0"/>
      <w:marRight w:val="0"/>
      <w:marTop w:val="0"/>
      <w:marBottom w:val="0"/>
      <w:divBdr>
        <w:top w:val="none" w:sz="0" w:space="0" w:color="auto"/>
        <w:left w:val="none" w:sz="0" w:space="0" w:color="auto"/>
        <w:bottom w:val="none" w:sz="0" w:space="0" w:color="auto"/>
        <w:right w:val="none" w:sz="0" w:space="0" w:color="auto"/>
      </w:divBdr>
    </w:div>
    <w:div w:id="1680354513">
      <w:bodyDiv w:val="1"/>
      <w:marLeft w:val="0"/>
      <w:marRight w:val="0"/>
      <w:marTop w:val="0"/>
      <w:marBottom w:val="0"/>
      <w:divBdr>
        <w:top w:val="none" w:sz="0" w:space="0" w:color="auto"/>
        <w:left w:val="none" w:sz="0" w:space="0" w:color="auto"/>
        <w:bottom w:val="none" w:sz="0" w:space="0" w:color="auto"/>
        <w:right w:val="none" w:sz="0" w:space="0" w:color="auto"/>
      </w:divBdr>
    </w:div>
    <w:div w:id="1681275817">
      <w:bodyDiv w:val="1"/>
      <w:marLeft w:val="0"/>
      <w:marRight w:val="0"/>
      <w:marTop w:val="0"/>
      <w:marBottom w:val="0"/>
      <w:divBdr>
        <w:top w:val="none" w:sz="0" w:space="0" w:color="auto"/>
        <w:left w:val="none" w:sz="0" w:space="0" w:color="auto"/>
        <w:bottom w:val="none" w:sz="0" w:space="0" w:color="auto"/>
        <w:right w:val="none" w:sz="0" w:space="0" w:color="auto"/>
      </w:divBdr>
    </w:div>
    <w:div w:id="1683975376">
      <w:bodyDiv w:val="1"/>
      <w:marLeft w:val="0"/>
      <w:marRight w:val="0"/>
      <w:marTop w:val="0"/>
      <w:marBottom w:val="0"/>
      <w:divBdr>
        <w:top w:val="none" w:sz="0" w:space="0" w:color="auto"/>
        <w:left w:val="none" w:sz="0" w:space="0" w:color="auto"/>
        <w:bottom w:val="none" w:sz="0" w:space="0" w:color="auto"/>
        <w:right w:val="none" w:sz="0" w:space="0" w:color="auto"/>
      </w:divBdr>
    </w:div>
    <w:div w:id="1684092695">
      <w:bodyDiv w:val="1"/>
      <w:marLeft w:val="0"/>
      <w:marRight w:val="0"/>
      <w:marTop w:val="0"/>
      <w:marBottom w:val="0"/>
      <w:divBdr>
        <w:top w:val="none" w:sz="0" w:space="0" w:color="auto"/>
        <w:left w:val="none" w:sz="0" w:space="0" w:color="auto"/>
        <w:bottom w:val="none" w:sz="0" w:space="0" w:color="auto"/>
        <w:right w:val="none" w:sz="0" w:space="0" w:color="auto"/>
      </w:divBdr>
    </w:div>
    <w:div w:id="1684891618">
      <w:bodyDiv w:val="1"/>
      <w:marLeft w:val="0"/>
      <w:marRight w:val="0"/>
      <w:marTop w:val="0"/>
      <w:marBottom w:val="0"/>
      <w:divBdr>
        <w:top w:val="none" w:sz="0" w:space="0" w:color="auto"/>
        <w:left w:val="none" w:sz="0" w:space="0" w:color="auto"/>
        <w:bottom w:val="none" w:sz="0" w:space="0" w:color="auto"/>
        <w:right w:val="none" w:sz="0" w:space="0" w:color="auto"/>
      </w:divBdr>
    </w:div>
    <w:div w:id="1685132229">
      <w:bodyDiv w:val="1"/>
      <w:marLeft w:val="0"/>
      <w:marRight w:val="0"/>
      <w:marTop w:val="0"/>
      <w:marBottom w:val="0"/>
      <w:divBdr>
        <w:top w:val="none" w:sz="0" w:space="0" w:color="auto"/>
        <w:left w:val="none" w:sz="0" w:space="0" w:color="auto"/>
        <w:bottom w:val="none" w:sz="0" w:space="0" w:color="auto"/>
        <w:right w:val="none" w:sz="0" w:space="0" w:color="auto"/>
      </w:divBdr>
    </w:div>
    <w:div w:id="1689061639">
      <w:bodyDiv w:val="1"/>
      <w:marLeft w:val="0"/>
      <w:marRight w:val="0"/>
      <w:marTop w:val="0"/>
      <w:marBottom w:val="0"/>
      <w:divBdr>
        <w:top w:val="none" w:sz="0" w:space="0" w:color="auto"/>
        <w:left w:val="none" w:sz="0" w:space="0" w:color="auto"/>
        <w:bottom w:val="none" w:sz="0" w:space="0" w:color="auto"/>
        <w:right w:val="none" w:sz="0" w:space="0" w:color="auto"/>
      </w:divBdr>
    </w:div>
    <w:div w:id="1693070940">
      <w:bodyDiv w:val="1"/>
      <w:marLeft w:val="0"/>
      <w:marRight w:val="0"/>
      <w:marTop w:val="0"/>
      <w:marBottom w:val="0"/>
      <w:divBdr>
        <w:top w:val="none" w:sz="0" w:space="0" w:color="auto"/>
        <w:left w:val="none" w:sz="0" w:space="0" w:color="auto"/>
        <w:bottom w:val="none" w:sz="0" w:space="0" w:color="auto"/>
        <w:right w:val="none" w:sz="0" w:space="0" w:color="auto"/>
      </w:divBdr>
    </w:div>
    <w:div w:id="1695499878">
      <w:bodyDiv w:val="1"/>
      <w:marLeft w:val="0"/>
      <w:marRight w:val="0"/>
      <w:marTop w:val="0"/>
      <w:marBottom w:val="0"/>
      <w:divBdr>
        <w:top w:val="none" w:sz="0" w:space="0" w:color="auto"/>
        <w:left w:val="none" w:sz="0" w:space="0" w:color="auto"/>
        <w:bottom w:val="none" w:sz="0" w:space="0" w:color="auto"/>
        <w:right w:val="none" w:sz="0" w:space="0" w:color="auto"/>
      </w:divBdr>
    </w:div>
    <w:div w:id="1696883098">
      <w:bodyDiv w:val="1"/>
      <w:marLeft w:val="0"/>
      <w:marRight w:val="0"/>
      <w:marTop w:val="0"/>
      <w:marBottom w:val="0"/>
      <w:divBdr>
        <w:top w:val="none" w:sz="0" w:space="0" w:color="auto"/>
        <w:left w:val="none" w:sz="0" w:space="0" w:color="auto"/>
        <w:bottom w:val="none" w:sz="0" w:space="0" w:color="auto"/>
        <w:right w:val="none" w:sz="0" w:space="0" w:color="auto"/>
      </w:divBdr>
    </w:div>
    <w:div w:id="1698778333">
      <w:bodyDiv w:val="1"/>
      <w:marLeft w:val="0"/>
      <w:marRight w:val="0"/>
      <w:marTop w:val="0"/>
      <w:marBottom w:val="0"/>
      <w:divBdr>
        <w:top w:val="none" w:sz="0" w:space="0" w:color="auto"/>
        <w:left w:val="none" w:sz="0" w:space="0" w:color="auto"/>
        <w:bottom w:val="none" w:sz="0" w:space="0" w:color="auto"/>
        <w:right w:val="none" w:sz="0" w:space="0" w:color="auto"/>
      </w:divBdr>
    </w:div>
    <w:div w:id="1700860008">
      <w:bodyDiv w:val="1"/>
      <w:marLeft w:val="0"/>
      <w:marRight w:val="0"/>
      <w:marTop w:val="0"/>
      <w:marBottom w:val="0"/>
      <w:divBdr>
        <w:top w:val="none" w:sz="0" w:space="0" w:color="auto"/>
        <w:left w:val="none" w:sz="0" w:space="0" w:color="auto"/>
        <w:bottom w:val="none" w:sz="0" w:space="0" w:color="auto"/>
        <w:right w:val="none" w:sz="0" w:space="0" w:color="auto"/>
      </w:divBdr>
    </w:div>
    <w:div w:id="1702364223">
      <w:bodyDiv w:val="1"/>
      <w:marLeft w:val="0"/>
      <w:marRight w:val="0"/>
      <w:marTop w:val="0"/>
      <w:marBottom w:val="0"/>
      <w:divBdr>
        <w:top w:val="none" w:sz="0" w:space="0" w:color="auto"/>
        <w:left w:val="none" w:sz="0" w:space="0" w:color="auto"/>
        <w:bottom w:val="none" w:sz="0" w:space="0" w:color="auto"/>
        <w:right w:val="none" w:sz="0" w:space="0" w:color="auto"/>
      </w:divBdr>
    </w:div>
    <w:div w:id="1702708117">
      <w:bodyDiv w:val="1"/>
      <w:marLeft w:val="0"/>
      <w:marRight w:val="0"/>
      <w:marTop w:val="0"/>
      <w:marBottom w:val="0"/>
      <w:divBdr>
        <w:top w:val="none" w:sz="0" w:space="0" w:color="auto"/>
        <w:left w:val="none" w:sz="0" w:space="0" w:color="auto"/>
        <w:bottom w:val="none" w:sz="0" w:space="0" w:color="auto"/>
        <w:right w:val="none" w:sz="0" w:space="0" w:color="auto"/>
      </w:divBdr>
    </w:div>
    <w:div w:id="1703046589">
      <w:bodyDiv w:val="1"/>
      <w:marLeft w:val="0"/>
      <w:marRight w:val="0"/>
      <w:marTop w:val="0"/>
      <w:marBottom w:val="0"/>
      <w:divBdr>
        <w:top w:val="none" w:sz="0" w:space="0" w:color="auto"/>
        <w:left w:val="none" w:sz="0" w:space="0" w:color="auto"/>
        <w:bottom w:val="none" w:sz="0" w:space="0" w:color="auto"/>
        <w:right w:val="none" w:sz="0" w:space="0" w:color="auto"/>
      </w:divBdr>
    </w:div>
    <w:div w:id="1705013053">
      <w:bodyDiv w:val="1"/>
      <w:marLeft w:val="0"/>
      <w:marRight w:val="0"/>
      <w:marTop w:val="0"/>
      <w:marBottom w:val="0"/>
      <w:divBdr>
        <w:top w:val="none" w:sz="0" w:space="0" w:color="auto"/>
        <w:left w:val="none" w:sz="0" w:space="0" w:color="auto"/>
        <w:bottom w:val="none" w:sz="0" w:space="0" w:color="auto"/>
        <w:right w:val="none" w:sz="0" w:space="0" w:color="auto"/>
      </w:divBdr>
    </w:div>
    <w:div w:id="1706061696">
      <w:bodyDiv w:val="1"/>
      <w:marLeft w:val="0"/>
      <w:marRight w:val="0"/>
      <w:marTop w:val="0"/>
      <w:marBottom w:val="0"/>
      <w:divBdr>
        <w:top w:val="none" w:sz="0" w:space="0" w:color="auto"/>
        <w:left w:val="none" w:sz="0" w:space="0" w:color="auto"/>
        <w:bottom w:val="none" w:sz="0" w:space="0" w:color="auto"/>
        <w:right w:val="none" w:sz="0" w:space="0" w:color="auto"/>
      </w:divBdr>
    </w:div>
    <w:div w:id="1711805149">
      <w:bodyDiv w:val="1"/>
      <w:marLeft w:val="0"/>
      <w:marRight w:val="0"/>
      <w:marTop w:val="0"/>
      <w:marBottom w:val="0"/>
      <w:divBdr>
        <w:top w:val="none" w:sz="0" w:space="0" w:color="auto"/>
        <w:left w:val="none" w:sz="0" w:space="0" w:color="auto"/>
        <w:bottom w:val="none" w:sz="0" w:space="0" w:color="auto"/>
        <w:right w:val="none" w:sz="0" w:space="0" w:color="auto"/>
      </w:divBdr>
    </w:div>
    <w:div w:id="1714959214">
      <w:bodyDiv w:val="1"/>
      <w:marLeft w:val="0"/>
      <w:marRight w:val="0"/>
      <w:marTop w:val="0"/>
      <w:marBottom w:val="0"/>
      <w:divBdr>
        <w:top w:val="none" w:sz="0" w:space="0" w:color="auto"/>
        <w:left w:val="none" w:sz="0" w:space="0" w:color="auto"/>
        <w:bottom w:val="none" w:sz="0" w:space="0" w:color="auto"/>
        <w:right w:val="none" w:sz="0" w:space="0" w:color="auto"/>
      </w:divBdr>
    </w:div>
    <w:div w:id="1716346293">
      <w:bodyDiv w:val="1"/>
      <w:marLeft w:val="0"/>
      <w:marRight w:val="0"/>
      <w:marTop w:val="0"/>
      <w:marBottom w:val="0"/>
      <w:divBdr>
        <w:top w:val="none" w:sz="0" w:space="0" w:color="auto"/>
        <w:left w:val="none" w:sz="0" w:space="0" w:color="auto"/>
        <w:bottom w:val="none" w:sz="0" w:space="0" w:color="auto"/>
        <w:right w:val="none" w:sz="0" w:space="0" w:color="auto"/>
      </w:divBdr>
    </w:div>
    <w:div w:id="1716924071">
      <w:bodyDiv w:val="1"/>
      <w:marLeft w:val="0"/>
      <w:marRight w:val="0"/>
      <w:marTop w:val="0"/>
      <w:marBottom w:val="0"/>
      <w:divBdr>
        <w:top w:val="none" w:sz="0" w:space="0" w:color="auto"/>
        <w:left w:val="none" w:sz="0" w:space="0" w:color="auto"/>
        <w:bottom w:val="none" w:sz="0" w:space="0" w:color="auto"/>
        <w:right w:val="none" w:sz="0" w:space="0" w:color="auto"/>
      </w:divBdr>
    </w:div>
    <w:div w:id="1723015198">
      <w:bodyDiv w:val="1"/>
      <w:marLeft w:val="0"/>
      <w:marRight w:val="0"/>
      <w:marTop w:val="0"/>
      <w:marBottom w:val="0"/>
      <w:divBdr>
        <w:top w:val="none" w:sz="0" w:space="0" w:color="auto"/>
        <w:left w:val="none" w:sz="0" w:space="0" w:color="auto"/>
        <w:bottom w:val="none" w:sz="0" w:space="0" w:color="auto"/>
        <w:right w:val="none" w:sz="0" w:space="0" w:color="auto"/>
      </w:divBdr>
    </w:div>
    <w:div w:id="1723946175">
      <w:bodyDiv w:val="1"/>
      <w:marLeft w:val="0"/>
      <w:marRight w:val="0"/>
      <w:marTop w:val="0"/>
      <w:marBottom w:val="0"/>
      <w:divBdr>
        <w:top w:val="none" w:sz="0" w:space="0" w:color="auto"/>
        <w:left w:val="none" w:sz="0" w:space="0" w:color="auto"/>
        <w:bottom w:val="none" w:sz="0" w:space="0" w:color="auto"/>
        <w:right w:val="none" w:sz="0" w:space="0" w:color="auto"/>
      </w:divBdr>
    </w:div>
    <w:div w:id="1725446832">
      <w:bodyDiv w:val="1"/>
      <w:marLeft w:val="0"/>
      <w:marRight w:val="0"/>
      <w:marTop w:val="0"/>
      <w:marBottom w:val="0"/>
      <w:divBdr>
        <w:top w:val="none" w:sz="0" w:space="0" w:color="auto"/>
        <w:left w:val="none" w:sz="0" w:space="0" w:color="auto"/>
        <w:bottom w:val="none" w:sz="0" w:space="0" w:color="auto"/>
        <w:right w:val="none" w:sz="0" w:space="0" w:color="auto"/>
      </w:divBdr>
    </w:div>
    <w:div w:id="1728449749">
      <w:bodyDiv w:val="1"/>
      <w:marLeft w:val="0"/>
      <w:marRight w:val="0"/>
      <w:marTop w:val="0"/>
      <w:marBottom w:val="0"/>
      <w:divBdr>
        <w:top w:val="none" w:sz="0" w:space="0" w:color="auto"/>
        <w:left w:val="none" w:sz="0" w:space="0" w:color="auto"/>
        <w:bottom w:val="none" w:sz="0" w:space="0" w:color="auto"/>
        <w:right w:val="none" w:sz="0" w:space="0" w:color="auto"/>
      </w:divBdr>
    </w:div>
    <w:div w:id="1728454143">
      <w:bodyDiv w:val="1"/>
      <w:marLeft w:val="0"/>
      <w:marRight w:val="0"/>
      <w:marTop w:val="0"/>
      <w:marBottom w:val="0"/>
      <w:divBdr>
        <w:top w:val="none" w:sz="0" w:space="0" w:color="auto"/>
        <w:left w:val="none" w:sz="0" w:space="0" w:color="auto"/>
        <w:bottom w:val="none" w:sz="0" w:space="0" w:color="auto"/>
        <w:right w:val="none" w:sz="0" w:space="0" w:color="auto"/>
      </w:divBdr>
    </w:div>
    <w:div w:id="1728455718">
      <w:bodyDiv w:val="1"/>
      <w:marLeft w:val="0"/>
      <w:marRight w:val="0"/>
      <w:marTop w:val="0"/>
      <w:marBottom w:val="0"/>
      <w:divBdr>
        <w:top w:val="none" w:sz="0" w:space="0" w:color="auto"/>
        <w:left w:val="none" w:sz="0" w:space="0" w:color="auto"/>
        <w:bottom w:val="none" w:sz="0" w:space="0" w:color="auto"/>
        <w:right w:val="none" w:sz="0" w:space="0" w:color="auto"/>
      </w:divBdr>
    </w:div>
    <w:div w:id="1729376591">
      <w:bodyDiv w:val="1"/>
      <w:marLeft w:val="0"/>
      <w:marRight w:val="0"/>
      <w:marTop w:val="0"/>
      <w:marBottom w:val="0"/>
      <w:divBdr>
        <w:top w:val="none" w:sz="0" w:space="0" w:color="auto"/>
        <w:left w:val="none" w:sz="0" w:space="0" w:color="auto"/>
        <w:bottom w:val="none" w:sz="0" w:space="0" w:color="auto"/>
        <w:right w:val="none" w:sz="0" w:space="0" w:color="auto"/>
      </w:divBdr>
    </w:div>
    <w:div w:id="1729568165">
      <w:bodyDiv w:val="1"/>
      <w:marLeft w:val="0"/>
      <w:marRight w:val="0"/>
      <w:marTop w:val="0"/>
      <w:marBottom w:val="0"/>
      <w:divBdr>
        <w:top w:val="none" w:sz="0" w:space="0" w:color="auto"/>
        <w:left w:val="none" w:sz="0" w:space="0" w:color="auto"/>
        <w:bottom w:val="none" w:sz="0" w:space="0" w:color="auto"/>
        <w:right w:val="none" w:sz="0" w:space="0" w:color="auto"/>
      </w:divBdr>
    </w:div>
    <w:div w:id="1737123828">
      <w:bodyDiv w:val="1"/>
      <w:marLeft w:val="0"/>
      <w:marRight w:val="0"/>
      <w:marTop w:val="0"/>
      <w:marBottom w:val="0"/>
      <w:divBdr>
        <w:top w:val="none" w:sz="0" w:space="0" w:color="auto"/>
        <w:left w:val="none" w:sz="0" w:space="0" w:color="auto"/>
        <w:bottom w:val="none" w:sz="0" w:space="0" w:color="auto"/>
        <w:right w:val="none" w:sz="0" w:space="0" w:color="auto"/>
      </w:divBdr>
    </w:div>
    <w:div w:id="1737241570">
      <w:bodyDiv w:val="1"/>
      <w:marLeft w:val="0"/>
      <w:marRight w:val="0"/>
      <w:marTop w:val="0"/>
      <w:marBottom w:val="0"/>
      <w:divBdr>
        <w:top w:val="none" w:sz="0" w:space="0" w:color="auto"/>
        <w:left w:val="none" w:sz="0" w:space="0" w:color="auto"/>
        <w:bottom w:val="none" w:sz="0" w:space="0" w:color="auto"/>
        <w:right w:val="none" w:sz="0" w:space="0" w:color="auto"/>
      </w:divBdr>
    </w:div>
    <w:div w:id="1738896068">
      <w:bodyDiv w:val="1"/>
      <w:marLeft w:val="0"/>
      <w:marRight w:val="0"/>
      <w:marTop w:val="0"/>
      <w:marBottom w:val="0"/>
      <w:divBdr>
        <w:top w:val="none" w:sz="0" w:space="0" w:color="auto"/>
        <w:left w:val="none" w:sz="0" w:space="0" w:color="auto"/>
        <w:bottom w:val="none" w:sz="0" w:space="0" w:color="auto"/>
        <w:right w:val="none" w:sz="0" w:space="0" w:color="auto"/>
      </w:divBdr>
    </w:div>
    <w:div w:id="1744597487">
      <w:bodyDiv w:val="1"/>
      <w:marLeft w:val="0"/>
      <w:marRight w:val="0"/>
      <w:marTop w:val="0"/>
      <w:marBottom w:val="0"/>
      <w:divBdr>
        <w:top w:val="none" w:sz="0" w:space="0" w:color="auto"/>
        <w:left w:val="none" w:sz="0" w:space="0" w:color="auto"/>
        <w:bottom w:val="none" w:sz="0" w:space="0" w:color="auto"/>
        <w:right w:val="none" w:sz="0" w:space="0" w:color="auto"/>
      </w:divBdr>
    </w:div>
    <w:div w:id="1745102896">
      <w:bodyDiv w:val="1"/>
      <w:marLeft w:val="0"/>
      <w:marRight w:val="0"/>
      <w:marTop w:val="0"/>
      <w:marBottom w:val="0"/>
      <w:divBdr>
        <w:top w:val="none" w:sz="0" w:space="0" w:color="auto"/>
        <w:left w:val="none" w:sz="0" w:space="0" w:color="auto"/>
        <w:bottom w:val="none" w:sz="0" w:space="0" w:color="auto"/>
        <w:right w:val="none" w:sz="0" w:space="0" w:color="auto"/>
      </w:divBdr>
    </w:div>
    <w:div w:id="1746341728">
      <w:bodyDiv w:val="1"/>
      <w:marLeft w:val="0"/>
      <w:marRight w:val="0"/>
      <w:marTop w:val="0"/>
      <w:marBottom w:val="0"/>
      <w:divBdr>
        <w:top w:val="none" w:sz="0" w:space="0" w:color="auto"/>
        <w:left w:val="none" w:sz="0" w:space="0" w:color="auto"/>
        <w:bottom w:val="none" w:sz="0" w:space="0" w:color="auto"/>
        <w:right w:val="none" w:sz="0" w:space="0" w:color="auto"/>
      </w:divBdr>
    </w:div>
    <w:div w:id="1749307171">
      <w:bodyDiv w:val="1"/>
      <w:marLeft w:val="0"/>
      <w:marRight w:val="0"/>
      <w:marTop w:val="0"/>
      <w:marBottom w:val="0"/>
      <w:divBdr>
        <w:top w:val="none" w:sz="0" w:space="0" w:color="auto"/>
        <w:left w:val="none" w:sz="0" w:space="0" w:color="auto"/>
        <w:bottom w:val="none" w:sz="0" w:space="0" w:color="auto"/>
        <w:right w:val="none" w:sz="0" w:space="0" w:color="auto"/>
      </w:divBdr>
    </w:div>
    <w:div w:id="1752921688">
      <w:bodyDiv w:val="1"/>
      <w:marLeft w:val="0"/>
      <w:marRight w:val="0"/>
      <w:marTop w:val="0"/>
      <w:marBottom w:val="0"/>
      <w:divBdr>
        <w:top w:val="none" w:sz="0" w:space="0" w:color="auto"/>
        <w:left w:val="none" w:sz="0" w:space="0" w:color="auto"/>
        <w:bottom w:val="none" w:sz="0" w:space="0" w:color="auto"/>
        <w:right w:val="none" w:sz="0" w:space="0" w:color="auto"/>
      </w:divBdr>
    </w:div>
    <w:div w:id="1754741882">
      <w:bodyDiv w:val="1"/>
      <w:marLeft w:val="0"/>
      <w:marRight w:val="0"/>
      <w:marTop w:val="0"/>
      <w:marBottom w:val="0"/>
      <w:divBdr>
        <w:top w:val="none" w:sz="0" w:space="0" w:color="auto"/>
        <w:left w:val="none" w:sz="0" w:space="0" w:color="auto"/>
        <w:bottom w:val="none" w:sz="0" w:space="0" w:color="auto"/>
        <w:right w:val="none" w:sz="0" w:space="0" w:color="auto"/>
      </w:divBdr>
    </w:div>
    <w:div w:id="1754860162">
      <w:bodyDiv w:val="1"/>
      <w:marLeft w:val="0"/>
      <w:marRight w:val="0"/>
      <w:marTop w:val="0"/>
      <w:marBottom w:val="0"/>
      <w:divBdr>
        <w:top w:val="none" w:sz="0" w:space="0" w:color="auto"/>
        <w:left w:val="none" w:sz="0" w:space="0" w:color="auto"/>
        <w:bottom w:val="none" w:sz="0" w:space="0" w:color="auto"/>
        <w:right w:val="none" w:sz="0" w:space="0" w:color="auto"/>
      </w:divBdr>
    </w:div>
    <w:div w:id="1755277218">
      <w:bodyDiv w:val="1"/>
      <w:marLeft w:val="0"/>
      <w:marRight w:val="0"/>
      <w:marTop w:val="0"/>
      <w:marBottom w:val="0"/>
      <w:divBdr>
        <w:top w:val="none" w:sz="0" w:space="0" w:color="auto"/>
        <w:left w:val="none" w:sz="0" w:space="0" w:color="auto"/>
        <w:bottom w:val="none" w:sz="0" w:space="0" w:color="auto"/>
        <w:right w:val="none" w:sz="0" w:space="0" w:color="auto"/>
      </w:divBdr>
    </w:div>
    <w:div w:id="1755393105">
      <w:bodyDiv w:val="1"/>
      <w:marLeft w:val="0"/>
      <w:marRight w:val="0"/>
      <w:marTop w:val="0"/>
      <w:marBottom w:val="0"/>
      <w:divBdr>
        <w:top w:val="none" w:sz="0" w:space="0" w:color="auto"/>
        <w:left w:val="none" w:sz="0" w:space="0" w:color="auto"/>
        <w:bottom w:val="none" w:sz="0" w:space="0" w:color="auto"/>
        <w:right w:val="none" w:sz="0" w:space="0" w:color="auto"/>
      </w:divBdr>
    </w:div>
    <w:div w:id="1755395890">
      <w:bodyDiv w:val="1"/>
      <w:marLeft w:val="0"/>
      <w:marRight w:val="0"/>
      <w:marTop w:val="0"/>
      <w:marBottom w:val="0"/>
      <w:divBdr>
        <w:top w:val="none" w:sz="0" w:space="0" w:color="auto"/>
        <w:left w:val="none" w:sz="0" w:space="0" w:color="auto"/>
        <w:bottom w:val="none" w:sz="0" w:space="0" w:color="auto"/>
        <w:right w:val="none" w:sz="0" w:space="0" w:color="auto"/>
      </w:divBdr>
    </w:div>
    <w:div w:id="1756173528">
      <w:bodyDiv w:val="1"/>
      <w:marLeft w:val="0"/>
      <w:marRight w:val="0"/>
      <w:marTop w:val="0"/>
      <w:marBottom w:val="0"/>
      <w:divBdr>
        <w:top w:val="none" w:sz="0" w:space="0" w:color="auto"/>
        <w:left w:val="none" w:sz="0" w:space="0" w:color="auto"/>
        <w:bottom w:val="none" w:sz="0" w:space="0" w:color="auto"/>
        <w:right w:val="none" w:sz="0" w:space="0" w:color="auto"/>
      </w:divBdr>
    </w:div>
    <w:div w:id="1756508916">
      <w:bodyDiv w:val="1"/>
      <w:marLeft w:val="0"/>
      <w:marRight w:val="0"/>
      <w:marTop w:val="0"/>
      <w:marBottom w:val="0"/>
      <w:divBdr>
        <w:top w:val="none" w:sz="0" w:space="0" w:color="auto"/>
        <w:left w:val="none" w:sz="0" w:space="0" w:color="auto"/>
        <w:bottom w:val="none" w:sz="0" w:space="0" w:color="auto"/>
        <w:right w:val="none" w:sz="0" w:space="0" w:color="auto"/>
      </w:divBdr>
    </w:div>
    <w:div w:id="1760714628">
      <w:bodyDiv w:val="1"/>
      <w:marLeft w:val="0"/>
      <w:marRight w:val="0"/>
      <w:marTop w:val="0"/>
      <w:marBottom w:val="0"/>
      <w:divBdr>
        <w:top w:val="none" w:sz="0" w:space="0" w:color="auto"/>
        <w:left w:val="none" w:sz="0" w:space="0" w:color="auto"/>
        <w:bottom w:val="none" w:sz="0" w:space="0" w:color="auto"/>
        <w:right w:val="none" w:sz="0" w:space="0" w:color="auto"/>
      </w:divBdr>
    </w:div>
    <w:div w:id="1761295774">
      <w:bodyDiv w:val="1"/>
      <w:marLeft w:val="0"/>
      <w:marRight w:val="0"/>
      <w:marTop w:val="0"/>
      <w:marBottom w:val="0"/>
      <w:divBdr>
        <w:top w:val="none" w:sz="0" w:space="0" w:color="auto"/>
        <w:left w:val="none" w:sz="0" w:space="0" w:color="auto"/>
        <w:bottom w:val="none" w:sz="0" w:space="0" w:color="auto"/>
        <w:right w:val="none" w:sz="0" w:space="0" w:color="auto"/>
      </w:divBdr>
    </w:div>
    <w:div w:id="1762678122">
      <w:bodyDiv w:val="1"/>
      <w:marLeft w:val="0"/>
      <w:marRight w:val="0"/>
      <w:marTop w:val="0"/>
      <w:marBottom w:val="0"/>
      <w:divBdr>
        <w:top w:val="none" w:sz="0" w:space="0" w:color="auto"/>
        <w:left w:val="none" w:sz="0" w:space="0" w:color="auto"/>
        <w:bottom w:val="none" w:sz="0" w:space="0" w:color="auto"/>
        <w:right w:val="none" w:sz="0" w:space="0" w:color="auto"/>
      </w:divBdr>
    </w:div>
    <w:div w:id="1762874009">
      <w:bodyDiv w:val="1"/>
      <w:marLeft w:val="0"/>
      <w:marRight w:val="0"/>
      <w:marTop w:val="0"/>
      <w:marBottom w:val="0"/>
      <w:divBdr>
        <w:top w:val="none" w:sz="0" w:space="0" w:color="auto"/>
        <w:left w:val="none" w:sz="0" w:space="0" w:color="auto"/>
        <w:bottom w:val="none" w:sz="0" w:space="0" w:color="auto"/>
        <w:right w:val="none" w:sz="0" w:space="0" w:color="auto"/>
      </w:divBdr>
    </w:div>
    <w:div w:id="1763143633">
      <w:bodyDiv w:val="1"/>
      <w:marLeft w:val="0"/>
      <w:marRight w:val="0"/>
      <w:marTop w:val="0"/>
      <w:marBottom w:val="0"/>
      <w:divBdr>
        <w:top w:val="none" w:sz="0" w:space="0" w:color="auto"/>
        <w:left w:val="none" w:sz="0" w:space="0" w:color="auto"/>
        <w:bottom w:val="none" w:sz="0" w:space="0" w:color="auto"/>
        <w:right w:val="none" w:sz="0" w:space="0" w:color="auto"/>
      </w:divBdr>
    </w:div>
    <w:div w:id="1768694713">
      <w:bodyDiv w:val="1"/>
      <w:marLeft w:val="0"/>
      <w:marRight w:val="0"/>
      <w:marTop w:val="0"/>
      <w:marBottom w:val="0"/>
      <w:divBdr>
        <w:top w:val="none" w:sz="0" w:space="0" w:color="auto"/>
        <w:left w:val="none" w:sz="0" w:space="0" w:color="auto"/>
        <w:bottom w:val="none" w:sz="0" w:space="0" w:color="auto"/>
        <w:right w:val="none" w:sz="0" w:space="0" w:color="auto"/>
      </w:divBdr>
    </w:div>
    <w:div w:id="1768841334">
      <w:bodyDiv w:val="1"/>
      <w:marLeft w:val="0"/>
      <w:marRight w:val="0"/>
      <w:marTop w:val="0"/>
      <w:marBottom w:val="0"/>
      <w:divBdr>
        <w:top w:val="none" w:sz="0" w:space="0" w:color="auto"/>
        <w:left w:val="none" w:sz="0" w:space="0" w:color="auto"/>
        <w:bottom w:val="none" w:sz="0" w:space="0" w:color="auto"/>
        <w:right w:val="none" w:sz="0" w:space="0" w:color="auto"/>
      </w:divBdr>
    </w:div>
    <w:div w:id="1768886859">
      <w:bodyDiv w:val="1"/>
      <w:marLeft w:val="0"/>
      <w:marRight w:val="0"/>
      <w:marTop w:val="0"/>
      <w:marBottom w:val="0"/>
      <w:divBdr>
        <w:top w:val="none" w:sz="0" w:space="0" w:color="auto"/>
        <w:left w:val="none" w:sz="0" w:space="0" w:color="auto"/>
        <w:bottom w:val="none" w:sz="0" w:space="0" w:color="auto"/>
        <w:right w:val="none" w:sz="0" w:space="0" w:color="auto"/>
      </w:divBdr>
    </w:div>
    <w:div w:id="1769157126">
      <w:bodyDiv w:val="1"/>
      <w:marLeft w:val="0"/>
      <w:marRight w:val="0"/>
      <w:marTop w:val="0"/>
      <w:marBottom w:val="0"/>
      <w:divBdr>
        <w:top w:val="none" w:sz="0" w:space="0" w:color="auto"/>
        <w:left w:val="none" w:sz="0" w:space="0" w:color="auto"/>
        <w:bottom w:val="none" w:sz="0" w:space="0" w:color="auto"/>
        <w:right w:val="none" w:sz="0" w:space="0" w:color="auto"/>
      </w:divBdr>
    </w:div>
    <w:div w:id="1770542055">
      <w:bodyDiv w:val="1"/>
      <w:marLeft w:val="0"/>
      <w:marRight w:val="0"/>
      <w:marTop w:val="0"/>
      <w:marBottom w:val="0"/>
      <w:divBdr>
        <w:top w:val="none" w:sz="0" w:space="0" w:color="auto"/>
        <w:left w:val="none" w:sz="0" w:space="0" w:color="auto"/>
        <w:bottom w:val="none" w:sz="0" w:space="0" w:color="auto"/>
        <w:right w:val="none" w:sz="0" w:space="0" w:color="auto"/>
      </w:divBdr>
    </w:div>
    <w:div w:id="1771851552">
      <w:bodyDiv w:val="1"/>
      <w:marLeft w:val="0"/>
      <w:marRight w:val="0"/>
      <w:marTop w:val="0"/>
      <w:marBottom w:val="0"/>
      <w:divBdr>
        <w:top w:val="none" w:sz="0" w:space="0" w:color="auto"/>
        <w:left w:val="none" w:sz="0" w:space="0" w:color="auto"/>
        <w:bottom w:val="none" w:sz="0" w:space="0" w:color="auto"/>
        <w:right w:val="none" w:sz="0" w:space="0" w:color="auto"/>
      </w:divBdr>
    </w:div>
    <w:div w:id="1774125406">
      <w:bodyDiv w:val="1"/>
      <w:marLeft w:val="0"/>
      <w:marRight w:val="0"/>
      <w:marTop w:val="0"/>
      <w:marBottom w:val="0"/>
      <w:divBdr>
        <w:top w:val="none" w:sz="0" w:space="0" w:color="auto"/>
        <w:left w:val="none" w:sz="0" w:space="0" w:color="auto"/>
        <w:bottom w:val="none" w:sz="0" w:space="0" w:color="auto"/>
        <w:right w:val="none" w:sz="0" w:space="0" w:color="auto"/>
      </w:divBdr>
    </w:div>
    <w:div w:id="1774668455">
      <w:bodyDiv w:val="1"/>
      <w:marLeft w:val="0"/>
      <w:marRight w:val="0"/>
      <w:marTop w:val="0"/>
      <w:marBottom w:val="0"/>
      <w:divBdr>
        <w:top w:val="none" w:sz="0" w:space="0" w:color="auto"/>
        <w:left w:val="none" w:sz="0" w:space="0" w:color="auto"/>
        <w:bottom w:val="none" w:sz="0" w:space="0" w:color="auto"/>
        <w:right w:val="none" w:sz="0" w:space="0" w:color="auto"/>
      </w:divBdr>
    </w:div>
    <w:div w:id="1774934152">
      <w:bodyDiv w:val="1"/>
      <w:marLeft w:val="0"/>
      <w:marRight w:val="0"/>
      <w:marTop w:val="0"/>
      <w:marBottom w:val="0"/>
      <w:divBdr>
        <w:top w:val="none" w:sz="0" w:space="0" w:color="auto"/>
        <w:left w:val="none" w:sz="0" w:space="0" w:color="auto"/>
        <w:bottom w:val="none" w:sz="0" w:space="0" w:color="auto"/>
        <w:right w:val="none" w:sz="0" w:space="0" w:color="auto"/>
      </w:divBdr>
    </w:div>
    <w:div w:id="1775515123">
      <w:bodyDiv w:val="1"/>
      <w:marLeft w:val="0"/>
      <w:marRight w:val="0"/>
      <w:marTop w:val="0"/>
      <w:marBottom w:val="0"/>
      <w:divBdr>
        <w:top w:val="none" w:sz="0" w:space="0" w:color="auto"/>
        <w:left w:val="none" w:sz="0" w:space="0" w:color="auto"/>
        <w:bottom w:val="none" w:sz="0" w:space="0" w:color="auto"/>
        <w:right w:val="none" w:sz="0" w:space="0" w:color="auto"/>
      </w:divBdr>
    </w:div>
    <w:div w:id="1776709855">
      <w:bodyDiv w:val="1"/>
      <w:marLeft w:val="0"/>
      <w:marRight w:val="0"/>
      <w:marTop w:val="0"/>
      <w:marBottom w:val="0"/>
      <w:divBdr>
        <w:top w:val="none" w:sz="0" w:space="0" w:color="auto"/>
        <w:left w:val="none" w:sz="0" w:space="0" w:color="auto"/>
        <w:bottom w:val="none" w:sz="0" w:space="0" w:color="auto"/>
        <w:right w:val="none" w:sz="0" w:space="0" w:color="auto"/>
      </w:divBdr>
    </w:div>
    <w:div w:id="1778678738">
      <w:bodyDiv w:val="1"/>
      <w:marLeft w:val="0"/>
      <w:marRight w:val="0"/>
      <w:marTop w:val="0"/>
      <w:marBottom w:val="0"/>
      <w:divBdr>
        <w:top w:val="none" w:sz="0" w:space="0" w:color="auto"/>
        <w:left w:val="none" w:sz="0" w:space="0" w:color="auto"/>
        <w:bottom w:val="none" w:sz="0" w:space="0" w:color="auto"/>
        <w:right w:val="none" w:sz="0" w:space="0" w:color="auto"/>
      </w:divBdr>
    </w:div>
    <w:div w:id="1780029690">
      <w:bodyDiv w:val="1"/>
      <w:marLeft w:val="0"/>
      <w:marRight w:val="0"/>
      <w:marTop w:val="0"/>
      <w:marBottom w:val="0"/>
      <w:divBdr>
        <w:top w:val="none" w:sz="0" w:space="0" w:color="auto"/>
        <w:left w:val="none" w:sz="0" w:space="0" w:color="auto"/>
        <w:bottom w:val="none" w:sz="0" w:space="0" w:color="auto"/>
        <w:right w:val="none" w:sz="0" w:space="0" w:color="auto"/>
      </w:divBdr>
    </w:div>
    <w:div w:id="1786345093">
      <w:bodyDiv w:val="1"/>
      <w:marLeft w:val="0"/>
      <w:marRight w:val="0"/>
      <w:marTop w:val="0"/>
      <w:marBottom w:val="0"/>
      <w:divBdr>
        <w:top w:val="none" w:sz="0" w:space="0" w:color="auto"/>
        <w:left w:val="none" w:sz="0" w:space="0" w:color="auto"/>
        <w:bottom w:val="none" w:sz="0" w:space="0" w:color="auto"/>
        <w:right w:val="none" w:sz="0" w:space="0" w:color="auto"/>
      </w:divBdr>
    </w:div>
    <w:div w:id="1787382079">
      <w:bodyDiv w:val="1"/>
      <w:marLeft w:val="0"/>
      <w:marRight w:val="0"/>
      <w:marTop w:val="0"/>
      <w:marBottom w:val="0"/>
      <w:divBdr>
        <w:top w:val="none" w:sz="0" w:space="0" w:color="auto"/>
        <w:left w:val="none" w:sz="0" w:space="0" w:color="auto"/>
        <w:bottom w:val="none" w:sz="0" w:space="0" w:color="auto"/>
        <w:right w:val="none" w:sz="0" w:space="0" w:color="auto"/>
      </w:divBdr>
    </w:div>
    <w:div w:id="1787576609">
      <w:bodyDiv w:val="1"/>
      <w:marLeft w:val="0"/>
      <w:marRight w:val="0"/>
      <w:marTop w:val="0"/>
      <w:marBottom w:val="0"/>
      <w:divBdr>
        <w:top w:val="none" w:sz="0" w:space="0" w:color="auto"/>
        <w:left w:val="none" w:sz="0" w:space="0" w:color="auto"/>
        <w:bottom w:val="none" w:sz="0" w:space="0" w:color="auto"/>
        <w:right w:val="none" w:sz="0" w:space="0" w:color="auto"/>
      </w:divBdr>
    </w:div>
    <w:div w:id="1788232174">
      <w:bodyDiv w:val="1"/>
      <w:marLeft w:val="0"/>
      <w:marRight w:val="0"/>
      <w:marTop w:val="0"/>
      <w:marBottom w:val="0"/>
      <w:divBdr>
        <w:top w:val="none" w:sz="0" w:space="0" w:color="auto"/>
        <w:left w:val="none" w:sz="0" w:space="0" w:color="auto"/>
        <w:bottom w:val="none" w:sz="0" w:space="0" w:color="auto"/>
        <w:right w:val="none" w:sz="0" w:space="0" w:color="auto"/>
      </w:divBdr>
    </w:div>
    <w:div w:id="1788543973">
      <w:bodyDiv w:val="1"/>
      <w:marLeft w:val="0"/>
      <w:marRight w:val="0"/>
      <w:marTop w:val="0"/>
      <w:marBottom w:val="0"/>
      <w:divBdr>
        <w:top w:val="none" w:sz="0" w:space="0" w:color="auto"/>
        <w:left w:val="none" w:sz="0" w:space="0" w:color="auto"/>
        <w:bottom w:val="none" w:sz="0" w:space="0" w:color="auto"/>
        <w:right w:val="none" w:sz="0" w:space="0" w:color="auto"/>
      </w:divBdr>
    </w:div>
    <w:div w:id="1788818370">
      <w:bodyDiv w:val="1"/>
      <w:marLeft w:val="0"/>
      <w:marRight w:val="0"/>
      <w:marTop w:val="0"/>
      <w:marBottom w:val="0"/>
      <w:divBdr>
        <w:top w:val="none" w:sz="0" w:space="0" w:color="auto"/>
        <w:left w:val="none" w:sz="0" w:space="0" w:color="auto"/>
        <w:bottom w:val="none" w:sz="0" w:space="0" w:color="auto"/>
        <w:right w:val="none" w:sz="0" w:space="0" w:color="auto"/>
      </w:divBdr>
    </w:div>
    <w:div w:id="1789935460">
      <w:bodyDiv w:val="1"/>
      <w:marLeft w:val="0"/>
      <w:marRight w:val="0"/>
      <w:marTop w:val="0"/>
      <w:marBottom w:val="0"/>
      <w:divBdr>
        <w:top w:val="none" w:sz="0" w:space="0" w:color="auto"/>
        <w:left w:val="none" w:sz="0" w:space="0" w:color="auto"/>
        <w:bottom w:val="none" w:sz="0" w:space="0" w:color="auto"/>
        <w:right w:val="none" w:sz="0" w:space="0" w:color="auto"/>
      </w:divBdr>
    </w:div>
    <w:div w:id="1790472425">
      <w:bodyDiv w:val="1"/>
      <w:marLeft w:val="0"/>
      <w:marRight w:val="0"/>
      <w:marTop w:val="0"/>
      <w:marBottom w:val="0"/>
      <w:divBdr>
        <w:top w:val="none" w:sz="0" w:space="0" w:color="auto"/>
        <w:left w:val="none" w:sz="0" w:space="0" w:color="auto"/>
        <w:bottom w:val="none" w:sz="0" w:space="0" w:color="auto"/>
        <w:right w:val="none" w:sz="0" w:space="0" w:color="auto"/>
      </w:divBdr>
    </w:div>
    <w:div w:id="1790513542">
      <w:bodyDiv w:val="1"/>
      <w:marLeft w:val="0"/>
      <w:marRight w:val="0"/>
      <w:marTop w:val="0"/>
      <w:marBottom w:val="0"/>
      <w:divBdr>
        <w:top w:val="none" w:sz="0" w:space="0" w:color="auto"/>
        <w:left w:val="none" w:sz="0" w:space="0" w:color="auto"/>
        <w:bottom w:val="none" w:sz="0" w:space="0" w:color="auto"/>
        <w:right w:val="none" w:sz="0" w:space="0" w:color="auto"/>
      </w:divBdr>
      <w:divsChild>
        <w:div w:id="108009183">
          <w:marLeft w:val="0"/>
          <w:marRight w:val="0"/>
          <w:marTop w:val="0"/>
          <w:marBottom w:val="0"/>
          <w:divBdr>
            <w:top w:val="none" w:sz="0" w:space="0" w:color="auto"/>
            <w:left w:val="none" w:sz="0" w:space="0" w:color="auto"/>
            <w:bottom w:val="none" w:sz="0" w:space="0" w:color="auto"/>
            <w:right w:val="none" w:sz="0" w:space="0" w:color="auto"/>
          </w:divBdr>
        </w:div>
      </w:divsChild>
    </w:div>
    <w:div w:id="1790539519">
      <w:bodyDiv w:val="1"/>
      <w:marLeft w:val="0"/>
      <w:marRight w:val="0"/>
      <w:marTop w:val="0"/>
      <w:marBottom w:val="0"/>
      <w:divBdr>
        <w:top w:val="none" w:sz="0" w:space="0" w:color="auto"/>
        <w:left w:val="none" w:sz="0" w:space="0" w:color="auto"/>
        <w:bottom w:val="none" w:sz="0" w:space="0" w:color="auto"/>
        <w:right w:val="none" w:sz="0" w:space="0" w:color="auto"/>
      </w:divBdr>
    </w:div>
    <w:div w:id="1793865778">
      <w:bodyDiv w:val="1"/>
      <w:marLeft w:val="0"/>
      <w:marRight w:val="0"/>
      <w:marTop w:val="0"/>
      <w:marBottom w:val="0"/>
      <w:divBdr>
        <w:top w:val="none" w:sz="0" w:space="0" w:color="auto"/>
        <w:left w:val="none" w:sz="0" w:space="0" w:color="auto"/>
        <w:bottom w:val="none" w:sz="0" w:space="0" w:color="auto"/>
        <w:right w:val="none" w:sz="0" w:space="0" w:color="auto"/>
      </w:divBdr>
    </w:div>
    <w:div w:id="1795294209">
      <w:bodyDiv w:val="1"/>
      <w:marLeft w:val="0"/>
      <w:marRight w:val="0"/>
      <w:marTop w:val="0"/>
      <w:marBottom w:val="0"/>
      <w:divBdr>
        <w:top w:val="none" w:sz="0" w:space="0" w:color="auto"/>
        <w:left w:val="none" w:sz="0" w:space="0" w:color="auto"/>
        <w:bottom w:val="none" w:sz="0" w:space="0" w:color="auto"/>
        <w:right w:val="none" w:sz="0" w:space="0" w:color="auto"/>
      </w:divBdr>
    </w:div>
    <w:div w:id="1797020157">
      <w:bodyDiv w:val="1"/>
      <w:marLeft w:val="0"/>
      <w:marRight w:val="0"/>
      <w:marTop w:val="0"/>
      <w:marBottom w:val="0"/>
      <w:divBdr>
        <w:top w:val="none" w:sz="0" w:space="0" w:color="auto"/>
        <w:left w:val="none" w:sz="0" w:space="0" w:color="auto"/>
        <w:bottom w:val="none" w:sz="0" w:space="0" w:color="auto"/>
        <w:right w:val="none" w:sz="0" w:space="0" w:color="auto"/>
      </w:divBdr>
    </w:div>
    <w:div w:id="1797331944">
      <w:bodyDiv w:val="1"/>
      <w:marLeft w:val="0"/>
      <w:marRight w:val="0"/>
      <w:marTop w:val="0"/>
      <w:marBottom w:val="0"/>
      <w:divBdr>
        <w:top w:val="none" w:sz="0" w:space="0" w:color="auto"/>
        <w:left w:val="none" w:sz="0" w:space="0" w:color="auto"/>
        <w:bottom w:val="none" w:sz="0" w:space="0" w:color="auto"/>
        <w:right w:val="none" w:sz="0" w:space="0" w:color="auto"/>
      </w:divBdr>
    </w:div>
    <w:div w:id="1797405381">
      <w:bodyDiv w:val="1"/>
      <w:marLeft w:val="0"/>
      <w:marRight w:val="0"/>
      <w:marTop w:val="0"/>
      <w:marBottom w:val="0"/>
      <w:divBdr>
        <w:top w:val="none" w:sz="0" w:space="0" w:color="auto"/>
        <w:left w:val="none" w:sz="0" w:space="0" w:color="auto"/>
        <w:bottom w:val="none" w:sz="0" w:space="0" w:color="auto"/>
        <w:right w:val="none" w:sz="0" w:space="0" w:color="auto"/>
      </w:divBdr>
    </w:div>
    <w:div w:id="1799881724">
      <w:bodyDiv w:val="1"/>
      <w:marLeft w:val="0"/>
      <w:marRight w:val="0"/>
      <w:marTop w:val="0"/>
      <w:marBottom w:val="0"/>
      <w:divBdr>
        <w:top w:val="none" w:sz="0" w:space="0" w:color="auto"/>
        <w:left w:val="none" w:sz="0" w:space="0" w:color="auto"/>
        <w:bottom w:val="none" w:sz="0" w:space="0" w:color="auto"/>
        <w:right w:val="none" w:sz="0" w:space="0" w:color="auto"/>
      </w:divBdr>
    </w:div>
    <w:div w:id="1800416124">
      <w:bodyDiv w:val="1"/>
      <w:marLeft w:val="0"/>
      <w:marRight w:val="0"/>
      <w:marTop w:val="0"/>
      <w:marBottom w:val="0"/>
      <w:divBdr>
        <w:top w:val="none" w:sz="0" w:space="0" w:color="auto"/>
        <w:left w:val="none" w:sz="0" w:space="0" w:color="auto"/>
        <w:bottom w:val="none" w:sz="0" w:space="0" w:color="auto"/>
        <w:right w:val="none" w:sz="0" w:space="0" w:color="auto"/>
      </w:divBdr>
    </w:div>
    <w:div w:id="1800608547">
      <w:bodyDiv w:val="1"/>
      <w:marLeft w:val="0"/>
      <w:marRight w:val="0"/>
      <w:marTop w:val="0"/>
      <w:marBottom w:val="0"/>
      <w:divBdr>
        <w:top w:val="none" w:sz="0" w:space="0" w:color="auto"/>
        <w:left w:val="none" w:sz="0" w:space="0" w:color="auto"/>
        <w:bottom w:val="none" w:sz="0" w:space="0" w:color="auto"/>
        <w:right w:val="none" w:sz="0" w:space="0" w:color="auto"/>
      </w:divBdr>
    </w:div>
    <w:div w:id="1801531495">
      <w:bodyDiv w:val="1"/>
      <w:marLeft w:val="0"/>
      <w:marRight w:val="0"/>
      <w:marTop w:val="0"/>
      <w:marBottom w:val="0"/>
      <w:divBdr>
        <w:top w:val="none" w:sz="0" w:space="0" w:color="auto"/>
        <w:left w:val="none" w:sz="0" w:space="0" w:color="auto"/>
        <w:bottom w:val="none" w:sz="0" w:space="0" w:color="auto"/>
        <w:right w:val="none" w:sz="0" w:space="0" w:color="auto"/>
      </w:divBdr>
    </w:div>
    <w:div w:id="1801918239">
      <w:bodyDiv w:val="1"/>
      <w:marLeft w:val="0"/>
      <w:marRight w:val="0"/>
      <w:marTop w:val="0"/>
      <w:marBottom w:val="0"/>
      <w:divBdr>
        <w:top w:val="none" w:sz="0" w:space="0" w:color="auto"/>
        <w:left w:val="none" w:sz="0" w:space="0" w:color="auto"/>
        <w:bottom w:val="none" w:sz="0" w:space="0" w:color="auto"/>
        <w:right w:val="none" w:sz="0" w:space="0" w:color="auto"/>
      </w:divBdr>
    </w:div>
    <w:div w:id="1801996479">
      <w:bodyDiv w:val="1"/>
      <w:marLeft w:val="0"/>
      <w:marRight w:val="0"/>
      <w:marTop w:val="0"/>
      <w:marBottom w:val="0"/>
      <w:divBdr>
        <w:top w:val="none" w:sz="0" w:space="0" w:color="auto"/>
        <w:left w:val="none" w:sz="0" w:space="0" w:color="auto"/>
        <w:bottom w:val="none" w:sz="0" w:space="0" w:color="auto"/>
        <w:right w:val="none" w:sz="0" w:space="0" w:color="auto"/>
      </w:divBdr>
    </w:div>
    <w:div w:id="1802072858">
      <w:bodyDiv w:val="1"/>
      <w:marLeft w:val="0"/>
      <w:marRight w:val="0"/>
      <w:marTop w:val="0"/>
      <w:marBottom w:val="0"/>
      <w:divBdr>
        <w:top w:val="none" w:sz="0" w:space="0" w:color="auto"/>
        <w:left w:val="none" w:sz="0" w:space="0" w:color="auto"/>
        <w:bottom w:val="none" w:sz="0" w:space="0" w:color="auto"/>
        <w:right w:val="none" w:sz="0" w:space="0" w:color="auto"/>
      </w:divBdr>
    </w:div>
    <w:div w:id="1804234009">
      <w:bodyDiv w:val="1"/>
      <w:marLeft w:val="0"/>
      <w:marRight w:val="0"/>
      <w:marTop w:val="0"/>
      <w:marBottom w:val="0"/>
      <w:divBdr>
        <w:top w:val="none" w:sz="0" w:space="0" w:color="auto"/>
        <w:left w:val="none" w:sz="0" w:space="0" w:color="auto"/>
        <w:bottom w:val="none" w:sz="0" w:space="0" w:color="auto"/>
        <w:right w:val="none" w:sz="0" w:space="0" w:color="auto"/>
      </w:divBdr>
    </w:div>
    <w:div w:id="1808468637">
      <w:bodyDiv w:val="1"/>
      <w:marLeft w:val="0"/>
      <w:marRight w:val="0"/>
      <w:marTop w:val="0"/>
      <w:marBottom w:val="0"/>
      <w:divBdr>
        <w:top w:val="none" w:sz="0" w:space="0" w:color="auto"/>
        <w:left w:val="none" w:sz="0" w:space="0" w:color="auto"/>
        <w:bottom w:val="none" w:sz="0" w:space="0" w:color="auto"/>
        <w:right w:val="none" w:sz="0" w:space="0" w:color="auto"/>
      </w:divBdr>
    </w:div>
    <w:div w:id="1812093566">
      <w:bodyDiv w:val="1"/>
      <w:marLeft w:val="0"/>
      <w:marRight w:val="0"/>
      <w:marTop w:val="0"/>
      <w:marBottom w:val="0"/>
      <w:divBdr>
        <w:top w:val="none" w:sz="0" w:space="0" w:color="auto"/>
        <w:left w:val="none" w:sz="0" w:space="0" w:color="auto"/>
        <w:bottom w:val="none" w:sz="0" w:space="0" w:color="auto"/>
        <w:right w:val="none" w:sz="0" w:space="0" w:color="auto"/>
      </w:divBdr>
    </w:div>
    <w:div w:id="1814635453">
      <w:bodyDiv w:val="1"/>
      <w:marLeft w:val="0"/>
      <w:marRight w:val="0"/>
      <w:marTop w:val="0"/>
      <w:marBottom w:val="0"/>
      <w:divBdr>
        <w:top w:val="none" w:sz="0" w:space="0" w:color="auto"/>
        <w:left w:val="none" w:sz="0" w:space="0" w:color="auto"/>
        <w:bottom w:val="none" w:sz="0" w:space="0" w:color="auto"/>
        <w:right w:val="none" w:sz="0" w:space="0" w:color="auto"/>
      </w:divBdr>
    </w:div>
    <w:div w:id="1814984106">
      <w:bodyDiv w:val="1"/>
      <w:marLeft w:val="0"/>
      <w:marRight w:val="0"/>
      <w:marTop w:val="0"/>
      <w:marBottom w:val="0"/>
      <w:divBdr>
        <w:top w:val="none" w:sz="0" w:space="0" w:color="auto"/>
        <w:left w:val="none" w:sz="0" w:space="0" w:color="auto"/>
        <w:bottom w:val="none" w:sz="0" w:space="0" w:color="auto"/>
        <w:right w:val="none" w:sz="0" w:space="0" w:color="auto"/>
      </w:divBdr>
    </w:div>
    <w:div w:id="1814986580">
      <w:bodyDiv w:val="1"/>
      <w:marLeft w:val="0"/>
      <w:marRight w:val="0"/>
      <w:marTop w:val="0"/>
      <w:marBottom w:val="0"/>
      <w:divBdr>
        <w:top w:val="none" w:sz="0" w:space="0" w:color="auto"/>
        <w:left w:val="none" w:sz="0" w:space="0" w:color="auto"/>
        <w:bottom w:val="none" w:sz="0" w:space="0" w:color="auto"/>
        <w:right w:val="none" w:sz="0" w:space="0" w:color="auto"/>
      </w:divBdr>
    </w:div>
    <w:div w:id="1815951018">
      <w:bodyDiv w:val="1"/>
      <w:marLeft w:val="0"/>
      <w:marRight w:val="0"/>
      <w:marTop w:val="0"/>
      <w:marBottom w:val="0"/>
      <w:divBdr>
        <w:top w:val="none" w:sz="0" w:space="0" w:color="auto"/>
        <w:left w:val="none" w:sz="0" w:space="0" w:color="auto"/>
        <w:bottom w:val="none" w:sz="0" w:space="0" w:color="auto"/>
        <w:right w:val="none" w:sz="0" w:space="0" w:color="auto"/>
      </w:divBdr>
    </w:div>
    <w:div w:id="1821077645">
      <w:bodyDiv w:val="1"/>
      <w:marLeft w:val="0"/>
      <w:marRight w:val="0"/>
      <w:marTop w:val="0"/>
      <w:marBottom w:val="0"/>
      <w:divBdr>
        <w:top w:val="none" w:sz="0" w:space="0" w:color="auto"/>
        <w:left w:val="none" w:sz="0" w:space="0" w:color="auto"/>
        <w:bottom w:val="none" w:sz="0" w:space="0" w:color="auto"/>
        <w:right w:val="none" w:sz="0" w:space="0" w:color="auto"/>
      </w:divBdr>
    </w:div>
    <w:div w:id="1821535281">
      <w:bodyDiv w:val="1"/>
      <w:marLeft w:val="0"/>
      <w:marRight w:val="0"/>
      <w:marTop w:val="0"/>
      <w:marBottom w:val="0"/>
      <w:divBdr>
        <w:top w:val="none" w:sz="0" w:space="0" w:color="auto"/>
        <w:left w:val="none" w:sz="0" w:space="0" w:color="auto"/>
        <w:bottom w:val="none" w:sz="0" w:space="0" w:color="auto"/>
        <w:right w:val="none" w:sz="0" w:space="0" w:color="auto"/>
      </w:divBdr>
    </w:div>
    <w:div w:id="1821917062">
      <w:bodyDiv w:val="1"/>
      <w:marLeft w:val="0"/>
      <w:marRight w:val="0"/>
      <w:marTop w:val="0"/>
      <w:marBottom w:val="0"/>
      <w:divBdr>
        <w:top w:val="none" w:sz="0" w:space="0" w:color="auto"/>
        <w:left w:val="none" w:sz="0" w:space="0" w:color="auto"/>
        <w:bottom w:val="none" w:sz="0" w:space="0" w:color="auto"/>
        <w:right w:val="none" w:sz="0" w:space="0" w:color="auto"/>
      </w:divBdr>
    </w:div>
    <w:div w:id="1822192977">
      <w:bodyDiv w:val="1"/>
      <w:marLeft w:val="0"/>
      <w:marRight w:val="0"/>
      <w:marTop w:val="0"/>
      <w:marBottom w:val="0"/>
      <w:divBdr>
        <w:top w:val="none" w:sz="0" w:space="0" w:color="auto"/>
        <w:left w:val="none" w:sz="0" w:space="0" w:color="auto"/>
        <w:bottom w:val="none" w:sz="0" w:space="0" w:color="auto"/>
        <w:right w:val="none" w:sz="0" w:space="0" w:color="auto"/>
      </w:divBdr>
    </w:div>
    <w:div w:id="1823037176">
      <w:bodyDiv w:val="1"/>
      <w:marLeft w:val="0"/>
      <w:marRight w:val="0"/>
      <w:marTop w:val="0"/>
      <w:marBottom w:val="0"/>
      <w:divBdr>
        <w:top w:val="none" w:sz="0" w:space="0" w:color="auto"/>
        <w:left w:val="none" w:sz="0" w:space="0" w:color="auto"/>
        <w:bottom w:val="none" w:sz="0" w:space="0" w:color="auto"/>
        <w:right w:val="none" w:sz="0" w:space="0" w:color="auto"/>
      </w:divBdr>
    </w:div>
    <w:div w:id="1825002862">
      <w:bodyDiv w:val="1"/>
      <w:marLeft w:val="0"/>
      <w:marRight w:val="0"/>
      <w:marTop w:val="0"/>
      <w:marBottom w:val="0"/>
      <w:divBdr>
        <w:top w:val="none" w:sz="0" w:space="0" w:color="auto"/>
        <w:left w:val="none" w:sz="0" w:space="0" w:color="auto"/>
        <w:bottom w:val="none" w:sz="0" w:space="0" w:color="auto"/>
        <w:right w:val="none" w:sz="0" w:space="0" w:color="auto"/>
      </w:divBdr>
    </w:div>
    <w:div w:id="1825928483">
      <w:bodyDiv w:val="1"/>
      <w:marLeft w:val="0"/>
      <w:marRight w:val="0"/>
      <w:marTop w:val="0"/>
      <w:marBottom w:val="0"/>
      <w:divBdr>
        <w:top w:val="none" w:sz="0" w:space="0" w:color="auto"/>
        <w:left w:val="none" w:sz="0" w:space="0" w:color="auto"/>
        <w:bottom w:val="none" w:sz="0" w:space="0" w:color="auto"/>
        <w:right w:val="none" w:sz="0" w:space="0" w:color="auto"/>
      </w:divBdr>
    </w:div>
    <w:div w:id="1826438115">
      <w:bodyDiv w:val="1"/>
      <w:marLeft w:val="0"/>
      <w:marRight w:val="0"/>
      <w:marTop w:val="0"/>
      <w:marBottom w:val="0"/>
      <w:divBdr>
        <w:top w:val="none" w:sz="0" w:space="0" w:color="auto"/>
        <w:left w:val="none" w:sz="0" w:space="0" w:color="auto"/>
        <w:bottom w:val="none" w:sz="0" w:space="0" w:color="auto"/>
        <w:right w:val="none" w:sz="0" w:space="0" w:color="auto"/>
      </w:divBdr>
    </w:div>
    <w:div w:id="1826818667">
      <w:bodyDiv w:val="1"/>
      <w:marLeft w:val="0"/>
      <w:marRight w:val="0"/>
      <w:marTop w:val="0"/>
      <w:marBottom w:val="0"/>
      <w:divBdr>
        <w:top w:val="none" w:sz="0" w:space="0" w:color="auto"/>
        <w:left w:val="none" w:sz="0" w:space="0" w:color="auto"/>
        <w:bottom w:val="none" w:sz="0" w:space="0" w:color="auto"/>
        <w:right w:val="none" w:sz="0" w:space="0" w:color="auto"/>
      </w:divBdr>
    </w:div>
    <w:div w:id="1827555231">
      <w:bodyDiv w:val="1"/>
      <w:marLeft w:val="0"/>
      <w:marRight w:val="0"/>
      <w:marTop w:val="0"/>
      <w:marBottom w:val="0"/>
      <w:divBdr>
        <w:top w:val="none" w:sz="0" w:space="0" w:color="auto"/>
        <w:left w:val="none" w:sz="0" w:space="0" w:color="auto"/>
        <w:bottom w:val="none" w:sz="0" w:space="0" w:color="auto"/>
        <w:right w:val="none" w:sz="0" w:space="0" w:color="auto"/>
      </w:divBdr>
    </w:div>
    <w:div w:id="1829789523">
      <w:bodyDiv w:val="1"/>
      <w:marLeft w:val="0"/>
      <w:marRight w:val="0"/>
      <w:marTop w:val="0"/>
      <w:marBottom w:val="0"/>
      <w:divBdr>
        <w:top w:val="none" w:sz="0" w:space="0" w:color="auto"/>
        <w:left w:val="none" w:sz="0" w:space="0" w:color="auto"/>
        <w:bottom w:val="none" w:sz="0" w:space="0" w:color="auto"/>
        <w:right w:val="none" w:sz="0" w:space="0" w:color="auto"/>
      </w:divBdr>
    </w:div>
    <w:div w:id="1829899358">
      <w:bodyDiv w:val="1"/>
      <w:marLeft w:val="0"/>
      <w:marRight w:val="0"/>
      <w:marTop w:val="0"/>
      <w:marBottom w:val="0"/>
      <w:divBdr>
        <w:top w:val="none" w:sz="0" w:space="0" w:color="auto"/>
        <w:left w:val="none" w:sz="0" w:space="0" w:color="auto"/>
        <w:bottom w:val="none" w:sz="0" w:space="0" w:color="auto"/>
        <w:right w:val="none" w:sz="0" w:space="0" w:color="auto"/>
      </w:divBdr>
      <w:divsChild>
        <w:div w:id="608468843">
          <w:marLeft w:val="0"/>
          <w:marRight w:val="0"/>
          <w:marTop w:val="0"/>
          <w:marBottom w:val="0"/>
          <w:divBdr>
            <w:top w:val="none" w:sz="0" w:space="0" w:color="auto"/>
            <w:left w:val="none" w:sz="0" w:space="0" w:color="auto"/>
            <w:bottom w:val="none" w:sz="0" w:space="0" w:color="auto"/>
            <w:right w:val="none" w:sz="0" w:space="0" w:color="auto"/>
          </w:divBdr>
          <w:divsChild>
            <w:div w:id="1683166350">
              <w:marLeft w:val="-75"/>
              <w:marRight w:val="0"/>
              <w:marTop w:val="30"/>
              <w:marBottom w:val="30"/>
              <w:divBdr>
                <w:top w:val="none" w:sz="0" w:space="0" w:color="auto"/>
                <w:left w:val="none" w:sz="0" w:space="0" w:color="auto"/>
                <w:bottom w:val="none" w:sz="0" w:space="0" w:color="auto"/>
                <w:right w:val="none" w:sz="0" w:space="0" w:color="auto"/>
              </w:divBdr>
              <w:divsChild>
                <w:div w:id="743456225">
                  <w:marLeft w:val="0"/>
                  <w:marRight w:val="0"/>
                  <w:marTop w:val="0"/>
                  <w:marBottom w:val="0"/>
                  <w:divBdr>
                    <w:top w:val="none" w:sz="0" w:space="0" w:color="auto"/>
                    <w:left w:val="none" w:sz="0" w:space="0" w:color="auto"/>
                    <w:bottom w:val="none" w:sz="0" w:space="0" w:color="auto"/>
                    <w:right w:val="none" w:sz="0" w:space="0" w:color="auto"/>
                  </w:divBdr>
                  <w:divsChild>
                    <w:div w:id="51278227">
                      <w:marLeft w:val="0"/>
                      <w:marRight w:val="0"/>
                      <w:marTop w:val="0"/>
                      <w:marBottom w:val="0"/>
                      <w:divBdr>
                        <w:top w:val="none" w:sz="0" w:space="0" w:color="auto"/>
                        <w:left w:val="none" w:sz="0" w:space="0" w:color="auto"/>
                        <w:bottom w:val="none" w:sz="0" w:space="0" w:color="auto"/>
                        <w:right w:val="none" w:sz="0" w:space="0" w:color="auto"/>
                      </w:divBdr>
                    </w:div>
                    <w:div w:id="759376685">
                      <w:marLeft w:val="0"/>
                      <w:marRight w:val="0"/>
                      <w:marTop w:val="0"/>
                      <w:marBottom w:val="0"/>
                      <w:divBdr>
                        <w:top w:val="none" w:sz="0" w:space="0" w:color="auto"/>
                        <w:left w:val="none" w:sz="0" w:space="0" w:color="auto"/>
                        <w:bottom w:val="none" w:sz="0" w:space="0" w:color="auto"/>
                        <w:right w:val="none" w:sz="0" w:space="0" w:color="auto"/>
                      </w:divBdr>
                    </w:div>
                    <w:div w:id="1921065103">
                      <w:marLeft w:val="0"/>
                      <w:marRight w:val="0"/>
                      <w:marTop w:val="0"/>
                      <w:marBottom w:val="0"/>
                      <w:divBdr>
                        <w:top w:val="none" w:sz="0" w:space="0" w:color="auto"/>
                        <w:left w:val="none" w:sz="0" w:space="0" w:color="auto"/>
                        <w:bottom w:val="none" w:sz="0" w:space="0" w:color="auto"/>
                        <w:right w:val="none" w:sz="0" w:space="0" w:color="auto"/>
                      </w:divBdr>
                    </w:div>
                  </w:divsChild>
                </w:div>
                <w:div w:id="1717270663">
                  <w:marLeft w:val="0"/>
                  <w:marRight w:val="0"/>
                  <w:marTop w:val="0"/>
                  <w:marBottom w:val="0"/>
                  <w:divBdr>
                    <w:top w:val="none" w:sz="0" w:space="0" w:color="auto"/>
                    <w:left w:val="none" w:sz="0" w:space="0" w:color="auto"/>
                    <w:bottom w:val="none" w:sz="0" w:space="0" w:color="auto"/>
                    <w:right w:val="none" w:sz="0" w:space="0" w:color="auto"/>
                  </w:divBdr>
                  <w:divsChild>
                    <w:div w:id="623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19930">
          <w:marLeft w:val="0"/>
          <w:marRight w:val="0"/>
          <w:marTop w:val="0"/>
          <w:marBottom w:val="0"/>
          <w:divBdr>
            <w:top w:val="none" w:sz="0" w:space="0" w:color="auto"/>
            <w:left w:val="none" w:sz="0" w:space="0" w:color="auto"/>
            <w:bottom w:val="none" w:sz="0" w:space="0" w:color="auto"/>
            <w:right w:val="none" w:sz="0" w:space="0" w:color="auto"/>
          </w:divBdr>
        </w:div>
        <w:div w:id="844785029">
          <w:marLeft w:val="0"/>
          <w:marRight w:val="0"/>
          <w:marTop w:val="0"/>
          <w:marBottom w:val="0"/>
          <w:divBdr>
            <w:top w:val="none" w:sz="0" w:space="0" w:color="auto"/>
            <w:left w:val="none" w:sz="0" w:space="0" w:color="auto"/>
            <w:bottom w:val="none" w:sz="0" w:space="0" w:color="auto"/>
            <w:right w:val="none" w:sz="0" w:space="0" w:color="auto"/>
          </w:divBdr>
        </w:div>
        <w:div w:id="873620891">
          <w:marLeft w:val="0"/>
          <w:marRight w:val="0"/>
          <w:marTop w:val="0"/>
          <w:marBottom w:val="0"/>
          <w:divBdr>
            <w:top w:val="none" w:sz="0" w:space="0" w:color="auto"/>
            <w:left w:val="none" w:sz="0" w:space="0" w:color="auto"/>
            <w:bottom w:val="none" w:sz="0" w:space="0" w:color="auto"/>
            <w:right w:val="none" w:sz="0" w:space="0" w:color="auto"/>
          </w:divBdr>
        </w:div>
        <w:div w:id="1065681952">
          <w:marLeft w:val="0"/>
          <w:marRight w:val="0"/>
          <w:marTop w:val="0"/>
          <w:marBottom w:val="0"/>
          <w:divBdr>
            <w:top w:val="none" w:sz="0" w:space="0" w:color="auto"/>
            <w:left w:val="none" w:sz="0" w:space="0" w:color="auto"/>
            <w:bottom w:val="none" w:sz="0" w:space="0" w:color="auto"/>
            <w:right w:val="none" w:sz="0" w:space="0" w:color="auto"/>
          </w:divBdr>
        </w:div>
        <w:div w:id="1345858863">
          <w:marLeft w:val="0"/>
          <w:marRight w:val="0"/>
          <w:marTop w:val="0"/>
          <w:marBottom w:val="0"/>
          <w:divBdr>
            <w:top w:val="none" w:sz="0" w:space="0" w:color="auto"/>
            <w:left w:val="none" w:sz="0" w:space="0" w:color="auto"/>
            <w:bottom w:val="none" w:sz="0" w:space="0" w:color="auto"/>
            <w:right w:val="none" w:sz="0" w:space="0" w:color="auto"/>
          </w:divBdr>
        </w:div>
        <w:div w:id="1405683176">
          <w:marLeft w:val="0"/>
          <w:marRight w:val="0"/>
          <w:marTop w:val="0"/>
          <w:marBottom w:val="0"/>
          <w:divBdr>
            <w:top w:val="none" w:sz="0" w:space="0" w:color="auto"/>
            <w:left w:val="none" w:sz="0" w:space="0" w:color="auto"/>
            <w:bottom w:val="none" w:sz="0" w:space="0" w:color="auto"/>
            <w:right w:val="none" w:sz="0" w:space="0" w:color="auto"/>
          </w:divBdr>
        </w:div>
        <w:div w:id="1568495357">
          <w:marLeft w:val="0"/>
          <w:marRight w:val="0"/>
          <w:marTop w:val="0"/>
          <w:marBottom w:val="0"/>
          <w:divBdr>
            <w:top w:val="none" w:sz="0" w:space="0" w:color="auto"/>
            <w:left w:val="none" w:sz="0" w:space="0" w:color="auto"/>
            <w:bottom w:val="none" w:sz="0" w:space="0" w:color="auto"/>
            <w:right w:val="none" w:sz="0" w:space="0" w:color="auto"/>
          </w:divBdr>
        </w:div>
        <w:div w:id="1746488409">
          <w:marLeft w:val="0"/>
          <w:marRight w:val="0"/>
          <w:marTop w:val="0"/>
          <w:marBottom w:val="0"/>
          <w:divBdr>
            <w:top w:val="none" w:sz="0" w:space="0" w:color="auto"/>
            <w:left w:val="none" w:sz="0" w:space="0" w:color="auto"/>
            <w:bottom w:val="none" w:sz="0" w:space="0" w:color="auto"/>
            <w:right w:val="none" w:sz="0" w:space="0" w:color="auto"/>
          </w:divBdr>
        </w:div>
        <w:div w:id="1843887536">
          <w:marLeft w:val="0"/>
          <w:marRight w:val="0"/>
          <w:marTop w:val="0"/>
          <w:marBottom w:val="0"/>
          <w:divBdr>
            <w:top w:val="none" w:sz="0" w:space="0" w:color="auto"/>
            <w:left w:val="none" w:sz="0" w:space="0" w:color="auto"/>
            <w:bottom w:val="none" w:sz="0" w:space="0" w:color="auto"/>
            <w:right w:val="none" w:sz="0" w:space="0" w:color="auto"/>
          </w:divBdr>
          <w:divsChild>
            <w:div w:id="76677804">
              <w:marLeft w:val="0"/>
              <w:marRight w:val="0"/>
              <w:marTop w:val="0"/>
              <w:marBottom w:val="0"/>
              <w:divBdr>
                <w:top w:val="none" w:sz="0" w:space="0" w:color="auto"/>
                <w:left w:val="none" w:sz="0" w:space="0" w:color="auto"/>
                <w:bottom w:val="none" w:sz="0" w:space="0" w:color="auto"/>
                <w:right w:val="none" w:sz="0" w:space="0" w:color="auto"/>
              </w:divBdr>
            </w:div>
            <w:div w:id="804199129">
              <w:marLeft w:val="0"/>
              <w:marRight w:val="0"/>
              <w:marTop w:val="0"/>
              <w:marBottom w:val="0"/>
              <w:divBdr>
                <w:top w:val="none" w:sz="0" w:space="0" w:color="auto"/>
                <w:left w:val="none" w:sz="0" w:space="0" w:color="auto"/>
                <w:bottom w:val="none" w:sz="0" w:space="0" w:color="auto"/>
                <w:right w:val="none" w:sz="0" w:space="0" w:color="auto"/>
              </w:divBdr>
            </w:div>
            <w:div w:id="971598093">
              <w:marLeft w:val="0"/>
              <w:marRight w:val="0"/>
              <w:marTop w:val="0"/>
              <w:marBottom w:val="0"/>
              <w:divBdr>
                <w:top w:val="none" w:sz="0" w:space="0" w:color="auto"/>
                <w:left w:val="none" w:sz="0" w:space="0" w:color="auto"/>
                <w:bottom w:val="none" w:sz="0" w:space="0" w:color="auto"/>
                <w:right w:val="none" w:sz="0" w:space="0" w:color="auto"/>
              </w:divBdr>
            </w:div>
            <w:div w:id="2106725900">
              <w:marLeft w:val="0"/>
              <w:marRight w:val="0"/>
              <w:marTop w:val="0"/>
              <w:marBottom w:val="0"/>
              <w:divBdr>
                <w:top w:val="none" w:sz="0" w:space="0" w:color="auto"/>
                <w:left w:val="none" w:sz="0" w:space="0" w:color="auto"/>
                <w:bottom w:val="none" w:sz="0" w:space="0" w:color="auto"/>
                <w:right w:val="none" w:sz="0" w:space="0" w:color="auto"/>
              </w:divBdr>
            </w:div>
            <w:div w:id="2130313302">
              <w:marLeft w:val="0"/>
              <w:marRight w:val="0"/>
              <w:marTop w:val="0"/>
              <w:marBottom w:val="0"/>
              <w:divBdr>
                <w:top w:val="none" w:sz="0" w:space="0" w:color="auto"/>
                <w:left w:val="none" w:sz="0" w:space="0" w:color="auto"/>
                <w:bottom w:val="none" w:sz="0" w:space="0" w:color="auto"/>
                <w:right w:val="none" w:sz="0" w:space="0" w:color="auto"/>
              </w:divBdr>
            </w:div>
          </w:divsChild>
        </w:div>
        <w:div w:id="1949197815">
          <w:marLeft w:val="0"/>
          <w:marRight w:val="0"/>
          <w:marTop w:val="0"/>
          <w:marBottom w:val="0"/>
          <w:divBdr>
            <w:top w:val="none" w:sz="0" w:space="0" w:color="auto"/>
            <w:left w:val="none" w:sz="0" w:space="0" w:color="auto"/>
            <w:bottom w:val="none" w:sz="0" w:space="0" w:color="auto"/>
            <w:right w:val="none" w:sz="0" w:space="0" w:color="auto"/>
          </w:divBdr>
        </w:div>
        <w:div w:id="2097824941">
          <w:marLeft w:val="0"/>
          <w:marRight w:val="0"/>
          <w:marTop w:val="0"/>
          <w:marBottom w:val="0"/>
          <w:divBdr>
            <w:top w:val="none" w:sz="0" w:space="0" w:color="auto"/>
            <w:left w:val="none" w:sz="0" w:space="0" w:color="auto"/>
            <w:bottom w:val="none" w:sz="0" w:space="0" w:color="auto"/>
            <w:right w:val="none" w:sz="0" w:space="0" w:color="auto"/>
          </w:divBdr>
        </w:div>
        <w:div w:id="2142067644">
          <w:marLeft w:val="0"/>
          <w:marRight w:val="0"/>
          <w:marTop w:val="0"/>
          <w:marBottom w:val="0"/>
          <w:divBdr>
            <w:top w:val="none" w:sz="0" w:space="0" w:color="auto"/>
            <w:left w:val="none" w:sz="0" w:space="0" w:color="auto"/>
            <w:bottom w:val="none" w:sz="0" w:space="0" w:color="auto"/>
            <w:right w:val="none" w:sz="0" w:space="0" w:color="auto"/>
          </w:divBdr>
        </w:div>
        <w:div w:id="2142842424">
          <w:marLeft w:val="0"/>
          <w:marRight w:val="0"/>
          <w:marTop w:val="0"/>
          <w:marBottom w:val="0"/>
          <w:divBdr>
            <w:top w:val="none" w:sz="0" w:space="0" w:color="auto"/>
            <w:left w:val="none" w:sz="0" w:space="0" w:color="auto"/>
            <w:bottom w:val="none" w:sz="0" w:space="0" w:color="auto"/>
            <w:right w:val="none" w:sz="0" w:space="0" w:color="auto"/>
          </w:divBdr>
        </w:div>
      </w:divsChild>
    </w:div>
    <w:div w:id="1830322155">
      <w:bodyDiv w:val="1"/>
      <w:marLeft w:val="0"/>
      <w:marRight w:val="0"/>
      <w:marTop w:val="0"/>
      <w:marBottom w:val="0"/>
      <w:divBdr>
        <w:top w:val="none" w:sz="0" w:space="0" w:color="auto"/>
        <w:left w:val="none" w:sz="0" w:space="0" w:color="auto"/>
        <w:bottom w:val="none" w:sz="0" w:space="0" w:color="auto"/>
        <w:right w:val="none" w:sz="0" w:space="0" w:color="auto"/>
      </w:divBdr>
    </w:div>
    <w:div w:id="1830560769">
      <w:bodyDiv w:val="1"/>
      <w:marLeft w:val="0"/>
      <w:marRight w:val="0"/>
      <w:marTop w:val="0"/>
      <w:marBottom w:val="0"/>
      <w:divBdr>
        <w:top w:val="none" w:sz="0" w:space="0" w:color="auto"/>
        <w:left w:val="none" w:sz="0" w:space="0" w:color="auto"/>
        <w:bottom w:val="none" w:sz="0" w:space="0" w:color="auto"/>
        <w:right w:val="none" w:sz="0" w:space="0" w:color="auto"/>
      </w:divBdr>
    </w:div>
    <w:div w:id="1831872240">
      <w:bodyDiv w:val="1"/>
      <w:marLeft w:val="0"/>
      <w:marRight w:val="0"/>
      <w:marTop w:val="0"/>
      <w:marBottom w:val="0"/>
      <w:divBdr>
        <w:top w:val="none" w:sz="0" w:space="0" w:color="auto"/>
        <w:left w:val="none" w:sz="0" w:space="0" w:color="auto"/>
        <w:bottom w:val="none" w:sz="0" w:space="0" w:color="auto"/>
        <w:right w:val="none" w:sz="0" w:space="0" w:color="auto"/>
      </w:divBdr>
    </w:div>
    <w:div w:id="1832402509">
      <w:bodyDiv w:val="1"/>
      <w:marLeft w:val="0"/>
      <w:marRight w:val="0"/>
      <w:marTop w:val="0"/>
      <w:marBottom w:val="0"/>
      <w:divBdr>
        <w:top w:val="none" w:sz="0" w:space="0" w:color="auto"/>
        <w:left w:val="none" w:sz="0" w:space="0" w:color="auto"/>
        <w:bottom w:val="none" w:sz="0" w:space="0" w:color="auto"/>
        <w:right w:val="none" w:sz="0" w:space="0" w:color="auto"/>
      </w:divBdr>
    </w:div>
    <w:div w:id="1832479356">
      <w:bodyDiv w:val="1"/>
      <w:marLeft w:val="0"/>
      <w:marRight w:val="0"/>
      <w:marTop w:val="0"/>
      <w:marBottom w:val="0"/>
      <w:divBdr>
        <w:top w:val="none" w:sz="0" w:space="0" w:color="auto"/>
        <w:left w:val="none" w:sz="0" w:space="0" w:color="auto"/>
        <w:bottom w:val="none" w:sz="0" w:space="0" w:color="auto"/>
        <w:right w:val="none" w:sz="0" w:space="0" w:color="auto"/>
      </w:divBdr>
    </w:div>
    <w:div w:id="1832868892">
      <w:bodyDiv w:val="1"/>
      <w:marLeft w:val="0"/>
      <w:marRight w:val="0"/>
      <w:marTop w:val="0"/>
      <w:marBottom w:val="0"/>
      <w:divBdr>
        <w:top w:val="none" w:sz="0" w:space="0" w:color="auto"/>
        <w:left w:val="none" w:sz="0" w:space="0" w:color="auto"/>
        <w:bottom w:val="none" w:sz="0" w:space="0" w:color="auto"/>
        <w:right w:val="none" w:sz="0" w:space="0" w:color="auto"/>
      </w:divBdr>
    </w:div>
    <w:div w:id="1832939686">
      <w:bodyDiv w:val="1"/>
      <w:marLeft w:val="0"/>
      <w:marRight w:val="0"/>
      <w:marTop w:val="0"/>
      <w:marBottom w:val="0"/>
      <w:divBdr>
        <w:top w:val="none" w:sz="0" w:space="0" w:color="auto"/>
        <w:left w:val="none" w:sz="0" w:space="0" w:color="auto"/>
        <w:bottom w:val="none" w:sz="0" w:space="0" w:color="auto"/>
        <w:right w:val="none" w:sz="0" w:space="0" w:color="auto"/>
      </w:divBdr>
    </w:div>
    <w:div w:id="1833981418">
      <w:bodyDiv w:val="1"/>
      <w:marLeft w:val="0"/>
      <w:marRight w:val="0"/>
      <w:marTop w:val="0"/>
      <w:marBottom w:val="0"/>
      <w:divBdr>
        <w:top w:val="none" w:sz="0" w:space="0" w:color="auto"/>
        <w:left w:val="none" w:sz="0" w:space="0" w:color="auto"/>
        <w:bottom w:val="none" w:sz="0" w:space="0" w:color="auto"/>
        <w:right w:val="none" w:sz="0" w:space="0" w:color="auto"/>
      </w:divBdr>
    </w:div>
    <w:div w:id="1834292233">
      <w:bodyDiv w:val="1"/>
      <w:marLeft w:val="0"/>
      <w:marRight w:val="0"/>
      <w:marTop w:val="0"/>
      <w:marBottom w:val="0"/>
      <w:divBdr>
        <w:top w:val="none" w:sz="0" w:space="0" w:color="auto"/>
        <w:left w:val="none" w:sz="0" w:space="0" w:color="auto"/>
        <w:bottom w:val="none" w:sz="0" w:space="0" w:color="auto"/>
        <w:right w:val="none" w:sz="0" w:space="0" w:color="auto"/>
      </w:divBdr>
    </w:div>
    <w:div w:id="1835559845">
      <w:bodyDiv w:val="1"/>
      <w:marLeft w:val="0"/>
      <w:marRight w:val="0"/>
      <w:marTop w:val="0"/>
      <w:marBottom w:val="0"/>
      <w:divBdr>
        <w:top w:val="none" w:sz="0" w:space="0" w:color="auto"/>
        <w:left w:val="none" w:sz="0" w:space="0" w:color="auto"/>
        <w:bottom w:val="none" w:sz="0" w:space="0" w:color="auto"/>
        <w:right w:val="none" w:sz="0" w:space="0" w:color="auto"/>
      </w:divBdr>
    </w:div>
    <w:div w:id="1835680073">
      <w:bodyDiv w:val="1"/>
      <w:marLeft w:val="0"/>
      <w:marRight w:val="0"/>
      <w:marTop w:val="0"/>
      <w:marBottom w:val="0"/>
      <w:divBdr>
        <w:top w:val="none" w:sz="0" w:space="0" w:color="auto"/>
        <w:left w:val="none" w:sz="0" w:space="0" w:color="auto"/>
        <w:bottom w:val="none" w:sz="0" w:space="0" w:color="auto"/>
        <w:right w:val="none" w:sz="0" w:space="0" w:color="auto"/>
      </w:divBdr>
    </w:div>
    <w:div w:id="1837258659">
      <w:bodyDiv w:val="1"/>
      <w:marLeft w:val="0"/>
      <w:marRight w:val="0"/>
      <w:marTop w:val="0"/>
      <w:marBottom w:val="0"/>
      <w:divBdr>
        <w:top w:val="none" w:sz="0" w:space="0" w:color="auto"/>
        <w:left w:val="none" w:sz="0" w:space="0" w:color="auto"/>
        <w:bottom w:val="none" w:sz="0" w:space="0" w:color="auto"/>
        <w:right w:val="none" w:sz="0" w:space="0" w:color="auto"/>
      </w:divBdr>
    </w:div>
    <w:div w:id="1840657997">
      <w:bodyDiv w:val="1"/>
      <w:marLeft w:val="0"/>
      <w:marRight w:val="0"/>
      <w:marTop w:val="0"/>
      <w:marBottom w:val="0"/>
      <w:divBdr>
        <w:top w:val="none" w:sz="0" w:space="0" w:color="auto"/>
        <w:left w:val="none" w:sz="0" w:space="0" w:color="auto"/>
        <w:bottom w:val="none" w:sz="0" w:space="0" w:color="auto"/>
        <w:right w:val="none" w:sz="0" w:space="0" w:color="auto"/>
      </w:divBdr>
    </w:div>
    <w:div w:id="1842431604">
      <w:bodyDiv w:val="1"/>
      <w:marLeft w:val="0"/>
      <w:marRight w:val="0"/>
      <w:marTop w:val="0"/>
      <w:marBottom w:val="0"/>
      <w:divBdr>
        <w:top w:val="none" w:sz="0" w:space="0" w:color="auto"/>
        <w:left w:val="none" w:sz="0" w:space="0" w:color="auto"/>
        <w:bottom w:val="none" w:sz="0" w:space="0" w:color="auto"/>
        <w:right w:val="none" w:sz="0" w:space="0" w:color="auto"/>
      </w:divBdr>
    </w:div>
    <w:div w:id="1845126100">
      <w:bodyDiv w:val="1"/>
      <w:marLeft w:val="0"/>
      <w:marRight w:val="0"/>
      <w:marTop w:val="0"/>
      <w:marBottom w:val="0"/>
      <w:divBdr>
        <w:top w:val="none" w:sz="0" w:space="0" w:color="auto"/>
        <w:left w:val="none" w:sz="0" w:space="0" w:color="auto"/>
        <w:bottom w:val="none" w:sz="0" w:space="0" w:color="auto"/>
        <w:right w:val="none" w:sz="0" w:space="0" w:color="auto"/>
      </w:divBdr>
    </w:div>
    <w:div w:id="1846936156">
      <w:bodyDiv w:val="1"/>
      <w:marLeft w:val="0"/>
      <w:marRight w:val="0"/>
      <w:marTop w:val="0"/>
      <w:marBottom w:val="0"/>
      <w:divBdr>
        <w:top w:val="none" w:sz="0" w:space="0" w:color="auto"/>
        <w:left w:val="none" w:sz="0" w:space="0" w:color="auto"/>
        <w:bottom w:val="none" w:sz="0" w:space="0" w:color="auto"/>
        <w:right w:val="none" w:sz="0" w:space="0" w:color="auto"/>
      </w:divBdr>
    </w:div>
    <w:div w:id="1848253155">
      <w:bodyDiv w:val="1"/>
      <w:marLeft w:val="0"/>
      <w:marRight w:val="0"/>
      <w:marTop w:val="0"/>
      <w:marBottom w:val="0"/>
      <w:divBdr>
        <w:top w:val="none" w:sz="0" w:space="0" w:color="auto"/>
        <w:left w:val="none" w:sz="0" w:space="0" w:color="auto"/>
        <w:bottom w:val="none" w:sz="0" w:space="0" w:color="auto"/>
        <w:right w:val="none" w:sz="0" w:space="0" w:color="auto"/>
      </w:divBdr>
    </w:div>
    <w:div w:id="1849563820">
      <w:bodyDiv w:val="1"/>
      <w:marLeft w:val="0"/>
      <w:marRight w:val="0"/>
      <w:marTop w:val="0"/>
      <w:marBottom w:val="0"/>
      <w:divBdr>
        <w:top w:val="none" w:sz="0" w:space="0" w:color="auto"/>
        <w:left w:val="none" w:sz="0" w:space="0" w:color="auto"/>
        <w:bottom w:val="none" w:sz="0" w:space="0" w:color="auto"/>
        <w:right w:val="none" w:sz="0" w:space="0" w:color="auto"/>
      </w:divBdr>
    </w:div>
    <w:div w:id="1850556677">
      <w:bodyDiv w:val="1"/>
      <w:marLeft w:val="0"/>
      <w:marRight w:val="0"/>
      <w:marTop w:val="0"/>
      <w:marBottom w:val="0"/>
      <w:divBdr>
        <w:top w:val="none" w:sz="0" w:space="0" w:color="auto"/>
        <w:left w:val="none" w:sz="0" w:space="0" w:color="auto"/>
        <w:bottom w:val="none" w:sz="0" w:space="0" w:color="auto"/>
        <w:right w:val="none" w:sz="0" w:space="0" w:color="auto"/>
      </w:divBdr>
    </w:div>
    <w:div w:id="1852179062">
      <w:bodyDiv w:val="1"/>
      <w:marLeft w:val="0"/>
      <w:marRight w:val="0"/>
      <w:marTop w:val="0"/>
      <w:marBottom w:val="0"/>
      <w:divBdr>
        <w:top w:val="none" w:sz="0" w:space="0" w:color="auto"/>
        <w:left w:val="none" w:sz="0" w:space="0" w:color="auto"/>
        <w:bottom w:val="none" w:sz="0" w:space="0" w:color="auto"/>
        <w:right w:val="none" w:sz="0" w:space="0" w:color="auto"/>
      </w:divBdr>
    </w:div>
    <w:div w:id="1854562777">
      <w:bodyDiv w:val="1"/>
      <w:marLeft w:val="0"/>
      <w:marRight w:val="0"/>
      <w:marTop w:val="0"/>
      <w:marBottom w:val="0"/>
      <w:divBdr>
        <w:top w:val="none" w:sz="0" w:space="0" w:color="auto"/>
        <w:left w:val="none" w:sz="0" w:space="0" w:color="auto"/>
        <w:bottom w:val="none" w:sz="0" w:space="0" w:color="auto"/>
        <w:right w:val="none" w:sz="0" w:space="0" w:color="auto"/>
      </w:divBdr>
    </w:div>
    <w:div w:id="1855459217">
      <w:bodyDiv w:val="1"/>
      <w:marLeft w:val="0"/>
      <w:marRight w:val="0"/>
      <w:marTop w:val="0"/>
      <w:marBottom w:val="0"/>
      <w:divBdr>
        <w:top w:val="none" w:sz="0" w:space="0" w:color="auto"/>
        <w:left w:val="none" w:sz="0" w:space="0" w:color="auto"/>
        <w:bottom w:val="none" w:sz="0" w:space="0" w:color="auto"/>
        <w:right w:val="none" w:sz="0" w:space="0" w:color="auto"/>
      </w:divBdr>
    </w:div>
    <w:div w:id="1855605978">
      <w:bodyDiv w:val="1"/>
      <w:marLeft w:val="0"/>
      <w:marRight w:val="0"/>
      <w:marTop w:val="0"/>
      <w:marBottom w:val="0"/>
      <w:divBdr>
        <w:top w:val="none" w:sz="0" w:space="0" w:color="auto"/>
        <w:left w:val="none" w:sz="0" w:space="0" w:color="auto"/>
        <w:bottom w:val="none" w:sz="0" w:space="0" w:color="auto"/>
        <w:right w:val="none" w:sz="0" w:space="0" w:color="auto"/>
      </w:divBdr>
    </w:div>
    <w:div w:id="1855875708">
      <w:bodyDiv w:val="1"/>
      <w:marLeft w:val="0"/>
      <w:marRight w:val="0"/>
      <w:marTop w:val="0"/>
      <w:marBottom w:val="0"/>
      <w:divBdr>
        <w:top w:val="none" w:sz="0" w:space="0" w:color="auto"/>
        <w:left w:val="none" w:sz="0" w:space="0" w:color="auto"/>
        <w:bottom w:val="none" w:sz="0" w:space="0" w:color="auto"/>
        <w:right w:val="none" w:sz="0" w:space="0" w:color="auto"/>
      </w:divBdr>
    </w:div>
    <w:div w:id="1856729950">
      <w:bodyDiv w:val="1"/>
      <w:marLeft w:val="0"/>
      <w:marRight w:val="0"/>
      <w:marTop w:val="0"/>
      <w:marBottom w:val="0"/>
      <w:divBdr>
        <w:top w:val="none" w:sz="0" w:space="0" w:color="auto"/>
        <w:left w:val="none" w:sz="0" w:space="0" w:color="auto"/>
        <w:bottom w:val="none" w:sz="0" w:space="0" w:color="auto"/>
        <w:right w:val="none" w:sz="0" w:space="0" w:color="auto"/>
      </w:divBdr>
    </w:div>
    <w:div w:id="1857766528">
      <w:bodyDiv w:val="1"/>
      <w:marLeft w:val="0"/>
      <w:marRight w:val="0"/>
      <w:marTop w:val="0"/>
      <w:marBottom w:val="0"/>
      <w:divBdr>
        <w:top w:val="none" w:sz="0" w:space="0" w:color="auto"/>
        <w:left w:val="none" w:sz="0" w:space="0" w:color="auto"/>
        <w:bottom w:val="none" w:sz="0" w:space="0" w:color="auto"/>
        <w:right w:val="none" w:sz="0" w:space="0" w:color="auto"/>
      </w:divBdr>
    </w:div>
    <w:div w:id="1859077841">
      <w:bodyDiv w:val="1"/>
      <w:marLeft w:val="0"/>
      <w:marRight w:val="0"/>
      <w:marTop w:val="0"/>
      <w:marBottom w:val="0"/>
      <w:divBdr>
        <w:top w:val="none" w:sz="0" w:space="0" w:color="auto"/>
        <w:left w:val="none" w:sz="0" w:space="0" w:color="auto"/>
        <w:bottom w:val="none" w:sz="0" w:space="0" w:color="auto"/>
        <w:right w:val="none" w:sz="0" w:space="0" w:color="auto"/>
      </w:divBdr>
    </w:div>
    <w:div w:id="1860896584">
      <w:bodyDiv w:val="1"/>
      <w:marLeft w:val="0"/>
      <w:marRight w:val="0"/>
      <w:marTop w:val="0"/>
      <w:marBottom w:val="0"/>
      <w:divBdr>
        <w:top w:val="none" w:sz="0" w:space="0" w:color="auto"/>
        <w:left w:val="none" w:sz="0" w:space="0" w:color="auto"/>
        <w:bottom w:val="none" w:sz="0" w:space="0" w:color="auto"/>
        <w:right w:val="none" w:sz="0" w:space="0" w:color="auto"/>
      </w:divBdr>
    </w:div>
    <w:div w:id="1863930948">
      <w:bodyDiv w:val="1"/>
      <w:marLeft w:val="0"/>
      <w:marRight w:val="0"/>
      <w:marTop w:val="0"/>
      <w:marBottom w:val="0"/>
      <w:divBdr>
        <w:top w:val="none" w:sz="0" w:space="0" w:color="auto"/>
        <w:left w:val="none" w:sz="0" w:space="0" w:color="auto"/>
        <w:bottom w:val="none" w:sz="0" w:space="0" w:color="auto"/>
        <w:right w:val="none" w:sz="0" w:space="0" w:color="auto"/>
      </w:divBdr>
    </w:div>
    <w:div w:id="1864392743">
      <w:bodyDiv w:val="1"/>
      <w:marLeft w:val="0"/>
      <w:marRight w:val="0"/>
      <w:marTop w:val="0"/>
      <w:marBottom w:val="0"/>
      <w:divBdr>
        <w:top w:val="none" w:sz="0" w:space="0" w:color="auto"/>
        <w:left w:val="none" w:sz="0" w:space="0" w:color="auto"/>
        <w:bottom w:val="none" w:sz="0" w:space="0" w:color="auto"/>
        <w:right w:val="none" w:sz="0" w:space="0" w:color="auto"/>
      </w:divBdr>
    </w:div>
    <w:div w:id="1864977880">
      <w:bodyDiv w:val="1"/>
      <w:marLeft w:val="0"/>
      <w:marRight w:val="0"/>
      <w:marTop w:val="0"/>
      <w:marBottom w:val="0"/>
      <w:divBdr>
        <w:top w:val="none" w:sz="0" w:space="0" w:color="auto"/>
        <w:left w:val="none" w:sz="0" w:space="0" w:color="auto"/>
        <w:bottom w:val="none" w:sz="0" w:space="0" w:color="auto"/>
        <w:right w:val="none" w:sz="0" w:space="0" w:color="auto"/>
      </w:divBdr>
    </w:div>
    <w:div w:id="1869291036">
      <w:bodyDiv w:val="1"/>
      <w:marLeft w:val="0"/>
      <w:marRight w:val="0"/>
      <w:marTop w:val="0"/>
      <w:marBottom w:val="0"/>
      <w:divBdr>
        <w:top w:val="none" w:sz="0" w:space="0" w:color="auto"/>
        <w:left w:val="none" w:sz="0" w:space="0" w:color="auto"/>
        <w:bottom w:val="none" w:sz="0" w:space="0" w:color="auto"/>
        <w:right w:val="none" w:sz="0" w:space="0" w:color="auto"/>
      </w:divBdr>
    </w:div>
    <w:div w:id="1870221637">
      <w:bodyDiv w:val="1"/>
      <w:marLeft w:val="0"/>
      <w:marRight w:val="0"/>
      <w:marTop w:val="0"/>
      <w:marBottom w:val="0"/>
      <w:divBdr>
        <w:top w:val="none" w:sz="0" w:space="0" w:color="auto"/>
        <w:left w:val="none" w:sz="0" w:space="0" w:color="auto"/>
        <w:bottom w:val="none" w:sz="0" w:space="0" w:color="auto"/>
        <w:right w:val="none" w:sz="0" w:space="0" w:color="auto"/>
      </w:divBdr>
    </w:div>
    <w:div w:id="1871406392">
      <w:bodyDiv w:val="1"/>
      <w:marLeft w:val="0"/>
      <w:marRight w:val="0"/>
      <w:marTop w:val="0"/>
      <w:marBottom w:val="0"/>
      <w:divBdr>
        <w:top w:val="none" w:sz="0" w:space="0" w:color="auto"/>
        <w:left w:val="none" w:sz="0" w:space="0" w:color="auto"/>
        <w:bottom w:val="none" w:sz="0" w:space="0" w:color="auto"/>
        <w:right w:val="none" w:sz="0" w:space="0" w:color="auto"/>
      </w:divBdr>
    </w:div>
    <w:div w:id="1876697081">
      <w:bodyDiv w:val="1"/>
      <w:marLeft w:val="0"/>
      <w:marRight w:val="0"/>
      <w:marTop w:val="0"/>
      <w:marBottom w:val="0"/>
      <w:divBdr>
        <w:top w:val="none" w:sz="0" w:space="0" w:color="auto"/>
        <w:left w:val="none" w:sz="0" w:space="0" w:color="auto"/>
        <w:bottom w:val="none" w:sz="0" w:space="0" w:color="auto"/>
        <w:right w:val="none" w:sz="0" w:space="0" w:color="auto"/>
      </w:divBdr>
    </w:div>
    <w:div w:id="1877350197">
      <w:bodyDiv w:val="1"/>
      <w:marLeft w:val="0"/>
      <w:marRight w:val="0"/>
      <w:marTop w:val="0"/>
      <w:marBottom w:val="0"/>
      <w:divBdr>
        <w:top w:val="none" w:sz="0" w:space="0" w:color="auto"/>
        <w:left w:val="none" w:sz="0" w:space="0" w:color="auto"/>
        <w:bottom w:val="none" w:sz="0" w:space="0" w:color="auto"/>
        <w:right w:val="none" w:sz="0" w:space="0" w:color="auto"/>
      </w:divBdr>
    </w:div>
    <w:div w:id="1877498863">
      <w:bodyDiv w:val="1"/>
      <w:marLeft w:val="0"/>
      <w:marRight w:val="0"/>
      <w:marTop w:val="0"/>
      <w:marBottom w:val="0"/>
      <w:divBdr>
        <w:top w:val="none" w:sz="0" w:space="0" w:color="auto"/>
        <w:left w:val="none" w:sz="0" w:space="0" w:color="auto"/>
        <w:bottom w:val="none" w:sz="0" w:space="0" w:color="auto"/>
        <w:right w:val="none" w:sz="0" w:space="0" w:color="auto"/>
      </w:divBdr>
    </w:div>
    <w:div w:id="1879849757">
      <w:bodyDiv w:val="1"/>
      <w:marLeft w:val="0"/>
      <w:marRight w:val="0"/>
      <w:marTop w:val="0"/>
      <w:marBottom w:val="0"/>
      <w:divBdr>
        <w:top w:val="none" w:sz="0" w:space="0" w:color="auto"/>
        <w:left w:val="none" w:sz="0" w:space="0" w:color="auto"/>
        <w:bottom w:val="none" w:sz="0" w:space="0" w:color="auto"/>
        <w:right w:val="none" w:sz="0" w:space="0" w:color="auto"/>
      </w:divBdr>
    </w:div>
    <w:div w:id="1881552020">
      <w:bodyDiv w:val="1"/>
      <w:marLeft w:val="0"/>
      <w:marRight w:val="0"/>
      <w:marTop w:val="0"/>
      <w:marBottom w:val="0"/>
      <w:divBdr>
        <w:top w:val="none" w:sz="0" w:space="0" w:color="auto"/>
        <w:left w:val="none" w:sz="0" w:space="0" w:color="auto"/>
        <w:bottom w:val="none" w:sz="0" w:space="0" w:color="auto"/>
        <w:right w:val="none" w:sz="0" w:space="0" w:color="auto"/>
      </w:divBdr>
    </w:div>
    <w:div w:id="1884631867">
      <w:bodyDiv w:val="1"/>
      <w:marLeft w:val="0"/>
      <w:marRight w:val="0"/>
      <w:marTop w:val="0"/>
      <w:marBottom w:val="0"/>
      <w:divBdr>
        <w:top w:val="none" w:sz="0" w:space="0" w:color="auto"/>
        <w:left w:val="none" w:sz="0" w:space="0" w:color="auto"/>
        <w:bottom w:val="none" w:sz="0" w:space="0" w:color="auto"/>
        <w:right w:val="none" w:sz="0" w:space="0" w:color="auto"/>
      </w:divBdr>
    </w:div>
    <w:div w:id="1887907142">
      <w:bodyDiv w:val="1"/>
      <w:marLeft w:val="0"/>
      <w:marRight w:val="0"/>
      <w:marTop w:val="0"/>
      <w:marBottom w:val="0"/>
      <w:divBdr>
        <w:top w:val="none" w:sz="0" w:space="0" w:color="auto"/>
        <w:left w:val="none" w:sz="0" w:space="0" w:color="auto"/>
        <w:bottom w:val="none" w:sz="0" w:space="0" w:color="auto"/>
        <w:right w:val="none" w:sz="0" w:space="0" w:color="auto"/>
      </w:divBdr>
    </w:div>
    <w:div w:id="1888639676">
      <w:bodyDiv w:val="1"/>
      <w:marLeft w:val="0"/>
      <w:marRight w:val="0"/>
      <w:marTop w:val="0"/>
      <w:marBottom w:val="0"/>
      <w:divBdr>
        <w:top w:val="none" w:sz="0" w:space="0" w:color="auto"/>
        <w:left w:val="none" w:sz="0" w:space="0" w:color="auto"/>
        <w:bottom w:val="none" w:sz="0" w:space="0" w:color="auto"/>
        <w:right w:val="none" w:sz="0" w:space="0" w:color="auto"/>
      </w:divBdr>
    </w:div>
    <w:div w:id="1890215701">
      <w:bodyDiv w:val="1"/>
      <w:marLeft w:val="0"/>
      <w:marRight w:val="0"/>
      <w:marTop w:val="0"/>
      <w:marBottom w:val="0"/>
      <w:divBdr>
        <w:top w:val="none" w:sz="0" w:space="0" w:color="auto"/>
        <w:left w:val="none" w:sz="0" w:space="0" w:color="auto"/>
        <w:bottom w:val="none" w:sz="0" w:space="0" w:color="auto"/>
        <w:right w:val="none" w:sz="0" w:space="0" w:color="auto"/>
      </w:divBdr>
    </w:div>
    <w:div w:id="1891578311">
      <w:bodyDiv w:val="1"/>
      <w:marLeft w:val="0"/>
      <w:marRight w:val="0"/>
      <w:marTop w:val="0"/>
      <w:marBottom w:val="0"/>
      <w:divBdr>
        <w:top w:val="none" w:sz="0" w:space="0" w:color="auto"/>
        <w:left w:val="none" w:sz="0" w:space="0" w:color="auto"/>
        <w:bottom w:val="none" w:sz="0" w:space="0" w:color="auto"/>
        <w:right w:val="none" w:sz="0" w:space="0" w:color="auto"/>
      </w:divBdr>
    </w:div>
    <w:div w:id="1892227129">
      <w:bodyDiv w:val="1"/>
      <w:marLeft w:val="0"/>
      <w:marRight w:val="0"/>
      <w:marTop w:val="0"/>
      <w:marBottom w:val="0"/>
      <w:divBdr>
        <w:top w:val="none" w:sz="0" w:space="0" w:color="auto"/>
        <w:left w:val="none" w:sz="0" w:space="0" w:color="auto"/>
        <w:bottom w:val="none" w:sz="0" w:space="0" w:color="auto"/>
        <w:right w:val="none" w:sz="0" w:space="0" w:color="auto"/>
      </w:divBdr>
    </w:div>
    <w:div w:id="1893687006">
      <w:bodyDiv w:val="1"/>
      <w:marLeft w:val="0"/>
      <w:marRight w:val="0"/>
      <w:marTop w:val="0"/>
      <w:marBottom w:val="0"/>
      <w:divBdr>
        <w:top w:val="none" w:sz="0" w:space="0" w:color="auto"/>
        <w:left w:val="none" w:sz="0" w:space="0" w:color="auto"/>
        <w:bottom w:val="none" w:sz="0" w:space="0" w:color="auto"/>
        <w:right w:val="none" w:sz="0" w:space="0" w:color="auto"/>
      </w:divBdr>
    </w:div>
    <w:div w:id="1895114622">
      <w:bodyDiv w:val="1"/>
      <w:marLeft w:val="0"/>
      <w:marRight w:val="0"/>
      <w:marTop w:val="0"/>
      <w:marBottom w:val="0"/>
      <w:divBdr>
        <w:top w:val="none" w:sz="0" w:space="0" w:color="auto"/>
        <w:left w:val="none" w:sz="0" w:space="0" w:color="auto"/>
        <w:bottom w:val="none" w:sz="0" w:space="0" w:color="auto"/>
        <w:right w:val="none" w:sz="0" w:space="0" w:color="auto"/>
      </w:divBdr>
    </w:div>
    <w:div w:id="1895922158">
      <w:bodyDiv w:val="1"/>
      <w:marLeft w:val="0"/>
      <w:marRight w:val="0"/>
      <w:marTop w:val="0"/>
      <w:marBottom w:val="0"/>
      <w:divBdr>
        <w:top w:val="none" w:sz="0" w:space="0" w:color="auto"/>
        <w:left w:val="none" w:sz="0" w:space="0" w:color="auto"/>
        <w:bottom w:val="none" w:sz="0" w:space="0" w:color="auto"/>
        <w:right w:val="none" w:sz="0" w:space="0" w:color="auto"/>
      </w:divBdr>
    </w:div>
    <w:div w:id="1896042716">
      <w:bodyDiv w:val="1"/>
      <w:marLeft w:val="0"/>
      <w:marRight w:val="0"/>
      <w:marTop w:val="0"/>
      <w:marBottom w:val="0"/>
      <w:divBdr>
        <w:top w:val="none" w:sz="0" w:space="0" w:color="auto"/>
        <w:left w:val="none" w:sz="0" w:space="0" w:color="auto"/>
        <w:bottom w:val="none" w:sz="0" w:space="0" w:color="auto"/>
        <w:right w:val="none" w:sz="0" w:space="0" w:color="auto"/>
      </w:divBdr>
    </w:div>
    <w:div w:id="1897817118">
      <w:bodyDiv w:val="1"/>
      <w:marLeft w:val="0"/>
      <w:marRight w:val="0"/>
      <w:marTop w:val="0"/>
      <w:marBottom w:val="0"/>
      <w:divBdr>
        <w:top w:val="none" w:sz="0" w:space="0" w:color="auto"/>
        <w:left w:val="none" w:sz="0" w:space="0" w:color="auto"/>
        <w:bottom w:val="none" w:sz="0" w:space="0" w:color="auto"/>
        <w:right w:val="none" w:sz="0" w:space="0" w:color="auto"/>
      </w:divBdr>
    </w:div>
    <w:div w:id="1897888766">
      <w:bodyDiv w:val="1"/>
      <w:marLeft w:val="0"/>
      <w:marRight w:val="0"/>
      <w:marTop w:val="0"/>
      <w:marBottom w:val="0"/>
      <w:divBdr>
        <w:top w:val="none" w:sz="0" w:space="0" w:color="auto"/>
        <w:left w:val="none" w:sz="0" w:space="0" w:color="auto"/>
        <w:bottom w:val="none" w:sz="0" w:space="0" w:color="auto"/>
        <w:right w:val="none" w:sz="0" w:space="0" w:color="auto"/>
      </w:divBdr>
    </w:div>
    <w:div w:id="1899321274">
      <w:bodyDiv w:val="1"/>
      <w:marLeft w:val="0"/>
      <w:marRight w:val="0"/>
      <w:marTop w:val="0"/>
      <w:marBottom w:val="0"/>
      <w:divBdr>
        <w:top w:val="none" w:sz="0" w:space="0" w:color="auto"/>
        <w:left w:val="none" w:sz="0" w:space="0" w:color="auto"/>
        <w:bottom w:val="none" w:sz="0" w:space="0" w:color="auto"/>
        <w:right w:val="none" w:sz="0" w:space="0" w:color="auto"/>
      </w:divBdr>
    </w:div>
    <w:div w:id="1899781924">
      <w:bodyDiv w:val="1"/>
      <w:marLeft w:val="0"/>
      <w:marRight w:val="0"/>
      <w:marTop w:val="0"/>
      <w:marBottom w:val="0"/>
      <w:divBdr>
        <w:top w:val="none" w:sz="0" w:space="0" w:color="auto"/>
        <w:left w:val="none" w:sz="0" w:space="0" w:color="auto"/>
        <w:bottom w:val="none" w:sz="0" w:space="0" w:color="auto"/>
        <w:right w:val="none" w:sz="0" w:space="0" w:color="auto"/>
      </w:divBdr>
    </w:div>
    <w:div w:id="1900900932">
      <w:bodyDiv w:val="1"/>
      <w:marLeft w:val="0"/>
      <w:marRight w:val="0"/>
      <w:marTop w:val="0"/>
      <w:marBottom w:val="0"/>
      <w:divBdr>
        <w:top w:val="none" w:sz="0" w:space="0" w:color="auto"/>
        <w:left w:val="none" w:sz="0" w:space="0" w:color="auto"/>
        <w:bottom w:val="none" w:sz="0" w:space="0" w:color="auto"/>
        <w:right w:val="none" w:sz="0" w:space="0" w:color="auto"/>
      </w:divBdr>
    </w:div>
    <w:div w:id="1902399142">
      <w:bodyDiv w:val="1"/>
      <w:marLeft w:val="0"/>
      <w:marRight w:val="0"/>
      <w:marTop w:val="0"/>
      <w:marBottom w:val="0"/>
      <w:divBdr>
        <w:top w:val="none" w:sz="0" w:space="0" w:color="auto"/>
        <w:left w:val="none" w:sz="0" w:space="0" w:color="auto"/>
        <w:bottom w:val="none" w:sz="0" w:space="0" w:color="auto"/>
        <w:right w:val="none" w:sz="0" w:space="0" w:color="auto"/>
      </w:divBdr>
    </w:div>
    <w:div w:id="1905682082">
      <w:bodyDiv w:val="1"/>
      <w:marLeft w:val="0"/>
      <w:marRight w:val="0"/>
      <w:marTop w:val="0"/>
      <w:marBottom w:val="0"/>
      <w:divBdr>
        <w:top w:val="none" w:sz="0" w:space="0" w:color="auto"/>
        <w:left w:val="none" w:sz="0" w:space="0" w:color="auto"/>
        <w:bottom w:val="none" w:sz="0" w:space="0" w:color="auto"/>
        <w:right w:val="none" w:sz="0" w:space="0" w:color="auto"/>
      </w:divBdr>
    </w:div>
    <w:div w:id="1906329363">
      <w:bodyDiv w:val="1"/>
      <w:marLeft w:val="0"/>
      <w:marRight w:val="0"/>
      <w:marTop w:val="0"/>
      <w:marBottom w:val="0"/>
      <w:divBdr>
        <w:top w:val="none" w:sz="0" w:space="0" w:color="auto"/>
        <w:left w:val="none" w:sz="0" w:space="0" w:color="auto"/>
        <w:bottom w:val="none" w:sz="0" w:space="0" w:color="auto"/>
        <w:right w:val="none" w:sz="0" w:space="0" w:color="auto"/>
      </w:divBdr>
    </w:div>
    <w:div w:id="1907300420">
      <w:bodyDiv w:val="1"/>
      <w:marLeft w:val="0"/>
      <w:marRight w:val="0"/>
      <w:marTop w:val="0"/>
      <w:marBottom w:val="0"/>
      <w:divBdr>
        <w:top w:val="none" w:sz="0" w:space="0" w:color="auto"/>
        <w:left w:val="none" w:sz="0" w:space="0" w:color="auto"/>
        <w:bottom w:val="none" w:sz="0" w:space="0" w:color="auto"/>
        <w:right w:val="none" w:sz="0" w:space="0" w:color="auto"/>
      </w:divBdr>
    </w:div>
    <w:div w:id="1908030744">
      <w:bodyDiv w:val="1"/>
      <w:marLeft w:val="0"/>
      <w:marRight w:val="0"/>
      <w:marTop w:val="0"/>
      <w:marBottom w:val="0"/>
      <w:divBdr>
        <w:top w:val="none" w:sz="0" w:space="0" w:color="auto"/>
        <w:left w:val="none" w:sz="0" w:space="0" w:color="auto"/>
        <w:bottom w:val="none" w:sz="0" w:space="0" w:color="auto"/>
        <w:right w:val="none" w:sz="0" w:space="0" w:color="auto"/>
      </w:divBdr>
    </w:div>
    <w:div w:id="1910187582">
      <w:bodyDiv w:val="1"/>
      <w:marLeft w:val="0"/>
      <w:marRight w:val="0"/>
      <w:marTop w:val="0"/>
      <w:marBottom w:val="0"/>
      <w:divBdr>
        <w:top w:val="none" w:sz="0" w:space="0" w:color="auto"/>
        <w:left w:val="none" w:sz="0" w:space="0" w:color="auto"/>
        <w:bottom w:val="none" w:sz="0" w:space="0" w:color="auto"/>
        <w:right w:val="none" w:sz="0" w:space="0" w:color="auto"/>
      </w:divBdr>
    </w:div>
    <w:div w:id="1910726165">
      <w:bodyDiv w:val="1"/>
      <w:marLeft w:val="0"/>
      <w:marRight w:val="0"/>
      <w:marTop w:val="0"/>
      <w:marBottom w:val="0"/>
      <w:divBdr>
        <w:top w:val="none" w:sz="0" w:space="0" w:color="auto"/>
        <w:left w:val="none" w:sz="0" w:space="0" w:color="auto"/>
        <w:bottom w:val="none" w:sz="0" w:space="0" w:color="auto"/>
        <w:right w:val="none" w:sz="0" w:space="0" w:color="auto"/>
      </w:divBdr>
    </w:div>
    <w:div w:id="1913348952">
      <w:bodyDiv w:val="1"/>
      <w:marLeft w:val="0"/>
      <w:marRight w:val="0"/>
      <w:marTop w:val="0"/>
      <w:marBottom w:val="0"/>
      <w:divBdr>
        <w:top w:val="none" w:sz="0" w:space="0" w:color="auto"/>
        <w:left w:val="none" w:sz="0" w:space="0" w:color="auto"/>
        <w:bottom w:val="none" w:sz="0" w:space="0" w:color="auto"/>
        <w:right w:val="none" w:sz="0" w:space="0" w:color="auto"/>
      </w:divBdr>
    </w:div>
    <w:div w:id="1918519873">
      <w:bodyDiv w:val="1"/>
      <w:marLeft w:val="0"/>
      <w:marRight w:val="0"/>
      <w:marTop w:val="0"/>
      <w:marBottom w:val="0"/>
      <w:divBdr>
        <w:top w:val="none" w:sz="0" w:space="0" w:color="auto"/>
        <w:left w:val="none" w:sz="0" w:space="0" w:color="auto"/>
        <w:bottom w:val="none" w:sz="0" w:space="0" w:color="auto"/>
        <w:right w:val="none" w:sz="0" w:space="0" w:color="auto"/>
      </w:divBdr>
    </w:div>
    <w:div w:id="1919096315">
      <w:bodyDiv w:val="1"/>
      <w:marLeft w:val="0"/>
      <w:marRight w:val="0"/>
      <w:marTop w:val="0"/>
      <w:marBottom w:val="0"/>
      <w:divBdr>
        <w:top w:val="none" w:sz="0" w:space="0" w:color="auto"/>
        <w:left w:val="none" w:sz="0" w:space="0" w:color="auto"/>
        <w:bottom w:val="none" w:sz="0" w:space="0" w:color="auto"/>
        <w:right w:val="none" w:sz="0" w:space="0" w:color="auto"/>
      </w:divBdr>
    </w:div>
    <w:div w:id="1919241835">
      <w:bodyDiv w:val="1"/>
      <w:marLeft w:val="0"/>
      <w:marRight w:val="0"/>
      <w:marTop w:val="0"/>
      <w:marBottom w:val="0"/>
      <w:divBdr>
        <w:top w:val="none" w:sz="0" w:space="0" w:color="auto"/>
        <w:left w:val="none" w:sz="0" w:space="0" w:color="auto"/>
        <w:bottom w:val="none" w:sz="0" w:space="0" w:color="auto"/>
        <w:right w:val="none" w:sz="0" w:space="0" w:color="auto"/>
      </w:divBdr>
    </w:div>
    <w:div w:id="1919241966">
      <w:bodyDiv w:val="1"/>
      <w:marLeft w:val="0"/>
      <w:marRight w:val="0"/>
      <w:marTop w:val="0"/>
      <w:marBottom w:val="0"/>
      <w:divBdr>
        <w:top w:val="none" w:sz="0" w:space="0" w:color="auto"/>
        <w:left w:val="none" w:sz="0" w:space="0" w:color="auto"/>
        <w:bottom w:val="none" w:sz="0" w:space="0" w:color="auto"/>
        <w:right w:val="none" w:sz="0" w:space="0" w:color="auto"/>
      </w:divBdr>
    </w:div>
    <w:div w:id="1921670301">
      <w:bodyDiv w:val="1"/>
      <w:marLeft w:val="0"/>
      <w:marRight w:val="0"/>
      <w:marTop w:val="0"/>
      <w:marBottom w:val="0"/>
      <w:divBdr>
        <w:top w:val="none" w:sz="0" w:space="0" w:color="auto"/>
        <w:left w:val="none" w:sz="0" w:space="0" w:color="auto"/>
        <w:bottom w:val="none" w:sz="0" w:space="0" w:color="auto"/>
        <w:right w:val="none" w:sz="0" w:space="0" w:color="auto"/>
      </w:divBdr>
    </w:div>
    <w:div w:id="1921744601">
      <w:bodyDiv w:val="1"/>
      <w:marLeft w:val="0"/>
      <w:marRight w:val="0"/>
      <w:marTop w:val="0"/>
      <w:marBottom w:val="0"/>
      <w:divBdr>
        <w:top w:val="none" w:sz="0" w:space="0" w:color="auto"/>
        <w:left w:val="none" w:sz="0" w:space="0" w:color="auto"/>
        <w:bottom w:val="none" w:sz="0" w:space="0" w:color="auto"/>
        <w:right w:val="none" w:sz="0" w:space="0" w:color="auto"/>
      </w:divBdr>
    </w:div>
    <w:div w:id="1929121851">
      <w:bodyDiv w:val="1"/>
      <w:marLeft w:val="0"/>
      <w:marRight w:val="0"/>
      <w:marTop w:val="0"/>
      <w:marBottom w:val="0"/>
      <w:divBdr>
        <w:top w:val="none" w:sz="0" w:space="0" w:color="auto"/>
        <w:left w:val="none" w:sz="0" w:space="0" w:color="auto"/>
        <w:bottom w:val="none" w:sz="0" w:space="0" w:color="auto"/>
        <w:right w:val="none" w:sz="0" w:space="0" w:color="auto"/>
      </w:divBdr>
    </w:div>
    <w:div w:id="1931238212">
      <w:bodyDiv w:val="1"/>
      <w:marLeft w:val="0"/>
      <w:marRight w:val="0"/>
      <w:marTop w:val="0"/>
      <w:marBottom w:val="0"/>
      <w:divBdr>
        <w:top w:val="none" w:sz="0" w:space="0" w:color="auto"/>
        <w:left w:val="none" w:sz="0" w:space="0" w:color="auto"/>
        <w:bottom w:val="none" w:sz="0" w:space="0" w:color="auto"/>
        <w:right w:val="none" w:sz="0" w:space="0" w:color="auto"/>
      </w:divBdr>
    </w:div>
    <w:div w:id="1935550536">
      <w:bodyDiv w:val="1"/>
      <w:marLeft w:val="0"/>
      <w:marRight w:val="0"/>
      <w:marTop w:val="0"/>
      <w:marBottom w:val="0"/>
      <w:divBdr>
        <w:top w:val="none" w:sz="0" w:space="0" w:color="auto"/>
        <w:left w:val="none" w:sz="0" w:space="0" w:color="auto"/>
        <w:bottom w:val="none" w:sz="0" w:space="0" w:color="auto"/>
        <w:right w:val="none" w:sz="0" w:space="0" w:color="auto"/>
      </w:divBdr>
    </w:div>
    <w:div w:id="1936548698">
      <w:bodyDiv w:val="1"/>
      <w:marLeft w:val="0"/>
      <w:marRight w:val="0"/>
      <w:marTop w:val="0"/>
      <w:marBottom w:val="0"/>
      <w:divBdr>
        <w:top w:val="none" w:sz="0" w:space="0" w:color="auto"/>
        <w:left w:val="none" w:sz="0" w:space="0" w:color="auto"/>
        <w:bottom w:val="none" w:sz="0" w:space="0" w:color="auto"/>
        <w:right w:val="none" w:sz="0" w:space="0" w:color="auto"/>
      </w:divBdr>
    </w:div>
    <w:div w:id="1937011077">
      <w:bodyDiv w:val="1"/>
      <w:marLeft w:val="0"/>
      <w:marRight w:val="0"/>
      <w:marTop w:val="0"/>
      <w:marBottom w:val="0"/>
      <w:divBdr>
        <w:top w:val="none" w:sz="0" w:space="0" w:color="auto"/>
        <w:left w:val="none" w:sz="0" w:space="0" w:color="auto"/>
        <w:bottom w:val="none" w:sz="0" w:space="0" w:color="auto"/>
        <w:right w:val="none" w:sz="0" w:space="0" w:color="auto"/>
      </w:divBdr>
    </w:div>
    <w:div w:id="1937328484">
      <w:bodyDiv w:val="1"/>
      <w:marLeft w:val="0"/>
      <w:marRight w:val="0"/>
      <w:marTop w:val="0"/>
      <w:marBottom w:val="0"/>
      <w:divBdr>
        <w:top w:val="none" w:sz="0" w:space="0" w:color="auto"/>
        <w:left w:val="none" w:sz="0" w:space="0" w:color="auto"/>
        <w:bottom w:val="none" w:sz="0" w:space="0" w:color="auto"/>
        <w:right w:val="none" w:sz="0" w:space="0" w:color="auto"/>
      </w:divBdr>
    </w:div>
    <w:div w:id="1937711975">
      <w:bodyDiv w:val="1"/>
      <w:marLeft w:val="0"/>
      <w:marRight w:val="0"/>
      <w:marTop w:val="0"/>
      <w:marBottom w:val="0"/>
      <w:divBdr>
        <w:top w:val="none" w:sz="0" w:space="0" w:color="auto"/>
        <w:left w:val="none" w:sz="0" w:space="0" w:color="auto"/>
        <w:bottom w:val="none" w:sz="0" w:space="0" w:color="auto"/>
        <w:right w:val="none" w:sz="0" w:space="0" w:color="auto"/>
      </w:divBdr>
    </w:div>
    <w:div w:id="1939017443">
      <w:bodyDiv w:val="1"/>
      <w:marLeft w:val="0"/>
      <w:marRight w:val="0"/>
      <w:marTop w:val="0"/>
      <w:marBottom w:val="0"/>
      <w:divBdr>
        <w:top w:val="none" w:sz="0" w:space="0" w:color="auto"/>
        <w:left w:val="none" w:sz="0" w:space="0" w:color="auto"/>
        <w:bottom w:val="none" w:sz="0" w:space="0" w:color="auto"/>
        <w:right w:val="none" w:sz="0" w:space="0" w:color="auto"/>
      </w:divBdr>
    </w:div>
    <w:div w:id="1939823386">
      <w:bodyDiv w:val="1"/>
      <w:marLeft w:val="0"/>
      <w:marRight w:val="0"/>
      <w:marTop w:val="0"/>
      <w:marBottom w:val="0"/>
      <w:divBdr>
        <w:top w:val="none" w:sz="0" w:space="0" w:color="auto"/>
        <w:left w:val="none" w:sz="0" w:space="0" w:color="auto"/>
        <w:bottom w:val="none" w:sz="0" w:space="0" w:color="auto"/>
        <w:right w:val="none" w:sz="0" w:space="0" w:color="auto"/>
      </w:divBdr>
    </w:div>
    <w:div w:id="1942452643">
      <w:bodyDiv w:val="1"/>
      <w:marLeft w:val="0"/>
      <w:marRight w:val="0"/>
      <w:marTop w:val="0"/>
      <w:marBottom w:val="0"/>
      <w:divBdr>
        <w:top w:val="none" w:sz="0" w:space="0" w:color="auto"/>
        <w:left w:val="none" w:sz="0" w:space="0" w:color="auto"/>
        <w:bottom w:val="none" w:sz="0" w:space="0" w:color="auto"/>
        <w:right w:val="none" w:sz="0" w:space="0" w:color="auto"/>
      </w:divBdr>
    </w:div>
    <w:div w:id="1942839436">
      <w:bodyDiv w:val="1"/>
      <w:marLeft w:val="0"/>
      <w:marRight w:val="0"/>
      <w:marTop w:val="0"/>
      <w:marBottom w:val="0"/>
      <w:divBdr>
        <w:top w:val="none" w:sz="0" w:space="0" w:color="auto"/>
        <w:left w:val="none" w:sz="0" w:space="0" w:color="auto"/>
        <w:bottom w:val="none" w:sz="0" w:space="0" w:color="auto"/>
        <w:right w:val="none" w:sz="0" w:space="0" w:color="auto"/>
      </w:divBdr>
    </w:div>
    <w:div w:id="1943489052">
      <w:bodyDiv w:val="1"/>
      <w:marLeft w:val="0"/>
      <w:marRight w:val="0"/>
      <w:marTop w:val="0"/>
      <w:marBottom w:val="0"/>
      <w:divBdr>
        <w:top w:val="none" w:sz="0" w:space="0" w:color="auto"/>
        <w:left w:val="none" w:sz="0" w:space="0" w:color="auto"/>
        <w:bottom w:val="none" w:sz="0" w:space="0" w:color="auto"/>
        <w:right w:val="none" w:sz="0" w:space="0" w:color="auto"/>
      </w:divBdr>
    </w:div>
    <w:div w:id="1943758753">
      <w:bodyDiv w:val="1"/>
      <w:marLeft w:val="0"/>
      <w:marRight w:val="0"/>
      <w:marTop w:val="0"/>
      <w:marBottom w:val="0"/>
      <w:divBdr>
        <w:top w:val="none" w:sz="0" w:space="0" w:color="auto"/>
        <w:left w:val="none" w:sz="0" w:space="0" w:color="auto"/>
        <w:bottom w:val="none" w:sz="0" w:space="0" w:color="auto"/>
        <w:right w:val="none" w:sz="0" w:space="0" w:color="auto"/>
      </w:divBdr>
    </w:div>
    <w:div w:id="1944067530">
      <w:bodyDiv w:val="1"/>
      <w:marLeft w:val="0"/>
      <w:marRight w:val="0"/>
      <w:marTop w:val="0"/>
      <w:marBottom w:val="0"/>
      <w:divBdr>
        <w:top w:val="none" w:sz="0" w:space="0" w:color="auto"/>
        <w:left w:val="none" w:sz="0" w:space="0" w:color="auto"/>
        <w:bottom w:val="none" w:sz="0" w:space="0" w:color="auto"/>
        <w:right w:val="none" w:sz="0" w:space="0" w:color="auto"/>
      </w:divBdr>
    </w:div>
    <w:div w:id="1944993852">
      <w:bodyDiv w:val="1"/>
      <w:marLeft w:val="0"/>
      <w:marRight w:val="0"/>
      <w:marTop w:val="0"/>
      <w:marBottom w:val="0"/>
      <w:divBdr>
        <w:top w:val="none" w:sz="0" w:space="0" w:color="auto"/>
        <w:left w:val="none" w:sz="0" w:space="0" w:color="auto"/>
        <w:bottom w:val="none" w:sz="0" w:space="0" w:color="auto"/>
        <w:right w:val="none" w:sz="0" w:space="0" w:color="auto"/>
      </w:divBdr>
    </w:div>
    <w:div w:id="1945185929">
      <w:bodyDiv w:val="1"/>
      <w:marLeft w:val="0"/>
      <w:marRight w:val="0"/>
      <w:marTop w:val="0"/>
      <w:marBottom w:val="0"/>
      <w:divBdr>
        <w:top w:val="none" w:sz="0" w:space="0" w:color="auto"/>
        <w:left w:val="none" w:sz="0" w:space="0" w:color="auto"/>
        <w:bottom w:val="none" w:sz="0" w:space="0" w:color="auto"/>
        <w:right w:val="none" w:sz="0" w:space="0" w:color="auto"/>
      </w:divBdr>
    </w:div>
    <w:div w:id="1945838806">
      <w:bodyDiv w:val="1"/>
      <w:marLeft w:val="0"/>
      <w:marRight w:val="0"/>
      <w:marTop w:val="0"/>
      <w:marBottom w:val="0"/>
      <w:divBdr>
        <w:top w:val="none" w:sz="0" w:space="0" w:color="auto"/>
        <w:left w:val="none" w:sz="0" w:space="0" w:color="auto"/>
        <w:bottom w:val="none" w:sz="0" w:space="0" w:color="auto"/>
        <w:right w:val="none" w:sz="0" w:space="0" w:color="auto"/>
      </w:divBdr>
      <w:divsChild>
        <w:div w:id="628824252">
          <w:marLeft w:val="0"/>
          <w:marRight w:val="0"/>
          <w:marTop w:val="0"/>
          <w:marBottom w:val="0"/>
          <w:divBdr>
            <w:top w:val="none" w:sz="0" w:space="0" w:color="auto"/>
            <w:left w:val="none" w:sz="0" w:space="0" w:color="auto"/>
            <w:bottom w:val="none" w:sz="0" w:space="0" w:color="auto"/>
            <w:right w:val="none" w:sz="0" w:space="0" w:color="auto"/>
          </w:divBdr>
          <w:divsChild>
            <w:div w:id="1057124261">
              <w:marLeft w:val="0"/>
              <w:marRight w:val="0"/>
              <w:marTop w:val="0"/>
              <w:marBottom w:val="0"/>
              <w:divBdr>
                <w:top w:val="none" w:sz="0" w:space="0" w:color="auto"/>
                <w:left w:val="none" w:sz="0" w:space="0" w:color="auto"/>
                <w:bottom w:val="none" w:sz="0" w:space="0" w:color="auto"/>
                <w:right w:val="none" w:sz="0" w:space="0" w:color="auto"/>
              </w:divBdr>
              <w:divsChild>
                <w:div w:id="1577788877">
                  <w:marLeft w:val="-75"/>
                  <w:marRight w:val="-75"/>
                  <w:marTop w:val="0"/>
                  <w:marBottom w:val="0"/>
                  <w:divBdr>
                    <w:top w:val="none" w:sz="0" w:space="0" w:color="auto"/>
                    <w:left w:val="none" w:sz="0" w:space="0" w:color="auto"/>
                    <w:bottom w:val="none" w:sz="0" w:space="0" w:color="auto"/>
                    <w:right w:val="none" w:sz="0" w:space="0" w:color="auto"/>
                  </w:divBdr>
                  <w:divsChild>
                    <w:div w:id="1449591387">
                      <w:marLeft w:val="0"/>
                      <w:marRight w:val="0"/>
                      <w:marTop w:val="0"/>
                      <w:marBottom w:val="0"/>
                      <w:divBdr>
                        <w:top w:val="none" w:sz="0" w:space="0" w:color="auto"/>
                        <w:left w:val="none" w:sz="0" w:space="0" w:color="auto"/>
                        <w:bottom w:val="none" w:sz="0" w:space="0" w:color="auto"/>
                        <w:right w:val="none" w:sz="0" w:space="0" w:color="auto"/>
                      </w:divBdr>
                      <w:divsChild>
                        <w:div w:id="14591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8324">
      <w:bodyDiv w:val="1"/>
      <w:marLeft w:val="0"/>
      <w:marRight w:val="0"/>
      <w:marTop w:val="0"/>
      <w:marBottom w:val="0"/>
      <w:divBdr>
        <w:top w:val="none" w:sz="0" w:space="0" w:color="auto"/>
        <w:left w:val="none" w:sz="0" w:space="0" w:color="auto"/>
        <w:bottom w:val="none" w:sz="0" w:space="0" w:color="auto"/>
        <w:right w:val="none" w:sz="0" w:space="0" w:color="auto"/>
      </w:divBdr>
    </w:div>
    <w:div w:id="1946495178">
      <w:bodyDiv w:val="1"/>
      <w:marLeft w:val="0"/>
      <w:marRight w:val="0"/>
      <w:marTop w:val="0"/>
      <w:marBottom w:val="0"/>
      <w:divBdr>
        <w:top w:val="none" w:sz="0" w:space="0" w:color="auto"/>
        <w:left w:val="none" w:sz="0" w:space="0" w:color="auto"/>
        <w:bottom w:val="none" w:sz="0" w:space="0" w:color="auto"/>
        <w:right w:val="none" w:sz="0" w:space="0" w:color="auto"/>
      </w:divBdr>
    </w:div>
    <w:div w:id="1946618854">
      <w:bodyDiv w:val="1"/>
      <w:marLeft w:val="0"/>
      <w:marRight w:val="0"/>
      <w:marTop w:val="0"/>
      <w:marBottom w:val="0"/>
      <w:divBdr>
        <w:top w:val="none" w:sz="0" w:space="0" w:color="auto"/>
        <w:left w:val="none" w:sz="0" w:space="0" w:color="auto"/>
        <w:bottom w:val="none" w:sz="0" w:space="0" w:color="auto"/>
        <w:right w:val="none" w:sz="0" w:space="0" w:color="auto"/>
      </w:divBdr>
    </w:div>
    <w:div w:id="1947688235">
      <w:bodyDiv w:val="1"/>
      <w:marLeft w:val="0"/>
      <w:marRight w:val="0"/>
      <w:marTop w:val="0"/>
      <w:marBottom w:val="0"/>
      <w:divBdr>
        <w:top w:val="none" w:sz="0" w:space="0" w:color="auto"/>
        <w:left w:val="none" w:sz="0" w:space="0" w:color="auto"/>
        <w:bottom w:val="none" w:sz="0" w:space="0" w:color="auto"/>
        <w:right w:val="none" w:sz="0" w:space="0" w:color="auto"/>
      </w:divBdr>
    </w:div>
    <w:div w:id="1948073829">
      <w:bodyDiv w:val="1"/>
      <w:marLeft w:val="0"/>
      <w:marRight w:val="0"/>
      <w:marTop w:val="0"/>
      <w:marBottom w:val="0"/>
      <w:divBdr>
        <w:top w:val="none" w:sz="0" w:space="0" w:color="auto"/>
        <w:left w:val="none" w:sz="0" w:space="0" w:color="auto"/>
        <w:bottom w:val="none" w:sz="0" w:space="0" w:color="auto"/>
        <w:right w:val="none" w:sz="0" w:space="0" w:color="auto"/>
      </w:divBdr>
    </w:div>
    <w:div w:id="1948199852">
      <w:bodyDiv w:val="1"/>
      <w:marLeft w:val="0"/>
      <w:marRight w:val="0"/>
      <w:marTop w:val="0"/>
      <w:marBottom w:val="0"/>
      <w:divBdr>
        <w:top w:val="none" w:sz="0" w:space="0" w:color="auto"/>
        <w:left w:val="none" w:sz="0" w:space="0" w:color="auto"/>
        <w:bottom w:val="none" w:sz="0" w:space="0" w:color="auto"/>
        <w:right w:val="none" w:sz="0" w:space="0" w:color="auto"/>
      </w:divBdr>
    </w:div>
    <w:div w:id="1948343590">
      <w:bodyDiv w:val="1"/>
      <w:marLeft w:val="0"/>
      <w:marRight w:val="0"/>
      <w:marTop w:val="0"/>
      <w:marBottom w:val="0"/>
      <w:divBdr>
        <w:top w:val="none" w:sz="0" w:space="0" w:color="auto"/>
        <w:left w:val="none" w:sz="0" w:space="0" w:color="auto"/>
        <w:bottom w:val="none" w:sz="0" w:space="0" w:color="auto"/>
        <w:right w:val="none" w:sz="0" w:space="0" w:color="auto"/>
      </w:divBdr>
    </w:div>
    <w:div w:id="1948393288">
      <w:bodyDiv w:val="1"/>
      <w:marLeft w:val="0"/>
      <w:marRight w:val="0"/>
      <w:marTop w:val="0"/>
      <w:marBottom w:val="0"/>
      <w:divBdr>
        <w:top w:val="none" w:sz="0" w:space="0" w:color="auto"/>
        <w:left w:val="none" w:sz="0" w:space="0" w:color="auto"/>
        <w:bottom w:val="none" w:sz="0" w:space="0" w:color="auto"/>
        <w:right w:val="none" w:sz="0" w:space="0" w:color="auto"/>
      </w:divBdr>
    </w:div>
    <w:div w:id="1950043265">
      <w:bodyDiv w:val="1"/>
      <w:marLeft w:val="0"/>
      <w:marRight w:val="0"/>
      <w:marTop w:val="0"/>
      <w:marBottom w:val="0"/>
      <w:divBdr>
        <w:top w:val="none" w:sz="0" w:space="0" w:color="auto"/>
        <w:left w:val="none" w:sz="0" w:space="0" w:color="auto"/>
        <w:bottom w:val="none" w:sz="0" w:space="0" w:color="auto"/>
        <w:right w:val="none" w:sz="0" w:space="0" w:color="auto"/>
      </w:divBdr>
    </w:div>
    <w:div w:id="1951432429">
      <w:bodyDiv w:val="1"/>
      <w:marLeft w:val="0"/>
      <w:marRight w:val="0"/>
      <w:marTop w:val="0"/>
      <w:marBottom w:val="0"/>
      <w:divBdr>
        <w:top w:val="none" w:sz="0" w:space="0" w:color="auto"/>
        <w:left w:val="none" w:sz="0" w:space="0" w:color="auto"/>
        <w:bottom w:val="none" w:sz="0" w:space="0" w:color="auto"/>
        <w:right w:val="none" w:sz="0" w:space="0" w:color="auto"/>
      </w:divBdr>
    </w:div>
    <w:div w:id="1952320239">
      <w:bodyDiv w:val="1"/>
      <w:marLeft w:val="0"/>
      <w:marRight w:val="0"/>
      <w:marTop w:val="0"/>
      <w:marBottom w:val="0"/>
      <w:divBdr>
        <w:top w:val="none" w:sz="0" w:space="0" w:color="auto"/>
        <w:left w:val="none" w:sz="0" w:space="0" w:color="auto"/>
        <w:bottom w:val="none" w:sz="0" w:space="0" w:color="auto"/>
        <w:right w:val="none" w:sz="0" w:space="0" w:color="auto"/>
      </w:divBdr>
    </w:div>
    <w:div w:id="1952397234">
      <w:bodyDiv w:val="1"/>
      <w:marLeft w:val="0"/>
      <w:marRight w:val="0"/>
      <w:marTop w:val="0"/>
      <w:marBottom w:val="0"/>
      <w:divBdr>
        <w:top w:val="none" w:sz="0" w:space="0" w:color="auto"/>
        <w:left w:val="none" w:sz="0" w:space="0" w:color="auto"/>
        <w:bottom w:val="none" w:sz="0" w:space="0" w:color="auto"/>
        <w:right w:val="none" w:sz="0" w:space="0" w:color="auto"/>
      </w:divBdr>
    </w:div>
    <w:div w:id="1953586556">
      <w:bodyDiv w:val="1"/>
      <w:marLeft w:val="0"/>
      <w:marRight w:val="0"/>
      <w:marTop w:val="0"/>
      <w:marBottom w:val="0"/>
      <w:divBdr>
        <w:top w:val="none" w:sz="0" w:space="0" w:color="auto"/>
        <w:left w:val="none" w:sz="0" w:space="0" w:color="auto"/>
        <w:bottom w:val="none" w:sz="0" w:space="0" w:color="auto"/>
        <w:right w:val="none" w:sz="0" w:space="0" w:color="auto"/>
      </w:divBdr>
    </w:div>
    <w:div w:id="1954437323">
      <w:bodyDiv w:val="1"/>
      <w:marLeft w:val="0"/>
      <w:marRight w:val="0"/>
      <w:marTop w:val="0"/>
      <w:marBottom w:val="0"/>
      <w:divBdr>
        <w:top w:val="none" w:sz="0" w:space="0" w:color="auto"/>
        <w:left w:val="none" w:sz="0" w:space="0" w:color="auto"/>
        <w:bottom w:val="none" w:sz="0" w:space="0" w:color="auto"/>
        <w:right w:val="none" w:sz="0" w:space="0" w:color="auto"/>
      </w:divBdr>
    </w:div>
    <w:div w:id="1956518522">
      <w:bodyDiv w:val="1"/>
      <w:marLeft w:val="0"/>
      <w:marRight w:val="0"/>
      <w:marTop w:val="0"/>
      <w:marBottom w:val="0"/>
      <w:divBdr>
        <w:top w:val="none" w:sz="0" w:space="0" w:color="auto"/>
        <w:left w:val="none" w:sz="0" w:space="0" w:color="auto"/>
        <w:bottom w:val="none" w:sz="0" w:space="0" w:color="auto"/>
        <w:right w:val="none" w:sz="0" w:space="0" w:color="auto"/>
      </w:divBdr>
    </w:div>
    <w:div w:id="1957448927">
      <w:bodyDiv w:val="1"/>
      <w:marLeft w:val="0"/>
      <w:marRight w:val="0"/>
      <w:marTop w:val="0"/>
      <w:marBottom w:val="0"/>
      <w:divBdr>
        <w:top w:val="none" w:sz="0" w:space="0" w:color="auto"/>
        <w:left w:val="none" w:sz="0" w:space="0" w:color="auto"/>
        <w:bottom w:val="none" w:sz="0" w:space="0" w:color="auto"/>
        <w:right w:val="none" w:sz="0" w:space="0" w:color="auto"/>
      </w:divBdr>
    </w:div>
    <w:div w:id="1961063709">
      <w:bodyDiv w:val="1"/>
      <w:marLeft w:val="0"/>
      <w:marRight w:val="0"/>
      <w:marTop w:val="0"/>
      <w:marBottom w:val="0"/>
      <w:divBdr>
        <w:top w:val="none" w:sz="0" w:space="0" w:color="auto"/>
        <w:left w:val="none" w:sz="0" w:space="0" w:color="auto"/>
        <w:bottom w:val="none" w:sz="0" w:space="0" w:color="auto"/>
        <w:right w:val="none" w:sz="0" w:space="0" w:color="auto"/>
      </w:divBdr>
    </w:div>
    <w:div w:id="1961566034">
      <w:bodyDiv w:val="1"/>
      <w:marLeft w:val="0"/>
      <w:marRight w:val="0"/>
      <w:marTop w:val="0"/>
      <w:marBottom w:val="0"/>
      <w:divBdr>
        <w:top w:val="none" w:sz="0" w:space="0" w:color="auto"/>
        <w:left w:val="none" w:sz="0" w:space="0" w:color="auto"/>
        <w:bottom w:val="none" w:sz="0" w:space="0" w:color="auto"/>
        <w:right w:val="none" w:sz="0" w:space="0" w:color="auto"/>
      </w:divBdr>
    </w:div>
    <w:div w:id="1962762272">
      <w:bodyDiv w:val="1"/>
      <w:marLeft w:val="0"/>
      <w:marRight w:val="0"/>
      <w:marTop w:val="0"/>
      <w:marBottom w:val="0"/>
      <w:divBdr>
        <w:top w:val="none" w:sz="0" w:space="0" w:color="auto"/>
        <w:left w:val="none" w:sz="0" w:space="0" w:color="auto"/>
        <w:bottom w:val="none" w:sz="0" w:space="0" w:color="auto"/>
        <w:right w:val="none" w:sz="0" w:space="0" w:color="auto"/>
      </w:divBdr>
    </w:div>
    <w:div w:id="1964145182">
      <w:bodyDiv w:val="1"/>
      <w:marLeft w:val="0"/>
      <w:marRight w:val="0"/>
      <w:marTop w:val="0"/>
      <w:marBottom w:val="0"/>
      <w:divBdr>
        <w:top w:val="none" w:sz="0" w:space="0" w:color="auto"/>
        <w:left w:val="none" w:sz="0" w:space="0" w:color="auto"/>
        <w:bottom w:val="none" w:sz="0" w:space="0" w:color="auto"/>
        <w:right w:val="none" w:sz="0" w:space="0" w:color="auto"/>
      </w:divBdr>
    </w:div>
    <w:div w:id="1964967121">
      <w:bodyDiv w:val="1"/>
      <w:marLeft w:val="0"/>
      <w:marRight w:val="0"/>
      <w:marTop w:val="0"/>
      <w:marBottom w:val="0"/>
      <w:divBdr>
        <w:top w:val="none" w:sz="0" w:space="0" w:color="auto"/>
        <w:left w:val="none" w:sz="0" w:space="0" w:color="auto"/>
        <w:bottom w:val="none" w:sz="0" w:space="0" w:color="auto"/>
        <w:right w:val="none" w:sz="0" w:space="0" w:color="auto"/>
      </w:divBdr>
    </w:div>
    <w:div w:id="1967199355">
      <w:bodyDiv w:val="1"/>
      <w:marLeft w:val="0"/>
      <w:marRight w:val="0"/>
      <w:marTop w:val="0"/>
      <w:marBottom w:val="0"/>
      <w:divBdr>
        <w:top w:val="none" w:sz="0" w:space="0" w:color="auto"/>
        <w:left w:val="none" w:sz="0" w:space="0" w:color="auto"/>
        <w:bottom w:val="none" w:sz="0" w:space="0" w:color="auto"/>
        <w:right w:val="none" w:sz="0" w:space="0" w:color="auto"/>
      </w:divBdr>
    </w:div>
    <w:div w:id="1967420226">
      <w:bodyDiv w:val="1"/>
      <w:marLeft w:val="0"/>
      <w:marRight w:val="0"/>
      <w:marTop w:val="0"/>
      <w:marBottom w:val="0"/>
      <w:divBdr>
        <w:top w:val="none" w:sz="0" w:space="0" w:color="auto"/>
        <w:left w:val="none" w:sz="0" w:space="0" w:color="auto"/>
        <w:bottom w:val="none" w:sz="0" w:space="0" w:color="auto"/>
        <w:right w:val="none" w:sz="0" w:space="0" w:color="auto"/>
      </w:divBdr>
    </w:div>
    <w:div w:id="1969041991">
      <w:bodyDiv w:val="1"/>
      <w:marLeft w:val="0"/>
      <w:marRight w:val="0"/>
      <w:marTop w:val="0"/>
      <w:marBottom w:val="0"/>
      <w:divBdr>
        <w:top w:val="none" w:sz="0" w:space="0" w:color="auto"/>
        <w:left w:val="none" w:sz="0" w:space="0" w:color="auto"/>
        <w:bottom w:val="none" w:sz="0" w:space="0" w:color="auto"/>
        <w:right w:val="none" w:sz="0" w:space="0" w:color="auto"/>
      </w:divBdr>
    </w:div>
    <w:div w:id="1969124459">
      <w:bodyDiv w:val="1"/>
      <w:marLeft w:val="0"/>
      <w:marRight w:val="0"/>
      <w:marTop w:val="0"/>
      <w:marBottom w:val="0"/>
      <w:divBdr>
        <w:top w:val="none" w:sz="0" w:space="0" w:color="auto"/>
        <w:left w:val="none" w:sz="0" w:space="0" w:color="auto"/>
        <w:bottom w:val="none" w:sz="0" w:space="0" w:color="auto"/>
        <w:right w:val="none" w:sz="0" w:space="0" w:color="auto"/>
      </w:divBdr>
    </w:div>
    <w:div w:id="1969508014">
      <w:bodyDiv w:val="1"/>
      <w:marLeft w:val="0"/>
      <w:marRight w:val="0"/>
      <w:marTop w:val="0"/>
      <w:marBottom w:val="0"/>
      <w:divBdr>
        <w:top w:val="none" w:sz="0" w:space="0" w:color="auto"/>
        <w:left w:val="none" w:sz="0" w:space="0" w:color="auto"/>
        <w:bottom w:val="none" w:sz="0" w:space="0" w:color="auto"/>
        <w:right w:val="none" w:sz="0" w:space="0" w:color="auto"/>
      </w:divBdr>
    </w:div>
    <w:div w:id="1969625829">
      <w:bodyDiv w:val="1"/>
      <w:marLeft w:val="0"/>
      <w:marRight w:val="0"/>
      <w:marTop w:val="0"/>
      <w:marBottom w:val="0"/>
      <w:divBdr>
        <w:top w:val="none" w:sz="0" w:space="0" w:color="auto"/>
        <w:left w:val="none" w:sz="0" w:space="0" w:color="auto"/>
        <w:bottom w:val="none" w:sz="0" w:space="0" w:color="auto"/>
        <w:right w:val="none" w:sz="0" w:space="0" w:color="auto"/>
      </w:divBdr>
    </w:div>
    <w:div w:id="1970476088">
      <w:bodyDiv w:val="1"/>
      <w:marLeft w:val="0"/>
      <w:marRight w:val="0"/>
      <w:marTop w:val="0"/>
      <w:marBottom w:val="0"/>
      <w:divBdr>
        <w:top w:val="none" w:sz="0" w:space="0" w:color="auto"/>
        <w:left w:val="none" w:sz="0" w:space="0" w:color="auto"/>
        <w:bottom w:val="none" w:sz="0" w:space="0" w:color="auto"/>
        <w:right w:val="none" w:sz="0" w:space="0" w:color="auto"/>
      </w:divBdr>
    </w:div>
    <w:div w:id="1970698809">
      <w:bodyDiv w:val="1"/>
      <w:marLeft w:val="0"/>
      <w:marRight w:val="0"/>
      <w:marTop w:val="0"/>
      <w:marBottom w:val="0"/>
      <w:divBdr>
        <w:top w:val="none" w:sz="0" w:space="0" w:color="auto"/>
        <w:left w:val="none" w:sz="0" w:space="0" w:color="auto"/>
        <w:bottom w:val="none" w:sz="0" w:space="0" w:color="auto"/>
        <w:right w:val="none" w:sz="0" w:space="0" w:color="auto"/>
      </w:divBdr>
    </w:div>
    <w:div w:id="1972709277">
      <w:bodyDiv w:val="1"/>
      <w:marLeft w:val="0"/>
      <w:marRight w:val="0"/>
      <w:marTop w:val="0"/>
      <w:marBottom w:val="0"/>
      <w:divBdr>
        <w:top w:val="none" w:sz="0" w:space="0" w:color="auto"/>
        <w:left w:val="none" w:sz="0" w:space="0" w:color="auto"/>
        <w:bottom w:val="none" w:sz="0" w:space="0" w:color="auto"/>
        <w:right w:val="none" w:sz="0" w:space="0" w:color="auto"/>
      </w:divBdr>
    </w:div>
    <w:div w:id="1972899267">
      <w:bodyDiv w:val="1"/>
      <w:marLeft w:val="0"/>
      <w:marRight w:val="0"/>
      <w:marTop w:val="0"/>
      <w:marBottom w:val="0"/>
      <w:divBdr>
        <w:top w:val="none" w:sz="0" w:space="0" w:color="auto"/>
        <w:left w:val="none" w:sz="0" w:space="0" w:color="auto"/>
        <w:bottom w:val="none" w:sz="0" w:space="0" w:color="auto"/>
        <w:right w:val="none" w:sz="0" w:space="0" w:color="auto"/>
      </w:divBdr>
    </w:div>
    <w:div w:id="1975869756">
      <w:bodyDiv w:val="1"/>
      <w:marLeft w:val="0"/>
      <w:marRight w:val="0"/>
      <w:marTop w:val="0"/>
      <w:marBottom w:val="0"/>
      <w:divBdr>
        <w:top w:val="none" w:sz="0" w:space="0" w:color="auto"/>
        <w:left w:val="none" w:sz="0" w:space="0" w:color="auto"/>
        <w:bottom w:val="none" w:sz="0" w:space="0" w:color="auto"/>
        <w:right w:val="none" w:sz="0" w:space="0" w:color="auto"/>
      </w:divBdr>
    </w:div>
    <w:div w:id="1984113454">
      <w:bodyDiv w:val="1"/>
      <w:marLeft w:val="0"/>
      <w:marRight w:val="0"/>
      <w:marTop w:val="0"/>
      <w:marBottom w:val="0"/>
      <w:divBdr>
        <w:top w:val="none" w:sz="0" w:space="0" w:color="auto"/>
        <w:left w:val="none" w:sz="0" w:space="0" w:color="auto"/>
        <w:bottom w:val="none" w:sz="0" w:space="0" w:color="auto"/>
        <w:right w:val="none" w:sz="0" w:space="0" w:color="auto"/>
      </w:divBdr>
    </w:div>
    <w:div w:id="1986541298">
      <w:bodyDiv w:val="1"/>
      <w:marLeft w:val="0"/>
      <w:marRight w:val="0"/>
      <w:marTop w:val="0"/>
      <w:marBottom w:val="0"/>
      <w:divBdr>
        <w:top w:val="none" w:sz="0" w:space="0" w:color="auto"/>
        <w:left w:val="none" w:sz="0" w:space="0" w:color="auto"/>
        <w:bottom w:val="none" w:sz="0" w:space="0" w:color="auto"/>
        <w:right w:val="none" w:sz="0" w:space="0" w:color="auto"/>
      </w:divBdr>
    </w:div>
    <w:div w:id="1986885778">
      <w:bodyDiv w:val="1"/>
      <w:marLeft w:val="0"/>
      <w:marRight w:val="0"/>
      <w:marTop w:val="0"/>
      <w:marBottom w:val="0"/>
      <w:divBdr>
        <w:top w:val="none" w:sz="0" w:space="0" w:color="auto"/>
        <w:left w:val="none" w:sz="0" w:space="0" w:color="auto"/>
        <w:bottom w:val="none" w:sz="0" w:space="0" w:color="auto"/>
        <w:right w:val="none" w:sz="0" w:space="0" w:color="auto"/>
      </w:divBdr>
    </w:div>
    <w:div w:id="1988166929">
      <w:bodyDiv w:val="1"/>
      <w:marLeft w:val="0"/>
      <w:marRight w:val="0"/>
      <w:marTop w:val="0"/>
      <w:marBottom w:val="0"/>
      <w:divBdr>
        <w:top w:val="none" w:sz="0" w:space="0" w:color="auto"/>
        <w:left w:val="none" w:sz="0" w:space="0" w:color="auto"/>
        <w:bottom w:val="none" w:sz="0" w:space="0" w:color="auto"/>
        <w:right w:val="none" w:sz="0" w:space="0" w:color="auto"/>
      </w:divBdr>
    </w:div>
    <w:div w:id="1989505626">
      <w:bodyDiv w:val="1"/>
      <w:marLeft w:val="0"/>
      <w:marRight w:val="0"/>
      <w:marTop w:val="0"/>
      <w:marBottom w:val="0"/>
      <w:divBdr>
        <w:top w:val="none" w:sz="0" w:space="0" w:color="auto"/>
        <w:left w:val="none" w:sz="0" w:space="0" w:color="auto"/>
        <w:bottom w:val="none" w:sz="0" w:space="0" w:color="auto"/>
        <w:right w:val="none" w:sz="0" w:space="0" w:color="auto"/>
      </w:divBdr>
    </w:div>
    <w:div w:id="1990136145">
      <w:bodyDiv w:val="1"/>
      <w:marLeft w:val="0"/>
      <w:marRight w:val="0"/>
      <w:marTop w:val="0"/>
      <w:marBottom w:val="0"/>
      <w:divBdr>
        <w:top w:val="none" w:sz="0" w:space="0" w:color="auto"/>
        <w:left w:val="none" w:sz="0" w:space="0" w:color="auto"/>
        <w:bottom w:val="none" w:sz="0" w:space="0" w:color="auto"/>
        <w:right w:val="none" w:sz="0" w:space="0" w:color="auto"/>
      </w:divBdr>
    </w:div>
    <w:div w:id="1991977838">
      <w:bodyDiv w:val="1"/>
      <w:marLeft w:val="0"/>
      <w:marRight w:val="0"/>
      <w:marTop w:val="0"/>
      <w:marBottom w:val="0"/>
      <w:divBdr>
        <w:top w:val="none" w:sz="0" w:space="0" w:color="auto"/>
        <w:left w:val="none" w:sz="0" w:space="0" w:color="auto"/>
        <w:bottom w:val="none" w:sz="0" w:space="0" w:color="auto"/>
        <w:right w:val="none" w:sz="0" w:space="0" w:color="auto"/>
      </w:divBdr>
    </w:div>
    <w:div w:id="1992101377">
      <w:bodyDiv w:val="1"/>
      <w:marLeft w:val="0"/>
      <w:marRight w:val="0"/>
      <w:marTop w:val="0"/>
      <w:marBottom w:val="0"/>
      <w:divBdr>
        <w:top w:val="none" w:sz="0" w:space="0" w:color="auto"/>
        <w:left w:val="none" w:sz="0" w:space="0" w:color="auto"/>
        <w:bottom w:val="none" w:sz="0" w:space="0" w:color="auto"/>
        <w:right w:val="none" w:sz="0" w:space="0" w:color="auto"/>
      </w:divBdr>
    </w:div>
    <w:div w:id="1992369556">
      <w:bodyDiv w:val="1"/>
      <w:marLeft w:val="0"/>
      <w:marRight w:val="0"/>
      <w:marTop w:val="0"/>
      <w:marBottom w:val="0"/>
      <w:divBdr>
        <w:top w:val="none" w:sz="0" w:space="0" w:color="auto"/>
        <w:left w:val="none" w:sz="0" w:space="0" w:color="auto"/>
        <w:bottom w:val="none" w:sz="0" w:space="0" w:color="auto"/>
        <w:right w:val="none" w:sz="0" w:space="0" w:color="auto"/>
      </w:divBdr>
    </w:div>
    <w:div w:id="1992631992">
      <w:bodyDiv w:val="1"/>
      <w:marLeft w:val="0"/>
      <w:marRight w:val="0"/>
      <w:marTop w:val="0"/>
      <w:marBottom w:val="0"/>
      <w:divBdr>
        <w:top w:val="none" w:sz="0" w:space="0" w:color="auto"/>
        <w:left w:val="none" w:sz="0" w:space="0" w:color="auto"/>
        <w:bottom w:val="none" w:sz="0" w:space="0" w:color="auto"/>
        <w:right w:val="none" w:sz="0" w:space="0" w:color="auto"/>
      </w:divBdr>
    </w:div>
    <w:div w:id="1994874174">
      <w:bodyDiv w:val="1"/>
      <w:marLeft w:val="0"/>
      <w:marRight w:val="0"/>
      <w:marTop w:val="0"/>
      <w:marBottom w:val="0"/>
      <w:divBdr>
        <w:top w:val="none" w:sz="0" w:space="0" w:color="auto"/>
        <w:left w:val="none" w:sz="0" w:space="0" w:color="auto"/>
        <w:bottom w:val="none" w:sz="0" w:space="0" w:color="auto"/>
        <w:right w:val="none" w:sz="0" w:space="0" w:color="auto"/>
      </w:divBdr>
    </w:div>
    <w:div w:id="1994983315">
      <w:bodyDiv w:val="1"/>
      <w:marLeft w:val="0"/>
      <w:marRight w:val="0"/>
      <w:marTop w:val="0"/>
      <w:marBottom w:val="0"/>
      <w:divBdr>
        <w:top w:val="none" w:sz="0" w:space="0" w:color="auto"/>
        <w:left w:val="none" w:sz="0" w:space="0" w:color="auto"/>
        <w:bottom w:val="none" w:sz="0" w:space="0" w:color="auto"/>
        <w:right w:val="none" w:sz="0" w:space="0" w:color="auto"/>
      </w:divBdr>
    </w:div>
    <w:div w:id="1996259023">
      <w:bodyDiv w:val="1"/>
      <w:marLeft w:val="0"/>
      <w:marRight w:val="0"/>
      <w:marTop w:val="0"/>
      <w:marBottom w:val="0"/>
      <w:divBdr>
        <w:top w:val="none" w:sz="0" w:space="0" w:color="auto"/>
        <w:left w:val="none" w:sz="0" w:space="0" w:color="auto"/>
        <w:bottom w:val="none" w:sz="0" w:space="0" w:color="auto"/>
        <w:right w:val="none" w:sz="0" w:space="0" w:color="auto"/>
      </w:divBdr>
    </w:div>
    <w:div w:id="1996296051">
      <w:bodyDiv w:val="1"/>
      <w:marLeft w:val="0"/>
      <w:marRight w:val="0"/>
      <w:marTop w:val="0"/>
      <w:marBottom w:val="0"/>
      <w:divBdr>
        <w:top w:val="none" w:sz="0" w:space="0" w:color="auto"/>
        <w:left w:val="none" w:sz="0" w:space="0" w:color="auto"/>
        <w:bottom w:val="none" w:sz="0" w:space="0" w:color="auto"/>
        <w:right w:val="none" w:sz="0" w:space="0" w:color="auto"/>
      </w:divBdr>
    </w:div>
    <w:div w:id="1998026888">
      <w:bodyDiv w:val="1"/>
      <w:marLeft w:val="0"/>
      <w:marRight w:val="0"/>
      <w:marTop w:val="0"/>
      <w:marBottom w:val="0"/>
      <w:divBdr>
        <w:top w:val="none" w:sz="0" w:space="0" w:color="auto"/>
        <w:left w:val="none" w:sz="0" w:space="0" w:color="auto"/>
        <w:bottom w:val="none" w:sz="0" w:space="0" w:color="auto"/>
        <w:right w:val="none" w:sz="0" w:space="0" w:color="auto"/>
      </w:divBdr>
    </w:div>
    <w:div w:id="1998149321">
      <w:bodyDiv w:val="1"/>
      <w:marLeft w:val="0"/>
      <w:marRight w:val="0"/>
      <w:marTop w:val="0"/>
      <w:marBottom w:val="0"/>
      <w:divBdr>
        <w:top w:val="none" w:sz="0" w:space="0" w:color="auto"/>
        <w:left w:val="none" w:sz="0" w:space="0" w:color="auto"/>
        <w:bottom w:val="none" w:sz="0" w:space="0" w:color="auto"/>
        <w:right w:val="none" w:sz="0" w:space="0" w:color="auto"/>
      </w:divBdr>
    </w:div>
    <w:div w:id="1998915396">
      <w:bodyDiv w:val="1"/>
      <w:marLeft w:val="0"/>
      <w:marRight w:val="0"/>
      <w:marTop w:val="0"/>
      <w:marBottom w:val="0"/>
      <w:divBdr>
        <w:top w:val="none" w:sz="0" w:space="0" w:color="auto"/>
        <w:left w:val="none" w:sz="0" w:space="0" w:color="auto"/>
        <w:bottom w:val="none" w:sz="0" w:space="0" w:color="auto"/>
        <w:right w:val="none" w:sz="0" w:space="0" w:color="auto"/>
      </w:divBdr>
    </w:div>
    <w:div w:id="1999186118">
      <w:bodyDiv w:val="1"/>
      <w:marLeft w:val="0"/>
      <w:marRight w:val="0"/>
      <w:marTop w:val="0"/>
      <w:marBottom w:val="0"/>
      <w:divBdr>
        <w:top w:val="none" w:sz="0" w:space="0" w:color="auto"/>
        <w:left w:val="none" w:sz="0" w:space="0" w:color="auto"/>
        <w:bottom w:val="none" w:sz="0" w:space="0" w:color="auto"/>
        <w:right w:val="none" w:sz="0" w:space="0" w:color="auto"/>
      </w:divBdr>
    </w:div>
    <w:div w:id="2000886788">
      <w:bodyDiv w:val="1"/>
      <w:marLeft w:val="0"/>
      <w:marRight w:val="0"/>
      <w:marTop w:val="0"/>
      <w:marBottom w:val="0"/>
      <w:divBdr>
        <w:top w:val="none" w:sz="0" w:space="0" w:color="auto"/>
        <w:left w:val="none" w:sz="0" w:space="0" w:color="auto"/>
        <w:bottom w:val="none" w:sz="0" w:space="0" w:color="auto"/>
        <w:right w:val="none" w:sz="0" w:space="0" w:color="auto"/>
      </w:divBdr>
    </w:div>
    <w:div w:id="2001613129">
      <w:bodyDiv w:val="1"/>
      <w:marLeft w:val="0"/>
      <w:marRight w:val="0"/>
      <w:marTop w:val="0"/>
      <w:marBottom w:val="0"/>
      <w:divBdr>
        <w:top w:val="none" w:sz="0" w:space="0" w:color="auto"/>
        <w:left w:val="none" w:sz="0" w:space="0" w:color="auto"/>
        <w:bottom w:val="none" w:sz="0" w:space="0" w:color="auto"/>
        <w:right w:val="none" w:sz="0" w:space="0" w:color="auto"/>
      </w:divBdr>
    </w:div>
    <w:div w:id="2001618510">
      <w:bodyDiv w:val="1"/>
      <w:marLeft w:val="0"/>
      <w:marRight w:val="0"/>
      <w:marTop w:val="0"/>
      <w:marBottom w:val="0"/>
      <w:divBdr>
        <w:top w:val="none" w:sz="0" w:space="0" w:color="auto"/>
        <w:left w:val="none" w:sz="0" w:space="0" w:color="auto"/>
        <w:bottom w:val="none" w:sz="0" w:space="0" w:color="auto"/>
        <w:right w:val="none" w:sz="0" w:space="0" w:color="auto"/>
      </w:divBdr>
    </w:div>
    <w:div w:id="2002199148">
      <w:bodyDiv w:val="1"/>
      <w:marLeft w:val="0"/>
      <w:marRight w:val="0"/>
      <w:marTop w:val="0"/>
      <w:marBottom w:val="0"/>
      <w:divBdr>
        <w:top w:val="none" w:sz="0" w:space="0" w:color="auto"/>
        <w:left w:val="none" w:sz="0" w:space="0" w:color="auto"/>
        <w:bottom w:val="none" w:sz="0" w:space="0" w:color="auto"/>
        <w:right w:val="none" w:sz="0" w:space="0" w:color="auto"/>
      </w:divBdr>
    </w:div>
    <w:div w:id="2005356397">
      <w:bodyDiv w:val="1"/>
      <w:marLeft w:val="0"/>
      <w:marRight w:val="0"/>
      <w:marTop w:val="0"/>
      <w:marBottom w:val="0"/>
      <w:divBdr>
        <w:top w:val="none" w:sz="0" w:space="0" w:color="auto"/>
        <w:left w:val="none" w:sz="0" w:space="0" w:color="auto"/>
        <w:bottom w:val="none" w:sz="0" w:space="0" w:color="auto"/>
        <w:right w:val="none" w:sz="0" w:space="0" w:color="auto"/>
      </w:divBdr>
    </w:div>
    <w:div w:id="2007515711">
      <w:bodyDiv w:val="1"/>
      <w:marLeft w:val="0"/>
      <w:marRight w:val="0"/>
      <w:marTop w:val="0"/>
      <w:marBottom w:val="0"/>
      <w:divBdr>
        <w:top w:val="none" w:sz="0" w:space="0" w:color="auto"/>
        <w:left w:val="none" w:sz="0" w:space="0" w:color="auto"/>
        <w:bottom w:val="none" w:sz="0" w:space="0" w:color="auto"/>
        <w:right w:val="none" w:sz="0" w:space="0" w:color="auto"/>
      </w:divBdr>
    </w:div>
    <w:div w:id="2009015740">
      <w:bodyDiv w:val="1"/>
      <w:marLeft w:val="0"/>
      <w:marRight w:val="0"/>
      <w:marTop w:val="0"/>
      <w:marBottom w:val="0"/>
      <w:divBdr>
        <w:top w:val="none" w:sz="0" w:space="0" w:color="auto"/>
        <w:left w:val="none" w:sz="0" w:space="0" w:color="auto"/>
        <w:bottom w:val="none" w:sz="0" w:space="0" w:color="auto"/>
        <w:right w:val="none" w:sz="0" w:space="0" w:color="auto"/>
      </w:divBdr>
    </w:div>
    <w:div w:id="2010015653">
      <w:bodyDiv w:val="1"/>
      <w:marLeft w:val="0"/>
      <w:marRight w:val="0"/>
      <w:marTop w:val="0"/>
      <w:marBottom w:val="0"/>
      <w:divBdr>
        <w:top w:val="none" w:sz="0" w:space="0" w:color="auto"/>
        <w:left w:val="none" w:sz="0" w:space="0" w:color="auto"/>
        <w:bottom w:val="none" w:sz="0" w:space="0" w:color="auto"/>
        <w:right w:val="none" w:sz="0" w:space="0" w:color="auto"/>
      </w:divBdr>
    </w:div>
    <w:div w:id="2010668228">
      <w:bodyDiv w:val="1"/>
      <w:marLeft w:val="0"/>
      <w:marRight w:val="0"/>
      <w:marTop w:val="0"/>
      <w:marBottom w:val="0"/>
      <w:divBdr>
        <w:top w:val="none" w:sz="0" w:space="0" w:color="auto"/>
        <w:left w:val="none" w:sz="0" w:space="0" w:color="auto"/>
        <w:bottom w:val="none" w:sz="0" w:space="0" w:color="auto"/>
        <w:right w:val="none" w:sz="0" w:space="0" w:color="auto"/>
      </w:divBdr>
    </w:div>
    <w:div w:id="2011977767">
      <w:bodyDiv w:val="1"/>
      <w:marLeft w:val="0"/>
      <w:marRight w:val="0"/>
      <w:marTop w:val="0"/>
      <w:marBottom w:val="0"/>
      <w:divBdr>
        <w:top w:val="none" w:sz="0" w:space="0" w:color="auto"/>
        <w:left w:val="none" w:sz="0" w:space="0" w:color="auto"/>
        <w:bottom w:val="none" w:sz="0" w:space="0" w:color="auto"/>
        <w:right w:val="none" w:sz="0" w:space="0" w:color="auto"/>
      </w:divBdr>
    </w:div>
    <w:div w:id="2012029796">
      <w:bodyDiv w:val="1"/>
      <w:marLeft w:val="0"/>
      <w:marRight w:val="0"/>
      <w:marTop w:val="0"/>
      <w:marBottom w:val="0"/>
      <w:divBdr>
        <w:top w:val="none" w:sz="0" w:space="0" w:color="auto"/>
        <w:left w:val="none" w:sz="0" w:space="0" w:color="auto"/>
        <w:bottom w:val="none" w:sz="0" w:space="0" w:color="auto"/>
        <w:right w:val="none" w:sz="0" w:space="0" w:color="auto"/>
      </w:divBdr>
    </w:div>
    <w:div w:id="2014409577">
      <w:bodyDiv w:val="1"/>
      <w:marLeft w:val="0"/>
      <w:marRight w:val="0"/>
      <w:marTop w:val="0"/>
      <w:marBottom w:val="0"/>
      <w:divBdr>
        <w:top w:val="none" w:sz="0" w:space="0" w:color="auto"/>
        <w:left w:val="none" w:sz="0" w:space="0" w:color="auto"/>
        <w:bottom w:val="none" w:sz="0" w:space="0" w:color="auto"/>
        <w:right w:val="none" w:sz="0" w:space="0" w:color="auto"/>
      </w:divBdr>
    </w:div>
    <w:div w:id="2015915999">
      <w:bodyDiv w:val="1"/>
      <w:marLeft w:val="0"/>
      <w:marRight w:val="0"/>
      <w:marTop w:val="0"/>
      <w:marBottom w:val="0"/>
      <w:divBdr>
        <w:top w:val="none" w:sz="0" w:space="0" w:color="auto"/>
        <w:left w:val="none" w:sz="0" w:space="0" w:color="auto"/>
        <w:bottom w:val="none" w:sz="0" w:space="0" w:color="auto"/>
        <w:right w:val="none" w:sz="0" w:space="0" w:color="auto"/>
      </w:divBdr>
    </w:div>
    <w:div w:id="2018657758">
      <w:bodyDiv w:val="1"/>
      <w:marLeft w:val="0"/>
      <w:marRight w:val="0"/>
      <w:marTop w:val="0"/>
      <w:marBottom w:val="0"/>
      <w:divBdr>
        <w:top w:val="none" w:sz="0" w:space="0" w:color="auto"/>
        <w:left w:val="none" w:sz="0" w:space="0" w:color="auto"/>
        <w:bottom w:val="none" w:sz="0" w:space="0" w:color="auto"/>
        <w:right w:val="none" w:sz="0" w:space="0" w:color="auto"/>
      </w:divBdr>
    </w:div>
    <w:div w:id="2020229007">
      <w:bodyDiv w:val="1"/>
      <w:marLeft w:val="0"/>
      <w:marRight w:val="0"/>
      <w:marTop w:val="0"/>
      <w:marBottom w:val="0"/>
      <w:divBdr>
        <w:top w:val="none" w:sz="0" w:space="0" w:color="auto"/>
        <w:left w:val="none" w:sz="0" w:space="0" w:color="auto"/>
        <w:bottom w:val="none" w:sz="0" w:space="0" w:color="auto"/>
        <w:right w:val="none" w:sz="0" w:space="0" w:color="auto"/>
      </w:divBdr>
    </w:div>
    <w:div w:id="2021930322">
      <w:bodyDiv w:val="1"/>
      <w:marLeft w:val="0"/>
      <w:marRight w:val="0"/>
      <w:marTop w:val="0"/>
      <w:marBottom w:val="0"/>
      <w:divBdr>
        <w:top w:val="none" w:sz="0" w:space="0" w:color="auto"/>
        <w:left w:val="none" w:sz="0" w:space="0" w:color="auto"/>
        <w:bottom w:val="none" w:sz="0" w:space="0" w:color="auto"/>
        <w:right w:val="none" w:sz="0" w:space="0" w:color="auto"/>
      </w:divBdr>
    </w:div>
    <w:div w:id="2022005995">
      <w:bodyDiv w:val="1"/>
      <w:marLeft w:val="0"/>
      <w:marRight w:val="0"/>
      <w:marTop w:val="0"/>
      <w:marBottom w:val="0"/>
      <w:divBdr>
        <w:top w:val="none" w:sz="0" w:space="0" w:color="auto"/>
        <w:left w:val="none" w:sz="0" w:space="0" w:color="auto"/>
        <w:bottom w:val="none" w:sz="0" w:space="0" w:color="auto"/>
        <w:right w:val="none" w:sz="0" w:space="0" w:color="auto"/>
      </w:divBdr>
    </w:div>
    <w:div w:id="2024087785">
      <w:bodyDiv w:val="1"/>
      <w:marLeft w:val="0"/>
      <w:marRight w:val="0"/>
      <w:marTop w:val="0"/>
      <w:marBottom w:val="0"/>
      <w:divBdr>
        <w:top w:val="none" w:sz="0" w:space="0" w:color="auto"/>
        <w:left w:val="none" w:sz="0" w:space="0" w:color="auto"/>
        <w:bottom w:val="none" w:sz="0" w:space="0" w:color="auto"/>
        <w:right w:val="none" w:sz="0" w:space="0" w:color="auto"/>
      </w:divBdr>
    </w:div>
    <w:div w:id="2026132811">
      <w:bodyDiv w:val="1"/>
      <w:marLeft w:val="0"/>
      <w:marRight w:val="0"/>
      <w:marTop w:val="0"/>
      <w:marBottom w:val="0"/>
      <w:divBdr>
        <w:top w:val="none" w:sz="0" w:space="0" w:color="auto"/>
        <w:left w:val="none" w:sz="0" w:space="0" w:color="auto"/>
        <w:bottom w:val="none" w:sz="0" w:space="0" w:color="auto"/>
        <w:right w:val="none" w:sz="0" w:space="0" w:color="auto"/>
      </w:divBdr>
    </w:div>
    <w:div w:id="2029595666">
      <w:bodyDiv w:val="1"/>
      <w:marLeft w:val="0"/>
      <w:marRight w:val="0"/>
      <w:marTop w:val="0"/>
      <w:marBottom w:val="0"/>
      <w:divBdr>
        <w:top w:val="none" w:sz="0" w:space="0" w:color="auto"/>
        <w:left w:val="none" w:sz="0" w:space="0" w:color="auto"/>
        <w:bottom w:val="none" w:sz="0" w:space="0" w:color="auto"/>
        <w:right w:val="none" w:sz="0" w:space="0" w:color="auto"/>
      </w:divBdr>
    </w:div>
    <w:div w:id="2029938784">
      <w:bodyDiv w:val="1"/>
      <w:marLeft w:val="0"/>
      <w:marRight w:val="0"/>
      <w:marTop w:val="0"/>
      <w:marBottom w:val="0"/>
      <w:divBdr>
        <w:top w:val="none" w:sz="0" w:space="0" w:color="auto"/>
        <w:left w:val="none" w:sz="0" w:space="0" w:color="auto"/>
        <w:bottom w:val="none" w:sz="0" w:space="0" w:color="auto"/>
        <w:right w:val="none" w:sz="0" w:space="0" w:color="auto"/>
      </w:divBdr>
    </w:div>
    <w:div w:id="2030834193">
      <w:bodyDiv w:val="1"/>
      <w:marLeft w:val="0"/>
      <w:marRight w:val="0"/>
      <w:marTop w:val="0"/>
      <w:marBottom w:val="0"/>
      <w:divBdr>
        <w:top w:val="none" w:sz="0" w:space="0" w:color="auto"/>
        <w:left w:val="none" w:sz="0" w:space="0" w:color="auto"/>
        <w:bottom w:val="none" w:sz="0" w:space="0" w:color="auto"/>
        <w:right w:val="none" w:sz="0" w:space="0" w:color="auto"/>
      </w:divBdr>
    </w:div>
    <w:div w:id="2031643928">
      <w:bodyDiv w:val="1"/>
      <w:marLeft w:val="0"/>
      <w:marRight w:val="0"/>
      <w:marTop w:val="0"/>
      <w:marBottom w:val="0"/>
      <w:divBdr>
        <w:top w:val="none" w:sz="0" w:space="0" w:color="auto"/>
        <w:left w:val="none" w:sz="0" w:space="0" w:color="auto"/>
        <w:bottom w:val="none" w:sz="0" w:space="0" w:color="auto"/>
        <w:right w:val="none" w:sz="0" w:space="0" w:color="auto"/>
      </w:divBdr>
    </w:div>
    <w:div w:id="2032418202">
      <w:bodyDiv w:val="1"/>
      <w:marLeft w:val="0"/>
      <w:marRight w:val="0"/>
      <w:marTop w:val="0"/>
      <w:marBottom w:val="0"/>
      <w:divBdr>
        <w:top w:val="none" w:sz="0" w:space="0" w:color="auto"/>
        <w:left w:val="none" w:sz="0" w:space="0" w:color="auto"/>
        <w:bottom w:val="none" w:sz="0" w:space="0" w:color="auto"/>
        <w:right w:val="none" w:sz="0" w:space="0" w:color="auto"/>
      </w:divBdr>
    </w:div>
    <w:div w:id="2040158741">
      <w:bodyDiv w:val="1"/>
      <w:marLeft w:val="0"/>
      <w:marRight w:val="0"/>
      <w:marTop w:val="0"/>
      <w:marBottom w:val="0"/>
      <w:divBdr>
        <w:top w:val="none" w:sz="0" w:space="0" w:color="auto"/>
        <w:left w:val="none" w:sz="0" w:space="0" w:color="auto"/>
        <w:bottom w:val="none" w:sz="0" w:space="0" w:color="auto"/>
        <w:right w:val="none" w:sz="0" w:space="0" w:color="auto"/>
      </w:divBdr>
    </w:div>
    <w:div w:id="2040617835">
      <w:bodyDiv w:val="1"/>
      <w:marLeft w:val="0"/>
      <w:marRight w:val="0"/>
      <w:marTop w:val="0"/>
      <w:marBottom w:val="0"/>
      <w:divBdr>
        <w:top w:val="none" w:sz="0" w:space="0" w:color="auto"/>
        <w:left w:val="none" w:sz="0" w:space="0" w:color="auto"/>
        <w:bottom w:val="none" w:sz="0" w:space="0" w:color="auto"/>
        <w:right w:val="none" w:sz="0" w:space="0" w:color="auto"/>
      </w:divBdr>
    </w:div>
    <w:div w:id="2041394317">
      <w:bodyDiv w:val="1"/>
      <w:marLeft w:val="0"/>
      <w:marRight w:val="0"/>
      <w:marTop w:val="0"/>
      <w:marBottom w:val="0"/>
      <w:divBdr>
        <w:top w:val="none" w:sz="0" w:space="0" w:color="auto"/>
        <w:left w:val="none" w:sz="0" w:space="0" w:color="auto"/>
        <w:bottom w:val="none" w:sz="0" w:space="0" w:color="auto"/>
        <w:right w:val="none" w:sz="0" w:space="0" w:color="auto"/>
      </w:divBdr>
    </w:div>
    <w:div w:id="2042437958">
      <w:bodyDiv w:val="1"/>
      <w:marLeft w:val="0"/>
      <w:marRight w:val="0"/>
      <w:marTop w:val="0"/>
      <w:marBottom w:val="0"/>
      <w:divBdr>
        <w:top w:val="none" w:sz="0" w:space="0" w:color="auto"/>
        <w:left w:val="none" w:sz="0" w:space="0" w:color="auto"/>
        <w:bottom w:val="none" w:sz="0" w:space="0" w:color="auto"/>
        <w:right w:val="none" w:sz="0" w:space="0" w:color="auto"/>
      </w:divBdr>
    </w:div>
    <w:div w:id="2043165875">
      <w:bodyDiv w:val="1"/>
      <w:marLeft w:val="0"/>
      <w:marRight w:val="0"/>
      <w:marTop w:val="0"/>
      <w:marBottom w:val="0"/>
      <w:divBdr>
        <w:top w:val="none" w:sz="0" w:space="0" w:color="auto"/>
        <w:left w:val="none" w:sz="0" w:space="0" w:color="auto"/>
        <w:bottom w:val="none" w:sz="0" w:space="0" w:color="auto"/>
        <w:right w:val="none" w:sz="0" w:space="0" w:color="auto"/>
      </w:divBdr>
    </w:div>
    <w:div w:id="2043166359">
      <w:bodyDiv w:val="1"/>
      <w:marLeft w:val="0"/>
      <w:marRight w:val="0"/>
      <w:marTop w:val="0"/>
      <w:marBottom w:val="0"/>
      <w:divBdr>
        <w:top w:val="none" w:sz="0" w:space="0" w:color="auto"/>
        <w:left w:val="none" w:sz="0" w:space="0" w:color="auto"/>
        <w:bottom w:val="none" w:sz="0" w:space="0" w:color="auto"/>
        <w:right w:val="none" w:sz="0" w:space="0" w:color="auto"/>
      </w:divBdr>
    </w:div>
    <w:div w:id="2046174031">
      <w:bodyDiv w:val="1"/>
      <w:marLeft w:val="0"/>
      <w:marRight w:val="0"/>
      <w:marTop w:val="0"/>
      <w:marBottom w:val="0"/>
      <w:divBdr>
        <w:top w:val="none" w:sz="0" w:space="0" w:color="auto"/>
        <w:left w:val="none" w:sz="0" w:space="0" w:color="auto"/>
        <w:bottom w:val="none" w:sz="0" w:space="0" w:color="auto"/>
        <w:right w:val="none" w:sz="0" w:space="0" w:color="auto"/>
      </w:divBdr>
    </w:div>
    <w:div w:id="2047363234">
      <w:bodyDiv w:val="1"/>
      <w:marLeft w:val="0"/>
      <w:marRight w:val="0"/>
      <w:marTop w:val="0"/>
      <w:marBottom w:val="0"/>
      <w:divBdr>
        <w:top w:val="none" w:sz="0" w:space="0" w:color="auto"/>
        <w:left w:val="none" w:sz="0" w:space="0" w:color="auto"/>
        <w:bottom w:val="none" w:sz="0" w:space="0" w:color="auto"/>
        <w:right w:val="none" w:sz="0" w:space="0" w:color="auto"/>
      </w:divBdr>
    </w:div>
    <w:div w:id="2049136572">
      <w:bodyDiv w:val="1"/>
      <w:marLeft w:val="0"/>
      <w:marRight w:val="0"/>
      <w:marTop w:val="0"/>
      <w:marBottom w:val="0"/>
      <w:divBdr>
        <w:top w:val="none" w:sz="0" w:space="0" w:color="auto"/>
        <w:left w:val="none" w:sz="0" w:space="0" w:color="auto"/>
        <w:bottom w:val="none" w:sz="0" w:space="0" w:color="auto"/>
        <w:right w:val="none" w:sz="0" w:space="0" w:color="auto"/>
      </w:divBdr>
    </w:div>
    <w:div w:id="2052458796">
      <w:bodyDiv w:val="1"/>
      <w:marLeft w:val="0"/>
      <w:marRight w:val="0"/>
      <w:marTop w:val="0"/>
      <w:marBottom w:val="0"/>
      <w:divBdr>
        <w:top w:val="none" w:sz="0" w:space="0" w:color="auto"/>
        <w:left w:val="none" w:sz="0" w:space="0" w:color="auto"/>
        <w:bottom w:val="none" w:sz="0" w:space="0" w:color="auto"/>
        <w:right w:val="none" w:sz="0" w:space="0" w:color="auto"/>
      </w:divBdr>
    </w:div>
    <w:div w:id="2055153037">
      <w:bodyDiv w:val="1"/>
      <w:marLeft w:val="0"/>
      <w:marRight w:val="0"/>
      <w:marTop w:val="0"/>
      <w:marBottom w:val="0"/>
      <w:divBdr>
        <w:top w:val="none" w:sz="0" w:space="0" w:color="auto"/>
        <w:left w:val="none" w:sz="0" w:space="0" w:color="auto"/>
        <w:bottom w:val="none" w:sz="0" w:space="0" w:color="auto"/>
        <w:right w:val="none" w:sz="0" w:space="0" w:color="auto"/>
      </w:divBdr>
    </w:div>
    <w:div w:id="2055735003">
      <w:bodyDiv w:val="1"/>
      <w:marLeft w:val="0"/>
      <w:marRight w:val="0"/>
      <w:marTop w:val="0"/>
      <w:marBottom w:val="0"/>
      <w:divBdr>
        <w:top w:val="none" w:sz="0" w:space="0" w:color="auto"/>
        <w:left w:val="none" w:sz="0" w:space="0" w:color="auto"/>
        <w:bottom w:val="none" w:sz="0" w:space="0" w:color="auto"/>
        <w:right w:val="none" w:sz="0" w:space="0" w:color="auto"/>
      </w:divBdr>
    </w:div>
    <w:div w:id="2055959646">
      <w:bodyDiv w:val="1"/>
      <w:marLeft w:val="0"/>
      <w:marRight w:val="0"/>
      <w:marTop w:val="0"/>
      <w:marBottom w:val="0"/>
      <w:divBdr>
        <w:top w:val="none" w:sz="0" w:space="0" w:color="auto"/>
        <w:left w:val="none" w:sz="0" w:space="0" w:color="auto"/>
        <w:bottom w:val="none" w:sz="0" w:space="0" w:color="auto"/>
        <w:right w:val="none" w:sz="0" w:space="0" w:color="auto"/>
      </w:divBdr>
    </w:div>
    <w:div w:id="2057856083">
      <w:bodyDiv w:val="1"/>
      <w:marLeft w:val="0"/>
      <w:marRight w:val="0"/>
      <w:marTop w:val="0"/>
      <w:marBottom w:val="0"/>
      <w:divBdr>
        <w:top w:val="none" w:sz="0" w:space="0" w:color="auto"/>
        <w:left w:val="none" w:sz="0" w:space="0" w:color="auto"/>
        <w:bottom w:val="none" w:sz="0" w:space="0" w:color="auto"/>
        <w:right w:val="none" w:sz="0" w:space="0" w:color="auto"/>
      </w:divBdr>
    </w:div>
    <w:div w:id="2058434418">
      <w:bodyDiv w:val="1"/>
      <w:marLeft w:val="0"/>
      <w:marRight w:val="0"/>
      <w:marTop w:val="0"/>
      <w:marBottom w:val="0"/>
      <w:divBdr>
        <w:top w:val="none" w:sz="0" w:space="0" w:color="auto"/>
        <w:left w:val="none" w:sz="0" w:space="0" w:color="auto"/>
        <w:bottom w:val="none" w:sz="0" w:space="0" w:color="auto"/>
        <w:right w:val="none" w:sz="0" w:space="0" w:color="auto"/>
      </w:divBdr>
    </w:div>
    <w:div w:id="2058510270">
      <w:bodyDiv w:val="1"/>
      <w:marLeft w:val="0"/>
      <w:marRight w:val="0"/>
      <w:marTop w:val="0"/>
      <w:marBottom w:val="0"/>
      <w:divBdr>
        <w:top w:val="none" w:sz="0" w:space="0" w:color="auto"/>
        <w:left w:val="none" w:sz="0" w:space="0" w:color="auto"/>
        <w:bottom w:val="none" w:sz="0" w:space="0" w:color="auto"/>
        <w:right w:val="none" w:sz="0" w:space="0" w:color="auto"/>
      </w:divBdr>
    </w:div>
    <w:div w:id="2058972556">
      <w:bodyDiv w:val="1"/>
      <w:marLeft w:val="0"/>
      <w:marRight w:val="0"/>
      <w:marTop w:val="0"/>
      <w:marBottom w:val="0"/>
      <w:divBdr>
        <w:top w:val="none" w:sz="0" w:space="0" w:color="auto"/>
        <w:left w:val="none" w:sz="0" w:space="0" w:color="auto"/>
        <w:bottom w:val="none" w:sz="0" w:space="0" w:color="auto"/>
        <w:right w:val="none" w:sz="0" w:space="0" w:color="auto"/>
      </w:divBdr>
    </w:div>
    <w:div w:id="2060857555">
      <w:bodyDiv w:val="1"/>
      <w:marLeft w:val="0"/>
      <w:marRight w:val="0"/>
      <w:marTop w:val="0"/>
      <w:marBottom w:val="0"/>
      <w:divBdr>
        <w:top w:val="none" w:sz="0" w:space="0" w:color="auto"/>
        <w:left w:val="none" w:sz="0" w:space="0" w:color="auto"/>
        <w:bottom w:val="none" w:sz="0" w:space="0" w:color="auto"/>
        <w:right w:val="none" w:sz="0" w:space="0" w:color="auto"/>
      </w:divBdr>
    </w:div>
    <w:div w:id="2060930924">
      <w:bodyDiv w:val="1"/>
      <w:marLeft w:val="0"/>
      <w:marRight w:val="0"/>
      <w:marTop w:val="0"/>
      <w:marBottom w:val="0"/>
      <w:divBdr>
        <w:top w:val="none" w:sz="0" w:space="0" w:color="auto"/>
        <w:left w:val="none" w:sz="0" w:space="0" w:color="auto"/>
        <w:bottom w:val="none" w:sz="0" w:space="0" w:color="auto"/>
        <w:right w:val="none" w:sz="0" w:space="0" w:color="auto"/>
      </w:divBdr>
    </w:div>
    <w:div w:id="2061398461">
      <w:bodyDiv w:val="1"/>
      <w:marLeft w:val="0"/>
      <w:marRight w:val="0"/>
      <w:marTop w:val="0"/>
      <w:marBottom w:val="0"/>
      <w:divBdr>
        <w:top w:val="none" w:sz="0" w:space="0" w:color="auto"/>
        <w:left w:val="none" w:sz="0" w:space="0" w:color="auto"/>
        <w:bottom w:val="none" w:sz="0" w:space="0" w:color="auto"/>
        <w:right w:val="none" w:sz="0" w:space="0" w:color="auto"/>
      </w:divBdr>
      <w:divsChild>
        <w:div w:id="439489372">
          <w:marLeft w:val="0"/>
          <w:marRight w:val="0"/>
          <w:marTop w:val="0"/>
          <w:marBottom w:val="0"/>
          <w:divBdr>
            <w:top w:val="none" w:sz="0" w:space="0" w:color="auto"/>
            <w:left w:val="none" w:sz="0" w:space="0" w:color="auto"/>
            <w:bottom w:val="none" w:sz="0" w:space="0" w:color="auto"/>
            <w:right w:val="none" w:sz="0" w:space="0" w:color="auto"/>
          </w:divBdr>
        </w:div>
        <w:div w:id="1134324563">
          <w:marLeft w:val="0"/>
          <w:marRight w:val="0"/>
          <w:marTop w:val="0"/>
          <w:marBottom w:val="0"/>
          <w:divBdr>
            <w:top w:val="none" w:sz="0" w:space="0" w:color="auto"/>
            <w:left w:val="none" w:sz="0" w:space="0" w:color="auto"/>
            <w:bottom w:val="none" w:sz="0" w:space="0" w:color="auto"/>
            <w:right w:val="none" w:sz="0" w:space="0" w:color="auto"/>
          </w:divBdr>
        </w:div>
        <w:div w:id="1551109632">
          <w:marLeft w:val="0"/>
          <w:marRight w:val="0"/>
          <w:marTop w:val="0"/>
          <w:marBottom w:val="0"/>
          <w:divBdr>
            <w:top w:val="none" w:sz="0" w:space="0" w:color="auto"/>
            <w:left w:val="none" w:sz="0" w:space="0" w:color="auto"/>
            <w:bottom w:val="none" w:sz="0" w:space="0" w:color="auto"/>
            <w:right w:val="none" w:sz="0" w:space="0" w:color="auto"/>
          </w:divBdr>
        </w:div>
      </w:divsChild>
    </w:div>
    <w:div w:id="2061441688">
      <w:bodyDiv w:val="1"/>
      <w:marLeft w:val="0"/>
      <w:marRight w:val="0"/>
      <w:marTop w:val="0"/>
      <w:marBottom w:val="0"/>
      <w:divBdr>
        <w:top w:val="none" w:sz="0" w:space="0" w:color="auto"/>
        <w:left w:val="none" w:sz="0" w:space="0" w:color="auto"/>
        <w:bottom w:val="none" w:sz="0" w:space="0" w:color="auto"/>
        <w:right w:val="none" w:sz="0" w:space="0" w:color="auto"/>
      </w:divBdr>
    </w:div>
    <w:div w:id="2061661572">
      <w:bodyDiv w:val="1"/>
      <w:marLeft w:val="0"/>
      <w:marRight w:val="0"/>
      <w:marTop w:val="0"/>
      <w:marBottom w:val="0"/>
      <w:divBdr>
        <w:top w:val="none" w:sz="0" w:space="0" w:color="auto"/>
        <w:left w:val="none" w:sz="0" w:space="0" w:color="auto"/>
        <w:bottom w:val="none" w:sz="0" w:space="0" w:color="auto"/>
        <w:right w:val="none" w:sz="0" w:space="0" w:color="auto"/>
      </w:divBdr>
    </w:div>
    <w:div w:id="2062247794">
      <w:bodyDiv w:val="1"/>
      <w:marLeft w:val="0"/>
      <w:marRight w:val="0"/>
      <w:marTop w:val="0"/>
      <w:marBottom w:val="0"/>
      <w:divBdr>
        <w:top w:val="none" w:sz="0" w:space="0" w:color="auto"/>
        <w:left w:val="none" w:sz="0" w:space="0" w:color="auto"/>
        <w:bottom w:val="none" w:sz="0" w:space="0" w:color="auto"/>
        <w:right w:val="none" w:sz="0" w:space="0" w:color="auto"/>
      </w:divBdr>
    </w:div>
    <w:div w:id="2062560442">
      <w:bodyDiv w:val="1"/>
      <w:marLeft w:val="0"/>
      <w:marRight w:val="0"/>
      <w:marTop w:val="0"/>
      <w:marBottom w:val="0"/>
      <w:divBdr>
        <w:top w:val="none" w:sz="0" w:space="0" w:color="auto"/>
        <w:left w:val="none" w:sz="0" w:space="0" w:color="auto"/>
        <w:bottom w:val="none" w:sz="0" w:space="0" w:color="auto"/>
        <w:right w:val="none" w:sz="0" w:space="0" w:color="auto"/>
      </w:divBdr>
    </w:div>
    <w:div w:id="2064598735">
      <w:bodyDiv w:val="1"/>
      <w:marLeft w:val="0"/>
      <w:marRight w:val="0"/>
      <w:marTop w:val="0"/>
      <w:marBottom w:val="0"/>
      <w:divBdr>
        <w:top w:val="none" w:sz="0" w:space="0" w:color="auto"/>
        <w:left w:val="none" w:sz="0" w:space="0" w:color="auto"/>
        <w:bottom w:val="none" w:sz="0" w:space="0" w:color="auto"/>
        <w:right w:val="none" w:sz="0" w:space="0" w:color="auto"/>
      </w:divBdr>
    </w:div>
    <w:div w:id="2066180889">
      <w:bodyDiv w:val="1"/>
      <w:marLeft w:val="0"/>
      <w:marRight w:val="0"/>
      <w:marTop w:val="0"/>
      <w:marBottom w:val="0"/>
      <w:divBdr>
        <w:top w:val="none" w:sz="0" w:space="0" w:color="auto"/>
        <w:left w:val="none" w:sz="0" w:space="0" w:color="auto"/>
        <w:bottom w:val="none" w:sz="0" w:space="0" w:color="auto"/>
        <w:right w:val="none" w:sz="0" w:space="0" w:color="auto"/>
      </w:divBdr>
    </w:div>
    <w:div w:id="2066952106">
      <w:bodyDiv w:val="1"/>
      <w:marLeft w:val="0"/>
      <w:marRight w:val="0"/>
      <w:marTop w:val="0"/>
      <w:marBottom w:val="0"/>
      <w:divBdr>
        <w:top w:val="none" w:sz="0" w:space="0" w:color="auto"/>
        <w:left w:val="none" w:sz="0" w:space="0" w:color="auto"/>
        <w:bottom w:val="none" w:sz="0" w:space="0" w:color="auto"/>
        <w:right w:val="none" w:sz="0" w:space="0" w:color="auto"/>
      </w:divBdr>
    </w:div>
    <w:div w:id="2067685112">
      <w:bodyDiv w:val="1"/>
      <w:marLeft w:val="0"/>
      <w:marRight w:val="0"/>
      <w:marTop w:val="0"/>
      <w:marBottom w:val="0"/>
      <w:divBdr>
        <w:top w:val="none" w:sz="0" w:space="0" w:color="auto"/>
        <w:left w:val="none" w:sz="0" w:space="0" w:color="auto"/>
        <w:bottom w:val="none" w:sz="0" w:space="0" w:color="auto"/>
        <w:right w:val="none" w:sz="0" w:space="0" w:color="auto"/>
      </w:divBdr>
    </w:div>
    <w:div w:id="2068458331">
      <w:bodyDiv w:val="1"/>
      <w:marLeft w:val="0"/>
      <w:marRight w:val="0"/>
      <w:marTop w:val="0"/>
      <w:marBottom w:val="0"/>
      <w:divBdr>
        <w:top w:val="none" w:sz="0" w:space="0" w:color="auto"/>
        <w:left w:val="none" w:sz="0" w:space="0" w:color="auto"/>
        <w:bottom w:val="none" w:sz="0" w:space="0" w:color="auto"/>
        <w:right w:val="none" w:sz="0" w:space="0" w:color="auto"/>
      </w:divBdr>
    </w:div>
    <w:div w:id="2069105814">
      <w:bodyDiv w:val="1"/>
      <w:marLeft w:val="0"/>
      <w:marRight w:val="0"/>
      <w:marTop w:val="0"/>
      <w:marBottom w:val="0"/>
      <w:divBdr>
        <w:top w:val="none" w:sz="0" w:space="0" w:color="auto"/>
        <w:left w:val="none" w:sz="0" w:space="0" w:color="auto"/>
        <w:bottom w:val="none" w:sz="0" w:space="0" w:color="auto"/>
        <w:right w:val="none" w:sz="0" w:space="0" w:color="auto"/>
      </w:divBdr>
    </w:div>
    <w:div w:id="2069258300">
      <w:bodyDiv w:val="1"/>
      <w:marLeft w:val="0"/>
      <w:marRight w:val="0"/>
      <w:marTop w:val="0"/>
      <w:marBottom w:val="0"/>
      <w:divBdr>
        <w:top w:val="none" w:sz="0" w:space="0" w:color="auto"/>
        <w:left w:val="none" w:sz="0" w:space="0" w:color="auto"/>
        <w:bottom w:val="none" w:sz="0" w:space="0" w:color="auto"/>
        <w:right w:val="none" w:sz="0" w:space="0" w:color="auto"/>
      </w:divBdr>
    </w:div>
    <w:div w:id="2070419408">
      <w:bodyDiv w:val="1"/>
      <w:marLeft w:val="0"/>
      <w:marRight w:val="0"/>
      <w:marTop w:val="0"/>
      <w:marBottom w:val="0"/>
      <w:divBdr>
        <w:top w:val="none" w:sz="0" w:space="0" w:color="auto"/>
        <w:left w:val="none" w:sz="0" w:space="0" w:color="auto"/>
        <w:bottom w:val="none" w:sz="0" w:space="0" w:color="auto"/>
        <w:right w:val="none" w:sz="0" w:space="0" w:color="auto"/>
      </w:divBdr>
    </w:div>
    <w:div w:id="2071146918">
      <w:bodyDiv w:val="1"/>
      <w:marLeft w:val="0"/>
      <w:marRight w:val="0"/>
      <w:marTop w:val="0"/>
      <w:marBottom w:val="0"/>
      <w:divBdr>
        <w:top w:val="none" w:sz="0" w:space="0" w:color="auto"/>
        <w:left w:val="none" w:sz="0" w:space="0" w:color="auto"/>
        <w:bottom w:val="none" w:sz="0" w:space="0" w:color="auto"/>
        <w:right w:val="none" w:sz="0" w:space="0" w:color="auto"/>
      </w:divBdr>
    </w:div>
    <w:div w:id="2071418240">
      <w:bodyDiv w:val="1"/>
      <w:marLeft w:val="0"/>
      <w:marRight w:val="0"/>
      <w:marTop w:val="0"/>
      <w:marBottom w:val="0"/>
      <w:divBdr>
        <w:top w:val="none" w:sz="0" w:space="0" w:color="auto"/>
        <w:left w:val="none" w:sz="0" w:space="0" w:color="auto"/>
        <w:bottom w:val="none" w:sz="0" w:space="0" w:color="auto"/>
        <w:right w:val="none" w:sz="0" w:space="0" w:color="auto"/>
      </w:divBdr>
    </w:div>
    <w:div w:id="2073846958">
      <w:bodyDiv w:val="1"/>
      <w:marLeft w:val="0"/>
      <w:marRight w:val="0"/>
      <w:marTop w:val="0"/>
      <w:marBottom w:val="0"/>
      <w:divBdr>
        <w:top w:val="none" w:sz="0" w:space="0" w:color="auto"/>
        <w:left w:val="none" w:sz="0" w:space="0" w:color="auto"/>
        <w:bottom w:val="none" w:sz="0" w:space="0" w:color="auto"/>
        <w:right w:val="none" w:sz="0" w:space="0" w:color="auto"/>
      </w:divBdr>
    </w:div>
    <w:div w:id="2075153473">
      <w:bodyDiv w:val="1"/>
      <w:marLeft w:val="0"/>
      <w:marRight w:val="0"/>
      <w:marTop w:val="0"/>
      <w:marBottom w:val="0"/>
      <w:divBdr>
        <w:top w:val="none" w:sz="0" w:space="0" w:color="auto"/>
        <w:left w:val="none" w:sz="0" w:space="0" w:color="auto"/>
        <w:bottom w:val="none" w:sz="0" w:space="0" w:color="auto"/>
        <w:right w:val="none" w:sz="0" w:space="0" w:color="auto"/>
      </w:divBdr>
    </w:div>
    <w:div w:id="2076009430">
      <w:bodyDiv w:val="1"/>
      <w:marLeft w:val="0"/>
      <w:marRight w:val="0"/>
      <w:marTop w:val="0"/>
      <w:marBottom w:val="0"/>
      <w:divBdr>
        <w:top w:val="none" w:sz="0" w:space="0" w:color="auto"/>
        <w:left w:val="none" w:sz="0" w:space="0" w:color="auto"/>
        <w:bottom w:val="none" w:sz="0" w:space="0" w:color="auto"/>
        <w:right w:val="none" w:sz="0" w:space="0" w:color="auto"/>
      </w:divBdr>
    </w:div>
    <w:div w:id="2076851044">
      <w:bodyDiv w:val="1"/>
      <w:marLeft w:val="0"/>
      <w:marRight w:val="0"/>
      <w:marTop w:val="0"/>
      <w:marBottom w:val="0"/>
      <w:divBdr>
        <w:top w:val="none" w:sz="0" w:space="0" w:color="auto"/>
        <w:left w:val="none" w:sz="0" w:space="0" w:color="auto"/>
        <w:bottom w:val="none" w:sz="0" w:space="0" w:color="auto"/>
        <w:right w:val="none" w:sz="0" w:space="0" w:color="auto"/>
      </w:divBdr>
    </w:div>
    <w:div w:id="2076852565">
      <w:bodyDiv w:val="1"/>
      <w:marLeft w:val="0"/>
      <w:marRight w:val="0"/>
      <w:marTop w:val="0"/>
      <w:marBottom w:val="0"/>
      <w:divBdr>
        <w:top w:val="none" w:sz="0" w:space="0" w:color="auto"/>
        <w:left w:val="none" w:sz="0" w:space="0" w:color="auto"/>
        <w:bottom w:val="none" w:sz="0" w:space="0" w:color="auto"/>
        <w:right w:val="none" w:sz="0" w:space="0" w:color="auto"/>
      </w:divBdr>
    </w:div>
    <w:div w:id="2079546073">
      <w:bodyDiv w:val="1"/>
      <w:marLeft w:val="0"/>
      <w:marRight w:val="0"/>
      <w:marTop w:val="0"/>
      <w:marBottom w:val="0"/>
      <w:divBdr>
        <w:top w:val="none" w:sz="0" w:space="0" w:color="auto"/>
        <w:left w:val="none" w:sz="0" w:space="0" w:color="auto"/>
        <w:bottom w:val="none" w:sz="0" w:space="0" w:color="auto"/>
        <w:right w:val="none" w:sz="0" w:space="0" w:color="auto"/>
      </w:divBdr>
    </w:div>
    <w:div w:id="2082019333">
      <w:bodyDiv w:val="1"/>
      <w:marLeft w:val="0"/>
      <w:marRight w:val="0"/>
      <w:marTop w:val="0"/>
      <w:marBottom w:val="0"/>
      <w:divBdr>
        <w:top w:val="none" w:sz="0" w:space="0" w:color="auto"/>
        <w:left w:val="none" w:sz="0" w:space="0" w:color="auto"/>
        <w:bottom w:val="none" w:sz="0" w:space="0" w:color="auto"/>
        <w:right w:val="none" w:sz="0" w:space="0" w:color="auto"/>
      </w:divBdr>
    </w:div>
    <w:div w:id="2084133709">
      <w:bodyDiv w:val="1"/>
      <w:marLeft w:val="0"/>
      <w:marRight w:val="0"/>
      <w:marTop w:val="0"/>
      <w:marBottom w:val="0"/>
      <w:divBdr>
        <w:top w:val="none" w:sz="0" w:space="0" w:color="auto"/>
        <w:left w:val="none" w:sz="0" w:space="0" w:color="auto"/>
        <w:bottom w:val="none" w:sz="0" w:space="0" w:color="auto"/>
        <w:right w:val="none" w:sz="0" w:space="0" w:color="auto"/>
      </w:divBdr>
    </w:div>
    <w:div w:id="2085296655">
      <w:bodyDiv w:val="1"/>
      <w:marLeft w:val="0"/>
      <w:marRight w:val="0"/>
      <w:marTop w:val="0"/>
      <w:marBottom w:val="0"/>
      <w:divBdr>
        <w:top w:val="none" w:sz="0" w:space="0" w:color="auto"/>
        <w:left w:val="none" w:sz="0" w:space="0" w:color="auto"/>
        <w:bottom w:val="none" w:sz="0" w:space="0" w:color="auto"/>
        <w:right w:val="none" w:sz="0" w:space="0" w:color="auto"/>
      </w:divBdr>
    </w:div>
    <w:div w:id="2087610011">
      <w:bodyDiv w:val="1"/>
      <w:marLeft w:val="0"/>
      <w:marRight w:val="0"/>
      <w:marTop w:val="0"/>
      <w:marBottom w:val="0"/>
      <w:divBdr>
        <w:top w:val="none" w:sz="0" w:space="0" w:color="auto"/>
        <w:left w:val="none" w:sz="0" w:space="0" w:color="auto"/>
        <w:bottom w:val="none" w:sz="0" w:space="0" w:color="auto"/>
        <w:right w:val="none" w:sz="0" w:space="0" w:color="auto"/>
      </w:divBdr>
    </w:div>
    <w:div w:id="2091581971">
      <w:bodyDiv w:val="1"/>
      <w:marLeft w:val="0"/>
      <w:marRight w:val="0"/>
      <w:marTop w:val="0"/>
      <w:marBottom w:val="0"/>
      <w:divBdr>
        <w:top w:val="none" w:sz="0" w:space="0" w:color="auto"/>
        <w:left w:val="none" w:sz="0" w:space="0" w:color="auto"/>
        <w:bottom w:val="none" w:sz="0" w:space="0" w:color="auto"/>
        <w:right w:val="none" w:sz="0" w:space="0" w:color="auto"/>
      </w:divBdr>
      <w:divsChild>
        <w:div w:id="814101297">
          <w:marLeft w:val="0"/>
          <w:marRight w:val="0"/>
          <w:marTop w:val="0"/>
          <w:marBottom w:val="0"/>
          <w:divBdr>
            <w:top w:val="none" w:sz="0" w:space="0" w:color="auto"/>
            <w:left w:val="none" w:sz="0" w:space="0" w:color="auto"/>
            <w:bottom w:val="none" w:sz="0" w:space="0" w:color="auto"/>
            <w:right w:val="none" w:sz="0" w:space="0" w:color="auto"/>
          </w:divBdr>
          <w:divsChild>
            <w:div w:id="474103864">
              <w:marLeft w:val="-75"/>
              <w:marRight w:val="0"/>
              <w:marTop w:val="30"/>
              <w:marBottom w:val="30"/>
              <w:divBdr>
                <w:top w:val="none" w:sz="0" w:space="0" w:color="auto"/>
                <w:left w:val="none" w:sz="0" w:space="0" w:color="auto"/>
                <w:bottom w:val="none" w:sz="0" w:space="0" w:color="auto"/>
                <w:right w:val="none" w:sz="0" w:space="0" w:color="auto"/>
              </w:divBdr>
              <w:divsChild>
                <w:div w:id="1022979923">
                  <w:marLeft w:val="0"/>
                  <w:marRight w:val="0"/>
                  <w:marTop w:val="0"/>
                  <w:marBottom w:val="0"/>
                  <w:divBdr>
                    <w:top w:val="none" w:sz="0" w:space="0" w:color="auto"/>
                    <w:left w:val="none" w:sz="0" w:space="0" w:color="auto"/>
                    <w:bottom w:val="none" w:sz="0" w:space="0" w:color="auto"/>
                    <w:right w:val="none" w:sz="0" w:space="0" w:color="auto"/>
                  </w:divBdr>
                  <w:divsChild>
                    <w:div w:id="529682439">
                      <w:marLeft w:val="0"/>
                      <w:marRight w:val="0"/>
                      <w:marTop w:val="0"/>
                      <w:marBottom w:val="0"/>
                      <w:divBdr>
                        <w:top w:val="none" w:sz="0" w:space="0" w:color="auto"/>
                        <w:left w:val="none" w:sz="0" w:space="0" w:color="auto"/>
                        <w:bottom w:val="none" w:sz="0" w:space="0" w:color="auto"/>
                        <w:right w:val="none" w:sz="0" w:space="0" w:color="auto"/>
                      </w:divBdr>
                    </w:div>
                  </w:divsChild>
                </w:div>
                <w:div w:id="1998066352">
                  <w:marLeft w:val="0"/>
                  <w:marRight w:val="0"/>
                  <w:marTop w:val="0"/>
                  <w:marBottom w:val="0"/>
                  <w:divBdr>
                    <w:top w:val="none" w:sz="0" w:space="0" w:color="auto"/>
                    <w:left w:val="none" w:sz="0" w:space="0" w:color="auto"/>
                    <w:bottom w:val="none" w:sz="0" w:space="0" w:color="auto"/>
                    <w:right w:val="none" w:sz="0" w:space="0" w:color="auto"/>
                  </w:divBdr>
                  <w:divsChild>
                    <w:div w:id="536623281">
                      <w:marLeft w:val="0"/>
                      <w:marRight w:val="0"/>
                      <w:marTop w:val="0"/>
                      <w:marBottom w:val="0"/>
                      <w:divBdr>
                        <w:top w:val="none" w:sz="0" w:space="0" w:color="auto"/>
                        <w:left w:val="none" w:sz="0" w:space="0" w:color="auto"/>
                        <w:bottom w:val="none" w:sz="0" w:space="0" w:color="auto"/>
                        <w:right w:val="none" w:sz="0" w:space="0" w:color="auto"/>
                      </w:divBdr>
                    </w:div>
                    <w:div w:id="1600411214">
                      <w:marLeft w:val="0"/>
                      <w:marRight w:val="0"/>
                      <w:marTop w:val="0"/>
                      <w:marBottom w:val="0"/>
                      <w:divBdr>
                        <w:top w:val="none" w:sz="0" w:space="0" w:color="auto"/>
                        <w:left w:val="none" w:sz="0" w:space="0" w:color="auto"/>
                        <w:bottom w:val="none" w:sz="0" w:space="0" w:color="auto"/>
                        <w:right w:val="none" w:sz="0" w:space="0" w:color="auto"/>
                      </w:divBdr>
                    </w:div>
                    <w:div w:id="19174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5369">
          <w:marLeft w:val="0"/>
          <w:marRight w:val="0"/>
          <w:marTop w:val="0"/>
          <w:marBottom w:val="0"/>
          <w:divBdr>
            <w:top w:val="none" w:sz="0" w:space="0" w:color="auto"/>
            <w:left w:val="none" w:sz="0" w:space="0" w:color="auto"/>
            <w:bottom w:val="none" w:sz="0" w:space="0" w:color="auto"/>
            <w:right w:val="none" w:sz="0" w:space="0" w:color="auto"/>
          </w:divBdr>
          <w:divsChild>
            <w:div w:id="1616985942">
              <w:marLeft w:val="0"/>
              <w:marRight w:val="0"/>
              <w:marTop w:val="0"/>
              <w:marBottom w:val="0"/>
              <w:divBdr>
                <w:top w:val="none" w:sz="0" w:space="0" w:color="auto"/>
                <w:left w:val="none" w:sz="0" w:space="0" w:color="auto"/>
                <w:bottom w:val="none" w:sz="0" w:space="0" w:color="auto"/>
                <w:right w:val="none" w:sz="0" w:space="0" w:color="auto"/>
              </w:divBdr>
            </w:div>
          </w:divsChild>
        </w:div>
        <w:div w:id="2029135544">
          <w:marLeft w:val="0"/>
          <w:marRight w:val="0"/>
          <w:marTop w:val="0"/>
          <w:marBottom w:val="0"/>
          <w:divBdr>
            <w:top w:val="none" w:sz="0" w:space="0" w:color="auto"/>
            <w:left w:val="none" w:sz="0" w:space="0" w:color="auto"/>
            <w:bottom w:val="none" w:sz="0" w:space="0" w:color="auto"/>
            <w:right w:val="none" w:sz="0" w:space="0" w:color="auto"/>
          </w:divBdr>
        </w:div>
      </w:divsChild>
    </w:div>
    <w:div w:id="2092502281">
      <w:bodyDiv w:val="1"/>
      <w:marLeft w:val="0"/>
      <w:marRight w:val="0"/>
      <w:marTop w:val="0"/>
      <w:marBottom w:val="0"/>
      <w:divBdr>
        <w:top w:val="none" w:sz="0" w:space="0" w:color="auto"/>
        <w:left w:val="none" w:sz="0" w:space="0" w:color="auto"/>
        <w:bottom w:val="none" w:sz="0" w:space="0" w:color="auto"/>
        <w:right w:val="none" w:sz="0" w:space="0" w:color="auto"/>
      </w:divBdr>
    </w:div>
    <w:div w:id="2095123304">
      <w:bodyDiv w:val="1"/>
      <w:marLeft w:val="0"/>
      <w:marRight w:val="0"/>
      <w:marTop w:val="0"/>
      <w:marBottom w:val="0"/>
      <w:divBdr>
        <w:top w:val="none" w:sz="0" w:space="0" w:color="auto"/>
        <w:left w:val="none" w:sz="0" w:space="0" w:color="auto"/>
        <w:bottom w:val="none" w:sz="0" w:space="0" w:color="auto"/>
        <w:right w:val="none" w:sz="0" w:space="0" w:color="auto"/>
      </w:divBdr>
    </w:div>
    <w:div w:id="2096903595">
      <w:bodyDiv w:val="1"/>
      <w:marLeft w:val="0"/>
      <w:marRight w:val="0"/>
      <w:marTop w:val="0"/>
      <w:marBottom w:val="0"/>
      <w:divBdr>
        <w:top w:val="none" w:sz="0" w:space="0" w:color="auto"/>
        <w:left w:val="none" w:sz="0" w:space="0" w:color="auto"/>
        <w:bottom w:val="none" w:sz="0" w:space="0" w:color="auto"/>
        <w:right w:val="none" w:sz="0" w:space="0" w:color="auto"/>
      </w:divBdr>
    </w:div>
    <w:div w:id="2097700916">
      <w:bodyDiv w:val="1"/>
      <w:marLeft w:val="0"/>
      <w:marRight w:val="0"/>
      <w:marTop w:val="0"/>
      <w:marBottom w:val="0"/>
      <w:divBdr>
        <w:top w:val="none" w:sz="0" w:space="0" w:color="auto"/>
        <w:left w:val="none" w:sz="0" w:space="0" w:color="auto"/>
        <w:bottom w:val="none" w:sz="0" w:space="0" w:color="auto"/>
        <w:right w:val="none" w:sz="0" w:space="0" w:color="auto"/>
      </w:divBdr>
    </w:div>
    <w:div w:id="2098137220">
      <w:bodyDiv w:val="1"/>
      <w:marLeft w:val="0"/>
      <w:marRight w:val="0"/>
      <w:marTop w:val="0"/>
      <w:marBottom w:val="0"/>
      <w:divBdr>
        <w:top w:val="none" w:sz="0" w:space="0" w:color="auto"/>
        <w:left w:val="none" w:sz="0" w:space="0" w:color="auto"/>
        <w:bottom w:val="none" w:sz="0" w:space="0" w:color="auto"/>
        <w:right w:val="none" w:sz="0" w:space="0" w:color="auto"/>
      </w:divBdr>
    </w:div>
    <w:div w:id="2102943875">
      <w:bodyDiv w:val="1"/>
      <w:marLeft w:val="0"/>
      <w:marRight w:val="0"/>
      <w:marTop w:val="0"/>
      <w:marBottom w:val="0"/>
      <w:divBdr>
        <w:top w:val="none" w:sz="0" w:space="0" w:color="auto"/>
        <w:left w:val="none" w:sz="0" w:space="0" w:color="auto"/>
        <w:bottom w:val="none" w:sz="0" w:space="0" w:color="auto"/>
        <w:right w:val="none" w:sz="0" w:space="0" w:color="auto"/>
      </w:divBdr>
    </w:div>
    <w:div w:id="2103991049">
      <w:bodyDiv w:val="1"/>
      <w:marLeft w:val="0"/>
      <w:marRight w:val="0"/>
      <w:marTop w:val="0"/>
      <w:marBottom w:val="0"/>
      <w:divBdr>
        <w:top w:val="none" w:sz="0" w:space="0" w:color="auto"/>
        <w:left w:val="none" w:sz="0" w:space="0" w:color="auto"/>
        <w:bottom w:val="none" w:sz="0" w:space="0" w:color="auto"/>
        <w:right w:val="none" w:sz="0" w:space="0" w:color="auto"/>
      </w:divBdr>
    </w:div>
    <w:div w:id="2106342186">
      <w:bodyDiv w:val="1"/>
      <w:marLeft w:val="0"/>
      <w:marRight w:val="0"/>
      <w:marTop w:val="0"/>
      <w:marBottom w:val="0"/>
      <w:divBdr>
        <w:top w:val="none" w:sz="0" w:space="0" w:color="auto"/>
        <w:left w:val="none" w:sz="0" w:space="0" w:color="auto"/>
        <w:bottom w:val="none" w:sz="0" w:space="0" w:color="auto"/>
        <w:right w:val="none" w:sz="0" w:space="0" w:color="auto"/>
      </w:divBdr>
    </w:div>
    <w:div w:id="2106489619">
      <w:bodyDiv w:val="1"/>
      <w:marLeft w:val="0"/>
      <w:marRight w:val="0"/>
      <w:marTop w:val="0"/>
      <w:marBottom w:val="0"/>
      <w:divBdr>
        <w:top w:val="none" w:sz="0" w:space="0" w:color="auto"/>
        <w:left w:val="none" w:sz="0" w:space="0" w:color="auto"/>
        <w:bottom w:val="none" w:sz="0" w:space="0" w:color="auto"/>
        <w:right w:val="none" w:sz="0" w:space="0" w:color="auto"/>
      </w:divBdr>
    </w:div>
    <w:div w:id="2106538377">
      <w:bodyDiv w:val="1"/>
      <w:marLeft w:val="0"/>
      <w:marRight w:val="0"/>
      <w:marTop w:val="0"/>
      <w:marBottom w:val="0"/>
      <w:divBdr>
        <w:top w:val="none" w:sz="0" w:space="0" w:color="auto"/>
        <w:left w:val="none" w:sz="0" w:space="0" w:color="auto"/>
        <w:bottom w:val="none" w:sz="0" w:space="0" w:color="auto"/>
        <w:right w:val="none" w:sz="0" w:space="0" w:color="auto"/>
      </w:divBdr>
    </w:div>
    <w:div w:id="2106799782">
      <w:bodyDiv w:val="1"/>
      <w:marLeft w:val="0"/>
      <w:marRight w:val="0"/>
      <w:marTop w:val="0"/>
      <w:marBottom w:val="0"/>
      <w:divBdr>
        <w:top w:val="none" w:sz="0" w:space="0" w:color="auto"/>
        <w:left w:val="none" w:sz="0" w:space="0" w:color="auto"/>
        <w:bottom w:val="none" w:sz="0" w:space="0" w:color="auto"/>
        <w:right w:val="none" w:sz="0" w:space="0" w:color="auto"/>
      </w:divBdr>
    </w:div>
    <w:div w:id="2107144269">
      <w:bodyDiv w:val="1"/>
      <w:marLeft w:val="0"/>
      <w:marRight w:val="0"/>
      <w:marTop w:val="0"/>
      <w:marBottom w:val="0"/>
      <w:divBdr>
        <w:top w:val="none" w:sz="0" w:space="0" w:color="auto"/>
        <w:left w:val="none" w:sz="0" w:space="0" w:color="auto"/>
        <w:bottom w:val="none" w:sz="0" w:space="0" w:color="auto"/>
        <w:right w:val="none" w:sz="0" w:space="0" w:color="auto"/>
      </w:divBdr>
    </w:div>
    <w:div w:id="2108454007">
      <w:bodyDiv w:val="1"/>
      <w:marLeft w:val="0"/>
      <w:marRight w:val="0"/>
      <w:marTop w:val="0"/>
      <w:marBottom w:val="0"/>
      <w:divBdr>
        <w:top w:val="none" w:sz="0" w:space="0" w:color="auto"/>
        <w:left w:val="none" w:sz="0" w:space="0" w:color="auto"/>
        <w:bottom w:val="none" w:sz="0" w:space="0" w:color="auto"/>
        <w:right w:val="none" w:sz="0" w:space="0" w:color="auto"/>
      </w:divBdr>
    </w:div>
    <w:div w:id="2108885734">
      <w:bodyDiv w:val="1"/>
      <w:marLeft w:val="0"/>
      <w:marRight w:val="0"/>
      <w:marTop w:val="0"/>
      <w:marBottom w:val="0"/>
      <w:divBdr>
        <w:top w:val="none" w:sz="0" w:space="0" w:color="auto"/>
        <w:left w:val="none" w:sz="0" w:space="0" w:color="auto"/>
        <w:bottom w:val="none" w:sz="0" w:space="0" w:color="auto"/>
        <w:right w:val="none" w:sz="0" w:space="0" w:color="auto"/>
      </w:divBdr>
      <w:divsChild>
        <w:div w:id="1813014395">
          <w:marLeft w:val="0"/>
          <w:marRight w:val="0"/>
          <w:marTop w:val="0"/>
          <w:marBottom w:val="0"/>
          <w:divBdr>
            <w:top w:val="none" w:sz="0" w:space="0" w:color="auto"/>
            <w:left w:val="none" w:sz="0" w:space="0" w:color="auto"/>
            <w:bottom w:val="none" w:sz="0" w:space="0" w:color="auto"/>
            <w:right w:val="none" w:sz="0" w:space="0" w:color="auto"/>
          </w:divBdr>
          <w:divsChild>
            <w:div w:id="638265463">
              <w:marLeft w:val="0"/>
              <w:marRight w:val="0"/>
              <w:marTop w:val="0"/>
              <w:marBottom w:val="0"/>
              <w:divBdr>
                <w:top w:val="none" w:sz="0" w:space="0" w:color="auto"/>
                <w:left w:val="none" w:sz="0" w:space="0" w:color="auto"/>
                <w:bottom w:val="none" w:sz="0" w:space="0" w:color="auto"/>
                <w:right w:val="none" w:sz="0" w:space="0" w:color="auto"/>
              </w:divBdr>
              <w:divsChild>
                <w:div w:id="430861310">
                  <w:marLeft w:val="0"/>
                  <w:marRight w:val="0"/>
                  <w:marTop w:val="0"/>
                  <w:marBottom w:val="0"/>
                  <w:divBdr>
                    <w:top w:val="none" w:sz="0" w:space="0" w:color="auto"/>
                    <w:left w:val="none" w:sz="0" w:space="0" w:color="auto"/>
                    <w:bottom w:val="none" w:sz="0" w:space="0" w:color="auto"/>
                    <w:right w:val="none" w:sz="0" w:space="0" w:color="auto"/>
                  </w:divBdr>
                  <w:divsChild>
                    <w:div w:id="395199683">
                      <w:marLeft w:val="0"/>
                      <w:marRight w:val="0"/>
                      <w:marTop w:val="0"/>
                      <w:marBottom w:val="0"/>
                      <w:divBdr>
                        <w:top w:val="none" w:sz="0" w:space="0" w:color="auto"/>
                        <w:left w:val="none" w:sz="0" w:space="0" w:color="auto"/>
                        <w:bottom w:val="none" w:sz="0" w:space="0" w:color="auto"/>
                        <w:right w:val="none" w:sz="0" w:space="0" w:color="auto"/>
                      </w:divBdr>
                      <w:divsChild>
                        <w:div w:id="2485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7809">
      <w:bodyDiv w:val="1"/>
      <w:marLeft w:val="0"/>
      <w:marRight w:val="0"/>
      <w:marTop w:val="0"/>
      <w:marBottom w:val="0"/>
      <w:divBdr>
        <w:top w:val="none" w:sz="0" w:space="0" w:color="auto"/>
        <w:left w:val="none" w:sz="0" w:space="0" w:color="auto"/>
        <w:bottom w:val="none" w:sz="0" w:space="0" w:color="auto"/>
        <w:right w:val="none" w:sz="0" w:space="0" w:color="auto"/>
      </w:divBdr>
    </w:div>
    <w:div w:id="2113738311">
      <w:bodyDiv w:val="1"/>
      <w:marLeft w:val="0"/>
      <w:marRight w:val="0"/>
      <w:marTop w:val="0"/>
      <w:marBottom w:val="0"/>
      <w:divBdr>
        <w:top w:val="none" w:sz="0" w:space="0" w:color="auto"/>
        <w:left w:val="none" w:sz="0" w:space="0" w:color="auto"/>
        <w:bottom w:val="none" w:sz="0" w:space="0" w:color="auto"/>
        <w:right w:val="none" w:sz="0" w:space="0" w:color="auto"/>
      </w:divBdr>
    </w:div>
    <w:div w:id="2117866421">
      <w:bodyDiv w:val="1"/>
      <w:marLeft w:val="0"/>
      <w:marRight w:val="0"/>
      <w:marTop w:val="0"/>
      <w:marBottom w:val="0"/>
      <w:divBdr>
        <w:top w:val="none" w:sz="0" w:space="0" w:color="auto"/>
        <w:left w:val="none" w:sz="0" w:space="0" w:color="auto"/>
        <w:bottom w:val="none" w:sz="0" w:space="0" w:color="auto"/>
        <w:right w:val="none" w:sz="0" w:space="0" w:color="auto"/>
      </w:divBdr>
    </w:div>
    <w:div w:id="2119371719">
      <w:bodyDiv w:val="1"/>
      <w:marLeft w:val="0"/>
      <w:marRight w:val="0"/>
      <w:marTop w:val="0"/>
      <w:marBottom w:val="0"/>
      <w:divBdr>
        <w:top w:val="none" w:sz="0" w:space="0" w:color="auto"/>
        <w:left w:val="none" w:sz="0" w:space="0" w:color="auto"/>
        <w:bottom w:val="none" w:sz="0" w:space="0" w:color="auto"/>
        <w:right w:val="none" w:sz="0" w:space="0" w:color="auto"/>
      </w:divBdr>
    </w:div>
    <w:div w:id="2120291819">
      <w:bodyDiv w:val="1"/>
      <w:marLeft w:val="0"/>
      <w:marRight w:val="0"/>
      <w:marTop w:val="0"/>
      <w:marBottom w:val="0"/>
      <w:divBdr>
        <w:top w:val="none" w:sz="0" w:space="0" w:color="auto"/>
        <w:left w:val="none" w:sz="0" w:space="0" w:color="auto"/>
        <w:bottom w:val="none" w:sz="0" w:space="0" w:color="auto"/>
        <w:right w:val="none" w:sz="0" w:space="0" w:color="auto"/>
      </w:divBdr>
    </w:div>
    <w:div w:id="2122332946">
      <w:bodyDiv w:val="1"/>
      <w:marLeft w:val="0"/>
      <w:marRight w:val="0"/>
      <w:marTop w:val="0"/>
      <w:marBottom w:val="0"/>
      <w:divBdr>
        <w:top w:val="none" w:sz="0" w:space="0" w:color="auto"/>
        <w:left w:val="none" w:sz="0" w:space="0" w:color="auto"/>
        <w:bottom w:val="none" w:sz="0" w:space="0" w:color="auto"/>
        <w:right w:val="none" w:sz="0" w:space="0" w:color="auto"/>
      </w:divBdr>
    </w:div>
    <w:div w:id="2124154768">
      <w:bodyDiv w:val="1"/>
      <w:marLeft w:val="0"/>
      <w:marRight w:val="0"/>
      <w:marTop w:val="0"/>
      <w:marBottom w:val="0"/>
      <w:divBdr>
        <w:top w:val="none" w:sz="0" w:space="0" w:color="auto"/>
        <w:left w:val="none" w:sz="0" w:space="0" w:color="auto"/>
        <w:bottom w:val="none" w:sz="0" w:space="0" w:color="auto"/>
        <w:right w:val="none" w:sz="0" w:space="0" w:color="auto"/>
      </w:divBdr>
    </w:div>
    <w:div w:id="2124229382">
      <w:bodyDiv w:val="1"/>
      <w:marLeft w:val="0"/>
      <w:marRight w:val="0"/>
      <w:marTop w:val="0"/>
      <w:marBottom w:val="0"/>
      <w:divBdr>
        <w:top w:val="none" w:sz="0" w:space="0" w:color="auto"/>
        <w:left w:val="none" w:sz="0" w:space="0" w:color="auto"/>
        <w:bottom w:val="none" w:sz="0" w:space="0" w:color="auto"/>
        <w:right w:val="none" w:sz="0" w:space="0" w:color="auto"/>
      </w:divBdr>
    </w:div>
    <w:div w:id="2124878125">
      <w:bodyDiv w:val="1"/>
      <w:marLeft w:val="0"/>
      <w:marRight w:val="0"/>
      <w:marTop w:val="0"/>
      <w:marBottom w:val="0"/>
      <w:divBdr>
        <w:top w:val="none" w:sz="0" w:space="0" w:color="auto"/>
        <w:left w:val="none" w:sz="0" w:space="0" w:color="auto"/>
        <w:bottom w:val="none" w:sz="0" w:space="0" w:color="auto"/>
        <w:right w:val="none" w:sz="0" w:space="0" w:color="auto"/>
      </w:divBdr>
    </w:div>
    <w:div w:id="2124884550">
      <w:bodyDiv w:val="1"/>
      <w:marLeft w:val="0"/>
      <w:marRight w:val="0"/>
      <w:marTop w:val="0"/>
      <w:marBottom w:val="0"/>
      <w:divBdr>
        <w:top w:val="none" w:sz="0" w:space="0" w:color="auto"/>
        <w:left w:val="none" w:sz="0" w:space="0" w:color="auto"/>
        <w:bottom w:val="none" w:sz="0" w:space="0" w:color="auto"/>
        <w:right w:val="none" w:sz="0" w:space="0" w:color="auto"/>
      </w:divBdr>
    </w:div>
    <w:div w:id="2125684248">
      <w:bodyDiv w:val="1"/>
      <w:marLeft w:val="0"/>
      <w:marRight w:val="0"/>
      <w:marTop w:val="0"/>
      <w:marBottom w:val="0"/>
      <w:divBdr>
        <w:top w:val="none" w:sz="0" w:space="0" w:color="auto"/>
        <w:left w:val="none" w:sz="0" w:space="0" w:color="auto"/>
        <w:bottom w:val="none" w:sz="0" w:space="0" w:color="auto"/>
        <w:right w:val="none" w:sz="0" w:space="0" w:color="auto"/>
      </w:divBdr>
    </w:div>
    <w:div w:id="2128543997">
      <w:bodyDiv w:val="1"/>
      <w:marLeft w:val="0"/>
      <w:marRight w:val="0"/>
      <w:marTop w:val="0"/>
      <w:marBottom w:val="0"/>
      <w:divBdr>
        <w:top w:val="none" w:sz="0" w:space="0" w:color="auto"/>
        <w:left w:val="none" w:sz="0" w:space="0" w:color="auto"/>
        <w:bottom w:val="none" w:sz="0" w:space="0" w:color="auto"/>
        <w:right w:val="none" w:sz="0" w:space="0" w:color="auto"/>
      </w:divBdr>
    </w:div>
    <w:div w:id="2128889726">
      <w:bodyDiv w:val="1"/>
      <w:marLeft w:val="0"/>
      <w:marRight w:val="0"/>
      <w:marTop w:val="0"/>
      <w:marBottom w:val="0"/>
      <w:divBdr>
        <w:top w:val="none" w:sz="0" w:space="0" w:color="auto"/>
        <w:left w:val="none" w:sz="0" w:space="0" w:color="auto"/>
        <w:bottom w:val="none" w:sz="0" w:space="0" w:color="auto"/>
        <w:right w:val="none" w:sz="0" w:space="0" w:color="auto"/>
      </w:divBdr>
    </w:div>
    <w:div w:id="2131585150">
      <w:bodyDiv w:val="1"/>
      <w:marLeft w:val="0"/>
      <w:marRight w:val="0"/>
      <w:marTop w:val="0"/>
      <w:marBottom w:val="0"/>
      <w:divBdr>
        <w:top w:val="none" w:sz="0" w:space="0" w:color="auto"/>
        <w:left w:val="none" w:sz="0" w:space="0" w:color="auto"/>
        <w:bottom w:val="none" w:sz="0" w:space="0" w:color="auto"/>
        <w:right w:val="none" w:sz="0" w:space="0" w:color="auto"/>
      </w:divBdr>
    </w:div>
    <w:div w:id="2132358541">
      <w:bodyDiv w:val="1"/>
      <w:marLeft w:val="0"/>
      <w:marRight w:val="0"/>
      <w:marTop w:val="0"/>
      <w:marBottom w:val="0"/>
      <w:divBdr>
        <w:top w:val="none" w:sz="0" w:space="0" w:color="auto"/>
        <w:left w:val="none" w:sz="0" w:space="0" w:color="auto"/>
        <w:bottom w:val="none" w:sz="0" w:space="0" w:color="auto"/>
        <w:right w:val="none" w:sz="0" w:space="0" w:color="auto"/>
      </w:divBdr>
      <w:divsChild>
        <w:div w:id="270864301">
          <w:marLeft w:val="0"/>
          <w:marRight w:val="0"/>
          <w:marTop w:val="0"/>
          <w:marBottom w:val="0"/>
          <w:divBdr>
            <w:top w:val="none" w:sz="0" w:space="0" w:color="auto"/>
            <w:left w:val="none" w:sz="0" w:space="0" w:color="auto"/>
            <w:bottom w:val="none" w:sz="0" w:space="0" w:color="auto"/>
            <w:right w:val="none" w:sz="0" w:space="0" w:color="auto"/>
          </w:divBdr>
        </w:div>
        <w:div w:id="705984779">
          <w:marLeft w:val="0"/>
          <w:marRight w:val="0"/>
          <w:marTop w:val="0"/>
          <w:marBottom w:val="0"/>
          <w:divBdr>
            <w:top w:val="none" w:sz="0" w:space="0" w:color="auto"/>
            <w:left w:val="none" w:sz="0" w:space="0" w:color="auto"/>
            <w:bottom w:val="none" w:sz="0" w:space="0" w:color="auto"/>
            <w:right w:val="none" w:sz="0" w:space="0" w:color="auto"/>
          </w:divBdr>
        </w:div>
        <w:div w:id="1281449220">
          <w:marLeft w:val="0"/>
          <w:marRight w:val="0"/>
          <w:marTop w:val="0"/>
          <w:marBottom w:val="0"/>
          <w:divBdr>
            <w:top w:val="none" w:sz="0" w:space="0" w:color="auto"/>
            <w:left w:val="none" w:sz="0" w:space="0" w:color="auto"/>
            <w:bottom w:val="none" w:sz="0" w:space="0" w:color="auto"/>
            <w:right w:val="none" w:sz="0" w:space="0" w:color="auto"/>
          </w:divBdr>
          <w:divsChild>
            <w:div w:id="1159922804">
              <w:marLeft w:val="-75"/>
              <w:marRight w:val="0"/>
              <w:marTop w:val="30"/>
              <w:marBottom w:val="30"/>
              <w:divBdr>
                <w:top w:val="none" w:sz="0" w:space="0" w:color="auto"/>
                <w:left w:val="none" w:sz="0" w:space="0" w:color="auto"/>
                <w:bottom w:val="none" w:sz="0" w:space="0" w:color="auto"/>
                <w:right w:val="none" w:sz="0" w:space="0" w:color="auto"/>
              </w:divBdr>
              <w:divsChild>
                <w:div w:id="19012543">
                  <w:marLeft w:val="0"/>
                  <w:marRight w:val="0"/>
                  <w:marTop w:val="0"/>
                  <w:marBottom w:val="0"/>
                  <w:divBdr>
                    <w:top w:val="none" w:sz="0" w:space="0" w:color="auto"/>
                    <w:left w:val="none" w:sz="0" w:space="0" w:color="auto"/>
                    <w:bottom w:val="none" w:sz="0" w:space="0" w:color="auto"/>
                    <w:right w:val="none" w:sz="0" w:space="0" w:color="auto"/>
                  </w:divBdr>
                  <w:divsChild>
                    <w:div w:id="1577664760">
                      <w:marLeft w:val="0"/>
                      <w:marRight w:val="0"/>
                      <w:marTop w:val="0"/>
                      <w:marBottom w:val="0"/>
                      <w:divBdr>
                        <w:top w:val="none" w:sz="0" w:space="0" w:color="auto"/>
                        <w:left w:val="none" w:sz="0" w:space="0" w:color="auto"/>
                        <w:bottom w:val="none" w:sz="0" w:space="0" w:color="auto"/>
                        <w:right w:val="none" w:sz="0" w:space="0" w:color="auto"/>
                      </w:divBdr>
                    </w:div>
                  </w:divsChild>
                </w:div>
                <w:div w:id="80686322">
                  <w:marLeft w:val="0"/>
                  <w:marRight w:val="0"/>
                  <w:marTop w:val="0"/>
                  <w:marBottom w:val="0"/>
                  <w:divBdr>
                    <w:top w:val="none" w:sz="0" w:space="0" w:color="auto"/>
                    <w:left w:val="none" w:sz="0" w:space="0" w:color="auto"/>
                    <w:bottom w:val="none" w:sz="0" w:space="0" w:color="auto"/>
                    <w:right w:val="none" w:sz="0" w:space="0" w:color="auto"/>
                  </w:divBdr>
                  <w:divsChild>
                    <w:div w:id="288556736">
                      <w:marLeft w:val="0"/>
                      <w:marRight w:val="0"/>
                      <w:marTop w:val="0"/>
                      <w:marBottom w:val="0"/>
                      <w:divBdr>
                        <w:top w:val="none" w:sz="0" w:space="0" w:color="auto"/>
                        <w:left w:val="none" w:sz="0" w:space="0" w:color="auto"/>
                        <w:bottom w:val="none" w:sz="0" w:space="0" w:color="auto"/>
                        <w:right w:val="none" w:sz="0" w:space="0" w:color="auto"/>
                      </w:divBdr>
                    </w:div>
                  </w:divsChild>
                </w:div>
                <w:div w:id="99186815">
                  <w:marLeft w:val="0"/>
                  <w:marRight w:val="0"/>
                  <w:marTop w:val="0"/>
                  <w:marBottom w:val="0"/>
                  <w:divBdr>
                    <w:top w:val="none" w:sz="0" w:space="0" w:color="auto"/>
                    <w:left w:val="none" w:sz="0" w:space="0" w:color="auto"/>
                    <w:bottom w:val="none" w:sz="0" w:space="0" w:color="auto"/>
                    <w:right w:val="none" w:sz="0" w:space="0" w:color="auto"/>
                  </w:divBdr>
                  <w:divsChild>
                    <w:div w:id="632516009">
                      <w:marLeft w:val="0"/>
                      <w:marRight w:val="0"/>
                      <w:marTop w:val="0"/>
                      <w:marBottom w:val="0"/>
                      <w:divBdr>
                        <w:top w:val="none" w:sz="0" w:space="0" w:color="auto"/>
                        <w:left w:val="none" w:sz="0" w:space="0" w:color="auto"/>
                        <w:bottom w:val="none" w:sz="0" w:space="0" w:color="auto"/>
                        <w:right w:val="none" w:sz="0" w:space="0" w:color="auto"/>
                      </w:divBdr>
                    </w:div>
                  </w:divsChild>
                </w:div>
                <w:div w:id="233860345">
                  <w:marLeft w:val="0"/>
                  <w:marRight w:val="0"/>
                  <w:marTop w:val="0"/>
                  <w:marBottom w:val="0"/>
                  <w:divBdr>
                    <w:top w:val="none" w:sz="0" w:space="0" w:color="auto"/>
                    <w:left w:val="none" w:sz="0" w:space="0" w:color="auto"/>
                    <w:bottom w:val="none" w:sz="0" w:space="0" w:color="auto"/>
                    <w:right w:val="none" w:sz="0" w:space="0" w:color="auto"/>
                  </w:divBdr>
                  <w:divsChild>
                    <w:div w:id="743532518">
                      <w:marLeft w:val="0"/>
                      <w:marRight w:val="0"/>
                      <w:marTop w:val="0"/>
                      <w:marBottom w:val="0"/>
                      <w:divBdr>
                        <w:top w:val="none" w:sz="0" w:space="0" w:color="auto"/>
                        <w:left w:val="none" w:sz="0" w:space="0" w:color="auto"/>
                        <w:bottom w:val="none" w:sz="0" w:space="0" w:color="auto"/>
                        <w:right w:val="none" w:sz="0" w:space="0" w:color="auto"/>
                      </w:divBdr>
                    </w:div>
                  </w:divsChild>
                </w:div>
                <w:div w:id="283774103">
                  <w:marLeft w:val="0"/>
                  <w:marRight w:val="0"/>
                  <w:marTop w:val="0"/>
                  <w:marBottom w:val="0"/>
                  <w:divBdr>
                    <w:top w:val="none" w:sz="0" w:space="0" w:color="auto"/>
                    <w:left w:val="none" w:sz="0" w:space="0" w:color="auto"/>
                    <w:bottom w:val="none" w:sz="0" w:space="0" w:color="auto"/>
                    <w:right w:val="none" w:sz="0" w:space="0" w:color="auto"/>
                  </w:divBdr>
                  <w:divsChild>
                    <w:div w:id="1455755576">
                      <w:marLeft w:val="0"/>
                      <w:marRight w:val="0"/>
                      <w:marTop w:val="0"/>
                      <w:marBottom w:val="0"/>
                      <w:divBdr>
                        <w:top w:val="none" w:sz="0" w:space="0" w:color="auto"/>
                        <w:left w:val="none" w:sz="0" w:space="0" w:color="auto"/>
                        <w:bottom w:val="none" w:sz="0" w:space="0" w:color="auto"/>
                        <w:right w:val="none" w:sz="0" w:space="0" w:color="auto"/>
                      </w:divBdr>
                    </w:div>
                  </w:divsChild>
                </w:div>
                <w:div w:id="391469355">
                  <w:marLeft w:val="0"/>
                  <w:marRight w:val="0"/>
                  <w:marTop w:val="0"/>
                  <w:marBottom w:val="0"/>
                  <w:divBdr>
                    <w:top w:val="none" w:sz="0" w:space="0" w:color="auto"/>
                    <w:left w:val="none" w:sz="0" w:space="0" w:color="auto"/>
                    <w:bottom w:val="none" w:sz="0" w:space="0" w:color="auto"/>
                    <w:right w:val="none" w:sz="0" w:space="0" w:color="auto"/>
                  </w:divBdr>
                  <w:divsChild>
                    <w:div w:id="793063788">
                      <w:marLeft w:val="0"/>
                      <w:marRight w:val="0"/>
                      <w:marTop w:val="0"/>
                      <w:marBottom w:val="0"/>
                      <w:divBdr>
                        <w:top w:val="none" w:sz="0" w:space="0" w:color="auto"/>
                        <w:left w:val="none" w:sz="0" w:space="0" w:color="auto"/>
                        <w:bottom w:val="none" w:sz="0" w:space="0" w:color="auto"/>
                        <w:right w:val="none" w:sz="0" w:space="0" w:color="auto"/>
                      </w:divBdr>
                    </w:div>
                  </w:divsChild>
                </w:div>
                <w:div w:id="418794073">
                  <w:marLeft w:val="0"/>
                  <w:marRight w:val="0"/>
                  <w:marTop w:val="0"/>
                  <w:marBottom w:val="0"/>
                  <w:divBdr>
                    <w:top w:val="none" w:sz="0" w:space="0" w:color="auto"/>
                    <w:left w:val="none" w:sz="0" w:space="0" w:color="auto"/>
                    <w:bottom w:val="none" w:sz="0" w:space="0" w:color="auto"/>
                    <w:right w:val="none" w:sz="0" w:space="0" w:color="auto"/>
                  </w:divBdr>
                  <w:divsChild>
                    <w:div w:id="839930172">
                      <w:marLeft w:val="0"/>
                      <w:marRight w:val="0"/>
                      <w:marTop w:val="0"/>
                      <w:marBottom w:val="0"/>
                      <w:divBdr>
                        <w:top w:val="none" w:sz="0" w:space="0" w:color="auto"/>
                        <w:left w:val="none" w:sz="0" w:space="0" w:color="auto"/>
                        <w:bottom w:val="none" w:sz="0" w:space="0" w:color="auto"/>
                        <w:right w:val="none" w:sz="0" w:space="0" w:color="auto"/>
                      </w:divBdr>
                    </w:div>
                  </w:divsChild>
                </w:div>
                <w:div w:id="444622524">
                  <w:marLeft w:val="0"/>
                  <w:marRight w:val="0"/>
                  <w:marTop w:val="0"/>
                  <w:marBottom w:val="0"/>
                  <w:divBdr>
                    <w:top w:val="none" w:sz="0" w:space="0" w:color="auto"/>
                    <w:left w:val="none" w:sz="0" w:space="0" w:color="auto"/>
                    <w:bottom w:val="none" w:sz="0" w:space="0" w:color="auto"/>
                    <w:right w:val="none" w:sz="0" w:space="0" w:color="auto"/>
                  </w:divBdr>
                  <w:divsChild>
                    <w:div w:id="45497532">
                      <w:marLeft w:val="0"/>
                      <w:marRight w:val="0"/>
                      <w:marTop w:val="0"/>
                      <w:marBottom w:val="0"/>
                      <w:divBdr>
                        <w:top w:val="none" w:sz="0" w:space="0" w:color="auto"/>
                        <w:left w:val="none" w:sz="0" w:space="0" w:color="auto"/>
                        <w:bottom w:val="none" w:sz="0" w:space="0" w:color="auto"/>
                        <w:right w:val="none" w:sz="0" w:space="0" w:color="auto"/>
                      </w:divBdr>
                    </w:div>
                  </w:divsChild>
                </w:div>
                <w:div w:id="665598000">
                  <w:marLeft w:val="0"/>
                  <w:marRight w:val="0"/>
                  <w:marTop w:val="0"/>
                  <w:marBottom w:val="0"/>
                  <w:divBdr>
                    <w:top w:val="none" w:sz="0" w:space="0" w:color="auto"/>
                    <w:left w:val="none" w:sz="0" w:space="0" w:color="auto"/>
                    <w:bottom w:val="none" w:sz="0" w:space="0" w:color="auto"/>
                    <w:right w:val="none" w:sz="0" w:space="0" w:color="auto"/>
                  </w:divBdr>
                  <w:divsChild>
                    <w:div w:id="1593931725">
                      <w:marLeft w:val="0"/>
                      <w:marRight w:val="0"/>
                      <w:marTop w:val="0"/>
                      <w:marBottom w:val="0"/>
                      <w:divBdr>
                        <w:top w:val="none" w:sz="0" w:space="0" w:color="auto"/>
                        <w:left w:val="none" w:sz="0" w:space="0" w:color="auto"/>
                        <w:bottom w:val="none" w:sz="0" w:space="0" w:color="auto"/>
                        <w:right w:val="none" w:sz="0" w:space="0" w:color="auto"/>
                      </w:divBdr>
                    </w:div>
                  </w:divsChild>
                </w:div>
                <w:div w:id="757672399">
                  <w:marLeft w:val="0"/>
                  <w:marRight w:val="0"/>
                  <w:marTop w:val="0"/>
                  <w:marBottom w:val="0"/>
                  <w:divBdr>
                    <w:top w:val="none" w:sz="0" w:space="0" w:color="auto"/>
                    <w:left w:val="none" w:sz="0" w:space="0" w:color="auto"/>
                    <w:bottom w:val="none" w:sz="0" w:space="0" w:color="auto"/>
                    <w:right w:val="none" w:sz="0" w:space="0" w:color="auto"/>
                  </w:divBdr>
                  <w:divsChild>
                    <w:div w:id="574434075">
                      <w:marLeft w:val="0"/>
                      <w:marRight w:val="0"/>
                      <w:marTop w:val="0"/>
                      <w:marBottom w:val="0"/>
                      <w:divBdr>
                        <w:top w:val="none" w:sz="0" w:space="0" w:color="auto"/>
                        <w:left w:val="none" w:sz="0" w:space="0" w:color="auto"/>
                        <w:bottom w:val="none" w:sz="0" w:space="0" w:color="auto"/>
                        <w:right w:val="none" w:sz="0" w:space="0" w:color="auto"/>
                      </w:divBdr>
                    </w:div>
                  </w:divsChild>
                </w:div>
                <w:div w:id="836456142">
                  <w:marLeft w:val="0"/>
                  <w:marRight w:val="0"/>
                  <w:marTop w:val="0"/>
                  <w:marBottom w:val="0"/>
                  <w:divBdr>
                    <w:top w:val="none" w:sz="0" w:space="0" w:color="auto"/>
                    <w:left w:val="none" w:sz="0" w:space="0" w:color="auto"/>
                    <w:bottom w:val="none" w:sz="0" w:space="0" w:color="auto"/>
                    <w:right w:val="none" w:sz="0" w:space="0" w:color="auto"/>
                  </w:divBdr>
                  <w:divsChild>
                    <w:div w:id="2089378904">
                      <w:marLeft w:val="0"/>
                      <w:marRight w:val="0"/>
                      <w:marTop w:val="0"/>
                      <w:marBottom w:val="0"/>
                      <w:divBdr>
                        <w:top w:val="none" w:sz="0" w:space="0" w:color="auto"/>
                        <w:left w:val="none" w:sz="0" w:space="0" w:color="auto"/>
                        <w:bottom w:val="none" w:sz="0" w:space="0" w:color="auto"/>
                        <w:right w:val="none" w:sz="0" w:space="0" w:color="auto"/>
                      </w:divBdr>
                    </w:div>
                  </w:divsChild>
                </w:div>
                <w:div w:id="941641812">
                  <w:marLeft w:val="0"/>
                  <w:marRight w:val="0"/>
                  <w:marTop w:val="0"/>
                  <w:marBottom w:val="0"/>
                  <w:divBdr>
                    <w:top w:val="none" w:sz="0" w:space="0" w:color="auto"/>
                    <w:left w:val="none" w:sz="0" w:space="0" w:color="auto"/>
                    <w:bottom w:val="none" w:sz="0" w:space="0" w:color="auto"/>
                    <w:right w:val="none" w:sz="0" w:space="0" w:color="auto"/>
                  </w:divBdr>
                  <w:divsChild>
                    <w:div w:id="1174419054">
                      <w:marLeft w:val="0"/>
                      <w:marRight w:val="0"/>
                      <w:marTop w:val="0"/>
                      <w:marBottom w:val="0"/>
                      <w:divBdr>
                        <w:top w:val="none" w:sz="0" w:space="0" w:color="auto"/>
                        <w:left w:val="none" w:sz="0" w:space="0" w:color="auto"/>
                        <w:bottom w:val="none" w:sz="0" w:space="0" w:color="auto"/>
                        <w:right w:val="none" w:sz="0" w:space="0" w:color="auto"/>
                      </w:divBdr>
                    </w:div>
                  </w:divsChild>
                </w:div>
                <w:div w:id="954099064">
                  <w:marLeft w:val="0"/>
                  <w:marRight w:val="0"/>
                  <w:marTop w:val="0"/>
                  <w:marBottom w:val="0"/>
                  <w:divBdr>
                    <w:top w:val="none" w:sz="0" w:space="0" w:color="auto"/>
                    <w:left w:val="none" w:sz="0" w:space="0" w:color="auto"/>
                    <w:bottom w:val="none" w:sz="0" w:space="0" w:color="auto"/>
                    <w:right w:val="none" w:sz="0" w:space="0" w:color="auto"/>
                  </w:divBdr>
                  <w:divsChild>
                    <w:div w:id="76833043">
                      <w:marLeft w:val="0"/>
                      <w:marRight w:val="0"/>
                      <w:marTop w:val="0"/>
                      <w:marBottom w:val="0"/>
                      <w:divBdr>
                        <w:top w:val="none" w:sz="0" w:space="0" w:color="auto"/>
                        <w:left w:val="none" w:sz="0" w:space="0" w:color="auto"/>
                        <w:bottom w:val="none" w:sz="0" w:space="0" w:color="auto"/>
                        <w:right w:val="none" w:sz="0" w:space="0" w:color="auto"/>
                      </w:divBdr>
                    </w:div>
                  </w:divsChild>
                </w:div>
                <w:div w:id="963275275">
                  <w:marLeft w:val="0"/>
                  <w:marRight w:val="0"/>
                  <w:marTop w:val="0"/>
                  <w:marBottom w:val="0"/>
                  <w:divBdr>
                    <w:top w:val="none" w:sz="0" w:space="0" w:color="auto"/>
                    <w:left w:val="none" w:sz="0" w:space="0" w:color="auto"/>
                    <w:bottom w:val="none" w:sz="0" w:space="0" w:color="auto"/>
                    <w:right w:val="none" w:sz="0" w:space="0" w:color="auto"/>
                  </w:divBdr>
                  <w:divsChild>
                    <w:div w:id="1483303892">
                      <w:marLeft w:val="0"/>
                      <w:marRight w:val="0"/>
                      <w:marTop w:val="0"/>
                      <w:marBottom w:val="0"/>
                      <w:divBdr>
                        <w:top w:val="none" w:sz="0" w:space="0" w:color="auto"/>
                        <w:left w:val="none" w:sz="0" w:space="0" w:color="auto"/>
                        <w:bottom w:val="none" w:sz="0" w:space="0" w:color="auto"/>
                        <w:right w:val="none" w:sz="0" w:space="0" w:color="auto"/>
                      </w:divBdr>
                    </w:div>
                  </w:divsChild>
                </w:div>
                <w:div w:id="1109469445">
                  <w:marLeft w:val="0"/>
                  <w:marRight w:val="0"/>
                  <w:marTop w:val="0"/>
                  <w:marBottom w:val="0"/>
                  <w:divBdr>
                    <w:top w:val="none" w:sz="0" w:space="0" w:color="auto"/>
                    <w:left w:val="none" w:sz="0" w:space="0" w:color="auto"/>
                    <w:bottom w:val="none" w:sz="0" w:space="0" w:color="auto"/>
                    <w:right w:val="none" w:sz="0" w:space="0" w:color="auto"/>
                  </w:divBdr>
                  <w:divsChild>
                    <w:div w:id="1228956220">
                      <w:marLeft w:val="0"/>
                      <w:marRight w:val="0"/>
                      <w:marTop w:val="0"/>
                      <w:marBottom w:val="0"/>
                      <w:divBdr>
                        <w:top w:val="none" w:sz="0" w:space="0" w:color="auto"/>
                        <w:left w:val="none" w:sz="0" w:space="0" w:color="auto"/>
                        <w:bottom w:val="none" w:sz="0" w:space="0" w:color="auto"/>
                        <w:right w:val="none" w:sz="0" w:space="0" w:color="auto"/>
                      </w:divBdr>
                    </w:div>
                  </w:divsChild>
                </w:div>
                <w:div w:id="1113742583">
                  <w:marLeft w:val="0"/>
                  <w:marRight w:val="0"/>
                  <w:marTop w:val="0"/>
                  <w:marBottom w:val="0"/>
                  <w:divBdr>
                    <w:top w:val="none" w:sz="0" w:space="0" w:color="auto"/>
                    <w:left w:val="none" w:sz="0" w:space="0" w:color="auto"/>
                    <w:bottom w:val="none" w:sz="0" w:space="0" w:color="auto"/>
                    <w:right w:val="none" w:sz="0" w:space="0" w:color="auto"/>
                  </w:divBdr>
                  <w:divsChild>
                    <w:div w:id="1681615474">
                      <w:marLeft w:val="0"/>
                      <w:marRight w:val="0"/>
                      <w:marTop w:val="0"/>
                      <w:marBottom w:val="0"/>
                      <w:divBdr>
                        <w:top w:val="none" w:sz="0" w:space="0" w:color="auto"/>
                        <w:left w:val="none" w:sz="0" w:space="0" w:color="auto"/>
                        <w:bottom w:val="none" w:sz="0" w:space="0" w:color="auto"/>
                        <w:right w:val="none" w:sz="0" w:space="0" w:color="auto"/>
                      </w:divBdr>
                    </w:div>
                  </w:divsChild>
                </w:div>
                <w:div w:id="1152647402">
                  <w:marLeft w:val="0"/>
                  <w:marRight w:val="0"/>
                  <w:marTop w:val="0"/>
                  <w:marBottom w:val="0"/>
                  <w:divBdr>
                    <w:top w:val="none" w:sz="0" w:space="0" w:color="auto"/>
                    <w:left w:val="none" w:sz="0" w:space="0" w:color="auto"/>
                    <w:bottom w:val="none" w:sz="0" w:space="0" w:color="auto"/>
                    <w:right w:val="none" w:sz="0" w:space="0" w:color="auto"/>
                  </w:divBdr>
                  <w:divsChild>
                    <w:div w:id="1130321514">
                      <w:marLeft w:val="0"/>
                      <w:marRight w:val="0"/>
                      <w:marTop w:val="0"/>
                      <w:marBottom w:val="0"/>
                      <w:divBdr>
                        <w:top w:val="none" w:sz="0" w:space="0" w:color="auto"/>
                        <w:left w:val="none" w:sz="0" w:space="0" w:color="auto"/>
                        <w:bottom w:val="none" w:sz="0" w:space="0" w:color="auto"/>
                        <w:right w:val="none" w:sz="0" w:space="0" w:color="auto"/>
                      </w:divBdr>
                    </w:div>
                  </w:divsChild>
                </w:div>
                <w:div w:id="1199243692">
                  <w:marLeft w:val="0"/>
                  <w:marRight w:val="0"/>
                  <w:marTop w:val="0"/>
                  <w:marBottom w:val="0"/>
                  <w:divBdr>
                    <w:top w:val="none" w:sz="0" w:space="0" w:color="auto"/>
                    <w:left w:val="none" w:sz="0" w:space="0" w:color="auto"/>
                    <w:bottom w:val="none" w:sz="0" w:space="0" w:color="auto"/>
                    <w:right w:val="none" w:sz="0" w:space="0" w:color="auto"/>
                  </w:divBdr>
                  <w:divsChild>
                    <w:div w:id="1604023880">
                      <w:marLeft w:val="0"/>
                      <w:marRight w:val="0"/>
                      <w:marTop w:val="0"/>
                      <w:marBottom w:val="0"/>
                      <w:divBdr>
                        <w:top w:val="none" w:sz="0" w:space="0" w:color="auto"/>
                        <w:left w:val="none" w:sz="0" w:space="0" w:color="auto"/>
                        <w:bottom w:val="none" w:sz="0" w:space="0" w:color="auto"/>
                        <w:right w:val="none" w:sz="0" w:space="0" w:color="auto"/>
                      </w:divBdr>
                    </w:div>
                  </w:divsChild>
                </w:div>
                <w:div w:id="1204950935">
                  <w:marLeft w:val="0"/>
                  <w:marRight w:val="0"/>
                  <w:marTop w:val="0"/>
                  <w:marBottom w:val="0"/>
                  <w:divBdr>
                    <w:top w:val="none" w:sz="0" w:space="0" w:color="auto"/>
                    <w:left w:val="none" w:sz="0" w:space="0" w:color="auto"/>
                    <w:bottom w:val="none" w:sz="0" w:space="0" w:color="auto"/>
                    <w:right w:val="none" w:sz="0" w:space="0" w:color="auto"/>
                  </w:divBdr>
                  <w:divsChild>
                    <w:div w:id="1736126592">
                      <w:marLeft w:val="0"/>
                      <w:marRight w:val="0"/>
                      <w:marTop w:val="0"/>
                      <w:marBottom w:val="0"/>
                      <w:divBdr>
                        <w:top w:val="none" w:sz="0" w:space="0" w:color="auto"/>
                        <w:left w:val="none" w:sz="0" w:space="0" w:color="auto"/>
                        <w:bottom w:val="none" w:sz="0" w:space="0" w:color="auto"/>
                        <w:right w:val="none" w:sz="0" w:space="0" w:color="auto"/>
                      </w:divBdr>
                    </w:div>
                  </w:divsChild>
                </w:div>
                <w:div w:id="1230923546">
                  <w:marLeft w:val="0"/>
                  <w:marRight w:val="0"/>
                  <w:marTop w:val="0"/>
                  <w:marBottom w:val="0"/>
                  <w:divBdr>
                    <w:top w:val="none" w:sz="0" w:space="0" w:color="auto"/>
                    <w:left w:val="none" w:sz="0" w:space="0" w:color="auto"/>
                    <w:bottom w:val="none" w:sz="0" w:space="0" w:color="auto"/>
                    <w:right w:val="none" w:sz="0" w:space="0" w:color="auto"/>
                  </w:divBdr>
                  <w:divsChild>
                    <w:div w:id="157186388">
                      <w:marLeft w:val="0"/>
                      <w:marRight w:val="0"/>
                      <w:marTop w:val="0"/>
                      <w:marBottom w:val="0"/>
                      <w:divBdr>
                        <w:top w:val="none" w:sz="0" w:space="0" w:color="auto"/>
                        <w:left w:val="none" w:sz="0" w:space="0" w:color="auto"/>
                        <w:bottom w:val="none" w:sz="0" w:space="0" w:color="auto"/>
                        <w:right w:val="none" w:sz="0" w:space="0" w:color="auto"/>
                      </w:divBdr>
                    </w:div>
                  </w:divsChild>
                </w:div>
                <w:div w:id="1259288757">
                  <w:marLeft w:val="0"/>
                  <w:marRight w:val="0"/>
                  <w:marTop w:val="0"/>
                  <w:marBottom w:val="0"/>
                  <w:divBdr>
                    <w:top w:val="none" w:sz="0" w:space="0" w:color="auto"/>
                    <w:left w:val="none" w:sz="0" w:space="0" w:color="auto"/>
                    <w:bottom w:val="none" w:sz="0" w:space="0" w:color="auto"/>
                    <w:right w:val="none" w:sz="0" w:space="0" w:color="auto"/>
                  </w:divBdr>
                  <w:divsChild>
                    <w:div w:id="1118840730">
                      <w:marLeft w:val="0"/>
                      <w:marRight w:val="0"/>
                      <w:marTop w:val="0"/>
                      <w:marBottom w:val="0"/>
                      <w:divBdr>
                        <w:top w:val="none" w:sz="0" w:space="0" w:color="auto"/>
                        <w:left w:val="none" w:sz="0" w:space="0" w:color="auto"/>
                        <w:bottom w:val="none" w:sz="0" w:space="0" w:color="auto"/>
                        <w:right w:val="none" w:sz="0" w:space="0" w:color="auto"/>
                      </w:divBdr>
                    </w:div>
                  </w:divsChild>
                </w:div>
                <w:div w:id="1326205370">
                  <w:marLeft w:val="0"/>
                  <w:marRight w:val="0"/>
                  <w:marTop w:val="0"/>
                  <w:marBottom w:val="0"/>
                  <w:divBdr>
                    <w:top w:val="none" w:sz="0" w:space="0" w:color="auto"/>
                    <w:left w:val="none" w:sz="0" w:space="0" w:color="auto"/>
                    <w:bottom w:val="none" w:sz="0" w:space="0" w:color="auto"/>
                    <w:right w:val="none" w:sz="0" w:space="0" w:color="auto"/>
                  </w:divBdr>
                  <w:divsChild>
                    <w:div w:id="94715570">
                      <w:marLeft w:val="0"/>
                      <w:marRight w:val="0"/>
                      <w:marTop w:val="0"/>
                      <w:marBottom w:val="0"/>
                      <w:divBdr>
                        <w:top w:val="none" w:sz="0" w:space="0" w:color="auto"/>
                        <w:left w:val="none" w:sz="0" w:space="0" w:color="auto"/>
                        <w:bottom w:val="none" w:sz="0" w:space="0" w:color="auto"/>
                        <w:right w:val="none" w:sz="0" w:space="0" w:color="auto"/>
                      </w:divBdr>
                    </w:div>
                  </w:divsChild>
                </w:div>
                <w:div w:id="1545866277">
                  <w:marLeft w:val="0"/>
                  <w:marRight w:val="0"/>
                  <w:marTop w:val="0"/>
                  <w:marBottom w:val="0"/>
                  <w:divBdr>
                    <w:top w:val="none" w:sz="0" w:space="0" w:color="auto"/>
                    <w:left w:val="none" w:sz="0" w:space="0" w:color="auto"/>
                    <w:bottom w:val="none" w:sz="0" w:space="0" w:color="auto"/>
                    <w:right w:val="none" w:sz="0" w:space="0" w:color="auto"/>
                  </w:divBdr>
                  <w:divsChild>
                    <w:div w:id="1147938177">
                      <w:marLeft w:val="0"/>
                      <w:marRight w:val="0"/>
                      <w:marTop w:val="0"/>
                      <w:marBottom w:val="0"/>
                      <w:divBdr>
                        <w:top w:val="none" w:sz="0" w:space="0" w:color="auto"/>
                        <w:left w:val="none" w:sz="0" w:space="0" w:color="auto"/>
                        <w:bottom w:val="none" w:sz="0" w:space="0" w:color="auto"/>
                        <w:right w:val="none" w:sz="0" w:space="0" w:color="auto"/>
                      </w:divBdr>
                    </w:div>
                  </w:divsChild>
                </w:div>
                <w:div w:id="1570656940">
                  <w:marLeft w:val="0"/>
                  <w:marRight w:val="0"/>
                  <w:marTop w:val="0"/>
                  <w:marBottom w:val="0"/>
                  <w:divBdr>
                    <w:top w:val="none" w:sz="0" w:space="0" w:color="auto"/>
                    <w:left w:val="none" w:sz="0" w:space="0" w:color="auto"/>
                    <w:bottom w:val="none" w:sz="0" w:space="0" w:color="auto"/>
                    <w:right w:val="none" w:sz="0" w:space="0" w:color="auto"/>
                  </w:divBdr>
                  <w:divsChild>
                    <w:div w:id="428426627">
                      <w:marLeft w:val="0"/>
                      <w:marRight w:val="0"/>
                      <w:marTop w:val="0"/>
                      <w:marBottom w:val="0"/>
                      <w:divBdr>
                        <w:top w:val="none" w:sz="0" w:space="0" w:color="auto"/>
                        <w:left w:val="none" w:sz="0" w:space="0" w:color="auto"/>
                        <w:bottom w:val="none" w:sz="0" w:space="0" w:color="auto"/>
                        <w:right w:val="none" w:sz="0" w:space="0" w:color="auto"/>
                      </w:divBdr>
                    </w:div>
                  </w:divsChild>
                </w:div>
                <w:div w:id="1650208529">
                  <w:marLeft w:val="0"/>
                  <w:marRight w:val="0"/>
                  <w:marTop w:val="0"/>
                  <w:marBottom w:val="0"/>
                  <w:divBdr>
                    <w:top w:val="none" w:sz="0" w:space="0" w:color="auto"/>
                    <w:left w:val="none" w:sz="0" w:space="0" w:color="auto"/>
                    <w:bottom w:val="none" w:sz="0" w:space="0" w:color="auto"/>
                    <w:right w:val="none" w:sz="0" w:space="0" w:color="auto"/>
                  </w:divBdr>
                  <w:divsChild>
                    <w:div w:id="1528253298">
                      <w:marLeft w:val="0"/>
                      <w:marRight w:val="0"/>
                      <w:marTop w:val="0"/>
                      <w:marBottom w:val="0"/>
                      <w:divBdr>
                        <w:top w:val="none" w:sz="0" w:space="0" w:color="auto"/>
                        <w:left w:val="none" w:sz="0" w:space="0" w:color="auto"/>
                        <w:bottom w:val="none" w:sz="0" w:space="0" w:color="auto"/>
                        <w:right w:val="none" w:sz="0" w:space="0" w:color="auto"/>
                      </w:divBdr>
                    </w:div>
                  </w:divsChild>
                </w:div>
                <w:div w:id="1735809823">
                  <w:marLeft w:val="0"/>
                  <w:marRight w:val="0"/>
                  <w:marTop w:val="0"/>
                  <w:marBottom w:val="0"/>
                  <w:divBdr>
                    <w:top w:val="none" w:sz="0" w:space="0" w:color="auto"/>
                    <w:left w:val="none" w:sz="0" w:space="0" w:color="auto"/>
                    <w:bottom w:val="none" w:sz="0" w:space="0" w:color="auto"/>
                    <w:right w:val="none" w:sz="0" w:space="0" w:color="auto"/>
                  </w:divBdr>
                  <w:divsChild>
                    <w:div w:id="502017373">
                      <w:marLeft w:val="0"/>
                      <w:marRight w:val="0"/>
                      <w:marTop w:val="0"/>
                      <w:marBottom w:val="0"/>
                      <w:divBdr>
                        <w:top w:val="none" w:sz="0" w:space="0" w:color="auto"/>
                        <w:left w:val="none" w:sz="0" w:space="0" w:color="auto"/>
                        <w:bottom w:val="none" w:sz="0" w:space="0" w:color="auto"/>
                        <w:right w:val="none" w:sz="0" w:space="0" w:color="auto"/>
                      </w:divBdr>
                    </w:div>
                  </w:divsChild>
                </w:div>
                <w:div w:id="1756975698">
                  <w:marLeft w:val="0"/>
                  <w:marRight w:val="0"/>
                  <w:marTop w:val="0"/>
                  <w:marBottom w:val="0"/>
                  <w:divBdr>
                    <w:top w:val="none" w:sz="0" w:space="0" w:color="auto"/>
                    <w:left w:val="none" w:sz="0" w:space="0" w:color="auto"/>
                    <w:bottom w:val="none" w:sz="0" w:space="0" w:color="auto"/>
                    <w:right w:val="none" w:sz="0" w:space="0" w:color="auto"/>
                  </w:divBdr>
                  <w:divsChild>
                    <w:div w:id="18506735">
                      <w:marLeft w:val="0"/>
                      <w:marRight w:val="0"/>
                      <w:marTop w:val="0"/>
                      <w:marBottom w:val="0"/>
                      <w:divBdr>
                        <w:top w:val="none" w:sz="0" w:space="0" w:color="auto"/>
                        <w:left w:val="none" w:sz="0" w:space="0" w:color="auto"/>
                        <w:bottom w:val="none" w:sz="0" w:space="0" w:color="auto"/>
                        <w:right w:val="none" w:sz="0" w:space="0" w:color="auto"/>
                      </w:divBdr>
                    </w:div>
                  </w:divsChild>
                </w:div>
                <w:div w:id="1778139841">
                  <w:marLeft w:val="0"/>
                  <w:marRight w:val="0"/>
                  <w:marTop w:val="0"/>
                  <w:marBottom w:val="0"/>
                  <w:divBdr>
                    <w:top w:val="none" w:sz="0" w:space="0" w:color="auto"/>
                    <w:left w:val="none" w:sz="0" w:space="0" w:color="auto"/>
                    <w:bottom w:val="none" w:sz="0" w:space="0" w:color="auto"/>
                    <w:right w:val="none" w:sz="0" w:space="0" w:color="auto"/>
                  </w:divBdr>
                  <w:divsChild>
                    <w:div w:id="1879975204">
                      <w:marLeft w:val="0"/>
                      <w:marRight w:val="0"/>
                      <w:marTop w:val="0"/>
                      <w:marBottom w:val="0"/>
                      <w:divBdr>
                        <w:top w:val="none" w:sz="0" w:space="0" w:color="auto"/>
                        <w:left w:val="none" w:sz="0" w:space="0" w:color="auto"/>
                        <w:bottom w:val="none" w:sz="0" w:space="0" w:color="auto"/>
                        <w:right w:val="none" w:sz="0" w:space="0" w:color="auto"/>
                      </w:divBdr>
                    </w:div>
                  </w:divsChild>
                </w:div>
                <w:div w:id="1891110388">
                  <w:marLeft w:val="0"/>
                  <w:marRight w:val="0"/>
                  <w:marTop w:val="0"/>
                  <w:marBottom w:val="0"/>
                  <w:divBdr>
                    <w:top w:val="none" w:sz="0" w:space="0" w:color="auto"/>
                    <w:left w:val="none" w:sz="0" w:space="0" w:color="auto"/>
                    <w:bottom w:val="none" w:sz="0" w:space="0" w:color="auto"/>
                    <w:right w:val="none" w:sz="0" w:space="0" w:color="auto"/>
                  </w:divBdr>
                  <w:divsChild>
                    <w:div w:id="1508597196">
                      <w:marLeft w:val="0"/>
                      <w:marRight w:val="0"/>
                      <w:marTop w:val="0"/>
                      <w:marBottom w:val="0"/>
                      <w:divBdr>
                        <w:top w:val="none" w:sz="0" w:space="0" w:color="auto"/>
                        <w:left w:val="none" w:sz="0" w:space="0" w:color="auto"/>
                        <w:bottom w:val="none" w:sz="0" w:space="0" w:color="auto"/>
                        <w:right w:val="none" w:sz="0" w:space="0" w:color="auto"/>
                      </w:divBdr>
                    </w:div>
                  </w:divsChild>
                </w:div>
                <w:div w:id="2095786055">
                  <w:marLeft w:val="0"/>
                  <w:marRight w:val="0"/>
                  <w:marTop w:val="0"/>
                  <w:marBottom w:val="0"/>
                  <w:divBdr>
                    <w:top w:val="none" w:sz="0" w:space="0" w:color="auto"/>
                    <w:left w:val="none" w:sz="0" w:space="0" w:color="auto"/>
                    <w:bottom w:val="none" w:sz="0" w:space="0" w:color="auto"/>
                    <w:right w:val="none" w:sz="0" w:space="0" w:color="auto"/>
                  </w:divBdr>
                  <w:divsChild>
                    <w:div w:id="584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90327">
          <w:marLeft w:val="0"/>
          <w:marRight w:val="0"/>
          <w:marTop w:val="0"/>
          <w:marBottom w:val="0"/>
          <w:divBdr>
            <w:top w:val="none" w:sz="0" w:space="0" w:color="auto"/>
            <w:left w:val="none" w:sz="0" w:space="0" w:color="auto"/>
            <w:bottom w:val="none" w:sz="0" w:space="0" w:color="auto"/>
            <w:right w:val="none" w:sz="0" w:space="0" w:color="auto"/>
          </w:divBdr>
        </w:div>
        <w:div w:id="2009209217">
          <w:marLeft w:val="0"/>
          <w:marRight w:val="0"/>
          <w:marTop w:val="0"/>
          <w:marBottom w:val="0"/>
          <w:divBdr>
            <w:top w:val="none" w:sz="0" w:space="0" w:color="auto"/>
            <w:left w:val="none" w:sz="0" w:space="0" w:color="auto"/>
            <w:bottom w:val="none" w:sz="0" w:space="0" w:color="auto"/>
            <w:right w:val="none" w:sz="0" w:space="0" w:color="auto"/>
          </w:divBdr>
        </w:div>
        <w:div w:id="2035034706">
          <w:marLeft w:val="0"/>
          <w:marRight w:val="0"/>
          <w:marTop w:val="0"/>
          <w:marBottom w:val="0"/>
          <w:divBdr>
            <w:top w:val="none" w:sz="0" w:space="0" w:color="auto"/>
            <w:left w:val="none" w:sz="0" w:space="0" w:color="auto"/>
            <w:bottom w:val="none" w:sz="0" w:space="0" w:color="auto"/>
            <w:right w:val="none" w:sz="0" w:space="0" w:color="auto"/>
          </w:divBdr>
          <w:divsChild>
            <w:div w:id="1936866505">
              <w:marLeft w:val="-75"/>
              <w:marRight w:val="0"/>
              <w:marTop w:val="30"/>
              <w:marBottom w:val="30"/>
              <w:divBdr>
                <w:top w:val="none" w:sz="0" w:space="0" w:color="auto"/>
                <w:left w:val="none" w:sz="0" w:space="0" w:color="auto"/>
                <w:bottom w:val="none" w:sz="0" w:space="0" w:color="auto"/>
                <w:right w:val="none" w:sz="0" w:space="0" w:color="auto"/>
              </w:divBdr>
              <w:divsChild>
                <w:div w:id="74980637">
                  <w:marLeft w:val="0"/>
                  <w:marRight w:val="0"/>
                  <w:marTop w:val="0"/>
                  <w:marBottom w:val="0"/>
                  <w:divBdr>
                    <w:top w:val="none" w:sz="0" w:space="0" w:color="auto"/>
                    <w:left w:val="none" w:sz="0" w:space="0" w:color="auto"/>
                    <w:bottom w:val="none" w:sz="0" w:space="0" w:color="auto"/>
                    <w:right w:val="none" w:sz="0" w:space="0" w:color="auto"/>
                  </w:divBdr>
                  <w:divsChild>
                    <w:div w:id="1014461141">
                      <w:marLeft w:val="0"/>
                      <w:marRight w:val="0"/>
                      <w:marTop w:val="0"/>
                      <w:marBottom w:val="0"/>
                      <w:divBdr>
                        <w:top w:val="none" w:sz="0" w:space="0" w:color="auto"/>
                        <w:left w:val="none" w:sz="0" w:space="0" w:color="auto"/>
                        <w:bottom w:val="none" w:sz="0" w:space="0" w:color="auto"/>
                        <w:right w:val="none" w:sz="0" w:space="0" w:color="auto"/>
                      </w:divBdr>
                    </w:div>
                  </w:divsChild>
                </w:div>
                <w:div w:id="108398640">
                  <w:marLeft w:val="0"/>
                  <w:marRight w:val="0"/>
                  <w:marTop w:val="0"/>
                  <w:marBottom w:val="0"/>
                  <w:divBdr>
                    <w:top w:val="none" w:sz="0" w:space="0" w:color="auto"/>
                    <w:left w:val="none" w:sz="0" w:space="0" w:color="auto"/>
                    <w:bottom w:val="none" w:sz="0" w:space="0" w:color="auto"/>
                    <w:right w:val="none" w:sz="0" w:space="0" w:color="auto"/>
                  </w:divBdr>
                  <w:divsChild>
                    <w:div w:id="940836878">
                      <w:marLeft w:val="0"/>
                      <w:marRight w:val="0"/>
                      <w:marTop w:val="0"/>
                      <w:marBottom w:val="0"/>
                      <w:divBdr>
                        <w:top w:val="none" w:sz="0" w:space="0" w:color="auto"/>
                        <w:left w:val="none" w:sz="0" w:space="0" w:color="auto"/>
                        <w:bottom w:val="none" w:sz="0" w:space="0" w:color="auto"/>
                        <w:right w:val="none" w:sz="0" w:space="0" w:color="auto"/>
                      </w:divBdr>
                    </w:div>
                  </w:divsChild>
                </w:div>
                <w:div w:id="139075864">
                  <w:marLeft w:val="0"/>
                  <w:marRight w:val="0"/>
                  <w:marTop w:val="0"/>
                  <w:marBottom w:val="0"/>
                  <w:divBdr>
                    <w:top w:val="none" w:sz="0" w:space="0" w:color="auto"/>
                    <w:left w:val="none" w:sz="0" w:space="0" w:color="auto"/>
                    <w:bottom w:val="none" w:sz="0" w:space="0" w:color="auto"/>
                    <w:right w:val="none" w:sz="0" w:space="0" w:color="auto"/>
                  </w:divBdr>
                  <w:divsChild>
                    <w:div w:id="1293242614">
                      <w:marLeft w:val="0"/>
                      <w:marRight w:val="0"/>
                      <w:marTop w:val="0"/>
                      <w:marBottom w:val="0"/>
                      <w:divBdr>
                        <w:top w:val="none" w:sz="0" w:space="0" w:color="auto"/>
                        <w:left w:val="none" w:sz="0" w:space="0" w:color="auto"/>
                        <w:bottom w:val="none" w:sz="0" w:space="0" w:color="auto"/>
                        <w:right w:val="none" w:sz="0" w:space="0" w:color="auto"/>
                      </w:divBdr>
                    </w:div>
                  </w:divsChild>
                </w:div>
                <w:div w:id="532419608">
                  <w:marLeft w:val="0"/>
                  <w:marRight w:val="0"/>
                  <w:marTop w:val="0"/>
                  <w:marBottom w:val="0"/>
                  <w:divBdr>
                    <w:top w:val="none" w:sz="0" w:space="0" w:color="auto"/>
                    <w:left w:val="none" w:sz="0" w:space="0" w:color="auto"/>
                    <w:bottom w:val="none" w:sz="0" w:space="0" w:color="auto"/>
                    <w:right w:val="none" w:sz="0" w:space="0" w:color="auto"/>
                  </w:divBdr>
                  <w:divsChild>
                    <w:div w:id="665280256">
                      <w:marLeft w:val="0"/>
                      <w:marRight w:val="0"/>
                      <w:marTop w:val="0"/>
                      <w:marBottom w:val="0"/>
                      <w:divBdr>
                        <w:top w:val="none" w:sz="0" w:space="0" w:color="auto"/>
                        <w:left w:val="none" w:sz="0" w:space="0" w:color="auto"/>
                        <w:bottom w:val="none" w:sz="0" w:space="0" w:color="auto"/>
                        <w:right w:val="none" w:sz="0" w:space="0" w:color="auto"/>
                      </w:divBdr>
                    </w:div>
                  </w:divsChild>
                </w:div>
                <w:div w:id="597561209">
                  <w:marLeft w:val="0"/>
                  <w:marRight w:val="0"/>
                  <w:marTop w:val="0"/>
                  <w:marBottom w:val="0"/>
                  <w:divBdr>
                    <w:top w:val="none" w:sz="0" w:space="0" w:color="auto"/>
                    <w:left w:val="none" w:sz="0" w:space="0" w:color="auto"/>
                    <w:bottom w:val="none" w:sz="0" w:space="0" w:color="auto"/>
                    <w:right w:val="none" w:sz="0" w:space="0" w:color="auto"/>
                  </w:divBdr>
                  <w:divsChild>
                    <w:div w:id="1649019108">
                      <w:marLeft w:val="0"/>
                      <w:marRight w:val="0"/>
                      <w:marTop w:val="0"/>
                      <w:marBottom w:val="0"/>
                      <w:divBdr>
                        <w:top w:val="none" w:sz="0" w:space="0" w:color="auto"/>
                        <w:left w:val="none" w:sz="0" w:space="0" w:color="auto"/>
                        <w:bottom w:val="none" w:sz="0" w:space="0" w:color="auto"/>
                        <w:right w:val="none" w:sz="0" w:space="0" w:color="auto"/>
                      </w:divBdr>
                    </w:div>
                  </w:divsChild>
                </w:div>
                <w:div w:id="672072048">
                  <w:marLeft w:val="0"/>
                  <w:marRight w:val="0"/>
                  <w:marTop w:val="0"/>
                  <w:marBottom w:val="0"/>
                  <w:divBdr>
                    <w:top w:val="none" w:sz="0" w:space="0" w:color="auto"/>
                    <w:left w:val="none" w:sz="0" w:space="0" w:color="auto"/>
                    <w:bottom w:val="none" w:sz="0" w:space="0" w:color="auto"/>
                    <w:right w:val="none" w:sz="0" w:space="0" w:color="auto"/>
                  </w:divBdr>
                  <w:divsChild>
                    <w:div w:id="1722365253">
                      <w:marLeft w:val="0"/>
                      <w:marRight w:val="0"/>
                      <w:marTop w:val="0"/>
                      <w:marBottom w:val="0"/>
                      <w:divBdr>
                        <w:top w:val="none" w:sz="0" w:space="0" w:color="auto"/>
                        <w:left w:val="none" w:sz="0" w:space="0" w:color="auto"/>
                        <w:bottom w:val="none" w:sz="0" w:space="0" w:color="auto"/>
                        <w:right w:val="none" w:sz="0" w:space="0" w:color="auto"/>
                      </w:divBdr>
                    </w:div>
                  </w:divsChild>
                </w:div>
                <w:div w:id="722486422">
                  <w:marLeft w:val="0"/>
                  <w:marRight w:val="0"/>
                  <w:marTop w:val="0"/>
                  <w:marBottom w:val="0"/>
                  <w:divBdr>
                    <w:top w:val="none" w:sz="0" w:space="0" w:color="auto"/>
                    <w:left w:val="none" w:sz="0" w:space="0" w:color="auto"/>
                    <w:bottom w:val="none" w:sz="0" w:space="0" w:color="auto"/>
                    <w:right w:val="none" w:sz="0" w:space="0" w:color="auto"/>
                  </w:divBdr>
                  <w:divsChild>
                    <w:div w:id="772700947">
                      <w:marLeft w:val="0"/>
                      <w:marRight w:val="0"/>
                      <w:marTop w:val="0"/>
                      <w:marBottom w:val="0"/>
                      <w:divBdr>
                        <w:top w:val="none" w:sz="0" w:space="0" w:color="auto"/>
                        <w:left w:val="none" w:sz="0" w:space="0" w:color="auto"/>
                        <w:bottom w:val="none" w:sz="0" w:space="0" w:color="auto"/>
                        <w:right w:val="none" w:sz="0" w:space="0" w:color="auto"/>
                      </w:divBdr>
                    </w:div>
                  </w:divsChild>
                </w:div>
                <w:div w:id="790131943">
                  <w:marLeft w:val="0"/>
                  <w:marRight w:val="0"/>
                  <w:marTop w:val="0"/>
                  <w:marBottom w:val="0"/>
                  <w:divBdr>
                    <w:top w:val="none" w:sz="0" w:space="0" w:color="auto"/>
                    <w:left w:val="none" w:sz="0" w:space="0" w:color="auto"/>
                    <w:bottom w:val="none" w:sz="0" w:space="0" w:color="auto"/>
                    <w:right w:val="none" w:sz="0" w:space="0" w:color="auto"/>
                  </w:divBdr>
                  <w:divsChild>
                    <w:div w:id="978072027">
                      <w:marLeft w:val="0"/>
                      <w:marRight w:val="0"/>
                      <w:marTop w:val="0"/>
                      <w:marBottom w:val="0"/>
                      <w:divBdr>
                        <w:top w:val="none" w:sz="0" w:space="0" w:color="auto"/>
                        <w:left w:val="none" w:sz="0" w:space="0" w:color="auto"/>
                        <w:bottom w:val="none" w:sz="0" w:space="0" w:color="auto"/>
                        <w:right w:val="none" w:sz="0" w:space="0" w:color="auto"/>
                      </w:divBdr>
                    </w:div>
                  </w:divsChild>
                </w:div>
                <w:div w:id="808790625">
                  <w:marLeft w:val="0"/>
                  <w:marRight w:val="0"/>
                  <w:marTop w:val="0"/>
                  <w:marBottom w:val="0"/>
                  <w:divBdr>
                    <w:top w:val="none" w:sz="0" w:space="0" w:color="auto"/>
                    <w:left w:val="none" w:sz="0" w:space="0" w:color="auto"/>
                    <w:bottom w:val="none" w:sz="0" w:space="0" w:color="auto"/>
                    <w:right w:val="none" w:sz="0" w:space="0" w:color="auto"/>
                  </w:divBdr>
                  <w:divsChild>
                    <w:div w:id="711421324">
                      <w:marLeft w:val="0"/>
                      <w:marRight w:val="0"/>
                      <w:marTop w:val="0"/>
                      <w:marBottom w:val="0"/>
                      <w:divBdr>
                        <w:top w:val="none" w:sz="0" w:space="0" w:color="auto"/>
                        <w:left w:val="none" w:sz="0" w:space="0" w:color="auto"/>
                        <w:bottom w:val="none" w:sz="0" w:space="0" w:color="auto"/>
                        <w:right w:val="none" w:sz="0" w:space="0" w:color="auto"/>
                      </w:divBdr>
                    </w:div>
                  </w:divsChild>
                </w:div>
                <w:div w:id="864830396">
                  <w:marLeft w:val="0"/>
                  <w:marRight w:val="0"/>
                  <w:marTop w:val="0"/>
                  <w:marBottom w:val="0"/>
                  <w:divBdr>
                    <w:top w:val="none" w:sz="0" w:space="0" w:color="auto"/>
                    <w:left w:val="none" w:sz="0" w:space="0" w:color="auto"/>
                    <w:bottom w:val="none" w:sz="0" w:space="0" w:color="auto"/>
                    <w:right w:val="none" w:sz="0" w:space="0" w:color="auto"/>
                  </w:divBdr>
                  <w:divsChild>
                    <w:div w:id="300815870">
                      <w:marLeft w:val="0"/>
                      <w:marRight w:val="0"/>
                      <w:marTop w:val="0"/>
                      <w:marBottom w:val="0"/>
                      <w:divBdr>
                        <w:top w:val="none" w:sz="0" w:space="0" w:color="auto"/>
                        <w:left w:val="none" w:sz="0" w:space="0" w:color="auto"/>
                        <w:bottom w:val="none" w:sz="0" w:space="0" w:color="auto"/>
                        <w:right w:val="none" w:sz="0" w:space="0" w:color="auto"/>
                      </w:divBdr>
                    </w:div>
                  </w:divsChild>
                </w:div>
                <w:div w:id="882401996">
                  <w:marLeft w:val="0"/>
                  <w:marRight w:val="0"/>
                  <w:marTop w:val="0"/>
                  <w:marBottom w:val="0"/>
                  <w:divBdr>
                    <w:top w:val="none" w:sz="0" w:space="0" w:color="auto"/>
                    <w:left w:val="none" w:sz="0" w:space="0" w:color="auto"/>
                    <w:bottom w:val="none" w:sz="0" w:space="0" w:color="auto"/>
                    <w:right w:val="none" w:sz="0" w:space="0" w:color="auto"/>
                  </w:divBdr>
                  <w:divsChild>
                    <w:div w:id="1832870496">
                      <w:marLeft w:val="0"/>
                      <w:marRight w:val="0"/>
                      <w:marTop w:val="0"/>
                      <w:marBottom w:val="0"/>
                      <w:divBdr>
                        <w:top w:val="none" w:sz="0" w:space="0" w:color="auto"/>
                        <w:left w:val="none" w:sz="0" w:space="0" w:color="auto"/>
                        <w:bottom w:val="none" w:sz="0" w:space="0" w:color="auto"/>
                        <w:right w:val="none" w:sz="0" w:space="0" w:color="auto"/>
                      </w:divBdr>
                    </w:div>
                  </w:divsChild>
                </w:div>
                <w:div w:id="892693852">
                  <w:marLeft w:val="0"/>
                  <w:marRight w:val="0"/>
                  <w:marTop w:val="0"/>
                  <w:marBottom w:val="0"/>
                  <w:divBdr>
                    <w:top w:val="none" w:sz="0" w:space="0" w:color="auto"/>
                    <w:left w:val="none" w:sz="0" w:space="0" w:color="auto"/>
                    <w:bottom w:val="none" w:sz="0" w:space="0" w:color="auto"/>
                    <w:right w:val="none" w:sz="0" w:space="0" w:color="auto"/>
                  </w:divBdr>
                  <w:divsChild>
                    <w:div w:id="1687706648">
                      <w:marLeft w:val="0"/>
                      <w:marRight w:val="0"/>
                      <w:marTop w:val="0"/>
                      <w:marBottom w:val="0"/>
                      <w:divBdr>
                        <w:top w:val="none" w:sz="0" w:space="0" w:color="auto"/>
                        <w:left w:val="none" w:sz="0" w:space="0" w:color="auto"/>
                        <w:bottom w:val="none" w:sz="0" w:space="0" w:color="auto"/>
                        <w:right w:val="none" w:sz="0" w:space="0" w:color="auto"/>
                      </w:divBdr>
                    </w:div>
                  </w:divsChild>
                </w:div>
                <w:div w:id="985818965">
                  <w:marLeft w:val="0"/>
                  <w:marRight w:val="0"/>
                  <w:marTop w:val="0"/>
                  <w:marBottom w:val="0"/>
                  <w:divBdr>
                    <w:top w:val="none" w:sz="0" w:space="0" w:color="auto"/>
                    <w:left w:val="none" w:sz="0" w:space="0" w:color="auto"/>
                    <w:bottom w:val="none" w:sz="0" w:space="0" w:color="auto"/>
                    <w:right w:val="none" w:sz="0" w:space="0" w:color="auto"/>
                  </w:divBdr>
                  <w:divsChild>
                    <w:div w:id="1651448158">
                      <w:marLeft w:val="0"/>
                      <w:marRight w:val="0"/>
                      <w:marTop w:val="0"/>
                      <w:marBottom w:val="0"/>
                      <w:divBdr>
                        <w:top w:val="none" w:sz="0" w:space="0" w:color="auto"/>
                        <w:left w:val="none" w:sz="0" w:space="0" w:color="auto"/>
                        <w:bottom w:val="none" w:sz="0" w:space="0" w:color="auto"/>
                        <w:right w:val="none" w:sz="0" w:space="0" w:color="auto"/>
                      </w:divBdr>
                    </w:div>
                  </w:divsChild>
                </w:div>
                <w:div w:id="1033380555">
                  <w:marLeft w:val="0"/>
                  <w:marRight w:val="0"/>
                  <w:marTop w:val="0"/>
                  <w:marBottom w:val="0"/>
                  <w:divBdr>
                    <w:top w:val="none" w:sz="0" w:space="0" w:color="auto"/>
                    <w:left w:val="none" w:sz="0" w:space="0" w:color="auto"/>
                    <w:bottom w:val="none" w:sz="0" w:space="0" w:color="auto"/>
                    <w:right w:val="none" w:sz="0" w:space="0" w:color="auto"/>
                  </w:divBdr>
                  <w:divsChild>
                    <w:div w:id="1988708128">
                      <w:marLeft w:val="0"/>
                      <w:marRight w:val="0"/>
                      <w:marTop w:val="0"/>
                      <w:marBottom w:val="0"/>
                      <w:divBdr>
                        <w:top w:val="none" w:sz="0" w:space="0" w:color="auto"/>
                        <w:left w:val="none" w:sz="0" w:space="0" w:color="auto"/>
                        <w:bottom w:val="none" w:sz="0" w:space="0" w:color="auto"/>
                        <w:right w:val="none" w:sz="0" w:space="0" w:color="auto"/>
                      </w:divBdr>
                    </w:div>
                  </w:divsChild>
                </w:div>
                <w:div w:id="1052774387">
                  <w:marLeft w:val="0"/>
                  <w:marRight w:val="0"/>
                  <w:marTop w:val="0"/>
                  <w:marBottom w:val="0"/>
                  <w:divBdr>
                    <w:top w:val="none" w:sz="0" w:space="0" w:color="auto"/>
                    <w:left w:val="none" w:sz="0" w:space="0" w:color="auto"/>
                    <w:bottom w:val="none" w:sz="0" w:space="0" w:color="auto"/>
                    <w:right w:val="none" w:sz="0" w:space="0" w:color="auto"/>
                  </w:divBdr>
                  <w:divsChild>
                    <w:div w:id="1291666231">
                      <w:marLeft w:val="0"/>
                      <w:marRight w:val="0"/>
                      <w:marTop w:val="0"/>
                      <w:marBottom w:val="0"/>
                      <w:divBdr>
                        <w:top w:val="none" w:sz="0" w:space="0" w:color="auto"/>
                        <w:left w:val="none" w:sz="0" w:space="0" w:color="auto"/>
                        <w:bottom w:val="none" w:sz="0" w:space="0" w:color="auto"/>
                        <w:right w:val="none" w:sz="0" w:space="0" w:color="auto"/>
                      </w:divBdr>
                    </w:div>
                  </w:divsChild>
                </w:div>
                <w:div w:id="1062756027">
                  <w:marLeft w:val="0"/>
                  <w:marRight w:val="0"/>
                  <w:marTop w:val="0"/>
                  <w:marBottom w:val="0"/>
                  <w:divBdr>
                    <w:top w:val="none" w:sz="0" w:space="0" w:color="auto"/>
                    <w:left w:val="none" w:sz="0" w:space="0" w:color="auto"/>
                    <w:bottom w:val="none" w:sz="0" w:space="0" w:color="auto"/>
                    <w:right w:val="none" w:sz="0" w:space="0" w:color="auto"/>
                  </w:divBdr>
                  <w:divsChild>
                    <w:div w:id="1815172777">
                      <w:marLeft w:val="0"/>
                      <w:marRight w:val="0"/>
                      <w:marTop w:val="0"/>
                      <w:marBottom w:val="0"/>
                      <w:divBdr>
                        <w:top w:val="none" w:sz="0" w:space="0" w:color="auto"/>
                        <w:left w:val="none" w:sz="0" w:space="0" w:color="auto"/>
                        <w:bottom w:val="none" w:sz="0" w:space="0" w:color="auto"/>
                        <w:right w:val="none" w:sz="0" w:space="0" w:color="auto"/>
                      </w:divBdr>
                    </w:div>
                  </w:divsChild>
                </w:div>
                <w:div w:id="1077173102">
                  <w:marLeft w:val="0"/>
                  <w:marRight w:val="0"/>
                  <w:marTop w:val="0"/>
                  <w:marBottom w:val="0"/>
                  <w:divBdr>
                    <w:top w:val="none" w:sz="0" w:space="0" w:color="auto"/>
                    <w:left w:val="none" w:sz="0" w:space="0" w:color="auto"/>
                    <w:bottom w:val="none" w:sz="0" w:space="0" w:color="auto"/>
                    <w:right w:val="none" w:sz="0" w:space="0" w:color="auto"/>
                  </w:divBdr>
                  <w:divsChild>
                    <w:div w:id="415126409">
                      <w:marLeft w:val="0"/>
                      <w:marRight w:val="0"/>
                      <w:marTop w:val="0"/>
                      <w:marBottom w:val="0"/>
                      <w:divBdr>
                        <w:top w:val="none" w:sz="0" w:space="0" w:color="auto"/>
                        <w:left w:val="none" w:sz="0" w:space="0" w:color="auto"/>
                        <w:bottom w:val="none" w:sz="0" w:space="0" w:color="auto"/>
                        <w:right w:val="none" w:sz="0" w:space="0" w:color="auto"/>
                      </w:divBdr>
                    </w:div>
                  </w:divsChild>
                </w:div>
                <w:div w:id="1309936871">
                  <w:marLeft w:val="0"/>
                  <w:marRight w:val="0"/>
                  <w:marTop w:val="0"/>
                  <w:marBottom w:val="0"/>
                  <w:divBdr>
                    <w:top w:val="none" w:sz="0" w:space="0" w:color="auto"/>
                    <w:left w:val="none" w:sz="0" w:space="0" w:color="auto"/>
                    <w:bottom w:val="none" w:sz="0" w:space="0" w:color="auto"/>
                    <w:right w:val="none" w:sz="0" w:space="0" w:color="auto"/>
                  </w:divBdr>
                  <w:divsChild>
                    <w:div w:id="1861553198">
                      <w:marLeft w:val="0"/>
                      <w:marRight w:val="0"/>
                      <w:marTop w:val="0"/>
                      <w:marBottom w:val="0"/>
                      <w:divBdr>
                        <w:top w:val="none" w:sz="0" w:space="0" w:color="auto"/>
                        <w:left w:val="none" w:sz="0" w:space="0" w:color="auto"/>
                        <w:bottom w:val="none" w:sz="0" w:space="0" w:color="auto"/>
                        <w:right w:val="none" w:sz="0" w:space="0" w:color="auto"/>
                      </w:divBdr>
                    </w:div>
                  </w:divsChild>
                </w:div>
                <w:div w:id="1491754762">
                  <w:marLeft w:val="0"/>
                  <w:marRight w:val="0"/>
                  <w:marTop w:val="0"/>
                  <w:marBottom w:val="0"/>
                  <w:divBdr>
                    <w:top w:val="none" w:sz="0" w:space="0" w:color="auto"/>
                    <w:left w:val="none" w:sz="0" w:space="0" w:color="auto"/>
                    <w:bottom w:val="none" w:sz="0" w:space="0" w:color="auto"/>
                    <w:right w:val="none" w:sz="0" w:space="0" w:color="auto"/>
                  </w:divBdr>
                  <w:divsChild>
                    <w:div w:id="1287586768">
                      <w:marLeft w:val="0"/>
                      <w:marRight w:val="0"/>
                      <w:marTop w:val="0"/>
                      <w:marBottom w:val="0"/>
                      <w:divBdr>
                        <w:top w:val="none" w:sz="0" w:space="0" w:color="auto"/>
                        <w:left w:val="none" w:sz="0" w:space="0" w:color="auto"/>
                        <w:bottom w:val="none" w:sz="0" w:space="0" w:color="auto"/>
                        <w:right w:val="none" w:sz="0" w:space="0" w:color="auto"/>
                      </w:divBdr>
                    </w:div>
                  </w:divsChild>
                </w:div>
                <w:div w:id="1512337952">
                  <w:marLeft w:val="0"/>
                  <w:marRight w:val="0"/>
                  <w:marTop w:val="0"/>
                  <w:marBottom w:val="0"/>
                  <w:divBdr>
                    <w:top w:val="none" w:sz="0" w:space="0" w:color="auto"/>
                    <w:left w:val="none" w:sz="0" w:space="0" w:color="auto"/>
                    <w:bottom w:val="none" w:sz="0" w:space="0" w:color="auto"/>
                    <w:right w:val="none" w:sz="0" w:space="0" w:color="auto"/>
                  </w:divBdr>
                  <w:divsChild>
                    <w:div w:id="508636789">
                      <w:marLeft w:val="0"/>
                      <w:marRight w:val="0"/>
                      <w:marTop w:val="0"/>
                      <w:marBottom w:val="0"/>
                      <w:divBdr>
                        <w:top w:val="none" w:sz="0" w:space="0" w:color="auto"/>
                        <w:left w:val="none" w:sz="0" w:space="0" w:color="auto"/>
                        <w:bottom w:val="none" w:sz="0" w:space="0" w:color="auto"/>
                        <w:right w:val="none" w:sz="0" w:space="0" w:color="auto"/>
                      </w:divBdr>
                    </w:div>
                  </w:divsChild>
                </w:div>
                <w:div w:id="1541085633">
                  <w:marLeft w:val="0"/>
                  <w:marRight w:val="0"/>
                  <w:marTop w:val="0"/>
                  <w:marBottom w:val="0"/>
                  <w:divBdr>
                    <w:top w:val="none" w:sz="0" w:space="0" w:color="auto"/>
                    <w:left w:val="none" w:sz="0" w:space="0" w:color="auto"/>
                    <w:bottom w:val="none" w:sz="0" w:space="0" w:color="auto"/>
                    <w:right w:val="none" w:sz="0" w:space="0" w:color="auto"/>
                  </w:divBdr>
                  <w:divsChild>
                    <w:div w:id="786895318">
                      <w:marLeft w:val="0"/>
                      <w:marRight w:val="0"/>
                      <w:marTop w:val="0"/>
                      <w:marBottom w:val="0"/>
                      <w:divBdr>
                        <w:top w:val="none" w:sz="0" w:space="0" w:color="auto"/>
                        <w:left w:val="none" w:sz="0" w:space="0" w:color="auto"/>
                        <w:bottom w:val="none" w:sz="0" w:space="0" w:color="auto"/>
                        <w:right w:val="none" w:sz="0" w:space="0" w:color="auto"/>
                      </w:divBdr>
                    </w:div>
                  </w:divsChild>
                </w:div>
                <w:div w:id="1594821805">
                  <w:marLeft w:val="0"/>
                  <w:marRight w:val="0"/>
                  <w:marTop w:val="0"/>
                  <w:marBottom w:val="0"/>
                  <w:divBdr>
                    <w:top w:val="none" w:sz="0" w:space="0" w:color="auto"/>
                    <w:left w:val="none" w:sz="0" w:space="0" w:color="auto"/>
                    <w:bottom w:val="none" w:sz="0" w:space="0" w:color="auto"/>
                    <w:right w:val="none" w:sz="0" w:space="0" w:color="auto"/>
                  </w:divBdr>
                  <w:divsChild>
                    <w:div w:id="251402674">
                      <w:marLeft w:val="0"/>
                      <w:marRight w:val="0"/>
                      <w:marTop w:val="0"/>
                      <w:marBottom w:val="0"/>
                      <w:divBdr>
                        <w:top w:val="none" w:sz="0" w:space="0" w:color="auto"/>
                        <w:left w:val="none" w:sz="0" w:space="0" w:color="auto"/>
                        <w:bottom w:val="none" w:sz="0" w:space="0" w:color="auto"/>
                        <w:right w:val="none" w:sz="0" w:space="0" w:color="auto"/>
                      </w:divBdr>
                    </w:div>
                  </w:divsChild>
                </w:div>
                <w:div w:id="1739084767">
                  <w:marLeft w:val="0"/>
                  <w:marRight w:val="0"/>
                  <w:marTop w:val="0"/>
                  <w:marBottom w:val="0"/>
                  <w:divBdr>
                    <w:top w:val="none" w:sz="0" w:space="0" w:color="auto"/>
                    <w:left w:val="none" w:sz="0" w:space="0" w:color="auto"/>
                    <w:bottom w:val="none" w:sz="0" w:space="0" w:color="auto"/>
                    <w:right w:val="none" w:sz="0" w:space="0" w:color="auto"/>
                  </w:divBdr>
                  <w:divsChild>
                    <w:div w:id="285627854">
                      <w:marLeft w:val="0"/>
                      <w:marRight w:val="0"/>
                      <w:marTop w:val="0"/>
                      <w:marBottom w:val="0"/>
                      <w:divBdr>
                        <w:top w:val="none" w:sz="0" w:space="0" w:color="auto"/>
                        <w:left w:val="none" w:sz="0" w:space="0" w:color="auto"/>
                        <w:bottom w:val="none" w:sz="0" w:space="0" w:color="auto"/>
                        <w:right w:val="none" w:sz="0" w:space="0" w:color="auto"/>
                      </w:divBdr>
                    </w:div>
                  </w:divsChild>
                </w:div>
                <w:div w:id="1839420599">
                  <w:marLeft w:val="0"/>
                  <w:marRight w:val="0"/>
                  <w:marTop w:val="0"/>
                  <w:marBottom w:val="0"/>
                  <w:divBdr>
                    <w:top w:val="none" w:sz="0" w:space="0" w:color="auto"/>
                    <w:left w:val="none" w:sz="0" w:space="0" w:color="auto"/>
                    <w:bottom w:val="none" w:sz="0" w:space="0" w:color="auto"/>
                    <w:right w:val="none" w:sz="0" w:space="0" w:color="auto"/>
                  </w:divBdr>
                  <w:divsChild>
                    <w:div w:id="56167017">
                      <w:marLeft w:val="0"/>
                      <w:marRight w:val="0"/>
                      <w:marTop w:val="0"/>
                      <w:marBottom w:val="0"/>
                      <w:divBdr>
                        <w:top w:val="none" w:sz="0" w:space="0" w:color="auto"/>
                        <w:left w:val="none" w:sz="0" w:space="0" w:color="auto"/>
                        <w:bottom w:val="none" w:sz="0" w:space="0" w:color="auto"/>
                        <w:right w:val="none" w:sz="0" w:space="0" w:color="auto"/>
                      </w:divBdr>
                    </w:div>
                  </w:divsChild>
                </w:div>
                <w:div w:id="1839954699">
                  <w:marLeft w:val="0"/>
                  <w:marRight w:val="0"/>
                  <w:marTop w:val="0"/>
                  <w:marBottom w:val="0"/>
                  <w:divBdr>
                    <w:top w:val="none" w:sz="0" w:space="0" w:color="auto"/>
                    <w:left w:val="none" w:sz="0" w:space="0" w:color="auto"/>
                    <w:bottom w:val="none" w:sz="0" w:space="0" w:color="auto"/>
                    <w:right w:val="none" w:sz="0" w:space="0" w:color="auto"/>
                  </w:divBdr>
                  <w:divsChild>
                    <w:div w:id="1226913695">
                      <w:marLeft w:val="0"/>
                      <w:marRight w:val="0"/>
                      <w:marTop w:val="0"/>
                      <w:marBottom w:val="0"/>
                      <w:divBdr>
                        <w:top w:val="none" w:sz="0" w:space="0" w:color="auto"/>
                        <w:left w:val="none" w:sz="0" w:space="0" w:color="auto"/>
                        <w:bottom w:val="none" w:sz="0" w:space="0" w:color="auto"/>
                        <w:right w:val="none" w:sz="0" w:space="0" w:color="auto"/>
                      </w:divBdr>
                    </w:div>
                  </w:divsChild>
                </w:div>
                <w:div w:id="1863736591">
                  <w:marLeft w:val="0"/>
                  <w:marRight w:val="0"/>
                  <w:marTop w:val="0"/>
                  <w:marBottom w:val="0"/>
                  <w:divBdr>
                    <w:top w:val="none" w:sz="0" w:space="0" w:color="auto"/>
                    <w:left w:val="none" w:sz="0" w:space="0" w:color="auto"/>
                    <w:bottom w:val="none" w:sz="0" w:space="0" w:color="auto"/>
                    <w:right w:val="none" w:sz="0" w:space="0" w:color="auto"/>
                  </w:divBdr>
                  <w:divsChild>
                    <w:div w:id="1354571474">
                      <w:marLeft w:val="0"/>
                      <w:marRight w:val="0"/>
                      <w:marTop w:val="0"/>
                      <w:marBottom w:val="0"/>
                      <w:divBdr>
                        <w:top w:val="none" w:sz="0" w:space="0" w:color="auto"/>
                        <w:left w:val="none" w:sz="0" w:space="0" w:color="auto"/>
                        <w:bottom w:val="none" w:sz="0" w:space="0" w:color="auto"/>
                        <w:right w:val="none" w:sz="0" w:space="0" w:color="auto"/>
                      </w:divBdr>
                    </w:div>
                  </w:divsChild>
                </w:div>
                <w:div w:id="1889954994">
                  <w:marLeft w:val="0"/>
                  <w:marRight w:val="0"/>
                  <w:marTop w:val="0"/>
                  <w:marBottom w:val="0"/>
                  <w:divBdr>
                    <w:top w:val="none" w:sz="0" w:space="0" w:color="auto"/>
                    <w:left w:val="none" w:sz="0" w:space="0" w:color="auto"/>
                    <w:bottom w:val="none" w:sz="0" w:space="0" w:color="auto"/>
                    <w:right w:val="none" w:sz="0" w:space="0" w:color="auto"/>
                  </w:divBdr>
                  <w:divsChild>
                    <w:div w:id="915280843">
                      <w:marLeft w:val="0"/>
                      <w:marRight w:val="0"/>
                      <w:marTop w:val="0"/>
                      <w:marBottom w:val="0"/>
                      <w:divBdr>
                        <w:top w:val="none" w:sz="0" w:space="0" w:color="auto"/>
                        <w:left w:val="none" w:sz="0" w:space="0" w:color="auto"/>
                        <w:bottom w:val="none" w:sz="0" w:space="0" w:color="auto"/>
                        <w:right w:val="none" w:sz="0" w:space="0" w:color="auto"/>
                      </w:divBdr>
                    </w:div>
                  </w:divsChild>
                </w:div>
                <w:div w:id="1939026009">
                  <w:marLeft w:val="0"/>
                  <w:marRight w:val="0"/>
                  <w:marTop w:val="0"/>
                  <w:marBottom w:val="0"/>
                  <w:divBdr>
                    <w:top w:val="none" w:sz="0" w:space="0" w:color="auto"/>
                    <w:left w:val="none" w:sz="0" w:space="0" w:color="auto"/>
                    <w:bottom w:val="none" w:sz="0" w:space="0" w:color="auto"/>
                    <w:right w:val="none" w:sz="0" w:space="0" w:color="auto"/>
                  </w:divBdr>
                  <w:divsChild>
                    <w:div w:id="591011535">
                      <w:marLeft w:val="0"/>
                      <w:marRight w:val="0"/>
                      <w:marTop w:val="0"/>
                      <w:marBottom w:val="0"/>
                      <w:divBdr>
                        <w:top w:val="none" w:sz="0" w:space="0" w:color="auto"/>
                        <w:left w:val="none" w:sz="0" w:space="0" w:color="auto"/>
                        <w:bottom w:val="none" w:sz="0" w:space="0" w:color="auto"/>
                        <w:right w:val="none" w:sz="0" w:space="0" w:color="auto"/>
                      </w:divBdr>
                    </w:div>
                  </w:divsChild>
                </w:div>
                <w:div w:id="2063749238">
                  <w:marLeft w:val="0"/>
                  <w:marRight w:val="0"/>
                  <w:marTop w:val="0"/>
                  <w:marBottom w:val="0"/>
                  <w:divBdr>
                    <w:top w:val="none" w:sz="0" w:space="0" w:color="auto"/>
                    <w:left w:val="none" w:sz="0" w:space="0" w:color="auto"/>
                    <w:bottom w:val="none" w:sz="0" w:space="0" w:color="auto"/>
                    <w:right w:val="none" w:sz="0" w:space="0" w:color="auto"/>
                  </w:divBdr>
                  <w:divsChild>
                    <w:div w:id="495852252">
                      <w:marLeft w:val="0"/>
                      <w:marRight w:val="0"/>
                      <w:marTop w:val="0"/>
                      <w:marBottom w:val="0"/>
                      <w:divBdr>
                        <w:top w:val="none" w:sz="0" w:space="0" w:color="auto"/>
                        <w:left w:val="none" w:sz="0" w:space="0" w:color="auto"/>
                        <w:bottom w:val="none" w:sz="0" w:space="0" w:color="auto"/>
                        <w:right w:val="none" w:sz="0" w:space="0" w:color="auto"/>
                      </w:divBdr>
                    </w:div>
                  </w:divsChild>
                </w:div>
                <w:div w:id="2131313757">
                  <w:marLeft w:val="0"/>
                  <w:marRight w:val="0"/>
                  <w:marTop w:val="0"/>
                  <w:marBottom w:val="0"/>
                  <w:divBdr>
                    <w:top w:val="none" w:sz="0" w:space="0" w:color="auto"/>
                    <w:left w:val="none" w:sz="0" w:space="0" w:color="auto"/>
                    <w:bottom w:val="none" w:sz="0" w:space="0" w:color="auto"/>
                    <w:right w:val="none" w:sz="0" w:space="0" w:color="auto"/>
                  </w:divBdr>
                  <w:divsChild>
                    <w:div w:id="2949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06978">
      <w:bodyDiv w:val="1"/>
      <w:marLeft w:val="0"/>
      <w:marRight w:val="0"/>
      <w:marTop w:val="0"/>
      <w:marBottom w:val="0"/>
      <w:divBdr>
        <w:top w:val="none" w:sz="0" w:space="0" w:color="auto"/>
        <w:left w:val="none" w:sz="0" w:space="0" w:color="auto"/>
        <w:bottom w:val="none" w:sz="0" w:space="0" w:color="auto"/>
        <w:right w:val="none" w:sz="0" w:space="0" w:color="auto"/>
      </w:divBdr>
    </w:div>
    <w:div w:id="2133018767">
      <w:bodyDiv w:val="1"/>
      <w:marLeft w:val="0"/>
      <w:marRight w:val="0"/>
      <w:marTop w:val="0"/>
      <w:marBottom w:val="0"/>
      <w:divBdr>
        <w:top w:val="none" w:sz="0" w:space="0" w:color="auto"/>
        <w:left w:val="none" w:sz="0" w:space="0" w:color="auto"/>
        <w:bottom w:val="none" w:sz="0" w:space="0" w:color="auto"/>
        <w:right w:val="none" w:sz="0" w:space="0" w:color="auto"/>
      </w:divBdr>
    </w:div>
    <w:div w:id="2135322233">
      <w:bodyDiv w:val="1"/>
      <w:marLeft w:val="0"/>
      <w:marRight w:val="0"/>
      <w:marTop w:val="0"/>
      <w:marBottom w:val="0"/>
      <w:divBdr>
        <w:top w:val="none" w:sz="0" w:space="0" w:color="auto"/>
        <w:left w:val="none" w:sz="0" w:space="0" w:color="auto"/>
        <w:bottom w:val="none" w:sz="0" w:space="0" w:color="auto"/>
        <w:right w:val="none" w:sz="0" w:space="0" w:color="auto"/>
      </w:divBdr>
    </w:div>
    <w:div w:id="2136486164">
      <w:bodyDiv w:val="1"/>
      <w:marLeft w:val="0"/>
      <w:marRight w:val="0"/>
      <w:marTop w:val="0"/>
      <w:marBottom w:val="0"/>
      <w:divBdr>
        <w:top w:val="none" w:sz="0" w:space="0" w:color="auto"/>
        <w:left w:val="none" w:sz="0" w:space="0" w:color="auto"/>
        <w:bottom w:val="none" w:sz="0" w:space="0" w:color="auto"/>
        <w:right w:val="none" w:sz="0" w:space="0" w:color="auto"/>
      </w:divBdr>
    </w:div>
    <w:div w:id="2138793111">
      <w:bodyDiv w:val="1"/>
      <w:marLeft w:val="0"/>
      <w:marRight w:val="0"/>
      <w:marTop w:val="0"/>
      <w:marBottom w:val="0"/>
      <w:divBdr>
        <w:top w:val="none" w:sz="0" w:space="0" w:color="auto"/>
        <w:left w:val="none" w:sz="0" w:space="0" w:color="auto"/>
        <w:bottom w:val="none" w:sz="0" w:space="0" w:color="auto"/>
        <w:right w:val="none" w:sz="0" w:space="0" w:color="auto"/>
      </w:divBdr>
    </w:div>
    <w:div w:id="2141071195">
      <w:bodyDiv w:val="1"/>
      <w:marLeft w:val="0"/>
      <w:marRight w:val="0"/>
      <w:marTop w:val="0"/>
      <w:marBottom w:val="0"/>
      <w:divBdr>
        <w:top w:val="none" w:sz="0" w:space="0" w:color="auto"/>
        <w:left w:val="none" w:sz="0" w:space="0" w:color="auto"/>
        <w:bottom w:val="none" w:sz="0" w:space="0" w:color="auto"/>
        <w:right w:val="none" w:sz="0" w:space="0" w:color="auto"/>
      </w:divBdr>
    </w:div>
    <w:div w:id="2143687785">
      <w:bodyDiv w:val="1"/>
      <w:marLeft w:val="0"/>
      <w:marRight w:val="0"/>
      <w:marTop w:val="0"/>
      <w:marBottom w:val="0"/>
      <w:divBdr>
        <w:top w:val="none" w:sz="0" w:space="0" w:color="auto"/>
        <w:left w:val="none" w:sz="0" w:space="0" w:color="auto"/>
        <w:bottom w:val="none" w:sz="0" w:space="0" w:color="auto"/>
        <w:right w:val="none" w:sz="0" w:space="0" w:color="auto"/>
      </w:divBdr>
    </w:div>
    <w:div w:id="2146578825">
      <w:bodyDiv w:val="1"/>
      <w:marLeft w:val="0"/>
      <w:marRight w:val="0"/>
      <w:marTop w:val="0"/>
      <w:marBottom w:val="0"/>
      <w:divBdr>
        <w:top w:val="none" w:sz="0" w:space="0" w:color="auto"/>
        <w:left w:val="none" w:sz="0" w:space="0" w:color="auto"/>
        <w:bottom w:val="none" w:sz="0" w:space="0" w:color="auto"/>
        <w:right w:val="none" w:sz="0" w:space="0" w:color="auto"/>
      </w:divBdr>
    </w:div>
    <w:div w:id="214704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pcc.ch/report/2006-ipcc-guidelines-for-national-greenhouse-gas-inventories/" TargetMode="External"/><Relationship Id="rId21" Type="http://schemas.openxmlformats.org/officeDocument/2006/relationships/hyperlink" Target="https://environment.govt.nz/assets/publications/Measuring-Emissions-2023/Measuring-Emissions-Guidance_EmissionFactors_Workbook_2023.xlsx" TargetMode="External"/><Relationship Id="rId42" Type="http://schemas.openxmlformats.org/officeDocument/2006/relationships/hyperlink" Target="https://ghgprotocol.org/corporate-standard" TargetMode="External"/><Relationship Id="rId63" Type="http://schemas.openxmlformats.org/officeDocument/2006/relationships/hyperlink" Target="https://environment.govt.nz/publications/new-zealands-greenhouse-gas-inventory-1990-2021/" TargetMode="External"/><Relationship Id="rId84" Type="http://schemas.openxmlformats.org/officeDocument/2006/relationships/hyperlink" Target="https://www.abs.gov.au/statistics/classifications/australian-and-new-zealand-standard-industrial-classification-anzsic/latest-release" TargetMode="External"/><Relationship Id="rId138" Type="http://schemas.openxmlformats.org/officeDocument/2006/relationships/hyperlink" Target="https://environment.govt.nz/publications/new-zealands-greenhouse-gas-inventory-1990-2021/" TargetMode="External"/><Relationship Id="rId159" Type="http://schemas.openxmlformats.org/officeDocument/2006/relationships/hyperlink" Target="http://aria.stats.govt.nz/aria/" TargetMode="External"/><Relationship Id="rId107" Type="http://schemas.openxmlformats.org/officeDocument/2006/relationships/hyperlink" Target="https://environment.govt.nz/assets/publications/Measuring-Emissions-2023/Measuring-Emissions-Guidance_EmissionFactors_InteractiveWorkbook_2023.xlsx" TargetMode="External"/><Relationship Id="rId11" Type="http://schemas.openxmlformats.org/officeDocument/2006/relationships/endnotes" Target="endnotes.xml"/><Relationship Id="rId32" Type="http://schemas.openxmlformats.org/officeDocument/2006/relationships/hyperlink" Target="https://environment.govt.nz/publications/interim-guidance-for-voluntary-climate-change-mitigation/" TargetMode="External"/><Relationship Id="rId53" Type="http://schemas.openxmlformats.org/officeDocument/2006/relationships/hyperlink" Target="https://ghgprotocol.org/corporate-standard" TargetMode="External"/><Relationship Id="rId74" Type="http://schemas.openxmlformats.org/officeDocument/2006/relationships/hyperlink" Target="https://www.iso.org/standard/66455.html" TargetMode="External"/><Relationship Id="rId128" Type="http://schemas.openxmlformats.org/officeDocument/2006/relationships/hyperlink" Target="https://environment.govt.nz/publications/new-zealands-greenhouse-gas-inventory-1990-2021/" TargetMode="External"/><Relationship Id="rId149" Type="http://schemas.openxmlformats.org/officeDocument/2006/relationships/hyperlink" Target="https://environment.govt.nz/publications/new-zealands-greenhouse-gas-inventory-1990-2021/" TargetMode="External"/><Relationship Id="rId5" Type="http://schemas.openxmlformats.org/officeDocument/2006/relationships/customXml" Target="../customXml/item5.xml"/><Relationship Id="rId95" Type="http://schemas.openxmlformats.org/officeDocument/2006/relationships/hyperlink" Target="http://ghgprotocol.org/scope_2_guidance" TargetMode="External"/><Relationship Id="rId160" Type="http://schemas.openxmlformats.org/officeDocument/2006/relationships/hyperlink" Target="http://www.mbie.govt.nz/building-and-energy/energy-and-natural-resources/energy-statistics-and-modelling/energy-statistics/oil-statistics/" TargetMode="External"/><Relationship Id="rId22" Type="http://schemas.openxmlformats.org/officeDocument/2006/relationships/hyperlink" Target="https://environment.govt.nz/publications/new-zealands-greenhouse-gas-inventory-1990-2021/" TargetMode="External"/><Relationship Id="rId43" Type="http://schemas.openxmlformats.org/officeDocument/2006/relationships/hyperlink" Target="https://ghgprotocol.org/corporate-value-chain-scope-3-standard" TargetMode="External"/><Relationship Id="rId64" Type="http://schemas.openxmlformats.org/officeDocument/2006/relationships/hyperlink" Target="https://environment.govt.nz/assets/publications/Measuring-Emissions-2023/Measuring-Emissions-Guidance_EmissionFactors_InteractiveWorkbook_2023.xlsx" TargetMode="External"/><Relationship Id="rId118" Type="http://schemas.openxmlformats.org/officeDocument/2006/relationships/hyperlink" Target="https://www.ipcc.ch/report/2019-refinement-to-the-2006-ipcc-guidelines-for-national-greenhouse-gas-inventories/" TargetMode="External"/><Relationship Id="rId139" Type="http://schemas.openxmlformats.org/officeDocument/2006/relationships/hyperlink" Target="https://www.agmatters.nz/goals/know-your-number/?gclid=EAIaIQobChMIr-_l5o7T_wIVxZhmAh09mg8UEAAYASABEgKX5vD_BwE" TargetMode="External"/><Relationship Id="rId85" Type="http://schemas.openxmlformats.org/officeDocument/2006/relationships/hyperlink" Target="https://environment.govt.nz/assets/publications/Measuring-Emissions-2023/Measuring-Emissions-Guidance_EmissionFactors_Workbook_2023.xlsx" TargetMode="External"/><Relationship Id="rId150" Type="http://schemas.openxmlformats.org/officeDocument/2006/relationships/hyperlink" Target="https://environment.govt.nz/publications/new-zealands-greenhouse-gas-inventory-1990-2021/" TargetMode="External"/><Relationship Id="rId12" Type="http://schemas.openxmlformats.org/officeDocument/2006/relationships/image" Target="media/image1.jpg"/><Relationship Id="rId17" Type="http://schemas.openxmlformats.org/officeDocument/2006/relationships/hyperlink" Target="https://environment.govt.nz/publications/new-zealands-greenhouse-gas-inventory-1990-2021/" TargetMode="External"/><Relationship Id="rId33" Type="http://schemas.openxmlformats.org/officeDocument/2006/relationships/hyperlink" Target="https://ghgprotocol.org/greenhouse-gas-protocol-accounting-reporting-standard-cities" TargetMode="External"/><Relationship Id="rId38" Type="http://schemas.openxmlformats.org/officeDocument/2006/relationships/hyperlink" Target="http://www.ipcc-nggip.iges.or.jp/public/2006gl/" TargetMode="External"/><Relationship Id="rId59" Type="http://schemas.openxmlformats.org/officeDocument/2006/relationships/hyperlink" Target="http://www.mfe.govt.nz/sites/default/files/media/Climate%20Change/example-ghg-report.pdf" TargetMode="External"/><Relationship Id="rId103" Type="http://schemas.openxmlformats.org/officeDocument/2006/relationships/hyperlink" Target="https://www.gov.uk/government/publications/greenhouse-gas-reporting-conversion-factors-2021" TargetMode="External"/><Relationship Id="rId108" Type="http://schemas.openxmlformats.org/officeDocument/2006/relationships/hyperlink" Target="https://assets.publishing.service.gov.uk/government/uploads/system/uploads/attachment_data/file/1083857/2022-ghg-cf-methodology-paper.pdf" TargetMode="External"/><Relationship Id="rId124" Type="http://schemas.openxmlformats.org/officeDocument/2006/relationships/hyperlink" Target="https://environment.govt.nz/publications/new-zealands-greenhouse-gas-inventory-1990-2021/" TargetMode="External"/><Relationship Id="rId129" Type="http://schemas.openxmlformats.org/officeDocument/2006/relationships/hyperlink" Target="https://environment.govt.nz/publications/new-zealands-greenhouse-gas-inventory-1990-2021/" TargetMode="External"/><Relationship Id="rId54" Type="http://schemas.openxmlformats.org/officeDocument/2006/relationships/hyperlink" Target="https://environment.govt.nz/publications/measuring-emissions-a-guide-for-organisations-2023-summary-of-emission-factors/" TargetMode="External"/><Relationship Id="rId70" Type="http://schemas.openxmlformats.org/officeDocument/2006/relationships/hyperlink" Target="https://view.officeapps.live.com/op/view.aspx?src=https%3A%2F%2Fghgprotocol.org%2Fsites%2Fdefault%2Ffiles%2F2022-12%2FGHG-Protocol-Reporting-Template.docx&amp;wdOrigin=BROWSELINK" TargetMode="External"/><Relationship Id="rId75" Type="http://schemas.openxmlformats.org/officeDocument/2006/relationships/hyperlink" Target="https://www.xrb.govt.nz/standards/assurance-standards/other-assurance-engagement-standards/isae-nz-3410/" TargetMode="External"/><Relationship Id="rId91" Type="http://schemas.openxmlformats.org/officeDocument/2006/relationships/hyperlink" Target="https://environment.govt.nz/publications/new-zealands-greenhouse-gas-inventory-1990-2021/" TargetMode="External"/><Relationship Id="rId96" Type="http://schemas.openxmlformats.org/officeDocument/2006/relationships/hyperlink" Target="https://environment.govt.nz/publications/new-zealands-greenhouse-gas-inventory-1990-2021/" TargetMode="External"/><Relationship Id="rId140" Type="http://schemas.openxmlformats.org/officeDocument/2006/relationships/hyperlink" Target="https://environment.govt.nz/publications/new-zealands-greenhouse-gas-inventory-1990-2021/" TargetMode="External"/><Relationship Id="rId145" Type="http://schemas.openxmlformats.org/officeDocument/2006/relationships/hyperlink" Target="https://www.overseer.org.nz/overseerfm" TargetMode="External"/><Relationship Id="rId161" Type="http://schemas.openxmlformats.org/officeDocument/2006/relationships/hyperlink" Target="https://environment.govt.nz/publications/new-zealands-greenhouse-gas-inventory-1990-2021/"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environment.govt.nz/publications/new-zealands-greenhouse-gas-inventory-1990-2021/" TargetMode="External"/><Relationship Id="rId28" Type="http://schemas.openxmlformats.org/officeDocument/2006/relationships/hyperlink" Target="https://www.xrb.govt.nz/dmsdocument/4844" TargetMode="External"/><Relationship Id="rId49" Type="http://schemas.openxmlformats.org/officeDocument/2006/relationships/hyperlink" Target="https://environment.govt.nz/assets/publications/Measuring-Emissions-2023/Measuring-Emissions-Guidance_EmissionFactors_InteractiveWorkbook_2023.xlsx" TargetMode="External"/><Relationship Id="rId114" Type="http://schemas.openxmlformats.org/officeDocument/2006/relationships/hyperlink" Target="https://cedelft.eu/publications/stream-freight-transport-2020/" TargetMode="External"/><Relationship Id="rId119" Type="http://schemas.openxmlformats.org/officeDocument/2006/relationships/hyperlink" Target="https://environment.govt.nz/publications/new-zealands-greenhouse-gas-inventory-1990-2021/" TargetMode="External"/><Relationship Id="rId44" Type="http://schemas.openxmlformats.org/officeDocument/2006/relationships/hyperlink" Target="https://ghgprotocol.org/corporate-standard" TargetMode="External"/><Relationship Id="rId60" Type="http://schemas.openxmlformats.org/officeDocument/2006/relationships/hyperlink" Target="http://www.mfe.govt.nz/sites/default/files/media/Climate%20Change/example-ghg-report.pdf" TargetMode="External"/><Relationship Id="rId65" Type="http://schemas.openxmlformats.org/officeDocument/2006/relationships/hyperlink" Target="https://www.iso.org/standard/66453.html" TargetMode="External"/><Relationship Id="rId81" Type="http://schemas.openxmlformats.org/officeDocument/2006/relationships/hyperlink" Target="https://ghgprotocol.org/corporate-standard" TargetMode="External"/><Relationship Id="rId86" Type="http://schemas.openxmlformats.org/officeDocument/2006/relationships/hyperlink" Target="https://www.iso.org/standard/66453.html" TargetMode="External"/><Relationship Id="rId130" Type="http://schemas.openxmlformats.org/officeDocument/2006/relationships/hyperlink" Target="https://environment.govt.nz/publications/new-zealands-greenhouse-gas-inventory-1990-2021/" TargetMode="External"/><Relationship Id="rId135" Type="http://schemas.openxmlformats.org/officeDocument/2006/relationships/hyperlink" Target="https://lris.scinfo.org.nz/layer/48423-lcdb-v41-land-cover-database-version-41-mainland-new-zealand/" TargetMode="External"/><Relationship Id="rId151" Type="http://schemas.openxmlformats.org/officeDocument/2006/relationships/hyperlink" Target="https://environment.govt.nz/publications/new-zealands-greenhouse-gas-inventory-1990-2021/" TargetMode="External"/><Relationship Id="rId156" Type="http://schemas.openxmlformats.org/officeDocument/2006/relationships/hyperlink" Target="https://ghgprotocol.org/corporate-standard" TargetMode="External"/><Relationship Id="rId13" Type="http://schemas.openxmlformats.org/officeDocument/2006/relationships/hyperlink" Target="http://www.environment.govt.nz" TargetMode="External"/><Relationship Id="rId18" Type="http://schemas.openxmlformats.org/officeDocument/2006/relationships/hyperlink" Target="https://www.knowledgeauckland.org.nz/publications/consumption-emissions-modelling/" TargetMode="External"/><Relationship Id="rId39" Type="http://schemas.openxmlformats.org/officeDocument/2006/relationships/hyperlink" Target="https://www.iso.org/standard/66453.html" TargetMode="External"/><Relationship Id="rId109" Type="http://schemas.openxmlformats.org/officeDocument/2006/relationships/hyperlink" Target="https://assets.publishing.service.gov.uk/government/uploads/system/uploads/attachment_data/file/1083857/2022-ghg-cf-methodology-paper.pdf" TargetMode="External"/><Relationship Id="rId34" Type="http://schemas.openxmlformats.org/officeDocument/2006/relationships/hyperlink" Target="https://naei.beis.gov.uk/data/ef-all" TargetMode="External"/><Relationship Id="rId50" Type="http://schemas.openxmlformats.org/officeDocument/2006/relationships/hyperlink" Target="https://www.iso.org/standard/66453.html" TargetMode="External"/><Relationship Id="rId55" Type="http://schemas.openxmlformats.org/officeDocument/2006/relationships/hyperlink" Target="https://environment.govt.nz/assets/publications/Measuring-Emissions-2023/Measuring-Emissions-Guidance_EmissionFactors_Workbook_2023.xlsx" TargetMode="External"/><Relationship Id="rId76" Type="http://schemas.openxmlformats.org/officeDocument/2006/relationships/hyperlink" Target="https://www.iso.org/standard/66455.html" TargetMode="External"/><Relationship Id="rId97" Type="http://schemas.openxmlformats.org/officeDocument/2006/relationships/hyperlink" Target="https://ghgprotocol.org/corporate-standard" TargetMode="External"/><Relationship Id="rId104" Type="http://schemas.openxmlformats.org/officeDocument/2006/relationships/hyperlink" Target="https://environment.govt.nz/publications/new-zealands-greenhouse-gas-inventory-1990-2021/" TargetMode="External"/><Relationship Id="rId120" Type="http://schemas.openxmlformats.org/officeDocument/2006/relationships/hyperlink" Target="https://www.mbie.govt.nz/building-and-energy/building/building-for-climate-change/" TargetMode="External"/><Relationship Id="rId125" Type="http://schemas.openxmlformats.org/officeDocument/2006/relationships/hyperlink" Target="https://environment.govt.nz/publications/new-zealands-greenhouse-gas-inventory-1990-2021/" TargetMode="External"/><Relationship Id="rId141" Type="http://schemas.openxmlformats.org/officeDocument/2006/relationships/hyperlink" Target="https://environment.govt.nz/publications/new-zealands-greenhouse-gas-inventory-1990-2021/" TargetMode="External"/><Relationship Id="rId146" Type="http://schemas.openxmlformats.org/officeDocument/2006/relationships/hyperlink" Target="https://beeflambnz.com/ghg-calculator-info" TargetMode="External"/><Relationship Id="rId16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xrb.govt.nz/standards/climate-related-disclosures/assurance/" TargetMode="External"/><Relationship Id="rId92" Type="http://schemas.openxmlformats.org/officeDocument/2006/relationships/hyperlink" Target="https://www.ipcc.ch/site/assets/uploads/2018/02/WG1AR5_Chapter08_FINAL.pdf" TargetMode="External"/><Relationship Id="rId162" Type="http://schemas.openxmlformats.org/officeDocument/2006/relationships/hyperlink" Target="mailto:Emissions-guide@mfe.govt.nz" TargetMode="External"/><Relationship Id="rId2" Type="http://schemas.openxmlformats.org/officeDocument/2006/relationships/customXml" Target="../customXml/item2.xml"/><Relationship Id="rId29" Type="http://schemas.openxmlformats.org/officeDocument/2006/relationships/hyperlink" Target="mailto:cngp@mfe.govt.nz" TargetMode="External"/><Relationship Id="rId24" Type="http://schemas.openxmlformats.org/officeDocument/2006/relationships/image" Target="media/image2.png"/><Relationship Id="rId40" Type="http://schemas.openxmlformats.org/officeDocument/2006/relationships/hyperlink" Target="https://ghgprotocol.org/corporate-standard" TargetMode="External"/><Relationship Id="rId45" Type="http://schemas.openxmlformats.org/officeDocument/2006/relationships/hyperlink" Target="https://www.iso.org/standard/66453.html" TargetMode="External"/><Relationship Id="rId66" Type="http://schemas.openxmlformats.org/officeDocument/2006/relationships/hyperlink" Target="https://ghgprotocol.org/corporate-standard" TargetMode="External"/><Relationship Id="rId87" Type="http://schemas.openxmlformats.org/officeDocument/2006/relationships/hyperlink" Target="https://ghgprotocol.org/corporate-standard" TargetMode="External"/><Relationship Id="rId110" Type="http://schemas.openxmlformats.org/officeDocument/2006/relationships/hyperlink" Target="https://assets.publishing.service.gov.uk/government/uploads/system/uploads/attachment_data/file/1083857/2022-ghg-cf-methodology-paper.pdf" TargetMode="External"/><Relationship Id="rId115" Type="http://schemas.openxmlformats.org/officeDocument/2006/relationships/hyperlink" Target="https://assets.publishing.service.gov.uk/government/uploads/system/uploads/attachment_data/file/1083857/2022-ghg-cf-methodology-paper.pdf" TargetMode="External"/><Relationship Id="rId131" Type="http://schemas.openxmlformats.org/officeDocument/2006/relationships/hyperlink" Target="https://environment.govt.nz/publications/new-zealands-greenhouse-gas-inventory-1990-2021/" TargetMode="External"/><Relationship Id="rId136" Type="http://schemas.openxmlformats.org/officeDocument/2006/relationships/hyperlink" Target="https://data.mfe.govt.nz/" TargetMode="External"/><Relationship Id="rId157" Type="http://schemas.openxmlformats.org/officeDocument/2006/relationships/hyperlink" Target="https://environment.govt.nz/publications/new-zealands-greenhouse-gas-inventory-1990-2021/" TargetMode="External"/><Relationship Id="rId61" Type="http://schemas.openxmlformats.org/officeDocument/2006/relationships/hyperlink" Target="https://www.iso.org/standard/66453.html" TargetMode="External"/><Relationship Id="rId82" Type="http://schemas.openxmlformats.org/officeDocument/2006/relationships/hyperlink" Target="https://environment.govt.nz/publications/new-zealands-greenhouse-gas-inventory-1990-2021/" TargetMode="External"/><Relationship Id="rId152" Type="http://schemas.openxmlformats.org/officeDocument/2006/relationships/hyperlink" Target="https://environment.govt.nz/publications/new-zealands-greenhouse-gas-inventory-1990-2021/" TargetMode="External"/><Relationship Id="rId19" Type="http://schemas.openxmlformats.org/officeDocument/2006/relationships/hyperlink" Target="https://ghgprotocol.org/corporate-standard" TargetMode="External"/><Relationship Id="rId14" Type="http://schemas.openxmlformats.org/officeDocument/2006/relationships/footer" Target="footer1.xml"/><Relationship Id="rId30" Type="http://schemas.openxmlformats.org/officeDocument/2006/relationships/hyperlink" Target="https://lcanz.org.nz/lca-guidance/lca-resources/" TargetMode="External"/><Relationship Id="rId35" Type="http://schemas.openxmlformats.org/officeDocument/2006/relationships/hyperlink" Target="https://laqm.defra.gov.uk/air-quality/air-quality-assessment/emissions-factors-toolkit/" TargetMode="External"/><Relationship Id="rId56" Type="http://schemas.openxmlformats.org/officeDocument/2006/relationships/hyperlink" Target="https://www.iso.org/standard/66453.html" TargetMode="External"/><Relationship Id="rId77" Type="http://schemas.openxmlformats.org/officeDocument/2006/relationships/hyperlink" Target="https://www.iso.org/standard/66455.html" TargetMode="External"/><Relationship Id="rId100" Type="http://schemas.openxmlformats.org/officeDocument/2006/relationships/hyperlink" Target="http://www.icao.int/environmental-protection/CarbonOffset/Pages/default.aspx" TargetMode="External"/><Relationship Id="rId105" Type="http://schemas.openxmlformats.org/officeDocument/2006/relationships/hyperlink" Target="https://www.google.com/url?sa=t&amp;rct=j&amp;q=&amp;esrc=s&amp;source=web&amp;cd=&amp;ved=2ahUKEwjo1Iv8yuT_AhXIamwGHZwbA8QQFnoECCEQAQ&amp;url=https%3A%2F%2Fwww.bazl.admin.ch%2Fdam%2Fbazl%2Fde%2Fdokumente%2FFachleute%2FRegulationen_und_Grundlagen%2Fguidance_on_the_determinationofhelicopteremissions.pdf.download.pdf%2Fguidance_on_the_determinationofhelicopteremissions.pdf&amp;usg=AOvVaw3ffS_8Bc5YxABG-CoIvEgy&amp;opi=89978449" TargetMode="External"/><Relationship Id="rId126" Type="http://schemas.openxmlformats.org/officeDocument/2006/relationships/hyperlink" Target="https://environment.govt.nz/publications/new-zealands-greenhouse-gas-inventory-1990-2021/" TargetMode="External"/><Relationship Id="rId147" Type="http://schemas.openxmlformats.org/officeDocument/2006/relationships/hyperlink" Target="https://environment.govt.nz/publications/new-zealands-greenhouse-gas-inventory-1990-2021/" TargetMode="External"/><Relationship Id="rId8" Type="http://schemas.openxmlformats.org/officeDocument/2006/relationships/settings" Target="settings.xml"/><Relationship Id="rId51" Type="http://schemas.openxmlformats.org/officeDocument/2006/relationships/hyperlink" Target="https://ghgprotocol.org/corporate-standard" TargetMode="External"/><Relationship Id="rId72" Type="http://schemas.openxmlformats.org/officeDocument/2006/relationships/hyperlink" Target="https://environment.govt.nz/assets/publications/CNGP-A-guide-to-measuring-and-reporting-greenhouse-gas-emissions.pdf" TargetMode="External"/><Relationship Id="rId93" Type="http://schemas.openxmlformats.org/officeDocument/2006/relationships/hyperlink" Target="https://ghgprotocol.org/sites/default/files/hfc-cfc_0.pdf" TargetMode="External"/><Relationship Id="rId98" Type="http://schemas.openxmlformats.org/officeDocument/2006/relationships/hyperlink" Target="https://www.airmilescalculator.com/" TargetMode="External"/><Relationship Id="rId121" Type="http://schemas.openxmlformats.org/officeDocument/2006/relationships/hyperlink" Target="https://ghgprotocol.org/corporate-standard" TargetMode="External"/><Relationship Id="rId142" Type="http://schemas.openxmlformats.org/officeDocument/2006/relationships/hyperlink" Target="https://environment.govt.nz/publications/new-zealands-greenhouse-gas-inventory-1990-2021/" TargetMode="External"/><Relationship Id="rId163" Type="http://schemas.openxmlformats.org/officeDocument/2006/relationships/hyperlink" Target="https://www.knowledgeauckland.org.nz/publications/consumption-emissions-modelling/" TargetMode="External"/><Relationship Id="rId3" Type="http://schemas.openxmlformats.org/officeDocument/2006/relationships/customXml" Target="../customXml/item3.xml"/><Relationship Id="rId25" Type="http://schemas.openxmlformats.org/officeDocument/2006/relationships/hyperlink" Target="mailto:emissions-guide@mfe.govt.nz" TargetMode="External"/><Relationship Id="rId46" Type="http://schemas.openxmlformats.org/officeDocument/2006/relationships/hyperlink" Target="https://www.iso.org/standard/66453.html" TargetMode="External"/><Relationship Id="rId67" Type="http://schemas.openxmlformats.org/officeDocument/2006/relationships/hyperlink" Target="https://environment.govt.nz/publications/new-zealands-greenhouse-gas-inventory-1990-2021/" TargetMode="External"/><Relationship Id="rId116" Type="http://schemas.openxmlformats.org/officeDocument/2006/relationships/hyperlink" Target="https://environment.govt.nz/publications/new-zealands-greenhouse-gas-inventory-1990-2021/" TargetMode="External"/><Relationship Id="rId137" Type="http://schemas.openxmlformats.org/officeDocument/2006/relationships/hyperlink" Target="https://lris.scinfo.org.nz/layer/48423-lcdb-v41-land-cover-database-version-41-mainland-new-zealand/" TargetMode="External"/><Relationship Id="rId158" Type="http://schemas.openxmlformats.org/officeDocument/2006/relationships/hyperlink" Target="https://www.mbie.govt.nz/assets/Energy-statistics-sources-and-methods.pdf" TargetMode="External"/><Relationship Id="rId20" Type="http://schemas.openxmlformats.org/officeDocument/2006/relationships/hyperlink" Target="https://www.iso.org/standard/66453.html" TargetMode="External"/><Relationship Id="rId41" Type="http://schemas.openxmlformats.org/officeDocument/2006/relationships/hyperlink" Target="https://www.iso.org/standard/66453.html" TargetMode="External"/><Relationship Id="rId62" Type="http://schemas.openxmlformats.org/officeDocument/2006/relationships/hyperlink" Target="https://ghgprotocol.org/corporate-standard" TargetMode="External"/><Relationship Id="rId83" Type="http://schemas.openxmlformats.org/officeDocument/2006/relationships/hyperlink" Target="https://environment.govt.nz/publications/new-zealands-greenhouse-gas-inventory-1990-2021/" TargetMode="External"/><Relationship Id="rId88" Type="http://schemas.openxmlformats.org/officeDocument/2006/relationships/hyperlink" Target="https://ghgprotocol.org/standards/scope-3-standard" TargetMode="External"/><Relationship Id="rId111" Type="http://schemas.openxmlformats.org/officeDocument/2006/relationships/hyperlink" Target="https://assets.publishing.service.gov.uk/government/uploads/system/uploads/attachment_data/file/1083857/2022-ghg-cf-methodology-paper.pdf" TargetMode="External"/><Relationship Id="rId132" Type="http://schemas.openxmlformats.org/officeDocument/2006/relationships/hyperlink" Target="https://www.iso.org/standard/66453.html" TargetMode="External"/><Relationship Id="rId153" Type="http://schemas.openxmlformats.org/officeDocument/2006/relationships/hyperlink" Target="https://environment.govt.nz/publications/new-zealands-greenhouse-gas-inventory-1990-2021/" TargetMode="External"/><Relationship Id="rId15" Type="http://schemas.openxmlformats.org/officeDocument/2006/relationships/hyperlink" Target="https://environment.govt.nz/site-search/?keyword=guidance%20for%20voluntary%20greenhouse%20gas%20reporting" TargetMode="External"/><Relationship Id="rId36" Type="http://schemas.openxmlformats.org/officeDocument/2006/relationships/hyperlink" Target="https://www.iso.org/standard/66453.html" TargetMode="External"/><Relationship Id="rId57" Type="http://schemas.openxmlformats.org/officeDocument/2006/relationships/hyperlink" Target="https://ghgprotocol.org/corporate-standard" TargetMode="External"/><Relationship Id="rId106" Type="http://schemas.openxmlformats.org/officeDocument/2006/relationships/hyperlink" Target="https://ghgprotocol.org/corporate-standard" TargetMode="External"/><Relationship Id="rId127" Type="http://schemas.openxmlformats.org/officeDocument/2006/relationships/hyperlink" Target="https://environment.govt.nz/what-you-can-do/agricultural-emissions-calculator/" TargetMode="External"/><Relationship Id="rId10" Type="http://schemas.openxmlformats.org/officeDocument/2006/relationships/footnotes" Target="footnotes.xml"/><Relationship Id="rId31" Type="http://schemas.openxmlformats.org/officeDocument/2006/relationships/hyperlink" Target="https://environment.govt.nz/what-government-is-doing/areas-of-work/climate-change/emissions-reduction-plan/" TargetMode="External"/><Relationship Id="rId52" Type="http://schemas.openxmlformats.org/officeDocument/2006/relationships/hyperlink" Target="https://environment.govt.nz/assets/Publications/Files/example-ghg-report.pdf" TargetMode="External"/><Relationship Id="rId73" Type="http://schemas.openxmlformats.org/officeDocument/2006/relationships/hyperlink" Target="https://www.xrb.govt.nz/standards/assurance-standards/other-assurance-engagement-standards/isae-nz-3410/" TargetMode="External"/><Relationship Id="rId78" Type="http://schemas.openxmlformats.org/officeDocument/2006/relationships/hyperlink" Target="https://www.mbie.govt.nz/have-your-say/assurance-over-climate-related-disclosures/" TargetMode="External"/><Relationship Id="rId94" Type="http://schemas.openxmlformats.org/officeDocument/2006/relationships/hyperlink" Target="https://ghgprotocol.org/corporate-standard" TargetMode="External"/><Relationship Id="rId99" Type="http://schemas.openxmlformats.org/officeDocument/2006/relationships/hyperlink" Target="https://calculator.toitu.co.nz/?calculator=travel" TargetMode="External"/><Relationship Id="rId101" Type="http://schemas.openxmlformats.org/officeDocument/2006/relationships/hyperlink" Target="https://www.gov.uk/government/publications/greenhouse-gas-reporting-conversion-factors-2021" TargetMode="External"/><Relationship Id="rId122" Type="http://schemas.openxmlformats.org/officeDocument/2006/relationships/hyperlink" Target="https://assets.publishing.service.gov.uk/government/uploads/system/uploads/attachment_data/file/1083857/2022-ghg-cf-methodology-paper.pdf" TargetMode="External"/><Relationship Id="rId143" Type="http://schemas.openxmlformats.org/officeDocument/2006/relationships/hyperlink" Target="https://environment.govt.nz/publications/new-zealands-greenhouse-gas-inventory-1990-2021/" TargetMode="External"/><Relationship Id="rId148" Type="http://schemas.openxmlformats.org/officeDocument/2006/relationships/hyperlink" Target="https://environment.govt.nz/publications/new-zealands-greenhouse-gas-inventory-1990-2021/" TargetMode="External"/><Relationship Id="rId16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xrb.govt.nz/standards/climate-related-disclosures/aotearoa-new-zealand-climate-standards/" TargetMode="External"/><Relationship Id="rId47" Type="http://schemas.openxmlformats.org/officeDocument/2006/relationships/hyperlink" Target="https://ghgprotocol.org/standards/scope-3-standard" TargetMode="External"/><Relationship Id="rId68" Type="http://schemas.openxmlformats.org/officeDocument/2006/relationships/hyperlink" Target="https://www.iso.org/standard/66453.html" TargetMode="External"/><Relationship Id="rId89" Type="http://schemas.openxmlformats.org/officeDocument/2006/relationships/hyperlink" Target="https://www.ipcc.ch/report/ar5/syr/" TargetMode="External"/><Relationship Id="rId112" Type="http://schemas.openxmlformats.org/officeDocument/2006/relationships/hyperlink" Target="https://assets.publishing.service.gov.uk/government/uploads/system/uploads/attachment_data/file/1083857/2022-ghg-cf-methodology-paper.pdf" TargetMode="External"/><Relationship Id="rId133" Type="http://schemas.openxmlformats.org/officeDocument/2006/relationships/hyperlink" Target="https://ghgprotocol.org/corporate-standard" TargetMode="External"/><Relationship Id="rId154" Type="http://schemas.openxmlformats.org/officeDocument/2006/relationships/hyperlink" Target="https://environment.govt.nz/publications/new-zealands-greenhouse-gas-inventory-1990-2021/" TargetMode="External"/><Relationship Id="rId16" Type="http://schemas.openxmlformats.org/officeDocument/2006/relationships/hyperlink" Target="https://environment.govt.nz/publications/new-zealands-greenhouse-gas-inventory-1990-2021/" TargetMode="External"/><Relationship Id="rId37" Type="http://schemas.openxmlformats.org/officeDocument/2006/relationships/hyperlink" Target="https://ghgprotocol.org/corporate-standard" TargetMode="External"/><Relationship Id="rId58" Type="http://schemas.openxmlformats.org/officeDocument/2006/relationships/hyperlink" Target="https://www.iso.org/standard/66453.html" TargetMode="External"/><Relationship Id="rId79" Type="http://schemas.openxmlformats.org/officeDocument/2006/relationships/hyperlink" Target="https://www.xrb.govt.nz/standards/climate-related-disclosures/assurance/" TargetMode="External"/><Relationship Id="rId102" Type="http://schemas.openxmlformats.org/officeDocument/2006/relationships/hyperlink" Target="https://assets.publishing.service.gov.uk/government/uploads/system/uploads/attachment_data/file/1083857/2022-ghg-cf-methodology-paper.pdf" TargetMode="External"/><Relationship Id="rId123" Type="http://schemas.openxmlformats.org/officeDocument/2006/relationships/hyperlink" Target="https://environment.govt.nz/publications/new-zealands-greenhouse-gas-inventory-1990-2021/" TargetMode="External"/><Relationship Id="rId144" Type="http://schemas.openxmlformats.org/officeDocument/2006/relationships/hyperlink" Target="https://environment.govt.nz/what-you-can-do/agricultural-emissions-calculator/" TargetMode="External"/><Relationship Id="rId90" Type="http://schemas.openxmlformats.org/officeDocument/2006/relationships/hyperlink" Target="https://www.ipcc.ch/report/ar5/syr/" TargetMode="External"/><Relationship Id="rId165" Type="http://schemas.openxmlformats.org/officeDocument/2006/relationships/footer" Target="footer3.xml"/><Relationship Id="rId27" Type="http://schemas.openxmlformats.org/officeDocument/2006/relationships/hyperlink" Target="https://www.xrb.govt.nz/standards/climate-related-disclosures/aotearoa-new-zealand-climate-standards/" TargetMode="External"/><Relationship Id="rId48" Type="http://schemas.openxmlformats.org/officeDocument/2006/relationships/hyperlink" Target="https://www.iso.org/standard/66453.html" TargetMode="External"/><Relationship Id="rId69" Type="http://schemas.openxmlformats.org/officeDocument/2006/relationships/hyperlink" Target="https://ghgprotocol.org/corporate-standard" TargetMode="External"/><Relationship Id="rId113" Type="http://schemas.openxmlformats.org/officeDocument/2006/relationships/hyperlink" Target="https://assets.publishing.service.gov.uk/government/uploads/system/uploads/attachment_data/file/1083857/2022-ghg-cf-methodology-paper.pdf" TargetMode="External"/><Relationship Id="rId134" Type="http://schemas.openxmlformats.org/officeDocument/2006/relationships/hyperlink" Target="https://data.mfe.govt.nz/" TargetMode="External"/><Relationship Id="rId80" Type="http://schemas.openxmlformats.org/officeDocument/2006/relationships/hyperlink" Target="https://www.iso.org/standard/66453.html" TargetMode="External"/><Relationship Id="rId155" Type="http://schemas.openxmlformats.org/officeDocument/2006/relationships/hyperlink" Target="https://www.iso.org/standard/66453.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ghgprotocol.org/sites/default/files/Stationary_Combustion_Guidance_final_1.pdf" TargetMode="External"/><Relationship Id="rId18" Type="http://schemas.openxmlformats.org/officeDocument/2006/relationships/hyperlink" Target="https://www.nzta.govt.nz/vehicles/how-the-motor-vehicle-register-affects-you/motor-vehicle-registrations-dashboard-and-open-data/" TargetMode="External"/><Relationship Id="rId26" Type="http://schemas.openxmlformats.org/officeDocument/2006/relationships/hyperlink" Target="https://www.ils.co.nz/ils/assets/downloads/SKU%20TDS/659340.pdf" TargetMode="External"/><Relationship Id="rId39" Type="http://schemas.openxmlformats.org/officeDocument/2006/relationships/hyperlink" Target="https://www.knowledgehub.transport.govt.nz/assets/TKH-Uploads/TKC-2019/Real-world-fuel-economy-of-heavy-trucks.pdf" TargetMode="External"/><Relationship Id="rId21" Type="http://schemas.openxmlformats.org/officeDocument/2006/relationships/hyperlink" Target="https://www.transport.govt.nz/assets/Uploads/Data/NZVehicleFleet.xlsx" TargetMode="External"/><Relationship Id="rId34" Type="http://schemas.openxmlformats.org/officeDocument/2006/relationships/hyperlink" Target="http://www.nzta.govt.nz/vehicles/how-the-motor-vehicle-register-affects-you" TargetMode="External"/><Relationship Id="rId42" Type="http://schemas.openxmlformats.org/officeDocument/2006/relationships/hyperlink" Target="https://assets.publishing.service.gov.uk/government/uploads/system/uploads/attachment_data/file/1083857/2022-ghg-cf-methodology-paper.pdf" TargetMode="External"/><Relationship Id="rId47" Type="http://schemas.openxmlformats.org/officeDocument/2006/relationships/hyperlink" Target="https://environment.govt.nz/publications/greenhouse-gas-emissions-from-industrial-wastewater-treatment-inventory-basis-review/" TargetMode="External"/><Relationship Id="rId50" Type="http://schemas.openxmlformats.org/officeDocument/2006/relationships/hyperlink" Target="https://epd-australasia.com/" TargetMode="External"/><Relationship Id="rId55" Type="http://schemas.openxmlformats.org/officeDocument/2006/relationships/hyperlink" Target="http://www.ipcc-nggip.iges.or.jp/public/2006gl/pdf/4_Volume4/V4_10_Ch10_Livestock.pdf" TargetMode="External"/><Relationship Id="rId7" Type="http://schemas.openxmlformats.org/officeDocument/2006/relationships/hyperlink" Target="https://environment.govt.nz/publications/measuring-emissions-a-guide-for-organisations-2023-summary-of-emission-factors/" TargetMode="External"/><Relationship Id="rId2" Type="http://schemas.openxmlformats.org/officeDocument/2006/relationships/hyperlink" Target="https://environment.govt.nz/what-government-is-doing/key-initiatives/carbon-neutral-government-programme/" TargetMode="External"/><Relationship Id="rId16" Type="http://schemas.openxmlformats.org/officeDocument/2006/relationships/hyperlink" Target="https://ghgprotocol.org/sites/default/files/standards/Scope%202%20Guidance_Final_Sept26.pdf" TargetMode="External"/><Relationship Id="rId29" Type="http://schemas.openxmlformats.org/officeDocument/2006/relationships/hyperlink" Target="https://ecommons.cornell.edu/handle/1813/109990" TargetMode="External"/><Relationship Id="rId11" Type="http://schemas.openxmlformats.org/officeDocument/2006/relationships/hyperlink" Target="https://www.legislation.govt.nz/regulation/public/2008/0356/latest/DLM1635640.html" TargetMode="External"/><Relationship Id="rId24" Type="http://schemas.openxmlformats.org/officeDocument/2006/relationships/hyperlink" Target="https://core.ac.uk/download/pdf/357569099.pdf" TargetMode="External"/><Relationship Id="rId32" Type="http://schemas.openxmlformats.org/officeDocument/2006/relationships/hyperlink" Target="https://aus01.safelinks.protection.outlook.com/?url=https%3A%2F%2Fwww.transport.govt.nz%2Fassets%2FUploads%2FData%2FNZVehicleFleet.xlsx&amp;data=04%7C01%7CCharissa.Billings%40mfe.govt.nz%7C716d568e554f4ce8d7ea08d9f0038879%7C761dd003d4ff40498a728549b20fcbb1%7C0%7C0%7C637804721191989366%7CUnknown%7CTWFpbGZsb3d8eyJWIjoiMC4wLjAwMDAiLCJQIjoiV2luMzIiLCJBTiI6Ik1haWwiLCJXVCI6Mn0%3D%7C3000&amp;sdata=BZp5pk8xXn6UG%2BUsdp2nhsSIGHtFyJ4UWvBcBZydgHg%3D&amp;reserved=0" TargetMode="External"/><Relationship Id="rId37" Type="http://schemas.openxmlformats.org/officeDocument/2006/relationships/hyperlink" Target="http://www.theccc.org.uk/publication/meeting-the-uk-aviation-target-options-for-reducing-emissions-to-2050/" TargetMode="External"/><Relationship Id="rId40" Type="http://schemas.openxmlformats.org/officeDocument/2006/relationships/hyperlink" Target="https://www.transport.govt.nz/statistics-and-insights/freight-and-logistics/" TargetMode="External"/><Relationship Id="rId45" Type="http://schemas.openxmlformats.org/officeDocument/2006/relationships/hyperlink" Target="http://www.waternz.org.nz/Attachment?Action=Download&amp;Attachment_id=3142" TargetMode="External"/><Relationship Id="rId53" Type="http://schemas.openxmlformats.org/officeDocument/2006/relationships/hyperlink" Target="https://data.mfe.govt.nz/" TargetMode="External"/><Relationship Id="rId5" Type="http://schemas.openxmlformats.org/officeDocument/2006/relationships/hyperlink" Target="https://unfccc.int/kyoto_protocol" TargetMode="External"/><Relationship Id="rId10" Type="http://schemas.openxmlformats.org/officeDocument/2006/relationships/hyperlink" Target="https://www.ipcc-nggip.iges.or.jp/public/2006gl/vol2.html" TargetMode="External"/><Relationship Id="rId19" Type="http://schemas.openxmlformats.org/officeDocument/2006/relationships/hyperlink" Target="https://www.transport.govt.nz/assets/Uploads/Data/NZVehicleFleet.xlsx" TargetMode="External"/><Relationship Id="rId31" Type="http://schemas.openxmlformats.org/officeDocument/2006/relationships/hyperlink" Target="https://assets.publishing.service.gov.uk/government/uploads/system/uploads/attachment_data/file/1083857/2022-ghg-cf-methodology-paper.pdf" TargetMode="External"/><Relationship Id="rId44" Type="http://schemas.openxmlformats.org/officeDocument/2006/relationships/hyperlink" Target="https://www.waternz.org.nz/Attachment?Action=Download&amp;Attachment_id=5573" TargetMode="External"/><Relationship Id="rId52" Type="http://schemas.openxmlformats.org/officeDocument/2006/relationships/hyperlink" Target="http://www.ipcc-nggip.iges.or.jp/public/2006gl/pdf/5_Volume5/V5_3_Ch3_SWDS.pdf" TargetMode="External"/><Relationship Id="rId4" Type="http://schemas.openxmlformats.org/officeDocument/2006/relationships/hyperlink" Target="https://environment.govt.nz/publications/new-zealands-greenhouse-gas-inventory-1990-2021/" TargetMode="External"/><Relationship Id="rId9" Type="http://schemas.openxmlformats.org/officeDocument/2006/relationships/hyperlink" Target="https://environment.govt.nz/assets/publications/Measuring-Emissions-2023/Measuring-Emissions-Guidance_EmissionFactors_InteractiveWorkbook_2023.xlsx" TargetMode="External"/><Relationship Id="rId14" Type="http://schemas.openxmlformats.org/officeDocument/2006/relationships/hyperlink" Target="http://www.ashrae.org/technical-resources/standards-and-guidelines/ashrae-refrigerant-designations" TargetMode="External"/><Relationship Id="rId22" Type="http://schemas.openxmlformats.org/officeDocument/2006/relationships/hyperlink" Target="https://ghgprotocol.org/sites/default/files/standards_supporting/Chapter6.pdf" TargetMode="External"/><Relationship Id="rId27" Type="http://schemas.openxmlformats.org/officeDocument/2006/relationships/hyperlink" Target="http://www.icao.int/environmental-protection/CarbonOffset/Pages/default.aspx" TargetMode="External"/><Relationship Id="rId30" Type="http://schemas.openxmlformats.org/officeDocument/2006/relationships/hyperlink" Target="https://ecommons.cornell.edu/handle/1813/109990" TargetMode="External"/><Relationship Id="rId35" Type="http://schemas.openxmlformats.org/officeDocument/2006/relationships/hyperlink" Target="https://www.knowledgehub.transport.govt.nz/assets/TKH-Uploads/TKC-2019/Real-world-fuel-economy-of-heavy-trucks.pdf" TargetMode="External"/><Relationship Id="rId43" Type="http://schemas.openxmlformats.org/officeDocument/2006/relationships/hyperlink" Target="https://www.waternz.org.nz/Article?Action=View&amp;Article_id=2078" TargetMode="External"/><Relationship Id="rId48" Type="http://schemas.openxmlformats.org/officeDocument/2006/relationships/hyperlink" Target="http://www.branz.co.nz/" TargetMode="External"/><Relationship Id="rId8" Type="http://schemas.openxmlformats.org/officeDocument/2006/relationships/hyperlink" Target="https://environment.govt.nz/assets/publications/Measuring-Emissions-2023/Measuring-Emissions-Guidance_EmissionFactors_Workbook_2023.xlsx" TargetMode="External"/><Relationship Id="rId51" Type="http://schemas.openxmlformats.org/officeDocument/2006/relationships/hyperlink" Target="http://www.ipcc-nggip.iges.or.jp/public/2006gl/pdf/5_Volume5/V5_3_Ch3_SWDS.pdf" TargetMode="External"/><Relationship Id="rId3" Type="http://schemas.openxmlformats.org/officeDocument/2006/relationships/hyperlink" Target="https://lcanz.org.nz/lca-guidance/lca-resources/" TargetMode="External"/><Relationship Id="rId12" Type="http://schemas.openxmlformats.org/officeDocument/2006/relationships/hyperlink" Target="http://www.ipcc-nggip.iges.or.jp/public/2006gl/vol2.html" TargetMode="External"/><Relationship Id="rId17" Type="http://schemas.openxmlformats.org/officeDocument/2006/relationships/hyperlink" Target="https://www.mbie.govt.nz/building-and-energy/energy-and-natural-resources/energy-statistics-and-modelling/energy-statistics/" TargetMode="External"/><Relationship Id="rId25" Type="http://schemas.openxmlformats.org/officeDocument/2006/relationships/hyperlink" Target="http://www.theccc.org.uk/publication/meeting-the-uk-aviation-target-options-for-reducing-emissions-to-2050/" TargetMode="External"/><Relationship Id="rId33" Type="http://schemas.openxmlformats.org/officeDocument/2006/relationships/hyperlink" Target="https://www.transport.govt.nz/statistics-and-insights/fleet-statistics/sheet/vehicle-age" TargetMode="External"/><Relationship Id="rId38" Type="http://schemas.openxmlformats.org/officeDocument/2006/relationships/hyperlink" Target="https://www.knowledgehub.transport.govt.nz/assets/TKH-Uploads/TKC-2019/Real-world-fuel-economy-of-heavy-trucks.pdf" TargetMode="External"/><Relationship Id="rId46" Type="http://schemas.openxmlformats.org/officeDocument/2006/relationships/hyperlink" Target="https://www.waternz.org.nz/Article?Action=View&amp;Article_id=2078" TargetMode="External"/><Relationship Id="rId20" Type="http://schemas.openxmlformats.org/officeDocument/2006/relationships/hyperlink" Target="https://www.transport.govt.nz/assets/Uploads/Data/NZVehicleFleet.xlsx" TargetMode="External"/><Relationship Id="rId41" Type="http://schemas.openxmlformats.org/officeDocument/2006/relationships/hyperlink" Target="https://www.transport.govt.nz/statistics-and-insights/freight-and-logistics/" TargetMode="External"/><Relationship Id="rId54" Type="http://schemas.openxmlformats.org/officeDocument/2006/relationships/hyperlink" Target="https://lris.scinfo.org.nz/layer/48423-lcdb-v41-deprecated-land-cover-database-version-41-mainland-new-zealand/" TargetMode="External"/><Relationship Id="rId1" Type="http://schemas.openxmlformats.org/officeDocument/2006/relationships/hyperlink" Target="https://environment.govt.nz/publications/cngp-measuring-and-reporting-ghg-emissions/" TargetMode="External"/><Relationship Id="rId6" Type="http://schemas.openxmlformats.org/officeDocument/2006/relationships/hyperlink" Target="http://www.unep.org/ozonaction/who-we-are/about-montreal-protocol" TargetMode="External"/><Relationship Id="rId15" Type="http://schemas.openxmlformats.org/officeDocument/2006/relationships/hyperlink" Target="https://www.mbie.govt.nz/building-and-energy/energy-and-natural-resources/energy-statistics-and-modelling/energy-statistics/" TargetMode="External"/><Relationship Id="rId23" Type="http://schemas.openxmlformats.org/officeDocument/2006/relationships/hyperlink" Target="http://www.nzta.govt.nz/assets/userfiles/transport-data/PTPerformance.xlsx" TargetMode="External"/><Relationship Id="rId28" Type="http://schemas.openxmlformats.org/officeDocument/2006/relationships/hyperlink" Target="http://www.aviation.govt.nz/aircraft/aircraft-registration/aircraft-register-search/" TargetMode="External"/><Relationship Id="rId36" Type="http://schemas.openxmlformats.org/officeDocument/2006/relationships/hyperlink" Target="https://core.ac.uk/download/pdf/357569099.pdf" TargetMode="External"/><Relationship Id="rId49" Type="http://schemas.openxmlformats.org/officeDocument/2006/relationships/hyperlink" Target="http://www.branz.co.nz/co2nstruct/"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ECM-1122293896-99143</_dlc_DocId>
    <_dlc_DocIdUrl xmlns="58a6f171-52cb-4404-b47d-af1c8daf8fd1">
      <Url>https://ministryforenvironment.sharepoint.com/sites/ECM-ER-Comms/_layouts/15/DocIdRedir.aspx?ID=ECM-1122293896-99143</Url>
      <Description>ECM-1122293896-99143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2175561-8482-4E2C-84D5-90B04A31A2C3}">
  <ds:schemaRefs>
    <ds:schemaRef ds:uri="http://schemas.openxmlformats.org/officeDocument/2006/bibliography"/>
  </ds:schemaRefs>
</ds:datastoreItem>
</file>

<file path=customXml/itemProps2.xml><?xml version="1.0" encoding="utf-8"?>
<ds:datastoreItem xmlns:ds="http://schemas.openxmlformats.org/officeDocument/2006/customXml" ds:itemID="{643CFA6F-E576-4F0E-A503-10494623FD33}">
  <ds:schemaRefs>
    <ds:schemaRef ds:uri="http://schemas.microsoft.com/sharepoint/v3/contenttype/forms"/>
  </ds:schemaRefs>
</ds:datastoreItem>
</file>

<file path=customXml/itemProps3.xml><?xml version="1.0" encoding="utf-8"?>
<ds:datastoreItem xmlns:ds="http://schemas.openxmlformats.org/officeDocument/2006/customXml" ds:itemID="{D3084A06-E88A-4DFE-93DE-AB6FC7E6F9D5}">
  <ds:schemaRefs>
    <ds:schemaRef ds:uri="http://schemas.microsoft.com/office/infopath/2007/PartnerControls"/>
    <ds:schemaRef ds:uri="http://purl.org/dc/dcmitype/"/>
    <ds:schemaRef ds:uri="http://schemas.microsoft.com/office/2006/documentManagement/types"/>
    <ds:schemaRef ds:uri="58a6f171-52cb-4404-b47d-af1c8daf8fd1"/>
    <ds:schemaRef ds:uri="http://www.w3.org/XML/1998/namespace"/>
    <ds:schemaRef ds:uri="http://purl.org/dc/elements/1.1/"/>
    <ds:schemaRef ds:uri="http://purl.org/dc/terms/"/>
    <ds:schemaRef ds:uri="0a5b0190-e301-4766-933d-448c7c363fce"/>
    <ds:schemaRef ds:uri="http://schemas.microsoft.com/office/2006/metadata/properties"/>
    <ds:schemaRef ds:uri="http://schemas.openxmlformats.org/package/2006/metadata/core-properties"/>
    <ds:schemaRef ds:uri="http://schemas.microsoft.com/sharepoint/v4"/>
    <ds:schemaRef ds:uri="4a94300e-a927-4b92-9d3a-682523035cb6"/>
    <ds:schemaRef ds:uri="http://schemas.microsoft.com/sharepoint/v3"/>
  </ds:schemaRefs>
</ds:datastoreItem>
</file>

<file path=customXml/itemProps4.xml><?xml version="1.0" encoding="utf-8"?>
<ds:datastoreItem xmlns:ds="http://schemas.openxmlformats.org/officeDocument/2006/customXml" ds:itemID="{A9822591-E086-489B-9B4B-CF8B1B887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A2F5DF-02FE-4F6F-98A2-6D7F912B4FB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48471</Words>
  <Characters>276285</Characters>
  <Application>Microsoft Office Word</Application>
  <DocSecurity>0</DocSecurity>
  <Lines>2302</Lines>
  <Paragraphs>648</Paragraphs>
  <ScaleCrop>false</ScaleCrop>
  <Company/>
  <LinksUpToDate>false</LinksUpToDate>
  <CharactersWithSpaces>324108</CharactersWithSpaces>
  <SharedDoc>false</SharedDoc>
  <HLinks>
    <vt:vector size="3528" baseType="variant">
      <vt:variant>
        <vt:i4>3997806</vt:i4>
      </vt:variant>
      <vt:variant>
        <vt:i4>2397</vt:i4>
      </vt:variant>
      <vt:variant>
        <vt:i4>0</vt:i4>
      </vt:variant>
      <vt:variant>
        <vt:i4>5</vt:i4>
      </vt:variant>
      <vt:variant>
        <vt:lpwstr>https://www.knowledgeauckland.org.nz/publications/consumption-emissions-modelling/</vt:lpwstr>
      </vt:variant>
      <vt:variant>
        <vt:lpwstr/>
      </vt:variant>
      <vt:variant>
        <vt:i4>2555922</vt:i4>
      </vt:variant>
      <vt:variant>
        <vt:i4>2394</vt:i4>
      </vt:variant>
      <vt:variant>
        <vt:i4>0</vt:i4>
      </vt:variant>
      <vt:variant>
        <vt:i4>5</vt:i4>
      </vt:variant>
      <vt:variant>
        <vt:lpwstr>mailto:Emissions-guide@mfe.govt.nz</vt:lpwstr>
      </vt:variant>
      <vt:variant>
        <vt:lpwstr/>
      </vt:variant>
      <vt:variant>
        <vt:i4>7274611</vt:i4>
      </vt:variant>
      <vt:variant>
        <vt:i4>2382</vt:i4>
      </vt:variant>
      <vt:variant>
        <vt:i4>0</vt:i4>
      </vt:variant>
      <vt:variant>
        <vt:i4>5</vt:i4>
      </vt:variant>
      <vt:variant>
        <vt:lpwstr/>
      </vt:variant>
      <vt:variant>
        <vt:lpwstr>tableB1</vt:lpwstr>
      </vt:variant>
      <vt:variant>
        <vt:i4>3801203</vt:i4>
      </vt:variant>
      <vt:variant>
        <vt:i4>2379</vt:i4>
      </vt:variant>
      <vt:variant>
        <vt:i4>0</vt:i4>
      </vt:variant>
      <vt:variant>
        <vt:i4>5</vt:i4>
      </vt:variant>
      <vt:variant>
        <vt:lpwstr/>
      </vt:variant>
      <vt:variant>
        <vt:lpwstr>table7</vt:lpwstr>
      </vt:variant>
      <vt:variant>
        <vt:i4>3801203</vt:i4>
      </vt:variant>
      <vt:variant>
        <vt:i4>2376</vt:i4>
      </vt:variant>
      <vt:variant>
        <vt:i4>0</vt:i4>
      </vt:variant>
      <vt:variant>
        <vt:i4>5</vt:i4>
      </vt:variant>
      <vt:variant>
        <vt:lpwstr/>
      </vt:variant>
      <vt:variant>
        <vt:lpwstr>table7</vt:lpwstr>
      </vt:variant>
      <vt:variant>
        <vt:i4>917581</vt:i4>
      </vt:variant>
      <vt:variant>
        <vt:i4>2373</vt:i4>
      </vt:variant>
      <vt:variant>
        <vt:i4>0</vt:i4>
      </vt:variant>
      <vt:variant>
        <vt:i4>5</vt:i4>
      </vt:variant>
      <vt:variant>
        <vt:lpwstr>https://environment.govt.nz/publications/new-zealands-greenhouse-gas-inventory-1990-2021/</vt:lpwstr>
      </vt:variant>
      <vt:variant>
        <vt:lpwstr/>
      </vt:variant>
      <vt:variant>
        <vt:i4>3080240</vt:i4>
      </vt:variant>
      <vt:variant>
        <vt:i4>2370</vt:i4>
      </vt:variant>
      <vt:variant>
        <vt:i4>0</vt:i4>
      </vt:variant>
      <vt:variant>
        <vt:i4>5</vt:i4>
      </vt:variant>
      <vt:variant>
        <vt:lpwstr>http://www.mbie.govt.nz/building-and-energy/energy-and-natural-resources/energy-statistics-and-modelling/energy-statistics/oil-statistics/</vt:lpwstr>
      </vt:variant>
      <vt:variant>
        <vt:lpwstr/>
      </vt:variant>
      <vt:variant>
        <vt:i4>6946870</vt:i4>
      </vt:variant>
      <vt:variant>
        <vt:i4>2367</vt:i4>
      </vt:variant>
      <vt:variant>
        <vt:i4>0</vt:i4>
      </vt:variant>
      <vt:variant>
        <vt:i4>5</vt:i4>
      </vt:variant>
      <vt:variant>
        <vt:lpwstr>http://aria.stats.govt.nz/aria/</vt:lpwstr>
      </vt:variant>
      <vt:variant>
        <vt:lpwstr/>
      </vt:variant>
      <vt:variant>
        <vt:i4>5373968</vt:i4>
      </vt:variant>
      <vt:variant>
        <vt:i4>2364</vt:i4>
      </vt:variant>
      <vt:variant>
        <vt:i4>0</vt:i4>
      </vt:variant>
      <vt:variant>
        <vt:i4>5</vt:i4>
      </vt:variant>
      <vt:variant>
        <vt:lpwstr>https://www.mbie.govt.nz/assets/Energy-statistics-sources-and-methods.pdf</vt:lpwstr>
      </vt:variant>
      <vt:variant>
        <vt:lpwstr/>
      </vt:variant>
      <vt:variant>
        <vt:i4>4063347</vt:i4>
      </vt:variant>
      <vt:variant>
        <vt:i4>2358</vt:i4>
      </vt:variant>
      <vt:variant>
        <vt:i4>0</vt:i4>
      </vt:variant>
      <vt:variant>
        <vt:i4>5</vt:i4>
      </vt:variant>
      <vt:variant>
        <vt:lpwstr/>
      </vt:variant>
      <vt:variant>
        <vt:lpwstr>table3</vt:lpwstr>
      </vt:variant>
      <vt:variant>
        <vt:i4>786457</vt:i4>
      </vt:variant>
      <vt:variant>
        <vt:i4>2355</vt:i4>
      </vt:variant>
      <vt:variant>
        <vt:i4>0</vt:i4>
      </vt:variant>
      <vt:variant>
        <vt:i4>5</vt:i4>
      </vt:variant>
      <vt:variant>
        <vt:lpwstr/>
      </vt:variant>
      <vt:variant>
        <vt:lpwstr>_Emission_factor_derivation_1</vt:lpwstr>
      </vt:variant>
      <vt:variant>
        <vt:i4>7078003</vt:i4>
      </vt:variant>
      <vt:variant>
        <vt:i4>2352</vt:i4>
      </vt:variant>
      <vt:variant>
        <vt:i4>0</vt:i4>
      </vt:variant>
      <vt:variant>
        <vt:i4>5</vt:i4>
      </vt:variant>
      <vt:variant>
        <vt:lpwstr/>
      </vt:variant>
      <vt:variant>
        <vt:lpwstr>tableA1</vt:lpwstr>
      </vt:variant>
      <vt:variant>
        <vt:i4>917581</vt:i4>
      </vt:variant>
      <vt:variant>
        <vt:i4>2349</vt:i4>
      </vt:variant>
      <vt:variant>
        <vt:i4>0</vt:i4>
      </vt:variant>
      <vt:variant>
        <vt:i4>5</vt:i4>
      </vt:variant>
      <vt:variant>
        <vt:lpwstr>https://environment.govt.nz/publications/new-zealands-greenhouse-gas-inventory-1990-2021/</vt:lpwstr>
      </vt:variant>
      <vt:variant>
        <vt:lpwstr/>
      </vt:variant>
      <vt:variant>
        <vt:i4>3407987</vt:i4>
      </vt:variant>
      <vt:variant>
        <vt:i4>2343</vt:i4>
      </vt:variant>
      <vt:variant>
        <vt:i4>0</vt:i4>
      </vt:variant>
      <vt:variant>
        <vt:i4>5</vt:i4>
      </vt:variant>
      <vt:variant>
        <vt:lpwstr/>
      </vt:variant>
      <vt:variant>
        <vt:lpwstr>table94</vt:lpwstr>
      </vt:variant>
      <vt:variant>
        <vt:i4>4128770</vt:i4>
      </vt:variant>
      <vt:variant>
        <vt:i4>2340</vt:i4>
      </vt:variant>
      <vt:variant>
        <vt:i4>0</vt:i4>
      </vt:variant>
      <vt:variant>
        <vt:i4>5</vt:i4>
      </vt:variant>
      <vt:variant>
        <vt:lpwstr/>
      </vt:variant>
      <vt:variant>
        <vt:lpwstr>_How_to_quantify</vt:lpwstr>
      </vt:variant>
      <vt:variant>
        <vt:i4>3407987</vt:i4>
      </vt:variant>
      <vt:variant>
        <vt:i4>2337</vt:i4>
      </vt:variant>
      <vt:variant>
        <vt:i4>0</vt:i4>
      </vt:variant>
      <vt:variant>
        <vt:i4>5</vt:i4>
      </vt:variant>
      <vt:variant>
        <vt:lpwstr/>
      </vt:variant>
      <vt:variant>
        <vt:lpwstr>table94</vt:lpwstr>
      </vt:variant>
      <vt:variant>
        <vt:i4>3407987</vt:i4>
      </vt:variant>
      <vt:variant>
        <vt:i4>2328</vt:i4>
      </vt:variant>
      <vt:variant>
        <vt:i4>0</vt:i4>
      </vt:variant>
      <vt:variant>
        <vt:i4>5</vt:i4>
      </vt:variant>
      <vt:variant>
        <vt:lpwstr/>
      </vt:variant>
      <vt:variant>
        <vt:lpwstr>table94</vt:lpwstr>
      </vt:variant>
      <vt:variant>
        <vt:i4>3407987</vt:i4>
      </vt:variant>
      <vt:variant>
        <vt:i4>2325</vt:i4>
      </vt:variant>
      <vt:variant>
        <vt:i4>0</vt:i4>
      </vt:variant>
      <vt:variant>
        <vt:i4>5</vt:i4>
      </vt:variant>
      <vt:variant>
        <vt:lpwstr/>
      </vt:variant>
      <vt:variant>
        <vt:lpwstr>table93</vt:lpwstr>
      </vt:variant>
      <vt:variant>
        <vt:i4>3407987</vt:i4>
      </vt:variant>
      <vt:variant>
        <vt:i4>2322</vt:i4>
      </vt:variant>
      <vt:variant>
        <vt:i4>0</vt:i4>
      </vt:variant>
      <vt:variant>
        <vt:i4>5</vt:i4>
      </vt:variant>
      <vt:variant>
        <vt:lpwstr/>
      </vt:variant>
      <vt:variant>
        <vt:lpwstr>table91</vt:lpwstr>
      </vt:variant>
      <vt:variant>
        <vt:i4>4128770</vt:i4>
      </vt:variant>
      <vt:variant>
        <vt:i4>2319</vt:i4>
      </vt:variant>
      <vt:variant>
        <vt:i4>0</vt:i4>
      </vt:variant>
      <vt:variant>
        <vt:i4>5</vt:i4>
      </vt:variant>
      <vt:variant>
        <vt:lpwstr/>
      </vt:variant>
      <vt:variant>
        <vt:lpwstr>_How_to_quantify</vt:lpwstr>
      </vt:variant>
      <vt:variant>
        <vt:i4>3407987</vt:i4>
      </vt:variant>
      <vt:variant>
        <vt:i4>2310</vt:i4>
      </vt:variant>
      <vt:variant>
        <vt:i4>0</vt:i4>
      </vt:variant>
      <vt:variant>
        <vt:i4>5</vt:i4>
      </vt:variant>
      <vt:variant>
        <vt:lpwstr/>
      </vt:variant>
      <vt:variant>
        <vt:lpwstr>table91</vt:lpwstr>
      </vt:variant>
      <vt:variant>
        <vt:i4>3407987</vt:i4>
      </vt:variant>
      <vt:variant>
        <vt:i4>2307</vt:i4>
      </vt:variant>
      <vt:variant>
        <vt:i4>0</vt:i4>
      </vt:variant>
      <vt:variant>
        <vt:i4>5</vt:i4>
      </vt:variant>
      <vt:variant>
        <vt:lpwstr/>
      </vt:variant>
      <vt:variant>
        <vt:lpwstr>table92</vt:lpwstr>
      </vt:variant>
      <vt:variant>
        <vt:i4>3407987</vt:i4>
      </vt:variant>
      <vt:variant>
        <vt:i4>2304</vt:i4>
      </vt:variant>
      <vt:variant>
        <vt:i4>0</vt:i4>
      </vt:variant>
      <vt:variant>
        <vt:i4>5</vt:i4>
      </vt:variant>
      <vt:variant>
        <vt:lpwstr/>
      </vt:variant>
      <vt:variant>
        <vt:lpwstr>table91</vt:lpwstr>
      </vt:variant>
      <vt:variant>
        <vt:i4>4063295</vt:i4>
      </vt:variant>
      <vt:variant>
        <vt:i4>2301</vt:i4>
      </vt:variant>
      <vt:variant>
        <vt:i4>0</vt:i4>
      </vt:variant>
      <vt:variant>
        <vt:i4>5</vt:i4>
      </vt:variant>
      <vt:variant>
        <vt:lpwstr>https://ghgprotocol.org/corporate-standard</vt:lpwstr>
      </vt:variant>
      <vt:variant>
        <vt:lpwstr/>
      </vt:variant>
      <vt:variant>
        <vt:i4>6488124</vt:i4>
      </vt:variant>
      <vt:variant>
        <vt:i4>2298</vt:i4>
      </vt:variant>
      <vt:variant>
        <vt:i4>0</vt:i4>
      </vt:variant>
      <vt:variant>
        <vt:i4>5</vt:i4>
      </vt:variant>
      <vt:variant>
        <vt:lpwstr>https://www.iso.org/standard/66453.html</vt:lpwstr>
      </vt:variant>
      <vt:variant>
        <vt:lpwstr/>
      </vt:variant>
      <vt:variant>
        <vt:i4>917581</vt:i4>
      </vt:variant>
      <vt:variant>
        <vt:i4>2295</vt:i4>
      </vt:variant>
      <vt:variant>
        <vt:i4>0</vt:i4>
      </vt:variant>
      <vt:variant>
        <vt:i4>5</vt:i4>
      </vt:variant>
      <vt:variant>
        <vt:lpwstr>https://environment.govt.nz/publications/new-zealands-greenhouse-gas-inventory-1990-2021/</vt:lpwstr>
      </vt:variant>
      <vt:variant>
        <vt:lpwstr/>
      </vt:variant>
      <vt:variant>
        <vt:i4>917581</vt:i4>
      </vt:variant>
      <vt:variant>
        <vt:i4>2292</vt:i4>
      </vt:variant>
      <vt:variant>
        <vt:i4>0</vt:i4>
      </vt:variant>
      <vt:variant>
        <vt:i4>5</vt:i4>
      </vt:variant>
      <vt:variant>
        <vt:lpwstr>https://environment.govt.nz/publications/new-zealands-greenhouse-gas-inventory-1990-2021/</vt:lpwstr>
      </vt:variant>
      <vt:variant>
        <vt:lpwstr/>
      </vt:variant>
      <vt:variant>
        <vt:i4>3407987</vt:i4>
      </vt:variant>
      <vt:variant>
        <vt:i4>2286</vt:i4>
      </vt:variant>
      <vt:variant>
        <vt:i4>0</vt:i4>
      </vt:variant>
      <vt:variant>
        <vt:i4>5</vt:i4>
      </vt:variant>
      <vt:variant>
        <vt:lpwstr/>
      </vt:variant>
      <vt:variant>
        <vt:lpwstr>table90</vt:lpwstr>
      </vt:variant>
      <vt:variant>
        <vt:i4>917581</vt:i4>
      </vt:variant>
      <vt:variant>
        <vt:i4>2283</vt:i4>
      </vt:variant>
      <vt:variant>
        <vt:i4>0</vt:i4>
      </vt:variant>
      <vt:variant>
        <vt:i4>5</vt:i4>
      </vt:variant>
      <vt:variant>
        <vt:lpwstr>https://environment.govt.nz/publications/new-zealands-greenhouse-gas-inventory-1990-2021/</vt:lpwstr>
      </vt:variant>
      <vt:variant>
        <vt:lpwstr/>
      </vt:variant>
      <vt:variant>
        <vt:i4>3473523</vt:i4>
      </vt:variant>
      <vt:variant>
        <vt:i4>2280</vt:i4>
      </vt:variant>
      <vt:variant>
        <vt:i4>0</vt:i4>
      </vt:variant>
      <vt:variant>
        <vt:i4>5</vt:i4>
      </vt:variant>
      <vt:variant>
        <vt:lpwstr/>
      </vt:variant>
      <vt:variant>
        <vt:lpwstr>table89</vt:lpwstr>
      </vt:variant>
      <vt:variant>
        <vt:i4>4128770</vt:i4>
      </vt:variant>
      <vt:variant>
        <vt:i4>2277</vt:i4>
      </vt:variant>
      <vt:variant>
        <vt:i4>0</vt:i4>
      </vt:variant>
      <vt:variant>
        <vt:i4>5</vt:i4>
      </vt:variant>
      <vt:variant>
        <vt:lpwstr/>
      </vt:variant>
      <vt:variant>
        <vt:lpwstr>_How_to_quantify</vt:lpwstr>
      </vt:variant>
      <vt:variant>
        <vt:i4>3473523</vt:i4>
      </vt:variant>
      <vt:variant>
        <vt:i4>2271</vt:i4>
      </vt:variant>
      <vt:variant>
        <vt:i4>0</vt:i4>
      </vt:variant>
      <vt:variant>
        <vt:i4>5</vt:i4>
      </vt:variant>
      <vt:variant>
        <vt:lpwstr/>
      </vt:variant>
      <vt:variant>
        <vt:lpwstr>table89</vt:lpwstr>
      </vt:variant>
      <vt:variant>
        <vt:i4>655421</vt:i4>
      </vt:variant>
      <vt:variant>
        <vt:i4>2268</vt:i4>
      </vt:variant>
      <vt:variant>
        <vt:i4>0</vt:i4>
      </vt:variant>
      <vt:variant>
        <vt:i4>5</vt:i4>
      </vt:variant>
      <vt:variant>
        <vt:lpwstr/>
      </vt:variant>
      <vt:variant>
        <vt:lpwstr>_Alternative_methods_and</vt:lpwstr>
      </vt:variant>
      <vt:variant>
        <vt:i4>917581</vt:i4>
      </vt:variant>
      <vt:variant>
        <vt:i4>2265</vt:i4>
      </vt:variant>
      <vt:variant>
        <vt:i4>0</vt:i4>
      </vt:variant>
      <vt:variant>
        <vt:i4>5</vt:i4>
      </vt:variant>
      <vt:variant>
        <vt:lpwstr>https://environment.govt.nz/publications/new-zealands-greenhouse-gas-inventory-1990-2021/</vt:lpwstr>
      </vt:variant>
      <vt:variant>
        <vt:lpwstr/>
      </vt:variant>
      <vt:variant>
        <vt:i4>917581</vt:i4>
      </vt:variant>
      <vt:variant>
        <vt:i4>2262</vt:i4>
      </vt:variant>
      <vt:variant>
        <vt:i4>0</vt:i4>
      </vt:variant>
      <vt:variant>
        <vt:i4>5</vt:i4>
      </vt:variant>
      <vt:variant>
        <vt:lpwstr>https://environment.govt.nz/publications/new-zealands-greenhouse-gas-inventory-1990-2021/</vt:lpwstr>
      </vt:variant>
      <vt:variant>
        <vt:lpwstr/>
      </vt:variant>
      <vt:variant>
        <vt:i4>917581</vt:i4>
      </vt:variant>
      <vt:variant>
        <vt:i4>2256</vt:i4>
      </vt:variant>
      <vt:variant>
        <vt:i4>0</vt:i4>
      </vt:variant>
      <vt:variant>
        <vt:i4>5</vt:i4>
      </vt:variant>
      <vt:variant>
        <vt:lpwstr>https://environment.govt.nz/publications/new-zealands-greenhouse-gas-inventory-1990-2021/</vt:lpwstr>
      </vt:variant>
      <vt:variant>
        <vt:lpwstr/>
      </vt:variant>
      <vt:variant>
        <vt:i4>3473523</vt:i4>
      </vt:variant>
      <vt:variant>
        <vt:i4>2250</vt:i4>
      </vt:variant>
      <vt:variant>
        <vt:i4>0</vt:i4>
      </vt:variant>
      <vt:variant>
        <vt:i4>5</vt:i4>
      </vt:variant>
      <vt:variant>
        <vt:lpwstr/>
      </vt:variant>
      <vt:variant>
        <vt:lpwstr>Table87</vt:lpwstr>
      </vt:variant>
      <vt:variant>
        <vt:i4>917581</vt:i4>
      </vt:variant>
      <vt:variant>
        <vt:i4>2247</vt:i4>
      </vt:variant>
      <vt:variant>
        <vt:i4>0</vt:i4>
      </vt:variant>
      <vt:variant>
        <vt:i4>5</vt:i4>
      </vt:variant>
      <vt:variant>
        <vt:lpwstr>https://environment.govt.nz/publications/new-zealands-greenhouse-gas-inventory-1990-2021/</vt:lpwstr>
      </vt:variant>
      <vt:variant>
        <vt:lpwstr/>
      </vt:variant>
      <vt:variant>
        <vt:i4>3473523</vt:i4>
      </vt:variant>
      <vt:variant>
        <vt:i4>2244</vt:i4>
      </vt:variant>
      <vt:variant>
        <vt:i4>0</vt:i4>
      </vt:variant>
      <vt:variant>
        <vt:i4>5</vt:i4>
      </vt:variant>
      <vt:variant>
        <vt:lpwstr/>
      </vt:variant>
      <vt:variant>
        <vt:lpwstr>Table86</vt:lpwstr>
      </vt:variant>
      <vt:variant>
        <vt:i4>4128770</vt:i4>
      </vt:variant>
      <vt:variant>
        <vt:i4>2241</vt:i4>
      </vt:variant>
      <vt:variant>
        <vt:i4>0</vt:i4>
      </vt:variant>
      <vt:variant>
        <vt:i4>5</vt:i4>
      </vt:variant>
      <vt:variant>
        <vt:lpwstr/>
      </vt:variant>
      <vt:variant>
        <vt:lpwstr>_How_to_quantify</vt:lpwstr>
      </vt:variant>
      <vt:variant>
        <vt:i4>4915209</vt:i4>
      </vt:variant>
      <vt:variant>
        <vt:i4>2238</vt:i4>
      </vt:variant>
      <vt:variant>
        <vt:i4>0</vt:i4>
      </vt:variant>
      <vt:variant>
        <vt:i4>5</vt:i4>
      </vt:variant>
      <vt:variant>
        <vt:lpwstr/>
      </vt:variant>
      <vt:variant>
        <vt:lpwstr>_GHG_inventory_development_3</vt:lpwstr>
      </vt:variant>
      <vt:variant>
        <vt:i4>3473523</vt:i4>
      </vt:variant>
      <vt:variant>
        <vt:i4>2232</vt:i4>
      </vt:variant>
      <vt:variant>
        <vt:i4>0</vt:i4>
      </vt:variant>
      <vt:variant>
        <vt:i4>5</vt:i4>
      </vt:variant>
      <vt:variant>
        <vt:lpwstr/>
      </vt:variant>
      <vt:variant>
        <vt:lpwstr>Table86</vt:lpwstr>
      </vt:variant>
      <vt:variant>
        <vt:i4>917581</vt:i4>
      </vt:variant>
      <vt:variant>
        <vt:i4>2229</vt:i4>
      </vt:variant>
      <vt:variant>
        <vt:i4>0</vt:i4>
      </vt:variant>
      <vt:variant>
        <vt:i4>5</vt:i4>
      </vt:variant>
      <vt:variant>
        <vt:lpwstr>https://environment.govt.nz/publications/new-zealands-greenhouse-gas-inventory-1990-2021/</vt:lpwstr>
      </vt:variant>
      <vt:variant>
        <vt:lpwstr/>
      </vt:variant>
      <vt:variant>
        <vt:i4>3997796</vt:i4>
      </vt:variant>
      <vt:variant>
        <vt:i4>2226</vt:i4>
      </vt:variant>
      <vt:variant>
        <vt:i4>0</vt:i4>
      </vt:variant>
      <vt:variant>
        <vt:i4>5</vt:i4>
      </vt:variant>
      <vt:variant>
        <vt:lpwstr>https://beeflambnz.com/ghg-calculator-info</vt:lpwstr>
      </vt:variant>
      <vt:variant>
        <vt:lpwstr/>
      </vt:variant>
      <vt:variant>
        <vt:i4>7077934</vt:i4>
      </vt:variant>
      <vt:variant>
        <vt:i4>2223</vt:i4>
      </vt:variant>
      <vt:variant>
        <vt:i4>0</vt:i4>
      </vt:variant>
      <vt:variant>
        <vt:i4>5</vt:i4>
      </vt:variant>
      <vt:variant>
        <vt:lpwstr>https://www.overseer.org.nz/overseerfm</vt:lpwstr>
      </vt:variant>
      <vt:variant>
        <vt:lpwstr/>
      </vt:variant>
      <vt:variant>
        <vt:i4>7405624</vt:i4>
      </vt:variant>
      <vt:variant>
        <vt:i4>2220</vt:i4>
      </vt:variant>
      <vt:variant>
        <vt:i4>0</vt:i4>
      </vt:variant>
      <vt:variant>
        <vt:i4>5</vt:i4>
      </vt:variant>
      <vt:variant>
        <vt:lpwstr>https://environment.govt.nz/what-you-can-do/agricultural-emissions-calculator/</vt:lpwstr>
      </vt:variant>
      <vt:variant>
        <vt:lpwstr/>
      </vt:variant>
      <vt:variant>
        <vt:i4>917581</vt:i4>
      </vt:variant>
      <vt:variant>
        <vt:i4>2217</vt:i4>
      </vt:variant>
      <vt:variant>
        <vt:i4>0</vt:i4>
      </vt:variant>
      <vt:variant>
        <vt:i4>5</vt:i4>
      </vt:variant>
      <vt:variant>
        <vt:lpwstr>https://environment.govt.nz/publications/new-zealands-greenhouse-gas-inventory-1990-2021/</vt:lpwstr>
      </vt:variant>
      <vt:variant>
        <vt:lpwstr/>
      </vt:variant>
      <vt:variant>
        <vt:i4>917581</vt:i4>
      </vt:variant>
      <vt:variant>
        <vt:i4>2210</vt:i4>
      </vt:variant>
      <vt:variant>
        <vt:i4>0</vt:i4>
      </vt:variant>
      <vt:variant>
        <vt:i4>5</vt:i4>
      </vt:variant>
      <vt:variant>
        <vt:lpwstr>https://environment.govt.nz/publications/new-zealands-greenhouse-gas-inventory-1990-2021/</vt:lpwstr>
      </vt:variant>
      <vt:variant>
        <vt:lpwstr/>
      </vt:variant>
      <vt:variant>
        <vt:i4>917581</vt:i4>
      </vt:variant>
      <vt:variant>
        <vt:i4>2208</vt:i4>
      </vt:variant>
      <vt:variant>
        <vt:i4>0</vt:i4>
      </vt:variant>
      <vt:variant>
        <vt:i4>5</vt:i4>
      </vt:variant>
      <vt:variant>
        <vt:lpwstr>https://environment.govt.nz/publications/new-zealands-greenhouse-gas-inventory-1990-2021/</vt:lpwstr>
      </vt:variant>
      <vt:variant>
        <vt:lpwstr/>
      </vt:variant>
      <vt:variant>
        <vt:i4>917581</vt:i4>
      </vt:variant>
      <vt:variant>
        <vt:i4>2205</vt:i4>
      </vt:variant>
      <vt:variant>
        <vt:i4>0</vt:i4>
      </vt:variant>
      <vt:variant>
        <vt:i4>5</vt:i4>
      </vt:variant>
      <vt:variant>
        <vt:lpwstr>https://environment.govt.nz/publications/new-zealands-greenhouse-gas-inventory-1990-2021/</vt:lpwstr>
      </vt:variant>
      <vt:variant>
        <vt:lpwstr/>
      </vt:variant>
      <vt:variant>
        <vt:i4>3473523</vt:i4>
      </vt:variant>
      <vt:variant>
        <vt:i4>2202</vt:i4>
      </vt:variant>
      <vt:variant>
        <vt:i4>0</vt:i4>
      </vt:variant>
      <vt:variant>
        <vt:i4>5</vt:i4>
      </vt:variant>
      <vt:variant>
        <vt:lpwstr/>
      </vt:variant>
      <vt:variant>
        <vt:lpwstr>Table84</vt:lpwstr>
      </vt:variant>
      <vt:variant>
        <vt:i4>4128770</vt:i4>
      </vt:variant>
      <vt:variant>
        <vt:i4>2199</vt:i4>
      </vt:variant>
      <vt:variant>
        <vt:i4>0</vt:i4>
      </vt:variant>
      <vt:variant>
        <vt:i4>5</vt:i4>
      </vt:variant>
      <vt:variant>
        <vt:lpwstr/>
      </vt:variant>
      <vt:variant>
        <vt:lpwstr>_How_to_quantify</vt:lpwstr>
      </vt:variant>
      <vt:variant>
        <vt:i4>1966092</vt:i4>
      </vt:variant>
      <vt:variant>
        <vt:i4>2196</vt:i4>
      </vt:variant>
      <vt:variant>
        <vt:i4>0</vt:i4>
      </vt:variant>
      <vt:variant>
        <vt:i4>5</vt:i4>
      </vt:variant>
      <vt:variant>
        <vt:lpwstr/>
      </vt:variant>
      <vt:variant>
        <vt:lpwstr>_Enteric_fermentation</vt:lpwstr>
      </vt:variant>
      <vt:variant>
        <vt:i4>3473523</vt:i4>
      </vt:variant>
      <vt:variant>
        <vt:i4>2190</vt:i4>
      </vt:variant>
      <vt:variant>
        <vt:i4>0</vt:i4>
      </vt:variant>
      <vt:variant>
        <vt:i4>5</vt:i4>
      </vt:variant>
      <vt:variant>
        <vt:lpwstr/>
      </vt:variant>
      <vt:variant>
        <vt:lpwstr>Table84</vt:lpwstr>
      </vt:variant>
      <vt:variant>
        <vt:i4>3014723</vt:i4>
      </vt:variant>
      <vt:variant>
        <vt:i4>2187</vt:i4>
      </vt:variant>
      <vt:variant>
        <vt:i4>0</vt:i4>
      </vt:variant>
      <vt:variant>
        <vt:i4>5</vt:i4>
      </vt:variant>
      <vt:variant>
        <vt:lpwstr>https://www.agmatters.nz/goals/know-your-number/?gclid=EAIaIQobChMIr-_l5o7T_wIVxZhmAh09mg8UEAAYASABEgKX5vD_BwE</vt:lpwstr>
      </vt:variant>
      <vt:variant>
        <vt:lpwstr/>
      </vt:variant>
      <vt:variant>
        <vt:i4>917581</vt:i4>
      </vt:variant>
      <vt:variant>
        <vt:i4>2184</vt:i4>
      </vt:variant>
      <vt:variant>
        <vt:i4>0</vt:i4>
      </vt:variant>
      <vt:variant>
        <vt:i4>5</vt:i4>
      </vt:variant>
      <vt:variant>
        <vt:lpwstr>https://environment.govt.nz/publications/new-zealands-greenhouse-gas-inventory-1990-2021/</vt:lpwstr>
      </vt:variant>
      <vt:variant>
        <vt:lpwstr/>
      </vt:variant>
      <vt:variant>
        <vt:i4>3473523</vt:i4>
      </vt:variant>
      <vt:variant>
        <vt:i4>2181</vt:i4>
      </vt:variant>
      <vt:variant>
        <vt:i4>0</vt:i4>
      </vt:variant>
      <vt:variant>
        <vt:i4>5</vt:i4>
      </vt:variant>
      <vt:variant>
        <vt:lpwstr/>
      </vt:variant>
      <vt:variant>
        <vt:lpwstr>Table83</vt:lpwstr>
      </vt:variant>
      <vt:variant>
        <vt:i4>3473523</vt:i4>
      </vt:variant>
      <vt:variant>
        <vt:i4>2178</vt:i4>
      </vt:variant>
      <vt:variant>
        <vt:i4>0</vt:i4>
      </vt:variant>
      <vt:variant>
        <vt:i4>5</vt:i4>
      </vt:variant>
      <vt:variant>
        <vt:lpwstr/>
      </vt:variant>
      <vt:variant>
        <vt:lpwstr>Table82</vt:lpwstr>
      </vt:variant>
      <vt:variant>
        <vt:i4>4128770</vt:i4>
      </vt:variant>
      <vt:variant>
        <vt:i4>2175</vt:i4>
      </vt:variant>
      <vt:variant>
        <vt:i4>0</vt:i4>
      </vt:variant>
      <vt:variant>
        <vt:i4>5</vt:i4>
      </vt:variant>
      <vt:variant>
        <vt:lpwstr/>
      </vt:variant>
      <vt:variant>
        <vt:lpwstr>_How_to_quantify</vt:lpwstr>
      </vt:variant>
      <vt:variant>
        <vt:i4>786449</vt:i4>
      </vt:variant>
      <vt:variant>
        <vt:i4>2172</vt:i4>
      </vt:variant>
      <vt:variant>
        <vt:i4>0</vt:i4>
      </vt:variant>
      <vt:variant>
        <vt:i4>5</vt:i4>
      </vt:variant>
      <vt:variant>
        <vt:lpwstr>https://lris.scinfo.org.nz/layer/48423-lcdb-v41-land-cover-database-version-41-mainland-new-zealand/</vt:lpwstr>
      </vt:variant>
      <vt:variant>
        <vt:lpwstr/>
      </vt:variant>
      <vt:variant>
        <vt:i4>6029379</vt:i4>
      </vt:variant>
      <vt:variant>
        <vt:i4>2169</vt:i4>
      </vt:variant>
      <vt:variant>
        <vt:i4>0</vt:i4>
      </vt:variant>
      <vt:variant>
        <vt:i4>5</vt:i4>
      </vt:variant>
      <vt:variant>
        <vt:lpwstr>https://data.mfe.govt.nz/</vt:lpwstr>
      </vt:variant>
      <vt:variant>
        <vt:lpwstr/>
      </vt:variant>
      <vt:variant>
        <vt:i4>786449</vt:i4>
      </vt:variant>
      <vt:variant>
        <vt:i4>2166</vt:i4>
      </vt:variant>
      <vt:variant>
        <vt:i4>0</vt:i4>
      </vt:variant>
      <vt:variant>
        <vt:i4>5</vt:i4>
      </vt:variant>
      <vt:variant>
        <vt:lpwstr>https://lris.scinfo.org.nz/layer/48423-lcdb-v41-land-cover-database-version-41-mainland-new-zealand/</vt:lpwstr>
      </vt:variant>
      <vt:variant>
        <vt:lpwstr/>
      </vt:variant>
      <vt:variant>
        <vt:i4>6029379</vt:i4>
      </vt:variant>
      <vt:variant>
        <vt:i4>2163</vt:i4>
      </vt:variant>
      <vt:variant>
        <vt:i4>0</vt:i4>
      </vt:variant>
      <vt:variant>
        <vt:i4>5</vt:i4>
      </vt:variant>
      <vt:variant>
        <vt:lpwstr>https://data.mfe.govt.nz/</vt:lpwstr>
      </vt:variant>
      <vt:variant>
        <vt:lpwstr/>
      </vt:variant>
      <vt:variant>
        <vt:i4>3473523</vt:i4>
      </vt:variant>
      <vt:variant>
        <vt:i4>2154</vt:i4>
      </vt:variant>
      <vt:variant>
        <vt:i4>0</vt:i4>
      </vt:variant>
      <vt:variant>
        <vt:i4>5</vt:i4>
      </vt:variant>
      <vt:variant>
        <vt:lpwstr/>
      </vt:variant>
      <vt:variant>
        <vt:lpwstr>Table83</vt:lpwstr>
      </vt:variant>
      <vt:variant>
        <vt:i4>3473523</vt:i4>
      </vt:variant>
      <vt:variant>
        <vt:i4>2151</vt:i4>
      </vt:variant>
      <vt:variant>
        <vt:i4>0</vt:i4>
      </vt:variant>
      <vt:variant>
        <vt:i4>5</vt:i4>
      </vt:variant>
      <vt:variant>
        <vt:lpwstr/>
      </vt:variant>
      <vt:variant>
        <vt:lpwstr>Table82</vt:lpwstr>
      </vt:variant>
      <vt:variant>
        <vt:i4>3473523</vt:i4>
      </vt:variant>
      <vt:variant>
        <vt:i4>2148</vt:i4>
      </vt:variant>
      <vt:variant>
        <vt:i4>0</vt:i4>
      </vt:variant>
      <vt:variant>
        <vt:i4>5</vt:i4>
      </vt:variant>
      <vt:variant>
        <vt:lpwstr/>
      </vt:variant>
      <vt:variant>
        <vt:lpwstr>Table83</vt:lpwstr>
      </vt:variant>
      <vt:variant>
        <vt:i4>3473523</vt:i4>
      </vt:variant>
      <vt:variant>
        <vt:i4>2145</vt:i4>
      </vt:variant>
      <vt:variant>
        <vt:i4>0</vt:i4>
      </vt:variant>
      <vt:variant>
        <vt:i4>5</vt:i4>
      </vt:variant>
      <vt:variant>
        <vt:lpwstr/>
      </vt:variant>
      <vt:variant>
        <vt:lpwstr>Table83</vt:lpwstr>
      </vt:variant>
      <vt:variant>
        <vt:i4>3473523</vt:i4>
      </vt:variant>
      <vt:variant>
        <vt:i4>2142</vt:i4>
      </vt:variant>
      <vt:variant>
        <vt:i4>0</vt:i4>
      </vt:variant>
      <vt:variant>
        <vt:i4>5</vt:i4>
      </vt:variant>
      <vt:variant>
        <vt:lpwstr/>
      </vt:variant>
      <vt:variant>
        <vt:lpwstr>Table82</vt:lpwstr>
      </vt:variant>
      <vt:variant>
        <vt:i4>4063295</vt:i4>
      </vt:variant>
      <vt:variant>
        <vt:i4>2139</vt:i4>
      </vt:variant>
      <vt:variant>
        <vt:i4>0</vt:i4>
      </vt:variant>
      <vt:variant>
        <vt:i4>5</vt:i4>
      </vt:variant>
      <vt:variant>
        <vt:lpwstr>https://ghgprotocol.org/corporate-standard</vt:lpwstr>
      </vt:variant>
      <vt:variant>
        <vt:lpwstr/>
      </vt:variant>
      <vt:variant>
        <vt:i4>6488124</vt:i4>
      </vt:variant>
      <vt:variant>
        <vt:i4>2136</vt:i4>
      </vt:variant>
      <vt:variant>
        <vt:i4>0</vt:i4>
      </vt:variant>
      <vt:variant>
        <vt:i4>5</vt:i4>
      </vt:variant>
      <vt:variant>
        <vt:lpwstr>https://www.iso.org/standard/66453.html</vt:lpwstr>
      </vt:variant>
      <vt:variant>
        <vt:lpwstr/>
      </vt:variant>
      <vt:variant>
        <vt:i4>917581</vt:i4>
      </vt:variant>
      <vt:variant>
        <vt:i4>2133</vt:i4>
      </vt:variant>
      <vt:variant>
        <vt:i4>0</vt:i4>
      </vt:variant>
      <vt:variant>
        <vt:i4>5</vt:i4>
      </vt:variant>
      <vt:variant>
        <vt:lpwstr>https://environment.govt.nz/publications/new-zealands-greenhouse-gas-inventory-1990-2021/</vt:lpwstr>
      </vt:variant>
      <vt:variant>
        <vt:lpwstr/>
      </vt:variant>
      <vt:variant>
        <vt:i4>917581</vt:i4>
      </vt:variant>
      <vt:variant>
        <vt:i4>2130</vt:i4>
      </vt:variant>
      <vt:variant>
        <vt:i4>0</vt:i4>
      </vt:variant>
      <vt:variant>
        <vt:i4>5</vt:i4>
      </vt:variant>
      <vt:variant>
        <vt:lpwstr>https://environment.govt.nz/publications/new-zealands-greenhouse-gas-inventory-1990-2021/</vt:lpwstr>
      </vt:variant>
      <vt:variant>
        <vt:lpwstr/>
      </vt:variant>
      <vt:variant>
        <vt:i4>917581</vt:i4>
      </vt:variant>
      <vt:variant>
        <vt:i4>2127</vt:i4>
      </vt:variant>
      <vt:variant>
        <vt:i4>0</vt:i4>
      </vt:variant>
      <vt:variant>
        <vt:i4>5</vt:i4>
      </vt:variant>
      <vt:variant>
        <vt:lpwstr>https://environment.govt.nz/publications/new-zealands-greenhouse-gas-inventory-1990-2021/</vt:lpwstr>
      </vt:variant>
      <vt:variant>
        <vt:lpwstr/>
      </vt:variant>
      <vt:variant>
        <vt:i4>917581</vt:i4>
      </vt:variant>
      <vt:variant>
        <vt:i4>2124</vt:i4>
      </vt:variant>
      <vt:variant>
        <vt:i4>0</vt:i4>
      </vt:variant>
      <vt:variant>
        <vt:i4>5</vt:i4>
      </vt:variant>
      <vt:variant>
        <vt:lpwstr>https://environment.govt.nz/publications/new-zealands-greenhouse-gas-inventory-1990-2021/</vt:lpwstr>
      </vt:variant>
      <vt:variant>
        <vt:lpwstr/>
      </vt:variant>
      <vt:variant>
        <vt:i4>7405624</vt:i4>
      </vt:variant>
      <vt:variant>
        <vt:i4>2121</vt:i4>
      </vt:variant>
      <vt:variant>
        <vt:i4>0</vt:i4>
      </vt:variant>
      <vt:variant>
        <vt:i4>5</vt:i4>
      </vt:variant>
      <vt:variant>
        <vt:lpwstr>https://environment.govt.nz/what-you-can-do/agricultural-emissions-calculator/</vt:lpwstr>
      </vt:variant>
      <vt:variant>
        <vt:lpwstr/>
      </vt:variant>
      <vt:variant>
        <vt:i4>917581</vt:i4>
      </vt:variant>
      <vt:variant>
        <vt:i4>2118</vt:i4>
      </vt:variant>
      <vt:variant>
        <vt:i4>0</vt:i4>
      </vt:variant>
      <vt:variant>
        <vt:i4>5</vt:i4>
      </vt:variant>
      <vt:variant>
        <vt:lpwstr>https://environment.govt.nz/publications/new-zealands-greenhouse-gas-inventory-1990-2021/</vt:lpwstr>
      </vt:variant>
      <vt:variant>
        <vt:lpwstr/>
      </vt:variant>
      <vt:variant>
        <vt:i4>917581</vt:i4>
      </vt:variant>
      <vt:variant>
        <vt:i4>2115</vt:i4>
      </vt:variant>
      <vt:variant>
        <vt:i4>0</vt:i4>
      </vt:variant>
      <vt:variant>
        <vt:i4>5</vt:i4>
      </vt:variant>
      <vt:variant>
        <vt:lpwstr>https://environment.govt.nz/publications/new-zealands-greenhouse-gas-inventory-1990-2021/</vt:lpwstr>
      </vt:variant>
      <vt:variant>
        <vt:lpwstr/>
      </vt:variant>
      <vt:variant>
        <vt:i4>3473523</vt:i4>
      </vt:variant>
      <vt:variant>
        <vt:i4>2109</vt:i4>
      </vt:variant>
      <vt:variant>
        <vt:i4>0</vt:i4>
      </vt:variant>
      <vt:variant>
        <vt:i4>5</vt:i4>
      </vt:variant>
      <vt:variant>
        <vt:lpwstr/>
      </vt:variant>
      <vt:variant>
        <vt:lpwstr>Table81</vt:lpwstr>
      </vt:variant>
      <vt:variant>
        <vt:i4>3801203</vt:i4>
      </vt:variant>
      <vt:variant>
        <vt:i4>2103</vt:i4>
      </vt:variant>
      <vt:variant>
        <vt:i4>0</vt:i4>
      </vt:variant>
      <vt:variant>
        <vt:i4>5</vt:i4>
      </vt:variant>
      <vt:variant>
        <vt:lpwstr/>
      </vt:variant>
      <vt:variant>
        <vt:lpwstr>Table77</vt:lpwstr>
      </vt:variant>
      <vt:variant>
        <vt:i4>917581</vt:i4>
      </vt:variant>
      <vt:variant>
        <vt:i4>2100</vt:i4>
      </vt:variant>
      <vt:variant>
        <vt:i4>0</vt:i4>
      </vt:variant>
      <vt:variant>
        <vt:i4>5</vt:i4>
      </vt:variant>
      <vt:variant>
        <vt:lpwstr>https://environment.govt.nz/publications/new-zealands-greenhouse-gas-inventory-1990-2021/</vt:lpwstr>
      </vt:variant>
      <vt:variant>
        <vt:lpwstr/>
      </vt:variant>
      <vt:variant>
        <vt:i4>3801203</vt:i4>
      </vt:variant>
      <vt:variant>
        <vt:i4>2088</vt:i4>
      </vt:variant>
      <vt:variant>
        <vt:i4>0</vt:i4>
      </vt:variant>
      <vt:variant>
        <vt:i4>5</vt:i4>
      </vt:variant>
      <vt:variant>
        <vt:lpwstr/>
      </vt:variant>
      <vt:variant>
        <vt:lpwstr>Table77</vt:lpwstr>
      </vt:variant>
      <vt:variant>
        <vt:i4>3801203</vt:i4>
      </vt:variant>
      <vt:variant>
        <vt:i4>2085</vt:i4>
      </vt:variant>
      <vt:variant>
        <vt:i4>0</vt:i4>
      </vt:variant>
      <vt:variant>
        <vt:i4>5</vt:i4>
      </vt:variant>
      <vt:variant>
        <vt:lpwstr/>
      </vt:variant>
      <vt:variant>
        <vt:lpwstr>Table76</vt:lpwstr>
      </vt:variant>
      <vt:variant>
        <vt:i4>3801203</vt:i4>
      </vt:variant>
      <vt:variant>
        <vt:i4>2082</vt:i4>
      </vt:variant>
      <vt:variant>
        <vt:i4>0</vt:i4>
      </vt:variant>
      <vt:variant>
        <vt:i4>5</vt:i4>
      </vt:variant>
      <vt:variant>
        <vt:lpwstr/>
      </vt:variant>
      <vt:variant>
        <vt:lpwstr>Table73</vt:lpwstr>
      </vt:variant>
      <vt:variant>
        <vt:i4>4128770</vt:i4>
      </vt:variant>
      <vt:variant>
        <vt:i4>2079</vt:i4>
      </vt:variant>
      <vt:variant>
        <vt:i4>0</vt:i4>
      </vt:variant>
      <vt:variant>
        <vt:i4>5</vt:i4>
      </vt:variant>
      <vt:variant>
        <vt:lpwstr/>
      </vt:variant>
      <vt:variant>
        <vt:lpwstr>_How_to_quantify</vt:lpwstr>
      </vt:variant>
      <vt:variant>
        <vt:i4>3801203</vt:i4>
      </vt:variant>
      <vt:variant>
        <vt:i4>2064</vt:i4>
      </vt:variant>
      <vt:variant>
        <vt:i4>0</vt:i4>
      </vt:variant>
      <vt:variant>
        <vt:i4>5</vt:i4>
      </vt:variant>
      <vt:variant>
        <vt:lpwstr/>
      </vt:variant>
      <vt:variant>
        <vt:lpwstr>Table76</vt:lpwstr>
      </vt:variant>
      <vt:variant>
        <vt:i4>3801203</vt:i4>
      </vt:variant>
      <vt:variant>
        <vt:i4>2061</vt:i4>
      </vt:variant>
      <vt:variant>
        <vt:i4>0</vt:i4>
      </vt:variant>
      <vt:variant>
        <vt:i4>5</vt:i4>
      </vt:variant>
      <vt:variant>
        <vt:lpwstr/>
      </vt:variant>
      <vt:variant>
        <vt:lpwstr>Table73</vt:lpwstr>
      </vt:variant>
      <vt:variant>
        <vt:i4>917581</vt:i4>
      </vt:variant>
      <vt:variant>
        <vt:i4>2058</vt:i4>
      </vt:variant>
      <vt:variant>
        <vt:i4>0</vt:i4>
      </vt:variant>
      <vt:variant>
        <vt:i4>5</vt:i4>
      </vt:variant>
      <vt:variant>
        <vt:lpwstr>https://environment.govt.nz/publications/new-zealands-greenhouse-gas-inventory-1990-2021/</vt:lpwstr>
      </vt:variant>
      <vt:variant>
        <vt:lpwstr/>
      </vt:variant>
      <vt:variant>
        <vt:i4>8192069</vt:i4>
      </vt:variant>
      <vt:variant>
        <vt:i4>2055</vt:i4>
      </vt:variant>
      <vt:variant>
        <vt:i4>0</vt:i4>
      </vt:variant>
      <vt:variant>
        <vt:i4>5</vt:i4>
      </vt:variant>
      <vt:variant>
        <vt:lpwstr/>
      </vt:variant>
      <vt:variant>
        <vt:lpwstr>_Freight_transport_emission</vt:lpwstr>
      </vt:variant>
      <vt:variant>
        <vt:i4>524394</vt:i4>
      </vt:variant>
      <vt:variant>
        <vt:i4>2052</vt:i4>
      </vt:variant>
      <vt:variant>
        <vt:i4>0</vt:i4>
      </vt:variant>
      <vt:variant>
        <vt:i4>5</vt:i4>
      </vt:variant>
      <vt:variant>
        <vt:lpwstr/>
      </vt:variant>
      <vt:variant>
        <vt:lpwstr>_Appendix_C:_Landfills</vt:lpwstr>
      </vt:variant>
      <vt:variant>
        <vt:i4>7864336</vt:i4>
      </vt:variant>
      <vt:variant>
        <vt:i4>2046</vt:i4>
      </vt:variant>
      <vt:variant>
        <vt:i4>0</vt:i4>
      </vt:variant>
      <vt:variant>
        <vt:i4>5</vt:i4>
      </vt:variant>
      <vt:variant>
        <vt:lpwstr>https://assets.publishing.service.gov.uk/government/uploads/system/uploads/attachment_data/file/1083857/2022-ghg-cf-methodology-paper.pdf</vt:lpwstr>
      </vt:variant>
      <vt:variant>
        <vt:lpwstr/>
      </vt:variant>
      <vt:variant>
        <vt:i4>4063295</vt:i4>
      </vt:variant>
      <vt:variant>
        <vt:i4>2043</vt:i4>
      </vt:variant>
      <vt:variant>
        <vt:i4>0</vt:i4>
      </vt:variant>
      <vt:variant>
        <vt:i4>5</vt:i4>
      </vt:variant>
      <vt:variant>
        <vt:lpwstr>https://ghgprotocol.org/corporate-standard</vt:lpwstr>
      </vt:variant>
      <vt:variant>
        <vt:lpwstr/>
      </vt:variant>
      <vt:variant>
        <vt:i4>6881320</vt:i4>
      </vt:variant>
      <vt:variant>
        <vt:i4>2040</vt:i4>
      </vt:variant>
      <vt:variant>
        <vt:i4>0</vt:i4>
      </vt:variant>
      <vt:variant>
        <vt:i4>5</vt:i4>
      </vt:variant>
      <vt:variant>
        <vt:lpwstr>https://www.mbie.govt.nz/building-and-energy/building/building-for-climate-change/</vt:lpwstr>
      </vt:variant>
      <vt:variant>
        <vt:lpwstr/>
      </vt:variant>
      <vt:variant>
        <vt:i4>3801203</vt:i4>
      </vt:variant>
      <vt:variant>
        <vt:i4>2034</vt:i4>
      </vt:variant>
      <vt:variant>
        <vt:i4>0</vt:i4>
      </vt:variant>
      <vt:variant>
        <vt:i4>5</vt:i4>
      </vt:variant>
      <vt:variant>
        <vt:lpwstr/>
      </vt:variant>
      <vt:variant>
        <vt:lpwstr>Table71</vt:lpwstr>
      </vt:variant>
      <vt:variant>
        <vt:i4>3670131</vt:i4>
      </vt:variant>
      <vt:variant>
        <vt:i4>2025</vt:i4>
      </vt:variant>
      <vt:variant>
        <vt:i4>0</vt:i4>
      </vt:variant>
      <vt:variant>
        <vt:i4>5</vt:i4>
      </vt:variant>
      <vt:variant>
        <vt:lpwstr/>
      </vt:variant>
      <vt:variant>
        <vt:lpwstr>Table57</vt:lpwstr>
      </vt:variant>
      <vt:variant>
        <vt:i4>3866739</vt:i4>
      </vt:variant>
      <vt:variant>
        <vt:i4>2019</vt:i4>
      </vt:variant>
      <vt:variant>
        <vt:i4>0</vt:i4>
      </vt:variant>
      <vt:variant>
        <vt:i4>5</vt:i4>
      </vt:variant>
      <vt:variant>
        <vt:lpwstr/>
      </vt:variant>
      <vt:variant>
        <vt:lpwstr>Table68</vt:lpwstr>
      </vt:variant>
      <vt:variant>
        <vt:i4>917581</vt:i4>
      </vt:variant>
      <vt:variant>
        <vt:i4>2016</vt:i4>
      </vt:variant>
      <vt:variant>
        <vt:i4>0</vt:i4>
      </vt:variant>
      <vt:variant>
        <vt:i4>5</vt:i4>
      </vt:variant>
      <vt:variant>
        <vt:lpwstr>https://environment.govt.nz/publications/new-zealands-greenhouse-gas-inventory-1990-2021/</vt:lpwstr>
      </vt:variant>
      <vt:variant>
        <vt:lpwstr/>
      </vt:variant>
      <vt:variant>
        <vt:i4>3145783</vt:i4>
      </vt:variant>
      <vt:variant>
        <vt:i4>2013</vt:i4>
      </vt:variant>
      <vt:variant>
        <vt:i4>0</vt:i4>
      </vt:variant>
      <vt:variant>
        <vt:i4>5</vt:i4>
      </vt:variant>
      <vt:variant>
        <vt:lpwstr>https://www.ipcc.ch/report/2019-refinement-to-the-2006-ipcc-guidelines-for-national-greenhouse-gas-inventories/</vt:lpwstr>
      </vt:variant>
      <vt:variant>
        <vt:lpwstr/>
      </vt:variant>
      <vt:variant>
        <vt:i4>65600</vt:i4>
      </vt:variant>
      <vt:variant>
        <vt:i4>2010</vt:i4>
      </vt:variant>
      <vt:variant>
        <vt:i4>0</vt:i4>
      </vt:variant>
      <vt:variant>
        <vt:i4>5</vt:i4>
      </vt:variant>
      <vt:variant>
        <vt:lpwstr>https://www.ipcc.ch/report/2006-ipcc-guidelines-for-national-greenhouse-gas-inventories/</vt:lpwstr>
      </vt:variant>
      <vt:variant>
        <vt:lpwstr/>
      </vt:variant>
      <vt:variant>
        <vt:i4>3866739</vt:i4>
      </vt:variant>
      <vt:variant>
        <vt:i4>2007</vt:i4>
      </vt:variant>
      <vt:variant>
        <vt:i4>0</vt:i4>
      </vt:variant>
      <vt:variant>
        <vt:i4>5</vt:i4>
      </vt:variant>
      <vt:variant>
        <vt:lpwstr/>
      </vt:variant>
      <vt:variant>
        <vt:lpwstr>Table67</vt:lpwstr>
      </vt:variant>
      <vt:variant>
        <vt:i4>3866739</vt:i4>
      </vt:variant>
      <vt:variant>
        <vt:i4>2004</vt:i4>
      </vt:variant>
      <vt:variant>
        <vt:i4>0</vt:i4>
      </vt:variant>
      <vt:variant>
        <vt:i4>5</vt:i4>
      </vt:variant>
      <vt:variant>
        <vt:lpwstr/>
      </vt:variant>
      <vt:variant>
        <vt:lpwstr>Table66</vt:lpwstr>
      </vt:variant>
      <vt:variant>
        <vt:i4>4128770</vt:i4>
      </vt:variant>
      <vt:variant>
        <vt:i4>2001</vt:i4>
      </vt:variant>
      <vt:variant>
        <vt:i4>0</vt:i4>
      </vt:variant>
      <vt:variant>
        <vt:i4>5</vt:i4>
      </vt:variant>
      <vt:variant>
        <vt:lpwstr/>
      </vt:variant>
      <vt:variant>
        <vt:lpwstr>_How_to_quantify</vt:lpwstr>
      </vt:variant>
      <vt:variant>
        <vt:i4>3866739</vt:i4>
      </vt:variant>
      <vt:variant>
        <vt:i4>1992</vt:i4>
      </vt:variant>
      <vt:variant>
        <vt:i4>0</vt:i4>
      </vt:variant>
      <vt:variant>
        <vt:i4>5</vt:i4>
      </vt:variant>
      <vt:variant>
        <vt:lpwstr/>
      </vt:variant>
      <vt:variant>
        <vt:lpwstr>Table66</vt:lpwstr>
      </vt:variant>
      <vt:variant>
        <vt:i4>3866739</vt:i4>
      </vt:variant>
      <vt:variant>
        <vt:i4>1989</vt:i4>
      </vt:variant>
      <vt:variant>
        <vt:i4>0</vt:i4>
      </vt:variant>
      <vt:variant>
        <vt:i4>5</vt:i4>
      </vt:variant>
      <vt:variant>
        <vt:lpwstr/>
      </vt:variant>
      <vt:variant>
        <vt:lpwstr>Table67</vt:lpwstr>
      </vt:variant>
      <vt:variant>
        <vt:i4>3866739</vt:i4>
      </vt:variant>
      <vt:variant>
        <vt:i4>1986</vt:i4>
      </vt:variant>
      <vt:variant>
        <vt:i4>0</vt:i4>
      </vt:variant>
      <vt:variant>
        <vt:i4>5</vt:i4>
      </vt:variant>
      <vt:variant>
        <vt:lpwstr/>
      </vt:variant>
      <vt:variant>
        <vt:lpwstr>Table66</vt:lpwstr>
      </vt:variant>
      <vt:variant>
        <vt:i4>3866739</vt:i4>
      </vt:variant>
      <vt:variant>
        <vt:i4>1983</vt:i4>
      </vt:variant>
      <vt:variant>
        <vt:i4>0</vt:i4>
      </vt:variant>
      <vt:variant>
        <vt:i4>5</vt:i4>
      </vt:variant>
      <vt:variant>
        <vt:lpwstr/>
      </vt:variant>
      <vt:variant>
        <vt:lpwstr>Table65</vt:lpwstr>
      </vt:variant>
      <vt:variant>
        <vt:i4>4128770</vt:i4>
      </vt:variant>
      <vt:variant>
        <vt:i4>1980</vt:i4>
      </vt:variant>
      <vt:variant>
        <vt:i4>0</vt:i4>
      </vt:variant>
      <vt:variant>
        <vt:i4>5</vt:i4>
      </vt:variant>
      <vt:variant>
        <vt:lpwstr/>
      </vt:variant>
      <vt:variant>
        <vt:lpwstr>_How_to_quantify</vt:lpwstr>
      </vt:variant>
      <vt:variant>
        <vt:i4>3866739</vt:i4>
      </vt:variant>
      <vt:variant>
        <vt:i4>1974</vt:i4>
      </vt:variant>
      <vt:variant>
        <vt:i4>0</vt:i4>
      </vt:variant>
      <vt:variant>
        <vt:i4>5</vt:i4>
      </vt:variant>
      <vt:variant>
        <vt:lpwstr/>
      </vt:variant>
      <vt:variant>
        <vt:lpwstr>Table65</vt:lpwstr>
      </vt:variant>
      <vt:variant>
        <vt:i4>917581</vt:i4>
      </vt:variant>
      <vt:variant>
        <vt:i4>1971</vt:i4>
      </vt:variant>
      <vt:variant>
        <vt:i4>0</vt:i4>
      </vt:variant>
      <vt:variant>
        <vt:i4>5</vt:i4>
      </vt:variant>
      <vt:variant>
        <vt:lpwstr>https://environment.govt.nz/publications/new-zealands-greenhouse-gas-inventory-1990-2021/</vt:lpwstr>
      </vt:variant>
      <vt:variant>
        <vt:lpwstr/>
      </vt:variant>
      <vt:variant>
        <vt:i4>7864336</vt:i4>
      </vt:variant>
      <vt:variant>
        <vt:i4>1968</vt:i4>
      </vt:variant>
      <vt:variant>
        <vt:i4>0</vt:i4>
      </vt:variant>
      <vt:variant>
        <vt:i4>5</vt:i4>
      </vt:variant>
      <vt:variant>
        <vt:lpwstr>https://assets.publishing.service.gov.uk/government/uploads/system/uploads/attachment_data/file/1083857/2022-ghg-cf-methodology-paper.pdf</vt:lpwstr>
      </vt:variant>
      <vt:variant>
        <vt:lpwstr/>
      </vt:variant>
      <vt:variant>
        <vt:i4>2097191</vt:i4>
      </vt:variant>
      <vt:variant>
        <vt:i4>1965</vt:i4>
      </vt:variant>
      <vt:variant>
        <vt:i4>0</vt:i4>
      </vt:variant>
      <vt:variant>
        <vt:i4>5</vt:i4>
      </vt:variant>
      <vt:variant>
        <vt:lpwstr>https://cedelft.eu/publications/stream-freight-transport-2020/</vt:lpwstr>
      </vt:variant>
      <vt:variant>
        <vt:lpwstr/>
      </vt:variant>
      <vt:variant>
        <vt:i4>7864336</vt:i4>
      </vt:variant>
      <vt:variant>
        <vt:i4>1962</vt:i4>
      </vt:variant>
      <vt:variant>
        <vt:i4>0</vt:i4>
      </vt:variant>
      <vt:variant>
        <vt:i4>5</vt:i4>
      </vt:variant>
      <vt:variant>
        <vt:lpwstr>https://assets.publishing.service.gov.uk/government/uploads/system/uploads/attachment_data/file/1083857/2022-ghg-cf-methodology-paper.pdf</vt:lpwstr>
      </vt:variant>
      <vt:variant>
        <vt:lpwstr/>
      </vt:variant>
      <vt:variant>
        <vt:i4>3866739</vt:i4>
      </vt:variant>
      <vt:variant>
        <vt:i4>1956</vt:i4>
      </vt:variant>
      <vt:variant>
        <vt:i4>0</vt:i4>
      </vt:variant>
      <vt:variant>
        <vt:i4>5</vt:i4>
      </vt:variant>
      <vt:variant>
        <vt:lpwstr/>
      </vt:variant>
      <vt:variant>
        <vt:lpwstr>Table63</vt:lpwstr>
      </vt:variant>
      <vt:variant>
        <vt:i4>3866739</vt:i4>
      </vt:variant>
      <vt:variant>
        <vt:i4>1953</vt:i4>
      </vt:variant>
      <vt:variant>
        <vt:i4>0</vt:i4>
      </vt:variant>
      <vt:variant>
        <vt:i4>5</vt:i4>
      </vt:variant>
      <vt:variant>
        <vt:lpwstr/>
      </vt:variant>
      <vt:variant>
        <vt:lpwstr>Table62</vt:lpwstr>
      </vt:variant>
      <vt:variant>
        <vt:i4>4128770</vt:i4>
      </vt:variant>
      <vt:variant>
        <vt:i4>1950</vt:i4>
      </vt:variant>
      <vt:variant>
        <vt:i4>0</vt:i4>
      </vt:variant>
      <vt:variant>
        <vt:i4>5</vt:i4>
      </vt:variant>
      <vt:variant>
        <vt:lpwstr/>
      </vt:variant>
      <vt:variant>
        <vt:lpwstr>_How_to_quantify</vt:lpwstr>
      </vt:variant>
      <vt:variant>
        <vt:i4>7864336</vt:i4>
      </vt:variant>
      <vt:variant>
        <vt:i4>1941</vt:i4>
      </vt:variant>
      <vt:variant>
        <vt:i4>0</vt:i4>
      </vt:variant>
      <vt:variant>
        <vt:i4>5</vt:i4>
      </vt:variant>
      <vt:variant>
        <vt:lpwstr>https://assets.publishing.service.gov.uk/government/uploads/system/uploads/attachment_data/file/1083857/2022-ghg-cf-methodology-paper.pdf</vt:lpwstr>
      </vt:variant>
      <vt:variant>
        <vt:lpwstr/>
      </vt:variant>
      <vt:variant>
        <vt:i4>3866739</vt:i4>
      </vt:variant>
      <vt:variant>
        <vt:i4>1938</vt:i4>
      </vt:variant>
      <vt:variant>
        <vt:i4>0</vt:i4>
      </vt:variant>
      <vt:variant>
        <vt:i4>5</vt:i4>
      </vt:variant>
      <vt:variant>
        <vt:lpwstr/>
      </vt:variant>
      <vt:variant>
        <vt:lpwstr>Table62</vt:lpwstr>
      </vt:variant>
      <vt:variant>
        <vt:i4>7864336</vt:i4>
      </vt:variant>
      <vt:variant>
        <vt:i4>1935</vt:i4>
      </vt:variant>
      <vt:variant>
        <vt:i4>0</vt:i4>
      </vt:variant>
      <vt:variant>
        <vt:i4>5</vt:i4>
      </vt:variant>
      <vt:variant>
        <vt:lpwstr>https://assets.publishing.service.gov.uk/government/uploads/system/uploads/attachment_data/file/1083857/2022-ghg-cf-methodology-paper.pdf</vt:lpwstr>
      </vt:variant>
      <vt:variant>
        <vt:lpwstr/>
      </vt:variant>
      <vt:variant>
        <vt:i4>7864336</vt:i4>
      </vt:variant>
      <vt:variant>
        <vt:i4>1932</vt:i4>
      </vt:variant>
      <vt:variant>
        <vt:i4>0</vt:i4>
      </vt:variant>
      <vt:variant>
        <vt:i4>5</vt:i4>
      </vt:variant>
      <vt:variant>
        <vt:lpwstr>https://assets.publishing.service.gov.uk/government/uploads/system/uploads/attachment_data/file/1083857/2022-ghg-cf-methodology-paper.pdf</vt:lpwstr>
      </vt:variant>
      <vt:variant>
        <vt:lpwstr/>
      </vt:variant>
      <vt:variant>
        <vt:i4>3866739</vt:i4>
      </vt:variant>
      <vt:variant>
        <vt:i4>1929</vt:i4>
      </vt:variant>
      <vt:variant>
        <vt:i4>0</vt:i4>
      </vt:variant>
      <vt:variant>
        <vt:i4>5</vt:i4>
      </vt:variant>
      <vt:variant>
        <vt:lpwstr/>
      </vt:variant>
      <vt:variant>
        <vt:lpwstr>Table61</vt:lpwstr>
      </vt:variant>
      <vt:variant>
        <vt:i4>3866739</vt:i4>
      </vt:variant>
      <vt:variant>
        <vt:i4>1926</vt:i4>
      </vt:variant>
      <vt:variant>
        <vt:i4>0</vt:i4>
      </vt:variant>
      <vt:variant>
        <vt:i4>5</vt:i4>
      </vt:variant>
      <vt:variant>
        <vt:lpwstr/>
      </vt:variant>
      <vt:variant>
        <vt:lpwstr>Table60</vt:lpwstr>
      </vt:variant>
      <vt:variant>
        <vt:i4>4128770</vt:i4>
      </vt:variant>
      <vt:variant>
        <vt:i4>1923</vt:i4>
      </vt:variant>
      <vt:variant>
        <vt:i4>0</vt:i4>
      </vt:variant>
      <vt:variant>
        <vt:i4>5</vt:i4>
      </vt:variant>
      <vt:variant>
        <vt:lpwstr/>
      </vt:variant>
      <vt:variant>
        <vt:lpwstr>_How_to_quantify</vt:lpwstr>
      </vt:variant>
      <vt:variant>
        <vt:i4>7864336</vt:i4>
      </vt:variant>
      <vt:variant>
        <vt:i4>1914</vt:i4>
      </vt:variant>
      <vt:variant>
        <vt:i4>0</vt:i4>
      </vt:variant>
      <vt:variant>
        <vt:i4>5</vt:i4>
      </vt:variant>
      <vt:variant>
        <vt:lpwstr>https://assets.publishing.service.gov.uk/government/uploads/system/uploads/attachment_data/file/1083857/2022-ghg-cf-methodology-paper.pdf</vt:lpwstr>
      </vt:variant>
      <vt:variant>
        <vt:lpwstr/>
      </vt:variant>
      <vt:variant>
        <vt:i4>6488173</vt:i4>
      </vt:variant>
      <vt:variant>
        <vt:i4>1911</vt:i4>
      </vt:variant>
      <vt:variant>
        <vt:i4>0</vt:i4>
      </vt:variant>
      <vt:variant>
        <vt:i4>5</vt:i4>
      </vt:variant>
      <vt:variant>
        <vt:lpwstr/>
      </vt:variant>
      <vt:variant>
        <vt:lpwstr>_Air_travel</vt:lpwstr>
      </vt:variant>
      <vt:variant>
        <vt:i4>7864336</vt:i4>
      </vt:variant>
      <vt:variant>
        <vt:i4>1908</vt:i4>
      </vt:variant>
      <vt:variant>
        <vt:i4>0</vt:i4>
      </vt:variant>
      <vt:variant>
        <vt:i4>5</vt:i4>
      </vt:variant>
      <vt:variant>
        <vt:lpwstr>https://assets.publishing.service.gov.uk/government/uploads/system/uploads/attachment_data/file/1083857/2022-ghg-cf-methodology-paper.pdf</vt:lpwstr>
      </vt:variant>
      <vt:variant>
        <vt:lpwstr/>
      </vt:variant>
      <vt:variant>
        <vt:i4>3932275</vt:i4>
      </vt:variant>
      <vt:variant>
        <vt:i4>1905</vt:i4>
      </vt:variant>
      <vt:variant>
        <vt:i4>0</vt:i4>
      </vt:variant>
      <vt:variant>
        <vt:i4>5</vt:i4>
      </vt:variant>
      <vt:variant>
        <vt:lpwstr/>
      </vt:variant>
      <vt:variant>
        <vt:lpwstr>Table12</vt:lpwstr>
      </vt:variant>
      <vt:variant>
        <vt:i4>3932275</vt:i4>
      </vt:variant>
      <vt:variant>
        <vt:i4>1902</vt:i4>
      </vt:variant>
      <vt:variant>
        <vt:i4>0</vt:i4>
      </vt:variant>
      <vt:variant>
        <vt:i4>5</vt:i4>
      </vt:variant>
      <vt:variant>
        <vt:lpwstr/>
      </vt:variant>
      <vt:variant>
        <vt:lpwstr>table10</vt:lpwstr>
      </vt:variant>
      <vt:variant>
        <vt:i4>3407987</vt:i4>
      </vt:variant>
      <vt:variant>
        <vt:i4>1899</vt:i4>
      </vt:variant>
      <vt:variant>
        <vt:i4>0</vt:i4>
      </vt:variant>
      <vt:variant>
        <vt:i4>5</vt:i4>
      </vt:variant>
      <vt:variant>
        <vt:lpwstr/>
      </vt:variant>
      <vt:variant>
        <vt:lpwstr>table9</vt:lpwstr>
      </vt:variant>
      <vt:variant>
        <vt:i4>3735667</vt:i4>
      </vt:variant>
      <vt:variant>
        <vt:i4>1896</vt:i4>
      </vt:variant>
      <vt:variant>
        <vt:i4>0</vt:i4>
      </vt:variant>
      <vt:variant>
        <vt:i4>5</vt:i4>
      </vt:variant>
      <vt:variant>
        <vt:lpwstr/>
      </vt:variant>
      <vt:variant>
        <vt:lpwstr>table4</vt:lpwstr>
      </vt:variant>
      <vt:variant>
        <vt:i4>3670131</vt:i4>
      </vt:variant>
      <vt:variant>
        <vt:i4>1890</vt:i4>
      </vt:variant>
      <vt:variant>
        <vt:i4>0</vt:i4>
      </vt:variant>
      <vt:variant>
        <vt:i4>5</vt:i4>
      </vt:variant>
      <vt:variant>
        <vt:lpwstr/>
      </vt:variant>
      <vt:variant>
        <vt:lpwstr>Table58</vt:lpwstr>
      </vt:variant>
      <vt:variant>
        <vt:i4>4128770</vt:i4>
      </vt:variant>
      <vt:variant>
        <vt:i4>1887</vt:i4>
      </vt:variant>
      <vt:variant>
        <vt:i4>0</vt:i4>
      </vt:variant>
      <vt:variant>
        <vt:i4>5</vt:i4>
      </vt:variant>
      <vt:variant>
        <vt:lpwstr/>
      </vt:variant>
      <vt:variant>
        <vt:lpwstr>_How_to_quantify</vt:lpwstr>
      </vt:variant>
      <vt:variant>
        <vt:i4>3670131</vt:i4>
      </vt:variant>
      <vt:variant>
        <vt:i4>1881</vt:i4>
      </vt:variant>
      <vt:variant>
        <vt:i4>0</vt:i4>
      </vt:variant>
      <vt:variant>
        <vt:i4>5</vt:i4>
      </vt:variant>
      <vt:variant>
        <vt:lpwstr/>
      </vt:variant>
      <vt:variant>
        <vt:lpwstr>Table58</vt:lpwstr>
      </vt:variant>
      <vt:variant>
        <vt:i4>3670131</vt:i4>
      </vt:variant>
      <vt:variant>
        <vt:i4>1875</vt:i4>
      </vt:variant>
      <vt:variant>
        <vt:i4>0</vt:i4>
      </vt:variant>
      <vt:variant>
        <vt:i4>5</vt:i4>
      </vt:variant>
      <vt:variant>
        <vt:lpwstr/>
      </vt:variant>
      <vt:variant>
        <vt:lpwstr>Table57</vt:lpwstr>
      </vt:variant>
      <vt:variant>
        <vt:i4>3735667</vt:i4>
      </vt:variant>
      <vt:variant>
        <vt:i4>1869</vt:i4>
      </vt:variant>
      <vt:variant>
        <vt:i4>0</vt:i4>
      </vt:variant>
      <vt:variant>
        <vt:i4>5</vt:i4>
      </vt:variant>
      <vt:variant>
        <vt:lpwstr/>
      </vt:variant>
      <vt:variant>
        <vt:lpwstr>table4</vt:lpwstr>
      </vt:variant>
      <vt:variant>
        <vt:i4>3670131</vt:i4>
      </vt:variant>
      <vt:variant>
        <vt:i4>1860</vt:i4>
      </vt:variant>
      <vt:variant>
        <vt:i4>0</vt:i4>
      </vt:variant>
      <vt:variant>
        <vt:i4>5</vt:i4>
      </vt:variant>
      <vt:variant>
        <vt:lpwstr/>
      </vt:variant>
      <vt:variant>
        <vt:lpwstr>Table55</vt:lpwstr>
      </vt:variant>
      <vt:variant>
        <vt:i4>3670131</vt:i4>
      </vt:variant>
      <vt:variant>
        <vt:i4>1857</vt:i4>
      </vt:variant>
      <vt:variant>
        <vt:i4>0</vt:i4>
      </vt:variant>
      <vt:variant>
        <vt:i4>5</vt:i4>
      </vt:variant>
      <vt:variant>
        <vt:lpwstr/>
      </vt:variant>
      <vt:variant>
        <vt:lpwstr>Table54</vt:lpwstr>
      </vt:variant>
      <vt:variant>
        <vt:i4>3670131</vt:i4>
      </vt:variant>
      <vt:variant>
        <vt:i4>1854</vt:i4>
      </vt:variant>
      <vt:variant>
        <vt:i4>0</vt:i4>
      </vt:variant>
      <vt:variant>
        <vt:i4>5</vt:i4>
      </vt:variant>
      <vt:variant>
        <vt:lpwstr/>
      </vt:variant>
      <vt:variant>
        <vt:lpwstr>Table53</vt:lpwstr>
      </vt:variant>
      <vt:variant>
        <vt:i4>4128770</vt:i4>
      </vt:variant>
      <vt:variant>
        <vt:i4>1851</vt:i4>
      </vt:variant>
      <vt:variant>
        <vt:i4>0</vt:i4>
      </vt:variant>
      <vt:variant>
        <vt:i4>5</vt:i4>
      </vt:variant>
      <vt:variant>
        <vt:lpwstr/>
      </vt:variant>
      <vt:variant>
        <vt:lpwstr>_How_to_quantify</vt:lpwstr>
      </vt:variant>
      <vt:variant>
        <vt:i4>3670131</vt:i4>
      </vt:variant>
      <vt:variant>
        <vt:i4>1848</vt:i4>
      </vt:variant>
      <vt:variant>
        <vt:i4>0</vt:i4>
      </vt:variant>
      <vt:variant>
        <vt:i4>5</vt:i4>
      </vt:variant>
      <vt:variant>
        <vt:lpwstr/>
      </vt:variant>
      <vt:variant>
        <vt:lpwstr>Table53</vt:lpwstr>
      </vt:variant>
      <vt:variant>
        <vt:i4>3670131</vt:i4>
      </vt:variant>
      <vt:variant>
        <vt:i4>1845</vt:i4>
      </vt:variant>
      <vt:variant>
        <vt:i4>0</vt:i4>
      </vt:variant>
      <vt:variant>
        <vt:i4>5</vt:i4>
      </vt:variant>
      <vt:variant>
        <vt:lpwstr/>
      </vt:variant>
      <vt:variant>
        <vt:lpwstr>Table53</vt:lpwstr>
      </vt:variant>
      <vt:variant>
        <vt:i4>3735667</vt:i4>
      </vt:variant>
      <vt:variant>
        <vt:i4>1842</vt:i4>
      </vt:variant>
      <vt:variant>
        <vt:i4>0</vt:i4>
      </vt:variant>
      <vt:variant>
        <vt:i4>5</vt:i4>
      </vt:variant>
      <vt:variant>
        <vt:lpwstr/>
      </vt:variant>
      <vt:variant>
        <vt:lpwstr>Table45</vt:lpwstr>
      </vt:variant>
      <vt:variant>
        <vt:i4>4128770</vt:i4>
      </vt:variant>
      <vt:variant>
        <vt:i4>1839</vt:i4>
      </vt:variant>
      <vt:variant>
        <vt:i4>0</vt:i4>
      </vt:variant>
      <vt:variant>
        <vt:i4>5</vt:i4>
      </vt:variant>
      <vt:variant>
        <vt:lpwstr/>
      </vt:variant>
      <vt:variant>
        <vt:lpwstr>_How_to_quantify</vt:lpwstr>
      </vt:variant>
      <vt:variant>
        <vt:i4>3670131</vt:i4>
      </vt:variant>
      <vt:variant>
        <vt:i4>1836</vt:i4>
      </vt:variant>
      <vt:variant>
        <vt:i4>0</vt:i4>
      </vt:variant>
      <vt:variant>
        <vt:i4>5</vt:i4>
      </vt:variant>
      <vt:variant>
        <vt:lpwstr/>
      </vt:variant>
      <vt:variant>
        <vt:lpwstr>Table53</vt:lpwstr>
      </vt:variant>
      <vt:variant>
        <vt:i4>3735667</vt:i4>
      </vt:variant>
      <vt:variant>
        <vt:i4>1833</vt:i4>
      </vt:variant>
      <vt:variant>
        <vt:i4>0</vt:i4>
      </vt:variant>
      <vt:variant>
        <vt:i4>5</vt:i4>
      </vt:variant>
      <vt:variant>
        <vt:lpwstr/>
      </vt:variant>
      <vt:variant>
        <vt:lpwstr>Table45</vt:lpwstr>
      </vt:variant>
      <vt:variant>
        <vt:i4>3670131</vt:i4>
      </vt:variant>
      <vt:variant>
        <vt:i4>1827</vt:i4>
      </vt:variant>
      <vt:variant>
        <vt:i4>0</vt:i4>
      </vt:variant>
      <vt:variant>
        <vt:i4>5</vt:i4>
      </vt:variant>
      <vt:variant>
        <vt:lpwstr/>
      </vt:variant>
      <vt:variant>
        <vt:lpwstr>Table53</vt:lpwstr>
      </vt:variant>
      <vt:variant>
        <vt:i4>3670131</vt:i4>
      </vt:variant>
      <vt:variant>
        <vt:i4>1821</vt:i4>
      </vt:variant>
      <vt:variant>
        <vt:i4>0</vt:i4>
      </vt:variant>
      <vt:variant>
        <vt:i4>5</vt:i4>
      </vt:variant>
      <vt:variant>
        <vt:lpwstr/>
      </vt:variant>
      <vt:variant>
        <vt:lpwstr>Table52</vt:lpwstr>
      </vt:variant>
      <vt:variant>
        <vt:i4>3670131</vt:i4>
      </vt:variant>
      <vt:variant>
        <vt:i4>1815</vt:i4>
      </vt:variant>
      <vt:variant>
        <vt:i4>0</vt:i4>
      </vt:variant>
      <vt:variant>
        <vt:i4>5</vt:i4>
      </vt:variant>
      <vt:variant>
        <vt:lpwstr/>
      </vt:variant>
      <vt:variant>
        <vt:lpwstr>table51</vt:lpwstr>
      </vt:variant>
      <vt:variant>
        <vt:i4>3670131</vt:i4>
      </vt:variant>
      <vt:variant>
        <vt:i4>1809</vt:i4>
      </vt:variant>
      <vt:variant>
        <vt:i4>0</vt:i4>
      </vt:variant>
      <vt:variant>
        <vt:i4>5</vt:i4>
      </vt:variant>
      <vt:variant>
        <vt:lpwstr/>
      </vt:variant>
      <vt:variant>
        <vt:lpwstr>Table50</vt:lpwstr>
      </vt:variant>
      <vt:variant>
        <vt:i4>3735667</vt:i4>
      </vt:variant>
      <vt:variant>
        <vt:i4>1803</vt:i4>
      </vt:variant>
      <vt:variant>
        <vt:i4>0</vt:i4>
      </vt:variant>
      <vt:variant>
        <vt:i4>5</vt:i4>
      </vt:variant>
      <vt:variant>
        <vt:lpwstr/>
      </vt:variant>
      <vt:variant>
        <vt:lpwstr>Table49</vt:lpwstr>
      </vt:variant>
      <vt:variant>
        <vt:i4>7077961</vt:i4>
      </vt:variant>
      <vt:variant>
        <vt:i4>1788</vt:i4>
      </vt:variant>
      <vt:variant>
        <vt:i4>0</vt:i4>
      </vt:variant>
      <vt:variant>
        <vt:i4>5</vt:i4>
      </vt:variant>
      <vt:variant>
        <vt:lpwstr>https://environment.govt.nz/assets/publications/Measuring-Emissions-2023/3bffeb2623/Measuring-Emissions-Guidance_EmissionFactors_InteractiveWorkbook_2023.xlsx</vt:lpwstr>
      </vt:variant>
      <vt:variant>
        <vt:lpwstr/>
      </vt:variant>
      <vt:variant>
        <vt:i4>4063295</vt:i4>
      </vt:variant>
      <vt:variant>
        <vt:i4>1785</vt:i4>
      </vt:variant>
      <vt:variant>
        <vt:i4>0</vt:i4>
      </vt:variant>
      <vt:variant>
        <vt:i4>5</vt:i4>
      </vt:variant>
      <vt:variant>
        <vt:lpwstr>https://ghgprotocol.org/corporate-standard</vt:lpwstr>
      </vt:variant>
      <vt:variant>
        <vt:lpwstr/>
      </vt:variant>
      <vt:variant>
        <vt:i4>3735667</vt:i4>
      </vt:variant>
      <vt:variant>
        <vt:i4>1782</vt:i4>
      </vt:variant>
      <vt:variant>
        <vt:i4>0</vt:i4>
      </vt:variant>
      <vt:variant>
        <vt:i4>5</vt:i4>
      </vt:variant>
      <vt:variant>
        <vt:lpwstr/>
      </vt:variant>
      <vt:variant>
        <vt:lpwstr>table44</vt:lpwstr>
      </vt:variant>
      <vt:variant>
        <vt:i4>4128770</vt:i4>
      </vt:variant>
      <vt:variant>
        <vt:i4>1779</vt:i4>
      </vt:variant>
      <vt:variant>
        <vt:i4>0</vt:i4>
      </vt:variant>
      <vt:variant>
        <vt:i4>5</vt:i4>
      </vt:variant>
      <vt:variant>
        <vt:lpwstr/>
      </vt:variant>
      <vt:variant>
        <vt:lpwstr>_How_to_quantify</vt:lpwstr>
      </vt:variant>
      <vt:variant>
        <vt:i4>7209001</vt:i4>
      </vt:variant>
      <vt:variant>
        <vt:i4>1773</vt:i4>
      </vt:variant>
      <vt:variant>
        <vt:i4>0</vt:i4>
      </vt:variant>
      <vt:variant>
        <vt:i4>5</vt:i4>
      </vt:variant>
      <vt:variant>
        <vt:lpwstr>https://www.google.com/url?sa=t&amp;rct=j&amp;q=&amp;esrc=s&amp;source=web&amp;cd=&amp;ved=2ahUKEwjo1Iv8yuT_AhXIamwGHZwbA8QQFnoECCEQAQ&amp;url=https%3A%2F%2Fwww.bazl.admin.ch%2Fdam%2Fbazl%2Fde%2Fdokumente%2FFachleute%2FRegulationen_und_Grundlagen%2Fguidance_on_the_determinationofhelicopteremissions.pdf.download.pdf%2Fguidance_on_the_determinationofhelicopteremissions.pdf&amp;usg=AOvVaw3ffS_8Bc5YxABG-CoIvEgy&amp;opi=89978449</vt:lpwstr>
      </vt:variant>
      <vt:variant>
        <vt:lpwstr/>
      </vt:variant>
      <vt:variant>
        <vt:i4>3735667</vt:i4>
      </vt:variant>
      <vt:variant>
        <vt:i4>1770</vt:i4>
      </vt:variant>
      <vt:variant>
        <vt:i4>0</vt:i4>
      </vt:variant>
      <vt:variant>
        <vt:i4>5</vt:i4>
      </vt:variant>
      <vt:variant>
        <vt:lpwstr/>
      </vt:variant>
      <vt:variant>
        <vt:lpwstr>table43</vt:lpwstr>
      </vt:variant>
      <vt:variant>
        <vt:i4>4128770</vt:i4>
      </vt:variant>
      <vt:variant>
        <vt:i4>1767</vt:i4>
      </vt:variant>
      <vt:variant>
        <vt:i4>0</vt:i4>
      </vt:variant>
      <vt:variant>
        <vt:i4>5</vt:i4>
      </vt:variant>
      <vt:variant>
        <vt:lpwstr/>
      </vt:variant>
      <vt:variant>
        <vt:lpwstr>_How_to_quantify</vt:lpwstr>
      </vt:variant>
      <vt:variant>
        <vt:i4>917581</vt:i4>
      </vt:variant>
      <vt:variant>
        <vt:i4>1761</vt:i4>
      </vt:variant>
      <vt:variant>
        <vt:i4>0</vt:i4>
      </vt:variant>
      <vt:variant>
        <vt:i4>5</vt:i4>
      </vt:variant>
      <vt:variant>
        <vt:lpwstr>https://environment.govt.nz/publications/new-zealands-greenhouse-gas-inventory-1990-2021/</vt:lpwstr>
      </vt:variant>
      <vt:variant>
        <vt:lpwstr/>
      </vt:variant>
      <vt:variant>
        <vt:i4>3735667</vt:i4>
      </vt:variant>
      <vt:variant>
        <vt:i4>1758</vt:i4>
      </vt:variant>
      <vt:variant>
        <vt:i4>0</vt:i4>
      </vt:variant>
      <vt:variant>
        <vt:i4>5</vt:i4>
      </vt:variant>
      <vt:variant>
        <vt:lpwstr/>
      </vt:variant>
      <vt:variant>
        <vt:lpwstr>table42</vt:lpwstr>
      </vt:variant>
      <vt:variant>
        <vt:i4>3735667</vt:i4>
      </vt:variant>
      <vt:variant>
        <vt:i4>1755</vt:i4>
      </vt:variant>
      <vt:variant>
        <vt:i4>0</vt:i4>
      </vt:variant>
      <vt:variant>
        <vt:i4>5</vt:i4>
      </vt:variant>
      <vt:variant>
        <vt:lpwstr/>
      </vt:variant>
      <vt:variant>
        <vt:lpwstr>table41</vt:lpwstr>
      </vt:variant>
      <vt:variant>
        <vt:i4>6684778</vt:i4>
      </vt:variant>
      <vt:variant>
        <vt:i4>1752</vt:i4>
      </vt:variant>
      <vt:variant>
        <vt:i4>0</vt:i4>
      </vt:variant>
      <vt:variant>
        <vt:i4>5</vt:i4>
      </vt:variant>
      <vt:variant>
        <vt:lpwstr>https://www.gov.uk/government/publications/greenhouse-gas-reporting-conversion-factors-2021</vt:lpwstr>
      </vt:variant>
      <vt:variant>
        <vt:lpwstr/>
      </vt:variant>
      <vt:variant>
        <vt:i4>3735667</vt:i4>
      </vt:variant>
      <vt:variant>
        <vt:i4>1749</vt:i4>
      </vt:variant>
      <vt:variant>
        <vt:i4>0</vt:i4>
      </vt:variant>
      <vt:variant>
        <vt:i4>5</vt:i4>
      </vt:variant>
      <vt:variant>
        <vt:lpwstr/>
      </vt:variant>
      <vt:variant>
        <vt:lpwstr>table42</vt:lpwstr>
      </vt:variant>
      <vt:variant>
        <vt:i4>3735667</vt:i4>
      </vt:variant>
      <vt:variant>
        <vt:i4>1746</vt:i4>
      </vt:variant>
      <vt:variant>
        <vt:i4>0</vt:i4>
      </vt:variant>
      <vt:variant>
        <vt:i4>5</vt:i4>
      </vt:variant>
      <vt:variant>
        <vt:lpwstr/>
      </vt:variant>
      <vt:variant>
        <vt:lpwstr>table41</vt:lpwstr>
      </vt:variant>
      <vt:variant>
        <vt:i4>4128770</vt:i4>
      </vt:variant>
      <vt:variant>
        <vt:i4>1743</vt:i4>
      </vt:variant>
      <vt:variant>
        <vt:i4>0</vt:i4>
      </vt:variant>
      <vt:variant>
        <vt:i4>5</vt:i4>
      </vt:variant>
      <vt:variant>
        <vt:lpwstr/>
      </vt:variant>
      <vt:variant>
        <vt:lpwstr>_How_to_quantify</vt:lpwstr>
      </vt:variant>
      <vt:variant>
        <vt:i4>3735667</vt:i4>
      </vt:variant>
      <vt:variant>
        <vt:i4>1740</vt:i4>
      </vt:variant>
      <vt:variant>
        <vt:i4>0</vt:i4>
      </vt:variant>
      <vt:variant>
        <vt:i4>5</vt:i4>
      </vt:variant>
      <vt:variant>
        <vt:lpwstr/>
      </vt:variant>
      <vt:variant>
        <vt:lpwstr>table41</vt:lpwstr>
      </vt:variant>
      <vt:variant>
        <vt:i4>7864336</vt:i4>
      </vt:variant>
      <vt:variant>
        <vt:i4>1737</vt:i4>
      </vt:variant>
      <vt:variant>
        <vt:i4>0</vt:i4>
      </vt:variant>
      <vt:variant>
        <vt:i4>5</vt:i4>
      </vt:variant>
      <vt:variant>
        <vt:lpwstr>https://assets.publishing.service.gov.uk/government/uploads/system/uploads/attachment_data/file/1083857/2022-ghg-cf-methodology-paper.pdf</vt:lpwstr>
      </vt:variant>
      <vt:variant>
        <vt:lpwstr/>
      </vt:variant>
      <vt:variant>
        <vt:i4>6684778</vt:i4>
      </vt:variant>
      <vt:variant>
        <vt:i4>1728</vt:i4>
      </vt:variant>
      <vt:variant>
        <vt:i4>0</vt:i4>
      </vt:variant>
      <vt:variant>
        <vt:i4>5</vt:i4>
      </vt:variant>
      <vt:variant>
        <vt:lpwstr>https://www.gov.uk/government/publications/greenhouse-gas-reporting-conversion-factors-2021</vt:lpwstr>
      </vt:variant>
      <vt:variant>
        <vt:lpwstr/>
      </vt:variant>
      <vt:variant>
        <vt:i4>3735667</vt:i4>
      </vt:variant>
      <vt:variant>
        <vt:i4>1725</vt:i4>
      </vt:variant>
      <vt:variant>
        <vt:i4>0</vt:i4>
      </vt:variant>
      <vt:variant>
        <vt:i4>5</vt:i4>
      </vt:variant>
      <vt:variant>
        <vt:lpwstr/>
      </vt:variant>
      <vt:variant>
        <vt:lpwstr>table42</vt:lpwstr>
      </vt:variant>
      <vt:variant>
        <vt:i4>3735667</vt:i4>
      </vt:variant>
      <vt:variant>
        <vt:i4>1722</vt:i4>
      </vt:variant>
      <vt:variant>
        <vt:i4>0</vt:i4>
      </vt:variant>
      <vt:variant>
        <vt:i4>5</vt:i4>
      </vt:variant>
      <vt:variant>
        <vt:lpwstr/>
      </vt:variant>
      <vt:variant>
        <vt:lpwstr>table41</vt:lpwstr>
      </vt:variant>
      <vt:variant>
        <vt:i4>4194330</vt:i4>
      </vt:variant>
      <vt:variant>
        <vt:i4>1719</vt:i4>
      </vt:variant>
      <vt:variant>
        <vt:i4>0</vt:i4>
      </vt:variant>
      <vt:variant>
        <vt:i4>5</vt:i4>
      </vt:variant>
      <vt:variant>
        <vt:lpwstr/>
      </vt:variant>
      <vt:variant>
        <vt:lpwstr>_Assumptions,_limitations_and_1</vt:lpwstr>
      </vt:variant>
      <vt:variant>
        <vt:i4>5373959</vt:i4>
      </vt:variant>
      <vt:variant>
        <vt:i4>1716</vt:i4>
      </vt:variant>
      <vt:variant>
        <vt:i4>0</vt:i4>
      </vt:variant>
      <vt:variant>
        <vt:i4>5</vt:i4>
      </vt:variant>
      <vt:variant>
        <vt:lpwstr>http://www.icao.int/environmental-protection/CarbonOffset/Pages/default.aspx</vt:lpwstr>
      </vt:variant>
      <vt:variant>
        <vt:lpwstr/>
      </vt:variant>
      <vt:variant>
        <vt:i4>3735667</vt:i4>
      </vt:variant>
      <vt:variant>
        <vt:i4>1707</vt:i4>
      </vt:variant>
      <vt:variant>
        <vt:i4>0</vt:i4>
      </vt:variant>
      <vt:variant>
        <vt:i4>5</vt:i4>
      </vt:variant>
      <vt:variant>
        <vt:lpwstr/>
      </vt:variant>
      <vt:variant>
        <vt:lpwstr>table4</vt:lpwstr>
      </vt:variant>
      <vt:variant>
        <vt:i4>4063347</vt:i4>
      </vt:variant>
      <vt:variant>
        <vt:i4>1701</vt:i4>
      </vt:variant>
      <vt:variant>
        <vt:i4>0</vt:i4>
      </vt:variant>
      <vt:variant>
        <vt:i4>5</vt:i4>
      </vt:variant>
      <vt:variant>
        <vt:lpwstr/>
      </vt:variant>
      <vt:variant>
        <vt:lpwstr>table37</vt:lpwstr>
      </vt:variant>
      <vt:variant>
        <vt:i4>4063347</vt:i4>
      </vt:variant>
      <vt:variant>
        <vt:i4>1698</vt:i4>
      </vt:variant>
      <vt:variant>
        <vt:i4>0</vt:i4>
      </vt:variant>
      <vt:variant>
        <vt:i4>5</vt:i4>
      </vt:variant>
      <vt:variant>
        <vt:lpwstr/>
      </vt:variant>
      <vt:variant>
        <vt:lpwstr>table36</vt:lpwstr>
      </vt:variant>
      <vt:variant>
        <vt:i4>65612</vt:i4>
      </vt:variant>
      <vt:variant>
        <vt:i4>1695</vt:i4>
      </vt:variant>
      <vt:variant>
        <vt:i4>0</vt:i4>
      </vt:variant>
      <vt:variant>
        <vt:i4>5</vt:i4>
      </vt:variant>
      <vt:variant>
        <vt:lpwstr>https://calculator.toitu.co.nz/?calculator=travel</vt:lpwstr>
      </vt:variant>
      <vt:variant>
        <vt:lpwstr/>
      </vt:variant>
      <vt:variant>
        <vt:i4>4063347</vt:i4>
      </vt:variant>
      <vt:variant>
        <vt:i4>1692</vt:i4>
      </vt:variant>
      <vt:variant>
        <vt:i4>0</vt:i4>
      </vt:variant>
      <vt:variant>
        <vt:i4>5</vt:i4>
      </vt:variant>
      <vt:variant>
        <vt:lpwstr/>
      </vt:variant>
      <vt:variant>
        <vt:lpwstr>table37</vt:lpwstr>
      </vt:variant>
      <vt:variant>
        <vt:i4>4063347</vt:i4>
      </vt:variant>
      <vt:variant>
        <vt:i4>1689</vt:i4>
      </vt:variant>
      <vt:variant>
        <vt:i4>0</vt:i4>
      </vt:variant>
      <vt:variant>
        <vt:i4>5</vt:i4>
      </vt:variant>
      <vt:variant>
        <vt:lpwstr/>
      </vt:variant>
      <vt:variant>
        <vt:lpwstr>table36</vt:lpwstr>
      </vt:variant>
      <vt:variant>
        <vt:i4>4128770</vt:i4>
      </vt:variant>
      <vt:variant>
        <vt:i4>1686</vt:i4>
      </vt:variant>
      <vt:variant>
        <vt:i4>0</vt:i4>
      </vt:variant>
      <vt:variant>
        <vt:i4>5</vt:i4>
      </vt:variant>
      <vt:variant>
        <vt:lpwstr/>
      </vt:variant>
      <vt:variant>
        <vt:lpwstr>_How_to_quantify</vt:lpwstr>
      </vt:variant>
      <vt:variant>
        <vt:i4>3473514</vt:i4>
      </vt:variant>
      <vt:variant>
        <vt:i4>1683</vt:i4>
      </vt:variant>
      <vt:variant>
        <vt:i4>0</vt:i4>
      </vt:variant>
      <vt:variant>
        <vt:i4>5</vt:i4>
      </vt:variant>
      <vt:variant>
        <vt:lpwstr>https://www.airmilescalculator.com/</vt:lpwstr>
      </vt:variant>
      <vt:variant>
        <vt:lpwstr/>
      </vt:variant>
      <vt:variant>
        <vt:i4>4063347</vt:i4>
      </vt:variant>
      <vt:variant>
        <vt:i4>1674</vt:i4>
      </vt:variant>
      <vt:variant>
        <vt:i4>0</vt:i4>
      </vt:variant>
      <vt:variant>
        <vt:i4>5</vt:i4>
      </vt:variant>
      <vt:variant>
        <vt:lpwstr/>
      </vt:variant>
      <vt:variant>
        <vt:lpwstr>table37</vt:lpwstr>
      </vt:variant>
      <vt:variant>
        <vt:i4>4063347</vt:i4>
      </vt:variant>
      <vt:variant>
        <vt:i4>1671</vt:i4>
      </vt:variant>
      <vt:variant>
        <vt:i4>0</vt:i4>
      </vt:variant>
      <vt:variant>
        <vt:i4>5</vt:i4>
      </vt:variant>
      <vt:variant>
        <vt:lpwstr/>
      </vt:variant>
      <vt:variant>
        <vt:lpwstr>table36</vt:lpwstr>
      </vt:variant>
      <vt:variant>
        <vt:i4>3407987</vt:i4>
      </vt:variant>
      <vt:variant>
        <vt:i4>1668</vt:i4>
      </vt:variant>
      <vt:variant>
        <vt:i4>0</vt:i4>
      </vt:variant>
      <vt:variant>
        <vt:i4>5</vt:i4>
      </vt:variant>
      <vt:variant>
        <vt:lpwstr/>
      </vt:variant>
      <vt:variant>
        <vt:lpwstr>table9</vt:lpwstr>
      </vt:variant>
      <vt:variant>
        <vt:i4>3735667</vt:i4>
      </vt:variant>
      <vt:variant>
        <vt:i4>1665</vt:i4>
      </vt:variant>
      <vt:variant>
        <vt:i4>0</vt:i4>
      </vt:variant>
      <vt:variant>
        <vt:i4>5</vt:i4>
      </vt:variant>
      <vt:variant>
        <vt:lpwstr/>
      </vt:variant>
      <vt:variant>
        <vt:lpwstr>table4</vt:lpwstr>
      </vt:variant>
      <vt:variant>
        <vt:i4>4063347</vt:i4>
      </vt:variant>
      <vt:variant>
        <vt:i4>1662</vt:i4>
      </vt:variant>
      <vt:variant>
        <vt:i4>0</vt:i4>
      </vt:variant>
      <vt:variant>
        <vt:i4>5</vt:i4>
      </vt:variant>
      <vt:variant>
        <vt:lpwstr/>
      </vt:variant>
      <vt:variant>
        <vt:lpwstr>table35</vt:lpwstr>
      </vt:variant>
      <vt:variant>
        <vt:i4>4063347</vt:i4>
      </vt:variant>
      <vt:variant>
        <vt:i4>1656</vt:i4>
      </vt:variant>
      <vt:variant>
        <vt:i4>0</vt:i4>
      </vt:variant>
      <vt:variant>
        <vt:i4>5</vt:i4>
      </vt:variant>
      <vt:variant>
        <vt:lpwstr/>
      </vt:variant>
      <vt:variant>
        <vt:lpwstr>table34</vt:lpwstr>
      </vt:variant>
      <vt:variant>
        <vt:i4>4128770</vt:i4>
      </vt:variant>
      <vt:variant>
        <vt:i4>1653</vt:i4>
      </vt:variant>
      <vt:variant>
        <vt:i4>0</vt:i4>
      </vt:variant>
      <vt:variant>
        <vt:i4>5</vt:i4>
      </vt:variant>
      <vt:variant>
        <vt:lpwstr/>
      </vt:variant>
      <vt:variant>
        <vt:lpwstr>_How_to_quantify</vt:lpwstr>
      </vt:variant>
      <vt:variant>
        <vt:i4>4063347</vt:i4>
      </vt:variant>
      <vt:variant>
        <vt:i4>1647</vt:i4>
      </vt:variant>
      <vt:variant>
        <vt:i4>0</vt:i4>
      </vt:variant>
      <vt:variant>
        <vt:i4>5</vt:i4>
      </vt:variant>
      <vt:variant>
        <vt:lpwstr/>
      </vt:variant>
      <vt:variant>
        <vt:lpwstr>table35</vt:lpwstr>
      </vt:variant>
      <vt:variant>
        <vt:i4>4063347</vt:i4>
      </vt:variant>
      <vt:variant>
        <vt:i4>1644</vt:i4>
      </vt:variant>
      <vt:variant>
        <vt:i4>0</vt:i4>
      </vt:variant>
      <vt:variant>
        <vt:i4>5</vt:i4>
      </vt:variant>
      <vt:variant>
        <vt:lpwstr/>
      </vt:variant>
      <vt:variant>
        <vt:lpwstr>table34</vt:lpwstr>
      </vt:variant>
      <vt:variant>
        <vt:i4>3735667</vt:i4>
      </vt:variant>
      <vt:variant>
        <vt:i4>1641</vt:i4>
      </vt:variant>
      <vt:variant>
        <vt:i4>0</vt:i4>
      </vt:variant>
      <vt:variant>
        <vt:i4>5</vt:i4>
      </vt:variant>
      <vt:variant>
        <vt:lpwstr/>
      </vt:variant>
      <vt:variant>
        <vt:lpwstr>table4</vt:lpwstr>
      </vt:variant>
      <vt:variant>
        <vt:i4>3407987</vt:i4>
      </vt:variant>
      <vt:variant>
        <vt:i4>1638</vt:i4>
      </vt:variant>
      <vt:variant>
        <vt:i4>0</vt:i4>
      </vt:variant>
      <vt:variant>
        <vt:i4>5</vt:i4>
      </vt:variant>
      <vt:variant>
        <vt:lpwstr/>
      </vt:variant>
      <vt:variant>
        <vt:lpwstr>table9</vt:lpwstr>
      </vt:variant>
      <vt:variant>
        <vt:i4>4063347</vt:i4>
      </vt:variant>
      <vt:variant>
        <vt:i4>1632</vt:i4>
      </vt:variant>
      <vt:variant>
        <vt:i4>0</vt:i4>
      </vt:variant>
      <vt:variant>
        <vt:i4>5</vt:i4>
      </vt:variant>
      <vt:variant>
        <vt:lpwstr/>
      </vt:variant>
      <vt:variant>
        <vt:lpwstr>table33</vt:lpwstr>
      </vt:variant>
      <vt:variant>
        <vt:i4>4063347</vt:i4>
      </vt:variant>
      <vt:variant>
        <vt:i4>1623</vt:i4>
      </vt:variant>
      <vt:variant>
        <vt:i4>0</vt:i4>
      </vt:variant>
      <vt:variant>
        <vt:i4>5</vt:i4>
      </vt:variant>
      <vt:variant>
        <vt:lpwstr/>
      </vt:variant>
      <vt:variant>
        <vt:lpwstr>table32</vt:lpwstr>
      </vt:variant>
      <vt:variant>
        <vt:i4>4063347</vt:i4>
      </vt:variant>
      <vt:variant>
        <vt:i4>1620</vt:i4>
      </vt:variant>
      <vt:variant>
        <vt:i4>0</vt:i4>
      </vt:variant>
      <vt:variant>
        <vt:i4>5</vt:i4>
      </vt:variant>
      <vt:variant>
        <vt:lpwstr/>
      </vt:variant>
      <vt:variant>
        <vt:lpwstr>table31</vt:lpwstr>
      </vt:variant>
      <vt:variant>
        <vt:i4>4063347</vt:i4>
      </vt:variant>
      <vt:variant>
        <vt:i4>1614</vt:i4>
      </vt:variant>
      <vt:variant>
        <vt:i4>0</vt:i4>
      </vt:variant>
      <vt:variant>
        <vt:i4>5</vt:i4>
      </vt:variant>
      <vt:variant>
        <vt:lpwstr/>
      </vt:variant>
      <vt:variant>
        <vt:lpwstr>table34</vt:lpwstr>
      </vt:variant>
      <vt:variant>
        <vt:i4>4128883</vt:i4>
      </vt:variant>
      <vt:variant>
        <vt:i4>1611</vt:i4>
      </vt:variant>
      <vt:variant>
        <vt:i4>0</vt:i4>
      </vt:variant>
      <vt:variant>
        <vt:i4>5</vt:i4>
      </vt:variant>
      <vt:variant>
        <vt:lpwstr/>
      </vt:variant>
      <vt:variant>
        <vt:lpwstr>table28</vt:lpwstr>
      </vt:variant>
      <vt:variant>
        <vt:i4>4128883</vt:i4>
      </vt:variant>
      <vt:variant>
        <vt:i4>1605</vt:i4>
      </vt:variant>
      <vt:variant>
        <vt:i4>0</vt:i4>
      </vt:variant>
      <vt:variant>
        <vt:i4>5</vt:i4>
      </vt:variant>
      <vt:variant>
        <vt:lpwstr/>
      </vt:variant>
      <vt:variant>
        <vt:lpwstr>table29</vt:lpwstr>
      </vt:variant>
      <vt:variant>
        <vt:i4>4128883</vt:i4>
      </vt:variant>
      <vt:variant>
        <vt:i4>1599</vt:i4>
      </vt:variant>
      <vt:variant>
        <vt:i4>0</vt:i4>
      </vt:variant>
      <vt:variant>
        <vt:i4>5</vt:i4>
      </vt:variant>
      <vt:variant>
        <vt:lpwstr/>
      </vt:variant>
      <vt:variant>
        <vt:lpwstr>table28</vt:lpwstr>
      </vt:variant>
      <vt:variant>
        <vt:i4>4128883</vt:i4>
      </vt:variant>
      <vt:variant>
        <vt:i4>1596</vt:i4>
      </vt:variant>
      <vt:variant>
        <vt:i4>0</vt:i4>
      </vt:variant>
      <vt:variant>
        <vt:i4>5</vt:i4>
      </vt:variant>
      <vt:variant>
        <vt:lpwstr/>
      </vt:variant>
      <vt:variant>
        <vt:lpwstr>table27</vt:lpwstr>
      </vt:variant>
      <vt:variant>
        <vt:i4>4128770</vt:i4>
      </vt:variant>
      <vt:variant>
        <vt:i4>1593</vt:i4>
      </vt:variant>
      <vt:variant>
        <vt:i4>0</vt:i4>
      </vt:variant>
      <vt:variant>
        <vt:i4>5</vt:i4>
      </vt:variant>
      <vt:variant>
        <vt:lpwstr/>
      </vt:variant>
      <vt:variant>
        <vt:lpwstr>_How_to_quantify</vt:lpwstr>
      </vt:variant>
      <vt:variant>
        <vt:i4>4128883</vt:i4>
      </vt:variant>
      <vt:variant>
        <vt:i4>1584</vt:i4>
      </vt:variant>
      <vt:variant>
        <vt:i4>0</vt:i4>
      </vt:variant>
      <vt:variant>
        <vt:i4>5</vt:i4>
      </vt:variant>
      <vt:variant>
        <vt:lpwstr/>
      </vt:variant>
      <vt:variant>
        <vt:lpwstr>table23</vt:lpwstr>
      </vt:variant>
      <vt:variant>
        <vt:i4>4128883</vt:i4>
      </vt:variant>
      <vt:variant>
        <vt:i4>1578</vt:i4>
      </vt:variant>
      <vt:variant>
        <vt:i4>0</vt:i4>
      </vt:variant>
      <vt:variant>
        <vt:i4>5</vt:i4>
      </vt:variant>
      <vt:variant>
        <vt:lpwstr/>
      </vt:variant>
      <vt:variant>
        <vt:lpwstr>table25</vt:lpwstr>
      </vt:variant>
      <vt:variant>
        <vt:i4>4128883</vt:i4>
      </vt:variant>
      <vt:variant>
        <vt:i4>1572</vt:i4>
      </vt:variant>
      <vt:variant>
        <vt:i4>0</vt:i4>
      </vt:variant>
      <vt:variant>
        <vt:i4>5</vt:i4>
      </vt:variant>
      <vt:variant>
        <vt:lpwstr/>
      </vt:variant>
      <vt:variant>
        <vt:lpwstr>table24</vt:lpwstr>
      </vt:variant>
      <vt:variant>
        <vt:i4>3735667</vt:i4>
      </vt:variant>
      <vt:variant>
        <vt:i4>1569</vt:i4>
      </vt:variant>
      <vt:variant>
        <vt:i4>0</vt:i4>
      </vt:variant>
      <vt:variant>
        <vt:i4>5</vt:i4>
      </vt:variant>
      <vt:variant>
        <vt:lpwstr/>
      </vt:variant>
      <vt:variant>
        <vt:lpwstr>table4</vt:lpwstr>
      </vt:variant>
      <vt:variant>
        <vt:i4>4128883</vt:i4>
      </vt:variant>
      <vt:variant>
        <vt:i4>1563</vt:i4>
      </vt:variant>
      <vt:variant>
        <vt:i4>0</vt:i4>
      </vt:variant>
      <vt:variant>
        <vt:i4>5</vt:i4>
      </vt:variant>
      <vt:variant>
        <vt:lpwstr/>
      </vt:variant>
      <vt:variant>
        <vt:lpwstr>table23</vt:lpwstr>
      </vt:variant>
      <vt:variant>
        <vt:i4>4128883</vt:i4>
      </vt:variant>
      <vt:variant>
        <vt:i4>1560</vt:i4>
      </vt:variant>
      <vt:variant>
        <vt:i4>0</vt:i4>
      </vt:variant>
      <vt:variant>
        <vt:i4>5</vt:i4>
      </vt:variant>
      <vt:variant>
        <vt:lpwstr/>
      </vt:variant>
      <vt:variant>
        <vt:lpwstr>table22</vt:lpwstr>
      </vt:variant>
      <vt:variant>
        <vt:i4>3932275</vt:i4>
      </vt:variant>
      <vt:variant>
        <vt:i4>1557</vt:i4>
      </vt:variant>
      <vt:variant>
        <vt:i4>0</vt:i4>
      </vt:variant>
      <vt:variant>
        <vt:i4>5</vt:i4>
      </vt:variant>
      <vt:variant>
        <vt:lpwstr/>
      </vt:variant>
      <vt:variant>
        <vt:lpwstr>table16</vt:lpwstr>
      </vt:variant>
      <vt:variant>
        <vt:i4>3014683</vt:i4>
      </vt:variant>
      <vt:variant>
        <vt:i4>1554</vt:i4>
      </vt:variant>
      <vt:variant>
        <vt:i4>0</vt:i4>
      </vt:variant>
      <vt:variant>
        <vt:i4>5</vt:i4>
      </vt:variant>
      <vt:variant>
        <vt:lpwstr/>
      </vt:variant>
      <vt:variant>
        <vt:lpwstr>_How_to_calculate</vt:lpwstr>
      </vt:variant>
      <vt:variant>
        <vt:i4>4128883</vt:i4>
      </vt:variant>
      <vt:variant>
        <vt:i4>1551</vt:i4>
      </vt:variant>
      <vt:variant>
        <vt:i4>0</vt:i4>
      </vt:variant>
      <vt:variant>
        <vt:i4>5</vt:i4>
      </vt:variant>
      <vt:variant>
        <vt:lpwstr/>
      </vt:variant>
      <vt:variant>
        <vt:lpwstr>table22</vt:lpwstr>
      </vt:variant>
      <vt:variant>
        <vt:i4>8323194</vt:i4>
      </vt:variant>
      <vt:variant>
        <vt:i4>1548</vt:i4>
      </vt:variant>
      <vt:variant>
        <vt:i4>0</vt:i4>
      </vt:variant>
      <vt:variant>
        <vt:i4>5</vt:i4>
      </vt:variant>
      <vt:variant>
        <vt:lpwstr/>
      </vt:variant>
      <vt:variant>
        <vt:lpwstr>section3point3</vt:lpwstr>
      </vt:variant>
      <vt:variant>
        <vt:i4>4128883</vt:i4>
      </vt:variant>
      <vt:variant>
        <vt:i4>1542</vt:i4>
      </vt:variant>
      <vt:variant>
        <vt:i4>0</vt:i4>
      </vt:variant>
      <vt:variant>
        <vt:i4>5</vt:i4>
      </vt:variant>
      <vt:variant>
        <vt:lpwstr/>
      </vt:variant>
      <vt:variant>
        <vt:lpwstr>table24</vt:lpwstr>
      </vt:variant>
      <vt:variant>
        <vt:i4>3932275</vt:i4>
      </vt:variant>
      <vt:variant>
        <vt:i4>1521</vt:i4>
      </vt:variant>
      <vt:variant>
        <vt:i4>0</vt:i4>
      </vt:variant>
      <vt:variant>
        <vt:i4>5</vt:i4>
      </vt:variant>
      <vt:variant>
        <vt:lpwstr/>
      </vt:variant>
      <vt:variant>
        <vt:lpwstr>table16</vt:lpwstr>
      </vt:variant>
      <vt:variant>
        <vt:i4>4128883</vt:i4>
      </vt:variant>
      <vt:variant>
        <vt:i4>1518</vt:i4>
      </vt:variant>
      <vt:variant>
        <vt:i4>0</vt:i4>
      </vt:variant>
      <vt:variant>
        <vt:i4>5</vt:i4>
      </vt:variant>
      <vt:variant>
        <vt:lpwstr/>
      </vt:variant>
      <vt:variant>
        <vt:lpwstr>table21</vt:lpwstr>
      </vt:variant>
      <vt:variant>
        <vt:i4>4128883</vt:i4>
      </vt:variant>
      <vt:variant>
        <vt:i4>1515</vt:i4>
      </vt:variant>
      <vt:variant>
        <vt:i4>0</vt:i4>
      </vt:variant>
      <vt:variant>
        <vt:i4>5</vt:i4>
      </vt:variant>
      <vt:variant>
        <vt:lpwstr/>
      </vt:variant>
      <vt:variant>
        <vt:lpwstr>table20</vt:lpwstr>
      </vt:variant>
      <vt:variant>
        <vt:i4>3932275</vt:i4>
      </vt:variant>
      <vt:variant>
        <vt:i4>1512</vt:i4>
      </vt:variant>
      <vt:variant>
        <vt:i4>0</vt:i4>
      </vt:variant>
      <vt:variant>
        <vt:i4>5</vt:i4>
      </vt:variant>
      <vt:variant>
        <vt:lpwstr/>
      </vt:variant>
      <vt:variant>
        <vt:lpwstr>table19</vt:lpwstr>
      </vt:variant>
      <vt:variant>
        <vt:i4>3932275</vt:i4>
      </vt:variant>
      <vt:variant>
        <vt:i4>1503</vt:i4>
      </vt:variant>
      <vt:variant>
        <vt:i4>0</vt:i4>
      </vt:variant>
      <vt:variant>
        <vt:i4>5</vt:i4>
      </vt:variant>
      <vt:variant>
        <vt:lpwstr/>
      </vt:variant>
      <vt:variant>
        <vt:lpwstr>table19</vt:lpwstr>
      </vt:variant>
      <vt:variant>
        <vt:i4>3932275</vt:i4>
      </vt:variant>
      <vt:variant>
        <vt:i4>1500</vt:i4>
      </vt:variant>
      <vt:variant>
        <vt:i4>0</vt:i4>
      </vt:variant>
      <vt:variant>
        <vt:i4>5</vt:i4>
      </vt:variant>
      <vt:variant>
        <vt:lpwstr/>
      </vt:variant>
      <vt:variant>
        <vt:lpwstr>table16</vt:lpwstr>
      </vt:variant>
      <vt:variant>
        <vt:i4>6029422</vt:i4>
      </vt:variant>
      <vt:variant>
        <vt:i4>1497</vt:i4>
      </vt:variant>
      <vt:variant>
        <vt:i4>0</vt:i4>
      </vt:variant>
      <vt:variant>
        <vt:i4>5</vt:i4>
      </vt:variant>
      <vt:variant>
        <vt:lpwstr/>
      </vt:variant>
      <vt:variant>
        <vt:lpwstr>_Fuel_emission_factors</vt:lpwstr>
      </vt:variant>
      <vt:variant>
        <vt:i4>3932275</vt:i4>
      </vt:variant>
      <vt:variant>
        <vt:i4>1494</vt:i4>
      </vt:variant>
      <vt:variant>
        <vt:i4>0</vt:i4>
      </vt:variant>
      <vt:variant>
        <vt:i4>5</vt:i4>
      </vt:variant>
      <vt:variant>
        <vt:lpwstr/>
      </vt:variant>
      <vt:variant>
        <vt:lpwstr>table18</vt:lpwstr>
      </vt:variant>
      <vt:variant>
        <vt:i4>3932275</vt:i4>
      </vt:variant>
      <vt:variant>
        <vt:i4>1491</vt:i4>
      </vt:variant>
      <vt:variant>
        <vt:i4>0</vt:i4>
      </vt:variant>
      <vt:variant>
        <vt:i4>5</vt:i4>
      </vt:variant>
      <vt:variant>
        <vt:lpwstr/>
      </vt:variant>
      <vt:variant>
        <vt:lpwstr>table16</vt:lpwstr>
      </vt:variant>
      <vt:variant>
        <vt:i4>5701665</vt:i4>
      </vt:variant>
      <vt:variant>
        <vt:i4>1488</vt:i4>
      </vt:variant>
      <vt:variant>
        <vt:i4>0</vt:i4>
      </vt:variant>
      <vt:variant>
        <vt:i4>5</vt:i4>
      </vt:variant>
      <vt:variant>
        <vt:lpwstr/>
      </vt:variant>
      <vt:variant>
        <vt:lpwstr>_Indirect_business-related_emission</vt:lpwstr>
      </vt:variant>
      <vt:variant>
        <vt:i4>3670039</vt:i4>
      </vt:variant>
      <vt:variant>
        <vt:i4>1485</vt:i4>
      </vt:variant>
      <vt:variant>
        <vt:i4>0</vt:i4>
      </vt:variant>
      <vt:variant>
        <vt:i4>5</vt:i4>
      </vt:variant>
      <vt:variant>
        <vt:lpwstr/>
      </vt:variant>
      <vt:variant>
        <vt:lpwstr>_Transport_fuel_emission</vt:lpwstr>
      </vt:variant>
      <vt:variant>
        <vt:i4>7733284</vt:i4>
      </vt:variant>
      <vt:variant>
        <vt:i4>1482</vt:i4>
      </vt:variant>
      <vt:variant>
        <vt:i4>0</vt:i4>
      </vt:variant>
      <vt:variant>
        <vt:i4>5</vt:i4>
      </vt:variant>
      <vt:variant>
        <vt:lpwstr/>
      </vt:variant>
      <vt:variant>
        <vt:lpwstr>_Indirect_business_related_1</vt:lpwstr>
      </vt:variant>
      <vt:variant>
        <vt:i4>7733284</vt:i4>
      </vt:variant>
      <vt:variant>
        <vt:i4>1479</vt:i4>
      </vt:variant>
      <vt:variant>
        <vt:i4>0</vt:i4>
      </vt:variant>
      <vt:variant>
        <vt:i4>5</vt:i4>
      </vt:variant>
      <vt:variant>
        <vt:lpwstr/>
      </vt:variant>
      <vt:variant>
        <vt:lpwstr>_Indirect_business_related_1</vt:lpwstr>
      </vt:variant>
      <vt:variant>
        <vt:i4>3932275</vt:i4>
      </vt:variant>
      <vt:variant>
        <vt:i4>1473</vt:i4>
      </vt:variant>
      <vt:variant>
        <vt:i4>0</vt:i4>
      </vt:variant>
      <vt:variant>
        <vt:i4>5</vt:i4>
      </vt:variant>
      <vt:variant>
        <vt:lpwstr/>
      </vt:variant>
      <vt:variant>
        <vt:lpwstr>table14</vt:lpwstr>
      </vt:variant>
      <vt:variant>
        <vt:i4>3932275</vt:i4>
      </vt:variant>
      <vt:variant>
        <vt:i4>1470</vt:i4>
      </vt:variant>
      <vt:variant>
        <vt:i4>0</vt:i4>
      </vt:variant>
      <vt:variant>
        <vt:i4>5</vt:i4>
      </vt:variant>
      <vt:variant>
        <vt:lpwstr/>
      </vt:variant>
      <vt:variant>
        <vt:lpwstr>table14</vt:lpwstr>
      </vt:variant>
      <vt:variant>
        <vt:i4>4128770</vt:i4>
      </vt:variant>
      <vt:variant>
        <vt:i4>1467</vt:i4>
      </vt:variant>
      <vt:variant>
        <vt:i4>0</vt:i4>
      </vt:variant>
      <vt:variant>
        <vt:i4>5</vt:i4>
      </vt:variant>
      <vt:variant>
        <vt:lpwstr/>
      </vt:variant>
      <vt:variant>
        <vt:lpwstr>_How_to_quantify</vt:lpwstr>
      </vt:variant>
      <vt:variant>
        <vt:i4>3932275</vt:i4>
      </vt:variant>
      <vt:variant>
        <vt:i4>1461</vt:i4>
      </vt:variant>
      <vt:variant>
        <vt:i4>0</vt:i4>
      </vt:variant>
      <vt:variant>
        <vt:i4>5</vt:i4>
      </vt:variant>
      <vt:variant>
        <vt:lpwstr/>
      </vt:variant>
      <vt:variant>
        <vt:lpwstr>table14</vt:lpwstr>
      </vt:variant>
      <vt:variant>
        <vt:i4>3932275</vt:i4>
      </vt:variant>
      <vt:variant>
        <vt:i4>1455</vt:i4>
      </vt:variant>
      <vt:variant>
        <vt:i4>0</vt:i4>
      </vt:variant>
      <vt:variant>
        <vt:i4>5</vt:i4>
      </vt:variant>
      <vt:variant>
        <vt:lpwstr/>
      </vt:variant>
      <vt:variant>
        <vt:lpwstr>table13</vt:lpwstr>
      </vt:variant>
      <vt:variant>
        <vt:i4>3407987</vt:i4>
      </vt:variant>
      <vt:variant>
        <vt:i4>1452</vt:i4>
      </vt:variant>
      <vt:variant>
        <vt:i4>0</vt:i4>
      </vt:variant>
      <vt:variant>
        <vt:i4>5</vt:i4>
      </vt:variant>
      <vt:variant>
        <vt:lpwstr/>
      </vt:variant>
      <vt:variant>
        <vt:lpwstr>table9</vt:lpwstr>
      </vt:variant>
      <vt:variant>
        <vt:i4>3932275</vt:i4>
      </vt:variant>
      <vt:variant>
        <vt:i4>1449</vt:i4>
      </vt:variant>
      <vt:variant>
        <vt:i4>0</vt:i4>
      </vt:variant>
      <vt:variant>
        <vt:i4>5</vt:i4>
      </vt:variant>
      <vt:variant>
        <vt:lpwstr/>
      </vt:variant>
      <vt:variant>
        <vt:lpwstr>Table12</vt:lpwstr>
      </vt:variant>
      <vt:variant>
        <vt:i4>4128770</vt:i4>
      </vt:variant>
      <vt:variant>
        <vt:i4>1446</vt:i4>
      </vt:variant>
      <vt:variant>
        <vt:i4>0</vt:i4>
      </vt:variant>
      <vt:variant>
        <vt:i4>5</vt:i4>
      </vt:variant>
      <vt:variant>
        <vt:lpwstr/>
      </vt:variant>
      <vt:variant>
        <vt:lpwstr>_How_to_quantify</vt:lpwstr>
      </vt:variant>
      <vt:variant>
        <vt:i4>3932275</vt:i4>
      </vt:variant>
      <vt:variant>
        <vt:i4>1440</vt:i4>
      </vt:variant>
      <vt:variant>
        <vt:i4>0</vt:i4>
      </vt:variant>
      <vt:variant>
        <vt:i4>5</vt:i4>
      </vt:variant>
      <vt:variant>
        <vt:lpwstr/>
      </vt:variant>
      <vt:variant>
        <vt:lpwstr>Table12</vt:lpwstr>
      </vt:variant>
      <vt:variant>
        <vt:i4>4063295</vt:i4>
      </vt:variant>
      <vt:variant>
        <vt:i4>1437</vt:i4>
      </vt:variant>
      <vt:variant>
        <vt:i4>0</vt:i4>
      </vt:variant>
      <vt:variant>
        <vt:i4>5</vt:i4>
      </vt:variant>
      <vt:variant>
        <vt:lpwstr>https://ghgprotocol.org/corporate-standard</vt:lpwstr>
      </vt:variant>
      <vt:variant>
        <vt:lpwstr/>
      </vt:variant>
      <vt:variant>
        <vt:i4>3932275</vt:i4>
      </vt:variant>
      <vt:variant>
        <vt:i4>1434</vt:i4>
      </vt:variant>
      <vt:variant>
        <vt:i4>0</vt:i4>
      </vt:variant>
      <vt:variant>
        <vt:i4>5</vt:i4>
      </vt:variant>
      <vt:variant>
        <vt:lpwstr/>
      </vt:variant>
      <vt:variant>
        <vt:lpwstr>Table12</vt:lpwstr>
      </vt:variant>
      <vt:variant>
        <vt:i4>3932275</vt:i4>
      </vt:variant>
      <vt:variant>
        <vt:i4>1431</vt:i4>
      </vt:variant>
      <vt:variant>
        <vt:i4>0</vt:i4>
      </vt:variant>
      <vt:variant>
        <vt:i4>5</vt:i4>
      </vt:variant>
      <vt:variant>
        <vt:lpwstr/>
      </vt:variant>
      <vt:variant>
        <vt:lpwstr>table10</vt:lpwstr>
      </vt:variant>
      <vt:variant>
        <vt:i4>3407987</vt:i4>
      </vt:variant>
      <vt:variant>
        <vt:i4>1428</vt:i4>
      </vt:variant>
      <vt:variant>
        <vt:i4>0</vt:i4>
      </vt:variant>
      <vt:variant>
        <vt:i4>5</vt:i4>
      </vt:variant>
      <vt:variant>
        <vt:lpwstr/>
      </vt:variant>
      <vt:variant>
        <vt:lpwstr>table9</vt:lpwstr>
      </vt:variant>
      <vt:variant>
        <vt:i4>917581</vt:i4>
      </vt:variant>
      <vt:variant>
        <vt:i4>1422</vt:i4>
      </vt:variant>
      <vt:variant>
        <vt:i4>0</vt:i4>
      </vt:variant>
      <vt:variant>
        <vt:i4>5</vt:i4>
      </vt:variant>
      <vt:variant>
        <vt:lpwstr>https://environment.govt.nz/publications/new-zealands-greenhouse-gas-inventory-1990-2021/</vt:lpwstr>
      </vt:variant>
      <vt:variant>
        <vt:lpwstr/>
      </vt:variant>
      <vt:variant>
        <vt:i4>3932275</vt:i4>
      </vt:variant>
      <vt:variant>
        <vt:i4>1419</vt:i4>
      </vt:variant>
      <vt:variant>
        <vt:i4>0</vt:i4>
      </vt:variant>
      <vt:variant>
        <vt:i4>5</vt:i4>
      </vt:variant>
      <vt:variant>
        <vt:lpwstr/>
      </vt:variant>
      <vt:variant>
        <vt:lpwstr>table10</vt:lpwstr>
      </vt:variant>
      <vt:variant>
        <vt:i4>3407987</vt:i4>
      </vt:variant>
      <vt:variant>
        <vt:i4>1416</vt:i4>
      </vt:variant>
      <vt:variant>
        <vt:i4>0</vt:i4>
      </vt:variant>
      <vt:variant>
        <vt:i4>5</vt:i4>
      </vt:variant>
      <vt:variant>
        <vt:lpwstr/>
      </vt:variant>
      <vt:variant>
        <vt:lpwstr>table9</vt:lpwstr>
      </vt:variant>
      <vt:variant>
        <vt:i4>4128770</vt:i4>
      </vt:variant>
      <vt:variant>
        <vt:i4>1413</vt:i4>
      </vt:variant>
      <vt:variant>
        <vt:i4>0</vt:i4>
      </vt:variant>
      <vt:variant>
        <vt:i4>5</vt:i4>
      </vt:variant>
      <vt:variant>
        <vt:lpwstr/>
      </vt:variant>
      <vt:variant>
        <vt:lpwstr>_How_to_quantify</vt:lpwstr>
      </vt:variant>
      <vt:variant>
        <vt:i4>3932275</vt:i4>
      </vt:variant>
      <vt:variant>
        <vt:i4>1407</vt:i4>
      </vt:variant>
      <vt:variant>
        <vt:i4>0</vt:i4>
      </vt:variant>
      <vt:variant>
        <vt:i4>5</vt:i4>
      </vt:variant>
      <vt:variant>
        <vt:lpwstr/>
      </vt:variant>
      <vt:variant>
        <vt:lpwstr>table10</vt:lpwstr>
      </vt:variant>
      <vt:variant>
        <vt:i4>3407987</vt:i4>
      </vt:variant>
      <vt:variant>
        <vt:i4>1401</vt:i4>
      </vt:variant>
      <vt:variant>
        <vt:i4>0</vt:i4>
      </vt:variant>
      <vt:variant>
        <vt:i4>5</vt:i4>
      </vt:variant>
      <vt:variant>
        <vt:lpwstr/>
      </vt:variant>
      <vt:variant>
        <vt:lpwstr>table9</vt:lpwstr>
      </vt:variant>
      <vt:variant>
        <vt:i4>7143521</vt:i4>
      </vt:variant>
      <vt:variant>
        <vt:i4>1398</vt:i4>
      </vt:variant>
      <vt:variant>
        <vt:i4>0</vt:i4>
      </vt:variant>
      <vt:variant>
        <vt:i4>5</vt:i4>
      </vt:variant>
      <vt:variant>
        <vt:lpwstr>http://ghgprotocol.org/scope_2_guidance</vt:lpwstr>
      </vt:variant>
      <vt:variant>
        <vt:lpwstr/>
      </vt:variant>
      <vt:variant>
        <vt:i4>8060995</vt:i4>
      </vt:variant>
      <vt:variant>
        <vt:i4>1395</vt:i4>
      </vt:variant>
      <vt:variant>
        <vt:i4>0</vt:i4>
      </vt:variant>
      <vt:variant>
        <vt:i4>5</vt:i4>
      </vt:variant>
      <vt:variant>
        <vt:lpwstr/>
      </vt:variant>
      <vt:variant>
        <vt:lpwstr>_Transmission_and_distribution</vt:lpwstr>
      </vt:variant>
      <vt:variant>
        <vt:i4>3407987</vt:i4>
      </vt:variant>
      <vt:variant>
        <vt:i4>1392</vt:i4>
      </vt:variant>
      <vt:variant>
        <vt:i4>0</vt:i4>
      </vt:variant>
      <vt:variant>
        <vt:i4>5</vt:i4>
      </vt:variant>
      <vt:variant>
        <vt:lpwstr/>
      </vt:variant>
      <vt:variant>
        <vt:lpwstr>table9</vt:lpwstr>
      </vt:variant>
      <vt:variant>
        <vt:i4>4063295</vt:i4>
      </vt:variant>
      <vt:variant>
        <vt:i4>1389</vt:i4>
      </vt:variant>
      <vt:variant>
        <vt:i4>0</vt:i4>
      </vt:variant>
      <vt:variant>
        <vt:i4>5</vt:i4>
      </vt:variant>
      <vt:variant>
        <vt:lpwstr>https://ghgprotocol.org/corporate-standard</vt:lpwstr>
      </vt:variant>
      <vt:variant>
        <vt:lpwstr/>
      </vt:variant>
      <vt:variant>
        <vt:i4>3473523</vt:i4>
      </vt:variant>
      <vt:variant>
        <vt:i4>1383</vt:i4>
      </vt:variant>
      <vt:variant>
        <vt:i4>0</vt:i4>
      </vt:variant>
      <vt:variant>
        <vt:i4>5</vt:i4>
      </vt:variant>
      <vt:variant>
        <vt:lpwstr/>
      </vt:variant>
      <vt:variant>
        <vt:lpwstr>table8</vt:lpwstr>
      </vt:variant>
      <vt:variant>
        <vt:i4>6946820</vt:i4>
      </vt:variant>
      <vt:variant>
        <vt:i4>1380</vt:i4>
      </vt:variant>
      <vt:variant>
        <vt:i4>0</vt:i4>
      </vt:variant>
      <vt:variant>
        <vt:i4>5</vt:i4>
      </vt:variant>
      <vt:variant>
        <vt:lpwstr>https://ghgprotocol.org/sites/default/files/hfc-cfc_0.pdf</vt:lpwstr>
      </vt:variant>
      <vt:variant>
        <vt:lpwstr/>
      </vt:variant>
      <vt:variant>
        <vt:i4>7929870</vt:i4>
      </vt:variant>
      <vt:variant>
        <vt:i4>1377</vt:i4>
      </vt:variant>
      <vt:variant>
        <vt:i4>0</vt:i4>
      </vt:variant>
      <vt:variant>
        <vt:i4>5</vt:i4>
      </vt:variant>
      <vt:variant>
        <vt:lpwstr/>
      </vt:variant>
      <vt:variant>
        <vt:lpwstr>_Appendix_B:_Alternative</vt:lpwstr>
      </vt:variant>
      <vt:variant>
        <vt:i4>3801203</vt:i4>
      </vt:variant>
      <vt:variant>
        <vt:i4>1374</vt:i4>
      </vt:variant>
      <vt:variant>
        <vt:i4>0</vt:i4>
      </vt:variant>
      <vt:variant>
        <vt:i4>5</vt:i4>
      </vt:variant>
      <vt:variant>
        <vt:lpwstr/>
      </vt:variant>
      <vt:variant>
        <vt:lpwstr>table7</vt:lpwstr>
      </vt:variant>
      <vt:variant>
        <vt:i4>7077999</vt:i4>
      </vt:variant>
      <vt:variant>
        <vt:i4>1368</vt:i4>
      </vt:variant>
      <vt:variant>
        <vt:i4>0</vt:i4>
      </vt:variant>
      <vt:variant>
        <vt:i4>5</vt:i4>
      </vt:variant>
      <vt:variant>
        <vt:lpwstr>https://www.ipcc.ch/site/assets/uploads/2018/02/WG1AR5_Chapter08_FINAL.pdf</vt:lpwstr>
      </vt:variant>
      <vt:variant>
        <vt:lpwstr/>
      </vt:variant>
      <vt:variant>
        <vt:i4>7929870</vt:i4>
      </vt:variant>
      <vt:variant>
        <vt:i4>1365</vt:i4>
      </vt:variant>
      <vt:variant>
        <vt:i4>0</vt:i4>
      </vt:variant>
      <vt:variant>
        <vt:i4>5</vt:i4>
      </vt:variant>
      <vt:variant>
        <vt:lpwstr/>
      </vt:variant>
      <vt:variant>
        <vt:lpwstr>_Appendix_B:_Alternative</vt:lpwstr>
      </vt:variant>
      <vt:variant>
        <vt:i4>7274611</vt:i4>
      </vt:variant>
      <vt:variant>
        <vt:i4>1362</vt:i4>
      </vt:variant>
      <vt:variant>
        <vt:i4>0</vt:i4>
      </vt:variant>
      <vt:variant>
        <vt:i4>5</vt:i4>
      </vt:variant>
      <vt:variant>
        <vt:lpwstr/>
      </vt:variant>
      <vt:variant>
        <vt:lpwstr>tableb2</vt:lpwstr>
      </vt:variant>
      <vt:variant>
        <vt:i4>917581</vt:i4>
      </vt:variant>
      <vt:variant>
        <vt:i4>1359</vt:i4>
      </vt:variant>
      <vt:variant>
        <vt:i4>0</vt:i4>
      </vt:variant>
      <vt:variant>
        <vt:i4>5</vt:i4>
      </vt:variant>
      <vt:variant>
        <vt:lpwstr>https://environment.govt.nz/publications/new-zealands-greenhouse-gas-inventory-1990-2021/</vt:lpwstr>
      </vt:variant>
      <vt:variant>
        <vt:lpwstr/>
      </vt:variant>
      <vt:variant>
        <vt:i4>3932279</vt:i4>
      </vt:variant>
      <vt:variant>
        <vt:i4>1356</vt:i4>
      </vt:variant>
      <vt:variant>
        <vt:i4>0</vt:i4>
      </vt:variant>
      <vt:variant>
        <vt:i4>5</vt:i4>
      </vt:variant>
      <vt:variant>
        <vt:lpwstr>https://www.ipcc.ch/report/ar5/syr/</vt:lpwstr>
      </vt:variant>
      <vt:variant>
        <vt:lpwstr/>
      </vt:variant>
      <vt:variant>
        <vt:i4>3801203</vt:i4>
      </vt:variant>
      <vt:variant>
        <vt:i4>1353</vt:i4>
      </vt:variant>
      <vt:variant>
        <vt:i4>0</vt:i4>
      </vt:variant>
      <vt:variant>
        <vt:i4>5</vt:i4>
      </vt:variant>
      <vt:variant>
        <vt:lpwstr/>
      </vt:variant>
      <vt:variant>
        <vt:lpwstr>table7</vt:lpwstr>
      </vt:variant>
      <vt:variant>
        <vt:i4>4784137</vt:i4>
      </vt:variant>
      <vt:variant>
        <vt:i4>1350</vt:i4>
      </vt:variant>
      <vt:variant>
        <vt:i4>0</vt:i4>
      </vt:variant>
      <vt:variant>
        <vt:i4>5</vt:i4>
      </vt:variant>
      <vt:variant>
        <vt:lpwstr/>
      </vt:variant>
      <vt:variant>
        <vt:lpwstr>_GHG_inventory_development_1</vt:lpwstr>
      </vt:variant>
      <vt:variant>
        <vt:i4>3932279</vt:i4>
      </vt:variant>
      <vt:variant>
        <vt:i4>1347</vt:i4>
      </vt:variant>
      <vt:variant>
        <vt:i4>0</vt:i4>
      </vt:variant>
      <vt:variant>
        <vt:i4>5</vt:i4>
      </vt:variant>
      <vt:variant>
        <vt:lpwstr>https://www.ipcc.ch/report/ar5/syr/</vt:lpwstr>
      </vt:variant>
      <vt:variant>
        <vt:lpwstr/>
      </vt:variant>
      <vt:variant>
        <vt:i4>3866739</vt:i4>
      </vt:variant>
      <vt:variant>
        <vt:i4>1344</vt:i4>
      </vt:variant>
      <vt:variant>
        <vt:i4>0</vt:i4>
      </vt:variant>
      <vt:variant>
        <vt:i4>5</vt:i4>
      </vt:variant>
      <vt:variant>
        <vt:lpwstr/>
      </vt:variant>
      <vt:variant>
        <vt:lpwstr>table6</vt:lpwstr>
      </vt:variant>
      <vt:variant>
        <vt:i4>4128770</vt:i4>
      </vt:variant>
      <vt:variant>
        <vt:i4>1341</vt:i4>
      </vt:variant>
      <vt:variant>
        <vt:i4>0</vt:i4>
      </vt:variant>
      <vt:variant>
        <vt:i4>5</vt:i4>
      </vt:variant>
      <vt:variant>
        <vt:lpwstr/>
      </vt:variant>
      <vt:variant>
        <vt:lpwstr>_How_to_quantify</vt:lpwstr>
      </vt:variant>
      <vt:variant>
        <vt:i4>3866739</vt:i4>
      </vt:variant>
      <vt:variant>
        <vt:i4>1335</vt:i4>
      </vt:variant>
      <vt:variant>
        <vt:i4>0</vt:i4>
      </vt:variant>
      <vt:variant>
        <vt:i4>5</vt:i4>
      </vt:variant>
      <vt:variant>
        <vt:lpwstr/>
      </vt:variant>
      <vt:variant>
        <vt:lpwstr>table6</vt:lpwstr>
      </vt:variant>
      <vt:variant>
        <vt:i4>2687096</vt:i4>
      </vt:variant>
      <vt:variant>
        <vt:i4>1332</vt:i4>
      </vt:variant>
      <vt:variant>
        <vt:i4>0</vt:i4>
      </vt:variant>
      <vt:variant>
        <vt:i4>5</vt:i4>
      </vt:variant>
      <vt:variant>
        <vt:lpwstr>https://ghgprotocol.org/standards/scope-3-standard</vt:lpwstr>
      </vt:variant>
      <vt:variant>
        <vt:lpwstr/>
      </vt:variant>
      <vt:variant>
        <vt:i4>5701634</vt:i4>
      </vt:variant>
      <vt:variant>
        <vt:i4>1329</vt:i4>
      </vt:variant>
      <vt:variant>
        <vt:i4>0</vt:i4>
      </vt:variant>
      <vt:variant>
        <vt:i4>5</vt:i4>
      </vt:variant>
      <vt:variant>
        <vt:lpwstr/>
      </vt:variant>
      <vt:variant>
        <vt:lpwstr>_Appendix_A:_Derivation_2</vt:lpwstr>
      </vt:variant>
      <vt:variant>
        <vt:i4>3670131</vt:i4>
      </vt:variant>
      <vt:variant>
        <vt:i4>1326</vt:i4>
      </vt:variant>
      <vt:variant>
        <vt:i4>0</vt:i4>
      </vt:variant>
      <vt:variant>
        <vt:i4>5</vt:i4>
      </vt:variant>
      <vt:variant>
        <vt:lpwstr/>
      </vt:variant>
      <vt:variant>
        <vt:lpwstr>Table5</vt:lpwstr>
      </vt:variant>
      <vt:variant>
        <vt:i4>4128770</vt:i4>
      </vt:variant>
      <vt:variant>
        <vt:i4>1323</vt:i4>
      </vt:variant>
      <vt:variant>
        <vt:i4>0</vt:i4>
      </vt:variant>
      <vt:variant>
        <vt:i4>5</vt:i4>
      </vt:variant>
      <vt:variant>
        <vt:lpwstr/>
      </vt:variant>
      <vt:variant>
        <vt:lpwstr>_How_to_quantify</vt:lpwstr>
      </vt:variant>
      <vt:variant>
        <vt:i4>4063295</vt:i4>
      </vt:variant>
      <vt:variant>
        <vt:i4>1320</vt:i4>
      </vt:variant>
      <vt:variant>
        <vt:i4>0</vt:i4>
      </vt:variant>
      <vt:variant>
        <vt:i4>5</vt:i4>
      </vt:variant>
      <vt:variant>
        <vt:lpwstr>https://ghgprotocol.org/corporate-standard</vt:lpwstr>
      </vt:variant>
      <vt:variant>
        <vt:lpwstr/>
      </vt:variant>
      <vt:variant>
        <vt:i4>6488124</vt:i4>
      </vt:variant>
      <vt:variant>
        <vt:i4>1317</vt:i4>
      </vt:variant>
      <vt:variant>
        <vt:i4>0</vt:i4>
      </vt:variant>
      <vt:variant>
        <vt:i4>5</vt:i4>
      </vt:variant>
      <vt:variant>
        <vt:lpwstr>https://www.iso.org/standard/66453.html</vt:lpwstr>
      </vt:variant>
      <vt:variant>
        <vt:lpwstr/>
      </vt:variant>
      <vt:variant>
        <vt:i4>3670131</vt:i4>
      </vt:variant>
      <vt:variant>
        <vt:i4>1311</vt:i4>
      </vt:variant>
      <vt:variant>
        <vt:i4>0</vt:i4>
      </vt:variant>
      <vt:variant>
        <vt:i4>5</vt:i4>
      </vt:variant>
      <vt:variant>
        <vt:lpwstr/>
      </vt:variant>
      <vt:variant>
        <vt:lpwstr>Table5</vt:lpwstr>
      </vt:variant>
      <vt:variant>
        <vt:i4>3670131</vt:i4>
      </vt:variant>
      <vt:variant>
        <vt:i4>1308</vt:i4>
      </vt:variant>
      <vt:variant>
        <vt:i4>0</vt:i4>
      </vt:variant>
      <vt:variant>
        <vt:i4>5</vt:i4>
      </vt:variant>
      <vt:variant>
        <vt:lpwstr/>
      </vt:variant>
      <vt:variant>
        <vt:lpwstr>Table5</vt:lpwstr>
      </vt:variant>
      <vt:variant>
        <vt:i4>4063347</vt:i4>
      </vt:variant>
      <vt:variant>
        <vt:i4>1305</vt:i4>
      </vt:variant>
      <vt:variant>
        <vt:i4>0</vt:i4>
      </vt:variant>
      <vt:variant>
        <vt:i4>5</vt:i4>
      </vt:variant>
      <vt:variant>
        <vt:lpwstr/>
      </vt:variant>
      <vt:variant>
        <vt:lpwstr>table3</vt:lpwstr>
      </vt:variant>
      <vt:variant>
        <vt:i4>3735667</vt:i4>
      </vt:variant>
      <vt:variant>
        <vt:i4>1302</vt:i4>
      </vt:variant>
      <vt:variant>
        <vt:i4>0</vt:i4>
      </vt:variant>
      <vt:variant>
        <vt:i4>5</vt:i4>
      </vt:variant>
      <vt:variant>
        <vt:lpwstr/>
      </vt:variant>
      <vt:variant>
        <vt:lpwstr>table4</vt:lpwstr>
      </vt:variant>
      <vt:variant>
        <vt:i4>7012473</vt:i4>
      </vt:variant>
      <vt:variant>
        <vt:i4>1299</vt:i4>
      </vt:variant>
      <vt:variant>
        <vt:i4>0</vt:i4>
      </vt:variant>
      <vt:variant>
        <vt:i4>5</vt:i4>
      </vt:variant>
      <vt:variant>
        <vt:lpwstr/>
      </vt:variant>
      <vt:variant>
        <vt:lpwstr>_Passenger_vehicles</vt:lpwstr>
      </vt:variant>
      <vt:variant>
        <vt:i4>7733284</vt:i4>
      </vt:variant>
      <vt:variant>
        <vt:i4>1296</vt:i4>
      </vt:variant>
      <vt:variant>
        <vt:i4>0</vt:i4>
      </vt:variant>
      <vt:variant>
        <vt:i4>5</vt:i4>
      </vt:variant>
      <vt:variant>
        <vt:lpwstr/>
      </vt:variant>
      <vt:variant>
        <vt:lpwstr>_Indirect_business_related_1</vt:lpwstr>
      </vt:variant>
      <vt:variant>
        <vt:i4>1048680</vt:i4>
      </vt:variant>
      <vt:variant>
        <vt:i4>1293</vt:i4>
      </vt:variant>
      <vt:variant>
        <vt:i4>0</vt:i4>
      </vt:variant>
      <vt:variant>
        <vt:i4>5</vt:i4>
      </vt:variant>
      <vt:variant>
        <vt:lpwstr/>
      </vt:variant>
      <vt:variant>
        <vt:lpwstr>_3.3.2_When_no</vt:lpwstr>
      </vt:variant>
      <vt:variant>
        <vt:i4>3735667</vt:i4>
      </vt:variant>
      <vt:variant>
        <vt:i4>1290</vt:i4>
      </vt:variant>
      <vt:variant>
        <vt:i4>0</vt:i4>
      </vt:variant>
      <vt:variant>
        <vt:i4>5</vt:i4>
      </vt:variant>
      <vt:variant>
        <vt:lpwstr/>
      </vt:variant>
      <vt:variant>
        <vt:lpwstr>table4</vt:lpwstr>
      </vt:variant>
      <vt:variant>
        <vt:i4>4128770</vt:i4>
      </vt:variant>
      <vt:variant>
        <vt:i4>1287</vt:i4>
      </vt:variant>
      <vt:variant>
        <vt:i4>0</vt:i4>
      </vt:variant>
      <vt:variant>
        <vt:i4>5</vt:i4>
      </vt:variant>
      <vt:variant>
        <vt:lpwstr/>
      </vt:variant>
      <vt:variant>
        <vt:lpwstr>_How_to_quantify</vt:lpwstr>
      </vt:variant>
      <vt:variant>
        <vt:i4>3735667</vt:i4>
      </vt:variant>
      <vt:variant>
        <vt:i4>1281</vt:i4>
      </vt:variant>
      <vt:variant>
        <vt:i4>0</vt:i4>
      </vt:variant>
      <vt:variant>
        <vt:i4>5</vt:i4>
      </vt:variant>
      <vt:variant>
        <vt:lpwstr/>
      </vt:variant>
      <vt:variant>
        <vt:lpwstr>table4</vt:lpwstr>
      </vt:variant>
      <vt:variant>
        <vt:i4>131174</vt:i4>
      </vt:variant>
      <vt:variant>
        <vt:i4>1278</vt:i4>
      </vt:variant>
      <vt:variant>
        <vt:i4>0</vt:i4>
      </vt:variant>
      <vt:variant>
        <vt:i4>5</vt:i4>
      </vt:variant>
      <vt:variant>
        <vt:lpwstr>https://environment.govt.nz/assets/publications/Measuring-Emissions-2023/0a4a8dcdd9/Measuring-Emissions-Guidance_EmissionFactors_Workbook_2023.xlsx</vt:lpwstr>
      </vt:variant>
      <vt:variant>
        <vt:lpwstr/>
      </vt:variant>
      <vt:variant>
        <vt:i4>5701634</vt:i4>
      </vt:variant>
      <vt:variant>
        <vt:i4>1275</vt:i4>
      </vt:variant>
      <vt:variant>
        <vt:i4>0</vt:i4>
      </vt:variant>
      <vt:variant>
        <vt:i4>5</vt:i4>
      </vt:variant>
      <vt:variant>
        <vt:lpwstr/>
      </vt:variant>
      <vt:variant>
        <vt:lpwstr>_Appendix_A:_Derivation_2</vt:lpwstr>
      </vt:variant>
      <vt:variant>
        <vt:i4>4063347</vt:i4>
      </vt:variant>
      <vt:variant>
        <vt:i4>1272</vt:i4>
      </vt:variant>
      <vt:variant>
        <vt:i4>0</vt:i4>
      </vt:variant>
      <vt:variant>
        <vt:i4>5</vt:i4>
      </vt:variant>
      <vt:variant>
        <vt:lpwstr/>
      </vt:variant>
      <vt:variant>
        <vt:lpwstr>table3</vt:lpwstr>
      </vt:variant>
      <vt:variant>
        <vt:i4>5701634</vt:i4>
      </vt:variant>
      <vt:variant>
        <vt:i4>1269</vt:i4>
      </vt:variant>
      <vt:variant>
        <vt:i4>0</vt:i4>
      </vt:variant>
      <vt:variant>
        <vt:i4>5</vt:i4>
      </vt:variant>
      <vt:variant>
        <vt:lpwstr/>
      </vt:variant>
      <vt:variant>
        <vt:lpwstr>_Appendix_A:_Derivation_2</vt:lpwstr>
      </vt:variant>
      <vt:variant>
        <vt:i4>4063347</vt:i4>
      </vt:variant>
      <vt:variant>
        <vt:i4>1266</vt:i4>
      </vt:variant>
      <vt:variant>
        <vt:i4>0</vt:i4>
      </vt:variant>
      <vt:variant>
        <vt:i4>5</vt:i4>
      </vt:variant>
      <vt:variant>
        <vt:lpwstr/>
      </vt:variant>
      <vt:variant>
        <vt:lpwstr>table3</vt:lpwstr>
      </vt:variant>
      <vt:variant>
        <vt:i4>4063347</vt:i4>
      </vt:variant>
      <vt:variant>
        <vt:i4>1263</vt:i4>
      </vt:variant>
      <vt:variant>
        <vt:i4>0</vt:i4>
      </vt:variant>
      <vt:variant>
        <vt:i4>5</vt:i4>
      </vt:variant>
      <vt:variant>
        <vt:lpwstr/>
      </vt:variant>
      <vt:variant>
        <vt:lpwstr>table3</vt:lpwstr>
      </vt:variant>
      <vt:variant>
        <vt:i4>4128770</vt:i4>
      </vt:variant>
      <vt:variant>
        <vt:i4>1260</vt:i4>
      </vt:variant>
      <vt:variant>
        <vt:i4>0</vt:i4>
      </vt:variant>
      <vt:variant>
        <vt:i4>5</vt:i4>
      </vt:variant>
      <vt:variant>
        <vt:lpwstr/>
      </vt:variant>
      <vt:variant>
        <vt:lpwstr>_How_to_quantify</vt:lpwstr>
      </vt:variant>
      <vt:variant>
        <vt:i4>655373</vt:i4>
      </vt:variant>
      <vt:variant>
        <vt:i4>1254</vt:i4>
      </vt:variant>
      <vt:variant>
        <vt:i4>0</vt:i4>
      </vt:variant>
      <vt:variant>
        <vt:i4>5</vt:i4>
      </vt:variant>
      <vt:variant>
        <vt:lpwstr>https://www.abs.gov.au/statistics/classifications/australian-and-new-zealand-standard-industrial-classification-anzsic/latest-release</vt:lpwstr>
      </vt:variant>
      <vt:variant>
        <vt:lpwstr/>
      </vt:variant>
      <vt:variant>
        <vt:i4>917581</vt:i4>
      </vt:variant>
      <vt:variant>
        <vt:i4>1251</vt:i4>
      </vt:variant>
      <vt:variant>
        <vt:i4>0</vt:i4>
      </vt:variant>
      <vt:variant>
        <vt:i4>5</vt:i4>
      </vt:variant>
      <vt:variant>
        <vt:lpwstr>https://environment.govt.nz/publications/new-zealands-greenhouse-gas-inventory-1990-2021/</vt:lpwstr>
      </vt:variant>
      <vt:variant>
        <vt:lpwstr/>
      </vt:variant>
      <vt:variant>
        <vt:i4>4063347</vt:i4>
      </vt:variant>
      <vt:variant>
        <vt:i4>1248</vt:i4>
      </vt:variant>
      <vt:variant>
        <vt:i4>0</vt:i4>
      </vt:variant>
      <vt:variant>
        <vt:i4>5</vt:i4>
      </vt:variant>
      <vt:variant>
        <vt:lpwstr/>
      </vt:variant>
      <vt:variant>
        <vt:lpwstr>table3</vt:lpwstr>
      </vt:variant>
      <vt:variant>
        <vt:i4>2621459</vt:i4>
      </vt:variant>
      <vt:variant>
        <vt:i4>1245</vt:i4>
      </vt:variant>
      <vt:variant>
        <vt:i4>0</vt:i4>
      </vt:variant>
      <vt:variant>
        <vt:i4>5</vt:i4>
      </vt:variant>
      <vt:variant>
        <vt:lpwstr/>
      </vt:variant>
      <vt:variant>
        <vt:lpwstr>_How_emission_sources</vt:lpwstr>
      </vt:variant>
      <vt:variant>
        <vt:i4>917581</vt:i4>
      </vt:variant>
      <vt:variant>
        <vt:i4>1242</vt:i4>
      </vt:variant>
      <vt:variant>
        <vt:i4>0</vt:i4>
      </vt:variant>
      <vt:variant>
        <vt:i4>5</vt:i4>
      </vt:variant>
      <vt:variant>
        <vt:lpwstr>https://environment.govt.nz/publications/new-zealands-greenhouse-gas-inventory-1990-2021/</vt:lpwstr>
      </vt:variant>
      <vt:variant>
        <vt:lpwstr/>
      </vt:variant>
      <vt:variant>
        <vt:i4>4063295</vt:i4>
      </vt:variant>
      <vt:variant>
        <vt:i4>1239</vt:i4>
      </vt:variant>
      <vt:variant>
        <vt:i4>0</vt:i4>
      </vt:variant>
      <vt:variant>
        <vt:i4>5</vt:i4>
      </vt:variant>
      <vt:variant>
        <vt:lpwstr>https://ghgprotocol.org/corporate-standard</vt:lpwstr>
      </vt:variant>
      <vt:variant>
        <vt:lpwstr/>
      </vt:variant>
      <vt:variant>
        <vt:i4>6488124</vt:i4>
      </vt:variant>
      <vt:variant>
        <vt:i4>1236</vt:i4>
      </vt:variant>
      <vt:variant>
        <vt:i4>0</vt:i4>
      </vt:variant>
      <vt:variant>
        <vt:i4>5</vt:i4>
      </vt:variant>
      <vt:variant>
        <vt:lpwstr>https://www.iso.org/standard/66453.html</vt:lpwstr>
      </vt:variant>
      <vt:variant>
        <vt:lpwstr/>
      </vt:variant>
      <vt:variant>
        <vt:i4>1769482</vt:i4>
      </vt:variant>
      <vt:variant>
        <vt:i4>1233</vt:i4>
      </vt:variant>
      <vt:variant>
        <vt:i4>0</vt:i4>
      </vt:variant>
      <vt:variant>
        <vt:i4>5</vt:i4>
      </vt:variant>
      <vt:variant>
        <vt:lpwstr>https://www.xrb.govt.nz/standards/climate-related-disclosures/assurance/</vt:lpwstr>
      </vt:variant>
      <vt:variant>
        <vt:lpwstr/>
      </vt:variant>
      <vt:variant>
        <vt:i4>2883711</vt:i4>
      </vt:variant>
      <vt:variant>
        <vt:i4>1230</vt:i4>
      </vt:variant>
      <vt:variant>
        <vt:i4>0</vt:i4>
      </vt:variant>
      <vt:variant>
        <vt:i4>5</vt:i4>
      </vt:variant>
      <vt:variant>
        <vt:lpwstr>https://www.mbie.govt.nz/have-your-say/assurance-over-climate-related-disclosures/</vt:lpwstr>
      </vt:variant>
      <vt:variant>
        <vt:lpwstr/>
      </vt:variant>
      <vt:variant>
        <vt:i4>6619196</vt:i4>
      </vt:variant>
      <vt:variant>
        <vt:i4>1227</vt:i4>
      </vt:variant>
      <vt:variant>
        <vt:i4>0</vt:i4>
      </vt:variant>
      <vt:variant>
        <vt:i4>5</vt:i4>
      </vt:variant>
      <vt:variant>
        <vt:lpwstr>https://www.iso.org/standard/66455.html</vt:lpwstr>
      </vt:variant>
      <vt:variant>
        <vt:lpwstr/>
      </vt:variant>
      <vt:variant>
        <vt:i4>6619196</vt:i4>
      </vt:variant>
      <vt:variant>
        <vt:i4>1224</vt:i4>
      </vt:variant>
      <vt:variant>
        <vt:i4>0</vt:i4>
      </vt:variant>
      <vt:variant>
        <vt:i4>5</vt:i4>
      </vt:variant>
      <vt:variant>
        <vt:lpwstr>https://www.iso.org/standard/66455.html</vt:lpwstr>
      </vt:variant>
      <vt:variant>
        <vt:lpwstr/>
      </vt:variant>
      <vt:variant>
        <vt:i4>786496</vt:i4>
      </vt:variant>
      <vt:variant>
        <vt:i4>1221</vt:i4>
      </vt:variant>
      <vt:variant>
        <vt:i4>0</vt:i4>
      </vt:variant>
      <vt:variant>
        <vt:i4>5</vt:i4>
      </vt:variant>
      <vt:variant>
        <vt:lpwstr>https://www.xrb.govt.nz/standards/assurance-standards/other-assurance-engagement-standards/isae-nz-3410/</vt:lpwstr>
      </vt:variant>
      <vt:variant>
        <vt:lpwstr/>
      </vt:variant>
      <vt:variant>
        <vt:i4>6619196</vt:i4>
      </vt:variant>
      <vt:variant>
        <vt:i4>1218</vt:i4>
      </vt:variant>
      <vt:variant>
        <vt:i4>0</vt:i4>
      </vt:variant>
      <vt:variant>
        <vt:i4>5</vt:i4>
      </vt:variant>
      <vt:variant>
        <vt:lpwstr>https://www.iso.org/standard/66455.html</vt:lpwstr>
      </vt:variant>
      <vt:variant>
        <vt:lpwstr/>
      </vt:variant>
      <vt:variant>
        <vt:i4>786496</vt:i4>
      </vt:variant>
      <vt:variant>
        <vt:i4>1215</vt:i4>
      </vt:variant>
      <vt:variant>
        <vt:i4>0</vt:i4>
      </vt:variant>
      <vt:variant>
        <vt:i4>5</vt:i4>
      </vt:variant>
      <vt:variant>
        <vt:lpwstr>https://www.xrb.govt.nz/standards/assurance-standards/other-assurance-engagement-standards/isae-nz-3410/</vt:lpwstr>
      </vt:variant>
      <vt:variant>
        <vt:lpwstr/>
      </vt:variant>
      <vt:variant>
        <vt:i4>4391001</vt:i4>
      </vt:variant>
      <vt:variant>
        <vt:i4>1212</vt:i4>
      </vt:variant>
      <vt:variant>
        <vt:i4>0</vt:i4>
      </vt:variant>
      <vt:variant>
        <vt:i4>5</vt:i4>
      </vt:variant>
      <vt:variant>
        <vt:lpwstr>https://environment.govt.nz/assets/publications/CNGP-A-guide-to-measuring-and-reporting-greenhouse-gas-emissions.pdf</vt:lpwstr>
      </vt:variant>
      <vt:variant>
        <vt:lpwstr/>
      </vt:variant>
      <vt:variant>
        <vt:i4>1769482</vt:i4>
      </vt:variant>
      <vt:variant>
        <vt:i4>1209</vt:i4>
      </vt:variant>
      <vt:variant>
        <vt:i4>0</vt:i4>
      </vt:variant>
      <vt:variant>
        <vt:i4>5</vt:i4>
      </vt:variant>
      <vt:variant>
        <vt:lpwstr>https://www.xrb.govt.nz/standards/climate-related-disclosures/assurance/</vt:lpwstr>
      </vt:variant>
      <vt:variant>
        <vt:lpwstr/>
      </vt:variant>
      <vt:variant>
        <vt:i4>2621541</vt:i4>
      </vt:variant>
      <vt:variant>
        <vt:i4>1206</vt:i4>
      </vt:variant>
      <vt:variant>
        <vt:i4>0</vt:i4>
      </vt:variant>
      <vt:variant>
        <vt:i4>5</vt:i4>
      </vt:variant>
      <vt:variant>
        <vt:lpwstr>https://view.officeapps.live.com/op/view.aspx?src=https%3A%2F%2Fghgprotocol.org%2Fsites%2Fdefault%2Ffiles%2F2022-12%2FGHG-Protocol-Reporting-Template.docx&amp;wdOrigin=BROWSELINK</vt:lpwstr>
      </vt:variant>
      <vt:variant>
        <vt:lpwstr/>
      </vt:variant>
      <vt:variant>
        <vt:i4>4063347</vt:i4>
      </vt:variant>
      <vt:variant>
        <vt:i4>1203</vt:i4>
      </vt:variant>
      <vt:variant>
        <vt:i4>0</vt:i4>
      </vt:variant>
      <vt:variant>
        <vt:i4>5</vt:i4>
      </vt:variant>
      <vt:variant>
        <vt:lpwstr/>
      </vt:variant>
      <vt:variant>
        <vt:lpwstr>table3</vt:lpwstr>
      </vt:variant>
      <vt:variant>
        <vt:i4>4063295</vt:i4>
      </vt:variant>
      <vt:variant>
        <vt:i4>1200</vt:i4>
      </vt:variant>
      <vt:variant>
        <vt:i4>0</vt:i4>
      </vt:variant>
      <vt:variant>
        <vt:i4>5</vt:i4>
      </vt:variant>
      <vt:variant>
        <vt:lpwstr>https://ghgprotocol.org/corporate-standard</vt:lpwstr>
      </vt:variant>
      <vt:variant>
        <vt:lpwstr/>
      </vt:variant>
      <vt:variant>
        <vt:i4>6488124</vt:i4>
      </vt:variant>
      <vt:variant>
        <vt:i4>1197</vt:i4>
      </vt:variant>
      <vt:variant>
        <vt:i4>0</vt:i4>
      </vt:variant>
      <vt:variant>
        <vt:i4>5</vt:i4>
      </vt:variant>
      <vt:variant>
        <vt:lpwstr>https://www.iso.org/standard/66453.html</vt:lpwstr>
      </vt:variant>
      <vt:variant>
        <vt:lpwstr/>
      </vt:variant>
      <vt:variant>
        <vt:i4>917581</vt:i4>
      </vt:variant>
      <vt:variant>
        <vt:i4>1194</vt:i4>
      </vt:variant>
      <vt:variant>
        <vt:i4>0</vt:i4>
      </vt:variant>
      <vt:variant>
        <vt:i4>5</vt:i4>
      </vt:variant>
      <vt:variant>
        <vt:lpwstr>https://environment.govt.nz/publications/new-zealands-greenhouse-gas-inventory-1990-2021/</vt:lpwstr>
      </vt:variant>
      <vt:variant>
        <vt:lpwstr/>
      </vt:variant>
      <vt:variant>
        <vt:i4>4063295</vt:i4>
      </vt:variant>
      <vt:variant>
        <vt:i4>1191</vt:i4>
      </vt:variant>
      <vt:variant>
        <vt:i4>0</vt:i4>
      </vt:variant>
      <vt:variant>
        <vt:i4>5</vt:i4>
      </vt:variant>
      <vt:variant>
        <vt:lpwstr>https://ghgprotocol.org/corporate-standard</vt:lpwstr>
      </vt:variant>
      <vt:variant>
        <vt:lpwstr/>
      </vt:variant>
      <vt:variant>
        <vt:i4>6488124</vt:i4>
      </vt:variant>
      <vt:variant>
        <vt:i4>1188</vt:i4>
      </vt:variant>
      <vt:variant>
        <vt:i4>0</vt:i4>
      </vt:variant>
      <vt:variant>
        <vt:i4>5</vt:i4>
      </vt:variant>
      <vt:variant>
        <vt:lpwstr>https://www.iso.org/standard/66453.html</vt:lpwstr>
      </vt:variant>
      <vt:variant>
        <vt:lpwstr/>
      </vt:variant>
      <vt:variant>
        <vt:i4>7077961</vt:i4>
      </vt:variant>
      <vt:variant>
        <vt:i4>1185</vt:i4>
      </vt:variant>
      <vt:variant>
        <vt:i4>0</vt:i4>
      </vt:variant>
      <vt:variant>
        <vt:i4>5</vt:i4>
      </vt:variant>
      <vt:variant>
        <vt:lpwstr>https://environment.govt.nz/assets/publications/Measuring-Emissions-2023/3bffeb2623/Measuring-Emissions-Guidance_EmissionFactors_InteractiveWorkbook_2023.xlsx</vt:lpwstr>
      </vt:variant>
      <vt:variant>
        <vt:lpwstr/>
      </vt:variant>
      <vt:variant>
        <vt:i4>917581</vt:i4>
      </vt:variant>
      <vt:variant>
        <vt:i4>1182</vt:i4>
      </vt:variant>
      <vt:variant>
        <vt:i4>0</vt:i4>
      </vt:variant>
      <vt:variant>
        <vt:i4>5</vt:i4>
      </vt:variant>
      <vt:variant>
        <vt:lpwstr>https://environment.govt.nz/publications/new-zealands-greenhouse-gas-inventory-1990-2021/</vt:lpwstr>
      </vt:variant>
      <vt:variant>
        <vt:lpwstr/>
      </vt:variant>
      <vt:variant>
        <vt:i4>4063295</vt:i4>
      </vt:variant>
      <vt:variant>
        <vt:i4>1179</vt:i4>
      </vt:variant>
      <vt:variant>
        <vt:i4>0</vt:i4>
      </vt:variant>
      <vt:variant>
        <vt:i4>5</vt:i4>
      </vt:variant>
      <vt:variant>
        <vt:lpwstr>https://ghgprotocol.org/corporate-standard</vt:lpwstr>
      </vt:variant>
      <vt:variant>
        <vt:lpwstr/>
      </vt:variant>
      <vt:variant>
        <vt:i4>6488124</vt:i4>
      </vt:variant>
      <vt:variant>
        <vt:i4>1176</vt:i4>
      </vt:variant>
      <vt:variant>
        <vt:i4>0</vt:i4>
      </vt:variant>
      <vt:variant>
        <vt:i4>5</vt:i4>
      </vt:variant>
      <vt:variant>
        <vt:lpwstr>https://www.iso.org/standard/66453.html</vt:lpwstr>
      </vt:variant>
      <vt:variant>
        <vt:lpwstr/>
      </vt:variant>
      <vt:variant>
        <vt:i4>3997755</vt:i4>
      </vt:variant>
      <vt:variant>
        <vt:i4>1173</vt:i4>
      </vt:variant>
      <vt:variant>
        <vt:i4>0</vt:i4>
      </vt:variant>
      <vt:variant>
        <vt:i4>5</vt:i4>
      </vt:variant>
      <vt:variant>
        <vt:lpwstr>http://www.mfe.govt.nz/sites/default/files/media/Climate Change/example-ghg-report.pdf</vt:lpwstr>
      </vt:variant>
      <vt:variant>
        <vt:lpwstr/>
      </vt:variant>
      <vt:variant>
        <vt:i4>327724</vt:i4>
      </vt:variant>
      <vt:variant>
        <vt:i4>1170</vt:i4>
      </vt:variant>
      <vt:variant>
        <vt:i4>0</vt:i4>
      </vt:variant>
      <vt:variant>
        <vt:i4>5</vt:i4>
      </vt:variant>
      <vt:variant>
        <vt:lpwstr/>
      </vt:variant>
      <vt:variant>
        <vt:lpwstr>_Producing_a_GHG</vt:lpwstr>
      </vt:variant>
      <vt:variant>
        <vt:i4>196724</vt:i4>
      </vt:variant>
      <vt:variant>
        <vt:i4>1167</vt:i4>
      </vt:variant>
      <vt:variant>
        <vt:i4>0</vt:i4>
      </vt:variant>
      <vt:variant>
        <vt:i4>5</vt:i4>
      </vt:variant>
      <vt:variant>
        <vt:lpwstr>https://environment.govt.nz/assets/Publications/Files/example-ghg-inventory_0.xlsx</vt:lpwstr>
      </vt:variant>
      <vt:variant>
        <vt:lpwstr/>
      </vt:variant>
      <vt:variant>
        <vt:i4>1703986</vt:i4>
      </vt:variant>
      <vt:variant>
        <vt:i4>1164</vt:i4>
      </vt:variant>
      <vt:variant>
        <vt:i4>0</vt:i4>
      </vt:variant>
      <vt:variant>
        <vt:i4>5</vt:i4>
      </vt:variant>
      <vt:variant>
        <vt:lpwstr/>
      </vt:variant>
      <vt:variant>
        <vt:lpwstr>_Verification</vt:lpwstr>
      </vt:variant>
      <vt:variant>
        <vt:i4>6488124</vt:i4>
      </vt:variant>
      <vt:variant>
        <vt:i4>1161</vt:i4>
      </vt:variant>
      <vt:variant>
        <vt:i4>0</vt:i4>
      </vt:variant>
      <vt:variant>
        <vt:i4>5</vt:i4>
      </vt:variant>
      <vt:variant>
        <vt:lpwstr>https://www.iso.org/standard/66453.html</vt:lpwstr>
      </vt:variant>
      <vt:variant>
        <vt:lpwstr/>
      </vt:variant>
      <vt:variant>
        <vt:i4>4063295</vt:i4>
      </vt:variant>
      <vt:variant>
        <vt:i4>1158</vt:i4>
      </vt:variant>
      <vt:variant>
        <vt:i4>0</vt:i4>
      </vt:variant>
      <vt:variant>
        <vt:i4>5</vt:i4>
      </vt:variant>
      <vt:variant>
        <vt:lpwstr>https://ghgprotocol.org/corporate-standard</vt:lpwstr>
      </vt:variant>
      <vt:variant>
        <vt:lpwstr/>
      </vt:variant>
      <vt:variant>
        <vt:i4>6488124</vt:i4>
      </vt:variant>
      <vt:variant>
        <vt:i4>1155</vt:i4>
      </vt:variant>
      <vt:variant>
        <vt:i4>0</vt:i4>
      </vt:variant>
      <vt:variant>
        <vt:i4>5</vt:i4>
      </vt:variant>
      <vt:variant>
        <vt:lpwstr>https://www.iso.org/standard/66453.html</vt:lpwstr>
      </vt:variant>
      <vt:variant>
        <vt:lpwstr/>
      </vt:variant>
      <vt:variant>
        <vt:i4>327724</vt:i4>
      </vt:variant>
      <vt:variant>
        <vt:i4>1152</vt:i4>
      </vt:variant>
      <vt:variant>
        <vt:i4>0</vt:i4>
      </vt:variant>
      <vt:variant>
        <vt:i4>5</vt:i4>
      </vt:variant>
      <vt:variant>
        <vt:lpwstr/>
      </vt:variant>
      <vt:variant>
        <vt:lpwstr>_Producing_a_GHG</vt:lpwstr>
      </vt:variant>
      <vt:variant>
        <vt:i4>3276811</vt:i4>
      </vt:variant>
      <vt:variant>
        <vt:i4>1149</vt:i4>
      </vt:variant>
      <vt:variant>
        <vt:i4>0</vt:i4>
      </vt:variant>
      <vt:variant>
        <vt:i4>5</vt:i4>
      </vt:variant>
      <vt:variant>
        <vt:lpwstr/>
      </vt:variant>
      <vt:variant>
        <vt:lpwstr>_Step-by-step_inventory_preparation</vt:lpwstr>
      </vt:variant>
      <vt:variant>
        <vt:i4>131174</vt:i4>
      </vt:variant>
      <vt:variant>
        <vt:i4>1146</vt:i4>
      </vt:variant>
      <vt:variant>
        <vt:i4>0</vt:i4>
      </vt:variant>
      <vt:variant>
        <vt:i4>5</vt:i4>
      </vt:variant>
      <vt:variant>
        <vt:lpwstr>https://environment.govt.nz/assets/publications/Measuring-Emissions-2023/0a4a8dcdd9/Measuring-Emissions-Guidance_EmissionFactors_Workbook_2023.xlsx</vt:lpwstr>
      </vt:variant>
      <vt:variant>
        <vt:lpwstr/>
      </vt:variant>
      <vt:variant>
        <vt:i4>1179679</vt:i4>
      </vt:variant>
      <vt:variant>
        <vt:i4>1143</vt:i4>
      </vt:variant>
      <vt:variant>
        <vt:i4>0</vt:i4>
      </vt:variant>
      <vt:variant>
        <vt:i4>5</vt:i4>
      </vt:variant>
      <vt:variant>
        <vt:lpwstr>https://environment.govt.nz/publications/measuring-emissions-a-guide-for-organisations-2023-summary-of-emission-factors/</vt:lpwstr>
      </vt:variant>
      <vt:variant>
        <vt:lpwstr/>
      </vt:variant>
      <vt:variant>
        <vt:i4>4063295</vt:i4>
      </vt:variant>
      <vt:variant>
        <vt:i4>1140</vt:i4>
      </vt:variant>
      <vt:variant>
        <vt:i4>0</vt:i4>
      </vt:variant>
      <vt:variant>
        <vt:i4>5</vt:i4>
      </vt:variant>
      <vt:variant>
        <vt:lpwstr>https://ghgprotocol.org/corporate-standard</vt:lpwstr>
      </vt:variant>
      <vt:variant>
        <vt:lpwstr/>
      </vt:variant>
      <vt:variant>
        <vt:i4>196626</vt:i4>
      </vt:variant>
      <vt:variant>
        <vt:i4>1137</vt:i4>
      </vt:variant>
      <vt:variant>
        <vt:i4>0</vt:i4>
      </vt:variant>
      <vt:variant>
        <vt:i4>5</vt:i4>
      </vt:variant>
      <vt:variant>
        <vt:lpwstr>https://environment.govt.nz/assets/Publications/Files/example-ghg-report.pdf</vt:lpwstr>
      </vt:variant>
      <vt:variant>
        <vt:lpwstr/>
      </vt:variant>
      <vt:variant>
        <vt:i4>4063295</vt:i4>
      </vt:variant>
      <vt:variant>
        <vt:i4>1134</vt:i4>
      </vt:variant>
      <vt:variant>
        <vt:i4>0</vt:i4>
      </vt:variant>
      <vt:variant>
        <vt:i4>5</vt:i4>
      </vt:variant>
      <vt:variant>
        <vt:lpwstr>https://ghgprotocol.org/corporate-standard</vt:lpwstr>
      </vt:variant>
      <vt:variant>
        <vt:lpwstr/>
      </vt:variant>
      <vt:variant>
        <vt:i4>6488124</vt:i4>
      </vt:variant>
      <vt:variant>
        <vt:i4>1131</vt:i4>
      </vt:variant>
      <vt:variant>
        <vt:i4>0</vt:i4>
      </vt:variant>
      <vt:variant>
        <vt:i4>5</vt:i4>
      </vt:variant>
      <vt:variant>
        <vt:lpwstr>https://www.iso.org/standard/66453.html</vt:lpwstr>
      </vt:variant>
      <vt:variant>
        <vt:lpwstr/>
      </vt:variant>
      <vt:variant>
        <vt:i4>7077961</vt:i4>
      </vt:variant>
      <vt:variant>
        <vt:i4>1128</vt:i4>
      </vt:variant>
      <vt:variant>
        <vt:i4>0</vt:i4>
      </vt:variant>
      <vt:variant>
        <vt:i4>5</vt:i4>
      </vt:variant>
      <vt:variant>
        <vt:lpwstr>https://environment.govt.nz/assets/publications/Measuring-Emissions-2023/3bffeb2623/Measuring-Emissions-Guidance_EmissionFactors_InteractiveWorkbook_2023.xlsx</vt:lpwstr>
      </vt:variant>
      <vt:variant>
        <vt:lpwstr/>
      </vt:variant>
      <vt:variant>
        <vt:i4>6488124</vt:i4>
      </vt:variant>
      <vt:variant>
        <vt:i4>1122</vt:i4>
      </vt:variant>
      <vt:variant>
        <vt:i4>0</vt:i4>
      </vt:variant>
      <vt:variant>
        <vt:i4>5</vt:i4>
      </vt:variant>
      <vt:variant>
        <vt:lpwstr>https://www.iso.org/standard/66453.html</vt:lpwstr>
      </vt:variant>
      <vt:variant>
        <vt:lpwstr/>
      </vt:variant>
      <vt:variant>
        <vt:i4>2687096</vt:i4>
      </vt:variant>
      <vt:variant>
        <vt:i4>1119</vt:i4>
      </vt:variant>
      <vt:variant>
        <vt:i4>0</vt:i4>
      </vt:variant>
      <vt:variant>
        <vt:i4>5</vt:i4>
      </vt:variant>
      <vt:variant>
        <vt:lpwstr>https://ghgprotocol.org/standards/scope-3-standard</vt:lpwstr>
      </vt:variant>
      <vt:variant>
        <vt:lpwstr/>
      </vt:variant>
      <vt:variant>
        <vt:i4>6488124</vt:i4>
      </vt:variant>
      <vt:variant>
        <vt:i4>1116</vt:i4>
      </vt:variant>
      <vt:variant>
        <vt:i4>0</vt:i4>
      </vt:variant>
      <vt:variant>
        <vt:i4>5</vt:i4>
      </vt:variant>
      <vt:variant>
        <vt:lpwstr>https://www.iso.org/standard/66453.html</vt:lpwstr>
      </vt:variant>
      <vt:variant>
        <vt:lpwstr/>
      </vt:variant>
      <vt:variant>
        <vt:i4>6488124</vt:i4>
      </vt:variant>
      <vt:variant>
        <vt:i4>1113</vt:i4>
      </vt:variant>
      <vt:variant>
        <vt:i4>0</vt:i4>
      </vt:variant>
      <vt:variant>
        <vt:i4>5</vt:i4>
      </vt:variant>
      <vt:variant>
        <vt:lpwstr>https://www.iso.org/standard/66453.html</vt:lpwstr>
      </vt:variant>
      <vt:variant>
        <vt:lpwstr/>
      </vt:variant>
      <vt:variant>
        <vt:i4>4063295</vt:i4>
      </vt:variant>
      <vt:variant>
        <vt:i4>1110</vt:i4>
      </vt:variant>
      <vt:variant>
        <vt:i4>0</vt:i4>
      </vt:variant>
      <vt:variant>
        <vt:i4>5</vt:i4>
      </vt:variant>
      <vt:variant>
        <vt:lpwstr>https://ghgprotocol.org/corporate-standard</vt:lpwstr>
      </vt:variant>
      <vt:variant>
        <vt:lpwstr/>
      </vt:variant>
      <vt:variant>
        <vt:i4>3670118</vt:i4>
      </vt:variant>
      <vt:variant>
        <vt:i4>1107</vt:i4>
      </vt:variant>
      <vt:variant>
        <vt:i4>0</vt:i4>
      </vt:variant>
      <vt:variant>
        <vt:i4>5</vt:i4>
      </vt:variant>
      <vt:variant>
        <vt:lpwstr>https://ghgprotocol.org/corporate-value-chain-scope-3-standard</vt:lpwstr>
      </vt:variant>
      <vt:variant>
        <vt:lpwstr/>
      </vt:variant>
      <vt:variant>
        <vt:i4>4063295</vt:i4>
      </vt:variant>
      <vt:variant>
        <vt:i4>1104</vt:i4>
      </vt:variant>
      <vt:variant>
        <vt:i4>0</vt:i4>
      </vt:variant>
      <vt:variant>
        <vt:i4>5</vt:i4>
      </vt:variant>
      <vt:variant>
        <vt:lpwstr>https://ghgprotocol.org/corporate-standard</vt:lpwstr>
      </vt:variant>
      <vt:variant>
        <vt:lpwstr/>
      </vt:variant>
      <vt:variant>
        <vt:i4>6488124</vt:i4>
      </vt:variant>
      <vt:variant>
        <vt:i4>1101</vt:i4>
      </vt:variant>
      <vt:variant>
        <vt:i4>0</vt:i4>
      </vt:variant>
      <vt:variant>
        <vt:i4>5</vt:i4>
      </vt:variant>
      <vt:variant>
        <vt:lpwstr>https://www.iso.org/standard/66453.html</vt:lpwstr>
      </vt:variant>
      <vt:variant>
        <vt:lpwstr/>
      </vt:variant>
      <vt:variant>
        <vt:i4>4063295</vt:i4>
      </vt:variant>
      <vt:variant>
        <vt:i4>1098</vt:i4>
      </vt:variant>
      <vt:variant>
        <vt:i4>0</vt:i4>
      </vt:variant>
      <vt:variant>
        <vt:i4>5</vt:i4>
      </vt:variant>
      <vt:variant>
        <vt:lpwstr>https://ghgprotocol.org/corporate-standard</vt:lpwstr>
      </vt:variant>
      <vt:variant>
        <vt:lpwstr/>
      </vt:variant>
      <vt:variant>
        <vt:i4>6488124</vt:i4>
      </vt:variant>
      <vt:variant>
        <vt:i4>1095</vt:i4>
      </vt:variant>
      <vt:variant>
        <vt:i4>0</vt:i4>
      </vt:variant>
      <vt:variant>
        <vt:i4>5</vt:i4>
      </vt:variant>
      <vt:variant>
        <vt:lpwstr>https://www.iso.org/standard/66453.html</vt:lpwstr>
      </vt:variant>
      <vt:variant>
        <vt:lpwstr/>
      </vt:variant>
      <vt:variant>
        <vt:i4>3604528</vt:i4>
      </vt:variant>
      <vt:variant>
        <vt:i4>1092</vt:i4>
      </vt:variant>
      <vt:variant>
        <vt:i4>0</vt:i4>
      </vt:variant>
      <vt:variant>
        <vt:i4>5</vt:i4>
      </vt:variant>
      <vt:variant>
        <vt:lpwstr>http://www.ipcc-nggip.iges.or.jp/public/2006gl/</vt:lpwstr>
      </vt:variant>
      <vt:variant>
        <vt:lpwstr/>
      </vt:variant>
      <vt:variant>
        <vt:i4>4063295</vt:i4>
      </vt:variant>
      <vt:variant>
        <vt:i4>1089</vt:i4>
      </vt:variant>
      <vt:variant>
        <vt:i4>0</vt:i4>
      </vt:variant>
      <vt:variant>
        <vt:i4>5</vt:i4>
      </vt:variant>
      <vt:variant>
        <vt:lpwstr>https://ghgprotocol.org/corporate-standard</vt:lpwstr>
      </vt:variant>
      <vt:variant>
        <vt:lpwstr/>
      </vt:variant>
      <vt:variant>
        <vt:i4>6488124</vt:i4>
      </vt:variant>
      <vt:variant>
        <vt:i4>1086</vt:i4>
      </vt:variant>
      <vt:variant>
        <vt:i4>0</vt:i4>
      </vt:variant>
      <vt:variant>
        <vt:i4>5</vt:i4>
      </vt:variant>
      <vt:variant>
        <vt:lpwstr>https://www.iso.org/standard/66453.html</vt:lpwstr>
      </vt:variant>
      <vt:variant>
        <vt:lpwstr/>
      </vt:variant>
      <vt:variant>
        <vt:i4>3801203</vt:i4>
      </vt:variant>
      <vt:variant>
        <vt:i4>1080</vt:i4>
      </vt:variant>
      <vt:variant>
        <vt:i4>0</vt:i4>
      </vt:variant>
      <vt:variant>
        <vt:i4>5</vt:i4>
      </vt:variant>
      <vt:variant>
        <vt:lpwstr/>
      </vt:variant>
      <vt:variant>
        <vt:lpwstr>table7</vt:lpwstr>
      </vt:variant>
      <vt:variant>
        <vt:i4>3997753</vt:i4>
      </vt:variant>
      <vt:variant>
        <vt:i4>1077</vt:i4>
      </vt:variant>
      <vt:variant>
        <vt:i4>0</vt:i4>
      </vt:variant>
      <vt:variant>
        <vt:i4>5</vt:i4>
      </vt:variant>
      <vt:variant>
        <vt:lpwstr>https://laqm.defra.gov.uk/air-quality/air-quality-assessment/emissions-factors-toolkit/</vt:lpwstr>
      </vt:variant>
      <vt:variant>
        <vt:lpwstr/>
      </vt:variant>
      <vt:variant>
        <vt:i4>4325404</vt:i4>
      </vt:variant>
      <vt:variant>
        <vt:i4>1074</vt:i4>
      </vt:variant>
      <vt:variant>
        <vt:i4>0</vt:i4>
      </vt:variant>
      <vt:variant>
        <vt:i4>5</vt:i4>
      </vt:variant>
      <vt:variant>
        <vt:lpwstr>https://naei.beis.gov.uk/data/ef-all</vt:lpwstr>
      </vt:variant>
      <vt:variant>
        <vt:lpwstr/>
      </vt:variant>
      <vt:variant>
        <vt:i4>4063232</vt:i4>
      </vt:variant>
      <vt:variant>
        <vt:i4>1071</vt:i4>
      </vt:variant>
      <vt:variant>
        <vt:i4>0</vt:i4>
      </vt:variant>
      <vt:variant>
        <vt:i4>5</vt:i4>
      </vt:variant>
      <vt:variant>
        <vt:lpwstr/>
      </vt:variant>
      <vt:variant>
        <vt:lpwstr>_A__</vt:lpwstr>
      </vt:variant>
      <vt:variant>
        <vt:i4>1310793</vt:i4>
      </vt:variant>
      <vt:variant>
        <vt:i4>1068</vt:i4>
      </vt:variant>
      <vt:variant>
        <vt:i4>0</vt:i4>
      </vt:variant>
      <vt:variant>
        <vt:i4>5</vt:i4>
      </vt:variant>
      <vt:variant>
        <vt:lpwstr>https://ghgprotocol.org/greenhouse-gas-protocol-accounting-reporting-standard-cities</vt:lpwstr>
      </vt:variant>
      <vt:variant>
        <vt:lpwstr/>
      </vt:variant>
      <vt:variant>
        <vt:i4>3997732</vt:i4>
      </vt:variant>
      <vt:variant>
        <vt:i4>1065</vt:i4>
      </vt:variant>
      <vt:variant>
        <vt:i4>0</vt:i4>
      </vt:variant>
      <vt:variant>
        <vt:i4>5</vt:i4>
      </vt:variant>
      <vt:variant>
        <vt:lpwstr>https://environment.govt.nz/publications/interim-guidance-for-voluntary-climate-change-mitigation/</vt:lpwstr>
      </vt:variant>
      <vt:variant>
        <vt:lpwstr/>
      </vt:variant>
      <vt:variant>
        <vt:i4>2293878</vt:i4>
      </vt:variant>
      <vt:variant>
        <vt:i4>1062</vt:i4>
      </vt:variant>
      <vt:variant>
        <vt:i4>0</vt:i4>
      </vt:variant>
      <vt:variant>
        <vt:i4>5</vt:i4>
      </vt:variant>
      <vt:variant>
        <vt:lpwstr>https://environment.govt.nz/what-government-is-doing/areas-of-work/climate-change/emissions-reduction-plan/</vt:lpwstr>
      </vt:variant>
      <vt:variant>
        <vt:lpwstr/>
      </vt:variant>
      <vt:variant>
        <vt:i4>2424879</vt:i4>
      </vt:variant>
      <vt:variant>
        <vt:i4>1059</vt:i4>
      </vt:variant>
      <vt:variant>
        <vt:i4>0</vt:i4>
      </vt:variant>
      <vt:variant>
        <vt:i4>5</vt:i4>
      </vt:variant>
      <vt:variant>
        <vt:lpwstr>https://lcanz.org.nz/lca-guidance/lca-resources/</vt:lpwstr>
      </vt:variant>
      <vt:variant>
        <vt:lpwstr>LCI</vt:lpwstr>
      </vt:variant>
      <vt:variant>
        <vt:i4>1769571</vt:i4>
      </vt:variant>
      <vt:variant>
        <vt:i4>1056</vt:i4>
      </vt:variant>
      <vt:variant>
        <vt:i4>0</vt:i4>
      </vt:variant>
      <vt:variant>
        <vt:i4>5</vt:i4>
      </vt:variant>
      <vt:variant>
        <vt:lpwstr>mailto:cngp@mfe.govt.nz</vt:lpwstr>
      </vt:variant>
      <vt:variant>
        <vt:lpwstr/>
      </vt:variant>
      <vt:variant>
        <vt:i4>262147</vt:i4>
      </vt:variant>
      <vt:variant>
        <vt:i4>1053</vt:i4>
      </vt:variant>
      <vt:variant>
        <vt:i4>0</vt:i4>
      </vt:variant>
      <vt:variant>
        <vt:i4>5</vt:i4>
      </vt:variant>
      <vt:variant>
        <vt:lpwstr>https://www.xrb.govt.nz/dmsdocument/4844</vt:lpwstr>
      </vt:variant>
      <vt:variant>
        <vt:lpwstr/>
      </vt:variant>
      <vt:variant>
        <vt:i4>5701650</vt:i4>
      </vt:variant>
      <vt:variant>
        <vt:i4>1050</vt:i4>
      </vt:variant>
      <vt:variant>
        <vt:i4>0</vt:i4>
      </vt:variant>
      <vt:variant>
        <vt:i4>5</vt:i4>
      </vt:variant>
      <vt:variant>
        <vt:lpwstr>https://www.xrb.govt.nz/standards/climate-related-disclosures/aotearoa-new-zealand-climate-standards/</vt:lpwstr>
      </vt:variant>
      <vt:variant>
        <vt:lpwstr/>
      </vt:variant>
      <vt:variant>
        <vt:i4>5701650</vt:i4>
      </vt:variant>
      <vt:variant>
        <vt:i4>1047</vt:i4>
      </vt:variant>
      <vt:variant>
        <vt:i4>0</vt:i4>
      </vt:variant>
      <vt:variant>
        <vt:i4>5</vt:i4>
      </vt:variant>
      <vt:variant>
        <vt:lpwstr>https://www.xrb.govt.nz/standards/climate-related-disclosures/aotearoa-new-zealand-climate-standards/</vt:lpwstr>
      </vt:variant>
      <vt:variant>
        <vt:lpwstr/>
      </vt:variant>
      <vt:variant>
        <vt:i4>2555922</vt:i4>
      </vt:variant>
      <vt:variant>
        <vt:i4>1044</vt:i4>
      </vt:variant>
      <vt:variant>
        <vt:i4>0</vt:i4>
      </vt:variant>
      <vt:variant>
        <vt:i4>5</vt:i4>
      </vt:variant>
      <vt:variant>
        <vt:lpwstr>mailto:emissions-guide@mfe.govt.nz</vt:lpwstr>
      </vt:variant>
      <vt:variant>
        <vt:lpwstr/>
      </vt:variant>
      <vt:variant>
        <vt:i4>917581</vt:i4>
      </vt:variant>
      <vt:variant>
        <vt:i4>1038</vt:i4>
      </vt:variant>
      <vt:variant>
        <vt:i4>0</vt:i4>
      </vt:variant>
      <vt:variant>
        <vt:i4>5</vt:i4>
      </vt:variant>
      <vt:variant>
        <vt:lpwstr>https://environment.govt.nz/publications/new-zealands-greenhouse-gas-inventory-1990-2021/</vt:lpwstr>
      </vt:variant>
      <vt:variant>
        <vt:lpwstr/>
      </vt:variant>
      <vt:variant>
        <vt:i4>917581</vt:i4>
      </vt:variant>
      <vt:variant>
        <vt:i4>1035</vt:i4>
      </vt:variant>
      <vt:variant>
        <vt:i4>0</vt:i4>
      </vt:variant>
      <vt:variant>
        <vt:i4>5</vt:i4>
      </vt:variant>
      <vt:variant>
        <vt:lpwstr>https://environment.govt.nz/publications/new-zealands-greenhouse-gas-inventory-1990-2021/</vt:lpwstr>
      </vt:variant>
      <vt:variant>
        <vt:lpwstr/>
      </vt:variant>
      <vt:variant>
        <vt:i4>131174</vt:i4>
      </vt:variant>
      <vt:variant>
        <vt:i4>1032</vt:i4>
      </vt:variant>
      <vt:variant>
        <vt:i4>0</vt:i4>
      </vt:variant>
      <vt:variant>
        <vt:i4>5</vt:i4>
      </vt:variant>
      <vt:variant>
        <vt:lpwstr>https://environment.govt.nz/assets/publications/Measuring-Emissions-2023/0a4a8dcdd9/Measuring-Emissions-Guidance_EmissionFactors_Workbook_2023.xlsx</vt:lpwstr>
      </vt:variant>
      <vt:variant>
        <vt:lpwstr/>
      </vt:variant>
      <vt:variant>
        <vt:i4>4128770</vt:i4>
      </vt:variant>
      <vt:variant>
        <vt:i4>1029</vt:i4>
      </vt:variant>
      <vt:variant>
        <vt:i4>0</vt:i4>
      </vt:variant>
      <vt:variant>
        <vt:i4>5</vt:i4>
      </vt:variant>
      <vt:variant>
        <vt:lpwstr/>
      </vt:variant>
      <vt:variant>
        <vt:lpwstr>_How_to_quantify</vt:lpwstr>
      </vt:variant>
      <vt:variant>
        <vt:i4>1638474</vt:i4>
      </vt:variant>
      <vt:variant>
        <vt:i4>1026</vt:i4>
      </vt:variant>
      <vt:variant>
        <vt:i4>0</vt:i4>
      </vt:variant>
      <vt:variant>
        <vt:i4>5</vt:i4>
      </vt:variant>
      <vt:variant>
        <vt:lpwstr/>
      </vt:variant>
      <vt:variant>
        <vt:lpwstr>_Standards_to_follow_1</vt:lpwstr>
      </vt:variant>
      <vt:variant>
        <vt:i4>6488124</vt:i4>
      </vt:variant>
      <vt:variant>
        <vt:i4>1023</vt:i4>
      </vt:variant>
      <vt:variant>
        <vt:i4>0</vt:i4>
      </vt:variant>
      <vt:variant>
        <vt:i4>5</vt:i4>
      </vt:variant>
      <vt:variant>
        <vt:lpwstr>https://www.iso.org/standard/66453.html</vt:lpwstr>
      </vt:variant>
      <vt:variant>
        <vt:lpwstr/>
      </vt:variant>
      <vt:variant>
        <vt:i4>4063295</vt:i4>
      </vt:variant>
      <vt:variant>
        <vt:i4>1020</vt:i4>
      </vt:variant>
      <vt:variant>
        <vt:i4>0</vt:i4>
      </vt:variant>
      <vt:variant>
        <vt:i4>5</vt:i4>
      </vt:variant>
      <vt:variant>
        <vt:lpwstr>https://ghgprotocol.org/corporate-standard</vt:lpwstr>
      </vt:variant>
      <vt:variant>
        <vt:lpwstr/>
      </vt:variant>
      <vt:variant>
        <vt:i4>1507346</vt:i4>
      </vt:variant>
      <vt:variant>
        <vt:i4>1017</vt:i4>
      </vt:variant>
      <vt:variant>
        <vt:i4>0</vt:i4>
      </vt:variant>
      <vt:variant>
        <vt:i4>5</vt:i4>
      </vt:variant>
      <vt:variant>
        <vt:lpwstr/>
      </vt:variant>
      <vt:variant>
        <vt:lpwstr>_Important_notes</vt:lpwstr>
      </vt:variant>
      <vt:variant>
        <vt:i4>4063232</vt:i4>
      </vt:variant>
      <vt:variant>
        <vt:i4>1014</vt:i4>
      </vt:variant>
      <vt:variant>
        <vt:i4>0</vt:i4>
      </vt:variant>
      <vt:variant>
        <vt:i4>5</vt:i4>
      </vt:variant>
      <vt:variant>
        <vt:lpwstr/>
      </vt:variant>
      <vt:variant>
        <vt:lpwstr>_A__</vt:lpwstr>
      </vt:variant>
      <vt:variant>
        <vt:i4>3997806</vt:i4>
      </vt:variant>
      <vt:variant>
        <vt:i4>1011</vt:i4>
      </vt:variant>
      <vt:variant>
        <vt:i4>0</vt:i4>
      </vt:variant>
      <vt:variant>
        <vt:i4>5</vt:i4>
      </vt:variant>
      <vt:variant>
        <vt:lpwstr>https://www.knowledgeauckland.org.nz/publications/consumption-emissions-modelling/</vt:lpwstr>
      </vt:variant>
      <vt:variant>
        <vt:lpwstr/>
      </vt:variant>
      <vt:variant>
        <vt:i4>917581</vt:i4>
      </vt:variant>
      <vt:variant>
        <vt:i4>1008</vt:i4>
      </vt:variant>
      <vt:variant>
        <vt:i4>0</vt:i4>
      </vt:variant>
      <vt:variant>
        <vt:i4>5</vt:i4>
      </vt:variant>
      <vt:variant>
        <vt:lpwstr>https://environment.govt.nz/publications/new-zealands-greenhouse-gas-inventory-1990-2021/</vt:lpwstr>
      </vt:variant>
      <vt:variant>
        <vt:lpwstr/>
      </vt:variant>
      <vt:variant>
        <vt:i4>917581</vt:i4>
      </vt:variant>
      <vt:variant>
        <vt:i4>1005</vt:i4>
      </vt:variant>
      <vt:variant>
        <vt:i4>0</vt:i4>
      </vt:variant>
      <vt:variant>
        <vt:i4>5</vt:i4>
      </vt:variant>
      <vt:variant>
        <vt:lpwstr>https://environment.govt.nz/publications/new-zealands-greenhouse-gas-inventory-1990-2021/</vt:lpwstr>
      </vt:variant>
      <vt:variant>
        <vt:lpwstr/>
      </vt:variant>
      <vt:variant>
        <vt:i4>2752637</vt:i4>
      </vt:variant>
      <vt:variant>
        <vt:i4>1002</vt:i4>
      </vt:variant>
      <vt:variant>
        <vt:i4>0</vt:i4>
      </vt:variant>
      <vt:variant>
        <vt:i4>5</vt:i4>
      </vt:variant>
      <vt:variant>
        <vt:lpwstr>https://environment.govt.nz/site-search/?keyword=guidance%20for%20voluntary%20greenhouse%20gas%20reporting</vt:lpwstr>
      </vt:variant>
      <vt:variant>
        <vt:lpwstr/>
      </vt:variant>
      <vt:variant>
        <vt:i4>1179707</vt:i4>
      </vt:variant>
      <vt:variant>
        <vt:i4>995</vt:i4>
      </vt:variant>
      <vt:variant>
        <vt:i4>0</vt:i4>
      </vt:variant>
      <vt:variant>
        <vt:i4>5</vt:i4>
      </vt:variant>
      <vt:variant>
        <vt:lpwstr/>
      </vt:variant>
      <vt:variant>
        <vt:lpwstr>_Toc140032932</vt:lpwstr>
      </vt:variant>
      <vt:variant>
        <vt:i4>1966133</vt:i4>
      </vt:variant>
      <vt:variant>
        <vt:i4>986</vt:i4>
      </vt:variant>
      <vt:variant>
        <vt:i4>0</vt:i4>
      </vt:variant>
      <vt:variant>
        <vt:i4>5</vt:i4>
      </vt:variant>
      <vt:variant>
        <vt:lpwstr/>
      </vt:variant>
      <vt:variant>
        <vt:lpwstr>_Toc140049040</vt:lpwstr>
      </vt:variant>
      <vt:variant>
        <vt:i4>1638453</vt:i4>
      </vt:variant>
      <vt:variant>
        <vt:i4>980</vt:i4>
      </vt:variant>
      <vt:variant>
        <vt:i4>0</vt:i4>
      </vt:variant>
      <vt:variant>
        <vt:i4>5</vt:i4>
      </vt:variant>
      <vt:variant>
        <vt:lpwstr/>
      </vt:variant>
      <vt:variant>
        <vt:lpwstr>_Toc140049039</vt:lpwstr>
      </vt:variant>
      <vt:variant>
        <vt:i4>1638453</vt:i4>
      </vt:variant>
      <vt:variant>
        <vt:i4>974</vt:i4>
      </vt:variant>
      <vt:variant>
        <vt:i4>0</vt:i4>
      </vt:variant>
      <vt:variant>
        <vt:i4>5</vt:i4>
      </vt:variant>
      <vt:variant>
        <vt:lpwstr/>
      </vt:variant>
      <vt:variant>
        <vt:lpwstr>_Toc140049038</vt:lpwstr>
      </vt:variant>
      <vt:variant>
        <vt:i4>1638453</vt:i4>
      </vt:variant>
      <vt:variant>
        <vt:i4>968</vt:i4>
      </vt:variant>
      <vt:variant>
        <vt:i4>0</vt:i4>
      </vt:variant>
      <vt:variant>
        <vt:i4>5</vt:i4>
      </vt:variant>
      <vt:variant>
        <vt:lpwstr/>
      </vt:variant>
      <vt:variant>
        <vt:lpwstr>_Toc140049037</vt:lpwstr>
      </vt:variant>
      <vt:variant>
        <vt:i4>1638453</vt:i4>
      </vt:variant>
      <vt:variant>
        <vt:i4>962</vt:i4>
      </vt:variant>
      <vt:variant>
        <vt:i4>0</vt:i4>
      </vt:variant>
      <vt:variant>
        <vt:i4>5</vt:i4>
      </vt:variant>
      <vt:variant>
        <vt:lpwstr/>
      </vt:variant>
      <vt:variant>
        <vt:lpwstr>_Toc140049036</vt:lpwstr>
      </vt:variant>
      <vt:variant>
        <vt:i4>1638453</vt:i4>
      </vt:variant>
      <vt:variant>
        <vt:i4>956</vt:i4>
      </vt:variant>
      <vt:variant>
        <vt:i4>0</vt:i4>
      </vt:variant>
      <vt:variant>
        <vt:i4>5</vt:i4>
      </vt:variant>
      <vt:variant>
        <vt:lpwstr/>
      </vt:variant>
      <vt:variant>
        <vt:lpwstr>_Toc140049035</vt:lpwstr>
      </vt:variant>
      <vt:variant>
        <vt:i4>1638453</vt:i4>
      </vt:variant>
      <vt:variant>
        <vt:i4>950</vt:i4>
      </vt:variant>
      <vt:variant>
        <vt:i4>0</vt:i4>
      </vt:variant>
      <vt:variant>
        <vt:i4>5</vt:i4>
      </vt:variant>
      <vt:variant>
        <vt:lpwstr/>
      </vt:variant>
      <vt:variant>
        <vt:lpwstr>_Toc140049034</vt:lpwstr>
      </vt:variant>
      <vt:variant>
        <vt:i4>1638453</vt:i4>
      </vt:variant>
      <vt:variant>
        <vt:i4>944</vt:i4>
      </vt:variant>
      <vt:variant>
        <vt:i4>0</vt:i4>
      </vt:variant>
      <vt:variant>
        <vt:i4>5</vt:i4>
      </vt:variant>
      <vt:variant>
        <vt:lpwstr/>
      </vt:variant>
      <vt:variant>
        <vt:lpwstr>_Toc140049033</vt:lpwstr>
      </vt:variant>
      <vt:variant>
        <vt:i4>1638453</vt:i4>
      </vt:variant>
      <vt:variant>
        <vt:i4>938</vt:i4>
      </vt:variant>
      <vt:variant>
        <vt:i4>0</vt:i4>
      </vt:variant>
      <vt:variant>
        <vt:i4>5</vt:i4>
      </vt:variant>
      <vt:variant>
        <vt:lpwstr/>
      </vt:variant>
      <vt:variant>
        <vt:lpwstr>_Toc140049032</vt:lpwstr>
      </vt:variant>
      <vt:variant>
        <vt:i4>1638453</vt:i4>
      </vt:variant>
      <vt:variant>
        <vt:i4>932</vt:i4>
      </vt:variant>
      <vt:variant>
        <vt:i4>0</vt:i4>
      </vt:variant>
      <vt:variant>
        <vt:i4>5</vt:i4>
      </vt:variant>
      <vt:variant>
        <vt:lpwstr/>
      </vt:variant>
      <vt:variant>
        <vt:lpwstr>_Toc140049031</vt:lpwstr>
      </vt:variant>
      <vt:variant>
        <vt:i4>1638453</vt:i4>
      </vt:variant>
      <vt:variant>
        <vt:i4>926</vt:i4>
      </vt:variant>
      <vt:variant>
        <vt:i4>0</vt:i4>
      </vt:variant>
      <vt:variant>
        <vt:i4>5</vt:i4>
      </vt:variant>
      <vt:variant>
        <vt:lpwstr/>
      </vt:variant>
      <vt:variant>
        <vt:lpwstr>_Toc140049030</vt:lpwstr>
      </vt:variant>
      <vt:variant>
        <vt:i4>1572917</vt:i4>
      </vt:variant>
      <vt:variant>
        <vt:i4>920</vt:i4>
      </vt:variant>
      <vt:variant>
        <vt:i4>0</vt:i4>
      </vt:variant>
      <vt:variant>
        <vt:i4>5</vt:i4>
      </vt:variant>
      <vt:variant>
        <vt:lpwstr/>
      </vt:variant>
      <vt:variant>
        <vt:lpwstr>_Toc140049029</vt:lpwstr>
      </vt:variant>
      <vt:variant>
        <vt:i4>1572917</vt:i4>
      </vt:variant>
      <vt:variant>
        <vt:i4>914</vt:i4>
      </vt:variant>
      <vt:variant>
        <vt:i4>0</vt:i4>
      </vt:variant>
      <vt:variant>
        <vt:i4>5</vt:i4>
      </vt:variant>
      <vt:variant>
        <vt:lpwstr/>
      </vt:variant>
      <vt:variant>
        <vt:lpwstr>_Toc140049028</vt:lpwstr>
      </vt:variant>
      <vt:variant>
        <vt:i4>1572917</vt:i4>
      </vt:variant>
      <vt:variant>
        <vt:i4>908</vt:i4>
      </vt:variant>
      <vt:variant>
        <vt:i4>0</vt:i4>
      </vt:variant>
      <vt:variant>
        <vt:i4>5</vt:i4>
      </vt:variant>
      <vt:variant>
        <vt:lpwstr/>
      </vt:variant>
      <vt:variant>
        <vt:lpwstr>_Toc140049027</vt:lpwstr>
      </vt:variant>
      <vt:variant>
        <vt:i4>1572917</vt:i4>
      </vt:variant>
      <vt:variant>
        <vt:i4>902</vt:i4>
      </vt:variant>
      <vt:variant>
        <vt:i4>0</vt:i4>
      </vt:variant>
      <vt:variant>
        <vt:i4>5</vt:i4>
      </vt:variant>
      <vt:variant>
        <vt:lpwstr/>
      </vt:variant>
      <vt:variant>
        <vt:lpwstr>_Toc140049026</vt:lpwstr>
      </vt:variant>
      <vt:variant>
        <vt:i4>1572917</vt:i4>
      </vt:variant>
      <vt:variant>
        <vt:i4>896</vt:i4>
      </vt:variant>
      <vt:variant>
        <vt:i4>0</vt:i4>
      </vt:variant>
      <vt:variant>
        <vt:i4>5</vt:i4>
      </vt:variant>
      <vt:variant>
        <vt:lpwstr/>
      </vt:variant>
      <vt:variant>
        <vt:lpwstr>_Toc140049025</vt:lpwstr>
      </vt:variant>
      <vt:variant>
        <vt:i4>1572917</vt:i4>
      </vt:variant>
      <vt:variant>
        <vt:i4>890</vt:i4>
      </vt:variant>
      <vt:variant>
        <vt:i4>0</vt:i4>
      </vt:variant>
      <vt:variant>
        <vt:i4>5</vt:i4>
      </vt:variant>
      <vt:variant>
        <vt:lpwstr/>
      </vt:variant>
      <vt:variant>
        <vt:lpwstr>_Toc140049024</vt:lpwstr>
      </vt:variant>
      <vt:variant>
        <vt:i4>1572917</vt:i4>
      </vt:variant>
      <vt:variant>
        <vt:i4>884</vt:i4>
      </vt:variant>
      <vt:variant>
        <vt:i4>0</vt:i4>
      </vt:variant>
      <vt:variant>
        <vt:i4>5</vt:i4>
      </vt:variant>
      <vt:variant>
        <vt:lpwstr/>
      </vt:variant>
      <vt:variant>
        <vt:lpwstr>_Toc140049023</vt:lpwstr>
      </vt:variant>
      <vt:variant>
        <vt:i4>1572917</vt:i4>
      </vt:variant>
      <vt:variant>
        <vt:i4>878</vt:i4>
      </vt:variant>
      <vt:variant>
        <vt:i4>0</vt:i4>
      </vt:variant>
      <vt:variant>
        <vt:i4>5</vt:i4>
      </vt:variant>
      <vt:variant>
        <vt:lpwstr/>
      </vt:variant>
      <vt:variant>
        <vt:lpwstr>_Toc140049022</vt:lpwstr>
      </vt:variant>
      <vt:variant>
        <vt:i4>1572917</vt:i4>
      </vt:variant>
      <vt:variant>
        <vt:i4>872</vt:i4>
      </vt:variant>
      <vt:variant>
        <vt:i4>0</vt:i4>
      </vt:variant>
      <vt:variant>
        <vt:i4>5</vt:i4>
      </vt:variant>
      <vt:variant>
        <vt:lpwstr/>
      </vt:variant>
      <vt:variant>
        <vt:lpwstr>_Toc140049021</vt:lpwstr>
      </vt:variant>
      <vt:variant>
        <vt:i4>1572917</vt:i4>
      </vt:variant>
      <vt:variant>
        <vt:i4>866</vt:i4>
      </vt:variant>
      <vt:variant>
        <vt:i4>0</vt:i4>
      </vt:variant>
      <vt:variant>
        <vt:i4>5</vt:i4>
      </vt:variant>
      <vt:variant>
        <vt:lpwstr/>
      </vt:variant>
      <vt:variant>
        <vt:lpwstr>_Toc140049020</vt:lpwstr>
      </vt:variant>
      <vt:variant>
        <vt:i4>1769525</vt:i4>
      </vt:variant>
      <vt:variant>
        <vt:i4>860</vt:i4>
      </vt:variant>
      <vt:variant>
        <vt:i4>0</vt:i4>
      </vt:variant>
      <vt:variant>
        <vt:i4>5</vt:i4>
      </vt:variant>
      <vt:variant>
        <vt:lpwstr/>
      </vt:variant>
      <vt:variant>
        <vt:lpwstr>_Toc140049019</vt:lpwstr>
      </vt:variant>
      <vt:variant>
        <vt:i4>1769525</vt:i4>
      </vt:variant>
      <vt:variant>
        <vt:i4>854</vt:i4>
      </vt:variant>
      <vt:variant>
        <vt:i4>0</vt:i4>
      </vt:variant>
      <vt:variant>
        <vt:i4>5</vt:i4>
      </vt:variant>
      <vt:variant>
        <vt:lpwstr/>
      </vt:variant>
      <vt:variant>
        <vt:lpwstr>_Toc140049018</vt:lpwstr>
      </vt:variant>
      <vt:variant>
        <vt:i4>1769525</vt:i4>
      </vt:variant>
      <vt:variant>
        <vt:i4>848</vt:i4>
      </vt:variant>
      <vt:variant>
        <vt:i4>0</vt:i4>
      </vt:variant>
      <vt:variant>
        <vt:i4>5</vt:i4>
      </vt:variant>
      <vt:variant>
        <vt:lpwstr/>
      </vt:variant>
      <vt:variant>
        <vt:lpwstr>_Toc140049017</vt:lpwstr>
      </vt:variant>
      <vt:variant>
        <vt:i4>1769525</vt:i4>
      </vt:variant>
      <vt:variant>
        <vt:i4>842</vt:i4>
      </vt:variant>
      <vt:variant>
        <vt:i4>0</vt:i4>
      </vt:variant>
      <vt:variant>
        <vt:i4>5</vt:i4>
      </vt:variant>
      <vt:variant>
        <vt:lpwstr/>
      </vt:variant>
      <vt:variant>
        <vt:lpwstr>_Toc140049016</vt:lpwstr>
      </vt:variant>
      <vt:variant>
        <vt:i4>1769525</vt:i4>
      </vt:variant>
      <vt:variant>
        <vt:i4>836</vt:i4>
      </vt:variant>
      <vt:variant>
        <vt:i4>0</vt:i4>
      </vt:variant>
      <vt:variant>
        <vt:i4>5</vt:i4>
      </vt:variant>
      <vt:variant>
        <vt:lpwstr/>
      </vt:variant>
      <vt:variant>
        <vt:lpwstr>_Toc140049015</vt:lpwstr>
      </vt:variant>
      <vt:variant>
        <vt:i4>1769525</vt:i4>
      </vt:variant>
      <vt:variant>
        <vt:i4>830</vt:i4>
      </vt:variant>
      <vt:variant>
        <vt:i4>0</vt:i4>
      </vt:variant>
      <vt:variant>
        <vt:i4>5</vt:i4>
      </vt:variant>
      <vt:variant>
        <vt:lpwstr/>
      </vt:variant>
      <vt:variant>
        <vt:lpwstr>_Toc140049014</vt:lpwstr>
      </vt:variant>
      <vt:variant>
        <vt:i4>1769525</vt:i4>
      </vt:variant>
      <vt:variant>
        <vt:i4>824</vt:i4>
      </vt:variant>
      <vt:variant>
        <vt:i4>0</vt:i4>
      </vt:variant>
      <vt:variant>
        <vt:i4>5</vt:i4>
      </vt:variant>
      <vt:variant>
        <vt:lpwstr/>
      </vt:variant>
      <vt:variant>
        <vt:lpwstr>_Toc140049013</vt:lpwstr>
      </vt:variant>
      <vt:variant>
        <vt:i4>1769525</vt:i4>
      </vt:variant>
      <vt:variant>
        <vt:i4>818</vt:i4>
      </vt:variant>
      <vt:variant>
        <vt:i4>0</vt:i4>
      </vt:variant>
      <vt:variant>
        <vt:i4>5</vt:i4>
      </vt:variant>
      <vt:variant>
        <vt:lpwstr/>
      </vt:variant>
      <vt:variant>
        <vt:lpwstr>_Toc140049012</vt:lpwstr>
      </vt:variant>
      <vt:variant>
        <vt:i4>1769525</vt:i4>
      </vt:variant>
      <vt:variant>
        <vt:i4>812</vt:i4>
      </vt:variant>
      <vt:variant>
        <vt:i4>0</vt:i4>
      </vt:variant>
      <vt:variant>
        <vt:i4>5</vt:i4>
      </vt:variant>
      <vt:variant>
        <vt:lpwstr/>
      </vt:variant>
      <vt:variant>
        <vt:lpwstr>_Toc140049011</vt:lpwstr>
      </vt:variant>
      <vt:variant>
        <vt:i4>1769525</vt:i4>
      </vt:variant>
      <vt:variant>
        <vt:i4>806</vt:i4>
      </vt:variant>
      <vt:variant>
        <vt:i4>0</vt:i4>
      </vt:variant>
      <vt:variant>
        <vt:i4>5</vt:i4>
      </vt:variant>
      <vt:variant>
        <vt:lpwstr/>
      </vt:variant>
      <vt:variant>
        <vt:lpwstr>_Toc140049010</vt:lpwstr>
      </vt:variant>
      <vt:variant>
        <vt:i4>1703989</vt:i4>
      </vt:variant>
      <vt:variant>
        <vt:i4>800</vt:i4>
      </vt:variant>
      <vt:variant>
        <vt:i4>0</vt:i4>
      </vt:variant>
      <vt:variant>
        <vt:i4>5</vt:i4>
      </vt:variant>
      <vt:variant>
        <vt:lpwstr/>
      </vt:variant>
      <vt:variant>
        <vt:lpwstr>_Toc140049009</vt:lpwstr>
      </vt:variant>
      <vt:variant>
        <vt:i4>1703989</vt:i4>
      </vt:variant>
      <vt:variant>
        <vt:i4>794</vt:i4>
      </vt:variant>
      <vt:variant>
        <vt:i4>0</vt:i4>
      </vt:variant>
      <vt:variant>
        <vt:i4>5</vt:i4>
      </vt:variant>
      <vt:variant>
        <vt:lpwstr/>
      </vt:variant>
      <vt:variant>
        <vt:lpwstr>_Toc140049008</vt:lpwstr>
      </vt:variant>
      <vt:variant>
        <vt:i4>1703989</vt:i4>
      </vt:variant>
      <vt:variant>
        <vt:i4>788</vt:i4>
      </vt:variant>
      <vt:variant>
        <vt:i4>0</vt:i4>
      </vt:variant>
      <vt:variant>
        <vt:i4>5</vt:i4>
      </vt:variant>
      <vt:variant>
        <vt:lpwstr/>
      </vt:variant>
      <vt:variant>
        <vt:lpwstr>_Toc140049007</vt:lpwstr>
      </vt:variant>
      <vt:variant>
        <vt:i4>1703989</vt:i4>
      </vt:variant>
      <vt:variant>
        <vt:i4>782</vt:i4>
      </vt:variant>
      <vt:variant>
        <vt:i4>0</vt:i4>
      </vt:variant>
      <vt:variant>
        <vt:i4>5</vt:i4>
      </vt:variant>
      <vt:variant>
        <vt:lpwstr/>
      </vt:variant>
      <vt:variant>
        <vt:lpwstr>_Toc140049006</vt:lpwstr>
      </vt:variant>
      <vt:variant>
        <vt:i4>1703989</vt:i4>
      </vt:variant>
      <vt:variant>
        <vt:i4>776</vt:i4>
      </vt:variant>
      <vt:variant>
        <vt:i4>0</vt:i4>
      </vt:variant>
      <vt:variant>
        <vt:i4>5</vt:i4>
      </vt:variant>
      <vt:variant>
        <vt:lpwstr/>
      </vt:variant>
      <vt:variant>
        <vt:lpwstr>_Toc140049005</vt:lpwstr>
      </vt:variant>
      <vt:variant>
        <vt:i4>1703989</vt:i4>
      </vt:variant>
      <vt:variant>
        <vt:i4>770</vt:i4>
      </vt:variant>
      <vt:variant>
        <vt:i4>0</vt:i4>
      </vt:variant>
      <vt:variant>
        <vt:i4>5</vt:i4>
      </vt:variant>
      <vt:variant>
        <vt:lpwstr/>
      </vt:variant>
      <vt:variant>
        <vt:lpwstr>_Toc140049004</vt:lpwstr>
      </vt:variant>
      <vt:variant>
        <vt:i4>1703989</vt:i4>
      </vt:variant>
      <vt:variant>
        <vt:i4>764</vt:i4>
      </vt:variant>
      <vt:variant>
        <vt:i4>0</vt:i4>
      </vt:variant>
      <vt:variant>
        <vt:i4>5</vt:i4>
      </vt:variant>
      <vt:variant>
        <vt:lpwstr/>
      </vt:variant>
      <vt:variant>
        <vt:lpwstr>_Toc140049003</vt:lpwstr>
      </vt:variant>
      <vt:variant>
        <vt:i4>1703989</vt:i4>
      </vt:variant>
      <vt:variant>
        <vt:i4>758</vt:i4>
      </vt:variant>
      <vt:variant>
        <vt:i4>0</vt:i4>
      </vt:variant>
      <vt:variant>
        <vt:i4>5</vt:i4>
      </vt:variant>
      <vt:variant>
        <vt:lpwstr/>
      </vt:variant>
      <vt:variant>
        <vt:lpwstr>_Toc140049002</vt:lpwstr>
      </vt:variant>
      <vt:variant>
        <vt:i4>1703989</vt:i4>
      </vt:variant>
      <vt:variant>
        <vt:i4>752</vt:i4>
      </vt:variant>
      <vt:variant>
        <vt:i4>0</vt:i4>
      </vt:variant>
      <vt:variant>
        <vt:i4>5</vt:i4>
      </vt:variant>
      <vt:variant>
        <vt:lpwstr/>
      </vt:variant>
      <vt:variant>
        <vt:lpwstr>_Toc140049001</vt:lpwstr>
      </vt:variant>
      <vt:variant>
        <vt:i4>1703989</vt:i4>
      </vt:variant>
      <vt:variant>
        <vt:i4>746</vt:i4>
      </vt:variant>
      <vt:variant>
        <vt:i4>0</vt:i4>
      </vt:variant>
      <vt:variant>
        <vt:i4>5</vt:i4>
      </vt:variant>
      <vt:variant>
        <vt:lpwstr/>
      </vt:variant>
      <vt:variant>
        <vt:lpwstr>_Toc140049000</vt:lpwstr>
      </vt:variant>
      <vt:variant>
        <vt:i4>1179708</vt:i4>
      </vt:variant>
      <vt:variant>
        <vt:i4>740</vt:i4>
      </vt:variant>
      <vt:variant>
        <vt:i4>0</vt:i4>
      </vt:variant>
      <vt:variant>
        <vt:i4>5</vt:i4>
      </vt:variant>
      <vt:variant>
        <vt:lpwstr/>
      </vt:variant>
      <vt:variant>
        <vt:lpwstr>_Toc140048999</vt:lpwstr>
      </vt:variant>
      <vt:variant>
        <vt:i4>1179708</vt:i4>
      </vt:variant>
      <vt:variant>
        <vt:i4>734</vt:i4>
      </vt:variant>
      <vt:variant>
        <vt:i4>0</vt:i4>
      </vt:variant>
      <vt:variant>
        <vt:i4>5</vt:i4>
      </vt:variant>
      <vt:variant>
        <vt:lpwstr/>
      </vt:variant>
      <vt:variant>
        <vt:lpwstr>_Toc140048998</vt:lpwstr>
      </vt:variant>
      <vt:variant>
        <vt:i4>1179708</vt:i4>
      </vt:variant>
      <vt:variant>
        <vt:i4>728</vt:i4>
      </vt:variant>
      <vt:variant>
        <vt:i4>0</vt:i4>
      </vt:variant>
      <vt:variant>
        <vt:i4>5</vt:i4>
      </vt:variant>
      <vt:variant>
        <vt:lpwstr/>
      </vt:variant>
      <vt:variant>
        <vt:lpwstr>_Toc140048997</vt:lpwstr>
      </vt:variant>
      <vt:variant>
        <vt:i4>1179708</vt:i4>
      </vt:variant>
      <vt:variant>
        <vt:i4>722</vt:i4>
      </vt:variant>
      <vt:variant>
        <vt:i4>0</vt:i4>
      </vt:variant>
      <vt:variant>
        <vt:i4>5</vt:i4>
      </vt:variant>
      <vt:variant>
        <vt:lpwstr/>
      </vt:variant>
      <vt:variant>
        <vt:lpwstr>_Toc140048996</vt:lpwstr>
      </vt:variant>
      <vt:variant>
        <vt:i4>1179708</vt:i4>
      </vt:variant>
      <vt:variant>
        <vt:i4>716</vt:i4>
      </vt:variant>
      <vt:variant>
        <vt:i4>0</vt:i4>
      </vt:variant>
      <vt:variant>
        <vt:i4>5</vt:i4>
      </vt:variant>
      <vt:variant>
        <vt:lpwstr/>
      </vt:variant>
      <vt:variant>
        <vt:lpwstr>_Toc140048995</vt:lpwstr>
      </vt:variant>
      <vt:variant>
        <vt:i4>1179708</vt:i4>
      </vt:variant>
      <vt:variant>
        <vt:i4>710</vt:i4>
      </vt:variant>
      <vt:variant>
        <vt:i4>0</vt:i4>
      </vt:variant>
      <vt:variant>
        <vt:i4>5</vt:i4>
      </vt:variant>
      <vt:variant>
        <vt:lpwstr/>
      </vt:variant>
      <vt:variant>
        <vt:lpwstr>_Toc140048994</vt:lpwstr>
      </vt:variant>
      <vt:variant>
        <vt:i4>1179708</vt:i4>
      </vt:variant>
      <vt:variant>
        <vt:i4>704</vt:i4>
      </vt:variant>
      <vt:variant>
        <vt:i4>0</vt:i4>
      </vt:variant>
      <vt:variant>
        <vt:i4>5</vt:i4>
      </vt:variant>
      <vt:variant>
        <vt:lpwstr/>
      </vt:variant>
      <vt:variant>
        <vt:lpwstr>_Toc140048993</vt:lpwstr>
      </vt:variant>
      <vt:variant>
        <vt:i4>1179708</vt:i4>
      </vt:variant>
      <vt:variant>
        <vt:i4>698</vt:i4>
      </vt:variant>
      <vt:variant>
        <vt:i4>0</vt:i4>
      </vt:variant>
      <vt:variant>
        <vt:i4>5</vt:i4>
      </vt:variant>
      <vt:variant>
        <vt:lpwstr/>
      </vt:variant>
      <vt:variant>
        <vt:lpwstr>_Toc140048992</vt:lpwstr>
      </vt:variant>
      <vt:variant>
        <vt:i4>1179708</vt:i4>
      </vt:variant>
      <vt:variant>
        <vt:i4>692</vt:i4>
      </vt:variant>
      <vt:variant>
        <vt:i4>0</vt:i4>
      </vt:variant>
      <vt:variant>
        <vt:i4>5</vt:i4>
      </vt:variant>
      <vt:variant>
        <vt:lpwstr/>
      </vt:variant>
      <vt:variant>
        <vt:lpwstr>_Toc140048991</vt:lpwstr>
      </vt:variant>
      <vt:variant>
        <vt:i4>1179708</vt:i4>
      </vt:variant>
      <vt:variant>
        <vt:i4>686</vt:i4>
      </vt:variant>
      <vt:variant>
        <vt:i4>0</vt:i4>
      </vt:variant>
      <vt:variant>
        <vt:i4>5</vt:i4>
      </vt:variant>
      <vt:variant>
        <vt:lpwstr/>
      </vt:variant>
      <vt:variant>
        <vt:lpwstr>_Toc140048990</vt:lpwstr>
      </vt:variant>
      <vt:variant>
        <vt:i4>1245244</vt:i4>
      </vt:variant>
      <vt:variant>
        <vt:i4>680</vt:i4>
      </vt:variant>
      <vt:variant>
        <vt:i4>0</vt:i4>
      </vt:variant>
      <vt:variant>
        <vt:i4>5</vt:i4>
      </vt:variant>
      <vt:variant>
        <vt:lpwstr/>
      </vt:variant>
      <vt:variant>
        <vt:lpwstr>_Toc140048989</vt:lpwstr>
      </vt:variant>
      <vt:variant>
        <vt:i4>1245244</vt:i4>
      </vt:variant>
      <vt:variant>
        <vt:i4>674</vt:i4>
      </vt:variant>
      <vt:variant>
        <vt:i4>0</vt:i4>
      </vt:variant>
      <vt:variant>
        <vt:i4>5</vt:i4>
      </vt:variant>
      <vt:variant>
        <vt:lpwstr/>
      </vt:variant>
      <vt:variant>
        <vt:lpwstr>_Toc140048988</vt:lpwstr>
      </vt:variant>
      <vt:variant>
        <vt:i4>1245244</vt:i4>
      </vt:variant>
      <vt:variant>
        <vt:i4>668</vt:i4>
      </vt:variant>
      <vt:variant>
        <vt:i4>0</vt:i4>
      </vt:variant>
      <vt:variant>
        <vt:i4>5</vt:i4>
      </vt:variant>
      <vt:variant>
        <vt:lpwstr/>
      </vt:variant>
      <vt:variant>
        <vt:lpwstr>_Toc140048987</vt:lpwstr>
      </vt:variant>
      <vt:variant>
        <vt:i4>1245244</vt:i4>
      </vt:variant>
      <vt:variant>
        <vt:i4>662</vt:i4>
      </vt:variant>
      <vt:variant>
        <vt:i4>0</vt:i4>
      </vt:variant>
      <vt:variant>
        <vt:i4>5</vt:i4>
      </vt:variant>
      <vt:variant>
        <vt:lpwstr/>
      </vt:variant>
      <vt:variant>
        <vt:lpwstr>_Toc140048986</vt:lpwstr>
      </vt:variant>
      <vt:variant>
        <vt:i4>1245244</vt:i4>
      </vt:variant>
      <vt:variant>
        <vt:i4>656</vt:i4>
      </vt:variant>
      <vt:variant>
        <vt:i4>0</vt:i4>
      </vt:variant>
      <vt:variant>
        <vt:i4>5</vt:i4>
      </vt:variant>
      <vt:variant>
        <vt:lpwstr/>
      </vt:variant>
      <vt:variant>
        <vt:lpwstr>_Toc140048985</vt:lpwstr>
      </vt:variant>
      <vt:variant>
        <vt:i4>1245244</vt:i4>
      </vt:variant>
      <vt:variant>
        <vt:i4>650</vt:i4>
      </vt:variant>
      <vt:variant>
        <vt:i4>0</vt:i4>
      </vt:variant>
      <vt:variant>
        <vt:i4>5</vt:i4>
      </vt:variant>
      <vt:variant>
        <vt:lpwstr/>
      </vt:variant>
      <vt:variant>
        <vt:lpwstr>_Toc140048984</vt:lpwstr>
      </vt:variant>
      <vt:variant>
        <vt:i4>1245244</vt:i4>
      </vt:variant>
      <vt:variant>
        <vt:i4>644</vt:i4>
      </vt:variant>
      <vt:variant>
        <vt:i4>0</vt:i4>
      </vt:variant>
      <vt:variant>
        <vt:i4>5</vt:i4>
      </vt:variant>
      <vt:variant>
        <vt:lpwstr/>
      </vt:variant>
      <vt:variant>
        <vt:lpwstr>_Toc140048983</vt:lpwstr>
      </vt:variant>
      <vt:variant>
        <vt:i4>1245244</vt:i4>
      </vt:variant>
      <vt:variant>
        <vt:i4>638</vt:i4>
      </vt:variant>
      <vt:variant>
        <vt:i4>0</vt:i4>
      </vt:variant>
      <vt:variant>
        <vt:i4>5</vt:i4>
      </vt:variant>
      <vt:variant>
        <vt:lpwstr/>
      </vt:variant>
      <vt:variant>
        <vt:lpwstr>_Toc140048982</vt:lpwstr>
      </vt:variant>
      <vt:variant>
        <vt:i4>1245244</vt:i4>
      </vt:variant>
      <vt:variant>
        <vt:i4>632</vt:i4>
      </vt:variant>
      <vt:variant>
        <vt:i4>0</vt:i4>
      </vt:variant>
      <vt:variant>
        <vt:i4>5</vt:i4>
      </vt:variant>
      <vt:variant>
        <vt:lpwstr/>
      </vt:variant>
      <vt:variant>
        <vt:lpwstr>_Toc140048981</vt:lpwstr>
      </vt:variant>
      <vt:variant>
        <vt:i4>1245244</vt:i4>
      </vt:variant>
      <vt:variant>
        <vt:i4>626</vt:i4>
      </vt:variant>
      <vt:variant>
        <vt:i4>0</vt:i4>
      </vt:variant>
      <vt:variant>
        <vt:i4>5</vt:i4>
      </vt:variant>
      <vt:variant>
        <vt:lpwstr/>
      </vt:variant>
      <vt:variant>
        <vt:lpwstr>_Toc140048980</vt:lpwstr>
      </vt:variant>
      <vt:variant>
        <vt:i4>1835068</vt:i4>
      </vt:variant>
      <vt:variant>
        <vt:i4>620</vt:i4>
      </vt:variant>
      <vt:variant>
        <vt:i4>0</vt:i4>
      </vt:variant>
      <vt:variant>
        <vt:i4>5</vt:i4>
      </vt:variant>
      <vt:variant>
        <vt:lpwstr/>
      </vt:variant>
      <vt:variant>
        <vt:lpwstr>_Toc140048979</vt:lpwstr>
      </vt:variant>
      <vt:variant>
        <vt:i4>1835068</vt:i4>
      </vt:variant>
      <vt:variant>
        <vt:i4>614</vt:i4>
      </vt:variant>
      <vt:variant>
        <vt:i4>0</vt:i4>
      </vt:variant>
      <vt:variant>
        <vt:i4>5</vt:i4>
      </vt:variant>
      <vt:variant>
        <vt:lpwstr/>
      </vt:variant>
      <vt:variant>
        <vt:lpwstr>_Toc140048978</vt:lpwstr>
      </vt:variant>
      <vt:variant>
        <vt:i4>1835068</vt:i4>
      </vt:variant>
      <vt:variant>
        <vt:i4>608</vt:i4>
      </vt:variant>
      <vt:variant>
        <vt:i4>0</vt:i4>
      </vt:variant>
      <vt:variant>
        <vt:i4>5</vt:i4>
      </vt:variant>
      <vt:variant>
        <vt:lpwstr/>
      </vt:variant>
      <vt:variant>
        <vt:lpwstr>_Toc140048977</vt:lpwstr>
      </vt:variant>
      <vt:variant>
        <vt:i4>1835068</vt:i4>
      </vt:variant>
      <vt:variant>
        <vt:i4>602</vt:i4>
      </vt:variant>
      <vt:variant>
        <vt:i4>0</vt:i4>
      </vt:variant>
      <vt:variant>
        <vt:i4>5</vt:i4>
      </vt:variant>
      <vt:variant>
        <vt:lpwstr/>
      </vt:variant>
      <vt:variant>
        <vt:lpwstr>_Toc140048976</vt:lpwstr>
      </vt:variant>
      <vt:variant>
        <vt:i4>1835068</vt:i4>
      </vt:variant>
      <vt:variant>
        <vt:i4>596</vt:i4>
      </vt:variant>
      <vt:variant>
        <vt:i4>0</vt:i4>
      </vt:variant>
      <vt:variant>
        <vt:i4>5</vt:i4>
      </vt:variant>
      <vt:variant>
        <vt:lpwstr/>
      </vt:variant>
      <vt:variant>
        <vt:lpwstr>_Toc140048975</vt:lpwstr>
      </vt:variant>
      <vt:variant>
        <vt:i4>1835068</vt:i4>
      </vt:variant>
      <vt:variant>
        <vt:i4>590</vt:i4>
      </vt:variant>
      <vt:variant>
        <vt:i4>0</vt:i4>
      </vt:variant>
      <vt:variant>
        <vt:i4>5</vt:i4>
      </vt:variant>
      <vt:variant>
        <vt:lpwstr/>
      </vt:variant>
      <vt:variant>
        <vt:lpwstr>_Toc140048974</vt:lpwstr>
      </vt:variant>
      <vt:variant>
        <vt:i4>1835068</vt:i4>
      </vt:variant>
      <vt:variant>
        <vt:i4>584</vt:i4>
      </vt:variant>
      <vt:variant>
        <vt:i4>0</vt:i4>
      </vt:variant>
      <vt:variant>
        <vt:i4>5</vt:i4>
      </vt:variant>
      <vt:variant>
        <vt:lpwstr/>
      </vt:variant>
      <vt:variant>
        <vt:lpwstr>_Toc140048973</vt:lpwstr>
      </vt:variant>
      <vt:variant>
        <vt:i4>1835068</vt:i4>
      </vt:variant>
      <vt:variant>
        <vt:i4>578</vt:i4>
      </vt:variant>
      <vt:variant>
        <vt:i4>0</vt:i4>
      </vt:variant>
      <vt:variant>
        <vt:i4>5</vt:i4>
      </vt:variant>
      <vt:variant>
        <vt:lpwstr/>
      </vt:variant>
      <vt:variant>
        <vt:lpwstr>_Toc140048972</vt:lpwstr>
      </vt:variant>
      <vt:variant>
        <vt:i4>1835068</vt:i4>
      </vt:variant>
      <vt:variant>
        <vt:i4>572</vt:i4>
      </vt:variant>
      <vt:variant>
        <vt:i4>0</vt:i4>
      </vt:variant>
      <vt:variant>
        <vt:i4>5</vt:i4>
      </vt:variant>
      <vt:variant>
        <vt:lpwstr/>
      </vt:variant>
      <vt:variant>
        <vt:lpwstr>_Toc140048971</vt:lpwstr>
      </vt:variant>
      <vt:variant>
        <vt:i4>1835068</vt:i4>
      </vt:variant>
      <vt:variant>
        <vt:i4>566</vt:i4>
      </vt:variant>
      <vt:variant>
        <vt:i4>0</vt:i4>
      </vt:variant>
      <vt:variant>
        <vt:i4>5</vt:i4>
      </vt:variant>
      <vt:variant>
        <vt:lpwstr/>
      </vt:variant>
      <vt:variant>
        <vt:lpwstr>_Toc140048970</vt:lpwstr>
      </vt:variant>
      <vt:variant>
        <vt:i4>1900604</vt:i4>
      </vt:variant>
      <vt:variant>
        <vt:i4>560</vt:i4>
      </vt:variant>
      <vt:variant>
        <vt:i4>0</vt:i4>
      </vt:variant>
      <vt:variant>
        <vt:i4>5</vt:i4>
      </vt:variant>
      <vt:variant>
        <vt:lpwstr/>
      </vt:variant>
      <vt:variant>
        <vt:lpwstr>_Toc140048969</vt:lpwstr>
      </vt:variant>
      <vt:variant>
        <vt:i4>1900604</vt:i4>
      </vt:variant>
      <vt:variant>
        <vt:i4>554</vt:i4>
      </vt:variant>
      <vt:variant>
        <vt:i4>0</vt:i4>
      </vt:variant>
      <vt:variant>
        <vt:i4>5</vt:i4>
      </vt:variant>
      <vt:variant>
        <vt:lpwstr/>
      </vt:variant>
      <vt:variant>
        <vt:lpwstr>_Toc140048968</vt:lpwstr>
      </vt:variant>
      <vt:variant>
        <vt:i4>1900604</vt:i4>
      </vt:variant>
      <vt:variant>
        <vt:i4>548</vt:i4>
      </vt:variant>
      <vt:variant>
        <vt:i4>0</vt:i4>
      </vt:variant>
      <vt:variant>
        <vt:i4>5</vt:i4>
      </vt:variant>
      <vt:variant>
        <vt:lpwstr/>
      </vt:variant>
      <vt:variant>
        <vt:lpwstr>_Toc140048967</vt:lpwstr>
      </vt:variant>
      <vt:variant>
        <vt:i4>1900604</vt:i4>
      </vt:variant>
      <vt:variant>
        <vt:i4>542</vt:i4>
      </vt:variant>
      <vt:variant>
        <vt:i4>0</vt:i4>
      </vt:variant>
      <vt:variant>
        <vt:i4>5</vt:i4>
      </vt:variant>
      <vt:variant>
        <vt:lpwstr/>
      </vt:variant>
      <vt:variant>
        <vt:lpwstr>_Toc140048966</vt:lpwstr>
      </vt:variant>
      <vt:variant>
        <vt:i4>1900604</vt:i4>
      </vt:variant>
      <vt:variant>
        <vt:i4>536</vt:i4>
      </vt:variant>
      <vt:variant>
        <vt:i4>0</vt:i4>
      </vt:variant>
      <vt:variant>
        <vt:i4>5</vt:i4>
      </vt:variant>
      <vt:variant>
        <vt:lpwstr/>
      </vt:variant>
      <vt:variant>
        <vt:lpwstr>_Toc140048965</vt:lpwstr>
      </vt:variant>
      <vt:variant>
        <vt:i4>1900604</vt:i4>
      </vt:variant>
      <vt:variant>
        <vt:i4>530</vt:i4>
      </vt:variant>
      <vt:variant>
        <vt:i4>0</vt:i4>
      </vt:variant>
      <vt:variant>
        <vt:i4>5</vt:i4>
      </vt:variant>
      <vt:variant>
        <vt:lpwstr/>
      </vt:variant>
      <vt:variant>
        <vt:lpwstr>_Toc140048964</vt:lpwstr>
      </vt:variant>
      <vt:variant>
        <vt:i4>1900604</vt:i4>
      </vt:variant>
      <vt:variant>
        <vt:i4>524</vt:i4>
      </vt:variant>
      <vt:variant>
        <vt:i4>0</vt:i4>
      </vt:variant>
      <vt:variant>
        <vt:i4>5</vt:i4>
      </vt:variant>
      <vt:variant>
        <vt:lpwstr/>
      </vt:variant>
      <vt:variant>
        <vt:lpwstr>_Toc140048963</vt:lpwstr>
      </vt:variant>
      <vt:variant>
        <vt:i4>1900604</vt:i4>
      </vt:variant>
      <vt:variant>
        <vt:i4>518</vt:i4>
      </vt:variant>
      <vt:variant>
        <vt:i4>0</vt:i4>
      </vt:variant>
      <vt:variant>
        <vt:i4>5</vt:i4>
      </vt:variant>
      <vt:variant>
        <vt:lpwstr/>
      </vt:variant>
      <vt:variant>
        <vt:lpwstr>_Toc140048962</vt:lpwstr>
      </vt:variant>
      <vt:variant>
        <vt:i4>1900604</vt:i4>
      </vt:variant>
      <vt:variant>
        <vt:i4>512</vt:i4>
      </vt:variant>
      <vt:variant>
        <vt:i4>0</vt:i4>
      </vt:variant>
      <vt:variant>
        <vt:i4>5</vt:i4>
      </vt:variant>
      <vt:variant>
        <vt:lpwstr/>
      </vt:variant>
      <vt:variant>
        <vt:lpwstr>_Toc140048961</vt:lpwstr>
      </vt:variant>
      <vt:variant>
        <vt:i4>1900604</vt:i4>
      </vt:variant>
      <vt:variant>
        <vt:i4>506</vt:i4>
      </vt:variant>
      <vt:variant>
        <vt:i4>0</vt:i4>
      </vt:variant>
      <vt:variant>
        <vt:i4>5</vt:i4>
      </vt:variant>
      <vt:variant>
        <vt:lpwstr/>
      </vt:variant>
      <vt:variant>
        <vt:lpwstr>_Toc140048960</vt:lpwstr>
      </vt:variant>
      <vt:variant>
        <vt:i4>1966140</vt:i4>
      </vt:variant>
      <vt:variant>
        <vt:i4>500</vt:i4>
      </vt:variant>
      <vt:variant>
        <vt:i4>0</vt:i4>
      </vt:variant>
      <vt:variant>
        <vt:i4>5</vt:i4>
      </vt:variant>
      <vt:variant>
        <vt:lpwstr/>
      </vt:variant>
      <vt:variant>
        <vt:lpwstr>_Toc140048959</vt:lpwstr>
      </vt:variant>
      <vt:variant>
        <vt:i4>1966140</vt:i4>
      </vt:variant>
      <vt:variant>
        <vt:i4>494</vt:i4>
      </vt:variant>
      <vt:variant>
        <vt:i4>0</vt:i4>
      </vt:variant>
      <vt:variant>
        <vt:i4>5</vt:i4>
      </vt:variant>
      <vt:variant>
        <vt:lpwstr/>
      </vt:variant>
      <vt:variant>
        <vt:lpwstr>_Toc140048958</vt:lpwstr>
      </vt:variant>
      <vt:variant>
        <vt:i4>1966140</vt:i4>
      </vt:variant>
      <vt:variant>
        <vt:i4>488</vt:i4>
      </vt:variant>
      <vt:variant>
        <vt:i4>0</vt:i4>
      </vt:variant>
      <vt:variant>
        <vt:i4>5</vt:i4>
      </vt:variant>
      <vt:variant>
        <vt:lpwstr/>
      </vt:variant>
      <vt:variant>
        <vt:lpwstr>_Toc140048957</vt:lpwstr>
      </vt:variant>
      <vt:variant>
        <vt:i4>1966140</vt:i4>
      </vt:variant>
      <vt:variant>
        <vt:i4>482</vt:i4>
      </vt:variant>
      <vt:variant>
        <vt:i4>0</vt:i4>
      </vt:variant>
      <vt:variant>
        <vt:i4>5</vt:i4>
      </vt:variant>
      <vt:variant>
        <vt:lpwstr/>
      </vt:variant>
      <vt:variant>
        <vt:lpwstr>_Toc140048956</vt:lpwstr>
      </vt:variant>
      <vt:variant>
        <vt:i4>1966140</vt:i4>
      </vt:variant>
      <vt:variant>
        <vt:i4>476</vt:i4>
      </vt:variant>
      <vt:variant>
        <vt:i4>0</vt:i4>
      </vt:variant>
      <vt:variant>
        <vt:i4>5</vt:i4>
      </vt:variant>
      <vt:variant>
        <vt:lpwstr/>
      </vt:variant>
      <vt:variant>
        <vt:lpwstr>_Toc140048955</vt:lpwstr>
      </vt:variant>
      <vt:variant>
        <vt:i4>1966140</vt:i4>
      </vt:variant>
      <vt:variant>
        <vt:i4>470</vt:i4>
      </vt:variant>
      <vt:variant>
        <vt:i4>0</vt:i4>
      </vt:variant>
      <vt:variant>
        <vt:i4>5</vt:i4>
      </vt:variant>
      <vt:variant>
        <vt:lpwstr/>
      </vt:variant>
      <vt:variant>
        <vt:lpwstr>_Toc140048954</vt:lpwstr>
      </vt:variant>
      <vt:variant>
        <vt:i4>1966140</vt:i4>
      </vt:variant>
      <vt:variant>
        <vt:i4>464</vt:i4>
      </vt:variant>
      <vt:variant>
        <vt:i4>0</vt:i4>
      </vt:variant>
      <vt:variant>
        <vt:i4>5</vt:i4>
      </vt:variant>
      <vt:variant>
        <vt:lpwstr/>
      </vt:variant>
      <vt:variant>
        <vt:lpwstr>_Toc140048953</vt:lpwstr>
      </vt:variant>
      <vt:variant>
        <vt:i4>1966140</vt:i4>
      </vt:variant>
      <vt:variant>
        <vt:i4>458</vt:i4>
      </vt:variant>
      <vt:variant>
        <vt:i4>0</vt:i4>
      </vt:variant>
      <vt:variant>
        <vt:i4>5</vt:i4>
      </vt:variant>
      <vt:variant>
        <vt:lpwstr/>
      </vt:variant>
      <vt:variant>
        <vt:lpwstr>_Toc140048952</vt:lpwstr>
      </vt:variant>
      <vt:variant>
        <vt:i4>1966140</vt:i4>
      </vt:variant>
      <vt:variant>
        <vt:i4>452</vt:i4>
      </vt:variant>
      <vt:variant>
        <vt:i4>0</vt:i4>
      </vt:variant>
      <vt:variant>
        <vt:i4>5</vt:i4>
      </vt:variant>
      <vt:variant>
        <vt:lpwstr/>
      </vt:variant>
      <vt:variant>
        <vt:lpwstr>_Toc140048951</vt:lpwstr>
      </vt:variant>
      <vt:variant>
        <vt:i4>1966140</vt:i4>
      </vt:variant>
      <vt:variant>
        <vt:i4>446</vt:i4>
      </vt:variant>
      <vt:variant>
        <vt:i4>0</vt:i4>
      </vt:variant>
      <vt:variant>
        <vt:i4>5</vt:i4>
      </vt:variant>
      <vt:variant>
        <vt:lpwstr/>
      </vt:variant>
      <vt:variant>
        <vt:lpwstr>_Toc140048950</vt:lpwstr>
      </vt:variant>
      <vt:variant>
        <vt:i4>2031676</vt:i4>
      </vt:variant>
      <vt:variant>
        <vt:i4>440</vt:i4>
      </vt:variant>
      <vt:variant>
        <vt:i4>0</vt:i4>
      </vt:variant>
      <vt:variant>
        <vt:i4>5</vt:i4>
      </vt:variant>
      <vt:variant>
        <vt:lpwstr/>
      </vt:variant>
      <vt:variant>
        <vt:lpwstr>_Toc140048949</vt:lpwstr>
      </vt:variant>
      <vt:variant>
        <vt:i4>2031676</vt:i4>
      </vt:variant>
      <vt:variant>
        <vt:i4>434</vt:i4>
      </vt:variant>
      <vt:variant>
        <vt:i4>0</vt:i4>
      </vt:variant>
      <vt:variant>
        <vt:i4>5</vt:i4>
      </vt:variant>
      <vt:variant>
        <vt:lpwstr/>
      </vt:variant>
      <vt:variant>
        <vt:lpwstr>_Toc140048948</vt:lpwstr>
      </vt:variant>
      <vt:variant>
        <vt:i4>2031676</vt:i4>
      </vt:variant>
      <vt:variant>
        <vt:i4>428</vt:i4>
      </vt:variant>
      <vt:variant>
        <vt:i4>0</vt:i4>
      </vt:variant>
      <vt:variant>
        <vt:i4>5</vt:i4>
      </vt:variant>
      <vt:variant>
        <vt:lpwstr/>
      </vt:variant>
      <vt:variant>
        <vt:lpwstr>_Toc140048947</vt:lpwstr>
      </vt:variant>
      <vt:variant>
        <vt:i4>2031676</vt:i4>
      </vt:variant>
      <vt:variant>
        <vt:i4>422</vt:i4>
      </vt:variant>
      <vt:variant>
        <vt:i4>0</vt:i4>
      </vt:variant>
      <vt:variant>
        <vt:i4>5</vt:i4>
      </vt:variant>
      <vt:variant>
        <vt:lpwstr/>
      </vt:variant>
      <vt:variant>
        <vt:lpwstr>_Toc140048946</vt:lpwstr>
      </vt:variant>
      <vt:variant>
        <vt:i4>2031676</vt:i4>
      </vt:variant>
      <vt:variant>
        <vt:i4>416</vt:i4>
      </vt:variant>
      <vt:variant>
        <vt:i4>0</vt:i4>
      </vt:variant>
      <vt:variant>
        <vt:i4>5</vt:i4>
      </vt:variant>
      <vt:variant>
        <vt:lpwstr/>
      </vt:variant>
      <vt:variant>
        <vt:lpwstr>_Toc140048945</vt:lpwstr>
      </vt:variant>
      <vt:variant>
        <vt:i4>2031676</vt:i4>
      </vt:variant>
      <vt:variant>
        <vt:i4>410</vt:i4>
      </vt:variant>
      <vt:variant>
        <vt:i4>0</vt:i4>
      </vt:variant>
      <vt:variant>
        <vt:i4>5</vt:i4>
      </vt:variant>
      <vt:variant>
        <vt:lpwstr/>
      </vt:variant>
      <vt:variant>
        <vt:lpwstr>_Toc140048944</vt:lpwstr>
      </vt:variant>
      <vt:variant>
        <vt:i4>2031676</vt:i4>
      </vt:variant>
      <vt:variant>
        <vt:i4>404</vt:i4>
      </vt:variant>
      <vt:variant>
        <vt:i4>0</vt:i4>
      </vt:variant>
      <vt:variant>
        <vt:i4>5</vt:i4>
      </vt:variant>
      <vt:variant>
        <vt:lpwstr/>
      </vt:variant>
      <vt:variant>
        <vt:lpwstr>_Toc140048943</vt:lpwstr>
      </vt:variant>
      <vt:variant>
        <vt:i4>2031676</vt:i4>
      </vt:variant>
      <vt:variant>
        <vt:i4>398</vt:i4>
      </vt:variant>
      <vt:variant>
        <vt:i4>0</vt:i4>
      </vt:variant>
      <vt:variant>
        <vt:i4>5</vt:i4>
      </vt:variant>
      <vt:variant>
        <vt:lpwstr/>
      </vt:variant>
      <vt:variant>
        <vt:lpwstr>_Toc140048942</vt:lpwstr>
      </vt:variant>
      <vt:variant>
        <vt:i4>2031676</vt:i4>
      </vt:variant>
      <vt:variant>
        <vt:i4>392</vt:i4>
      </vt:variant>
      <vt:variant>
        <vt:i4>0</vt:i4>
      </vt:variant>
      <vt:variant>
        <vt:i4>5</vt:i4>
      </vt:variant>
      <vt:variant>
        <vt:lpwstr/>
      </vt:variant>
      <vt:variant>
        <vt:lpwstr>_Toc140048941</vt:lpwstr>
      </vt:variant>
      <vt:variant>
        <vt:i4>2031676</vt:i4>
      </vt:variant>
      <vt:variant>
        <vt:i4>383</vt:i4>
      </vt:variant>
      <vt:variant>
        <vt:i4>0</vt:i4>
      </vt:variant>
      <vt:variant>
        <vt:i4>5</vt:i4>
      </vt:variant>
      <vt:variant>
        <vt:lpwstr/>
      </vt:variant>
      <vt:variant>
        <vt:lpwstr>_Toc140048940</vt:lpwstr>
      </vt:variant>
      <vt:variant>
        <vt:i4>1572924</vt:i4>
      </vt:variant>
      <vt:variant>
        <vt:i4>377</vt:i4>
      </vt:variant>
      <vt:variant>
        <vt:i4>0</vt:i4>
      </vt:variant>
      <vt:variant>
        <vt:i4>5</vt:i4>
      </vt:variant>
      <vt:variant>
        <vt:lpwstr/>
      </vt:variant>
      <vt:variant>
        <vt:lpwstr>_Toc140048939</vt:lpwstr>
      </vt:variant>
      <vt:variant>
        <vt:i4>1572924</vt:i4>
      </vt:variant>
      <vt:variant>
        <vt:i4>371</vt:i4>
      </vt:variant>
      <vt:variant>
        <vt:i4>0</vt:i4>
      </vt:variant>
      <vt:variant>
        <vt:i4>5</vt:i4>
      </vt:variant>
      <vt:variant>
        <vt:lpwstr/>
      </vt:variant>
      <vt:variant>
        <vt:lpwstr>_Toc140048938</vt:lpwstr>
      </vt:variant>
      <vt:variant>
        <vt:i4>1572924</vt:i4>
      </vt:variant>
      <vt:variant>
        <vt:i4>365</vt:i4>
      </vt:variant>
      <vt:variant>
        <vt:i4>0</vt:i4>
      </vt:variant>
      <vt:variant>
        <vt:i4>5</vt:i4>
      </vt:variant>
      <vt:variant>
        <vt:lpwstr/>
      </vt:variant>
      <vt:variant>
        <vt:lpwstr>_Toc140048937</vt:lpwstr>
      </vt:variant>
      <vt:variant>
        <vt:i4>1572924</vt:i4>
      </vt:variant>
      <vt:variant>
        <vt:i4>359</vt:i4>
      </vt:variant>
      <vt:variant>
        <vt:i4>0</vt:i4>
      </vt:variant>
      <vt:variant>
        <vt:i4>5</vt:i4>
      </vt:variant>
      <vt:variant>
        <vt:lpwstr/>
      </vt:variant>
      <vt:variant>
        <vt:lpwstr>_Toc140048936</vt:lpwstr>
      </vt:variant>
      <vt:variant>
        <vt:i4>1572924</vt:i4>
      </vt:variant>
      <vt:variant>
        <vt:i4>353</vt:i4>
      </vt:variant>
      <vt:variant>
        <vt:i4>0</vt:i4>
      </vt:variant>
      <vt:variant>
        <vt:i4>5</vt:i4>
      </vt:variant>
      <vt:variant>
        <vt:lpwstr/>
      </vt:variant>
      <vt:variant>
        <vt:lpwstr>_Toc140048935</vt:lpwstr>
      </vt:variant>
      <vt:variant>
        <vt:i4>1572924</vt:i4>
      </vt:variant>
      <vt:variant>
        <vt:i4>347</vt:i4>
      </vt:variant>
      <vt:variant>
        <vt:i4>0</vt:i4>
      </vt:variant>
      <vt:variant>
        <vt:i4>5</vt:i4>
      </vt:variant>
      <vt:variant>
        <vt:lpwstr/>
      </vt:variant>
      <vt:variant>
        <vt:lpwstr>_Toc140048934</vt:lpwstr>
      </vt:variant>
      <vt:variant>
        <vt:i4>1572924</vt:i4>
      </vt:variant>
      <vt:variant>
        <vt:i4>341</vt:i4>
      </vt:variant>
      <vt:variant>
        <vt:i4>0</vt:i4>
      </vt:variant>
      <vt:variant>
        <vt:i4>5</vt:i4>
      </vt:variant>
      <vt:variant>
        <vt:lpwstr/>
      </vt:variant>
      <vt:variant>
        <vt:lpwstr>_Toc140048933</vt:lpwstr>
      </vt:variant>
      <vt:variant>
        <vt:i4>1572924</vt:i4>
      </vt:variant>
      <vt:variant>
        <vt:i4>335</vt:i4>
      </vt:variant>
      <vt:variant>
        <vt:i4>0</vt:i4>
      </vt:variant>
      <vt:variant>
        <vt:i4>5</vt:i4>
      </vt:variant>
      <vt:variant>
        <vt:lpwstr/>
      </vt:variant>
      <vt:variant>
        <vt:lpwstr>_Toc140048932</vt:lpwstr>
      </vt:variant>
      <vt:variant>
        <vt:i4>1572924</vt:i4>
      </vt:variant>
      <vt:variant>
        <vt:i4>329</vt:i4>
      </vt:variant>
      <vt:variant>
        <vt:i4>0</vt:i4>
      </vt:variant>
      <vt:variant>
        <vt:i4>5</vt:i4>
      </vt:variant>
      <vt:variant>
        <vt:lpwstr/>
      </vt:variant>
      <vt:variant>
        <vt:lpwstr>_Toc140048931</vt:lpwstr>
      </vt:variant>
      <vt:variant>
        <vt:i4>1572924</vt:i4>
      </vt:variant>
      <vt:variant>
        <vt:i4>323</vt:i4>
      </vt:variant>
      <vt:variant>
        <vt:i4>0</vt:i4>
      </vt:variant>
      <vt:variant>
        <vt:i4>5</vt:i4>
      </vt:variant>
      <vt:variant>
        <vt:lpwstr/>
      </vt:variant>
      <vt:variant>
        <vt:lpwstr>_Toc140048930</vt:lpwstr>
      </vt:variant>
      <vt:variant>
        <vt:i4>1638460</vt:i4>
      </vt:variant>
      <vt:variant>
        <vt:i4>317</vt:i4>
      </vt:variant>
      <vt:variant>
        <vt:i4>0</vt:i4>
      </vt:variant>
      <vt:variant>
        <vt:i4>5</vt:i4>
      </vt:variant>
      <vt:variant>
        <vt:lpwstr/>
      </vt:variant>
      <vt:variant>
        <vt:lpwstr>_Toc140048929</vt:lpwstr>
      </vt:variant>
      <vt:variant>
        <vt:i4>1638460</vt:i4>
      </vt:variant>
      <vt:variant>
        <vt:i4>311</vt:i4>
      </vt:variant>
      <vt:variant>
        <vt:i4>0</vt:i4>
      </vt:variant>
      <vt:variant>
        <vt:i4>5</vt:i4>
      </vt:variant>
      <vt:variant>
        <vt:lpwstr/>
      </vt:variant>
      <vt:variant>
        <vt:lpwstr>_Toc140048928</vt:lpwstr>
      </vt:variant>
      <vt:variant>
        <vt:i4>1638460</vt:i4>
      </vt:variant>
      <vt:variant>
        <vt:i4>305</vt:i4>
      </vt:variant>
      <vt:variant>
        <vt:i4>0</vt:i4>
      </vt:variant>
      <vt:variant>
        <vt:i4>5</vt:i4>
      </vt:variant>
      <vt:variant>
        <vt:lpwstr/>
      </vt:variant>
      <vt:variant>
        <vt:lpwstr>_Toc140048927</vt:lpwstr>
      </vt:variant>
      <vt:variant>
        <vt:i4>1638460</vt:i4>
      </vt:variant>
      <vt:variant>
        <vt:i4>299</vt:i4>
      </vt:variant>
      <vt:variant>
        <vt:i4>0</vt:i4>
      </vt:variant>
      <vt:variant>
        <vt:i4>5</vt:i4>
      </vt:variant>
      <vt:variant>
        <vt:lpwstr/>
      </vt:variant>
      <vt:variant>
        <vt:lpwstr>_Toc140048926</vt:lpwstr>
      </vt:variant>
      <vt:variant>
        <vt:i4>1638460</vt:i4>
      </vt:variant>
      <vt:variant>
        <vt:i4>293</vt:i4>
      </vt:variant>
      <vt:variant>
        <vt:i4>0</vt:i4>
      </vt:variant>
      <vt:variant>
        <vt:i4>5</vt:i4>
      </vt:variant>
      <vt:variant>
        <vt:lpwstr/>
      </vt:variant>
      <vt:variant>
        <vt:lpwstr>_Toc140048925</vt:lpwstr>
      </vt:variant>
      <vt:variant>
        <vt:i4>1638460</vt:i4>
      </vt:variant>
      <vt:variant>
        <vt:i4>287</vt:i4>
      </vt:variant>
      <vt:variant>
        <vt:i4>0</vt:i4>
      </vt:variant>
      <vt:variant>
        <vt:i4>5</vt:i4>
      </vt:variant>
      <vt:variant>
        <vt:lpwstr/>
      </vt:variant>
      <vt:variant>
        <vt:lpwstr>_Toc140048924</vt:lpwstr>
      </vt:variant>
      <vt:variant>
        <vt:i4>1638460</vt:i4>
      </vt:variant>
      <vt:variant>
        <vt:i4>281</vt:i4>
      </vt:variant>
      <vt:variant>
        <vt:i4>0</vt:i4>
      </vt:variant>
      <vt:variant>
        <vt:i4>5</vt:i4>
      </vt:variant>
      <vt:variant>
        <vt:lpwstr/>
      </vt:variant>
      <vt:variant>
        <vt:lpwstr>_Toc140048923</vt:lpwstr>
      </vt:variant>
      <vt:variant>
        <vt:i4>1638460</vt:i4>
      </vt:variant>
      <vt:variant>
        <vt:i4>275</vt:i4>
      </vt:variant>
      <vt:variant>
        <vt:i4>0</vt:i4>
      </vt:variant>
      <vt:variant>
        <vt:i4>5</vt:i4>
      </vt:variant>
      <vt:variant>
        <vt:lpwstr/>
      </vt:variant>
      <vt:variant>
        <vt:lpwstr>_Toc140048922</vt:lpwstr>
      </vt:variant>
      <vt:variant>
        <vt:i4>1638460</vt:i4>
      </vt:variant>
      <vt:variant>
        <vt:i4>269</vt:i4>
      </vt:variant>
      <vt:variant>
        <vt:i4>0</vt:i4>
      </vt:variant>
      <vt:variant>
        <vt:i4>5</vt:i4>
      </vt:variant>
      <vt:variant>
        <vt:lpwstr/>
      </vt:variant>
      <vt:variant>
        <vt:lpwstr>_Toc140048921</vt:lpwstr>
      </vt:variant>
      <vt:variant>
        <vt:i4>1638460</vt:i4>
      </vt:variant>
      <vt:variant>
        <vt:i4>263</vt:i4>
      </vt:variant>
      <vt:variant>
        <vt:i4>0</vt:i4>
      </vt:variant>
      <vt:variant>
        <vt:i4>5</vt:i4>
      </vt:variant>
      <vt:variant>
        <vt:lpwstr/>
      </vt:variant>
      <vt:variant>
        <vt:lpwstr>_Toc140048920</vt:lpwstr>
      </vt:variant>
      <vt:variant>
        <vt:i4>1703996</vt:i4>
      </vt:variant>
      <vt:variant>
        <vt:i4>257</vt:i4>
      </vt:variant>
      <vt:variant>
        <vt:i4>0</vt:i4>
      </vt:variant>
      <vt:variant>
        <vt:i4>5</vt:i4>
      </vt:variant>
      <vt:variant>
        <vt:lpwstr/>
      </vt:variant>
      <vt:variant>
        <vt:lpwstr>_Toc140048919</vt:lpwstr>
      </vt:variant>
      <vt:variant>
        <vt:i4>1703996</vt:i4>
      </vt:variant>
      <vt:variant>
        <vt:i4>251</vt:i4>
      </vt:variant>
      <vt:variant>
        <vt:i4>0</vt:i4>
      </vt:variant>
      <vt:variant>
        <vt:i4>5</vt:i4>
      </vt:variant>
      <vt:variant>
        <vt:lpwstr/>
      </vt:variant>
      <vt:variant>
        <vt:lpwstr>_Toc140048918</vt:lpwstr>
      </vt:variant>
      <vt:variant>
        <vt:i4>1703996</vt:i4>
      </vt:variant>
      <vt:variant>
        <vt:i4>245</vt:i4>
      </vt:variant>
      <vt:variant>
        <vt:i4>0</vt:i4>
      </vt:variant>
      <vt:variant>
        <vt:i4>5</vt:i4>
      </vt:variant>
      <vt:variant>
        <vt:lpwstr/>
      </vt:variant>
      <vt:variant>
        <vt:lpwstr>_Toc140048917</vt:lpwstr>
      </vt:variant>
      <vt:variant>
        <vt:i4>1703996</vt:i4>
      </vt:variant>
      <vt:variant>
        <vt:i4>239</vt:i4>
      </vt:variant>
      <vt:variant>
        <vt:i4>0</vt:i4>
      </vt:variant>
      <vt:variant>
        <vt:i4>5</vt:i4>
      </vt:variant>
      <vt:variant>
        <vt:lpwstr/>
      </vt:variant>
      <vt:variant>
        <vt:lpwstr>_Toc140048916</vt:lpwstr>
      </vt:variant>
      <vt:variant>
        <vt:i4>1703996</vt:i4>
      </vt:variant>
      <vt:variant>
        <vt:i4>233</vt:i4>
      </vt:variant>
      <vt:variant>
        <vt:i4>0</vt:i4>
      </vt:variant>
      <vt:variant>
        <vt:i4>5</vt:i4>
      </vt:variant>
      <vt:variant>
        <vt:lpwstr/>
      </vt:variant>
      <vt:variant>
        <vt:lpwstr>_Toc140048915</vt:lpwstr>
      </vt:variant>
      <vt:variant>
        <vt:i4>1703996</vt:i4>
      </vt:variant>
      <vt:variant>
        <vt:i4>227</vt:i4>
      </vt:variant>
      <vt:variant>
        <vt:i4>0</vt:i4>
      </vt:variant>
      <vt:variant>
        <vt:i4>5</vt:i4>
      </vt:variant>
      <vt:variant>
        <vt:lpwstr/>
      </vt:variant>
      <vt:variant>
        <vt:lpwstr>_Toc140048914</vt:lpwstr>
      </vt:variant>
      <vt:variant>
        <vt:i4>1703996</vt:i4>
      </vt:variant>
      <vt:variant>
        <vt:i4>221</vt:i4>
      </vt:variant>
      <vt:variant>
        <vt:i4>0</vt:i4>
      </vt:variant>
      <vt:variant>
        <vt:i4>5</vt:i4>
      </vt:variant>
      <vt:variant>
        <vt:lpwstr/>
      </vt:variant>
      <vt:variant>
        <vt:lpwstr>_Toc140048913</vt:lpwstr>
      </vt:variant>
      <vt:variant>
        <vt:i4>1703996</vt:i4>
      </vt:variant>
      <vt:variant>
        <vt:i4>215</vt:i4>
      </vt:variant>
      <vt:variant>
        <vt:i4>0</vt:i4>
      </vt:variant>
      <vt:variant>
        <vt:i4>5</vt:i4>
      </vt:variant>
      <vt:variant>
        <vt:lpwstr/>
      </vt:variant>
      <vt:variant>
        <vt:lpwstr>_Toc140048912</vt:lpwstr>
      </vt:variant>
      <vt:variant>
        <vt:i4>1703996</vt:i4>
      </vt:variant>
      <vt:variant>
        <vt:i4>209</vt:i4>
      </vt:variant>
      <vt:variant>
        <vt:i4>0</vt:i4>
      </vt:variant>
      <vt:variant>
        <vt:i4>5</vt:i4>
      </vt:variant>
      <vt:variant>
        <vt:lpwstr/>
      </vt:variant>
      <vt:variant>
        <vt:lpwstr>_Toc140048911</vt:lpwstr>
      </vt:variant>
      <vt:variant>
        <vt:i4>1703996</vt:i4>
      </vt:variant>
      <vt:variant>
        <vt:i4>203</vt:i4>
      </vt:variant>
      <vt:variant>
        <vt:i4>0</vt:i4>
      </vt:variant>
      <vt:variant>
        <vt:i4>5</vt:i4>
      </vt:variant>
      <vt:variant>
        <vt:lpwstr/>
      </vt:variant>
      <vt:variant>
        <vt:lpwstr>_Toc140048910</vt:lpwstr>
      </vt:variant>
      <vt:variant>
        <vt:i4>1769532</vt:i4>
      </vt:variant>
      <vt:variant>
        <vt:i4>197</vt:i4>
      </vt:variant>
      <vt:variant>
        <vt:i4>0</vt:i4>
      </vt:variant>
      <vt:variant>
        <vt:i4>5</vt:i4>
      </vt:variant>
      <vt:variant>
        <vt:lpwstr/>
      </vt:variant>
      <vt:variant>
        <vt:lpwstr>_Toc140048909</vt:lpwstr>
      </vt:variant>
      <vt:variant>
        <vt:i4>1769532</vt:i4>
      </vt:variant>
      <vt:variant>
        <vt:i4>191</vt:i4>
      </vt:variant>
      <vt:variant>
        <vt:i4>0</vt:i4>
      </vt:variant>
      <vt:variant>
        <vt:i4>5</vt:i4>
      </vt:variant>
      <vt:variant>
        <vt:lpwstr/>
      </vt:variant>
      <vt:variant>
        <vt:lpwstr>_Toc140048908</vt:lpwstr>
      </vt:variant>
      <vt:variant>
        <vt:i4>1769532</vt:i4>
      </vt:variant>
      <vt:variant>
        <vt:i4>185</vt:i4>
      </vt:variant>
      <vt:variant>
        <vt:i4>0</vt:i4>
      </vt:variant>
      <vt:variant>
        <vt:i4>5</vt:i4>
      </vt:variant>
      <vt:variant>
        <vt:lpwstr/>
      </vt:variant>
      <vt:variant>
        <vt:lpwstr>_Toc140048907</vt:lpwstr>
      </vt:variant>
      <vt:variant>
        <vt:i4>1769532</vt:i4>
      </vt:variant>
      <vt:variant>
        <vt:i4>179</vt:i4>
      </vt:variant>
      <vt:variant>
        <vt:i4>0</vt:i4>
      </vt:variant>
      <vt:variant>
        <vt:i4>5</vt:i4>
      </vt:variant>
      <vt:variant>
        <vt:lpwstr/>
      </vt:variant>
      <vt:variant>
        <vt:lpwstr>_Toc140048906</vt:lpwstr>
      </vt:variant>
      <vt:variant>
        <vt:i4>1769532</vt:i4>
      </vt:variant>
      <vt:variant>
        <vt:i4>173</vt:i4>
      </vt:variant>
      <vt:variant>
        <vt:i4>0</vt:i4>
      </vt:variant>
      <vt:variant>
        <vt:i4>5</vt:i4>
      </vt:variant>
      <vt:variant>
        <vt:lpwstr/>
      </vt:variant>
      <vt:variant>
        <vt:lpwstr>_Toc140048905</vt:lpwstr>
      </vt:variant>
      <vt:variant>
        <vt:i4>1769532</vt:i4>
      </vt:variant>
      <vt:variant>
        <vt:i4>167</vt:i4>
      </vt:variant>
      <vt:variant>
        <vt:i4>0</vt:i4>
      </vt:variant>
      <vt:variant>
        <vt:i4>5</vt:i4>
      </vt:variant>
      <vt:variant>
        <vt:lpwstr/>
      </vt:variant>
      <vt:variant>
        <vt:lpwstr>_Toc140048904</vt:lpwstr>
      </vt:variant>
      <vt:variant>
        <vt:i4>1769532</vt:i4>
      </vt:variant>
      <vt:variant>
        <vt:i4>161</vt:i4>
      </vt:variant>
      <vt:variant>
        <vt:i4>0</vt:i4>
      </vt:variant>
      <vt:variant>
        <vt:i4>5</vt:i4>
      </vt:variant>
      <vt:variant>
        <vt:lpwstr/>
      </vt:variant>
      <vt:variant>
        <vt:lpwstr>_Toc140048903</vt:lpwstr>
      </vt:variant>
      <vt:variant>
        <vt:i4>1769532</vt:i4>
      </vt:variant>
      <vt:variant>
        <vt:i4>155</vt:i4>
      </vt:variant>
      <vt:variant>
        <vt:i4>0</vt:i4>
      </vt:variant>
      <vt:variant>
        <vt:i4>5</vt:i4>
      </vt:variant>
      <vt:variant>
        <vt:lpwstr/>
      </vt:variant>
      <vt:variant>
        <vt:lpwstr>_Toc140048902</vt:lpwstr>
      </vt:variant>
      <vt:variant>
        <vt:i4>1769532</vt:i4>
      </vt:variant>
      <vt:variant>
        <vt:i4>149</vt:i4>
      </vt:variant>
      <vt:variant>
        <vt:i4>0</vt:i4>
      </vt:variant>
      <vt:variant>
        <vt:i4>5</vt:i4>
      </vt:variant>
      <vt:variant>
        <vt:lpwstr/>
      </vt:variant>
      <vt:variant>
        <vt:lpwstr>_Toc140048901</vt:lpwstr>
      </vt:variant>
      <vt:variant>
        <vt:i4>1769532</vt:i4>
      </vt:variant>
      <vt:variant>
        <vt:i4>143</vt:i4>
      </vt:variant>
      <vt:variant>
        <vt:i4>0</vt:i4>
      </vt:variant>
      <vt:variant>
        <vt:i4>5</vt:i4>
      </vt:variant>
      <vt:variant>
        <vt:lpwstr/>
      </vt:variant>
      <vt:variant>
        <vt:lpwstr>_Toc140048900</vt:lpwstr>
      </vt:variant>
      <vt:variant>
        <vt:i4>1179709</vt:i4>
      </vt:variant>
      <vt:variant>
        <vt:i4>137</vt:i4>
      </vt:variant>
      <vt:variant>
        <vt:i4>0</vt:i4>
      </vt:variant>
      <vt:variant>
        <vt:i4>5</vt:i4>
      </vt:variant>
      <vt:variant>
        <vt:lpwstr/>
      </vt:variant>
      <vt:variant>
        <vt:lpwstr>_Toc140048899</vt:lpwstr>
      </vt:variant>
      <vt:variant>
        <vt:i4>1179709</vt:i4>
      </vt:variant>
      <vt:variant>
        <vt:i4>131</vt:i4>
      </vt:variant>
      <vt:variant>
        <vt:i4>0</vt:i4>
      </vt:variant>
      <vt:variant>
        <vt:i4>5</vt:i4>
      </vt:variant>
      <vt:variant>
        <vt:lpwstr/>
      </vt:variant>
      <vt:variant>
        <vt:lpwstr>_Toc140048898</vt:lpwstr>
      </vt:variant>
      <vt:variant>
        <vt:i4>1179709</vt:i4>
      </vt:variant>
      <vt:variant>
        <vt:i4>125</vt:i4>
      </vt:variant>
      <vt:variant>
        <vt:i4>0</vt:i4>
      </vt:variant>
      <vt:variant>
        <vt:i4>5</vt:i4>
      </vt:variant>
      <vt:variant>
        <vt:lpwstr/>
      </vt:variant>
      <vt:variant>
        <vt:lpwstr>_Toc140048897</vt:lpwstr>
      </vt:variant>
      <vt:variant>
        <vt:i4>1179709</vt:i4>
      </vt:variant>
      <vt:variant>
        <vt:i4>119</vt:i4>
      </vt:variant>
      <vt:variant>
        <vt:i4>0</vt:i4>
      </vt:variant>
      <vt:variant>
        <vt:i4>5</vt:i4>
      </vt:variant>
      <vt:variant>
        <vt:lpwstr/>
      </vt:variant>
      <vt:variant>
        <vt:lpwstr>_Toc140048896</vt:lpwstr>
      </vt:variant>
      <vt:variant>
        <vt:i4>1179709</vt:i4>
      </vt:variant>
      <vt:variant>
        <vt:i4>113</vt:i4>
      </vt:variant>
      <vt:variant>
        <vt:i4>0</vt:i4>
      </vt:variant>
      <vt:variant>
        <vt:i4>5</vt:i4>
      </vt:variant>
      <vt:variant>
        <vt:lpwstr/>
      </vt:variant>
      <vt:variant>
        <vt:lpwstr>_Toc140048895</vt:lpwstr>
      </vt:variant>
      <vt:variant>
        <vt:i4>1179709</vt:i4>
      </vt:variant>
      <vt:variant>
        <vt:i4>107</vt:i4>
      </vt:variant>
      <vt:variant>
        <vt:i4>0</vt:i4>
      </vt:variant>
      <vt:variant>
        <vt:i4>5</vt:i4>
      </vt:variant>
      <vt:variant>
        <vt:lpwstr/>
      </vt:variant>
      <vt:variant>
        <vt:lpwstr>_Toc140048894</vt:lpwstr>
      </vt:variant>
      <vt:variant>
        <vt:i4>1179709</vt:i4>
      </vt:variant>
      <vt:variant>
        <vt:i4>101</vt:i4>
      </vt:variant>
      <vt:variant>
        <vt:i4>0</vt:i4>
      </vt:variant>
      <vt:variant>
        <vt:i4>5</vt:i4>
      </vt:variant>
      <vt:variant>
        <vt:lpwstr/>
      </vt:variant>
      <vt:variant>
        <vt:lpwstr>_Toc140048893</vt:lpwstr>
      </vt:variant>
      <vt:variant>
        <vt:i4>1179709</vt:i4>
      </vt:variant>
      <vt:variant>
        <vt:i4>95</vt:i4>
      </vt:variant>
      <vt:variant>
        <vt:i4>0</vt:i4>
      </vt:variant>
      <vt:variant>
        <vt:i4>5</vt:i4>
      </vt:variant>
      <vt:variant>
        <vt:lpwstr/>
      </vt:variant>
      <vt:variant>
        <vt:lpwstr>_Toc140048892</vt:lpwstr>
      </vt:variant>
      <vt:variant>
        <vt:i4>1179709</vt:i4>
      </vt:variant>
      <vt:variant>
        <vt:i4>89</vt:i4>
      </vt:variant>
      <vt:variant>
        <vt:i4>0</vt:i4>
      </vt:variant>
      <vt:variant>
        <vt:i4>5</vt:i4>
      </vt:variant>
      <vt:variant>
        <vt:lpwstr/>
      </vt:variant>
      <vt:variant>
        <vt:lpwstr>_Toc140048891</vt:lpwstr>
      </vt:variant>
      <vt:variant>
        <vt:i4>1179709</vt:i4>
      </vt:variant>
      <vt:variant>
        <vt:i4>83</vt:i4>
      </vt:variant>
      <vt:variant>
        <vt:i4>0</vt:i4>
      </vt:variant>
      <vt:variant>
        <vt:i4>5</vt:i4>
      </vt:variant>
      <vt:variant>
        <vt:lpwstr/>
      </vt:variant>
      <vt:variant>
        <vt:lpwstr>_Toc140048890</vt:lpwstr>
      </vt:variant>
      <vt:variant>
        <vt:i4>1245245</vt:i4>
      </vt:variant>
      <vt:variant>
        <vt:i4>77</vt:i4>
      </vt:variant>
      <vt:variant>
        <vt:i4>0</vt:i4>
      </vt:variant>
      <vt:variant>
        <vt:i4>5</vt:i4>
      </vt:variant>
      <vt:variant>
        <vt:lpwstr/>
      </vt:variant>
      <vt:variant>
        <vt:lpwstr>_Toc140048889</vt:lpwstr>
      </vt:variant>
      <vt:variant>
        <vt:i4>1245245</vt:i4>
      </vt:variant>
      <vt:variant>
        <vt:i4>71</vt:i4>
      </vt:variant>
      <vt:variant>
        <vt:i4>0</vt:i4>
      </vt:variant>
      <vt:variant>
        <vt:i4>5</vt:i4>
      </vt:variant>
      <vt:variant>
        <vt:lpwstr/>
      </vt:variant>
      <vt:variant>
        <vt:lpwstr>_Toc140048888</vt:lpwstr>
      </vt:variant>
      <vt:variant>
        <vt:i4>1245245</vt:i4>
      </vt:variant>
      <vt:variant>
        <vt:i4>65</vt:i4>
      </vt:variant>
      <vt:variant>
        <vt:i4>0</vt:i4>
      </vt:variant>
      <vt:variant>
        <vt:i4>5</vt:i4>
      </vt:variant>
      <vt:variant>
        <vt:lpwstr/>
      </vt:variant>
      <vt:variant>
        <vt:lpwstr>_Toc140048887</vt:lpwstr>
      </vt:variant>
      <vt:variant>
        <vt:i4>1245245</vt:i4>
      </vt:variant>
      <vt:variant>
        <vt:i4>59</vt:i4>
      </vt:variant>
      <vt:variant>
        <vt:i4>0</vt:i4>
      </vt:variant>
      <vt:variant>
        <vt:i4>5</vt:i4>
      </vt:variant>
      <vt:variant>
        <vt:lpwstr/>
      </vt:variant>
      <vt:variant>
        <vt:lpwstr>_Toc140048886</vt:lpwstr>
      </vt:variant>
      <vt:variant>
        <vt:i4>1245245</vt:i4>
      </vt:variant>
      <vt:variant>
        <vt:i4>53</vt:i4>
      </vt:variant>
      <vt:variant>
        <vt:i4>0</vt:i4>
      </vt:variant>
      <vt:variant>
        <vt:i4>5</vt:i4>
      </vt:variant>
      <vt:variant>
        <vt:lpwstr/>
      </vt:variant>
      <vt:variant>
        <vt:lpwstr>_Toc140048885</vt:lpwstr>
      </vt:variant>
      <vt:variant>
        <vt:i4>1245245</vt:i4>
      </vt:variant>
      <vt:variant>
        <vt:i4>47</vt:i4>
      </vt:variant>
      <vt:variant>
        <vt:i4>0</vt:i4>
      </vt:variant>
      <vt:variant>
        <vt:i4>5</vt:i4>
      </vt:variant>
      <vt:variant>
        <vt:lpwstr/>
      </vt:variant>
      <vt:variant>
        <vt:lpwstr>_Toc140048884</vt:lpwstr>
      </vt:variant>
      <vt:variant>
        <vt:i4>1245245</vt:i4>
      </vt:variant>
      <vt:variant>
        <vt:i4>41</vt:i4>
      </vt:variant>
      <vt:variant>
        <vt:i4>0</vt:i4>
      </vt:variant>
      <vt:variant>
        <vt:i4>5</vt:i4>
      </vt:variant>
      <vt:variant>
        <vt:lpwstr/>
      </vt:variant>
      <vt:variant>
        <vt:lpwstr>_Toc140048883</vt:lpwstr>
      </vt:variant>
      <vt:variant>
        <vt:i4>1245245</vt:i4>
      </vt:variant>
      <vt:variant>
        <vt:i4>35</vt:i4>
      </vt:variant>
      <vt:variant>
        <vt:i4>0</vt:i4>
      </vt:variant>
      <vt:variant>
        <vt:i4>5</vt:i4>
      </vt:variant>
      <vt:variant>
        <vt:lpwstr/>
      </vt:variant>
      <vt:variant>
        <vt:lpwstr>_Toc140048882</vt:lpwstr>
      </vt:variant>
      <vt:variant>
        <vt:i4>1245245</vt:i4>
      </vt:variant>
      <vt:variant>
        <vt:i4>29</vt:i4>
      </vt:variant>
      <vt:variant>
        <vt:i4>0</vt:i4>
      </vt:variant>
      <vt:variant>
        <vt:i4>5</vt:i4>
      </vt:variant>
      <vt:variant>
        <vt:lpwstr/>
      </vt:variant>
      <vt:variant>
        <vt:lpwstr>_Toc140048881</vt:lpwstr>
      </vt:variant>
      <vt:variant>
        <vt:i4>1245245</vt:i4>
      </vt:variant>
      <vt:variant>
        <vt:i4>23</vt:i4>
      </vt:variant>
      <vt:variant>
        <vt:i4>0</vt:i4>
      </vt:variant>
      <vt:variant>
        <vt:i4>5</vt:i4>
      </vt:variant>
      <vt:variant>
        <vt:lpwstr/>
      </vt:variant>
      <vt:variant>
        <vt:lpwstr>_Toc140048880</vt:lpwstr>
      </vt:variant>
      <vt:variant>
        <vt:i4>1835069</vt:i4>
      </vt:variant>
      <vt:variant>
        <vt:i4>17</vt:i4>
      </vt:variant>
      <vt:variant>
        <vt:i4>0</vt:i4>
      </vt:variant>
      <vt:variant>
        <vt:i4>5</vt:i4>
      </vt:variant>
      <vt:variant>
        <vt:lpwstr/>
      </vt:variant>
      <vt:variant>
        <vt:lpwstr>_Toc140048879</vt:lpwstr>
      </vt:variant>
      <vt:variant>
        <vt:i4>1835069</vt:i4>
      </vt:variant>
      <vt:variant>
        <vt:i4>11</vt:i4>
      </vt:variant>
      <vt:variant>
        <vt:i4>0</vt:i4>
      </vt:variant>
      <vt:variant>
        <vt:i4>5</vt:i4>
      </vt:variant>
      <vt:variant>
        <vt:lpwstr/>
      </vt:variant>
      <vt:variant>
        <vt:lpwstr>_Toc140048878</vt:lpwstr>
      </vt:variant>
      <vt:variant>
        <vt:i4>1835069</vt:i4>
      </vt:variant>
      <vt:variant>
        <vt:i4>5</vt:i4>
      </vt:variant>
      <vt:variant>
        <vt:i4>0</vt:i4>
      </vt:variant>
      <vt:variant>
        <vt:i4>5</vt:i4>
      </vt:variant>
      <vt:variant>
        <vt:lpwstr/>
      </vt:variant>
      <vt:variant>
        <vt:lpwstr>_Toc140048877</vt:lpwstr>
      </vt:variant>
      <vt:variant>
        <vt:i4>7340128</vt:i4>
      </vt:variant>
      <vt:variant>
        <vt:i4>0</vt:i4>
      </vt:variant>
      <vt:variant>
        <vt:i4>0</vt:i4>
      </vt:variant>
      <vt:variant>
        <vt:i4>5</vt:i4>
      </vt:variant>
      <vt:variant>
        <vt:lpwstr>http://www.environment.govt.nz/</vt:lpwstr>
      </vt:variant>
      <vt:variant>
        <vt:lpwstr/>
      </vt:variant>
      <vt:variant>
        <vt:i4>1245252</vt:i4>
      </vt:variant>
      <vt:variant>
        <vt:i4>171</vt:i4>
      </vt:variant>
      <vt:variant>
        <vt:i4>0</vt:i4>
      </vt:variant>
      <vt:variant>
        <vt:i4>5</vt:i4>
      </vt:variant>
      <vt:variant>
        <vt:lpwstr>http://www.ipcc-nggip.iges.or.jp/public/2006gl/pdf/4_Volume4/V4_10_Ch10_Livestock.pdf</vt:lpwstr>
      </vt:variant>
      <vt:variant>
        <vt:lpwstr/>
      </vt:variant>
      <vt:variant>
        <vt:i4>7536765</vt:i4>
      </vt:variant>
      <vt:variant>
        <vt:i4>168</vt:i4>
      </vt:variant>
      <vt:variant>
        <vt:i4>0</vt:i4>
      </vt:variant>
      <vt:variant>
        <vt:i4>5</vt:i4>
      </vt:variant>
      <vt:variant>
        <vt:lpwstr>https://lris.scinfo.org.nz/layer/48423-lcdb-v41-deprecated-land-cover-database-version-41-mainland-new-zealand/</vt:lpwstr>
      </vt:variant>
      <vt:variant>
        <vt:lpwstr/>
      </vt:variant>
      <vt:variant>
        <vt:i4>6029379</vt:i4>
      </vt:variant>
      <vt:variant>
        <vt:i4>165</vt:i4>
      </vt:variant>
      <vt:variant>
        <vt:i4>0</vt:i4>
      </vt:variant>
      <vt:variant>
        <vt:i4>5</vt:i4>
      </vt:variant>
      <vt:variant>
        <vt:lpwstr>https://data.mfe.govt.nz/</vt:lpwstr>
      </vt:variant>
      <vt:variant>
        <vt:lpwstr/>
      </vt:variant>
      <vt:variant>
        <vt:i4>327760</vt:i4>
      </vt:variant>
      <vt:variant>
        <vt:i4>162</vt:i4>
      </vt:variant>
      <vt:variant>
        <vt:i4>0</vt:i4>
      </vt:variant>
      <vt:variant>
        <vt:i4>5</vt:i4>
      </vt:variant>
      <vt:variant>
        <vt:lpwstr>http://www.ipcc-nggip.iges.or.jp/public/2006gl/pdf/5_Volume5/V5_3_Ch3_SWDS.pdf</vt:lpwstr>
      </vt:variant>
      <vt:variant>
        <vt:lpwstr/>
      </vt:variant>
      <vt:variant>
        <vt:i4>327760</vt:i4>
      </vt:variant>
      <vt:variant>
        <vt:i4>159</vt:i4>
      </vt:variant>
      <vt:variant>
        <vt:i4>0</vt:i4>
      </vt:variant>
      <vt:variant>
        <vt:i4>5</vt:i4>
      </vt:variant>
      <vt:variant>
        <vt:lpwstr>http://www.ipcc-nggip.iges.or.jp/public/2006gl/pdf/5_Volume5/V5_3_Ch3_SWDS.pdf</vt:lpwstr>
      </vt:variant>
      <vt:variant>
        <vt:lpwstr/>
      </vt:variant>
      <vt:variant>
        <vt:i4>4849745</vt:i4>
      </vt:variant>
      <vt:variant>
        <vt:i4>156</vt:i4>
      </vt:variant>
      <vt:variant>
        <vt:i4>0</vt:i4>
      </vt:variant>
      <vt:variant>
        <vt:i4>5</vt:i4>
      </vt:variant>
      <vt:variant>
        <vt:lpwstr>https://epd-australasia.com/</vt:lpwstr>
      </vt:variant>
      <vt:variant>
        <vt:lpwstr/>
      </vt:variant>
      <vt:variant>
        <vt:i4>7929912</vt:i4>
      </vt:variant>
      <vt:variant>
        <vt:i4>153</vt:i4>
      </vt:variant>
      <vt:variant>
        <vt:i4>0</vt:i4>
      </vt:variant>
      <vt:variant>
        <vt:i4>5</vt:i4>
      </vt:variant>
      <vt:variant>
        <vt:lpwstr>http://www.branz.co.nz/co2nstruct/</vt:lpwstr>
      </vt:variant>
      <vt:variant>
        <vt:lpwstr/>
      </vt:variant>
      <vt:variant>
        <vt:i4>6619235</vt:i4>
      </vt:variant>
      <vt:variant>
        <vt:i4>150</vt:i4>
      </vt:variant>
      <vt:variant>
        <vt:i4>0</vt:i4>
      </vt:variant>
      <vt:variant>
        <vt:i4>5</vt:i4>
      </vt:variant>
      <vt:variant>
        <vt:lpwstr>http://www.branz.co.nz/</vt:lpwstr>
      </vt:variant>
      <vt:variant>
        <vt:lpwstr/>
      </vt:variant>
      <vt:variant>
        <vt:i4>3997812</vt:i4>
      </vt:variant>
      <vt:variant>
        <vt:i4>147</vt:i4>
      </vt:variant>
      <vt:variant>
        <vt:i4>0</vt:i4>
      </vt:variant>
      <vt:variant>
        <vt:i4>5</vt:i4>
      </vt:variant>
      <vt:variant>
        <vt:lpwstr>https://environment.govt.nz/publications/greenhouse-gas-emissions-from-industrial-wastewater-treatment-inventory-basis-review/</vt:lpwstr>
      </vt:variant>
      <vt:variant>
        <vt:lpwstr/>
      </vt:variant>
      <vt:variant>
        <vt:i4>3080274</vt:i4>
      </vt:variant>
      <vt:variant>
        <vt:i4>144</vt:i4>
      </vt:variant>
      <vt:variant>
        <vt:i4>0</vt:i4>
      </vt:variant>
      <vt:variant>
        <vt:i4>5</vt:i4>
      </vt:variant>
      <vt:variant>
        <vt:lpwstr>https://www.waternz.org.nz/Article?Action=View&amp;Article_id=2078</vt:lpwstr>
      </vt:variant>
      <vt:variant>
        <vt:lpwstr/>
      </vt:variant>
      <vt:variant>
        <vt:i4>65581</vt:i4>
      </vt:variant>
      <vt:variant>
        <vt:i4>141</vt:i4>
      </vt:variant>
      <vt:variant>
        <vt:i4>0</vt:i4>
      </vt:variant>
      <vt:variant>
        <vt:i4>5</vt:i4>
      </vt:variant>
      <vt:variant>
        <vt:lpwstr>http://www.waternz.org.nz/Attachment?Action=Download&amp;Attachment_id=3142</vt:lpwstr>
      </vt:variant>
      <vt:variant>
        <vt:lpwstr/>
      </vt:variant>
      <vt:variant>
        <vt:i4>131183</vt:i4>
      </vt:variant>
      <vt:variant>
        <vt:i4>138</vt:i4>
      </vt:variant>
      <vt:variant>
        <vt:i4>0</vt:i4>
      </vt:variant>
      <vt:variant>
        <vt:i4>5</vt:i4>
      </vt:variant>
      <vt:variant>
        <vt:lpwstr>https://www.waternz.org.nz/Attachment?Action=Download&amp;Attachment_id=5573</vt:lpwstr>
      </vt:variant>
      <vt:variant>
        <vt:lpwstr/>
      </vt:variant>
      <vt:variant>
        <vt:i4>3080274</vt:i4>
      </vt:variant>
      <vt:variant>
        <vt:i4>135</vt:i4>
      </vt:variant>
      <vt:variant>
        <vt:i4>0</vt:i4>
      </vt:variant>
      <vt:variant>
        <vt:i4>5</vt:i4>
      </vt:variant>
      <vt:variant>
        <vt:lpwstr>https://www.waternz.org.nz/Article?Action=View&amp;Article_id=2078</vt:lpwstr>
      </vt:variant>
      <vt:variant>
        <vt:lpwstr/>
      </vt:variant>
      <vt:variant>
        <vt:i4>7864336</vt:i4>
      </vt:variant>
      <vt:variant>
        <vt:i4>132</vt:i4>
      </vt:variant>
      <vt:variant>
        <vt:i4>0</vt:i4>
      </vt:variant>
      <vt:variant>
        <vt:i4>5</vt:i4>
      </vt:variant>
      <vt:variant>
        <vt:lpwstr>https://assets.publishing.service.gov.uk/government/uploads/system/uploads/attachment_data/file/1083857/2022-ghg-cf-methodology-paper.pdf</vt:lpwstr>
      </vt:variant>
      <vt:variant>
        <vt:lpwstr/>
      </vt:variant>
      <vt:variant>
        <vt:i4>4915217</vt:i4>
      </vt:variant>
      <vt:variant>
        <vt:i4>129</vt:i4>
      </vt:variant>
      <vt:variant>
        <vt:i4>0</vt:i4>
      </vt:variant>
      <vt:variant>
        <vt:i4>5</vt:i4>
      </vt:variant>
      <vt:variant>
        <vt:lpwstr>https://www.transport.govt.nz/statistics-and-insights/freight-and-logistics/</vt:lpwstr>
      </vt:variant>
      <vt:variant>
        <vt:lpwstr/>
      </vt:variant>
      <vt:variant>
        <vt:i4>4915217</vt:i4>
      </vt:variant>
      <vt:variant>
        <vt:i4>126</vt:i4>
      </vt:variant>
      <vt:variant>
        <vt:i4>0</vt:i4>
      </vt:variant>
      <vt:variant>
        <vt:i4>5</vt:i4>
      </vt:variant>
      <vt:variant>
        <vt:lpwstr>https://www.transport.govt.nz/statistics-and-insights/freight-and-logistics/</vt:lpwstr>
      </vt:variant>
      <vt:variant>
        <vt:lpwstr/>
      </vt:variant>
      <vt:variant>
        <vt:i4>6815852</vt:i4>
      </vt:variant>
      <vt:variant>
        <vt:i4>123</vt:i4>
      </vt:variant>
      <vt:variant>
        <vt:i4>0</vt:i4>
      </vt:variant>
      <vt:variant>
        <vt:i4>5</vt:i4>
      </vt:variant>
      <vt:variant>
        <vt:lpwstr>https://www.knowledgehub.transport.govt.nz/assets/TKH-Uploads/TKC-2019/Real-world-fuel-economy-of-heavy-trucks.pdf</vt:lpwstr>
      </vt:variant>
      <vt:variant>
        <vt:lpwstr/>
      </vt:variant>
      <vt:variant>
        <vt:i4>6815852</vt:i4>
      </vt:variant>
      <vt:variant>
        <vt:i4>120</vt:i4>
      </vt:variant>
      <vt:variant>
        <vt:i4>0</vt:i4>
      </vt:variant>
      <vt:variant>
        <vt:i4>5</vt:i4>
      </vt:variant>
      <vt:variant>
        <vt:lpwstr>https://www.knowledgehub.transport.govt.nz/assets/TKH-Uploads/TKC-2019/Real-world-fuel-economy-of-heavy-trucks.pdf</vt:lpwstr>
      </vt:variant>
      <vt:variant>
        <vt:lpwstr/>
      </vt:variant>
      <vt:variant>
        <vt:i4>7340141</vt:i4>
      </vt:variant>
      <vt:variant>
        <vt:i4>117</vt:i4>
      </vt:variant>
      <vt:variant>
        <vt:i4>0</vt:i4>
      </vt:variant>
      <vt:variant>
        <vt:i4>5</vt:i4>
      </vt:variant>
      <vt:variant>
        <vt:lpwstr>http://www.theccc.org.uk/publication/meeting-the-uk-aviation-target-options-for-reducing-emissions-to-2050/</vt:lpwstr>
      </vt:variant>
      <vt:variant>
        <vt:lpwstr/>
      </vt:variant>
      <vt:variant>
        <vt:i4>983057</vt:i4>
      </vt:variant>
      <vt:variant>
        <vt:i4>114</vt:i4>
      </vt:variant>
      <vt:variant>
        <vt:i4>0</vt:i4>
      </vt:variant>
      <vt:variant>
        <vt:i4>5</vt:i4>
      </vt:variant>
      <vt:variant>
        <vt:lpwstr>https://core.ac.uk/download/pdf/357569099.pdf</vt:lpwstr>
      </vt:variant>
      <vt:variant>
        <vt:lpwstr/>
      </vt:variant>
      <vt:variant>
        <vt:i4>6815852</vt:i4>
      </vt:variant>
      <vt:variant>
        <vt:i4>111</vt:i4>
      </vt:variant>
      <vt:variant>
        <vt:i4>0</vt:i4>
      </vt:variant>
      <vt:variant>
        <vt:i4>5</vt:i4>
      </vt:variant>
      <vt:variant>
        <vt:lpwstr>https://www.knowledgehub.transport.govt.nz/assets/TKH-Uploads/TKC-2019/Real-world-fuel-economy-of-heavy-trucks.pdf</vt:lpwstr>
      </vt:variant>
      <vt:variant>
        <vt:lpwstr/>
      </vt:variant>
      <vt:variant>
        <vt:i4>3145786</vt:i4>
      </vt:variant>
      <vt:variant>
        <vt:i4>108</vt:i4>
      </vt:variant>
      <vt:variant>
        <vt:i4>0</vt:i4>
      </vt:variant>
      <vt:variant>
        <vt:i4>5</vt:i4>
      </vt:variant>
      <vt:variant>
        <vt:lpwstr>http://www.nzta.govt.nz/vehicles/how-the-motor-vehicle-register-affects-you</vt:lpwstr>
      </vt:variant>
      <vt:variant>
        <vt:lpwstr/>
      </vt:variant>
      <vt:variant>
        <vt:i4>2621567</vt:i4>
      </vt:variant>
      <vt:variant>
        <vt:i4>105</vt:i4>
      </vt:variant>
      <vt:variant>
        <vt:i4>0</vt:i4>
      </vt:variant>
      <vt:variant>
        <vt:i4>5</vt:i4>
      </vt:variant>
      <vt:variant>
        <vt:lpwstr>https://www.transport.govt.nz/statistics-and-insights/fleet-statistics/sheet/vehicle-age</vt:lpwstr>
      </vt:variant>
      <vt:variant>
        <vt:lpwstr>element-413</vt:lpwstr>
      </vt:variant>
      <vt:variant>
        <vt:i4>2162803</vt:i4>
      </vt:variant>
      <vt:variant>
        <vt:i4>102</vt:i4>
      </vt:variant>
      <vt:variant>
        <vt:i4>0</vt:i4>
      </vt:variant>
      <vt:variant>
        <vt:i4>5</vt:i4>
      </vt:variant>
      <vt:variant>
        <vt:lpwstr>https://aus01.safelinks.protection.outlook.com/?url=https%3A%2F%2Fwww.transport.govt.nz%2Fassets%2FUploads%2FData%2FNZVehicleFleet.xlsx&amp;data=04%7C01%7CCharissa.Billings%40mfe.govt.nz%7C716d568e554f4ce8d7ea08d9f0038879%7C761dd003d4ff40498a728549b20fcbb1%7C0%7C0%7C637804721191989366%7CUnknown%7CTWFpbGZsb3d8eyJWIjoiMC4wLjAwMDAiLCJQIjoiV2luMzIiLCJBTiI6Ik1haWwiLCJXVCI6Mn0%3D%7C3000&amp;sdata=BZp5pk8xXn6UG%2BUsdp2nhsSIGHtFyJ4UWvBcBZydgHg%3D&amp;reserved=0</vt:lpwstr>
      </vt:variant>
      <vt:variant>
        <vt:lpwstr/>
      </vt:variant>
      <vt:variant>
        <vt:i4>7864336</vt:i4>
      </vt:variant>
      <vt:variant>
        <vt:i4>99</vt:i4>
      </vt:variant>
      <vt:variant>
        <vt:i4>0</vt:i4>
      </vt:variant>
      <vt:variant>
        <vt:i4>5</vt:i4>
      </vt:variant>
      <vt:variant>
        <vt:lpwstr>https://assets.publishing.service.gov.uk/government/uploads/system/uploads/attachment_data/file/1083857/2022-ghg-cf-methodology-paper.pdf</vt:lpwstr>
      </vt:variant>
      <vt:variant>
        <vt:lpwstr/>
      </vt:variant>
      <vt:variant>
        <vt:i4>7602217</vt:i4>
      </vt:variant>
      <vt:variant>
        <vt:i4>96</vt:i4>
      </vt:variant>
      <vt:variant>
        <vt:i4>0</vt:i4>
      </vt:variant>
      <vt:variant>
        <vt:i4>5</vt:i4>
      </vt:variant>
      <vt:variant>
        <vt:lpwstr>https://ecommons.cornell.edu/handle/1813/109990</vt:lpwstr>
      </vt:variant>
      <vt:variant>
        <vt:lpwstr/>
      </vt:variant>
      <vt:variant>
        <vt:i4>7602217</vt:i4>
      </vt:variant>
      <vt:variant>
        <vt:i4>93</vt:i4>
      </vt:variant>
      <vt:variant>
        <vt:i4>0</vt:i4>
      </vt:variant>
      <vt:variant>
        <vt:i4>5</vt:i4>
      </vt:variant>
      <vt:variant>
        <vt:lpwstr>https://ecommons.cornell.edu/handle/1813/109990</vt:lpwstr>
      </vt:variant>
      <vt:variant>
        <vt:lpwstr/>
      </vt:variant>
      <vt:variant>
        <vt:i4>1638492</vt:i4>
      </vt:variant>
      <vt:variant>
        <vt:i4>90</vt:i4>
      </vt:variant>
      <vt:variant>
        <vt:i4>0</vt:i4>
      </vt:variant>
      <vt:variant>
        <vt:i4>5</vt:i4>
      </vt:variant>
      <vt:variant>
        <vt:lpwstr>http://www.aviation.govt.nz/aircraft/aircraft-registration/aircraft-register-search/</vt:lpwstr>
      </vt:variant>
      <vt:variant>
        <vt:lpwstr/>
      </vt:variant>
      <vt:variant>
        <vt:i4>5373959</vt:i4>
      </vt:variant>
      <vt:variant>
        <vt:i4>87</vt:i4>
      </vt:variant>
      <vt:variant>
        <vt:i4>0</vt:i4>
      </vt:variant>
      <vt:variant>
        <vt:i4>5</vt:i4>
      </vt:variant>
      <vt:variant>
        <vt:lpwstr>http://www.icao.int/environmental-protection/CarbonOffset/Pages/default.aspx</vt:lpwstr>
      </vt:variant>
      <vt:variant>
        <vt:lpwstr/>
      </vt:variant>
      <vt:variant>
        <vt:i4>2031709</vt:i4>
      </vt:variant>
      <vt:variant>
        <vt:i4>84</vt:i4>
      </vt:variant>
      <vt:variant>
        <vt:i4>0</vt:i4>
      </vt:variant>
      <vt:variant>
        <vt:i4>5</vt:i4>
      </vt:variant>
      <vt:variant>
        <vt:lpwstr>https://www.ils.co.nz/ils/assets/downloads/SKU TDS/659340.pdf</vt:lpwstr>
      </vt:variant>
      <vt:variant>
        <vt:lpwstr/>
      </vt:variant>
      <vt:variant>
        <vt:i4>7340141</vt:i4>
      </vt:variant>
      <vt:variant>
        <vt:i4>81</vt:i4>
      </vt:variant>
      <vt:variant>
        <vt:i4>0</vt:i4>
      </vt:variant>
      <vt:variant>
        <vt:i4>5</vt:i4>
      </vt:variant>
      <vt:variant>
        <vt:lpwstr>http://www.theccc.org.uk/publication/meeting-the-uk-aviation-target-options-for-reducing-emissions-to-2050/</vt:lpwstr>
      </vt:variant>
      <vt:variant>
        <vt:lpwstr/>
      </vt:variant>
      <vt:variant>
        <vt:i4>983057</vt:i4>
      </vt:variant>
      <vt:variant>
        <vt:i4>78</vt:i4>
      </vt:variant>
      <vt:variant>
        <vt:i4>0</vt:i4>
      </vt:variant>
      <vt:variant>
        <vt:i4>5</vt:i4>
      </vt:variant>
      <vt:variant>
        <vt:lpwstr>https://core.ac.uk/download/pdf/357569099.pdf</vt:lpwstr>
      </vt:variant>
      <vt:variant>
        <vt:lpwstr/>
      </vt:variant>
      <vt:variant>
        <vt:i4>3538982</vt:i4>
      </vt:variant>
      <vt:variant>
        <vt:i4>75</vt:i4>
      </vt:variant>
      <vt:variant>
        <vt:i4>0</vt:i4>
      </vt:variant>
      <vt:variant>
        <vt:i4>5</vt:i4>
      </vt:variant>
      <vt:variant>
        <vt:lpwstr>http://www.nzta.govt.nz/assets/userfiles/transport-data/PTPerformance.xlsx</vt:lpwstr>
      </vt:variant>
      <vt:variant>
        <vt:lpwstr/>
      </vt:variant>
      <vt:variant>
        <vt:i4>2424922</vt:i4>
      </vt:variant>
      <vt:variant>
        <vt:i4>72</vt:i4>
      </vt:variant>
      <vt:variant>
        <vt:i4>0</vt:i4>
      </vt:variant>
      <vt:variant>
        <vt:i4>5</vt:i4>
      </vt:variant>
      <vt:variant>
        <vt:lpwstr>https://ghgprotocol.org/sites/default/files/standards_supporting/Chapter6.pdf</vt:lpwstr>
      </vt:variant>
      <vt:variant>
        <vt:lpwstr/>
      </vt:variant>
      <vt:variant>
        <vt:i4>1376344</vt:i4>
      </vt:variant>
      <vt:variant>
        <vt:i4>69</vt:i4>
      </vt:variant>
      <vt:variant>
        <vt:i4>0</vt:i4>
      </vt:variant>
      <vt:variant>
        <vt:i4>5</vt:i4>
      </vt:variant>
      <vt:variant>
        <vt:lpwstr>https://www.transport.govt.nz/assets/Uploads/Data/NZVehicleFleet.xlsx</vt:lpwstr>
      </vt:variant>
      <vt:variant>
        <vt:lpwstr/>
      </vt:variant>
      <vt:variant>
        <vt:i4>1376344</vt:i4>
      </vt:variant>
      <vt:variant>
        <vt:i4>66</vt:i4>
      </vt:variant>
      <vt:variant>
        <vt:i4>0</vt:i4>
      </vt:variant>
      <vt:variant>
        <vt:i4>5</vt:i4>
      </vt:variant>
      <vt:variant>
        <vt:lpwstr>https://www.transport.govt.nz/assets/Uploads/Data/NZVehicleFleet.xlsx</vt:lpwstr>
      </vt:variant>
      <vt:variant>
        <vt:lpwstr/>
      </vt:variant>
      <vt:variant>
        <vt:i4>1376344</vt:i4>
      </vt:variant>
      <vt:variant>
        <vt:i4>63</vt:i4>
      </vt:variant>
      <vt:variant>
        <vt:i4>0</vt:i4>
      </vt:variant>
      <vt:variant>
        <vt:i4>5</vt:i4>
      </vt:variant>
      <vt:variant>
        <vt:lpwstr>https://www.transport.govt.nz/assets/Uploads/Data/NZVehicleFleet.xlsx</vt:lpwstr>
      </vt:variant>
      <vt:variant>
        <vt:lpwstr/>
      </vt:variant>
      <vt:variant>
        <vt:i4>655443</vt:i4>
      </vt:variant>
      <vt:variant>
        <vt:i4>60</vt:i4>
      </vt:variant>
      <vt:variant>
        <vt:i4>0</vt:i4>
      </vt:variant>
      <vt:variant>
        <vt:i4>5</vt:i4>
      </vt:variant>
      <vt:variant>
        <vt:lpwstr>https://www.nzta.govt.nz/vehicles/how-the-motor-vehicle-register-affects-you/motor-vehicle-registrations-dashboard-and-open-data/</vt:lpwstr>
      </vt:variant>
      <vt:variant>
        <vt:lpwstr/>
      </vt:variant>
      <vt:variant>
        <vt:i4>327684</vt:i4>
      </vt:variant>
      <vt:variant>
        <vt:i4>57</vt:i4>
      </vt:variant>
      <vt:variant>
        <vt:i4>0</vt:i4>
      </vt:variant>
      <vt:variant>
        <vt:i4>5</vt:i4>
      </vt:variant>
      <vt:variant>
        <vt:lpwstr>https://www.mbie.govt.nz/building-and-energy/energy-and-natural-resources/energy-statistics-and-modelling/energy-statistics/</vt:lpwstr>
      </vt:variant>
      <vt:variant>
        <vt:lpwstr/>
      </vt:variant>
      <vt:variant>
        <vt:i4>7602208</vt:i4>
      </vt:variant>
      <vt:variant>
        <vt:i4>54</vt:i4>
      </vt:variant>
      <vt:variant>
        <vt:i4>0</vt:i4>
      </vt:variant>
      <vt:variant>
        <vt:i4>5</vt:i4>
      </vt:variant>
      <vt:variant>
        <vt:lpwstr>https://ghgprotocol.org/sites/default/files/standards/Scope 2 Guidance_Final_Sept26.pdf</vt:lpwstr>
      </vt:variant>
      <vt:variant>
        <vt:lpwstr/>
      </vt:variant>
      <vt:variant>
        <vt:i4>327684</vt:i4>
      </vt:variant>
      <vt:variant>
        <vt:i4>51</vt:i4>
      </vt:variant>
      <vt:variant>
        <vt:i4>0</vt:i4>
      </vt:variant>
      <vt:variant>
        <vt:i4>5</vt:i4>
      </vt:variant>
      <vt:variant>
        <vt:lpwstr>https://www.mbie.govt.nz/building-and-energy/energy-and-natural-resources/energy-statistics-and-modelling/energy-statistics/</vt:lpwstr>
      </vt:variant>
      <vt:variant>
        <vt:lpwstr/>
      </vt:variant>
      <vt:variant>
        <vt:i4>3473515</vt:i4>
      </vt:variant>
      <vt:variant>
        <vt:i4>48</vt:i4>
      </vt:variant>
      <vt:variant>
        <vt:i4>0</vt:i4>
      </vt:variant>
      <vt:variant>
        <vt:i4>5</vt:i4>
      </vt:variant>
      <vt:variant>
        <vt:lpwstr>http://www.ashrae.org/technical-resources/standards-and-guidelines/ashrae-refrigerant-designations</vt:lpwstr>
      </vt:variant>
      <vt:variant>
        <vt:lpwstr/>
      </vt:variant>
      <vt:variant>
        <vt:i4>4390976</vt:i4>
      </vt:variant>
      <vt:variant>
        <vt:i4>45</vt:i4>
      </vt:variant>
      <vt:variant>
        <vt:i4>0</vt:i4>
      </vt:variant>
      <vt:variant>
        <vt:i4>5</vt:i4>
      </vt:variant>
      <vt:variant>
        <vt:lpwstr>https://ghgprotocol.org/sites/default/files/Stationary_Combustion_Guidance_final_1.pdf</vt:lpwstr>
      </vt:variant>
      <vt:variant>
        <vt:lpwstr/>
      </vt:variant>
      <vt:variant>
        <vt:i4>1769543</vt:i4>
      </vt:variant>
      <vt:variant>
        <vt:i4>42</vt:i4>
      </vt:variant>
      <vt:variant>
        <vt:i4>0</vt:i4>
      </vt:variant>
      <vt:variant>
        <vt:i4>5</vt:i4>
      </vt:variant>
      <vt:variant>
        <vt:lpwstr>http://www.ipcc-nggip.iges.or.jp/public/2006gl/vol2.html</vt:lpwstr>
      </vt:variant>
      <vt:variant>
        <vt:lpwstr/>
      </vt:variant>
      <vt:variant>
        <vt:i4>4128813</vt:i4>
      </vt:variant>
      <vt:variant>
        <vt:i4>39</vt:i4>
      </vt:variant>
      <vt:variant>
        <vt:i4>0</vt:i4>
      </vt:variant>
      <vt:variant>
        <vt:i4>5</vt:i4>
      </vt:variant>
      <vt:variant>
        <vt:lpwstr>https://www.legislation.govt.nz/regulation/public/2008/0356/latest/DLM1635640.html</vt:lpwstr>
      </vt:variant>
      <vt:variant>
        <vt:lpwstr/>
      </vt:variant>
      <vt:variant>
        <vt:i4>6225948</vt:i4>
      </vt:variant>
      <vt:variant>
        <vt:i4>36</vt:i4>
      </vt:variant>
      <vt:variant>
        <vt:i4>0</vt:i4>
      </vt:variant>
      <vt:variant>
        <vt:i4>5</vt:i4>
      </vt:variant>
      <vt:variant>
        <vt:lpwstr>https://www.ipcc-nggip.iges.or.jp/public/2006gl/vol2.html</vt:lpwstr>
      </vt:variant>
      <vt:variant>
        <vt:lpwstr/>
      </vt:variant>
      <vt:variant>
        <vt:i4>7077961</vt:i4>
      </vt:variant>
      <vt:variant>
        <vt:i4>33</vt:i4>
      </vt:variant>
      <vt:variant>
        <vt:i4>0</vt:i4>
      </vt:variant>
      <vt:variant>
        <vt:i4>5</vt:i4>
      </vt:variant>
      <vt:variant>
        <vt:lpwstr>https://environment.govt.nz/assets/publications/Measuring-Emissions-2023/3bffeb2623/Measuring-Emissions-Guidance_EmissionFactors_InteractiveWorkbook_2023.xlsx</vt:lpwstr>
      </vt:variant>
      <vt:variant>
        <vt:lpwstr/>
      </vt:variant>
      <vt:variant>
        <vt:i4>131174</vt:i4>
      </vt:variant>
      <vt:variant>
        <vt:i4>30</vt:i4>
      </vt:variant>
      <vt:variant>
        <vt:i4>0</vt:i4>
      </vt:variant>
      <vt:variant>
        <vt:i4>5</vt:i4>
      </vt:variant>
      <vt:variant>
        <vt:lpwstr>https://environment.govt.nz/assets/publications/Measuring-Emissions-2023/0a4a8dcdd9/Measuring-Emissions-Guidance_EmissionFactors_Workbook_2023.xlsx</vt:lpwstr>
      </vt:variant>
      <vt:variant>
        <vt:lpwstr/>
      </vt:variant>
      <vt:variant>
        <vt:i4>1179679</vt:i4>
      </vt:variant>
      <vt:variant>
        <vt:i4>27</vt:i4>
      </vt:variant>
      <vt:variant>
        <vt:i4>0</vt:i4>
      </vt:variant>
      <vt:variant>
        <vt:i4>5</vt:i4>
      </vt:variant>
      <vt:variant>
        <vt:lpwstr>https://environment.govt.nz/publications/measuring-emissions-a-guide-for-organisations-2023-summary-of-emission-factors/</vt:lpwstr>
      </vt:variant>
      <vt:variant>
        <vt:lpwstr/>
      </vt:variant>
      <vt:variant>
        <vt:i4>589857</vt:i4>
      </vt:variant>
      <vt:variant>
        <vt:i4>24</vt:i4>
      </vt:variant>
      <vt:variant>
        <vt:i4>0</vt:i4>
      </vt:variant>
      <vt:variant>
        <vt:i4>5</vt:i4>
      </vt:variant>
      <vt:variant>
        <vt:lpwstr/>
      </vt:variant>
      <vt:variant>
        <vt:lpwstr>_Glossary</vt:lpwstr>
      </vt:variant>
      <vt:variant>
        <vt:i4>589857</vt:i4>
      </vt:variant>
      <vt:variant>
        <vt:i4>21</vt:i4>
      </vt:variant>
      <vt:variant>
        <vt:i4>0</vt:i4>
      </vt:variant>
      <vt:variant>
        <vt:i4>5</vt:i4>
      </vt:variant>
      <vt:variant>
        <vt:lpwstr/>
      </vt:variant>
      <vt:variant>
        <vt:lpwstr>_Glossary</vt:lpwstr>
      </vt:variant>
      <vt:variant>
        <vt:i4>589857</vt:i4>
      </vt:variant>
      <vt:variant>
        <vt:i4>18</vt:i4>
      </vt:variant>
      <vt:variant>
        <vt:i4>0</vt:i4>
      </vt:variant>
      <vt:variant>
        <vt:i4>5</vt:i4>
      </vt:variant>
      <vt:variant>
        <vt:lpwstr/>
      </vt:variant>
      <vt:variant>
        <vt:lpwstr>_Glossary</vt:lpwstr>
      </vt:variant>
      <vt:variant>
        <vt:i4>1048597</vt:i4>
      </vt:variant>
      <vt:variant>
        <vt:i4>15</vt:i4>
      </vt:variant>
      <vt:variant>
        <vt:i4>0</vt:i4>
      </vt:variant>
      <vt:variant>
        <vt:i4>5</vt:i4>
      </vt:variant>
      <vt:variant>
        <vt:lpwstr>http://www.unep.org/ozonaction/who-we-are/about-montreal-protocol</vt:lpwstr>
      </vt:variant>
      <vt:variant>
        <vt:lpwstr/>
      </vt:variant>
      <vt:variant>
        <vt:i4>1441896</vt:i4>
      </vt:variant>
      <vt:variant>
        <vt:i4>12</vt:i4>
      </vt:variant>
      <vt:variant>
        <vt:i4>0</vt:i4>
      </vt:variant>
      <vt:variant>
        <vt:i4>5</vt:i4>
      </vt:variant>
      <vt:variant>
        <vt:lpwstr>https://unfccc.int/kyoto_protocol</vt:lpwstr>
      </vt:variant>
      <vt:variant>
        <vt:lpwstr/>
      </vt:variant>
      <vt:variant>
        <vt:i4>917581</vt:i4>
      </vt:variant>
      <vt:variant>
        <vt:i4>9</vt:i4>
      </vt:variant>
      <vt:variant>
        <vt:i4>0</vt:i4>
      </vt:variant>
      <vt:variant>
        <vt:i4>5</vt:i4>
      </vt:variant>
      <vt:variant>
        <vt:lpwstr>https://environment.govt.nz/publications/new-zealands-greenhouse-gas-inventory-1990-2021/</vt:lpwstr>
      </vt:variant>
      <vt:variant>
        <vt:lpwstr/>
      </vt:variant>
      <vt:variant>
        <vt:i4>2424879</vt:i4>
      </vt:variant>
      <vt:variant>
        <vt:i4>6</vt:i4>
      </vt:variant>
      <vt:variant>
        <vt:i4>0</vt:i4>
      </vt:variant>
      <vt:variant>
        <vt:i4>5</vt:i4>
      </vt:variant>
      <vt:variant>
        <vt:lpwstr>https://lcanz.org.nz/lca-guidance/lca-resources/</vt:lpwstr>
      </vt:variant>
      <vt:variant>
        <vt:lpwstr>LCI</vt:lpwstr>
      </vt:variant>
      <vt:variant>
        <vt:i4>5373971</vt:i4>
      </vt:variant>
      <vt:variant>
        <vt:i4>3</vt:i4>
      </vt:variant>
      <vt:variant>
        <vt:i4>0</vt:i4>
      </vt:variant>
      <vt:variant>
        <vt:i4>5</vt:i4>
      </vt:variant>
      <vt:variant>
        <vt:lpwstr>https://environment.govt.nz/what-government-is-doing/key-initiatives/carbon-neutral-government-programme/</vt:lpwstr>
      </vt:variant>
      <vt:variant>
        <vt:lpwstr/>
      </vt:variant>
      <vt:variant>
        <vt:i4>2031704</vt:i4>
      </vt:variant>
      <vt:variant>
        <vt:i4>0</vt:i4>
      </vt:variant>
      <vt:variant>
        <vt:i4>0</vt:i4>
      </vt:variant>
      <vt:variant>
        <vt:i4>5</vt:i4>
      </vt:variant>
      <vt:variant>
        <vt:lpwstr>https://environment.govt.nz/publications/cngp-measuring-and-reporting-ghg-emissions/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2023-08-02T02:23:00Z</dcterms:created>
  <dcterms:modified xsi:type="dcterms:W3CDTF">2023-08-02T02:24:00Z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2023-08-02T02:24:19Z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0d8bc1b3-8674-4a78-bc0a-31bf5448e934</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65f461d5-ae90-4dad-a6f4-495295caa999</vt:lpwstr>
  </property>
  <property fmtid="{D5CDD505-2E9C-101B-9397-08002B2CF9AE}" pid="11" name="MediaServiceImageTags">
    <vt:lpwstr/>
  </property>
</Properties>
</file>